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wdp" ContentType="image/vnd.ms-photo"/>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document.xml" ContentType="application/vnd.openxmlformats-officedocument.wordprocessingml.document.main+xml"/>
  <Override PartName="/word/embeddings/Microsoft_Visio___1.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Override PartName="/word/theme/themeOverride4.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1D35A6">
      <w:pPr>
        <w:spacing w:line="720" w:lineRule="auto"/>
        <w:ind w:firstLine="0" w:firstLineChars="0"/>
        <w:jc w:val="center"/>
        <w:rPr>
          <w:rFonts w:cs="Times New Roman"/>
          <w:b/>
          <w:bCs/>
          <w:sz w:val="48"/>
          <w:szCs w:val="48"/>
        </w:rPr>
      </w:pPr>
      <w:bookmarkStart w:id="177" w:name="_GoBack"/>
      <w:bookmarkEnd w:id="177"/>
    </w:p>
    <w:p w14:paraId="138AE878">
      <w:pPr>
        <w:spacing w:line="720" w:lineRule="auto"/>
        <w:ind w:firstLine="0" w:firstLineChars="0"/>
        <w:jc w:val="center"/>
        <w:rPr>
          <w:rFonts w:cs="Times New Roman"/>
          <w:b/>
          <w:bCs/>
          <w:sz w:val="48"/>
          <w:szCs w:val="48"/>
        </w:rPr>
      </w:pPr>
      <w:r>
        <w:rPr>
          <w:rFonts w:cs="Times New Roman"/>
          <w:b/>
          <w:bCs/>
          <w:sz w:val="48"/>
          <w:szCs w:val="48"/>
        </w:rPr>
        <w:t>金坛茅山旅游度假区总体规划</w:t>
      </w:r>
    </w:p>
    <w:p w14:paraId="4C938E0E">
      <w:pPr>
        <w:spacing w:line="720" w:lineRule="auto"/>
        <w:ind w:firstLine="0" w:firstLineChars="0"/>
        <w:jc w:val="center"/>
        <w:rPr>
          <w:rFonts w:cs="Times New Roman"/>
          <w:b/>
          <w:bCs/>
          <w:sz w:val="48"/>
          <w:szCs w:val="48"/>
        </w:rPr>
      </w:pPr>
      <w:r>
        <w:rPr>
          <w:rFonts w:cs="Times New Roman"/>
          <w:b/>
          <w:bCs/>
          <w:sz w:val="48"/>
          <w:szCs w:val="48"/>
        </w:rPr>
        <w:t>（2024-2035年）环境影响报告书</w:t>
      </w:r>
    </w:p>
    <w:p w14:paraId="53BD980F">
      <w:pPr>
        <w:spacing w:line="720" w:lineRule="auto"/>
        <w:ind w:firstLine="0" w:firstLineChars="0"/>
        <w:jc w:val="center"/>
        <w:rPr>
          <w:rFonts w:cs="Times New Roman"/>
          <w:b/>
          <w:bCs/>
          <w:sz w:val="36"/>
          <w:szCs w:val="36"/>
        </w:rPr>
      </w:pPr>
      <w:r>
        <w:rPr>
          <w:rFonts w:cs="Times New Roman"/>
          <w:b/>
          <w:bCs/>
          <w:sz w:val="36"/>
          <w:szCs w:val="36"/>
        </w:rPr>
        <w:t>（</w:t>
      </w:r>
      <w:r>
        <w:rPr>
          <w:rFonts w:hint="eastAsia" w:cs="Times New Roman"/>
          <w:b/>
          <w:bCs/>
          <w:sz w:val="36"/>
          <w:szCs w:val="36"/>
        </w:rPr>
        <w:t>报批稿</w:t>
      </w:r>
      <w:r>
        <w:rPr>
          <w:rFonts w:cs="Times New Roman"/>
          <w:b/>
          <w:bCs/>
          <w:sz w:val="36"/>
          <w:szCs w:val="36"/>
        </w:rPr>
        <w:t>）</w:t>
      </w:r>
    </w:p>
    <w:p w14:paraId="2B7F63A6">
      <w:pPr>
        <w:spacing w:line="720" w:lineRule="auto"/>
        <w:ind w:firstLine="0" w:firstLineChars="0"/>
        <w:jc w:val="center"/>
        <w:rPr>
          <w:rFonts w:cs="Times New Roman"/>
          <w:sz w:val="48"/>
          <w:szCs w:val="48"/>
        </w:rPr>
      </w:pPr>
    </w:p>
    <w:p w14:paraId="36286061">
      <w:pPr>
        <w:spacing w:line="720" w:lineRule="auto"/>
        <w:ind w:firstLine="480"/>
        <w:rPr>
          <w:rFonts w:cs="Times New Roman"/>
        </w:rPr>
      </w:pPr>
    </w:p>
    <w:p w14:paraId="03F117E6">
      <w:pPr>
        <w:spacing w:line="720" w:lineRule="auto"/>
        <w:ind w:firstLine="480"/>
        <w:rPr>
          <w:rFonts w:cs="Times New Roman"/>
        </w:rPr>
      </w:pPr>
    </w:p>
    <w:p w14:paraId="3CC15C98">
      <w:pPr>
        <w:spacing w:line="720" w:lineRule="auto"/>
        <w:ind w:firstLine="480"/>
        <w:rPr>
          <w:rFonts w:cs="Times New Roman"/>
        </w:rPr>
      </w:pPr>
    </w:p>
    <w:p w14:paraId="46063644">
      <w:pPr>
        <w:spacing w:line="720" w:lineRule="auto"/>
        <w:ind w:firstLine="480"/>
        <w:rPr>
          <w:rFonts w:cs="Times New Roman"/>
        </w:rPr>
      </w:pPr>
    </w:p>
    <w:p w14:paraId="37284046">
      <w:pPr>
        <w:spacing w:line="720" w:lineRule="auto"/>
        <w:ind w:firstLine="480"/>
        <w:rPr>
          <w:rFonts w:cs="Times New Roman"/>
        </w:rPr>
      </w:pPr>
    </w:p>
    <w:p w14:paraId="3C958D18">
      <w:pPr>
        <w:spacing w:line="720" w:lineRule="auto"/>
        <w:ind w:firstLine="480"/>
        <w:rPr>
          <w:rFonts w:cs="Times New Roman"/>
        </w:rPr>
      </w:pPr>
    </w:p>
    <w:p w14:paraId="1E369878">
      <w:pPr>
        <w:spacing w:line="720" w:lineRule="auto"/>
        <w:ind w:firstLine="480"/>
        <w:rPr>
          <w:rFonts w:cs="Times New Roman"/>
        </w:rPr>
      </w:pPr>
    </w:p>
    <w:p w14:paraId="2F8401AC">
      <w:pPr>
        <w:spacing w:line="360" w:lineRule="auto"/>
        <w:ind w:firstLine="0" w:firstLineChars="0"/>
        <w:jc w:val="center"/>
        <w:rPr>
          <w:rFonts w:cs="Times New Roman"/>
          <w:b/>
          <w:bCs/>
          <w:sz w:val="30"/>
          <w:szCs w:val="30"/>
        </w:rPr>
      </w:pPr>
      <w:r>
        <w:rPr>
          <w:rFonts w:hint="eastAsia" w:cs="Times New Roman"/>
          <w:b/>
          <w:bCs/>
          <w:sz w:val="30"/>
          <w:szCs w:val="30"/>
        </w:rPr>
        <w:t>委托单位：</w:t>
      </w:r>
      <w:r>
        <w:rPr>
          <w:rFonts w:cs="Times New Roman"/>
          <w:b/>
          <w:bCs/>
          <w:sz w:val="30"/>
          <w:szCs w:val="30"/>
        </w:rPr>
        <w:t>江苏省金坛茅山旅游度假区管理办公室</w:t>
      </w:r>
    </w:p>
    <w:p w14:paraId="77766C9D">
      <w:pPr>
        <w:spacing w:line="360" w:lineRule="auto"/>
        <w:ind w:firstLine="0" w:firstLineChars="0"/>
        <w:jc w:val="center"/>
        <w:rPr>
          <w:rFonts w:cs="Times New Roman"/>
          <w:b/>
          <w:bCs/>
          <w:sz w:val="30"/>
          <w:szCs w:val="30"/>
        </w:rPr>
      </w:pPr>
      <w:r>
        <w:rPr>
          <w:rFonts w:hint="eastAsia" w:cs="Times New Roman"/>
          <w:b/>
          <w:bCs/>
          <w:sz w:val="30"/>
          <w:szCs w:val="30"/>
        </w:rPr>
        <w:t>编制单位：江苏龙衡环境科技有限公司</w:t>
      </w:r>
    </w:p>
    <w:p w14:paraId="32101B31">
      <w:pPr>
        <w:spacing w:line="360" w:lineRule="auto"/>
        <w:ind w:firstLine="0" w:firstLineChars="0"/>
        <w:jc w:val="center"/>
        <w:rPr>
          <w:b/>
          <w:bCs/>
        </w:rPr>
      </w:pPr>
      <w:r>
        <w:rPr>
          <w:rFonts w:cs="Times New Roman"/>
          <w:b/>
          <w:bCs/>
          <w:sz w:val="30"/>
          <w:szCs w:val="30"/>
        </w:rPr>
        <w:t>二</w:t>
      </w:r>
      <w:r>
        <w:rPr>
          <w:rFonts w:eastAsia="微软雅黑" w:cs="Times New Roman"/>
          <w:b/>
          <w:bCs/>
          <w:sz w:val="30"/>
          <w:szCs w:val="30"/>
        </w:rPr>
        <w:t>〇</w:t>
      </w:r>
      <w:r>
        <w:rPr>
          <w:rFonts w:cs="Times New Roman"/>
          <w:b/>
          <w:bCs/>
          <w:sz w:val="30"/>
          <w:szCs w:val="30"/>
        </w:rPr>
        <w:t>二</w:t>
      </w:r>
      <w:r>
        <w:rPr>
          <w:rFonts w:hint="eastAsia" w:cs="Times New Roman"/>
          <w:b/>
          <w:bCs/>
          <w:sz w:val="30"/>
          <w:szCs w:val="30"/>
        </w:rPr>
        <w:t>六</w:t>
      </w:r>
      <w:r>
        <w:rPr>
          <w:rFonts w:cs="Times New Roman"/>
          <w:b/>
          <w:bCs/>
          <w:sz w:val="30"/>
          <w:szCs w:val="30"/>
        </w:rPr>
        <w:t>年</w:t>
      </w:r>
      <w:r>
        <w:rPr>
          <w:rFonts w:hint="eastAsia" w:cs="Times New Roman"/>
          <w:b/>
          <w:bCs/>
          <w:sz w:val="30"/>
          <w:szCs w:val="30"/>
        </w:rPr>
        <w:t>一</w:t>
      </w:r>
      <w:r>
        <w:rPr>
          <w:rFonts w:cs="Times New Roman"/>
          <w:b/>
          <w:bCs/>
          <w:sz w:val="30"/>
          <w:szCs w:val="30"/>
        </w:rPr>
        <w:t>月</w:t>
      </w:r>
    </w:p>
    <w:p w14:paraId="2EF006EF">
      <w:pPr>
        <w:ind w:firstLine="480"/>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26" w:charSpace="0"/>
        </w:sectPr>
      </w:pPr>
    </w:p>
    <w:sdt>
      <w:sdtPr>
        <w:rPr>
          <w:rFonts w:ascii="Times New Roman" w:hAnsi="Times New Roman" w:eastAsia="仿宋_GB2312" w:cstheme="minorBidi"/>
          <w:color w:val="auto"/>
          <w:kern w:val="2"/>
          <w:sz w:val="24"/>
          <w:szCs w:val="22"/>
          <w:lang w:val="zh-CN"/>
          <w14:ligatures w14:val="standardContextual"/>
        </w:rPr>
        <w:id w:val="-1003125371"/>
        <w:docPartObj>
          <w:docPartGallery w:val="Table of Contents"/>
          <w:docPartUnique/>
        </w:docPartObj>
      </w:sdtPr>
      <w:sdtEndPr>
        <w:rPr>
          <w:rFonts w:ascii="Times New Roman" w:hAnsi="Times New Roman" w:eastAsia="仿宋_GB2312" w:cstheme="minorBidi"/>
          <w:color w:val="auto"/>
          <w:kern w:val="2"/>
          <w:sz w:val="24"/>
          <w:szCs w:val="22"/>
          <w:lang w:val="zh-CN"/>
          <w14:ligatures w14:val="standardContextual"/>
        </w:rPr>
      </w:sdtEndPr>
      <w:sdtContent>
        <w:p w14:paraId="4946DA63">
          <w:pPr>
            <w:pStyle w:val="101"/>
            <w:spacing w:before="0" w:line="240" w:lineRule="auto"/>
            <w:jc w:val="center"/>
            <w:rPr>
              <w:rFonts w:hint="eastAsia" w:ascii="仿宋_GB2312" w:hAnsi="黑体" w:eastAsia="仿宋_GB2312"/>
              <w:b/>
              <w:bCs/>
              <w:color w:val="auto"/>
            </w:rPr>
          </w:pPr>
          <w:bookmarkStart w:id="0" w:name="_Toc130026814"/>
          <w:bookmarkStart w:id="1" w:name="_Toc145543784"/>
          <w:r>
            <w:rPr>
              <w:rFonts w:hint="eastAsia" w:ascii="仿宋_GB2312" w:hAnsi="黑体" w:eastAsia="仿宋_GB2312"/>
              <w:b/>
              <w:bCs/>
              <w:color w:val="auto"/>
              <w:lang w:val="zh-CN"/>
            </w:rPr>
            <w:t>目 录</w:t>
          </w:r>
        </w:p>
        <w:p w14:paraId="4B18EDB4">
          <w:pPr>
            <w:pStyle w:val="17"/>
            <w:tabs>
              <w:tab w:val="right" w:leader="dot" w:pos="8296"/>
            </w:tabs>
            <w:spacing w:line="240" w:lineRule="auto"/>
            <w:ind w:firstLine="0" w:firstLineChars="0"/>
            <w:rPr>
              <w:rFonts w:hint="eastAsia" w:asciiTheme="minorHAnsi" w:hAnsiTheme="minorHAnsi" w:eastAsiaTheme="minorEastAsia"/>
              <w:sz w:val="22"/>
              <w:szCs w:val="24"/>
            </w:rPr>
          </w:pPr>
          <w:r>
            <w:rPr>
              <w:rFonts w:hint="eastAsia" w:ascii="仿宋" w:hAnsi="仿宋" w:eastAsia="仿宋" w:cs="仿宋"/>
              <w:sz w:val="22"/>
              <w:szCs w:val="21"/>
            </w:rPr>
            <w:fldChar w:fldCharType="begin"/>
          </w:r>
          <w:r>
            <w:rPr>
              <w:rFonts w:hint="eastAsia" w:ascii="仿宋" w:hAnsi="仿宋" w:eastAsia="仿宋" w:cs="仿宋"/>
              <w:sz w:val="22"/>
              <w:szCs w:val="21"/>
            </w:rPr>
            <w:instrText xml:space="preserve"> TOC \o "1-2" \h \z \u </w:instrText>
          </w:r>
          <w:r>
            <w:rPr>
              <w:rFonts w:hint="eastAsia" w:ascii="仿宋" w:hAnsi="仿宋" w:eastAsia="仿宋" w:cs="仿宋"/>
              <w:sz w:val="22"/>
              <w:szCs w:val="21"/>
            </w:rPr>
            <w:fldChar w:fldCharType="separate"/>
          </w:r>
          <w:r>
            <w:fldChar w:fldCharType="begin"/>
          </w:r>
          <w:r>
            <w:instrText xml:space="preserve"> HYPERLINK \l "_Toc217294026" </w:instrText>
          </w:r>
          <w:r>
            <w:fldChar w:fldCharType="separate"/>
          </w:r>
          <w:r>
            <w:rPr>
              <w:rStyle w:val="31"/>
              <w:rFonts w:hint="eastAsia"/>
            </w:rPr>
            <w:t>1总则</w:t>
          </w:r>
          <w:r>
            <w:rPr>
              <w:rFonts w:hint="eastAsia"/>
            </w:rPr>
            <w:tab/>
          </w:r>
          <w:r>
            <w:rPr>
              <w:rFonts w:hint="eastAsia"/>
            </w:rPr>
            <w:fldChar w:fldCharType="begin"/>
          </w:r>
          <w:r>
            <w:rPr>
              <w:rFonts w:hint="eastAsia"/>
            </w:rPr>
            <w:instrText xml:space="preserve"> </w:instrText>
          </w:r>
          <w:r>
            <w:instrText xml:space="preserve">PAGEREF _Toc217294026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1663EF28">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"_Toc217294027" </w:instrText>
          </w:r>
          <w:r>
            <w:fldChar w:fldCharType="separate"/>
          </w:r>
          <w:r>
            <w:rPr>
              <w:rStyle w:val="31"/>
              <w:rFonts w:hint="eastAsia" w:cs="Times New Roman"/>
            </w:rPr>
            <w:t>1.1任务由来</w:t>
          </w:r>
          <w:r>
            <w:rPr>
              <w:rFonts w:hint="eastAsia"/>
            </w:rPr>
            <w:tab/>
          </w:r>
          <w:r>
            <w:rPr>
              <w:rFonts w:hint="eastAsia"/>
            </w:rPr>
            <w:fldChar w:fldCharType="begin"/>
          </w:r>
          <w:r>
            <w:rPr>
              <w:rFonts w:hint="eastAsia"/>
            </w:rPr>
            <w:instrText xml:space="preserve"> </w:instrText>
          </w:r>
          <w:r>
            <w:instrText xml:space="preserve">PAGEREF _Toc217294027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12DA8011">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"_Toc217294028" </w:instrText>
          </w:r>
          <w:r>
            <w:fldChar w:fldCharType="separate"/>
          </w:r>
          <w:r>
            <w:rPr>
              <w:rStyle w:val="31"/>
              <w:rFonts w:hint="eastAsia" w:cs="Times New Roman"/>
            </w:rPr>
            <w:t>1.2编制依据</w:t>
          </w:r>
          <w:r>
            <w:rPr>
              <w:rFonts w:hint="eastAsia"/>
            </w:rPr>
            <w:tab/>
          </w:r>
          <w:r>
            <w:rPr>
              <w:rFonts w:hint="eastAsia"/>
            </w:rPr>
            <w:fldChar w:fldCharType="begin"/>
          </w:r>
          <w:r>
            <w:rPr>
              <w:rFonts w:hint="eastAsia"/>
            </w:rPr>
            <w:instrText xml:space="preserve"> </w:instrText>
          </w:r>
          <w:r>
            <w:instrText xml:space="preserve">PAGEREF _Toc217294028 \h</w:instrText>
          </w:r>
          <w:r>
            <w:rPr>
              <w:rFonts w:hint="eastAsia"/>
            </w:rPr>
            <w:instrText xml:space="preserve"> </w:instrText>
          </w:r>
          <w:r>
            <w:rPr>
              <w:rFonts w:hint="eastAsia"/>
            </w:rPr>
            <w:fldChar w:fldCharType="separate"/>
          </w:r>
          <w:r>
            <w:t>3</w:t>
          </w:r>
          <w:r>
            <w:rPr>
              <w:rFonts w:hint="eastAsia"/>
            </w:rPr>
            <w:fldChar w:fldCharType="end"/>
          </w:r>
          <w:r>
            <w:rPr>
              <w:rFonts w:hint="eastAsia"/>
            </w:rPr>
            <w:fldChar w:fldCharType="end"/>
          </w:r>
        </w:p>
        <w:p w14:paraId="636FB7EF">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"_Toc217294029" </w:instrText>
          </w:r>
          <w:r>
            <w:fldChar w:fldCharType="separate"/>
          </w:r>
          <w:r>
            <w:rPr>
              <w:rStyle w:val="31"/>
              <w:rFonts w:hint="eastAsia" w:cs="Times New Roman"/>
            </w:rPr>
            <w:t>1.3评价目的与原则</w:t>
          </w:r>
          <w:r>
            <w:rPr>
              <w:rFonts w:hint="eastAsia"/>
            </w:rPr>
            <w:tab/>
          </w:r>
          <w:r>
            <w:rPr>
              <w:rFonts w:hint="eastAsia"/>
            </w:rPr>
            <w:fldChar w:fldCharType="begin"/>
          </w:r>
          <w:r>
            <w:rPr>
              <w:rFonts w:hint="eastAsia"/>
            </w:rPr>
            <w:instrText xml:space="preserve"> </w:instrText>
          </w:r>
          <w:r>
            <w:instrText xml:space="preserve">PAGEREF _Toc217294029 \h</w:instrText>
          </w:r>
          <w:r>
            <w:rPr>
              <w:rFonts w:hint="eastAsia"/>
            </w:rPr>
            <w:instrText xml:space="preserve"> </w:instrText>
          </w:r>
          <w:r>
            <w:rPr>
              <w:rFonts w:hint="eastAsia"/>
            </w:rPr>
            <w:fldChar w:fldCharType="separate"/>
          </w:r>
          <w:r>
            <w:t>12</w:t>
          </w:r>
          <w:r>
            <w:rPr>
              <w:rFonts w:hint="eastAsia"/>
            </w:rPr>
            <w:fldChar w:fldCharType="end"/>
          </w:r>
          <w:r>
            <w:rPr>
              <w:rFonts w:hint="eastAsia"/>
            </w:rPr>
            <w:fldChar w:fldCharType="end"/>
          </w:r>
        </w:p>
        <w:p w14:paraId="4FF028A9">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"_Toc217294030" </w:instrText>
          </w:r>
          <w:r>
            <w:fldChar w:fldCharType="separate"/>
          </w:r>
          <w:r>
            <w:rPr>
              <w:rStyle w:val="31"/>
              <w:rFonts w:hint="eastAsia" w:cs="Times New Roman"/>
            </w:rPr>
            <w:t>1.4评价范围</w:t>
          </w:r>
          <w:r>
            <w:rPr>
              <w:rFonts w:hint="eastAsia"/>
            </w:rPr>
            <w:tab/>
          </w:r>
          <w:r>
            <w:rPr>
              <w:rFonts w:hint="eastAsia"/>
            </w:rPr>
            <w:fldChar w:fldCharType="begin"/>
          </w:r>
          <w:r>
            <w:rPr>
              <w:rFonts w:hint="eastAsia"/>
            </w:rPr>
            <w:instrText xml:space="preserve"> </w:instrText>
          </w:r>
          <w:r>
            <w:instrText xml:space="preserve">PAGEREF _Toc217294030 \h</w:instrText>
          </w:r>
          <w:r>
            <w:rPr>
              <w:rFonts w:hint="eastAsia"/>
            </w:rPr>
            <w:instrText xml:space="preserve"> </w:instrText>
          </w:r>
          <w:r>
            <w:rPr>
              <w:rFonts w:hint="eastAsia"/>
            </w:rPr>
            <w:fldChar w:fldCharType="separate"/>
          </w:r>
          <w:r>
            <w:t>13</w:t>
          </w:r>
          <w:r>
            <w:rPr>
              <w:rFonts w:hint="eastAsia"/>
            </w:rPr>
            <w:fldChar w:fldCharType="end"/>
          </w:r>
          <w:r>
            <w:rPr>
              <w:rFonts w:hint="eastAsia"/>
            </w:rPr>
            <w:fldChar w:fldCharType="end"/>
          </w:r>
        </w:p>
        <w:p w14:paraId="4B54B742">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"_Toc217294031" </w:instrText>
          </w:r>
          <w:r>
            <w:fldChar w:fldCharType="separate"/>
          </w:r>
          <w:r>
            <w:rPr>
              <w:rStyle w:val="31"/>
              <w:rFonts w:hint="eastAsia" w:cs="Times New Roman"/>
            </w:rPr>
            <w:t>1.5评价重点和评价因子</w:t>
          </w:r>
          <w:r>
            <w:rPr>
              <w:rFonts w:hint="eastAsia"/>
            </w:rPr>
            <w:tab/>
          </w:r>
          <w:r>
            <w:rPr>
              <w:rFonts w:hint="eastAsia"/>
            </w:rPr>
            <w:fldChar w:fldCharType="begin"/>
          </w:r>
          <w:r>
            <w:rPr>
              <w:rFonts w:hint="eastAsia"/>
            </w:rPr>
            <w:instrText xml:space="preserve"> </w:instrText>
          </w:r>
          <w:r>
            <w:instrText xml:space="preserve">PAGEREF _Toc217294031 \h</w:instrText>
          </w:r>
          <w:r>
            <w:rPr>
              <w:rFonts w:hint="eastAsia"/>
            </w:rPr>
            <w:instrText xml:space="preserve"> </w:instrText>
          </w:r>
          <w:r>
            <w:rPr>
              <w:rFonts w:hint="eastAsia"/>
            </w:rPr>
            <w:fldChar w:fldCharType="separate"/>
          </w:r>
          <w:r>
            <w:t>14</w:t>
          </w:r>
          <w:r>
            <w:rPr>
              <w:rFonts w:hint="eastAsia"/>
            </w:rPr>
            <w:fldChar w:fldCharType="end"/>
          </w:r>
          <w:r>
            <w:rPr>
              <w:rFonts w:hint="eastAsia"/>
            </w:rPr>
            <w:fldChar w:fldCharType="end"/>
          </w:r>
        </w:p>
        <w:p w14:paraId="0C072CFB">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"_Toc217294032" </w:instrText>
          </w:r>
          <w:r>
            <w:fldChar w:fldCharType="separate"/>
          </w:r>
          <w:r>
            <w:rPr>
              <w:rStyle w:val="31"/>
              <w:rFonts w:hint="eastAsia" w:cs="Times New Roman"/>
            </w:rPr>
            <w:t>1.6环境功能区划</w:t>
          </w:r>
          <w:r>
            <w:rPr>
              <w:rFonts w:hint="eastAsia"/>
            </w:rPr>
            <w:tab/>
          </w:r>
          <w:r>
            <w:rPr>
              <w:rFonts w:hint="eastAsia"/>
            </w:rPr>
            <w:fldChar w:fldCharType="begin"/>
          </w:r>
          <w:r>
            <w:rPr>
              <w:rFonts w:hint="eastAsia"/>
            </w:rPr>
            <w:instrText xml:space="preserve"> </w:instrText>
          </w:r>
          <w:r>
            <w:instrText xml:space="preserve">PAGEREF _Toc217294032 \h</w:instrText>
          </w:r>
          <w:r>
            <w:rPr>
              <w:rFonts w:hint="eastAsia"/>
            </w:rPr>
            <w:instrText xml:space="preserve"> </w:instrText>
          </w:r>
          <w:r>
            <w:rPr>
              <w:rFonts w:hint="eastAsia"/>
            </w:rPr>
            <w:fldChar w:fldCharType="separate"/>
          </w:r>
          <w:r>
            <w:t>16</w:t>
          </w:r>
          <w:r>
            <w:rPr>
              <w:rFonts w:hint="eastAsia"/>
            </w:rPr>
            <w:fldChar w:fldCharType="end"/>
          </w:r>
          <w:r>
            <w:rPr>
              <w:rFonts w:hint="eastAsia"/>
            </w:rPr>
            <w:fldChar w:fldCharType="end"/>
          </w:r>
        </w:p>
        <w:p w14:paraId="0A555009">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"_Toc217294033" </w:instrText>
          </w:r>
          <w:r>
            <w:fldChar w:fldCharType="separate"/>
          </w:r>
          <w:r>
            <w:rPr>
              <w:rStyle w:val="31"/>
              <w:rFonts w:hint="eastAsia" w:cs="Times New Roman"/>
            </w:rPr>
            <w:t>1.7评价标准</w:t>
          </w:r>
          <w:r>
            <w:rPr>
              <w:rFonts w:hint="eastAsia"/>
            </w:rPr>
            <w:tab/>
          </w:r>
          <w:r>
            <w:rPr>
              <w:rFonts w:hint="eastAsia"/>
            </w:rPr>
            <w:fldChar w:fldCharType="begin"/>
          </w:r>
          <w:r>
            <w:rPr>
              <w:rFonts w:hint="eastAsia"/>
            </w:rPr>
            <w:instrText xml:space="preserve"> </w:instrText>
          </w:r>
          <w:r>
            <w:instrText xml:space="preserve">PAGEREF _Toc217294033 \h</w:instrText>
          </w:r>
          <w:r>
            <w:rPr>
              <w:rFonts w:hint="eastAsia"/>
            </w:rPr>
            <w:instrText xml:space="preserve"> </w:instrText>
          </w:r>
          <w:r>
            <w:rPr>
              <w:rFonts w:hint="eastAsia"/>
            </w:rPr>
            <w:fldChar w:fldCharType="separate"/>
          </w:r>
          <w:r>
            <w:t>18</w:t>
          </w:r>
          <w:r>
            <w:rPr>
              <w:rFonts w:hint="eastAsia"/>
            </w:rPr>
            <w:fldChar w:fldCharType="end"/>
          </w:r>
          <w:r>
            <w:rPr>
              <w:rFonts w:hint="eastAsia"/>
            </w:rPr>
            <w:fldChar w:fldCharType="end"/>
          </w:r>
        </w:p>
        <w:p w14:paraId="05EC1B40">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"_Toc217294034" </w:instrText>
          </w:r>
          <w:r>
            <w:fldChar w:fldCharType="separate"/>
          </w:r>
          <w:r>
            <w:rPr>
              <w:rStyle w:val="31"/>
              <w:rFonts w:hint="eastAsia" w:cs="Times New Roman"/>
            </w:rPr>
            <w:t>1.8环境保护目标</w:t>
          </w:r>
          <w:r>
            <w:rPr>
              <w:rFonts w:hint="eastAsia"/>
            </w:rPr>
            <w:tab/>
          </w:r>
          <w:r>
            <w:rPr>
              <w:rFonts w:hint="eastAsia"/>
            </w:rPr>
            <w:fldChar w:fldCharType="begin"/>
          </w:r>
          <w:r>
            <w:rPr>
              <w:rFonts w:hint="eastAsia"/>
            </w:rPr>
            <w:instrText xml:space="preserve"> </w:instrText>
          </w:r>
          <w:r>
            <w:instrText xml:space="preserve">PAGEREF _Toc217294034 \h</w:instrText>
          </w:r>
          <w:r>
            <w:rPr>
              <w:rFonts w:hint="eastAsia"/>
            </w:rPr>
            <w:instrText xml:space="preserve"> </w:instrText>
          </w:r>
          <w:r>
            <w:rPr>
              <w:rFonts w:hint="eastAsia"/>
            </w:rPr>
            <w:fldChar w:fldCharType="separate"/>
          </w:r>
          <w:r>
            <w:t>29</w:t>
          </w:r>
          <w:r>
            <w:rPr>
              <w:rFonts w:hint="eastAsia"/>
            </w:rPr>
            <w:fldChar w:fldCharType="end"/>
          </w:r>
          <w:r>
            <w:rPr>
              <w:rFonts w:hint="eastAsia"/>
            </w:rPr>
            <w:fldChar w:fldCharType="end"/>
          </w:r>
        </w:p>
        <w:p w14:paraId="4DDE1FA5">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"_Toc217294035" </w:instrText>
          </w:r>
          <w:r>
            <w:fldChar w:fldCharType="separate"/>
          </w:r>
          <w:r>
            <w:rPr>
              <w:rStyle w:val="31"/>
              <w:rFonts w:hint="eastAsia" w:cs="Times New Roman"/>
            </w:rPr>
            <w:t>1.9评价流程</w:t>
          </w:r>
          <w:r>
            <w:rPr>
              <w:rFonts w:hint="eastAsia"/>
            </w:rPr>
            <w:tab/>
          </w:r>
          <w:r>
            <w:rPr>
              <w:rFonts w:hint="eastAsia"/>
            </w:rPr>
            <w:fldChar w:fldCharType="begin"/>
          </w:r>
          <w:r>
            <w:rPr>
              <w:rFonts w:hint="eastAsia"/>
            </w:rPr>
            <w:instrText xml:space="preserve"> </w:instrText>
          </w:r>
          <w:r>
            <w:instrText xml:space="preserve">PAGEREF _Toc217294035 \h</w:instrText>
          </w:r>
          <w:r>
            <w:rPr>
              <w:rFonts w:hint="eastAsia"/>
            </w:rPr>
            <w:instrText xml:space="preserve"> </w:instrText>
          </w:r>
          <w:r>
            <w:rPr>
              <w:rFonts w:hint="eastAsia"/>
            </w:rPr>
            <w:fldChar w:fldCharType="separate"/>
          </w:r>
          <w:r>
            <w:t>65</w:t>
          </w:r>
          <w:r>
            <w:rPr>
              <w:rFonts w:hint="eastAsia"/>
            </w:rPr>
            <w:fldChar w:fldCharType="end"/>
          </w:r>
          <w:r>
            <w:rPr>
              <w:rFonts w:hint="eastAsia"/>
            </w:rPr>
            <w:fldChar w:fldCharType="end"/>
          </w:r>
        </w:p>
        <w:p w14:paraId="5D70DC06">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"_Toc217294036" </w:instrText>
          </w:r>
          <w:r>
            <w:fldChar w:fldCharType="separate"/>
          </w:r>
          <w:r>
            <w:rPr>
              <w:rStyle w:val="31"/>
              <w:rFonts w:hint="eastAsia"/>
            </w:rPr>
            <w:t>2规划分析</w:t>
          </w:r>
          <w:r>
            <w:rPr>
              <w:rFonts w:hint="eastAsia"/>
            </w:rPr>
            <w:tab/>
          </w:r>
          <w:r>
            <w:rPr>
              <w:rFonts w:hint="eastAsia"/>
            </w:rPr>
            <w:fldChar w:fldCharType="begin"/>
          </w:r>
          <w:r>
            <w:rPr>
              <w:rFonts w:hint="eastAsia"/>
            </w:rPr>
            <w:instrText xml:space="preserve"> </w:instrText>
          </w:r>
          <w:r>
            <w:instrText xml:space="preserve">PAGEREF _Toc217294036 \h</w:instrText>
          </w:r>
          <w:r>
            <w:rPr>
              <w:rFonts w:hint="eastAsia"/>
            </w:rPr>
            <w:instrText xml:space="preserve"> </w:instrText>
          </w:r>
          <w:r>
            <w:rPr>
              <w:rFonts w:hint="eastAsia"/>
            </w:rPr>
            <w:fldChar w:fldCharType="separate"/>
          </w:r>
          <w:r>
            <w:t>67</w:t>
          </w:r>
          <w:r>
            <w:rPr>
              <w:rFonts w:hint="eastAsia"/>
            </w:rPr>
            <w:fldChar w:fldCharType="end"/>
          </w:r>
          <w:r>
            <w:rPr>
              <w:rFonts w:hint="eastAsia"/>
            </w:rPr>
            <w:fldChar w:fldCharType="end"/>
          </w:r>
        </w:p>
        <w:p w14:paraId="4DB5BF46">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"_Toc217294037" </w:instrText>
          </w:r>
          <w:r>
            <w:fldChar w:fldCharType="separate"/>
          </w:r>
          <w:r>
            <w:rPr>
              <w:rStyle w:val="31"/>
              <w:rFonts w:hint="eastAsia" w:cs="Times New Roman"/>
            </w:rPr>
            <w:t>2.1规划概述</w:t>
          </w:r>
          <w:r>
            <w:rPr>
              <w:rFonts w:hint="eastAsia"/>
            </w:rPr>
            <w:tab/>
          </w:r>
          <w:r>
            <w:rPr>
              <w:rFonts w:hint="eastAsia"/>
            </w:rPr>
            <w:fldChar w:fldCharType="begin"/>
          </w:r>
          <w:r>
            <w:rPr>
              <w:rFonts w:hint="eastAsia"/>
            </w:rPr>
            <w:instrText xml:space="preserve"> </w:instrText>
          </w:r>
          <w:r>
            <w:instrText xml:space="preserve">PAGEREF _Toc217294037 \h</w:instrText>
          </w:r>
          <w:r>
            <w:rPr>
              <w:rFonts w:hint="eastAsia"/>
            </w:rPr>
            <w:instrText xml:space="preserve"> </w:instrText>
          </w:r>
          <w:r>
            <w:rPr>
              <w:rFonts w:hint="eastAsia"/>
            </w:rPr>
            <w:fldChar w:fldCharType="separate"/>
          </w:r>
          <w:r>
            <w:t>67</w:t>
          </w:r>
          <w:r>
            <w:rPr>
              <w:rFonts w:hint="eastAsia"/>
            </w:rPr>
            <w:fldChar w:fldCharType="end"/>
          </w:r>
          <w:r>
            <w:rPr>
              <w:rFonts w:hint="eastAsia"/>
            </w:rPr>
            <w:fldChar w:fldCharType="end"/>
          </w:r>
        </w:p>
        <w:p w14:paraId="5077CC40">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"_Toc217294038" </w:instrText>
          </w:r>
          <w:r>
            <w:fldChar w:fldCharType="separate"/>
          </w:r>
          <w:r>
            <w:rPr>
              <w:rStyle w:val="31"/>
              <w:rFonts w:hint="eastAsia" w:cs="Times New Roman"/>
            </w:rPr>
            <w:t>2.2规划环评与规划全程互动情况</w:t>
          </w:r>
          <w:r>
            <w:rPr>
              <w:rFonts w:hint="eastAsia"/>
            </w:rPr>
            <w:tab/>
          </w:r>
          <w:r>
            <w:rPr>
              <w:rFonts w:hint="eastAsia"/>
            </w:rPr>
            <w:fldChar w:fldCharType="begin"/>
          </w:r>
          <w:r>
            <w:rPr>
              <w:rFonts w:hint="eastAsia"/>
            </w:rPr>
            <w:instrText xml:space="preserve"> </w:instrText>
          </w:r>
          <w:r>
            <w:instrText xml:space="preserve">PAGEREF _Toc217294038 \h</w:instrText>
          </w:r>
          <w:r>
            <w:rPr>
              <w:rFonts w:hint="eastAsia"/>
            </w:rPr>
            <w:instrText xml:space="preserve"> </w:instrText>
          </w:r>
          <w:r>
            <w:rPr>
              <w:rFonts w:hint="eastAsia"/>
            </w:rPr>
            <w:fldChar w:fldCharType="separate"/>
          </w:r>
          <w:r>
            <w:t>96</w:t>
          </w:r>
          <w:r>
            <w:rPr>
              <w:rFonts w:hint="eastAsia"/>
            </w:rPr>
            <w:fldChar w:fldCharType="end"/>
          </w:r>
          <w:r>
            <w:rPr>
              <w:rFonts w:hint="eastAsia"/>
            </w:rPr>
            <w:fldChar w:fldCharType="end"/>
          </w:r>
        </w:p>
        <w:p w14:paraId="1EE39BB4">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"_Toc217294039" </w:instrText>
          </w:r>
          <w:r>
            <w:fldChar w:fldCharType="separate"/>
          </w:r>
          <w:r>
            <w:rPr>
              <w:rStyle w:val="31"/>
              <w:rFonts w:hint="eastAsia" w:cs="Times New Roman"/>
            </w:rPr>
            <w:t>2.3规划相符性分析</w:t>
          </w:r>
          <w:r>
            <w:rPr>
              <w:rFonts w:hint="eastAsia"/>
            </w:rPr>
            <w:tab/>
          </w:r>
          <w:r>
            <w:rPr>
              <w:rFonts w:hint="eastAsia"/>
            </w:rPr>
            <w:fldChar w:fldCharType="begin"/>
          </w:r>
          <w:r>
            <w:rPr>
              <w:rFonts w:hint="eastAsia"/>
            </w:rPr>
            <w:instrText xml:space="preserve"> </w:instrText>
          </w:r>
          <w:r>
            <w:instrText xml:space="preserve">PAGEREF _Toc217294039 \h</w:instrText>
          </w:r>
          <w:r>
            <w:rPr>
              <w:rFonts w:hint="eastAsia"/>
            </w:rPr>
            <w:instrText xml:space="preserve"> </w:instrText>
          </w:r>
          <w:r>
            <w:rPr>
              <w:rFonts w:hint="eastAsia"/>
            </w:rPr>
            <w:fldChar w:fldCharType="separate"/>
          </w:r>
          <w:r>
            <w:t>97</w:t>
          </w:r>
          <w:r>
            <w:rPr>
              <w:rFonts w:hint="eastAsia"/>
            </w:rPr>
            <w:fldChar w:fldCharType="end"/>
          </w:r>
          <w:r>
            <w:rPr>
              <w:rFonts w:hint="eastAsia"/>
            </w:rPr>
            <w:fldChar w:fldCharType="end"/>
          </w:r>
        </w:p>
        <w:p w14:paraId="1CD903D0">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"_Toc217294040" </w:instrText>
          </w:r>
          <w:r>
            <w:fldChar w:fldCharType="separate"/>
          </w:r>
          <w:r>
            <w:rPr>
              <w:rStyle w:val="31"/>
              <w:rFonts w:hint="eastAsia"/>
            </w:rPr>
            <w:t>3现状调查与评价</w:t>
          </w:r>
          <w:r>
            <w:rPr>
              <w:rFonts w:hint="eastAsia"/>
            </w:rPr>
            <w:tab/>
          </w:r>
          <w:r>
            <w:rPr>
              <w:rFonts w:hint="eastAsia"/>
            </w:rPr>
            <w:fldChar w:fldCharType="begin"/>
          </w:r>
          <w:r>
            <w:rPr>
              <w:rFonts w:hint="eastAsia"/>
            </w:rPr>
            <w:instrText xml:space="preserve"> </w:instrText>
          </w:r>
          <w:r>
            <w:instrText xml:space="preserve">PAGEREF _Toc217294040 \h</w:instrText>
          </w:r>
          <w:r>
            <w:rPr>
              <w:rFonts w:hint="eastAsia"/>
            </w:rPr>
            <w:instrText xml:space="preserve"> </w:instrText>
          </w:r>
          <w:r>
            <w:rPr>
              <w:rFonts w:hint="eastAsia"/>
            </w:rPr>
            <w:fldChar w:fldCharType="separate"/>
          </w:r>
          <w:r>
            <w:t>163</w:t>
          </w:r>
          <w:r>
            <w:rPr>
              <w:rFonts w:hint="eastAsia"/>
            </w:rPr>
            <w:fldChar w:fldCharType="end"/>
          </w:r>
          <w:r>
            <w:rPr>
              <w:rFonts w:hint="eastAsia"/>
            </w:rPr>
            <w:fldChar w:fldCharType="end"/>
          </w:r>
        </w:p>
        <w:p w14:paraId="4C73F79C">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"_Toc217294041" </w:instrText>
          </w:r>
          <w:r>
            <w:fldChar w:fldCharType="separate"/>
          </w:r>
          <w:r>
            <w:rPr>
              <w:rStyle w:val="31"/>
              <w:rFonts w:hint="eastAsia" w:cs="Times New Roman"/>
            </w:rPr>
            <w:t>3.1自然环境概况</w:t>
          </w:r>
          <w:r>
            <w:rPr>
              <w:rFonts w:hint="eastAsia"/>
            </w:rPr>
            <w:tab/>
          </w:r>
          <w:r>
            <w:rPr>
              <w:rFonts w:hint="eastAsia"/>
            </w:rPr>
            <w:fldChar w:fldCharType="begin"/>
          </w:r>
          <w:r>
            <w:rPr>
              <w:rFonts w:hint="eastAsia"/>
            </w:rPr>
            <w:instrText xml:space="preserve"> </w:instrText>
          </w:r>
          <w:r>
            <w:instrText xml:space="preserve">PAGEREF _Toc217294041 \h</w:instrText>
          </w:r>
          <w:r>
            <w:rPr>
              <w:rFonts w:hint="eastAsia"/>
            </w:rPr>
            <w:instrText xml:space="preserve"> </w:instrText>
          </w:r>
          <w:r>
            <w:rPr>
              <w:rFonts w:hint="eastAsia"/>
            </w:rPr>
            <w:fldChar w:fldCharType="separate"/>
          </w:r>
          <w:r>
            <w:t>163</w:t>
          </w:r>
          <w:r>
            <w:rPr>
              <w:rFonts w:hint="eastAsia"/>
            </w:rPr>
            <w:fldChar w:fldCharType="end"/>
          </w:r>
          <w:r>
            <w:rPr>
              <w:rFonts w:hint="eastAsia"/>
            </w:rPr>
            <w:fldChar w:fldCharType="end"/>
          </w:r>
        </w:p>
        <w:p w14:paraId="17EF0C97">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"_Toc217294042" </w:instrText>
          </w:r>
          <w:r>
            <w:fldChar w:fldCharType="separate"/>
          </w:r>
          <w:r>
            <w:rPr>
              <w:rStyle w:val="31"/>
              <w:rFonts w:hint="eastAsia" w:cs="Times New Roman"/>
            </w:rPr>
            <w:t>3.2社会经济概况</w:t>
          </w:r>
          <w:r>
            <w:rPr>
              <w:rFonts w:hint="eastAsia"/>
            </w:rPr>
            <w:tab/>
          </w:r>
          <w:r>
            <w:rPr>
              <w:rFonts w:hint="eastAsia"/>
            </w:rPr>
            <w:fldChar w:fldCharType="begin"/>
          </w:r>
          <w:r>
            <w:rPr>
              <w:rFonts w:hint="eastAsia"/>
            </w:rPr>
            <w:instrText xml:space="preserve"> </w:instrText>
          </w:r>
          <w:r>
            <w:instrText xml:space="preserve">PAGEREF _Toc217294042 \h</w:instrText>
          </w:r>
          <w:r>
            <w:rPr>
              <w:rFonts w:hint="eastAsia"/>
            </w:rPr>
            <w:instrText xml:space="preserve"> </w:instrText>
          </w:r>
          <w:r>
            <w:rPr>
              <w:rFonts w:hint="eastAsia"/>
            </w:rPr>
            <w:fldChar w:fldCharType="separate"/>
          </w:r>
          <w:r>
            <w:t>165</w:t>
          </w:r>
          <w:r>
            <w:rPr>
              <w:rFonts w:hint="eastAsia"/>
            </w:rPr>
            <w:fldChar w:fldCharType="end"/>
          </w:r>
          <w:r>
            <w:rPr>
              <w:rFonts w:hint="eastAsia"/>
            </w:rPr>
            <w:fldChar w:fldCharType="end"/>
          </w:r>
        </w:p>
        <w:p w14:paraId="48C2CC6E">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"_Toc217294043" </w:instrText>
          </w:r>
          <w:r>
            <w:fldChar w:fldCharType="separate"/>
          </w:r>
          <w:r>
            <w:rPr>
              <w:rStyle w:val="31"/>
              <w:rFonts w:hint="eastAsia" w:cs="Times New Roman"/>
            </w:rPr>
            <w:t>3.3资源开发利用现状调查</w:t>
          </w:r>
          <w:r>
            <w:rPr>
              <w:rFonts w:hint="eastAsia"/>
            </w:rPr>
            <w:tab/>
          </w:r>
          <w:r>
            <w:rPr>
              <w:rFonts w:hint="eastAsia"/>
            </w:rPr>
            <w:fldChar w:fldCharType="begin"/>
          </w:r>
          <w:r>
            <w:rPr>
              <w:rFonts w:hint="eastAsia"/>
            </w:rPr>
            <w:instrText xml:space="preserve"> </w:instrText>
          </w:r>
          <w:r>
            <w:instrText xml:space="preserve">PAGEREF _Toc217294043 \h</w:instrText>
          </w:r>
          <w:r>
            <w:rPr>
              <w:rFonts w:hint="eastAsia"/>
            </w:rPr>
            <w:instrText xml:space="preserve"> </w:instrText>
          </w:r>
          <w:r>
            <w:rPr>
              <w:rFonts w:hint="eastAsia"/>
            </w:rPr>
            <w:fldChar w:fldCharType="separate"/>
          </w:r>
          <w:r>
            <w:t>166</w:t>
          </w:r>
          <w:r>
            <w:rPr>
              <w:rFonts w:hint="eastAsia"/>
            </w:rPr>
            <w:fldChar w:fldCharType="end"/>
          </w:r>
          <w:r>
            <w:rPr>
              <w:rFonts w:hint="eastAsia"/>
            </w:rPr>
            <w:fldChar w:fldCharType="end"/>
          </w:r>
        </w:p>
        <w:p w14:paraId="74296E0D">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"_Toc217294044" </w:instrText>
          </w:r>
          <w:r>
            <w:fldChar w:fldCharType="separate"/>
          </w:r>
          <w:r>
            <w:rPr>
              <w:rStyle w:val="31"/>
              <w:rFonts w:hint="eastAsia" w:cs="Times New Roman"/>
            </w:rPr>
            <w:t>3.4度假区开发现状调查</w:t>
          </w:r>
          <w:r>
            <w:rPr>
              <w:rFonts w:hint="eastAsia"/>
            </w:rPr>
            <w:tab/>
          </w:r>
          <w:r>
            <w:rPr>
              <w:rFonts w:hint="eastAsia"/>
            </w:rPr>
            <w:fldChar w:fldCharType="begin"/>
          </w:r>
          <w:r>
            <w:rPr>
              <w:rFonts w:hint="eastAsia"/>
            </w:rPr>
            <w:instrText xml:space="preserve"> </w:instrText>
          </w:r>
          <w:r>
            <w:instrText xml:space="preserve">PAGEREF _Toc217294044 \h</w:instrText>
          </w:r>
          <w:r>
            <w:rPr>
              <w:rFonts w:hint="eastAsia"/>
            </w:rPr>
            <w:instrText xml:space="preserve"> </w:instrText>
          </w:r>
          <w:r>
            <w:rPr>
              <w:rFonts w:hint="eastAsia"/>
            </w:rPr>
            <w:fldChar w:fldCharType="separate"/>
          </w:r>
          <w:r>
            <w:t>174</w:t>
          </w:r>
          <w:r>
            <w:rPr>
              <w:rFonts w:hint="eastAsia"/>
            </w:rPr>
            <w:fldChar w:fldCharType="end"/>
          </w:r>
          <w:r>
            <w:rPr>
              <w:rFonts w:hint="eastAsia"/>
            </w:rPr>
            <w:fldChar w:fldCharType="end"/>
          </w:r>
        </w:p>
        <w:p w14:paraId="746FDD9C">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"_Toc217294045" </w:instrText>
          </w:r>
          <w:r>
            <w:fldChar w:fldCharType="separate"/>
          </w:r>
          <w:r>
            <w:rPr>
              <w:rStyle w:val="31"/>
              <w:rFonts w:hint="eastAsia" w:cs="Times New Roman"/>
            </w:rPr>
            <w:t>3.5环境质量现状调查与评价</w:t>
          </w:r>
          <w:r>
            <w:rPr>
              <w:rFonts w:hint="eastAsia"/>
            </w:rPr>
            <w:tab/>
          </w:r>
          <w:r>
            <w:rPr>
              <w:rFonts w:hint="eastAsia"/>
            </w:rPr>
            <w:fldChar w:fldCharType="begin"/>
          </w:r>
          <w:r>
            <w:rPr>
              <w:rFonts w:hint="eastAsia"/>
            </w:rPr>
            <w:instrText xml:space="preserve"> </w:instrText>
          </w:r>
          <w:r>
            <w:instrText xml:space="preserve">PAGEREF _Toc217294045 \h</w:instrText>
          </w:r>
          <w:r>
            <w:rPr>
              <w:rFonts w:hint="eastAsia"/>
            </w:rPr>
            <w:instrText xml:space="preserve"> </w:instrText>
          </w:r>
          <w:r>
            <w:rPr>
              <w:rFonts w:hint="eastAsia"/>
            </w:rPr>
            <w:fldChar w:fldCharType="separate"/>
          </w:r>
          <w:r>
            <w:t>218</w:t>
          </w:r>
          <w:r>
            <w:rPr>
              <w:rFonts w:hint="eastAsia"/>
            </w:rPr>
            <w:fldChar w:fldCharType="end"/>
          </w:r>
          <w:r>
            <w:rPr>
              <w:rFonts w:hint="eastAsia"/>
            </w:rPr>
            <w:fldChar w:fldCharType="end"/>
          </w:r>
        </w:p>
        <w:p w14:paraId="0295914D">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"_Toc217294046" </w:instrText>
          </w:r>
          <w:r>
            <w:fldChar w:fldCharType="separate"/>
          </w:r>
          <w:r>
            <w:rPr>
              <w:rStyle w:val="31"/>
              <w:rFonts w:hint="eastAsia" w:cs="Times New Roman"/>
            </w:rPr>
            <w:t>3.6生态环境现状调查</w:t>
          </w:r>
          <w:r>
            <w:rPr>
              <w:rFonts w:hint="eastAsia"/>
            </w:rPr>
            <w:tab/>
          </w:r>
          <w:r>
            <w:rPr>
              <w:rFonts w:hint="eastAsia"/>
            </w:rPr>
            <w:fldChar w:fldCharType="begin"/>
          </w:r>
          <w:r>
            <w:rPr>
              <w:rFonts w:hint="eastAsia"/>
            </w:rPr>
            <w:instrText xml:space="preserve"> </w:instrText>
          </w:r>
          <w:r>
            <w:instrText xml:space="preserve">PAGEREF _Toc217294046 \h</w:instrText>
          </w:r>
          <w:r>
            <w:rPr>
              <w:rFonts w:hint="eastAsia"/>
            </w:rPr>
            <w:instrText xml:space="preserve"> </w:instrText>
          </w:r>
          <w:r>
            <w:rPr>
              <w:rFonts w:hint="eastAsia"/>
            </w:rPr>
            <w:fldChar w:fldCharType="separate"/>
          </w:r>
          <w:r>
            <w:t>251</w:t>
          </w:r>
          <w:r>
            <w:rPr>
              <w:rFonts w:hint="eastAsia"/>
            </w:rPr>
            <w:fldChar w:fldCharType="end"/>
          </w:r>
          <w:r>
            <w:rPr>
              <w:rFonts w:hint="eastAsia"/>
            </w:rPr>
            <w:fldChar w:fldCharType="end"/>
          </w:r>
        </w:p>
        <w:p w14:paraId="3EF3F28B">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"_Toc217294047" </w:instrText>
          </w:r>
          <w:r>
            <w:fldChar w:fldCharType="separate"/>
          </w:r>
          <w:r>
            <w:rPr>
              <w:rStyle w:val="31"/>
              <w:rFonts w:hint="eastAsia" w:cs="Times New Roman"/>
            </w:rPr>
            <w:t>3.7上一轮规划环评审查意见落实情况</w:t>
          </w:r>
          <w:r>
            <w:rPr>
              <w:rFonts w:hint="eastAsia"/>
            </w:rPr>
            <w:tab/>
          </w:r>
          <w:r>
            <w:rPr>
              <w:rFonts w:hint="eastAsia"/>
            </w:rPr>
            <w:fldChar w:fldCharType="begin"/>
          </w:r>
          <w:r>
            <w:rPr>
              <w:rFonts w:hint="eastAsia"/>
            </w:rPr>
            <w:instrText xml:space="preserve"> </w:instrText>
          </w:r>
          <w:r>
            <w:instrText xml:space="preserve">PAGEREF _Toc217294047 \h</w:instrText>
          </w:r>
          <w:r>
            <w:rPr>
              <w:rFonts w:hint="eastAsia"/>
            </w:rPr>
            <w:instrText xml:space="preserve"> </w:instrText>
          </w:r>
          <w:r>
            <w:rPr>
              <w:rFonts w:hint="eastAsia"/>
            </w:rPr>
            <w:fldChar w:fldCharType="separate"/>
          </w:r>
          <w:r>
            <w:t>306</w:t>
          </w:r>
          <w:r>
            <w:rPr>
              <w:rFonts w:hint="eastAsia"/>
            </w:rPr>
            <w:fldChar w:fldCharType="end"/>
          </w:r>
          <w:r>
            <w:rPr>
              <w:rFonts w:hint="eastAsia"/>
            </w:rPr>
            <w:fldChar w:fldCharType="end"/>
          </w:r>
        </w:p>
        <w:p w14:paraId="2FAC817C">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"_Toc217294048" </w:instrText>
          </w:r>
          <w:r>
            <w:fldChar w:fldCharType="separate"/>
          </w:r>
          <w:r>
            <w:rPr>
              <w:rStyle w:val="31"/>
              <w:rFonts w:hint="eastAsia" w:cs="Times New Roman"/>
            </w:rPr>
            <w:t>3.8制约因素和现状问题分析</w:t>
          </w:r>
          <w:r>
            <w:rPr>
              <w:rFonts w:hint="eastAsia"/>
            </w:rPr>
            <w:tab/>
          </w:r>
          <w:r>
            <w:rPr>
              <w:rFonts w:hint="eastAsia"/>
            </w:rPr>
            <w:fldChar w:fldCharType="begin"/>
          </w:r>
          <w:r>
            <w:rPr>
              <w:rFonts w:hint="eastAsia"/>
            </w:rPr>
            <w:instrText xml:space="preserve"> </w:instrText>
          </w:r>
          <w:r>
            <w:instrText xml:space="preserve">PAGEREF _Toc217294048 \h</w:instrText>
          </w:r>
          <w:r>
            <w:rPr>
              <w:rFonts w:hint="eastAsia"/>
            </w:rPr>
            <w:instrText xml:space="preserve"> </w:instrText>
          </w:r>
          <w:r>
            <w:rPr>
              <w:rFonts w:hint="eastAsia"/>
            </w:rPr>
            <w:fldChar w:fldCharType="separate"/>
          </w:r>
          <w:r>
            <w:t>309</w:t>
          </w:r>
          <w:r>
            <w:rPr>
              <w:rFonts w:hint="eastAsia"/>
            </w:rPr>
            <w:fldChar w:fldCharType="end"/>
          </w:r>
          <w:r>
            <w:rPr>
              <w:rFonts w:hint="eastAsia"/>
            </w:rPr>
            <w:fldChar w:fldCharType="end"/>
          </w:r>
        </w:p>
        <w:p w14:paraId="07F04B5D">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"_Toc217294049" </w:instrText>
          </w:r>
          <w:r>
            <w:fldChar w:fldCharType="separate"/>
          </w:r>
          <w:r>
            <w:rPr>
              <w:rStyle w:val="31"/>
              <w:rFonts w:hint="eastAsia"/>
            </w:rPr>
            <w:t>4环境影响识别与评价指标体系</w:t>
          </w:r>
          <w:r>
            <w:rPr>
              <w:rFonts w:hint="eastAsia"/>
            </w:rPr>
            <w:tab/>
          </w:r>
          <w:r>
            <w:rPr>
              <w:rFonts w:hint="eastAsia"/>
            </w:rPr>
            <w:fldChar w:fldCharType="begin"/>
          </w:r>
          <w:r>
            <w:rPr>
              <w:rFonts w:hint="eastAsia"/>
            </w:rPr>
            <w:instrText xml:space="preserve"> </w:instrText>
          </w:r>
          <w:r>
            <w:instrText xml:space="preserve">PAGEREF _Toc217294049 \h</w:instrText>
          </w:r>
          <w:r>
            <w:rPr>
              <w:rFonts w:hint="eastAsia"/>
            </w:rPr>
            <w:instrText xml:space="preserve"> </w:instrText>
          </w:r>
          <w:r>
            <w:rPr>
              <w:rFonts w:hint="eastAsia"/>
            </w:rPr>
            <w:fldChar w:fldCharType="separate"/>
          </w:r>
          <w:r>
            <w:t>312</w:t>
          </w:r>
          <w:r>
            <w:rPr>
              <w:rFonts w:hint="eastAsia"/>
            </w:rPr>
            <w:fldChar w:fldCharType="end"/>
          </w:r>
          <w:r>
            <w:rPr>
              <w:rFonts w:hint="eastAsia"/>
            </w:rPr>
            <w:fldChar w:fldCharType="end"/>
          </w:r>
        </w:p>
        <w:p w14:paraId="2887F60B">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"_Toc217294050" </w:instrText>
          </w:r>
          <w:r>
            <w:fldChar w:fldCharType="separate"/>
          </w:r>
          <w:r>
            <w:rPr>
              <w:rStyle w:val="31"/>
              <w:rFonts w:hint="eastAsia" w:cs="Times New Roman"/>
            </w:rPr>
            <w:t>4.1环境影响因素识别</w:t>
          </w:r>
          <w:r>
            <w:rPr>
              <w:rFonts w:hint="eastAsia"/>
            </w:rPr>
            <w:tab/>
          </w:r>
          <w:r>
            <w:rPr>
              <w:rFonts w:hint="eastAsia"/>
            </w:rPr>
            <w:fldChar w:fldCharType="begin"/>
          </w:r>
          <w:r>
            <w:rPr>
              <w:rFonts w:hint="eastAsia"/>
            </w:rPr>
            <w:instrText xml:space="preserve"> </w:instrText>
          </w:r>
          <w:r>
            <w:instrText xml:space="preserve">PAGEREF _Toc217294050 \h</w:instrText>
          </w:r>
          <w:r>
            <w:rPr>
              <w:rFonts w:hint="eastAsia"/>
            </w:rPr>
            <w:instrText xml:space="preserve"> </w:instrText>
          </w:r>
          <w:r>
            <w:rPr>
              <w:rFonts w:hint="eastAsia"/>
            </w:rPr>
            <w:fldChar w:fldCharType="separate"/>
          </w:r>
          <w:r>
            <w:t>312</w:t>
          </w:r>
          <w:r>
            <w:rPr>
              <w:rFonts w:hint="eastAsia"/>
            </w:rPr>
            <w:fldChar w:fldCharType="end"/>
          </w:r>
          <w:r>
            <w:rPr>
              <w:rFonts w:hint="eastAsia"/>
            </w:rPr>
            <w:fldChar w:fldCharType="end"/>
          </w:r>
        </w:p>
        <w:p w14:paraId="02F6D3E0">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"_Toc217294051" </w:instrText>
          </w:r>
          <w:r>
            <w:fldChar w:fldCharType="separate"/>
          </w:r>
          <w:r>
            <w:rPr>
              <w:rStyle w:val="31"/>
              <w:rFonts w:hint="eastAsia" w:cs="Times New Roman"/>
            </w:rPr>
            <w:t>4.2环境影响因子识别</w:t>
          </w:r>
          <w:r>
            <w:rPr>
              <w:rFonts w:hint="eastAsia"/>
            </w:rPr>
            <w:tab/>
          </w:r>
          <w:r>
            <w:rPr>
              <w:rFonts w:hint="eastAsia"/>
            </w:rPr>
            <w:fldChar w:fldCharType="begin"/>
          </w:r>
          <w:r>
            <w:rPr>
              <w:rFonts w:hint="eastAsia"/>
            </w:rPr>
            <w:instrText xml:space="preserve"> </w:instrText>
          </w:r>
          <w:r>
            <w:instrText xml:space="preserve">PAGEREF _Toc217294051 \h</w:instrText>
          </w:r>
          <w:r>
            <w:rPr>
              <w:rFonts w:hint="eastAsia"/>
            </w:rPr>
            <w:instrText xml:space="preserve"> </w:instrText>
          </w:r>
          <w:r>
            <w:rPr>
              <w:rFonts w:hint="eastAsia"/>
            </w:rPr>
            <w:fldChar w:fldCharType="separate"/>
          </w:r>
          <w:r>
            <w:t>314</w:t>
          </w:r>
          <w:r>
            <w:rPr>
              <w:rFonts w:hint="eastAsia"/>
            </w:rPr>
            <w:fldChar w:fldCharType="end"/>
          </w:r>
          <w:r>
            <w:rPr>
              <w:rFonts w:hint="eastAsia"/>
            </w:rPr>
            <w:fldChar w:fldCharType="end"/>
          </w:r>
        </w:p>
        <w:p w14:paraId="522ADD9D">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"_Toc217294052" </w:instrText>
          </w:r>
          <w:r>
            <w:fldChar w:fldCharType="separate"/>
          </w:r>
          <w:r>
            <w:rPr>
              <w:rStyle w:val="31"/>
              <w:rFonts w:hint="eastAsia" w:cs="Times New Roman"/>
            </w:rPr>
            <w:t>4.3环境影响评价指标体系</w:t>
          </w:r>
          <w:r>
            <w:rPr>
              <w:rFonts w:hint="eastAsia"/>
            </w:rPr>
            <w:tab/>
          </w:r>
          <w:r>
            <w:rPr>
              <w:rFonts w:hint="eastAsia"/>
            </w:rPr>
            <w:fldChar w:fldCharType="begin"/>
          </w:r>
          <w:r>
            <w:rPr>
              <w:rFonts w:hint="eastAsia"/>
            </w:rPr>
            <w:instrText xml:space="preserve"> </w:instrText>
          </w:r>
          <w:r>
            <w:instrText xml:space="preserve">PAGEREF _Toc217294052 \h</w:instrText>
          </w:r>
          <w:r>
            <w:rPr>
              <w:rFonts w:hint="eastAsia"/>
            </w:rPr>
            <w:instrText xml:space="preserve"> </w:instrText>
          </w:r>
          <w:r>
            <w:rPr>
              <w:rFonts w:hint="eastAsia"/>
            </w:rPr>
            <w:fldChar w:fldCharType="separate"/>
          </w:r>
          <w:r>
            <w:t>317</w:t>
          </w:r>
          <w:r>
            <w:rPr>
              <w:rFonts w:hint="eastAsia"/>
            </w:rPr>
            <w:fldChar w:fldCharType="end"/>
          </w:r>
          <w:r>
            <w:rPr>
              <w:rFonts w:hint="eastAsia"/>
            </w:rPr>
            <w:fldChar w:fldCharType="end"/>
          </w:r>
        </w:p>
        <w:p w14:paraId="5184B471">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"_Toc217294053" </w:instrText>
          </w:r>
          <w:r>
            <w:fldChar w:fldCharType="separate"/>
          </w:r>
          <w:r>
            <w:rPr>
              <w:rStyle w:val="31"/>
              <w:rFonts w:hint="eastAsia"/>
            </w:rPr>
            <w:t>5环境影响预测与评价</w:t>
          </w:r>
          <w:r>
            <w:rPr>
              <w:rFonts w:hint="eastAsia"/>
            </w:rPr>
            <w:tab/>
          </w:r>
          <w:r>
            <w:rPr>
              <w:rFonts w:hint="eastAsia"/>
            </w:rPr>
            <w:fldChar w:fldCharType="begin"/>
          </w:r>
          <w:r>
            <w:rPr>
              <w:rFonts w:hint="eastAsia"/>
            </w:rPr>
            <w:instrText xml:space="preserve"> </w:instrText>
          </w:r>
          <w:r>
            <w:instrText xml:space="preserve">PAGEREF _Toc217294053 \h</w:instrText>
          </w:r>
          <w:r>
            <w:rPr>
              <w:rFonts w:hint="eastAsia"/>
            </w:rPr>
            <w:instrText xml:space="preserve"> </w:instrText>
          </w:r>
          <w:r>
            <w:rPr>
              <w:rFonts w:hint="eastAsia"/>
            </w:rPr>
            <w:fldChar w:fldCharType="separate"/>
          </w:r>
          <w:r>
            <w:t>318</w:t>
          </w:r>
          <w:r>
            <w:rPr>
              <w:rFonts w:hint="eastAsia"/>
            </w:rPr>
            <w:fldChar w:fldCharType="end"/>
          </w:r>
          <w:r>
            <w:rPr>
              <w:rFonts w:hint="eastAsia"/>
            </w:rPr>
            <w:fldChar w:fldCharType="end"/>
          </w:r>
        </w:p>
        <w:p w14:paraId="6B0B2CD0">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"_Toc217294054" </w:instrText>
          </w:r>
          <w:r>
            <w:fldChar w:fldCharType="separate"/>
          </w:r>
          <w:r>
            <w:rPr>
              <w:rStyle w:val="31"/>
              <w:rFonts w:hint="eastAsia" w:cs="Times New Roman"/>
            </w:rPr>
            <w:t>5.1资源能源消耗预测分析</w:t>
          </w:r>
          <w:r>
            <w:rPr>
              <w:rFonts w:hint="eastAsia"/>
            </w:rPr>
            <w:tab/>
          </w:r>
          <w:r>
            <w:rPr>
              <w:rFonts w:hint="eastAsia"/>
            </w:rPr>
            <w:fldChar w:fldCharType="begin"/>
          </w:r>
          <w:r>
            <w:rPr>
              <w:rFonts w:hint="eastAsia"/>
            </w:rPr>
            <w:instrText xml:space="preserve"> </w:instrText>
          </w:r>
          <w:r>
            <w:instrText xml:space="preserve">PAGEREF _Toc217294054 \h</w:instrText>
          </w:r>
          <w:r>
            <w:rPr>
              <w:rFonts w:hint="eastAsia"/>
            </w:rPr>
            <w:instrText xml:space="preserve"> </w:instrText>
          </w:r>
          <w:r>
            <w:rPr>
              <w:rFonts w:hint="eastAsia"/>
            </w:rPr>
            <w:fldChar w:fldCharType="separate"/>
          </w:r>
          <w:r>
            <w:t>318</w:t>
          </w:r>
          <w:r>
            <w:rPr>
              <w:rFonts w:hint="eastAsia"/>
            </w:rPr>
            <w:fldChar w:fldCharType="end"/>
          </w:r>
          <w:r>
            <w:rPr>
              <w:rFonts w:hint="eastAsia"/>
            </w:rPr>
            <w:fldChar w:fldCharType="end"/>
          </w:r>
        </w:p>
        <w:p w14:paraId="26C318A2">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"_Toc217294055" </w:instrText>
          </w:r>
          <w:r>
            <w:fldChar w:fldCharType="separate"/>
          </w:r>
          <w:r>
            <w:rPr>
              <w:rStyle w:val="31"/>
              <w:rFonts w:hint="eastAsia" w:cs="Times New Roman"/>
            </w:rPr>
            <w:t>5.2主要污染源预测</w:t>
          </w:r>
          <w:r>
            <w:rPr>
              <w:rFonts w:hint="eastAsia"/>
            </w:rPr>
            <w:tab/>
          </w:r>
          <w:r>
            <w:rPr>
              <w:rFonts w:hint="eastAsia"/>
            </w:rPr>
            <w:fldChar w:fldCharType="begin"/>
          </w:r>
          <w:r>
            <w:rPr>
              <w:rFonts w:hint="eastAsia"/>
            </w:rPr>
            <w:instrText xml:space="preserve"> </w:instrText>
          </w:r>
          <w:r>
            <w:instrText xml:space="preserve">PAGEREF _Toc217294055 \h</w:instrText>
          </w:r>
          <w:r>
            <w:rPr>
              <w:rFonts w:hint="eastAsia"/>
            </w:rPr>
            <w:instrText xml:space="preserve"> </w:instrText>
          </w:r>
          <w:r>
            <w:rPr>
              <w:rFonts w:hint="eastAsia"/>
            </w:rPr>
            <w:fldChar w:fldCharType="separate"/>
          </w:r>
          <w:r>
            <w:t>320</w:t>
          </w:r>
          <w:r>
            <w:rPr>
              <w:rFonts w:hint="eastAsia"/>
            </w:rPr>
            <w:fldChar w:fldCharType="end"/>
          </w:r>
          <w:r>
            <w:rPr>
              <w:rFonts w:hint="eastAsia"/>
            </w:rPr>
            <w:fldChar w:fldCharType="end"/>
          </w:r>
        </w:p>
        <w:p w14:paraId="2594B613">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"_Toc217294056" </w:instrText>
          </w:r>
          <w:r>
            <w:fldChar w:fldCharType="separate"/>
          </w:r>
          <w:r>
            <w:rPr>
              <w:rStyle w:val="31"/>
              <w:rFonts w:hint="eastAsia" w:cs="Times New Roman"/>
            </w:rPr>
            <w:t>5.3大气环境影响预测分析</w:t>
          </w:r>
          <w:r>
            <w:rPr>
              <w:rFonts w:hint="eastAsia"/>
            </w:rPr>
            <w:tab/>
          </w:r>
          <w:r>
            <w:rPr>
              <w:rFonts w:hint="eastAsia"/>
            </w:rPr>
            <w:fldChar w:fldCharType="begin"/>
          </w:r>
          <w:r>
            <w:rPr>
              <w:rFonts w:hint="eastAsia"/>
            </w:rPr>
            <w:instrText xml:space="preserve"> </w:instrText>
          </w:r>
          <w:r>
            <w:instrText xml:space="preserve">PAGEREF _Toc217294056 \h</w:instrText>
          </w:r>
          <w:r>
            <w:rPr>
              <w:rFonts w:hint="eastAsia"/>
            </w:rPr>
            <w:instrText xml:space="preserve"> </w:instrText>
          </w:r>
          <w:r>
            <w:rPr>
              <w:rFonts w:hint="eastAsia"/>
            </w:rPr>
            <w:fldChar w:fldCharType="separate"/>
          </w:r>
          <w:r>
            <w:t>327</w:t>
          </w:r>
          <w:r>
            <w:rPr>
              <w:rFonts w:hint="eastAsia"/>
            </w:rPr>
            <w:fldChar w:fldCharType="end"/>
          </w:r>
          <w:r>
            <w:rPr>
              <w:rFonts w:hint="eastAsia"/>
            </w:rPr>
            <w:fldChar w:fldCharType="end"/>
          </w:r>
        </w:p>
        <w:p w14:paraId="5519CBB8">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"_Toc217294057" </w:instrText>
          </w:r>
          <w:r>
            <w:fldChar w:fldCharType="separate"/>
          </w:r>
          <w:r>
            <w:rPr>
              <w:rStyle w:val="31"/>
              <w:rFonts w:hint="eastAsia" w:cs="Times New Roman"/>
            </w:rPr>
            <w:t>5.4地表水环境影响预测分析</w:t>
          </w:r>
          <w:r>
            <w:rPr>
              <w:rFonts w:hint="eastAsia"/>
            </w:rPr>
            <w:tab/>
          </w:r>
          <w:r>
            <w:rPr>
              <w:rFonts w:hint="eastAsia"/>
            </w:rPr>
            <w:fldChar w:fldCharType="begin"/>
          </w:r>
          <w:r>
            <w:rPr>
              <w:rFonts w:hint="eastAsia"/>
            </w:rPr>
            <w:instrText xml:space="preserve"> </w:instrText>
          </w:r>
          <w:r>
            <w:instrText xml:space="preserve">PAGEREF _Toc217294057 \h</w:instrText>
          </w:r>
          <w:r>
            <w:rPr>
              <w:rFonts w:hint="eastAsia"/>
            </w:rPr>
            <w:instrText xml:space="preserve"> </w:instrText>
          </w:r>
          <w:r>
            <w:rPr>
              <w:rFonts w:hint="eastAsia"/>
            </w:rPr>
            <w:fldChar w:fldCharType="separate"/>
          </w:r>
          <w:r>
            <w:t>329</w:t>
          </w:r>
          <w:r>
            <w:rPr>
              <w:rFonts w:hint="eastAsia"/>
            </w:rPr>
            <w:fldChar w:fldCharType="end"/>
          </w:r>
          <w:r>
            <w:rPr>
              <w:rFonts w:hint="eastAsia"/>
            </w:rPr>
            <w:fldChar w:fldCharType="end"/>
          </w:r>
        </w:p>
        <w:p w14:paraId="59A9435C">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"_Toc217294058" </w:instrText>
          </w:r>
          <w:r>
            <w:fldChar w:fldCharType="separate"/>
          </w:r>
          <w:r>
            <w:rPr>
              <w:rStyle w:val="31"/>
              <w:rFonts w:hint="eastAsia" w:cs="Times New Roman"/>
            </w:rPr>
            <w:t>5.5固体废弃物处置影响分析</w:t>
          </w:r>
          <w:r>
            <w:rPr>
              <w:rFonts w:hint="eastAsia"/>
            </w:rPr>
            <w:tab/>
          </w:r>
          <w:r>
            <w:rPr>
              <w:rFonts w:hint="eastAsia"/>
            </w:rPr>
            <w:fldChar w:fldCharType="begin"/>
          </w:r>
          <w:r>
            <w:rPr>
              <w:rFonts w:hint="eastAsia"/>
            </w:rPr>
            <w:instrText xml:space="preserve"> </w:instrText>
          </w:r>
          <w:r>
            <w:instrText xml:space="preserve">PAGEREF _Toc217294058 \h</w:instrText>
          </w:r>
          <w:r>
            <w:rPr>
              <w:rFonts w:hint="eastAsia"/>
            </w:rPr>
            <w:instrText xml:space="preserve"> </w:instrText>
          </w:r>
          <w:r>
            <w:rPr>
              <w:rFonts w:hint="eastAsia"/>
            </w:rPr>
            <w:fldChar w:fldCharType="separate"/>
          </w:r>
          <w:r>
            <w:t>329</w:t>
          </w:r>
          <w:r>
            <w:rPr>
              <w:rFonts w:hint="eastAsia"/>
            </w:rPr>
            <w:fldChar w:fldCharType="end"/>
          </w:r>
          <w:r>
            <w:rPr>
              <w:rFonts w:hint="eastAsia"/>
            </w:rPr>
            <w:fldChar w:fldCharType="end"/>
          </w:r>
        </w:p>
        <w:p w14:paraId="4D8A0161">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"_Toc217294059" </w:instrText>
          </w:r>
          <w:r>
            <w:fldChar w:fldCharType="separate"/>
          </w:r>
          <w:r>
            <w:rPr>
              <w:rStyle w:val="31"/>
              <w:rFonts w:hint="eastAsia" w:cs="Times New Roman"/>
            </w:rPr>
            <w:t>5.6声环境影响预测分析</w:t>
          </w:r>
          <w:r>
            <w:rPr>
              <w:rFonts w:hint="eastAsia"/>
            </w:rPr>
            <w:tab/>
          </w:r>
          <w:r>
            <w:rPr>
              <w:rFonts w:hint="eastAsia"/>
            </w:rPr>
            <w:fldChar w:fldCharType="begin"/>
          </w:r>
          <w:r>
            <w:rPr>
              <w:rFonts w:hint="eastAsia"/>
            </w:rPr>
            <w:instrText xml:space="preserve"> </w:instrText>
          </w:r>
          <w:r>
            <w:instrText xml:space="preserve">PAGEREF _Toc217294059 \h</w:instrText>
          </w:r>
          <w:r>
            <w:rPr>
              <w:rFonts w:hint="eastAsia"/>
            </w:rPr>
            <w:instrText xml:space="preserve"> </w:instrText>
          </w:r>
          <w:r>
            <w:rPr>
              <w:rFonts w:hint="eastAsia"/>
            </w:rPr>
            <w:fldChar w:fldCharType="separate"/>
          </w:r>
          <w:r>
            <w:t>331</w:t>
          </w:r>
          <w:r>
            <w:rPr>
              <w:rFonts w:hint="eastAsia"/>
            </w:rPr>
            <w:fldChar w:fldCharType="end"/>
          </w:r>
          <w:r>
            <w:rPr>
              <w:rFonts w:hint="eastAsia"/>
            </w:rPr>
            <w:fldChar w:fldCharType="end"/>
          </w:r>
        </w:p>
        <w:p w14:paraId="4263C1BA">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"_Toc217294060" </w:instrText>
          </w:r>
          <w:r>
            <w:fldChar w:fldCharType="separate"/>
          </w:r>
          <w:r>
            <w:rPr>
              <w:rStyle w:val="31"/>
              <w:rFonts w:hint="eastAsia" w:cs="Times New Roman"/>
            </w:rPr>
            <w:t>5.7土壤环境影响分析</w:t>
          </w:r>
          <w:r>
            <w:rPr>
              <w:rFonts w:hint="eastAsia"/>
            </w:rPr>
            <w:tab/>
          </w:r>
          <w:r>
            <w:rPr>
              <w:rFonts w:hint="eastAsia"/>
            </w:rPr>
            <w:fldChar w:fldCharType="begin"/>
          </w:r>
          <w:r>
            <w:rPr>
              <w:rFonts w:hint="eastAsia"/>
            </w:rPr>
            <w:instrText xml:space="preserve"> </w:instrText>
          </w:r>
          <w:r>
            <w:instrText xml:space="preserve">PAGEREF _Toc217294060 \h</w:instrText>
          </w:r>
          <w:r>
            <w:rPr>
              <w:rFonts w:hint="eastAsia"/>
            </w:rPr>
            <w:instrText xml:space="preserve"> </w:instrText>
          </w:r>
          <w:r>
            <w:rPr>
              <w:rFonts w:hint="eastAsia"/>
            </w:rPr>
            <w:fldChar w:fldCharType="separate"/>
          </w:r>
          <w:r>
            <w:t>335</w:t>
          </w:r>
          <w:r>
            <w:rPr>
              <w:rFonts w:hint="eastAsia"/>
            </w:rPr>
            <w:fldChar w:fldCharType="end"/>
          </w:r>
          <w:r>
            <w:rPr>
              <w:rFonts w:hint="eastAsia"/>
            </w:rPr>
            <w:fldChar w:fldCharType="end"/>
          </w:r>
        </w:p>
        <w:p w14:paraId="080BCE19">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"_Toc217294061" </w:instrText>
          </w:r>
          <w:r>
            <w:fldChar w:fldCharType="separate"/>
          </w:r>
          <w:r>
            <w:rPr>
              <w:rStyle w:val="31"/>
              <w:rFonts w:hint="eastAsia" w:cs="Times New Roman"/>
            </w:rPr>
            <w:t>5.8地下水环境影响预测分析</w:t>
          </w:r>
          <w:r>
            <w:rPr>
              <w:rFonts w:hint="eastAsia"/>
            </w:rPr>
            <w:tab/>
          </w:r>
          <w:r>
            <w:rPr>
              <w:rFonts w:hint="eastAsia"/>
            </w:rPr>
            <w:fldChar w:fldCharType="begin"/>
          </w:r>
          <w:r>
            <w:rPr>
              <w:rFonts w:hint="eastAsia"/>
            </w:rPr>
            <w:instrText xml:space="preserve"> </w:instrText>
          </w:r>
          <w:r>
            <w:instrText xml:space="preserve">PAGEREF _Toc217294061 \h</w:instrText>
          </w:r>
          <w:r>
            <w:rPr>
              <w:rFonts w:hint="eastAsia"/>
            </w:rPr>
            <w:instrText xml:space="preserve"> </w:instrText>
          </w:r>
          <w:r>
            <w:rPr>
              <w:rFonts w:hint="eastAsia"/>
            </w:rPr>
            <w:fldChar w:fldCharType="separate"/>
          </w:r>
          <w:r>
            <w:t>335</w:t>
          </w:r>
          <w:r>
            <w:rPr>
              <w:rFonts w:hint="eastAsia"/>
            </w:rPr>
            <w:fldChar w:fldCharType="end"/>
          </w:r>
          <w:r>
            <w:rPr>
              <w:rFonts w:hint="eastAsia"/>
            </w:rPr>
            <w:fldChar w:fldCharType="end"/>
          </w:r>
        </w:p>
        <w:p w14:paraId="47EE3A2C">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"_Toc217294062" </w:instrText>
          </w:r>
          <w:r>
            <w:fldChar w:fldCharType="separate"/>
          </w:r>
          <w:r>
            <w:rPr>
              <w:rStyle w:val="31"/>
              <w:rFonts w:hint="eastAsia" w:cs="Times New Roman"/>
            </w:rPr>
            <w:t>5.9环境风险分析</w:t>
          </w:r>
          <w:r>
            <w:rPr>
              <w:rFonts w:hint="eastAsia"/>
            </w:rPr>
            <w:tab/>
          </w:r>
          <w:r>
            <w:rPr>
              <w:rFonts w:hint="eastAsia"/>
            </w:rPr>
            <w:fldChar w:fldCharType="begin"/>
          </w:r>
          <w:r>
            <w:rPr>
              <w:rFonts w:hint="eastAsia"/>
            </w:rPr>
            <w:instrText xml:space="preserve"> </w:instrText>
          </w:r>
          <w:r>
            <w:instrText xml:space="preserve">PAGEREF _Toc217294062 \h</w:instrText>
          </w:r>
          <w:r>
            <w:rPr>
              <w:rFonts w:hint="eastAsia"/>
            </w:rPr>
            <w:instrText xml:space="preserve"> </w:instrText>
          </w:r>
          <w:r>
            <w:rPr>
              <w:rFonts w:hint="eastAsia"/>
            </w:rPr>
            <w:fldChar w:fldCharType="separate"/>
          </w:r>
          <w:r>
            <w:t>342</w:t>
          </w:r>
          <w:r>
            <w:rPr>
              <w:rFonts w:hint="eastAsia"/>
            </w:rPr>
            <w:fldChar w:fldCharType="end"/>
          </w:r>
          <w:r>
            <w:rPr>
              <w:rFonts w:hint="eastAsia"/>
            </w:rPr>
            <w:fldChar w:fldCharType="end"/>
          </w:r>
        </w:p>
        <w:p w14:paraId="193A8074">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"_Toc217294063" </w:instrText>
          </w:r>
          <w:r>
            <w:fldChar w:fldCharType="separate"/>
          </w:r>
          <w:r>
            <w:rPr>
              <w:rStyle w:val="31"/>
              <w:rFonts w:hint="eastAsia" w:cs="Times New Roman"/>
            </w:rPr>
            <w:t>5.10社会影响分析</w:t>
          </w:r>
          <w:r>
            <w:rPr>
              <w:rFonts w:hint="eastAsia"/>
            </w:rPr>
            <w:tab/>
          </w:r>
          <w:r>
            <w:rPr>
              <w:rFonts w:hint="eastAsia"/>
            </w:rPr>
            <w:fldChar w:fldCharType="begin"/>
          </w:r>
          <w:r>
            <w:rPr>
              <w:rFonts w:hint="eastAsia"/>
            </w:rPr>
            <w:instrText xml:space="preserve"> </w:instrText>
          </w:r>
          <w:r>
            <w:instrText xml:space="preserve">PAGEREF _Toc217294063 \h</w:instrText>
          </w:r>
          <w:r>
            <w:rPr>
              <w:rFonts w:hint="eastAsia"/>
            </w:rPr>
            <w:instrText xml:space="preserve"> </w:instrText>
          </w:r>
          <w:r>
            <w:rPr>
              <w:rFonts w:hint="eastAsia"/>
            </w:rPr>
            <w:fldChar w:fldCharType="separate"/>
          </w:r>
          <w:r>
            <w:t>343</w:t>
          </w:r>
          <w:r>
            <w:rPr>
              <w:rFonts w:hint="eastAsia"/>
            </w:rPr>
            <w:fldChar w:fldCharType="end"/>
          </w:r>
          <w:r>
            <w:rPr>
              <w:rFonts w:hint="eastAsia"/>
            </w:rPr>
            <w:fldChar w:fldCharType="end"/>
          </w:r>
        </w:p>
        <w:p w14:paraId="745EAD24">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"_Toc217294064" </w:instrText>
          </w:r>
          <w:r>
            <w:fldChar w:fldCharType="separate"/>
          </w:r>
          <w:r>
            <w:rPr>
              <w:rStyle w:val="31"/>
              <w:rFonts w:hint="eastAsia" w:cs="Times New Roman"/>
            </w:rPr>
            <w:t>5.11碳排放预测与评价</w:t>
          </w:r>
          <w:r>
            <w:rPr>
              <w:rFonts w:hint="eastAsia"/>
            </w:rPr>
            <w:tab/>
          </w:r>
          <w:r>
            <w:rPr>
              <w:rFonts w:hint="eastAsia"/>
            </w:rPr>
            <w:fldChar w:fldCharType="begin"/>
          </w:r>
          <w:r>
            <w:rPr>
              <w:rFonts w:hint="eastAsia"/>
            </w:rPr>
            <w:instrText xml:space="preserve"> </w:instrText>
          </w:r>
          <w:r>
            <w:instrText xml:space="preserve">PAGEREF _Toc217294064 \h</w:instrText>
          </w:r>
          <w:r>
            <w:rPr>
              <w:rFonts w:hint="eastAsia"/>
            </w:rPr>
            <w:instrText xml:space="preserve"> </w:instrText>
          </w:r>
          <w:r>
            <w:rPr>
              <w:rFonts w:hint="eastAsia"/>
            </w:rPr>
            <w:fldChar w:fldCharType="separate"/>
          </w:r>
          <w:r>
            <w:t>345</w:t>
          </w:r>
          <w:r>
            <w:rPr>
              <w:rFonts w:hint="eastAsia"/>
            </w:rPr>
            <w:fldChar w:fldCharType="end"/>
          </w:r>
          <w:r>
            <w:rPr>
              <w:rFonts w:hint="eastAsia"/>
            </w:rPr>
            <w:fldChar w:fldCharType="end"/>
          </w:r>
        </w:p>
        <w:p w14:paraId="6F253776">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"_Toc217294065" </w:instrText>
          </w:r>
          <w:r>
            <w:fldChar w:fldCharType="separate"/>
          </w:r>
          <w:r>
            <w:rPr>
              <w:rStyle w:val="31"/>
              <w:rFonts w:hint="eastAsia"/>
            </w:rPr>
            <w:t>6生态环境影响评价</w:t>
          </w:r>
          <w:r>
            <w:rPr>
              <w:rFonts w:hint="eastAsia"/>
            </w:rPr>
            <w:tab/>
          </w:r>
          <w:r>
            <w:rPr>
              <w:rFonts w:hint="eastAsia"/>
            </w:rPr>
            <w:fldChar w:fldCharType="begin"/>
          </w:r>
          <w:r>
            <w:rPr>
              <w:rFonts w:hint="eastAsia"/>
            </w:rPr>
            <w:instrText xml:space="preserve"> </w:instrText>
          </w:r>
          <w:r>
            <w:instrText xml:space="preserve">PAGEREF _Toc217294065 \h</w:instrText>
          </w:r>
          <w:r>
            <w:rPr>
              <w:rFonts w:hint="eastAsia"/>
            </w:rPr>
            <w:instrText xml:space="preserve"> </w:instrText>
          </w:r>
          <w:r>
            <w:rPr>
              <w:rFonts w:hint="eastAsia"/>
            </w:rPr>
            <w:fldChar w:fldCharType="separate"/>
          </w:r>
          <w:r>
            <w:t>347</w:t>
          </w:r>
          <w:r>
            <w:rPr>
              <w:rFonts w:hint="eastAsia"/>
            </w:rPr>
            <w:fldChar w:fldCharType="end"/>
          </w:r>
          <w:r>
            <w:rPr>
              <w:rFonts w:hint="eastAsia"/>
            </w:rPr>
            <w:fldChar w:fldCharType="end"/>
          </w:r>
        </w:p>
        <w:p w14:paraId="01CD8D9A">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"_Toc217294066" </w:instrText>
          </w:r>
          <w:r>
            <w:fldChar w:fldCharType="separate"/>
          </w:r>
          <w:r>
            <w:rPr>
              <w:rStyle w:val="31"/>
              <w:rFonts w:hint="eastAsia" w:cs="Times New Roman"/>
            </w:rPr>
            <w:t>6.1生态影响识别</w:t>
          </w:r>
          <w:r>
            <w:rPr>
              <w:rFonts w:hint="eastAsia"/>
            </w:rPr>
            <w:tab/>
          </w:r>
          <w:r>
            <w:rPr>
              <w:rFonts w:hint="eastAsia"/>
            </w:rPr>
            <w:fldChar w:fldCharType="begin"/>
          </w:r>
          <w:r>
            <w:rPr>
              <w:rFonts w:hint="eastAsia"/>
            </w:rPr>
            <w:instrText xml:space="preserve"> </w:instrText>
          </w:r>
          <w:r>
            <w:instrText xml:space="preserve">PAGEREF _Toc217294066 \h</w:instrText>
          </w:r>
          <w:r>
            <w:rPr>
              <w:rFonts w:hint="eastAsia"/>
            </w:rPr>
            <w:instrText xml:space="preserve"> </w:instrText>
          </w:r>
          <w:r>
            <w:rPr>
              <w:rFonts w:hint="eastAsia"/>
            </w:rPr>
            <w:fldChar w:fldCharType="separate"/>
          </w:r>
          <w:r>
            <w:t>347</w:t>
          </w:r>
          <w:r>
            <w:rPr>
              <w:rFonts w:hint="eastAsia"/>
            </w:rPr>
            <w:fldChar w:fldCharType="end"/>
          </w:r>
          <w:r>
            <w:rPr>
              <w:rFonts w:hint="eastAsia"/>
            </w:rPr>
            <w:fldChar w:fldCharType="end"/>
          </w:r>
        </w:p>
        <w:p w14:paraId="45BDF76E">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"_Toc217294067" </w:instrText>
          </w:r>
          <w:r>
            <w:fldChar w:fldCharType="separate"/>
          </w:r>
          <w:r>
            <w:rPr>
              <w:rStyle w:val="31"/>
              <w:rFonts w:hint="eastAsia" w:cs="Times New Roman"/>
            </w:rPr>
            <w:t>6.2生态风险分析</w:t>
          </w:r>
          <w:r>
            <w:rPr>
              <w:rFonts w:hint="eastAsia"/>
            </w:rPr>
            <w:tab/>
          </w:r>
          <w:r>
            <w:rPr>
              <w:rFonts w:hint="eastAsia"/>
            </w:rPr>
            <w:fldChar w:fldCharType="begin"/>
          </w:r>
          <w:r>
            <w:rPr>
              <w:rFonts w:hint="eastAsia"/>
            </w:rPr>
            <w:instrText xml:space="preserve"> </w:instrText>
          </w:r>
          <w:r>
            <w:instrText xml:space="preserve">PAGEREF _Toc217294067 \h</w:instrText>
          </w:r>
          <w:r>
            <w:rPr>
              <w:rFonts w:hint="eastAsia"/>
            </w:rPr>
            <w:instrText xml:space="preserve"> </w:instrText>
          </w:r>
          <w:r>
            <w:rPr>
              <w:rFonts w:hint="eastAsia"/>
            </w:rPr>
            <w:fldChar w:fldCharType="separate"/>
          </w:r>
          <w:r>
            <w:t>348</w:t>
          </w:r>
          <w:r>
            <w:rPr>
              <w:rFonts w:hint="eastAsia"/>
            </w:rPr>
            <w:fldChar w:fldCharType="end"/>
          </w:r>
          <w:r>
            <w:rPr>
              <w:rFonts w:hint="eastAsia"/>
            </w:rPr>
            <w:fldChar w:fldCharType="end"/>
          </w:r>
        </w:p>
        <w:p w14:paraId="23CA106E">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"_Toc217294068" </w:instrText>
          </w:r>
          <w:r>
            <w:fldChar w:fldCharType="separate"/>
          </w:r>
          <w:r>
            <w:rPr>
              <w:rStyle w:val="31"/>
              <w:rFonts w:hint="eastAsia" w:cs="Times New Roman"/>
            </w:rPr>
            <w:t>6.3生态影响与评价</w:t>
          </w:r>
          <w:r>
            <w:rPr>
              <w:rFonts w:hint="eastAsia"/>
            </w:rPr>
            <w:tab/>
          </w:r>
          <w:r>
            <w:rPr>
              <w:rFonts w:hint="eastAsia"/>
            </w:rPr>
            <w:fldChar w:fldCharType="begin"/>
          </w:r>
          <w:r>
            <w:rPr>
              <w:rFonts w:hint="eastAsia"/>
            </w:rPr>
            <w:instrText xml:space="preserve"> </w:instrText>
          </w:r>
          <w:r>
            <w:instrText xml:space="preserve">PAGEREF _Toc217294068 \h</w:instrText>
          </w:r>
          <w:r>
            <w:rPr>
              <w:rFonts w:hint="eastAsia"/>
            </w:rPr>
            <w:instrText xml:space="preserve"> </w:instrText>
          </w:r>
          <w:r>
            <w:rPr>
              <w:rFonts w:hint="eastAsia"/>
            </w:rPr>
            <w:fldChar w:fldCharType="separate"/>
          </w:r>
          <w:r>
            <w:t>349</w:t>
          </w:r>
          <w:r>
            <w:rPr>
              <w:rFonts w:hint="eastAsia"/>
            </w:rPr>
            <w:fldChar w:fldCharType="end"/>
          </w:r>
          <w:r>
            <w:rPr>
              <w:rFonts w:hint="eastAsia"/>
            </w:rPr>
            <w:fldChar w:fldCharType="end"/>
          </w:r>
        </w:p>
        <w:p w14:paraId="19E511CC">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"_Toc217294069" </w:instrText>
          </w:r>
          <w:r>
            <w:fldChar w:fldCharType="separate"/>
          </w:r>
          <w:r>
            <w:rPr>
              <w:rStyle w:val="31"/>
              <w:rFonts w:hint="eastAsia"/>
            </w:rPr>
            <w:t>7资源与环境承载状况评估</w:t>
          </w:r>
          <w:r>
            <w:rPr>
              <w:rFonts w:hint="eastAsia"/>
            </w:rPr>
            <w:tab/>
          </w:r>
          <w:r>
            <w:rPr>
              <w:rFonts w:hint="eastAsia"/>
            </w:rPr>
            <w:fldChar w:fldCharType="begin"/>
          </w:r>
          <w:r>
            <w:rPr>
              <w:rFonts w:hint="eastAsia"/>
            </w:rPr>
            <w:instrText xml:space="preserve"> </w:instrText>
          </w:r>
          <w:r>
            <w:instrText xml:space="preserve">PAGEREF _Toc217294069 \h</w:instrText>
          </w:r>
          <w:r>
            <w:rPr>
              <w:rFonts w:hint="eastAsia"/>
            </w:rPr>
            <w:instrText xml:space="preserve"> </w:instrText>
          </w:r>
          <w:r>
            <w:rPr>
              <w:rFonts w:hint="eastAsia"/>
            </w:rPr>
            <w:fldChar w:fldCharType="separate"/>
          </w:r>
          <w:r>
            <w:t>358</w:t>
          </w:r>
          <w:r>
            <w:rPr>
              <w:rFonts w:hint="eastAsia"/>
            </w:rPr>
            <w:fldChar w:fldCharType="end"/>
          </w:r>
          <w:r>
            <w:rPr>
              <w:rFonts w:hint="eastAsia"/>
            </w:rPr>
            <w:fldChar w:fldCharType="end"/>
          </w:r>
        </w:p>
        <w:p w14:paraId="03E87DAE">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"_Toc217294070" </w:instrText>
          </w:r>
          <w:r>
            <w:fldChar w:fldCharType="separate"/>
          </w:r>
          <w:r>
            <w:rPr>
              <w:rStyle w:val="31"/>
              <w:rFonts w:hint="eastAsia" w:cs="Times New Roman"/>
            </w:rPr>
            <w:t>7.1空间资源承载力分析</w:t>
          </w:r>
          <w:r>
            <w:rPr>
              <w:rFonts w:hint="eastAsia"/>
            </w:rPr>
            <w:tab/>
          </w:r>
          <w:r>
            <w:rPr>
              <w:rFonts w:hint="eastAsia"/>
            </w:rPr>
            <w:fldChar w:fldCharType="begin"/>
          </w:r>
          <w:r>
            <w:rPr>
              <w:rFonts w:hint="eastAsia"/>
            </w:rPr>
            <w:instrText xml:space="preserve"> </w:instrText>
          </w:r>
          <w:r>
            <w:instrText xml:space="preserve">PAGEREF _Toc217294070 \h</w:instrText>
          </w:r>
          <w:r>
            <w:rPr>
              <w:rFonts w:hint="eastAsia"/>
            </w:rPr>
            <w:instrText xml:space="preserve"> </w:instrText>
          </w:r>
          <w:r>
            <w:rPr>
              <w:rFonts w:hint="eastAsia"/>
            </w:rPr>
            <w:fldChar w:fldCharType="separate"/>
          </w:r>
          <w:r>
            <w:t>358</w:t>
          </w:r>
          <w:r>
            <w:rPr>
              <w:rFonts w:hint="eastAsia"/>
            </w:rPr>
            <w:fldChar w:fldCharType="end"/>
          </w:r>
          <w:r>
            <w:rPr>
              <w:rFonts w:hint="eastAsia"/>
            </w:rPr>
            <w:fldChar w:fldCharType="end"/>
          </w:r>
        </w:p>
        <w:p w14:paraId="092A2307">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"_Toc217294071" </w:instrText>
          </w:r>
          <w:r>
            <w:fldChar w:fldCharType="separate"/>
          </w:r>
          <w:r>
            <w:rPr>
              <w:rStyle w:val="31"/>
              <w:rFonts w:hint="eastAsia" w:cs="Times New Roman"/>
            </w:rPr>
            <w:t>7.2水资源承载力分析</w:t>
          </w:r>
          <w:r>
            <w:rPr>
              <w:rFonts w:hint="eastAsia"/>
            </w:rPr>
            <w:tab/>
          </w:r>
          <w:r>
            <w:rPr>
              <w:rFonts w:hint="eastAsia"/>
            </w:rPr>
            <w:fldChar w:fldCharType="begin"/>
          </w:r>
          <w:r>
            <w:rPr>
              <w:rFonts w:hint="eastAsia"/>
            </w:rPr>
            <w:instrText xml:space="preserve"> </w:instrText>
          </w:r>
          <w:r>
            <w:instrText xml:space="preserve">PAGEREF _Toc217294071 \h</w:instrText>
          </w:r>
          <w:r>
            <w:rPr>
              <w:rFonts w:hint="eastAsia"/>
            </w:rPr>
            <w:instrText xml:space="preserve"> </w:instrText>
          </w:r>
          <w:r>
            <w:rPr>
              <w:rFonts w:hint="eastAsia"/>
            </w:rPr>
            <w:fldChar w:fldCharType="separate"/>
          </w:r>
          <w:r>
            <w:t>363</w:t>
          </w:r>
          <w:r>
            <w:rPr>
              <w:rFonts w:hint="eastAsia"/>
            </w:rPr>
            <w:fldChar w:fldCharType="end"/>
          </w:r>
          <w:r>
            <w:rPr>
              <w:rFonts w:hint="eastAsia"/>
            </w:rPr>
            <w:fldChar w:fldCharType="end"/>
          </w:r>
        </w:p>
        <w:p w14:paraId="308E7A77">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"_Toc217294072" </w:instrText>
          </w:r>
          <w:r>
            <w:fldChar w:fldCharType="separate"/>
          </w:r>
          <w:r>
            <w:rPr>
              <w:rStyle w:val="31"/>
              <w:rFonts w:hint="eastAsia" w:cs="Times New Roman"/>
            </w:rPr>
            <w:t>7.3大气环境承载力分析</w:t>
          </w:r>
          <w:r>
            <w:rPr>
              <w:rFonts w:hint="eastAsia"/>
            </w:rPr>
            <w:tab/>
          </w:r>
          <w:r>
            <w:rPr>
              <w:rFonts w:hint="eastAsia"/>
            </w:rPr>
            <w:fldChar w:fldCharType="begin"/>
          </w:r>
          <w:r>
            <w:rPr>
              <w:rFonts w:hint="eastAsia"/>
            </w:rPr>
            <w:instrText xml:space="preserve"> </w:instrText>
          </w:r>
          <w:r>
            <w:instrText xml:space="preserve">PAGEREF _Toc217294072 \h</w:instrText>
          </w:r>
          <w:r>
            <w:rPr>
              <w:rFonts w:hint="eastAsia"/>
            </w:rPr>
            <w:instrText xml:space="preserve"> </w:instrText>
          </w:r>
          <w:r>
            <w:rPr>
              <w:rFonts w:hint="eastAsia"/>
            </w:rPr>
            <w:fldChar w:fldCharType="separate"/>
          </w:r>
          <w:r>
            <w:t>364</w:t>
          </w:r>
          <w:r>
            <w:rPr>
              <w:rFonts w:hint="eastAsia"/>
            </w:rPr>
            <w:fldChar w:fldCharType="end"/>
          </w:r>
          <w:r>
            <w:rPr>
              <w:rFonts w:hint="eastAsia"/>
            </w:rPr>
            <w:fldChar w:fldCharType="end"/>
          </w:r>
        </w:p>
        <w:p w14:paraId="64FD068A">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"_Toc217294073" </w:instrText>
          </w:r>
          <w:r>
            <w:fldChar w:fldCharType="separate"/>
          </w:r>
          <w:r>
            <w:rPr>
              <w:rStyle w:val="31"/>
              <w:rFonts w:hint="eastAsia" w:cs="Times New Roman"/>
            </w:rPr>
            <w:t>7.4水环境承载力分析</w:t>
          </w:r>
          <w:r>
            <w:rPr>
              <w:rFonts w:hint="eastAsia"/>
            </w:rPr>
            <w:tab/>
          </w:r>
          <w:r>
            <w:rPr>
              <w:rFonts w:hint="eastAsia"/>
            </w:rPr>
            <w:fldChar w:fldCharType="begin"/>
          </w:r>
          <w:r>
            <w:rPr>
              <w:rFonts w:hint="eastAsia"/>
            </w:rPr>
            <w:instrText xml:space="preserve"> </w:instrText>
          </w:r>
          <w:r>
            <w:instrText xml:space="preserve">PAGEREF _Toc217294073 \h</w:instrText>
          </w:r>
          <w:r>
            <w:rPr>
              <w:rFonts w:hint="eastAsia"/>
            </w:rPr>
            <w:instrText xml:space="preserve"> </w:instrText>
          </w:r>
          <w:r>
            <w:rPr>
              <w:rFonts w:hint="eastAsia"/>
            </w:rPr>
            <w:fldChar w:fldCharType="separate"/>
          </w:r>
          <w:r>
            <w:t>364</w:t>
          </w:r>
          <w:r>
            <w:rPr>
              <w:rFonts w:hint="eastAsia"/>
            </w:rPr>
            <w:fldChar w:fldCharType="end"/>
          </w:r>
          <w:r>
            <w:rPr>
              <w:rFonts w:hint="eastAsia"/>
            </w:rPr>
            <w:fldChar w:fldCharType="end"/>
          </w:r>
        </w:p>
        <w:p w14:paraId="59F0B7C5">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"_Toc217294074" </w:instrText>
          </w:r>
          <w:r>
            <w:fldChar w:fldCharType="separate"/>
          </w:r>
          <w:r>
            <w:rPr>
              <w:rStyle w:val="31"/>
              <w:rFonts w:hint="eastAsia" w:cs="Times New Roman"/>
            </w:rPr>
            <w:t>7.6景观协调性分析</w:t>
          </w:r>
          <w:r>
            <w:rPr>
              <w:rFonts w:hint="eastAsia"/>
            </w:rPr>
            <w:tab/>
          </w:r>
          <w:r>
            <w:rPr>
              <w:rFonts w:hint="eastAsia"/>
            </w:rPr>
            <w:fldChar w:fldCharType="begin"/>
          </w:r>
          <w:r>
            <w:rPr>
              <w:rFonts w:hint="eastAsia"/>
            </w:rPr>
            <w:instrText xml:space="preserve"> </w:instrText>
          </w:r>
          <w:r>
            <w:instrText xml:space="preserve">PAGEREF _Toc217294074 \h</w:instrText>
          </w:r>
          <w:r>
            <w:rPr>
              <w:rFonts w:hint="eastAsia"/>
            </w:rPr>
            <w:instrText xml:space="preserve"> </w:instrText>
          </w:r>
          <w:r>
            <w:rPr>
              <w:rFonts w:hint="eastAsia"/>
            </w:rPr>
            <w:fldChar w:fldCharType="separate"/>
          </w:r>
          <w:r>
            <w:t>365</w:t>
          </w:r>
          <w:r>
            <w:rPr>
              <w:rFonts w:hint="eastAsia"/>
            </w:rPr>
            <w:fldChar w:fldCharType="end"/>
          </w:r>
          <w:r>
            <w:rPr>
              <w:rFonts w:hint="eastAsia"/>
            </w:rPr>
            <w:fldChar w:fldCharType="end"/>
          </w:r>
        </w:p>
        <w:p w14:paraId="02C6E007">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"_Toc217294075" </w:instrText>
          </w:r>
          <w:r>
            <w:fldChar w:fldCharType="separate"/>
          </w:r>
          <w:r>
            <w:rPr>
              <w:rStyle w:val="31"/>
              <w:rFonts w:hint="eastAsia" w:cs="Times New Roman"/>
            </w:rPr>
            <w:t>7.6污染物总量控制</w:t>
          </w:r>
          <w:r>
            <w:rPr>
              <w:rFonts w:hint="eastAsia"/>
            </w:rPr>
            <w:tab/>
          </w:r>
          <w:r>
            <w:rPr>
              <w:rFonts w:hint="eastAsia"/>
            </w:rPr>
            <w:fldChar w:fldCharType="begin"/>
          </w:r>
          <w:r>
            <w:rPr>
              <w:rFonts w:hint="eastAsia"/>
            </w:rPr>
            <w:instrText xml:space="preserve"> </w:instrText>
          </w:r>
          <w:r>
            <w:instrText xml:space="preserve">PAGEREF _Toc217294075 \h</w:instrText>
          </w:r>
          <w:r>
            <w:rPr>
              <w:rFonts w:hint="eastAsia"/>
            </w:rPr>
            <w:instrText xml:space="preserve"> </w:instrText>
          </w:r>
          <w:r>
            <w:rPr>
              <w:rFonts w:hint="eastAsia"/>
            </w:rPr>
            <w:fldChar w:fldCharType="separate"/>
          </w:r>
          <w:r>
            <w:t>366</w:t>
          </w:r>
          <w:r>
            <w:rPr>
              <w:rFonts w:hint="eastAsia"/>
            </w:rPr>
            <w:fldChar w:fldCharType="end"/>
          </w:r>
          <w:r>
            <w:rPr>
              <w:rFonts w:hint="eastAsia"/>
            </w:rPr>
            <w:fldChar w:fldCharType="end"/>
          </w:r>
        </w:p>
        <w:p w14:paraId="228D2FC1">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"_Toc217294076" </w:instrText>
          </w:r>
          <w:r>
            <w:fldChar w:fldCharType="separate"/>
          </w:r>
          <w:r>
            <w:rPr>
              <w:rStyle w:val="31"/>
              <w:rFonts w:hint="eastAsia"/>
            </w:rPr>
            <w:t>8规划方案综合论证和优化调整建议</w:t>
          </w:r>
          <w:r>
            <w:rPr>
              <w:rFonts w:hint="eastAsia"/>
            </w:rPr>
            <w:tab/>
          </w:r>
          <w:r>
            <w:rPr>
              <w:rFonts w:hint="eastAsia"/>
            </w:rPr>
            <w:fldChar w:fldCharType="begin"/>
          </w:r>
          <w:r>
            <w:rPr>
              <w:rFonts w:hint="eastAsia"/>
            </w:rPr>
            <w:instrText xml:space="preserve"> </w:instrText>
          </w:r>
          <w:r>
            <w:instrText xml:space="preserve">PAGEREF _Toc217294076 \h</w:instrText>
          </w:r>
          <w:r>
            <w:rPr>
              <w:rFonts w:hint="eastAsia"/>
            </w:rPr>
            <w:instrText xml:space="preserve"> </w:instrText>
          </w:r>
          <w:r>
            <w:rPr>
              <w:rFonts w:hint="eastAsia"/>
            </w:rPr>
            <w:fldChar w:fldCharType="separate"/>
          </w:r>
          <w:r>
            <w:t>366</w:t>
          </w:r>
          <w:r>
            <w:rPr>
              <w:rFonts w:hint="eastAsia"/>
            </w:rPr>
            <w:fldChar w:fldCharType="end"/>
          </w:r>
          <w:r>
            <w:rPr>
              <w:rFonts w:hint="eastAsia"/>
            </w:rPr>
            <w:fldChar w:fldCharType="end"/>
          </w:r>
        </w:p>
        <w:p w14:paraId="1D6DD656">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"_Toc217294077" </w:instrText>
          </w:r>
          <w:r>
            <w:fldChar w:fldCharType="separate"/>
          </w:r>
          <w:r>
            <w:rPr>
              <w:rStyle w:val="31"/>
              <w:rFonts w:hint="eastAsia" w:cs="Times New Roman"/>
            </w:rPr>
            <w:t>8.1规划方案的环境合理性论证</w:t>
          </w:r>
          <w:r>
            <w:rPr>
              <w:rFonts w:hint="eastAsia"/>
            </w:rPr>
            <w:tab/>
          </w:r>
          <w:r>
            <w:rPr>
              <w:rFonts w:hint="eastAsia"/>
            </w:rPr>
            <w:fldChar w:fldCharType="begin"/>
          </w:r>
          <w:r>
            <w:rPr>
              <w:rFonts w:hint="eastAsia"/>
            </w:rPr>
            <w:instrText xml:space="preserve"> </w:instrText>
          </w:r>
          <w:r>
            <w:instrText xml:space="preserve">PAGEREF _Toc217294077 \h</w:instrText>
          </w:r>
          <w:r>
            <w:rPr>
              <w:rFonts w:hint="eastAsia"/>
            </w:rPr>
            <w:instrText xml:space="preserve"> </w:instrText>
          </w:r>
          <w:r>
            <w:rPr>
              <w:rFonts w:hint="eastAsia"/>
            </w:rPr>
            <w:fldChar w:fldCharType="separate"/>
          </w:r>
          <w:r>
            <w:t>367</w:t>
          </w:r>
          <w:r>
            <w:rPr>
              <w:rFonts w:hint="eastAsia"/>
            </w:rPr>
            <w:fldChar w:fldCharType="end"/>
          </w:r>
          <w:r>
            <w:rPr>
              <w:rFonts w:hint="eastAsia"/>
            </w:rPr>
            <w:fldChar w:fldCharType="end"/>
          </w:r>
        </w:p>
        <w:p w14:paraId="19C455D8">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"_Toc217294078" </w:instrText>
          </w:r>
          <w:r>
            <w:fldChar w:fldCharType="separate"/>
          </w:r>
          <w:r>
            <w:rPr>
              <w:rStyle w:val="31"/>
              <w:rFonts w:hint="eastAsia" w:cs="Times New Roman"/>
            </w:rPr>
            <w:t>8.2环境目标与评价指标可达性分析</w:t>
          </w:r>
          <w:r>
            <w:rPr>
              <w:rFonts w:hint="eastAsia"/>
            </w:rPr>
            <w:tab/>
          </w:r>
          <w:r>
            <w:rPr>
              <w:rFonts w:hint="eastAsia"/>
            </w:rPr>
            <w:fldChar w:fldCharType="begin"/>
          </w:r>
          <w:r>
            <w:rPr>
              <w:rFonts w:hint="eastAsia"/>
            </w:rPr>
            <w:instrText xml:space="preserve"> </w:instrText>
          </w:r>
          <w:r>
            <w:instrText xml:space="preserve">PAGEREF _Toc217294078 \h</w:instrText>
          </w:r>
          <w:r>
            <w:rPr>
              <w:rFonts w:hint="eastAsia"/>
            </w:rPr>
            <w:instrText xml:space="preserve"> </w:instrText>
          </w:r>
          <w:r>
            <w:rPr>
              <w:rFonts w:hint="eastAsia"/>
            </w:rPr>
            <w:fldChar w:fldCharType="separate"/>
          </w:r>
          <w:r>
            <w:t>375</w:t>
          </w:r>
          <w:r>
            <w:rPr>
              <w:rFonts w:hint="eastAsia"/>
            </w:rPr>
            <w:fldChar w:fldCharType="end"/>
          </w:r>
          <w:r>
            <w:rPr>
              <w:rFonts w:hint="eastAsia"/>
            </w:rPr>
            <w:fldChar w:fldCharType="end"/>
          </w:r>
        </w:p>
        <w:p w14:paraId="1C1E0694">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"_Toc217294079" </w:instrText>
          </w:r>
          <w:r>
            <w:fldChar w:fldCharType="separate"/>
          </w:r>
          <w:r>
            <w:rPr>
              <w:rStyle w:val="31"/>
              <w:rFonts w:hint="eastAsia" w:cs="Times New Roman"/>
            </w:rPr>
            <w:t>8.3规划方案的优化调整建议</w:t>
          </w:r>
          <w:r>
            <w:rPr>
              <w:rFonts w:hint="eastAsia"/>
            </w:rPr>
            <w:tab/>
          </w:r>
          <w:r>
            <w:rPr>
              <w:rFonts w:hint="eastAsia"/>
            </w:rPr>
            <w:fldChar w:fldCharType="begin"/>
          </w:r>
          <w:r>
            <w:rPr>
              <w:rFonts w:hint="eastAsia"/>
            </w:rPr>
            <w:instrText xml:space="preserve"> </w:instrText>
          </w:r>
          <w:r>
            <w:instrText xml:space="preserve">PAGEREF _Toc217294079 \h</w:instrText>
          </w:r>
          <w:r>
            <w:rPr>
              <w:rFonts w:hint="eastAsia"/>
            </w:rPr>
            <w:instrText xml:space="preserve"> </w:instrText>
          </w:r>
          <w:r>
            <w:rPr>
              <w:rFonts w:hint="eastAsia"/>
            </w:rPr>
            <w:fldChar w:fldCharType="separate"/>
          </w:r>
          <w:r>
            <w:t>380</w:t>
          </w:r>
          <w:r>
            <w:rPr>
              <w:rFonts w:hint="eastAsia"/>
            </w:rPr>
            <w:fldChar w:fldCharType="end"/>
          </w:r>
          <w:r>
            <w:rPr>
              <w:rFonts w:hint="eastAsia"/>
            </w:rPr>
            <w:fldChar w:fldCharType="end"/>
          </w:r>
        </w:p>
        <w:p w14:paraId="46EF1DB4">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"_Toc217294080" </w:instrText>
          </w:r>
          <w:r>
            <w:fldChar w:fldCharType="separate"/>
          </w:r>
          <w:r>
            <w:rPr>
              <w:rStyle w:val="31"/>
              <w:rFonts w:hint="eastAsia"/>
            </w:rPr>
            <w:t>9环境影响减缓对策和措施</w:t>
          </w:r>
          <w:r>
            <w:rPr>
              <w:rFonts w:hint="eastAsia"/>
            </w:rPr>
            <w:tab/>
          </w:r>
          <w:r>
            <w:rPr>
              <w:rFonts w:hint="eastAsia"/>
            </w:rPr>
            <w:fldChar w:fldCharType="begin"/>
          </w:r>
          <w:r>
            <w:rPr>
              <w:rFonts w:hint="eastAsia"/>
            </w:rPr>
            <w:instrText xml:space="preserve"> </w:instrText>
          </w:r>
          <w:r>
            <w:instrText xml:space="preserve">PAGEREF _Toc217294080 \h</w:instrText>
          </w:r>
          <w:r>
            <w:rPr>
              <w:rFonts w:hint="eastAsia"/>
            </w:rPr>
            <w:instrText xml:space="preserve"> </w:instrText>
          </w:r>
          <w:r>
            <w:rPr>
              <w:rFonts w:hint="eastAsia"/>
            </w:rPr>
            <w:fldChar w:fldCharType="separate"/>
          </w:r>
          <w:r>
            <w:t>383</w:t>
          </w:r>
          <w:r>
            <w:rPr>
              <w:rFonts w:hint="eastAsia"/>
            </w:rPr>
            <w:fldChar w:fldCharType="end"/>
          </w:r>
          <w:r>
            <w:rPr>
              <w:rFonts w:hint="eastAsia"/>
            </w:rPr>
            <w:fldChar w:fldCharType="end"/>
          </w:r>
        </w:p>
        <w:p w14:paraId="5E53563C">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"_Toc217294081" </w:instrText>
          </w:r>
          <w:r>
            <w:fldChar w:fldCharType="separate"/>
          </w:r>
          <w:r>
            <w:rPr>
              <w:rStyle w:val="31"/>
              <w:rFonts w:hint="eastAsia" w:cs="Times New Roman"/>
            </w:rPr>
            <w:t>9.1资源节约利用和碳减排</w:t>
          </w:r>
          <w:r>
            <w:rPr>
              <w:rFonts w:hint="eastAsia"/>
            </w:rPr>
            <w:tab/>
          </w:r>
          <w:r>
            <w:rPr>
              <w:rFonts w:hint="eastAsia"/>
            </w:rPr>
            <w:fldChar w:fldCharType="begin"/>
          </w:r>
          <w:r>
            <w:rPr>
              <w:rFonts w:hint="eastAsia"/>
            </w:rPr>
            <w:instrText xml:space="preserve"> </w:instrText>
          </w:r>
          <w:r>
            <w:instrText xml:space="preserve">PAGEREF _Toc217294081 \h</w:instrText>
          </w:r>
          <w:r>
            <w:rPr>
              <w:rFonts w:hint="eastAsia"/>
            </w:rPr>
            <w:instrText xml:space="preserve"> </w:instrText>
          </w:r>
          <w:r>
            <w:rPr>
              <w:rFonts w:hint="eastAsia"/>
            </w:rPr>
            <w:fldChar w:fldCharType="separate"/>
          </w:r>
          <w:r>
            <w:t>383</w:t>
          </w:r>
          <w:r>
            <w:rPr>
              <w:rFonts w:hint="eastAsia"/>
            </w:rPr>
            <w:fldChar w:fldCharType="end"/>
          </w:r>
          <w:r>
            <w:rPr>
              <w:rFonts w:hint="eastAsia"/>
            </w:rPr>
            <w:fldChar w:fldCharType="end"/>
          </w:r>
        </w:p>
        <w:p w14:paraId="3E201F74">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"_Toc217294082" </w:instrText>
          </w:r>
          <w:r>
            <w:fldChar w:fldCharType="separate"/>
          </w:r>
          <w:r>
            <w:rPr>
              <w:rStyle w:val="31"/>
              <w:rFonts w:hint="eastAsia" w:cs="Times New Roman"/>
            </w:rPr>
            <w:t>9.2环境风险防范对策</w:t>
          </w:r>
          <w:r>
            <w:rPr>
              <w:rFonts w:hint="eastAsia"/>
            </w:rPr>
            <w:tab/>
          </w:r>
          <w:r>
            <w:rPr>
              <w:rFonts w:hint="eastAsia"/>
            </w:rPr>
            <w:fldChar w:fldCharType="begin"/>
          </w:r>
          <w:r>
            <w:rPr>
              <w:rFonts w:hint="eastAsia"/>
            </w:rPr>
            <w:instrText xml:space="preserve"> </w:instrText>
          </w:r>
          <w:r>
            <w:instrText xml:space="preserve">PAGEREF _Toc217294082 \h</w:instrText>
          </w:r>
          <w:r>
            <w:rPr>
              <w:rFonts w:hint="eastAsia"/>
            </w:rPr>
            <w:instrText xml:space="preserve"> </w:instrText>
          </w:r>
          <w:r>
            <w:rPr>
              <w:rFonts w:hint="eastAsia"/>
            </w:rPr>
            <w:fldChar w:fldCharType="separate"/>
          </w:r>
          <w:r>
            <w:t>386</w:t>
          </w:r>
          <w:r>
            <w:rPr>
              <w:rFonts w:hint="eastAsia"/>
            </w:rPr>
            <w:fldChar w:fldCharType="end"/>
          </w:r>
          <w:r>
            <w:rPr>
              <w:rFonts w:hint="eastAsia"/>
            </w:rPr>
            <w:fldChar w:fldCharType="end"/>
          </w:r>
        </w:p>
        <w:p w14:paraId="71636EF1">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"_Toc217294083" </w:instrText>
          </w:r>
          <w:r>
            <w:fldChar w:fldCharType="separate"/>
          </w:r>
          <w:r>
            <w:rPr>
              <w:rStyle w:val="31"/>
              <w:rFonts w:hint="eastAsia" w:cs="Times New Roman"/>
            </w:rPr>
            <w:t>9.3生态环境保护与污染防治对策和措施</w:t>
          </w:r>
          <w:r>
            <w:rPr>
              <w:rFonts w:hint="eastAsia"/>
            </w:rPr>
            <w:tab/>
          </w:r>
          <w:r>
            <w:rPr>
              <w:rFonts w:hint="eastAsia"/>
            </w:rPr>
            <w:fldChar w:fldCharType="begin"/>
          </w:r>
          <w:r>
            <w:rPr>
              <w:rFonts w:hint="eastAsia"/>
            </w:rPr>
            <w:instrText xml:space="preserve"> </w:instrText>
          </w:r>
          <w:r>
            <w:instrText xml:space="preserve">PAGEREF _Toc217294083 \h</w:instrText>
          </w:r>
          <w:r>
            <w:rPr>
              <w:rFonts w:hint="eastAsia"/>
            </w:rPr>
            <w:instrText xml:space="preserve"> </w:instrText>
          </w:r>
          <w:r>
            <w:rPr>
              <w:rFonts w:hint="eastAsia"/>
            </w:rPr>
            <w:fldChar w:fldCharType="separate"/>
          </w:r>
          <w:r>
            <w:t>389</w:t>
          </w:r>
          <w:r>
            <w:rPr>
              <w:rFonts w:hint="eastAsia"/>
            </w:rPr>
            <w:fldChar w:fldCharType="end"/>
          </w:r>
          <w:r>
            <w:rPr>
              <w:rFonts w:hint="eastAsia"/>
            </w:rPr>
            <w:fldChar w:fldCharType="end"/>
          </w:r>
        </w:p>
        <w:p w14:paraId="0EA41089">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"_Toc217294084" </w:instrText>
          </w:r>
          <w:r>
            <w:fldChar w:fldCharType="separate"/>
          </w:r>
          <w:r>
            <w:rPr>
              <w:rStyle w:val="31"/>
              <w:rFonts w:hint="eastAsia"/>
            </w:rPr>
            <w:t>10环境影响跟踪评价计划</w:t>
          </w:r>
          <w:r>
            <w:rPr>
              <w:rFonts w:hint="eastAsia"/>
            </w:rPr>
            <w:tab/>
          </w:r>
          <w:r>
            <w:rPr>
              <w:rFonts w:hint="eastAsia"/>
            </w:rPr>
            <w:fldChar w:fldCharType="begin"/>
          </w:r>
          <w:r>
            <w:rPr>
              <w:rFonts w:hint="eastAsia"/>
            </w:rPr>
            <w:instrText xml:space="preserve"> </w:instrText>
          </w:r>
          <w:r>
            <w:instrText xml:space="preserve">PAGEREF _Toc217294084 \h</w:instrText>
          </w:r>
          <w:r>
            <w:rPr>
              <w:rFonts w:hint="eastAsia"/>
            </w:rPr>
            <w:instrText xml:space="preserve"> </w:instrText>
          </w:r>
          <w:r>
            <w:rPr>
              <w:rFonts w:hint="eastAsia"/>
            </w:rPr>
            <w:fldChar w:fldCharType="separate"/>
          </w:r>
          <w:r>
            <w:t>410</w:t>
          </w:r>
          <w:r>
            <w:rPr>
              <w:rFonts w:hint="eastAsia"/>
            </w:rPr>
            <w:fldChar w:fldCharType="end"/>
          </w:r>
          <w:r>
            <w:rPr>
              <w:rFonts w:hint="eastAsia"/>
            </w:rPr>
            <w:fldChar w:fldCharType="end"/>
          </w:r>
        </w:p>
        <w:p w14:paraId="471B0A59">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"_Toc217294085" </w:instrText>
          </w:r>
          <w:r>
            <w:fldChar w:fldCharType="separate"/>
          </w:r>
          <w:r>
            <w:rPr>
              <w:rStyle w:val="31"/>
              <w:rFonts w:hint="eastAsia" w:cs="Times New Roman"/>
            </w:rPr>
            <w:t>10.1环境质量监测计划</w:t>
          </w:r>
          <w:r>
            <w:rPr>
              <w:rFonts w:hint="eastAsia"/>
            </w:rPr>
            <w:tab/>
          </w:r>
          <w:r>
            <w:rPr>
              <w:rFonts w:hint="eastAsia"/>
            </w:rPr>
            <w:fldChar w:fldCharType="begin"/>
          </w:r>
          <w:r>
            <w:rPr>
              <w:rFonts w:hint="eastAsia"/>
            </w:rPr>
            <w:instrText xml:space="preserve"> </w:instrText>
          </w:r>
          <w:r>
            <w:instrText xml:space="preserve">PAGEREF _Toc217294085 \h</w:instrText>
          </w:r>
          <w:r>
            <w:rPr>
              <w:rFonts w:hint="eastAsia"/>
            </w:rPr>
            <w:instrText xml:space="preserve"> </w:instrText>
          </w:r>
          <w:r>
            <w:rPr>
              <w:rFonts w:hint="eastAsia"/>
            </w:rPr>
            <w:fldChar w:fldCharType="separate"/>
          </w:r>
          <w:r>
            <w:t>410</w:t>
          </w:r>
          <w:r>
            <w:rPr>
              <w:rFonts w:hint="eastAsia"/>
            </w:rPr>
            <w:fldChar w:fldCharType="end"/>
          </w:r>
          <w:r>
            <w:rPr>
              <w:rFonts w:hint="eastAsia"/>
            </w:rPr>
            <w:fldChar w:fldCharType="end"/>
          </w:r>
        </w:p>
        <w:p w14:paraId="7368C31C">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"_Toc217294086" </w:instrText>
          </w:r>
          <w:r>
            <w:fldChar w:fldCharType="separate"/>
          </w:r>
          <w:r>
            <w:rPr>
              <w:rStyle w:val="31"/>
              <w:rFonts w:hint="eastAsia" w:cs="Times New Roman"/>
            </w:rPr>
            <w:t>10.2环境影响跟踪评价计划</w:t>
          </w:r>
          <w:r>
            <w:rPr>
              <w:rFonts w:hint="eastAsia"/>
            </w:rPr>
            <w:tab/>
          </w:r>
          <w:r>
            <w:rPr>
              <w:rFonts w:hint="eastAsia"/>
            </w:rPr>
            <w:fldChar w:fldCharType="begin"/>
          </w:r>
          <w:r>
            <w:rPr>
              <w:rFonts w:hint="eastAsia"/>
            </w:rPr>
            <w:instrText xml:space="preserve"> </w:instrText>
          </w:r>
          <w:r>
            <w:instrText xml:space="preserve">PAGEREF _Toc217294086 \h</w:instrText>
          </w:r>
          <w:r>
            <w:rPr>
              <w:rFonts w:hint="eastAsia"/>
            </w:rPr>
            <w:instrText xml:space="preserve"> </w:instrText>
          </w:r>
          <w:r>
            <w:rPr>
              <w:rFonts w:hint="eastAsia"/>
            </w:rPr>
            <w:fldChar w:fldCharType="separate"/>
          </w:r>
          <w:r>
            <w:t>412</w:t>
          </w:r>
          <w:r>
            <w:rPr>
              <w:rFonts w:hint="eastAsia"/>
            </w:rPr>
            <w:fldChar w:fldCharType="end"/>
          </w:r>
          <w:r>
            <w:rPr>
              <w:rFonts w:hint="eastAsia"/>
            </w:rPr>
            <w:fldChar w:fldCharType="end"/>
          </w:r>
        </w:p>
        <w:p w14:paraId="1511EDA7">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"_Toc217294087" </w:instrText>
          </w:r>
          <w:r>
            <w:fldChar w:fldCharType="separate"/>
          </w:r>
          <w:r>
            <w:rPr>
              <w:rStyle w:val="31"/>
              <w:rFonts w:hint="eastAsia" w:cs="Times New Roman"/>
            </w:rPr>
            <w:t>10.3对建设项目环境保护的指导意见</w:t>
          </w:r>
          <w:r>
            <w:rPr>
              <w:rFonts w:hint="eastAsia"/>
            </w:rPr>
            <w:tab/>
          </w:r>
          <w:r>
            <w:rPr>
              <w:rFonts w:hint="eastAsia"/>
            </w:rPr>
            <w:fldChar w:fldCharType="begin"/>
          </w:r>
          <w:r>
            <w:rPr>
              <w:rFonts w:hint="eastAsia"/>
            </w:rPr>
            <w:instrText xml:space="preserve"> </w:instrText>
          </w:r>
          <w:r>
            <w:instrText xml:space="preserve">PAGEREF _Toc217294087 \h</w:instrText>
          </w:r>
          <w:r>
            <w:rPr>
              <w:rFonts w:hint="eastAsia"/>
            </w:rPr>
            <w:instrText xml:space="preserve"> </w:instrText>
          </w:r>
          <w:r>
            <w:rPr>
              <w:rFonts w:hint="eastAsia"/>
            </w:rPr>
            <w:fldChar w:fldCharType="separate"/>
          </w:r>
          <w:r>
            <w:t>413</w:t>
          </w:r>
          <w:r>
            <w:rPr>
              <w:rFonts w:hint="eastAsia"/>
            </w:rPr>
            <w:fldChar w:fldCharType="end"/>
          </w:r>
          <w:r>
            <w:rPr>
              <w:rFonts w:hint="eastAsia"/>
            </w:rPr>
            <w:fldChar w:fldCharType="end"/>
          </w:r>
        </w:p>
        <w:p w14:paraId="6BD6E978">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"_Toc217294088" </w:instrText>
          </w:r>
          <w:r>
            <w:fldChar w:fldCharType="separate"/>
          </w:r>
          <w:r>
            <w:rPr>
              <w:rStyle w:val="31"/>
              <w:rFonts w:hint="eastAsia"/>
            </w:rPr>
            <w:t>11度假区环境管理与环境准入</w:t>
          </w:r>
          <w:r>
            <w:rPr>
              <w:rFonts w:hint="eastAsia"/>
            </w:rPr>
            <w:tab/>
          </w:r>
          <w:r>
            <w:rPr>
              <w:rFonts w:hint="eastAsia"/>
            </w:rPr>
            <w:fldChar w:fldCharType="begin"/>
          </w:r>
          <w:r>
            <w:rPr>
              <w:rFonts w:hint="eastAsia"/>
            </w:rPr>
            <w:instrText xml:space="preserve"> </w:instrText>
          </w:r>
          <w:r>
            <w:instrText xml:space="preserve">PAGEREF _Toc217294088 \h</w:instrText>
          </w:r>
          <w:r>
            <w:rPr>
              <w:rFonts w:hint="eastAsia"/>
            </w:rPr>
            <w:instrText xml:space="preserve"> </w:instrText>
          </w:r>
          <w:r>
            <w:rPr>
              <w:rFonts w:hint="eastAsia"/>
            </w:rPr>
            <w:fldChar w:fldCharType="separate"/>
          </w:r>
          <w:r>
            <w:t>414</w:t>
          </w:r>
          <w:r>
            <w:rPr>
              <w:rFonts w:hint="eastAsia"/>
            </w:rPr>
            <w:fldChar w:fldCharType="end"/>
          </w:r>
          <w:r>
            <w:rPr>
              <w:rFonts w:hint="eastAsia"/>
            </w:rPr>
            <w:fldChar w:fldCharType="end"/>
          </w:r>
        </w:p>
        <w:p w14:paraId="2EC79D93">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"_Toc217294089" </w:instrText>
          </w:r>
          <w:r>
            <w:fldChar w:fldCharType="separate"/>
          </w:r>
          <w:r>
            <w:rPr>
              <w:rStyle w:val="31"/>
              <w:rFonts w:hint="eastAsia" w:cs="Times New Roman"/>
            </w:rPr>
            <w:t>11.1度假区环境管理方案</w:t>
          </w:r>
          <w:r>
            <w:rPr>
              <w:rFonts w:hint="eastAsia"/>
            </w:rPr>
            <w:tab/>
          </w:r>
          <w:r>
            <w:rPr>
              <w:rFonts w:hint="eastAsia"/>
            </w:rPr>
            <w:fldChar w:fldCharType="begin"/>
          </w:r>
          <w:r>
            <w:rPr>
              <w:rFonts w:hint="eastAsia"/>
            </w:rPr>
            <w:instrText xml:space="preserve"> </w:instrText>
          </w:r>
          <w:r>
            <w:instrText xml:space="preserve">PAGEREF _Toc217294089 \h</w:instrText>
          </w:r>
          <w:r>
            <w:rPr>
              <w:rFonts w:hint="eastAsia"/>
            </w:rPr>
            <w:instrText xml:space="preserve"> </w:instrText>
          </w:r>
          <w:r>
            <w:rPr>
              <w:rFonts w:hint="eastAsia"/>
            </w:rPr>
            <w:fldChar w:fldCharType="separate"/>
          </w:r>
          <w:r>
            <w:t>414</w:t>
          </w:r>
          <w:r>
            <w:rPr>
              <w:rFonts w:hint="eastAsia"/>
            </w:rPr>
            <w:fldChar w:fldCharType="end"/>
          </w:r>
          <w:r>
            <w:rPr>
              <w:rFonts w:hint="eastAsia"/>
            </w:rPr>
            <w:fldChar w:fldCharType="end"/>
          </w:r>
        </w:p>
        <w:p w14:paraId="3AF4E958">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"_Toc217294090" </w:instrText>
          </w:r>
          <w:r>
            <w:fldChar w:fldCharType="separate"/>
          </w:r>
          <w:r>
            <w:rPr>
              <w:rStyle w:val="31"/>
              <w:rFonts w:hint="eastAsia" w:cs="Times New Roman"/>
            </w:rPr>
            <w:t>11.2度假区环境准入</w:t>
          </w:r>
          <w:r>
            <w:rPr>
              <w:rFonts w:hint="eastAsia"/>
            </w:rPr>
            <w:tab/>
          </w:r>
          <w:r>
            <w:rPr>
              <w:rFonts w:hint="eastAsia"/>
            </w:rPr>
            <w:fldChar w:fldCharType="begin"/>
          </w:r>
          <w:r>
            <w:rPr>
              <w:rFonts w:hint="eastAsia"/>
            </w:rPr>
            <w:instrText xml:space="preserve"> </w:instrText>
          </w:r>
          <w:r>
            <w:instrText xml:space="preserve">PAGEREF _Toc217294090 \h</w:instrText>
          </w:r>
          <w:r>
            <w:rPr>
              <w:rFonts w:hint="eastAsia"/>
            </w:rPr>
            <w:instrText xml:space="preserve"> </w:instrText>
          </w:r>
          <w:r>
            <w:rPr>
              <w:rFonts w:hint="eastAsia"/>
            </w:rPr>
            <w:fldChar w:fldCharType="separate"/>
          </w:r>
          <w:r>
            <w:t>416</w:t>
          </w:r>
          <w:r>
            <w:rPr>
              <w:rFonts w:hint="eastAsia"/>
            </w:rPr>
            <w:fldChar w:fldCharType="end"/>
          </w:r>
          <w:r>
            <w:rPr>
              <w:rFonts w:hint="eastAsia"/>
            </w:rPr>
            <w:fldChar w:fldCharType="end"/>
          </w:r>
        </w:p>
        <w:p w14:paraId="60A89FBF">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"_Toc217294091" </w:instrText>
          </w:r>
          <w:r>
            <w:fldChar w:fldCharType="separate"/>
          </w:r>
          <w:r>
            <w:rPr>
              <w:rStyle w:val="31"/>
              <w:rFonts w:hint="eastAsia"/>
            </w:rPr>
            <w:t>12公众参与</w:t>
          </w:r>
          <w:r>
            <w:rPr>
              <w:rFonts w:hint="eastAsia"/>
            </w:rPr>
            <w:tab/>
          </w:r>
          <w:r>
            <w:rPr>
              <w:rFonts w:hint="eastAsia"/>
            </w:rPr>
            <w:fldChar w:fldCharType="begin"/>
          </w:r>
          <w:r>
            <w:rPr>
              <w:rFonts w:hint="eastAsia"/>
            </w:rPr>
            <w:instrText xml:space="preserve"> </w:instrText>
          </w:r>
          <w:r>
            <w:instrText xml:space="preserve">PAGEREF _Toc217294091 \h</w:instrText>
          </w:r>
          <w:r>
            <w:rPr>
              <w:rFonts w:hint="eastAsia"/>
            </w:rPr>
            <w:instrText xml:space="preserve"> </w:instrText>
          </w:r>
          <w:r>
            <w:rPr>
              <w:rFonts w:hint="eastAsia"/>
            </w:rPr>
            <w:fldChar w:fldCharType="separate"/>
          </w:r>
          <w:r>
            <w:t>423</w:t>
          </w:r>
          <w:r>
            <w:rPr>
              <w:rFonts w:hint="eastAsia"/>
            </w:rPr>
            <w:fldChar w:fldCharType="end"/>
          </w:r>
          <w:r>
            <w:rPr>
              <w:rFonts w:hint="eastAsia"/>
            </w:rPr>
            <w:fldChar w:fldCharType="end"/>
          </w:r>
        </w:p>
        <w:p w14:paraId="400546DE">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"_Toc217294092" </w:instrText>
          </w:r>
          <w:r>
            <w:fldChar w:fldCharType="separate"/>
          </w:r>
          <w:r>
            <w:rPr>
              <w:rStyle w:val="31"/>
              <w:rFonts w:hint="eastAsia" w:cs="Times New Roman"/>
            </w:rPr>
            <w:t>12.1目的与原则</w:t>
          </w:r>
          <w:r>
            <w:rPr>
              <w:rFonts w:hint="eastAsia"/>
            </w:rPr>
            <w:tab/>
          </w:r>
          <w:r>
            <w:rPr>
              <w:rFonts w:hint="eastAsia"/>
            </w:rPr>
            <w:fldChar w:fldCharType="begin"/>
          </w:r>
          <w:r>
            <w:rPr>
              <w:rFonts w:hint="eastAsia"/>
            </w:rPr>
            <w:instrText xml:space="preserve"> </w:instrText>
          </w:r>
          <w:r>
            <w:instrText xml:space="preserve">PAGEREF _Toc217294092 \h</w:instrText>
          </w:r>
          <w:r>
            <w:rPr>
              <w:rFonts w:hint="eastAsia"/>
            </w:rPr>
            <w:instrText xml:space="preserve"> </w:instrText>
          </w:r>
          <w:r>
            <w:rPr>
              <w:rFonts w:hint="eastAsia"/>
            </w:rPr>
            <w:fldChar w:fldCharType="separate"/>
          </w:r>
          <w:r>
            <w:t>423</w:t>
          </w:r>
          <w:r>
            <w:rPr>
              <w:rFonts w:hint="eastAsia"/>
            </w:rPr>
            <w:fldChar w:fldCharType="end"/>
          </w:r>
          <w:r>
            <w:rPr>
              <w:rFonts w:hint="eastAsia"/>
            </w:rPr>
            <w:fldChar w:fldCharType="end"/>
          </w:r>
        </w:p>
        <w:p w14:paraId="257C7C61">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"_Toc217294093" </w:instrText>
          </w:r>
          <w:r>
            <w:fldChar w:fldCharType="separate"/>
          </w:r>
          <w:r>
            <w:rPr>
              <w:rStyle w:val="31"/>
              <w:rFonts w:hint="eastAsia" w:cs="Times New Roman"/>
            </w:rPr>
            <w:t>12.2首次信息公开情况</w:t>
          </w:r>
          <w:r>
            <w:rPr>
              <w:rFonts w:hint="eastAsia"/>
            </w:rPr>
            <w:tab/>
          </w:r>
          <w:r>
            <w:rPr>
              <w:rFonts w:hint="eastAsia"/>
            </w:rPr>
            <w:fldChar w:fldCharType="begin"/>
          </w:r>
          <w:r>
            <w:rPr>
              <w:rFonts w:hint="eastAsia"/>
            </w:rPr>
            <w:instrText xml:space="preserve"> </w:instrText>
          </w:r>
          <w:r>
            <w:instrText xml:space="preserve">PAGEREF _Toc217294093 \h</w:instrText>
          </w:r>
          <w:r>
            <w:rPr>
              <w:rFonts w:hint="eastAsia"/>
            </w:rPr>
            <w:instrText xml:space="preserve"> </w:instrText>
          </w:r>
          <w:r>
            <w:rPr>
              <w:rFonts w:hint="eastAsia"/>
            </w:rPr>
            <w:fldChar w:fldCharType="separate"/>
          </w:r>
          <w:r>
            <w:t>423</w:t>
          </w:r>
          <w:r>
            <w:rPr>
              <w:rFonts w:hint="eastAsia"/>
            </w:rPr>
            <w:fldChar w:fldCharType="end"/>
          </w:r>
          <w:r>
            <w:rPr>
              <w:rFonts w:hint="eastAsia"/>
            </w:rPr>
            <w:fldChar w:fldCharType="end"/>
          </w:r>
        </w:p>
        <w:p w14:paraId="33BC64E3">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"_Toc217294094" </w:instrText>
          </w:r>
          <w:r>
            <w:fldChar w:fldCharType="separate"/>
          </w:r>
          <w:r>
            <w:rPr>
              <w:rStyle w:val="31"/>
              <w:rFonts w:hint="eastAsia" w:cs="Times New Roman"/>
            </w:rPr>
            <w:t>12.3第二次信息公开情况</w:t>
          </w:r>
          <w:r>
            <w:rPr>
              <w:rFonts w:hint="eastAsia"/>
            </w:rPr>
            <w:tab/>
          </w:r>
          <w:r>
            <w:rPr>
              <w:rFonts w:hint="eastAsia"/>
            </w:rPr>
            <w:fldChar w:fldCharType="begin"/>
          </w:r>
          <w:r>
            <w:rPr>
              <w:rFonts w:hint="eastAsia"/>
            </w:rPr>
            <w:instrText xml:space="preserve"> </w:instrText>
          </w:r>
          <w:r>
            <w:instrText xml:space="preserve">PAGEREF _Toc217294094 \h</w:instrText>
          </w:r>
          <w:r>
            <w:rPr>
              <w:rFonts w:hint="eastAsia"/>
            </w:rPr>
            <w:instrText xml:space="preserve"> </w:instrText>
          </w:r>
          <w:r>
            <w:rPr>
              <w:rFonts w:hint="eastAsia"/>
            </w:rPr>
            <w:fldChar w:fldCharType="separate"/>
          </w:r>
          <w:r>
            <w:t>427</w:t>
          </w:r>
          <w:r>
            <w:rPr>
              <w:rFonts w:hint="eastAsia"/>
            </w:rPr>
            <w:fldChar w:fldCharType="end"/>
          </w:r>
          <w:r>
            <w:rPr>
              <w:rFonts w:hint="eastAsia"/>
            </w:rPr>
            <w:fldChar w:fldCharType="end"/>
          </w:r>
        </w:p>
        <w:p w14:paraId="5D773586">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"_Toc217294095" </w:instrText>
          </w:r>
          <w:r>
            <w:fldChar w:fldCharType="separate"/>
          </w:r>
          <w:r>
            <w:rPr>
              <w:rStyle w:val="31"/>
              <w:rFonts w:hint="eastAsia" w:cs="Times New Roman"/>
            </w:rPr>
            <w:t>12.4公众参与总结</w:t>
          </w:r>
          <w:r>
            <w:rPr>
              <w:rFonts w:hint="eastAsia"/>
            </w:rPr>
            <w:tab/>
          </w:r>
          <w:r>
            <w:rPr>
              <w:rFonts w:hint="eastAsia"/>
            </w:rPr>
            <w:fldChar w:fldCharType="begin"/>
          </w:r>
          <w:r>
            <w:rPr>
              <w:rFonts w:hint="eastAsia"/>
            </w:rPr>
            <w:instrText xml:space="preserve"> </w:instrText>
          </w:r>
          <w:r>
            <w:instrText xml:space="preserve">PAGEREF _Toc217294095 \h</w:instrText>
          </w:r>
          <w:r>
            <w:rPr>
              <w:rFonts w:hint="eastAsia"/>
            </w:rPr>
            <w:instrText xml:space="preserve"> </w:instrText>
          </w:r>
          <w:r>
            <w:rPr>
              <w:rFonts w:hint="eastAsia"/>
            </w:rPr>
            <w:fldChar w:fldCharType="separate"/>
          </w:r>
          <w:r>
            <w:t>435</w:t>
          </w:r>
          <w:r>
            <w:rPr>
              <w:rFonts w:hint="eastAsia"/>
            </w:rPr>
            <w:fldChar w:fldCharType="end"/>
          </w:r>
          <w:r>
            <w:rPr>
              <w:rFonts w:hint="eastAsia"/>
            </w:rPr>
            <w:fldChar w:fldCharType="end"/>
          </w:r>
        </w:p>
        <w:p w14:paraId="414D4672">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"_Toc217294096" </w:instrText>
          </w:r>
          <w:r>
            <w:fldChar w:fldCharType="separate"/>
          </w:r>
          <w:r>
            <w:rPr>
              <w:rStyle w:val="31"/>
              <w:rFonts w:hint="eastAsia"/>
            </w:rPr>
            <w:t>13评价结论</w:t>
          </w:r>
          <w:r>
            <w:rPr>
              <w:rFonts w:hint="eastAsia"/>
            </w:rPr>
            <w:tab/>
          </w:r>
          <w:r>
            <w:rPr>
              <w:rFonts w:hint="eastAsia"/>
            </w:rPr>
            <w:fldChar w:fldCharType="begin"/>
          </w:r>
          <w:r>
            <w:rPr>
              <w:rFonts w:hint="eastAsia"/>
            </w:rPr>
            <w:instrText xml:space="preserve"> </w:instrText>
          </w:r>
          <w:r>
            <w:instrText xml:space="preserve">PAGEREF _Toc217294096 \h</w:instrText>
          </w:r>
          <w:r>
            <w:rPr>
              <w:rFonts w:hint="eastAsia"/>
            </w:rPr>
            <w:instrText xml:space="preserve"> </w:instrText>
          </w:r>
          <w:r>
            <w:rPr>
              <w:rFonts w:hint="eastAsia"/>
            </w:rPr>
            <w:fldChar w:fldCharType="separate"/>
          </w:r>
          <w:r>
            <w:t>436</w:t>
          </w:r>
          <w:r>
            <w:rPr>
              <w:rFonts w:hint="eastAsia"/>
            </w:rPr>
            <w:fldChar w:fldCharType="end"/>
          </w:r>
          <w:r>
            <w:rPr>
              <w:rFonts w:hint="eastAsia"/>
            </w:rPr>
            <w:fldChar w:fldCharType="end"/>
          </w:r>
        </w:p>
        <w:p w14:paraId="4C946B6A">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"_Toc217294097" </w:instrText>
          </w:r>
          <w:r>
            <w:fldChar w:fldCharType="separate"/>
          </w:r>
          <w:r>
            <w:rPr>
              <w:rStyle w:val="31"/>
              <w:rFonts w:hint="eastAsia" w:cs="Times New Roman"/>
            </w:rPr>
            <w:t>13.1规划概述</w:t>
          </w:r>
          <w:r>
            <w:rPr>
              <w:rFonts w:hint="eastAsia"/>
            </w:rPr>
            <w:tab/>
          </w:r>
          <w:r>
            <w:rPr>
              <w:rFonts w:hint="eastAsia"/>
            </w:rPr>
            <w:fldChar w:fldCharType="begin"/>
          </w:r>
          <w:r>
            <w:rPr>
              <w:rFonts w:hint="eastAsia"/>
            </w:rPr>
            <w:instrText xml:space="preserve"> </w:instrText>
          </w:r>
          <w:r>
            <w:instrText xml:space="preserve">PAGEREF _Toc217294097 \h</w:instrText>
          </w:r>
          <w:r>
            <w:rPr>
              <w:rFonts w:hint="eastAsia"/>
            </w:rPr>
            <w:instrText xml:space="preserve"> </w:instrText>
          </w:r>
          <w:r>
            <w:rPr>
              <w:rFonts w:hint="eastAsia"/>
            </w:rPr>
            <w:fldChar w:fldCharType="separate"/>
          </w:r>
          <w:r>
            <w:t>436</w:t>
          </w:r>
          <w:r>
            <w:rPr>
              <w:rFonts w:hint="eastAsia"/>
            </w:rPr>
            <w:fldChar w:fldCharType="end"/>
          </w:r>
          <w:r>
            <w:rPr>
              <w:rFonts w:hint="eastAsia"/>
            </w:rPr>
            <w:fldChar w:fldCharType="end"/>
          </w:r>
        </w:p>
        <w:p w14:paraId="74E99FD7">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"_Toc217294098" </w:instrText>
          </w:r>
          <w:r>
            <w:fldChar w:fldCharType="separate"/>
          </w:r>
          <w:r>
            <w:rPr>
              <w:rStyle w:val="31"/>
              <w:rFonts w:hint="eastAsia" w:cs="Times New Roman"/>
            </w:rPr>
            <w:t>13.2规划分析</w:t>
          </w:r>
          <w:r>
            <w:rPr>
              <w:rFonts w:hint="eastAsia"/>
            </w:rPr>
            <w:tab/>
          </w:r>
          <w:r>
            <w:rPr>
              <w:rFonts w:hint="eastAsia"/>
            </w:rPr>
            <w:fldChar w:fldCharType="begin"/>
          </w:r>
          <w:r>
            <w:rPr>
              <w:rFonts w:hint="eastAsia"/>
            </w:rPr>
            <w:instrText xml:space="preserve"> </w:instrText>
          </w:r>
          <w:r>
            <w:instrText xml:space="preserve">PAGEREF _Toc217294098 \h</w:instrText>
          </w:r>
          <w:r>
            <w:rPr>
              <w:rFonts w:hint="eastAsia"/>
            </w:rPr>
            <w:instrText xml:space="preserve"> </w:instrText>
          </w:r>
          <w:r>
            <w:rPr>
              <w:rFonts w:hint="eastAsia"/>
            </w:rPr>
            <w:fldChar w:fldCharType="separate"/>
          </w:r>
          <w:r>
            <w:t>437</w:t>
          </w:r>
          <w:r>
            <w:rPr>
              <w:rFonts w:hint="eastAsia"/>
            </w:rPr>
            <w:fldChar w:fldCharType="end"/>
          </w:r>
          <w:r>
            <w:rPr>
              <w:rFonts w:hint="eastAsia"/>
            </w:rPr>
            <w:fldChar w:fldCharType="end"/>
          </w:r>
        </w:p>
        <w:p w14:paraId="41A5EF3F">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"_Toc217294099" </w:instrText>
          </w:r>
          <w:r>
            <w:fldChar w:fldCharType="separate"/>
          </w:r>
          <w:r>
            <w:rPr>
              <w:rStyle w:val="31"/>
              <w:rFonts w:hint="eastAsia" w:cs="Times New Roman"/>
            </w:rPr>
            <w:t>13.3生态环境现状与问题</w:t>
          </w:r>
          <w:r>
            <w:rPr>
              <w:rFonts w:hint="eastAsia"/>
            </w:rPr>
            <w:tab/>
          </w:r>
          <w:r>
            <w:rPr>
              <w:rFonts w:hint="eastAsia"/>
            </w:rPr>
            <w:fldChar w:fldCharType="begin"/>
          </w:r>
          <w:r>
            <w:rPr>
              <w:rFonts w:hint="eastAsia"/>
            </w:rPr>
            <w:instrText xml:space="preserve"> </w:instrText>
          </w:r>
          <w:r>
            <w:instrText xml:space="preserve">PAGEREF _Toc217294099 \h</w:instrText>
          </w:r>
          <w:r>
            <w:rPr>
              <w:rFonts w:hint="eastAsia"/>
            </w:rPr>
            <w:instrText xml:space="preserve"> </w:instrText>
          </w:r>
          <w:r>
            <w:rPr>
              <w:rFonts w:hint="eastAsia"/>
            </w:rPr>
            <w:fldChar w:fldCharType="separate"/>
          </w:r>
          <w:r>
            <w:t>438</w:t>
          </w:r>
          <w:r>
            <w:rPr>
              <w:rFonts w:hint="eastAsia"/>
            </w:rPr>
            <w:fldChar w:fldCharType="end"/>
          </w:r>
          <w:r>
            <w:rPr>
              <w:rFonts w:hint="eastAsia"/>
            </w:rPr>
            <w:fldChar w:fldCharType="end"/>
          </w:r>
        </w:p>
        <w:p w14:paraId="15D80C58">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"_Toc217294100" </w:instrText>
          </w:r>
          <w:r>
            <w:fldChar w:fldCharType="separate"/>
          </w:r>
          <w:r>
            <w:rPr>
              <w:rStyle w:val="31"/>
              <w:rFonts w:hint="eastAsia" w:cs="Times New Roman"/>
            </w:rPr>
            <w:t>13.4环境影响预测与评价</w:t>
          </w:r>
          <w:r>
            <w:rPr>
              <w:rFonts w:hint="eastAsia"/>
            </w:rPr>
            <w:tab/>
          </w:r>
          <w:r>
            <w:rPr>
              <w:rFonts w:hint="eastAsia"/>
            </w:rPr>
            <w:fldChar w:fldCharType="begin"/>
          </w:r>
          <w:r>
            <w:rPr>
              <w:rFonts w:hint="eastAsia"/>
            </w:rPr>
            <w:instrText xml:space="preserve"> </w:instrText>
          </w:r>
          <w:r>
            <w:instrText xml:space="preserve">PAGEREF _Toc217294100 \h</w:instrText>
          </w:r>
          <w:r>
            <w:rPr>
              <w:rFonts w:hint="eastAsia"/>
            </w:rPr>
            <w:instrText xml:space="preserve"> </w:instrText>
          </w:r>
          <w:r>
            <w:rPr>
              <w:rFonts w:hint="eastAsia"/>
            </w:rPr>
            <w:fldChar w:fldCharType="separate"/>
          </w:r>
          <w:r>
            <w:t>440</w:t>
          </w:r>
          <w:r>
            <w:rPr>
              <w:rFonts w:hint="eastAsia"/>
            </w:rPr>
            <w:fldChar w:fldCharType="end"/>
          </w:r>
          <w:r>
            <w:rPr>
              <w:rFonts w:hint="eastAsia"/>
            </w:rPr>
            <w:fldChar w:fldCharType="end"/>
          </w:r>
        </w:p>
        <w:p w14:paraId="1C5E5840">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"_Toc217294101" </w:instrText>
          </w:r>
          <w:r>
            <w:fldChar w:fldCharType="separate"/>
          </w:r>
          <w:r>
            <w:rPr>
              <w:rStyle w:val="31"/>
              <w:rFonts w:hint="eastAsia" w:cs="Times New Roman"/>
            </w:rPr>
            <w:t>13.5资源环境压力与承载状态评估</w:t>
          </w:r>
          <w:r>
            <w:rPr>
              <w:rFonts w:hint="eastAsia"/>
            </w:rPr>
            <w:tab/>
          </w:r>
          <w:r>
            <w:rPr>
              <w:rFonts w:hint="eastAsia"/>
            </w:rPr>
            <w:fldChar w:fldCharType="begin"/>
          </w:r>
          <w:r>
            <w:rPr>
              <w:rFonts w:hint="eastAsia"/>
            </w:rPr>
            <w:instrText xml:space="preserve"> </w:instrText>
          </w:r>
          <w:r>
            <w:instrText xml:space="preserve">PAGEREF _Toc217294101 \h</w:instrText>
          </w:r>
          <w:r>
            <w:rPr>
              <w:rFonts w:hint="eastAsia"/>
            </w:rPr>
            <w:instrText xml:space="preserve"> </w:instrText>
          </w:r>
          <w:r>
            <w:rPr>
              <w:rFonts w:hint="eastAsia"/>
            </w:rPr>
            <w:fldChar w:fldCharType="separate"/>
          </w:r>
          <w:r>
            <w:t>442</w:t>
          </w:r>
          <w:r>
            <w:rPr>
              <w:rFonts w:hint="eastAsia"/>
            </w:rPr>
            <w:fldChar w:fldCharType="end"/>
          </w:r>
          <w:r>
            <w:rPr>
              <w:rFonts w:hint="eastAsia"/>
            </w:rPr>
            <w:fldChar w:fldCharType="end"/>
          </w:r>
        </w:p>
        <w:p w14:paraId="6A6C3F47">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"_Toc217294102" </w:instrText>
          </w:r>
          <w:r>
            <w:fldChar w:fldCharType="separate"/>
          </w:r>
          <w:r>
            <w:rPr>
              <w:rStyle w:val="31"/>
              <w:rFonts w:hint="eastAsia" w:cs="Times New Roman"/>
            </w:rPr>
            <w:t>13.6规划实施制约因素与优化调整建议</w:t>
          </w:r>
          <w:r>
            <w:rPr>
              <w:rFonts w:hint="eastAsia"/>
            </w:rPr>
            <w:tab/>
          </w:r>
          <w:r>
            <w:rPr>
              <w:rFonts w:hint="eastAsia"/>
            </w:rPr>
            <w:fldChar w:fldCharType="begin"/>
          </w:r>
          <w:r>
            <w:rPr>
              <w:rFonts w:hint="eastAsia"/>
            </w:rPr>
            <w:instrText xml:space="preserve"> </w:instrText>
          </w:r>
          <w:r>
            <w:instrText xml:space="preserve">PAGEREF _Toc217294102 \h</w:instrText>
          </w:r>
          <w:r>
            <w:rPr>
              <w:rFonts w:hint="eastAsia"/>
            </w:rPr>
            <w:instrText xml:space="preserve"> </w:instrText>
          </w:r>
          <w:r>
            <w:rPr>
              <w:rFonts w:hint="eastAsia"/>
            </w:rPr>
            <w:fldChar w:fldCharType="separate"/>
          </w:r>
          <w:r>
            <w:t>443</w:t>
          </w:r>
          <w:r>
            <w:rPr>
              <w:rFonts w:hint="eastAsia"/>
            </w:rPr>
            <w:fldChar w:fldCharType="end"/>
          </w:r>
          <w:r>
            <w:rPr>
              <w:rFonts w:hint="eastAsia"/>
            </w:rPr>
            <w:fldChar w:fldCharType="end"/>
          </w:r>
        </w:p>
        <w:p w14:paraId="55C47131">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"_Toc217294103" </w:instrText>
          </w:r>
          <w:r>
            <w:fldChar w:fldCharType="separate"/>
          </w:r>
          <w:r>
            <w:rPr>
              <w:rStyle w:val="31"/>
              <w:rFonts w:hint="eastAsia" w:cs="Times New Roman"/>
            </w:rPr>
            <w:t>13.7生态环境保护目标和要求</w:t>
          </w:r>
          <w:r>
            <w:rPr>
              <w:rFonts w:hint="eastAsia"/>
            </w:rPr>
            <w:tab/>
          </w:r>
          <w:r>
            <w:rPr>
              <w:rFonts w:hint="eastAsia"/>
            </w:rPr>
            <w:fldChar w:fldCharType="begin"/>
          </w:r>
          <w:r>
            <w:rPr>
              <w:rFonts w:hint="eastAsia"/>
            </w:rPr>
            <w:instrText xml:space="preserve"> </w:instrText>
          </w:r>
          <w:r>
            <w:instrText xml:space="preserve">PAGEREF _Toc217294103 \h</w:instrText>
          </w:r>
          <w:r>
            <w:rPr>
              <w:rFonts w:hint="eastAsia"/>
            </w:rPr>
            <w:instrText xml:space="preserve"> </w:instrText>
          </w:r>
          <w:r>
            <w:rPr>
              <w:rFonts w:hint="eastAsia"/>
            </w:rPr>
            <w:fldChar w:fldCharType="separate"/>
          </w:r>
          <w:r>
            <w:t>447</w:t>
          </w:r>
          <w:r>
            <w:rPr>
              <w:rFonts w:hint="eastAsia"/>
            </w:rPr>
            <w:fldChar w:fldCharType="end"/>
          </w:r>
          <w:r>
            <w:rPr>
              <w:rFonts w:hint="eastAsia"/>
            </w:rPr>
            <w:fldChar w:fldCharType="end"/>
          </w:r>
        </w:p>
        <w:p w14:paraId="6C373BF1">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"_Toc217294104" </w:instrText>
          </w:r>
          <w:r>
            <w:fldChar w:fldCharType="separate"/>
          </w:r>
          <w:r>
            <w:rPr>
              <w:rStyle w:val="31"/>
              <w:rFonts w:hint="eastAsia" w:cs="Times New Roman"/>
            </w:rPr>
            <w:t>13.8环境管理改进对策和建议</w:t>
          </w:r>
          <w:r>
            <w:rPr>
              <w:rFonts w:hint="eastAsia"/>
            </w:rPr>
            <w:tab/>
          </w:r>
          <w:r>
            <w:rPr>
              <w:rFonts w:hint="eastAsia"/>
            </w:rPr>
            <w:fldChar w:fldCharType="begin"/>
          </w:r>
          <w:r>
            <w:rPr>
              <w:rFonts w:hint="eastAsia"/>
            </w:rPr>
            <w:instrText xml:space="preserve"> </w:instrText>
          </w:r>
          <w:r>
            <w:instrText xml:space="preserve">PAGEREF _Toc217294104 \h</w:instrText>
          </w:r>
          <w:r>
            <w:rPr>
              <w:rFonts w:hint="eastAsia"/>
            </w:rPr>
            <w:instrText xml:space="preserve"> </w:instrText>
          </w:r>
          <w:r>
            <w:rPr>
              <w:rFonts w:hint="eastAsia"/>
            </w:rPr>
            <w:fldChar w:fldCharType="separate"/>
          </w:r>
          <w:r>
            <w:t>447</w:t>
          </w:r>
          <w:r>
            <w:rPr>
              <w:rFonts w:hint="eastAsia"/>
            </w:rPr>
            <w:fldChar w:fldCharType="end"/>
          </w:r>
          <w:r>
            <w:rPr>
              <w:rFonts w:hint="eastAsia"/>
            </w:rPr>
            <w:fldChar w:fldCharType="end"/>
          </w:r>
        </w:p>
        <w:p w14:paraId="1E036FE8">
          <w:pPr>
            <w:pStyle w:val="22"/>
            <w:tabs>
              <w:tab w:val="right" w:leader="dot" w:pos="8296"/>
            </w:tabs>
            <w:spacing w:line="240" w:lineRule="auto"/>
            <w:ind w:left="480" w:firstLine="0" w:firstLineChars="0"/>
            <w:rPr>
              <w:rFonts w:hint="eastAsia" w:asciiTheme="minorHAnsi" w:hAnsiTheme="minorHAnsi" w:eastAsiaTheme="minorEastAsia"/>
              <w:sz w:val="22"/>
              <w:szCs w:val="24"/>
            </w:rPr>
          </w:pPr>
          <w:r>
            <w:fldChar w:fldCharType="begin"/>
          </w:r>
          <w:r>
            <w:instrText xml:space="preserve"> HYPERLINK \l "_Toc217294105" </w:instrText>
          </w:r>
          <w:r>
            <w:fldChar w:fldCharType="separate"/>
          </w:r>
          <w:r>
            <w:rPr>
              <w:rStyle w:val="31"/>
              <w:rFonts w:hint="eastAsia" w:cs="Times New Roman"/>
            </w:rPr>
            <w:t>13.9总体评价结论</w:t>
          </w:r>
          <w:r>
            <w:rPr>
              <w:rFonts w:hint="eastAsia"/>
            </w:rPr>
            <w:tab/>
          </w:r>
          <w:r>
            <w:rPr>
              <w:rFonts w:hint="eastAsia"/>
            </w:rPr>
            <w:fldChar w:fldCharType="begin"/>
          </w:r>
          <w:r>
            <w:rPr>
              <w:rFonts w:hint="eastAsia"/>
            </w:rPr>
            <w:instrText xml:space="preserve"> </w:instrText>
          </w:r>
          <w:r>
            <w:instrText xml:space="preserve">PAGEREF _Toc217294105 \h</w:instrText>
          </w:r>
          <w:r>
            <w:rPr>
              <w:rFonts w:hint="eastAsia"/>
            </w:rPr>
            <w:instrText xml:space="preserve"> </w:instrText>
          </w:r>
          <w:r>
            <w:rPr>
              <w:rFonts w:hint="eastAsia"/>
            </w:rPr>
            <w:fldChar w:fldCharType="separate"/>
          </w:r>
          <w:r>
            <w:t>448</w:t>
          </w:r>
          <w:r>
            <w:rPr>
              <w:rFonts w:hint="eastAsia"/>
            </w:rPr>
            <w:fldChar w:fldCharType="end"/>
          </w:r>
          <w:r>
            <w:rPr>
              <w:rFonts w:hint="eastAsia"/>
            </w:rPr>
            <w:fldChar w:fldCharType="end"/>
          </w:r>
        </w:p>
        <w:p w14:paraId="04E8EBBB">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"_Toc217294106" </w:instrText>
          </w:r>
          <w:r>
            <w:fldChar w:fldCharType="separate"/>
          </w:r>
          <w:r>
            <w:rPr>
              <w:rStyle w:val="31"/>
              <w:rFonts w:hint="eastAsia"/>
            </w:rPr>
            <w:t>附图</w:t>
          </w:r>
          <w:r>
            <w:rPr>
              <w:rFonts w:hint="eastAsia"/>
            </w:rPr>
            <w:tab/>
          </w:r>
          <w:r>
            <w:rPr>
              <w:rFonts w:hint="eastAsia"/>
            </w:rPr>
            <w:fldChar w:fldCharType="begin"/>
          </w:r>
          <w:r>
            <w:rPr>
              <w:rFonts w:hint="eastAsia"/>
            </w:rPr>
            <w:instrText xml:space="preserve"> </w:instrText>
          </w:r>
          <w:r>
            <w:instrText xml:space="preserve">PAGEREF _Toc217294106 \h</w:instrText>
          </w:r>
          <w:r>
            <w:rPr>
              <w:rFonts w:hint="eastAsia"/>
            </w:rPr>
            <w:instrText xml:space="preserve"> </w:instrText>
          </w:r>
          <w:r>
            <w:rPr>
              <w:rFonts w:hint="eastAsia"/>
            </w:rPr>
            <w:fldChar w:fldCharType="separate"/>
          </w:r>
          <w:r>
            <w:t>449</w:t>
          </w:r>
          <w:r>
            <w:rPr>
              <w:rFonts w:hint="eastAsia"/>
            </w:rPr>
            <w:fldChar w:fldCharType="end"/>
          </w:r>
          <w:r>
            <w:rPr>
              <w:rFonts w:hint="eastAsia"/>
            </w:rPr>
            <w:fldChar w:fldCharType="end"/>
          </w:r>
        </w:p>
        <w:p w14:paraId="76A80D3E">
          <w:pPr>
            <w:pStyle w:val="17"/>
            <w:tabs>
              <w:tab w:val="right" w:leader="dot" w:pos="8296"/>
            </w:tabs>
            <w:spacing w:line="240" w:lineRule="auto"/>
            <w:ind w:firstLine="0" w:firstLineChars="0"/>
            <w:rPr>
              <w:rFonts w:hint="eastAsia" w:asciiTheme="minorHAnsi" w:hAnsiTheme="minorHAnsi" w:eastAsiaTheme="minorEastAsia"/>
              <w:sz w:val="22"/>
              <w:szCs w:val="24"/>
            </w:rPr>
          </w:pPr>
          <w:r>
            <w:fldChar w:fldCharType="begin"/>
          </w:r>
          <w:r>
            <w:instrText xml:space="preserve"> HYPERLINK \l "_Toc217294107" </w:instrText>
          </w:r>
          <w:r>
            <w:fldChar w:fldCharType="separate"/>
          </w:r>
          <w:r>
            <w:rPr>
              <w:rStyle w:val="31"/>
              <w:rFonts w:hint="eastAsia"/>
            </w:rPr>
            <w:t>附件</w:t>
          </w:r>
          <w:r>
            <w:rPr>
              <w:rFonts w:hint="eastAsia"/>
            </w:rPr>
            <w:tab/>
          </w:r>
          <w:r>
            <w:rPr>
              <w:rFonts w:hint="eastAsia"/>
            </w:rPr>
            <w:fldChar w:fldCharType="begin"/>
          </w:r>
          <w:r>
            <w:rPr>
              <w:rFonts w:hint="eastAsia"/>
            </w:rPr>
            <w:instrText xml:space="preserve"> </w:instrText>
          </w:r>
          <w:r>
            <w:instrText xml:space="preserve">PAGEREF _Toc217294107 \h</w:instrText>
          </w:r>
          <w:r>
            <w:rPr>
              <w:rFonts w:hint="eastAsia"/>
            </w:rPr>
            <w:instrText xml:space="preserve"> </w:instrText>
          </w:r>
          <w:r>
            <w:rPr>
              <w:rFonts w:hint="eastAsia"/>
            </w:rPr>
            <w:fldChar w:fldCharType="separate"/>
          </w:r>
          <w:r>
            <w:t>451</w:t>
          </w:r>
          <w:r>
            <w:rPr>
              <w:rFonts w:hint="eastAsia"/>
            </w:rPr>
            <w:fldChar w:fldCharType="end"/>
          </w:r>
          <w:r>
            <w:rPr>
              <w:rFonts w:hint="eastAsia"/>
            </w:rPr>
            <w:fldChar w:fldCharType="end"/>
          </w:r>
        </w:p>
        <w:p w14:paraId="1F9920D6">
          <w:pPr>
            <w:spacing w:line="240" w:lineRule="auto"/>
            <w:ind w:firstLine="0" w:firstLineChars="0"/>
          </w:pPr>
          <w:r>
            <w:rPr>
              <w:rFonts w:hint="eastAsia" w:ascii="仿宋" w:hAnsi="仿宋" w:eastAsia="仿宋" w:cs="仿宋"/>
              <w:sz w:val="22"/>
              <w:szCs w:val="21"/>
            </w:rPr>
            <w:fldChar w:fldCharType="end"/>
          </w:r>
        </w:p>
      </w:sdtContent>
    </w:sdt>
    <w:p w14:paraId="508D7973">
      <w:pPr>
        <w:widowControl/>
        <w:spacing w:line="240" w:lineRule="auto"/>
        <w:ind w:firstLine="0" w:firstLineChars="0"/>
        <w:jc w:val="left"/>
        <w:sectPr>
          <w:pgSz w:w="11906" w:h="16838"/>
          <w:pgMar w:top="1417" w:right="1800" w:bottom="1247" w:left="1800" w:header="851" w:footer="992" w:gutter="0"/>
          <w:pgNumType w:fmt="upperRoman" w:start="1"/>
          <w:cols w:space="425" w:num="1"/>
          <w:docGrid w:type="lines" w:linePitch="312" w:charSpace="0"/>
        </w:sectPr>
      </w:pPr>
      <w:r>
        <w:br w:type="page"/>
      </w:r>
    </w:p>
    <w:p w14:paraId="5E790419">
      <w:pPr>
        <w:pStyle w:val="2"/>
        <w:ind w:firstLine="0" w:firstLineChars="0"/>
      </w:pPr>
      <w:bookmarkStart w:id="2" w:name="_Toc217294026"/>
      <w:r>
        <w:t>1总则</w:t>
      </w:r>
      <w:bookmarkEnd w:id="0"/>
      <w:bookmarkEnd w:id="1"/>
      <w:bookmarkEnd w:id="2"/>
    </w:p>
    <w:p w14:paraId="639F0C52">
      <w:pPr>
        <w:pStyle w:val="3"/>
        <w:ind w:firstLine="0" w:firstLineChars="0"/>
        <w:rPr>
          <w:rFonts w:cs="Times New Roman"/>
        </w:rPr>
      </w:pPr>
      <w:bookmarkStart w:id="3" w:name="_Toc217294027"/>
      <w:bookmarkStart w:id="4" w:name="_Toc145543785"/>
      <w:bookmarkStart w:id="5" w:name="_Toc130026815"/>
      <w:r>
        <w:rPr>
          <w:rFonts w:cs="Times New Roman"/>
        </w:rPr>
        <w:t>1.1任务由来</w:t>
      </w:r>
      <w:bookmarkEnd w:id="3"/>
      <w:bookmarkEnd w:id="4"/>
      <w:bookmarkEnd w:id="5"/>
    </w:p>
    <w:p w14:paraId="67A88C70">
      <w:pPr>
        <w:ind w:firstLine="480"/>
      </w:pPr>
      <w:r>
        <w:rPr>
          <w:rFonts w:hint="eastAsia"/>
        </w:rPr>
        <w:t>茅山，地处江苏省西南部句容和金坛交界处，南接天目山脉，北连宁镇丘陵，是道教上清派的发源地，有“上清宗坛”之称，有“第八洞天，第一福地”之美誉，与南岳衡山、嵩山鹤鸣洞、泰山玉泉洞并称为中国道教四大名山。</w:t>
      </w:r>
    </w:p>
    <w:p w14:paraId="48209F0C">
      <w:pPr>
        <w:ind w:firstLine="480"/>
      </w:pPr>
      <w:r>
        <w:rPr>
          <w:rFonts w:hint="eastAsia"/>
        </w:rPr>
        <w:t>江苏省金坛茅山旅游度假区（以下简称“度假区”）位于江苏省常州市，地处长三角区域一体化中心地带、上海都市圈和南京都市圈核心交汇处（附图1），是我国六大山地抗日根据地之一、江苏省首家“中国森林氧吧”、享誉中外的绿茶（名茶）之乡。1994年，为加强茅山风景旅游区的规划、建设和管理，成立了江苏省茅山风景名胜区金坛管理处，并于2008年调整管理体系，由市旅游局管理划归为金坛市茅山风景旅游区管委会管理，并更名为金坛市茅山风景名胜区管理处。</w:t>
      </w:r>
    </w:p>
    <w:p w14:paraId="26825A97">
      <w:pPr>
        <w:ind w:firstLine="480"/>
      </w:pPr>
      <w:r>
        <w:rPr>
          <w:rFonts w:hint="eastAsia"/>
        </w:rPr>
        <w:t>2008年，为迎合长三角居民旅游活动消费规模大、消费层次高、消费能力强的发展特点，激活周边客源市场的潜在需求，茅山风景旅游区管理委员会组织编制了《茅山旅游度假区总体规划》，并获得原金坛市人民政府出具的《关于同意茅山旅游度假区总体规划的批复》（坛政复〔2008〕11号），规划范围为薛埠镇区域内的4个行政村和2个场圃，总面积18.6平方公里。</w:t>
      </w:r>
    </w:p>
    <w:p w14:paraId="71DA146A">
      <w:pPr>
        <w:ind w:firstLine="480"/>
      </w:pPr>
      <w:r>
        <w:rPr>
          <w:rFonts w:hint="eastAsia"/>
        </w:rPr>
        <w:t>2012年，茅山风景旅游区管理委员会管辖范围变更，管辖范围扩大至108平方公里，即以茅山风景名胜区、茅山旅游度假区、生态农业观光区和方山森林公园为中心，涉及薛镇行政区域内的11个行政村和5个场圃。为此，茅山旅游度假区管委会组织编制了《金坛市茅山风景旅游区总体规划》，同年委托编制了《金坛市茅山风景旅游区总体规划环境影响报告书》，并获得原金坛市环境保护局的批复（坛环服复〔2012〕67号）（附件1）。</w:t>
      </w:r>
    </w:p>
    <w:p w14:paraId="564E243D">
      <w:pPr>
        <w:ind w:firstLine="480"/>
      </w:pPr>
      <w:r>
        <w:rPr>
          <w:rFonts w:hint="eastAsia"/>
        </w:rPr>
        <w:t>2013年，“金坛市茅山旅游度假区党工委、管委会”更名为“中共江苏省金坛茅山旅游度假区工作委员会、江苏省金坛茅山旅游度假区管理委员会”（常编〔2013〕56号）。同年，经江苏省人民政府批准同意，设立江苏省金坛茅山旅游度假区为省级旅游度假区（苏政复〔2013〕19号）（附件</w:t>
      </w:r>
      <w:r>
        <w:t>2</w:t>
      </w:r>
      <w:r>
        <w:rPr>
          <w:rFonts w:hint="eastAsia"/>
        </w:rPr>
        <w:t>），批复面积18.6平方公里，四至范围：东至新浮水库，西至340省道，南至沿江高速，北至致和公路，并提出了度假区要充分依托丰富的自然资源和深厚的人文底蕴，努力打造融道教养生、民俗体验、生态观光等功能于一体的高品质生态休闲旅游度假区；大力发展旅游龙头企业，建设优良的旅游度假设施，营造优美的旅游度假环境；开发适合市场需求、高-中-低相结合的休闲旅游度假产品，不断提升旅游度假区综合实力和服务水平，为促进全省旅游业又好又快发展作出贡献等目标与要求。</w:t>
      </w:r>
    </w:p>
    <w:p w14:paraId="0ED10A36">
      <w:pPr>
        <w:ind w:firstLine="480"/>
      </w:pPr>
      <w:r>
        <w:rPr>
          <w:rFonts w:hint="eastAsia"/>
        </w:rPr>
        <w:t>2</w:t>
      </w:r>
      <w:r>
        <w:t>014</w:t>
      </w:r>
      <w:r>
        <w:rPr>
          <w:rFonts w:hint="eastAsia"/>
        </w:rPr>
        <w:t>年，为统筹考虑薛埠镇域全局，协调旅游度假区与镇区、集镇、农业生产以及镇域内其他旅游景点之间的关系，更好地整合和开发利用区域旅游资源，江苏省金坛茅山旅游度假区管理委员会组织编制了《金坛茅山旅游度假区总体规划》，规划范围包含江苏省金坛茅山旅游度假区（18.6平方公里）、江苏茅山风景名胜区，同时含薛埠镇行政区域内现有的11个行政村和3个场圃，总面积约为128平方公里，即江苏省金坛茅山旅游度假区管理委员会现状实际管辖范围，该规划于2015年2月取得金坛市人民政府批复（坛政复〔2015〕5号）（附件3），但未开展规划环评编制工作。</w:t>
      </w:r>
    </w:p>
    <w:p w14:paraId="04816920">
      <w:pPr>
        <w:ind w:firstLine="480"/>
      </w:pPr>
      <w:r>
        <w:rPr>
          <w:rFonts w:hint="eastAsia"/>
        </w:rPr>
        <w:t>2</w:t>
      </w:r>
      <w:r>
        <w:t>022</w:t>
      </w:r>
      <w:r>
        <w:rPr>
          <w:rFonts w:hint="eastAsia"/>
        </w:rPr>
        <w:t>年，经中共常州市委机构编制委员会批复同意（常编〔2022〕17号）（附件5），金坛茅山管理机构名称调整为“江苏省金坛茅山旅游度假区管理办公室”（以下简称“茅管办”）。2024年，为全力推进国家级旅游度假区创建工作和高质量发展，更好地保护、整合和利用茅山旅游度假区的旅游资源，加快推动休闲度假产业发展，引导度假区土地利用及配套设施的建设，提升度假品质，优化空间布局，丰富文化内涵，完善休闲功能，突出主题形象，创新旅游业态，进一步增强旅游吸引力和核心竞争力，提升金坛茅山的品牌价值和综合效益，茅管办组织开展了江苏省</w:t>
      </w:r>
      <w:bookmarkStart w:id="6" w:name="_Hlk172185662"/>
      <w:r>
        <w:rPr>
          <w:rFonts w:hint="eastAsia"/>
        </w:rPr>
        <w:t>金坛茅山旅游度假区相关规划的</w:t>
      </w:r>
      <w:bookmarkEnd w:id="6"/>
      <w:r>
        <w:rPr>
          <w:rFonts w:hint="eastAsia"/>
        </w:rPr>
        <w:t>编制工作，基于茅管办现状实际管辖的128平方公里范围，将18.6平方公里的省级旅游度假区范围和周边统筹发展的109.4平方公里范围协同开展规划及规划环评工作，目前，江苏省金坛茅山旅游度假区（18.6平方公里）涉及的省级旅游度假区的规划环评已取得省生态环境厅的审查意见（苏环审〔2025〕79号）。</w:t>
      </w:r>
    </w:p>
    <w:p w14:paraId="73AAAA3E">
      <w:pPr>
        <w:ind w:firstLine="480"/>
      </w:pPr>
      <w:r>
        <w:rPr>
          <w:rFonts w:hint="eastAsia"/>
        </w:rPr>
        <w:t>本轮《金坛茅山旅游度假区总体规划（2024-2035年）》的规划范围主要涉及薛埠镇西侧区域，西、南、北至金坛区行政边界，总面积109.4平方公里，规划范围内不包含省级旅游度假区（附图2、附图3）。本轮规划主要目标在于深刻把握茅山旅游度假区目前阶段新特征、发展新要求和历史新使命，进一步强调战略引领和底线约束，统筹周边生产、生活、生态空间等区域，推进区域与省级旅游度假区协同发展，对规划范围的空间布局、发展目标、生态保护等进行了总体规划。为此，茅管办委托我单位（江苏龙衡环境科技有限公司）进行了本次环境影响评价工作。我单位在接受委托后，当即组织技术人员对茅山旅游度假区及周边环境现状进行了详细调查，在当地相关部门收集了资料，对环境影响评价内容和技术路线进行了详细研究和探讨，在此基础上编制完成本规划环境影响评价报告书。</w:t>
      </w:r>
    </w:p>
    <w:p w14:paraId="75520082">
      <w:pPr>
        <w:pStyle w:val="3"/>
        <w:ind w:firstLine="0" w:firstLineChars="0"/>
        <w:rPr>
          <w:rFonts w:cs="Times New Roman"/>
        </w:rPr>
      </w:pPr>
      <w:bookmarkStart w:id="7" w:name="_Toc217294028"/>
      <w:r>
        <w:rPr>
          <w:rFonts w:cs="Times New Roman"/>
        </w:rPr>
        <w:t>1.2</w:t>
      </w:r>
      <w:r>
        <w:rPr>
          <w:rFonts w:hint="eastAsia" w:cs="Times New Roman"/>
        </w:rPr>
        <w:t>编制依据</w:t>
      </w:r>
      <w:bookmarkEnd w:id="7"/>
    </w:p>
    <w:p w14:paraId="65EA8252">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1.2.1国家法律、法规和部门规章</w:t>
      </w:r>
    </w:p>
    <w:p w14:paraId="709670CF">
      <w:pPr>
        <w:numPr>
          <w:ilvl w:val="0"/>
          <w:numId w:val="2"/>
        </w:numPr>
        <w:tabs>
          <w:tab w:val="left" w:pos="720"/>
        </w:tabs>
        <w:adjustRightInd w:val="0"/>
        <w:spacing w:line="500" w:lineRule="exact"/>
        <w:ind w:firstLine="480"/>
        <w:rPr>
          <w:szCs w:val="28"/>
        </w:rPr>
      </w:pPr>
      <w:r>
        <w:rPr>
          <w:rFonts w:hint="eastAsia"/>
          <w:szCs w:val="28"/>
        </w:rPr>
        <w:t>《中华人民共和国环境保护法》，2015年1月1日起施行；</w:t>
      </w:r>
    </w:p>
    <w:p w14:paraId="56729A0D">
      <w:pPr>
        <w:numPr>
          <w:ilvl w:val="0"/>
          <w:numId w:val="2"/>
        </w:numPr>
        <w:tabs>
          <w:tab w:val="left" w:pos="720"/>
        </w:tabs>
        <w:adjustRightInd w:val="0"/>
        <w:spacing w:line="500" w:lineRule="exact"/>
        <w:ind w:firstLine="480"/>
        <w:rPr>
          <w:szCs w:val="28"/>
        </w:rPr>
      </w:pPr>
      <w:r>
        <w:rPr>
          <w:rFonts w:hint="eastAsia"/>
          <w:szCs w:val="28"/>
        </w:rPr>
        <w:t>《中华人民共和国环境影响评价法》，2003年9月1日起施行，2018年12月29日修正；</w:t>
      </w:r>
    </w:p>
    <w:p w14:paraId="058CD173">
      <w:pPr>
        <w:numPr>
          <w:ilvl w:val="0"/>
          <w:numId w:val="2"/>
        </w:numPr>
        <w:tabs>
          <w:tab w:val="left" w:pos="0"/>
          <w:tab w:val="left" w:pos="720"/>
        </w:tabs>
        <w:spacing w:line="500" w:lineRule="exact"/>
        <w:ind w:firstLine="560" w:firstLineChars="0"/>
        <w:rPr>
          <w:szCs w:val="24"/>
        </w:rPr>
      </w:pPr>
      <w:r>
        <w:rPr>
          <w:rFonts w:hint="eastAsia"/>
          <w:szCs w:val="24"/>
        </w:rPr>
        <w:t>《</w:t>
      </w:r>
      <w:r>
        <w:rPr>
          <w:szCs w:val="24"/>
        </w:rPr>
        <w:t>中华人民共和国大气污染防治法》，2016年1月1日起施行，2018年10月26日修正；</w:t>
      </w:r>
    </w:p>
    <w:p w14:paraId="064BCB66">
      <w:pPr>
        <w:numPr>
          <w:ilvl w:val="0"/>
          <w:numId w:val="2"/>
        </w:numPr>
        <w:tabs>
          <w:tab w:val="left" w:pos="0"/>
          <w:tab w:val="left" w:pos="720"/>
        </w:tabs>
        <w:spacing w:line="500" w:lineRule="exact"/>
        <w:ind w:firstLine="560" w:firstLineChars="0"/>
        <w:rPr>
          <w:szCs w:val="24"/>
        </w:rPr>
      </w:pPr>
      <w:r>
        <w:rPr>
          <w:rFonts w:hint="eastAsia"/>
          <w:szCs w:val="24"/>
        </w:rPr>
        <w:t>《</w:t>
      </w:r>
      <w:r>
        <w:rPr>
          <w:szCs w:val="24"/>
        </w:rPr>
        <w:t>中华人民共和国水污染防治法》，2017年6月27日修正，2018年1月1日起施行；</w:t>
      </w:r>
    </w:p>
    <w:p w14:paraId="24C6B863">
      <w:pPr>
        <w:numPr>
          <w:ilvl w:val="0"/>
          <w:numId w:val="2"/>
        </w:numPr>
        <w:tabs>
          <w:tab w:val="left" w:pos="720"/>
        </w:tabs>
        <w:adjustRightInd w:val="0"/>
        <w:spacing w:line="500" w:lineRule="exact"/>
        <w:ind w:firstLine="480"/>
        <w:rPr>
          <w:szCs w:val="28"/>
        </w:rPr>
      </w:pPr>
      <w:r>
        <w:rPr>
          <w:rFonts w:hint="eastAsia"/>
          <w:szCs w:val="24"/>
        </w:rPr>
        <w:t>《</w:t>
      </w:r>
      <w:r>
        <w:rPr>
          <w:szCs w:val="24"/>
        </w:rPr>
        <w:t>中华人民共和国土壤污染防治法》，2019年1月1日起施行；</w:t>
      </w:r>
    </w:p>
    <w:p w14:paraId="769C6782">
      <w:pPr>
        <w:numPr>
          <w:ilvl w:val="0"/>
          <w:numId w:val="2"/>
        </w:numPr>
        <w:tabs>
          <w:tab w:val="left" w:pos="720"/>
        </w:tabs>
        <w:adjustRightInd w:val="0"/>
        <w:spacing w:line="500" w:lineRule="exact"/>
        <w:ind w:firstLine="480"/>
        <w:rPr>
          <w:szCs w:val="28"/>
        </w:rPr>
      </w:pPr>
      <w:r>
        <w:rPr>
          <w:rFonts w:hint="eastAsia"/>
          <w:szCs w:val="28"/>
        </w:rPr>
        <w:t>《中</w:t>
      </w:r>
      <w:r>
        <w:rPr>
          <w:szCs w:val="24"/>
        </w:rPr>
        <w:t>华人民共和国固体废物污染环境防治法》，2020年4月29日修正，2020年9月1日起施行；</w:t>
      </w:r>
    </w:p>
    <w:p w14:paraId="693BD33F">
      <w:pPr>
        <w:numPr>
          <w:ilvl w:val="0"/>
          <w:numId w:val="2"/>
        </w:numPr>
        <w:tabs>
          <w:tab w:val="left" w:pos="720"/>
        </w:tabs>
        <w:adjustRightInd w:val="0"/>
        <w:spacing w:line="500" w:lineRule="exact"/>
        <w:ind w:firstLine="480"/>
        <w:rPr>
          <w:szCs w:val="28"/>
        </w:rPr>
      </w:pPr>
      <w:r>
        <w:rPr>
          <w:rFonts w:hint="eastAsia"/>
          <w:szCs w:val="28"/>
        </w:rPr>
        <w:t>《中华人民共和国噪声污染防治法》，2021年12月24日修正，2022年6月5日起施行；</w:t>
      </w:r>
    </w:p>
    <w:p w14:paraId="3723FCD1">
      <w:pPr>
        <w:numPr>
          <w:ilvl w:val="0"/>
          <w:numId w:val="2"/>
        </w:numPr>
        <w:tabs>
          <w:tab w:val="left" w:pos="720"/>
        </w:tabs>
        <w:adjustRightInd w:val="0"/>
        <w:spacing w:line="500" w:lineRule="exact"/>
        <w:ind w:firstLine="480"/>
        <w:rPr>
          <w:szCs w:val="28"/>
        </w:rPr>
      </w:pPr>
      <w:r>
        <w:rPr>
          <w:rFonts w:hint="eastAsia"/>
          <w:szCs w:val="28"/>
        </w:rPr>
        <w:t>《中华人民共和国文物保护法》，1982年11月19日起施行，2017年11月4日修正；</w:t>
      </w:r>
    </w:p>
    <w:p w14:paraId="7AA6AB19">
      <w:pPr>
        <w:numPr>
          <w:ilvl w:val="0"/>
          <w:numId w:val="2"/>
        </w:numPr>
        <w:tabs>
          <w:tab w:val="left" w:pos="720"/>
        </w:tabs>
        <w:adjustRightInd w:val="0"/>
        <w:spacing w:line="500" w:lineRule="exact"/>
        <w:ind w:firstLine="480"/>
        <w:rPr>
          <w:szCs w:val="28"/>
        </w:rPr>
      </w:pPr>
      <w:r>
        <w:rPr>
          <w:rFonts w:hint="eastAsia"/>
          <w:szCs w:val="28"/>
        </w:rPr>
        <w:t>《中华人民共和国野生动物保护法》，2004年8月28日起施行，2018年10月26日修正；</w:t>
      </w:r>
    </w:p>
    <w:p w14:paraId="66FEE1BB">
      <w:pPr>
        <w:numPr>
          <w:ilvl w:val="0"/>
          <w:numId w:val="2"/>
        </w:numPr>
        <w:tabs>
          <w:tab w:val="left" w:pos="720"/>
        </w:tabs>
        <w:adjustRightInd w:val="0"/>
        <w:spacing w:line="500" w:lineRule="exact"/>
        <w:ind w:firstLine="480"/>
        <w:rPr>
          <w:szCs w:val="28"/>
        </w:rPr>
      </w:pPr>
      <w:r>
        <w:rPr>
          <w:rFonts w:hint="eastAsia"/>
          <w:szCs w:val="28"/>
        </w:rPr>
        <w:t>《中华人民共和国城乡规划法》，2008年1月1日起施行，2019年4月23日修正；</w:t>
      </w:r>
    </w:p>
    <w:p w14:paraId="5B26A251">
      <w:pPr>
        <w:numPr>
          <w:ilvl w:val="0"/>
          <w:numId w:val="2"/>
        </w:numPr>
        <w:tabs>
          <w:tab w:val="left" w:pos="720"/>
        </w:tabs>
        <w:adjustRightInd w:val="0"/>
        <w:spacing w:line="500" w:lineRule="exact"/>
        <w:ind w:firstLine="480"/>
        <w:rPr>
          <w:szCs w:val="28"/>
        </w:rPr>
      </w:pPr>
      <w:r>
        <w:rPr>
          <w:rFonts w:hint="eastAsia"/>
          <w:szCs w:val="28"/>
        </w:rPr>
        <w:t>《中华人民共和国水土保持法》，2010年12月25日修正，2011年3月1日起施行；</w:t>
      </w:r>
    </w:p>
    <w:p w14:paraId="742DE007">
      <w:pPr>
        <w:numPr>
          <w:ilvl w:val="0"/>
          <w:numId w:val="2"/>
        </w:numPr>
        <w:tabs>
          <w:tab w:val="left" w:pos="720"/>
        </w:tabs>
        <w:adjustRightInd w:val="0"/>
        <w:spacing w:line="500" w:lineRule="exact"/>
        <w:ind w:firstLine="480"/>
        <w:rPr>
          <w:szCs w:val="28"/>
        </w:rPr>
      </w:pPr>
      <w:r>
        <w:rPr>
          <w:rFonts w:hint="eastAsia"/>
          <w:szCs w:val="28"/>
        </w:rPr>
        <w:t>《中华人民共和国旅游法》，2013年10月1日起施行，2018年10月26日修正；</w:t>
      </w:r>
    </w:p>
    <w:p w14:paraId="1EF86E3F">
      <w:pPr>
        <w:numPr>
          <w:ilvl w:val="0"/>
          <w:numId w:val="2"/>
        </w:numPr>
        <w:tabs>
          <w:tab w:val="left" w:pos="720"/>
        </w:tabs>
        <w:adjustRightInd w:val="0"/>
        <w:spacing w:line="500" w:lineRule="exact"/>
        <w:ind w:firstLine="480"/>
        <w:rPr>
          <w:szCs w:val="28"/>
        </w:rPr>
      </w:pPr>
      <w:r>
        <w:rPr>
          <w:rFonts w:hint="eastAsia"/>
          <w:szCs w:val="28"/>
        </w:rPr>
        <w:t>《中华人民共和国土地管理法》，2019年8月26日修正，2020年1月1日起施行；</w:t>
      </w:r>
    </w:p>
    <w:p w14:paraId="3BAA2A8C">
      <w:pPr>
        <w:numPr>
          <w:ilvl w:val="0"/>
          <w:numId w:val="2"/>
        </w:numPr>
        <w:tabs>
          <w:tab w:val="left" w:pos="720"/>
        </w:tabs>
        <w:adjustRightInd w:val="0"/>
        <w:spacing w:line="500" w:lineRule="exact"/>
        <w:ind w:firstLine="480"/>
        <w:rPr>
          <w:szCs w:val="28"/>
        </w:rPr>
      </w:pPr>
      <w:r>
        <w:rPr>
          <w:rFonts w:hint="eastAsia"/>
          <w:szCs w:val="28"/>
        </w:rPr>
        <w:t>《中华人民共和国森林法》，2019年12月28日修正，2020年7月1日起施行；</w:t>
      </w:r>
    </w:p>
    <w:p w14:paraId="0A2F1787">
      <w:pPr>
        <w:numPr>
          <w:ilvl w:val="0"/>
          <w:numId w:val="2"/>
        </w:numPr>
        <w:tabs>
          <w:tab w:val="left" w:pos="720"/>
        </w:tabs>
        <w:adjustRightInd w:val="0"/>
        <w:spacing w:line="500" w:lineRule="exact"/>
        <w:ind w:firstLine="480"/>
        <w:rPr>
          <w:szCs w:val="28"/>
        </w:rPr>
      </w:pPr>
      <w:r>
        <w:rPr>
          <w:rFonts w:hint="eastAsia"/>
          <w:szCs w:val="28"/>
        </w:rPr>
        <w:t>《中华人民共和国长江保护法》，2020年12月26日通过，2021年3月1日起施行；</w:t>
      </w:r>
    </w:p>
    <w:p w14:paraId="4BA64147">
      <w:pPr>
        <w:numPr>
          <w:ilvl w:val="0"/>
          <w:numId w:val="2"/>
        </w:numPr>
        <w:tabs>
          <w:tab w:val="left" w:pos="720"/>
        </w:tabs>
        <w:adjustRightInd w:val="0"/>
        <w:spacing w:line="500" w:lineRule="exact"/>
        <w:ind w:firstLine="480"/>
        <w:rPr>
          <w:szCs w:val="28"/>
        </w:rPr>
      </w:pPr>
      <w:r>
        <w:rPr>
          <w:rFonts w:hint="eastAsia"/>
          <w:szCs w:val="28"/>
        </w:rPr>
        <w:t>《中华人民共和国湿地保护法》，2</w:t>
      </w:r>
      <w:r>
        <w:rPr>
          <w:szCs w:val="28"/>
        </w:rPr>
        <w:t>021</w:t>
      </w:r>
      <w:r>
        <w:rPr>
          <w:rFonts w:hint="eastAsia"/>
          <w:szCs w:val="28"/>
        </w:rPr>
        <w:t>年1</w:t>
      </w:r>
      <w:r>
        <w:rPr>
          <w:szCs w:val="28"/>
        </w:rPr>
        <w:t>2</w:t>
      </w:r>
      <w:r>
        <w:rPr>
          <w:rFonts w:hint="eastAsia"/>
          <w:szCs w:val="28"/>
        </w:rPr>
        <w:t>月2</w:t>
      </w:r>
      <w:r>
        <w:rPr>
          <w:szCs w:val="28"/>
        </w:rPr>
        <w:t>4</w:t>
      </w:r>
      <w:r>
        <w:rPr>
          <w:rFonts w:hint="eastAsia"/>
          <w:szCs w:val="28"/>
        </w:rPr>
        <w:t>日通过，2</w:t>
      </w:r>
      <w:r>
        <w:rPr>
          <w:szCs w:val="28"/>
        </w:rPr>
        <w:t>022</w:t>
      </w:r>
      <w:r>
        <w:rPr>
          <w:rFonts w:hint="eastAsia"/>
          <w:szCs w:val="28"/>
        </w:rPr>
        <w:t>年6月1日起施行；</w:t>
      </w:r>
    </w:p>
    <w:p w14:paraId="44231337">
      <w:pPr>
        <w:numPr>
          <w:ilvl w:val="0"/>
          <w:numId w:val="2"/>
        </w:numPr>
        <w:tabs>
          <w:tab w:val="left" w:pos="720"/>
        </w:tabs>
        <w:adjustRightInd w:val="0"/>
        <w:spacing w:line="500" w:lineRule="exact"/>
        <w:ind w:firstLine="480"/>
        <w:rPr>
          <w:szCs w:val="28"/>
        </w:rPr>
      </w:pPr>
      <w:r>
        <w:rPr>
          <w:rFonts w:hint="eastAsia"/>
          <w:szCs w:val="28"/>
        </w:rPr>
        <w:t>《中华人民共和国陆生野生动物保护实施条例》（中华人民共和国国务院令 第666号），1992年2月12日起施行，201</w:t>
      </w:r>
      <w:r>
        <w:rPr>
          <w:szCs w:val="28"/>
        </w:rPr>
        <w:t>6</w:t>
      </w:r>
      <w:r>
        <w:rPr>
          <w:rFonts w:hint="eastAsia"/>
          <w:szCs w:val="28"/>
        </w:rPr>
        <w:t>年</w:t>
      </w:r>
      <w:r>
        <w:rPr>
          <w:szCs w:val="28"/>
        </w:rPr>
        <w:t>2</w:t>
      </w:r>
      <w:r>
        <w:rPr>
          <w:rFonts w:hint="eastAsia"/>
          <w:szCs w:val="28"/>
        </w:rPr>
        <w:t>月</w:t>
      </w:r>
      <w:r>
        <w:rPr>
          <w:szCs w:val="28"/>
        </w:rPr>
        <w:t>6</w:t>
      </w:r>
      <w:r>
        <w:rPr>
          <w:rFonts w:hint="eastAsia"/>
          <w:szCs w:val="28"/>
        </w:rPr>
        <w:t>日修正；</w:t>
      </w:r>
    </w:p>
    <w:p w14:paraId="10A4F754">
      <w:pPr>
        <w:numPr>
          <w:ilvl w:val="0"/>
          <w:numId w:val="2"/>
        </w:numPr>
        <w:tabs>
          <w:tab w:val="left" w:pos="720"/>
        </w:tabs>
        <w:adjustRightInd w:val="0"/>
        <w:spacing w:line="500" w:lineRule="exact"/>
        <w:ind w:firstLine="480"/>
        <w:rPr>
          <w:szCs w:val="28"/>
        </w:rPr>
      </w:pPr>
      <w:r>
        <w:rPr>
          <w:rFonts w:hint="eastAsia"/>
          <w:szCs w:val="28"/>
        </w:rPr>
        <w:t>《中华人民共和国野生植物保护条例》（中华人民共和国国务院令 第204号），1997年1月1日起施行，2017年10月7日修正；</w:t>
      </w:r>
    </w:p>
    <w:p w14:paraId="23B11CE5">
      <w:pPr>
        <w:numPr>
          <w:ilvl w:val="0"/>
          <w:numId w:val="2"/>
        </w:numPr>
        <w:tabs>
          <w:tab w:val="left" w:pos="720"/>
        </w:tabs>
        <w:adjustRightInd w:val="0"/>
        <w:spacing w:line="500" w:lineRule="exact"/>
        <w:ind w:firstLine="480"/>
        <w:rPr>
          <w:szCs w:val="28"/>
        </w:rPr>
      </w:pPr>
      <w:r>
        <w:rPr>
          <w:rFonts w:hint="eastAsia"/>
          <w:szCs w:val="28"/>
        </w:rPr>
        <w:t>《中华人民共和国基本农田保护条例》（中华人民共和国国务院令 第257号），1999年1月1日起施行，2011年1月8日修正；</w:t>
      </w:r>
    </w:p>
    <w:p w14:paraId="5CAE4CB0">
      <w:pPr>
        <w:numPr>
          <w:ilvl w:val="0"/>
          <w:numId w:val="2"/>
        </w:numPr>
        <w:tabs>
          <w:tab w:val="left" w:pos="720"/>
        </w:tabs>
        <w:adjustRightInd w:val="0"/>
        <w:spacing w:line="500" w:lineRule="exact"/>
        <w:ind w:firstLine="480"/>
        <w:rPr>
          <w:szCs w:val="28"/>
        </w:rPr>
      </w:pPr>
      <w:r>
        <w:rPr>
          <w:rFonts w:hint="eastAsia"/>
          <w:szCs w:val="28"/>
        </w:rPr>
        <w:t>《规划环境影响评价条例》（中华人民共和国国务院令 第</w:t>
      </w:r>
      <w:r>
        <w:rPr>
          <w:szCs w:val="28"/>
        </w:rPr>
        <w:t>559</w:t>
      </w:r>
      <w:r>
        <w:rPr>
          <w:rFonts w:hint="eastAsia"/>
          <w:szCs w:val="28"/>
        </w:rPr>
        <w:t>号），2009年10月1日起施行；</w:t>
      </w:r>
    </w:p>
    <w:p w14:paraId="25C0F16D">
      <w:pPr>
        <w:numPr>
          <w:ilvl w:val="0"/>
          <w:numId w:val="2"/>
        </w:numPr>
        <w:tabs>
          <w:tab w:val="left" w:pos="720"/>
        </w:tabs>
        <w:adjustRightInd w:val="0"/>
        <w:spacing w:line="500" w:lineRule="exact"/>
        <w:ind w:firstLine="480"/>
        <w:rPr>
          <w:szCs w:val="28"/>
        </w:rPr>
      </w:pPr>
      <w:r>
        <w:rPr>
          <w:rFonts w:hint="eastAsia"/>
          <w:szCs w:val="28"/>
        </w:rPr>
        <w:t>《太湖流域管理条例》（中华人民共和国国务院令 第604号），2011年11月1日起施行；</w:t>
      </w:r>
    </w:p>
    <w:p w14:paraId="75FAB53E">
      <w:pPr>
        <w:numPr>
          <w:ilvl w:val="0"/>
          <w:numId w:val="2"/>
        </w:numPr>
        <w:tabs>
          <w:tab w:val="left" w:pos="720"/>
        </w:tabs>
        <w:adjustRightInd w:val="0"/>
        <w:spacing w:line="500" w:lineRule="exact"/>
        <w:ind w:firstLine="480"/>
        <w:rPr>
          <w:szCs w:val="28"/>
        </w:rPr>
      </w:pPr>
      <w:r>
        <w:rPr>
          <w:rFonts w:hint="eastAsia"/>
          <w:szCs w:val="28"/>
        </w:rPr>
        <w:t>《排污许可管理条例》（中华人民共和国国务院令 第</w:t>
      </w:r>
      <w:r>
        <w:rPr>
          <w:szCs w:val="28"/>
        </w:rPr>
        <w:t>736</w:t>
      </w:r>
      <w:r>
        <w:rPr>
          <w:rFonts w:hint="eastAsia"/>
          <w:szCs w:val="28"/>
        </w:rPr>
        <w:t>号），2021年3月1日起施行；</w:t>
      </w:r>
    </w:p>
    <w:p w14:paraId="2E07F2C7">
      <w:pPr>
        <w:numPr>
          <w:ilvl w:val="0"/>
          <w:numId w:val="2"/>
        </w:numPr>
        <w:tabs>
          <w:tab w:val="left" w:pos="720"/>
        </w:tabs>
        <w:adjustRightInd w:val="0"/>
        <w:spacing w:line="500" w:lineRule="exact"/>
        <w:ind w:firstLine="480"/>
        <w:rPr>
          <w:szCs w:val="28"/>
        </w:rPr>
      </w:pPr>
      <w:r>
        <w:rPr>
          <w:rFonts w:hint="eastAsia"/>
          <w:szCs w:val="28"/>
        </w:rPr>
        <w:t>《排污许可管理办法》（中华人民共和国生态环境部令 第32号），自2024年7月1日起施行；</w:t>
      </w:r>
    </w:p>
    <w:p w14:paraId="01F97B76">
      <w:pPr>
        <w:numPr>
          <w:ilvl w:val="0"/>
          <w:numId w:val="2"/>
        </w:numPr>
        <w:tabs>
          <w:tab w:val="left" w:pos="720"/>
        </w:tabs>
        <w:adjustRightInd w:val="0"/>
        <w:spacing w:line="500" w:lineRule="exact"/>
        <w:ind w:firstLine="480"/>
        <w:rPr>
          <w:szCs w:val="28"/>
        </w:rPr>
      </w:pPr>
      <w:bookmarkStart w:id="8" w:name="_Hlk87619801"/>
      <w:r>
        <w:rPr>
          <w:rFonts w:hint="eastAsia"/>
          <w:szCs w:val="28"/>
        </w:rPr>
        <w:t>《地下水管理条例》（中华人民共和国国务院令 第</w:t>
      </w:r>
      <w:r>
        <w:rPr>
          <w:szCs w:val="28"/>
        </w:rPr>
        <w:t>748</w:t>
      </w:r>
      <w:r>
        <w:rPr>
          <w:rFonts w:hint="eastAsia"/>
          <w:szCs w:val="28"/>
        </w:rPr>
        <w:t>号），2</w:t>
      </w:r>
      <w:r>
        <w:rPr>
          <w:szCs w:val="28"/>
        </w:rPr>
        <w:t>021</w:t>
      </w:r>
      <w:r>
        <w:rPr>
          <w:rFonts w:hint="eastAsia"/>
          <w:szCs w:val="28"/>
        </w:rPr>
        <w:t>年1</w:t>
      </w:r>
      <w:r>
        <w:rPr>
          <w:szCs w:val="28"/>
        </w:rPr>
        <w:t>2</w:t>
      </w:r>
      <w:r>
        <w:rPr>
          <w:rFonts w:hint="eastAsia"/>
          <w:szCs w:val="28"/>
        </w:rPr>
        <w:t>月1日起施行；</w:t>
      </w:r>
    </w:p>
    <w:bookmarkEnd w:id="8"/>
    <w:p w14:paraId="5B021610">
      <w:pPr>
        <w:numPr>
          <w:ilvl w:val="0"/>
          <w:numId w:val="2"/>
        </w:numPr>
        <w:tabs>
          <w:tab w:val="left" w:pos="720"/>
        </w:tabs>
        <w:adjustRightInd w:val="0"/>
        <w:spacing w:line="500" w:lineRule="exact"/>
        <w:ind w:firstLine="480"/>
        <w:rPr>
          <w:szCs w:val="28"/>
        </w:rPr>
      </w:pPr>
      <w:r>
        <w:rPr>
          <w:rFonts w:hint="eastAsia"/>
          <w:szCs w:val="28"/>
        </w:rPr>
        <w:t>《中共中央 国务院关于完整准确全面贯彻新发展理念做好碳达峰碳中和工作的意见》，2</w:t>
      </w:r>
      <w:r>
        <w:rPr>
          <w:szCs w:val="28"/>
        </w:rPr>
        <w:t>021</w:t>
      </w:r>
      <w:r>
        <w:rPr>
          <w:rFonts w:hint="eastAsia"/>
          <w:szCs w:val="28"/>
        </w:rPr>
        <w:t>年9月2</w:t>
      </w:r>
      <w:r>
        <w:rPr>
          <w:szCs w:val="28"/>
        </w:rPr>
        <w:t>2</w:t>
      </w:r>
      <w:r>
        <w:rPr>
          <w:rFonts w:hint="eastAsia"/>
          <w:szCs w:val="28"/>
        </w:rPr>
        <w:t>日；</w:t>
      </w:r>
    </w:p>
    <w:p w14:paraId="7A15467E">
      <w:pPr>
        <w:numPr>
          <w:ilvl w:val="0"/>
          <w:numId w:val="2"/>
        </w:numPr>
        <w:tabs>
          <w:tab w:val="left" w:pos="720"/>
        </w:tabs>
        <w:adjustRightInd w:val="0"/>
        <w:spacing w:line="500" w:lineRule="exact"/>
        <w:ind w:firstLine="480"/>
        <w:rPr>
          <w:szCs w:val="28"/>
        </w:rPr>
      </w:pPr>
      <w:bookmarkStart w:id="9" w:name="_Hlk87619760"/>
      <w:r>
        <w:rPr>
          <w:rFonts w:hint="eastAsia"/>
          <w:szCs w:val="28"/>
        </w:rPr>
        <w:t>《中共中央办公厅 国务院办公厅印发〈关于深化生态保护补偿制度改革的意见〉》，2</w:t>
      </w:r>
      <w:r>
        <w:rPr>
          <w:szCs w:val="28"/>
        </w:rPr>
        <w:t>021</w:t>
      </w:r>
      <w:r>
        <w:rPr>
          <w:rFonts w:hint="eastAsia"/>
          <w:szCs w:val="28"/>
        </w:rPr>
        <w:t>年9月1</w:t>
      </w:r>
      <w:r>
        <w:rPr>
          <w:szCs w:val="28"/>
        </w:rPr>
        <w:t>2</w:t>
      </w:r>
      <w:r>
        <w:rPr>
          <w:rFonts w:hint="eastAsia"/>
          <w:szCs w:val="28"/>
        </w:rPr>
        <w:t>日；</w:t>
      </w:r>
    </w:p>
    <w:p w14:paraId="1D3E4916">
      <w:pPr>
        <w:numPr>
          <w:ilvl w:val="0"/>
          <w:numId w:val="2"/>
        </w:numPr>
        <w:tabs>
          <w:tab w:val="left" w:pos="720"/>
        </w:tabs>
        <w:adjustRightInd w:val="0"/>
        <w:spacing w:line="500" w:lineRule="exact"/>
        <w:ind w:firstLine="480"/>
        <w:rPr>
          <w:szCs w:val="28"/>
        </w:rPr>
      </w:pPr>
      <w:r>
        <w:rPr>
          <w:rFonts w:hint="eastAsia"/>
          <w:szCs w:val="28"/>
        </w:rPr>
        <w:t>《中共中央办公厅 国务院办公厅印发〈关于进一步加强生物多样性保护的意见〉》，2</w:t>
      </w:r>
      <w:r>
        <w:rPr>
          <w:szCs w:val="28"/>
        </w:rPr>
        <w:t>021</w:t>
      </w:r>
      <w:r>
        <w:rPr>
          <w:rFonts w:hint="eastAsia"/>
          <w:szCs w:val="28"/>
        </w:rPr>
        <w:t>年1</w:t>
      </w:r>
      <w:r>
        <w:rPr>
          <w:szCs w:val="28"/>
        </w:rPr>
        <w:t>0</w:t>
      </w:r>
      <w:r>
        <w:rPr>
          <w:rFonts w:hint="eastAsia"/>
          <w:szCs w:val="28"/>
        </w:rPr>
        <w:t>月1</w:t>
      </w:r>
      <w:r>
        <w:rPr>
          <w:szCs w:val="28"/>
        </w:rPr>
        <w:t>9</w:t>
      </w:r>
      <w:r>
        <w:rPr>
          <w:rFonts w:hint="eastAsia"/>
          <w:szCs w:val="28"/>
        </w:rPr>
        <w:t>日；</w:t>
      </w:r>
    </w:p>
    <w:bookmarkEnd w:id="9"/>
    <w:p w14:paraId="79868776">
      <w:pPr>
        <w:numPr>
          <w:ilvl w:val="0"/>
          <w:numId w:val="2"/>
        </w:numPr>
        <w:tabs>
          <w:tab w:val="left" w:pos="720"/>
        </w:tabs>
        <w:adjustRightInd w:val="0"/>
        <w:spacing w:line="500" w:lineRule="exact"/>
        <w:ind w:firstLine="480"/>
        <w:rPr>
          <w:szCs w:val="28"/>
        </w:rPr>
      </w:pPr>
      <w:r>
        <w:rPr>
          <w:rFonts w:hint="eastAsia"/>
          <w:szCs w:val="28"/>
        </w:rPr>
        <w:t>《国务院关于加快建立健全绿色低碳循环发展经济体系的指导意见》（</w:t>
      </w:r>
      <w:bookmarkStart w:id="10" w:name="_Hlk100066483"/>
      <w:r>
        <w:rPr>
          <w:rFonts w:hint="eastAsia"/>
          <w:szCs w:val="28"/>
        </w:rPr>
        <w:t>国发〔2021〕4号），2021年2月2日；</w:t>
      </w:r>
      <w:bookmarkEnd w:id="10"/>
    </w:p>
    <w:p w14:paraId="3907BC18">
      <w:pPr>
        <w:numPr>
          <w:ilvl w:val="0"/>
          <w:numId w:val="2"/>
        </w:numPr>
        <w:tabs>
          <w:tab w:val="left" w:pos="720"/>
        </w:tabs>
        <w:adjustRightInd w:val="0"/>
        <w:spacing w:line="500" w:lineRule="exact"/>
        <w:ind w:firstLine="480"/>
        <w:rPr>
          <w:szCs w:val="28"/>
        </w:rPr>
      </w:pPr>
      <w:r>
        <w:rPr>
          <w:rFonts w:hint="eastAsia"/>
          <w:szCs w:val="28"/>
        </w:rPr>
        <w:t>《国务院关于印发2</w:t>
      </w:r>
      <w:r>
        <w:rPr>
          <w:szCs w:val="28"/>
        </w:rPr>
        <w:t>030</w:t>
      </w:r>
      <w:r>
        <w:rPr>
          <w:rFonts w:hint="eastAsia"/>
          <w:szCs w:val="28"/>
        </w:rPr>
        <w:t>年前碳达峰行动方案的通知》（国发〔2021〕</w:t>
      </w:r>
      <w:r>
        <w:rPr>
          <w:szCs w:val="28"/>
        </w:rPr>
        <w:t>23</w:t>
      </w:r>
      <w:r>
        <w:rPr>
          <w:rFonts w:hint="eastAsia"/>
          <w:szCs w:val="28"/>
        </w:rPr>
        <w:t>号），2021年</w:t>
      </w:r>
      <w:r>
        <w:rPr>
          <w:szCs w:val="28"/>
        </w:rPr>
        <w:t>10</w:t>
      </w:r>
      <w:r>
        <w:rPr>
          <w:rFonts w:hint="eastAsia"/>
          <w:szCs w:val="28"/>
        </w:rPr>
        <w:t>月2</w:t>
      </w:r>
      <w:r>
        <w:rPr>
          <w:szCs w:val="28"/>
        </w:rPr>
        <w:t>4</w:t>
      </w:r>
      <w:r>
        <w:rPr>
          <w:rFonts w:hint="eastAsia"/>
          <w:szCs w:val="28"/>
        </w:rPr>
        <w:t>日；</w:t>
      </w:r>
    </w:p>
    <w:p w14:paraId="78C7B2DE">
      <w:pPr>
        <w:numPr>
          <w:ilvl w:val="0"/>
          <w:numId w:val="2"/>
        </w:numPr>
        <w:tabs>
          <w:tab w:val="left" w:pos="720"/>
        </w:tabs>
        <w:adjustRightInd w:val="0"/>
        <w:spacing w:line="500" w:lineRule="exact"/>
        <w:ind w:firstLine="480"/>
        <w:rPr>
          <w:szCs w:val="28"/>
        </w:rPr>
      </w:pPr>
      <w:r>
        <w:rPr>
          <w:rFonts w:hint="eastAsia"/>
          <w:szCs w:val="28"/>
        </w:rPr>
        <w:t>《关于印发〈长江经济带发展负面清单指南（试行，2</w:t>
      </w:r>
      <w:r>
        <w:rPr>
          <w:szCs w:val="28"/>
        </w:rPr>
        <w:t>022</w:t>
      </w:r>
      <w:r>
        <w:rPr>
          <w:rFonts w:hint="eastAsia"/>
          <w:szCs w:val="28"/>
        </w:rPr>
        <w:t>年版）〉的通知》（长江办〔202</w:t>
      </w:r>
      <w:r>
        <w:rPr>
          <w:szCs w:val="28"/>
        </w:rPr>
        <w:t>2</w:t>
      </w:r>
      <w:r>
        <w:rPr>
          <w:rFonts w:hint="eastAsia"/>
          <w:szCs w:val="28"/>
        </w:rPr>
        <w:t>〕</w:t>
      </w:r>
      <w:r>
        <w:rPr>
          <w:szCs w:val="28"/>
        </w:rPr>
        <w:t>7</w:t>
      </w:r>
      <w:r>
        <w:rPr>
          <w:rFonts w:hint="eastAsia"/>
          <w:szCs w:val="28"/>
        </w:rPr>
        <w:t>号），202</w:t>
      </w:r>
      <w:r>
        <w:rPr>
          <w:szCs w:val="28"/>
        </w:rPr>
        <w:t>2</w:t>
      </w:r>
      <w:r>
        <w:rPr>
          <w:rFonts w:hint="eastAsia"/>
          <w:szCs w:val="28"/>
        </w:rPr>
        <w:t>年</w:t>
      </w:r>
      <w:r>
        <w:rPr>
          <w:szCs w:val="28"/>
        </w:rPr>
        <w:t>1</w:t>
      </w:r>
      <w:r>
        <w:rPr>
          <w:rFonts w:hint="eastAsia"/>
          <w:szCs w:val="28"/>
        </w:rPr>
        <w:t>月</w:t>
      </w:r>
      <w:r>
        <w:rPr>
          <w:szCs w:val="28"/>
        </w:rPr>
        <w:t>19</w:t>
      </w:r>
      <w:r>
        <w:rPr>
          <w:rFonts w:hint="eastAsia"/>
          <w:szCs w:val="28"/>
        </w:rPr>
        <w:t>日；</w:t>
      </w:r>
    </w:p>
    <w:p w14:paraId="2025D9CC">
      <w:pPr>
        <w:numPr>
          <w:ilvl w:val="0"/>
          <w:numId w:val="2"/>
        </w:numPr>
        <w:tabs>
          <w:tab w:val="left" w:pos="720"/>
        </w:tabs>
        <w:adjustRightInd w:val="0"/>
        <w:spacing w:line="500" w:lineRule="exact"/>
        <w:ind w:firstLine="480"/>
        <w:rPr>
          <w:szCs w:val="28"/>
        </w:rPr>
      </w:pPr>
      <w:r>
        <w:rPr>
          <w:rFonts w:hint="eastAsia"/>
          <w:szCs w:val="24"/>
        </w:rPr>
        <w:t>《</w:t>
      </w:r>
      <w:r>
        <w:rPr>
          <w:szCs w:val="24"/>
        </w:rPr>
        <w:t>环境保护公众参与办法》（环境保护部 部令第35号），2015年9月1日起施行；</w:t>
      </w:r>
    </w:p>
    <w:p w14:paraId="6721375B">
      <w:pPr>
        <w:numPr>
          <w:ilvl w:val="0"/>
          <w:numId w:val="2"/>
        </w:numPr>
        <w:tabs>
          <w:tab w:val="left" w:pos="720"/>
        </w:tabs>
        <w:adjustRightInd w:val="0"/>
        <w:spacing w:line="500" w:lineRule="exact"/>
        <w:ind w:firstLine="480"/>
        <w:rPr>
          <w:szCs w:val="28"/>
        </w:rPr>
      </w:pPr>
      <w:r>
        <w:rPr>
          <w:rFonts w:hint="eastAsia"/>
          <w:szCs w:val="28"/>
        </w:rPr>
        <w:t>《污染地块土壤环境管理办法（试行）》（环境保护部 部令第4</w:t>
      </w:r>
      <w:r>
        <w:rPr>
          <w:szCs w:val="28"/>
        </w:rPr>
        <w:t>2</w:t>
      </w:r>
      <w:r>
        <w:rPr>
          <w:rFonts w:hint="eastAsia"/>
          <w:szCs w:val="28"/>
        </w:rPr>
        <w:t>号），2</w:t>
      </w:r>
      <w:r>
        <w:rPr>
          <w:szCs w:val="28"/>
        </w:rPr>
        <w:t>017</w:t>
      </w:r>
      <w:r>
        <w:rPr>
          <w:rFonts w:hint="eastAsia"/>
          <w:szCs w:val="28"/>
        </w:rPr>
        <w:t>年7月1日起施行；</w:t>
      </w:r>
    </w:p>
    <w:p w14:paraId="00558C82">
      <w:pPr>
        <w:numPr>
          <w:ilvl w:val="0"/>
          <w:numId w:val="2"/>
        </w:numPr>
        <w:tabs>
          <w:tab w:val="left" w:pos="720"/>
        </w:tabs>
        <w:adjustRightInd w:val="0"/>
        <w:spacing w:line="500" w:lineRule="exact"/>
        <w:ind w:firstLine="480"/>
        <w:rPr>
          <w:szCs w:val="28"/>
        </w:rPr>
      </w:pPr>
      <w:r>
        <w:rPr>
          <w:rFonts w:hint="eastAsia"/>
          <w:szCs w:val="28"/>
        </w:rPr>
        <w:t>《环境影响评价公众参与办法》（生态环境部 部令第4号），2019年1月1日起施行；</w:t>
      </w:r>
    </w:p>
    <w:p w14:paraId="6CFC00A9">
      <w:pPr>
        <w:numPr>
          <w:ilvl w:val="0"/>
          <w:numId w:val="2"/>
        </w:numPr>
        <w:tabs>
          <w:tab w:val="left" w:pos="720"/>
        </w:tabs>
        <w:adjustRightInd w:val="0"/>
        <w:spacing w:line="500" w:lineRule="exact"/>
        <w:ind w:firstLine="480"/>
        <w:rPr>
          <w:szCs w:val="28"/>
        </w:rPr>
      </w:pPr>
      <w:r>
        <w:rPr>
          <w:rFonts w:hint="eastAsia"/>
          <w:szCs w:val="24"/>
        </w:rPr>
        <w:t>《</w:t>
      </w:r>
      <w:r>
        <w:rPr>
          <w:rFonts w:hint="eastAsia"/>
          <w:szCs w:val="28"/>
        </w:rPr>
        <w:t>国家危险废物名录（2025年版）》，2025年1月1日起施行；</w:t>
      </w:r>
    </w:p>
    <w:p w14:paraId="1AB23E65">
      <w:pPr>
        <w:numPr>
          <w:ilvl w:val="0"/>
          <w:numId w:val="2"/>
        </w:numPr>
        <w:tabs>
          <w:tab w:val="left" w:pos="720"/>
        </w:tabs>
        <w:adjustRightInd w:val="0"/>
        <w:spacing w:line="500" w:lineRule="exact"/>
        <w:ind w:firstLine="480"/>
        <w:rPr>
          <w:szCs w:val="28"/>
        </w:rPr>
      </w:pPr>
      <w:r>
        <w:rPr>
          <w:rFonts w:hint="eastAsia"/>
          <w:szCs w:val="28"/>
        </w:rPr>
        <w:t>《</w:t>
      </w:r>
      <w:r>
        <w:rPr>
          <w:szCs w:val="28"/>
        </w:rPr>
        <w:t>关于进一步加强环境影响评价管理防范环境风险的通知》（环发〔2012〕77号），2012年7月3日；</w:t>
      </w:r>
    </w:p>
    <w:p w14:paraId="4310793D">
      <w:pPr>
        <w:numPr>
          <w:ilvl w:val="0"/>
          <w:numId w:val="2"/>
        </w:numPr>
        <w:tabs>
          <w:tab w:val="left" w:pos="720"/>
        </w:tabs>
        <w:adjustRightInd w:val="0"/>
        <w:spacing w:line="500" w:lineRule="exact"/>
        <w:ind w:firstLine="480"/>
        <w:rPr>
          <w:szCs w:val="28"/>
        </w:rPr>
      </w:pPr>
      <w:r>
        <w:rPr>
          <w:rFonts w:hint="eastAsia"/>
          <w:szCs w:val="28"/>
        </w:rPr>
        <w:t>《</w:t>
      </w:r>
      <w:r>
        <w:rPr>
          <w:szCs w:val="28"/>
        </w:rPr>
        <w:t>关于切实加强风险防范严格环境影响评价管理的通知》（环发〔2012〕98号），2012年8月8日；</w:t>
      </w:r>
    </w:p>
    <w:p w14:paraId="6A07FD1D">
      <w:pPr>
        <w:numPr>
          <w:ilvl w:val="0"/>
          <w:numId w:val="2"/>
        </w:numPr>
        <w:tabs>
          <w:tab w:val="left" w:pos="720"/>
        </w:tabs>
        <w:adjustRightInd w:val="0"/>
        <w:spacing w:line="500" w:lineRule="exact"/>
        <w:ind w:firstLine="480"/>
        <w:rPr>
          <w:szCs w:val="28"/>
        </w:rPr>
      </w:pPr>
      <w:r>
        <w:rPr>
          <w:rFonts w:hint="eastAsia"/>
          <w:szCs w:val="28"/>
        </w:rPr>
        <w:t>《关于保障工业企业场地再开发利用环境安全的通知》（环发</w:t>
      </w:r>
      <w:r>
        <w:rPr>
          <w:szCs w:val="28"/>
        </w:rPr>
        <w:t>〔2012〕</w:t>
      </w:r>
      <w:r>
        <w:rPr>
          <w:rFonts w:hint="eastAsia"/>
          <w:szCs w:val="28"/>
        </w:rPr>
        <w:t>1</w:t>
      </w:r>
      <w:r>
        <w:rPr>
          <w:szCs w:val="28"/>
        </w:rPr>
        <w:t>40号）</w:t>
      </w:r>
      <w:r>
        <w:rPr>
          <w:rFonts w:hint="eastAsia"/>
          <w:szCs w:val="28"/>
        </w:rPr>
        <w:t>，2</w:t>
      </w:r>
      <w:r>
        <w:rPr>
          <w:szCs w:val="28"/>
        </w:rPr>
        <w:t>012</w:t>
      </w:r>
      <w:r>
        <w:rPr>
          <w:rFonts w:hint="eastAsia"/>
          <w:szCs w:val="28"/>
        </w:rPr>
        <w:t>年1</w:t>
      </w:r>
      <w:r>
        <w:rPr>
          <w:szCs w:val="28"/>
        </w:rPr>
        <w:t>1</w:t>
      </w:r>
      <w:r>
        <w:rPr>
          <w:rFonts w:hint="eastAsia"/>
          <w:szCs w:val="28"/>
        </w:rPr>
        <w:t>月2</w:t>
      </w:r>
      <w:r>
        <w:rPr>
          <w:szCs w:val="28"/>
        </w:rPr>
        <w:t>7</w:t>
      </w:r>
      <w:r>
        <w:rPr>
          <w:rFonts w:hint="eastAsia"/>
          <w:szCs w:val="28"/>
        </w:rPr>
        <w:t>日；</w:t>
      </w:r>
    </w:p>
    <w:p w14:paraId="4F862736">
      <w:pPr>
        <w:numPr>
          <w:ilvl w:val="0"/>
          <w:numId w:val="2"/>
        </w:numPr>
        <w:tabs>
          <w:tab w:val="left" w:pos="720"/>
        </w:tabs>
        <w:adjustRightInd w:val="0"/>
        <w:spacing w:line="500" w:lineRule="exact"/>
        <w:ind w:firstLine="480"/>
        <w:rPr>
          <w:szCs w:val="28"/>
        </w:rPr>
      </w:pPr>
      <w:r>
        <w:rPr>
          <w:rFonts w:hint="eastAsia"/>
          <w:szCs w:val="28"/>
        </w:rPr>
        <w:t>《关于加强工业企业关停、搬迁及原址场地再开发利用过程中污染防治工作的通知》（环发〔2014〕66号），2</w:t>
      </w:r>
      <w:r>
        <w:rPr>
          <w:szCs w:val="28"/>
        </w:rPr>
        <w:t>014</w:t>
      </w:r>
      <w:r>
        <w:rPr>
          <w:rFonts w:hint="eastAsia"/>
          <w:szCs w:val="28"/>
        </w:rPr>
        <w:t>年5月1</w:t>
      </w:r>
      <w:r>
        <w:rPr>
          <w:szCs w:val="28"/>
        </w:rPr>
        <w:t>4</w:t>
      </w:r>
      <w:r>
        <w:rPr>
          <w:rFonts w:hint="eastAsia"/>
          <w:szCs w:val="28"/>
        </w:rPr>
        <w:t>日；</w:t>
      </w:r>
    </w:p>
    <w:p w14:paraId="689B2F1C">
      <w:pPr>
        <w:numPr>
          <w:ilvl w:val="0"/>
          <w:numId w:val="2"/>
        </w:numPr>
        <w:tabs>
          <w:tab w:val="left" w:pos="720"/>
        </w:tabs>
        <w:adjustRightInd w:val="0"/>
        <w:spacing w:line="500" w:lineRule="exact"/>
        <w:ind w:firstLine="480"/>
        <w:rPr>
          <w:szCs w:val="28"/>
        </w:rPr>
      </w:pPr>
      <w:r>
        <w:rPr>
          <w:rFonts w:hint="eastAsia"/>
          <w:szCs w:val="28"/>
        </w:rPr>
        <w:t>《</w:t>
      </w:r>
      <w:r>
        <w:rPr>
          <w:szCs w:val="28"/>
        </w:rPr>
        <w:t>关于印发</w:t>
      </w:r>
      <w:r>
        <w:rPr>
          <w:rFonts w:hint="eastAsia"/>
          <w:szCs w:val="28"/>
        </w:rPr>
        <w:t>〈</w:t>
      </w:r>
      <w:r>
        <w:rPr>
          <w:szCs w:val="28"/>
        </w:rPr>
        <w:t>企业事业单位突发环境事件应急预案备案管理办法（试行）</w:t>
      </w:r>
      <w:r>
        <w:rPr>
          <w:rFonts w:hint="eastAsia"/>
          <w:szCs w:val="28"/>
        </w:rPr>
        <w:t>〉</w:t>
      </w:r>
      <w:r>
        <w:rPr>
          <w:szCs w:val="28"/>
        </w:rPr>
        <w:t>的通知》（环发〔2015〕4号），2015年1月8日；</w:t>
      </w:r>
    </w:p>
    <w:p w14:paraId="246B45FA">
      <w:pPr>
        <w:numPr>
          <w:ilvl w:val="0"/>
          <w:numId w:val="2"/>
        </w:numPr>
        <w:tabs>
          <w:tab w:val="left" w:pos="720"/>
        </w:tabs>
        <w:adjustRightInd w:val="0"/>
        <w:spacing w:line="500" w:lineRule="exact"/>
        <w:ind w:firstLine="480"/>
        <w:rPr>
          <w:szCs w:val="28"/>
        </w:rPr>
      </w:pPr>
      <w:r>
        <w:rPr>
          <w:rFonts w:hint="eastAsia"/>
          <w:szCs w:val="28"/>
        </w:rPr>
        <w:t>《</w:t>
      </w:r>
      <w:r>
        <w:rPr>
          <w:szCs w:val="28"/>
        </w:rPr>
        <w:t>关于加强规划环境影响评价与建设项目环境影响评价联动工作的意见》（环发〔2015〕178号），2015年12月30日；</w:t>
      </w:r>
    </w:p>
    <w:p w14:paraId="42684483">
      <w:pPr>
        <w:numPr>
          <w:ilvl w:val="0"/>
          <w:numId w:val="2"/>
        </w:numPr>
        <w:tabs>
          <w:tab w:val="left" w:pos="720"/>
        </w:tabs>
        <w:adjustRightInd w:val="0"/>
        <w:spacing w:line="500" w:lineRule="exact"/>
        <w:ind w:firstLine="480"/>
        <w:rPr>
          <w:szCs w:val="28"/>
        </w:rPr>
      </w:pPr>
      <w:r>
        <w:rPr>
          <w:rFonts w:hint="eastAsia"/>
          <w:szCs w:val="28"/>
        </w:rPr>
        <w:t>《</w:t>
      </w:r>
      <w:r>
        <w:rPr>
          <w:szCs w:val="28"/>
        </w:rPr>
        <w:t>关于规划环境影响评价加强空间管制、总量管控和环境准入的指导意见（试行）》（环办环评〔2016〕14号），2016年2月25日；</w:t>
      </w:r>
    </w:p>
    <w:p w14:paraId="35193460">
      <w:pPr>
        <w:numPr>
          <w:ilvl w:val="0"/>
          <w:numId w:val="2"/>
        </w:numPr>
        <w:tabs>
          <w:tab w:val="left" w:pos="720"/>
        </w:tabs>
        <w:adjustRightInd w:val="0"/>
        <w:spacing w:line="500" w:lineRule="exact"/>
        <w:ind w:firstLine="480"/>
        <w:rPr>
          <w:szCs w:val="28"/>
        </w:rPr>
      </w:pPr>
      <w:r>
        <w:rPr>
          <w:rFonts w:hint="eastAsia"/>
          <w:szCs w:val="28"/>
        </w:rPr>
        <w:t>《</w:t>
      </w:r>
      <w:r>
        <w:rPr>
          <w:szCs w:val="28"/>
        </w:rPr>
        <w:t>关于以改善环境质量为核心加强环境影响评价管理的通知》（环环评〔2016〕150号），2016年10月26日；</w:t>
      </w:r>
    </w:p>
    <w:p w14:paraId="22FB1819">
      <w:pPr>
        <w:numPr>
          <w:ilvl w:val="0"/>
          <w:numId w:val="2"/>
        </w:numPr>
        <w:tabs>
          <w:tab w:val="left" w:pos="720"/>
        </w:tabs>
        <w:adjustRightInd w:val="0"/>
        <w:spacing w:line="500" w:lineRule="exact"/>
        <w:ind w:firstLine="480"/>
        <w:rPr>
          <w:szCs w:val="28"/>
        </w:rPr>
      </w:pPr>
      <w:r>
        <w:rPr>
          <w:rFonts w:hint="eastAsia"/>
          <w:szCs w:val="28"/>
        </w:rPr>
        <w:t>《关于进一步加强产业园区规划环境影响评价工作的意见》（环环评〔2020〕65号），</w:t>
      </w:r>
      <w:r>
        <w:rPr>
          <w:szCs w:val="28"/>
        </w:rPr>
        <w:t>2020</w:t>
      </w:r>
      <w:r>
        <w:rPr>
          <w:rFonts w:hint="eastAsia"/>
          <w:szCs w:val="28"/>
        </w:rPr>
        <w:t>年</w:t>
      </w:r>
      <w:r>
        <w:rPr>
          <w:szCs w:val="28"/>
        </w:rPr>
        <w:t>11</w:t>
      </w:r>
      <w:r>
        <w:rPr>
          <w:rFonts w:hint="eastAsia"/>
          <w:szCs w:val="28"/>
        </w:rPr>
        <w:t>月</w:t>
      </w:r>
      <w:r>
        <w:rPr>
          <w:szCs w:val="28"/>
        </w:rPr>
        <w:t>13</w:t>
      </w:r>
      <w:r>
        <w:rPr>
          <w:rFonts w:hint="eastAsia"/>
          <w:szCs w:val="28"/>
        </w:rPr>
        <w:t>日；</w:t>
      </w:r>
    </w:p>
    <w:p w14:paraId="15D84D07">
      <w:pPr>
        <w:numPr>
          <w:ilvl w:val="0"/>
          <w:numId w:val="2"/>
        </w:numPr>
        <w:tabs>
          <w:tab w:val="left" w:pos="720"/>
        </w:tabs>
        <w:adjustRightInd w:val="0"/>
        <w:spacing w:line="500" w:lineRule="exact"/>
        <w:ind w:firstLine="480"/>
        <w:rPr>
          <w:szCs w:val="28"/>
        </w:rPr>
      </w:pPr>
      <w:r>
        <w:rPr>
          <w:rFonts w:hint="eastAsia"/>
          <w:szCs w:val="28"/>
        </w:rPr>
        <w:t>《关于印发地下水污染防治实施方案的通知》（环土壤〔20</w:t>
      </w:r>
      <w:r>
        <w:rPr>
          <w:szCs w:val="28"/>
        </w:rPr>
        <w:t>19</w:t>
      </w:r>
      <w:r>
        <w:rPr>
          <w:rFonts w:hint="eastAsia"/>
          <w:szCs w:val="28"/>
        </w:rPr>
        <w:t>〕</w:t>
      </w:r>
      <w:r>
        <w:rPr>
          <w:szCs w:val="28"/>
        </w:rPr>
        <w:t>2</w:t>
      </w:r>
      <w:r>
        <w:rPr>
          <w:rFonts w:hint="eastAsia"/>
          <w:szCs w:val="28"/>
        </w:rPr>
        <w:t>5号），20</w:t>
      </w:r>
      <w:r>
        <w:rPr>
          <w:szCs w:val="28"/>
        </w:rPr>
        <w:t>19</w:t>
      </w:r>
      <w:r>
        <w:rPr>
          <w:rFonts w:hint="eastAsia"/>
          <w:szCs w:val="28"/>
        </w:rPr>
        <w:t>年</w:t>
      </w:r>
      <w:r>
        <w:rPr>
          <w:szCs w:val="28"/>
        </w:rPr>
        <w:t>3</w:t>
      </w:r>
      <w:r>
        <w:rPr>
          <w:rFonts w:hint="eastAsia"/>
          <w:szCs w:val="28"/>
        </w:rPr>
        <w:t>月</w:t>
      </w:r>
      <w:r>
        <w:rPr>
          <w:szCs w:val="28"/>
        </w:rPr>
        <w:t>28</w:t>
      </w:r>
      <w:r>
        <w:rPr>
          <w:rFonts w:hint="eastAsia"/>
          <w:szCs w:val="28"/>
        </w:rPr>
        <w:t>日；</w:t>
      </w:r>
    </w:p>
    <w:p w14:paraId="260FC622">
      <w:pPr>
        <w:numPr>
          <w:ilvl w:val="0"/>
          <w:numId w:val="2"/>
        </w:numPr>
        <w:tabs>
          <w:tab w:val="left" w:pos="720"/>
        </w:tabs>
        <w:adjustRightInd w:val="0"/>
        <w:spacing w:line="500" w:lineRule="exact"/>
        <w:ind w:firstLine="480"/>
        <w:rPr>
          <w:szCs w:val="28"/>
        </w:rPr>
      </w:pPr>
      <w:r>
        <w:rPr>
          <w:rFonts w:hint="eastAsia"/>
          <w:szCs w:val="28"/>
        </w:rPr>
        <w:t>《关于印发〈工业炉窑大气污染综合治理方案〉的通知》（环大气〔20</w:t>
      </w:r>
      <w:r>
        <w:rPr>
          <w:szCs w:val="28"/>
        </w:rPr>
        <w:t>19</w:t>
      </w:r>
      <w:r>
        <w:rPr>
          <w:rFonts w:hint="eastAsia"/>
          <w:szCs w:val="28"/>
        </w:rPr>
        <w:t>〕56号），2</w:t>
      </w:r>
      <w:r>
        <w:rPr>
          <w:szCs w:val="28"/>
        </w:rPr>
        <w:t>019</w:t>
      </w:r>
      <w:r>
        <w:rPr>
          <w:rFonts w:hint="eastAsia"/>
          <w:szCs w:val="28"/>
        </w:rPr>
        <w:t>年7月1日；</w:t>
      </w:r>
    </w:p>
    <w:p w14:paraId="4630CFDB">
      <w:pPr>
        <w:numPr>
          <w:ilvl w:val="0"/>
          <w:numId w:val="2"/>
        </w:numPr>
        <w:tabs>
          <w:tab w:val="left" w:pos="720"/>
        </w:tabs>
        <w:adjustRightInd w:val="0"/>
        <w:spacing w:line="500" w:lineRule="exact"/>
        <w:ind w:firstLine="480"/>
        <w:rPr>
          <w:szCs w:val="28"/>
        </w:rPr>
      </w:pPr>
      <w:r>
        <w:rPr>
          <w:rFonts w:hint="eastAsia"/>
          <w:szCs w:val="28"/>
        </w:rPr>
        <w:t>《关于印发〈自然保护地生态环境监管工作暂行办法〉的通知》（环生态〔20</w:t>
      </w:r>
      <w:r>
        <w:rPr>
          <w:szCs w:val="28"/>
        </w:rPr>
        <w:t>20</w:t>
      </w:r>
      <w:r>
        <w:rPr>
          <w:rFonts w:hint="eastAsia"/>
          <w:szCs w:val="28"/>
        </w:rPr>
        <w:t>〕</w:t>
      </w:r>
      <w:r>
        <w:rPr>
          <w:szCs w:val="28"/>
        </w:rPr>
        <w:t>72</w:t>
      </w:r>
      <w:r>
        <w:rPr>
          <w:rFonts w:hint="eastAsia"/>
          <w:szCs w:val="28"/>
        </w:rPr>
        <w:t>号），20</w:t>
      </w:r>
      <w:r>
        <w:rPr>
          <w:szCs w:val="28"/>
        </w:rPr>
        <w:t>20</w:t>
      </w:r>
      <w:r>
        <w:rPr>
          <w:rFonts w:hint="eastAsia"/>
          <w:szCs w:val="28"/>
        </w:rPr>
        <w:t>年</w:t>
      </w:r>
      <w:r>
        <w:rPr>
          <w:szCs w:val="28"/>
        </w:rPr>
        <w:t>12</w:t>
      </w:r>
      <w:r>
        <w:rPr>
          <w:rFonts w:hint="eastAsia"/>
          <w:szCs w:val="28"/>
        </w:rPr>
        <w:t>月</w:t>
      </w:r>
      <w:r>
        <w:rPr>
          <w:szCs w:val="28"/>
        </w:rPr>
        <w:t>20</w:t>
      </w:r>
      <w:r>
        <w:rPr>
          <w:rFonts w:hint="eastAsia"/>
          <w:szCs w:val="28"/>
        </w:rPr>
        <w:t>日；</w:t>
      </w:r>
    </w:p>
    <w:p w14:paraId="59A2E5AA">
      <w:pPr>
        <w:numPr>
          <w:ilvl w:val="0"/>
          <w:numId w:val="2"/>
        </w:numPr>
        <w:tabs>
          <w:tab w:val="left" w:pos="720"/>
        </w:tabs>
        <w:adjustRightInd w:val="0"/>
        <w:spacing w:line="500" w:lineRule="exact"/>
        <w:ind w:firstLine="480"/>
        <w:rPr>
          <w:szCs w:val="28"/>
        </w:rPr>
      </w:pPr>
      <w:r>
        <w:rPr>
          <w:rFonts w:hint="eastAsia"/>
          <w:szCs w:val="28"/>
        </w:rPr>
        <w:t>《危险化学品目录（2015版）》，2015年5月1日；</w:t>
      </w:r>
    </w:p>
    <w:p w14:paraId="5951942E">
      <w:pPr>
        <w:numPr>
          <w:ilvl w:val="0"/>
          <w:numId w:val="2"/>
        </w:numPr>
        <w:tabs>
          <w:tab w:val="left" w:pos="720"/>
        </w:tabs>
        <w:adjustRightInd w:val="0"/>
        <w:spacing w:line="500" w:lineRule="exact"/>
        <w:ind w:firstLine="480"/>
        <w:rPr>
          <w:szCs w:val="28"/>
        </w:rPr>
      </w:pPr>
      <w:r>
        <w:rPr>
          <w:rFonts w:hint="eastAsia"/>
          <w:szCs w:val="28"/>
        </w:rPr>
        <w:t>《产业结构调整指导目录（2024年本）》，中华人民共和国国家发展和改革委员会令第7号，2024年2月1日起施行；</w:t>
      </w:r>
    </w:p>
    <w:p w14:paraId="29AE985B">
      <w:pPr>
        <w:numPr>
          <w:ilvl w:val="0"/>
          <w:numId w:val="2"/>
        </w:numPr>
        <w:tabs>
          <w:tab w:val="left" w:pos="720"/>
        </w:tabs>
        <w:adjustRightInd w:val="0"/>
        <w:spacing w:line="500" w:lineRule="exact"/>
        <w:ind w:firstLine="480"/>
        <w:rPr>
          <w:szCs w:val="28"/>
        </w:rPr>
      </w:pPr>
      <w:r>
        <w:rPr>
          <w:rFonts w:hint="eastAsia"/>
          <w:szCs w:val="28"/>
        </w:rPr>
        <w:t>《鼓励外商投资产业目录（</w:t>
      </w:r>
      <w:r>
        <w:rPr>
          <w:szCs w:val="28"/>
        </w:rPr>
        <w:t>202</w:t>
      </w:r>
      <w:r>
        <w:rPr>
          <w:rFonts w:hint="eastAsia"/>
          <w:szCs w:val="28"/>
        </w:rPr>
        <w:t>2年版）》，发展改革委、商务部令第52号公布，2023年1月1日起施行；</w:t>
      </w:r>
    </w:p>
    <w:p w14:paraId="2A17A743">
      <w:pPr>
        <w:numPr>
          <w:ilvl w:val="0"/>
          <w:numId w:val="2"/>
        </w:numPr>
        <w:tabs>
          <w:tab w:val="left" w:pos="720"/>
        </w:tabs>
        <w:adjustRightInd w:val="0"/>
        <w:spacing w:line="500" w:lineRule="exact"/>
        <w:ind w:firstLine="480"/>
        <w:rPr>
          <w:szCs w:val="28"/>
        </w:rPr>
      </w:pPr>
      <w:r>
        <w:rPr>
          <w:rFonts w:hint="eastAsia"/>
          <w:szCs w:val="28"/>
        </w:rPr>
        <w:t>《环境保护综合名录（</w:t>
      </w:r>
      <w:r>
        <w:rPr>
          <w:szCs w:val="28"/>
        </w:rPr>
        <w:t>2021</w:t>
      </w:r>
      <w:r>
        <w:rPr>
          <w:rFonts w:hint="eastAsia"/>
          <w:szCs w:val="28"/>
        </w:rPr>
        <w:t>年版）》，</w:t>
      </w:r>
      <w:r>
        <w:rPr>
          <w:szCs w:val="28"/>
        </w:rPr>
        <w:t>2021</w:t>
      </w:r>
      <w:r>
        <w:rPr>
          <w:rFonts w:hint="eastAsia"/>
          <w:szCs w:val="28"/>
        </w:rPr>
        <w:t>年</w:t>
      </w:r>
      <w:r>
        <w:rPr>
          <w:szCs w:val="28"/>
        </w:rPr>
        <w:t>10</w:t>
      </w:r>
      <w:r>
        <w:rPr>
          <w:rFonts w:hint="eastAsia"/>
          <w:szCs w:val="28"/>
        </w:rPr>
        <w:t>月</w:t>
      </w:r>
      <w:r>
        <w:rPr>
          <w:szCs w:val="28"/>
        </w:rPr>
        <w:t>25</w:t>
      </w:r>
      <w:r>
        <w:rPr>
          <w:rFonts w:hint="eastAsia"/>
          <w:szCs w:val="28"/>
        </w:rPr>
        <w:t>日；</w:t>
      </w:r>
    </w:p>
    <w:p w14:paraId="687884C3">
      <w:pPr>
        <w:numPr>
          <w:ilvl w:val="0"/>
          <w:numId w:val="2"/>
        </w:numPr>
        <w:tabs>
          <w:tab w:val="left" w:pos="720"/>
        </w:tabs>
        <w:adjustRightInd w:val="0"/>
        <w:spacing w:line="500" w:lineRule="exact"/>
        <w:ind w:firstLine="480"/>
        <w:rPr>
          <w:szCs w:val="28"/>
        </w:rPr>
      </w:pPr>
      <w:r>
        <w:rPr>
          <w:rFonts w:hint="eastAsia"/>
          <w:szCs w:val="28"/>
        </w:rPr>
        <w:t>《市场准入负面清单（2025年版）》（发改体改规〔2025〕466号）；</w:t>
      </w:r>
    </w:p>
    <w:p w14:paraId="728A1B5B">
      <w:pPr>
        <w:numPr>
          <w:ilvl w:val="0"/>
          <w:numId w:val="2"/>
        </w:numPr>
        <w:tabs>
          <w:tab w:val="left" w:pos="720"/>
        </w:tabs>
        <w:adjustRightInd w:val="0"/>
        <w:spacing w:line="500" w:lineRule="exact"/>
        <w:ind w:firstLine="480"/>
        <w:rPr>
          <w:szCs w:val="28"/>
        </w:rPr>
      </w:pPr>
      <w:r>
        <w:rPr>
          <w:rFonts w:hint="eastAsia"/>
          <w:szCs w:val="28"/>
        </w:rPr>
        <w:t>《自然资源部 生态环境部 国家林业和草原局关于加强生态保护红线管理的通知（试行）》（自然资发〔2022〕142号）。</w:t>
      </w:r>
    </w:p>
    <w:p w14:paraId="37486F31">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1.2.2</w:t>
      </w:r>
      <w:r>
        <w:rPr>
          <w:rFonts w:hint="eastAsia" w:eastAsia="方正楷体_GBK" w:cs="Times New Roman"/>
          <w:b/>
          <w:bCs/>
          <w:szCs w:val="28"/>
          <w14:ligatures w14:val="none"/>
        </w:rPr>
        <w:t>地方法规及规范文件</w:t>
      </w:r>
    </w:p>
    <w:p w14:paraId="70DE6B76">
      <w:pPr>
        <w:numPr>
          <w:ilvl w:val="0"/>
          <w:numId w:val="3"/>
        </w:numPr>
        <w:tabs>
          <w:tab w:val="left" w:pos="945"/>
          <w:tab w:val="left" w:pos="8789"/>
        </w:tabs>
        <w:adjustRightInd w:val="0"/>
        <w:spacing w:line="500" w:lineRule="exact"/>
        <w:ind w:firstLine="480"/>
        <w:rPr>
          <w:szCs w:val="24"/>
        </w:rPr>
      </w:pPr>
      <w:r>
        <w:rPr>
          <w:rFonts w:hint="eastAsia"/>
          <w:szCs w:val="24"/>
        </w:rPr>
        <w:t>《</w:t>
      </w:r>
      <w:r>
        <w:rPr>
          <w:szCs w:val="24"/>
        </w:rPr>
        <w:t>江苏省环境噪声污染防治条例》，2006年3月1日起施行，2018年3月28日修正；</w:t>
      </w:r>
    </w:p>
    <w:p w14:paraId="1FCD84B5">
      <w:pPr>
        <w:numPr>
          <w:ilvl w:val="0"/>
          <w:numId w:val="3"/>
        </w:numPr>
        <w:tabs>
          <w:tab w:val="left" w:pos="945"/>
          <w:tab w:val="left" w:pos="8789"/>
        </w:tabs>
        <w:adjustRightInd w:val="0"/>
        <w:spacing w:line="500" w:lineRule="exact"/>
        <w:ind w:firstLine="480"/>
        <w:rPr>
          <w:szCs w:val="24"/>
        </w:rPr>
      </w:pPr>
      <w:r>
        <w:rPr>
          <w:rFonts w:hint="eastAsia"/>
          <w:szCs w:val="24"/>
        </w:rPr>
        <w:t>《</w:t>
      </w:r>
      <w:r>
        <w:rPr>
          <w:szCs w:val="24"/>
        </w:rPr>
        <w:t>江苏省固体废物污染环境防治条例》，2010年1月1日起施行，</w:t>
      </w:r>
      <w:r>
        <w:rPr>
          <w:rFonts w:hint="eastAsia"/>
          <w:szCs w:val="24"/>
        </w:rPr>
        <w:t>2024年11月28日第四次修订</w:t>
      </w:r>
      <w:r>
        <w:rPr>
          <w:szCs w:val="24"/>
        </w:rPr>
        <w:t>；</w:t>
      </w:r>
    </w:p>
    <w:p w14:paraId="2A68CA87">
      <w:pPr>
        <w:numPr>
          <w:ilvl w:val="0"/>
          <w:numId w:val="3"/>
        </w:numPr>
        <w:tabs>
          <w:tab w:val="left" w:pos="945"/>
          <w:tab w:val="left" w:pos="8789"/>
        </w:tabs>
        <w:adjustRightInd w:val="0"/>
        <w:spacing w:line="500" w:lineRule="exact"/>
        <w:ind w:firstLine="480"/>
        <w:rPr>
          <w:szCs w:val="24"/>
        </w:rPr>
      </w:pPr>
      <w:r>
        <w:rPr>
          <w:rFonts w:hint="eastAsia"/>
          <w:szCs w:val="24"/>
        </w:rPr>
        <w:t>《江苏省城乡规划条例》，2010年7月1日起施行；</w:t>
      </w:r>
    </w:p>
    <w:p w14:paraId="112E6E6B">
      <w:pPr>
        <w:numPr>
          <w:ilvl w:val="0"/>
          <w:numId w:val="3"/>
        </w:numPr>
        <w:tabs>
          <w:tab w:val="left" w:pos="945"/>
          <w:tab w:val="left" w:pos="8789"/>
        </w:tabs>
        <w:adjustRightInd w:val="0"/>
        <w:spacing w:line="500" w:lineRule="exact"/>
        <w:ind w:firstLine="480"/>
        <w:rPr>
          <w:szCs w:val="24"/>
        </w:rPr>
      </w:pPr>
      <w:r>
        <w:rPr>
          <w:rFonts w:hint="eastAsia"/>
          <w:szCs w:val="24"/>
        </w:rPr>
        <w:t>《</w:t>
      </w:r>
      <w:r>
        <w:rPr>
          <w:szCs w:val="24"/>
        </w:rPr>
        <w:t>江苏省大气污染防治条例》，2015年3月1日起施行，2018年3月28日修正；</w:t>
      </w:r>
    </w:p>
    <w:p w14:paraId="3D4EBC63">
      <w:pPr>
        <w:numPr>
          <w:ilvl w:val="0"/>
          <w:numId w:val="3"/>
        </w:numPr>
        <w:tabs>
          <w:tab w:val="left" w:pos="945"/>
          <w:tab w:val="left" w:pos="8789"/>
        </w:tabs>
        <w:adjustRightInd w:val="0"/>
        <w:spacing w:line="500" w:lineRule="exact"/>
        <w:ind w:firstLine="480"/>
        <w:rPr>
          <w:szCs w:val="24"/>
        </w:rPr>
      </w:pPr>
      <w:r>
        <w:rPr>
          <w:rFonts w:hint="eastAsia"/>
          <w:szCs w:val="24"/>
        </w:rPr>
        <w:t>《江苏省基本农田保护条例》，</w:t>
      </w:r>
      <w:r>
        <w:rPr>
          <w:szCs w:val="24"/>
        </w:rPr>
        <w:t>2010</w:t>
      </w:r>
      <w:r>
        <w:rPr>
          <w:rFonts w:hint="eastAsia"/>
          <w:szCs w:val="24"/>
        </w:rPr>
        <w:t>年</w:t>
      </w:r>
      <w:r>
        <w:rPr>
          <w:szCs w:val="24"/>
        </w:rPr>
        <w:t>9</w:t>
      </w:r>
      <w:r>
        <w:rPr>
          <w:rFonts w:hint="eastAsia"/>
          <w:szCs w:val="24"/>
        </w:rPr>
        <w:t>月2</w:t>
      </w:r>
      <w:r>
        <w:rPr>
          <w:szCs w:val="24"/>
        </w:rPr>
        <w:t>9</w:t>
      </w:r>
      <w:r>
        <w:rPr>
          <w:rFonts w:hint="eastAsia"/>
          <w:szCs w:val="24"/>
        </w:rPr>
        <w:t>日通过，2</w:t>
      </w:r>
      <w:r>
        <w:rPr>
          <w:szCs w:val="24"/>
        </w:rPr>
        <w:t>010</w:t>
      </w:r>
      <w:r>
        <w:rPr>
          <w:rFonts w:hint="eastAsia"/>
          <w:szCs w:val="24"/>
        </w:rPr>
        <w:t>年1</w:t>
      </w:r>
      <w:r>
        <w:rPr>
          <w:szCs w:val="24"/>
        </w:rPr>
        <w:t>1</w:t>
      </w:r>
      <w:r>
        <w:rPr>
          <w:rFonts w:hint="eastAsia"/>
          <w:szCs w:val="24"/>
        </w:rPr>
        <w:t>月1日起施行；</w:t>
      </w:r>
    </w:p>
    <w:p w14:paraId="109E00AD">
      <w:pPr>
        <w:numPr>
          <w:ilvl w:val="0"/>
          <w:numId w:val="3"/>
        </w:numPr>
        <w:tabs>
          <w:tab w:val="left" w:pos="945"/>
          <w:tab w:val="left" w:pos="8789"/>
        </w:tabs>
        <w:adjustRightInd w:val="0"/>
        <w:spacing w:line="500" w:lineRule="exact"/>
        <w:ind w:firstLine="480"/>
        <w:rPr>
          <w:szCs w:val="24"/>
        </w:rPr>
      </w:pPr>
      <w:r>
        <w:rPr>
          <w:rFonts w:hint="eastAsia"/>
          <w:szCs w:val="24"/>
        </w:rPr>
        <w:t>《江苏省湿地保护条例》，2016年9月30日通过，2024年1月12日修订；</w:t>
      </w:r>
    </w:p>
    <w:p w14:paraId="188CB71B">
      <w:pPr>
        <w:numPr>
          <w:ilvl w:val="0"/>
          <w:numId w:val="3"/>
        </w:numPr>
        <w:tabs>
          <w:tab w:val="left" w:pos="945"/>
          <w:tab w:val="left" w:pos="8789"/>
        </w:tabs>
        <w:adjustRightInd w:val="0"/>
        <w:spacing w:line="500" w:lineRule="exact"/>
        <w:ind w:firstLine="480"/>
        <w:rPr>
          <w:szCs w:val="24"/>
        </w:rPr>
      </w:pPr>
      <w:r>
        <w:rPr>
          <w:rFonts w:hint="eastAsia"/>
          <w:szCs w:val="24"/>
        </w:rPr>
        <w:t>《江苏省文物保护条例》，2</w:t>
      </w:r>
      <w:r>
        <w:rPr>
          <w:szCs w:val="24"/>
        </w:rPr>
        <w:t>003</w:t>
      </w:r>
      <w:r>
        <w:rPr>
          <w:rFonts w:hint="eastAsia"/>
          <w:szCs w:val="24"/>
        </w:rPr>
        <w:t>年1</w:t>
      </w:r>
      <w:r>
        <w:rPr>
          <w:szCs w:val="24"/>
        </w:rPr>
        <w:t>0</w:t>
      </w:r>
      <w:r>
        <w:rPr>
          <w:rFonts w:hint="eastAsia"/>
          <w:szCs w:val="24"/>
        </w:rPr>
        <w:t>月2</w:t>
      </w:r>
      <w:r>
        <w:rPr>
          <w:szCs w:val="24"/>
        </w:rPr>
        <w:t>5</w:t>
      </w:r>
      <w:r>
        <w:rPr>
          <w:rFonts w:hint="eastAsia"/>
          <w:szCs w:val="24"/>
        </w:rPr>
        <w:t>日通过，2</w:t>
      </w:r>
      <w:r>
        <w:rPr>
          <w:szCs w:val="24"/>
        </w:rPr>
        <w:t>017</w:t>
      </w:r>
      <w:r>
        <w:rPr>
          <w:rFonts w:hint="eastAsia"/>
          <w:szCs w:val="24"/>
        </w:rPr>
        <w:t>年6月3日修正；</w:t>
      </w:r>
    </w:p>
    <w:p w14:paraId="69593A82">
      <w:pPr>
        <w:numPr>
          <w:ilvl w:val="0"/>
          <w:numId w:val="3"/>
        </w:numPr>
        <w:tabs>
          <w:tab w:val="left" w:pos="945"/>
          <w:tab w:val="left" w:pos="8789"/>
        </w:tabs>
        <w:adjustRightInd w:val="0"/>
        <w:spacing w:line="500" w:lineRule="exact"/>
        <w:ind w:firstLine="480"/>
        <w:rPr>
          <w:szCs w:val="24"/>
        </w:rPr>
      </w:pPr>
      <w:r>
        <w:rPr>
          <w:rFonts w:hint="eastAsia"/>
          <w:szCs w:val="24"/>
        </w:rPr>
        <w:t>《江苏省太湖水污染防治条例》，20</w:t>
      </w:r>
      <w:r>
        <w:rPr>
          <w:szCs w:val="24"/>
        </w:rPr>
        <w:t>0</w:t>
      </w:r>
      <w:r>
        <w:rPr>
          <w:rFonts w:hint="eastAsia"/>
          <w:szCs w:val="24"/>
        </w:rPr>
        <w:t>8年</w:t>
      </w:r>
      <w:r>
        <w:rPr>
          <w:szCs w:val="24"/>
        </w:rPr>
        <w:t>6</w:t>
      </w:r>
      <w:r>
        <w:rPr>
          <w:rFonts w:hint="eastAsia"/>
          <w:szCs w:val="24"/>
        </w:rPr>
        <w:t>月</w:t>
      </w:r>
      <w:r>
        <w:rPr>
          <w:szCs w:val="24"/>
        </w:rPr>
        <w:t>5</w:t>
      </w:r>
      <w:r>
        <w:rPr>
          <w:rFonts w:hint="eastAsia"/>
          <w:szCs w:val="24"/>
        </w:rPr>
        <w:t>日起施行，2</w:t>
      </w:r>
      <w:r>
        <w:rPr>
          <w:szCs w:val="24"/>
        </w:rPr>
        <w:t>021</w:t>
      </w:r>
      <w:r>
        <w:rPr>
          <w:rFonts w:hint="eastAsia"/>
          <w:szCs w:val="24"/>
        </w:rPr>
        <w:t>年9月2</w:t>
      </w:r>
      <w:r>
        <w:rPr>
          <w:szCs w:val="24"/>
        </w:rPr>
        <w:t>9</w:t>
      </w:r>
      <w:r>
        <w:rPr>
          <w:rFonts w:hint="eastAsia"/>
          <w:szCs w:val="24"/>
        </w:rPr>
        <w:t>日第四次修正；</w:t>
      </w:r>
    </w:p>
    <w:p w14:paraId="1F2673CE">
      <w:pPr>
        <w:numPr>
          <w:ilvl w:val="0"/>
          <w:numId w:val="3"/>
        </w:numPr>
        <w:tabs>
          <w:tab w:val="left" w:pos="945"/>
          <w:tab w:val="left" w:pos="8789"/>
        </w:tabs>
        <w:adjustRightInd w:val="0"/>
        <w:spacing w:line="500" w:lineRule="exact"/>
        <w:ind w:firstLine="480"/>
        <w:rPr>
          <w:szCs w:val="24"/>
        </w:rPr>
      </w:pPr>
      <w:r>
        <w:rPr>
          <w:rFonts w:hint="eastAsia"/>
          <w:szCs w:val="24"/>
        </w:rPr>
        <w:t>《江苏省水污染防治条例》，2</w:t>
      </w:r>
      <w:r>
        <w:rPr>
          <w:szCs w:val="24"/>
        </w:rPr>
        <w:t>021</w:t>
      </w:r>
      <w:r>
        <w:rPr>
          <w:rFonts w:hint="eastAsia"/>
          <w:szCs w:val="24"/>
        </w:rPr>
        <w:t>年5月1日起施行，2</w:t>
      </w:r>
      <w:r>
        <w:rPr>
          <w:szCs w:val="24"/>
        </w:rPr>
        <w:t>021</w:t>
      </w:r>
      <w:r>
        <w:rPr>
          <w:rFonts w:hint="eastAsia"/>
          <w:szCs w:val="24"/>
        </w:rPr>
        <w:t>年9月2</w:t>
      </w:r>
      <w:r>
        <w:rPr>
          <w:szCs w:val="24"/>
        </w:rPr>
        <w:t>9</w:t>
      </w:r>
      <w:r>
        <w:rPr>
          <w:rFonts w:hint="eastAsia"/>
          <w:szCs w:val="24"/>
        </w:rPr>
        <w:t>日修正；</w:t>
      </w:r>
    </w:p>
    <w:p w14:paraId="213572DD">
      <w:pPr>
        <w:numPr>
          <w:ilvl w:val="0"/>
          <w:numId w:val="3"/>
        </w:numPr>
        <w:tabs>
          <w:tab w:val="left" w:pos="945"/>
          <w:tab w:val="left" w:pos="8789"/>
        </w:tabs>
        <w:adjustRightInd w:val="0"/>
        <w:spacing w:line="500" w:lineRule="exact"/>
        <w:ind w:firstLine="480"/>
        <w:rPr>
          <w:szCs w:val="24"/>
        </w:rPr>
      </w:pPr>
      <w:r>
        <w:rPr>
          <w:rFonts w:hint="eastAsia"/>
          <w:szCs w:val="24"/>
        </w:rPr>
        <w:t>《江苏省土壤污染防治条例》，2</w:t>
      </w:r>
      <w:r>
        <w:rPr>
          <w:szCs w:val="24"/>
        </w:rPr>
        <w:t>022</w:t>
      </w:r>
      <w:r>
        <w:rPr>
          <w:rFonts w:hint="eastAsia"/>
          <w:szCs w:val="24"/>
        </w:rPr>
        <w:t>年3月3</w:t>
      </w:r>
      <w:r>
        <w:rPr>
          <w:szCs w:val="24"/>
        </w:rPr>
        <w:t>1</w:t>
      </w:r>
      <w:r>
        <w:rPr>
          <w:rFonts w:hint="eastAsia"/>
          <w:szCs w:val="24"/>
        </w:rPr>
        <w:t>日，2</w:t>
      </w:r>
      <w:r>
        <w:rPr>
          <w:szCs w:val="24"/>
        </w:rPr>
        <w:t>022</w:t>
      </w:r>
      <w:r>
        <w:rPr>
          <w:rFonts w:hint="eastAsia"/>
          <w:szCs w:val="24"/>
        </w:rPr>
        <w:t>年9月1日起施行；</w:t>
      </w:r>
    </w:p>
    <w:p w14:paraId="1A8457A3">
      <w:pPr>
        <w:numPr>
          <w:ilvl w:val="0"/>
          <w:numId w:val="3"/>
        </w:numPr>
        <w:tabs>
          <w:tab w:val="left" w:pos="945"/>
          <w:tab w:val="left" w:pos="8789"/>
        </w:tabs>
        <w:adjustRightInd w:val="0"/>
        <w:spacing w:line="500" w:lineRule="exact"/>
        <w:ind w:firstLine="480"/>
        <w:rPr>
          <w:szCs w:val="24"/>
        </w:rPr>
      </w:pPr>
      <w:r>
        <w:rPr>
          <w:rFonts w:hint="eastAsia"/>
          <w:szCs w:val="24"/>
        </w:rPr>
        <w:t>《中共江苏省委 江苏省人民政府关于深入打好污染防治攻坚战的实施意见》，2</w:t>
      </w:r>
      <w:r>
        <w:rPr>
          <w:szCs w:val="24"/>
        </w:rPr>
        <w:t>022</w:t>
      </w:r>
      <w:r>
        <w:rPr>
          <w:rFonts w:hint="eastAsia"/>
          <w:szCs w:val="24"/>
        </w:rPr>
        <w:t>年1月2</w:t>
      </w:r>
      <w:r>
        <w:rPr>
          <w:szCs w:val="24"/>
        </w:rPr>
        <w:t>4</w:t>
      </w:r>
      <w:r>
        <w:rPr>
          <w:rFonts w:hint="eastAsia"/>
          <w:szCs w:val="24"/>
        </w:rPr>
        <w:t>日；</w:t>
      </w:r>
    </w:p>
    <w:p w14:paraId="6222C967">
      <w:pPr>
        <w:numPr>
          <w:ilvl w:val="0"/>
          <w:numId w:val="3"/>
        </w:numPr>
        <w:tabs>
          <w:tab w:val="left" w:pos="945"/>
          <w:tab w:val="left" w:pos="8789"/>
        </w:tabs>
        <w:adjustRightInd w:val="0"/>
        <w:spacing w:line="500" w:lineRule="exact"/>
        <w:ind w:firstLine="480"/>
        <w:rPr>
          <w:szCs w:val="24"/>
        </w:rPr>
      </w:pPr>
      <w:r>
        <w:rPr>
          <w:rFonts w:hint="eastAsia"/>
          <w:szCs w:val="24"/>
        </w:rPr>
        <w:t>《中共江苏省委 江苏</w:t>
      </w:r>
      <w:r>
        <w:rPr>
          <w:szCs w:val="24"/>
        </w:rPr>
        <w:t>省政府</w:t>
      </w:r>
      <w:r>
        <w:rPr>
          <w:rFonts w:hint="eastAsia"/>
          <w:szCs w:val="24"/>
        </w:rPr>
        <w:t>人民政府</w:t>
      </w:r>
      <w:r>
        <w:rPr>
          <w:szCs w:val="24"/>
        </w:rPr>
        <w:t>关于加强环境保护推动生态文明建设的</w:t>
      </w:r>
      <w:r>
        <w:rPr>
          <w:rFonts w:hint="eastAsia"/>
          <w:szCs w:val="24"/>
        </w:rPr>
        <w:t>实施</w:t>
      </w:r>
      <w:r>
        <w:rPr>
          <w:szCs w:val="24"/>
        </w:rPr>
        <w:t>意见》（苏发〔20</w:t>
      </w:r>
      <w:r>
        <w:rPr>
          <w:rFonts w:hint="eastAsia"/>
          <w:szCs w:val="24"/>
        </w:rPr>
        <w:t>15</w:t>
      </w:r>
      <w:r>
        <w:rPr>
          <w:szCs w:val="24"/>
        </w:rPr>
        <w:t>〕</w:t>
      </w:r>
      <w:r>
        <w:rPr>
          <w:rFonts w:hint="eastAsia"/>
          <w:szCs w:val="24"/>
        </w:rPr>
        <w:t>30</w:t>
      </w:r>
      <w:r>
        <w:rPr>
          <w:szCs w:val="24"/>
        </w:rPr>
        <w:t>号），201</w:t>
      </w:r>
      <w:r>
        <w:rPr>
          <w:rFonts w:hint="eastAsia"/>
          <w:szCs w:val="24"/>
        </w:rPr>
        <w:t>5</w:t>
      </w:r>
      <w:r>
        <w:rPr>
          <w:szCs w:val="24"/>
        </w:rPr>
        <w:t>年1</w:t>
      </w:r>
      <w:r>
        <w:rPr>
          <w:rFonts w:hint="eastAsia"/>
          <w:szCs w:val="24"/>
        </w:rPr>
        <w:t>0</w:t>
      </w:r>
      <w:r>
        <w:rPr>
          <w:szCs w:val="24"/>
        </w:rPr>
        <w:t>月</w:t>
      </w:r>
      <w:r>
        <w:rPr>
          <w:rFonts w:hint="eastAsia"/>
          <w:szCs w:val="24"/>
        </w:rPr>
        <w:t>13</w:t>
      </w:r>
      <w:r>
        <w:rPr>
          <w:szCs w:val="24"/>
        </w:rPr>
        <w:t>日；</w:t>
      </w:r>
    </w:p>
    <w:p w14:paraId="6B954F4E">
      <w:pPr>
        <w:numPr>
          <w:ilvl w:val="0"/>
          <w:numId w:val="3"/>
        </w:numPr>
        <w:tabs>
          <w:tab w:val="left" w:pos="945"/>
          <w:tab w:val="left" w:pos="8789"/>
        </w:tabs>
        <w:adjustRightInd w:val="0"/>
        <w:spacing w:line="500" w:lineRule="exact"/>
        <w:ind w:firstLine="480"/>
        <w:rPr>
          <w:szCs w:val="24"/>
        </w:rPr>
      </w:pPr>
      <w:r>
        <w:rPr>
          <w:rFonts w:hint="eastAsia"/>
          <w:szCs w:val="24"/>
        </w:rPr>
        <w:t>《长江经济带发展负面清单指南（试行2022年版）－江苏省实施细则》</w:t>
      </w:r>
      <w:r>
        <w:rPr>
          <w:szCs w:val="24"/>
        </w:rPr>
        <w:t>；</w:t>
      </w:r>
    </w:p>
    <w:p w14:paraId="5A1049D6">
      <w:pPr>
        <w:numPr>
          <w:ilvl w:val="0"/>
          <w:numId w:val="3"/>
        </w:numPr>
        <w:tabs>
          <w:tab w:val="left" w:pos="945"/>
          <w:tab w:val="left" w:pos="8789"/>
        </w:tabs>
        <w:adjustRightInd w:val="0"/>
        <w:spacing w:line="500" w:lineRule="exact"/>
        <w:ind w:firstLine="480"/>
        <w:rPr>
          <w:szCs w:val="24"/>
        </w:rPr>
      </w:pPr>
      <w:r>
        <w:rPr>
          <w:rFonts w:hint="eastAsia"/>
          <w:szCs w:val="24"/>
        </w:rPr>
        <w:t>《</w:t>
      </w:r>
      <w:r>
        <w:rPr>
          <w:szCs w:val="24"/>
        </w:rPr>
        <w:t>省政府关于实行最严格水资源管理制度的实施意见》（苏政发〔2012〕27号），2012年3月15日；</w:t>
      </w:r>
    </w:p>
    <w:p w14:paraId="3DED832A">
      <w:pPr>
        <w:numPr>
          <w:ilvl w:val="0"/>
          <w:numId w:val="3"/>
        </w:numPr>
        <w:tabs>
          <w:tab w:val="left" w:pos="945"/>
          <w:tab w:val="left" w:pos="8789"/>
        </w:tabs>
        <w:adjustRightInd w:val="0"/>
        <w:spacing w:line="500" w:lineRule="exact"/>
        <w:ind w:firstLine="480"/>
        <w:rPr>
          <w:szCs w:val="24"/>
        </w:rPr>
      </w:pPr>
      <w:r>
        <w:rPr>
          <w:rFonts w:hint="eastAsia"/>
          <w:szCs w:val="24"/>
        </w:rPr>
        <w:t>《省政府关于印发江苏省国家级生态保护红线规划的通知》（苏政发〔2018〕74号），2018年6月9日；</w:t>
      </w:r>
    </w:p>
    <w:p w14:paraId="5BCDB5BA">
      <w:pPr>
        <w:numPr>
          <w:ilvl w:val="0"/>
          <w:numId w:val="3"/>
        </w:numPr>
        <w:tabs>
          <w:tab w:val="left" w:pos="945"/>
          <w:tab w:val="left" w:pos="8789"/>
        </w:tabs>
        <w:adjustRightInd w:val="0"/>
        <w:spacing w:line="500" w:lineRule="exact"/>
        <w:ind w:firstLine="480"/>
        <w:rPr>
          <w:szCs w:val="24"/>
        </w:rPr>
      </w:pPr>
      <w:r>
        <w:rPr>
          <w:rFonts w:hint="eastAsia"/>
          <w:szCs w:val="24"/>
        </w:rPr>
        <w:t>《省政府关于印发江苏省生态空间管控区域规划的通知》（苏政发〔2020〕1号），2020年1月8日；</w:t>
      </w:r>
    </w:p>
    <w:p w14:paraId="7DC187BE">
      <w:pPr>
        <w:numPr>
          <w:ilvl w:val="0"/>
          <w:numId w:val="3"/>
        </w:numPr>
        <w:tabs>
          <w:tab w:val="left" w:pos="945"/>
          <w:tab w:val="left" w:pos="8789"/>
        </w:tabs>
        <w:adjustRightInd w:val="0"/>
        <w:spacing w:line="500" w:lineRule="exact"/>
        <w:ind w:firstLine="480"/>
        <w:rPr>
          <w:szCs w:val="24"/>
        </w:rPr>
      </w:pPr>
      <w:r>
        <w:rPr>
          <w:rFonts w:hint="eastAsia"/>
          <w:szCs w:val="24"/>
        </w:rPr>
        <w:t>《省政府关于印发江苏省“三线一单”生态环境分区管控方案的通知》（苏政发〔2020〕49号），2020年6月21日；</w:t>
      </w:r>
    </w:p>
    <w:p w14:paraId="048188CD">
      <w:pPr>
        <w:numPr>
          <w:ilvl w:val="0"/>
          <w:numId w:val="3"/>
        </w:numPr>
        <w:tabs>
          <w:tab w:val="left" w:pos="945"/>
          <w:tab w:val="left" w:pos="8789"/>
        </w:tabs>
        <w:adjustRightInd w:val="0"/>
        <w:spacing w:line="500" w:lineRule="exact"/>
        <w:ind w:firstLine="480"/>
        <w:rPr>
          <w:szCs w:val="24"/>
        </w:rPr>
      </w:pPr>
      <w:r>
        <w:rPr>
          <w:rFonts w:hint="eastAsia"/>
          <w:szCs w:val="24"/>
        </w:rPr>
        <w:t>《省政府关于加快建立健全绿色低碳循环发展经济体系的实施意见》（苏政发〔202</w:t>
      </w:r>
      <w:r>
        <w:rPr>
          <w:szCs w:val="24"/>
        </w:rPr>
        <w:t>2</w:t>
      </w:r>
      <w:r>
        <w:rPr>
          <w:rFonts w:hint="eastAsia"/>
          <w:szCs w:val="24"/>
        </w:rPr>
        <w:t>〕</w:t>
      </w:r>
      <w:r>
        <w:rPr>
          <w:szCs w:val="24"/>
        </w:rPr>
        <w:t>8</w:t>
      </w:r>
      <w:r>
        <w:rPr>
          <w:rFonts w:hint="eastAsia"/>
          <w:szCs w:val="24"/>
        </w:rPr>
        <w:t>号），202</w:t>
      </w:r>
      <w:r>
        <w:rPr>
          <w:szCs w:val="24"/>
        </w:rPr>
        <w:t>2</w:t>
      </w:r>
      <w:r>
        <w:rPr>
          <w:rFonts w:hint="eastAsia"/>
          <w:szCs w:val="24"/>
        </w:rPr>
        <w:t>年</w:t>
      </w:r>
      <w:r>
        <w:rPr>
          <w:szCs w:val="24"/>
        </w:rPr>
        <w:t>1</w:t>
      </w:r>
      <w:r>
        <w:rPr>
          <w:rFonts w:hint="eastAsia"/>
          <w:szCs w:val="24"/>
        </w:rPr>
        <w:t>月2</w:t>
      </w:r>
      <w:r>
        <w:rPr>
          <w:szCs w:val="24"/>
        </w:rPr>
        <w:t>4</w:t>
      </w:r>
      <w:r>
        <w:rPr>
          <w:rFonts w:hint="eastAsia"/>
          <w:szCs w:val="24"/>
        </w:rPr>
        <w:t>日；</w:t>
      </w:r>
    </w:p>
    <w:p w14:paraId="7869CEDA">
      <w:pPr>
        <w:numPr>
          <w:ilvl w:val="0"/>
          <w:numId w:val="3"/>
        </w:numPr>
        <w:tabs>
          <w:tab w:val="left" w:pos="945"/>
          <w:tab w:val="left" w:pos="8789"/>
        </w:tabs>
        <w:adjustRightInd w:val="0"/>
        <w:spacing w:line="500" w:lineRule="exact"/>
        <w:ind w:firstLine="480"/>
        <w:rPr>
          <w:szCs w:val="24"/>
        </w:rPr>
      </w:pPr>
      <w:r>
        <w:rPr>
          <w:rFonts w:hint="eastAsia"/>
          <w:szCs w:val="24"/>
        </w:rPr>
        <w:t>《省政府办公厅关于公布江苏省太湖流域三级保护区范围的通知》（苏政办发〔201</w:t>
      </w:r>
      <w:r>
        <w:rPr>
          <w:szCs w:val="24"/>
        </w:rPr>
        <w:t>2</w:t>
      </w:r>
      <w:r>
        <w:rPr>
          <w:rFonts w:hint="eastAsia"/>
          <w:szCs w:val="24"/>
        </w:rPr>
        <w:t>〕2</w:t>
      </w:r>
      <w:r>
        <w:rPr>
          <w:szCs w:val="24"/>
        </w:rPr>
        <w:t>2</w:t>
      </w:r>
      <w:r>
        <w:rPr>
          <w:rFonts w:hint="eastAsia"/>
          <w:szCs w:val="24"/>
        </w:rPr>
        <w:t>1号），201</w:t>
      </w:r>
      <w:r>
        <w:rPr>
          <w:szCs w:val="24"/>
        </w:rPr>
        <w:t>2</w:t>
      </w:r>
      <w:r>
        <w:rPr>
          <w:rFonts w:hint="eastAsia"/>
          <w:szCs w:val="24"/>
        </w:rPr>
        <w:t>年1</w:t>
      </w:r>
      <w:r>
        <w:rPr>
          <w:szCs w:val="24"/>
        </w:rPr>
        <w:t>2</w:t>
      </w:r>
      <w:r>
        <w:rPr>
          <w:rFonts w:hint="eastAsia"/>
          <w:szCs w:val="24"/>
        </w:rPr>
        <w:t>月2</w:t>
      </w:r>
      <w:r>
        <w:rPr>
          <w:szCs w:val="24"/>
        </w:rPr>
        <w:t>8</w:t>
      </w:r>
      <w:r>
        <w:rPr>
          <w:rFonts w:hint="eastAsia"/>
          <w:szCs w:val="24"/>
        </w:rPr>
        <w:t>日；</w:t>
      </w:r>
    </w:p>
    <w:p w14:paraId="0E316BBF">
      <w:pPr>
        <w:numPr>
          <w:ilvl w:val="0"/>
          <w:numId w:val="3"/>
        </w:numPr>
        <w:tabs>
          <w:tab w:val="left" w:pos="945"/>
          <w:tab w:val="left" w:pos="8789"/>
        </w:tabs>
        <w:adjustRightInd w:val="0"/>
        <w:spacing w:line="500" w:lineRule="exact"/>
        <w:ind w:firstLine="480"/>
        <w:rPr>
          <w:szCs w:val="24"/>
        </w:rPr>
      </w:pPr>
      <w:bookmarkStart w:id="11" w:name="_Hlk69980601"/>
      <w:r>
        <w:rPr>
          <w:rFonts w:hint="eastAsia"/>
          <w:szCs w:val="24"/>
        </w:rPr>
        <w:t>《省政府办公厅关于印发江苏省生态空间管控区域调整管理办法的通知》（苏政办发</w:t>
      </w:r>
      <w:bookmarkStart w:id="12" w:name="_Hlk69980400"/>
      <w:r>
        <w:rPr>
          <w:rFonts w:hint="eastAsia"/>
          <w:szCs w:val="24"/>
        </w:rPr>
        <w:t>〔20</w:t>
      </w:r>
      <w:r>
        <w:rPr>
          <w:szCs w:val="24"/>
        </w:rPr>
        <w:t>21</w:t>
      </w:r>
      <w:r>
        <w:rPr>
          <w:rFonts w:hint="eastAsia"/>
          <w:szCs w:val="24"/>
        </w:rPr>
        <w:t>〕3号），20</w:t>
      </w:r>
      <w:r>
        <w:rPr>
          <w:szCs w:val="24"/>
        </w:rPr>
        <w:t>21</w:t>
      </w:r>
      <w:r>
        <w:rPr>
          <w:rFonts w:hint="eastAsia"/>
          <w:szCs w:val="24"/>
        </w:rPr>
        <w:t>年</w:t>
      </w:r>
      <w:r>
        <w:rPr>
          <w:szCs w:val="24"/>
        </w:rPr>
        <w:t>1</w:t>
      </w:r>
      <w:r>
        <w:rPr>
          <w:rFonts w:hint="eastAsia"/>
          <w:szCs w:val="24"/>
        </w:rPr>
        <w:t>月</w:t>
      </w:r>
      <w:r>
        <w:rPr>
          <w:szCs w:val="24"/>
        </w:rPr>
        <w:t>6</w:t>
      </w:r>
      <w:r>
        <w:rPr>
          <w:rFonts w:hint="eastAsia"/>
          <w:szCs w:val="24"/>
        </w:rPr>
        <w:t>日；</w:t>
      </w:r>
      <w:bookmarkEnd w:id="12"/>
    </w:p>
    <w:bookmarkEnd w:id="11"/>
    <w:p w14:paraId="18FF3D41">
      <w:pPr>
        <w:numPr>
          <w:ilvl w:val="0"/>
          <w:numId w:val="3"/>
        </w:numPr>
        <w:tabs>
          <w:tab w:val="left" w:pos="945"/>
          <w:tab w:val="left" w:pos="8789"/>
        </w:tabs>
        <w:adjustRightInd w:val="0"/>
        <w:spacing w:line="500" w:lineRule="exact"/>
        <w:ind w:firstLine="480"/>
        <w:rPr>
          <w:szCs w:val="24"/>
        </w:rPr>
      </w:pPr>
      <w:bookmarkStart w:id="13" w:name="_Hlk160198778"/>
      <w:r>
        <w:rPr>
          <w:rFonts w:hint="eastAsia"/>
          <w:szCs w:val="24"/>
        </w:rPr>
        <w:t>《省政府办公厅关于印发江苏省生态空间管控区域监督管理办法的通知》</w:t>
      </w:r>
      <w:bookmarkEnd w:id="13"/>
      <w:r>
        <w:rPr>
          <w:rFonts w:hint="eastAsia"/>
          <w:szCs w:val="24"/>
        </w:rPr>
        <w:t>（苏政办发〔2021〕</w:t>
      </w:r>
      <w:r>
        <w:rPr>
          <w:szCs w:val="24"/>
        </w:rPr>
        <w:t>20</w:t>
      </w:r>
      <w:r>
        <w:rPr>
          <w:rFonts w:hint="eastAsia"/>
          <w:szCs w:val="24"/>
        </w:rPr>
        <w:t>号），2021年</w:t>
      </w:r>
      <w:r>
        <w:rPr>
          <w:szCs w:val="24"/>
        </w:rPr>
        <w:t>3</w:t>
      </w:r>
      <w:r>
        <w:rPr>
          <w:rFonts w:hint="eastAsia"/>
          <w:szCs w:val="24"/>
        </w:rPr>
        <w:t>月26日；</w:t>
      </w:r>
    </w:p>
    <w:p w14:paraId="12DDA94D">
      <w:pPr>
        <w:numPr>
          <w:ilvl w:val="0"/>
          <w:numId w:val="3"/>
        </w:numPr>
        <w:tabs>
          <w:tab w:val="left" w:pos="945"/>
          <w:tab w:val="left" w:pos="8789"/>
        </w:tabs>
        <w:adjustRightInd w:val="0"/>
        <w:spacing w:line="500" w:lineRule="exact"/>
        <w:ind w:firstLine="480"/>
        <w:rPr>
          <w:szCs w:val="24"/>
        </w:rPr>
      </w:pPr>
      <w:r>
        <w:rPr>
          <w:rFonts w:hint="eastAsia"/>
          <w:szCs w:val="24"/>
        </w:rPr>
        <w:t>《江苏省自然资源厅 关于进一步加强生态保护红线监督管理的通知》（苏自然函〔2023〕880号）。</w:t>
      </w:r>
    </w:p>
    <w:p w14:paraId="5CB4BBC6">
      <w:pPr>
        <w:numPr>
          <w:ilvl w:val="0"/>
          <w:numId w:val="3"/>
        </w:numPr>
        <w:tabs>
          <w:tab w:val="left" w:pos="945"/>
          <w:tab w:val="left" w:pos="8789"/>
        </w:tabs>
        <w:adjustRightInd w:val="0"/>
        <w:spacing w:line="500" w:lineRule="exact"/>
        <w:ind w:firstLine="480"/>
        <w:rPr>
          <w:szCs w:val="24"/>
        </w:rPr>
      </w:pPr>
      <w:r>
        <w:rPr>
          <w:rFonts w:hint="eastAsia"/>
          <w:szCs w:val="24"/>
        </w:rPr>
        <w:t>《省政府办公厅关于印发江苏省自然生态保护修复行为负面清单（2025版）的通知》（苏政办规〔2025〕2号）；</w:t>
      </w:r>
    </w:p>
    <w:p w14:paraId="1C947BBD">
      <w:pPr>
        <w:numPr>
          <w:ilvl w:val="0"/>
          <w:numId w:val="3"/>
        </w:numPr>
        <w:tabs>
          <w:tab w:val="left" w:pos="945"/>
          <w:tab w:val="left" w:pos="8789"/>
        </w:tabs>
        <w:adjustRightInd w:val="0"/>
        <w:spacing w:line="500" w:lineRule="exact"/>
        <w:ind w:firstLine="480"/>
        <w:rPr>
          <w:szCs w:val="24"/>
        </w:rPr>
      </w:pPr>
      <w:r>
        <w:rPr>
          <w:rFonts w:hint="eastAsia"/>
          <w:szCs w:val="24"/>
        </w:rPr>
        <w:t>《江苏省生态环境分区管控实施方案》（苏办发〔2024〕25号）；</w:t>
      </w:r>
    </w:p>
    <w:p w14:paraId="075BCF37">
      <w:pPr>
        <w:numPr>
          <w:ilvl w:val="0"/>
          <w:numId w:val="3"/>
        </w:numPr>
        <w:tabs>
          <w:tab w:val="left" w:pos="945"/>
          <w:tab w:val="left" w:pos="8789"/>
        </w:tabs>
        <w:adjustRightInd w:val="0"/>
        <w:spacing w:line="500" w:lineRule="exact"/>
        <w:ind w:firstLine="480"/>
        <w:rPr>
          <w:szCs w:val="24"/>
        </w:rPr>
      </w:pPr>
      <w:r>
        <w:rPr>
          <w:rFonts w:hint="eastAsia"/>
          <w:szCs w:val="24"/>
        </w:rPr>
        <w:t>《江苏省突发生态环境事件应对办法》（省政府令第189号）；</w:t>
      </w:r>
    </w:p>
    <w:p w14:paraId="68292461">
      <w:pPr>
        <w:numPr>
          <w:ilvl w:val="0"/>
          <w:numId w:val="3"/>
        </w:numPr>
        <w:tabs>
          <w:tab w:val="left" w:pos="945"/>
          <w:tab w:val="left" w:pos="8789"/>
        </w:tabs>
        <w:adjustRightInd w:val="0"/>
        <w:spacing w:line="500" w:lineRule="exact"/>
        <w:ind w:firstLine="480"/>
        <w:rPr>
          <w:szCs w:val="24"/>
        </w:rPr>
      </w:pPr>
      <w:r>
        <w:rPr>
          <w:rFonts w:hint="eastAsia"/>
          <w:szCs w:val="24"/>
        </w:rPr>
        <w:t>《江苏省风景名胜区管理条例》，2025年5月第四次修正；</w:t>
      </w:r>
    </w:p>
    <w:p w14:paraId="0D658E4F">
      <w:pPr>
        <w:numPr>
          <w:ilvl w:val="0"/>
          <w:numId w:val="3"/>
        </w:numPr>
        <w:tabs>
          <w:tab w:val="left" w:pos="945"/>
          <w:tab w:val="left" w:pos="8789"/>
        </w:tabs>
        <w:adjustRightInd w:val="0"/>
        <w:spacing w:line="500" w:lineRule="exact"/>
        <w:ind w:firstLine="480"/>
        <w:rPr>
          <w:szCs w:val="24"/>
        </w:rPr>
      </w:pPr>
      <w:r>
        <w:rPr>
          <w:rFonts w:hint="eastAsia"/>
          <w:szCs w:val="24"/>
        </w:rPr>
        <w:t>《江苏省省级自然公园管理办法（试行）》（苏林规〔2024〕1号）；</w:t>
      </w:r>
    </w:p>
    <w:p w14:paraId="0C1123DA">
      <w:pPr>
        <w:numPr>
          <w:ilvl w:val="0"/>
          <w:numId w:val="3"/>
        </w:numPr>
        <w:tabs>
          <w:tab w:val="left" w:pos="945"/>
          <w:tab w:val="left" w:pos="8789"/>
        </w:tabs>
        <w:adjustRightInd w:val="0"/>
        <w:spacing w:line="500" w:lineRule="exact"/>
        <w:ind w:firstLine="480"/>
        <w:rPr>
          <w:szCs w:val="24"/>
        </w:rPr>
      </w:pPr>
      <w:r>
        <w:rPr>
          <w:rFonts w:hint="eastAsia"/>
          <w:szCs w:val="24"/>
        </w:rPr>
        <w:t>《江苏省持续推动文化旅游业高质量发展三年行动计划》（苏政办发〔2025〕33号）；</w:t>
      </w:r>
    </w:p>
    <w:p w14:paraId="089909B0">
      <w:pPr>
        <w:numPr>
          <w:ilvl w:val="0"/>
          <w:numId w:val="3"/>
        </w:numPr>
        <w:tabs>
          <w:tab w:val="left" w:pos="945"/>
          <w:tab w:val="left" w:pos="8789"/>
        </w:tabs>
        <w:adjustRightInd w:val="0"/>
        <w:spacing w:line="500" w:lineRule="exact"/>
        <w:ind w:firstLine="480"/>
        <w:rPr>
          <w:szCs w:val="24"/>
        </w:rPr>
      </w:pPr>
      <w:r>
        <w:rPr>
          <w:rFonts w:hint="eastAsia"/>
          <w:szCs w:val="24"/>
        </w:rPr>
        <w:t>《关于加快推进城市污水处理能力建设全面提升污水集中收集处理率的实施意见》（苏政办发〔2022〕42号）；</w:t>
      </w:r>
    </w:p>
    <w:p w14:paraId="72154DD8">
      <w:pPr>
        <w:numPr>
          <w:ilvl w:val="0"/>
          <w:numId w:val="3"/>
        </w:numPr>
        <w:tabs>
          <w:tab w:val="left" w:pos="945"/>
          <w:tab w:val="left" w:pos="8789"/>
        </w:tabs>
        <w:adjustRightInd w:val="0"/>
        <w:spacing w:line="500" w:lineRule="exact"/>
        <w:ind w:firstLine="480"/>
        <w:rPr>
          <w:szCs w:val="24"/>
        </w:rPr>
      </w:pPr>
      <w:r>
        <w:rPr>
          <w:rFonts w:hint="eastAsia"/>
          <w:szCs w:val="24"/>
        </w:rPr>
        <w:t>《省政府关于江苏省地表水（环境）功能区划（2</w:t>
      </w:r>
      <w:r>
        <w:rPr>
          <w:szCs w:val="24"/>
        </w:rPr>
        <w:t>021</w:t>
      </w:r>
      <w:r>
        <w:rPr>
          <w:rFonts w:hint="eastAsia"/>
          <w:szCs w:val="24"/>
        </w:rPr>
        <w:t>-</w:t>
      </w:r>
      <w:r>
        <w:rPr>
          <w:szCs w:val="24"/>
        </w:rPr>
        <w:t>2030</w:t>
      </w:r>
      <w:r>
        <w:rPr>
          <w:rFonts w:hint="eastAsia"/>
          <w:szCs w:val="24"/>
        </w:rPr>
        <w:t>年）的批复》（苏政复〔20</w:t>
      </w:r>
      <w:r>
        <w:rPr>
          <w:szCs w:val="24"/>
        </w:rPr>
        <w:t>22</w:t>
      </w:r>
      <w:r>
        <w:rPr>
          <w:rFonts w:hint="eastAsia"/>
          <w:szCs w:val="24"/>
        </w:rPr>
        <w:t>〕1</w:t>
      </w:r>
      <w:r>
        <w:rPr>
          <w:szCs w:val="24"/>
        </w:rPr>
        <w:t>3</w:t>
      </w:r>
      <w:r>
        <w:rPr>
          <w:rFonts w:hint="eastAsia"/>
          <w:szCs w:val="24"/>
        </w:rPr>
        <w:t>号），20</w:t>
      </w:r>
      <w:r>
        <w:rPr>
          <w:szCs w:val="24"/>
        </w:rPr>
        <w:t>22</w:t>
      </w:r>
      <w:r>
        <w:rPr>
          <w:rFonts w:hint="eastAsia"/>
          <w:szCs w:val="24"/>
        </w:rPr>
        <w:t>年</w:t>
      </w:r>
      <w:r>
        <w:rPr>
          <w:szCs w:val="24"/>
        </w:rPr>
        <w:t>2</w:t>
      </w:r>
      <w:r>
        <w:rPr>
          <w:rFonts w:hint="eastAsia"/>
          <w:szCs w:val="24"/>
        </w:rPr>
        <w:t>月2</w:t>
      </w:r>
      <w:r>
        <w:rPr>
          <w:szCs w:val="24"/>
        </w:rPr>
        <w:t>5</w:t>
      </w:r>
      <w:r>
        <w:rPr>
          <w:rFonts w:hint="eastAsia"/>
          <w:szCs w:val="24"/>
        </w:rPr>
        <w:t>日；</w:t>
      </w:r>
    </w:p>
    <w:p w14:paraId="36585E6A">
      <w:pPr>
        <w:numPr>
          <w:ilvl w:val="0"/>
          <w:numId w:val="3"/>
        </w:numPr>
        <w:tabs>
          <w:tab w:val="left" w:pos="945"/>
          <w:tab w:val="left" w:pos="8789"/>
        </w:tabs>
        <w:adjustRightInd w:val="0"/>
        <w:spacing w:line="500" w:lineRule="exact"/>
        <w:ind w:firstLine="480"/>
        <w:rPr>
          <w:szCs w:val="24"/>
        </w:rPr>
      </w:pPr>
      <w:r>
        <w:rPr>
          <w:rFonts w:hint="eastAsia"/>
          <w:szCs w:val="24"/>
        </w:rPr>
        <w:t>《江苏省生态环境保护公众参与办法》（苏环规〔2023〕2号）；</w:t>
      </w:r>
    </w:p>
    <w:p w14:paraId="772AE797">
      <w:pPr>
        <w:numPr>
          <w:ilvl w:val="0"/>
          <w:numId w:val="3"/>
        </w:numPr>
        <w:tabs>
          <w:tab w:val="left" w:pos="945"/>
          <w:tab w:val="left" w:pos="8789"/>
        </w:tabs>
        <w:adjustRightInd w:val="0"/>
        <w:spacing w:line="500" w:lineRule="exact"/>
        <w:ind w:firstLine="480"/>
        <w:rPr>
          <w:szCs w:val="24"/>
        </w:rPr>
      </w:pPr>
      <w:r>
        <w:rPr>
          <w:rFonts w:hint="eastAsia"/>
          <w:szCs w:val="24"/>
        </w:rPr>
        <w:t>《江苏省生态环境保护条例》，自2024年6月5日起施行；</w:t>
      </w:r>
    </w:p>
    <w:p w14:paraId="440378F3">
      <w:pPr>
        <w:numPr>
          <w:ilvl w:val="0"/>
          <w:numId w:val="3"/>
        </w:numPr>
        <w:tabs>
          <w:tab w:val="left" w:pos="945"/>
          <w:tab w:val="left" w:pos="8789"/>
        </w:tabs>
        <w:adjustRightInd w:val="0"/>
        <w:spacing w:line="500" w:lineRule="exact"/>
        <w:ind w:firstLine="480"/>
        <w:rPr>
          <w:szCs w:val="24"/>
        </w:rPr>
      </w:pPr>
      <w:r>
        <w:rPr>
          <w:rFonts w:hint="eastAsia"/>
          <w:szCs w:val="24"/>
        </w:rPr>
        <w:t>《江苏省关于切实加强危险废物监管工作的意见》（苏环规〔2012〕2号），2012年8月29日，2017年12月15日修改；</w:t>
      </w:r>
    </w:p>
    <w:p w14:paraId="5443EE19">
      <w:pPr>
        <w:numPr>
          <w:ilvl w:val="0"/>
          <w:numId w:val="3"/>
        </w:numPr>
        <w:tabs>
          <w:tab w:val="left" w:pos="945"/>
          <w:tab w:val="left" w:pos="8789"/>
        </w:tabs>
        <w:adjustRightInd w:val="0"/>
        <w:spacing w:line="500" w:lineRule="exact"/>
        <w:ind w:firstLine="480"/>
        <w:rPr>
          <w:szCs w:val="24"/>
        </w:rPr>
      </w:pPr>
      <w:r>
        <w:rPr>
          <w:rFonts w:hint="eastAsia"/>
          <w:szCs w:val="24"/>
        </w:rPr>
        <w:t>《省生态环境厅关于进一步加强危险废物污染防治工作的实施意见》（苏环办〔2019〕327号），2019年9月24日；</w:t>
      </w:r>
    </w:p>
    <w:p w14:paraId="4D121D88">
      <w:pPr>
        <w:numPr>
          <w:ilvl w:val="0"/>
          <w:numId w:val="3"/>
        </w:numPr>
        <w:tabs>
          <w:tab w:val="left" w:pos="945"/>
          <w:tab w:val="left" w:pos="8789"/>
        </w:tabs>
        <w:adjustRightInd w:val="0"/>
        <w:spacing w:line="500" w:lineRule="exact"/>
        <w:ind w:firstLine="480"/>
        <w:rPr>
          <w:szCs w:val="24"/>
        </w:rPr>
      </w:pPr>
      <w:r>
        <w:rPr>
          <w:rFonts w:hint="eastAsia"/>
          <w:szCs w:val="24"/>
        </w:rPr>
        <w:t>《</w:t>
      </w:r>
      <w:r>
        <w:rPr>
          <w:szCs w:val="24"/>
        </w:rPr>
        <w:t>关于印发江苏省地下水污染防治实施方案的通知》（苏环办〔2020〕75号），2020年2月21日；</w:t>
      </w:r>
    </w:p>
    <w:p w14:paraId="4B03CC30">
      <w:pPr>
        <w:numPr>
          <w:ilvl w:val="0"/>
          <w:numId w:val="3"/>
        </w:numPr>
        <w:tabs>
          <w:tab w:val="left" w:pos="945"/>
          <w:tab w:val="left" w:pos="8789"/>
        </w:tabs>
        <w:adjustRightInd w:val="0"/>
        <w:spacing w:line="500" w:lineRule="exact"/>
        <w:ind w:firstLine="480"/>
        <w:rPr>
          <w:szCs w:val="24"/>
        </w:rPr>
      </w:pPr>
      <w:r>
        <w:rPr>
          <w:rFonts w:hint="eastAsia"/>
          <w:szCs w:val="24"/>
        </w:rPr>
        <w:t>《</w:t>
      </w:r>
      <w:r>
        <w:rPr>
          <w:szCs w:val="24"/>
        </w:rPr>
        <w:t>省生态环境厅关于进一步加强产业</w:t>
      </w:r>
      <w:r>
        <w:rPr>
          <w:rFonts w:hint="eastAsia"/>
          <w:szCs w:val="24"/>
        </w:rPr>
        <w:t>园区</w:t>
      </w:r>
      <w:r>
        <w:rPr>
          <w:szCs w:val="24"/>
        </w:rPr>
        <w:t>规划环境影响评价的通知》（苏环办〔2020〕224号），2020年7月7日；</w:t>
      </w:r>
    </w:p>
    <w:p w14:paraId="6BBD28D9">
      <w:pPr>
        <w:numPr>
          <w:ilvl w:val="0"/>
          <w:numId w:val="3"/>
        </w:numPr>
        <w:tabs>
          <w:tab w:val="left" w:pos="945"/>
          <w:tab w:val="left" w:pos="8789"/>
        </w:tabs>
        <w:adjustRightInd w:val="0"/>
        <w:spacing w:line="500" w:lineRule="exact"/>
        <w:ind w:firstLine="480"/>
        <w:rPr>
          <w:szCs w:val="24"/>
        </w:rPr>
      </w:pPr>
      <w:r>
        <w:rPr>
          <w:rFonts w:hint="eastAsia"/>
          <w:szCs w:val="24"/>
        </w:rPr>
        <w:t>《省生态环境厅关于进一步加强危险废物环境管理工作的通知》（苏环办〔2021〕207号），2021年7月6日；</w:t>
      </w:r>
    </w:p>
    <w:p w14:paraId="52D4FDC0">
      <w:pPr>
        <w:numPr>
          <w:ilvl w:val="0"/>
          <w:numId w:val="3"/>
        </w:numPr>
        <w:tabs>
          <w:tab w:val="left" w:pos="945"/>
          <w:tab w:val="left" w:pos="8789"/>
        </w:tabs>
        <w:adjustRightInd w:val="0"/>
        <w:spacing w:line="500" w:lineRule="exact"/>
        <w:ind w:firstLine="480"/>
        <w:rPr>
          <w:szCs w:val="24"/>
        </w:rPr>
      </w:pPr>
      <w:r>
        <w:rPr>
          <w:rFonts w:hint="eastAsia"/>
          <w:szCs w:val="24"/>
        </w:rPr>
        <w:t>《江苏省地表水（环境）功能区划修编（2021-2030）》（苏政复〔2022〕13号）；</w:t>
      </w:r>
    </w:p>
    <w:p w14:paraId="50177E66">
      <w:pPr>
        <w:numPr>
          <w:ilvl w:val="0"/>
          <w:numId w:val="3"/>
        </w:numPr>
        <w:tabs>
          <w:tab w:val="left" w:pos="945"/>
          <w:tab w:val="left" w:pos="8789"/>
        </w:tabs>
        <w:adjustRightInd w:val="0"/>
        <w:spacing w:line="500" w:lineRule="exact"/>
        <w:ind w:firstLine="480"/>
        <w:rPr>
          <w:szCs w:val="24"/>
        </w:rPr>
      </w:pPr>
      <w:r>
        <w:rPr>
          <w:rFonts w:hint="eastAsia"/>
          <w:szCs w:val="24"/>
        </w:rPr>
        <w:t>《常州市水生态环境保护条例》，2023年1月12日批准，2023年5月1日起施行；</w:t>
      </w:r>
    </w:p>
    <w:p w14:paraId="3058EC1E">
      <w:pPr>
        <w:numPr>
          <w:ilvl w:val="0"/>
          <w:numId w:val="3"/>
        </w:numPr>
        <w:tabs>
          <w:tab w:val="left" w:pos="945"/>
          <w:tab w:val="left" w:pos="8789"/>
        </w:tabs>
        <w:adjustRightInd w:val="0"/>
        <w:spacing w:line="500" w:lineRule="exact"/>
        <w:ind w:firstLine="480"/>
        <w:rPr>
          <w:szCs w:val="24"/>
        </w:rPr>
      </w:pPr>
      <w:r>
        <w:rPr>
          <w:rFonts w:hint="eastAsia"/>
          <w:szCs w:val="24"/>
        </w:rPr>
        <w:t>《常州市生态文明建设十大专项行动方案》（常政办发〔2022〕3</w:t>
      </w:r>
      <w:r>
        <w:rPr>
          <w:szCs w:val="24"/>
        </w:rPr>
        <w:t>2</w:t>
      </w:r>
      <w:r>
        <w:rPr>
          <w:rFonts w:hint="eastAsia"/>
          <w:szCs w:val="24"/>
        </w:rPr>
        <w:t>号）；</w:t>
      </w:r>
    </w:p>
    <w:p w14:paraId="5E67054D">
      <w:pPr>
        <w:numPr>
          <w:ilvl w:val="0"/>
          <w:numId w:val="3"/>
        </w:numPr>
        <w:tabs>
          <w:tab w:val="left" w:pos="945"/>
          <w:tab w:val="left" w:pos="8789"/>
        </w:tabs>
        <w:adjustRightInd w:val="0"/>
        <w:spacing w:line="500" w:lineRule="exact"/>
        <w:ind w:firstLine="480"/>
        <w:rPr>
          <w:szCs w:val="24"/>
        </w:rPr>
      </w:pPr>
      <w:r>
        <w:rPr>
          <w:rFonts w:hint="eastAsia"/>
          <w:szCs w:val="24"/>
        </w:rPr>
        <w:t>《常州市“三线一单”生态环境分区管控实施方案》（常环〔202</w:t>
      </w:r>
      <w:r>
        <w:rPr>
          <w:szCs w:val="24"/>
        </w:rPr>
        <w:t>0</w:t>
      </w:r>
      <w:r>
        <w:rPr>
          <w:rFonts w:hint="eastAsia"/>
          <w:szCs w:val="24"/>
        </w:rPr>
        <w:t>〕95号）；</w:t>
      </w:r>
    </w:p>
    <w:p w14:paraId="314342F9">
      <w:pPr>
        <w:numPr>
          <w:ilvl w:val="0"/>
          <w:numId w:val="3"/>
        </w:numPr>
        <w:tabs>
          <w:tab w:val="left" w:pos="945"/>
          <w:tab w:val="left" w:pos="8789"/>
        </w:tabs>
        <w:adjustRightInd w:val="0"/>
        <w:spacing w:line="500" w:lineRule="exact"/>
        <w:ind w:firstLine="480"/>
        <w:rPr>
          <w:szCs w:val="24"/>
        </w:rPr>
      </w:pPr>
      <w:r>
        <w:rPr>
          <w:rFonts w:hint="eastAsia"/>
          <w:szCs w:val="24"/>
        </w:rPr>
        <w:t>《常州市生态空间管控区域监督管理实施细则》（常环〔2024〕8号）；</w:t>
      </w:r>
    </w:p>
    <w:p w14:paraId="7C6D28CA">
      <w:pPr>
        <w:numPr>
          <w:ilvl w:val="0"/>
          <w:numId w:val="3"/>
        </w:numPr>
        <w:tabs>
          <w:tab w:val="left" w:pos="945"/>
          <w:tab w:val="left" w:pos="8789"/>
        </w:tabs>
        <w:adjustRightInd w:val="0"/>
        <w:spacing w:line="500" w:lineRule="exact"/>
        <w:ind w:firstLine="480"/>
        <w:rPr>
          <w:szCs w:val="24"/>
        </w:rPr>
      </w:pPr>
      <w:r>
        <w:rPr>
          <w:rFonts w:hint="eastAsia"/>
          <w:szCs w:val="24"/>
        </w:rPr>
        <w:t>《江苏省自然资源厅关于常州市金坛区2023年度生态空间管控区域调整方案的复函》（苏自然资函〔2023〕209号）；</w:t>
      </w:r>
    </w:p>
    <w:p w14:paraId="02C2C187">
      <w:pPr>
        <w:numPr>
          <w:ilvl w:val="0"/>
          <w:numId w:val="3"/>
        </w:numPr>
        <w:tabs>
          <w:tab w:val="left" w:pos="945"/>
          <w:tab w:val="left" w:pos="8789"/>
        </w:tabs>
        <w:adjustRightInd w:val="0"/>
        <w:spacing w:line="500" w:lineRule="exact"/>
        <w:ind w:firstLine="480"/>
        <w:rPr>
          <w:szCs w:val="24"/>
        </w:rPr>
      </w:pPr>
      <w:r>
        <w:rPr>
          <w:rFonts w:hint="eastAsia"/>
          <w:szCs w:val="24"/>
        </w:rPr>
        <w:t>《区政府办公室关于印发&lt;金坛区畜禽养殖禁养区划定调整方案&gt;的通知（坛政办发〔2020〕17号）。</w:t>
      </w:r>
    </w:p>
    <w:p w14:paraId="0486FA24">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1.2.3</w:t>
      </w:r>
      <w:r>
        <w:rPr>
          <w:rFonts w:hint="eastAsia" w:eastAsia="方正楷体_GBK" w:cs="Times New Roman"/>
          <w:b/>
          <w:bCs/>
          <w:szCs w:val="28"/>
          <w14:ligatures w14:val="none"/>
        </w:rPr>
        <w:t>相关导则和技术规范文件</w:t>
      </w:r>
    </w:p>
    <w:p w14:paraId="4936DCFE">
      <w:pPr>
        <w:widowControl/>
        <w:numPr>
          <w:ilvl w:val="0"/>
          <w:numId w:val="4"/>
        </w:numPr>
        <w:tabs>
          <w:tab w:val="left" w:pos="993"/>
          <w:tab w:val="left" w:pos="8789"/>
        </w:tabs>
        <w:adjustRightInd w:val="0"/>
        <w:spacing w:line="500" w:lineRule="exact"/>
        <w:ind w:firstLine="480"/>
        <w:rPr>
          <w:szCs w:val="28"/>
        </w:rPr>
      </w:pPr>
      <w:r>
        <w:rPr>
          <w:rFonts w:hint="eastAsia"/>
          <w:szCs w:val="24"/>
        </w:rPr>
        <w:t>《</w:t>
      </w:r>
      <w:r>
        <w:rPr>
          <w:szCs w:val="24"/>
        </w:rPr>
        <w:t>规划环境影响评价技术导则 总纲》（HJ 130-2019）；</w:t>
      </w:r>
    </w:p>
    <w:p w14:paraId="58C8E9A8">
      <w:pPr>
        <w:widowControl/>
        <w:numPr>
          <w:ilvl w:val="0"/>
          <w:numId w:val="4"/>
        </w:numPr>
        <w:tabs>
          <w:tab w:val="left" w:pos="993"/>
          <w:tab w:val="left" w:pos="8789"/>
        </w:tabs>
        <w:adjustRightInd w:val="0"/>
        <w:spacing w:line="500" w:lineRule="exact"/>
        <w:ind w:firstLine="480"/>
        <w:rPr>
          <w:szCs w:val="28"/>
        </w:rPr>
      </w:pPr>
      <w:r>
        <w:rPr>
          <w:rFonts w:hint="eastAsia"/>
          <w:szCs w:val="28"/>
        </w:rPr>
        <w:t>《环境影响评价技术导则 总纲》（HJ 2.1-2016）；</w:t>
      </w:r>
    </w:p>
    <w:p w14:paraId="2EB8CA71">
      <w:pPr>
        <w:widowControl/>
        <w:numPr>
          <w:ilvl w:val="0"/>
          <w:numId w:val="4"/>
        </w:numPr>
        <w:tabs>
          <w:tab w:val="left" w:pos="993"/>
          <w:tab w:val="left" w:pos="8789"/>
        </w:tabs>
        <w:adjustRightInd w:val="0"/>
        <w:spacing w:line="500" w:lineRule="exact"/>
        <w:ind w:firstLine="480"/>
        <w:rPr>
          <w:szCs w:val="28"/>
        </w:rPr>
      </w:pPr>
      <w:r>
        <w:rPr>
          <w:rFonts w:hint="eastAsia"/>
          <w:szCs w:val="24"/>
        </w:rPr>
        <w:t>《</w:t>
      </w:r>
      <w:r>
        <w:rPr>
          <w:szCs w:val="24"/>
        </w:rPr>
        <w:t>环境影响评价技术导则 大气环境》（HJ 2.2-2018）；</w:t>
      </w:r>
    </w:p>
    <w:p w14:paraId="023B26EC">
      <w:pPr>
        <w:widowControl/>
        <w:numPr>
          <w:ilvl w:val="0"/>
          <w:numId w:val="4"/>
        </w:numPr>
        <w:tabs>
          <w:tab w:val="left" w:pos="993"/>
          <w:tab w:val="left" w:pos="8789"/>
        </w:tabs>
        <w:adjustRightInd w:val="0"/>
        <w:spacing w:line="500" w:lineRule="exact"/>
        <w:ind w:firstLine="480"/>
        <w:rPr>
          <w:szCs w:val="28"/>
        </w:rPr>
      </w:pPr>
      <w:r>
        <w:rPr>
          <w:rFonts w:hint="eastAsia"/>
          <w:szCs w:val="24"/>
        </w:rPr>
        <w:t>《</w:t>
      </w:r>
      <w:r>
        <w:rPr>
          <w:szCs w:val="24"/>
        </w:rPr>
        <w:t>环境影响评价技术导则 地表水环境》（HJ 2.3-2018）；</w:t>
      </w:r>
    </w:p>
    <w:p w14:paraId="3250E55B">
      <w:pPr>
        <w:widowControl/>
        <w:numPr>
          <w:ilvl w:val="0"/>
          <w:numId w:val="4"/>
        </w:numPr>
        <w:tabs>
          <w:tab w:val="left" w:pos="993"/>
          <w:tab w:val="left" w:pos="8789"/>
        </w:tabs>
        <w:adjustRightInd w:val="0"/>
        <w:spacing w:line="500" w:lineRule="exact"/>
        <w:ind w:firstLine="480"/>
        <w:rPr>
          <w:szCs w:val="28"/>
        </w:rPr>
      </w:pPr>
      <w:r>
        <w:rPr>
          <w:rFonts w:hint="eastAsia"/>
          <w:szCs w:val="24"/>
        </w:rPr>
        <w:t>《</w:t>
      </w:r>
      <w:r>
        <w:rPr>
          <w:szCs w:val="24"/>
        </w:rPr>
        <w:t>环境影响评价技术导则 声环境》（HJ 2.4-2021）；</w:t>
      </w:r>
    </w:p>
    <w:p w14:paraId="647BA1AF">
      <w:pPr>
        <w:widowControl/>
        <w:numPr>
          <w:ilvl w:val="0"/>
          <w:numId w:val="4"/>
        </w:numPr>
        <w:tabs>
          <w:tab w:val="left" w:pos="993"/>
          <w:tab w:val="left" w:pos="8789"/>
        </w:tabs>
        <w:adjustRightInd w:val="0"/>
        <w:spacing w:line="500" w:lineRule="exact"/>
        <w:ind w:firstLine="480"/>
        <w:rPr>
          <w:szCs w:val="28"/>
        </w:rPr>
      </w:pPr>
      <w:r>
        <w:rPr>
          <w:rFonts w:hint="eastAsia"/>
          <w:szCs w:val="24"/>
        </w:rPr>
        <w:t>《</w:t>
      </w:r>
      <w:r>
        <w:rPr>
          <w:szCs w:val="24"/>
        </w:rPr>
        <w:t>环境影响评价技术导则 生态影响》（HJ 19-2022）</w:t>
      </w:r>
      <w:r>
        <w:rPr>
          <w:rFonts w:hint="eastAsia"/>
          <w:szCs w:val="24"/>
        </w:rPr>
        <w:t>；</w:t>
      </w:r>
    </w:p>
    <w:p w14:paraId="75F6AE4F">
      <w:pPr>
        <w:widowControl/>
        <w:numPr>
          <w:ilvl w:val="0"/>
          <w:numId w:val="4"/>
        </w:numPr>
        <w:tabs>
          <w:tab w:val="left" w:pos="993"/>
          <w:tab w:val="left" w:pos="8789"/>
        </w:tabs>
        <w:adjustRightInd w:val="0"/>
        <w:spacing w:line="500" w:lineRule="exact"/>
        <w:ind w:firstLine="480"/>
        <w:rPr>
          <w:szCs w:val="28"/>
        </w:rPr>
      </w:pPr>
      <w:r>
        <w:rPr>
          <w:rFonts w:hint="eastAsia"/>
          <w:szCs w:val="24"/>
        </w:rPr>
        <w:t>《</w:t>
      </w:r>
      <w:r>
        <w:rPr>
          <w:szCs w:val="24"/>
        </w:rPr>
        <w:t>环境影响评价技术导则 地下水环境》（HJ 610-2016）；</w:t>
      </w:r>
    </w:p>
    <w:p w14:paraId="1389F095">
      <w:pPr>
        <w:widowControl/>
        <w:numPr>
          <w:ilvl w:val="0"/>
          <w:numId w:val="4"/>
        </w:numPr>
        <w:tabs>
          <w:tab w:val="left" w:pos="993"/>
          <w:tab w:val="left" w:pos="8789"/>
        </w:tabs>
        <w:adjustRightInd w:val="0"/>
        <w:spacing w:line="500" w:lineRule="exact"/>
        <w:ind w:firstLine="480"/>
        <w:rPr>
          <w:szCs w:val="28"/>
        </w:rPr>
      </w:pPr>
      <w:r>
        <w:rPr>
          <w:rFonts w:hint="eastAsia"/>
          <w:szCs w:val="28"/>
        </w:rPr>
        <w:t>《</w:t>
      </w:r>
      <w:r>
        <w:rPr>
          <w:szCs w:val="28"/>
        </w:rPr>
        <w:t>环境影响评价技术导则 土壤环境</w:t>
      </w:r>
      <w:r>
        <w:rPr>
          <w:rFonts w:hint="eastAsia"/>
          <w:szCs w:val="28"/>
        </w:rPr>
        <w:t>（试行）</w:t>
      </w:r>
      <w:r>
        <w:rPr>
          <w:szCs w:val="28"/>
        </w:rPr>
        <w:t>》（HJ 964-2018）；</w:t>
      </w:r>
    </w:p>
    <w:p w14:paraId="2DDF3C8D">
      <w:pPr>
        <w:widowControl/>
        <w:numPr>
          <w:ilvl w:val="0"/>
          <w:numId w:val="4"/>
        </w:numPr>
        <w:tabs>
          <w:tab w:val="left" w:pos="993"/>
          <w:tab w:val="left" w:pos="8789"/>
        </w:tabs>
        <w:adjustRightInd w:val="0"/>
        <w:spacing w:line="500" w:lineRule="exact"/>
        <w:ind w:firstLine="480"/>
        <w:rPr>
          <w:szCs w:val="28"/>
        </w:rPr>
      </w:pPr>
      <w:r>
        <w:rPr>
          <w:rFonts w:hint="eastAsia"/>
          <w:szCs w:val="24"/>
        </w:rPr>
        <w:t>《规划</w:t>
      </w:r>
      <w:r>
        <w:rPr>
          <w:szCs w:val="24"/>
        </w:rPr>
        <w:t>环境影响评价技术导则</w:t>
      </w:r>
      <w:r>
        <w:rPr>
          <w:rFonts w:hint="eastAsia"/>
          <w:szCs w:val="24"/>
        </w:rPr>
        <w:t xml:space="preserve"> 产业园区</w:t>
      </w:r>
      <w:r>
        <w:rPr>
          <w:szCs w:val="24"/>
        </w:rPr>
        <w:t>》（HJ 131-2021）；</w:t>
      </w:r>
    </w:p>
    <w:p w14:paraId="6822BE71">
      <w:pPr>
        <w:widowControl/>
        <w:numPr>
          <w:ilvl w:val="0"/>
          <w:numId w:val="4"/>
        </w:numPr>
        <w:tabs>
          <w:tab w:val="left" w:pos="993"/>
          <w:tab w:val="left" w:pos="8789"/>
        </w:tabs>
        <w:adjustRightInd w:val="0"/>
        <w:spacing w:line="500" w:lineRule="exact"/>
        <w:ind w:firstLine="480"/>
        <w:rPr>
          <w:szCs w:val="28"/>
        </w:rPr>
      </w:pPr>
      <w:r>
        <w:rPr>
          <w:rFonts w:hint="eastAsia"/>
          <w:szCs w:val="24"/>
        </w:rPr>
        <w:t>《</w:t>
      </w:r>
      <w:r>
        <w:rPr>
          <w:szCs w:val="24"/>
        </w:rPr>
        <w:t>建设项目环境风险评价技术导则》（HJ 169-2018）。</w:t>
      </w:r>
    </w:p>
    <w:p w14:paraId="17F0F15C">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1.2.4</w:t>
      </w:r>
      <w:r>
        <w:rPr>
          <w:rFonts w:hint="eastAsia" w:eastAsia="方正楷体_GBK" w:cs="Times New Roman"/>
          <w:b/>
          <w:bCs/>
          <w:szCs w:val="28"/>
          <w14:ligatures w14:val="none"/>
        </w:rPr>
        <w:t>其他相关规划及文件</w:t>
      </w:r>
    </w:p>
    <w:p w14:paraId="11681703">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《“十四五”旅游业发展规划》（国发〔2021〕32号）；</w:t>
      </w:r>
    </w:p>
    <w:p w14:paraId="61479798">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《“十四五”文化和旅游发展规划》（文旅政法发〔2021〕40号）；</w:t>
      </w:r>
    </w:p>
    <w:p w14:paraId="128F8354">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《长江三角洲区域一体化发展规划纲要》，2019年12月印发实施；</w:t>
      </w:r>
    </w:p>
    <w:p w14:paraId="26ADF094">
      <w:pPr>
        <w:widowControl/>
        <w:numPr>
          <w:ilvl w:val="0"/>
          <w:numId w:val="5"/>
        </w:numPr>
        <w:tabs>
          <w:tab w:val="left" w:pos="993"/>
          <w:tab w:val="left" w:pos="1050"/>
          <w:tab w:val="left" w:pos="8789"/>
        </w:tabs>
        <w:adjustRightInd w:val="0"/>
        <w:spacing w:line="500" w:lineRule="exact"/>
        <w:ind w:firstLine="480"/>
        <w:rPr>
          <w:szCs w:val="28"/>
        </w:rPr>
      </w:pPr>
      <w:r>
        <w:rPr>
          <w:rFonts w:hint="eastAsia"/>
        </w:rPr>
        <w:t>《江苏省“十四五”文化和旅游发展规划》（</w:t>
      </w:r>
      <w:r>
        <w:rPr>
          <w:rFonts w:hint="eastAsia"/>
          <w:szCs w:val="28"/>
        </w:rPr>
        <w:t>苏政办发〔2021〕88号</w:t>
      </w:r>
      <w:r>
        <w:rPr>
          <w:rFonts w:hint="eastAsia"/>
        </w:rPr>
        <w:t>）；</w:t>
      </w:r>
    </w:p>
    <w:p w14:paraId="79F3270B">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4"/>
        </w:rPr>
        <w:t>《江苏省国民经济和社会发展第十四个五年规划和二</w:t>
      </w:r>
      <w:r>
        <w:rPr>
          <w:rFonts w:hint="eastAsia" w:ascii="微软雅黑" w:hAnsi="微软雅黑" w:eastAsia="微软雅黑" w:cs="微软雅黑"/>
          <w:szCs w:val="24"/>
        </w:rPr>
        <w:t>〇</w:t>
      </w:r>
      <w:r>
        <w:rPr>
          <w:rFonts w:hint="eastAsia" w:ascii="仿宋_GB2312" w:hAnsi="仿宋_GB2312" w:cs="仿宋_GB2312"/>
          <w:szCs w:val="24"/>
        </w:rPr>
        <w:t>三五年远景目标纲要》</w:t>
      </w:r>
      <w:r>
        <w:rPr>
          <w:rFonts w:cs="Times New Roman"/>
          <w:szCs w:val="24"/>
        </w:rPr>
        <w:t>（苏政发〔2021〕18号）</w:t>
      </w:r>
      <w:r>
        <w:rPr>
          <w:rFonts w:hint="eastAsia" w:ascii="仿宋_GB2312" w:hAnsi="微软雅黑" w:cs="微软雅黑"/>
          <w:szCs w:val="24"/>
        </w:rPr>
        <w:t>；</w:t>
      </w:r>
    </w:p>
    <w:p w14:paraId="002DC391">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《江苏省“十四五”生态环境保护规划》（苏政办发〔2021〕84号）；</w:t>
      </w:r>
    </w:p>
    <w:p w14:paraId="76B43ACF">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《江苏省太湖流域水环境综合治理规划（2021-2035）》（苏环办〔2022〕82号）；</w:t>
      </w:r>
    </w:p>
    <w:p w14:paraId="7B410CAF">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4"/>
        </w:rPr>
        <w:t>《常州市国民经济和社会发展第十四个五年规划和二</w:t>
      </w:r>
      <w:r>
        <w:rPr>
          <w:rFonts w:hint="eastAsia" w:ascii="微软雅黑" w:hAnsi="微软雅黑" w:eastAsia="微软雅黑" w:cs="微软雅黑"/>
          <w:szCs w:val="24"/>
        </w:rPr>
        <w:t>〇</w:t>
      </w:r>
      <w:r>
        <w:rPr>
          <w:rFonts w:hint="eastAsia" w:ascii="仿宋_GB2312" w:hAnsi="仿宋_GB2312" w:cs="仿宋_GB2312"/>
          <w:szCs w:val="24"/>
        </w:rPr>
        <w:t>三五年远景目标纲要》</w:t>
      </w:r>
      <w:r>
        <w:rPr>
          <w:rFonts w:cs="Times New Roman"/>
          <w:szCs w:val="24"/>
        </w:rPr>
        <w:t>（常政发〔2021〕12号）</w:t>
      </w:r>
      <w:r>
        <w:rPr>
          <w:rFonts w:hint="eastAsia" w:cs="Times New Roman"/>
          <w:szCs w:val="24"/>
        </w:rPr>
        <w:t>，2</w:t>
      </w:r>
      <w:r>
        <w:rPr>
          <w:rFonts w:cs="Times New Roman"/>
          <w:szCs w:val="24"/>
        </w:rPr>
        <w:t>021</w:t>
      </w:r>
      <w:r>
        <w:rPr>
          <w:rFonts w:hint="eastAsia" w:cs="Times New Roman"/>
          <w:szCs w:val="24"/>
        </w:rPr>
        <w:t>年3月8日</w:t>
      </w:r>
      <w:r>
        <w:rPr>
          <w:rFonts w:hint="eastAsia" w:ascii="仿宋_GB2312" w:hAnsi="仿宋_GB2312" w:cs="仿宋_GB2312"/>
          <w:szCs w:val="24"/>
        </w:rPr>
        <w:t>；</w:t>
      </w:r>
    </w:p>
    <w:p w14:paraId="09909CF9">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《常州市国土空间总体规划（2021-2035年）》；</w:t>
      </w:r>
    </w:p>
    <w:p w14:paraId="0BE2B8A1">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《常州市“十四五”生态环境保护规划》（常政办发〔2021〕130号），2021年12月22日；</w:t>
      </w:r>
    </w:p>
    <w:p w14:paraId="13D1A67F">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《常州市金坛区国民经济和社会发展第十四个五年规划和</w:t>
      </w:r>
      <w:r>
        <w:rPr>
          <w:rFonts w:hint="eastAsia"/>
          <w:szCs w:val="24"/>
        </w:rPr>
        <w:t>二</w:t>
      </w:r>
      <w:r>
        <w:rPr>
          <w:rFonts w:hint="eastAsia" w:ascii="微软雅黑" w:hAnsi="微软雅黑" w:eastAsia="微软雅黑" w:cs="微软雅黑"/>
          <w:szCs w:val="24"/>
        </w:rPr>
        <w:t>〇</w:t>
      </w:r>
      <w:r>
        <w:rPr>
          <w:rFonts w:hint="eastAsia" w:ascii="仿宋_GB2312" w:hAnsi="仿宋_GB2312" w:cs="仿宋_GB2312"/>
          <w:szCs w:val="24"/>
        </w:rPr>
        <w:t>三五年远景目标纲要》</w:t>
      </w:r>
      <w:r>
        <w:rPr>
          <w:rFonts w:hint="eastAsia"/>
        </w:rPr>
        <w:t>（坛政发〔2021〕34号）</w:t>
      </w:r>
      <w:r>
        <w:rPr>
          <w:rFonts w:hint="eastAsia" w:ascii="仿宋_GB2312" w:hAnsi="仿宋_GB2312" w:cs="仿宋_GB2312"/>
          <w:szCs w:val="24"/>
        </w:rPr>
        <w:t>；</w:t>
      </w:r>
    </w:p>
    <w:p w14:paraId="6CED1DD7">
      <w:pPr>
        <w:widowControl/>
        <w:numPr>
          <w:ilvl w:val="0"/>
          <w:numId w:val="5"/>
        </w:numPr>
        <w:tabs>
          <w:tab w:val="left" w:pos="993"/>
          <w:tab w:val="left" w:pos="1050"/>
          <w:tab w:val="left" w:pos="8789"/>
        </w:tabs>
        <w:adjustRightInd w:val="0"/>
        <w:spacing w:line="500" w:lineRule="exact"/>
        <w:ind w:firstLine="480"/>
        <w:rPr>
          <w:szCs w:val="28"/>
        </w:rPr>
      </w:pPr>
      <w:r>
        <w:rPr>
          <w:rFonts w:hint="eastAsia" w:ascii="仿宋_GB2312" w:hAnsi="仿宋_GB2312" w:cs="仿宋_GB2312"/>
          <w:szCs w:val="24"/>
        </w:rPr>
        <w:t>《常州市“十四五”文化和旅游融合发展规划》（</w:t>
      </w:r>
      <w:r>
        <w:rPr>
          <w:rFonts w:hint="eastAsia"/>
          <w:szCs w:val="28"/>
        </w:rPr>
        <w:t>常政办发〔2021〕126号</w:t>
      </w:r>
      <w:r>
        <w:rPr>
          <w:rFonts w:hint="eastAsia" w:ascii="仿宋_GB2312" w:hAnsi="仿宋_GB2312" w:cs="仿宋_GB2312"/>
          <w:szCs w:val="24"/>
        </w:rPr>
        <w:t>）；</w:t>
      </w:r>
    </w:p>
    <w:p w14:paraId="5F9EBACA">
      <w:pPr>
        <w:widowControl/>
        <w:numPr>
          <w:ilvl w:val="0"/>
          <w:numId w:val="5"/>
        </w:numPr>
        <w:tabs>
          <w:tab w:val="left" w:pos="993"/>
          <w:tab w:val="left" w:pos="1050"/>
          <w:tab w:val="left" w:pos="8789"/>
        </w:tabs>
        <w:adjustRightInd w:val="0"/>
        <w:spacing w:line="500" w:lineRule="exact"/>
        <w:ind w:firstLine="480"/>
        <w:rPr>
          <w:rFonts w:cs="Times New Roman"/>
          <w:szCs w:val="24"/>
        </w:rPr>
      </w:pPr>
      <w:r>
        <w:rPr>
          <w:rFonts w:cs="Times New Roman"/>
          <w:szCs w:val="24"/>
        </w:rPr>
        <w:t>《常州市全域旅游规划（2021</w:t>
      </w:r>
      <w:r>
        <w:rPr>
          <w:rFonts w:hint="eastAsia" w:cs="Times New Roman"/>
          <w:szCs w:val="24"/>
        </w:rPr>
        <w:t>-</w:t>
      </w:r>
      <w:r>
        <w:rPr>
          <w:rFonts w:cs="Times New Roman"/>
          <w:szCs w:val="24"/>
        </w:rPr>
        <w:t>2035）》</w:t>
      </w:r>
      <w:r>
        <w:rPr>
          <w:rFonts w:hint="eastAsia" w:cs="Times New Roman"/>
          <w:szCs w:val="24"/>
        </w:rPr>
        <w:t>；</w:t>
      </w:r>
    </w:p>
    <w:p w14:paraId="6770B09F">
      <w:pPr>
        <w:widowControl/>
        <w:numPr>
          <w:ilvl w:val="0"/>
          <w:numId w:val="5"/>
        </w:numPr>
        <w:tabs>
          <w:tab w:val="left" w:pos="993"/>
          <w:tab w:val="left" w:pos="1050"/>
          <w:tab w:val="left" w:pos="8789"/>
        </w:tabs>
        <w:adjustRightInd w:val="0"/>
        <w:spacing w:line="500" w:lineRule="exact"/>
        <w:ind w:firstLine="480"/>
        <w:rPr>
          <w:rFonts w:cs="Times New Roman"/>
          <w:szCs w:val="28"/>
        </w:rPr>
      </w:pPr>
      <w:r>
        <w:rPr>
          <w:rFonts w:cs="Times New Roman"/>
          <w:szCs w:val="24"/>
        </w:rPr>
        <w:t>《常州市金坛区“十四五”生态环境保护规划（2021</w:t>
      </w:r>
      <w:r>
        <w:rPr>
          <w:rFonts w:hint="eastAsia" w:cs="Times New Roman"/>
          <w:szCs w:val="24"/>
        </w:rPr>
        <w:t>-</w:t>
      </w:r>
      <w:r>
        <w:rPr>
          <w:rFonts w:cs="Times New Roman"/>
          <w:szCs w:val="24"/>
        </w:rPr>
        <w:t>2025年）》</w:t>
      </w:r>
      <w:r>
        <w:rPr>
          <w:rFonts w:hint="eastAsia" w:cs="Times New Roman"/>
          <w:szCs w:val="24"/>
        </w:rPr>
        <w:t>；</w:t>
      </w:r>
    </w:p>
    <w:p w14:paraId="6934AA69">
      <w:pPr>
        <w:widowControl/>
        <w:numPr>
          <w:ilvl w:val="0"/>
          <w:numId w:val="5"/>
        </w:numPr>
        <w:tabs>
          <w:tab w:val="left" w:pos="993"/>
          <w:tab w:val="left" w:pos="1050"/>
          <w:tab w:val="left" w:pos="8789"/>
        </w:tabs>
        <w:adjustRightInd w:val="0"/>
        <w:spacing w:line="500" w:lineRule="exact"/>
        <w:ind w:firstLine="480"/>
        <w:rPr>
          <w:rFonts w:cs="Times New Roman"/>
          <w:szCs w:val="24"/>
        </w:rPr>
      </w:pPr>
      <w:r>
        <w:rPr>
          <w:rFonts w:cs="Times New Roman"/>
          <w:szCs w:val="24"/>
        </w:rPr>
        <w:t>《</w:t>
      </w:r>
      <w:r>
        <w:rPr>
          <w:rFonts w:hint="eastAsia" w:cs="Times New Roman"/>
          <w:szCs w:val="24"/>
        </w:rPr>
        <w:t>美丽金坛生态环境保护规划（2021-2025年）</w:t>
      </w:r>
      <w:r>
        <w:rPr>
          <w:rFonts w:cs="Times New Roman"/>
          <w:szCs w:val="24"/>
        </w:rPr>
        <w:t>》</w:t>
      </w:r>
      <w:r>
        <w:rPr>
          <w:rFonts w:hint="eastAsia" w:cs="Times New Roman"/>
          <w:szCs w:val="24"/>
        </w:rPr>
        <w:t>（坛政发〔2022〕26号）；</w:t>
      </w:r>
    </w:p>
    <w:p w14:paraId="247A7881">
      <w:pPr>
        <w:widowControl/>
        <w:numPr>
          <w:ilvl w:val="0"/>
          <w:numId w:val="5"/>
        </w:numPr>
        <w:tabs>
          <w:tab w:val="left" w:pos="993"/>
          <w:tab w:val="left" w:pos="1050"/>
          <w:tab w:val="left" w:pos="8789"/>
        </w:tabs>
        <w:adjustRightInd w:val="0"/>
        <w:spacing w:line="500" w:lineRule="exact"/>
        <w:ind w:firstLine="480"/>
      </w:pPr>
      <w:r>
        <w:rPr>
          <w:rFonts w:hint="eastAsia"/>
        </w:rPr>
        <w:t>《江苏省金坛经济开发区薛埠现代产业园、常州市金坛区薛埠产业新镇总体规划（2</w:t>
      </w:r>
      <w:r>
        <w:t>016</w:t>
      </w:r>
      <w:r>
        <w:rPr>
          <w:rFonts w:hint="eastAsia"/>
        </w:rPr>
        <w:t>-</w:t>
      </w:r>
      <w:r>
        <w:t>2030</w:t>
      </w:r>
      <w:r>
        <w:rPr>
          <w:rFonts w:hint="eastAsia"/>
        </w:rPr>
        <w:t>）》，2</w:t>
      </w:r>
      <w:r>
        <w:t>021</w:t>
      </w:r>
      <w:r>
        <w:rPr>
          <w:rFonts w:hint="eastAsia"/>
        </w:rPr>
        <w:t>年修编；</w:t>
      </w:r>
    </w:p>
    <w:p w14:paraId="096DB818">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《金坛茅东省级森林公园总体规划》；</w:t>
      </w:r>
    </w:p>
    <w:p w14:paraId="513C3248">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《金坛区村镇布局规划（2</w:t>
      </w:r>
      <w:r>
        <w:rPr>
          <w:szCs w:val="28"/>
        </w:rPr>
        <w:t>020</w:t>
      </w:r>
      <w:r>
        <w:rPr>
          <w:rFonts w:hint="eastAsia"/>
          <w:szCs w:val="28"/>
        </w:rPr>
        <w:t>）》；</w:t>
      </w:r>
    </w:p>
    <w:p w14:paraId="0D61CB87">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《常州市金坛区薛埠镇仙姑村等村村庄规划（2020-2035）》；</w:t>
      </w:r>
    </w:p>
    <w:p w14:paraId="7BC9A593">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《常州市金坛区全域旅游创新发展规划（2022-2035）》；</w:t>
      </w:r>
    </w:p>
    <w:p w14:paraId="01E1E6B3">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《常州市金坛区国土空间生态保护和修复规划（2021-2035年）》；</w:t>
      </w:r>
    </w:p>
    <w:p w14:paraId="525C22E3">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《常州市金坛区低效用地再开发专项规划（2021-2025年）》；</w:t>
      </w:r>
    </w:p>
    <w:p w14:paraId="33B351B5">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《常州市金坛区畜禽养殖污染防治规划（2021-2025年）》；</w:t>
      </w:r>
    </w:p>
    <w:p w14:paraId="0152652C">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《金坛区关于加快建立健全生态产品价值实现机制的实施方案（2021-2035）》；</w:t>
      </w:r>
    </w:p>
    <w:p w14:paraId="51000959">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《常州市金坛区自然资源领域生态产品价值实现机制试点实施方案》（批复稿）；</w:t>
      </w:r>
    </w:p>
    <w:p w14:paraId="0973764D">
      <w:pPr>
        <w:widowControl/>
        <w:numPr>
          <w:ilvl w:val="0"/>
          <w:numId w:val="5"/>
        </w:numPr>
        <w:tabs>
          <w:tab w:val="left" w:pos="993"/>
          <w:tab w:val="left" w:pos="1050"/>
          <w:tab w:val="left" w:pos="8789"/>
        </w:tabs>
        <w:adjustRightInd w:val="0"/>
        <w:spacing w:line="500" w:lineRule="exact"/>
        <w:ind w:firstLine="480"/>
        <w:rPr>
          <w:szCs w:val="28"/>
        </w:rPr>
      </w:pPr>
      <w:r>
        <w:rPr>
          <w:rFonts w:hint="eastAsia"/>
          <w:szCs w:val="28"/>
        </w:rPr>
        <w:t>金坛区、薛埠镇人民政府、江苏省金坛茅山旅游度假区管理办公室提供的其它相关资料。</w:t>
      </w:r>
    </w:p>
    <w:p w14:paraId="2D8E142F">
      <w:pPr>
        <w:pStyle w:val="3"/>
        <w:ind w:firstLine="0" w:firstLineChars="0"/>
        <w:rPr>
          <w:rFonts w:cs="Times New Roman"/>
        </w:rPr>
      </w:pPr>
      <w:bookmarkStart w:id="14" w:name="_Toc217294029"/>
      <w:r>
        <w:rPr>
          <w:rFonts w:cs="Times New Roman"/>
        </w:rPr>
        <w:t>1.3</w:t>
      </w:r>
      <w:r>
        <w:rPr>
          <w:rFonts w:hint="eastAsia" w:cs="Times New Roman"/>
        </w:rPr>
        <w:t>评价目的与原则</w:t>
      </w:r>
      <w:bookmarkEnd w:id="14"/>
    </w:p>
    <w:p w14:paraId="3EA908FF">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1.3.1</w:t>
      </w:r>
      <w:r>
        <w:rPr>
          <w:rFonts w:hint="eastAsia" w:eastAsia="方正楷体_GBK" w:cs="Times New Roman"/>
          <w:b/>
          <w:bCs/>
          <w:szCs w:val="28"/>
          <w14:ligatures w14:val="none"/>
        </w:rPr>
        <w:t>评价目的</w:t>
      </w:r>
    </w:p>
    <w:p w14:paraId="75CAE1C5">
      <w:pPr>
        <w:ind w:firstLine="480"/>
      </w:pPr>
      <w:r>
        <w:rPr>
          <w:rFonts w:hint="eastAsia"/>
        </w:rPr>
        <w:t>为深入落实贯彻习近平生态文明思想，以美丽中国建设全面推进人与自然和谐共生的现代化，树立“生态优先、保护优先”理念，以改善生态环境质量、提升生态服务功能、提升公众享受自然的满意度和获得感以及保障生态安全为目标，严格保护茅山片区生态系统的完整性、区域自然人文资源的原真性、道文化山水休闲养生的独特性，维护区域生物多样性。通过对金坛茅山旅游度假区规划方案的评价，提供规划决策所需的资源与环境信息，识别制约规划实施的主要资源和环境要素，确定环境目标，构建评价指标体系，分析、预测与评价规划实施可能对度假区及周边区域环境和社会经济产生的长远影响，论证规划方案的环境合理性、环境目标及指标的可达性，提出规划优化调整建议；明确不良生态环境影响的减缓措施和跟踪评价方案，提出生态环境保护建议和管控要求，协调规划实施的经济效益、社会效益与环境效益之间以及当前利益与长远利益之间的关系，为规划决策和规划实施过程中的生态环境管理提供依据。</w:t>
      </w:r>
    </w:p>
    <w:p w14:paraId="0344392F">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1.3.2</w:t>
      </w:r>
      <w:r>
        <w:rPr>
          <w:rFonts w:hint="eastAsia" w:eastAsia="方正楷体_GBK" w:cs="Times New Roman"/>
          <w:b/>
          <w:bCs/>
          <w:szCs w:val="28"/>
          <w14:ligatures w14:val="none"/>
        </w:rPr>
        <w:t>评价原则</w:t>
      </w:r>
    </w:p>
    <w:p w14:paraId="6B5261DD">
      <w:pPr>
        <w:ind w:firstLine="480"/>
      </w:pPr>
      <w:r>
        <w:rPr>
          <w:rFonts w:hint="eastAsia"/>
        </w:rPr>
        <w:t>突出规划环境影响评价源头预防作用，优化完善度假区规划方案，强化产业园区污染防治，改善区域生态环境质量。</w:t>
      </w:r>
    </w:p>
    <w:p w14:paraId="5281586B">
      <w:pPr>
        <w:ind w:firstLine="480"/>
      </w:pPr>
      <w:r>
        <w:rPr>
          <w:rFonts w:hint="eastAsia"/>
        </w:rPr>
        <w:t>（1）全程互动。评价在规划编制早期介入并全程互动，确定公众参与对象，吸纳各方意见，优化规划。</w:t>
      </w:r>
    </w:p>
    <w:p w14:paraId="4729D876">
      <w:pPr>
        <w:ind w:firstLine="480"/>
      </w:pPr>
      <w:r>
        <w:rPr>
          <w:rFonts w:hint="eastAsia"/>
        </w:rPr>
        <w:t>（2）统筹协调。协调好产业发展与区域、度假区环境保护关系，统筹区域减污降碳协同共治、资源集约节约及循环化利用、能源智慧高效利用、环境风险防控等重大事项，引导度假区生态化、低碳化、绿色化发展。</w:t>
      </w:r>
    </w:p>
    <w:p w14:paraId="2B620DAC">
      <w:pPr>
        <w:ind w:firstLine="480"/>
      </w:pPr>
      <w:r>
        <w:rPr>
          <w:rFonts w:hint="eastAsia"/>
        </w:rPr>
        <w:t>（3）协同联动。衔接区域生态环境分区管控成果，细化度假区环境准入，指导建设项目环境准入及其环境影响评价内容简化，实现区域、度假区、建设项目环境影响评价的系统衔接和协同管理。</w:t>
      </w:r>
    </w:p>
    <w:p w14:paraId="6BB33B0D">
      <w:pPr>
        <w:ind w:firstLine="480"/>
      </w:pPr>
      <w:r>
        <w:rPr>
          <w:rFonts w:hint="eastAsia"/>
        </w:rPr>
        <w:t>（4）突出重点。立足规划方案重点和特点以及区域资源生态环境特征，充分利用区域空间生态环境评价的数据资料及成果，对规划实施的主要影响进行分析评价，并重点关注制约区域生态环境改善的主要环境影响因子和重大环境风险因子。</w:t>
      </w:r>
    </w:p>
    <w:p w14:paraId="55ED4B12">
      <w:pPr>
        <w:pStyle w:val="3"/>
        <w:ind w:firstLine="0" w:firstLineChars="0"/>
        <w:rPr>
          <w:rFonts w:cs="Times New Roman"/>
        </w:rPr>
      </w:pPr>
      <w:bookmarkStart w:id="15" w:name="_Toc217294030"/>
      <w:r>
        <w:rPr>
          <w:rFonts w:cs="Times New Roman"/>
        </w:rPr>
        <w:t>1.4</w:t>
      </w:r>
      <w:r>
        <w:rPr>
          <w:rFonts w:hint="eastAsia" w:cs="Times New Roman"/>
        </w:rPr>
        <w:t>评价范围</w:t>
      </w:r>
      <w:bookmarkEnd w:id="15"/>
    </w:p>
    <w:p w14:paraId="0B65DA5E">
      <w:pPr>
        <w:ind w:firstLine="480"/>
      </w:pPr>
      <w:r>
        <w:rPr>
          <w:rFonts w:hint="eastAsia"/>
        </w:rPr>
        <w:t>（1）时间维度上</w:t>
      </w:r>
    </w:p>
    <w:p w14:paraId="5D77000B">
      <w:pPr>
        <w:ind w:firstLine="480"/>
      </w:pPr>
      <w:r>
        <w:rPr>
          <w:rFonts w:hint="eastAsia"/>
        </w:rPr>
        <w:t>评价时段为202</w:t>
      </w:r>
      <w:r>
        <w:t>4</w:t>
      </w:r>
      <w:r>
        <w:rPr>
          <w:rFonts w:hint="eastAsia"/>
        </w:rPr>
        <w:t>—2035年，评价基准年为202</w:t>
      </w:r>
      <w:r>
        <w:t>3</w:t>
      </w:r>
      <w:r>
        <w:rPr>
          <w:rFonts w:hint="eastAsia"/>
        </w:rPr>
        <w:t>年。</w:t>
      </w:r>
    </w:p>
    <w:p w14:paraId="3949932B">
      <w:pPr>
        <w:ind w:firstLine="480"/>
      </w:pPr>
      <w:r>
        <w:rPr>
          <w:rFonts w:hint="eastAsia"/>
        </w:rPr>
        <w:t>（2）空间尺度上</w:t>
      </w:r>
    </w:p>
    <w:p w14:paraId="569FA50C">
      <w:pPr>
        <w:ind w:firstLine="480"/>
      </w:pPr>
      <w:r>
        <w:rPr>
          <w:rFonts w:hint="eastAsia"/>
        </w:rPr>
        <w:t>基于本轮109.4平方公里的规划范围，兼顾周边环境现状，充分考虑相互影响，确定本次评价的具体空间范围，详见表1.</w:t>
      </w:r>
      <w:r>
        <w:t>4</w:t>
      </w:r>
      <w:r>
        <w:rPr>
          <w:rFonts w:hint="eastAsia"/>
        </w:rPr>
        <w:t>-1。</w:t>
      </w:r>
    </w:p>
    <w:p w14:paraId="458BA1B0">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 xml:space="preserve">表1.4-1  </w:t>
      </w:r>
      <w:r>
        <w:rPr>
          <w:rFonts w:hint="eastAsia" w:cs="Times New Roman"/>
          <w:b/>
          <w:szCs w:val="24"/>
          <w14:ligatures w14:val="none"/>
        </w:rPr>
        <w:t>空间</w:t>
      </w:r>
      <w:r>
        <w:rPr>
          <w:rFonts w:cs="Times New Roman"/>
          <w:b/>
          <w:szCs w:val="24"/>
          <w14:ligatures w14:val="none"/>
        </w:rPr>
        <w:t>评价范围一览表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1263"/>
        <w:gridCol w:w="6564"/>
      </w:tblGrid>
      <w:tr w14:paraId="78F60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08" w:type="pct"/>
            <w:vAlign w:val="center"/>
          </w:tcPr>
          <w:p w14:paraId="18C6BF19">
            <w:pPr>
              <w:widowControl/>
              <w:snapToGrid w:val="0"/>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序号</w:t>
            </w:r>
          </w:p>
        </w:tc>
        <w:tc>
          <w:tcPr>
            <w:tcW w:w="741" w:type="pct"/>
            <w:vAlign w:val="center"/>
          </w:tcPr>
          <w:p w14:paraId="1B9DD39D">
            <w:pPr>
              <w:widowControl/>
              <w:snapToGrid w:val="0"/>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类别</w:t>
            </w:r>
          </w:p>
        </w:tc>
        <w:tc>
          <w:tcPr>
            <w:tcW w:w="3851" w:type="pct"/>
            <w:vAlign w:val="center"/>
          </w:tcPr>
          <w:p w14:paraId="10CBE3FD">
            <w:pPr>
              <w:widowControl/>
              <w:snapToGrid w:val="0"/>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评价范围</w:t>
            </w:r>
          </w:p>
        </w:tc>
      </w:tr>
      <w:tr w14:paraId="5F7D6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Align w:val="center"/>
          </w:tcPr>
          <w:p w14:paraId="1236FA20">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1</w:t>
            </w:r>
          </w:p>
        </w:tc>
        <w:tc>
          <w:tcPr>
            <w:tcW w:w="741" w:type="pct"/>
            <w:vAlign w:val="center"/>
          </w:tcPr>
          <w:p w14:paraId="62265200">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大气</w:t>
            </w:r>
          </w:p>
        </w:tc>
        <w:tc>
          <w:tcPr>
            <w:tcW w:w="3851" w:type="pct"/>
            <w:vAlign w:val="center"/>
          </w:tcPr>
          <w:p w14:paraId="7324A290">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度假区本轮规划范围及其边界外扩2.5 km</w:t>
            </w:r>
          </w:p>
        </w:tc>
      </w:tr>
      <w:tr w14:paraId="7C78C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Align w:val="center"/>
          </w:tcPr>
          <w:p w14:paraId="684AE39D">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2</w:t>
            </w:r>
          </w:p>
        </w:tc>
        <w:tc>
          <w:tcPr>
            <w:tcW w:w="741" w:type="pct"/>
            <w:vAlign w:val="center"/>
          </w:tcPr>
          <w:p w14:paraId="1C0AF33A">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地表水</w:t>
            </w:r>
          </w:p>
        </w:tc>
        <w:tc>
          <w:tcPr>
            <w:tcW w:w="3851" w:type="pct"/>
            <w:vAlign w:val="center"/>
          </w:tcPr>
          <w:p w14:paraId="6B21AED7">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1.规划期废水全部进入污水处理厂或分散式处理设施，污水处理厂在规划范围内无排水口。本报告主要分析规划区域污水纳管的可行性，分析论证度假区污水集中收集、处理的可行性；</w:t>
            </w:r>
          </w:p>
          <w:p w14:paraId="063D65D8">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2.度假区内及周边的主要影响水体及湖库</w:t>
            </w:r>
          </w:p>
        </w:tc>
      </w:tr>
      <w:tr w14:paraId="3E9A1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Align w:val="center"/>
          </w:tcPr>
          <w:p w14:paraId="41627DFF">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3</w:t>
            </w:r>
          </w:p>
        </w:tc>
        <w:tc>
          <w:tcPr>
            <w:tcW w:w="741" w:type="pct"/>
            <w:vAlign w:val="center"/>
          </w:tcPr>
          <w:p w14:paraId="7A888829">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声</w:t>
            </w:r>
          </w:p>
        </w:tc>
        <w:tc>
          <w:tcPr>
            <w:tcW w:w="3851" w:type="pct"/>
            <w:vAlign w:val="center"/>
          </w:tcPr>
          <w:p w14:paraId="62DC75A4">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度假区规划范围及其边界外扩200 m</w:t>
            </w:r>
          </w:p>
        </w:tc>
      </w:tr>
      <w:tr w14:paraId="2360D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Align w:val="center"/>
          </w:tcPr>
          <w:p w14:paraId="37C01278">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4</w:t>
            </w:r>
          </w:p>
        </w:tc>
        <w:tc>
          <w:tcPr>
            <w:tcW w:w="741" w:type="pct"/>
            <w:vAlign w:val="center"/>
          </w:tcPr>
          <w:p w14:paraId="5E914967">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地下水</w:t>
            </w:r>
          </w:p>
        </w:tc>
        <w:tc>
          <w:tcPr>
            <w:tcW w:w="3851" w:type="pct"/>
            <w:vAlign w:val="center"/>
          </w:tcPr>
          <w:p w14:paraId="06B9DD06">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度假区规划范围涉及的水文地质单元</w:t>
            </w:r>
          </w:p>
        </w:tc>
      </w:tr>
      <w:tr w14:paraId="3465D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Align w:val="center"/>
          </w:tcPr>
          <w:p w14:paraId="546BB527">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5</w:t>
            </w:r>
          </w:p>
        </w:tc>
        <w:tc>
          <w:tcPr>
            <w:tcW w:w="741" w:type="pct"/>
            <w:vAlign w:val="center"/>
          </w:tcPr>
          <w:p w14:paraId="43118AD6">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土壤</w:t>
            </w:r>
          </w:p>
        </w:tc>
        <w:tc>
          <w:tcPr>
            <w:tcW w:w="3851" w:type="pct"/>
            <w:vAlign w:val="center"/>
          </w:tcPr>
          <w:p w14:paraId="1307FC47">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度假区规划范围及其边界外扩200 m</w:t>
            </w:r>
          </w:p>
        </w:tc>
      </w:tr>
      <w:tr w14:paraId="21C99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Align w:val="center"/>
          </w:tcPr>
          <w:p w14:paraId="42CFAB1E">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6</w:t>
            </w:r>
          </w:p>
        </w:tc>
        <w:tc>
          <w:tcPr>
            <w:tcW w:w="741" w:type="pct"/>
            <w:vAlign w:val="center"/>
          </w:tcPr>
          <w:p w14:paraId="33E488AC">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生态</w:t>
            </w:r>
          </w:p>
        </w:tc>
        <w:tc>
          <w:tcPr>
            <w:tcW w:w="3851" w:type="pct"/>
            <w:vAlign w:val="center"/>
          </w:tcPr>
          <w:p w14:paraId="615C021A">
            <w:pPr>
              <w:widowControl/>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度假区规划范围及江苏常州金坛茅东省级森林公园、四棚洼生态公益林、茅东山地水源涵养区、方山（金坛区）森林公园、向阳水库水源涵养区等生态空间管控区域</w:t>
            </w:r>
          </w:p>
        </w:tc>
      </w:tr>
    </w:tbl>
    <w:p w14:paraId="4D55081E">
      <w:pPr>
        <w:pStyle w:val="3"/>
        <w:ind w:firstLine="0" w:firstLineChars="0"/>
        <w:rPr>
          <w:rFonts w:cs="Times New Roman"/>
        </w:rPr>
      </w:pPr>
      <w:bookmarkStart w:id="16" w:name="_Toc217294031"/>
      <w:r>
        <w:rPr>
          <w:rFonts w:cs="Times New Roman"/>
        </w:rPr>
        <w:t>1.5</w:t>
      </w:r>
      <w:r>
        <w:rPr>
          <w:rFonts w:hint="eastAsia" w:cs="Times New Roman"/>
        </w:rPr>
        <w:t>评价重点和评价因子</w:t>
      </w:r>
      <w:bookmarkEnd w:id="16"/>
    </w:p>
    <w:p w14:paraId="52253C64">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1.5.1</w:t>
      </w:r>
      <w:r>
        <w:rPr>
          <w:rFonts w:hint="eastAsia" w:eastAsia="方正楷体_GBK" w:cs="Times New Roman"/>
          <w:b/>
          <w:bCs/>
          <w:szCs w:val="28"/>
          <w14:ligatures w14:val="none"/>
        </w:rPr>
        <w:t>评价重点</w:t>
      </w:r>
    </w:p>
    <w:p w14:paraId="798AABD4">
      <w:pPr>
        <w:ind w:firstLine="480"/>
      </w:pPr>
      <w:r>
        <w:rPr>
          <w:rFonts w:hint="eastAsia"/>
        </w:rPr>
        <w:t>本次规划环境影响评价的重点内容包括以下几个方面：</w:t>
      </w:r>
    </w:p>
    <w:p w14:paraId="57EEEC9C">
      <w:pPr>
        <w:ind w:firstLine="482"/>
      </w:pPr>
      <w:r>
        <w:rPr>
          <w:rFonts w:hint="eastAsia"/>
          <w:b/>
          <w:bCs/>
        </w:rPr>
        <w:t>生态环境分区管控要求：</w:t>
      </w:r>
      <w:r>
        <w:rPr>
          <w:rFonts w:hint="eastAsia"/>
        </w:rPr>
        <w:t>根据改善环境质量目标，以“生态保护红线、环境质量底线、资源利用上线和生态环境准入清单”为手段，确定度假区的生态环境管控要求和环境管控单元的生态环境准入清单，实现清单式管理，优化度假区内项目环评管理；从严把好生态环境准入关，强化减缓生态环境影响和生态补偿措施；对不符合生态环境分区管控要求的，提出明确的规划优化调整建议。</w:t>
      </w:r>
    </w:p>
    <w:p w14:paraId="03F7FB9C">
      <w:pPr>
        <w:ind w:firstLine="482"/>
      </w:pPr>
      <w:r>
        <w:rPr>
          <w:rFonts w:hint="eastAsia"/>
          <w:b/>
          <w:bCs/>
        </w:rPr>
        <w:t>规划协调性分析：</w:t>
      </w:r>
      <w:r>
        <w:rPr>
          <w:rFonts w:hint="eastAsia"/>
        </w:rPr>
        <w:t>分析度假区发展目标、规划结构与功能布局、发展规模的合理性，以及基础设施能力及改善环境质量的可行性；分析度假区建设规划与法规政策、上层位规划、区域生态环境分区管控要求、同层位规划的相符性和协调性。</w:t>
      </w:r>
    </w:p>
    <w:p w14:paraId="5B7C4877">
      <w:pPr>
        <w:ind w:firstLine="482"/>
      </w:pPr>
      <w:r>
        <w:rPr>
          <w:rFonts w:hint="eastAsia"/>
          <w:b/>
          <w:bCs/>
        </w:rPr>
        <w:t>环境影响预测与评价：</w:t>
      </w:r>
      <w:r>
        <w:rPr>
          <w:rFonts w:hint="eastAsia"/>
        </w:rPr>
        <w:t>对度假区建设可能造成的大气环境影响、地表水环境影响、地下水环境影响、声环境影响、固体废弃物环境影响等进行预测评价，评价度假区规划实施对环境敏感目标的影响程度和范围，从环保角度论证度假区建设的环境合理性。</w:t>
      </w:r>
    </w:p>
    <w:p w14:paraId="49F4F14B">
      <w:pPr>
        <w:ind w:firstLine="482"/>
      </w:pPr>
      <w:r>
        <w:rPr>
          <w:rFonts w:hint="eastAsia"/>
          <w:b/>
          <w:bCs/>
        </w:rPr>
        <w:t>生态承载能力分析：</w:t>
      </w:r>
      <w:r>
        <w:rPr>
          <w:rFonts w:hint="eastAsia"/>
        </w:rPr>
        <w:t>从茅山旅游度假区常住人口和旅游人口容量角度分析区域生态承载能力、旅游空间资源承载能力等，确保旅游开发活动强度在区域生态环境可承载范围内，实现旅游经济与生态功能保护全面协调。</w:t>
      </w:r>
    </w:p>
    <w:p w14:paraId="54D9B1F2">
      <w:pPr>
        <w:ind w:firstLine="482"/>
      </w:pPr>
      <w:r>
        <w:rPr>
          <w:rFonts w:hint="eastAsia"/>
          <w:b/>
          <w:bCs/>
        </w:rPr>
        <w:t>对策措施：</w:t>
      </w:r>
      <w:r>
        <w:rPr>
          <w:rFonts w:hint="eastAsia"/>
        </w:rPr>
        <w:t>结合茅山旅游度假区规划目标、规划空间及功能布局等合理性分析，对规划提出优化调整的建议，规划实施过程中需要执行的规划环评结论清单，预防或缓解不良环境影响的对策措施，以及跟踪评价计划和环境管理要求，合理引导区域空间开发秩序。</w:t>
      </w:r>
    </w:p>
    <w:p w14:paraId="3E8C79BD">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1.5.2</w:t>
      </w:r>
      <w:r>
        <w:rPr>
          <w:rFonts w:hint="eastAsia" w:eastAsia="方正楷体_GBK" w:cs="Times New Roman"/>
          <w:b/>
          <w:bCs/>
          <w:szCs w:val="28"/>
          <w14:ligatures w14:val="none"/>
        </w:rPr>
        <w:t>评价因子</w:t>
      </w:r>
    </w:p>
    <w:p w14:paraId="2E2725EC">
      <w:pPr>
        <w:ind w:firstLine="480"/>
      </w:pPr>
      <w:r>
        <w:rPr>
          <w:rFonts w:hint="eastAsia"/>
        </w:rPr>
        <w:t>根据对度假区规划区域现有和规划污染源、污染因子的初步分析，结合区域的环境现状和相应的环境控制标准，确定本次评价的评价因子，见表1.5-1。</w:t>
      </w:r>
    </w:p>
    <w:p w14:paraId="2EE6958B">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表1.5-1  评价因子一览表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3894"/>
        <w:gridCol w:w="1824"/>
        <w:gridCol w:w="1677"/>
      </w:tblGrid>
      <w:tr w14:paraId="3E259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61" w:type="pct"/>
            <w:vAlign w:val="center"/>
          </w:tcPr>
          <w:p w14:paraId="5F03C1EC">
            <w:pPr>
              <w:spacing w:line="240" w:lineRule="auto"/>
              <w:ind w:firstLine="0" w:firstLineChars="0"/>
              <w:jc w:val="center"/>
              <w:rPr>
                <w:rFonts w:cs="Times New Roman"/>
                <w:b/>
                <w:sz w:val="21"/>
                <w14:ligatures w14:val="none"/>
              </w:rPr>
            </w:pPr>
            <w:r>
              <w:rPr>
                <w:rFonts w:hint="eastAsia" w:cs="Times New Roman"/>
                <w:b/>
                <w:sz w:val="21"/>
                <w14:ligatures w14:val="none"/>
              </w:rPr>
              <w:t>评价要素</w:t>
            </w:r>
          </w:p>
        </w:tc>
        <w:tc>
          <w:tcPr>
            <w:tcW w:w="2284" w:type="pct"/>
            <w:vAlign w:val="center"/>
          </w:tcPr>
          <w:p w14:paraId="2E335F11">
            <w:pPr>
              <w:spacing w:line="240" w:lineRule="auto"/>
              <w:ind w:firstLine="0" w:firstLineChars="0"/>
              <w:jc w:val="center"/>
              <w:rPr>
                <w:rFonts w:cs="Times New Roman"/>
                <w:b/>
                <w:sz w:val="21"/>
                <w14:ligatures w14:val="none"/>
              </w:rPr>
            </w:pPr>
            <w:r>
              <w:rPr>
                <w:rFonts w:hint="eastAsia" w:cs="Times New Roman"/>
                <w:b/>
                <w:sz w:val="21"/>
                <w14:ligatures w14:val="none"/>
              </w:rPr>
              <w:t>现状评价因子</w:t>
            </w:r>
          </w:p>
        </w:tc>
        <w:tc>
          <w:tcPr>
            <w:tcW w:w="1070" w:type="pct"/>
            <w:vAlign w:val="center"/>
          </w:tcPr>
          <w:p w14:paraId="03D2CAF9">
            <w:pPr>
              <w:spacing w:line="240" w:lineRule="auto"/>
              <w:ind w:firstLine="0" w:firstLineChars="0"/>
              <w:jc w:val="center"/>
              <w:rPr>
                <w:rFonts w:cs="Times New Roman"/>
                <w:b/>
                <w:sz w:val="21"/>
                <w14:ligatures w14:val="none"/>
              </w:rPr>
            </w:pPr>
            <w:r>
              <w:rPr>
                <w:rFonts w:hint="eastAsia" w:cs="Times New Roman"/>
                <w:b/>
                <w:sz w:val="21"/>
                <w14:ligatures w14:val="none"/>
              </w:rPr>
              <w:t>影响分析因子</w:t>
            </w:r>
          </w:p>
        </w:tc>
        <w:tc>
          <w:tcPr>
            <w:tcW w:w="983" w:type="pct"/>
            <w:vAlign w:val="center"/>
          </w:tcPr>
          <w:p w14:paraId="48C163FC">
            <w:pPr>
              <w:spacing w:line="240" w:lineRule="auto"/>
              <w:ind w:firstLine="0" w:firstLineChars="0"/>
              <w:jc w:val="center"/>
              <w:rPr>
                <w:rFonts w:cs="Times New Roman"/>
                <w:b/>
                <w:sz w:val="21"/>
                <w14:ligatures w14:val="none"/>
              </w:rPr>
            </w:pPr>
            <w:r>
              <w:rPr>
                <w:rFonts w:hint="eastAsia" w:cs="Times New Roman"/>
                <w:b/>
                <w:sz w:val="21"/>
                <w14:ligatures w14:val="none"/>
              </w:rPr>
              <w:t>总量控制因子</w:t>
            </w:r>
          </w:p>
        </w:tc>
      </w:tr>
      <w:tr w14:paraId="5297A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Align w:val="center"/>
          </w:tcPr>
          <w:p w14:paraId="4319475E">
            <w:pPr>
              <w:spacing w:line="240" w:lineRule="auto"/>
              <w:ind w:firstLine="0" w:firstLineChars="0"/>
              <w:jc w:val="center"/>
              <w:rPr>
                <w:rFonts w:cs="Times New Roman"/>
                <w:sz w:val="21"/>
                <w14:ligatures w14:val="none"/>
              </w:rPr>
            </w:pPr>
            <w:r>
              <w:rPr>
                <w:rFonts w:hint="eastAsia" w:cs="Times New Roman"/>
                <w:sz w:val="21"/>
                <w14:ligatures w14:val="none"/>
              </w:rPr>
              <w:t>大气</w:t>
            </w:r>
          </w:p>
        </w:tc>
        <w:tc>
          <w:tcPr>
            <w:tcW w:w="2284" w:type="pct"/>
            <w:vAlign w:val="center"/>
          </w:tcPr>
          <w:p w14:paraId="3BD3CBFF">
            <w:pPr>
              <w:spacing w:line="240" w:lineRule="auto"/>
              <w:ind w:firstLine="0" w:firstLineChars="0"/>
              <w:jc w:val="center"/>
              <w:rPr>
                <w:rFonts w:cs="Times New Roman"/>
                <w:sz w:val="21"/>
                <w14:ligatures w14:val="none"/>
              </w:rPr>
            </w:pPr>
            <w:r>
              <w:rPr>
                <w:rFonts w:hint="eastAsia" w:cs="Times New Roman"/>
                <w:sz w:val="21"/>
                <w:szCs w:val="21"/>
                <w14:ligatures w14:val="none"/>
              </w:rPr>
              <w:t>SO</w:t>
            </w:r>
            <w:r>
              <w:rPr>
                <w:rFonts w:hint="eastAsia" w:cs="Times New Roman"/>
                <w:sz w:val="21"/>
                <w:szCs w:val="21"/>
                <w:vertAlign w:val="subscript"/>
                <w14:ligatures w14:val="none"/>
              </w:rPr>
              <w:t>2</w:t>
            </w:r>
            <w:r>
              <w:rPr>
                <w:rFonts w:hint="eastAsia" w:cs="Times New Roman"/>
                <w:sz w:val="21"/>
                <w:szCs w:val="21"/>
                <w14:ligatures w14:val="none"/>
              </w:rPr>
              <w:t>、NO</w:t>
            </w:r>
            <w:r>
              <w:rPr>
                <w:rFonts w:hint="eastAsia" w:cs="Times New Roman"/>
                <w:sz w:val="21"/>
                <w:szCs w:val="21"/>
                <w:vertAlign w:val="subscript"/>
                <w14:ligatures w14:val="none"/>
              </w:rPr>
              <w:t>2</w:t>
            </w:r>
            <w:r>
              <w:rPr>
                <w:rFonts w:hint="eastAsia" w:cs="Times New Roman"/>
                <w:sz w:val="21"/>
                <w:szCs w:val="21"/>
                <w14:ligatures w14:val="none"/>
              </w:rPr>
              <w:t>、PM</w:t>
            </w:r>
            <w:r>
              <w:rPr>
                <w:rFonts w:hint="eastAsia" w:cs="Times New Roman"/>
                <w:sz w:val="21"/>
                <w:szCs w:val="21"/>
                <w:vertAlign w:val="subscript"/>
                <w14:ligatures w14:val="none"/>
              </w:rPr>
              <w:t>10</w:t>
            </w:r>
            <w:r>
              <w:rPr>
                <w:rFonts w:hint="eastAsia" w:cs="Times New Roman"/>
                <w:sz w:val="21"/>
                <w:szCs w:val="21"/>
                <w14:ligatures w14:val="none"/>
              </w:rPr>
              <w:t>、PM</w:t>
            </w:r>
            <w:r>
              <w:rPr>
                <w:rFonts w:hint="eastAsia" w:cs="Times New Roman"/>
                <w:sz w:val="21"/>
                <w:szCs w:val="21"/>
                <w:vertAlign w:val="subscript"/>
                <w14:ligatures w14:val="none"/>
              </w:rPr>
              <w:t>2.5</w:t>
            </w:r>
            <w:r>
              <w:rPr>
                <w:rFonts w:hint="eastAsia" w:cs="Times New Roman"/>
                <w:sz w:val="21"/>
                <w:szCs w:val="21"/>
                <w14:ligatures w14:val="none"/>
              </w:rPr>
              <w:t>、CO、O</w:t>
            </w:r>
            <w:r>
              <w:rPr>
                <w:rFonts w:hint="eastAsia" w:cs="Times New Roman"/>
                <w:sz w:val="21"/>
                <w:szCs w:val="21"/>
                <w:vertAlign w:val="subscript"/>
                <w14:ligatures w14:val="none"/>
              </w:rPr>
              <w:t>3</w:t>
            </w:r>
            <w:r>
              <w:rPr>
                <w:rFonts w:hint="eastAsia" w:cs="Times New Roman"/>
                <w:sz w:val="21"/>
                <w:szCs w:val="21"/>
                <w14:ligatures w14:val="none"/>
              </w:rPr>
              <w:t>、NH</w:t>
            </w:r>
            <w:r>
              <w:rPr>
                <w:rFonts w:hint="eastAsia" w:cs="Times New Roman"/>
                <w:sz w:val="21"/>
                <w:szCs w:val="21"/>
                <w:vertAlign w:val="subscript"/>
                <w14:ligatures w14:val="none"/>
              </w:rPr>
              <w:t>3</w:t>
            </w:r>
            <w:r>
              <w:rPr>
                <w:rFonts w:hint="eastAsia" w:cs="Times New Roman"/>
                <w:sz w:val="21"/>
                <w:szCs w:val="21"/>
                <w14:ligatures w14:val="none"/>
              </w:rPr>
              <w:t>、H</w:t>
            </w:r>
            <w:r>
              <w:rPr>
                <w:rFonts w:hint="eastAsia" w:cs="Times New Roman"/>
                <w:sz w:val="21"/>
                <w:szCs w:val="21"/>
                <w:vertAlign w:val="subscript"/>
                <w14:ligatures w14:val="none"/>
              </w:rPr>
              <w:t>2</w:t>
            </w:r>
            <w:r>
              <w:rPr>
                <w:rFonts w:hint="eastAsia" w:cs="Times New Roman"/>
                <w:sz w:val="21"/>
                <w:szCs w:val="21"/>
                <w14:ligatures w14:val="none"/>
              </w:rPr>
              <w:t>S、非甲烷总烃</w:t>
            </w:r>
          </w:p>
        </w:tc>
        <w:tc>
          <w:tcPr>
            <w:tcW w:w="1070" w:type="pct"/>
            <w:vAlign w:val="center"/>
          </w:tcPr>
          <w:p w14:paraId="4745D03A">
            <w:pPr>
              <w:spacing w:line="240" w:lineRule="auto"/>
              <w:ind w:firstLine="0" w:firstLineChars="0"/>
              <w:jc w:val="center"/>
              <w:rPr>
                <w:rFonts w:cs="Times New Roman"/>
                <w:sz w:val="21"/>
                <w14:ligatures w14:val="none"/>
              </w:rPr>
            </w:pPr>
            <w:r>
              <w:rPr>
                <w:rFonts w:hint="eastAsia" w:cs="Times New Roman"/>
                <w:sz w:val="21"/>
                <w:szCs w:val="21"/>
                <w14:ligatures w14:val="none"/>
              </w:rPr>
              <w:t>SO</w:t>
            </w:r>
            <w:r>
              <w:rPr>
                <w:rFonts w:hint="eastAsia" w:cs="Times New Roman"/>
                <w:sz w:val="21"/>
                <w:szCs w:val="21"/>
                <w:vertAlign w:val="subscript"/>
                <w14:ligatures w14:val="none"/>
              </w:rPr>
              <w:t>2</w:t>
            </w:r>
            <w:r>
              <w:rPr>
                <w:rFonts w:hint="eastAsia" w:cs="Times New Roman"/>
                <w:sz w:val="21"/>
                <w:szCs w:val="21"/>
                <w14:ligatures w14:val="none"/>
              </w:rPr>
              <w:t>、NO</w:t>
            </w:r>
            <w:r>
              <w:rPr>
                <w:rFonts w:hint="eastAsia" w:cs="Times New Roman"/>
                <w:sz w:val="21"/>
                <w:szCs w:val="21"/>
                <w:vertAlign w:val="subscript"/>
                <w14:ligatures w14:val="none"/>
              </w:rPr>
              <w:t>2</w:t>
            </w:r>
            <w:r>
              <w:rPr>
                <w:rFonts w:hint="eastAsia" w:cs="Times New Roman"/>
                <w:sz w:val="21"/>
                <w:szCs w:val="21"/>
                <w14:ligatures w14:val="none"/>
              </w:rPr>
              <w:t>、颗粒物、非甲烷总烃</w:t>
            </w:r>
          </w:p>
        </w:tc>
        <w:tc>
          <w:tcPr>
            <w:tcW w:w="983" w:type="pct"/>
            <w:vAlign w:val="center"/>
          </w:tcPr>
          <w:p w14:paraId="5C520BB3">
            <w:pPr>
              <w:spacing w:line="240" w:lineRule="auto"/>
              <w:ind w:firstLine="0" w:firstLineChars="0"/>
              <w:jc w:val="center"/>
              <w:rPr>
                <w:rFonts w:cs="Times New Roman"/>
                <w:sz w:val="21"/>
                <w14:ligatures w14:val="none"/>
              </w:rPr>
            </w:pPr>
            <w:r>
              <w:rPr>
                <w:rFonts w:hint="eastAsia" w:cs="Times New Roman"/>
                <w:sz w:val="21"/>
                <w:szCs w:val="21"/>
                <w14:ligatures w14:val="none"/>
              </w:rPr>
              <w:t>SO</w:t>
            </w:r>
            <w:r>
              <w:rPr>
                <w:rFonts w:hint="eastAsia" w:cs="Times New Roman"/>
                <w:sz w:val="21"/>
                <w:szCs w:val="21"/>
                <w:vertAlign w:val="subscript"/>
                <w14:ligatures w14:val="none"/>
              </w:rPr>
              <w:t>2</w:t>
            </w:r>
            <w:r>
              <w:rPr>
                <w:rFonts w:hint="eastAsia" w:cs="Times New Roman"/>
                <w:sz w:val="21"/>
                <w:szCs w:val="21"/>
                <w14:ligatures w14:val="none"/>
              </w:rPr>
              <w:t>、NO</w:t>
            </w:r>
            <w:r>
              <w:rPr>
                <w:rFonts w:hint="eastAsia" w:cs="Times New Roman"/>
                <w:sz w:val="21"/>
                <w:szCs w:val="21"/>
                <w:vertAlign w:val="subscript"/>
                <w14:ligatures w14:val="none"/>
              </w:rPr>
              <w:t>2</w:t>
            </w:r>
            <w:r>
              <w:rPr>
                <w:rFonts w:hint="eastAsia" w:cs="Times New Roman"/>
                <w:sz w:val="21"/>
                <w:szCs w:val="21"/>
                <w14:ligatures w14:val="none"/>
              </w:rPr>
              <w:t>、颗粒物、非甲烷总烃</w:t>
            </w:r>
          </w:p>
        </w:tc>
      </w:tr>
      <w:tr w14:paraId="734D9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Align w:val="center"/>
          </w:tcPr>
          <w:p w14:paraId="1F2ABB03">
            <w:pPr>
              <w:spacing w:line="240" w:lineRule="auto"/>
              <w:ind w:firstLine="0" w:firstLineChars="0"/>
              <w:jc w:val="center"/>
              <w:rPr>
                <w:rFonts w:cs="Times New Roman"/>
                <w:sz w:val="21"/>
                <w14:ligatures w14:val="none"/>
              </w:rPr>
            </w:pPr>
            <w:r>
              <w:rPr>
                <w:rFonts w:hint="eastAsia" w:cs="Times New Roman"/>
                <w:sz w:val="21"/>
                <w14:ligatures w14:val="none"/>
              </w:rPr>
              <w:t>地表水</w:t>
            </w:r>
          </w:p>
        </w:tc>
        <w:tc>
          <w:tcPr>
            <w:tcW w:w="2284" w:type="pct"/>
            <w:vAlign w:val="center"/>
          </w:tcPr>
          <w:p w14:paraId="455530FD">
            <w:pPr>
              <w:spacing w:line="240" w:lineRule="auto"/>
              <w:ind w:firstLine="0" w:firstLineChars="0"/>
              <w:jc w:val="center"/>
              <w:rPr>
                <w:rFonts w:cs="Times New Roman"/>
                <w:sz w:val="21"/>
                <w14:ligatures w14:val="none"/>
              </w:rPr>
            </w:pPr>
            <w:r>
              <w:rPr>
                <w:rFonts w:hint="eastAsia" w:cs="Times New Roman"/>
                <w:sz w:val="21"/>
                <w14:ligatures w14:val="none"/>
              </w:rPr>
              <w:t>pH、COD、高锰酸盐指数、氨氮、总磷、</w:t>
            </w:r>
            <w:r>
              <w:rPr>
                <w:rFonts w:hint="eastAsia" w:cs="Times New Roman"/>
                <w:color w:val="000000"/>
                <w:sz w:val="21"/>
                <w14:ligatures w14:val="none"/>
              </w:rPr>
              <w:t>总氮、</w:t>
            </w:r>
            <w:r>
              <w:rPr>
                <w:rFonts w:hint="eastAsia" w:cs="Times New Roman"/>
                <w:sz w:val="21"/>
                <w14:ligatures w14:val="none"/>
              </w:rPr>
              <w:t>石油类、挥发酚、硫化物、叶绿素a、LAS、溶解氧、粪大肠菌群</w:t>
            </w:r>
          </w:p>
        </w:tc>
        <w:tc>
          <w:tcPr>
            <w:tcW w:w="1070" w:type="pct"/>
            <w:vAlign w:val="center"/>
          </w:tcPr>
          <w:p w14:paraId="70453E03">
            <w:pPr>
              <w:spacing w:line="240" w:lineRule="auto"/>
              <w:ind w:firstLine="0" w:firstLineChars="0"/>
              <w:jc w:val="center"/>
              <w:rPr>
                <w:rFonts w:cs="Times New Roman"/>
                <w:sz w:val="21"/>
                <w14:ligatures w14:val="none"/>
              </w:rPr>
            </w:pPr>
            <w:r>
              <w:rPr>
                <w:rFonts w:hint="eastAsia" w:cs="Times New Roman"/>
                <w:sz w:val="21"/>
                <w14:ligatures w14:val="none"/>
              </w:rPr>
              <w:t>COD、</w:t>
            </w:r>
            <w:r>
              <w:rPr>
                <w:rFonts w:hint="eastAsia" w:cs="Times New Roman"/>
                <w:sz w:val="21"/>
                <w:szCs w:val="21"/>
                <w14:ligatures w14:val="none"/>
              </w:rPr>
              <w:t>氨氮、总磷、总氮</w:t>
            </w:r>
          </w:p>
        </w:tc>
        <w:tc>
          <w:tcPr>
            <w:tcW w:w="983" w:type="pct"/>
            <w:vAlign w:val="center"/>
          </w:tcPr>
          <w:p w14:paraId="2B68ECB5">
            <w:pPr>
              <w:spacing w:line="240" w:lineRule="auto"/>
              <w:ind w:firstLine="0" w:firstLineChars="0"/>
              <w:jc w:val="center"/>
              <w:rPr>
                <w:rFonts w:cs="Times New Roman"/>
                <w:sz w:val="21"/>
                <w14:ligatures w14:val="none"/>
              </w:rPr>
            </w:pPr>
            <w:r>
              <w:rPr>
                <w:rFonts w:hint="eastAsia" w:cs="Times New Roman"/>
                <w:sz w:val="21"/>
                <w14:ligatures w14:val="none"/>
              </w:rPr>
              <w:t>/</w:t>
            </w:r>
          </w:p>
        </w:tc>
      </w:tr>
      <w:tr w14:paraId="086D7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Align w:val="center"/>
          </w:tcPr>
          <w:p w14:paraId="030F0A01">
            <w:pPr>
              <w:spacing w:line="240" w:lineRule="auto"/>
              <w:ind w:firstLine="0" w:firstLineChars="0"/>
              <w:jc w:val="center"/>
              <w:rPr>
                <w:rFonts w:cs="Times New Roman"/>
                <w:sz w:val="21"/>
                <w14:ligatures w14:val="none"/>
              </w:rPr>
            </w:pPr>
            <w:r>
              <w:rPr>
                <w:rFonts w:hint="eastAsia" w:cs="Times New Roman"/>
                <w:sz w:val="21"/>
                <w14:ligatures w14:val="none"/>
              </w:rPr>
              <w:t>地下水</w:t>
            </w:r>
          </w:p>
        </w:tc>
        <w:tc>
          <w:tcPr>
            <w:tcW w:w="2284" w:type="pct"/>
            <w:vAlign w:val="center"/>
          </w:tcPr>
          <w:p w14:paraId="72FF7A0A">
            <w:pPr>
              <w:spacing w:line="240" w:lineRule="auto"/>
              <w:ind w:firstLine="0" w:firstLineChars="0"/>
              <w:jc w:val="center"/>
              <w:rPr>
                <w:rFonts w:cs="Times New Roman"/>
                <w:sz w:val="21"/>
                <w:lang w:val="zh-CN"/>
                <w14:ligatures w14:val="none"/>
              </w:rPr>
            </w:pPr>
            <w:r>
              <w:rPr>
                <w:rFonts w:hint="eastAsia" w:cs="Times New Roman"/>
                <w:sz w:val="21"/>
                <w:szCs w:val="21"/>
                <w14:ligatures w14:val="none"/>
              </w:rPr>
              <w:t>水位、pH、总硬度、氨氮、硝酸盐氮（以N计）、亚硝酸盐氮（以N计）、挥发性酚类、氰化物、溶解性总固体、高锰酸盐指数、硫酸盐、氯化物、总大肠菌群、细菌总数、氟化物、铁、锰、K+、Na+、Ca</w:t>
            </w:r>
            <w:r>
              <w:rPr>
                <w:rFonts w:hint="eastAsia" w:cs="Times New Roman"/>
                <w:sz w:val="21"/>
                <w:szCs w:val="21"/>
                <w:vertAlign w:val="superscript"/>
                <w14:ligatures w14:val="none"/>
              </w:rPr>
              <w:t>2+</w:t>
            </w:r>
            <w:r>
              <w:rPr>
                <w:rFonts w:hint="eastAsia" w:cs="Times New Roman"/>
                <w:sz w:val="21"/>
                <w:szCs w:val="21"/>
                <w14:ligatures w14:val="none"/>
              </w:rPr>
              <w:t>、Mg</w:t>
            </w:r>
            <w:r>
              <w:rPr>
                <w:rFonts w:hint="eastAsia" w:cs="Times New Roman"/>
                <w:sz w:val="21"/>
                <w:szCs w:val="21"/>
                <w:vertAlign w:val="superscript"/>
                <w14:ligatures w14:val="none"/>
              </w:rPr>
              <w:t>2+</w:t>
            </w:r>
            <w:r>
              <w:rPr>
                <w:rFonts w:hint="eastAsia" w:cs="Times New Roman"/>
                <w:sz w:val="21"/>
                <w:szCs w:val="21"/>
                <w14:ligatures w14:val="none"/>
              </w:rPr>
              <w:t>、Cl</w:t>
            </w:r>
            <w:r>
              <w:rPr>
                <w:rFonts w:hint="eastAsia" w:cs="Times New Roman"/>
                <w:sz w:val="21"/>
                <w:szCs w:val="21"/>
                <w:vertAlign w:val="superscript"/>
                <w14:ligatures w14:val="none"/>
              </w:rPr>
              <w:t>-</w:t>
            </w:r>
            <w:r>
              <w:rPr>
                <w:rFonts w:hint="eastAsia" w:cs="Times New Roman"/>
                <w:sz w:val="21"/>
                <w:szCs w:val="21"/>
                <w14:ligatures w14:val="none"/>
              </w:rPr>
              <w:t>、SO</w:t>
            </w:r>
            <w:r>
              <w:rPr>
                <w:rFonts w:hint="eastAsia" w:cs="Times New Roman"/>
                <w:sz w:val="21"/>
                <w:szCs w:val="21"/>
                <w:vertAlign w:val="subscript"/>
                <w14:ligatures w14:val="none"/>
              </w:rPr>
              <w:t>4</w:t>
            </w:r>
            <w:r>
              <w:rPr>
                <w:rFonts w:hint="eastAsia" w:cs="Times New Roman"/>
                <w:sz w:val="21"/>
                <w:szCs w:val="21"/>
                <w:vertAlign w:val="superscript"/>
                <w14:ligatures w14:val="none"/>
              </w:rPr>
              <w:t>2-</w:t>
            </w:r>
            <w:r>
              <w:rPr>
                <w:rFonts w:hint="eastAsia" w:cs="Times New Roman"/>
                <w:sz w:val="21"/>
                <w:szCs w:val="21"/>
                <w14:ligatures w14:val="none"/>
              </w:rPr>
              <w:t>、CO</w:t>
            </w:r>
            <w:r>
              <w:rPr>
                <w:rFonts w:hint="eastAsia" w:cs="Times New Roman"/>
                <w:sz w:val="21"/>
                <w:szCs w:val="21"/>
                <w:vertAlign w:val="subscript"/>
                <w14:ligatures w14:val="none"/>
              </w:rPr>
              <w:t>3</w:t>
            </w:r>
            <w:r>
              <w:rPr>
                <w:rFonts w:hint="eastAsia" w:cs="Times New Roman"/>
                <w:sz w:val="21"/>
                <w:szCs w:val="21"/>
                <w:vertAlign w:val="superscript"/>
                <w14:ligatures w14:val="none"/>
              </w:rPr>
              <w:t>2</w:t>
            </w:r>
            <w:r>
              <w:rPr>
                <w:rFonts w:hint="eastAsia" w:cs="Times New Roman"/>
                <w:sz w:val="21"/>
                <w:szCs w:val="21"/>
                <w14:ligatures w14:val="none"/>
              </w:rPr>
              <w:t>-、HCO</w:t>
            </w:r>
            <w:r>
              <w:rPr>
                <w:rFonts w:hint="eastAsia" w:cs="Times New Roman"/>
                <w:sz w:val="21"/>
                <w:szCs w:val="21"/>
                <w:vertAlign w:val="subscript"/>
                <w14:ligatures w14:val="none"/>
              </w:rPr>
              <w:t>3</w:t>
            </w:r>
            <w:r>
              <w:rPr>
                <w:rFonts w:hint="eastAsia" w:cs="Times New Roman"/>
                <w:sz w:val="21"/>
                <w:szCs w:val="21"/>
                <w:vertAlign w:val="superscript"/>
                <w14:ligatures w14:val="none"/>
              </w:rPr>
              <w:t>-</w:t>
            </w:r>
            <w:r>
              <w:rPr>
                <w:rFonts w:hint="eastAsia" w:cs="Times New Roman"/>
                <w:sz w:val="21"/>
                <w:szCs w:val="21"/>
                <w14:ligatures w14:val="none"/>
              </w:rPr>
              <w:t>、砷、汞、铬（六价）、铅、镉、铜、锌、镍</w:t>
            </w:r>
          </w:p>
        </w:tc>
        <w:tc>
          <w:tcPr>
            <w:tcW w:w="1070" w:type="pct"/>
            <w:vAlign w:val="center"/>
          </w:tcPr>
          <w:p w14:paraId="4DF9BBE2">
            <w:pPr>
              <w:spacing w:line="240" w:lineRule="auto"/>
              <w:ind w:firstLine="0" w:firstLineChars="0"/>
              <w:jc w:val="center"/>
              <w:rPr>
                <w:rFonts w:cs="Times New Roman"/>
                <w:sz w:val="21"/>
                <w14:ligatures w14:val="none"/>
              </w:rPr>
            </w:pPr>
            <w:r>
              <w:rPr>
                <w:rFonts w:hint="eastAsia" w:cs="Times New Roman"/>
                <w:sz w:val="21"/>
                <w:szCs w:val="21"/>
                <w14:ligatures w14:val="none"/>
              </w:rPr>
              <w:t>高锰酸盐指数、氨氮</w:t>
            </w:r>
          </w:p>
        </w:tc>
        <w:tc>
          <w:tcPr>
            <w:tcW w:w="983" w:type="pct"/>
            <w:vAlign w:val="center"/>
          </w:tcPr>
          <w:p w14:paraId="00A9AD63">
            <w:pPr>
              <w:spacing w:line="240" w:lineRule="auto"/>
              <w:ind w:firstLine="0" w:firstLineChars="0"/>
              <w:jc w:val="center"/>
              <w:rPr>
                <w:rFonts w:cs="Times New Roman"/>
                <w:sz w:val="21"/>
                <w14:ligatures w14:val="none"/>
              </w:rPr>
            </w:pPr>
            <w:r>
              <w:rPr>
                <w:rFonts w:hint="eastAsia" w:cs="Times New Roman"/>
                <w:sz w:val="21"/>
                <w14:ligatures w14:val="none"/>
              </w:rPr>
              <w:t>/</w:t>
            </w:r>
          </w:p>
        </w:tc>
      </w:tr>
      <w:tr w14:paraId="37549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Align w:val="center"/>
          </w:tcPr>
          <w:p w14:paraId="69BF1FB1">
            <w:pPr>
              <w:spacing w:line="240" w:lineRule="auto"/>
              <w:ind w:firstLine="0" w:firstLineChars="0"/>
              <w:jc w:val="center"/>
              <w:rPr>
                <w:rFonts w:cs="Times New Roman"/>
                <w:sz w:val="21"/>
                <w14:ligatures w14:val="none"/>
              </w:rPr>
            </w:pPr>
            <w:r>
              <w:rPr>
                <w:rFonts w:hint="eastAsia" w:cs="Times New Roman"/>
                <w:sz w:val="21"/>
                <w14:ligatures w14:val="none"/>
              </w:rPr>
              <w:t>噪声</w:t>
            </w:r>
          </w:p>
        </w:tc>
        <w:tc>
          <w:tcPr>
            <w:tcW w:w="2284" w:type="pct"/>
            <w:vAlign w:val="center"/>
          </w:tcPr>
          <w:p w14:paraId="642FC33F">
            <w:pPr>
              <w:spacing w:line="240" w:lineRule="auto"/>
              <w:ind w:firstLine="0" w:firstLineChars="0"/>
              <w:jc w:val="center"/>
              <w:rPr>
                <w:rFonts w:cs="Times New Roman"/>
                <w:sz w:val="21"/>
                <w14:ligatures w14:val="none"/>
              </w:rPr>
            </w:pPr>
            <w:r>
              <w:rPr>
                <w:rFonts w:hint="eastAsia" w:cs="Times New Roman"/>
                <w:sz w:val="21"/>
                <w14:ligatures w14:val="none"/>
              </w:rPr>
              <w:t>等效连续A声级</w:t>
            </w:r>
          </w:p>
        </w:tc>
        <w:tc>
          <w:tcPr>
            <w:tcW w:w="1070" w:type="pct"/>
            <w:vAlign w:val="center"/>
          </w:tcPr>
          <w:p w14:paraId="1762264D">
            <w:pPr>
              <w:spacing w:line="240" w:lineRule="auto"/>
              <w:ind w:firstLine="0" w:firstLineChars="0"/>
              <w:jc w:val="center"/>
              <w:rPr>
                <w:rFonts w:cs="Times New Roman"/>
                <w:sz w:val="21"/>
                <w14:ligatures w14:val="none"/>
              </w:rPr>
            </w:pPr>
            <w:r>
              <w:rPr>
                <w:rFonts w:hint="eastAsia" w:cs="Times New Roman"/>
                <w:sz w:val="21"/>
                <w14:ligatures w14:val="none"/>
              </w:rPr>
              <w:t>等效连续A声级</w:t>
            </w:r>
          </w:p>
        </w:tc>
        <w:tc>
          <w:tcPr>
            <w:tcW w:w="983" w:type="pct"/>
            <w:vAlign w:val="center"/>
          </w:tcPr>
          <w:p w14:paraId="2B64065B">
            <w:pPr>
              <w:spacing w:line="240" w:lineRule="auto"/>
              <w:ind w:firstLine="0" w:firstLineChars="0"/>
              <w:jc w:val="center"/>
              <w:rPr>
                <w:rFonts w:cs="Times New Roman"/>
                <w:sz w:val="21"/>
                <w14:ligatures w14:val="none"/>
              </w:rPr>
            </w:pPr>
            <w:r>
              <w:rPr>
                <w:rFonts w:hint="eastAsia" w:cs="Times New Roman"/>
                <w:sz w:val="21"/>
                <w14:ligatures w14:val="none"/>
              </w:rPr>
              <w:t>/</w:t>
            </w:r>
          </w:p>
        </w:tc>
      </w:tr>
      <w:tr w14:paraId="17218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Align w:val="center"/>
          </w:tcPr>
          <w:p w14:paraId="42EE509A">
            <w:pPr>
              <w:spacing w:line="240" w:lineRule="auto"/>
              <w:ind w:firstLine="0" w:firstLineChars="0"/>
              <w:jc w:val="center"/>
              <w:rPr>
                <w:rFonts w:cs="Times New Roman"/>
                <w:sz w:val="21"/>
                <w14:ligatures w14:val="none"/>
              </w:rPr>
            </w:pPr>
            <w:r>
              <w:rPr>
                <w:rFonts w:hint="eastAsia" w:cs="Times New Roman"/>
                <w:sz w:val="21"/>
                <w14:ligatures w14:val="none"/>
              </w:rPr>
              <w:t>固体废物</w:t>
            </w:r>
          </w:p>
        </w:tc>
        <w:tc>
          <w:tcPr>
            <w:tcW w:w="2284" w:type="pct"/>
            <w:vAlign w:val="center"/>
          </w:tcPr>
          <w:p w14:paraId="4B96FF0F">
            <w:pPr>
              <w:spacing w:line="240" w:lineRule="auto"/>
              <w:ind w:firstLine="0" w:firstLineChars="0"/>
              <w:jc w:val="center"/>
              <w:rPr>
                <w:rFonts w:cs="Times New Roman"/>
                <w:sz w:val="21"/>
                <w14:ligatures w14:val="none"/>
              </w:rPr>
            </w:pPr>
            <w:r>
              <w:rPr>
                <w:rFonts w:hint="eastAsia" w:cs="Times New Roman"/>
                <w:sz w:val="21"/>
                <w14:ligatures w14:val="none"/>
              </w:rPr>
              <w:t>一般工业固废、危险固废、生活垃圾</w:t>
            </w:r>
          </w:p>
        </w:tc>
        <w:tc>
          <w:tcPr>
            <w:tcW w:w="1070" w:type="pct"/>
            <w:vAlign w:val="center"/>
          </w:tcPr>
          <w:p w14:paraId="7AC3B77D">
            <w:pPr>
              <w:spacing w:line="240" w:lineRule="auto"/>
              <w:ind w:firstLine="0" w:firstLineChars="0"/>
              <w:jc w:val="center"/>
              <w:rPr>
                <w:rFonts w:cs="Times New Roman"/>
                <w:sz w:val="21"/>
                <w14:ligatures w14:val="none"/>
              </w:rPr>
            </w:pPr>
            <w:r>
              <w:rPr>
                <w:rFonts w:hint="eastAsia" w:cs="Times New Roman"/>
                <w:sz w:val="21"/>
                <w14:ligatures w14:val="none"/>
              </w:rPr>
              <w:t>/</w:t>
            </w:r>
          </w:p>
        </w:tc>
        <w:tc>
          <w:tcPr>
            <w:tcW w:w="983" w:type="pct"/>
            <w:vAlign w:val="center"/>
          </w:tcPr>
          <w:p w14:paraId="41633CD5">
            <w:pPr>
              <w:spacing w:line="240" w:lineRule="auto"/>
              <w:ind w:firstLine="0" w:firstLineChars="0"/>
              <w:jc w:val="center"/>
              <w:rPr>
                <w:rFonts w:cs="Times New Roman"/>
                <w:kern w:val="0"/>
                <w:sz w:val="21"/>
                <w14:ligatures w14:val="none"/>
              </w:rPr>
            </w:pPr>
            <w:r>
              <w:rPr>
                <w:rFonts w:hint="eastAsia" w:cs="Times New Roman"/>
                <w:kern w:val="0"/>
                <w:sz w:val="21"/>
                <w14:ligatures w14:val="none"/>
              </w:rPr>
              <w:t>/</w:t>
            </w:r>
          </w:p>
        </w:tc>
      </w:tr>
      <w:tr w14:paraId="0D440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Align w:val="center"/>
          </w:tcPr>
          <w:p w14:paraId="7D096BCE">
            <w:pPr>
              <w:spacing w:line="240" w:lineRule="auto"/>
              <w:ind w:firstLine="0" w:firstLineChars="0"/>
              <w:jc w:val="center"/>
              <w:rPr>
                <w:rFonts w:cs="Times New Roman"/>
                <w:sz w:val="21"/>
                <w14:ligatures w14:val="none"/>
              </w:rPr>
            </w:pPr>
            <w:r>
              <w:rPr>
                <w:rFonts w:hint="eastAsia" w:cs="Times New Roman"/>
                <w:sz w:val="21"/>
                <w14:ligatures w14:val="none"/>
              </w:rPr>
              <w:t>土壤</w:t>
            </w:r>
          </w:p>
        </w:tc>
        <w:tc>
          <w:tcPr>
            <w:tcW w:w="2284" w:type="pct"/>
            <w:vAlign w:val="center"/>
          </w:tcPr>
          <w:p w14:paraId="6D79C946">
            <w:pPr>
              <w:spacing w:line="240" w:lineRule="auto"/>
              <w:ind w:firstLine="0" w:firstLineChars="0"/>
              <w:jc w:val="center"/>
              <w:rPr>
                <w:rFonts w:cs="Times New Roman"/>
                <w:sz w:val="21"/>
                <w14:ligatures w14:val="none"/>
              </w:rPr>
            </w:pPr>
            <w:r>
              <w:rPr>
                <w:rFonts w:hint="eastAsia" w:cs="Times New Roman"/>
                <w:sz w:val="21"/>
                <w:szCs w:val="21"/>
                <w14:ligatures w14:val="none"/>
              </w:rPr>
              <w:t>pH、砷、镉、铬、六价铬、铜、铅、汞、镍、锌、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а]蒽、苯并[а]芘、苯并[b]荧蒽、苯并[k]荧蒽、</w:t>
            </w:r>
            <w:r>
              <w:rPr>
                <w:rFonts w:hint="eastAsia" w:ascii="宋体" w:hAnsi="宋体" w:eastAsia="宋体" w:cs="微软雅黑"/>
                <w:sz w:val="21"/>
                <w:szCs w:val="21"/>
                <w14:ligatures w14:val="none"/>
              </w:rPr>
              <w:t>䓛</w:t>
            </w:r>
            <w:r>
              <w:rPr>
                <w:rFonts w:hint="eastAsia" w:cs="Times New Roman"/>
                <w:sz w:val="21"/>
                <w:szCs w:val="21"/>
                <w14:ligatures w14:val="none"/>
              </w:rPr>
              <w:t>、二苯并[а,h]蒽、茚并[1,2,3-cd]芘、萘</w:t>
            </w:r>
          </w:p>
        </w:tc>
        <w:tc>
          <w:tcPr>
            <w:tcW w:w="1070" w:type="pct"/>
            <w:vAlign w:val="center"/>
          </w:tcPr>
          <w:p w14:paraId="742B83FA">
            <w:pPr>
              <w:spacing w:line="240" w:lineRule="auto"/>
              <w:ind w:firstLine="0" w:firstLineChars="0"/>
              <w:jc w:val="center"/>
              <w:rPr>
                <w:rFonts w:cs="Times New Roman"/>
                <w:sz w:val="21"/>
                <w14:ligatures w14:val="none"/>
              </w:rPr>
            </w:pPr>
            <w:r>
              <w:rPr>
                <w:rFonts w:hint="eastAsia" w:cs="Times New Roman"/>
                <w:sz w:val="21"/>
                <w14:ligatures w14:val="none"/>
              </w:rPr>
              <w:t>/</w:t>
            </w:r>
          </w:p>
        </w:tc>
        <w:tc>
          <w:tcPr>
            <w:tcW w:w="983" w:type="pct"/>
            <w:vAlign w:val="center"/>
          </w:tcPr>
          <w:p w14:paraId="44731045">
            <w:pPr>
              <w:spacing w:line="240" w:lineRule="auto"/>
              <w:ind w:firstLine="0" w:firstLineChars="0"/>
              <w:jc w:val="center"/>
              <w:rPr>
                <w:rFonts w:cs="Times New Roman"/>
                <w:sz w:val="21"/>
                <w14:ligatures w14:val="none"/>
              </w:rPr>
            </w:pPr>
            <w:r>
              <w:rPr>
                <w:rFonts w:hint="eastAsia" w:cs="Times New Roman"/>
                <w:sz w:val="21"/>
                <w14:ligatures w14:val="none"/>
              </w:rPr>
              <w:t>/</w:t>
            </w:r>
          </w:p>
        </w:tc>
      </w:tr>
      <w:tr w14:paraId="1C670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Align w:val="center"/>
          </w:tcPr>
          <w:p w14:paraId="0642462E">
            <w:pPr>
              <w:spacing w:line="240" w:lineRule="auto"/>
              <w:ind w:firstLine="0" w:firstLineChars="0"/>
              <w:jc w:val="center"/>
              <w:rPr>
                <w:rFonts w:cs="Times New Roman"/>
                <w:sz w:val="21"/>
                <w14:ligatures w14:val="none"/>
              </w:rPr>
            </w:pPr>
            <w:r>
              <w:rPr>
                <w:rFonts w:hint="eastAsia" w:cs="Times New Roman"/>
                <w:sz w:val="21"/>
                <w14:ligatures w14:val="none"/>
              </w:rPr>
              <w:t>底泥</w:t>
            </w:r>
          </w:p>
        </w:tc>
        <w:tc>
          <w:tcPr>
            <w:tcW w:w="2284" w:type="pct"/>
            <w:vAlign w:val="center"/>
          </w:tcPr>
          <w:p w14:paraId="378B01B1">
            <w:pPr>
              <w:spacing w:line="240" w:lineRule="auto"/>
              <w:ind w:firstLine="0" w:firstLineChars="0"/>
              <w:jc w:val="center"/>
              <w:rPr>
                <w:rFonts w:cs="Times New Roman"/>
                <w:sz w:val="21"/>
                <w14:ligatures w14:val="none"/>
              </w:rPr>
            </w:pPr>
            <w:r>
              <w:rPr>
                <w:rFonts w:hint="eastAsia" w:cs="Times New Roman"/>
                <w:spacing w:val="-20"/>
                <w:sz w:val="21"/>
                <w:szCs w:val="21"/>
                <w14:ligatures w14:val="none"/>
              </w:rPr>
              <w:t>pH、镉、汞、砷、铅、铬、铜、镍、锌</w:t>
            </w:r>
          </w:p>
        </w:tc>
        <w:tc>
          <w:tcPr>
            <w:tcW w:w="1070" w:type="pct"/>
            <w:vAlign w:val="center"/>
          </w:tcPr>
          <w:p w14:paraId="6ACCB8DE">
            <w:pPr>
              <w:spacing w:line="240" w:lineRule="auto"/>
              <w:ind w:firstLine="0" w:firstLineChars="0"/>
              <w:jc w:val="center"/>
              <w:rPr>
                <w:rFonts w:cs="Times New Roman"/>
                <w:sz w:val="21"/>
                <w14:ligatures w14:val="none"/>
              </w:rPr>
            </w:pPr>
            <w:r>
              <w:rPr>
                <w:rFonts w:hint="eastAsia" w:cs="Times New Roman"/>
                <w:sz w:val="21"/>
                <w14:ligatures w14:val="none"/>
              </w:rPr>
              <w:t>/</w:t>
            </w:r>
          </w:p>
        </w:tc>
        <w:tc>
          <w:tcPr>
            <w:tcW w:w="983" w:type="pct"/>
            <w:vAlign w:val="center"/>
          </w:tcPr>
          <w:p w14:paraId="4ADD071F">
            <w:pPr>
              <w:spacing w:line="240" w:lineRule="auto"/>
              <w:ind w:firstLine="0" w:firstLineChars="0"/>
              <w:jc w:val="center"/>
              <w:rPr>
                <w:rFonts w:cs="Times New Roman"/>
                <w:sz w:val="21"/>
                <w14:ligatures w14:val="none"/>
              </w:rPr>
            </w:pPr>
            <w:r>
              <w:rPr>
                <w:rFonts w:hint="eastAsia" w:cs="Times New Roman"/>
                <w:sz w:val="21"/>
                <w14:ligatures w14:val="none"/>
              </w:rPr>
              <w:t>/</w:t>
            </w:r>
          </w:p>
        </w:tc>
      </w:tr>
      <w:tr w14:paraId="33028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Align w:val="center"/>
          </w:tcPr>
          <w:p w14:paraId="38A2119E">
            <w:pPr>
              <w:spacing w:line="240" w:lineRule="auto"/>
              <w:ind w:firstLine="0" w:firstLineChars="0"/>
              <w:jc w:val="center"/>
              <w:rPr>
                <w:rFonts w:cs="Times New Roman"/>
                <w:sz w:val="21"/>
                <w14:ligatures w14:val="none"/>
              </w:rPr>
            </w:pPr>
            <w:r>
              <w:rPr>
                <w:rFonts w:hint="eastAsia" w:cs="Times New Roman"/>
                <w:sz w:val="21"/>
                <w14:ligatures w14:val="none"/>
              </w:rPr>
              <w:t>生态</w:t>
            </w:r>
          </w:p>
        </w:tc>
        <w:tc>
          <w:tcPr>
            <w:tcW w:w="2284" w:type="pct"/>
            <w:vAlign w:val="center"/>
          </w:tcPr>
          <w:p w14:paraId="3C8AAAF2">
            <w:pPr>
              <w:spacing w:line="240" w:lineRule="auto"/>
              <w:ind w:firstLine="0" w:firstLineChars="0"/>
              <w:jc w:val="center"/>
              <w:rPr>
                <w:rFonts w:cs="Times New Roman"/>
                <w:sz w:val="21"/>
                <w14:ligatures w14:val="none"/>
              </w:rPr>
            </w:pPr>
            <w:r>
              <w:rPr>
                <w:rFonts w:hint="eastAsia" w:cs="Times New Roman"/>
                <w:sz w:val="21"/>
                <w14:ligatures w14:val="none"/>
              </w:rPr>
              <w:t>生态系统生态系统类型和面积、植被覆盖度、物种多样性情况</w:t>
            </w:r>
          </w:p>
        </w:tc>
        <w:tc>
          <w:tcPr>
            <w:tcW w:w="1070" w:type="pct"/>
            <w:vAlign w:val="center"/>
          </w:tcPr>
          <w:p w14:paraId="2ECCE9DF">
            <w:pPr>
              <w:spacing w:line="240" w:lineRule="auto"/>
              <w:ind w:firstLine="0" w:firstLineChars="0"/>
              <w:jc w:val="center"/>
              <w:rPr>
                <w:rFonts w:cs="Times New Roman"/>
                <w:sz w:val="21"/>
                <w14:ligatures w14:val="none"/>
              </w:rPr>
            </w:pPr>
            <w:r>
              <w:rPr>
                <w:rFonts w:hint="eastAsia" w:cs="Times New Roman"/>
                <w:sz w:val="21"/>
                <w14:ligatures w14:val="none"/>
              </w:rPr>
              <w:t>用地类型变更分析、自然体系生产能力和稳定状况变化分析、生态空间保护区域影响分析、生物多样性影响分析、景观影响分析等</w:t>
            </w:r>
          </w:p>
        </w:tc>
        <w:tc>
          <w:tcPr>
            <w:tcW w:w="983" w:type="pct"/>
            <w:vAlign w:val="center"/>
          </w:tcPr>
          <w:p w14:paraId="0634CF54">
            <w:pPr>
              <w:spacing w:line="240" w:lineRule="auto"/>
              <w:ind w:firstLine="0" w:firstLineChars="0"/>
              <w:jc w:val="center"/>
              <w:rPr>
                <w:rFonts w:cs="Times New Roman"/>
                <w:sz w:val="21"/>
                <w14:ligatures w14:val="none"/>
              </w:rPr>
            </w:pPr>
            <w:r>
              <w:rPr>
                <w:rFonts w:hint="eastAsia" w:cs="Times New Roman"/>
                <w:sz w:val="21"/>
                <w14:ligatures w14:val="none"/>
              </w:rPr>
              <w:t>/</w:t>
            </w:r>
          </w:p>
        </w:tc>
      </w:tr>
    </w:tbl>
    <w:p w14:paraId="044DADBF">
      <w:pPr>
        <w:pStyle w:val="3"/>
        <w:ind w:firstLine="0" w:firstLineChars="0"/>
        <w:rPr>
          <w:rFonts w:cs="Times New Roman"/>
        </w:rPr>
      </w:pPr>
      <w:bookmarkStart w:id="17" w:name="_Toc217294032"/>
      <w:r>
        <w:rPr>
          <w:rFonts w:cs="Times New Roman"/>
        </w:rPr>
        <w:t>1.6</w:t>
      </w:r>
      <w:r>
        <w:rPr>
          <w:rFonts w:hint="eastAsia" w:cs="Times New Roman"/>
        </w:rPr>
        <w:t>环境功能区划</w:t>
      </w:r>
      <w:bookmarkEnd w:id="17"/>
    </w:p>
    <w:p w14:paraId="330F3514">
      <w:pPr>
        <w:ind w:firstLine="482"/>
        <w:rPr>
          <w:b/>
          <w:bCs/>
        </w:rPr>
      </w:pPr>
      <w:r>
        <w:rPr>
          <w:rFonts w:hint="eastAsia"/>
          <w:b/>
          <w:bCs/>
        </w:rPr>
        <w:t>（1）大气环境</w:t>
      </w:r>
    </w:p>
    <w:p w14:paraId="69741F0C">
      <w:pPr>
        <w:ind w:firstLine="480"/>
      </w:pPr>
      <w:r>
        <w:rPr>
          <w:rFonts w:hint="eastAsia"/>
        </w:rPr>
        <w:t>根据《常州市环境空气质量功能区划分规定（2017）》（常政发〔2017〕160号），度假区评价范围内以（原）生态红线区——茅东山地水源涵养区、方山（金坛区）森林公园的范围为基础，保留30米以上海拔的山体范围涉及一类环境空气质量功能区，一类环境空气质量功能区和二类环境空气质量功能区之间设置300米缓冲区，周边区域的环境空气质量功能区为二类区，常州市环境空气质量功能区划分如图1.6-1所示。</w:t>
      </w:r>
    </w:p>
    <w:p w14:paraId="26D806F2">
      <w:pPr>
        <w:ind w:firstLine="480"/>
      </w:pPr>
      <w:r>
        <w:rPr>
          <w:rFonts w:hint="eastAsia"/>
        </w:rPr>
        <w:t>一类环境空气质量功能区执行《环境空气质量标准》（GB3095-2012）的一级标准；二类环境空气质量功能区执行二级标准；一类和二类功能区之间缓冲区内的环境空气质量在满足二级标准的基础上向一级标准的要求靠拢。</w:t>
      </w:r>
    </w:p>
    <w:p w14:paraId="488F47DB">
      <w:pPr>
        <w:ind w:firstLine="480"/>
      </w:pPr>
      <w:r>
        <w:rPr>
          <w:rFonts w:hint="eastAsia"/>
        </w:rPr>
        <w:t>根据《江苏省2023年度生态环境分区管控动态更新成果公告》（2024年6月13日），原茅东山地水源涵养区范围发生了变化。但考虑到《常州市环境空气质量功能区划分规定（2017）》尚未进行修订，故一类环境空气质量功能区、缓冲区以及二类环境空气质量功能区仍沿用文件中范围。</w:t>
      </w:r>
    </w:p>
    <w:p w14:paraId="3BC48383">
      <w:pPr>
        <w:widowControl/>
        <w:snapToGrid w:val="0"/>
        <w:spacing w:before="62" w:beforeLines="20" w:after="62" w:afterLines="20" w:line="500" w:lineRule="exact"/>
        <w:ind w:firstLine="0" w:firstLineChars="0"/>
        <w:jc w:val="center"/>
        <w:outlineLvl w:val="6"/>
        <w:rPr>
          <w:rStyle w:val="108"/>
          <w:rFonts w:hint="default" w:ascii="Times New Roman" w:eastAsia="仿宋_GB2312" w:cs="Times New Roman"/>
          <w:b w:val="0"/>
          <w:bCs/>
          <w:sz w:val="21"/>
          <w:szCs w:val="21"/>
        </w:rPr>
      </w:pPr>
      <w:r>
        <w:rPr>
          <w:rFonts w:hint="eastAsia" w:cs="Times New Roman"/>
          <w:b/>
          <w:szCs w:val="24"/>
          <w14:ligatures w14:val="none"/>
        </w:rPr>
        <w:t>表1.6-1 常州市一类环境空气质量功能区范围</w:t>
      </w:r>
    </w:p>
    <w:tbl>
      <w:tblPr>
        <w:tblStyle w:val="25"/>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27"/>
        <w:gridCol w:w="4606"/>
        <w:gridCol w:w="1793"/>
      </w:tblGrid>
      <w:tr w14:paraId="0F0F3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1157" w:type="pct"/>
            <w:vAlign w:val="center"/>
          </w:tcPr>
          <w:p w14:paraId="7CF60217">
            <w:pPr>
              <w:snapToGrid w:val="0"/>
              <w:spacing w:line="240" w:lineRule="auto"/>
              <w:ind w:firstLine="0" w:firstLineChars="0"/>
              <w:jc w:val="center"/>
              <w:textAlignment w:val="baseline"/>
              <w:rPr>
                <w:rFonts w:cs="Times New Roman"/>
                <w:b/>
                <w:sz w:val="21"/>
                <w:szCs w:val="21"/>
                <w14:ligatures w14:val="none"/>
              </w:rPr>
            </w:pPr>
            <w:r>
              <w:rPr>
                <w:rFonts w:hint="eastAsia" w:cs="Times New Roman"/>
                <w:b/>
                <w:sz w:val="21"/>
                <w:szCs w:val="21"/>
                <w14:ligatures w14:val="none"/>
              </w:rPr>
              <w:t>四个片区</w:t>
            </w:r>
          </w:p>
        </w:tc>
        <w:tc>
          <w:tcPr>
            <w:tcW w:w="2766" w:type="pct"/>
            <w:vAlign w:val="center"/>
          </w:tcPr>
          <w:p w14:paraId="04BB33D4">
            <w:pPr>
              <w:snapToGrid w:val="0"/>
              <w:spacing w:line="240" w:lineRule="auto"/>
              <w:ind w:firstLine="0" w:firstLineChars="0"/>
              <w:jc w:val="center"/>
              <w:textAlignment w:val="baseline"/>
              <w:rPr>
                <w:rFonts w:cs="Times New Roman"/>
                <w:b/>
                <w:sz w:val="21"/>
                <w:szCs w:val="21"/>
                <w14:ligatures w14:val="none"/>
              </w:rPr>
            </w:pPr>
            <w:r>
              <w:rPr>
                <w:rFonts w:hint="eastAsia" w:cs="Times New Roman"/>
                <w:b/>
                <w:sz w:val="21"/>
                <w:szCs w:val="21"/>
                <w14:ligatures w14:val="none"/>
              </w:rPr>
              <w:t>范围</w:t>
            </w:r>
          </w:p>
        </w:tc>
        <w:tc>
          <w:tcPr>
            <w:tcW w:w="1077" w:type="pct"/>
            <w:vAlign w:val="center"/>
          </w:tcPr>
          <w:p w14:paraId="1CC00F14">
            <w:pPr>
              <w:snapToGrid w:val="0"/>
              <w:spacing w:line="240" w:lineRule="auto"/>
              <w:ind w:firstLine="0" w:firstLineChars="0"/>
              <w:jc w:val="center"/>
              <w:textAlignment w:val="baseline"/>
              <w:rPr>
                <w:rFonts w:cs="Times New Roman"/>
                <w:b/>
                <w:sz w:val="21"/>
                <w:szCs w:val="21"/>
                <w14:ligatures w14:val="none"/>
              </w:rPr>
            </w:pPr>
            <w:r>
              <w:rPr>
                <w:rFonts w:hint="eastAsia" w:cs="Times New Roman"/>
                <w:b/>
                <w:sz w:val="21"/>
                <w:szCs w:val="21"/>
                <w14:ligatures w14:val="none"/>
              </w:rPr>
              <w:t>面积（km</w:t>
            </w:r>
            <w:r>
              <w:rPr>
                <w:rFonts w:hint="eastAsia" w:cs="Times New Roman"/>
                <w:b/>
                <w:sz w:val="21"/>
                <w:szCs w:val="21"/>
                <w:vertAlign w:val="superscript"/>
                <w14:ligatures w14:val="none"/>
              </w:rPr>
              <w:t>2</w:t>
            </w:r>
            <w:r>
              <w:rPr>
                <w:rFonts w:hint="eastAsia" w:cs="Times New Roman"/>
                <w:b/>
                <w:sz w:val="21"/>
                <w:szCs w:val="21"/>
                <w14:ligatures w14:val="none"/>
              </w:rPr>
              <w:t>）</w:t>
            </w:r>
          </w:p>
        </w:tc>
      </w:tr>
      <w:tr w14:paraId="73766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157" w:type="pct"/>
            <w:vAlign w:val="center"/>
          </w:tcPr>
          <w:p w14:paraId="566C360F">
            <w:pPr>
              <w:snapToGrid w:val="0"/>
              <w:spacing w:line="240" w:lineRule="auto"/>
              <w:ind w:firstLine="0" w:firstLineChars="0"/>
              <w:jc w:val="center"/>
              <w:textAlignment w:val="baseline"/>
              <w:rPr>
                <w:rFonts w:cs="Times New Roman"/>
                <w:sz w:val="21"/>
                <w:szCs w:val="21"/>
                <w14:ligatures w14:val="none"/>
              </w:rPr>
            </w:pPr>
            <w:r>
              <w:rPr>
                <w:rFonts w:hint="eastAsia" w:cs="Times New Roman"/>
                <w:sz w:val="21"/>
                <w:szCs w:val="21"/>
                <w14:ligatures w14:val="none"/>
              </w:rPr>
              <w:t>武进城湾片区</w:t>
            </w:r>
          </w:p>
        </w:tc>
        <w:tc>
          <w:tcPr>
            <w:tcW w:w="2766" w:type="pct"/>
            <w:vAlign w:val="center"/>
          </w:tcPr>
          <w:p w14:paraId="1062D33D">
            <w:pPr>
              <w:snapToGrid w:val="0"/>
              <w:spacing w:line="240" w:lineRule="auto"/>
              <w:ind w:firstLine="0" w:firstLineChars="0"/>
              <w:jc w:val="center"/>
              <w:textAlignment w:val="baseline"/>
              <w:rPr>
                <w:rFonts w:cs="Times New Roman"/>
                <w:sz w:val="21"/>
                <w:szCs w:val="21"/>
                <w14:ligatures w14:val="none"/>
              </w:rPr>
            </w:pPr>
            <w:r>
              <w:rPr>
                <w:rFonts w:hint="eastAsia" w:cs="Times New Roman"/>
                <w:sz w:val="21"/>
                <w:szCs w:val="21"/>
                <w14:ligatures w14:val="none"/>
              </w:rPr>
              <w:t>以生态红线区——太湖（武进区）重要保护区范围为基础，保留30米以上海拔的山体范围</w:t>
            </w:r>
          </w:p>
        </w:tc>
        <w:tc>
          <w:tcPr>
            <w:tcW w:w="1077" w:type="pct"/>
            <w:vAlign w:val="center"/>
          </w:tcPr>
          <w:p w14:paraId="3A4E9351">
            <w:pPr>
              <w:snapToGrid w:val="0"/>
              <w:spacing w:line="240" w:lineRule="auto"/>
              <w:ind w:firstLine="0" w:firstLineChars="0"/>
              <w:jc w:val="center"/>
              <w:textAlignment w:val="baseline"/>
              <w:rPr>
                <w:rFonts w:cs="Times New Roman"/>
                <w:sz w:val="21"/>
                <w:szCs w:val="21"/>
                <w14:ligatures w14:val="none"/>
              </w:rPr>
            </w:pPr>
            <w:r>
              <w:rPr>
                <w:rFonts w:hint="eastAsia" w:cs="Times New Roman"/>
                <w:sz w:val="21"/>
                <w:szCs w:val="21"/>
                <w14:ligatures w14:val="none"/>
              </w:rPr>
              <w:t>9</w:t>
            </w:r>
          </w:p>
        </w:tc>
      </w:tr>
      <w:tr w14:paraId="6F577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157" w:type="pct"/>
            <w:shd w:val="clear" w:color="auto" w:fill="D8D8D8" w:themeFill="background1" w:themeFillShade="D9"/>
            <w:vAlign w:val="center"/>
          </w:tcPr>
          <w:p w14:paraId="1F7B7BAE">
            <w:pPr>
              <w:snapToGrid w:val="0"/>
              <w:spacing w:line="240" w:lineRule="auto"/>
              <w:ind w:firstLine="0" w:firstLineChars="0"/>
              <w:jc w:val="center"/>
              <w:textAlignment w:val="baseline"/>
              <w:rPr>
                <w:rFonts w:cs="Times New Roman"/>
                <w:sz w:val="21"/>
                <w:szCs w:val="21"/>
                <w14:ligatures w14:val="none"/>
              </w:rPr>
            </w:pPr>
            <w:r>
              <w:rPr>
                <w:rFonts w:hint="eastAsia" w:cs="Times New Roman"/>
                <w:sz w:val="21"/>
                <w:szCs w:val="21"/>
                <w14:ligatures w14:val="none"/>
              </w:rPr>
              <w:t>金坛茅东山地片区</w:t>
            </w:r>
          </w:p>
        </w:tc>
        <w:tc>
          <w:tcPr>
            <w:tcW w:w="2766" w:type="pct"/>
            <w:shd w:val="clear" w:color="auto" w:fill="D8D8D8" w:themeFill="background1" w:themeFillShade="D9"/>
            <w:vAlign w:val="center"/>
          </w:tcPr>
          <w:p w14:paraId="5F4484D2">
            <w:pPr>
              <w:snapToGrid w:val="0"/>
              <w:spacing w:line="240" w:lineRule="auto"/>
              <w:ind w:firstLine="0" w:firstLineChars="0"/>
              <w:jc w:val="center"/>
              <w:textAlignment w:val="baseline"/>
              <w:rPr>
                <w:rFonts w:cs="Times New Roman"/>
                <w:sz w:val="21"/>
                <w:szCs w:val="21"/>
                <w14:ligatures w14:val="none"/>
              </w:rPr>
            </w:pPr>
            <w:r>
              <w:rPr>
                <w:rFonts w:hint="eastAsia" w:cs="Times New Roman"/>
                <w:sz w:val="21"/>
                <w:szCs w:val="21"/>
                <w14:ligatures w14:val="none"/>
              </w:rPr>
              <w:t>以生态红线区——茅东山地水源涵养区的范围为基础，保留30米以上海拔的山体范围</w:t>
            </w:r>
          </w:p>
        </w:tc>
        <w:tc>
          <w:tcPr>
            <w:tcW w:w="1077" w:type="pct"/>
            <w:shd w:val="clear" w:color="auto" w:fill="D8D8D8" w:themeFill="background1" w:themeFillShade="D9"/>
            <w:vAlign w:val="center"/>
          </w:tcPr>
          <w:p w14:paraId="62A8587C">
            <w:pPr>
              <w:snapToGrid w:val="0"/>
              <w:spacing w:line="240" w:lineRule="auto"/>
              <w:ind w:firstLine="0" w:firstLineChars="0"/>
              <w:jc w:val="center"/>
              <w:textAlignment w:val="baseline"/>
              <w:rPr>
                <w:rFonts w:cs="Times New Roman"/>
                <w:sz w:val="21"/>
                <w:szCs w:val="21"/>
                <w14:ligatures w14:val="none"/>
              </w:rPr>
            </w:pPr>
            <w:r>
              <w:rPr>
                <w:rFonts w:hint="eastAsia" w:cs="Times New Roman"/>
                <w:sz w:val="21"/>
                <w:szCs w:val="21"/>
                <w14:ligatures w14:val="none"/>
              </w:rPr>
              <w:t>14</w:t>
            </w:r>
          </w:p>
        </w:tc>
      </w:tr>
      <w:tr w14:paraId="787DF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157" w:type="pct"/>
            <w:vAlign w:val="center"/>
          </w:tcPr>
          <w:p w14:paraId="08BC5100">
            <w:pPr>
              <w:snapToGrid w:val="0"/>
              <w:spacing w:line="240" w:lineRule="auto"/>
              <w:ind w:firstLine="0" w:firstLineChars="0"/>
              <w:jc w:val="center"/>
              <w:textAlignment w:val="baseline"/>
              <w:rPr>
                <w:rFonts w:cs="Times New Roman"/>
                <w:sz w:val="21"/>
                <w:szCs w:val="21"/>
                <w14:ligatures w14:val="none"/>
              </w:rPr>
            </w:pPr>
            <w:r>
              <w:rPr>
                <w:rFonts w:hint="eastAsia" w:cs="Times New Roman"/>
                <w:sz w:val="21"/>
                <w:szCs w:val="21"/>
                <w14:ligatures w14:val="none"/>
              </w:rPr>
              <w:t>金坛方山、溧阳瓦屋山片区</w:t>
            </w:r>
          </w:p>
        </w:tc>
        <w:tc>
          <w:tcPr>
            <w:tcW w:w="2766" w:type="pct"/>
            <w:vAlign w:val="center"/>
          </w:tcPr>
          <w:p w14:paraId="3B7C2413">
            <w:pPr>
              <w:snapToGrid w:val="0"/>
              <w:spacing w:line="240" w:lineRule="auto"/>
              <w:ind w:firstLine="0" w:firstLineChars="0"/>
              <w:jc w:val="center"/>
              <w:textAlignment w:val="baseline"/>
              <w:rPr>
                <w:rFonts w:cs="Times New Roman"/>
                <w:sz w:val="21"/>
                <w:szCs w:val="21"/>
                <w14:ligatures w14:val="none"/>
              </w:rPr>
            </w:pPr>
            <w:r>
              <w:rPr>
                <w:rFonts w:hint="eastAsia" w:cs="Times New Roman"/>
                <w:sz w:val="21"/>
                <w:szCs w:val="21"/>
                <w14:ligatures w14:val="none"/>
              </w:rPr>
              <w:t>以生态红线区——方山（金坛区）森林公园、向阳水库水源涵养区、溧阳瓦屋山省级森林公园的范围为基础，保留30米以上海拔的山体范围</w:t>
            </w:r>
          </w:p>
        </w:tc>
        <w:tc>
          <w:tcPr>
            <w:tcW w:w="1077" w:type="pct"/>
            <w:vAlign w:val="center"/>
          </w:tcPr>
          <w:p w14:paraId="2480B3C9">
            <w:pPr>
              <w:snapToGrid w:val="0"/>
              <w:spacing w:line="240" w:lineRule="auto"/>
              <w:ind w:firstLine="0" w:firstLineChars="0"/>
              <w:jc w:val="center"/>
              <w:textAlignment w:val="baseline"/>
              <w:rPr>
                <w:rFonts w:cs="Times New Roman"/>
                <w:sz w:val="21"/>
                <w:szCs w:val="21"/>
                <w14:ligatures w14:val="none"/>
              </w:rPr>
            </w:pPr>
            <w:r>
              <w:rPr>
                <w:rFonts w:hint="eastAsia" w:cs="Times New Roman"/>
                <w:sz w:val="21"/>
                <w:szCs w:val="21"/>
                <w14:ligatures w14:val="none"/>
              </w:rPr>
              <w:t>59</w:t>
            </w:r>
          </w:p>
        </w:tc>
      </w:tr>
      <w:tr w14:paraId="009B5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157" w:type="pct"/>
            <w:vAlign w:val="center"/>
          </w:tcPr>
          <w:p w14:paraId="13D637B8">
            <w:pPr>
              <w:snapToGrid w:val="0"/>
              <w:spacing w:line="240" w:lineRule="auto"/>
              <w:ind w:firstLine="0" w:firstLineChars="0"/>
              <w:jc w:val="center"/>
              <w:textAlignment w:val="baseline"/>
              <w:rPr>
                <w:rFonts w:cs="Times New Roman"/>
                <w:sz w:val="21"/>
                <w:szCs w:val="21"/>
                <w14:ligatures w14:val="none"/>
              </w:rPr>
            </w:pPr>
            <w:r>
              <w:rPr>
                <w:rFonts w:hint="eastAsia" w:cs="Times New Roman"/>
                <w:sz w:val="21"/>
                <w:szCs w:val="21"/>
                <w14:ligatures w14:val="none"/>
              </w:rPr>
              <w:t>溧阳天目湖、南山片区</w:t>
            </w:r>
          </w:p>
        </w:tc>
        <w:tc>
          <w:tcPr>
            <w:tcW w:w="2766" w:type="pct"/>
            <w:vAlign w:val="center"/>
          </w:tcPr>
          <w:p w14:paraId="1C244A04">
            <w:pPr>
              <w:snapToGrid w:val="0"/>
              <w:spacing w:line="240" w:lineRule="auto"/>
              <w:ind w:firstLine="0" w:firstLineChars="0"/>
              <w:jc w:val="center"/>
              <w:textAlignment w:val="baseline"/>
              <w:rPr>
                <w:rFonts w:cs="Times New Roman"/>
                <w:sz w:val="21"/>
                <w:szCs w:val="21"/>
                <w14:ligatures w14:val="none"/>
              </w:rPr>
            </w:pPr>
            <w:r>
              <w:rPr>
                <w:rFonts w:hint="eastAsia" w:cs="Times New Roman"/>
                <w:sz w:val="21"/>
                <w:szCs w:val="21"/>
                <w14:ligatures w14:val="none"/>
              </w:rPr>
              <w:t>以生态红线区——大溪水库水源涵养区、沙河水库水源涵养区、溧阳天目湖自然湿地保护区、溧阳南山水源涵养区的范围为基础，保留30米以上海拔的山体及其包围的湖面范围</w:t>
            </w:r>
          </w:p>
        </w:tc>
        <w:tc>
          <w:tcPr>
            <w:tcW w:w="1077" w:type="pct"/>
            <w:vAlign w:val="center"/>
          </w:tcPr>
          <w:p w14:paraId="37382976">
            <w:pPr>
              <w:snapToGrid w:val="0"/>
              <w:spacing w:line="240" w:lineRule="auto"/>
              <w:ind w:firstLine="0" w:firstLineChars="0"/>
              <w:jc w:val="center"/>
              <w:textAlignment w:val="baseline"/>
              <w:rPr>
                <w:rFonts w:cs="Times New Roman"/>
                <w:sz w:val="21"/>
                <w:szCs w:val="21"/>
                <w14:ligatures w14:val="none"/>
              </w:rPr>
            </w:pPr>
            <w:r>
              <w:rPr>
                <w:rFonts w:hint="eastAsia" w:cs="Times New Roman"/>
                <w:sz w:val="21"/>
                <w:szCs w:val="21"/>
                <w14:ligatures w14:val="none"/>
              </w:rPr>
              <w:t>294</w:t>
            </w:r>
          </w:p>
        </w:tc>
      </w:tr>
    </w:tbl>
    <w:p w14:paraId="6314E9B9">
      <w:pPr>
        <w:ind w:firstLine="482"/>
        <w:rPr>
          <w:b/>
          <w:bCs/>
        </w:rPr>
      </w:pPr>
      <w:r>
        <w:rPr>
          <w:rFonts w:hint="eastAsia"/>
          <w:b/>
          <w:bCs/>
        </w:rPr>
        <w:t>（2）地表水环境</w:t>
      </w:r>
    </w:p>
    <w:p w14:paraId="34573773">
      <w:pPr>
        <w:ind w:firstLine="480"/>
      </w:pPr>
      <w:r>
        <w:rPr>
          <w:rFonts w:hint="eastAsia"/>
        </w:rPr>
        <w:t>根据《江苏省地表水（环境）功能区划（2021-2030年）》（苏政复〔2022〕82号），薛埠河位于</w:t>
      </w:r>
      <w:bookmarkStart w:id="18" w:name="_Hlk160010758"/>
      <w:r>
        <w:rPr>
          <w:rFonts w:hint="eastAsia"/>
        </w:rPr>
        <w:t>薛埠河金坛工业、农业用水区，主要水环境功能为工业、农业用水区，2</w:t>
      </w:r>
      <w:r>
        <w:t>030</w:t>
      </w:r>
      <w:r>
        <w:rPr>
          <w:rFonts w:hint="eastAsia"/>
        </w:rPr>
        <w:t>年功能区水质目标为III类。茅东水库、东进水库、海底水库、向阳水库、瓦沟水库、新浮（山）水库</w:t>
      </w:r>
      <w:bookmarkEnd w:id="18"/>
      <w:r>
        <w:rPr>
          <w:rFonts w:hint="eastAsia"/>
        </w:rPr>
        <w:t>2030年功能区水质目标均为III类，其中，除海底水库主要水环境功能为景观娱乐用水区以外，茅东水库、东进水库、向阳水库、瓦沟水库、新浮（山）水库主要水环境功能均为渔业用水区。其余水体、溢洪河、小型水库等未列入地表水环境功能区划的水体，参照度假区周边相近水体水环境功能目标确定，均参照III类水质标准执行。</w:t>
      </w:r>
    </w:p>
    <w:p w14:paraId="10F70288">
      <w:pPr>
        <w:ind w:firstLine="482"/>
        <w:rPr>
          <w:b/>
          <w:bCs/>
        </w:rPr>
      </w:pPr>
      <w:r>
        <w:rPr>
          <w:rFonts w:hint="eastAsia"/>
          <w:b/>
          <w:bCs/>
        </w:rPr>
        <w:t>（3）声环境质量</w:t>
      </w:r>
    </w:p>
    <w:p w14:paraId="6F28E762">
      <w:pPr>
        <w:ind w:firstLine="480"/>
      </w:pPr>
      <w:r>
        <w:rPr>
          <w:rFonts w:hint="eastAsia"/>
        </w:rPr>
        <w:t>对照《市政府关于印发&lt;常州市市区声环境功能区划（2017）&gt;的通知》（常政发〔2017〕161号），仅对常州市中心城区和金坛区中心城区进行了声功能区划，度假区范围及周边暂无声环境功能区区划。度假区范围内主要涉及公路、铁路以及居住、旅游度假、休闲娱乐、商业混合区域，本次参照《声环境功能区划分技术规范》（</w:t>
      </w:r>
      <w:r>
        <w:t>GB/T 15190</w:t>
      </w:r>
      <w:r>
        <w:rPr>
          <w:rFonts w:hint="eastAsia"/>
        </w:rPr>
        <w:t>-</w:t>
      </w:r>
      <w:r>
        <w:t>2014</w:t>
      </w:r>
      <w:r>
        <w:rPr>
          <w:rFonts w:hint="eastAsia"/>
        </w:rPr>
        <w:t>）划定本次度假区声环境执行标准。其中，以生态保护为主要功能，尽量避免人为活动干扰的茅山风景名胜区、金坛茅东省级森林公园和自然保护地重叠范围，以及区域范围内需要保持安静环境的城镇居民住宅、医院、学校、行政办公用地区域，执行1类功能区标准。区域内现状工业企业用地范围内执行3类功能区标准。度假区内沪武高速边界线外两侧40m以内范围及S</w:t>
      </w:r>
      <w:r>
        <w:t>239</w:t>
      </w:r>
      <w:r>
        <w:rPr>
          <w:rFonts w:hint="eastAsia"/>
        </w:rPr>
        <w:t>省道、茅山旅游大道、指茅公路等一级公路；白乾公路、仙姑路、游仙路等二级公路边界线外两侧40m以内范围执行4a类声环境功能区标准。</w:t>
      </w:r>
      <w:bookmarkStart w:id="19" w:name="_Hlk164084855"/>
      <w:r>
        <w:rPr>
          <w:rFonts w:hint="eastAsia"/>
        </w:rPr>
        <w:t>苏南沿江城际铁路两侧</w:t>
      </w:r>
      <w:bookmarkEnd w:id="19"/>
      <w:r>
        <w:rPr>
          <w:rFonts w:hint="eastAsia"/>
        </w:rPr>
        <w:t>40m以内区域范围执行4b类声环境功能区标准。村庄居住、旅游度假、休闲娱乐、商业混合区域以及其他未明确的功能区的范围参照执行2类声环境功能区标准。</w:t>
      </w:r>
    </w:p>
    <w:p w14:paraId="0F417B7D">
      <w:pPr>
        <w:widowControl/>
        <w:snapToGrid w:val="0"/>
        <w:spacing w:before="62" w:beforeLines="20" w:after="62" w:afterLines="20" w:line="500" w:lineRule="exact"/>
        <w:ind w:firstLine="0" w:firstLineChars="0"/>
        <w:jc w:val="center"/>
        <w:outlineLvl w:val="6"/>
        <w:rPr>
          <w:rStyle w:val="108"/>
          <w:rFonts w:hint="default" w:ascii="Times New Roman" w:eastAsia="仿宋_GB2312" w:cs="Times New Roman"/>
          <w:b w:val="0"/>
          <w:bCs/>
          <w:sz w:val="21"/>
          <w:szCs w:val="21"/>
        </w:rPr>
      </w:pPr>
      <w:r>
        <w:rPr>
          <w:rFonts w:hint="eastAsia" w:cs="Times New Roman"/>
          <w:b/>
          <w:szCs w:val="24"/>
          <w14:ligatures w14:val="none"/>
        </w:rPr>
        <w:t>表1.6-2 评价范围内声环境执行标准划分</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33"/>
        <w:gridCol w:w="1225"/>
        <w:gridCol w:w="1638"/>
      </w:tblGrid>
      <w:tr w14:paraId="3B993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5433" w:type="dxa"/>
            <w:vAlign w:val="center"/>
          </w:tcPr>
          <w:p w14:paraId="5E2B18A4">
            <w:pPr>
              <w:spacing w:line="240" w:lineRule="auto"/>
              <w:ind w:firstLine="0" w:firstLineChars="0"/>
              <w:jc w:val="center"/>
              <w:rPr>
                <w:rFonts w:cs="Times New Roman"/>
                <w:b/>
                <w:bCs/>
                <w:sz w:val="21"/>
                <w:szCs w:val="21"/>
              </w:rPr>
            </w:pPr>
            <w:r>
              <w:rPr>
                <w:rFonts w:cs="Times New Roman"/>
                <w:b/>
                <w:bCs/>
                <w:sz w:val="21"/>
                <w:szCs w:val="21"/>
              </w:rPr>
              <w:t>功能区划范围</w:t>
            </w:r>
          </w:p>
        </w:tc>
        <w:tc>
          <w:tcPr>
            <w:tcW w:w="1225" w:type="dxa"/>
            <w:vAlign w:val="center"/>
          </w:tcPr>
          <w:p w14:paraId="365D2831">
            <w:pPr>
              <w:spacing w:line="240" w:lineRule="auto"/>
              <w:ind w:firstLine="0" w:firstLineChars="0"/>
              <w:jc w:val="center"/>
              <w:rPr>
                <w:rFonts w:cs="Times New Roman"/>
                <w:b/>
                <w:bCs/>
                <w:sz w:val="21"/>
                <w:szCs w:val="21"/>
              </w:rPr>
            </w:pPr>
            <w:r>
              <w:rPr>
                <w:rFonts w:cs="Times New Roman"/>
                <w:b/>
                <w:bCs/>
                <w:sz w:val="21"/>
                <w:szCs w:val="21"/>
              </w:rPr>
              <w:t>声环境功能区</w:t>
            </w:r>
          </w:p>
        </w:tc>
        <w:tc>
          <w:tcPr>
            <w:tcW w:w="1638" w:type="dxa"/>
            <w:vAlign w:val="center"/>
          </w:tcPr>
          <w:p w14:paraId="2EDBA6C2">
            <w:pPr>
              <w:spacing w:line="240" w:lineRule="auto"/>
              <w:ind w:firstLine="0" w:firstLineChars="0"/>
              <w:jc w:val="center"/>
              <w:rPr>
                <w:rFonts w:cs="Times New Roman"/>
                <w:b/>
                <w:bCs/>
                <w:sz w:val="21"/>
                <w:szCs w:val="21"/>
              </w:rPr>
            </w:pPr>
            <w:r>
              <w:rPr>
                <w:rFonts w:cs="Times New Roman"/>
                <w:b/>
                <w:bCs/>
                <w:sz w:val="21"/>
                <w:szCs w:val="21"/>
              </w:rPr>
              <w:t>划分依据</w:t>
            </w:r>
          </w:p>
        </w:tc>
      </w:tr>
      <w:tr w14:paraId="27E97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433" w:type="dxa"/>
            <w:vAlign w:val="center"/>
          </w:tcPr>
          <w:p w14:paraId="00732632">
            <w:pPr>
              <w:spacing w:line="240" w:lineRule="auto"/>
              <w:ind w:firstLine="0" w:firstLineChars="0"/>
              <w:jc w:val="center"/>
              <w:rPr>
                <w:rFonts w:cs="Times New Roman"/>
                <w:sz w:val="21"/>
                <w:szCs w:val="21"/>
              </w:rPr>
            </w:pPr>
            <w:r>
              <w:rPr>
                <w:rFonts w:hint="eastAsia" w:cs="Times New Roman"/>
                <w:sz w:val="21"/>
                <w:szCs w:val="21"/>
                <w:lang w:bidi="ar"/>
              </w:rPr>
              <w:t>茅山风景名胜区、江苏常州金坛茅东省级森林公园和自然保护地范围，以及度假区内城镇住宅、医疗、学校行政办公等需要保持安静区域</w:t>
            </w:r>
          </w:p>
        </w:tc>
        <w:tc>
          <w:tcPr>
            <w:tcW w:w="1225" w:type="dxa"/>
            <w:vAlign w:val="center"/>
          </w:tcPr>
          <w:p w14:paraId="5C8D08B4">
            <w:pPr>
              <w:spacing w:line="240" w:lineRule="auto"/>
              <w:ind w:firstLine="0" w:firstLineChars="0"/>
              <w:jc w:val="center"/>
              <w:rPr>
                <w:rFonts w:cs="Times New Roman"/>
                <w:sz w:val="21"/>
                <w:szCs w:val="21"/>
              </w:rPr>
            </w:pPr>
            <w:r>
              <w:rPr>
                <w:rFonts w:hint="eastAsia" w:cs="Times New Roman"/>
                <w:sz w:val="21"/>
                <w:szCs w:val="21"/>
              </w:rPr>
              <w:t>1类</w:t>
            </w:r>
          </w:p>
        </w:tc>
        <w:tc>
          <w:tcPr>
            <w:tcW w:w="1638" w:type="dxa"/>
            <w:vMerge w:val="restart"/>
            <w:vAlign w:val="center"/>
          </w:tcPr>
          <w:p w14:paraId="2993D89B">
            <w:pPr>
              <w:spacing w:line="240" w:lineRule="auto"/>
              <w:ind w:firstLine="0" w:firstLineChars="0"/>
              <w:jc w:val="center"/>
              <w:rPr>
                <w:rFonts w:cs="Times New Roman"/>
                <w:sz w:val="21"/>
                <w:szCs w:val="21"/>
              </w:rPr>
            </w:pPr>
            <w:r>
              <w:rPr>
                <w:rFonts w:cs="Times New Roman"/>
                <w:sz w:val="21"/>
                <w:szCs w:val="21"/>
              </w:rPr>
              <w:t>《声环境功能区划分技术规范》（GB/T 15190-2014）</w:t>
            </w:r>
          </w:p>
        </w:tc>
      </w:tr>
      <w:tr w14:paraId="6870C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433" w:type="dxa"/>
            <w:vAlign w:val="center"/>
          </w:tcPr>
          <w:p w14:paraId="419C0E8D">
            <w:pPr>
              <w:spacing w:line="240" w:lineRule="auto"/>
              <w:ind w:firstLine="0" w:firstLineChars="0"/>
              <w:jc w:val="center"/>
              <w:rPr>
                <w:rFonts w:cs="Times New Roman"/>
                <w:sz w:val="21"/>
                <w:szCs w:val="21"/>
              </w:rPr>
            </w:pPr>
            <w:r>
              <w:rPr>
                <w:rFonts w:hint="eastAsia" w:cs="Times New Roman"/>
                <w:sz w:val="21"/>
                <w:szCs w:val="21"/>
              </w:rPr>
              <w:t>村庄居住</w:t>
            </w:r>
            <w:r>
              <w:rPr>
                <w:rFonts w:cs="Times New Roman"/>
                <w:sz w:val="21"/>
                <w:szCs w:val="21"/>
              </w:rPr>
              <w:t>、旅游度假、休闲娱乐、商业混合区域</w:t>
            </w:r>
            <w:r>
              <w:rPr>
                <w:rFonts w:hint="eastAsia" w:cs="Times New Roman"/>
                <w:sz w:val="21"/>
                <w:szCs w:val="21"/>
              </w:rPr>
              <w:t>以及除1类、3类、4a类、4b类以外的其他区域范围</w:t>
            </w:r>
          </w:p>
        </w:tc>
        <w:tc>
          <w:tcPr>
            <w:tcW w:w="1225" w:type="dxa"/>
            <w:vAlign w:val="center"/>
          </w:tcPr>
          <w:p w14:paraId="1AE71483">
            <w:pPr>
              <w:spacing w:line="240" w:lineRule="auto"/>
              <w:ind w:firstLine="0" w:firstLineChars="0"/>
              <w:jc w:val="center"/>
              <w:rPr>
                <w:rFonts w:cs="Times New Roman"/>
                <w:sz w:val="21"/>
                <w:szCs w:val="21"/>
              </w:rPr>
            </w:pPr>
            <w:r>
              <w:rPr>
                <w:rFonts w:cs="Times New Roman"/>
                <w:sz w:val="21"/>
                <w:szCs w:val="21"/>
              </w:rPr>
              <w:t>2类</w:t>
            </w:r>
          </w:p>
        </w:tc>
        <w:tc>
          <w:tcPr>
            <w:tcW w:w="1638" w:type="dxa"/>
            <w:vMerge w:val="continue"/>
            <w:vAlign w:val="center"/>
          </w:tcPr>
          <w:p w14:paraId="2E0A9E89">
            <w:pPr>
              <w:spacing w:line="240" w:lineRule="auto"/>
              <w:ind w:firstLine="0" w:firstLineChars="0"/>
              <w:jc w:val="center"/>
              <w:rPr>
                <w:rFonts w:cs="Times New Roman"/>
                <w:sz w:val="21"/>
                <w:szCs w:val="21"/>
              </w:rPr>
            </w:pPr>
          </w:p>
        </w:tc>
      </w:tr>
      <w:tr w14:paraId="454B3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433" w:type="dxa"/>
            <w:vAlign w:val="center"/>
          </w:tcPr>
          <w:p w14:paraId="49EB7A3D">
            <w:pPr>
              <w:spacing w:line="240" w:lineRule="auto"/>
              <w:ind w:firstLine="0" w:firstLineChars="0"/>
              <w:jc w:val="center"/>
              <w:rPr>
                <w:rFonts w:cs="Times New Roman"/>
                <w:sz w:val="21"/>
                <w:szCs w:val="21"/>
              </w:rPr>
            </w:pPr>
            <w:r>
              <w:rPr>
                <w:rFonts w:hint="eastAsia" w:cs="Times New Roman"/>
                <w:sz w:val="21"/>
                <w:szCs w:val="21"/>
              </w:rPr>
              <w:t>现状工业企业用地区域</w:t>
            </w:r>
          </w:p>
        </w:tc>
        <w:tc>
          <w:tcPr>
            <w:tcW w:w="1225" w:type="dxa"/>
            <w:vAlign w:val="center"/>
          </w:tcPr>
          <w:p w14:paraId="69BD5FBB">
            <w:pPr>
              <w:spacing w:line="240" w:lineRule="auto"/>
              <w:ind w:firstLine="0" w:firstLineChars="0"/>
              <w:jc w:val="center"/>
              <w:rPr>
                <w:rFonts w:cs="Times New Roman"/>
                <w:sz w:val="21"/>
                <w:szCs w:val="21"/>
              </w:rPr>
            </w:pPr>
            <w:r>
              <w:rPr>
                <w:rFonts w:hint="eastAsia" w:cs="Times New Roman"/>
                <w:sz w:val="21"/>
                <w:szCs w:val="21"/>
              </w:rPr>
              <w:t>3类</w:t>
            </w:r>
          </w:p>
        </w:tc>
        <w:tc>
          <w:tcPr>
            <w:tcW w:w="1638" w:type="dxa"/>
            <w:vMerge w:val="continue"/>
            <w:vAlign w:val="center"/>
          </w:tcPr>
          <w:p w14:paraId="210E8684">
            <w:pPr>
              <w:spacing w:line="240" w:lineRule="auto"/>
              <w:ind w:firstLine="0" w:firstLineChars="0"/>
              <w:jc w:val="center"/>
              <w:rPr>
                <w:rFonts w:cs="Times New Roman"/>
                <w:sz w:val="21"/>
                <w:szCs w:val="21"/>
              </w:rPr>
            </w:pPr>
          </w:p>
        </w:tc>
      </w:tr>
      <w:tr w14:paraId="57585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3" w:type="dxa"/>
            <w:vAlign w:val="center"/>
          </w:tcPr>
          <w:p w14:paraId="71F9962E">
            <w:pPr>
              <w:spacing w:line="240" w:lineRule="auto"/>
              <w:ind w:firstLine="0" w:firstLineChars="0"/>
              <w:jc w:val="center"/>
              <w:rPr>
                <w:rFonts w:cs="Times New Roman"/>
                <w:sz w:val="21"/>
                <w:szCs w:val="21"/>
              </w:rPr>
            </w:pPr>
            <w:r>
              <w:rPr>
                <w:rFonts w:cs="Times New Roman"/>
                <w:sz w:val="21"/>
                <w:szCs w:val="21"/>
              </w:rPr>
              <w:t>沪武高速边界线外两侧</w:t>
            </w:r>
            <w:r>
              <w:rPr>
                <w:rFonts w:hint="eastAsia" w:cs="Times New Roman"/>
                <w:sz w:val="21"/>
                <w:szCs w:val="21"/>
              </w:rPr>
              <w:t>40</w:t>
            </w:r>
            <w:r>
              <w:rPr>
                <w:rFonts w:cs="Times New Roman"/>
                <w:sz w:val="21"/>
                <w:szCs w:val="21"/>
              </w:rPr>
              <w:t>m</w:t>
            </w:r>
            <w:r>
              <w:rPr>
                <w:rFonts w:hint="eastAsia" w:cs="Times New Roman"/>
                <w:sz w:val="21"/>
                <w:szCs w:val="21"/>
              </w:rPr>
              <w:t>以内</w:t>
            </w:r>
            <w:r>
              <w:rPr>
                <w:rFonts w:cs="Times New Roman"/>
                <w:sz w:val="21"/>
                <w:szCs w:val="21"/>
              </w:rPr>
              <w:t>区域范围及S239省道、茅山旅游大道、指茅公路等一级公路；白乾公路、仙姑路、游仙路等二级公路边界线外两侧</w:t>
            </w:r>
            <w:r>
              <w:rPr>
                <w:rFonts w:hint="eastAsia" w:cs="Times New Roman"/>
                <w:sz w:val="21"/>
                <w:szCs w:val="21"/>
              </w:rPr>
              <w:t>40</w:t>
            </w:r>
            <w:r>
              <w:rPr>
                <w:rFonts w:cs="Times New Roman"/>
                <w:sz w:val="21"/>
                <w:szCs w:val="21"/>
              </w:rPr>
              <w:t>m</w:t>
            </w:r>
            <w:r>
              <w:rPr>
                <w:rFonts w:hint="eastAsia" w:cs="Times New Roman"/>
                <w:sz w:val="21"/>
                <w:szCs w:val="21"/>
              </w:rPr>
              <w:t>以内</w:t>
            </w:r>
            <w:r>
              <w:rPr>
                <w:rFonts w:cs="Times New Roman"/>
                <w:sz w:val="21"/>
                <w:szCs w:val="21"/>
              </w:rPr>
              <w:t>区域</w:t>
            </w:r>
          </w:p>
        </w:tc>
        <w:tc>
          <w:tcPr>
            <w:tcW w:w="1225" w:type="dxa"/>
            <w:vAlign w:val="center"/>
          </w:tcPr>
          <w:p w14:paraId="0F034A31">
            <w:pPr>
              <w:spacing w:line="240" w:lineRule="auto"/>
              <w:ind w:firstLine="0" w:firstLineChars="0"/>
              <w:jc w:val="center"/>
              <w:rPr>
                <w:rFonts w:cs="Times New Roman"/>
                <w:sz w:val="21"/>
                <w:szCs w:val="21"/>
              </w:rPr>
            </w:pPr>
            <w:r>
              <w:rPr>
                <w:rFonts w:cs="Times New Roman"/>
                <w:sz w:val="21"/>
                <w:szCs w:val="21"/>
              </w:rPr>
              <w:t>4a类</w:t>
            </w:r>
          </w:p>
        </w:tc>
        <w:tc>
          <w:tcPr>
            <w:tcW w:w="1638" w:type="dxa"/>
            <w:vMerge w:val="continue"/>
            <w:vAlign w:val="center"/>
          </w:tcPr>
          <w:p w14:paraId="0C41E770">
            <w:pPr>
              <w:spacing w:line="240" w:lineRule="auto"/>
              <w:ind w:firstLine="0" w:firstLineChars="0"/>
              <w:jc w:val="center"/>
              <w:rPr>
                <w:rFonts w:cs="Times New Roman"/>
                <w:sz w:val="21"/>
                <w:szCs w:val="21"/>
              </w:rPr>
            </w:pPr>
          </w:p>
        </w:tc>
      </w:tr>
      <w:tr w14:paraId="5EC42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3" w:type="dxa"/>
            <w:vAlign w:val="center"/>
          </w:tcPr>
          <w:p w14:paraId="734A0125">
            <w:pPr>
              <w:spacing w:line="240" w:lineRule="auto"/>
              <w:ind w:firstLine="0" w:firstLineChars="0"/>
              <w:jc w:val="center"/>
              <w:rPr>
                <w:rFonts w:cs="Times New Roman"/>
                <w:sz w:val="21"/>
                <w:szCs w:val="21"/>
              </w:rPr>
            </w:pPr>
            <w:r>
              <w:rPr>
                <w:rFonts w:cs="Times New Roman"/>
                <w:sz w:val="21"/>
                <w:szCs w:val="21"/>
              </w:rPr>
              <w:t>苏南沿江城际铁路两侧</w:t>
            </w:r>
            <w:r>
              <w:rPr>
                <w:rFonts w:hint="eastAsia" w:cs="Times New Roman"/>
                <w:sz w:val="21"/>
                <w:szCs w:val="21"/>
              </w:rPr>
              <w:t>40</w:t>
            </w:r>
            <w:r>
              <w:rPr>
                <w:rFonts w:cs="Times New Roman"/>
                <w:sz w:val="21"/>
                <w:szCs w:val="21"/>
              </w:rPr>
              <w:t>m</w:t>
            </w:r>
            <w:r>
              <w:rPr>
                <w:rFonts w:hint="eastAsia" w:cs="Times New Roman"/>
                <w:sz w:val="21"/>
                <w:szCs w:val="21"/>
              </w:rPr>
              <w:t>以内</w:t>
            </w:r>
            <w:r>
              <w:rPr>
                <w:rFonts w:cs="Times New Roman"/>
                <w:sz w:val="21"/>
                <w:szCs w:val="21"/>
              </w:rPr>
              <w:t>区域</w:t>
            </w:r>
          </w:p>
        </w:tc>
        <w:tc>
          <w:tcPr>
            <w:tcW w:w="1225" w:type="dxa"/>
            <w:vAlign w:val="center"/>
          </w:tcPr>
          <w:p w14:paraId="791AE62B">
            <w:pPr>
              <w:spacing w:line="240" w:lineRule="auto"/>
              <w:ind w:firstLine="0" w:firstLineChars="0"/>
              <w:jc w:val="center"/>
              <w:rPr>
                <w:rFonts w:cs="Times New Roman"/>
                <w:sz w:val="21"/>
                <w:szCs w:val="21"/>
              </w:rPr>
            </w:pPr>
            <w:r>
              <w:rPr>
                <w:rFonts w:cs="Times New Roman"/>
                <w:sz w:val="21"/>
                <w:szCs w:val="21"/>
              </w:rPr>
              <w:t>4</w:t>
            </w:r>
            <w:r>
              <w:rPr>
                <w:rFonts w:hint="eastAsia" w:cs="Times New Roman"/>
                <w:sz w:val="21"/>
                <w:szCs w:val="21"/>
              </w:rPr>
              <w:t>b</w:t>
            </w:r>
            <w:r>
              <w:rPr>
                <w:rFonts w:cs="Times New Roman"/>
                <w:sz w:val="21"/>
                <w:szCs w:val="21"/>
              </w:rPr>
              <w:t>类</w:t>
            </w:r>
          </w:p>
        </w:tc>
        <w:tc>
          <w:tcPr>
            <w:tcW w:w="1638" w:type="dxa"/>
            <w:vMerge w:val="continue"/>
            <w:vAlign w:val="center"/>
          </w:tcPr>
          <w:p w14:paraId="17FCF809">
            <w:pPr>
              <w:spacing w:line="240" w:lineRule="auto"/>
              <w:ind w:firstLine="0" w:firstLineChars="0"/>
              <w:jc w:val="center"/>
              <w:rPr>
                <w:rFonts w:cs="Times New Roman"/>
                <w:sz w:val="21"/>
                <w:szCs w:val="21"/>
              </w:rPr>
            </w:pPr>
          </w:p>
        </w:tc>
      </w:tr>
    </w:tbl>
    <w:p w14:paraId="252D0BC9">
      <w:pPr>
        <w:pStyle w:val="3"/>
        <w:ind w:firstLine="0" w:firstLineChars="0"/>
        <w:rPr>
          <w:rFonts w:cs="Times New Roman"/>
        </w:rPr>
      </w:pPr>
      <w:bookmarkStart w:id="20" w:name="_Toc217294033"/>
      <w:r>
        <w:rPr>
          <w:rFonts w:cs="Times New Roman"/>
        </w:rPr>
        <w:t>1.7</w:t>
      </w:r>
      <w:r>
        <w:rPr>
          <w:rFonts w:hint="eastAsia" w:cs="Times New Roman"/>
        </w:rPr>
        <w:t>评价标准</w:t>
      </w:r>
      <w:bookmarkEnd w:id="20"/>
    </w:p>
    <w:p w14:paraId="4C29E786">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1.7.1</w:t>
      </w:r>
      <w:r>
        <w:rPr>
          <w:rFonts w:hint="eastAsia" w:eastAsia="方正楷体_GBK" w:cs="Times New Roman"/>
          <w:b/>
          <w:bCs/>
          <w:szCs w:val="28"/>
          <w14:ligatures w14:val="none"/>
        </w:rPr>
        <w:t>环境质量标准</w:t>
      </w:r>
    </w:p>
    <w:p w14:paraId="7EA3E0C9">
      <w:pPr>
        <w:ind w:firstLine="482"/>
        <w:outlineLvl w:val="3"/>
        <w:rPr>
          <w:b/>
          <w:bCs/>
        </w:rPr>
      </w:pPr>
      <w:r>
        <w:rPr>
          <w:rFonts w:hint="eastAsia"/>
          <w:b/>
          <w:bCs/>
        </w:rPr>
        <w:t>（1）大气环境质量标准</w:t>
      </w:r>
    </w:p>
    <w:p w14:paraId="6FF36871">
      <w:pPr>
        <w:ind w:firstLine="480"/>
      </w:pPr>
      <w:r>
        <w:rPr>
          <w:rFonts w:hint="eastAsia"/>
        </w:rPr>
        <w:t>度假区范围内的涉及一类环境空气质量功能区及一类环境空气质量功能区和二类环境空气质量功能区之间设置300米缓冲区的大气常规6项污染物执行《环境空气质量标准》（G</w:t>
      </w:r>
      <w:r>
        <w:t>B 3095-2012</w:t>
      </w:r>
      <w:r>
        <w:rPr>
          <w:rFonts w:hint="eastAsia"/>
        </w:rPr>
        <w:t>）中一级标准，其余区域执行《环境空气质量标准》（GB 3095-2012）中二级标准。NH</w:t>
      </w:r>
      <w:r>
        <w:rPr>
          <w:rFonts w:hint="eastAsia"/>
          <w:vertAlign w:val="subscript"/>
        </w:rPr>
        <w:t>3</w:t>
      </w:r>
      <w:r>
        <w:rPr>
          <w:rFonts w:hint="eastAsia"/>
        </w:rPr>
        <w:t>、H</w:t>
      </w:r>
      <w:r>
        <w:rPr>
          <w:rFonts w:hint="eastAsia"/>
          <w:vertAlign w:val="subscript"/>
        </w:rPr>
        <w:t>2</w:t>
      </w:r>
      <w:r>
        <w:rPr>
          <w:rFonts w:hint="eastAsia"/>
        </w:rPr>
        <w:t>S执行《环境影响评价技术导则 大气环境》（H</w:t>
      </w:r>
      <w:r>
        <w:t>J 2.2-2018</w:t>
      </w:r>
      <w:r>
        <w:rPr>
          <w:rFonts w:hint="eastAsia"/>
        </w:rPr>
        <w:t>）附录D表D.</w:t>
      </w:r>
      <w:r>
        <w:t>1</w:t>
      </w:r>
      <w:r>
        <w:rPr>
          <w:rFonts w:hint="eastAsia"/>
        </w:rPr>
        <w:t>其他污染物空气质量浓度参考限值；非甲烷总烃参考《大气污染物综合排放标准详解》选用标准，具体指标值见表1</w:t>
      </w:r>
      <w:r>
        <w:t>.7</w:t>
      </w:r>
      <w:r>
        <w:rPr>
          <w:rFonts w:hint="eastAsia"/>
        </w:rPr>
        <w:t>-</w:t>
      </w:r>
      <w:r>
        <w:t>1</w:t>
      </w:r>
      <w:r>
        <w:rPr>
          <w:rFonts w:hint="eastAsia"/>
        </w:rPr>
        <w:t>。</w:t>
      </w:r>
    </w:p>
    <w:p w14:paraId="67FAA6C4">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 xml:space="preserve">表1.7-1  </w:t>
      </w:r>
      <w:r>
        <w:rPr>
          <w:rFonts w:hint="eastAsia" w:cs="Times New Roman"/>
          <w:b/>
          <w:szCs w:val="24"/>
          <w14:ligatures w14:val="none"/>
        </w:rPr>
        <w:t>环境空气质量标准表</w:t>
      </w:r>
    </w:p>
    <w:tbl>
      <w:tblPr>
        <w:tblStyle w:val="25"/>
        <w:tblW w:w="50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2252"/>
        <w:gridCol w:w="1228"/>
        <w:gridCol w:w="1517"/>
        <w:gridCol w:w="1189"/>
        <w:gridCol w:w="1496"/>
      </w:tblGrid>
      <w:tr w14:paraId="6C821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27" w:type="pct"/>
            <w:vMerge w:val="restart"/>
            <w:vAlign w:val="center"/>
          </w:tcPr>
          <w:p w14:paraId="15DCA6D1">
            <w:pPr>
              <w:pStyle w:val="41"/>
              <w:rPr>
                <w:rFonts w:ascii="Times New Roman"/>
                <w:b/>
                <w:szCs w:val="21"/>
              </w:rPr>
            </w:pPr>
            <w:r>
              <w:rPr>
                <w:rFonts w:hint="eastAsia" w:ascii="Times New Roman"/>
                <w:b/>
                <w:szCs w:val="21"/>
              </w:rPr>
              <w:t>污染物</w:t>
            </w:r>
          </w:p>
        </w:tc>
        <w:tc>
          <w:tcPr>
            <w:tcW w:w="4472" w:type="pct"/>
            <w:gridSpan w:val="5"/>
            <w:vAlign w:val="center"/>
          </w:tcPr>
          <w:p w14:paraId="4CF84BD5">
            <w:pPr>
              <w:pStyle w:val="41"/>
              <w:rPr>
                <w:rFonts w:ascii="Times New Roman"/>
                <w:b/>
                <w:szCs w:val="21"/>
              </w:rPr>
            </w:pPr>
            <w:r>
              <w:rPr>
                <w:rFonts w:hint="eastAsia" w:ascii="Times New Roman"/>
                <w:b/>
                <w:szCs w:val="21"/>
              </w:rPr>
              <w:t>环境质量标准</w:t>
            </w:r>
          </w:p>
        </w:tc>
      </w:tr>
      <w:tr w14:paraId="432A6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27" w:type="pct"/>
            <w:vMerge w:val="continue"/>
            <w:vAlign w:val="center"/>
          </w:tcPr>
          <w:p w14:paraId="55724CC9">
            <w:pPr>
              <w:pStyle w:val="41"/>
              <w:rPr>
                <w:rFonts w:ascii="Times New Roman"/>
                <w:b/>
                <w:szCs w:val="21"/>
              </w:rPr>
            </w:pPr>
          </w:p>
        </w:tc>
        <w:tc>
          <w:tcPr>
            <w:tcW w:w="1311" w:type="pct"/>
            <w:vMerge w:val="restart"/>
            <w:vAlign w:val="center"/>
          </w:tcPr>
          <w:p w14:paraId="1CF8B023">
            <w:pPr>
              <w:pStyle w:val="41"/>
              <w:rPr>
                <w:rFonts w:ascii="Times New Roman"/>
                <w:b/>
                <w:szCs w:val="21"/>
              </w:rPr>
            </w:pPr>
            <w:r>
              <w:rPr>
                <w:rFonts w:hint="eastAsia" w:ascii="Times New Roman"/>
                <w:b/>
                <w:szCs w:val="21"/>
              </w:rPr>
              <w:t>标准来源</w:t>
            </w:r>
          </w:p>
        </w:tc>
        <w:tc>
          <w:tcPr>
            <w:tcW w:w="3161" w:type="pct"/>
            <w:gridSpan w:val="4"/>
            <w:vAlign w:val="center"/>
          </w:tcPr>
          <w:p w14:paraId="0B89DE86">
            <w:pPr>
              <w:pStyle w:val="41"/>
              <w:rPr>
                <w:rFonts w:ascii="Times New Roman"/>
                <w:b/>
                <w:szCs w:val="21"/>
              </w:rPr>
            </w:pPr>
            <w:r>
              <w:rPr>
                <w:rFonts w:hint="eastAsia" w:ascii="Times New Roman"/>
                <w:b/>
                <w:szCs w:val="21"/>
              </w:rPr>
              <w:t>浓度限值（μg/m</w:t>
            </w:r>
            <w:r>
              <w:rPr>
                <w:rFonts w:hint="eastAsia" w:ascii="Times New Roman"/>
                <w:b/>
                <w:szCs w:val="21"/>
                <w:vertAlign w:val="superscript"/>
              </w:rPr>
              <w:t>3</w:t>
            </w:r>
            <w:r>
              <w:rPr>
                <w:rFonts w:hint="eastAsia" w:ascii="Times New Roman"/>
                <w:b/>
                <w:szCs w:val="21"/>
              </w:rPr>
              <w:t>）</w:t>
            </w:r>
          </w:p>
        </w:tc>
      </w:tr>
      <w:tr w14:paraId="548E2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7" w:type="pct"/>
            <w:vMerge w:val="continue"/>
            <w:vAlign w:val="center"/>
          </w:tcPr>
          <w:p w14:paraId="4D2A0DB4">
            <w:pPr>
              <w:pStyle w:val="41"/>
              <w:rPr>
                <w:rFonts w:ascii="Times New Roman"/>
                <w:szCs w:val="21"/>
              </w:rPr>
            </w:pPr>
          </w:p>
        </w:tc>
        <w:tc>
          <w:tcPr>
            <w:tcW w:w="1311" w:type="pct"/>
            <w:vMerge w:val="continue"/>
            <w:vAlign w:val="center"/>
          </w:tcPr>
          <w:p w14:paraId="615C949F">
            <w:pPr>
              <w:pStyle w:val="41"/>
              <w:rPr>
                <w:rFonts w:ascii="Times New Roman"/>
                <w:szCs w:val="21"/>
              </w:rPr>
            </w:pPr>
          </w:p>
        </w:tc>
        <w:tc>
          <w:tcPr>
            <w:tcW w:w="1598" w:type="pct"/>
            <w:gridSpan w:val="2"/>
            <w:vAlign w:val="center"/>
          </w:tcPr>
          <w:p w14:paraId="37BE769F">
            <w:pPr>
              <w:pStyle w:val="40"/>
              <w:spacing w:line="240" w:lineRule="auto"/>
              <w:rPr>
                <w:rFonts w:ascii="Times New Roman" w:hAnsi="Times New Roman"/>
                <w:b/>
                <w:bCs/>
              </w:rPr>
            </w:pPr>
            <w:r>
              <w:rPr>
                <w:rFonts w:hint="eastAsia" w:ascii="Times New Roman" w:hAnsi="Times New Roman"/>
                <w:b/>
                <w:bCs/>
              </w:rPr>
              <w:t>一级</w:t>
            </w:r>
          </w:p>
        </w:tc>
        <w:tc>
          <w:tcPr>
            <w:tcW w:w="1562" w:type="pct"/>
            <w:gridSpan w:val="2"/>
            <w:vAlign w:val="center"/>
          </w:tcPr>
          <w:p w14:paraId="20D989F4">
            <w:pPr>
              <w:pStyle w:val="40"/>
              <w:spacing w:line="240" w:lineRule="auto"/>
              <w:rPr>
                <w:rFonts w:ascii="Times New Roman" w:hAnsi="Times New Roman"/>
                <w:b/>
                <w:bCs/>
              </w:rPr>
            </w:pPr>
            <w:r>
              <w:rPr>
                <w:rFonts w:hint="eastAsia" w:ascii="Times New Roman" w:hAnsi="Times New Roman"/>
                <w:b/>
                <w:bCs/>
              </w:rPr>
              <w:t>二级</w:t>
            </w:r>
          </w:p>
        </w:tc>
      </w:tr>
      <w:tr w14:paraId="4BC1B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7" w:type="pct"/>
            <w:vAlign w:val="center"/>
          </w:tcPr>
          <w:p w14:paraId="6C8CC131">
            <w:pPr>
              <w:pStyle w:val="41"/>
              <w:rPr>
                <w:rFonts w:ascii="Times New Roman"/>
                <w:szCs w:val="21"/>
              </w:rPr>
            </w:pPr>
            <w:r>
              <w:rPr>
                <w:rFonts w:hint="eastAsia" w:ascii="Times New Roman"/>
                <w:szCs w:val="21"/>
              </w:rPr>
              <w:t>SO</w:t>
            </w:r>
            <w:r>
              <w:rPr>
                <w:rFonts w:hint="eastAsia" w:ascii="Times New Roman"/>
                <w:szCs w:val="21"/>
                <w:vertAlign w:val="subscript"/>
              </w:rPr>
              <w:t>2</w:t>
            </w:r>
          </w:p>
        </w:tc>
        <w:tc>
          <w:tcPr>
            <w:tcW w:w="1311" w:type="pct"/>
            <w:vMerge w:val="restart"/>
            <w:vAlign w:val="center"/>
          </w:tcPr>
          <w:p w14:paraId="6EDC6125">
            <w:pPr>
              <w:pStyle w:val="41"/>
              <w:rPr>
                <w:rFonts w:ascii="Times New Roman"/>
                <w:szCs w:val="21"/>
              </w:rPr>
            </w:pPr>
            <w:r>
              <w:rPr>
                <w:rFonts w:hint="eastAsia" w:ascii="Times New Roman"/>
                <w:szCs w:val="21"/>
              </w:rPr>
              <w:t>《环境空气质量标准》（GB 3095-2012）</w:t>
            </w:r>
          </w:p>
        </w:tc>
        <w:tc>
          <w:tcPr>
            <w:tcW w:w="715" w:type="pct"/>
            <w:vAlign w:val="center"/>
          </w:tcPr>
          <w:p w14:paraId="1787BB76">
            <w:pPr>
              <w:pStyle w:val="40"/>
              <w:spacing w:line="240" w:lineRule="auto"/>
              <w:rPr>
                <w:rFonts w:ascii="Times New Roman" w:hAnsi="Times New Roman"/>
              </w:rPr>
            </w:pPr>
            <w:r>
              <w:rPr>
                <w:rFonts w:hint="eastAsia" w:ascii="Times New Roman" w:hAnsi="Times New Roman"/>
              </w:rPr>
              <w:t>年平均：20</w:t>
            </w:r>
          </w:p>
        </w:tc>
        <w:tc>
          <w:tcPr>
            <w:tcW w:w="883" w:type="pct"/>
            <w:vAlign w:val="center"/>
          </w:tcPr>
          <w:p w14:paraId="4D2F4A73">
            <w:pPr>
              <w:pStyle w:val="40"/>
              <w:spacing w:line="240" w:lineRule="auto"/>
              <w:rPr>
                <w:rFonts w:ascii="Times New Roman" w:hAnsi="Times New Roman"/>
              </w:rPr>
            </w:pPr>
            <w:r>
              <w:rPr>
                <w:rFonts w:hint="eastAsia" w:ascii="Times New Roman" w:hAnsi="Times New Roman"/>
              </w:rPr>
              <w:t>24小时平均：50</w:t>
            </w:r>
          </w:p>
        </w:tc>
        <w:tc>
          <w:tcPr>
            <w:tcW w:w="692" w:type="pct"/>
            <w:vAlign w:val="center"/>
          </w:tcPr>
          <w:p w14:paraId="2A47FA8A">
            <w:pPr>
              <w:pStyle w:val="40"/>
              <w:spacing w:line="240" w:lineRule="auto"/>
              <w:rPr>
                <w:rFonts w:ascii="Times New Roman" w:hAnsi="Times New Roman"/>
              </w:rPr>
            </w:pPr>
            <w:r>
              <w:rPr>
                <w:rFonts w:hint="eastAsia" w:ascii="Times New Roman" w:hAnsi="Times New Roman"/>
              </w:rPr>
              <w:t>年平均：60</w:t>
            </w:r>
          </w:p>
        </w:tc>
        <w:tc>
          <w:tcPr>
            <w:tcW w:w="869" w:type="pct"/>
            <w:vAlign w:val="center"/>
          </w:tcPr>
          <w:p w14:paraId="26635507">
            <w:pPr>
              <w:pStyle w:val="40"/>
              <w:spacing w:line="240" w:lineRule="auto"/>
              <w:rPr>
                <w:rFonts w:ascii="Times New Roman" w:hAnsi="Times New Roman"/>
              </w:rPr>
            </w:pPr>
            <w:r>
              <w:rPr>
                <w:rFonts w:hint="eastAsia" w:ascii="Times New Roman" w:hAnsi="Times New Roman"/>
              </w:rPr>
              <w:t>24小时平均：150</w:t>
            </w:r>
          </w:p>
        </w:tc>
      </w:tr>
      <w:tr w14:paraId="0D0E3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7" w:type="pct"/>
            <w:vAlign w:val="center"/>
          </w:tcPr>
          <w:p w14:paraId="62E2B998">
            <w:pPr>
              <w:pStyle w:val="41"/>
              <w:rPr>
                <w:rFonts w:ascii="Times New Roman"/>
                <w:szCs w:val="21"/>
              </w:rPr>
            </w:pPr>
            <w:r>
              <w:rPr>
                <w:rFonts w:hint="eastAsia" w:ascii="Times New Roman"/>
                <w:szCs w:val="21"/>
              </w:rPr>
              <w:t>NO</w:t>
            </w:r>
            <w:r>
              <w:rPr>
                <w:rFonts w:hint="eastAsia" w:ascii="Times New Roman"/>
                <w:szCs w:val="21"/>
                <w:vertAlign w:val="subscript"/>
              </w:rPr>
              <w:t>2</w:t>
            </w:r>
          </w:p>
        </w:tc>
        <w:tc>
          <w:tcPr>
            <w:tcW w:w="1311" w:type="pct"/>
            <w:vMerge w:val="continue"/>
            <w:vAlign w:val="center"/>
          </w:tcPr>
          <w:p w14:paraId="2EF6D815">
            <w:pPr>
              <w:pStyle w:val="41"/>
              <w:rPr>
                <w:rFonts w:ascii="Times New Roman"/>
                <w:szCs w:val="21"/>
              </w:rPr>
            </w:pPr>
          </w:p>
        </w:tc>
        <w:tc>
          <w:tcPr>
            <w:tcW w:w="715" w:type="pct"/>
            <w:vAlign w:val="center"/>
          </w:tcPr>
          <w:p w14:paraId="4ECC6BA1">
            <w:pPr>
              <w:pStyle w:val="40"/>
              <w:spacing w:line="240" w:lineRule="auto"/>
              <w:rPr>
                <w:rFonts w:ascii="Times New Roman" w:hAnsi="Times New Roman"/>
              </w:rPr>
            </w:pPr>
            <w:r>
              <w:rPr>
                <w:rFonts w:hint="eastAsia" w:ascii="Times New Roman" w:hAnsi="Times New Roman"/>
              </w:rPr>
              <w:t>年平均：40</w:t>
            </w:r>
          </w:p>
        </w:tc>
        <w:tc>
          <w:tcPr>
            <w:tcW w:w="883" w:type="pct"/>
            <w:vAlign w:val="center"/>
          </w:tcPr>
          <w:p w14:paraId="1349DCB4">
            <w:pPr>
              <w:pStyle w:val="40"/>
              <w:spacing w:line="240" w:lineRule="auto"/>
              <w:rPr>
                <w:rFonts w:ascii="Times New Roman" w:hAnsi="Times New Roman"/>
              </w:rPr>
            </w:pPr>
            <w:r>
              <w:rPr>
                <w:rFonts w:hint="eastAsia" w:ascii="Times New Roman" w:hAnsi="Times New Roman"/>
              </w:rPr>
              <w:t>24小时平均：80</w:t>
            </w:r>
          </w:p>
        </w:tc>
        <w:tc>
          <w:tcPr>
            <w:tcW w:w="692" w:type="pct"/>
            <w:vAlign w:val="center"/>
          </w:tcPr>
          <w:p w14:paraId="13A4975F">
            <w:pPr>
              <w:pStyle w:val="40"/>
              <w:spacing w:line="240" w:lineRule="auto"/>
              <w:rPr>
                <w:rFonts w:ascii="Times New Roman" w:hAnsi="Times New Roman"/>
              </w:rPr>
            </w:pPr>
            <w:r>
              <w:rPr>
                <w:rFonts w:hint="eastAsia" w:ascii="Times New Roman" w:hAnsi="Times New Roman"/>
              </w:rPr>
              <w:t>年平均：40</w:t>
            </w:r>
          </w:p>
        </w:tc>
        <w:tc>
          <w:tcPr>
            <w:tcW w:w="869" w:type="pct"/>
            <w:vAlign w:val="center"/>
          </w:tcPr>
          <w:p w14:paraId="2C4FD0E9">
            <w:pPr>
              <w:pStyle w:val="40"/>
              <w:spacing w:line="240" w:lineRule="auto"/>
              <w:rPr>
                <w:rFonts w:ascii="Times New Roman" w:hAnsi="Times New Roman"/>
              </w:rPr>
            </w:pPr>
            <w:r>
              <w:rPr>
                <w:rFonts w:hint="eastAsia" w:ascii="Times New Roman" w:hAnsi="Times New Roman"/>
              </w:rPr>
              <w:t>24小时平均：80</w:t>
            </w:r>
          </w:p>
        </w:tc>
      </w:tr>
      <w:tr w14:paraId="4FAA2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527" w:type="pct"/>
            <w:vAlign w:val="center"/>
          </w:tcPr>
          <w:p w14:paraId="74D563E1">
            <w:pPr>
              <w:pStyle w:val="41"/>
              <w:rPr>
                <w:rFonts w:ascii="Times New Roman"/>
                <w:szCs w:val="21"/>
              </w:rPr>
            </w:pPr>
            <w:r>
              <w:rPr>
                <w:rFonts w:hint="eastAsia" w:ascii="Times New Roman"/>
                <w:szCs w:val="21"/>
              </w:rPr>
              <w:t>CO</w:t>
            </w:r>
          </w:p>
        </w:tc>
        <w:tc>
          <w:tcPr>
            <w:tcW w:w="1311" w:type="pct"/>
            <w:vMerge w:val="continue"/>
            <w:vAlign w:val="center"/>
          </w:tcPr>
          <w:p w14:paraId="39659A90">
            <w:pPr>
              <w:pStyle w:val="41"/>
              <w:rPr>
                <w:rFonts w:ascii="Times New Roman"/>
                <w:szCs w:val="21"/>
              </w:rPr>
            </w:pPr>
          </w:p>
        </w:tc>
        <w:tc>
          <w:tcPr>
            <w:tcW w:w="1598" w:type="pct"/>
            <w:gridSpan w:val="2"/>
            <w:vAlign w:val="center"/>
          </w:tcPr>
          <w:p w14:paraId="09E7487A">
            <w:pPr>
              <w:pStyle w:val="40"/>
              <w:spacing w:line="240" w:lineRule="auto"/>
              <w:rPr>
                <w:rFonts w:ascii="Times New Roman" w:hAnsi="Times New Roman"/>
              </w:rPr>
            </w:pPr>
            <w:r>
              <w:rPr>
                <w:rFonts w:hint="eastAsia" w:ascii="Times New Roman" w:hAnsi="Times New Roman"/>
              </w:rPr>
              <w:t>24小时平均：4000</w:t>
            </w:r>
          </w:p>
        </w:tc>
        <w:tc>
          <w:tcPr>
            <w:tcW w:w="1562" w:type="pct"/>
            <w:gridSpan w:val="2"/>
            <w:vAlign w:val="center"/>
          </w:tcPr>
          <w:p w14:paraId="08D432B6">
            <w:pPr>
              <w:pStyle w:val="40"/>
              <w:spacing w:line="240" w:lineRule="auto"/>
              <w:rPr>
                <w:rFonts w:ascii="Times New Roman" w:hAnsi="Times New Roman"/>
              </w:rPr>
            </w:pPr>
            <w:r>
              <w:rPr>
                <w:rFonts w:hint="eastAsia" w:ascii="Times New Roman" w:hAnsi="Times New Roman"/>
              </w:rPr>
              <w:t>24小时平均：4000</w:t>
            </w:r>
          </w:p>
        </w:tc>
      </w:tr>
      <w:tr w14:paraId="3BBDA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527" w:type="pct"/>
            <w:vAlign w:val="center"/>
          </w:tcPr>
          <w:p w14:paraId="4CC2944A">
            <w:pPr>
              <w:pStyle w:val="41"/>
              <w:rPr>
                <w:rFonts w:ascii="Times New Roman"/>
                <w:szCs w:val="21"/>
              </w:rPr>
            </w:pPr>
            <w:r>
              <w:rPr>
                <w:rFonts w:hint="eastAsia" w:ascii="Times New Roman"/>
                <w:szCs w:val="21"/>
              </w:rPr>
              <w:t>O</w:t>
            </w:r>
            <w:r>
              <w:rPr>
                <w:rFonts w:hint="eastAsia" w:ascii="Times New Roman"/>
                <w:szCs w:val="21"/>
                <w:vertAlign w:val="subscript"/>
              </w:rPr>
              <w:t>3</w:t>
            </w:r>
          </w:p>
        </w:tc>
        <w:tc>
          <w:tcPr>
            <w:tcW w:w="1311" w:type="pct"/>
            <w:vMerge w:val="continue"/>
            <w:vAlign w:val="center"/>
          </w:tcPr>
          <w:p w14:paraId="5FBFA6EF">
            <w:pPr>
              <w:pStyle w:val="41"/>
              <w:rPr>
                <w:rFonts w:ascii="Times New Roman"/>
                <w:szCs w:val="21"/>
              </w:rPr>
            </w:pPr>
          </w:p>
        </w:tc>
        <w:tc>
          <w:tcPr>
            <w:tcW w:w="1598" w:type="pct"/>
            <w:gridSpan w:val="2"/>
            <w:vAlign w:val="center"/>
          </w:tcPr>
          <w:p w14:paraId="567406AC">
            <w:pPr>
              <w:pStyle w:val="40"/>
              <w:spacing w:line="240" w:lineRule="auto"/>
              <w:rPr>
                <w:rFonts w:ascii="Times New Roman" w:hAnsi="Times New Roman"/>
              </w:rPr>
            </w:pPr>
            <w:r>
              <w:rPr>
                <w:rFonts w:hint="eastAsia" w:ascii="Times New Roman" w:hAnsi="Times New Roman"/>
              </w:rPr>
              <w:t>日最大8小时平均：100</w:t>
            </w:r>
          </w:p>
        </w:tc>
        <w:tc>
          <w:tcPr>
            <w:tcW w:w="1562" w:type="pct"/>
            <w:gridSpan w:val="2"/>
            <w:vAlign w:val="center"/>
          </w:tcPr>
          <w:p w14:paraId="3C30EB3F">
            <w:pPr>
              <w:pStyle w:val="40"/>
              <w:spacing w:line="240" w:lineRule="auto"/>
              <w:rPr>
                <w:rFonts w:ascii="Times New Roman" w:hAnsi="Times New Roman"/>
              </w:rPr>
            </w:pPr>
            <w:r>
              <w:rPr>
                <w:rFonts w:hint="eastAsia" w:ascii="Times New Roman" w:hAnsi="Times New Roman"/>
              </w:rPr>
              <w:t>日最大8小时平均：160</w:t>
            </w:r>
          </w:p>
        </w:tc>
      </w:tr>
      <w:tr w14:paraId="0801B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7" w:type="pct"/>
            <w:vAlign w:val="center"/>
          </w:tcPr>
          <w:p w14:paraId="75927CD6">
            <w:pPr>
              <w:pStyle w:val="41"/>
              <w:rPr>
                <w:rFonts w:ascii="Times New Roman"/>
                <w:szCs w:val="21"/>
              </w:rPr>
            </w:pPr>
            <w:r>
              <w:rPr>
                <w:rFonts w:hint="eastAsia" w:ascii="Times New Roman"/>
                <w:szCs w:val="21"/>
              </w:rPr>
              <w:t>PM</w:t>
            </w:r>
            <w:r>
              <w:rPr>
                <w:rFonts w:hint="eastAsia" w:ascii="Times New Roman"/>
                <w:szCs w:val="21"/>
                <w:vertAlign w:val="subscript"/>
              </w:rPr>
              <w:t>10</w:t>
            </w:r>
          </w:p>
        </w:tc>
        <w:tc>
          <w:tcPr>
            <w:tcW w:w="1311" w:type="pct"/>
            <w:vMerge w:val="continue"/>
            <w:vAlign w:val="center"/>
          </w:tcPr>
          <w:p w14:paraId="0FCC097E">
            <w:pPr>
              <w:pStyle w:val="41"/>
              <w:rPr>
                <w:rFonts w:ascii="Times New Roman"/>
                <w:szCs w:val="21"/>
              </w:rPr>
            </w:pPr>
          </w:p>
        </w:tc>
        <w:tc>
          <w:tcPr>
            <w:tcW w:w="715" w:type="pct"/>
            <w:vAlign w:val="center"/>
          </w:tcPr>
          <w:p w14:paraId="2194E20B">
            <w:pPr>
              <w:pStyle w:val="40"/>
              <w:spacing w:line="240" w:lineRule="auto"/>
              <w:rPr>
                <w:rFonts w:ascii="Times New Roman" w:hAnsi="Times New Roman"/>
              </w:rPr>
            </w:pPr>
            <w:r>
              <w:rPr>
                <w:rFonts w:hint="eastAsia" w:ascii="Times New Roman" w:hAnsi="Times New Roman"/>
              </w:rPr>
              <w:t>年平均：40</w:t>
            </w:r>
          </w:p>
        </w:tc>
        <w:tc>
          <w:tcPr>
            <w:tcW w:w="883" w:type="pct"/>
            <w:vAlign w:val="center"/>
          </w:tcPr>
          <w:p w14:paraId="67B08D78">
            <w:pPr>
              <w:pStyle w:val="40"/>
              <w:spacing w:line="240" w:lineRule="auto"/>
              <w:rPr>
                <w:rFonts w:ascii="Times New Roman" w:hAnsi="Times New Roman"/>
              </w:rPr>
            </w:pPr>
            <w:r>
              <w:rPr>
                <w:rFonts w:hint="eastAsia" w:ascii="Times New Roman" w:hAnsi="Times New Roman"/>
              </w:rPr>
              <w:t>24小时平均：50</w:t>
            </w:r>
          </w:p>
        </w:tc>
        <w:tc>
          <w:tcPr>
            <w:tcW w:w="692" w:type="pct"/>
            <w:vAlign w:val="center"/>
          </w:tcPr>
          <w:p w14:paraId="7B302DC0">
            <w:pPr>
              <w:pStyle w:val="40"/>
              <w:spacing w:line="240" w:lineRule="auto"/>
              <w:rPr>
                <w:rFonts w:ascii="Times New Roman" w:hAnsi="Times New Roman"/>
              </w:rPr>
            </w:pPr>
            <w:r>
              <w:rPr>
                <w:rFonts w:hint="eastAsia" w:ascii="Times New Roman" w:hAnsi="Times New Roman"/>
              </w:rPr>
              <w:t>年平均：70</w:t>
            </w:r>
          </w:p>
        </w:tc>
        <w:tc>
          <w:tcPr>
            <w:tcW w:w="869" w:type="pct"/>
            <w:vAlign w:val="center"/>
          </w:tcPr>
          <w:p w14:paraId="025813F1">
            <w:pPr>
              <w:pStyle w:val="40"/>
              <w:spacing w:line="240" w:lineRule="auto"/>
              <w:rPr>
                <w:rFonts w:ascii="Times New Roman" w:hAnsi="Times New Roman"/>
              </w:rPr>
            </w:pPr>
            <w:r>
              <w:rPr>
                <w:rFonts w:hint="eastAsia" w:ascii="Times New Roman" w:hAnsi="Times New Roman"/>
              </w:rPr>
              <w:t>24小时平均：150</w:t>
            </w:r>
          </w:p>
        </w:tc>
      </w:tr>
      <w:tr w14:paraId="76B61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7" w:type="pct"/>
            <w:vAlign w:val="center"/>
          </w:tcPr>
          <w:p w14:paraId="457C3087">
            <w:pPr>
              <w:pStyle w:val="41"/>
              <w:rPr>
                <w:rFonts w:ascii="Times New Roman"/>
                <w:szCs w:val="21"/>
              </w:rPr>
            </w:pPr>
            <w:r>
              <w:rPr>
                <w:rFonts w:hint="eastAsia" w:ascii="Times New Roman"/>
                <w:szCs w:val="21"/>
              </w:rPr>
              <w:t>PM</w:t>
            </w:r>
            <w:r>
              <w:rPr>
                <w:rFonts w:hint="eastAsia" w:ascii="Times New Roman"/>
                <w:szCs w:val="21"/>
                <w:vertAlign w:val="subscript"/>
              </w:rPr>
              <w:t>2.5</w:t>
            </w:r>
          </w:p>
        </w:tc>
        <w:tc>
          <w:tcPr>
            <w:tcW w:w="1311" w:type="pct"/>
            <w:vMerge w:val="continue"/>
            <w:vAlign w:val="center"/>
          </w:tcPr>
          <w:p w14:paraId="485E7F8D">
            <w:pPr>
              <w:pStyle w:val="41"/>
              <w:rPr>
                <w:rFonts w:ascii="Times New Roman"/>
                <w:szCs w:val="21"/>
              </w:rPr>
            </w:pPr>
          </w:p>
        </w:tc>
        <w:tc>
          <w:tcPr>
            <w:tcW w:w="715" w:type="pct"/>
            <w:vAlign w:val="center"/>
          </w:tcPr>
          <w:p w14:paraId="6C5030F1">
            <w:pPr>
              <w:pStyle w:val="40"/>
              <w:spacing w:line="240" w:lineRule="auto"/>
              <w:rPr>
                <w:rFonts w:ascii="Times New Roman" w:hAnsi="Times New Roman"/>
              </w:rPr>
            </w:pPr>
            <w:r>
              <w:rPr>
                <w:rFonts w:hint="eastAsia" w:ascii="Times New Roman" w:hAnsi="Times New Roman"/>
              </w:rPr>
              <w:t>年平均：15</w:t>
            </w:r>
          </w:p>
        </w:tc>
        <w:tc>
          <w:tcPr>
            <w:tcW w:w="883" w:type="pct"/>
            <w:vAlign w:val="center"/>
          </w:tcPr>
          <w:p w14:paraId="5B727CE5">
            <w:pPr>
              <w:pStyle w:val="40"/>
              <w:spacing w:line="240" w:lineRule="auto"/>
              <w:rPr>
                <w:rFonts w:ascii="Times New Roman" w:hAnsi="Times New Roman"/>
              </w:rPr>
            </w:pPr>
            <w:r>
              <w:rPr>
                <w:rFonts w:hint="eastAsia" w:ascii="Times New Roman" w:hAnsi="Times New Roman"/>
              </w:rPr>
              <w:t>24小时平均：35</w:t>
            </w:r>
          </w:p>
        </w:tc>
        <w:tc>
          <w:tcPr>
            <w:tcW w:w="692" w:type="pct"/>
            <w:vAlign w:val="center"/>
          </w:tcPr>
          <w:p w14:paraId="522E3408">
            <w:pPr>
              <w:pStyle w:val="40"/>
              <w:spacing w:line="240" w:lineRule="auto"/>
              <w:rPr>
                <w:rFonts w:ascii="Times New Roman" w:hAnsi="Times New Roman"/>
              </w:rPr>
            </w:pPr>
            <w:r>
              <w:rPr>
                <w:rFonts w:hint="eastAsia" w:ascii="Times New Roman" w:hAnsi="Times New Roman"/>
              </w:rPr>
              <w:t>年平均：35</w:t>
            </w:r>
          </w:p>
        </w:tc>
        <w:tc>
          <w:tcPr>
            <w:tcW w:w="869" w:type="pct"/>
            <w:vAlign w:val="center"/>
          </w:tcPr>
          <w:p w14:paraId="518F04C0">
            <w:pPr>
              <w:pStyle w:val="40"/>
              <w:spacing w:line="240" w:lineRule="auto"/>
              <w:rPr>
                <w:rFonts w:ascii="Times New Roman" w:hAnsi="Times New Roman"/>
              </w:rPr>
            </w:pPr>
            <w:r>
              <w:rPr>
                <w:rFonts w:hint="eastAsia" w:ascii="Times New Roman" w:hAnsi="Times New Roman"/>
              </w:rPr>
              <w:t>24小时平均：75</w:t>
            </w:r>
          </w:p>
        </w:tc>
      </w:tr>
      <w:tr w14:paraId="1A69F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7" w:type="pct"/>
            <w:vAlign w:val="center"/>
          </w:tcPr>
          <w:p w14:paraId="43BE06A5">
            <w:pPr>
              <w:pStyle w:val="41"/>
              <w:rPr>
                <w:rFonts w:ascii="Times New Roman"/>
                <w:szCs w:val="21"/>
              </w:rPr>
            </w:pPr>
            <w:r>
              <w:rPr>
                <w:rFonts w:hint="eastAsia" w:ascii="Times New Roman"/>
                <w:szCs w:val="21"/>
              </w:rPr>
              <w:t>TSP</w:t>
            </w:r>
          </w:p>
        </w:tc>
        <w:tc>
          <w:tcPr>
            <w:tcW w:w="1311" w:type="pct"/>
            <w:vMerge w:val="continue"/>
            <w:vAlign w:val="center"/>
          </w:tcPr>
          <w:p w14:paraId="6C11CD78">
            <w:pPr>
              <w:pStyle w:val="41"/>
              <w:rPr>
                <w:rFonts w:ascii="Times New Roman"/>
                <w:szCs w:val="21"/>
              </w:rPr>
            </w:pPr>
          </w:p>
        </w:tc>
        <w:tc>
          <w:tcPr>
            <w:tcW w:w="715" w:type="pct"/>
            <w:vAlign w:val="center"/>
          </w:tcPr>
          <w:p w14:paraId="02045328">
            <w:pPr>
              <w:pStyle w:val="40"/>
              <w:spacing w:line="240" w:lineRule="auto"/>
              <w:rPr>
                <w:rFonts w:ascii="Times New Roman" w:hAnsi="Times New Roman"/>
              </w:rPr>
            </w:pPr>
            <w:r>
              <w:rPr>
                <w:rFonts w:hint="eastAsia" w:ascii="Times New Roman" w:hAnsi="Times New Roman"/>
              </w:rPr>
              <w:t>年平均：80</w:t>
            </w:r>
          </w:p>
        </w:tc>
        <w:tc>
          <w:tcPr>
            <w:tcW w:w="883" w:type="pct"/>
            <w:vAlign w:val="center"/>
          </w:tcPr>
          <w:p w14:paraId="7AF6E1FF">
            <w:pPr>
              <w:pStyle w:val="40"/>
              <w:spacing w:line="240" w:lineRule="auto"/>
              <w:rPr>
                <w:rFonts w:ascii="Times New Roman" w:hAnsi="Times New Roman"/>
              </w:rPr>
            </w:pPr>
            <w:r>
              <w:rPr>
                <w:rFonts w:hint="eastAsia" w:ascii="Times New Roman" w:hAnsi="Times New Roman"/>
              </w:rPr>
              <w:t>24小时平均：120</w:t>
            </w:r>
          </w:p>
        </w:tc>
        <w:tc>
          <w:tcPr>
            <w:tcW w:w="692" w:type="pct"/>
            <w:vAlign w:val="center"/>
          </w:tcPr>
          <w:p w14:paraId="6C48E3E1">
            <w:pPr>
              <w:pStyle w:val="40"/>
              <w:spacing w:line="240" w:lineRule="auto"/>
              <w:rPr>
                <w:rFonts w:ascii="Times New Roman" w:hAnsi="Times New Roman"/>
              </w:rPr>
            </w:pPr>
            <w:r>
              <w:rPr>
                <w:rFonts w:hint="eastAsia" w:ascii="Times New Roman" w:hAnsi="Times New Roman"/>
              </w:rPr>
              <w:t>年平均：200</w:t>
            </w:r>
          </w:p>
        </w:tc>
        <w:tc>
          <w:tcPr>
            <w:tcW w:w="869" w:type="pct"/>
            <w:vAlign w:val="center"/>
          </w:tcPr>
          <w:p w14:paraId="435B2367">
            <w:pPr>
              <w:pStyle w:val="40"/>
              <w:spacing w:line="240" w:lineRule="auto"/>
              <w:rPr>
                <w:rFonts w:ascii="Times New Roman" w:hAnsi="Times New Roman"/>
              </w:rPr>
            </w:pPr>
            <w:r>
              <w:rPr>
                <w:rFonts w:hint="eastAsia" w:ascii="Times New Roman" w:hAnsi="Times New Roman"/>
              </w:rPr>
              <w:t>24小时平均：300</w:t>
            </w:r>
          </w:p>
        </w:tc>
      </w:tr>
      <w:tr w14:paraId="412CD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527" w:type="pct"/>
            <w:vAlign w:val="center"/>
          </w:tcPr>
          <w:p w14:paraId="6E8A81CD">
            <w:pPr>
              <w:pStyle w:val="41"/>
              <w:rPr>
                <w:rFonts w:ascii="Times New Roman"/>
                <w:szCs w:val="21"/>
              </w:rPr>
            </w:pPr>
            <w:r>
              <w:rPr>
                <w:rFonts w:hint="eastAsia" w:ascii="Times New Roman"/>
                <w:szCs w:val="21"/>
              </w:rPr>
              <w:t>H</w:t>
            </w:r>
            <w:r>
              <w:rPr>
                <w:rFonts w:hint="eastAsia" w:ascii="Times New Roman"/>
                <w:szCs w:val="21"/>
                <w:vertAlign w:val="subscript"/>
              </w:rPr>
              <w:t>2</w:t>
            </w:r>
            <w:r>
              <w:rPr>
                <w:rFonts w:hint="eastAsia" w:ascii="Times New Roman"/>
                <w:szCs w:val="21"/>
              </w:rPr>
              <w:t>S</w:t>
            </w:r>
          </w:p>
        </w:tc>
        <w:tc>
          <w:tcPr>
            <w:tcW w:w="1311" w:type="pct"/>
            <w:vMerge w:val="restart"/>
            <w:vAlign w:val="center"/>
          </w:tcPr>
          <w:p w14:paraId="52A298F9">
            <w:pPr>
              <w:pStyle w:val="41"/>
              <w:rPr>
                <w:rFonts w:ascii="Times New Roman"/>
                <w:szCs w:val="21"/>
              </w:rPr>
            </w:pPr>
            <w:r>
              <w:rPr>
                <w:rFonts w:hint="eastAsia" w:ascii="Times New Roman"/>
                <w:szCs w:val="21"/>
              </w:rPr>
              <w:t>《环境影响评价技术导则 大气环境》（HJ 2.2-2018）</w:t>
            </w:r>
          </w:p>
        </w:tc>
        <w:tc>
          <w:tcPr>
            <w:tcW w:w="3161" w:type="pct"/>
            <w:gridSpan w:val="4"/>
            <w:vAlign w:val="center"/>
          </w:tcPr>
          <w:p w14:paraId="42D359E7">
            <w:pPr>
              <w:pStyle w:val="40"/>
              <w:spacing w:line="240" w:lineRule="auto"/>
              <w:rPr>
                <w:rFonts w:ascii="Times New Roman" w:hAnsi="Times New Roman"/>
              </w:rPr>
            </w:pPr>
            <w:r>
              <w:rPr>
                <w:rFonts w:hint="eastAsia" w:ascii="Times New Roman" w:hAnsi="Times New Roman"/>
              </w:rPr>
              <w:t>1h平均：10</w:t>
            </w:r>
          </w:p>
        </w:tc>
      </w:tr>
      <w:tr w14:paraId="66287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527" w:type="pct"/>
            <w:vAlign w:val="center"/>
          </w:tcPr>
          <w:p w14:paraId="714482CA">
            <w:pPr>
              <w:pStyle w:val="41"/>
              <w:rPr>
                <w:rFonts w:ascii="Times New Roman"/>
                <w:szCs w:val="21"/>
              </w:rPr>
            </w:pPr>
            <w:r>
              <w:rPr>
                <w:rFonts w:hint="eastAsia" w:ascii="Times New Roman"/>
                <w:szCs w:val="21"/>
              </w:rPr>
              <w:t>NH</w:t>
            </w:r>
            <w:r>
              <w:rPr>
                <w:rFonts w:hint="eastAsia" w:ascii="Times New Roman"/>
                <w:szCs w:val="21"/>
                <w:vertAlign w:val="subscript"/>
              </w:rPr>
              <w:t>3</w:t>
            </w:r>
          </w:p>
        </w:tc>
        <w:tc>
          <w:tcPr>
            <w:tcW w:w="1311" w:type="pct"/>
            <w:vMerge w:val="continue"/>
            <w:vAlign w:val="center"/>
          </w:tcPr>
          <w:p w14:paraId="6C5A705F">
            <w:pPr>
              <w:pStyle w:val="41"/>
              <w:rPr>
                <w:rFonts w:ascii="Times New Roman"/>
                <w:szCs w:val="21"/>
              </w:rPr>
            </w:pPr>
          </w:p>
        </w:tc>
        <w:tc>
          <w:tcPr>
            <w:tcW w:w="3161" w:type="pct"/>
            <w:gridSpan w:val="4"/>
            <w:vAlign w:val="center"/>
          </w:tcPr>
          <w:p w14:paraId="6495E96A">
            <w:pPr>
              <w:pStyle w:val="40"/>
              <w:spacing w:line="240" w:lineRule="auto"/>
              <w:rPr>
                <w:rFonts w:ascii="Times New Roman" w:hAnsi="Times New Roman"/>
              </w:rPr>
            </w:pPr>
            <w:r>
              <w:rPr>
                <w:rFonts w:hint="eastAsia" w:ascii="Times New Roman" w:hAnsi="Times New Roman"/>
              </w:rPr>
              <w:t>1h平均：200</w:t>
            </w:r>
          </w:p>
        </w:tc>
      </w:tr>
      <w:tr w14:paraId="066DD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7" w:type="pct"/>
            <w:vAlign w:val="center"/>
          </w:tcPr>
          <w:p w14:paraId="3AC0303D">
            <w:pPr>
              <w:pStyle w:val="41"/>
              <w:rPr>
                <w:rFonts w:ascii="Times New Roman"/>
                <w:szCs w:val="21"/>
              </w:rPr>
            </w:pPr>
            <w:r>
              <w:rPr>
                <w:rFonts w:hint="eastAsia" w:ascii="Times New Roman"/>
                <w:szCs w:val="21"/>
              </w:rPr>
              <w:t>非甲烷总烃</w:t>
            </w:r>
          </w:p>
        </w:tc>
        <w:tc>
          <w:tcPr>
            <w:tcW w:w="1311" w:type="pct"/>
            <w:vAlign w:val="center"/>
          </w:tcPr>
          <w:p w14:paraId="7A077424">
            <w:pPr>
              <w:pStyle w:val="41"/>
              <w:rPr>
                <w:rFonts w:ascii="Times New Roman"/>
                <w:szCs w:val="21"/>
              </w:rPr>
            </w:pPr>
            <w:r>
              <w:rPr>
                <w:rFonts w:hint="eastAsia" w:ascii="Times New Roman"/>
                <w:szCs w:val="21"/>
              </w:rPr>
              <w:t>《大气污染物综合排放标准详解》选用标准</w:t>
            </w:r>
          </w:p>
        </w:tc>
        <w:tc>
          <w:tcPr>
            <w:tcW w:w="3161" w:type="pct"/>
            <w:gridSpan w:val="4"/>
            <w:vAlign w:val="center"/>
          </w:tcPr>
          <w:p w14:paraId="0AFF7D12">
            <w:pPr>
              <w:pStyle w:val="40"/>
              <w:spacing w:line="240" w:lineRule="auto"/>
              <w:rPr>
                <w:rFonts w:ascii="Times New Roman" w:hAnsi="Times New Roman"/>
              </w:rPr>
            </w:pPr>
            <w:r>
              <w:rPr>
                <w:rFonts w:hint="eastAsia" w:ascii="Times New Roman" w:hAnsi="Times New Roman"/>
              </w:rPr>
              <w:t>1h平均：2000；24小时平均：1200</w:t>
            </w:r>
          </w:p>
        </w:tc>
      </w:tr>
    </w:tbl>
    <w:p w14:paraId="3EB4123A">
      <w:pPr>
        <w:ind w:firstLine="482"/>
        <w:outlineLvl w:val="3"/>
        <w:rPr>
          <w:b/>
          <w:bCs/>
        </w:rPr>
      </w:pPr>
      <w:r>
        <w:rPr>
          <w:rFonts w:hint="eastAsia"/>
          <w:b/>
          <w:bCs/>
        </w:rPr>
        <w:t>（2）地表水环境质量标准</w:t>
      </w:r>
    </w:p>
    <w:p w14:paraId="1D2C18F5">
      <w:pPr>
        <w:ind w:firstLine="480"/>
      </w:pPr>
      <w:r>
        <w:rPr>
          <w:rFonts w:hint="eastAsia"/>
        </w:rPr>
        <w:t>度假区范围内的河流、湖库等水体均执行《地表水环境质量标准》（GB 3838-2002）</w:t>
      </w:r>
      <w:r>
        <w:rPr>
          <w:rFonts w:cs="Times New Roman"/>
        </w:rPr>
        <w:t>Ⅲ类</w:t>
      </w:r>
      <w:r>
        <w:rPr>
          <w:rFonts w:hint="eastAsia"/>
        </w:rPr>
        <w:t>水质标准，具体指标值见表1</w:t>
      </w:r>
      <w:r>
        <w:t>.7</w:t>
      </w:r>
      <w:r>
        <w:rPr>
          <w:rFonts w:hint="eastAsia"/>
        </w:rPr>
        <w:t>-</w:t>
      </w:r>
      <w:r>
        <w:t>2</w:t>
      </w:r>
      <w:r>
        <w:rPr>
          <w:rFonts w:hint="eastAsia"/>
        </w:rPr>
        <w:t>。</w:t>
      </w:r>
    </w:p>
    <w:p w14:paraId="3FC63955">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 xml:space="preserve">表1.7-2  </w:t>
      </w:r>
      <w:r>
        <w:rPr>
          <w:rFonts w:hint="eastAsia" w:cs="Times New Roman"/>
          <w:b/>
          <w:szCs w:val="24"/>
          <w14:ligatures w14:val="none"/>
        </w:rPr>
        <w:t>地表水环境质量标准表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6"/>
        <w:gridCol w:w="2753"/>
        <w:gridCol w:w="2753"/>
      </w:tblGrid>
      <w:tr w14:paraId="63768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770" w:type="pct"/>
            <w:vAlign w:val="center"/>
          </w:tcPr>
          <w:p w14:paraId="329252EA">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污染物名称</w:t>
            </w:r>
          </w:p>
        </w:tc>
        <w:tc>
          <w:tcPr>
            <w:tcW w:w="1615" w:type="pct"/>
            <w:vAlign w:val="center"/>
          </w:tcPr>
          <w:p w14:paraId="3283971A">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III类标准值（mg/L）</w:t>
            </w:r>
          </w:p>
        </w:tc>
        <w:tc>
          <w:tcPr>
            <w:tcW w:w="1615" w:type="pct"/>
            <w:vAlign w:val="center"/>
          </w:tcPr>
          <w:p w14:paraId="7D488DD8">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标准来源</w:t>
            </w:r>
          </w:p>
        </w:tc>
      </w:tr>
      <w:tr w14:paraId="1F2F0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70" w:type="pct"/>
            <w:vAlign w:val="center"/>
          </w:tcPr>
          <w:p w14:paraId="558BEB5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pH</w:t>
            </w:r>
          </w:p>
        </w:tc>
        <w:tc>
          <w:tcPr>
            <w:tcW w:w="1615" w:type="pct"/>
            <w:vAlign w:val="center"/>
          </w:tcPr>
          <w:p w14:paraId="73D0455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6~9</w:t>
            </w:r>
          </w:p>
        </w:tc>
        <w:tc>
          <w:tcPr>
            <w:tcW w:w="1615" w:type="pct"/>
            <w:vMerge w:val="restart"/>
            <w:vAlign w:val="center"/>
          </w:tcPr>
          <w:p w14:paraId="1801FC0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《地表水环境质量标准》（GB3838-2002）</w:t>
            </w:r>
          </w:p>
        </w:tc>
      </w:tr>
      <w:tr w14:paraId="552A4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70" w:type="pct"/>
            <w:vAlign w:val="center"/>
          </w:tcPr>
          <w:p w14:paraId="69C0AF9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COD</w:t>
            </w:r>
          </w:p>
        </w:tc>
        <w:tc>
          <w:tcPr>
            <w:tcW w:w="1615" w:type="pct"/>
            <w:vAlign w:val="center"/>
          </w:tcPr>
          <w:p w14:paraId="201DA50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≤20</w:t>
            </w:r>
          </w:p>
        </w:tc>
        <w:tc>
          <w:tcPr>
            <w:tcW w:w="1615" w:type="pct"/>
            <w:vMerge w:val="continue"/>
            <w:vAlign w:val="center"/>
          </w:tcPr>
          <w:p w14:paraId="2C51B219">
            <w:pPr>
              <w:spacing w:line="240" w:lineRule="auto"/>
              <w:ind w:firstLine="0" w:firstLineChars="0"/>
              <w:jc w:val="center"/>
              <w:rPr>
                <w:rFonts w:cs="Times New Roman"/>
                <w:sz w:val="21"/>
                <w:szCs w:val="21"/>
                <w14:ligatures w14:val="none"/>
              </w:rPr>
            </w:pPr>
          </w:p>
        </w:tc>
      </w:tr>
      <w:tr w14:paraId="0F003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70" w:type="pct"/>
            <w:vAlign w:val="center"/>
          </w:tcPr>
          <w:p w14:paraId="515069A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高锰酸钾指数</w:t>
            </w:r>
          </w:p>
        </w:tc>
        <w:tc>
          <w:tcPr>
            <w:tcW w:w="1615" w:type="pct"/>
            <w:vAlign w:val="center"/>
          </w:tcPr>
          <w:p w14:paraId="14F2806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≤6</w:t>
            </w:r>
          </w:p>
        </w:tc>
        <w:tc>
          <w:tcPr>
            <w:tcW w:w="1615" w:type="pct"/>
            <w:vMerge w:val="continue"/>
            <w:vAlign w:val="center"/>
          </w:tcPr>
          <w:p w14:paraId="363449CE">
            <w:pPr>
              <w:spacing w:line="240" w:lineRule="auto"/>
              <w:ind w:firstLine="0" w:firstLineChars="0"/>
              <w:jc w:val="center"/>
              <w:rPr>
                <w:rFonts w:cs="Times New Roman"/>
                <w:sz w:val="21"/>
                <w:szCs w:val="21"/>
                <w14:ligatures w14:val="none"/>
              </w:rPr>
            </w:pPr>
          </w:p>
        </w:tc>
      </w:tr>
      <w:tr w14:paraId="4D682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70" w:type="pct"/>
            <w:vAlign w:val="center"/>
          </w:tcPr>
          <w:p w14:paraId="163CB3A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NH</w:t>
            </w:r>
            <w:r>
              <w:rPr>
                <w:rFonts w:hint="eastAsia" w:cs="Times New Roman"/>
                <w:sz w:val="21"/>
                <w:szCs w:val="21"/>
                <w:vertAlign w:val="subscript"/>
                <w14:ligatures w14:val="none"/>
              </w:rPr>
              <w:t>3</w:t>
            </w:r>
            <w:r>
              <w:rPr>
                <w:rFonts w:hint="eastAsia" w:cs="Times New Roman"/>
                <w:sz w:val="21"/>
                <w:szCs w:val="21"/>
                <w14:ligatures w14:val="none"/>
              </w:rPr>
              <w:t>-N</w:t>
            </w:r>
          </w:p>
        </w:tc>
        <w:tc>
          <w:tcPr>
            <w:tcW w:w="1615" w:type="pct"/>
            <w:vAlign w:val="center"/>
          </w:tcPr>
          <w:p w14:paraId="31C5D0F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≤1.0</w:t>
            </w:r>
          </w:p>
        </w:tc>
        <w:tc>
          <w:tcPr>
            <w:tcW w:w="1615" w:type="pct"/>
            <w:vMerge w:val="continue"/>
            <w:vAlign w:val="center"/>
          </w:tcPr>
          <w:p w14:paraId="0CEF24EC">
            <w:pPr>
              <w:spacing w:line="240" w:lineRule="auto"/>
              <w:ind w:firstLine="0" w:firstLineChars="0"/>
              <w:jc w:val="center"/>
              <w:rPr>
                <w:rFonts w:cs="Times New Roman"/>
                <w:sz w:val="21"/>
                <w:szCs w:val="21"/>
                <w14:ligatures w14:val="none"/>
              </w:rPr>
            </w:pPr>
          </w:p>
        </w:tc>
      </w:tr>
      <w:tr w14:paraId="03442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70" w:type="pct"/>
            <w:vAlign w:val="center"/>
          </w:tcPr>
          <w:p w14:paraId="30E988F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TN</w:t>
            </w:r>
          </w:p>
        </w:tc>
        <w:tc>
          <w:tcPr>
            <w:tcW w:w="1615" w:type="pct"/>
            <w:vAlign w:val="center"/>
          </w:tcPr>
          <w:p w14:paraId="0A380FA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≤1.0</w:t>
            </w:r>
          </w:p>
        </w:tc>
        <w:tc>
          <w:tcPr>
            <w:tcW w:w="1615" w:type="pct"/>
            <w:vMerge w:val="continue"/>
            <w:vAlign w:val="center"/>
          </w:tcPr>
          <w:p w14:paraId="23BC20D4">
            <w:pPr>
              <w:spacing w:line="240" w:lineRule="auto"/>
              <w:ind w:firstLine="0" w:firstLineChars="0"/>
              <w:jc w:val="center"/>
              <w:rPr>
                <w:rFonts w:cs="Times New Roman"/>
                <w:sz w:val="21"/>
                <w:szCs w:val="21"/>
                <w14:ligatures w14:val="none"/>
              </w:rPr>
            </w:pPr>
          </w:p>
        </w:tc>
      </w:tr>
      <w:tr w14:paraId="39C87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70" w:type="pct"/>
            <w:vAlign w:val="center"/>
          </w:tcPr>
          <w:p w14:paraId="6855157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TP</w:t>
            </w:r>
          </w:p>
        </w:tc>
        <w:tc>
          <w:tcPr>
            <w:tcW w:w="1615" w:type="pct"/>
            <w:vAlign w:val="center"/>
          </w:tcPr>
          <w:p w14:paraId="23251F38">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≤0.2/（湖、库0.05）</w:t>
            </w:r>
          </w:p>
        </w:tc>
        <w:tc>
          <w:tcPr>
            <w:tcW w:w="1615" w:type="pct"/>
            <w:vMerge w:val="continue"/>
            <w:vAlign w:val="center"/>
          </w:tcPr>
          <w:p w14:paraId="622B7F88">
            <w:pPr>
              <w:spacing w:line="240" w:lineRule="auto"/>
              <w:ind w:firstLine="0" w:firstLineChars="0"/>
              <w:jc w:val="center"/>
              <w:rPr>
                <w:rFonts w:cs="Times New Roman"/>
                <w:sz w:val="21"/>
                <w:szCs w:val="21"/>
                <w14:ligatures w14:val="none"/>
              </w:rPr>
            </w:pPr>
          </w:p>
        </w:tc>
      </w:tr>
      <w:tr w14:paraId="36A95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70" w:type="pct"/>
            <w:vAlign w:val="center"/>
          </w:tcPr>
          <w:p w14:paraId="5B60942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硫化物</w:t>
            </w:r>
          </w:p>
        </w:tc>
        <w:tc>
          <w:tcPr>
            <w:tcW w:w="1615" w:type="pct"/>
            <w:vAlign w:val="center"/>
          </w:tcPr>
          <w:p w14:paraId="2321950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≤0.2</w:t>
            </w:r>
          </w:p>
        </w:tc>
        <w:tc>
          <w:tcPr>
            <w:tcW w:w="1615" w:type="pct"/>
            <w:vMerge w:val="continue"/>
            <w:vAlign w:val="center"/>
          </w:tcPr>
          <w:p w14:paraId="5A602CF3">
            <w:pPr>
              <w:spacing w:line="240" w:lineRule="auto"/>
              <w:ind w:firstLine="0" w:firstLineChars="0"/>
              <w:jc w:val="center"/>
              <w:rPr>
                <w:rFonts w:cs="Times New Roman"/>
                <w:sz w:val="21"/>
                <w:szCs w:val="21"/>
                <w14:ligatures w14:val="none"/>
              </w:rPr>
            </w:pPr>
          </w:p>
        </w:tc>
      </w:tr>
      <w:tr w14:paraId="4471B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70" w:type="pct"/>
            <w:vAlign w:val="center"/>
          </w:tcPr>
          <w:p w14:paraId="18AB527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石油类</w:t>
            </w:r>
          </w:p>
        </w:tc>
        <w:tc>
          <w:tcPr>
            <w:tcW w:w="1615" w:type="pct"/>
            <w:vAlign w:val="center"/>
          </w:tcPr>
          <w:p w14:paraId="7F866AF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≤0.05</w:t>
            </w:r>
          </w:p>
        </w:tc>
        <w:tc>
          <w:tcPr>
            <w:tcW w:w="1615" w:type="pct"/>
            <w:vMerge w:val="continue"/>
            <w:vAlign w:val="center"/>
          </w:tcPr>
          <w:p w14:paraId="62C1EB6E">
            <w:pPr>
              <w:spacing w:line="240" w:lineRule="auto"/>
              <w:ind w:firstLine="0" w:firstLineChars="0"/>
              <w:jc w:val="center"/>
              <w:rPr>
                <w:rFonts w:cs="Times New Roman"/>
                <w:sz w:val="21"/>
                <w:szCs w:val="21"/>
                <w14:ligatures w14:val="none"/>
              </w:rPr>
            </w:pPr>
          </w:p>
        </w:tc>
      </w:tr>
      <w:tr w14:paraId="3C316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70" w:type="pct"/>
            <w:vAlign w:val="center"/>
          </w:tcPr>
          <w:p w14:paraId="5A9C1DD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挥发酚</w:t>
            </w:r>
          </w:p>
        </w:tc>
        <w:tc>
          <w:tcPr>
            <w:tcW w:w="1615" w:type="pct"/>
            <w:vAlign w:val="center"/>
          </w:tcPr>
          <w:p w14:paraId="3231F90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≤0.005</w:t>
            </w:r>
          </w:p>
        </w:tc>
        <w:tc>
          <w:tcPr>
            <w:tcW w:w="1615" w:type="pct"/>
            <w:vAlign w:val="center"/>
          </w:tcPr>
          <w:p w14:paraId="422C652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tbl>
    <w:p w14:paraId="4E11D100">
      <w:pPr>
        <w:ind w:firstLine="482"/>
        <w:outlineLvl w:val="3"/>
        <w:rPr>
          <w:b/>
          <w:bCs/>
        </w:rPr>
      </w:pPr>
      <w:r>
        <w:rPr>
          <w:rFonts w:hint="eastAsia"/>
          <w:b/>
          <w:bCs/>
        </w:rPr>
        <w:t>（3）声环境质量标准</w:t>
      </w:r>
    </w:p>
    <w:p w14:paraId="1C8BD3BB">
      <w:pPr>
        <w:ind w:firstLine="480"/>
      </w:pPr>
      <w:r>
        <w:rPr>
          <w:rFonts w:hint="eastAsia"/>
        </w:rPr>
        <w:t>参照《声环境功能区划分技术规范》（GB/T 15190-2014）、《声环境质量标准》（GB 3096-2008）划定本次度假声环境执行标准，具体指标值见表1</w:t>
      </w:r>
      <w:r>
        <w:t>.7</w:t>
      </w:r>
      <w:r>
        <w:rPr>
          <w:rFonts w:hint="eastAsia"/>
        </w:rPr>
        <w:t>-</w:t>
      </w:r>
      <w:r>
        <w:t>3</w:t>
      </w:r>
      <w:r>
        <w:rPr>
          <w:rFonts w:hint="eastAsia"/>
        </w:rPr>
        <w:t>。</w:t>
      </w:r>
    </w:p>
    <w:p w14:paraId="3B466189">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 xml:space="preserve">表1.7-3  </w:t>
      </w:r>
      <w:r>
        <w:rPr>
          <w:rFonts w:hint="eastAsia" w:cs="Times New Roman"/>
          <w:b/>
          <w:szCs w:val="24"/>
          <w14:ligatures w14:val="none"/>
        </w:rPr>
        <w:t>声环境质量标准表</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66"/>
        <w:gridCol w:w="1568"/>
        <w:gridCol w:w="2695"/>
        <w:gridCol w:w="2693"/>
      </w:tblGrid>
      <w:tr w14:paraId="0DE2D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1839" w:type="pct"/>
            <w:gridSpan w:val="2"/>
            <w:vMerge w:val="restart"/>
            <w:tcBorders>
              <w:top w:val="single" w:color="auto" w:sz="4" w:space="0"/>
              <w:left w:val="single" w:color="auto" w:sz="4" w:space="0"/>
            </w:tcBorders>
            <w:vAlign w:val="center"/>
          </w:tcPr>
          <w:p w14:paraId="16188BE1">
            <w:pPr>
              <w:spacing w:line="240" w:lineRule="auto"/>
              <w:ind w:firstLine="21" w:firstLineChars="10"/>
              <w:jc w:val="center"/>
              <w:rPr>
                <w:rFonts w:cs="Times New Roman"/>
                <w:b/>
                <w:sz w:val="21"/>
                <w:szCs w:val="21"/>
              </w:rPr>
            </w:pPr>
            <w:r>
              <w:rPr>
                <w:rFonts w:hint="eastAsia" w:cs="Times New Roman"/>
                <w:b/>
                <w:sz w:val="21"/>
                <w:szCs w:val="21"/>
              </w:rPr>
              <w:t>功能区类别</w:t>
            </w:r>
          </w:p>
        </w:tc>
        <w:tc>
          <w:tcPr>
            <w:tcW w:w="3161" w:type="pct"/>
            <w:gridSpan w:val="2"/>
            <w:tcBorders>
              <w:top w:val="single" w:color="auto" w:sz="4" w:space="0"/>
              <w:bottom w:val="single" w:color="auto" w:sz="4" w:space="0"/>
              <w:right w:val="single" w:color="auto" w:sz="4" w:space="0"/>
            </w:tcBorders>
            <w:vAlign w:val="center"/>
          </w:tcPr>
          <w:p w14:paraId="46BAF8AD">
            <w:pPr>
              <w:spacing w:line="240" w:lineRule="auto"/>
              <w:ind w:firstLine="0" w:firstLineChars="0"/>
              <w:jc w:val="center"/>
              <w:rPr>
                <w:rFonts w:cs="Times New Roman"/>
                <w:b/>
                <w:sz w:val="21"/>
                <w:szCs w:val="21"/>
              </w:rPr>
            </w:pPr>
            <w:r>
              <w:rPr>
                <w:rFonts w:hint="eastAsia" w:cs="Times New Roman"/>
                <w:b/>
                <w:sz w:val="21"/>
                <w:szCs w:val="21"/>
              </w:rPr>
              <w:t>标准限值 dB（A）</w:t>
            </w:r>
          </w:p>
        </w:tc>
      </w:tr>
      <w:tr w14:paraId="59E19E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1839" w:type="pct"/>
            <w:gridSpan w:val="2"/>
            <w:vMerge w:val="continue"/>
            <w:tcBorders>
              <w:left w:val="single" w:color="auto" w:sz="4" w:space="0"/>
              <w:bottom w:val="single" w:color="auto" w:sz="4" w:space="0"/>
            </w:tcBorders>
            <w:vAlign w:val="center"/>
          </w:tcPr>
          <w:p w14:paraId="529FE1F4">
            <w:pPr>
              <w:spacing w:line="240" w:lineRule="auto"/>
              <w:ind w:firstLine="0" w:firstLineChars="0"/>
              <w:jc w:val="center"/>
              <w:rPr>
                <w:rFonts w:cs="Times New Roman"/>
                <w:b/>
                <w:sz w:val="21"/>
                <w:szCs w:val="21"/>
              </w:rPr>
            </w:pPr>
          </w:p>
        </w:tc>
        <w:tc>
          <w:tcPr>
            <w:tcW w:w="1581" w:type="pct"/>
            <w:tcBorders>
              <w:top w:val="single" w:color="auto" w:sz="4" w:space="0"/>
              <w:bottom w:val="single" w:color="auto" w:sz="4" w:space="0"/>
            </w:tcBorders>
            <w:vAlign w:val="center"/>
          </w:tcPr>
          <w:p w14:paraId="5AAC3DCF">
            <w:pPr>
              <w:spacing w:line="240" w:lineRule="auto"/>
              <w:ind w:firstLine="0" w:firstLineChars="0"/>
              <w:jc w:val="center"/>
              <w:rPr>
                <w:rFonts w:cs="Times New Roman"/>
                <w:b/>
                <w:sz w:val="21"/>
                <w:szCs w:val="21"/>
              </w:rPr>
            </w:pPr>
            <w:r>
              <w:rPr>
                <w:rFonts w:hint="eastAsia" w:cs="Times New Roman"/>
                <w:b/>
                <w:sz w:val="21"/>
                <w:szCs w:val="21"/>
              </w:rPr>
              <w:t>昼间</w:t>
            </w:r>
          </w:p>
        </w:tc>
        <w:tc>
          <w:tcPr>
            <w:tcW w:w="1580" w:type="pct"/>
            <w:tcBorders>
              <w:top w:val="single" w:color="auto" w:sz="4" w:space="0"/>
              <w:bottom w:val="single" w:color="auto" w:sz="4" w:space="0"/>
              <w:right w:val="single" w:color="auto" w:sz="4" w:space="0"/>
            </w:tcBorders>
            <w:vAlign w:val="center"/>
          </w:tcPr>
          <w:p w14:paraId="1CCC04D2">
            <w:pPr>
              <w:spacing w:line="240" w:lineRule="auto"/>
              <w:ind w:firstLine="0" w:firstLineChars="0"/>
              <w:jc w:val="center"/>
              <w:rPr>
                <w:rFonts w:cs="Times New Roman"/>
                <w:b/>
                <w:sz w:val="21"/>
                <w:szCs w:val="21"/>
              </w:rPr>
            </w:pPr>
            <w:r>
              <w:rPr>
                <w:rFonts w:hint="eastAsia" w:cs="Times New Roman"/>
                <w:b/>
                <w:sz w:val="21"/>
                <w:szCs w:val="21"/>
              </w:rPr>
              <w:t>夜间</w:t>
            </w:r>
          </w:p>
        </w:tc>
      </w:tr>
      <w:tr w14:paraId="33C581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839" w:type="pct"/>
            <w:gridSpan w:val="2"/>
            <w:tcBorders>
              <w:top w:val="single" w:color="auto" w:sz="4" w:space="0"/>
              <w:left w:val="single" w:color="auto" w:sz="4" w:space="0"/>
              <w:bottom w:val="single" w:color="auto" w:sz="4" w:space="0"/>
            </w:tcBorders>
            <w:vAlign w:val="center"/>
          </w:tcPr>
          <w:p w14:paraId="3F98756D">
            <w:pPr>
              <w:spacing w:line="240" w:lineRule="auto"/>
              <w:ind w:firstLine="0" w:firstLineChars="0"/>
              <w:jc w:val="center"/>
              <w:rPr>
                <w:rFonts w:cs="Times New Roman"/>
                <w:sz w:val="21"/>
                <w:szCs w:val="21"/>
              </w:rPr>
            </w:pPr>
            <w:r>
              <w:rPr>
                <w:rFonts w:hint="eastAsia" w:cs="Times New Roman"/>
                <w:sz w:val="21"/>
                <w:szCs w:val="21"/>
              </w:rPr>
              <w:t>1类</w:t>
            </w:r>
          </w:p>
        </w:tc>
        <w:tc>
          <w:tcPr>
            <w:tcW w:w="1581" w:type="pct"/>
            <w:tcBorders>
              <w:top w:val="single" w:color="auto" w:sz="4" w:space="0"/>
              <w:bottom w:val="single" w:color="auto" w:sz="4" w:space="0"/>
            </w:tcBorders>
            <w:vAlign w:val="center"/>
          </w:tcPr>
          <w:p w14:paraId="56DDBB13">
            <w:pPr>
              <w:spacing w:line="240" w:lineRule="auto"/>
              <w:ind w:firstLine="0" w:firstLineChars="0"/>
              <w:jc w:val="center"/>
              <w:rPr>
                <w:rFonts w:cs="Times New Roman"/>
                <w:sz w:val="21"/>
                <w:szCs w:val="21"/>
              </w:rPr>
            </w:pPr>
            <w:r>
              <w:rPr>
                <w:rFonts w:hint="eastAsia" w:cs="Times New Roman"/>
                <w:sz w:val="21"/>
                <w:szCs w:val="21"/>
              </w:rPr>
              <w:t>≤55</w:t>
            </w:r>
          </w:p>
        </w:tc>
        <w:tc>
          <w:tcPr>
            <w:tcW w:w="1580" w:type="pct"/>
            <w:tcBorders>
              <w:top w:val="single" w:color="auto" w:sz="4" w:space="0"/>
              <w:bottom w:val="single" w:color="auto" w:sz="4" w:space="0"/>
              <w:right w:val="single" w:color="auto" w:sz="4" w:space="0"/>
            </w:tcBorders>
            <w:vAlign w:val="center"/>
          </w:tcPr>
          <w:p w14:paraId="135EB800">
            <w:pPr>
              <w:spacing w:line="240" w:lineRule="auto"/>
              <w:ind w:firstLine="0" w:firstLineChars="0"/>
              <w:jc w:val="center"/>
              <w:rPr>
                <w:rFonts w:cs="Times New Roman"/>
                <w:sz w:val="21"/>
                <w:szCs w:val="21"/>
              </w:rPr>
            </w:pPr>
            <w:r>
              <w:rPr>
                <w:rFonts w:hint="eastAsia" w:cs="Times New Roman"/>
                <w:sz w:val="21"/>
                <w:szCs w:val="21"/>
              </w:rPr>
              <w:t>≤45</w:t>
            </w:r>
          </w:p>
        </w:tc>
      </w:tr>
      <w:tr w14:paraId="7686D9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839" w:type="pct"/>
            <w:gridSpan w:val="2"/>
            <w:tcBorders>
              <w:top w:val="single" w:color="auto" w:sz="4" w:space="0"/>
              <w:left w:val="single" w:color="auto" w:sz="4" w:space="0"/>
              <w:bottom w:val="single" w:color="auto" w:sz="4" w:space="0"/>
            </w:tcBorders>
            <w:vAlign w:val="center"/>
          </w:tcPr>
          <w:p w14:paraId="3AFDAA95">
            <w:pPr>
              <w:spacing w:line="240" w:lineRule="auto"/>
              <w:ind w:firstLine="0" w:firstLineChars="0"/>
              <w:jc w:val="center"/>
              <w:rPr>
                <w:rFonts w:cs="Times New Roman"/>
                <w:sz w:val="21"/>
                <w:szCs w:val="21"/>
              </w:rPr>
            </w:pPr>
            <w:r>
              <w:rPr>
                <w:rFonts w:hint="eastAsia" w:cs="Times New Roman"/>
                <w:sz w:val="21"/>
                <w:szCs w:val="21"/>
              </w:rPr>
              <w:t>2类</w:t>
            </w:r>
          </w:p>
        </w:tc>
        <w:tc>
          <w:tcPr>
            <w:tcW w:w="1581" w:type="pct"/>
            <w:tcBorders>
              <w:top w:val="single" w:color="auto" w:sz="4" w:space="0"/>
              <w:bottom w:val="single" w:color="auto" w:sz="4" w:space="0"/>
            </w:tcBorders>
            <w:vAlign w:val="center"/>
          </w:tcPr>
          <w:p w14:paraId="3085E089">
            <w:pPr>
              <w:spacing w:line="240" w:lineRule="auto"/>
              <w:ind w:firstLine="0" w:firstLineChars="0"/>
              <w:jc w:val="center"/>
              <w:rPr>
                <w:rFonts w:cs="Times New Roman"/>
                <w:sz w:val="21"/>
                <w:szCs w:val="21"/>
              </w:rPr>
            </w:pPr>
            <w:r>
              <w:rPr>
                <w:rFonts w:hint="eastAsia" w:cs="Times New Roman"/>
                <w:sz w:val="21"/>
                <w:szCs w:val="21"/>
              </w:rPr>
              <w:t>≤60</w:t>
            </w:r>
          </w:p>
        </w:tc>
        <w:tc>
          <w:tcPr>
            <w:tcW w:w="1580" w:type="pct"/>
            <w:tcBorders>
              <w:top w:val="single" w:color="auto" w:sz="4" w:space="0"/>
              <w:bottom w:val="single" w:color="auto" w:sz="4" w:space="0"/>
              <w:right w:val="single" w:color="auto" w:sz="4" w:space="0"/>
            </w:tcBorders>
            <w:vAlign w:val="center"/>
          </w:tcPr>
          <w:p w14:paraId="1B03A969">
            <w:pPr>
              <w:spacing w:line="240" w:lineRule="auto"/>
              <w:ind w:firstLine="0" w:firstLineChars="0"/>
              <w:jc w:val="center"/>
              <w:rPr>
                <w:rFonts w:cs="Times New Roman"/>
                <w:sz w:val="21"/>
                <w:szCs w:val="21"/>
              </w:rPr>
            </w:pPr>
            <w:r>
              <w:rPr>
                <w:rFonts w:hint="eastAsia" w:cs="Times New Roman"/>
                <w:sz w:val="21"/>
                <w:szCs w:val="21"/>
              </w:rPr>
              <w:t>≤50</w:t>
            </w:r>
          </w:p>
        </w:tc>
      </w:tr>
      <w:tr w14:paraId="59932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839" w:type="pct"/>
            <w:gridSpan w:val="2"/>
            <w:tcBorders>
              <w:top w:val="single" w:color="auto" w:sz="4" w:space="0"/>
              <w:left w:val="single" w:color="auto" w:sz="4" w:space="0"/>
              <w:bottom w:val="single" w:color="auto" w:sz="4" w:space="0"/>
            </w:tcBorders>
            <w:vAlign w:val="center"/>
          </w:tcPr>
          <w:p w14:paraId="2E4421AD">
            <w:pPr>
              <w:spacing w:line="240" w:lineRule="auto"/>
              <w:ind w:firstLine="0" w:firstLineChars="0"/>
              <w:jc w:val="center"/>
              <w:rPr>
                <w:rFonts w:cs="Times New Roman"/>
                <w:sz w:val="21"/>
                <w:szCs w:val="21"/>
              </w:rPr>
            </w:pPr>
            <w:r>
              <w:rPr>
                <w:rFonts w:hint="eastAsia" w:cs="Times New Roman"/>
                <w:sz w:val="21"/>
                <w:szCs w:val="21"/>
              </w:rPr>
              <w:t>3类</w:t>
            </w:r>
          </w:p>
        </w:tc>
        <w:tc>
          <w:tcPr>
            <w:tcW w:w="1581" w:type="pct"/>
            <w:tcBorders>
              <w:top w:val="single" w:color="auto" w:sz="4" w:space="0"/>
              <w:bottom w:val="single" w:color="auto" w:sz="4" w:space="0"/>
            </w:tcBorders>
            <w:vAlign w:val="center"/>
          </w:tcPr>
          <w:p w14:paraId="06CCB24F">
            <w:pPr>
              <w:spacing w:line="240" w:lineRule="auto"/>
              <w:ind w:firstLine="0" w:firstLineChars="0"/>
              <w:jc w:val="center"/>
              <w:rPr>
                <w:rFonts w:cs="Times New Roman"/>
                <w:sz w:val="21"/>
                <w:szCs w:val="21"/>
              </w:rPr>
            </w:pPr>
            <w:r>
              <w:rPr>
                <w:rFonts w:hint="eastAsia" w:cs="Times New Roman"/>
                <w:sz w:val="21"/>
                <w:szCs w:val="21"/>
              </w:rPr>
              <w:t>≤65</w:t>
            </w:r>
          </w:p>
        </w:tc>
        <w:tc>
          <w:tcPr>
            <w:tcW w:w="1580" w:type="pct"/>
            <w:tcBorders>
              <w:top w:val="single" w:color="auto" w:sz="4" w:space="0"/>
              <w:bottom w:val="single" w:color="auto" w:sz="4" w:space="0"/>
              <w:right w:val="single" w:color="auto" w:sz="4" w:space="0"/>
            </w:tcBorders>
            <w:vAlign w:val="center"/>
          </w:tcPr>
          <w:p w14:paraId="75E1269C">
            <w:pPr>
              <w:spacing w:line="240" w:lineRule="auto"/>
              <w:ind w:firstLine="0" w:firstLineChars="0"/>
              <w:jc w:val="center"/>
              <w:rPr>
                <w:rFonts w:cs="Times New Roman"/>
                <w:sz w:val="21"/>
                <w:szCs w:val="21"/>
              </w:rPr>
            </w:pPr>
            <w:r>
              <w:rPr>
                <w:rFonts w:hint="eastAsia" w:cs="Times New Roman"/>
                <w:sz w:val="21"/>
                <w:szCs w:val="21"/>
              </w:rPr>
              <w:t>≤55</w:t>
            </w:r>
          </w:p>
        </w:tc>
      </w:tr>
      <w:tr w14:paraId="218BAC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919" w:type="pct"/>
            <w:vMerge w:val="restart"/>
            <w:tcBorders>
              <w:top w:val="single" w:color="auto" w:sz="4" w:space="0"/>
              <w:left w:val="single" w:color="auto" w:sz="4" w:space="0"/>
            </w:tcBorders>
            <w:vAlign w:val="center"/>
          </w:tcPr>
          <w:p w14:paraId="7DF5DF11">
            <w:pPr>
              <w:spacing w:line="240" w:lineRule="auto"/>
              <w:ind w:firstLine="0" w:firstLineChars="0"/>
              <w:jc w:val="center"/>
              <w:rPr>
                <w:rFonts w:cs="Times New Roman"/>
                <w:sz w:val="21"/>
                <w:szCs w:val="21"/>
              </w:rPr>
            </w:pPr>
            <w:r>
              <w:rPr>
                <w:rFonts w:hint="eastAsia" w:cs="Times New Roman"/>
                <w:sz w:val="21"/>
                <w:szCs w:val="21"/>
              </w:rPr>
              <w:t>4类</w:t>
            </w:r>
          </w:p>
        </w:tc>
        <w:tc>
          <w:tcPr>
            <w:tcW w:w="920" w:type="pct"/>
            <w:tcBorders>
              <w:top w:val="single" w:color="auto" w:sz="4" w:space="0"/>
              <w:left w:val="single" w:color="auto" w:sz="4" w:space="0"/>
            </w:tcBorders>
            <w:vAlign w:val="center"/>
          </w:tcPr>
          <w:p w14:paraId="5C7B93A6">
            <w:pPr>
              <w:spacing w:line="240" w:lineRule="auto"/>
              <w:ind w:firstLine="0" w:firstLineChars="0"/>
              <w:jc w:val="center"/>
              <w:rPr>
                <w:rFonts w:cs="Times New Roman"/>
                <w:sz w:val="21"/>
                <w:szCs w:val="21"/>
              </w:rPr>
            </w:pPr>
            <w:r>
              <w:rPr>
                <w:rFonts w:hint="eastAsia" w:cs="Times New Roman"/>
                <w:sz w:val="21"/>
                <w:szCs w:val="21"/>
              </w:rPr>
              <w:t>4a</w:t>
            </w:r>
          </w:p>
        </w:tc>
        <w:tc>
          <w:tcPr>
            <w:tcW w:w="1581" w:type="pct"/>
            <w:tcBorders>
              <w:top w:val="single" w:color="auto" w:sz="4" w:space="0"/>
              <w:bottom w:val="single" w:color="auto" w:sz="4" w:space="0"/>
            </w:tcBorders>
            <w:vAlign w:val="center"/>
          </w:tcPr>
          <w:p w14:paraId="0BDC268B">
            <w:pPr>
              <w:spacing w:line="240" w:lineRule="auto"/>
              <w:ind w:firstLine="0" w:firstLineChars="0"/>
              <w:jc w:val="center"/>
              <w:rPr>
                <w:rFonts w:cs="Times New Roman"/>
                <w:sz w:val="21"/>
                <w:szCs w:val="21"/>
              </w:rPr>
            </w:pPr>
            <w:r>
              <w:rPr>
                <w:rFonts w:hint="eastAsia" w:cs="Times New Roman"/>
                <w:sz w:val="21"/>
                <w:szCs w:val="21"/>
              </w:rPr>
              <w:t>≤70</w:t>
            </w:r>
          </w:p>
        </w:tc>
        <w:tc>
          <w:tcPr>
            <w:tcW w:w="1580" w:type="pct"/>
            <w:tcBorders>
              <w:top w:val="single" w:color="auto" w:sz="4" w:space="0"/>
              <w:bottom w:val="single" w:color="auto" w:sz="4" w:space="0"/>
              <w:right w:val="single" w:color="auto" w:sz="4" w:space="0"/>
            </w:tcBorders>
            <w:vAlign w:val="center"/>
          </w:tcPr>
          <w:p w14:paraId="17BF50CE">
            <w:pPr>
              <w:spacing w:line="240" w:lineRule="auto"/>
              <w:ind w:firstLine="0" w:firstLineChars="0"/>
              <w:jc w:val="center"/>
              <w:rPr>
                <w:rFonts w:cs="Times New Roman"/>
                <w:sz w:val="21"/>
                <w:szCs w:val="21"/>
              </w:rPr>
            </w:pPr>
            <w:r>
              <w:rPr>
                <w:rFonts w:hint="eastAsia" w:cs="Times New Roman"/>
                <w:sz w:val="21"/>
                <w:szCs w:val="21"/>
              </w:rPr>
              <w:t>≤55</w:t>
            </w:r>
          </w:p>
        </w:tc>
      </w:tr>
      <w:tr w14:paraId="5D27B2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919" w:type="pct"/>
            <w:vMerge w:val="continue"/>
            <w:tcBorders>
              <w:left w:val="single" w:color="auto" w:sz="4" w:space="0"/>
              <w:bottom w:val="single" w:color="auto" w:sz="4" w:space="0"/>
            </w:tcBorders>
            <w:vAlign w:val="center"/>
          </w:tcPr>
          <w:p w14:paraId="065457ED">
            <w:pPr>
              <w:spacing w:line="240" w:lineRule="auto"/>
              <w:ind w:firstLine="0" w:firstLineChars="0"/>
              <w:jc w:val="center"/>
              <w:rPr>
                <w:rFonts w:cs="Times New Roman"/>
                <w:sz w:val="21"/>
                <w:szCs w:val="21"/>
              </w:rPr>
            </w:pPr>
          </w:p>
        </w:tc>
        <w:tc>
          <w:tcPr>
            <w:tcW w:w="920" w:type="pct"/>
            <w:tcBorders>
              <w:left w:val="single" w:color="auto" w:sz="4" w:space="0"/>
              <w:bottom w:val="single" w:color="auto" w:sz="4" w:space="0"/>
            </w:tcBorders>
            <w:vAlign w:val="center"/>
          </w:tcPr>
          <w:p w14:paraId="6CBDD378">
            <w:pPr>
              <w:spacing w:line="240" w:lineRule="auto"/>
              <w:ind w:firstLine="0" w:firstLineChars="0"/>
              <w:jc w:val="center"/>
              <w:rPr>
                <w:rFonts w:cs="Times New Roman"/>
                <w:sz w:val="21"/>
                <w:szCs w:val="21"/>
              </w:rPr>
            </w:pPr>
            <w:r>
              <w:rPr>
                <w:rFonts w:hint="eastAsia" w:cs="Times New Roman"/>
                <w:sz w:val="21"/>
                <w:szCs w:val="21"/>
              </w:rPr>
              <w:t>4b</w:t>
            </w:r>
          </w:p>
        </w:tc>
        <w:tc>
          <w:tcPr>
            <w:tcW w:w="1581" w:type="pct"/>
            <w:tcBorders>
              <w:top w:val="single" w:color="auto" w:sz="4" w:space="0"/>
              <w:bottom w:val="single" w:color="auto" w:sz="4" w:space="0"/>
            </w:tcBorders>
            <w:vAlign w:val="center"/>
          </w:tcPr>
          <w:p w14:paraId="4966A186">
            <w:pPr>
              <w:spacing w:line="240" w:lineRule="auto"/>
              <w:ind w:firstLine="0" w:firstLineChars="0"/>
              <w:jc w:val="center"/>
              <w:rPr>
                <w:rFonts w:cs="Times New Roman"/>
                <w:sz w:val="21"/>
                <w:szCs w:val="21"/>
              </w:rPr>
            </w:pPr>
            <w:r>
              <w:rPr>
                <w:rFonts w:hint="eastAsia" w:cs="Times New Roman"/>
                <w:sz w:val="21"/>
                <w:szCs w:val="21"/>
              </w:rPr>
              <w:t>≤70</w:t>
            </w:r>
          </w:p>
        </w:tc>
        <w:tc>
          <w:tcPr>
            <w:tcW w:w="1580" w:type="pct"/>
            <w:tcBorders>
              <w:top w:val="single" w:color="auto" w:sz="4" w:space="0"/>
              <w:bottom w:val="single" w:color="auto" w:sz="4" w:space="0"/>
              <w:right w:val="single" w:color="auto" w:sz="4" w:space="0"/>
            </w:tcBorders>
            <w:vAlign w:val="center"/>
          </w:tcPr>
          <w:p w14:paraId="014F6022">
            <w:pPr>
              <w:spacing w:line="240" w:lineRule="auto"/>
              <w:ind w:firstLine="0" w:firstLineChars="0"/>
              <w:jc w:val="center"/>
              <w:rPr>
                <w:rFonts w:cs="Times New Roman"/>
                <w:sz w:val="21"/>
                <w:szCs w:val="21"/>
              </w:rPr>
            </w:pPr>
            <w:r>
              <w:rPr>
                <w:rFonts w:hint="eastAsia" w:cs="Times New Roman"/>
                <w:sz w:val="21"/>
                <w:szCs w:val="21"/>
              </w:rPr>
              <w:t>≤60</w:t>
            </w:r>
          </w:p>
        </w:tc>
      </w:tr>
    </w:tbl>
    <w:p w14:paraId="56FD49EB">
      <w:pPr>
        <w:ind w:firstLine="482"/>
        <w:outlineLvl w:val="3"/>
        <w:rPr>
          <w:b/>
          <w:bCs/>
        </w:rPr>
      </w:pPr>
      <w:r>
        <w:rPr>
          <w:rFonts w:hint="eastAsia"/>
          <w:b/>
          <w:bCs/>
        </w:rPr>
        <w:t>（4）地下水环境质量标准</w:t>
      </w:r>
    </w:p>
    <w:p w14:paraId="4E09A9D7">
      <w:pPr>
        <w:ind w:firstLine="480"/>
      </w:pPr>
      <w:r>
        <w:rPr>
          <w:rFonts w:hint="eastAsia"/>
        </w:rPr>
        <w:t>由于度假区所在区域未进行地下水功能区划，现状评价仅对各监测因子水质进行分类评价，区域地下水环境质量执行《地下水质量标准》（GB/T 14848-2017）中的分级标准，具体标准值见表1.7-4。</w:t>
      </w:r>
    </w:p>
    <w:p w14:paraId="63C58567">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 xml:space="preserve">表1.7-4  </w:t>
      </w:r>
      <w:r>
        <w:rPr>
          <w:rFonts w:hint="eastAsia" w:cs="Times New Roman"/>
          <w:b/>
          <w:szCs w:val="24"/>
          <w14:ligatures w14:val="none"/>
        </w:rPr>
        <w:t>地下水环境质量标准表</w:t>
      </w:r>
    </w:p>
    <w:tbl>
      <w:tblPr>
        <w:tblStyle w:val="72"/>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354"/>
        <w:gridCol w:w="915"/>
        <w:gridCol w:w="941"/>
        <w:gridCol w:w="819"/>
        <w:gridCol w:w="868"/>
        <w:gridCol w:w="1053"/>
        <w:gridCol w:w="2131"/>
      </w:tblGrid>
      <w:tr w14:paraId="1E193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250" w:type="pct"/>
            <w:vMerge w:val="restart"/>
            <w:vAlign w:val="center"/>
          </w:tcPr>
          <w:p w14:paraId="2B9BBAA1">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序号</w:t>
            </w:r>
          </w:p>
        </w:tc>
        <w:tc>
          <w:tcPr>
            <w:tcW w:w="796" w:type="pct"/>
            <w:vMerge w:val="restart"/>
            <w:noWrap/>
            <w:vAlign w:val="center"/>
          </w:tcPr>
          <w:p w14:paraId="10536FC8">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项目</w:t>
            </w:r>
          </w:p>
        </w:tc>
        <w:tc>
          <w:tcPr>
            <w:tcW w:w="2701" w:type="pct"/>
            <w:gridSpan w:val="5"/>
            <w:vAlign w:val="center"/>
          </w:tcPr>
          <w:p w14:paraId="6BF41575">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标准值</w:t>
            </w:r>
          </w:p>
        </w:tc>
        <w:tc>
          <w:tcPr>
            <w:tcW w:w="1251" w:type="pct"/>
            <w:vMerge w:val="restart"/>
            <w:vAlign w:val="center"/>
          </w:tcPr>
          <w:p w14:paraId="0DE8267D">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标准来源</w:t>
            </w:r>
          </w:p>
        </w:tc>
      </w:tr>
      <w:tr w14:paraId="014B4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250" w:type="pct"/>
            <w:vMerge w:val="continue"/>
            <w:vAlign w:val="center"/>
          </w:tcPr>
          <w:p w14:paraId="491F23B0">
            <w:pPr>
              <w:spacing w:line="240" w:lineRule="auto"/>
              <w:ind w:firstLine="0" w:firstLineChars="0"/>
              <w:jc w:val="center"/>
              <w:rPr>
                <w:rFonts w:cs="Times New Roman"/>
                <w:b/>
                <w:bCs/>
                <w:kern w:val="0"/>
                <w:sz w:val="21"/>
                <w:szCs w:val="21"/>
                <w14:ligatures w14:val="none"/>
              </w:rPr>
            </w:pPr>
          </w:p>
        </w:tc>
        <w:tc>
          <w:tcPr>
            <w:tcW w:w="796" w:type="pct"/>
            <w:vMerge w:val="continue"/>
            <w:noWrap/>
            <w:vAlign w:val="center"/>
          </w:tcPr>
          <w:p w14:paraId="4AA8FB6A">
            <w:pPr>
              <w:spacing w:line="240" w:lineRule="auto"/>
              <w:ind w:firstLine="0" w:firstLineChars="0"/>
              <w:jc w:val="center"/>
              <w:rPr>
                <w:rFonts w:cs="Times New Roman"/>
                <w:b/>
                <w:bCs/>
                <w:kern w:val="0"/>
                <w:sz w:val="21"/>
                <w:szCs w:val="21"/>
                <w14:ligatures w14:val="none"/>
              </w:rPr>
            </w:pPr>
          </w:p>
        </w:tc>
        <w:tc>
          <w:tcPr>
            <w:tcW w:w="538" w:type="pct"/>
            <w:vAlign w:val="center"/>
          </w:tcPr>
          <w:p w14:paraId="4FC2019A">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I类</w:t>
            </w:r>
          </w:p>
        </w:tc>
        <w:tc>
          <w:tcPr>
            <w:tcW w:w="553" w:type="pct"/>
            <w:vAlign w:val="center"/>
          </w:tcPr>
          <w:p w14:paraId="60C44098">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Ⅱ类</w:t>
            </w:r>
          </w:p>
        </w:tc>
        <w:tc>
          <w:tcPr>
            <w:tcW w:w="481" w:type="pct"/>
            <w:vAlign w:val="center"/>
          </w:tcPr>
          <w:p w14:paraId="63EEE447">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Ⅲ类</w:t>
            </w:r>
          </w:p>
        </w:tc>
        <w:tc>
          <w:tcPr>
            <w:tcW w:w="510" w:type="pct"/>
            <w:vAlign w:val="center"/>
          </w:tcPr>
          <w:p w14:paraId="5EB8688F">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Ⅳ类</w:t>
            </w:r>
          </w:p>
        </w:tc>
        <w:tc>
          <w:tcPr>
            <w:tcW w:w="618" w:type="pct"/>
            <w:vAlign w:val="center"/>
          </w:tcPr>
          <w:p w14:paraId="63901DF3">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V类</w:t>
            </w:r>
          </w:p>
        </w:tc>
        <w:tc>
          <w:tcPr>
            <w:tcW w:w="1251" w:type="pct"/>
            <w:vMerge w:val="continue"/>
            <w:vAlign w:val="center"/>
          </w:tcPr>
          <w:p w14:paraId="2AD9D19D">
            <w:pPr>
              <w:spacing w:line="240" w:lineRule="auto"/>
              <w:ind w:firstLine="0" w:firstLineChars="0"/>
              <w:jc w:val="center"/>
              <w:rPr>
                <w:rFonts w:cs="Times New Roman"/>
                <w:b/>
                <w:bCs/>
                <w:kern w:val="0"/>
                <w:sz w:val="21"/>
                <w:szCs w:val="21"/>
                <w14:ligatures w14:val="none"/>
              </w:rPr>
            </w:pPr>
          </w:p>
        </w:tc>
      </w:tr>
      <w:tr w14:paraId="4A3A0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3F2890DE">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124A795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pH值（无量纲）</w:t>
            </w:r>
          </w:p>
        </w:tc>
        <w:tc>
          <w:tcPr>
            <w:tcW w:w="1572" w:type="pct"/>
            <w:gridSpan w:val="3"/>
            <w:vAlign w:val="center"/>
          </w:tcPr>
          <w:p w14:paraId="4E1E5BC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6.5≤pH≤8.5</w:t>
            </w:r>
          </w:p>
        </w:tc>
        <w:tc>
          <w:tcPr>
            <w:tcW w:w="510" w:type="pct"/>
            <w:vAlign w:val="center"/>
          </w:tcPr>
          <w:p w14:paraId="7DB45C6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5.5≤pH＜6.5</w:t>
            </w:r>
          </w:p>
          <w:p w14:paraId="0B48C2B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8.5＜pH≤9.0</w:t>
            </w:r>
          </w:p>
        </w:tc>
        <w:tc>
          <w:tcPr>
            <w:tcW w:w="618" w:type="pct"/>
            <w:vAlign w:val="center"/>
          </w:tcPr>
          <w:p w14:paraId="0162B96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pH＜5.5或pH&gt;9.0</w:t>
            </w:r>
          </w:p>
        </w:tc>
        <w:tc>
          <w:tcPr>
            <w:tcW w:w="1251" w:type="pct"/>
            <w:vMerge w:val="restart"/>
            <w:vAlign w:val="center"/>
          </w:tcPr>
          <w:p w14:paraId="4370675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《地下水质量标准》（GB/T14848-2017）</w:t>
            </w:r>
          </w:p>
        </w:tc>
      </w:tr>
      <w:tr w14:paraId="3238A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2F844603">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007EB5E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总硬度（mg/L）</w:t>
            </w:r>
          </w:p>
        </w:tc>
        <w:tc>
          <w:tcPr>
            <w:tcW w:w="538" w:type="pct"/>
            <w:vAlign w:val="center"/>
          </w:tcPr>
          <w:p w14:paraId="181576C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≤150</w:t>
            </w:r>
          </w:p>
        </w:tc>
        <w:tc>
          <w:tcPr>
            <w:tcW w:w="553" w:type="pct"/>
            <w:vAlign w:val="center"/>
          </w:tcPr>
          <w:p w14:paraId="0A7B511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≤300</w:t>
            </w:r>
          </w:p>
        </w:tc>
        <w:tc>
          <w:tcPr>
            <w:tcW w:w="481" w:type="pct"/>
            <w:vAlign w:val="center"/>
          </w:tcPr>
          <w:p w14:paraId="37E1E02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≤450</w:t>
            </w:r>
          </w:p>
        </w:tc>
        <w:tc>
          <w:tcPr>
            <w:tcW w:w="510" w:type="pct"/>
            <w:vAlign w:val="center"/>
          </w:tcPr>
          <w:p w14:paraId="6F618B6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≤650</w:t>
            </w:r>
          </w:p>
        </w:tc>
        <w:tc>
          <w:tcPr>
            <w:tcW w:w="618" w:type="pct"/>
            <w:vAlign w:val="center"/>
          </w:tcPr>
          <w:p w14:paraId="0C2EC6C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&gt;650</w:t>
            </w:r>
          </w:p>
        </w:tc>
        <w:tc>
          <w:tcPr>
            <w:tcW w:w="1251" w:type="pct"/>
            <w:vMerge w:val="continue"/>
            <w:vAlign w:val="center"/>
          </w:tcPr>
          <w:p w14:paraId="798D0653">
            <w:pPr>
              <w:spacing w:line="240" w:lineRule="auto"/>
              <w:ind w:firstLine="0" w:firstLineChars="0"/>
              <w:jc w:val="center"/>
              <w:rPr>
                <w:rFonts w:cs="Times New Roman"/>
                <w:kern w:val="0"/>
                <w:sz w:val="21"/>
                <w:szCs w:val="21"/>
                <w14:ligatures w14:val="none"/>
              </w:rPr>
            </w:pPr>
          </w:p>
        </w:tc>
      </w:tr>
      <w:tr w14:paraId="5174F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418FF5D6">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4AD6F2C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氯化物（mg/L）</w:t>
            </w:r>
          </w:p>
        </w:tc>
        <w:tc>
          <w:tcPr>
            <w:tcW w:w="538" w:type="pct"/>
            <w:vAlign w:val="center"/>
          </w:tcPr>
          <w:p w14:paraId="332D771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≤50</w:t>
            </w:r>
          </w:p>
        </w:tc>
        <w:tc>
          <w:tcPr>
            <w:tcW w:w="553" w:type="pct"/>
            <w:vAlign w:val="center"/>
          </w:tcPr>
          <w:p w14:paraId="723DA3C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≤150</w:t>
            </w:r>
          </w:p>
        </w:tc>
        <w:tc>
          <w:tcPr>
            <w:tcW w:w="481" w:type="pct"/>
            <w:vAlign w:val="center"/>
          </w:tcPr>
          <w:p w14:paraId="41C1435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≤250</w:t>
            </w:r>
          </w:p>
        </w:tc>
        <w:tc>
          <w:tcPr>
            <w:tcW w:w="510" w:type="pct"/>
            <w:vAlign w:val="center"/>
          </w:tcPr>
          <w:p w14:paraId="2E413B0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≤350</w:t>
            </w:r>
          </w:p>
        </w:tc>
        <w:tc>
          <w:tcPr>
            <w:tcW w:w="618" w:type="pct"/>
            <w:vAlign w:val="center"/>
          </w:tcPr>
          <w:p w14:paraId="1782F80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&gt;350</w:t>
            </w:r>
          </w:p>
        </w:tc>
        <w:tc>
          <w:tcPr>
            <w:tcW w:w="1251" w:type="pct"/>
            <w:vMerge w:val="continue"/>
            <w:vAlign w:val="center"/>
          </w:tcPr>
          <w:p w14:paraId="1672E983">
            <w:pPr>
              <w:spacing w:line="240" w:lineRule="auto"/>
              <w:ind w:firstLine="0" w:firstLineChars="0"/>
              <w:jc w:val="center"/>
              <w:rPr>
                <w:rFonts w:cs="Times New Roman"/>
                <w:kern w:val="0"/>
                <w:sz w:val="21"/>
                <w:szCs w:val="21"/>
                <w14:ligatures w14:val="none"/>
              </w:rPr>
            </w:pPr>
          </w:p>
        </w:tc>
      </w:tr>
      <w:tr w14:paraId="3E018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0E5F9EB9">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0558DFC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溶解性总固体（mg/L）</w:t>
            </w:r>
          </w:p>
        </w:tc>
        <w:tc>
          <w:tcPr>
            <w:tcW w:w="538" w:type="pct"/>
            <w:vAlign w:val="center"/>
          </w:tcPr>
          <w:p w14:paraId="3D8E5E9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≤300</w:t>
            </w:r>
          </w:p>
        </w:tc>
        <w:tc>
          <w:tcPr>
            <w:tcW w:w="553" w:type="pct"/>
            <w:vAlign w:val="center"/>
          </w:tcPr>
          <w:p w14:paraId="19D08E2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≤500</w:t>
            </w:r>
          </w:p>
        </w:tc>
        <w:tc>
          <w:tcPr>
            <w:tcW w:w="481" w:type="pct"/>
            <w:vAlign w:val="center"/>
          </w:tcPr>
          <w:p w14:paraId="70E9E48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≤1000</w:t>
            </w:r>
          </w:p>
        </w:tc>
        <w:tc>
          <w:tcPr>
            <w:tcW w:w="510" w:type="pct"/>
            <w:vAlign w:val="center"/>
          </w:tcPr>
          <w:p w14:paraId="57EFF22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≤2000</w:t>
            </w:r>
          </w:p>
        </w:tc>
        <w:tc>
          <w:tcPr>
            <w:tcW w:w="618" w:type="pct"/>
            <w:vAlign w:val="center"/>
          </w:tcPr>
          <w:p w14:paraId="2B2941C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&gt;2000</w:t>
            </w:r>
          </w:p>
        </w:tc>
        <w:tc>
          <w:tcPr>
            <w:tcW w:w="1251" w:type="pct"/>
            <w:vMerge w:val="continue"/>
            <w:vAlign w:val="center"/>
          </w:tcPr>
          <w:p w14:paraId="68CDE61B">
            <w:pPr>
              <w:spacing w:line="240" w:lineRule="auto"/>
              <w:ind w:firstLine="0" w:firstLineChars="0"/>
              <w:jc w:val="center"/>
              <w:rPr>
                <w:rFonts w:cs="Times New Roman"/>
                <w:kern w:val="0"/>
                <w:sz w:val="21"/>
                <w:szCs w:val="21"/>
                <w14:ligatures w14:val="none"/>
              </w:rPr>
            </w:pPr>
          </w:p>
        </w:tc>
      </w:tr>
      <w:tr w14:paraId="46941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5A9BA382">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1FDC921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氟化物</w:t>
            </w:r>
          </w:p>
        </w:tc>
        <w:tc>
          <w:tcPr>
            <w:tcW w:w="538" w:type="pct"/>
            <w:vAlign w:val="center"/>
          </w:tcPr>
          <w:p w14:paraId="6BDC2F8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w:t>
            </w:r>
          </w:p>
        </w:tc>
        <w:tc>
          <w:tcPr>
            <w:tcW w:w="553" w:type="pct"/>
            <w:vAlign w:val="center"/>
          </w:tcPr>
          <w:p w14:paraId="79172A7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w:t>
            </w:r>
          </w:p>
        </w:tc>
        <w:tc>
          <w:tcPr>
            <w:tcW w:w="481" w:type="pct"/>
            <w:vAlign w:val="center"/>
          </w:tcPr>
          <w:p w14:paraId="08C5503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w:t>
            </w:r>
          </w:p>
        </w:tc>
        <w:tc>
          <w:tcPr>
            <w:tcW w:w="510" w:type="pct"/>
            <w:vAlign w:val="center"/>
          </w:tcPr>
          <w:p w14:paraId="14A3AD0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≤2.0</w:t>
            </w:r>
          </w:p>
        </w:tc>
        <w:tc>
          <w:tcPr>
            <w:tcW w:w="618" w:type="pct"/>
            <w:vAlign w:val="center"/>
          </w:tcPr>
          <w:p w14:paraId="66324F0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&gt;2.0</w:t>
            </w:r>
          </w:p>
        </w:tc>
        <w:tc>
          <w:tcPr>
            <w:tcW w:w="1251" w:type="pct"/>
            <w:vMerge w:val="continue"/>
            <w:vAlign w:val="center"/>
          </w:tcPr>
          <w:p w14:paraId="330E4C5B">
            <w:pPr>
              <w:spacing w:line="240" w:lineRule="auto"/>
              <w:ind w:firstLine="0" w:firstLineChars="0"/>
              <w:jc w:val="center"/>
              <w:rPr>
                <w:rFonts w:cs="Times New Roman"/>
                <w:kern w:val="0"/>
                <w:sz w:val="21"/>
                <w:szCs w:val="21"/>
                <w14:ligatures w14:val="none"/>
              </w:rPr>
            </w:pPr>
          </w:p>
        </w:tc>
      </w:tr>
      <w:tr w14:paraId="52191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3AE51D38">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029EBA1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硫化物（mg/L）</w:t>
            </w:r>
          </w:p>
        </w:tc>
        <w:tc>
          <w:tcPr>
            <w:tcW w:w="538" w:type="pct"/>
            <w:vAlign w:val="center"/>
          </w:tcPr>
          <w:p w14:paraId="1E551E6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≤0.005</w:t>
            </w:r>
          </w:p>
        </w:tc>
        <w:tc>
          <w:tcPr>
            <w:tcW w:w="553" w:type="pct"/>
            <w:vAlign w:val="center"/>
          </w:tcPr>
          <w:p w14:paraId="427B40E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≤0.01</w:t>
            </w:r>
          </w:p>
        </w:tc>
        <w:tc>
          <w:tcPr>
            <w:tcW w:w="481" w:type="pct"/>
            <w:vAlign w:val="center"/>
          </w:tcPr>
          <w:p w14:paraId="0D761B0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≤0.02</w:t>
            </w:r>
          </w:p>
        </w:tc>
        <w:tc>
          <w:tcPr>
            <w:tcW w:w="510" w:type="pct"/>
            <w:vAlign w:val="center"/>
          </w:tcPr>
          <w:p w14:paraId="06F813C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≤0.10</w:t>
            </w:r>
          </w:p>
        </w:tc>
        <w:tc>
          <w:tcPr>
            <w:tcW w:w="618" w:type="pct"/>
            <w:vAlign w:val="center"/>
          </w:tcPr>
          <w:p w14:paraId="761C1F5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&gt;0.10</w:t>
            </w:r>
          </w:p>
        </w:tc>
        <w:tc>
          <w:tcPr>
            <w:tcW w:w="1251" w:type="pct"/>
            <w:vMerge w:val="continue"/>
            <w:vAlign w:val="center"/>
          </w:tcPr>
          <w:p w14:paraId="2FEA7F0E">
            <w:pPr>
              <w:spacing w:line="240" w:lineRule="auto"/>
              <w:ind w:firstLine="0" w:firstLineChars="0"/>
              <w:jc w:val="center"/>
              <w:rPr>
                <w:rFonts w:cs="Times New Roman"/>
                <w:kern w:val="0"/>
                <w:sz w:val="21"/>
                <w:szCs w:val="21"/>
                <w14:ligatures w14:val="none"/>
              </w:rPr>
            </w:pPr>
          </w:p>
        </w:tc>
      </w:tr>
      <w:tr w14:paraId="074FC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2770B683">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2A1690B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氰化物</w:t>
            </w:r>
          </w:p>
        </w:tc>
        <w:tc>
          <w:tcPr>
            <w:tcW w:w="538" w:type="pct"/>
            <w:vAlign w:val="center"/>
          </w:tcPr>
          <w:p w14:paraId="3EBB71A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≤0.001</w:t>
            </w:r>
          </w:p>
        </w:tc>
        <w:tc>
          <w:tcPr>
            <w:tcW w:w="553" w:type="pct"/>
            <w:vAlign w:val="center"/>
          </w:tcPr>
          <w:p w14:paraId="38033EE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≤0.01</w:t>
            </w:r>
          </w:p>
        </w:tc>
        <w:tc>
          <w:tcPr>
            <w:tcW w:w="481" w:type="pct"/>
            <w:vAlign w:val="center"/>
          </w:tcPr>
          <w:p w14:paraId="6F91D33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≤0.05</w:t>
            </w:r>
          </w:p>
        </w:tc>
        <w:tc>
          <w:tcPr>
            <w:tcW w:w="510" w:type="pct"/>
            <w:vAlign w:val="center"/>
          </w:tcPr>
          <w:p w14:paraId="48613CB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≤0.10</w:t>
            </w:r>
          </w:p>
        </w:tc>
        <w:tc>
          <w:tcPr>
            <w:tcW w:w="618" w:type="pct"/>
            <w:vAlign w:val="center"/>
          </w:tcPr>
          <w:p w14:paraId="556276C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&gt;0.10</w:t>
            </w:r>
          </w:p>
        </w:tc>
        <w:tc>
          <w:tcPr>
            <w:tcW w:w="1251" w:type="pct"/>
            <w:vMerge w:val="continue"/>
            <w:vAlign w:val="center"/>
          </w:tcPr>
          <w:p w14:paraId="3D7331F1">
            <w:pPr>
              <w:spacing w:line="240" w:lineRule="auto"/>
              <w:ind w:firstLine="0" w:firstLineChars="0"/>
              <w:jc w:val="center"/>
              <w:rPr>
                <w:rFonts w:cs="Times New Roman"/>
                <w:kern w:val="0"/>
                <w:sz w:val="21"/>
                <w:szCs w:val="21"/>
                <w14:ligatures w14:val="none"/>
              </w:rPr>
            </w:pPr>
          </w:p>
        </w:tc>
      </w:tr>
      <w:tr w14:paraId="394BE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1A284243">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1582BF9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硝酸盐</w:t>
            </w:r>
          </w:p>
          <w:p w14:paraId="53FD912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（以N计）（mg/L）</w:t>
            </w:r>
          </w:p>
        </w:tc>
        <w:tc>
          <w:tcPr>
            <w:tcW w:w="538" w:type="pct"/>
            <w:vAlign w:val="center"/>
          </w:tcPr>
          <w:p w14:paraId="41B6319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≤2.0</w:t>
            </w:r>
          </w:p>
        </w:tc>
        <w:tc>
          <w:tcPr>
            <w:tcW w:w="553" w:type="pct"/>
            <w:vAlign w:val="center"/>
          </w:tcPr>
          <w:p w14:paraId="0599AFC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≤5.0</w:t>
            </w:r>
          </w:p>
        </w:tc>
        <w:tc>
          <w:tcPr>
            <w:tcW w:w="481" w:type="pct"/>
            <w:vAlign w:val="center"/>
          </w:tcPr>
          <w:p w14:paraId="73F8F5B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≤20.0</w:t>
            </w:r>
          </w:p>
        </w:tc>
        <w:tc>
          <w:tcPr>
            <w:tcW w:w="510" w:type="pct"/>
            <w:vAlign w:val="center"/>
          </w:tcPr>
          <w:p w14:paraId="30F6CBC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≤30.0</w:t>
            </w:r>
          </w:p>
        </w:tc>
        <w:tc>
          <w:tcPr>
            <w:tcW w:w="618" w:type="pct"/>
            <w:vAlign w:val="center"/>
          </w:tcPr>
          <w:p w14:paraId="06F3DBD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&gt;30.0</w:t>
            </w:r>
          </w:p>
        </w:tc>
        <w:tc>
          <w:tcPr>
            <w:tcW w:w="1251" w:type="pct"/>
            <w:vMerge w:val="continue"/>
            <w:vAlign w:val="center"/>
          </w:tcPr>
          <w:p w14:paraId="5446C04B">
            <w:pPr>
              <w:spacing w:line="240" w:lineRule="auto"/>
              <w:ind w:firstLine="0" w:firstLineChars="0"/>
              <w:jc w:val="center"/>
              <w:rPr>
                <w:rFonts w:cs="Times New Roman"/>
                <w:kern w:val="0"/>
                <w:sz w:val="21"/>
                <w:szCs w:val="21"/>
                <w14:ligatures w14:val="none"/>
              </w:rPr>
            </w:pPr>
          </w:p>
        </w:tc>
      </w:tr>
      <w:tr w14:paraId="5A6EA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2FB4DF93">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48F1E9F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亚硝酸盐</w:t>
            </w:r>
          </w:p>
          <w:p w14:paraId="03A8665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（以N计）（mg/L）</w:t>
            </w:r>
          </w:p>
        </w:tc>
        <w:tc>
          <w:tcPr>
            <w:tcW w:w="538" w:type="pct"/>
            <w:vAlign w:val="center"/>
          </w:tcPr>
          <w:p w14:paraId="6E6BF73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≤0.01</w:t>
            </w:r>
          </w:p>
        </w:tc>
        <w:tc>
          <w:tcPr>
            <w:tcW w:w="553" w:type="pct"/>
            <w:vAlign w:val="center"/>
          </w:tcPr>
          <w:p w14:paraId="3EF8F03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≤0.10</w:t>
            </w:r>
          </w:p>
        </w:tc>
        <w:tc>
          <w:tcPr>
            <w:tcW w:w="481" w:type="pct"/>
            <w:vAlign w:val="center"/>
          </w:tcPr>
          <w:p w14:paraId="6F24875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≤1.00</w:t>
            </w:r>
          </w:p>
        </w:tc>
        <w:tc>
          <w:tcPr>
            <w:tcW w:w="510" w:type="pct"/>
            <w:vAlign w:val="center"/>
          </w:tcPr>
          <w:p w14:paraId="6769A74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≤4.80</w:t>
            </w:r>
          </w:p>
        </w:tc>
        <w:tc>
          <w:tcPr>
            <w:tcW w:w="618" w:type="pct"/>
            <w:vAlign w:val="center"/>
          </w:tcPr>
          <w:p w14:paraId="5B43BE3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&gt;4.80</w:t>
            </w:r>
          </w:p>
        </w:tc>
        <w:tc>
          <w:tcPr>
            <w:tcW w:w="1251" w:type="pct"/>
            <w:vMerge w:val="continue"/>
            <w:vAlign w:val="center"/>
          </w:tcPr>
          <w:p w14:paraId="50E41E63">
            <w:pPr>
              <w:spacing w:line="240" w:lineRule="auto"/>
              <w:ind w:firstLine="0" w:firstLineChars="0"/>
              <w:jc w:val="center"/>
              <w:rPr>
                <w:rFonts w:cs="Times New Roman"/>
                <w:kern w:val="0"/>
                <w:sz w:val="21"/>
                <w:szCs w:val="21"/>
                <w14:ligatures w14:val="none"/>
              </w:rPr>
            </w:pPr>
          </w:p>
        </w:tc>
      </w:tr>
      <w:tr w14:paraId="7FE0F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62C2EB7C">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6AD0DD7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氨氮（mg/L）</w:t>
            </w:r>
          </w:p>
        </w:tc>
        <w:tc>
          <w:tcPr>
            <w:tcW w:w="538" w:type="pct"/>
            <w:vAlign w:val="center"/>
          </w:tcPr>
          <w:p w14:paraId="69CD343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≤0.02</w:t>
            </w:r>
          </w:p>
        </w:tc>
        <w:tc>
          <w:tcPr>
            <w:tcW w:w="553" w:type="pct"/>
            <w:vAlign w:val="center"/>
          </w:tcPr>
          <w:p w14:paraId="0059D48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≤0.10</w:t>
            </w:r>
          </w:p>
        </w:tc>
        <w:tc>
          <w:tcPr>
            <w:tcW w:w="481" w:type="pct"/>
            <w:vAlign w:val="center"/>
          </w:tcPr>
          <w:p w14:paraId="113A82F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≤0.50</w:t>
            </w:r>
          </w:p>
        </w:tc>
        <w:tc>
          <w:tcPr>
            <w:tcW w:w="510" w:type="pct"/>
            <w:vAlign w:val="center"/>
          </w:tcPr>
          <w:p w14:paraId="0CBE8A8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≤1.50</w:t>
            </w:r>
          </w:p>
        </w:tc>
        <w:tc>
          <w:tcPr>
            <w:tcW w:w="618" w:type="pct"/>
            <w:vAlign w:val="center"/>
          </w:tcPr>
          <w:p w14:paraId="04D64F7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&gt;1.50</w:t>
            </w:r>
          </w:p>
        </w:tc>
        <w:tc>
          <w:tcPr>
            <w:tcW w:w="1251" w:type="pct"/>
            <w:vMerge w:val="continue"/>
            <w:vAlign w:val="center"/>
          </w:tcPr>
          <w:p w14:paraId="2CB3917B">
            <w:pPr>
              <w:spacing w:line="240" w:lineRule="auto"/>
              <w:ind w:firstLine="0" w:firstLineChars="0"/>
              <w:jc w:val="center"/>
              <w:rPr>
                <w:rFonts w:cs="Times New Roman"/>
                <w:kern w:val="0"/>
                <w:sz w:val="21"/>
                <w:szCs w:val="21"/>
                <w14:ligatures w14:val="none"/>
              </w:rPr>
            </w:pPr>
          </w:p>
        </w:tc>
      </w:tr>
      <w:tr w14:paraId="7653D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740C1157">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0E022A3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铜（mg/L）</w:t>
            </w:r>
          </w:p>
        </w:tc>
        <w:tc>
          <w:tcPr>
            <w:tcW w:w="538" w:type="pct"/>
            <w:vAlign w:val="center"/>
          </w:tcPr>
          <w:p w14:paraId="041A8AA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≤0.01</w:t>
            </w:r>
          </w:p>
        </w:tc>
        <w:tc>
          <w:tcPr>
            <w:tcW w:w="553" w:type="pct"/>
            <w:vAlign w:val="center"/>
          </w:tcPr>
          <w:p w14:paraId="0946CAA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≤0.05</w:t>
            </w:r>
          </w:p>
        </w:tc>
        <w:tc>
          <w:tcPr>
            <w:tcW w:w="481" w:type="pct"/>
            <w:vAlign w:val="center"/>
          </w:tcPr>
          <w:p w14:paraId="7BD8CD7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≤1.00</w:t>
            </w:r>
          </w:p>
        </w:tc>
        <w:tc>
          <w:tcPr>
            <w:tcW w:w="510" w:type="pct"/>
            <w:vAlign w:val="center"/>
          </w:tcPr>
          <w:p w14:paraId="474F50E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≤1.50</w:t>
            </w:r>
          </w:p>
        </w:tc>
        <w:tc>
          <w:tcPr>
            <w:tcW w:w="618" w:type="pct"/>
            <w:vAlign w:val="center"/>
          </w:tcPr>
          <w:p w14:paraId="48DFA5B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&gt;1.50</w:t>
            </w:r>
          </w:p>
        </w:tc>
        <w:tc>
          <w:tcPr>
            <w:tcW w:w="1251" w:type="pct"/>
            <w:vMerge w:val="continue"/>
            <w:vAlign w:val="center"/>
          </w:tcPr>
          <w:p w14:paraId="46E5BB6B">
            <w:pPr>
              <w:spacing w:line="240" w:lineRule="auto"/>
              <w:ind w:firstLine="0" w:firstLineChars="0"/>
              <w:jc w:val="center"/>
              <w:rPr>
                <w:rFonts w:cs="Times New Roman"/>
                <w:kern w:val="0"/>
                <w:sz w:val="21"/>
                <w:szCs w:val="21"/>
                <w14:ligatures w14:val="none"/>
              </w:rPr>
            </w:pPr>
          </w:p>
        </w:tc>
      </w:tr>
      <w:tr w14:paraId="02444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08BDC380">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7301B5A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铁（mg/L）</w:t>
            </w:r>
          </w:p>
        </w:tc>
        <w:tc>
          <w:tcPr>
            <w:tcW w:w="538" w:type="pct"/>
            <w:vAlign w:val="center"/>
          </w:tcPr>
          <w:p w14:paraId="23A3A62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w:t>
            </w:r>
          </w:p>
        </w:tc>
        <w:tc>
          <w:tcPr>
            <w:tcW w:w="553" w:type="pct"/>
            <w:vAlign w:val="center"/>
          </w:tcPr>
          <w:p w14:paraId="582B281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≤0.2</w:t>
            </w:r>
          </w:p>
        </w:tc>
        <w:tc>
          <w:tcPr>
            <w:tcW w:w="481" w:type="pct"/>
            <w:vAlign w:val="center"/>
          </w:tcPr>
          <w:p w14:paraId="0AAF1F4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≤0.3</w:t>
            </w:r>
          </w:p>
        </w:tc>
        <w:tc>
          <w:tcPr>
            <w:tcW w:w="510" w:type="pct"/>
            <w:vAlign w:val="center"/>
          </w:tcPr>
          <w:p w14:paraId="7B50B85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≤2.0</w:t>
            </w:r>
          </w:p>
        </w:tc>
        <w:tc>
          <w:tcPr>
            <w:tcW w:w="618" w:type="pct"/>
            <w:vAlign w:val="center"/>
          </w:tcPr>
          <w:p w14:paraId="62BCECF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&gt;2.0</w:t>
            </w:r>
          </w:p>
        </w:tc>
        <w:tc>
          <w:tcPr>
            <w:tcW w:w="1251" w:type="pct"/>
            <w:vMerge w:val="continue"/>
            <w:vAlign w:val="center"/>
          </w:tcPr>
          <w:p w14:paraId="04DBE09B">
            <w:pPr>
              <w:spacing w:line="240" w:lineRule="auto"/>
              <w:ind w:firstLine="0" w:firstLineChars="0"/>
              <w:jc w:val="center"/>
              <w:rPr>
                <w:rFonts w:cs="Times New Roman"/>
                <w:kern w:val="0"/>
                <w:sz w:val="21"/>
                <w:szCs w:val="21"/>
                <w14:ligatures w14:val="none"/>
              </w:rPr>
            </w:pPr>
          </w:p>
        </w:tc>
      </w:tr>
      <w:tr w14:paraId="1E32E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114F0ADC">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20604BA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锰（mg/L）</w:t>
            </w:r>
          </w:p>
        </w:tc>
        <w:tc>
          <w:tcPr>
            <w:tcW w:w="538" w:type="pct"/>
            <w:vAlign w:val="center"/>
          </w:tcPr>
          <w:p w14:paraId="29440DB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≤0.05</w:t>
            </w:r>
          </w:p>
        </w:tc>
        <w:tc>
          <w:tcPr>
            <w:tcW w:w="553" w:type="pct"/>
            <w:vAlign w:val="center"/>
          </w:tcPr>
          <w:p w14:paraId="32CE94C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≤0.05</w:t>
            </w:r>
          </w:p>
        </w:tc>
        <w:tc>
          <w:tcPr>
            <w:tcW w:w="481" w:type="pct"/>
            <w:vAlign w:val="center"/>
          </w:tcPr>
          <w:p w14:paraId="3A2E365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w:t>
            </w:r>
          </w:p>
        </w:tc>
        <w:tc>
          <w:tcPr>
            <w:tcW w:w="510" w:type="pct"/>
            <w:vAlign w:val="center"/>
          </w:tcPr>
          <w:p w14:paraId="19E85DB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≤1.50</w:t>
            </w:r>
          </w:p>
        </w:tc>
        <w:tc>
          <w:tcPr>
            <w:tcW w:w="618" w:type="pct"/>
            <w:vAlign w:val="center"/>
          </w:tcPr>
          <w:p w14:paraId="0260C7D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&gt;1.50</w:t>
            </w:r>
          </w:p>
        </w:tc>
        <w:tc>
          <w:tcPr>
            <w:tcW w:w="1251" w:type="pct"/>
            <w:vMerge w:val="continue"/>
            <w:vAlign w:val="center"/>
          </w:tcPr>
          <w:p w14:paraId="55E06FEE">
            <w:pPr>
              <w:spacing w:line="240" w:lineRule="auto"/>
              <w:ind w:firstLine="0" w:firstLineChars="0"/>
              <w:jc w:val="center"/>
              <w:rPr>
                <w:rFonts w:cs="Times New Roman"/>
                <w:kern w:val="0"/>
                <w:sz w:val="21"/>
                <w:szCs w:val="21"/>
                <w14:ligatures w14:val="none"/>
              </w:rPr>
            </w:pPr>
          </w:p>
        </w:tc>
      </w:tr>
      <w:tr w14:paraId="79AFB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21D3529F">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43155CC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六价铬（mg/L）</w:t>
            </w:r>
          </w:p>
        </w:tc>
        <w:tc>
          <w:tcPr>
            <w:tcW w:w="538" w:type="pct"/>
            <w:vAlign w:val="center"/>
          </w:tcPr>
          <w:p w14:paraId="25950EE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≤0.005</w:t>
            </w:r>
          </w:p>
        </w:tc>
        <w:tc>
          <w:tcPr>
            <w:tcW w:w="553" w:type="pct"/>
            <w:vAlign w:val="center"/>
          </w:tcPr>
          <w:p w14:paraId="626A11E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≤0.005</w:t>
            </w:r>
          </w:p>
        </w:tc>
        <w:tc>
          <w:tcPr>
            <w:tcW w:w="481" w:type="pct"/>
            <w:vAlign w:val="center"/>
          </w:tcPr>
          <w:p w14:paraId="1A3EB90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≤0.05</w:t>
            </w:r>
          </w:p>
        </w:tc>
        <w:tc>
          <w:tcPr>
            <w:tcW w:w="510" w:type="pct"/>
            <w:vAlign w:val="center"/>
          </w:tcPr>
          <w:p w14:paraId="734CBB5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≤0.10</w:t>
            </w:r>
          </w:p>
        </w:tc>
        <w:tc>
          <w:tcPr>
            <w:tcW w:w="618" w:type="pct"/>
            <w:vAlign w:val="center"/>
          </w:tcPr>
          <w:p w14:paraId="61BB361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&gt;0.10</w:t>
            </w:r>
          </w:p>
        </w:tc>
        <w:tc>
          <w:tcPr>
            <w:tcW w:w="1251" w:type="pct"/>
            <w:vMerge w:val="continue"/>
            <w:vAlign w:val="center"/>
          </w:tcPr>
          <w:p w14:paraId="66161EFD">
            <w:pPr>
              <w:spacing w:line="240" w:lineRule="auto"/>
              <w:ind w:firstLine="0" w:firstLineChars="0"/>
              <w:jc w:val="center"/>
              <w:rPr>
                <w:rFonts w:cs="Times New Roman"/>
                <w:kern w:val="0"/>
                <w:sz w:val="21"/>
                <w:szCs w:val="21"/>
                <w14:ligatures w14:val="none"/>
              </w:rPr>
            </w:pPr>
          </w:p>
        </w:tc>
      </w:tr>
      <w:tr w14:paraId="4B1F9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641590A7">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2A5B38C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锌（mg/L）</w:t>
            </w:r>
          </w:p>
        </w:tc>
        <w:tc>
          <w:tcPr>
            <w:tcW w:w="538" w:type="pct"/>
            <w:vAlign w:val="center"/>
          </w:tcPr>
          <w:p w14:paraId="089CEEA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≤0.05</w:t>
            </w:r>
          </w:p>
        </w:tc>
        <w:tc>
          <w:tcPr>
            <w:tcW w:w="553" w:type="pct"/>
            <w:vAlign w:val="center"/>
          </w:tcPr>
          <w:p w14:paraId="077D1CE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≤0.5</w:t>
            </w:r>
          </w:p>
        </w:tc>
        <w:tc>
          <w:tcPr>
            <w:tcW w:w="481" w:type="pct"/>
            <w:vAlign w:val="center"/>
          </w:tcPr>
          <w:p w14:paraId="65CB347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≤1.00</w:t>
            </w:r>
          </w:p>
        </w:tc>
        <w:tc>
          <w:tcPr>
            <w:tcW w:w="510" w:type="pct"/>
            <w:vAlign w:val="center"/>
          </w:tcPr>
          <w:p w14:paraId="3FA7C16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≤5.00</w:t>
            </w:r>
          </w:p>
        </w:tc>
        <w:tc>
          <w:tcPr>
            <w:tcW w:w="618" w:type="pct"/>
            <w:vAlign w:val="center"/>
          </w:tcPr>
          <w:p w14:paraId="21B4151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&gt;5.00</w:t>
            </w:r>
          </w:p>
        </w:tc>
        <w:tc>
          <w:tcPr>
            <w:tcW w:w="1251" w:type="pct"/>
            <w:vMerge w:val="continue"/>
            <w:vAlign w:val="center"/>
          </w:tcPr>
          <w:p w14:paraId="1498F5EF">
            <w:pPr>
              <w:spacing w:line="240" w:lineRule="auto"/>
              <w:ind w:firstLine="0" w:firstLineChars="0"/>
              <w:jc w:val="center"/>
              <w:rPr>
                <w:rFonts w:cs="Times New Roman"/>
                <w:kern w:val="0"/>
                <w:sz w:val="21"/>
                <w:szCs w:val="21"/>
                <w14:ligatures w14:val="none"/>
              </w:rPr>
            </w:pPr>
          </w:p>
        </w:tc>
      </w:tr>
      <w:tr w14:paraId="2DB4B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156EB3F2">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52FA107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铝（mg/L）</w:t>
            </w:r>
          </w:p>
        </w:tc>
        <w:tc>
          <w:tcPr>
            <w:tcW w:w="538" w:type="pct"/>
            <w:vAlign w:val="center"/>
          </w:tcPr>
          <w:p w14:paraId="5E55D4D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≤0.01</w:t>
            </w:r>
          </w:p>
        </w:tc>
        <w:tc>
          <w:tcPr>
            <w:tcW w:w="553" w:type="pct"/>
            <w:vAlign w:val="center"/>
          </w:tcPr>
          <w:p w14:paraId="1DD2CD0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≤0.05</w:t>
            </w:r>
          </w:p>
        </w:tc>
        <w:tc>
          <w:tcPr>
            <w:tcW w:w="481" w:type="pct"/>
            <w:vAlign w:val="center"/>
          </w:tcPr>
          <w:p w14:paraId="3B10D46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≤0.2</w:t>
            </w:r>
          </w:p>
        </w:tc>
        <w:tc>
          <w:tcPr>
            <w:tcW w:w="510" w:type="pct"/>
            <w:vAlign w:val="center"/>
          </w:tcPr>
          <w:p w14:paraId="0FB1FA4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≤0.5</w:t>
            </w:r>
          </w:p>
        </w:tc>
        <w:tc>
          <w:tcPr>
            <w:tcW w:w="618" w:type="pct"/>
            <w:vAlign w:val="center"/>
          </w:tcPr>
          <w:p w14:paraId="39DAE40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&gt;0.5</w:t>
            </w:r>
          </w:p>
        </w:tc>
        <w:tc>
          <w:tcPr>
            <w:tcW w:w="1251" w:type="pct"/>
            <w:vMerge w:val="continue"/>
            <w:vAlign w:val="center"/>
          </w:tcPr>
          <w:p w14:paraId="1D6B053D">
            <w:pPr>
              <w:spacing w:line="240" w:lineRule="auto"/>
              <w:ind w:firstLine="0" w:firstLineChars="0"/>
              <w:jc w:val="center"/>
              <w:rPr>
                <w:rFonts w:cs="Times New Roman"/>
                <w:kern w:val="0"/>
                <w:sz w:val="21"/>
                <w:szCs w:val="21"/>
                <w14:ligatures w14:val="none"/>
              </w:rPr>
            </w:pPr>
          </w:p>
        </w:tc>
      </w:tr>
      <w:tr w14:paraId="5C2B9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08207698">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60726A1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砷（mg/L）</w:t>
            </w:r>
          </w:p>
        </w:tc>
        <w:tc>
          <w:tcPr>
            <w:tcW w:w="538" w:type="pct"/>
            <w:vAlign w:val="center"/>
          </w:tcPr>
          <w:p w14:paraId="205C585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≤0.001</w:t>
            </w:r>
          </w:p>
        </w:tc>
        <w:tc>
          <w:tcPr>
            <w:tcW w:w="553" w:type="pct"/>
            <w:vAlign w:val="center"/>
          </w:tcPr>
          <w:p w14:paraId="11B5914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≤0.001</w:t>
            </w:r>
          </w:p>
        </w:tc>
        <w:tc>
          <w:tcPr>
            <w:tcW w:w="481" w:type="pct"/>
            <w:vAlign w:val="center"/>
          </w:tcPr>
          <w:p w14:paraId="7D92B61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≤0.01</w:t>
            </w:r>
          </w:p>
        </w:tc>
        <w:tc>
          <w:tcPr>
            <w:tcW w:w="510" w:type="pct"/>
            <w:vAlign w:val="center"/>
          </w:tcPr>
          <w:p w14:paraId="006183A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≤0.05</w:t>
            </w:r>
          </w:p>
        </w:tc>
        <w:tc>
          <w:tcPr>
            <w:tcW w:w="618" w:type="pct"/>
            <w:vAlign w:val="center"/>
          </w:tcPr>
          <w:p w14:paraId="38036C2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&gt;0.05</w:t>
            </w:r>
          </w:p>
        </w:tc>
        <w:tc>
          <w:tcPr>
            <w:tcW w:w="1251" w:type="pct"/>
            <w:vMerge w:val="continue"/>
            <w:vAlign w:val="center"/>
          </w:tcPr>
          <w:p w14:paraId="76595555">
            <w:pPr>
              <w:spacing w:line="240" w:lineRule="auto"/>
              <w:ind w:firstLine="0" w:firstLineChars="0"/>
              <w:jc w:val="center"/>
              <w:rPr>
                <w:rFonts w:cs="Times New Roman"/>
                <w:kern w:val="0"/>
                <w:sz w:val="21"/>
                <w:szCs w:val="21"/>
                <w14:ligatures w14:val="none"/>
              </w:rPr>
            </w:pPr>
          </w:p>
        </w:tc>
      </w:tr>
      <w:tr w14:paraId="3A53D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0E5134EB">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5C67C42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汞（mg/L）</w:t>
            </w:r>
          </w:p>
        </w:tc>
        <w:tc>
          <w:tcPr>
            <w:tcW w:w="538" w:type="pct"/>
            <w:vAlign w:val="center"/>
          </w:tcPr>
          <w:p w14:paraId="13DC1F0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≤0.0001</w:t>
            </w:r>
          </w:p>
        </w:tc>
        <w:tc>
          <w:tcPr>
            <w:tcW w:w="553" w:type="pct"/>
            <w:vAlign w:val="center"/>
          </w:tcPr>
          <w:p w14:paraId="7E9E03E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≤0.0001</w:t>
            </w:r>
          </w:p>
        </w:tc>
        <w:tc>
          <w:tcPr>
            <w:tcW w:w="481" w:type="pct"/>
            <w:vAlign w:val="center"/>
          </w:tcPr>
          <w:p w14:paraId="0F0800D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≤0.001</w:t>
            </w:r>
          </w:p>
        </w:tc>
        <w:tc>
          <w:tcPr>
            <w:tcW w:w="510" w:type="pct"/>
            <w:vAlign w:val="center"/>
          </w:tcPr>
          <w:p w14:paraId="41152F2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≤0.002</w:t>
            </w:r>
          </w:p>
        </w:tc>
        <w:tc>
          <w:tcPr>
            <w:tcW w:w="618" w:type="pct"/>
            <w:vAlign w:val="center"/>
          </w:tcPr>
          <w:p w14:paraId="64BF502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&gt;0.002</w:t>
            </w:r>
          </w:p>
        </w:tc>
        <w:tc>
          <w:tcPr>
            <w:tcW w:w="1251" w:type="pct"/>
            <w:vMerge w:val="continue"/>
            <w:vAlign w:val="center"/>
          </w:tcPr>
          <w:p w14:paraId="1A729F3E">
            <w:pPr>
              <w:spacing w:line="240" w:lineRule="auto"/>
              <w:ind w:firstLine="0" w:firstLineChars="0"/>
              <w:jc w:val="center"/>
              <w:rPr>
                <w:rFonts w:cs="Times New Roman"/>
                <w:kern w:val="0"/>
                <w:sz w:val="21"/>
                <w:szCs w:val="21"/>
                <w14:ligatures w14:val="none"/>
              </w:rPr>
            </w:pPr>
          </w:p>
        </w:tc>
      </w:tr>
      <w:tr w14:paraId="35FB7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3D086D2D">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0751378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镉（mg/L）</w:t>
            </w:r>
          </w:p>
        </w:tc>
        <w:tc>
          <w:tcPr>
            <w:tcW w:w="538" w:type="pct"/>
            <w:vAlign w:val="center"/>
          </w:tcPr>
          <w:p w14:paraId="51CD251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≤0.0001</w:t>
            </w:r>
          </w:p>
        </w:tc>
        <w:tc>
          <w:tcPr>
            <w:tcW w:w="553" w:type="pct"/>
            <w:vAlign w:val="center"/>
          </w:tcPr>
          <w:p w14:paraId="4615C44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≤0.001</w:t>
            </w:r>
          </w:p>
        </w:tc>
        <w:tc>
          <w:tcPr>
            <w:tcW w:w="481" w:type="pct"/>
            <w:vAlign w:val="center"/>
          </w:tcPr>
          <w:p w14:paraId="4C1752C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≤0.005</w:t>
            </w:r>
          </w:p>
        </w:tc>
        <w:tc>
          <w:tcPr>
            <w:tcW w:w="510" w:type="pct"/>
            <w:vAlign w:val="center"/>
          </w:tcPr>
          <w:p w14:paraId="35CF494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≤0.01</w:t>
            </w:r>
          </w:p>
        </w:tc>
        <w:tc>
          <w:tcPr>
            <w:tcW w:w="618" w:type="pct"/>
            <w:vAlign w:val="center"/>
          </w:tcPr>
          <w:p w14:paraId="6C39F57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&gt;0.01</w:t>
            </w:r>
          </w:p>
        </w:tc>
        <w:tc>
          <w:tcPr>
            <w:tcW w:w="1251" w:type="pct"/>
            <w:vMerge w:val="continue"/>
            <w:vAlign w:val="center"/>
          </w:tcPr>
          <w:p w14:paraId="068BA311">
            <w:pPr>
              <w:spacing w:line="240" w:lineRule="auto"/>
              <w:ind w:firstLine="0" w:firstLineChars="0"/>
              <w:jc w:val="center"/>
              <w:rPr>
                <w:rFonts w:cs="Times New Roman"/>
                <w:kern w:val="0"/>
                <w:sz w:val="21"/>
                <w:szCs w:val="21"/>
                <w14:ligatures w14:val="none"/>
              </w:rPr>
            </w:pPr>
          </w:p>
        </w:tc>
      </w:tr>
      <w:tr w14:paraId="7F2A6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0A29402C">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6B8F914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铅（mg/L）</w:t>
            </w:r>
          </w:p>
        </w:tc>
        <w:tc>
          <w:tcPr>
            <w:tcW w:w="538" w:type="pct"/>
            <w:vAlign w:val="center"/>
          </w:tcPr>
          <w:p w14:paraId="7DC6357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≤0.005</w:t>
            </w:r>
          </w:p>
        </w:tc>
        <w:tc>
          <w:tcPr>
            <w:tcW w:w="553" w:type="pct"/>
            <w:vAlign w:val="center"/>
          </w:tcPr>
          <w:p w14:paraId="37FD6DF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≤0.005</w:t>
            </w:r>
          </w:p>
        </w:tc>
        <w:tc>
          <w:tcPr>
            <w:tcW w:w="481" w:type="pct"/>
            <w:vAlign w:val="center"/>
          </w:tcPr>
          <w:p w14:paraId="107194C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≤0.01</w:t>
            </w:r>
          </w:p>
        </w:tc>
        <w:tc>
          <w:tcPr>
            <w:tcW w:w="510" w:type="pct"/>
            <w:vAlign w:val="center"/>
          </w:tcPr>
          <w:p w14:paraId="706622A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≤0.10</w:t>
            </w:r>
          </w:p>
        </w:tc>
        <w:tc>
          <w:tcPr>
            <w:tcW w:w="618" w:type="pct"/>
            <w:vAlign w:val="center"/>
          </w:tcPr>
          <w:p w14:paraId="194D85D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&gt;0.10</w:t>
            </w:r>
          </w:p>
        </w:tc>
        <w:tc>
          <w:tcPr>
            <w:tcW w:w="1251" w:type="pct"/>
            <w:vMerge w:val="continue"/>
            <w:vAlign w:val="center"/>
          </w:tcPr>
          <w:p w14:paraId="4E146318">
            <w:pPr>
              <w:spacing w:line="240" w:lineRule="auto"/>
              <w:ind w:firstLine="0" w:firstLineChars="0"/>
              <w:jc w:val="center"/>
              <w:rPr>
                <w:rFonts w:cs="Times New Roman"/>
                <w:kern w:val="0"/>
                <w:sz w:val="21"/>
                <w:szCs w:val="21"/>
                <w14:ligatures w14:val="none"/>
              </w:rPr>
            </w:pPr>
          </w:p>
        </w:tc>
      </w:tr>
      <w:tr w14:paraId="0FF1F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19FDBAAA">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35EEDAC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挥发性酚类</w:t>
            </w:r>
          </w:p>
          <w:p w14:paraId="274D02E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（以苯酚计）（mg/L）</w:t>
            </w:r>
          </w:p>
        </w:tc>
        <w:tc>
          <w:tcPr>
            <w:tcW w:w="538" w:type="pct"/>
            <w:vAlign w:val="center"/>
          </w:tcPr>
          <w:p w14:paraId="507436B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≤0.001</w:t>
            </w:r>
          </w:p>
        </w:tc>
        <w:tc>
          <w:tcPr>
            <w:tcW w:w="553" w:type="pct"/>
            <w:vAlign w:val="center"/>
          </w:tcPr>
          <w:p w14:paraId="1565226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≤0.001</w:t>
            </w:r>
          </w:p>
        </w:tc>
        <w:tc>
          <w:tcPr>
            <w:tcW w:w="481" w:type="pct"/>
            <w:vAlign w:val="center"/>
          </w:tcPr>
          <w:p w14:paraId="63E52A7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≤0.002</w:t>
            </w:r>
          </w:p>
        </w:tc>
        <w:tc>
          <w:tcPr>
            <w:tcW w:w="510" w:type="pct"/>
            <w:vAlign w:val="center"/>
          </w:tcPr>
          <w:p w14:paraId="699B3D1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≤0.01</w:t>
            </w:r>
          </w:p>
        </w:tc>
        <w:tc>
          <w:tcPr>
            <w:tcW w:w="618" w:type="pct"/>
            <w:vAlign w:val="center"/>
          </w:tcPr>
          <w:p w14:paraId="0384ADF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&gt;0.01</w:t>
            </w:r>
          </w:p>
        </w:tc>
        <w:tc>
          <w:tcPr>
            <w:tcW w:w="1251" w:type="pct"/>
            <w:vMerge w:val="continue"/>
            <w:vAlign w:val="center"/>
          </w:tcPr>
          <w:p w14:paraId="1411F508">
            <w:pPr>
              <w:spacing w:line="240" w:lineRule="auto"/>
              <w:ind w:firstLine="0" w:firstLineChars="0"/>
              <w:jc w:val="center"/>
              <w:rPr>
                <w:rFonts w:cs="Times New Roman"/>
                <w:kern w:val="0"/>
                <w:sz w:val="21"/>
                <w:szCs w:val="21"/>
                <w14:ligatures w14:val="none"/>
              </w:rPr>
            </w:pPr>
          </w:p>
        </w:tc>
      </w:tr>
      <w:tr w14:paraId="04A7F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51C743EC">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6485A0B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总大肠菌群</w:t>
            </w:r>
          </w:p>
          <w:p w14:paraId="75730FC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（个/mL）</w:t>
            </w:r>
          </w:p>
        </w:tc>
        <w:tc>
          <w:tcPr>
            <w:tcW w:w="538" w:type="pct"/>
            <w:vAlign w:val="center"/>
          </w:tcPr>
          <w:p w14:paraId="5A311ED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≤3.0</w:t>
            </w:r>
          </w:p>
        </w:tc>
        <w:tc>
          <w:tcPr>
            <w:tcW w:w="553" w:type="pct"/>
            <w:vAlign w:val="center"/>
          </w:tcPr>
          <w:p w14:paraId="2978AD9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≤3.0</w:t>
            </w:r>
          </w:p>
        </w:tc>
        <w:tc>
          <w:tcPr>
            <w:tcW w:w="481" w:type="pct"/>
            <w:vAlign w:val="center"/>
          </w:tcPr>
          <w:p w14:paraId="15A950E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≤3.0</w:t>
            </w:r>
          </w:p>
        </w:tc>
        <w:tc>
          <w:tcPr>
            <w:tcW w:w="510" w:type="pct"/>
            <w:vAlign w:val="center"/>
          </w:tcPr>
          <w:p w14:paraId="1B90905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≤100</w:t>
            </w:r>
          </w:p>
        </w:tc>
        <w:tc>
          <w:tcPr>
            <w:tcW w:w="618" w:type="pct"/>
            <w:vAlign w:val="center"/>
          </w:tcPr>
          <w:p w14:paraId="13FE5A2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&gt;100</w:t>
            </w:r>
          </w:p>
        </w:tc>
        <w:tc>
          <w:tcPr>
            <w:tcW w:w="1251" w:type="pct"/>
            <w:vMerge w:val="continue"/>
            <w:vAlign w:val="center"/>
          </w:tcPr>
          <w:p w14:paraId="1FD68B3A">
            <w:pPr>
              <w:spacing w:line="240" w:lineRule="auto"/>
              <w:ind w:firstLine="0" w:firstLineChars="0"/>
              <w:jc w:val="center"/>
              <w:rPr>
                <w:rFonts w:cs="Times New Roman"/>
                <w:kern w:val="0"/>
                <w:sz w:val="21"/>
                <w:szCs w:val="21"/>
                <w14:ligatures w14:val="none"/>
              </w:rPr>
            </w:pPr>
          </w:p>
        </w:tc>
      </w:tr>
      <w:tr w14:paraId="64AB2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vAlign w:val="center"/>
          </w:tcPr>
          <w:p w14:paraId="3A6945A8">
            <w:pPr>
              <w:numPr>
                <w:ilvl w:val="0"/>
                <w:numId w:val="6"/>
              </w:numPr>
              <w:spacing w:line="240" w:lineRule="auto"/>
              <w:ind w:left="0" w:firstLine="0" w:firstLineChars="0"/>
              <w:jc w:val="center"/>
              <w:rPr>
                <w:rFonts w:cs="Times New Roman"/>
                <w:kern w:val="0"/>
                <w:sz w:val="21"/>
                <w:szCs w:val="21"/>
                <w14:ligatures w14:val="none"/>
              </w:rPr>
            </w:pPr>
          </w:p>
        </w:tc>
        <w:tc>
          <w:tcPr>
            <w:tcW w:w="796" w:type="pct"/>
            <w:vAlign w:val="center"/>
          </w:tcPr>
          <w:p w14:paraId="73A21E8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菌落总数（CFU/mL）</w:t>
            </w:r>
          </w:p>
        </w:tc>
        <w:tc>
          <w:tcPr>
            <w:tcW w:w="538" w:type="pct"/>
            <w:vAlign w:val="center"/>
          </w:tcPr>
          <w:p w14:paraId="2D7A6C2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≤100</w:t>
            </w:r>
          </w:p>
        </w:tc>
        <w:tc>
          <w:tcPr>
            <w:tcW w:w="553" w:type="pct"/>
            <w:vAlign w:val="center"/>
          </w:tcPr>
          <w:p w14:paraId="4C94BE4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≤100</w:t>
            </w:r>
          </w:p>
        </w:tc>
        <w:tc>
          <w:tcPr>
            <w:tcW w:w="481" w:type="pct"/>
            <w:vAlign w:val="center"/>
          </w:tcPr>
          <w:p w14:paraId="0155ACE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≤100</w:t>
            </w:r>
          </w:p>
        </w:tc>
        <w:tc>
          <w:tcPr>
            <w:tcW w:w="510" w:type="pct"/>
            <w:vAlign w:val="center"/>
          </w:tcPr>
          <w:p w14:paraId="4ED5CE7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≤1000</w:t>
            </w:r>
          </w:p>
        </w:tc>
        <w:tc>
          <w:tcPr>
            <w:tcW w:w="618" w:type="pct"/>
            <w:vAlign w:val="center"/>
          </w:tcPr>
          <w:p w14:paraId="7B5F655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&gt;1000</w:t>
            </w:r>
          </w:p>
        </w:tc>
        <w:tc>
          <w:tcPr>
            <w:tcW w:w="1251" w:type="pct"/>
            <w:vMerge w:val="continue"/>
            <w:vAlign w:val="center"/>
          </w:tcPr>
          <w:p w14:paraId="15BF3D9B">
            <w:pPr>
              <w:spacing w:line="240" w:lineRule="auto"/>
              <w:ind w:firstLine="0" w:firstLineChars="0"/>
              <w:jc w:val="center"/>
              <w:rPr>
                <w:rFonts w:cs="Times New Roman"/>
                <w:kern w:val="0"/>
                <w:sz w:val="21"/>
                <w:szCs w:val="21"/>
                <w14:ligatures w14:val="none"/>
              </w:rPr>
            </w:pPr>
          </w:p>
        </w:tc>
      </w:tr>
    </w:tbl>
    <w:p w14:paraId="141CDD1B">
      <w:pPr>
        <w:ind w:firstLine="482"/>
        <w:outlineLvl w:val="3"/>
        <w:rPr>
          <w:b/>
          <w:bCs/>
        </w:rPr>
      </w:pPr>
      <w:r>
        <w:rPr>
          <w:rFonts w:hint="eastAsia"/>
          <w:b/>
          <w:bCs/>
        </w:rPr>
        <w:t>（5）土壤、底泥环境质量标准</w:t>
      </w:r>
    </w:p>
    <w:p w14:paraId="325B16D2">
      <w:pPr>
        <w:ind w:firstLine="480"/>
      </w:pPr>
      <w:r>
        <w:rPr>
          <w:rFonts w:hint="eastAsia"/>
        </w:rPr>
        <w:t>建设用地土壤环境质量标准执行《土壤环境质量 建设用地土壤污染风险管控标准（试行）》（GB 36600-2018），农用地执行《土壤环境质量 农用地土壤污染风险管控标准（试行）》（GB 15618-2018），底泥环境质量参照执行《土壤环境质量 农用地土壤污染风险管控标准（试行）》（GB 15618-2018），具体标准值见表1.7-5和表1.7-6。</w:t>
      </w:r>
    </w:p>
    <w:p w14:paraId="60E3DE40">
      <w:pPr>
        <w:widowControl/>
        <w:snapToGrid w:val="0"/>
        <w:spacing w:before="62" w:beforeLines="20" w:after="62" w:afterLines="20" w:line="500" w:lineRule="exact"/>
        <w:ind w:firstLine="0" w:firstLineChars="0"/>
        <w:jc w:val="center"/>
        <w:outlineLvl w:val="6"/>
        <w:rPr>
          <w:rFonts w:cs="Times New Roman"/>
          <w:b/>
          <w:szCs w:val="24"/>
          <w14:ligatures w14:val="none"/>
        </w:rPr>
        <w:sectPr>
          <w:footerReference r:id="rId11" w:type="default"/>
          <w:pgSz w:w="11906" w:h="16838"/>
          <w:pgMar w:top="1440" w:right="1800" w:bottom="1440" w:left="1800" w:header="851" w:footer="992" w:gutter="0"/>
          <w:pgNumType w:start="1"/>
          <w:cols w:space="425" w:num="1"/>
          <w:docGrid w:type="lines" w:linePitch="312" w:charSpace="0"/>
        </w:sectPr>
      </w:pPr>
    </w:p>
    <w:p w14:paraId="6B87511A">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 xml:space="preserve">表1.7-5  </w:t>
      </w:r>
      <w:r>
        <w:rPr>
          <w:rFonts w:hint="eastAsia" w:cs="Times New Roman"/>
          <w:b/>
          <w:szCs w:val="24"/>
          <w14:ligatures w14:val="none"/>
        </w:rPr>
        <w:t>建设用地土壤污染风险筛选值和管制值 单位：mg/kg</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6"/>
        <w:gridCol w:w="2166"/>
        <w:gridCol w:w="1420"/>
        <w:gridCol w:w="1420"/>
        <w:gridCol w:w="1420"/>
        <w:gridCol w:w="1420"/>
      </w:tblGrid>
      <w:tr w14:paraId="5F75F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397" w:type="pct"/>
            <w:vMerge w:val="restart"/>
            <w:vAlign w:val="center"/>
          </w:tcPr>
          <w:p w14:paraId="413F31FB">
            <w:pPr>
              <w:spacing w:line="240" w:lineRule="auto"/>
              <w:ind w:firstLine="0" w:firstLineChars="0"/>
              <w:jc w:val="center"/>
              <w:rPr>
                <w:rFonts w:cs="Times New Roman"/>
                <w:b/>
                <w:bCs/>
                <w:sz w:val="21"/>
                <w:szCs w:val="21"/>
                <w14:ligatures w14:val="none"/>
              </w:rPr>
            </w:pPr>
            <w:r>
              <w:rPr>
                <w:rFonts w:cs="Times New Roman"/>
                <w:b/>
                <w:bCs/>
                <w:sz w:val="21"/>
                <w:szCs w:val="21"/>
                <w14:ligatures w14:val="none"/>
              </w:rPr>
              <w:t>序号</w:t>
            </w:r>
          </w:p>
        </w:tc>
        <w:tc>
          <w:tcPr>
            <w:tcW w:w="1271" w:type="pct"/>
            <w:vMerge w:val="restart"/>
            <w:tcBorders>
              <w:left w:val="single" w:color="auto" w:sz="4" w:space="0"/>
            </w:tcBorders>
            <w:vAlign w:val="center"/>
          </w:tcPr>
          <w:p w14:paraId="306D3470">
            <w:pPr>
              <w:spacing w:line="240" w:lineRule="auto"/>
              <w:ind w:firstLine="0" w:firstLineChars="0"/>
              <w:jc w:val="center"/>
              <w:rPr>
                <w:rFonts w:cs="Times New Roman"/>
                <w:b/>
                <w:bCs/>
                <w:sz w:val="21"/>
                <w:szCs w:val="21"/>
                <w14:ligatures w14:val="none"/>
              </w:rPr>
            </w:pPr>
            <w:r>
              <w:rPr>
                <w:rFonts w:cs="Times New Roman"/>
                <w:b/>
                <w:bCs/>
                <w:sz w:val="21"/>
                <w:szCs w:val="21"/>
                <w14:ligatures w14:val="none"/>
              </w:rPr>
              <w:t>污染物项目</w:t>
            </w:r>
          </w:p>
        </w:tc>
        <w:tc>
          <w:tcPr>
            <w:tcW w:w="833" w:type="pct"/>
            <w:tcBorders>
              <w:left w:val="single" w:color="auto" w:sz="4" w:space="0"/>
            </w:tcBorders>
            <w:vAlign w:val="center"/>
          </w:tcPr>
          <w:p w14:paraId="688186C0">
            <w:pPr>
              <w:spacing w:line="240" w:lineRule="auto"/>
              <w:ind w:firstLine="0" w:firstLineChars="0"/>
              <w:jc w:val="center"/>
              <w:rPr>
                <w:rFonts w:cs="Times New Roman"/>
                <w:b/>
                <w:bCs/>
                <w:sz w:val="21"/>
                <w:szCs w:val="21"/>
                <w14:ligatures w14:val="none"/>
              </w:rPr>
            </w:pPr>
            <w:r>
              <w:rPr>
                <w:rFonts w:cs="Times New Roman"/>
                <w:b/>
                <w:bCs/>
                <w:sz w:val="21"/>
                <w:szCs w:val="21"/>
                <w14:ligatures w14:val="none"/>
              </w:rPr>
              <w:t>筛选值</w:t>
            </w:r>
          </w:p>
        </w:tc>
        <w:tc>
          <w:tcPr>
            <w:tcW w:w="833" w:type="pct"/>
            <w:tcBorders>
              <w:left w:val="single" w:color="auto" w:sz="4" w:space="0"/>
              <w:right w:val="single" w:color="auto" w:sz="4" w:space="0"/>
            </w:tcBorders>
            <w:vAlign w:val="center"/>
          </w:tcPr>
          <w:p w14:paraId="4C1B5A54">
            <w:pPr>
              <w:spacing w:line="240" w:lineRule="auto"/>
              <w:ind w:firstLine="0" w:firstLineChars="0"/>
              <w:jc w:val="center"/>
              <w:rPr>
                <w:rFonts w:cs="Times New Roman"/>
                <w:b/>
                <w:bCs/>
                <w:sz w:val="21"/>
                <w:szCs w:val="21"/>
                <w14:ligatures w14:val="none"/>
              </w:rPr>
            </w:pPr>
            <w:r>
              <w:rPr>
                <w:rFonts w:cs="Times New Roman"/>
                <w:b/>
                <w:bCs/>
                <w:sz w:val="21"/>
                <w:szCs w:val="21"/>
                <w14:ligatures w14:val="none"/>
              </w:rPr>
              <w:t>管制值</w:t>
            </w:r>
          </w:p>
        </w:tc>
        <w:tc>
          <w:tcPr>
            <w:tcW w:w="833" w:type="pct"/>
            <w:tcBorders>
              <w:left w:val="single" w:color="auto" w:sz="4" w:space="0"/>
            </w:tcBorders>
            <w:vAlign w:val="center"/>
          </w:tcPr>
          <w:p w14:paraId="5065158B">
            <w:pPr>
              <w:spacing w:line="240" w:lineRule="auto"/>
              <w:ind w:firstLine="0" w:firstLineChars="0"/>
              <w:jc w:val="center"/>
              <w:rPr>
                <w:rFonts w:cs="Times New Roman"/>
                <w:b/>
                <w:bCs/>
                <w:sz w:val="21"/>
                <w:szCs w:val="21"/>
                <w14:ligatures w14:val="none"/>
              </w:rPr>
            </w:pPr>
            <w:r>
              <w:rPr>
                <w:rFonts w:cs="Times New Roman"/>
                <w:b/>
                <w:bCs/>
                <w:sz w:val="21"/>
                <w:szCs w:val="21"/>
                <w14:ligatures w14:val="none"/>
              </w:rPr>
              <w:t>筛选值</w:t>
            </w:r>
          </w:p>
        </w:tc>
        <w:tc>
          <w:tcPr>
            <w:tcW w:w="833" w:type="pct"/>
            <w:tcBorders>
              <w:left w:val="single" w:color="auto" w:sz="4" w:space="0"/>
            </w:tcBorders>
            <w:vAlign w:val="center"/>
          </w:tcPr>
          <w:p w14:paraId="50F844D8">
            <w:pPr>
              <w:spacing w:line="240" w:lineRule="auto"/>
              <w:ind w:firstLine="0" w:firstLineChars="0"/>
              <w:jc w:val="center"/>
              <w:rPr>
                <w:rFonts w:cs="Times New Roman"/>
                <w:b/>
                <w:bCs/>
                <w:sz w:val="21"/>
                <w:szCs w:val="21"/>
                <w14:ligatures w14:val="none"/>
              </w:rPr>
            </w:pPr>
            <w:r>
              <w:rPr>
                <w:rFonts w:cs="Times New Roman"/>
                <w:b/>
                <w:bCs/>
                <w:sz w:val="21"/>
                <w:szCs w:val="21"/>
                <w14:ligatures w14:val="none"/>
              </w:rPr>
              <w:t>管制值</w:t>
            </w:r>
          </w:p>
        </w:tc>
      </w:tr>
      <w:tr w14:paraId="44DD9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blHeader/>
        </w:trPr>
        <w:tc>
          <w:tcPr>
            <w:tcW w:w="397" w:type="pct"/>
            <w:vMerge w:val="continue"/>
            <w:vAlign w:val="center"/>
          </w:tcPr>
          <w:p w14:paraId="4C056CB4">
            <w:pPr>
              <w:spacing w:line="240" w:lineRule="auto"/>
              <w:ind w:firstLine="0" w:firstLineChars="0"/>
              <w:jc w:val="center"/>
              <w:rPr>
                <w:rFonts w:cs="Times New Roman"/>
                <w:b/>
                <w:bCs/>
                <w:sz w:val="21"/>
                <w:szCs w:val="21"/>
                <w14:ligatures w14:val="none"/>
              </w:rPr>
            </w:pPr>
          </w:p>
        </w:tc>
        <w:tc>
          <w:tcPr>
            <w:tcW w:w="1271" w:type="pct"/>
            <w:vMerge w:val="continue"/>
            <w:tcBorders>
              <w:left w:val="single" w:color="auto" w:sz="4" w:space="0"/>
            </w:tcBorders>
            <w:vAlign w:val="center"/>
          </w:tcPr>
          <w:p w14:paraId="07281BE5">
            <w:pPr>
              <w:spacing w:line="240" w:lineRule="auto"/>
              <w:ind w:firstLine="0" w:firstLineChars="0"/>
              <w:jc w:val="center"/>
              <w:rPr>
                <w:rFonts w:cs="Times New Roman"/>
                <w:b/>
                <w:bCs/>
                <w:sz w:val="21"/>
                <w:szCs w:val="21"/>
                <w14:ligatures w14:val="none"/>
              </w:rPr>
            </w:pPr>
          </w:p>
        </w:tc>
        <w:tc>
          <w:tcPr>
            <w:tcW w:w="1666" w:type="pct"/>
            <w:gridSpan w:val="2"/>
            <w:tcBorders>
              <w:left w:val="single" w:color="auto" w:sz="4" w:space="0"/>
              <w:right w:val="single" w:color="auto" w:sz="4" w:space="0"/>
            </w:tcBorders>
            <w:vAlign w:val="center"/>
          </w:tcPr>
          <w:p w14:paraId="28C2E640">
            <w:pPr>
              <w:spacing w:line="240" w:lineRule="auto"/>
              <w:ind w:firstLine="0" w:firstLineChars="0"/>
              <w:jc w:val="center"/>
              <w:rPr>
                <w:rFonts w:cs="Times New Roman"/>
                <w:b/>
                <w:bCs/>
                <w:sz w:val="21"/>
                <w:szCs w:val="21"/>
                <w14:ligatures w14:val="none"/>
              </w:rPr>
            </w:pPr>
            <w:r>
              <w:rPr>
                <w:rFonts w:cs="Times New Roman"/>
                <w:b/>
                <w:bCs/>
                <w:sz w:val="21"/>
                <w:szCs w:val="21"/>
                <w14:ligatures w14:val="none"/>
              </w:rPr>
              <w:t>第一类用地</w:t>
            </w:r>
          </w:p>
        </w:tc>
        <w:tc>
          <w:tcPr>
            <w:tcW w:w="1666" w:type="pct"/>
            <w:gridSpan w:val="2"/>
            <w:tcBorders>
              <w:left w:val="single" w:color="auto" w:sz="4" w:space="0"/>
            </w:tcBorders>
            <w:vAlign w:val="center"/>
          </w:tcPr>
          <w:p w14:paraId="5807F8B8">
            <w:pPr>
              <w:spacing w:line="240" w:lineRule="auto"/>
              <w:ind w:firstLine="0" w:firstLineChars="0"/>
              <w:jc w:val="center"/>
              <w:rPr>
                <w:rFonts w:cs="Times New Roman"/>
                <w:b/>
                <w:bCs/>
                <w:sz w:val="21"/>
                <w:szCs w:val="21"/>
                <w14:ligatures w14:val="none"/>
              </w:rPr>
            </w:pPr>
            <w:r>
              <w:rPr>
                <w:rFonts w:cs="Times New Roman"/>
                <w:b/>
                <w:bCs/>
                <w:sz w:val="21"/>
                <w:szCs w:val="21"/>
                <w14:ligatures w14:val="none"/>
              </w:rPr>
              <w:t>第二类用地</w:t>
            </w:r>
          </w:p>
        </w:tc>
      </w:tr>
      <w:tr w14:paraId="1D592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0337A83B">
            <w:pPr>
              <w:spacing w:line="240" w:lineRule="auto"/>
              <w:ind w:firstLine="0" w:firstLineChars="0"/>
              <w:jc w:val="center"/>
              <w:rPr>
                <w:rFonts w:cs="Times New Roman"/>
                <w:sz w:val="21"/>
                <w:szCs w:val="21"/>
                <w14:ligatures w14:val="none"/>
              </w:rPr>
            </w:pPr>
            <w:r>
              <w:rPr>
                <w:rFonts w:cs="Times New Roman"/>
                <w:sz w:val="21"/>
                <w:szCs w:val="21"/>
                <w14:ligatures w14:val="none"/>
              </w:rPr>
              <w:t>1</w:t>
            </w:r>
          </w:p>
        </w:tc>
        <w:tc>
          <w:tcPr>
            <w:tcW w:w="1271" w:type="pct"/>
            <w:tcBorders>
              <w:left w:val="single" w:color="auto" w:sz="4" w:space="0"/>
            </w:tcBorders>
            <w:vAlign w:val="center"/>
          </w:tcPr>
          <w:p w14:paraId="093D8DD1">
            <w:pPr>
              <w:spacing w:line="240" w:lineRule="auto"/>
              <w:ind w:firstLine="0" w:firstLineChars="0"/>
              <w:jc w:val="center"/>
              <w:rPr>
                <w:rFonts w:cs="Times New Roman"/>
                <w:sz w:val="21"/>
                <w:szCs w:val="21"/>
                <w14:ligatures w14:val="none"/>
              </w:rPr>
            </w:pPr>
            <w:r>
              <w:rPr>
                <w:rFonts w:cs="Times New Roman"/>
                <w:sz w:val="21"/>
                <w:szCs w:val="21"/>
                <w14:ligatures w14:val="none"/>
              </w:rPr>
              <w:t>砷</w:t>
            </w:r>
          </w:p>
        </w:tc>
        <w:tc>
          <w:tcPr>
            <w:tcW w:w="833" w:type="pct"/>
            <w:tcBorders>
              <w:left w:val="single" w:color="auto" w:sz="4" w:space="0"/>
            </w:tcBorders>
            <w:vAlign w:val="center"/>
          </w:tcPr>
          <w:p w14:paraId="19764F1E">
            <w:pPr>
              <w:spacing w:line="240" w:lineRule="auto"/>
              <w:ind w:firstLine="0" w:firstLineChars="0"/>
              <w:jc w:val="center"/>
              <w:rPr>
                <w:rFonts w:cs="Times New Roman"/>
                <w:sz w:val="21"/>
                <w:szCs w:val="21"/>
                <w14:ligatures w14:val="none"/>
              </w:rPr>
            </w:pPr>
            <w:r>
              <w:rPr>
                <w:rFonts w:cs="Times New Roman"/>
                <w:sz w:val="21"/>
                <w:szCs w:val="21"/>
                <w14:ligatures w14:val="none"/>
              </w:rPr>
              <w:t>20</w:t>
            </w:r>
          </w:p>
        </w:tc>
        <w:tc>
          <w:tcPr>
            <w:tcW w:w="833" w:type="pct"/>
            <w:tcBorders>
              <w:left w:val="single" w:color="auto" w:sz="4" w:space="0"/>
              <w:right w:val="single" w:color="auto" w:sz="4" w:space="0"/>
            </w:tcBorders>
            <w:vAlign w:val="center"/>
          </w:tcPr>
          <w:p w14:paraId="6AC5E13E">
            <w:pPr>
              <w:spacing w:line="240" w:lineRule="auto"/>
              <w:ind w:firstLine="0" w:firstLineChars="0"/>
              <w:jc w:val="center"/>
              <w:rPr>
                <w:rFonts w:cs="Times New Roman"/>
                <w:sz w:val="21"/>
                <w:szCs w:val="21"/>
                <w14:ligatures w14:val="none"/>
              </w:rPr>
            </w:pPr>
            <w:r>
              <w:rPr>
                <w:rFonts w:cs="Times New Roman"/>
                <w:sz w:val="21"/>
                <w:szCs w:val="21"/>
                <w14:ligatures w14:val="none"/>
              </w:rPr>
              <w:t>60</w:t>
            </w:r>
          </w:p>
        </w:tc>
        <w:tc>
          <w:tcPr>
            <w:tcW w:w="833" w:type="pct"/>
            <w:tcBorders>
              <w:left w:val="single" w:color="auto" w:sz="4" w:space="0"/>
            </w:tcBorders>
            <w:vAlign w:val="center"/>
          </w:tcPr>
          <w:p w14:paraId="445EF0AF">
            <w:pPr>
              <w:spacing w:line="240" w:lineRule="auto"/>
              <w:ind w:firstLine="0" w:firstLineChars="0"/>
              <w:jc w:val="center"/>
              <w:rPr>
                <w:rFonts w:cs="Times New Roman"/>
                <w:sz w:val="21"/>
                <w:szCs w:val="21"/>
                <w14:ligatures w14:val="none"/>
              </w:rPr>
            </w:pPr>
            <w:r>
              <w:rPr>
                <w:rFonts w:cs="Times New Roman"/>
                <w:sz w:val="21"/>
                <w:szCs w:val="21"/>
                <w14:ligatures w14:val="none"/>
              </w:rPr>
              <w:t>60</w:t>
            </w:r>
          </w:p>
        </w:tc>
        <w:tc>
          <w:tcPr>
            <w:tcW w:w="833" w:type="pct"/>
            <w:tcBorders>
              <w:left w:val="single" w:color="auto" w:sz="4" w:space="0"/>
            </w:tcBorders>
            <w:vAlign w:val="center"/>
          </w:tcPr>
          <w:p w14:paraId="0944540D">
            <w:pPr>
              <w:spacing w:line="240" w:lineRule="auto"/>
              <w:ind w:firstLine="0" w:firstLineChars="0"/>
              <w:jc w:val="center"/>
              <w:rPr>
                <w:rFonts w:cs="Times New Roman"/>
                <w:sz w:val="21"/>
                <w:szCs w:val="21"/>
                <w14:ligatures w14:val="none"/>
              </w:rPr>
            </w:pPr>
            <w:r>
              <w:rPr>
                <w:rFonts w:cs="Times New Roman"/>
                <w:sz w:val="21"/>
                <w:szCs w:val="21"/>
                <w14:ligatures w14:val="none"/>
              </w:rPr>
              <w:t>140</w:t>
            </w:r>
          </w:p>
        </w:tc>
      </w:tr>
      <w:tr w14:paraId="28263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015890D5">
            <w:pPr>
              <w:spacing w:line="240" w:lineRule="auto"/>
              <w:ind w:firstLine="0" w:firstLineChars="0"/>
              <w:jc w:val="center"/>
              <w:rPr>
                <w:rFonts w:cs="Times New Roman"/>
                <w:sz w:val="21"/>
                <w:szCs w:val="21"/>
                <w14:ligatures w14:val="none"/>
              </w:rPr>
            </w:pPr>
            <w:r>
              <w:rPr>
                <w:rFonts w:cs="Times New Roman"/>
                <w:sz w:val="21"/>
                <w:szCs w:val="21"/>
                <w14:ligatures w14:val="none"/>
              </w:rPr>
              <w:t>2</w:t>
            </w:r>
          </w:p>
        </w:tc>
        <w:tc>
          <w:tcPr>
            <w:tcW w:w="1271" w:type="pct"/>
            <w:tcBorders>
              <w:left w:val="single" w:color="auto" w:sz="4" w:space="0"/>
            </w:tcBorders>
            <w:vAlign w:val="center"/>
          </w:tcPr>
          <w:p w14:paraId="3DB8E9AF">
            <w:pPr>
              <w:spacing w:line="240" w:lineRule="auto"/>
              <w:ind w:firstLine="0" w:firstLineChars="0"/>
              <w:jc w:val="center"/>
              <w:rPr>
                <w:rFonts w:cs="Times New Roman"/>
                <w:sz w:val="21"/>
                <w:szCs w:val="21"/>
                <w14:ligatures w14:val="none"/>
              </w:rPr>
            </w:pPr>
            <w:r>
              <w:rPr>
                <w:rFonts w:cs="Times New Roman"/>
                <w:sz w:val="21"/>
                <w:szCs w:val="21"/>
                <w14:ligatures w14:val="none"/>
              </w:rPr>
              <w:t>镉</w:t>
            </w:r>
          </w:p>
        </w:tc>
        <w:tc>
          <w:tcPr>
            <w:tcW w:w="833" w:type="pct"/>
            <w:tcBorders>
              <w:left w:val="single" w:color="auto" w:sz="4" w:space="0"/>
            </w:tcBorders>
            <w:vAlign w:val="center"/>
          </w:tcPr>
          <w:p w14:paraId="79E9C227">
            <w:pPr>
              <w:spacing w:line="240" w:lineRule="auto"/>
              <w:ind w:firstLine="0" w:firstLineChars="0"/>
              <w:jc w:val="center"/>
              <w:rPr>
                <w:rFonts w:cs="Times New Roman"/>
                <w:sz w:val="21"/>
                <w:szCs w:val="21"/>
                <w14:ligatures w14:val="none"/>
              </w:rPr>
            </w:pPr>
            <w:r>
              <w:rPr>
                <w:rFonts w:cs="Times New Roman"/>
                <w:sz w:val="21"/>
                <w:szCs w:val="21"/>
                <w14:ligatures w14:val="none"/>
              </w:rPr>
              <w:t>20</w:t>
            </w:r>
          </w:p>
        </w:tc>
        <w:tc>
          <w:tcPr>
            <w:tcW w:w="833" w:type="pct"/>
            <w:tcBorders>
              <w:left w:val="single" w:color="auto" w:sz="4" w:space="0"/>
              <w:right w:val="single" w:color="auto" w:sz="4" w:space="0"/>
            </w:tcBorders>
            <w:vAlign w:val="center"/>
          </w:tcPr>
          <w:p w14:paraId="17CA46D6">
            <w:pPr>
              <w:spacing w:line="240" w:lineRule="auto"/>
              <w:ind w:firstLine="0" w:firstLineChars="0"/>
              <w:jc w:val="center"/>
              <w:rPr>
                <w:rFonts w:cs="Times New Roman"/>
                <w:sz w:val="21"/>
                <w:szCs w:val="21"/>
                <w14:ligatures w14:val="none"/>
              </w:rPr>
            </w:pPr>
            <w:r>
              <w:rPr>
                <w:rFonts w:cs="Times New Roman"/>
                <w:sz w:val="21"/>
                <w:szCs w:val="21"/>
                <w14:ligatures w14:val="none"/>
              </w:rPr>
              <w:t>65</w:t>
            </w:r>
          </w:p>
        </w:tc>
        <w:tc>
          <w:tcPr>
            <w:tcW w:w="833" w:type="pct"/>
            <w:tcBorders>
              <w:left w:val="single" w:color="auto" w:sz="4" w:space="0"/>
            </w:tcBorders>
            <w:vAlign w:val="center"/>
          </w:tcPr>
          <w:p w14:paraId="460C2C2D">
            <w:pPr>
              <w:spacing w:line="240" w:lineRule="auto"/>
              <w:ind w:firstLine="0" w:firstLineChars="0"/>
              <w:jc w:val="center"/>
              <w:rPr>
                <w:rFonts w:cs="Times New Roman"/>
                <w:sz w:val="21"/>
                <w:szCs w:val="21"/>
                <w14:ligatures w14:val="none"/>
              </w:rPr>
            </w:pPr>
            <w:r>
              <w:rPr>
                <w:rFonts w:cs="Times New Roman"/>
                <w:sz w:val="21"/>
                <w:szCs w:val="21"/>
                <w14:ligatures w14:val="none"/>
              </w:rPr>
              <w:t>65</w:t>
            </w:r>
          </w:p>
        </w:tc>
        <w:tc>
          <w:tcPr>
            <w:tcW w:w="833" w:type="pct"/>
            <w:tcBorders>
              <w:left w:val="single" w:color="auto" w:sz="4" w:space="0"/>
            </w:tcBorders>
            <w:vAlign w:val="center"/>
          </w:tcPr>
          <w:p w14:paraId="5C07892C">
            <w:pPr>
              <w:spacing w:line="240" w:lineRule="auto"/>
              <w:ind w:firstLine="0" w:firstLineChars="0"/>
              <w:jc w:val="center"/>
              <w:rPr>
                <w:rFonts w:cs="Times New Roman"/>
                <w:sz w:val="21"/>
                <w:szCs w:val="21"/>
                <w14:ligatures w14:val="none"/>
              </w:rPr>
            </w:pPr>
            <w:r>
              <w:rPr>
                <w:rFonts w:cs="Times New Roman"/>
                <w:sz w:val="21"/>
                <w:szCs w:val="21"/>
                <w14:ligatures w14:val="none"/>
              </w:rPr>
              <w:t>172</w:t>
            </w:r>
          </w:p>
        </w:tc>
      </w:tr>
      <w:tr w14:paraId="0B354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5D9088A2">
            <w:pPr>
              <w:spacing w:line="240" w:lineRule="auto"/>
              <w:ind w:firstLine="0" w:firstLineChars="0"/>
              <w:jc w:val="center"/>
              <w:rPr>
                <w:rFonts w:cs="Times New Roman"/>
                <w:sz w:val="21"/>
                <w:szCs w:val="21"/>
                <w14:ligatures w14:val="none"/>
              </w:rPr>
            </w:pPr>
            <w:r>
              <w:rPr>
                <w:rFonts w:cs="Times New Roman"/>
                <w:sz w:val="21"/>
                <w:szCs w:val="21"/>
                <w14:ligatures w14:val="none"/>
              </w:rPr>
              <w:t>3</w:t>
            </w:r>
          </w:p>
        </w:tc>
        <w:tc>
          <w:tcPr>
            <w:tcW w:w="1271" w:type="pct"/>
            <w:tcBorders>
              <w:left w:val="single" w:color="auto" w:sz="4" w:space="0"/>
            </w:tcBorders>
            <w:vAlign w:val="center"/>
          </w:tcPr>
          <w:p w14:paraId="0CD692BC">
            <w:pPr>
              <w:spacing w:line="240" w:lineRule="auto"/>
              <w:ind w:firstLine="0" w:firstLineChars="0"/>
              <w:jc w:val="center"/>
              <w:rPr>
                <w:rFonts w:cs="Times New Roman"/>
                <w:sz w:val="21"/>
                <w:szCs w:val="21"/>
                <w14:ligatures w14:val="none"/>
              </w:rPr>
            </w:pPr>
            <w:r>
              <w:rPr>
                <w:rFonts w:cs="Times New Roman"/>
                <w:sz w:val="21"/>
                <w:szCs w:val="21"/>
                <w14:ligatures w14:val="none"/>
              </w:rPr>
              <w:t>铬（六价）</w:t>
            </w:r>
          </w:p>
        </w:tc>
        <w:tc>
          <w:tcPr>
            <w:tcW w:w="833" w:type="pct"/>
            <w:tcBorders>
              <w:left w:val="single" w:color="auto" w:sz="4" w:space="0"/>
            </w:tcBorders>
            <w:vAlign w:val="center"/>
          </w:tcPr>
          <w:p w14:paraId="1EC7EEA5">
            <w:pPr>
              <w:spacing w:line="240" w:lineRule="auto"/>
              <w:ind w:firstLine="0" w:firstLineChars="0"/>
              <w:jc w:val="center"/>
              <w:rPr>
                <w:rFonts w:cs="Times New Roman"/>
                <w:sz w:val="21"/>
                <w:szCs w:val="21"/>
                <w14:ligatures w14:val="none"/>
              </w:rPr>
            </w:pPr>
            <w:r>
              <w:rPr>
                <w:rFonts w:cs="Times New Roman"/>
                <w:sz w:val="21"/>
                <w:szCs w:val="21"/>
                <w14:ligatures w14:val="none"/>
              </w:rPr>
              <w:t>3.0</w:t>
            </w:r>
          </w:p>
        </w:tc>
        <w:tc>
          <w:tcPr>
            <w:tcW w:w="833" w:type="pct"/>
            <w:tcBorders>
              <w:left w:val="single" w:color="auto" w:sz="4" w:space="0"/>
              <w:right w:val="single" w:color="auto" w:sz="4" w:space="0"/>
            </w:tcBorders>
            <w:vAlign w:val="center"/>
          </w:tcPr>
          <w:p w14:paraId="771AFA31">
            <w:pPr>
              <w:spacing w:line="240" w:lineRule="auto"/>
              <w:ind w:firstLine="0" w:firstLineChars="0"/>
              <w:jc w:val="center"/>
              <w:rPr>
                <w:rFonts w:cs="Times New Roman"/>
                <w:sz w:val="21"/>
                <w:szCs w:val="21"/>
                <w14:ligatures w14:val="none"/>
              </w:rPr>
            </w:pPr>
            <w:r>
              <w:rPr>
                <w:rFonts w:cs="Times New Roman"/>
                <w:sz w:val="21"/>
                <w:szCs w:val="21"/>
                <w14:ligatures w14:val="none"/>
              </w:rPr>
              <w:t>5.7</w:t>
            </w:r>
          </w:p>
        </w:tc>
        <w:tc>
          <w:tcPr>
            <w:tcW w:w="833" w:type="pct"/>
            <w:tcBorders>
              <w:left w:val="single" w:color="auto" w:sz="4" w:space="0"/>
            </w:tcBorders>
            <w:vAlign w:val="center"/>
          </w:tcPr>
          <w:p w14:paraId="60FD2A3A">
            <w:pPr>
              <w:spacing w:line="240" w:lineRule="auto"/>
              <w:ind w:firstLine="0" w:firstLineChars="0"/>
              <w:jc w:val="center"/>
              <w:rPr>
                <w:rFonts w:cs="Times New Roman"/>
                <w:sz w:val="21"/>
                <w:szCs w:val="21"/>
                <w14:ligatures w14:val="none"/>
              </w:rPr>
            </w:pPr>
            <w:r>
              <w:rPr>
                <w:rFonts w:cs="Times New Roman"/>
                <w:sz w:val="21"/>
                <w:szCs w:val="21"/>
                <w14:ligatures w14:val="none"/>
              </w:rPr>
              <w:t>5.7</w:t>
            </w:r>
          </w:p>
        </w:tc>
        <w:tc>
          <w:tcPr>
            <w:tcW w:w="833" w:type="pct"/>
            <w:tcBorders>
              <w:left w:val="single" w:color="auto" w:sz="4" w:space="0"/>
            </w:tcBorders>
            <w:vAlign w:val="center"/>
          </w:tcPr>
          <w:p w14:paraId="6B49D9CB">
            <w:pPr>
              <w:spacing w:line="240" w:lineRule="auto"/>
              <w:ind w:firstLine="0" w:firstLineChars="0"/>
              <w:jc w:val="center"/>
              <w:rPr>
                <w:rFonts w:cs="Times New Roman"/>
                <w:sz w:val="21"/>
                <w:szCs w:val="21"/>
                <w14:ligatures w14:val="none"/>
              </w:rPr>
            </w:pPr>
            <w:r>
              <w:rPr>
                <w:rFonts w:cs="Times New Roman"/>
                <w:sz w:val="21"/>
                <w:szCs w:val="21"/>
                <w14:ligatures w14:val="none"/>
              </w:rPr>
              <w:t>78</w:t>
            </w:r>
          </w:p>
        </w:tc>
      </w:tr>
      <w:tr w14:paraId="74F10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15349A29">
            <w:pPr>
              <w:spacing w:line="240" w:lineRule="auto"/>
              <w:ind w:firstLine="0" w:firstLineChars="0"/>
              <w:jc w:val="center"/>
              <w:rPr>
                <w:rFonts w:cs="Times New Roman"/>
                <w:sz w:val="21"/>
                <w:szCs w:val="21"/>
                <w14:ligatures w14:val="none"/>
              </w:rPr>
            </w:pPr>
            <w:r>
              <w:rPr>
                <w:rFonts w:cs="Times New Roman"/>
                <w:sz w:val="21"/>
                <w:szCs w:val="21"/>
                <w14:ligatures w14:val="none"/>
              </w:rPr>
              <w:t>4</w:t>
            </w:r>
          </w:p>
        </w:tc>
        <w:tc>
          <w:tcPr>
            <w:tcW w:w="1271" w:type="pct"/>
            <w:tcBorders>
              <w:left w:val="single" w:color="auto" w:sz="4" w:space="0"/>
            </w:tcBorders>
            <w:vAlign w:val="center"/>
          </w:tcPr>
          <w:p w14:paraId="1E0AE6C5">
            <w:pPr>
              <w:spacing w:line="240" w:lineRule="auto"/>
              <w:ind w:firstLine="0" w:firstLineChars="0"/>
              <w:jc w:val="center"/>
              <w:rPr>
                <w:rFonts w:cs="Times New Roman"/>
                <w:sz w:val="21"/>
                <w:szCs w:val="21"/>
                <w14:ligatures w14:val="none"/>
              </w:rPr>
            </w:pPr>
            <w:r>
              <w:rPr>
                <w:rFonts w:cs="Times New Roman"/>
                <w:sz w:val="21"/>
                <w:szCs w:val="21"/>
                <w14:ligatures w14:val="none"/>
              </w:rPr>
              <w:t>铜</w:t>
            </w:r>
          </w:p>
        </w:tc>
        <w:tc>
          <w:tcPr>
            <w:tcW w:w="833" w:type="pct"/>
            <w:tcBorders>
              <w:left w:val="single" w:color="auto" w:sz="4" w:space="0"/>
            </w:tcBorders>
            <w:vAlign w:val="center"/>
          </w:tcPr>
          <w:p w14:paraId="2343DF2C">
            <w:pPr>
              <w:spacing w:line="240" w:lineRule="auto"/>
              <w:ind w:firstLine="0" w:firstLineChars="0"/>
              <w:jc w:val="center"/>
              <w:rPr>
                <w:rFonts w:cs="Times New Roman"/>
                <w:sz w:val="21"/>
                <w:szCs w:val="21"/>
                <w14:ligatures w14:val="none"/>
              </w:rPr>
            </w:pPr>
            <w:r>
              <w:rPr>
                <w:rFonts w:cs="Times New Roman"/>
                <w:sz w:val="21"/>
                <w:szCs w:val="21"/>
                <w14:ligatures w14:val="none"/>
              </w:rPr>
              <w:t>2000</w:t>
            </w:r>
          </w:p>
        </w:tc>
        <w:tc>
          <w:tcPr>
            <w:tcW w:w="833" w:type="pct"/>
            <w:tcBorders>
              <w:left w:val="single" w:color="auto" w:sz="4" w:space="0"/>
              <w:right w:val="single" w:color="auto" w:sz="4" w:space="0"/>
            </w:tcBorders>
            <w:vAlign w:val="center"/>
          </w:tcPr>
          <w:p w14:paraId="7DD55906">
            <w:pPr>
              <w:spacing w:line="240" w:lineRule="auto"/>
              <w:ind w:firstLine="0" w:firstLineChars="0"/>
              <w:jc w:val="center"/>
              <w:rPr>
                <w:rFonts w:cs="Times New Roman"/>
                <w:sz w:val="21"/>
                <w:szCs w:val="21"/>
                <w14:ligatures w14:val="none"/>
              </w:rPr>
            </w:pPr>
            <w:r>
              <w:rPr>
                <w:rFonts w:cs="Times New Roman"/>
                <w:sz w:val="21"/>
                <w:szCs w:val="21"/>
                <w14:ligatures w14:val="none"/>
              </w:rPr>
              <w:t>18000</w:t>
            </w:r>
          </w:p>
        </w:tc>
        <w:tc>
          <w:tcPr>
            <w:tcW w:w="833" w:type="pct"/>
            <w:tcBorders>
              <w:left w:val="single" w:color="auto" w:sz="4" w:space="0"/>
            </w:tcBorders>
            <w:vAlign w:val="center"/>
          </w:tcPr>
          <w:p w14:paraId="7CC5244D">
            <w:pPr>
              <w:spacing w:line="240" w:lineRule="auto"/>
              <w:ind w:firstLine="0" w:firstLineChars="0"/>
              <w:jc w:val="center"/>
              <w:rPr>
                <w:rFonts w:cs="Times New Roman"/>
                <w:sz w:val="21"/>
                <w:szCs w:val="21"/>
                <w14:ligatures w14:val="none"/>
              </w:rPr>
            </w:pPr>
            <w:r>
              <w:rPr>
                <w:rFonts w:cs="Times New Roman"/>
                <w:sz w:val="21"/>
                <w:szCs w:val="21"/>
                <w14:ligatures w14:val="none"/>
              </w:rPr>
              <w:t>18000</w:t>
            </w:r>
          </w:p>
        </w:tc>
        <w:tc>
          <w:tcPr>
            <w:tcW w:w="833" w:type="pct"/>
            <w:tcBorders>
              <w:left w:val="single" w:color="auto" w:sz="4" w:space="0"/>
            </w:tcBorders>
            <w:vAlign w:val="center"/>
          </w:tcPr>
          <w:p w14:paraId="320E982F">
            <w:pPr>
              <w:spacing w:line="240" w:lineRule="auto"/>
              <w:ind w:firstLine="0" w:firstLineChars="0"/>
              <w:jc w:val="center"/>
              <w:rPr>
                <w:rFonts w:cs="Times New Roman"/>
                <w:sz w:val="21"/>
                <w:szCs w:val="21"/>
                <w14:ligatures w14:val="none"/>
              </w:rPr>
            </w:pPr>
            <w:r>
              <w:rPr>
                <w:rFonts w:cs="Times New Roman"/>
                <w:sz w:val="21"/>
                <w:szCs w:val="21"/>
                <w14:ligatures w14:val="none"/>
              </w:rPr>
              <w:t>36000</w:t>
            </w:r>
          </w:p>
        </w:tc>
      </w:tr>
      <w:tr w14:paraId="6E2B9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5CAABFD2">
            <w:pPr>
              <w:spacing w:line="240" w:lineRule="auto"/>
              <w:ind w:firstLine="0" w:firstLineChars="0"/>
              <w:jc w:val="center"/>
              <w:rPr>
                <w:rFonts w:cs="Times New Roman"/>
                <w:sz w:val="21"/>
                <w:szCs w:val="21"/>
                <w14:ligatures w14:val="none"/>
              </w:rPr>
            </w:pPr>
            <w:r>
              <w:rPr>
                <w:rFonts w:cs="Times New Roman"/>
                <w:sz w:val="21"/>
                <w:szCs w:val="21"/>
                <w14:ligatures w14:val="none"/>
              </w:rPr>
              <w:t>5</w:t>
            </w:r>
          </w:p>
        </w:tc>
        <w:tc>
          <w:tcPr>
            <w:tcW w:w="1271" w:type="pct"/>
            <w:tcBorders>
              <w:left w:val="single" w:color="auto" w:sz="4" w:space="0"/>
            </w:tcBorders>
            <w:vAlign w:val="center"/>
          </w:tcPr>
          <w:p w14:paraId="1D8DD44D">
            <w:pPr>
              <w:spacing w:line="240" w:lineRule="auto"/>
              <w:ind w:firstLine="0" w:firstLineChars="0"/>
              <w:jc w:val="center"/>
              <w:rPr>
                <w:rFonts w:cs="Times New Roman"/>
                <w:sz w:val="21"/>
                <w:szCs w:val="21"/>
                <w14:ligatures w14:val="none"/>
              </w:rPr>
            </w:pPr>
            <w:r>
              <w:rPr>
                <w:rFonts w:cs="Times New Roman"/>
                <w:sz w:val="21"/>
                <w:szCs w:val="21"/>
                <w14:ligatures w14:val="none"/>
              </w:rPr>
              <w:t>铅</w:t>
            </w:r>
          </w:p>
        </w:tc>
        <w:tc>
          <w:tcPr>
            <w:tcW w:w="833" w:type="pct"/>
            <w:tcBorders>
              <w:left w:val="single" w:color="auto" w:sz="4" w:space="0"/>
            </w:tcBorders>
            <w:vAlign w:val="center"/>
          </w:tcPr>
          <w:p w14:paraId="65164EDC">
            <w:pPr>
              <w:spacing w:line="240" w:lineRule="auto"/>
              <w:ind w:firstLine="0" w:firstLineChars="0"/>
              <w:jc w:val="center"/>
              <w:rPr>
                <w:rFonts w:cs="Times New Roman"/>
                <w:sz w:val="21"/>
                <w:szCs w:val="21"/>
                <w14:ligatures w14:val="none"/>
              </w:rPr>
            </w:pPr>
            <w:r>
              <w:rPr>
                <w:rFonts w:cs="Times New Roman"/>
                <w:sz w:val="21"/>
                <w:szCs w:val="21"/>
                <w14:ligatures w14:val="none"/>
              </w:rPr>
              <w:t>400</w:t>
            </w:r>
          </w:p>
        </w:tc>
        <w:tc>
          <w:tcPr>
            <w:tcW w:w="833" w:type="pct"/>
            <w:tcBorders>
              <w:left w:val="single" w:color="auto" w:sz="4" w:space="0"/>
              <w:right w:val="single" w:color="auto" w:sz="4" w:space="0"/>
            </w:tcBorders>
            <w:vAlign w:val="center"/>
          </w:tcPr>
          <w:p w14:paraId="23DC334D">
            <w:pPr>
              <w:spacing w:line="240" w:lineRule="auto"/>
              <w:ind w:firstLine="0" w:firstLineChars="0"/>
              <w:jc w:val="center"/>
              <w:rPr>
                <w:rFonts w:cs="Times New Roman"/>
                <w:sz w:val="21"/>
                <w:szCs w:val="21"/>
                <w14:ligatures w14:val="none"/>
              </w:rPr>
            </w:pPr>
            <w:r>
              <w:rPr>
                <w:rFonts w:cs="Times New Roman"/>
                <w:sz w:val="21"/>
                <w:szCs w:val="21"/>
                <w14:ligatures w14:val="none"/>
              </w:rPr>
              <w:t>800</w:t>
            </w:r>
          </w:p>
        </w:tc>
        <w:tc>
          <w:tcPr>
            <w:tcW w:w="833" w:type="pct"/>
            <w:tcBorders>
              <w:left w:val="single" w:color="auto" w:sz="4" w:space="0"/>
            </w:tcBorders>
            <w:vAlign w:val="center"/>
          </w:tcPr>
          <w:p w14:paraId="51A8E198">
            <w:pPr>
              <w:spacing w:line="240" w:lineRule="auto"/>
              <w:ind w:firstLine="0" w:firstLineChars="0"/>
              <w:jc w:val="center"/>
              <w:rPr>
                <w:rFonts w:cs="Times New Roman"/>
                <w:sz w:val="21"/>
                <w:szCs w:val="21"/>
                <w14:ligatures w14:val="none"/>
              </w:rPr>
            </w:pPr>
            <w:r>
              <w:rPr>
                <w:rFonts w:cs="Times New Roman"/>
                <w:sz w:val="21"/>
                <w:szCs w:val="21"/>
                <w14:ligatures w14:val="none"/>
              </w:rPr>
              <w:t>800</w:t>
            </w:r>
          </w:p>
        </w:tc>
        <w:tc>
          <w:tcPr>
            <w:tcW w:w="833" w:type="pct"/>
            <w:tcBorders>
              <w:left w:val="single" w:color="auto" w:sz="4" w:space="0"/>
            </w:tcBorders>
            <w:vAlign w:val="center"/>
          </w:tcPr>
          <w:p w14:paraId="56E36F24">
            <w:pPr>
              <w:spacing w:line="240" w:lineRule="auto"/>
              <w:ind w:firstLine="0" w:firstLineChars="0"/>
              <w:jc w:val="center"/>
              <w:rPr>
                <w:rFonts w:cs="Times New Roman"/>
                <w:sz w:val="21"/>
                <w:szCs w:val="21"/>
                <w14:ligatures w14:val="none"/>
              </w:rPr>
            </w:pPr>
            <w:r>
              <w:rPr>
                <w:rFonts w:cs="Times New Roman"/>
                <w:sz w:val="21"/>
                <w:szCs w:val="21"/>
                <w14:ligatures w14:val="none"/>
              </w:rPr>
              <w:t>2500</w:t>
            </w:r>
          </w:p>
        </w:tc>
      </w:tr>
      <w:tr w14:paraId="69C54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19B1C8BA">
            <w:pPr>
              <w:spacing w:line="240" w:lineRule="auto"/>
              <w:ind w:firstLine="0" w:firstLineChars="0"/>
              <w:jc w:val="center"/>
              <w:rPr>
                <w:rFonts w:cs="Times New Roman"/>
                <w:sz w:val="21"/>
                <w:szCs w:val="21"/>
                <w14:ligatures w14:val="none"/>
              </w:rPr>
            </w:pPr>
            <w:r>
              <w:rPr>
                <w:rFonts w:cs="Times New Roman"/>
                <w:sz w:val="21"/>
                <w:szCs w:val="21"/>
                <w14:ligatures w14:val="none"/>
              </w:rPr>
              <w:t>6</w:t>
            </w:r>
          </w:p>
        </w:tc>
        <w:tc>
          <w:tcPr>
            <w:tcW w:w="1271" w:type="pct"/>
            <w:tcBorders>
              <w:left w:val="single" w:color="auto" w:sz="4" w:space="0"/>
            </w:tcBorders>
            <w:vAlign w:val="center"/>
          </w:tcPr>
          <w:p w14:paraId="546E3833">
            <w:pPr>
              <w:spacing w:line="240" w:lineRule="auto"/>
              <w:ind w:firstLine="0" w:firstLineChars="0"/>
              <w:jc w:val="center"/>
              <w:rPr>
                <w:rFonts w:cs="Times New Roman"/>
                <w:sz w:val="21"/>
                <w:szCs w:val="21"/>
                <w14:ligatures w14:val="none"/>
              </w:rPr>
            </w:pPr>
            <w:r>
              <w:rPr>
                <w:rFonts w:cs="Times New Roman"/>
                <w:sz w:val="21"/>
                <w:szCs w:val="21"/>
                <w14:ligatures w14:val="none"/>
              </w:rPr>
              <w:t>汞</w:t>
            </w:r>
          </w:p>
        </w:tc>
        <w:tc>
          <w:tcPr>
            <w:tcW w:w="833" w:type="pct"/>
            <w:tcBorders>
              <w:left w:val="single" w:color="auto" w:sz="4" w:space="0"/>
            </w:tcBorders>
            <w:vAlign w:val="center"/>
          </w:tcPr>
          <w:p w14:paraId="236ED1F3">
            <w:pPr>
              <w:spacing w:line="240" w:lineRule="auto"/>
              <w:ind w:firstLine="0" w:firstLineChars="0"/>
              <w:jc w:val="center"/>
              <w:rPr>
                <w:rFonts w:cs="Times New Roman"/>
                <w:sz w:val="21"/>
                <w:szCs w:val="21"/>
                <w14:ligatures w14:val="none"/>
              </w:rPr>
            </w:pPr>
            <w:r>
              <w:rPr>
                <w:rFonts w:cs="Times New Roman"/>
                <w:sz w:val="21"/>
                <w:szCs w:val="21"/>
                <w14:ligatures w14:val="none"/>
              </w:rPr>
              <w:t>8</w:t>
            </w:r>
          </w:p>
        </w:tc>
        <w:tc>
          <w:tcPr>
            <w:tcW w:w="833" w:type="pct"/>
            <w:tcBorders>
              <w:left w:val="single" w:color="auto" w:sz="4" w:space="0"/>
              <w:right w:val="single" w:color="auto" w:sz="4" w:space="0"/>
            </w:tcBorders>
            <w:vAlign w:val="center"/>
          </w:tcPr>
          <w:p w14:paraId="6D790D73">
            <w:pPr>
              <w:spacing w:line="240" w:lineRule="auto"/>
              <w:ind w:firstLine="0" w:firstLineChars="0"/>
              <w:jc w:val="center"/>
              <w:rPr>
                <w:rFonts w:cs="Times New Roman"/>
                <w:sz w:val="21"/>
                <w:szCs w:val="21"/>
                <w14:ligatures w14:val="none"/>
              </w:rPr>
            </w:pPr>
            <w:r>
              <w:rPr>
                <w:rFonts w:cs="Times New Roman"/>
                <w:sz w:val="21"/>
                <w:szCs w:val="21"/>
                <w14:ligatures w14:val="none"/>
              </w:rPr>
              <w:t>38</w:t>
            </w:r>
          </w:p>
        </w:tc>
        <w:tc>
          <w:tcPr>
            <w:tcW w:w="833" w:type="pct"/>
            <w:tcBorders>
              <w:left w:val="single" w:color="auto" w:sz="4" w:space="0"/>
            </w:tcBorders>
            <w:vAlign w:val="center"/>
          </w:tcPr>
          <w:p w14:paraId="5805DB21">
            <w:pPr>
              <w:spacing w:line="240" w:lineRule="auto"/>
              <w:ind w:firstLine="0" w:firstLineChars="0"/>
              <w:jc w:val="center"/>
              <w:rPr>
                <w:rFonts w:cs="Times New Roman"/>
                <w:sz w:val="21"/>
                <w:szCs w:val="21"/>
                <w14:ligatures w14:val="none"/>
              </w:rPr>
            </w:pPr>
            <w:r>
              <w:rPr>
                <w:rFonts w:cs="Times New Roman"/>
                <w:sz w:val="21"/>
                <w:szCs w:val="21"/>
                <w14:ligatures w14:val="none"/>
              </w:rPr>
              <w:t>38</w:t>
            </w:r>
          </w:p>
        </w:tc>
        <w:tc>
          <w:tcPr>
            <w:tcW w:w="833" w:type="pct"/>
            <w:tcBorders>
              <w:left w:val="single" w:color="auto" w:sz="4" w:space="0"/>
            </w:tcBorders>
            <w:vAlign w:val="center"/>
          </w:tcPr>
          <w:p w14:paraId="73B45F9F">
            <w:pPr>
              <w:spacing w:line="240" w:lineRule="auto"/>
              <w:ind w:firstLine="0" w:firstLineChars="0"/>
              <w:jc w:val="center"/>
              <w:rPr>
                <w:rFonts w:cs="Times New Roman"/>
                <w:sz w:val="21"/>
                <w:szCs w:val="21"/>
                <w14:ligatures w14:val="none"/>
              </w:rPr>
            </w:pPr>
            <w:r>
              <w:rPr>
                <w:rFonts w:cs="Times New Roman"/>
                <w:sz w:val="21"/>
                <w:szCs w:val="21"/>
                <w14:ligatures w14:val="none"/>
              </w:rPr>
              <w:t>82</w:t>
            </w:r>
          </w:p>
        </w:tc>
      </w:tr>
      <w:tr w14:paraId="2C31B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4F44DA7B">
            <w:pPr>
              <w:spacing w:line="240" w:lineRule="auto"/>
              <w:ind w:firstLine="0" w:firstLineChars="0"/>
              <w:jc w:val="center"/>
              <w:rPr>
                <w:rFonts w:cs="Times New Roman"/>
                <w:sz w:val="21"/>
                <w:szCs w:val="21"/>
                <w14:ligatures w14:val="none"/>
              </w:rPr>
            </w:pPr>
            <w:r>
              <w:rPr>
                <w:rFonts w:cs="Times New Roman"/>
                <w:sz w:val="21"/>
                <w:szCs w:val="21"/>
                <w14:ligatures w14:val="none"/>
              </w:rPr>
              <w:t>7</w:t>
            </w:r>
          </w:p>
        </w:tc>
        <w:tc>
          <w:tcPr>
            <w:tcW w:w="1271" w:type="pct"/>
            <w:tcBorders>
              <w:left w:val="single" w:color="auto" w:sz="4" w:space="0"/>
            </w:tcBorders>
            <w:vAlign w:val="center"/>
          </w:tcPr>
          <w:p w14:paraId="1F7E6E76">
            <w:pPr>
              <w:spacing w:line="240" w:lineRule="auto"/>
              <w:ind w:firstLine="0" w:firstLineChars="0"/>
              <w:jc w:val="center"/>
              <w:rPr>
                <w:rFonts w:cs="Times New Roman"/>
                <w:sz w:val="21"/>
                <w:szCs w:val="21"/>
                <w14:ligatures w14:val="none"/>
              </w:rPr>
            </w:pPr>
            <w:r>
              <w:rPr>
                <w:rFonts w:cs="Times New Roman"/>
                <w:sz w:val="21"/>
                <w:szCs w:val="21"/>
                <w14:ligatures w14:val="none"/>
              </w:rPr>
              <w:t>镍</w:t>
            </w:r>
          </w:p>
        </w:tc>
        <w:tc>
          <w:tcPr>
            <w:tcW w:w="833" w:type="pct"/>
            <w:tcBorders>
              <w:left w:val="single" w:color="auto" w:sz="4" w:space="0"/>
            </w:tcBorders>
            <w:vAlign w:val="center"/>
          </w:tcPr>
          <w:p w14:paraId="50606D2C">
            <w:pPr>
              <w:spacing w:line="240" w:lineRule="auto"/>
              <w:ind w:firstLine="0" w:firstLineChars="0"/>
              <w:jc w:val="center"/>
              <w:rPr>
                <w:rFonts w:cs="Times New Roman"/>
                <w:sz w:val="21"/>
                <w:szCs w:val="21"/>
                <w14:ligatures w14:val="none"/>
              </w:rPr>
            </w:pPr>
            <w:r>
              <w:rPr>
                <w:rFonts w:cs="Times New Roman"/>
                <w:sz w:val="21"/>
                <w:szCs w:val="21"/>
                <w14:ligatures w14:val="none"/>
              </w:rPr>
              <w:t>150</w:t>
            </w:r>
          </w:p>
        </w:tc>
        <w:tc>
          <w:tcPr>
            <w:tcW w:w="833" w:type="pct"/>
            <w:tcBorders>
              <w:left w:val="single" w:color="auto" w:sz="4" w:space="0"/>
              <w:right w:val="single" w:color="auto" w:sz="4" w:space="0"/>
            </w:tcBorders>
            <w:vAlign w:val="center"/>
          </w:tcPr>
          <w:p w14:paraId="1E4915B1">
            <w:pPr>
              <w:spacing w:line="240" w:lineRule="auto"/>
              <w:ind w:firstLine="0" w:firstLineChars="0"/>
              <w:jc w:val="center"/>
              <w:rPr>
                <w:rFonts w:cs="Times New Roman"/>
                <w:sz w:val="21"/>
                <w:szCs w:val="21"/>
                <w14:ligatures w14:val="none"/>
              </w:rPr>
            </w:pPr>
            <w:r>
              <w:rPr>
                <w:rFonts w:cs="Times New Roman"/>
                <w:sz w:val="21"/>
                <w:szCs w:val="21"/>
                <w14:ligatures w14:val="none"/>
              </w:rPr>
              <w:t>900</w:t>
            </w:r>
          </w:p>
        </w:tc>
        <w:tc>
          <w:tcPr>
            <w:tcW w:w="833" w:type="pct"/>
            <w:tcBorders>
              <w:left w:val="single" w:color="auto" w:sz="4" w:space="0"/>
            </w:tcBorders>
            <w:vAlign w:val="center"/>
          </w:tcPr>
          <w:p w14:paraId="74D1DF92">
            <w:pPr>
              <w:spacing w:line="240" w:lineRule="auto"/>
              <w:ind w:firstLine="0" w:firstLineChars="0"/>
              <w:jc w:val="center"/>
              <w:rPr>
                <w:rFonts w:cs="Times New Roman"/>
                <w:sz w:val="21"/>
                <w:szCs w:val="21"/>
                <w14:ligatures w14:val="none"/>
              </w:rPr>
            </w:pPr>
            <w:r>
              <w:rPr>
                <w:rFonts w:cs="Times New Roman"/>
                <w:sz w:val="21"/>
                <w:szCs w:val="21"/>
                <w14:ligatures w14:val="none"/>
              </w:rPr>
              <w:t>900</w:t>
            </w:r>
          </w:p>
        </w:tc>
        <w:tc>
          <w:tcPr>
            <w:tcW w:w="833" w:type="pct"/>
            <w:tcBorders>
              <w:left w:val="single" w:color="auto" w:sz="4" w:space="0"/>
            </w:tcBorders>
            <w:vAlign w:val="center"/>
          </w:tcPr>
          <w:p w14:paraId="327ACDB0">
            <w:pPr>
              <w:spacing w:line="240" w:lineRule="auto"/>
              <w:ind w:firstLine="0" w:firstLineChars="0"/>
              <w:jc w:val="center"/>
              <w:rPr>
                <w:rFonts w:cs="Times New Roman"/>
                <w:sz w:val="21"/>
                <w:szCs w:val="21"/>
                <w14:ligatures w14:val="none"/>
              </w:rPr>
            </w:pPr>
            <w:r>
              <w:rPr>
                <w:rFonts w:cs="Times New Roman"/>
                <w:sz w:val="21"/>
                <w:szCs w:val="21"/>
                <w14:ligatures w14:val="none"/>
              </w:rPr>
              <w:t>2000</w:t>
            </w:r>
          </w:p>
        </w:tc>
      </w:tr>
      <w:tr w14:paraId="18A23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0A50C635">
            <w:pPr>
              <w:spacing w:line="240" w:lineRule="auto"/>
              <w:ind w:firstLine="0" w:firstLineChars="0"/>
              <w:jc w:val="center"/>
              <w:rPr>
                <w:rFonts w:cs="Times New Roman"/>
                <w:sz w:val="21"/>
                <w:szCs w:val="21"/>
                <w14:ligatures w14:val="none"/>
              </w:rPr>
            </w:pPr>
            <w:r>
              <w:rPr>
                <w:rFonts w:cs="Times New Roman"/>
                <w:sz w:val="21"/>
                <w:szCs w:val="21"/>
                <w14:ligatures w14:val="none"/>
              </w:rPr>
              <w:t>8</w:t>
            </w:r>
          </w:p>
        </w:tc>
        <w:tc>
          <w:tcPr>
            <w:tcW w:w="1271" w:type="pct"/>
            <w:tcBorders>
              <w:left w:val="single" w:color="auto" w:sz="4" w:space="0"/>
            </w:tcBorders>
            <w:vAlign w:val="center"/>
          </w:tcPr>
          <w:p w14:paraId="57D0A78F">
            <w:pPr>
              <w:spacing w:line="240" w:lineRule="auto"/>
              <w:ind w:firstLine="0" w:firstLineChars="0"/>
              <w:jc w:val="center"/>
              <w:rPr>
                <w:rFonts w:cs="Times New Roman"/>
                <w:sz w:val="21"/>
                <w:szCs w:val="21"/>
                <w14:ligatures w14:val="none"/>
              </w:rPr>
            </w:pPr>
            <w:r>
              <w:rPr>
                <w:rFonts w:cs="Times New Roman"/>
                <w:sz w:val="21"/>
                <w:szCs w:val="21"/>
                <w14:ligatures w14:val="none"/>
              </w:rPr>
              <w:t>四氯化碳</w:t>
            </w:r>
          </w:p>
        </w:tc>
        <w:tc>
          <w:tcPr>
            <w:tcW w:w="833" w:type="pct"/>
            <w:tcBorders>
              <w:left w:val="single" w:color="auto" w:sz="4" w:space="0"/>
            </w:tcBorders>
            <w:vAlign w:val="center"/>
          </w:tcPr>
          <w:p w14:paraId="7AB8FDA6">
            <w:pPr>
              <w:spacing w:line="240" w:lineRule="auto"/>
              <w:ind w:firstLine="0" w:firstLineChars="0"/>
              <w:jc w:val="center"/>
              <w:rPr>
                <w:rFonts w:cs="Times New Roman"/>
                <w:sz w:val="21"/>
                <w:szCs w:val="21"/>
                <w14:ligatures w14:val="none"/>
              </w:rPr>
            </w:pPr>
            <w:r>
              <w:rPr>
                <w:rFonts w:cs="Times New Roman"/>
                <w:sz w:val="21"/>
                <w:szCs w:val="21"/>
                <w14:ligatures w14:val="none"/>
              </w:rPr>
              <w:t>0.9</w:t>
            </w:r>
          </w:p>
        </w:tc>
        <w:tc>
          <w:tcPr>
            <w:tcW w:w="833" w:type="pct"/>
            <w:tcBorders>
              <w:left w:val="single" w:color="auto" w:sz="4" w:space="0"/>
              <w:right w:val="single" w:color="auto" w:sz="4" w:space="0"/>
            </w:tcBorders>
            <w:vAlign w:val="center"/>
          </w:tcPr>
          <w:p w14:paraId="25E7CE4E">
            <w:pPr>
              <w:spacing w:line="240" w:lineRule="auto"/>
              <w:ind w:firstLine="0" w:firstLineChars="0"/>
              <w:jc w:val="center"/>
              <w:rPr>
                <w:rFonts w:cs="Times New Roman"/>
                <w:sz w:val="21"/>
                <w:szCs w:val="21"/>
                <w14:ligatures w14:val="none"/>
              </w:rPr>
            </w:pPr>
            <w:r>
              <w:rPr>
                <w:rFonts w:cs="Times New Roman"/>
                <w:sz w:val="21"/>
                <w:szCs w:val="21"/>
                <w14:ligatures w14:val="none"/>
              </w:rPr>
              <w:t>2.8</w:t>
            </w:r>
          </w:p>
        </w:tc>
        <w:tc>
          <w:tcPr>
            <w:tcW w:w="833" w:type="pct"/>
            <w:tcBorders>
              <w:left w:val="single" w:color="auto" w:sz="4" w:space="0"/>
            </w:tcBorders>
            <w:vAlign w:val="center"/>
          </w:tcPr>
          <w:p w14:paraId="48E249B2">
            <w:pPr>
              <w:spacing w:line="240" w:lineRule="auto"/>
              <w:ind w:firstLine="0" w:firstLineChars="0"/>
              <w:jc w:val="center"/>
              <w:rPr>
                <w:rFonts w:cs="Times New Roman"/>
                <w:sz w:val="21"/>
                <w:szCs w:val="21"/>
                <w14:ligatures w14:val="none"/>
              </w:rPr>
            </w:pPr>
            <w:r>
              <w:rPr>
                <w:rFonts w:cs="Times New Roman"/>
                <w:sz w:val="21"/>
                <w:szCs w:val="21"/>
                <w14:ligatures w14:val="none"/>
              </w:rPr>
              <w:t>2.8</w:t>
            </w:r>
          </w:p>
        </w:tc>
        <w:tc>
          <w:tcPr>
            <w:tcW w:w="833" w:type="pct"/>
            <w:tcBorders>
              <w:left w:val="single" w:color="auto" w:sz="4" w:space="0"/>
            </w:tcBorders>
            <w:vAlign w:val="center"/>
          </w:tcPr>
          <w:p w14:paraId="2C3216D2">
            <w:pPr>
              <w:spacing w:line="240" w:lineRule="auto"/>
              <w:ind w:firstLine="0" w:firstLineChars="0"/>
              <w:jc w:val="center"/>
              <w:rPr>
                <w:rFonts w:cs="Times New Roman"/>
                <w:sz w:val="21"/>
                <w:szCs w:val="21"/>
                <w14:ligatures w14:val="none"/>
              </w:rPr>
            </w:pPr>
            <w:r>
              <w:rPr>
                <w:rFonts w:cs="Times New Roman"/>
                <w:sz w:val="21"/>
                <w:szCs w:val="21"/>
                <w14:ligatures w14:val="none"/>
              </w:rPr>
              <w:t>36</w:t>
            </w:r>
          </w:p>
        </w:tc>
      </w:tr>
      <w:tr w14:paraId="70DD6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216547A7">
            <w:pPr>
              <w:spacing w:line="240" w:lineRule="auto"/>
              <w:ind w:firstLine="0" w:firstLineChars="0"/>
              <w:jc w:val="center"/>
              <w:rPr>
                <w:rFonts w:cs="Times New Roman"/>
                <w:sz w:val="21"/>
                <w:szCs w:val="21"/>
                <w14:ligatures w14:val="none"/>
              </w:rPr>
            </w:pPr>
            <w:r>
              <w:rPr>
                <w:rFonts w:cs="Times New Roman"/>
                <w:sz w:val="21"/>
                <w:szCs w:val="21"/>
                <w14:ligatures w14:val="none"/>
              </w:rPr>
              <w:t>9</w:t>
            </w:r>
          </w:p>
        </w:tc>
        <w:tc>
          <w:tcPr>
            <w:tcW w:w="1271" w:type="pct"/>
            <w:tcBorders>
              <w:left w:val="single" w:color="auto" w:sz="4" w:space="0"/>
            </w:tcBorders>
            <w:vAlign w:val="center"/>
          </w:tcPr>
          <w:p w14:paraId="457A8BBD">
            <w:pPr>
              <w:spacing w:line="240" w:lineRule="auto"/>
              <w:ind w:firstLine="0" w:firstLineChars="0"/>
              <w:jc w:val="center"/>
              <w:rPr>
                <w:rFonts w:cs="Times New Roman"/>
                <w:sz w:val="21"/>
                <w:szCs w:val="21"/>
                <w14:ligatures w14:val="none"/>
              </w:rPr>
            </w:pPr>
            <w:r>
              <w:rPr>
                <w:rFonts w:cs="Times New Roman"/>
                <w:sz w:val="21"/>
                <w:szCs w:val="21"/>
                <w14:ligatures w14:val="none"/>
              </w:rPr>
              <w:t>氯仿</w:t>
            </w:r>
          </w:p>
        </w:tc>
        <w:tc>
          <w:tcPr>
            <w:tcW w:w="833" w:type="pct"/>
            <w:tcBorders>
              <w:left w:val="single" w:color="auto" w:sz="4" w:space="0"/>
            </w:tcBorders>
            <w:vAlign w:val="center"/>
          </w:tcPr>
          <w:p w14:paraId="094FA2BC">
            <w:pPr>
              <w:spacing w:line="240" w:lineRule="auto"/>
              <w:ind w:firstLine="0" w:firstLineChars="0"/>
              <w:jc w:val="center"/>
              <w:rPr>
                <w:rFonts w:cs="Times New Roman"/>
                <w:sz w:val="21"/>
                <w:szCs w:val="21"/>
                <w14:ligatures w14:val="none"/>
              </w:rPr>
            </w:pPr>
            <w:r>
              <w:rPr>
                <w:rFonts w:cs="Times New Roman"/>
                <w:sz w:val="21"/>
                <w:szCs w:val="21"/>
                <w14:ligatures w14:val="none"/>
              </w:rPr>
              <w:t>0.3</w:t>
            </w:r>
          </w:p>
        </w:tc>
        <w:tc>
          <w:tcPr>
            <w:tcW w:w="833" w:type="pct"/>
            <w:tcBorders>
              <w:left w:val="single" w:color="auto" w:sz="4" w:space="0"/>
              <w:right w:val="single" w:color="auto" w:sz="4" w:space="0"/>
            </w:tcBorders>
            <w:vAlign w:val="center"/>
          </w:tcPr>
          <w:p w14:paraId="4F22CE4D">
            <w:pPr>
              <w:spacing w:line="240" w:lineRule="auto"/>
              <w:ind w:firstLine="0" w:firstLineChars="0"/>
              <w:jc w:val="center"/>
              <w:rPr>
                <w:rFonts w:cs="Times New Roman"/>
                <w:sz w:val="21"/>
                <w:szCs w:val="21"/>
                <w14:ligatures w14:val="none"/>
              </w:rPr>
            </w:pPr>
            <w:r>
              <w:rPr>
                <w:rFonts w:cs="Times New Roman"/>
                <w:sz w:val="21"/>
                <w:szCs w:val="21"/>
                <w14:ligatures w14:val="none"/>
              </w:rPr>
              <w:t>0.9</w:t>
            </w:r>
          </w:p>
        </w:tc>
        <w:tc>
          <w:tcPr>
            <w:tcW w:w="833" w:type="pct"/>
            <w:tcBorders>
              <w:left w:val="single" w:color="auto" w:sz="4" w:space="0"/>
            </w:tcBorders>
            <w:vAlign w:val="center"/>
          </w:tcPr>
          <w:p w14:paraId="05514F2C">
            <w:pPr>
              <w:spacing w:line="240" w:lineRule="auto"/>
              <w:ind w:firstLine="0" w:firstLineChars="0"/>
              <w:jc w:val="center"/>
              <w:rPr>
                <w:rFonts w:cs="Times New Roman"/>
                <w:sz w:val="21"/>
                <w:szCs w:val="21"/>
                <w14:ligatures w14:val="none"/>
              </w:rPr>
            </w:pPr>
            <w:r>
              <w:rPr>
                <w:rFonts w:cs="Times New Roman"/>
                <w:sz w:val="21"/>
                <w:szCs w:val="21"/>
                <w14:ligatures w14:val="none"/>
              </w:rPr>
              <w:t>0.9</w:t>
            </w:r>
          </w:p>
        </w:tc>
        <w:tc>
          <w:tcPr>
            <w:tcW w:w="833" w:type="pct"/>
            <w:tcBorders>
              <w:left w:val="single" w:color="auto" w:sz="4" w:space="0"/>
            </w:tcBorders>
            <w:vAlign w:val="center"/>
          </w:tcPr>
          <w:p w14:paraId="1B56ED61">
            <w:pPr>
              <w:spacing w:line="240" w:lineRule="auto"/>
              <w:ind w:firstLine="0" w:firstLineChars="0"/>
              <w:jc w:val="center"/>
              <w:rPr>
                <w:rFonts w:cs="Times New Roman"/>
                <w:sz w:val="21"/>
                <w:szCs w:val="21"/>
                <w14:ligatures w14:val="none"/>
              </w:rPr>
            </w:pPr>
            <w:r>
              <w:rPr>
                <w:rFonts w:cs="Times New Roman"/>
                <w:sz w:val="21"/>
                <w:szCs w:val="21"/>
                <w14:ligatures w14:val="none"/>
              </w:rPr>
              <w:t>10</w:t>
            </w:r>
          </w:p>
        </w:tc>
      </w:tr>
      <w:tr w14:paraId="63C7A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78532673">
            <w:pPr>
              <w:spacing w:line="240" w:lineRule="auto"/>
              <w:ind w:firstLine="0" w:firstLineChars="0"/>
              <w:jc w:val="center"/>
              <w:rPr>
                <w:rFonts w:cs="Times New Roman"/>
                <w:sz w:val="21"/>
                <w:szCs w:val="21"/>
                <w14:ligatures w14:val="none"/>
              </w:rPr>
            </w:pPr>
            <w:r>
              <w:rPr>
                <w:rFonts w:cs="Times New Roman"/>
                <w:sz w:val="21"/>
                <w:szCs w:val="21"/>
                <w14:ligatures w14:val="none"/>
              </w:rPr>
              <w:t>10</w:t>
            </w:r>
          </w:p>
        </w:tc>
        <w:tc>
          <w:tcPr>
            <w:tcW w:w="1271" w:type="pct"/>
            <w:tcBorders>
              <w:left w:val="single" w:color="auto" w:sz="4" w:space="0"/>
            </w:tcBorders>
            <w:vAlign w:val="center"/>
          </w:tcPr>
          <w:p w14:paraId="28F6F5C0">
            <w:pPr>
              <w:spacing w:line="240" w:lineRule="auto"/>
              <w:ind w:firstLine="0" w:firstLineChars="0"/>
              <w:jc w:val="center"/>
              <w:rPr>
                <w:rFonts w:cs="Times New Roman"/>
                <w:sz w:val="21"/>
                <w:szCs w:val="21"/>
                <w14:ligatures w14:val="none"/>
              </w:rPr>
            </w:pPr>
            <w:r>
              <w:rPr>
                <w:rFonts w:cs="Times New Roman"/>
                <w:sz w:val="21"/>
                <w:szCs w:val="21"/>
                <w14:ligatures w14:val="none"/>
              </w:rPr>
              <w:t>氯甲烷</w:t>
            </w:r>
          </w:p>
        </w:tc>
        <w:tc>
          <w:tcPr>
            <w:tcW w:w="833" w:type="pct"/>
            <w:tcBorders>
              <w:left w:val="single" w:color="auto" w:sz="4" w:space="0"/>
            </w:tcBorders>
            <w:vAlign w:val="center"/>
          </w:tcPr>
          <w:p w14:paraId="253E96DA">
            <w:pPr>
              <w:spacing w:line="240" w:lineRule="auto"/>
              <w:ind w:firstLine="0" w:firstLineChars="0"/>
              <w:jc w:val="center"/>
              <w:rPr>
                <w:rFonts w:cs="Times New Roman"/>
                <w:sz w:val="21"/>
                <w:szCs w:val="21"/>
                <w14:ligatures w14:val="none"/>
              </w:rPr>
            </w:pPr>
            <w:r>
              <w:rPr>
                <w:rFonts w:cs="Times New Roman"/>
                <w:sz w:val="21"/>
                <w:szCs w:val="21"/>
                <w14:ligatures w14:val="none"/>
              </w:rPr>
              <w:t>12</w:t>
            </w:r>
          </w:p>
        </w:tc>
        <w:tc>
          <w:tcPr>
            <w:tcW w:w="833" w:type="pct"/>
            <w:tcBorders>
              <w:left w:val="single" w:color="auto" w:sz="4" w:space="0"/>
              <w:right w:val="single" w:color="auto" w:sz="4" w:space="0"/>
            </w:tcBorders>
            <w:vAlign w:val="center"/>
          </w:tcPr>
          <w:p w14:paraId="6D2DE356">
            <w:pPr>
              <w:spacing w:line="240" w:lineRule="auto"/>
              <w:ind w:firstLine="0" w:firstLineChars="0"/>
              <w:jc w:val="center"/>
              <w:rPr>
                <w:rFonts w:cs="Times New Roman"/>
                <w:sz w:val="21"/>
                <w:szCs w:val="21"/>
                <w14:ligatures w14:val="none"/>
              </w:rPr>
            </w:pPr>
            <w:r>
              <w:rPr>
                <w:rFonts w:cs="Times New Roman"/>
                <w:sz w:val="21"/>
                <w:szCs w:val="21"/>
                <w14:ligatures w14:val="none"/>
              </w:rPr>
              <w:t>37</w:t>
            </w:r>
          </w:p>
        </w:tc>
        <w:tc>
          <w:tcPr>
            <w:tcW w:w="833" w:type="pct"/>
            <w:tcBorders>
              <w:left w:val="single" w:color="auto" w:sz="4" w:space="0"/>
            </w:tcBorders>
            <w:vAlign w:val="center"/>
          </w:tcPr>
          <w:p w14:paraId="147758A6">
            <w:pPr>
              <w:spacing w:line="240" w:lineRule="auto"/>
              <w:ind w:firstLine="0" w:firstLineChars="0"/>
              <w:jc w:val="center"/>
              <w:rPr>
                <w:rFonts w:cs="Times New Roman"/>
                <w:sz w:val="21"/>
                <w:szCs w:val="21"/>
                <w14:ligatures w14:val="none"/>
              </w:rPr>
            </w:pPr>
            <w:r>
              <w:rPr>
                <w:rFonts w:cs="Times New Roman"/>
                <w:sz w:val="21"/>
                <w:szCs w:val="21"/>
                <w14:ligatures w14:val="none"/>
              </w:rPr>
              <w:t>37</w:t>
            </w:r>
          </w:p>
        </w:tc>
        <w:tc>
          <w:tcPr>
            <w:tcW w:w="833" w:type="pct"/>
            <w:tcBorders>
              <w:left w:val="single" w:color="auto" w:sz="4" w:space="0"/>
            </w:tcBorders>
            <w:vAlign w:val="center"/>
          </w:tcPr>
          <w:p w14:paraId="41909C44">
            <w:pPr>
              <w:spacing w:line="240" w:lineRule="auto"/>
              <w:ind w:firstLine="0" w:firstLineChars="0"/>
              <w:jc w:val="center"/>
              <w:rPr>
                <w:rFonts w:cs="Times New Roman"/>
                <w:sz w:val="21"/>
                <w:szCs w:val="21"/>
                <w14:ligatures w14:val="none"/>
              </w:rPr>
            </w:pPr>
            <w:r>
              <w:rPr>
                <w:rFonts w:cs="Times New Roman"/>
                <w:sz w:val="21"/>
                <w:szCs w:val="21"/>
                <w14:ligatures w14:val="none"/>
              </w:rPr>
              <w:t>120</w:t>
            </w:r>
          </w:p>
        </w:tc>
      </w:tr>
      <w:tr w14:paraId="638D3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7E3FF4D9">
            <w:pPr>
              <w:spacing w:line="240" w:lineRule="auto"/>
              <w:ind w:firstLine="0" w:firstLineChars="0"/>
              <w:jc w:val="center"/>
              <w:rPr>
                <w:rFonts w:cs="Times New Roman"/>
                <w:sz w:val="21"/>
                <w:szCs w:val="21"/>
                <w14:ligatures w14:val="none"/>
              </w:rPr>
            </w:pPr>
            <w:r>
              <w:rPr>
                <w:rFonts w:cs="Times New Roman"/>
                <w:sz w:val="21"/>
                <w:szCs w:val="21"/>
                <w14:ligatures w14:val="none"/>
              </w:rPr>
              <w:t>11</w:t>
            </w:r>
          </w:p>
        </w:tc>
        <w:tc>
          <w:tcPr>
            <w:tcW w:w="1271" w:type="pct"/>
            <w:tcBorders>
              <w:left w:val="single" w:color="auto" w:sz="4" w:space="0"/>
            </w:tcBorders>
            <w:vAlign w:val="center"/>
          </w:tcPr>
          <w:p w14:paraId="76A1231D">
            <w:pPr>
              <w:spacing w:line="240" w:lineRule="auto"/>
              <w:ind w:firstLine="0" w:firstLineChars="0"/>
              <w:jc w:val="center"/>
              <w:rPr>
                <w:rFonts w:cs="Times New Roman"/>
                <w:sz w:val="21"/>
                <w:szCs w:val="21"/>
                <w14:ligatures w14:val="none"/>
              </w:rPr>
            </w:pPr>
            <w:r>
              <w:rPr>
                <w:rFonts w:cs="Times New Roman"/>
                <w:sz w:val="21"/>
                <w:szCs w:val="21"/>
                <w14:ligatures w14:val="none"/>
              </w:rPr>
              <w:t>1,1-二氯乙烷</w:t>
            </w:r>
          </w:p>
        </w:tc>
        <w:tc>
          <w:tcPr>
            <w:tcW w:w="833" w:type="pct"/>
            <w:tcBorders>
              <w:left w:val="single" w:color="auto" w:sz="4" w:space="0"/>
            </w:tcBorders>
            <w:vAlign w:val="center"/>
          </w:tcPr>
          <w:p w14:paraId="1ECCFA29">
            <w:pPr>
              <w:spacing w:line="240" w:lineRule="auto"/>
              <w:ind w:firstLine="0" w:firstLineChars="0"/>
              <w:jc w:val="center"/>
              <w:rPr>
                <w:rFonts w:cs="Times New Roman"/>
                <w:sz w:val="21"/>
                <w:szCs w:val="21"/>
                <w14:ligatures w14:val="none"/>
              </w:rPr>
            </w:pPr>
            <w:r>
              <w:rPr>
                <w:rFonts w:cs="Times New Roman"/>
                <w:sz w:val="21"/>
                <w:szCs w:val="21"/>
                <w14:ligatures w14:val="none"/>
              </w:rPr>
              <w:t>3</w:t>
            </w:r>
          </w:p>
        </w:tc>
        <w:tc>
          <w:tcPr>
            <w:tcW w:w="833" w:type="pct"/>
            <w:tcBorders>
              <w:left w:val="single" w:color="auto" w:sz="4" w:space="0"/>
              <w:right w:val="single" w:color="auto" w:sz="4" w:space="0"/>
            </w:tcBorders>
            <w:vAlign w:val="center"/>
          </w:tcPr>
          <w:p w14:paraId="38A5BCA7">
            <w:pPr>
              <w:spacing w:line="240" w:lineRule="auto"/>
              <w:ind w:firstLine="0" w:firstLineChars="0"/>
              <w:jc w:val="center"/>
              <w:rPr>
                <w:rFonts w:cs="Times New Roman"/>
                <w:sz w:val="21"/>
                <w:szCs w:val="21"/>
                <w14:ligatures w14:val="none"/>
              </w:rPr>
            </w:pPr>
            <w:r>
              <w:rPr>
                <w:rFonts w:cs="Times New Roman"/>
                <w:sz w:val="21"/>
                <w:szCs w:val="21"/>
                <w14:ligatures w14:val="none"/>
              </w:rPr>
              <w:t>9</w:t>
            </w:r>
          </w:p>
        </w:tc>
        <w:tc>
          <w:tcPr>
            <w:tcW w:w="833" w:type="pct"/>
            <w:tcBorders>
              <w:left w:val="single" w:color="auto" w:sz="4" w:space="0"/>
            </w:tcBorders>
            <w:vAlign w:val="center"/>
          </w:tcPr>
          <w:p w14:paraId="494330A1">
            <w:pPr>
              <w:spacing w:line="240" w:lineRule="auto"/>
              <w:ind w:firstLine="0" w:firstLineChars="0"/>
              <w:jc w:val="center"/>
              <w:rPr>
                <w:rFonts w:cs="Times New Roman"/>
                <w:sz w:val="21"/>
                <w:szCs w:val="21"/>
                <w14:ligatures w14:val="none"/>
              </w:rPr>
            </w:pPr>
            <w:r>
              <w:rPr>
                <w:rFonts w:cs="Times New Roman"/>
                <w:sz w:val="21"/>
                <w:szCs w:val="21"/>
                <w14:ligatures w14:val="none"/>
              </w:rPr>
              <w:t>9</w:t>
            </w:r>
          </w:p>
        </w:tc>
        <w:tc>
          <w:tcPr>
            <w:tcW w:w="833" w:type="pct"/>
            <w:tcBorders>
              <w:left w:val="single" w:color="auto" w:sz="4" w:space="0"/>
            </w:tcBorders>
            <w:vAlign w:val="center"/>
          </w:tcPr>
          <w:p w14:paraId="31AD61C9">
            <w:pPr>
              <w:spacing w:line="240" w:lineRule="auto"/>
              <w:ind w:firstLine="0" w:firstLineChars="0"/>
              <w:jc w:val="center"/>
              <w:rPr>
                <w:rFonts w:cs="Times New Roman"/>
                <w:sz w:val="21"/>
                <w:szCs w:val="21"/>
                <w14:ligatures w14:val="none"/>
              </w:rPr>
            </w:pPr>
            <w:r>
              <w:rPr>
                <w:rFonts w:cs="Times New Roman"/>
                <w:sz w:val="21"/>
                <w:szCs w:val="21"/>
                <w14:ligatures w14:val="none"/>
              </w:rPr>
              <w:t>100</w:t>
            </w:r>
          </w:p>
        </w:tc>
      </w:tr>
      <w:tr w14:paraId="47A72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3BCDE54B">
            <w:pPr>
              <w:spacing w:line="240" w:lineRule="auto"/>
              <w:ind w:firstLine="0" w:firstLineChars="0"/>
              <w:jc w:val="center"/>
              <w:rPr>
                <w:rFonts w:cs="Times New Roman"/>
                <w:sz w:val="21"/>
                <w:szCs w:val="21"/>
                <w14:ligatures w14:val="none"/>
              </w:rPr>
            </w:pPr>
            <w:r>
              <w:rPr>
                <w:rFonts w:cs="Times New Roman"/>
                <w:sz w:val="21"/>
                <w:szCs w:val="21"/>
                <w14:ligatures w14:val="none"/>
              </w:rPr>
              <w:t>12</w:t>
            </w:r>
          </w:p>
        </w:tc>
        <w:tc>
          <w:tcPr>
            <w:tcW w:w="1271" w:type="pct"/>
            <w:tcBorders>
              <w:left w:val="single" w:color="auto" w:sz="4" w:space="0"/>
            </w:tcBorders>
            <w:vAlign w:val="center"/>
          </w:tcPr>
          <w:p w14:paraId="64E23820">
            <w:pPr>
              <w:spacing w:line="240" w:lineRule="auto"/>
              <w:ind w:firstLine="0" w:firstLineChars="0"/>
              <w:jc w:val="center"/>
              <w:rPr>
                <w:rFonts w:cs="Times New Roman"/>
                <w:sz w:val="21"/>
                <w:szCs w:val="21"/>
                <w14:ligatures w14:val="none"/>
              </w:rPr>
            </w:pPr>
            <w:r>
              <w:rPr>
                <w:rFonts w:cs="Times New Roman"/>
                <w:sz w:val="21"/>
                <w:szCs w:val="21"/>
                <w14:ligatures w14:val="none"/>
              </w:rPr>
              <w:t>1,2-二氯乙烷</w:t>
            </w:r>
          </w:p>
        </w:tc>
        <w:tc>
          <w:tcPr>
            <w:tcW w:w="833" w:type="pct"/>
            <w:tcBorders>
              <w:left w:val="single" w:color="auto" w:sz="4" w:space="0"/>
            </w:tcBorders>
            <w:vAlign w:val="center"/>
          </w:tcPr>
          <w:p w14:paraId="55900136">
            <w:pPr>
              <w:spacing w:line="240" w:lineRule="auto"/>
              <w:ind w:firstLine="0" w:firstLineChars="0"/>
              <w:jc w:val="center"/>
              <w:rPr>
                <w:rFonts w:cs="Times New Roman"/>
                <w:sz w:val="21"/>
                <w:szCs w:val="21"/>
                <w14:ligatures w14:val="none"/>
              </w:rPr>
            </w:pPr>
            <w:r>
              <w:rPr>
                <w:rFonts w:cs="Times New Roman"/>
                <w:sz w:val="21"/>
                <w:szCs w:val="21"/>
                <w14:ligatures w14:val="none"/>
              </w:rPr>
              <w:t>0.52</w:t>
            </w:r>
          </w:p>
        </w:tc>
        <w:tc>
          <w:tcPr>
            <w:tcW w:w="833" w:type="pct"/>
            <w:tcBorders>
              <w:left w:val="single" w:color="auto" w:sz="4" w:space="0"/>
              <w:right w:val="single" w:color="auto" w:sz="4" w:space="0"/>
            </w:tcBorders>
            <w:vAlign w:val="center"/>
          </w:tcPr>
          <w:p w14:paraId="108B4970">
            <w:pPr>
              <w:spacing w:line="240" w:lineRule="auto"/>
              <w:ind w:firstLine="0" w:firstLineChars="0"/>
              <w:jc w:val="center"/>
              <w:rPr>
                <w:rFonts w:cs="Times New Roman"/>
                <w:sz w:val="21"/>
                <w:szCs w:val="21"/>
                <w14:ligatures w14:val="none"/>
              </w:rPr>
            </w:pPr>
            <w:r>
              <w:rPr>
                <w:rFonts w:cs="Times New Roman"/>
                <w:sz w:val="21"/>
                <w:szCs w:val="21"/>
                <w14:ligatures w14:val="none"/>
              </w:rPr>
              <w:t>5</w:t>
            </w:r>
          </w:p>
        </w:tc>
        <w:tc>
          <w:tcPr>
            <w:tcW w:w="833" w:type="pct"/>
            <w:tcBorders>
              <w:left w:val="single" w:color="auto" w:sz="4" w:space="0"/>
            </w:tcBorders>
            <w:vAlign w:val="center"/>
          </w:tcPr>
          <w:p w14:paraId="4A8D18D7">
            <w:pPr>
              <w:spacing w:line="240" w:lineRule="auto"/>
              <w:ind w:firstLine="0" w:firstLineChars="0"/>
              <w:jc w:val="center"/>
              <w:rPr>
                <w:rFonts w:cs="Times New Roman"/>
                <w:sz w:val="21"/>
                <w:szCs w:val="21"/>
                <w14:ligatures w14:val="none"/>
              </w:rPr>
            </w:pPr>
            <w:r>
              <w:rPr>
                <w:rFonts w:cs="Times New Roman"/>
                <w:sz w:val="21"/>
                <w:szCs w:val="21"/>
                <w14:ligatures w14:val="none"/>
              </w:rPr>
              <w:t>5</w:t>
            </w:r>
          </w:p>
        </w:tc>
        <w:tc>
          <w:tcPr>
            <w:tcW w:w="833" w:type="pct"/>
            <w:tcBorders>
              <w:left w:val="single" w:color="auto" w:sz="4" w:space="0"/>
            </w:tcBorders>
            <w:vAlign w:val="center"/>
          </w:tcPr>
          <w:p w14:paraId="21FED111">
            <w:pPr>
              <w:spacing w:line="240" w:lineRule="auto"/>
              <w:ind w:firstLine="0" w:firstLineChars="0"/>
              <w:jc w:val="center"/>
              <w:rPr>
                <w:rFonts w:cs="Times New Roman"/>
                <w:sz w:val="21"/>
                <w:szCs w:val="21"/>
                <w14:ligatures w14:val="none"/>
              </w:rPr>
            </w:pPr>
            <w:r>
              <w:rPr>
                <w:rFonts w:cs="Times New Roman"/>
                <w:sz w:val="21"/>
                <w:szCs w:val="21"/>
                <w14:ligatures w14:val="none"/>
              </w:rPr>
              <w:t>21</w:t>
            </w:r>
          </w:p>
        </w:tc>
      </w:tr>
      <w:tr w14:paraId="5DE81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73A8117E">
            <w:pPr>
              <w:spacing w:line="240" w:lineRule="auto"/>
              <w:ind w:firstLine="0" w:firstLineChars="0"/>
              <w:jc w:val="center"/>
              <w:rPr>
                <w:rFonts w:cs="Times New Roman"/>
                <w:sz w:val="21"/>
                <w:szCs w:val="21"/>
                <w14:ligatures w14:val="none"/>
              </w:rPr>
            </w:pPr>
            <w:r>
              <w:rPr>
                <w:rFonts w:cs="Times New Roman"/>
                <w:sz w:val="21"/>
                <w:szCs w:val="21"/>
                <w14:ligatures w14:val="none"/>
              </w:rPr>
              <w:t>13</w:t>
            </w:r>
          </w:p>
        </w:tc>
        <w:tc>
          <w:tcPr>
            <w:tcW w:w="1271" w:type="pct"/>
            <w:tcBorders>
              <w:left w:val="single" w:color="auto" w:sz="4" w:space="0"/>
            </w:tcBorders>
            <w:vAlign w:val="center"/>
          </w:tcPr>
          <w:p w14:paraId="11B40098">
            <w:pPr>
              <w:spacing w:line="240" w:lineRule="auto"/>
              <w:ind w:firstLine="0" w:firstLineChars="0"/>
              <w:jc w:val="center"/>
              <w:rPr>
                <w:rFonts w:cs="Times New Roman"/>
                <w:sz w:val="21"/>
                <w:szCs w:val="21"/>
                <w14:ligatures w14:val="none"/>
              </w:rPr>
            </w:pPr>
            <w:r>
              <w:rPr>
                <w:rFonts w:cs="Times New Roman"/>
                <w:sz w:val="21"/>
                <w:szCs w:val="21"/>
                <w14:ligatures w14:val="none"/>
              </w:rPr>
              <w:t>1,1-二氯乙烯</w:t>
            </w:r>
          </w:p>
        </w:tc>
        <w:tc>
          <w:tcPr>
            <w:tcW w:w="833" w:type="pct"/>
            <w:tcBorders>
              <w:left w:val="single" w:color="auto" w:sz="4" w:space="0"/>
            </w:tcBorders>
            <w:vAlign w:val="center"/>
          </w:tcPr>
          <w:p w14:paraId="41877766">
            <w:pPr>
              <w:spacing w:line="240" w:lineRule="auto"/>
              <w:ind w:firstLine="0" w:firstLineChars="0"/>
              <w:jc w:val="center"/>
              <w:rPr>
                <w:rFonts w:cs="Times New Roman"/>
                <w:sz w:val="21"/>
                <w:szCs w:val="21"/>
                <w14:ligatures w14:val="none"/>
              </w:rPr>
            </w:pPr>
            <w:r>
              <w:rPr>
                <w:rFonts w:cs="Times New Roman"/>
                <w:sz w:val="21"/>
                <w:szCs w:val="21"/>
                <w14:ligatures w14:val="none"/>
              </w:rPr>
              <w:t>12</w:t>
            </w:r>
          </w:p>
        </w:tc>
        <w:tc>
          <w:tcPr>
            <w:tcW w:w="833" w:type="pct"/>
            <w:tcBorders>
              <w:left w:val="single" w:color="auto" w:sz="4" w:space="0"/>
              <w:right w:val="single" w:color="auto" w:sz="4" w:space="0"/>
            </w:tcBorders>
            <w:vAlign w:val="center"/>
          </w:tcPr>
          <w:p w14:paraId="04FC5608">
            <w:pPr>
              <w:spacing w:line="240" w:lineRule="auto"/>
              <w:ind w:firstLine="0" w:firstLineChars="0"/>
              <w:jc w:val="center"/>
              <w:rPr>
                <w:rFonts w:cs="Times New Roman"/>
                <w:sz w:val="21"/>
                <w:szCs w:val="21"/>
                <w14:ligatures w14:val="none"/>
              </w:rPr>
            </w:pPr>
            <w:r>
              <w:rPr>
                <w:rFonts w:cs="Times New Roman"/>
                <w:sz w:val="21"/>
                <w:szCs w:val="21"/>
                <w14:ligatures w14:val="none"/>
              </w:rPr>
              <w:t>66</w:t>
            </w:r>
          </w:p>
        </w:tc>
        <w:tc>
          <w:tcPr>
            <w:tcW w:w="833" w:type="pct"/>
            <w:tcBorders>
              <w:left w:val="single" w:color="auto" w:sz="4" w:space="0"/>
            </w:tcBorders>
            <w:vAlign w:val="center"/>
          </w:tcPr>
          <w:p w14:paraId="5F7D1971">
            <w:pPr>
              <w:spacing w:line="240" w:lineRule="auto"/>
              <w:ind w:firstLine="0" w:firstLineChars="0"/>
              <w:jc w:val="center"/>
              <w:rPr>
                <w:rFonts w:cs="Times New Roman"/>
                <w:sz w:val="21"/>
                <w:szCs w:val="21"/>
                <w14:ligatures w14:val="none"/>
              </w:rPr>
            </w:pPr>
            <w:r>
              <w:rPr>
                <w:rFonts w:cs="Times New Roman"/>
                <w:sz w:val="21"/>
                <w:szCs w:val="21"/>
                <w14:ligatures w14:val="none"/>
              </w:rPr>
              <w:t>66</w:t>
            </w:r>
          </w:p>
        </w:tc>
        <w:tc>
          <w:tcPr>
            <w:tcW w:w="833" w:type="pct"/>
            <w:tcBorders>
              <w:left w:val="single" w:color="auto" w:sz="4" w:space="0"/>
            </w:tcBorders>
            <w:vAlign w:val="center"/>
          </w:tcPr>
          <w:p w14:paraId="5D45E827">
            <w:pPr>
              <w:spacing w:line="240" w:lineRule="auto"/>
              <w:ind w:firstLine="0" w:firstLineChars="0"/>
              <w:jc w:val="center"/>
              <w:rPr>
                <w:rFonts w:cs="Times New Roman"/>
                <w:sz w:val="21"/>
                <w:szCs w:val="21"/>
                <w14:ligatures w14:val="none"/>
              </w:rPr>
            </w:pPr>
            <w:r>
              <w:rPr>
                <w:rFonts w:cs="Times New Roman"/>
                <w:sz w:val="21"/>
                <w:szCs w:val="21"/>
                <w14:ligatures w14:val="none"/>
              </w:rPr>
              <w:t>200</w:t>
            </w:r>
          </w:p>
        </w:tc>
      </w:tr>
      <w:tr w14:paraId="4277F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2B4BC3E9">
            <w:pPr>
              <w:spacing w:line="240" w:lineRule="auto"/>
              <w:ind w:firstLine="0" w:firstLineChars="0"/>
              <w:jc w:val="center"/>
              <w:rPr>
                <w:rFonts w:cs="Times New Roman"/>
                <w:sz w:val="21"/>
                <w:szCs w:val="21"/>
                <w14:ligatures w14:val="none"/>
              </w:rPr>
            </w:pPr>
            <w:r>
              <w:rPr>
                <w:rFonts w:cs="Times New Roman"/>
                <w:sz w:val="21"/>
                <w:szCs w:val="21"/>
                <w14:ligatures w14:val="none"/>
              </w:rPr>
              <w:t>14</w:t>
            </w:r>
          </w:p>
        </w:tc>
        <w:tc>
          <w:tcPr>
            <w:tcW w:w="1271" w:type="pct"/>
            <w:tcBorders>
              <w:left w:val="single" w:color="auto" w:sz="4" w:space="0"/>
            </w:tcBorders>
            <w:vAlign w:val="center"/>
          </w:tcPr>
          <w:p w14:paraId="14A79CD6">
            <w:pPr>
              <w:spacing w:line="240" w:lineRule="auto"/>
              <w:ind w:firstLine="0" w:firstLineChars="0"/>
              <w:jc w:val="center"/>
              <w:rPr>
                <w:rFonts w:cs="Times New Roman"/>
                <w:sz w:val="21"/>
                <w:szCs w:val="21"/>
                <w14:ligatures w14:val="none"/>
              </w:rPr>
            </w:pPr>
            <w:r>
              <w:rPr>
                <w:rFonts w:cs="Times New Roman"/>
                <w:sz w:val="21"/>
                <w:szCs w:val="21"/>
                <w14:ligatures w14:val="none"/>
              </w:rPr>
              <w:t>顺-1,2-二氯乙烯</w:t>
            </w:r>
          </w:p>
        </w:tc>
        <w:tc>
          <w:tcPr>
            <w:tcW w:w="833" w:type="pct"/>
            <w:tcBorders>
              <w:left w:val="single" w:color="auto" w:sz="4" w:space="0"/>
            </w:tcBorders>
            <w:vAlign w:val="center"/>
          </w:tcPr>
          <w:p w14:paraId="7D387363">
            <w:pPr>
              <w:spacing w:line="240" w:lineRule="auto"/>
              <w:ind w:firstLine="0" w:firstLineChars="0"/>
              <w:jc w:val="center"/>
              <w:rPr>
                <w:rFonts w:cs="Times New Roman"/>
                <w:sz w:val="21"/>
                <w:szCs w:val="21"/>
                <w14:ligatures w14:val="none"/>
              </w:rPr>
            </w:pPr>
            <w:r>
              <w:rPr>
                <w:rFonts w:cs="Times New Roman"/>
                <w:sz w:val="21"/>
                <w:szCs w:val="21"/>
                <w14:ligatures w14:val="none"/>
              </w:rPr>
              <w:t>66</w:t>
            </w:r>
          </w:p>
        </w:tc>
        <w:tc>
          <w:tcPr>
            <w:tcW w:w="833" w:type="pct"/>
            <w:tcBorders>
              <w:left w:val="single" w:color="auto" w:sz="4" w:space="0"/>
              <w:right w:val="single" w:color="auto" w:sz="4" w:space="0"/>
            </w:tcBorders>
            <w:vAlign w:val="center"/>
          </w:tcPr>
          <w:p w14:paraId="79AF9F43">
            <w:pPr>
              <w:spacing w:line="240" w:lineRule="auto"/>
              <w:ind w:firstLine="0" w:firstLineChars="0"/>
              <w:jc w:val="center"/>
              <w:rPr>
                <w:rFonts w:cs="Times New Roman"/>
                <w:sz w:val="21"/>
                <w:szCs w:val="21"/>
                <w14:ligatures w14:val="none"/>
              </w:rPr>
            </w:pPr>
            <w:r>
              <w:rPr>
                <w:rFonts w:cs="Times New Roman"/>
                <w:sz w:val="21"/>
                <w:szCs w:val="21"/>
                <w14:ligatures w14:val="none"/>
              </w:rPr>
              <w:t>596</w:t>
            </w:r>
          </w:p>
        </w:tc>
        <w:tc>
          <w:tcPr>
            <w:tcW w:w="833" w:type="pct"/>
            <w:tcBorders>
              <w:left w:val="single" w:color="auto" w:sz="4" w:space="0"/>
            </w:tcBorders>
            <w:vAlign w:val="center"/>
          </w:tcPr>
          <w:p w14:paraId="617DC8BF">
            <w:pPr>
              <w:spacing w:line="240" w:lineRule="auto"/>
              <w:ind w:firstLine="0" w:firstLineChars="0"/>
              <w:jc w:val="center"/>
              <w:rPr>
                <w:rFonts w:cs="Times New Roman"/>
                <w:sz w:val="21"/>
                <w:szCs w:val="21"/>
                <w14:ligatures w14:val="none"/>
              </w:rPr>
            </w:pPr>
            <w:r>
              <w:rPr>
                <w:rFonts w:cs="Times New Roman"/>
                <w:sz w:val="21"/>
                <w:szCs w:val="21"/>
                <w14:ligatures w14:val="none"/>
              </w:rPr>
              <w:t>596</w:t>
            </w:r>
          </w:p>
        </w:tc>
        <w:tc>
          <w:tcPr>
            <w:tcW w:w="833" w:type="pct"/>
            <w:tcBorders>
              <w:left w:val="single" w:color="auto" w:sz="4" w:space="0"/>
            </w:tcBorders>
            <w:vAlign w:val="center"/>
          </w:tcPr>
          <w:p w14:paraId="318B2785">
            <w:pPr>
              <w:spacing w:line="240" w:lineRule="auto"/>
              <w:ind w:firstLine="0" w:firstLineChars="0"/>
              <w:jc w:val="center"/>
              <w:rPr>
                <w:rFonts w:cs="Times New Roman"/>
                <w:sz w:val="21"/>
                <w:szCs w:val="21"/>
                <w14:ligatures w14:val="none"/>
              </w:rPr>
            </w:pPr>
            <w:r>
              <w:rPr>
                <w:rFonts w:cs="Times New Roman"/>
                <w:sz w:val="21"/>
                <w:szCs w:val="21"/>
                <w14:ligatures w14:val="none"/>
              </w:rPr>
              <w:t>2000</w:t>
            </w:r>
          </w:p>
        </w:tc>
      </w:tr>
      <w:tr w14:paraId="68C8B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0EFA343B">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c>
          <w:tcPr>
            <w:tcW w:w="1271" w:type="pct"/>
            <w:tcBorders>
              <w:left w:val="single" w:color="auto" w:sz="4" w:space="0"/>
            </w:tcBorders>
            <w:vAlign w:val="center"/>
          </w:tcPr>
          <w:p w14:paraId="2FB282C4">
            <w:pPr>
              <w:spacing w:line="240" w:lineRule="auto"/>
              <w:ind w:firstLine="0" w:firstLineChars="0"/>
              <w:jc w:val="center"/>
              <w:rPr>
                <w:rFonts w:cs="Times New Roman"/>
                <w:sz w:val="21"/>
                <w:szCs w:val="21"/>
                <w14:ligatures w14:val="none"/>
              </w:rPr>
            </w:pPr>
            <w:r>
              <w:rPr>
                <w:rFonts w:cs="Times New Roman"/>
                <w:sz w:val="21"/>
                <w:szCs w:val="21"/>
                <w14:ligatures w14:val="none"/>
              </w:rPr>
              <w:t>反-1,2-二氯乙烯</w:t>
            </w:r>
          </w:p>
        </w:tc>
        <w:tc>
          <w:tcPr>
            <w:tcW w:w="833" w:type="pct"/>
            <w:tcBorders>
              <w:left w:val="single" w:color="auto" w:sz="4" w:space="0"/>
            </w:tcBorders>
            <w:vAlign w:val="center"/>
          </w:tcPr>
          <w:p w14:paraId="6E4F700B">
            <w:pPr>
              <w:spacing w:line="240" w:lineRule="auto"/>
              <w:ind w:firstLine="0" w:firstLineChars="0"/>
              <w:jc w:val="center"/>
              <w:rPr>
                <w:rFonts w:cs="Times New Roman"/>
                <w:sz w:val="21"/>
                <w:szCs w:val="21"/>
                <w14:ligatures w14:val="none"/>
              </w:rPr>
            </w:pPr>
            <w:r>
              <w:rPr>
                <w:rFonts w:cs="Times New Roman"/>
                <w:sz w:val="21"/>
                <w:szCs w:val="21"/>
                <w14:ligatures w14:val="none"/>
              </w:rPr>
              <w:t>10</w:t>
            </w:r>
          </w:p>
        </w:tc>
        <w:tc>
          <w:tcPr>
            <w:tcW w:w="833" w:type="pct"/>
            <w:tcBorders>
              <w:left w:val="single" w:color="auto" w:sz="4" w:space="0"/>
              <w:right w:val="single" w:color="auto" w:sz="4" w:space="0"/>
            </w:tcBorders>
            <w:vAlign w:val="center"/>
          </w:tcPr>
          <w:p w14:paraId="788A43D6">
            <w:pPr>
              <w:spacing w:line="240" w:lineRule="auto"/>
              <w:ind w:firstLine="0" w:firstLineChars="0"/>
              <w:jc w:val="center"/>
              <w:rPr>
                <w:rFonts w:cs="Times New Roman"/>
                <w:sz w:val="21"/>
                <w:szCs w:val="21"/>
                <w14:ligatures w14:val="none"/>
              </w:rPr>
            </w:pPr>
            <w:r>
              <w:rPr>
                <w:rFonts w:cs="Times New Roman"/>
                <w:sz w:val="21"/>
                <w:szCs w:val="21"/>
                <w14:ligatures w14:val="none"/>
              </w:rPr>
              <w:t>54</w:t>
            </w:r>
          </w:p>
        </w:tc>
        <w:tc>
          <w:tcPr>
            <w:tcW w:w="833" w:type="pct"/>
            <w:tcBorders>
              <w:left w:val="single" w:color="auto" w:sz="4" w:space="0"/>
            </w:tcBorders>
            <w:vAlign w:val="center"/>
          </w:tcPr>
          <w:p w14:paraId="6B597408">
            <w:pPr>
              <w:spacing w:line="240" w:lineRule="auto"/>
              <w:ind w:firstLine="0" w:firstLineChars="0"/>
              <w:jc w:val="center"/>
              <w:rPr>
                <w:rFonts w:cs="Times New Roman"/>
                <w:sz w:val="21"/>
                <w:szCs w:val="21"/>
                <w14:ligatures w14:val="none"/>
              </w:rPr>
            </w:pPr>
            <w:r>
              <w:rPr>
                <w:rFonts w:cs="Times New Roman"/>
                <w:sz w:val="21"/>
                <w:szCs w:val="21"/>
                <w14:ligatures w14:val="none"/>
              </w:rPr>
              <w:t>54</w:t>
            </w:r>
          </w:p>
        </w:tc>
        <w:tc>
          <w:tcPr>
            <w:tcW w:w="833" w:type="pct"/>
            <w:tcBorders>
              <w:left w:val="single" w:color="auto" w:sz="4" w:space="0"/>
            </w:tcBorders>
            <w:vAlign w:val="center"/>
          </w:tcPr>
          <w:p w14:paraId="61C54A85">
            <w:pPr>
              <w:spacing w:line="240" w:lineRule="auto"/>
              <w:ind w:firstLine="0" w:firstLineChars="0"/>
              <w:jc w:val="center"/>
              <w:rPr>
                <w:rFonts w:cs="Times New Roman"/>
                <w:sz w:val="21"/>
                <w:szCs w:val="21"/>
                <w14:ligatures w14:val="none"/>
              </w:rPr>
            </w:pPr>
            <w:r>
              <w:rPr>
                <w:rFonts w:cs="Times New Roman"/>
                <w:sz w:val="21"/>
                <w:szCs w:val="21"/>
                <w14:ligatures w14:val="none"/>
              </w:rPr>
              <w:t>163</w:t>
            </w:r>
          </w:p>
        </w:tc>
      </w:tr>
      <w:tr w14:paraId="6E1BE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76C70018">
            <w:pPr>
              <w:spacing w:line="240" w:lineRule="auto"/>
              <w:ind w:firstLine="0" w:firstLineChars="0"/>
              <w:jc w:val="center"/>
              <w:rPr>
                <w:rFonts w:cs="Times New Roman"/>
                <w:sz w:val="21"/>
                <w:szCs w:val="21"/>
                <w14:ligatures w14:val="none"/>
              </w:rPr>
            </w:pPr>
            <w:r>
              <w:rPr>
                <w:rFonts w:cs="Times New Roman"/>
                <w:sz w:val="21"/>
                <w:szCs w:val="21"/>
                <w14:ligatures w14:val="none"/>
              </w:rPr>
              <w:t>16</w:t>
            </w:r>
          </w:p>
        </w:tc>
        <w:tc>
          <w:tcPr>
            <w:tcW w:w="1271" w:type="pct"/>
            <w:tcBorders>
              <w:left w:val="single" w:color="auto" w:sz="4" w:space="0"/>
            </w:tcBorders>
            <w:vAlign w:val="center"/>
          </w:tcPr>
          <w:p w14:paraId="4B5B96F9">
            <w:pPr>
              <w:spacing w:line="240" w:lineRule="auto"/>
              <w:ind w:firstLine="0" w:firstLineChars="0"/>
              <w:jc w:val="center"/>
              <w:rPr>
                <w:rFonts w:cs="Times New Roman"/>
                <w:sz w:val="21"/>
                <w:szCs w:val="21"/>
                <w14:ligatures w14:val="none"/>
              </w:rPr>
            </w:pPr>
            <w:r>
              <w:rPr>
                <w:rFonts w:cs="Times New Roman"/>
                <w:sz w:val="21"/>
                <w:szCs w:val="21"/>
                <w14:ligatures w14:val="none"/>
              </w:rPr>
              <w:t>二氯甲烷</w:t>
            </w:r>
          </w:p>
        </w:tc>
        <w:tc>
          <w:tcPr>
            <w:tcW w:w="833" w:type="pct"/>
            <w:tcBorders>
              <w:left w:val="single" w:color="auto" w:sz="4" w:space="0"/>
            </w:tcBorders>
            <w:vAlign w:val="center"/>
          </w:tcPr>
          <w:p w14:paraId="13BBAAD9">
            <w:pPr>
              <w:spacing w:line="240" w:lineRule="auto"/>
              <w:ind w:firstLine="0" w:firstLineChars="0"/>
              <w:jc w:val="center"/>
              <w:rPr>
                <w:rFonts w:cs="Times New Roman"/>
                <w:sz w:val="21"/>
                <w:szCs w:val="21"/>
                <w14:ligatures w14:val="none"/>
              </w:rPr>
            </w:pPr>
            <w:r>
              <w:rPr>
                <w:rFonts w:cs="Times New Roman"/>
                <w:sz w:val="21"/>
                <w:szCs w:val="21"/>
                <w14:ligatures w14:val="none"/>
              </w:rPr>
              <w:t>94</w:t>
            </w:r>
          </w:p>
        </w:tc>
        <w:tc>
          <w:tcPr>
            <w:tcW w:w="833" w:type="pct"/>
            <w:tcBorders>
              <w:left w:val="single" w:color="auto" w:sz="4" w:space="0"/>
              <w:right w:val="single" w:color="auto" w:sz="4" w:space="0"/>
            </w:tcBorders>
            <w:vAlign w:val="center"/>
          </w:tcPr>
          <w:p w14:paraId="2195F8E3">
            <w:pPr>
              <w:spacing w:line="240" w:lineRule="auto"/>
              <w:ind w:firstLine="0" w:firstLineChars="0"/>
              <w:jc w:val="center"/>
              <w:rPr>
                <w:rFonts w:cs="Times New Roman"/>
                <w:sz w:val="21"/>
                <w:szCs w:val="21"/>
                <w14:ligatures w14:val="none"/>
              </w:rPr>
            </w:pPr>
            <w:r>
              <w:rPr>
                <w:rFonts w:cs="Times New Roman"/>
                <w:sz w:val="21"/>
                <w:szCs w:val="21"/>
                <w14:ligatures w14:val="none"/>
              </w:rPr>
              <w:t>616</w:t>
            </w:r>
          </w:p>
        </w:tc>
        <w:tc>
          <w:tcPr>
            <w:tcW w:w="833" w:type="pct"/>
            <w:tcBorders>
              <w:left w:val="single" w:color="auto" w:sz="4" w:space="0"/>
            </w:tcBorders>
            <w:vAlign w:val="center"/>
          </w:tcPr>
          <w:p w14:paraId="1179DCD5">
            <w:pPr>
              <w:spacing w:line="240" w:lineRule="auto"/>
              <w:ind w:firstLine="0" w:firstLineChars="0"/>
              <w:jc w:val="center"/>
              <w:rPr>
                <w:rFonts w:cs="Times New Roman"/>
                <w:sz w:val="21"/>
                <w:szCs w:val="21"/>
                <w14:ligatures w14:val="none"/>
              </w:rPr>
            </w:pPr>
            <w:r>
              <w:rPr>
                <w:rFonts w:cs="Times New Roman"/>
                <w:sz w:val="21"/>
                <w:szCs w:val="21"/>
                <w14:ligatures w14:val="none"/>
              </w:rPr>
              <w:t>616</w:t>
            </w:r>
          </w:p>
        </w:tc>
        <w:tc>
          <w:tcPr>
            <w:tcW w:w="833" w:type="pct"/>
            <w:tcBorders>
              <w:left w:val="single" w:color="auto" w:sz="4" w:space="0"/>
            </w:tcBorders>
            <w:vAlign w:val="center"/>
          </w:tcPr>
          <w:p w14:paraId="0B198BFB">
            <w:pPr>
              <w:spacing w:line="240" w:lineRule="auto"/>
              <w:ind w:firstLine="0" w:firstLineChars="0"/>
              <w:jc w:val="center"/>
              <w:rPr>
                <w:rFonts w:cs="Times New Roman"/>
                <w:sz w:val="21"/>
                <w:szCs w:val="21"/>
                <w14:ligatures w14:val="none"/>
              </w:rPr>
            </w:pPr>
            <w:r>
              <w:rPr>
                <w:rFonts w:cs="Times New Roman"/>
                <w:sz w:val="21"/>
                <w:szCs w:val="21"/>
                <w14:ligatures w14:val="none"/>
              </w:rPr>
              <w:t>2000</w:t>
            </w:r>
          </w:p>
        </w:tc>
      </w:tr>
      <w:tr w14:paraId="2ED85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3EEB762F">
            <w:pPr>
              <w:spacing w:line="240" w:lineRule="auto"/>
              <w:ind w:firstLine="0" w:firstLineChars="0"/>
              <w:jc w:val="center"/>
              <w:rPr>
                <w:rFonts w:cs="Times New Roman"/>
                <w:sz w:val="21"/>
                <w:szCs w:val="21"/>
                <w14:ligatures w14:val="none"/>
              </w:rPr>
            </w:pPr>
            <w:r>
              <w:rPr>
                <w:rFonts w:cs="Times New Roman"/>
                <w:sz w:val="21"/>
                <w:szCs w:val="21"/>
                <w14:ligatures w14:val="none"/>
              </w:rPr>
              <w:t>17</w:t>
            </w:r>
          </w:p>
        </w:tc>
        <w:tc>
          <w:tcPr>
            <w:tcW w:w="1271" w:type="pct"/>
            <w:tcBorders>
              <w:left w:val="single" w:color="auto" w:sz="4" w:space="0"/>
            </w:tcBorders>
            <w:vAlign w:val="center"/>
          </w:tcPr>
          <w:p w14:paraId="6A21BCEB">
            <w:pPr>
              <w:spacing w:line="240" w:lineRule="auto"/>
              <w:ind w:firstLine="0" w:firstLineChars="0"/>
              <w:jc w:val="center"/>
              <w:rPr>
                <w:rFonts w:cs="Times New Roman"/>
                <w:sz w:val="21"/>
                <w:szCs w:val="21"/>
                <w14:ligatures w14:val="none"/>
              </w:rPr>
            </w:pPr>
            <w:r>
              <w:rPr>
                <w:rFonts w:cs="Times New Roman"/>
                <w:sz w:val="21"/>
                <w:szCs w:val="21"/>
                <w14:ligatures w14:val="none"/>
              </w:rPr>
              <w:t>1,2-二氯丙烷</w:t>
            </w:r>
          </w:p>
        </w:tc>
        <w:tc>
          <w:tcPr>
            <w:tcW w:w="833" w:type="pct"/>
            <w:tcBorders>
              <w:left w:val="single" w:color="auto" w:sz="4" w:space="0"/>
            </w:tcBorders>
            <w:vAlign w:val="center"/>
          </w:tcPr>
          <w:p w14:paraId="2B596707">
            <w:pPr>
              <w:spacing w:line="240" w:lineRule="auto"/>
              <w:ind w:firstLine="0" w:firstLineChars="0"/>
              <w:jc w:val="center"/>
              <w:rPr>
                <w:rFonts w:cs="Times New Roman"/>
                <w:sz w:val="21"/>
                <w:szCs w:val="21"/>
                <w14:ligatures w14:val="none"/>
              </w:rPr>
            </w:pPr>
            <w:r>
              <w:rPr>
                <w:rFonts w:cs="Times New Roman"/>
                <w:sz w:val="21"/>
                <w:szCs w:val="21"/>
                <w14:ligatures w14:val="none"/>
              </w:rPr>
              <w:t>1</w:t>
            </w:r>
          </w:p>
        </w:tc>
        <w:tc>
          <w:tcPr>
            <w:tcW w:w="833" w:type="pct"/>
            <w:tcBorders>
              <w:left w:val="single" w:color="auto" w:sz="4" w:space="0"/>
              <w:right w:val="single" w:color="auto" w:sz="4" w:space="0"/>
            </w:tcBorders>
            <w:vAlign w:val="center"/>
          </w:tcPr>
          <w:p w14:paraId="1FD2415A">
            <w:pPr>
              <w:spacing w:line="240" w:lineRule="auto"/>
              <w:ind w:firstLine="0" w:firstLineChars="0"/>
              <w:jc w:val="center"/>
              <w:rPr>
                <w:rFonts w:cs="Times New Roman"/>
                <w:sz w:val="21"/>
                <w:szCs w:val="21"/>
                <w14:ligatures w14:val="none"/>
              </w:rPr>
            </w:pPr>
            <w:r>
              <w:rPr>
                <w:rFonts w:cs="Times New Roman"/>
                <w:sz w:val="21"/>
                <w:szCs w:val="21"/>
                <w14:ligatures w14:val="none"/>
              </w:rPr>
              <w:t>5</w:t>
            </w:r>
          </w:p>
        </w:tc>
        <w:tc>
          <w:tcPr>
            <w:tcW w:w="833" w:type="pct"/>
            <w:tcBorders>
              <w:left w:val="single" w:color="auto" w:sz="4" w:space="0"/>
            </w:tcBorders>
            <w:vAlign w:val="center"/>
          </w:tcPr>
          <w:p w14:paraId="6021C9F3">
            <w:pPr>
              <w:spacing w:line="240" w:lineRule="auto"/>
              <w:ind w:firstLine="0" w:firstLineChars="0"/>
              <w:jc w:val="center"/>
              <w:rPr>
                <w:rFonts w:cs="Times New Roman"/>
                <w:sz w:val="21"/>
                <w:szCs w:val="21"/>
                <w14:ligatures w14:val="none"/>
              </w:rPr>
            </w:pPr>
            <w:r>
              <w:rPr>
                <w:rFonts w:cs="Times New Roman"/>
                <w:sz w:val="21"/>
                <w:szCs w:val="21"/>
                <w14:ligatures w14:val="none"/>
              </w:rPr>
              <w:t>5</w:t>
            </w:r>
          </w:p>
        </w:tc>
        <w:tc>
          <w:tcPr>
            <w:tcW w:w="833" w:type="pct"/>
            <w:tcBorders>
              <w:left w:val="single" w:color="auto" w:sz="4" w:space="0"/>
            </w:tcBorders>
            <w:vAlign w:val="center"/>
          </w:tcPr>
          <w:p w14:paraId="0B4D4839">
            <w:pPr>
              <w:spacing w:line="240" w:lineRule="auto"/>
              <w:ind w:firstLine="0" w:firstLineChars="0"/>
              <w:jc w:val="center"/>
              <w:rPr>
                <w:rFonts w:cs="Times New Roman"/>
                <w:sz w:val="21"/>
                <w:szCs w:val="21"/>
                <w14:ligatures w14:val="none"/>
              </w:rPr>
            </w:pPr>
            <w:r>
              <w:rPr>
                <w:rFonts w:cs="Times New Roman"/>
                <w:sz w:val="21"/>
                <w:szCs w:val="21"/>
                <w14:ligatures w14:val="none"/>
              </w:rPr>
              <w:t>47</w:t>
            </w:r>
          </w:p>
        </w:tc>
      </w:tr>
      <w:tr w14:paraId="2BB6A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3C9324BE">
            <w:pPr>
              <w:spacing w:line="240" w:lineRule="auto"/>
              <w:ind w:firstLine="0" w:firstLineChars="0"/>
              <w:jc w:val="center"/>
              <w:rPr>
                <w:rFonts w:cs="Times New Roman"/>
                <w:sz w:val="21"/>
                <w:szCs w:val="21"/>
                <w14:ligatures w14:val="none"/>
              </w:rPr>
            </w:pPr>
            <w:r>
              <w:rPr>
                <w:rFonts w:cs="Times New Roman"/>
                <w:sz w:val="21"/>
                <w:szCs w:val="21"/>
                <w14:ligatures w14:val="none"/>
              </w:rPr>
              <w:t>18</w:t>
            </w:r>
          </w:p>
        </w:tc>
        <w:tc>
          <w:tcPr>
            <w:tcW w:w="1271" w:type="pct"/>
            <w:tcBorders>
              <w:left w:val="single" w:color="auto" w:sz="4" w:space="0"/>
            </w:tcBorders>
            <w:vAlign w:val="center"/>
          </w:tcPr>
          <w:p w14:paraId="73F556C0">
            <w:pPr>
              <w:spacing w:line="240" w:lineRule="auto"/>
              <w:ind w:firstLine="0" w:firstLineChars="0"/>
              <w:jc w:val="center"/>
              <w:rPr>
                <w:rFonts w:cs="Times New Roman"/>
                <w:sz w:val="21"/>
                <w:szCs w:val="21"/>
                <w14:ligatures w14:val="none"/>
              </w:rPr>
            </w:pPr>
            <w:r>
              <w:rPr>
                <w:rFonts w:cs="Times New Roman"/>
                <w:sz w:val="21"/>
                <w:szCs w:val="21"/>
                <w14:ligatures w14:val="none"/>
              </w:rPr>
              <w:t>1,1,1,2-四氯乙烷</w:t>
            </w:r>
          </w:p>
        </w:tc>
        <w:tc>
          <w:tcPr>
            <w:tcW w:w="833" w:type="pct"/>
            <w:tcBorders>
              <w:left w:val="single" w:color="auto" w:sz="4" w:space="0"/>
            </w:tcBorders>
            <w:vAlign w:val="center"/>
          </w:tcPr>
          <w:p w14:paraId="260DF9C4">
            <w:pPr>
              <w:spacing w:line="240" w:lineRule="auto"/>
              <w:ind w:firstLine="0" w:firstLineChars="0"/>
              <w:jc w:val="center"/>
              <w:rPr>
                <w:rFonts w:cs="Times New Roman"/>
                <w:sz w:val="21"/>
                <w:szCs w:val="21"/>
                <w14:ligatures w14:val="none"/>
              </w:rPr>
            </w:pPr>
            <w:r>
              <w:rPr>
                <w:rFonts w:cs="Times New Roman"/>
                <w:sz w:val="21"/>
                <w:szCs w:val="21"/>
                <w14:ligatures w14:val="none"/>
              </w:rPr>
              <w:t>2.6</w:t>
            </w:r>
          </w:p>
        </w:tc>
        <w:tc>
          <w:tcPr>
            <w:tcW w:w="833" w:type="pct"/>
            <w:tcBorders>
              <w:left w:val="single" w:color="auto" w:sz="4" w:space="0"/>
              <w:right w:val="single" w:color="auto" w:sz="4" w:space="0"/>
            </w:tcBorders>
            <w:vAlign w:val="center"/>
          </w:tcPr>
          <w:p w14:paraId="01338AFB">
            <w:pPr>
              <w:spacing w:line="240" w:lineRule="auto"/>
              <w:ind w:firstLine="0" w:firstLineChars="0"/>
              <w:jc w:val="center"/>
              <w:rPr>
                <w:rFonts w:cs="Times New Roman"/>
                <w:sz w:val="21"/>
                <w:szCs w:val="21"/>
                <w14:ligatures w14:val="none"/>
              </w:rPr>
            </w:pPr>
            <w:r>
              <w:rPr>
                <w:rFonts w:cs="Times New Roman"/>
                <w:sz w:val="21"/>
                <w:szCs w:val="21"/>
                <w14:ligatures w14:val="none"/>
              </w:rPr>
              <w:t>10</w:t>
            </w:r>
          </w:p>
        </w:tc>
        <w:tc>
          <w:tcPr>
            <w:tcW w:w="833" w:type="pct"/>
            <w:tcBorders>
              <w:left w:val="single" w:color="auto" w:sz="4" w:space="0"/>
            </w:tcBorders>
            <w:vAlign w:val="center"/>
          </w:tcPr>
          <w:p w14:paraId="31676A32">
            <w:pPr>
              <w:spacing w:line="240" w:lineRule="auto"/>
              <w:ind w:firstLine="0" w:firstLineChars="0"/>
              <w:jc w:val="center"/>
              <w:rPr>
                <w:rFonts w:cs="Times New Roman"/>
                <w:sz w:val="21"/>
                <w:szCs w:val="21"/>
                <w14:ligatures w14:val="none"/>
              </w:rPr>
            </w:pPr>
            <w:r>
              <w:rPr>
                <w:rFonts w:cs="Times New Roman"/>
                <w:sz w:val="21"/>
                <w:szCs w:val="21"/>
                <w14:ligatures w14:val="none"/>
              </w:rPr>
              <w:t>10</w:t>
            </w:r>
          </w:p>
        </w:tc>
        <w:tc>
          <w:tcPr>
            <w:tcW w:w="833" w:type="pct"/>
            <w:tcBorders>
              <w:left w:val="single" w:color="auto" w:sz="4" w:space="0"/>
            </w:tcBorders>
            <w:vAlign w:val="center"/>
          </w:tcPr>
          <w:p w14:paraId="6761BDAE">
            <w:pPr>
              <w:spacing w:line="240" w:lineRule="auto"/>
              <w:ind w:firstLine="0" w:firstLineChars="0"/>
              <w:jc w:val="center"/>
              <w:rPr>
                <w:rFonts w:cs="Times New Roman"/>
                <w:sz w:val="21"/>
                <w:szCs w:val="21"/>
                <w14:ligatures w14:val="none"/>
              </w:rPr>
            </w:pPr>
            <w:r>
              <w:rPr>
                <w:rFonts w:cs="Times New Roman"/>
                <w:sz w:val="21"/>
                <w:szCs w:val="21"/>
                <w14:ligatures w14:val="none"/>
              </w:rPr>
              <w:t>100</w:t>
            </w:r>
          </w:p>
        </w:tc>
      </w:tr>
      <w:tr w14:paraId="6555A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191B561A">
            <w:pPr>
              <w:spacing w:line="240" w:lineRule="auto"/>
              <w:ind w:firstLine="0" w:firstLineChars="0"/>
              <w:jc w:val="center"/>
              <w:rPr>
                <w:rFonts w:cs="Times New Roman"/>
                <w:sz w:val="21"/>
                <w:szCs w:val="21"/>
                <w14:ligatures w14:val="none"/>
              </w:rPr>
            </w:pPr>
            <w:r>
              <w:rPr>
                <w:rFonts w:cs="Times New Roman"/>
                <w:sz w:val="21"/>
                <w:szCs w:val="21"/>
                <w14:ligatures w14:val="none"/>
              </w:rPr>
              <w:t>19</w:t>
            </w:r>
          </w:p>
        </w:tc>
        <w:tc>
          <w:tcPr>
            <w:tcW w:w="1271" w:type="pct"/>
            <w:tcBorders>
              <w:left w:val="single" w:color="auto" w:sz="4" w:space="0"/>
            </w:tcBorders>
            <w:vAlign w:val="center"/>
          </w:tcPr>
          <w:p w14:paraId="48C2E741">
            <w:pPr>
              <w:spacing w:line="240" w:lineRule="auto"/>
              <w:ind w:firstLine="0" w:firstLineChars="0"/>
              <w:jc w:val="center"/>
              <w:rPr>
                <w:rFonts w:cs="Times New Roman"/>
                <w:sz w:val="21"/>
                <w:szCs w:val="21"/>
                <w14:ligatures w14:val="none"/>
              </w:rPr>
            </w:pPr>
            <w:r>
              <w:rPr>
                <w:rFonts w:cs="Times New Roman"/>
                <w:sz w:val="21"/>
                <w:szCs w:val="21"/>
                <w14:ligatures w14:val="none"/>
              </w:rPr>
              <w:t>1,1,2,2-四氯乙烷</w:t>
            </w:r>
          </w:p>
        </w:tc>
        <w:tc>
          <w:tcPr>
            <w:tcW w:w="833" w:type="pct"/>
            <w:tcBorders>
              <w:left w:val="single" w:color="auto" w:sz="4" w:space="0"/>
            </w:tcBorders>
            <w:vAlign w:val="center"/>
          </w:tcPr>
          <w:p w14:paraId="782E9136">
            <w:pPr>
              <w:spacing w:line="240" w:lineRule="auto"/>
              <w:ind w:firstLine="0" w:firstLineChars="0"/>
              <w:jc w:val="center"/>
              <w:rPr>
                <w:rFonts w:cs="Times New Roman"/>
                <w:sz w:val="21"/>
                <w:szCs w:val="21"/>
                <w14:ligatures w14:val="none"/>
              </w:rPr>
            </w:pPr>
            <w:r>
              <w:rPr>
                <w:rFonts w:cs="Times New Roman"/>
                <w:sz w:val="21"/>
                <w:szCs w:val="21"/>
                <w14:ligatures w14:val="none"/>
              </w:rPr>
              <w:t>1.6</w:t>
            </w:r>
          </w:p>
        </w:tc>
        <w:tc>
          <w:tcPr>
            <w:tcW w:w="833" w:type="pct"/>
            <w:tcBorders>
              <w:left w:val="single" w:color="auto" w:sz="4" w:space="0"/>
              <w:right w:val="single" w:color="auto" w:sz="4" w:space="0"/>
            </w:tcBorders>
            <w:vAlign w:val="center"/>
          </w:tcPr>
          <w:p w14:paraId="2D85B456">
            <w:pPr>
              <w:spacing w:line="240" w:lineRule="auto"/>
              <w:ind w:firstLine="0" w:firstLineChars="0"/>
              <w:jc w:val="center"/>
              <w:rPr>
                <w:rFonts w:cs="Times New Roman"/>
                <w:sz w:val="21"/>
                <w:szCs w:val="21"/>
                <w14:ligatures w14:val="none"/>
              </w:rPr>
            </w:pPr>
            <w:r>
              <w:rPr>
                <w:rFonts w:cs="Times New Roman"/>
                <w:sz w:val="21"/>
                <w:szCs w:val="21"/>
                <w14:ligatures w14:val="none"/>
              </w:rPr>
              <w:t>6.8</w:t>
            </w:r>
          </w:p>
        </w:tc>
        <w:tc>
          <w:tcPr>
            <w:tcW w:w="833" w:type="pct"/>
            <w:tcBorders>
              <w:left w:val="single" w:color="auto" w:sz="4" w:space="0"/>
            </w:tcBorders>
            <w:vAlign w:val="center"/>
          </w:tcPr>
          <w:p w14:paraId="7D641A7C">
            <w:pPr>
              <w:spacing w:line="240" w:lineRule="auto"/>
              <w:ind w:firstLine="0" w:firstLineChars="0"/>
              <w:jc w:val="center"/>
              <w:rPr>
                <w:rFonts w:cs="Times New Roman"/>
                <w:sz w:val="21"/>
                <w:szCs w:val="21"/>
                <w14:ligatures w14:val="none"/>
              </w:rPr>
            </w:pPr>
            <w:r>
              <w:rPr>
                <w:rFonts w:cs="Times New Roman"/>
                <w:sz w:val="21"/>
                <w:szCs w:val="21"/>
                <w14:ligatures w14:val="none"/>
              </w:rPr>
              <w:t>6.8</w:t>
            </w:r>
          </w:p>
        </w:tc>
        <w:tc>
          <w:tcPr>
            <w:tcW w:w="833" w:type="pct"/>
            <w:tcBorders>
              <w:left w:val="single" w:color="auto" w:sz="4" w:space="0"/>
            </w:tcBorders>
            <w:vAlign w:val="center"/>
          </w:tcPr>
          <w:p w14:paraId="0458FFAF">
            <w:pPr>
              <w:spacing w:line="240" w:lineRule="auto"/>
              <w:ind w:firstLine="0" w:firstLineChars="0"/>
              <w:jc w:val="center"/>
              <w:rPr>
                <w:rFonts w:cs="Times New Roman"/>
                <w:sz w:val="21"/>
                <w:szCs w:val="21"/>
                <w14:ligatures w14:val="none"/>
              </w:rPr>
            </w:pPr>
            <w:r>
              <w:rPr>
                <w:rFonts w:cs="Times New Roman"/>
                <w:sz w:val="21"/>
                <w:szCs w:val="21"/>
                <w14:ligatures w14:val="none"/>
              </w:rPr>
              <w:t>50</w:t>
            </w:r>
          </w:p>
        </w:tc>
      </w:tr>
      <w:tr w14:paraId="4552E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211376E9">
            <w:pPr>
              <w:spacing w:line="240" w:lineRule="auto"/>
              <w:ind w:firstLine="0" w:firstLineChars="0"/>
              <w:jc w:val="center"/>
              <w:rPr>
                <w:rFonts w:cs="Times New Roman"/>
                <w:sz w:val="21"/>
                <w:szCs w:val="21"/>
                <w14:ligatures w14:val="none"/>
              </w:rPr>
            </w:pPr>
            <w:r>
              <w:rPr>
                <w:rFonts w:cs="Times New Roman"/>
                <w:sz w:val="21"/>
                <w:szCs w:val="21"/>
                <w14:ligatures w14:val="none"/>
              </w:rPr>
              <w:t>20</w:t>
            </w:r>
          </w:p>
        </w:tc>
        <w:tc>
          <w:tcPr>
            <w:tcW w:w="1271" w:type="pct"/>
            <w:tcBorders>
              <w:left w:val="single" w:color="auto" w:sz="4" w:space="0"/>
            </w:tcBorders>
            <w:vAlign w:val="center"/>
          </w:tcPr>
          <w:p w14:paraId="02C58F28">
            <w:pPr>
              <w:spacing w:line="240" w:lineRule="auto"/>
              <w:ind w:firstLine="0" w:firstLineChars="0"/>
              <w:jc w:val="center"/>
              <w:rPr>
                <w:rFonts w:cs="Times New Roman"/>
                <w:sz w:val="21"/>
                <w:szCs w:val="21"/>
                <w14:ligatures w14:val="none"/>
              </w:rPr>
            </w:pPr>
            <w:r>
              <w:rPr>
                <w:rFonts w:cs="Times New Roman"/>
                <w:sz w:val="21"/>
                <w:szCs w:val="21"/>
                <w14:ligatures w14:val="none"/>
              </w:rPr>
              <w:t>四氯乙烯</w:t>
            </w:r>
          </w:p>
        </w:tc>
        <w:tc>
          <w:tcPr>
            <w:tcW w:w="833" w:type="pct"/>
            <w:tcBorders>
              <w:left w:val="single" w:color="auto" w:sz="4" w:space="0"/>
            </w:tcBorders>
            <w:vAlign w:val="center"/>
          </w:tcPr>
          <w:p w14:paraId="7011A215">
            <w:pPr>
              <w:spacing w:line="240" w:lineRule="auto"/>
              <w:ind w:firstLine="0" w:firstLineChars="0"/>
              <w:jc w:val="center"/>
              <w:rPr>
                <w:rFonts w:cs="Times New Roman"/>
                <w:sz w:val="21"/>
                <w:szCs w:val="21"/>
                <w14:ligatures w14:val="none"/>
              </w:rPr>
            </w:pPr>
            <w:r>
              <w:rPr>
                <w:rFonts w:cs="Times New Roman"/>
                <w:sz w:val="21"/>
                <w:szCs w:val="21"/>
                <w14:ligatures w14:val="none"/>
              </w:rPr>
              <w:t>11</w:t>
            </w:r>
          </w:p>
        </w:tc>
        <w:tc>
          <w:tcPr>
            <w:tcW w:w="833" w:type="pct"/>
            <w:tcBorders>
              <w:left w:val="single" w:color="auto" w:sz="4" w:space="0"/>
              <w:right w:val="single" w:color="auto" w:sz="4" w:space="0"/>
            </w:tcBorders>
            <w:vAlign w:val="center"/>
          </w:tcPr>
          <w:p w14:paraId="6F83F471">
            <w:pPr>
              <w:spacing w:line="240" w:lineRule="auto"/>
              <w:ind w:firstLine="0" w:firstLineChars="0"/>
              <w:jc w:val="center"/>
              <w:rPr>
                <w:rFonts w:cs="Times New Roman"/>
                <w:sz w:val="21"/>
                <w:szCs w:val="21"/>
                <w14:ligatures w14:val="none"/>
              </w:rPr>
            </w:pPr>
            <w:r>
              <w:rPr>
                <w:rFonts w:cs="Times New Roman"/>
                <w:sz w:val="21"/>
                <w:szCs w:val="21"/>
                <w14:ligatures w14:val="none"/>
              </w:rPr>
              <w:t>53</w:t>
            </w:r>
          </w:p>
        </w:tc>
        <w:tc>
          <w:tcPr>
            <w:tcW w:w="833" w:type="pct"/>
            <w:tcBorders>
              <w:left w:val="single" w:color="auto" w:sz="4" w:space="0"/>
            </w:tcBorders>
            <w:vAlign w:val="center"/>
          </w:tcPr>
          <w:p w14:paraId="34458AB6">
            <w:pPr>
              <w:spacing w:line="240" w:lineRule="auto"/>
              <w:ind w:firstLine="0" w:firstLineChars="0"/>
              <w:jc w:val="center"/>
              <w:rPr>
                <w:rFonts w:cs="Times New Roman"/>
                <w:sz w:val="21"/>
                <w:szCs w:val="21"/>
                <w14:ligatures w14:val="none"/>
              </w:rPr>
            </w:pPr>
            <w:r>
              <w:rPr>
                <w:rFonts w:cs="Times New Roman"/>
                <w:sz w:val="21"/>
                <w:szCs w:val="21"/>
                <w14:ligatures w14:val="none"/>
              </w:rPr>
              <w:t>53</w:t>
            </w:r>
          </w:p>
        </w:tc>
        <w:tc>
          <w:tcPr>
            <w:tcW w:w="833" w:type="pct"/>
            <w:tcBorders>
              <w:left w:val="single" w:color="auto" w:sz="4" w:space="0"/>
            </w:tcBorders>
            <w:vAlign w:val="center"/>
          </w:tcPr>
          <w:p w14:paraId="6AE7451A">
            <w:pPr>
              <w:spacing w:line="240" w:lineRule="auto"/>
              <w:ind w:firstLine="0" w:firstLineChars="0"/>
              <w:jc w:val="center"/>
              <w:rPr>
                <w:rFonts w:cs="Times New Roman"/>
                <w:sz w:val="21"/>
                <w:szCs w:val="21"/>
                <w14:ligatures w14:val="none"/>
              </w:rPr>
            </w:pPr>
            <w:r>
              <w:rPr>
                <w:rFonts w:cs="Times New Roman"/>
                <w:sz w:val="21"/>
                <w:szCs w:val="21"/>
                <w14:ligatures w14:val="none"/>
              </w:rPr>
              <w:t>183</w:t>
            </w:r>
          </w:p>
        </w:tc>
      </w:tr>
      <w:tr w14:paraId="64D8F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177196A6">
            <w:pPr>
              <w:spacing w:line="240" w:lineRule="auto"/>
              <w:ind w:firstLine="0" w:firstLineChars="0"/>
              <w:jc w:val="center"/>
              <w:rPr>
                <w:rFonts w:cs="Times New Roman"/>
                <w:sz w:val="21"/>
                <w:szCs w:val="21"/>
                <w14:ligatures w14:val="none"/>
              </w:rPr>
            </w:pPr>
            <w:r>
              <w:rPr>
                <w:rFonts w:cs="Times New Roman"/>
                <w:sz w:val="21"/>
                <w:szCs w:val="21"/>
                <w14:ligatures w14:val="none"/>
              </w:rPr>
              <w:t>21</w:t>
            </w:r>
          </w:p>
        </w:tc>
        <w:tc>
          <w:tcPr>
            <w:tcW w:w="1271" w:type="pct"/>
            <w:tcBorders>
              <w:left w:val="single" w:color="auto" w:sz="4" w:space="0"/>
            </w:tcBorders>
            <w:vAlign w:val="center"/>
          </w:tcPr>
          <w:p w14:paraId="7BAD15E6">
            <w:pPr>
              <w:spacing w:line="240" w:lineRule="auto"/>
              <w:ind w:firstLine="0" w:firstLineChars="0"/>
              <w:jc w:val="center"/>
              <w:rPr>
                <w:rFonts w:cs="Times New Roman"/>
                <w:sz w:val="21"/>
                <w:szCs w:val="21"/>
                <w14:ligatures w14:val="none"/>
              </w:rPr>
            </w:pPr>
            <w:r>
              <w:rPr>
                <w:rFonts w:cs="Times New Roman"/>
                <w:sz w:val="21"/>
                <w:szCs w:val="21"/>
                <w14:ligatures w14:val="none"/>
              </w:rPr>
              <w:t>1,1,1-三氯乙烷</w:t>
            </w:r>
          </w:p>
        </w:tc>
        <w:tc>
          <w:tcPr>
            <w:tcW w:w="833" w:type="pct"/>
            <w:tcBorders>
              <w:left w:val="single" w:color="auto" w:sz="4" w:space="0"/>
            </w:tcBorders>
            <w:vAlign w:val="center"/>
          </w:tcPr>
          <w:p w14:paraId="3A2E1037">
            <w:pPr>
              <w:spacing w:line="240" w:lineRule="auto"/>
              <w:ind w:firstLine="0" w:firstLineChars="0"/>
              <w:jc w:val="center"/>
              <w:rPr>
                <w:rFonts w:cs="Times New Roman"/>
                <w:sz w:val="21"/>
                <w:szCs w:val="21"/>
                <w14:ligatures w14:val="none"/>
              </w:rPr>
            </w:pPr>
            <w:r>
              <w:rPr>
                <w:rFonts w:cs="Times New Roman"/>
                <w:sz w:val="21"/>
                <w:szCs w:val="21"/>
                <w14:ligatures w14:val="none"/>
              </w:rPr>
              <w:t>701</w:t>
            </w:r>
          </w:p>
        </w:tc>
        <w:tc>
          <w:tcPr>
            <w:tcW w:w="833" w:type="pct"/>
            <w:tcBorders>
              <w:left w:val="single" w:color="auto" w:sz="4" w:space="0"/>
              <w:right w:val="single" w:color="auto" w:sz="4" w:space="0"/>
            </w:tcBorders>
            <w:vAlign w:val="center"/>
          </w:tcPr>
          <w:p w14:paraId="1430EAF8">
            <w:pPr>
              <w:spacing w:line="240" w:lineRule="auto"/>
              <w:ind w:firstLine="0" w:firstLineChars="0"/>
              <w:jc w:val="center"/>
              <w:rPr>
                <w:rFonts w:cs="Times New Roman"/>
                <w:sz w:val="21"/>
                <w:szCs w:val="21"/>
                <w14:ligatures w14:val="none"/>
              </w:rPr>
            </w:pPr>
            <w:r>
              <w:rPr>
                <w:rFonts w:cs="Times New Roman"/>
                <w:sz w:val="21"/>
                <w:szCs w:val="21"/>
                <w14:ligatures w14:val="none"/>
              </w:rPr>
              <w:t>840</w:t>
            </w:r>
          </w:p>
        </w:tc>
        <w:tc>
          <w:tcPr>
            <w:tcW w:w="833" w:type="pct"/>
            <w:tcBorders>
              <w:left w:val="single" w:color="auto" w:sz="4" w:space="0"/>
            </w:tcBorders>
            <w:vAlign w:val="center"/>
          </w:tcPr>
          <w:p w14:paraId="33B2EF88">
            <w:pPr>
              <w:spacing w:line="240" w:lineRule="auto"/>
              <w:ind w:firstLine="0" w:firstLineChars="0"/>
              <w:jc w:val="center"/>
              <w:rPr>
                <w:rFonts w:cs="Times New Roman"/>
                <w:sz w:val="21"/>
                <w:szCs w:val="21"/>
                <w14:ligatures w14:val="none"/>
              </w:rPr>
            </w:pPr>
            <w:r>
              <w:rPr>
                <w:rFonts w:cs="Times New Roman"/>
                <w:sz w:val="21"/>
                <w:szCs w:val="21"/>
                <w14:ligatures w14:val="none"/>
              </w:rPr>
              <w:t>840</w:t>
            </w:r>
          </w:p>
        </w:tc>
        <w:tc>
          <w:tcPr>
            <w:tcW w:w="833" w:type="pct"/>
            <w:tcBorders>
              <w:left w:val="single" w:color="auto" w:sz="4" w:space="0"/>
            </w:tcBorders>
            <w:vAlign w:val="center"/>
          </w:tcPr>
          <w:p w14:paraId="729BFA29">
            <w:pPr>
              <w:spacing w:line="240" w:lineRule="auto"/>
              <w:ind w:firstLine="0" w:firstLineChars="0"/>
              <w:jc w:val="center"/>
              <w:rPr>
                <w:rFonts w:cs="Times New Roman"/>
                <w:sz w:val="21"/>
                <w:szCs w:val="21"/>
                <w14:ligatures w14:val="none"/>
              </w:rPr>
            </w:pPr>
            <w:r>
              <w:rPr>
                <w:rFonts w:cs="Times New Roman"/>
                <w:sz w:val="21"/>
                <w:szCs w:val="21"/>
                <w14:ligatures w14:val="none"/>
              </w:rPr>
              <w:t>840</w:t>
            </w:r>
          </w:p>
        </w:tc>
      </w:tr>
      <w:tr w14:paraId="45495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732A64CA">
            <w:pPr>
              <w:spacing w:line="240" w:lineRule="auto"/>
              <w:ind w:firstLine="0" w:firstLineChars="0"/>
              <w:jc w:val="center"/>
              <w:rPr>
                <w:rFonts w:cs="Times New Roman"/>
                <w:sz w:val="21"/>
                <w:szCs w:val="21"/>
                <w14:ligatures w14:val="none"/>
              </w:rPr>
            </w:pPr>
            <w:r>
              <w:rPr>
                <w:rFonts w:cs="Times New Roman"/>
                <w:sz w:val="21"/>
                <w:szCs w:val="21"/>
                <w14:ligatures w14:val="none"/>
              </w:rPr>
              <w:t>22</w:t>
            </w:r>
          </w:p>
        </w:tc>
        <w:tc>
          <w:tcPr>
            <w:tcW w:w="1271" w:type="pct"/>
            <w:tcBorders>
              <w:left w:val="single" w:color="auto" w:sz="4" w:space="0"/>
            </w:tcBorders>
            <w:vAlign w:val="center"/>
          </w:tcPr>
          <w:p w14:paraId="3C69843B">
            <w:pPr>
              <w:spacing w:line="240" w:lineRule="auto"/>
              <w:ind w:firstLine="0" w:firstLineChars="0"/>
              <w:jc w:val="center"/>
              <w:rPr>
                <w:rFonts w:cs="Times New Roman"/>
                <w:sz w:val="21"/>
                <w:szCs w:val="21"/>
                <w14:ligatures w14:val="none"/>
              </w:rPr>
            </w:pPr>
            <w:r>
              <w:rPr>
                <w:rFonts w:cs="Times New Roman"/>
                <w:sz w:val="21"/>
                <w:szCs w:val="21"/>
                <w14:ligatures w14:val="none"/>
              </w:rPr>
              <w:t>1,1,2-三氯乙烷</w:t>
            </w:r>
          </w:p>
        </w:tc>
        <w:tc>
          <w:tcPr>
            <w:tcW w:w="833" w:type="pct"/>
            <w:tcBorders>
              <w:left w:val="single" w:color="auto" w:sz="4" w:space="0"/>
            </w:tcBorders>
            <w:vAlign w:val="center"/>
          </w:tcPr>
          <w:p w14:paraId="3702A62C">
            <w:pPr>
              <w:spacing w:line="240" w:lineRule="auto"/>
              <w:ind w:firstLine="0" w:firstLineChars="0"/>
              <w:jc w:val="center"/>
              <w:rPr>
                <w:rFonts w:cs="Times New Roman"/>
                <w:sz w:val="21"/>
                <w:szCs w:val="21"/>
                <w14:ligatures w14:val="none"/>
              </w:rPr>
            </w:pPr>
            <w:r>
              <w:rPr>
                <w:rFonts w:cs="Times New Roman"/>
                <w:sz w:val="21"/>
                <w:szCs w:val="21"/>
                <w14:ligatures w14:val="none"/>
              </w:rPr>
              <w:t>0.6</w:t>
            </w:r>
          </w:p>
        </w:tc>
        <w:tc>
          <w:tcPr>
            <w:tcW w:w="833" w:type="pct"/>
            <w:tcBorders>
              <w:left w:val="single" w:color="auto" w:sz="4" w:space="0"/>
              <w:right w:val="single" w:color="auto" w:sz="4" w:space="0"/>
            </w:tcBorders>
            <w:vAlign w:val="center"/>
          </w:tcPr>
          <w:p w14:paraId="7BADBE8C">
            <w:pPr>
              <w:spacing w:line="240" w:lineRule="auto"/>
              <w:ind w:firstLine="0" w:firstLineChars="0"/>
              <w:jc w:val="center"/>
              <w:rPr>
                <w:rFonts w:cs="Times New Roman"/>
                <w:sz w:val="21"/>
                <w:szCs w:val="21"/>
                <w14:ligatures w14:val="none"/>
              </w:rPr>
            </w:pPr>
            <w:r>
              <w:rPr>
                <w:rFonts w:cs="Times New Roman"/>
                <w:sz w:val="21"/>
                <w:szCs w:val="21"/>
                <w14:ligatures w14:val="none"/>
              </w:rPr>
              <w:t>2.8</w:t>
            </w:r>
          </w:p>
        </w:tc>
        <w:tc>
          <w:tcPr>
            <w:tcW w:w="833" w:type="pct"/>
            <w:tcBorders>
              <w:left w:val="single" w:color="auto" w:sz="4" w:space="0"/>
            </w:tcBorders>
            <w:vAlign w:val="center"/>
          </w:tcPr>
          <w:p w14:paraId="5373F586">
            <w:pPr>
              <w:spacing w:line="240" w:lineRule="auto"/>
              <w:ind w:firstLine="0" w:firstLineChars="0"/>
              <w:jc w:val="center"/>
              <w:rPr>
                <w:rFonts w:cs="Times New Roman"/>
                <w:sz w:val="21"/>
                <w:szCs w:val="21"/>
                <w14:ligatures w14:val="none"/>
              </w:rPr>
            </w:pPr>
            <w:r>
              <w:rPr>
                <w:rFonts w:cs="Times New Roman"/>
                <w:sz w:val="21"/>
                <w:szCs w:val="21"/>
                <w14:ligatures w14:val="none"/>
              </w:rPr>
              <w:t>2.8</w:t>
            </w:r>
          </w:p>
        </w:tc>
        <w:tc>
          <w:tcPr>
            <w:tcW w:w="833" w:type="pct"/>
            <w:tcBorders>
              <w:left w:val="single" w:color="auto" w:sz="4" w:space="0"/>
            </w:tcBorders>
            <w:vAlign w:val="center"/>
          </w:tcPr>
          <w:p w14:paraId="229EE87A">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r>
      <w:tr w14:paraId="3C383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2AD3EB94">
            <w:pPr>
              <w:spacing w:line="240" w:lineRule="auto"/>
              <w:ind w:firstLine="0" w:firstLineChars="0"/>
              <w:jc w:val="center"/>
              <w:rPr>
                <w:rFonts w:cs="Times New Roman"/>
                <w:sz w:val="21"/>
                <w:szCs w:val="21"/>
                <w14:ligatures w14:val="none"/>
              </w:rPr>
            </w:pPr>
            <w:r>
              <w:rPr>
                <w:rFonts w:cs="Times New Roman"/>
                <w:sz w:val="21"/>
                <w:szCs w:val="21"/>
                <w14:ligatures w14:val="none"/>
              </w:rPr>
              <w:t>23</w:t>
            </w:r>
          </w:p>
        </w:tc>
        <w:tc>
          <w:tcPr>
            <w:tcW w:w="1271" w:type="pct"/>
            <w:tcBorders>
              <w:left w:val="single" w:color="auto" w:sz="4" w:space="0"/>
            </w:tcBorders>
            <w:vAlign w:val="center"/>
          </w:tcPr>
          <w:p w14:paraId="1F015E24">
            <w:pPr>
              <w:spacing w:line="240" w:lineRule="auto"/>
              <w:ind w:firstLine="0" w:firstLineChars="0"/>
              <w:jc w:val="center"/>
              <w:rPr>
                <w:rFonts w:cs="Times New Roman"/>
                <w:sz w:val="21"/>
                <w:szCs w:val="21"/>
                <w14:ligatures w14:val="none"/>
              </w:rPr>
            </w:pPr>
            <w:r>
              <w:rPr>
                <w:rFonts w:cs="Times New Roman"/>
                <w:sz w:val="21"/>
                <w:szCs w:val="21"/>
                <w14:ligatures w14:val="none"/>
              </w:rPr>
              <w:t>三氯乙烯</w:t>
            </w:r>
          </w:p>
        </w:tc>
        <w:tc>
          <w:tcPr>
            <w:tcW w:w="833" w:type="pct"/>
            <w:tcBorders>
              <w:left w:val="single" w:color="auto" w:sz="4" w:space="0"/>
            </w:tcBorders>
            <w:vAlign w:val="center"/>
          </w:tcPr>
          <w:p w14:paraId="12854899">
            <w:pPr>
              <w:spacing w:line="240" w:lineRule="auto"/>
              <w:ind w:firstLine="0" w:firstLineChars="0"/>
              <w:jc w:val="center"/>
              <w:rPr>
                <w:rFonts w:cs="Times New Roman"/>
                <w:sz w:val="21"/>
                <w:szCs w:val="21"/>
                <w14:ligatures w14:val="none"/>
              </w:rPr>
            </w:pPr>
            <w:r>
              <w:rPr>
                <w:rFonts w:cs="Times New Roman"/>
                <w:sz w:val="21"/>
                <w:szCs w:val="21"/>
                <w14:ligatures w14:val="none"/>
              </w:rPr>
              <w:t>0.7</w:t>
            </w:r>
          </w:p>
        </w:tc>
        <w:tc>
          <w:tcPr>
            <w:tcW w:w="833" w:type="pct"/>
            <w:tcBorders>
              <w:left w:val="single" w:color="auto" w:sz="4" w:space="0"/>
              <w:right w:val="single" w:color="auto" w:sz="4" w:space="0"/>
            </w:tcBorders>
            <w:vAlign w:val="center"/>
          </w:tcPr>
          <w:p w14:paraId="1E3ECDEE">
            <w:pPr>
              <w:spacing w:line="240" w:lineRule="auto"/>
              <w:ind w:firstLine="0" w:firstLineChars="0"/>
              <w:jc w:val="center"/>
              <w:rPr>
                <w:rFonts w:cs="Times New Roman"/>
                <w:sz w:val="21"/>
                <w:szCs w:val="21"/>
                <w14:ligatures w14:val="none"/>
              </w:rPr>
            </w:pPr>
            <w:r>
              <w:rPr>
                <w:rFonts w:cs="Times New Roman"/>
                <w:sz w:val="21"/>
                <w:szCs w:val="21"/>
                <w14:ligatures w14:val="none"/>
              </w:rPr>
              <w:t>2.8</w:t>
            </w:r>
          </w:p>
        </w:tc>
        <w:tc>
          <w:tcPr>
            <w:tcW w:w="833" w:type="pct"/>
            <w:tcBorders>
              <w:left w:val="single" w:color="auto" w:sz="4" w:space="0"/>
            </w:tcBorders>
            <w:vAlign w:val="center"/>
          </w:tcPr>
          <w:p w14:paraId="6A6EEDB6">
            <w:pPr>
              <w:spacing w:line="240" w:lineRule="auto"/>
              <w:ind w:firstLine="0" w:firstLineChars="0"/>
              <w:jc w:val="center"/>
              <w:rPr>
                <w:rFonts w:cs="Times New Roman"/>
                <w:sz w:val="21"/>
                <w:szCs w:val="21"/>
                <w14:ligatures w14:val="none"/>
              </w:rPr>
            </w:pPr>
            <w:r>
              <w:rPr>
                <w:rFonts w:cs="Times New Roman"/>
                <w:sz w:val="21"/>
                <w:szCs w:val="21"/>
                <w14:ligatures w14:val="none"/>
              </w:rPr>
              <w:t>2.8</w:t>
            </w:r>
          </w:p>
        </w:tc>
        <w:tc>
          <w:tcPr>
            <w:tcW w:w="833" w:type="pct"/>
            <w:tcBorders>
              <w:left w:val="single" w:color="auto" w:sz="4" w:space="0"/>
            </w:tcBorders>
            <w:vAlign w:val="center"/>
          </w:tcPr>
          <w:p w14:paraId="3CA25F8B">
            <w:pPr>
              <w:spacing w:line="240" w:lineRule="auto"/>
              <w:ind w:firstLine="0" w:firstLineChars="0"/>
              <w:jc w:val="center"/>
              <w:rPr>
                <w:rFonts w:cs="Times New Roman"/>
                <w:sz w:val="21"/>
                <w:szCs w:val="21"/>
                <w14:ligatures w14:val="none"/>
              </w:rPr>
            </w:pPr>
            <w:r>
              <w:rPr>
                <w:rFonts w:cs="Times New Roman"/>
                <w:sz w:val="21"/>
                <w:szCs w:val="21"/>
                <w14:ligatures w14:val="none"/>
              </w:rPr>
              <w:t>20</w:t>
            </w:r>
          </w:p>
        </w:tc>
      </w:tr>
      <w:tr w14:paraId="6B2E9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54B22BED">
            <w:pPr>
              <w:spacing w:line="240" w:lineRule="auto"/>
              <w:ind w:firstLine="0" w:firstLineChars="0"/>
              <w:jc w:val="center"/>
              <w:rPr>
                <w:rFonts w:cs="Times New Roman"/>
                <w:sz w:val="21"/>
                <w:szCs w:val="21"/>
                <w14:ligatures w14:val="none"/>
              </w:rPr>
            </w:pPr>
            <w:r>
              <w:rPr>
                <w:rFonts w:cs="Times New Roman"/>
                <w:sz w:val="21"/>
                <w:szCs w:val="21"/>
                <w14:ligatures w14:val="none"/>
              </w:rPr>
              <w:t>24</w:t>
            </w:r>
          </w:p>
        </w:tc>
        <w:tc>
          <w:tcPr>
            <w:tcW w:w="1271" w:type="pct"/>
            <w:tcBorders>
              <w:left w:val="single" w:color="auto" w:sz="4" w:space="0"/>
            </w:tcBorders>
            <w:vAlign w:val="center"/>
          </w:tcPr>
          <w:p w14:paraId="524C18CF">
            <w:pPr>
              <w:spacing w:line="240" w:lineRule="auto"/>
              <w:ind w:firstLine="0" w:firstLineChars="0"/>
              <w:jc w:val="center"/>
              <w:rPr>
                <w:rFonts w:cs="Times New Roman"/>
                <w:sz w:val="21"/>
                <w:szCs w:val="21"/>
                <w14:ligatures w14:val="none"/>
              </w:rPr>
            </w:pPr>
            <w:r>
              <w:rPr>
                <w:rFonts w:cs="Times New Roman"/>
                <w:sz w:val="21"/>
                <w:szCs w:val="21"/>
                <w14:ligatures w14:val="none"/>
              </w:rPr>
              <w:t>1,2,3-三氯丙烷</w:t>
            </w:r>
          </w:p>
        </w:tc>
        <w:tc>
          <w:tcPr>
            <w:tcW w:w="833" w:type="pct"/>
            <w:tcBorders>
              <w:left w:val="single" w:color="auto" w:sz="4" w:space="0"/>
            </w:tcBorders>
            <w:vAlign w:val="center"/>
          </w:tcPr>
          <w:p w14:paraId="4C60A4C0">
            <w:pPr>
              <w:spacing w:line="240" w:lineRule="auto"/>
              <w:ind w:firstLine="0" w:firstLineChars="0"/>
              <w:jc w:val="center"/>
              <w:rPr>
                <w:rFonts w:cs="Times New Roman"/>
                <w:sz w:val="21"/>
                <w:szCs w:val="21"/>
                <w14:ligatures w14:val="none"/>
              </w:rPr>
            </w:pPr>
            <w:r>
              <w:rPr>
                <w:rFonts w:cs="Times New Roman"/>
                <w:sz w:val="21"/>
                <w:szCs w:val="21"/>
                <w14:ligatures w14:val="none"/>
              </w:rPr>
              <w:t>0.05</w:t>
            </w:r>
          </w:p>
        </w:tc>
        <w:tc>
          <w:tcPr>
            <w:tcW w:w="833" w:type="pct"/>
            <w:tcBorders>
              <w:left w:val="single" w:color="auto" w:sz="4" w:space="0"/>
              <w:right w:val="single" w:color="auto" w:sz="4" w:space="0"/>
            </w:tcBorders>
            <w:vAlign w:val="center"/>
          </w:tcPr>
          <w:p w14:paraId="329D34A4">
            <w:pPr>
              <w:spacing w:line="240" w:lineRule="auto"/>
              <w:ind w:firstLine="0" w:firstLineChars="0"/>
              <w:jc w:val="center"/>
              <w:rPr>
                <w:rFonts w:cs="Times New Roman"/>
                <w:sz w:val="21"/>
                <w:szCs w:val="21"/>
                <w14:ligatures w14:val="none"/>
              </w:rPr>
            </w:pPr>
            <w:r>
              <w:rPr>
                <w:rFonts w:cs="Times New Roman"/>
                <w:sz w:val="21"/>
                <w:szCs w:val="21"/>
                <w14:ligatures w14:val="none"/>
              </w:rPr>
              <w:t>0.5</w:t>
            </w:r>
          </w:p>
        </w:tc>
        <w:tc>
          <w:tcPr>
            <w:tcW w:w="833" w:type="pct"/>
            <w:tcBorders>
              <w:left w:val="single" w:color="auto" w:sz="4" w:space="0"/>
            </w:tcBorders>
            <w:vAlign w:val="center"/>
          </w:tcPr>
          <w:p w14:paraId="53F937B7">
            <w:pPr>
              <w:spacing w:line="240" w:lineRule="auto"/>
              <w:ind w:firstLine="0" w:firstLineChars="0"/>
              <w:jc w:val="center"/>
              <w:rPr>
                <w:rFonts w:cs="Times New Roman"/>
                <w:sz w:val="21"/>
                <w:szCs w:val="21"/>
                <w14:ligatures w14:val="none"/>
              </w:rPr>
            </w:pPr>
            <w:r>
              <w:rPr>
                <w:rFonts w:cs="Times New Roman"/>
                <w:sz w:val="21"/>
                <w:szCs w:val="21"/>
                <w14:ligatures w14:val="none"/>
              </w:rPr>
              <w:t>0.5</w:t>
            </w:r>
          </w:p>
        </w:tc>
        <w:tc>
          <w:tcPr>
            <w:tcW w:w="833" w:type="pct"/>
            <w:tcBorders>
              <w:left w:val="single" w:color="auto" w:sz="4" w:space="0"/>
            </w:tcBorders>
            <w:vAlign w:val="center"/>
          </w:tcPr>
          <w:p w14:paraId="1ADB53E8">
            <w:pPr>
              <w:spacing w:line="240" w:lineRule="auto"/>
              <w:ind w:firstLine="0" w:firstLineChars="0"/>
              <w:jc w:val="center"/>
              <w:rPr>
                <w:rFonts w:cs="Times New Roman"/>
                <w:sz w:val="21"/>
                <w:szCs w:val="21"/>
                <w14:ligatures w14:val="none"/>
              </w:rPr>
            </w:pPr>
            <w:r>
              <w:rPr>
                <w:rFonts w:cs="Times New Roman"/>
                <w:sz w:val="21"/>
                <w:szCs w:val="21"/>
                <w14:ligatures w14:val="none"/>
              </w:rPr>
              <w:t>5</w:t>
            </w:r>
          </w:p>
        </w:tc>
      </w:tr>
      <w:tr w14:paraId="5D93C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7598F523">
            <w:pPr>
              <w:spacing w:line="240" w:lineRule="auto"/>
              <w:ind w:firstLine="0" w:firstLineChars="0"/>
              <w:jc w:val="center"/>
              <w:rPr>
                <w:rFonts w:cs="Times New Roman"/>
                <w:sz w:val="21"/>
                <w:szCs w:val="21"/>
                <w14:ligatures w14:val="none"/>
              </w:rPr>
            </w:pPr>
            <w:r>
              <w:rPr>
                <w:rFonts w:cs="Times New Roman"/>
                <w:sz w:val="21"/>
                <w:szCs w:val="21"/>
                <w14:ligatures w14:val="none"/>
              </w:rPr>
              <w:t>25</w:t>
            </w:r>
          </w:p>
        </w:tc>
        <w:tc>
          <w:tcPr>
            <w:tcW w:w="1271" w:type="pct"/>
            <w:tcBorders>
              <w:left w:val="single" w:color="auto" w:sz="4" w:space="0"/>
            </w:tcBorders>
            <w:vAlign w:val="center"/>
          </w:tcPr>
          <w:p w14:paraId="08014491">
            <w:pPr>
              <w:spacing w:line="240" w:lineRule="auto"/>
              <w:ind w:firstLine="0" w:firstLineChars="0"/>
              <w:jc w:val="center"/>
              <w:rPr>
                <w:rFonts w:cs="Times New Roman"/>
                <w:sz w:val="21"/>
                <w:szCs w:val="21"/>
                <w14:ligatures w14:val="none"/>
              </w:rPr>
            </w:pPr>
            <w:r>
              <w:rPr>
                <w:rFonts w:cs="Times New Roman"/>
                <w:sz w:val="21"/>
                <w:szCs w:val="21"/>
                <w14:ligatures w14:val="none"/>
              </w:rPr>
              <w:t>氯乙烯</w:t>
            </w:r>
          </w:p>
        </w:tc>
        <w:tc>
          <w:tcPr>
            <w:tcW w:w="833" w:type="pct"/>
            <w:tcBorders>
              <w:left w:val="single" w:color="auto" w:sz="4" w:space="0"/>
            </w:tcBorders>
            <w:vAlign w:val="center"/>
          </w:tcPr>
          <w:p w14:paraId="33B0241A">
            <w:pPr>
              <w:spacing w:line="240" w:lineRule="auto"/>
              <w:ind w:firstLine="0" w:firstLineChars="0"/>
              <w:jc w:val="center"/>
              <w:rPr>
                <w:rFonts w:cs="Times New Roman"/>
                <w:sz w:val="21"/>
                <w:szCs w:val="21"/>
                <w14:ligatures w14:val="none"/>
              </w:rPr>
            </w:pPr>
            <w:r>
              <w:rPr>
                <w:rFonts w:cs="Times New Roman"/>
                <w:sz w:val="21"/>
                <w:szCs w:val="21"/>
                <w14:ligatures w14:val="none"/>
              </w:rPr>
              <w:t>0.12</w:t>
            </w:r>
          </w:p>
        </w:tc>
        <w:tc>
          <w:tcPr>
            <w:tcW w:w="833" w:type="pct"/>
            <w:tcBorders>
              <w:left w:val="single" w:color="auto" w:sz="4" w:space="0"/>
              <w:right w:val="single" w:color="auto" w:sz="4" w:space="0"/>
            </w:tcBorders>
            <w:vAlign w:val="center"/>
          </w:tcPr>
          <w:p w14:paraId="0765C07B">
            <w:pPr>
              <w:spacing w:line="240" w:lineRule="auto"/>
              <w:ind w:firstLine="0" w:firstLineChars="0"/>
              <w:jc w:val="center"/>
              <w:rPr>
                <w:rFonts w:cs="Times New Roman"/>
                <w:sz w:val="21"/>
                <w:szCs w:val="21"/>
                <w14:ligatures w14:val="none"/>
              </w:rPr>
            </w:pPr>
            <w:r>
              <w:rPr>
                <w:rFonts w:cs="Times New Roman"/>
                <w:sz w:val="21"/>
                <w:szCs w:val="21"/>
                <w14:ligatures w14:val="none"/>
              </w:rPr>
              <w:t>0.43</w:t>
            </w:r>
          </w:p>
        </w:tc>
        <w:tc>
          <w:tcPr>
            <w:tcW w:w="833" w:type="pct"/>
            <w:tcBorders>
              <w:left w:val="single" w:color="auto" w:sz="4" w:space="0"/>
            </w:tcBorders>
            <w:vAlign w:val="center"/>
          </w:tcPr>
          <w:p w14:paraId="6595E9A6">
            <w:pPr>
              <w:spacing w:line="240" w:lineRule="auto"/>
              <w:ind w:firstLine="0" w:firstLineChars="0"/>
              <w:jc w:val="center"/>
              <w:rPr>
                <w:rFonts w:cs="Times New Roman"/>
                <w:sz w:val="21"/>
                <w:szCs w:val="21"/>
                <w14:ligatures w14:val="none"/>
              </w:rPr>
            </w:pPr>
            <w:r>
              <w:rPr>
                <w:rFonts w:cs="Times New Roman"/>
                <w:sz w:val="21"/>
                <w:szCs w:val="21"/>
                <w14:ligatures w14:val="none"/>
              </w:rPr>
              <w:t>0.43</w:t>
            </w:r>
          </w:p>
        </w:tc>
        <w:tc>
          <w:tcPr>
            <w:tcW w:w="833" w:type="pct"/>
            <w:tcBorders>
              <w:left w:val="single" w:color="auto" w:sz="4" w:space="0"/>
            </w:tcBorders>
            <w:vAlign w:val="center"/>
          </w:tcPr>
          <w:p w14:paraId="433183A2">
            <w:pPr>
              <w:spacing w:line="240" w:lineRule="auto"/>
              <w:ind w:firstLine="0" w:firstLineChars="0"/>
              <w:jc w:val="center"/>
              <w:rPr>
                <w:rFonts w:cs="Times New Roman"/>
                <w:sz w:val="21"/>
                <w:szCs w:val="21"/>
                <w14:ligatures w14:val="none"/>
              </w:rPr>
            </w:pPr>
            <w:r>
              <w:rPr>
                <w:rFonts w:cs="Times New Roman"/>
                <w:sz w:val="21"/>
                <w:szCs w:val="21"/>
                <w14:ligatures w14:val="none"/>
              </w:rPr>
              <w:t>4.3</w:t>
            </w:r>
          </w:p>
        </w:tc>
      </w:tr>
      <w:tr w14:paraId="3FF4F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086502AE">
            <w:pPr>
              <w:spacing w:line="240" w:lineRule="auto"/>
              <w:ind w:firstLine="0" w:firstLineChars="0"/>
              <w:jc w:val="center"/>
              <w:rPr>
                <w:rFonts w:cs="Times New Roman"/>
                <w:sz w:val="21"/>
                <w:szCs w:val="21"/>
                <w14:ligatures w14:val="none"/>
              </w:rPr>
            </w:pPr>
            <w:r>
              <w:rPr>
                <w:rFonts w:cs="Times New Roman"/>
                <w:sz w:val="21"/>
                <w:szCs w:val="21"/>
                <w14:ligatures w14:val="none"/>
              </w:rPr>
              <w:t>26</w:t>
            </w:r>
          </w:p>
        </w:tc>
        <w:tc>
          <w:tcPr>
            <w:tcW w:w="1271" w:type="pct"/>
            <w:tcBorders>
              <w:left w:val="single" w:color="auto" w:sz="4" w:space="0"/>
            </w:tcBorders>
            <w:vAlign w:val="center"/>
          </w:tcPr>
          <w:p w14:paraId="26249212">
            <w:pPr>
              <w:spacing w:line="240" w:lineRule="auto"/>
              <w:ind w:firstLine="0" w:firstLineChars="0"/>
              <w:jc w:val="center"/>
              <w:rPr>
                <w:rFonts w:cs="Times New Roman"/>
                <w:sz w:val="21"/>
                <w:szCs w:val="21"/>
                <w14:ligatures w14:val="none"/>
              </w:rPr>
            </w:pPr>
            <w:r>
              <w:rPr>
                <w:rFonts w:cs="Times New Roman"/>
                <w:sz w:val="21"/>
                <w:szCs w:val="21"/>
                <w14:ligatures w14:val="none"/>
              </w:rPr>
              <w:t>苯</w:t>
            </w:r>
          </w:p>
        </w:tc>
        <w:tc>
          <w:tcPr>
            <w:tcW w:w="833" w:type="pct"/>
            <w:tcBorders>
              <w:left w:val="single" w:color="auto" w:sz="4" w:space="0"/>
            </w:tcBorders>
            <w:vAlign w:val="center"/>
          </w:tcPr>
          <w:p w14:paraId="6404939B">
            <w:pPr>
              <w:spacing w:line="240" w:lineRule="auto"/>
              <w:ind w:firstLine="0" w:firstLineChars="0"/>
              <w:jc w:val="center"/>
              <w:rPr>
                <w:rFonts w:cs="Times New Roman"/>
                <w:sz w:val="21"/>
                <w:szCs w:val="21"/>
                <w14:ligatures w14:val="none"/>
              </w:rPr>
            </w:pPr>
            <w:r>
              <w:rPr>
                <w:rFonts w:cs="Times New Roman"/>
                <w:sz w:val="21"/>
                <w:szCs w:val="21"/>
                <w14:ligatures w14:val="none"/>
              </w:rPr>
              <w:t>1</w:t>
            </w:r>
          </w:p>
        </w:tc>
        <w:tc>
          <w:tcPr>
            <w:tcW w:w="833" w:type="pct"/>
            <w:tcBorders>
              <w:left w:val="single" w:color="auto" w:sz="4" w:space="0"/>
              <w:right w:val="single" w:color="auto" w:sz="4" w:space="0"/>
            </w:tcBorders>
            <w:vAlign w:val="center"/>
          </w:tcPr>
          <w:p w14:paraId="1E9F7DB3">
            <w:pPr>
              <w:spacing w:line="240" w:lineRule="auto"/>
              <w:ind w:firstLine="0" w:firstLineChars="0"/>
              <w:jc w:val="center"/>
              <w:rPr>
                <w:rFonts w:cs="Times New Roman"/>
                <w:sz w:val="21"/>
                <w:szCs w:val="21"/>
                <w14:ligatures w14:val="none"/>
              </w:rPr>
            </w:pPr>
            <w:r>
              <w:rPr>
                <w:rFonts w:cs="Times New Roman"/>
                <w:sz w:val="21"/>
                <w:szCs w:val="21"/>
                <w14:ligatures w14:val="none"/>
              </w:rPr>
              <w:t>4</w:t>
            </w:r>
          </w:p>
        </w:tc>
        <w:tc>
          <w:tcPr>
            <w:tcW w:w="833" w:type="pct"/>
            <w:tcBorders>
              <w:left w:val="single" w:color="auto" w:sz="4" w:space="0"/>
            </w:tcBorders>
            <w:vAlign w:val="center"/>
          </w:tcPr>
          <w:p w14:paraId="67A5EE14">
            <w:pPr>
              <w:spacing w:line="240" w:lineRule="auto"/>
              <w:ind w:firstLine="0" w:firstLineChars="0"/>
              <w:jc w:val="center"/>
              <w:rPr>
                <w:rFonts w:cs="Times New Roman"/>
                <w:sz w:val="21"/>
                <w:szCs w:val="21"/>
                <w14:ligatures w14:val="none"/>
              </w:rPr>
            </w:pPr>
            <w:r>
              <w:rPr>
                <w:rFonts w:cs="Times New Roman"/>
                <w:sz w:val="21"/>
                <w:szCs w:val="21"/>
                <w14:ligatures w14:val="none"/>
              </w:rPr>
              <w:t>4</w:t>
            </w:r>
          </w:p>
        </w:tc>
        <w:tc>
          <w:tcPr>
            <w:tcW w:w="833" w:type="pct"/>
            <w:tcBorders>
              <w:left w:val="single" w:color="auto" w:sz="4" w:space="0"/>
            </w:tcBorders>
            <w:vAlign w:val="center"/>
          </w:tcPr>
          <w:p w14:paraId="63AB5BFE">
            <w:pPr>
              <w:spacing w:line="240" w:lineRule="auto"/>
              <w:ind w:firstLine="0" w:firstLineChars="0"/>
              <w:jc w:val="center"/>
              <w:rPr>
                <w:rFonts w:cs="Times New Roman"/>
                <w:sz w:val="21"/>
                <w:szCs w:val="21"/>
                <w14:ligatures w14:val="none"/>
              </w:rPr>
            </w:pPr>
            <w:r>
              <w:rPr>
                <w:rFonts w:cs="Times New Roman"/>
                <w:sz w:val="21"/>
                <w:szCs w:val="21"/>
                <w14:ligatures w14:val="none"/>
              </w:rPr>
              <w:t>40</w:t>
            </w:r>
          </w:p>
        </w:tc>
      </w:tr>
      <w:tr w14:paraId="4B53B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3430BD45">
            <w:pPr>
              <w:spacing w:line="240" w:lineRule="auto"/>
              <w:ind w:firstLine="0" w:firstLineChars="0"/>
              <w:jc w:val="center"/>
              <w:rPr>
                <w:rFonts w:cs="Times New Roman"/>
                <w:sz w:val="21"/>
                <w:szCs w:val="21"/>
                <w14:ligatures w14:val="none"/>
              </w:rPr>
            </w:pPr>
            <w:r>
              <w:rPr>
                <w:rFonts w:cs="Times New Roman"/>
                <w:sz w:val="21"/>
                <w:szCs w:val="21"/>
                <w14:ligatures w14:val="none"/>
              </w:rPr>
              <w:t>27</w:t>
            </w:r>
          </w:p>
        </w:tc>
        <w:tc>
          <w:tcPr>
            <w:tcW w:w="1271" w:type="pct"/>
            <w:tcBorders>
              <w:left w:val="single" w:color="auto" w:sz="4" w:space="0"/>
            </w:tcBorders>
            <w:vAlign w:val="center"/>
          </w:tcPr>
          <w:p w14:paraId="4CD9C201">
            <w:pPr>
              <w:spacing w:line="240" w:lineRule="auto"/>
              <w:ind w:firstLine="0" w:firstLineChars="0"/>
              <w:jc w:val="center"/>
              <w:rPr>
                <w:rFonts w:cs="Times New Roman"/>
                <w:sz w:val="21"/>
                <w:szCs w:val="21"/>
                <w14:ligatures w14:val="none"/>
              </w:rPr>
            </w:pPr>
            <w:r>
              <w:rPr>
                <w:rFonts w:cs="Times New Roman"/>
                <w:sz w:val="21"/>
                <w:szCs w:val="21"/>
                <w14:ligatures w14:val="none"/>
              </w:rPr>
              <w:t>氯苯</w:t>
            </w:r>
          </w:p>
        </w:tc>
        <w:tc>
          <w:tcPr>
            <w:tcW w:w="833" w:type="pct"/>
            <w:tcBorders>
              <w:left w:val="single" w:color="auto" w:sz="4" w:space="0"/>
            </w:tcBorders>
            <w:vAlign w:val="center"/>
          </w:tcPr>
          <w:p w14:paraId="58F47435">
            <w:pPr>
              <w:spacing w:line="240" w:lineRule="auto"/>
              <w:ind w:firstLine="0" w:firstLineChars="0"/>
              <w:jc w:val="center"/>
              <w:rPr>
                <w:rFonts w:cs="Times New Roman"/>
                <w:sz w:val="21"/>
                <w:szCs w:val="21"/>
                <w14:ligatures w14:val="none"/>
              </w:rPr>
            </w:pPr>
            <w:r>
              <w:rPr>
                <w:rFonts w:cs="Times New Roman"/>
                <w:sz w:val="21"/>
                <w:szCs w:val="21"/>
                <w14:ligatures w14:val="none"/>
              </w:rPr>
              <w:t>68</w:t>
            </w:r>
          </w:p>
        </w:tc>
        <w:tc>
          <w:tcPr>
            <w:tcW w:w="833" w:type="pct"/>
            <w:tcBorders>
              <w:left w:val="single" w:color="auto" w:sz="4" w:space="0"/>
              <w:right w:val="single" w:color="auto" w:sz="4" w:space="0"/>
            </w:tcBorders>
            <w:vAlign w:val="center"/>
          </w:tcPr>
          <w:p w14:paraId="351AF8E9">
            <w:pPr>
              <w:spacing w:line="240" w:lineRule="auto"/>
              <w:ind w:firstLine="0" w:firstLineChars="0"/>
              <w:jc w:val="center"/>
              <w:rPr>
                <w:rFonts w:cs="Times New Roman"/>
                <w:sz w:val="21"/>
                <w:szCs w:val="21"/>
                <w14:ligatures w14:val="none"/>
              </w:rPr>
            </w:pPr>
            <w:r>
              <w:rPr>
                <w:rFonts w:cs="Times New Roman"/>
                <w:sz w:val="21"/>
                <w:szCs w:val="21"/>
                <w14:ligatures w14:val="none"/>
              </w:rPr>
              <w:t>270</w:t>
            </w:r>
          </w:p>
        </w:tc>
        <w:tc>
          <w:tcPr>
            <w:tcW w:w="833" w:type="pct"/>
            <w:tcBorders>
              <w:left w:val="single" w:color="auto" w:sz="4" w:space="0"/>
            </w:tcBorders>
            <w:vAlign w:val="center"/>
          </w:tcPr>
          <w:p w14:paraId="66CBCC72">
            <w:pPr>
              <w:spacing w:line="240" w:lineRule="auto"/>
              <w:ind w:firstLine="0" w:firstLineChars="0"/>
              <w:jc w:val="center"/>
              <w:rPr>
                <w:rFonts w:cs="Times New Roman"/>
                <w:sz w:val="21"/>
                <w:szCs w:val="21"/>
                <w14:ligatures w14:val="none"/>
              </w:rPr>
            </w:pPr>
            <w:r>
              <w:rPr>
                <w:rFonts w:cs="Times New Roman"/>
                <w:sz w:val="21"/>
                <w:szCs w:val="21"/>
                <w14:ligatures w14:val="none"/>
              </w:rPr>
              <w:t>270</w:t>
            </w:r>
          </w:p>
        </w:tc>
        <w:tc>
          <w:tcPr>
            <w:tcW w:w="833" w:type="pct"/>
            <w:tcBorders>
              <w:left w:val="single" w:color="auto" w:sz="4" w:space="0"/>
            </w:tcBorders>
            <w:vAlign w:val="center"/>
          </w:tcPr>
          <w:p w14:paraId="336F2E65">
            <w:pPr>
              <w:spacing w:line="240" w:lineRule="auto"/>
              <w:ind w:firstLine="0" w:firstLineChars="0"/>
              <w:jc w:val="center"/>
              <w:rPr>
                <w:rFonts w:cs="Times New Roman"/>
                <w:sz w:val="21"/>
                <w:szCs w:val="21"/>
                <w14:ligatures w14:val="none"/>
              </w:rPr>
            </w:pPr>
            <w:r>
              <w:rPr>
                <w:rFonts w:cs="Times New Roman"/>
                <w:sz w:val="21"/>
                <w:szCs w:val="21"/>
                <w14:ligatures w14:val="none"/>
              </w:rPr>
              <w:t>1000</w:t>
            </w:r>
          </w:p>
        </w:tc>
      </w:tr>
      <w:tr w14:paraId="6329A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64D25EA1">
            <w:pPr>
              <w:spacing w:line="240" w:lineRule="auto"/>
              <w:ind w:firstLine="0" w:firstLineChars="0"/>
              <w:jc w:val="center"/>
              <w:rPr>
                <w:rFonts w:cs="Times New Roman"/>
                <w:sz w:val="21"/>
                <w:szCs w:val="21"/>
                <w14:ligatures w14:val="none"/>
              </w:rPr>
            </w:pPr>
            <w:r>
              <w:rPr>
                <w:rFonts w:cs="Times New Roman"/>
                <w:sz w:val="21"/>
                <w:szCs w:val="21"/>
                <w14:ligatures w14:val="none"/>
              </w:rPr>
              <w:t>28</w:t>
            </w:r>
          </w:p>
        </w:tc>
        <w:tc>
          <w:tcPr>
            <w:tcW w:w="1271" w:type="pct"/>
            <w:tcBorders>
              <w:left w:val="single" w:color="auto" w:sz="4" w:space="0"/>
            </w:tcBorders>
            <w:vAlign w:val="center"/>
          </w:tcPr>
          <w:p w14:paraId="75852AF7">
            <w:pPr>
              <w:spacing w:line="240" w:lineRule="auto"/>
              <w:ind w:firstLine="0" w:firstLineChars="0"/>
              <w:jc w:val="center"/>
              <w:rPr>
                <w:rFonts w:cs="Times New Roman"/>
                <w:sz w:val="21"/>
                <w:szCs w:val="21"/>
                <w14:ligatures w14:val="none"/>
              </w:rPr>
            </w:pPr>
            <w:r>
              <w:rPr>
                <w:rFonts w:cs="Times New Roman"/>
                <w:sz w:val="21"/>
                <w:szCs w:val="21"/>
                <w14:ligatures w14:val="none"/>
              </w:rPr>
              <w:t>1,2-二氯苯</w:t>
            </w:r>
          </w:p>
        </w:tc>
        <w:tc>
          <w:tcPr>
            <w:tcW w:w="833" w:type="pct"/>
            <w:tcBorders>
              <w:left w:val="single" w:color="auto" w:sz="4" w:space="0"/>
            </w:tcBorders>
            <w:vAlign w:val="center"/>
          </w:tcPr>
          <w:p w14:paraId="10CE35D4">
            <w:pPr>
              <w:spacing w:line="240" w:lineRule="auto"/>
              <w:ind w:firstLine="0" w:firstLineChars="0"/>
              <w:jc w:val="center"/>
              <w:rPr>
                <w:rFonts w:cs="Times New Roman"/>
                <w:sz w:val="21"/>
                <w:szCs w:val="21"/>
                <w14:ligatures w14:val="none"/>
              </w:rPr>
            </w:pPr>
            <w:r>
              <w:rPr>
                <w:rFonts w:cs="Times New Roman"/>
                <w:sz w:val="21"/>
                <w:szCs w:val="21"/>
                <w14:ligatures w14:val="none"/>
              </w:rPr>
              <w:t>560</w:t>
            </w:r>
          </w:p>
        </w:tc>
        <w:tc>
          <w:tcPr>
            <w:tcW w:w="833" w:type="pct"/>
            <w:tcBorders>
              <w:left w:val="single" w:color="auto" w:sz="4" w:space="0"/>
              <w:right w:val="single" w:color="auto" w:sz="4" w:space="0"/>
            </w:tcBorders>
            <w:vAlign w:val="center"/>
          </w:tcPr>
          <w:p w14:paraId="51F3AF4D">
            <w:pPr>
              <w:spacing w:line="240" w:lineRule="auto"/>
              <w:ind w:firstLine="0" w:firstLineChars="0"/>
              <w:jc w:val="center"/>
              <w:rPr>
                <w:rFonts w:cs="Times New Roman"/>
                <w:sz w:val="21"/>
                <w:szCs w:val="21"/>
                <w14:ligatures w14:val="none"/>
              </w:rPr>
            </w:pPr>
            <w:r>
              <w:rPr>
                <w:rFonts w:cs="Times New Roman"/>
                <w:sz w:val="21"/>
                <w:szCs w:val="21"/>
                <w14:ligatures w14:val="none"/>
              </w:rPr>
              <w:t>560</w:t>
            </w:r>
          </w:p>
        </w:tc>
        <w:tc>
          <w:tcPr>
            <w:tcW w:w="833" w:type="pct"/>
            <w:tcBorders>
              <w:left w:val="single" w:color="auto" w:sz="4" w:space="0"/>
            </w:tcBorders>
            <w:vAlign w:val="center"/>
          </w:tcPr>
          <w:p w14:paraId="0C98FA09">
            <w:pPr>
              <w:spacing w:line="240" w:lineRule="auto"/>
              <w:ind w:firstLine="0" w:firstLineChars="0"/>
              <w:jc w:val="center"/>
              <w:rPr>
                <w:rFonts w:cs="Times New Roman"/>
                <w:sz w:val="21"/>
                <w:szCs w:val="21"/>
                <w14:ligatures w14:val="none"/>
              </w:rPr>
            </w:pPr>
            <w:r>
              <w:rPr>
                <w:rFonts w:cs="Times New Roman"/>
                <w:sz w:val="21"/>
                <w:szCs w:val="21"/>
                <w14:ligatures w14:val="none"/>
              </w:rPr>
              <w:t>560</w:t>
            </w:r>
          </w:p>
        </w:tc>
        <w:tc>
          <w:tcPr>
            <w:tcW w:w="833" w:type="pct"/>
            <w:tcBorders>
              <w:left w:val="single" w:color="auto" w:sz="4" w:space="0"/>
            </w:tcBorders>
            <w:vAlign w:val="center"/>
          </w:tcPr>
          <w:p w14:paraId="63BCF5AC">
            <w:pPr>
              <w:spacing w:line="240" w:lineRule="auto"/>
              <w:ind w:firstLine="0" w:firstLineChars="0"/>
              <w:jc w:val="center"/>
              <w:rPr>
                <w:rFonts w:cs="Times New Roman"/>
                <w:sz w:val="21"/>
                <w:szCs w:val="21"/>
                <w14:ligatures w14:val="none"/>
              </w:rPr>
            </w:pPr>
            <w:r>
              <w:rPr>
                <w:rFonts w:cs="Times New Roman"/>
                <w:sz w:val="21"/>
                <w:szCs w:val="21"/>
                <w14:ligatures w14:val="none"/>
              </w:rPr>
              <w:t>560</w:t>
            </w:r>
          </w:p>
        </w:tc>
      </w:tr>
      <w:tr w14:paraId="3435B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513E0662">
            <w:pPr>
              <w:spacing w:line="240" w:lineRule="auto"/>
              <w:ind w:firstLine="0" w:firstLineChars="0"/>
              <w:jc w:val="center"/>
              <w:rPr>
                <w:rFonts w:cs="Times New Roman"/>
                <w:sz w:val="21"/>
                <w:szCs w:val="21"/>
                <w14:ligatures w14:val="none"/>
              </w:rPr>
            </w:pPr>
            <w:r>
              <w:rPr>
                <w:rFonts w:cs="Times New Roman"/>
                <w:sz w:val="21"/>
                <w:szCs w:val="21"/>
                <w14:ligatures w14:val="none"/>
              </w:rPr>
              <w:t>29</w:t>
            </w:r>
          </w:p>
        </w:tc>
        <w:tc>
          <w:tcPr>
            <w:tcW w:w="1271" w:type="pct"/>
            <w:tcBorders>
              <w:left w:val="single" w:color="auto" w:sz="4" w:space="0"/>
            </w:tcBorders>
            <w:vAlign w:val="center"/>
          </w:tcPr>
          <w:p w14:paraId="5387AB60">
            <w:pPr>
              <w:spacing w:line="240" w:lineRule="auto"/>
              <w:ind w:firstLine="0" w:firstLineChars="0"/>
              <w:jc w:val="center"/>
              <w:rPr>
                <w:rFonts w:cs="Times New Roman"/>
                <w:sz w:val="21"/>
                <w:szCs w:val="21"/>
                <w14:ligatures w14:val="none"/>
              </w:rPr>
            </w:pPr>
            <w:r>
              <w:rPr>
                <w:rFonts w:cs="Times New Roman"/>
                <w:sz w:val="21"/>
                <w:szCs w:val="21"/>
                <w14:ligatures w14:val="none"/>
              </w:rPr>
              <w:t>1,4-二氯苯</w:t>
            </w:r>
          </w:p>
        </w:tc>
        <w:tc>
          <w:tcPr>
            <w:tcW w:w="833" w:type="pct"/>
            <w:tcBorders>
              <w:left w:val="single" w:color="auto" w:sz="4" w:space="0"/>
            </w:tcBorders>
            <w:vAlign w:val="center"/>
          </w:tcPr>
          <w:p w14:paraId="16C6708C">
            <w:pPr>
              <w:spacing w:line="240" w:lineRule="auto"/>
              <w:ind w:firstLine="0" w:firstLineChars="0"/>
              <w:jc w:val="center"/>
              <w:rPr>
                <w:rFonts w:cs="Times New Roman"/>
                <w:sz w:val="21"/>
                <w:szCs w:val="21"/>
                <w14:ligatures w14:val="none"/>
              </w:rPr>
            </w:pPr>
            <w:r>
              <w:rPr>
                <w:rFonts w:cs="Times New Roman"/>
                <w:sz w:val="21"/>
                <w:szCs w:val="21"/>
                <w14:ligatures w14:val="none"/>
              </w:rPr>
              <w:t>5.6</w:t>
            </w:r>
          </w:p>
        </w:tc>
        <w:tc>
          <w:tcPr>
            <w:tcW w:w="833" w:type="pct"/>
            <w:tcBorders>
              <w:left w:val="single" w:color="auto" w:sz="4" w:space="0"/>
              <w:right w:val="single" w:color="auto" w:sz="4" w:space="0"/>
            </w:tcBorders>
            <w:vAlign w:val="center"/>
          </w:tcPr>
          <w:p w14:paraId="55D86933">
            <w:pPr>
              <w:spacing w:line="240" w:lineRule="auto"/>
              <w:ind w:firstLine="0" w:firstLineChars="0"/>
              <w:jc w:val="center"/>
              <w:rPr>
                <w:rFonts w:cs="Times New Roman"/>
                <w:sz w:val="21"/>
                <w:szCs w:val="21"/>
                <w14:ligatures w14:val="none"/>
              </w:rPr>
            </w:pPr>
            <w:r>
              <w:rPr>
                <w:rFonts w:cs="Times New Roman"/>
                <w:sz w:val="21"/>
                <w:szCs w:val="21"/>
                <w14:ligatures w14:val="none"/>
              </w:rPr>
              <w:t>20</w:t>
            </w:r>
          </w:p>
        </w:tc>
        <w:tc>
          <w:tcPr>
            <w:tcW w:w="833" w:type="pct"/>
            <w:tcBorders>
              <w:left w:val="single" w:color="auto" w:sz="4" w:space="0"/>
            </w:tcBorders>
            <w:vAlign w:val="center"/>
          </w:tcPr>
          <w:p w14:paraId="6A48A829">
            <w:pPr>
              <w:spacing w:line="240" w:lineRule="auto"/>
              <w:ind w:firstLine="0" w:firstLineChars="0"/>
              <w:jc w:val="center"/>
              <w:rPr>
                <w:rFonts w:cs="Times New Roman"/>
                <w:sz w:val="21"/>
                <w:szCs w:val="21"/>
                <w14:ligatures w14:val="none"/>
              </w:rPr>
            </w:pPr>
            <w:r>
              <w:rPr>
                <w:rFonts w:cs="Times New Roman"/>
                <w:sz w:val="21"/>
                <w:szCs w:val="21"/>
                <w14:ligatures w14:val="none"/>
              </w:rPr>
              <w:t>20</w:t>
            </w:r>
          </w:p>
        </w:tc>
        <w:tc>
          <w:tcPr>
            <w:tcW w:w="833" w:type="pct"/>
            <w:tcBorders>
              <w:left w:val="single" w:color="auto" w:sz="4" w:space="0"/>
            </w:tcBorders>
            <w:vAlign w:val="center"/>
          </w:tcPr>
          <w:p w14:paraId="0068168C">
            <w:pPr>
              <w:spacing w:line="240" w:lineRule="auto"/>
              <w:ind w:firstLine="0" w:firstLineChars="0"/>
              <w:jc w:val="center"/>
              <w:rPr>
                <w:rFonts w:cs="Times New Roman"/>
                <w:sz w:val="21"/>
                <w:szCs w:val="21"/>
                <w14:ligatures w14:val="none"/>
              </w:rPr>
            </w:pPr>
            <w:r>
              <w:rPr>
                <w:rFonts w:cs="Times New Roman"/>
                <w:sz w:val="21"/>
                <w:szCs w:val="21"/>
                <w14:ligatures w14:val="none"/>
              </w:rPr>
              <w:t>200</w:t>
            </w:r>
          </w:p>
        </w:tc>
      </w:tr>
      <w:tr w14:paraId="71C53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0AC7E96B">
            <w:pPr>
              <w:spacing w:line="240" w:lineRule="auto"/>
              <w:ind w:firstLine="0" w:firstLineChars="0"/>
              <w:jc w:val="center"/>
              <w:rPr>
                <w:rFonts w:cs="Times New Roman"/>
                <w:sz w:val="21"/>
                <w:szCs w:val="21"/>
                <w14:ligatures w14:val="none"/>
              </w:rPr>
            </w:pPr>
            <w:r>
              <w:rPr>
                <w:rFonts w:cs="Times New Roman"/>
                <w:sz w:val="21"/>
                <w:szCs w:val="21"/>
                <w14:ligatures w14:val="none"/>
              </w:rPr>
              <w:t>30</w:t>
            </w:r>
          </w:p>
        </w:tc>
        <w:tc>
          <w:tcPr>
            <w:tcW w:w="1271" w:type="pct"/>
            <w:tcBorders>
              <w:left w:val="single" w:color="auto" w:sz="4" w:space="0"/>
            </w:tcBorders>
            <w:vAlign w:val="center"/>
          </w:tcPr>
          <w:p w14:paraId="32526671">
            <w:pPr>
              <w:spacing w:line="240" w:lineRule="auto"/>
              <w:ind w:firstLine="0" w:firstLineChars="0"/>
              <w:jc w:val="center"/>
              <w:rPr>
                <w:rFonts w:cs="Times New Roman"/>
                <w:sz w:val="21"/>
                <w:szCs w:val="21"/>
                <w14:ligatures w14:val="none"/>
              </w:rPr>
            </w:pPr>
            <w:r>
              <w:rPr>
                <w:rFonts w:cs="Times New Roman"/>
                <w:sz w:val="21"/>
                <w:szCs w:val="21"/>
                <w14:ligatures w14:val="none"/>
              </w:rPr>
              <w:t>乙苯</w:t>
            </w:r>
          </w:p>
        </w:tc>
        <w:tc>
          <w:tcPr>
            <w:tcW w:w="833" w:type="pct"/>
            <w:tcBorders>
              <w:left w:val="single" w:color="auto" w:sz="4" w:space="0"/>
            </w:tcBorders>
            <w:vAlign w:val="center"/>
          </w:tcPr>
          <w:p w14:paraId="1E30DC36">
            <w:pPr>
              <w:spacing w:line="240" w:lineRule="auto"/>
              <w:ind w:firstLine="0" w:firstLineChars="0"/>
              <w:jc w:val="center"/>
              <w:rPr>
                <w:rFonts w:cs="Times New Roman"/>
                <w:sz w:val="21"/>
                <w:szCs w:val="21"/>
                <w14:ligatures w14:val="none"/>
              </w:rPr>
            </w:pPr>
            <w:r>
              <w:rPr>
                <w:rFonts w:cs="Times New Roman"/>
                <w:sz w:val="21"/>
                <w:szCs w:val="21"/>
                <w14:ligatures w14:val="none"/>
              </w:rPr>
              <w:t>7.2</w:t>
            </w:r>
          </w:p>
        </w:tc>
        <w:tc>
          <w:tcPr>
            <w:tcW w:w="833" w:type="pct"/>
            <w:tcBorders>
              <w:left w:val="single" w:color="auto" w:sz="4" w:space="0"/>
              <w:right w:val="single" w:color="auto" w:sz="4" w:space="0"/>
            </w:tcBorders>
            <w:vAlign w:val="center"/>
          </w:tcPr>
          <w:p w14:paraId="537CD151">
            <w:pPr>
              <w:spacing w:line="240" w:lineRule="auto"/>
              <w:ind w:firstLine="0" w:firstLineChars="0"/>
              <w:jc w:val="center"/>
              <w:rPr>
                <w:rFonts w:cs="Times New Roman"/>
                <w:sz w:val="21"/>
                <w:szCs w:val="21"/>
                <w14:ligatures w14:val="none"/>
              </w:rPr>
            </w:pPr>
            <w:r>
              <w:rPr>
                <w:rFonts w:cs="Times New Roman"/>
                <w:sz w:val="21"/>
                <w:szCs w:val="21"/>
                <w14:ligatures w14:val="none"/>
              </w:rPr>
              <w:t>28</w:t>
            </w:r>
          </w:p>
        </w:tc>
        <w:tc>
          <w:tcPr>
            <w:tcW w:w="833" w:type="pct"/>
            <w:tcBorders>
              <w:left w:val="single" w:color="auto" w:sz="4" w:space="0"/>
            </w:tcBorders>
            <w:vAlign w:val="center"/>
          </w:tcPr>
          <w:p w14:paraId="7676F820">
            <w:pPr>
              <w:spacing w:line="240" w:lineRule="auto"/>
              <w:ind w:firstLine="0" w:firstLineChars="0"/>
              <w:jc w:val="center"/>
              <w:rPr>
                <w:rFonts w:cs="Times New Roman"/>
                <w:sz w:val="21"/>
                <w:szCs w:val="21"/>
                <w14:ligatures w14:val="none"/>
              </w:rPr>
            </w:pPr>
            <w:r>
              <w:rPr>
                <w:rFonts w:cs="Times New Roman"/>
                <w:sz w:val="21"/>
                <w:szCs w:val="21"/>
                <w14:ligatures w14:val="none"/>
              </w:rPr>
              <w:t>28</w:t>
            </w:r>
          </w:p>
        </w:tc>
        <w:tc>
          <w:tcPr>
            <w:tcW w:w="833" w:type="pct"/>
            <w:tcBorders>
              <w:left w:val="single" w:color="auto" w:sz="4" w:space="0"/>
            </w:tcBorders>
            <w:vAlign w:val="center"/>
          </w:tcPr>
          <w:p w14:paraId="4D19CC73">
            <w:pPr>
              <w:spacing w:line="240" w:lineRule="auto"/>
              <w:ind w:firstLine="0" w:firstLineChars="0"/>
              <w:jc w:val="center"/>
              <w:rPr>
                <w:rFonts w:cs="Times New Roman"/>
                <w:sz w:val="21"/>
                <w:szCs w:val="21"/>
                <w14:ligatures w14:val="none"/>
              </w:rPr>
            </w:pPr>
            <w:r>
              <w:rPr>
                <w:rFonts w:cs="Times New Roman"/>
                <w:sz w:val="21"/>
                <w:szCs w:val="21"/>
                <w14:ligatures w14:val="none"/>
              </w:rPr>
              <w:t>280</w:t>
            </w:r>
          </w:p>
        </w:tc>
      </w:tr>
      <w:tr w14:paraId="4EE60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35B9C450">
            <w:pPr>
              <w:spacing w:line="240" w:lineRule="auto"/>
              <w:ind w:firstLine="0" w:firstLineChars="0"/>
              <w:jc w:val="center"/>
              <w:rPr>
                <w:rFonts w:cs="Times New Roman"/>
                <w:sz w:val="21"/>
                <w:szCs w:val="21"/>
                <w14:ligatures w14:val="none"/>
              </w:rPr>
            </w:pPr>
            <w:r>
              <w:rPr>
                <w:rFonts w:cs="Times New Roman"/>
                <w:sz w:val="21"/>
                <w:szCs w:val="21"/>
                <w14:ligatures w14:val="none"/>
              </w:rPr>
              <w:t>31</w:t>
            </w:r>
          </w:p>
        </w:tc>
        <w:tc>
          <w:tcPr>
            <w:tcW w:w="1271" w:type="pct"/>
            <w:tcBorders>
              <w:left w:val="single" w:color="auto" w:sz="4" w:space="0"/>
            </w:tcBorders>
            <w:vAlign w:val="center"/>
          </w:tcPr>
          <w:p w14:paraId="32ACF985">
            <w:pPr>
              <w:spacing w:line="240" w:lineRule="auto"/>
              <w:ind w:firstLine="0" w:firstLineChars="0"/>
              <w:jc w:val="center"/>
              <w:rPr>
                <w:rFonts w:cs="Times New Roman"/>
                <w:sz w:val="21"/>
                <w:szCs w:val="21"/>
                <w14:ligatures w14:val="none"/>
              </w:rPr>
            </w:pPr>
            <w:r>
              <w:rPr>
                <w:rFonts w:cs="Times New Roman"/>
                <w:sz w:val="21"/>
                <w:szCs w:val="21"/>
                <w14:ligatures w14:val="none"/>
              </w:rPr>
              <w:t>苯乙烯</w:t>
            </w:r>
          </w:p>
        </w:tc>
        <w:tc>
          <w:tcPr>
            <w:tcW w:w="833" w:type="pct"/>
            <w:tcBorders>
              <w:left w:val="single" w:color="auto" w:sz="4" w:space="0"/>
            </w:tcBorders>
            <w:vAlign w:val="center"/>
          </w:tcPr>
          <w:p w14:paraId="30ED2F98">
            <w:pPr>
              <w:spacing w:line="240" w:lineRule="auto"/>
              <w:ind w:firstLine="0" w:firstLineChars="0"/>
              <w:jc w:val="center"/>
              <w:rPr>
                <w:rFonts w:cs="Times New Roman"/>
                <w:sz w:val="21"/>
                <w:szCs w:val="21"/>
                <w14:ligatures w14:val="none"/>
              </w:rPr>
            </w:pPr>
            <w:r>
              <w:rPr>
                <w:rFonts w:cs="Times New Roman"/>
                <w:sz w:val="21"/>
                <w:szCs w:val="21"/>
                <w14:ligatures w14:val="none"/>
              </w:rPr>
              <w:t>1290</w:t>
            </w:r>
          </w:p>
        </w:tc>
        <w:tc>
          <w:tcPr>
            <w:tcW w:w="833" w:type="pct"/>
            <w:tcBorders>
              <w:left w:val="single" w:color="auto" w:sz="4" w:space="0"/>
              <w:right w:val="single" w:color="auto" w:sz="4" w:space="0"/>
            </w:tcBorders>
            <w:vAlign w:val="center"/>
          </w:tcPr>
          <w:p w14:paraId="1647B09D">
            <w:pPr>
              <w:spacing w:line="240" w:lineRule="auto"/>
              <w:ind w:firstLine="0" w:firstLineChars="0"/>
              <w:jc w:val="center"/>
              <w:rPr>
                <w:rFonts w:cs="Times New Roman"/>
                <w:sz w:val="21"/>
                <w:szCs w:val="21"/>
                <w14:ligatures w14:val="none"/>
              </w:rPr>
            </w:pPr>
            <w:r>
              <w:rPr>
                <w:rFonts w:cs="Times New Roman"/>
                <w:sz w:val="21"/>
                <w:szCs w:val="21"/>
                <w14:ligatures w14:val="none"/>
              </w:rPr>
              <w:t>1290</w:t>
            </w:r>
          </w:p>
        </w:tc>
        <w:tc>
          <w:tcPr>
            <w:tcW w:w="833" w:type="pct"/>
            <w:tcBorders>
              <w:left w:val="single" w:color="auto" w:sz="4" w:space="0"/>
            </w:tcBorders>
            <w:vAlign w:val="center"/>
          </w:tcPr>
          <w:p w14:paraId="574F3B12">
            <w:pPr>
              <w:spacing w:line="240" w:lineRule="auto"/>
              <w:ind w:firstLine="0" w:firstLineChars="0"/>
              <w:jc w:val="center"/>
              <w:rPr>
                <w:rFonts w:cs="Times New Roman"/>
                <w:sz w:val="21"/>
                <w:szCs w:val="21"/>
                <w14:ligatures w14:val="none"/>
              </w:rPr>
            </w:pPr>
            <w:r>
              <w:rPr>
                <w:rFonts w:cs="Times New Roman"/>
                <w:sz w:val="21"/>
                <w:szCs w:val="21"/>
                <w14:ligatures w14:val="none"/>
              </w:rPr>
              <w:t>1290</w:t>
            </w:r>
          </w:p>
        </w:tc>
        <w:tc>
          <w:tcPr>
            <w:tcW w:w="833" w:type="pct"/>
            <w:tcBorders>
              <w:left w:val="single" w:color="auto" w:sz="4" w:space="0"/>
            </w:tcBorders>
            <w:vAlign w:val="center"/>
          </w:tcPr>
          <w:p w14:paraId="1599F8AF">
            <w:pPr>
              <w:spacing w:line="240" w:lineRule="auto"/>
              <w:ind w:firstLine="0" w:firstLineChars="0"/>
              <w:jc w:val="center"/>
              <w:rPr>
                <w:rFonts w:cs="Times New Roman"/>
                <w:sz w:val="21"/>
                <w:szCs w:val="21"/>
                <w14:ligatures w14:val="none"/>
              </w:rPr>
            </w:pPr>
            <w:r>
              <w:rPr>
                <w:rFonts w:cs="Times New Roman"/>
                <w:sz w:val="21"/>
                <w:szCs w:val="21"/>
                <w14:ligatures w14:val="none"/>
              </w:rPr>
              <w:t>1290</w:t>
            </w:r>
          </w:p>
        </w:tc>
      </w:tr>
      <w:tr w14:paraId="03313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6AC9A4F8">
            <w:pPr>
              <w:spacing w:line="240" w:lineRule="auto"/>
              <w:ind w:firstLine="0" w:firstLineChars="0"/>
              <w:jc w:val="center"/>
              <w:rPr>
                <w:rFonts w:cs="Times New Roman"/>
                <w:sz w:val="21"/>
                <w:szCs w:val="21"/>
                <w14:ligatures w14:val="none"/>
              </w:rPr>
            </w:pPr>
            <w:r>
              <w:rPr>
                <w:rFonts w:cs="Times New Roman"/>
                <w:sz w:val="21"/>
                <w:szCs w:val="21"/>
                <w14:ligatures w14:val="none"/>
              </w:rPr>
              <w:t>32</w:t>
            </w:r>
          </w:p>
        </w:tc>
        <w:tc>
          <w:tcPr>
            <w:tcW w:w="1271" w:type="pct"/>
            <w:tcBorders>
              <w:left w:val="single" w:color="auto" w:sz="4" w:space="0"/>
            </w:tcBorders>
            <w:vAlign w:val="center"/>
          </w:tcPr>
          <w:p w14:paraId="54CAA532">
            <w:pPr>
              <w:spacing w:line="240" w:lineRule="auto"/>
              <w:ind w:firstLine="0" w:firstLineChars="0"/>
              <w:jc w:val="center"/>
              <w:rPr>
                <w:rFonts w:cs="Times New Roman"/>
                <w:sz w:val="21"/>
                <w:szCs w:val="21"/>
                <w14:ligatures w14:val="none"/>
              </w:rPr>
            </w:pPr>
            <w:r>
              <w:rPr>
                <w:rFonts w:cs="Times New Roman"/>
                <w:sz w:val="21"/>
                <w:szCs w:val="21"/>
                <w14:ligatures w14:val="none"/>
              </w:rPr>
              <w:t>甲苯</w:t>
            </w:r>
          </w:p>
        </w:tc>
        <w:tc>
          <w:tcPr>
            <w:tcW w:w="833" w:type="pct"/>
            <w:tcBorders>
              <w:left w:val="single" w:color="auto" w:sz="4" w:space="0"/>
            </w:tcBorders>
            <w:vAlign w:val="center"/>
          </w:tcPr>
          <w:p w14:paraId="7D30469A">
            <w:pPr>
              <w:spacing w:line="240" w:lineRule="auto"/>
              <w:ind w:firstLine="0" w:firstLineChars="0"/>
              <w:jc w:val="center"/>
              <w:rPr>
                <w:rFonts w:cs="Times New Roman"/>
                <w:sz w:val="21"/>
                <w:szCs w:val="21"/>
                <w14:ligatures w14:val="none"/>
              </w:rPr>
            </w:pPr>
            <w:r>
              <w:rPr>
                <w:rFonts w:cs="Times New Roman"/>
                <w:sz w:val="21"/>
                <w:szCs w:val="21"/>
                <w14:ligatures w14:val="none"/>
              </w:rPr>
              <w:t>1200</w:t>
            </w:r>
          </w:p>
        </w:tc>
        <w:tc>
          <w:tcPr>
            <w:tcW w:w="833" w:type="pct"/>
            <w:tcBorders>
              <w:left w:val="single" w:color="auto" w:sz="4" w:space="0"/>
              <w:right w:val="single" w:color="auto" w:sz="4" w:space="0"/>
            </w:tcBorders>
            <w:vAlign w:val="center"/>
          </w:tcPr>
          <w:p w14:paraId="4011812D">
            <w:pPr>
              <w:spacing w:line="240" w:lineRule="auto"/>
              <w:ind w:firstLine="0" w:firstLineChars="0"/>
              <w:jc w:val="center"/>
              <w:rPr>
                <w:rFonts w:cs="Times New Roman"/>
                <w:sz w:val="21"/>
                <w:szCs w:val="21"/>
                <w14:ligatures w14:val="none"/>
              </w:rPr>
            </w:pPr>
            <w:r>
              <w:rPr>
                <w:rFonts w:cs="Times New Roman"/>
                <w:sz w:val="21"/>
                <w:szCs w:val="21"/>
                <w14:ligatures w14:val="none"/>
              </w:rPr>
              <w:t>1200</w:t>
            </w:r>
          </w:p>
        </w:tc>
        <w:tc>
          <w:tcPr>
            <w:tcW w:w="833" w:type="pct"/>
            <w:tcBorders>
              <w:left w:val="single" w:color="auto" w:sz="4" w:space="0"/>
            </w:tcBorders>
            <w:vAlign w:val="center"/>
          </w:tcPr>
          <w:p w14:paraId="7A955F4E">
            <w:pPr>
              <w:spacing w:line="240" w:lineRule="auto"/>
              <w:ind w:firstLine="0" w:firstLineChars="0"/>
              <w:jc w:val="center"/>
              <w:rPr>
                <w:rFonts w:cs="Times New Roman"/>
                <w:sz w:val="21"/>
                <w:szCs w:val="21"/>
                <w14:ligatures w14:val="none"/>
              </w:rPr>
            </w:pPr>
            <w:r>
              <w:rPr>
                <w:rFonts w:cs="Times New Roman"/>
                <w:sz w:val="21"/>
                <w:szCs w:val="21"/>
                <w14:ligatures w14:val="none"/>
              </w:rPr>
              <w:t>1200</w:t>
            </w:r>
          </w:p>
        </w:tc>
        <w:tc>
          <w:tcPr>
            <w:tcW w:w="833" w:type="pct"/>
            <w:tcBorders>
              <w:left w:val="single" w:color="auto" w:sz="4" w:space="0"/>
            </w:tcBorders>
            <w:vAlign w:val="center"/>
          </w:tcPr>
          <w:p w14:paraId="4F7629DF">
            <w:pPr>
              <w:spacing w:line="240" w:lineRule="auto"/>
              <w:ind w:firstLine="0" w:firstLineChars="0"/>
              <w:jc w:val="center"/>
              <w:rPr>
                <w:rFonts w:cs="Times New Roman"/>
                <w:sz w:val="21"/>
                <w:szCs w:val="21"/>
                <w14:ligatures w14:val="none"/>
              </w:rPr>
            </w:pPr>
            <w:r>
              <w:rPr>
                <w:rFonts w:cs="Times New Roman"/>
                <w:sz w:val="21"/>
                <w:szCs w:val="21"/>
                <w14:ligatures w14:val="none"/>
              </w:rPr>
              <w:t>1200</w:t>
            </w:r>
          </w:p>
        </w:tc>
      </w:tr>
      <w:tr w14:paraId="06097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12304A13">
            <w:pPr>
              <w:spacing w:line="240" w:lineRule="auto"/>
              <w:ind w:firstLine="0" w:firstLineChars="0"/>
              <w:jc w:val="center"/>
              <w:rPr>
                <w:rFonts w:cs="Times New Roman"/>
                <w:sz w:val="21"/>
                <w:szCs w:val="21"/>
                <w14:ligatures w14:val="none"/>
              </w:rPr>
            </w:pPr>
            <w:r>
              <w:rPr>
                <w:rFonts w:cs="Times New Roman"/>
                <w:sz w:val="21"/>
                <w:szCs w:val="21"/>
                <w14:ligatures w14:val="none"/>
              </w:rPr>
              <w:t>33</w:t>
            </w:r>
          </w:p>
        </w:tc>
        <w:tc>
          <w:tcPr>
            <w:tcW w:w="1271" w:type="pct"/>
            <w:tcBorders>
              <w:left w:val="single" w:color="auto" w:sz="4" w:space="0"/>
            </w:tcBorders>
            <w:vAlign w:val="center"/>
          </w:tcPr>
          <w:p w14:paraId="619676EC">
            <w:pPr>
              <w:spacing w:line="240" w:lineRule="auto"/>
              <w:ind w:firstLine="0" w:firstLineChars="0"/>
              <w:jc w:val="center"/>
              <w:rPr>
                <w:rFonts w:cs="Times New Roman"/>
                <w:sz w:val="21"/>
                <w:szCs w:val="21"/>
                <w14:ligatures w14:val="none"/>
              </w:rPr>
            </w:pPr>
            <w:r>
              <w:rPr>
                <w:rFonts w:cs="Times New Roman"/>
                <w:sz w:val="21"/>
                <w:szCs w:val="21"/>
                <w14:ligatures w14:val="none"/>
              </w:rPr>
              <w:t>间二甲苯+对二甲苯</w:t>
            </w:r>
          </w:p>
        </w:tc>
        <w:tc>
          <w:tcPr>
            <w:tcW w:w="833" w:type="pct"/>
            <w:tcBorders>
              <w:left w:val="single" w:color="auto" w:sz="4" w:space="0"/>
            </w:tcBorders>
            <w:vAlign w:val="center"/>
          </w:tcPr>
          <w:p w14:paraId="645D192B">
            <w:pPr>
              <w:spacing w:line="240" w:lineRule="auto"/>
              <w:ind w:firstLine="0" w:firstLineChars="0"/>
              <w:jc w:val="center"/>
              <w:rPr>
                <w:rFonts w:cs="Times New Roman"/>
                <w:sz w:val="21"/>
                <w:szCs w:val="21"/>
                <w14:ligatures w14:val="none"/>
              </w:rPr>
            </w:pPr>
            <w:r>
              <w:rPr>
                <w:rFonts w:cs="Times New Roman"/>
                <w:sz w:val="21"/>
                <w:szCs w:val="21"/>
                <w14:ligatures w14:val="none"/>
              </w:rPr>
              <w:t>163</w:t>
            </w:r>
          </w:p>
        </w:tc>
        <w:tc>
          <w:tcPr>
            <w:tcW w:w="833" w:type="pct"/>
            <w:tcBorders>
              <w:left w:val="single" w:color="auto" w:sz="4" w:space="0"/>
              <w:right w:val="single" w:color="auto" w:sz="4" w:space="0"/>
            </w:tcBorders>
            <w:vAlign w:val="center"/>
          </w:tcPr>
          <w:p w14:paraId="629B73DD">
            <w:pPr>
              <w:spacing w:line="240" w:lineRule="auto"/>
              <w:ind w:firstLine="0" w:firstLineChars="0"/>
              <w:jc w:val="center"/>
              <w:rPr>
                <w:rFonts w:cs="Times New Roman"/>
                <w:sz w:val="21"/>
                <w:szCs w:val="21"/>
                <w14:ligatures w14:val="none"/>
              </w:rPr>
            </w:pPr>
            <w:r>
              <w:rPr>
                <w:rFonts w:cs="Times New Roman"/>
                <w:sz w:val="21"/>
                <w:szCs w:val="21"/>
                <w14:ligatures w14:val="none"/>
              </w:rPr>
              <w:t>570</w:t>
            </w:r>
          </w:p>
        </w:tc>
        <w:tc>
          <w:tcPr>
            <w:tcW w:w="833" w:type="pct"/>
            <w:tcBorders>
              <w:left w:val="single" w:color="auto" w:sz="4" w:space="0"/>
            </w:tcBorders>
            <w:vAlign w:val="center"/>
          </w:tcPr>
          <w:p w14:paraId="00B8DF0C">
            <w:pPr>
              <w:spacing w:line="240" w:lineRule="auto"/>
              <w:ind w:firstLine="0" w:firstLineChars="0"/>
              <w:jc w:val="center"/>
              <w:rPr>
                <w:rFonts w:cs="Times New Roman"/>
                <w:sz w:val="21"/>
                <w:szCs w:val="21"/>
                <w14:ligatures w14:val="none"/>
              </w:rPr>
            </w:pPr>
            <w:r>
              <w:rPr>
                <w:rFonts w:cs="Times New Roman"/>
                <w:sz w:val="21"/>
                <w:szCs w:val="21"/>
                <w14:ligatures w14:val="none"/>
              </w:rPr>
              <w:t>570</w:t>
            </w:r>
          </w:p>
        </w:tc>
        <w:tc>
          <w:tcPr>
            <w:tcW w:w="833" w:type="pct"/>
            <w:tcBorders>
              <w:left w:val="single" w:color="auto" w:sz="4" w:space="0"/>
            </w:tcBorders>
            <w:vAlign w:val="center"/>
          </w:tcPr>
          <w:p w14:paraId="4F518934">
            <w:pPr>
              <w:spacing w:line="240" w:lineRule="auto"/>
              <w:ind w:firstLine="0" w:firstLineChars="0"/>
              <w:jc w:val="center"/>
              <w:rPr>
                <w:rFonts w:cs="Times New Roman"/>
                <w:sz w:val="21"/>
                <w:szCs w:val="21"/>
                <w14:ligatures w14:val="none"/>
              </w:rPr>
            </w:pPr>
            <w:r>
              <w:rPr>
                <w:rFonts w:cs="Times New Roman"/>
                <w:sz w:val="21"/>
                <w:szCs w:val="21"/>
                <w14:ligatures w14:val="none"/>
              </w:rPr>
              <w:t>570</w:t>
            </w:r>
          </w:p>
        </w:tc>
      </w:tr>
      <w:tr w14:paraId="235AA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33777912">
            <w:pPr>
              <w:spacing w:line="240" w:lineRule="auto"/>
              <w:ind w:firstLine="0" w:firstLineChars="0"/>
              <w:jc w:val="center"/>
              <w:rPr>
                <w:rFonts w:cs="Times New Roman"/>
                <w:sz w:val="21"/>
                <w:szCs w:val="21"/>
                <w14:ligatures w14:val="none"/>
              </w:rPr>
            </w:pPr>
            <w:r>
              <w:rPr>
                <w:rFonts w:cs="Times New Roman"/>
                <w:sz w:val="21"/>
                <w:szCs w:val="21"/>
                <w14:ligatures w14:val="none"/>
              </w:rPr>
              <w:t>34</w:t>
            </w:r>
          </w:p>
        </w:tc>
        <w:tc>
          <w:tcPr>
            <w:tcW w:w="1271" w:type="pct"/>
            <w:tcBorders>
              <w:left w:val="single" w:color="auto" w:sz="4" w:space="0"/>
            </w:tcBorders>
            <w:vAlign w:val="center"/>
          </w:tcPr>
          <w:p w14:paraId="096C673B">
            <w:pPr>
              <w:spacing w:line="240" w:lineRule="auto"/>
              <w:ind w:firstLine="0" w:firstLineChars="0"/>
              <w:jc w:val="center"/>
              <w:rPr>
                <w:rFonts w:cs="Times New Roman"/>
                <w:sz w:val="21"/>
                <w:szCs w:val="21"/>
                <w14:ligatures w14:val="none"/>
              </w:rPr>
            </w:pPr>
            <w:r>
              <w:rPr>
                <w:rFonts w:cs="Times New Roman"/>
                <w:sz w:val="21"/>
                <w:szCs w:val="21"/>
                <w14:ligatures w14:val="none"/>
              </w:rPr>
              <w:t>邻二甲苯</w:t>
            </w:r>
          </w:p>
        </w:tc>
        <w:tc>
          <w:tcPr>
            <w:tcW w:w="833" w:type="pct"/>
            <w:tcBorders>
              <w:left w:val="single" w:color="auto" w:sz="4" w:space="0"/>
            </w:tcBorders>
            <w:vAlign w:val="center"/>
          </w:tcPr>
          <w:p w14:paraId="1EC1050C">
            <w:pPr>
              <w:spacing w:line="240" w:lineRule="auto"/>
              <w:ind w:firstLine="0" w:firstLineChars="0"/>
              <w:jc w:val="center"/>
              <w:rPr>
                <w:rFonts w:cs="Times New Roman"/>
                <w:sz w:val="21"/>
                <w:szCs w:val="21"/>
                <w14:ligatures w14:val="none"/>
              </w:rPr>
            </w:pPr>
            <w:r>
              <w:rPr>
                <w:rFonts w:cs="Times New Roman"/>
                <w:sz w:val="21"/>
                <w:szCs w:val="21"/>
                <w14:ligatures w14:val="none"/>
              </w:rPr>
              <w:t>222</w:t>
            </w:r>
          </w:p>
        </w:tc>
        <w:tc>
          <w:tcPr>
            <w:tcW w:w="833" w:type="pct"/>
            <w:tcBorders>
              <w:left w:val="single" w:color="auto" w:sz="4" w:space="0"/>
              <w:right w:val="single" w:color="auto" w:sz="4" w:space="0"/>
            </w:tcBorders>
            <w:vAlign w:val="center"/>
          </w:tcPr>
          <w:p w14:paraId="6DEB6331">
            <w:pPr>
              <w:spacing w:line="240" w:lineRule="auto"/>
              <w:ind w:firstLine="0" w:firstLineChars="0"/>
              <w:jc w:val="center"/>
              <w:rPr>
                <w:rFonts w:cs="Times New Roman"/>
                <w:sz w:val="21"/>
                <w:szCs w:val="21"/>
                <w14:ligatures w14:val="none"/>
              </w:rPr>
            </w:pPr>
            <w:r>
              <w:rPr>
                <w:rFonts w:cs="Times New Roman"/>
                <w:sz w:val="21"/>
                <w:szCs w:val="21"/>
                <w14:ligatures w14:val="none"/>
              </w:rPr>
              <w:t>640</w:t>
            </w:r>
          </w:p>
        </w:tc>
        <w:tc>
          <w:tcPr>
            <w:tcW w:w="833" w:type="pct"/>
            <w:tcBorders>
              <w:left w:val="single" w:color="auto" w:sz="4" w:space="0"/>
            </w:tcBorders>
            <w:vAlign w:val="center"/>
          </w:tcPr>
          <w:p w14:paraId="7A4933BA">
            <w:pPr>
              <w:spacing w:line="240" w:lineRule="auto"/>
              <w:ind w:firstLine="0" w:firstLineChars="0"/>
              <w:jc w:val="center"/>
              <w:rPr>
                <w:rFonts w:cs="Times New Roman"/>
                <w:sz w:val="21"/>
                <w:szCs w:val="21"/>
                <w14:ligatures w14:val="none"/>
              </w:rPr>
            </w:pPr>
            <w:r>
              <w:rPr>
                <w:rFonts w:cs="Times New Roman"/>
                <w:sz w:val="21"/>
                <w:szCs w:val="21"/>
                <w14:ligatures w14:val="none"/>
              </w:rPr>
              <w:t>640</w:t>
            </w:r>
          </w:p>
        </w:tc>
        <w:tc>
          <w:tcPr>
            <w:tcW w:w="833" w:type="pct"/>
            <w:tcBorders>
              <w:left w:val="single" w:color="auto" w:sz="4" w:space="0"/>
            </w:tcBorders>
            <w:vAlign w:val="center"/>
          </w:tcPr>
          <w:p w14:paraId="65525A2F">
            <w:pPr>
              <w:spacing w:line="240" w:lineRule="auto"/>
              <w:ind w:firstLine="0" w:firstLineChars="0"/>
              <w:jc w:val="center"/>
              <w:rPr>
                <w:rFonts w:cs="Times New Roman"/>
                <w:sz w:val="21"/>
                <w:szCs w:val="21"/>
                <w14:ligatures w14:val="none"/>
              </w:rPr>
            </w:pPr>
            <w:r>
              <w:rPr>
                <w:rFonts w:cs="Times New Roman"/>
                <w:sz w:val="21"/>
                <w:szCs w:val="21"/>
                <w14:ligatures w14:val="none"/>
              </w:rPr>
              <w:t>640</w:t>
            </w:r>
          </w:p>
        </w:tc>
      </w:tr>
      <w:tr w14:paraId="1EC9B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66EECE92">
            <w:pPr>
              <w:spacing w:line="240" w:lineRule="auto"/>
              <w:ind w:firstLine="0" w:firstLineChars="0"/>
              <w:jc w:val="center"/>
              <w:rPr>
                <w:rFonts w:cs="Times New Roman"/>
                <w:sz w:val="21"/>
                <w:szCs w:val="21"/>
                <w14:ligatures w14:val="none"/>
              </w:rPr>
            </w:pPr>
            <w:r>
              <w:rPr>
                <w:rFonts w:cs="Times New Roman"/>
                <w:sz w:val="21"/>
                <w:szCs w:val="21"/>
                <w14:ligatures w14:val="none"/>
              </w:rPr>
              <w:t>35</w:t>
            </w:r>
          </w:p>
        </w:tc>
        <w:tc>
          <w:tcPr>
            <w:tcW w:w="1271" w:type="pct"/>
            <w:tcBorders>
              <w:left w:val="single" w:color="auto" w:sz="4" w:space="0"/>
            </w:tcBorders>
            <w:vAlign w:val="center"/>
          </w:tcPr>
          <w:p w14:paraId="7277B54A">
            <w:pPr>
              <w:spacing w:line="240" w:lineRule="auto"/>
              <w:ind w:firstLine="0" w:firstLineChars="0"/>
              <w:jc w:val="center"/>
              <w:rPr>
                <w:rFonts w:cs="Times New Roman"/>
                <w:sz w:val="21"/>
                <w:szCs w:val="21"/>
                <w14:ligatures w14:val="none"/>
              </w:rPr>
            </w:pPr>
            <w:r>
              <w:rPr>
                <w:rFonts w:cs="Times New Roman"/>
                <w:sz w:val="21"/>
                <w:szCs w:val="21"/>
                <w14:ligatures w14:val="none"/>
              </w:rPr>
              <w:t>硝基苯</w:t>
            </w:r>
          </w:p>
        </w:tc>
        <w:tc>
          <w:tcPr>
            <w:tcW w:w="833" w:type="pct"/>
            <w:tcBorders>
              <w:left w:val="single" w:color="auto" w:sz="4" w:space="0"/>
            </w:tcBorders>
            <w:vAlign w:val="center"/>
          </w:tcPr>
          <w:p w14:paraId="7572DA8E">
            <w:pPr>
              <w:spacing w:line="240" w:lineRule="auto"/>
              <w:ind w:firstLine="0" w:firstLineChars="0"/>
              <w:jc w:val="center"/>
              <w:rPr>
                <w:rFonts w:cs="Times New Roman"/>
                <w:sz w:val="21"/>
                <w:szCs w:val="21"/>
                <w14:ligatures w14:val="none"/>
              </w:rPr>
            </w:pPr>
            <w:r>
              <w:rPr>
                <w:rFonts w:cs="Times New Roman"/>
                <w:sz w:val="21"/>
                <w:szCs w:val="21"/>
                <w14:ligatures w14:val="none"/>
              </w:rPr>
              <w:t>34</w:t>
            </w:r>
          </w:p>
        </w:tc>
        <w:tc>
          <w:tcPr>
            <w:tcW w:w="833" w:type="pct"/>
            <w:tcBorders>
              <w:left w:val="single" w:color="auto" w:sz="4" w:space="0"/>
              <w:right w:val="single" w:color="auto" w:sz="4" w:space="0"/>
            </w:tcBorders>
            <w:vAlign w:val="center"/>
          </w:tcPr>
          <w:p w14:paraId="52377165">
            <w:pPr>
              <w:spacing w:line="240" w:lineRule="auto"/>
              <w:ind w:firstLine="0" w:firstLineChars="0"/>
              <w:jc w:val="center"/>
              <w:rPr>
                <w:rFonts w:cs="Times New Roman"/>
                <w:sz w:val="21"/>
                <w:szCs w:val="21"/>
                <w14:ligatures w14:val="none"/>
              </w:rPr>
            </w:pPr>
            <w:r>
              <w:rPr>
                <w:rFonts w:cs="Times New Roman"/>
                <w:sz w:val="21"/>
                <w:szCs w:val="21"/>
                <w14:ligatures w14:val="none"/>
              </w:rPr>
              <w:t>76</w:t>
            </w:r>
          </w:p>
        </w:tc>
        <w:tc>
          <w:tcPr>
            <w:tcW w:w="833" w:type="pct"/>
            <w:tcBorders>
              <w:left w:val="single" w:color="auto" w:sz="4" w:space="0"/>
            </w:tcBorders>
            <w:vAlign w:val="center"/>
          </w:tcPr>
          <w:p w14:paraId="34061A9D">
            <w:pPr>
              <w:spacing w:line="240" w:lineRule="auto"/>
              <w:ind w:firstLine="0" w:firstLineChars="0"/>
              <w:jc w:val="center"/>
              <w:rPr>
                <w:rFonts w:cs="Times New Roman"/>
                <w:sz w:val="21"/>
                <w:szCs w:val="21"/>
                <w14:ligatures w14:val="none"/>
              </w:rPr>
            </w:pPr>
            <w:r>
              <w:rPr>
                <w:rFonts w:cs="Times New Roman"/>
                <w:sz w:val="21"/>
                <w:szCs w:val="21"/>
                <w14:ligatures w14:val="none"/>
              </w:rPr>
              <w:t>76</w:t>
            </w:r>
          </w:p>
        </w:tc>
        <w:tc>
          <w:tcPr>
            <w:tcW w:w="833" w:type="pct"/>
            <w:tcBorders>
              <w:left w:val="single" w:color="auto" w:sz="4" w:space="0"/>
            </w:tcBorders>
            <w:vAlign w:val="center"/>
          </w:tcPr>
          <w:p w14:paraId="6937DA97">
            <w:pPr>
              <w:spacing w:line="240" w:lineRule="auto"/>
              <w:ind w:firstLine="0" w:firstLineChars="0"/>
              <w:jc w:val="center"/>
              <w:rPr>
                <w:rFonts w:cs="Times New Roman"/>
                <w:sz w:val="21"/>
                <w:szCs w:val="21"/>
                <w14:ligatures w14:val="none"/>
              </w:rPr>
            </w:pPr>
            <w:r>
              <w:rPr>
                <w:rFonts w:cs="Times New Roman"/>
                <w:sz w:val="21"/>
                <w:szCs w:val="21"/>
                <w14:ligatures w14:val="none"/>
              </w:rPr>
              <w:t>760</w:t>
            </w:r>
          </w:p>
        </w:tc>
      </w:tr>
      <w:tr w14:paraId="5F9A4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3CCD197D">
            <w:pPr>
              <w:spacing w:line="240" w:lineRule="auto"/>
              <w:ind w:firstLine="0" w:firstLineChars="0"/>
              <w:jc w:val="center"/>
              <w:rPr>
                <w:rFonts w:cs="Times New Roman"/>
                <w:sz w:val="21"/>
                <w:szCs w:val="21"/>
                <w14:ligatures w14:val="none"/>
              </w:rPr>
            </w:pPr>
            <w:r>
              <w:rPr>
                <w:rFonts w:cs="Times New Roman"/>
                <w:sz w:val="21"/>
                <w:szCs w:val="21"/>
                <w14:ligatures w14:val="none"/>
              </w:rPr>
              <w:t>36</w:t>
            </w:r>
          </w:p>
        </w:tc>
        <w:tc>
          <w:tcPr>
            <w:tcW w:w="1271" w:type="pct"/>
            <w:tcBorders>
              <w:left w:val="single" w:color="auto" w:sz="4" w:space="0"/>
            </w:tcBorders>
            <w:vAlign w:val="center"/>
          </w:tcPr>
          <w:p w14:paraId="23579EDD">
            <w:pPr>
              <w:spacing w:line="240" w:lineRule="auto"/>
              <w:ind w:firstLine="0" w:firstLineChars="0"/>
              <w:jc w:val="center"/>
              <w:rPr>
                <w:rFonts w:cs="Times New Roman"/>
                <w:sz w:val="21"/>
                <w:szCs w:val="21"/>
                <w14:ligatures w14:val="none"/>
              </w:rPr>
            </w:pPr>
            <w:r>
              <w:rPr>
                <w:rFonts w:cs="Times New Roman"/>
                <w:sz w:val="21"/>
                <w:szCs w:val="21"/>
                <w14:ligatures w14:val="none"/>
              </w:rPr>
              <w:t>苯胺</w:t>
            </w:r>
          </w:p>
        </w:tc>
        <w:tc>
          <w:tcPr>
            <w:tcW w:w="833" w:type="pct"/>
            <w:tcBorders>
              <w:left w:val="single" w:color="auto" w:sz="4" w:space="0"/>
            </w:tcBorders>
            <w:vAlign w:val="center"/>
          </w:tcPr>
          <w:p w14:paraId="73763E94">
            <w:pPr>
              <w:spacing w:line="240" w:lineRule="auto"/>
              <w:ind w:firstLine="0" w:firstLineChars="0"/>
              <w:jc w:val="center"/>
              <w:rPr>
                <w:rFonts w:cs="Times New Roman"/>
                <w:sz w:val="21"/>
                <w:szCs w:val="21"/>
                <w14:ligatures w14:val="none"/>
              </w:rPr>
            </w:pPr>
            <w:r>
              <w:rPr>
                <w:rFonts w:cs="Times New Roman"/>
                <w:sz w:val="21"/>
                <w:szCs w:val="21"/>
                <w14:ligatures w14:val="none"/>
              </w:rPr>
              <w:t>92</w:t>
            </w:r>
          </w:p>
        </w:tc>
        <w:tc>
          <w:tcPr>
            <w:tcW w:w="833" w:type="pct"/>
            <w:tcBorders>
              <w:left w:val="single" w:color="auto" w:sz="4" w:space="0"/>
              <w:right w:val="single" w:color="auto" w:sz="4" w:space="0"/>
            </w:tcBorders>
            <w:vAlign w:val="center"/>
          </w:tcPr>
          <w:p w14:paraId="1A4B99BF">
            <w:pPr>
              <w:spacing w:line="240" w:lineRule="auto"/>
              <w:ind w:firstLine="0" w:firstLineChars="0"/>
              <w:jc w:val="center"/>
              <w:rPr>
                <w:rFonts w:cs="Times New Roman"/>
                <w:sz w:val="21"/>
                <w:szCs w:val="21"/>
                <w14:ligatures w14:val="none"/>
              </w:rPr>
            </w:pPr>
            <w:r>
              <w:rPr>
                <w:rFonts w:cs="Times New Roman"/>
                <w:sz w:val="21"/>
                <w:szCs w:val="21"/>
                <w14:ligatures w14:val="none"/>
              </w:rPr>
              <w:t>260</w:t>
            </w:r>
          </w:p>
        </w:tc>
        <w:tc>
          <w:tcPr>
            <w:tcW w:w="833" w:type="pct"/>
            <w:tcBorders>
              <w:left w:val="single" w:color="auto" w:sz="4" w:space="0"/>
            </w:tcBorders>
            <w:vAlign w:val="center"/>
          </w:tcPr>
          <w:p w14:paraId="6155F01A">
            <w:pPr>
              <w:spacing w:line="240" w:lineRule="auto"/>
              <w:ind w:firstLine="0" w:firstLineChars="0"/>
              <w:jc w:val="center"/>
              <w:rPr>
                <w:rFonts w:cs="Times New Roman"/>
                <w:sz w:val="21"/>
                <w:szCs w:val="21"/>
                <w14:ligatures w14:val="none"/>
              </w:rPr>
            </w:pPr>
            <w:r>
              <w:rPr>
                <w:rFonts w:cs="Times New Roman"/>
                <w:sz w:val="21"/>
                <w:szCs w:val="21"/>
                <w14:ligatures w14:val="none"/>
              </w:rPr>
              <w:t>260</w:t>
            </w:r>
          </w:p>
        </w:tc>
        <w:tc>
          <w:tcPr>
            <w:tcW w:w="833" w:type="pct"/>
            <w:tcBorders>
              <w:left w:val="single" w:color="auto" w:sz="4" w:space="0"/>
            </w:tcBorders>
            <w:vAlign w:val="center"/>
          </w:tcPr>
          <w:p w14:paraId="38E90CBB">
            <w:pPr>
              <w:spacing w:line="240" w:lineRule="auto"/>
              <w:ind w:firstLine="0" w:firstLineChars="0"/>
              <w:jc w:val="center"/>
              <w:rPr>
                <w:rFonts w:cs="Times New Roman"/>
                <w:sz w:val="21"/>
                <w:szCs w:val="21"/>
                <w14:ligatures w14:val="none"/>
              </w:rPr>
            </w:pPr>
            <w:r>
              <w:rPr>
                <w:rFonts w:cs="Times New Roman"/>
                <w:sz w:val="21"/>
                <w:szCs w:val="21"/>
                <w14:ligatures w14:val="none"/>
              </w:rPr>
              <w:t>663</w:t>
            </w:r>
          </w:p>
        </w:tc>
      </w:tr>
      <w:tr w14:paraId="30725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3BF0E139">
            <w:pPr>
              <w:spacing w:line="240" w:lineRule="auto"/>
              <w:ind w:firstLine="0" w:firstLineChars="0"/>
              <w:jc w:val="center"/>
              <w:rPr>
                <w:rFonts w:cs="Times New Roman"/>
                <w:sz w:val="21"/>
                <w:szCs w:val="21"/>
                <w14:ligatures w14:val="none"/>
              </w:rPr>
            </w:pPr>
            <w:r>
              <w:rPr>
                <w:rFonts w:cs="Times New Roman"/>
                <w:sz w:val="21"/>
                <w:szCs w:val="21"/>
                <w14:ligatures w14:val="none"/>
              </w:rPr>
              <w:t>37</w:t>
            </w:r>
          </w:p>
        </w:tc>
        <w:tc>
          <w:tcPr>
            <w:tcW w:w="1271" w:type="pct"/>
            <w:tcBorders>
              <w:left w:val="single" w:color="auto" w:sz="4" w:space="0"/>
            </w:tcBorders>
            <w:vAlign w:val="center"/>
          </w:tcPr>
          <w:p w14:paraId="22FD0FB7">
            <w:pPr>
              <w:spacing w:line="240" w:lineRule="auto"/>
              <w:ind w:firstLine="0" w:firstLineChars="0"/>
              <w:jc w:val="center"/>
              <w:rPr>
                <w:rFonts w:cs="Times New Roman"/>
                <w:sz w:val="21"/>
                <w:szCs w:val="21"/>
                <w14:ligatures w14:val="none"/>
              </w:rPr>
            </w:pPr>
            <w:r>
              <w:rPr>
                <w:rFonts w:cs="Times New Roman"/>
                <w:sz w:val="21"/>
                <w:szCs w:val="21"/>
                <w14:ligatures w14:val="none"/>
              </w:rPr>
              <w:t>2-氯酚</w:t>
            </w:r>
          </w:p>
        </w:tc>
        <w:tc>
          <w:tcPr>
            <w:tcW w:w="833" w:type="pct"/>
            <w:tcBorders>
              <w:left w:val="single" w:color="auto" w:sz="4" w:space="0"/>
            </w:tcBorders>
            <w:vAlign w:val="center"/>
          </w:tcPr>
          <w:p w14:paraId="6150A84F">
            <w:pPr>
              <w:spacing w:line="240" w:lineRule="auto"/>
              <w:ind w:firstLine="0" w:firstLineChars="0"/>
              <w:jc w:val="center"/>
              <w:rPr>
                <w:rFonts w:cs="Times New Roman"/>
                <w:sz w:val="21"/>
                <w:szCs w:val="21"/>
                <w14:ligatures w14:val="none"/>
              </w:rPr>
            </w:pPr>
            <w:r>
              <w:rPr>
                <w:rFonts w:cs="Times New Roman"/>
                <w:sz w:val="21"/>
                <w:szCs w:val="21"/>
                <w14:ligatures w14:val="none"/>
              </w:rPr>
              <w:t>250</w:t>
            </w:r>
          </w:p>
        </w:tc>
        <w:tc>
          <w:tcPr>
            <w:tcW w:w="833" w:type="pct"/>
            <w:tcBorders>
              <w:left w:val="single" w:color="auto" w:sz="4" w:space="0"/>
              <w:right w:val="single" w:color="auto" w:sz="4" w:space="0"/>
            </w:tcBorders>
            <w:vAlign w:val="center"/>
          </w:tcPr>
          <w:p w14:paraId="6E55CDD1">
            <w:pPr>
              <w:spacing w:line="240" w:lineRule="auto"/>
              <w:ind w:firstLine="0" w:firstLineChars="0"/>
              <w:jc w:val="center"/>
              <w:rPr>
                <w:rFonts w:cs="Times New Roman"/>
                <w:sz w:val="21"/>
                <w:szCs w:val="21"/>
                <w14:ligatures w14:val="none"/>
              </w:rPr>
            </w:pPr>
            <w:r>
              <w:rPr>
                <w:rFonts w:cs="Times New Roman"/>
                <w:sz w:val="21"/>
                <w:szCs w:val="21"/>
                <w14:ligatures w14:val="none"/>
              </w:rPr>
              <w:t>2256</w:t>
            </w:r>
          </w:p>
        </w:tc>
        <w:tc>
          <w:tcPr>
            <w:tcW w:w="833" w:type="pct"/>
            <w:tcBorders>
              <w:left w:val="single" w:color="auto" w:sz="4" w:space="0"/>
            </w:tcBorders>
            <w:vAlign w:val="center"/>
          </w:tcPr>
          <w:p w14:paraId="6CC5B313">
            <w:pPr>
              <w:spacing w:line="240" w:lineRule="auto"/>
              <w:ind w:firstLine="0" w:firstLineChars="0"/>
              <w:jc w:val="center"/>
              <w:rPr>
                <w:rFonts w:cs="Times New Roman"/>
                <w:sz w:val="21"/>
                <w:szCs w:val="21"/>
                <w14:ligatures w14:val="none"/>
              </w:rPr>
            </w:pPr>
            <w:r>
              <w:rPr>
                <w:rFonts w:cs="Times New Roman"/>
                <w:sz w:val="21"/>
                <w:szCs w:val="21"/>
                <w14:ligatures w14:val="none"/>
              </w:rPr>
              <w:t>2256</w:t>
            </w:r>
          </w:p>
        </w:tc>
        <w:tc>
          <w:tcPr>
            <w:tcW w:w="833" w:type="pct"/>
            <w:tcBorders>
              <w:left w:val="single" w:color="auto" w:sz="4" w:space="0"/>
            </w:tcBorders>
            <w:vAlign w:val="center"/>
          </w:tcPr>
          <w:p w14:paraId="7773CC52">
            <w:pPr>
              <w:spacing w:line="240" w:lineRule="auto"/>
              <w:ind w:firstLine="0" w:firstLineChars="0"/>
              <w:jc w:val="center"/>
              <w:rPr>
                <w:rFonts w:cs="Times New Roman"/>
                <w:sz w:val="21"/>
                <w:szCs w:val="21"/>
                <w14:ligatures w14:val="none"/>
              </w:rPr>
            </w:pPr>
            <w:r>
              <w:rPr>
                <w:rFonts w:cs="Times New Roman"/>
                <w:sz w:val="21"/>
                <w:szCs w:val="21"/>
                <w14:ligatures w14:val="none"/>
              </w:rPr>
              <w:t>4500</w:t>
            </w:r>
          </w:p>
        </w:tc>
      </w:tr>
      <w:tr w14:paraId="27BBE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2ECE1DE3">
            <w:pPr>
              <w:spacing w:line="240" w:lineRule="auto"/>
              <w:ind w:firstLine="0" w:firstLineChars="0"/>
              <w:jc w:val="center"/>
              <w:rPr>
                <w:rFonts w:cs="Times New Roman"/>
                <w:sz w:val="21"/>
                <w:szCs w:val="21"/>
                <w14:ligatures w14:val="none"/>
              </w:rPr>
            </w:pPr>
            <w:r>
              <w:rPr>
                <w:rFonts w:cs="Times New Roman"/>
                <w:sz w:val="21"/>
                <w:szCs w:val="21"/>
                <w14:ligatures w14:val="none"/>
              </w:rPr>
              <w:t>38</w:t>
            </w:r>
          </w:p>
        </w:tc>
        <w:tc>
          <w:tcPr>
            <w:tcW w:w="1271" w:type="pct"/>
            <w:tcBorders>
              <w:left w:val="single" w:color="auto" w:sz="4" w:space="0"/>
            </w:tcBorders>
            <w:vAlign w:val="center"/>
          </w:tcPr>
          <w:p w14:paraId="345D485C">
            <w:pPr>
              <w:spacing w:line="240" w:lineRule="auto"/>
              <w:ind w:firstLine="0" w:firstLineChars="0"/>
              <w:jc w:val="center"/>
              <w:rPr>
                <w:rFonts w:cs="Times New Roman"/>
                <w:sz w:val="21"/>
                <w:szCs w:val="21"/>
                <w14:ligatures w14:val="none"/>
              </w:rPr>
            </w:pPr>
            <w:r>
              <w:rPr>
                <w:rFonts w:cs="Times New Roman"/>
                <w:sz w:val="21"/>
                <w:szCs w:val="21"/>
                <w14:ligatures w14:val="none"/>
              </w:rPr>
              <w:t>苯并[a]蔥</w:t>
            </w:r>
          </w:p>
        </w:tc>
        <w:tc>
          <w:tcPr>
            <w:tcW w:w="833" w:type="pct"/>
            <w:tcBorders>
              <w:left w:val="single" w:color="auto" w:sz="4" w:space="0"/>
            </w:tcBorders>
            <w:vAlign w:val="center"/>
          </w:tcPr>
          <w:p w14:paraId="79ADC26B">
            <w:pPr>
              <w:spacing w:line="240" w:lineRule="auto"/>
              <w:ind w:firstLine="0" w:firstLineChars="0"/>
              <w:jc w:val="center"/>
              <w:rPr>
                <w:rFonts w:cs="Times New Roman"/>
                <w:sz w:val="21"/>
                <w:szCs w:val="21"/>
                <w14:ligatures w14:val="none"/>
              </w:rPr>
            </w:pPr>
            <w:r>
              <w:rPr>
                <w:rFonts w:cs="Times New Roman"/>
                <w:sz w:val="21"/>
                <w:szCs w:val="21"/>
                <w14:ligatures w14:val="none"/>
              </w:rPr>
              <w:t>5.5</w:t>
            </w:r>
          </w:p>
        </w:tc>
        <w:tc>
          <w:tcPr>
            <w:tcW w:w="833" w:type="pct"/>
            <w:tcBorders>
              <w:left w:val="single" w:color="auto" w:sz="4" w:space="0"/>
              <w:right w:val="single" w:color="auto" w:sz="4" w:space="0"/>
            </w:tcBorders>
            <w:vAlign w:val="center"/>
          </w:tcPr>
          <w:p w14:paraId="1A086A46">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c>
          <w:tcPr>
            <w:tcW w:w="833" w:type="pct"/>
            <w:tcBorders>
              <w:left w:val="single" w:color="auto" w:sz="4" w:space="0"/>
            </w:tcBorders>
            <w:vAlign w:val="center"/>
          </w:tcPr>
          <w:p w14:paraId="4FE1CC61">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c>
          <w:tcPr>
            <w:tcW w:w="833" w:type="pct"/>
            <w:tcBorders>
              <w:left w:val="single" w:color="auto" w:sz="4" w:space="0"/>
            </w:tcBorders>
            <w:vAlign w:val="center"/>
          </w:tcPr>
          <w:p w14:paraId="246A93FC">
            <w:pPr>
              <w:spacing w:line="240" w:lineRule="auto"/>
              <w:ind w:firstLine="0" w:firstLineChars="0"/>
              <w:jc w:val="center"/>
              <w:rPr>
                <w:rFonts w:cs="Times New Roman"/>
                <w:sz w:val="21"/>
                <w:szCs w:val="21"/>
                <w14:ligatures w14:val="none"/>
              </w:rPr>
            </w:pPr>
            <w:r>
              <w:rPr>
                <w:rFonts w:cs="Times New Roman"/>
                <w:sz w:val="21"/>
                <w:szCs w:val="21"/>
                <w14:ligatures w14:val="none"/>
              </w:rPr>
              <w:t>151</w:t>
            </w:r>
          </w:p>
        </w:tc>
      </w:tr>
      <w:tr w14:paraId="5E10D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6FED7F12">
            <w:pPr>
              <w:spacing w:line="240" w:lineRule="auto"/>
              <w:ind w:firstLine="0" w:firstLineChars="0"/>
              <w:jc w:val="center"/>
              <w:rPr>
                <w:rFonts w:cs="Times New Roman"/>
                <w:sz w:val="21"/>
                <w:szCs w:val="21"/>
                <w14:ligatures w14:val="none"/>
              </w:rPr>
            </w:pPr>
            <w:r>
              <w:rPr>
                <w:rFonts w:cs="Times New Roman"/>
                <w:sz w:val="21"/>
                <w:szCs w:val="21"/>
                <w14:ligatures w14:val="none"/>
              </w:rPr>
              <w:t>39</w:t>
            </w:r>
          </w:p>
        </w:tc>
        <w:tc>
          <w:tcPr>
            <w:tcW w:w="1271" w:type="pct"/>
            <w:tcBorders>
              <w:left w:val="single" w:color="auto" w:sz="4" w:space="0"/>
            </w:tcBorders>
            <w:vAlign w:val="center"/>
          </w:tcPr>
          <w:p w14:paraId="0530BF91">
            <w:pPr>
              <w:spacing w:line="240" w:lineRule="auto"/>
              <w:ind w:firstLine="0" w:firstLineChars="0"/>
              <w:jc w:val="center"/>
              <w:rPr>
                <w:rFonts w:cs="Times New Roman"/>
                <w:sz w:val="21"/>
                <w:szCs w:val="21"/>
                <w14:ligatures w14:val="none"/>
              </w:rPr>
            </w:pPr>
            <w:r>
              <w:rPr>
                <w:rFonts w:cs="Times New Roman"/>
                <w:sz w:val="21"/>
                <w:szCs w:val="21"/>
                <w14:ligatures w14:val="none"/>
              </w:rPr>
              <w:t>苯并[a]芘</w:t>
            </w:r>
          </w:p>
        </w:tc>
        <w:tc>
          <w:tcPr>
            <w:tcW w:w="833" w:type="pct"/>
            <w:tcBorders>
              <w:left w:val="single" w:color="auto" w:sz="4" w:space="0"/>
            </w:tcBorders>
            <w:vAlign w:val="center"/>
          </w:tcPr>
          <w:p w14:paraId="3A31D20D">
            <w:pPr>
              <w:spacing w:line="240" w:lineRule="auto"/>
              <w:ind w:firstLine="0" w:firstLineChars="0"/>
              <w:jc w:val="center"/>
              <w:rPr>
                <w:rFonts w:cs="Times New Roman"/>
                <w:sz w:val="21"/>
                <w:szCs w:val="21"/>
                <w14:ligatures w14:val="none"/>
              </w:rPr>
            </w:pPr>
            <w:r>
              <w:rPr>
                <w:rFonts w:cs="Times New Roman"/>
                <w:sz w:val="21"/>
                <w:szCs w:val="21"/>
                <w14:ligatures w14:val="none"/>
              </w:rPr>
              <w:t>0.55</w:t>
            </w:r>
          </w:p>
        </w:tc>
        <w:tc>
          <w:tcPr>
            <w:tcW w:w="833" w:type="pct"/>
            <w:tcBorders>
              <w:left w:val="single" w:color="auto" w:sz="4" w:space="0"/>
              <w:right w:val="single" w:color="auto" w:sz="4" w:space="0"/>
            </w:tcBorders>
            <w:vAlign w:val="center"/>
          </w:tcPr>
          <w:p w14:paraId="2454154A">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c>
          <w:tcPr>
            <w:tcW w:w="833" w:type="pct"/>
            <w:tcBorders>
              <w:left w:val="single" w:color="auto" w:sz="4" w:space="0"/>
            </w:tcBorders>
            <w:vAlign w:val="center"/>
          </w:tcPr>
          <w:p w14:paraId="48C1862F">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c>
          <w:tcPr>
            <w:tcW w:w="833" w:type="pct"/>
            <w:tcBorders>
              <w:left w:val="single" w:color="auto" w:sz="4" w:space="0"/>
            </w:tcBorders>
            <w:vAlign w:val="center"/>
          </w:tcPr>
          <w:p w14:paraId="43458BCC">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r>
      <w:tr w14:paraId="4FA25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47605CFD">
            <w:pPr>
              <w:spacing w:line="240" w:lineRule="auto"/>
              <w:ind w:firstLine="0" w:firstLineChars="0"/>
              <w:jc w:val="center"/>
              <w:rPr>
                <w:rFonts w:cs="Times New Roman"/>
                <w:sz w:val="21"/>
                <w:szCs w:val="21"/>
                <w14:ligatures w14:val="none"/>
              </w:rPr>
            </w:pPr>
            <w:r>
              <w:rPr>
                <w:rFonts w:cs="Times New Roman"/>
                <w:sz w:val="21"/>
                <w:szCs w:val="21"/>
                <w14:ligatures w14:val="none"/>
              </w:rPr>
              <w:t>40</w:t>
            </w:r>
          </w:p>
        </w:tc>
        <w:tc>
          <w:tcPr>
            <w:tcW w:w="1271" w:type="pct"/>
            <w:tcBorders>
              <w:left w:val="single" w:color="auto" w:sz="4" w:space="0"/>
            </w:tcBorders>
            <w:vAlign w:val="center"/>
          </w:tcPr>
          <w:p w14:paraId="56DC26E8">
            <w:pPr>
              <w:spacing w:line="240" w:lineRule="auto"/>
              <w:ind w:firstLine="0" w:firstLineChars="0"/>
              <w:jc w:val="center"/>
              <w:rPr>
                <w:rFonts w:cs="Times New Roman"/>
                <w:sz w:val="21"/>
                <w:szCs w:val="21"/>
                <w14:ligatures w14:val="none"/>
              </w:rPr>
            </w:pPr>
            <w:r>
              <w:rPr>
                <w:rFonts w:cs="Times New Roman"/>
                <w:sz w:val="21"/>
                <w:szCs w:val="21"/>
                <w14:ligatures w14:val="none"/>
              </w:rPr>
              <w:t>苯并[b]荧蔥</w:t>
            </w:r>
          </w:p>
        </w:tc>
        <w:tc>
          <w:tcPr>
            <w:tcW w:w="833" w:type="pct"/>
            <w:tcBorders>
              <w:left w:val="single" w:color="auto" w:sz="4" w:space="0"/>
            </w:tcBorders>
            <w:vAlign w:val="center"/>
          </w:tcPr>
          <w:p w14:paraId="56CD79AE">
            <w:pPr>
              <w:spacing w:line="240" w:lineRule="auto"/>
              <w:ind w:firstLine="0" w:firstLineChars="0"/>
              <w:jc w:val="center"/>
              <w:rPr>
                <w:rFonts w:cs="Times New Roman"/>
                <w:sz w:val="21"/>
                <w:szCs w:val="21"/>
                <w14:ligatures w14:val="none"/>
              </w:rPr>
            </w:pPr>
            <w:r>
              <w:rPr>
                <w:rFonts w:cs="Times New Roman"/>
                <w:sz w:val="21"/>
                <w:szCs w:val="21"/>
                <w14:ligatures w14:val="none"/>
              </w:rPr>
              <w:t>5.5</w:t>
            </w:r>
          </w:p>
        </w:tc>
        <w:tc>
          <w:tcPr>
            <w:tcW w:w="833" w:type="pct"/>
            <w:tcBorders>
              <w:left w:val="single" w:color="auto" w:sz="4" w:space="0"/>
              <w:right w:val="single" w:color="auto" w:sz="4" w:space="0"/>
            </w:tcBorders>
            <w:vAlign w:val="center"/>
          </w:tcPr>
          <w:p w14:paraId="23C1FB87">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c>
          <w:tcPr>
            <w:tcW w:w="833" w:type="pct"/>
            <w:tcBorders>
              <w:left w:val="single" w:color="auto" w:sz="4" w:space="0"/>
            </w:tcBorders>
            <w:vAlign w:val="center"/>
          </w:tcPr>
          <w:p w14:paraId="63DB326C">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c>
          <w:tcPr>
            <w:tcW w:w="833" w:type="pct"/>
            <w:tcBorders>
              <w:left w:val="single" w:color="auto" w:sz="4" w:space="0"/>
            </w:tcBorders>
            <w:vAlign w:val="center"/>
          </w:tcPr>
          <w:p w14:paraId="6B2A44E7">
            <w:pPr>
              <w:spacing w:line="240" w:lineRule="auto"/>
              <w:ind w:firstLine="0" w:firstLineChars="0"/>
              <w:jc w:val="center"/>
              <w:rPr>
                <w:rFonts w:cs="Times New Roman"/>
                <w:sz w:val="21"/>
                <w:szCs w:val="21"/>
                <w14:ligatures w14:val="none"/>
              </w:rPr>
            </w:pPr>
            <w:r>
              <w:rPr>
                <w:rFonts w:cs="Times New Roman"/>
                <w:sz w:val="21"/>
                <w:szCs w:val="21"/>
                <w14:ligatures w14:val="none"/>
              </w:rPr>
              <w:t>151</w:t>
            </w:r>
          </w:p>
        </w:tc>
      </w:tr>
      <w:tr w14:paraId="15384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214F1FC6">
            <w:pPr>
              <w:spacing w:line="240" w:lineRule="auto"/>
              <w:ind w:firstLine="0" w:firstLineChars="0"/>
              <w:jc w:val="center"/>
              <w:rPr>
                <w:rFonts w:cs="Times New Roman"/>
                <w:sz w:val="21"/>
                <w:szCs w:val="21"/>
                <w14:ligatures w14:val="none"/>
              </w:rPr>
            </w:pPr>
            <w:r>
              <w:rPr>
                <w:rFonts w:cs="Times New Roman"/>
                <w:sz w:val="21"/>
                <w:szCs w:val="21"/>
                <w14:ligatures w14:val="none"/>
              </w:rPr>
              <w:t>41</w:t>
            </w:r>
          </w:p>
        </w:tc>
        <w:tc>
          <w:tcPr>
            <w:tcW w:w="1271" w:type="pct"/>
            <w:tcBorders>
              <w:left w:val="single" w:color="auto" w:sz="4" w:space="0"/>
            </w:tcBorders>
            <w:vAlign w:val="center"/>
          </w:tcPr>
          <w:p w14:paraId="7382A33A">
            <w:pPr>
              <w:spacing w:line="240" w:lineRule="auto"/>
              <w:ind w:firstLine="0" w:firstLineChars="0"/>
              <w:jc w:val="center"/>
              <w:rPr>
                <w:rFonts w:cs="Times New Roman"/>
                <w:sz w:val="21"/>
                <w:szCs w:val="21"/>
                <w14:ligatures w14:val="none"/>
              </w:rPr>
            </w:pPr>
            <w:r>
              <w:rPr>
                <w:rFonts w:cs="Times New Roman"/>
                <w:sz w:val="21"/>
                <w:szCs w:val="21"/>
                <w14:ligatures w14:val="none"/>
              </w:rPr>
              <w:t>苯并[k]荧蔥</w:t>
            </w:r>
          </w:p>
        </w:tc>
        <w:tc>
          <w:tcPr>
            <w:tcW w:w="833" w:type="pct"/>
            <w:tcBorders>
              <w:left w:val="single" w:color="auto" w:sz="4" w:space="0"/>
            </w:tcBorders>
            <w:vAlign w:val="center"/>
          </w:tcPr>
          <w:p w14:paraId="75BCE007">
            <w:pPr>
              <w:spacing w:line="240" w:lineRule="auto"/>
              <w:ind w:firstLine="0" w:firstLineChars="0"/>
              <w:jc w:val="center"/>
              <w:rPr>
                <w:rFonts w:cs="Times New Roman"/>
                <w:sz w:val="21"/>
                <w:szCs w:val="21"/>
                <w14:ligatures w14:val="none"/>
              </w:rPr>
            </w:pPr>
            <w:r>
              <w:rPr>
                <w:rFonts w:cs="Times New Roman"/>
                <w:sz w:val="21"/>
                <w:szCs w:val="21"/>
                <w14:ligatures w14:val="none"/>
              </w:rPr>
              <w:t>55</w:t>
            </w:r>
          </w:p>
        </w:tc>
        <w:tc>
          <w:tcPr>
            <w:tcW w:w="833" w:type="pct"/>
            <w:tcBorders>
              <w:left w:val="single" w:color="auto" w:sz="4" w:space="0"/>
              <w:right w:val="single" w:color="auto" w:sz="4" w:space="0"/>
            </w:tcBorders>
            <w:vAlign w:val="center"/>
          </w:tcPr>
          <w:p w14:paraId="69EB6566">
            <w:pPr>
              <w:spacing w:line="240" w:lineRule="auto"/>
              <w:ind w:firstLine="0" w:firstLineChars="0"/>
              <w:jc w:val="center"/>
              <w:rPr>
                <w:rFonts w:cs="Times New Roman"/>
                <w:sz w:val="21"/>
                <w:szCs w:val="21"/>
                <w14:ligatures w14:val="none"/>
              </w:rPr>
            </w:pPr>
            <w:r>
              <w:rPr>
                <w:rFonts w:cs="Times New Roman"/>
                <w:sz w:val="21"/>
                <w:szCs w:val="21"/>
                <w14:ligatures w14:val="none"/>
              </w:rPr>
              <w:t>151</w:t>
            </w:r>
          </w:p>
        </w:tc>
        <w:tc>
          <w:tcPr>
            <w:tcW w:w="833" w:type="pct"/>
            <w:tcBorders>
              <w:left w:val="single" w:color="auto" w:sz="4" w:space="0"/>
            </w:tcBorders>
            <w:vAlign w:val="center"/>
          </w:tcPr>
          <w:p w14:paraId="069DF9D0">
            <w:pPr>
              <w:spacing w:line="240" w:lineRule="auto"/>
              <w:ind w:firstLine="0" w:firstLineChars="0"/>
              <w:jc w:val="center"/>
              <w:rPr>
                <w:rFonts w:cs="Times New Roman"/>
                <w:sz w:val="21"/>
                <w:szCs w:val="21"/>
                <w14:ligatures w14:val="none"/>
              </w:rPr>
            </w:pPr>
            <w:r>
              <w:rPr>
                <w:rFonts w:cs="Times New Roman"/>
                <w:sz w:val="21"/>
                <w:szCs w:val="21"/>
                <w14:ligatures w14:val="none"/>
              </w:rPr>
              <w:t>151</w:t>
            </w:r>
          </w:p>
        </w:tc>
        <w:tc>
          <w:tcPr>
            <w:tcW w:w="833" w:type="pct"/>
            <w:tcBorders>
              <w:left w:val="single" w:color="auto" w:sz="4" w:space="0"/>
            </w:tcBorders>
            <w:vAlign w:val="center"/>
          </w:tcPr>
          <w:p w14:paraId="7585486C">
            <w:pPr>
              <w:spacing w:line="240" w:lineRule="auto"/>
              <w:ind w:firstLine="0" w:firstLineChars="0"/>
              <w:jc w:val="center"/>
              <w:rPr>
                <w:rFonts w:cs="Times New Roman"/>
                <w:sz w:val="21"/>
                <w:szCs w:val="21"/>
                <w14:ligatures w14:val="none"/>
              </w:rPr>
            </w:pPr>
            <w:r>
              <w:rPr>
                <w:rFonts w:cs="Times New Roman"/>
                <w:sz w:val="21"/>
                <w:szCs w:val="21"/>
                <w14:ligatures w14:val="none"/>
              </w:rPr>
              <w:t>1500</w:t>
            </w:r>
          </w:p>
        </w:tc>
      </w:tr>
      <w:tr w14:paraId="7E1CA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2B62CDC0">
            <w:pPr>
              <w:spacing w:line="240" w:lineRule="auto"/>
              <w:ind w:firstLine="0" w:firstLineChars="0"/>
              <w:jc w:val="center"/>
              <w:rPr>
                <w:rFonts w:cs="Times New Roman"/>
                <w:sz w:val="21"/>
                <w:szCs w:val="21"/>
                <w14:ligatures w14:val="none"/>
              </w:rPr>
            </w:pPr>
            <w:r>
              <w:rPr>
                <w:rFonts w:cs="Times New Roman"/>
                <w:sz w:val="21"/>
                <w:szCs w:val="21"/>
                <w14:ligatures w14:val="none"/>
              </w:rPr>
              <w:t>42</w:t>
            </w:r>
          </w:p>
        </w:tc>
        <w:tc>
          <w:tcPr>
            <w:tcW w:w="1271" w:type="pct"/>
            <w:tcBorders>
              <w:left w:val="single" w:color="auto" w:sz="4" w:space="0"/>
            </w:tcBorders>
            <w:vAlign w:val="center"/>
          </w:tcPr>
          <w:p w14:paraId="087C003E">
            <w:pPr>
              <w:spacing w:line="240" w:lineRule="auto"/>
              <w:ind w:firstLine="0" w:firstLineChars="0"/>
              <w:jc w:val="center"/>
              <w:rPr>
                <w:rFonts w:cs="Times New Roman"/>
                <w:sz w:val="21"/>
                <w:szCs w:val="21"/>
                <w14:ligatures w14:val="none"/>
              </w:rPr>
            </w:pPr>
            <w:r>
              <w:rPr>
                <w:rFonts w:cs="Times New Roman"/>
                <w:sz w:val="21"/>
                <w:szCs w:val="21"/>
                <w14:ligatures w14:val="none"/>
              </w:rPr>
              <w:t>䓛</w:t>
            </w:r>
          </w:p>
        </w:tc>
        <w:tc>
          <w:tcPr>
            <w:tcW w:w="833" w:type="pct"/>
            <w:tcBorders>
              <w:left w:val="single" w:color="auto" w:sz="4" w:space="0"/>
            </w:tcBorders>
            <w:vAlign w:val="center"/>
          </w:tcPr>
          <w:p w14:paraId="1821F490">
            <w:pPr>
              <w:spacing w:line="240" w:lineRule="auto"/>
              <w:ind w:firstLine="0" w:firstLineChars="0"/>
              <w:jc w:val="center"/>
              <w:rPr>
                <w:rFonts w:cs="Times New Roman"/>
                <w:sz w:val="21"/>
                <w:szCs w:val="21"/>
                <w14:ligatures w14:val="none"/>
              </w:rPr>
            </w:pPr>
            <w:r>
              <w:rPr>
                <w:rFonts w:cs="Times New Roman"/>
                <w:sz w:val="21"/>
                <w:szCs w:val="21"/>
                <w14:ligatures w14:val="none"/>
              </w:rPr>
              <w:t>490</w:t>
            </w:r>
          </w:p>
        </w:tc>
        <w:tc>
          <w:tcPr>
            <w:tcW w:w="833" w:type="pct"/>
            <w:tcBorders>
              <w:left w:val="single" w:color="auto" w:sz="4" w:space="0"/>
              <w:right w:val="single" w:color="auto" w:sz="4" w:space="0"/>
            </w:tcBorders>
            <w:vAlign w:val="center"/>
          </w:tcPr>
          <w:p w14:paraId="69AFE7F7">
            <w:pPr>
              <w:spacing w:line="240" w:lineRule="auto"/>
              <w:ind w:firstLine="0" w:firstLineChars="0"/>
              <w:jc w:val="center"/>
              <w:rPr>
                <w:rFonts w:cs="Times New Roman"/>
                <w:sz w:val="21"/>
                <w:szCs w:val="21"/>
                <w14:ligatures w14:val="none"/>
              </w:rPr>
            </w:pPr>
            <w:r>
              <w:rPr>
                <w:rFonts w:cs="Times New Roman"/>
                <w:sz w:val="21"/>
                <w:szCs w:val="21"/>
                <w14:ligatures w14:val="none"/>
              </w:rPr>
              <w:t>1293</w:t>
            </w:r>
          </w:p>
        </w:tc>
        <w:tc>
          <w:tcPr>
            <w:tcW w:w="833" w:type="pct"/>
            <w:tcBorders>
              <w:left w:val="single" w:color="auto" w:sz="4" w:space="0"/>
            </w:tcBorders>
            <w:vAlign w:val="center"/>
          </w:tcPr>
          <w:p w14:paraId="1C62DCA7">
            <w:pPr>
              <w:spacing w:line="240" w:lineRule="auto"/>
              <w:ind w:firstLine="0" w:firstLineChars="0"/>
              <w:jc w:val="center"/>
              <w:rPr>
                <w:rFonts w:cs="Times New Roman"/>
                <w:sz w:val="21"/>
                <w:szCs w:val="21"/>
                <w14:ligatures w14:val="none"/>
              </w:rPr>
            </w:pPr>
            <w:r>
              <w:rPr>
                <w:rFonts w:cs="Times New Roman"/>
                <w:sz w:val="21"/>
                <w:szCs w:val="21"/>
                <w14:ligatures w14:val="none"/>
              </w:rPr>
              <w:t>1293</w:t>
            </w:r>
          </w:p>
        </w:tc>
        <w:tc>
          <w:tcPr>
            <w:tcW w:w="833" w:type="pct"/>
            <w:tcBorders>
              <w:left w:val="single" w:color="auto" w:sz="4" w:space="0"/>
            </w:tcBorders>
            <w:vAlign w:val="center"/>
          </w:tcPr>
          <w:p w14:paraId="17B7B80E">
            <w:pPr>
              <w:spacing w:line="240" w:lineRule="auto"/>
              <w:ind w:firstLine="0" w:firstLineChars="0"/>
              <w:jc w:val="center"/>
              <w:rPr>
                <w:rFonts w:cs="Times New Roman"/>
                <w:sz w:val="21"/>
                <w:szCs w:val="21"/>
                <w14:ligatures w14:val="none"/>
              </w:rPr>
            </w:pPr>
            <w:r>
              <w:rPr>
                <w:rFonts w:cs="Times New Roman"/>
                <w:sz w:val="21"/>
                <w:szCs w:val="21"/>
                <w14:ligatures w14:val="none"/>
              </w:rPr>
              <w:t>12900</w:t>
            </w:r>
          </w:p>
        </w:tc>
      </w:tr>
      <w:tr w14:paraId="49510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2D072CCB">
            <w:pPr>
              <w:spacing w:line="240" w:lineRule="auto"/>
              <w:ind w:firstLine="0" w:firstLineChars="0"/>
              <w:jc w:val="center"/>
              <w:rPr>
                <w:rFonts w:cs="Times New Roman"/>
                <w:sz w:val="21"/>
                <w:szCs w:val="21"/>
                <w14:ligatures w14:val="none"/>
              </w:rPr>
            </w:pPr>
            <w:r>
              <w:rPr>
                <w:rFonts w:cs="Times New Roman"/>
                <w:sz w:val="21"/>
                <w:szCs w:val="21"/>
                <w14:ligatures w14:val="none"/>
              </w:rPr>
              <w:t>43</w:t>
            </w:r>
          </w:p>
        </w:tc>
        <w:tc>
          <w:tcPr>
            <w:tcW w:w="1271" w:type="pct"/>
            <w:tcBorders>
              <w:left w:val="single" w:color="auto" w:sz="4" w:space="0"/>
            </w:tcBorders>
            <w:vAlign w:val="center"/>
          </w:tcPr>
          <w:p w14:paraId="074E42CA">
            <w:pPr>
              <w:spacing w:line="240" w:lineRule="auto"/>
              <w:ind w:firstLine="0" w:firstLineChars="0"/>
              <w:jc w:val="center"/>
              <w:rPr>
                <w:rFonts w:cs="Times New Roman"/>
                <w:sz w:val="21"/>
                <w:szCs w:val="21"/>
                <w14:ligatures w14:val="none"/>
              </w:rPr>
            </w:pPr>
            <w:r>
              <w:rPr>
                <w:rFonts w:cs="Times New Roman"/>
                <w:sz w:val="21"/>
                <w:szCs w:val="21"/>
                <w14:ligatures w14:val="none"/>
              </w:rPr>
              <w:t>二苯并[a,h]蔥</w:t>
            </w:r>
          </w:p>
        </w:tc>
        <w:tc>
          <w:tcPr>
            <w:tcW w:w="833" w:type="pct"/>
            <w:tcBorders>
              <w:left w:val="single" w:color="auto" w:sz="4" w:space="0"/>
            </w:tcBorders>
            <w:vAlign w:val="center"/>
          </w:tcPr>
          <w:p w14:paraId="6064E718">
            <w:pPr>
              <w:spacing w:line="240" w:lineRule="auto"/>
              <w:ind w:firstLine="0" w:firstLineChars="0"/>
              <w:jc w:val="center"/>
              <w:rPr>
                <w:rFonts w:cs="Times New Roman"/>
                <w:sz w:val="21"/>
                <w:szCs w:val="21"/>
                <w14:ligatures w14:val="none"/>
              </w:rPr>
            </w:pPr>
            <w:r>
              <w:rPr>
                <w:rFonts w:cs="Times New Roman"/>
                <w:sz w:val="21"/>
                <w:szCs w:val="21"/>
                <w14:ligatures w14:val="none"/>
              </w:rPr>
              <w:t>0.55</w:t>
            </w:r>
          </w:p>
        </w:tc>
        <w:tc>
          <w:tcPr>
            <w:tcW w:w="833" w:type="pct"/>
            <w:tcBorders>
              <w:left w:val="single" w:color="auto" w:sz="4" w:space="0"/>
              <w:right w:val="single" w:color="auto" w:sz="4" w:space="0"/>
            </w:tcBorders>
            <w:vAlign w:val="center"/>
          </w:tcPr>
          <w:p w14:paraId="1A0267E7">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c>
          <w:tcPr>
            <w:tcW w:w="833" w:type="pct"/>
            <w:tcBorders>
              <w:left w:val="single" w:color="auto" w:sz="4" w:space="0"/>
            </w:tcBorders>
            <w:vAlign w:val="center"/>
          </w:tcPr>
          <w:p w14:paraId="6958B6C6">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c>
          <w:tcPr>
            <w:tcW w:w="833" w:type="pct"/>
            <w:tcBorders>
              <w:left w:val="single" w:color="auto" w:sz="4" w:space="0"/>
            </w:tcBorders>
            <w:vAlign w:val="center"/>
          </w:tcPr>
          <w:p w14:paraId="0B68AA11">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r>
      <w:tr w14:paraId="2E006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43FB525E">
            <w:pPr>
              <w:spacing w:line="240" w:lineRule="auto"/>
              <w:ind w:firstLine="0" w:firstLineChars="0"/>
              <w:jc w:val="center"/>
              <w:rPr>
                <w:rFonts w:cs="Times New Roman"/>
                <w:sz w:val="21"/>
                <w:szCs w:val="21"/>
                <w14:ligatures w14:val="none"/>
              </w:rPr>
            </w:pPr>
            <w:r>
              <w:rPr>
                <w:rFonts w:cs="Times New Roman"/>
                <w:sz w:val="21"/>
                <w:szCs w:val="21"/>
                <w14:ligatures w14:val="none"/>
              </w:rPr>
              <w:t>44</w:t>
            </w:r>
          </w:p>
        </w:tc>
        <w:tc>
          <w:tcPr>
            <w:tcW w:w="1271" w:type="pct"/>
            <w:tcBorders>
              <w:left w:val="single" w:color="auto" w:sz="4" w:space="0"/>
            </w:tcBorders>
            <w:vAlign w:val="center"/>
          </w:tcPr>
          <w:p w14:paraId="1B93A77C">
            <w:pPr>
              <w:spacing w:line="240" w:lineRule="auto"/>
              <w:ind w:firstLine="0" w:firstLineChars="0"/>
              <w:jc w:val="center"/>
              <w:rPr>
                <w:rFonts w:cs="Times New Roman"/>
                <w:sz w:val="21"/>
                <w:szCs w:val="21"/>
                <w14:ligatures w14:val="none"/>
              </w:rPr>
            </w:pPr>
            <w:r>
              <w:rPr>
                <w:rFonts w:cs="Times New Roman"/>
                <w:sz w:val="21"/>
                <w:szCs w:val="21"/>
                <w14:ligatures w14:val="none"/>
              </w:rPr>
              <w:t>茚并[1,2,3-cd]芘</w:t>
            </w:r>
          </w:p>
        </w:tc>
        <w:tc>
          <w:tcPr>
            <w:tcW w:w="833" w:type="pct"/>
            <w:tcBorders>
              <w:left w:val="single" w:color="auto" w:sz="4" w:space="0"/>
            </w:tcBorders>
            <w:vAlign w:val="center"/>
          </w:tcPr>
          <w:p w14:paraId="0A8CF087">
            <w:pPr>
              <w:spacing w:line="240" w:lineRule="auto"/>
              <w:ind w:firstLine="0" w:firstLineChars="0"/>
              <w:jc w:val="center"/>
              <w:rPr>
                <w:rFonts w:cs="Times New Roman"/>
                <w:sz w:val="21"/>
                <w:szCs w:val="21"/>
                <w14:ligatures w14:val="none"/>
              </w:rPr>
            </w:pPr>
            <w:r>
              <w:rPr>
                <w:rFonts w:cs="Times New Roman"/>
                <w:sz w:val="21"/>
                <w:szCs w:val="21"/>
                <w14:ligatures w14:val="none"/>
              </w:rPr>
              <w:t>5.5</w:t>
            </w:r>
          </w:p>
        </w:tc>
        <w:tc>
          <w:tcPr>
            <w:tcW w:w="833" w:type="pct"/>
            <w:tcBorders>
              <w:left w:val="single" w:color="auto" w:sz="4" w:space="0"/>
              <w:right w:val="single" w:color="auto" w:sz="4" w:space="0"/>
            </w:tcBorders>
            <w:vAlign w:val="center"/>
          </w:tcPr>
          <w:p w14:paraId="5BF43286">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c>
          <w:tcPr>
            <w:tcW w:w="833" w:type="pct"/>
            <w:tcBorders>
              <w:left w:val="single" w:color="auto" w:sz="4" w:space="0"/>
            </w:tcBorders>
            <w:vAlign w:val="center"/>
          </w:tcPr>
          <w:p w14:paraId="42432375">
            <w:pPr>
              <w:spacing w:line="240" w:lineRule="auto"/>
              <w:ind w:firstLine="0" w:firstLineChars="0"/>
              <w:jc w:val="center"/>
              <w:rPr>
                <w:rFonts w:cs="Times New Roman"/>
                <w:sz w:val="21"/>
                <w:szCs w:val="21"/>
                <w14:ligatures w14:val="none"/>
              </w:rPr>
            </w:pPr>
            <w:r>
              <w:rPr>
                <w:rFonts w:cs="Times New Roman"/>
                <w:sz w:val="21"/>
                <w:szCs w:val="21"/>
                <w14:ligatures w14:val="none"/>
              </w:rPr>
              <w:t>15</w:t>
            </w:r>
          </w:p>
        </w:tc>
        <w:tc>
          <w:tcPr>
            <w:tcW w:w="833" w:type="pct"/>
            <w:tcBorders>
              <w:left w:val="single" w:color="auto" w:sz="4" w:space="0"/>
            </w:tcBorders>
            <w:vAlign w:val="center"/>
          </w:tcPr>
          <w:p w14:paraId="24B4251C">
            <w:pPr>
              <w:spacing w:line="240" w:lineRule="auto"/>
              <w:ind w:firstLine="0" w:firstLineChars="0"/>
              <w:jc w:val="center"/>
              <w:rPr>
                <w:rFonts w:cs="Times New Roman"/>
                <w:sz w:val="21"/>
                <w:szCs w:val="21"/>
                <w14:ligatures w14:val="none"/>
              </w:rPr>
            </w:pPr>
            <w:r>
              <w:rPr>
                <w:rFonts w:cs="Times New Roman"/>
                <w:sz w:val="21"/>
                <w:szCs w:val="21"/>
                <w14:ligatures w14:val="none"/>
              </w:rPr>
              <w:t>151</w:t>
            </w:r>
          </w:p>
        </w:tc>
      </w:tr>
      <w:tr w14:paraId="6141E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97" w:type="pct"/>
            <w:vAlign w:val="center"/>
          </w:tcPr>
          <w:p w14:paraId="5FC95BCD">
            <w:pPr>
              <w:spacing w:line="240" w:lineRule="auto"/>
              <w:ind w:firstLine="0" w:firstLineChars="0"/>
              <w:jc w:val="center"/>
              <w:rPr>
                <w:rFonts w:cs="Times New Roman"/>
                <w:sz w:val="21"/>
                <w:szCs w:val="21"/>
                <w14:ligatures w14:val="none"/>
              </w:rPr>
            </w:pPr>
            <w:r>
              <w:rPr>
                <w:rFonts w:cs="Times New Roman"/>
                <w:sz w:val="21"/>
                <w:szCs w:val="21"/>
                <w14:ligatures w14:val="none"/>
              </w:rPr>
              <w:t>45</w:t>
            </w:r>
          </w:p>
        </w:tc>
        <w:tc>
          <w:tcPr>
            <w:tcW w:w="1271" w:type="pct"/>
            <w:tcBorders>
              <w:left w:val="single" w:color="auto" w:sz="4" w:space="0"/>
            </w:tcBorders>
            <w:vAlign w:val="center"/>
          </w:tcPr>
          <w:p w14:paraId="4AD3AA27">
            <w:pPr>
              <w:spacing w:line="240" w:lineRule="auto"/>
              <w:ind w:firstLine="0" w:firstLineChars="0"/>
              <w:jc w:val="center"/>
              <w:rPr>
                <w:rFonts w:cs="Times New Roman"/>
                <w:sz w:val="21"/>
                <w:szCs w:val="21"/>
                <w14:ligatures w14:val="none"/>
              </w:rPr>
            </w:pPr>
            <w:r>
              <w:rPr>
                <w:rFonts w:cs="Times New Roman"/>
                <w:sz w:val="21"/>
                <w:szCs w:val="21"/>
                <w14:ligatures w14:val="none"/>
              </w:rPr>
              <w:t>萘</w:t>
            </w:r>
          </w:p>
        </w:tc>
        <w:tc>
          <w:tcPr>
            <w:tcW w:w="833" w:type="pct"/>
            <w:tcBorders>
              <w:left w:val="single" w:color="auto" w:sz="4" w:space="0"/>
            </w:tcBorders>
            <w:vAlign w:val="center"/>
          </w:tcPr>
          <w:p w14:paraId="35337C7A">
            <w:pPr>
              <w:spacing w:line="240" w:lineRule="auto"/>
              <w:ind w:firstLine="0" w:firstLineChars="0"/>
              <w:jc w:val="center"/>
              <w:rPr>
                <w:rFonts w:cs="Times New Roman"/>
                <w:sz w:val="21"/>
                <w:szCs w:val="21"/>
                <w14:ligatures w14:val="none"/>
              </w:rPr>
            </w:pPr>
            <w:r>
              <w:rPr>
                <w:rFonts w:cs="Times New Roman"/>
                <w:sz w:val="21"/>
                <w:szCs w:val="21"/>
                <w14:ligatures w14:val="none"/>
              </w:rPr>
              <w:t>25</w:t>
            </w:r>
          </w:p>
        </w:tc>
        <w:tc>
          <w:tcPr>
            <w:tcW w:w="833" w:type="pct"/>
            <w:tcBorders>
              <w:left w:val="single" w:color="auto" w:sz="4" w:space="0"/>
              <w:right w:val="single" w:color="auto" w:sz="4" w:space="0"/>
            </w:tcBorders>
            <w:vAlign w:val="center"/>
          </w:tcPr>
          <w:p w14:paraId="133B13CA">
            <w:pPr>
              <w:spacing w:line="240" w:lineRule="auto"/>
              <w:ind w:firstLine="0" w:firstLineChars="0"/>
              <w:jc w:val="center"/>
              <w:rPr>
                <w:rFonts w:cs="Times New Roman"/>
                <w:sz w:val="21"/>
                <w:szCs w:val="21"/>
                <w14:ligatures w14:val="none"/>
              </w:rPr>
            </w:pPr>
            <w:r>
              <w:rPr>
                <w:rFonts w:cs="Times New Roman"/>
                <w:sz w:val="21"/>
                <w:szCs w:val="21"/>
                <w14:ligatures w14:val="none"/>
              </w:rPr>
              <w:t>70</w:t>
            </w:r>
          </w:p>
        </w:tc>
        <w:tc>
          <w:tcPr>
            <w:tcW w:w="833" w:type="pct"/>
            <w:tcBorders>
              <w:left w:val="single" w:color="auto" w:sz="4" w:space="0"/>
            </w:tcBorders>
            <w:vAlign w:val="center"/>
          </w:tcPr>
          <w:p w14:paraId="5C72DA16">
            <w:pPr>
              <w:spacing w:line="240" w:lineRule="auto"/>
              <w:ind w:firstLine="0" w:firstLineChars="0"/>
              <w:jc w:val="center"/>
              <w:rPr>
                <w:rFonts w:cs="Times New Roman"/>
                <w:sz w:val="21"/>
                <w:szCs w:val="21"/>
                <w14:ligatures w14:val="none"/>
              </w:rPr>
            </w:pPr>
            <w:r>
              <w:rPr>
                <w:rFonts w:cs="Times New Roman"/>
                <w:sz w:val="21"/>
                <w:szCs w:val="21"/>
                <w14:ligatures w14:val="none"/>
              </w:rPr>
              <w:t>70</w:t>
            </w:r>
          </w:p>
        </w:tc>
        <w:tc>
          <w:tcPr>
            <w:tcW w:w="833" w:type="pct"/>
            <w:tcBorders>
              <w:left w:val="single" w:color="auto" w:sz="4" w:space="0"/>
            </w:tcBorders>
            <w:vAlign w:val="center"/>
          </w:tcPr>
          <w:p w14:paraId="3D25768D">
            <w:pPr>
              <w:spacing w:line="240" w:lineRule="auto"/>
              <w:ind w:firstLine="0" w:firstLineChars="0"/>
              <w:jc w:val="center"/>
              <w:rPr>
                <w:rFonts w:cs="Times New Roman"/>
                <w:sz w:val="21"/>
                <w:szCs w:val="21"/>
                <w14:ligatures w14:val="none"/>
              </w:rPr>
            </w:pPr>
            <w:r>
              <w:rPr>
                <w:rFonts w:cs="Times New Roman"/>
                <w:sz w:val="21"/>
                <w:szCs w:val="21"/>
                <w14:ligatures w14:val="none"/>
              </w:rPr>
              <w:t>700</w:t>
            </w:r>
          </w:p>
        </w:tc>
      </w:tr>
    </w:tbl>
    <w:p w14:paraId="37AF5B49">
      <w:pPr>
        <w:spacing w:line="240" w:lineRule="auto"/>
        <w:ind w:firstLine="0" w:firstLineChars="0"/>
        <w:rPr>
          <w:rFonts w:cs="Times New Roman"/>
          <w:b/>
          <w:sz w:val="21"/>
          <w:szCs w:val="21"/>
          <w14:ligatures w14:val="none"/>
        </w:rPr>
      </w:pPr>
      <w:r>
        <w:rPr>
          <w:rFonts w:hint="eastAsia" w:cs="Times New Roman"/>
          <w:sz w:val="18"/>
          <w:szCs w:val="18"/>
          <w:lang w:bidi="ar"/>
        </w:rPr>
        <w:t>注：第一类用地：包括</w:t>
      </w:r>
      <w:r>
        <w:rPr>
          <w:rFonts w:cs="Times New Roman"/>
          <w:sz w:val="18"/>
          <w:szCs w:val="18"/>
          <w:lang w:bidi="ar"/>
        </w:rPr>
        <w:t>GB50137</w:t>
      </w:r>
      <w:r>
        <w:rPr>
          <w:rFonts w:hint="eastAsia" w:cs="Times New Roman"/>
          <w:sz w:val="18"/>
          <w:szCs w:val="18"/>
          <w:lang w:bidi="ar"/>
        </w:rPr>
        <w:t>规定的城市建设用地中的居住用地（</w:t>
      </w:r>
      <w:r>
        <w:rPr>
          <w:rFonts w:cs="Times New Roman"/>
          <w:sz w:val="18"/>
          <w:szCs w:val="18"/>
          <w:lang w:bidi="ar"/>
        </w:rPr>
        <w:t>R</w:t>
      </w:r>
      <w:r>
        <w:rPr>
          <w:rFonts w:hint="eastAsia" w:cs="Times New Roman"/>
          <w:sz w:val="18"/>
          <w:szCs w:val="18"/>
          <w:lang w:bidi="ar"/>
        </w:rPr>
        <w:t>），公共管理与公共服务用地中的中小学用地（</w:t>
      </w:r>
      <w:r>
        <w:rPr>
          <w:rFonts w:cs="Times New Roman"/>
          <w:sz w:val="18"/>
          <w:szCs w:val="18"/>
          <w:lang w:bidi="ar"/>
        </w:rPr>
        <w:t>A33</w:t>
      </w:r>
      <w:r>
        <w:rPr>
          <w:rFonts w:hint="eastAsia" w:cs="Times New Roman"/>
          <w:sz w:val="18"/>
          <w:szCs w:val="18"/>
          <w:lang w:bidi="ar"/>
        </w:rPr>
        <w:t>）、医疗卫生用地（</w:t>
      </w:r>
      <w:r>
        <w:rPr>
          <w:rFonts w:cs="Times New Roman"/>
          <w:sz w:val="18"/>
          <w:szCs w:val="18"/>
          <w:lang w:bidi="ar"/>
        </w:rPr>
        <w:t>A5</w:t>
      </w:r>
      <w:r>
        <w:rPr>
          <w:rFonts w:hint="eastAsia" w:cs="Times New Roman"/>
          <w:sz w:val="18"/>
          <w:szCs w:val="18"/>
          <w:lang w:bidi="ar"/>
        </w:rPr>
        <w:t>）和社会福利设施用地（</w:t>
      </w:r>
      <w:r>
        <w:rPr>
          <w:rFonts w:cs="Times New Roman"/>
          <w:sz w:val="18"/>
          <w:szCs w:val="18"/>
          <w:lang w:bidi="ar"/>
        </w:rPr>
        <w:t>A6</w:t>
      </w:r>
      <w:r>
        <w:rPr>
          <w:rFonts w:hint="eastAsia" w:cs="Times New Roman"/>
          <w:sz w:val="18"/>
          <w:szCs w:val="18"/>
          <w:lang w:bidi="ar"/>
        </w:rPr>
        <w:t>），以及公园绿地（</w:t>
      </w:r>
      <w:r>
        <w:rPr>
          <w:rFonts w:cs="Times New Roman"/>
          <w:sz w:val="18"/>
          <w:szCs w:val="18"/>
          <w:lang w:bidi="ar"/>
        </w:rPr>
        <w:t>G1</w:t>
      </w:r>
      <w:r>
        <w:rPr>
          <w:rFonts w:hint="eastAsia" w:cs="Times New Roman"/>
          <w:sz w:val="18"/>
          <w:szCs w:val="18"/>
          <w:lang w:bidi="ar"/>
        </w:rPr>
        <w:t>）等；第二类用地：包括</w:t>
      </w:r>
      <w:r>
        <w:rPr>
          <w:rFonts w:cs="Times New Roman"/>
          <w:sz w:val="18"/>
          <w:szCs w:val="18"/>
          <w:lang w:bidi="ar"/>
        </w:rPr>
        <w:t>GB50137</w:t>
      </w:r>
      <w:r>
        <w:rPr>
          <w:rFonts w:hint="eastAsia" w:cs="Times New Roman"/>
          <w:sz w:val="18"/>
          <w:szCs w:val="18"/>
          <w:lang w:bidi="ar"/>
        </w:rPr>
        <w:t>规定的城市建设用地中的工业用地（</w:t>
      </w:r>
      <w:r>
        <w:rPr>
          <w:rFonts w:cs="Times New Roman"/>
          <w:sz w:val="18"/>
          <w:szCs w:val="18"/>
          <w:lang w:bidi="ar"/>
        </w:rPr>
        <w:t>M</w:t>
      </w:r>
      <w:r>
        <w:rPr>
          <w:rFonts w:hint="eastAsia" w:cs="Times New Roman"/>
          <w:sz w:val="18"/>
          <w:szCs w:val="18"/>
          <w:lang w:bidi="ar"/>
        </w:rPr>
        <w:t>），物流仓储用地（</w:t>
      </w:r>
      <w:r>
        <w:rPr>
          <w:rFonts w:cs="Times New Roman"/>
          <w:sz w:val="18"/>
          <w:szCs w:val="18"/>
          <w:lang w:bidi="ar"/>
        </w:rPr>
        <w:t>W</w:t>
      </w:r>
      <w:r>
        <w:rPr>
          <w:rFonts w:hint="eastAsia" w:cs="Times New Roman"/>
          <w:sz w:val="18"/>
          <w:szCs w:val="18"/>
          <w:lang w:bidi="ar"/>
        </w:rPr>
        <w:t>），商业服务业设施用地（</w:t>
      </w:r>
      <w:r>
        <w:rPr>
          <w:rFonts w:cs="Times New Roman"/>
          <w:sz w:val="18"/>
          <w:szCs w:val="18"/>
          <w:lang w:bidi="ar"/>
        </w:rPr>
        <w:t>B</w:t>
      </w:r>
      <w:r>
        <w:rPr>
          <w:rFonts w:hint="eastAsia" w:cs="Times New Roman"/>
          <w:sz w:val="18"/>
          <w:szCs w:val="18"/>
          <w:lang w:bidi="ar"/>
        </w:rPr>
        <w:t>），道路与交通设施用地（</w:t>
      </w:r>
      <w:r>
        <w:rPr>
          <w:rFonts w:cs="Times New Roman"/>
          <w:sz w:val="18"/>
          <w:szCs w:val="18"/>
          <w:lang w:bidi="ar"/>
        </w:rPr>
        <w:t>S</w:t>
      </w:r>
      <w:r>
        <w:rPr>
          <w:rFonts w:hint="eastAsia" w:cs="Times New Roman"/>
          <w:sz w:val="18"/>
          <w:szCs w:val="18"/>
          <w:lang w:bidi="ar"/>
        </w:rPr>
        <w:t>），公用设施用地（</w:t>
      </w:r>
      <w:r>
        <w:rPr>
          <w:rFonts w:cs="Times New Roman"/>
          <w:sz w:val="18"/>
          <w:szCs w:val="18"/>
          <w:lang w:bidi="ar"/>
        </w:rPr>
        <w:t>U</w:t>
      </w:r>
      <w:r>
        <w:rPr>
          <w:rFonts w:hint="eastAsia" w:cs="Times New Roman"/>
          <w:sz w:val="18"/>
          <w:szCs w:val="18"/>
          <w:lang w:bidi="ar"/>
        </w:rPr>
        <w:t>），公共管理与公共服务用地（</w:t>
      </w:r>
      <w:r>
        <w:rPr>
          <w:rFonts w:cs="Times New Roman"/>
          <w:sz w:val="18"/>
          <w:szCs w:val="18"/>
          <w:lang w:bidi="ar"/>
        </w:rPr>
        <w:t>A</w:t>
      </w:r>
      <w:r>
        <w:rPr>
          <w:rFonts w:hint="eastAsia" w:cs="Times New Roman"/>
          <w:sz w:val="18"/>
          <w:szCs w:val="18"/>
          <w:lang w:bidi="ar"/>
        </w:rPr>
        <w:t>）（</w:t>
      </w:r>
      <w:r>
        <w:rPr>
          <w:rFonts w:cs="Times New Roman"/>
          <w:sz w:val="18"/>
          <w:szCs w:val="18"/>
          <w:lang w:bidi="ar"/>
        </w:rPr>
        <w:t>A33</w:t>
      </w:r>
      <w:r>
        <w:rPr>
          <w:rFonts w:hint="eastAsia" w:cs="Times New Roman"/>
          <w:sz w:val="18"/>
          <w:szCs w:val="18"/>
          <w:lang w:bidi="ar"/>
        </w:rPr>
        <w:t>、</w:t>
      </w:r>
      <w:r>
        <w:rPr>
          <w:rFonts w:cs="Times New Roman"/>
          <w:sz w:val="18"/>
          <w:szCs w:val="18"/>
          <w:lang w:bidi="ar"/>
        </w:rPr>
        <w:t>A5</w:t>
      </w:r>
      <w:r>
        <w:rPr>
          <w:rFonts w:hint="eastAsia" w:cs="Times New Roman"/>
          <w:sz w:val="18"/>
          <w:szCs w:val="18"/>
          <w:lang w:bidi="ar"/>
        </w:rPr>
        <w:t>、</w:t>
      </w:r>
      <w:r>
        <w:rPr>
          <w:rFonts w:cs="Times New Roman"/>
          <w:sz w:val="18"/>
          <w:szCs w:val="18"/>
          <w:lang w:bidi="ar"/>
        </w:rPr>
        <w:t>A6</w:t>
      </w:r>
      <w:r>
        <w:rPr>
          <w:rFonts w:hint="eastAsia" w:cs="Times New Roman"/>
          <w:sz w:val="18"/>
          <w:szCs w:val="18"/>
          <w:lang w:bidi="ar"/>
        </w:rPr>
        <w:t>除外），以及绿地与广场用地（</w:t>
      </w:r>
      <w:r>
        <w:rPr>
          <w:rFonts w:cs="Times New Roman"/>
          <w:sz w:val="18"/>
          <w:szCs w:val="18"/>
          <w:lang w:bidi="ar"/>
        </w:rPr>
        <w:t>G</w:t>
      </w:r>
      <w:r>
        <w:rPr>
          <w:rFonts w:hint="eastAsia" w:cs="Times New Roman"/>
          <w:sz w:val="18"/>
          <w:szCs w:val="18"/>
          <w:lang w:bidi="ar"/>
        </w:rPr>
        <w:t>）（</w:t>
      </w:r>
      <w:r>
        <w:rPr>
          <w:rFonts w:cs="Times New Roman"/>
          <w:sz w:val="18"/>
          <w:szCs w:val="18"/>
          <w:lang w:bidi="ar"/>
        </w:rPr>
        <w:t>G1</w:t>
      </w:r>
      <w:r>
        <w:rPr>
          <w:rFonts w:hint="eastAsia" w:cs="Times New Roman"/>
          <w:sz w:val="18"/>
          <w:szCs w:val="18"/>
          <w:lang w:bidi="ar"/>
        </w:rPr>
        <w:t>中的社区公园或儿童公园用地除外）等。</w:t>
      </w:r>
    </w:p>
    <w:p w14:paraId="5D4DCDE5">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 xml:space="preserve">表1.7-6  </w:t>
      </w:r>
      <w:r>
        <w:rPr>
          <w:rFonts w:hint="eastAsia" w:cs="Times New Roman"/>
          <w:b/>
          <w:szCs w:val="24"/>
          <w14:ligatures w14:val="none"/>
        </w:rPr>
        <w:t>农用地土壤污染风险筛选值 单位：mg/kg</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598"/>
        <w:gridCol w:w="893"/>
        <w:gridCol w:w="1118"/>
        <w:gridCol w:w="1899"/>
        <w:gridCol w:w="1899"/>
        <w:gridCol w:w="1362"/>
      </w:tblGrid>
      <w:tr w14:paraId="22B60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442" w:type="pct"/>
            <w:vMerge w:val="restart"/>
            <w:vAlign w:val="center"/>
          </w:tcPr>
          <w:p w14:paraId="0CE0A3E2">
            <w:pPr>
              <w:spacing w:line="320" w:lineRule="exact"/>
              <w:ind w:firstLine="0" w:firstLineChars="0"/>
              <w:jc w:val="center"/>
              <w:rPr>
                <w:rFonts w:cs="Times New Roman"/>
                <w:b/>
                <w:bCs/>
                <w:sz w:val="21"/>
                <w:szCs w:val="21"/>
                <w14:ligatures w14:val="none"/>
              </w:rPr>
            </w:pPr>
            <w:r>
              <w:rPr>
                <w:rFonts w:hint="eastAsia" w:cs="Times New Roman"/>
                <w:b/>
                <w:bCs/>
                <w:sz w:val="21"/>
                <w:szCs w:val="21"/>
                <w14:ligatures w14:val="none"/>
              </w:rPr>
              <w:t>序号</w:t>
            </w:r>
          </w:p>
        </w:tc>
        <w:tc>
          <w:tcPr>
            <w:tcW w:w="875" w:type="pct"/>
            <w:gridSpan w:val="2"/>
            <w:vMerge w:val="restart"/>
            <w:vAlign w:val="center"/>
          </w:tcPr>
          <w:p w14:paraId="20FBD8D7">
            <w:pPr>
              <w:spacing w:line="320" w:lineRule="exact"/>
              <w:ind w:firstLine="0" w:firstLineChars="0"/>
              <w:jc w:val="center"/>
              <w:rPr>
                <w:rFonts w:cs="Times New Roman"/>
                <w:b/>
                <w:bCs/>
                <w:sz w:val="21"/>
                <w:szCs w:val="21"/>
                <w14:ligatures w14:val="none"/>
              </w:rPr>
            </w:pPr>
            <w:r>
              <w:rPr>
                <w:rFonts w:hint="eastAsia" w:cs="Times New Roman"/>
                <w:b/>
                <w:bCs/>
                <w:sz w:val="21"/>
                <w:szCs w:val="21"/>
                <w14:ligatures w14:val="none"/>
              </w:rPr>
              <w:t>污染物项目</w:t>
            </w:r>
          </w:p>
        </w:tc>
        <w:tc>
          <w:tcPr>
            <w:tcW w:w="3682" w:type="pct"/>
            <w:gridSpan w:val="4"/>
            <w:vAlign w:val="center"/>
          </w:tcPr>
          <w:p w14:paraId="78BA6B5F">
            <w:pPr>
              <w:spacing w:line="320" w:lineRule="exact"/>
              <w:ind w:firstLine="0" w:firstLineChars="0"/>
              <w:jc w:val="center"/>
              <w:rPr>
                <w:rFonts w:cs="Times New Roman"/>
                <w:b/>
                <w:bCs/>
                <w:sz w:val="21"/>
                <w:szCs w:val="21"/>
                <w14:ligatures w14:val="none"/>
              </w:rPr>
            </w:pPr>
            <w:r>
              <w:rPr>
                <w:rFonts w:hint="eastAsia" w:cs="Times New Roman"/>
                <w:b/>
                <w:bCs/>
                <w:sz w:val="21"/>
                <w:szCs w:val="21"/>
                <w14:ligatures w14:val="none"/>
              </w:rPr>
              <w:t>风险筛选值</w:t>
            </w:r>
          </w:p>
        </w:tc>
      </w:tr>
      <w:tr w14:paraId="24FFD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tblHeader/>
        </w:trPr>
        <w:tc>
          <w:tcPr>
            <w:tcW w:w="442" w:type="pct"/>
            <w:vMerge w:val="continue"/>
            <w:vAlign w:val="center"/>
          </w:tcPr>
          <w:p w14:paraId="3D77C2A4">
            <w:pPr>
              <w:spacing w:line="320" w:lineRule="exact"/>
              <w:ind w:firstLine="0" w:firstLineChars="0"/>
              <w:jc w:val="center"/>
              <w:rPr>
                <w:rFonts w:cs="Times New Roman"/>
                <w:b/>
                <w:bCs/>
                <w:sz w:val="21"/>
                <w:szCs w:val="21"/>
                <w14:ligatures w14:val="none"/>
              </w:rPr>
            </w:pPr>
          </w:p>
        </w:tc>
        <w:tc>
          <w:tcPr>
            <w:tcW w:w="875" w:type="pct"/>
            <w:gridSpan w:val="2"/>
            <w:vMerge w:val="continue"/>
            <w:vAlign w:val="center"/>
          </w:tcPr>
          <w:p w14:paraId="3672EA57">
            <w:pPr>
              <w:spacing w:line="320" w:lineRule="exact"/>
              <w:ind w:firstLine="0" w:firstLineChars="0"/>
              <w:jc w:val="center"/>
              <w:rPr>
                <w:rFonts w:cs="Times New Roman"/>
                <w:b/>
                <w:bCs/>
                <w:sz w:val="21"/>
                <w:szCs w:val="21"/>
                <w14:ligatures w14:val="none"/>
              </w:rPr>
            </w:pPr>
          </w:p>
        </w:tc>
        <w:tc>
          <w:tcPr>
            <w:tcW w:w="656" w:type="pct"/>
            <w:vAlign w:val="center"/>
          </w:tcPr>
          <w:p w14:paraId="7194E07F">
            <w:pPr>
              <w:spacing w:line="320" w:lineRule="exact"/>
              <w:ind w:firstLine="0" w:firstLineChars="0"/>
              <w:jc w:val="center"/>
              <w:rPr>
                <w:rFonts w:cs="Times New Roman"/>
                <w:b/>
                <w:bCs/>
                <w:sz w:val="21"/>
                <w:szCs w:val="21"/>
                <w14:ligatures w14:val="none"/>
              </w:rPr>
            </w:pPr>
            <w:r>
              <w:rPr>
                <w:rFonts w:hint="eastAsia" w:cs="Times New Roman"/>
                <w:b/>
                <w:bCs/>
                <w:sz w:val="21"/>
                <w:szCs w:val="21"/>
                <w14:ligatures w14:val="none"/>
              </w:rPr>
              <w:t>pH≤5.5</w:t>
            </w:r>
          </w:p>
        </w:tc>
        <w:tc>
          <w:tcPr>
            <w:tcW w:w="1114" w:type="pct"/>
            <w:vAlign w:val="center"/>
          </w:tcPr>
          <w:p w14:paraId="7775609E">
            <w:pPr>
              <w:spacing w:line="320" w:lineRule="exact"/>
              <w:ind w:firstLine="0" w:firstLineChars="0"/>
              <w:jc w:val="center"/>
              <w:rPr>
                <w:rFonts w:cs="Times New Roman"/>
                <w:b/>
                <w:bCs/>
                <w:sz w:val="21"/>
                <w:szCs w:val="21"/>
                <w14:ligatures w14:val="none"/>
              </w:rPr>
            </w:pPr>
            <w:r>
              <w:rPr>
                <w:rFonts w:hint="eastAsia" w:cs="Times New Roman"/>
                <w:b/>
                <w:bCs/>
                <w:sz w:val="21"/>
                <w:szCs w:val="21"/>
                <w14:ligatures w14:val="none"/>
              </w:rPr>
              <w:t>5.5＜pH≤6.5</w:t>
            </w:r>
          </w:p>
        </w:tc>
        <w:tc>
          <w:tcPr>
            <w:tcW w:w="1114" w:type="pct"/>
            <w:vAlign w:val="center"/>
          </w:tcPr>
          <w:p w14:paraId="6D089098">
            <w:pPr>
              <w:spacing w:line="320" w:lineRule="exact"/>
              <w:ind w:firstLine="0" w:firstLineChars="0"/>
              <w:jc w:val="center"/>
              <w:rPr>
                <w:rFonts w:cs="Times New Roman"/>
                <w:b/>
                <w:bCs/>
                <w:sz w:val="21"/>
                <w:szCs w:val="21"/>
                <w14:ligatures w14:val="none"/>
              </w:rPr>
            </w:pPr>
            <w:r>
              <w:rPr>
                <w:rFonts w:hint="eastAsia" w:cs="Times New Roman"/>
                <w:b/>
                <w:bCs/>
                <w:sz w:val="21"/>
                <w:szCs w:val="21"/>
                <w14:ligatures w14:val="none"/>
              </w:rPr>
              <w:t>6.5＜pH≤7.5</w:t>
            </w:r>
          </w:p>
        </w:tc>
        <w:tc>
          <w:tcPr>
            <w:tcW w:w="799" w:type="pct"/>
            <w:vAlign w:val="center"/>
          </w:tcPr>
          <w:p w14:paraId="7CA01984">
            <w:pPr>
              <w:spacing w:line="320" w:lineRule="exact"/>
              <w:ind w:firstLine="0" w:firstLineChars="0"/>
              <w:jc w:val="center"/>
              <w:rPr>
                <w:rFonts w:cs="Times New Roman"/>
                <w:b/>
                <w:bCs/>
                <w:sz w:val="21"/>
                <w:szCs w:val="21"/>
                <w14:ligatures w14:val="none"/>
              </w:rPr>
            </w:pPr>
            <w:r>
              <w:rPr>
                <w:rFonts w:hint="eastAsia" w:cs="Times New Roman"/>
                <w:b/>
                <w:bCs/>
                <w:sz w:val="21"/>
                <w:szCs w:val="21"/>
                <w14:ligatures w14:val="none"/>
              </w:rPr>
              <w:t>pH＞7.5</w:t>
            </w:r>
          </w:p>
        </w:tc>
      </w:tr>
      <w:tr w14:paraId="7D8EB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2" w:type="pct"/>
            <w:vMerge w:val="restart"/>
            <w:vAlign w:val="center"/>
          </w:tcPr>
          <w:p w14:paraId="061C218F">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w:t>
            </w:r>
          </w:p>
        </w:tc>
        <w:tc>
          <w:tcPr>
            <w:tcW w:w="351" w:type="pct"/>
            <w:vMerge w:val="restart"/>
            <w:vAlign w:val="center"/>
          </w:tcPr>
          <w:p w14:paraId="00402027">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镉</w:t>
            </w:r>
          </w:p>
        </w:tc>
        <w:tc>
          <w:tcPr>
            <w:tcW w:w="524" w:type="pct"/>
            <w:vAlign w:val="center"/>
          </w:tcPr>
          <w:p w14:paraId="371E2A4C">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水田</w:t>
            </w:r>
          </w:p>
        </w:tc>
        <w:tc>
          <w:tcPr>
            <w:tcW w:w="656" w:type="pct"/>
            <w:vAlign w:val="center"/>
          </w:tcPr>
          <w:p w14:paraId="1B496CF2">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0.3</w:t>
            </w:r>
          </w:p>
        </w:tc>
        <w:tc>
          <w:tcPr>
            <w:tcW w:w="1114" w:type="pct"/>
            <w:vAlign w:val="center"/>
          </w:tcPr>
          <w:p w14:paraId="6AE53EC7">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0.4</w:t>
            </w:r>
          </w:p>
        </w:tc>
        <w:tc>
          <w:tcPr>
            <w:tcW w:w="1114" w:type="pct"/>
            <w:vAlign w:val="center"/>
          </w:tcPr>
          <w:p w14:paraId="77A64157">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0.6</w:t>
            </w:r>
          </w:p>
        </w:tc>
        <w:tc>
          <w:tcPr>
            <w:tcW w:w="799" w:type="pct"/>
            <w:vAlign w:val="center"/>
          </w:tcPr>
          <w:p w14:paraId="402599EC">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0.8</w:t>
            </w:r>
          </w:p>
        </w:tc>
      </w:tr>
      <w:tr w14:paraId="2F89B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2" w:type="pct"/>
            <w:vMerge w:val="continue"/>
            <w:vAlign w:val="center"/>
          </w:tcPr>
          <w:p w14:paraId="67B01313">
            <w:pPr>
              <w:spacing w:line="320" w:lineRule="exact"/>
              <w:ind w:firstLine="0" w:firstLineChars="0"/>
              <w:jc w:val="center"/>
              <w:rPr>
                <w:rFonts w:cs="Times New Roman"/>
                <w:sz w:val="21"/>
                <w:szCs w:val="21"/>
                <w14:ligatures w14:val="none"/>
              </w:rPr>
            </w:pPr>
          </w:p>
        </w:tc>
        <w:tc>
          <w:tcPr>
            <w:tcW w:w="351" w:type="pct"/>
            <w:vMerge w:val="continue"/>
            <w:vAlign w:val="center"/>
          </w:tcPr>
          <w:p w14:paraId="68D8BCCE">
            <w:pPr>
              <w:spacing w:line="320" w:lineRule="exact"/>
              <w:ind w:firstLine="0" w:firstLineChars="0"/>
              <w:jc w:val="center"/>
              <w:rPr>
                <w:rFonts w:cs="Times New Roman"/>
                <w:sz w:val="21"/>
                <w:szCs w:val="21"/>
                <w14:ligatures w14:val="none"/>
              </w:rPr>
            </w:pPr>
          </w:p>
        </w:tc>
        <w:tc>
          <w:tcPr>
            <w:tcW w:w="524" w:type="pct"/>
            <w:vAlign w:val="center"/>
          </w:tcPr>
          <w:p w14:paraId="5DD0232B">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其他</w:t>
            </w:r>
          </w:p>
        </w:tc>
        <w:tc>
          <w:tcPr>
            <w:tcW w:w="656" w:type="pct"/>
            <w:vAlign w:val="center"/>
          </w:tcPr>
          <w:p w14:paraId="14E21DE3">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0.3</w:t>
            </w:r>
          </w:p>
        </w:tc>
        <w:tc>
          <w:tcPr>
            <w:tcW w:w="1114" w:type="pct"/>
            <w:vAlign w:val="center"/>
          </w:tcPr>
          <w:p w14:paraId="41A14B35">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0.3</w:t>
            </w:r>
          </w:p>
        </w:tc>
        <w:tc>
          <w:tcPr>
            <w:tcW w:w="1114" w:type="pct"/>
            <w:vAlign w:val="center"/>
          </w:tcPr>
          <w:p w14:paraId="63CEFD81">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0.3</w:t>
            </w:r>
          </w:p>
        </w:tc>
        <w:tc>
          <w:tcPr>
            <w:tcW w:w="799" w:type="pct"/>
            <w:vAlign w:val="center"/>
          </w:tcPr>
          <w:p w14:paraId="16E0221F">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0.6</w:t>
            </w:r>
          </w:p>
        </w:tc>
      </w:tr>
      <w:tr w14:paraId="3FB0C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2" w:type="pct"/>
            <w:vMerge w:val="restart"/>
            <w:vAlign w:val="center"/>
          </w:tcPr>
          <w:p w14:paraId="50CE8C01">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w:t>
            </w:r>
          </w:p>
        </w:tc>
        <w:tc>
          <w:tcPr>
            <w:tcW w:w="351" w:type="pct"/>
            <w:vMerge w:val="restart"/>
            <w:vAlign w:val="center"/>
          </w:tcPr>
          <w:p w14:paraId="1EDDDE4D">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汞</w:t>
            </w:r>
          </w:p>
        </w:tc>
        <w:tc>
          <w:tcPr>
            <w:tcW w:w="524" w:type="pct"/>
            <w:vAlign w:val="center"/>
          </w:tcPr>
          <w:p w14:paraId="40A604F1">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水田</w:t>
            </w:r>
          </w:p>
        </w:tc>
        <w:tc>
          <w:tcPr>
            <w:tcW w:w="656" w:type="pct"/>
            <w:vAlign w:val="center"/>
          </w:tcPr>
          <w:p w14:paraId="3C186AA4">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0.5</w:t>
            </w:r>
          </w:p>
        </w:tc>
        <w:tc>
          <w:tcPr>
            <w:tcW w:w="1114" w:type="pct"/>
            <w:vAlign w:val="center"/>
          </w:tcPr>
          <w:p w14:paraId="0FBFEE4C">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0.5</w:t>
            </w:r>
          </w:p>
        </w:tc>
        <w:tc>
          <w:tcPr>
            <w:tcW w:w="1114" w:type="pct"/>
            <w:vAlign w:val="center"/>
          </w:tcPr>
          <w:p w14:paraId="51258F7B">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0.6</w:t>
            </w:r>
          </w:p>
        </w:tc>
        <w:tc>
          <w:tcPr>
            <w:tcW w:w="799" w:type="pct"/>
            <w:vAlign w:val="center"/>
          </w:tcPr>
          <w:p w14:paraId="28FE5287">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w:t>
            </w:r>
          </w:p>
        </w:tc>
      </w:tr>
      <w:tr w14:paraId="77D76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2" w:type="pct"/>
            <w:vMerge w:val="continue"/>
            <w:vAlign w:val="center"/>
          </w:tcPr>
          <w:p w14:paraId="7CCE3384">
            <w:pPr>
              <w:spacing w:line="320" w:lineRule="exact"/>
              <w:ind w:firstLine="0" w:firstLineChars="0"/>
              <w:jc w:val="center"/>
              <w:rPr>
                <w:rFonts w:cs="Times New Roman"/>
                <w:sz w:val="21"/>
                <w:szCs w:val="21"/>
                <w14:ligatures w14:val="none"/>
              </w:rPr>
            </w:pPr>
          </w:p>
        </w:tc>
        <w:tc>
          <w:tcPr>
            <w:tcW w:w="351" w:type="pct"/>
            <w:vMerge w:val="continue"/>
            <w:vAlign w:val="center"/>
          </w:tcPr>
          <w:p w14:paraId="0D9B4378">
            <w:pPr>
              <w:spacing w:line="320" w:lineRule="exact"/>
              <w:ind w:firstLine="0" w:firstLineChars="0"/>
              <w:jc w:val="center"/>
              <w:rPr>
                <w:rFonts w:cs="Times New Roman"/>
                <w:sz w:val="21"/>
                <w:szCs w:val="21"/>
                <w14:ligatures w14:val="none"/>
              </w:rPr>
            </w:pPr>
          </w:p>
        </w:tc>
        <w:tc>
          <w:tcPr>
            <w:tcW w:w="524" w:type="pct"/>
            <w:vAlign w:val="center"/>
          </w:tcPr>
          <w:p w14:paraId="18781775">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其他</w:t>
            </w:r>
          </w:p>
        </w:tc>
        <w:tc>
          <w:tcPr>
            <w:tcW w:w="656" w:type="pct"/>
            <w:vAlign w:val="center"/>
          </w:tcPr>
          <w:p w14:paraId="52289435">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1.3</w:t>
            </w:r>
          </w:p>
        </w:tc>
        <w:tc>
          <w:tcPr>
            <w:tcW w:w="1114" w:type="pct"/>
            <w:vAlign w:val="center"/>
          </w:tcPr>
          <w:p w14:paraId="79CA91A3">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1.8</w:t>
            </w:r>
          </w:p>
        </w:tc>
        <w:tc>
          <w:tcPr>
            <w:tcW w:w="1114" w:type="pct"/>
            <w:vAlign w:val="center"/>
          </w:tcPr>
          <w:p w14:paraId="6B4218FE">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2.4</w:t>
            </w:r>
          </w:p>
        </w:tc>
        <w:tc>
          <w:tcPr>
            <w:tcW w:w="799" w:type="pct"/>
            <w:vAlign w:val="center"/>
          </w:tcPr>
          <w:p w14:paraId="61C5AF00">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3.4</w:t>
            </w:r>
          </w:p>
        </w:tc>
      </w:tr>
      <w:tr w14:paraId="6F5EC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2" w:type="pct"/>
            <w:vMerge w:val="restart"/>
            <w:vAlign w:val="center"/>
          </w:tcPr>
          <w:p w14:paraId="1EA543B6">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3</w:t>
            </w:r>
          </w:p>
        </w:tc>
        <w:tc>
          <w:tcPr>
            <w:tcW w:w="351" w:type="pct"/>
            <w:vMerge w:val="restart"/>
            <w:vAlign w:val="center"/>
          </w:tcPr>
          <w:p w14:paraId="45235B15">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砷</w:t>
            </w:r>
          </w:p>
        </w:tc>
        <w:tc>
          <w:tcPr>
            <w:tcW w:w="524" w:type="pct"/>
            <w:vAlign w:val="center"/>
          </w:tcPr>
          <w:p w14:paraId="786A16C8">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水田</w:t>
            </w:r>
          </w:p>
        </w:tc>
        <w:tc>
          <w:tcPr>
            <w:tcW w:w="656" w:type="pct"/>
            <w:vAlign w:val="center"/>
          </w:tcPr>
          <w:p w14:paraId="18F8F4EA">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30</w:t>
            </w:r>
          </w:p>
        </w:tc>
        <w:tc>
          <w:tcPr>
            <w:tcW w:w="1114" w:type="pct"/>
            <w:vAlign w:val="center"/>
          </w:tcPr>
          <w:p w14:paraId="21D86B09">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30</w:t>
            </w:r>
          </w:p>
        </w:tc>
        <w:tc>
          <w:tcPr>
            <w:tcW w:w="1114" w:type="pct"/>
            <w:vAlign w:val="center"/>
          </w:tcPr>
          <w:p w14:paraId="068EEA53">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25</w:t>
            </w:r>
          </w:p>
        </w:tc>
        <w:tc>
          <w:tcPr>
            <w:tcW w:w="799" w:type="pct"/>
            <w:vAlign w:val="center"/>
          </w:tcPr>
          <w:p w14:paraId="33C03284">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20</w:t>
            </w:r>
          </w:p>
        </w:tc>
      </w:tr>
      <w:tr w14:paraId="4BB56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2" w:type="pct"/>
            <w:vMerge w:val="continue"/>
            <w:vAlign w:val="center"/>
          </w:tcPr>
          <w:p w14:paraId="22E81A7B">
            <w:pPr>
              <w:spacing w:line="320" w:lineRule="exact"/>
              <w:ind w:firstLine="0" w:firstLineChars="0"/>
              <w:jc w:val="center"/>
              <w:rPr>
                <w:rFonts w:cs="Times New Roman"/>
                <w:sz w:val="21"/>
                <w:szCs w:val="21"/>
                <w14:ligatures w14:val="none"/>
              </w:rPr>
            </w:pPr>
          </w:p>
        </w:tc>
        <w:tc>
          <w:tcPr>
            <w:tcW w:w="351" w:type="pct"/>
            <w:vMerge w:val="continue"/>
            <w:vAlign w:val="center"/>
          </w:tcPr>
          <w:p w14:paraId="3D4CA2B2">
            <w:pPr>
              <w:spacing w:line="320" w:lineRule="exact"/>
              <w:ind w:firstLine="0" w:firstLineChars="0"/>
              <w:jc w:val="center"/>
              <w:rPr>
                <w:rFonts w:cs="Times New Roman"/>
                <w:sz w:val="21"/>
                <w:szCs w:val="21"/>
                <w14:ligatures w14:val="none"/>
              </w:rPr>
            </w:pPr>
          </w:p>
        </w:tc>
        <w:tc>
          <w:tcPr>
            <w:tcW w:w="524" w:type="pct"/>
            <w:vAlign w:val="center"/>
          </w:tcPr>
          <w:p w14:paraId="400A617A">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其他</w:t>
            </w:r>
          </w:p>
        </w:tc>
        <w:tc>
          <w:tcPr>
            <w:tcW w:w="656" w:type="pct"/>
            <w:vAlign w:val="center"/>
          </w:tcPr>
          <w:p w14:paraId="694A64DA">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40</w:t>
            </w:r>
          </w:p>
        </w:tc>
        <w:tc>
          <w:tcPr>
            <w:tcW w:w="1114" w:type="pct"/>
            <w:vAlign w:val="center"/>
          </w:tcPr>
          <w:p w14:paraId="660BEFBC">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40</w:t>
            </w:r>
          </w:p>
        </w:tc>
        <w:tc>
          <w:tcPr>
            <w:tcW w:w="1114" w:type="pct"/>
            <w:vAlign w:val="center"/>
          </w:tcPr>
          <w:p w14:paraId="72F8F8C1">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30</w:t>
            </w:r>
          </w:p>
        </w:tc>
        <w:tc>
          <w:tcPr>
            <w:tcW w:w="799" w:type="pct"/>
            <w:vAlign w:val="center"/>
          </w:tcPr>
          <w:p w14:paraId="546BEECF">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25</w:t>
            </w:r>
          </w:p>
        </w:tc>
      </w:tr>
      <w:tr w14:paraId="4B402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2" w:type="pct"/>
            <w:vMerge w:val="restart"/>
            <w:vAlign w:val="center"/>
          </w:tcPr>
          <w:p w14:paraId="0A5206DB">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4</w:t>
            </w:r>
          </w:p>
        </w:tc>
        <w:tc>
          <w:tcPr>
            <w:tcW w:w="351" w:type="pct"/>
            <w:vMerge w:val="restart"/>
            <w:vAlign w:val="center"/>
          </w:tcPr>
          <w:p w14:paraId="07DDAEFE">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铅</w:t>
            </w:r>
          </w:p>
        </w:tc>
        <w:tc>
          <w:tcPr>
            <w:tcW w:w="524" w:type="pct"/>
            <w:vAlign w:val="center"/>
          </w:tcPr>
          <w:p w14:paraId="5E8EF8EC">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水田</w:t>
            </w:r>
          </w:p>
        </w:tc>
        <w:tc>
          <w:tcPr>
            <w:tcW w:w="656" w:type="pct"/>
            <w:vAlign w:val="center"/>
          </w:tcPr>
          <w:p w14:paraId="2DF06DD9">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80</w:t>
            </w:r>
          </w:p>
        </w:tc>
        <w:tc>
          <w:tcPr>
            <w:tcW w:w="1114" w:type="pct"/>
            <w:vAlign w:val="center"/>
          </w:tcPr>
          <w:p w14:paraId="7BB2D7D3">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100</w:t>
            </w:r>
          </w:p>
        </w:tc>
        <w:tc>
          <w:tcPr>
            <w:tcW w:w="1114" w:type="pct"/>
            <w:vAlign w:val="center"/>
          </w:tcPr>
          <w:p w14:paraId="170EAA1F">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140</w:t>
            </w:r>
          </w:p>
        </w:tc>
        <w:tc>
          <w:tcPr>
            <w:tcW w:w="799" w:type="pct"/>
            <w:vAlign w:val="center"/>
          </w:tcPr>
          <w:p w14:paraId="28A13377">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240</w:t>
            </w:r>
          </w:p>
        </w:tc>
      </w:tr>
      <w:tr w14:paraId="3FA9B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2" w:type="pct"/>
            <w:vMerge w:val="continue"/>
            <w:vAlign w:val="center"/>
          </w:tcPr>
          <w:p w14:paraId="77D7942F">
            <w:pPr>
              <w:spacing w:line="320" w:lineRule="exact"/>
              <w:ind w:firstLine="0" w:firstLineChars="0"/>
              <w:jc w:val="center"/>
              <w:rPr>
                <w:rFonts w:cs="Times New Roman"/>
                <w:sz w:val="21"/>
                <w:szCs w:val="21"/>
                <w14:ligatures w14:val="none"/>
              </w:rPr>
            </w:pPr>
          </w:p>
        </w:tc>
        <w:tc>
          <w:tcPr>
            <w:tcW w:w="351" w:type="pct"/>
            <w:vMerge w:val="continue"/>
            <w:vAlign w:val="center"/>
          </w:tcPr>
          <w:p w14:paraId="245CCC35">
            <w:pPr>
              <w:spacing w:line="320" w:lineRule="exact"/>
              <w:ind w:firstLine="0" w:firstLineChars="0"/>
              <w:jc w:val="center"/>
              <w:rPr>
                <w:rFonts w:cs="Times New Roman"/>
                <w:sz w:val="21"/>
                <w:szCs w:val="21"/>
                <w14:ligatures w14:val="none"/>
              </w:rPr>
            </w:pPr>
          </w:p>
        </w:tc>
        <w:tc>
          <w:tcPr>
            <w:tcW w:w="524" w:type="pct"/>
            <w:vAlign w:val="center"/>
          </w:tcPr>
          <w:p w14:paraId="1712CDEB">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其他</w:t>
            </w:r>
          </w:p>
        </w:tc>
        <w:tc>
          <w:tcPr>
            <w:tcW w:w="656" w:type="pct"/>
            <w:vAlign w:val="center"/>
          </w:tcPr>
          <w:p w14:paraId="477280D8">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70</w:t>
            </w:r>
          </w:p>
        </w:tc>
        <w:tc>
          <w:tcPr>
            <w:tcW w:w="1114" w:type="pct"/>
            <w:vAlign w:val="center"/>
          </w:tcPr>
          <w:p w14:paraId="0EC5BB75">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90</w:t>
            </w:r>
          </w:p>
        </w:tc>
        <w:tc>
          <w:tcPr>
            <w:tcW w:w="1114" w:type="pct"/>
            <w:vAlign w:val="center"/>
          </w:tcPr>
          <w:p w14:paraId="52B53AF0">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120</w:t>
            </w:r>
          </w:p>
        </w:tc>
        <w:tc>
          <w:tcPr>
            <w:tcW w:w="799" w:type="pct"/>
            <w:vAlign w:val="center"/>
          </w:tcPr>
          <w:p w14:paraId="0DA2F550">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170</w:t>
            </w:r>
          </w:p>
        </w:tc>
      </w:tr>
      <w:tr w14:paraId="57201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2" w:type="pct"/>
            <w:vMerge w:val="restart"/>
            <w:vAlign w:val="center"/>
          </w:tcPr>
          <w:p w14:paraId="6CAAE5B0">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5</w:t>
            </w:r>
          </w:p>
        </w:tc>
        <w:tc>
          <w:tcPr>
            <w:tcW w:w="351" w:type="pct"/>
            <w:vMerge w:val="restart"/>
            <w:vAlign w:val="center"/>
          </w:tcPr>
          <w:p w14:paraId="733A9436">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铬</w:t>
            </w:r>
          </w:p>
        </w:tc>
        <w:tc>
          <w:tcPr>
            <w:tcW w:w="524" w:type="pct"/>
            <w:vAlign w:val="center"/>
          </w:tcPr>
          <w:p w14:paraId="2954BE73">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水田</w:t>
            </w:r>
          </w:p>
        </w:tc>
        <w:tc>
          <w:tcPr>
            <w:tcW w:w="656" w:type="pct"/>
            <w:vAlign w:val="center"/>
          </w:tcPr>
          <w:p w14:paraId="331B0BBC">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250</w:t>
            </w:r>
          </w:p>
        </w:tc>
        <w:tc>
          <w:tcPr>
            <w:tcW w:w="1114" w:type="pct"/>
            <w:vAlign w:val="center"/>
          </w:tcPr>
          <w:p w14:paraId="2F9DE97D">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250</w:t>
            </w:r>
          </w:p>
        </w:tc>
        <w:tc>
          <w:tcPr>
            <w:tcW w:w="1114" w:type="pct"/>
            <w:vAlign w:val="center"/>
          </w:tcPr>
          <w:p w14:paraId="5813311B">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300</w:t>
            </w:r>
          </w:p>
        </w:tc>
        <w:tc>
          <w:tcPr>
            <w:tcW w:w="799" w:type="pct"/>
            <w:vAlign w:val="center"/>
          </w:tcPr>
          <w:p w14:paraId="734FCAB2">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350</w:t>
            </w:r>
          </w:p>
        </w:tc>
      </w:tr>
      <w:tr w14:paraId="2F683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2" w:type="pct"/>
            <w:vMerge w:val="continue"/>
            <w:vAlign w:val="center"/>
          </w:tcPr>
          <w:p w14:paraId="04712631">
            <w:pPr>
              <w:spacing w:line="320" w:lineRule="exact"/>
              <w:ind w:firstLine="0" w:firstLineChars="0"/>
              <w:jc w:val="center"/>
              <w:rPr>
                <w:rFonts w:cs="Times New Roman"/>
                <w:sz w:val="21"/>
                <w:szCs w:val="21"/>
                <w14:ligatures w14:val="none"/>
              </w:rPr>
            </w:pPr>
          </w:p>
        </w:tc>
        <w:tc>
          <w:tcPr>
            <w:tcW w:w="351" w:type="pct"/>
            <w:vMerge w:val="continue"/>
            <w:vAlign w:val="center"/>
          </w:tcPr>
          <w:p w14:paraId="03D2D9CE">
            <w:pPr>
              <w:spacing w:line="320" w:lineRule="exact"/>
              <w:ind w:firstLine="0" w:firstLineChars="0"/>
              <w:jc w:val="center"/>
              <w:rPr>
                <w:rFonts w:cs="Times New Roman"/>
                <w:sz w:val="21"/>
                <w:szCs w:val="21"/>
                <w14:ligatures w14:val="none"/>
              </w:rPr>
            </w:pPr>
          </w:p>
        </w:tc>
        <w:tc>
          <w:tcPr>
            <w:tcW w:w="524" w:type="pct"/>
            <w:vAlign w:val="center"/>
          </w:tcPr>
          <w:p w14:paraId="4AFA698F">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其他</w:t>
            </w:r>
          </w:p>
        </w:tc>
        <w:tc>
          <w:tcPr>
            <w:tcW w:w="656" w:type="pct"/>
            <w:vAlign w:val="center"/>
          </w:tcPr>
          <w:p w14:paraId="03B075DC">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150</w:t>
            </w:r>
          </w:p>
        </w:tc>
        <w:tc>
          <w:tcPr>
            <w:tcW w:w="1114" w:type="pct"/>
            <w:vAlign w:val="center"/>
          </w:tcPr>
          <w:p w14:paraId="23A62369">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150</w:t>
            </w:r>
          </w:p>
        </w:tc>
        <w:tc>
          <w:tcPr>
            <w:tcW w:w="1114" w:type="pct"/>
            <w:vAlign w:val="center"/>
          </w:tcPr>
          <w:p w14:paraId="37A9263F">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200</w:t>
            </w:r>
          </w:p>
        </w:tc>
        <w:tc>
          <w:tcPr>
            <w:tcW w:w="799" w:type="pct"/>
            <w:vAlign w:val="center"/>
          </w:tcPr>
          <w:p w14:paraId="6F2D1414">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250</w:t>
            </w:r>
          </w:p>
        </w:tc>
      </w:tr>
      <w:tr w14:paraId="141A1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trPr>
        <w:tc>
          <w:tcPr>
            <w:tcW w:w="442" w:type="pct"/>
            <w:vMerge w:val="restart"/>
            <w:vAlign w:val="center"/>
          </w:tcPr>
          <w:p w14:paraId="4B36A3B1">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6</w:t>
            </w:r>
          </w:p>
        </w:tc>
        <w:tc>
          <w:tcPr>
            <w:tcW w:w="351" w:type="pct"/>
            <w:vMerge w:val="restart"/>
            <w:vAlign w:val="center"/>
          </w:tcPr>
          <w:p w14:paraId="0A329AAA">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铜</w:t>
            </w:r>
          </w:p>
        </w:tc>
        <w:tc>
          <w:tcPr>
            <w:tcW w:w="524" w:type="pct"/>
            <w:vAlign w:val="center"/>
          </w:tcPr>
          <w:p w14:paraId="52642BAC">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水田</w:t>
            </w:r>
          </w:p>
        </w:tc>
        <w:tc>
          <w:tcPr>
            <w:tcW w:w="656" w:type="pct"/>
            <w:vAlign w:val="center"/>
          </w:tcPr>
          <w:p w14:paraId="67EC3D00">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150</w:t>
            </w:r>
          </w:p>
        </w:tc>
        <w:tc>
          <w:tcPr>
            <w:tcW w:w="1114" w:type="pct"/>
            <w:vAlign w:val="center"/>
          </w:tcPr>
          <w:p w14:paraId="6CED08D5">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150</w:t>
            </w:r>
          </w:p>
        </w:tc>
        <w:tc>
          <w:tcPr>
            <w:tcW w:w="1114" w:type="pct"/>
            <w:vAlign w:val="center"/>
          </w:tcPr>
          <w:p w14:paraId="5C78B96E">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200</w:t>
            </w:r>
          </w:p>
        </w:tc>
        <w:tc>
          <w:tcPr>
            <w:tcW w:w="799" w:type="pct"/>
            <w:vAlign w:val="center"/>
          </w:tcPr>
          <w:p w14:paraId="1E6E9A16">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200</w:t>
            </w:r>
          </w:p>
        </w:tc>
      </w:tr>
      <w:tr w14:paraId="7BD8B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2" w:type="pct"/>
            <w:vMerge w:val="continue"/>
            <w:vAlign w:val="center"/>
          </w:tcPr>
          <w:p w14:paraId="47284287">
            <w:pPr>
              <w:spacing w:line="320" w:lineRule="exact"/>
              <w:ind w:firstLine="0" w:firstLineChars="0"/>
              <w:jc w:val="center"/>
              <w:rPr>
                <w:rFonts w:cs="Times New Roman"/>
                <w:sz w:val="21"/>
                <w:szCs w:val="21"/>
                <w14:ligatures w14:val="none"/>
              </w:rPr>
            </w:pPr>
          </w:p>
        </w:tc>
        <w:tc>
          <w:tcPr>
            <w:tcW w:w="351" w:type="pct"/>
            <w:vMerge w:val="continue"/>
            <w:vAlign w:val="center"/>
          </w:tcPr>
          <w:p w14:paraId="6E8D02F7">
            <w:pPr>
              <w:spacing w:line="320" w:lineRule="exact"/>
              <w:ind w:firstLine="0" w:firstLineChars="0"/>
              <w:jc w:val="center"/>
              <w:rPr>
                <w:rFonts w:cs="Times New Roman"/>
                <w:sz w:val="21"/>
                <w:szCs w:val="21"/>
                <w14:ligatures w14:val="none"/>
              </w:rPr>
            </w:pPr>
          </w:p>
        </w:tc>
        <w:tc>
          <w:tcPr>
            <w:tcW w:w="524" w:type="pct"/>
            <w:vAlign w:val="center"/>
          </w:tcPr>
          <w:p w14:paraId="32B7BA56">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其他</w:t>
            </w:r>
          </w:p>
        </w:tc>
        <w:tc>
          <w:tcPr>
            <w:tcW w:w="656" w:type="pct"/>
            <w:vAlign w:val="center"/>
          </w:tcPr>
          <w:p w14:paraId="4D7451C7">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50</w:t>
            </w:r>
          </w:p>
        </w:tc>
        <w:tc>
          <w:tcPr>
            <w:tcW w:w="1114" w:type="pct"/>
            <w:vAlign w:val="center"/>
          </w:tcPr>
          <w:p w14:paraId="027225A6">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50</w:t>
            </w:r>
          </w:p>
        </w:tc>
        <w:tc>
          <w:tcPr>
            <w:tcW w:w="1114" w:type="pct"/>
            <w:vAlign w:val="center"/>
          </w:tcPr>
          <w:p w14:paraId="701B096C">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100</w:t>
            </w:r>
          </w:p>
        </w:tc>
        <w:tc>
          <w:tcPr>
            <w:tcW w:w="799" w:type="pct"/>
            <w:vAlign w:val="center"/>
          </w:tcPr>
          <w:p w14:paraId="58457650">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100</w:t>
            </w:r>
          </w:p>
        </w:tc>
      </w:tr>
      <w:tr w14:paraId="57A28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2" w:type="pct"/>
            <w:vAlign w:val="center"/>
          </w:tcPr>
          <w:p w14:paraId="4339583F">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7</w:t>
            </w:r>
          </w:p>
        </w:tc>
        <w:tc>
          <w:tcPr>
            <w:tcW w:w="875" w:type="pct"/>
            <w:gridSpan w:val="2"/>
            <w:vAlign w:val="center"/>
          </w:tcPr>
          <w:p w14:paraId="09FB3D56">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镍</w:t>
            </w:r>
          </w:p>
        </w:tc>
        <w:tc>
          <w:tcPr>
            <w:tcW w:w="656" w:type="pct"/>
            <w:vAlign w:val="center"/>
          </w:tcPr>
          <w:p w14:paraId="066CB48F">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60</w:t>
            </w:r>
          </w:p>
        </w:tc>
        <w:tc>
          <w:tcPr>
            <w:tcW w:w="1114" w:type="pct"/>
            <w:vAlign w:val="center"/>
          </w:tcPr>
          <w:p w14:paraId="13577ACA">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70</w:t>
            </w:r>
          </w:p>
        </w:tc>
        <w:tc>
          <w:tcPr>
            <w:tcW w:w="1114" w:type="pct"/>
            <w:vAlign w:val="center"/>
          </w:tcPr>
          <w:p w14:paraId="1E0E4AA3">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100</w:t>
            </w:r>
          </w:p>
        </w:tc>
        <w:tc>
          <w:tcPr>
            <w:tcW w:w="799" w:type="pct"/>
            <w:vAlign w:val="center"/>
          </w:tcPr>
          <w:p w14:paraId="25520BFC">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190</w:t>
            </w:r>
          </w:p>
        </w:tc>
      </w:tr>
      <w:tr w14:paraId="446EF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2" w:type="pct"/>
            <w:vAlign w:val="center"/>
          </w:tcPr>
          <w:p w14:paraId="105FA14B">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8</w:t>
            </w:r>
          </w:p>
        </w:tc>
        <w:tc>
          <w:tcPr>
            <w:tcW w:w="875" w:type="pct"/>
            <w:gridSpan w:val="2"/>
            <w:vAlign w:val="center"/>
          </w:tcPr>
          <w:p w14:paraId="3FBB6A33">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锌</w:t>
            </w:r>
          </w:p>
        </w:tc>
        <w:tc>
          <w:tcPr>
            <w:tcW w:w="656" w:type="pct"/>
            <w:vAlign w:val="center"/>
          </w:tcPr>
          <w:p w14:paraId="13E609F6">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200</w:t>
            </w:r>
          </w:p>
        </w:tc>
        <w:tc>
          <w:tcPr>
            <w:tcW w:w="1114" w:type="pct"/>
            <w:vAlign w:val="center"/>
          </w:tcPr>
          <w:p w14:paraId="7B18D743">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200</w:t>
            </w:r>
          </w:p>
        </w:tc>
        <w:tc>
          <w:tcPr>
            <w:tcW w:w="1114" w:type="pct"/>
            <w:vAlign w:val="center"/>
          </w:tcPr>
          <w:p w14:paraId="03072EB0">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250</w:t>
            </w:r>
          </w:p>
        </w:tc>
        <w:tc>
          <w:tcPr>
            <w:tcW w:w="799" w:type="pct"/>
            <w:vAlign w:val="center"/>
          </w:tcPr>
          <w:p w14:paraId="4596C777">
            <w:pPr>
              <w:spacing w:line="320" w:lineRule="exact"/>
              <w:ind w:firstLine="0" w:firstLineChars="0"/>
              <w:jc w:val="center"/>
              <w:rPr>
                <w:rFonts w:cs="Times New Roman"/>
                <w:sz w:val="21"/>
                <w:szCs w:val="21"/>
                <w14:ligatures w14:val="none"/>
              </w:rPr>
            </w:pPr>
            <w:r>
              <w:rPr>
                <w:rFonts w:hint="eastAsia" w:cs="Times New Roman"/>
                <w:sz w:val="21"/>
                <w:szCs w:val="21"/>
                <w14:ligatures w14:val="none"/>
              </w:rPr>
              <w:t>300</w:t>
            </w:r>
          </w:p>
        </w:tc>
      </w:tr>
    </w:tbl>
    <w:p w14:paraId="70DB48F2">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1.7.2</w:t>
      </w:r>
      <w:r>
        <w:rPr>
          <w:rFonts w:hint="eastAsia" w:eastAsia="方正楷体_GBK" w:cs="Times New Roman"/>
          <w:b/>
          <w:bCs/>
          <w:szCs w:val="28"/>
          <w14:ligatures w14:val="none"/>
        </w:rPr>
        <w:t>污染物排放标准</w:t>
      </w:r>
    </w:p>
    <w:p w14:paraId="278A4DB3">
      <w:pPr>
        <w:ind w:firstLine="482"/>
        <w:outlineLvl w:val="3"/>
        <w:rPr>
          <w:b/>
          <w:bCs/>
        </w:rPr>
      </w:pPr>
      <w:r>
        <w:rPr>
          <w:rFonts w:hint="eastAsia"/>
          <w:b/>
          <w:bCs/>
        </w:rPr>
        <w:t>（1）大气污染物排放标准</w:t>
      </w:r>
    </w:p>
    <w:p w14:paraId="7FD38126">
      <w:pPr>
        <w:ind w:firstLine="480"/>
      </w:pPr>
      <w:r>
        <w:rPr>
          <w:rFonts w:hint="eastAsia"/>
        </w:rPr>
        <w:t>根据度假区现状企业行业类别情况，粘土砖瓦及建筑砌块制造企业执行《砖瓦工业大气污染物排放标准》（GB 29620-2013）表2标准限值，石灰和石膏制造行业的企业执行《石灰、电石工业大气污染物排放标准》（GB41618-2022），企业生产设施的工业窑炉污染物排放执行《工业炉窑大气污染物排放标准》（DB 32/3728-2020）。橡胶和塑料制品业的企业执行《橡胶制品工业污染物排放标准》（GB27632—2011），其他工业企业执行江苏省《大气污染物综合排放标准》（DB 32/4041-2021）中表1、表3浓度限值，具体见表1.7-</w:t>
      </w:r>
      <w:r>
        <w:t>7</w:t>
      </w:r>
      <w:r>
        <w:rPr>
          <w:rFonts w:hint="eastAsia"/>
        </w:rPr>
        <w:t>至表1.7-11。</w:t>
      </w:r>
    </w:p>
    <w:p w14:paraId="700E86B0">
      <w:pPr>
        <w:ind w:firstLine="480"/>
      </w:pPr>
      <w:r>
        <w:rPr>
          <w:rFonts w:hint="eastAsia"/>
        </w:rPr>
        <w:t>度假区规划建设项目运营期商业及住宅区饮食业油烟排放执行《饮食业油烟排放标准》（GB 18483-2001）中表2标准，施工期废气和汽车尾气排放执行《施工场地扬尘排放标准》（DB32/4437-2022），具体标准见表1.7-</w:t>
      </w:r>
      <w:r>
        <w:t>9</w:t>
      </w:r>
      <w:r>
        <w:rPr>
          <w:rFonts w:hint="eastAsia"/>
        </w:rPr>
        <w:t>。</w:t>
      </w:r>
    </w:p>
    <w:p w14:paraId="7CCD65A7">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表1.7-</w:t>
      </w:r>
      <w:r>
        <w:rPr>
          <w:rFonts w:hint="eastAsia" w:cs="Times New Roman"/>
          <w:b/>
          <w:szCs w:val="24"/>
          <w14:ligatures w14:val="none"/>
        </w:rPr>
        <w:t>7</w:t>
      </w:r>
      <w:r>
        <w:rPr>
          <w:rFonts w:cs="Times New Roman"/>
          <w:b/>
          <w:szCs w:val="24"/>
          <w14:ligatures w14:val="none"/>
        </w:rPr>
        <w:t xml:space="preserve">  </w:t>
      </w:r>
      <w:r>
        <w:rPr>
          <w:rFonts w:hint="eastAsia" w:cs="Times New Roman"/>
          <w:b/>
          <w:szCs w:val="24"/>
          <w14:ligatures w14:val="none"/>
        </w:rPr>
        <w:t>砖瓦工业大气污染物排放标准</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8"/>
        <w:gridCol w:w="1230"/>
        <w:gridCol w:w="1420"/>
        <w:gridCol w:w="1420"/>
        <w:gridCol w:w="1420"/>
        <w:gridCol w:w="1420"/>
      </w:tblGrid>
      <w:tr w14:paraId="6FB1B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608" w:type="dxa"/>
            <w:vMerge w:val="restart"/>
            <w:vAlign w:val="center"/>
          </w:tcPr>
          <w:p w14:paraId="6EC1B013">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生产过程</w:t>
            </w:r>
          </w:p>
        </w:tc>
        <w:tc>
          <w:tcPr>
            <w:tcW w:w="5490" w:type="dxa"/>
            <w:gridSpan w:val="4"/>
            <w:vAlign w:val="center"/>
          </w:tcPr>
          <w:p w14:paraId="178CC536">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工业炉窑大气污染物排放标准</w:t>
            </w:r>
          </w:p>
        </w:tc>
        <w:tc>
          <w:tcPr>
            <w:tcW w:w="1420" w:type="dxa"/>
            <w:vMerge w:val="restart"/>
            <w:vAlign w:val="center"/>
          </w:tcPr>
          <w:p w14:paraId="0E766949">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污染物排放监控位置</w:t>
            </w:r>
          </w:p>
        </w:tc>
      </w:tr>
      <w:tr w14:paraId="47119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608" w:type="dxa"/>
            <w:vMerge w:val="continue"/>
            <w:vAlign w:val="center"/>
          </w:tcPr>
          <w:p w14:paraId="1111607A">
            <w:pPr>
              <w:widowControl/>
              <w:spacing w:line="240" w:lineRule="auto"/>
              <w:ind w:firstLine="0" w:firstLineChars="0"/>
              <w:jc w:val="center"/>
              <w:rPr>
                <w:rFonts w:cs="Times New Roman"/>
                <w:sz w:val="21"/>
                <w:szCs w:val="21"/>
                <w14:ligatures w14:val="none"/>
              </w:rPr>
            </w:pPr>
          </w:p>
        </w:tc>
        <w:tc>
          <w:tcPr>
            <w:tcW w:w="1230" w:type="dxa"/>
            <w:vAlign w:val="center"/>
          </w:tcPr>
          <w:p w14:paraId="62AEEBD4">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颗粒物</w:t>
            </w:r>
          </w:p>
        </w:tc>
        <w:tc>
          <w:tcPr>
            <w:tcW w:w="1420" w:type="dxa"/>
            <w:vAlign w:val="center"/>
          </w:tcPr>
          <w:p w14:paraId="6B9A171A">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二氧化硫</w:t>
            </w:r>
          </w:p>
        </w:tc>
        <w:tc>
          <w:tcPr>
            <w:tcW w:w="1420" w:type="dxa"/>
            <w:vAlign w:val="center"/>
          </w:tcPr>
          <w:p w14:paraId="117540A7">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氮氧化物</w:t>
            </w:r>
          </w:p>
        </w:tc>
        <w:tc>
          <w:tcPr>
            <w:tcW w:w="1420" w:type="dxa"/>
            <w:vAlign w:val="center"/>
          </w:tcPr>
          <w:p w14:paraId="5A3DF20D">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氟化物</w:t>
            </w:r>
          </w:p>
        </w:tc>
        <w:tc>
          <w:tcPr>
            <w:tcW w:w="1420" w:type="dxa"/>
            <w:vMerge w:val="continue"/>
            <w:vAlign w:val="center"/>
          </w:tcPr>
          <w:p w14:paraId="157BBD15">
            <w:pPr>
              <w:widowControl/>
              <w:spacing w:line="240" w:lineRule="auto"/>
              <w:ind w:firstLine="0" w:firstLineChars="0"/>
              <w:jc w:val="center"/>
              <w:rPr>
                <w:rFonts w:cs="Times New Roman"/>
                <w:sz w:val="21"/>
                <w:szCs w:val="21"/>
                <w14:ligatures w14:val="none"/>
              </w:rPr>
            </w:pPr>
          </w:p>
        </w:tc>
      </w:tr>
      <w:tr w14:paraId="02842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8" w:type="dxa"/>
            <w:vAlign w:val="center"/>
          </w:tcPr>
          <w:p w14:paraId="091D306D">
            <w:pPr>
              <w:widowControl/>
              <w:spacing w:line="240" w:lineRule="auto"/>
              <w:ind w:firstLine="0" w:firstLineChars="0"/>
              <w:jc w:val="center"/>
              <w:rPr>
                <w:rFonts w:cs="Times New Roman"/>
                <w:sz w:val="21"/>
                <w:szCs w:val="21"/>
                <w14:ligatures w14:val="none"/>
              </w:rPr>
            </w:pPr>
            <w:r>
              <w:rPr>
                <w:rFonts w:cs="Times New Roman"/>
                <w:sz w:val="21"/>
                <w:szCs w:val="21"/>
                <w14:ligatures w14:val="none"/>
              </w:rPr>
              <w:t>原料燃料破碎及制备成型</w:t>
            </w:r>
          </w:p>
        </w:tc>
        <w:tc>
          <w:tcPr>
            <w:tcW w:w="1230" w:type="dxa"/>
            <w:vAlign w:val="center"/>
          </w:tcPr>
          <w:p w14:paraId="3FD78E0E">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30</w:t>
            </w:r>
          </w:p>
        </w:tc>
        <w:tc>
          <w:tcPr>
            <w:tcW w:w="1420" w:type="dxa"/>
            <w:vAlign w:val="center"/>
          </w:tcPr>
          <w:p w14:paraId="4B717B5D">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1420" w:type="dxa"/>
            <w:vAlign w:val="center"/>
          </w:tcPr>
          <w:p w14:paraId="5B96752D">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1420" w:type="dxa"/>
            <w:vAlign w:val="center"/>
          </w:tcPr>
          <w:p w14:paraId="361A29BF">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1420" w:type="dxa"/>
            <w:vMerge w:val="restart"/>
            <w:vAlign w:val="center"/>
          </w:tcPr>
          <w:p w14:paraId="24C05B88">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车间或生产设施排气筒</w:t>
            </w:r>
          </w:p>
        </w:tc>
      </w:tr>
      <w:tr w14:paraId="16C95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8" w:type="dxa"/>
            <w:vAlign w:val="center"/>
          </w:tcPr>
          <w:p w14:paraId="23CE765A">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人工干燥及焙烧</w:t>
            </w:r>
          </w:p>
        </w:tc>
        <w:tc>
          <w:tcPr>
            <w:tcW w:w="1230" w:type="dxa"/>
            <w:vAlign w:val="center"/>
          </w:tcPr>
          <w:p w14:paraId="429F1B70">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30</w:t>
            </w:r>
          </w:p>
        </w:tc>
        <w:tc>
          <w:tcPr>
            <w:tcW w:w="1420" w:type="dxa"/>
            <w:vAlign w:val="center"/>
          </w:tcPr>
          <w:p w14:paraId="6CEC5FC4">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300</w:t>
            </w:r>
          </w:p>
        </w:tc>
        <w:tc>
          <w:tcPr>
            <w:tcW w:w="1420" w:type="dxa"/>
            <w:vAlign w:val="center"/>
          </w:tcPr>
          <w:p w14:paraId="4322D85D">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200</w:t>
            </w:r>
          </w:p>
        </w:tc>
        <w:tc>
          <w:tcPr>
            <w:tcW w:w="1420" w:type="dxa"/>
            <w:vAlign w:val="center"/>
          </w:tcPr>
          <w:p w14:paraId="2AD352DC">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3</w:t>
            </w:r>
          </w:p>
        </w:tc>
        <w:tc>
          <w:tcPr>
            <w:tcW w:w="1420" w:type="dxa"/>
            <w:vMerge w:val="continue"/>
            <w:vAlign w:val="center"/>
          </w:tcPr>
          <w:p w14:paraId="081E8B0E">
            <w:pPr>
              <w:widowControl/>
              <w:spacing w:line="240" w:lineRule="auto"/>
              <w:ind w:firstLine="0" w:firstLineChars="0"/>
              <w:jc w:val="center"/>
              <w:rPr>
                <w:rFonts w:cs="Times New Roman"/>
                <w:sz w:val="21"/>
                <w:szCs w:val="21"/>
                <w14:ligatures w14:val="none"/>
              </w:rPr>
            </w:pPr>
          </w:p>
        </w:tc>
      </w:tr>
    </w:tbl>
    <w:p w14:paraId="4502925D">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表1.7-</w:t>
      </w:r>
      <w:r>
        <w:rPr>
          <w:rFonts w:hint="eastAsia" w:cs="Times New Roman"/>
          <w:b/>
          <w:szCs w:val="24"/>
          <w14:ligatures w14:val="none"/>
        </w:rPr>
        <w:t>8</w:t>
      </w:r>
      <w:r>
        <w:rPr>
          <w:rFonts w:cs="Times New Roman"/>
          <w:b/>
          <w:szCs w:val="24"/>
          <w14:ligatures w14:val="none"/>
        </w:rPr>
        <w:t xml:space="preserve">  </w:t>
      </w:r>
      <w:r>
        <w:rPr>
          <w:rFonts w:hint="eastAsia" w:cs="Times New Roman"/>
          <w:b/>
          <w:szCs w:val="24"/>
          <w14:ligatures w14:val="none"/>
        </w:rPr>
        <w:t>石灰、电石工业大气污染物排放标准</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1673"/>
        <w:gridCol w:w="1215"/>
        <w:gridCol w:w="1217"/>
        <w:gridCol w:w="1217"/>
        <w:gridCol w:w="1217"/>
        <w:gridCol w:w="1245"/>
      </w:tblGrid>
      <w:tr w14:paraId="5D466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32" w:type="pct"/>
            <w:vAlign w:val="center"/>
          </w:tcPr>
          <w:p w14:paraId="0EB5C132">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生产过程</w:t>
            </w:r>
          </w:p>
        </w:tc>
        <w:tc>
          <w:tcPr>
            <w:tcW w:w="982" w:type="pct"/>
            <w:vAlign w:val="center"/>
          </w:tcPr>
          <w:p w14:paraId="6DC1529C">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生产工序或设施</w:t>
            </w:r>
          </w:p>
        </w:tc>
        <w:tc>
          <w:tcPr>
            <w:tcW w:w="713" w:type="pct"/>
            <w:vAlign w:val="center"/>
          </w:tcPr>
          <w:p w14:paraId="2C8B1466">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颗粒物</w:t>
            </w:r>
          </w:p>
        </w:tc>
        <w:tc>
          <w:tcPr>
            <w:tcW w:w="714" w:type="pct"/>
            <w:vAlign w:val="center"/>
          </w:tcPr>
          <w:p w14:paraId="6E9A4BEB">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二氧化硫</w:t>
            </w:r>
          </w:p>
        </w:tc>
        <w:tc>
          <w:tcPr>
            <w:tcW w:w="714" w:type="pct"/>
            <w:vAlign w:val="center"/>
          </w:tcPr>
          <w:p w14:paraId="305F5F6C">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氮氧化物</w:t>
            </w:r>
          </w:p>
        </w:tc>
        <w:tc>
          <w:tcPr>
            <w:tcW w:w="714" w:type="pct"/>
            <w:vAlign w:val="center"/>
          </w:tcPr>
          <w:p w14:paraId="55DC7F2F">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氨</w:t>
            </w:r>
          </w:p>
        </w:tc>
        <w:tc>
          <w:tcPr>
            <w:tcW w:w="728" w:type="pct"/>
            <w:vAlign w:val="center"/>
          </w:tcPr>
          <w:p w14:paraId="07081CD2">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氰化氢</w:t>
            </w:r>
          </w:p>
        </w:tc>
      </w:tr>
      <w:tr w14:paraId="0D83A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vMerge w:val="restart"/>
            <w:vAlign w:val="center"/>
          </w:tcPr>
          <w:p w14:paraId="714DED18">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石灰制造</w:t>
            </w:r>
          </w:p>
        </w:tc>
        <w:tc>
          <w:tcPr>
            <w:tcW w:w="982" w:type="pct"/>
            <w:vAlign w:val="center"/>
          </w:tcPr>
          <w:p w14:paraId="558D9BBE">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石灰窑</w:t>
            </w:r>
          </w:p>
        </w:tc>
        <w:tc>
          <w:tcPr>
            <w:tcW w:w="713" w:type="pct"/>
            <w:vAlign w:val="center"/>
          </w:tcPr>
          <w:p w14:paraId="349CA2C3">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30（20</w:t>
            </w:r>
            <w:r>
              <w:rPr>
                <w:rFonts w:hint="eastAsia" w:cs="Times New Roman"/>
                <w:sz w:val="21"/>
                <w:szCs w:val="21"/>
                <w:vertAlign w:val="superscript"/>
                <w14:ligatures w14:val="none"/>
              </w:rPr>
              <w:t>a</w:t>
            </w:r>
            <w:r>
              <w:rPr>
                <w:rFonts w:hint="eastAsia" w:cs="Times New Roman"/>
                <w:sz w:val="21"/>
                <w:szCs w:val="21"/>
                <w14:ligatures w14:val="none"/>
              </w:rPr>
              <w:t>）</w:t>
            </w:r>
          </w:p>
        </w:tc>
        <w:tc>
          <w:tcPr>
            <w:tcW w:w="714" w:type="pct"/>
            <w:vAlign w:val="center"/>
          </w:tcPr>
          <w:p w14:paraId="781CEB67">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200</w:t>
            </w:r>
          </w:p>
        </w:tc>
        <w:tc>
          <w:tcPr>
            <w:tcW w:w="714" w:type="pct"/>
            <w:vAlign w:val="center"/>
          </w:tcPr>
          <w:p w14:paraId="087FC316">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300</w:t>
            </w:r>
          </w:p>
        </w:tc>
        <w:tc>
          <w:tcPr>
            <w:tcW w:w="714" w:type="pct"/>
            <w:vAlign w:val="center"/>
          </w:tcPr>
          <w:p w14:paraId="286BCF6D">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8</w:t>
            </w:r>
            <w:r>
              <w:rPr>
                <w:rFonts w:hint="eastAsia" w:cs="Times New Roman"/>
                <w:sz w:val="21"/>
                <w:szCs w:val="21"/>
                <w:vertAlign w:val="superscript"/>
                <w14:ligatures w14:val="none"/>
              </w:rPr>
              <w:t>b</w:t>
            </w:r>
          </w:p>
        </w:tc>
        <w:tc>
          <w:tcPr>
            <w:tcW w:w="728" w:type="pct"/>
            <w:vAlign w:val="center"/>
          </w:tcPr>
          <w:p w14:paraId="4B01576C">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tr w14:paraId="07D77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vMerge w:val="continue"/>
            <w:vAlign w:val="center"/>
          </w:tcPr>
          <w:p w14:paraId="0EB8B8E3">
            <w:pPr>
              <w:widowControl/>
              <w:tabs>
                <w:tab w:val="left" w:pos="3960"/>
                <w:tab w:val="left" w:pos="8789"/>
              </w:tabs>
              <w:spacing w:line="240" w:lineRule="auto"/>
              <w:ind w:firstLine="0" w:firstLineChars="0"/>
              <w:jc w:val="center"/>
              <w:rPr>
                <w:rFonts w:cs="Times New Roman"/>
                <w:sz w:val="21"/>
                <w:szCs w:val="21"/>
                <w14:ligatures w14:val="none"/>
              </w:rPr>
            </w:pPr>
          </w:p>
        </w:tc>
        <w:tc>
          <w:tcPr>
            <w:tcW w:w="982" w:type="pct"/>
            <w:vAlign w:val="center"/>
          </w:tcPr>
          <w:p w14:paraId="5F9999FB">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出炉口及其他生产工序或设施</w:t>
            </w:r>
          </w:p>
        </w:tc>
        <w:tc>
          <w:tcPr>
            <w:tcW w:w="713" w:type="pct"/>
            <w:vAlign w:val="center"/>
          </w:tcPr>
          <w:p w14:paraId="22B510E5">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20</w:t>
            </w:r>
          </w:p>
        </w:tc>
        <w:tc>
          <w:tcPr>
            <w:tcW w:w="714" w:type="pct"/>
            <w:vAlign w:val="center"/>
          </w:tcPr>
          <w:p w14:paraId="1755EB73">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714" w:type="pct"/>
            <w:vAlign w:val="center"/>
          </w:tcPr>
          <w:p w14:paraId="56364E7A">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714" w:type="pct"/>
            <w:vAlign w:val="center"/>
          </w:tcPr>
          <w:p w14:paraId="7C6D84E5">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728" w:type="pct"/>
            <w:vAlign w:val="center"/>
          </w:tcPr>
          <w:p w14:paraId="10903896">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tr w14:paraId="466FD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vMerge w:val="restart"/>
            <w:vAlign w:val="center"/>
          </w:tcPr>
          <w:p w14:paraId="70A8DEDE">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电石制造</w:t>
            </w:r>
          </w:p>
        </w:tc>
        <w:tc>
          <w:tcPr>
            <w:tcW w:w="982" w:type="pct"/>
            <w:vAlign w:val="center"/>
          </w:tcPr>
          <w:p w14:paraId="197AEBE7">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干燥窑</w:t>
            </w:r>
          </w:p>
        </w:tc>
        <w:tc>
          <w:tcPr>
            <w:tcW w:w="713" w:type="pct"/>
            <w:vAlign w:val="center"/>
          </w:tcPr>
          <w:p w14:paraId="1BB8BD22">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30</w:t>
            </w:r>
          </w:p>
        </w:tc>
        <w:tc>
          <w:tcPr>
            <w:tcW w:w="714" w:type="pct"/>
            <w:vAlign w:val="center"/>
          </w:tcPr>
          <w:p w14:paraId="193C8E61">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200</w:t>
            </w:r>
          </w:p>
        </w:tc>
        <w:tc>
          <w:tcPr>
            <w:tcW w:w="714" w:type="pct"/>
            <w:vAlign w:val="center"/>
          </w:tcPr>
          <w:p w14:paraId="432EEE96">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300</w:t>
            </w:r>
          </w:p>
        </w:tc>
        <w:tc>
          <w:tcPr>
            <w:tcW w:w="714" w:type="pct"/>
            <w:vAlign w:val="center"/>
          </w:tcPr>
          <w:p w14:paraId="7A83D80A">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8</w:t>
            </w:r>
            <w:r>
              <w:rPr>
                <w:rFonts w:hint="eastAsia" w:cs="Times New Roman"/>
                <w:sz w:val="21"/>
                <w:szCs w:val="21"/>
                <w:vertAlign w:val="superscript"/>
                <w14:ligatures w14:val="none"/>
              </w:rPr>
              <w:t>b</w:t>
            </w:r>
          </w:p>
        </w:tc>
        <w:tc>
          <w:tcPr>
            <w:tcW w:w="728" w:type="pct"/>
            <w:vAlign w:val="center"/>
          </w:tcPr>
          <w:p w14:paraId="2F03F8E3">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tr w14:paraId="3C95C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vMerge w:val="continue"/>
            <w:vAlign w:val="center"/>
          </w:tcPr>
          <w:p w14:paraId="4C71CC3D">
            <w:pPr>
              <w:widowControl/>
              <w:tabs>
                <w:tab w:val="left" w:pos="3960"/>
                <w:tab w:val="left" w:pos="8789"/>
              </w:tabs>
              <w:spacing w:line="240" w:lineRule="auto"/>
              <w:ind w:firstLine="0" w:firstLineChars="0"/>
              <w:jc w:val="center"/>
              <w:rPr>
                <w:rFonts w:cs="Times New Roman"/>
                <w:sz w:val="21"/>
                <w:szCs w:val="21"/>
                <w14:ligatures w14:val="none"/>
              </w:rPr>
            </w:pPr>
          </w:p>
        </w:tc>
        <w:tc>
          <w:tcPr>
            <w:tcW w:w="982" w:type="pct"/>
            <w:vAlign w:val="center"/>
          </w:tcPr>
          <w:p w14:paraId="44B50F82">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电石炉排放口</w:t>
            </w:r>
          </w:p>
        </w:tc>
        <w:tc>
          <w:tcPr>
            <w:tcW w:w="713" w:type="pct"/>
            <w:vAlign w:val="center"/>
          </w:tcPr>
          <w:p w14:paraId="7120D5C6">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30</w:t>
            </w:r>
          </w:p>
        </w:tc>
        <w:tc>
          <w:tcPr>
            <w:tcW w:w="714" w:type="pct"/>
            <w:vAlign w:val="center"/>
          </w:tcPr>
          <w:p w14:paraId="13B60E2F">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50</w:t>
            </w:r>
          </w:p>
        </w:tc>
        <w:tc>
          <w:tcPr>
            <w:tcW w:w="714" w:type="pct"/>
            <w:vAlign w:val="center"/>
          </w:tcPr>
          <w:p w14:paraId="4A4AE14A">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50</w:t>
            </w:r>
          </w:p>
        </w:tc>
        <w:tc>
          <w:tcPr>
            <w:tcW w:w="714" w:type="pct"/>
            <w:vAlign w:val="center"/>
          </w:tcPr>
          <w:p w14:paraId="35B1A0E9">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728" w:type="pct"/>
            <w:vAlign w:val="center"/>
          </w:tcPr>
          <w:p w14:paraId="7A76D9FE">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1.9</w:t>
            </w:r>
          </w:p>
        </w:tc>
      </w:tr>
      <w:tr w14:paraId="5CB8C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vMerge w:val="continue"/>
            <w:vAlign w:val="center"/>
          </w:tcPr>
          <w:p w14:paraId="59DF95B0">
            <w:pPr>
              <w:widowControl/>
              <w:tabs>
                <w:tab w:val="left" w:pos="3960"/>
                <w:tab w:val="left" w:pos="8789"/>
              </w:tabs>
              <w:spacing w:line="240" w:lineRule="auto"/>
              <w:ind w:firstLine="0" w:firstLineChars="0"/>
              <w:jc w:val="center"/>
              <w:rPr>
                <w:rFonts w:cs="Times New Roman"/>
                <w:sz w:val="21"/>
                <w:szCs w:val="21"/>
                <w14:ligatures w14:val="none"/>
              </w:rPr>
            </w:pPr>
          </w:p>
        </w:tc>
        <w:tc>
          <w:tcPr>
            <w:tcW w:w="982" w:type="pct"/>
            <w:vAlign w:val="center"/>
          </w:tcPr>
          <w:p w14:paraId="717E7560">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出炉口及其他生产工序或设施</w:t>
            </w:r>
          </w:p>
        </w:tc>
        <w:tc>
          <w:tcPr>
            <w:tcW w:w="713" w:type="pct"/>
            <w:vAlign w:val="center"/>
          </w:tcPr>
          <w:p w14:paraId="1B69C80F">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20</w:t>
            </w:r>
          </w:p>
        </w:tc>
        <w:tc>
          <w:tcPr>
            <w:tcW w:w="1217" w:type="dxa"/>
            <w:vAlign w:val="center"/>
          </w:tcPr>
          <w:p w14:paraId="442C9561">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1217" w:type="dxa"/>
            <w:vAlign w:val="center"/>
          </w:tcPr>
          <w:p w14:paraId="7D6B9156">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1217" w:type="dxa"/>
            <w:vAlign w:val="center"/>
          </w:tcPr>
          <w:p w14:paraId="22B38E0D">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728" w:type="pct"/>
            <w:vAlign w:val="center"/>
          </w:tcPr>
          <w:p w14:paraId="5D5D3B4C">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tr w14:paraId="101F0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vAlign w:val="center"/>
          </w:tcPr>
          <w:p w14:paraId="373A813B">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石灰制品生产</w:t>
            </w:r>
          </w:p>
        </w:tc>
        <w:tc>
          <w:tcPr>
            <w:tcW w:w="982" w:type="pct"/>
            <w:vAlign w:val="center"/>
          </w:tcPr>
          <w:p w14:paraId="5A7C7E29">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破碎、筛分、粉磨及其他生产工序或设施</w:t>
            </w:r>
          </w:p>
        </w:tc>
        <w:tc>
          <w:tcPr>
            <w:tcW w:w="713" w:type="pct"/>
            <w:vAlign w:val="center"/>
          </w:tcPr>
          <w:p w14:paraId="7500E0E7">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20</w:t>
            </w:r>
          </w:p>
        </w:tc>
        <w:tc>
          <w:tcPr>
            <w:tcW w:w="1217" w:type="dxa"/>
            <w:vAlign w:val="center"/>
          </w:tcPr>
          <w:p w14:paraId="3DC10158">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1217" w:type="dxa"/>
            <w:vAlign w:val="center"/>
          </w:tcPr>
          <w:p w14:paraId="305D5786">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1217" w:type="dxa"/>
            <w:vAlign w:val="center"/>
          </w:tcPr>
          <w:p w14:paraId="07F37F42">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1245" w:type="dxa"/>
            <w:vAlign w:val="center"/>
          </w:tcPr>
          <w:p w14:paraId="2365B6B5">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tr w14:paraId="117C2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7"/>
          </w:tcPr>
          <w:p w14:paraId="1226E76C">
            <w:pPr>
              <w:widowControl/>
              <w:tabs>
                <w:tab w:val="left" w:pos="3960"/>
                <w:tab w:val="left" w:pos="8789"/>
              </w:tabs>
              <w:spacing w:line="240" w:lineRule="auto"/>
              <w:ind w:firstLine="0" w:firstLineChars="0"/>
              <w:jc w:val="left"/>
              <w:rPr>
                <w:rFonts w:cs="Times New Roman"/>
                <w:sz w:val="20"/>
                <w:szCs w:val="20"/>
                <w14:ligatures w14:val="none"/>
              </w:rPr>
            </w:pPr>
            <w:r>
              <w:rPr>
                <w:rFonts w:hint="eastAsia" w:cs="Times New Roman"/>
                <w:sz w:val="20"/>
                <w:szCs w:val="20"/>
                <w14:ligatures w14:val="none"/>
              </w:rPr>
              <w:t>a 以气体为燃料的石灰窑执行该限值。</w:t>
            </w:r>
          </w:p>
          <w:p w14:paraId="7988D5B9">
            <w:pPr>
              <w:widowControl/>
              <w:tabs>
                <w:tab w:val="left" w:pos="3960"/>
                <w:tab w:val="left" w:pos="8789"/>
              </w:tabs>
              <w:spacing w:line="240" w:lineRule="auto"/>
              <w:ind w:firstLine="0" w:firstLineChars="0"/>
              <w:jc w:val="left"/>
              <w:rPr>
                <w:rFonts w:cs="Times New Roman"/>
                <w:sz w:val="21"/>
                <w:szCs w:val="21"/>
                <w14:ligatures w14:val="none"/>
              </w:rPr>
            </w:pPr>
            <w:r>
              <w:rPr>
                <w:rFonts w:hint="eastAsia" w:cs="Times New Roman"/>
                <w:sz w:val="20"/>
                <w:szCs w:val="20"/>
                <w14:ligatures w14:val="none"/>
              </w:rPr>
              <w:t>b 烟气处理使用氨水、尿素等含氨物质。</w:t>
            </w:r>
          </w:p>
        </w:tc>
      </w:tr>
    </w:tbl>
    <w:p w14:paraId="6255B125">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表1.7-</w:t>
      </w:r>
      <w:r>
        <w:rPr>
          <w:rFonts w:hint="eastAsia" w:cs="Times New Roman"/>
          <w:b/>
          <w:szCs w:val="24"/>
          <w14:ligatures w14:val="none"/>
        </w:rPr>
        <w:t>9</w:t>
      </w:r>
      <w:r>
        <w:rPr>
          <w:rFonts w:cs="Times New Roman"/>
          <w:b/>
          <w:szCs w:val="24"/>
          <w14:ligatures w14:val="none"/>
        </w:rPr>
        <w:t xml:space="preserve">  </w:t>
      </w:r>
      <w:r>
        <w:rPr>
          <w:rFonts w:hint="eastAsia" w:cs="Times New Roman"/>
          <w:b/>
          <w:szCs w:val="24"/>
          <w14:ligatures w14:val="none"/>
        </w:rPr>
        <w:t>工业炉窑大气污染物排放标准</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8"/>
        <w:gridCol w:w="3015"/>
        <w:gridCol w:w="2430"/>
        <w:gridCol w:w="2459"/>
      </w:tblGrid>
      <w:tr w14:paraId="3297C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8" w:type="dxa"/>
            <w:vAlign w:val="center"/>
          </w:tcPr>
          <w:p w14:paraId="0C79D5BA">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序号</w:t>
            </w:r>
          </w:p>
        </w:tc>
        <w:tc>
          <w:tcPr>
            <w:tcW w:w="3015" w:type="dxa"/>
            <w:vAlign w:val="center"/>
          </w:tcPr>
          <w:p w14:paraId="3908E8A8">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污染物项目</w:t>
            </w:r>
          </w:p>
        </w:tc>
        <w:tc>
          <w:tcPr>
            <w:tcW w:w="2430" w:type="dxa"/>
            <w:vAlign w:val="center"/>
          </w:tcPr>
          <w:p w14:paraId="25D255B1">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排放限值</w:t>
            </w:r>
          </w:p>
        </w:tc>
        <w:tc>
          <w:tcPr>
            <w:tcW w:w="2459" w:type="dxa"/>
            <w:vAlign w:val="center"/>
          </w:tcPr>
          <w:p w14:paraId="112E26EB">
            <w:pPr>
              <w:widowControl/>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污染物排放监控位置</w:t>
            </w:r>
          </w:p>
        </w:tc>
      </w:tr>
      <w:tr w14:paraId="330C6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8" w:type="dxa"/>
            <w:vAlign w:val="center"/>
          </w:tcPr>
          <w:p w14:paraId="02D48069">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w:t>
            </w:r>
          </w:p>
        </w:tc>
        <w:tc>
          <w:tcPr>
            <w:tcW w:w="3015" w:type="dxa"/>
            <w:vAlign w:val="center"/>
          </w:tcPr>
          <w:p w14:paraId="2D4EFA56">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颗粒物</w:t>
            </w:r>
          </w:p>
        </w:tc>
        <w:tc>
          <w:tcPr>
            <w:tcW w:w="2430" w:type="dxa"/>
            <w:vAlign w:val="center"/>
          </w:tcPr>
          <w:p w14:paraId="49E685F1">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20mg/m</w:t>
            </w:r>
            <w:r>
              <w:rPr>
                <w:rFonts w:hint="eastAsia" w:cs="Times New Roman"/>
                <w:sz w:val="21"/>
                <w:szCs w:val="21"/>
                <w:vertAlign w:val="superscript"/>
                <w14:ligatures w14:val="none"/>
              </w:rPr>
              <w:t>3</w:t>
            </w:r>
          </w:p>
        </w:tc>
        <w:tc>
          <w:tcPr>
            <w:tcW w:w="2459" w:type="dxa"/>
            <w:vMerge w:val="restart"/>
            <w:vAlign w:val="center"/>
          </w:tcPr>
          <w:p w14:paraId="2BAD5115">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车间或生产设施排气筒</w:t>
            </w:r>
          </w:p>
        </w:tc>
      </w:tr>
      <w:tr w14:paraId="4BEB6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8" w:type="dxa"/>
            <w:vAlign w:val="center"/>
          </w:tcPr>
          <w:p w14:paraId="7DD832B4">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2</w:t>
            </w:r>
          </w:p>
        </w:tc>
        <w:tc>
          <w:tcPr>
            <w:tcW w:w="3015" w:type="dxa"/>
            <w:vAlign w:val="center"/>
          </w:tcPr>
          <w:p w14:paraId="6A1E1D12">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二氧化硫</w:t>
            </w:r>
          </w:p>
        </w:tc>
        <w:tc>
          <w:tcPr>
            <w:tcW w:w="2430" w:type="dxa"/>
            <w:vAlign w:val="center"/>
          </w:tcPr>
          <w:p w14:paraId="204E3B25">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80mg/m</w:t>
            </w:r>
            <w:r>
              <w:rPr>
                <w:rFonts w:hint="eastAsia" w:cs="Times New Roman"/>
                <w:sz w:val="21"/>
                <w:szCs w:val="21"/>
                <w:vertAlign w:val="superscript"/>
                <w14:ligatures w14:val="none"/>
              </w:rPr>
              <w:t>3</w:t>
            </w:r>
          </w:p>
        </w:tc>
        <w:tc>
          <w:tcPr>
            <w:tcW w:w="2459" w:type="dxa"/>
            <w:vMerge w:val="continue"/>
            <w:vAlign w:val="center"/>
          </w:tcPr>
          <w:p w14:paraId="743FBABA">
            <w:pPr>
              <w:widowControl/>
              <w:spacing w:line="240" w:lineRule="auto"/>
              <w:ind w:firstLine="0" w:firstLineChars="0"/>
              <w:jc w:val="center"/>
              <w:rPr>
                <w:rFonts w:cs="Times New Roman"/>
                <w:sz w:val="21"/>
                <w:szCs w:val="21"/>
                <w14:ligatures w14:val="none"/>
              </w:rPr>
            </w:pPr>
          </w:p>
        </w:tc>
      </w:tr>
      <w:tr w14:paraId="1FF10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8" w:type="dxa"/>
            <w:vAlign w:val="center"/>
          </w:tcPr>
          <w:p w14:paraId="219854C4">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3</w:t>
            </w:r>
          </w:p>
        </w:tc>
        <w:tc>
          <w:tcPr>
            <w:tcW w:w="3015" w:type="dxa"/>
            <w:vAlign w:val="center"/>
          </w:tcPr>
          <w:p w14:paraId="6BF8ABBB">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氮氧化物</w:t>
            </w:r>
          </w:p>
        </w:tc>
        <w:tc>
          <w:tcPr>
            <w:tcW w:w="2430" w:type="dxa"/>
            <w:vAlign w:val="center"/>
          </w:tcPr>
          <w:p w14:paraId="3DE11E8B">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180mg/m</w:t>
            </w:r>
            <w:r>
              <w:rPr>
                <w:rFonts w:hint="eastAsia" w:cs="Times New Roman"/>
                <w:sz w:val="21"/>
                <w:szCs w:val="21"/>
                <w:vertAlign w:val="superscript"/>
                <w14:ligatures w14:val="none"/>
              </w:rPr>
              <w:t>3</w:t>
            </w:r>
          </w:p>
        </w:tc>
        <w:tc>
          <w:tcPr>
            <w:tcW w:w="2459" w:type="dxa"/>
            <w:vMerge w:val="continue"/>
            <w:vAlign w:val="center"/>
          </w:tcPr>
          <w:p w14:paraId="005D8CD9">
            <w:pPr>
              <w:widowControl/>
              <w:spacing w:line="240" w:lineRule="auto"/>
              <w:ind w:firstLine="0" w:firstLineChars="0"/>
              <w:jc w:val="center"/>
              <w:rPr>
                <w:rFonts w:cs="Times New Roman"/>
                <w:sz w:val="21"/>
                <w:szCs w:val="21"/>
                <w14:ligatures w14:val="none"/>
              </w:rPr>
            </w:pPr>
          </w:p>
        </w:tc>
      </w:tr>
      <w:tr w14:paraId="3B4E5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8" w:type="dxa"/>
            <w:vAlign w:val="center"/>
          </w:tcPr>
          <w:p w14:paraId="7C7A2554">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4</w:t>
            </w:r>
          </w:p>
        </w:tc>
        <w:tc>
          <w:tcPr>
            <w:tcW w:w="3015" w:type="dxa"/>
            <w:vAlign w:val="center"/>
          </w:tcPr>
          <w:p w14:paraId="74F70B63">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烟气黑度</w:t>
            </w:r>
          </w:p>
        </w:tc>
        <w:tc>
          <w:tcPr>
            <w:tcW w:w="2430" w:type="dxa"/>
            <w:vAlign w:val="center"/>
          </w:tcPr>
          <w:p w14:paraId="447CC92E">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林格曼黑度1级</w:t>
            </w:r>
          </w:p>
        </w:tc>
        <w:tc>
          <w:tcPr>
            <w:tcW w:w="2459" w:type="dxa"/>
            <w:vMerge w:val="continue"/>
            <w:vAlign w:val="center"/>
          </w:tcPr>
          <w:p w14:paraId="023EB910">
            <w:pPr>
              <w:widowControl/>
              <w:spacing w:line="240" w:lineRule="auto"/>
              <w:ind w:firstLine="0" w:firstLineChars="0"/>
              <w:jc w:val="center"/>
              <w:rPr>
                <w:rFonts w:cs="Times New Roman"/>
                <w:sz w:val="21"/>
                <w:szCs w:val="21"/>
                <w14:ligatures w14:val="none"/>
              </w:rPr>
            </w:pPr>
          </w:p>
        </w:tc>
      </w:tr>
      <w:tr w14:paraId="7C42C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8" w:type="dxa"/>
            <w:vAlign w:val="center"/>
          </w:tcPr>
          <w:p w14:paraId="482C46E4">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5</w:t>
            </w:r>
          </w:p>
        </w:tc>
        <w:tc>
          <w:tcPr>
            <w:tcW w:w="3015" w:type="dxa"/>
            <w:vAlign w:val="center"/>
          </w:tcPr>
          <w:p w14:paraId="65A86FF8">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汞</w:t>
            </w:r>
          </w:p>
        </w:tc>
        <w:tc>
          <w:tcPr>
            <w:tcW w:w="2430" w:type="dxa"/>
            <w:vAlign w:val="center"/>
          </w:tcPr>
          <w:p w14:paraId="09DC6074">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0.01mg/m</w:t>
            </w:r>
            <w:r>
              <w:rPr>
                <w:rFonts w:hint="eastAsia" w:cs="Times New Roman"/>
                <w:sz w:val="21"/>
                <w:szCs w:val="21"/>
                <w:vertAlign w:val="superscript"/>
                <w14:ligatures w14:val="none"/>
              </w:rPr>
              <w:t>3</w:t>
            </w:r>
          </w:p>
        </w:tc>
        <w:tc>
          <w:tcPr>
            <w:tcW w:w="2459" w:type="dxa"/>
            <w:vMerge w:val="continue"/>
            <w:vAlign w:val="center"/>
          </w:tcPr>
          <w:p w14:paraId="666CF012">
            <w:pPr>
              <w:widowControl/>
              <w:spacing w:line="240" w:lineRule="auto"/>
              <w:ind w:firstLine="0" w:firstLineChars="0"/>
              <w:jc w:val="center"/>
              <w:rPr>
                <w:rFonts w:cs="Times New Roman"/>
                <w:sz w:val="21"/>
                <w:szCs w:val="21"/>
                <w14:ligatures w14:val="none"/>
              </w:rPr>
            </w:pPr>
          </w:p>
        </w:tc>
      </w:tr>
    </w:tbl>
    <w:p w14:paraId="5B5C48C1">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表1.7-</w:t>
      </w:r>
      <w:r>
        <w:rPr>
          <w:rFonts w:hint="eastAsia" w:cs="Times New Roman"/>
          <w:b/>
          <w:szCs w:val="24"/>
          <w14:ligatures w14:val="none"/>
        </w:rPr>
        <w:t>10</w:t>
      </w:r>
      <w:r>
        <w:rPr>
          <w:rFonts w:cs="Times New Roman"/>
          <w:b/>
          <w:szCs w:val="24"/>
          <w14:ligatures w14:val="none"/>
        </w:rPr>
        <w:t xml:space="preserve">  </w:t>
      </w:r>
      <w:r>
        <w:rPr>
          <w:rFonts w:hint="eastAsia" w:cs="Times New Roman"/>
          <w:b/>
          <w:szCs w:val="24"/>
          <w14:ligatures w14:val="none"/>
        </w:rPr>
        <w:t>橡胶制品工业大气污染物排放标准</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5"/>
        <w:gridCol w:w="914"/>
        <w:gridCol w:w="2751"/>
        <w:gridCol w:w="1532"/>
        <w:gridCol w:w="1350"/>
        <w:gridCol w:w="1377"/>
      </w:tblGrid>
      <w:tr w14:paraId="1121C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4" w:hRule="atLeast"/>
          <w:tblHeader/>
          <w:jc w:val="center"/>
        </w:trPr>
        <w:tc>
          <w:tcPr>
            <w:tcW w:w="349" w:type="pct"/>
            <w:tcBorders>
              <w:top w:val="single" w:color="auto" w:sz="4" w:space="0"/>
              <w:left w:val="single" w:color="auto" w:sz="4" w:space="0"/>
              <w:right w:val="single" w:color="auto" w:sz="4" w:space="0"/>
            </w:tcBorders>
            <w:vAlign w:val="center"/>
          </w:tcPr>
          <w:p w14:paraId="7E600540">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序号</w:t>
            </w:r>
          </w:p>
        </w:tc>
        <w:tc>
          <w:tcPr>
            <w:tcW w:w="536" w:type="pct"/>
            <w:tcBorders>
              <w:top w:val="single" w:color="auto" w:sz="4" w:space="0"/>
              <w:left w:val="single" w:color="auto" w:sz="4" w:space="0"/>
              <w:right w:val="single" w:color="auto" w:sz="4" w:space="0"/>
            </w:tcBorders>
            <w:vAlign w:val="center"/>
          </w:tcPr>
          <w:p w14:paraId="44B67318">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污染物</w:t>
            </w:r>
          </w:p>
        </w:tc>
        <w:tc>
          <w:tcPr>
            <w:tcW w:w="1614" w:type="pct"/>
            <w:tcBorders>
              <w:top w:val="single" w:color="auto" w:sz="4" w:space="0"/>
              <w:left w:val="single" w:color="auto" w:sz="4" w:space="0"/>
              <w:right w:val="single" w:color="auto" w:sz="4" w:space="0"/>
            </w:tcBorders>
            <w:vAlign w:val="center"/>
          </w:tcPr>
          <w:p w14:paraId="266A2986">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生产工艺或设施</w:t>
            </w:r>
          </w:p>
        </w:tc>
        <w:tc>
          <w:tcPr>
            <w:tcW w:w="899" w:type="pct"/>
            <w:tcBorders>
              <w:top w:val="single" w:color="auto" w:sz="4" w:space="0"/>
              <w:left w:val="single" w:color="auto" w:sz="4" w:space="0"/>
              <w:right w:val="single" w:color="auto" w:sz="4" w:space="0"/>
            </w:tcBorders>
            <w:vAlign w:val="center"/>
          </w:tcPr>
          <w:p w14:paraId="51C7D04C">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排放限值（mg/m</w:t>
            </w:r>
            <w:r>
              <w:rPr>
                <w:rFonts w:hint="eastAsia" w:cs="Times New Roman"/>
                <w:b/>
                <w:sz w:val="21"/>
                <w:szCs w:val="21"/>
                <w:vertAlign w:val="superscript"/>
                <w14:ligatures w14:val="none"/>
              </w:rPr>
              <w:t>3</w:t>
            </w:r>
            <w:r>
              <w:rPr>
                <w:rFonts w:hint="eastAsia" w:cs="Times New Roman"/>
                <w:b/>
                <w:sz w:val="21"/>
                <w:szCs w:val="21"/>
                <w14:ligatures w14:val="none"/>
              </w:rPr>
              <w:t>）</w:t>
            </w:r>
          </w:p>
        </w:tc>
        <w:tc>
          <w:tcPr>
            <w:tcW w:w="792" w:type="pct"/>
            <w:tcBorders>
              <w:top w:val="single" w:color="auto" w:sz="4" w:space="0"/>
              <w:left w:val="single" w:color="auto" w:sz="4" w:space="0"/>
              <w:right w:val="single" w:color="auto" w:sz="4" w:space="0"/>
            </w:tcBorders>
            <w:vAlign w:val="center"/>
          </w:tcPr>
          <w:p w14:paraId="798ECC8C">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基准排气量（m</w:t>
            </w:r>
            <w:r>
              <w:rPr>
                <w:rFonts w:hint="eastAsia" w:cs="Times New Roman"/>
                <w:b/>
                <w:sz w:val="21"/>
                <w:szCs w:val="21"/>
                <w:vertAlign w:val="superscript"/>
                <w14:ligatures w14:val="none"/>
              </w:rPr>
              <w:t>3</w:t>
            </w:r>
            <w:r>
              <w:rPr>
                <w:rFonts w:hint="eastAsia" w:cs="Times New Roman"/>
                <w:b/>
                <w:sz w:val="21"/>
                <w:szCs w:val="21"/>
                <w14:ligatures w14:val="none"/>
              </w:rPr>
              <w:t>/t胶）</w:t>
            </w:r>
          </w:p>
        </w:tc>
        <w:tc>
          <w:tcPr>
            <w:tcW w:w="808" w:type="pct"/>
            <w:tcBorders>
              <w:top w:val="single" w:color="auto" w:sz="4" w:space="0"/>
              <w:left w:val="single" w:color="auto" w:sz="4" w:space="0"/>
              <w:bottom w:val="single" w:color="auto" w:sz="4" w:space="0"/>
              <w:right w:val="single" w:color="auto" w:sz="4" w:space="0"/>
            </w:tcBorders>
            <w:vAlign w:val="center"/>
          </w:tcPr>
          <w:p w14:paraId="764A0800">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排放污染物监控位置</w:t>
            </w:r>
          </w:p>
        </w:tc>
      </w:tr>
      <w:tr w14:paraId="3AEC7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49" w:type="pct"/>
            <w:vMerge w:val="restart"/>
            <w:tcBorders>
              <w:top w:val="single" w:color="auto" w:sz="4" w:space="0"/>
              <w:left w:val="single" w:color="auto" w:sz="4" w:space="0"/>
              <w:right w:val="single" w:color="auto" w:sz="4" w:space="0"/>
            </w:tcBorders>
            <w:vAlign w:val="center"/>
          </w:tcPr>
          <w:p w14:paraId="58B4143A">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1</w:t>
            </w:r>
          </w:p>
        </w:tc>
        <w:tc>
          <w:tcPr>
            <w:tcW w:w="536" w:type="pct"/>
            <w:vMerge w:val="restart"/>
            <w:tcBorders>
              <w:top w:val="single" w:color="auto" w:sz="4" w:space="0"/>
              <w:left w:val="single" w:color="auto" w:sz="4" w:space="0"/>
              <w:right w:val="single" w:color="auto" w:sz="4" w:space="0"/>
            </w:tcBorders>
            <w:vAlign w:val="center"/>
          </w:tcPr>
          <w:p w14:paraId="0F78E9D0">
            <w:pPr>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颗粒物</w:t>
            </w:r>
          </w:p>
        </w:tc>
        <w:tc>
          <w:tcPr>
            <w:tcW w:w="1614" w:type="pct"/>
            <w:tcBorders>
              <w:top w:val="single" w:color="auto" w:sz="4" w:space="0"/>
              <w:left w:val="single" w:color="auto" w:sz="4" w:space="0"/>
              <w:bottom w:val="single" w:color="auto" w:sz="4" w:space="0"/>
              <w:right w:val="single" w:color="auto" w:sz="4" w:space="0"/>
            </w:tcBorders>
            <w:vAlign w:val="center"/>
          </w:tcPr>
          <w:p w14:paraId="2CAE83E4">
            <w:pPr>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轮胎企业及其他制品企业炼胶装置</w:t>
            </w:r>
          </w:p>
        </w:tc>
        <w:tc>
          <w:tcPr>
            <w:tcW w:w="899" w:type="pct"/>
            <w:tcBorders>
              <w:top w:val="single" w:color="auto" w:sz="4" w:space="0"/>
              <w:left w:val="single" w:color="auto" w:sz="4" w:space="0"/>
              <w:bottom w:val="single" w:color="auto" w:sz="4" w:space="0"/>
              <w:right w:val="single" w:color="auto" w:sz="4" w:space="0"/>
            </w:tcBorders>
            <w:vAlign w:val="center"/>
          </w:tcPr>
          <w:p w14:paraId="3E068590">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12</w:t>
            </w:r>
          </w:p>
        </w:tc>
        <w:tc>
          <w:tcPr>
            <w:tcW w:w="792" w:type="pct"/>
            <w:tcBorders>
              <w:top w:val="single" w:color="auto" w:sz="4" w:space="0"/>
              <w:left w:val="single" w:color="auto" w:sz="4" w:space="0"/>
              <w:bottom w:val="single" w:color="auto" w:sz="4" w:space="0"/>
              <w:right w:val="single" w:color="auto" w:sz="4" w:space="0"/>
            </w:tcBorders>
            <w:vAlign w:val="center"/>
          </w:tcPr>
          <w:p w14:paraId="1B3EC6F2">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2000</w:t>
            </w:r>
          </w:p>
        </w:tc>
        <w:tc>
          <w:tcPr>
            <w:tcW w:w="808" w:type="pct"/>
            <w:vMerge w:val="restart"/>
            <w:tcBorders>
              <w:top w:val="single" w:color="auto" w:sz="4" w:space="0"/>
              <w:left w:val="single" w:color="auto" w:sz="4" w:space="0"/>
              <w:right w:val="single" w:color="auto" w:sz="4" w:space="0"/>
            </w:tcBorders>
            <w:vAlign w:val="center"/>
          </w:tcPr>
          <w:p w14:paraId="5262FF64">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车间或生产设施排气筒</w:t>
            </w:r>
          </w:p>
        </w:tc>
      </w:tr>
      <w:tr w14:paraId="18118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49" w:type="pct"/>
            <w:vMerge w:val="continue"/>
            <w:tcBorders>
              <w:left w:val="single" w:color="auto" w:sz="4" w:space="0"/>
              <w:bottom w:val="single" w:color="auto" w:sz="4" w:space="0"/>
              <w:right w:val="single" w:color="auto" w:sz="4" w:space="0"/>
            </w:tcBorders>
            <w:vAlign w:val="center"/>
          </w:tcPr>
          <w:p w14:paraId="1BE30474">
            <w:pPr>
              <w:widowControl/>
              <w:tabs>
                <w:tab w:val="left" w:pos="3960"/>
                <w:tab w:val="left" w:pos="8789"/>
              </w:tabs>
              <w:spacing w:line="240" w:lineRule="auto"/>
              <w:ind w:firstLine="0" w:firstLineChars="0"/>
              <w:jc w:val="center"/>
              <w:rPr>
                <w:rFonts w:cs="Times New Roman"/>
                <w:sz w:val="21"/>
                <w:szCs w:val="21"/>
                <w14:ligatures w14:val="none"/>
              </w:rPr>
            </w:pPr>
          </w:p>
        </w:tc>
        <w:tc>
          <w:tcPr>
            <w:tcW w:w="536" w:type="pct"/>
            <w:vMerge w:val="continue"/>
            <w:tcBorders>
              <w:left w:val="single" w:color="auto" w:sz="4" w:space="0"/>
              <w:bottom w:val="single" w:color="auto" w:sz="4" w:space="0"/>
              <w:right w:val="single" w:color="auto" w:sz="4" w:space="0"/>
            </w:tcBorders>
            <w:vAlign w:val="center"/>
          </w:tcPr>
          <w:p w14:paraId="6F2E8CE9">
            <w:pPr>
              <w:tabs>
                <w:tab w:val="left" w:pos="3960"/>
                <w:tab w:val="left" w:pos="8789"/>
              </w:tabs>
              <w:spacing w:line="240" w:lineRule="auto"/>
              <w:ind w:firstLine="0" w:firstLineChars="0"/>
              <w:jc w:val="center"/>
              <w:rPr>
                <w:rFonts w:cs="Times New Roman"/>
                <w:sz w:val="21"/>
                <w:szCs w:val="21"/>
                <w14:ligatures w14:val="none"/>
              </w:rPr>
            </w:pPr>
          </w:p>
        </w:tc>
        <w:tc>
          <w:tcPr>
            <w:tcW w:w="1614" w:type="pct"/>
            <w:tcBorders>
              <w:top w:val="single" w:color="auto" w:sz="4" w:space="0"/>
              <w:left w:val="single" w:color="auto" w:sz="4" w:space="0"/>
              <w:bottom w:val="single" w:color="auto" w:sz="4" w:space="0"/>
              <w:right w:val="single" w:color="auto" w:sz="4" w:space="0"/>
            </w:tcBorders>
            <w:vAlign w:val="center"/>
          </w:tcPr>
          <w:p w14:paraId="67E0BE61">
            <w:pPr>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乳胶制品企业后硫化装置</w:t>
            </w:r>
          </w:p>
        </w:tc>
        <w:tc>
          <w:tcPr>
            <w:tcW w:w="899" w:type="pct"/>
            <w:tcBorders>
              <w:top w:val="single" w:color="auto" w:sz="4" w:space="0"/>
              <w:left w:val="single" w:color="auto" w:sz="4" w:space="0"/>
              <w:bottom w:val="single" w:color="auto" w:sz="4" w:space="0"/>
              <w:right w:val="single" w:color="auto" w:sz="4" w:space="0"/>
            </w:tcBorders>
            <w:vAlign w:val="center"/>
          </w:tcPr>
          <w:p w14:paraId="33F47345">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12</w:t>
            </w:r>
          </w:p>
        </w:tc>
        <w:tc>
          <w:tcPr>
            <w:tcW w:w="792" w:type="pct"/>
            <w:tcBorders>
              <w:top w:val="single" w:color="auto" w:sz="4" w:space="0"/>
              <w:left w:val="single" w:color="auto" w:sz="4" w:space="0"/>
              <w:bottom w:val="single" w:color="auto" w:sz="4" w:space="0"/>
              <w:right w:val="single" w:color="auto" w:sz="4" w:space="0"/>
            </w:tcBorders>
            <w:vAlign w:val="center"/>
          </w:tcPr>
          <w:p w14:paraId="43F6E459">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16000</w:t>
            </w:r>
          </w:p>
        </w:tc>
        <w:tc>
          <w:tcPr>
            <w:tcW w:w="808" w:type="pct"/>
            <w:vMerge w:val="continue"/>
            <w:tcBorders>
              <w:left w:val="single" w:color="auto" w:sz="4" w:space="0"/>
              <w:right w:val="single" w:color="auto" w:sz="4" w:space="0"/>
            </w:tcBorders>
            <w:vAlign w:val="center"/>
          </w:tcPr>
          <w:p w14:paraId="71A312B4">
            <w:pPr>
              <w:widowControl/>
              <w:spacing w:line="240" w:lineRule="auto"/>
              <w:ind w:firstLine="0" w:firstLineChars="0"/>
              <w:jc w:val="center"/>
              <w:rPr>
                <w:rFonts w:cs="Times New Roman"/>
                <w:sz w:val="21"/>
                <w:szCs w:val="21"/>
                <w14:ligatures w14:val="none"/>
              </w:rPr>
            </w:pPr>
          </w:p>
        </w:tc>
      </w:tr>
      <w:tr w14:paraId="3C095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49" w:type="pct"/>
            <w:tcBorders>
              <w:top w:val="single" w:color="auto" w:sz="4" w:space="0"/>
              <w:left w:val="single" w:color="auto" w:sz="4" w:space="0"/>
              <w:bottom w:val="single" w:color="auto" w:sz="4" w:space="0"/>
              <w:right w:val="single" w:color="auto" w:sz="4" w:space="0"/>
            </w:tcBorders>
            <w:vAlign w:val="center"/>
          </w:tcPr>
          <w:p w14:paraId="73178E35">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2</w:t>
            </w:r>
          </w:p>
        </w:tc>
        <w:tc>
          <w:tcPr>
            <w:tcW w:w="536" w:type="pct"/>
            <w:tcBorders>
              <w:top w:val="single" w:color="auto" w:sz="4" w:space="0"/>
              <w:left w:val="single" w:color="auto" w:sz="4" w:space="0"/>
              <w:bottom w:val="single" w:color="auto" w:sz="4" w:space="0"/>
              <w:right w:val="single" w:color="auto" w:sz="4" w:space="0"/>
            </w:tcBorders>
            <w:vAlign w:val="center"/>
          </w:tcPr>
          <w:p w14:paraId="69B777CB">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氨</w:t>
            </w:r>
          </w:p>
        </w:tc>
        <w:tc>
          <w:tcPr>
            <w:tcW w:w="1614" w:type="pct"/>
            <w:tcBorders>
              <w:top w:val="single" w:color="auto" w:sz="4" w:space="0"/>
              <w:left w:val="single" w:color="auto" w:sz="4" w:space="0"/>
              <w:bottom w:val="single" w:color="auto" w:sz="4" w:space="0"/>
              <w:right w:val="single" w:color="auto" w:sz="4" w:space="0"/>
            </w:tcBorders>
            <w:vAlign w:val="center"/>
          </w:tcPr>
          <w:p w14:paraId="3E7BA05B">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乳胶制品企业浸渍、配料工艺装置</w:t>
            </w:r>
          </w:p>
        </w:tc>
        <w:tc>
          <w:tcPr>
            <w:tcW w:w="899" w:type="pct"/>
            <w:tcBorders>
              <w:top w:val="single" w:color="auto" w:sz="4" w:space="0"/>
              <w:left w:val="single" w:color="auto" w:sz="4" w:space="0"/>
              <w:bottom w:val="single" w:color="auto" w:sz="4" w:space="0"/>
              <w:right w:val="single" w:color="auto" w:sz="4" w:space="0"/>
            </w:tcBorders>
            <w:vAlign w:val="center"/>
          </w:tcPr>
          <w:p w14:paraId="27C39555">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10</w:t>
            </w:r>
          </w:p>
        </w:tc>
        <w:tc>
          <w:tcPr>
            <w:tcW w:w="792" w:type="pct"/>
            <w:tcBorders>
              <w:top w:val="single" w:color="auto" w:sz="4" w:space="0"/>
              <w:left w:val="single" w:color="auto" w:sz="4" w:space="0"/>
              <w:bottom w:val="single" w:color="auto" w:sz="4" w:space="0"/>
              <w:right w:val="single" w:color="auto" w:sz="4" w:space="0"/>
            </w:tcBorders>
            <w:vAlign w:val="center"/>
          </w:tcPr>
          <w:p w14:paraId="1544A24B">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80000</w:t>
            </w:r>
          </w:p>
        </w:tc>
        <w:tc>
          <w:tcPr>
            <w:tcW w:w="808" w:type="pct"/>
            <w:vMerge w:val="continue"/>
            <w:tcBorders>
              <w:left w:val="single" w:color="auto" w:sz="4" w:space="0"/>
              <w:right w:val="single" w:color="auto" w:sz="4" w:space="0"/>
            </w:tcBorders>
            <w:vAlign w:val="center"/>
          </w:tcPr>
          <w:p w14:paraId="0512C482">
            <w:pPr>
              <w:widowControl/>
              <w:spacing w:line="240" w:lineRule="auto"/>
              <w:ind w:firstLine="0" w:firstLineChars="0"/>
              <w:jc w:val="center"/>
              <w:rPr>
                <w:rFonts w:cs="Times New Roman"/>
                <w:sz w:val="21"/>
                <w:szCs w:val="21"/>
                <w14:ligatures w14:val="none"/>
              </w:rPr>
            </w:pPr>
          </w:p>
        </w:tc>
      </w:tr>
      <w:tr w14:paraId="751AD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49" w:type="pct"/>
            <w:tcBorders>
              <w:top w:val="single" w:color="auto" w:sz="4" w:space="0"/>
              <w:left w:val="single" w:color="auto" w:sz="4" w:space="0"/>
              <w:bottom w:val="single" w:color="auto" w:sz="4" w:space="0"/>
              <w:right w:val="single" w:color="auto" w:sz="4" w:space="0"/>
            </w:tcBorders>
            <w:vAlign w:val="center"/>
          </w:tcPr>
          <w:p w14:paraId="4D72F834">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3</w:t>
            </w:r>
          </w:p>
        </w:tc>
        <w:tc>
          <w:tcPr>
            <w:tcW w:w="536" w:type="pct"/>
            <w:tcBorders>
              <w:top w:val="single" w:color="auto" w:sz="4" w:space="0"/>
              <w:left w:val="single" w:color="auto" w:sz="4" w:space="0"/>
              <w:bottom w:val="single" w:color="auto" w:sz="4" w:space="0"/>
              <w:right w:val="single" w:color="auto" w:sz="4" w:space="0"/>
            </w:tcBorders>
            <w:vAlign w:val="center"/>
          </w:tcPr>
          <w:p w14:paraId="4EA8B862">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甲苯和二甲苯合计</w:t>
            </w:r>
          </w:p>
        </w:tc>
        <w:tc>
          <w:tcPr>
            <w:tcW w:w="1614" w:type="pct"/>
            <w:tcBorders>
              <w:top w:val="single" w:color="auto" w:sz="4" w:space="0"/>
              <w:left w:val="single" w:color="auto" w:sz="4" w:space="0"/>
              <w:bottom w:val="single" w:color="auto" w:sz="4" w:space="0"/>
              <w:right w:val="single" w:color="auto" w:sz="4" w:space="0"/>
            </w:tcBorders>
            <w:vAlign w:val="center"/>
          </w:tcPr>
          <w:p w14:paraId="39B66B1B">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轮胎企业及其他制品企业胶浆制备、浸浆、胶浆喷涂和涂胶装置</w:t>
            </w:r>
          </w:p>
        </w:tc>
        <w:tc>
          <w:tcPr>
            <w:tcW w:w="899" w:type="pct"/>
            <w:tcBorders>
              <w:top w:val="single" w:color="auto" w:sz="4" w:space="0"/>
              <w:left w:val="single" w:color="auto" w:sz="4" w:space="0"/>
              <w:bottom w:val="single" w:color="auto" w:sz="4" w:space="0"/>
              <w:right w:val="single" w:color="auto" w:sz="4" w:space="0"/>
            </w:tcBorders>
            <w:vAlign w:val="center"/>
          </w:tcPr>
          <w:p w14:paraId="2637CD0B">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15</w:t>
            </w:r>
          </w:p>
        </w:tc>
        <w:tc>
          <w:tcPr>
            <w:tcW w:w="792" w:type="pct"/>
            <w:tcBorders>
              <w:top w:val="single" w:color="auto" w:sz="4" w:space="0"/>
              <w:left w:val="single" w:color="auto" w:sz="4" w:space="0"/>
              <w:bottom w:val="single" w:color="auto" w:sz="4" w:space="0"/>
              <w:right w:val="single" w:color="auto" w:sz="4" w:space="0"/>
            </w:tcBorders>
            <w:vAlign w:val="center"/>
          </w:tcPr>
          <w:p w14:paraId="45C1D77E">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808" w:type="pct"/>
            <w:vMerge w:val="continue"/>
            <w:tcBorders>
              <w:left w:val="single" w:color="auto" w:sz="4" w:space="0"/>
              <w:right w:val="single" w:color="auto" w:sz="4" w:space="0"/>
            </w:tcBorders>
            <w:vAlign w:val="center"/>
          </w:tcPr>
          <w:p w14:paraId="3874D4F7">
            <w:pPr>
              <w:widowControl/>
              <w:spacing w:line="240" w:lineRule="auto"/>
              <w:ind w:firstLine="0" w:firstLineChars="0"/>
              <w:jc w:val="center"/>
              <w:rPr>
                <w:rFonts w:cs="Times New Roman"/>
                <w:sz w:val="21"/>
                <w:szCs w:val="21"/>
                <w14:ligatures w14:val="none"/>
              </w:rPr>
            </w:pPr>
          </w:p>
        </w:tc>
      </w:tr>
      <w:tr w14:paraId="580C3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49" w:type="pct"/>
            <w:vMerge w:val="restart"/>
            <w:tcBorders>
              <w:top w:val="single" w:color="auto" w:sz="4" w:space="0"/>
              <w:left w:val="single" w:color="auto" w:sz="4" w:space="0"/>
              <w:right w:val="single" w:color="auto" w:sz="4" w:space="0"/>
            </w:tcBorders>
            <w:vAlign w:val="center"/>
          </w:tcPr>
          <w:p w14:paraId="2218DD8D">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4</w:t>
            </w:r>
          </w:p>
        </w:tc>
        <w:tc>
          <w:tcPr>
            <w:tcW w:w="536" w:type="pct"/>
            <w:vMerge w:val="restart"/>
            <w:tcBorders>
              <w:top w:val="single" w:color="auto" w:sz="4" w:space="0"/>
              <w:left w:val="single" w:color="auto" w:sz="4" w:space="0"/>
              <w:right w:val="single" w:color="auto" w:sz="4" w:space="0"/>
            </w:tcBorders>
            <w:vAlign w:val="center"/>
          </w:tcPr>
          <w:p w14:paraId="2EF83048">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非甲烷总烃</w:t>
            </w:r>
          </w:p>
        </w:tc>
        <w:tc>
          <w:tcPr>
            <w:tcW w:w="1614" w:type="pct"/>
            <w:tcBorders>
              <w:top w:val="single" w:color="auto" w:sz="4" w:space="0"/>
              <w:left w:val="single" w:color="auto" w:sz="4" w:space="0"/>
              <w:bottom w:val="single" w:color="auto" w:sz="4" w:space="0"/>
              <w:right w:val="single" w:color="auto" w:sz="4" w:space="0"/>
            </w:tcBorders>
            <w:vAlign w:val="center"/>
          </w:tcPr>
          <w:p w14:paraId="02610DA1">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轮胎企业及其他制品企业炼胶、硫化装置</w:t>
            </w:r>
          </w:p>
        </w:tc>
        <w:tc>
          <w:tcPr>
            <w:tcW w:w="899" w:type="pct"/>
            <w:tcBorders>
              <w:top w:val="single" w:color="auto" w:sz="4" w:space="0"/>
              <w:left w:val="single" w:color="auto" w:sz="4" w:space="0"/>
              <w:bottom w:val="single" w:color="auto" w:sz="4" w:space="0"/>
              <w:right w:val="single" w:color="auto" w:sz="4" w:space="0"/>
            </w:tcBorders>
            <w:vAlign w:val="center"/>
          </w:tcPr>
          <w:p w14:paraId="60549A4D">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10</w:t>
            </w:r>
          </w:p>
        </w:tc>
        <w:tc>
          <w:tcPr>
            <w:tcW w:w="792" w:type="pct"/>
            <w:tcBorders>
              <w:top w:val="single" w:color="auto" w:sz="4" w:space="0"/>
              <w:left w:val="single" w:color="auto" w:sz="4" w:space="0"/>
              <w:bottom w:val="single" w:color="auto" w:sz="4" w:space="0"/>
              <w:right w:val="single" w:color="auto" w:sz="4" w:space="0"/>
            </w:tcBorders>
            <w:vAlign w:val="center"/>
          </w:tcPr>
          <w:p w14:paraId="28B05A63">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2000</w:t>
            </w:r>
          </w:p>
        </w:tc>
        <w:tc>
          <w:tcPr>
            <w:tcW w:w="808" w:type="pct"/>
            <w:vMerge w:val="continue"/>
            <w:tcBorders>
              <w:left w:val="single" w:color="auto" w:sz="4" w:space="0"/>
              <w:right w:val="single" w:color="auto" w:sz="4" w:space="0"/>
            </w:tcBorders>
            <w:vAlign w:val="center"/>
          </w:tcPr>
          <w:p w14:paraId="10884D5A">
            <w:pPr>
              <w:widowControl/>
              <w:spacing w:line="240" w:lineRule="auto"/>
              <w:ind w:firstLine="0" w:firstLineChars="0"/>
              <w:jc w:val="center"/>
              <w:rPr>
                <w:rFonts w:cs="Times New Roman"/>
                <w:sz w:val="21"/>
                <w:szCs w:val="21"/>
                <w14:ligatures w14:val="none"/>
              </w:rPr>
            </w:pPr>
          </w:p>
        </w:tc>
      </w:tr>
      <w:tr w14:paraId="647BA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49" w:type="pct"/>
            <w:vMerge w:val="continue"/>
            <w:tcBorders>
              <w:left w:val="single" w:color="auto" w:sz="4" w:space="0"/>
              <w:bottom w:val="single" w:color="auto" w:sz="4" w:space="0"/>
              <w:right w:val="single" w:color="auto" w:sz="4" w:space="0"/>
            </w:tcBorders>
            <w:vAlign w:val="center"/>
          </w:tcPr>
          <w:p w14:paraId="66B98177">
            <w:pPr>
              <w:widowControl/>
              <w:spacing w:line="240" w:lineRule="auto"/>
              <w:ind w:firstLine="0" w:firstLineChars="0"/>
              <w:jc w:val="center"/>
              <w:rPr>
                <w:rFonts w:cs="Times New Roman"/>
                <w:sz w:val="21"/>
                <w:szCs w:val="21"/>
                <w14:ligatures w14:val="none"/>
              </w:rPr>
            </w:pPr>
          </w:p>
        </w:tc>
        <w:tc>
          <w:tcPr>
            <w:tcW w:w="536" w:type="pct"/>
            <w:vMerge w:val="continue"/>
            <w:tcBorders>
              <w:left w:val="single" w:color="auto" w:sz="4" w:space="0"/>
              <w:bottom w:val="single" w:color="auto" w:sz="4" w:space="0"/>
              <w:right w:val="single" w:color="auto" w:sz="4" w:space="0"/>
            </w:tcBorders>
            <w:vAlign w:val="center"/>
          </w:tcPr>
          <w:p w14:paraId="75A88D44">
            <w:pPr>
              <w:widowControl/>
              <w:spacing w:line="240" w:lineRule="auto"/>
              <w:ind w:firstLine="0" w:firstLineChars="0"/>
              <w:jc w:val="center"/>
              <w:rPr>
                <w:rFonts w:cs="Times New Roman"/>
                <w:sz w:val="21"/>
                <w:szCs w:val="21"/>
                <w14:ligatures w14:val="none"/>
              </w:rPr>
            </w:pPr>
          </w:p>
        </w:tc>
        <w:tc>
          <w:tcPr>
            <w:tcW w:w="1614" w:type="pct"/>
            <w:tcBorders>
              <w:top w:val="single" w:color="auto" w:sz="4" w:space="0"/>
              <w:left w:val="single" w:color="auto" w:sz="4" w:space="0"/>
              <w:bottom w:val="single" w:color="auto" w:sz="4" w:space="0"/>
              <w:right w:val="single" w:color="auto" w:sz="4" w:space="0"/>
            </w:tcBorders>
            <w:vAlign w:val="center"/>
          </w:tcPr>
          <w:p w14:paraId="5E405E24">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轮胎企业及其他制品企业胶浆制备、浸浆、胶浆喷涂和涂胶装置</w:t>
            </w:r>
          </w:p>
        </w:tc>
        <w:tc>
          <w:tcPr>
            <w:tcW w:w="899" w:type="pct"/>
            <w:tcBorders>
              <w:top w:val="single" w:color="auto" w:sz="4" w:space="0"/>
              <w:left w:val="single" w:color="auto" w:sz="4" w:space="0"/>
              <w:bottom w:val="single" w:color="auto" w:sz="4" w:space="0"/>
              <w:right w:val="single" w:color="auto" w:sz="4" w:space="0"/>
            </w:tcBorders>
            <w:vAlign w:val="center"/>
          </w:tcPr>
          <w:p w14:paraId="66686F68">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100</w:t>
            </w:r>
          </w:p>
        </w:tc>
        <w:tc>
          <w:tcPr>
            <w:tcW w:w="792" w:type="pct"/>
            <w:tcBorders>
              <w:top w:val="single" w:color="auto" w:sz="4" w:space="0"/>
              <w:left w:val="single" w:color="auto" w:sz="4" w:space="0"/>
              <w:bottom w:val="single" w:color="auto" w:sz="4" w:space="0"/>
              <w:right w:val="single" w:color="auto" w:sz="4" w:space="0"/>
            </w:tcBorders>
            <w:vAlign w:val="center"/>
          </w:tcPr>
          <w:p w14:paraId="4F86CAF0">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808" w:type="pct"/>
            <w:vMerge w:val="continue"/>
            <w:tcBorders>
              <w:left w:val="single" w:color="auto" w:sz="4" w:space="0"/>
              <w:bottom w:val="single" w:color="auto" w:sz="4" w:space="0"/>
              <w:right w:val="single" w:color="auto" w:sz="4" w:space="0"/>
            </w:tcBorders>
            <w:vAlign w:val="center"/>
          </w:tcPr>
          <w:p w14:paraId="01243115">
            <w:pPr>
              <w:widowControl/>
              <w:spacing w:line="240" w:lineRule="auto"/>
              <w:ind w:firstLine="0" w:firstLineChars="0"/>
              <w:jc w:val="center"/>
              <w:rPr>
                <w:rFonts w:cs="Times New Roman"/>
                <w:sz w:val="21"/>
                <w:szCs w:val="21"/>
                <w14:ligatures w14:val="none"/>
              </w:rPr>
            </w:pPr>
          </w:p>
        </w:tc>
      </w:tr>
    </w:tbl>
    <w:p w14:paraId="76FF0736">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表1.7-</w:t>
      </w:r>
      <w:r>
        <w:rPr>
          <w:rFonts w:hint="eastAsia" w:cs="Times New Roman"/>
          <w:b/>
          <w:szCs w:val="24"/>
          <w14:ligatures w14:val="none"/>
        </w:rPr>
        <w:t>11</w:t>
      </w:r>
      <w:r>
        <w:rPr>
          <w:rFonts w:cs="Times New Roman"/>
          <w:b/>
          <w:szCs w:val="24"/>
          <w14:ligatures w14:val="none"/>
        </w:rPr>
        <w:t xml:space="preserve">  </w:t>
      </w:r>
      <w:r>
        <w:rPr>
          <w:rFonts w:hint="eastAsia" w:cs="Times New Roman"/>
          <w:b/>
          <w:szCs w:val="24"/>
          <w14:ligatures w14:val="none"/>
        </w:rPr>
        <w:t>大气污染物综合排放标准</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2"/>
        <w:gridCol w:w="1754"/>
        <w:gridCol w:w="2083"/>
        <w:gridCol w:w="1783"/>
        <w:gridCol w:w="1930"/>
      </w:tblGrid>
      <w:tr w14:paraId="19FD0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70" w:type="pct"/>
            <w:vMerge w:val="restart"/>
            <w:tcBorders>
              <w:top w:val="single" w:color="auto" w:sz="4" w:space="0"/>
              <w:left w:val="single" w:color="auto" w:sz="4" w:space="0"/>
              <w:right w:val="single" w:color="auto" w:sz="4" w:space="0"/>
            </w:tcBorders>
            <w:vAlign w:val="center"/>
          </w:tcPr>
          <w:p w14:paraId="30C498EE">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序号</w:t>
            </w:r>
          </w:p>
        </w:tc>
        <w:tc>
          <w:tcPr>
            <w:tcW w:w="1029" w:type="pct"/>
            <w:vMerge w:val="restart"/>
            <w:tcBorders>
              <w:top w:val="single" w:color="auto" w:sz="4" w:space="0"/>
              <w:left w:val="single" w:color="auto" w:sz="4" w:space="0"/>
              <w:right w:val="single" w:color="auto" w:sz="4" w:space="0"/>
            </w:tcBorders>
            <w:vAlign w:val="center"/>
          </w:tcPr>
          <w:p w14:paraId="012BB51C">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污染物</w:t>
            </w:r>
          </w:p>
        </w:tc>
        <w:tc>
          <w:tcPr>
            <w:tcW w:w="3400" w:type="pct"/>
            <w:gridSpan w:val="3"/>
            <w:tcBorders>
              <w:top w:val="single" w:color="auto" w:sz="4" w:space="0"/>
              <w:left w:val="single" w:color="auto" w:sz="4" w:space="0"/>
              <w:bottom w:val="single" w:color="auto" w:sz="4" w:space="0"/>
              <w:right w:val="single" w:color="auto" w:sz="4" w:space="0"/>
            </w:tcBorders>
            <w:vAlign w:val="center"/>
          </w:tcPr>
          <w:p w14:paraId="04CFB410">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江苏省《大气污染物综合排放标准》（DB 32/4041-2021）</w:t>
            </w:r>
          </w:p>
          <w:p w14:paraId="2F3B88D4">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自2022年7月1日起执行</w:t>
            </w:r>
          </w:p>
        </w:tc>
      </w:tr>
      <w:tr w14:paraId="63960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70" w:type="pct"/>
            <w:vMerge w:val="continue"/>
            <w:tcBorders>
              <w:left w:val="single" w:color="auto" w:sz="4" w:space="0"/>
              <w:bottom w:val="single" w:color="auto" w:sz="4" w:space="0"/>
              <w:right w:val="single" w:color="auto" w:sz="4" w:space="0"/>
            </w:tcBorders>
            <w:vAlign w:val="center"/>
          </w:tcPr>
          <w:p w14:paraId="1B544F48">
            <w:pPr>
              <w:widowControl/>
              <w:spacing w:line="240" w:lineRule="auto"/>
              <w:ind w:firstLine="0" w:firstLineChars="0"/>
              <w:jc w:val="center"/>
              <w:rPr>
                <w:rFonts w:cs="Times New Roman"/>
                <w:b/>
                <w:sz w:val="21"/>
                <w:szCs w:val="21"/>
                <w14:ligatures w14:val="none"/>
              </w:rPr>
            </w:pPr>
          </w:p>
        </w:tc>
        <w:tc>
          <w:tcPr>
            <w:tcW w:w="1029" w:type="pct"/>
            <w:vMerge w:val="continue"/>
            <w:tcBorders>
              <w:left w:val="single" w:color="auto" w:sz="4" w:space="0"/>
              <w:bottom w:val="single" w:color="auto" w:sz="4" w:space="0"/>
              <w:right w:val="single" w:color="auto" w:sz="4" w:space="0"/>
            </w:tcBorders>
            <w:vAlign w:val="center"/>
          </w:tcPr>
          <w:p w14:paraId="0C724AE6">
            <w:pPr>
              <w:widowControl/>
              <w:spacing w:line="240" w:lineRule="auto"/>
              <w:ind w:firstLine="0" w:firstLineChars="0"/>
              <w:jc w:val="center"/>
              <w:rPr>
                <w:rFonts w:cs="Times New Roman"/>
                <w:b/>
                <w:sz w:val="21"/>
                <w:szCs w:val="21"/>
                <w14:ligatures w14:val="none"/>
              </w:rPr>
            </w:pPr>
          </w:p>
        </w:tc>
        <w:tc>
          <w:tcPr>
            <w:tcW w:w="1222" w:type="pct"/>
            <w:tcBorders>
              <w:top w:val="single" w:color="auto" w:sz="4" w:space="0"/>
              <w:left w:val="single" w:color="auto" w:sz="4" w:space="0"/>
              <w:bottom w:val="single" w:color="auto" w:sz="4" w:space="0"/>
              <w:right w:val="single" w:color="auto" w:sz="4" w:space="0"/>
            </w:tcBorders>
            <w:vAlign w:val="center"/>
          </w:tcPr>
          <w:p w14:paraId="17B00B33">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最高允许排放浓度（mg/m</w:t>
            </w:r>
            <w:r>
              <w:rPr>
                <w:rFonts w:hint="eastAsia" w:cs="Times New Roman"/>
                <w:b/>
                <w:sz w:val="21"/>
                <w:szCs w:val="21"/>
                <w:vertAlign w:val="superscript"/>
                <w14:ligatures w14:val="none"/>
              </w:rPr>
              <w:t>3</w:t>
            </w:r>
            <w:r>
              <w:rPr>
                <w:rFonts w:hint="eastAsia" w:cs="Times New Roman"/>
                <w:b/>
                <w:sz w:val="21"/>
                <w:szCs w:val="21"/>
                <w14:ligatures w14:val="none"/>
              </w:rPr>
              <w:t>）</w:t>
            </w:r>
          </w:p>
        </w:tc>
        <w:tc>
          <w:tcPr>
            <w:tcW w:w="1046" w:type="pct"/>
            <w:tcBorders>
              <w:top w:val="single" w:color="auto" w:sz="4" w:space="0"/>
              <w:left w:val="single" w:color="auto" w:sz="4" w:space="0"/>
              <w:right w:val="single" w:color="auto" w:sz="4" w:space="0"/>
            </w:tcBorders>
            <w:vAlign w:val="center"/>
          </w:tcPr>
          <w:p w14:paraId="57AA50BF">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最高允许排放速率（kg/h）</w:t>
            </w:r>
          </w:p>
        </w:tc>
        <w:tc>
          <w:tcPr>
            <w:tcW w:w="1131" w:type="pct"/>
            <w:tcBorders>
              <w:top w:val="single" w:color="auto" w:sz="4" w:space="0"/>
              <w:left w:val="single" w:color="auto" w:sz="4" w:space="0"/>
              <w:bottom w:val="single" w:color="auto" w:sz="4" w:space="0"/>
              <w:right w:val="single" w:color="auto" w:sz="4" w:space="0"/>
            </w:tcBorders>
            <w:vAlign w:val="center"/>
          </w:tcPr>
          <w:p w14:paraId="3BE88DD6">
            <w:pPr>
              <w:widowControl/>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无组织排放监控浓度限值（mg/m</w:t>
            </w:r>
            <w:r>
              <w:rPr>
                <w:rFonts w:hint="eastAsia" w:cs="Times New Roman"/>
                <w:b/>
                <w:sz w:val="21"/>
                <w:szCs w:val="21"/>
                <w:vertAlign w:val="superscript"/>
                <w14:ligatures w14:val="none"/>
              </w:rPr>
              <w:t>3</w:t>
            </w:r>
            <w:r>
              <w:rPr>
                <w:rFonts w:hint="eastAsia" w:cs="Times New Roman"/>
                <w:b/>
                <w:sz w:val="21"/>
                <w:szCs w:val="21"/>
                <w14:ligatures w14:val="none"/>
              </w:rPr>
              <w:t>）</w:t>
            </w:r>
          </w:p>
        </w:tc>
      </w:tr>
      <w:tr w14:paraId="732AC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0" w:type="pct"/>
            <w:tcBorders>
              <w:top w:val="single" w:color="auto" w:sz="4" w:space="0"/>
              <w:left w:val="single" w:color="auto" w:sz="4" w:space="0"/>
              <w:bottom w:val="single" w:color="auto" w:sz="4" w:space="0"/>
              <w:right w:val="single" w:color="auto" w:sz="4" w:space="0"/>
            </w:tcBorders>
            <w:vAlign w:val="center"/>
          </w:tcPr>
          <w:p w14:paraId="0EE9FDA1">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1</w:t>
            </w:r>
          </w:p>
        </w:tc>
        <w:tc>
          <w:tcPr>
            <w:tcW w:w="1029" w:type="pct"/>
            <w:tcBorders>
              <w:top w:val="single" w:color="auto" w:sz="4" w:space="0"/>
              <w:left w:val="single" w:color="auto" w:sz="4" w:space="0"/>
              <w:bottom w:val="single" w:color="auto" w:sz="4" w:space="0"/>
              <w:right w:val="single" w:color="auto" w:sz="4" w:space="0"/>
            </w:tcBorders>
            <w:vAlign w:val="center"/>
          </w:tcPr>
          <w:p w14:paraId="41B3B326">
            <w:pPr>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SO</w:t>
            </w:r>
            <w:r>
              <w:rPr>
                <w:rFonts w:hint="eastAsia" w:cs="Times New Roman"/>
                <w:sz w:val="21"/>
                <w:szCs w:val="21"/>
                <w:vertAlign w:val="subscript"/>
                <w14:ligatures w14:val="none"/>
              </w:rPr>
              <w:t>2</w:t>
            </w:r>
          </w:p>
        </w:tc>
        <w:tc>
          <w:tcPr>
            <w:tcW w:w="1222" w:type="pct"/>
            <w:tcBorders>
              <w:top w:val="single" w:color="auto" w:sz="4" w:space="0"/>
              <w:left w:val="single" w:color="auto" w:sz="4" w:space="0"/>
              <w:bottom w:val="single" w:color="auto" w:sz="4" w:space="0"/>
              <w:right w:val="single" w:color="auto" w:sz="4" w:space="0"/>
            </w:tcBorders>
            <w:vAlign w:val="center"/>
          </w:tcPr>
          <w:p w14:paraId="25EC9259">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200</w:t>
            </w:r>
          </w:p>
        </w:tc>
        <w:tc>
          <w:tcPr>
            <w:tcW w:w="1046" w:type="pct"/>
            <w:tcBorders>
              <w:top w:val="single" w:color="auto" w:sz="4" w:space="0"/>
              <w:left w:val="single" w:color="auto" w:sz="4" w:space="0"/>
              <w:bottom w:val="single" w:color="auto" w:sz="4" w:space="0"/>
              <w:right w:val="single" w:color="auto" w:sz="4" w:space="0"/>
            </w:tcBorders>
            <w:vAlign w:val="center"/>
          </w:tcPr>
          <w:p w14:paraId="7FB71621">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1.4</w:t>
            </w:r>
          </w:p>
        </w:tc>
        <w:tc>
          <w:tcPr>
            <w:tcW w:w="1131" w:type="pct"/>
            <w:tcBorders>
              <w:top w:val="single" w:color="auto" w:sz="4" w:space="0"/>
              <w:left w:val="single" w:color="auto" w:sz="4" w:space="0"/>
              <w:bottom w:val="single" w:color="auto" w:sz="4" w:space="0"/>
              <w:right w:val="single" w:color="auto" w:sz="4" w:space="0"/>
            </w:tcBorders>
            <w:vAlign w:val="center"/>
          </w:tcPr>
          <w:p w14:paraId="2DD8D9DD">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0.4</w:t>
            </w:r>
          </w:p>
        </w:tc>
      </w:tr>
      <w:tr w14:paraId="1B307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0" w:type="pct"/>
            <w:tcBorders>
              <w:top w:val="single" w:color="auto" w:sz="4" w:space="0"/>
              <w:left w:val="single" w:color="auto" w:sz="4" w:space="0"/>
              <w:bottom w:val="single" w:color="auto" w:sz="4" w:space="0"/>
              <w:right w:val="single" w:color="auto" w:sz="4" w:space="0"/>
            </w:tcBorders>
            <w:vAlign w:val="center"/>
          </w:tcPr>
          <w:p w14:paraId="4A17ECCD">
            <w:pPr>
              <w:widowControl/>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2</w:t>
            </w:r>
          </w:p>
        </w:tc>
        <w:tc>
          <w:tcPr>
            <w:tcW w:w="1029" w:type="pct"/>
            <w:tcBorders>
              <w:top w:val="single" w:color="auto" w:sz="4" w:space="0"/>
              <w:left w:val="single" w:color="auto" w:sz="4" w:space="0"/>
              <w:bottom w:val="single" w:color="auto" w:sz="4" w:space="0"/>
              <w:right w:val="single" w:color="auto" w:sz="4" w:space="0"/>
            </w:tcBorders>
            <w:vAlign w:val="center"/>
          </w:tcPr>
          <w:p w14:paraId="12E44207">
            <w:pPr>
              <w:tabs>
                <w:tab w:val="left" w:pos="3960"/>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NO</w:t>
            </w:r>
            <w:r>
              <w:rPr>
                <w:rFonts w:hint="eastAsia" w:cs="Times New Roman"/>
                <w:sz w:val="21"/>
                <w:szCs w:val="21"/>
                <w:vertAlign w:val="subscript"/>
                <w14:ligatures w14:val="none"/>
              </w:rPr>
              <w:t>x</w:t>
            </w:r>
          </w:p>
        </w:tc>
        <w:tc>
          <w:tcPr>
            <w:tcW w:w="1222" w:type="pct"/>
            <w:tcBorders>
              <w:top w:val="single" w:color="auto" w:sz="4" w:space="0"/>
              <w:left w:val="single" w:color="auto" w:sz="4" w:space="0"/>
              <w:bottom w:val="single" w:color="auto" w:sz="4" w:space="0"/>
              <w:right w:val="single" w:color="auto" w:sz="4" w:space="0"/>
            </w:tcBorders>
            <w:vAlign w:val="center"/>
          </w:tcPr>
          <w:p w14:paraId="59C5B9F1">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100</w:t>
            </w:r>
          </w:p>
        </w:tc>
        <w:tc>
          <w:tcPr>
            <w:tcW w:w="1046" w:type="pct"/>
            <w:tcBorders>
              <w:top w:val="single" w:color="auto" w:sz="4" w:space="0"/>
              <w:left w:val="single" w:color="auto" w:sz="4" w:space="0"/>
              <w:bottom w:val="single" w:color="auto" w:sz="4" w:space="0"/>
              <w:right w:val="single" w:color="auto" w:sz="4" w:space="0"/>
            </w:tcBorders>
            <w:vAlign w:val="center"/>
          </w:tcPr>
          <w:p w14:paraId="117B439F">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0.47</w:t>
            </w:r>
          </w:p>
        </w:tc>
        <w:tc>
          <w:tcPr>
            <w:tcW w:w="1131" w:type="pct"/>
            <w:tcBorders>
              <w:top w:val="single" w:color="auto" w:sz="4" w:space="0"/>
              <w:left w:val="single" w:color="auto" w:sz="4" w:space="0"/>
              <w:bottom w:val="single" w:color="auto" w:sz="4" w:space="0"/>
              <w:right w:val="single" w:color="auto" w:sz="4" w:space="0"/>
            </w:tcBorders>
            <w:vAlign w:val="center"/>
          </w:tcPr>
          <w:p w14:paraId="40DDE1E9">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0.12</w:t>
            </w:r>
          </w:p>
        </w:tc>
      </w:tr>
      <w:tr w14:paraId="65385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0" w:type="pct"/>
            <w:tcBorders>
              <w:top w:val="single" w:color="auto" w:sz="4" w:space="0"/>
              <w:left w:val="single" w:color="auto" w:sz="4" w:space="0"/>
              <w:bottom w:val="single" w:color="auto" w:sz="4" w:space="0"/>
              <w:right w:val="single" w:color="auto" w:sz="4" w:space="0"/>
            </w:tcBorders>
            <w:vAlign w:val="center"/>
          </w:tcPr>
          <w:p w14:paraId="2D18586A">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3</w:t>
            </w:r>
          </w:p>
        </w:tc>
        <w:tc>
          <w:tcPr>
            <w:tcW w:w="1029" w:type="pct"/>
            <w:tcBorders>
              <w:top w:val="single" w:color="auto" w:sz="4" w:space="0"/>
              <w:left w:val="single" w:color="auto" w:sz="4" w:space="0"/>
              <w:bottom w:val="single" w:color="auto" w:sz="4" w:space="0"/>
              <w:right w:val="single" w:color="auto" w:sz="4" w:space="0"/>
            </w:tcBorders>
            <w:vAlign w:val="center"/>
          </w:tcPr>
          <w:p w14:paraId="1A0494BB">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颗粒物</w:t>
            </w:r>
          </w:p>
        </w:tc>
        <w:tc>
          <w:tcPr>
            <w:tcW w:w="1222" w:type="pct"/>
            <w:tcBorders>
              <w:top w:val="single" w:color="auto" w:sz="4" w:space="0"/>
              <w:left w:val="single" w:color="auto" w:sz="4" w:space="0"/>
              <w:bottom w:val="single" w:color="auto" w:sz="4" w:space="0"/>
              <w:right w:val="single" w:color="auto" w:sz="4" w:space="0"/>
            </w:tcBorders>
            <w:vAlign w:val="center"/>
          </w:tcPr>
          <w:p w14:paraId="3CCA8294">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20</w:t>
            </w:r>
          </w:p>
        </w:tc>
        <w:tc>
          <w:tcPr>
            <w:tcW w:w="1046" w:type="pct"/>
            <w:tcBorders>
              <w:top w:val="single" w:color="auto" w:sz="4" w:space="0"/>
              <w:left w:val="single" w:color="auto" w:sz="4" w:space="0"/>
              <w:bottom w:val="single" w:color="auto" w:sz="4" w:space="0"/>
              <w:right w:val="single" w:color="auto" w:sz="4" w:space="0"/>
            </w:tcBorders>
            <w:vAlign w:val="center"/>
          </w:tcPr>
          <w:p w14:paraId="40004DE5">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w:t>
            </w:r>
          </w:p>
        </w:tc>
        <w:tc>
          <w:tcPr>
            <w:tcW w:w="1131" w:type="pct"/>
            <w:tcBorders>
              <w:top w:val="single" w:color="auto" w:sz="4" w:space="0"/>
              <w:left w:val="single" w:color="auto" w:sz="4" w:space="0"/>
              <w:bottom w:val="single" w:color="auto" w:sz="4" w:space="0"/>
              <w:right w:val="single" w:color="auto" w:sz="4" w:space="0"/>
            </w:tcBorders>
            <w:vAlign w:val="center"/>
          </w:tcPr>
          <w:p w14:paraId="66B913C5">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0.5</w:t>
            </w:r>
          </w:p>
        </w:tc>
      </w:tr>
      <w:tr w14:paraId="14F50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0" w:type="pct"/>
            <w:tcBorders>
              <w:top w:val="single" w:color="auto" w:sz="4" w:space="0"/>
              <w:left w:val="single" w:color="auto" w:sz="4" w:space="0"/>
              <w:bottom w:val="single" w:color="auto" w:sz="4" w:space="0"/>
              <w:right w:val="single" w:color="auto" w:sz="4" w:space="0"/>
            </w:tcBorders>
            <w:vAlign w:val="center"/>
          </w:tcPr>
          <w:p w14:paraId="3D13FCE2">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4</w:t>
            </w:r>
          </w:p>
        </w:tc>
        <w:tc>
          <w:tcPr>
            <w:tcW w:w="1029" w:type="pct"/>
            <w:tcBorders>
              <w:top w:val="single" w:color="auto" w:sz="4" w:space="0"/>
              <w:left w:val="single" w:color="auto" w:sz="4" w:space="0"/>
              <w:bottom w:val="single" w:color="auto" w:sz="4" w:space="0"/>
              <w:right w:val="single" w:color="auto" w:sz="4" w:space="0"/>
            </w:tcBorders>
            <w:vAlign w:val="center"/>
          </w:tcPr>
          <w:p w14:paraId="42D933C2">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CO</w:t>
            </w:r>
          </w:p>
        </w:tc>
        <w:tc>
          <w:tcPr>
            <w:tcW w:w="1222" w:type="pct"/>
            <w:tcBorders>
              <w:top w:val="single" w:color="auto" w:sz="4" w:space="0"/>
              <w:left w:val="single" w:color="auto" w:sz="4" w:space="0"/>
              <w:bottom w:val="single" w:color="auto" w:sz="4" w:space="0"/>
              <w:right w:val="single" w:color="auto" w:sz="4" w:space="0"/>
            </w:tcBorders>
            <w:vAlign w:val="center"/>
          </w:tcPr>
          <w:p w14:paraId="21A36229">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1000</w:t>
            </w:r>
          </w:p>
        </w:tc>
        <w:tc>
          <w:tcPr>
            <w:tcW w:w="1046" w:type="pct"/>
            <w:tcBorders>
              <w:top w:val="single" w:color="auto" w:sz="4" w:space="0"/>
              <w:left w:val="single" w:color="auto" w:sz="4" w:space="0"/>
              <w:bottom w:val="single" w:color="auto" w:sz="4" w:space="0"/>
              <w:right w:val="single" w:color="auto" w:sz="4" w:space="0"/>
            </w:tcBorders>
            <w:vAlign w:val="center"/>
          </w:tcPr>
          <w:p w14:paraId="13F979B7">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24</w:t>
            </w:r>
          </w:p>
        </w:tc>
        <w:tc>
          <w:tcPr>
            <w:tcW w:w="1131" w:type="pct"/>
            <w:tcBorders>
              <w:top w:val="single" w:color="auto" w:sz="4" w:space="0"/>
              <w:left w:val="single" w:color="auto" w:sz="4" w:space="0"/>
              <w:bottom w:val="single" w:color="auto" w:sz="4" w:space="0"/>
              <w:right w:val="single" w:color="auto" w:sz="4" w:space="0"/>
            </w:tcBorders>
            <w:vAlign w:val="center"/>
          </w:tcPr>
          <w:p w14:paraId="64BF2B82">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10</w:t>
            </w:r>
          </w:p>
        </w:tc>
      </w:tr>
      <w:tr w14:paraId="0E02D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0" w:type="pct"/>
            <w:tcBorders>
              <w:top w:val="single" w:color="auto" w:sz="4" w:space="0"/>
              <w:left w:val="single" w:color="auto" w:sz="4" w:space="0"/>
              <w:bottom w:val="single" w:color="auto" w:sz="4" w:space="0"/>
              <w:right w:val="single" w:color="auto" w:sz="4" w:space="0"/>
            </w:tcBorders>
            <w:vAlign w:val="center"/>
          </w:tcPr>
          <w:p w14:paraId="16EA6354">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5</w:t>
            </w:r>
          </w:p>
        </w:tc>
        <w:tc>
          <w:tcPr>
            <w:tcW w:w="1029" w:type="pct"/>
            <w:tcBorders>
              <w:top w:val="single" w:color="auto" w:sz="4" w:space="0"/>
              <w:left w:val="single" w:color="auto" w:sz="4" w:space="0"/>
              <w:bottom w:val="single" w:color="auto" w:sz="4" w:space="0"/>
              <w:right w:val="single" w:color="auto" w:sz="4" w:space="0"/>
            </w:tcBorders>
            <w:vAlign w:val="center"/>
          </w:tcPr>
          <w:p w14:paraId="38F1596B">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硫酸雾</w:t>
            </w:r>
          </w:p>
        </w:tc>
        <w:tc>
          <w:tcPr>
            <w:tcW w:w="1222" w:type="pct"/>
            <w:tcBorders>
              <w:top w:val="single" w:color="auto" w:sz="4" w:space="0"/>
              <w:left w:val="single" w:color="auto" w:sz="4" w:space="0"/>
              <w:bottom w:val="single" w:color="auto" w:sz="4" w:space="0"/>
              <w:right w:val="single" w:color="auto" w:sz="4" w:space="0"/>
            </w:tcBorders>
            <w:vAlign w:val="center"/>
          </w:tcPr>
          <w:p w14:paraId="1E0037CA">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5</w:t>
            </w:r>
          </w:p>
        </w:tc>
        <w:tc>
          <w:tcPr>
            <w:tcW w:w="1046" w:type="pct"/>
            <w:tcBorders>
              <w:top w:val="single" w:color="auto" w:sz="4" w:space="0"/>
              <w:left w:val="single" w:color="auto" w:sz="4" w:space="0"/>
              <w:bottom w:val="single" w:color="auto" w:sz="4" w:space="0"/>
              <w:right w:val="single" w:color="auto" w:sz="4" w:space="0"/>
            </w:tcBorders>
            <w:vAlign w:val="center"/>
          </w:tcPr>
          <w:p w14:paraId="0968F2AA">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1.1</w:t>
            </w:r>
          </w:p>
        </w:tc>
        <w:tc>
          <w:tcPr>
            <w:tcW w:w="1131" w:type="pct"/>
            <w:tcBorders>
              <w:top w:val="single" w:color="auto" w:sz="4" w:space="0"/>
              <w:left w:val="single" w:color="auto" w:sz="4" w:space="0"/>
              <w:bottom w:val="single" w:color="auto" w:sz="4" w:space="0"/>
              <w:right w:val="single" w:color="auto" w:sz="4" w:space="0"/>
            </w:tcBorders>
            <w:vAlign w:val="center"/>
          </w:tcPr>
          <w:p w14:paraId="1A3212AA">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0.3</w:t>
            </w:r>
          </w:p>
        </w:tc>
      </w:tr>
      <w:tr w14:paraId="4C7B6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0" w:type="pct"/>
            <w:tcBorders>
              <w:top w:val="single" w:color="auto" w:sz="4" w:space="0"/>
              <w:left w:val="single" w:color="auto" w:sz="4" w:space="0"/>
              <w:bottom w:val="single" w:color="auto" w:sz="4" w:space="0"/>
              <w:right w:val="single" w:color="auto" w:sz="4" w:space="0"/>
            </w:tcBorders>
            <w:vAlign w:val="center"/>
          </w:tcPr>
          <w:p w14:paraId="1D4CDBA8">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6</w:t>
            </w:r>
          </w:p>
        </w:tc>
        <w:tc>
          <w:tcPr>
            <w:tcW w:w="1029" w:type="pct"/>
            <w:tcBorders>
              <w:top w:val="single" w:color="auto" w:sz="4" w:space="0"/>
              <w:left w:val="single" w:color="auto" w:sz="4" w:space="0"/>
              <w:bottom w:val="single" w:color="auto" w:sz="4" w:space="0"/>
              <w:right w:val="single" w:color="auto" w:sz="4" w:space="0"/>
            </w:tcBorders>
            <w:vAlign w:val="center"/>
          </w:tcPr>
          <w:p w14:paraId="28937368">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氯化氢</w:t>
            </w:r>
          </w:p>
        </w:tc>
        <w:tc>
          <w:tcPr>
            <w:tcW w:w="1222" w:type="pct"/>
            <w:tcBorders>
              <w:top w:val="single" w:color="auto" w:sz="4" w:space="0"/>
              <w:left w:val="single" w:color="auto" w:sz="4" w:space="0"/>
              <w:bottom w:val="single" w:color="auto" w:sz="4" w:space="0"/>
              <w:right w:val="single" w:color="auto" w:sz="4" w:space="0"/>
            </w:tcBorders>
            <w:vAlign w:val="center"/>
          </w:tcPr>
          <w:p w14:paraId="3BBF192D">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10</w:t>
            </w:r>
          </w:p>
        </w:tc>
        <w:tc>
          <w:tcPr>
            <w:tcW w:w="1046" w:type="pct"/>
            <w:tcBorders>
              <w:top w:val="single" w:color="auto" w:sz="4" w:space="0"/>
              <w:left w:val="single" w:color="auto" w:sz="4" w:space="0"/>
              <w:bottom w:val="single" w:color="auto" w:sz="4" w:space="0"/>
              <w:right w:val="single" w:color="auto" w:sz="4" w:space="0"/>
            </w:tcBorders>
            <w:vAlign w:val="center"/>
          </w:tcPr>
          <w:p w14:paraId="2D359643">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0.18</w:t>
            </w:r>
          </w:p>
        </w:tc>
        <w:tc>
          <w:tcPr>
            <w:tcW w:w="1131" w:type="pct"/>
            <w:tcBorders>
              <w:top w:val="single" w:color="auto" w:sz="4" w:space="0"/>
              <w:left w:val="single" w:color="auto" w:sz="4" w:space="0"/>
              <w:bottom w:val="single" w:color="auto" w:sz="4" w:space="0"/>
              <w:right w:val="single" w:color="auto" w:sz="4" w:space="0"/>
            </w:tcBorders>
            <w:vAlign w:val="center"/>
          </w:tcPr>
          <w:p w14:paraId="7BD243AE">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0.05</w:t>
            </w:r>
          </w:p>
        </w:tc>
      </w:tr>
      <w:tr w14:paraId="44420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0" w:type="pct"/>
            <w:tcBorders>
              <w:top w:val="single" w:color="auto" w:sz="4" w:space="0"/>
              <w:left w:val="single" w:color="auto" w:sz="4" w:space="0"/>
              <w:bottom w:val="single" w:color="auto" w:sz="4" w:space="0"/>
              <w:right w:val="single" w:color="auto" w:sz="4" w:space="0"/>
            </w:tcBorders>
            <w:vAlign w:val="center"/>
          </w:tcPr>
          <w:p w14:paraId="34DF3F91">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7</w:t>
            </w:r>
          </w:p>
        </w:tc>
        <w:tc>
          <w:tcPr>
            <w:tcW w:w="1029" w:type="pct"/>
            <w:tcBorders>
              <w:top w:val="single" w:color="auto" w:sz="4" w:space="0"/>
              <w:left w:val="single" w:color="auto" w:sz="4" w:space="0"/>
              <w:bottom w:val="single" w:color="auto" w:sz="4" w:space="0"/>
              <w:right w:val="single" w:color="auto" w:sz="4" w:space="0"/>
            </w:tcBorders>
            <w:vAlign w:val="center"/>
          </w:tcPr>
          <w:p w14:paraId="739673D7">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非甲烷总烃</w:t>
            </w:r>
          </w:p>
        </w:tc>
        <w:tc>
          <w:tcPr>
            <w:tcW w:w="1222" w:type="pct"/>
            <w:tcBorders>
              <w:top w:val="single" w:color="auto" w:sz="4" w:space="0"/>
              <w:left w:val="single" w:color="auto" w:sz="4" w:space="0"/>
              <w:bottom w:val="single" w:color="auto" w:sz="4" w:space="0"/>
              <w:right w:val="single" w:color="auto" w:sz="4" w:space="0"/>
            </w:tcBorders>
            <w:vAlign w:val="center"/>
          </w:tcPr>
          <w:p w14:paraId="6DE6FAF6">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60</w:t>
            </w:r>
          </w:p>
        </w:tc>
        <w:tc>
          <w:tcPr>
            <w:tcW w:w="1046" w:type="pct"/>
            <w:tcBorders>
              <w:top w:val="single" w:color="auto" w:sz="4" w:space="0"/>
              <w:left w:val="single" w:color="auto" w:sz="4" w:space="0"/>
              <w:bottom w:val="single" w:color="auto" w:sz="4" w:space="0"/>
              <w:right w:val="single" w:color="auto" w:sz="4" w:space="0"/>
            </w:tcBorders>
            <w:vAlign w:val="center"/>
          </w:tcPr>
          <w:p w14:paraId="513692F2">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3</w:t>
            </w:r>
          </w:p>
        </w:tc>
        <w:tc>
          <w:tcPr>
            <w:tcW w:w="1131" w:type="pct"/>
            <w:tcBorders>
              <w:top w:val="single" w:color="auto" w:sz="4" w:space="0"/>
              <w:left w:val="single" w:color="auto" w:sz="4" w:space="0"/>
              <w:bottom w:val="single" w:color="auto" w:sz="4" w:space="0"/>
              <w:right w:val="single" w:color="auto" w:sz="4" w:space="0"/>
            </w:tcBorders>
            <w:vAlign w:val="center"/>
          </w:tcPr>
          <w:p w14:paraId="35B03730">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4</w:t>
            </w:r>
          </w:p>
        </w:tc>
      </w:tr>
    </w:tbl>
    <w:p w14:paraId="391B21E2">
      <w:pPr>
        <w:widowControl/>
        <w:snapToGrid w:val="0"/>
        <w:spacing w:before="62" w:beforeLines="20" w:after="62" w:afterLines="20" w:line="500" w:lineRule="exact"/>
        <w:ind w:firstLine="0" w:firstLineChars="0"/>
        <w:jc w:val="center"/>
        <w:outlineLvl w:val="6"/>
        <w:rPr>
          <w:rFonts w:cs="Times New Roman"/>
          <w:b/>
          <w:szCs w:val="24"/>
          <w14:ligatures w14:val="none"/>
        </w:rPr>
        <w:sectPr>
          <w:pgSz w:w="11906" w:h="16838"/>
          <w:pgMar w:top="1440" w:right="1800" w:bottom="1440" w:left="1800" w:header="851" w:footer="992" w:gutter="0"/>
          <w:cols w:space="425" w:num="1"/>
          <w:docGrid w:type="lines" w:linePitch="312" w:charSpace="0"/>
        </w:sectPr>
      </w:pPr>
    </w:p>
    <w:p w14:paraId="352575E3">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表1.7-</w:t>
      </w:r>
      <w:r>
        <w:rPr>
          <w:rFonts w:hint="eastAsia" w:cs="Times New Roman"/>
          <w:b/>
          <w:szCs w:val="24"/>
          <w14:ligatures w14:val="none"/>
        </w:rPr>
        <w:t>12</w:t>
      </w:r>
      <w:r>
        <w:rPr>
          <w:rFonts w:cs="Times New Roman"/>
          <w:b/>
          <w:szCs w:val="24"/>
          <w14:ligatures w14:val="none"/>
        </w:rPr>
        <w:t xml:space="preserve">  </w:t>
      </w:r>
      <w:r>
        <w:rPr>
          <w:rFonts w:hint="eastAsia" w:cs="Times New Roman"/>
          <w:b/>
          <w:szCs w:val="24"/>
          <w14:ligatures w14:val="none"/>
        </w:rPr>
        <w:t>饮食业单位油烟排放标准</w:t>
      </w:r>
    </w:p>
    <w:tbl>
      <w:tblPr>
        <w:tblStyle w:val="25"/>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999"/>
        <w:gridCol w:w="1670"/>
        <w:gridCol w:w="1828"/>
        <w:gridCol w:w="1829"/>
      </w:tblGrid>
      <w:tr w14:paraId="3C0B8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801" w:type="pct"/>
            <w:vAlign w:val="center"/>
          </w:tcPr>
          <w:p w14:paraId="79285423">
            <w:pPr>
              <w:tabs>
                <w:tab w:val="left" w:pos="0"/>
              </w:tabs>
              <w:adjustRightInd w:val="0"/>
              <w:snapToGrid w:val="0"/>
              <w:spacing w:line="240" w:lineRule="auto"/>
              <w:ind w:firstLine="0" w:firstLineChars="0"/>
              <w:jc w:val="center"/>
              <w:rPr>
                <w:rFonts w:cs="Times New Roman"/>
                <w:b/>
                <w:bCs/>
                <w:kern w:val="0"/>
                <w:sz w:val="21"/>
                <w:szCs w:val="21"/>
                <w:lang w:val="zh-CN"/>
                <w14:ligatures w14:val="none"/>
              </w:rPr>
            </w:pPr>
            <w:r>
              <w:rPr>
                <w:rFonts w:hint="eastAsia" w:cs="Times New Roman"/>
                <w:b/>
                <w:bCs/>
                <w:kern w:val="0"/>
                <w:sz w:val="21"/>
                <w:szCs w:val="21"/>
                <w:lang w:val="zh-CN"/>
                <w14:ligatures w14:val="none"/>
              </w:rPr>
              <w:t>规模</w:t>
            </w:r>
          </w:p>
        </w:tc>
        <w:tc>
          <w:tcPr>
            <w:tcW w:w="1003" w:type="pct"/>
            <w:vAlign w:val="center"/>
          </w:tcPr>
          <w:p w14:paraId="1B30B848">
            <w:pPr>
              <w:tabs>
                <w:tab w:val="left" w:pos="0"/>
              </w:tabs>
              <w:adjustRightInd w:val="0"/>
              <w:snapToGrid w:val="0"/>
              <w:spacing w:line="240" w:lineRule="auto"/>
              <w:ind w:firstLine="0" w:firstLineChars="0"/>
              <w:jc w:val="center"/>
              <w:rPr>
                <w:rFonts w:cs="Times New Roman"/>
                <w:b/>
                <w:bCs/>
                <w:kern w:val="0"/>
                <w:sz w:val="21"/>
                <w:szCs w:val="21"/>
                <w:lang w:val="zh-CN"/>
                <w14:ligatures w14:val="none"/>
              </w:rPr>
            </w:pPr>
            <w:r>
              <w:rPr>
                <w:rFonts w:hint="eastAsia" w:cs="Times New Roman"/>
                <w:b/>
                <w:bCs/>
                <w:kern w:val="0"/>
                <w:sz w:val="21"/>
                <w:szCs w:val="21"/>
                <w:lang w:val="zh-CN"/>
                <w14:ligatures w14:val="none"/>
              </w:rPr>
              <w:t>小型</w:t>
            </w:r>
          </w:p>
        </w:tc>
        <w:tc>
          <w:tcPr>
            <w:tcW w:w="1098" w:type="pct"/>
            <w:vAlign w:val="center"/>
          </w:tcPr>
          <w:p w14:paraId="371A557C">
            <w:pPr>
              <w:tabs>
                <w:tab w:val="left" w:pos="0"/>
              </w:tabs>
              <w:adjustRightInd w:val="0"/>
              <w:snapToGrid w:val="0"/>
              <w:spacing w:line="240" w:lineRule="auto"/>
              <w:ind w:firstLine="0" w:firstLineChars="0"/>
              <w:jc w:val="center"/>
              <w:rPr>
                <w:rFonts w:cs="Times New Roman"/>
                <w:b/>
                <w:bCs/>
                <w:kern w:val="0"/>
                <w:sz w:val="21"/>
                <w:szCs w:val="21"/>
                <w:lang w:val="zh-CN"/>
                <w14:ligatures w14:val="none"/>
              </w:rPr>
            </w:pPr>
            <w:r>
              <w:rPr>
                <w:rFonts w:hint="eastAsia" w:cs="Times New Roman"/>
                <w:b/>
                <w:bCs/>
                <w:kern w:val="0"/>
                <w:sz w:val="21"/>
                <w:szCs w:val="21"/>
                <w:lang w:val="zh-CN"/>
                <w14:ligatures w14:val="none"/>
              </w:rPr>
              <w:t>中型</w:t>
            </w:r>
          </w:p>
        </w:tc>
        <w:tc>
          <w:tcPr>
            <w:tcW w:w="1098" w:type="pct"/>
            <w:vAlign w:val="center"/>
          </w:tcPr>
          <w:p w14:paraId="084E39C9">
            <w:pPr>
              <w:tabs>
                <w:tab w:val="left" w:pos="0"/>
              </w:tabs>
              <w:adjustRightInd w:val="0"/>
              <w:snapToGrid w:val="0"/>
              <w:spacing w:line="240" w:lineRule="auto"/>
              <w:ind w:firstLine="0" w:firstLineChars="0"/>
              <w:jc w:val="center"/>
              <w:rPr>
                <w:rFonts w:cs="Times New Roman"/>
                <w:b/>
                <w:bCs/>
                <w:kern w:val="0"/>
                <w:sz w:val="21"/>
                <w:szCs w:val="21"/>
                <w:lang w:val="zh-CN"/>
                <w14:ligatures w14:val="none"/>
              </w:rPr>
            </w:pPr>
            <w:r>
              <w:rPr>
                <w:rFonts w:hint="eastAsia" w:cs="Times New Roman"/>
                <w:b/>
                <w:bCs/>
                <w:kern w:val="0"/>
                <w:sz w:val="21"/>
                <w:szCs w:val="21"/>
                <w:lang w:val="zh-CN"/>
                <w14:ligatures w14:val="none"/>
              </w:rPr>
              <w:t>大型</w:t>
            </w:r>
          </w:p>
        </w:tc>
      </w:tr>
      <w:tr w14:paraId="2C66D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801" w:type="pct"/>
            <w:vAlign w:val="center"/>
          </w:tcPr>
          <w:p w14:paraId="2284D75C">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基准灶头数</w:t>
            </w:r>
          </w:p>
        </w:tc>
        <w:tc>
          <w:tcPr>
            <w:tcW w:w="1003" w:type="pct"/>
            <w:vAlign w:val="center"/>
          </w:tcPr>
          <w:p w14:paraId="5D46B737">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≥1，＜3</w:t>
            </w:r>
          </w:p>
        </w:tc>
        <w:tc>
          <w:tcPr>
            <w:tcW w:w="1098" w:type="pct"/>
            <w:vAlign w:val="center"/>
          </w:tcPr>
          <w:p w14:paraId="7CEFAE2A">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≥3，＜6</w:t>
            </w:r>
          </w:p>
        </w:tc>
        <w:tc>
          <w:tcPr>
            <w:tcW w:w="1098" w:type="pct"/>
            <w:vAlign w:val="center"/>
          </w:tcPr>
          <w:p w14:paraId="11F984C3">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≥6</w:t>
            </w:r>
          </w:p>
        </w:tc>
      </w:tr>
      <w:tr w14:paraId="625DA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801" w:type="pct"/>
            <w:vAlign w:val="center"/>
          </w:tcPr>
          <w:p w14:paraId="00766396">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对应灶头总功率（10</w:t>
            </w:r>
            <w:r>
              <w:rPr>
                <w:rFonts w:hint="eastAsia" w:cs="Times New Roman"/>
                <w:bCs/>
                <w:sz w:val="21"/>
                <w:szCs w:val="21"/>
                <w:vertAlign w:val="superscript"/>
                <w:lang w:val="zh-CN"/>
                <w14:ligatures w14:val="none"/>
              </w:rPr>
              <w:t>8</w:t>
            </w:r>
            <w:r>
              <w:rPr>
                <w:rFonts w:hint="eastAsia" w:cs="Times New Roman"/>
                <w:bCs/>
                <w:sz w:val="21"/>
                <w:szCs w:val="21"/>
                <w:lang w:val="zh-CN"/>
                <w14:ligatures w14:val="none"/>
              </w:rPr>
              <w:t>J/h）</w:t>
            </w:r>
          </w:p>
        </w:tc>
        <w:tc>
          <w:tcPr>
            <w:tcW w:w="1003" w:type="pct"/>
            <w:vAlign w:val="center"/>
          </w:tcPr>
          <w:p w14:paraId="58D725B7">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1.67，＜5.00</w:t>
            </w:r>
          </w:p>
        </w:tc>
        <w:tc>
          <w:tcPr>
            <w:tcW w:w="1098" w:type="pct"/>
            <w:vAlign w:val="center"/>
          </w:tcPr>
          <w:p w14:paraId="50CECE79">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≥5.00，＜10</w:t>
            </w:r>
          </w:p>
        </w:tc>
        <w:tc>
          <w:tcPr>
            <w:tcW w:w="1098" w:type="pct"/>
            <w:vAlign w:val="center"/>
          </w:tcPr>
          <w:p w14:paraId="28D3D9F7">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≥10</w:t>
            </w:r>
          </w:p>
        </w:tc>
      </w:tr>
      <w:tr w14:paraId="39CA2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801" w:type="pct"/>
            <w:vAlign w:val="center"/>
          </w:tcPr>
          <w:p w14:paraId="3D36F821">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对应排气罩灶面总投影面积（m</w:t>
            </w:r>
            <w:r>
              <w:rPr>
                <w:rFonts w:hint="eastAsia" w:cs="Times New Roman"/>
                <w:bCs/>
                <w:sz w:val="21"/>
                <w:szCs w:val="21"/>
                <w:vertAlign w:val="superscript"/>
                <w:lang w:val="zh-CN"/>
                <w14:ligatures w14:val="none"/>
              </w:rPr>
              <w:t>2</w:t>
            </w:r>
            <w:r>
              <w:rPr>
                <w:rFonts w:hint="eastAsia" w:cs="Times New Roman"/>
                <w:bCs/>
                <w:sz w:val="21"/>
                <w:szCs w:val="21"/>
                <w:lang w:val="zh-CN"/>
                <w14:ligatures w14:val="none"/>
              </w:rPr>
              <w:t>）</w:t>
            </w:r>
          </w:p>
        </w:tc>
        <w:tc>
          <w:tcPr>
            <w:tcW w:w="1003" w:type="pct"/>
            <w:vAlign w:val="center"/>
          </w:tcPr>
          <w:p w14:paraId="00D9DAB1">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≥1.1，＜3.3</w:t>
            </w:r>
          </w:p>
        </w:tc>
        <w:tc>
          <w:tcPr>
            <w:tcW w:w="1098" w:type="pct"/>
            <w:vAlign w:val="center"/>
          </w:tcPr>
          <w:p w14:paraId="40A75D77">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≥3.3，＜6.6</w:t>
            </w:r>
          </w:p>
        </w:tc>
        <w:tc>
          <w:tcPr>
            <w:tcW w:w="1098" w:type="pct"/>
            <w:vAlign w:val="center"/>
          </w:tcPr>
          <w:p w14:paraId="6FB97BAA">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≥6.6</w:t>
            </w:r>
          </w:p>
        </w:tc>
      </w:tr>
      <w:tr w14:paraId="56594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801" w:type="pct"/>
            <w:tcBorders>
              <w:top w:val="single" w:color="auto" w:sz="4" w:space="0"/>
              <w:left w:val="single" w:color="auto" w:sz="4" w:space="0"/>
              <w:bottom w:val="single" w:color="auto" w:sz="4" w:space="0"/>
              <w:right w:val="single" w:color="auto" w:sz="4" w:space="0"/>
            </w:tcBorders>
            <w:vAlign w:val="center"/>
          </w:tcPr>
          <w:p w14:paraId="1A72C40D">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最高允许排放浓度（mg/m</w:t>
            </w:r>
            <w:r>
              <w:rPr>
                <w:rFonts w:hint="eastAsia" w:cs="Times New Roman"/>
                <w:bCs/>
                <w:sz w:val="21"/>
                <w:szCs w:val="21"/>
                <w:vertAlign w:val="superscript"/>
                <w:lang w:val="zh-CN"/>
                <w14:ligatures w14:val="none"/>
              </w:rPr>
              <w:t>3</w:t>
            </w:r>
            <w:r>
              <w:rPr>
                <w:rFonts w:hint="eastAsia" w:cs="Times New Roman"/>
                <w:bCs/>
                <w:sz w:val="21"/>
                <w:szCs w:val="21"/>
                <w:lang w:val="zh-CN"/>
                <w14:ligatures w14:val="none"/>
              </w:rPr>
              <w:t>）</w:t>
            </w:r>
          </w:p>
        </w:tc>
        <w:tc>
          <w:tcPr>
            <w:tcW w:w="3199" w:type="pct"/>
            <w:gridSpan w:val="3"/>
            <w:tcBorders>
              <w:top w:val="single" w:color="auto" w:sz="4" w:space="0"/>
              <w:left w:val="single" w:color="auto" w:sz="4" w:space="0"/>
              <w:bottom w:val="single" w:color="auto" w:sz="4" w:space="0"/>
              <w:right w:val="single" w:color="auto" w:sz="4" w:space="0"/>
            </w:tcBorders>
            <w:vAlign w:val="center"/>
          </w:tcPr>
          <w:p w14:paraId="3FD7D6D4">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2.0</w:t>
            </w:r>
          </w:p>
        </w:tc>
      </w:tr>
      <w:tr w14:paraId="270A0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801" w:type="pct"/>
            <w:tcBorders>
              <w:top w:val="single" w:color="auto" w:sz="4" w:space="0"/>
              <w:left w:val="single" w:color="auto" w:sz="4" w:space="0"/>
              <w:bottom w:val="single" w:color="auto" w:sz="4" w:space="0"/>
              <w:right w:val="single" w:color="auto" w:sz="4" w:space="0"/>
            </w:tcBorders>
            <w:vAlign w:val="center"/>
          </w:tcPr>
          <w:p w14:paraId="3B12E8D6">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净化设施最低去除效率（%）</w:t>
            </w:r>
          </w:p>
        </w:tc>
        <w:tc>
          <w:tcPr>
            <w:tcW w:w="1003" w:type="pct"/>
            <w:tcBorders>
              <w:top w:val="single" w:color="auto" w:sz="4" w:space="0"/>
              <w:left w:val="single" w:color="auto" w:sz="4" w:space="0"/>
              <w:bottom w:val="single" w:color="auto" w:sz="4" w:space="0"/>
              <w:right w:val="single" w:color="auto" w:sz="4" w:space="0"/>
            </w:tcBorders>
            <w:vAlign w:val="center"/>
          </w:tcPr>
          <w:p w14:paraId="5F7B3D78">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60</w:t>
            </w:r>
          </w:p>
        </w:tc>
        <w:tc>
          <w:tcPr>
            <w:tcW w:w="1098" w:type="pct"/>
            <w:tcBorders>
              <w:top w:val="single" w:color="auto" w:sz="4" w:space="0"/>
              <w:left w:val="single" w:color="auto" w:sz="4" w:space="0"/>
              <w:bottom w:val="single" w:color="auto" w:sz="4" w:space="0"/>
              <w:right w:val="single" w:color="auto" w:sz="4" w:space="0"/>
            </w:tcBorders>
            <w:vAlign w:val="center"/>
          </w:tcPr>
          <w:p w14:paraId="15F21BBC">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75</w:t>
            </w:r>
          </w:p>
        </w:tc>
        <w:tc>
          <w:tcPr>
            <w:tcW w:w="1098" w:type="pct"/>
            <w:tcBorders>
              <w:top w:val="single" w:color="auto" w:sz="4" w:space="0"/>
              <w:left w:val="single" w:color="auto" w:sz="4" w:space="0"/>
              <w:bottom w:val="single" w:color="auto" w:sz="4" w:space="0"/>
              <w:right w:val="single" w:color="auto" w:sz="4" w:space="0"/>
            </w:tcBorders>
            <w:vAlign w:val="center"/>
          </w:tcPr>
          <w:p w14:paraId="041EA76F">
            <w:pPr>
              <w:tabs>
                <w:tab w:val="left" w:pos="0"/>
              </w:tabs>
              <w:adjustRightInd w:val="0"/>
              <w:snapToGrid w:val="0"/>
              <w:spacing w:line="240" w:lineRule="auto"/>
              <w:ind w:firstLine="0" w:firstLineChars="0"/>
              <w:jc w:val="center"/>
              <w:rPr>
                <w:rFonts w:cs="Times New Roman"/>
                <w:bCs/>
                <w:sz w:val="21"/>
                <w:szCs w:val="21"/>
                <w:lang w:val="zh-CN"/>
                <w14:ligatures w14:val="none"/>
              </w:rPr>
            </w:pPr>
            <w:r>
              <w:rPr>
                <w:rFonts w:hint="eastAsia" w:cs="Times New Roman"/>
                <w:bCs/>
                <w:sz w:val="21"/>
                <w:szCs w:val="21"/>
                <w:lang w:val="zh-CN"/>
                <w14:ligatures w14:val="none"/>
              </w:rPr>
              <w:t>85</w:t>
            </w:r>
          </w:p>
        </w:tc>
      </w:tr>
    </w:tbl>
    <w:p w14:paraId="45B96B0D">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表1.7-</w:t>
      </w:r>
      <w:r>
        <w:rPr>
          <w:rFonts w:hint="eastAsia" w:cs="Times New Roman"/>
          <w:b/>
          <w:szCs w:val="24"/>
          <w14:ligatures w14:val="none"/>
        </w:rPr>
        <w:t>13</w:t>
      </w:r>
      <w:r>
        <w:rPr>
          <w:rFonts w:cs="Times New Roman"/>
          <w:b/>
          <w:szCs w:val="24"/>
          <w14:ligatures w14:val="none"/>
        </w:rPr>
        <w:t xml:space="preserve">  </w:t>
      </w:r>
      <w:r>
        <w:rPr>
          <w:rFonts w:hint="eastAsia" w:cs="Times New Roman"/>
          <w:b/>
          <w:szCs w:val="24"/>
          <w14:ligatures w14:val="none"/>
        </w:rPr>
        <w:t>施工场地扬尘排放浓度标准</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8"/>
        <w:gridCol w:w="4148"/>
      </w:tblGrid>
      <w:tr w14:paraId="0F8B8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148" w:type="dxa"/>
            <w:vAlign w:val="center"/>
          </w:tcPr>
          <w:p w14:paraId="754CA198">
            <w:pPr>
              <w:spacing w:line="240" w:lineRule="auto"/>
              <w:ind w:firstLine="0" w:firstLineChars="0"/>
              <w:jc w:val="center"/>
              <w:rPr>
                <w:b/>
                <w:bCs/>
                <w:sz w:val="21"/>
                <w:szCs w:val="21"/>
              </w:rPr>
            </w:pPr>
            <w:r>
              <w:rPr>
                <w:rFonts w:hint="eastAsia"/>
                <w:b/>
                <w:bCs/>
                <w:sz w:val="21"/>
                <w:szCs w:val="21"/>
              </w:rPr>
              <w:t>污染物</w:t>
            </w:r>
          </w:p>
        </w:tc>
        <w:tc>
          <w:tcPr>
            <w:tcW w:w="4148" w:type="dxa"/>
            <w:vAlign w:val="center"/>
          </w:tcPr>
          <w:p w14:paraId="17E03630">
            <w:pPr>
              <w:spacing w:line="240" w:lineRule="auto"/>
              <w:ind w:firstLine="0" w:firstLineChars="0"/>
              <w:jc w:val="center"/>
              <w:rPr>
                <w:b/>
                <w:bCs/>
                <w:sz w:val="21"/>
                <w:szCs w:val="21"/>
              </w:rPr>
            </w:pPr>
            <w:r>
              <w:rPr>
                <w:rFonts w:hint="eastAsia"/>
                <w:b/>
                <w:bCs/>
                <w:sz w:val="21"/>
                <w:szCs w:val="21"/>
              </w:rPr>
              <w:t>浓度限值</w:t>
            </w:r>
          </w:p>
        </w:tc>
      </w:tr>
      <w:tr w14:paraId="55601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vAlign w:val="center"/>
          </w:tcPr>
          <w:p w14:paraId="77C24A50">
            <w:pPr>
              <w:spacing w:line="240" w:lineRule="auto"/>
              <w:ind w:firstLine="0" w:firstLineChars="0"/>
              <w:jc w:val="center"/>
              <w:rPr>
                <w:sz w:val="21"/>
                <w:szCs w:val="21"/>
              </w:rPr>
            </w:pPr>
            <w:r>
              <w:rPr>
                <w:rFonts w:hint="eastAsia"/>
                <w:sz w:val="21"/>
                <w:szCs w:val="21"/>
              </w:rPr>
              <w:t>TSP</w:t>
            </w:r>
            <w:r>
              <w:rPr>
                <w:rFonts w:hint="eastAsia"/>
                <w:sz w:val="21"/>
                <w:szCs w:val="21"/>
                <w:vertAlign w:val="superscript"/>
              </w:rPr>
              <w:t>[1]</w:t>
            </w:r>
          </w:p>
        </w:tc>
        <w:tc>
          <w:tcPr>
            <w:tcW w:w="4148" w:type="dxa"/>
            <w:vAlign w:val="center"/>
          </w:tcPr>
          <w:p w14:paraId="73A9D512">
            <w:pPr>
              <w:spacing w:line="240" w:lineRule="auto"/>
              <w:ind w:firstLine="0" w:firstLineChars="0"/>
              <w:jc w:val="center"/>
              <w:rPr>
                <w:sz w:val="21"/>
                <w:szCs w:val="21"/>
              </w:rPr>
            </w:pPr>
            <w:r>
              <w:rPr>
                <w:rFonts w:hint="eastAsia"/>
                <w:sz w:val="21"/>
                <w:szCs w:val="21"/>
              </w:rPr>
              <w:t>500</w:t>
            </w:r>
          </w:p>
        </w:tc>
      </w:tr>
      <w:tr w14:paraId="3D784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vAlign w:val="center"/>
          </w:tcPr>
          <w:p w14:paraId="6260AC14">
            <w:pPr>
              <w:spacing w:line="240" w:lineRule="auto"/>
              <w:ind w:firstLine="0" w:firstLineChars="0"/>
              <w:jc w:val="center"/>
              <w:rPr>
                <w:sz w:val="21"/>
                <w:szCs w:val="21"/>
              </w:rPr>
            </w:pPr>
            <w:r>
              <w:rPr>
                <w:rFonts w:hint="eastAsia"/>
                <w:sz w:val="21"/>
                <w:szCs w:val="21"/>
              </w:rPr>
              <w:t>PM</w:t>
            </w:r>
            <w:r>
              <w:rPr>
                <w:rFonts w:hint="eastAsia"/>
                <w:sz w:val="21"/>
                <w:szCs w:val="21"/>
                <w:vertAlign w:val="subscript"/>
              </w:rPr>
              <w:t>10</w:t>
            </w:r>
            <w:r>
              <w:rPr>
                <w:rFonts w:hint="eastAsia"/>
                <w:sz w:val="21"/>
                <w:szCs w:val="21"/>
                <w:vertAlign w:val="superscript"/>
              </w:rPr>
              <w:t>[2]</w:t>
            </w:r>
          </w:p>
        </w:tc>
        <w:tc>
          <w:tcPr>
            <w:tcW w:w="4148" w:type="dxa"/>
            <w:vAlign w:val="center"/>
          </w:tcPr>
          <w:p w14:paraId="31B6661D">
            <w:pPr>
              <w:spacing w:line="240" w:lineRule="auto"/>
              <w:ind w:firstLine="0" w:firstLineChars="0"/>
              <w:jc w:val="center"/>
              <w:rPr>
                <w:sz w:val="21"/>
                <w:szCs w:val="21"/>
              </w:rPr>
            </w:pPr>
            <w:r>
              <w:rPr>
                <w:rFonts w:hint="eastAsia"/>
                <w:sz w:val="21"/>
                <w:szCs w:val="21"/>
              </w:rPr>
              <w:t>80</w:t>
            </w:r>
          </w:p>
        </w:tc>
      </w:tr>
    </w:tbl>
    <w:p w14:paraId="49673341">
      <w:pPr>
        <w:ind w:firstLine="0" w:firstLineChars="0"/>
        <w:rPr>
          <w:rFonts w:cs="Times New Roman"/>
          <w:sz w:val="20"/>
          <w:szCs w:val="18"/>
        </w:rPr>
      </w:pPr>
      <w:r>
        <w:rPr>
          <w:rFonts w:cs="Times New Roman"/>
          <w:sz w:val="20"/>
          <w:szCs w:val="18"/>
        </w:rPr>
        <w:t>注：</w:t>
      </w:r>
      <w:r>
        <w:rPr>
          <w:rFonts w:hint="eastAsia" w:cs="Times New Roman"/>
          <w:sz w:val="20"/>
          <w:szCs w:val="18"/>
          <w:vertAlign w:val="superscript"/>
        </w:rPr>
        <w:t>[1]</w:t>
      </w:r>
      <w:r>
        <w:rPr>
          <w:rFonts w:hint="eastAsia" w:cs="Times New Roman"/>
          <w:sz w:val="20"/>
          <w:szCs w:val="18"/>
        </w:rPr>
        <w:t xml:space="preserve"> </w:t>
      </w:r>
      <w:r>
        <w:rPr>
          <w:rFonts w:cs="Times New Roman"/>
          <w:sz w:val="20"/>
          <w:szCs w:val="18"/>
        </w:rPr>
        <w:t>任一监控点（TSP自动监测）自整时起依次顺延15min的总悬浮颗粒物浓度平均值不应超过的限值。根据HJ633判定设区市AQI在200~300之间且首要污染物为PM</w:t>
      </w:r>
      <w:r>
        <w:rPr>
          <w:rFonts w:cs="Times New Roman"/>
          <w:sz w:val="20"/>
          <w:szCs w:val="18"/>
          <w:vertAlign w:val="subscript"/>
        </w:rPr>
        <w:t>10</w:t>
      </w:r>
      <w:r>
        <w:rPr>
          <w:rFonts w:cs="Times New Roman"/>
          <w:sz w:val="20"/>
          <w:szCs w:val="18"/>
        </w:rPr>
        <w:t>或PM</w:t>
      </w:r>
      <w:r>
        <w:rPr>
          <w:rFonts w:cs="Times New Roman"/>
          <w:sz w:val="20"/>
          <w:szCs w:val="18"/>
          <w:vertAlign w:val="subscript"/>
        </w:rPr>
        <w:t>2.5</w:t>
      </w:r>
      <w:r>
        <w:rPr>
          <w:rFonts w:cs="Times New Roman"/>
          <w:sz w:val="20"/>
          <w:szCs w:val="18"/>
        </w:rPr>
        <w:t>时，TSP实测值扣除200μg/m</w:t>
      </w:r>
      <w:r>
        <w:rPr>
          <w:rFonts w:cs="Times New Roman"/>
          <w:sz w:val="20"/>
          <w:szCs w:val="18"/>
          <w:vertAlign w:val="superscript"/>
        </w:rPr>
        <w:t>3</w:t>
      </w:r>
      <w:r>
        <w:rPr>
          <w:rFonts w:cs="Times New Roman"/>
          <w:sz w:val="20"/>
          <w:szCs w:val="18"/>
        </w:rPr>
        <w:t>后再进行评价；</w:t>
      </w:r>
      <w:r>
        <w:rPr>
          <w:rFonts w:hint="eastAsia" w:cs="Times New Roman"/>
          <w:sz w:val="20"/>
          <w:szCs w:val="18"/>
          <w:vertAlign w:val="superscript"/>
        </w:rPr>
        <w:t xml:space="preserve">[2] </w:t>
      </w:r>
      <w:r>
        <w:rPr>
          <w:rFonts w:cs="Times New Roman"/>
          <w:sz w:val="20"/>
          <w:szCs w:val="18"/>
        </w:rPr>
        <w:t>任一监控点（PM</w:t>
      </w:r>
      <w:r>
        <w:rPr>
          <w:rFonts w:cs="Times New Roman"/>
          <w:sz w:val="20"/>
          <w:szCs w:val="18"/>
          <w:vertAlign w:val="subscript"/>
        </w:rPr>
        <w:t>10</w:t>
      </w:r>
      <w:r>
        <w:rPr>
          <w:rFonts w:cs="Times New Roman"/>
          <w:sz w:val="20"/>
          <w:szCs w:val="18"/>
        </w:rPr>
        <w:t>自动监测）自整时起依次顺延1h的PM</w:t>
      </w:r>
      <w:r>
        <w:rPr>
          <w:rFonts w:cs="Times New Roman"/>
          <w:sz w:val="20"/>
          <w:szCs w:val="18"/>
          <w:vertAlign w:val="subscript"/>
        </w:rPr>
        <w:t>10</w:t>
      </w:r>
      <w:r>
        <w:rPr>
          <w:rFonts w:cs="Times New Roman"/>
          <w:sz w:val="20"/>
          <w:szCs w:val="18"/>
        </w:rPr>
        <w:t>浓度平均值与同时段所属设区市PM</w:t>
      </w:r>
      <w:r>
        <w:rPr>
          <w:rFonts w:cs="Times New Roman"/>
          <w:sz w:val="20"/>
          <w:szCs w:val="18"/>
          <w:vertAlign w:val="subscript"/>
        </w:rPr>
        <w:t>10</w:t>
      </w:r>
      <w:r>
        <w:rPr>
          <w:rFonts w:cs="Times New Roman"/>
          <w:sz w:val="20"/>
          <w:szCs w:val="18"/>
        </w:rPr>
        <w:t>小时平均浓度的差值不应超过的限值。</w:t>
      </w:r>
    </w:p>
    <w:p w14:paraId="17261B29">
      <w:pPr>
        <w:ind w:firstLine="482"/>
        <w:outlineLvl w:val="3"/>
        <w:rPr>
          <w:b/>
          <w:bCs/>
        </w:rPr>
      </w:pPr>
      <w:r>
        <w:rPr>
          <w:rFonts w:hint="eastAsia"/>
          <w:b/>
          <w:bCs/>
        </w:rPr>
        <w:t>（2）废水污染物排放标准</w:t>
      </w:r>
    </w:p>
    <w:p w14:paraId="2BEC9F81">
      <w:pPr>
        <w:ind w:firstLine="480"/>
      </w:pPr>
      <w:r>
        <w:rPr>
          <w:rFonts w:hint="eastAsia"/>
        </w:rPr>
        <w:t>1）污水处理厂排放标准</w:t>
      </w:r>
    </w:p>
    <w:p w14:paraId="2FAFE6C4">
      <w:pPr>
        <w:ind w:firstLine="480"/>
      </w:pPr>
      <w:r>
        <w:rPr>
          <w:rFonts w:hint="eastAsia"/>
        </w:rPr>
        <w:t>金坛区茅东污水处理厂进水水质要求如表1</w:t>
      </w:r>
      <w:r>
        <w:t>.7</w:t>
      </w:r>
      <w:r>
        <w:rPr>
          <w:rFonts w:hint="eastAsia"/>
        </w:rPr>
        <w:t>-14所示。污水处理厂出水COD、TN、NH</w:t>
      </w:r>
      <w:r>
        <w:rPr>
          <w:vertAlign w:val="subscript"/>
        </w:rPr>
        <w:t>3</w:t>
      </w:r>
      <w:r>
        <w:rPr>
          <w:rFonts w:hint="eastAsia"/>
        </w:rPr>
        <w:t>-N、TP现执行《太湖地区城镇污水处理厂及重点工业行业主要水污染物排放限值》（DB32/1072-2018）表2中排放限值；BOD、SS执行《城镇污水处理厂污染物排放标准》（GB18918-2002）一级A标准。2026年后执行《城镇污水处理厂污染物排放标准》（DB32/4440-2022）（2022年12月28日发布，2023年3月28日实施）表1、表2中C标准。具体尾水水质排放标准如表1</w:t>
      </w:r>
      <w:r>
        <w:t>.7</w:t>
      </w:r>
      <w:r>
        <w:rPr>
          <w:rFonts w:hint="eastAsia"/>
        </w:rPr>
        <w:t>-15所示。</w:t>
      </w:r>
    </w:p>
    <w:p w14:paraId="0A34AAF3">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表1.7-</w:t>
      </w:r>
      <w:r>
        <w:rPr>
          <w:rFonts w:hint="eastAsia" w:cs="Times New Roman"/>
          <w:b/>
          <w:szCs w:val="24"/>
          <w14:ligatures w14:val="none"/>
        </w:rPr>
        <w:t>14</w:t>
      </w:r>
      <w:r>
        <w:rPr>
          <w:rFonts w:cs="Times New Roman"/>
          <w:b/>
          <w:szCs w:val="24"/>
          <w14:ligatures w14:val="none"/>
        </w:rPr>
        <w:t xml:space="preserve">  </w:t>
      </w:r>
      <w:r>
        <w:rPr>
          <w:rFonts w:hint="eastAsia" w:cs="Times New Roman"/>
          <w:b/>
          <w:szCs w:val="24"/>
          <w14:ligatures w14:val="none"/>
        </w:rPr>
        <w:t>金坛区茅东污水处理厂进水水质要求</w:t>
      </w:r>
    </w:p>
    <w:tbl>
      <w:tblPr>
        <w:tblStyle w:val="25"/>
        <w:tblW w:w="81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3909"/>
        <w:gridCol w:w="2402"/>
      </w:tblGrid>
      <w:tr w14:paraId="6AC4C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838" w:type="dxa"/>
            <w:tcBorders>
              <w:top w:val="single" w:color="auto" w:sz="4" w:space="0"/>
              <w:left w:val="single" w:color="auto" w:sz="4" w:space="0"/>
              <w:bottom w:val="single" w:color="auto" w:sz="4" w:space="0"/>
              <w:right w:val="single" w:color="auto" w:sz="4" w:space="0"/>
            </w:tcBorders>
            <w:vAlign w:val="center"/>
          </w:tcPr>
          <w:p w14:paraId="218ED32B">
            <w:pPr>
              <w:widowControl/>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序号</w:t>
            </w:r>
          </w:p>
        </w:tc>
        <w:tc>
          <w:tcPr>
            <w:tcW w:w="3909" w:type="dxa"/>
            <w:tcBorders>
              <w:top w:val="single" w:color="auto" w:sz="4" w:space="0"/>
              <w:left w:val="single" w:color="auto" w:sz="4" w:space="0"/>
              <w:bottom w:val="single" w:color="auto" w:sz="4" w:space="0"/>
              <w:right w:val="single" w:color="auto" w:sz="4" w:space="0"/>
            </w:tcBorders>
            <w:vAlign w:val="center"/>
          </w:tcPr>
          <w:p w14:paraId="7F47D682">
            <w:pPr>
              <w:widowControl/>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基本控制项目</w:t>
            </w:r>
          </w:p>
        </w:tc>
        <w:tc>
          <w:tcPr>
            <w:tcW w:w="2402" w:type="dxa"/>
            <w:tcBorders>
              <w:top w:val="single" w:color="auto" w:sz="4" w:space="0"/>
              <w:left w:val="single" w:color="auto" w:sz="4" w:space="0"/>
              <w:bottom w:val="single" w:color="auto" w:sz="4" w:space="0"/>
              <w:right w:val="single" w:color="auto" w:sz="4" w:space="0"/>
            </w:tcBorders>
            <w:vAlign w:val="center"/>
          </w:tcPr>
          <w:p w14:paraId="01FD3AC8">
            <w:pPr>
              <w:widowControl/>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数值</w:t>
            </w:r>
          </w:p>
        </w:tc>
      </w:tr>
      <w:tr w14:paraId="6C43D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19152C26">
            <w:pPr>
              <w:widowControl/>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1</w:t>
            </w:r>
          </w:p>
        </w:tc>
        <w:tc>
          <w:tcPr>
            <w:tcW w:w="3909" w:type="dxa"/>
            <w:tcBorders>
              <w:top w:val="single" w:color="auto" w:sz="4" w:space="0"/>
              <w:left w:val="single" w:color="auto" w:sz="4" w:space="0"/>
              <w:bottom w:val="single" w:color="auto" w:sz="4" w:space="0"/>
              <w:right w:val="single" w:color="auto" w:sz="4" w:space="0"/>
            </w:tcBorders>
            <w:vAlign w:val="center"/>
          </w:tcPr>
          <w:p w14:paraId="5C4B6F5E">
            <w:pPr>
              <w:widowControl/>
              <w:spacing w:line="240" w:lineRule="auto"/>
              <w:ind w:firstLine="0" w:firstLineChars="0"/>
              <w:jc w:val="center"/>
              <w:rPr>
                <w:rFonts w:cs="Times New Roman"/>
                <w:sz w:val="21"/>
                <w:szCs w:val="21"/>
              </w:rPr>
            </w:pPr>
            <w:r>
              <w:rPr>
                <w:rFonts w:hint="eastAsia" w:cs="Times New Roman"/>
                <w:bCs/>
                <w:kern w:val="0"/>
                <w:sz w:val="21"/>
                <w:szCs w:val="21"/>
                <w14:ligatures w14:val="none"/>
              </w:rPr>
              <w:t>化学需氧量（COD</w:t>
            </w:r>
            <w:r>
              <w:rPr>
                <w:rFonts w:hint="eastAsia" w:cs="Times New Roman"/>
                <w:bCs/>
                <w:kern w:val="0"/>
                <w:sz w:val="21"/>
                <w:szCs w:val="21"/>
                <w:vertAlign w:val="subscript"/>
                <w14:ligatures w14:val="none"/>
              </w:rPr>
              <w:t>Cr</w:t>
            </w:r>
            <w:r>
              <w:rPr>
                <w:rFonts w:hint="eastAsia" w:cs="Times New Roman"/>
                <w:bCs/>
                <w:kern w:val="0"/>
                <w:sz w:val="21"/>
                <w:szCs w:val="21"/>
                <w14:ligatures w14:val="none"/>
              </w:rPr>
              <w:t>）</w:t>
            </w:r>
          </w:p>
        </w:tc>
        <w:tc>
          <w:tcPr>
            <w:tcW w:w="2402" w:type="dxa"/>
            <w:tcBorders>
              <w:top w:val="single" w:color="auto" w:sz="4" w:space="0"/>
              <w:left w:val="single" w:color="auto" w:sz="4" w:space="0"/>
              <w:bottom w:val="single" w:color="auto" w:sz="4" w:space="0"/>
              <w:right w:val="single" w:color="auto" w:sz="4" w:space="0"/>
            </w:tcBorders>
            <w:vAlign w:val="center"/>
          </w:tcPr>
          <w:p w14:paraId="54FC4084">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400mg/l</w:t>
            </w:r>
          </w:p>
        </w:tc>
      </w:tr>
      <w:tr w14:paraId="3BDF3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02094821">
            <w:pPr>
              <w:widowControl/>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2</w:t>
            </w:r>
          </w:p>
        </w:tc>
        <w:tc>
          <w:tcPr>
            <w:tcW w:w="3909" w:type="dxa"/>
            <w:tcBorders>
              <w:top w:val="single" w:color="auto" w:sz="4" w:space="0"/>
              <w:left w:val="single" w:color="auto" w:sz="4" w:space="0"/>
              <w:bottom w:val="single" w:color="auto" w:sz="4" w:space="0"/>
              <w:right w:val="single" w:color="auto" w:sz="4" w:space="0"/>
            </w:tcBorders>
            <w:vAlign w:val="center"/>
          </w:tcPr>
          <w:p w14:paraId="6CAABA42">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生化需氧量（BOD</w:t>
            </w:r>
            <w:r>
              <w:rPr>
                <w:rFonts w:hint="eastAsia" w:cs="Times New Roman"/>
                <w:bCs/>
                <w:kern w:val="0"/>
                <w:sz w:val="21"/>
                <w:szCs w:val="21"/>
                <w:vertAlign w:val="subscript"/>
                <w14:ligatures w14:val="none"/>
              </w:rPr>
              <w:t>5</w:t>
            </w:r>
            <w:r>
              <w:rPr>
                <w:rFonts w:hint="eastAsia" w:cs="Times New Roman"/>
                <w:bCs/>
                <w:kern w:val="0"/>
                <w:sz w:val="21"/>
                <w:szCs w:val="21"/>
                <w14:ligatures w14:val="none"/>
              </w:rPr>
              <w:t>）</w:t>
            </w:r>
          </w:p>
          <w:p w14:paraId="3920DBDA">
            <w:pPr>
              <w:ind w:firstLine="420"/>
              <w:rPr>
                <w:rFonts w:cs="Times New Roman"/>
                <w:sz w:val="21"/>
                <w:szCs w:val="21"/>
              </w:rPr>
            </w:pPr>
          </w:p>
        </w:tc>
        <w:tc>
          <w:tcPr>
            <w:tcW w:w="2402" w:type="dxa"/>
            <w:tcBorders>
              <w:top w:val="single" w:color="auto" w:sz="4" w:space="0"/>
              <w:left w:val="single" w:color="auto" w:sz="4" w:space="0"/>
              <w:bottom w:val="single" w:color="auto" w:sz="4" w:space="0"/>
              <w:right w:val="single" w:color="auto" w:sz="4" w:space="0"/>
            </w:tcBorders>
            <w:vAlign w:val="center"/>
          </w:tcPr>
          <w:p w14:paraId="3C9F0713">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180mg/l</w:t>
            </w:r>
          </w:p>
        </w:tc>
      </w:tr>
      <w:tr w14:paraId="3C42E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7E19D626">
            <w:pPr>
              <w:widowControl/>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3</w:t>
            </w:r>
          </w:p>
        </w:tc>
        <w:tc>
          <w:tcPr>
            <w:tcW w:w="3909" w:type="dxa"/>
            <w:tcBorders>
              <w:top w:val="single" w:color="auto" w:sz="4" w:space="0"/>
              <w:left w:val="single" w:color="auto" w:sz="4" w:space="0"/>
              <w:bottom w:val="single" w:color="auto" w:sz="4" w:space="0"/>
              <w:right w:val="single" w:color="auto" w:sz="4" w:space="0"/>
            </w:tcBorders>
            <w:vAlign w:val="center"/>
          </w:tcPr>
          <w:p w14:paraId="40397122">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悬浮物（SS）</w:t>
            </w:r>
          </w:p>
        </w:tc>
        <w:tc>
          <w:tcPr>
            <w:tcW w:w="2402" w:type="dxa"/>
            <w:tcBorders>
              <w:top w:val="single" w:color="auto" w:sz="4" w:space="0"/>
              <w:left w:val="single" w:color="auto" w:sz="4" w:space="0"/>
              <w:bottom w:val="single" w:color="auto" w:sz="4" w:space="0"/>
              <w:right w:val="single" w:color="auto" w:sz="4" w:space="0"/>
            </w:tcBorders>
            <w:vAlign w:val="center"/>
          </w:tcPr>
          <w:p w14:paraId="76B5EC9B">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250mg/l</w:t>
            </w:r>
          </w:p>
        </w:tc>
      </w:tr>
      <w:tr w14:paraId="331CC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6E79829C">
            <w:pPr>
              <w:widowControl/>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4</w:t>
            </w:r>
          </w:p>
        </w:tc>
        <w:tc>
          <w:tcPr>
            <w:tcW w:w="3909" w:type="dxa"/>
            <w:tcBorders>
              <w:top w:val="single" w:color="auto" w:sz="4" w:space="0"/>
              <w:left w:val="single" w:color="auto" w:sz="4" w:space="0"/>
              <w:bottom w:val="single" w:color="auto" w:sz="4" w:space="0"/>
              <w:right w:val="single" w:color="auto" w:sz="4" w:space="0"/>
            </w:tcBorders>
            <w:vAlign w:val="center"/>
          </w:tcPr>
          <w:p w14:paraId="46948D03">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总氮（以N计）</w:t>
            </w:r>
          </w:p>
        </w:tc>
        <w:tc>
          <w:tcPr>
            <w:tcW w:w="2402" w:type="dxa"/>
            <w:tcBorders>
              <w:top w:val="single" w:color="auto" w:sz="4" w:space="0"/>
              <w:left w:val="single" w:color="auto" w:sz="4" w:space="0"/>
              <w:bottom w:val="single" w:color="auto" w:sz="4" w:space="0"/>
              <w:right w:val="single" w:color="auto" w:sz="4" w:space="0"/>
            </w:tcBorders>
            <w:vAlign w:val="center"/>
          </w:tcPr>
          <w:p w14:paraId="4BF28D1F">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45mg/l</w:t>
            </w:r>
          </w:p>
        </w:tc>
      </w:tr>
      <w:tr w14:paraId="6359D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711A203E">
            <w:pPr>
              <w:widowControl/>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5</w:t>
            </w:r>
          </w:p>
        </w:tc>
        <w:tc>
          <w:tcPr>
            <w:tcW w:w="3909" w:type="dxa"/>
            <w:tcBorders>
              <w:top w:val="single" w:color="auto" w:sz="4" w:space="0"/>
              <w:left w:val="single" w:color="auto" w:sz="4" w:space="0"/>
              <w:bottom w:val="single" w:color="auto" w:sz="4" w:space="0"/>
              <w:right w:val="single" w:color="auto" w:sz="4" w:space="0"/>
            </w:tcBorders>
            <w:vAlign w:val="center"/>
          </w:tcPr>
          <w:p w14:paraId="1253DCB8">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氨氮（以N计）</w:t>
            </w:r>
          </w:p>
        </w:tc>
        <w:tc>
          <w:tcPr>
            <w:tcW w:w="2402" w:type="dxa"/>
            <w:tcBorders>
              <w:top w:val="single" w:color="auto" w:sz="4" w:space="0"/>
              <w:left w:val="single" w:color="auto" w:sz="4" w:space="0"/>
              <w:bottom w:val="single" w:color="auto" w:sz="4" w:space="0"/>
              <w:right w:val="single" w:color="auto" w:sz="4" w:space="0"/>
            </w:tcBorders>
            <w:vAlign w:val="center"/>
          </w:tcPr>
          <w:p w14:paraId="36472B6D">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30mg/l</w:t>
            </w:r>
          </w:p>
        </w:tc>
      </w:tr>
      <w:tr w14:paraId="6735B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07C18B52">
            <w:pPr>
              <w:widowControl/>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6</w:t>
            </w:r>
          </w:p>
        </w:tc>
        <w:tc>
          <w:tcPr>
            <w:tcW w:w="3909" w:type="dxa"/>
            <w:tcBorders>
              <w:top w:val="single" w:color="auto" w:sz="4" w:space="0"/>
              <w:left w:val="single" w:color="auto" w:sz="4" w:space="0"/>
              <w:bottom w:val="single" w:color="auto" w:sz="4" w:space="0"/>
              <w:right w:val="single" w:color="auto" w:sz="4" w:space="0"/>
            </w:tcBorders>
            <w:vAlign w:val="center"/>
          </w:tcPr>
          <w:p w14:paraId="270A748D">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总磷（以P计）</w:t>
            </w:r>
          </w:p>
        </w:tc>
        <w:tc>
          <w:tcPr>
            <w:tcW w:w="2402" w:type="dxa"/>
            <w:tcBorders>
              <w:top w:val="single" w:color="auto" w:sz="4" w:space="0"/>
              <w:left w:val="single" w:color="auto" w:sz="4" w:space="0"/>
              <w:bottom w:val="single" w:color="auto" w:sz="4" w:space="0"/>
              <w:right w:val="single" w:color="auto" w:sz="4" w:space="0"/>
            </w:tcBorders>
            <w:vAlign w:val="center"/>
          </w:tcPr>
          <w:p w14:paraId="5725FBB2">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4mg/l</w:t>
            </w:r>
          </w:p>
        </w:tc>
      </w:tr>
      <w:tr w14:paraId="3ACB1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12CE840C">
            <w:pPr>
              <w:widowControl/>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7</w:t>
            </w:r>
          </w:p>
        </w:tc>
        <w:tc>
          <w:tcPr>
            <w:tcW w:w="3909" w:type="dxa"/>
            <w:tcBorders>
              <w:top w:val="single" w:color="auto" w:sz="4" w:space="0"/>
              <w:left w:val="single" w:color="auto" w:sz="4" w:space="0"/>
              <w:bottom w:val="single" w:color="auto" w:sz="4" w:space="0"/>
              <w:right w:val="single" w:color="auto" w:sz="4" w:space="0"/>
            </w:tcBorders>
            <w:vAlign w:val="center"/>
          </w:tcPr>
          <w:p w14:paraId="17AC7736">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pH</w:t>
            </w:r>
          </w:p>
        </w:tc>
        <w:tc>
          <w:tcPr>
            <w:tcW w:w="2402" w:type="dxa"/>
            <w:tcBorders>
              <w:top w:val="single" w:color="auto" w:sz="4" w:space="0"/>
              <w:left w:val="single" w:color="auto" w:sz="4" w:space="0"/>
              <w:bottom w:val="single" w:color="auto" w:sz="4" w:space="0"/>
              <w:right w:val="single" w:color="auto" w:sz="4" w:space="0"/>
            </w:tcBorders>
            <w:vAlign w:val="center"/>
          </w:tcPr>
          <w:p w14:paraId="4E660498">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6~9</w:t>
            </w:r>
          </w:p>
        </w:tc>
      </w:tr>
      <w:tr w14:paraId="729BF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1CD6C7E8">
            <w:pPr>
              <w:widowControl/>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8</w:t>
            </w:r>
          </w:p>
        </w:tc>
        <w:tc>
          <w:tcPr>
            <w:tcW w:w="3909" w:type="dxa"/>
            <w:tcBorders>
              <w:top w:val="single" w:color="auto" w:sz="4" w:space="0"/>
              <w:left w:val="single" w:color="auto" w:sz="4" w:space="0"/>
              <w:bottom w:val="single" w:color="auto" w:sz="4" w:space="0"/>
              <w:right w:val="single" w:color="auto" w:sz="4" w:space="0"/>
            </w:tcBorders>
            <w:vAlign w:val="center"/>
          </w:tcPr>
          <w:p w14:paraId="76BFD603">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粪大肠菌群数</w:t>
            </w:r>
          </w:p>
        </w:tc>
        <w:tc>
          <w:tcPr>
            <w:tcW w:w="2402" w:type="dxa"/>
            <w:tcBorders>
              <w:top w:val="single" w:color="auto" w:sz="4" w:space="0"/>
              <w:left w:val="single" w:color="auto" w:sz="4" w:space="0"/>
              <w:bottom w:val="single" w:color="auto" w:sz="4" w:space="0"/>
              <w:right w:val="single" w:color="auto" w:sz="4" w:space="0"/>
            </w:tcBorders>
            <w:vAlign w:val="center"/>
          </w:tcPr>
          <w:p w14:paraId="38821CEA">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1000个/L</w:t>
            </w:r>
          </w:p>
        </w:tc>
      </w:tr>
      <w:tr w14:paraId="4C974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6598FD5E">
            <w:pPr>
              <w:widowControl/>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9</w:t>
            </w:r>
          </w:p>
        </w:tc>
        <w:tc>
          <w:tcPr>
            <w:tcW w:w="3909" w:type="dxa"/>
            <w:tcBorders>
              <w:top w:val="single" w:color="auto" w:sz="4" w:space="0"/>
              <w:left w:val="single" w:color="auto" w:sz="4" w:space="0"/>
              <w:bottom w:val="single" w:color="auto" w:sz="4" w:space="0"/>
              <w:right w:val="single" w:color="auto" w:sz="4" w:space="0"/>
            </w:tcBorders>
            <w:vAlign w:val="center"/>
          </w:tcPr>
          <w:p w14:paraId="393CFCF4">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溶解性总固体</w:t>
            </w:r>
          </w:p>
        </w:tc>
        <w:tc>
          <w:tcPr>
            <w:tcW w:w="2402" w:type="dxa"/>
            <w:tcBorders>
              <w:top w:val="single" w:color="auto" w:sz="4" w:space="0"/>
              <w:left w:val="single" w:color="auto" w:sz="4" w:space="0"/>
              <w:bottom w:val="single" w:color="auto" w:sz="4" w:space="0"/>
              <w:right w:val="single" w:color="auto" w:sz="4" w:space="0"/>
            </w:tcBorders>
            <w:vAlign w:val="center"/>
          </w:tcPr>
          <w:p w14:paraId="73C0F581">
            <w:pPr>
              <w:spacing w:line="240" w:lineRule="auto"/>
              <w:ind w:firstLine="0" w:firstLineChars="0"/>
              <w:jc w:val="center"/>
              <w:rPr>
                <w:rFonts w:cs="Times New Roman"/>
                <w:bCs/>
                <w:kern w:val="0"/>
                <w:sz w:val="21"/>
                <w:szCs w:val="21"/>
                <w14:ligatures w14:val="none"/>
              </w:rPr>
            </w:pPr>
            <w:r>
              <w:rPr>
                <w:rFonts w:hint="eastAsia" w:cs="Times New Roman"/>
                <w:bCs/>
                <w:kern w:val="0"/>
                <w:sz w:val="21"/>
                <w:szCs w:val="21"/>
                <w14:ligatures w14:val="none"/>
              </w:rPr>
              <w:t>2000mg/l</w:t>
            </w:r>
          </w:p>
        </w:tc>
      </w:tr>
    </w:tbl>
    <w:p w14:paraId="618081F1">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表1.7-</w:t>
      </w:r>
      <w:r>
        <w:rPr>
          <w:rFonts w:hint="eastAsia" w:cs="Times New Roman"/>
          <w:b/>
          <w:szCs w:val="24"/>
          <w14:ligatures w14:val="none"/>
        </w:rPr>
        <w:t>15</w:t>
      </w:r>
      <w:r>
        <w:rPr>
          <w:rFonts w:cs="Times New Roman"/>
          <w:b/>
          <w:szCs w:val="24"/>
          <w14:ligatures w14:val="none"/>
        </w:rPr>
        <w:t xml:space="preserve">  </w:t>
      </w:r>
      <w:r>
        <w:rPr>
          <w:rFonts w:hint="eastAsia" w:cs="Times New Roman"/>
          <w:b/>
          <w:szCs w:val="24"/>
          <w14:ligatures w14:val="none"/>
        </w:rPr>
        <w:t>金坛区茅东污水处理厂尾水排放标准</w:t>
      </w:r>
    </w:p>
    <w:tbl>
      <w:tblPr>
        <w:tblStyle w:val="25"/>
        <w:tblW w:w="49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9"/>
        <w:gridCol w:w="3211"/>
        <w:gridCol w:w="1951"/>
        <w:gridCol w:w="1334"/>
      </w:tblGrid>
      <w:tr w14:paraId="1A691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tblHeader/>
          <w:jc w:val="center"/>
        </w:trPr>
        <w:tc>
          <w:tcPr>
            <w:tcW w:w="1122" w:type="pct"/>
            <w:vAlign w:val="center"/>
          </w:tcPr>
          <w:p w14:paraId="1A05F13D">
            <w:pPr>
              <w:spacing w:line="240" w:lineRule="auto"/>
              <w:ind w:firstLine="0" w:firstLineChars="0"/>
              <w:jc w:val="center"/>
              <w:outlineLvl w:val="6"/>
              <w:rPr>
                <w:rFonts w:cs="Times New Roman"/>
                <w:b/>
                <w:bCs/>
                <w:sz w:val="21"/>
                <w14:ligatures w14:val="none"/>
              </w:rPr>
            </w:pPr>
            <w:r>
              <w:rPr>
                <w:rFonts w:hint="eastAsia" w:cs="Times New Roman"/>
                <w:b/>
                <w:bCs/>
                <w:sz w:val="21"/>
                <w14:ligatures w14:val="none"/>
              </w:rPr>
              <w:t>污染物</w:t>
            </w:r>
          </w:p>
        </w:tc>
        <w:tc>
          <w:tcPr>
            <w:tcW w:w="1917" w:type="pct"/>
            <w:vAlign w:val="center"/>
          </w:tcPr>
          <w:p w14:paraId="71048035">
            <w:pPr>
              <w:spacing w:line="240" w:lineRule="auto"/>
              <w:ind w:firstLine="0" w:firstLineChars="0"/>
              <w:jc w:val="center"/>
              <w:outlineLvl w:val="6"/>
              <w:rPr>
                <w:rFonts w:cs="Times New Roman"/>
                <w:b/>
                <w:bCs/>
                <w:sz w:val="21"/>
                <w14:ligatures w14:val="none"/>
              </w:rPr>
            </w:pPr>
            <w:r>
              <w:rPr>
                <w:rFonts w:hint="eastAsia" w:cs="Times New Roman"/>
                <w:b/>
                <w:bCs/>
                <w:sz w:val="21"/>
                <w14:ligatures w14:val="none"/>
              </w:rPr>
              <w:t>标准</w:t>
            </w:r>
          </w:p>
        </w:tc>
        <w:tc>
          <w:tcPr>
            <w:tcW w:w="1961" w:type="pct"/>
            <w:gridSpan w:val="2"/>
            <w:vAlign w:val="center"/>
          </w:tcPr>
          <w:p w14:paraId="54B7634B">
            <w:pPr>
              <w:spacing w:line="240" w:lineRule="auto"/>
              <w:ind w:firstLine="0" w:firstLineChars="0"/>
              <w:jc w:val="center"/>
              <w:outlineLvl w:val="6"/>
              <w:rPr>
                <w:rFonts w:cs="Times New Roman"/>
                <w:b/>
                <w:bCs/>
                <w:sz w:val="21"/>
                <w14:ligatures w14:val="none"/>
              </w:rPr>
            </w:pPr>
            <w:r>
              <w:rPr>
                <w:rFonts w:hint="eastAsia" w:cs="Times New Roman"/>
                <w:b/>
                <w:bCs/>
                <w:sz w:val="21"/>
                <w14:ligatures w14:val="none"/>
              </w:rPr>
              <w:t>污染物排放标准</w:t>
            </w:r>
          </w:p>
        </w:tc>
      </w:tr>
      <w:tr w14:paraId="6ECA3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122" w:type="pct"/>
            <w:vAlign w:val="center"/>
          </w:tcPr>
          <w:p w14:paraId="4DF49525">
            <w:pPr>
              <w:spacing w:line="240" w:lineRule="auto"/>
              <w:ind w:firstLine="0" w:firstLineChars="0"/>
              <w:jc w:val="center"/>
              <w:outlineLvl w:val="6"/>
              <w:rPr>
                <w:rFonts w:cs="Times New Roman"/>
                <w:sz w:val="21"/>
                <w14:ligatures w14:val="none"/>
              </w:rPr>
            </w:pPr>
            <w:r>
              <w:rPr>
                <w:rFonts w:hint="eastAsia" w:cs="Times New Roman"/>
                <w:sz w:val="21"/>
                <w14:ligatures w14:val="none"/>
              </w:rPr>
              <w:t>COD</w:t>
            </w:r>
          </w:p>
        </w:tc>
        <w:tc>
          <w:tcPr>
            <w:tcW w:w="1917" w:type="pct"/>
            <w:vMerge w:val="restart"/>
            <w:vAlign w:val="center"/>
          </w:tcPr>
          <w:p w14:paraId="3B0A7858">
            <w:pPr>
              <w:spacing w:line="240" w:lineRule="auto"/>
              <w:ind w:firstLine="0" w:firstLineChars="0"/>
              <w:jc w:val="center"/>
              <w:outlineLvl w:val="6"/>
              <w:rPr>
                <w:rFonts w:cs="Times New Roman"/>
                <w:sz w:val="21"/>
                <w14:ligatures w14:val="none"/>
              </w:rPr>
            </w:pPr>
            <w:r>
              <w:rPr>
                <w:rFonts w:hint="eastAsia" w:cs="Times New Roman"/>
                <w:sz w:val="21"/>
                <w14:ligatures w14:val="none"/>
              </w:rPr>
              <w:t>《太湖地区城镇污水处理厂及重点工业行业主要水污染物排放限值》（DB32/1072-2018）表2标准（括号外数值为水温&gt;12℃时的控制指标，括号内数值为水温≤12℃时的控制指标）</w:t>
            </w:r>
          </w:p>
        </w:tc>
        <w:tc>
          <w:tcPr>
            <w:tcW w:w="1961" w:type="pct"/>
            <w:gridSpan w:val="2"/>
            <w:vAlign w:val="center"/>
          </w:tcPr>
          <w:p w14:paraId="1BB7A1E3">
            <w:pPr>
              <w:spacing w:line="240" w:lineRule="auto"/>
              <w:ind w:firstLine="0" w:firstLineChars="0"/>
              <w:jc w:val="center"/>
              <w:outlineLvl w:val="6"/>
              <w:rPr>
                <w:rFonts w:cs="Times New Roman"/>
                <w:sz w:val="21"/>
                <w14:ligatures w14:val="none"/>
              </w:rPr>
            </w:pPr>
            <w:r>
              <w:rPr>
                <w:rFonts w:hint="eastAsia" w:cs="Times New Roman"/>
                <w:sz w:val="21"/>
                <w14:ligatures w14:val="none"/>
              </w:rPr>
              <w:t>50 mg/L</w:t>
            </w:r>
          </w:p>
        </w:tc>
      </w:tr>
      <w:tr w14:paraId="0FD5D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122" w:type="pct"/>
            <w:vAlign w:val="center"/>
          </w:tcPr>
          <w:p w14:paraId="5E2FD54A">
            <w:pPr>
              <w:spacing w:line="240" w:lineRule="auto"/>
              <w:ind w:firstLine="0" w:firstLineChars="0"/>
              <w:jc w:val="center"/>
              <w:outlineLvl w:val="6"/>
              <w:rPr>
                <w:rFonts w:cs="Times New Roman"/>
                <w:sz w:val="21"/>
                <w14:ligatures w14:val="none"/>
              </w:rPr>
            </w:pPr>
            <w:r>
              <w:rPr>
                <w:rFonts w:hint="eastAsia" w:cs="Times New Roman"/>
                <w:sz w:val="21"/>
                <w14:ligatures w14:val="none"/>
              </w:rPr>
              <w:t>NH</w:t>
            </w:r>
            <w:r>
              <w:rPr>
                <w:rFonts w:hint="eastAsia" w:cs="Times New Roman"/>
                <w:sz w:val="21"/>
                <w:vertAlign w:val="subscript"/>
                <w14:ligatures w14:val="none"/>
              </w:rPr>
              <w:t>3</w:t>
            </w:r>
            <w:r>
              <w:rPr>
                <w:rFonts w:hint="eastAsia" w:cs="Times New Roman"/>
                <w:sz w:val="21"/>
                <w14:ligatures w14:val="none"/>
              </w:rPr>
              <w:t>-N</w:t>
            </w:r>
          </w:p>
        </w:tc>
        <w:tc>
          <w:tcPr>
            <w:tcW w:w="1917" w:type="pct"/>
            <w:vMerge w:val="continue"/>
            <w:vAlign w:val="center"/>
          </w:tcPr>
          <w:p w14:paraId="6C166CFE">
            <w:pPr>
              <w:spacing w:line="240" w:lineRule="auto"/>
              <w:ind w:firstLine="0" w:firstLineChars="0"/>
              <w:jc w:val="center"/>
              <w:outlineLvl w:val="6"/>
              <w:rPr>
                <w:rFonts w:cs="Times New Roman"/>
                <w:sz w:val="21"/>
                <w14:ligatures w14:val="none"/>
              </w:rPr>
            </w:pPr>
          </w:p>
        </w:tc>
        <w:tc>
          <w:tcPr>
            <w:tcW w:w="1961" w:type="pct"/>
            <w:gridSpan w:val="2"/>
            <w:vAlign w:val="center"/>
          </w:tcPr>
          <w:p w14:paraId="336048CE">
            <w:pPr>
              <w:spacing w:line="240" w:lineRule="auto"/>
              <w:ind w:firstLine="0" w:firstLineChars="0"/>
              <w:jc w:val="center"/>
              <w:outlineLvl w:val="6"/>
              <w:rPr>
                <w:rFonts w:cs="Times New Roman"/>
                <w:sz w:val="21"/>
                <w14:ligatures w14:val="none"/>
              </w:rPr>
            </w:pPr>
            <w:r>
              <w:rPr>
                <w:rFonts w:hint="eastAsia" w:cs="Times New Roman"/>
                <w:sz w:val="21"/>
                <w14:ligatures w14:val="none"/>
              </w:rPr>
              <w:t>4（6）mg/L</w:t>
            </w:r>
          </w:p>
        </w:tc>
      </w:tr>
      <w:tr w14:paraId="4C473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122" w:type="pct"/>
            <w:vAlign w:val="center"/>
          </w:tcPr>
          <w:p w14:paraId="1A7825C4">
            <w:pPr>
              <w:spacing w:line="240" w:lineRule="auto"/>
              <w:ind w:firstLine="0" w:firstLineChars="0"/>
              <w:jc w:val="center"/>
              <w:outlineLvl w:val="6"/>
              <w:rPr>
                <w:rFonts w:cs="Times New Roman"/>
                <w:sz w:val="21"/>
                <w14:ligatures w14:val="none"/>
              </w:rPr>
            </w:pPr>
            <w:r>
              <w:rPr>
                <w:rFonts w:hint="eastAsia" w:cs="Times New Roman"/>
                <w:sz w:val="21"/>
                <w14:ligatures w14:val="none"/>
              </w:rPr>
              <w:t>TP</w:t>
            </w:r>
          </w:p>
        </w:tc>
        <w:tc>
          <w:tcPr>
            <w:tcW w:w="1917" w:type="pct"/>
            <w:vMerge w:val="continue"/>
            <w:vAlign w:val="center"/>
          </w:tcPr>
          <w:p w14:paraId="0E4D83D5">
            <w:pPr>
              <w:spacing w:line="240" w:lineRule="auto"/>
              <w:ind w:firstLine="0" w:firstLineChars="0"/>
              <w:jc w:val="center"/>
              <w:outlineLvl w:val="6"/>
              <w:rPr>
                <w:rFonts w:cs="Times New Roman"/>
                <w:sz w:val="21"/>
                <w14:ligatures w14:val="none"/>
              </w:rPr>
            </w:pPr>
          </w:p>
        </w:tc>
        <w:tc>
          <w:tcPr>
            <w:tcW w:w="1961" w:type="pct"/>
            <w:gridSpan w:val="2"/>
            <w:vAlign w:val="center"/>
          </w:tcPr>
          <w:p w14:paraId="4EC73BA0">
            <w:pPr>
              <w:spacing w:line="240" w:lineRule="auto"/>
              <w:ind w:firstLine="0" w:firstLineChars="0"/>
              <w:jc w:val="center"/>
              <w:outlineLvl w:val="6"/>
              <w:rPr>
                <w:rFonts w:cs="Times New Roman"/>
                <w:sz w:val="21"/>
                <w14:ligatures w14:val="none"/>
              </w:rPr>
            </w:pPr>
            <w:r>
              <w:rPr>
                <w:rFonts w:hint="eastAsia" w:cs="Times New Roman"/>
                <w:sz w:val="21"/>
                <w14:ligatures w14:val="none"/>
              </w:rPr>
              <w:t>0.5 mg/L</w:t>
            </w:r>
          </w:p>
        </w:tc>
      </w:tr>
      <w:tr w14:paraId="13F1C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122" w:type="pct"/>
            <w:vAlign w:val="center"/>
          </w:tcPr>
          <w:p w14:paraId="63935E67">
            <w:pPr>
              <w:spacing w:line="240" w:lineRule="auto"/>
              <w:ind w:firstLine="0" w:firstLineChars="0"/>
              <w:jc w:val="center"/>
              <w:outlineLvl w:val="6"/>
              <w:rPr>
                <w:rFonts w:cs="Times New Roman"/>
                <w:sz w:val="21"/>
                <w14:ligatures w14:val="none"/>
              </w:rPr>
            </w:pPr>
            <w:r>
              <w:rPr>
                <w:rFonts w:hint="eastAsia" w:cs="Times New Roman"/>
                <w:sz w:val="21"/>
                <w14:ligatures w14:val="none"/>
              </w:rPr>
              <w:t>TN</w:t>
            </w:r>
          </w:p>
        </w:tc>
        <w:tc>
          <w:tcPr>
            <w:tcW w:w="1917" w:type="pct"/>
            <w:vMerge w:val="continue"/>
            <w:vAlign w:val="center"/>
          </w:tcPr>
          <w:p w14:paraId="2799807E">
            <w:pPr>
              <w:spacing w:line="240" w:lineRule="auto"/>
              <w:ind w:firstLine="0" w:firstLineChars="0"/>
              <w:jc w:val="center"/>
              <w:outlineLvl w:val="6"/>
              <w:rPr>
                <w:rFonts w:cs="Times New Roman"/>
                <w:sz w:val="21"/>
                <w14:ligatures w14:val="none"/>
              </w:rPr>
            </w:pPr>
          </w:p>
        </w:tc>
        <w:tc>
          <w:tcPr>
            <w:tcW w:w="1961" w:type="pct"/>
            <w:gridSpan w:val="2"/>
            <w:vAlign w:val="center"/>
          </w:tcPr>
          <w:p w14:paraId="46E32AE7">
            <w:pPr>
              <w:spacing w:line="240" w:lineRule="auto"/>
              <w:ind w:firstLine="0" w:firstLineChars="0"/>
              <w:jc w:val="center"/>
              <w:outlineLvl w:val="6"/>
              <w:rPr>
                <w:rFonts w:cs="Times New Roman"/>
                <w:sz w:val="21"/>
                <w14:ligatures w14:val="none"/>
              </w:rPr>
            </w:pPr>
            <w:r>
              <w:rPr>
                <w:rFonts w:hint="eastAsia" w:cs="Times New Roman"/>
                <w:sz w:val="21"/>
                <w14:ligatures w14:val="none"/>
              </w:rPr>
              <w:t>12（15）mg/L</w:t>
            </w:r>
          </w:p>
        </w:tc>
      </w:tr>
      <w:tr w14:paraId="2E232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122" w:type="pct"/>
            <w:vAlign w:val="center"/>
          </w:tcPr>
          <w:p w14:paraId="3D0E0687">
            <w:pPr>
              <w:spacing w:line="240" w:lineRule="auto"/>
              <w:ind w:firstLine="0" w:firstLineChars="0"/>
              <w:jc w:val="center"/>
              <w:outlineLvl w:val="6"/>
              <w:rPr>
                <w:rFonts w:cs="Times New Roman"/>
                <w:sz w:val="21"/>
                <w14:ligatures w14:val="none"/>
              </w:rPr>
            </w:pPr>
            <w:r>
              <w:rPr>
                <w:rFonts w:hint="eastAsia" w:cs="Times New Roman"/>
                <w:sz w:val="21"/>
                <w14:ligatures w14:val="none"/>
              </w:rPr>
              <w:t>SS</w:t>
            </w:r>
          </w:p>
        </w:tc>
        <w:tc>
          <w:tcPr>
            <w:tcW w:w="1917" w:type="pct"/>
            <w:vMerge w:val="restart"/>
            <w:vAlign w:val="center"/>
          </w:tcPr>
          <w:p w14:paraId="5E1D3073">
            <w:pPr>
              <w:spacing w:line="240" w:lineRule="auto"/>
              <w:ind w:firstLine="0" w:firstLineChars="0"/>
              <w:jc w:val="center"/>
              <w:outlineLvl w:val="6"/>
              <w:rPr>
                <w:rFonts w:cs="Times New Roman"/>
                <w:sz w:val="21"/>
                <w14:ligatures w14:val="none"/>
              </w:rPr>
            </w:pPr>
            <w:r>
              <w:rPr>
                <w:rFonts w:hint="eastAsia" w:cs="Times New Roman"/>
                <w:sz w:val="21"/>
                <w14:ligatures w14:val="none"/>
              </w:rPr>
              <w:t>《城镇污水处理厂污染物排放标准》（GB18918-2002）一级A标准</w:t>
            </w:r>
          </w:p>
        </w:tc>
        <w:tc>
          <w:tcPr>
            <w:tcW w:w="1961" w:type="pct"/>
            <w:gridSpan w:val="2"/>
            <w:vAlign w:val="center"/>
          </w:tcPr>
          <w:p w14:paraId="20D88997">
            <w:pPr>
              <w:spacing w:line="240" w:lineRule="auto"/>
              <w:ind w:firstLine="0" w:firstLineChars="0"/>
              <w:jc w:val="center"/>
              <w:outlineLvl w:val="6"/>
              <w:rPr>
                <w:rFonts w:cs="Times New Roman"/>
                <w:sz w:val="21"/>
                <w14:ligatures w14:val="none"/>
              </w:rPr>
            </w:pPr>
            <w:r>
              <w:rPr>
                <w:rFonts w:hint="eastAsia" w:cs="Times New Roman"/>
                <w:sz w:val="21"/>
                <w14:ligatures w14:val="none"/>
              </w:rPr>
              <w:t>10 mg/L</w:t>
            </w:r>
          </w:p>
        </w:tc>
      </w:tr>
      <w:tr w14:paraId="347F8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122" w:type="pct"/>
            <w:vAlign w:val="center"/>
          </w:tcPr>
          <w:p w14:paraId="15F10823">
            <w:pPr>
              <w:spacing w:line="240" w:lineRule="auto"/>
              <w:ind w:firstLine="0" w:firstLineChars="0"/>
              <w:jc w:val="center"/>
              <w:outlineLvl w:val="6"/>
              <w:rPr>
                <w:rFonts w:cs="Times New Roman"/>
                <w:sz w:val="21"/>
                <w14:ligatures w14:val="none"/>
              </w:rPr>
            </w:pPr>
            <w:r>
              <w:rPr>
                <w:rFonts w:hint="eastAsia" w:cs="Times New Roman"/>
                <w:sz w:val="21"/>
                <w14:ligatures w14:val="none"/>
              </w:rPr>
              <w:t>pH</w:t>
            </w:r>
          </w:p>
        </w:tc>
        <w:tc>
          <w:tcPr>
            <w:tcW w:w="1917" w:type="pct"/>
            <w:vMerge w:val="continue"/>
            <w:vAlign w:val="center"/>
          </w:tcPr>
          <w:p w14:paraId="5AD1E26E">
            <w:pPr>
              <w:spacing w:line="240" w:lineRule="auto"/>
              <w:ind w:firstLine="0" w:firstLineChars="0"/>
              <w:jc w:val="center"/>
              <w:outlineLvl w:val="6"/>
              <w:rPr>
                <w:rFonts w:cs="Times New Roman"/>
                <w:sz w:val="21"/>
                <w14:ligatures w14:val="none"/>
              </w:rPr>
            </w:pPr>
          </w:p>
        </w:tc>
        <w:tc>
          <w:tcPr>
            <w:tcW w:w="1961" w:type="pct"/>
            <w:gridSpan w:val="2"/>
            <w:vAlign w:val="center"/>
          </w:tcPr>
          <w:p w14:paraId="40E88D3F">
            <w:pPr>
              <w:spacing w:line="240" w:lineRule="auto"/>
              <w:ind w:firstLine="0" w:firstLineChars="0"/>
              <w:jc w:val="center"/>
              <w:outlineLvl w:val="6"/>
              <w:rPr>
                <w:rFonts w:cs="Times New Roman"/>
                <w:sz w:val="21"/>
                <w14:ligatures w14:val="none"/>
              </w:rPr>
            </w:pPr>
            <w:r>
              <w:rPr>
                <w:rFonts w:hint="eastAsia" w:cs="Times New Roman"/>
                <w:sz w:val="21"/>
                <w14:ligatures w14:val="none"/>
              </w:rPr>
              <w:t>6-9 mg/L</w:t>
            </w:r>
          </w:p>
        </w:tc>
      </w:tr>
      <w:tr w14:paraId="55F8B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22" w:type="pct"/>
            <w:vAlign w:val="center"/>
          </w:tcPr>
          <w:p w14:paraId="1BEA3CDD">
            <w:pPr>
              <w:spacing w:line="240" w:lineRule="auto"/>
              <w:ind w:firstLine="0" w:firstLineChars="0"/>
              <w:jc w:val="center"/>
              <w:outlineLvl w:val="6"/>
              <w:rPr>
                <w:rFonts w:cs="Times New Roman"/>
                <w:sz w:val="21"/>
                <w14:ligatures w14:val="none"/>
              </w:rPr>
            </w:pPr>
            <w:r>
              <w:rPr>
                <w:rFonts w:hint="eastAsia" w:cs="Times New Roman"/>
                <w:sz w:val="21"/>
                <w14:ligatures w14:val="none"/>
              </w:rPr>
              <w:t>石油类</w:t>
            </w:r>
          </w:p>
        </w:tc>
        <w:tc>
          <w:tcPr>
            <w:tcW w:w="1917" w:type="pct"/>
            <w:vMerge w:val="continue"/>
            <w:vAlign w:val="center"/>
          </w:tcPr>
          <w:p w14:paraId="042DB24C">
            <w:pPr>
              <w:spacing w:line="240" w:lineRule="auto"/>
              <w:ind w:firstLine="0" w:firstLineChars="0"/>
              <w:jc w:val="center"/>
              <w:outlineLvl w:val="6"/>
              <w:rPr>
                <w:rFonts w:cs="Times New Roman"/>
                <w:sz w:val="21"/>
                <w14:ligatures w14:val="none"/>
              </w:rPr>
            </w:pPr>
          </w:p>
        </w:tc>
        <w:tc>
          <w:tcPr>
            <w:tcW w:w="1961" w:type="pct"/>
            <w:gridSpan w:val="2"/>
            <w:vAlign w:val="center"/>
          </w:tcPr>
          <w:p w14:paraId="681DB013">
            <w:pPr>
              <w:spacing w:line="240" w:lineRule="auto"/>
              <w:ind w:firstLine="0" w:firstLineChars="0"/>
              <w:jc w:val="center"/>
              <w:outlineLvl w:val="6"/>
              <w:rPr>
                <w:rFonts w:cs="Times New Roman"/>
                <w:sz w:val="21"/>
                <w14:ligatures w14:val="none"/>
              </w:rPr>
            </w:pPr>
            <w:r>
              <w:rPr>
                <w:rFonts w:hint="eastAsia" w:cs="Times New Roman"/>
                <w:sz w:val="21"/>
                <w14:ligatures w14:val="none"/>
              </w:rPr>
              <w:t>1 mg/L</w:t>
            </w:r>
          </w:p>
        </w:tc>
      </w:tr>
      <w:tr w14:paraId="38A46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22" w:type="pct"/>
            <w:vMerge w:val="restart"/>
            <w:vAlign w:val="center"/>
          </w:tcPr>
          <w:p w14:paraId="41B87FF8">
            <w:pPr>
              <w:spacing w:line="240" w:lineRule="auto"/>
              <w:ind w:firstLine="0" w:firstLineChars="0"/>
              <w:jc w:val="center"/>
              <w:outlineLvl w:val="6"/>
              <w:rPr>
                <w:rFonts w:cs="Times New Roman"/>
                <w:sz w:val="21"/>
                <w14:ligatures w14:val="none"/>
              </w:rPr>
            </w:pPr>
            <w:r>
              <w:rPr>
                <w:rFonts w:hint="eastAsia" w:eastAsia="仿宋" w:cs="Times New Roman"/>
                <w:kern w:val="0"/>
                <w:sz w:val="21"/>
                <w:szCs w:val="21"/>
                <w14:ligatures w14:val="none"/>
              </w:rPr>
              <w:t>CODcr</w:t>
            </w:r>
          </w:p>
        </w:tc>
        <w:tc>
          <w:tcPr>
            <w:tcW w:w="1917" w:type="pct"/>
            <w:vMerge w:val="restart"/>
            <w:vAlign w:val="center"/>
          </w:tcPr>
          <w:p w14:paraId="5E121300">
            <w:pPr>
              <w:spacing w:line="240" w:lineRule="auto"/>
              <w:ind w:firstLine="0" w:firstLineChars="0"/>
              <w:jc w:val="center"/>
              <w:outlineLvl w:val="6"/>
              <w:rPr>
                <w:rFonts w:cs="Times New Roman"/>
                <w:sz w:val="21"/>
                <w14:ligatures w14:val="none"/>
              </w:rPr>
            </w:pPr>
            <w:r>
              <w:rPr>
                <w:rFonts w:hint="eastAsia" w:cs="Times New Roman"/>
                <w:sz w:val="21"/>
                <w14:ligatures w14:val="none"/>
              </w:rPr>
              <w:t>《城镇污水处理厂污染物排放标准》（DB32/4440-2022）C标准（每年11月1日至次年3月31日执行括号内排放限值）</w:t>
            </w:r>
          </w:p>
        </w:tc>
        <w:tc>
          <w:tcPr>
            <w:tcW w:w="1165" w:type="pct"/>
            <w:vAlign w:val="center"/>
          </w:tcPr>
          <w:p w14:paraId="766FD2E5">
            <w:pPr>
              <w:spacing w:line="240" w:lineRule="auto"/>
              <w:ind w:firstLine="0" w:firstLineChars="0"/>
              <w:jc w:val="center"/>
              <w:outlineLvl w:val="6"/>
              <w:rPr>
                <w:rFonts w:cs="Times New Roman"/>
                <w:sz w:val="21"/>
                <w14:ligatures w14:val="none"/>
              </w:rPr>
            </w:pPr>
            <w:r>
              <w:rPr>
                <w:rFonts w:hint="eastAsia" w:cs="Times New Roman"/>
                <w:sz w:val="21"/>
                <w14:ligatures w14:val="none"/>
              </w:rPr>
              <w:t>日均排放限值</w:t>
            </w:r>
          </w:p>
        </w:tc>
        <w:tc>
          <w:tcPr>
            <w:tcW w:w="796" w:type="pct"/>
            <w:vAlign w:val="center"/>
          </w:tcPr>
          <w:p w14:paraId="3AFA8A9C">
            <w:pPr>
              <w:spacing w:line="240" w:lineRule="auto"/>
              <w:ind w:firstLine="0" w:firstLineChars="0"/>
              <w:jc w:val="center"/>
              <w:outlineLvl w:val="6"/>
              <w:rPr>
                <w:rFonts w:cs="Times New Roman"/>
                <w:sz w:val="21"/>
                <w14:ligatures w14:val="none"/>
              </w:rPr>
            </w:pPr>
            <w:r>
              <w:rPr>
                <w:rFonts w:hint="eastAsia" w:eastAsia="仿宋" w:cs="Times New Roman"/>
                <w:kern w:val="0"/>
                <w:sz w:val="21"/>
                <w:szCs w:val="21"/>
                <w14:ligatures w14:val="none"/>
              </w:rPr>
              <w:t>50</w:t>
            </w:r>
          </w:p>
        </w:tc>
      </w:tr>
      <w:tr w14:paraId="5A456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22" w:type="pct"/>
            <w:vMerge w:val="continue"/>
            <w:vAlign w:val="center"/>
          </w:tcPr>
          <w:p w14:paraId="1513588A">
            <w:pPr>
              <w:spacing w:line="240" w:lineRule="auto"/>
              <w:ind w:firstLine="0" w:firstLineChars="0"/>
              <w:jc w:val="center"/>
              <w:outlineLvl w:val="6"/>
              <w:rPr>
                <w:rFonts w:eastAsia="仿宋" w:cs="Times New Roman"/>
                <w:kern w:val="0"/>
                <w:sz w:val="21"/>
                <w:szCs w:val="21"/>
                <w14:ligatures w14:val="none"/>
              </w:rPr>
            </w:pPr>
          </w:p>
        </w:tc>
        <w:tc>
          <w:tcPr>
            <w:tcW w:w="1917" w:type="pct"/>
            <w:vMerge w:val="continue"/>
            <w:vAlign w:val="center"/>
          </w:tcPr>
          <w:p w14:paraId="2238690C">
            <w:pPr>
              <w:spacing w:line="240" w:lineRule="auto"/>
              <w:ind w:firstLine="0" w:firstLineChars="0"/>
              <w:jc w:val="center"/>
              <w:outlineLvl w:val="6"/>
              <w:rPr>
                <w:rFonts w:eastAsia="仿宋" w:cs="Times New Roman"/>
                <w:kern w:val="0"/>
                <w:sz w:val="21"/>
                <w:szCs w:val="21"/>
                <w14:ligatures w14:val="none"/>
              </w:rPr>
            </w:pPr>
          </w:p>
        </w:tc>
        <w:tc>
          <w:tcPr>
            <w:tcW w:w="1165" w:type="pct"/>
            <w:vAlign w:val="center"/>
          </w:tcPr>
          <w:p w14:paraId="6922ACB3">
            <w:pPr>
              <w:spacing w:line="240" w:lineRule="auto"/>
              <w:ind w:firstLine="0" w:firstLineChars="0"/>
              <w:jc w:val="center"/>
              <w:outlineLvl w:val="6"/>
              <w:rPr>
                <w:rFonts w:cs="Times New Roman"/>
                <w:sz w:val="21"/>
                <w14:ligatures w14:val="none"/>
              </w:rPr>
            </w:pPr>
            <w:r>
              <w:rPr>
                <w:rFonts w:hint="eastAsia" w:cs="Times New Roman"/>
                <w:sz w:val="21"/>
                <w14:ligatures w14:val="none"/>
              </w:rPr>
              <w:t>一次监测排放限值</w:t>
            </w:r>
          </w:p>
        </w:tc>
        <w:tc>
          <w:tcPr>
            <w:tcW w:w="796" w:type="pct"/>
            <w:vAlign w:val="center"/>
          </w:tcPr>
          <w:p w14:paraId="724849D5">
            <w:pPr>
              <w:spacing w:line="240" w:lineRule="auto"/>
              <w:ind w:firstLine="0" w:firstLineChars="0"/>
              <w:jc w:val="center"/>
              <w:outlineLvl w:val="6"/>
              <w:rPr>
                <w:rFonts w:cs="Times New Roman"/>
                <w:sz w:val="21"/>
                <w14:ligatures w14:val="none"/>
              </w:rPr>
            </w:pPr>
            <w:r>
              <w:rPr>
                <w:rFonts w:hint="eastAsia" w:eastAsia="仿宋" w:cs="Times New Roman"/>
                <w:kern w:val="0"/>
                <w:sz w:val="21"/>
                <w:szCs w:val="21"/>
                <w14:ligatures w14:val="none"/>
              </w:rPr>
              <w:t>75</w:t>
            </w:r>
          </w:p>
        </w:tc>
      </w:tr>
      <w:tr w14:paraId="32555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22" w:type="pct"/>
            <w:vMerge w:val="restart"/>
            <w:vAlign w:val="center"/>
          </w:tcPr>
          <w:p w14:paraId="33508939">
            <w:pPr>
              <w:spacing w:line="240" w:lineRule="auto"/>
              <w:ind w:firstLine="0" w:firstLineChars="0"/>
              <w:jc w:val="center"/>
              <w:outlineLvl w:val="6"/>
              <w:rPr>
                <w:rFonts w:cs="Times New Roman"/>
                <w:sz w:val="21"/>
                <w14:ligatures w14:val="none"/>
              </w:rPr>
            </w:pPr>
            <w:r>
              <w:rPr>
                <w:rFonts w:hint="eastAsia" w:eastAsia="仿宋" w:cs="Times New Roman"/>
                <w:kern w:val="0"/>
                <w:sz w:val="21"/>
                <w:szCs w:val="21"/>
                <w14:ligatures w14:val="none"/>
              </w:rPr>
              <w:t>NH</w:t>
            </w:r>
            <w:r>
              <w:rPr>
                <w:rFonts w:hint="eastAsia" w:eastAsia="仿宋" w:cs="Times New Roman"/>
                <w:kern w:val="0"/>
                <w:sz w:val="21"/>
                <w:szCs w:val="21"/>
                <w:vertAlign w:val="subscript"/>
                <w14:ligatures w14:val="none"/>
              </w:rPr>
              <w:t>3</w:t>
            </w:r>
            <w:r>
              <w:rPr>
                <w:rFonts w:hint="eastAsia" w:eastAsia="仿宋" w:cs="Times New Roman"/>
                <w:kern w:val="0"/>
                <w:sz w:val="21"/>
                <w:szCs w:val="21"/>
                <w14:ligatures w14:val="none"/>
              </w:rPr>
              <w:t>-N</w:t>
            </w:r>
          </w:p>
        </w:tc>
        <w:tc>
          <w:tcPr>
            <w:tcW w:w="1917" w:type="pct"/>
            <w:vMerge w:val="continue"/>
            <w:vAlign w:val="center"/>
          </w:tcPr>
          <w:p w14:paraId="33AD10E5">
            <w:pPr>
              <w:spacing w:line="240" w:lineRule="auto"/>
              <w:ind w:firstLine="0" w:firstLineChars="0"/>
              <w:jc w:val="center"/>
              <w:outlineLvl w:val="6"/>
              <w:rPr>
                <w:rFonts w:cs="Times New Roman"/>
                <w:sz w:val="21"/>
                <w14:ligatures w14:val="none"/>
              </w:rPr>
            </w:pPr>
          </w:p>
        </w:tc>
        <w:tc>
          <w:tcPr>
            <w:tcW w:w="1165" w:type="pct"/>
            <w:vAlign w:val="center"/>
          </w:tcPr>
          <w:p w14:paraId="116DFC15">
            <w:pPr>
              <w:spacing w:line="240" w:lineRule="auto"/>
              <w:ind w:firstLine="0" w:firstLineChars="0"/>
              <w:jc w:val="center"/>
              <w:outlineLvl w:val="6"/>
              <w:rPr>
                <w:rFonts w:cs="Times New Roman"/>
                <w:sz w:val="21"/>
                <w14:ligatures w14:val="none"/>
              </w:rPr>
            </w:pPr>
            <w:r>
              <w:rPr>
                <w:rFonts w:hint="eastAsia" w:cs="Times New Roman"/>
                <w:sz w:val="21"/>
                <w14:ligatures w14:val="none"/>
              </w:rPr>
              <w:t>日均排放限值</w:t>
            </w:r>
          </w:p>
        </w:tc>
        <w:tc>
          <w:tcPr>
            <w:tcW w:w="796" w:type="pct"/>
            <w:vAlign w:val="center"/>
          </w:tcPr>
          <w:p w14:paraId="436C71C5">
            <w:pPr>
              <w:spacing w:line="240" w:lineRule="auto"/>
              <w:ind w:firstLine="0" w:firstLineChars="0"/>
              <w:jc w:val="center"/>
              <w:outlineLvl w:val="6"/>
              <w:rPr>
                <w:rFonts w:cs="Times New Roman"/>
                <w:sz w:val="21"/>
                <w14:ligatures w14:val="none"/>
              </w:rPr>
            </w:pPr>
            <w:r>
              <w:rPr>
                <w:rFonts w:hint="eastAsia" w:eastAsia="仿宋" w:cs="Times New Roman"/>
                <w:kern w:val="0"/>
                <w:sz w:val="21"/>
                <w:szCs w:val="21"/>
                <w14:ligatures w14:val="none"/>
              </w:rPr>
              <w:t>4（5）</w:t>
            </w:r>
          </w:p>
        </w:tc>
      </w:tr>
      <w:tr w14:paraId="1F48B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22" w:type="pct"/>
            <w:vMerge w:val="continue"/>
            <w:vAlign w:val="center"/>
          </w:tcPr>
          <w:p w14:paraId="0F35C599">
            <w:pPr>
              <w:spacing w:line="240" w:lineRule="auto"/>
              <w:ind w:firstLine="0" w:firstLineChars="0"/>
              <w:jc w:val="center"/>
              <w:outlineLvl w:val="6"/>
              <w:rPr>
                <w:rFonts w:eastAsia="仿宋" w:cs="Times New Roman"/>
                <w:kern w:val="0"/>
                <w:sz w:val="21"/>
                <w:szCs w:val="21"/>
                <w14:ligatures w14:val="none"/>
              </w:rPr>
            </w:pPr>
          </w:p>
        </w:tc>
        <w:tc>
          <w:tcPr>
            <w:tcW w:w="1917" w:type="pct"/>
            <w:vMerge w:val="continue"/>
            <w:vAlign w:val="center"/>
          </w:tcPr>
          <w:p w14:paraId="1CEA3F66">
            <w:pPr>
              <w:spacing w:line="240" w:lineRule="auto"/>
              <w:ind w:firstLine="0" w:firstLineChars="0"/>
              <w:jc w:val="center"/>
              <w:outlineLvl w:val="6"/>
              <w:rPr>
                <w:rFonts w:cs="Times New Roman"/>
                <w:sz w:val="21"/>
                <w14:ligatures w14:val="none"/>
              </w:rPr>
            </w:pPr>
          </w:p>
        </w:tc>
        <w:tc>
          <w:tcPr>
            <w:tcW w:w="1165" w:type="pct"/>
            <w:vAlign w:val="center"/>
          </w:tcPr>
          <w:p w14:paraId="618EE419">
            <w:pPr>
              <w:spacing w:line="240" w:lineRule="auto"/>
              <w:ind w:firstLine="0" w:firstLineChars="0"/>
              <w:jc w:val="center"/>
              <w:outlineLvl w:val="6"/>
              <w:rPr>
                <w:rFonts w:cs="Times New Roman"/>
                <w:sz w:val="21"/>
                <w14:ligatures w14:val="none"/>
              </w:rPr>
            </w:pPr>
            <w:r>
              <w:rPr>
                <w:rFonts w:hint="eastAsia" w:cs="Times New Roman"/>
                <w:sz w:val="21"/>
                <w14:ligatures w14:val="none"/>
              </w:rPr>
              <w:t>一次监测排放限值</w:t>
            </w:r>
          </w:p>
        </w:tc>
        <w:tc>
          <w:tcPr>
            <w:tcW w:w="796" w:type="pct"/>
            <w:vAlign w:val="center"/>
          </w:tcPr>
          <w:p w14:paraId="41D18E30">
            <w:pPr>
              <w:spacing w:line="240" w:lineRule="auto"/>
              <w:ind w:firstLine="0" w:firstLineChars="0"/>
              <w:jc w:val="center"/>
              <w:outlineLvl w:val="6"/>
              <w:rPr>
                <w:rFonts w:cs="Times New Roman"/>
                <w:sz w:val="21"/>
                <w14:ligatures w14:val="none"/>
              </w:rPr>
            </w:pPr>
            <w:r>
              <w:rPr>
                <w:rFonts w:hint="eastAsia" w:eastAsia="仿宋" w:cs="Times New Roman"/>
                <w:kern w:val="0"/>
                <w:sz w:val="21"/>
                <w:szCs w:val="21"/>
                <w14:ligatures w14:val="none"/>
              </w:rPr>
              <w:t>8（12）</w:t>
            </w:r>
          </w:p>
        </w:tc>
      </w:tr>
      <w:tr w14:paraId="605FA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22" w:type="pct"/>
            <w:vMerge w:val="restart"/>
            <w:vAlign w:val="center"/>
          </w:tcPr>
          <w:p w14:paraId="42E0F5A0">
            <w:pPr>
              <w:spacing w:line="240" w:lineRule="auto"/>
              <w:ind w:firstLine="0" w:firstLineChars="0"/>
              <w:jc w:val="center"/>
              <w:outlineLvl w:val="6"/>
              <w:rPr>
                <w:rFonts w:cs="Times New Roman"/>
                <w:sz w:val="21"/>
                <w14:ligatures w14:val="none"/>
              </w:rPr>
            </w:pPr>
            <w:r>
              <w:rPr>
                <w:rFonts w:hint="eastAsia" w:cs="Times New Roman"/>
                <w:sz w:val="21"/>
                <w14:ligatures w14:val="none"/>
              </w:rPr>
              <w:t>TN（以N计）</w:t>
            </w:r>
          </w:p>
        </w:tc>
        <w:tc>
          <w:tcPr>
            <w:tcW w:w="1917" w:type="pct"/>
            <w:vMerge w:val="continue"/>
            <w:vAlign w:val="center"/>
          </w:tcPr>
          <w:p w14:paraId="4B3BD63D">
            <w:pPr>
              <w:spacing w:line="240" w:lineRule="auto"/>
              <w:ind w:firstLine="0" w:firstLineChars="0"/>
              <w:jc w:val="center"/>
              <w:outlineLvl w:val="6"/>
              <w:rPr>
                <w:rFonts w:cs="Times New Roman"/>
                <w:sz w:val="21"/>
                <w14:ligatures w14:val="none"/>
              </w:rPr>
            </w:pPr>
          </w:p>
        </w:tc>
        <w:tc>
          <w:tcPr>
            <w:tcW w:w="1165" w:type="pct"/>
            <w:vAlign w:val="center"/>
          </w:tcPr>
          <w:p w14:paraId="5196B734">
            <w:pPr>
              <w:spacing w:line="240" w:lineRule="auto"/>
              <w:ind w:firstLine="0" w:firstLineChars="0"/>
              <w:jc w:val="center"/>
              <w:outlineLvl w:val="6"/>
              <w:rPr>
                <w:rFonts w:cs="Times New Roman"/>
                <w:sz w:val="21"/>
                <w14:ligatures w14:val="none"/>
              </w:rPr>
            </w:pPr>
            <w:r>
              <w:rPr>
                <w:rFonts w:hint="eastAsia" w:cs="Times New Roman"/>
                <w:sz w:val="21"/>
                <w14:ligatures w14:val="none"/>
              </w:rPr>
              <w:t>日均排放限值</w:t>
            </w:r>
          </w:p>
        </w:tc>
        <w:tc>
          <w:tcPr>
            <w:tcW w:w="796" w:type="pct"/>
            <w:vAlign w:val="center"/>
          </w:tcPr>
          <w:p w14:paraId="1DFF25F3">
            <w:pPr>
              <w:spacing w:line="240" w:lineRule="auto"/>
              <w:ind w:firstLine="0" w:firstLineChars="0"/>
              <w:jc w:val="center"/>
              <w:outlineLvl w:val="6"/>
              <w:rPr>
                <w:rFonts w:cs="Times New Roman"/>
                <w:sz w:val="21"/>
                <w14:ligatures w14:val="none"/>
              </w:rPr>
            </w:pPr>
            <w:r>
              <w:rPr>
                <w:rFonts w:hint="eastAsia" w:eastAsia="仿宋" w:cs="Times New Roman"/>
                <w:kern w:val="0"/>
                <w:sz w:val="21"/>
                <w:szCs w:val="21"/>
                <w14:ligatures w14:val="none"/>
              </w:rPr>
              <w:t>12（15）</w:t>
            </w:r>
          </w:p>
        </w:tc>
      </w:tr>
      <w:tr w14:paraId="4B665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22" w:type="pct"/>
            <w:vMerge w:val="continue"/>
            <w:vAlign w:val="center"/>
          </w:tcPr>
          <w:p w14:paraId="51EADA9F">
            <w:pPr>
              <w:spacing w:line="240" w:lineRule="auto"/>
              <w:ind w:firstLine="0" w:firstLineChars="0"/>
              <w:jc w:val="center"/>
              <w:outlineLvl w:val="6"/>
              <w:rPr>
                <w:rFonts w:cs="Times New Roman"/>
                <w:sz w:val="21"/>
                <w14:ligatures w14:val="none"/>
              </w:rPr>
            </w:pPr>
          </w:p>
        </w:tc>
        <w:tc>
          <w:tcPr>
            <w:tcW w:w="1917" w:type="pct"/>
            <w:vMerge w:val="continue"/>
            <w:vAlign w:val="center"/>
          </w:tcPr>
          <w:p w14:paraId="39D1F315">
            <w:pPr>
              <w:spacing w:line="240" w:lineRule="auto"/>
              <w:ind w:firstLine="0" w:firstLineChars="0"/>
              <w:jc w:val="center"/>
              <w:outlineLvl w:val="6"/>
              <w:rPr>
                <w:rFonts w:cs="Times New Roman"/>
                <w:sz w:val="21"/>
                <w14:ligatures w14:val="none"/>
              </w:rPr>
            </w:pPr>
          </w:p>
        </w:tc>
        <w:tc>
          <w:tcPr>
            <w:tcW w:w="1165" w:type="pct"/>
            <w:vAlign w:val="center"/>
          </w:tcPr>
          <w:p w14:paraId="466746FE">
            <w:pPr>
              <w:spacing w:line="240" w:lineRule="auto"/>
              <w:ind w:firstLine="0" w:firstLineChars="0"/>
              <w:jc w:val="center"/>
              <w:outlineLvl w:val="6"/>
              <w:rPr>
                <w:rFonts w:cs="Times New Roman"/>
                <w:sz w:val="21"/>
                <w14:ligatures w14:val="none"/>
              </w:rPr>
            </w:pPr>
            <w:r>
              <w:rPr>
                <w:rFonts w:hint="eastAsia" w:cs="Times New Roman"/>
                <w:sz w:val="21"/>
                <w14:ligatures w14:val="none"/>
              </w:rPr>
              <w:t>一次监测排放限值</w:t>
            </w:r>
          </w:p>
        </w:tc>
        <w:tc>
          <w:tcPr>
            <w:tcW w:w="796" w:type="pct"/>
            <w:vAlign w:val="center"/>
          </w:tcPr>
          <w:p w14:paraId="031B5A5D">
            <w:pPr>
              <w:spacing w:line="240" w:lineRule="auto"/>
              <w:ind w:firstLine="0" w:firstLineChars="0"/>
              <w:jc w:val="center"/>
              <w:outlineLvl w:val="6"/>
              <w:rPr>
                <w:rFonts w:cs="Times New Roman"/>
                <w:sz w:val="21"/>
                <w14:ligatures w14:val="none"/>
              </w:rPr>
            </w:pPr>
            <w:r>
              <w:rPr>
                <w:rFonts w:hint="eastAsia" w:eastAsia="仿宋" w:cs="Times New Roman"/>
                <w:kern w:val="0"/>
                <w:sz w:val="21"/>
                <w:szCs w:val="21"/>
                <w14:ligatures w14:val="none"/>
              </w:rPr>
              <w:t>15（20）</w:t>
            </w:r>
          </w:p>
        </w:tc>
      </w:tr>
      <w:tr w14:paraId="7519E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22" w:type="pct"/>
            <w:vMerge w:val="restart"/>
            <w:vAlign w:val="center"/>
          </w:tcPr>
          <w:p w14:paraId="313D8D5E">
            <w:pPr>
              <w:spacing w:line="240" w:lineRule="auto"/>
              <w:ind w:firstLine="0" w:firstLineChars="0"/>
              <w:jc w:val="center"/>
              <w:outlineLvl w:val="6"/>
              <w:rPr>
                <w:rFonts w:cs="Times New Roman"/>
                <w:sz w:val="21"/>
                <w14:ligatures w14:val="none"/>
              </w:rPr>
            </w:pPr>
            <w:r>
              <w:rPr>
                <w:rFonts w:hint="eastAsia" w:cs="Times New Roman"/>
                <w:sz w:val="21"/>
                <w14:ligatures w14:val="none"/>
              </w:rPr>
              <w:t>TP（以P计）</w:t>
            </w:r>
          </w:p>
        </w:tc>
        <w:tc>
          <w:tcPr>
            <w:tcW w:w="1917" w:type="pct"/>
            <w:vMerge w:val="continue"/>
            <w:vAlign w:val="center"/>
          </w:tcPr>
          <w:p w14:paraId="21651941">
            <w:pPr>
              <w:spacing w:line="240" w:lineRule="auto"/>
              <w:ind w:firstLine="0" w:firstLineChars="0"/>
              <w:jc w:val="center"/>
              <w:outlineLvl w:val="6"/>
              <w:rPr>
                <w:rFonts w:cs="Times New Roman"/>
                <w:sz w:val="21"/>
                <w14:ligatures w14:val="none"/>
              </w:rPr>
            </w:pPr>
          </w:p>
        </w:tc>
        <w:tc>
          <w:tcPr>
            <w:tcW w:w="1165" w:type="pct"/>
            <w:vAlign w:val="center"/>
          </w:tcPr>
          <w:p w14:paraId="3E869EBE">
            <w:pPr>
              <w:spacing w:line="240" w:lineRule="auto"/>
              <w:ind w:firstLine="0" w:firstLineChars="0"/>
              <w:jc w:val="center"/>
              <w:outlineLvl w:val="6"/>
              <w:rPr>
                <w:rFonts w:cs="Times New Roman"/>
                <w:sz w:val="21"/>
                <w14:ligatures w14:val="none"/>
              </w:rPr>
            </w:pPr>
            <w:r>
              <w:rPr>
                <w:rFonts w:hint="eastAsia" w:cs="Times New Roman"/>
                <w:sz w:val="21"/>
                <w14:ligatures w14:val="none"/>
              </w:rPr>
              <w:t>日均排放限值</w:t>
            </w:r>
          </w:p>
        </w:tc>
        <w:tc>
          <w:tcPr>
            <w:tcW w:w="796" w:type="pct"/>
            <w:vAlign w:val="center"/>
          </w:tcPr>
          <w:p w14:paraId="4D84A77B">
            <w:pPr>
              <w:spacing w:line="240" w:lineRule="auto"/>
              <w:ind w:firstLine="0" w:firstLineChars="0"/>
              <w:jc w:val="center"/>
              <w:outlineLvl w:val="6"/>
              <w:rPr>
                <w:rFonts w:cs="Times New Roman"/>
                <w:sz w:val="21"/>
                <w14:ligatures w14:val="none"/>
              </w:rPr>
            </w:pPr>
            <w:r>
              <w:rPr>
                <w:rFonts w:hint="eastAsia" w:eastAsia="仿宋" w:cs="Times New Roman"/>
                <w:kern w:val="0"/>
                <w:sz w:val="21"/>
                <w:szCs w:val="21"/>
                <w14:ligatures w14:val="none"/>
              </w:rPr>
              <w:t>0.5</w:t>
            </w:r>
          </w:p>
        </w:tc>
      </w:tr>
      <w:tr w14:paraId="21923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22" w:type="pct"/>
            <w:vMerge w:val="continue"/>
            <w:vAlign w:val="center"/>
          </w:tcPr>
          <w:p w14:paraId="7D97E4C2">
            <w:pPr>
              <w:spacing w:line="240" w:lineRule="auto"/>
              <w:ind w:firstLine="0" w:firstLineChars="0"/>
              <w:jc w:val="center"/>
              <w:outlineLvl w:val="6"/>
              <w:rPr>
                <w:rFonts w:cs="Times New Roman"/>
                <w:sz w:val="21"/>
                <w14:ligatures w14:val="none"/>
              </w:rPr>
            </w:pPr>
          </w:p>
        </w:tc>
        <w:tc>
          <w:tcPr>
            <w:tcW w:w="1917" w:type="pct"/>
            <w:vMerge w:val="continue"/>
            <w:vAlign w:val="center"/>
          </w:tcPr>
          <w:p w14:paraId="472FD0F3">
            <w:pPr>
              <w:spacing w:line="240" w:lineRule="auto"/>
              <w:ind w:firstLine="0" w:firstLineChars="0"/>
              <w:jc w:val="center"/>
              <w:outlineLvl w:val="6"/>
              <w:rPr>
                <w:rFonts w:cs="Times New Roman"/>
                <w:sz w:val="21"/>
                <w14:ligatures w14:val="none"/>
              </w:rPr>
            </w:pPr>
          </w:p>
        </w:tc>
        <w:tc>
          <w:tcPr>
            <w:tcW w:w="1165" w:type="pct"/>
            <w:vAlign w:val="center"/>
          </w:tcPr>
          <w:p w14:paraId="106FD877">
            <w:pPr>
              <w:spacing w:line="240" w:lineRule="auto"/>
              <w:ind w:firstLine="0" w:firstLineChars="0"/>
              <w:jc w:val="center"/>
              <w:outlineLvl w:val="6"/>
              <w:rPr>
                <w:rFonts w:cs="Times New Roman"/>
                <w:sz w:val="21"/>
                <w14:ligatures w14:val="none"/>
              </w:rPr>
            </w:pPr>
            <w:r>
              <w:rPr>
                <w:rFonts w:hint="eastAsia" w:cs="Times New Roman"/>
                <w:sz w:val="21"/>
                <w14:ligatures w14:val="none"/>
              </w:rPr>
              <w:t>一次监测排放限值</w:t>
            </w:r>
          </w:p>
        </w:tc>
        <w:tc>
          <w:tcPr>
            <w:tcW w:w="796" w:type="pct"/>
            <w:vAlign w:val="center"/>
          </w:tcPr>
          <w:p w14:paraId="2DD00D12">
            <w:pPr>
              <w:spacing w:line="240" w:lineRule="auto"/>
              <w:ind w:firstLine="0" w:firstLineChars="0"/>
              <w:jc w:val="center"/>
              <w:outlineLvl w:val="6"/>
              <w:rPr>
                <w:rFonts w:cs="Times New Roman"/>
                <w:sz w:val="21"/>
                <w14:ligatures w14:val="none"/>
              </w:rPr>
            </w:pPr>
            <w:r>
              <w:rPr>
                <w:rFonts w:hint="eastAsia" w:eastAsia="仿宋" w:cs="Times New Roman"/>
                <w:kern w:val="0"/>
                <w:sz w:val="21"/>
                <w:szCs w:val="21"/>
                <w14:ligatures w14:val="none"/>
              </w:rPr>
              <w:t>1</w:t>
            </w:r>
          </w:p>
        </w:tc>
      </w:tr>
      <w:tr w14:paraId="2160B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22" w:type="pct"/>
            <w:vAlign w:val="center"/>
          </w:tcPr>
          <w:p w14:paraId="0217FBF3">
            <w:pPr>
              <w:spacing w:line="240" w:lineRule="auto"/>
              <w:ind w:firstLine="0" w:firstLineChars="0"/>
              <w:jc w:val="center"/>
              <w:outlineLvl w:val="6"/>
              <w:rPr>
                <w:rFonts w:cs="Times New Roman"/>
                <w:sz w:val="21"/>
                <w14:ligatures w14:val="none"/>
              </w:rPr>
            </w:pPr>
            <w:r>
              <w:rPr>
                <w:rFonts w:hint="eastAsia" w:cs="Times New Roman"/>
                <w:sz w:val="21"/>
                <w14:ligatures w14:val="none"/>
              </w:rPr>
              <w:t>SS</w:t>
            </w:r>
          </w:p>
        </w:tc>
        <w:tc>
          <w:tcPr>
            <w:tcW w:w="1917" w:type="pct"/>
            <w:vMerge w:val="continue"/>
            <w:vAlign w:val="center"/>
          </w:tcPr>
          <w:p w14:paraId="6D295897">
            <w:pPr>
              <w:spacing w:line="240" w:lineRule="auto"/>
              <w:ind w:firstLine="0" w:firstLineChars="0"/>
              <w:jc w:val="center"/>
              <w:outlineLvl w:val="6"/>
              <w:rPr>
                <w:rFonts w:cs="Times New Roman"/>
                <w:sz w:val="21"/>
                <w14:ligatures w14:val="none"/>
              </w:rPr>
            </w:pPr>
          </w:p>
        </w:tc>
        <w:tc>
          <w:tcPr>
            <w:tcW w:w="1961" w:type="pct"/>
            <w:gridSpan w:val="2"/>
            <w:vAlign w:val="center"/>
          </w:tcPr>
          <w:p w14:paraId="6638855A">
            <w:pPr>
              <w:spacing w:line="240" w:lineRule="auto"/>
              <w:ind w:firstLine="0" w:firstLineChars="0"/>
              <w:jc w:val="center"/>
              <w:outlineLvl w:val="6"/>
              <w:rPr>
                <w:rFonts w:cs="Times New Roman"/>
                <w:sz w:val="21"/>
                <w14:ligatures w14:val="none"/>
              </w:rPr>
            </w:pPr>
            <w:r>
              <w:rPr>
                <w:rFonts w:hint="eastAsia" w:eastAsia="仿宋" w:cs="Times New Roman"/>
                <w:kern w:val="0"/>
                <w:sz w:val="21"/>
                <w:szCs w:val="21"/>
                <w14:ligatures w14:val="none"/>
              </w:rPr>
              <w:t>10</w:t>
            </w:r>
          </w:p>
        </w:tc>
      </w:tr>
      <w:tr w14:paraId="7FCF0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22" w:type="pct"/>
            <w:vAlign w:val="center"/>
          </w:tcPr>
          <w:p w14:paraId="17945B94">
            <w:pPr>
              <w:spacing w:line="240" w:lineRule="auto"/>
              <w:ind w:firstLine="0" w:firstLineChars="0"/>
              <w:jc w:val="center"/>
              <w:outlineLvl w:val="6"/>
              <w:rPr>
                <w:rFonts w:cs="Times New Roman"/>
                <w:sz w:val="21"/>
                <w14:ligatures w14:val="none"/>
              </w:rPr>
            </w:pPr>
            <w:r>
              <w:rPr>
                <w:rFonts w:hint="eastAsia" w:cs="Times New Roman"/>
                <w:sz w:val="21"/>
                <w14:ligatures w14:val="none"/>
              </w:rPr>
              <w:t>石油类</w:t>
            </w:r>
          </w:p>
        </w:tc>
        <w:tc>
          <w:tcPr>
            <w:tcW w:w="1917" w:type="pct"/>
            <w:vMerge w:val="continue"/>
            <w:vAlign w:val="center"/>
          </w:tcPr>
          <w:p w14:paraId="3189F1E4">
            <w:pPr>
              <w:spacing w:line="240" w:lineRule="auto"/>
              <w:ind w:firstLine="0" w:firstLineChars="0"/>
              <w:jc w:val="center"/>
              <w:outlineLvl w:val="6"/>
              <w:rPr>
                <w:rFonts w:cs="Times New Roman"/>
                <w:sz w:val="21"/>
                <w14:ligatures w14:val="none"/>
              </w:rPr>
            </w:pPr>
          </w:p>
        </w:tc>
        <w:tc>
          <w:tcPr>
            <w:tcW w:w="1961" w:type="pct"/>
            <w:gridSpan w:val="2"/>
            <w:vAlign w:val="center"/>
          </w:tcPr>
          <w:p w14:paraId="1411895A">
            <w:pPr>
              <w:spacing w:line="240" w:lineRule="auto"/>
              <w:ind w:firstLine="0" w:firstLineChars="0"/>
              <w:jc w:val="center"/>
              <w:outlineLvl w:val="6"/>
              <w:rPr>
                <w:rFonts w:cs="Times New Roman"/>
                <w:sz w:val="21"/>
                <w14:ligatures w14:val="none"/>
              </w:rPr>
            </w:pPr>
            <w:r>
              <w:rPr>
                <w:rFonts w:hint="eastAsia" w:eastAsia="仿宋" w:cs="Times New Roman"/>
                <w:kern w:val="0"/>
                <w:sz w:val="21"/>
                <w:szCs w:val="21"/>
                <w14:ligatures w14:val="none"/>
              </w:rPr>
              <w:t>1</w:t>
            </w:r>
          </w:p>
        </w:tc>
      </w:tr>
    </w:tbl>
    <w:p w14:paraId="45384146">
      <w:pPr>
        <w:ind w:firstLine="480"/>
      </w:pPr>
      <w:r>
        <w:rPr>
          <w:rFonts w:hint="eastAsia"/>
        </w:rPr>
        <w:t>2）分散式处理设施排放标准</w:t>
      </w:r>
    </w:p>
    <w:p w14:paraId="1A2CE596">
      <w:pPr>
        <w:ind w:firstLine="480"/>
      </w:pPr>
      <w:r>
        <w:rPr>
          <w:rFonts w:hint="eastAsia"/>
        </w:rPr>
        <w:t>区域内未接管的村庄居民产生的生活污水依托分散式农村生活污水处理设施进行处理，污水排放参照《农村生活污水处理设施水污染物排放标准》（DB32/ 3462—2020），污水日处理能力小于20m</w:t>
      </w:r>
      <w:r>
        <w:rPr>
          <w:rFonts w:hint="eastAsia"/>
          <w:vertAlign w:val="superscript"/>
        </w:rPr>
        <w:t>3</w:t>
      </w:r>
      <w:r>
        <w:rPr>
          <w:rFonts w:hint="eastAsia"/>
        </w:rPr>
        <w:t>/d的执行三级标准，污水日处理能力大于等于20m</w:t>
      </w:r>
      <w:r>
        <w:rPr>
          <w:rFonts w:hint="eastAsia"/>
          <w:vertAlign w:val="superscript"/>
        </w:rPr>
        <w:t>3</w:t>
      </w:r>
      <w:r>
        <w:rPr>
          <w:rFonts w:hint="eastAsia"/>
        </w:rPr>
        <w:t>/d的执行二级标准，具体水质排放标准如表1.7-16所示。</w:t>
      </w:r>
    </w:p>
    <w:p w14:paraId="47706616">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表1.7-</w:t>
      </w:r>
      <w:r>
        <w:rPr>
          <w:rFonts w:hint="eastAsia" w:cs="Times New Roman"/>
          <w:b/>
          <w:szCs w:val="24"/>
          <w14:ligatures w14:val="none"/>
        </w:rPr>
        <w:t>16</w:t>
      </w:r>
      <w:r>
        <w:rPr>
          <w:rFonts w:cs="Times New Roman"/>
          <w:b/>
          <w:szCs w:val="24"/>
          <w14:ligatures w14:val="none"/>
        </w:rPr>
        <w:t xml:space="preserve">  </w:t>
      </w:r>
      <w:r>
        <w:rPr>
          <w:rFonts w:hint="eastAsia" w:cs="Times New Roman"/>
          <w:b/>
          <w:szCs w:val="24"/>
          <w14:ligatures w14:val="none"/>
        </w:rPr>
        <w:t>农村生活污水处理设施水污染物排放标准限值</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1787"/>
        <w:gridCol w:w="1252"/>
        <w:gridCol w:w="1253"/>
        <w:gridCol w:w="1695"/>
        <w:gridCol w:w="1804"/>
      </w:tblGrid>
      <w:tr w14:paraId="19F39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29" w:type="dxa"/>
            <w:vMerge w:val="restart"/>
            <w:vAlign w:val="center"/>
          </w:tcPr>
          <w:p w14:paraId="3E09357B">
            <w:pPr>
              <w:spacing w:line="240" w:lineRule="auto"/>
              <w:ind w:firstLine="0" w:firstLineChars="0"/>
              <w:jc w:val="center"/>
              <w:outlineLvl w:val="6"/>
              <w:rPr>
                <w:rFonts w:cs="Times New Roman"/>
                <w:b/>
                <w:bCs/>
                <w:sz w:val="21"/>
                <w14:ligatures w14:val="none"/>
              </w:rPr>
            </w:pPr>
            <w:r>
              <w:rPr>
                <w:rFonts w:hint="eastAsia" w:cs="Times New Roman"/>
                <w:b/>
                <w:bCs/>
                <w:sz w:val="21"/>
                <w14:ligatures w14:val="none"/>
              </w:rPr>
              <w:t>序号</w:t>
            </w:r>
          </w:p>
        </w:tc>
        <w:tc>
          <w:tcPr>
            <w:tcW w:w="1787" w:type="dxa"/>
            <w:vMerge w:val="restart"/>
            <w:vAlign w:val="center"/>
          </w:tcPr>
          <w:p w14:paraId="02558136">
            <w:pPr>
              <w:spacing w:line="240" w:lineRule="auto"/>
              <w:ind w:firstLine="0" w:firstLineChars="0"/>
              <w:jc w:val="center"/>
              <w:outlineLvl w:val="6"/>
              <w:rPr>
                <w:rFonts w:cs="Times New Roman"/>
                <w:b/>
                <w:bCs/>
                <w:sz w:val="21"/>
                <w14:ligatures w14:val="none"/>
              </w:rPr>
            </w:pPr>
            <w:r>
              <w:rPr>
                <w:rFonts w:hint="eastAsia" w:cs="Times New Roman"/>
                <w:b/>
                <w:bCs/>
                <w:sz w:val="21"/>
                <w14:ligatures w14:val="none"/>
              </w:rPr>
              <w:t>控制项目</w:t>
            </w:r>
          </w:p>
        </w:tc>
        <w:tc>
          <w:tcPr>
            <w:tcW w:w="2505" w:type="dxa"/>
            <w:gridSpan w:val="2"/>
            <w:vAlign w:val="center"/>
          </w:tcPr>
          <w:p w14:paraId="254A99B5">
            <w:pPr>
              <w:spacing w:line="240" w:lineRule="auto"/>
              <w:ind w:firstLine="0" w:firstLineChars="0"/>
              <w:jc w:val="center"/>
              <w:outlineLvl w:val="6"/>
              <w:rPr>
                <w:rFonts w:cs="Times New Roman"/>
                <w:b/>
                <w:bCs/>
                <w:sz w:val="21"/>
                <w14:ligatures w14:val="none"/>
              </w:rPr>
            </w:pPr>
            <w:r>
              <w:rPr>
                <w:rFonts w:hint="eastAsia" w:cs="Times New Roman"/>
                <w:b/>
                <w:bCs/>
                <w:sz w:val="21"/>
                <w14:ligatures w14:val="none"/>
              </w:rPr>
              <w:t>一级标准</w:t>
            </w:r>
          </w:p>
        </w:tc>
        <w:tc>
          <w:tcPr>
            <w:tcW w:w="1695" w:type="dxa"/>
            <w:vMerge w:val="restart"/>
            <w:vAlign w:val="center"/>
          </w:tcPr>
          <w:p w14:paraId="39F78B39">
            <w:pPr>
              <w:spacing w:line="240" w:lineRule="auto"/>
              <w:ind w:firstLine="0" w:firstLineChars="0"/>
              <w:jc w:val="center"/>
              <w:outlineLvl w:val="6"/>
              <w:rPr>
                <w:rFonts w:cs="Times New Roman"/>
                <w:b/>
                <w:bCs/>
                <w:sz w:val="21"/>
                <w14:ligatures w14:val="none"/>
              </w:rPr>
            </w:pPr>
            <w:r>
              <w:rPr>
                <w:rFonts w:hint="eastAsia" w:cs="Times New Roman"/>
                <w:b/>
                <w:bCs/>
                <w:sz w:val="21"/>
                <w14:ligatures w14:val="none"/>
              </w:rPr>
              <w:t>二级标准</w:t>
            </w:r>
          </w:p>
        </w:tc>
        <w:tc>
          <w:tcPr>
            <w:tcW w:w="1804" w:type="dxa"/>
            <w:vMerge w:val="restart"/>
            <w:vAlign w:val="center"/>
          </w:tcPr>
          <w:p w14:paraId="68A4EBB6">
            <w:pPr>
              <w:spacing w:line="240" w:lineRule="auto"/>
              <w:ind w:firstLine="0" w:firstLineChars="0"/>
              <w:jc w:val="center"/>
              <w:outlineLvl w:val="6"/>
              <w:rPr>
                <w:rFonts w:cs="Times New Roman"/>
                <w:b/>
                <w:bCs/>
                <w:sz w:val="21"/>
                <w14:ligatures w14:val="none"/>
              </w:rPr>
            </w:pPr>
            <w:r>
              <w:rPr>
                <w:rFonts w:hint="eastAsia" w:cs="Times New Roman"/>
                <w:b/>
                <w:bCs/>
                <w:sz w:val="21"/>
                <w14:ligatures w14:val="none"/>
              </w:rPr>
              <w:t>三级标准</w:t>
            </w:r>
          </w:p>
        </w:tc>
      </w:tr>
      <w:tr w14:paraId="4CF5D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29" w:type="dxa"/>
            <w:vMerge w:val="continue"/>
            <w:vAlign w:val="center"/>
          </w:tcPr>
          <w:p w14:paraId="30B8A7E1">
            <w:pPr>
              <w:spacing w:line="240" w:lineRule="auto"/>
              <w:ind w:firstLine="0" w:firstLineChars="0"/>
              <w:jc w:val="center"/>
              <w:outlineLvl w:val="6"/>
              <w:rPr>
                <w:rFonts w:cs="Times New Roman"/>
                <w:b/>
                <w:bCs/>
                <w:sz w:val="21"/>
                <w14:ligatures w14:val="none"/>
              </w:rPr>
            </w:pPr>
          </w:p>
        </w:tc>
        <w:tc>
          <w:tcPr>
            <w:tcW w:w="1787" w:type="dxa"/>
            <w:vMerge w:val="continue"/>
            <w:vAlign w:val="center"/>
          </w:tcPr>
          <w:p w14:paraId="370D3370">
            <w:pPr>
              <w:spacing w:line="240" w:lineRule="auto"/>
              <w:ind w:firstLine="0" w:firstLineChars="0"/>
              <w:jc w:val="center"/>
              <w:outlineLvl w:val="6"/>
              <w:rPr>
                <w:rFonts w:cs="Times New Roman"/>
                <w:b/>
                <w:bCs/>
                <w:sz w:val="21"/>
                <w14:ligatures w14:val="none"/>
              </w:rPr>
            </w:pPr>
          </w:p>
        </w:tc>
        <w:tc>
          <w:tcPr>
            <w:tcW w:w="1252" w:type="dxa"/>
            <w:vAlign w:val="center"/>
          </w:tcPr>
          <w:p w14:paraId="107B1B38">
            <w:pPr>
              <w:spacing w:line="240" w:lineRule="auto"/>
              <w:ind w:firstLine="0" w:firstLineChars="0"/>
              <w:jc w:val="center"/>
              <w:outlineLvl w:val="6"/>
              <w:rPr>
                <w:rFonts w:cs="Times New Roman"/>
                <w:b/>
                <w:bCs/>
                <w:sz w:val="21"/>
                <w14:ligatures w14:val="none"/>
              </w:rPr>
            </w:pPr>
            <w:r>
              <w:rPr>
                <w:rFonts w:hint="eastAsia" w:cs="Times New Roman"/>
                <w:b/>
                <w:bCs/>
                <w:sz w:val="21"/>
                <w14:ligatures w14:val="none"/>
              </w:rPr>
              <w:t>A</w:t>
            </w:r>
          </w:p>
        </w:tc>
        <w:tc>
          <w:tcPr>
            <w:tcW w:w="1253" w:type="dxa"/>
            <w:vAlign w:val="center"/>
          </w:tcPr>
          <w:p w14:paraId="5DCFEA6A">
            <w:pPr>
              <w:spacing w:line="240" w:lineRule="auto"/>
              <w:ind w:firstLine="0" w:firstLineChars="0"/>
              <w:jc w:val="center"/>
              <w:outlineLvl w:val="6"/>
              <w:rPr>
                <w:rFonts w:cs="Times New Roman"/>
                <w:b/>
                <w:bCs/>
                <w:sz w:val="21"/>
                <w14:ligatures w14:val="none"/>
              </w:rPr>
            </w:pPr>
            <w:r>
              <w:rPr>
                <w:rFonts w:hint="eastAsia" w:cs="Times New Roman"/>
                <w:b/>
                <w:bCs/>
                <w:sz w:val="21"/>
                <w14:ligatures w14:val="none"/>
              </w:rPr>
              <w:t>B</w:t>
            </w:r>
          </w:p>
        </w:tc>
        <w:tc>
          <w:tcPr>
            <w:tcW w:w="1695" w:type="dxa"/>
            <w:vMerge w:val="continue"/>
            <w:vAlign w:val="center"/>
          </w:tcPr>
          <w:p w14:paraId="0C60D1C2">
            <w:pPr>
              <w:spacing w:line="240" w:lineRule="auto"/>
              <w:ind w:firstLine="0" w:firstLineChars="0"/>
              <w:jc w:val="center"/>
              <w:outlineLvl w:val="6"/>
              <w:rPr>
                <w:rFonts w:cs="Times New Roman"/>
                <w:b/>
                <w:bCs/>
                <w:sz w:val="21"/>
                <w14:ligatures w14:val="none"/>
              </w:rPr>
            </w:pPr>
          </w:p>
        </w:tc>
        <w:tc>
          <w:tcPr>
            <w:tcW w:w="1804" w:type="dxa"/>
            <w:vMerge w:val="continue"/>
            <w:vAlign w:val="center"/>
          </w:tcPr>
          <w:p w14:paraId="795BAC81">
            <w:pPr>
              <w:spacing w:line="240" w:lineRule="auto"/>
              <w:ind w:firstLine="0" w:firstLineChars="0"/>
              <w:jc w:val="center"/>
              <w:outlineLvl w:val="6"/>
              <w:rPr>
                <w:rFonts w:cs="Times New Roman"/>
                <w:b/>
                <w:bCs/>
                <w:sz w:val="21"/>
                <w14:ligatures w14:val="none"/>
              </w:rPr>
            </w:pPr>
          </w:p>
        </w:tc>
      </w:tr>
      <w:tr w14:paraId="52295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0E569FDC">
            <w:pPr>
              <w:spacing w:line="240" w:lineRule="auto"/>
              <w:ind w:firstLine="0" w:firstLineChars="0"/>
              <w:jc w:val="center"/>
              <w:outlineLvl w:val="6"/>
              <w:rPr>
                <w:rFonts w:cs="Times New Roman"/>
                <w:sz w:val="21"/>
                <w14:ligatures w14:val="none"/>
              </w:rPr>
            </w:pPr>
            <w:r>
              <w:rPr>
                <w:rFonts w:hint="eastAsia" w:cs="Times New Roman"/>
                <w:sz w:val="21"/>
                <w14:ligatures w14:val="none"/>
              </w:rPr>
              <w:t>1</w:t>
            </w:r>
          </w:p>
        </w:tc>
        <w:tc>
          <w:tcPr>
            <w:tcW w:w="1787" w:type="dxa"/>
            <w:vAlign w:val="center"/>
          </w:tcPr>
          <w:p w14:paraId="2C3F68EE">
            <w:pPr>
              <w:spacing w:line="240" w:lineRule="auto"/>
              <w:ind w:firstLine="0" w:firstLineChars="0"/>
              <w:jc w:val="center"/>
              <w:outlineLvl w:val="6"/>
              <w:rPr>
                <w:rFonts w:cs="Times New Roman"/>
                <w:sz w:val="21"/>
                <w14:ligatures w14:val="none"/>
              </w:rPr>
            </w:pPr>
            <w:r>
              <w:rPr>
                <w:rFonts w:cs="Times New Roman"/>
                <w:sz w:val="21"/>
                <w14:ligatures w14:val="none"/>
              </w:rPr>
              <w:t>pH</w:t>
            </w:r>
            <w:r>
              <w:rPr>
                <w:rFonts w:hint="eastAsia" w:cs="Times New Roman"/>
                <w:sz w:val="21"/>
                <w14:ligatures w14:val="none"/>
              </w:rPr>
              <w:t>（量纲一的量）</w:t>
            </w:r>
          </w:p>
        </w:tc>
        <w:tc>
          <w:tcPr>
            <w:tcW w:w="6004" w:type="dxa"/>
            <w:gridSpan w:val="4"/>
            <w:vAlign w:val="center"/>
          </w:tcPr>
          <w:p w14:paraId="17A93A2C">
            <w:pPr>
              <w:spacing w:line="240" w:lineRule="auto"/>
              <w:ind w:firstLine="0" w:firstLineChars="0"/>
              <w:jc w:val="center"/>
              <w:outlineLvl w:val="6"/>
              <w:rPr>
                <w:rFonts w:cs="Times New Roman"/>
                <w:sz w:val="21"/>
                <w14:ligatures w14:val="none"/>
              </w:rPr>
            </w:pPr>
            <w:r>
              <w:rPr>
                <w:rFonts w:cs="Times New Roman"/>
                <w:sz w:val="21"/>
                <w14:ligatures w14:val="none"/>
              </w:rPr>
              <w:t>6~9</w:t>
            </w:r>
          </w:p>
        </w:tc>
      </w:tr>
      <w:tr w14:paraId="7E542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16F934CB">
            <w:pPr>
              <w:spacing w:line="240" w:lineRule="auto"/>
              <w:ind w:firstLine="0" w:firstLineChars="0"/>
              <w:jc w:val="center"/>
              <w:outlineLvl w:val="6"/>
              <w:rPr>
                <w:rFonts w:cs="Times New Roman"/>
                <w:sz w:val="21"/>
                <w14:ligatures w14:val="none"/>
              </w:rPr>
            </w:pPr>
            <w:r>
              <w:rPr>
                <w:rFonts w:hint="eastAsia" w:cs="Times New Roman"/>
                <w:sz w:val="21"/>
                <w14:ligatures w14:val="none"/>
              </w:rPr>
              <w:t>2</w:t>
            </w:r>
          </w:p>
        </w:tc>
        <w:tc>
          <w:tcPr>
            <w:tcW w:w="1787" w:type="dxa"/>
            <w:vAlign w:val="center"/>
          </w:tcPr>
          <w:p w14:paraId="716B1008">
            <w:pPr>
              <w:spacing w:line="240" w:lineRule="auto"/>
              <w:ind w:firstLine="0" w:firstLineChars="0"/>
              <w:jc w:val="center"/>
              <w:outlineLvl w:val="6"/>
              <w:rPr>
                <w:rFonts w:cs="Times New Roman"/>
                <w:sz w:val="21"/>
                <w14:ligatures w14:val="none"/>
              </w:rPr>
            </w:pPr>
            <w:r>
              <w:rPr>
                <w:rFonts w:hint="eastAsia" w:cs="Times New Roman"/>
                <w:sz w:val="21"/>
                <w14:ligatures w14:val="none"/>
              </w:rPr>
              <w:t>化学需氧量</w:t>
            </w:r>
          </w:p>
        </w:tc>
        <w:tc>
          <w:tcPr>
            <w:tcW w:w="2505" w:type="dxa"/>
            <w:gridSpan w:val="2"/>
            <w:vAlign w:val="center"/>
          </w:tcPr>
          <w:p w14:paraId="3352FD44">
            <w:pPr>
              <w:spacing w:line="240" w:lineRule="auto"/>
              <w:ind w:firstLine="0" w:firstLineChars="0"/>
              <w:jc w:val="center"/>
              <w:outlineLvl w:val="6"/>
              <w:rPr>
                <w:rFonts w:cs="Times New Roman"/>
                <w:sz w:val="21"/>
                <w14:ligatures w14:val="none"/>
              </w:rPr>
            </w:pPr>
            <w:r>
              <w:rPr>
                <w:rFonts w:hint="eastAsia" w:cs="Times New Roman"/>
                <w:sz w:val="21"/>
                <w14:ligatures w14:val="none"/>
              </w:rPr>
              <w:t>60</w:t>
            </w:r>
          </w:p>
        </w:tc>
        <w:tc>
          <w:tcPr>
            <w:tcW w:w="1695" w:type="dxa"/>
            <w:vAlign w:val="center"/>
          </w:tcPr>
          <w:p w14:paraId="11CAE502">
            <w:pPr>
              <w:spacing w:line="240" w:lineRule="auto"/>
              <w:ind w:firstLine="0" w:firstLineChars="0"/>
              <w:jc w:val="center"/>
              <w:outlineLvl w:val="6"/>
              <w:rPr>
                <w:rFonts w:cs="Times New Roman"/>
                <w:sz w:val="21"/>
                <w14:ligatures w14:val="none"/>
              </w:rPr>
            </w:pPr>
            <w:r>
              <w:rPr>
                <w:rFonts w:hint="eastAsia" w:cs="Times New Roman"/>
                <w:sz w:val="21"/>
                <w14:ligatures w14:val="none"/>
              </w:rPr>
              <w:t>100</w:t>
            </w:r>
          </w:p>
        </w:tc>
        <w:tc>
          <w:tcPr>
            <w:tcW w:w="1804" w:type="dxa"/>
            <w:vAlign w:val="center"/>
          </w:tcPr>
          <w:p w14:paraId="2FC04642">
            <w:pPr>
              <w:spacing w:line="240" w:lineRule="auto"/>
              <w:ind w:firstLine="0" w:firstLineChars="0"/>
              <w:jc w:val="center"/>
              <w:outlineLvl w:val="6"/>
              <w:rPr>
                <w:rFonts w:cs="Times New Roman"/>
                <w:sz w:val="21"/>
                <w14:ligatures w14:val="none"/>
              </w:rPr>
            </w:pPr>
            <w:r>
              <w:rPr>
                <w:rFonts w:hint="eastAsia" w:cs="Times New Roman"/>
                <w:sz w:val="21"/>
                <w14:ligatures w14:val="none"/>
              </w:rPr>
              <w:t>120</w:t>
            </w:r>
          </w:p>
        </w:tc>
      </w:tr>
      <w:tr w14:paraId="76A61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7D24CDFA">
            <w:pPr>
              <w:spacing w:line="240" w:lineRule="auto"/>
              <w:ind w:firstLine="0" w:firstLineChars="0"/>
              <w:jc w:val="center"/>
              <w:outlineLvl w:val="6"/>
              <w:rPr>
                <w:rFonts w:cs="Times New Roman"/>
                <w:sz w:val="21"/>
                <w14:ligatures w14:val="none"/>
              </w:rPr>
            </w:pPr>
            <w:r>
              <w:rPr>
                <w:rFonts w:hint="eastAsia" w:cs="Times New Roman"/>
                <w:sz w:val="21"/>
                <w14:ligatures w14:val="none"/>
              </w:rPr>
              <w:t>3</w:t>
            </w:r>
          </w:p>
        </w:tc>
        <w:tc>
          <w:tcPr>
            <w:tcW w:w="1787" w:type="dxa"/>
            <w:vAlign w:val="center"/>
          </w:tcPr>
          <w:p w14:paraId="07FEDABF">
            <w:pPr>
              <w:spacing w:line="240" w:lineRule="auto"/>
              <w:ind w:firstLine="0" w:firstLineChars="0"/>
              <w:jc w:val="center"/>
              <w:outlineLvl w:val="6"/>
              <w:rPr>
                <w:rFonts w:cs="Times New Roman"/>
                <w:sz w:val="21"/>
                <w14:ligatures w14:val="none"/>
              </w:rPr>
            </w:pPr>
            <w:r>
              <w:rPr>
                <w:rFonts w:hint="eastAsia" w:cs="Times New Roman"/>
                <w:sz w:val="21"/>
                <w14:ligatures w14:val="none"/>
              </w:rPr>
              <w:t>悬浮物</w:t>
            </w:r>
          </w:p>
        </w:tc>
        <w:tc>
          <w:tcPr>
            <w:tcW w:w="2505" w:type="dxa"/>
            <w:gridSpan w:val="2"/>
            <w:vAlign w:val="center"/>
          </w:tcPr>
          <w:p w14:paraId="571A8CA7">
            <w:pPr>
              <w:spacing w:line="240" w:lineRule="auto"/>
              <w:ind w:firstLine="0" w:firstLineChars="0"/>
              <w:jc w:val="center"/>
              <w:outlineLvl w:val="6"/>
              <w:rPr>
                <w:rFonts w:cs="Times New Roman"/>
                <w:sz w:val="21"/>
                <w14:ligatures w14:val="none"/>
              </w:rPr>
            </w:pPr>
            <w:r>
              <w:rPr>
                <w:rFonts w:hint="eastAsia" w:cs="Times New Roman"/>
                <w:sz w:val="21"/>
                <w14:ligatures w14:val="none"/>
              </w:rPr>
              <w:t>20</w:t>
            </w:r>
          </w:p>
        </w:tc>
        <w:tc>
          <w:tcPr>
            <w:tcW w:w="1695" w:type="dxa"/>
            <w:vAlign w:val="center"/>
          </w:tcPr>
          <w:p w14:paraId="3092D682">
            <w:pPr>
              <w:spacing w:line="240" w:lineRule="auto"/>
              <w:ind w:firstLine="0" w:firstLineChars="0"/>
              <w:jc w:val="center"/>
              <w:outlineLvl w:val="6"/>
              <w:rPr>
                <w:rFonts w:cs="Times New Roman"/>
                <w:sz w:val="21"/>
                <w14:ligatures w14:val="none"/>
              </w:rPr>
            </w:pPr>
            <w:r>
              <w:rPr>
                <w:rFonts w:hint="eastAsia" w:cs="Times New Roman"/>
                <w:sz w:val="21"/>
                <w14:ligatures w14:val="none"/>
              </w:rPr>
              <w:t>30</w:t>
            </w:r>
          </w:p>
        </w:tc>
        <w:tc>
          <w:tcPr>
            <w:tcW w:w="1804" w:type="dxa"/>
            <w:vAlign w:val="center"/>
          </w:tcPr>
          <w:p w14:paraId="0C3C0C07">
            <w:pPr>
              <w:spacing w:line="240" w:lineRule="auto"/>
              <w:ind w:firstLine="0" w:firstLineChars="0"/>
              <w:jc w:val="center"/>
              <w:outlineLvl w:val="6"/>
              <w:rPr>
                <w:rFonts w:cs="Times New Roman"/>
                <w:sz w:val="21"/>
                <w14:ligatures w14:val="none"/>
              </w:rPr>
            </w:pPr>
            <w:r>
              <w:rPr>
                <w:rFonts w:hint="eastAsia" w:cs="Times New Roman"/>
                <w:sz w:val="21"/>
                <w14:ligatures w14:val="none"/>
              </w:rPr>
              <w:t>50</w:t>
            </w:r>
          </w:p>
        </w:tc>
      </w:tr>
      <w:tr w14:paraId="1D1F5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5BE7307F">
            <w:pPr>
              <w:spacing w:line="240" w:lineRule="auto"/>
              <w:ind w:firstLine="0" w:firstLineChars="0"/>
              <w:jc w:val="center"/>
              <w:outlineLvl w:val="6"/>
              <w:rPr>
                <w:rFonts w:cs="Times New Roman"/>
                <w:sz w:val="21"/>
                <w14:ligatures w14:val="none"/>
              </w:rPr>
            </w:pPr>
            <w:r>
              <w:rPr>
                <w:rFonts w:hint="eastAsia" w:cs="Times New Roman"/>
                <w:sz w:val="21"/>
                <w14:ligatures w14:val="none"/>
              </w:rPr>
              <w:t>4</w:t>
            </w:r>
          </w:p>
        </w:tc>
        <w:tc>
          <w:tcPr>
            <w:tcW w:w="1787" w:type="dxa"/>
            <w:vAlign w:val="center"/>
          </w:tcPr>
          <w:p w14:paraId="4F3C6FF2">
            <w:pPr>
              <w:spacing w:line="240" w:lineRule="auto"/>
              <w:ind w:firstLine="0" w:firstLineChars="0"/>
              <w:jc w:val="center"/>
              <w:outlineLvl w:val="6"/>
              <w:rPr>
                <w:rFonts w:cs="Times New Roman"/>
                <w:sz w:val="21"/>
                <w14:ligatures w14:val="none"/>
              </w:rPr>
            </w:pPr>
            <w:r>
              <w:rPr>
                <w:rFonts w:hint="eastAsia" w:cs="Times New Roman"/>
                <w:sz w:val="21"/>
                <w14:ligatures w14:val="none"/>
              </w:rPr>
              <w:t>氨氮（以</w:t>
            </w:r>
            <w:r>
              <w:rPr>
                <w:rFonts w:cs="Times New Roman"/>
                <w:sz w:val="21"/>
                <w14:ligatures w14:val="none"/>
              </w:rPr>
              <w:t>N</w:t>
            </w:r>
            <w:r>
              <w:rPr>
                <w:rFonts w:hint="eastAsia" w:cs="Times New Roman"/>
                <w:sz w:val="21"/>
                <w14:ligatures w14:val="none"/>
              </w:rPr>
              <w:t>计）</w:t>
            </w:r>
          </w:p>
        </w:tc>
        <w:tc>
          <w:tcPr>
            <w:tcW w:w="2505" w:type="dxa"/>
            <w:gridSpan w:val="2"/>
            <w:vAlign w:val="center"/>
          </w:tcPr>
          <w:p w14:paraId="5C9F81C3">
            <w:pPr>
              <w:spacing w:line="240" w:lineRule="auto"/>
              <w:ind w:firstLine="0" w:firstLineChars="0"/>
              <w:jc w:val="center"/>
              <w:outlineLvl w:val="6"/>
              <w:rPr>
                <w:rFonts w:cs="Times New Roman"/>
                <w:sz w:val="21"/>
                <w14:ligatures w14:val="none"/>
              </w:rPr>
            </w:pPr>
            <w:r>
              <w:rPr>
                <w:rFonts w:hint="eastAsia" w:cs="Times New Roman"/>
                <w:sz w:val="21"/>
                <w14:ligatures w14:val="none"/>
              </w:rPr>
              <w:t>8（15）</w:t>
            </w:r>
            <w:r>
              <w:rPr>
                <w:rFonts w:hint="eastAsia" w:cs="Times New Roman"/>
                <w:sz w:val="21"/>
                <w:vertAlign w:val="superscript"/>
                <w14:ligatures w14:val="none"/>
              </w:rPr>
              <w:t>a</w:t>
            </w:r>
          </w:p>
        </w:tc>
        <w:tc>
          <w:tcPr>
            <w:tcW w:w="1695" w:type="dxa"/>
            <w:vAlign w:val="center"/>
          </w:tcPr>
          <w:p w14:paraId="6E41F06D">
            <w:pPr>
              <w:spacing w:line="240" w:lineRule="auto"/>
              <w:ind w:firstLine="0" w:firstLineChars="0"/>
              <w:jc w:val="center"/>
              <w:outlineLvl w:val="6"/>
              <w:rPr>
                <w:rFonts w:cs="Times New Roman"/>
                <w:sz w:val="21"/>
                <w14:ligatures w14:val="none"/>
              </w:rPr>
            </w:pPr>
            <w:r>
              <w:rPr>
                <w:rFonts w:hint="eastAsia" w:cs="Times New Roman"/>
                <w:sz w:val="21"/>
                <w14:ligatures w14:val="none"/>
              </w:rPr>
              <w:t>15</w:t>
            </w:r>
          </w:p>
        </w:tc>
        <w:tc>
          <w:tcPr>
            <w:tcW w:w="1804" w:type="dxa"/>
            <w:vAlign w:val="center"/>
          </w:tcPr>
          <w:p w14:paraId="72B17696">
            <w:pPr>
              <w:spacing w:line="240" w:lineRule="auto"/>
              <w:ind w:firstLine="0" w:firstLineChars="0"/>
              <w:jc w:val="center"/>
              <w:outlineLvl w:val="6"/>
              <w:rPr>
                <w:rFonts w:cs="Times New Roman"/>
                <w:sz w:val="21"/>
                <w14:ligatures w14:val="none"/>
              </w:rPr>
            </w:pPr>
            <w:r>
              <w:rPr>
                <w:rFonts w:hint="eastAsia" w:cs="Times New Roman"/>
                <w:sz w:val="21"/>
                <w14:ligatures w14:val="none"/>
              </w:rPr>
              <w:t>25</w:t>
            </w:r>
          </w:p>
        </w:tc>
      </w:tr>
      <w:tr w14:paraId="09428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561BFC1A">
            <w:pPr>
              <w:spacing w:line="240" w:lineRule="auto"/>
              <w:ind w:firstLine="0" w:firstLineChars="0"/>
              <w:jc w:val="center"/>
              <w:outlineLvl w:val="6"/>
              <w:rPr>
                <w:rFonts w:cs="Times New Roman"/>
                <w:sz w:val="21"/>
                <w14:ligatures w14:val="none"/>
              </w:rPr>
            </w:pPr>
            <w:r>
              <w:rPr>
                <w:rFonts w:hint="eastAsia" w:cs="Times New Roman"/>
                <w:sz w:val="21"/>
                <w14:ligatures w14:val="none"/>
              </w:rPr>
              <w:t>5</w:t>
            </w:r>
          </w:p>
        </w:tc>
        <w:tc>
          <w:tcPr>
            <w:tcW w:w="1787" w:type="dxa"/>
            <w:vAlign w:val="center"/>
          </w:tcPr>
          <w:p w14:paraId="0AA34751">
            <w:pPr>
              <w:spacing w:line="240" w:lineRule="auto"/>
              <w:ind w:firstLine="0" w:firstLineChars="0"/>
              <w:jc w:val="center"/>
              <w:outlineLvl w:val="6"/>
              <w:rPr>
                <w:rFonts w:cs="Times New Roman"/>
                <w:sz w:val="21"/>
                <w14:ligatures w14:val="none"/>
              </w:rPr>
            </w:pPr>
            <w:r>
              <w:rPr>
                <w:rFonts w:hint="eastAsia" w:cs="Times New Roman"/>
                <w:sz w:val="21"/>
                <w14:ligatures w14:val="none"/>
              </w:rPr>
              <w:t xml:space="preserve">总氮（ </w:t>
            </w:r>
            <w:r>
              <w:rPr>
                <w:rFonts w:cs="Times New Roman"/>
                <w:sz w:val="21"/>
                <w14:ligatures w14:val="none"/>
              </w:rPr>
              <w:t>N</w:t>
            </w:r>
            <w:r>
              <w:rPr>
                <w:rFonts w:hint="eastAsia" w:cs="Times New Roman"/>
                <w:sz w:val="21"/>
                <w14:ligatures w14:val="none"/>
              </w:rPr>
              <w:t>计）</w:t>
            </w:r>
          </w:p>
        </w:tc>
        <w:tc>
          <w:tcPr>
            <w:tcW w:w="1252" w:type="dxa"/>
            <w:vAlign w:val="center"/>
          </w:tcPr>
          <w:p w14:paraId="34F3A80C">
            <w:pPr>
              <w:spacing w:line="240" w:lineRule="auto"/>
              <w:ind w:firstLine="0" w:firstLineChars="0"/>
              <w:jc w:val="center"/>
              <w:outlineLvl w:val="6"/>
              <w:rPr>
                <w:rFonts w:cs="Times New Roman"/>
                <w:sz w:val="21"/>
                <w14:ligatures w14:val="none"/>
              </w:rPr>
            </w:pPr>
            <w:r>
              <w:rPr>
                <w:rFonts w:hint="eastAsia" w:cs="Times New Roman"/>
                <w:sz w:val="21"/>
                <w14:ligatures w14:val="none"/>
              </w:rPr>
              <w:t>20</w:t>
            </w:r>
          </w:p>
        </w:tc>
        <w:tc>
          <w:tcPr>
            <w:tcW w:w="2948" w:type="dxa"/>
            <w:gridSpan w:val="2"/>
            <w:vAlign w:val="center"/>
          </w:tcPr>
          <w:p w14:paraId="0282A1FD">
            <w:pPr>
              <w:spacing w:line="240" w:lineRule="auto"/>
              <w:ind w:firstLine="0" w:firstLineChars="0"/>
              <w:jc w:val="center"/>
              <w:outlineLvl w:val="6"/>
              <w:rPr>
                <w:rFonts w:cs="Times New Roman"/>
                <w:sz w:val="21"/>
                <w14:ligatures w14:val="none"/>
              </w:rPr>
            </w:pPr>
            <w:r>
              <w:rPr>
                <w:rFonts w:hint="eastAsia" w:cs="Times New Roman"/>
                <w:sz w:val="21"/>
                <w14:ligatures w14:val="none"/>
              </w:rPr>
              <w:t>30</w:t>
            </w:r>
            <w:r>
              <w:rPr>
                <w:rFonts w:hint="eastAsia" w:cs="Times New Roman"/>
                <w:sz w:val="21"/>
                <w:vertAlign w:val="superscript"/>
                <w14:ligatures w14:val="none"/>
              </w:rPr>
              <w:t>b</w:t>
            </w:r>
          </w:p>
        </w:tc>
        <w:tc>
          <w:tcPr>
            <w:tcW w:w="1804" w:type="dxa"/>
            <w:vAlign w:val="center"/>
          </w:tcPr>
          <w:p w14:paraId="688D2147">
            <w:pPr>
              <w:spacing w:line="240" w:lineRule="auto"/>
              <w:ind w:firstLine="0" w:firstLineChars="0"/>
              <w:jc w:val="center"/>
              <w:outlineLvl w:val="6"/>
              <w:rPr>
                <w:rFonts w:cs="Times New Roman"/>
                <w:sz w:val="21"/>
                <w14:ligatures w14:val="none"/>
              </w:rPr>
            </w:pPr>
            <w:r>
              <w:rPr>
                <w:rFonts w:hint="eastAsia" w:cs="Times New Roman"/>
                <w:sz w:val="21"/>
                <w14:ligatures w14:val="none"/>
              </w:rPr>
              <w:t>—</w:t>
            </w:r>
          </w:p>
        </w:tc>
      </w:tr>
      <w:tr w14:paraId="516C4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5944808C">
            <w:pPr>
              <w:spacing w:line="240" w:lineRule="auto"/>
              <w:ind w:firstLine="0" w:firstLineChars="0"/>
              <w:jc w:val="center"/>
              <w:outlineLvl w:val="6"/>
              <w:rPr>
                <w:rFonts w:cs="Times New Roman"/>
                <w:sz w:val="21"/>
                <w14:ligatures w14:val="none"/>
              </w:rPr>
            </w:pPr>
            <w:r>
              <w:rPr>
                <w:rFonts w:hint="eastAsia" w:cs="Times New Roman"/>
                <w:sz w:val="21"/>
                <w14:ligatures w14:val="none"/>
              </w:rPr>
              <w:t>6</w:t>
            </w:r>
          </w:p>
        </w:tc>
        <w:tc>
          <w:tcPr>
            <w:tcW w:w="1787" w:type="dxa"/>
            <w:vAlign w:val="center"/>
          </w:tcPr>
          <w:p w14:paraId="3404627C">
            <w:pPr>
              <w:spacing w:line="240" w:lineRule="auto"/>
              <w:ind w:firstLine="0" w:firstLineChars="0"/>
              <w:jc w:val="center"/>
              <w:outlineLvl w:val="6"/>
              <w:rPr>
                <w:rFonts w:cs="Times New Roman"/>
                <w:sz w:val="21"/>
                <w14:ligatures w14:val="none"/>
              </w:rPr>
            </w:pPr>
            <w:r>
              <w:rPr>
                <w:rFonts w:hint="eastAsia" w:cs="Times New Roman"/>
                <w:sz w:val="21"/>
                <w14:ligatures w14:val="none"/>
              </w:rPr>
              <w:t>总磷（以</w:t>
            </w:r>
            <w:r>
              <w:rPr>
                <w:rFonts w:cs="Times New Roman"/>
                <w:sz w:val="21"/>
                <w14:ligatures w14:val="none"/>
              </w:rPr>
              <w:t>P</w:t>
            </w:r>
            <w:r>
              <w:rPr>
                <w:rFonts w:hint="eastAsia" w:cs="Times New Roman"/>
                <w:sz w:val="21"/>
                <w14:ligatures w14:val="none"/>
              </w:rPr>
              <w:t>计）</w:t>
            </w:r>
          </w:p>
        </w:tc>
        <w:tc>
          <w:tcPr>
            <w:tcW w:w="1252" w:type="dxa"/>
            <w:vAlign w:val="center"/>
          </w:tcPr>
          <w:p w14:paraId="274310E8">
            <w:pPr>
              <w:spacing w:line="240" w:lineRule="auto"/>
              <w:ind w:firstLine="0" w:firstLineChars="0"/>
              <w:jc w:val="center"/>
              <w:outlineLvl w:val="6"/>
              <w:rPr>
                <w:rFonts w:cs="Times New Roman"/>
                <w:sz w:val="21"/>
                <w14:ligatures w14:val="none"/>
              </w:rPr>
            </w:pPr>
            <w:r>
              <w:rPr>
                <w:rFonts w:hint="eastAsia" w:cs="Times New Roman"/>
                <w:sz w:val="21"/>
                <w14:ligatures w14:val="none"/>
              </w:rPr>
              <w:t>1</w:t>
            </w:r>
          </w:p>
        </w:tc>
        <w:tc>
          <w:tcPr>
            <w:tcW w:w="2948" w:type="dxa"/>
            <w:gridSpan w:val="2"/>
            <w:vAlign w:val="center"/>
          </w:tcPr>
          <w:p w14:paraId="52EC504C">
            <w:pPr>
              <w:spacing w:line="240" w:lineRule="auto"/>
              <w:ind w:firstLine="0" w:firstLineChars="0"/>
              <w:jc w:val="center"/>
              <w:outlineLvl w:val="6"/>
              <w:rPr>
                <w:rFonts w:cs="Times New Roman"/>
                <w:sz w:val="21"/>
                <w14:ligatures w14:val="none"/>
              </w:rPr>
            </w:pPr>
            <w:r>
              <w:rPr>
                <w:rFonts w:hint="eastAsia" w:cs="Times New Roman"/>
                <w:sz w:val="21"/>
                <w14:ligatures w14:val="none"/>
              </w:rPr>
              <w:t>3</w:t>
            </w:r>
            <w:r>
              <w:rPr>
                <w:rFonts w:hint="eastAsia" w:cs="Times New Roman"/>
                <w:sz w:val="21"/>
                <w:vertAlign w:val="superscript"/>
                <w14:ligatures w14:val="none"/>
              </w:rPr>
              <w:t>c</w:t>
            </w:r>
          </w:p>
        </w:tc>
        <w:tc>
          <w:tcPr>
            <w:tcW w:w="1804" w:type="dxa"/>
            <w:vAlign w:val="center"/>
          </w:tcPr>
          <w:p w14:paraId="4ED16068">
            <w:pPr>
              <w:spacing w:line="240" w:lineRule="auto"/>
              <w:ind w:firstLine="0" w:firstLineChars="0"/>
              <w:jc w:val="center"/>
              <w:outlineLvl w:val="6"/>
              <w:rPr>
                <w:rFonts w:cs="Times New Roman"/>
                <w:sz w:val="21"/>
                <w14:ligatures w14:val="none"/>
              </w:rPr>
            </w:pPr>
            <w:r>
              <w:rPr>
                <w:rFonts w:hint="eastAsia" w:cs="Times New Roman"/>
                <w:sz w:val="21"/>
                <w14:ligatures w14:val="none"/>
              </w:rPr>
              <w:t>—</w:t>
            </w:r>
          </w:p>
        </w:tc>
      </w:tr>
      <w:tr w14:paraId="3B02C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41BBE981">
            <w:pPr>
              <w:spacing w:line="240" w:lineRule="auto"/>
              <w:ind w:firstLine="0" w:firstLineChars="0"/>
              <w:jc w:val="center"/>
              <w:outlineLvl w:val="6"/>
              <w:rPr>
                <w:rFonts w:cs="Times New Roman"/>
                <w:sz w:val="21"/>
                <w14:ligatures w14:val="none"/>
              </w:rPr>
            </w:pPr>
            <w:r>
              <w:rPr>
                <w:rFonts w:hint="eastAsia" w:cs="Times New Roman"/>
                <w:sz w:val="21"/>
                <w14:ligatures w14:val="none"/>
              </w:rPr>
              <w:t>7</w:t>
            </w:r>
          </w:p>
        </w:tc>
        <w:tc>
          <w:tcPr>
            <w:tcW w:w="1787" w:type="dxa"/>
            <w:vAlign w:val="center"/>
          </w:tcPr>
          <w:p w14:paraId="60F9DA25">
            <w:pPr>
              <w:spacing w:line="240" w:lineRule="auto"/>
              <w:ind w:firstLine="0" w:firstLineChars="0"/>
              <w:jc w:val="center"/>
              <w:outlineLvl w:val="6"/>
              <w:rPr>
                <w:rFonts w:cs="Times New Roman"/>
                <w:sz w:val="21"/>
                <w14:ligatures w14:val="none"/>
              </w:rPr>
            </w:pPr>
            <w:r>
              <w:rPr>
                <w:rFonts w:hint="eastAsia" w:cs="Times New Roman"/>
                <w:sz w:val="21"/>
                <w14:ligatures w14:val="none"/>
              </w:rPr>
              <w:t>动植物油</w:t>
            </w:r>
          </w:p>
        </w:tc>
        <w:tc>
          <w:tcPr>
            <w:tcW w:w="2505" w:type="dxa"/>
            <w:gridSpan w:val="2"/>
            <w:vAlign w:val="center"/>
          </w:tcPr>
          <w:p w14:paraId="6C32A6F0">
            <w:pPr>
              <w:spacing w:line="240" w:lineRule="auto"/>
              <w:ind w:firstLine="0" w:firstLineChars="0"/>
              <w:jc w:val="center"/>
              <w:outlineLvl w:val="6"/>
              <w:rPr>
                <w:rFonts w:cs="Times New Roman"/>
                <w:sz w:val="21"/>
                <w14:ligatures w14:val="none"/>
              </w:rPr>
            </w:pPr>
            <w:r>
              <w:rPr>
                <w:rFonts w:hint="eastAsia" w:cs="Times New Roman"/>
                <w:sz w:val="21"/>
                <w14:ligatures w14:val="none"/>
              </w:rPr>
              <w:t>3</w:t>
            </w:r>
          </w:p>
        </w:tc>
        <w:tc>
          <w:tcPr>
            <w:tcW w:w="1695" w:type="dxa"/>
            <w:vAlign w:val="center"/>
          </w:tcPr>
          <w:p w14:paraId="6E3B3BCC">
            <w:pPr>
              <w:spacing w:line="240" w:lineRule="auto"/>
              <w:ind w:firstLine="0" w:firstLineChars="0"/>
              <w:jc w:val="center"/>
              <w:outlineLvl w:val="6"/>
              <w:rPr>
                <w:rFonts w:cs="Times New Roman"/>
                <w:sz w:val="21"/>
                <w14:ligatures w14:val="none"/>
              </w:rPr>
            </w:pPr>
            <w:r>
              <w:rPr>
                <w:rFonts w:hint="eastAsia" w:cs="Times New Roman"/>
                <w:sz w:val="21"/>
                <w14:ligatures w14:val="none"/>
              </w:rPr>
              <w:t>5</w:t>
            </w:r>
          </w:p>
        </w:tc>
        <w:tc>
          <w:tcPr>
            <w:tcW w:w="1804" w:type="dxa"/>
            <w:vAlign w:val="center"/>
          </w:tcPr>
          <w:p w14:paraId="7171EFA0">
            <w:pPr>
              <w:spacing w:line="240" w:lineRule="auto"/>
              <w:ind w:firstLine="0" w:firstLineChars="0"/>
              <w:jc w:val="center"/>
              <w:outlineLvl w:val="6"/>
              <w:rPr>
                <w:rFonts w:cs="Times New Roman"/>
                <w:sz w:val="21"/>
                <w14:ligatures w14:val="none"/>
              </w:rPr>
            </w:pPr>
            <w:r>
              <w:rPr>
                <w:rFonts w:hint="eastAsia" w:cs="Times New Roman"/>
                <w:sz w:val="21"/>
                <w14:ligatures w14:val="none"/>
              </w:rPr>
              <w:t>20</w:t>
            </w:r>
          </w:p>
        </w:tc>
      </w:tr>
      <w:tr w14:paraId="574D1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0" w:type="dxa"/>
            <w:gridSpan w:val="6"/>
            <w:vAlign w:val="center"/>
          </w:tcPr>
          <w:p w14:paraId="7518E66F">
            <w:pPr>
              <w:spacing w:line="240" w:lineRule="auto"/>
              <w:ind w:firstLine="0" w:firstLineChars="0"/>
              <w:outlineLvl w:val="6"/>
              <w:rPr>
                <w:rFonts w:cs="Times New Roman"/>
                <w:sz w:val="21"/>
                <w14:ligatures w14:val="none"/>
              </w:rPr>
            </w:pPr>
            <w:r>
              <w:rPr>
                <w:rFonts w:hint="eastAsia" w:cs="Times New Roman"/>
                <w:sz w:val="21"/>
                <w14:ligatures w14:val="none"/>
              </w:rPr>
              <w:t>设计日处理能力＜5 m</w:t>
            </w:r>
            <w:r>
              <w:rPr>
                <w:rFonts w:hint="eastAsia" w:cs="Times New Roman"/>
                <w:sz w:val="21"/>
                <w:vertAlign w:val="superscript"/>
                <w14:ligatures w14:val="none"/>
              </w:rPr>
              <w:t>3</w:t>
            </w:r>
            <w:r>
              <w:rPr>
                <w:rFonts w:hint="eastAsia" w:cs="Times New Roman"/>
                <w:sz w:val="21"/>
                <w14:ligatures w14:val="none"/>
              </w:rPr>
              <w:t>的农村生活污水处理设施不考核总氮和总磷。</w:t>
            </w:r>
          </w:p>
        </w:tc>
      </w:tr>
      <w:tr w14:paraId="7A6B5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0" w:type="dxa"/>
            <w:gridSpan w:val="6"/>
            <w:vAlign w:val="center"/>
          </w:tcPr>
          <w:p w14:paraId="443AC02C">
            <w:pPr>
              <w:spacing w:line="240" w:lineRule="auto"/>
              <w:ind w:firstLine="0" w:firstLineChars="0"/>
              <w:outlineLvl w:val="6"/>
              <w:rPr>
                <w:rFonts w:cs="Times New Roman"/>
                <w:sz w:val="20"/>
                <w:szCs w:val="21"/>
                <w14:ligatures w14:val="none"/>
              </w:rPr>
            </w:pPr>
            <w:r>
              <w:rPr>
                <w:rFonts w:hint="eastAsia" w:cs="Times New Roman"/>
                <w:sz w:val="20"/>
                <w:szCs w:val="21"/>
                <w14:ligatures w14:val="none"/>
              </w:rPr>
              <w:t>a括号外数值为水温＞12℃时的排放限值，括号内数值为水温≤12℃时的排放限值。</w:t>
            </w:r>
          </w:p>
          <w:p w14:paraId="1CEB2576">
            <w:pPr>
              <w:spacing w:line="240" w:lineRule="auto"/>
              <w:ind w:firstLine="0" w:firstLineChars="0"/>
              <w:outlineLvl w:val="6"/>
              <w:rPr>
                <w:rFonts w:cs="Times New Roman"/>
                <w:sz w:val="20"/>
                <w:szCs w:val="21"/>
                <w14:ligatures w14:val="none"/>
              </w:rPr>
            </w:pPr>
            <w:r>
              <w:rPr>
                <w:rFonts w:hint="eastAsia" w:cs="Times New Roman"/>
                <w:sz w:val="20"/>
                <w:szCs w:val="21"/>
                <w14:ligatures w14:val="none"/>
              </w:rPr>
              <w:t>b针对排放对象为封闭、半封闭水体（含湖库、池塘、断头浜等）或超标因子为氮的不达标水体。</w:t>
            </w:r>
          </w:p>
          <w:p w14:paraId="0408F2AB">
            <w:pPr>
              <w:spacing w:line="240" w:lineRule="auto"/>
              <w:ind w:firstLine="0" w:firstLineChars="0"/>
              <w:outlineLvl w:val="6"/>
              <w:rPr>
                <w:rFonts w:cs="Times New Roman"/>
                <w:sz w:val="20"/>
                <w:szCs w:val="21"/>
                <w14:ligatures w14:val="none"/>
              </w:rPr>
            </w:pPr>
            <w:r>
              <w:rPr>
                <w:rFonts w:hint="eastAsia" w:cs="Times New Roman"/>
                <w:sz w:val="20"/>
                <w:szCs w:val="21"/>
                <w14:ligatures w14:val="none"/>
              </w:rPr>
              <w:t>c针对排放对象为封闭、半封闭水体（含湖库、池塘、断头浜等）或超标因子为磷的不达标水体。</w:t>
            </w:r>
          </w:p>
          <w:p w14:paraId="66523295">
            <w:pPr>
              <w:spacing w:line="240" w:lineRule="auto"/>
              <w:ind w:firstLine="0" w:firstLineChars="0"/>
              <w:outlineLvl w:val="6"/>
              <w:rPr>
                <w:rFonts w:cs="Times New Roman"/>
                <w:sz w:val="21"/>
                <w14:ligatures w14:val="none"/>
              </w:rPr>
            </w:pPr>
            <w:r>
              <w:rPr>
                <w:rFonts w:hint="eastAsia" w:cs="Times New Roman"/>
                <w:sz w:val="20"/>
                <w:szCs w:val="21"/>
                <w14:ligatures w14:val="none"/>
              </w:rPr>
              <w:t>d针对接纳餐饮废水的农村生活污水处理设施。</w:t>
            </w:r>
          </w:p>
        </w:tc>
      </w:tr>
    </w:tbl>
    <w:p w14:paraId="03991114">
      <w:pPr>
        <w:ind w:firstLine="482"/>
        <w:outlineLvl w:val="3"/>
        <w:rPr>
          <w:b/>
          <w:bCs/>
        </w:rPr>
      </w:pPr>
      <w:r>
        <w:rPr>
          <w:rFonts w:hint="eastAsia"/>
          <w:b/>
          <w:bCs/>
        </w:rPr>
        <w:t>（3）噪声排放标准</w:t>
      </w:r>
    </w:p>
    <w:p w14:paraId="2230E9EF">
      <w:pPr>
        <w:ind w:firstLine="480"/>
      </w:pPr>
      <w:r>
        <w:rPr>
          <w:rFonts w:hint="eastAsia"/>
        </w:rPr>
        <w:t>度假区范围内社会生活噪声排放执行《社会生活环境噪声排放标准》（GB23377-2008）中表1规定的排放限值，工业企业厂界环境噪声排放执行《工业企业厂界环境噪声排放标准》（GB12348-2008）相应标准，施工作业现场场界环境噪声排放执行《建筑施工场界环境噪声排放标准》（GB12523-2011）。具体见下表。</w:t>
      </w:r>
    </w:p>
    <w:p w14:paraId="498B3C1B">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表1.7-</w:t>
      </w:r>
      <w:r>
        <w:rPr>
          <w:rFonts w:hint="eastAsia" w:cs="Times New Roman"/>
          <w:b/>
          <w:szCs w:val="24"/>
          <w14:ligatures w14:val="none"/>
        </w:rPr>
        <w:t>17</w:t>
      </w:r>
      <w:r>
        <w:rPr>
          <w:rFonts w:cs="Times New Roman"/>
          <w:b/>
          <w:szCs w:val="24"/>
          <w14:ligatures w14:val="none"/>
        </w:rPr>
        <w:t xml:space="preserve">  </w:t>
      </w:r>
      <w:r>
        <w:rPr>
          <w:rFonts w:hint="eastAsia" w:cs="Times New Roman"/>
          <w:b/>
          <w:szCs w:val="24"/>
          <w14:ligatures w14:val="none"/>
        </w:rPr>
        <w:t>社会生活环境噪声排放标准</w:t>
      </w:r>
    </w:p>
    <w:tbl>
      <w:tblPr>
        <w:tblStyle w:val="4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1217"/>
        <w:gridCol w:w="1275"/>
        <w:gridCol w:w="1420"/>
        <w:gridCol w:w="2885"/>
      </w:tblGrid>
      <w:tr w14:paraId="411F5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2" w:type="pct"/>
            <w:vMerge w:val="restart"/>
            <w:vAlign w:val="center"/>
          </w:tcPr>
          <w:p w14:paraId="7D8DC02E">
            <w:pPr>
              <w:spacing w:line="240" w:lineRule="auto"/>
              <w:ind w:firstLine="0" w:firstLineChars="0"/>
              <w:jc w:val="center"/>
              <w:outlineLvl w:val="6"/>
              <w:rPr>
                <w:rFonts w:cs="Times New Roman"/>
                <w:b/>
                <w:bCs/>
                <w:kern w:val="0"/>
                <w:sz w:val="21"/>
                <w:szCs w:val="20"/>
                <w14:ligatures w14:val="none"/>
              </w:rPr>
            </w:pPr>
            <w:r>
              <w:rPr>
                <w:rFonts w:hint="eastAsia" w:cs="Times New Roman"/>
                <w:b/>
                <w:bCs/>
                <w:kern w:val="0"/>
                <w:sz w:val="21"/>
                <w:szCs w:val="20"/>
                <w14:ligatures w14:val="none"/>
              </w:rPr>
              <w:t>边界外声环境功能区类别</w:t>
            </w:r>
          </w:p>
        </w:tc>
        <w:tc>
          <w:tcPr>
            <w:tcW w:w="1462" w:type="pct"/>
            <w:gridSpan w:val="2"/>
            <w:vAlign w:val="center"/>
          </w:tcPr>
          <w:p w14:paraId="4212A5E3">
            <w:pPr>
              <w:spacing w:line="240" w:lineRule="auto"/>
              <w:ind w:firstLine="0" w:firstLineChars="0"/>
              <w:jc w:val="center"/>
              <w:outlineLvl w:val="6"/>
              <w:rPr>
                <w:rFonts w:cs="Times New Roman"/>
                <w:b/>
                <w:bCs/>
                <w:kern w:val="0"/>
                <w:sz w:val="21"/>
                <w:szCs w:val="20"/>
                <w14:ligatures w14:val="none"/>
              </w:rPr>
            </w:pPr>
            <w:r>
              <w:rPr>
                <w:rFonts w:hint="eastAsia" w:cs="Times New Roman"/>
                <w:b/>
                <w:bCs/>
                <w:kern w:val="0"/>
                <w:sz w:val="21"/>
                <w:szCs w:val="20"/>
                <w14:ligatures w14:val="none"/>
              </w:rPr>
              <w:t>时段</w:t>
            </w:r>
          </w:p>
        </w:tc>
        <w:tc>
          <w:tcPr>
            <w:tcW w:w="833" w:type="pct"/>
            <w:vMerge w:val="restart"/>
            <w:vAlign w:val="center"/>
          </w:tcPr>
          <w:p w14:paraId="6072D4FF">
            <w:pPr>
              <w:spacing w:line="240" w:lineRule="auto"/>
              <w:ind w:firstLine="0" w:firstLineChars="0"/>
              <w:jc w:val="center"/>
              <w:outlineLvl w:val="6"/>
              <w:rPr>
                <w:rFonts w:cs="Times New Roman"/>
                <w:b/>
                <w:bCs/>
                <w:kern w:val="0"/>
                <w:sz w:val="21"/>
                <w:szCs w:val="20"/>
                <w14:ligatures w14:val="none"/>
              </w:rPr>
            </w:pPr>
            <w:r>
              <w:rPr>
                <w:rFonts w:hint="eastAsia" w:cs="Times New Roman"/>
                <w:b/>
                <w:bCs/>
                <w:kern w:val="0"/>
                <w:sz w:val="21"/>
                <w:szCs w:val="20"/>
                <w14:ligatures w14:val="none"/>
              </w:rPr>
              <w:t>单位</w:t>
            </w:r>
          </w:p>
        </w:tc>
        <w:tc>
          <w:tcPr>
            <w:tcW w:w="1692" w:type="pct"/>
            <w:vMerge w:val="restart"/>
            <w:vAlign w:val="center"/>
          </w:tcPr>
          <w:p w14:paraId="30622B2E">
            <w:pPr>
              <w:spacing w:line="240" w:lineRule="auto"/>
              <w:ind w:firstLine="0" w:firstLineChars="0"/>
              <w:jc w:val="center"/>
              <w:outlineLvl w:val="6"/>
              <w:rPr>
                <w:rFonts w:cs="Times New Roman"/>
                <w:b/>
                <w:bCs/>
                <w:kern w:val="0"/>
                <w:sz w:val="21"/>
                <w:szCs w:val="20"/>
                <w14:ligatures w14:val="none"/>
              </w:rPr>
            </w:pPr>
            <w:r>
              <w:rPr>
                <w:rFonts w:hint="eastAsia" w:cs="Times New Roman"/>
                <w:b/>
                <w:bCs/>
                <w:kern w:val="0"/>
                <w:sz w:val="21"/>
                <w:szCs w:val="20"/>
                <w14:ligatures w14:val="none"/>
              </w:rPr>
              <w:t>标准来源</w:t>
            </w:r>
          </w:p>
        </w:tc>
      </w:tr>
      <w:tr w14:paraId="34DB2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2" w:type="pct"/>
            <w:vMerge w:val="continue"/>
            <w:vAlign w:val="center"/>
          </w:tcPr>
          <w:p w14:paraId="6A520788">
            <w:pPr>
              <w:spacing w:line="240" w:lineRule="auto"/>
              <w:ind w:firstLine="0" w:firstLineChars="0"/>
              <w:jc w:val="center"/>
              <w:outlineLvl w:val="6"/>
              <w:rPr>
                <w:rFonts w:cs="Times New Roman"/>
                <w:kern w:val="0"/>
                <w:sz w:val="21"/>
                <w:szCs w:val="20"/>
                <w14:ligatures w14:val="none"/>
              </w:rPr>
            </w:pPr>
          </w:p>
        </w:tc>
        <w:tc>
          <w:tcPr>
            <w:tcW w:w="714" w:type="pct"/>
            <w:vAlign w:val="center"/>
          </w:tcPr>
          <w:p w14:paraId="67F7DF6B">
            <w:pPr>
              <w:spacing w:line="240" w:lineRule="auto"/>
              <w:ind w:firstLine="0" w:firstLineChars="0"/>
              <w:jc w:val="center"/>
              <w:outlineLvl w:val="6"/>
              <w:rPr>
                <w:rFonts w:cs="Times New Roman"/>
                <w:b/>
                <w:bCs/>
                <w:kern w:val="0"/>
                <w:sz w:val="21"/>
                <w:szCs w:val="20"/>
                <w14:ligatures w14:val="none"/>
              </w:rPr>
            </w:pPr>
            <w:r>
              <w:rPr>
                <w:rFonts w:hint="eastAsia" w:cs="Times New Roman"/>
                <w:b/>
                <w:bCs/>
                <w:kern w:val="0"/>
                <w:sz w:val="21"/>
                <w:szCs w:val="20"/>
                <w14:ligatures w14:val="none"/>
              </w:rPr>
              <w:t>昼间</w:t>
            </w:r>
          </w:p>
        </w:tc>
        <w:tc>
          <w:tcPr>
            <w:tcW w:w="748" w:type="pct"/>
            <w:vAlign w:val="center"/>
          </w:tcPr>
          <w:p w14:paraId="2B43051B">
            <w:pPr>
              <w:spacing w:line="240" w:lineRule="auto"/>
              <w:ind w:firstLine="0" w:firstLineChars="0"/>
              <w:jc w:val="center"/>
              <w:outlineLvl w:val="6"/>
              <w:rPr>
                <w:rFonts w:cs="Times New Roman"/>
                <w:b/>
                <w:bCs/>
                <w:kern w:val="0"/>
                <w:sz w:val="21"/>
                <w:szCs w:val="20"/>
                <w14:ligatures w14:val="none"/>
              </w:rPr>
            </w:pPr>
            <w:r>
              <w:rPr>
                <w:rFonts w:hint="eastAsia" w:cs="Times New Roman"/>
                <w:b/>
                <w:bCs/>
                <w:kern w:val="0"/>
                <w:sz w:val="21"/>
                <w:szCs w:val="20"/>
                <w14:ligatures w14:val="none"/>
              </w:rPr>
              <w:t>夜间</w:t>
            </w:r>
          </w:p>
        </w:tc>
        <w:tc>
          <w:tcPr>
            <w:tcW w:w="833" w:type="pct"/>
            <w:vMerge w:val="continue"/>
            <w:vAlign w:val="center"/>
          </w:tcPr>
          <w:p w14:paraId="4527B29A">
            <w:pPr>
              <w:spacing w:line="240" w:lineRule="auto"/>
              <w:ind w:firstLine="0" w:firstLineChars="0"/>
              <w:jc w:val="center"/>
              <w:outlineLvl w:val="6"/>
              <w:rPr>
                <w:rFonts w:cs="Times New Roman"/>
                <w:kern w:val="0"/>
                <w:sz w:val="21"/>
                <w:szCs w:val="20"/>
                <w14:ligatures w14:val="none"/>
              </w:rPr>
            </w:pPr>
          </w:p>
        </w:tc>
        <w:tc>
          <w:tcPr>
            <w:tcW w:w="1692" w:type="pct"/>
            <w:vMerge w:val="continue"/>
            <w:vAlign w:val="center"/>
          </w:tcPr>
          <w:p w14:paraId="1EFB96F6">
            <w:pPr>
              <w:spacing w:line="240" w:lineRule="auto"/>
              <w:ind w:firstLine="0" w:firstLineChars="0"/>
              <w:jc w:val="center"/>
              <w:outlineLvl w:val="6"/>
              <w:rPr>
                <w:rFonts w:cs="Times New Roman"/>
                <w:kern w:val="0"/>
                <w:sz w:val="21"/>
                <w:szCs w:val="20"/>
                <w14:ligatures w14:val="none"/>
              </w:rPr>
            </w:pPr>
          </w:p>
        </w:tc>
      </w:tr>
      <w:tr w14:paraId="643E3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012" w:type="pct"/>
            <w:vAlign w:val="center"/>
          </w:tcPr>
          <w:p w14:paraId="575E91E4">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1</w:t>
            </w:r>
          </w:p>
        </w:tc>
        <w:tc>
          <w:tcPr>
            <w:tcW w:w="714" w:type="pct"/>
            <w:vAlign w:val="center"/>
          </w:tcPr>
          <w:p w14:paraId="620FC84B">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55</w:t>
            </w:r>
          </w:p>
        </w:tc>
        <w:tc>
          <w:tcPr>
            <w:tcW w:w="748" w:type="pct"/>
            <w:vAlign w:val="center"/>
          </w:tcPr>
          <w:p w14:paraId="1283D7BD">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45</w:t>
            </w:r>
          </w:p>
        </w:tc>
        <w:tc>
          <w:tcPr>
            <w:tcW w:w="833" w:type="pct"/>
            <w:vAlign w:val="center"/>
          </w:tcPr>
          <w:p w14:paraId="66F8361D">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dB（A）</w:t>
            </w:r>
          </w:p>
        </w:tc>
        <w:tc>
          <w:tcPr>
            <w:tcW w:w="1692" w:type="pct"/>
            <w:vMerge w:val="restart"/>
            <w:vAlign w:val="center"/>
          </w:tcPr>
          <w:p w14:paraId="5B40E92D">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《社会生活环境噪声排放标准》（GB22337-2008）</w:t>
            </w:r>
          </w:p>
        </w:tc>
      </w:tr>
      <w:tr w14:paraId="73D39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012" w:type="pct"/>
            <w:vAlign w:val="center"/>
          </w:tcPr>
          <w:p w14:paraId="4239F20F">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2</w:t>
            </w:r>
          </w:p>
        </w:tc>
        <w:tc>
          <w:tcPr>
            <w:tcW w:w="714" w:type="pct"/>
            <w:vAlign w:val="center"/>
          </w:tcPr>
          <w:p w14:paraId="44080097">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60</w:t>
            </w:r>
          </w:p>
        </w:tc>
        <w:tc>
          <w:tcPr>
            <w:tcW w:w="748" w:type="pct"/>
            <w:vAlign w:val="center"/>
          </w:tcPr>
          <w:p w14:paraId="020B8437">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50</w:t>
            </w:r>
          </w:p>
        </w:tc>
        <w:tc>
          <w:tcPr>
            <w:tcW w:w="833" w:type="pct"/>
            <w:vAlign w:val="center"/>
          </w:tcPr>
          <w:p w14:paraId="0EDBDFEA">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dB（A）</w:t>
            </w:r>
          </w:p>
        </w:tc>
        <w:tc>
          <w:tcPr>
            <w:tcW w:w="1692" w:type="pct"/>
            <w:vMerge w:val="continue"/>
            <w:vAlign w:val="center"/>
          </w:tcPr>
          <w:p w14:paraId="2429D4C0">
            <w:pPr>
              <w:spacing w:line="240" w:lineRule="auto"/>
              <w:ind w:firstLine="0" w:firstLineChars="0"/>
              <w:jc w:val="center"/>
              <w:outlineLvl w:val="6"/>
              <w:rPr>
                <w:rFonts w:cs="Times New Roman"/>
                <w:kern w:val="0"/>
                <w:sz w:val="21"/>
                <w:szCs w:val="20"/>
                <w14:ligatures w14:val="none"/>
              </w:rPr>
            </w:pPr>
          </w:p>
        </w:tc>
      </w:tr>
      <w:tr w14:paraId="5646A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012" w:type="pct"/>
            <w:vAlign w:val="center"/>
          </w:tcPr>
          <w:p w14:paraId="168E682E">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3</w:t>
            </w:r>
          </w:p>
        </w:tc>
        <w:tc>
          <w:tcPr>
            <w:tcW w:w="714" w:type="pct"/>
            <w:vAlign w:val="center"/>
          </w:tcPr>
          <w:p w14:paraId="703F716B">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65</w:t>
            </w:r>
          </w:p>
        </w:tc>
        <w:tc>
          <w:tcPr>
            <w:tcW w:w="748" w:type="pct"/>
            <w:vAlign w:val="center"/>
          </w:tcPr>
          <w:p w14:paraId="4CEF055D">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55</w:t>
            </w:r>
          </w:p>
        </w:tc>
        <w:tc>
          <w:tcPr>
            <w:tcW w:w="833" w:type="pct"/>
            <w:vAlign w:val="center"/>
          </w:tcPr>
          <w:p w14:paraId="08ADA56B">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dB（A）</w:t>
            </w:r>
          </w:p>
        </w:tc>
        <w:tc>
          <w:tcPr>
            <w:tcW w:w="1692" w:type="pct"/>
            <w:vMerge w:val="continue"/>
            <w:vAlign w:val="center"/>
          </w:tcPr>
          <w:p w14:paraId="08AFAB2D">
            <w:pPr>
              <w:spacing w:line="240" w:lineRule="auto"/>
              <w:ind w:firstLine="0" w:firstLineChars="0"/>
              <w:jc w:val="center"/>
              <w:outlineLvl w:val="6"/>
              <w:rPr>
                <w:rFonts w:cs="Times New Roman"/>
                <w:kern w:val="0"/>
                <w:sz w:val="21"/>
                <w:szCs w:val="20"/>
                <w14:ligatures w14:val="none"/>
              </w:rPr>
            </w:pPr>
          </w:p>
        </w:tc>
      </w:tr>
      <w:tr w14:paraId="25240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012" w:type="pct"/>
            <w:vAlign w:val="center"/>
          </w:tcPr>
          <w:p w14:paraId="6F2B5DEC">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4</w:t>
            </w:r>
          </w:p>
        </w:tc>
        <w:tc>
          <w:tcPr>
            <w:tcW w:w="714" w:type="pct"/>
            <w:vAlign w:val="center"/>
          </w:tcPr>
          <w:p w14:paraId="6DBF1075">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70</w:t>
            </w:r>
          </w:p>
        </w:tc>
        <w:tc>
          <w:tcPr>
            <w:tcW w:w="748" w:type="pct"/>
            <w:vAlign w:val="center"/>
          </w:tcPr>
          <w:p w14:paraId="55E73DBB">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55</w:t>
            </w:r>
          </w:p>
        </w:tc>
        <w:tc>
          <w:tcPr>
            <w:tcW w:w="833" w:type="pct"/>
            <w:vAlign w:val="center"/>
          </w:tcPr>
          <w:p w14:paraId="2338180F">
            <w:pPr>
              <w:spacing w:line="240" w:lineRule="auto"/>
              <w:ind w:firstLine="0" w:firstLineChars="0"/>
              <w:jc w:val="center"/>
              <w:outlineLvl w:val="6"/>
              <w:rPr>
                <w:rFonts w:cs="Times New Roman"/>
                <w:kern w:val="0"/>
                <w:sz w:val="21"/>
                <w:szCs w:val="20"/>
                <w14:ligatures w14:val="none"/>
              </w:rPr>
            </w:pPr>
            <w:r>
              <w:rPr>
                <w:rFonts w:hint="eastAsia" w:cs="Times New Roman"/>
                <w:kern w:val="0"/>
                <w:sz w:val="21"/>
                <w:szCs w:val="20"/>
                <w14:ligatures w14:val="none"/>
              </w:rPr>
              <w:t>dB（A）</w:t>
            </w:r>
          </w:p>
        </w:tc>
        <w:tc>
          <w:tcPr>
            <w:tcW w:w="1692" w:type="pct"/>
            <w:vMerge w:val="continue"/>
            <w:vAlign w:val="center"/>
          </w:tcPr>
          <w:p w14:paraId="39FFCB38">
            <w:pPr>
              <w:spacing w:line="240" w:lineRule="auto"/>
              <w:ind w:firstLine="0" w:firstLineChars="0"/>
              <w:jc w:val="center"/>
              <w:outlineLvl w:val="6"/>
              <w:rPr>
                <w:rFonts w:cs="Times New Roman"/>
                <w:kern w:val="0"/>
                <w:sz w:val="21"/>
                <w:szCs w:val="20"/>
                <w14:ligatures w14:val="none"/>
              </w:rPr>
            </w:pPr>
          </w:p>
        </w:tc>
      </w:tr>
    </w:tbl>
    <w:p w14:paraId="21C7694E">
      <w:pPr>
        <w:pStyle w:val="45"/>
        <w:rPr>
          <w:rFonts w:cs="Times New Roman"/>
        </w:rPr>
        <w:sectPr>
          <w:pgSz w:w="11906" w:h="16838"/>
          <w:pgMar w:top="1440" w:right="1800" w:bottom="1440" w:left="1800" w:header="851" w:footer="992" w:gutter="0"/>
          <w:cols w:space="425" w:num="1"/>
          <w:docGrid w:type="lines" w:linePitch="312" w:charSpace="0"/>
        </w:sectPr>
      </w:pPr>
    </w:p>
    <w:p w14:paraId="712200D4">
      <w:pPr>
        <w:pStyle w:val="45"/>
        <w:rPr>
          <w:rFonts w:cs="Times New Roman"/>
        </w:rPr>
      </w:pPr>
      <w:r>
        <w:rPr>
          <w:rFonts w:cs="Times New Roman"/>
        </w:rPr>
        <w:t>表1.7-</w:t>
      </w:r>
      <w:r>
        <w:rPr>
          <w:rFonts w:hint="eastAsia" w:cs="Times New Roman"/>
        </w:rPr>
        <w:t>18</w:t>
      </w:r>
      <w:r>
        <w:rPr>
          <w:rFonts w:cs="Times New Roman"/>
        </w:rPr>
        <w:t xml:space="preserve">  工业企业厂界环境噪声排放标准</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947"/>
        <w:gridCol w:w="1358"/>
        <w:gridCol w:w="1684"/>
        <w:gridCol w:w="1687"/>
        <w:gridCol w:w="1686"/>
      </w:tblGrid>
      <w:tr w14:paraId="4FD8C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96" w:hRule="atLeast"/>
          <w:tblHeader/>
          <w:jc w:val="center"/>
        </w:trPr>
        <w:tc>
          <w:tcPr>
            <w:tcW w:w="1164" w:type="pct"/>
            <w:vMerge w:val="restart"/>
            <w:vAlign w:val="center"/>
          </w:tcPr>
          <w:p w14:paraId="4086C19F">
            <w:pPr>
              <w:pStyle w:val="47"/>
              <w:rPr>
                <w:rFonts w:cs="Times New Roman"/>
                <w:b/>
                <w:bCs/>
                <w:sz w:val="21"/>
                <w:szCs w:val="21"/>
              </w:rPr>
            </w:pPr>
            <w:r>
              <w:rPr>
                <w:rFonts w:hint="eastAsia" w:cs="Times New Roman"/>
                <w:b/>
                <w:bCs/>
                <w:sz w:val="21"/>
                <w:szCs w:val="21"/>
              </w:rPr>
              <w:t>区域</w:t>
            </w:r>
          </w:p>
        </w:tc>
        <w:tc>
          <w:tcPr>
            <w:tcW w:w="812" w:type="pct"/>
            <w:vMerge w:val="restart"/>
            <w:vAlign w:val="center"/>
          </w:tcPr>
          <w:p w14:paraId="0CBECD4D">
            <w:pPr>
              <w:pStyle w:val="47"/>
              <w:rPr>
                <w:rFonts w:cs="Times New Roman"/>
                <w:b/>
                <w:bCs/>
                <w:sz w:val="21"/>
                <w:szCs w:val="21"/>
              </w:rPr>
            </w:pPr>
            <w:r>
              <w:rPr>
                <w:rFonts w:hint="eastAsia" w:cs="Times New Roman"/>
                <w:b/>
                <w:bCs/>
                <w:sz w:val="21"/>
                <w:szCs w:val="21"/>
              </w:rPr>
              <w:t>功能类别</w:t>
            </w:r>
          </w:p>
        </w:tc>
        <w:tc>
          <w:tcPr>
            <w:tcW w:w="2016" w:type="pct"/>
            <w:gridSpan w:val="2"/>
            <w:vAlign w:val="center"/>
          </w:tcPr>
          <w:p w14:paraId="0ED6C2F7">
            <w:pPr>
              <w:pStyle w:val="47"/>
              <w:rPr>
                <w:rFonts w:cs="Times New Roman"/>
                <w:b/>
                <w:bCs/>
                <w:sz w:val="21"/>
                <w:szCs w:val="21"/>
              </w:rPr>
            </w:pPr>
            <w:r>
              <w:rPr>
                <w:rFonts w:hint="eastAsia" w:cs="Times New Roman"/>
                <w:b/>
                <w:bCs/>
                <w:sz w:val="21"/>
                <w:szCs w:val="21"/>
              </w:rPr>
              <w:t>标准值</w:t>
            </w:r>
          </w:p>
        </w:tc>
        <w:tc>
          <w:tcPr>
            <w:tcW w:w="1008" w:type="pct"/>
            <w:vMerge w:val="restart"/>
            <w:vAlign w:val="center"/>
          </w:tcPr>
          <w:p w14:paraId="600235DA">
            <w:pPr>
              <w:pStyle w:val="47"/>
              <w:rPr>
                <w:rFonts w:cs="Times New Roman"/>
                <w:b/>
                <w:bCs/>
                <w:sz w:val="21"/>
                <w:szCs w:val="21"/>
              </w:rPr>
            </w:pPr>
            <w:r>
              <w:rPr>
                <w:rFonts w:hint="eastAsia" w:cs="Times New Roman"/>
                <w:b/>
                <w:bCs/>
                <w:sz w:val="21"/>
                <w:szCs w:val="21"/>
              </w:rPr>
              <w:t>单位</w:t>
            </w:r>
          </w:p>
        </w:tc>
      </w:tr>
      <w:tr w14:paraId="2C997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0" w:hRule="atLeast"/>
          <w:tblHeader/>
          <w:jc w:val="center"/>
        </w:trPr>
        <w:tc>
          <w:tcPr>
            <w:tcW w:w="1164" w:type="pct"/>
            <w:vMerge w:val="continue"/>
            <w:vAlign w:val="center"/>
          </w:tcPr>
          <w:p w14:paraId="4A79F5B5">
            <w:pPr>
              <w:pStyle w:val="47"/>
              <w:rPr>
                <w:rFonts w:cs="Times New Roman"/>
                <w:b/>
                <w:bCs/>
                <w:sz w:val="21"/>
                <w:szCs w:val="21"/>
              </w:rPr>
            </w:pPr>
          </w:p>
        </w:tc>
        <w:tc>
          <w:tcPr>
            <w:tcW w:w="812" w:type="pct"/>
            <w:vMerge w:val="continue"/>
            <w:vAlign w:val="center"/>
          </w:tcPr>
          <w:p w14:paraId="43D40635">
            <w:pPr>
              <w:pStyle w:val="47"/>
              <w:rPr>
                <w:rFonts w:cs="Times New Roman"/>
                <w:b/>
                <w:bCs/>
                <w:sz w:val="21"/>
                <w:szCs w:val="21"/>
              </w:rPr>
            </w:pPr>
          </w:p>
        </w:tc>
        <w:tc>
          <w:tcPr>
            <w:tcW w:w="1007" w:type="pct"/>
            <w:vAlign w:val="center"/>
          </w:tcPr>
          <w:p w14:paraId="37FEF6D9">
            <w:pPr>
              <w:pStyle w:val="47"/>
              <w:rPr>
                <w:rFonts w:cs="Times New Roman"/>
                <w:b/>
                <w:bCs/>
                <w:sz w:val="21"/>
                <w:szCs w:val="21"/>
              </w:rPr>
            </w:pPr>
            <w:r>
              <w:rPr>
                <w:rFonts w:hint="eastAsia" w:cs="Times New Roman"/>
                <w:b/>
                <w:bCs/>
                <w:sz w:val="21"/>
                <w:szCs w:val="21"/>
              </w:rPr>
              <w:t>昼间</w:t>
            </w:r>
          </w:p>
        </w:tc>
        <w:tc>
          <w:tcPr>
            <w:tcW w:w="1009" w:type="pct"/>
            <w:vAlign w:val="center"/>
          </w:tcPr>
          <w:p w14:paraId="4B50A345">
            <w:pPr>
              <w:pStyle w:val="47"/>
              <w:rPr>
                <w:rFonts w:cs="Times New Roman"/>
                <w:b/>
                <w:bCs/>
                <w:sz w:val="21"/>
                <w:szCs w:val="21"/>
              </w:rPr>
            </w:pPr>
            <w:r>
              <w:rPr>
                <w:rFonts w:hint="eastAsia" w:cs="Times New Roman"/>
                <w:b/>
                <w:bCs/>
                <w:sz w:val="21"/>
                <w:szCs w:val="21"/>
              </w:rPr>
              <w:t>夜间</w:t>
            </w:r>
          </w:p>
        </w:tc>
        <w:tc>
          <w:tcPr>
            <w:tcW w:w="1008" w:type="pct"/>
            <w:vMerge w:val="continue"/>
          </w:tcPr>
          <w:p w14:paraId="6F946FFF">
            <w:pPr>
              <w:pStyle w:val="47"/>
              <w:rPr>
                <w:rFonts w:cs="Times New Roman"/>
                <w:b/>
                <w:bCs/>
                <w:sz w:val="21"/>
                <w:szCs w:val="21"/>
              </w:rPr>
            </w:pPr>
          </w:p>
        </w:tc>
      </w:tr>
      <w:tr w14:paraId="2496C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0" w:hRule="atLeast"/>
          <w:jc w:val="center"/>
        </w:trPr>
        <w:tc>
          <w:tcPr>
            <w:tcW w:w="1164" w:type="pct"/>
            <w:vAlign w:val="center"/>
          </w:tcPr>
          <w:p w14:paraId="15DD1660">
            <w:pPr>
              <w:pStyle w:val="47"/>
              <w:rPr>
                <w:rFonts w:cs="Times New Roman"/>
                <w:sz w:val="21"/>
                <w:szCs w:val="21"/>
              </w:rPr>
            </w:pPr>
            <w:r>
              <w:rPr>
                <w:rFonts w:hint="eastAsia" w:cs="Times New Roman"/>
                <w:sz w:val="21"/>
                <w:szCs w:val="21"/>
              </w:rPr>
              <w:t>混合区</w:t>
            </w:r>
          </w:p>
        </w:tc>
        <w:tc>
          <w:tcPr>
            <w:tcW w:w="812" w:type="pct"/>
            <w:vAlign w:val="center"/>
          </w:tcPr>
          <w:p w14:paraId="5DB018C5">
            <w:pPr>
              <w:pStyle w:val="47"/>
              <w:rPr>
                <w:rFonts w:cs="Times New Roman"/>
                <w:sz w:val="21"/>
                <w:szCs w:val="21"/>
              </w:rPr>
            </w:pPr>
            <w:r>
              <w:rPr>
                <w:rFonts w:hint="eastAsia" w:cs="Times New Roman"/>
                <w:sz w:val="21"/>
                <w:szCs w:val="21"/>
              </w:rPr>
              <w:t>2类</w:t>
            </w:r>
          </w:p>
        </w:tc>
        <w:tc>
          <w:tcPr>
            <w:tcW w:w="1007" w:type="pct"/>
            <w:vAlign w:val="center"/>
          </w:tcPr>
          <w:p w14:paraId="47B32ABD">
            <w:pPr>
              <w:pStyle w:val="47"/>
              <w:rPr>
                <w:rFonts w:cs="Times New Roman"/>
                <w:sz w:val="21"/>
                <w:szCs w:val="21"/>
              </w:rPr>
            </w:pPr>
            <w:r>
              <w:rPr>
                <w:rFonts w:hint="eastAsia" w:cs="Times New Roman"/>
                <w:sz w:val="21"/>
                <w:szCs w:val="21"/>
              </w:rPr>
              <w:t>60</w:t>
            </w:r>
          </w:p>
        </w:tc>
        <w:tc>
          <w:tcPr>
            <w:tcW w:w="1009" w:type="pct"/>
            <w:vAlign w:val="center"/>
          </w:tcPr>
          <w:p w14:paraId="3F7B6116">
            <w:pPr>
              <w:pStyle w:val="47"/>
              <w:rPr>
                <w:rFonts w:cs="Times New Roman"/>
                <w:sz w:val="21"/>
                <w:szCs w:val="21"/>
              </w:rPr>
            </w:pPr>
            <w:r>
              <w:rPr>
                <w:rFonts w:hint="eastAsia" w:cs="Times New Roman"/>
                <w:sz w:val="21"/>
                <w:szCs w:val="21"/>
              </w:rPr>
              <w:t>50</w:t>
            </w:r>
          </w:p>
        </w:tc>
        <w:tc>
          <w:tcPr>
            <w:tcW w:w="1008" w:type="pct"/>
          </w:tcPr>
          <w:p w14:paraId="7B486D51">
            <w:pPr>
              <w:pStyle w:val="47"/>
              <w:rPr>
                <w:rFonts w:cs="Times New Roman"/>
                <w:sz w:val="21"/>
                <w:szCs w:val="21"/>
              </w:rPr>
            </w:pPr>
            <w:r>
              <w:rPr>
                <w:rFonts w:hint="eastAsia" w:cs="Times New Roman"/>
                <w:sz w:val="21"/>
                <w:szCs w:val="21"/>
              </w:rPr>
              <w:t>dB（A）</w:t>
            </w:r>
          </w:p>
        </w:tc>
      </w:tr>
      <w:tr w14:paraId="723F1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0" w:hRule="atLeast"/>
          <w:jc w:val="center"/>
        </w:trPr>
        <w:tc>
          <w:tcPr>
            <w:tcW w:w="1164" w:type="pct"/>
            <w:vAlign w:val="center"/>
          </w:tcPr>
          <w:p w14:paraId="470E4FF4">
            <w:pPr>
              <w:pStyle w:val="47"/>
              <w:rPr>
                <w:rFonts w:cs="Times New Roman"/>
                <w:sz w:val="21"/>
                <w:szCs w:val="21"/>
              </w:rPr>
            </w:pPr>
            <w:r>
              <w:rPr>
                <w:rFonts w:hint="eastAsia" w:cs="Times New Roman"/>
                <w:sz w:val="21"/>
                <w:szCs w:val="21"/>
              </w:rPr>
              <w:t>工业区</w:t>
            </w:r>
          </w:p>
        </w:tc>
        <w:tc>
          <w:tcPr>
            <w:tcW w:w="812" w:type="pct"/>
            <w:vAlign w:val="center"/>
          </w:tcPr>
          <w:p w14:paraId="0B1E2DE4">
            <w:pPr>
              <w:pStyle w:val="47"/>
              <w:rPr>
                <w:rFonts w:cs="Times New Roman"/>
                <w:sz w:val="21"/>
                <w:szCs w:val="21"/>
              </w:rPr>
            </w:pPr>
            <w:r>
              <w:rPr>
                <w:rFonts w:hint="eastAsia" w:cs="Times New Roman"/>
                <w:sz w:val="21"/>
                <w:szCs w:val="21"/>
              </w:rPr>
              <w:t>3类</w:t>
            </w:r>
          </w:p>
        </w:tc>
        <w:tc>
          <w:tcPr>
            <w:tcW w:w="1007" w:type="pct"/>
            <w:vAlign w:val="center"/>
          </w:tcPr>
          <w:p w14:paraId="1FD34D09">
            <w:pPr>
              <w:pStyle w:val="47"/>
              <w:rPr>
                <w:rFonts w:cs="Times New Roman"/>
                <w:sz w:val="21"/>
                <w:szCs w:val="21"/>
              </w:rPr>
            </w:pPr>
            <w:r>
              <w:rPr>
                <w:rFonts w:hint="eastAsia" w:cs="Times New Roman"/>
                <w:sz w:val="21"/>
                <w:szCs w:val="21"/>
              </w:rPr>
              <w:t>65</w:t>
            </w:r>
          </w:p>
        </w:tc>
        <w:tc>
          <w:tcPr>
            <w:tcW w:w="1009" w:type="pct"/>
            <w:vAlign w:val="center"/>
          </w:tcPr>
          <w:p w14:paraId="083F1782">
            <w:pPr>
              <w:pStyle w:val="47"/>
              <w:rPr>
                <w:rFonts w:cs="Times New Roman"/>
                <w:sz w:val="21"/>
                <w:szCs w:val="21"/>
              </w:rPr>
            </w:pPr>
            <w:r>
              <w:rPr>
                <w:rFonts w:hint="eastAsia" w:cs="Times New Roman"/>
                <w:sz w:val="21"/>
                <w:szCs w:val="21"/>
              </w:rPr>
              <w:t>55</w:t>
            </w:r>
          </w:p>
        </w:tc>
        <w:tc>
          <w:tcPr>
            <w:tcW w:w="1008" w:type="pct"/>
          </w:tcPr>
          <w:p w14:paraId="77758368">
            <w:pPr>
              <w:pStyle w:val="47"/>
              <w:rPr>
                <w:rFonts w:cs="Times New Roman"/>
                <w:sz w:val="21"/>
                <w:szCs w:val="21"/>
              </w:rPr>
            </w:pPr>
            <w:r>
              <w:rPr>
                <w:rFonts w:hint="eastAsia" w:cs="Times New Roman"/>
                <w:sz w:val="21"/>
                <w:szCs w:val="21"/>
              </w:rPr>
              <w:t>dB（A）</w:t>
            </w:r>
          </w:p>
        </w:tc>
      </w:tr>
      <w:tr w14:paraId="13A7F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04" w:hRule="atLeast"/>
          <w:jc w:val="center"/>
        </w:trPr>
        <w:tc>
          <w:tcPr>
            <w:tcW w:w="1164" w:type="pct"/>
            <w:vAlign w:val="center"/>
          </w:tcPr>
          <w:p w14:paraId="79F8D088">
            <w:pPr>
              <w:pStyle w:val="47"/>
              <w:rPr>
                <w:rFonts w:cs="Times New Roman"/>
                <w:sz w:val="21"/>
                <w:szCs w:val="21"/>
              </w:rPr>
            </w:pPr>
            <w:r>
              <w:rPr>
                <w:rFonts w:hint="eastAsia" w:cs="Times New Roman"/>
                <w:sz w:val="21"/>
                <w:szCs w:val="21"/>
              </w:rPr>
              <w:t>交通主干线两侧</w:t>
            </w:r>
          </w:p>
        </w:tc>
        <w:tc>
          <w:tcPr>
            <w:tcW w:w="812" w:type="pct"/>
            <w:vAlign w:val="center"/>
          </w:tcPr>
          <w:p w14:paraId="5964FAE6">
            <w:pPr>
              <w:pStyle w:val="47"/>
              <w:rPr>
                <w:rFonts w:cs="Times New Roman"/>
                <w:sz w:val="21"/>
                <w:szCs w:val="21"/>
              </w:rPr>
            </w:pPr>
            <w:r>
              <w:rPr>
                <w:rFonts w:hint="eastAsia" w:cs="Times New Roman"/>
                <w:sz w:val="21"/>
                <w:szCs w:val="21"/>
              </w:rPr>
              <w:t>4类</w:t>
            </w:r>
          </w:p>
        </w:tc>
        <w:tc>
          <w:tcPr>
            <w:tcW w:w="1007" w:type="pct"/>
            <w:vAlign w:val="center"/>
          </w:tcPr>
          <w:p w14:paraId="11FA2F63">
            <w:pPr>
              <w:pStyle w:val="47"/>
              <w:rPr>
                <w:rFonts w:cs="Times New Roman"/>
                <w:sz w:val="21"/>
                <w:szCs w:val="21"/>
              </w:rPr>
            </w:pPr>
            <w:r>
              <w:rPr>
                <w:rFonts w:hint="eastAsia" w:cs="Times New Roman"/>
                <w:sz w:val="21"/>
                <w:szCs w:val="21"/>
              </w:rPr>
              <w:t>70</w:t>
            </w:r>
          </w:p>
        </w:tc>
        <w:tc>
          <w:tcPr>
            <w:tcW w:w="1009" w:type="pct"/>
            <w:vAlign w:val="center"/>
          </w:tcPr>
          <w:p w14:paraId="45F896AC">
            <w:pPr>
              <w:pStyle w:val="47"/>
              <w:rPr>
                <w:rFonts w:cs="Times New Roman"/>
                <w:sz w:val="21"/>
                <w:szCs w:val="21"/>
              </w:rPr>
            </w:pPr>
            <w:r>
              <w:rPr>
                <w:rFonts w:hint="eastAsia" w:cs="Times New Roman"/>
                <w:sz w:val="21"/>
                <w:szCs w:val="21"/>
              </w:rPr>
              <w:t>55</w:t>
            </w:r>
          </w:p>
        </w:tc>
        <w:tc>
          <w:tcPr>
            <w:tcW w:w="1008" w:type="pct"/>
          </w:tcPr>
          <w:p w14:paraId="6CB916AE">
            <w:pPr>
              <w:pStyle w:val="47"/>
              <w:rPr>
                <w:rFonts w:cs="Times New Roman"/>
                <w:sz w:val="21"/>
                <w:szCs w:val="21"/>
              </w:rPr>
            </w:pPr>
            <w:r>
              <w:rPr>
                <w:rFonts w:hint="eastAsia" w:cs="Times New Roman"/>
                <w:sz w:val="21"/>
                <w:szCs w:val="21"/>
              </w:rPr>
              <w:t>dB（A）</w:t>
            </w:r>
          </w:p>
        </w:tc>
      </w:tr>
    </w:tbl>
    <w:p w14:paraId="2D6F7232">
      <w:pPr>
        <w:pStyle w:val="45"/>
        <w:rPr>
          <w:rFonts w:cs="Times New Roman"/>
        </w:rPr>
      </w:pPr>
      <w:r>
        <w:rPr>
          <w:rFonts w:cs="Times New Roman"/>
        </w:rPr>
        <w:t>表1.7-</w:t>
      </w:r>
      <w:r>
        <w:rPr>
          <w:rFonts w:hint="eastAsia" w:cs="Times New Roman"/>
        </w:rPr>
        <w:t>19</w:t>
      </w:r>
      <w:r>
        <w:rPr>
          <w:rFonts w:cs="Times New Roman"/>
        </w:rPr>
        <w:t xml:space="preserve">  建筑施工厂界噪声限值</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4DAD5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1" w:type="dxa"/>
            <w:gridSpan w:val="2"/>
          </w:tcPr>
          <w:p w14:paraId="277CB68A">
            <w:pPr>
              <w:pStyle w:val="47"/>
              <w:rPr>
                <w:rFonts w:cs="Times New Roman"/>
                <w:b/>
                <w:bCs/>
                <w:sz w:val="21"/>
                <w:szCs w:val="20"/>
              </w:rPr>
            </w:pPr>
            <w:r>
              <w:rPr>
                <w:rFonts w:hint="eastAsia" w:cs="Times New Roman"/>
                <w:b/>
                <w:bCs/>
                <w:sz w:val="21"/>
                <w:szCs w:val="20"/>
              </w:rPr>
              <w:t>时段</w:t>
            </w:r>
          </w:p>
        </w:tc>
        <w:tc>
          <w:tcPr>
            <w:tcW w:w="2841" w:type="dxa"/>
            <w:vMerge w:val="restart"/>
            <w:vAlign w:val="center"/>
          </w:tcPr>
          <w:p w14:paraId="7673A5D2">
            <w:pPr>
              <w:pStyle w:val="47"/>
              <w:rPr>
                <w:rFonts w:cs="Times New Roman"/>
                <w:b/>
                <w:bCs/>
                <w:sz w:val="21"/>
                <w:szCs w:val="20"/>
              </w:rPr>
            </w:pPr>
            <w:r>
              <w:rPr>
                <w:rFonts w:hint="eastAsia" w:cs="Times New Roman"/>
                <w:b/>
                <w:bCs/>
                <w:sz w:val="21"/>
                <w:szCs w:val="20"/>
              </w:rPr>
              <w:t>单位</w:t>
            </w:r>
          </w:p>
        </w:tc>
      </w:tr>
      <w:tr w14:paraId="6BC0F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0D64DE9A">
            <w:pPr>
              <w:pStyle w:val="47"/>
              <w:rPr>
                <w:rFonts w:cs="Times New Roman"/>
                <w:b/>
                <w:bCs/>
                <w:sz w:val="21"/>
                <w:szCs w:val="20"/>
              </w:rPr>
            </w:pPr>
            <w:r>
              <w:rPr>
                <w:rFonts w:hint="eastAsia" w:cs="Times New Roman"/>
                <w:b/>
                <w:bCs/>
                <w:sz w:val="21"/>
                <w:szCs w:val="20"/>
              </w:rPr>
              <w:t>昼间</w:t>
            </w:r>
          </w:p>
        </w:tc>
        <w:tc>
          <w:tcPr>
            <w:tcW w:w="2841" w:type="dxa"/>
          </w:tcPr>
          <w:p w14:paraId="71BC610E">
            <w:pPr>
              <w:pStyle w:val="47"/>
              <w:rPr>
                <w:rFonts w:cs="Times New Roman"/>
                <w:b/>
                <w:bCs/>
                <w:sz w:val="21"/>
                <w:szCs w:val="20"/>
              </w:rPr>
            </w:pPr>
            <w:r>
              <w:rPr>
                <w:rFonts w:hint="eastAsia" w:cs="Times New Roman"/>
                <w:b/>
                <w:bCs/>
                <w:sz w:val="21"/>
                <w:szCs w:val="20"/>
              </w:rPr>
              <w:t>夜间</w:t>
            </w:r>
          </w:p>
        </w:tc>
        <w:tc>
          <w:tcPr>
            <w:tcW w:w="2841" w:type="dxa"/>
            <w:vMerge w:val="continue"/>
          </w:tcPr>
          <w:p w14:paraId="62E44F3E">
            <w:pPr>
              <w:pStyle w:val="47"/>
              <w:rPr>
                <w:rFonts w:cs="Times New Roman"/>
                <w:sz w:val="21"/>
                <w:szCs w:val="20"/>
              </w:rPr>
            </w:pPr>
          </w:p>
        </w:tc>
      </w:tr>
      <w:tr w14:paraId="7B7E7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642EED1F">
            <w:pPr>
              <w:pStyle w:val="47"/>
              <w:rPr>
                <w:rFonts w:cs="Times New Roman"/>
                <w:sz w:val="21"/>
                <w:szCs w:val="20"/>
              </w:rPr>
            </w:pPr>
            <w:r>
              <w:rPr>
                <w:rFonts w:hint="eastAsia" w:cs="Times New Roman"/>
                <w:sz w:val="21"/>
                <w:szCs w:val="20"/>
              </w:rPr>
              <w:t>70</w:t>
            </w:r>
          </w:p>
        </w:tc>
        <w:tc>
          <w:tcPr>
            <w:tcW w:w="2841" w:type="dxa"/>
          </w:tcPr>
          <w:p w14:paraId="774BB1DF">
            <w:pPr>
              <w:pStyle w:val="47"/>
              <w:rPr>
                <w:rFonts w:cs="Times New Roman"/>
                <w:sz w:val="21"/>
                <w:szCs w:val="20"/>
              </w:rPr>
            </w:pPr>
            <w:r>
              <w:rPr>
                <w:rFonts w:hint="eastAsia" w:cs="Times New Roman"/>
                <w:sz w:val="21"/>
                <w:szCs w:val="20"/>
              </w:rPr>
              <w:t>55</w:t>
            </w:r>
          </w:p>
        </w:tc>
        <w:tc>
          <w:tcPr>
            <w:tcW w:w="2841" w:type="dxa"/>
          </w:tcPr>
          <w:p w14:paraId="2DF3C2A1">
            <w:pPr>
              <w:pStyle w:val="47"/>
              <w:rPr>
                <w:rFonts w:cs="Times New Roman"/>
                <w:sz w:val="21"/>
                <w:szCs w:val="20"/>
              </w:rPr>
            </w:pPr>
            <w:r>
              <w:rPr>
                <w:rFonts w:hint="eastAsia" w:cs="Times New Roman"/>
                <w:sz w:val="21"/>
                <w:szCs w:val="20"/>
              </w:rPr>
              <w:t>dB（A）</w:t>
            </w:r>
          </w:p>
        </w:tc>
      </w:tr>
    </w:tbl>
    <w:p w14:paraId="3D7B099A">
      <w:pPr>
        <w:ind w:firstLine="480"/>
      </w:pPr>
      <w:r>
        <w:rPr>
          <w:rFonts w:hint="eastAsia"/>
        </w:rPr>
        <w:t>同时本轮规划范围内涉及江苏南沿江城际铁路和苏锡常城际铁路，并规划于致和村（藤甲）预留A类通用机场，铁路边界噪声测量执行《铁路边界噪声限值及其测量方法》（GB12525-90），机场周围飞机噪声测量执行《机场周围飞机噪声环境标准》（GB9661-88），具体见表1.7-20。</w:t>
      </w:r>
    </w:p>
    <w:p w14:paraId="342C2CCB">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表1.7-</w:t>
      </w:r>
      <w:r>
        <w:rPr>
          <w:rFonts w:hint="eastAsia" w:cs="Times New Roman"/>
          <w:b/>
          <w:szCs w:val="24"/>
          <w14:ligatures w14:val="none"/>
        </w:rPr>
        <w:t>20</w:t>
      </w:r>
      <w:r>
        <w:rPr>
          <w:rFonts w:cs="Times New Roman"/>
          <w:b/>
          <w:szCs w:val="24"/>
          <w14:ligatures w14:val="none"/>
        </w:rPr>
        <w:t xml:space="preserve">  </w:t>
      </w:r>
      <w:r>
        <w:rPr>
          <w:rFonts w:hint="eastAsia" w:cs="Times New Roman"/>
          <w:b/>
          <w:szCs w:val="24"/>
          <w14:ligatures w14:val="none"/>
        </w:rPr>
        <w:t>铁路、机场边界噪声标准</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2922"/>
        <w:gridCol w:w="2169"/>
        <w:gridCol w:w="2694"/>
      </w:tblGrid>
      <w:tr w14:paraId="228931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2147" w:type="pct"/>
            <w:gridSpan w:val="2"/>
            <w:vMerge w:val="restart"/>
            <w:tcBorders>
              <w:top w:val="single" w:color="auto" w:sz="4" w:space="0"/>
              <w:left w:val="single" w:color="auto" w:sz="4" w:space="0"/>
            </w:tcBorders>
            <w:vAlign w:val="center"/>
          </w:tcPr>
          <w:p w14:paraId="1DBF250A">
            <w:pPr>
              <w:spacing w:line="240" w:lineRule="auto"/>
              <w:ind w:firstLine="21" w:firstLineChars="10"/>
              <w:jc w:val="center"/>
              <w:rPr>
                <w:rFonts w:cs="Times New Roman"/>
                <w:b/>
                <w:sz w:val="21"/>
                <w:szCs w:val="21"/>
              </w:rPr>
            </w:pPr>
            <w:r>
              <w:rPr>
                <w:rFonts w:hint="eastAsia" w:cs="Times New Roman"/>
                <w:b/>
                <w:sz w:val="21"/>
                <w:szCs w:val="21"/>
              </w:rPr>
              <w:t>功能区类别</w:t>
            </w:r>
          </w:p>
        </w:tc>
        <w:tc>
          <w:tcPr>
            <w:tcW w:w="2852" w:type="pct"/>
            <w:gridSpan w:val="2"/>
            <w:tcBorders>
              <w:top w:val="single" w:color="auto" w:sz="4" w:space="0"/>
              <w:bottom w:val="single" w:color="auto" w:sz="4" w:space="0"/>
              <w:right w:val="single" w:color="auto" w:sz="4" w:space="0"/>
            </w:tcBorders>
            <w:vAlign w:val="center"/>
          </w:tcPr>
          <w:p w14:paraId="48FCBA70">
            <w:pPr>
              <w:spacing w:line="240" w:lineRule="auto"/>
              <w:ind w:firstLine="0" w:firstLineChars="0"/>
              <w:jc w:val="center"/>
              <w:rPr>
                <w:rFonts w:cs="Times New Roman"/>
                <w:b/>
                <w:sz w:val="21"/>
                <w:szCs w:val="21"/>
              </w:rPr>
            </w:pPr>
            <w:r>
              <w:rPr>
                <w:rFonts w:hint="eastAsia" w:cs="Times New Roman"/>
                <w:b/>
                <w:sz w:val="21"/>
                <w:szCs w:val="21"/>
              </w:rPr>
              <w:t>标准限值 dB（A）</w:t>
            </w:r>
          </w:p>
        </w:tc>
      </w:tr>
      <w:tr w14:paraId="65D655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2147" w:type="pct"/>
            <w:gridSpan w:val="2"/>
            <w:vMerge w:val="continue"/>
            <w:tcBorders>
              <w:left w:val="single" w:color="auto" w:sz="4" w:space="0"/>
              <w:bottom w:val="single" w:color="auto" w:sz="4" w:space="0"/>
            </w:tcBorders>
            <w:vAlign w:val="center"/>
          </w:tcPr>
          <w:p w14:paraId="04355648">
            <w:pPr>
              <w:spacing w:line="240" w:lineRule="auto"/>
              <w:ind w:firstLine="0" w:firstLineChars="0"/>
              <w:jc w:val="center"/>
              <w:rPr>
                <w:rFonts w:cs="Times New Roman"/>
                <w:b/>
                <w:sz w:val="21"/>
                <w:szCs w:val="21"/>
              </w:rPr>
            </w:pPr>
          </w:p>
        </w:tc>
        <w:tc>
          <w:tcPr>
            <w:tcW w:w="1272" w:type="pct"/>
            <w:tcBorders>
              <w:top w:val="single" w:color="auto" w:sz="4" w:space="0"/>
              <w:bottom w:val="single" w:color="auto" w:sz="4" w:space="0"/>
            </w:tcBorders>
            <w:vAlign w:val="center"/>
          </w:tcPr>
          <w:p w14:paraId="0D3BAC93">
            <w:pPr>
              <w:spacing w:line="240" w:lineRule="auto"/>
              <w:ind w:firstLine="0" w:firstLineChars="0"/>
              <w:jc w:val="center"/>
              <w:rPr>
                <w:rFonts w:cs="Times New Roman"/>
                <w:b/>
                <w:sz w:val="21"/>
                <w:szCs w:val="21"/>
              </w:rPr>
            </w:pPr>
            <w:r>
              <w:rPr>
                <w:rFonts w:hint="eastAsia" w:cs="Times New Roman"/>
                <w:b/>
                <w:sz w:val="21"/>
                <w:szCs w:val="21"/>
              </w:rPr>
              <w:t>昼间</w:t>
            </w:r>
          </w:p>
        </w:tc>
        <w:tc>
          <w:tcPr>
            <w:tcW w:w="1580" w:type="pct"/>
            <w:tcBorders>
              <w:top w:val="single" w:color="auto" w:sz="4" w:space="0"/>
              <w:bottom w:val="single" w:color="auto" w:sz="4" w:space="0"/>
              <w:right w:val="single" w:color="auto" w:sz="4" w:space="0"/>
            </w:tcBorders>
            <w:vAlign w:val="center"/>
          </w:tcPr>
          <w:p w14:paraId="45584185">
            <w:pPr>
              <w:spacing w:line="240" w:lineRule="auto"/>
              <w:ind w:firstLine="0" w:firstLineChars="0"/>
              <w:jc w:val="center"/>
              <w:rPr>
                <w:rFonts w:cs="Times New Roman"/>
                <w:b/>
                <w:sz w:val="21"/>
                <w:szCs w:val="21"/>
              </w:rPr>
            </w:pPr>
            <w:r>
              <w:rPr>
                <w:rFonts w:hint="eastAsia" w:cs="Times New Roman"/>
                <w:b/>
                <w:sz w:val="21"/>
                <w:szCs w:val="21"/>
              </w:rPr>
              <w:t>夜间</w:t>
            </w:r>
          </w:p>
        </w:tc>
      </w:tr>
      <w:tr w14:paraId="326ECA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433" w:type="pct"/>
            <w:vMerge w:val="restart"/>
            <w:tcBorders>
              <w:top w:val="single" w:color="auto" w:sz="4" w:space="0"/>
              <w:left w:val="single" w:color="auto" w:sz="4" w:space="0"/>
            </w:tcBorders>
            <w:vAlign w:val="center"/>
          </w:tcPr>
          <w:p w14:paraId="6A897D02">
            <w:pPr>
              <w:spacing w:line="240" w:lineRule="auto"/>
              <w:ind w:firstLine="0" w:firstLineChars="0"/>
              <w:jc w:val="center"/>
              <w:rPr>
                <w:rFonts w:cs="Times New Roman"/>
                <w:sz w:val="21"/>
                <w:szCs w:val="21"/>
              </w:rPr>
            </w:pPr>
            <w:r>
              <w:rPr>
                <w:rFonts w:hint="eastAsia" w:cs="Times New Roman"/>
                <w:sz w:val="21"/>
                <w:szCs w:val="21"/>
              </w:rPr>
              <w:t>铁路</w:t>
            </w:r>
          </w:p>
        </w:tc>
        <w:tc>
          <w:tcPr>
            <w:tcW w:w="1713" w:type="pct"/>
            <w:tcBorders>
              <w:top w:val="single" w:color="auto" w:sz="4" w:space="0"/>
              <w:left w:val="single" w:color="auto" w:sz="4" w:space="0"/>
            </w:tcBorders>
            <w:vAlign w:val="center"/>
          </w:tcPr>
          <w:p w14:paraId="378D92CA">
            <w:pPr>
              <w:spacing w:line="240" w:lineRule="auto"/>
              <w:ind w:firstLine="0" w:firstLineChars="0"/>
              <w:jc w:val="center"/>
              <w:rPr>
                <w:rFonts w:cs="Times New Roman"/>
                <w:sz w:val="21"/>
                <w:szCs w:val="21"/>
              </w:rPr>
            </w:pPr>
            <w:r>
              <w:rPr>
                <w:rFonts w:hint="eastAsia" w:cs="Times New Roman"/>
                <w:sz w:val="21"/>
                <w:szCs w:val="21"/>
              </w:rPr>
              <w:t>既有铁路边界铁路噪声限值</w:t>
            </w:r>
          </w:p>
        </w:tc>
        <w:tc>
          <w:tcPr>
            <w:tcW w:w="1272" w:type="pct"/>
            <w:tcBorders>
              <w:top w:val="single" w:color="auto" w:sz="4" w:space="0"/>
              <w:bottom w:val="single" w:color="auto" w:sz="4" w:space="0"/>
            </w:tcBorders>
            <w:vAlign w:val="center"/>
          </w:tcPr>
          <w:p w14:paraId="4D4519C9">
            <w:pPr>
              <w:spacing w:line="240" w:lineRule="auto"/>
              <w:ind w:firstLine="0" w:firstLineChars="0"/>
              <w:jc w:val="center"/>
              <w:rPr>
                <w:rFonts w:cs="Times New Roman"/>
                <w:sz w:val="21"/>
                <w:szCs w:val="21"/>
              </w:rPr>
            </w:pPr>
            <w:r>
              <w:rPr>
                <w:rFonts w:hint="eastAsia" w:cs="Times New Roman"/>
                <w:sz w:val="21"/>
                <w:szCs w:val="21"/>
              </w:rPr>
              <w:t>≤70</w:t>
            </w:r>
          </w:p>
        </w:tc>
        <w:tc>
          <w:tcPr>
            <w:tcW w:w="1580" w:type="pct"/>
            <w:tcBorders>
              <w:top w:val="single" w:color="auto" w:sz="4" w:space="0"/>
              <w:bottom w:val="single" w:color="auto" w:sz="4" w:space="0"/>
              <w:right w:val="single" w:color="auto" w:sz="4" w:space="0"/>
            </w:tcBorders>
            <w:vAlign w:val="center"/>
          </w:tcPr>
          <w:p w14:paraId="6EFB1C04">
            <w:pPr>
              <w:spacing w:line="240" w:lineRule="auto"/>
              <w:ind w:firstLine="0" w:firstLineChars="0"/>
              <w:jc w:val="center"/>
              <w:rPr>
                <w:rFonts w:cs="Times New Roman"/>
                <w:sz w:val="21"/>
                <w:szCs w:val="21"/>
              </w:rPr>
            </w:pPr>
            <w:r>
              <w:rPr>
                <w:rFonts w:hint="eastAsia" w:cs="Times New Roman"/>
                <w:sz w:val="21"/>
                <w:szCs w:val="21"/>
              </w:rPr>
              <w:t>≤70</w:t>
            </w:r>
          </w:p>
        </w:tc>
      </w:tr>
      <w:tr w14:paraId="65D8D7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433" w:type="pct"/>
            <w:vMerge w:val="continue"/>
            <w:tcBorders>
              <w:left w:val="single" w:color="auto" w:sz="4" w:space="0"/>
            </w:tcBorders>
            <w:vAlign w:val="center"/>
          </w:tcPr>
          <w:p w14:paraId="5F4E0804">
            <w:pPr>
              <w:spacing w:line="240" w:lineRule="auto"/>
              <w:ind w:firstLine="0" w:firstLineChars="0"/>
              <w:jc w:val="center"/>
              <w:rPr>
                <w:rFonts w:cs="Times New Roman"/>
                <w:sz w:val="21"/>
                <w:szCs w:val="21"/>
              </w:rPr>
            </w:pPr>
          </w:p>
        </w:tc>
        <w:tc>
          <w:tcPr>
            <w:tcW w:w="1713" w:type="pct"/>
            <w:tcBorders>
              <w:left w:val="single" w:color="auto" w:sz="4" w:space="0"/>
            </w:tcBorders>
            <w:vAlign w:val="center"/>
          </w:tcPr>
          <w:p w14:paraId="4F967717">
            <w:pPr>
              <w:spacing w:line="240" w:lineRule="auto"/>
              <w:ind w:firstLine="0" w:firstLineChars="0"/>
              <w:jc w:val="center"/>
              <w:rPr>
                <w:rFonts w:cs="Times New Roman"/>
                <w:sz w:val="21"/>
                <w:szCs w:val="21"/>
              </w:rPr>
            </w:pPr>
            <w:r>
              <w:rPr>
                <w:rFonts w:hint="eastAsia" w:cs="Times New Roman"/>
                <w:sz w:val="21"/>
                <w:szCs w:val="21"/>
              </w:rPr>
              <w:t>新建铁路边界铁路噪声限值</w:t>
            </w:r>
          </w:p>
        </w:tc>
        <w:tc>
          <w:tcPr>
            <w:tcW w:w="1272" w:type="pct"/>
            <w:tcBorders>
              <w:top w:val="single" w:color="auto" w:sz="4" w:space="0"/>
              <w:bottom w:val="single" w:color="auto" w:sz="4" w:space="0"/>
            </w:tcBorders>
            <w:vAlign w:val="center"/>
          </w:tcPr>
          <w:p w14:paraId="5A638DF0">
            <w:pPr>
              <w:spacing w:line="240" w:lineRule="auto"/>
              <w:ind w:firstLine="0" w:firstLineChars="0"/>
              <w:jc w:val="center"/>
              <w:rPr>
                <w:rFonts w:cs="Times New Roman"/>
                <w:sz w:val="21"/>
                <w:szCs w:val="21"/>
              </w:rPr>
            </w:pPr>
            <w:r>
              <w:rPr>
                <w:rFonts w:hint="eastAsia" w:cs="Times New Roman"/>
                <w:sz w:val="21"/>
                <w:szCs w:val="21"/>
              </w:rPr>
              <w:t>≤70</w:t>
            </w:r>
          </w:p>
        </w:tc>
        <w:tc>
          <w:tcPr>
            <w:tcW w:w="1580" w:type="pct"/>
            <w:tcBorders>
              <w:top w:val="single" w:color="auto" w:sz="4" w:space="0"/>
              <w:bottom w:val="single" w:color="auto" w:sz="4" w:space="0"/>
              <w:right w:val="single" w:color="auto" w:sz="4" w:space="0"/>
            </w:tcBorders>
            <w:vAlign w:val="center"/>
          </w:tcPr>
          <w:p w14:paraId="38490F33">
            <w:pPr>
              <w:spacing w:line="240" w:lineRule="auto"/>
              <w:ind w:firstLine="0" w:firstLineChars="0"/>
              <w:jc w:val="center"/>
              <w:rPr>
                <w:rFonts w:cs="Times New Roman"/>
                <w:sz w:val="21"/>
                <w:szCs w:val="21"/>
              </w:rPr>
            </w:pPr>
            <w:r>
              <w:rPr>
                <w:rFonts w:hint="eastAsia" w:cs="Times New Roman"/>
                <w:sz w:val="21"/>
                <w:szCs w:val="21"/>
              </w:rPr>
              <w:t>≤60</w:t>
            </w:r>
          </w:p>
        </w:tc>
      </w:tr>
      <w:tr w14:paraId="2CB85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147" w:type="pct"/>
            <w:gridSpan w:val="2"/>
            <w:tcBorders>
              <w:left w:val="single" w:color="auto" w:sz="4" w:space="0"/>
            </w:tcBorders>
            <w:vAlign w:val="center"/>
          </w:tcPr>
          <w:p w14:paraId="4AC821D3">
            <w:pPr>
              <w:spacing w:line="240" w:lineRule="auto"/>
              <w:ind w:firstLine="0" w:firstLineChars="0"/>
              <w:jc w:val="center"/>
              <w:rPr>
                <w:rFonts w:cs="Times New Roman"/>
                <w:sz w:val="21"/>
                <w:szCs w:val="21"/>
              </w:rPr>
            </w:pPr>
            <w:r>
              <w:rPr>
                <w:rFonts w:hint="eastAsia" w:cs="Times New Roman"/>
                <w:sz w:val="21"/>
                <w:szCs w:val="21"/>
              </w:rPr>
              <w:t>机场</w:t>
            </w:r>
          </w:p>
        </w:tc>
        <w:tc>
          <w:tcPr>
            <w:tcW w:w="2852" w:type="pct"/>
            <w:gridSpan w:val="2"/>
            <w:tcBorders>
              <w:top w:val="single" w:color="auto" w:sz="4" w:space="0"/>
              <w:bottom w:val="single" w:color="auto" w:sz="4" w:space="0"/>
              <w:right w:val="single" w:color="auto" w:sz="4" w:space="0"/>
            </w:tcBorders>
            <w:vAlign w:val="center"/>
          </w:tcPr>
          <w:p w14:paraId="7AC683B9">
            <w:pPr>
              <w:spacing w:line="240" w:lineRule="auto"/>
              <w:ind w:firstLine="0" w:firstLineChars="0"/>
              <w:jc w:val="center"/>
              <w:rPr>
                <w:rFonts w:cs="Times New Roman"/>
                <w:sz w:val="21"/>
                <w:szCs w:val="21"/>
              </w:rPr>
            </w:pPr>
            <w:r>
              <w:rPr>
                <w:rFonts w:hint="eastAsia" w:cs="Times New Roman"/>
                <w:sz w:val="21"/>
                <w:szCs w:val="21"/>
              </w:rPr>
              <w:t>一昼夜的计权等效连续感觉噪声级</w:t>
            </w:r>
          </w:p>
        </w:tc>
      </w:tr>
      <w:tr w14:paraId="5FBFC4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147" w:type="pct"/>
            <w:gridSpan w:val="2"/>
            <w:tcBorders>
              <w:left w:val="single" w:color="auto" w:sz="4" w:space="0"/>
            </w:tcBorders>
            <w:vAlign w:val="center"/>
          </w:tcPr>
          <w:p w14:paraId="37A96A08">
            <w:pPr>
              <w:spacing w:line="240" w:lineRule="auto"/>
              <w:ind w:firstLine="0" w:firstLineChars="0"/>
              <w:jc w:val="center"/>
              <w:rPr>
                <w:rFonts w:cs="Times New Roman"/>
                <w:sz w:val="21"/>
                <w:szCs w:val="21"/>
              </w:rPr>
            </w:pPr>
            <w:r>
              <w:rPr>
                <w:rFonts w:hint="eastAsia" w:cs="Times New Roman"/>
                <w:sz w:val="21"/>
                <w:szCs w:val="21"/>
              </w:rPr>
              <w:t>一类区域</w:t>
            </w:r>
          </w:p>
        </w:tc>
        <w:tc>
          <w:tcPr>
            <w:tcW w:w="2852" w:type="pct"/>
            <w:gridSpan w:val="2"/>
            <w:tcBorders>
              <w:top w:val="single" w:color="auto" w:sz="4" w:space="0"/>
              <w:bottom w:val="single" w:color="auto" w:sz="4" w:space="0"/>
              <w:right w:val="single" w:color="auto" w:sz="4" w:space="0"/>
            </w:tcBorders>
            <w:vAlign w:val="center"/>
          </w:tcPr>
          <w:p w14:paraId="79557D95">
            <w:pPr>
              <w:spacing w:line="240" w:lineRule="auto"/>
              <w:ind w:firstLine="0" w:firstLineChars="0"/>
              <w:jc w:val="center"/>
              <w:rPr>
                <w:rFonts w:cs="Times New Roman"/>
                <w:sz w:val="21"/>
                <w:szCs w:val="21"/>
              </w:rPr>
            </w:pPr>
            <w:r>
              <w:rPr>
                <w:rFonts w:hint="eastAsia" w:cs="Times New Roman"/>
                <w:sz w:val="21"/>
                <w:szCs w:val="21"/>
              </w:rPr>
              <w:t>≤70</w:t>
            </w:r>
          </w:p>
        </w:tc>
      </w:tr>
      <w:tr w14:paraId="3B6274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147" w:type="pct"/>
            <w:gridSpan w:val="2"/>
            <w:tcBorders>
              <w:left w:val="single" w:color="auto" w:sz="4" w:space="0"/>
              <w:bottom w:val="single" w:color="auto" w:sz="4" w:space="0"/>
            </w:tcBorders>
            <w:vAlign w:val="center"/>
          </w:tcPr>
          <w:p w14:paraId="5AE8EAF3">
            <w:pPr>
              <w:spacing w:line="240" w:lineRule="auto"/>
              <w:ind w:firstLine="0" w:firstLineChars="0"/>
              <w:jc w:val="center"/>
              <w:rPr>
                <w:rFonts w:cs="Times New Roman"/>
                <w:sz w:val="21"/>
                <w:szCs w:val="21"/>
              </w:rPr>
            </w:pPr>
            <w:r>
              <w:rPr>
                <w:rFonts w:hint="eastAsia" w:cs="Times New Roman"/>
                <w:sz w:val="21"/>
                <w:szCs w:val="21"/>
              </w:rPr>
              <w:t>二类区域</w:t>
            </w:r>
          </w:p>
        </w:tc>
        <w:tc>
          <w:tcPr>
            <w:tcW w:w="2852" w:type="pct"/>
            <w:gridSpan w:val="2"/>
            <w:tcBorders>
              <w:top w:val="single" w:color="auto" w:sz="4" w:space="0"/>
              <w:bottom w:val="single" w:color="auto" w:sz="4" w:space="0"/>
              <w:right w:val="single" w:color="auto" w:sz="4" w:space="0"/>
            </w:tcBorders>
            <w:vAlign w:val="center"/>
          </w:tcPr>
          <w:p w14:paraId="348A5EC5">
            <w:pPr>
              <w:spacing w:line="240" w:lineRule="auto"/>
              <w:ind w:firstLine="0" w:firstLineChars="0"/>
              <w:jc w:val="center"/>
              <w:rPr>
                <w:rFonts w:cs="Times New Roman"/>
                <w:sz w:val="21"/>
                <w:szCs w:val="21"/>
              </w:rPr>
            </w:pPr>
            <w:r>
              <w:rPr>
                <w:rFonts w:hint="eastAsia" w:cs="Times New Roman"/>
                <w:sz w:val="21"/>
                <w:szCs w:val="21"/>
              </w:rPr>
              <w:t>≤75</w:t>
            </w:r>
          </w:p>
        </w:tc>
      </w:tr>
    </w:tbl>
    <w:p w14:paraId="4B09D675">
      <w:pPr>
        <w:spacing w:line="240" w:lineRule="auto"/>
        <w:ind w:firstLine="360"/>
        <w:rPr>
          <w:sz w:val="18"/>
          <w:szCs w:val="16"/>
        </w:rPr>
      </w:pPr>
      <w:r>
        <w:rPr>
          <w:rFonts w:hint="eastAsia"/>
          <w:sz w:val="18"/>
          <w:szCs w:val="16"/>
        </w:rPr>
        <w:t>注：机场噪声标准适用于机场周围受飞机通过所产生噪声影响的区域，其中一类区域为特殊住宅区、居住、文教区，二类区域为除一类区域以外的生活区，标准适用的区域地带由当地人民政府划定。</w:t>
      </w:r>
    </w:p>
    <w:p w14:paraId="53751CE5">
      <w:pPr>
        <w:pStyle w:val="3"/>
        <w:ind w:firstLine="0" w:firstLineChars="0"/>
        <w:rPr>
          <w:rFonts w:cs="Times New Roman"/>
        </w:rPr>
      </w:pPr>
      <w:bookmarkStart w:id="21" w:name="_Toc217294034"/>
      <w:r>
        <w:rPr>
          <w:rFonts w:cs="Times New Roman"/>
        </w:rPr>
        <w:t>1.8</w:t>
      </w:r>
      <w:r>
        <w:rPr>
          <w:rFonts w:hint="eastAsia" w:cs="Times New Roman"/>
        </w:rPr>
        <w:t>环境保护目标</w:t>
      </w:r>
      <w:bookmarkEnd w:id="21"/>
    </w:p>
    <w:p w14:paraId="4EE26797">
      <w:pPr>
        <w:ind w:firstLine="480"/>
        <w:outlineLvl w:val="3"/>
      </w:pPr>
      <w:r>
        <w:rPr>
          <w:rFonts w:hint="eastAsia"/>
        </w:rPr>
        <w:t>（1）环境空气保护目标</w:t>
      </w:r>
    </w:p>
    <w:p w14:paraId="5EACE2FF">
      <w:pPr>
        <w:ind w:firstLine="480"/>
        <w:sectPr>
          <w:pgSz w:w="11906" w:h="16838"/>
          <w:pgMar w:top="1440" w:right="1800" w:bottom="1440" w:left="1800" w:header="851" w:footer="992" w:gutter="0"/>
          <w:cols w:space="425" w:num="1"/>
          <w:docGrid w:type="lines" w:linePitch="312" w:charSpace="0"/>
        </w:sectPr>
      </w:pPr>
      <w:r>
        <w:rPr>
          <w:rFonts w:hint="eastAsia"/>
        </w:rPr>
        <w:t>环境空气保护敏感目标为规划范围及外扩2</w:t>
      </w:r>
      <w:r>
        <w:t>.5km</w:t>
      </w:r>
      <w:r>
        <w:rPr>
          <w:rFonts w:hint="eastAsia"/>
        </w:rPr>
        <w:t>范围内的居住区、学校、医院等，保护要求为达到相应大气环境功能区标准。大气环境保护敏感目标具体见表1.8-1，大气环境敏感目标分布图如附图6所示。</w:t>
      </w:r>
    </w:p>
    <w:p w14:paraId="095FEADF">
      <w:pPr>
        <w:pStyle w:val="45"/>
        <w:rPr>
          <w:rFonts w:cs="Times New Roman"/>
        </w:rPr>
      </w:pPr>
      <w:r>
        <w:rPr>
          <w:rFonts w:cs="Times New Roman"/>
        </w:rPr>
        <w:t xml:space="preserve">表1.8-1  </w:t>
      </w:r>
      <w:r>
        <w:rPr>
          <w:rFonts w:hint="eastAsia" w:cs="Times New Roman"/>
        </w:rPr>
        <w:t>大气环境主要敏感目标表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992"/>
        <w:gridCol w:w="1134"/>
        <w:gridCol w:w="1560"/>
        <w:gridCol w:w="2409"/>
        <w:gridCol w:w="1701"/>
        <w:gridCol w:w="1690"/>
        <w:gridCol w:w="1080"/>
        <w:gridCol w:w="702"/>
        <w:gridCol w:w="813"/>
        <w:gridCol w:w="1168"/>
      </w:tblGrid>
      <w:tr w14:paraId="44670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704" w:type="dxa"/>
            <w:vMerge w:val="restart"/>
            <w:noWrap/>
            <w:vAlign w:val="center"/>
          </w:tcPr>
          <w:p w14:paraId="4A7C2E85">
            <w:pPr>
              <w:spacing w:line="240" w:lineRule="auto"/>
              <w:ind w:firstLine="0" w:firstLineChars="0"/>
              <w:jc w:val="center"/>
              <w:rPr>
                <w:rFonts w:cs="Times New Roman"/>
                <w:b/>
                <w:bCs/>
                <w:sz w:val="21"/>
                <w:szCs w:val="21"/>
              </w:rPr>
            </w:pPr>
            <w:r>
              <w:rPr>
                <w:rFonts w:hint="eastAsia" w:cs="Times New Roman"/>
                <w:b/>
                <w:bCs/>
                <w:sz w:val="21"/>
                <w:szCs w:val="21"/>
              </w:rPr>
              <w:t>序号</w:t>
            </w:r>
          </w:p>
        </w:tc>
        <w:tc>
          <w:tcPr>
            <w:tcW w:w="3686" w:type="dxa"/>
            <w:gridSpan w:val="3"/>
            <w:vMerge w:val="restart"/>
            <w:noWrap/>
            <w:vAlign w:val="center"/>
          </w:tcPr>
          <w:p w14:paraId="3A17CE79">
            <w:pPr>
              <w:spacing w:line="240" w:lineRule="auto"/>
              <w:ind w:firstLine="0" w:firstLineChars="0"/>
              <w:jc w:val="center"/>
              <w:rPr>
                <w:rFonts w:cs="Times New Roman"/>
                <w:b/>
                <w:bCs/>
                <w:sz w:val="21"/>
                <w:szCs w:val="21"/>
              </w:rPr>
            </w:pPr>
            <w:r>
              <w:rPr>
                <w:rFonts w:hint="eastAsia" w:cs="Times New Roman"/>
                <w:b/>
                <w:bCs/>
                <w:sz w:val="21"/>
                <w:szCs w:val="21"/>
              </w:rPr>
              <w:t>区域</w:t>
            </w:r>
          </w:p>
        </w:tc>
        <w:tc>
          <w:tcPr>
            <w:tcW w:w="2409" w:type="dxa"/>
            <w:vMerge w:val="restart"/>
            <w:noWrap/>
            <w:vAlign w:val="center"/>
          </w:tcPr>
          <w:p w14:paraId="19304A11">
            <w:pPr>
              <w:spacing w:line="240" w:lineRule="auto"/>
              <w:ind w:firstLine="0" w:firstLineChars="0"/>
              <w:jc w:val="center"/>
              <w:rPr>
                <w:rFonts w:cs="Times New Roman"/>
                <w:b/>
                <w:bCs/>
                <w:sz w:val="21"/>
                <w:szCs w:val="21"/>
              </w:rPr>
            </w:pPr>
            <w:r>
              <w:rPr>
                <w:rFonts w:hint="eastAsia" w:cs="Times New Roman"/>
                <w:b/>
                <w:bCs/>
                <w:sz w:val="21"/>
                <w:szCs w:val="21"/>
              </w:rPr>
              <w:t>敏感目标名称</w:t>
            </w:r>
          </w:p>
        </w:tc>
        <w:tc>
          <w:tcPr>
            <w:tcW w:w="3391" w:type="dxa"/>
            <w:gridSpan w:val="2"/>
            <w:noWrap/>
            <w:vAlign w:val="center"/>
          </w:tcPr>
          <w:p w14:paraId="0C7897E2">
            <w:pPr>
              <w:spacing w:line="240" w:lineRule="auto"/>
              <w:ind w:firstLine="0" w:firstLineChars="0"/>
              <w:jc w:val="center"/>
              <w:rPr>
                <w:rFonts w:cs="Times New Roman"/>
                <w:b/>
                <w:bCs/>
                <w:sz w:val="21"/>
                <w:szCs w:val="21"/>
              </w:rPr>
            </w:pPr>
            <w:r>
              <w:rPr>
                <w:rFonts w:hint="eastAsia" w:cs="Times New Roman"/>
                <w:b/>
                <w:bCs/>
                <w:sz w:val="21"/>
                <w:szCs w:val="21"/>
              </w:rPr>
              <w:t>中心坐标经纬度</w:t>
            </w:r>
          </w:p>
        </w:tc>
        <w:tc>
          <w:tcPr>
            <w:tcW w:w="1080" w:type="dxa"/>
            <w:vMerge w:val="restart"/>
            <w:noWrap/>
            <w:vAlign w:val="center"/>
          </w:tcPr>
          <w:p w14:paraId="08F2A8BC">
            <w:pPr>
              <w:spacing w:line="240" w:lineRule="auto"/>
              <w:ind w:firstLine="0" w:firstLineChars="0"/>
              <w:jc w:val="center"/>
              <w:rPr>
                <w:rFonts w:cs="Times New Roman"/>
                <w:b/>
                <w:bCs/>
                <w:sz w:val="21"/>
                <w:szCs w:val="21"/>
              </w:rPr>
            </w:pPr>
            <w:r>
              <w:rPr>
                <w:rFonts w:hint="eastAsia" w:cs="Times New Roman"/>
                <w:b/>
                <w:bCs/>
                <w:sz w:val="21"/>
                <w:szCs w:val="21"/>
              </w:rPr>
              <w:t>保护对象</w:t>
            </w:r>
          </w:p>
        </w:tc>
        <w:tc>
          <w:tcPr>
            <w:tcW w:w="702" w:type="dxa"/>
            <w:vMerge w:val="restart"/>
            <w:vAlign w:val="center"/>
          </w:tcPr>
          <w:p w14:paraId="6D4F44F6">
            <w:pPr>
              <w:spacing w:line="240" w:lineRule="auto"/>
              <w:ind w:firstLine="0" w:firstLineChars="0"/>
              <w:jc w:val="center"/>
              <w:rPr>
                <w:rFonts w:cs="Times New Roman"/>
                <w:b/>
                <w:bCs/>
                <w:sz w:val="21"/>
                <w:szCs w:val="21"/>
              </w:rPr>
            </w:pPr>
            <w:r>
              <w:rPr>
                <w:rFonts w:hint="eastAsia" w:cs="Times New Roman"/>
                <w:b/>
                <w:bCs/>
                <w:sz w:val="21"/>
                <w:szCs w:val="21"/>
              </w:rPr>
              <w:t>相对度假区方位</w:t>
            </w:r>
          </w:p>
        </w:tc>
        <w:tc>
          <w:tcPr>
            <w:tcW w:w="720" w:type="dxa"/>
            <w:vMerge w:val="restart"/>
            <w:vAlign w:val="center"/>
          </w:tcPr>
          <w:p w14:paraId="0057CFCC">
            <w:pPr>
              <w:spacing w:line="240" w:lineRule="auto"/>
              <w:ind w:firstLine="0" w:firstLineChars="0"/>
              <w:jc w:val="center"/>
              <w:rPr>
                <w:rFonts w:cs="Times New Roman"/>
                <w:b/>
                <w:bCs/>
                <w:sz w:val="21"/>
                <w:szCs w:val="21"/>
              </w:rPr>
            </w:pPr>
            <w:r>
              <w:rPr>
                <w:rFonts w:hint="eastAsia" w:cs="Times New Roman"/>
                <w:b/>
                <w:bCs/>
                <w:sz w:val="21"/>
                <w:szCs w:val="21"/>
              </w:rPr>
              <w:t>相对规划边界距离（m）</w:t>
            </w:r>
          </w:p>
        </w:tc>
        <w:tc>
          <w:tcPr>
            <w:tcW w:w="1168" w:type="dxa"/>
            <w:vMerge w:val="restart"/>
            <w:vAlign w:val="center"/>
          </w:tcPr>
          <w:p w14:paraId="759380B8">
            <w:pPr>
              <w:spacing w:line="240" w:lineRule="auto"/>
              <w:ind w:firstLine="0" w:firstLineChars="0"/>
              <w:jc w:val="center"/>
              <w:rPr>
                <w:rFonts w:cs="Times New Roman"/>
                <w:b/>
                <w:bCs/>
                <w:sz w:val="21"/>
                <w:szCs w:val="21"/>
              </w:rPr>
            </w:pPr>
            <w:r>
              <w:rPr>
                <w:rFonts w:hint="eastAsia" w:cs="Times New Roman"/>
                <w:b/>
                <w:bCs/>
                <w:sz w:val="21"/>
                <w:szCs w:val="21"/>
              </w:rPr>
              <w:t>规模（人）</w:t>
            </w:r>
          </w:p>
        </w:tc>
      </w:tr>
      <w:tr w14:paraId="4EAA0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704" w:type="dxa"/>
            <w:vMerge w:val="continue"/>
            <w:vAlign w:val="center"/>
          </w:tcPr>
          <w:p w14:paraId="3636B0F2">
            <w:pPr>
              <w:spacing w:line="240" w:lineRule="auto"/>
              <w:ind w:firstLine="0" w:firstLineChars="0"/>
              <w:jc w:val="center"/>
              <w:rPr>
                <w:rFonts w:cs="Times New Roman"/>
                <w:sz w:val="21"/>
                <w:szCs w:val="21"/>
              </w:rPr>
            </w:pPr>
          </w:p>
        </w:tc>
        <w:tc>
          <w:tcPr>
            <w:tcW w:w="3686" w:type="dxa"/>
            <w:gridSpan w:val="3"/>
            <w:vMerge w:val="continue"/>
            <w:vAlign w:val="center"/>
          </w:tcPr>
          <w:p w14:paraId="5053FBF5">
            <w:pPr>
              <w:spacing w:line="240" w:lineRule="auto"/>
              <w:ind w:firstLine="0" w:firstLineChars="0"/>
              <w:jc w:val="center"/>
              <w:rPr>
                <w:rFonts w:cs="Times New Roman"/>
                <w:sz w:val="21"/>
                <w:szCs w:val="21"/>
              </w:rPr>
            </w:pPr>
          </w:p>
        </w:tc>
        <w:tc>
          <w:tcPr>
            <w:tcW w:w="2409" w:type="dxa"/>
            <w:vMerge w:val="continue"/>
            <w:vAlign w:val="center"/>
          </w:tcPr>
          <w:p w14:paraId="0BF3A223">
            <w:pPr>
              <w:spacing w:line="240" w:lineRule="auto"/>
              <w:ind w:firstLine="0" w:firstLineChars="0"/>
              <w:jc w:val="center"/>
              <w:rPr>
                <w:rFonts w:cs="Times New Roman"/>
                <w:sz w:val="21"/>
                <w:szCs w:val="21"/>
              </w:rPr>
            </w:pPr>
          </w:p>
        </w:tc>
        <w:tc>
          <w:tcPr>
            <w:tcW w:w="1701" w:type="dxa"/>
            <w:noWrap/>
            <w:vAlign w:val="center"/>
          </w:tcPr>
          <w:p w14:paraId="4D68F0AA">
            <w:pPr>
              <w:spacing w:line="240" w:lineRule="auto"/>
              <w:ind w:firstLine="0" w:firstLineChars="0"/>
              <w:jc w:val="center"/>
              <w:rPr>
                <w:rFonts w:cs="Times New Roman"/>
                <w:b/>
                <w:bCs/>
                <w:sz w:val="21"/>
                <w:szCs w:val="21"/>
              </w:rPr>
            </w:pPr>
            <w:r>
              <w:rPr>
                <w:rFonts w:hint="eastAsia" w:cs="Times New Roman"/>
                <w:b/>
                <w:bCs/>
                <w:sz w:val="21"/>
                <w:szCs w:val="21"/>
              </w:rPr>
              <w:t>经度</w:t>
            </w:r>
          </w:p>
        </w:tc>
        <w:tc>
          <w:tcPr>
            <w:tcW w:w="1690" w:type="dxa"/>
            <w:noWrap/>
            <w:vAlign w:val="center"/>
          </w:tcPr>
          <w:p w14:paraId="2377D4A1">
            <w:pPr>
              <w:spacing w:line="240" w:lineRule="auto"/>
              <w:ind w:firstLine="0" w:firstLineChars="0"/>
              <w:jc w:val="center"/>
              <w:rPr>
                <w:rFonts w:cs="Times New Roman"/>
                <w:b/>
                <w:bCs/>
                <w:sz w:val="21"/>
                <w:szCs w:val="21"/>
              </w:rPr>
            </w:pPr>
            <w:r>
              <w:rPr>
                <w:rFonts w:hint="eastAsia" w:cs="Times New Roman"/>
                <w:b/>
                <w:bCs/>
                <w:sz w:val="21"/>
                <w:szCs w:val="21"/>
              </w:rPr>
              <w:t>纬度</w:t>
            </w:r>
          </w:p>
        </w:tc>
        <w:tc>
          <w:tcPr>
            <w:tcW w:w="1080" w:type="dxa"/>
            <w:vMerge w:val="continue"/>
            <w:vAlign w:val="center"/>
          </w:tcPr>
          <w:p w14:paraId="17D5259C">
            <w:pPr>
              <w:spacing w:line="240" w:lineRule="auto"/>
              <w:ind w:firstLine="0" w:firstLineChars="0"/>
              <w:jc w:val="center"/>
              <w:rPr>
                <w:rFonts w:cs="Times New Roman"/>
                <w:sz w:val="21"/>
                <w:szCs w:val="21"/>
              </w:rPr>
            </w:pPr>
          </w:p>
        </w:tc>
        <w:tc>
          <w:tcPr>
            <w:tcW w:w="702" w:type="dxa"/>
            <w:vMerge w:val="continue"/>
            <w:vAlign w:val="center"/>
          </w:tcPr>
          <w:p w14:paraId="7459B4E7">
            <w:pPr>
              <w:spacing w:line="240" w:lineRule="auto"/>
              <w:ind w:firstLine="0" w:firstLineChars="0"/>
              <w:jc w:val="center"/>
              <w:rPr>
                <w:rFonts w:cs="Times New Roman"/>
                <w:sz w:val="21"/>
                <w:szCs w:val="21"/>
              </w:rPr>
            </w:pPr>
          </w:p>
        </w:tc>
        <w:tc>
          <w:tcPr>
            <w:tcW w:w="720" w:type="dxa"/>
            <w:vMerge w:val="continue"/>
            <w:vAlign w:val="center"/>
          </w:tcPr>
          <w:p w14:paraId="27A50D41">
            <w:pPr>
              <w:spacing w:line="240" w:lineRule="auto"/>
              <w:ind w:firstLine="0" w:firstLineChars="0"/>
              <w:jc w:val="center"/>
              <w:rPr>
                <w:rFonts w:cs="Times New Roman"/>
                <w:sz w:val="21"/>
                <w:szCs w:val="21"/>
              </w:rPr>
            </w:pPr>
          </w:p>
        </w:tc>
        <w:tc>
          <w:tcPr>
            <w:tcW w:w="1168" w:type="dxa"/>
            <w:vMerge w:val="continue"/>
            <w:vAlign w:val="center"/>
          </w:tcPr>
          <w:p w14:paraId="19980505">
            <w:pPr>
              <w:spacing w:line="240" w:lineRule="auto"/>
              <w:ind w:firstLine="0" w:firstLineChars="0"/>
              <w:jc w:val="center"/>
              <w:rPr>
                <w:rFonts w:cs="Times New Roman"/>
                <w:sz w:val="21"/>
                <w:szCs w:val="21"/>
              </w:rPr>
            </w:pPr>
          </w:p>
        </w:tc>
      </w:tr>
      <w:tr w14:paraId="13787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0D7F889">
            <w:pPr>
              <w:pStyle w:val="39"/>
              <w:numPr>
                <w:ilvl w:val="0"/>
                <w:numId w:val="7"/>
              </w:numPr>
              <w:spacing w:line="240" w:lineRule="auto"/>
              <w:ind w:firstLineChars="0"/>
              <w:jc w:val="center"/>
              <w:rPr>
                <w:rFonts w:cs="Times New Roman"/>
                <w:sz w:val="21"/>
                <w:szCs w:val="21"/>
              </w:rPr>
            </w:pPr>
          </w:p>
        </w:tc>
        <w:tc>
          <w:tcPr>
            <w:tcW w:w="992" w:type="dxa"/>
            <w:noWrap/>
            <w:vAlign w:val="center"/>
          </w:tcPr>
          <w:p w14:paraId="6C5FB12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E57967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DC77CA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50139F0">
            <w:pPr>
              <w:spacing w:line="240" w:lineRule="auto"/>
              <w:ind w:firstLine="0" w:firstLineChars="0"/>
              <w:jc w:val="center"/>
              <w:rPr>
                <w:rFonts w:cs="Times New Roman"/>
                <w:sz w:val="21"/>
                <w:szCs w:val="21"/>
              </w:rPr>
            </w:pPr>
            <w:r>
              <w:rPr>
                <w:rFonts w:hint="eastAsia" w:cs="Times New Roman"/>
                <w:sz w:val="21"/>
                <w:szCs w:val="21"/>
              </w:rPr>
              <w:t>东塔山</w:t>
            </w:r>
          </w:p>
        </w:tc>
        <w:tc>
          <w:tcPr>
            <w:tcW w:w="1701" w:type="dxa"/>
            <w:noWrap/>
            <w:vAlign w:val="center"/>
          </w:tcPr>
          <w:p w14:paraId="6E5BE4E8">
            <w:pPr>
              <w:spacing w:line="240" w:lineRule="auto"/>
              <w:ind w:firstLine="0" w:firstLineChars="0"/>
              <w:jc w:val="center"/>
              <w:rPr>
                <w:rFonts w:cs="Times New Roman"/>
                <w:sz w:val="21"/>
                <w:szCs w:val="21"/>
              </w:rPr>
            </w:pPr>
            <w:r>
              <w:rPr>
                <w:rFonts w:hint="eastAsia" w:cs="Times New Roman"/>
                <w:sz w:val="21"/>
                <w:szCs w:val="21"/>
              </w:rPr>
              <w:t>119.359216</w:t>
            </w:r>
          </w:p>
        </w:tc>
        <w:tc>
          <w:tcPr>
            <w:tcW w:w="1690" w:type="dxa"/>
            <w:noWrap/>
            <w:vAlign w:val="center"/>
          </w:tcPr>
          <w:p w14:paraId="79CE8C6E">
            <w:pPr>
              <w:spacing w:line="240" w:lineRule="auto"/>
              <w:ind w:firstLine="0" w:firstLineChars="0"/>
              <w:jc w:val="center"/>
              <w:rPr>
                <w:rFonts w:cs="Times New Roman"/>
                <w:sz w:val="21"/>
                <w:szCs w:val="21"/>
              </w:rPr>
            </w:pPr>
            <w:r>
              <w:rPr>
                <w:rFonts w:hint="eastAsia" w:cs="Times New Roman"/>
                <w:sz w:val="21"/>
                <w:szCs w:val="21"/>
              </w:rPr>
              <w:t>31.851676</w:t>
            </w:r>
          </w:p>
        </w:tc>
        <w:tc>
          <w:tcPr>
            <w:tcW w:w="1080" w:type="dxa"/>
            <w:noWrap/>
            <w:vAlign w:val="center"/>
          </w:tcPr>
          <w:p w14:paraId="07E4745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F052841">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restart"/>
            <w:noWrap/>
            <w:vAlign w:val="center"/>
          </w:tcPr>
          <w:p w14:paraId="1DA623D3">
            <w:pPr>
              <w:spacing w:line="240" w:lineRule="auto"/>
              <w:ind w:firstLine="0" w:firstLineChars="0"/>
              <w:jc w:val="center"/>
              <w:rPr>
                <w:rFonts w:cs="Times New Roman"/>
                <w:sz w:val="21"/>
                <w:szCs w:val="21"/>
              </w:rPr>
            </w:pPr>
            <w:r>
              <w:rPr>
                <w:rFonts w:hint="eastAsia" w:cs="Times New Roman"/>
                <w:sz w:val="21"/>
                <w:szCs w:val="21"/>
              </w:rPr>
              <w:t>区内</w:t>
            </w:r>
          </w:p>
        </w:tc>
        <w:tc>
          <w:tcPr>
            <w:tcW w:w="1168" w:type="dxa"/>
            <w:noWrap/>
            <w:vAlign w:val="center"/>
          </w:tcPr>
          <w:p w14:paraId="48921640">
            <w:pPr>
              <w:spacing w:line="240" w:lineRule="auto"/>
              <w:ind w:firstLine="0" w:firstLineChars="0"/>
              <w:jc w:val="center"/>
              <w:rPr>
                <w:rFonts w:cs="Times New Roman"/>
                <w:sz w:val="21"/>
                <w:szCs w:val="21"/>
              </w:rPr>
            </w:pPr>
            <w:r>
              <w:rPr>
                <w:rFonts w:hint="eastAsia" w:cs="Times New Roman"/>
                <w:sz w:val="21"/>
                <w:szCs w:val="21"/>
              </w:rPr>
              <w:t>约200</w:t>
            </w:r>
          </w:p>
        </w:tc>
      </w:tr>
      <w:tr w14:paraId="1B9C5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01434A5">
            <w:pPr>
              <w:pStyle w:val="39"/>
              <w:numPr>
                <w:ilvl w:val="0"/>
                <w:numId w:val="7"/>
              </w:numPr>
              <w:spacing w:line="240" w:lineRule="auto"/>
              <w:ind w:firstLineChars="0"/>
              <w:jc w:val="center"/>
              <w:rPr>
                <w:rFonts w:cs="Times New Roman"/>
                <w:sz w:val="21"/>
                <w:szCs w:val="21"/>
              </w:rPr>
            </w:pPr>
          </w:p>
        </w:tc>
        <w:tc>
          <w:tcPr>
            <w:tcW w:w="992" w:type="dxa"/>
            <w:noWrap/>
            <w:vAlign w:val="center"/>
          </w:tcPr>
          <w:p w14:paraId="5752789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BA93E0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AAE750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F45E2F9">
            <w:pPr>
              <w:spacing w:line="240" w:lineRule="auto"/>
              <w:ind w:firstLine="0" w:firstLineChars="0"/>
              <w:jc w:val="center"/>
              <w:rPr>
                <w:rFonts w:cs="Times New Roman"/>
                <w:sz w:val="21"/>
                <w:szCs w:val="21"/>
              </w:rPr>
            </w:pPr>
            <w:r>
              <w:rPr>
                <w:rFonts w:hint="eastAsia" w:cs="Times New Roman"/>
                <w:sz w:val="21"/>
                <w:szCs w:val="21"/>
              </w:rPr>
              <w:t>朝阳村</w:t>
            </w:r>
          </w:p>
        </w:tc>
        <w:tc>
          <w:tcPr>
            <w:tcW w:w="1701" w:type="dxa"/>
            <w:noWrap/>
            <w:vAlign w:val="center"/>
          </w:tcPr>
          <w:p w14:paraId="2065D5D3">
            <w:pPr>
              <w:spacing w:line="240" w:lineRule="auto"/>
              <w:ind w:firstLine="0" w:firstLineChars="0"/>
              <w:jc w:val="center"/>
              <w:rPr>
                <w:rFonts w:cs="Times New Roman"/>
                <w:sz w:val="21"/>
                <w:szCs w:val="21"/>
              </w:rPr>
            </w:pPr>
            <w:r>
              <w:rPr>
                <w:rFonts w:hint="eastAsia" w:cs="Times New Roman"/>
                <w:sz w:val="21"/>
                <w:szCs w:val="21"/>
              </w:rPr>
              <w:t>119.356294</w:t>
            </w:r>
          </w:p>
        </w:tc>
        <w:tc>
          <w:tcPr>
            <w:tcW w:w="1690" w:type="dxa"/>
            <w:noWrap/>
            <w:vAlign w:val="center"/>
          </w:tcPr>
          <w:p w14:paraId="52365B5B">
            <w:pPr>
              <w:spacing w:line="240" w:lineRule="auto"/>
              <w:ind w:firstLine="0" w:firstLineChars="0"/>
              <w:jc w:val="center"/>
              <w:rPr>
                <w:rFonts w:cs="Times New Roman"/>
                <w:sz w:val="21"/>
                <w:szCs w:val="21"/>
              </w:rPr>
            </w:pPr>
            <w:r>
              <w:rPr>
                <w:rFonts w:hint="eastAsia" w:cs="Times New Roman"/>
                <w:sz w:val="21"/>
                <w:szCs w:val="21"/>
              </w:rPr>
              <w:t>31.850401</w:t>
            </w:r>
          </w:p>
        </w:tc>
        <w:tc>
          <w:tcPr>
            <w:tcW w:w="1080" w:type="dxa"/>
            <w:noWrap/>
            <w:vAlign w:val="center"/>
          </w:tcPr>
          <w:p w14:paraId="66EF177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18C5384">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3DB0AEF">
            <w:pPr>
              <w:spacing w:line="240" w:lineRule="auto"/>
              <w:ind w:firstLine="0" w:firstLineChars="0"/>
              <w:jc w:val="center"/>
              <w:rPr>
                <w:rFonts w:cs="Times New Roman"/>
                <w:sz w:val="21"/>
                <w:szCs w:val="21"/>
              </w:rPr>
            </w:pPr>
          </w:p>
        </w:tc>
        <w:tc>
          <w:tcPr>
            <w:tcW w:w="1168" w:type="dxa"/>
            <w:noWrap/>
            <w:vAlign w:val="center"/>
          </w:tcPr>
          <w:p w14:paraId="734CBB1E">
            <w:pPr>
              <w:spacing w:line="240" w:lineRule="auto"/>
              <w:ind w:firstLine="0" w:firstLineChars="0"/>
              <w:jc w:val="center"/>
              <w:rPr>
                <w:rFonts w:cs="Times New Roman"/>
                <w:sz w:val="21"/>
                <w:szCs w:val="21"/>
              </w:rPr>
            </w:pPr>
            <w:r>
              <w:rPr>
                <w:rFonts w:hint="eastAsia" w:cs="Times New Roman"/>
                <w:sz w:val="21"/>
                <w:szCs w:val="21"/>
              </w:rPr>
              <w:t>约50</w:t>
            </w:r>
          </w:p>
        </w:tc>
      </w:tr>
      <w:tr w14:paraId="445FF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5029D54">
            <w:pPr>
              <w:pStyle w:val="39"/>
              <w:numPr>
                <w:ilvl w:val="0"/>
                <w:numId w:val="7"/>
              </w:numPr>
              <w:spacing w:line="240" w:lineRule="auto"/>
              <w:ind w:firstLineChars="0"/>
              <w:jc w:val="center"/>
              <w:rPr>
                <w:rFonts w:cs="Times New Roman"/>
                <w:sz w:val="21"/>
                <w:szCs w:val="21"/>
              </w:rPr>
            </w:pPr>
          </w:p>
        </w:tc>
        <w:tc>
          <w:tcPr>
            <w:tcW w:w="992" w:type="dxa"/>
            <w:noWrap/>
            <w:vAlign w:val="center"/>
          </w:tcPr>
          <w:p w14:paraId="5BD67DE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F327B4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503981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5BE7C78">
            <w:pPr>
              <w:spacing w:line="240" w:lineRule="auto"/>
              <w:ind w:firstLine="0" w:firstLineChars="0"/>
              <w:jc w:val="center"/>
              <w:rPr>
                <w:rFonts w:cs="Times New Roman"/>
                <w:sz w:val="21"/>
                <w:szCs w:val="21"/>
              </w:rPr>
            </w:pPr>
            <w:r>
              <w:rPr>
                <w:rFonts w:hint="eastAsia" w:cs="Times New Roman"/>
                <w:sz w:val="21"/>
                <w:szCs w:val="21"/>
              </w:rPr>
              <w:t>西塔山</w:t>
            </w:r>
          </w:p>
        </w:tc>
        <w:tc>
          <w:tcPr>
            <w:tcW w:w="1701" w:type="dxa"/>
            <w:noWrap/>
            <w:vAlign w:val="center"/>
          </w:tcPr>
          <w:p w14:paraId="732B09C6">
            <w:pPr>
              <w:spacing w:line="240" w:lineRule="auto"/>
              <w:ind w:firstLine="0" w:firstLineChars="0"/>
              <w:jc w:val="center"/>
              <w:rPr>
                <w:rFonts w:cs="Times New Roman"/>
                <w:sz w:val="21"/>
                <w:szCs w:val="21"/>
              </w:rPr>
            </w:pPr>
            <w:r>
              <w:rPr>
                <w:rFonts w:hint="eastAsia" w:cs="Times New Roman"/>
                <w:sz w:val="21"/>
                <w:szCs w:val="21"/>
              </w:rPr>
              <w:t>119.350668</w:t>
            </w:r>
          </w:p>
        </w:tc>
        <w:tc>
          <w:tcPr>
            <w:tcW w:w="1690" w:type="dxa"/>
            <w:noWrap/>
            <w:vAlign w:val="center"/>
          </w:tcPr>
          <w:p w14:paraId="2C7AABB9">
            <w:pPr>
              <w:spacing w:line="240" w:lineRule="auto"/>
              <w:ind w:firstLine="0" w:firstLineChars="0"/>
              <w:jc w:val="center"/>
              <w:rPr>
                <w:rFonts w:cs="Times New Roman"/>
                <w:sz w:val="21"/>
                <w:szCs w:val="21"/>
              </w:rPr>
            </w:pPr>
            <w:r>
              <w:rPr>
                <w:rFonts w:hint="eastAsia" w:cs="Times New Roman"/>
                <w:sz w:val="21"/>
                <w:szCs w:val="21"/>
              </w:rPr>
              <w:t>31.847979</w:t>
            </w:r>
          </w:p>
        </w:tc>
        <w:tc>
          <w:tcPr>
            <w:tcW w:w="1080" w:type="dxa"/>
            <w:noWrap/>
            <w:vAlign w:val="center"/>
          </w:tcPr>
          <w:p w14:paraId="5CEF81F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51CA333">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80E75A7">
            <w:pPr>
              <w:spacing w:line="240" w:lineRule="auto"/>
              <w:ind w:firstLine="0" w:firstLineChars="0"/>
              <w:jc w:val="center"/>
              <w:rPr>
                <w:rFonts w:cs="Times New Roman"/>
                <w:sz w:val="21"/>
                <w:szCs w:val="21"/>
              </w:rPr>
            </w:pPr>
          </w:p>
        </w:tc>
        <w:tc>
          <w:tcPr>
            <w:tcW w:w="1168" w:type="dxa"/>
            <w:noWrap/>
            <w:vAlign w:val="center"/>
          </w:tcPr>
          <w:p w14:paraId="5EDFEFDE">
            <w:pPr>
              <w:spacing w:line="240" w:lineRule="auto"/>
              <w:ind w:firstLine="0" w:firstLineChars="0"/>
              <w:jc w:val="center"/>
              <w:rPr>
                <w:rFonts w:cs="Times New Roman"/>
                <w:sz w:val="21"/>
                <w:szCs w:val="21"/>
              </w:rPr>
            </w:pPr>
            <w:r>
              <w:rPr>
                <w:rFonts w:hint="eastAsia" w:cs="Times New Roman"/>
                <w:sz w:val="21"/>
                <w:szCs w:val="21"/>
              </w:rPr>
              <w:t>约450</w:t>
            </w:r>
          </w:p>
        </w:tc>
      </w:tr>
      <w:tr w14:paraId="2906A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96E2602">
            <w:pPr>
              <w:pStyle w:val="39"/>
              <w:numPr>
                <w:ilvl w:val="0"/>
                <w:numId w:val="7"/>
              </w:numPr>
              <w:spacing w:line="240" w:lineRule="auto"/>
              <w:ind w:firstLineChars="0"/>
              <w:jc w:val="center"/>
              <w:rPr>
                <w:rFonts w:cs="Times New Roman"/>
                <w:sz w:val="21"/>
                <w:szCs w:val="21"/>
              </w:rPr>
            </w:pPr>
          </w:p>
        </w:tc>
        <w:tc>
          <w:tcPr>
            <w:tcW w:w="992" w:type="dxa"/>
            <w:noWrap/>
            <w:vAlign w:val="center"/>
          </w:tcPr>
          <w:p w14:paraId="780547F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D74A4D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B15912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943B57D">
            <w:pPr>
              <w:spacing w:line="240" w:lineRule="auto"/>
              <w:ind w:firstLine="0" w:firstLineChars="0"/>
              <w:jc w:val="center"/>
              <w:rPr>
                <w:rFonts w:cs="Times New Roman"/>
                <w:sz w:val="21"/>
                <w:szCs w:val="21"/>
              </w:rPr>
            </w:pPr>
            <w:r>
              <w:rPr>
                <w:rFonts w:hint="eastAsia" w:cs="Times New Roman"/>
                <w:sz w:val="21"/>
                <w:szCs w:val="21"/>
              </w:rPr>
              <w:t>东场村</w:t>
            </w:r>
          </w:p>
        </w:tc>
        <w:tc>
          <w:tcPr>
            <w:tcW w:w="1701" w:type="dxa"/>
            <w:noWrap/>
            <w:vAlign w:val="center"/>
          </w:tcPr>
          <w:p w14:paraId="71CB9B9E">
            <w:pPr>
              <w:spacing w:line="240" w:lineRule="auto"/>
              <w:ind w:firstLine="0" w:firstLineChars="0"/>
              <w:jc w:val="center"/>
              <w:rPr>
                <w:rFonts w:cs="Times New Roman"/>
                <w:sz w:val="21"/>
                <w:szCs w:val="21"/>
              </w:rPr>
            </w:pPr>
            <w:r>
              <w:rPr>
                <w:rFonts w:hint="eastAsia" w:cs="Times New Roman"/>
                <w:sz w:val="21"/>
                <w:szCs w:val="21"/>
              </w:rPr>
              <w:t>119.353065</w:t>
            </w:r>
          </w:p>
        </w:tc>
        <w:tc>
          <w:tcPr>
            <w:tcW w:w="1690" w:type="dxa"/>
            <w:noWrap/>
            <w:vAlign w:val="center"/>
          </w:tcPr>
          <w:p w14:paraId="4DD63637">
            <w:pPr>
              <w:spacing w:line="240" w:lineRule="auto"/>
              <w:ind w:firstLine="0" w:firstLineChars="0"/>
              <w:jc w:val="center"/>
              <w:rPr>
                <w:rFonts w:cs="Times New Roman"/>
                <w:sz w:val="21"/>
                <w:szCs w:val="21"/>
              </w:rPr>
            </w:pPr>
            <w:r>
              <w:rPr>
                <w:rFonts w:hint="eastAsia" w:cs="Times New Roman"/>
                <w:sz w:val="21"/>
                <w:szCs w:val="21"/>
              </w:rPr>
              <w:t>31.847533</w:t>
            </w:r>
          </w:p>
        </w:tc>
        <w:tc>
          <w:tcPr>
            <w:tcW w:w="1080" w:type="dxa"/>
            <w:noWrap/>
            <w:vAlign w:val="center"/>
          </w:tcPr>
          <w:p w14:paraId="7CA34D4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5D703B8">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FDAA1FF">
            <w:pPr>
              <w:spacing w:line="240" w:lineRule="auto"/>
              <w:ind w:firstLine="0" w:firstLineChars="0"/>
              <w:jc w:val="center"/>
              <w:rPr>
                <w:rFonts w:cs="Times New Roman"/>
                <w:sz w:val="21"/>
                <w:szCs w:val="21"/>
              </w:rPr>
            </w:pPr>
          </w:p>
        </w:tc>
        <w:tc>
          <w:tcPr>
            <w:tcW w:w="1168" w:type="dxa"/>
            <w:noWrap/>
            <w:vAlign w:val="center"/>
          </w:tcPr>
          <w:p w14:paraId="0D474191">
            <w:pPr>
              <w:spacing w:line="240" w:lineRule="auto"/>
              <w:ind w:firstLine="0" w:firstLineChars="0"/>
              <w:jc w:val="center"/>
              <w:rPr>
                <w:rFonts w:cs="Times New Roman"/>
                <w:sz w:val="21"/>
                <w:szCs w:val="21"/>
              </w:rPr>
            </w:pPr>
            <w:r>
              <w:rPr>
                <w:rFonts w:hint="eastAsia" w:cs="Times New Roman"/>
                <w:sz w:val="21"/>
                <w:szCs w:val="21"/>
              </w:rPr>
              <w:t>约60</w:t>
            </w:r>
          </w:p>
        </w:tc>
      </w:tr>
      <w:tr w14:paraId="4AE76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9BBC3D6">
            <w:pPr>
              <w:pStyle w:val="39"/>
              <w:numPr>
                <w:ilvl w:val="0"/>
                <w:numId w:val="7"/>
              </w:numPr>
              <w:spacing w:line="240" w:lineRule="auto"/>
              <w:ind w:firstLineChars="0"/>
              <w:jc w:val="center"/>
              <w:rPr>
                <w:rFonts w:cs="Times New Roman"/>
                <w:sz w:val="21"/>
                <w:szCs w:val="21"/>
              </w:rPr>
            </w:pPr>
          </w:p>
        </w:tc>
        <w:tc>
          <w:tcPr>
            <w:tcW w:w="992" w:type="dxa"/>
            <w:noWrap/>
            <w:vAlign w:val="center"/>
          </w:tcPr>
          <w:p w14:paraId="73A4428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4CFE6E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064AF3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F730553">
            <w:pPr>
              <w:spacing w:line="240" w:lineRule="auto"/>
              <w:ind w:firstLine="0" w:firstLineChars="0"/>
              <w:jc w:val="center"/>
              <w:rPr>
                <w:rFonts w:cs="Times New Roman"/>
                <w:sz w:val="21"/>
                <w:szCs w:val="21"/>
              </w:rPr>
            </w:pPr>
            <w:r>
              <w:rPr>
                <w:rFonts w:hint="eastAsia" w:cs="Times New Roman"/>
                <w:sz w:val="21"/>
                <w:szCs w:val="21"/>
              </w:rPr>
              <w:t>油榨头</w:t>
            </w:r>
          </w:p>
        </w:tc>
        <w:tc>
          <w:tcPr>
            <w:tcW w:w="1701" w:type="dxa"/>
            <w:noWrap/>
            <w:vAlign w:val="center"/>
          </w:tcPr>
          <w:p w14:paraId="2BDEE25F">
            <w:pPr>
              <w:spacing w:line="240" w:lineRule="auto"/>
              <w:ind w:firstLine="0" w:firstLineChars="0"/>
              <w:jc w:val="center"/>
              <w:rPr>
                <w:rFonts w:cs="Times New Roman"/>
                <w:sz w:val="21"/>
                <w:szCs w:val="21"/>
              </w:rPr>
            </w:pPr>
            <w:r>
              <w:rPr>
                <w:rFonts w:hint="eastAsia" w:cs="Times New Roman"/>
                <w:sz w:val="21"/>
                <w:szCs w:val="21"/>
              </w:rPr>
              <w:t>119.367306</w:t>
            </w:r>
          </w:p>
        </w:tc>
        <w:tc>
          <w:tcPr>
            <w:tcW w:w="1690" w:type="dxa"/>
            <w:noWrap/>
            <w:vAlign w:val="center"/>
          </w:tcPr>
          <w:p w14:paraId="4AAB2A19">
            <w:pPr>
              <w:spacing w:line="240" w:lineRule="auto"/>
              <w:ind w:firstLine="0" w:firstLineChars="0"/>
              <w:jc w:val="center"/>
              <w:rPr>
                <w:rFonts w:cs="Times New Roman"/>
                <w:sz w:val="21"/>
                <w:szCs w:val="21"/>
              </w:rPr>
            </w:pPr>
            <w:r>
              <w:rPr>
                <w:rFonts w:hint="eastAsia" w:cs="Times New Roman"/>
                <w:sz w:val="21"/>
                <w:szCs w:val="21"/>
              </w:rPr>
              <w:t>31.842645</w:t>
            </w:r>
          </w:p>
        </w:tc>
        <w:tc>
          <w:tcPr>
            <w:tcW w:w="1080" w:type="dxa"/>
            <w:noWrap/>
            <w:vAlign w:val="center"/>
          </w:tcPr>
          <w:p w14:paraId="15B5860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4274847">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DB30AE5">
            <w:pPr>
              <w:spacing w:line="240" w:lineRule="auto"/>
              <w:ind w:firstLine="0" w:firstLineChars="0"/>
              <w:jc w:val="center"/>
              <w:rPr>
                <w:rFonts w:cs="Times New Roman"/>
                <w:sz w:val="21"/>
                <w:szCs w:val="21"/>
              </w:rPr>
            </w:pPr>
          </w:p>
        </w:tc>
        <w:tc>
          <w:tcPr>
            <w:tcW w:w="1168" w:type="dxa"/>
            <w:noWrap/>
            <w:vAlign w:val="center"/>
          </w:tcPr>
          <w:p w14:paraId="049BAFA8">
            <w:pPr>
              <w:spacing w:line="240" w:lineRule="auto"/>
              <w:ind w:firstLine="0" w:firstLineChars="0"/>
              <w:jc w:val="center"/>
              <w:rPr>
                <w:rFonts w:cs="Times New Roman"/>
                <w:sz w:val="21"/>
                <w:szCs w:val="21"/>
              </w:rPr>
            </w:pPr>
            <w:r>
              <w:rPr>
                <w:rFonts w:hint="eastAsia" w:cs="Times New Roman"/>
                <w:sz w:val="21"/>
                <w:szCs w:val="21"/>
              </w:rPr>
              <w:t>约300</w:t>
            </w:r>
          </w:p>
        </w:tc>
      </w:tr>
      <w:tr w14:paraId="3CBDF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981E23A">
            <w:pPr>
              <w:pStyle w:val="39"/>
              <w:numPr>
                <w:ilvl w:val="0"/>
                <w:numId w:val="7"/>
              </w:numPr>
              <w:spacing w:line="240" w:lineRule="auto"/>
              <w:ind w:firstLineChars="0"/>
              <w:jc w:val="center"/>
              <w:rPr>
                <w:rFonts w:cs="Times New Roman"/>
                <w:sz w:val="21"/>
                <w:szCs w:val="21"/>
              </w:rPr>
            </w:pPr>
          </w:p>
        </w:tc>
        <w:tc>
          <w:tcPr>
            <w:tcW w:w="992" w:type="dxa"/>
            <w:noWrap/>
            <w:vAlign w:val="center"/>
          </w:tcPr>
          <w:p w14:paraId="7EFDEE8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7D04B8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C5DE4A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3D49F2F">
            <w:pPr>
              <w:spacing w:line="240" w:lineRule="auto"/>
              <w:ind w:firstLine="0" w:firstLineChars="0"/>
              <w:jc w:val="center"/>
              <w:rPr>
                <w:rFonts w:cs="Times New Roman"/>
                <w:sz w:val="21"/>
                <w:szCs w:val="21"/>
              </w:rPr>
            </w:pPr>
            <w:r>
              <w:rPr>
                <w:rFonts w:hint="eastAsia" w:cs="Times New Roman"/>
                <w:sz w:val="21"/>
                <w:szCs w:val="21"/>
              </w:rPr>
              <w:t>周达村</w:t>
            </w:r>
          </w:p>
        </w:tc>
        <w:tc>
          <w:tcPr>
            <w:tcW w:w="1701" w:type="dxa"/>
            <w:noWrap/>
            <w:vAlign w:val="center"/>
          </w:tcPr>
          <w:p w14:paraId="36B65C3A">
            <w:pPr>
              <w:spacing w:line="240" w:lineRule="auto"/>
              <w:ind w:firstLine="0" w:firstLineChars="0"/>
              <w:jc w:val="center"/>
              <w:rPr>
                <w:rFonts w:cs="Times New Roman"/>
                <w:sz w:val="21"/>
                <w:szCs w:val="21"/>
              </w:rPr>
            </w:pPr>
            <w:r>
              <w:rPr>
                <w:rFonts w:hint="eastAsia" w:cs="Times New Roman"/>
                <w:sz w:val="21"/>
                <w:szCs w:val="21"/>
              </w:rPr>
              <w:t>119.365884</w:t>
            </w:r>
          </w:p>
        </w:tc>
        <w:tc>
          <w:tcPr>
            <w:tcW w:w="1690" w:type="dxa"/>
            <w:noWrap/>
            <w:vAlign w:val="center"/>
          </w:tcPr>
          <w:p w14:paraId="783D1646">
            <w:pPr>
              <w:spacing w:line="240" w:lineRule="auto"/>
              <w:ind w:firstLine="0" w:firstLineChars="0"/>
              <w:jc w:val="center"/>
              <w:rPr>
                <w:rFonts w:cs="Times New Roman"/>
                <w:sz w:val="21"/>
                <w:szCs w:val="21"/>
              </w:rPr>
            </w:pPr>
            <w:r>
              <w:rPr>
                <w:rFonts w:hint="eastAsia" w:cs="Times New Roman"/>
                <w:sz w:val="21"/>
                <w:szCs w:val="21"/>
              </w:rPr>
              <w:t>31.838227</w:t>
            </w:r>
          </w:p>
        </w:tc>
        <w:tc>
          <w:tcPr>
            <w:tcW w:w="1080" w:type="dxa"/>
            <w:noWrap/>
            <w:vAlign w:val="center"/>
          </w:tcPr>
          <w:p w14:paraId="1319729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27E1D56">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146E942">
            <w:pPr>
              <w:spacing w:line="240" w:lineRule="auto"/>
              <w:ind w:firstLine="0" w:firstLineChars="0"/>
              <w:jc w:val="center"/>
              <w:rPr>
                <w:rFonts w:cs="Times New Roman"/>
                <w:sz w:val="21"/>
                <w:szCs w:val="21"/>
              </w:rPr>
            </w:pPr>
          </w:p>
        </w:tc>
        <w:tc>
          <w:tcPr>
            <w:tcW w:w="1168" w:type="dxa"/>
            <w:noWrap/>
            <w:vAlign w:val="center"/>
          </w:tcPr>
          <w:p w14:paraId="23FB6182">
            <w:pPr>
              <w:spacing w:line="240" w:lineRule="auto"/>
              <w:ind w:firstLine="0" w:firstLineChars="0"/>
              <w:jc w:val="center"/>
              <w:rPr>
                <w:rFonts w:cs="Times New Roman"/>
                <w:sz w:val="21"/>
                <w:szCs w:val="21"/>
              </w:rPr>
            </w:pPr>
            <w:r>
              <w:rPr>
                <w:rFonts w:hint="eastAsia" w:cs="Times New Roman"/>
                <w:sz w:val="21"/>
                <w:szCs w:val="21"/>
              </w:rPr>
              <w:t>约250</w:t>
            </w:r>
          </w:p>
        </w:tc>
      </w:tr>
      <w:tr w14:paraId="14492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107746E">
            <w:pPr>
              <w:pStyle w:val="39"/>
              <w:numPr>
                <w:ilvl w:val="0"/>
                <w:numId w:val="7"/>
              </w:numPr>
              <w:spacing w:line="240" w:lineRule="auto"/>
              <w:ind w:firstLineChars="0"/>
              <w:jc w:val="center"/>
              <w:rPr>
                <w:rFonts w:cs="Times New Roman"/>
                <w:sz w:val="21"/>
                <w:szCs w:val="21"/>
              </w:rPr>
            </w:pPr>
          </w:p>
        </w:tc>
        <w:tc>
          <w:tcPr>
            <w:tcW w:w="992" w:type="dxa"/>
            <w:noWrap/>
            <w:vAlign w:val="center"/>
          </w:tcPr>
          <w:p w14:paraId="6B4A01B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789144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DAC4266">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28B4C52">
            <w:pPr>
              <w:spacing w:line="240" w:lineRule="auto"/>
              <w:ind w:firstLine="0" w:firstLineChars="0"/>
              <w:jc w:val="center"/>
              <w:rPr>
                <w:rFonts w:cs="Times New Roman"/>
                <w:sz w:val="21"/>
                <w:szCs w:val="21"/>
              </w:rPr>
            </w:pPr>
            <w:r>
              <w:rPr>
                <w:rFonts w:hint="eastAsia" w:cs="Times New Roman"/>
                <w:sz w:val="21"/>
                <w:szCs w:val="21"/>
              </w:rPr>
              <w:t>任家棚</w:t>
            </w:r>
          </w:p>
        </w:tc>
        <w:tc>
          <w:tcPr>
            <w:tcW w:w="1701" w:type="dxa"/>
            <w:noWrap/>
            <w:vAlign w:val="center"/>
          </w:tcPr>
          <w:p w14:paraId="4A5AB786">
            <w:pPr>
              <w:spacing w:line="240" w:lineRule="auto"/>
              <w:ind w:firstLine="0" w:firstLineChars="0"/>
              <w:jc w:val="center"/>
              <w:rPr>
                <w:rFonts w:cs="Times New Roman"/>
                <w:sz w:val="21"/>
                <w:szCs w:val="21"/>
              </w:rPr>
            </w:pPr>
            <w:r>
              <w:rPr>
                <w:rFonts w:hint="eastAsia" w:cs="Times New Roman"/>
                <w:sz w:val="21"/>
                <w:szCs w:val="21"/>
              </w:rPr>
              <w:t>119.360538</w:t>
            </w:r>
          </w:p>
        </w:tc>
        <w:tc>
          <w:tcPr>
            <w:tcW w:w="1690" w:type="dxa"/>
            <w:noWrap/>
            <w:vAlign w:val="center"/>
          </w:tcPr>
          <w:p w14:paraId="5ADC6F86">
            <w:pPr>
              <w:spacing w:line="240" w:lineRule="auto"/>
              <w:ind w:firstLine="0" w:firstLineChars="0"/>
              <w:jc w:val="center"/>
              <w:rPr>
                <w:rFonts w:cs="Times New Roman"/>
                <w:sz w:val="21"/>
                <w:szCs w:val="21"/>
              </w:rPr>
            </w:pPr>
            <w:r>
              <w:rPr>
                <w:rFonts w:hint="eastAsia" w:cs="Times New Roman"/>
                <w:sz w:val="21"/>
                <w:szCs w:val="21"/>
              </w:rPr>
              <w:t>31.839052</w:t>
            </w:r>
          </w:p>
        </w:tc>
        <w:tc>
          <w:tcPr>
            <w:tcW w:w="1080" w:type="dxa"/>
            <w:noWrap/>
            <w:vAlign w:val="center"/>
          </w:tcPr>
          <w:p w14:paraId="4015564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A42A815">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F9A0FD7">
            <w:pPr>
              <w:spacing w:line="240" w:lineRule="auto"/>
              <w:ind w:firstLine="0" w:firstLineChars="0"/>
              <w:jc w:val="center"/>
              <w:rPr>
                <w:rFonts w:cs="Times New Roman"/>
                <w:sz w:val="21"/>
                <w:szCs w:val="21"/>
              </w:rPr>
            </w:pPr>
          </w:p>
        </w:tc>
        <w:tc>
          <w:tcPr>
            <w:tcW w:w="1168" w:type="dxa"/>
            <w:noWrap/>
            <w:vAlign w:val="center"/>
          </w:tcPr>
          <w:p w14:paraId="5DD7904F">
            <w:pPr>
              <w:spacing w:line="240" w:lineRule="auto"/>
              <w:ind w:firstLine="0" w:firstLineChars="0"/>
              <w:jc w:val="center"/>
              <w:rPr>
                <w:rFonts w:cs="Times New Roman"/>
                <w:sz w:val="21"/>
                <w:szCs w:val="21"/>
              </w:rPr>
            </w:pPr>
            <w:r>
              <w:rPr>
                <w:rFonts w:hint="eastAsia" w:cs="Times New Roman"/>
                <w:sz w:val="21"/>
                <w:szCs w:val="21"/>
              </w:rPr>
              <w:t>约50</w:t>
            </w:r>
          </w:p>
        </w:tc>
      </w:tr>
      <w:tr w14:paraId="15DDC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C0A49B3">
            <w:pPr>
              <w:pStyle w:val="39"/>
              <w:numPr>
                <w:ilvl w:val="0"/>
                <w:numId w:val="7"/>
              </w:numPr>
              <w:spacing w:line="240" w:lineRule="auto"/>
              <w:ind w:firstLineChars="0"/>
              <w:jc w:val="center"/>
              <w:rPr>
                <w:rFonts w:cs="Times New Roman"/>
                <w:sz w:val="21"/>
                <w:szCs w:val="21"/>
              </w:rPr>
            </w:pPr>
          </w:p>
        </w:tc>
        <w:tc>
          <w:tcPr>
            <w:tcW w:w="992" w:type="dxa"/>
            <w:noWrap/>
            <w:vAlign w:val="center"/>
          </w:tcPr>
          <w:p w14:paraId="47F7A47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313AD9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F3E26A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97AFF43">
            <w:pPr>
              <w:spacing w:line="240" w:lineRule="auto"/>
              <w:ind w:firstLine="0" w:firstLineChars="0"/>
              <w:jc w:val="center"/>
              <w:rPr>
                <w:rFonts w:cs="Times New Roman"/>
                <w:sz w:val="21"/>
                <w:szCs w:val="21"/>
              </w:rPr>
            </w:pPr>
            <w:r>
              <w:rPr>
                <w:rFonts w:hint="eastAsia" w:cs="Times New Roman"/>
                <w:sz w:val="21"/>
                <w:szCs w:val="21"/>
              </w:rPr>
              <w:t>青龙梗</w:t>
            </w:r>
          </w:p>
        </w:tc>
        <w:tc>
          <w:tcPr>
            <w:tcW w:w="1701" w:type="dxa"/>
            <w:noWrap/>
            <w:vAlign w:val="center"/>
          </w:tcPr>
          <w:p w14:paraId="435C086B">
            <w:pPr>
              <w:spacing w:line="240" w:lineRule="auto"/>
              <w:ind w:firstLine="0" w:firstLineChars="0"/>
              <w:jc w:val="center"/>
              <w:rPr>
                <w:rFonts w:cs="Times New Roman"/>
                <w:sz w:val="21"/>
                <w:szCs w:val="21"/>
              </w:rPr>
            </w:pPr>
            <w:r>
              <w:rPr>
                <w:rFonts w:hint="eastAsia" w:cs="Times New Roman"/>
                <w:sz w:val="21"/>
                <w:szCs w:val="21"/>
              </w:rPr>
              <w:t>119.355898</w:t>
            </w:r>
          </w:p>
        </w:tc>
        <w:tc>
          <w:tcPr>
            <w:tcW w:w="1690" w:type="dxa"/>
            <w:noWrap/>
            <w:vAlign w:val="center"/>
          </w:tcPr>
          <w:p w14:paraId="4ADA92F4">
            <w:pPr>
              <w:spacing w:line="240" w:lineRule="auto"/>
              <w:ind w:firstLine="0" w:firstLineChars="0"/>
              <w:jc w:val="center"/>
              <w:rPr>
                <w:rFonts w:cs="Times New Roman"/>
                <w:sz w:val="21"/>
                <w:szCs w:val="21"/>
              </w:rPr>
            </w:pPr>
            <w:r>
              <w:rPr>
                <w:rFonts w:hint="eastAsia" w:cs="Times New Roman"/>
                <w:sz w:val="21"/>
                <w:szCs w:val="21"/>
              </w:rPr>
              <w:t>31.838501</w:t>
            </w:r>
          </w:p>
        </w:tc>
        <w:tc>
          <w:tcPr>
            <w:tcW w:w="1080" w:type="dxa"/>
            <w:noWrap/>
            <w:vAlign w:val="center"/>
          </w:tcPr>
          <w:p w14:paraId="13460C1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E9DCD1A">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A2EB655">
            <w:pPr>
              <w:spacing w:line="240" w:lineRule="auto"/>
              <w:ind w:firstLine="0" w:firstLineChars="0"/>
              <w:jc w:val="center"/>
              <w:rPr>
                <w:rFonts w:cs="Times New Roman"/>
                <w:sz w:val="21"/>
                <w:szCs w:val="21"/>
              </w:rPr>
            </w:pPr>
          </w:p>
        </w:tc>
        <w:tc>
          <w:tcPr>
            <w:tcW w:w="1168" w:type="dxa"/>
            <w:noWrap/>
            <w:vAlign w:val="center"/>
          </w:tcPr>
          <w:p w14:paraId="282DA160">
            <w:pPr>
              <w:spacing w:line="240" w:lineRule="auto"/>
              <w:ind w:firstLine="0" w:firstLineChars="0"/>
              <w:jc w:val="center"/>
              <w:rPr>
                <w:rFonts w:cs="Times New Roman"/>
                <w:sz w:val="21"/>
                <w:szCs w:val="21"/>
              </w:rPr>
            </w:pPr>
            <w:r>
              <w:rPr>
                <w:rFonts w:hint="eastAsia" w:cs="Times New Roman"/>
                <w:sz w:val="21"/>
                <w:szCs w:val="21"/>
              </w:rPr>
              <w:t>约90</w:t>
            </w:r>
          </w:p>
        </w:tc>
      </w:tr>
      <w:tr w14:paraId="15F9D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C48E3E9">
            <w:pPr>
              <w:pStyle w:val="39"/>
              <w:numPr>
                <w:ilvl w:val="0"/>
                <w:numId w:val="7"/>
              </w:numPr>
              <w:spacing w:line="240" w:lineRule="auto"/>
              <w:ind w:firstLineChars="0"/>
              <w:jc w:val="center"/>
              <w:rPr>
                <w:rFonts w:cs="Times New Roman"/>
                <w:sz w:val="21"/>
                <w:szCs w:val="21"/>
              </w:rPr>
            </w:pPr>
          </w:p>
        </w:tc>
        <w:tc>
          <w:tcPr>
            <w:tcW w:w="992" w:type="dxa"/>
            <w:noWrap/>
            <w:vAlign w:val="center"/>
          </w:tcPr>
          <w:p w14:paraId="2A08E91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5F35DD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0D8322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0C55D6C">
            <w:pPr>
              <w:spacing w:line="240" w:lineRule="auto"/>
              <w:ind w:firstLine="0" w:firstLineChars="0"/>
              <w:jc w:val="center"/>
              <w:rPr>
                <w:rFonts w:cs="Times New Roman"/>
                <w:sz w:val="21"/>
                <w:szCs w:val="21"/>
              </w:rPr>
            </w:pPr>
            <w:r>
              <w:rPr>
                <w:rFonts w:hint="eastAsia" w:cs="Times New Roman"/>
                <w:sz w:val="21"/>
                <w:szCs w:val="21"/>
              </w:rPr>
              <w:t>巨塘</w:t>
            </w:r>
          </w:p>
        </w:tc>
        <w:tc>
          <w:tcPr>
            <w:tcW w:w="1701" w:type="dxa"/>
            <w:noWrap/>
            <w:vAlign w:val="center"/>
          </w:tcPr>
          <w:p w14:paraId="25BC2256">
            <w:pPr>
              <w:spacing w:line="240" w:lineRule="auto"/>
              <w:ind w:firstLine="0" w:firstLineChars="0"/>
              <w:jc w:val="center"/>
              <w:rPr>
                <w:rFonts w:cs="Times New Roman"/>
                <w:sz w:val="21"/>
                <w:szCs w:val="21"/>
              </w:rPr>
            </w:pPr>
            <w:r>
              <w:rPr>
                <w:rFonts w:hint="eastAsia" w:cs="Times New Roman"/>
                <w:sz w:val="21"/>
                <w:szCs w:val="21"/>
              </w:rPr>
              <w:t>119.348873</w:t>
            </w:r>
          </w:p>
        </w:tc>
        <w:tc>
          <w:tcPr>
            <w:tcW w:w="1690" w:type="dxa"/>
            <w:noWrap/>
            <w:vAlign w:val="center"/>
          </w:tcPr>
          <w:p w14:paraId="6B995B30">
            <w:pPr>
              <w:spacing w:line="240" w:lineRule="auto"/>
              <w:ind w:firstLine="0" w:firstLineChars="0"/>
              <w:jc w:val="center"/>
              <w:rPr>
                <w:rFonts w:cs="Times New Roman"/>
                <w:sz w:val="21"/>
                <w:szCs w:val="21"/>
              </w:rPr>
            </w:pPr>
            <w:r>
              <w:rPr>
                <w:rFonts w:hint="eastAsia" w:cs="Times New Roman"/>
                <w:sz w:val="21"/>
                <w:szCs w:val="21"/>
              </w:rPr>
              <w:t>31.839733</w:t>
            </w:r>
          </w:p>
        </w:tc>
        <w:tc>
          <w:tcPr>
            <w:tcW w:w="1080" w:type="dxa"/>
            <w:noWrap/>
            <w:vAlign w:val="center"/>
          </w:tcPr>
          <w:p w14:paraId="4D0A593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A95B984">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6FD11F8">
            <w:pPr>
              <w:spacing w:line="240" w:lineRule="auto"/>
              <w:ind w:firstLine="0" w:firstLineChars="0"/>
              <w:jc w:val="center"/>
              <w:rPr>
                <w:rFonts w:cs="Times New Roman"/>
                <w:sz w:val="21"/>
                <w:szCs w:val="21"/>
              </w:rPr>
            </w:pPr>
          </w:p>
        </w:tc>
        <w:tc>
          <w:tcPr>
            <w:tcW w:w="1168" w:type="dxa"/>
            <w:noWrap/>
            <w:vAlign w:val="center"/>
          </w:tcPr>
          <w:p w14:paraId="7B7F7918">
            <w:pPr>
              <w:spacing w:line="240" w:lineRule="auto"/>
              <w:ind w:firstLine="0" w:firstLineChars="0"/>
              <w:jc w:val="center"/>
              <w:rPr>
                <w:rFonts w:cs="Times New Roman"/>
                <w:sz w:val="21"/>
                <w:szCs w:val="21"/>
              </w:rPr>
            </w:pPr>
            <w:r>
              <w:rPr>
                <w:rFonts w:hint="eastAsia" w:cs="Times New Roman"/>
                <w:sz w:val="21"/>
                <w:szCs w:val="21"/>
              </w:rPr>
              <w:t>约180</w:t>
            </w:r>
          </w:p>
        </w:tc>
      </w:tr>
      <w:tr w14:paraId="0A5F7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C1FA2F9">
            <w:pPr>
              <w:pStyle w:val="39"/>
              <w:numPr>
                <w:ilvl w:val="0"/>
                <w:numId w:val="7"/>
              </w:numPr>
              <w:spacing w:line="240" w:lineRule="auto"/>
              <w:ind w:firstLineChars="0"/>
              <w:jc w:val="center"/>
              <w:rPr>
                <w:rFonts w:cs="Times New Roman"/>
                <w:sz w:val="21"/>
                <w:szCs w:val="21"/>
              </w:rPr>
            </w:pPr>
          </w:p>
        </w:tc>
        <w:tc>
          <w:tcPr>
            <w:tcW w:w="992" w:type="dxa"/>
            <w:noWrap/>
            <w:vAlign w:val="center"/>
          </w:tcPr>
          <w:p w14:paraId="432E285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B6F536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6D496D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AFF5D12">
            <w:pPr>
              <w:spacing w:line="240" w:lineRule="auto"/>
              <w:ind w:firstLine="0" w:firstLineChars="0"/>
              <w:jc w:val="center"/>
              <w:rPr>
                <w:rFonts w:cs="Times New Roman"/>
                <w:sz w:val="21"/>
                <w:szCs w:val="21"/>
              </w:rPr>
            </w:pPr>
            <w:r>
              <w:rPr>
                <w:rFonts w:hint="eastAsia" w:cs="Times New Roman"/>
                <w:sz w:val="21"/>
                <w:szCs w:val="21"/>
              </w:rPr>
              <w:t>石门塘</w:t>
            </w:r>
          </w:p>
        </w:tc>
        <w:tc>
          <w:tcPr>
            <w:tcW w:w="1701" w:type="dxa"/>
            <w:noWrap/>
            <w:vAlign w:val="center"/>
          </w:tcPr>
          <w:p w14:paraId="17B96DE6">
            <w:pPr>
              <w:spacing w:line="240" w:lineRule="auto"/>
              <w:ind w:firstLine="0" w:firstLineChars="0"/>
              <w:jc w:val="center"/>
              <w:rPr>
                <w:rFonts w:cs="Times New Roman"/>
                <w:sz w:val="21"/>
                <w:szCs w:val="21"/>
              </w:rPr>
            </w:pPr>
            <w:r>
              <w:rPr>
                <w:rFonts w:hint="eastAsia" w:cs="Times New Roman"/>
                <w:sz w:val="21"/>
                <w:szCs w:val="21"/>
              </w:rPr>
              <w:t>119.343916</w:t>
            </w:r>
          </w:p>
        </w:tc>
        <w:tc>
          <w:tcPr>
            <w:tcW w:w="1690" w:type="dxa"/>
            <w:noWrap/>
            <w:vAlign w:val="center"/>
          </w:tcPr>
          <w:p w14:paraId="0515C3FF">
            <w:pPr>
              <w:spacing w:line="240" w:lineRule="auto"/>
              <w:ind w:firstLine="0" w:firstLineChars="0"/>
              <w:jc w:val="center"/>
              <w:rPr>
                <w:rFonts w:cs="Times New Roman"/>
                <w:sz w:val="21"/>
                <w:szCs w:val="21"/>
              </w:rPr>
            </w:pPr>
            <w:r>
              <w:rPr>
                <w:rFonts w:hint="eastAsia" w:cs="Times New Roman"/>
                <w:sz w:val="21"/>
                <w:szCs w:val="21"/>
              </w:rPr>
              <w:t>31.842608</w:t>
            </w:r>
          </w:p>
        </w:tc>
        <w:tc>
          <w:tcPr>
            <w:tcW w:w="1080" w:type="dxa"/>
            <w:noWrap/>
            <w:vAlign w:val="center"/>
          </w:tcPr>
          <w:p w14:paraId="2E7FC43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8C9C985">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921149C">
            <w:pPr>
              <w:spacing w:line="240" w:lineRule="auto"/>
              <w:ind w:firstLine="0" w:firstLineChars="0"/>
              <w:jc w:val="center"/>
              <w:rPr>
                <w:rFonts w:cs="Times New Roman"/>
                <w:sz w:val="21"/>
                <w:szCs w:val="21"/>
              </w:rPr>
            </w:pPr>
          </w:p>
        </w:tc>
        <w:tc>
          <w:tcPr>
            <w:tcW w:w="1168" w:type="dxa"/>
            <w:noWrap/>
            <w:vAlign w:val="center"/>
          </w:tcPr>
          <w:p w14:paraId="490EBF51">
            <w:pPr>
              <w:spacing w:line="240" w:lineRule="auto"/>
              <w:ind w:firstLine="0" w:firstLineChars="0"/>
              <w:jc w:val="center"/>
              <w:rPr>
                <w:rFonts w:cs="Times New Roman"/>
                <w:sz w:val="21"/>
                <w:szCs w:val="21"/>
              </w:rPr>
            </w:pPr>
            <w:r>
              <w:rPr>
                <w:rFonts w:hint="eastAsia" w:cs="Times New Roman"/>
                <w:sz w:val="21"/>
                <w:szCs w:val="21"/>
              </w:rPr>
              <w:t>约100</w:t>
            </w:r>
          </w:p>
        </w:tc>
      </w:tr>
      <w:tr w14:paraId="48157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79E2D10">
            <w:pPr>
              <w:pStyle w:val="39"/>
              <w:numPr>
                <w:ilvl w:val="0"/>
                <w:numId w:val="7"/>
              </w:numPr>
              <w:spacing w:line="240" w:lineRule="auto"/>
              <w:ind w:firstLineChars="0"/>
              <w:jc w:val="center"/>
              <w:rPr>
                <w:rFonts w:cs="Times New Roman"/>
                <w:sz w:val="21"/>
                <w:szCs w:val="21"/>
              </w:rPr>
            </w:pPr>
          </w:p>
        </w:tc>
        <w:tc>
          <w:tcPr>
            <w:tcW w:w="992" w:type="dxa"/>
            <w:noWrap/>
            <w:vAlign w:val="center"/>
          </w:tcPr>
          <w:p w14:paraId="014395D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ECB33B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909C78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60750CA">
            <w:pPr>
              <w:spacing w:line="240" w:lineRule="auto"/>
              <w:ind w:firstLine="0" w:firstLineChars="0"/>
              <w:jc w:val="center"/>
              <w:rPr>
                <w:rFonts w:cs="Times New Roman"/>
                <w:sz w:val="21"/>
                <w:szCs w:val="21"/>
              </w:rPr>
            </w:pPr>
            <w:r>
              <w:rPr>
                <w:rFonts w:hint="eastAsia" w:cs="Times New Roman"/>
                <w:sz w:val="21"/>
                <w:szCs w:val="21"/>
              </w:rPr>
              <w:t>棠梨岗</w:t>
            </w:r>
          </w:p>
        </w:tc>
        <w:tc>
          <w:tcPr>
            <w:tcW w:w="1701" w:type="dxa"/>
            <w:noWrap/>
            <w:vAlign w:val="center"/>
          </w:tcPr>
          <w:p w14:paraId="7F4560C8">
            <w:pPr>
              <w:spacing w:line="240" w:lineRule="auto"/>
              <w:ind w:firstLine="0" w:firstLineChars="0"/>
              <w:jc w:val="center"/>
              <w:rPr>
                <w:rFonts w:cs="Times New Roman"/>
                <w:sz w:val="21"/>
                <w:szCs w:val="21"/>
              </w:rPr>
            </w:pPr>
            <w:r>
              <w:rPr>
                <w:rFonts w:hint="eastAsia" w:cs="Times New Roman"/>
                <w:sz w:val="21"/>
                <w:szCs w:val="21"/>
              </w:rPr>
              <w:t>119.36857</w:t>
            </w:r>
          </w:p>
        </w:tc>
        <w:tc>
          <w:tcPr>
            <w:tcW w:w="1690" w:type="dxa"/>
            <w:noWrap/>
            <w:vAlign w:val="center"/>
          </w:tcPr>
          <w:p w14:paraId="17EB7D71">
            <w:pPr>
              <w:spacing w:line="240" w:lineRule="auto"/>
              <w:ind w:firstLine="0" w:firstLineChars="0"/>
              <w:jc w:val="center"/>
              <w:rPr>
                <w:rFonts w:cs="Times New Roman"/>
                <w:sz w:val="21"/>
                <w:szCs w:val="21"/>
              </w:rPr>
            </w:pPr>
            <w:r>
              <w:rPr>
                <w:rFonts w:hint="eastAsia" w:cs="Times New Roman"/>
                <w:sz w:val="21"/>
                <w:szCs w:val="21"/>
              </w:rPr>
              <w:t>31.831885</w:t>
            </w:r>
          </w:p>
        </w:tc>
        <w:tc>
          <w:tcPr>
            <w:tcW w:w="1080" w:type="dxa"/>
            <w:noWrap/>
            <w:vAlign w:val="center"/>
          </w:tcPr>
          <w:p w14:paraId="11423DC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7278971">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5C359D0">
            <w:pPr>
              <w:spacing w:line="240" w:lineRule="auto"/>
              <w:ind w:firstLine="0" w:firstLineChars="0"/>
              <w:jc w:val="center"/>
              <w:rPr>
                <w:rFonts w:cs="Times New Roman"/>
                <w:sz w:val="21"/>
                <w:szCs w:val="21"/>
              </w:rPr>
            </w:pPr>
          </w:p>
        </w:tc>
        <w:tc>
          <w:tcPr>
            <w:tcW w:w="1168" w:type="dxa"/>
            <w:noWrap/>
            <w:vAlign w:val="center"/>
          </w:tcPr>
          <w:p w14:paraId="437AECE8">
            <w:pPr>
              <w:spacing w:line="240" w:lineRule="auto"/>
              <w:ind w:firstLine="0" w:firstLineChars="0"/>
              <w:jc w:val="center"/>
              <w:rPr>
                <w:rFonts w:cs="Times New Roman"/>
                <w:sz w:val="21"/>
                <w:szCs w:val="21"/>
              </w:rPr>
            </w:pPr>
            <w:r>
              <w:rPr>
                <w:rFonts w:hint="eastAsia" w:cs="Times New Roman"/>
                <w:sz w:val="21"/>
                <w:szCs w:val="21"/>
              </w:rPr>
              <w:t>约200</w:t>
            </w:r>
          </w:p>
        </w:tc>
      </w:tr>
      <w:tr w14:paraId="31170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E4FF37F">
            <w:pPr>
              <w:pStyle w:val="39"/>
              <w:numPr>
                <w:ilvl w:val="0"/>
                <w:numId w:val="7"/>
              </w:numPr>
              <w:spacing w:line="240" w:lineRule="auto"/>
              <w:ind w:firstLineChars="0"/>
              <w:jc w:val="center"/>
              <w:rPr>
                <w:rFonts w:cs="Times New Roman"/>
                <w:sz w:val="21"/>
                <w:szCs w:val="21"/>
              </w:rPr>
            </w:pPr>
          </w:p>
        </w:tc>
        <w:tc>
          <w:tcPr>
            <w:tcW w:w="992" w:type="dxa"/>
            <w:noWrap/>
            <w:vAlign w:val="center"/>
          </w:tcPr>
          <w:p w14:paraId="0EE8811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B7CEBC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51DEAF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BD0E8BA">
            <w:pPr>
              <w:spacing w:line="240" w:lineRule="auto"/>
              <w:ind w:firstLine="0" w:firstLineChars="0"/>
              <w:jc w:val="center"/>
              <w:rPr>
                <w:rFonts w:cs="Times New Roman"/>
                <w:sz w:val="21"/>
                <w:szCs w:val="21"/>
              </w:rPr>
            </w:pPr>
            <w:r>
              <w:rPr>
                <w:rFonts w:hint="eastAsia" w:cs="Times New Roman"/>
                <w:sz w:val="21"/>
                <w:szCs w:val="21"/>
              </w:rPr>
              <w:t>小庄山</w:t>
            </w:r>
          </w:p>
        </w:tc>
        <w:tc>
          <w:tcPr>
            <w:tcW w:w="1701" w:type="dxa"/>
            <w:noWrap/>
            <w:vAlign w:val="center"/>
          </w:tcPr>
          <w:p w14:paraId="58F14178">
            <w:pPr>
              <w:spacing w:line="240" w:lineRule="auto"/>
              <w:ind w:firstLine="0" w:firstLineChars="0"/>
              <w:jc w:val="center"/>
              <w:rPr>
                <w:rFonts w:cs="Times New Roman"/>
                <w:sz w:val="21"/>
                <w:szCs w:val="21"/>
              </w:rPr>
            </w:pPr>
            <w:r>
              <w:rPr>
                <w:rFonts w:hint="eastAsia" w:cs="Times New Roman"/>
                <w:sz w:val="21"/>
                <w:szCs w:val="21"/>
              </w:rPr>
              <w:t>119.361769</w:t>
            </w:r>
          </w:p>
        </w:tc>
        <w:tc>
          <w:tcPr>
            <w:tcW w:w="1690" w:type="dxa"/>
            <w:noWrap/>
            <w:vAlign w:val="center"/>
          </w:tcPr>
          <w:p w14:paraId="43078704">
            <w:pPr>
              <w:spacing w:line="240" w:lineRule="auto"/>
              <w:ind w:firstLine="0" w:firstLineChars="0"/>
              <w:jc w:val="center"/>
              <w:rPr>
                <w:rFonts w:cs="Times New Roman"/>
                <w:sz w:val="21"/>
                <w:szCs w:val="21"/>
              </w:rPr>
            </w:pPr>
            <w:r>
              <w:rPr>
                <w:rFonts w:hint="eastAsia" w:cs="Times New Roman"/>
                <w:sz w:val="21"/>
                <w:szCs w:val="21"/>
              </w:rPr>
              <w:t>31.832274</w:t>
            </w:r>
          </w:p>
        </w:tc>
        <w:tc>
          <w:tcPr>
            <w:tcW w:w="1080" w:type="dxa"/>
            <w:noWrap/>
            <w:vAlign w:val="center"/>
          </w:tcPr>
          <w:p w14:paraId="1AC746A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93E163A">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F83AF21">
            <w:pPr>
              <w:spacing w:line="240" w:lineRule="auto"/>
              <w:ind w:firstLine="0" w:firstLineChars="0"/>
              <w:jc w:val="center"/>
              <w:rPr>
                <w:rFonts w:cs="Times New Roman"/>
                <w:sz w:val="21"/>
                <w:szCs w:val="21"/>
              </w:rPr>
            </w:pPr>
          </w:p>
        </w:tc>
        <w:tc>
          <w:tcPr>
            <w:tcW w:w="1168" w:type="dxa"/>
            <w:noWrap/>
            <w:vAlign w:val="center"/>
          </w:tcPr>
          <w:p w14:paraId="2F3495F3">
            <w:pPr>
              <w:spacing w:line="240" w:lineRule="auto"/>
              <w:ind w:firstLine="0" w:firstLineChars="0"/>
              <w:jc w:val="center"/>
              <w:rPr>
                <w:rFonts w:cs="Times New Roman"/>
                <w:sz w:val="21"/>
                <w:szCs w:val="21"/>
              </w:rPr>
            </w:pPr>
            <w:r>
              <w:rPr>
                <w:rFonts w:hint="eastAsia" w:cs="Times New Roman"/>
                <w:sz w:val="21"/>
                <w:szCs w:val="21"/>
              </w:rPr>
              <w:t>约20</w:t>
            </w:r>
          </w:p>
        </w:tc>
      </w:tr>
      <w:tr w14:paraId="4D5BD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C67698C">
            <w:pPr>
              <w:pStyle w:val="39"/>
              <w:numPr>
                <w:ilvl w:val="0"/>
                <w:numId w:val="7"/>
              </w:numPr>
              <w:spacing w:line="240" w:lineRule="auto"/>
              <w:ind w:firstLineChars="0"/>
              <w:jc w:val="center"/>
              <w:rPr>
                <w:rFonts w:cs="Times New Roman"/>
                <w:sz w:val="21"/>
                <w:szCs w:val="21"/>
              </w:rPr>
            </w:pPr>
          </w:p>
        </w:tc>
        <w:tc>
          <w:tcPr>
            <w:tcW w:w="992" w:type="dxa"/>
            <w:noWrap/>
            <w:vAlign w:val="center"/>
          </w:tcPr>
          <w:p w14:paraId="3FBD830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862AAF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5E08FE6">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ED8AFDC">
            <w:pPr>
              <w:spacing w:line="240" w:lineRule="auto"/>
              <w:ind w:firstLine="0" w:firstLineChars="0"/>
              <w:jc w:val="center"/>
              <w:rPr>
                <w:rFonts w:cs="Times New Roman"/>
                <w:sz w:val="21"/>
                <w:szCs w:val="21"/>
              </w:rPr>
            </w:pPr>
            <w:r>
              <w:rPr>
                <w:rFonts w:hint="eastAsia" w:cs="Times New Roman"/>
                <w:sz w:val="21"/>
                <w:szCs w:val="21"/>
              </w:rPr>
              <w:t>门楼下</w:t>
            </w:r>
          </w:p>
        </w:tc>
        <w:tc>
          <w:tcPr>
            <w:tcW w:w="1701" w:type="dxa"/>
            <w:noWrap/>
            <w:vAlign w:val="center"/>
          </w:tcPr>
          <w:p w14:paraId="731BCAEF">
            <w:pPr>
              <w:spacing w:line="240" w:lineRule="auto"/>
              <w:ind w:firstLine="0" w:firstLineChars="0"/>
              <w:jc w:val="center"/>
              <w:rPr>
                <w:rFonts w:cs="Times New Roman"/>
                <w:sz w:val="21"/>
                <w:szCs w:val="21"/>
              </w:rPr>
            </w:pPr>
            <w:r>
              <w:rPr>
                <w:rFonts w:hint="eastAsia" w:cs="Times New Roman"/>
                <w:sz w:val="21"/>
                <w:szCs w:val="21"/>
              </w:rPr>
              <w:t>119.354855</w:t>
            </w:r>
          </w:p>
        </w:tc>
        <w:tc>
          <w:tcPr>
            <w:tcW w:w="1690" w:type="dxa"/>
            <w:noWrap/>
            <w:vAlign w:val="center"/>
          </w:tcPr>
          <w:p w14:paraId="211DF467">
            <w:pPr>
              <w:spacing w:line="240" w:lineRule="auto"/>
              <w:ind w:firstLine="0" w:firstLineChars="0"/>
              <w:jc w:val="center"/>
              <w:rPr>
                <w:rFonts w:cs="Times New Roman"/>
                <w:sz w:val="21"/>
                <w:szCs w:val="21"/>
              </w:rPr>
            </w:pPr>
            <w:r>
              <w:rPr>
                <w:rFonts w:hint="eastAsia" w:cs="Times New Roman"/>
                <w:sz w:val="21"/>
                <w:szCs w:val="21"/>
              </w:rPr>
              <w:t>31.831835</w:t>
            </w:r>
          </w:p>
        </w:tc>
        <w:tc>
          <w:tcPr>
            <w:tcW w:w="1080" w:type="dxa"/>
            <w:noWrap/>
            <w:vAlign w:val="center"/>
          </w:tcPr>
          <w:p w14:paraId="25BDE38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9F9A0D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637392A">
            <w:pPr>
              <w:spacing w:line="240" w:lineRule="auto"/>
              <w:ind w:firstLine="0" w:firstLineChars="0"/>
              <w:jc w:val="center"/>
              <w:rPr>
                <w:rFonts w:cs="Times New Roman"/>
                <w:sz w:val="21"/>
                <w:szCs w:val="21"/>
              </w:rPr>
            </w:pPr>
          </w:p>
        </w:tc>
        <w:tc>
          <w:tcPr>
            <w:tcW w:w="1168" w:type="dxa"/>
            <w:noWrap/>
            <w:vAlign w:val="center"/>
          </w:tcPr>
          <w:p w14:paraId="2C9EDE6D">
            <w:pPr>
              <w:spacing w:line="240" w:lineRule="auto"/>
              <w:ind w:firstLine="0" w:firstLineChars="0"/>
              <w:jc w:val="center"/>
              <w:rPr>
                <w:rFonts w:cs="Times New Roman"/>
                <w:sz w:val="21"/>
                <w:szCs w:val="21"/>
              </w:rPr>
            </w:pPr>
            <w:r>
              <w:rPr>
                <w:rFonts w:hint="eastAsia" w:cs="Times New Roman"/>
                <w:sz w:val="21"/>
                <w:szCs w:val="21"/>
              </w:rPr>
              <w:t>约200</w:t>
            </w:r>
          </w:p>
        </w:tc>
      </w:tr>
      <w:tr w14:paraId="20238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05CF2FD">
            <w:pPr>
              <w:pStyle w:val="39"/>
              <w:numPr>
                <w:ilvl w:val="0"/>
                <w:numId w:val="7"/>
              </w:numPr>
              <w:spacing w:line="240" w:lineRule="auto"/>
              <w:ind w:firstLineChars="0"/>
              <w:jc w:val="center"/>
              <w:rPr>
                <w:rFonts w:cs="Times New Roman"/>
                <w:sz w:val="21"/>
                <w:szCs w:val="21"/>
              </w:rPr>
            </w:pPr>
          </w:p>
        </w:tc>
        <w:tc>
          <w:tcPr>
            <w:tcW w:w="992" w:type="dxa"/>
            <w:noWrap/>
            <w:vAlign w:val="center"/>
          </w:tcPr>
          <w:p w14:paraId="2D070E0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3FAF1A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2677CC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8B66AC0">
            <w:pPr>
              <w:spacing w:line="240" w:lineRule="auto"/>
              <w:ind w:firstLine="0" w:firstLineChars="0"/>
              <w:jc w:val="center"/>
              <w:rPr>
                <w:rFonts w:cs="Times New Roman"/>
                <w:sz w:val="21"/>
                <w:szCs w:val="21"/>
              </w:rPr>
            </w:pPr>
            <w:r>
              <w:rPr>
                <w:rFonts w:hint="eastAsia" w:cs="Times New Roman"/>
                <w:sz w:val="21"/>
                <w:szCs w:val="21"/>
              </w:rPr>
              <w:t>东边点</w:t>
            </w:r>
          </w:p>
        </w:tc>
        <w:tc>
          <w:tcPr>
            <w:tcW w:w="1701" w:type="dxa"/>
            <w:noWrap/>
            <w:vAlign w:val="center"/>
          </w:tcPr>
          <w:p w14:paraId="6A112EAC">
            <w:pPr>
              <w:spacing w:line="240" w:lineRule="auto"/>
              <w:ind w:firstLine="0" w:firstLineChars="0"/>
              <w:jc w:val="center"/>
              <w:rPr>
                <w:rFonts w:cs="Times New Roman"/>
                <w:sz w:val="21"/>
                <w:szCs w:val="21"/>
              </w:rPr>
            </w:pPr>
            <w:r>
              <w:rPr>
                <w:rFonts w:hint="eastAsia" w:cs="Times New Roman"/>
                <w:sz w:val="21"/>
                <w:szCs w:val="21"/>
              </w:rPr>
              <w:t>119.347968</w:t>
            </w:r>
          </w:p>
        </w:tc>
        <w:tc>
          <w:tcPr>
            <w:tcW w:w="1690" w:type="dxa"/>
            <w:noWrap/>
            <w:vAlign w:val="center"/>
          </w:tcPr>
          <w:p w14:paraId="363A9AC4">
            <w:pPr>
              <w:spacing w:line="240" w:lineRule="auto"/>
              <w:ind w:firstLine="0" w:firstLineChars="0"/>
              <w:jc w:val="center"/>
              <w:rPr>
                <w:rFonts w:cs="Times New Roman"/>
                <w:sz w:val="21"/>
                <w:szCs w:val="21"/>
              </w:rPr>
            </w:pPr>
            <w:r>
              <w:rPr>
                <w:rFonts w:hint="eastAsia" w:cs="Times New Roman"/>
                <w:sz w:val="21"/>
                <w:szCs w:val="21"/>
              </w:rPr>
              <w:t>31.832208</w:t>
            </w:r>
          </w:p>
        </w:tc>
        <w:tc>
          <w:tcPr>
            <w:tcW w:w="1080" w:type="dxa"/>
            <w:noWrap/>
            <w:vAlign w:val="center"/>
          </w:tcPr>
          <w:p w14:paraId="583F55D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4BE4353">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E724B13">
            <w:pPr>
              <w:spacing w:line="240" w:lineRule="auto"/>
              <w:ind w:firstLine="0" w:firstLineChars="0"/>
              <w:jc w:val="center"/>
              <w:rPr>
                <w:rFonts w:cs="Times New Roman"/>
                <w:sz w:val="21"/>
                <w:szCs w:val="21"/>
              </w:rPr>
            </w:pPr>
          </w:p>
        </w:tc>
        <w:tc>
          <w:tcPr>
            <w:tcW w:w="1168" w:type="dxa"/>
            <w:noWrap/>
            <w:vAlign w:val="center"/>
          </w:tcPr>
          <w:p w14:paraId="4E8B68FD">
            <w:pPr>
              <w:spacing w:line="240" w:lineRule="auto"/>
              <w:ind w:firstLine="0" w:firstLineChars="0"/>
              <w:jc w:val="center"/>
              <w:rPr>
                <w:rFonts w:cs="Times New Roman"/>
                <w:sz w:val="21"/>
                <w:szCs w:val="21"/>
              </w:rPr>
            </w:pPr>
            <w:r>
              <w:rPr>
                <w:rFonts w:hint="eastAsia" w:cs="Times New Roman"/>
                <w:sz w:val="21"/>
                <w:szCs w:val="21"/>
              </w:rPr>
              <w:t>约70</w:t>
            </w:r>
          </w:p>
        </w:tc>
      </w:tr>
      <w:tr w14:paraId="19444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08EDFE5">
            <w:pPr>
              <w:pStyle w:val="39"/>
              <w:numPr>
                <w:ilvl w:val="0"/>
                <w:numId w:val="7"/>
              </w:numPr>
              <w:spacing w:line="240" w:lineRule="auto"/>
              <w:ind w:firstLineChars="0"/>
              <w:jc w:val="center"/>
              <w:rPr>
                <w:rFonts w:cs="Times New Roman"/>
                <w:sz w:val="21"/>
                <w:szCs w:val="21"/>
              </w:rPr>
            </w:pPr>
          </w:p>
        </w:tc>
        <w:tc>
          <w:tcPr>
            <w:tcW w:w="992" w:type="dxa"/>
            <w:noWrap/>
            <w:vAlign w:val="center"/>
          </w:tcPr>
          <w:p w14:paraId="1D4027C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2141E5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08DA12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D52BF38">
            <w:pPr>
              <w:spacing w:line="240" w:lineRule="auto"/>
              <w:ind w:firstLine="0" w:firstLineChars="0"/>
              <w:jc w:val="center"/>
              <w:rPr>
                <w:rFonts w:cs="Times New Roman"/>
                <w:sz w:val="21"/>
                <w:szCs w:val="21"/>
              </w:rPr>
            </w:pPr>
            <w:r>
              <w:rPr>
                <w:rFonts w:hint="eastAsia" w:cs="Times New Roman"/>
                <w:sz w:val="21"/>
                <w:szCs w:val="21"/>
              </w:rPr>
              <w:t>阳山村</w:t>
            </w:r>
          </w:p>
        </w:tc>
        <w:tc>
          <w:tcPr>
            <w:tcW w:w="1701" w:type="dxa"/>
            <w:noWrap/>
            <w:vAlign w:val="center"/>
          </w:tcPr>
          <w:p w14:paraId="23E5EDED">
            <w:pPr>
              <w:spacing w:line="240" w:lineRule="auto"/>
              <w:ind w:firstLine="0" w:firstLineChars="0"/>
              <w:jc w:val="center"/>
              <w:rPr>
                <w:rFonts w:cs="Times New Roman"/>
                <w:sz w:val="21"/>
                <w:szCs w:val="21"/>
              </w:rPr>
            </w:pPr>
            <w:r>
              <w:rPr>
                <w:rFonts w:hint="eastAsia" w:cs="Times New Roman"/>
                <w:sz w:val="21"/>
                <w:szCs w:val="21"/>
              </w:rPr>
              <w:t>119.343164</w:t>
            </w:r>
          </w:p>
        </w:tc>
        <w:tc>
          <w:tcPr>
            <w:tcW w:w="1690" w:type="dxa"/>
            <w:noWrap/>
            <w:vAlign w:val="center"/>
          </w:tcPr>
          <w:p w14:paraId="6B72A24F">
            <w:pPr>
              <w:spacing w:line="240" w:lineRule="auto"/>
              <w:ind w:firstLine="0" w:firstLineChars="0"/>
              <w:jc w:val="center"/>
              <w:rPr>
                <w:rFonts w:cs="Times New Roman"/>
                <w:sz w:val="21"/>
                <w:szCs w:val="21"/>
              </w:rPr>
            </w:pPr>
            <w:r>
              <w:rPr>
                <w:rFonts w:hint="eastAsia" w:cs="Times New Roman"/>
                <w:sz w:val="21"/>
                <w:szCs w:val="21"/>
              </w:rPr>
              <w:t>31.832504</w:t>
            </w:r>
          </w:p>
        </w:tc>
        <w:tc>
          <w:tcPr>
            <w:tcW w:w="1080" w:type="dxa"/>
            <w:noWrap/>
            <w:vAlign w:val="center"/>
          </w:tcPr>
          <w:p w14:paraId="2BBC73E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0D83BAD">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CDE417E">
            <w:pPr>
              <w:spacing w:line="240" w:lineRule="auto"/>
              <w:ind w:firstLine="0" w:firstLineChars="0"/>
              <w:jc w:val="center"/>
              <w:rPr>
                <w:rFonts w:cs="Times New Roman"/>
                <w:sz w:val="21"/>
                <w:szCs w:val="21"/>
              </w:rPr>
            </w:pPr>
          </w:p>
        </w:tc>
        <w:tc>
          <w:tcPr>
            <w:tcW w:w="1168" w:type="dxa"/>
            <w:noWrap/>
            <w:vAlign w:val="center"/>
          </w:tcPr>
          <w:p w14:paraId="1F680904">
            <w:pPr>
              <w:spacing w:line="240" w:lineRule="auto"/>
              <w:ind w:firstLine="0" w:firstLineChars="0"/>
              <w:jc w:val="center"/>
              <w:rPr>
                <w:rFonts w:cs="Times New Roman"/>
                <w:sz w:val="21"/>
                <w:szCs w:val="21"/>
              </w:rPr>
            </w:pPr>
            <w:r>
              <w:rPr>
                <w:rFonts w:hint="eastAsia" w:cs="Times New Roman"/>
                <w:sz w:val="21"/>
                <w:szCs w:val="21"/>
              </w:rPr>
              <w:t>约300</w:t>
            </w:r>
          </w:p>
        </w:tc>
      </w:tr>
      <w:tr w14:paraId="5D0CD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646D1D2">
            <w:pPr>
              <w:pStyle w:val="39"/>
              <w:numPr>
                <w:ilvl w:val="0"/>
                <w:numId w:val="7"/>
              </w:numPr>
              <w:spacing w:line="240" w:lineRule="auto"/>
              <w:ind w:firstLineChars="0"/>
              <w:jc w:val="center"/>
              <w:rPr>
                <w:rFonts w:cs="Times New Roman"/>
                <w:sz w:val="21"/>
                <w:szCs w:val="21"/>
              </w:rPr>
            </w:pPr>
          </w:p>
        </w:tc>
        <w:tc>
          <w:tcPr>
            <w:tcW w:w="992" w:type="dxa"/>
            <w:noWrap/>
            <w:vAlign w:val="center"/>
          </w:tcPr>
          <w:p w14:paraId="6847C7E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69C01C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229D7D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C1DC398">
            <w:pPr>
              <w:spacing w:line="240" w:lineRule="auto"/>
              <w:ind w:firstLine="0" w:firstLineChars="0"/>
              <w:jc w:val="center"/>
              <w:rPr>
                <w:rFonts w:cs="Times New Roman"/>
                <w:sz w:val="21"/>
                <w:szCs w:val="21"/>
              </w:rPr>
            </w:pPr>
            <w:r>
              <w:rPr>
                <w:rFonts w:hint="eastAsia" w:cs="Times New Roman"/>
                <w:sz w:val="21"/>
                <w:szCs w:val="21"/>
              </w:rPr>
              <w:t>对达村</w:t>
            </w:r>
          </w:p>
        </w:tc>
        <w:tc>
          <w:tcPr>
            <w:tcW w:w="1701" w:type="dxa"/>
            <w:noWrap/>
            <w:vAlign w:val="center"/>
          </w:tcPr>
          <w:p w14:paraId="23AD35D8">
            <w:pPr>
              <w:spacing w:line="240" w:lineRule="auto"/>
              <w:ind w:firstLine="0" w:firstLineChars="0"/>
              <w:jc w:val="center"/>
              <w:rPr>
                <w:rFonts w:cs="Times New Roman"/>
                <w:sz w:val="21"/>
                <w:szCs w:val="21"/>
              </w:rPr>
            </w:pPr>
            <w:r>
              <w:rPr>
                <w:rFonts w:hint="eastAsia" w:cs="Times New Roman"/>
                <w:sz w:val="21"/>
                <w:szCs w:val="21"/>
              </w:rPr>
              <w:t>119.358038</w:t>
            </w:r>
          </w:p>
        </w:tc>
        <w:tc>
          <w:tcPr>
            <w:tcW w:w="1690" w:type="dxa"/>
            <w:noWrap/>
            <w:vAlign w:val="center"/>
          </w:tcPr>
          <w:p w14:paraId="42D1A0F3">
            <w:pPr>
              <w:spacing w:line="240" w:lineRule="auto"/>
              <w:ind w:firstLine="0" w:firstLineChars="0"/>
              <w:jc w:val="center"/>
              <w:rPr>
                <w:rFonts w:cs="Times New Roman"/>
                <w:sz w:val="21"/>
                <w:szCs w:val="21"/>
              </w:rPr>
            </w:pPr>
            <w:r>
              <w:rPr>
                <w:rFonts w:hint="eastAsia" w:cs="Times New Roman"/>
                <w:sz w:val="21"/>
                <w:szCs w:val="21"/>
              </w:rPr>
              <w:t>31.827435</w:t>
            </w:r>
          </w:p>
        </w:tc>
        <w:tc>
          <w:tcPr>
            <w:tcW w:w="1080" w:type="dxa"/>
            <w:noWrap/>
            <w:vAlign w:val="center"/>
          </w:tcPr>
          <w:p w14:paraId="1154B70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91D5F98">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413B91F">
            <w:pPr>
              <w:spacing w:line="240" w:lineRule="auto"/>
              <w:ind w:firstLine="0" w:firstLineChars="0"/>
              <w:jc w:val="center"/>
              <w:rPr>
                <w:rFonts w:cs="Times New Roman"/>
                <w:sz w:val="21"/>
                <w:szCs w:val="21"/>
              </w:rPr>
            </w:pPr>
          </w:p>
        </w:tc>
        <w:tc>
          <w:tcPr>
            <w:tcW w:w="1168" w:type="dxa"/>
            <w:noWrap/>
            <w:vAlign w:val="center"/>
          </w:tcPr>
          <w:p w14:paraId="2195189F">
            <w:pPr>
              <w:spacing w:line="240" w:lineRule="auto"/>
              <w:ind w:firstLine="0" w:firstLineChars="0"/>
              <w:jc w:val="center"/>
              <w:rPr>
                <w:rFonts w:cs="Times New Roman"/>
                <w:sz w:val="21"/>
                <w:szCs w:val="21"/>
              </w:rPr>
            </w:pPr>
            <w:r>
              <w:rPr>
                <w:rFonts w:hint="eastAsia" w:cs="Times New Roman"/>
                <w:sz w:val="21"/>
                <w:szCs w:val="21"/>
              </w:rPr>
              <w:t>约400</w:t>
            </w:r>
          </w:p>
        </w:tc>
      </w:tr>
      <w:tr w14:paraId="7ACD5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0292B21">
            <w:pPr>
              <w:pStyle w:val="39"/>
              <w:numPr>
                <w:ilvl w:val="0"/>
                <w:numId w:val="7"/>
              </w:numPr>
              <w:spacing w:line="240" w:lineRule="auto"/>
              <w:ind w:firstLineChars="0"/>
              <w:jc w:val="center"/>
              <w:rPr>
                <w:rFonts w:cs="Times New Roman"/>
                <w:sz w:val="21"/>
                <w:szCs w:val="21"/>
              </w:rPr>
            </w:pPr>
          </w:p>
        </w:tc>
        <w:tc>
          <w:tcPr>
            <w:tcW w:w="992" w:type="dxa"/>
            <w:noWrap/>
            <w:vAlign w:val="center"/>
          </w:tcPr>
          <w:p w14:paraId="7814CCA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AABAE2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C8BD21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3173735">
            <w:pPr>
              <w:spacing w:line="240" w:lineRule="auto"/>
              <w:ind w:firstLine="0" w:firstLineChars="0"/>
              <w:jc w:val="center"/>
              <w:rPr>
                <w:rFonts w:cs="Times New Roman"/>
                <w:sz w:val="21"/>
                <w:szCs w:val="21"/>
              </w:rPr>
            </w:pPr>
            <w:r>
              <w:rPr>
                <w:rFonts w:hint="eastAsia" w:cs="Times New Roman"/>
                <w:sz w:val="21"/>
                <w:szCs w:val="21"/>
              </w:rPr>
              <w:t>宜庄村</w:t>
            </w:r>
          </w:p>
        </w:tc>
        <w:tc>
          <w:tcPr>
            <w:tcW w:w="1701" w:type="dxa"/>
            <w:noWrap/>
            <w:vAlign w:val="center"/>
          </w:tcPr>
          <w:p w14:paraId="2383B09E">
            <w:pPr>
              <w:spacing w:line="240" w:lineRule="auto"/>
              <w:ind w:firstLine="0" w:firstLineChars="0"/>
              <w:jc w:val="center"/>
              <w:rPr>
                <w:rFonts w:cs="Times New Roman"/>
                <w:sz w:val="21"/>
                <w:szCs w:val="21"/>
              </w:rPr>
            </w:pPr>
            <w:r>
              <w:rPr>
                <w:rFonts w:hint="eastAsia" w:cs="Times New Roman"/>
                <w:sz w:val="21"/>
                <w:szCs w:val="21"/>
              </w:rPr>
              <w:t>119.367898</w:t>
            </w:r>
          </w:p>
        </w:tc>
        <w:tc>
          <w:tcPr>
            <w:tcW w:w="1690" w:type="dxa"/>
            <w:noWrap/>
            <w:vAlign w:val="center"/>
          </w:tcPr>
          <w:p w14:paraId="0BC8AF23">
            <w:pPr>
              <w:spacing w:line="240" w:lineRule="auto"/>
              <w:ind w:firstLine="0" w:firstLineChars="0"/>
              <w:jc w:val="center"/>
              <w:rPr>
                <w:rFonts w:cs="Times New Roman"/>
                <w:sz w:val="21"/>
                <w:szCs w:val="21"/>
              </w:rPr>
            </w:pPr>
            <w:r>
              <w:rPr>
                <w:rFonts w:hint="eastAsia" w:cs="Times New Roman"/>
                <w:sz w:val="21"/>
                <w:szCs w:val="21"/>
              </w:rPr>
              <w:t>31.820509</w:t>
            </w:r>
          </w:p>
        </w:tc>
        <w:tc>
          <w:tcPr>
            <w:tcW w:w="1080" w:type="dxa"/>
            <w:noWrap/>
            <w:vAlign w:val="center"/>
          </w:tcPr>
          <w:p w14:paraId="028BE71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DEAE781">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BD6E8A4">
            <w:pPr>
              <w:spacing w:line="240" w:lineRule="auto"/>
              <w:ind w:firstLine="0" w:firstLineChars="0"/>
              <w:jc w:val="center"/>
              <w:rPr>
                <w:rFonts w:cs="Times New Roman"/>
                <w:sz w:val="21"/>
                <w:szCs w:val="21"/>
              </w:rPr>
            </w:pPr>
          </w:p>
        </w:tc>
        <w:tc>
          <w:tcPr>
            <w:tcW w:w="1168" w:type="dxa"/>
            <w:noWrap/>
            <w:vAlign w:val="center"/>
          </w:tcPr>
          <w:p w14:paraId="20B5807F">
            <w:pPr>
              <w:spacing w:line="240" w:lineRule="auto"/>
              <w:ind w:firstLine="0" w:firstLineChars="0"/>
              <w:jc w:val="center"/>
              <w:rPr>
                <w:rFonts w:cs="Times New Roman"/>
                <w:sz w:val="21"/>
                <w:szCs w:val="21"/>
              </w:rPr>
            </w:pPr>
            <w:r>
              <w:rPr>
                <w:rFonts w:hint="eastAsia" w:cs="Times New Roman"/>
                <w:sz w:val="21"/>
                <w:szCs w:val="21"/>
              </w:rPr>
              <w:t>约700</w:t>
            </w:r>
          </w:p>
        </w:tc>
      </w:tr>
      <w:tr w14:paraId="4EEF1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2FB33D5">
            <w:pPr>
              <w:pStyle w:val="39"/>
              <w:numPr>
                <w:ilvl w:val="0"/>
                <w:numId w:val="7"/>
              </w:numPr>
              <w:spacing w:line="240" w:lineRule="auto"/>
              <w:ind w:firstLineChars="0"/>
              <w:jc w:val="center"/>
              <w:rPr>
                <w:rFonts w:cs="Times New Roman"/>
                <w:sz w:val="21"/>
                <w:szCs w:val="21"/>
              </w:rPr>
            </w:pPr>
          </w:p>
        </w:tc>
        <w:tc>
          <w:tcPr>
            <w:tcW w:w="992" w:type="dxa"/>
            <w:noWrap/>
            <w:vAlign w:val="center"/>
          </w:tcPr>
          <w:p w14:paraId="049C879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3D0489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55976D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62DDEC2">
            <w:pPr>
              <w:spacing w:line="240" w:lineRule="auto"/>
              <w:ind w:firstLine="0" w:firstLineChars="0"/>
              <w:jc w:val="center"/>
              <w:rPr>
                <w:rFonts w:cs="Times New Roman"/>
                <w:sz w:val="21"/>
                <w:szCs w:val="21"/>
              </w:rPr>
            </w:pPr>
            <w:r>
              <w:rPr>
                <w:rFonts w:hint="eastAsia" w:cs="Times New Roman"/>
                <w:sz w:val="21"/>
                <w:szCs w:val="21"/>
              </w:rPr>
              <w:t>窑缸背</w:t>
            </w:r>
          </w:p>
        </w:tc>
        <w:tc>
          <w:tcPr>
            <w:tcW w:w="1701" w:type="dxa"/>
            <w:noWrap/>
            <w:vAlign w:val="center"/>
          </w:tcPr>
          <w:p w14:paraId="24A61A1E">
            <w:pPr>
              <w:spacing w:line="240" w:lineRule="auto"/>
              <w:ind w:firstLine="0" w:firstLineChars="0"/>
              <w:jc w:val="center"/>
              <w:rPr>
                <w:rFonts w:cs="Times New Roman"/>
                <w:sz w:val="21"/>
                <w:szCs w:val="21"/>
              </w:rPr>
            </w:pPr>
            <w:r>
              <w:rPr>
                <w:rFonts w:hint="eastAsia" w:cs="Times New Roman"/>
                <w:sz w:val="21"/>
                <w:szCs w:val="21"/>
              </w:rPr>
              <w:t>119.360498</w:t>
            </w:r>
          </w:p>
        </w:tc>
        <w:tc>
          <w:tcPr>
            <w:tcW w:w="1690" w:type="dxa"/>
            <w:noWrap/>
            <w:vAlign w:val="center"/>
          </w:tcPr>
          <w:p w14:paraId="55811690">
            <w:pPr>
              <w:spacing w:line="240" w:lineRule="auto"/>
              <w:ind w:firstLine="0" w:firstLineChars="0"/>
              <w:jc w:val="center"/>
              <w:rPr>
                <w:rFonts w:cs="Times New Roman"/>
                <w:sz w:val="21"/>
                <w:szCs w:val="21"/>
              </w:rPr>
            </w:pPr>
            <w:r>
              <w:rPr>
                <w:rFonts w:hint="eastAsia" w:cs="Times New Roman"/>
                <w:sz w:val="21"/>
                <w:szCs w:val="21"/>
              </w:rPr>
              <w:t>31.82151</w:t>
            </w:r>
          </w:p>
        </w:tc>
        <w:tc>
          <w:tcPr>
            <w:tcW w:w="1080" w:type="dxa"/>
            <w:noWrap/>
            <w:vAlign w:val="center"/>
          </w:tcPr>
          <w:p w14:paraId="19E0CB5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36384EF">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44775FE">
            <w:pPr>
              <w:spacing w:line="240" w:lineRule="auto"/>
              <w:ind w:firstLine="0" w:firstLineChars="0"/>
              <w:jc w:val="center"/>
              <w:rPr>
                <w:rFonts w:cs="Times New Roman"/>
                <w:sz w:val="21"/>
                <w:szCs w:val="21"/>
              </w:rPr>
            </w:pPr>
          </w:p>
        </w:tc>
        <w:tc>
          <w:tcPr>
            <w:tcW w:w="1168" w:type="dxa"/>
            <w:noWrap/>
            <w:vAlign w:val="center"/>
          </w:tcPr>
          <w:p w14:paraId="24D5B131">
            <w:pPr>
              <w:spacing w:line="240" w:lineRule="auto"/>
              <w:ind w:firstLine="0" w:firstLineChars="0"/>
              <w:jc w:val="center"/>
              <w:rPr>
                <w:rFonts w:cs="Times New Roman"/>
                <w:sz w:val="21"/>
                <w:szCs w:val="21"/>
              </w:rPr>
            </w:pPr>
            <w:r>
              <w:rPr>
                <w:rFonts w:hint="eastAsia" w:cs="Times New Roman"/>
                <w:sz w:val="21"/>
                <w:szCs w:val="21"/>
              </w:rPr>
              <w:t>约50</w:t>
            </w:r>
          </w:p>
        </w:tc>
      </w:tr>
      <w:tr w14:paraId="2D3F7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851EC87">
            <w:pPr>
              <w:pStyle w:val="39"/>
              <w:numPr>
                <w:ilvl w:val="0"/>
                <w:numId w:val="7"/>
              </w:numPr>
              <w:spacing w:line="240" w:lineRule="auto"/>
              <w:ind w:firstLineChars="0"/>
              <w:jc w:val="center"/>
              <w:rPr>
                <w:rFonts w:cs="Times New Roman"/>
                <w:sz w:val="21"/>
                <w:szCs w:val="21"/>
              </w:rPr>
            </w:pPr>
          </w:p>
        </w:tc>
        <w:tc>
          <w:tcPr>
            <w:tcW w:w="992" w:type="dxa"/>
            <w:noWrap/>
            <w:vAlign w:val="center"/>
          </w:tcPr>
          <w:p w14:paraId="2A5D4B1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FEA88A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404E17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B5E1547">
            <w:pPr>
              <w:spacing w:line="240" w:lineRule="auto"/>
              <w:ind w:firstLine="0" w:firstLineChars="0"/>
              <w:jc w:val="center"/>
              <w:rPr>
                <w:rFonts w:cs="Times New Roman"/>
                <w:sz w:val="21"/>
                <w:szCs w:val="21"/>
              </w:rPr>
            </w:pPr>
            <w:r>
              <w:rPr>
                <w:rFonts w:hint="eastAsia" w:cs="Times New Roman"/>
                <w:sz w:val="21"/>
                <w:szCs w:val="21"/>
              </w:rPr>
              <w:t>下王岗</w:t>
            </w:r>
          </w:p>
        </w:tc>
        <w:tc>
          <w:tcPr>
            <w:tcW w:w="1701" w:type="dxa"/>
            <w:noWrap/>
            <w:vAlign w:val="center"/>
          </w:tcPr>
          <w:p w14:paraId="4E692145">
            <w:pPr>
              <w:spacing w:line="240" w:lineRule="auto"/>
              <w:ind w:firstLine="0" w:firstLineChars="0"/>
              <w:jc w:val="center"/>
              <w:rPr>
                <w:rFonts w:cs="Times New Roman"/>
                <w:sz w:val="21"/>
                <w:szCs w:val="21"/>
              </w:rPr>
            </w:pPr>
            <w:r>
              <w:rPr>
                <w:rFonts w:hint="eastAsia" w:cs="Times New Roman"/>
                <w:sz w:val="21"/>
                <w:szCs w:val="21"/>
              </w:rPr>
              <w:t>119.348923</w:t>
            </w:r>
          </w:p>
        </w:tc>
        <w:tc>
          <w:tcPr>
            <w:tcW w:w="1690" w:type="dxa"/>
            <w:noWrap/>
            <w:vAlign w:val="center"/>
          </w:tcPr>
          <w:p w14:paraId="5A1BDBEB">
            <w:pPr>
              <w:spacing w:line="240" w:lineRule="auto"/>
              <w:ind w:firstLine="0" w:firstLineChars="0"/>
              <w:jc w:val="center"/>
              <w:rPr>
                <w:rFonts w:cs="Times New Roman"/>
                <w:sz w:val="21"/>
                <w:szCs w:val="21"/>
              </w:rPr>
            </w:pPr>
            <w:r>
              <w:rPr>
                <w:rFonts w:hint="eastAsia" w:cs="Times New Roman"/>
                <w:sz w:val="21"/>
                <w:szCs w:val="21"/>
              </w:rPr>
              <w:t>31.81984</w:t>
            </w:r>
          </w:p>
        </w:tc>
        <w:tc>
          <w:tcPr>
            <w:tcW w:w="1080" w:type="dxa"/>
            <w:noWrap/>
            <w:vAlign w:val="center"/>
          </w:tcPr>
          <w:p w14:paraId="7DD959F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B95F51F">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55ED4D8B">
            <w:pPr>
              <w:spacing w:line="240" w:lineRule="auto"/>
              <w:ind w:firstLine="0" w:firstLineChars="0"/>
              <w:jc w:val="center"/>
              <w:rPr>
                <w:rFonts w:cs="Times New Roman"/>
                <w:sz w:val="21"/>
                <w:szCs w:val="21"/>
              </w:rPr>
            </w:pPr>
          </w:p>
        </w:tc>
        <w:tc>
          <w:tcPr>
            <w:tcW w:w="1168" w:type="dxa"/>
            <w:noWrap/>
            <w:vAlign w:val="center"/>
          </w:tcPr>
          <w:p w14:paraId="1DCE8725">
            <w:pPr>
              <w:spacing w:line="240" w:lineRule="auto"/>
              <w:ind w:firstLine="0" w:firstLineChars="0"/>
              <w:jc w:val="center"/>
              <w:rPr>
                <w:rFonts w:cs="Times New Roman"/>
                <w:sz w:val="21"/>
                <w:szCs w:val="21"/>
              </w:rPr>
            </w:pPr>
            <w:r>
              <w:rPr>
                <w:rFonts w:hint="eastAsia" w:cs="Times New Roman"/>
                <w:sz w:val="21"/>
                <w:szCs w:val="21"/>
              </w:rPr>
              <w:t>约100</w:t>
            </w:r>
          </w:p>
        </w:tc>
      </w:tr>
      <w:tr w14:paraId="67B41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E7AB52D">
            <w:pPr>
              <w:pStyle w:val="39"/>
              <w:numPr>
                <w:ilvl w:val="0"/>
                <w:numId w:val="7"/>
              </w:numPr>
              <w:spacing w:line="240" w:lineRule="auto"/>
              <w:ind w:firstLineChars="0"/>
              <w:jc w:val="center"/>
              <w:rPr>
                <w:rFonts w:cs="Times New Roman"/>
                <w:sz w:val="21"/>
                <w:szCs w:val="21"/>
              </w:rPr>
            </w:pPr>
          </w:p>
        </w:tc>
        <w:tc>
          <w:tcPr>
            <w:tcW w:w="992" w:type="dxa"/>
            <w:noWrap/>
            <w:vAlign w:val="center"/>
          </w:tcPr>
          <w:p w14:paraId="7F4D152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653B32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4F1C60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FF5C602">
            <w:pPr>
              <w:spacing w:line="240" w:lineRule="auto"/>
              <w:ind w:firstLine="0" w:firstLineChars="0"/>
              <w:jc w:val="center"/>
              <w:rPr>
                <w:rFonts w:cs="Times New Roman"/>
                <w:sz w:val="21"/>
                <w:szCs w:val="21"/>
              </w:rPr>
            </w:pPr>
            <w:r>
              <w:rPr>
                <w:rFonts w:hint="eastAsia" w:cs="Times New Roman"/>
                <w:sz w:val="21"/>
                <w:szCs w:val="21"/>
              </w:rPr>
              <w:t>上王岗</w:t>
            </w:r>
          </w:p>
        </w:tc>
        <w:tc>
          <w:tcPr>
            <w:tcW w:w="1701" w:type="dxa"/>
            <w:noWrap/>
            <w:vAlign w:val="center"/>
          </w:tcPr>
          <w:p w14:paraId="4F25D056">
            <w:pPr>
              <w:spacing w:line="240" w:lineRule="auto"/>
              <w:ind w:firstLine="0" w:firstLineChars="0"/>
              <w:jc w:val="center"/>
              <w:rPr>
                <w:rFonts w:cs="Times New Roman"/>
                <w:sz w:val="21"/>
                <w:szCs w:val="21"/>
              </w:rPr>
            </w:pPr>
            <w:r>
              <w:rPr>
                <w:rFonts w:hint="eastAsia" w:cs="Times New Roman"/>
                <w:sz w:val="21"/>
                <w:szCs w:val="21"/>
              </w:rPr>
              <w:t>119.345684</w:t>
            </w:r>
          </w:p>
        </w:tc>
        <w:tc>
          <w:tcPr>
            <w:tcW w:w="1690" w:type="dxa"/>
            <w:noWrap/>
            <w:vAlign w:val="center"/>
          </w:tcPr>
          <w:p w14:paraId="215E4C84">
            <w:pPr>
              <w:spacing w:line="240" w:lineRule="auto"/>
              <w:ind w:firstLine="0" w:firstLineChars="0"/>
              <w:jc w:val="center"/>
              <w:rPr>
                <w:rFonts w:cs="Times New Roman"/>
                <w:sz w:val="21"/>
                <w:szCs w:val="21"/>
              </w:rPr>
            </w:pPr>
            <w:r>
              <w:rPr>
                <w:rFonts w:hint="eastAsia" w:cs="Times New Roman"/>
                <w:sz w:val="21"/>
                <w:szCs w:val="21"/>
              </w:rPr>
              <w:t>31.819298</w:t>
            </w:r>
          </w:p>
        </w:tc>
        <w:tc>
          <w:tcPr>
            <w:tcW w:w="1080" w:type="dxa"/>
            <w:noWrap/>
            <w:vAlign w:val="center"/>
          </w:tcPr>
          <w:p w14:paraId="2C1E51A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2844C9F">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E079712">
            <w:pPr>
              <w:spacing w:line="240" w:lineRule="auto"/>
              <w:ind w:firstLine="0" w:firstLineChars="0"/>
              <w:jc w:val="center"/>
              <w:rPr>
                <w:rFonts w:cs="Times New Roman"/>
                <w:sz w:val="21"/>
                <w:szCs w:val="21"/>
              </w:rPr>
            </w:pPr>
          </w:p>
        </w:tc>
        <w:tc>
          <w:tcPr>
            <w:tcW w:w="1168" w:type="dxa"/>
            <w:noWrap/>
            <w:vAlign w:val="center"/>
          </w:tcPr>
          <w:p w14:paraId="3C14CCFF">
            <w:pPr>
              <w:spacing w:line="240" w:lineRule="auto"/>
              <w:ind w:firstLine="0" w:firstLineChars="0"/>
              <w:jc w:val="center"/>
              <w:rPr>
                <w:rFonts w:cs="Times New Roman"/>
                <w:sz w:val="21"/>
                <w:szCs w:val="21"/>
              </w:rPr>
            </w:pPr>
            <w:r>
              <w:rPr>
                <w:rFonts w:hint="eastAsia" w:cs="Times New Roman"/>
                <w:sz w:val="21"/>
                <w:szCs w:val="21"/>
              </w:rPr>
              <w:t>约100</w:t>
            </w:r>
          </w:p>
        </w:tc>
      </w:tr>
      <w:tr w14:paraId="39791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5104E48">
            <w:pPr>
              <w:pStyle w:val="39"/>
              <w:numPr>
                <w:ilvl w:val="0"/>
                <w:numId w:val="7"/>
              </w:numPr>
              <w:spacing w:line="240" w:lineRule="auto"/>
              <w:ind w:firstLineChars="0"/>
              <w:jc w:val="center"/>
              <w:rPr>
                <w:rFonts w:cs="Times New Roman"/>
                <w:sz w:val="21"/>
                <w:szCs w:val="21"/>
              </w:rPr>
            </w:pPr>
          </w:p>
        </w:tc>
        <w:tc>
          <w:tcPr>
            <w:tcW w:w="992" w:type="dxa"/>
            <w:noWrap/>
            <w:vAlign w:val="center"/>
          </w:tcPr>
          <w:p w14:paraId="2141E4D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6B5E2F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5CDF85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C533D50">
            <w:pPr>
              <w:spacing w:line="240" w:lineRule="auto"/>
              <w:ind w:firstLine="0" w:firstLineChars="0"/>
              <w:jc w:val="center"/>
              <w:rPr>
                <w:rFonts w:cs="Times New Roman"/>
                <w:sz w:val="21"/>
                <w:szCs w:val="21"/>
              </w:rPr>
            </w:pPr>
            <w:r>
              <w:rPr>
                <w:rFonts w:hint="eastAsia" w:cs="Times New Roman"/>
                <w:sz w:val="21"/>
                <w:szCs w:val="21"/>
              </w:rPr>
              <w:t>本达村</w:t>
            </w:r>
          </w:p>
        </w:tc>
        <w:tc>
          <w:tcPr>
            <w:tcW w:w="1701" w:type="dxa"/>
            <w:noWrap/>
            <w:vAlign w:val="center"/>
          </w:tcPr>
          <w:p w14:paraId="2FA320A2">
            <w:pPr>
              <w:spacing w:line="240" w:lineRule="auto"/>
              <w:ind w:firstLine="0" w:firstLineChars="0"/>
              <w:jc w:val="center"/>
              <w:rPr>
                <w:rFonts w:cs="Times New Roman"/>
                <w:sz w:val="21"/>
                <w:szCs w:val="21"/>
              </w:rPr>
            </w:pPr>
            <w:r>
              <w:rPr>
                <w:rFonts w:hint="eastAsia" w:cs="Times New Roman"/>
                <w:sz w:val="21"/>
                <w:szCs w:val="21"/>
              </w:rPr>
              <w:t>119.341164</w:t>
            </w:r>
          </w:p>
        </w:tc>
        <w:tc>
          <w:tcPr>
            <w:tcW w:w="1690" w:type="dxa"/>
            <w:noWrap/>
            <w:vAlign w:val="center"/>
          </w:tcPr>
          <w:p w14:paraId="7AD40B4E">
            <w:pPr>
              <w:spacing w:line="240" w:lineRule="auto"/>
              <w:ind w:firstLine="0" w:firstLineChars="0"/>
              <w:jc w:val="center"/>
              <w:rPr>
                <w:rFonts w:cs="Times New Roman"/>
                <w:sz w:val="21"/>
                <w:szCs w:val="21"/>
              </w:rPr>
            </w:pPr>
            <w:r>
              <w:rPr>
                <w:rFonts w:hint="eastAsia" w:cs="Times New Roman"/>
                <w:sz w:val="21"/>
                <w:szCs w:val="21"/>
              </w:rPr>
              <w:t>31.82464</w:t>
            </w:r>
          </w:p>
        </w:tc>
        <w:tc>
          <w:tcPr>
            <w:tcW w:w="1080" w:type="dxa"/>
            <w:noWrap/>
            <w:vAlign w:val="center"/>
          </w:tcPr>
          <w:p w14:paraId="6B50E79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14AB3CE">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0F4E3CE">
            <w:pPr>
              <w:spacing w:line="240" w:lineRule="auto"/>
              <w:ind w:firstLine="0" w:firstLineChars="0"/>
              <w:jc w:val="center"/>
              <w:rPr>
                <w:rFonts w:cs="Times New Roman"/>
                <w:sz w:val="21"/>
                <w:szCs w:val="21"/>
              </w:rPr>
            </w:pPr>
          </w:p>
        </w:tc>
        <w:tc>
          <w:tcPr>
            <w:tcW w:w="1168" w:type="dxa"/>
            <w:noWrap/>
            <w:vAlign w:val="center"/>
          </w:tcPr>
          <w:p w14:paraId="7259D134">
            <w:pPr>
              <w:spacing w:line="240" w:lineRule="auto"/>
              <w:ind w:firstLine="0" w:firstLineChars="0"/>
              <w:jc w:val="center"/>
              <w:rPr>
                <w:rFonts w:cs="Times New Roman"/>
                <w:sz w:val="21"/>
                <w:szCs w:val="21"/>
              </w:rPr>
            </w:pPr>
            <w:r>
              <w:rPr>
                <w:rFonts w:hint="eastAsia" w:cs="Times New Roman"/>
                <w:sz w:val="21"/>
                <w:szCs w:val="21"/>
              </w:rPr>
              <w:t>约300</w:t>
            </w:r>
          </w:p>
        </w:tc>
      </w:tr>
      <w:tr w14:paraId="790FD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4AE7F3B">
            <w:pPr>
              <w:pStyle w:val="39"/>
              <w:numPr>
                <w:ilvl w:val="0"/>
                <w:numId w:val="7"/>
              </w:numPr>
              <w:spacing w:line="240" w:lineRule="auto"/>
              <w:ind w:firstLineChars="0"/>
              <w:jc w:val="center"/>
              <w:rPr>
                <w:rFonts w:cs="Times New Roman"/>
                <w:sz w:val="21"/>
                <w:szCs w:val="21"/>
              </w:rPr>
            </w:pPr>
          </w:p>
        </w:tc>
        <w:tc>
          <w:tcPr>
            <w:tcW w:w="992" w:type="dxa"/>
            <w:noWrap/>
            <w:vAlign w:val="center"/>
          </w:tcPr>
          <w:p w14:paraId="4F466CE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4EA56A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9E0845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229004E">
            <w:pPr>
              <w:spacing w:line="240" w:lineRule="auto"/>
              <w:ind w:firstLine="0" w:firstLineChars="0"/>
              <w:jc w:val="center"/>
              <w:rPr>
                <w:rFonts w:cs="Times New Roman"/>
                <w:sz w:val="21"/>
                <w:szCs w:val="21"/>
              </w:rPr>
            </w:pPr>
            <w:r>
              <w:rPr>
                <w:rFonts w:hint="eastAsia" w:cs="Times New Roman"/>
                <w:sz w:val="21"/>
                <w:szCs w:val="21"/>
              </w:rPr>
              <w:t>茅山自然学校</w:t>
            </w:r>
          </w:p>
        </w:tc>
        <w:tc>
          <w:tcPr>
            <w:tcW w:w="1701" w:type="dxa"/>
            <w:noWrap/>
            <w:vAlign w:val="center"/>
          </w:tcPr>
          <w:p w14:paraId="1667D87D">
            <w:pPr>
              <w:spacing w:line="240" w:lineRule="auto"/>
              <w:ind w:firstLine="0" w:firstLineChars="0"/>
              <w:jc w:val="center"/>
              <w:rPr>
                <w:rFonts w:cs="Times New Roman"/>
                <w:sz w:val="21"/>
                <w:szCs w:val="21"/>
              </w:rPr>
            </w:pPr>
            <w:r>
              <w:rPr>
                <w:rFonts w:hint="eastAsia" w:cs="Times New Roman"/>
                <w:sz w:val="21"/>
                <w:szCs w:val="21"/>
              </w:rPr>
              <w:t>119.34983</w:t>
            </w:r>
          </w:p>
        </w:tc>
        <w:tc>
          <w:tcPr>
            <w:tcW w:w="1690" w:type="dxa"/>
            <w:noWrap/>
            <w:vAlign w:val="center"/>
          </w:tcPr>
          <w:p w14:paraId="4216F821">
            <w:pPr>
              <w:spacing w:line="240" w:lineRule="auto"/>
              <w:ind w:firstLine="0" w:firstLineChars="0"/>
              <w:jc w:val="center"/>
              <w:rPr>
                <w:rFonts w:cs="Times New Roman"/>
                <w:sz w:val="21"/>
                <w:szCs w:val="21"/>
              </w:rPr>
            </w:pPr>
            <w:r>
              <w:rPr>
                <w:rFonts w:hint="eastAsia" w:cs="Times New Roman"/>
                <w:sz w:val="21"/>
                <w:szCs w:val="21"/>
              </w:rPr>
              <w:t>31.830824</w:t>
            </w:r>
          </w:p>
        </w:tc>
        <w:tc>
          <w:tcPr>
            <w:tcW w:w="1080" w:type="dxa"/>
            <w:noWrap/>
            <w:vAlign w:val="center"/>
          </w:tcPr>
          <w:p w14:paraId="0EA469B8">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035F36F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DE13A1E">
            <w:pPr>
              <w:spacing w:line="240" w:lineRule="auto"/>
              <w:ind w:firstLine="0" w:firstLineChars="0"/>
              <w:jc w:val="center"/>
              <w:rPr>
                <w:rFonts w:cs="Times New Roman"/>
                <w:sz w:val="21"/>
                <w:szCs w:val="21"/>
              </w:rPr>
            </w:pPr>
          </w:p>
        </w:tc>
        <w:tc>
          <w:tcPr>
            <w:tcW w:w="1168" w:type="dxa"/>
            <w:noWrap/>
            <w:vAlign w:val="center"/>
          </w:tcPr>
          <w:p w14:paraId="21B65509">
            <w:pPr>
              <w:spacing w:line="240" w:lineRule="auto"/>
              <w:ind w:firstLine="0" w:firstLineChars="0"/>
              <w:jc w:val="center"/>
              <w:rPr>
                <w:rFonts w:cs="Times New Roman"/>
                <w:sz w:val="21"/>
                <w:szCs w:val="21"/>
              </w:rPr>
            </w:pPr>
            <w:r>
              <w:rPr>
                <w:rFonts w:hint="eastAsia" w:cs="Times New Roman"/>
                <w:sz w:val="21"/>
                <w:szCs w:val="21"/>
              </w:rPr>
              <w:t>约20</w:t>
            </w:r>
          </w:p>
        </w:tc>
      </w:tr>
      <w:tr w14:paraId="7C307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A9D6AEE">
            <w:pPr>
              <w:pStyle w:val="39"/>
              <w:numPr>
                <w:ilvl w:val="0"/>
                <w:numId w:val="7"/>
              </w:numPr>
              <w:spacing w:line="240" w:lineRule="auto"/>
              <w:ind w:firstLineChars="0"/>
              <w:jc w:val="center"/>
              <w:rPr>
                <w:rFonts w:cs="Times New Roman"/>
                <w:sz w:val="21"/>
                <w:szCs w:val="21"/>
              </w:rPr>
            </w:pPr>
          </w:p>
        </w:tc>
        <w:tc>
          <w:tcPr>
            <w:tcW w:w="992" w:type="dxa"/>
            <w:noWrap/>
            <w:vAlign w:val="center"/>
          </w:tcPr>
          <w:p w14:paraId="60C4FE4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92CDFC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97803C6">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53842CC">
            <w:pPr>
              <w:spacing w:line="240" w:lineRule="auto"/>
              <w:ind w:firstLine="0" w:firstLineChars="0"/>
              <w:jc w:val="center"/>
              <w:rPr>
                <w:rFonts w:cs="Times New Roman"/>
                <w:sz w:val="21"/>
                <w:szCs w:val="21"/>
              </w:rPr>
            </w:pPr>
            <w:r>
              <w:rPr>
                <w:rFonts w:hint="eastAsia" w:cs="Times New Roman"/>
                <w:sz w:val="21"/>
                <w:szCs w:val="21"/>
              </w:rPr>
              <w:t>接山墩</w:t>
            </w:r>
          </w:p>
        </w:tc>
        <w:tc>
          <w:tcPr>
            <w:tcW w:w="1701" w:type="dxa"/>
            <w:noWrap/>
            <w:vAlign w:val="center"/>
          </w:tcPr>
          <w:p w14:paraId="384FFA19">
            <w:pPr>
              <w:spacing w:line="240" w:lineRule="auto"/>
              <w:ind w:firstLine="0" w:firstLineChars="0"/>
              <w:jc w:val="center"/>
              <w:rPr>
                <w:rFonts w:cs="Times New Roman"/>
                <w:sz w:val="21"/>
                <w:szCs w:val="21"/>
              </w:rPr>
            </w:pPr>
            <w:r>
              <w:rPr>
                <w:rFonts w:hint="eastAsia" w:cs="Times New Roman"/>
                <w:sz w:val="21"/>
                <w:szCs w:val="21"/>
              </w:rPr>
              <w:t>119.331722</w:t>
            </w:r>
          </w:p>
        </w:tc>
        <w:tc>
          <w:tcPr>
            <w:tcW w:w="1690" w:type="dxa"/>
            <w:noWrap/>
            <w:vAlign w:val="center"/>
          </w:tcPr>
          <w:p w14:paraId="25D1D981">
            <w:pPr>
              <w:spacing w:line="240" w:lineRule="auto"/>
              <w:ind w:firstLine="0" w:firstLineChars="0"/>
              <w:jc w:val="center"/>
              <w:rPr>
                <w:rFonts w:cs="Times New Roman"/>
                <w:sz w:val="21"/>
                <w:szCs w:val="21"/>
              </w:rPr>
            </w:pPr>
            <w:r>
              <w:rPr>
                <w:rFonts w:hint="eastAsia" w:cs="Times New Roman"/>
                <w:sz w:val="21"/>
                <w:szCs w:val="21"/>
              </w:rPr>
              <w:t>31.824002</w:t>
            </w:r>
          </w:p>
        </w:tc>
        <w:tc>
          <w:tcPr>
            <w:tcW w:w="1080" w:type="dxa"/>
            <w:noWrap/>
            <w:vAlign w:val="center"/>
          </w:tcPr>
          <w:p w14:paraId="5543547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9F58694">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58599D1F">
            <w:pPr>
              <w:spacing w:line="240" w:lineRule="auto"/>
              <w:ind w:firstLine="0" w:firstLineChars="0"/>
              <w:jc w:val="center"/>
              <w:rPr>
                <w:rFonts w:cs="Times New Roman"/>
                <w:sz w:val="21"/>
                <w:szCs w:val="21"/>
              </w:rPr>
            </w:pPr>
          </w:p>
        </w:tc>
        <w:tc>
          <w:tcPr>
            <w:tcW w:w="1168" w:type="dxa"/>
            <w:noWrap/>
            <w:vAlign w:val="center"/>
          </w:tcPr>
          <w:p w14:paraId="0BFB0308">
            <w:pPr>
              <w:spacing w:line="240" w:lineRule="auto"/>
              <w:ind w:firstLine="0" w:firstLineChars="0"/>
              <w:jc w:val="center"/>
              <w:rPr>
                <w:rFonts w:cs="Times New Roman"/>
                <w:sz w:val="21"/>
                <w:szCs w:val="21"/>
              </w:rPr>
            </w:pPr>
            <w:r>
              <w:rPr>
                <w:rFonts w:hint="eastAsia" w:cs="Times New Roman"/>
                <w:sz w:val="21"/>
                <w:szCs w:val="21"/>
              </w:rPr>
              <w:t>约100</w:t>
            </w:r>
          </w:p>
        </w:tc>
      </w:tr>
      <w:tr w14:paraId="6391F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4D23A3F">
            <w:pPr>
              <w:pStyle w:val="39"/>
              <w:numPr>
                <w:ilvl w:val="0"/>
                <w:numId w:val="7"/>
              </w:numPr>
              <w:spacing w:line="240" w:lineRule="auto"/>
              <w:ind w:firstLineChars="0"/>
              <w:jc w:val="center"/>
              <w:rPr>
                <w:rFonts w:cs="Times New Roman"/>
                <w:sz w:val="21"/>
                <w:szCs w:val="21"/>
              </w:rPr>
            </w:pPr>
          </w:p>
        </w:tc>
        <w:tc>
          <w:tcPr>
            <w:tcW w:w="992" w:type="dxa"/>
            <w:noWrap/>
            <w:vAlign w:val="center"/>
          </w:tcPr>
          <w:p w14:paraId="155E7FB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210816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D7DD77A">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65303A0">
            <w:pPr>
              <w:spacing w:line="240" w:lineRule="auto"/>
              <w:ind w:firstLine="0" w:firstLineChars="0"/>
              <w:jc w:val="center"/>
              <w:rPr>
                <w:rFonts w:cs="Times New Roman"/>
                <w:sz w:val="21"/>
                <w:szCs w:val="21"/>
              </w:rPr>
            </w:pPr>
            <w:r>
              <w:rPr>
                <w:rFonts w:hint="eastAsia" w:cs="Times New Roman"/>
                <w:sz w:val="21"/>
                <w:szCs w:val="21"/>
              </w:rPr>
              <w:t>滕甲棚</w:t>
            </w:r>
          </w:p>
        </w:tc>
        <w:tc>
          <w:tcPr>
            <w:tcW w:w="1701" w:type="dxa"/>
            <w:noWrap/>
            <w:vAlign w:val="center"/>
          </w:tcPr>
          <w:p w14:paraId="3928DFAD">
            <w:pPr>
              <w:spacing w:line="240" w:lineRule="auto"/>
              <w:ind w:firstLine="0" w:firstLineChars="0"/>
              <w:jc w:val="center"/>
              <w:rPr>
                <w:rFonts w:cs="Times New Roman"/>
                <w:sz w:val="21"/>
                <w:szCs w:val="21"/>
              </w:rPr>
            </w:pPr>
            <w:r>
              <w:rPr>
                <w:rFonts w:hint="eastAsia" w:cs="Times New Roman"/>
                <w:sz w:val="21"/>
                <w:szCs w:val="21"/>
              </w:rPr>
              <w:t>119.377081</w:t>
            </w:r>
          </w:p>
        </w:tc>
        <w:tc>
          <w:tcPr>
            <w:tcW w:w="1690" w:type="dxa"/>
            <w:noWrap/>
            <w:vAlign w:val="center"/>
          </w:tcPr>
          <w:p w14:paraId="5E43A7DD">
            <w:pPr>
              <w:spacing w:line="240" w:lineRule="auto"/>
              <w:ind w:firstLine="0" w:firstLineChars="0"/>
              <w:jc w:val="center"/>
              <w:rPr>
                <w:rFonts w:cs="Times New Roman"/>
                <w:sz w:val="21"/>
                <w:szCs w:val="21"/>
              </w:rPr>
            </w:pPr>
            <w:r>
              <w:rPr>
                <w:rFonts w:hint="eastAsia" w:cs="Times New Roman"/>
                <w:sz w:val="21"/>
                <w:szCs w:val="21"/>
              </w:rPr>
              <w:t>31.796011</w:t>
            </w:r>
          </w:p>
        </w:tc>
        <w:tc>
          <w:tcPr>
            <w:tcW w:w="1080" w:type="dxa"/>
            <w:noWrap/>
            <w:vAlign w:val="center"/>
          </w:tcPr>
          <w:p w14:paraId="6FFD2D9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EC2938C">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5241A928">
            <w:pPr>
              <w:spacing w:line="240" w:lineRule="auto"/>
              <w:ind w:firstLine="0" w:firstLineChars="0"/>
              <w:jc w:val="center"/>
              <w:rPr>
                <w:rFonts w:cs="Times New Roman"/>
                <w:sz w:val="21"/>
                <w:szCs w:val="21"/>
              </w:rPr>
            </w:pPr>
          </w:p>
        </w:tc>
        <w:tc>
          <w:tcPr>
            <w:tcW w:w="1168" w:type="dxa"/>
            <w:noWrap/>
            <w:vAlign w:val="center"/>
          </w:tcPr>
          <w:p w14:paraId="2465ECAB">
            <w:pPr>
              <w:spacing w:line="240" w:lineRule="auto"/>
              <w:ind w:firstLine="0" w:firstLineChars="0"/>
              <w:jc w:val="center"/>
              <w:rPr>
                <w:rFonts w:cs="Times New Roman"/>
                <w:sz w:val="21"/>
                <w:szCs w:val="21"/>
              </w:rPr>
            </w:pPr>
            <w:r>
              <w:rPr>
                <w:rFonts w:hint="eastAsia" w:cs="Times New Roman"/>
                <w:sz w:val="21"/>
                <w:szCs w:val="21"/>
              </w:rPr>
              <w:t>约70</w:t>
            </w:r>
          </w:p>
        </w:tc>
      </w:tr>
      <w:tr w14:paraId="2BEF6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CE75B40">
            <w:pPr>
              <w:pStyle w:val="39"/>
              <w:numPr>
                <w:ilvl w:val="0"/>
                <w:numId w:val="7"/>
              </w:numPr>
              <w:spacing w:line="240" w:lineRule="auto"/>
              <w:ind w:firstLineChars="0"/>
              <w:jc w:val="center"/>
              <w:rPr>
                <w:rFonts w:cs="Times New Roman"/>
                <w:sz w:val="21"/>
                <w:szCs w:val="21"/>
              </w:rPr>
            </w:pPr>
          </w:p>
        </w:tc>
        <w:tc>
          <w:tcPr>
            <w:tcW w:w="992" w:type="dxa"/>
            <w:noWrap/>
            <w:vAlign w:val="center"/>
          </w:tcPr>
          <w:p w14:paraId="33A84EC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A484EB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9F1718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D15215E">
            <w:pPr>
              <w:spacing w:line="240" w:lineRule="auto"/>
              <w:ind w:firstLine="0" w:firstLineChars="0"/>
              <w:jc w:val="center"/>
              <w:rPr>
                <w:rFonts w:cs="Times New Roman"/>
                <w:sz w:val="21"/>
                <w:szCs w:val="21"/>
              </w:rPr>
            </w:pPr>
            <w:r>
              <w:rPr>
                <w:rFonts w:hint="eastAsia" w:cs="Times New Roman"/>
                <w:sz w:val="21"/>
                <w:szCs w:val="21"/>
              </w:rPr>
              <w:t>致和村</w:t>
            </w:r>
          </w:p>
        </w:tc>
        <w:tc>
          <w:tcPr>
            <w:tcW w:w="1701" w:type="dxa"/>
            <w:noWrap/>
            <w:vAlign w:val="center"/>
          </w:tcPr>
          <w:p w14:paraId="49C002C3">
            <w:pPr>
              <w:spacing w:line="240" w:lineRule="auto"/>
              <w:ind w:firstLine="0" w:firstLineChars="0"/>
              <w:jc w:val="center"/>
              <w:rPr>
                <w:rFonts w:cs="Times New Roman"/>
                <w:sz w:val="21"/>
                <w:szCs w:val="21"/>
              </w:rPr>
            </w:pPr>
            <w:r>
              <w:rPr>
                <w:rFonts w:hint="eastAsia" w:cs="Times New Roman"/>
                <w:sz w:val="21"/>
                <w:szCs w:val="21"/>
              </w:rPr>
              <w:t>119.375644</w:t>
            </w:r>
          </w:p>
        </w:tc>
        <w:tc>
          <w:tcPr>
            <w:tcW w:w="1690" w:type="dxa"/>
            <w:noWrap/>
            <w:vAlign w:val="center"/>
          </w:tcPr>
          <w:p w14:paraId="72603DA5">
            <w:pPr>
              <w:spacing w:line="240" w:lineRule="auto"/>
              <w:ind w:firstLine="0" w:firstLineChars="0"/>
              <w:jc w:val="center"/>
              <w:rPr>
                <w:rFonts w:cs="Times New Roman"/>
                <w:sz w:val="21"/>
                <w:szCs w:val="21"/>
              </w:rPr>
            </w:pPr>
            <w:r>
              <w:rPr>
                <w:rFonts w:hint="eastAsia" w:cs="Times New Roman"/>
                <w:sz w:val="21"/>
                <w:szCs w:val="21"/>
              </w:rPr>
              <w:t>31.798394</w:t>
            </w:r>
          </w:p>
        </w:tc>
        <w:tc>
          <w:tcPr>
            <w:tcW w:w="1080" w:type="dxa"/>
            <w:noWrap/>
            <w:vAlign w:val="center"/>
          </w:tcPr>
          <w:p w14:paraId="13A1EE3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1F71998">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20C77BF">
            <w:pPr>
              <w:spacing w:line="240" w:lineRule="auto"/>
              <w:ind w:firstLine="0" w:firstLineChars="0"/>
              <w:jc w:val="center"/>
              <w:rPr>
                <w:rFonts w:cs="Times New Roman"/>
                <w:sz w:val="21"/>
                <w:szCs w:val="21"/>
              </w:rPr>
            </w:pPr>
          </w:p>
        </w:tc>
        <w:tc>
          <w:tcPr>
            <w:tcW w:w="1168" w:type="dxa"/>
            <w:noWrap/>
            <w:vAlign w:val="center"/>
          </w:tcPr>
          <w:p w14:paraId="62595367">
            <w:pPr>
              <w:spacing w:line="240" w:lineRule="auto"/>
              <w:ind w:firstLine="0" w:firstLineChars="0"/>
              <w:jc w:val="center"/>
              <w:rPr>
                <w:rFonts w:cs="Times New Roman"/>
                <w:sz w:val="21"/>
                <w:szCs w:val="21"/>
              </w:rPr>
            </w:pPr>
            <w:r>
              <w:rPr>
                <w:rFonts w:hint="eastAsia" w:cs="Times New Roman"/>
                <w:sz w:val="21"/>
                <w:szCs w:val="21"/>
              </w:rPr>
              <w:t>约70</w:t>
            </w:r>
          </w:p>
        </w:tc>
      </w:tr>
      <w:tr w14:paraId="541C3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70EDF01">
            <w:pPr>
              <w:pStyle w:val="39"/>
              <w:numPr>
                <w:ilvl w:val="0"/>
                <w:numId w:val="7"/>
              </w:numPr>
              <w:spacing w:line="240" w:lineRule="auto"/>
              <w:ind w:firstLineChars="0"/>
              <w:jc w:val="center"/>
              <w:rPr>
                <w:rFonts w:cs="Times New Roman"/>
                <w:sz w:val="21"/>
                <w:szCs w:val="21"/>
              </w:rPr>
            </w:pPr>
          </w:p>
        </w:tc>
        <w:tc>
          <w:tcPr>
            <w:tcW w:w="992" w:type="dxa"/>
            <w:noWrap/>
            <w:vAlign w:val="center"/>
          </w:tcPr>
          <w:p w14:paraId="2099242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6A6575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C0D22C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DD449D3">
            <w:pPr>
              <w:spacing w:line="240" w:lineRule="auto"/>
              <w:ind w:firstLine="0" w:firstLineChars="0"/>
              <w:jc w:val="center"/>
              <w:rPr>
                <w:rFonts w:cs="Times New Roman"/>
                <w:sz w:val="21"/>
                <w:szCs w:val="21"/>
              </w:rPr>
            </w:pPr>
            <w:r>
              <w:rPr>
                <w:rFonts w:hint="eastAsia" w:cs="Times New Roman"/>
                <w:sz w:val="21"/>
                <w:szCs w:val="21"/>
              </w:rPr>
              <w:t>东棚</w:t>
            </w:r>
          </w:p>
        </w:tc>
        <w:tc>
          <w:tcPr>
            <w:tcW w:w="1701" w:type="dxa"/>
            <w:noWrap/>
            <w:vAlign w:val="center"/>
          </w:tcPr>
          <w:p w14:paraId="193AAD6A">
            <w:pPr>
              <w:spacing w:line="240" w:lineRule="auto"/>
              <w:ind w:firstLine="0" w:firstLineChars="0"/>
              <w:jc w:val="center"/>
              <w:rPr>
                <w:rFonts w:cs="Times New Roman"/>
                <w:sz w:val="21"/>
                <w:szCs w:val="21"/>
              </w:rPr>
            </w:pPr>
            <w:r>
              <w:rPr>
                <w:rFonts w:hint="eastAsia" w:cs="Times New Roman"/>
                <w:sz w:val="21"/>
                <w:szCs w:val="21"/>
              </w:rPr>
              <w:t>119.379568</w:t>
            </w:r>
          </w:p>
        </w:tc>
        <w:tc>
          <w:tcPr>
            <w:tcW w:w="1690" w:type="dxa"/>
            <w:noWrap/>
            <w:vAlign w:val="center"/>
          </w:tcPr>
          <w:p w14:paraId="3CF1C49F">
            <w:pPr>
              <w:spacing w:line="240" w:lineRule="auto"/>
              <w:ind w:firstLine="0" w:firstLineChars="0"/>
              <w:jc w:val="center"/>
              <w:rPr>
                <w:rFonts w:cs="Times New Roman"/>
                <w:sz w:val="21"/>
                <w:szCs w:val="21"/>
              </w:rPr>
            </w:pPr>
            <w:r>
              <w:rPr>
                <w:rFonts w:hint="eastAsia" w:cs="Times New Roman"/>
                <w:sz w:val="21"/>
                <w:szCs w:val="21"/>
              </w:rPr>
              <w:t>31.798379</w:t>
            </w:r>
          </w:p>
        </w:tc>
        <w:tc>
          <w:tcPr>
            <w:tcW w:w="1080" w:type="dxa"/>
            <w:noWrap/>
            <w:vAlign w:val="center"/>
          </w:tcPr>
          <w:p w14:paraId="15F23FA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C5F7CBD">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AE089BF">
            <w:pPr>
              <w:spacing w:line="240" w:lineRule="auto"/>
              <w:ind w:firstLine="0" w:firstLineChars="0"/>
              <w:jc w:val="center"/>
              <w:rPr>
                <w:rFonts w:cs="Times New Roman"/>
                <w:sz w:val="21"/>
                <w:szCs w:val="21"/>
              </w:rPr>
            </w:pPr>
          </w:p>
        </w:tc>
        <w:tc>
          <w:tcPr>
            <w:tcW w:w="1168" w:type="dxa"/>
            <w:noWrap/>
            <w:vAlign w:val="center"/>
          </w:tcPr>
          <w:p w14:paraId="0752C549">
            <w:pPr>
              <w:spacing w:line="240" w:lineRule="auto"/>
              <w:ind w:firstLine="0" w:firstLineChars="0"/>
              <w:jc w:val="center"/>
              <w:rPr>
                <w:rFonts w:cs="Times New Roman"/>
                <w:sz w:val="21"/>
                <w:szCs w:val="21"/>
              </w:rPr>
            </w:pPr>
            <w:r>
              <w:rPr>
                <w:rFonts w:hint="eastAsia" w:cs="Times New Roman"/>
                <w:sz w:val="21"/>
                <w:szCs w:val="21"/>
              </w:rPr>
              <w:t>约30</w:t>
            </w:r>
          </w:p>
        </w:tc>
      </w:tr>
      <w:tr w14:paraId="12671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A96F636">
            <w:pPr>
              <w:pStyle w:val="39"/>
              <w:numPr>
                <w:ilvl w:val="0"/>
                <w:numId w:val="7"/>
              </w:numPr>
              <w:spacing w:line="240" w:lineRule="auto"/>
              <w:ind w:firstLineChars="0"/>
              <w:jc w:val="center"/>
              <w:rPr>
                <w:rFonts w:cs="Times New Roman"/>
                <w:sz w:val="21"/>
                <w:szCs w:val="21"/>
              </w:rPr>
            </w:pPr>
          </w:p>
        </w:tc>
        <w:tc>
          <w:tcPr>
            <w:tcW w:w="992" w:type="dxa"/>
            <w:noWrap/>
            <w:vAlign w:val="center"/>
          </w:tcPr>
          <w:p w14:paraId="1E83FED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33D46D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002E69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823DDE4">
            <w:pPr>
              <w:spacing w:line="240" w:lineRule="auto"/>
              <w:ind w:firstLine="0" w:firstLineChars="0"/>
              <w:jc w:val="center"/>
              <w:rPr>
                <w:rFonts w:cs="Times New Roman"/>
                <w:sz w:val="21"/>
                <w:szCs w:val="21"/>
              </w:rPr>
            </w:pPr>
            <w:r>
              <w:rPr>
                <w:rFonts w:hint="eastAsia" w:cs="Times New Roman"/>
                <w:sz w:val="21"/>
                <w:szCs w:val="21"/>
              </w:rPr>
              <w:t>彭城村</w:t>
            </w:r>
          </w:p>
        </w:tc>
        <w:tc>
          <w:tcPr>
            <w:tcW w:w="1701" w:type="dxa"/>
            <w:noWrap/>
            <w:vAlign w:val="center"/>
          </w:tcPr>
          <w:p w14:paraId="12F783F4">
            <w:pPr>
              <w:spacing w:line="240" w:lineRule="auto"/>
              <w:ind w:firstLine="0" w:firstLineChars="0"/>
              <w:jc w:val="center"/>
              <w:rPr>
                <w:rFonts w:cs="Times New Roman"/>
                <w:sz w:val="21"/>
                <w:szCs w:val="21"/>
              </w:rPr>
            </w:pPr>
            <w:r>
              <w:rPr>
                <w:rFonts w:hint="eastAsia" w:cs="Times New Roman"/>
                <w:sz w:val="21"/>
                <w:szCs w:val="21"/>
              </w:rPr>
              <w:t>119.371644</w:t>
            </w:r>
          </w:p>
        </w:tc>
        <w:tc>
          <w:tcPr>
            <w:tcW w:w="1690" w:type="dxa"/>
            <w:noWrap/>
            <w:vAlign w:val="center"/>
          </w:tcPr>
          <w:p w14:paraId="0D1CEE2D">
            <w:pPr>
              <w:spacing w:line="240" w:lineRule="auto"/>
              <w:ind w:firstLine="0" w:firstLineChars="0"/>
              <w:jc w:val="center"/>
              <w:rPr>
                <w:rFonts w:cs="Times New Roman"/>
                <w:sz w:val="21"/>
                <w:szCs w:val="21"/>
              </w:rPr>
            </w:pPr>
            <w:r>
              <w:rPr>
                <w:rFonts w:hint="eastAsia" w:cs="Times New Roman"/>
                <w:sz w:val="21"/>
                <w:szCs w:val="21"/>
              </w:rPr>
              <w:t>31.798525</w:t>
            </w:r>
          </w:p>
        </w:tc>
        <w:tc>
          <w:tcPr>
            <w:tcW w:w="1080" w:type="dxa"/>
            <w:noWrap/>
            <w:vAlign w:val="center"/>
          </w:tcPr>
          <w:p w14:paraId="35EE13C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F978FBF">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140277D">
            <w:pPr>
              <w:spacing w:line="240" w:lineRule="auto"/>
              <w:ind w:firstLine="0" w:firstLineChars="0"/>
              <w:jc w:val="center"/>
              <w:rPr>
                <w:rFonts w:cs="Times New Roman"/>
                <w:sz w:val="21"/>
                <w:szCs w:val="21"/>
              </w:rPr>
            </w:pPr>
          </w:p>
        </w:tc>
        <w:tc>
          <w:tcPr>
            <w:tcW w:w="1168" w:type="dxa"/>
            <w:noWrap/>
            <w:vAlign w:val="center"/>
          </w:tcPr>
          <w:p w14:paraId="30FFD03A">
            <w:pPr>
              <w:spacing w:line="240" w:lineRule="auto"/>
              <w:ind w:firstLine="0" w:firstLineChars="0"/>
              <w:jc w:val="center"/>
              <w:rPr>
                <w:rFonts w:cs="Times New Roman"/>
                <w:sz w:val="21"/>
                <w:szCs w:val="21"/>
              </w:rPr>
            </w:pPr>
            <w:r>
              <w:rPr>
                <w:rFonts w:hint="eastAsia" w:cs="Times New Roman"/>
                <w:sz w:val="21"/>
                <w:szCs w:val="21"/>
              </w:rPr>
              <w:t>约20</w:t>
            </w:r>
          </w:p>
        </w:tc>
      </w:tr>
      <w:tr w14:paraId="5C189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4E4EED7">
            <w:pPr>
              <w:pStyle w:val="39"/>
              <w:numPr>
                <w:ilvl w:val="0"/>
                <w:numId w:val="7"/>
              </w:numPr>
              <w:spacing w:line="240" w:lineRule="auto"/>
              <w:ind w:firstLineChars="0"/>
              <w:jc w:val="center"/>
              <w:rPr>
                <w:rFonts w:cs="Times New Roman"/>
                <w:sz w:val="21"/>
                <w:szCs w:val="21"/>
              </w:rPr>
            </w:pPr>
          </w:p>
        </w:tc>
        <w:tc>
          <w:tcPr>
            <w:tcW w:w="992" w:type="dxa"/>
            <w:noWrap/>
            <w:vAlign w:val="center"/>
          </w:tcPr>
          <w:p w14:paraId="01A6016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35FB4C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D97FDB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E790F80">
            <w:pPr>
              <w:spacing w:line="240" w:lineRule="auto"/>
              <w:ind w:firstLine="0" w:firstLineChars="0"/>
              <w:jc w:val="center"/>
              <w:rPr>
                <w:rFonts w:cs="Times New Roman"/>
                <w:sz w:val="21"/>
                <w:szCs w:val="21"/>
              </w:rPr>
            </w:pPr>
            <w:r>
              <w:rPr>
                <w:rFonts w:hint="eastAsia" w:cs="Times New Roman"/>
                <w:sz w:val="21"/>
                <w:szCs w:val="21"/>
              </w:rPr>
              <w:t>杭山村</w:t>
            </w:r>
          </w:p>
        </w:tc>
        <w:tc>
          <w:tcPr>
            <w:tcW w:w="1701" w:type="dxa"/>
            <w:noWrap/>
            <w:vAlign w:val="center"/>
          </w:tcPr>
          <w:p w14:paraId="7A3F46B6">
            <w:pPr>
              <w:spacing w:line="240" w:lineRule="auto"/>
              <w:ind w:firstLine="0" w:firstLineChars="0"/>
              <w:jc w:val="center"/>
              <w:rPr>
                <w:rFonts w:cs="Times New Roman"/>
                <w:sz w:val="21"/>
                <w:szCs w:val="21"/>
              </w:rPr>
            </w:pPr>
            <w:r>
              <w:rPr>
                <w:rFonts w:hint="eastAsia" w:cs="Times New Roman"/>
                <w:sz w:val="21"/>
                <w:szCs w:val="21"/>
              </w:rPr>
              <w:t>119.361924</w:t>
            </w:r>
          </w:p>
        </w:tc>
        <w:tc>
          <w:tcPr>
            <w:tcW w:w="1690" w:type="dxa"/>
            <w:noWrap/>
            <w:vAlign w:val="center"/>
          </w:tcPr>
          <w:p w14:paraId="115B5CD4">
            <w:pPr>
              <w:spacing w:line="240" w:lineRule="auto"/>
              <w:ind w:firstLine="0" w:firstLineChars="0"/>
              <w:jc w:val="center"/>
              <w:rPr>
                <w:rFonts w:cs="Times New Roman"/>
                <w:sz w:val="21"/>
                <w:szCs w:val="21"/>
              </w:rPr>
            </w:pPr>
            <w:r>
              <w:rPr>
                <w:rFonts w:hint="eastAsia" w:cs="Times New Roman"/>
                <w:sz w:val="21"/>
                <w:szCs w:val="21"/>
              </w:rPr>
              <w:t>31.784242</w:t>
            </w:r>
          </w:p>
        </w:tc>
        <w:tc>
          <w:tcPr>
            <w:tcW w:w="1080" w:type="dxa"/>
            <w:noWrap/>
            <w:vAlign w:val="center"/>
          </w:tcPr>
          <w:p w14:paraId="0246849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EC759BE">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6692CAF">
            <w:pPr>
              <w:spacing w:line="240" w:lineRule="auto"/>
              <w:ind w:firstLine="0" w:firstLineChars="0"/>
              <w:jc w:val="center"/>
              <w:rPr>
                <w:rFonts w:cs="Times New Roman"/>
                <w:sz w:val="21"/>
                <w:szCs w:val="21"/>
              </w:rPr>
            </w:pPr>
          </w:p>
        </w:tc>
        <w:tc>
          <w:tcPr>
            <w:tcW w:w="1168" w:type="dxa"/>
            <w:noWrap/>
            <w:vAlign w:val="center"/>
          </w:tcPr>
          <w:p w14:paraId="1B1E321E">
            <w:pPr>
              <w:spacing w:line="240" w:lineRule="auto"/>
              <w:ind w:firstLine="0" w:firstLineChars="0"/>
              <w:jc w:val="center"/>
              <w:rPr>
                <w:rFonts w:cs="Times New Roman"/>
                <w:sz w:val="21"/>
                <w:szCs w:val="21"/>
              </w:rPr>
            </w:pPr>
            <w:r>
              <w:rPr>
                <w:rFonts w:hint="eastAsia" w:cs="Times New Roman"/>
                <w:sz w:val="21"/>
                <w:szCs w:val="21"/>
              </w:rPr>
              <w:t>约300</w:t>
            </w:r>
          </w:p>
        </w:tc>
      </w:tr>
      <w:tr w14:paraId="6115D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4FF3B73">
            <w:pPr>
              <w:pStyle w:val="39"/>
              <w:numPr>
                <w:ilvl w:val="0"/>
                <w:numId w:val="7"/>
              </w:numPr>
              <w:spacing w:line="240" w:lineRule="auto"/>
              <w:ind w:firstLineChars="0"/>
              <w:jc w:val="center"/>
              <w:rPr>
                <w:rFonts w:cs="Times New Roman"/>
                <w:sz w:val="21"/>
                <w:szCs w:val="21"/>
              </w:rPr>
            </w:pPr>
          </w:p>
        </w:tc>
        <w:tc>
          <w:tcPr>
            <w:tcW w:w="992" w:type="dxa"/>
            <w:noWrap/>
            <w:vAlign w:val="center"/>
          </w:tcPr>
          <w:p w14:paraId="688D1AF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8F98C3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20BE84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714C7A1">
            <w:pPr>
              <w:spacing w:line="240" w:lineRule="auto"/>
              <w:ind w:firstLine="0" w:firstLineChars="0"/>
              <w:jc w:val="center"/>
              <w:rPr>
                <w:rFonts w:cs="Times New Roman"/>
                <w:sz w:val="21"/>
                <w:szCs w:val="21"/>
              </w:rPr>
            </w:pPr>
            <w:r>
              <w:rPr>
                <w:rFonts w:hint="eastAsia" w:cs="Times New Roman"/>
                <w:sz w:val="21"/>
                <w:szCs w:val="21"/>
              </w:rPr>
              <w:t>云湖山庄</w:t>
            </w:r>
          </w:p>
        </w:tc>
        <w:tc>
          <w:tcPr>
            <w:tcW w:w="1701" w:type="dxa"/>
            <w:noWrap/>
            <w:vAlign w:val="center"/>
          </w:tcPr>
          <w:p w14:paraId="1A29B0F1">
            <w:pPr>
              <w:spacing w:line="240" w:lineRule="auto"/>
              <w:ind w:firstLine="0" w:firstLineChars="0"/>
              <w:jc w:val="center"/>
              <w:rPr>
                <w:rFonts w:cs="Times New Roman"/>
                <w:sz w:val="21"/>
                <w:szCs w:val="21"/>
              </w:rPr>
            </w:pPr>
            <w:r>
              <w:rPr>
                <w:rFonts w:hint="eastAsia" w:cs="Times New Roman"/>
                <w:sz w:val="21"/>
                <w:szCs w:val="21"/>
              </w:rPr>
              <w:t>119.333128</w:t>
            </w:r>
          </w:p>
        </w:tc>
        <w:tc>
          <w:tcPr>
            <w:tcW w:w="1690" w:type="dxa"/>
            <w:noWrap/>
            <w:vAlign w:val="center"/>
          </w:tcPr>
          <w:p w14:paraId="4C833C68">
            <w:pPr>
              <w:spacing w:line="240" w:lineRule="auto"/>
              <w:ind w:firstLine="0" w:firstLineChars="0"/>
              <w:jc w:val="center"/>
              <w:rPr>
                <w:rFonts w:cs="Times New Roman"/>
                <w:sz w:val="21"/>
                <w:szCs w:val="21"/>
              </w:rPr>
            </w:pPr>
            <w:r>
              <w:rPr>
                <w:rFonts w:hint="eastAsia" w:cs="Times New Roman"/>
                <w:sz w:val="21"/>
                <w:szCs w:val="21"/>
              </w:rPr>
              <w:t>31.812498</w:t>
            </w:r>
          </w:p>
        </w:tc>
        <w:tc>
          <w:tcPr>
            <w:tcW w:w="1080" w:type="dxa"/>
            <w:noWrap/>
            <w:vAlign w:val="center"/>
          </w:tcPr>
          <w:p w14:paraId="55246A5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249CEF0">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0553B49">
            <w:pPr>
              <w:spacing w:line="240" w:lineRule="auto"/>
              <w:ind w:firstLine="0" w:firstLineChars="0"/>
              <w:jc w:val="center"/>
              <w:rPr>
                <w:rFonts w:cs="Times New Roman"/>
                <w:sz w:val="21"/>
                <w:szCs w:val="21"/>
              </w:rPr>
            </w:pPr>
          </w:p>
        </w:tc>
        <w:tc>
          <w:tcPr>
            <w:tcW w:w="1168" w:type="dxa"/>
            <w:noWrap/>
            <w:vAlign w:val="center"/>
          </w:tcPr>
          <w:p w14:paraId="10DB8461">
            <w:pPr>
              <w:spacing w:line="240" w:lineRule="auto"/>
              <w:ind w:firstLine="0" w:firstLineChars="0"/>
              <w:jc w:val="center"/>
              <w:rPr>
                <w:rFonts w:cs="Times New Roman"/>
                <w:sz w:val="21"/>
                <w:szCs w:val="21"/>
              </w:rPr>
            </w:pPr>
            <w:r>
              <w:rPr>
                <w:rFonts w:hint="eastAsia" w:cs="Times New Roman"/>
                <w:sz w:val="21"/>
                <w:szCs w:val="21"/>
              </w:rPr>
              <w:t>约100</w:t>
            </w:r>
          </w:p>
        </w:tc>
      </w:tr>
      <w:tr w14:paraId="07421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1DB6899">
            <w:pPr>
              <w:pStyle w:val="39"/>
              <w:numPr>
                <w:ilvl w:val="0"/>
                <w:numId w:val="7"/>
              </w:numPr>
              <w:spacing w:line="240" w:lineRule="auto"/>
              <w:ind w:firstLineChars="0"/>
              <w:jc w:val="center"/>
              <w:rPr>
                <w:rFonts w:cs="Times New Roman"/>
                <w:sz w:val="21"/>
                <w:szCs w:val="21"/>
              </w:rPr>
            </w:pPr>
          </w:p>
        </w:tc>
        <w:tc>
          <w:tcPr>
            <w:tcW w:w="992" w:type="dxa"/>
            <w:noWrap/>
            <w:vAlign w:val="center"/>
          </w:tcPr>
          <w:p w14:paraId="6BF768A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080439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F35C76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1DB71E0">
            <w:pPr>
              <w:spacing w:line="240" w:lineRule="auto"/>
              <w:ind w:firstLine="0" w:firstLineChars="0"/>
              <w:jc w:val="center"/>
              <w:rPr>
                <w:rFonts w:cs="Times New Roman"/>
                <w:sz w:val="21"/>
                <w:szCs w:val="21"/>
              </w:rPr>
            </w:pPr>
            <w:r>
              <w:rPr>
                <w:rFonts w:hint="eastAsia" w:cs="Times New Roman"/>
                <w:sz w:val="21"/>
                <w:szCs w:val="21"/>
              </w:rPr>
              <w:t>仙姑村</w:t>
            </w:r>
          </w:p>
        </w:tc>
        <w:tc>
          <w:tcPr>
            <w:tcW w:w="1701" w:type="dxa"/>
            <w:noWrap/>
            <w:vAlign w:val="center"/>
          </w:tcPr>
          <w:p w14:paraId="571DF6DE">
            <w:pPr>
              <w:spacing w:line="240" w:lineRule="auto"/>
              <w:ind w:firstLine="0" w:firstLineChars="0"/>
              <w:jc w:val="center"/>
              <w:rPr>
                <w:rFonts w:cs="Times New Roman"/>
                <w:sz w:val="21"/>
                <w:szCs w:val="21"/>
              </w:rPr>
            </w:pPr>
            <w:r>
              <w:rPr>
                <w:rFonts w:hint="eastAsia" w:cs="Times New Roman"/>
                <w:sz w:val="21"/>
                <w:szCs w:val="21"/>
              </w:rPr>
              <w:t>119.337807</w:t>
            </w:r>
          </w:p>
        </w:tc>
        <w:tc>
          <w:tcPr>
            <w:tcW w:w="1690" w:type="dxa"/>
            <w:noWrap/>
            <w:vAlign w:val="center"/>
          </w:tcPr>
          <w:p w14:paraId="0C2AB224">
            <w:pPr>
              <w:spacing w:line="240" w:lineRule="auto"/>
              <w:ind w:firstLine="0" w:firstLineChars="0"/>
              <w:jc w:val="center"/>
              <w:rPr>
                <w:rFonts w:cs="Times New Roman"/>
                <w:sz w:val="21"/>
                <w:szCs w:val="21"/>
              </w:rPr>
            </w:pPr>
            <w:r>
              <w:rPr>
                <w:rFonts w:hint="eastAsia" w:cs="Times New Roman"/>
                <w:sz w:val="21"/>
                <w:szCs w:val="21"/>
              </w:rPr>
              <w:t>31.815366</w:t>
            </w:r>
          </w:p>
        </w:tc>
        <w:tc>
          <w:tcPr>
            <w:tcW w:w="1080" w:type="dxa"/>
            <w:noWrap/>
            <w:vAlign w:val="center"/>
          </w:tcPr>
          <w:p w14:paraId="02955B5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DE17B53">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2FC6274">
            <w:pPr>
              <w:spacing w:line="240" w:lineRule="auto"/>
              <w:ind w:firstLine="0" w:firstLineChars="0"/>
              <w:jc w:val="center"/>
              <w:rPr>
                <w:rFonts w:cs="Times New Roman"/>
                <w:sz w:val="21"/>
                <w:szCs w:val="21"/>
              </w:rPr>
            </w:pPr>
          </w:p>
        </w:tc>
        <w:tc>
          <w:tcPr>
            <w:tcW w:w="1168" w:type="dxa"/>
            <w:noWrap/>
            <w:vAlign w:val="center"/>
          </w:tcPr>
          <w:p w14:paraId="6B4217F8">
            <w:pPr>
              <w:spacing w:line="240" w:lineRule="auto"/>
              <w:ind w:firstLine="0" w:firstLineChars="0"/>
              <w:jc w:val="center"/>
              <w:rPr>
                <w:rFonts w:cs="Times New Roman"/>
                <w:sz w:val="21"/>
                <w:szCs w:val="21"/>
              </w:rPr>
            </w:pPr>
            <w:r>
              <w:rPr>
                <w:rFonts w:hint="eastAsia" w:cs="Times New Roman"/>
                <w:sz w:val="21"/>
                <w:szCs w:val="21"/>
              </w:rPr>
              <w:t>约500</w:t>
            </w:r>
          </w:p>
        </w:tc>
      </w:tr>
      <w:tr w14:paraId="73E4A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A8FE996">
            <w:pPr>
              <w:pStyle w:val="39"/>
              <w:numPr>
                <w:ilvl w:val="0"/>
                <w:numId w:val="7"/>
              </w:numPr>
              <w:spacing w:line="240" w:lineRule="auto"/>
              <w:ind w:firstLineChars="0"/>
              <w:jc w:val="center"/>
              <w:rPr>
                <w:rFonts w:cs="Times New Roman"/>
                <w:sz w:val="21"/>
                <w:szCs w:val="21"/>
              </w:rPr>
            </w:pPr>
          </w:p>
        </w:tc>
        <w:tc>
          <w:tcPr>
            <w:tcW w:w="992" w:type="dxa"/>
            <w:noWrap/>
            <w:vAlign w:val="center"/>
          </w:tcPr>
          <w:p w14:paraId="37290BE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E41602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AAED0F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668520E">
            <w:pPr>
              <w:spacing w:line="240" w:lineRule="auto"/>
              <w:ind w:firstLine="0" w:firstLineChars="0"/>
              <w:jc w:val="center"/>
              <w:rPr>
                <w:rFonts w:cs="Times New Roman"/>
                <w:sz w:val="21"/>
                <w:szCs w:val="21"/>
              </w:rPr>
            </w:pPr>
            <w:r>
              <w:rPr>
                <w:rFonts w:hint="eastAsia" w:cs="Times New Roman"/>
                <w:sz w:val="21"/>
                <w:szCs w:val="21"/>
              </w:rPr>
              <w:t>胡成岗</w:t>
            </w:r>
          </w:p>
        </w:tc>
        <w:tc>
          <w:tcPr>
            <w:tcW w:w="1701" w:type="dxa"/>
            <w:noWrap/>
            <w:vAlign w:val="center"/>
          </w:tcPr>
          <w:p w14:paraId="1B4AC16A">
            <w:pPr>
              <w:spacing w:line="240" w:lineRule="auto"/>
              <w:ind w:firstLine="0" w:firstLineChars="0"/>
              <w:jc w:val="center"/>
              <w:rPr>
                <w:rFonts w:cs="Times New Roman"/>
                <w:sz w:val="21"/>
                <w:szCs w:val="21"/>
              </w:rPr>
            </w:pPr>
            <w:r>
              <w:rPr>
                <w:rFonts w:hint="eastAsia" w:cs="Times New Roman"/>
                <w:sz w:val="21"/>
                <w:szCs w:val="21"/>
              </w:rPr>
              <w:t>119.344758</w:t>
            </w:r>
          </w:p>
        </w:tc>
        <w:tc>
          <w:tcPr>
            <w:tcW w:w="1690" w:type="dxa"/>
            <w:noWrap/>
            <w:vAlign w:val="center"/>
          </w:tcPr>
          <w:p w14:paraId="5854EB44">
            <w:pPr>
              <w:spacing w:line="240" w:lineRule="auto"/>
              <w:ind w:firstLine="0" w:firstLineChars="0"/>
              <w:jc w:val="center"/>
              <w:rPr>
                <w:rFonts w:cs="Times New Roman"/>
                <w:sz w:val="21"/>
                <w:szCs w:val="21"/>
              </w:rPr>
            </w:pPr>
            <w:r>
              <w:rPr>
                <w:rFonts w:hint="eastAsia" w:cs="Times New Roman"/>
                <w:sz w:val="21"/>
                <w:szCs w:val="21"/>
              </w:rPr>
              <w:t>31.799067</w:t>
            </w:r>
          </w:p>
        </w:tc>
        <w:tc>
          <w:tcPr>
            <w:tcW w:w="1080" w:type="dxa"/>
            <w:noWrap/>
            <w:vAlign w:val="center"/>
          </w:tcPr>
          <w:p w14:paraId="0E0E261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3404116">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A7C70E4">
            <w:pPr>
              <w:spacing w:line="240" w:lineRule="auto"/>
              <w:ind w:firstLine="0" w:firstLineChars="0"/>
              <w:jc w:val="center"/>
              <w:rPr>
                <w:rFonts w:cs="Times New Roman"/>
                <w:sz w:val="21"/>
                <w:szCs w:val="21"/>
              </w:rPr>
            </w:pPr>
          </w:p>
        </w:tc>
        <w:tc>
          <w:tcPr>
            <w:tcW w:w="1168" w:type="dxa"/>
            <w:noWrap/>
            <w:vAlign w:val="center"/>
          </w:tcPr>
          <w:p w14:paraId="61E96D5B">
            <w:pPr>
              <w:spacing w:line="240" w:lineRule="auto"/>
              <w:ind w:firstLine="0" w:firstLineChars="0"/>
              <w:jc w:val="center"/>
              <w:rPr>
                <w:rFonts w:cs="Times New Roman"/>
                <w:sz w:val="21"/>
                <w:szCs w:val="21"/>
              </w:rPr>
            </w:pPr>
            <w:r>
              <w:rPr>
                <w:rFonts w:hint="eastAsia" w:cs="Times New Roman"/>
                <w:sz w:val="21"/>
                <w:szCs w:val="21"/>
              </w:rPr>
              <w:t>约20</w:t>
            </w:r>
          </w:p>
        </w:tc>
      </w:tr>
      <w:tr w14:paraId="4AB41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B392F92">
            <w:pPr>
              <w:pStyle w:val="39"/>
              <w:numPr>
                <w:ilvl w:val="0"/>
                <w:numId w:val="7"/>
              </w:numPr>
              <w:spacing w:line="240" w:lineRule="auto"/>
              <w:ind w:firstLineChars="0"/>
              <w:jc w:val="center"/>
              <w:rPr>
                <w:rFonts w:cs="Times New Roman"/>
                <w:sz w:val="21"/>
                <w:szCs w:val="21"/>
              </w:rPr>
            </w:pPr>
          </w:p>
        </w:tc>
        <w:tc>
          <w:tcPr>
            <w:tcW w:w="992" w:type="dxa"/>
            <w:noWrap/>
            <w:vAlign w:val="center"/>
          </w:tcPr>
          <w:p w14:paraId="57F29AB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7742AB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F73758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F785529">
            <w:pPr>
              <w:spacing w:line="240" w:lineRule="auto"/>
              <w:ind w:firstLine="0" w:firstLineChars="0"/>
              <w:jc w:val="center"/>
              <w:rPr>
                <w:rFonts w:cs="Times New Roman"/>
                <w:sz w:val="21"/>
                <w:szCs w:val="21"/>
              </w:rPr>
            </w:pPr>
            <w:r>
              <w:rPr>
                <w:rFonts w:hint="eastAsia" w:cs="Times New Roman"/>
                <w:sz w:val="21"/>
                <w:szCs w:val="21"/>
              </w:rPr>
              <w:t>江南医院</w:t>
            </w:r>
          </w:p>
        </w:tc>
        <w:tc>
          <w:tcPr>
            <w:tcW w:w="1701" w:type="dxa"/>
            <w:noWrap/>
            <w:vAlign w:val="center"/>
          </w:tcPr>
          <w:p w14:paraId="1EB8D464">
            <w:pPr>
              <w:spacing w:line="240" w:lineRule="auto"/>
              <w:ind w:firstLine="0" w:firstLineChars="0"/>
              <w:jc w:val="center"/>
              <w:rPr>
                <w:rFonts w:cs="Times New Roman"/>
                <w:sz w:val="21"/>
                <w:szCs w:val="21"/>
              </w:rPr>
            </w:pPr>
            <w:r>
              <w:rPr>
                <w:rFonts w:hint="eastAsia" w:cs="Times New Roman"/>
                <w:sz w:val="21"/>
                <w:szCs w:val="21"/>
              </w:rPr>
              <w:t>119.337208</w:t>
            </w:r>
          </w:p>
        </w:tc>
        <w:tc>
          <w:tcPr>
            <w:tcW w:w="1690" w:type="dxa"/>
            <w:noWrap/>
            <w:vAlign w:val="center"/>
          </w:tcPr>
          <w:p w14:paraId="4556C680">
            <w:pPr>
              <w:spacing w:line="240" w:lineRule="auto"/>
              <w:ind w:firstLine="0" w:firstLineChars="0"/>
              <w:jc w:val="center"/>
              <w:rPr>
                <w:rFonts w:cs="Times New Roman"/>
                <w:sz w:val="21"/>
                <w:szCs w:val="21"/>
              </w:rPr>
            </w:pPr>
            <w:r>
              <w:rPr>
                <w:rFonts w:hint="eastAsia" w:cs="Times New Roman"/>
                <w:sz w:val="21"/>
                <w:szCs w:val="21"/>
              </w:rPr>
              <w:t>31.789007</w:t>
            </w:r>
          </w:p>
        </w:tc>
        <w:tc>
          <w:tcPr>
            <w:tcW w:w="1080" w:type="dxa"/>
            <w:noWrap/>
            <w:vAlign w:val="center"/>
          </w:tcPr>
          <w:p w14:paraId="7506E6E9">
            <w:pPr>
              <w:spacing w:line="240" w:lineRule="auto"/>
              <w:ind w:firstLine="0" w:firstLineChars="0"/>
              <w:jc w:val="center"/>
              <w:rPr>
                <w:rFonts w:cs="Times New Roman"/>
                <w:sz w:val="21"/>
                <w:szCs w:val="21"/>
              </w:rPr>
            </w:pPr>
            <w:r>
              <w:rPr>
                <w:rFonts w:hint="eastAsia" w:cs="Times New Roman"/>
                <w:sz w:val="21"/>
                <w:szCs w:val="21"/>
              </w:rPr>
              <w:t>医患</w:t>
            </w:r>
          </w:p>
        </w:tc>
        <w:tc>
          <w:tcPr>
            <w:tcW w:w="702" w:type="dxa"/>
            <w:noWrap/>
            <w:vAlign w:val="center"/>
          </w:tcPr>
          <w:p w14:paraId="326DB8E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318434C">
            <w:pPr>
              <w:spacing w:line="240" w:lineRule="auto"/>
              <w:ind w:firstLine="0" w:firstLineChars="0"/>
              <w:jc w:val="center"/>
              <w:rPr>
                <w:rFonts w:cs="Times New Roman"/>
                <w:sz w:val="21"/>
                <w:szCs w:val="21"/>
              </w:rPr>
            </w:pPr>
          </w:p>
        </w:tc>
        <w:tc>
          <w:tcPr>
            <w:tcW w:w="1168" w:type="dxa"/>
            <w:noWrap/>
            <w:vAlign w:val="center"/>
          </w:tcPr>
          <w:p w14:paraId="47941F0D">
            <w:pPr>
              <w:spacing w:line="240" w:lineRule="auto"/>
              <w:ind w:firstLine="0" w:firstLineChars="0"/>
              <w:jc w:val="center"/>
              <w:rPr>
                <w:rFonts w:cs="Times New Roman"/>
                <w:sz w:val="21"/>
                <w:szCs w:val="21"/>
              </w:rPr>
            </w:pPr>
            <w:r>
              <w:rPr>
                <w:rFonts w:hint="eastAsia" w:cs="Times New Roman"/>
                <w:sz w:val="21"/>
                <w:szCs w:val="21"/>
              </w:rPr>
              <w:t>约150</w:t>
            </w:r>
          </w:p>
        </w:tc>
      </w:tr>
      <w:tr w14:paraId="44F56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6AED652">
            <w:pPr>
              <w:pStyle w:val="39"/>
              <w:numPr>
                <w:ilvl w:val="0"/>
                <w:numId w:val="7"/>
              </w:numPr>
              <w:spacing w:line="240" w:lineRule="auto"/>
              <w:ind w:firstLineChars="0"/>
              <w:jc w:val="center"/>
              <w:rPr>
                <w:rFonts w:cs="Times New Roman"/>
                <w:sz w:val="21"/>
                <w:szCs w:val="21"/>
              </w:rPr>
            </w:pPr>
          </w:p>
        </w:tc>
        <w:tc>
          <w:tcPr>
            <w:tcW w:w="992" w:type="dxa"/>
            <w:noWrap/>
            <w:vAlign w:val="center"/>
          </w:tcPr>
          <w:p w14:paraId="6947D59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3A8865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708D866">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B79E8D5">
            <w:pPr>
              <w:spacing w:line="240" w:lineRule="auto"/>
              <w:ind w:firstLine="0" w:firstLineChars="0"/>
              <w:jc w:val="center"/>
              <w:rPr>
                <w:rFonts w:cs="Times New Roman"/>
                <w:sz w:val="21"/>
                <w:szCs w:val="21"/>
              </w:rPr>
            </w:pPr>
            <w:r>
              <w:rPr>
                <w:rFonts w:hint="eastAsia" w:cs="Times New Roman"/>
                <w:sz w:val="21"/>
                <w:szCs w:val="21"/>
              </w:rPr>
              <w:t>茅山颐园度假酒店、养心园</w:t>
            </w:r>
          </w:p>
        </w:tc>
        <w:tc>
          <w:tcPr>
            <w:tcW w:w="1701" w:type="dxa"/>
            <w:noWrap/>
            <w:vAlign w:val="center"/>
          </w:tcPr>
          <w:p w14:paraId="508A7DD2">
            <w:pPr>
              <w:spacing w:line="240" w:lineRule="auto"/>
              <w:ind w:firstLine="0" w:firstLineChars="0"/>
              <w:jc w:val="center"/>
              <w:rPr>
                <w:rFonts w:cs="Times New Roman"/>
                <w:sz w:val="21"/>
                <w:szCs w:val="21"/>
              </w:rPr>
            </w:pPr>
            <w:r>
              <w:rPr>
                <w:rFonts w:hint="eastAsia" w:cs="Times New Roman"/>
                <w:sz w:val="21"/>
                <w:szCs w:val="21"/>
              </w:rPr>
              <w:t>119.338701</w:t>
            </w:r>
          </w:p>
        </w:tc>
        <w:tc>
          <w:tcPr>
            <w:tcW w:w="1690" w:type="dxa"/>
            <w:noWrap/>
            <w:vAlign w:val="center"/>
          </w:tcPr>
          <w:p w14:paraId="77B50C98">
            <w:pPr>
              <w:spacing w:line="240" w:lineRule="auto"/>
              <w:ind w:firstLine="0" w:firstLineChars="0"/>
              <w:jc w:val="center"/>
              <w:rPr>
                <w:rFonts w:cs="Times New Roman"/>
                <w:sz w:val="21"/>
                <w:szCs w:val="21"/>
              </w:rPr>
            </w:pPr>
            <w:r>
              <w:rPr>
                <w:rFonts w:hint="eastAsia" w:cs="Times New Roman"/>
                <w:sz w:val="21"/>
                <w:szCs w:val="21"/>
              </w:rPr>
              <w:t>31.787221</w:t>
            </w:r>
          </w:p>
        </w:tc>
        <w:tc>
          <w:tcPr>
            <w:tcW w:w="1080" w:type="dxa"/>
            <w:noWrap/>
            <w:vAlign w:val="center"/>
          </w:tcPr>
          <w:p w14:paraId="0907A6C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58FE505">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C995520">
            <w:pPr>
              <w:spacing w:line="240" w:lineRule="auto"/>
              <w:ind w:firstLine="0" w:firstLineChars="0"/>
              <w:jc w:val="center"/>
              <w:rPr>
                <w:rFonts w:cs="Times New Roman"/>
                <w:sz w:val="21"/>
                <w:szCs w:val="21"/>
              </w:rPr>
            </w:pPr>
          </w:p>
        </w:tc>
        <w:tc>
          <w:tcPr>
            <w:tcW w:w="1168" w:type="dxa"/>
            <w:noWrap/>
            <w:vAlign w:val="center"/>
          </w:tcPr>
          <w:p w14:paraId="063EECF5">
            <w:pPr>
              <w:spacing w:line="240" w:lineRule="auto"/>
              <w:ind w:firstLine="0" w:firstLineChars="0"/>
              <w:jc w:val="center"/>
              <w:rPr>
                <w:rFonts w:cs="Times New Roman"/>
                <w:sz w:val="21"/>
                <w:szCs w:val="21"/>
              </w:rPr>
            </w:pPr>
            <w:r>
              <w:rPr>
                <w:rFonts w:hint="eastAsia" w:cs="Times New Roman"/>
                <w:sz w:val="21"/>
                <w:szCs w:val="21"/>
              </w:rPr>
              <w:t>约2000</w:t>
            </w:r>
          </w:p>
        </w:tc>
      </w:tr>
      <w:tr w14:paraId="2FB15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BCD6793">
            <w:pPr>
              <w:pStyle w:val="39"/>
              <w:numPr>
                <w:ilvl w:val="0"/>
                <w:numId w:val="7"/>
              </w:numPr>
              <w:spacing w:line="240" w:lineRule="auto"/>
              <w:ind w:firstLineChars="0"/>
              <w:jc w:val="center"/>
              <w:rPr>
                <w:rFonts w:cs="Times New Roman"/>
                <w:sz w:val="21"/>
                <w:szCs w:val="21"/>
              </w:rPr>
            </w:pPr>
          </w:p>
        </w:tc>
        <w:tc>
          <w:tcPr>
            <w:tcW w:w="992" w:type="dxa"/>
            <w:noWrap/>
            <w:vAlign w:val="center"/>
          </w:tcPr>
          <w:p w14:paraId="6AB3179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077CCA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337481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F09A5F7">
            <w:pPr>
              <w:spacing w:line="240" w:lineRule="auto"/>
              <w:ind w:firstLine="0" w:firstLineChars="0"/>
              <w:jc w:val="center"/>
              <w:rPr>
                <w:rFonts w:cs="Times New Roman"/>
                <w:sz w:val="21"/>
                <w:szCs w:val="21"/>
              </w:rPr>
            </w:pPr>
            <w:r>
              <w:rPr>
                <w:rFonts w:hint="eastAsia" w:cs="Times New Roman"/>
                <w:sz w:val="21"/>
                <w:szCs w:val="21"/>
              </w:rPr>
              <w:t>茅山雅居乐明月山溪花园</w:t>
            </w:r>
          </w:p>
        </w:tc>
        <w:tc>
          <w:tcPr>
            <w:tcW w:w="1701" w:type="dxa"/>
            <w:noWrap/>
            <w:vAlign w:val="center"/>
          </w:tcPr>
          <w:p w14:paraId="079F4C38">
            <w:pPr>
              <w:spacing w:line="240" w:lineRule="auto"/>
              <w:ind w:firstLine="0" w:firstLineChars="0"/>
              <w:jc w:val="center"/>
              <w:rPr>
                <w:rFonts w:cs="Times New Roman"/>
                <w:sz w:val="21"/>
                <w:szCs w:val="21"/>
              </w:rPr>
            </w:pPr>
            <w:r>
              <w:rPr>
                <w:rFonts w:hint="eastAsia" w:cs="Times New Roman"/>
                <w:sz w:val="21"/>
                <w:szCs w:val="21"/>
              </w:rPr>
              <w:t>119.347678</w:t>
            </w:r>
          </w:p>
        </w:tc>
        <w:tc>
          <w:tcPr>
            <w:tcW w:w="1690" w:type="dxa"/>
            <w:noWrap/>
            <w:vAlign w:val="center"/>
          </w:tcPr>
          <w:p w14:paraId="1C45C5C8">
            <w:pPr>
              <w:spacing w:line="240" w:lineRule="auto"/>
              <w:ind w:firstLine="0" w:firstLineChars="0"/>
              <w:jc w:val="center"/>
              <w:rPr>
                <w:rFonts w:cs="Times New Roman"/>
                <w:sz w:val="21"/>
                <w:szCs w:val="21"/>
              </w:rPr>
            </w:pPr>
            <w:r>
              <w:rPr>
                <w:rFonts w:hint="eastAsia" w:cs="Times New Roman"/>
                <w:sz w:val="21"/>
                <w:szCs w:val="21"/>
              </w:rPr>
              <w:t>31.775107</w:t>
            </w:r>
          </w:p>
        </w:tc>
        <w:tc>
          <w:tcPr>
            <w:tcW w:w="1080" w:type="dxa"/>
            <w:noWrap/>
            <w:vAlign w:val="center"/>
          </w:tcPr>
          <w:p w14:paraId="013B711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19C8E0F">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B0E1F25">
            <w:pPr>
              <w:spacing w:line="240" w:lineRule="auto"/>
              <w:ind w:firstLine="0" w:firstLineChars="0"/>
              <w:jc w:val="center"/>
              <w:rPr>
                <w:rFonts w:cs="Times New Roman"/>
                <w:sz w:val="21"/>
                <w:szCs w:val="21"/>
              </w:rPr>
            </w:pPr>
          </w:p>
        </w:tc>
        <w:tc>
          <w:tcPr>
            <w:tcW w:w="1168" w:type="dxa"/>
            <w:noWrap/>
            <w:vAlign w:val="center"/>
          </w:tcPr>
          <w:p w14:paraId="6CD8FE28">
            <w:pPr>
              <w:spacing w:line="240" w:lineRule="auto"/>
              <w:ind w:firstLine="0" w:firstLineChars="0"/>
              <w:jc w:val="center"/>
              <w:rPr>
                <w:rFonts w:cs="Times New Roman"/>
                <w:sz w:val="21"/>
                <w:szCs w:val="21"/>
              </w:rPr>
            </w:pPr>
            <w:r>
              <w:rPr>
                <w:rFonts w:hint="eastAsia" w:cs="Times New Roman"/>
                <w:sz w:val="21"/>
                <w:szCs w:val="21"/>
              </w:rPr>
              <w:t>约700</w:t>
            </w:r>
          </w:p>
        </w:tc>
      </w:tr>
      <w:tr w14:paraId="6FB23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45E064D">
            <w:pPr>
              <w:pStyle w:val="39"/>
              <w:numPr>
                <w:ilvl w:val="0"/>
                <w:numId w:val="7"/>
              </w:numPr>
              <w:spacing w:line="240" w:lineRule="auto"/>
              <w:ind w:firstLineChars="0"/>
              <w:jc w:val="center"/>
              <w:rPr>
                <w:rFonts w:cs="Times New Roman"/>
                <w:sz w:val="21"/>
                <w:szCs w:val="21"/>
              </w:rPr>
            </w:pPr>
          </w:p>
        </w:tc>
        <w:tc>
          <w:tcPr>
            <w:tcW w:w="992" w:type="dxa"/>
            <w:noWrap/>
            <w:vAlign w:val="center"/>
          </w:tcPr>
          <w:p w14:paraId="7ECB57C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3F13D6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A9E018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6BF6405">
            <w:pPr>
              <w:spacing w:line="240" w:lineRule="auto"/>
              <w:ind w:firstLine="0" w:firstLineChars="0"/>
              <w:jc w:val="center"/>
              <w:rPr>
                <w:rFonts w:cs="Times New Roman"/>
                <w:sz w:val="21"/>
                <w:szCs w:val="21"/>
              </w:rPr>
            </w:pPr>
            <w:r>
              <w:rPr>
                <w:rFonts w:hint="eastAsia" w:cs="Times New Roman"/>
                <w:sz w:val="21"/>
                <w:szCs w:val="21"/>
              </w:rPr>
              <w:t>斜谷</w:t>
            </w:r>
          </w:p>
        </w:tc>
        <w:tc>
          <w:tcPr>
            <w:tcW w:w="1701" w:type="dxa"/>
            <w:noWrap/>
            <w:vAlign w:val="center"/>
          </w:tcPr>
          <w:p w14:paraId="3C98750D">
            <w:pPr>
              <w:spacing w:line="240" w:lineRule="auto"/>
              <w:ind w:firstLine="0" w:firstLineChars="0"/>
              <w:jc w:val="center"/>
              <w:rPr>
                <w:rFonts w:cs="Times New Roman"/>
                <w:sz w:val="21"/>
                <w:szCs w:val="21"/>
              </w:rPr>
            </w:pPr>
            <w:r>
              <w:rPr>
                <w:rFonts w:hint="eastAsia" w:cs="Times New Roman"/>
                <w:sz w:val="21"/>
                <w:szCs w:val="21"/>
              </w:rPr>
              <w:t>119.37765</w:t>
            </w:r>
          </w:p>
        </w:tc>
        <w:tc>
          <w:tcPr>
            <w:tcW w:w="1690" w:type="dxa"/>
            <w:noWrap/>
            <w:vAlign w:val="center"/>
          </w:tcPr>
          <w:p w14:paraId="4453800A">
            <w:pPr>
              <w:spacing w:line="240" w:lineRule="auto"/>
              <w:ind w:firstLine="0" w:firstLineChars="0"/>
              <w:jc w:val="center"/>
              <w:rPr>
                <w:rFonts w:cs="Times New Roman"/>
                <w:sz w:val="21"/>
                <w:szCs w:val="21"/>
              </w:rPr>
            </w:pPr>
            <w:r>
              <w:rPr>
                <w:rFonts w:hint="eastAsia" w:cs="Times New Roman"/>
                <w:sz w:val="21"/>
                <w:szCs w:val="21"/>
              </w:rPr>
              <w:t>31.777232</w:t>
            </w:r>
          </w:p>
        </w:tc>
        <w:tc>
          <w:tcPr>
            <w:tcW w:w="1080" w:type="dxa"/>
            <w:noWrap/>
            <w:vAlign w:val="center"/>
          </w:tcPr>
          <w:p w14:paraId="0F43D30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C7662D2">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A4F3A8A">
            <w:pPr>
              <w:spacing w:line="240" w:lineRule="auto"/>
              <w:ind w:firstLine="0" w:firstLineChars="0"/>
              <w:jc w:val="center"/>
              <w:rPr>
                <w:rFonts w:cs="Times New Roman"/>
                <w:sz w:val="21"/>
                <w:szCs w:val="21"/>
              </w:rPr>
            </w:pPr>
          </w:p>
        </w:tc>
        <w:tc>
          <w:tcPr>
            <w:tcW w:w="1168" w:type="dxa"/>
            <w:noWrap/>
            <w:vAlign w:val="center"/>
          </w:tcPr>
          <w:p w14:paraId="5702EB3A">
            <w:pPr>
              <w:spacing w:line="240" w:lineRule="auto"/>
              <w:ind w:firstLine="0" w:firstLineChars="0"/>
              <w:jc w:val="center"/>
              <w:rPr>
                <w:rFonts w:cs="Times New Roman"/>
                <w:sz w:val="21"/>
                <w:szCs w:val="21"/>
              </w:rPr>
            </w:pPr>
            <w:r>
              <w:rPr>
                <w:rFonts w:hint="eastAsia" w:cs="Times New Roman"/>
                <w:sz w:val="21"/>
                <w:szCs w:val="21"/>
              </w:rPr>
              <w:t>约50</w:t>
            </w:r>
          </w:p>
        </w:tc>
      </w:tr>
      <w:tr w14:paraId="5473F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487D252">
            <w:pPr>
              <w:pStyle w:val="39"/>
              <w:numPr>
                <w:ilvl w:val="0"/>
                <w:numId w:val="7"/>
              </w:numPr>
              <w:spacing w:line="240" w:lineRule="auto"/>
              <w:ind w:firstLineChars="0"/>
              <w:jc w:val="center"/>
              <w:rPr>
                <w:rFonts w:cs="Times New Roman"/>
                <w:sz w:val="21"/>
                <w:szCs w:val="21"/>
              </w:rPr>
            </w:pPr>
          </w:p>
        </w:tc>
        <w:tc>
          <w:tcPr>
            <w:tcW w:w="992" w:type="dxa"/>
            <w:noWrap/>
            <w:vAlign w:val="center"/>
          </w:tcPr>
          <w:p w14:paraId="72B081B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060FB8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C5A3A4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8383A62">
            <w:pPr>
              <w:spacing w:line="240" w:lineRule="auto"/>
              <w:ind w:firstLine="0" w:firstLineChars="0"/>
              <w:jc w:val="center"/>
              <w:rPr>
                <w:rFonts w:cs="Times New Roman"/>
                <w:sz w:val="21"/>
                <w:szCs w:val="21"/>
              </w:rPr>
            </w:pPr>
            <w:r>
              <w:rPr>
                <w:rFonts w:hint="eastAsia" w:cs="Times New Roman"/>
                <w:sz w:val="21"/>
                <w:szCs w:val="21"/>
              </w:rPr>
              <w:t>高庄</w:t>
            </w:r>
          </w:p>
        </w:tc>
        <w:tc>
          <w:tcPr>
            <w:tcW w:w="1701" w:type="dxa"/>
            <w:noWrap/>
            <w:vAlign w:val="center"/>
          </w:tcPr>
          <w:p w14:paraId="699A37EB">
            <w:pPr>
              <w:spacing w:line="240" w:lineRule="auto"/>
              <w:ind w:firstLine="0" w:firstLineChars="0"/>
              <w:jc w:val="center"/>
              <w:rPr>
                <w:rFonts w:cs="Times New Roman"/>
                <w:sz w:val="21"/>
                <w:szCs w:val="21"/>
              </w:rPr>
            </w:pPr>
            <w:r>
              <w:rPr>
                <w:rFonts w:hint="eastAsia" w:cs="Times New Roman"/>
                <w:sz w:val="21"/>
                <w:szCs w:val="21"/>
              </w:rPr>
              <w:t>119.365234</w:t>
            </w:r>
          </w:p>
        </w:tc>
        <w:tc>
          <w:tcPr>
            <w:tcW w:w="1690" w:type="dxa"/>
            <w:noWrap/>
            <w:vAlign w:val="center"/>
          </w:tcPr>
          <w:p w14:paraId="5507B2E5">
            <w:pPr>
              <w:spacing w:line="240" w:lineRule="auto"/>
              <w:ind w:firstLine="0" w:firstLineChars="0"/>
              <w:jc w:val="center"/>
              <w:rPr>
                <w:rFonts w:cs="Times New Roman"/>
                <w:sz w:val="21"/>
                <w:szCs w:val="21"/>
              </w:rPr>
            </w:pPr>
            <w:r>
              <w:rPr>
                <w:rFonts w:hint="eastAsia" w:cs="Times New Roman"/>
                <w:sz w:val="21"/>
                <w:szCs w:val="21"/>
              </w:rPr>
              <w:t>31.769246</w:t>
            </w:r>
          </w:p>
        </w:tc>
        <w:tc>
          <w:tcPr>
            <w:tcW w:w="1080" w:type="dxa"/>
            <w:noWrap/>
            <w:vAlign w:val="center"/>
          </w:tcPr>
          <w:p w14:paraId="3357A37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3D51304">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4E5DBAE">
            <w:pPr>
              <w:spacing w:line="240" w:lineRule="auto"/>
              <w:ind w:firstLine="0" w:firstLineChars="0"/>
              <w:jc w:val="center"/>
              <w:rPr>
                <w:rFonts w:cs="Times New Roman"/>
                <w:sz w:val="21"/>
                <w:szCs w:val="21"/>
              </w:rPr>
            </w:pPr>
          </w:p>
        </w:tc>
        <w:tc>
          <w:tcPr>
            <w:tcW w:w="1168" w:type="dxa"/>
            <w:noWrap/>
            <w:vAlign w:val="center"/>
          </w:tcPr>
          <w:p w14:paraId="730C7C9C">
            <w:pPr>
              <w:spacing w:line="240" w:lineRule="auto"/>
              <w:ind w:firstLine="0" w:firstLineChars="0"/>
              <w:jc w:val="center"/>
              <w:rPr>
                <w:rFonts w:cs="Times New Roman"/>
                <w:sz w:val="21"/>
                <w:szCs w:val="21"/>
              </w:rPr>
            </w:pPr>
            <w:r>
              <w:rPr>
                <w:rFonts w:hint="eastAsia" w:cs="Times New Roman"/>
                <w:sz w:val="21"/>
                <w:szCs w:val="21"/>
              </w:rPr>
              <w:t>约50</w:t>
            </w:r>
          </w:p>
        </w:tc>
      </w:tr>
      <w:tr w14:paraId="2942B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EDE8542">
            <w:pPr>
              <w:pStyle w:val="39"/>
              <w:numPr>
                <w:ilvl w:val="0"/>
                <w:numId w:val="7"/>
              </w:numPr>
              <w:spacing w:line="240" w:lineRule="auto"/>
              <w:ind w:firstLineChars="0"/>
              <w:jc w:val="center"/>
              <w:rPr>
                <w:rFonts w:cs="Times New Roman"/>
                <w:sz w:val="21"/>
                <w:szCs w:val="21"/>
              </w:rPr>
            </w:pPr>
          </w:p>
        </w:tc>
        <w:tc>
          <w:tcPr>
            <w:tcW w:w="992" w:type="dxa"/>
            <w:noWrap/>
            <w:vAlign w:val="center"/>
          </w:tcPr>
          <w:p w14:paraId="358004A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2C5DD5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8FFA76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67E6997">
            <w:pPr>
              <w:spacing w:line="240" w:lineRule="auto"/>
              <w:ind w:firstLine="0" w:firstLineChars="0"/>
              <w:jc w:val="center"/>
              <w:rPr>
                <w:rFonts w:cs="Times New Roman"/>
                <w:sz w:val="21"/>
                <w:szCs w:val="21"/>
              </w:rPr>
            </w:pPr>
            <w:r>
              <w:rPr>
                <w:rFonts w:hint="eastAsia" w:cs="Times New Roman"/>
                <w:sz w:val="21"/>
                <w:szCs w:val="21"/>
              </w:rPr>
              <w:t>雅居乐山湖城</w:t>
            </w:r>
          </w:p>
        </w:tc>
        <w:tc>
          <w:tcPr>
            <w:tcW w:w="1701" w:type="dxa"/>
            <w:noWrap/>
            <w:vAlign w:val="center"/>
          </w:tcPr>
          <w:p w14:paraId="7CD5B6BA">
            <w:pPr>
              <w:spacing w:line="240" w:lineRule="auto"/>
              <w:ind w:firstLine="0" w:firstLineChars="0"/>
              <w:jc w:val="center"/>
              <w:rPr>
                <w:rFonts w:cs="Times New Roman"/>
                <w:sz w:val="21"/>
                <w:szCs w:val="21"/>
              </w:rPr>
            </w:pPr>
            <w:r>
              <w:rPr>
                <w:rFonts w:hint="eastAsia" w:cs="Times New Roman"/>
                <w:sz w:val="21"/>
                <w:szCs w:val="21"/>
              </w:rPr>
              <w:t>119.343741</w:t>
            </w:r>
          </w:p>
        </w:tc>
        <w:tc>
          <w:tcPr>
            <w:tcW w:w="1690" w:type="dxa"/>
            <w:noWrap/>
            <w:vAlign w:val="center"/>
          </w:tcPr>
          <w:p w14:paraId="0AFD2C94">
            <w:pPr>
              <w:spacing w:line="240" w:lineRule="auto"/>
              <w:ind w:firstLine="0" w:firstLineChars="0"/>
              <w:jc w:val="center"/>
              <w:rPr>
                <w:rFonts w:cs="Times New Roman"/>
                <w:sz w:val="21"/>
                <w:szCs w:val="21"/>
              </w:rPr>
            </w:pPr>
            <w:r>
              <w:rPr>
                <w:rFonts w:hint="eastAsia" w:cs="Times New Roman"/>
                <w:sz w:val="21"/>
                <w:szCs w:val="21"/>
              </w:rPr>
              <w:t>31.763312</w:t>
            </w:r>
          </w:p>
        </w:tc>
        <w:tc>
          <w:tcPr>
            <w:tcW w:w="1080" w:type="dxa"/>
            <w:noWrap/>
            <w:vAlign w:val="center"/>
          </w:tcPr>
          <w:p w14:paraId="66A7658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4C338F3">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C7C3ADC">
            <w:pPr>
              <w:spacing w:line="240" w:lineRule="auto"/>
              <w:ind w:firstLine="0" w:firstLineChars="0"/>
              <w:jc w:val="center"/>
              <w:rPr>
                <w:rFonts w:cs="Times New Roman"/>
                <w:sz w:val="21"/>
                <w:szCs w:val="21"/>
              </w:rPr>
            </w:pPr>
          </w:p>
        </w:tc>
        <w:tc>
          <w:tcPr>
            <w:tcW w:w="1168" w:type="dxa"/>
            <w:noWrap/>
            <w:vAlign w:val="center"/>
          </w:tcPr>
          <w:p w14:paraId="1051E7BB">
            <w:pPr>
              <w:spacing w:line="240" w:lineRule="auto"/>
              <w:ind w:firstLine="0" w:firstLineChars="0"/>
              <w:jc w:val="center"/>
              <w:rPr>
                <w:rFonts w:cs="Times New Roman"/>
                <w:sz w:val="21"/>
                <w:szCs w:val="21"/>
              </w:rPr>
            </w:pPr>
            <w:r>
              <w:rPr>
                <w:rFonts w:hint="eastAsia" w:cs="Times New Roman"/>
                <w:sz w:val="21"/>
                <w:szCs w:val="21"/>
              </w:rPr>
              <w:t>约2000</w:t>
            </w:r>
          </w:p>
        </w:tc>
      </w:tr>
      <w:tr w14:paraId="58C13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CA95930">
            <w:pPr>
              <w:pStyle w:val="39"/>
              <w:numPr>
                <w:ilvl w:val="0"/>
                <w:numId w:val="7"/>
              </w:numPr>
              <w:spacing w:line="240" w:lineRule="auto"/>
              <w:ind w:firstLineChars="0"/>
              <w:jc w:val="center"/>
              <w:rPr>
                <w:rFonts w:cs="Times New Roman"/>
                <w:sz w:val="21"/>
                <w:szCs w:val="21"/>
              </w:rPr>
            </w:pPr>
          </w:p>
        </w:tc>
        <w:tc>
          <w:tcPr>
            <w:tcW w:w="992" w:type="dxa"/>
            <w:noWrap/>
            <w:vAlign w:val="center"/>
          </w:tcPr>
          <w:p w14:paraId="78D48F8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5091C8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4BB406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EE98C6A">
            <w:pPr>
              <w:spacing w:line="240" w:lineRule="auto"/>
              <w:ind w:firstLine="0" w:firstLineChars="0"/>
              <w:jc w:val="center"/>
              <w:rPr>
                <w:rFonts w:cs="Times New Roman"/>
                <w:sz w:val="21"/>
                <w:szCs w:val="21"/>
              </w:rPr>
            </w:pPr>
            <w:r>
              <w:rPr>
                <w:rFonts w:hint="eastAsia" w:cs="Times New Roman"/>
                <w:sz w:val="21"/>
                <w:szCs w:val="21"/>
              </w:rPr>
              <w:t>茅山东方盐湖城景区</w:t>
            </w:r>
          </w:p>
        </w:tc>
        <w:tc>
          <w:tcPr>
            <w:tcW w:w="1701" w:type="dxa"/>
            <w:noWrap/>
            <w:vAlign w:val="center"/>
          </w:tcPr>
          <w:p w14:paraId="5C26C42F">
            <w:pPr>
              <w:spacing w:line="240" w:lineRule="auto"/>
              <w:ind w:firstLine="0" w:firstLineChars="0"/>
              <w:jc w:val="center"/>
              <w:rPr>
                <w:rFonts w:cs="Times New Roman"/>
                <w:sz w:val="21"/>
                <w:szCs w:val="21"/>
              </w:rPr>
            </w:pPr>
            <w:r>
              <w:rPr>
                <w:rFonts w:hint="eastAsia" w:cs="Times New Roman"/>
                <w:sz w:val="21"/>
                <w:szCs w:val="21"/>
              </w:rPr>
              <w:t>119.335693</w:t>
            </w:r>
          </w:p>
        </w:tc>
        <w:tc>
          <w:tcPr>
            <w:tcW w:w="1690" w:type="dxa"/>
            <w:noWrap/>
            <w:vAlign w:val="center"/>
          </w:tcPr>
          <w:p w14:paraId="6158CE07">
            <w:pPr>
              <w:spacing w:line="240" w:lineRule="auto"/>
              <w:ind w:firstLine="0" w:firstLineChars="0"/>
              <w:jc w:val="center"/>
              <w:rPr>
                <w:rFonts w:cs="Times New Roman"/>
                <w:sz w:val="21"/>
                <w:szCs w:val="21"/>
              </w:rPr>
            </w:pPr>
            <w:r>
              <w:rPr>
                <w:rFonts w:hint="eastAsia" w:cs="Times New Roman"/>
                <w:sz w:val="21"/>
                <w:szCs w:val="21"/>
              </w:rPr>
              <w:t>31.766789</w:t>
            </w:r>
          </w:p>
        </w:tc>
        <w:tc>
          <w:tcPr>
            <w:tcW w:w="1080" w:type="dxa"/>
            <w:noWrap/>
            <w:vAlign w:val="center"/>
          </w:tcPr>
          <w:p w14:paraId="3C740907">
            <w:pPr>
              <w:spacing w:line="240" w:lineRule="auto"/>
              <w:ind w:firstLine="0" w:firstLineChars="0"/>
              <w:jc w:val="center"/>
              <w:rPr>
                <w:rFonts w:cs="Times New Roman"/>
                <w:sz w:val="21"/>
                <w:szCs w:val="21"/>
              </w:rPr>
            </w:pPr>
            <w:r>
              <w:rPr>
                <w:rFonts w:hint="eastAsia" w:cs="Times New Roman"/>
                <w:sz w:val="21"/>
                <w:szCs w:val="21"/>
              </w:rPr>
              <w:t>游客</w:t>
            </w:r>
          </w:p>
        </w:tc>
        <w:tc>
          <w:tcPr>
            <w:tcW w:w="702" w:type="dxa"/>
            <w:noWrap/>
            <w:vAlign w:val="center"/>
          </w:tcPr>
          <w:p w14:paraId="0F825A9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7E11D9B">
            <w:pPr>
              <w:spacing w:line="240" w:lineRule="auto"/>
              <w:ind w:firstLine="0" w:firstLineChars="0"/>
              <w:jc w:val="center"/>
              <w:rPr>
                <w:rFonts w:cs="Times New Roman"/>
                <w:sz w:val="21"/>
                <w:szCs w:val="21"/>
              </w:rPr>
            </w:pPr>
          </w:p>
        </w:tc>
        <w:tc>
          <w:tcPr>
            <w:tcW w:w="1168" w:type="dxa"/>
            <w:noWrap/>
            <w:vAlign w:val="center"/>
          </w:tcPr>
          <w:p w14:paraId="7E207EC0">
            <w:pPr>
              <w:spacing w:line="240" w:lineRule="auto"/>
              <w:ind w:firstLine="0" w:firstLineChars="0"/>
              <w:jc w:val="center"/>
              <w:rPr>
                <w:rFonts w:cs="Times New Roman"/>
                <w:sz w:val="21"/>
                <w:szCs w:val="21"/>
              </w:rPr>
            </w:pPr>
            <w:r>
              <w:rPr>
                <w:rFonts w:hint="eastAsia" w:cs="Times New Roman"/>
                <w:sz w:val="21"/>
                <w:szCs w:val="21"/>
              </w:rPr>
              <w:t>/</w:t>
            </w:r>
          </w:p>
        </w:tc>
      </w:tr>
      <w:tr w14:paraId="54A2A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318BE29">
            <w:pPr>
              <w:pStyle w:val="39"/>
              <w:numPr>
                <w:ilvl w:val="0"/>
                <w:numId w:val="7"/>
              </w:numPr>
              <w:spacing w:line="240" w:lineRule="auto"/>
              <w:ind w:firstLineChars="0"/>
              <w:jc w:val="center"/>
              <w:rPr>
                <w:rFonts w:cs="Times New Roman"/>
                <w:sz w:val="21"/>
                <w:szCs w:val="21"/>
              </w:rPr>
            </w:pPr>
          </w:p>
        </w:tc>
        <w:tc>
          <w:tcPr>
            <w:tcW w:w="992" w:type="dxa"/>
            <w:noWrap/>
            <w:vAlign w:val="center"/>
          </w:tcPr>
          <w:p w14:paraId="7110334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FF894E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2C5BAA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BB82B57">
            <w:pPr>
              <w:spacing w:line="240" w:lineRule="auto"/>
              <w:ind w:firstLine="0" w:firstLineChars="0"/>
              <w:jc w:val="center"/>
              <w:rPr>
                <w:rFonts w:cs="Times New Roman"/>
                <w:sz w:val="21"/>
                <w:szCs w:val="21"/>
              </w:rPr>
            </w:pPr>
            <w:r>
              <w:rPr>
                <w:rFonts w:hint="eastAsia" w:cs="Times New Roman"/>
                <w:sz w:val="21"/>
                <w:szCs w:val="21"/>
              </w:rPr>
              <w:t>金牛山庄</w:t>
            </w:r>
          </w:p>
        </w:tc>
        <w:tc>
          <w:tcPr>
            <w:tcW w:w="1701" w:type="dxa"/>
            <w:noWrap/>
            <w:vAlign w:val="center"/>
          </w:tcPr>
          <w:p w14:paraId="64064D20">
            <w:pPr>
              <w:spacing w:line="240" w:lineRule="auto"/>
              <w:ind w:firstLine="0" w:firstLineChars="0"/>
              <w:jc w:val="center"/>
              <w:rPr>
                <w:rFonts w:cs="Times New Roman"/>
                <w:sz w:val="21"/>
                <w:szCs w:val="21"/>
              </w:rPr>
            </w:pPr>
            <w:r>
              <w:rPr>
                <w:rFonts w:hint="eastAsia" w:cs="Times New Roman"/>
                <w:sz w:val="21"/>
                <w:szCs w:val="21"/>
              </w:rPr>
              <w:t>119.309029</w:t>
            </w:r>
          </w:p>
        </w:tc>
        <w:tc>
          <w:tcPr>
            <w:tcW w:w="1690" w:type="dxa"/>
            <w:noWrap/>
            <w:vAlign w:val="center"/>
          </w:tcPr>
          <w:p w14:paraId="3143702D">
            <w:pPr>
              <w:spacing w:line="240" w:lineRule="auto"/>
              <w:ind w:firstLine="0" w:firstLineChars="0"/>
              <w:jc w:val="center"/>
              <w:rPr>
                <w:rFonts w:cs="Times New Roman"/>
                <w:sz w:val="21"/>
                <w:szCs w:val="21"/>
              </w:rPr>
            </w:pPr>
            <w:r>
              <w:rPr>
                <w:rFonts w:hint="eastAsia" w:cs="Times New Roman"/>
                <w:sz w:val="21"/>
                <w:szCs w:val="21"/>
              </w:rPr>
              <w:t>31.76239</w:t>
            </w:r>
          </w:p>
        </w:tc>
        <w:tc>
          <w:tcPr>
            <w:tcW w:w="1080" w:type="dxa"/>
            <w:noWrap/>
            <w:vAlign w:val="center"/>
          </w:tcPr>
          <w:p w14:paraId="5FF8831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D1D32A6">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601314B">
            <w:pPr>
              <w:spacing w:line="240" w:lineRule="auto"/>
              <w:ind w:firstLine="0" w:firstLineChars="0"/>
              <w:jc w:val="center"/>
              <w:rPr>
                <w:rFonts w:cs="Times New Roman"/>
                <w:sz w:val="21"/>
                <w:szCs w:val="21"/>
              </w:rPr>
            </w:pPr>
          </w:p>
        </w:tc>
        <w:tc>
          <w:tcPr>
            <w:tcW w:w="1168" w:type="dxa"/>
            <w:noWrap/>
            <w:vAlign w:val="center"/>
          </w:tcPr>
          <w:p w14:paraId="1EEBFA5D">
            <w:pPr>
              <w:spacing w:line="240" w:lineRule="auto"/>
              <w:ind w:firstLine="0" w:firstLineChars="0"/>
              <w:jc w:val="center"/>
              <w:rPr>
                <w:rFonts w:cs="Times New Roman"/>
                <w:sz w:val="21"/>
                <w:szCs w:val="21"/>
              </w:rPr>
            </w:pPr>
            <w:r>
              <w:rPr>
                <w:rFonts w:hint="eastAsia" w:cs="Times New Roman"/>
                <w:sz w:val="21"/>
                <w:szCs w:val="21"/>
              </w:rPr>
              <w:t>约400</w:t>
            </w:r>
          </w:p>
        </w:tc>
      </w:tr>
      <w:tr w14:paraId="1C3B8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57DA6FC">
            <w:pPr>
              <w:pStyle w:val="39"/>
              <w:numPr>
                <w:ilvl w:val="0"/>
                <w:numId w:val="7"/>
              </w:numPr>
              <w:spacing w:line="240" w:lineRule="auto"/>
              <w:ind w:firstLineChars="0"/>
              <w:jc w:val="center"/>
              <w:rPr>
                <w:rFonts w:cs="Times New Roman"/>
                <w:sz w:val="21"/>
                <w:szCs w:val="21"/>
              </w:rPr>
            </w:pPr>
          </w:p>
        </w:tc>
        <w:tc>
          <w:tcPr>
            <w:tcW w:w="992" w:type="dxa"/>
            <w:noWrap/>
            <w:vAlign w:val="center"/>
          </w:tcPr>
          <w:p w14:paraId="3B4DDA2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7C64C3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D3C8CE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2F364EF">
            <w:pPr>
              <w:spacing w:line="240" w:lineRule="auto"/>
              <w:ind w:firstLine="0" w:firstLineChars="0"/>
              <w:jc w:val="center"/>
              <w:rPr>
                <w:rFonts w:cs="Times New Roman"/>
                <w:sz w:val="21"/>
                <w:szCs w:val="21"/>
              </w:rPr>
            </w:pPr>
            <w:r>
              <w:rPr>
                <w:rFonts w:hint="eastAsia" w:cs="Times New Roman"/>
                <w:sz w:val="21"/>
                <w:szCs w:val="21"/>
              </w:rPr>
              <w:t>山湖城花园湖畔小院</w:t>
            </w:r>
          </w:p>
        </w:tc>
        <w:tc>
          <w:tcPr>
            <w:tcW w:w="1701" w:type="dxa"/>
            <w:noWrap/>
            <w:vAlign w:val="center"/>
          </w:tcPr>
          <w:p w14:paraId="1D158AE1">
            <w:pPr>
              <w:spacing w:line="240" w:lineRule="auto"/>
              <w:ind w:firstLine="0" w:firstLineChars="0"/>
              <w:jc w:val="center"/>
              <w:rPr>
                <w:rFonts w:cs="Times New Roman"/>
                <w:sz w:val="21"/>
                <w:szCs w:val="21"/>
              </w:rPr>
            </w:pPr>
            <w:r>
              <w:rPr>
                <w:rFonts w:hint="eastAsia" w:cs="Times New Roman"/>
                <w:sz w:val="21"/>
                <w:szCs w:val="21"/>
              </w:rPr>
              <w:t>119.320356</w:t>
            </w:r>
          </w:p>
        </w:tc>
        <w:tc>
          <w:tcPr>
            <w:tcW w:w="1690" w:type="dxa"/>
            <w:noWrap/>
            <w:vAlign w:val="center"/>
          </w:tcPr>
          <w:p w14:paraId="723DAA61">
            <w:pPr>
              <w:spacing w:line="240" w:lineRule="auto"/>
              <w:ind w:firstLine="0" w:firstLineChars="0"/>
              <w:jc w:val="center"/>
              <w:rPr>
                <w:rFonts w:cs="Times New Roman"/>
                <w:sz w:val="21"/>
                <w:szCs w:val="21"/>
              </w:rPr>
            </w:pPr>
            <w:r>
              <w:rPr>
                <w:rFonts w:hint="eastAsia" w:cs="Times New Roman"/>
                <w:sz w:val="21"/>
                <w:szCs w:val="21"/>
              </w:rPr>
              <w:t>31.755369</w:t>
            </w:r>
          </w:p>
        </w:tc>
        <w:tc>
          <w:tcPr>
            <w:tcW w:w="1080" w:type="dxa"/>
            <w:noWrap/>
            <w:vAlign w:val="center"/>
          </w:tcPr>
          <w:p w14:paraId="576CE6E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5AEF894">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0872787">
            <w:pPr>
              <w:spacing w:line="240" w:lineRule="auto"/>
              <w:ind w:firstLine="0" w:firstLineChars="0"/>
              <w:jc w:val="center"/>
              <w:rPr>
                <w:rFonts w:cs="Times New Roman"/>
                <w:sz w:val="21"/>
                <w:szCs w:val="21"/>
              </w:rPr>
            </w:pPr>
          </w:p>
        </w:tc>
        <w:tc>
          <w:tcPr>
            <w:tcW w:w="1168" w:type="dxa"/>
            <w:noWrap/>
            <w:vAlign w:val="center"/>
          </w:tcPr>
          <w:p w14:paraId="4880E29F">
            <w:pPr>
              <w:spacing w:line="240" w:lineRule="auto"/>
              <w:ind w:firstLine="0" w:firstLineChars="0"/>
              <w:jc w:val="center"/>
              <w:rPr>
                <w:rFonts w:cs="Times New Roman"/>
                <w:sz w:val="21"/>
                <w:szCs w:val="21"/>
              </w:rPr>
            </w:pPr>
            <w:r>
              <w:rPr>
                <w:rFonts w:hint="eastAsia" w:cs="Times New Roman"/>
                <w:sz w:val="21"/>
                <w:szCs w:val="21"/>
              </w:rPr>
              <w:t>约2000</w:t>
            </w:r>
          </w:p>
        </w:tc>
      </w:tr>
      <w:tr w14:paraId="630F7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C55562E">
            <w:pPr>
              <w:pStyle w:val="39"/>
              <w:numPr>
                <w:ilvl w:val="0"/>
                <w:numId w:val="7"/>
              </w:numPr>
              <w:spacing w:line="240" w:lineRule="auto"/>
              <w:ind w:firstLineChars="0"/>
              <w:jc w:val="center"/>
              <w:rPr>
                <w:rFonts w:cs="Times New Roman"/>
                <w:sz w:val="21"/>
                <w:szCs w:val="21"/>
              </w:rPr>
            </w:pPr>
          </w:p>
        </w:tc>
        <w:tc>
          <w:tcPr>
            <w:tcW w:w="992" w:type="dxa"/>
            <w:noWrap/>
            <w:vAlign w:val="center"/>
          </w:tcPr>
          <w:p w14:paraId="030AF98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5EB690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BBE118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C843C8A">
            <w:pPr>
              <w:spacing w:line="240" w:lineRule="auto"/>
              <w:ind w:firstLine="0" w:firstLineChars="0"/>
              <w:jc w:val="center"/>
              <w:rPr>
                <w:rFonts w:cs="Times New Roman"/>
                <w:sz w:val="21"/>
                <w:szCs w:val="21"/>
              </w:rPr>
            </w:pPr>
            <w:r>
              <w:rPr>
                <w:rFonts w:hint="eastAsia" w:cs="Times New Roman"/>
                <w:sz w:val="21"/>
                <w:szCs w:val="21"/>
              </w:rPr>
              <w:t>恒大誉湖庄园</w:t>
            </w:r>
          </w:p>
        </w:tc>
        <w:tc>
          <w:tcPr>
            <w:tcW w:w="1701" w:type="dxa"/>
            <w:noWrap/>
            <w:vAlign w:val="center"/>
          </w:tcPr>
          <w:p w14:paraId="2D0C09CC">
            <w:pPr>
              <w:spacing w:line="240" w:lineRule="auto"/>
              <w:ind w:firstLine="0" w:firstLineChars="0"/>
              <w:jc w:val="center"/>
              <w:rPr>
                <w:rFonts w:cs="Times New Roman"/>
                <w:sz w:val="21"/>
                <w:szCs w:val="21"/>
              </w:rPr>
            </w:pPr>
            <w:r>
              <w:rPr>
                <w:rFonts w:hint="eastAsia" w:cs="Times New Roman"/>
                <w:sz w:val="21"/>
                <w:szCs w:val="21"/>
              </w:rPr>
              <w:t>119.321482</w:t>
            </w:r>
          </w:p>
        </w:tc>
        <w:tc>
          <w:tcPr>
            <w:tcW w:w="1690" w:type="dxa"/>
            <w:noWrap/>
            <w:vAlign w:val="center"/>
          </w:tcPr>
          <w:p w14:paraId="5C27A561">
            <w:pPr>
              <w:spacing w:line="240" w:lineRule="auto"/>
              <w:ind w:firstLine="0" w:firstLineChars="0"/>
              <w:jc w:val="center"/>
              <w:rPr>
                <w:rFonts w:cs="Times New Roman"/>
                <w:sz w:val="21"/>
                <w:szCs w:val="21"/>
              </w:rPr>
            </w:pPr>
            <w:r>
              <w:rPr>
                <w:rFonts w:hint="eastAsia" w:cs="Times New Roman"/>
                <w:sz w:val="21"/>
                <w:szCs w:val="21"/>
              </w:rPr>
              <w:t>31.749642</w:t>
            </w:r>
          </w:p>
        </w:tc>
        <w:tc>
          <w:tcPr>
            <w:tcW w:w="1080" w:type="dxa"/>
            <w:noWrap/>
            <w:vAlign w:val="center"/>
          </w:tcPr>
          <w:p w14:paraId="03B8E76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50BC3B0">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F7A2769">
            <w:pPr>
              <w:spacing w:line="240" w:lineRule="auto"/>
              <w:ind w:firstLine="0" w:firstLineChars="0"/>
              <w:jc w:val="center"/>
              <w:rPr>
                <w:rFonts w:cs="Times New Roman"/>
                <w:sz w:val="21"/>
                <w:szCs w:val="21"/>
              </w:rPr>
            </w:pPr>
          </w:p>
        </w:tc>
        <w:tc>
          <w:tcPr>
            <w:tcW w:w="1168" w:type="dxa"/>
            <w:noWrap/>
            <w:vAlign w:val="center"/>
          </w:tcPr>
          <w:p w14:paraId="4236A7B2">
            <w:pPr>
              <w:spacing w:line="240" w:lineRule="auto"/>
              <w:ind w:firstLine="0" w:firstLineChars="0"/>
              <w:jc w:val="center"/>
              <w:rPr>
                <w:rFonts w:cs="Times New Roman"/>
                <w:sz w:val="21"/>
                <w:szCs w:val="21"/>
              </w:rPr>
            </w:pPr>
            <w:r>
              <w:rPr>
                <w:rFonts w:hint="eastAsia" w:cs="Times New Roman"/>
                <w:sz w:val="21"/>
                <w:szCs w:val="21"/>
              </w:rPr>
              <w:t>约1000</w:t>
            </w:r>
          </w:p>
        </w:tc>
      </w:tr>
      <w:tr w14:paraId="0F4FF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38CBFF7">
            <w:pPr>
              <w:pStyle w:val="39"/>
              <w:numPr>
                <w:ilvl w:val="0"/>
                <w:numId w:val="7"/>
              </w:numPr>
              <w:spacing w:line="240" w:lineRule="auto"/>
              <w:ind w:firstLineChars="0"/>
              <w:jc w:val="center"/>
              <w:rPr>
                <w:rFonts w:cs="Times New Roman"/>
                <w:sz w:val="21"/>
                <w:szCs w:val="21"/>
              </w:rPr>
            </w:pPr>
          </w:p>
        </w:tc>
        <w:tc>
          <w:tcPr>
            <w:tcW w:w="992" w:type="dxa"/>
            <w:noWrap/>
            <w:vAlign w:val="center"/>
          </w:tcPr>
          <w:p w14:paraId="322DCF5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01933D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3B0192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07E87CD">
            <w:pPr>
              <w:spacing w:line="240" w:lineRule="auto"/>
              <w:ind w:firstLine="0" w:firstLineChars="0"/>
              <w:jc w:val="center"/>
              <w:rPr>
                <w:rFonts w:cs="Times New Roman"/>
                <w:sz w:val="21"/>
                <w:szCs w:val="21"/>
              </w:rPr>
            </w:pPr>
            <w:r>
              <w:rPr>
                <w:rFonts w:hint="eastAsia" w:cs="Times New Roman"/>
                <w:sz w:val="21"/>
                <w:szCs w:val="21"/>
              </w:rPr>
              <w:t>金坛区东进小学</w:t>
            </w:r>
          </w:p>
        </w:tc>
        <w:tc>
          <w:tcPr>
            <w:tcW w:w="1701" w:type="dxa"/>
            <w:noWrap/>
            <w:vAlign w:val="center"/>
          </w:tcPr>
          <w:p w14:paraId="2D7CC27A">
            <w:pPr>
              <w:spacing w:line="240" w:lineRule="auto"/>
              <w:ind w:firstLine="0" w:firstLineChars="0"/>
              <w:jc w:val="center"/>
              <w:rPr>
                <w:rFonts w:cs="Times New Roman"/>
                <w:sz w:val="21"/>
                <w:szCs w:val="21"/>
              </w:rPr>
            </w:pPr>
            <w:r>
              <w:rPr>
                <w:rFonts w:hint="eastAsia" w:cs="Times New Roman"/>
                <w:sz w:val="21"/>
                <w:szCs w:val="21"/>
              </w:rPr>
              <w:t>119.318374</w:t>
            </w:r>
          </w:p>
        </w:tc>
        <w:tc>
          <w:tcPr>
            <w:tcW w:w="1690" w:type="dxa"/>
            <w:noWrap/>
            <w:vAlign w:val="center"/>
          </w:tcPr>
          <w:p w14:paraId="6F2374FC">
            <w:pPr>
              <w:spacing w:line="240" w:lineRule="auto"/>
              <w:ind w:firstLine="0" w:firstLineChars="0"/>
              <w:jc w:val="center"/>
              <w:rPr>
                <w:rFonts w:cs="Times New Roman"/>
                <w:sz w:val="21"/>
                <w:szCs w:val="21"/>
              </w:rPr>
            </w:pPr>
            <w:r>
              <w:rPr>
                <w:rFonts w:hint="eastAsia" w:cs="Times New Roman"/>
                <w:sz w:val="21"/>
                <w:szCs w:val="21"/>
              </w:rPr>
              <w:t>31.750886</w:t>
            </w:r>
          </w:p>
        </w:tc>
        <w:tc>
          <w:tcPr>
            <w:tcW w:w="1080" w:type="dxa"/>
            <w:noWrap/>
            <w:vAlign w:val="center"/>
          </w:tcPr>
          <w:p w14:paraId="1C00ABCC">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48385A98">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FF113EB">
            <w:pPr>
              <w:spacing w:line="240" w:lineRule="auto"/>
              <w:ind w:firstLine="0" w:firstLineChars="0"/>
              <w:jc w:val="center"/>
              <w:rPr>
                <w:rFonts w:cs="Times New Roman"/>
                <w:sz w:val="21"/>
                <w:szCs w:val="21"/>
              </w:rPr>
            </w:pPr>
          </w:p>
        </w:tc>
        <w:tc>
          <w:tcPr>
            <w:tcW w:w="1168" w:type="dxa"/>
            <w:noWrap/>
            <w:vAlign w:val="center"/>
          </w:tcPr>
          <w:p w14:paraId="73DA160F">
            <w:pPr>
              <w:spacing w:line="240" w:lineRule="auto"/>
              <w:ind w:firstLine="0" w:firstLineChars="0"/>
              <w:jc w:val="center"/>
              <w:rPr>
                <w:rFonts w:cs="Times New Roman"/>
                <w:sz w:val="21"/>
                <w:szCs w:val="21"/>
              </w:rPr>
            </w:pPr>
            <w:r>
              <w:rPr>
                <w:rFonts w:hint="eastAsia" w:cs="Times New Roman"/>
                <w:sz w:val="21"/>
                <w:szCs w:val="21"/>
              </w:rPr>
              <w:t>约100</w:t>
            </w:r>
          </w:p>
        </w:tc>
      </w:tr>
      <w:tr w14:paraId="43557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C2B97CF">
            <w:pPr>
              <w:pStyle w:val="39"/>
              <w:numPr>
                <w:ilvl w:val="0"/>
                <w:numId w:val="7"/>
              </w:numPr>
              <w:spacing w:line="240" w:lineRule="auto"/>
              <w:ind w:firstLineChars="0"/>
              <w:jc w:val="center"/>
              <w:rPr>
                <w:rFonts w:cs="Times New Roman"/>
                <w:sz w:val="21"/>
                <w:szCs w:val="21"/>
              </w:rPr>
            </w:pPr>
          </w:p>
        </w:tc>
        <w:tc>
          <w:tcPr>
            <w:tcW w:w="992" w:type="dxa"/>
            <w:noWrap/>
            <w:vAlign w:val="center"/>
          </w:tcPr>
          <w:p w14:paraId="653BB7B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A6C5FC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22B98C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A3540AB">
            <w:pPr>
              <w:spacing w:line="240" w:lineRule="auto"/>
              <w:ind w:firstLine="0" w:firstLineChars="0"/>
              <w:jc w:val="center"/>
              <w:rPr>
                <w:rFonts w:cs="Times New Roman"/>
                <w:sz w:val="21"/>
                <w:szCs w:val="21"/>
              </w:rPr>
            </w:pPr>
            <w:r>
              <w:rPr>
                <w:rFonts w:hint="eastAsia" w:cs="Times New Roman"/>
                <w:sz w:val="21"/>
                <w:szCs w:val="21"/>
              </w:rPr>
              <w:t>桃园小区</w:t>
            </w:r>
          </w:p>
        </w:tc>
        <w:tc>
          <w:tcPr>
            <w:tcW w:w="1701" w:type="dxa"/>
            <w:noWrap/>
            <w:vAlign w:val="center"/>
          </w:tcPr>
          <w:p w14:paraId="5D16499A">
            <w:pPr>
              <w:spacing w:line="240" w:lineRule="auto"/>
              <w:ind w:firstLine="0" w:firstLineChars="0"/>
              <w:jc w:val="center"/>
              <w:rPr>
                <w:rFonts w:cs="Times New Roman"/>
                <w:sz w:val="21"/>
                <w:szCs w:val="21"/>
              </w:rPr>
            </w:pPr>
            <w:r>
              <w:rPr>
                <w:rFonts w:hint="eastAsia" w:cs="Times New Roman"/>
                <w:sz w:val="21"/>
                <w:szCs w:val="21"/>
              </w:rPr>
              <w:t>119.313504</w:t>
            </w:r>
          </w:p>
        </w:tc>
        <w:tc>
          <w:tcPr>
            <w:tcW w:w="1690" w:type="dxa"/>
            <w:noWrap/>
            <w:vAlign w:val="center"/>
          </w:tcPr>
          <w:p w14:paraId="66C3A61B">
            <w:pPr>
              <w:spacing w:line="240" w:lineRule="auto"/>
              <w:ind w:firstLine="0" w:firstLineChars="0"/>
              <w:jc w:val="center"/>
              <w:rPr>
                <w:rFonts w:cs="Times New Roman"/>
                <w:sz w:val="21"/>
                <w:szCs w:val="21"/>
              </w:rPr>
            </w:pPr>
            <w:r>
              <w:rPr>
                <w:rFonts w:hint="eastAsia" w:cs="Times New Roman"/>
                <w:sz w:val="21"/>
                <w:szCs w:val="21"/>
              </w:rPr>
              <w:t>31.746937</w:t>
            </w:r>
          </w:p>
        </w:tc>
        <w:tc>
          <w:tcPr>
            <w:tcW w:w="1080" w:type="dxa"/>
            <w:noWrap/>
            <w:vAlign w:val="center"/>
          </w:tcPr>
          <w:p w14:paraId="5042FB9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2729085">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C1F5798">
            <w:pPr>
              <w:spacing w:line="240" w:lineRule="auto"/>
              <w:ind w:firstLine="0" w:firstLineChars="0"/>
              <w:jc w:val="center"/>
              <w:rPr>
                <w:rFonts w:cs="Times New Roman"/>
                <w:sz w:val="21"/>
                <w:szCs w:val="21"/>
              </w:rPr>
            </w:pPr>
          </w:p>
        </w:tc>
        <w:tc>
          <w:tcPr>
            <w:tcW w:w="1168" w:type="dxa"/>
            <w:noWrap/>
            <w:vAlign w:val="center"/>
          </w:tcPr>
          <w:p w14:paraId="4B015C0E">
            <w:pPr>
              <w:spacing w:line="240" w:lineRule="auto"/>
              <w:ind w:firstLine="0" w:firstLineChars="0"/>
              <w:jc w:val="center"/>
              <w:rPr>
                <w:rFonts w:cs="Times New Roman"/>
                <w:sz w:val="21"/>
                <w:szCs w:val="21"/>
              </w:rPr>
            </w:pPr>
            <w:r>
              <w:rPr>
                <w:rFonts w:hint="eastAsia" w:cs="Times New Roman"/>
                <w:sz w:val="21"/>
                <w:szCs w:val="21"/>
              </w:rPr>
              <w:t>约1000</w:t>
            </w:r>
          </w:p>
        </w:tc>
      </w:tr>
      <w:tr w14:paraId="5C6CB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763153B">
            <w:pPr>
              <w:pStyle w:val="39"/>
              <w:numPr>
                <w:ilvl w:val="0"/>
                <w:numId w:val="7"/>
              </w:numPr>
              <w:spacing w:line="240" w:lineRule="auto"/>
              <w:ind w:firstLineChars="0"/>
              <w:jc w:val="center"/>
              <w:rPr>
                <w:rFonts w:cs="Times New Roman"/>
                <w:sz w:val="21"/>
                <w:szCs w:val="21"/>
              </w:rPr>
            </w:pPr>
          </w:p>
        </w:tc>
        <w:tc>
          <w:tcPr>
            <w:tcW w:w="992" w:type="dxa"/>
            <w:noWrap/>
            <w:vAlign w:val="center"/>
          </w:tcPr>
          <w:p w14:paraId="6D3BDDE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009496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E1511D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A6B8ED3">
            <w:pPr>
              <w:spacing w:line="240" w:lineRule="auto"/>
              <w:ind w:firstLine="0" w:firstLineChars="0"/>
              <w:jc w:val="center"/>
              <w:rPr>
                <w:rFonts w:cs="Times New Roman"/>
                <w:sz w:val="21"/>
                <w:szCs w:val="21"/>
              </w:rPr>
            </w:pPr>
            <w:r>
              <w:rPr>
                <w:rFonts w:hint="eastAsia" w:cs="Times New Roman"/>
                <w:sz w:val="21"/>
                <w:szCs w:val="21"/>
              </w:rPr>
              <w:t>桃源山庄</w:t>
            </w:r>
          </w:p>
        </w:tc>
        <w:tc>
          <w:tcPr>
            <w:tcW w:w="1701" w:type="dxa"/>
            <w:noWrap/>
            <w:vAlign w:val="center"/>
          </w:tcPr>
          <w:p w14:paraId="5DD684A4">
            <w:pPr>
              <w:spacing w:line="240" w:lineRule="auto"/>
              <w:ind w:firstLine="0" w:firstLineChars="0"/>
              <w:jc w:val="center"/>
              <w:rPr>
                <w:rFonts w:cs="Times New Roman"/>
                <w:sz w:val="21"/>
                <w:szCs w:val="21"/>
              </w:rPr>
            </w:pPr>
            <w:r>
              <w:rPr>
                <w:rFonts w:hint="eastAsia" w:cs="Times New Roman"/>
                <w:sz w:val="21"/>
                <w:szCs w:val="21"/>
              </w:rPr>
              <w:t>119.306367</w:t>
            </w:r>
          </w:p>
        </w:tc>
        <w:tc>
          <w:tcPr>
            <w:tcW w:w="1690" w:type="dxa"/>
            <w:noWrap/>
            <w:vAlign w:val="center"/>
          </w:tcPr>
          <w:p w14:paraId="36B0ED59">
            <w:pPr>
              <w:spacing w:line="240" w:lineRule="auto"/>
              <w:ind w:firstLine="0" w:firstLineChars="0"/>
              <w:jc w:val="center"/>
              <w:rPr>
                <w:rFonts w:cs="Times New Roman"/>
                <w:sz w:val="21"/>
                <w:szCs w:val="21"/>
              </w:rPr>
            </w:pPr>
            <w:r>
              <w:rPr>
                <w:rFonts w:hint="eastAsia" w:cs="Times New Roman"/>
                <w:sz w:val="21"/>
                <w:szCs w:val="21"/>
              </w:rPr>
              <w:t>31.746306</w:t>
            </w:r>
          </w:p>
        </w:tc>
        <w:tc>
          <w:tcPr>
            <w:tcW w:w="1080" w:type="dxa"/>
            <w:noWrap/>
            <w:vAlign w:val="center"/>
          </w:tcPr>
          <w:p w14:paraId="127E0BC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46526B4">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3106D73">
            <w:pPr>
              <w:spacing w:line="240" w:lineRule="auto"/>
              <w:ind w:firstLine="0" w:firstLineChars="0"/>
              <w:jc w:val="center"/>
              <w:rPr>
                <w:rFonts w:cs="Times New Roman"/>
                <w:sz w:val="21"/>
                <w:szCs w:val="21"/>
              </w:rPr>
            </w:pPr>
          </w:p>
        </w:tc>
        <w:tc>
          <w:tcPr>
            <w:tcW w:w="1168" w:type="dxa"/>
            <w:noWrap/>
            <w:vAlign w:val="center"/>
          </w:tcPr>
          <w:p w14:paraId="1E0B0A76">
            <w:pPr>
              <w:spacing w:line="240" w:lineRule="auto"/>
              <w:ind w:firstLine="0" w:firstLineChars="0"/>
              <w:jc w:val="center"/>
              <w:rPr>
                <w:rFonts w:cs="Times New Roman"/>
                <w:sz w:val="21"/>
                <w:szCs w:val="21"/>
              </w:rPr>
            </w:pPr>
            <w:r>
              <w:rPr>
                <w:rFonts w:hint="eastAsia" w:cs="Times New Roman"/>
                <w:sz w:val="21"/>
                <w:szCs w:val="21"/>
              </w:rPr>
              <w:t>约1000</w:t>
            </w:r>
          </w:p>
        </w:tc>
      </w:tr>
      <w:tr w14:paraId="5E610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82C830E">
            <w:pPr>
              <w:pStyle w:val="39"/>
              <w:numPr>
                <w:ilvl w:val="0"/>
                <w:numId w:val="7"/>
              </w:numPr>
              <w:spacing w:line="240" w:lineRule="auto"/>
              <w:ind w:firstLineChars="0"/>
              <w:jc w:val="center"/>
              <w:rPr>
                <w:rFonts w:cs="Times New Roman"/>
                <w:sz w:val="21"/>
                <w:szCs w:val="21"/>
              </w:rPr>
            </w:pPr>
          </w:p>
        </w:tc>
        <w:tc>
          <w:tcPr>
            <w:tcW w:w="992" w:type="dxa"/>
            <w:noWrap/>
            <w:vAlign w:val="center"/>
          </w:tcPr>
          <w:p w14:paraId="651C95A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973FC6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6EBF39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51AEF70">
            <w:pPr>
              <w:spacing w:line="240" w:lineRule="auto"/>
              <w:ind w:firstLine="0" w:firstLineChars="0"/>
              <w:jc w:val="center"/>
              <w:rPr>
                <w:rFonts w:cs="Times New Roman"/>
                <w:sz w:val="21"/>
                <w:szCs w:val="21"/>
              </w:rPr>
            </w:pPr>
            <w:r>
              <w:rPr>
                <w:rFonts w:hint="eastAsia" w:cs="Times New Roman"/>
                <w:sz w:val="21"/>
                <w:szCs w:val="21"/>
              </w:rPr>
              <w:t>茅山东湖花苑</w:t>
            </w:r>
          </w:p>
        </w:tc>
        <w:tc>
          <w:tcPr>
            <w:tcW w:w="1701" w:type="dxa"/>
            <w:noWrap/>
            <w:vAlign w:val="center"/>
          </w:tcPr>
          <w:p w14:paraId="12FEB54B">
            <w:pPr>
              <w:spacing w:line="240" w:lineRule="auto"/>
              <w:ind w:firstLine="0" w:firstLineChars="0"/>
              <w:jc w:val="center"/>
              <w:rPr>
                <w:rFonts w:cs="Times New Roman"/>
                <w:sz w:val="21"/>
                <w:szCs w:val="21"/>
              </w:rPr>
            </w:pPr>
            <w:r>
              <w:rPr>
                <w:rFonts w:hint="eastAsia" w:cs="Times New Roman"/>
                <w:sz w:val="21"/>
                <w:szCs w:val="21"/>
              </w:rPr>
              <w:t>119.319229</w:t>
            </w:r>
          </w:p>
        </w:tc>
        <w:tc>
          <w:tcPr>
            <w:tcW w:w="1690" w:type="dxa"/>
            <w:noWrap/>
            <w:vAlign w:val="center"/>
          </w:tcPr>
          <w:p w14:paraId="4AF07FBD">
            <w:pPr>
              <w:spacing w:line="240" w:lineRule="auto"/>
              <w:ind w:firstLine="0" w:firstLineChars="0"/>
              <w:jc w:val="center"/>
              <w:rPr>
                <w:rFonts w:cs="Times New Roman"/>
                <w:sz w:val="21"/>
                <w:szCs w:val="21"/>
              </w:rPr>
            </w:pPr>
            <w:r>
              <w:rPr>
                <w:rFonts w:hint="eastAsia" w:cs="Times New Roman"/>
                <w:sz w:val="21"/>
                <w:szCs w:val="21"/>
              </w:rPr>
              <w:t>31.738394</w:t>
            </w:r>
          </w:p>
        </w:tc>
        <w:tc>
          <w:tcPr>
            <w:tcW w:w="1080" w:type="dxa"/>
            <w:noWrap/>
            <w:vAlign w:val="center"/>
          </w:tcPr>
          <w:p w14:paraId="6919CFA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0E2D044">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5F0D01B">
            <w:pPr>
              <w:spacing w:line="240" w:lineRule="auto"/>
              <w:ind w:firstLine="0" w:firstLineChars="0"/>
              <w:jc w:val="center"/>
              <w:rPr>
                <w:rFonts w:cs="Times New Roman"/>
                <w:sz w:val="21"/>
                <w:szCs w:val="21"/>
              </w:rPr>
            </w:pPr>
          </w:p>
        </w:tc>
        <w:tc>
          <w:tcPr>
            <w:tcW w:w="1168" w:type="dxa"/>
            <w:noWrap/>
            <w:vAlign w:val="center"/>
          </w:tcPr>
          <w:p w14:paraId="43803A8A">
            <w:pPr>
              <w:spacing w:line="240" w:lineRule="auto"/>
              <w:ind w:firstLine="0" w:firstLineChars="0"/>
              <w:jc w:val="center"/>
              <w:rPr>
                <w:rFonts w:cs="Times New Roman"/>
                <w:sz w:val="21"/>
                <w:szCs w:val="21"/>
              </w:rPr>
            </w:pPr>
            <w:r>
              <w:rPr>
                <w:rFonts w:hint="eastAsia" w:cs="Times New Roman"/>
                <w:sz w:val="21"/>
                <w:szCs w:val="21"/>
              </w:rPr>
              <w:t>约800</w:t>
            </w:r>
          </w:p>
        </w:tc>
      </w:tr>
      <w:tr w14:paraId="34DBB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3771F66">
            <w:pPr>
              <w:pStyle w:val="39"/>
              <w:numPr>
                <w:ilvl w:val="0"/>
                <w:numId w:val="7"/>
              </w:numPr>
              <w:spacing w:line="240" w:lineRule="auto"/>
              <w:ind w:firstLineChars="0"/>
              <w:jc w:val="center"/>
              <w:rPr>
                <w:rFonts w:cs="Times New Roman"/>
                <w:sz w:val="21"/>
                <w:szCs w:val="21"/>
              </w:rPr>
            </w:pPr>
          </w:p>
        </w:tc>
        <w:tc>
          <w:tcPr>
            <w:tcW w:w="992" w:type="dxa"/>
            <w:noWrap/>
            <w:vAlign w:val="center"/>
          </w:tcPr>
          <w:p w14:paraId="0DE7782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49001B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0ECB93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97D4A19">
            <w:pPr>
              <w:spacing w:line="240" w:lineRule="auto"/>
              <w:ind w:firstLine="0" w:firstLineChars="0"/>
              <w:jc w:val="center"/>
              <w:rPr>
                <w:rFonts w:cs="Times New Roman"/>
                <w:sz w:val="21"/>
                <w:szCs w:val="21"/>
              </w:rPr>
            </w:pPr>
            <w:r>
              <w:rPr>
                <w:rFonts w:hint="eastAsia" w:cs="Times New Roman"/>
                <w:sz w:val="21"/>
                <w:szCs w:val="21"/>
              </w:rPr>
              <w:t>段岗</w:t>
            </w:r>
          </w:p>
        </w:tc>
        <w:tc>
          <w:tcPr>
            <w:tcW w:w="1701" w:type="dxa"/>
            <w:noWrap/>
            <w:vAlign w:val="center"/>
          </w:tcPr>
          <w:p w14:paraId="45D7AFC2">
            <w:pPr>
              <w:spacing w:line="240" w:lineRule="auto"/>
              <w:ind w:firstLine="0" w:firstLineChars="0"/>
              <w:jc w:val="center"/>
              <w:rPr>
                <w:rFonts w:cs="Times New Roman"/>
                <w:sz w:val="21"/>
                <w:szCs w:val="21"/>
              </w:rPr>
            </w:pPr>
            <w:r>
              <w:rPr>
                <w:rFonts w:hint="eastAsia" w:cs="Times New Roman"/>
                <w:sz w:val="21"/>
                <w:szCs w:val="21"/>
              </w:rPr>
              <w:t>119.340551</w:t>
            </w:r>
          </w:p>
        </w:tc>
        <w:tc>
          <w:tcPr>
            <w:tcW w:w="1690" w:type="dxa"/>
            <w:noWrap/>
            <w:vAlign w:val="center"/>
          </w:tcPr>
          <w:p w14:paraId="3FA03FCB">
            <w:pPr>
              <w:spacing w:line="240" w:lineRule="auto"/>
              <w:ind w:firstLine="0" w:firstLineChars="0"/>
              <w:jc w:val="center"/>
              <w:rPr>
                <w:rFonts w:cs="Times New Roman"/>
                <w:sz w:val="21"/>
                <w:szCs w:val="21"/>
              </w:rPr>
            </w:pPr>
            <w:r>
              <w:rPr>
                <w:rFonts w:hint="eastAsia" w:cs="Times New Roman"/>
                <w:sz w:val="21"/>
                <w:szCs w:val="21"/>
              </w:rPr>
              <w:t>31.735293</w:t>
            </w:r>
          </w:p>
        </w:tc>
        <w:tc>
          <w:tcPr>
            <w:tcW w:w="1080" w:type="dxa"/>
            <w:noWrap/>
            <w:vAlign w:val="center"/>
          </w:tcPr>
          <w:p w14:paraId="265137D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0EB01C3">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D94EE43">
            <w:pPr>
              <w:spacing w:line="240" w:lineRule="auto"/>
              <w:ind w:firstLine="0" w:firstLineChars="0"/>
              <w:jc w:val="center"/>
              <w:rPr>
                <w:rFonts w:cs="Times New Roman"/>
                <w:sz w:val="21"/>
                <w:szCs w:val="21"/>
              </w:rPr>
            </w:pPr>
          </w:p>
        </w:tc>
        <w:tc>
          <w:tcPr>
            <w:tcW w:w="1168" w:type="dxa"/>
            <w:noWrap/>
            <w:vAlign w:val="center"/>
          </w:tcPr>
          <w:p w14:paraId="4DAE8DEE">
            <w:pPr>
              <w:spacing w:line="240" w:lineRule="auto"/>
              <w:ind w:firstLine="0" w:firstLineChars="0"/>
              <w:jc w:val="center"/>
              <w:rPr>
                <w:rFonts w:cs="Times New Roman"/>
                <w:sz w:val="21"/>
                <w:szCs w:val="21"/>
              </w:rPr>
            </w:pPr>
            <w:r>
              <w:rPr>
                <w:rFonts w:hint="eastAsia" w:cs="Times New Roman"/>
                <w:sz w:val="21"/>
                <w:szCs w:val="21"/>
              </w:rPr>
              <w:t>约20</w:t>
            </w:r>
          </w:p>
        </w:tc>
      </w:tr>
      <w:tr w14:paraId="3D32E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1AD64C2">
            <w:pPr>
              <w:pStyle w:val="39"/>
              <w:numPr>
                <w:ilvl w:val="0"/>
                <w:numId w:val="7"/>
              </w:numPr>
              <w:spacing w:line="240" w:lineRule="auto"/>
              <w:ind w:firstLineChars="0"/>
              <w:jc w:val="center"/>
              <w:rPr>
                <w:rFonts w:cs="Times New Roman"/>
                <w:sz w:val="21"/>
                <w:szCs w:val="21"/>
              </w:rPr>
            </w:pPr>
          </w:p>
        </w:tc>
        <w:tc>
          <w:tcPr>
            <w:tcW w:w="992" w:type="dxa"/>
            <w:noWrap/>
            <w:vAlign w:val="center"/>
          </w:tcPr>
          <w:p w14:paraId="2117701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9CB82F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623A4B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033C6DE">
            <w:pPr>
              <w:spacing w:line="240" w:lineRule="auto"/>
              <w:ind w:firstLine="0" w:firstLineChars="0"/>
              <w:jc w:val="center"/>
              <w:rPr>
                <w:rFonts w:cs="Times New Roman"/>
                <w:sz w:val="21"/>
                <w:szCs w:val="21"/>
              </w:rPr>
            </w:pPr>
            <w:r>
              <w:rPr>
                <w:rFonts w:hint="eastAsia" w:cs="Times New Roman"/>
                <w:sz w:val="21"/>
                <w:szCs w:val="21"/>
              </w:rPr>
              <w:t>五里棚</w:t>
            </w:r>
          </w:p>
        </w:tc>
        <w:tc>
          <w:tcPr>
            <w:tcW w:w="1701" w:type="dxa"/>
            <w:noWrap/>
            <w:vAlign w:val="center"/>
          </w:tcPr>
          <w:p w14:paraId="69414CB8">
            <w:pPr>
              <w:spacing w:line="240" w:lineRule="auto"/>
              <w:ind w:firstLine="0" w:firstLineChars="0"/>
              <w:jc w:val="center"/>
              <w:rPr>
                <w:rFonts w:cs="Times New Roman"/>
                <w:sz w:val="21"/>
                <w:szCs w:val="21"/>
              </w:rPr>
            </w:pPr>
            <w:r>
              <w:rPr>
                <w:rFonts w:hint="eastAsia" w:cs="Times New Roman"/>
                <w:sz w:val="21"/>
                <w:szCs w:val="21"/>
              </w:rPr>
              <w:t>119.342195</w:t>
            </w:r>
          </w:p>
        </w:tc>
        <w:tc>
          <w:tcPr>
            <w:tcW w:w="1690" w:type="dxa"/>
            <w:noWrap/>
            <w:vAlign w:val="center"/>
          </w:tcPr>
          <w:p w14:paraId="1651B800">
            <w:pPr>
              <w:spacing w:line="240" w:lineRule="auto"/>
              <w:ind w:firstLine="0" w:firstLineChars="0"/>
              <w:jc w:val="center"/>
              <w:rPr>
                <w:rFonts w:cs="Times New Roman"/>
                <w:sz w:val="21"/>
                <w:szCs w:val="21"/>
              </w:rPr>
            </w:pPr>
            <w:r>
              <w:rPr>
                <w:rFonts w:hint="eastAsia" w:cs="Times New Roman"/>
                <w:sz w:val="21"/>
                <w:szCs w:val="21"/>
              </w:rPr>
              <w:t>31.722922</w:t>
            </w:r>
          </w:p>
        </w:tc>
        <w:tc>
          <w:tcPr>
            <w:tcW w:w="1080" w:type="dxa"/>
            <w:noWrap/>
            <w:vAlign w:val="center"/>
          </w:tcPr>
          <w:p w14:paraId="1FCB13A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593269F">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3B0CF96">
            <w:pPr>
              <w:spacing w:line="240" w:lineRule="auto"/>
              <w:ind w:firstLine="0" w:firstLineChars="0"/>
              <w:jc w:val="center"/>
              <w:rPr>
                <w:rFonts w:cs="Times New Roman"/>
                <w:sz w:val="21"/>
                <w:szCs w:val="21"/>
              </w:rPr>
            </w:pPr>
          </w:p>
        </w:tc>
        <w:tc>
          <w:tcPr>
            <w:tcW w:w="1168" w:type="dxa"/>
            <w:noWrap/>
            <w:vAlign w:val="center"/>
          </w:tcPr>
          <w:p w14:paraId="03EBDBCD">
            <w:pPr>
              <w:spacing w:line="240" w:lineRule="auto"/>
              <w:ind w:firstLine="0" w:firstLineChars="0"/>
              <w:jc w:val="center"/>
              <w:rPr>
                <w:rFonts w:cs="Times New Roman"/>
                <w:sz w:val="21"/>
                <w:szCs w:val="21"/>
              </w:rPr>
            </w:pPr>
            <w:r>
              <w:rPr>
                <w:rFonts w:hint="eastAsia" w:cs="Times New Roman"/>
                <w:sz w:val="21"/>
                <w:szCs w:val="21"/>
              </w:rPr>
              <w:t>约30</w:t>
            </w:r>
          </w:p>
        </w:tc>
      </w:tr>
      <w:tr w14:paraId="246A6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9EE2FE4">
            <w:pPr>
              <w:pStyle w:val="39"/>
              <w:numPr>
                <w:ilvl w:val="0"/>
                <w:numId w:val="7"/>
              </w:numPr>
              <w:spacing w:line="240" w:lineRule="auto"/>
              <w:ind w:firstLineChars="0"/>
              <w:jc w:val="center"/>
              <w:rPr>
                <w:rFonts w:cs="Times New Roman"/>
                <w:sz w:val="21"/>
                <w:szCs w:val="21"/>
              </w:rPr>
            </w:pPr>
          </w:p>
        </w:tc>
        <w:tc>
          <w:tcPr>
            <w:tcW w:w="992" w:type="dxa"/>
            <w:noWrap/>
            <w:vAlign w:val="center"/>
          </w:tcPr>
          <w:p w14:paraId="6F5A45B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89FF3A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2E991E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1A96C0C">
            <w:pPr>
              <w:spacing w:line="240" w:lineRule="auto"/>
              <w:ind w:firstLine="0" w:firstLineChars="0"/>
              <w:jc w:val="center"/>
              <w:rPr>
                <w:rFonts w:cs="Times New Roman"/>
                <w:sz w:val="21"/>
                <w:szCs w:val="21"/>
              </w:rPr>
            </w:pPr>
            <w:r>
              <w:rPr>
                <w:rFonts w:hint="eastAsia" w:cs="Times New Roman"/>
                <w:sz w:val="21"/>
                <w:szCs w:val="21"/>
              </w:rPr>
              <w:t>黄庄</w:t>
            </w:r>
          </w:p>
        </w:tc>
        <w:tc>
          <w:tcPr>
            <w:tcW w:w="1701" w:type="dxa"/>
            <w:noWrap/>
            <w:vAlign w:val="center"/>
          </w:tcPr>
          <w:p w14:paraId="7CFEE095">
            <w:pPr>
              <w:spacing w:line="240" w:lineRule="auto"/>
              <w:ind w:firstLine="0" w:firstLineChars="0"/>
              <w:jc w:val="center"/>
              <w:rPr>
                <w:rFonts w:cs="Times New Roman"/>
                <w:sz w:val="21"/>
                <w:szCs w:val="21"/>
              </w:rPr>
            </w:pPr>
            <w:r>
              <w:rPr>
                <w:rFonts w:hint="eastAsia" w:cs="Times New Roman"/>
                <w:sz w:val="21"/>
                <w:szCs w:val="21"/>
              </w:rPr>
              <w:t>119.37238</w:t>
            </w:r>
          </w:p>
        </w:tc>
        <w:tc>
          <w:tcPr>
            <w:tcW w:w="1690" w:type="dxa"/>
            <w:noWrap/>
            <w:vAlign w:val="center"/>
          </w:tcPr>
          <w:p w14:paraId="5E64E2D6">
            <w:pPr>
              <w:spacing w:line="240" w:lineRule="auto"/>
              <w:ind w:firstLine="0" w:firstLineChars="0"/>
              <w:jc w:val="center"/>
              <w:rPr>
                <w:rFonts w:cs="Times New Roman"/>
                <w:sz w:val="21"/>
                <w:szCs w:val="21"/>
              </w:rPr>
            </w:pPr>
            <w:r>
              <w:rPr>
                <w:rFonts w:hint="eastAsia" w:cs="Times New Roman"/>
                <w:sz w:val="21"/>
                <w:szCs w:val="21"/>
              </w:rPr>
              <w:t>31.753248</w:t>
            </w:r>
          </w:p>
        </w:tc>
        <w:tc>
          <w:tcPr>
            <w:tcW w:w="1080" w:type="dxa"/>
            <w:noWrap/>
            <w:vAlign w:val="center"/>
          </w:tcPr>
          <w:p w14:paraId="35AC701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7EBD6F0">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501B0903">
            <w:pPr>
              <w:spacing w:line="240" w:lineRule="auto"/>
              <w:ind w:firstLine="0" w:firstLineChars="0"/>
              <w:jc w:val="center"/>
              <w:rPr>
                <w:rFonts w:cs="Times New Roman"/>
                <w:sz w:val="21"/>
                <w:szCs w:val="21"/>
              </w:rPr>
            </w:pPr>
          </w:p>
        </w:tc>
        <w:tc>
          <w:tcPr>
            <w:tcW w:w="1168" w:type="dxa"/>
            <w:noWrap/>
            <w:vAlign w:val="center"/>
          </w:tcPr>
          <w:p w14:paraId="3EE81FC2">
            <w:pPr>
              <w:spacing w:line="240" w:lineRule="auto"/>
              <w:ind w:firstLine="0" w:firstLineChars="0"/>
              <w:jc w:val="center"/>
              <w:rPr>
                <w:rFonts w:cs="Times New Roman"/>
                <w:sz w:val="21"/>
                <w:szCs w:val="21"/>
              </w:rPr>
            </w:pPr>
            <w:r>
              <w:rPr>
                <w:rFonts w:hint="eastAsia" w:cs="Times New Roman"/>
                <w:sz w:val="21"/>
                <w:szCs w:val="21"/>
              </w:rPr>
              <w:t>约20</w:t>
            </w:r>
          </w:p>
        </w:tc>
      </w:tr>
      <w:tr w14:paraId="3D340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30210B6">
            <w:pPr>
              <w:pStyle w:val="39"/>
              <w:numPr>
                <w:ilvl w:val="0"/>
                <w:numId w:val="7"/>
              </w:numPr>
              <w:spacing w:line="240" w:lineRule="auto"/>
              <w:ind w:firstLineChars="0"/>
              <w:jc w:val="center"/>
              <w:rPr>
                <w:rFonts w:cs="Times New Roman"/>
                <w:sz w:val="21"/>
                <w:szCs w:val="21"/>
              </w:rPr>
            </w:pPr>
          </w:p>
        </w:tc>
        <w:tc>
          <w:tcPr>
            <w:tcW w:w="992" w:type="dxa"/>
            <w:noWrap/>
            <w:vAlign w:val="center"/>
          </w:tcPr>
          <w:p w14:paraId="6ABAFC3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111548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BD8D6D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F1435BC">
            <w:pPr>
              <w:spacing w:line="240" w:lineRule="auto"/>
              <w:ind w:firstLine="0" w:firstLineChars="0"/>
              <w:jc w:val="center"/>
              <w:rPr>
                <w:rFonts w:cs="Times New Roman"/>
                <w:sz w:val="21"/>
                <w:szCs w:val="21"/>
              </w:rPr>
            </w:pPr>
            <w:r>
              <w:rPr>
                <w:rFonts w:hint="eastAsia" w:cs="Times New Roman"/>
                <w:sz w:val="21"/>
                <w:szCs w:val="21"/>
              </w:rPr>
              <w:t>大凹</w:t>
            </w:r>
          </w:p>
        </w:tc>
        <w:tc>
          <w:tcPr>
            <w:tcW w:w="1701" w:type="dxa"/>
            <w:noWrap/>
            <w:vAlign w:val="center"/>
          </w:tcPr>
          <w:p w14:paraId="446353B7">
            <w:pPr>
              <w:spacing w:line="240" w:lineRule="auto"/>
              <w:ind w:firstLine="0" w:firstLineChars="0"/>
              <w:jc w:val="center"/>
              <w:rPr>
                <w:rFonts w:cs="Times New Roman"/>
                <w:sz w:val="21"/>
                <w:szCs w:val="21"/>
              </w:rPr>
            </w:pPr>
            <w:r>
              <w:rPr>
                <w:rFonts w:hint="eastAsia" w:cs="Times New Roman"/>
                <w:sz w:val="21"/>
                <w:szCs w:val="21"/>
              </w:rPr>
              <w:t>119.367029</w:t>
            </w:r>
          </w:p>
        </w:tc>
        <w:tc>
          <w:tcPr>
            <w:tcW w:w="1690" w:type="dxa"/>
            <w:noWrap/>
            <w:vAlign w:val="center"/>
          </w:tcPr>
          <w:p w14:paraId="0CC8EF62">
            <w:pPr>
              <w:spacing w:line="240" w:lineRule="auto"/>
              <w:ind w:firstLine="0" w:firstLineChars="0"/>
              <w:jc w:val="center"/>
              <w:rPr>
                <w:rFonts w:cs="Times New Roman"/>
                <w:sz w:val="21"/>
                <w:szCs w:val="21"/>
              </w:rPr>
            </w:pPr>
            <w:r>
              <w:rPr>
                <w:rFonts w:hint="eastAsia" w:cs="Times New Roman"/>
                <w:sz w:val="21"/>
                <w:szCs w:val="21"/>
              </w:rPr>
              <w:t>31.747523</w:t>
            </w:r>
          </w:p>
        </w:tc>
        <w:tc>
          <w:tcPr>
            <w:tcW w:w="1080" w:type="dxa"/>
            <w:noWrap/>
            <w:vAlign w:val="center"/>
          </w:tcPr>
          <w:p w14:paraId="27C4CD6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90CCB36">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A439663">
            <w:pPr>
              <w:spacing w:line="240" w:lineRule="auto"/>
              <w:ind w:firstLine="0" w:firstLineChars="0"/>
              <w:jc w:val="center"/>
              <w:rPr>
                <w:rFonts w:cs="Times New Roman"/>
                <w:sz w:val="21"/>
                <w:szCs w:val="21"/>
              </w:rPr>
            </w:pPr>
          </w:p>
        </w:tc>
        <w:tc>
          <w:tcPr>
            <w:tcW w:w="1168" w:type="dxa"/>
            <w:noWrap/>
            <w:vAlign w:val="center"/>
          </w:tcPr>
          <w:p w14:paraId="34DFDF25">
            <w:pPr>
              <w:spacing w:line="240" w:lineRule="auto"/>
              <w:ind w:firstLine="0" w:firstLineChars="0"/>
              <w:jc w:val="center"/>
              <w:rPr>
                <w:rFonts w:cs="Times New Roman"/>
                <w:sz w:val="21"/>
                <w:szCs w:val="21"/>
              </w:rPr>
            </w:pPr>
            <w:r>
              <w:rPr>
                <w:rFonts w:hint="eastAsia" w:cs="Times New Roman"/>
                <w:sz w:val="21"/>
                <w:szCs w:val="21"/>
              </w:rPr>
              <w:t>约30</w:t>
            </w:r>
          </w:p>
        </w:tc>
      </w:tr>
      <w:tr w14:paraId="7CDE4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7DA9326">
            <w:pPr>
              <w:pStyle w:val="39"/>
              <w:numPr>
                <w:ilvl w:val="0"/>
                <w:numId w:val="7"/>
              </w:numPr>
              <w:spacing w:line="240" w:lineRule="auto"/>
              <w:ind w:firstLineChars="0"/>
              <w:jc w:val="center"/>
              <w:rPr>
                <w:rFonts w:cs="Times New Roman"/>
                <w:sz w:val="21"/>
                <w:szCs w:val="21"/>
              </w:rPr>
            </w:pPr>
          </w:p>
        </w:tc>
        <w:tc>
          <w:tcPr>
            <w:tcW w:w="992" w:type="dxa"/>
            <w:noWrap/>
            <w:vAlign w:val="center"/>
          </w:tcPr>
          <w:p w14:paraId="1CF3207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8CCAAB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B747A8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7115F43">
            <w:pPr>
              <w:spacing w:line="240" w:lineRule="auto"/>
              <w:ind w:firstLine="0" w:firstLineChars="0"/>
              <w:jc w:val="center"/>
              <w:rPr>
                <w:rFonts w:cs="Times New Roman"/>
                <w:sz w:val="21"/>
                <w:szCs w:val="21"/>
              </w:rPr>
            </w:pPr>
            <w:r>
              <w:rPr>
                <w:rFonts w:hint="eastAsia" w:cs="Times New Roman"/>
                <w:sz w:val="21"/>
                <w:szCs w:val="21"/>
              </w:rPr>
              <w:t>三棵大树</w:t>
            </w:r>
          </w:p>
        </w:tc>
        <w:tc>
          <w:tcPr>
            <w:tcW w:w="1701" w:type="dxa"/>
            <w:noWrap/>
            <w:vAlign w:val="center"/>
          </w:tcPr>
          <w:p w14:paraId="09429299">
            <w:pPr>
              <w:spacing w:line="240" w:lineRule="auto"/>
              <w:ind w:firstLine="0" w:firstLineChars="0"/>
              <w:jc w:val="center"/>
              <w:rPr>
                <w:rFonts w:cs="Times New Roman"/>
                <w:sz w:val="21"/>
                <w:szCs w:val="21"/>
              </w:rPr>
            </w:pPr>
            <w:r>
              <w:rPr>
                <w:rFonts w:hint="eastAsia" w:cs="Times New Roman"/>
                <w:sz w:val="21"/>
                <w:szCs w:val="21"/>
              </w:rPr>
              <w:t>119.371158</w:t>
            </w:r>
          </w:p>
        </w:tc>
        <w:tc>
          <w:tcPr>
            <w:tcW w:w="1690" w:type="dxa"/>
            <w:noWrap/>
            <w:vAlign w:val="center"/>
          </w:tcPr>
          <w:p w14:paraId="0B8EA6C0">
            <w:pPr>
              <w:spacing w:line="240" w:lineRule="auto"/>
              <w:ind w:firstLine="0" w:firstLineChars="0"/>
              <w:jc w:val="center"/>
              <w:rPr>
                <w:rFonts w:cs="Times New Roman"/>
                <w:sz w:val="21"/>
                <w:szCs w:val="21"/>
              </w:rPr>
            </w:pPr>
            <w:r>
              <w:rPr>
                <w:rFonts w:hint="eastAsia" w:cs="Times New Roman"/>
                <w:sz w:val="21"/>
                <w:szCs w:val="21"/>
              </w:rPr>
              <w:t>31.747951</w:t>
            </w:r>
          </w:p>
        </w:tc>
        <w:tc>
          <w:tcPr>
            <w:tcW w:w="1080" w:type="dxa"/>
            <w:noWrap/>
            <w:vAlign w:val="center"/>
          </w:tcPr>
          <w:p w14:paraId="47C4D2A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756F2F4">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4268E5C">
            <w:pPr>
              <w:spacing w:line="240" w:lineRule="auto"/>
              <w:ind w:firstLine="0" w:firstLineChars="0"/>
              <w:jc w:val="center"/>
              <w:rPr>
                <w:rFonts w:cs="Times New Roman"/>
                <w:sz w:val="21"/>
                <w:szCs w:val="21"/>
              </w:rPr>
            </w:pPr>
          </w:p>
        </w:tc>
        <w:tc>
          <w:tcPr>
            <w:tcW w:w="1168" w:type="dxa"/>
            <w:noWrap/>
            <w:vAlign w:val="center"/>
          </w:tcPr>
          <w:p w14:paraId="011201FF">
            <w:pPr>
              <w:spacing w:line="240" w:lineRule="auto"/>
              <w:ind w:firstLine="0" w:firstLineChars="0"/>
              <w:jc w:val="center"/>
              <w:rPr>
                <w:rFonts w:cs="Times New Roman"/>
                <w:sz w:val="21"/>
                <w:szCs w:val="21"/>
              </w:rPr>
            </w:pPr>
            <w:r>
              <w:rPr>
                <w:rFonts w:hint="eastAsia" w:cs="Times New Roman"/>
                <w:sz w:val="21"/>
                <w:szCs w:val="21"/>
              </w:rPr>
              <w:t>约10</w:t>
            </w:r>
          </w:p>
        </w:tc>
      </w:tr>
      <w:tr w14:paraId="48B5E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F99DDBE">
            <w:pPr>
              <w:pStyle w:val="39"/>
              <w:numPr>
                <w:ilvl w:val="0"/>
                <w:numId w:val="7"/>
              </w:numPr>
              <w:spacing w:line="240" w:lineRule="auto"/>
              <w:ind w:firstLineChars="0"/>
              <w:jc w:val="center"/>
              <w:rPr>
                <w:rFonts w:cs="Times New Roman"/>
                <w:sz w:val="21"/>
                <w:szCs w:val="21"/>
              </w:rPr>
            </w:pPr>
          </w:p>
        </w:tc>
        <w:tc>
          <w:tcPr>
            <w:tcW w:w="992" w:type="dxa"/>
            <w:noWrap/>
            <w:vAlign w:val="center"/>
          </w:tcPr>
          <w:p w14:paraId="3B304AC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D21859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403E76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A5AFDBB">
            <w:pPr>
              <w:spacing w:line="240" w:lineRule="auto"/>
              <w:ind w:firstLine="0" w:firstLineChars="0"/>
              <w:jc w:val="center"/>
              <w:rPr>
                <w:rFonts w:cs="Times New Roman"/>
                <w:sz w:val="21"/>
                <w:szCs w:val="21"/>
              </w:rPr>
            </w:pPr>
            <w:r>
              <w:rPr>
                <w:rFonts w:hint="eastAsia" w:cs="Times New Roman"/>
                <w:sz w:val="21"/>
                <w:szCs w:val="21"/>
              </w:rPr>
              <w:t>石头路</w:t>
            </w:r>
          </w:p>
        </w:tc>
        <w:tc>
          <w:tcPr>
            <w:tcW w:w="1701" w:type="dxa"/>
            <w:noWrap/>
            <w:vAlign w:val="center"/>
          </w:tcPr>
          <w:p w14:paraId="40E20704">
            <w:pPr>
              <w:spacing w:line="240" w:lineRule="auto"/>
              <w:ind w:firstLine="0" w:firstLineChars="0"/>
              <w:jc w:val="center"/>
              <w:rPr>
                <w:rFonts w:cs="Times New Roman"/>
                <w:sz w:val="21"/>
                <w:szCs w:val="21"/>
              </w:rPr>
            </w:pPr>
            <w:r>
              <w:rPr>
                <w:rFonts w:hint="eastAsia" w:cs="Times New Roman"/>
                <w:sz w:val="21"/>
                <w:szCs w:val="21"/>
              </w:rPr>
              <w:t>119.364044</w:t>
            </w:r>
          </w:p>
        </w:tc>
        <w:tc>
          <w:tcPr>
            <w:tcW w:w="1690" w:type="dxa"/>
            <w:noWrap/>
            <w:vAlign w:val="center"/>
          </w:tcPr>
          <w:p w14:paraId="6BAD4527">
            <w:pPr>
              <w:spacing w:line="240" w:lineRule="auto"/>
              <w:ind w:firstLine="0" w:firstLineChars="0"/>
              <w:jc w:val="center"/>
              <w:rPr>
                <w:rFonts w:cs="Times New Roman"/>
                <w:sz w:val="21"/>
                <w:szCs w:val="21"/>
              </w:rPr>
            </w:pPr>
            <w:r>
              <w:rPr>
                <w:rFonts w:hint="eastAsia" w:cs="Times New Roman"/>
                <w:sz w:val="21"/>
                <w:szCs w:val="21"/>
              </w:rPr>
              <w:t>31.73548</w:t>
            </w:r>
          </w:p>
        </w:tc>
        <w:tc>
          <w:tcPr>
            <w:tcW w:w="1080" w:type="dxa"/>
            <w:noWrap/>
            <w:vAlign w:val="center"/>
          </w:tcPr>
          <w:p w14:paraId="3638E77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6A241A8">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4207D0D">
            <w:pPr>
              <w:spacing w:line="240" w:lineRule="auto"/>
              <w:ind w:firstLine="0" w:firstLineChars="0"/>
              <w:jc w:val="center"/>
              <w:rPr>
                <w:rFonts w:cs="Times New Roman"/>
                <w:sz w:val="21"/>
                <w:szCs w:val="21"/>
              </w:rPr>
            </w:pPr>
          </w:p>
        </w:tc>
        <w:tc>
          <w:tcPr>
            <w:tcW w:w="1168" w:type="dxa"/>
            <w:noWrap/>
            <w:vAlign w:val="center"/>
          </w:tcPr>
          <w:p w14:paraId="6C10C64F">
            <w:pPr>
              <w:spacing w:line="240" w:lineRule="auto"/>
              <w:ind w:firstLine="0" w:firstLineChars="0"/>
              <w:jc w:val="center"/>
              <w:rPr>
                <w:rFonts w:cs="Times New Roman"/>
                <w:sz w:val="21"/>
                <w:szCs w:val="21"/>
              </w:rPr>
            </w:pPr>
            <w:r>
              <w:rPr>
                <w:rFonts w:hint="eastAsia" w:cs="Times New Roman"/>
                <w:sz w:val="21"/>
                <w:szCs w:val="21"/>
              </w:rPr>
              <w:t>约20</w:t>
            </w:r>
          </w:p>
        </w:tc>
      </w:tr>
      <w:tr w14:paraId="60B44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776FE7E">
            <w:pPr>
              <w:pStyle w:val="39"/>
              <w:numPr>
                <w:ilvl w:val="0"/>
                <w:numId w:val="7"/>
              </w:numPr>
              <w:spacing w:line="240" w:lineRule="auto"/>
              <w:ind w:firstLineChars="0"/>
              <w:jc w:val="center"/>
              <w:rPr>
                <w:rFonts w:cs="Times New Roman"/>
                <w:sz w:val="21"/>
                <w:szCs w:val="21"/>
              </w:rPr>
            </w:pPr>
          </w:p>
        </w:tc>
        <w:tc>
          <w:tcPr>
            <w:tcW w:w="992" w:type="dxa"/>
            <w:noWrap/>
            <w:vAlign w:val="center"/>
          </w:tcPr>
          <w:p w14:paraId="0747AD5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E091D1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626C33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A1DED6B">
            <w:pPr>
              <w:spacing w:line="240" w:lineRule="auto"/>
              <w:ind w:firstLine="0" w:firstLineChars="0"/>
              <w:jc w:val="center"/>
              <w:rPr>
                <w:rFonts w:cs="Times New Roman"/>
                <w:sz w:val="21"/>
                <w:szCs w:val="21"/>
              </w:rPr>
            </w:pPr>
            <w:r>
              <w:rPr>
                <w:rFonts w:hint="eastAsia" w:cs="Times New Roman"/>
                <w:sz w:val="21"/>
                <w:szCs w:val="21"/>
              </w:rPr>
              <w:t>郭笪</w:t>
            </w:r>
          </w:p>
        </w:tc>
        <w:tc>
          <w:tcPr>
            <w:tcW w:w="1701" w:type="dxa"/>
            <w:noWrap/>
            <w:vAlign w:val="center"/>
          </w:tcPr>
          <w:p w14:paraId="1A63EB35">
            <w:pPr>
              <w:spacing w:line="240" w:lineRule="auto"/>
              <w:ind w:firstLine="0" w:firstLineChars="0"/>
              <w:jc w:val="center"/>
              <w:rPr>
                <w:rFonts w:cs="Times New Roman"/>
                <w:sz w:val="21"/>
                <w:szCs w:val="21"/>
              </w:rPr>
            </w:pPr>
            <w:r>
              <w:rPr>
                <w:rFonts w:hint="eastAsia" w:cs="Times New Roman"/>
                <w:sz w:val="21"/>
                <w:szCs w:val="21"/>
              </w:rPr>
              <w:t>119.365771</w:t>
            </w:r>
          </w:p>
        </w:tc>
        <w:tc>
          <w:tcPr>
            <w:tcW w:w="1690" w:type="dxa"/>
            <w:noWrap/>
            <w:vAlign w:val="center"/>
          </w:tcPr>
          <w:p w14:paraId="68B0A498">
            <w:pPr>
              <w:spacing w:line="240" w:lineRule="auto"/>
              <w:ind w:firstLine="0" w:firstLineChars="0"/>
              <w:jc w:val="center"/>
              <w:rPr>
                <w:rFonts w:cs="Times New Roman"/>
                <w:sz w:val="21"/>
                <w:szCs w:val="21"/>
              </w:rPr>
            </w:pPr>
            <w:r>
              <w:rPr>
                <w:rFonts w:hint="eastAsia" w:cs="Times New Roman"/>
                <w:sz w:val="21"/>
                <w:szCs w:val="21"/>
              </w:rPr>
              <w:t>31.737404</w:t>
            </w:r>
          </w:p>
        </w:tc>
        <w:tc>
          <w:tcPr>
            <w:tcW w:w="1080" w:type="dxa"/>
            <w:noWrap/>
            <w:vAlign w:val="center"/>
          </w:tcPr>
          <w:p w14:paraId="51D545E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9842FE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F6E052A">
            <w:pPr>
              <w:spacing w:line="240" w:lineRule="auto"/>
              <w:ind w:firstLine="0" w:firstLineChars="0"/>
              <w:jc w:val="center"/>
              <w:rPr>
                <w:rFonts w:cs="Times New Roman"/>
                <w:sz w:val="21"/>
                <w:szCs w:val="21"/>
              </w:rPr>
            </w:pPr>
          </w:p>
        </w:tc>
        <w:tc>
          <w:tcPr>
            <w:tcW w:w="1168" w:type="dxa"/>
            <w:noWrap/>
            <w:vAlign w:val="center"/>
          </w:tcPr>
          <w:p w14:paraId="449E565F">
            <w:pPr>
              <w:spacing w:line="240" w:lineRule="auto"/>
              <w:ind w:firstLine="0" w:firstLineChars="0"/>
              <w:jc w:val="center"/>
              <w:rPr>
                <w:rFonts w:cs="Times New Roman"/>
                <w:sz w:val="21"/>
                <w:szCs w:val="21"/>
              </w:rPr>
            </w:pPr>
            <w:r>
              <w:rPr>
                <w:rFonts w:hint="eastAsia" w:cs="Times New Roman"/>
                <w:sz w:val="21"/>
                <w:szCs w:val="21"/>
              </w:rPr>
              <w:t>约20</w:t>
            </w:r>
          </w:p>
        </w:tc>
      </w:tr>
      <w:tr w14:paraId="3DE37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DA28557">
            <w:pPr>
              <w:pStyle w:val="39"/>
              <w:numPr>
                <w:ilvl w:val="0"/>
                <w:numId w:val="7"/>
              </w:numPr>
              <w:spacing w:line="240" w:lineRule="auto"/>
              <w:ind w:firstLineChars="0"/>
              <w:jc w:val="center"/>
              <w:rPr>
                <w:rFonts w:cs="Times New Roman"/>
                <w:sz w:val="21"/>
                <w:szCs w:val="21"/>
              </w:rPr>
            </w:pPr>
          </w:p>
        </w:tc>
        <w:tc>
          <w:tcPr>
            <w:tcW w:w="992" w:type="dxa"/>
            <w:noWrap/>
            <w:vAlign w:val="center"/>
          </w:tcPr>
          <w:p w14:paraId="7AFB2E7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DCC3CB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A92589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E7D2DA0">
            <w:pPr>
              <w:spacing w:line="240" w:lineRule="auto"/>
              <w:ind w:firstLine="0" w:firstLineChars="0"/>
              <w:jc w:val="center"/>
              <w:rPr>
                <w:rFonts w:cs="Times New Roman"/>
                <w:sz w:val="21"/>
                <w:szCs w:val="21"/>
              </w:rPr>
            </w:pPr>
            <w:r>
              <w:rPr>
                <w:rFonts w:hint="eastAsia" w:cs="Times New Roman"/>
                <w:sz w:val="21"/>
                <w:szCs w:val="21"/>
              </w:rPr>
              <w:t>涧滩</w:t>
            </w:r>
          </w:p>
        </w:tc>
        <w:tc>
          <w:tcPr>
            <w:tcW w:w="1701" w:type="dxa"/>
            <w:noWrap/>
            <w:vAlign w:val="center"/>
          </w:tcPr>
          <w:p w14:paraId="2631459A">
            <w:pPr>
              <w:spacing w:line="240" w:lineRule="auto"/>
              <w:ind w:firstLine="0" w:firstLineChars="0"/>
              <w:jc w:val="center"/>
              <w:rPr>
                <w:rFonts w:cs="Times New Roman"/>
                <w:sz w:val="21"/>
                <w:szCs w:val="21"/>
              </w:rPr>
            </w:pPr>
            <w:r>
              <w:rPr>
                <w:rFonts w:hint="eastAsia" w:cs="Times New Roman"/>
                <w:sz w:val="21"/>
                <w:szCs w:val="21"/>
              </w:rPr>
              <w:t>119.362447</w:t>
            </w:r>
          </w:p>
        </w:tc>
        <w:tc>
          <w:tcPr>
            <w:tcW w:w="1690" w:type="dxa"/>
            <w:noWrap/>
            <w:vAlign w:val="center"/>
          </w:tcPr>
          <w:p w14:paraId="19A3B459">
            <w:pPr>
              <w:spacing w:line="240" w:lineRule="auto"/>
              <w:ind w:firstLine="0" w:firstLineChars="0"/>
              <w:jc w:val="center"/>
              <w:rPr>
                <w:rFonts w:cs="Times New Roman"/>
                <w:sz w:val="21"/>
                <w:szCs w:val="21"/>
              </w:rPr>
            </w:pPr>
            <w:r>
              <w:rPr>
                <w:rFonts w:hint="eastAsia" w:cs="Times New Roman"/>
                <w:sz w:val="21"/>
                <w:szCs w:val="21"/>
              </w:rPr>
              <w:t>31.733277</w:t>
            </w:r>
          </w:p>
        </w:tc>
        <w:tc>
          <w:tcPr>
            <w:tcW w:w="1080" w:type="dxa"/>
            <w:noWrap/>
            <w:vAlign w:val="center"/>
          </w:tcPr>
          <w:p w14:paraId="72EFC27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7285813">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64C284B">
            <w:pPr>
              <w:spacing w:line="240" w:lineRule="auto"/>
              <w:ind w:firstLine="0" w:firstLineChars="0"/>
              <w:jc w:val="center"/>
              <w:rPr>
                <w:rFonts w:cs="Times New Roman"/>
                <w:sz w:val="21"/>
                <w:szCs w:val="21"/>
              </w:rPr>
            </w:pPr>
          </w:p>
        </w:tc>
        <w:tc>
          <w:tcPr>
            <w:tcW w:w="1168" w:type="dxa"/>
            <w:noWrap/>
            <w:vAlign w:val="center"/>
          </w:tcPr>
          <w:p w14:paraId="15E3C4FB">
            <w:pPr>
              <w:spacing w:line="240" w:lineRule="auto"/>
              <w:ind w:firstLine="0" w:firstLineChars="0"/>
              <w:jc w:val="center"/>
              <w:rPr>
                <w:rFonts w:cs="Times New Roman"/>
                <w:sz w:val="21"/>
                <w:szCs w:val="21"/>
              </w:rPr>
            </w:pPr>
            <w:r>
              <w:rPr>
                <w:rFonts w:hint="eastAsia" w:cs="Times New Roman"/>
                <w:sz w:val="21"/>
                <w:szCs w:val="21"/>
              </w:rPr>
              <w:t>约20</w:t>
            </w:r>
          </w:p>
        </w:tc>
      </w:tr>
      <w:tr w14:paraId="03B7F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EE76D99">
            <w:pPr>
              <w:pStyle w:val="39"/>
              <w:numPr>
                <w:ilvl w:val="0"/>
                <w:numId w:val="7"/>
              </w:numPr>
              <w:spacing w:line="240" w:lineRule="auto"/>
              <w:ind w:firstLineChars="0"/>
              <w:jc w:val="center"/>
              <w:rPr>
                <w:rFonts w:cs="Times New Roman"/>
                <w:sz w:val="21"/>
                <w:szCs w:val="21"/>
              </w:rPr>
            </w:pPr>
          </w:p>
        </w:tc>
        <w:tc>
          <w:tcPr>
            <w:tcW w:w="992" w:type="dxa"/>
            <w:noWrap/>
            <w:vAlign w:val="center"/>
          </w:tcPr>
          <w:p w14:paraId="039F092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FC3955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2AF400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CD262F4">
            <w:pPr>
              <w:spacing w:line="240" w:lineRule="auto"/>
              <w:ind w:firstLine="0" w:firstLineChars="0"/>
              <w:jc w:val="center"/>
              <w:rPr>
                <w:rFonts w:cs="Times New Roman"/>
                <w:sz w:val="21"/>
                <w:szCs w:val="21"/>
              </w:rPr>
            </w:pPr>
            <w:r>
              <w:rPr>
                <w:rFonts w:hint="eastAsia" w:cs="Times New Roman"/>
                <w:sz w:val="21"/>
                <w:szCs w:val="21"/>
              </w:rPr>
              <w:t>上庄</w:t>
            </w:r>
          </w:p>
        </w:tc>
        <w:tc>
          <w:tcPr>
            <w:tcW w:w="1701" w:type="dxa"/>
            <w:noWrap/>
            <w:vAlign w:val="center"/>
          </w:tcPr>
          <w:p w14:paraId="11290088">
            <w:pPr>
              <w:spacing w:line="240" w:lineRule="auto"/>
              <w:ind w:firstLine="0" w:firstLineChars="0"/>
              <w:jc w:val="center"/>
              <w:rPr>
                <w:rFonts w:cs="Times New Roman"/>
                <w:sz w:val="21"/>
                <w:szCs w:val="21"/>
              </w:rPr>
            </w:pPr>
            <w:r>
              <w:rPr>
                <w:rFonts w:hint="eastAsia" w:cs="Times New Roman"/>
                <w:sz w:val="21"/>
                <w:szCs w:val="21"/>
              </w:rPr>
              <w:t>119.363946</w:t>
            </w:r>
          </w:p>
        </w:tc>
        <w:tc>
          <w:tcPr>
            <w:tcW w:w="1690" w:type="dxa"/>
            <w:noWrap/>
            <w:vAlign w:val="center"/>
          </w:tcPr>
          <w:p w14:paraId="6AFAE954">
            <w:pPr>
              <w:spacing w:line="240" w:lineRule="auto"/>
              <w:ind w:firstLine="0" w:firstLineChars="0"/>
              <w:jc w:val="center"/>
              <w:rPr>
                <w:rFonts w:cs="Times New Roman"/>
                <w:sz w:val="21"/>
                <w:szCs w:val="21"/>
              </w:rPr>
            </w:pPr>
            <w:r>
              <w:rPr>
                <w:rFonts w:hint="eastAsia" w:cs="Times New Roman"/>
                <w:sz w:val="21"/>
                <w:szCs w:val="21"/>
              </w:rPr>
              <w:t>31.731656</w:t>
            </w:r>
          </w:p>
        </w:tc>
        <w:tc>
          <w:tcPr>
            <w:tcW w:w="1080" w:type="dxa"/>
            <w:noWrap/>
            <w:vAlign w:val="center"/>
          </w:tcPr>
          <w:p w14:paraId="17D5175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D4213E1">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85250F6">
            <w:pPr>
              <w:spacing w:line="240" w:lineRule="auto"/>
              <w:ind w:firstLine="0" w:firstLineChars="0"/>
              <w:jc w:val="center"/>
              <w:rPr>
                <w:rFonts w:cs="Times New Roman"/>
                <w:sz w:val="21"/>
                <w:szCs w:val="21"/>
              </w:rPr>
            </w:pPr>
          </w:p>
        </w:tc>
        <w:tc>
          <w:tcPr>
            <w:tcW w:w="1168" w:type="dxa"/>
            <w:noWrap/>
            <w:vAlign w:val="center"/>
          </w:tcPr>
          <w:p w14:paraId="538E38A5">
            <w:pPr>
              <w:spacing w:line="240" w:lineRule="auto"/>
              <w:ind w:firstLine="0" w:firstLineChars="0"/>
              <w:jc w:val="center"/>
              <w:rPr>
                <w:rFonts w:cs="Times New Roman"/>
                <w:sz w:val="21"/>
                <w:szCs w:val="21"/>
              </w:rPr>
            </w:pPr>
            <w:r>
              <w:rPr>
                <w:rFonts w:hint="eastAsia" w:cs="Times New Roman"/>
                <w:sz w:val="21"/>
                <w:szCs w:val="21"/>
              </w:rPr>
              <w:t>约20</w:t>
            </w:r>
          </w:p>
        </w:tc>
      </w:tr>
      <w:tr w14:paraId="27BE5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B400BFF">
            <w:pPr>
              <w:pStyle w:val="39"/>
              <w:numPr>
                <w:ilvl w:val="0"/>
                <w:numId w:val="7"/>
              </w:numPr>
              <w:spacing w:line="240" w:lineRule="auto"/>
              <w:ind w:firstLineChars="0"/>
              <w:jc w:val="center"/>
              <w:rPr>
                <w:rFonts w:cs="Times New Roman"/>
                <w:sz w:val="21"/>
                <w:szCs w:val="21"/>
              </w:rPr>
            </w:pPr>
          </w:p>
        </w:tc>
        <w:tc>
          <w:tcPr>
            <w:tcW w:w="992" w:type="dxa"/>
            <w:noWrap/>
            <w:vAlign w:val="center"/>
          </w:tcPr>
          <w:p w14:paraId="379F6C9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BCB07C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315BD3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3500DCC">
            <w:pPr>
              <w:spacing w:line="240" w:lineRule="auto"/>
              <w:ind w:firstLine="0" w:firstLineChars="0"/>
              <w:jc w:val="center"/>
              <w:rPr>
                <w:rFonts w:cs="Times New Roman"/>
                <w:sz w:val="21"/>
                <w:szCs w:val="21"/>
              </w:rPr>
            </w:pPr>
            <w:r>
              <w:rPr>
                <w:rFonts w:hint="eastAsia" w:cs="Times New Roman"/>
                <w:sz w:val="21"/>
                <w:szCs w:val="21"/>
              </w:rPr>
              <w:t>蒋家</w:t>
            </w:r>
          </w:p>
        </w:tc>
        <w:tc>
          <w:tcPr>
            <w:tcW w:w="1701" w:type="dxa"/>
            <w:noWrap/>
            <w:vAlign w:val="center"/>
          </w:tcPr>
          <w:p w14:paraId="0E858507">
            <w:pPr>
              <w:spacing w:line="240" w:lineRule="auto"/>
              <w:ind w:firstLine="0" w:firstLineChars="0"/>
              <w:jc w:val="center"/>
              <w:rPr>
                <w:rFonts w:cs="Times New Roman"/>
                <w:sz w:val="21"/>
                <w:szCs w:val="21"/>
              </w:rPr>
            </w:pPr>
            <w:r>
              <w:rPr>
                <w:rFonts w:hint="eastAsia" w:cs="Times New Roman"/>
                <w:sz w:val="21"/>
                <w:szCs w:val="21"/>
              </w:rPr>
              <w:t>119.364319</w:t>
            </w:r>
          </w:p>
        </w:tc>
        <w:tc>
          <w:tcPr>
            <w:tcW w:w="1690" w:type="dxa"/>
            <w:noWrap/>
            <w:vAlign w:val="center"/>
          </w:tcPr>
          <w:p w14:paraId="7FDBE1AE">
            <w:pPr>
              <w:spacing w:line="240" w:lineRule="auto"/>
              <w:ind w:firstLine="0" w:firstLineChars="0"/>
              <w:jc w:val="center"/>
              <w:rPr>
                <w:rFonts w:cs="Times New Roman"/>
                <w:sz w:val="21"/>
                <w:szCs w:val="21"/>
              </w:rPr>
            </w:pPr>
            <w:r>
              <w:rPr>
                <w:rFonts w:hint="eastAsia" w:cs="Times New Roman"/>
                <w:sz w:val="21"/>
                <w:szCs w:val="21"/>
              </w:rPr>
              <w:t>31.741022</w:t>
            </w:r>
          </w:p>
        </w:tc>
        <w:tc>
          <w:tcPr>
            <w:tcW w:w="1080" w:type="dxa"/>
            <w:noWrap/>
            <w:vAlign w:val="center"/>
          </w:tcPr>
          <w:p w14:paraId="7954E31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DA53F77">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8239520">
            <w:pPr>
              <w:spacing w:line="240" w:lineRule="auto"/>
              <w:ind w:firstLine="0" w:firstLineChars="0"/>
              <w:jc w:val="center"/>
              <w:rPr>
                <w:rFonts w:cs="Times New Roman"/>
                <w:sz w:val="21"/>
                <w:szCs w:val="21"/>
              </w:rPr>
            </w:pPr>
          </w:p>
        </w:tc>
        <w:tc>
          <w:tcPr>
            <w:tcW w:w="1168" w:type="dxa"/>
            <w:noWrap/>
            <w:vAlign w:val="center"/>
          </w:tcPr>
          <w:p w14:paraId="11871C55">
            <w:pPr>
              <w:spacing w:line="240" w:lineRule="auto"/>
              <w:ind w:firstLine="0" w:firstLineChars="0"/>
              <w:jc w:val="center"/>
              <w:rPr>
                <w:rFonts w:cs="Times New Roman"/>
                <w:sz w:val="21"/>
                <w:szCs w:val="21"/>
              </w:rPr>
            </w:pPr>
            <w:r>
              <w:rPr>
                <w:rFonts w:hint="eastAsia" w:cs="Times New Roman"/>
                <w:sz w:val="21"/>
                <w:szCs w:val="21"/>
              </w:rPr>
              <w:t>约30</w:t>
            </w:r>
          </w:p>
        </w:tc>
      </w:tr>
      <w:tr w14:paraId="64781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547F30A">
            <w:pPr>
              <w:pStyle w:val="39"/>
              <w:numPr>
                <w:ilvl w:val="0"/>
                <w:numId w:val="7"/>
              </w:numPr>
              <w:spacing w:line="240" w:lineRule="auto"/>
              <w:ind w:firstLineChars="0"/>
              <w:jc w:val="center"/>
              <w:rPr>
                <w:rFonts w:cs="Times New Roman"/>
                <w:sz w:val="21"/>
                <w:szCs w:val="21"/>
              </w:rPr>
            </w:pPr>
          </w:p>
        </w:tc>
        <w:tc>
          <w:tcPr>
            <w:tcW w:w="992" w:type="dxa"/>
            <w:noWrap/>
            <w:vAlign w:val="center"/>
          </w:tcPr>
          <w:p w14:paraId="58E64EB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BEDC8C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073C44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FE38FA5">
            <w:pPr>
              <w:spacing w:line="240" w:lineRule="auto"/>
              <w:ind w:firstLine="0" w:firstLineChars="0"/>
              <w:jc w:val="center"/>
              <w:rPr>
                <w:rFonts w:cs="Times New Roman"/>
                <w:sz w:val="21"/>
                <w:szCs w:val="21"/>
              </w:rPr>
            </w:pPr>
            <w:r>
              <w:rPr>
                <w:rFonts w:hint="eastAsia" w:cs="Times New Roman"/>
                <w:sz w:val="21"/>
                <w:szCs w:val="21"/>
              </w:rPr>
              <w:t>窑塘凹</w:t>
            </w:r>
          </w:p>
        </w:tc>
        <w:tc>
          <w:tcPr>
            <w:tcW w:w="1701" w:type="dxa"/>
            <w:noWrap/>
            <w:vAlign w:val="center"/>
          </w:tcPr>
          <w:p w14:paraId="5A8A46E5">
            <w:pPr>
              <w:spacing w:line="240" w:lineRule="auto"/>
              <w:ind w:firstLine="0" w:firstLineChars="0"/>
              <w:jc w:val="center"/>
              <w:rPr>
                <w:rFonts w:cs="Times New Roman"/>
                <w:sz w:val="21"/>
                <w:szCs w:val="21"/>
              </w:rPr>
            </w:pPr>
            <w:r>
              <w:rPr>
                <w:rFonts w:hint="eastAsia" w:cs="Times New Roman"/>
                <w:sz w:val="21"/>
                <w:szCs w:val="21"/>
              </w:rPr>
              <w:t>119.362004</w:t>
            </w:r>
          </w:p>
        </w:tc>
        <w:tc>
          <w:tcPr>
            <w:tcW w:w="1690" w:type="dxa"/>
            <w:noWrap/>
            <w:vAlign w:val="center"/>
          </w:tcPr>
          <w:p w14:paraId="0C0BCA4D">
            <w:pPr>
              <w:spacing w:line="240" w:lineRule="auto"/>
              <w:ind w:firstLine="0" w:firstLineChars="0"/>
              <w:jc w:val="center"/>
              <w:rPr>
                <w:rFonts w:cs="Times New Roman"/>
                <w:sz w:val="21"/>
                <w:szCs w:val="21"/>
              </w:rPr>
            </w:pPr>
            <w:r>
              <w:rPr>
                <w:rFonts w:hint="eastAsia" w:cs="Times New Roman"/>
                <w:sz w:val="21"/>
                <w:szCs w:val="21"/>
              </w:rPr>
              <w:t>31.748625</w:t>
            </w:r>
          </w:p>
        </w:tc>
        <w:tc>
          <w:tcPr>
            <w:tcW w:w="1080" w:type="dxa"/>
            <w:noWrap/>
            <w:vAlign w:val="center"/>
          </w:tcPr>
          <w:p w14:paraId="6CDEB66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BD39221">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53B0FB27">
            <w:pPr>
              <w:spacing w:line="240" w:lineRule="auto"/>
              <w:ind w:firstLine="0" w:firstLineChars="0"/>
              <w:jc w:val="center"/>
              <w:rPr>
                <w:rFonts w:cs="Times New Roman"/>
                <w:sz w:val="21"/>
                <w:szCs w:val="21"/>
              </w:rPr>
            </w:pPr>
          </w:p>
        </w:tc>
        <w:tc>
          <w:tcPr>
            <w:tcW w:w="1168" w:type="dxa"/>
            <w:noWrap/>
            <w:vAlign w:val="center"/>
          </w:tcPr>
          <w:p w14:paraId="46F9836C">
            <w:pPr>
              <w:spacing w:line="240" w:lineRule="auto"/>
              <w:ind w:firstLine="0" w:firstLineChars="0"/>
              <w:jc w:val="center"/>
              <w:rPr>
                <w:rFonts w:cs="Times New Roman"/>
                <w:sz w:val="21"/>
                <w:szCs w:val="21"/>
              </w:rPr>
            </w:pPr>
            <w:r>
              <w:rPr>
                <w:rFonts w:hint="eastAsia" w:cs="Times New Roman"/>
                <w:sz w:val="21"/>
                <w:szCs w:val="21"/>
              </w:rPr>
              <w:t>约10</w:t>
            </w:r>
          </w:p>
        </w:tc>
      </w:tr>
      <w:tr w14:paraId="07E35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90C5749">
            <w:pPr>
              <w:pStyle w:val="39"/>
              <w:numPr>
                <w:ilvl w:val="0"/>
                <w:numId w:val="7"/>
              </w:numPr>
              <w:spacing w:line="240" w:lineRule="auto"/>
              <w:ind w:firstLineChars="0"/>
              <w:jc w:val="center"/>
              <w:rPr>
                <w:rFonts w:cs="Times New Roman"/>
                <w:sz w:val="21"/>
                <w:szCs w:val="21"/>
              </w:rPr>
            </w:pPr>
          </w:p>
        </w:tc>
        <w:tc>
          <w:tcPr>
            <w:tcW w:w="992" w:type="dxa"/>
            <w:noWrap/>
            <w:vAlign w:val="center"/>
          </w:tcPr>
          <w:p w14:paraId="789A7E7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DF1739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A026B7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DF159D5">
            <w:pPr>
              <w:spacing w:line="240" w:lineRule="auto"/>
              <w:ind w:firstLine="0" w:firstLineChars="0"/>
              <w:jc w:val="center"/>
              <w:rPr>
                <w:rFonts w:cs="Times New Roman"/>
                <w:sz w:val="21"/>
                <w:szCs w:val="21"/>
              </w:rPr>
            </w:pPr>
            <w:r>
              <w:rPr>
                <w:rFonts w:hint="eastAsia" w:cs="Times New Roman"/>
                <w:sz w:val="21"/>
                <w:szCs w:val="21"/>
              </w:rPr>
              <w:t>西头舍</w:t>
            </w:r>
          </w:p>
        </w:tc>
        <w:tc>
          <w:tcPr>
            <w:tcW w:w="1701" w:type="dxa"/>
            <w:noWrap/>
            <w:vAlign w:val="center"/>
          </w:tcPr>
          <w:p w14:paraId="5108DCC4">
            <w:pPr>
              <w:spacing w:line="240" w:lineRule="auto"/>
              <w:ind w:firstLine="0" w:firstLineChars="0"/>
              <w:jc w:val="center"/>
              <w:rPr>
                <w:rFonts w:cs="Times New Roman"/>
                <w:sz w:val="21"/>
                <w:szCs w:val="21"/>
              </w:rPr>
            </w:pPr>
            <w:r>
              <w:rPr>
                <w:rFonts w:hint="eastAsia" w:cs="Times New Roman"/>
                <w:sz w:val="21"/>
                <w:szCs w:val="21"/>
              </w:rPr>
              <w:t>119.361152</w:t>
            </w:r>
          </w:p>
        </w:tc>
        <w:tc>
          <w:tcPr>
            <w:tcW w:w="1690" w:type="dxa"/>
            <w:noWrap/>
            <w:vAlign w:val="center"/>
          </w:tcPr>
          <w:p w14:paraId="47F567AD">
            <w:pPr>
              <w:spacing w:line="240" w:lineRule="auto"/>
              <w:ind w:firstLine="0" w:firstLineChars="0"/>
              <w:jc w:val="center"/>
              <w:rPr>
                <w:rFonts w:cs="Times New Roman"/>
                <w:sz w:val="21"/>
                <w:szCs w:val="21"/>
              </w:rPr>
            </w:pPr>
            <w:r>
              <w:rPr>
                <w:rFonts w:hint="eastAsia" w:cs="Times New Roman"/>
                <w:sz w:val="21"/>
                <w:szCs w:val="21"/>
              </w:rPr>
              <w:t>31.744877</w:t>
            </w:r>
          </w:p>
        </w:tc>
        <w:tc>
          <w:tcPr>
            <w:tcW w:w="1080" w:type="dxa"/>
            <w:noWrap/>
            <w:vAlign w:val="center"/>
          </w:tcPr>
          <w:p w14:paraId="6305571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333C502">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2026DEC">
            <w:pPr>
              <w:spacing w:line="240" w:lineRule="auto"/>
              <w:ind w:firstLine="0" w:firstLineChars="0"/>
              <w:jc w:val="center"/>
              <w:rPr>
                <w:rFonts w:cs="Times New Roman"/>
                <w:sz w:val="21"/>
                <w:szCs w:val="21"/>
              </w:rPr>
            </w:pPr>
          </w:p>
        </w:tc>
        <w:tc>
          <w:tcPr>
            <w:tcW w:w="1168" w:type="dxa"/>
            <w:noWrap/>
            <w:vAlign w:val="center"/>
          </w:tcPr>
          <w:p w14:paraId="4194CE3F">
            <w:pPr>
              <w:spacing w:line="240" w:lineRule="auto"/>
              <w:ind w:firstLine="0" w:firstLineChars="0"/>
              <w:jc w:val="center"/>
              <w:rPr>
                <w:rFonts w:cs="Times New Roman"/>
                <w:sz w:val="21"/>
                <w:szCs w:val="21"/>
              </w:rPr>
            </w:pPr>
            <w:r>
              <w:rPr>
                <w:rFonts w:hint="eastAsia" w:cs="Times New Roman"/>
                <w:sz w:val="21"/>
                <w:szCs w:val="21"/>
              </w:rPr>
              <w:t>约20</w:t>
            </w:r>
          </w:p>
        </w:tc>
      </w:tr>
      <w:tr w14:paraId="59193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6FAF84D">
            <w:pPr>
              <w:pStyle w:val="39"/>
              <w:numPr>
                <w:ilvl w:val="0"/>
                <w:numId w:val="7"/>
              </w:numPr>
              <w:spacing w:line="240" w:lineRule="auto"/>
              <w:ind w:firstLineChars="0"/>
              <w:jc w:val="center"/>
              <w:rPr>
                <w:rFonts w:cs="Times New Roman"/>
                <w:sz w:val="21"/>
                <w:szCs w:val="21"/>
              </w:rPr>
            </w:pPr>
          </w:p>
        </w:tc>
        <w:tc>
          <w:tcPr>
            <w:tcW w:w="992" w:type="dxa"/>
            <w:noWrap/>
            <w:vAlign w:val="center"/>
          </w:tcPr>
          <w:p w14:paraId="2220FA8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AA0E88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AD3A5D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B104237">
            <w:pPr>
              <w:spacing w:line="240" w:lineRule="auto"/>
              <w:ind w:firstLine="0" w:firstLineChars="0"/>
              <w:jc w:val="center"/>
              <w:rPr>
                <w:rFonts w:cs="Times New Roman"/>
                <w:sz w:val="21"/>
                <w:szCs w:val="21"/>
              </w:rPr>
            </w:pPr>
            <w:r>
              <w:rPr>
                <w:rFonts w:hint="eastAsia" w:cs="Times New Roman"/>
                <w:sz w:val="21"/>
                <w:szCs w:val="21"/>
              </w:rPr>
              <w:t>青龙嘴</w:t>
            </w:r>
          </w:p>
        </w:tc>
        <w:tc>
          <w:tcPr>
            <w:tcW w:w="1701" w:type="dxa"/>
            <w:noWrap/>
            <w:vAlign w:val="center"/>
          </w:tcPr>
          <w:p w14:paraId="3FEC626B">
            <w:pPr>
              <w:spacing w:line="240" w:lineRule="auto"/>
              <w:ind w:firstLine="0" w:firstLineChars="0"/>
              <w:jc w:val="center"/>
              <w:rPr>
                <w:rFonts w:cs="Times New Roman"/>
                <w:sz w:val="21"/>
                <w:szCs w:val="21"/>
              </w:rPr>
            </w:pPr>
            <w:r>
              <w:rPr>
                <w:rFonts w:hint="eastAsia" w:cs="Times New Roman"/>
                <w:sz w:val="21"/>
                <w:szCs w:val="21"/>
              </w:rPr>
              <w:t>119.359535</w:t>
            </w:r>
          </w:p>
        </w:tc>
        <w:tc>
          <w:tcPr>
            <w:tcW w:w="1690" w:type="dxa"/>
            <w:noWrap/>
            <w:vAlign w:val="center"/>
          </w:tcPr>
          <w:p w14:paraId="17703BAE">
            <w:pPr>
              <w:spacing w:line="240" w:lineRule="auto"/>
              <w:ind w:firstLine="0" w:firstLineChars="0"/>
              <w:jc w:val="center"/>
              <w:rPr>
                <w:rFonts w:cs="Times New Roman"/>
                <w:sz w:val="21"/>
                <w:szCs w:val="21"/>
              </w:rPr>
            </w:pPr>
            <w:r>
              <w:rPr>
                <w:rFonts w:hint="eastAsia" w:cs="Times New Roman"/>
                <w:sz w:val="21"/>
                <w:szCs w:val="21"/>
              </w:rPr>
              <w:t>31.747556</w:t>
            </w:r>
          </w:p>
        </w:tc>
        <w:tc>
          <w:tcPr>
            <w:tcW w:w="1080" w:type="dxa"/>
            <w:noWrap/>
            <w:vAlign w:val="center"/>
          </w:tcPr>
          <w:p w14:paraId="121A042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0A174C3">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1363651">
            <w:pPr>
              <w:spacing w:line="240" w:lineRule="auto"/>
              <w:ind w:firstLine="0" w:firstLineChars="0"/>
              <w:jc w:val="center"/>
              <w:rPr>
                <w:rFonts w:cs="Times New Roman"/>
                <w:sz w:val="21"/>
                <w:szCs w:val="21"/>
              </w:rPr>
            </w:pPr>
          </w:p>
        </w:tc>
        <w:tc>
          <w:tcPr>
            <w:tcW w:w="1168" w:type="dxa"/>
            <w:noWrap/>
            <w:vAlign w:val="center"/>
          </w:tcPr>
          <w:p w14:paraId="37C98F08">
            <w:pPr>
              <w:spacing w:line="240" w:lineRule="auto"/>
              <w:ind w:firstLine="0" w:firstLineChars="0"/>
              <w:jc w:val="center"/>
              <w:rPr>
                <w:rFonts w:cs="Times New Roman"/>
                <w:sz w:val="21"/>
                <w:szCs w:val="21"/>
              </w:rPr>
            </w:pPr>
            <w:r>
              <w:rPr>
                <w:rFonts w:hint="eastAsia" w:cs="Times New Roman"/>
                <w:sz w:val="21"/>
                <w:szCs w:val="21"/>
              </w:rPr>
              <w:t>约20</w:t>
            </w:r>
          </w:p>
        </w:tc>
      </w:tr>
      <w:tr w14:paraId="74A77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141CB31">
            <w:pPr>
              <w:pStyle w:val="39"/>
              <w:numPr>
                <w:ilvl w:val="0"/>
                <w:numId w:val="7"/>
              </w:numPr>
              <w:spacing w:line="240" w:lineRule="auto"/>
              <w:ind w:firstLineChars="0"/>
              <w:jc w:val="center"/>
              <w:rPr>
                <w:rFonts w:cs="Times New Roman"/>
                <w:sz w:val="21"/>
                <w:szCs w:val="21"/>
              </w:rPr>
            </w:pPr>
          </w:p>
        </w:tc>
        <w:tc>
          <w:tcPr>
            <w:tcW w:w="992" w:type="dxa"/>
            <w:noWrap/>
            <w:vAlign w:val="center"/>
          </w:tcPr>
          <w:p w14:paraId="069FB52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75FF6F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AC7269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7ED7D0D">
            <w:pPr>
              <w:spacing w:line="240" w:lineRule="auto"/>
              <w:ind w:firstLine="0" w:firstLineChars="0"/>
              <w:jc w:val="center"/>
              <w:rPr>
                <w:rFonts w:cs="Times New Roman"/>
                <w:sz w:val="21"/>
                <w:szCs w:val="21"/>
              </w:rPr>
            </w:pPr>
            <w:r>
              <w:rPr>
                <w:rFonts w:hint="eastAsia" w:cs="Times New Roman"/>
                <w:sz w:val="21"/>
                <w:szCs w:val="21"/>
              </w:rPr>
              <w:t>浦塘</w:t>
            </w:r>
          </w:p>
        </w:tc>
        <w:tc>
          <w:tcPr>
            <w:tcW w:w="1701" w:type="dxa"/>
            <w:noWrap/>
            <w:vAlign w:val="center"/>
          </w:tcPr>
          <w:p w14:paraId="1A91CBF3">
            <w:pPr>
              <w:spacing w:line="240" w:lineRule="auto"/>
              <w:ind w:firstLine="0" w:firstLineChars="0"/>
              <w:jc w:val="center"/>
              <w:rPr>
                <w:rFonts w:cs="Times New Roman"/>
                <w:sz w:val="21"/>
                <w:szCs w:val="21"/>
              </w:rPr>
            </w:pPr>
            <w:r>
              <w:rPr>
                <w:rFonts w:hint="eastAsia" w:cs="Times New Roman"/>
                <w:sz w:val="21"/>
                <w:szCs w:val="21"/>
              </w:rPr>
              <w:t>119.367508</w:t>
            </w:r>
          </w:p>
        </w:tc>
        <w:tc>
          <w:tcPr>
            <w:tcW w:w="1690" w:type="dxa"/>
            <w:noWrap/>
            <w:vAlign w:val="center"/>
          </w:tcPr>
          <w:p w14:paraId="4F590401">
            <w:pPr>
              <w:spacing w:line="240" w:lineRule="auto"/>
              <w:ind w:firstLine="0" w:firstLineChars="0"/>
              <w:jc w:val="center"/>
              <w:rPr>
                <w:rFonts w:cs="Times New Roman"/>
                <w:sz w:val="21"/>
                <w:szCs w:val="21"/>
              </w:rPr>
            </w:pPr>
            <w:r>
              <w:rPr>
                <w:rFonts w:hint="eastAsia" w:cs="Times New Roman"/>
                <w:sz w:val="21"/>
                <w:szCs w:val="21"/>
              </w:rPr>
              <w:t>31.756725</w:t>
            </w:r>
          </w:p>
        </w:tc>
        <w:tc>
          <w:tcPr>
            <w:tcW w:w="1080" w:type="dxa"/>
            <w:noWrap/>
            <w:vAlign w:val="center"/>
          </w:tcPr>
          <w:p w14:paraId="0F65AC2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E35FC97">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F738228">
            <w:pPr>
              <w:spacing w:line="240" w:lineRule="auto"/>
              <w:ind w:firstLine="0" w:firstLineChars="0"/>
              <w:jc w:val="center"/>
              <w:rPr>
                <w:rFonts w:cs="Times New Roman"/>
                <w:sz w:val="21"/>
                <w:szCs w:val="21"/>
              </w:rPr>
            </w:pPr>
          </w:p>
        </w:tc>
        <w:tc>
          <w:tcPr>
            <w:tcW w:w="1168" w:type="dxa"/>
            <w:noWrap/>
            <w:vAlign w:val="center"/>
          </w:tcPr>
          <w:p w14:paraId="0EC46C8D">
            <w:pPr>
              <w:spacing w:line="240" w:lineRule="auto"/>
              <w:ind w:firstLine="0" w:firstLineChars="0"/>
              <w:jc w:val="center"/>
              <w:rPr>
                <w:rFonts w:cs="Times New Roman"/>
                <w:sz w:val="21"/>
                <w:szCs w:val="21"/>
              </w:rPr>
            </w:pPr>
            <w:r>
              <w:rPr>
                <w:rFonts w:hint="eastAsia" w:cs="Times New Roman"/>
                <w:sz w:val="21"/>
                <w:szCs w:val="21"/>
              </w:rPr>
              <w:t>约20</w:t>
            </w:r>
          </w:p>
        </w:tc>
      </w:tr>
      <w:tr w14:paraId="54E68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5E6E6AD">
            <w:pPr>
              <w:pStyle w:val="39"/>
              <w:numPr>
                <w:ilvl w:val="0"/>
                <w:numId w:val="7"/>
              </w:numPr>
              <w:spacing w:line="240" w:lineRule="auto"/>
              <w:ind w:firstLineChars="0"/>
              <w:jc w:val="center"/>
              <w:rPr>
                <w:rFonts w:cs="Times New Roman"/>
                <w:sz w:val="21"/>
                <w:szCs w:val="21"/>
              </w:rPr>
            </w:pPr>
          </w:p>
        </w:tc>
        <w:tc>
          <w:tcPr>
            <w:tcW w:w="992" w:type="dxa"/>
            <w:noWrap/>
            <w:vAlign w:val="center"/>
          </w:tcPr>
          <w:p w14:paraId="69EA084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ACF443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2121F5A">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669E3BE">
            <w:pPr>
              <w:spacing w:line="240" w:lineRule="auto"/>
              <w:ind w:firstLine="0" w:firstLineChars="0"/>
              <w:jc w:val="center"/>
              <w:rPr>
                <w:rFonts w:cs="Times New Roman"/>
                <w:sz w:val="21"/>
                <w:szCs w:val="21"/>
              </w:rPr>
            </w:pPr>
            <w:r>
              <w:rPr>
                <w:rFonts w:hint="eastAsia" w:cs="Times New Roman"/>
                <w:sz w:val="21"/>
                <w:szCs w:val="21"/>
              </w:rPr>
              <w:t>茅山森林世界</w:t>
            </w:r>
          </w:p>
        </w:tc>
        <w:tc>
          <w:tcPr>
            <w:tcW w:w="1701" w:type="dxa"/>
            <w:noWrap/>
            <w:vAlign w:val="center"/>
          </w:tcPr>
          <w:p w14:paraId="4F9019AC">
            <w:pPr>
              <w:spacing w:line="240" w:lineRule="auto"/>
              <w:ind w:firstLine="0" w:firstLineChars="0"/>
              <w:jc w:val="center"/>
              <w:rPr>
                <w:rFonts w:cs="Times New Roman"/>
                <w:sz w:val="21"/>
                <w:szCs w:val="21"/>
              </w:rPr>
            </w:pPr>
            <w:r>
              <w:rPr>
                <w:rFonts w:hint="eastAsia" w:cs="Times New Roman"/>
                <w:sz w:val="21"/>
                <w:szCs w:val="21"/>
              </w:rPr>
              <w:t>119.319826</w:t>
            </w:r>
          </w:p>
        </w:tc>
        <w:tc>
          <w:tcPr>
            <w:tcW w:w="1690" w:type="dxa"/>
            <w:noWrap/>
            <w:vAlign w:val="center"/>
          </w:tcPr>
          <w:p w14:paraId="45B5ECBF">
            <w:pPr>
              <w:spacing w:line="240" w:lineRule="auto"/>
              <w:ind w:firstLine="0" w:firstLineChars="0"/>
              <w:jc w:val="center"/>
              <w:rPr>
                <w:rFonts w:cs="Times New Roman"/>
                <w:sz w:val="21"/>
                <w:szCs w:val="21"/>
              </w:rPr>
            </w:pPr>
            <w:r>
              <w:rPr>
                <w:rFonts w:hint="eastAsia" w:cs="Times New Roman"/>
                <w:sz w:val="21"/>
                <w:szCs w:val="21"/>
              </w:rPr>
              <w:t>31.812764</w:t>
            </w:r>
          </w:p>
        </w:tc>
        <w:tc>
          <w:tcPr>
            <w:tcW w:w="1080" w:type="dxa"/>
            <w:noWrap/>
            <w:vAlign w:val="center"/>
          </w:tcPr>
          <w:p w14:paraId="075549CA">
            <w:pPr>
              <w:spacing w:line="240" w:lineRule="auto"/>
              <w:ind w:firstLine="0" w:firstLineChars="0"/>
              <w:jc w:val="center"/>
              <w:rPr>
                <w:rFonts w:cs="Times New Roman"/>
                <w:sz w:val="21"/>
                <w:szCs w:val="21"/>
              </w:rPr>
            </w:pPr>
            <w:r>
              <w:rPr>
                <w:rFonts w:hint="eastAsia" w:cs="Times New Roman"/>
                <w:sz w:val="21"/>
                <w:szCs w:val="21"/>
              </w:rPr>
              <w:t>游客</w:t>
            </w:r>
          </w:p>
        </w:tc>
        <w:tc>
          <w:tcPr>
            <w:tcW w:w="702" w:type="dxa"/>
            <w:noWrap/>
            <w:vAlign w:val="center"/>
          </w:tcPr>
          <w:p w14:paraId="7CF7440E">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443AB22">
            <w:pPr>
              <w:spacing w:line="240" w:lineRule="auto"/>
              <w:ind w:firstLine="0" w:firstLineChars="0"/>
              <w:jc w:val="center"/>
              <w:rPr>
                <w:rFonts w:cs="Times New Roman"/>
                <w:sz w:val="21"/>
                <w:szCs w:val="21"/>
              </w:rPr>
            </w:pPr>
          </w:p>
        </w:tc>
        <w:tc>
          <w:tcPr>
            <w:tcW w:w="1168" w:type="dxa"/>
            <w:noWrap/>
            <w:vAlign w:val="center"/>
          </w:tcPr>
          <w:p w14:paraId="0A6BC3D1">
            <w:pPr>
              <w:spacing w:line="240" w:lineRule="auto"/>
              <w:ind w:firstLine="0" w:firstLineChars="0"/>
              <w:jc w:val="center"/>
              <w:rPr>
                <w:rFonts w:cs="Times New Roman"/>
                <w:sz w:val="21"/>
                <w:szCs w:val="21"/>
              </w:rPr>
            </w:pPr>
            <w:r>
              <w:rPr>
                <w:rFonts w:hint="eastAsia" w:cs="Times New Roman"/>
                <w:sz w:val="21"/>
                <w:szCs w:val="21"/>
              </w:rPr>
              <w:t>/</w:t>
            </w:r>
          </w:p>
        </w:tc>
      </w:tr>
      <w:tr w14:paraId="6FDCA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8FD1186">
            <w:pPr>
              <w:pStyle w:val="39"/>
              <w:numPr>
                <w:ilvl w:val="0"/>
                <w:numId w:val="7"/>
              </w:numPr>
              <w:spacing w:line="240" w:lineRule="auto"/>
              <w:ind w:firstLineChars="0"/>
              <w:jc w:val="center"/>
              <w:rPr>
                <w:rFonts w:cs="Times New Roman"/>
                <w:sz w:val="21"/>
                <w:szCs w:val="21"/>
              </w:rPr>
            </w:pPr>
          </w:p>
        </w:tc>
        <w:tc>
          <w:tcPr>
            <w:tcW w:w="992" w:type="dxa"/>
            <w:noWrap/>
            <w:vAlign w:val="center"/>
          </w:tcPr>
          <w:p w14:paraId="48ED1B8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F48941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B71F9A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9966286">
            <w:pPr>
              <w:spacing w:line="240" w:lineRule="auto"/>
              <w:ind w:firstLine="0" w:firstLineChars="0"/>
              <w:jc w:val="center"/>
              <w:rPr>
                <w:rFonts w:cs="Times New Roman"/>
                <w:sz w:val="21"/>
                <w:szCs w:val="21"/>
              </w:rPr>
            </w:pPr>
            <w:r>
              <w:rPr>
                <w:rFonts w:hint="eastAsia" w:cs="Times New Roman"/>
                <w:sz w:val="21"/>
                <w:szCs w:val="21"/>
              </w:rPr>
              <w:t>上竹棵</w:t>
            </w:r>
          </w:p>
        </w:tc>
        <w:tc>
          <w:tcPr>
            <w:tcW w:w="1701" w:type="dxa"/>
            <w:noWrap/>
            <w:vAlign w:val="center"/>
          </w:tcPr>
          <w:p w14:paraId="0EAACDDF">
            <w:pPr>
              <w:spacing w:line="240" w:lineRule="auto"/>
              <w:ind w:firstLine="0" w:firstLineChars="0"/>
              <w:jc w:val="center"/>
              <w:rPr>
                <w:rFonts w:cs="Times New Roman"/>
                <w:sz w:val="21"/>
                <w:szCs w:val="21"/>
              </w:rPr>
            </w:pPr>
            <w:r>
              <w:rPr>
                <w:rFonts w:hint="eastAsia" w:cs="Times New Roman"/>
                <w:sz w:val="21"/>
                <w:szCs w:val="21"/>
              </w:rPr>
              <w:t>119.335204</w:t>
            </w:r>
          </w:p>
        </w:tc>
        <w:tc>
          <w:tcPr>
            <w:tcW w:w="1690" w:type="dxa"/>
            <w:noWrap/>
            <w:vAlign w:val="center"/>
          </w:tcPr>
          <w:p w14:paraId="5202CBB4">
            <w:pPr>
              <w:spacing w:line="240" w:lineRule="auto"/>
              <w:ind w:firstLine="0" w:firstLineChars="0"/>
              <w:jc w:val="center"/>
              <w:rPr>
                <w:rFonts w:cs="Times New Roman"/>
                <w:sz w:val="21"/>
                <w:szCs w:val="21"/>
              </w:rPr>
            </w:pPr>
            <w:r>
              <w:rPr>
                <w:rFonts w:hint="eastAsia" w:cs="Times New Roman"/>
                <w:sz w:val="21"/>
                <w:szCs w:val="21"/>
              </w:rPr>
              <w:t>31.707664</w:t>
            </w:r>
          </w:p>
        </w:tc>
        <w:tc>
          <w:tcPr>
            <w:tcW w:w="1080" w:type="dxa"/>
            <w:noWrap/>
            <w:vAlign w:val="center"/>
          </w:tcPr>
          <w:p w14:paraId="10307F0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ABA4948">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5A115D8">
            <w:pPr>
              <w:spacing w:line="240" w:lineRule="auto"/>
              <w:ind w:firstLine="0" w:firstLineChars="0"/>
              <w:jc w:val="center"/>
              <w:rPr>
                <w:rFonts w:cs="Times New Roman"/>
                <w:sz w:val="21"/>
                <w:szCs w:val="21"/>
              </w:rPr>
            </w:pPr>
          </w:p>
        </w:tc>
        <w:tc>
          <w:tcPr>
            <w:tcW w:w="1168" w:type="dxa"/>
            <w:noWrap/>
            <w:vAlign w:val="center"/>
          </w:tcPr>
          <w:p w14:paraId="242CF91D">
            <w:pPr>
              <w:spacing w:line="240" w:lineRule="auto"/>
              <w:ind w:firstLine="0" w:firstLineChars="0"/>
              <w:jc w:val="center"/>
              <w:rPr>
                <w:rFonts w:cs="Times New Roman"/>
                <w:sz w:val="21"/>
                <w:szCs w:val="21"/>
              </w:rPr>
            </w:pPr>
            <w:r>
              <w:rPr>
                <w:rFonts w:hint="eastAsia" w:cs="Times New Roman"/>
                <w:sz w:val="21"/>
                <w:szCs w:val="21"/>
              </w:rPr>
              <w:t>约150</w:t>
            </w:r>
          </w:p>
        </w:tc>
      </w:tr>
      <w:tr w14:paraId="0ADF7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0F7D07A">
            <w:pPr>
              <w:pStyle w:val="39"/>
              <w:numPr>
                <w:ilvl w:val="0"/>
                <w:numId w:val="7"/>
              </w:numPr>
              <w:spacing w:line="240" w:lineRule="auto"/>
              <w:ind w:firstLineChars="0"/>
              <w:jc w:val="center"/>
              <w:rPr>
                <w:rFonts w:cs="Times New Roman"/>
                <w:sz w:val="21"/>
                <w:szCs w:val="21"/>
              </w:rPr>
            </w:pPr>
          </w:p>
        </w:tc>
        <w:tc>
          <w:tcPr>
            <w:tcW w:w="992" w:type="dxa"/>
            <w:noWrap/>
            <w:vAlign w:val="center"/>
          </w:tcPr>
          <w:p w14:paraId="5E246CF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43AC82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9374A7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1980E45">
            <w:pPr>
              <w:spacing w:line="240" w:lineRule="auto"/>
              <w:ind w:firstLine="0" w:firstLineChars="0"/>
              <w:jc w:val="center"/>
              <w:rPr>
                <w:rFonts w:cs="Times New Roman"/>
                <w:sz w:val="21"/>
                <w:szCs w:val="21"/>
              </w:rPr>
            </w:pPr>
            <w:r>
              <w:rPr>
                <w:rFonts w:hint="eastAsia" w:cs="Times New Roman"/>
                <w:sz w:val="21"/>
                <w:szCs w:val="21"/>
              </w:rPr>
              <w:t>陶家凹</w:t>
            </w:r>
          </w:p>
        </w:tc>
        <w:tc>
          <w:tcPr>
            <w:tcW w:w="1701" w:type="dxa"/>
            <w:noWrap/>
            <w:vAlign w:val="center"/>
          </w:tcPr>
          <w:p w14:paraId="53539BB9">
            <w:pPr>
              <w:spacing w:line="240" w:lineRule="auto"/>
              <w:ind w:firstLine="0" w:firstLineChars="0"/>
              <w:jc w:val="center"/>
              <w:rPr>
                <w:rFonts w:cs="Times New Roman"/>
                <w:sz w:val="21"/>
                <w:szCs w:val="21"/>
              </w:rPr>
            </w:pPr>
            <w:r>
              <w:rPr>
                <w:rFonts w:hint="eastAsia" w:cs="Times New Roman"/>
                <w:sz w:val="21"/>
                <w:szCs w:val="21"/>
              </w:rPr>
              <w:t>119.331317</w:t>
            </w:r>
          </w:p>
        </w:tc>
        <w:tc>
          <w:tcPr>
            <w:tcW w:w="1690" w:type="dxa"/>
            <w:noWrap/>
            <w:vAlign w:val="center"/>
          </w:tcPr>
          <w:p w14:paraId="36A69598">
            <w:pPr>
              <w:spacing w:line="240" w:lineRule="auto"/>
              <w:ind w:firstLine="0" w:firstLineChars="0"/>
              <w:jc w:val="center"/>
              <w:rPr>
                <w:rFonts w:cs="Times New Roman"/>
                <w:sz w:val="21"/>
                <w:szCs w:val="21"/>
              </w:rPr>
            </w:pPr>
            <w:r>
              <w:rPr>
                <w:rFonts w:hint="eastAsia" w:cs="Times New Roman"/>
                <w:sz w:val="21"/>
                <w:szCs w:val="21"/>
              </w:rPr>
              <w:t>31.695443</w:t>
            </w:r>
          </w:p>
        </w:tc>
        <w:tc>
          <w:tcPr>
            <w:tcW w:w="1080" w:type="dxa"/>
            <w:noWrap/>
            <w:vAlign w:val="center"/>
          </w:tcPr>
          <w:p w14:paraId="428FDAD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F9C04EA">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916046D">
            <w:pPr>
              <w:spacing w:line="240" w:lineRule="auto"/>
              <w:ind w:firstLine="0" w:firstLineChars="0"/>
              <w:jc w:val="center"/>
              <w:rPr>
                <w:rFonts w:cs="Times New Roman"/>
                <w:sz w:val="21"/>
                <w:szCs w:val="21"/>
              </w:rPr>
            </w:pPr>
          </w:p>
        </w:tc>
        <w:tc>
          <w:tcPr>
            <w:tcW w:w="1168" w:type="dxa"/>
            <w:noWrap/>
            <w:vAlign w:val="center"/>
          </w:tcPr>
          <w:p w14:paraId="21E08256">
            <w:pPr>
              <w:spacing w:line="240" w:lineRule="auto"/>
              <w:ind w:firstLine="0" w:firstLineChars="0"/>
              <w:jc w:val="center"/>
              <w:rPr>
                <w:rFonts w:cs="Times New Roman"/>
                <w:sz w:val="21"/>
                <w:szCs w:val="21"/>
              </w:rPr>
            </w:pPr>
            <w:r>
              <w:rPr>
                <w:rFonts w:hint="eastAsia" w:cs="Times New Roman"/>
                <w:sz w:val="21"/>
                <w:szCs w:val="21"/>
              </w:rPr>
              <w:t>约100</w:t>
            </w:r>
          </w:p>
        </w:tc>
      </w:tr>
      <w:tr w14:paraId="588FE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F1347AF">
            <w:pPr>
              <w:pStyle w:val="39"/>
              <w:numPr>
                <w:ilvl w:val="0"/>
                <w:numId w:val="7"/>
              </w:numPr>
              <w:spacing w:line="240" w:lineRule="auto"/>
              <w:ind w:firstLineChars="0"/>
              <w:jc w:val="center"/>
              <w:rPr>
                <w:rFonts w:cs="Times New Roman"/>
                <w:sz w:val="21"/>
                <w:szCs w:val="21"/>
              </w:rPr>
            </w:pPr>
          </w:p>
        </w:tc>
        <w:tc>
          <w:tcPr>
            <w:tcW w:w="992" w:type="dxa"/>
            <w:noWrap/>
            <w:vAlign w:val="center"/>
          </w:tcPr>
          <w:p w14:paraId="15A4C78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34CEFE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92859CA">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CEEC466">
            <w:pPr>
              <w:spacing w:line="240" w:lineRule="auto"/>
              <w:ind w:firstLine="0" w:firstLineChars="0"/>
              <w:jc w:val="center"/>
              <w:rPr>
                <w:rFonts w:cs="Times New Roman"/>
                <w:sz w:val="21"/>
                <w:szCs w:val="21"/>
              </w:rPr>
            </w:pPr>
            <w:r>
              <w:rPr>
                <w:rFonts w:hint="eastAsia" w:cs="Times New Roman"/>
                <w:sz w:val="21"/>
                <w:szCs w:val="21"/>
              </w:rPr>
              <w:t>段家湾</w:t>
            </w:r>
          </w:p>
        </w:tc>
        <w:tc>
          <w:tcPr>
            <w:tcW w:w="1701" w:type="dxa"/>
            <w:noWrap/>
            <w:vAlign w:val="center"/>
          </w:tcPr>
          <w:p w14:paraId="54305DA8">
            <w:pPr>
              <w:spacing w:line="240" w:lineRule="auto"/>
              <w:ind w:firstLine="0" w:firstLineChars="0"/>
              <w:jc w:val="center"/>
              <w:rPr>
                <w:rFonts w:cs="Times New Roman"/>
                <w:sz w:val="21"/>
                <w:szCs w:val="21"/>
              </w:rPr>
            </w:pPr>
            <w:r>
              <w:rPr>
                <w:rFonts w:hint="eastAsia" w:cs="Times New Roman"/>
                <w:sz w:val="21"/>
                <w:szCs w:val="21"/>
              </w:rPr>
              <w:t>119.340406</w:t>
            </w:r>
          </w:p>
        </w:tc>
        <w:tc>
          <w:tcPr>
            <w:tcW w:w="1690" w:type="dxa"/>
            <w:noWrap/>
            <w:vAlign w:val="center"/>
          </w:tcPr>
          <w:p w14:paraId="740726C5">
            <w:pPr>
              <w:spacing w:line="240" w:lineRule="auto"/>
              <w:ind w:firstLine="0" w:firstLineChars="0"/>
              <w:jc w:val="center"/>
              <w:rPr>
                <w:rFonts w:cs="Times New Roman"/>
                <w:sz w:val="21"/>
                <w:szCs w:val="21"/>
              </w:rPr>
            </w:pPr>
            <w:r>
              <w:rPr>
                <w:rFonts w:hint="eastAsia" w:cs="Times New Roman"/>
                <w:sz w:val="21"/>
                <w:szCs w:val="21"/>
              </w:rPr>
              <w:t>31.691063</w:t>
            </w:r>
          </w:p>
        </w:tc>
        <w:tc>
          <w:tcPr>
            <w:tcW w:w="1080" w:type="dxa"/>
            <w:noWrap/>
            <w:vAlign w:val="center"/>
          </w:tcPr>
          <w:p w14:paraId="5E1A413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4706C9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3ED1E13">
            <w:pPr>
              <w:spacing w:line="240" w:lineRule="auto"/>
              <w:ind w:firstLine="0" w:firstLineChars="0"/>
              <w:jc w:val="center"/>
              <w:rPr>
                <w:rFonts w:cs="Times New Roman"/>
                <w:sz w:val="21"/>
                <w:szCs w:val="21"/>
              </w:rPr>
            </w:pPr>
          </w:p>
        </w:tc>
        <w:tc>
          <w:tcPr>
            <w:tcW w:w="1168" w:type="dxa"/>
            <w:noWrap/>
            <w:vAlign w:val="center"/>
          </w:tcPr>
          <w:p w14:paraId="1268E4EF">
            <w:pPr>
              <w:spacing w:line="240" w:lineRule="auto"/>
              <w:ind w:firstLine="0" w:firstLineChars="0"/>
              <w:jc w:val="center"/>
              <w:rPr>
                <w:rFonts w:cs="Times New Roman"/>
                <w:sz w:val="21"/>
                <w:szCs w:val="21"/>
              </w:rPr>
            </w:pPr>
            <w:r>
              <w:rPr>
                <w:rFonts w:hint="eastAsia" w:cs="Times New Roman"/>
                <w:sz w:val="21"/>
                <w:szCs w:val="21"/>
              </w:rPr>
              <w:t>约100</w:t>
            </w:r>
          </w:p>
        </w:tc>
      </w:tr>
      <w:tr w14:paraId="1D9E0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7581632">
            <w:pPr>
              <w:pStyle w:val="39"/>
              <w:numPr>
                <w:ilvl w:val="0"/>
                <w:numId w:val="7"/>
              </w:numPr>
              <w:spacing w:line="240" w:lineRule="auto"/>
              <w:ind w:firstLineChars="0"/>
              <w:jc w:val="center"/>
              <w:rPr>
                <w:rFonts w:cs="Times New Roman"/>
                <w:sz w:val="21"/>
                <w:szCs w:val="21"/>
              </w:rPr>
            </w:pPr>
          </w:p>
        </w:tc>
        <w:tc>
          <w:tcPr>
            <w:tcW w:w="992" w:type="dxa"/>
            <w:noWrap/>
            <w:vAlign w:val="center"/>
          </w:tcPr>
          <w:p w14:paraId="49D370A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D3CC06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75F367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D15A26A">
            <w:pPr>
              <w:spacing w:line="240" w:lineRule="auto"/>
              <w:ind w:firstLine="0" w:firstLineChars="0"/>
              <w:jc w:val="center"/>
              <w:rPr>
                <w:rFonts w:cs="Times New Roman"/>
                <w:sz w:val="21"/>
                <w:szCs w:val="21"/>
              </w:rPr>
            </w:pPr>
            <w:r>
              <w:rPr>
                <w:rFonts w:hint="eastAsia" w:cs="Times New Roman"/>
                <w:sz w:val="21"/>
                <w:szCs w:val="21"/>
              </w:rPr>
              <w:t>八里庙</w:t>
            </w:r>
          </w:p>
        </w:tc>
        <w:tc>
          <w:tcPr>
            <w:tcW w:w="1701" w:type="dxa"/>
            <w:noWrap/>
            <w:vAlign w:val="center"/>
          </w:tcPr>
          <w:p w14:paraId="2DC7A830">
            <w:pPr>
              <w:spacing w:line="240" w:lineRule="auto"/>
              <w:ind w:firstLine="0" w:firstLineChars="0"/>
              <w:jc w:val="center"/>
              <w:rPr>
                <w:rFonts w:cs="Times New Roman"/>
                <w:sz w:val="21"/>
                <w:szCs w:val="21"/>
              </w:rPr>
            </w:pPr>
            <w:r>
              <w:rPr>
                <w:rFonts w:hint="eastAsia" w:cs="Times New Roman"/>
                <w:sz w:val="21"/>
                <w:szCs w:val="21"/>
              </w:rPr>
              <w:t>119.346876</w:t>
            </w:r>
          </w:p>
        </w:tc>
        <w:tc>
          <w:tcPr>
            <w:tcW w:w="1690" w:type="dxa"/>
            <w:noWrap/>
            <w:vAlign w:val="center"/>
          </w:tcPr>
          <w:p w14:paraId="773DF819">
            <w:pPr>
              <w:spacing w:line="240" w:lineRule="auto"/>
              <w:ind w:firstLine="0" w:firstLineChars="0"/>
              <w:jc w:val="center"/>
              <w:rPr>
                <w:rFonts w:cs="Times New Roman"/>
                <w:sz w:val="21"/>
                <w:szCs w:val="21"/>
              </w:rPr>
            </w:pPr>
            <w:r>
              <w:rPr>
                <w:rFonts w:hint="eastAsia" w:cs="Times New Roman"/>
                <w:sz w:val="21"/>
                <w:szCs w:val="21"/>
              </w:rPr>
              <w:t>31.689245</w:t>
            </w:r>
          </w:p>
        </w:tc>
        <w:tc>
          <w:tcPr>
            <w:tcW w:w="1080" w:type="dxa"/>
            <w:noWrap/>
            <w:vAlign w:val="center"/>
          </w:tcPr>
          <w:p w14:paraId="191A850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4976D26">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15119AC">
            <w:pPr>
              <w:spacing w:line="240" w:lineRule="auto"/>
              <w:ind w:firstLine="0" w:firstLineChars="0"/>
              <w:jc w:val="center"/>
              <w:rPr>
                <w:rFonts w:cs="Times New Roman"/>
                <w:sz w:val="21"/>
                <w:szCs w:val="21"/>
              </w:rPr>
            </w:pPr>
          </w:p>
        </w:tc>
        <w:tc>
          <w:tcPr>
            <w:tcW w:w="1168" w:type="dxa"/>
            <w:noWrap/>
            <w:vAlign w:val="center"/>
          </w:tcPr>
          <w:p w14:paraId="09D6D65D">
            <w:pPr>
              <w:spacing w:line="240" w:lineRule="auto"/>
              <w:ind w:firstLine="0" w:firstLineChars="0"/>
              <w:jc w:val="center"/>
              <w:rPr>
                <w:rFonts w:cs="Times New Roman"/>
                <w:sz w:val="21"/>
                <w:szCs w:val="21"/>
              </w:rPr>
            </w:pPr>
            <w:r>
              <w:rPr>
                <w:rFonts w:hint="eastAsia" w:cs="Times New Roman"/>
                <w:sz w:val="21"/>
                <w:szCs w:val="21"/>
              </w:rPr>
              <w:t>约100</w:t>
            </w:r>
          </w:p>
        </w:tc>
      </w:tr>
      <w:tr w14:paraId="7D3FA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4CFD085">
            <w:pPr>
              <w:pStyle w:val="39"/>
              <w:numPr>
                <w:ilvl w:val="0"/>
                <w:numId w:val="7"/>
              </w:numPr>
              <w:spacing w:line="240" w:lineRule="auto"/>
              <w:ind w:firstLineChars="0"/>
              <w:jc w:val="center"/>
              <w:rPr>
                <w:rFonts w:cs="Times New Roman"/>
                <w:sz w:val="21"/>
                <w:szCs w:val="21"/>
              </w:rPr>
            </w:pPr>
          </w:p>
        </w:tc>
        <w:tc>
          <w:tcPr>
            <w:tcW w:w="992" w:type="dxa"/>
            <w:noWrap/>
            <w:vAlign w:val="center"/>
          </w:tcPr>
          <w:p w14:paraId="15E983A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B3B66D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8B5146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FF80AA0">
            <w:pPr>
              <w:spacing w:line="240" w:lineRule="auto"/>
              <w:ind w:firstLine="0" w:firstLineChars="0"/>
              <w:jc w:val="center"/>
              <w:rPr>
                <w:rFonts w:cs="Times New Roman"/>
                <w:sz w:val="21"/>
                <w:szCs w:val="21"/>
              </w:rPr>
            </w:pPr>
            <w:r>
              <w:rPr>
                <w:rFonts w:hint="eastAsia" w:cs="Times New Roman"/>
                <w:sz w:val="21"/>
                <w:szCs w:val="21"/>
              </w:rPr>
              <w:t>唐家棚</w:t>
            </w:r>
          </w:p>
        </w:tc>
        <w:tc>
          <w:tcPr>
            <w:tcW w:w="1701" w:type="dxa"/>
            <w:noWrap/>
            <w:vAlign w:val="center"/>
          </w:tcPr>
          <w:p w14:paraId="523CCEFA">
            <w:pPr>
              <w:spacing w:line="240" w:lineRule="auto"/>
              <w:ind w:firstLine="0" w:firstLineChars="0"/>
              <w:jc w:val="center"/>
              <w:rPr>
                <w:rFonts w:cs="Times New Roman"/>
                <w:sz w:val="21"/>
                <w:szCs w:val="21"/>
              </w:rPr>
            </w:pPr>
            <w:r>
              <w:rPr>
                <w:rFonts w:hint="eastAsia" w:cs="Times New Roman"/>
                <w:sz w:val="21"/>
                <w:szCs w:val="21"/>
              </w:rPr>
              <w:t>119.352102</w:t>
            </w:r>
          </w:p>
        </w:tc>
        <w:tc>
          <w:tcPr>
            <w:tcW w:w="1690" w:type="dxa"/>
            <w:noWrap/>
            <w:vAlign w:val="center"/>
          </w:tcPr>
          <w:p w14:paraId="6F49F6D6">
            <w:pPr>
              <w:spacing w:line="240" w:lineRule="auto"/>
              <w:ind w:firstLine="0" w:firstLineChars="0"/>
              <w:jc w:val="center"/>
              <w:rPr>
                <w:rFonts w:cs="Times New Roman"/>
                <w:sz w:val="21"/>
                <w:szCs w:val="21"/>
              </w:rPr>
            </w:pPr>
            <w:r>
              <w:rPr>
                <w:rFonts w:hint="eastAsia" w:cs="Times New Roman"/>
                <w:sz w:val="21"/>
                <w:szCs w:val="21"/>
              </w:rPr>
              <w:t>31.68952</w:t>
            </w:r>
          </w:p>
        </w:tc>
        <w:tc>
          <w:tcPr>
            <w:tcW w:w="1080" w:type="dxa"/>
            <w:noWrap/>
            <w:vAlign w:val="center"/>
          </w:tcPr>
          <w:p w14:paraId="5C94C7C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F6D669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5F31D041">
            <w:pPr>
              <w:spacing w:line="240" w:lineRule="auto"/>
              <w:ind w:firstLine="0" w:firstLineChars="0"/>
              <w:jc w:val="center"/>
              <w:rPr>
                <w:rFonts w:cs="Times New Roman"/>
                <w:sz w:val="21"/>
                <w:szCs w:val="21"/>
              </w:rPr>
            </w:pPr>
          </w:p>
        </w:tc>
        <w:tc>
          <w:tcPr>
            <w:tcW w:w="1168" w:type="dxa"/>
            <w:noWrap/>
            <w:vAlign w:val="center"/>
          </w:tcPr>
          <w:p w14:paraId="4B342281">
            <w:pPr>
              <w:spacing w:line="240" w:lineRule="auto"/>
              <w:ind w:firstLine="0" w:firstLineChars="0"/>
              <w:jc w:val="center"/>
              <w:rPr>
                <w:rFonts w:cs="Times New Roman"/>
                <w:sz w:val="21"/>
                <w:szCs w:val="21"/>
              </w:rPr>
            </w:pPr>
            <w:r>
              <w:rPr>
                <w:rFonts w:hint="eastAsia" w:cs="Times New Roman"/>
                <w:sz w:val="21"/>
                <w:szCs w:val="21"/>
              </w:rPr>
              <w:t>约100</w:t>
            </w:r>
          </w:p>
        </w:tc>
      </w:tr>
      <w:tr w14:paraId="484AB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1D5DC9F">
            <w:pPr>
              <w:pStyle w:val="39"/>
              <w:numPr>
                <w:ilvl w:val="0"/>
                <w:numId w:val="7"/>
              </w:numPr>
              <w:spacing w:line="240" w:lineRule="auto"/>
              <w:ind w:firstLineChars="0"/>
              <w:jc w:val="center"/>
              <w:rPr>
                <w:rFonts w:cs="Times New Roman"/>
                <w:sz w:val="21"/>
                <w:szCs w:val="21"/>
              </w:rPr>
            </w:pPr>
          </w:p>
        </w:tc>
        <w:tc>
          <w:tcPr>
            <w:tcW w:w="992" w:type="dxa"/>
            <w:noWrap/>
            <w:vAlign w:val="center"/>
          </w:tcPr>
          <w:p w14:paraId="493FBEE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0555FE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5D7344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C7D1FB0">
            <w:pPr>
              <w:spacing w:line="240" w:lineRule="auto"/>
              <w:ind w:firstLine="0" w:firstLineChars="0"/>
              <w:jc w:val="center"/>
              <w:rPr>
                <w:rFonts w:cs="Times New Roman"/>
                <w:sz w:val="21"/>
                <w:szCs w:val="21"/>
              </w:rPr>
            </w:pPr>
            <w:r>
              <w:rPr>
                <w:rFonts w:hint="eastAsia" w:cs="Times New Roman"/>
                <w:sz w:val="21"/>
                <w:szCs w:val="21"/>
              </w:rPr>
              <w:t>新村</w:t>
            </w:r>
          </w:p>
        </w:tc>
        <w:tc>
          <w:tcPr>
            <w:tcW w:w="1701" w:type="dxa"/>
            <w:noWrap/>
            <w:vAlign w:val="center"/>
          </w:tcPr>
          <w:p w14:paraId="45C84574">
            <w:pPr>
              <w:spacing w:line="240" w:lineRule="auto"/>
              <w:ind w:firstLine="0" w:firstLineChars="0"/>
              <w:jc w:val="center"/>
              <w:rPr>
                <w:rFonts w:cs="Times New Roman"/>
                <w:sz w:val="21"/>
                <w:szCs w:val="21"/>
              </w:rPr>
            </w:pPr>
            <w:r>
              <w:rPr>
                <w:rFonts w:hint="eastAsia" w:cs="Times New Roman"/>
                <w:sz w:val="21"/>
                <w:szCs w:val="21"/>
              </w:rPr>
              <w:t>119.356796</w:t>
            </w:r>
          </w:p>
        </w:tc>
        <w:tc>
          <w:tcPr>
            <w:tcW w:w="1690" w:type="dxa"/>
            <w:noWrap/>
            <w:vAlign w:val="center"/>
          </w:tcPr>
          <w:p w14:paraId="1D4C1E0A">
            <w:pPr>
              <w:spacing w:line="240" w:lineRule="auto"/>
              <w:ind w:firstLine="0" w:firstLineChars="0"/>
              <w:jc w:val="center"/>
              <w:rPr>
                <w:rFonts w:cs="Times New Roman"/>
                <w:sz w:val="21"/>
                <w:szCs w:val="21"/>
              </w:rPr>
            </w:pPr>
            <w:r>
              <w:rPr>
                <w:rFonts w:hint="eastAsia" w:cs="Times New Roman"/>
                <w:sz w:val="21"/>
                <w:szCs w:val="21"/>
              </w:rPr>
              <w:t>31.692062</w:t>
            </w:r>
          </w:p>
        </w:tc>
        <w:tc>
          <w:tcPr>
            <w:tcW w:w="1080" w:type="dxa"/>
            <w:noWrap/>
            <w:vAlign w:val="center"/>
          </w:tcPr>
          <w:p w14:paraId="6E62576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E033673">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CA1222E">
            <w:pPr>
              <w:spacing w:line="240" w:lineRule="auto"/>
              <w:ind w:firstLine="0" w:firstLineChars="0"/>
              <w:jc w:val="center"/>
              <w:rPr>
                <w:rFonts w:cs="Times New Roman"/>
                <w:sz w:val="21"/>
                <w:szCs w:val="21"/>
              </w:rPr>
            </w:pPr>
          </w:p>
        </w:tc>
        <w:tc>
          <w:tcPr>
            <w:tcW w:w="1168" w:type="dxa"/>
            <w:noWrap/>
            <w:vAlign w:val="center"/>
          </w:tcPr>
          <w:p w14:paraId="1F35D307">
            <w:pPr>
              <w:spacing w:line="240" w:lineRule="auto"/>
              <w:ind w:firstLine="0" w:firstLineChars="0"/>
              <w:jc w:val="center"/>
              <w:rPr>
                <w:rFonts w:cs="Times New Roman"/>
                <w:sz w:val="21"/>
                <w:szCs w:val="21"/>
              </w:rPr>
            </w:pPr>
            <w:r>
              <w:rPr>
                <w:rFonts w:hint="eastAsia" w:cs="Times New Roman"/>
                <w:sz w:val="21"/>
                <w:szCs w:val="21"/>
              </w:rPr>
              <w:t>约120</w:t>
            </w:r>
          </w:p>
        </w:tc>
      </w:tr>
      <w:tr w14:paraId="21EC8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7BCBF62">
            <w:pPr>
              <w:pStyle w:val="39"/>
              <w:numPr>
                <w:ilvl w:val="0"/>
                <w:numId w:val="7"/>
              </w:numPr>
              <w:spacing w:line="240" w:lineRule="auto"/>
              <w:ind w:firstLineChars="0"/>
              <w:jc w:val="center"/>
              <w:rPr>
                <w:rFonts w:cs="Times New Roman"/>
                <w:sz w:val="21"/>
                <w:szCs w:val="21"/>
              </w:rPr>
            </w:pPr>
          </w:p>
        </w:tc>
        <w:tc>
          <w:tcPr>
            <w:tcW w:w="992" w:type="dxa"/>
            <w:noWrap/>
            <w:vAlign w:val="center"/>
          </w:tcPr>
          <w:p w14:paraId="696B113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27C5D4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8F1395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8DFE10E">
            <w:pPr>
              <w:spacing w:line="240" w:lineRule="auto"/>
              <w:ind w:firstLine="0" w:firstLineChars="0"/>
              <w:jc w:val="center"/>
              <w:rPr>
                <w:rFonts w:cs="Times New Roman"/>
                <w:sz w:val="21"/>
                <w:szCs w:val="21"/>
              </w:rPr>
            </w:pPr>
            <w:r>
              <w:rPr>
                <w:rFonts w:hint="eastAsia" w:cs="Times New Roman"/>
                <w:sz w:val="21"/>
                <w:szCs w:val="21"/>
              </w:rPr>
              <w:t>太平庄</w:t>
            </w:r>
          </w:p>
        </w:tc>
        <w:tc>
          <w:tcPr>
            <w:tcW w:w="1701" w:type="dxa"/>
            <w:noWrap/>
            <w:vAlign w:val="center"/>
          </w:tcPr>
          <w:p w14:paraId="7375C6A5">
            <w:pPr>
              <w:spacing w:line="240" w:lineRule="auto"/>
              <w:ind w:firstLine="0" w:firstLineChars="0"/>
              <w:jc w:val="center"/>
              <w:rPr>
                <w:rFonts w:cs="Times New Roman"/>
                <w:sz w:val="21"/>
                <w:szCs w:val="21"/>
              </w:rPr>
            </w:pPr>
            <w:r>
              <w:rPr>
                <w:rFonts w:hint="eastAsia" w:cs="Times New Roman"/>
                <w:sz w:val="21"/>
                <w:szCs w:val="21"/>
              </w:rPr>
              <w:t>119.357726</w:t>
            </w:r>
          </w:p>
        </w:tc>
        <w:tc>
          <w:tcPr>
            <w:tcW w:w="1690" w:type="dxa"/>
            <w:noWrap/>
            <w:vAlign w:val="center"/>
          </w:tcPr>
          <w:p w14:paraId="5DFD0556">
            <w:pPr>
              <w:spacing w:line="240" w:lineRule="auto"/>
              <w:ind w:firstLine="0" w:firstLineChars="0"/>
              <w:jc w:val="center"/>
              <w:rPr>
                <w:rFonts w:cs="Times New Roman"/>
                <w:sz w:val="21"/>
                <w:szCs w:val="21"/>
              </w:rPr>
            </w:pPr>
            <w:r>
              <w:rPr>
                <w:rFonts w:hint="eastAsia" w:cs="Times New Roman"/>
                <w:sz w:val="21"/>
                <w:szCs w:val="21"/>
              </w:rPr>
              <w:t>31.689692</w:t>
            </w:r>
          </w:p>
        </w:tc>
        <w:tc>
          <w:tcPr>
            <w:tcW w:w="1080" w:type="dxa"/>
            <w:noWrap/>
            <w:vAlign w:val="center"/>
          </w:tcPr>
          <w:p w14:paraId="0D525A1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F900255">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5CCB4C0">
            <w:pPr>
              <w:spacing w:line="240" w:lineRule="auto"/>
              <w:ind w:firstLine="0" w:firstLineChars="0"/>
              <w:jc w:val="center"/>
              <w:rPr>
                <w:rFonts w:cs="Times New Roman"/>
                <w:sz w:val="21"/>
                <w:szCs w:val="21"/>
              </w:rPr>
            </w:pPr>
          </w:p>
        </w:tc>
        <w:tc>
          <w:tcPr>
            <w:tcW w:w="1168" w:type="dxa"/>
            <w:noWrap/>
            <w:vAlign w:val="center"/>
          </w:tcPr>
          <w:p w14:paraId="526292C3">
            <w:pPr>
              <w:spacing w:line="240" w:lineRule="auto"/>
              <w:ind w:firstLine="0" w:firstLineChars="0"/>
              <w:jc w:val="center"/>
              <w:rPr>
                <w:rFonts w:cs="Times New Roman"/>
                <w:sz w:val="21"/>
                <w:szCs w:val="21"/>
              </w:rPr>
            </w:pPr>
            <w:r>
              <w:rPr>
                <w:rFonts w:hint="eastAsia" w:cs="Times New Roman"/>
                <w:sz w:val="21"/>
                <w:szCs w:val="21"/>
              </w:rPr>
              <w:t>约10</w:t>
            </w:r>
          </w:p>
        </w:tc>
      </w:tr>
      <w:tr w14:paraId="0E691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745B45E">
            <w:pPr>
              <w:pStyle w:val="39"/>
              <w:numPr>
                <w:ilvl w:val="0"/>
                <w:numId w:val="7"/>
              </w:numPr>
              <w:spacing w:line="240" w:lineRule="auto"/>
              <w:ind w:firstLineChars="0"/>
              <w:jc w:val="center"/>
              <w:rPr>
                <w:rFonts w:cs="Times New Roman"/>
                <w:sz w:val="21"/>
                <w:szCs w:val="21"/>
              </w:rPr>
            </w:pPr>
          </w:p>
        </w:tc>
        <w:tc>
          <w:tcPr>
            <w:tcW w:w="992" w:type="dxa"/>
            <w:noWrap/>
            <w:vAlign w:val="center"/>
          </w:tcPr>
          <w:p w14:paraId="4817B65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55D2B0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C195BE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312EF27">
            <w:pPr>
              <w:spacing w:line="240" w:lineRule="auto"/>
              <w:ind w:firstLine="0" w:firstLineChars="0"/>
              <w:jc w:val="center"/>
              <w:rPr>
                <w:rFonts w:cs="Times New Roman"/>
                <w:sz w:val="21"/>
                <w:szCs w:val="21"/>
              </w:rPr>
            </w:pPr>
            <w:r>
              <w:rPr>
                <w:rFonts w:hint="eastAsia" w:cs="Times New Roman"/>
                <w:sz w:val="21"/>
                <w:szCs w:val="21"/>
              </w:rPr>
              <w:t>老鸦墩</w:t>
            </w:r>
          </w:p>
        </w:tc>
        <w:tc>
          <w:tcPr>
            <w:tcW w:w="1701" w:type="dxa"/>
            <w:noWrap/>
            <w:vAlign w:val="center"/>
          </w:tcPr>
          <w:p w14:paraId="77DEFDCB">
            <w:pPr>
              <w:spacing w:line="240" w:lineRule="auto"/>
              <w:ind w:firstLine="0" w:firstLineChars="0"/>
              <w:jc w:val="center"/>
              <w:rPr>
                <w:rFonts w:cs="Times New Roman"/>
                <w:sz w:val="21"/>
                <w:szCs w:val="21"/>
              </w:rPr>
            </w:pPr>
            <w:r>
              <w:rPr>
                <w:rFonts w:hint="eastAsia" w:cs="Times New Roman"/>
                <w:sz w:val="21"/>
                <w:szCs w:val="21"/>
              </w:rPr>
              <w:t>119.361458</w:t>
            </w:r>
          </w:p>
        </w:tc>
        <w:tc>
          <w:tcPr>
            <w:tcW w:w="1690" w:type="dxa"/>
            <w:noWrap/>
            <w:vAlign w:val="center"/>
          </w:tcPr>
          <w:p w14:paraId="36B8DF55">
            <w:pPr>
              <w:spacing w:line="240" w:lineRule="auto"/>
              <w:ind w:firstLine="0" w:firstLineChars="0"/>
              <w:jc w:val="center"/>
              <w:rPr>
                <w:rFonts w:cs="Times New Roman"/>
                <w:sz w:val="21"/>
                <w:szCs w:val="21"/>
              </w:rPr>
            </w:pPr>
            <w:r>
              <w:rPr>
                <w:rFonts w:hint="eastAsia" w:cs="Times New Roman"/>
                <w:sz w:val="21"/>
                <w:szCs w:val="21"/>
              </w:rPr>
              <w:t>31.693378</w:t>
            </w:r>
          </w:p>
        </w:tc>
        <w:tc>
          <w:tcPr>
            <w:tcW w:w="1080" w:type="dxa"/>
            <w:noWrap/>
            <w:vAlign w:val="center"/>
          </w:tcPr>
          <w:p w14:paraId="3387903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8913DA6">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53CCA05B">
            <w:pPr>
              <w:spacing w:line="240" w:lineRule="auto"/>
              <w:ind w:firstLine="0" w:firstLineChars="0"/>
              <w:jc w:val="center"/>
              <w:rPr>
                <w:rFonts w:cs="Times New Roman"/>
                <w:sz w:val="21"/>
                <w:szCs w:val="21"/>
              </w:rPr>
            </w:pPr>
          </w:p>
        </w:tc>
        <w:tc>
          <w:tcPr>
            <w:tcW w:w="1168" w:type="dxa"/>
            <w:noWrap/>
            <w:vAlign w:val="center"/>
          </w:tcPr>
          <w:p w14:paraId="1C8C525C">
            <w:pPr>
              <w:spacing w:line="240" w:lineRule="auto"/>
              <w:ind w:firstLine="0" w:firstLineChars="0"/>
              <w:jc w:val="center"/>
              <w:rPr>
                <w:rFonts w:cs="Times New Roman"/>
                <w:sz w:val="21"/>
                <w:szCs w:val="21"/>
              </w:rPr>
            </w:pPr>
            <w:r>
              <w:rPr>
                <w:rFonts w:hint="eastAsia" w:cs="Times New Roman"/>
                <w:sz w:val="21"/>
                <w:szCs w:val="21"/>
              </w:rPr>
              <w:t>约10</w:t>
            </w:r>
          </w:p>
        </w:tc>
      </w:tr>
      <w:tr w14:paraId="119C8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CBBF78D">
            <w:pPr>
              <w:pStyle w:val="39"/>
              <w:numPr>
                <w:ilvl w:val="0"/>
                <w:numId w:val="7"/>
              </w:numPr>
              <w:spacing w:line="240" w:lineRule="auto"/>
              <w:ind w:firstLineChars="0"/>
              <w:jc w:val="center"/>
              <w:rPr>
                <w:rFonts w:cs="Times New Roman"/>
                <w:sz w:val="21"/>
                <w:szCs w:val="21"/>
              </w:rPr>
            </w:pPr>
          </w:p>
        </w:tc>
        <w:tc>
          <w:tcPr>
            <w:tcW w:w="992" w:type="dxa"/>
            <w:noWrap/>
            <w:vAlign w:val="center"/>
          </w:tcPr>
          <w:p w14:paraId="1032A2E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195F47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75E33FA">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FB9B761">
            <w:pPr>
              <w:spacing w:line="240" w:lineRule="auto"/>
              <w:ind w:firstLine="0" w:firstLineChars="0"/>
              <w:jc w:val="center"/>
              <w:rPr>
                <w:rFonts w:cs="Times New Roman"/>
                <w:sz w:val="21"/>
                <w:szCs w:val="21"/>
              </w:rPr>
            </w:pPr>
            <w:r>
              <w:rPr>
                <w:rFonts w:hint="eastAsia" w:cs="Times New Roman"/>
                <w:sz w:val="21"/>
                <w:szCs w:val="21"/>
              </w:rPr>
              <w:t>宝塘</w:t>
            </w:r>
          </w:p>
        </w:tc>
        <w:tc>
          <w:tcPr>
            <w:tcW w:w="1701" w:type="dxa"/>
            <w:noWrap/>
            <w:vAlign w:val="center"/>
          </w:tcPr>
          <w:p w14:paraId="5F52997A">
            <w:pPr>
              <w:spacing w:line="240" w:lineRule="auto"/>
              <w:ind w:firstLine="0" w:firstLineChars="0"/>
              <w:jc w:val="center"/>
              <w:rPr>
                <w:rFonts w:cs="Times New Roman"/>
                <w:sz w:val="21"/>
                <w:szCs w:val="21"/>
              </w:rPr>
            </w:pPr>
            <w:r>
              <w:rPr>
                <w:rFonts w:hint="eastAsia" w:cs="Times New Roman"/>
                <w:sz w:val="21"/>
                <w:szCs w:val="21"/>
              </w:rPr>
              <w:t>119.36264</w:t>
            </w:r>
          </w:p>
        </w:tc>
        <w:tc>
          <w:tcPr>
            <w:tcW w:w="1690" w:type="dxa"/>
            <w:noWrap/>
            <w:vAlign w:val="center"/>
          </w:tcPr>
          <w:p w14:paraId="47E45207">
            <w:pPr>
              <w:spacing w:line="240" w:lineRule="auto"/>
              <w:ind w:firstLine="0" w:firstLineChars="0"/>
              <w:jc w:val="center"/>
              <w:rPr>
                <w:rFonts w:cs="Times New Roman"/>
                <w:sz w:val="21"/>
                <w:szCs w:val="21"/>
              </w:rPr>
            </w:pPr>
            <w:r>
              <w:rPr>
                <w:rFonts w:hint="eastAsia" w:cs="Times New Roman"/>
                <w:sz w:val="21"/>
                <w:szCs w:val="21"/>
              </w:rPr>
              <w:t>31.697403</w:t>
            </w:r>
          </w:p>
        </w:tc>
        <w:tc>
          <w:tcPr>
            <w:tcW w:w="1080" w:type="dxa"/>
            <w:noWrap/>
            <w:vAlign w:val="center"/>
          </w:tcPr>
          <w:p w14:paraId="684D74C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49A9E05">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53194DF">
            <w:pPr>
              <w:spacing w:line="240" w:lineRule="auto"/>
              <w:ind w:firstLine="0" w:firstLineChars="0"/>
              <w:jc w:val="center"/>
              <w:rPr>
                <w:rFonts w:cs="Times New Roman"/>
                <w:sz w:val="21"/>
                <w:szCs w:val="21"/>
              </w:rPr>
            </w:pPr>
          </w:p>
        </w:tc>
        <w:tc>
          <w:tcPr>
            <w:tcW w:w="1168" w:type="dxa"/>
            <w:noWrap/>
            <w:vAlign w:val="center"/>
          </w:tcPr>
          <w:p w14:paraId="3190ED9B">
            <w:pPr>
              <w:spacing w:line="240" w:lineRule="auto"/>
              <w:ind w:firstLine="0" w:firstLineChars="0"/>
              <w:jc w:val="center"/>
              <w:rPr>
                <w:rFonts w:cs="Times New Roman"/>
                <w:sz w:val="21"/>
                <w:szCs w:val="21"/>
              </w:rPr>
            </w:pPr>
            <w:r>
              <w:rPr>
                <w:rFonts w:hint="eastAsia" w:cs="Times New Roman"/>
                <w:sz w:val="21"/>
                <w:szCs w:val="21"/>
              </w:rPr>
              <w:t>约20</w:t>
            </w:r>
          </w:p>
        </w:tc>
      </w:tr>
      <w:tr w14:paraId="6F65A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4CC9642">
            <w:pPr>
              <w:pStyle w:val="39"/>
              <w:numPr>
                <w:ilvl w:val="0"/>
                <w:numId w:val="7"/>
              </w:numPr>
              <w:spacing w:line="240" w:lineRule="auto"/>
              <w:ind w:firstLineChars="0"/>
              <w:jc w:val="center"/>
              <w:rPr>
                <w:rFonts w:cs="Times New Roman"/>
                <w:sz w:val="21"/>
                <w:szCs w:val="21"/>
              </w:rPr>
            </w:pPr>
          </w:p>
        </w:tc>
        <w:tc>
          <w:tcPr>
            <w:tcW w:w="992" w:type="dxa"/>
            <w:noWrap/>
            <w:vAlign w:val="center"/>
          </w:tcPr>
          <w:p w14:paraId="68894A3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832E68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BA7A27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A3248D7">
            <w:pPr>
              <w:spacing w:line="240" w:lineRule="auto"/>
              <w:ind w:firstLine="0" w:firstLineChars="0"/>
              <w:jc w:val="center"/>
              <w:rPr>
                <w:rFonts w:cs="Times New Roman"/>
                <w:sz w:val="21"/>
                <w:szCs w:val="21"/>
              </w:rPr>
            </w:pPr>
            <w:r>
              <w:rPr>
                <w:rFonts w:hint="eastAsia" w:cs="Times New Roman"/>
                <w:sz w:val="21"/>
                <w:szCs w:val="21"/>
              </w:rPr>
              <w:t>方麓村</w:t>
            </w:r>
          </w:p>
        </w:tc>
        <w:tc>
          <w:tcPr>
            <w:tcW w:w="1701" w:type="dxa"/>
            <w:noWrap/>
            <w:vAlign w:val="center"/>
          </w:tcPr>
          <w:p w14:paraId="67A71AB8">
            <w:pPr>
              <w:spacing w:line="240" w:lineRule="auto"/>
              <w:ind w:firstLine="0" w:firstLineChars="0"/>
              <w:jc w:val="center"/>
              <w:rPr>
                <w:rFonts w:cs="Times New Roman"/>
                <w:sz w:val="21"/>
                <w:szCs w:val="21"/>
              </w:rPr>
            </w:pPr>
            <w:r>
              <w:rPr>
                <w:rFonts w:hint="eastAsia" w:cs="Times New Roman"/>
                <w:sz w:val="21"/>
                <w:szCs w:val="21"/>
              </w:rPr>
              <w:t>119.369417</w:t>
            </w:r>
          </w:p>
        </w:tc>
        <w:tc>
          <w:tcPr>
            <w:tcW w:w="1690" w:type="dxa"/>
            <w:noWrap/>
            <w:vAlign w:val="center"/>
          </w:tcPr>
          <w:p w14:paraId="1895FB1B">
            <w:pPr>
              <w:spacing w:line="240" w:lineRule="auto"/>
              <w:ind w:firstLine="0" w:firstLineChars="0"/>
              <w:jc w:val="center"/>
              <w:rPr>
                <w:rFonts w:cs="Times New Roman"/>
                <w:sz w:val="21"/>
                <w:szCs w:val="21"/>
              </w:rPr>
            </w:pPr>
            <w:r>
              <w:rPr>
                <w:rFonts w:hint="eastAsia" w:cs="Times New Roman"/>
                <w:sz w:val="21"/>
                <w:szCs w:val="21"/>
              </w:rPr>
              <w:t>31.699225</w:t>
            </w:r>
          </w:p>
        </w:tc>
        <w:tc>
          <w:tcPr>
            <w:tcW w:w="1080" w:type="dxa"/>
            <w:noWrap/>
            <w:vAlign w:val="center"/>
          </w:tcPr>
          <w:p w14:paraId="28CFBAA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6555ED0">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70A5520">
            <w:pPr>
              <w:spacing w:line="240" w:lineRule="auto"/>
              <w:ind w:firstLine="0" w:firstLineChars="0"/>
              <w:jc w:val="center"/>
              <w:rPr>
                <w:rFonts w:cs="Times New Roman"/>
                <w:sz w:val="21"/>
                <w:szCs w:val="21"/>
              </w:rPr>
            </w:pPr>
          </w:p>
        </w:tc>
        <w:tc>
          <w:tcPr>
            <w:tcW w:w="1168" w:type="dxa"/>
            <w:noWrap/>
            <w:vAlign w:val="center"/>
          </w:tcPr>
          <w:p w14:paraId="2FA1B71A">
            <w:pPr>
              <w:spacing w:line="240" w:lineRule="auto"/>
              <w:ind w:firstLine="0" w:firstLineChars="0"/>
              <w:jc w:val="center"/>
              <w:rPr>
                <w:rFonts w:cs="Times New Roman"/>
                <w:sz w:val="21"/>
                <w:szCs w:val="21"/>
              </w:rPr>
            </w:pPr>
            <w:r>
              <w:rPr>
                <w:rFonts w:hint="eastAsia" w:cs="Times New Roman"/>
                <w:sz w:val="21"/>
                <w:szCs w:val="21"/>
              </w:rPr>
              <w:t>约20</w:t>
            </w:r>
          </w:p>
        </w:tc>
      </w:tr>
      <w:tr w14:paraId="2B171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F6EC614">
            <w:pPr>
              <w:pStyle w:val="39"/>
              <w:numPr>
                <w:ilvl w:val="0"/>
                <w:numId w:val="7"/>
              </w:numPr>
              <w:spacing w:line="240" w:lineRule="auto"/>
              <w:ind w:firstLineChars="0"/>
              <w:jc w:val="center"/>
              <w:rPr>
                <w:rFonts w:cs="Times New Roman"/>
                <w:sz w:val="21"/>
                <w:szCs w:val="21"/>
              </w:rPr>
            </w:pPr>
          </w:p>
        </w:tc>
        <w:tc>
          <w:tcPr>
            <w:tcW w:w="992" w:type="dxa"/>
            <w:noWrap/>
            <w:vAlign w:val="center"/>
          </w:tcPr>
          <w:p w14:paraId="57F8999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13E712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35DE2B4">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297AD9A">
            <w:pPr>
              <w:spacing w:line="240" w:lineRule="auto"/>
              <w:ind w:firstLine="0" w:firstLineChars="0"/>
              <w:jc w:val="center"/>
              <w:rPr>
                <w:rFonts w:cs="Times New Roman"/>
                <w:sz w:val="21"/>
                <w:szCs w:val="21"/>
              </w:rPr>
            </w:pPr>
            <w:r>
              <w:rPr>
                <w:rFonts w:hint="eastAsia" w:cs="Times New Roman"/>
                <w:sz w:val="21"/>
                <w:szCs w:val="21"/>
              </w:rPr>
              <w:t>于笪里</w:t>
            </w:r>
          </w:p>
        </w:tc>
        <w:tc>
          <w:tcPr>
            <w:tcW w:w="1701" w:type="dxa"/>
            <w:noWrap/>
            <w:vAlign w:val="center"/>
          </w:tcPr>
          <w:p w14:paraId="3289F983">
            <w:pPr>
              <w:spacing w:line="240" w:lineRule="auto"/>
              <w:ind w:firstLine="0" w:firstLineChars="0"/>
              <w:jc w:val="center"/>
              <w:rPr>
                <w:rFonts w:cs="Times New Roman"/>
                <w:sz w:val="21"/>
                <w:szCs w:val="21"/>
              </w:rPr>
            </w:pPr>
            <w:r>
              <w:rPr>
                <w:rFonts w:hint="eastAsia" w:cs="Times New Roman"/>
                <w:sz w:val="21"/>
                <w:szCs w:val="21"/>
              </w:rPr>
              <w:t>119.402369</w:t>
            </w:r>
          </w:p>
        </w:tc>
        <w:tc>
          <w:tcPr>
            <w:tcW w:w="1690" w:type="dxa"/>
            <w:noWrap/>
            <w:vAlign w:val="center"/>
          </w:tcPr>
          <w:p w14:paraId="11B52F3B">
            <w:pPr>
              <w:spacing w:line="240" w:lineRule="auto"/>
              <w:ind w:firstLine="0" w:firstLineChars="0"/>
              <w:jc w:val="center"/>
              <w:rPr>
                <w:rFonts w:cs="Times New Roman"/>
                <w:sz w:val="21"/>
                <w:szCs w:val="21"/>
              </w:rPr>
            </w:pPr>
            <w:r>
              <w:rPr>
                <w:rFonts w:hint="eastAsia" w:cs="Times New Roman"/>
                <w:sz w:val="21"/>
                <w:szCs w:val="21"/>
              </w:rPr>
              <w:t>31.627344</w:t>
            </w:r>
          </w:p>
        </w:tc>
        <w:tc>
          <w:tcPr>
            <w:tcW w:w="1080" w:type="dxa"/>
            <w:noWrap/>
            <w:vAlign w:val="center"/>
          </w:tcPr>
          <w:p w14:paraId="6F4BD6B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925A8A6">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0C6667E">
            <w:pPr>
              <w:spacing w:line="240" w:lineRule="auto"/>
              <w:ind w:firstLine="0" w:firstLineChars="0"/>
              <w:jc w:val="center"/>
              <w:rPr>
                <w:rFonts w:cs="Times New Roman"/>
                <w:sz w:val="21"/>
                <w:szCs w:val="21"/>
              </w:rPr>
            </w:pPr>
          </w:p>
        </w:tc>
        <w:tc>
          <w:tcPr>
            <w:tcW w:w="1168" w:type="dxa"/>
            <w:noWrap/>
            <w:vAlign w:val="center"/>
          </w:tcPr>
          <w:p w14:paraId="1E859BCF">
            <w:pPr>
              <w:spacing w:line="240" w:lineRule="auto"/>
              <w:ind w:firstLine="0" w:firstLineChars="0"/>
              <w:jc w:val="center"/>
              <w:rPr>
                <w:rFonts w:cs="Times New Roman"/>
                <w:sz w:val="21"/>
                <w:szCs w:val="21"/>
              </w:rPr>
            </w:pPr>
            <w:r>
              <w:rPr>
                <w:rFonts w:hint="eastAsia" w:cs="Times New Roman"/>
                <w:sz w:val="21"/>
                <w:szCs w:val="21"/>
              </w:rPr>
              <w:t>约30</w:t>
            </w:r>
          </w:p>
        </w:tc>
      </w:tr>
      <w:tr w14:paraId="2D4EC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E13F06E">
            <w:pPr>
              <w:pStyle w:val="39"/>
              <w:numPr>
                <w:ilvl w:val="0"/>
                <w:numId w:val="7"/>
              </w:numPr>
              <w:spacing w:line="240" w:lineRule="auto"/>
              <w:ind w:firstLineChars="0"/>
              <w:jc w:val="center"/>
              <w:rPr>
                <w:rFonts w:cs="Times New Roman"/>
                <w:sz w:val="21"/>
                <w:szCs w:val="21"/>
              </w:rPr>
            </w:pPr>
          </w:p>
        </w:tc>
        <w:tc>
          <w:tcPr>
            <w:tcW w:w="992" w:type="dxa"/>
            <w:noWrap/>
            <w:vAlign w:val="center"/>
          </w:tcPr>
          <w:p w14:paraId="0FD062B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E121B3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FFC682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3508EBE">
            <w:pPr>
              <w:spacing w:line="240" w:lineRule="auto"/>
              <w:ind w:firstLine="0" w:firstLineChars="0"/>
              <w:jc w:val="center"/>
              <w:rPr>
                <w:rFonts w:cs="Times New Roman"/>
                <w:sz w:val="21"/>
                <w:szCs w:val="21"/>
              </w:rPr>
            </w:pPr>
            <w:r>
              <w:rPr>
                <w:rFonts w:hint="eastAsia" w:cs="Times New Roman"/>
                <w:sz w:val="21"/>
                <w:szCs w:val="21"/>
              </w:rPr>
              <w:t>青龙洞</w:t>
            </w:r>
          </w:p>
        </w:tc>
        <w:tc>
          <w:tcPr>
            <w:tcW w:w="1701" w:type="dxa"/>
            <w:noWrap/>
            <w:vAlign w:val="center"/>
          </w:tcPr>
          <w:p w14:paraId="0E6FC969">
            <w:pPr>
              <w:spacing w:line="240" w:lineRule="auto"/>
              <w:ind w:firstLine="0" w:firstLineChars="0"/>
              <w:jc w:val="center"/>
              <w:rPr>
                <w:rFonts w:cs="Times New Roman"/>
                <w:sz w:val="21"/>
                <w:szCs w:val="21"/>
              </w:rPr>
            </w:pPr>
            <w:r>
              <w:rPr>
                <w:rFonts w:hint="eastAsia" w:cs="Times New Roman"/>
                <w:sz w:val="21"/>
                <w:szCs w:val="21"/>
              </w:rPr>
              <w:t>119.336595</w:t>
            </w:r>
          </w:p>
        </w:tc>
        <w:tc>
          <w:tcPr>
            <w:tcW w:w="1690" w:type="dxa"/>
            <w:noWrap/>
            <w:vAlign w:val="center"/>
          </w:tcPr>
          <w:p w14:paraId="596B6101">
            <w:pPr>
              <w:spacing w:line="240" w:lineRule="auto"/>
              <w:ind w:firstLine="0" w:firstLineChars="0"/>
              <w:jc w:val="center"/>
              <w:rPr>
                <w:rFonts w:cs="Times New Roman"/>
                <w:sz w:val="21"/>
                <w:szCs w:val="21"/>
              </w:rPr>
            </w:pPr>
            <w:r>
              <w:rPr>
                <w:rFonts w:hint="eastAsia" w:cs="Times New Roman"/>
                <w:sz w:val="21"/>
                <w:szCs w:val="21"/>
              </w:rPr>
              <w:t>31.662477</w:t>
            </w:r>
          </w:p>
        </w:tc>
        <w:tc>
          <w:tcPr>
            <w:tcW w:w="1080" w:type="dxa"/>
            <w:noWrap/>
            <w:vAlign w:val="center"/>
          </w:tcPr>
          <w:p w14:paraId="1961B77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2725667">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0B0E36E">
            <w:pPr>
              <w:spacing w:line="240" w:lineRule="auto"/>
              <w:ind w:firstLine="0" w:firstLineChars="0"/>
              <w:jc w:val="center"/>
              <w:rPr>
                <w:rFonts w:cs="Times New Roman"/>
                <w:sz w:val="21"/>
                <w:szCs w:val="21"/>
              </w:rPr>
            </w:pPr>
          </w:p>
        </w:tc>
        <w:tc>
          <w:tcPr>
            <w:tcW w:w="1168" w:type="dxa"/>
            <w:noWrap/>
            <w:vAlign w:val="center"/>
          </w:tcPr>
          <w:p w14:paraId="1BE9E45D">
            <w:pPr>
              <w:spacing w:line="240" w:lineRule="auto"/>
              <w:ind w:firstLine="0" w:firstLineChars="0"/>
              <w:jc w:val="center"/>
              <w:rPr>
                <w:rFonts w:cs="Times New Roman"/>
                <w:sz w:val="21"/>
                <w:szCs w:val="21"/>
              </w:rPr>
            </w:pPr>
            <w:r>
              <w:rPr>
                <w:rFonts w:hint="eastAsia" w:cs="Times New Roman"/>
                <w:sz w:val="21"/>
                <w:szCs w:val="21"/>
              </w:rPr>
              <w:t>约20</w:t>
            </w:r>
          </w:p>
        </w:tc>
      </w:tr>
      <w:tr w14:paraId="1CF6E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B236D9D">
            <w:pPr>
              <w:pStyle w:val="39"/>
              <w:numPr>
                <w:ilvl w:val="0"/>
                <w:numId w:val="7"/>
              </w:numPr>
              <w:spacing w:line="240" w:lineRule="auto"/>
              <w:ind w:firstLineChars="0"/>
              <w:jc w:val="center"/>
              <w:rPr>
                <w:rFonts w:cs="Times New Roman"/>
                <w:sz w:val="21"/>
                <w:szCs w:val="21"/>
              </w:rPr>
            </w:pPr>
          </w:p>
        </w:tc>
        <w:tc>
          <w:tcPr>
            <w:tcW w:w="992" w:type="dxa"/>
            <w:noWrap/>
            <w:vAlign w:val="center"/>
          </w:tcPr>
          <w:p w14:paraId="18D6DC7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83E070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B09B42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C33065F">
            <w:pPr>
              <w:spacing w:line="240" w:lineRule="auto"/>
              <w:ind w:firstLine="0" w:firstLineChars="0"/>
              <w:jc w:val="center"/>
              <w:rPr>
                <w:rFonts w:cs="Times New Roman"/>
                <w:sz w:val="21"/>
                <w:szCs w:val="21"/>
              </w:rPr>
            </w:pPr>
            <w:r>
              <w:rPr>
                <w:rFonts w:hint="eastAsia" w:cs="Times New Roman"/>
                <w:sz w:val="21"/>
                <w:szCs w:val="21"/>
              </w:rPr>
              <w:t>头棚</w:t>
            </w:r>
          </w:p>
        </w:tc>
        <w:tc>
          <w:tcPr>
            <w:tcW w:w="1701" w:type="dxa"/>
            <w:noWrap/>
            <w:vAlign w:val="center"/>
          </w:tcPr>
          <w:p w14:paraId="7782D62D">
            <w:pPr>
              <w:spacing w:line="240" w:lineRule="auto"/>
              <w:ind w:firstLine="0" w:firstLineChars="0"/>
              <w:jc w:val="center"/>
              <w:rPr>
                <w:rFonts w:cs="Times New Roman"/>
                <w:sz w:val="21"/>
                <w:szCs w:val="21"/>
              </w:rPr>
            </w:pPr>
            <w:r>
              <w:rPr>
                <w:rFonts w:hint="eastAsia" w:cs="Times New Roman"/>
                <w:sz w:val="21"/>
                <w:szCs w:val="21"/>
              </w:rPr>
              <w:t>119.342644</w:t>
            </w:r>
          </w:p>
        </w:tc>
        <w:tc>
          <w:tcPr>
            <w:tcW w:w="1690" w:type="dxa"/>
            <w:noWrap/>
            <w:vAlign w:val="center"/>
          </w:tcPr>
          <w:p w14:paraId="4C6BD16C">
            <w:pPr>
              <w:spacing w:line="240" w:lineRule="auto"/>
              <w:ind w:firstLine="0" w:firstLineChars="0"/>
              <w:jc w:val="center"/>
              <w:rPr>
                <w:rFonts w:cs="Times New Roman"/>
                <w:sz w:val="21"/>
                <w:szCs w:val="21"/>
              </w:rPr>
            </w:pPr>
            <w:r>
              <w:rPr>
                <w:rFonts w:hint="eastAsia" w:cs="Times New Roman"/>
                <w:sz w:val="21"/>
                <w:szCs w:val="21"/>
              </w:rPr>
              <w:t>31.662553</w:t>
            </w:r>
          </w:p>
        </w:tc>
        <w:tc>
          <w:tcPr>
            <w:tcW w:w="1080" w:type="dxa"/>
            <w:noWrap/>
            <w:vAlign w:val="center"/>
          </w:tcPr>
          <w:p w14:paraId="72EF3B9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27E4593">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EB51A17">
            <w:pPr>
              <w:spacing w:line="240" w:lineRule="auto"/>
              <w:ind w:firstLine="0" w:firstLineChars="0"/>
              <w:jc w:val="center"/>
              <w:rPr>
                <w:rFonts w:cs="Times New Roman"/>
                <w:sz w:val="21"/>
                <w:szCs w:val="21"/>
              </w:rPr>
            </w:pPr>
          </w:p>
        </w:tc>
        <w:tc>
          <w:tcPr>
            <w:tcW w:w="1168" w:type="dxa"/>
            <w:noWrap/>
            <w:vAlign w:val="center"/>
          </w:tcPr>
          <w:p w14:paraId="667F20B6">
            <w:pPr>
              <w:spacing w:line="240" w:lineRule="auto"/>
              <w:ind w:firstLine="0" w:firstLineChars="0"/>
              <w:jc w:val="center"/>
              <w:rPr>
                <w:rFonts w:cs="Times New Roman"/>
                <w:sz w:val="21"/>
                <w:szCs w:val="21"/>
              </w:rPr>
            </w:pPr>
            <w:r>
              <w:rPr>
                <w:rFonts w:hint="eastAsia" w:cs="Times New Roman"/>
                <w:sz w:val="21"/>
                <w:szCs w:val="21"/>
              </w:rPr>
              <w:t>约10</w:t>
            </w:r>
          </w:p>
        </w:tc>
      </w:tr>
      <w:tr w14:paraId="60E36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40B9C39">
            <w:pPr>
              <w:pStyle w:val="39"/>
              <w:numPr>
                <w:ilvl w:val="0"/>
                <w:numId w:val="7"/>
              </w:numPr>
              <w:spacing w:line="240" w:lineRule="auto"/>
              <w:ind w:firstLineChars="0"/>
              <w:jc w:val="center"/>
              <w:rPr>
                <w:rFonts w:cs="Times New Roman"/>
                <w:sz w:val="21"/>
                <w:szCs w:val="21"/>
              </w:rPr>
            </w:pPr>
          </w:p>
        </w:tc>
        <w:tc>
          <w:tcPr>
            <w:tcW w:w="992" w:type="dxa"/>
            <w:noWrap/>
            <w:vAlign w:val="center"/>
          </w:tcPr>
          <w:p w14:paraId="3807177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D76063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762D79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9CAC8FC">
            <w:pPr>
              <w:spacing w:line="240" w:lineRule="auto"/>
              <w:ind w:firstLine="0" w:firstLineChars="0"/>
              <w:jc w:val="center"/>
              <w:rPr>
                <w:rFonts w:cs="Times New Roman"/>
                <w:sz w:val="21"/>
                <w:szCs w:val="21"/>
              </w:rPr>
            </w:pPr>
            <w:r>
              <w:rPr>
                <w:rFonts w:hint="eastAsia" w:cs="Times New Roman"/>
                <w:sz w:val="21"/>
                <w:szCs w:val="21"/>
              </w:rPr>
              <w:t>李家山</w:t>
            </w:r>
          </w:p>
        </w:tc>
        <w:tc>
          <w:tcPr>
            <w:tcW w:w="1701" w:type="dxa"/>
            <w:noWrap/>
            <w:vAlign w:val="center"/>
          </w:tcPr>
          <w:p w14:paraId="26939EC4">
            <w:pPr>
              <w:spacing w:line="240" w:lineRule="auto"/>
              <w:ind w:firstLine="0" w:firstLineChars="0"/>
              <w:jc w:val="center"/>
              <w:rPr>
                <w:rFonts w:cs="Times New Roman"/>
                <w:sz w:val="21"/>
                <w:szCs w:val="21"/>
              </w:rPr>
            </w:pPr>
            <w:r>
              <w:rPr>
                <w:rFonts w:hint="eastAsia" w:cs="Times New Roman"/>
                <w:sz w:val="21"/>
                <w:szCs w:val="21"/>
              </w:rPr>
              <w:t>119.347037</w:t>
            </w:r>
          </w:p>
        </w:tc>
        <w:tc>
          <w:tcPr>
            <w:tcW w:w="1690" w:type="dxa"/>
            <w:noWrap/>
            <w:vAlign w:val="center"/>
          </w:tcPr>
          <w:p w14:paraId="008DC6A8">
            <w:pPr>
              <w:spacing w:line="240" w:lineRule="auto"/>
              <w:ind w:firstLine="0" w:firstLineChars="0"/>
              <w:jc w:val="center"/>
              <w:rPr>
                <w:rFonts w:cs="Times New Roman"/>
                <w:sz w:val="21"/>
                <w:szCs w:val="21"/>
              </w:rPr>
            </w:pPr>
            <w:r>
              <w:rPr>
                <w:rFonts w:hint="eastAsia" w:cs="Times New Roman"/>
                <w:sz w:val="21"/>
                <w:szCs w:val="21"/>
              </w:rPr>
              <w:t>31.657982</w:t>
            </w:r>
          </w:p>
        </w:tc>
        <w:tc>
          <w:tcPr>
            <w:tcW w:w="1080" w:type="dxa"/>
            <w:noWrap/>
            <w:vAlign w:val="center"/>
          </w:tcPr>
          <w:p w14:paraId="12FEC06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57E7507">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24A407C">
            <w:pPr>
              <w:spacing w:line="240" w:lineRule="auto"/>
              <w:ind w:firstLine="0" w:firstLineChars="0"/>
              <w:jc w:val="center"/>
              <w:rPr>
                <w:rFonts w:cs="Times New Roman"/>
                <w:sz w:val="21"/>
                <w:szCs w:val="21"/>
              </w:rPr>
            </w:pPr>
          </w:p>
        </w:tc>
        <w:tc>
          <w:tcPr>
            <w:tcW w:w="1168" w:type="dxa"/>
            <w:noWrap/>
            <w:vAlign w:val="center"/>
          </w:tcPr>
          <w:p w14:paraId="67724F30">
            <w:pPr>
              <w:spacing w:line="240" w:lineRule="auto"/>
              <w:ind w:firstLine="0" w:firstLineChars="0"/>
              <w:jc w:val="center"/>
              <w:rPr>
                <w:rFonts w:cs="Times New Roman"/>
                <w:sz w:val="21"/>
                <w:szCs w:val="21"/>
              </w:rPr>
            </w:pPr>
            <w:r>
              <w:rPr>
                <w:rFonts w:hint="eastAsia" w:cs="Times New Roman"/>
                <w:sz w:val="21"/>
                <w:szCs w:val="21"/>
              </w:rPr>
              <w:t>约70</w:t>
            </w:r>
          </w:p>
        </w:tc>
      </w:tr>
      <w:tr w14:paraId="758EE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EC66A78">
            <w:pPr>
              <w:pStyle w:val="39"/>
              <w:numPr>
                <w:ilvl w:val="0"/>
                <w:numId w:val="7"/>
              </w:numPr>
              <w:spacing w:line="240" w:lineRule="auto"/>
              <w:ind w:firstLineChars="0"/>
              <w:jc w:val="center"/>
              <w:rPr>
                <w:rFonts w:cs="Times New Roman"/>
                <w:sz w:val="21"/>
                <w:szCs w:val="21"/>
              </w:rPr>
            </w:pPr>
          </w:p>
        </w:tc>
        <w:tc>
          <w:tcPr>
            <w:tcW w:w="992" w:type="dxa"/>
            <w:noWrap/>
            <w:vAlign w:val="center"/>
          </w:tcPr>
          <w:p w14:paraId="4A4837A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546706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0B0A64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F057D04">
            <w:pPr>
              <w:spacing w:line="240" w:lineRule="auto"/>
              <w:ind w:firstLine="0" w:firstLineChars="0"/>
              <w:jc w:val="center"/>
              <w:rPr>
                <w:rFonts w:cs="Times New Roman"/>
                <w:sz w:val="21"/>
                <w:szCs w:val="21"/>
              </w:rPr>
            </w:pPr>
            <w:r>
              <w:rPr>
                <w:rFonts w:hint="eastAsia" w:cs="Times New Roman"/>
                <w:sz w:val="21"/>
                <w:szCs w:val="21"/>
              </w:rPr>
              <w:t>涧西沟</w:t>
            </w:r>
          </w:p>
        </w:tc>
        <w:tc>
          <w:tcPr>
            <w:tcW w:w="1701" w:type="dxa"/>
            <w:noWrap/>
            <w:vAlign w:val="center"/>
          </w:tcPr>
          <w:p w14:paraId="3FF58EB3">
            <w:pPr>
              <w:spacing w:line="240" w:lineRule="auto"/>
              <w:ind w:firstLine="0" w:firstLineChars="0"/>
              <w:jc w:val="center"/>
              <w:rPr>
                <w:rFonts w:cs="Times New Roman"/>
                <w:sz w:val="21"/>
                <w:szCs w:val="21"/>
              </w:rPr>
            </w:pPr>
            <w:r>
              <w:rPr>
                <w:rFonts w:hint="eastAsia" w:cs="Times New Roman"/>
                <w:sz w:val="21"/>
                <w:szCs w:val="21"/>
              </w:rPr>
              <w:t>119.343961</w:t>
            </w:r>
          </w:p>
        </w:tc>
        <w:tc>
          <w:tcPr>
            <w:tcW w:w="1690" w:type="dxa"/>
            <w:noWrap/>
            <w:vAlign w:val="center"/>
          </w:tcPr>
          <w:p w14:paraId="2EA699CF">
            <w:pPr>
              <w:spacing w:line="240" w:lineRule="auto"/>
              <w:ind w:firstLine="0" w:firstLineChars="0"/>
              <w:jc w:val="center"/>
              <w:rPr>
                <w:rFonts w:cs="Times New Roman"/>
                <w:sz w:val="21"/>
                <w:szCs w:val="21"/>
              </w:rPr>
            </w:pPr>
            <w:r>
              <w:rPr>
                <w:rFonts w:hint="eastAsia" w:cs="Times New Roman"/>
                <w:sz w:val="21"/>
                <w:szCs w:val="21"/>
              </w:rPr>
              <w:t>31.645767</w:t>
            </w:r>
          </w:p>
        </w:tc>
        <w:tc>
          <w:tcPr>
            <w:tcW w:w="1080" w:type="dxa"/>
            <w:noWrap/>
            <w:vAlign w:val="center"/>
          </w:tcPr>
          <w:p w14:paraId="419BD9F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400A5CB">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868D4B9">
            <w:pPr>
              <w:spacing w:line="240" w:lineRule="auto"/>
              <w:ind w:firstLine="0" w:firstLineChars="0"/>
              <w:jc w:val="center"/>
              <w:rPr>
                <w:rFonts w:cs="Times New Roman"/>
                <w:sz w:val="21"/>
                <w:szCs w:val="21"/>
              </w:rPr>
            </w:pPr>
          </w:p>
        </w:tc>
        <w:tc>
          <w:tcPr>
            <w:tcW w:w="1168" w:type="dxa"/>
            <w:noWrap/>
            <w:vAlign w:val="center"/>
          </w:tcPr>
          <w:p w14:paraId="479BED04">
            <w:pPr>
              <w:spacing w:line="240" w:lineRule="auto"/>
              <w:ind w:firstLine="0" w:firstLineChars="0"/>
              <w:jc w:val="center"/>
              <w:rPr>
                <w:rFonts w:cs="Times New Roman"/>
                <w:sz w:val="21"/>
                <w:szCs w:val="21"/>
              </w:rPr>
            </w:pPr>
            <w:r>
              <w:rPr>
                <w:rFonts w:hint="eastAsia" w:cs="Times New Roman"/>
                <w:sz w:val="21"/>
                <w:szCs w:val="21"/>
              </w:rPr>
              <w:t>约50</w:t>
            </w:r>
          </w:p>
        </w:tc>
      </w:tr>
      <w:tr w14:paraId="3641E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CDBC803">
            <w:pPr>
              <w:pStyle w:val="39"/>
              <w:numPr>
                <w:ilvl w:val="0"/>
                <w:numId w:val="7"/>
              </w:numPr>
              <w:spacing w:line="240" w:lineRule="auto"/>
              <w:ind w:firstLineChars="0"/>
              <w:jc w:val="center"/>
              <w:rPr>
                <w:rFonts w:cs="Times New Roman"/>
                <w:sz w:val="21"/>
                <w:szCs w:val="21"/>
              </w:rPr>
            </w:pPr>
          </w:p>
        </w:tc>
        <w:tc>
          <w:tcPr>
            <w:tcW w:w="992" w:type="dxa"/>
            <w:noWrap/>
            <w:vAlign w:val="center"/>
          </w:tcPr>
          <w:p w14:paraId="3989629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8C12EC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CDD1F6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753EC66">
            <w:pPr>
              <w:spacing w:line="240" w:lineRule="auto"/>
              <w:ind w:firstLine="0" w:firstLineChars="0"/>
              <w:jc w:val="center"/>
              <w:rPr>
                <w:rFonts w:cs="Times New Roman"/>
                <w:sz w:val="21"/>
                <w:szCs w:val="21"/>
              </w:rPr>
            </w:pPr>
            <w:r>
              <w:rPr>
                <w:rFonts w:hint="eastAsia" w:cs="Times New Roman"/>
                <w:sz w:val="21"/>
                <w:szCs w:val="21"/>
              </w:rPr>
              <w:t>上阮村</w:t>
            </w:r>
          </w:p>
        </w:tc>
        <w:tc>
          <w:tcPr>
            <w:tcW w:w="1701" w:type="dxa"/>
            <w:noWrap/>
            <w:vAlign w:val="center"/>
          </w:tcPr>
          <w:p w14:paraId="14346861">
            <w:pPr>
              <w:spacing w:line="240" w:lineRule="auto"/>
              <w:ind w:firstLine="0" w:firstLineChars="0"/>
              <w:jc w:val="center"/>
              <w:rPr>
                <w:rFonts w:cs="Times New Roman"/>
                <w:sz w:val="21"/>
                <w:szCs w:val="21"/>
              </w:rPr>
            </w:pPr>
            <w:r>
              <w:rPr>
                <w:rFonts w:hint="eastAsia" w:cs="Times New Roman"/>
                <w:sz w:val="21"/>
                <w:szCs w:val="21"/>
              </w:rPr>
              <w:t>119.358264</w:t>
            </w:r>
          </w:p>
        </w:tc>
        <w:tc>
          <w:tcPr>
            <w:tcW w:w="1690" w:type="dxa"/>
            <w:noWrap/>
            <w:vAlign w:val="center"/>
          </w:tcPr>
          <w:p w14:paraId="57B94581">
            <w:pPr>
              <w:spacing w:line="240" w:lineRule="auto"/>
              <w:ind w:firstLine="0" w:firstLineChars="0"/>
              <w:jc w:val="center"/>
              <w:rPr>
                <w:rFonts w:cs="Times New Roman"/>
                <w:sz w:val="21"/>
                <w:szCs w:val="21"/>
              </w:rPr>
            </w:pPr>
            <w:r>
              <w:rPr>
                <w:rFonts w:hint="eastAsia" w:cs="Times New Roman"/>
                <w:sz w:val="21"/>
                <w:szCs w:val="21"/>
              </w:rPr>
              <w:t>31.643006</w:t>
            </w:r>
          </w:p>
        </w:tc>
        <w:tc>
          <w:tcPr>
            <w:tcW w:w="1080" w:type="dxa"/>
            <w:noWrap/>
            <w:vAlign w:val="center"/>
          </w:tcPr>
          <w:p w14:paraId="58FF729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E2400A2">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588BAF4">
            <w:pPr>
              <w:spacing w:line="240" w:lineRule="auto"/>
              <w:ind w:firstLine="0" w:firstLineChars="0"/>
              <w:jc w:val="center"/>
              <w:rPr>
                <w:rFonts w:cs="Times New Roman"/>
                <w:sz w:val="21"/>
                <w:szCs w:val="21"/>
              </w:rPr>
            </w:pPr>
          </w:p>
        </w:tc>
        <w:tc>
          <w:tcPr>
            <w:tcW w:w="1168" w:type="dxa"/>
            <w:noWrap/>
            <w:vAlign w:val="center"/>
          </w:tcPr>
          <w:p w14:paraId="13B9E099">
            <w:pPr>
              <w:spacing w:line="240" w:lineRule="auto"/>
              <w:ind w:firstLine="0" w:firstLineChars="0"/>
              <w:jc w:val="center"/>
              <w:rPr>
                <w:rFonts w:cs="Times New Roman"/>
                <w:sz w:val="21"/>
                <w:szCs w:val="21"/>
              </w:rPr>
            </w:pPr>
            <w:r>
              <w:rPr>
                <w:rFonts w:hint="eastAsia" w:cs="Times New Roman"/>
                <w:sz w:val="21"/>
                <w:szCs w:val="21"/>
              </w:rPr>
              <w:t>约200</w:t>
            </w:r>
          </w:p>
        </w:tc>
      </w:tr>
      <w:tr w14:paraId="21A03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79B7ED1">
            <w:pPr>
              <w:pStyle w:val="39"/>
              <w:numPr>
                <w:ilvl w:val="0"/>
                <w:numId w:val="7"/>
              </w:numPr>
              <w:spacing w:line="240" w:lineRule="auto"/>
              <w:ind w:firstLineChars="0"/>
              <w:jc w:val="center"/>
              <w:rPr>
                <w:rFonts w:cs="Times New Roman"/>
                <w:sz w:val="21"/>
                <w:szCs w:val="21"/>
              </w:rPr>
            </w:pPr>
          </w:p>
        </w:tc>
        <w:tc>
          <w:tcPr>
            <w:tcW w:w="992" w:type="dxa"/>
            <w:noWrap/>
            <w:vAlign w:val="center"/>
          </w:tcPr>
          <w:p w14:paraId="0B197A6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58608F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164A20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19ADB8E">
            <w:pPr>
              <w:spacing w:line="240" w:lineRule="auto"/>
              <w:ind w:firstLine="0" w:firstLineChars="0"/>
              <w:jc w:val="center"/>
              <w:rPr>
                <w:rFonts w:cs="Times New Roman"/>
                <w:sz w:val="21"/>
                <w:szCs w:val="21"/>
              </w:rPr>
            </w:pPr>
            <w:r>
              <w:rPr>
                <w:rFonts w:hint="eastAsia" w:cs="Times New Roman"/>
                <w:sz w:val="21"/>
                <w:szCs w:val="21"/>
              </w:rPr>
              <w:t>涧口</w:t>
            </w:r>
          </w:p>
        </w:tc>
        <w:tc>
          <w:tcPr>
            <w:tcW w:w="1701" w:type="dxa"/>
            <w:noWrap/>
            <w:vAlign w:val="center"/>
          </w:tcPr>
          <w:p w14:paraId="72CBAE99">
            <w:pPr>
              <w:spacing w:line="240" w:lineRule="auto"/>
              <w:ind w:firstLine="0" w:firstLineChars="0"/>
              <w:jc w:val="center"/>
              <w:rPr>
                <w:rFonts w:cs="Times New Roman"/>
                <w:sz w:val="21"/>
                <w:szCs w:val="21"/>
              </w:rPr>
            </w:pPr>
            <w:r>
              <w:rPr>
                <w:rFonts w:hint="eastAsia" w:cs="Times New Roman"/>
                <w:sz w:val="21"/>
                <w:szCs w:val="21"/>
              </w:rPr>
              <w:t>119.366408</w:t>
            </w:r>
          </w:p>
        </w:tc>
        <w:tc>
          <w:tcPr>
            <w:tcW w:w="1690" w:type="dxa"/>
            <w:noWrap/>
            <w:vAlign w:val="center"/>
          </w:tcPr>
          <w:p w14:paraId="36442125">
            <w:pPr>
              <w:spacing w:line="240" w:lineRule="auto"/>
              <w:ind w:firstLine="0" w:firstLineChars="0"/>
              <w:jc w:val="center"/>
              <w:rPr>
                <w:rFonts w:cs="Times New Roman"/>
                <w:sz w:val="21"/>
                <w:szCs w:val="21"/>
              </w:rPr>
            </w:pPr>
            <w:r>
              <w:rPr>
                <w:rFonts w:hint="eastAsia" w:cs="Times New Roman"/>
                <w:sz w:val="21"/>
                <w:szCs w:val="21"/>
              </w:rPr>
              <w:t>31.633015</w:t>
            </w:r>
          </w:p>
        </w:tc>
        <w:tc>
          <w:tcPr>
            <w:tcW w:w="1080" w:type="dxa"/>
            <w:noWrap/>
            <w:vAlign w:val="center"/>
          </w:tcPr>
          <w:p w14:paraId="767CC0C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DD5DA58">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B309AC8">
            <w:pPr>
              <w:spacing w:line="240" w:lineRule="auto"/>
              <w:ind w:firstLine="0" w:firstLineChars="0"/>
              <w:jc w:val="center"/>
              <w:rPr>
                <w:rFonts w:cs="Times New Roman"/>
                <w:sz w:val="21"/>
                <w:szCs w:val="21"/>
              </w:rPr>
            </w:pPr>
          </w:p>
        </w:tc>
        <w:tc>
          <w:tcPr>
            <w:tcW w:w="1168" w:type="dxa"/>
            <w:noWrap/>
            <w:vAlign w:val="center"/>
          </w:tcPr>
          <w:p w14:paraId="7AEC45A2">
            <w:pPr>
              <w:spacing w:line="240" w:lineRule="auto"/>
              <w:ind w:firstLine="0" w:firstLineChars="0"/>
              <w:jc w:val="center"/>
              <w:rPr>
                <w:rFonts w:cs="Times New Roman"/>
                <w:sz w:val="21"/>
                <w:szCs w:val="21"/>
              </w:rPr>
            </w:pPr>
            <w:r>
              <w:rPr>
                <w:rFonts w:hint="eastAsia" w:cs="Times New Roman"/>
                <w:sz w:val="21"/>
                <w:szCs w:val="21"/>
              </w:rPr>
              <w:t>约50</w:t>
            </w:r>
          </w:p>
        </w:tc>
      </w:tr>
      <w:tr w14:paraId="13500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B01FEC7">
            <w:pPr>
              <w:pStyle w:val="39"/>
              <w:numPr>
                <w:ilvl w:val="0"/>
                <w:numId w:val="7"/>
              </w:numPr>
              <w:spacing w:line="240" w:lineRule="auto"/>
              <w:ind w:firstLineChars="0"/>
              <w:jc w:val="center"/>
              <w:rPr>
                <w:rFonts w:cs="Times New Roman"/>
                <w:sz w:val="21"/>
                <w:szCs w:val="21"/>
              </w:rPr>
            </w:pPr>
          </w:p>
        </w:tc>
        <w:tc>
          <w:tcPr>
            <w:tcW w:w="992" w:type="dxa"/>
            <w:noWrap/>
            <w:vAlign w:val="center"/>
          </w:tcPr>
          <w:p w14:paraId="4246EC9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967913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5F1C2D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D98E811">
            <w:pPr>
              <w:spacing w:line="240" w:lineRule="auto"/>
              <w:ind w:firstLine="0" w:firstLineChars="0"/>
              <w:jc w:val="center"/>
              <w:rPr>
                <w:rFonts w:cs="Times New Roman"/>
                <w:sz w:val="21"/>
                <w:szCs w:val="21"/>
              </w:rPr>
            </w:pPr>
            <w:r>
              <w:rPr>
                <w:rFonts w:hint="eastAsia" w:cs="Times New Roman"/>
                <w:sz w:val="21"/>
                <w:szCs w:val="21"/>
              </w:rPr>
              <w:t>西格</w:t>
            </w:r>
          </w:p>
        </w:tc>
        <w:tc>
          <w:tcPr>
            <w:tcW w:w="1701" w:type="dxa"/>
            <w:noWrap/>
            <w:vAlign w:val="center"/>
          </w:tcPr>
          <w:p w14:paraId="6640626C">
            <w:pPr>
              <w:spacing w:line="240" w:lineRule="auto"/>
              <w:ind w:firstLine="0" w:firstLineChars="0"/>
              <w:jc w:val="center"/>
              <w:rPr>
                <w:rFonts w:cs="Times New Roman"/>
                <w:sz w:val="21"/>
                <w:szCs w:val="21"/>
              </w:rPr>
            </w:pPr>
            <w:r>
              <w:rPr>
                <w:rFonts w:hint="eastAsia" w:cs="Times New Roman"/>
                <w:sz w:val="21"/>
                <w:szCs w:val="21"/>
              </w:rPr>
              <w:t>119.369616</w:t>
            </w:r>
          </w:p>
        </w:tc>
        <w:tc>
          <w:tcPr>
            <w:tcW w:w="1690" w:type="dxa"/>
            <w:noWrap/>
            <w:vAlign w:val="center"/>
          </w:tcPr>
          <w:p w14:paraId="1FEEA383">
            <w:pPr>
              <w:spacing w:line="240" w:lineRule="auto"/>
              <w:ind w:firstLine="0" w:firstLineChars="0"/>
              <w:jc w:val="center"/>
              <w:rPr>
                <w:rFonts w:cs="Times New Roman"/>
                <w:sz w:val="21"/>
                <w:szCs w:val="21"/>
              </w:rPr>
            </w:pPr>
            <w:r>
              <w:rPr>
                <w:rFonts w:hint="eastAsia" w:cs="Times New Roman"/>
                <w:sz w:val="21"/>
                <w:szCs w:val="21"/>
              </w:rPr>
              <w:t>31.645846</w:t>
            </w:r>
          </w:p>
        </w:tc>
        <w:tc>
          <w:tcPr>
            <w:tcW w:w="1080" w:type="dxa"/>
            <w:noWrap/>
            <w:vAlign w:val="center"/>
          </w:tcPr>
          <w:p w14:paraId="494C6E7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5B43B9E">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B982AC9">
            <w:pPr>
              <w:spacing w:line="240" w:lineRule="auto"/>
              <w:ind w:firstLine="0" w:firstLineChars="0"/>
              <w:jc w:val="center"/>
              <w:rPr>
                <w:rFonts w:cs="Times New Roman"/>
                <w:sz w:val="21"/>
                <w:szCs w:val="21"/>
              </w:rPr>
            </w:pPr>
          </w:p>
        </w:tc>
        <w:tc>
          <w:tcPr>
            <w:tcW w:w="1168" w:type="dxa"/>
            <w:noWrap/>
            <w:vAlign w:val="center"/>
          </w:tcPr>
          <w:p w14:paraId="790A628C">
            <w:pPr>
              <w:spacing w:line="240" w:lineRule="auto"/>
              <w:ind w:firstLine="0" w:firstLineChars="0"/>
              <w:jc w:val="center"/>
              <w:rPr>
                <w:rFonts w:cs="Times New Roman"/>
                <w:sz w:val="21"/>
                <w:szCs w:val="21"/>
              </w:rPr>
            </w:pPr>
            <w:r>
              <w:rPr>
                <w:rFonts w:hint="eastAsia" w:cs="Times New Roman"/>
                <w:sz w:val="21"/>
                <w:szCs w:val="21"/>
              </w:rPr>
              <w:t>约20</w:t>
            </w:r>
          </w:p>
        </w:tc>
      </w:tr>
      <w:tr w14:paraId="14395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83E6969">
            <w:pPr>
              <w:pStyle w:val="39"/>
              <w:numPr>
                <w:ilvl w:val="0"/>
                <w:numId w:val="7"/>
              </w:numPr>
              <w:spacing w:line="240" w:lineRule="auto"/>
              <w:ind w:firstLineChars="0"/>
              <w:jc w:val="center"/>
              <w:rPr>
                <w:rFonts w:cs="Times New Roman"/>
                <w:sz w:val="21"/>
                <w:szCs w:val="21"/>
              </w:rPr>
            </w:pPr>
          </w:p>
        </w:tc>
        <w:tc>
          <w:tcPr>
            <w:tcW w:w="992" w:type="dxa"/>
            <w:noWrap/>
            <w:vAlign w:val="center"/>
          </w:tcPr>
          <w:p w14:paraId="625D830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0F1F71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0D0E34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4DBE1BE">
            <w:pPr>
              <w:spacing w:line="240" w:lineRule="auto"/>
              <w:ind w:firstLine="0" w:firstLineChars="0"/>
              <w:jc w:val="center"/>
              <w:rPr>
                <w:rFonts w:cs="Times New Roman"/>
                <w:sz w:val="21"/>
                <w:szCs w:val="21"/>
              </w:rPr>
            </w:pPr>
            <w:r>
              <w:rPr>
                <w:rFonts w:hint="eastAsia" w:cs="Times New Roman"/>
                <w:sz w:val="21"/>
                <w:szCs w:val="21"/>
              </w:rPr>
              <w:t>东杨庄</w:t>
            </w:r>
          </w:p>
        </w:tc>
        <w:tc>
          <w:tcPr>
            <w:tcW w:w="1701" w:type="dxa"/>
            <w:noWrap/>
            <w:vAlign w:val="center"/>
          </w:tcPr>
          <w:p w14:paraId="44358FC5">
            <w:pPr>
              <w:spacing w:line="240" w:lineRule="auto"/>
              <w:ind w:firstLine="0" w:firstLineChars="0"/>
              <w:jc w:val="center"/>
              <w:rPr>
                <w:rFonts w:cs="Times New Roman"/>
                <w:sz w:val="21"/>
                <w:szCs w:val="21"/>
              </w:rPr>
            </w:pPr>
            <w:r>
              <w:rPr>
                <w:rFonts w:hint="eastAsia" w:cs="Times New Roman"/>
                <w:sz w:val="21"/>
                <w:szCs w:val="21"/>
              </w:rPr>
              <w:t>119.371257</w:t>
            </w:r>
          </w:p>
        </w:tc>
        <w:tc>
          <w:tcPr>
            <w:tcW w:w="1690" w:type="dxa"/>
            <w:noWrap/>
            <w:vAlign w:val="center"/>
          </w:tcPr>
          <w:p w14:paraId="5FFF389F">
            <w:pPr>
              <w:spacing w:line="240" w:lineRule="auto"/>
              <w:ind w:firstLine="0" w:firstLineChars="0"/>
              <w:jc w:val="center"/>
              <w:rPr>
                <w:rFonts w:cs="Times New Roman"/>
                <w:sz w:val="21"/>
                <w:szCs w:val="21"/>
              </w:rPr>
            </w:pPr>
            <w:r>
              <w:rPr>
                <w:rFonts w:hint="eastAsia" w:cs="Times New Roman"/>
                <w:sz w:val="21"/>
                <w:szCs w:val="21"/>
              </w:rPr>
              <w:t>31.651366</w:t>
            </w:r>
          </w:p>
        </w:tc>
        <w:tc>
          <w:tcPr>
            <w:tcW w:w="1080" w:type="dxa"/>
            <w:noWrap/>
            <w:vAlign w:val="center"/>
          </w:tcPr>
          <w:p w14:paraId="7FB4B83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7A57E4A">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DE14F6A">
            <w:pPr>
              <w:spacing w:line="240" w:lineRule="auto"/>
              <w:ind w:firstLine="0" w:firstLineChars="0"/>
              <w:jc w:val="center"/>
              <w:rPr>
                <w:rFonts w:cs="Times New Roman"/>
                <w:sz w:val="21"/>
                <w:szCs w:val="21"/>
              </w:rPr>
            </w:pPr>
          </w:p>
        </w:tc>
        <w:tc>
          <w:tcPr>
            <w:tcW w:w="1168" w:type="dxa"/>
            <w:noWrap/>
            <w:vAlign w:val="center"/>
          </w:tcPr>
          <w:p w14:paraId="21C6BC96">
            <w:pPr>
              <w:spacing w:line="240" w:lineRule="auto"/>
              <w:ind w:firstLine="0" w:firstLineChars="0"/>
              <w:jc w:val="center"/>
              <w:rPr>
                <w:rFonts w:cs="Times New Roman"/>
                <w:sz w:val="21"/>
                <w:szCs w:val="21"/>
              </w:rPr>
            </w:pPr>
            <w:r>
              <w:rPr>
                <w:rFonts w:hint="eastAsia" w:cs="Times New Roman"/>
                <w:sz w:val="21"/>
                <w:szCs w:val="21"/>
              </w:rPr>
              <w:t>约30</w:t>
            </w:r>
          </w:p>
        </w:tc>
      </w:tr>
      <w:tr w14:paraId="62C3E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B1DB8C5">
            <w:pPr>
              <w:pStyle w:val="39"/>
              <w:numPr>
                <w:ilvl w:val="0"/>
                <w:numId w:val="7"/>
              </w:numPr>
              <w:spacing w:line="240" w:lineRule="auto"/>
              <w:ind w:firstLineChars="0"/>
              <w:jc w:val="center"/>
              <w:rPr>
                <w:rFonts w:cs="Times New Roman"/>
                <w:sz w:val="21"/>
                <w:szCs w:val="21"/>
              </w:rPr>
            </w:pPr>
          </w:p>
        </w:tc>
        <w:tc>
          <w:tcPr>
            <w:tcW w:w="992" w:type="dxa"/>
            <w:noWrap/>
            <w:vAlign w:val="center"/>
          </w:tcPr>
          <w:p w14:paraId="3F6282C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E4D480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79A634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53E4C1F">
            <w:pPr>
              <w:spacing w:line="240" w:lineRule="auto"/>
              <w:ind w:firstLine="0" w:firstLineChars="0"/>
              <w:jc w:val="center"/>
              <w:rPr>
                <w:rFonts w:cs="Times New Roman"/>
                <w:sz w:val="21"/>
                <w:szCs w:val="21"/>
              </w:rPr>
            </w:pPr>
            <w:r>
              <w:rPr>
                <w:rFonts w:hint="eastAsia" w:cs="Times New Roman"/>
                <w:sz w:val="21"/>
                <w:szCs w:val="21"/>
              </w:rPr>
              <w:t>西阳庄</w:t>
            </w:r>
          </w:p>
        </w:tc>
        <w:tc>
          <w:tcPr>
            <w:tcW w:w="1701" w:type="dxa"/>
            <w:noWrap/>
            <w:vAlign w:val="center"/>
          </w:tcPr>
          <w:p w14:paraId="6AC5E1DA">
            <w:pPr>
              <w:spacing w:line="240" w:lineRule="auto"/>
              <w:ind w:firstLine="0" w:firstLineChars="0"/>
              <w:jc w:val="center"/>
              <w:rPr>
                <w:rFonts w:cs="Times New Roman"/>
                <w:sz w:val="21"/>
                <w:szCs w:val="21"/>
              </w:rPr>
            </w:pPr>
            <w:r>
              <w:rPr>
                <w:rFonts w:hint="eastAsia" w:cs="Times New Roman"/>
                <w:sz w:val="21"/>
                <w:szCs w:val="21"/>
              </w:rPr>
              <w:t>119.364004</w:t>
            </w:r>
          </w:p>
        </w:tc>
        <w:tc>
          <w:tcPr>
            <w:tcW w:w="1690" w:type="dxa"/>
            <w:noWrap/>
            <w:vAlign w:val="center"/>
          </w:tcPr>
          <w:p w14:paraId="6FFFC6AF">
            <w:pPr>
              <w:spacing w:line="240" w:lineRule="auto"/>
              <w:ind w:firstLine="0" w:firstLineChars="0"/>
              <w:jc w:val="center"/>
              <w:rPr>
                <w:rFonts w:cs="Times New Roman"/>
                <w:sz w:val="21"/>
                <w:szCs w:val="21"/>
              </w:rPr>
            </w:pPr>
            <w:r>
              <w:rPr>
                <w:rFonts w:hint="eastAsia" w:cs="Times New Roman"/>
                <w:sz w:val="21"/>
                <w:szCs w:val="21"/>
              </w:rPr>
              <w:t>31.653331</w:t>
            </w:r>
          </w:p>
        </w:tc>
        <w:tc>
          <w:tcPr>
            <w:tcW w:w="1080" w:type="dxa"/>
            <w:noWrap/>
            <w:vAlign w:val="center"/>
          </w:tcPr>
          <w:p w14:paraId="5317D5C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051F245">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5499D363">
            <w:pPr>
              <w:spacing w:line="240" w:lineRule="auto"/>
              <w:ind w:firstLine="0" w:firstLineChars="0"/>
              <w:jc w:val="center"/>
              <w:rPr>
                <w:rFonts w:cs="Times New Roman"/>
                <w:sz w:val="21"/>
                <w:szCs w:val="21"/>
              </w:rPr>
            </w:pPr>
          </w:p>
        </w:tc>
        <w:tc>
          <w:tcPr>
            <w:tcW w:w="1168" w:type="dxa"/>
            <w:noWrap/>
            <w:vAlign w:val="center"/>
          </w:tcPr>
          <w:p w14:paraId="7E0D544C">
            <w:pPr>
              <w:spacing w:line="240" w:lineRule="auto"/>
              <w:ind w:firstLine="0" w:firstLineChars="0"/>
              <w:jc w:val="center"/>
              <w:rPr>
                <w:rFonts w:cs="Times New Roman"/>
                <w:sz w:val="21"/>
                <w:szCs w:val="21"/>
              </w:rPr>
            </w:pPr>
            <w:r>
              <w:rPr>
                <w:rFonts w:hint="eastAsia" w:cs="Times New Roman"/>
                <w:sz w:val="21"/>
                <w:szCs w:val="21"/>
              </w:rPr>
              <w:t>约30</w:t>
            </w:r>
          </w:p>
        </w:tc>
      </w:tr>
      <w:tr w14:paraId="6E62A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66C7F42">
            <w:pPr>
              <w:pStyle w:val="39"/>
              <w:numPr>
                <w:ilvl w:val="0"/>
                <w:numId w:val="7"/>
              </w:numPr>
              <w:spacing w:line="240" w:lineRule="auto"/>
              <w:ind w:firstLineChars="0"/>
              <w:jc w:val="center"/>
              <w:rPr>
                <w:rFonts w:cs="Times New Roman"/>
                <w:sz w:val="21"/>
                <w:szCs w:val="21"/>
              </w:rPr>
            </w:pPr>
          </w:p>
        </w:tc>
        <w:tc>
          <w:tcPr>
            <w:tcW w:w="992" w:type="dxa"/>
            <w:noWrap/>
            <w:vAlign w:val="center"/>
          </w:tcPr>
          <w:p w14:paraId="7D251E1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DE43A1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C7B929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D1B5FDF">
            <w:pPr>
              <w:spacing w:line="240" w:lineRule="auto"/>
              <w:ind w:firstLine="0" w:firstLineChars="0"/>
              <w:jc w:val="center"/>
              <w:rPr>
                <w:rFonts w:cs="Times New Roman"/>
                <w:sz w:val="21"/>
                <w:szCs w:val="21"/>
              </w:rPr>
            </w:pPr>
            <w:r>
              <w:rPr>
                <w:rFonts w:hint="eastAsia" w:cs="Times New Roman"/>
                <w:sz w:val="21"/>
                <w:szCs w:val="21"/>
              </w:rPr>
              <w:t>瓦沟</w:t>
            </w:r>
          </w:p>
        </w:tc>
        <w:tc>
          <w:tcPr>
            <w:tcW w:w="1701" w:type="dxa"/>
            <w:noWrap/>
            <w:vAlign w:val="center"/>
          </w:tcPr>
          <w:p w14:paraId="7B7AA8E2">
            <w:pPr>
              <w:spacing w:line="240" w:lineRule="auto"/>
              <w:ind w:firstLine="0" w:firstLineChars="0"/>
              <w:jc w:val="center"/>
              <w:rPr>
                <w:rFonts w:cs="Times New Roman"/>
                <w:sz w:val="21"/>
                <w:szCs w:val="21"/>
              </w:rPr>
            </w:pPr>
            <w:r>
              <w:rPr>
                <w:rFonts w:hint="eastAsia" w:cs="Times New Roman"/>
                <w:sz w:val="21"/>
                <w:szCs w:val="21"/>
              </w:rPr>
              <w:t>119.358486</w:t>
            </w:r>
          </w:p>
        </w:tc>
        <w:tc>
          <w:tcPr>
            <w:tcW w:w="1690" w:type="dxa"/>
            <w:noWrap/>
            <w:vAlign w:val="center"/>
          </w:tcPr>
          <w:p w14:paraId="2D0DD05A">
            <w:pPr>
              <w:spacing w:line="240" w:lineRule="auto"/>
              <w:ind w:firstLine="0" w:firstLineChars="0"/>
              <w:jc w:val="center"/>
              <w:rPr>
                <w:rFonts w:cs="Times New Roman"/>
                <w:sz w:val="21"/>
                <w:szCs w:val="21"/>
              </w:rPr>
            </w:pPr>
            <w:r>
              <w:rPr>
                <w:rFonts w:hint="eastAsia" w:cs="Times New Roman"/>
                <w:sz w:val="21"/>
                <w:szCs w:val="21"/>
              </w:rPr>
              <w:t>31.659998</w:t>
            </w:r>
          </w:p>
        </w:tc>
        <w:tc>
          <w:tcPr>
            <w:tcW w:w="1080" w:type="dxa"/>
            <w:noWrap/>
            <w:vAlign w:val="center"/>
          </w:tcPr>
          <w:p w14:paraId="3C316DE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322E878">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CE6EA51">
            <w:pPr>
              <w:spacing w:line="240" w:lineRule="auto"/>
              <w:ind w:firstLine="0" w:firstLineChars="0"/>
              <w:jc w:val="center"/>
              <w:rPr>
                <w:rFonts w:cs="Times New Roman"/>
                <w:sz w:val="21"/>
                <w:szCs w:val="21"/>
              </w:rPr>
            </w:pPr>
          </w:p>
        </w:tc>
        <w:tc>
          <w:tcPr>
            <w:tcW w:w="1168" w:type="dxa"/>
            <w:noWrap/>
            <w:vAlign w:val="center"/>
          </w:tcPr>
          <w:p w14:paraId="0C4B67D7">
            <w:pPr>
              <w:spacing w:line="240" w:lineRule="auto"/>
              <w:ind w:firstLine="0" w:firstLineChars="0"/>
              <w:jc w:val="center"/>
              <w:rPr>
                <w:rFonts w:cs="Times New Roman"/>
                <w:sz w:val="21"/>
                <w:szCs w:val="21"/>
              </w:rPr>
            </w:pPr>
            <w:r>
              <w:rPr>
                <w:rFonts w:hint="eastAsia" w:cs="Times New Roman"/>
                <w:sz w:val="21"/>
                <w:szCs w:val="21"/>
              </w:rPr>
              <w:t>约20</w:t>
            </w:r>
          </w:p>
        </w:tc>
      </w:tr>
      <w:tr w14:paraId="69DC2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8E5DE09">
            <w:pPr>
              <w:pStyle w:val="39"/>
              <w:numPr>
                <w:ilvl w:val="0"/>
                <w:numId w:val="7"/>
              </w:numPr>
              <w:spacing w:line="240" w:lineRule="auto"/>
              <w:ind w:firstLineChars="0"/>
              <w:jc w:val="center"/>
              <w:rPr>
                <w:rFonts w:cs="Times New Roman"/>
                <w:sz w:val="21"/>
                <w:szCs w:val="21"/>
              </w:rPr>
            </w:pPr>
          </w:p>
        </w:tc>
        <w:tc>
          <w:tcPr>
            <w:tcW w:w="992" w:type="dxa"/>
            <w:noWrap/>
            <w:vAlign w:val="center"/>
          </w:tcPr>
          <w:p w14:paraId="50D2B97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C05561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DFF613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16E5CFF">
            <w:pPr>
              <w:spacing w:line="240" w:lineRule="auto"/>
              <w:ind w:firstLine="0" w:firstLineChars="0"/>
              <w:jc w:val="center"/>
              <w:rPr>
                <w:rFonts w:cs="Times New Roman"/>
                <w:sz w:val="21"/>
                <w:szCs w:val="21"/>
              </w:rPr>
            </w:pPr>
            <w:r>
              <w:rPr>
                <w:rFonts w:hint="eastAsia" w:cs="Times New Roman"/>
                <w:sz w:val="21"/>
                <w:szCs w:val="21"/>
              </w:rPr>
              <w:t>土瓦沟</w:t>
            </w:r>
          </w:p>
        </w:tc>
        <w:tc>
          <w:tcPr>
            <w:tcW w:w="1701" w:type="dxa"/>
            <w:noWrap/>
            <w:vAlign w:val="center"/>
          </w:tcPr>
          <w:p w14:paraId="7C8DB8F2">
            <w:pPr>
              <w:spacing w:line="240" w:lineRule="auto"/>
              <w:ind w:firstLine="0" w:firstLineChars="0"/>
              <w:jc w:val="center"/>
              <w:rPr>
                <w:rFonts w:cs="Times New Roman"/>
                <w:sz w:val="21"/>
                <w:szCs w:val="21"/>
              </w:rPr>
            </w:pPr>
            <w:r>
              <w:rPr>
                <w:rFonts w:hint="eastAsia" w:cs="Times New Roman"/>
                <w:sz w:val="21"/>
                <w:szCs w:val="21"/>
              </w:rPr>
              <w:t>119.352115</w:t>
            </w:r>
          </w:p>
        </w:tc>
        <w:tc>
          <w:tcPr>
            <w:tcW w:w="1690" w:type="dxa"/>
            <w:noWrap/>
            <w:vAlign w:val="center"/>
          </w:tcPr>
          <w:p w14:paraId="1CBFC72A">
            <w:pPr>
              <w:spacing w:line="240" w:lineRule="auto"/>
              <w:ind w:firstLine="0" w:firstLineChars="0"/>
              <w:jc w:val="center"/>
              <w:rPr>
                <w:rFonts w:cs="Times New Roman"/>
                <w:sz w:val="21"/>
                <w:szCs w:val="21"/>
              </w:rPr>
            </w:pPr>
            <w:r>
              <w:rPr>
                <w:rFonts w:hint="eastAsia" w:cs="Times New Roman"/>
                <w:sz w:val="21"/>
                <w:szCs w:val="21"/>
              </w:rPr>
              <w:t>31.665181</w:t>
            </w:r>
          </w:p>
        </w:tc>
        <w:tc>
          <w:tcPr>
            <w:tcW w:w="1080" w:type="dxa"/>
            <w:noWrap/>
            <w:vAlign w:val="center"/>
          </w:tcPr>
          <w:p w14:paraId="475EDE7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0F95E70">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BF00CA1">
            <w:pPr>
              <w:spacing w:line="240" w:lineRule="auto"/>
              <w:ind w:firstLine="0" w:firstLineChars="0"/>
              <w:jc w:val="center"/>
              <w:rPr>
                <w:rFonts w:cs="Times New Roman"/>
                <w:sz w:val="21"/>
                <w:szCs w:val="21"/>
              </w:rPr>
            </w:pPr>
          </w:p>
        </w:tc>
        <w:tc>
          <w:tcPr>
            <w:tcW w:w="1168" w:type="dxa"/>
            <w:noWrap/>
            <w:vAlign w:val="center"/>
          </w:tcPr>
          <w:p w14:paraId="06673507">
            <w:pPr>
              <w:spacing w:line="240" w:lineRule="auto"/>
              <w:ind w:firstLine="0" w:firstLineChars="0"/>
              <w:jc w:val="center"/>
              <w:rPr>
                <w:rFonts w:cs="Times New Roman"/>
                <w:sz w:val="21"/>
                <w:szCs w:val="21"/>
              </w:rPr>
            </w:pPr>
            <w:r>
              <w:rPr>
                <w:rFonts w:hint="eastAsia" w:cs="Times New Roman"/>
                <w:sz w:val="21"/>
                <w:szCs w:val="21"/>
              </w:rPr>
              <w:t>约30</w:t>
            </w:r>
          </w:p>
        </w:tc>
      </w:tr>
      <w:tr w14:paraId="04401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92D402A">
            <w:pPr>
              <w:pStyle w:val="39"/>
              <w:numPr>
                <w:ilvl w:val="0"/>
                <w:numId w:val="7"/>
              </w:numPr>
              <w:spacing w:line="240" w:lineRule="auto"/>
              <w:ind w:firstLineChars="0"/>
              <w:jc w:val="center"/>
              <w:rPr>
                <w:rFonts w:cs="Times New Roman"/>
                <w:sz w:val="21"/>
                <w:szCs w:val="21"/>
              </w:rPr>
            </w:pPr>
          </w:p>
        </w:tc>
        <w:tc>
          <w:tcPr>
            <w:tcW w:w="992" w:type="dxa"/>
            <w:noWrap/>
            <w:vAlign w:val="center"/>
          </w:tcPr>
          <w:p w14:paraId="68A05B5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C951A0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725341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4CF587B">
            <w:pPr>
              <w:spacing w:line="240" w:lineRule="auto"/>
              <w:ind w:firstLine="0" w:firstLineChars="0"/>
              <w:jc w:val="center"/>
              <w:rPr>
                <w:rFonts w:cs="Times New Roman"/>
                <w:sz w:val="21"/>
                <w:szCs w:val="21"/>
              </w:rPr>
            </w:pPr>
            <w:r>
              <w:rPr>
                <w:rFonts w:hint="eastAsia" w:cs="Times New Roman"/>
                <w:sz w:val="21"/>
                <w:szCs w:val="21"/>
              </w:rPr>
              <w:t>芝麻凹</w:t>
            </w:r>
          </w:p>
        </w:tc>
        <w:tc>
          <w:tcPr>
            <w:tcW w:w="1701" w:type="dxa"/>
            <w:noWrap/>
            <w:vAlign w:val="center"/>
          </w:tcPr>
          <w:p w14:paraId="67D59DAF">
            <w:pPr>
              <w:spacing w:line="240" w:lineRule="auto"/>
              <w:ind w:firstLine="0" w:firstLineChars="0"/>
              <w:jc w:val="center"/>
              <w:rPr>
                <w:rFonts w:cs="Times New Roman"/>
                <w:sz w:val="21"/>
                <w:szCs w:val="21"/>
              </w:rPr>
            </w:pPr>
            <w:r>
              <w:rPr>
                <w:rFonts w:hint="eastAsia" w:cs="Times New Roman"/>
                <w:sz w:val="21"/>
                <w:szCs w:val="21"/>
              </w:rPr>
              <w:t>119.357286</w:t>
            </w:r>
          </w:p>
        </w:tc>
        <w:tc>
          <w:tcPr>
            <w:tcW w:w="1690" w:type="dxa"/>
            <w:noWrap/>
            <w:vAlign w:val="center"/>
          </w:tcPr>
          <w:p w14:paraId="32B6D6A1">
            <w:pPr>
              <w:spacing w:line="240" w:lineRule="auto"/>
              <w:ind w:firstLine="0" w:firstLineChars="0"/>
              <w:jc w:val="center"/>
              <w:rPr>
                <w:rFonts w:cs="Times New Roman"/>
                <w:sz w:val="21"/>
                <w:szCs w:val="21"/>
              </w:rPr>
            </w:pPr>
            <w:r>
              <w:rPr>
                <w:rFonts w:hint="eastAsia" w:cs="Times New Roman"/>
                <w:sz w:val="21"/>
                <w:szCs w:val="21"/>
              </w:rPr>
              <w:t>31.672229</w:t>
            </w:r>
          </w:p>
        </w:tc>
        <w:tc>
          <w:tcPr>
            <w:tcW w:w="1080" w:type="dxa"/>
            <w:noWrap/>
            <w:vAlign w:val="center"/>
          </w:tcPr>
          <w:p w14:paraId="7FD80D7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275CBFA">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C35D7B7">
            <w:pPr>
              <w:spacing w:line="240" w:lineRule="auto"/>
              <w:ind w:firstLine="0" w:firstLineChars="0"/>
              <w:jc w:val="center"/>
              <w:rPr>
                <w:rFonts w:cs="Times New Roman"/>
                <w:sz w:val="21"/>
                <w:szCs w:val="21"/>
              </w:rPr>
            </w:pPr>
          </w:p>
        </w:tc>
        <w:tc>
          <w:tcPr>
            <w:tcW w:w="1168" w:type="dxa"/>
            <w:noWrap/>
            <w:vAlign w:val="center"/>
          </w:tcPr>
          <w:p w14:paraId="2492E6F3">
            <w:pPr>
              <w:spacing w:line="240" w:lineRule="auto"/>
              <w:ind w:firstLine="0" w:firstLineChars="0"/>
              <w:jc w:val="center"/>
              <w:rPr>
                <w:rFonts w:cs="Times New Roman"/>
                <w:sz w:val="21"/>
                <w:szCs w:val="21"/>
              </w:rPr>
            </w:pPr>
            <w:r>
              <w:rPr>
                <w:rFonts w:hint="eastAsia" w:cs="Times New Roman"/>
                <w:sz w:val="21"/>
                <w:szCs w:val="21"/>
              </w:rPr>
              <w:t>约30</w:t>
            </w:r>
          </w:p>
        </w:tc>
      </w:tr>
      <w:tr w14:paraId="0D86D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5960933">
            <w:pPr>
              <w:pStyle w:val="39"/>
              <w:numPr>
                <w:ilvl w:val="0"/>
                <w:numId w:val="7"/>
              </w:numPr>
              <w:spacing w:line="240" w:lineRule="auto"/>
              <w:ind w:firstLineChars="0"/>
              <w:jc w:val="center"/>
              <w:rPr>
                <w:rFonts w:cs="Times New Roman"/>
                <w:sz w:val="21"/>
                <w:szCs w:val="21"/>
              </w:rPr>
            </w:pPr>
          </w:p>
        </w:tc>
        <w:tc>
          <w:tcPr>
            <w:tcW w:w="992" w:type="dxa"/>
            <w:noWrap/>
            <w:vAlign w:val="center"/>
          </w:tcPr>
          <w:p w14:paraId="25A6663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63F840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2EDFAD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16DE02A">
            <w:pPr>
              <w:spacing w:line="240" w:lineRule="auto"/>
              <w:ind w:firstLine="0" w:firstLineChars="0"/>
              <w:jc w:val="center"/>
              <w:rPr>
                <w:rFonts w:cs="Times New Roman"/>
                <w:sz w:val="21"/>
                <w:szCs w:val="21"/>
              </w:rPr>
            </w:pPr>
            <w:r>
              <w:rPr>
                <w:rFonts w:hint="eastAsia" w:cs="Times New Roman"/>
                <w:sz w:val="21"/>
                <w:szCs w:val="21"/>
              </w:rPr>
              <w:t>大地馆</w:t>
            </w:r>
          </w:p>
        </w:tc>
        <w:tc>
          <w:tcPr>
            <w:tcW w:w="1701" w:type="dxa"/>
            <w:noWrap/>
            <w:vAlign w:val="center"/>
          </w:tcPr>
          <w:p w14:paraId="23A8DDFA">
            <w:pPr>
              <w:spacing w:line="240" w:lineRule="auto"/>
              <w:ind w:firstLine="0" w:firstLineChars="0"/>
              <w:jc w:val="center"/>
              <w:rPr>
                <w:rFonts w:cs="Times New Roman"/>
                <w:sz w:val="21"/>
                <w:szCs w:val="21"/>
              </w:rPr>
            </w:pPr>
            <w:r>
              <w:rPr>
                <w:rFonts w:hint="eastAsia" w:cs="Times New Roman"/>
                <w:sz w:val="21"/>
                <w:szCs w:val="21"/>
              </w:rPr>
              <w:t>119.367596</w:t>
            </w:r>
          </w:p>
        </w:tc>
        <w:tc>
          <w:tcPr>
            <w:tcW w:w="1690" w:type="dxa"/>
            <w:noWrap/>
            <w:vAlign w:val="center"/>
          </w:tcPr>
          <w:p w14:paraId="5E41B923">
            <w:pPr>
              <w:spacing w:line="240" w:lineRule="auto"/>
              <w:ind w:firstLine="0" w:firstLineChars="0"/>
              <w:jc w:val="center"/>
              <w:rPr>
                <w:rFonts w:cs="Times New Roman"/>
                <w:sz w:val="21"/>
                <w:szCs w:val="21"/>
              </w:rPr>
            </w:pPr>
            <w:r>
              <w:rPr>
                <w:rFonts w:hint="eastAsia" w:cs="Times New Roman"/>
                <w:sz w:val="21"/>
                <w:szCs w:val="21"/>
              </w:rPr>
              <w:t>31.665844</w:t>
            </w:r>
          </w:p>
        </w:tc>
        <w:tc>
          <w:tcPr>
            <w:tcW w:w="1080" w:type="dxa"/>
            <w:noWrap/>
            <w:vAlign w:val="center"/>
          </w:tcPr>
          <w:p w14:paraId="2142D73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525A4DD">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1ECBEE4">
            <w:pPr>
              <w:spacing w:line="240" w:lineRule="auto"/>
              <w:ind w:firstLine="0" w:firstLineChars="0"/>
              <w:jc w:val="center"/>
              <w:rPr>
                <w:rFonts w:cs="Times New Roman"/>
                <w:sz w:val="21"/>
                <w:szCs w:val="21"/>
              </w:rPr>
            </w:pPr>
          </w:p>
        </w:tc>
        <w:tc>
          <w:tcPr>
            <w:tcW w:w="1168" w:type="dxa"/>
            <w:noWrap/>
            <w:vAlign w:val="center"/>
          </w:tcPr>
          <w:p w14:paraId="4F06AAA8">
            <w:pPr>
              <w:spacing w:line="240" w:lineRule="auto"/>
              <w:ind w:firstLine="0" w:firstLineChars="0"/>
              <w:jc w:val="center"/>
              <w:rPr>
                <w:rFonts w:cs="Times New Roman"/>
                <w:sz w:val="21"/>
                <w:szCs w:val="21"/>
              </w:rPr>
            </w:pPr>
            <w:r>
              <w:rPr>
                <w:rFonts w:hint="eastAsia" w:cs="Times New Roman"/>
                <w:sz w:val="21"/>
                <w:szCs w:val="21"/>
              </w:rPr>
              <w:t>约50</w:t>
            </w:r>
          </w:p>
        </w:tc>
      </w:tr>
      <w:tr w14:paraId="11A09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EA27D85">
            <w:pPr>
              <w:pStyle w:val="39"/>
              <w:numPr>
                <w:ilvl w:val="0"/>
                <w:numId w:val="7"/>
              </w:numPr>
              <w:spacing w:line="240" w:lineRule="auto"/>
              <w:ind w:firstLineChars="0"/>
              <w:jc w:val="center"/>
              <w:rPr>
                <w:rFonts w:cs="Times New Roman"/>
                <w:sz w:val="21"/>
                <w:szCs w:val="21"/>
              </w:rPr>
            </w:pPr>
          </w:p>
        </w:tc>
        <w:tc>
          <w:tcPr>
            <w:tcW w:w="992" w:type="dxa"/>
            <w:noWrap/>
            <w:vAlign w:val="center"/>
          </w:tcPr>
          <w:p w14:paraId="733A58C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8D78F0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72521AA">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7ADFACB">
            <w:pPr>
              <w:spacing w:line="240" w:lineRule="auto"/>
              <w:ind w:firstLine="0" w:firstLineChars="0"/>
              <w:jc w:val="center"/>
              <w:rPr>
                <w:rFonts w:cs="Times New Roman"/>
                <w:sz w:val="21"/>
                <w:szCs w:val="21"/>
              </w:rPr>
            </w:pPr>
            <w:r>
              <w:rPr>
                <w:rFonts w:hint="eastAsia" w:cs="Times New Roman"/>
                <w:sz w:val="21"/>
                <w:szCs w:val="21"/>
              </w:rPr>
              <w:t>小地馆</w:t>
            </w:r>
          </w:p>
        </w:tc>
        <w:tc>
          <w:tcPr>
            <w:tcW w:w="1701" w:type="dxa"/>
            <w:noWrap/>
            <w:vAlign w:val="center"/>
          </w:tcPr>
          <w:p w14:paraId="3580769F">
            <w:pPr>
              <w:spacing w:line="240" w:lineRule="auto"/>
              <w:ind w:firstLine="0" w:firstLineChars="0"/>
              <w:jc w:val="center"/>
              <w:rPr>
                <w:rFonts w:cs="Times New Roman"/>
                <w:sz w:val="21"/>
                <w:szCs w:val="21"/>
              </w:rPr>
            </w:pPr>
            <w:r>
              <w:rPr>
                <w:rFonts w:hint="eastAsia" w:cs="Times New Roman"/>
                <w:sz w:val="21"/>
                <w:szCs w:val="21"/>
              </w:rPr>
              <w:t>119.374795</w:t>
            </w:r>
          </w:p>
        </w:tc>
        <w:tc>
          <w:tcPr>
            <w:tcW w:w="1690" w:type="dxa"/>
            <w:noWrap/>
            <w:vAlign w:val="center"/>
          </w:tcPr>
          <w:p w14:paraId="49F84C9D">
            <w:pPr>
              <w:spacing w:line="240" w:lineRule="auto"/>
              <w:ind w:firstLine="0" w:firstLineChars="0"/>
              <w:jc w:val="center"/>
              <w:rPr>
                <w:rFonts w:cs="Times New Roman"/>
                <w:sz w:val="21"/>
                <w:szCs w:val="21"/>
              </w:rPr>
            </w:pPr>
            <w:r>
              <w:rPr>
                <w:rFonts w:hint="eastAsia" w:cs="Times New Roman"/>
                <w:sz w:val="21"/>
                <w:szCs w:val="21"/>
              </w:rPr>
              <w:t>31.664944</w:t>
            </w:r>
          </w:p>
        </w:tc>
        <w:tc>
          <w:tcPr>
            <w:tcW w:w="1080" w:type="dxa"/>
            <w:noWrap/>
            <w:vAlign w:val="center"/>
          </w:tcPr>
          <w:p w14:paraId="4B8443F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BFA688E">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67BFE36">
            <w:pPr>
              <w:spacing w:line="240" w:lineRule="auto"/>
              <w:ind w:firstLine="0" w:firstLineChars="0"/>
              <w:jc w:val="center"/>
              <w:rPr>
                <w:rFonts w:cs="Times New Roman"/>
                <w:sz w:val="21"/>
                <w:szCs w:val="21"/>
              </w:rPr>
            </w:pPr>
          </w:p>
        </w:tc>
        <w:tc>
          <w:tcPr>
            <w:tcW w:w="1168" w:type="dxa"/>
            <w:noWrap/>
            <w:vAlign w:val="center"/>
          </w:tcPr>
          <w:p w14:paraId="76B8B53B">
            <w:pPr>
              <w:spacing w:line="240" w:lineRule="auto"/>
              <w:ind w:firstLine="0" w:firstLineChars="0"/>
              <w:jc w:val="center"/>
              <w:rPr>
                <w:rFonts w:cs="Times New Roman"/>
                <w:sz w:val="21"/>
                <w:szCs w:val="21"/>
              </w:rPr>
            </w:pPr>
            <w:r>
              <w:rPr>
                <w:rFonts w:hint="eastAsia" w:cs="Times New Roman"/>
                <w:sz w:val="21"/>
                <w:szCs w:val="21"/>
              </w:rPr>
              <w:t>约50</w:t>
            </w:r>
          </w:p>
        </w:tc>
      </w:tr>
      <w:tr w14:paraId="326E6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B6F2E4A">
            <w:pPr>
              <w:pStyle w:val="39"/>
              <w:numPr>
                <w:ilvl w:val="0"/>
                <w:numId w:val="7"/>
              </w:numPr>
              <w:spacing w:line="240" w:lineRule="auto"/>
              <w:ind w:firstLineChars="0"/>
              <w:jc w:val="center"/>
              <w:rPr>
                <w:rFonts w:cs="Times New Roman"/>
                <w:sz w:val="21"/>
                <w:szCs w:val="21"/>
              </w:rPr>
            </w:pPr>
          </w:p>
        </w:tc>
        <w:tc>
          <w:tcPr>
            <w:tcW w:w="992" w:type="dxa"/>
            <w:noWrap/>
            <w:vAlign w:val="center"/>
          </w:tcPr>
          <w:p w14:paraId="4C24225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CF8E86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46ADF3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4A31C79">
            <w:pPr>
              <w:spacing w:line="240" w:lineRule="auto"/>
              <w:ind w:firstLine="0" w:firstLineChars="0"/>
              <w:jc w:val="center"/>
              <w:rPr>
                <w:rFonts w:cs="Times New Roman"/>
                <w:sz w:val="21"/>
                <w:szCs w:val="21"/>
              </w:rPr>
            </w:pPr>
            <w:r>
              <w:rPr>
                <w:rFonts w:hint="eastAsia" w:cs="Times New Roman"/>
                <w:sz w:val="21"/>
                <w:szCs w:val="21"/>
              </w:rPr>
              <w:t>张笪里</w:t>
            </w:r>
          </w:p>
        </w:tc>
        <w:tc>
          <w:tcPr>
            <w:tcW w:w="1701" w:type="dxa"/>
            <w:noWrap/>
            <w:vAlign w:val="center"/>
          </w:tcPr>
          <w:p w14:paraId="2059D73A">
            <w:pPr>
              <w:spacing w:line="240" w:lineRule="auto"/>
              <w:ind w:firstLine="0" w:firstLineChars="0"/>
              <w:jc w:val="center"/>
              <w:rPr>
                <w:rFonts w:cs="Times New Roman"/>
                <w:sz w:val="21"/>
                <w:szCs w:val="21"/>
              </w:rPr>
            </w:pPr>
            <w:r>
              <w:rPr>
                <w:rFonts w:hint="eastAsia" w:cs="Times New Roman"/>
                <w:sz w:val="21"/>
                <w:szCs w:val="21"/>
              </w:rPr>
              <w:t>119.389924</w:t>
            </w:r>
          </w:p>
        </w:tc>
        <w:tc>
          <w:tcPr>
            <w:tcW w:w="1690" w:type="dxa"/>
            <w:noWrap/>
            <w:vAlign w:val="center"/>
          </w:tcPr>
          <w:p w14:paraId="45604920">
            <w:pPr>
              <w:spacing w:line="240" w:lineRule="auto"/>
              <w:ind w:firstLine="0" w:firstLineChars="0"/>
              <w:jc w:val="center"/>
              <w:rPr>
                <w:rFonts w:cs="Times New Roman"/>
                <w:sz w:val="21"/>
                <w:szCs w:val="21"/>
              </w:rPr>
            </w:pPr>
            <w:r>
              <w:rPr>
                <w:rFonts w:hint="eastAsia" w:cs="Times New Roman"/>
                <w:sz w:val="21"/>
                <w:szCs w:val="21"/>
              </w:rPr>
              <w:t>31.663979</w:t>
            </w:r>
          </w:p>
        </w:tc>
        <w:tc>
          <w:tcPr>
            <w:tcW w:w="1080" w:type="dxa"/>
            <w:noWrap/>
            <w:vAlign w:val="center"/>
          </w:tcPr>
          <w:p w14:paraId="229D241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D75508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8905059">
            <w:pPr>
              <w:spacing w:line="240" w:lineRule="auto"/>
              <w:ind w:firstLine="0" w:firstLineChars="0"/>
              <w:jc w:val="center"/>
              <w:rPr>
                <w:rFonts w:cs="Times New Roman"/>
                <w:sz w:val="21"/>
                <w:szCs w:val="21"/>
              </w:rPr>
            </w:pPr>
          </w:p>
        </w:tc>
        <w:tc>
          <w:tcPr>
            <w:tcW w:w="1168" w:type="dxa"/>
            <w:noWrap/>
            <w:vAlign w:val="center"/>
          </w:tcPr>
          <w:p w14:paraId="2A770CAB">
            <w:pPr>
              <w:spacing w:line="240" w:lineRule="auto"/>
              <w:ind w:firstLine="0" w:firstLineChars="0"/>
              <w:jc w:val="center"/>
              <w:rPr>
                <w:rFonts w:cs="Times New Roman"/>
                <w:sz w:val="21"/>
                <w:szCs w:val="21"/>
              </w:rPr>
            </w:pPr>
            <w:r>
              <w:rPr>
                <w:rFonts w:hint="eastAsia" w:cs="Times New Roman"/>
                <w:sz w:val="21"/>
                <w:szCs w:val="21"/>
              </w:rPr>
              <w:t>约100</w:t>
            </w:r>
          </w:p>
        </w:tc>
      </w:tr>
      <w:tr w14:paraId="39C66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FB42239">
            <w:pPr>
              <w:pStyle w:val="39"/>
              <w:numPr>
                <w:ilvl w:val="0"/>
                <w:numId w:val="7"/>
              </w:numPr>
              <w:spacing w:line="240" w:lineRule="auto"/>
              <w:ind w:firstLineChars="0"/>
              <w:jc w:val="center"/>
              <w:rPr>
                <w:rFonts w:cs="Times New Roman"/>
                <w:sz w:val="21"/>
                <w:szCs w:val="21"/>
              </w:rPr>
            </w:pPr>
          </w:p>
        </w:tc>
        <w:tc>
          <w:tcPr>
            <w:tcW w:w="992" w:type="dxa"/>
            <w:noWrap/>
            <w:vAlign w:val="center"/>
          </w:tcPr>
          <w:p w14:paraId="3DB40FF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F2E38E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E20A1C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CE58523">
            <w:pPr>
              <w:spacing w:line="240" w:lineRule="auto"/>
              <w:ind w:firstLine="0" w:firstLineChars="0"/>
              <w:jc w:val="center"/>
              <w:rPr>
                <w:rFonts w:cs="Times New Roman"/>
                <w:sz w:val="21"/>
                <w:szCs w:val="21"/>
              </w:rPr>
            </w:pPr>
            <w:r>
              <w:rPr>
                <w:rFonts w:hint="eastAsia" w:cs="Times New Roman"/>
                <w:sz w:val="21"/>
                <w:szCs w:val="21"/>
              </w:rPr>
              <w:t>赤岗</w:t>
            </w:r>
          </w:p>
        </w:tc>
        <w:tc>
          <w:tcPr>
            <w:tcW w:w="1701" w:type="dxa"/>
            <w:noWrap/>
            <w:vAlign w:val="center"/>
          </w:tcPr>
          <w:p w14:paraId="66BF312F">
            <w:pPr>
              <w:spacing w:line="240" w:lineRule="auto"/>
              <w:ind w:firstLine="0" w:firstLineChars="0"/>
              <w:jc w:val="center"/>
              <w:rPr>
                <w:rFonts w:cs="Times New Roman"/>
                <w:sz w:val="21"/>
                <w:szCs w:val="21"/>
              </w:rPr>
            </w:pPr>
            <w:r>
              <w:rPr>
                <w:rFonts w:hint="eastAsia" w:cs="Times New Roman"/>
                <w:sz w:val="21"/>
                <w:szCs w:val="21"/>
              </w:rPr>
              <w:t>119.383919</w:t>
            </w:r>
          </w:p>
        </w:tc>
        <w:tc>
          <w:tcPr>
            <w:tcW w:w="1690" w:type="dxa"/>
            <w:noWrap/>
            <w:vAlign w:val="center"/>
          </w:tcPr>
          <w:p w14:paraId="439ABA2B">
            <w:pPr>
              <w:spacing w:line="240" w:lineRule="auto"/>
              <w:ind w:firstLine="0" w:firstLineChars="0"/>
              <w:jc w:val="center"/>
              <w:rPr>
                <w:rFonts w:cs="Times New Roman"/>
                <w:sz w:val="21"/>
                <w:szCs w:val="21"/>
              </w:rPr>
            </w:pPr>
            <w:r>
              <w:rPr>
                <w:rFonts w:hint="eastAsia" w:cs="Times New Roman"/>
                <w:sz w:val="21"/>
                <w:szCs w:val="21"/>
              </w:rPr>
              <w:t>31.661938</w:t>
            </w:r>
          </w:p>
        </w:tc>
        <w:tc>
          <w:tcPr>
            <w:tcW w:w="1080" w:type="dxa"/>
            <w:noWrap/>
            <w:vAlign w:val="center"/>
          </w:tcPr>
          <w:p w14:paraId="76D625E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C29EAFB">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20AFD5A">
            <w:pPr>
              <w:spacing w:line="240" w:lineRule="auto"/>
              <w:ind w:firstLine="0" w:firstLineChars="0"/>
              <w:jc w:val="center"/>
              <w:rPr>
                <w:rFonts w:cs="Times New Roman"/>
                <w:sz w:val="21"/>
                <w:szCs w:val="21"/>
              </w:rPr>
            </w:pPr>
          </w:p>
        </w:tc>
        <w:tc>
          <w:tcPr>
            <w:tcW w:w="1168" w:type="dxa"/>
            <w:noWrap/>
            <w:vAlign w:val="center"/>
          </w:tcPr>
          <w:p w14:paraId="2A096591">
            <w:pPr>
              <w:spacing w:line="240" w:lineRule="auto"/>
              <w:ind w:firstLine="0" w:firstLineChars="0"/>
              <w:jc w:val="center"/>
              <w:rPr>
                <w:rFonts w:cs="Times New Roman"/>
                <w:sz w:val="21"/>
                <w:szCs w:val="21"/>
              </w:rPr>
            </w:pPr>
            <w:r>
              <w:rPr>
                <w:rFonts w:hint="eastAsia" w:cs="Times New Roman"/>
                <w:sz w:val="21"/>
                <w:szCs w:val="21"/>
              </w:rPr>
              <w:t>约200</w:t>
            </w:r>
          </w:p>
        </w:tc>
      </w:tr>
      <w:tr w14:paraId="3555B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D8F2DB5">
            <w:pPr>
              <w:pStyle w:val="39"/>
              <w:numPr>
                <w:ilvl w:val="0"/>
                <w:numId w:val="7"/>
              </w:numPr>
              <w:spacing w:line="240" w:lineRule="auto"/>
              <w:ind w:firstLineChars="0"/>
              <w:jc w:val="center"/>
              <w:rPr>
                <w:rFonts w:cs="Times New Roman"/>
                <w:sz w:val="21"/>
                <w:szCs w:val="21"/>
              </w:rPr>
            </w:pPr>
          </w:p>
        </w:tc>
        <w:tc>
          <w:tcPr>
            <w:tcW w:w="992" w:type="dxa"/>
            <w:noWrap/>
            <w:vAlign w:val="center"/>
          </w:tcPr>
          <w:p w14:paraId="4645119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7006BB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9ADFB3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4D48C20">
            <w:pPr>
              <w:spacing w:line="240" w:lineRule="auto"/>
              <w:ind w:firstLine="0" w:firstLineChars="0"/>
              <w:jc w:val="center"/>
              <w:rPr>
                <w:rFonts w:cs="Times New Roman"/>
                <w:sz w:val="21"/>
                <w:szCs w:val="21"/>
              </w:rPr>
            </w:pPr>
            <w:r>
              <w:rPr>
                <w:rFonts w:hint="eastAsia" w:cs="Times New Roman"/>
                <w:sz w:val="21"/>
                <w:szCs w:val="21"/>
              </w:rPr>
              <w:t>扁墩头</w:t>
            </w:r>
          </w:p>
        </w:tc>
        <w:tc>
          <w:tcPr>
            <w:tcW w:w="1701" w:type="dxa"/>
            <w:noWrap/>
            <w:vAlign w:val="center"/>
          </w:tcPr>
          <w:p w14:paraId="00BB2CD0">
            <w:pPr>
              <w:spacing w:line="240" w:lineRule="auto"/>
              <w:ind w:firstLine="0" w:firstLineChars="0"/>
              <w:jc w:val="center"/>
              <w:rPr>
                <w:rFonts w:cs="Times New Roman"/>
                <w:sz w:val="21"/>
                <w:szCs w:val="21"/>
              </w:rPr>
            </w:pPr>
            <w:r>
              <w:rPr>
                <w:rFonts w:hint="eastAsia" w:cs="Times New Roman"/>
                <w:sz w:val="21"/>
                <w:szCs w:val="21"/>
              </w:rPr>
              <w:t>119.396138</w:t>
            </w:r>
          </w:p>
        </w:tc>
        <w:tc>
          <w:tcPr>
            <w:tcW w:w="1690" w:type="dxa"/>
            <w:noWrap/>
            <w:vAlign w:val="center"/>
          </w:tcPr>
          <w:p w14:paraId="4048B1D1">
            <w:pPr>
              <w:spacing w:line="240" w:lineRule="auto"/>
              <w:ind w:firstLine="0" w:firstLineChars="0"/>
              <w:jc w:val="center"/>
              <w:rPr>
                <w:rFonts w:cs="Times New Roman"/>
                <w:sz w:val="21"/>
                <w:szCs w:val="21"/>
              </w:rPr>
            </w:pPr>
            <w:r>
              <w:rPr>
                <w:rFonts w:hint="eastAsia" w:cs="Times New Roman"/>
                <w:sz w:val="21"/>
                <w:szCs w:val="21"/>
              </w:rPr>
              <w:t>31.659237</w:t>
            </w:r>
          </w:p>
        </w:tc>
        <w:tc>
          <w:tcPr>
            <w:tcW w:w="1080" w:type="dxa"/>
            <w:noWrap/>
            <w:vAlign w:val="center"/>
          </w:tcPr>
          <w:p w14:paraId="3007424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C811920">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5E2A70F6">
            <w:pPr>
              <w:spacing w:line="240" w:lineRule="auto"/>
              <w:ind w:firstLine="0" w:firstLineChars="0"/>
              <w:jc w:val="center"/>
              <w:rPr>
                <w:rFonts w:cs="Times New Roman"/>
                <w:sz w:val="21"/>
                <w:szCs w:val="21"/>
              </w:rPr>
            </w:pPr>
          </w:p>
        </w:tc>
        <w:tc>
          <w:tcPr>
            <w:tcW w:w="1168" w:type="dxa"/>
            <w:noWrap/>
            <w:vAlign w:val="center"/>
          </w:tcPr>
          <w:p w14:paraId="763F7E33">
            <w:pPr>
              <w:spacing w:line="240" w:lineRule="auto"/>
              <w:ind w:firstLine="0" w:firstLineChars="0"/>
              <w:jc w:val="center"/>
              <w:rPr>
                <w:rFonts w:cs="Times New Roman"/>
                <w:sz w:val="21"/>
                <w:szCs w:val="21"/>
              </w:rPr>
            </w:pPr>
            <w:r>
              <w:rPr>
                <w:rFonts w:hint="eastAsia" w:cs="Times New Roman"/>
                <w:sz w:val="21"/>
                <w:szCs w:val="21"/>
              </w:rPr>
              <w:t>约200</w:t>
            </w:r>
          </w:p>
        </w:tc>
      </w:tr>
      <w:tr w14:paraId="19829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A4FF370">
            <w:pPr>
              <w:pStyle w:val="39"/>
              <w:numPr>
                <w:ilvl w:val="0"/>
                <w:numId w:val="7"/>
              </w:numPr>
              <w:spacing w:line="240" w:lineRule="auto"/>
              <w:ind w:firstLineChars="0"/>
              <w:jc w:val="center"/>
              <w:rPr>
                <w:rFonts w:cs="Times New Roman"/>
                <w:sz w:val="21"/>
                <w:szCs w:val="21"/>
              </w:rPr>
            </w:pPr>
          </w:p>
        </w:tc>
        <w:tc>
          <w:tcPr>
            <w:tcW w:w="992" w:type="dxa"/>
            <w:noWrap/>
            <w:vAlign w:val="center"/>
          </w:tcPr>
          <w:p w14:paraId="357A7DD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FC0AA9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105760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6FC0736">
            <w:pPr>
              <w:spacing w:line="240" w:lineRule="auto"/>
              <w:ind w:firstLine="0" w:firstLineChars="0"/>
              <w:jc w:val="center"/>
              <w:rPr>
                <w:rFonts w:cs="Times New Roman"/>
                <w:sz w:val="21"/>
                <w:szCs w:val="21"/>
              </w:rPr>
            </w:pPr>
            <w:r>
              <w:rPr>
                <w:rFonts w:hint="eastAsia" w:cs="Times New Roman"/>
                <w:sz w:val="21"/>
                <w:szCs w:val="21"/>
              </w:rPr>
              <w:t>周家棚</w:t>
            </w:r>
          </w:p>
        </w:tc>
        <w:tc>
          <w:tcPr>
            <w:tcW w:w="1701" w:type="dxa"/>
            <w:noWrap/>
            <w:vAlign w:val="center"/>
          </w:tcPr>
          <w:p w14:paraId="7BB59AC8">
            <w:pPr>
              <w:spacing w:line="240" w:lineRule="auto"/>
              <w:ind w:firstLine="0" w:firstLineChars="0"/>
              <w:jc w:val="center"/>
              <w:rPr>
                <w:rFonts w:cs="Times New Roman"/>
                <w:sz w:val="21"/>
                <w:szCs w:val="21"/>
              </w:rPr>
            </w:pPr>
            <w:r>
              <w:rPr>
                <w:rFonts w:hint="eastAsia" w:cs="Times New Roman"/>
                <w:sz w:val="21"/>
                <w:szCs w:val="21"/>
              </w:rPr>
              <w:t>119.394087</w:t>
            </w:r>
          </w:p>
        </w:tc>
        <w:tc>
          <w:tcPr>
            <w:tcW w:w="1690" w:type="dxa"/>
            <w:noWrap/>
            <w:vAlign w:val="center"/>
          </w:tcPr>
          <w:p w14:paraId="6E582BB0">
            <w:pPr>
              <w:spacing w:line="240" w:lineRule="auto"/>
              <w:ind w:firstLine="0" w:firstLineChars="0"/>
              <w:jc w:val="center"/>
              <w:rPr>
                <w:rFonts w:cs="Times New Roman"/>
                <w:sz w:val="21"/>
                <w:szCs w:val="21"/>
              </w:rPr>
            </w:pPr>
            <w:r>
              <w:rPr>
                <w:rFonts w:hint="eastAsia" w:cs="Times New Roman"/>
                <w:sz w:val="21"/>
                <w:szCs w:val="21"/>
              </w:rPr>
              <w:t>31.668026</w:t>
            </w:r>
          </w:p>
        </w:tc>
        <w:tc>
          <w:tcPr>
            <w:tcW w:w="1080" w:type="dxa"/>
            <w:noWrap/>
            <w:vAlign w:val="center"/>
          </w:tcPr>
          <w:p w14:paraId="1278520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7BC67F3">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095B715">
            <w:pPr>
              <w:spacing w:line="240" w:lineRule="auto"/>
              <w:ind w:firstLine="0" w:firstLineChars="0"/>
              <w:jc w:val="center"/>
              <w:rPr>
                <w:rFonts w:cs="Times New Roman"/>
                <w:sz w:val="21"/>
                <w:szCs w:val="21"/>
              </w:rPr>
            </w:pPr>
          </w:p>
        </w:tc>
        <w:tc>
          <w:tcPr>
            <w:tcW w:w="1168" w:type="dxa"/>
            <w:noWrap/>
            <w:vAlign w:val="center"/>
          </w:tcPr>
          <w:p w14:paraId="72A11BED">
            <w:pPr>
              <w:spacing w:line="240" w:lineRule="auto"/>
              <w:ind w:firstLine="0" w:firstLineChars="0"/>
              <w:jc w:val="center"/>
              <w:rPr>
                <w:rFonts w:cs="Times New Roman"/>
                <w:sz w:val="21"/>
                <w:szCs w:val="21"/>
              </w:rPr>
            </w:pPr>
            <w:r>
              <w:rPr>
                <w:rFonts w:hint="eastAsia" w:cs="Times New Roman"/>
                <w:sz w:val="21"/>
                <w:szCs w:val="21"/>
              </w:rPr>
              <w:t>约30</w:t>
            </w:r>
          </w:p>
        </w:tc>
      </w:tr>
      <w:tr w14:paraId="0A01F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918D696">
            <w:pPr>
              <w:pStyle w:val="39"/>
              <w:numPr>
                <w:ilvl w:val="0"/>
                <w:numId w:val="7"/>
              </w:numPr>
              <w:spacing w:line="240" w:lineRule="auto"/>
              <w:ind w:firstLineChars="0"/>
              <w:jc w:val="center"/>
              <w:rPr>
                <w:rFonts w:cs="Times New Roman"/>
                <w:sz w:val="21"/>
                <w:szCs w:val="21"/>
              </w:rPr>
            </w:pPr>
          </w:p>
        </w:tc>
        <w:tc>
          <w:tcPr>
            <w:tcW w:w="992" w:type="dxa"/>
            <w:noWrap/>
            <w:vAlign w:val="center"/>
          </w:tcPr>
          <w:p w14:paraId="306ABCB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5D1CEF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1C2690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C7C1360">
            <w:pPr>
              <w:spacing w:line="240" w:lineRule="auto"/>
              <w:ind w:firstLine="0" w:firstLineChars="0"/>
              <w:jc w:val="center"/>
              <w:rPr>
                <w:rFonts w:cs="Times New Roman"/>
                <w:sz w:val="21"/>
                <w:szCs w:val="21"/>
              </w:rPr>
            </w:pPr>
            <w:r>
              <w:rPr>
                <w:rFonts w:hint="eastAsia" w:cs="Times New Roman"/>
                <w:sz w:val="21"/>
                <w:szCs w:val="21"/>
              </w:rPr>
              <w:t>长山凹</w:t>
            </w:r>
          </w:p>
        </w:tc>
        <w:tc>
          <w:tcPr>
            <w:tcW w:w="1701" w:type="dxa"/>
            <w:noWrap/>
            <w:vAlign w:val="center"/>
          </w:tcPr>
          <w:p w14:paraId="2190496B">
            <w:pPr>
              <w:spacing w:line="240" w:lineRule="auto"/>
              <w:ind w:firstLine="0" w:firstLineChars="0"/>
              <w:jc w:val="center"/>
              <w:rPr>
                <w:rFonts w:cs="Times New Roman"/>
                <w:sz w:val="21"/>
                <w:szCs w:val="21"/>
              </w:rPr>
            </w:pPr>
            <w:r>
              <w:rPr>
                <w:rFonts w:hint="eastAsia" w:cs="Times New Roman"/>
                <w:sz w:val="21"/>
                <w:szCs w:val="21"/>
              </w:rPr>
              <w:t>119.382159</w:t>
            </w:r>
          </w:p>
        </w:tc>
        <w:tc>
          <w:tcPr>
            <w:tcW w:w="1690" w:type="dxa"/>
            <w:noWrap/>
            <w:vAlign w:val="center"/>
          </w:tcPr>
          <w:p w14:paraId="4114A391">
            <w:pPr>
              <w:spacing w:line="240" w:lineRule="auto"/>
              <w:ind w:firstLine="0" w:firstLineChars="0"/>
              <w:jc w:val="center"/>
              <w:rPr>
                <w:rFonts w:cs="Times New Roman"/>
                <w:sz w:val="21"/>
                <w:szCs w:val="21"/>
              </w:rPr>
            </w:pPr>
            <w:r>
              <w:rPr>
                <w:rFonts w:hint="eastAsia" w:cs="Times New Roman"/>
                <w:sz w:val="21"/>
                <w:szCs w:val="21"/>
              </w:rPr>
              <w:t>31.671046</w:t>
            </w:r>
          </w:p>
        </w:tc>
        <w:tc>
          <w:tcPr>
            <w:tcW w:w="1080" w:type="dxa"/>
            <w:noWrap/>
            <w:vAlign w:val="center"/>
          </w:tcPr>
          <w:p w14:paraId="6A77913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A71DF0F">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50677BAE">
            <w:pPr>
              <w:spacing w:line="240" w:lineRule="auto"/>
              <w:ind w:firstLine="0" w:firstLineChars="0"/>
              <w:jc w:val="center"/>
              <w:rPr>
                <w:rFonts w:cs="Times New Roman"/>
                <w:sz w:val="21"/>
                <w:szCs w:val="21"/>
              </w:rPr>
            </w:pPr>
          </w:p>
        </w:tc>
        <w:tc>
          <w:tcPr>
            <w:tcW w:w="1168" w:type="dxa"/>
            <w:noWrap/>
            <w:vAlign w:val="center"/>
          </w:tcPr>
          <w:p w14:paraId="01DCEFC0">
            <w:pPr>
              <w:spacing w:line="240" w:lineRule="auto"/>
              <w:ind w:firstLine="0" w:firstLineChars="0"/>
              <w:jc w:val="center"/>
              <w:rPr>
                <w:rFonts w:cs="Times New Roman"/>
                <w:sz w:val="21"/>
                <w:szCs w:val="21"/>
              </w:rPr>
            </w:pPr>
            <w:r>
              <w:rPr>
                <w:rFonts w:hint="eastAsia" w:cs="Times New Roman"/>
                <w:sz w:val="21"/>
                <w:szCs w:val="21"/>
              </w:rPr>
              <w:t>约30</w:t>
            </w:r>
          </w:p>
        </w:tc>
      </w:tr>
      <w:tr w14:paraId="09E91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E68FB42">
            <w:pPr>
              <w:pStyle w:val="39"/>
              <w:numPr>
                <w:ilvl w:val="0"/>
                <w:numId w:val="7"/>
              </w:numPr>
              <w:spacing w:line="240" w:lineRule="auto"/>
              <w:ind w:firstLineChars="0"/>
              <w:jc w:val="center"/>
              <w:rPr>
                <w:rFonts w:cs="Times New Roman"/>
                <w:sz w:val="21"/>
                <w:szCs w:val="21"/>
              </w:rPr>
            </w:pPr>
          </w:p>
        </w:tc>
        <w:tc>
          <w:tcPr>
            <w:tcW w:w="992" w:type="dxa"/>
            <w:noWrap/>
            <w:vAlign w:val="center"/>
          </w:tcPr>
          <w:p w14:paraId="1FD7CD5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76529A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93837A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A1079CB">
            <w:pPr>
              <w:spacing w:line="240" w:lineRule="auto"/>
              <w:ind w:firstLine="0" w:firstLineChars="0"/>
              <w:jc w:val="center"/>
              <w:rPr>
                <w:rFonts w:cs="Times New Roman"/>
                <w:sz w:val="21"/>
                <w:szCs w:val="21"/>
              </w:rPr>
            </w:pPr>
            <w:r>
              <w:rPr>
                <w:rFonts w:hint="eastAsia" w:cs="Times New Roman"/>
                <w:sz w:val="21"/>
                <w:szCs w:val="21"/>
              </w:rPr>
              <w:t>朱家坊</w:t>
            </w:r>
          </w:p>
        </w:tc>
        <w:tc>
          <w:tcPr>
            <w:tcW w:w="1701" w:type="dxa"/>
            <w:noWrap/>
            <w:vAlign w:val="center"/>
          </w:tcPr>
          <w:p w14:paraId="3511A2D1">
            <w:pPr>
              <w:spacing w:line="240" w:lineRule="auto"/>
              <w:ind w:firstLine="0" w:firstLineChars="0"/>
              <w:jc w:val="center"/>
              <w:rPr>
                <w:rFonts w:cs="Times New Roman"/>
                <w:sz w:val="21"/>
                <w:szCs w:val="21"/>
              </w:rPr>
            </w:pPr>
            <w:r>
              <w:rPr>
                <w:rFonts w:hint="eastAsia" w:cs="Times New Roman"/>
                <w:sz w:val="21"/>
                <w:szCs w:val="21"/>
              </w:rPr>
              <w:t>119.372428</w:t>
            </w:r>
          </w:p>
        </w:tc>
        <w:tc>
          <w:tcPr>
            <w:tcW w:w="1690" w:type="dxa"/>
            <w:noWrap/>
            <w:vAlign w:val="center"/>
          </w:tcPr>
          <w:p w14:paraId="3EE920D3">
            <w:pPr>
              <w:spacing w:line="240" w:lineRule="auto"/>
              <w:ind w:firstLine="0" w:firstLineChars="0"/>
              <w:jc w:val="center"/>
              <w:rPr>
                <w:rFonts w:cs="Times New Roman"/>
                <w:sz w:val="21"/>
                <w:szCs w:val="21"/>
              </w:rPr>
            </w:pPr>
            <w:r>
              <w:rPr>
                <w:rFonts w:hint="eastAsia" w:cs="Times New Roman"/>
                <w:sz w:val="21"/>
                <w:szCs w:val="21"/>
              </w:rPr>
              <w:t>31.673132</w:t>
            </w:r>
          </w:p>
        </w:tc>
        <w:tc>
          <w:tcPr>
            <w:tcW w:w="1080" w:type="dxa"/>
            <w:noWrap/>
            <w:vAlign w:val="center"/>
          </w:tcPr>
          <w:p w14:paraId="1C08732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1A7C2CA">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FA99430">
            <w:pPr>
              <w:spacing w:line="240" w:lineRule="auto"/>
              <w:ind w:firstLine="0" w:firstLineChars="0"/>
              <w:jc w:val="center"/>
              <w:rPr>
                <w:rFonts w:cs="Times New Roman"/>
                <w:sz w:val="21"/>
                <w:szCs w:val="21"/>
              </w:rPr>
            </w:pPr>
          </w:p>
        </w:tc>
        <w:tc>
          <w:tcPr>
            <w:tcW w:w="1168" w:type="dxa"/>
            <w:noWrap/>
            <w:vAlign w:val="center"/>
          </w:tcPr>
          <w:p w14:paraId="4109D95C">
            <w:pPr>
              <w:spacing w:line="240" w:lineRule="auto"/>
              <w:ind w:firstLine="0" w:firstLineChars="0"/>
              <w:jc w:val="center"/>
              <w:rPr>
                <w:rFonts w:cs="Times New Roman"/>
                <w:sz w:val="21"/>
                <w:szCs w:val="21"/>
              </w:rPr>
            </w:pPr>
            <w:r>
              <w:rPr>
                <w:rFonts w:hint="eastAsia" w:cs="Times New Roman"/>
                <w:sz w:val="21"/>
                <w:szCs w:val="21"/>
              </w:rPr>
              <w:t>约30</w:t>
            </w:r>
          </w:p>
        </w:tc>
      </w:tr>
      <w:tr w14:paraId="5E165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E414299">
            <w:pPr>
              <w:pStyle w:val="39"/>
              <w:numPr>
                <w:ilvl w:val="0"/>
                <w:numId w:val="7"/>
              </w:numPr>
              <w:spacing w:line="240" w:lineRule="auto"/>
              <w:ind w:firstLineChars="0"/>
              <w:jc w:val="center"/>
              <w:rPr>
                <w:rFonts w:cs="Times New Roman"/>
                <w:sz w:val="21"/>
                <w:szCs w:val="21"/>
              </w:rPr>
            </w:pPr>
          </w:p>
        </w:tc>
        <w:tc>
          <w:tcPr>
            <w:tcW w:w="992" w:type="dxa"/>
            <w:noWrap/>
            <w:vAlign w:val="center"/>
          </w:tcPr>
          <w:p w14:paraId="369F929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69FA0F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374467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FA6AFD2">
            <w:pPr>
              <w:spacing w:line="240" w:lineRule="auto"/>
              <w:ind w:firstLine="0" w:firstLineChars="0"/>
              <w:jc w:val="center"/>
              <w:rPr>
                <w:rFonts w:cs="Times New Roman"/>
                <w:sz w:val="21"/>
                <w:szCs w:val="21"/>
              </w:rPr>
            </w:pPr>
            <w:r>
              <w:rPr>
                <w:rFonts w:hint="eastAsia" w:cs="Times New Roman"/>
                <w:sz w:val="21"/>
                <w:szCs w:val="21"/>
              </w:rPr>
              <w:t>许庄村</w:t>
            </w:r>
          </w:p>
        </w:tc>
        <w:tc>
          <w:tcPr>
            <w:tcW w:w="1701" w:type="dxa"/>
            <w:noWrap/>
            <w:vAlign w:val="center"/>
          </w:tcPr>
          <w:p w14:paraId="37BCE587">
            <w:pPr>
              <w:spacing w:line="240" w:lineRule="auto"/>
              <w:ind w:firstLine="0" w:firstLineChars="0"/>
              <w:jc w:val="center"/>
              <w:rPr>
                <w:rFonts w:cs="Times New Roman"/>
                <w:sz w:val="21"/>
                <w:szCs w:val="21"/>
              </w:rPr>
            </w:pPr>
            <w:r>
              <w:rPr>
                <w:rFonts w:hint="eastAsia" w:cs="Times New Roman"/>
                <w:sz w:val="21"/>
                <w:szCs w:val="21"/>
              </w:rPr>
              <w:t>119.386807</w:t>
            </w:r>
          </w:p>
        </w:tc>
        <w:tc>
          <w:tcPr>
            <w:tcW w:w="1690" w:type="dxa"/>
            <w:noWrap/>
            <w:vAlign w:val="center"/>
          </w:tcPr>
          <w:p w14:paraId="2E1D0B63">
            <w:pPr>
              <w:spacing w:line="240" w:lineRule="auto"/>
              <w:ind w:firstLine="0" w:firstLineChars="0"/>
              <w:jc w:val="center"/>
              <w:rPr>
                <w:rFonts w:cs="Times New Roman"/>
                <w:sz w:val="21"/>
                <w:szCs w:val="21"/>
              </w:rPr>
            </w:pPr>
            <w:r>
              <w:rPr>
                <w:rFonts w:hint="eastAsia" w:cs="Times New Roman"/>
                <w:sz w:val="21"/>
                <w:szCs w:val="21"/>
              </w:rPr>
              <w:t>31.651274</w:t>
            </w:r>
          </w:p>
        </w:tc>
        <w:tc>
          <w:tcPr>
            <w:tcW w:w="1080" w:type="dxa"/>
            <w:noWrap/>
            <w:vAlign w:val="center"/>
          </w:tcPr>
          <w:p w14:paraId="706156C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AF086E2">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A9B32D1">
            <w:pPr>
              <w:spacing w:line="240" w:lineRule="auto"/>
              <w:ind w:firstLine="0" w:firstLineChars="0"/>
              <w:jc w:val="center"/>
              <w:rPr>
                <w:rFonts w:cs="Times New Roman"/>
                <w:sz w:val="21"/>
                <w:szCs w:val="21"/>
              </w:rPr>
            </w:pPr>
          </w:p>
        </w:tc>
        <w:tc>
          <w:tcPr>
            <w:tcW w:w="1168" w:type="dxa"/>
            <w:noWrap/>
            <w:vAlign w:val="center"/>
          </w:tcPr>
          <w:p w14:paraId="7F9C779E">
            <w:pPr>
              <w:spacing w:line="240" w:lineRule="auto"/>
              <w:ind w:firstLine="0" w:firstLineChars="0"/>
              <w:jc w:val="center"/>
              <w:rPr>
                <w:rFonts w:cs="Times New Roman"/>
                <w:sz w:val="21"/>
                <w:szCs w:val="21"/>
              </w:rPr>
            </w:pPr>
            <w:r>
              <w:rPr>
                <w:rFonts w:hint="eastAsia" w:cs="Times New Roman"/>
                <w:sz w:val="21"/>
                <w:szCs w:val="21"/>
              </w:rPr>
              <w:t>约200</w:t>
            </w:r>
          </w:p>
        </w:tc>
      </w:tr>
      <w:tr w14:paraId="3C6ED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7103370">
            <w:pPr>
              <w:pStyle w:val="39"/>
              <w:numPr>
                <w:ilvl w:val="0"/>
                <w:numId w:val="7"/>
              </w:numPr>
              <w:spacing w:line="240" w:lineRule="auto"/>
              <w:ind w:firstLineChars="0"/>
              <w:jc w:val="center"/>
              <w:rPr>
                <w:rFonts w:cs="Times New Roman"/>
                <w:sz w:val="21"/>
                <w:szCs w:val="21"/>
              </w:rPr>
            </w:pPr>
          </w:p>
        </w:tc>
        <w:tc>
          <w:tcPr>
            <w:tcW w:w="992" w:type="dxa"/>
            <w:noWrap/>
            <w:vAlign w:val="center"/>
          </w:tcPr>
          <w:p w14:paraId="29FD830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F44BCF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16CA216">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5BF4B2C">
            <w:pPr>
              <w:spacing w:line="240" w:lineRule="auto"/>
              <w:ind w:firstLine="0" w:firstLineChars="0"/>
              <w:jc w:val="center"/>
              <w:rPr>
                <w:rFonts w:cs="Times New Roman"/>
                <w:sz w:val="21"/>
                <w:szCs w:val="21"/>
              </w:rPr>
            </w:pPr>
            <w:r>
              <w:rPr>
                <w:rFonts w:hint="eastAsia" w:cs="Times New Roman"/>
                <w:sz w:val="21"/>
                <w:szCs w:val="21"/>
              </w:rPr>
              <w:t>前塘</w:t>
            </w:r>
          </w:p>
        </w:tc>
        <w:tc>
          <w:tcPr>
            <w:tcW w:w="1701" w:type="dxa"/>
            <w:noWrap/>
            <w:vAlign w:val="center"/>
          </w:tcPr>
          <w:p w14:paraId="09A50C24">
            <w:pPr>
              <w:spacing w:line="240" w:lineRule="auto"/>
              <w:ind w:firstLine="0" w:firstLineChars="0"/>
              <w:jc w:val="center"/>
              <w:rPr>
                <w:rFonts w:cs="Times New Roman"/>
                <w:sz w:val="21"/>
                <w:szCs w:val="21"/>
              </w:rPr>
            </w:pPr>
            <w:r>
              <w:rPr>
                <w:rFonts w:hint="eastAsia" w:cs="Times New Roman"/>
                <w:sz w:val="21"/>
                <w:szCs w:val="21"/>
              </w:rPr>
              <w:t>119.380427</w:t>
            </w:r>
          </w:p>
        </w:tc>
        <w:tc>
          <w:tcPr>
            <w:tcW w:w="1690" w:type="dxa"/>
            <w:noWrap/>
            <w:vAlign w:val="center"/>
          </w:tcPr>
          <w:p w14:paraId="4387BFCB">
            <w:pPr>
              <w:spacing w:line="240" w:lineRule="auto"/>
              <w:ind w:firstLine="0" w:firstLineChars="0"/>
              <w:jc w:val="center"/>
              <w:rPr>
                <w:rFonts w:cs="Times New Roman"/>
                <w:sz w:val="21"/>
                <w:szCs w:val="21"/>
              </w:rPr>
            </w:pPr>
            <w:r>
              <w:rPr>
                <w:rFonts w:hint="eastAsia" w:cs="Times New Roman"/>
                <w:sz w:val="21"/>
                <w:szCs w:val="21"/>
              </w:rPr>
              <w:t>31.646825</w:t>
            </w:r>
          </w:p>
        </w:tc>
        <w:tc>
          <w:tcPr>
            <w:tcW w:w="1080" w:type="dxa"/>
            <w:noWrap/>
            <w:vAlign w:val="center"/>
          </w:tcPr>
          <w:p w14:paraId="0D1FB25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47B269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485BD98">
            <w:pPr>
              <w:spacing w:line="240" w:lineRule="auto"/>
              <w:ind w:firstLine="0" w:firstLineChars="0"/>
              <w:jc w:val="center"/>
              <w:rPr>
                <w:rFonts w:cs="Times New Roman"/>
                <w:sz w:val="21"/>
                <w:szCs w:val="21"/>
              </w:rPr>
            </w:pPr>
          </w:p>
        </w:tc>
        <w:tc>
          <w:tcPr>
            <w:tcW w:w="1168" w:type="dxa"/>
            <w:noWrap/>
            <w:vAlign w:val="center"/>
          </w:tcPr>
          <w:p w14:paraId="39FEE5A3">
            <w:pPr>
              <w:spacing w:line="240" w:lineRule="auto"/>
              <w:ind w:firstLine="0" w:firstLineChars="0"/>
              <w:jc w:val="center"/>
              <w:rPr>
                <w:rFonts w:cs="Times New Roman"/>
                <w:sz w:val="21"/>
                <w:szCs w:val="21"/>
              </w:rPr>
            </w:pPr>
            <w:r>
              <w:rPr>
                <w:rFonts w:hint="eastAsia" w:cs="Times New Roman"/>
                <w:sz w:val="21"/>
                <w:szCs w:val="21"/>
              </w:rPr>
              <w:t>约20</w:t>
            </w:r>
          </w:p>
        </w:tc>
      </w:tr>
      <w:tr w14:paraId="05F0E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984ECDE">
            <w:pPr>
              <w:pStyle w:val="39"/>
              <w:numPr>
                <w:ilvl w:val="0"/>
                <w:numId w:val="7"/>
              </w:numPr>
              <w:spacing w:line="240" w:lineRule="auto"/>
              <w:ind w:firstLineChars="0"/>
              <w:jc w:val="center"/>
              <w:rPr>
                <w:rFonts w:cs="Times New Roman"/>
                <w:sz w:val="21"/>
                <w:szCs w:val="21"/>
              </w:rPr>
            </w:pPr>
          </w:p>
        </w:tc>
        <w:tc>
          <w:tcPr>
            <w:tcW w:w="992" w:type="dxa"/>
            <w:noWrap/>
            <w:vAlign w:val="center"/>
          </w:tcPr>
          <w:p w14:paraId="07F32A2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B1175F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B80543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05C7A44">
            <w:pPr>
              <w:spacing w:line="240" w:lineRule="auto"/>
              <w:ind w:firstLine="0" w:firstLineChars="0"/>
              <w:jc w:val="center"/>
              <w:rPr>
                <w:rFonts w:cs="Times New Roman"/>
                <w:sz w:val="21"/>
                <w:szCs w:val="21"/>
              </w:rPr>
            </w:pPr>
            <w:r>
              <w:rPr>
                <w:rFonts w:hint="eastAsia" w:cs="Times New Roman"/>
                <w:sz w:val="21"/>
                <w:szCs w:val="21"/>
              </w:rPr>
              <w:t>大凹</w:t>
            </w:r>
          </w:p>
        </w:tc>
        <w:tc>
          <w:tcPr>
            <w:tcW w:w="1701" w:type="dxa"/>
            <w:noWrap/>
            <w:vAlign w:val="center"/>
          </w:tcPr>
          <w:p w14:paraId="5C66C06E">
            <w:pPr>
              <w:spacing w:line="240" w:lineRule="auto"/>
              <w:ind w:firstLine="0" w:firstLineChars="0"/>
              <w:jc w:val="center"/>
              <w:rPr>
                <w:rFonts w:cs="Times New Roman"/>
                <w:sz w:val="21"/>
                <w:szCs w:val="21"/>
              </w:rPr>
            </w:pPr>
            <w:r>
              <w:rPr>
                <w:rFonts w:hint="eastAsia" w:cs="Times New Roman"/>
                <w:sz w:val="21"/>
                <w:szCs w:val="21"/>
              </w:rPr>
              <w:t>119.380129</w:t>
            </w:r>
          </w:p>
        </w:tc>
        <w:tc>
          <w:tcPr>
            <w:tcW w:w="1690" w:type="dxa"/>
            <w:noWrap/>
            <w:vAlign w:val="center"/>
          </w:tcPr>
          <w:p w14:paraId="0D046CF8">
            <w:pPr>
              <w:spacing w:line="240" w:lineRule="auto"/>
              <w:ind w:firstLine="0" w:firstLineChars="0"/>
              <w:jc w:val="center"/>
              <w:rPr>
                <w:rFonts w:cs="Times New Roman"/>
                <w:sz w:val="21"/>
                <w:szCs w:val="21"/>
              </w:rPr>
            </w:pPr>
            <w:r>
              <w:rPr>
                <w:rFonts w:hint="eastAsia" w:cs="Times New Roman"/>
                <w:sz w:val="21"/>
                <w:szCs w:val="21"/>
              </w:rPr>
              <w:t>31.637203</w:t>
            </w:r>
          </w:p>
        </w:tc>
        <w:tc>
          <w:tcPr>
            <w:tcW w:w="1080" w:type="dxa"/>
            <w:noWrap/>
            <w:vAlign w:val="center"/>
          </w:tcPr>
          <w:p w14:paraId="5901FE6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9D5065F">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635E278">
            <w:pPr>
              <w:spacing w:line="240" w:lineRule="auto"/>
              <w:ind w:firstLine="0" w:firstLineChars="0"/>
              <w:jc w:val="center"/>
              <w:rPr>
                <w:rFonts w:cs="Times New Roman"/>
                <w:sz w:val="21"/>
                <w:szCs w:val="21"/>
              </w:rPr>
            </w:pPr>
          </w:p>
        </w:tc>
        <w:tc>
          <w:tcPr>
            <w:tcW w:w="1168" w:type="dxa"/>
            <w:noWrap/>
            <w:vAlign w:val="center"/>
          </w:tcPr>
          <w:p w14:paraId="4EE42026">
            <w:pPr>
              <w:spacing w:line="240" w:lineRule="auto"/>
              <w:ind w:firstLine="0" w:firstLineChars="0"/>
              <w:jc w:val="center"/>
              <w:rPr>
                <w:rFonts w:cs="Times New Roman"/>
                <w:sz w:val="21"/>
                <w:szCs w:val="21"/>
              </w:rPr>
            </w:pPr>
            <w:r>
              <w:rPr>
                <w:rFonts w:hint="eastAsia" w:cs="Times New Roman"/>
                <w:sz w:val="21"/>
                <w:szCs w:val="21"/>
              </w:rPr>
              <w:t>约10</w:t>
            </w:r>
          </w:p>
        </w:tc>
      </w:tr>
      <w:tr w14:paraId="55790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0C978BF">
            <w:pPr>
              <w:pStyle w:val="39"/>
              <w:numPr>
                <w:ilvl w:val="0"/>
                <w:numId w:val="7"/>
              </w:numPr>
              <w:spacing w:line="240" w:lineRule="auto"/>
              <w:ind w:firstLineChars="0"/>
              <w:jc w:val="center"/>
              <w:rPr>
                <w:rFonts w:cs="Times New Roman"/>
                <w:sz w:val="21"/>
                <w:szCs w:val="21"/>
              </w:rPr>
            </w:pPr>
          </w:p>
        </w:tc>
        <w:tc>
          <w:tcPr>
            <w:tcW w:w="992" w:type="dxa"/>
            <w:noWrap/>
            <w:vAlign w:val="center"/>
          </w:tcPr>
          <w:p w14:paraId="3691A09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D4CA33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AEF6E8A">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7011754">
            <w:pPr>
              <w:spacing w:line="240" w:lineRule="auto"/>
              <w:ind w:firstLine="0" w:firstLineChars="0"/>
              <w:jc w:val="center"/>
              <w:rPr>
                <w:rFonts w:cs="Times New Roman"/>
                <w:sz w:val="21"/>
                <w:szCs w:val="21"/>
              </w:rPr>
            </w:pPr>
            <w:r>
              <w:rPr>
                <w:rFonts w:hint="eastAsia" w:cs="Times New Roman"/>
                <w:sz w:val="21"/>
                <w:szCs w:val="21"/>
              </w:rPr>
              <w:t>金山后</w:t>
            </w:r>
          </w:p>
        </w:tc>
        <w:tc>
          <w:tcPr>
            <w:tcW w:w="1701" w:type="dxa"/>
            <w:noWrap/>
            <w:vAlign w:val="center"/>
          </w:tcPr>
          <w:p w14:paraId="4B22BE3F">
            <w:pPr>
              <w:spacing w:line="240" w:lineRule="auto"/>
              <w:ind w:firstLine="0" w:firstLineChars="0"/>
              <w:jc w:val="center"/>
              <w:rPr>
                <w:rFonts w:cs="Times New Roman"/>
                <w:sz w:val="21"/>
                <w:szCs w:val="21"/>
              </w:rPr>
            </w:pPr>
            <w:r>
              <w:rPr>
                <w:rFonts w:hint="eastAsia" w:cs="Times New Roman"/>
                <w:sz w:val="21"/>
                <w:szCs w:val="21"/>
              </w:rPr>
              <w:t>119.388481</w:t>
            </w:r>
          </w:p>
        </w:tc>
        <w:tc>
          <w:tcPr>
            <w:tcW w:w="1690" w:type="dxa"/>
            <w:noWrap/>
            <w:vAlign w:val="center"/>
          </w:tcPr>
          <w:p w14:paraId="263E8CFF">
            <w:pPr>
              <w:spacing w:line="240" w:lineRule="auto"/>
              <w:ind w:firstLine="0" w:firstLineChars="0"/>
              <w:jc w:val="center"/>
              <w:rPr>
                <w:rFonts w:cs="Times New Roman"/>
                <w:sz w:val="21"/>
                <w:szCs w:val="21"/>
              </w:rPr>
            </w:pPr>
            <w:r>
              <w:rPr>
                <w:rFonts w:hint="eastAsia" w:cs="Times New Roman"/>
                <w:sz w:val="21"/>
                <w:szCs w:val="21"/>
              </w:rPr>
              <w:t>31.63228</w:t>
            </w:r>
          </w:p>
        </w:tc>
        <w:tc>
          <w:tcPr>
            <w:tcW w:w="1080" w:type="dxa"/>
            <w:noWrap/>
            <w:vAlign w:val="center"/>
          </w:tcPr>
          <w:p w14:paraId="617F871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4CD79D4">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FDE0040">
            <w:pPr>
              <w:spacing w:line="240" w:lineRule="auto"/>
              <w:ind w:firstLine="0" w:firstLineChars="0"/>
              <w:jc w:val="center"/>
              <w:rPr>
                <w:rFonts w:cs="Times New Roman"/>
                <w:sz w:val="21"/>
                <w:szCs w:val="21"/>
              </w:rPr>
            </w:pPr>
          </w:p>
        </w:tc>
        <w:tc>
          <w:tcPr>
            <w:tcW w:w="1168" w:type="dxa"/>
            <w:noWrap/>
            <w:vAlign w:val="center"/>
          </w:tcPr>
          <w:p w14:paraId="2E6C37A2">
            <w:pPr>
              <w:spacing w:line="240" w:lineRule="auto"/>
              <w:ind w:firstLine="0" w:firstLineChars="0"/>
              <w:jc w:val="center"/>
              <w:rPr>
                <w:rFonts w:cs="Times New Roman"/>
                <w:sz w:val="21"/>
                <w:szCs w:val="21"/>
              </w:rPr>
            </w:pPr>
            <w:r>
              <w:rPr>
                <w:rFonts w:hint="eastAsia" w:cs="Times New Roman"/>
                <w:sz w:val="21"/>
                <w:szCs w:val="21"/>
              </w:rPr>
              <w:t>约30</w:t>
            </w:r>
          </w:p>
        </w:tc>
      </w:tr>
      <w:tr w14:paraId="25B28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BED8155">
            <w:pPr>
              <w:pStyle w:val="39"/>
              <w:numPr>
                <w:ilvl w:val="0"/>
                <w:numId w:val="7"/>
              </w:numPr>
              <w:spacing w:line="240" w:lineRule="auto"/>
              <w:ind w:firstLineChars="0"/>
              <w:jc w:val="center"/>
              <w:rPr>
                <w:rFonts w:cs="Times New Roman"/>
                <w:sz w:val="21"/>
                <w:szCs w:val="21"/>
              </w:rPr>
            </w:pPr>
          </w:p>
        </w:tc>
        <w:tc>
          <w:tcPr>
            <w:tcW w:w="992" w:type="dxa"/>
            <w:noWrap/>
            <w:vAlign w:val="center"/>
          </w:tcPr>
          <w:p w14:paraId="6860846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BDADAA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6EDB766">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359D4BF">
            <w:pPr>
              <w:spacing w:line="240" w:lineRule="auto"/>
              <w:ind w:firstLine="0" w:firstLineChars="0"/>
              <w:jc w:val="center"/>
              <w:rPr>
                <w:rFonts w:cs="Times New Roman"/>
                <w:sz w:val="21"/>
                <w:szCs w:val="21"/>
              </w:rPr>
            </w:pPr>
            <w:r>
              <w:rPr>
                <w:rFonts w:hint="eastAsia" w:cs="Times New Roman"/>
                <w:sz w:val="21"/>
                <w:szCs w:val="21"/>
              </w:rPr>
              <w:t>沈庄</w:t>
            </w:r>
          </w:p>
        </w:tc>
        <w:tc>
          <w:tcPr>
            <w:tcW w:w="1701" w:type="dxa"/>
            <w:noWrap/>
            <w:vAlign w:val="center"/>
          </w:tcPr>
          <w:p w14:paraId="2339E4D5">
            <w:pPr>
              <w:spacing w:line="240" w:lineRule="auto"/>
              <w:ind w:firstLine="0" w:firstLineChars="0"/>
              <w:jc w:val="center"/>
              <w:rPr>
                <w:rFonts w:cs="Times New Roman"/>
                <w:sz w:val="21"/>
                <w:szCs w:val="21"/>
              </w:rPr>
            </w:pPr>
            <w:r>
              <w:rPr>
                <w:rFonts w:hint="eastAsia" w:cs="Times New Roman"/>
                <w:sz w:val="21"/>
                <w:szCs w:val="21"/>
              </w:rPr>
              <w:t>119.397047</w:t>
            </w:r>
          </w:p>
        </w:tc>
        <w:tc>
          <w:tcPr>
            <w:tcW w:w="1690" w:type="dxa"/>
            <w:noWrap/>
            <w:vAlign w:val="center"/>
          </w:tcPr>
          <w:p w14:paraId="66944438">
            <w:pPr>
              <w:spacing w:line="240" w:lineRule="auto"/>
              <w:ind w:firstLine="0" w:firstLineChars="0"/>
              <w:jc w:val="center"/>
              <w:rPr>
                <w:rFonts w:cs="Times New Roman"/>
                <w:sz w:val="21"/>
                <w:szCs w:val="21"/>
              </w:rPr>
            </w:pPr>
            <w:r>
              <w:rPr>
                <w:rFonts w:hint="eastAsia" w:cs="Times New Roman"/>
                <w:sz w:val="21"/>
                <w:szCs w:val="21"/>
              </w:rPr>
              <w:t>31.630839</w:t>
            </w:r>
          </w:p>
        </w:tc>
        <w:tc>
          <w:tcPr>
            <w:tcW w:w="1080" w:type="dxa"/>
            <w:noWrap/>
            <w:vAlign w:val="center"/>
          </w:tcPr>
          <w:p w14:paraId="02B8BDD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D4A8CE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6DE15B7">
            <w:pPr>
              <w:spacing w:line="240" w:lineRule="auto"/>
              <w:ind w:firstLine="0" w:firstLineChars="0"/>
              <w:jc w:val="center"/>
              <w:rPr>
                <w:rFonts w:cs="Times New Roman"/>
                <w:sz w:val="21"/>
                <w:szCs w:val="21"/>
              </w:rPr>
            </w:pPr>
          </w:p>
        </w:tc>
        <w:tc>
          <w:tcPr>
            <w:tcW w:w="1168" w:type="dxa"/>
            <w:noWrap/>
            <w:vAlign w:val="center"/>
          </w:tcPr>
          <w:p w14:paraId="42FAD5A8">
            <w:pPr>
              <w:spacing w:line="240" w:lineRule="auto"/>
              <w:ind w:firstLine="0" w:firstLineChars="0"/>
              <w:jc w:val="center"/>
              <w:rPr>
                <w:rFonts w:cs="Times New Roman"/>
                <w:sz w:val="21"/>
                <w:szCs w:val="21"/>
              </w:rPr>
            </w:pPr>
            <w:r>
              <w:rPr>
                <w:rFonts w:hint="eastAsia" w:cs="Times New Roman"/>
                <w:sz w:val="21"/>
                <w:szCs w:val="21"/>
              </w:rPr>
              <w:t>约30</w:t>
            </w:r>
          </w:p>
        </w:tc>
      </w:tr>
      <w:tr w14:paraId="09F7B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544D7F5">
            <w:pPr>
              <w:pStyle w:val="39"/>
              <w:numPr>
                <w:ilvl w:val="0"/>
                <w:numId w:val="7"/>
              </w:numPr>
              <w:spacing w:line="240" w:lineRule="auto"/>
              <w:ind w:firstLineChars="0"/>
              <w:jc w:val="center"/>
              <w:rPr>
                <w:rFonts w:cs="Times New Roman"/>
                <w:sz w:val="21"/>
                <w:szCs w:val="21"/>
              </w:rPr>
            </w:pPr>
          </w:p>
        </w:tc>
        <w:tc>
          <w:tcPr>
            <w:tcW w:w="992" w:type="dxa"/>
            <w:noWrap/>
            <w:vAlign w:val="center"/>
          </w:tcPr>
          <w:p w14:paraId="1610FB9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F730D4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93DB56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D4122FF">
            <w:pPr>
              <w:spacing w:line="240" w:lineRule="auto"/>
              <w:ind w:firstLine="0" w:firstLineChars="0"/>
              <w:jc w:val="center"/>
              <w:rPr>
                <w:rFonts w:cs="Times New Roman"/>
                <w:sz w:val="21"/>
                <w:szCs w:val="21"/>
              </w:rPr>
            </w:pPr>
            <w:r>
              <w:rPr>
                <w:rFonts w:hint="eastAsia" w:cs="Times New Roman"/>
                <w:sz w:val="21"/>
                <w:szCs w:val="21"/>
              </w:rPr>
              <w:t>钱家村</w:t>
            </w:r>
          </w:p>
        </w:tc>
        <w:tc>
          <w:tcPr>
            <w:tcW w:w="1701" w:type="dxa"/>
            <w:noWrap/>
            <w:vAlign w:val="center"/>
          </w:tcPr>
          <w:p w14:paraId="0A86AC8F">
            <w:pPr>
              <w:spacing w:line="240" w:lineRule="auto"/>
              <w:ind w:firstLine="0" w:firstLineChars="0"/>
              <w:jc w:val="center"/>
              <w:rPr>
                <w:rFonts w:cs="Times New Roman"/>
                <w:sz w:val="21"/>
                <w:szCs w:val="21"/>
              </w:rPr>
            </w:pPr>
            <w:r>
              <w:rPr>
                <w:rFonts w:hint="eastAsia" w:cs="Times New Roman"/>
                <w:sz w:val="21"/>
                <w:szCs w:val="21"/>
              </w:rPr>
              <w:t>119.405571</w:t>
            </w:r>
          </w:p>
        </w:tc>
        <w:tc>
          <w:tcPr>
            <w:tcW w:w="1690" w:type="dxa"/>
            <w:noWrap/>
            <w:vAlign w:val="center"/>
          </w:tcPr>
          <w:p w14:paraId="5C759E1A">
            <w:pPr>
              <w:spacing w:line="240" w:lineRule="auto"/>
              <w:ind w:firstLine="0" w:firstLineChars="0"/>
              <w:jc w:val="center"/>
              <w:rPr>
                <w:rFonts w:cs="Times New Roman"/>
                <w:sz w:val="21"/>
                <w:szCs w:val="21"/>
              </w:rPr>
            </w:pPr>
            <w:r>
              <w:rPr>
                <w:rFonts w:hint="eastAsia" w:cs="Times New Roman"/>
                <w:sz w:val="21"/>
                <w:szCs w:val="21"/>
              </w:rPr>
              <w:t>31.629748</w:t>
            </w:r>
          </w:p>
        </w:tc>
        <w:tc>
          <w:tcPr>
            <w:tcW w:w="1080" w:type="dxa"/>
            <w:noWrap/>
            <w:vAlign w:val="center"/>
          </w:tcPr>
          <w:p w14:paraId="2281D4F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A1694AC">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26D3B6A7">
            <w:pPr>
              <w:spacing w:line="240" w:lineRule="auto"/>
              <w:ind w:firstLine="0" w:firstLineChars="0"/>
              <w:jc w:val="center"/>
              <w:rPr>
                <w:rFonts w:cs="Times New Roman"/>
                <w:sz w:val="21"/>
                <w:szCs w:val="21"/>
              </w:rPr>
            </w:pPr>
          </w:p>
        </w:tc>
        <w:tc>
          <w:tcPr>
            <w:tcW w:w="1168" w:type="dxa"/>
            <w:noWrap/>
            <w:vAlign w:val="center"/>
          </w:tcPr>
          <w:p w14:paraId="4A69C864">
            <w:pPr>
              <w:spacing w:line="240" w:lineRule="auto"/>
              <w:ind w:firstLine="0" w:firstLineChars="0"/>
              <w:jc w:val="center"/>
              <w:rPr>
                <w:rFonts w:cs="Times New Roman"/>
                <w:sz w:val="21"/>
                <w:szCs w:val="21"/>
              </w:rPr>
            </w:pPr>
            <w:r>
              <w:rPr>
                <w:rFonts w:hint="eastAsia" w:cs="Times New Roman"/>
                <w:sz w:val="21"/>
                <w:szCs w:val="21"/>
              </w:rPr>
              <w:t>约30</w:t>
            </w:r>
          </w:p>
        </w:tc>
      </w:tr>
      <w:tr w14:paraId="6193A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CABDB39">
            <w:pPr>
              <w:pStyle w:val="39"/>
              <w:numPr>
                <w:ilvl w:val="0"/>
                <w:numId w:val="7"/>
              </w:numPr>
              <w:spacing w:line="240" w:lineRule="auto"/>
              <w:ind w:firstLineChars="0"/>
              <w:jc w:val="center"/>
              <w:rPr>
                <w:rFonts w:cs="Times New Roman"/>
                <w:sz w:val="21"/>
                <w:szCs w:val="21"/>
              </w:rPr>
            </w:pPr>
          </w:p>
        </w:tc>
        <w:tc>
          <w:tcPr>
            <w:tcW w:w="992" w:type="dxa"/>
            <w:noWrap/>
            <w:vAlign w:val="center"/>
          </w:tcPr>
          <w:p w14:paraId="0DBC7C5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468E9E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1C0054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0C660FD">
            <w:pPr>
              <w:spacing w:line="240" w:lineRule="auto"/>
              <w:ind w:firstLine="0" w:firstLineChars="0"/>
              <w:jc w:val="center"/>
              <w:rPr>
                <w:rFonts w:cs="Times New Roman"/>
                <w:sz w:val="21"/>
                <w:szCs w:val="21"/>
              </w:rPr>
            </w:pPr>
            <w:r>
              <w:rPr>
                <w:rFonts w:hint="eastAsia" w:cs="Times New Roman"/>
                <w:sz w:val="21"/>
                <w:szCs w:val="21"/>
              </w:rPr>
              <w:t>小庄头</w:t>
            </w:r>
          </w:p>
        </w:tc>
        <w:tc>
          <w:tcPr>
            <w:tcW w:w="1701" w:type="dxa"/>
            <w:noWrap/>
            <w:vAlign w:val="center"/>
          </w:tcPr>
          <w:p w14:paraId="4EBF1ADA">
            <w:pPr>
              <w:spacing w:line="240" w:lineRule="auto"/>
              <w:ind w:firstLine="0" w:firstLineChars="0"/>
              <w:jc w:val="center"/>
              <w:rPr>
                <w:rFonts w:cs="Times New Roman"/>
                <w:sz w:val="21"/>
                <w:szCs w:val="21"/>
              </w:rPr>
            </w:pPr>
            <w:r>
              <w:rPr>
                <w:rFonts w:hint="eastAsia" w:cs="Times New Roman"/>
                <w:sz w:val="21"/>
                <w:szCs w:val="21"/>
              </w:rPr>
              <w:t>119.4105</w:t>
            </w:r>
          </w:p>
        </w:tc>
        <w:tc>
          <w:tcPr>
            <w:tcW w:w="1690" w:type="dxa"/>
            <w:noWrap/>
            <w:vAlign w:val="center"/>
          </w:tcPr>
          <w:p w14:paraId="67350386">
            <w:pPr>
              <w:spacing w:line="240" w:lineRule="auto"/>
              <w:ind w:firstLine="0" w:firstLineChars="0"/>
              <w:jc w:val="center"/>
              <w:rPr>
                <w:rFonts w:cs="Times New Roman"/>
                <w:sz w:val="21"/>
                <w:szCs w:val="21"/>
              </w:rPr>
            </w:pPr>
            <w:r>
              <w:rPr>
                <w:rFonts w:hint="eastAsia" w:cs="Times New Roman"/>
                <w:sz w:val="21"/>
                <w:szCs w:val="21"/>
              </w:rPr>
              <w:t>31.64191</w:t>
            </w:r>
          </w:p>
        </w:tc>
        <w:tc>
          <w:tcPr>
            <w:tcW w:w="1080" w:type="dxa"/>
            <w:noWrap/>
            <w:vAlign w:val="center"/>
          </w:tcPr>
          <w:p w14:paraId="3395942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DF7E374">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8000464">
            <w:pPr>
              <w:spacing w:line="240" w:lineRule="auto"/>
              <w:ind w:firstLine="0" w:firstLineChars="0"/>
              <w:jc w:val="center"/>
              <w:rPr>
                <w:rFonts w:cs="Times New Roman"/>
                <w:sz w:val="21"/>
                <w:szCs w:val="21"/>
              </w:rPr>
            </w:pPr>
          </w:p>
        </w:tc>
        <w:tc>
          <w:tcPr>
            <w:tcW w:w="1168" w:type="dxa"/>
            <w:noWrap/>
            <w:vAlign w:val="center"/>
          </w:tcPr>
          <w:p w14:paraId="662EE3A0">
            <w:pPr>
              <w:spacing w:line="240" w:lineRule="auto"/>
              <w:ind w:firstLine="0" w:firstLineChars="0"/>
              <w:jc w:val="center"/>
              <w:rPr>
                <w:rFonts w:cs="Times New Roman"/>
                <w:sz w:val="21"/>
                <w:szCs w:val="21"/>
              </w:rPr>
            </w:pPr>
            <w:r>
              <w:rPr>
                <w:rFonts w:hint="eastAsia" w:cs="Times New Roman"/>
                <w:sz w:val="21"/>
                <w:szCs w:val="21"/>
              </w:rPr>
              <w:t>约30</w:t>
            </w:r>
          </w:p>
        </w:tc>
      </w:tr>
      <w:tr w14:paraId="725B2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AF976CB">
            <w:pPr>
              <w:pStyle w:val="39"/>
              <w:numPr>
                <w:ilvl w:val="0"/>
                <w:numId w:val="7"/>
              </w:numPr>
              <w:spacing w:line="240" w:lineRule="auto"/>
              <w:ind w:firstLineChars="0"/>
              <w:jc w:val="center"/>
              <w:rPr>
                <w:rFonts w:cs="Times New Roman"/>
                <w:sz w:val="21"/>
                <w:szCs w:val="21"/>
              </w:rPr>
            </w:pPr>
          </w:p>
        </w:tc>
        <w:tc>
          <w:tcPr>
            <w:tcW w:w="992" w:type="dxa"/>
            <w:noWrap/>
            <w:vAlign w:val="center"/>
          </w:tcPr>
          <w:p w14:paraId="359A2A4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8B03E7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B164EF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33290F0">
            <w:pPr>
              <w:spacing w:line="240" w:lineRule="auto"/>
              <w:ind w:firstLine="0" w:firstLineChars="0"/>
              <w:jc w:val="center"/>
              <w:rPr>
                <w:rFonts w:cs="Times New Roman"/>
                <w:sz w:val="21"/>
                <w:szCs w:val="21"/>
              </w:rPr>
            </w:pPr>
            <w:r>
              <w:rPr>
                <w:rFonts w:hint="eastAsia" w:cs="Times New Roman"/>
                <w:sz w:val="21"/>
                <w:szCs w:val="21"/>
              </w:rPr>
              <w:t>西窑</w:t>
            </w:r>
          </w:p>
        </w:tc>
        <w:tc>
          <w:tcPr>
            <w:tcW w:w="1701" w:type="dxa"/>
            <w:noWrap/>
            <w:vAlign w:val="center"/>
          </w:tcPr>
          <w:p w14:paraId="5BE3BAE5">
            <w:pPr>
              <w:spacing w:line="240" w:lineRule="auto"/>
              <w:ind w:firstLine="0" w:firstLineChars="0"/>
              <w:jc w:val="center"/>
              <w:rPr>
                <w:rFonts w:cs="Times New Roman"/>
                <w:sz w:val="21"/>
                <w:szCs w:val="21"/>
              </w:rPr>
            </w:pPr>
            <w:r>
              <w:rPr>
                <w:rFonts w:hint="eastAsia" w:cs="Times New Roman"/>
                <w:sz w:val="21"/>
                <w:szCs w:val="21"/>
              </w:rPr>
              <w:t>119.413804</w:t>
            </w:r>
          </w:p>
        </w:tc>
        <w:tc>
          <w:tcPr>
            <w:tcW w:w="1690" w:type="dxa"/>
            <w:noWrap/>
            <w:vAlign w:val="center"/>
          </w:tcPr>
          <w:p w14:paraId="15900407">
            <w:pPr>
              <w:spacing w:line="240" w:lineRule="auto"/>
              <w:ind w:firstLine="0" w:firstLineChars="0"/>
              <w:jc w:val="center"/>
              <w:rPr>
                <w:rFonts w:cs="Times New Roman"/>
                <w:sz w:val="21"/>
                <w:szCs w:val="21"/>
              </w:rPr>
            </w:pPr>
            <w:r>
              <w:rPr>
                <w:rFonts w:hint="eastAsia" w:cs="Times New Roman"/>
                <w:sz w:val="21"/>
                <w:szCs w:val="21"/>
              </w:rPr>
              <w:t>31.648042</w:t>
            </w:r>
          </w:p>
        </w:tc>
        <w:tc>
          <w:tcPr>
            <w:tcW w:w="1080" w:type="dxa"/>
            <w:noWrap/>
            <w:vAlign w:val="center"/>
          </w:tcPr>
          <w:p w14:paraId="0112094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E60E964">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F6BBEE4">
            <w:pPr>
              <w:spacing w:line="240" w:lineRule="auto"/>
              <w:ind w:firstLine="0" w:firstLineChars="0"/>
              <w:jc w:val="center"/>
              <w:rPr>
                <w:rFonts w:cs="Times New Roman"/>
                <w:sz w:val="21"/>
                <w:szCs w:val="21"/>
              </w:rPr>
            </w:pPr>
          </w:p>
        </w:tc>
        <w:tc>
          <w:tcPr>
            <w:tcW w:w="1168" w:type="dxa"/>
            <w:noWrap/>
            <w:vAlign w:val="center"/>
          </w:tcPr>
          <w:p w14:paraId="39EE0129">
            <w:pPr>
              <w:spacing w:line="240" w:lineRule="auto"/>
              <w:ind w:firstLine="0" w:firstLineChars="0"/>
              <w:jc w:val="center"/>
              <w:rPr>
                <w:rFonts w:cs="Times New Roman"/>
                <w:sz w:val="21"/>
                <w:szCs w:val="21"/>
              </w:rPr>
            </w:pPr>
            <w:r>
              <w:rPr>
                <w:rFonts w:hint="eastAsia" w:cs="Times New Roman"/>
                <w:sz w:val="21"/>
                <w:szCs w:val="21"/>
              </w:rPr>
              <w:t>约30</w:t>
            </w:r>
          </w:p>
        </w:tc>
      </w:tr>
      <w:tr w14:paraId="0BABE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1F842E1">
            <w:pPr>
              <w:pStyle w:val="39"/>
              <w:numPr>
                <w:ilvl w:val="0"/>
                <w:numId w:val="7"/>
              </w:numPr>
              <w:spacing w:line="240" w:lineRule="auto"/>
              <w:ind w:firstLineChars="0"/>
              <w:jc w:val="center"/>
              <w:rPr>
                <w:rFonts w:cs="Times New Roman"/>
                <w:sz w:val="21"/>
                <w:szCs w:val="21"/>
              </w:rPr>
            </w:pPr>
          </w:p>
        </w:tc>
        <w:tc>
          <w:tcPr>
            <w:tcW w:w="992" w:type="dxa"/>
            <w:noWrap/>
            <w:vAlign w:val="center"/>
          </w:tcPr>
          <w:p w14:paraId="7B700FC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B89D2F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CFD4B2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6F69824">
            <w:pPr>
              <w:spacing w:line="240" w:lineRule="auto"/>
              <w:ind w:firstLine="0" w:firstLineChars="0"/>
              <w:jc w:val="center"/>
              <w:rPr>
                <w:rFonts w:cs="Times New Roman"/>
                <w:sz w:val="21"/>
                <w:szCs w:val="21"/>
              </w:rPr>
            </w:pPr>
            <w:r>
              <w:rPr>
                <w:rFonts w:hint="eastAsia" w:cs="Times New Roman"/>
                <w:sz w:val="21"/>
                <w:szCs w:val="21"/>
              </w:rPr>
              <w:t>榨塘</w:t>
            </w:r>
          </w:p>
        </w:tc>
        <w:tc>
          <w:tcPr>
            <w:tcW w:w="1701" w:type="dxa"/>
            <w:noWrap/>
            <w:vAlign w:val="center"/>
          </w:tcPr>
          <w:p w14:paraId="4321B646">
            <w:pPr>
              <w:spacing w:line="240" w:lineRule="auto"/>
              <w:ind w:firstLine="0" w:firstLineChars="0"/>
              <w:jc w:val="center"/>
              <w:rPr>
                <w:rFonts w:cs="Times New Roman"/>
                <w:sz w:val="21"/>
                <w:szCs w:val="21"/>
              </w:rPr>
            </w:pPr>
            <w:r>
              <w:rPr>
                <w:rFonts w:hint="eastAsia" w:cs="Times New Roman"/>
                <w:sz w:val="21"/>
                <w:szCs w:val="21"/>
              </w:rPr>
              <w:t>119.411023</w:t>
            </w:r>
          </w:p>
        </w:tc>
        <w:tc>
          <w:tcPr>
            <w:tcW w:w="1690" w:type="dxa"/>
            <w:noWrap/>
            <w:vAlign w:val="center"/>
          </w:tcPr>
          <w:p w14:paraId="5DC7AA94">
            <w:pPr>
              <w:spacing w:line="240" w:lineRule="auto"/>
              <w:ind w:firstLine="0" w:firstLineChars="0"/>
              <w:jc w:val="center"/>
              <w:rPr>
                <w:rFonts w:cs="Times New Roman"/>
                <w:sz w:val="21"/>
                <w:szCs w:val="21"/>
              </w:rPr>
            </w:pPr>
            <w:r>
              <w:rPr>
                <w:rFonts w:hint="eastAsia" w:cs="Times New Roman"/>
                <w:sz w:val="21"/>
                <w:szCs w:val="21"/>
              </w:rPr>
              <w:t>31.651038</w:t>
            </w:r>
          </w:p>
        </w:tc>
        <w:tc>
          <w:tcPr>
            <w:tcW w:w="1080" w:type="dxa"/>
            <w:noWrap/>
            <w:vAlign w:val="center"/>
          </w:tcPr>
          <w:p w14:paraId="4CBA81D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802403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D8F1A34">
            <w:pPr>
              <w:spacing w:line="240" w:lineRule="auto"/>
              <w:ind w:firstLine="0" w:firstLineChars="0"/>
              <w:jc w:val="center"/>
              <w:rPr>
                <w:rFonts w:cs="Times New Roman"/>
                <w:sz w:val="21"/>
                <w:szCs w:val="21"/>
              </w:rPr>
            </w:pPr>
          </w:p>
        </w:tc>
        <w:tc>
          <w:tcPr>
            <w:tcW w:w="1168" w:type="dxa"/>
            <w:noWrap/>
            <w:vAlign w:val="center"/>
          </w:tcPr>
          <w:p w14:paraId="5B16B0E7">
            <w:pPr>
              <w:spacing w:line="240" w:lineRule="auto"/>
              <w:ind w:firstLine="0" w:firstLineChars="0"/>
              <w:jc w:val="center"/>
              <w:rPr>
                <w:rFonts w:cs="Times New Roman"/>
                <w:sz w:val="21"/>
                <w:szCs w:val="21"/>
              </w:rPr>
            </w:pPr>
            <w:r>
              <w:rPr>
                <w:rFonts w:hint="eastAsia" w:cs="Times New Roman"/>
                <w:sz w:val="21"/>
                <w:szCs w:val="21"/>
              </w:rPr>
              <w:t>约30</w:t>
            </w:r>
          </w:p>
        </w:tc>
      </w:tr>
      <w:tr w14:paraId="45228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4D58010">
            <w:pPr>
              <w:pStyle w:val="39"/>
              <w:numPr>
                <w:ilvl w:val="0"/>
                <w:numId w:val="7"/>
              </w:numPr>
              <w:spacing w:line="240" w:lineRule="auto"/>
              <w:ind w:firstLineChars="0"/>
              <w:jc w:val="center"/>
              <w:rPr>
                <w:rFonts w:cs="Times New Roman"/>
                <w:sz w:val="21"/>
                <w:szCs w:val="21"/>
              </w:rPr>
            </w:pPr>
          </w:p>
        </w:tc>
        <w:tc>
          <w:tcPr>
            <w:tcW w:w="992" w:type="dxa"/>
            <w:noWrap/>
            <w:vAlign w:val="center"/>
          </w:tcPr>
          <w:p w14:paraId="176DD86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17477E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16B9FB4">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18920FB">
            <w:pPr>
              <w:spacing w:line="240" w:lineRule="auto"/>
              <w:ind w:firstLine="0" w:firstLineChars="0"/>
              <w:jc w:val="center"/>
              <w:rPr>
                <w:rFonts w:cs="Times New Roman"/>
                <w:sz w:val="21"/>
                <w:szCs w:val="21"/>
              </w:rPr>
            </w:pPr>
            <w:r>
              <w:rPr>
                <w:rFonts w:hint="eastAsia" w:cs="Times New Roman"/>
                <w:sz w:val="21"/>
                <w:szCs w:val="21"/>
              </w:rPr>
              <w:t>下庄</w:t>
            </w:r>
          </w:p>
        </w:tc>
        <w:tc>
          <w:tcPr>
            <w:tcW w:w="1701" w:type="dxa"/>
            <w:noWrap/>
            <w:vAlign w:val="center"/>
          </w:tcPr>
          <w:p w14:paraId="7DA786C5">
            <w:pPr>
              <w:spacing w:line="240" w:lineRule="auto"/>
              <w:ind w:firstLine="0" w:firstLineChars="0"/>
              <w:jc w:val="center"/>
              <w:rPr>
                <w:rFonts w:cs="Times New Roman"/>
                <w:sz w:val="21"/>
                <w:szCs w:val="21"/>
              </w:rPr>
            </w:pPr>
            <w:r>
              <w:rPr>
                <w:rFonts w:hint="eastAsia" w:cs="Times New Roman"/>
                <w:sz w:val="21"/>
                <w:szCs w:val="21"/>
              </w:rPr>
              <w:t>119.403378</w:t>
            </w:r>
          </w:p>
        </w:tc>
        <w:tc>
          <w:tcPr>
            <w:tcW w:w="1690" w:type="dxa"/>
            <w:noWrap/>
            <w:vAlign w:val="center"/>
          </w:tcPr>
          <w:p w14:paraId="61B1C62E">
            <w:pPr>
              <w:spacing w:line="240" w:lineRule="auto"/>
              <w:ind w:firstLine="0" w:firstLineChars="0"/>
              <w:jc w:val="center"/>
              <w:rPr>
                <w:rFonts w:cs="Times New Roman"/>
                <w:sz w:val="21"/>
                <w:szCs w:val="21"/>
              </w:rPr>
            </w:pPr>
            <w:r>
              <w:rPr>
                <w:rFonts w:hint="eastAsia" w:cs="Times New Roman"/>
                <w:sz w:val="21"/>
                <w:szCs w:val="21"/>
              </w:rPr>
              <w:t>31.648478</w:t>
            </w:r>
          </w:p>
        </w:tc>
        <w:tc>
          <w:tcPr>
            <w:tcW w:w="1080" w:type="dxa"/>
            <w:noWrap/>
            <w:vAlign w:val="center"/>
          </w:tcPr>
          <w:p w14:paraId="3EB369F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3F93A5A">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96502E2">
            <w:pPr>
              <w:spacing w:line="240" w:lineRule="auto"/>
              <w:ind w:firstLine="0" w:firstLineChars="0"/>
              <w:jc w:val="center"/>
              <w:rPr>
                <w:rFonts w:cs="Times New Roman"/>
                <w:sz w:val="21"/>
                <w:szCs w:val="21"/>
              </w:rPr>
            </w:pPr>
          </w:p>
        </w:tc>
        <w:tc>
          <w:tcPr>
            <w:tcW w:w="1168" w:type="dxa"/>
            <w:noWrap/>
            <w:vAlign w:val="center"/>
          </w:tcPr>
          <w:p w14:paraId="7089FB80">
            <w:pPr>
              <w:spacing w:line="240" w:lineRule="auto"/>
              <w:ind w:firstLine="0" w:firstLineChars="0"/>
              <w:jc w:val="center"/>
              <w:rPr>
                <w:rFonts w:cs="Times New Roman"/>
                <w:sz w:val="21"/>
                <w:szCs w:val="21"/>
              </w:rPr>
            </w:pPr>
            <w:r>
              <w:rPr>
                <w:rFonts w:hint="eastAsia" w:cs="Times New Roman"/>
                <w:sz w:val="21"/>
                <w:szCs w:val="21"/>
              </w:rPr>
              <w:t>约100</w:t>
            </w:r>
          </w:p>
        </w:tc>
      </w:tr>
      <w:tr w14:paraId="70618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1DEAE78">
            <w:pPr>
              <w:pStyle w:val="39"/>
              <w:numPr>
                <w:ilvl w:val="0"/>
                <w:numId w:val="7"/>
              </w:numPr>
              <w:spacing w:line="240" w:lineRule="auto"/>
              <w:ind w:firstLineChars="0"/>
              <w:jc w:val="center"/>
              <w:rPr>
                <w:rFonts w:cs="Times New Roman"/>
                <w:sz w:val="21"/>
                <w:szCs w:val="21"/>
              </w:rPr>
            </w:pPr>
          </w:p>
        </w:tc>
        <w:tc>
          <w:tcPr>
            <w:tcW w:w="992" w:type="dxa"/>
            <w:noWrap/>
            <w:vAlign w:val="center"/>
          </w:tcPr>
          <w:p w14:paraId="3D7338C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33FA4A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007CFE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A67AC20">
            <w:pPr>
              <w:spacing w:line="240" w:lineRule="auto"/>
              <w:ind w:firstLine="0" w:firstLineChars="0"/>
              <w:jc w:val="center"/>
              <w:rPr>
                <w:rFonts w:cs="Times New Roman"/>
                <w:sz w:val="21"/>
                <w:szCs w:val="21"/>
              </w:rPr>
            </w:pPr>
            <w:r>
              <w:rPr>
                <w:rFonts w:hint="eastAsia" w:cs="Times New Roman"/>
                <w:sz w:val="21"/>
                <w:szCs w:val="21"/>
              </w:rPr>
              <w:t>涧南</w:t>
            </w:r>
          </w:p>
        </w:tc>
        <w:tc>
          <w:tcPr>
            <w:tcW w:w="1701" w:type="dxa"/>
            <w:noWrap/>
            <w:vAlign w:val="center"/>
          </w:tcPr>
          <w:p w14:paraId="30B5C77F">
            <w:pPr>
              <w:spacing w:line="240" w:lineRule="auto"/>
              <w:ind w:firstLine="0" w:firstLineChars="0"/>
              <w:jc w:val="center"/>
              <w:rPr>
                <w:rFonts w:cs="Times New Roman"/>
                <w:sz w:val="21"/>
                <w:szCs w:val="21"/>
              </w:rPr>
            </w:pPr>
            <w:r>
              <w:rPr>
                <w:rFonts w:hint="eastAsia" w:cs="Times New Roman"/>
                <w:sz w:val="21"/>
                <w:szCs w:val="21"/>
              </w:rPr>
              <w:t>119.398957</w:t>
            </w:r>
          </w:p>
        </w:tc>
        <w:tc>
          <w:tcPr>
            <w:tcW w:w="1690" w:type="dxa"/>
            <w:noWrap/>
            <w:vAlign w:val="center"/>
          </w:tcPr>
          <w:p w14:paraId="784BD04E">
            <w:pPr>
              <w:spacing w:line="240" w:lineRule="auto"/>
              <w:ind w:firstLine="0" w:firstLineChars="0"/>
              <w:jc w:val="center"/>
              <w:rPr>
                <w:rFonts w:cs="Times New Roman"/>
                <w:sz w:val="21"/>
                <w:szCs w:val="21"/>
              </w:rPr>
            </w:pPr>
            <w:r>
              <w:rPr>
                <w:rFonts w:hint="eastAsia" w:cs="Times New Roman"/>
                <w:sz w:val="21"/>
                <w:szCs w:val="21"/>
              </w:rPr>
              <w:t>31.64553</w:t>
            </w:r>
          </w:p>
        </w:tc>
        <w:tc>
          <w:tcPr>
            <w:tcW w:w="1080" w:type="dxa"/>
            <w:noWrap/>
            <w:vAlign w:val="center"/>
          </w:tcPr>
          <w:p w14:paraId="4BA6951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2E281A1">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5B585957">
            <w:pPr>
              <w:spacing w:line="240" w:lineRule="auto"/>
              <w:ind w:firstLine="0" w:firstLineChars="0"/>
              <w:jc w:val="center"/>
              <w:rPr>
                <w:rFonts w:cs="Times New Roman"/>
                <w:sz w:val="21"/>
                <w:szCs w:val="21"/>
              </w:rPr>
            </w:pPr>
          </w:p>
        </w:tc>
        <w:tc>
          <w:tcPr>
            <w:tcW w:w="1168" w:type="dxa"/>
            <w:noWrap/>
            <w:vAlign w:val="center"/>
          </w:tcPr>
          <w:p w14:paraId="51DD549B">
            <w:pPr>
              <w:spacing w:line="240" w:lineRule="auto"/>
              <w:ind w:firstLine="0" w:firstLineChars="0"/>
              <w:jc w:val="center"/>
              <w:rPr>
                <w:rFonts w:cs="Times New Roman"/>
                <w:sz w:val="21"/>
                <w:szCs w:val="21"/>
              </w:rPr>
            </w:pPr>
            <w:r>
              <w:rPr>
                <w:rFonts w:hint="eastAsia" w:cs="Times New Roman"/>
                <w:sz w:val="21"/>
                <w:szCs w:val="21"/>
              </w:rPr>
              <w:t>约30</w:t>
            </w:r>
          </w:p>
        </w:tc>
      </w:tr>
      <w:tr w14:paraId="36C7A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5F92163">
            <w:pPr>
              <w:pStyle w:val="39"/>
              <w:numPr>
                <w:ilvl w:val="0"/>
                <w:numId w:val="7"/>
              </w:numPr>
              <w:spacing w:line="240" w:lineRule="auto"/>
              <w:ind w:firstLineChars="0"/>
              <w:jc w:val="center"/>
              <w:rPr>
                <w:rFonts w:cs="Times New Roman"/>
                <w:sz w:val="21"/>
                <w:szCs w:val="21"/>
              </w:rPr>
            </w:pPr>
          </w:p>
        </w:tc>
        <w:tc>
          <w:tcPr>
            <w:tcW w:w="992" w:type="dxa"/>
            <w:noWrap/>
            <w:vAlign w:val="center"/>
          </w:tcPr>
          <w:p w14:paraId="4B3DC22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D98C78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D6600C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4F0CBF6">
            <w:pPr>
              <w:spacing w:line="240" w:lineRule="auto"/>
              <w:ind w:firstLine="0" w:firstLineChars="0"/>
              <w:jc w:val="center"/>
              <w:rPr>
                <w:rFonts w:cs="Times New Roman"/>
                <w:sz w:val="21"/>
                <w:szCs w:val="21"/>
              </w:rPr>
            </w:pPr>
            <w:r>
              <w:rPr>
                <w:rFonts w:hint="eastAsia" w:cs="Times New Roman"/>
                <w:sz w:val="21"/>
                <w:szCs w:val="21"/>
              </w:rPr>
              <w:t>苗圃</w:t>
            </w:r>
          </w:p>
        </w:tc>
        <w:tc>
          <w:tcPr>
            <w:tcW w:w="1701" w:type="dxa"/>
            <w:noWrap/>
            <w:vAlign w:val="center"/>
          </w:tcPr>
          <w:p w14:paraId="34376AF0">
            <w:pPr>
              <w:spacing w:line="240" w:lineRule="auto"/>
              <w:ind w:firstLine="0" w:firstLineChars="0"/>
              <w:jc w:val="center"/>
              <w:rPr>
                <w:rFonts w:cs="Times New Roman"/>
                <w:sz w:val="21"/>
                <w:szCs w:val="21"/>
              </w:rPr>
            </w:pPr>
            <w:r>
              <w:rPr>
                <w:rFonts w:hint="eastAsia" w:cs="Times New Roman"/>
                <w:sz w:val="21"/>
                <w:szCs w:val="21"/>
              </w:rPr>
              <w:t>119.369192</w:t>
            </w:r>
          </w:p>
        </w:tc>
        <w:tc>
          <w:tcPr>
            <w:tcW w:w="1690" w:type="dxa"/>
            <w:noWrap/>
            <w:vAlign w:val="center"/>
          </w:tcPr>
          <w:p w14:paraId="07194474">
            <w:pPr>
              <w:spacing w:line="240" w:lineRule="auto"/>
              <w:ind w:firstLine="0" w:firstLineChars="0"/>
              <w:jc w:val="center"/>
              <w:rPr>
                <w:rFonts w:cs="Times New Roman"/>
                <w:sz w:val="21"/>
                <w:szCs w:val="21"/>
              </w:rPr>
            </w:pPr>
            <w:r>
              <w:rPr>
                <w:rFonts w:hint="eastAsia" w:cs="Times New Roman"/>
                <w:sz w:val="21"/>
                <w:szCs w:val="21"/>
              </w:rPr>
              <w:t>31.642987</w:t>
            </w:r>
          </w:p>
        </w:tc>
        <w:tc>
          <w:tcPr>
            <w:tcW w:w="1080" w:type="dxa"/>
            <w:noWrap/>
            <w:vAlign w:val="center"/>
          </w:tcPr>
          <w:p w14:paraId="27BCD9F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C25FB51">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42F9299">
            <w:pPr>
              <w:spacing w:line="240" w:lineRule="auto"/>
              <w:ind w:firstLine="0" w:firstLineChars="0"/>
              <w:jc w:val="center"/>
              <w:rPr>
                <w:rFonts w:cs="Times New Roman"/>
                <w:sz w:val="21"/>
                <w:szCs w:val="21"/>
              </w:rPr>
            </w:pPr>
          </w:p>
        </w:tc>
        <w:tc>
          <w:tcPr>
            <w:tcW w:w="1168" w:type="dxa"/>
            <w:noWrap/>
            <w:vAlign w:val="center"/>
          </w:tcPr>
          <w:p w14:paraId="6C448964">
            <w:pPr>
              <w:spacing w:line="240" w:lineRule="auto"/>
              <w:ind w:firstLine="0" w:firstLineChars="0"/>
              <w:jc w:val="center"/>
              <w:rPr>
                <w:rFonts w:cs="Times New Roman"/>
                <w:sz w:val="21"/>
                <w:szCs w:val="21"/>
              </w:rPr>
            </w:pPr>
            <w:r>
              <w:rPr>
                <w:rFonts w:hint="eastAsia" w:cs="Times New Roman"/>
                <w:sz w:val="21"/>
                <w:szCs w:val="21"/>
              </w:rPr>
              <w:t>约30</w:t>
            </w:r>
          </w:p>
        </w:tc>
      </w:tr>
      <w:tr w14:paraId="187A7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98BC336">
            <w:pPr>
              <w:pStyle w:val="39"/>
              <w:numPr>
                <w:ilvl w:val="0"/>
                <w:numId w:val="7"/>
              </w:numPr>
              <w:spacing w:line="240" w:lineRule="auto"/>
              <w:ind w:firstLineChars="0"/>
              <w:jc w:val="center"/>
              <w:rPr>
                <w:rFonts w:cs="Times New Roman"/>
                <w:sz w:val="21"/>
                <w:szCs w:val="21"/>
              </w:rPr>
            </w:pPr>
          </w:p>
        </w:tc>
        <w:tc>
          <w:tcPr>
            <w:tcW w:w="992" w:type="dxa"/>
            <w:noWrap/>
            <w:vAlign w:val="center"/>
          </w:tcPr>
          <w:p w14:paraId="79DE20A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FDB4E4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1939D4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E55E6C3">
            <w:pPr>
              <w:spacing w:line="240" w:lineRule="auto"/>
              <w:ind w:firstLine="0" w:firstLineChars="0"/>
              <w:jc w:val="center"/>
              <w:rPr>
                <w:rFonts w:cs="Times New Roman"/>
                <w:sz w:val="21"/>
                <w:szCs w:val="21"/>
              </w:rPr>
            </w:pPr>
            <w:r>
              <w:rPr>
                <w:rFonts w:hint="eastAsia" w:cs="Times New Roman"/>
                <w:sz w:val="21"/>
                <w:szCs w:val="21"/>
              </w:rPr>
              <w:t>中竹棵</w:t>
            </w:r>
          </w:p>
        </w:tc>
        <w:tc>
          <w:tcPr>
            <w:tcW w:w="1701" w:type="dxa"/>
            <w:noWrap/>
            <w:vAlign w:val="center"/>
          </w:tcPr>
          <w:p w14:paraId="4457DB80">
            <w:pPr>
              <w:spacing w:line="240" w:lineRule="auto"/>
              <w:ind w:firstLine="0" w:firstLineChars="0"/>
              <w:jc w:val="center"/>
              <w:rPr>
                <w:rFonts w:cs="Times New Roman"/>
                <w:sz w:val="21"/>
                <w:szCs w:val="21"/>
              </w:rPr>
            </w:pPr>
            <w:r>
              <w:rPr>
                <w:rFonts w:hint="eastAsia" w:cs="Times New Roman"/>
                <w:sz w:val="21"/>
                <w:szCs w:val="21"/>
              </w:rPr>
              <w:t>119.34186</w:t>
            </w:r>
          </w:p>
        </w:tc>
        <w:tc>
          <w:tcPr>
            <w:tcW w:w="1690" w:type="dxa"/>
            <w:noWrap/>
            <w:vAlign w:val="center"/>
          </w:tcPr>
          <w:p w14:paraId="58994D95">
            <w:pPr>
              <w:spacing w:line="240" w:lineRule="auto"/>
              <w:ind w:firstLine="0" w:firstLineChars="0"/>
              <w:jc w:val="center"/>
              <w:rPr>
                <w:rFonts w:cs="Times New Roman"/>
                <w:sz w:val="21"/>
                <w:szCs w:val="21"/>
              </w:rPr>
            </w:pPr>
            <w:r>
              <w:rPr>
                <w:rFonts w:hint="eastAsia" w:cs="Times New Roman"/>
                <w:sz w:val="21"/>
                <w:szCs w:val="21"/>
              </w:rPr>
              <w:t>31.704681</w:t>
            </w:r>
          </w:p>
        </w:tc>
        <w:tc>
          <w:tcPr>
            <w:tcW w:w="1080" w:type="dxa"/>
            <w:noWrap/>
            <w:vAlign w:val="center"/>
          </w:tcPr>
          <w:p w14:paraId="752ABA0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63C8B50">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CA52D25">
            <w:pPr>
              <w:spacing w:line="240" w:lineRule="auto"/>
              <w:ind w:firstLine="0" w:firstLineChars="0"/>
              <w:jc w:val="center"/>
              <w:rPr>
                <w:rFonts w:cs="Times New Roman"/>
                <w:sz w:val="21"/>
                <w:szCs w:val="21"/>
              </w:rPr>
            </w:pPr>
          </w:p>
        </w:tc>
        <w:tc>
          <w:tcPr>
            <w:tcW w:w="1168" w:type="dxa"/>
            <w:noWrap/>
            <w:vAlign w:val="center"/>
          </w:tcPr>
          <w:p w14:paraId="64ABD060">
            <w:pPr>
              <w:spacing w:line="240" w:lineRule="auto"/>
              <w:ind w:firstLine="0" w:firstLineChars="0"/>
              <w:jc w:val="center"/>
              <w:rPr>
                <w:rFonts w:cs="Times New Roman"/>
                <w:sz w:val="21"/>
                <w:szCs w:val="21"/>
              </w:rPr>
            </w:pPr>
            <w:r>
              <w:rPr>
                <w:rFonts w:hint="eastAsia" w:cs="Times New Roman"/>
                <w:sz w:val="21"/>
                <w:szCs w:val="21"/>
              </w:rPr>
              <w:t>约100</w:t>
            </w:r>
          </w:p>
        </w:tc>
      </w:tr>
      <w:tr w14:paraId="401E8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453744E">
            <w:pPr>
              <w:pStyle w:val="39"/>
              <w:numPr>
                <w:ilvl w:val="0"/>
                <w:numId w:val="7"/>
              </w:numPr>
              <w:spacing w:line="240" w:lineRule="auto"/>
              <w:ind w:firstLineChars="0"/>
              <w:jc w:val="center"/>
              <w:rPr>
                <w:rFonts w:cs="Times New Roman"/>
                <w:sz w:val="21"/>
                <w:szCs w:val="21"/>
              </w:rPr>
            </w:pPr>
          </w:p>
        </w:tc>
        <w:tc>
          <w:tcPr>
            <w:tcW w:w="992" w:type="dxa"/>
            <w:noWrap/>
            <w:vAlign w:val="center"/>
          </w:tcPr>
          <w:p w14:paraId="434E06C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921242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1748DD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8BF634C">
            <w:pPr>
              <w:spacing w:line="240" w:lineRule="auto"/>
              <w:ind w:firstLine="0" w:firstLineChars="0"/>
              <w:jc w:val="center"/>
              <w:rPr>
                <w:rFonts w:cs="Times New Roman"/>
                <w:sz w:val="21"/>
                <w:szCs w:val="21"/>
              </w:rPr>
            </w:pPr>
            <w:r>
              <w:rPr>
                <w:rFonts w:hint="eastAsia" w:cs="Times New Roman"/>
                <w:sz w:val="21"/>
                <w:szCs w:val="21"/>
              </w:rPr>
              <w:t>凤凰嘴</w:t>
            </w:r>
          </w:p>
        </w:tc>
        <w:tc>
          <w:tcPr>
            <w:tcW w:w="1701" w:type="dxa"/>
            <w:noWrap/>
            <w:vAlign w:val="center"/>
          </w:tcPr>
          <w:p w14:paraId="418F1FB4">
            <w:pPr>
              <w:spacing w:line="240" w:lineRule="auto"/>
              <w:ind w:firstLine="0" w:firstLineChars="0"/>
              <w:jc w:val="center"/>
              <w:rPr>
                <w:rFonts w:cs="Times New Roman"/>
                <w:sz w:val="21"/>
                <w:szCs w:val="21"/>
              </w:rPr>
            </w:pPr>
            <w:r>
              <w:rPr>
                <w:rFonts w:hint="eastAsia" w:cs="Times New Roman"/>
                <w:sz w:val="21"/>
                <w:szCs w:val="21"/>
              </w:rPr>
              <w:t>119.37185</w:t>
            </w:r>
          </w:p>
        </w:tc>
        <w:tc>
          <w:tcPr>
            <w:tcW w:w="1690" w:type="dxa"/>
            <w:noWrap/>
            <w:vAlign w:val="center"/>
          </w:tcPr>
          <w:p w14:paraId="469BB005">
            <w:pPr>
              <w:spacing w:line="240" w:lineRule="auto"/>
              <w:ind w:firstLine="0" w:firstLineChars="0"/>
              <w:jc w:val="center"/>
              <w:rPr>
                <w:rFonts w:cs="Times New Roman"/>
                <w:sz w:val="21"/>
                <w:szCs w:val="21"/>
              </w:rPr>
            </w:pPr>
            <w:r>
              <w:rPr>
                <w:rFonts w:hint="eastAsia" w:cs="Times New Roman"/>
                <w:sz w:val="21"/>
                <w:szCs w:val="21"/>
              </w:rPr>
              <w:t>31.768717</w:t>
            </w:r>
          </w:p>
        </w:tc>
        <w:tc>
          <w:tcPr>
            <w:tcW w:w="1080" w:type="dxa"/>
            <w:noWrap/>
            <w:vAlign w:val="center"/>
          </w:tcPr>
          <w:p w14:paraId="7F893FA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860821B">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BB36158">
            <w:pPr>
              <w:spacing w:line="240" w:lineRule="auto"/>
              <w:ind w:firstLine="0" w:firstLineChars="0"/>
              <w:jc w:val="center"/>
              <w:rPr>
                <w:rFonts w:cs="Times New Roman"/>
                <w:sz w:val="21"/>
                <w:szCs w:val="21"/>
              </w:rPr>
            </w:pPr>
          </w:p>
        </w:tc>
        <w:tc>
          <w:tcPr>
            <w:tcW w:w="1168" w:type="dxa"/>
            <w:noWrap/>
            <w:vAlign w:val="center"/>
          </w:tcPr>
          <w:p w14:paraId="3F9B6A67">
            <w:pPr>
              <w:spacing w:line="240" w:lineRule="auto"/>
              <w:ind w:firstLine="0" w:firstLineChars="0"/>
              <w:jc w:val="center"/>
              <w:rPr>
                <w:rFonts w:cs="Times New Roman"/>
                <w:sz w:val="21"/>
                <w:szCs w:val="21"/>
              </w:rPr>
            </w:pPr>
            <w:r>
              <w:rPr>
                <w:rFonts w:hint="eastAsia" w:cs="Times New Roman"/>
                <w:sz w:val="21"/>
                <w:szCs w:val="21"/>
              </w:rPr>
              <w:t>约50</w:t>
            </w:r>
          </w:p>
        </w:tc>
      </w:tr>
      <w:tr w14:paraId="0F74E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7D70A19">
            <w:pPr>
              <w:pStyle w:val="39"/>
              <w:numPr>
                <w:ilvl w:val="0"/>
                <w:numId w:val="7"/>
              </w:numPr>
              <w:spacing w:line="240" w:lineRule="auto"/>
              <w:ind w:firstLineChars="0"/>
              <w:jc w:val="center"/>
              <w:rPr>
                <w:rFonts w:cs="Times New Roman"/>
                <w:sz w:val="21"/>
                <w:szCs w:val="21"/>
              </w:rPr>
            </w:pPr>
          </w:p>
        </w:tc>
        <w:tc>
          <w:tcPr>
            <w:tcW w:w="992" w:type="dxa"/>
            <w:noWrap/>
            <w:vAlign w:val="center"/>
          </w:tcPr>
          <w:p w14:paraId="26968C8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1A21CC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721BCC4">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E74A37C">
            <w:pPr>
              <w:spacing w:line="240" w:lineRule="auto"/>
              <w:ind w:firstLine="0" w:firstLineChars="0"/>
              <w:jc w:val="center"/>
              <w:rPr>
                <w:rFonts w:cs="Times New Roman"/>
                <w:sz w:val="21"/>
                <w:szCs w:val="21"/>
              </w:rPr>
            </w:pPr>
            <w:r>
              <w:rPr>
                <w:rFonts w:hint="eastAsia" w:cs="Times New Roman"/>
                <w:sz w:val="21"/>
                <w:szCs w:val="21"/>
              </w:rPr>
              <w:t>花谷奇缘旅游景区</w:t>
            </w:r>
          </w:p>
        </w:tc>
        <w:tc>
          <w:tcPr>
            <w:tcW w:w="1701" w:type="dxa"/>
            <w:noWrap/>
            <w:vAlign w:val="center"/>
          </w:tcPr>
          <w:p w14:paraId="57355035">
            <w:pPr>
              <w:spacing w:line="240" w:lineRule="auto"/>
              <w:ind w:firstLine="0" w:firstLineChars="0"/>
              <w:jc w:val="center"/>
              <w:rPr>
                <w:rFonts w:cs="Times New Roman"/>
                <w:sz w:val="21"/>
                <w:szCs w:val="21"/>
              </w:rPr>
            </w:pPr>
            <w:r>
              <w:rPr>
                <w:rFonts w:hint="eastAsia" w:cs="Times New Roman"/>
                <w:sz w:val="21"/>
                <w:szCs w:val="21"/>
              </w:rPr>
              <w:t>119.314416</w:t>
            </w:r>
          </w:p>
        </w:tc>
        <w:tc>
          <w:tcPr>
            <w:tcW w:w="1690" w:type="dxa"/>
            <w:noWrap/>
            <w:vAlign w:val="center"/>
          </w:tcPr>
          <w:p w14:paraId="723E91BB">
            <w:pPr>
              <w:spacing w:line="240" w:lineRule="auto"/>
              <w:ind w:firstLine="0" w:firstLineChars="0"/>
              <w:jc w:val="center"/>
              <w:rPr>
                <w:rFonts w:cs="Times New Roman"/>
                <w:sz w:val="21"/>
                <w:szCs w:val="21"/>
              </w:rPr>
            </w:pPr>
            <w:r>
              <w:rPr>
                <w:rFonts w:hint="eastAsia" w:cs="Times New Roman"/>
                <w:sz w:val="21"/>
                <w:szCs w:val="21"/>
              </w:rPr>
              <w:t>31.733082</w:t>
            </w:r>
          </w:p>
        </w:tc>
        <w:tc>
          <w:tcPr>
            <w:tcW w:w="1080" w:type="dxa"/>
            <w:noWrap/>
            <w:vAlign w:val="center"/>
          </w:tcPr>
          <w:p w14:paraId="387872BD">
            <w:pPr>
              <w:spacing w:line="240" w:lineRule="auto"/>
              <w:ind w:firstLine="0" w:firstLineChars="0"/>
              <w:jc w:val="center"/>
              <w:rPr>
                <w:rFonts w:cs="Times New Roman"/>
                <w:sz w:val="21"/>
                <w:szCs w:val="21"/>
              </w:rPr>
            </w:pPr>
            <w:r>
              <w:rPr>
                <w:rFonts w:hint="eastAsia" w:cs="Times New Roman"/>
                <w:sz w:val="21"/>
                <w:szCs w:val="21"/>
              </w:rPr>
              <w:t>游客</w:t>
            </w:r>
          </w:p>
        </w:tc>
        <w:tc>
          <w:tcPr>
            <w:tcW w:w="702" w:type="dxa"/>
            <w:noWrap/>
            <w:vAlign w:val="center"/>
          </w:tcPr>
          <w:p w14:paraId="6FBF4FD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E3FC5CF">
            <w:pPr>
              <w:spacing w:line="240" w:lineRule="auto"/>
              <w:ind w:firstLine="0" w:firstLineChars="0"/>
              <w:jc w:val="center"/>
              <w:rPr>
                <w:rFonts w:cs="Times New Roman"/>
                <w:sz w:val="21"/>
                <w:szCs w:val="21"/>
              </w:rPr>
            </w:pPr>
          </w:p>
        </w:tc>
        <w:tc>
          <w:tcPr>
            <w:tcW w:w="1168" w:type="dxa"/>
            <w:noWrap/>
            <w:vAlign w:val="center"/>
          </w:tcPr>
          <w:p w14:paraId="5BC03B69">
            <w:pPr>
              <w:spacing w:line="240" w:lineRule="auto"/>
              <w:ind w:firstLine="0" w:firstLineChars="0"/>
              <w:jc w:val="center"/>
              <w:rPr>
                <w:rFonts w:cs="Times New Roman"/>
                <w:sz w:val="21"/>
                <w:szCs w:val="21"/>
              </w:rPr>
            </w:pPr>
            <w:r>
              <w:rPr>
                <w:rFonts w:hint="eastAsia" w:cs="Times New Roman"/>
                <w:sz w:val="21"/>
                <w:szCs w:val="21"/>
              </w:rPr>
              <w:t>/</w:t>
            </w:r>
          </w:p>
        </w:tc>
      </w:tr>
      <w:tr w14:paraId="2586F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1418731">
            <w:pPr>
              <w:pStyle w:val="39"/>
              <w:numPr>
                <w:ilvl w:val="0"/>
                <w:numId w:val="7"/>
              </w:numPr>
              <w:spacing w:line="240" w:lineRule="auto"/>
              <w:ind w:firstLineChars="0"/>
              <w:jc w:val="center"/>
              <w:rPr>
                <w:rFonts w:cs="Times New Roman"/>
                <w:sz w:val="21"/>
                <w:szCs w:val="21"/>
              </w:rPr>
            </w:pPr>
          </w:p>
        </w:tc>
        <w:tc>
          <w:tcPr>
            <w:tcW w:w="992" w:type="dxa"/>
            <w:noWrap/>
            <w:vAlign w:val="center"/>
          </w:tcPr>
          <w:p w14:paraId="36DFA35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ED31C4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9D1DA5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B35B452">
            <w:pPr>
              <w:spacing w:line="240" w:lineRule="auto"/>
              <w:ind w:firstLine="0" w:firstLineChars="0"/>
              <w:jc w:val="center"/>
              <w:rPr>
                <w:rFonts w:cs="Times New Roman"/>
                <w:sz w:val="21"/>
                <w:szCs w:val="21"/>
              </w:rPr>
            </w:pPr>
            <w:r>
              <w:rPr>
                <w:rFonts w:hint="eastAsia" w:cs="Times New Roman"/>
                <w:sz w:val="21"/>
                <w:szCs w:val="21"/>
              </w:rPr>
              <w:t>美池温泉度假村</w:t>
            </w:r>
          </w:p>
        </w:tc>
        <w:tc>
          <w:tcPr>
            <w:tcW w:w="1701" w:type="dxa"/>
            <w:noWrap/>
            <w:vAlign w:val="center"/>
          </w:tcPr>
          <w:p w14:paraId="3AFAFB04">
            <w:pPr>
              <w:spacing w:line="240" w:lineRule="auto"/>
              <w:ind w:firstLine="0" w:firstLineChars="0"/>
              <w:jc w:val="center"/>
              <w:rPr>
                <w:rFonts w:cs="Times New Roman"/>
                <w:sz w:val="21"/>
                <w:szCs w:val="21"/>
              </w:rPr>
            </w:pPr>
            <w:r>
              <w:rPr>
                <w:rFonts w:hint="eastAsia" w:cs="Times New Roman"/>
                <w:sz w:val="21"/>
                <w:szCs w:val="21"/>
              </w:rPr>
              <w:t>119.325055</w:t>
            </w:r>
          </w:p>
        </w:tc>
        <w:tc>
          <w:tcPr>
            <w:tcW w:w="1690" w:type="dxa"/>
            <w:noWrap/>
            <w:vAlign w:val="center"/>
          </w:tcPr>
          <w:p w14:paraId="3892B3AF">
            <w:pPr>
              <w:spacing w:line="240" w:lineRule="auto"/>
              <w:ind w:firstLine="0" w:firstLineChars="0"/>
              <w:jc w:val="center"/>
              <w:rPr>
                <w:rFonts w:cs="Times New Roman"/>
                <w:sz w:val="21"/>
                <w:szCs w:val="21"/>
              </w:rPr>
            </w:pPr>
            <w:r>
              <w:rPr>
                <w:rFonts w:hint="eastAsia" w:cs="Times New Roman"/>
                <w:sz w:val="21"/>
                <w:szCs w:val="21"/>
              </w:rPr>
              <w:t>31.757602</w:t>
            </w:r>
          </w:p>
        </w:tc>
        <w:tc>
          <w:tcPr>
            <w:tcW w:w="1080" w:type="dxa"/>
            <w:noWrap/>
            <w:vAlign w:val="center"/>
          </w:tcPr>
          <w:p w14:paraId="5FB7C47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D2C93B6">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EB7146D">
            <w:pPr>
              <w:spacing w:line="240" w:lineRule="auto"/>
              <w:ind w:firstLine="0" w:firstLineChars="0"/>
              <w:jc w:val="center"/>
              <w:rPr>
                <w:rFonts w:cs="Times New Roman"/>
                <w:sz w:val="21"/>
                <w:szCs w:val="21"/>
              </w:rPr>
            </w:pPr>
          </w:p>
        </w:tc>
        <w:tc>
          <w:tcPr>
            <w:tcW w:w="1168" w:type="dxa"/>
            <w:noWrap/>
            <w:vAlign w:val="center"/>
          </w:tcPr>
          <w:p w14:paraId="685CB87C">
            <w:pPr>
              <w:spacing w:line="240" w:lineRule="auto"/>
              <w:ind w:firstLine="0" w:firstLineChars="0"/>
              <w:jc w:val="center"/>
              <w:rPr>
                <w:rFonts w:cs="Times New Roman"/>
                <w:sz w:val="21"/>
                <w:szCs w:val="21"/>
              </w:rPr>
            </w:pPr>
            <w:r>
              <w:rPr>
                <w:rFonts w:hint="eastAsia" w:cs="Times New Roman"/>
                <w:sz w:val="21"/>
                <w:szCs w:val="21"/>
              </w:rPr>
              <w:t>约50</w:t>
            </w:r>
          </w:p>
        </w:tc>
      </w:tr>
      <w:tr w14:paraId="539B1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D797D79">
            <w:pPr>
              <w:pStyle w:val="39"/>
              <w:numPr>
                <w:ilvl w:val="0"/>
                <w:numId w:val="7"/>
              </w:numPr>
              <w:spacing w:line="240" w:lineRule="auto"/>
              <w:ind w:firstLineChars="0"/>
              <w:jc w:val="center"/>
              <w:rPr>
                <w:rFonts w:cs="Times New Roman"/>
                <w:sz w:val="21"/>
                <w:szCs w:val="21"/>
              </w:rPr>
            </w:pPr>
          </w:p>
        </w:tc>
        <w:tc>
          <w:tcPr>
            <w:tcW w:w="992" w:type="dxa"/>
            <w:noWrap/>
            <w:vAlign w:val="center"/>
          </w:tcPr>
          <w:p w14:paraId="1724DD1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5D3CCA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1B4183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4D3CE67">
            <w:pPr>
              <w:spacing w:line="240" w:lineRule="auto"/>
              <w:ind w:firstLine="0" w:firstLineChars="0"/>
              <w:jc w:val="center"/>
              <w:rPr>
                <w:rFonts w:cs="Times New Roman"/>
                <w:sz w:val="21"/>
                <w:szCs w:val="21"/>
              </w:rPr>
            </w:pPr>
            <w:r>
              <w:rPr>
                <w:rFonts w:hint="eastAsia" w:cs="Times New Roman"/>
                <w:sz w:val="21"/>
                <w:szCs w:val="21"/>
              </w:rPr>
              <w:t>东石桥</w:t>
            </w:r>
          </w:p>
        </w:tc>
        <w:tc>
          <w:tcPr>
            <w:tcW w:w="1701" w:type="dxa"/>
            <w:noWrap/>
            <w:vAlign w:val="center"/>
          </w:tcPr>
          <w:p w14:paraId="7D9E88FC">
            <w:pPr>
              <w:spacing w:line="240" w:lineRule="auto"/>
              <w:ind w:firstLine="0" w:firstLineChars="0"/>
              <w:jc w:val="center"/>
              <w:rPr>
                <w:rFonts w:cs="Times New Roman"/>
                <w:sz w:val="21"/>
                <w:szCs w:val="21"/>
              </w:rPr>
            </w:pPr>
            <w:r>
              <w:rPr>
                <w:rFonts w:hint="eastAsia" w:cs="Times New Roman"/>
                <w:sz w:val="21"/>
                <w:szCs w:val="21"/>
              </w:rPr>
              <w:t>119.376764</w:t>
            </w:r>
          </w:p>
        </w:tc>
        <w:tc>
          <w:tcPr>
            <w:tcW w:w="1690" w:type="dxa"/>
            <w:noWrap/>
            <w:vAlign w:val="center"/>
          </w:tcPr>
          <w:p w14:paraId="5F5A54F7">
            <w:pPr>
              <w:spacing w:line="240" w:lineRule="auto"/>
              <w:ind w:firstLine="0" w:firstLineChars="0"/>
              <w:jc w:val="center"/>
              <w:rPr>
                <w:rFonts w:cs="Times New Roman"/>
                <w:sz w:val="21"/>
                <w:szCs w:val="21"/>
              </w:rPr>
            </w:pPr>
            <w:r>
              <w:rPr>
                <w:rFonts w:hint="eastAsia" w:cs="Times New Roman"/>
                <w:sz w:val="21"/>
                <w:szCs w:val="21"/>
              </w:rPr>
              <w:t>31.82199</w:t>
            </w:r>
          </w:p>
        </w:tc>
        <w:tc>
          <w:tcPr>
            <w:tcW w:w="1080" w:type="dxa"/>
            <w:noWrap/>
            <w:vAlign w:val="center"/>
          </w:tcPr>
          <w:p w14:paraId="61DB581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D5D6C31">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55717A60">
            <w:pPr>
              <w:spacing w:line="240" w:lineRule="auto"/>
              <w:ind w:firstLine="0" w:firstLineChars="0"/>
              <w:jc w:val="center"/>
              <w:rPr>
                <w:rFonts w:cs="Times New Roman"/>
                <w:sz w:val="21"/>
                <w:szCs w:val="21"/>
              </w:rPr>
            </w:pPr>
          </w:p>
        </w:tc>
        <w:tc>
          <w:tcPr>
            <w:tcW w:w="1168" w:type="dxa"/>
            <w:noWrap/>
            <w:vAlign w:val="center"/>
          </w:tcPr>
          <w:p w14:paraId="4F07E00B">
            <w:pPr>
              <w:spacing w:line="240" w:lineRule="auto"/>
              <w:ind w:firstLine="0" w:firstLineChars="0"/>
              <w:jc w:val="center"/>
              <w:rPr>
                <w:rFonts w:cs="Times New Roman"/>
                <w:sz w:val="21"/>
                <w:szCs w:val="21"/>
              </w:rPr>
            </w:pPr>
            <w:r>
              <w:rPr>
                <w:rFonts w:hint="eastAsia" w:cs="Times New Roman"/>
                <w:sz w:val="21"/>
                <w:szCs w:val="21"/>
              </w:rPr>
              <w:t>约30</w:t>
            </w:r>
          </w:p>
        </w:tc>
      </w:tr>
      <w:tr w14:paraId="0EDAD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C43FF8F">
            <w:pPr>
              <w:pStyle w:val="39"/>
              <w:numPr>
                <w:ilvl w:val="0"/>
                <w:numId w:val="7"/>
              </w:numPr>
              <w:spacing w:line="240" w:lineRule="auto"/>
              <w:ind w:firstLineChars="0"/>
              <w:jc w:val="center"/>
              <w:rPr>
                <w:rFonts w:cs="Times New Roman"/>
                <w:sz w:val="21"/>
                <w:szCs w:val="21"/>
              </w:rPr>
            </w:pPr>
          </w:p>
        </w:tc>
        <w:tc>
          <w:tcPr>
            <w:tcW w:w="992" w:type="dxa"/>
            <w:noWrap/>
            <w:vAlign w:val="center"/>
          </w:tcPr>
          <w:p w14:paraId="09BD8ED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317ADB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3B0FCA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B1ADF8A">
            <w:pPr>
              <w:spacing w:line="240" w:lineRule="auto"/>
              <w:ind w:firstLine="0" w:firstLineChars="0"/>
              <w:jc w:val="center"/>
              <w:rPr>
                <w:rFonts w:cs="Times New Roman"/>
                <w:sz w:val="21"/>
                <w:szCs w:val="21"/>
              </w:rPr>
            </w:pPr>
            <w:r>
              <w:rPr>
                <w:rFonts w:hint="eastAsia" w:cs="Times New Roman"/>
                <w:sz w:val="21"/>
                <w:szCs w:val="21"/>
              </w:rPr>
              <w:t>山蓬村</w:t>
            </w:r>
          </w:p>
        </w:tc>
        <w:tc>
          <w:tcPr>
            <w:tcW w:w="1701" w:type="dxa"/>
            <w:noWrap/>
            <w:vAlign w:val="center"/>
          </w:tcPr>
          <w:p w14:paraId="0D9CD1CB">
            <w:pPr>
              <w:spacing w:line="240" w:lineRule="auto"/>
              <w:ind w:firstLine="0" w:firstLineChars="0"/>
              <w:jc w:val="center"/>
              <w:rPr>
                <w:rFonts w:cs="Times New Roman"/>
                <w:sz w:val="21"/>
                <w:szCs w:val="21"/>
              </w:rPr>
            </w:pPr>
            <w:r>
              <w:rPr>
                <w:rFonts w:hint="eastAsia" w:cs="Times New Roman"/>
                <w:sz w:val="21"/>
                <w:szCs w:val="21"/>
              </w:rPr>
              <w:t>119.400266</w:t>
            </w:r>
          </w:p>
        </w:tc>
        <w:tc>
          <w:tcPr>
            <w:tcW w:w="1690" w:type="dxa"/>
            <w:noWrap/>
            <w:vAlign w:val="center"/>
          </w:tcPr>
          <w:p w14:paraId="13230B16">
            <w:pPr>
              <w:spacing w:line="240" w:lineRule="auto"/>
              <w:ind w:firstLine="0" w:firstLineChars="0"/>
              <w:jc w:val="center"/>
              <w:rPr>
                <w:rFonts w:cs="Times New Roman"/>
                <w:sz w:val="21"/>
                <w:szCs w:val="21"/>
              </w:rPr>
            </w:pPr>
            <w:r>
              <w:rPr>
                <w:rFonts w:hint="eastAsia" w:cs="Times New Roman"/>
                <w:sz w:val="21"/>
                <w:szCs w:val="21"/>
              </w:rPr>
              <w:t>31.635917</w:t>
            </w:r>
          </w:p>
        </w:tc>
        <w:tc>
          <w:tcPr>
            <w:tcW w:w="1080" w:type="dxa"/>
            <w:noWrap/>
            <w:vAlign w:val="center"/>
          </w:tcPr>
          <w:p w14:paraId="1799A54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6BAB156">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A73FCD2">
            <w:pPr>
              <w:spacing w:line="240" w:lineRule="auto"/>
              <w:ind w:firstLine="0" w:firstLineChars="0"/>
              <w:jc w:val="center"/>
              <w:rPr>
                <w:rFonts w:cs="Times New Roman"/>
                <w:sz w:val="21"/>
                <w:szCs w:val="21"/>
              </w:rPr>
            </w:pPr>
          </w:p>
        </w:tc>
        <w:tc>
          <w:tcPr>
            <w:tcW w:w="1168" w:type="dxa"/>
            <w:noWrap/>
            <w:vAlign w:val="center"/>
          </w:tcPr>
          <w:p w14:paraId="5767BD16">
            <w:pPr>
              <w:spacing w:line="240" w:lineRule="auto"/>
              <w:ind w:firstLine="0" w:firstLineChars="0"/>
              <w:jc w:val="center"/>
              <w:rPr>
                <w:rFonts w:cs="Times New Roman"/>
                <w:sz w:val="21"/>
                <w:szCs w:val="21"/>
              </w:rPr>
            </w:pPr>
            <w:r>
              <w:rPr>
                <w:rFonts w:hint="eastAsia" w:cs="Times New Roman"/>
                <w:sz w:val="21"/>
                <w:szCs w:val="21"/>
              </w:rPr>
              <w:t>约150</w:t>
            </w:r>
          </w:p>
        </w:tc>
      </w:tr>
      <w:tr w14:paraId="5C441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B31FAA3">
            <w:pPr>
              <w:pStyle w:val="39"/>
              <w:numPr>
                <w:ilvl w:val="0"/>
                <w:numId w:val="7"/>
              </w:numPr>
              <w:spacing w:line="240" w:lineRule="auto"/>
              <w:ind w:firstLineChars="0"/>
              <w:jc w:val="center"/>
              <w:rPr>
                <w:rFonts w:cs="Times New Roman"/>
                <w:sz w:val="21"/>
                <w:szCs w:val="21"/>
              </w:rPr>
            </w:pPr>
          </w:p>
        </w:tc>
        <w:tc>
          <w:tcPr>
            <w:tcW w:w="992" w:type="dxa"/>
            <w:noWrap/>
            <w:vAlign w:val="center"/>
          </w:tcPr>
          <w:p w14:paraId="431ECCE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C759CE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8B1CA7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F88F715">
            <w:pPr>
              <w:spacing w:line="240" w:lineRule="auto"/>
              <w:ind w:firstLine="0" w:firstLineChars="0"/>
              <w:jc w:val="center"/>
              <w:rPr>
                <w:rFonts w:cs="Times New Roman"/>
                <w:sz w:val="21"/>
                <w:szCs w:val="21"/>
              </w:rPr>
            </w:pPr>
            <w:r>
              <w:rPr>
                <w:rFonts w:hint="eastAsia" w:cs="Times New Roman"/>
                <w:sz w:val="21"/>
                <w:szCs w:val="21"/>
              </w:rPr>
              <w:t>焦家棚</w:t>
            </w:r>
          </w:p>
        </w:tc>
        <w:tc>
          <w:tcPr>
            <w:tcW w:w="1701" w:type="dxa"/>
            <w:noWrap/>
            <w:vAlign w:val="center"/>
          </w:tcPr>
          <w:p w14:paraId="195E3DA7">
            <w:pPr>
              <w:spacing w:line="240" w:lineRule="auto"/>
              <w:ind w:firstLine="0" w:firstLineChars="0"/>
              <w:jc w:val="center"/>
              <w:rPr>
                <w:rFonts w:cs="Times New Roman"/>
                <w:sz w:val="21"/>
                <w:szCs w:val="21"/>
              </w:rPr>
            </w:pPr>
            <w:r>
              <w:rPr>
                <w:rFonts w:hint="eastAsia" w:cs="Times New Roman"/>
                <w:sz w:val="21"/>
                <w:szCs w:val="21"/>
              </w:rPr>
              <w:t>119.374843</w:t>
            </w:r>
          </w:p>
        </w:tc>
        <w:tc>
          <w:tcPr>
            <w:tcW w:w="1690" w:type="dxa"/>
            <w:noWrap/>
            <w:vAlign w:val="center"/>
          </w:tcPr>
          <w:p w14:paraId="4C687E0A">
            <w:pPr>
              <w:spacing w:line="240" w:lineRule="auto"/>
              <w:ind w:firstLine="0" w:firstLineChars="0"/>
              <w:jc w:val="center"/>
              <w:rPr>
                <w:rFonts w:cs="Times New Roman"/>
                <w:sz w:val="21"/>
                <w:szCs w:val="21"/>
              </w:rPr>
            </w:pPr>
            <w:r>
              <w:rPr>
                <w:rFonts w:hint="eastAsia" w:cs="Times New Roman"/>
                <w:sz w:val="21"/>
                <w:szCs w:val="21"/>
              </w:rPr>
              <w:t>31.734712</w:t>
            </w:r>
          </w:p>
        </w:tc>
        <w:tc>
          <w:tcPr>
            <w:tcW w:w="1080" w:type="dxa"/>
            <w:noWrap/>
            <w:vAlign w:val="center"/>
          </w:tcPr>
          <w:p w14:paraId="016D0B9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559475C">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387B03D">
            <w:pPr>
              <w:spacing w:line="240" w:lineRule="auto"/>
              <w:ind w:firstLine="0" w:firstLineChars="0"/>
              <w:jc w:val="center"/>
              <w:rPr>
                <w:rFonts w:cs="Times New Roman"/>
                <w:sz w:val="21"/>
                <w:szCs w:val="21"/>
              </w:rPr>
            </w:pPr>
          </w:p>
        </w:tc>
        <w:tc>
          <w:tcPr>
            <w:tcW w:w="1168" w:type="dxa"/>
            <w:noWrap/>
            <w:vAlign w:val="center"/>
          </w:tcPr>
          <w:p w14:paraId="08A3BBAC">
            <w:pPr>
              <w:spacing w:line="240" w:lineRule="auto"/>
              <w:ind w:firstLine="0" w:firstLineChars="0"/>
              <w:jc w:val="center"/>
              <w:rPr>
                <w:rFonts w:cs="Times New Roman"/>
                <w:sz w:val="21"/>
                <w:szCs w:val="21"/>
              </w:rPr>
            </w:pPr>
            <w:r>
              <w:rPr>
                <w:rFonts w:hint="eastAsia" w:cs="Times New Roman"/>
                <w:sz w:val="21"/>
                <w:szCs w:val="21"/>
              </w:rPr>
              <w:t>约20</w:t>
            </w:r>
          </w:p>
        </w:tc>
      </w:tr>
      <w:tr w14:paraId="3A86F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55186FC">
            <w:pPr>
              <w:pStyle w:val="39"/>
              <w:numPr>
                <w:ilvl w:val="0"/>
                <w:numId w:val="7"/>
              </w:numPr>
              <w:spacing w:line="240" w:lineRule="auto"/>
              <w:ind w:firstLineChars="0"/>
              <w:jc w:val="center"/>
              <w:rPr>
                <w:rFonts w:cs="Times New Roman"/>
                <w:sz w:val="21"/>
                <w:szCs w:val="21"/>
              </w:rPr>
            </w:pPr>
          </w:p>
        </w:tc>
        <w:tc>
          <w:tcPr>
            <w:tcW w:w="992" w:type="dxa"/>
            <w:noWrap/>
            <w:vAlign w:val="center"/>
          </w:tcPr>
          <w:p w14:paraId="06CA1A7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FCA6A7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DA13C2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0E930F6">
            <w:pPr>
              <w:spacing w:line="240" w:lineRule="auto"/>
              <w:ind w:firstLine="0" w:firstLineChars="0"/>
              <w:jc w:val="center"/>
              <w:rPr>
                <w:rFonts w:cs="Times New Roman"/>
                <w:sz w:val="21"/>
                <w:szCs w:val="21"/>
              </w:rPr>
            </w:pPr>
            <w:r>
              <w:rPr>
                <w:rFonts w:hint="eastAsia" w:cs="Times New Roman"/>
                <w:sz w:val="21"/>
                <w:szCs w:val="21"/>
              </w:rPr>
              <w:t>龙家湾</w:t>
            </w:r>
          </w:p>
        </w:tc>
        <w:tc>
          <w:tcPr>
            <w:tcW w:w="1701" w:type="dxa"/>
            <w:noWrap/>
            <w:vAlign w:val="center"/>
          </w:tcPr>
          <w:p w14:paraId="30526B7C">
            <w:pPr>
              <w:spacing w:line="240" w:lineRule="auto"/>
              <w:ind w:firstLine="0" w:firstLineChars="0"/>
              <w:jc w:val="center"/>
              <w:rPr>
                <w:rFonts w:cs="Times New Roman"/>
                <w:sz w:val="21"/>
                <w:szCs w:val="21"/>
              </w:rPr>
            </w:pPr>
            <w:r>
              <w:rPr>
                <w:rFonts w:hint="eastAsia" w:cs="Times New Roman"/>
                <w:sz w:val="21"/>
                <w:szCs w:val="21"/>
              </w:rPr>
              <w:t>119.367543</w:t>
            </w:r>
          </w:p>
        </w:tc>
        <w:tc>
          <w:tcPr>
            <w:tcW w:w="1690" w:type="dxa"/>
            <w:noWrap/>
            <w:vAlign w:val="center"/>
          </w:tcPr>
          <w:p w14:paraId="3E7BD782">
            <w:pPr>
              <w:spacing w:line="240" w:lineRule="auto"/>
              <w:ind w:firstLine="0" w:firstLineChars="0"/>
              <w:jc w:val="center"/>
              <w:rPr>
                <w:rFonts w:cs="Times New Roman"/>
                <w:sz w:val="21"/>
                <w:szCs w:val="21"/>
              </w:rPr>
            </w:pPr>
            <w:r>
              <w:rPr>
                <w:rFonts w:hint="eastAsia" w:cs="Times New Roman"/>
                <w:sz w:val="21"/>
                <w:szCs w:val="21"/>
              </w:rPr>
              <w:t>31.638794</w:t>
            </w:r>
          </w:p>
        </w:tc>
        <w:tc>
          <w:tcPr>
            <w:tcW w:w="1080" w:type="dxa"/>
            <w:noWrap/>
            <w:vAlign w:val="center"/>
          </w:tcPr>
          <w:p w14:paraId="7C44F51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C0E41D6">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0EE36CDB">
            <w:pPr>
              <w:spacing w:line="240" w:lineRule="auto"/>
              <w:ind w:firstLine="0" w:firstLineChars="0"/>
              <w:jc w:val="center"/>
              <w:rPr>
                <w:rFonts w:cs="Times New Roman"/>
                <w:sz w:val="21"/>
                <w:szCs w:val="21"/>
              </w:rPr>
            </w:pPr>
          </w:p>
        </w:tc>
        <w:tc>
          <w:tcPr>
            <w:tcW w:w="1168" w:type="dxa"/>
            <w:noWrap/>
            <w:vAlign w:val="center"/>
          </w:tcPr>
          <w:p w14:paraId="217138D4">
            <w:pPr>
              <w:spacing w:line="240" w:lineRule="auto"/>
              <w:ind w:firstLine="0" w:firstLineChars="0"/>
              <w:jc w:val="center"/>
              <w:rPr>
                <w:rFonts w:cs="Times New Roman"/>
                <w:sz w:val="21"/>
                <w:szCs w:val="21"/>
              </w:rPr>
            </w:pPr>
            <w:r>
              <w:rPr>
                <w:rFonts w:hint="eastAsia" w:cs="Times New Roman"/>
                <w:sz w:val="21"/>
                <w:szCs w:val="21"/>
              </w:rPr>
              <w:t>约50</w:t>
            </w:r>
          </w:p>
        </w:tc>
      </w:tr>
      <w:tr w14:paraId="4FD1B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4F970A9">
            <w:pPr>
              <w:pStyle w:val="39"/>
              <w:numPr>
                <w:ilvl w:val="0"/>
                <w:numId w:val="7"/>
              </w:numPr>
              <w:spacing w:line="240" w:lineRule="auto"/>
              <w:ind w:firstLineChars="0"/>
              <w:jc w:val="center"/>
              <w:rPr>
                <w:rFonts w:cs="Times New Roman"/>
                <w:sz w:val="21"/>
                <w:szCs w:val="21"/>
              </w:rPr>
            </w:pPr>
          </w:p>
        </w:tc>
        <w:tc>
          <w:tcPr>
            <w:tcW w:w="992" w:type="dxa"/>
            <w:noWrap/>
            <w:vAlign w:val="center"/>
          </w:tcPr>
          <w:p w14:paraId="0E57DB8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9D1F22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8657D2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A51C697">
            <w:pPr>
              <w:spacing w:line="240" w:lineRule="auto"/>
              <w:ind w:firstLine="0" w:firstLineChars="0"/>
              <w:jc w:val="center"/>
              <w:rPr>
                <w:rFonts w:cs="Times New Roman"/>
                <w:sz w:val="21"/>
                <w:szCs w:val="21"/>
              </w:rPr>
            </w:pPr>
            <w:r>
              <w:rPr>
                <w:rFonts w:hint="eastAsia" w:cs="Times New Roman"/>
                <w:sz w:val="21"/>
                <w:szCs w:val="21"/>
              </w:rPr>
              <w:t>南涧滩</w:t>
            </w:r>
          </w:p>
        </w:tc>
        <w:tc>
          <w:tcPr>
            <w:tcW w:w="1701" w:type="dxa"/>
            <w:noWrap/>
            <w:vAlign w:val="center"/>
          </w:tcPr>
          <w:p w14:paraId="6F689ED3">
            <w:pPr>
              <w:spacing w:line="240" w:lineRule="auto"/>
              <w:ind w:firstLine="0" w:firstLineChars="0"/>
              <w:jc w:val="center"/>
              <w:rPr>
                <w:rFonts w:cs="Times New Roman"/>
                <w:sz w:val="21"/>
                <w:szCs w:val="21"/>
              </w:rPr>
            </w:pPr>
            <w:r>
              <w:rPr>
                <w:rFonts w:hint="eastAsia" w:cs="Times New Roman"/>
                <w:sz w:val="21"/>
                <w:szCs w:val="21"/>
              </w:rPr>
              <w:t>119.366735</w:t>
            </w:r>
          </w:p>
        </w:tc>
        <w:tc>
          <w:tcPr>
            <w:tcW w:w="1690" w:type="dxa"/>
            <w:noWrap/>
            <w:vAlign w:val="center"/>
          </w:tcPr>
          <w:p w14:paraId="59DCE55D">
            <w:pPr>
              <w:spacing w:line="240" w:lineRule="auto"/>
              <w:ind w:firstLine="0" w:firstLineChars="0"/>
              <w:jc w:val="center"/>
              <w:rPr>
                <w:rFonts w:cs="Times New Roman"/>
                <w:sz w:val="21"/>
                <w:szCs w:val="21"/>
              </w:rPr>
            </w:pPr>
            <w:r>
              <w:rPr>
                <w:rFonts w:hint="eastAsia" w:cs="Times New Roman"/>
                <w:sz w:val="21"/>
                <w:szCs w:val="21"/>
              </w:rPr>
              <w:t>31.695593</w:t>
            </w:r>
          </w:p>
        </w:tc>
        <w:tc>
          <w:tcPr>
            <w:tcW w:w="1080" w:type="dxa"/>
            <w:noWrap/>
            <w:vAlign w:val="center"/>
          </w:tcPr>
          <w:p w14:paraId="321DAF6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E0E4AE0">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9F61FD2">
            <w:pPr>
              <w:spacing w:line="240" w:lineRule="auto"/>
              <w:ind w:firstLine="0" w:firstLineChars="0"/>
              <w:jc w:val="center"/>
              <w:rPr>
                <w:rFonts w:cs="Times New Roman"/>
                <w:sz w:val="21"/>
                <w:szCs w:val="21"/>
              </w:rPr>
            </w:pPr>
          </w:p>
        </w:tc>
        <w:tc>
          <w:tcPr>
            <w:tcW w:w="1168" w:type="dxa"/>
            <w:noWrap/>
            <w:vAlign w:val="center"/>
          </w:tcPr>
          <w:p w14:paraId="7D668306">
            <w:pPr>
              <w:spacing w:line="240" w:lineRule="auto"/>
              <w:ind w:firstLine="0" w:firstLineChars="0"/>
              <w:jc w:val="center"/>
              <w:rPr>
                <w:rFonts w:cs="Times New Roman"/>
                <w:sz w:val="21"/>
                <w:szCs w:val="21"/>
              </w:rPr>
            </w:pPr>
            <w:r>
              <w:rPr>
                <w:rFonts w:hint="eastAsia" w:cs="Times New Roman"/>
                <w:sz w:val="21"/>
                <w:szCs w:val="21"/>
              </w:rPr>
              <w:t>约30</w:t>
            </w:r>
          </w:p>
        </w:tc>
      </w:tr>
      <w:tr w14:paraId="5EEB5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DE80F2A">
            <w:pPr>
              <w:pStyle w:val="39"/>
              <w:numPr>
                <w:ilvl w:val="0"/>
                <w:numId w:val="7"/>
              </w:numPr>
              <w:spacing w:line="240" w:lineRule="auto"/>
              <w:ind w:firstLineChars="0"/>
              <w:jc w:val="center"/>
              <w:rPr>
                <w:rFonts w:cs="Times New Roman"/>
                <w:sz w:val="21"/>
                <w:szCs w:val="21"/>
              </w:rPr>
            </w:pPr>
          </w:p>
        </w:tc>
        <w:tc>
          <w:tcPr>
            <w:tcW w:w="992" w:type="dxa"/>
            <w:noWrap/>
            <w:vAlign w:val="center"/>
          </w:tcPr>
          <w:p w14:paraId="347B036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7DDE21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A9A6F5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0AF9CD3">
            <w:pPr>
              <w:spacing w:line="240" w:lineRule="auto"/>
              <w:ind w:firstLine="0" w:firstLineChars="0"/>
              <w:jc w:val="center"/>
              <w:rPr>
                <w:rFonts w:cs="Times New Roman"/>
                <w:sz w:val="21"/>
                <w:szCs w:val="21"/>
              </w:rPr>
            </w:pPr>
            <w:r>
              <w:rPr>
                <w:rFonts w:hint="eastAsia" w:cs="Times New Roman"/>
                <w:sz w:val="21"/>
                <w:szCs w:val="21"/>
              </w:rPr>
              <w:t>方麓茶场五工区</w:t>
            </w:r>
          </w:p>
        </w:tc>
        <w:tc>
          <w:tcPr>
            <w:tcW w:w="1701" w:type="dxa"/>
            <w:noWrap/>
            <w:vAlign w:val="center"/>
          </w:tcPr>
          <w:p w14:paraId="3909547F">
            <w:pPr>
              <w:spacing w:line="240" w:lineRule="auto"/>
              <w:ind w:firstLine="0" w:firstLineChars="0"/>
              <w:jc w:val="center"/>
              <w:rPr>
                <w:rFonts w:cs="Times New Roman"/>
                <w:sz w:val="21"/>
                <w:szCs w:val="21"/>
              </w:rPr>
            </w:pPr>
            <w:r>
              <w:rPr>
                <w:rFonts w:hint="eastAsia" w:cs="Times New Roman"/>
                <w:sz w:val="21"/>
                <w:szCs w:val="21"/>
              </w:rPr>
              <w:t>119.395984</w:t>
            </w:r>
          </w:p>
        </w:tc>
        <w:tc>
          <w:tcPr>
            <w:tcW w:w="1690" w:type="dxa"/>
            <w:noWrap/>
            <w:vAlign w:val="center"/>
          </w:tcPr>
          <w:p w14:paraId="118E0B6F">
            <w:pPr>
              <w:spacing w:line="240" w:lineRule="auto"/>
              <w:ind w:firstLine="0" w:firstLineChars="0"/>
              <w:jc w:val="center"/>
              <w:rPr>
                <w:rFonts w:cs="Times New Roman"/>
                <w:sz w:val="21"/>
                <w:szCs w:val="21"/>
              </w:rPr>
            </w:pPr>
            <w:r>
              <w:rPr>
                <w:rFonts w:hint="eastAsia" w:cs="Times New Roman"/>
                <w:sz w:val="21"/>
                <w:szCs w:val="21"/>
              </w:rPr>
              <w:t>31.68544</w:t>
            </w:r>
          </w:p>
        </w:tc>
        <w:tc>
          <w:tcPr>
            <w:tcW w:w="1080" w:type="dxa"/>
            <w:noWrap/>
            <w:vAlign w:val="center"/>
          </w:tcPr>
          <w:p w14:paraId="4AA3C41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94D58A2">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1B00533">
            <w:pPr>
              <w:spacing w:line="240" w:lineRule="auto"/>
              <w:ind w:firstLine="0" w:firstLineChars="0"/>
              <w:jc w:val="center"/>
              <w:rPr>
                <w:rFonts w:cs="Times New Roman"/>
                <w:sz w:val="21"/>
                <w:szCs w:val="21"/>
              </w:rPr>
            </w:pPr>
          </w:p>
        </w:tc>
        <w:tc>
          <w:tcPr>
            <w:tcW w:w="1168" w:type="dxa"/>
            <w:noWrap/>
            <w:vAlign w:val="center"/>
          </w:tcPr>
          <w:p w14:paraId="2CE0A17F">
            <w:pPr>
              <w:spacing w:line="240" w:lineRule="auto"/>
              <w:ind w:firstLine="0" w:firstLineChars="0"/>
              <w:jc w:val="center"/>
              <w:rPr>
                <w:rFonts w:cs="Times New Roman"/>
                <w:sz w:val="21"/>
                <w:szCs w:val="21"/>
              </w:rPr>
            </w:pPr>
            <w:r>
              <w:rPr>
                <w:rFonts w:hint="eastAsia" w:cs="Times New Roman"/>
                <w:sz w:val="21"/>
                <w:szCs w:val="21"/>
              </w:rPr>
              <w:t>约20</w:t>
            </w:r>
          </w:p>
        </w:tc>
      </w:tr>
      <w:tr w14:paraId="5E5B9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11720E1">
            <w:pPr>
              <w:pStyle w:val="39"/>
              <w:numPr>
                <w:ilvl w:val="0"/>
                <w:numId w:val="7"/>
              </w:numPr>
              <w:spacing w:line="240" w:lineRule="auto"/>
              <w:ind w:firstLineChars="0"/>
              <w:jc w:val="center"/>
              <w:rPr>
                <w:rFonts w:cs="Times New Roman"/>
                <w:sz w:val="21"/>
                <w:szCs w:val="21"/>
              </w:rPr>
            </w:pPr>
          </w:p>
        </w:tc>
        <w:tc>
          <w:tcPr>
            <w:tcW w:w="992" w:type="dxa"/>
            <w:noWrap/>
            <w:vAlign w:val="center"/>
          </w:tcPr>
          <w:p w14:paraId="1789E11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E7AA84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565822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37DC3FB">
            <w:pPr>
              <w:spacing w:line="240" w:lineRule="auto"/>
              <w:ind w:firstLine="0" w:firstLineChars="0"/>
              <w:jc w:val="center"/>
              <w:rPr>
                <w:rFonts w:cs="Times New Roman"/>
                <w:sz w:val="21"/>
                <w:szCs w:val="21"/>
              </w:rPr>
            </w:pPr>
            <w:r>
              <w:rPr>
                <w:rFonts w:hint="eastAsia" w:cs="Times New Roman"/>
                <w:sz w:val="21"/>
                <w:szCs w:val="21"/>
              </w:rPr>
              <w:t>方麓茶场二工区</w:t>
            </w:r>
          </w:p>
        </w:tc>
        <w:tc>
          <w:tcPr>
            <w:tcW w:w="1701" w:type="dxa"/>
            <w:noWrap/>
            <w:vAlign w:val="center"/>
          </w:tcPr>
          <w:p w14:paraId="2421AACF">
            <w:pPr>
              <w:spacing w:line="240" w:lineRule="auto"/>
              <w:ind w:firstLine="0" w:firstLineChars="0"/>
              <w:jc w:val="center"/>
              <w:rPr>
                <w:rFonts w:cs="Times New Roman"/>
                <w:sz w:val="21"/>
                <w:szCs w:val="21"/>
              </w:rPr>
            </w:pPr>
            <w:r>
              <w:rPr>
                <w:rFonts w:hint="eastAsia" w:cs="Times New Roman"/>
                <w:sz w:val="21"/>
                <w:szCs w:val="21"/>
              </w:rPr>
              <w:t>119.389143</w:t>
            </w:r>
          </w:p>
        </w:tc>
        <w:tc>
          <w:tcPr>
            <w:tcW w:w="1690" w:type="dxa"/>
            <w:noWrap/>
            <w:vAlign w:val="center"/>
          </w:tcPr>
          <w:p w14:paraId="085C3962">
            <w:pPr>
              <w:spacing w:line="240" w:lineRule="auto"/>
              <w:ind w:firstLine="0" w:firstLineChars="0"/>
              <w:jc w:val="center"/>
              <w:rPr>
                <w:rFonts w:cs="Times New Roman"/>
                <w:sz w:val="21"/>
                <w:szCs w:val="21"/>
              </w:rPr>
            </w:pPr>
            <w:r>
              <w:rPr>
                <w:rFonts w:hint="eastAsia" w:cs="Times New Roman"/>
                <w:sz w:val="21"/>
                <w:szCs w:val="21"/>
              </w:rPr>
              <w:t>31.686533</w:t>
            </w:r>
          </w:p>
        </w:tc>
        <w:tc>
          <w:tcPr>
            <w:tcW w:w="1080" w:type="dxa"/>
            <w:noWrap/>
            <w:vAlign w:val="center"/>
          </w:tcPr>
          <w:p w14:paraId="00C185E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ACF0BED">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63DA9CDE">
            <w:pPr>
              <w:spacing w:line="240" w:lineRule="auto"/>
              <w:ind w:firstLine="0" w:firstLineChars="0"/>
              <w:jc w:val="center"/>
              <w:rPr>
                <w:rFonts w:cs="Times New Roman"/>
                <w:sz w:val="21"/>
                <w:szCs w:val="21"/>
              </w:rPr>
            </w:pPr>
          </w:p>
        </w:tc>
        <w:tc>
          <w:tcPr>
            <w:tcW w:w="1168" w:type="dxa"/>
            <w:noWrap/>
            <w:vAlign w:val="center"/>
          </w:tcPr>
          <w:p w14:paraId="2C2941A1">
            <w:pPr>
              <w:spacing w:line="240" w:lineRule="auto"/>
              <w:ind w:firstLine="0" w:firstLineChars="0"/>
              <w:jc w:val="center"/>
              <w:rPr>
                <w:rFonts w:cs="Times New Roman"/>
                <w:sz w:val="21"/>
                <w:szCs w:val="21"/>
              </w:rPr>
            </w:pPr>
            <w:r>
              <w:rPr>
                <w:rFonts w:hint="eastAsia" w:cs="Times New Roman"/>
                <w:sz w:val="21"/>
                <w:szCs w:val="21"/>
              </w:rPr>
              <w:t>约20</w:t>
            </w:r>
          </w:p>
        </w:tc>
      </w:tr>
      <w:tr w14:paraId="09121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8D0D521">
            <w:pPr>
              <w:pStyle w:val="39"/>
              <w:numPr>
                <w:ilvl w:val="0"/>
                <w:numId w:val="7"/>
              </w:numPr>
              <w:spacing w:line="240" w:lineRule="auto"/>
              <w:ind w:firstLineChars="0"/>
              <w:jc w:val="center"/>
              <w:rPr>
                <w:rFonts w:cs="Times New Roman"/>
                <w:sz w:val="21"/>
                <w:szCs w:val="21"/>
              </w:rPr>
            </w:pPr>
          </w:p>
        </w:tc>
        <w:tc>
          <w:tcPr>
            <w:tcW w:w="992" w:type="dxa"/>
            <w:noWrap/>
            <w:vAlign w:val="center"/>
          </w:tcPr>
          <w:p w14:paraId="3F0A552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1F05B1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296E35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5FE2B8C">
            <w:pPr>
              <w:spacing w:line="240" w:lineRule="auto"/>
              <w:ind w:firstLine="0" w:firstLineChars="0"/>
              <w:jc w:val="center"/>
              <w:rPr>
                <w:rFonts w:cs="Times New Roman"/>
                <w:sz w:val="21"/>
                <w:szCs w:val="21"/>
              </w:rPr>
            </w:pPr>
            <w:r>
              <w:rPr>
                <w:rFonts w:hint="eastAsia" w:cs="Times New Roman"/>
                <w:sz w:val="21"/>
                <w:szCs w:val="21"/>
              </w:rPr>
              <w:t>方麓茶场</w:t>
            </w:r>
          </w:p>
        </w:tc>
        <w:tc>
          <w:tcPr>
            <w:tcW w:w="1701" w:type="dxa"/>
            <w:noWrap/>
            <w:vAlign w:val="center"/>
          </w:tcPr>
          <w:p w14:paraId="1CD241F6">
            <w:pPr>
              <w:spacing w:line="240" w:lineRule="auto"/>
              <w:ind w:firstLine="0" w:firstLineChars="0"/>
              <w:jc w:val="center"/>
              <w:rPr>
                <w:rFonts w:cs="Times New Roman"/>
                <w:sz w:val="21"/>
                <w:szCs w:val="21"/>
              </w:rPr>
            </w:pPr>
            <w:r>
              <w:rPr>
                <w:rFonts w:hint="eastAsia" w:cs="Times New Roman"/>
                <w:sz w:val="21"/>
                <w:szCs w:val="21"/>
              </w:rPr>
              <w:t>119.382236</w:t>
            </w:r>
          </w:p>
        </w:tc>
        <w:tc>
          <w:tcPr>
            <w:tcW w:w="1690" w:type="dxa"/>
            <w:noWrap/>
            <w:vAlign w:val="center"/>
          </w:tcPr>
          <w:p w14:paraId="24E4433E">
            <w:pPr>
              <w:spacing w:line="240" w:lineRule="auto"/>
              <w:ind w:firstLine="0" w:firstLineChars="0"/>
              <w:jc w:val="center"/>
              <w:rPr>
                <w:rFonts w:cs="Times New Roman"/>
                <w:sz w:val="21"/>
                <w:szCs w:val="21"/>
              </w:rPr>
            </w:pPr>
            <w:r>
              <w:rPr>
                <w:rFonts w:hint="eastAsia" w:cs="Times New Roman"/>
                <w:sz w:val="21"/>
                <w:szCs w:val="21"/>
              </w:rPr>
              <w:t>31.685295</w:t>
            </w:r>
          </w:p>
        </w:tc>
        <w:tc>
          <w:tcPr>
            <w:tcW w:w="1080" w:type="dxa"/>
            <w:noWrap/>
            <w:vAlign w:val="center"/>
          </w:tcPr>
          <w:p w14:paraId="18B65CA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0FB5A1B">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5BE857F">
            <w:pPr>
              <w:spacing w:line="240" w:lineRule="auto"/>
              <w:ind w:firstLine="0" w:firstLineChars="0"/>
              <w:jc w:val="center"/>
              <w:rPr>
                <w:rFonts w:cs="Times New Roman"/>
                <w:sz w:val="21"/>
                <w:szCs w:val="21"/>
              </w:rPr>
            </w:pPr>
          </w:p>
        </w:tc>
        <w:tc>
          <w:tcPr>
            <w:tcW w:w="1168" w:type="dxa"/>
            <w:noWrap/>
            <w:vAlign w:val="center"/>
          </w:tcPr>
          <w:p w14:paraId="4C855804">
            <w:pPr>
              <w:spacing w:line="240" w:lineRule="auto"/>
              <w:ind w:firstLine="0" w:firstLineChars="0"/>
              <w:jc w:val="center"/>
              <w:rPr>
                <w:rFonts w:cs="Times New Roman"/>
                <w:sz w:val="21"/>
                <w:szCs w:val="21"/>
              </w:rPr>
            </w:pPr>
            <w:r>
              <w:rPr>
                <w:rFonts w:hint="eastAsia" w:cs="Times New Roman"/>
                <w:sz w:val="21"/>
                <w:szCs w:val="21"/>
              </w:rPr>
              <w:t>约70</w:t>
            </w:r>
          </w:p>
        </w:tc>
      </w:tr>
      <w:tr w14:paraId="253F2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608D3C9">
            <w:pPr>
              <w:pStyle w:val="39"/>
              <w:numPr>
                <w:ilvl w:val="0"/>
                <w:numId w:val="7"/>
              </w:numPr>
              <w:spacing w:line="240" w:lineRule="auto"/>
              <w:ind w:firstLineChars="0"/>
              <w:jc w:val="center"/>
              <w:rPr>
                <w:rFonts w:cs="Times New Roman"/>
                <w:sz w:val="21"/>
                <w:szCs w:val="21"/>
              </w:rPr>
            </w:pPr>
          </w:p>
        </w:tc>
        <w:tc>
          <w:tcPr>
            <w:tcW w:w="992" w:type="dxa"/>
            <w:noWrap/>
            <w:vAlign w:val="center"/>
          </w:tcPr>
          <w:p w14:paraId="4BC87C3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35954E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BFF134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678B83B">
            <w:pPr>
              <w:spacing w:line="240" w:lineRule="auto"/>
              <w:ind w:firstLine="0" w:firstLineChars="0"/>
              <w:jc w:val="center"/>
              <w:rPr>
                <w:rFonts w:cs="Times New Roman"/>
                <w:sz w:val="21"/>
                <w:szCs w:val="21"/>
              </w:rPr>
            </w:pPr>
            <w:r>
              <w:rPr>
                <w:rFonts w:hint="eastAsia" w:cs="Times New Roman"/>
                <w:sz w:val="21"/>
                <w:szCs w:val="21"/>
              </w:rPr>
              <w:t>方麓茶场四工区</w:t>
            </w:r>
          </w:p>
        </w:tc>
        <w:tc>
          <w:tcPr>
            <w:tcW w:w="1701" w:type="dxa"/>
            <w:noWrap/>
            <w:vAlign w:val="center"/>
          </w:tcPr>
          <w:p w14:paraId="31DBCF92">
            <w:pPr>
              <w:spacing w:line="240" w:lineRule="auto"/>
              <w:ind w:firstLine="0" w:firstLineChars="0"/>
              <w:jc w:val="center"/>
              <w:rPr>
                <w:rFonts w:cs="Times New Roman"/>
                <w:sz w:val="21"/>
                <w:szCs w:val="21"/>
              </w:rPr>
            </w:pPr>
            <w:r>
              <w:rPr>
                <w:rFonts w:hint="eastAsia" w:cs="Times New Roman"/>
                <w:sz w:val="21"/>
                <w:szCs w:val="21"/>
              </w:rPr>
              <w:t>119.373077</w:t>
            </w:r>
          </w:p>
        </w:tc>
        <w:tc>
          <w:tcPr>
            <w:tcW w:w="1690" w:type="dxa"/>
            <w:noWrap/>
            <w:vAlign w:val="center"/>
          </w:tcPr>
          <w:p w14:paraId="66531B75">
            <w:pPr>
              <w:spacing w:line="240" w:lineRule="auto"/>
              <w:ind w:firstLine="0" w:firstLineChars="0"/>
              <w:jc w:val="center"/>
              <w:rPr>
                <w:rFonts w:cs="Times New Roman"/>
                <w:sz w:val="21"/>
                <w:szCs w:val="21"/>
              </w:rPr>
            </w:pPr>
            <w:r>
              <w:rPr>
                <w:rFonts w:hint="eastAsia" w:cs="Times New Roman"/>
                <w:sz w:val="21"/>
                <w:szCs w:val="21"/>
              </w:rPr>
              <w:t>31.682745</w:t>
            </w:r>
          </w:p>
        </w:tc>
        <w:tc>
          <w:tcPr>
            <w:tcW w:w="1080" w:type="dxa"/>
            <w:noWrap/>
            <w:vAlign w:val="center"/>
          </w:tcPr>
          <w:p w14:paraId="41C8071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48205DC">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751CCAB">
            <w:pPr>
              <w:spacing w:line="240" w:lineRule="auto"/>
              <w:ind w:firstLine="0" w:firstLineChars="0"/>
              <w:jc w:val="center"/>
              <w:rPr>
                <w:rFonts w:cs="Times New Roman"/>
                <w:sz w:val="21"/>
                <w:szCs w:val="21"/>
              </w:rPr>
            </w:pPr>
          </w:p>
        </w:tc>
        <w:tc>
          <w:tcPr>
            <w:tcW w:w="1168" w:type="dxa"/>
            <w:noWrap/>
            <w:vAlign w:val="center"/>
          </w:tcPr>
          <w:p w14:paraId="099ED1A0">
            <w:pPr>
              <w:spacing w:line="240" w:lineRule="auto"/>
              <w:ind w:firstLine="0" w:firstLineChars="0"/>
              <w:jc w:val="center"/>
              <w:rPr>
                <w:rFonts w:cs="Times New Roman"/>
                <w:sz w:val="21"/>
                <w:szCs w:val="21"/>
              </w:rPr>
            </w:pPr>
            <w:r>
              <w:rPr>
                <w:rFonts w:hint="eastAsia" w:cs="Times New Roman"/>
                <w:sz w:val="21"/>
                <w:szCs w:val="21"/>
              </w:rPr>
              <w:t>约20</w:t>
            </w:r>
          </w:p>
        </w:tc>
      </w:tr>
      <w:tr w14:paraId="7432E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D8C9CB9">
            <w:pPr>
              <w:pStyle w:val="39"/>
              <w:numPr>
                <w:ilvl w:val="0"/>
                <w:numId w:val="7"/>
              </w:numPr>
              <w:spacing w:line="240" w:lineRule="auto"/>
              <w:ind w:firstLineChars="0"/>
              <w:jc w:val="center"/>
              <w:rPr>
                <w:rFonts w:cs="Times New Roman"/>
                <w:sz w:val="21"/>
                <w:szCs w:val="21"/>
              </w:rPr>
            </w:pPr>
          </w:p>
        </w:tc>
        <w:tc>
          <w:tcPr>
            <w:tcW w:w="992" w:type="dxa"/>
            <w:noWrap/>
            <w:vAlign w:val="center"/>
          </w:tcPr>
          <w:p w14:paraId="2300352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E40F3B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2065FF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8665CEF">
            <w:pPr>
              <w:spacing w:line="240" w:lineRule="auto"/>
              <w:ind w:firstLine="0" w:firstLineChars="0"/>
              <w:jc w:val="center"/>
              <w:rPr>
                <w:rFonts w:cs="Times New Roman"/>
                <w:sz w:val="21"/>
                <w:szCs w:val="21"/>
              </w:rPr>
            </w:pPr>
            <w:r>
              <w:rPr>
                <w:rFonts w:hint="eastAsia" w:cs="Times New Roman"/>
                <w:sz w:val="21"/>
                <w:szCs w:val="21"/>
              </w:rPr>
              <w:t>下阮</w:t>
            </w:r>
          </w:p>
        </w:tc>
        <w:tc>
          <w:tcPr>
            <w:tcW w:w="1701" w:type="dxa"/>
            <w:noWrap/>
            <w:vAlign w:val="center"/>
          </w:tcPr>
          <w:p w14:paraId="609DD7EF">
            <w:pPr>
              <w:spacing w:line="240" w:lineRule="auto"/>
              <w:ind w:firstLine="0" w:firstLineChars="0"/>
              <w:jc w:val="center"/>
              <w:rPr>
                <w:rFonts w:cs="Times New Roman"/>
                <w:sz w:val="21"/>
                <w:szCs w:val="21"/>
              </w:rPr>
            </w:pPr>
            <w:r>
              <w:rPr>
                <w:rFonts w:hint="eastAsia" w:cs="Times New Roman"/>
                <w:sz w:val="21"/>
                <w:szCs w:val="21"/>
              </w:rPr>
              <w:t>119.361323</w:t>
            </w:r>
          </w:p>
        </w:tc>
        <w:tc>
          <w:tcPr>
            <w:tcW w:w="1690" w:type="dxa"/>
            <w:noWrap/>
            <w:vAlign w:val="center"/>
          </w:tcPr>
          <w:p w14:paraId="6116F04F">
            <w:pPr>
              <w:spacing w:line="240" w:lineRule="auto"/>
              <w:ind w:firstLine="0" w:firstLineChars="0"/>
              <w:jc w:val="center"/>
              <w:rPr>
                <w:rFonts w:cs="Times New Roman"/>
                <w:sz w:val="21"/>
                <w:szCs w:val="21"/>
              </w:rPr>
            </w:pPr>
            <w:r>
              <w:rPr>
                <w:rFonts w:hint="eastAsia" w:cs="Times New Roman"/>
                <w:sz w:val="21"/>
                <w:szCs w:val="21"/>
              </w:rPr>
              <w:t>31.633505</w:t>
            </w:r>
          </w:p>
        </w:tc>
        <w:tc>
          <w:tcPr>
            <w:tcW w:w="1080" w:type="dxa"/>
            <w:noWrap/>
            <w:vAlign w:val="center"/>
          </w:tcPr>
          <w:p w14:paraId="492DB40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1E37476">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56EF0A8">
            <w:pPr>
              <w:spacing w:line="240" w:lineRule="auto"/>
              <w:ind w:firstLine="0" w:firstLineChars="0"/>
              <w:jc w:val="center"/>
              <w:rPr>
                <w:rFonts w:cs="Times New Roman"/>
                <w:sz w:val="21"/>
                <w:szCs w:val="21"/>
              </w:rPr>
            </w:pPr>
          </w:p>
        </w:tc>
        <w:tc>
          <w:tcPr>
            <w:tcW w:w="1168" w:type="dxa"/>
            <w:noWrap/>
            <w:vAlign w:val="center"/>
          </w:tcPr>
          <w:p w14:paraId="1A1DAC76">
            <w:pPr>
              <w:spacing w:line="240" w:lineRule="auto"/>
              <w:ind w:firstLine="0" w:firstLineChars="0"/>
              <w:jc w:val="center"/>
              <w:rPr>
                <w:rFonts w:cs="Times New Roman"/>
                <w:sz w:val="21"/>
                <w:szCs w:val="21"/>
              </w:rPr>
            </w:pPr>
            <w:r>
              <w:rPr>
                <w:rFonts w:hint="eastAsia" w:cs="Times New Roman"/>
                <w:sz w:val="21"/>
                <w:szCs w:val="21"/>
              </w:rPr>
              <w:t>约50</w:t>
            </w:r>
          </w:p>
        </w:tc>
      </w:tr>
      <w:tr w14:paraId="04DA7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8D5941E">
            <w:pPr>
              <w:pStyle w:val="39"/>
              <w:numPr>
                <w:ilvl w:val="0"/>
                <w:numId w:val="7"/>
              </w:numPr>
              <w:spacing w:line="240" w:lineRule="auto"/>
              <w:ind w:firstLineChars="0"/>
              <w:jc w:val="center"/>
              <w:rPr>
                <w:rFonts w:cs="Times New Roman"/>
                <w:sz w:val="21"/>
                <w:szCs w:val="21"/>
              </w:rPr>
            </w:pPr>
          </w:p>
        </w:tc>
        <w:tc>
          <w:tcPr>
            <w:tcW w:w="992" w:type="dxa"/>
            <w:noWrap/>
            <w:vAlign w:val="center"/>
          </w:tcPr>
          <w:p w14:paraId="16A94AB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9D950C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40EC03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CC77582">
            <w:pPr>
              <w:spacing w:line="240" w:lineRule="auto"/>
              <w:ind w:firstLine="0" w:firstLineChars="0"/>
              <w:jc w:val="center"/>
              <w:rPr>
                <w:rFonts w:cs="Times New Roman"/>
                <w:sz w:val="21"/>
                <w:szCs w:val="21"/>
              </w:rPr>
            </w:pPr>
            <w:r>
              <w:rPr>
                <w:rFonts w:hint="eastAsia" w:cs="Times New Roman"/>
                <w:sz w:val="21"/>
                <w:szCs w:val="21"/>
              </w:rPr>
              <w:t>白石里</w:t>
            </w:r>
          </w:p>
        </w:tc>
        <w:tc>
          <w:tcPr>
            <w:tcW w:w="1701" w:type="dxa"/>
            <w:noWrap/>
            <w:vAlign w:val="center"/>
          </w:tcPr>
          <w:p w14:paraId="12C613D8">
            <w:pPr>
              <w:spacing w:line="240" w:lineRule="auto"/>
              <w:ind w:firstLine="0" w:firstLineChars="0"/>
              <w:jc w:val="center"/>
              <w:rPr>
                <w:rFonts w:cs="Times New Roman"/>
                <w:sz w:val="21"/>
                <w:szCs w:val="21"/>
              </w:rPr>
            </w:pPr>
            <w:r>
              <w:rPr>
                <w:rFonts w:hint="eastAsia" w:cs="Times New Roman"/>
                <w:sz w:val="21"/>
                <w:szCs w:val="21"/>
              </w:rPr>
              <w:t>119.345323</w:t>
            </w:r>
          </w:p>
        </w:tc>
        <w:tc>
          <w:tcPr>
            <w:tcW w:w="1690" w:type="dxa"/>
            <w:noWrap/>
            <w:vAlign w:val="center"/>
          </w:tcPr>
          <w:p w14:paraId="6A823874">
            <w:pPr>
              <w:spacing w:line="240" w:lineRule="auto"/>
              <w:ind w:firstLine="0" w:firstLineChars="0"/>
              <w:jc w:val="center"/>
              <w:rPr>
                <w:rFonts w:cs="Times New Roman"/>
                <w:sz w:val="21"/>
                <w:szCs w:val="21"/>
              </w:rPr>
            </w:pPr>
            <w:r>
              <w:rPr>
                <w:rFonts w:hint="eastAsia" w:cs="Times New Roman"/>
                <w:sz w:val="21"/>
                <w:szCs w:val="21"/>
              </w:rPr>
              <w:t>31.683841</w:t>
            </w:r>
          </w:p>
        </w:tc>
        <w:tc>
          <w:tcPr>
            <w:tcW w:w="1080" w:type="dxa"/>
            <w:noWrap/>
            <w:vAlign w:val="center"/>
          </w:tcPr>
          <w:p w14:paraId="075FA70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65BC19E">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7F74492">
            <w:pPr>
              <w:spacing w:line="240" w:lineRule="auto"/>
              <w:ind w:firstLine="0" w:firstLineChars="0"/>
              <w:jc w:val="center"/>
              <w:rPr>
                <w:rFonts w:cs="Times New Roman"/>
                <w:sz w:val="21"/>
                <w:szCs w:val="21"/>
              </w:rPr>
            </w:pPr>
          </w:p>
        </w:tc>
        <w:tc>
          <w:tcPr>
            <w:tcW w:w="1168" w:type="dxa"/>
            <w:noWrap/>
            <w:vAlign w:val="center"/>
          </w:tcPr>
          <w:p w14:paraId="4231F8F4">
            <w:pPr>
              <w:spacing w:line="240" w:lineRule="auto"/>
              <w:ind w:firstLine="0" w:firstLineChars="0"/>
              <w:jc w:val="center"/>
              <w:rPr>
                <w:rFonts w:cs="Times New Roman"/>
                <w:sz w:val="21"/>
                <w:szCs w:val="21"/>
              </w:rPr>
            </w:pPr>
            <w:r>
              <w:rPr>
                <w:rFonts w:hint="eastAsia" w:cs="Times New Roman"/>
                <w:sz w:val="21"/>
                <w:szCs w:val="21"/>
              </w:rPr>
              <w:t>约30</w:t>
            </w:r>
          </w:p>
        </w:tc>
      </w:tr>
      <w:tr w14:paraId="16A78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7281572">
            <w:pPr>
              <w:pStyle w:val="39"/>
              <w:numPr>
                <w:ilvl w:val="0"/>
                <w:numId w:val="7"/>
              </w:numPr>
              <w:spacing w:line="240" w:lineRule="auto"/>
              <w:ind w:firstLineChars="0"/>
              <w:jc w:val="center"/>
              <w:rPr>
                <w:rFonts w:cs="Times New Roman"/>
                <w:sz w:val="21"/>
                <w:szCs w:val="21"/>
              </w:rPr>
            </w:pPr>
          </w:p>
        </w:tc>
        <w:tc>
          <w:tcPr>
            <w:tcW w:w="992" w:type="dxa"/>
            <w:noWrap/>
            <w:vAlign w:val="center"/>
          </w:tcPr>
          <w:p w14:paraId="74F2000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0268B6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7524E7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6C986C4">
            <w:pPr>
              <w:spacing w:line="240" w:lineRule="auto"/>
              <w:ind w:firstLine="0" w:firstLineChars="0"/>
              <w:jc w:val="center"/>
              <w:rPr>
                <w:rFonts w:cs="Times New Roman"/>
                <w:sz w:val="21"/>
                <w:szCs w:val="21"/>
              </w:rPr>
            </w:pPr>
            <w:r>
              <w:rPr>
                <w:rFonts w:hint="eastAsia" w:cs="Times New Roman"/>
                <w:sz w:val="21"/>
                <w:szCs w:val="21"/>
              </w:rPr>
              <w:t>方山顶茶厂（含句容市部分）</w:t>
            </w:r>
          </w:p>
        </w:tc>
        <w:tc>
          <w:tcPr>
            <w:tcW w:w="1701" w:type="dxa"/>
            <w:noWrap/>
            <w:vAlign w:val="center"/>
          </w:tcPr>
          <w:p w14:paraId="36E7B084">
            <w:pPr>
              <w:spacing w:line="240" w:lineRule="auto"/>
              <w:ind w:firstLine="0" w:firstLineChars="0"/>
              <w:jc w:val="center"/>
              <w:rPr>
                <w:rFonts w:cs="Times New Roman"/>
                <w:sz w:val="21"/>
                <w:szCs w:val="21"/>
              </w:rPr>
            </w:pPr>
            <w:r>
              <w:rPr>
                <w:rFonts w:hint="eastAsia" w:cs="Times New Roman"/>
                <w:sz w:val="21"/>
                <w:szCs w:val="21"/>
              </w:rPr>
              <w:t>119.315217</w:t>
            </w:r>
          </w:p>
        </w:tc>
        <w:tc>
          <w:tcPr>
            <w:tcW w:w="1690" w:type="dxa"/>
            <w:noWrap/>
            <w:vAlign w:val="center"/>
          </w:tcPr>
          <w:p w14:paraId="6A56552D">
            <w:pPr>
              <w:spacing w:line="240" w:lineRule="auto"/>
              <w:ind w:firstLine="0" w:firstLineChars="0"/>
              <w:jc w:val="center"/>
              <w:rPr>
                <w:rFonts w:cs="Times New Roman"/>
                <w:sz w:val="21"/>
                <w:szCs w:val="21"/>
              </w:rPr>
            </w:pPr>
            <w:r>
              <w:rPr>
                <w:rFonts w:hint="eastAsia" w:cs="Times New Roman"/>
                <w:sz w:val="21"/>
                <w:szCs w:val="21"/>
              </w:rPr>
              <w:t>31.714274</w:t>
            </w:r>
          </w:p>
        </w:tc>
        <w:tc>
          <w:tcPr>
            <w:tcW w:w="1080" w:type="dxa"/>
            <w:noWrap/>
            <w:vAlign w:val="center"/>
          </w:tcPr>
          <w:p w14:paraId="72148BF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EDFF7EB">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E753258">
            <w:pPr>
              <w:spacing w:line="240" w:lineRule="auto"/>
              <w:ind w:firstLine="0" w:firstLineChars="0"/>
              <w:jc w:val="center"/>
              <w:rPr>
                <w:rFonts w:cs="Times New Roman"/>
                <w:sz w:val="21"/>
                <w:szCs w:val="21"/>
              </w:rPr>
            </w:pPr>
          </w:p>
        </w:tc>
        <w:tc>
          <w:tcPr>
            <w:tcW w:w="1168" w:type="dxa"/>
            <w:noWrap/>
            <w:vAlign w:val="center"/>
          </w:tcPr>
          <w:p w14:paraId="69B7CE80">
            <w:pPr>
              <w:spacing w:line="240" w:lineRule="auto"/>
              <w:ind w:firstLine="0" w:firstLineChars="0"/>
              <w:jc w:val="center"/>
              <w:rPr>
                <w:rFonts w:cs="Times New Roman"/>
                <w:sz w:val="21"/>
                <w:szCs w:val="21"/>
              </w:rPr>
            </w:pPr>
            <w:r>
              <w:rPr>
                <w:rFonts w:hint="eastAsia" w:cs="Times New Roman"/>
                <w:sz w:val="21"/>
                <w:szCs w:val="21"/>
              </w:rPr>
              <w:t>约50</w:t>
            </w:r>
          </w:p>
        </w:tc>
      </w:tr>
      <w:tr w14:paraId="4CFFE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D000938">
            <w:pPr>
              <w:pStyle w:val="39"/>
              <w:numPr>
                <w:ilvl w:val="0"/>
                <w:numId w:val="7"/>
              </w:numPr>
              <w:spacing w:line="240" w:lineRule="auto"/>
              <w:ind w:firstLineChars="0"/>
              <w:jc w:val="center"/>
              <w:rPr>
                <w:rFonts w:cs="Times New Roman"/>
                <w:sz w:val="21"/>
                <w:szCs w:val="21"/>
              </w:rPr>
            </w:pPr>
          </w:p>
        </w:tc>
        <w:tc>
          <w:tcPr>
            <w:tcW w:w="992" w:type="dxa"/>
            <w:noWrap/>
            <w:vAlign w:val="center"/>
          </w:tcPr>
          <w:p w14:paraId="7B0E9D3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D8675E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875421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36A14F6">
            <w:pPr>
              <w:spacing w:line="240" w:lineRule="auto"/>
              <w:ind w:firstLine="0" w:firstLineChars="0"/>
              <w:jc w:val="center"/>
              <w:rPr>
                <w:rFonts w:cs="Times New Roman"/>
                <w:sz w:val="21"/>
                <w:szCs w:val="21"/>
              </w:rPr>
            </w:pPr>
            <w:r>
              <w:rPr>
                <w:rFonts w:hint="eastAsia" w:cs="Times New Roman"/>
                <w:sz w:val="21"/>
                <w:szCs w:val="21"/>
              </w:rPr>
              <w:t>石龙</w:t>
            </w:r>
          </w:p>
        </w:tc>
        <w:tc>
          <w:tcPr>
            <w:tcW w:w="1701" w:type="dxa"/>
            <w:noWrap/>
            <w:vAlign w:val="center"/>
          </w:tcPr>
          <w:p w14:paraId="453719B3">
            <w:pPr>
              <w:spacing w:line="240" w:lineRule="auto"/>
              <w:ind w:firstLine="0" w:firstLineChars="0"/>
              <w:jc w:val="center"/>
              <w:rPr>
                <w:rFonts w:cs="Times New Roman"/>
                <w:sz w:val="21"/>
                <w:szCs w:val="21"/>
              </w:rPr>
            </w:pPr>
            <w:r>
              <w:rPr>
                <w:rFonts w:hint="eastAsia" w:cs="Times New Roman"/>
                <w:sz w:val="21"/>
                <w:szCs w:val="21"/>
              </w:rPr>
              <w:t>119.30804</w:t>
            </w:r>
          </w:p>
        </w:tc>
        <w:tc>
          <w:tcPr>
            <w:tcW w:w="1690" w:type="dxa"/>
            <w:noWrap/>
            <w:vAlign w:val="center"/>
          </w:tcPr>
          <w:p w14:paraId="2268BB02">
            <w:pPr>
              <w:spacing w:line="240" w:lineRule="auto"/>
              <w:ind w:firstLine="0" w:firstLineChars="0"/>
              <w:jc w:val="center"/>
              <w:rPr>
                <w:rFonts w:cs="Times New Roman"/>
                <w:sz w:val="21"/>
                <w:szCs w:val="21"/>
              </w:rPr>
            </w:pPr>
            <w:r>
              <w:rPr>
                <w:rFonts w:hint="eastAsia" w:cs="Times New Roman"/>
                <w:sz w:val="21"/>
                <w:szCs w:val="21"/>
              </w:rPr>
              <w:t>31.772926</w:t>
            </w:r>
          </w:p>
        </w:tc>
        <w:tc>
          <w:tcPr>
            <w:tcW w:w="1080" w:type="dxa"/>
            <w:noWrap/>
            <w:vAlign w:val="center"/>
          </w:tcPr>
          <w:p w14:paraId="39DA72E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04F0099">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35D952BF">
            <w:pPr>
              <w:spacing w:line="240" w:lineRule="auto"/>
              <w:ind w:firstLine="0" w:firstLineChars="0"/>
              <w:jc w:val="center"/>
              <w:rPr>
                <w:rFonts w:cs="Times New Roman"/>
                <w:sz w:val="21"/>
                <w:szCs w:val="21"/>
              </w:rPr>
            </w:pPr>
          </w:p>
        </w:tc>
        <w:tc>
          <w:tcPr>
            <w:tcW w:w="1168" w:type="dxa"/>
            <w:noWrap/>
            <w:vAlign w:val="center"/>
          </w:tcPr>
          <w:p w14:paraId="7BD489EA">
            <w:pPr>
              <w:spacing w:line="240" w:lineRule="auto"/>
              <w:ind w:firstLine="0" w:firstLineChars="0"/>
              <w:jc w:val="center"/>
              <w:rPr>
                <w:rFonts w:cs="Times New Roman"/>
                <w:sz w:val="21"/>
                <w:szCs w:val="21"/>
              </w:rPr>
            </w:pPr>
            <w:r>
              <w:rPr>
                <w:rFonts w:hint="eastAsia" w:cs="Times New Roman"/>
                <w:sz w:val="21"/>
                <w:szCs w:val="21"/>
              </w:rPr>
              <w:t>约20</w:t>
            </w:r>
          </w:p>
        </w:tc>
      </w:tr>
      <w:tr w14:paraId="6ED2F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6F35AF0">
            <w:pPr>
              <w:pStyle w:val="39"/>
              <w:numPr>
                <w:ilvl w:val="0"/>
                <w:numId w:val="7"/>
              </w:numPr>
              <w:spacing w:line="240" w:lineRule="auto"/>
              <w:ind w:firstLineChars="0"/>
              <w:jc w:val="center"/>
              <w:rPr>
                <w:rFonts w:cs="Times New Roman"/>
                <w:sz w:val="21"/>
                <w:szCs w:val="21"/>
              </w:rPr>
            </w:pPr>
          </w:p>
        </w:tc>
        <w:tc>
          <w:tcPr>
            <w:tcW w:w="992" w:type="dxa"/>
            <w:noWrap/>
            <w:vAlign w:val="center"/>
          </w:tcPr>
          <w:p w14:paraId="3A7FC20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A307E9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C136F6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B4A7B1F">
            <w:pPr>
              <w:spacing w:line="240" w:lineRule="auto"/>
              <w:ind w:firstLine="0" w:firstLineChars="0"/>
              <w:jc w:val="center"/>
              <w:rPr>
                <w:rFonts w:cs="Times New Roman"/>
                <w:sz w:val="21"/>
                <w:szCs w:val="21"/>
              </w:rPr>
            </w:pPr>
            <w:r>
              <w:rPr>
                <w:rFonts w:hint="eastAsia" w:cs="Times New Roman"/>
                <w:sz w:val="21"/>
                <w:szCs w:val="21"/>
              </w:rPr>
              <w:t>金牛</w:t>
            </w:r>
          </w:p>
        </w:tc>
        <w:tc>
          <w:tcPr>
            <w:tcW w:w="1701" w:type="dxa"/>
            <w:noWrap/>
            <w:vAlign w:val="center"/>
          </w:tcPr>
          <w:p w14:paraId="0F88AED3">
            <w:pPr>
              <w:spacing w:line="240" w:lineRule="auto"/>
              <w:ind w:firstLine="0" w:firstLineChars="0"/>
              <w:jc w:val="center"/>
              <w:rPr>
                <w:rFonts w:cs="Times New Roman"/>
                <w:sz w:val="21"/>
                <w:szCs w:val="21"/>
              </w:rPr>
            </w:pPr>
            <w:r>
              <w:rPr>
                <w:rFonts w:hint="eastAsia" w:cs="Times New Roman"/>
                <w:sz w:val="21"/>
                <w:szCs w:val="21"/>
              </w:rPr>
              <w:t>119.309716</w:t>
            </w:r>
          </w:p>
        </w:tc>
        <w:tc>
          <w:tcPr>
            <w:tcW w:w="1690" w:type="dxa"/>
            <w:noWrap/>
            <w:vAlign w:val="center"/>
          </w:tcPr>
          <w:p w14:paraId="684A67D1">
            <w:pPr>
              <w:spacing w:line="240" w:lineRule="auto"/>
              <w:ind w:firstLine="0" w:firstLineChars="0"/>
              <w:jc w:val="center"/>
              <w:rPr>
                <w:rFonts w:cs="Times New Roman"/>
                <w:sz w:val="21"/>
                <w:szCs w:val="21"/>
              </w:rPr>
            </w:pPr>
            <w:r>
              <w:rPr>
                <w:rFonts w:hint="eastAsia" w:cs="Times New Roman"/>
                <w:sz w:val="21"/>
                <w:szCs w:val="21"/>
              </w:rPr>
              <w:t>31.768416</w:t>
            </w:r>
          </w:p>
        </w:tc>
        <w:tc>
          <w:tcPr>
            <w:tcW w:w="1080" w:type="dxa"/>
            <w:noWrap/>
            <w:vAlign w:val="center"/>
          </w:tcPr>
          <w:p w14:paraId="2E0A4F9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76832A7">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2DFDFF1">
            <w:pPr>
              <w:spacing w:line="240" w:lineRule="auto"/>
              <w:ind w:firstLine="0" w:firstLineChars="0"/>
              <w:jc w:val="center"/>
              <w:rPr>
                <w:rFonts w:cs="Times New Roman"/>
                <w:sz w:val="21"/>
                <w:szCs w:val="21"/>
              </w:rPr>
            </w:pPr>
          </w:p>
        </w:tc>
        <w:tc>
          <w:tcPr>
            <w:tcW w:w="1168" w:type="dxa"/>
            <w:noWrap/>
            <w:vAlign w:val="center"/>
          </w:tcPr>
          <w:p w14:paraId="668004B4">
            <w:pPr>
              <w:spacing w:line="240" w:lineRule="auto"/>
              <w:ind w:firstLine="0" w:firstLineChars="0"/>
              <w:jc w:val="center"/>
              <w:rPr>
                <w:rFonts w:cs="Times New Roman"/>
                <w:sz w:val="21"/>
                <w:szCs w:val="21"/>
              </w:rPr>
            </w:pPr>
            <w:r>
              <w:rPr>
                <w:rFonts w:hint="eastAsia" w:cs="Times New Roman"/>
                <w:sz w:val="21"/>
                <w:szCs w:val="21"/>
              </w:rPr>
              <w:t>约20</w:t>
            </w:r>
          </w:p>
        </w:tc>
      </w:tr>
      <w:tr w14:paraId="514E9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F555E3C">
            <w:pPr>
              <w:pStyle w:val="39"/>
              <w:numPr>
                <w:ilvl w:val="0"/>
                <w:numId w:val="7"/>
              </w:numPr>
              <w:spacing w:line="240" w:lineRule="auto"/>
              <w:ind w:firstLineChars="0"/>
              <w:jc w:val="center"/>
              <w:rPr>
                <w:rFonts w:cs="Times New Roman"/>
                <w:sz w:val="21"/>
                <w:szCs w:val="21"/>
              </w:rPr>
            </w:pPr>
          </w:p>
        </w:tc>
        <w:tc>
          <w:tcPr>
            <w:tcW w:w="992" w:type="dxa"/>
            <w:noWrap/>
            <w:vAlign w:val="center"/>
          </w:tcPr>
          <w:p w14:paraId="080DE78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272B66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A0B0FC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DFFB0D8">
            <w:pPr>
              <w:spacing w:line="240" w:lineRule="auto"/>
              <w:ind w:firstLine="0" w:firstLineChars="0"/>
              <w:jc w:val="center"/>
              <w:rPr>
                <w:rFonts w:cs="Times New Roman"/>
                <w:sz w:val="21"/>
                <w:szCs w:val="21"/>
              </w:rPr>
            </w:pPr>
            <w:r>
              <w:rPr>
                <w:rFonts w:hint="eastAsia" w:cs="Times New Roman"/>
                <w:sz w:val="21"/>
                <w:szCs w:val="21"/>
              </w:rPr>
              <w:t>茅山银发大学</w:t>
            </w:r>
          </w:p>
        </w:tc>
        <w:tc>
          <w:tcPr>
            <w:tcW w:w="1701" w:type="dxa"/>
            <w:noWrap/>
            <w:vAlign w:val="center"/>
          </w:tcPr>
          <w:p w14:paraId="4B625C21">
            <w:pPr>
              <w:spacing w:line="240" w:lineRule="auto"/>
              <w:ind w:firstLine="0" w:firstLineChars="0"/>
              <w:jc w:val="center"/>
              <w:rPr>
                <w:rFonts w:cs="Times New Roman"/>
                <w:sz w:val="21"/>
                <w:szCs w:val="21"/>
              </w:rPr>
            </w:pPr>
            <w:r>
              <w:rPr>
                <w:rFonts w:hint="eastAsia" w:cs="Times New Roman"/>
                <w:sz w:val="21"/>
                <w:szCs w:val="21"/>
              </w:rPr>
              <w:t>119.321689</w:t>
            </w:r>
          </w:p>
        </w:tc>
        <w:tc>
          <w:tcPr>
            <w:tcW w:w="1690" w:type="dxa"/>
            <w:noWrap/>
            <w:vAlign w:val="center"/>
          </w:tcPr>
          <w:p w14:paraId="6A37F7AE">
            <w:pPr>
              <w:spacing w:line="240" w:lineRule="auto"/>
              <w:ind w:firstLine="0" w:firstLineChars="0"/>
              <w:jc w:val="center"/>
              <w:rPr>
                <w:rFonts w:cs="Times New Roman"/>
                <w:sz w:val="21"/>
                <w:szCs w:val="21"/>
              </w:rPr>
            </w:pPr>
            <w:r>
              <w:rPr>
                <w:rFonts w:hint="eastAsia" w:cs="Times New Roman"/>
                <w:sz w:val="21"/>
                <w:szCs w:val="21"/>
              </w:rPr>
              <w:t>31.784454</w:t>
            </w:r>
          </w:p>
        </w:tc>
        <w:tc>
          <w:tcPr>
            <w:tcW w:w="1080" w:type="dxa"/>
            <w:noWrap/>
            <w:vAlign w:val="center"/>
          </w:tcPr>
          <w:p w14:paraId="38E22972">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0192E7A3">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4256F871">
            <w:pPr>
              <w:spacing w:line="240" w:lineRule="auto"/>
              <w:ind w:firstLine="0" w:firstLineChars="0"/>
              <w:jc w:val="center"/>
              <w:rPr>
                <w:rFonts w:cs="Times New Roman"/>
                <w:sz w:val="21"/>
                <w:szCs w:val="21"/>
              </w:rPr>
            </w:pPr>
          </w:p>
        </w:tc>
        <w:tc>
          <w:tcPr>
            <w:tcW w:w="1168" w:type="dxa"/>
            <w:noWrap/>
            <w:vAlign w:val="center"/>
          </w:tcPr>
          <w:p w14:paraId="705FAB52">
            <w:pPr>
              <w:spacing w:line="240" w:lineRule="auto"/>
              <w:ind w:firstLine="0" w:firstLineChars="0"/>
              <w:jc w:val="center"/>
              <w:rPr>
                <w:rFonts w:cs="Times New Roman"/>
                <w:sz w:val="21"/>
                <w:szCs w:val="21"/>
              </w:rPr>
            </w:pPr>
            <w:r>
              <w:rPr>
                <w:rFonts w:hint="eastAsia" w:cs="Times New Roman"/>
                <w:sz w:val="21"/>
                <w:szCs w:val="21"/>
              </w:rPr>
              <w:t>约30</w:t>
            </w:r>
          </w:p>
        </w:tc>
      </w:tr>
      <w:tr w14:paraId="5BF4E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5F7F0B9">
            <w:pPr>
              <w:pStyle w:val="39"/>
              <w:numPr>
                <w:ilvl w:val="0"/>
                <w:numId w:val="7"/>
              </w:numPr>
              <w:spacing w:line="240" w:lineRule="auto"/>
              <w:ind w:firstLineChars="0"/>
              <w:jc w:val="center"/>
              <w:rPr>
                <w:rFonts w:cs="Times New Roman"/>
                <w:sz w:val="21"/>
                <w:szCs w:val="21"/>
              </w:rPr>
            </w:pPr>
          </w:p>
        </w:tc>
        <w:tc>
          <w:tcPr>
            <w:tcW w:w="992" w:type="dxa"/>
            <w:noWrap/>
            <w:vAlign w:val="center"/>
          </w:tcPr>
          <w:p w14:paraId="223613B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4C2AF8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A23494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91BEB88">
            <w:pPr>
              <w:spacing w:line="240" w:lineRule="auto"/>
              <w:ind w:firstLine="0" w:firstLineChars="0"/>
              <w:jc w:val="center"/>
              <w:rPr>
                <w:rFonts w:cs="Times New Roman"/>
                <w:sz w:val="21"/>
                <w:szCs w:val="21"/>
              </w:rPr>
            </w:pPr>
            <w:r>
              <w:rPr>
                <w:rFonts w:hint="eastAsia" w:cs="Times New Roman"/>
                <w:sz w:val="21"/>
                <w:szCs w:val="21"/>
              </w:rPr>
              <w:t>洪山门</w:t>
            </w:r>
          </w:p>
        </w:tc>
        <w:tc>
          <w:tcPr>
            <w:tcW w:w="1701" w:type="dxa"/>
            <w:noWrap/>
            <w:vAlign w:val="center"/>
          </w:tcPr>
          <w:p w14:paraId="7271E685">
            <w:pPr>
              <w:spacing w:line="240" w:lineRule="auto"/>
              <w:ind w:firstLine="0" w:firstLineChars="0"/>
              <w:jc w:val="center"/>
              <w:rPr>
                <w:rFonts w:cs="Times New Roman"/>
                <w:sz w:val="21"/>
                <w:szCs w:val="21"/>
              </w:rPr>
            </w:pPr>
            <w:r>
              <w:rPr>
                <w:rFonts w:hint="eastAsia" w:cs="Times New Roman"/>
                <w:sz w:val="21"/>
                <w:szCs w:val="21"/>
              </w:rPr>
              <w:t>119.328049</w:t>
            </w:r>
          </w:p>
        </w:tc>
        <w:tc>
          <w:tcPr>
            <w:tcW w:w="1690" w:type="dxa"/>
            <w:noWrap/>
            <w:vAlign w:val="center"/>
          </w:tcPr>
          <w:p w14:paraId="4A28307B">
            <w:pPr>
              <w:spacing w:line="240" w:lineRule="auto"/>
              <w:ind w:firstLine="0" w:firstLineChars="0"/>
              <w:jc w:val="center"/>
              <w:rPr>
                <w:rFonts w:cs="Times New Roman"/>
                <w:sz w:val="21"/>
                <w:szCs w:val="21"/>
              </w:rPr>
            </w:pPr>
            <w:r>
              <w:rPr>
                <w:rFonts w:hint="eastAsia" w:cs="Times New Roman"/>
                <w:sz w:val="21"/>
                <w:szCs w:val="21"/>
              </w:rPr>
              <w:t>31.804398</w:t>
            </w:r>
          </w:p>
        </w:tc>
        <w:tc>
          <w:tcPr>
            <w:tcW w:w="1080" w:type="dxa"/>
            <w:noWrap/>
            <w:vAlign w:val="center"/>
          </w:tcPr>
          <w:p w14:paraId="5944A14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0502017">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1AB0D581">
            <w:pPr>
              <w:spacing w:line="240" w:lineRule="auto"/>
              <w:ind w:firstLine="0" w:firstLineChars="0"/>
              <w:jc w:val="center"/>
              <w:rPr>
                <w:rFonts w:cs="Times New Roman"/>
                <w:sz w:val="21"/>
                <w:szCs w:val="21"/>
              </w:rPr>
            </w:pPr>
          </w:p>
        </w:tc>
        <w:tc>
          <w:tcPr>
            <w:tcW w:w="1168" w:type="dxa"/>
            <w:noWrap/>
            <w:vAlign w:val="center"/>
          </w:tcPr>
          <w:p w14:paraId="0088D7E3">
            <w:pPr>
              <w:spacing w:line="240" w:lineRule="auto"/>
              <w:ind w:firstLine="0" w:firstLineChars="0"/>
              <w:jc w:val="center"/>
              <w:rPr>
                <w:rFonts w:cs="Times New Roman"/>
                <w:sz w:val="21"/>
                <w:szCs w:val="21"/>
              </w:rPr>
            </w:pPr>
            <w:r>
              <w:rPr>
                <w:rFonts w:hint="eastAsia" w:cs="Times New Roman"/>
                <w:sz w:val="21"/>
                <w:szCs w:val="21"/>
              </w:rPr>
              <w:t>约10</w:t>
            </w:r>
          </w:p>
        </w:tc>
      </w:tr>
      <w:tr w14:paraId="069EF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5A94BF5">
            <w:pPr>
              <w:pStyle w:val="39"/>
              <w:numPr>
                <w:ilvl w:val="0"/>
                <w:numId w:val="7"/>
              </w:numPr>
              <w:spacing w:line="240" w:lineRule="auto"/>
              <w:ind w:firstLineChars="0"/>
              <w:jc w:val="center"/>
              <w:rPr>
                <w:rFonts w:cs="Times New Roman"/>
                <w:sz w:val="21"/>
                <w:szCs w:val="21"/>
              </w:rPr>
            </w:pPr>
          </w:p>
        </w:tc>
        <w:tc>
          <w:tcPr>
            <w:tcW w:w="992" w:type="dxa"/>
            <w:noWrap/>
            <w:vAlign w:val="center"/>
          </w:tcPr>
          <w:p w14:paraId="79B3695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C12B52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51CAD7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EF5C44C">
            <w:pPr>
              <w:spacing w:line="240" w:lineRule="auto"/>
              <w:ind w:firstLine="0" w:firstLineChars="0"/>
              <w:jc w:val="center"/>
              <w:rPr>
                <w:rFonts w:cs="Times New Roman"/>
                <w:sz w:val="21"/>
                <w:szCs w:val="21"/>
              </w:rPr>
            </w:pPr>
            <w:r>
              <w:rPr>
                <w:rFonts w:hint="eastAsia" w:cs="Times New Roman"/>
                <w:sz w:val="21"/>
                <w:szCs w:val="21"/>
              </w:rPr>
              <w:t>棉花山</w:t>
            </w:r>
          </w:p>
        </w:tc>
        <w:tc>
          <w:tcPr>
            <w:tcW w:w="1701" w:type="dxa"/>
            <w:noWrap/>
            <w:vAlign w:val="center"/>
          </w:tcPr>
          <w:p w14:paraId="16A95BAC">
            <w:pPr>
              <w:spacing w:line="240" w:lineRule="auto"/>
              <w:ind w:firstLine="0" w:firstLineChars="0"/>
              <w:jc w:val="center"/>
              <w:rPr>
                <w:rFonts w:cs="Times New Roman"/>
                <w:sz w:val="21"/>
                <w:szCs w:val="21"/>
              </w:rPr>
            </w:pPr>
            <w:r>
              <w:rPr>
                <w:rFonts w:hint="eastAsia" w:cs="Times New Roman"/>
                <w:sz w:val="21"/>
                <w:szCs w:val="21"/>
              </w:rPr>
              <w:t>119.369783</w:t>
            </w:r>
          </w:p>
        </w:tc>
        <w:tc>
          <w:tcPr>
            <w:tcW w:w="1690" w:type="dxa"/>
            <w:noWrap/>
            <w:vAlign w:val="center"/>
          </w:tcPr>
          <w:p w14:paraId="25236922">
            <w:pPr>
              <w:spacing w:line="240" w:lineRule="auto"/>
              <w:ind w:firstLine="0" w:firstLineChars="0"/>
              <w:jc w:val="center"/>
              <w:rPr>
                <w:rFonts w:cs="Times New Roman"/>
                <w:sz w:val="21"/>
                <w:szCs w:val="21"/>
              </w:rPr>
            </w:pPr>
            <w:r>
              <w:rPr>
                <w:rFonts w:hint="eastAsia" w:cs="Times New Roman"/>
                <w:sz w:val="21"/>
                <w:szCs w:val="21"/>
              </w:rPr>
              <w:t>31.733481</w:t>
            </w:r>
          </w:p>
        </w:tc>
        <w:tc>
          <w:tcPr>
            <w:tcW w:w="1080" w:type="dxa"/>
            <w:noWrap/>
            <w:vAlign w:val="center"/>
          </w:tcPr>
          <w:p w14:paraId="6975F7B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8CC3461">
            <w:pPr>
              <w:spacing w:line="240" w:lineRule="auto"/>
              <w:ind w:firstLine="0" w:firstLineChars="0"/>
              <w:jc w:val="center"/>
              <w:rPr>
                <w:rFonts w:cs="Times New Roman"/>
                <w:sz w:val="21"/>
                <w:szCs w:val="21"/>
              </w:rPr>
            </w:pPr>
            <w:r>
              <w:rPr>
                <w:rFonts w:hint="eastAsia" w:cs="Times New Roman"/>
                <w:sz w:val="21"/>
                <w:szCs w:val="21"/>
              </w:rPr>
              <w:t>/</w:t>
            </w:r>
          </w:p>
        </w:tc>
        <w:tc>
          <w:tcPr>
            <w:tcW w:w="720" w:type="dxa"/>
            <w:vMerge w:val="continue"/>
            <w:vAlign w:val="center"/>
          </w:tcPr>
          <w:p w14:paraId="749E8B8B">
            <w:pPr>
              <w:spacing w:line="240" w:lineRule="auto"/>
              <w:ind w:firstLine="0" w:firstLineChars="0"/>
              <w:jc w:val="center"/>
              <w:rPr>
                <w:rFonts w:cs="Times New Roman"/>
                <w:sz w:val="21"/>
                <w:szCs w:val="21"/>
              </w:rPr>
            </w:pPr>
          </w:p>
        </w:tc>
        <w:tc>
          <w:tcPr>
            <w:tcW w:w="1168" w:type="dxa"/>
            <w:noWrap/>
            <w:vAlign w:val="center"/>
          </w:tcPr>
          <w:p w14:paraId="25F7D7BA">
            <w:pPr>
              <w:spacing w:line="240" w:lineRule="auto"/>
              <w:ind w:firstLine="0" w:firstLineChars="0"/>
              <w:jc w:val="center"/>
              <w:rPr>
                <w:rFonts w:cs="Times New Roman"/>
                <w:sz w:val="21"/>
                <w:szCs w:val="21"/>
              </w:rPr>
            </w:pPr>
            <w:r>
              <w:rPr>
                <w:rFonts w:hint="eastAsia" w:cs="Times New Roman"/>
                <w:sz w:val="21"/>
                <w:szCs w:val="21"/>
              </w:rPr>
              <w:t>约20</w:t>
            </w:r>
          </w:p>
        </w:tc>
      </w:tr>
      <w:tr w14:paraId="5E58A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A00E4D6">
            <w:pPr>
              <w:pStyle w:val="39"/>
              <w:numPr>
                <w:ilvl w:val="0"/>
                <w:numId w:val="7"/>
              </w:numPr>
              <w:spacing w:line="240" w:lineRule="auto"/>
              <w:ind w:firstLineChars="0"/>
              <w:jc w:val="center"/>
              <w:rPr>
                <w:rFonts w:cs="Times New Roman"/>
                <w:sz w:val="21"/>
                <w:szCs w:val="21"/>
              </w:rPr>
            </w:pPr>
          </w:p>
        </w:tc>
        <w:tc>
          <w:tcPr>
            <w:tcW w:w="992" w:type="dxa"/>
            <w:noWrap/>
            <w:vAlign w:val="center"/>
          </w:tcPr>
          <w:p w14:paraId="1AB717B4">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F5408AD">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0A7972DA">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4CD7DC4C">
            <w:pPr>
              <w:spacing w:line="240" w:lineRule="auto"/>
              <w:ind w:firstLine="0" w:firstLineChars="0"/>
              <w:jc w:val="center"/>
              <w:rPr>
                <w:rFonts w:cs="Times New Roman"/>
                <w:sz w:val="21"/>
                <w:szCs w:val="21"/>
              </w:rPr>
            </w:pPr>
            <w:r>
              <w:rPr>
                <w:rFonts w:hint="eastAsia" w:cs="Times New Roman"/>
                <w:sz w:val="21"/>
                <w:szCs w:val="21"/>
              </w:rPr>
              <w:t>高德·花谷里</w:t>
            </w:r>
          </w:p>
        </w:tc>
        <w:tc>
          <w:tcPr>
            <w:tcW w:w="1701" w:type="dxa"/>
            <w:noWrap/>
            <w:vAlign w:val="center"/>
          </w:tcPr>
          <w:p w14:paraId="3A1C16D0">
            <w:pPr>
              <w:spacing w:line="240" w:lineRule="auto"/>
              <w:ind w:firstLine="0" w:firstLineChars="0"/>
              <w:jc w:val="center"/>
              <w:rPr>
                <w:rFonts w:cs="Times New Roman"/>
                <w:sz w:val="21"/>
                <w:szCs w:val="21"/>
              </w:rPr>
            </w:pPr>
            <w:r>
              <w:rPr>
                <w:rFonts w:hint="eastAsia" w:cs="Times New Roman"/>
                <w:sz w:val="21"/>
                <w:szCs w:val="21"/>
              </w:rPr>
              <w:t>119.320069</w:t>
            </w:r>
          </w:p>
        </w:tc>
        <w:tc>
          <w:tcPr>
            <w:tcW w:w="1690" w:type="dxa"/>
            <w:noWrap/>
            <w:vAlign w:val="center"/>
          </w:tcPr>
          <w:p w14:paraId="4725CCE1">
            <w:pPr>
              <w:spacing w:line="240" w:lineRule="auto"/>
              <w:ind w:firstLine="0" w:firstLineChars="0"/>
              <w:jc w:val="center"/>
              <w:rPr>
                <w:rFonts w:cs="Times New Roman"/>
                <w:sz w:val="21"/>
                <w:szCs w:val="21"/>
              </w:rPr>
            </w:pPr>
            <w:r>
              <w:rPr>
                <w:rFonts w:hint="eastAsia" w:cs="Times New Roman"/>
                <w:sz w:val="21"/>
                <w:szCs w:val="21"/>
              </w:rPr>
              <w:t>31.733314</w:t>
            </w:r>
          </w:p>
        </w:tc>
        <w:tc>
          <w:tcPr>
            <w:tcW w:w="1080" w:type="dxa"/>
            <w:noWrap/>
            <w:vAlign w:val="center"/>
          </w:tcPr>
          <w:p w14:paraId="2F6AFDC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18A235F">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57C135AA">
            <w:pPr>
              <w:spacing w:line="240" w:lineRule="auto"/>
              <w:ind w:firstLine="0" w:firstLineChars="0"/>
              <w:jc w:val="center"/>
              <w:rPr>
                <w:rFonts w:cs="Times New Roman"/>
                <w:sz w:val="21"/>
                <w:szCs w:val="21"/>
              </w:rPr>
            </w:pPr>
            <w:r>
              <w:rPr>
                <w:rFonts w:hint="eastAsia" w:cs="Times New Roman"/>
                <w:sz w:val="21"/>
                <w:szCs w:val="21"/>
              </w:rPr>
              <w:t>10</w:t>
            </w:r>
          </w:p>
        </w:tc>
        <w:tc>
          <w:tcPr>
            <w:tcW w:w="1168" w:type="dxa"/>
            <w:noWrap/>
            <w:vAlign w:val="center"/>
          </w:tcPr>
          <w:p w14:paraId="39C0113A">
            <w:pPr>
              <w:spacing w:line="240" w:lineRule="auto"/>
              <w:ind w:firstLine="0" w:firstLineChars="0"/>
              <w:jc w:val="center"/>
              <w:rPr>
                <w:rFonts w:cs="Times New Roman"/>
                <w:sz w:val="21"/>
                <w:szCs w:val="21"/>
              </w:rPr>
            </w:pPr>
            <w:r>
              <w:rPr>
                <w:rFonts w:hint="eastAsia" w:cs="Times New Roman"/>
                <w:sz w:val="21"/>
                <w:szCs w:val="21"/>
              </w:rPr>
              <w:t>约400</w:t>
            </w:r>
          </w:p>
        </w:tc>
      </w:tr>
      <w:tr w14:paraId="0728D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A4AAEF0">
            <w:pPr>
              <w:pStyle w:val="39"/>
              <w:numPr>
                <w:ilvl w:val="0"/>
                <w:numId w:val="7"/>
              </w:numPr>
              <w:spacing w:line="240" w:lineRule="auto"/>
              <w:ind w:firstLineChars="0"/>
              <w:jc w:val="center"/>
              <w:rPr>
                <w:rFonts w:cs="Times New Roman"/>
                <w:sz w:val="21"/>
                <w:szCs w:val="21"/>
              </w:rPr>
            </w:pPr>
          </w:p>
        </w:tc>
        <w:tc>
          <w:tcPr>
            <w:tcW w:w="992" w:type="dxa"/>
            <w:noWrap/>
            <w:vAlign w:val="center"/>
          </w:tcPr>
          <w:p w14:paraId="5F66EFE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19A782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54AF60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37EF87F">
            <w:pPr>
              <w:spacing w:line="240" w:lineRule="auto"/>
              <w:ind w:firstLine="0" w:firstLineChars="0"/>
              <w:jc w:val="center"/>
              <w:rPr>
                <w:rFonts w:cs="Times New Roman"/>
                <w:sz w:val="21"/>
                <w:szCs w:val="21"/>
              </w:rPr>
            </w:pPr>
            <w:r>
              <w:rPr>
                <w:rFonts w:hint="eastAsia" w:cs="Times New Roman"/>
                <w:sz w:val="21"/>
                <w:szCs w:val="21"/>
              </w:rPr>
              <w:t>金坛区薛埠中学</w:t>
            </w:r>
          </w:p>
        </w:tc>
        <w:tc>
          <w:tcPr>
            <w:tcW w:w="1701" w:type="dxa"/>
            <w:noWrap/>
            <w:vAlign w:val="center"/>
          </w:tcPr>
          <w:p w14:paraId="615A495C">
            <w:pPr>
              <w:spacing w:line="240" w:lineRule="auto"/>
              <w:ind w:firstLine="0" w:firstLineChars="0"/>
              <w:jc w:val="center"/>
              <w:rPr>
                <w:rFonts w:cs="Times New Roman"/>
                <w:sz w:val="21"/>
                <w:szCs w:val="21"/>
              </w:rPr>
            </w:pPr>
            <w:r>
              <w:rPr>
                <w:rFonts w:hint="eastAsia" w:cs="Times New Roman"/>
                <w:sz w:val="21"/>
                <w:szCs w:val="21"/>
              </w:rPr>
              <w:t>119.368059</w:t>
            </w:r>
          </w:p>
        </w:tc>
        <w:tc>
          <w:tcPr>
            <w:tcW w:w="1690" w:type="dxa"/>
            <w:noWrap/>
            <w:vAlign w:val="center"/>
          </w:tcPr>
          <w:p w14:paraId="30AE05BC">
            <w:pPr>
              <w:spacing w:line="240" w:lineRule="auto"/>
              <w:ind w:firstLine="0" w:firstLineChars="0"/>
              <w:jc w:val="center"/>
              <w:rPr>
                <w:rFonts w:cs="Times New Roman"/>
                <w:sz w:val="21"/>
                <w:szCs w:val="21"/>
              </w:rPr>
            </w:pPr>
            <w:r>
              <w:rPr>
                <w:rFonts w:hint="eastAsia" w:cs="Times New Roman"/>
                <w:sz w:val="21"/>
                <w:szCs w:val="21"/>
              </w:rPr>
              <w:t>31.723628</w:t>
            </w:r>
          </w:p>
        </w:tc>
        <w:tc>
          <w:tcPr>
            <w:tcW w:w="1080" w:type="dxa"/>
            <w:noWrap/>
            <w:vAlign w:val="center"/>
          </w:tcPr>
          <w:p w14:paraId="28395213">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7111F9D3">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4FD2D3C5">
            <w:pPr>
              <w:spacing w:line="240" w:lineRule="auto"/>
              <w:ind w:firstLine="0" w:firstLineChars="0"/>
              <w:jc w:val="center"/>
              <w:rPr>
                <w:rFonts w:cs="Times New Roman"/>
                <w:sz w:val="21"/>
                <w:szCs w:val="21"/>
              </w:rPr>
            </w:pPr>
            <w:r>
              <w:rPr>
                <w:rFonts w:hint="eastAsia" w:cs="Times New Roman"/>
                <w:sz w:val="21"/>
                <w:szCs w:val="21"/>
              </w:rPr>
              <w:t>920</w:t>
            </w:r>
          </w:p>
        </w:tc>
        <w:tc>
          <w:tcPr>
            <w:tcW w:w="1168" w:type="dxa"/>
            <w:noWrap/>
            <w:vAlign w:val="center"/>
          </w:tcPr>
          <w:p w14:paraId="28BDF307">
            <w:pPr>
              <w:spacing w:line="240" w:lineRule="auto"/>
              <w:ind w:firstLine="0" w:firstLineChars="0"/>
              <w:jc w:val="center"/>
              <w:rPr>
                <w:rFonts w:cs="Times New Roman"/>
                <w:sz w:val="21"/>
                <w:szCs w:val="21"/>
              </w:rPr>
            </w:pPr>
            <w:r>
              <w:rPr>
                <w:rFonts w:hint="eastAsia" w:cs="Times New Roman"/>
                <w:sz w:val="21"/>
                <w:szCs w:val="21"/>
              </w:rPr>
              <w:t>约100</w:t>
            </w:r>
          </w:p>
        </w:tc>
      </w:tr>
      <w:tr w14:paraId="746B3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B2EE1EE">
            <w:pPr>
              <w:pStyle w:val="39"/>
              <w:numPr>
                <w:ilvl w:val="0"/>
                <w:numId w:val="7"/>
              </w:numPr>
              <w:spacing w:line="240" w:lineRule="auto"/>
              <w:ind w:firstLineChars="0"/>
              <w:jc w:val="center"/>
              <w:rPr>
                <w:rFonts w:cs="Times New Roman"/>
                <w:sz w:val="21"/>
                <w:szCs w:val="21"/>
              </w:rPr>
            </w:pPr>
          </w:p>
        </w:tc>
        <w:tc>
          <w:tcPr>
            <w:tcW w:w="992" w:type="dxa"/>
            <w:noWrap/>
            <w:vAlign w:val="center"/>
          </w:tcPr>
          <w:p w14:paraId="4F19334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011D6E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66146D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14B9BB9">
            <w:pPr>
              <w:spacing w:line="240" w:lineRule="auto"/>
              <w:ind w:firstLine="0" w:firstLineChars="0"/>
              <w:jc w:val="center"/>
              <w:rPr>
                <w:rFonts w:cs="Times New Roman"/>
                <w:sz w:val="21"/>
                <w:szCs w:val="21"/>
              </w:rPr>
            </w:pPr>
            <w:r>
              <w:rPr>
                <w:rFonts w:hint="eastAsia" w:cs="Times New Roman"/>
                <w:sz w:val="21"/>
                <w:szCs w:val="21"/>
              </w:rPr>
              <w:t>金坛区薛埠中心小学</w:t>
            </w:r>
          </w:p>
        </w:tc>
        <w:tc>
          <w:tcPr>
            <w:tcW w:w="1701" w:type="dxa"/>
            <w:noWrap/>
            <w:vAlign w:val="center"/>
          </w:tcPr>
          <w:p w14:paraId="5E02E940">
            <w:pPr>
              <w:spacing w:line="240" w:lineRule="auto"/>
              <w:ind w:firstLine="0" w:firstLineChars="0"/>
              <w:jc w:val="center"/>
              <w:rPr>
                <w:rFonts w:cs="Times New Roman"/>
                <w:sz w:val="21"/>
                <w:szCs w:val="21"/>
              </w:rPr>
            </w:pPr>
            <w:r>
              <w:rPr>
                <w:rFonts w:hint="eastAsia" w:cs="Times New Roman"/>
                <w:sz w:val="21"/>
                <w:szCs w:val="21"/>
              </w:rPr>
              <w:t>119.369396</w:t>
            </w:r>
          </w:p>
        </w:tc>
        <w:tc>
          <w:tcPr>
            <w:tcW w:w="1690" w:type="dxa"/>
            <w:noWrap/>
            <w:vAlign w:val="center"/>
          </w:tcPr>
          <w:p w14:paraId="3CEB2350">
            <w:pPr>
              <w:spacing w:line="240" w:lineRule="auto"/>
              <w:ind w:firstLine="0" w:firstLineChars="0"/>
              <w:jc w:val="center"/>
              <w:rPr>
                <w:rFonts w:cs="Times New Roman"/>
                <w:sz w:val="21"/>
                <w:szCs w:val="21"/>
              </w:rPr>
            </w:pPr>
            <w:r>
              <w:rPr>
                <w:rFonts w:hint="eastAsia" w:cs="Times New Roman"/>
                <w:sz w:val="21"/>
                <w:szCs w:val="21"/>
              </w:rPr>
              <w:t>31.720589</w:t>
            </w:r>
          </w:p>
        </w:tc>
        <w:tc>
          <w:tcPr>
            <w:tcW w:w="1080" w:type="dxa"/>
            <w:noWrap/>
            <w:vAlign w:val="center"/>
          </w:tcPr>
          <w:p w14:paraId="0B6D1B66">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58A168F7">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0B2B14A8">
            <w:pPr>
              <w:spacing w:line="240" w:lineRule="auto"/>
              <w:ind w:firstLine="0" w:firstLineChars="0"/>
              <w:jc w:val="center"/>
              <w:rPr>
                <w:rFonts w:cs="Times New Roman"/>
                <w:sz w:val="21"/>
                <w:szCs w:val="21"/>
              </w:rPr>
            </w:pPr>
            <w:r>
              <w:rPr>
                <w:rFonts w:hint="eastAsia" w:cs="Times New Roman"/>
                <w:sz w:val="21"/>
                <w:szCs w:val="21"/>
              </w:rPr>
              <w:t>1280</w:t>
            </w:r>
          </w:p>
        </w:tc>
        <w:tc>
          <w:tcPr>
            <w:tcW w:w="1168" w:type="dxa"/>
            <w:noWrap/>
            <w:vAlign w:val="center"/>
          </w:tcPr>
          <w:p w14:paraId="39729270">
            <w:pPr>
              <w:spacing w:line="240" w:lineRule="auto"/>
              <w:ind w:firstLine="0" w:firstLineChars="0"/>
              <w:jc w:val="center"/>
              <w:rPr>
                <w:rFonts w:cs="Times New Roman"/>
                <w:sz w:val="21"/>
                <w:szCs w:val="21"/>
              </w:rPr>
            </w:pPr>
            <w:r>
              <w:rPr>
                <w:rFonts w:hint="eastAsia" w:cs="Times New Roman"/>
                <w:sz w:val="21"/>
                <w:szCs w:val="21"/>
              </w:rPr>
              <w:t>约100</w:t>
            </w:r>
          </w:p>
        </w:tc>
      </w:tr>
      <w:tr w14:paraId="5993D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C3C6EF7">
            <w:pPr>
              <w:pStyle w:val="39"/>
              <w:numPr>
                <w:ilvl w:val="0"/>
                <w:numId w:val="7"/>
              </w:numPr>
              <w:spacing w:line="240" w:lineRule="auto"/>
              <w:ind w:firstLineChars="0"/>
              <w:jc w:val="center"/>
              <w:rPr>
                <w:rFonts w:cs="Times New Roman"/>
                <w:sz w:val="21"/>
                <w:szCs w:val="21"/>
              </w:rPr>
            </w:pPr>
          </w:p>
        </w:tc>
        <w:tc>
          <w:tcPr>
            <w:tcW w:w="992" w:type="dxa"/>
            <w:noWrap/>
            <w:vAlign w:val="center"/>
          </w:tcPr>
          <w:p w14:paraId="2BBCB8C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D00E5E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B94350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61D72AA">
            <w:pPr>
              <w:spacing w:line="240" w:lineRule="auto"/>
              <w:ind w:firstLine="0" w:firstLineChars="0"/>
              <w:jc w:val="center"/>
              <w:rPr>
                <w:rFonts w:cs="Times New Roman"/>
                <w:sz w:val="21"/>
                <w:szCs w:val="21"/>
              </w:rPr>
            </w:pPr>
            <w:r>
              <w:rPr>
                <w:rFonts w:hint="eastAsia" w:cs="Times New Roman"/>
                <w:sz w:val="21"/>
                <w:szCs w:val="21"/>
              </w:rPr>
              <w:t>薛埠镇中心幼儿园</w:t>
            </w:r>
          </w:p>
        </w:tc>
        <w:tc>
          <w:tcPr>
            <w:tcW w:w="1701" w:type="dxa"/>
            <w:noWrap/>
            <w:vAlign w:val="center"/>
          </w:tcPr>
          <w:p w14:paraId="1315A1BC">
            <w:pPr>
              <w:spacing w:line="240" w:lineRule="auto"/>
              <w:ind w:firstLine="0" w:firstLineChars="0"/>
              <w:jc w:val="center"/>
              <w:rPr>
                <w:rFonts w:cs="Times New Roman"/>
                <w:sz w:val="21"/>
                <w:szCs w:val="21"/>
              </w:rPr>
            </w:pPr>
            <w:r>
              <w:rPr>
                <w:rFonts w:hint="eastAsia" w:cs="Times New Roman"/>
                <w:sz w:val="21"/>
                <w:szCs w:val="21"/>
              </w:rPr>
              <w:t>119.373536</w:t>
            </w:r>
          </w:p>
        </w:tc>
        <w:tc>
          <w:tcPr>
            <w:tcW w:w="1690" w:type="dxa"/>
            <w:noWrap/>
            <w:vAlign w:val="center"/>
          </w:tcPr>
          <w:p w14:paraId="43CA7C47">
            <w:pPr>
              <w:spacing w:line="240" w:lineRule="auto"/>
              <w:ind w:firstLine="0" w:firstLineChars="0"/>
              <w:jc w:val="center"/>
              <w:rPr>
                <w:rFonts w:cs="Times New Roman"/>
                <w:sz w:val="21"/>
                <w:szCs w:val="21"/>
              </w:rPr>
            </w:pPr>
            <w:r>
              <w:rPr>
                <w:rFonts w:hint="eastAsia" w:cs="Times New Roman"/>
                <w:sz w:val="21"/>
                <w:szCs w:val="21"/>
              </w:rPr>
              <w:t>31.719717</w:t>
            </w:r>
          </w:p>
        </w:tc>
        <w:tc>
          <w:tcPr>
            <w:tcW w:w="1080" w:type="dxa"/>
            <w:noWrap/>
            <w:vAlign w:val="center"/>
          </w:tcPr>
          <w:p w14:paraId="0A4C30F3">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557C3423">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5589F10C">
            <w:pPr>
              <w:spacing w:line="240" w:lineRule="auto"/>
              <w:ind w:firstLine="0" w:firstLineChars="0"/>
              <w:jc w:val="center"/>
              <w:rPr>
                <w:rFonts w:cs="Times New Roman"/>
                <w:sz w:val="21"/>
                <w:szCs w:val="21"/>
              </w:rPr>
            </w:pPr>
            <w:r>
              <w:rPr>
                <w:rFonts w:hint="eastAsia" w:cs="Times New Roman"/>
                <w:sz w:val="21"/>
                <w:szCs w:val="21"/>
              </w:rPr>
              <w:t>1370</w:t>
            </w:r>
          </w:p>
        </w:tc>
        <w:tc>
          <w:tcPr>
            <w:tcW w:w="1168" w:type="dxa"/>
            <w:noWrap/>
            <w:vAlign w:val="center"/>
          </w:tcPr>
          <w:p w14:paraId="055C065D">
            <w:pPr>
              <w:spacing w:line="240" w:lineRule="auto"/>
              <w:ind w:firstLine="0" w:firstLineChars="0"/>
              <w:jc w:val="center"/>
              <w:rPr>
                <w:rFonts w:cs="Times New Roman"/>
                <w:sz w:val="21"/>
                <w:szCs w:val="21"/>
              </w:rPr>
            </w:pPr>
            <w:r>
              <w:rPr>
                <w:rFonts w:hint="eastAsia" w:cs="Times New Roman"/>
                <w:sz w:val="21"/>
                <w:szCs w:val="21"/>
              </w:rPr>
              <w:t>约150</w:t>
            </w:r>
          </w:p>
        </w:tc>
      </w:tr>
      <w:tr w14:paraId="72946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CEDB68F">
            <w:pPr>
              <w:pStyle w:val="39"/>
              <w:numPr>
                <w:ilvl w:val="0"/>
                <w:numId w:val="7"/>
              </w:numPr>
              <w:spacing w:line="240" w:lineRule="auto"/>
              <w:ind w:firstLineChars="0"/>
              <w:jc w:val="center"/>
              <w:rPr>
                <w:rFonts w:cs="Times New Roman"/>
                <w:sz w:val="21"/>
                <w:szCs w:val="21"/>
              </w:rPr>
            </w:pPr>
          </w:p>
        </w:tc>
        <w:tc>
          <w:tcPr>
            <w:tcW w:w="992" w:type="dxa"/>
            <w:noWrap/>
            <w:vAlign w:val="center"/>
          </w:tcPr>
          <w:p w14:paraId="60597E9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5494A2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C49A504">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C545AA0">
            <w:pPr>
              <w:spacing w:line="240" w:lineRule="auto"/>
              <w:ind w:firstLine="0" w:firstLineChars="0"/>
              <w:jc w:val="center"/>
              <w:rPr>
                <w:rFonts w:cs="Times New Roman"/>
                <w:sz w:val="21"/>
                <w:szCs w:val="21"/>
              </w:rPr>
            </w:pPr>
            <w:r>
              <w:rPr>
                <w:rFonts w:hint="eastAsia" w:cs="Times New Roman"/>
                <w:sz w:val="21"/>
                <w:szCs w:val="21"/>
              </w:rPr>
              <w:t>茅山地区人民医院</w:t>
            </w:r>
          </w:p>
        </w:tc>
        <w:tc>
          <w:tcPr>
            <w:tcW w:w="1701" w:type="dxa"/>
            <w:noWrap/>
            <w:vAlign w:val="center"/>
          </w:tcPr>
          <w:p w14:paraId="35A528DC">
            <w:pPr>
              <w:spacing w:line="240" w:lineRule="auto"/>
              <w:ind w:firstLine="0" w:firstLineChars="0"/>
              <w:jc w:val="center"/>
              <w:rPr>
                <w:rFonts w:cs="Times New Roman"/>
                <w:sz w:val="21"/>
                <w:szCs w:val="21"/>
              </w:rPr>
            </w:pPr>
            <w:r>
              <w:rPr>
                <w:rFonts w:hint="eastAsia" w:cs="Times New Roman"/>
                <w:sz w:val="21"/>
                <w:szCs w:val="21"/>
              </w:rPr>
              <w:t>119.374783</w:t>
            </w:r>
          </w:p>
        </w:tc>
        <w:tc>
          <w:tcPr>
            <w:tcW w:w="1690" w:type="dxa"/>
            <w:noWrap/>
            <w:vAlign w:val="center"/>
          </w:tcPr>
          <w:p w14:paraId="16BDFC96">
            <w:pPr>
              <w:spacing w:line="240" w:lineRule="auto"/>
              <w:ind w:firstLine="0" w:firstLineChars="0"/>
              <w:jc w:val="center"/>
              <w:rPr>
                <w:rFonts w:cs="Times New Roman"/>
                <w:sz w:val="21"/>
                <w:szCs w:val="21"/>
              </w:rPr>
            </w:pPr>
            <w:r>
              <w:rPr>
                <w:rFonts w:hint="eastAsia" w:cs="Times New Roman"/>
                <w:sz w:val="21"/>
                <w:szCs w:val="21"/>
              </w:rPr>
              <w:t>31.719681</w:t>
            </w:r>
          </w:p>
        </w:tc>
        <w:tc>
          <w:tcPr>
            <w:tcW w:w="1080" w:type="dxa"/>
            <w:noWrap/>
            <w:vAlign w:val="center"/>
          </w:tcPr>
          <w:p w14:paraId="13D78D1E">
            <w:pPr>
              <w:spacing w:line="240" w:lineRule="auto"/>
              <w:ind w:firstLine="0" w:firstLineChars="0"/>
              <w:jc w:val="center"/>
              <w:rPr>
                <w:rFonts w:cs="Times New Roman"/>
                <w:sz w:val="21"/>
                <w:szCs w:val="21"/>
              </w:rPr>
            </w:pPr>
            <w:r>
              <w:rPr>
                <w:rFonts w:hint="eastAsia" w:cs="Times New Roman"/>
                <w:sz w:val="21"/>
                <w:szCs w:val="21"/>
              </w:rPr>
              <w:t>医患</w:t>
            </w:r>
          </w:p>
        </w:tc>
        <w:tc>
          <w:tcPr>
            <w:tcW w:w="702" w:type="dxa"/>
            <w:noWrap/>
            <w:vAlign w:val="center"/>
          </w:tcPr>
          <w:p w14:paraId="046DF34E">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CAF1AE5">
            <w:pPr>
              <w:spacing w:line="240" w:lineRule="auto"/>
              <w:ind w:firstLine="0" w:firstLineChars="0"/>
              <w:jc w:val="center"/>
              <w:rPr>
                <w:rFonts w:cs="Times New Roman"/>
                <w:sz w:val="21"/>
                <w:szCs w:val="21"/>
              </w:rPr>
            </w:pPr>
            <w:r>
              <w:rPr>
                <w:rFonts w:hint="eastAsia" w:cs="Times New Roman"/>
                <w:sz w:val="21"/>
                <w:szCs w:val="21"/>
              </w:rPr>
              <w:t>1370</w:t>
            </w:r>
          </w:p>
        </w:tc>
        <w:tc>
          <w:tcPr>
            <w:tcW w:w="1168" w:type="dxa"/>
            <w:noWrap/>
            <w:vAlign w:val="center"/>
          </w:tcPr>
          <w:p w14:paraId="62B869A0">
            <w:pPr>
              <w:spacing w:line="240" w:lineRule="auto"/>
              <w:ind w:firstLine="0" w:firstLineChars="0"/>
              <w:jc w:val="center"/>
              <w:rPr>
                <w:rFonts w:cs="Times New Roman"/>
                <w:sz w:val="21"/>
                <w:szCs w:val="21"/>
              </w:rPr>
            </w:pPr>
            <w:r>
              <w:rPr>
                <w:rFonts w:hint="eastAsia" w:cs="Times New Roman"/>
                <w:sz w:val="21"/>
                <w:szCs w:val="21"/>
              </w:rPr>
              <w:t>约200</w:t>
            </w:r>
          </w:p>
        </w:tc>
      </w:tr>
      <w:tr w14:paraId="712D5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CC9284F">
            <w:pPr>
              <w:pStyle w:val="39"/>
              <w:numPr>
                <w:ilvl w:val="0"/>
                <w:numId w:val="7"/>
              </w:numPr>
              <w:spacing w:line="240" w:lineRule="auto"/>
              <w:ind w:firstLineChars="0"/>
              <w:jc w:val="center"/>
              <w:rPr>
                <w:rFonts w:cs="Times New Roman"/>
                <w:sz w:val="21"/>
                <w:szCs w:val="21"/>
              </w:rPr>
            </w:pPr>
          </w:p>
        </w:tc>
        <w:tc>
          <w:tcPr>
            <w:tcW w:w="992" w:type="dxa"/>
            <w:noWrap/>
            <w:vAlign w:val="center"/>
          </w:tcPr>
          <w:p w14:paraId="38F8171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100EF7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092396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0649D8E">
            <w:pPr>
              <w:spacing w:line="240" w:lineRule="auto"/>
              <w:ind w:firstLine="0" w:firstLineChars="0"/>
              <w:jc w:val="center"/>
              <w:rPr>
                <w:rFonts w:cs="Times New Roman"/>
                <w:sz w:val="21"/>
                <w:szCs w:val="21"/>
              </w:rPr>
            </w:pPr>
            <w:r>
              <w:rPr>
                <w:rFonts w:hint="eastAsia" w:cs="Times New Roman"/>
                <w:sz w:val="21"/>
                <w:szCs w:val="21"/>
              </w:rPr>
              <w:t>薛埠镇人民政府</w:t>
            </w:r>
          </w:p>
        </w:tc>
        <w:tc>
          <w:tcPr>
            <w:tcW w:w="1701" w:type="dxa"/>
            <w:noWrap/>
            <w:vAlign w:val="center"/>
          </w:tcPr>
          <w:p w14:paraId="1506DC51">
            <w:pPr>
              <w:spacing w:line="240" w:lineRule="auto"/>
              <w:ind w:firstLine="0" w:firstLineChars="0"/>
              <w:jc w:val="center"/>
              <w:rPr>
                <w:rFonts w:cs="Times New Roman"/>
                <w:sz w:val="21"/>
                <w:szCs w:val="21"/>
              </w:rPr>
            </w:pPr>
            <w:r>
              <w:rPr>
                <w:rFonts w:hint="eastAsia" w:cs="Times New Roman"/>
                <w:sz w:val="21"/>
                <w:szCs w:val="21"/>
              </w:rPr>
              <w:t>119.376884</w:t>
            </w:r>
          </w:p>
        </w:tc>
        <w:tc>
          <w:tcPr>
            <w:tcW w:w="1690" w:type="dxa"/>
            <w:noWrap/>
            <w:vAlign w:val="center"/>
          </w:tcPr>
          <w:p w14:paraId="611C9AA8">
            <w:pPr>
              <w:spacing w:line="240" w:lineRule="auto"/>
              <w:ind w:firstLine="0" w:firstLineChars="0"/>
              <w:jc w:val="center"/>
              <w:rPr>
                <w:rFonts w:cs="Times New Roman"/>
                <w:sz w:val="21"/>
                <w:szCs w:val="21"/>
              </w:rPr>
            </w:pPr>
            <w:r>
              <w:rPr>
                <w:rFonts w:hint="eastAsia" w:cs="Times New Roman"/>
                <w:sz w:val="21"/>
                <w:szCs w:val="21"/>
              </w:rPr>
              <w:t>31.719104</w:t>
            </w:r>
          </w:p>
        </w:tc>
        <w:tc>
          <w:tcPr>
            <w:tcW w:w="1080" w:type="dxa"/>
            <w:noWrap/>
            <w:vAlign w:val="center"/>
          </w:tcPr>
          <w:p w14:paraId="5E969B27">
            <w:pPr>
              <w:spacing w:line="240" w:lineRule="auto"/>
              <w:ind w:firstLine="0" w:firstLineChars="0"/>
              <w:jc w:val="center"/>
              <w:rPr>
                <w:rFonts w:cs="Times New Roman"/>
                <w:sz w:val="21"/>
                <w:szCs w:val="21"/>
              </w:rPr>
            </w:pPr>
            <w:r>
              <w:rPr>
                <w:rFonts w:hint="eastAsia" w:cs="Times New Roman"/>
                <w:sz w:val="21"/>
                <w:szCs w:val="21"/>
              </w:rPr>
              <w:t>办公区</w:t>
            </w:r>
          </w:p>
        </w:tc>
        <w:tc>
          <w:tcPr>
            <w:tcW w:w="702" w:type="dxa"/>
            <w:noWrap/>
            <w:vAlign w:val="center"/>
          </w:tcPr>
          <w:p w14:paraId="60DD45AA">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58BD7DCB">
            <w:pPr>
              <w:spacing w:line="240" w:lineRule="auto"/>
              <w:ind w:firstLine="0" w:firstLineChars="0"/>
              <w:jc w:val="center"/>
              <w:rPr>
                <w:rFonts w:cs="Times New Roman"/>
                <w:sz w:val="21"/>
                <w:szCs w:val="21"/>
              </w:rPr>
            </w:pPr>
            <w:r>
              <w:rPr>
                <w:rFonts w:hint="eastAsia" w:cs="Times New Roman"/>
                <w:sz w:val="21"/>
                <w:szCs w:val="21"/>
              </w:rPr>
              <w:t>1470</w:t>
            </w:r>
          </w:p>
        </w:tc>
        <w:tc>
          <w:tcPr>
            <w:tcW w:w="1168" w:type="dxa"/>
            <w:noWrap/>
            <w:vAlign w:val="center"/>
          </w:tcPr>
          <w:p w14:paraId="2DBCA3C7">
            <w:pPr>
              <w:spacing w:line="240" w:lineRule="auto"/>
              <w:ind w:firstLine="0" w:firstLineChars="0"/>
              <w:jc w:val="center"/>
              <w:rPr>
                <w:rFonts w:cs="Times New Roman"/>
                <w:sz w:val="21"/>
                <w:szCs w:val="21"/>
              </w:rPr>
            </w:pPr>
            <w:r>
              <w:rPr>
                <w:rFonts w:hint="eastAsia" w:cs="Times New Roman"/>
                <w:sz w:val="21"/>
                <w:szCs w:val="21"/>
              </w:rPr>
              <w:t>约150</w:t>
            </w:r>
          </w:p>
        </w:tc>
      </w:tr>
      <w:tr w14:paraId="1CDD8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9D8F490">
            <w:pPr>
              <w:pStyle w:val="39"/>
              <w:numPr>
                <w:ilvl w:val="0"/>
                <w:numId w:val="7"/>
              </w:numPr>
              <w:spacing w:line="240" w:lineRule="auto"/>
              <w:ind w:firstLineChars="0"/>
              <w:jc w:val="center"/>
              <w:rPr>
                <w:rFonts w:cs="Times New Roman"/>
                <w:sz w:val="21"/>
                <w:szCs w:val="21"/>
              </w:rPr>
            </w:pPr>
          </w:p>
        </w:tc>
        <w:tc>
          <w:tcPr>
            <w:tcW w:w="992" w:type="dxa"/>
            <w:noWrap/>
            <w:vAlign w:val="center"/>
          </w:tcPr>
          <w:p w14:paraId="59C6DB9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C1AD35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F08A6A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E98F64F">
            <w:pPr>
              <w:spacing w:line="240" w:lineRule="auto"/>
              <w:ind w:firstLine="0" w:firstLineChars="0"/>
              <w:jc w:val="center"/>
              <w:rPr>
                <w:rFonts w:cs="Times New Roman"/>
                <w:sz w:val="21"/>
                <w:szCs w:val="21"/>
              </w:rPr>
            </w:pPr>
            <w:r>
              <w:rPr>
                <w:rFonts w:hint="eastAsia" w:cs="Times New Roman"/>
                <w:sz w:val="21"/>
                <w:szCs w:val="21"/>
              </w:rPr>
              <w:t>金坛区税务局薛埠税务分局</w:t>
            </w:r>
          </w:p>
        </w:tc>
        <w:tc>
          <w:tcPr>
            <w:tcW w:w="1701" w:type="dxa"/>
            <w:noWrap/>
            <w:vAlign w:val="center"/>
          </w:tcPr>
          <w:p w14:paraId="2126DC6C">
            <w:pPr>
              <w:spacing w:line="240" w:lineRule="auto"/>
              <w:ind w:firstLine="0" w:firstLineChars="0"/>
              <w:jc w:val="center"/>
              <w:rPr>
                <w:rFonts w:cs="Times New Roman"/>
                <w:sz w:val="21"/>
                <w:szCs w:val="21"/>
              </w:rPr>
            </w:pPr>
            <w:r>
              <w:rPr>
                <w:rFonts w:hint="eastAsia" w:cs="Times New Roman"/>
                <w:sz w:val="21"/>
                <w:szCs w:val="21"/>
              </w:rPr>
              <w:t>119.377974</w:t>
            </w:r>
          </w:p>
        </w:tc>
        <w:tc>
          <w:tcPr>
            <w:tcW w:w="1690" w:type="dxa"/>
            <w:noWrap/>
            <w:vAlign w:val="center"/>
          </w:tcPr>
          <w:p w14:paraId="4473AC89">
            <w:pPr>
              <w:spacing w:line="240" w:lineRule="auto"/>
              <w:ind w:firstLine="0" w:firstLineChars="0"/>
              <w:jc w:val="center"/>
              <w:rPr>
                <w:rFonts w:cs="Times New Roman"/>
                <w:sz w:val="21"/>
                <w:szCs w:val="21"/>
              </w:rPr>
            </w:pPr>
            <w:r>
              <w:rPr>
                <w:rFonts w:hint="eastAsia" w:cs="Times New Roman"/>
                <w:sz w:val="21"/>
                <w:szCs w:val="21"/>
              </w:rPr>
              <w:t>31.718846</w:t>
            </w:r>
          </w:p>
        </w:tc>
        <w:tc>
          <w:tcPr>
            <w:tcW w:w="1080" w:type="dxa"/>
            <w:noWrap/>
            <w:vAlign w:val="center"/>
          </w:tcPr>
          <w:p w14:paraId="3FC9ABD3">
            <w:pPr>
              <w:spacing w:line="240" w:lineRule="auto"/>
              <w:ind w:firstLine="0" w:firstLineChars="0"/>
              <w:jc w:val="center"/>
              <w:rPr>
                <w:rFonts w:cs="Times New Roman"/>
                <w:sz w:val="21"/>
                <w:szCs w:val="21"/>
              </w:rPr>
            </w:pPr>
            <w:r>
              <w:rPr>
                <w:rFonts w:hint="eastAsia" w:cs="Times New Roman"/>
                <w:sz w:val="21"/>
                <w:szCs w:val="21"/>
              </w:rPr>
              <w:t>办公区</w:t>
            </w:r>
          </w:p>
        </w:tc>
        <w:tc>
          <w:tcPr>
            <w:tcW w:w="702" w:type="dxa"/>
            <w:noWrap/>
            <w:vAlign w:val="center"/>
          </w:tcPr>
          <w:p w14:paraId="7EBB232E">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534E487">
            <w:pPr>
              <w:spacing w:line="240" w:lineRule="auto"/>
              <w:ind w:firstLine="0" w:firstLineChars="0"/>
              <w:jc w:val="center"/>
              <w:rPr>
                <w:rFonts w:cs="Times New Roman"/>
                <w:sz w:val="21"/>
                <w:szCs w:val="21"/>
              </w:rPr>
            </w:pPr>
            <w:r>
              <w:rPr>
                <w:rFonts w:hint="eastAsia" w:cs="Times New Roman"/>
                <w:sz w:val="21"/>
                <w:szCs w:val="21"/>
              </w:rPr>
              <w:t>1545</w:t>
            </w:r>
          </w:p>
        </w:tc>
        <w:tc>
          <w:tcPr>
            <w:tcW w:w="1168" w:type="dxa"/>
            <w:noWrap/>
            <w:vAlign w:val="center"/>
          </w:tcPr>
          <w:p w14:paraId="35D99337">
            <w:pPr>
              <w:spacing w:line="240" w:lineRule="auto"/>
              <w:ind w:firstLine="0" w:firstLineChars="0"/>
              <w:jc w:val="center"/>
              <w:rPr>
                <w:rFonts w:cs="Times New Roman"/>
                <w:sz w:val="21"/>
                <w:szCs w:val="21"/>
              </w:rPr>
            </w:pPr>
            <w:r>
              <w:rPr>
                <w:rFonts w:hint="eastAsia" w:cs="Times New Roman"/>
                <w:sz w:val="21"/>
                <w:szCs w:val="21"/>
              </w:rPr>
              <w:t>约50</w:t>
            </w:r>
          </w:p>
        </w:tc>
      </w:tr>
      <w:tr w14:paraId="3941D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DB3CE1C">
            <w:pPr>
              <w:pStyle w:val="39"/>
              <w:numPr>
                <w:ilvl w:val="0"/>
                <w:numId w:val="7"/>
              </w:numPr>
              <w:spacing w:line="240" w:lineRule="auto"/>
              <w:ind w:firstLineChars="0"/>
              <w:jc w:val="center"/>
              <w:rPr>
                <w:rFonts w:cs="Times New Roman"/>
                <w:sz w:val="21"/>
                <w:szCs w:val="21"/>
              </w:rPr>
            </w:pPr>
          </w:p>
        </w:tc>
        <w:tc>
          <w:tcPr>
            <w:tcW w:w="992" w:type="dxa"/>
            <w:noWrap/>
            <w:vAlign w:val="center"/>
          </w:tcPr>
          <w:p w14:paraId="3B0F8CE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89D2AB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66DF68A">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4262ECC">
            <w:pPr>
              <w:spacing w:line="240" w:lineRule="auto"/>
              <w:ind w:firstLine="0" w:firstLineChars="0"/>
              <w:jc w:val="center"/>
              <w:rPr>
                <w:rFonts w:cs="Times New Roman"/>
                <w:sz w:val="21"/>
                <w:szCs w:val="21"/>
              </w:rPr>
            </w:pPr>
            <w:r>
              <w:rPr>
                <w:rFonts w:hint="eastAsia" w:cs="Times New Roman"/>
                <w:sz w:val="21"/>
                <w:szCs w:val="21"/>
              </w:rPr>
              <w:t>金坛区市场监督管理局薛埠分局</w:t>
            </w:r>
          </w:p>
        </w:tc>
        <w:tc>
          <w:tcPr>
            <w:tcW w:w="1701" w:type="dxa"/>
            <w:noWrap/>
            <w:vAlign w:val="center"/>
          </w:tcPr>
          <w:p w14:paraId="750110AB">
            <w:pPr>
              <w:spacing w:line="240" w:lineRule="auto"/>
              <w:ind w:firstLine="0" w:firstLineChars="0"/>
              <w:jc w:val="center"/>
              <w:rPr>
                <w:rFonts w:cs="Times New Roman"/>
                <w:sz w:val="21"/>
                <w:szCs w:val="21"/>
              </w:rPr>
            </w:pPr>
            <w:r>
              <w:rPr>
                <w:rFonts w:hint="eastAsia" w:cs="Times New Roman"/>
                <w:sz w:val="21"/>
                <w:szCs w:val="21"/>
              </w:rPr>
              <w:t>119.378824</w:t>
            </w:r>
          </w:p>
        </w:tc>
        <w:tc>
          <w:tcPr>
            <w:tcW w:w="1690" w:type="dxa"/>
            <w:noWrap/>
            <w:vAlign w:val="center"/>
          </w:tcPr>
          <w:p w14:paraId="25E95AF0">
            <w:pPr>
              <w:spacing w:line="240" w:lineRule="auto"/>
              <w:ind w:firstLine="0" w:firstLineChars="0"/>
              <w:jc w:val="center"/>
              <w:rPr>
                <w:rFonts w:cs="Times New Roman"/>
                <w:sz w:val="21"/>
                <w:szCs w:val="21"/>
              </w:rPr>
            </w:pPr>
            <w:r>
              <w:rPr>
                <w:rFonts w:hint="eastAsia" w:cs="Times New Roman"/>
                <w:sz w:val="21"/>
                <w:szCs w:val="21"/>
              </w:rPr>
              <w:t>31.718634</w:t>
            </w:r>
          </w:p>
        </w:tc>
        <w:tc>
          <w:tcPr>
            <w:tcW w:w="1080" w:type="dxa"/>
            <w:noWrap/>
            <w:vAlign w:val="center"/>
          </w:tcPr>
          <w:p w14:paraId="2B1A7511">
            <w:pPr>
              <w:spacing w:line="240" w:lineRule="auto"/>
              <w:ind w:firstLine="0" w:firstLineChars="0"/>
              <w:jc w:val="center"/>
              <w:rPr>
                <w:rFonts w:cs="Times New Roman"/>
                <w:sz w:val="21"/>
                <w:szCs w:val="21"/>
              </w:rPr>
            </w:pPr>
            <w:r>
              <w:rPr>
                <w:rFonts w:hint="eastAsia" w:cs="Times New Roman"/>
                <w:sz w:val="21"/>
                <w:szCs w:val="21"/>
              </w:rPr>
              <w:t>办公区</w:t>
            </w:r>
          </w:p>
        </w:tc>
        <w:tc>
          <w:tcPr>
            <w:tcW w:w="702" w:type="dxa"/>
            <w:noWrap/>
            <w:vAlign w:val="center"/>
          </w:tcPr>
          <w:p w14:paraId="4E863AC1">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38464FB3">
            <w:pPr>
              <w:spacing w:line="240" w:lineRule="auto"/>
              <w:ind w:firstLine="0" w:firstLineChars="0"/>
              <w:jc w:val="center"/>
              <w:rPr>
                <w:rFonts w:cs="Times New Roman"/>
                <w:sz w:val="21"/>
                <w:szCs w:val="21"/>
              </w:rPr>
            </w:pPr>
            <w:r>
              <w:rPr>
                <w:rFonts w:hint="eastAsia" w:cs="Times New Roman"/>
                <w:sz w:val="21"/>
                <w:szCs w:val="21"/>
              </w:rPr>
              <w:t>1590</w:t>
            </w:r>
          </w:p>
        </w:tc>
        <w:tc>
          <w:tcPr>
            <w:tcW w:w="1168" w:type="dxa"/>
            <w:noWrap/>
            <w:vAlign w:val="center"/>
          </w:tcPr>
          <w:p w14:paraId="59FE1B56">
            <w:pPr>
              <w:spacing w:line="240" w:lineRule="auto"/>
              <w:ind w:firstLine="0" w:firstLineChars="0"/>
              <w:jc w:val="center"/>
              <w:rPr>
                <w:rFonts w:cs="Times New Roman"/>
                <w:sz w:val="21"/>
                <w:szCs w:val="21"/>
              </w:rPr>
            </w:pPr>
            <w:r>
              <w:rPr>
                <w:rFonts w:hint="eastAsia" w:cs="Times New Roman"/>
                <w:sz w:val="21"/>
                <w:szCs w:val="21"/>
              </w:rPr>
              <w:t>约50</w:t>
            </w:r>
          </w:p>
        </w:tc>
      </w:tr>
      <w:tr w14:paraId="5ED4D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405F3F8">
            <w:pPr>
              <w:pStyle w:val="39"/>
              <w:numPr>
                <w:ilvl w:val="0"/>
                <w:numId w:val="7"/>
              </w:numPr>
              <w:spacing w:line="240" w:lineRule="auto"/>
              <w:ind w:firstLineChars="0"/>
              <w:jc w:val="center"/>
              <w:rPr>
                <w:rFonts w:cs="Times New Roman"/>
                <w:sz w:val="21"/>
                <w:szCs w:val="21"/>
              </w:rPr>
            </w:pPr>
          </w:p>
        </w:tc>
        <w:tc>
          <w:tcPr>
            <w:tcW w:w="992" w:type="dxa"/>
            <w:noWrap/>
            <w:vAlign w:val="center"/>
          </w:tcPr>
          <w:p w14:paraId="1B0041F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2E4465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C831B7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98D875E">
            <w:pPr>
              <w:spacing w:line="240" w:lineRule="auto"/>
              <w:ind w:firstLine="0" w:firstLineChars="0"/>
              <w:jc w:val="center"/>
              <w:rPr>
                <w:rFonts w:cs="Times New Roman"/>
                <w:sz w:val="21"/>
                <w:szCs w:val="21"/>
              </w:rPr>
            </w:pPr>
            <w:r>
              <w:rPr>
                <w:rFonts w:hint="eastAsia" w:cs="Times New Roman"/>
                <w:sz w:val="21"/>
                <w:szCs w:val="21"/>
              </w:rPr>
              <w:t>薛埠镇便民服务中心</w:t>
            </w:r>
          </w:p>
        </w:tc>
        <w:tc>
          <w:tcPr>
            <w:tcW w:w="1701" w:type="dxa"/>
            <w:noWrap/>
            <w:vAlign w:val="center"/>
          </w:tcPr>
          <w:p w14:paraId="297432B4">
            <w:pPr>
              <w:spacing w:line="240" w:lineRule="auto"/>
              <w:ind w:firstLine="0" w:firstLineChars="0"/>
              <w:jc w:val="center"/>
              <w:rPr>
                <w:rFonts w:cs="Times New Roman"/>
                <w:sz w:val="21"/>
                <w:szCs w:val="21"/>
              </w:rPr>
            </w:pPr>
            <w:r>
              <w:rPr>
                <w:rFonts w:hint="eastAsia" w:cs="Times New Roman"/>
                <w:sz w:val="21"/>
                <w:szCs w:val="21"/>
              </w:rPr>
              <w:t>119.377867</w:t>
            </w:r>
          </w:p>
        </w:tc>
        <w:tc>
          <w:tcPr>
            <w:tcW w:w="1690" w:type="dxa"/>
            <w:noWrap/>
            <w:vAlign w:val="center"/>
          </w:tcPr>
          <w:p w14:paraId="19F02EA8">
            <w:pPr>
              <w:spacing w:line="240" w:lineRule="auto"/>
              <w:ind w:firstLine="0" w:firstLineChars="0"/>
              <w:jc w:val="center"/>
              <w:rPr>
                <w:rFonts w:cs="Times New Roman"/>
                <w:sz w:val="21"/>
                <w:szCs w:val="21"/>
              </w:rPr>
            </w:pPr>
            <w:r>
              <w:rPr>
                <w:rFonts w:hint="eastAsia" w:cs="Times New Roman"/>
                <w:sz w:val="21"/>
                <w:szCs w:val="21"/>
              </w:rPr>
              <w:t>31.717851</w:t>
            </w:r>
          </w:p>
        </w:tc>
        <w:tc>
          <w:tcPr>
            <w:tcW w:w="1080" w:type="dxa"/>
            <w:noWrap/>
            <w:vAlign w:val="center"/>
          </w:tcPr>
          <w:p w14:paraId="3C3EDAF1">
            <w:pPr>
              <w:spacing w:line="240" w:lineRule="auto"/>
              <w:ind w:firstLine="0" w:firstLineChars="0"/>
              <w:jc w:val="center"/>
              <w:rPr>
                <w:rFonts w:cs="Times New Roman"/>
                <w:sz w:val="21"/>
                <w:szCs w:val="21"/>
              </w:rPr>
            </w:pPr>
            <w:r>
              <w:rPr>
                <w:rFonts w:hint="eastAsia" w:cs="Times New Roman"/>
                <w:sz w:val="21"/>
                <w:szCs w:val="21"/>
              </w:rPr>
              <w:t>办公区</w:t>
            </w:r>
          </w:p>
        </w:tc>
        <w:tc>
          <w:tcPr>
            <w:tcW w:w="702" w:type="dxa"/>
            <w:noWrap/>
            <w:vAlign w:val="center"/>
          </w:tcPr>
          <w:p w14:paraId="25F77AC7">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7897AE65">
            <w:pPr>
              <w:spacing w:line="240" w:lineRule="auto"/>
              <w:ind w:firstLine="0" w:firstLineChars="0"/>
              <w:jc w:val="center"/>
              <w:rPr>
                <w:rFonts w:cs="Times New Roman"/>
                <w:sz w:val="21"/>
                <w:szCs w:val="21"/>
              </w:rPr>
            </w:pPr>
            <w:r>
              <w:rPr>
                <w:rFonts w:hint="eastAsia" w:cs="Times New Roman"/>
                <w:sz w:val="21"/>
                <w:szCs w:val="21"/>
              </w:rPr>
              <w:t>1640</w:t>
            </w:r>
          </w:p>
        </w:tc>
        <w:tc>
          <w:tcPr>
            <w:tcW w:w="1168" w:type="dxa"/>
            <w:noWrap/>
            <w:vAlign w:val="center"/>
          </w:tcPr>
          <w:p w14:paraId="6AE398BD">
            <w:pPr>
              <w:spacing w:line="240" w:lineRule="auto"/>
              <w:ind w:firstLine="0" w:firstLineChars="0"/>
              <w:jc w:val="center"/>
              <w:rPr>
                <w:rFonts w:cs="Times New Roman"/>
                <w:sz w:val="21"/>
                <w:szCs w:val="21"/>
              </w:rPr>
            </w:pPr>
            <w:r>
              <w:rPr>
                <w:rFonts w:hint="eastAsia" w:cs="Times New Roman"/>
                <w:sz w:val="21"/>
                <w:szCs w:val="21"/>
              </w:rPr>
              <w:t>约50</w:t>
            </w:r>
          </w:p>
        </w:tc>
      </w:tr>
      <w:tr w14:paraId="3B9F7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3836E74">
            <w:pPr>
              <w:pStyle w:val="39"/>
              <w:numPr>
                <w:ilvl w:val="0"/>
                <w:numId w:val="7"/>
              </w:numPr>
              <w:spacing w:line="240" w:lineRule="auto"/>
              <w:ind w:firstLineChars="0"/>
              <w:jc w:val="center"/>
              <w:rPr>
                <w:rFonts w:cs="Times New Roman"/>
                <w:sz w:val="21"/>
                <w:szCs w:val="21"/>
              </w:rPr>
            </w:pPr>
          </w:p>
        </w:tc>
        <w:tc>
          <w:tcPr>
            <w:tcW w:w="992" w:type="dxa"/>
            <w:noWrap/>
            <w:vAlign w:val="center"/>
          </w:tcPr>
          <w:p w14:paraId="2041F3C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049BCA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1F895F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6334798">
            <w:pPr>
              <w:spacing w:line="240" w:lineRule="auto"/>
              <w:ind w:firstLine="0" w:firstLineChars="0"/>
              <w:jc w:val="center"/>
              <w:rPr>
                <w:rFonts w:cs="Times New Roman"/>
                <w:sz w:val="21"/>
                <w:szCs w:val="21"/>
              </w:rPr>
            </w:pPr>
            <w:r>
              <w:rPr>
                <w:rFonts w:hint="eastAsia" w:cs="Times New Roman"/>
                <w:sz w:val="21"/>
                <w:szCs w:val="21"/>
              </w:rPr>
              <w:t>薛埠派出所</w:t>
            </w:r>
          </w:p>
        </w:tc>
        <w:tc>
          <w:tcPr>
            <w:tcW w:w="1701" w:type="dxa"/>
            <w:noWrap/>
            <w:vAlign w:val="center"/>
          </w:tcPr>
          <w:p w14:paraId="0609B7DF">
            <w:pPr>
              <w:spacing w:line="240" w:lineRule="auto"/>
              <w:ind w:firstLine="0" w:firstLineChars="0"/>
              <w:jc w:val="center"/>
              <w:rPr>
                <w:rFonts w:cs="Times New Roman"/>
                <w:sz w:val="21"/>
                <w:szCs w:val="21"/>
              </w:rPr>
            </w:pPr>
            <w:r>
              <w:rPr>
                <w:rFonts w:hint="eastAsia" w:cs="Times New Roman"/>
                <w:sz w:val="21"/>
                <w:szCs w:val="21"/>
              </w:rPr>
              <w:t>119.378487</w:t>
            </w:r>
          </w:p>
        </w:tc>
        <w:tc>
          <w:tcPr>
            <w:tcW w:w="1690" w:type="dxa"/>
            <w:noWrap/>
            <w:vAlign w:val="center"/>
          </w:tcPr>
          <w:p w14:paraId="2C2641A3">
            <w:pPr>
              <w:spacing w:line="240" w:lineRule="auto"/>
              <w:ind w:firstLine="0" w:firstLineChars="0"/>
              <w:jc w:val="center"/>
              <w:rPr>
                <w:rFonts w:cs="Times New Roman"/>
                <w:sz w:val="21"/>
                <w:szCs w:val="21"/>
              </w:rPr>
            </w:pPr>
            <w:r>
              <w:rPr>
                <w:rFonts w:hint="eastAsia" w:cs="Times New Roman"/>
                <w:sz w:val="21"/>
                <w:szCs w:val="21"/>
              </w:rPr>
              <w:t>31.717763</w:t>
            </w:r>
          </w:p>
        </w:tc>
        <w:tc>
          <w:tcPr>
            <w:tcW w:w="1080" w:type="dxa"/>
            <w:noWrap/>
            <w:vAlign w:val="center"/>
          </w:tcPr>
          <w:p w14:paraId="3165DA42">
            <w:pPr>
              <w:spacing w:line="240" w:lineRule="auto"/>
              <w:ind w:firstLine="0" w:firstLineChars="0"/>
              <w:jc w:val="center"/>
              <w:rPr>
                <w:rFonts w:cs="Times New Roman"/>
                <w:sz w:val="21"/>
                <w:szCs w:val="21"/>
              </w:rPr>
            </w:pPr>
            <w:r>
              <w:rPr>
                <w:rFonts w:hint="eastAsia" w:cs="Times New Roman"/>
                <w:sz w:val="21"/>
                <w:szCs w:val="21"/>
              </w:rPr>
              <w:t>办公区</w:t>
            </w:r>
          </w:p>
        </w:tc>
        <w:tc>
          <w:tcPr>
            <w:tcW w:w="702" w:type="dxa"/>
            <w:noWrap/>
            <w:vAlign w:val="center"/>
          </w:tcPr>
          <w:p w14:paraId="3BA79781">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1289E43D">
            <w:pPr>
              <w:spacing w:line="240" w:lineRule="auto"/>
              <w:ind w:firstLine="0" w:firstLineChars="0"/>
              <w:jc w:val="center"/>
              <w:rPr>
                <w:rFonts w:cs="Times New Roman"/>
                <w:sz w:val="21"/>
                <w:szCs w:val="21"/>
              </w:rPr>
            </w:pPr>
            <w:r>
              <w:rPr>
                <w:rFonts w:hint="eastAsia" w:cs="Times New Roman"/>
                <w:sz w:val="21"/>
                <w:szCs w:val="21"/>
              </w:rPr>
              <w:t>1650</w:t>
            </w:r>
          </w:p>
        </w:tc>
        <w:tc>
          <w:tcPr>
            <w:tcW w:w="1168" w:type="dxa"/>
            <w:noWrap/>
            <w:vAlign w:val="center"/>
          </w:tcPr>
          <w:p w14:paraId="465B7099">
            <w:pPr>
              <w:spacing w:line="240" w:lineRule="auto"/>
              <w:ind w:firstLine="0" w:firstLineChars="0"/>
              <w:jc w:val="center"/>
              <w:rPr>
                <w:rFonts w:cs="Times New Roman"/>
                <w:sz w:val="21"/>
                <w:szCs w:val="21"/>
              </w:rPr>
            </w:pPr>
            <w:r>
              <w:rPr>
                <w:rFonts w:hint="eastAsia" w:cs="Times New Roman"/>
                <w:sz w:val="21"/>
                <w:szCs w:val="21"/>
              </w:rPr>
              <w:t>约50</w:t>
            </w:r>
          </w:p>
        </w:tc>
      </w:tr>
      <w:tr w14:paraId="0D88D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048ACFA">
            <w:pPr>
              <w:pStyle w:val="39"/>
              <w:numPr>
                <w:ilvl w:val="0"/>
                <w:numId w:val="7"/>
              </w:numPr>
              <w:spacing w:line="240" w:lineRule="auto"/>
              <w:ind w:firstLineChars="0"/>
              <w:jc w:val="center"/>
              <w:rPr>
                <w:rFonts w:cs="Times New Roman"/>
                <w:sz w:val="21"/>
                <w:szCs w:val="21"/>
              </w:rPr>
            </w:pPr>
          </w:p>
        </w:tc>
        <w:tc>
          <w:tcPr>
            <w:tcW w:w="992" w:type="dxa"/>
            <w:noWrap/>
            <w:vAlign w:val="center"/>
          </w:tcPr>
          <w:p w14:paraId="49FF673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0B5F28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06F4304">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1806485">
            <w:pPr>
              <w:spacing w:line="240" w:lineRule="auto"/>
              <w:ind w:firstLine="0" w:firstLineChars="0"/>
              <w:jc w:val="center"/>
              <w:rPr>
                <w:rFonts w:cs="Times New Roman"/>
                <w:sz w:val="21"/>
                <w:szCs w:val="21"/>
              </w:rPr>
            </w:pPr>
            <w:r>
              <w:rPr>
                <w:rFonts w:hint="eastAsia" w:cs="Times New Roman"/>
                <w:sz w:val="21"/>
                <w:szCs w:val="21"/>
              </w:rPr>
              <w:t>交通警察大队薛埠中队</w:t>
            </w:r>
          </w:p>
        </w:tc>
        <w:tc>
          <w:tcPr>
            <w:tcW w:w="1701" w:type="dxa"/>
            <w:noWrap/>
            <w:vAlign w:val="center"/>
          </w:tcPr>
          <w:p w14:paraId="7F93DDCD">
            <w:pPr>
              <w:spacing w:line="240" w:lineRule="auto"/>
              <w:ind w:firstLine="0" w:firstLineChars="0"/>
              <w:jc w:val="center"/>
              <w:rPr>
                <w:rFonts w:cs="Times New Roman"/>
                <w:sz w:val="21"/>
                <w:szCs w:val="21"/>
              </w:rPr>
            </w:pPr>
            <w:r>
              <w:rPr>
                <w:rFonts w:hint="eastAsia" w:cs="Times New Roman"/>
                <w:sz w:val="21"/>
                <w:szCs w:val="21"/>
              </w:rPr>
              <w:t>119.379531</w:t>
            </w:r>
          </w:p>
        </w:tc>
        <w:tc>
          <w:tcPr>
            <w:tcW w:w="1690" w:type="dxa"/>
            <w:noWrap/>
            <w:vAlign w:val="center"/>
          </w:tcPr>
          <w:p w14:paraId="1E909798">
            <w:pPr>
              <w:spacing w:line="240" w:lineRule="auto"/>
              <w:ind w:firstLine="0" w:firstLineChars="0"/>
              <w:jc w:val="center"/>
              <w:rPr>
                <w:rFonts w:cs="Times New Roman"/>
                <w:sz w:val="21"/>
                <w:szCs w:val="21"/>
              </w:rPr>
            </w:pPr>
            <w:r>
              <w:rPr>
                <w:rFonts w:hint="eastAsia" w:cs="Times New Roman"/>
                <w:sz w:val="21"/>
                <w:szCs w:val="21"/>
              </w:rPr>
              <w:t>31.717606</w:t>
            </w:r>
          </w:p>
        </w:tc>
        <w:tc>
          <w:tcPr>
            <w:tcW w:w="1080" w:type="dxa"/>
            <w:noWrap/>
            <w:vAlign w:val="center"/>
          </w:tcPr>
          <w:p w14:paraId="5C777234">
            <w:pPr>
              <w:spacing w:line="240" w:lineRule="auto"/>
              <w:ind w:firstLine="0" w:firstLineChars="0"/>
              <w:jc w:val="center"/>
              <w:rPr>
                <w:rFonts w:cs="Times New Roman"/>
                <w:sz w:val="21"/>
                <w:szCs w:val="21"/>
              </w:rPr>
            </w:pPr>
            <w:r>
              <w:rPr>
                <w:rFonts w:hint="eastAsia" w:cs="Times New Roman"/>
                <w:sz w:val="21"/>
                <w:szCs w:val="21"/>
              </w:rPr>
              <w:t>办公区</w:t>
            </w:r>
          </w:p>
        </w:tc>
        <w:tc>
          <w:tcPr>
            <w:tcW w:w="702" w:type="dxa"/>
            <w:noWrap/>
            <w:vAlign w:val="center"/>
          </w:tcPr>
          <w:p w14:paraId="2F0B0BED">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5504D8B8">
            <w:pPr>
              <w:spacing w:line="240" w:lineRule="auto"/>
              <w:ind w:firstLine="0" w:firstLineChars="0"/>
              <w:jc w:val="center"/>
              <w:rPr>
                <w:rFonts w:cs="Times New Roman"/>
                <w:sz w:val="21"/>
                <w:szCs w:val="21"/>
              </w:rPr>
            </w:pPr>
            <w:r>
              <w:rPr>
                <w:rFonts w:hint="eastAsia" w:cs="Times New Roman"/>
                <w:sz w:val="21"/>
                <w:szCs w:val="21"/>
              </w:rPr>
              <w:t>1690</w:t>
            </w:r>
          </w:p>
        </w:tc>
        <w:tc>
          <w:tcPr>
            <w:tcW w:w="1168" w:type="dxa"/>
            <w:noWrap/>
            <w:vAlign w:val="center"/>
          </w:tcPr>
          <w:p w14:paraId="4A4793C6">
            <w:pPr>
              <w:spacing w:line="240" w:lineRule="auto"/>
              <w:ind w:firstLine="0" w:firstLineChars="0"/>
              <w:jc w:val="center"/>
              <w:rPr>
                <w:rFonts w:cs="Times New Roman"/>
                <w:sz w:val="21"/>
                <w:szCs w:val="21"/>
              </w:rPr>
            </w:pPr>
            <w:r>
              <w:rPr>
                <w:rFonts w:hint="eastAsia" w:cs="Times New Roman"/>
                <w:sz w:val="21"/>
                <w:szCs w:val="21"/>
              </w:rPr>
              <w:t>约50</w:t>
            </w:r>
          </w:p>
        </w:tc>
      </w:tr>
      <w:tr w14:paraId="026E8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CA3EB8E">
            <w:pPr>
              <w:pStyle w:val="39"/>
              <w:numPr>
                <w:ilvl w:val="0"/>
                <w:numId w:val="7"/>
              </w:numPr>
              <w:spacing w:line="240" w:lineRule="auto"/>
              <w:ind w:firstLineChars="0"/>
              <w:jc w:val="center"/>
              <w:rPr>
                <w:rFonts w:cs="Times New Roman"/>
                <w:sz w:val="21"/>
                <w:szCs w:val="21"/>
              </w:rPr>
            </w:pPr>
          </w:p>
        </w:tc>
        <w:tc>
          <w:tcPr>
            <w:tcW w:w="992" w:type="dxa"/>
            <w:noWrap/>
            <w:vAlign w:val="center"/>
          </w:tcPr>
          <w:p w14:paraId="441E6B2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FAEBF2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C9AE79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1F2248A">
            <w:pPr>
              <w:spacing w:line="240" w:lineRule="auto"/>
              <w:ind w:firstLine="0" w:firstLineChars="0"/>
              <w:jc w:val="center"/>
              <w:rPr>
                <w:rFonts w:cs="Times New Roman"/>
                <w:sz w:val="21"/>
                <w:szCs w:val="21"/>
              </w:rPr>
            </w:pPr>
            <w:r>
              <w:rPr>
                <w:rFonts w:hint="eastAsia" w:cs="Times New Roman"/>
                <w:sz w:val="21"/>
                <w:szCs w:val="21"/>
              </w:rPr>
              <w:t>锦绣家园</w:t>
            </w:r>
          </w:p>
        </w:tc>
        <w:tc>
          <w:tcPr>
            <w:tcW w:w="1701" w:type="dxa"/>
            <w:noWrap/>
            <w:vAlign w:val="center"/>
          </w:tcPr>
          <w:p w14:paraId="2F50AD88">
            <w:pPr>
              <w:spacing w:line="240" w:lineRule="auto"/>
              <w:ind w:firstLine="0" w:firstLineChars="0"/>
              <w:jc w:val="center"/>
              <w:rPr>
                <w:rFonts w:cs="Times New Roman"/>
                <w:sz w:val="21"/>
                <w:szCs w:val="21"/>
              </w:rPr>
            </w:pPr>
            <w:r>
              <w:rPr>
                <w:rFonts w:hint="eastAsia" w:cs="Times New Roman"/>
                <w:sz w:val="21"/>
                <w:szCs w:val="21"/>
              </w:rPr>
              <w:t>119.363211</w:t>
            </w:r>
          </w:p>
        </w:tc>
        <w:tc>
          <w:tcPr>
            <w:tcW w:w="1690" w:type="dxa"/>
            <w:noWrap/>
            <w:vAlign w:val="center"/>
          </w:tcPr>
          <w:p w14:paraId="748CE847">
            <w:pPr>
              <w:spacing w:line="240" w:lineRule="auto"/>
              <w:ind w:firstLine="0" w:firstLineChars="0"/>
              <w:jc w:val="center"/>
              <w:rPr>
                <w:rFonts w:cs="Times New Roman"/>
                <w:sz w:val="21"/>
                <w:szCs w:val="21"/>
              </w:rPr>
            </w:pPr>
            <w:r>
              <w:rPr>
                <w:rFonts w:hint="eastAsia" w:cs="Times New Roman"/>
                <w:sz w:val="21"/>
                <w:szCs w:val="21"/>
              </w:rPr>
              <w:t>31.724303</w:t>
            </w:r>
          </w:p>
        </w:tc>
        <w:tc>
          <w:tcPr>
            <w:tcW w:w="1080" w:type="dxa"/>
            <w:noWrap/>
            <w:vAlign w:val="center"/>
          </w:tcPr>
          <w:p w14:paraId="3264463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E8C697E">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689CE46">
            <w:pPr>
              <w:spacing w:line="240" w:lineRule="auto"/>
              <w:ind w:firstLine="0" w:firstLineChars="0"/>
              <w:jc w:val="center"/>
              <w:rPr>
                <w:rFonts w:cs="Times New Roman"/>
                <w:sz w:val="21"/>
                <w:szCs w:val="21"/>
              </w:rPr>
            </w:pPr>
            <w:r>
              <w:rPr>
                <w:rFonts w:hint="eastAsia" w:cs="Times New Roman"/>
                <w:sz w:val="21"/>
                <w:szCs w:val="21"/>
              </w:rPr>
              <w:t>716</w:t>
            </w:r>
          </w:p>
        </w:tc>
        <w:tc>
          <w:tcPr>
            <w:tcW w:w="1168" w:type="dxa"/>
            <w:noWrap/>
            <w:vAlign w:val="center"/>
          </w:tcPr>
          <w:p w14:paraId="5339650F">
            <w:pPr>
              <w:spacing w:line="240" w:lineRule="auto"/>
              <w:ind w:firstLine="0" w:firstLineChars="0"/>
              <w:jc w:val="center"/>
              <w:rPr>
                <w:rFonts w:cs="Times New Roman"/>
                <w:sz w:val="21"/>
                <w:szCs w:val="21"/>
              </w:rPr>
            </w:pPr>
            <w:r>
              <w:rPr>
                <w:rFonts w:hint="eastAsia" w:cs="Times New Roman"/>
                <w:sz w:val="21"/>
                <w:szCs w:val="21"/>
              </w:rPr>
              <w:t>约600</w:t>
            </w:r>
          </w:p>
        </w:tc>
      </w:tr>
      <w:tr w14:paraId="68688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F56E5AA">
            <w:pPr>
              <w:pStyle w:val="39"/>
              <w:numPr>
                <w:ilvl w:val="0"/>
                <w:numId w:val="7"/>
              </w:numPr>
              <w:spacing w:line="240" w:lineRule="auto"/>
              <w:ind w:firstLineChars="0"/>
              <w:jc w:val="center"/>
              <w:rPr>
                <w:rFonts w:cs="Times New Roman"/>
                <w:sz w:val="21"/>
                <w:szCs w:val="21"/>
              </w:rPr>
            </w:pPr>
          </w:p>
        </w:tc>
        <w:tc>
          <w:tcPr>
            <w:tcW w:w="992" w:type="dxa"/>
            <w:noWrap/>
            <w:vAlign w:val="center"/>
          </w:tcPr>
          <w:p w14:paraId="50497A5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05A39B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6FBB1B4">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9AA9246">
            <w:pPr>
              <w:spacing w:line="240" w:lineRule="auto"/>
              <w:ind w:firstLine="0" w:firstLineChars="0"/>
              <w:jc w:val="center"/>
              <w:rPr>
                <w:rFonts w:cs="Times New Roman"/>
                <w:sz w:val="21"/>
                <w:szCs w:val="21"/>
              </w:rPr>
            </w:pPr>
            <w:r>
              <w:rPr>
                <w:rFonts w:hint="eastAsia" w:cs="Times New Roman"/>
                <w:sz w:val="21"/>
                <w:szCs w:val="21"/>
              </w:rPr>
              <w:t>东进小区</w:t>
            </w:r>
          </w:p>
        </w:tc>
        <w:tc>
          <w:tcPr>
            <w:tcW w:w="1701" w:type="dxa"/>
            <w:noWrap/>
            <w:vAlign w:val="center"/>
          </w:tcPr>
          <w:p w14:paraId="23BF0224">
            <w:pPr>
              <w:spacing w:line="240" w:lineRule="auto"/>
              <w:ind w:firstLine="0" w:firstLineChars="0"/>
              <w:jc w:val="center"/>
              <w:rPr>
                <w:rFonts w:cs="Times New Roman"/>
                <w:sz w:val="21"/>
                <w:szCs w:val="21"/>
              </w:rPr>
            </w:pPr>
            <w:r>
              <w:rPr>
                <w:rFonts w:hint="eastAsia" w:cs="Times New Roman"/>
                <w:sz w:val="21"/>
                <w:szCs w:val="21"/>
              </w:rPr>
              <w:t>119.365784</w:t>
            </w:r>
          </w:p>
        </w:tc>
        <w:tc>
          <w:tcPr>
            <w:tcW w:w="1690" w:type="dxa"/>
            <w:noWrap/>
            <w:vAlign w:val="center"/>
          </w:tcPr>
          <w:p w14:paraId="4063A762">
            <w:pPr>
              <w:spacing w:line="240" w:lineRule="auto"/>
              <w:ind w:firstLine="0" w:firstLineChars="0"/>
              <w:jc w:val="center"/>
              <w:rPr>
                <w:rFonts w:cs="Times New Roman"/>
                <w:sz w:val="21"/>
                <w:szCs w:val="21"/>
              </w:rPr>
            </w:pPr>
            <w:r>
              <w:rPr>
                <w:rFonts w:hint="eastAsia" w:cs="Times New Roman"/>
                <w:sz w:val="21"/>
                <w:szCs w:val="21"/>
              </w:rPr>
              <w:t>31.725418</w:t>
            </w:r>
          </w:p>
        </w:tc>
        <w:tc>
          <w:tcPr>
            <w:tcW w:w="1080" w:type="dxa"/>
            <w:noWrap/>
            <w:vAlign w:val="center"/>
          </w:tcPr>
          <w:p w14:paraId="1408CA7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0A54656">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14308E71">
            <w:pPr>
              <w:spacing w:line="240" w:lineRule="auto"/>
              <w:ind w:firstLine="0" w:firstLineChars="0"/>
              <w:jc w:val="center"/>
              <w:rPr>
                <w:rFonts w:cs="Times New Roman"/>
                <w:sz w:val="21"/>
                <w:szCs w:val="21"/>
              </w:rPr>
            </w:pPr>
            <w:r>
              <w:rPr>
                <w:rFonts w:hint="eastAsia" w:cs="Times New Roman"/>
                <w:sz w:val="21"/>
                <w:szCs w:val="21"/>
              </w:rPr>
              <w:t>655</w:t>
            </w:r>
          </w:p>
        </w:tc>
        <w:tc>
          <w:tcPr>
            <w:tcW w:w="1168" w:type="dxa"/>
            <w:noWrap/>
            <w:vAlign w:val="center"/>
          </w:tcPr>
          <w:p w14:paraId="4A0F56E3">
            <w:pPr>
              <w:spacing w:line="240" w:lineRule="auto"/>
              <w:ind w:firstLine="0" w:firstLineChars="0"/>
              <w:jc w:val="center"/>
              <w:rPr>
                <w:rFonts w:cs="Times New Roman"/>
                <w:sz w:val="21"/>
                <w:szCs w:val="21"/>
              </w:rPr>
            </w:pPr>
            <w:r>
              <w:rPr>
                <w:rFonts w:hint="eastAsia" w:cs="Times New Roman"/>
                <w:sz w:val="21"/>
                <w:szCs w:val="21"/>
              </w:rPr>
              <w:t>约500</w:t>
            </w:r>
          </w:p>
        </w:tc>
      </w:tr>
      <w:tr w14:paraId="16B55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78C0F29">
            <w:pPr>
              <w:pStyle w:val="39"/>
              <w:numPr>
                <w:ilvl w:val="0"/>
                <w:numId w:val="7"/>
              </w:numPr>
              <w:spacing w:line="240" w:lineRule="auto"/>
              <w:ind w:firstLineChars="0"/>
              <w:jc w:val="center"/>
              <w:rPr>
                <w:rFonts w:cs="Times New Roman"/>
                <w:sz w:val="21"/>
                <w:szCs w:val="21"/>
              </w:rPr>
            </w:pPr>
          </w:p>
        </w:tc>
        <w:tc>
          <w:tcPr>
            <w:tcW w:w="992" w:type="dxa"/>
            <w:noWrap/>
            <w:vAlign w:val="center"/>
          </w:tcPr>
          <w:p w14:paraId="371BE99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EF3DAA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BE6925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6076F3B">
            <w:pPr>
              <w:spacing w:line="240" w:lineRule="auto"/>
              <w:ind w:firstLine="0" w:firstLineChars="0"/>
              <w:jc w:val="center"/>
              <w:rPr>
                <w:rFonts w:cs="Times New Roman"/>
                <w:sz w:val="21"/>
                <w:szCs w:val="21"/>
              </w:rPr>
            </w:pPr>
            <w:r>
              <w:rPr>
                <w:rFonts w:hint="eastAsia" w:cs="Times New Roman"/>
                <w:sz w:val="21"/>
                <w:szCs w:val="21"/>
              </w:rPr>
              <w:t>新浮新村</w:t>
            </w:r>
          </w:p>
        </w:tc>
        <w:tc>
          <w:tcPr>
            <w:tcW w:w="1701" w:type="dxa"/>
            <w:noWrap/>
            <w:vAlign w:val="center"/>
          </w:tcPr>
          <w:p w14:paraId="1E2BA54B">
            <w:pPr>
              <w:spacing w:line="240" w:lineRule="auto"/>
              <w:ind w:firstLine="0" w:firstLineChars="0"/>
              <w:jc w:val="center"/>
              <w:rPr>
                <w:rFonts w:cs="Times New Roman"/>
                <w:sz w:val="21"/>
                <w:szCs w:val="21"/>
              </w:rPr>
            </w:pPr>
            <w:r>
              <w:rPr>
                <w:rFonts w:hint="eastAsia" w:cs="Times New Roman"/>
                <w:sz w:val="21"/>
                <w:szCs w:val="21"/>
              </w:rPr>
              <w:t>119.367541</w:t>
            </w:r>
          </w:p>
        </w:tc>
        <w:tc>
          <w:tcPr>
            <w:tcW w:w="1690" w:type="dxa"/>
            <w:noWrap/>
            <w:vAlign w:val="center"/>
          </w:tcPr>
          <w:p w14:paraId="217E7DBE">
            <w:pPr>
              <w:spacing w:line="240" w:lineRule="auto"/>
              <w:ind w:firstLine="0" w:firstLineChars="0"/>
              <w:jc w:val="center"/>
              <w:rPr>
                <w:rFonts w:cs="Times New Roman"/>
                <w:sz w:val="21"/>
                <w:szCs w:val="21"/>
              </w:rPr>
            </w:pPr>
            <w:r>
              <w:rPr>
                <w:rFonts w:hint="eastAsia" w:cs="Times New Roman"/>
                <w:sz w:val="21"/>
                <w:szCs w:val="21"/>
              </w:rPr>
              <w:t>31.727271</w:t>
            </w:r>
          </w:p>
        </w:tc>
        <w:tc>
          <w:tcPr>
            <w:tcW w:w="1080" w:type="dxa"/>
            <w:noWrap/>
            <w:vAlign w:val="center"/>
          </w:tcPr>
          <w:p w14:paraId="53A9585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F94C1F5">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7BD1FAFA">
            <w:pPr>
              <w:spacing w:line="240" w:lineRule="auto"/>
              <w:ind w:firstLine="0" w:firstLineChars="0"/>
              <w:jc w:val="center"/>
              <w:rPr>
                <w:rFonts w:cs="Times New Roman"/>
                <w:sz w:val="21"/>
                <w:szCs w:val="21"/>
              </w:rPr>
            </w:pPr>
            <w:r>
              <w:rPr>
                <w:rFonts w:hint="eastAsia" w:cs="Times New Roman"/>
                <w:sz w:val="21"/>
                <w:szCs w:val="21"/>
              </w:rPr>
              <w:t>514</w:t>
            </w:r>
          </w:p>
        </w:tc>
        <w:tc>
          <w:tcPr>
            <w:tcW w:w="1168" w:type="dxa"/>
            <w:noWrap/>
            <w:vAlign w:val="center"/>
          </w:tcPr>
          <w:p w14:paraId="3D31A72E">
            <w:pPr>
              <w:spacing w:line="240" w:lineRule="auto"/>
              <w:ind w:firstLine="0" w:firstLineChars="0"/>
              <w:jc w:val="center"/>
              <w:rPr>
                <w:rFonts w:cs="Times New Roman"/>
                <w:sz w:val="21"/>
                <w:szCs w:val="21"/>
              </w:rPr>
            </w:pPr>
            <w:r>
              <w:rPr>
                <w:rFonts w:hint="eastAsia" w:cs="Times New Roman"/>
                <w:sz w:val="21"/>
                <w:szCs w:val="21"/>
              </w:rPr>
              <w:t>约200</w:t>
            </w:r>
          </w:p>
        </w:tc>
      </w:tr>
      <w:tr w14:paraId="6CE20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F892300">
            <w:pPr>
              <w:pStyle w:val="39"/>
              <w:numPr>
                <w:ilvl w:val="0"/>
                <w:numId w:val="7"/>
              </w:numPr>
              <w:spacing w:line="240" w:lineRule="auto"/>
              <w:ind w:firstLineChars="0"/>
              <w:jc w:val="center"/>
              <w:rPr>
                <w:rFonts w:cs="Times New Roman"/>
                <w:sz w:val="21"/>
                <w:szCs w:val="21"/>
              </w:rPr>
            </w:pPr>
          </w:p>
        </w:tc>
        <w:tc>
          <w:tcPr>
            <w:tcW w:w="992" w:type="dxa"/>
            <w:noWrap/>
            <w:vAlign w:val="center"/>
          </w:tcPr>
          <w:p w14:paraId="02AAEDC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F85CB4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178152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6EB09BE">
            <w:pPr>
              <w:spacing w:line="240" w:lineRule="auto"/>
              <w:ind w:firstLine="0" w:firstLineChars="0"/>
              <w:jc w:val="center"/>
              <w:rPr>
                <w:rFonts w:cs="Times New Roman"/>
                <w:sz w:val="21"/>
                <w:szCs w:val="21"/>
              </w:rPr>
            </w:pPr>
            <w:r>
              <w:rPr>
                <w:rFonts w:hint="eastAsia" w:cs="Times New Roman"/>
                <w:sz w:val="21"/>
                <w:szCs w:val="21"/>
              </w:rPr>
              <w:t>祥和家园</w:t>
            </w:r>
          </w:p>
        </w:tc>
        <w:tc>
          <w:tcPr>
            <w:tcW w:w="1701" w:type="dxa"/>
            <w:noWrap/>
            <w:vAlign w:val="center"/>
          </w:tcPr>
          <w:p w14:paraId="076B4E05">
            <w:pPr>
              <w:spacing w:line="240" w:lineRule="auto"/>
              <w:ind w:firstLine="0" w:firstLineChars="0"/>
              <w:jc w:val="center"/>
              <w:rPr>
                <w:rFonts w:cs="Times New Roman"/>
                <w:sz w:val="21"/>
                <w:szCs w:val="21"/>
              </w:rPr>
            </w:pPr>
            <w:r>
              <w:rPr>
                <w:rFonts w:hint="eastAsia" w:cs="Times New Roman"/>
                <w:sz w:val="21"/>
                <w:szCs w:val="21"/>
              </w:rPr>
              <w:t>119.364343</w:t>
            </w:r>
          </w:p>
        </w:tc>
        <w:tc>
          <w:tcPr>
            <w:tcW w:w="1690" w:type="dxa"/>
            <w:noWrap/>
            <w:vAlign w:val="center"/>
          </w:tcPr>
          <w:p w14:paraId="6C5AC324">
            <w:pPr>
              <w:spacing w:line="240" w:lineRule="auto"/>
              <w:ind w:firstLine="0" w:firstLineChars="0"/>
              <w:jc w:val="center"/>
              <w:rPr>
                <w:rFonts w:cs="Times New Roman"/>
                <w:sz w:val="21"/>
                <w:szCs w:val="21"/>
              </w:rPr>
            </w:pPr>
            <w:r>
              <w:rPr>
                <w:rFonts w:hint="eastAsia" w:cs="Times New Roman"/>
                <w:sz w:val="21"/>
                <w:szCs w:val="21"/>
              </w:rPr>
              <w:t>31.721258</w:t>
            </w:r>
          </w:p>
        </w:tc>
        <w:tc>
          <w:tcPr>
            <w:tcW w:w="1080" w:type="dxa"/>
            <w:noWrap/>
            <w:vAlign w:val="center"/>
          </w:tcPr>
          <w:p w14:paraId="1E18F19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B2199A5">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2C690A25">
            <w:pPr>
              <w:spacing w:line="240" w:lineRule="auto"/>
              <w:ind w:firstLine="0" w:firstLineChars="0"/>
              <w:jc w:val="center"/>
              <w:rPr>
                <w:rFonts w:cs="Times New Roman"/>
                <w:sz w:val="21"/>
                <w:szCs w:val="21"/>
              </w:rPr>
            </w:pPr>
            <w:r>
              <w:rPr>
                <w:rFonts w:hint="eastAsia" w:cs="Times New Roman"/>
                <w:sz w:val="21"/>
                <w:szCs w:val="21"/>
              </w:rPr>
              <w:t>1169</w:t>
            </w:r>
          </w:p>
        </w:tc>
        <w:tc>
          <w:tcPr>
            <w:tcW w:w="1168" w:type="dxa"/>
            <w:noWrap/>
            <w:vAlign w:val="center"/>
          </w:tcPr>
          <w:p w14:paraId="168B6020">
            <w:pPr>
              <w:spacing w:line="240" w:lineRule="auto"/>
              <w:ind w:firstLine="0" w:firstLineChars="0"/>
              <w:jc w:val="center"/>
              <w:rPr>
                <w:rFonts w:cs="Times New Roman"/>
                <w:sz w:val="21"/>
                <w:szCs w:val="21"/>
              </w:rPr>
            </w:pPr>
            <w:r>
              <w:rPr>
                <w:rFonts w:hint="eastAsia" w:cs="Times New Roman"/>
                <w:sz w:val="21"/>
                <w:szCs w:val="21"/>
              </w:rPr>
              <w:t>约200</w:t>
            </w:r>
          </w:p>
        </w:tc>
      </w:tr>
      <w:tr w14:paraId="4BDA0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282F8D9">
            <w:pPr>
              <w:pStyle w:val="39"/>
              <w:numPr>
                <w:ilvl w:val="0"/>
                <w:numId w:val="7"/>
              </w:numPr>
              <w:spacing w:line="240" w:lineRule="auto"/>
              <w:ind w:firstLineChars="0"/>
              <w:jc w:val="center"/>
              <w:rPr>
                <w:rFonts w:cs="Times New Roman"/>
                <w:sz w:val="21"/>
                <w:szCs w:val="21"/>
              </w:rPr>
            </w:pPr>
          </w:p>
        </w:tc>
        <w:tc>
          <w:tcPr>
            <w:tcW w:w="992" w:type="dxa"/>
            <w:noWrap/>
            <w:vAlign w:val="center"/>
          </w:tcPr>
          <w:p w14:paraId="25358DE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ADF15C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191BE5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66B2A8F">
            <w:pPr>
              <w:spacing w:line="240" w:lineRule="auto"/>
              <w:ind w:firstLine="0" w:firstLineChars="0"/>
              <w:jc w:val="center"/>
              <w:rPr>
                <w:rFonts w:cs="Times New Roman"/>
                <w:sz w:val="21"/>
                <w:szCs w:val="21"/>
              </w:rPr>
            </w:pPr>
            <w:r>
              <w:rPr>
                <w:rFonts w:hint="eastAsia" w:cs="Times New Roman"/>
                <w:sz w:val="21"/>
                <w:szCs w:val="21"/>
              </w:rPr>
              <w:t>百花新苑</w:t>
            </w:r>
          </w:p>
        </w:tc>
        <w:tc>
          <w:tcPr>
            <w:tcW w:w="1701" w:type="dxa"/>
            <w:noWrap/>
            <w:vAlign w:val="center"/>
          </w:tcPr>
          <w:p w14:paraId="4162E9D2">
            <w:pPr>
              <w:spacing w:line="240" w:lineRule="auto"/>
              <w:ind w:firstLine="0" w:firstLineChars="0"/>
              <w:jc w:val="center"/>
              <w:rPr>
                <w:rFonts w:cs="Times New Roman"/>
                <w:sz w:val="21"/>
                <w:szCs w:val="21"/>
              </w:rPr>
            </w:pPr>
            <w:r>
              <w:rPr>
                <w:rFonts w:hint="eastAsia" w:cs="Times New Roman"/>
                <w:sz w:val="21"/>
                <w:szCs w:val="21"/>
              </w:rPr>
              <w:t>119.363008</w:t>
            </w:r>
          </w:p>
        </w:tc>
        <w:tc>
          <w:tcPr>
            <w:tcW w:w="1690" w:type="dxa"/>
            <w:noWrap/>
            <w:vAlign w:val="center"/>
          </w:tcPr>
          <w:p w14:paraId="26E57BD5">
            <w:pPr>
              <w:spacing w:line="240" w:lineRule="auto"/>
              <w:ind w:firstLine="0" w:firstLineChars="0"/>
              <w:jc w:val="center"/>
              <w:rPr>
                <w:rFonts w:cs="Times New Roman"/>
                <w:sz w:val="21"/>
                <w:szCs w:val="21"/>
              </w:rPr>
            </w:pPr>
            <w:r>
              <w:rPr>
                <w:rFonts w:hint="eastAsia" w:cs="Times New Roman"/>
                <w:sz w:val="21"/>
                <w:szCs w:val="21"/>
              </w:rPr>
              <w:t>31.720015</w:t>
            </w:r>
          </w:p>
        </w:tc>
        <w:tc>
          <w:tcPr>
            <w:tcW w:w="1080" w:type="dxa"/>
            <w:noWrap/>
            <w:vAlign w:val="center"/>
          </w:tcPr>
          <w:p w14:paraId="2B2F585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FA11B29">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3F06D6A2">
            <w:pPr>
              <w:spacing w:line="240" w:lineRule="auto"/>
              <w:ind w:firstLine="0" w:firstLineChars="0"/>
              <w:jc w:val="center"/>
              <w:rPr>
                <w:rFonts w:cs="Times New Roman"/>
                <w:sz w:val="21"/>
                <w:szCs w:val="21"/>
              </w:rPr>
            </w:pPr>
            <w:r>
              <w:rPr>
                <w:rFonts w:hint="eastAsia" w:cs="Times New Roman"/>
                <w:sz w:val="21"/>
                <w:szCs w:val="21"/>
              </w:rPr>
              <w:t>1200</w:t>
            </w:r>
          </w:p>
        </w:tc>
        <w:tc>
          <w:tcPr>
            <w:tcW w:w="1168" w:type="dxa"/>
            <w:noWrap/>
            <w:vAlign w:val="center"/>
          </w:tcPr>
          <w:p w14:paraId="59B9F02E">
            <w:pPr>
              <w:spacing w:line="240" w:lineRule="auto"/>
              <w:ind w:firstLine="0" w:firstLineChars="0"/>
              <w:jc w:val="center"/>
              <w:rPr>
                <w:rFonts w:cs="Times New Roman"/>
                <w:sz w:val="21"/>
                <w:szCs w:val="21"/>
              </w:rPr>
            </w:pPr>
            <w:r>
              <w:rPr>
                <w:rFonts w:hint="eastAsia" w:cs="Times New Roman"/>
                <w:sz w:val="21"/>
                <w:szCs w:val="21"/>
              </w:rPr>
              <w:t>约100</w:t>
            </w:r>
          </w:p>
        </w:tc>
      </w:tr>
      <w:tr w14:paraId="1CF4F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7B520B5">
            <w:pPr>
              <w:pStyle w:val="39"/>
              <w:numPr>
                <w:ilvl w:val="0"/>
                <w:numId w:val="7"/>
              </w:numPr>
              <w:spacing w:line="240" w:lineRule="auto"/>
              <w:ind w:firstLineChars="0"/>
              <w:jc w:val="center"/>
              <w:rPr>
                <w:rFonts w:cs="Times New Roman"/>
                <w:sz w:val="21"/>
                <w:szCs w:val="21"/>
              </w:rPr>
            </w:pPr>
          </w:p>
        </w:tc>
        <w:tc>
          <w:tcPr>
            <w:tcW w:w="992" w:type="dxa"/>
            <w:noWrap/>
            <w:vAlign w:val="center"/>
          </w:tcPr>
          <w:p w14:paraId="00BA4F8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9D6487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A22B6A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AA78059">
            <w:pPr>
              <w:spacing w:line="240" w:lineRule="auto"/>
              <w:ind w:firstLine="0" w:firstLineChars="0"/>
              <w:jc w:val="center"/>
              <w:rPr>
                <w:rFonts w:cs="Times New Roman"/>
                <w:sz w:val="21"/>
                <w:szCs w:val="21"/>
              </w:rPr>
            </w:pPr>
            <w:r>
              <w:rPr>
                <w:rFonts w:hint="eastAsia" w:cs="Times New Roman"/>
                <w:sz w:val="21"/>
                <w:szCs w:val="21"/>
              </w:rPr>
              <w:t>仙湖苑</w:t>
            </w:r>
          </w:p>
        </w:tc>
        <w:tc>
          <w:tcPr>
            <w:tcW w:w="1701" w:type="dxa"/>
            <w:noWrap/>
            <w:vAlign w:val="center"/>
          </w:tcPr>
          <w:p w14:paraId="32918DA3">
            <w:pPr>
              <w:spacing w:line="240" w:lineRule="auto"/>
              <w:ind w:firstLine="0" w:firstLineChars="0"/>
              <w:jc w:val="center"/>
              <w:rPr>
                <w:rFonts w:cs="Times New Roman"/>
                <w:sz w:val="21"/>
                <w:szCs w:val="21"/>
              </w:rPr>
            </w:pPr>
            <w:r>
              <w:rPr>
                <w:rFonts w:hint="eastAsia" w:cs="Times New Roman"/>
                <w:sz w:val="21"/>
                <w:szCs w:val="21"/>
              </w:rPr>
              <w:t>119.377801</w:t>
            </w:r>
          </w:p>
        </w:tc>
        <w:tc>
          <w:tcPr>
            <w:tcW w:w="1690" w:type="dxa"/>
            <w:noWrap/>
            <w:vAlign w:val="center"/>
          </w:tcPr>
          <w:p w14:paraId="36592252">
            <w:pPr>
              <w:spacing w:line="240" w:lineRule="auto"/>
              <w:ind w:firstLine="0" w:firstLineChars="0"/>
              <w:jc w:val="center"/>
              <w:rPr>
                <w:rFonts w:cs="Times New Roman"/>
                <w:sz w:val="21"/>
                <w:szCs w:val="21"/>
              </w:rPr>
            </w:pPr>
            <w:r>
              <w:rPr>
                <w:rFonts w:hint="eastAsia" w:cs="Times New Roman"/>
                <w:sz w:val="21"/>
                <w:szCs w:val="21"/>
              </w:rPr>
              <w:t>31.721963</w:t>
            </w:r>
          </w:p>
        </w:tc>
        <w:tc>
          <w:tcPr>
            <w:tcW w:w="1080" w:type="dxa"/>
            <w:noWrap/>
            <w:vAlign w:val="center"/>
          </w:tcPr>
          <w:p w14:paraId="2B0B697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F0741FD">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03E3F7CE">
            <w:pPr>
              <w:spacing w:line="240" w:lineRule="auto"/>
              <w:ind w:firstLine="0" w:firstLineChars="0"/>
              <w:jc w:val="center"/>
              <w:rPr>
                <w:rFonts w:cs="Times New Roman"/>
                <w:sz w:val="21"/>
                <w:szCs w:val="21"/>
              </w:rPr>
            </w:pPr>
            <w:r>
              <w:rPr>
                <w:rFonts w:hint="eastAsia" w:cs="Times New Roman"/>
                <w:sz w:val="21"/>
                <w:szCs w:val="21"/>
              </w:rPr>
              <w:t>1020</w:t>
            </w:r>
          </w:p>
        </w:tc>
        <w:tc>
          <w:tcPr>
            <w:tcW w:w="1168" w:type="dxa"/>
            <w:noWrap/>
            <w:vAlign w:val="center"/>
          </w:tcPr>
          <w:p w14:paraId="2ECFED87">
            <w:pPr>
              <w:spacing w:line="240" w:lineRule="auto"/>
              <w:ind w:firstLine="0" w:firstLineChars="0"/>
              <w:jc w:val="center"/>
              <w:rPr>
                <w:rFonts w:cs="Times New Roman"/>
                <w:sz w:val="21"/>
                <w:szCs w:val="21"/>
              </w:rPr>
            </w:pPr>
            <w:r>
              <w:rPr>
                <w:rFonts w:hint="eastAsia" w:cs="Times New Roman"/>
                <w:sz w:val="21"/>
                <w:szCs w:val="21"/>
              </w:rPr>
              <w:t>约600</w:t>
            </w:r>
          </w:p>
        </w:tc>
      </w:tr>
      <w:tr w14:paraId="01379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3F14B41">
            <w:pPr>
              <w:pStyle w:val="39"/>
              <w:numPr>
                <w:ilvl w:val="0"/>
                <w:numId w:val="7"/>
              </w:numPr>
              <w:spacing w:line="240" w:lineRule="auto"/>
              <w:ind w:firstLineChars="0"/>
              <w:jc w:val="center"/>
              <w:rPr>
                <w:rFonts w:cs="Times New Roman"/>
                <w:sz w:val="21"/>
                <w:szCs w:val="21"/>
              </w:rPr>
            </w:pPr>
          </w:p>
        </w:tc>
        <w:tc>
          <w:tcPr>
            <w:tcW w:w="992" w:type="dxa"/>
            <w:noWrap/>
            <w:vAlign w:val="center"/>
          </w:tcPr>
          <w:p w14:paraId="3987AB3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70998C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E83241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9DE0A2C">
            <w:pPr>
              <w:spacing w:line="240" w:lineRule="auto"/>
              <w:ind w:firstLine="0" w:firstLineChars="0"/>
              <w:jc w:val="center"/>
              <w:rPr>
                <w:rFonts w:cs="Times New Roman"/>
                <w:sz w:val="21"/>
                <w:szCs w:val="21"/>
              </w:rPr>
            </w:pPr>
            <w:r>
              <w:rPr>
                <w:rFonts w:hint="eastAsia" w:cs="Times New Roman"/>
                <w:sz w:val="21"/>
                <w:szCs w:val="21"/>
              </w:rPr>
              <w:t>薛埠小区</w:t>
            </w:r>
          </w:p>
        </w:tc>
        <w:tc>
          <w:tcPr>
            <w:tcW w:w="1701" w:type="dxa"/>
            <w:noWrap/>
            <w:vAlign w:val="center"/>
          </w:tcPr>
          <w:p w14:paraId="1AD1F8D7">
            <w:pPr>
              <w:spacing w:line="240" w:lineRule="auto"/>
              <w:ind w:firstLine="0" w:firstLineChars="0"/>
              <w:jc w:val="center"/>
              <w:rPr>
                <w:rFonts w:cs="Times New Roman"/>
                <w:sz w:val="21"/>
                <w:szCs w:val="21"/>
              </w:rPr>
            </w:pPr>
            <w:r>
              <w:rPr>
                <w:rFonts w:hint="eastAsia" w:cs="Times New Roman"/>
                <w:sz w:val="21"/>
                <w:szCs w:val="21"/>
              </w:rPr>
              <w:t>119.375122</w:t>
            </w:r>
          </w:p>
        </w:tc>
        <w:tc>
          <w:tcPr>
            <w:tcW w:w="1690" w:type="dxa"/>
            <w:noWrap/>
            <w:vAlign w:val="center"/>
          </w:tcPr>
          <w:p w14:paraId="6C1E8664">
            <w:pPr>
              <w:spacing w:line="240" w:lineRule="auto"/>
              <w:ind w:firstLine="0" w:firstLineChars="0"/>
              <w:jc w:val="center"/>
              <w:rPr>
                <w:rFonts w:cs="Times New Roman"/>
                <w:sz w:val="21"/>
                <w:szCs w:val="21"/>
              </w:rPr>
            </w:pPr>
            <w:r>
              <w:rPr>
                <w:rFonts w:hint="eastAsia" w:cs="Times New Roman"/>
                <w:sz w:val="21"/>
                <w:szCs w:val="21"/>
              </w:rPr>
              <w:t>31.717853</w:t>
            </w:r>
          </w:p>
        </w:tc>
        <w:tc>
          <w:tcPr>
            <w:tcW w:w="1080" w:type="dxa"/>
            <w:noWrap/>
            <w:vAlign w:val="center"/>
          </w:tcPr>
          <w:p w14:paraId="3998386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DC7610B">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6F5E167">
            <w:pPr>
              <w:spacing w:line="240" w:lineRule="auto"/>
              <w:ind w:firstLine="0" w:firstLineChars="0"/>
              <w:jc w:val="center"/>
              <w:rPr>
                <w:rFonts w:cs="Times New Roman"/>
                <w:sz w:val="21"/>
                <w:szCs w:val="21"/>
              </w:rPr>
            </w:pPr>
            <w:r>
              <w:rPr>
                <w:rFonts w:hint="eastAsia" w:cs="Times New Roman"/>
                <w:sz w:val="21"/>
                <w:szCs w:val="21"/>
              </w:rPr>
              <w:t>1600</w:t>
            </w:r>
          </w:p>
        </w:tc>
        <w:tc>
          <w:tcPr>
            <w:tcW w:w="1168" w:type="dxa"/>
            <w:noWrap/>
            <w:vAlign w:val="center"/>
          </w:tcPr>
          <w:p w14:paraId="700D0F2E">
            <w:pPr>
              <w:spacing w:line="240" w:lineRule="auto"/>
              <w:ind w:firstLine="0" w:firstLineChars="0"/>
              <w:jc w:val="center"/>
              <w:rPr>
                <w:rFonts w:cs="Times New Roman"/>
                <w:sz w:val="21"/>
                <w:szCs w:val="21"/>
              </w:rPr>
            </w:pPr>
            <w:r>
              <w:rPr>
                <w:rFonts w:hint="eastAsia" w:cs="Times New Roman"/>
                <w:sz w:val="21"/>
                <w:szCs w:val="21"/>
              </w:rPr>
              <w:t>约300</w:t>
            </w:r>
          </w:p>
        </w:tc>
      </w:tr>
      <w:tr w14:paraId="6C933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EAED523">
            <w:pPr>
              <w:pStyle w:val="39"/>
              <w:numPr>
                <w:ilvl w:val="0"/>
                <w:numId w:val="7"/>
              </w:numPr>
              <w:spacing w:line="240" w:lineRule="auto"/>
              <w:ind w:firstLineChars="0"/>
              <w:jc w:val="center"/>
              <w:rPr>
                <w:rFonts w:cs="Times New Roman"/>
                <w:sz w:val="21"/>
                <w:szCs w:val="21"/>
              </w:rPr>
            </w:pPr>
          </w:p>
        </w:tc>
        <w:tc>
          <w:tcPr>
            <w:tcW w:w="992" w:type="dxa"/>
            <w:noWrap/>
            <w:vAlign w:val="center"/>
          </w:tcPr>
          <w:p w14:paraId="0463F52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4C4D48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A6E556A">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7FB396E">
            <w:pPr>
              <w:spacing w:line="240" w:lineRule="auto"/>
              <w:ind w:firstLine="0" w:firstLineChars="0"/>
              <w:jc w:val="center"/>
              <w:rPr>
                <w:rFonts w:cs="Times New Roman"/>
                <w:sz w:val="21"/>
                <w:szCs w:val="21"/>
              </w:rPr>
            </w:pPr>
            <w:r>
              <w:rPr>
                <w:rFonts w:hint="eastAsia" w:cs="Times New Roman"/>
                <w:sz w:val="21"/>
                <w:szCs w:val="21"/>
              </w:rPr>
              <w:t>通明新苑</w:t>
            </w:r>
          </w:p>
        </w:tc>
        <w:tc>
          <w:tcPr>
            <w:tcW w:w="1701" w:type="dxa"/>
            <w:noWrap/>
            <w:vAlign w:val="center"/>
          </w:tcPr>
          <w:p w14:paraId="1171A35B">
            <w:pPr>
              <w:spacing w:line="240" w:lineRule="auto"/>
              <w:ind w:firstLine="0" w:firstLineChars="0"/>
              <w:jc w:val="center"/>
              <w:rPr>
                <w:rFonts w:cs="Times New Roman"/>
                <w:sz w:val="21"/>
                <w:szCs w:val="21"/>
              </w:rPr>
            </w:pPr>
            <w:r>
              <w:rPr>
                <w:rFonts w:hint="eastAsia" w:cs="Times New Roman"/>
                <w:sz w:val="21"/>
                <w:szCs w:val="21"/>
              </w:rPr>
              <w:t>119.367073</w:t>
            </w:r>
          </w:p>
        </w:tc>
        <w:tc>
          <w:tcPr>
            <w:tcW w:w="1690" w:type="dxa"/>
            <w:noWrap/>
            <w:vAlign w:val="center"/>
          </w:tcPr>
          <w:p w14:paraId="3DE92D1A">
            <w:pPr>
              <w:spacing w:line="240" w:lineRule="auto"/>
              <w:ind w:firstLine="0" w:firstLineChars="0"/>
              <w:jc w:val="center"/>
              <w:rPr>
                <w:rFonts w:cs="Times New Roman"/>
                <w:sz w:val="21"/>
                <w:szCs w:val="21"/>
              </w:rPr>
            </w:pPr>
            <w:r>
              <w:rPr>
                <w:rFonts w:hint="eastAsia" w:cs="Times New Roman"/>
                <w:sz w:val="21"/>
                <w:szCs w:val="21"/>
              </w:rPr>
              <w:t>31.712629</w:t>
            </w:r>
          </w:p>
        </w:tc>
        <w:tc>
          <w:tcPr>
            <w:tcW w:w="1080" w:type="dxa"/>
            <w:noWrap/>
            <w:vAlign w:val="center"/>
          </w:tcPr>
          <w:p w14:paraId="6AC0333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340783E">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23DC92DE">
            <w:pPr>
              <w:spacing w:line="240" w:lineRule="auto"/>
              <w:ind w:firstLine="0" w:firstLineChars="0"/>
              <w:jc w:val="center"/>
              <w:rPr>
                <w:rFonts w:cs="Times New Roman"/>
                <w:sz w:val="21"/>
                <w:szCs w:val="21"/>
              </w:rPr>
            </w:pPr>
            <w:r>
              <w:rPr>
                <w:rFonts w:hint="eastAsia" w:cs="Times New Roman"/>
                <w:sz w:val="21"/>
                <w:szCs w:val="21"/>
              </w:rPr>
              <w:t>2100</w:t>
            </w:r>
          </w:p>
        </w:tc>
        <w:tc>
          <w:tcPr>
            <w:tcW w:w="1168" w:type="dxa"/>
            <w:noWrap/>
            <w:vAlign w:val="center"/>
          </w:tcPr>
          <w:p w14:paraId="197EB03C">
            <w:pPr>
              <w:spacing w:line="240" w:lineRule="auto"/>
              <w:ind w:firstLine="0" w:firstLineChars="0"/>
              <w:jc w:val="center"/>
              <w:rPr>
                <w:rFonts w:cs="Times New Roman"/>
                <w:sz w:val="21"/>
                <w:szCs w:val="21"/>
              </w:rPr>
            </w:pPr>
            <w:r>
              <w:rPr>
                <w:rFonts w:hint="eastAsia" w:cs="Times New Roman"/>
                <w:sz w:val="21"/>
                <w:szCs w:val="21"/>
              </w:rPr>
              <w:t>约150</w:t>
            </w:r>
          </w:p>
        </w:tc>
      </w:tr>
      <w:tr w14:paraId="4954B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0466F7D">
            <w:pPr>
              <w:pStyle w:val="39"/>
              <w:numPr>
                <w:ilvl w:val="0"/>
                <w:numId w:val="7"/>
              </w:numPr>
              <w:spacing w:line="240" w:lineRule="auto"/>
              <w:ind w:firstLineChars="0"/>
              <w:jc w:val="center"/>
              <w:rPr>
                <w:rFonts w:cs="Times New Roman"/>
                <w:sz w:val="21"/>
                <w:szCs w:val="21"/>
              </w:rPr>
            </w:pPr>
          </w:p>
        </w:tc>
        <w:tc>
          <w:tcPr>
            <w:tcW w:w="992" w:type="dxa"/>
            <w:noWrap/>
            <w:vAlign w:val="center"/>
          </w:tcPr>
          <w:p w14:paraId="7168643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DE45FC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523AD9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61141E1">
            <w:pPr>
              <w:spacing w:line="240" w:lineRule="auto"/>
              <w:ind w:firstLine="0" w:firstLineChars="0"/>
              <w:jc w:val="center"/>
              <w:rPr>
                <w:rFonts w:cs="Times New Roman"/>
                <w:sz w:val="21"/>
                <w:szCs w:val="21"/>
              </w:rPr>
            </w:pPr>
            <w:r>
              <w:rPr>
                <w:rFonts w:hint="eastAsia" w:cs="Times New Roman"/>
                <w:sz w:val="21"/>
                <w:szCs w:val="21"/>
              </w:rPr>
              <w:t>安边村</w:t>
            </w:r>
          </w:p>
        </w:tc>
        <w:tc>
          <w:tcPr>
            <w:tcW w:w="1701" w:type="dxa"/>
            <w:noWrap/>
            <w:vAlign w:val="center"/>
          </w:tcPr>
          <w:p w14:paraId="3FAD2A49">
            <w:pPr>
              <w:spacing w:line="240" w:lineRule="auto"/>
              <w:ind w:firstLine="0" w:firstLineChars="0"/>
              <w:jc w:val="center"/>
              <w:rPr>
                <w:rFonts w:cs="Times New Roman"/>
                <w:sz w:val="21"/>
                <w:szCs w:val="21"/>
              </w:rPr>
            </w:pPr>
            <w:r>
              <w:rPr>
                <w:rFonts w:hint="eastAsia" w:cs="Times New Roman"/>
                <w:sz w:val="21"/>
                <w:szCs w:val="21"/>
              </w:rPr>
              <w:t>119.376565</w:t>
            </w:r>
          </w:p>
        </w:tc>
        <w:tc>
          <w:tcPr>
            <w:tcW w:w="1690" w:type="dxa"/>
            <w:noWrap/>
            <w:vAlign w:val="center"/>
          </w:tcPr>
          <w:p w14:paraId="6F23C22C">
            <w:pPr>
              <w:spacing w:line="240" w:lineRule="auto"/>
              <w:ind w:firstLine="0" w:firstLineChars="0"/>
              <w:jc w:val="center"/>
              <w:rPr>
                <w:rFonts w:cs="Times New Roman"/>
                <w:sz w:val="21"/>
                <w:szCs w:val="21"/>
              </w:rPr>
            </w:pPr>
            <w:r>
              <w:rPr>
                <w:rFonts w:hint="eastAsia" w:cs="Times New Roman"/>
                <w:sz w:val="21"/>
                <w:szCs w:val="21"/>
              </w:rPr>
              <w:t>31.766173</w:t>
            </w:r>
          </w:p>
        </w:tc>
        <w:tc>
          <w:tcPr>
            <w:tcW w:w="1080" w:type="dxa"/>
            <w:noWrap/>
            <w:vAlign w:val="center"/>
          </w:tcPr>
          <w:p w14:paraId="10551EF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4E9FA6B">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137609BA">
            <w:pPr>
              <w:spacing w:line="240" w:lineRule="auto"/>
              <w:ind w:firstLine="0" w:firstLineChars="0"/>
              <w:jc w:val="center"/>
              <w:rPr>
                <w:rFonts w:cs="Times New Roman"/>
                <w:sz w:val="21"/>
                <w:szCs w:val="21"/>
              </w:rPr>
            </w:pPr>
            <w:r>
              <w:rPr>
                <w:rFonts w:hint="eastAsia" w:cs="Times New Roman"/>
                <w:sz w:val="21"/>
                <w:szCs w:val="21"/>
              </w:rPr>
              <w:t>400</w:t>
            </w:r>
          </w:p>
        </w:tc>
        <w:tc>
          <w:tcPr>
            <w:tcW w:w="1168" w:type="dxa"/>
            <w:noWrap/>
            <w:vAlign w:val="center"/>
          </w:tcPr>
          <w:p w14:paraId="5973C7A9">
            <w:pPr>
              <w:spacing w:line="240" w:lineRule="auto"/>
              <w:ind w:firstLine="0" w:firstLineChars="0"/>
              <w:jc w:val="center"/>
              <w:rPr>
                <w:rFonts w:cs="Times New Roman"/>
                <w:sz w:val="21"/>
                <w:szCs w:val="21"/>
              </w:rPr>
            </w:pPr>
            <w:r>
              <w:rPr>
                <w:rFonts w:hint="eastAsia" w:cs="Times New Roman"/>
                <w:sz w:val="21"/>
                <w:szCs w:val="21"/>
              </w:rPr>
              <w:t>约70</w:t>
            </w:r>
          </w:p>
        </w:tc>
      </w:tr>
      <w:tr w14:paraId="075AC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4EC0B71">
            <w:pPr>
              <w:pStyle w:val="39"/>
              <w:numPr>
                <w:ilvl w:val="0"/>
                <w:numId w:val="7"/>
              </w:numPr>
              <w:spacing w:line="240" w:lineRule="auto"/>
              <w:ind w:firstLineChars="0"/>
              <w:jc w:val="center"/>
              <w:rPr>
                <w:rFonts w:cs="Times New Roman"/>
                <w:sz w:val="21"/>
                <w:szCs w:val="21"/>
              </w:rPr>
            </w:pPr>
          </w:p>
        </w:tc>
        <w:tc>
          <w:tcPr>
            <w:tcW w:w="992" w:type="dxa"/>
            <w:noWrap/>
            <w:vAlign w:val="center"/>
          </w:tcPr>
          <w:p w14:paraId="06157C5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0C235B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2A2514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4E6A18D">
            <w:pPr>
              <w:spacing w:line="240" w:lineRule="auto"/>
              <w:ind w:firstLine="0" w:firstLineChars="0"/>
              <w:jc w:val="center"/>
              <w:rPr>
                <w:rFonts w:cs="Times New Roman"/>
                <w:sz w:val="21"/>
                <w:szCs w:val="21"/>
              </w:rPr>
            </w:pPr>
            <w:r>
              <w:rPr>
                <w:rFonts w:hint="eastAsia" w:cs="Times New Roman"/>
                <w:sz w:val="21"/>
                <w:szCs w:val="21"/>
              </w:rPr>
              <w:t>方山村</w:t>
            </w:r>
          </w:p>
        </w:tc>
        <w:tc>
          <w:tcPr>
            <w:tcW w:w="1701" w:type="dxa"/>
            <w:noWrap/>
            <w:vAlign w:val="center"/>
          </w:tcPr>
          <w:p w14:paraId="7686553C">
            <w:pPr>
              <w:spacing w:line="240" w:lineRule="auto"/>
              <w:ind w:firstLine="0" w:firstLineChars="0"/>
              <w:jc w:val="center"/>
              <w:rPr>
                <w:rFonts w:cs="Times New Roman"/>
                <w:sz w:val="21"/>
                <w:szCs w:val="21"/>
              </w:rPr>
            </w:pPr>
            <w:r>
              <w:rPr>
                <w:rFonts w:hint="eastAsia" w:cs="Times New Roman"/>
                <w:sz w:val="21"/>
                <w:szCs w:val="21"/>
              </w:rPr>
              <w:t>119.355108</w:t>
            </w:r>
          </w:p>
        </w:tc>
        <w:tc>
          <w:tcPr>
            <w:tcW w:w="1690" w:type="dxa"/>
            <w:noWrap/>
            <w:vAlign w:val="center"/>
          </w:tcPr>
          <w:p w14:paraId="3CD97A1D">
            <w:pPr>
              <w:spacing w:line="240" w:lineRule="auto"/>
              <w:ind w:firstLine="0" w:firstLineChars="0"/>
              <w:jc w:val="center"/>
              <w:rPr>
                <w:rFonts w:cs="Times New Roman"/>
                <w:sz w:val="21"/>
                <w:szCs w:val="21"/>
              </w:rPr>
            </w:pPr>
            <w:r>
              <w:rPr>
                <w:rFonts w:hint="eastAsia" w:cs="Times New Roman"/>
                <w:sz w:val="21"/>
                <w:szCs w:val="21"/>
              </w:rPr>
              <w:t>31.716721</w:t>
            </w:r>
          </w:p>
        </w:tc>
        <w:tc>
          <w:tcPr>
            <w:tcW w:w="1080" w:type="dxa"/>
            <w:noWrap/>
            <w:vAlign w:val="center"/>
          </w:tcPr>
          <w:p w14:paraId="5C76010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8683C23">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72E3DD90">
            <w:pPr>
              <w:spacing w:line="240" w:lineRule="auto"/>
              <w:ind w:firstLine="0" w:firstLineChars="0"/>
              <w:jc w:val="center"/>
              <w:rPr>
                <w:rFonts w:cs="Times New Roman"/>
                <w:sz w:val="21"/>
                <w:szCs w:val="21"/>
              </w:rPr>
            </w:pPr>
            <w:r>
              <w:rPr>
                <w:rFonts w:hint="eastAsia" w:cs="Times New Roman"/>
                <w:sz w:val="21"/>
                <w:szCs w:val="21"/>
              </w:rPr>
              <w:t>870</w:t>
            </w:r>
          </w:p>
        </w:tc>
        <w:tc>
          <w:tcPr>
            <w:tcW w:w="1168" w:type="dxa"/>
            <w:noWrap/>
            <w:vAlign w:val="center"/>
          </w:tcPr>
          <w:p w14:paraId="19C03A32">
            <w:pPr>
              <w:spacing w:line="240" w:lineRule="auto"/>
              <w:ind w:firstLine="0" w:firstLineChars="0"/>
              <w:jc w:val="center"/>
              <w:rPr>
                <w:rFonts w:cs="Times New Roman"/>
                <w:sz w:val="21"/>
                <w:szCs w:val="21"/>
              </w:rPr>
            </w:pPr>
            <w:r>
              <w:rPr>
                <w:rFonts w:hint="eastAsia" w:cs="Times New Roman"/>
                <w:sz w:val="21"/>
                <w:szCs w:val="21"/>
              </w:rPr>
              <w:t>约200</w:t>
            </w:r>
          </w:p>
        </w:tc>
      </w:tr>
      <w:tr w14:paraId="3B562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422A970">
            <w:pPr>
              <w:pStyle w:val="39"/>
              <w:numPr>
                <w:ilvl w:val="0"/>
                <w:numId w:val="7"/>
              </w:numPr>
              <w:spacing w:line="240" w:lineRule="auto"/>
              <w:ind w:firstLineChars="0"/>
              <w:jc w:val="center"/>
              <w:rPr>
                <w:rFonts w:cs="Times New Roman"/>
                <w:sz w:val="21"/>
                <w:szCs w:val="21"/>
              </w:rPr>
            </w:pPr>
          </w:p>
        </w:tc>
        <w:tc>
          <w:tcPr>
            <w:tcW w:w="992" w:type="dxa"/>
            <w:noWrap/>
            <w:vAlign w:val="center"/>
          </w:tcPr>
          <w:p w14:paraId="66E6C8D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9B1DFA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728F43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8CF19DF">
            <w:pPr>
              <w:spacing w:line="240" w:lineRule="auto"/>
              <w:ind w:firstLine="0" w:firstLineChars="0"/>
              <w:jc w:val="center"/>
              <w:rPr>
                <w:rFonts w:cs="Times New Roman"/>
                <w:sz w:val="21"/>
                <w:szCs w:val="21"/>
              </w:rPr>
            </w:pPr>
            <w:r>
              <w:rPr>
                <w:rFonts w:hint="eastAsia" w:cs="Times New Roman"/>
                <w:sz w:val="21"/>
                <w:szCs w:val="21"/>
              </w:rPr>
              <w:t>夏宵村</w:t>
            </w:r>
          </w:p>
        </w:tc>
        <w:tc>
          <w:tcPr>
            <w:tcW w:w="1701" w:type="dxa"/>
            <w:noWrap/>
            <w:vAlign w:val="center"/>
          </w:tcPr>
          <w:p w14:paraId="7740B85C">
            <w:pPr>
              <w:spacing w:line="240" w:lineRule="auto"/>
              <w:ind w:firstLine="0" w:firstLineChars="0"/>
              <w:jc w:val="center"/>
              <w:rPr>
                <w:rFonts w:cs="Times New Roman"/>
                <w:sz w:val="21"/>
                <w:szCs w:val="21"/>
              </w:rPr>
            </w:pPr>
            <w:r>
              <w:rPr>
                <w:rFonts w:hint="eastAsia" w:cs="Times New Roman"/>
                <w:sz w:val="21"/>
                <w:szCs w:val="21"/>
              </w:rPr>
              <w:t>119.388736</w:t>
            </w:r>
          </w:p>
        </w:tc>
        <w:tc>
          <w:tcPr>
            <w:tcW w:w="1690" w:type="dxa"/>
            <w:noWrap/>
            <w:vAlign w:val="center"/>
          </w:tcPr>
          <w:p w14:paraId="4C8DEB47">
            <w:pPr>
              <w:spacing w:line="240" w:lineRule="auto"/>
              <w:ind w:firstLine="0" w:firstLineChars="0"/>
              <w:jc w:val="center"/>
              <w:rPr>
                <w:rFonts w:cs="Times New Roman"/>
                <w:sz w:val="21"/>
                <w:szCs w:val="21"/>
              </w:rPr>
            </w:pPr>
            <w:r>
              <w:rPr>
                <w:rFonts w:hint="eastAsia" w:cs="Times New Roman"/>
                <w:sz w:val="21"/>
                <w:szCs w:val="21"/>
              </w:rPr>
              <w:t>31.725438</w:t>
            </w:r>
          </w:p>
        </w:tc>
        <w:tc>
          <w:tcPr>
            <w:tcW w:w="1080" w:type="dxa"/>
            <w:noWrap/>
            <w:vAlign w:val="center"/>
          </w:tcPr>
          <w:p w14:paraId="20DA577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EBC0D12">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5D2D07BF">
            <w:pPr>
              <w:spacing w:line="240" w:lineRule="auto"/>
              <w:ind w:firstLine="0" w:firstLineChars="0"/>
              <w:jc w:val="center"/>
              <w:rPr>
                <w:rFonts w:cs="Times New Roman"/>
                <w:sz w:val="21"/>
                <w:szCs w:val="21"/>
              </w:rPr>
            </w:pPr>
            <w:r>
              <w:rPr>
                <w:rFonts w:hint="eastAsia" w:cs="Times New Roman"/>
                <w:sz w:val="21"/>
                <w:szCs w:val="21"/>
              </w:rPr>
              <w:t>1254</w:t>
            </w:r>
          </w:p>
        </w:tc>
        <w:tc>
          <w:tcPr>
            <w:tcW w:w="1168" w:type="dxa"/>
            <w:noWrap/>
            <w:vAlign w:val="center"/>
          </w:tcPr>
          <w:p w14:paraId="4E8B7722">
            <w:pPr>
              <w:spacing w:line="240" w:lineRule="auto"/>
              <w:ind w:firstLine="0" w:firstLineChars="0"/>
              <w:jc w:val="center"/>
              <w:rPr>
                <w:rFonts w:cs="Times New Roman"/>
                <w:sz w:val="21"/>
                <w:szCs w:val="21"/>
              </w:rPr>
            </w:pPr>
            <w:r>
              <w:rPr>
                <w:rFonts w:hint="eastAsia" w:cs="Times New Roman"/>
                <w:sz w:val="21"/>
                <w:szCs w:val="21"/>
              </w:rPr>
              <w:t>约400</w:t>
            </w:r>
          </w:p>
        </w:tc>
      </w:tr>
      <w:tr w14:paraId="620B0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95409A1">
            <w:pPr>
              <w:pStyle w:val="39"/>
              <w:numPr>
                <w:ilvl w:val="0"/>
                <w:numId w:val="7"/>
              </w:numPr>
              <w:spacing w:line="240" w:lineRule="auto"/>
              <w:ind w:firstLineChars="0"/>
              <w:jc w:val="center"/>
              <w:rPr>
                <w:rFonts w:cs="Times New Roman"/>
                <w:sz w:val="21"/>
                <w:szCs w:val="21"/>
              </w:rPr>
            </w:pPr>
          </w:p>
        </w:tc>
        <w:tc>
          <w:tcPr>
            <w:tcW w:w="992" w:type="dxa"/>
            <w:noWrap/>
            <w:vAlign w:val="center"/>
          </w:tcPr>
          <w:p w14:paraId="0C59E38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C5C713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0FAD986">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A482D0A">
            <w:pPr>
              <w:spacing w:line="240" w:lineRule="auto"/>
              <w:ind w:firstLine="0" w:firstLineChars="0"/>
              <w:jc w:val="center"/>
              <w:rPr>
                <w:rFonts w:cs="Times New Roman"/>
                <w:sz w:val="21"/>
                <w:szCs w:val="21"/>
              </w:rPr>
            </w:pPr>
            <w:r>
              <w:rPr>
                <w:rFonts w:hint="eastAsia" w:cs="Times New Roman"/>
                <w:sz w:val="21"/>
                <w:szCs w:val="21"/>
              </w:rPr>
              <w:t>薛村</w:t>
            </w:r>
          </w:p>
        </w:tc>
        <w:tc>
          <w:tcPr>
            <w:tcW w:w="1701" w:type="dxa"/>
            <w:noWrap/>
            <w:vAlign w:val="center"/>
          </w:tcPr>
          <w:p w14:paraId="3EFB6287">
            <w:pPr>
              <w:spacing w:line="240" w:lineRule="auto"/>
              <w:ind w:firstLine="0" w:firstLineChars="0"/>
              <w:jc w:val="center"/>
              <w:rPr>
                <w:rFonts w:cs="Times New Roman"/>
                <w:sz w:val="21"/>
                <w:szCs w:val="21"/>
              </w:rPr>
            </w:pPr>
            <w:r>
              <w:rPr>
                <w:rFonts w:hint="eastAsia" w:cs="Times New Roman"/>
                <w:sz w:val="21"/>
                <w:szCs w:val="21"/>
              </w:rPr>
              <w:t>119.350175</w:t>
            </w:r>
          </w:p>
        </w:tc>
        <w:tc>
          <w:tcPr>
            <w:tcW w:w="1690" w:type="dxa"/>
            <w:noWrap/>
            <w:vAlign w:val="center"/>
          </w:tcPr>
          <w:p w14:paraId="09F569FE">
            <w:pPr>
              <w:spacing w:line="240" w:lineRule="auto"/>
              <w:ind w:firstLine="0" w:firstLineChars="0"/>
              <w:jc w:val="center"/>
              <w:rPr>
                <w:rFonts w:cs="Times New Roman"/>
                <w:sz w:val="21"/>
                <w:szCs w:val="21"/>
              </w:rPr>
            </w:pPr>
            <w:r>
              <w:rPr>
                <w:rFonts w:hint="eastAsia" w:cs="Times New Roman"/>
                <w:sz w:val="21"/>
                <w:szCs w:val="21"/>
              </w:rPr>
              <w:t>31.717398</w:t>
            </w:r>
          </w:p>
        </w:tc>
        <w:tc>
          <w:tcPr>
            <w:tcW w:w="1080" w:type="dxa"/>
            <w:noWrap/>
            <w:vAlign w:val="center"/>
          </w:tcPr>
          <w:p w14:paraId="4083D39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D8C42A1">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EA57F28">
            <w:pPr>
              <w:spacing w:line="240" w:lineRule="auto"/>
              <w:ind w:firstLine="0" w:firstLineChars="0"/>
              <w:jc w:val="center"/>
              <w:rPr>
                <w:rFonts w:cs="Times New Roman"/>
                <w:sz w:val="21"/>
                <w:szCs w:val="21"/>
              </w:rPr>
            </w:pPr>
            <w:r>
              <w:rPr>
                <w:rFonts w:hint="eastAsia" w:cs="Times New Roman"/>
                <w:sz w:val="21"/>
                <w:szCs w:val="21"/>
              </w:rPr>
              <w:t>624</w:t>
            </w:r>
          </w:p>
        </w:tc>
        <w:tc>
          <w:tcPr>
            <w:tcW w:w="1168" w:type="dxa"/>
            <w:noWrap/>
            <w:vAlign w:val="center"/>
          </w:tcPr>
          <w:p w14:paraId="323D8F2D">
            <w:pPr>
              <w:spacing w:line="240" w:lineRule="auto"/>
              <w:ind w:firstLine="0" w:firstLineChars="0"/>
              <w:jc w:val="center"/>
              <w:rPr>
                <w:rFonts w:cs="Times New Roman"/>
                <w:sz w:val="21"/>
                <w:szCs w:val="21"/>
              </w:rPr>
            </w:pPr>
            <w:r>
              <w:rPr>
                <w:rFonts w:hint="eastAsia" w:cs="Times New Roman"/>
                <w:sz w:val="21"/>
                <w:szCs w:val="21"/>
              </w:rPr>
              <w:t>约80</w:t>
            </w:r>
          </w:p>
        </w:tc>
      </w:tr>
      <w:tr w14:paraId="631A9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347355A">
            <w:pPr>
              <w:pStyle w:val="39"/>
              <w:numPr>
                <w:ilvl w:val="0"/>
                <w:numId w:val="7"/>
              </w:numPr>
              <w:spacing w:line="240" w:lineRule="auto"/>
              <w:ind w:firstLineChars="0"/>
              <w:jc w:val="center"/>
              <w:rPr>
                <w:rFonts w:cs="Times New Roman"/>
                <w:sz w:val="21"/>
                <w:szCs w:val="21"/>
              </w:rPr>
            </w:pPr>
          </w:p>
        </w:tc>
        <w:tc>
          <w:tcPr>
            <w:tcW w:w="992" w:type="dxa"/>
            <w:noWrap/>
            <w:vAlign w:val="center"/>
          </w:tcPr>
          <w:p w14:paraId="6E987B1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BF2442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566338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4C9D491">
            <w:pPr>
              <w:spacing w:line="240" w:lineRule="auto"/>
              <w:ind w:firstLine="0" w:firstLineChars="0"/>
              <w:jc w:val="center"/>
              <w:rPr>
                <w:rFonts w:cs="Times New Roman"/>
                <w:sz w:val="21"/>
                <w:szCs w:val="21"/>
              </w:rPr>
            </w:pPr>
            <w:r>
              <w:rPr>
                <w:rFonts w:hint="eastAsia" w:cs="Times New Roman"/>
                <w:sz w:val="21"/>
                <w:szCs w:val="21"/>
              </w:rPr>
              <w:t>顺水桥</w:t>
            </w:r>
          </w:p>
        </w:tc>
        <w:tc>
          <w:tcPr>
            <w:tcW w:w="1701" w:type="dxa"/>
            <w:noWrap/>
            <w:vAlign w:val="center"/>
          </w:tcPr>
          <w:p w14:paraId="11A0483C">
            <w:pPr>
              <w:spacing w:line="240" w:lineRule="auto"/>
              <w:ind w:firstLine="0" w:firstLineChars="0"/>
              <w:jc w:val="center"/>
              <w:rPr>
                <w:rFonts w:cs="Times New Roman"/>
                <w:sz w:val="21"/>
                <w:szCs w:val="21"/>
              </w:rPr>
            </w:pPr>
            <w:r>
              <w:rPr>
                <w:rFonts w:hint="eastAsia" w:cs="Times New Roman"/>
                <w:sz w:val="21"/>
                <w:szCs w:val="21"/>
              </w:rPr>
              <w:t>119.343947</w:t>
            </w:r>
          </w:p>
        </w:tc>
        <w:tc>
          <w:tcPr>
            <w:tcW w:w="1690" w:type="dxa"/>
            <w:noWrap/>
            <w:vAlign w:val="center"/>
          </w:tcPr>
          <w:p w14:paraId="6F35236F">
            <w:pPr>
              <w:spacing w:line="240" w:lineRule="auto"/>
              <w:ind w:firstLine="0" w:firstLineChars="0"/>
              <w:jc w:val="center"/>
              <w:rPr>
                <w:rFonts w:cs="Times New Roman"/>
                <w:sz w:val="21"/>
                <w:szCs w:val="21"/>
              </w:rPr>
            </w:pPr>
            <w:r>
              <w:rPr>
                <w:rFonts w:hint="eastAsia" w:cs="Times New Roman"/>
                <w:sz w:val="21"/>
                <w:szCs w:val="21"/>
              </w:rPr>
              <w:t>31.716205</w:t>
            </w:r>
          </w:p>
        </w:tc>
        <w:tc>
          <w:tcPr>
            <w:tcW w:w="1080" w:type="dxa"/>
            <w:noWrap/>
            <w:vAlign w:val="center"/>
          </w:tcPr>
          <w:p w14:paraId="24086DC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4A996FE">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C429AD6">
            <w:pPr>
              <w:spacing w:line="240" w:lineRule="auto"/>
              <w:ind w:firstLine="0" w:firstLineChars="0"/>
              <w:jc w:val="center"/>
              <w:rPr>
                <w:rFonts w:cs="Times New Roman"/>
                <w:sz w:val="21"/>
                <w:szCs w:val="21"/>
              </w:rPr>
            </w:pPr>
            <w:r>
              <w:rPr>
                <w:rFonts w:hint="eastAsia" w:cs="Times New Roman"/>
                <w:sz w:val="21"/>
                <w:szCs w:val="21"/>
              </w:rPr>
              <w:t>60</w:t>
            </w:r>
          </w:p>
        </w:tc>
        <w:tc>
          <w:tcPr>
            <w:tcW w:w="1168" w:type="dxa"/>
            <w:noWrap/>
            <w:vAlign w:val="center"/>
          </w:tcPr>
          <w:p w14:paraId="7BF44A38">
            <w:pPr>
              <w:spacing w:line="240" w:lineRule="auto"/>
              <w:ind w:firstLine="0" w:firstLineChars="0"/>
              <w:jc w:val="center"/>
              <w:rPr>
                <w:rFonts w:cs="Times New Roman"/>
                <w:sz w:val="21"/>
                <w:szCs w:val="21"/>
              </w:rPr>
            </w:pPr>
            <w:r>
              <w:rPr>
                <w:rFonts w:hint="eastAsia" w:cs="Times New Roman"/>
                <w:sz w:val="21"/>
                <w:szCs w:val="21"/>
              </w:rPr>
              <w:t>约20</w:t>
            </w:r>
          </w:p>
        </w:tc>
      </w:tr>
      <w:tr w14:paraId="2AC20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7672040">
            <w:pPr>
              <w:pStyle w:val="39"/>
              <w:numPr>
                <w:ilvl w:val="0"/>
                <w:numId w:val="7"/>
              </w:numPr>
              <w:spacing w:line="240" w:lineRule="auto"/>
              <w:ind w:firstLineChars="0"/>
              <w:jc w:val="center"/>
              <w:rPr>
                <w:rFonts w:cs="Times New Roman"/>
                <w:sz w:val="21"/>
                <w:szCs w:val="21"/>
              </w:rPr>
            </w:pPr>
          </w:p>
        </w:tc>
        <w:tc>
          <w:tcPr>
            <w:tcW w:w="992" w:type="dxa"/>
            <w:noWrap/>
            <w:vAlign w:val="center"/>
          </w:tcPr>
          <w:p w14:paraId="1A1308A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6524A3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84EE0C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6206CBD">
            <w:pPr>
              <w:spacing w:line="240" w:lineRule="auto"/>
              <w:ind w:firstLine="0" w:firstLineChars="0"/>
              <w:jc w:val="center"/>
              <w:rPr>
                <w:rFonts w:cs="Times New Roman"/>
                <w:sz w:val="21"/>
                <w:szCs w:val="21"/>
              </w:rPr>
            </w:pPr>
            <w:r>
              <w:rPr>
                <w:rFonts w:hint="eastAsia" w:cs="Times New Roman"/>
                <w:sz w:val="21"/>
                <w:szCs w:val="21"/>
              </w:rPr>
              <w:t>野猪塘</w:t>
            </w:r>
          </w:p>
        </w:tc>
        <w:tc>
          <w:tcPr>
            <w:tcW w:w="1701" w:type="dxa"/>
            <w:noWrap/>
            <w:vAlign w:val="center"/>
          </w:tcPr>
          <w:p w14:paraId="11B61D52">
            <w:pPr>
              <w:spacing w:line="240" w:lineRule="auto"/>
              <w:ind w:firstLine="0" w:firstLineChars="0"/>
              <w:jc w:val="center"/>
              <w:rPr>
                <w:rFonts w:cs="Times New Roman"/>
                <w:sz w:val="21"/>
                <w:szCs w:val="21"/>
              </w:rPr>
            </w:pPr>
            <w:r>
              <w:rPr>
                <w:rFonts w:hint="eastAsia" w:cs="Times New Roman"/>
                <w:sz w:val="21"/>
                <w:szCs w:val="21"/>
              </w:rPr>
              <w:t>119.336624</w:t>
            </w:r>
          </w:p>
        </w:tc>
        <w:tc>
          <w:tcPr>
            <w:tcW w:w="1690" w:type="dxa"/>
            <w:noWrap/>
            <w:vAlign w:val="center"/>
          </w:tcPr>
          <w:p w14:paraId="0D1AE773">
            <w:pPr>
              <w:spacing w:line="240" w:lineRule="auto"/>
              <w:ind w:firstLine="0" w:firstLineChars="0"/>
              <w:jc w:val="center"/>
              <w:rPr>
                <w:rFonts w:cs="Times New Roman"/>
                <w:sz w:val="21"/>
                <w:szCs w:val="21"/>
              </w:rPr>
            </w:pPr>
            <w:r>
              <w:rPr>
                <w:rFonts w:hint="eastAsia" w:cs="Times New Roman"/>
                <w:sz w:val="21"/>
                <w:szCs w:val="21"/>
              </w:rPr>
              <w:t>31.719535</w:t>
            </w:r>
          </w:p>
        </w:tc>
        <w:tc>
          <w:tcPr>
            <w:tcW w:w="1080" w:type="dxa"/>
            <w:noWrap/>
            <w:vAlign w:val="center"/>
          </w:tcPr>
          <w:p w14:paraId="596DAB5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B3DD9C6">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63821976">
            <w:pPr>
              <w:spacing w:line="240" w:lineRule="auto"/>
              <w:ind w:firstLine="0" w:firstLineChars="0"/>
              <w:jc w:val="center"/>
              <w:rPr>
                <w:rFonts w:cs="Times New Roman"/>
                <w:sz w:val="21"/>
                <w:szCs w:val="21"/>
              </w:rPr>
            </w:pPr>
            <w:r>
              <w:rPr>
                <w:rFonts w:hint="eastAsia" w:cs="Times New Roman"/>
                <w:sz w:val="21"/>
                <w:szCs w:val="21"/>
              </w:rPr>
              <w:t>60</w:t>
            </w:r>
          </w:p>
        </w:tc>
        <w:tc>
          <w:tcPr>
            <w:tcW w:w="1168" w:type="dxa"/>
            <w:noWrap/>
            <w:vAlign w:val="center"/>
          </w:tcPr>
          <w:p w14:paraId="50CEF8CA">
            <w:pPr>
              <w:spacing w:line="240" w:lineRule="auto"/>
              <w:ind w:firstLine="0" w:firstLineChars="0"/>
              <w:jc w:val="center"/>
              <w:rPr>
                <w:rFonts w:cs="Times New Roman"/>
                <w:sz w:val="21"/>
                <w:szCs w:val="21"/>
              </w:rPr>
            </w:pPr>
            <w:r>
              <w:rPr>
                <w:rFonts w:hint="eastAsia" w:cs="Times New Roman"/>
                <w:sz w:val="21"/>
                <w:szCs w:val="21"/>
              </w:rPr>
              <w:t>约20</w:t>
            </w:r>
          </w:p>
        </w:tc>
      </w:tr>
      <w:tr w14:paraId="30A3E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1EC68FC">
            <w:pPr>
              <w:pStyle w:val="39"/>
              <w:numPr>
                <w:ilvl w:val="0"/>
                <w:numId w:val="7"/>
              </w:numPr>
              <w:spacing w:line="240" w:lineRule="auto"/>
              <w:ind w:firstLineChars="0"/>
              <w:jc w:val="center"/>
              <w:rPr>
                <w:rFonts w:cs="Times New Roman"/>
                <w:sz w:val="21"/>
                <w:szCs w:val="21"/>
              </w:rPr>
            </w:pPr>
          </w:p>
        </w:tc>
        <w:tc>
          <w:tcPr>
            <w:tcW w:w="992" w:type="dxa"/>
            <w:noWrap/>
            <w:vAlign w:val="center"/>
          </w:tcPr>
          <w:p w14:paraId="4A83ED5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A4E2AE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83E6E1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47D0BE5">
            <w:pPr>
              <w:spacing w:line="240" w:lineRule="auto"/>
              <w:ind w:firstLine="0" w:firstLineChars="0"/>
              <w:jc w:val="center"/>
              <w:rPr>
                <w:rFonts w:cs="Times New Roman"/>
                <w:sz w:val="21"/>
                <w:szCs w:val="21"/>
              </w:rPr>
            </w:pPr>
            <w:r>
              <w:rPr>
                <w:rFonts w:hint="eastAsia" w:cs="Times New Roman"/>
                <w:sz w:val="21"/>
                <w:szCs w:val="21"/>
              </w:rPr>
              <w:t>祠堂巷</w:t>
            </w:r>
          </w:p>
        </w:tc>
        <w:tc>
          <w:tcPr>
            <w:tcW w:w="1701" w:type="dxa"/>
            <w:noWrap/>
            <w:vAlign w:val="center"/>
          </w:tcPr>
          <w:p w14:paraId="3B66D4E4">
            <w:pPr>
              <w:spacing w:line="240" w:lineRule="auto"/>
              <w:ind w:firstLine="0" w:firstLineChars="0"/>
              <w:jc w:val="center"/>
              <w:rPr>
                <w:rFonts w:cs="Times New Roman"/>
                <w:sz w:val="21"/>
                <w:szCs w:val="21"/>
              </w:rPr>
            </w:pPr>
            <w:r>
              <w:rPr>
                <w:rFonts w:hint="eastAsia" w:cs="Times New Roman"/>
                <w:sz w:val="21"/>
                <w:szCs w:val="21"/>
              </w:rPr>
              <w:t>119.375901</w:t>
            </w:r>
          </w:p>
        </w:tc>
        <w:tc>
          <w:tcPr>
            <w:tcW w:w="1690" w:type="dxa"/>
            <w:noWrap/>
            <w:vAlign w:val="center"/>
          </w:tcPr>
          <w:p w14:paraId="1C0F93C3">
            <w:pPr>
              <w:spacing w:line="240" w:lineRule="auto"/>
              <w:ind w:firstLine="0" w:firstLineChars="0"/>
              <w:jc w:val="center"/>
              <w:rPr>
                <w:rFonts w:cs="Times New Roman"/>
                <w:sz w:val="21"/>
                <w:szCs w:val="21"/>
              </w:rPr>
            </w:pPr>
            <w:r>
              <w:rPr>
                <w:rFonts w:hint="eastAsia" w:cs="Times New Roman"/>
                <w:sz w:val="21"/>
                <w:szCs w:val="21"/>
              </w:rPr>
              <w:t>31.701834</w:t>
            </w:r>
          </w:p>
        </w:tc>
        <w:tc>
          <w:tcPr>
            <w:tcW w:w="1080" w:type="dxa"/>
            <w:noWrap/>
            <w:vAlign w:val="center"/>
          </w:tcPr>
          <w:p w14:paraId="121012B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1917C27">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FA380D2">
            <w:pPr>
              <w:spacing w:line="240" w:lineRule="auto"/>
              <w:ind w:firstLine="0" w:firstLineChars="0"/>
              <w:jc w:val="center"/>
              <w:rPr>
                <w:rFonts w:cs="Times New Roman"/>
                <w:sz w:val="21"/>
                <w:szCs w:val="21"/>
              </w:rPr>
            </w:pPr>
            <w:r>
              <w:rPr>
                <w:rFonts w:hint="eastAsia" w:cs="Times New Roman"/>
                <w:sz w:val="21"/>
                <w:szCs w:val="21"/>
              </w:rPr>
              <w:t>725</w:t>
            </w:r>
          </w:p>
        </w:tc>
        <w:tc>
          <w:tcPr>
            <w:tcW w:w="1168" w:type="dxa"/>
            <w:noWrap/>
            <w:vAlign w:val="center"/>
          </w:tcPr>
          <w:p w14:paraId="22788A4D">
            <w:pPr>
              <w:spacing w:line="240" w:lineRule="auto"/>
              <w:ind w:firstLine="0" w:firstLineChars="0"/>
              <w:jc w:val="center"/>
              <w:rPr>
                <w:rFonts w:cs="Times New Roman"/>
                <w:sz w:val="21"/>
                <w:szCs w:val="21"/>
              </w:rPr>
            </w:pPr>
            <w:r>
              <w:rPr>
                <w:rFonts w:hint="eastAsia" w:cs="Times New Roman"/>
                <w:sz w:val="21"/>
                <w:szCs w:val="21"/>
              </w:rPr>
              <w:t>约20</w:t>
            </w:r>
          </w:p>
        </w:tc>
      </w:tr>
      <w:tr w14:paraId="5692A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60ACA3C">
            <w:pPr>
              <w:pStyle w:val="39"/>
              <w:numPr>
                <w:ilvl w:val="0"/>
                <w:numId w:val="7"/>
              </w:numPr>
              <w:spacing w:line="240" w:lineRule="auto"/>
              <w:ind w:firstLineChars="0"/>
              <w:jc w:val="center"/>
              <w:rPr>
                <w:rFonts w:cs="Times New Roman"/>
                <w:sz w:val="21"/>
                <w:szCs w:val="21"/>
              </w:rPr>
            </w:pPr>
          </w:p>
        </w:tc>
        <w:tc>
          <w:tcPr>
            <w:tcW w:w="992" w:type="dxa"/>
            <w:noWrap/>
            <w:vAlign w:val="center"/>
          </w:tcPr>
          <w:p w14:paraId="614A412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94A9DE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30E18B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716858D">
            <w:pPr>
              <w:spacing w:line="240" w:lineRule="auto"/>
              <w:ind w:firstLine="0" w:firstLineChars="0"/>
              <w:jc w:val="center"/>
              <w:rPr>
                <w:rFonts w:cs="Times New Roman"/>
                <w:sz w:val="21"/>
                <w:szCs w:val="21"/>
              </w:rPr>
            </w:pPr>
            <w:r>
              <w:rPr>
                <w:rFonts w:hint="eastAsia" w:cs="Times New Roman"/>
                <w:sz w:val="21"/>
                <w:szCs w:val="21"/>
              </w:rPr>
              <w:t>清水塘</w:t>
            </w:r>
          </w:p>
        </w:tc>
        <w:tc>
          <w:tcPr>
            <w:tcW w:w="1701" w:type="dxa"/>
            <w:noWrap/>
            <w:vAlign w:val="center"/>
          </w:tcPr>
          <w:p w14:paraId="47544BFE">
            <w:pPr>
              <w:spacing w:line="240" w:lineRule="auto"/>
              <w:ind w:firstLine="0" w:firstLineChars="0"/>
              <w:jc w:val="center"/>
              <w:rPr>
                <w:rFonts w:cs="Times New Roman"/>
                <w:sz w:val="21"/>
                <w:szCs w:val="21"/>
              </w:rPr>
            </w:pPr>
            <w:r>
              <w:rPr>
                <w:rFonts w:hint="eastAsia" w:cs="Times New Roman"/>
                <w:sz w:val="21"/>
                <w:szCs w:val="21"/>
              </w:rPr>
              <w:t>119.370274</w:t>
            </w:r>
          </w:p>
        </w:tc>
        <w:tc>
          <w:tcPr>
            <w:tcW w:w="1690" w:type="dxa"/>
            <w:noWrap/>
            <w:vAlign w:val="center"/>
          </w:tcPr>
          <w:p w14:paraId="09A3631F">
            <w:pPr>
              <w:spacing w:line="240" w:lineRule="auto"/>
              <w:ind w:firstLine="0" w:firstLineChars="0"/>
              <w:jc w:val="center"/>
              <w:rPr>
                <w:rFonts w:cs="Times New Roman"/>
                <w:sz w:val="21"/>
                <w:szCs w:val="21"/>
              </w:rPr>
            </w:pPr>
            <w:r>
              <w:rPr>
                <w:rFonts w:hint="eastAsia" w:cs="Times New Roman"/>
                <w:sz w:val="21"/>
                <w:szCs w:val="21"/>
              </w:rPr>
              <w:t>31.6941</w:t>
            </w:r>
          </w:p>
        </w:tc>
        <w:tc>
          <w:tcPr>
            <w:tcW w:w="1080" w:type="dxa"/>
            <w:noWrap/>
            <w:vAlign w:val="center"/>
          </w:tcPr>
          <w:p w14:paraId="0F4460D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EB6A929">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06F7B692">
            <w:pPr>
              <w:spacing w:line="240" w:lineRule="auto"/>
              <w:ind w:firstLine="0" w:firstLineChars="0"/>
              <w:jc w:val="center"/>
              <w:rPr>
                <w:rFonts w:cs="Times New Roman"/>
                <w:sz w:val="21"/>
                <w:szCs w:val="21"/>
              </w:rPr>
            </w:pPr>
            <w:r>
              <w:rPr>
                <w:rFonts w:hint="eastAsia" w:cs="Times New Roman"/>
                <w:sz w:val="21"/>
                <w:szCs w:val="21"/>
              </w:rPr>
              <w:t>30</w:t>
            </w:r>
          </w:p>
        </w:tc>
        <w:tc>
          <w:tcPr>
            <w:tcW w:w="1168" w:type="dxa"/>
            <w:noWrap/>
            <w:vAlign w:val="center"/>
          </w:tcPr>
          <w:p w14:paraId="4852621D">
            <w:pPr>
              <w:spacing w:line="240" w:lineRule="auto"/>
              <w:ind w:firstLine="0" w:firstLineChars="0"/>
              <w:jc w:val="center"/>
              <w:rPr>
                <w:rFonts w:cs="Times New Roman"/>
                <w:sz w:val="21"/>
                <w:szCs w:val="21"/>
              </w:rPr>
            </w:pPr>
            <w:r>
              <w:rPr>
                <w:rFonts w:hint="eastAsia" w:cs="Times New Roman"/>
                <w:sz w:val="21"/>
                <w:szCs w:val="21"/>
              </w:rPr>
              <w:t>约20</w:t>
            </w:r>
          </w:p>
        </w:tc>
      </w:tr>
      <w:tr w14:paraId="637F0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795E808">
            <w:pPr>
              <w:pStyle w:val="39"/>
              <w:numPr>
                <w:ilvl w:val="0"/>
                <w:numId w:val="7"/>
              </w:numPr>
              <w:spacing w:line="240" w:lineRule="auto"/>
              <w:ind w:firstLineChars="0"/>
              <w:jc w:val="center"/>
              <w:rPr>
                <w:rFonts w:cs="Times New Roman"/>
                <w:sz w:val="21"/>
                <w:szCs w:val="21"/>
              </w:rPr>
            </w:pPr>
          </w:p>
        </w:tc>
        <w:tc>
          <w:tcPr>
            <w:tcW w:w="992" w:type="dxa"/>
            <w:noWrap/>
            <w:vAlign w:val="center"/>
          </w:tcPr>
          <w:p w14:paraId="29DD1AC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52D103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EAC9FC6">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17C5304">
            <w:pPr>
              <w:spacing w:line="240" w:lineRule="auto"/>
              <w:ind w:firstLine="0" w:firstLineChars="0"/>
              <w:jc w:val="center"/>
              <w:rPr>
                <w:rFonts w:cs="Times New Roman"/>
                <w:sz w:val="21"/>
                <w:szCs w:val="21"/>
              </w:rPr>
            </w:pPr>
            <w:r>
              <w:rPr>
                <w:rFonts w:hint="eastAsia" w:cs="Times New Roman"/>
                <w:sz w:val="21"/>
                <w:szCs w:val="21"/>
              </w:rPr>
              <w:t>唐庄</w:t>
            </w:r>
          </w:p>
        </w:tc>
        <w:tc>
          <w:tcPr>
            <w:tcW w:w="1701" w:type="dxa"/>
            <w:noWrap/>
            <w:vAlign w:val="center"/>
          </w:tcPr>
          <w:p w14:paraId="7CB1C12E">
            <w:pPr>
              <w:spacing w:line="240" w:lineRule="auto"/>
              <w:ind w:firstLine="0" w:firstLineChars="0"/>
              <w:jc w:val="center"/>
              <w:rPr>
                <w:rFonts w:cs="Times New Roman"/>
                <w:sz w:val="21"/>
                <w:szCs w:val="21"/>
              </w:rPr>
            </w:pPr>
            <w:r>
              <w:rPr>
                <w:rFonts w:hint="eastAsia" w:cs="Times New Roman"/>
                <w:sz w:val="21"/>
                <w:szCs w:val="21"/>
              </w:rPr>
              <w:t>119.373402</w:t>
            </w:r>
          </w:p>
        </w:tc>
        <w:tc>
          <w:tcPr>
            <w:tcW w:w="1690" w:type="dxa"/>
            <w:noWrap/>
            <w:vAlign w:val="center"/>
          </w:tcPr>
          <w:p w14:paraId="2E3713D6">
            <w:pPr>
              <w:spacing w:line="240" w:lineRule="auto"/>
              <w:ind w:firstLine="0" w:firstLineChars="0"/>
              <w:jc w:val="center"/>
              <w:rPr>
                <w:rFonts w:cs="Times New Roman"/>
                <w:sz w:val="21"/>
                <w:szCs w:val="21"/>
              </w:rPr>
            </w:pPr>
            <w:r>
              <w:rPr>
                <w:rFonts w:hint="eastAsia" w:cs="Times New Roman"/>
                <w:sz w:val="21"/>
                <w:szCs w:val="21"/>
              </w:rPr>
              <w:t>31.691746</w:t>
            </w:r>
          </w:p>
        </w:tc>
        <w:tc>
          <w:tcPr>
            <w:tcW w:w="1080" w:type="dxa"/>
            <w:noWrap/>
            <w:vAlign w:val="center"/>
          </w:tcPr>
          <w:p w14:paraId="7E9963A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53BB00E">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0C7800FA">
            <w:pPr>
              <w:spacing w:line="240" w:lineRule="auto"/>
              <w:ind w:firstLine="0" w:firstLineChars="0"/>
              <w:jc w:val="center"/>
              <w:rPr>
                <w:rFonts w:cs="Times New Roman"/>
                <w:sz w:val="21"/>
                <w:szCs w:val="21"/>
              </w:rPr>
            </w:pPr>
            <w:r>
              <w:rPr>
                <w:rFonts w:hint="eastAsia" w:cs="Times New Roman"/>
                <w:sz w:val="21"/>
                <w:szCs w:val="21"/>
              </w:rPr>
              <w:t>177</w:t>
            </w:r>
          </w:p>
        </w:tc>
        <w:tc>
          <w:tcPr>
            <w:tcW w:w="1168" w:type="dxa"/>
            <w:noWrap/>
            <w:vAlign w:val="center"/>
          </w:tcPr>
          <w:p w14:paraId="079ED33C">
            <w:pPr>
              <w:spacing w:line="240" w:lineRule="auto"/>
              <w:ind w:firstLine="0" w:firstLineChars="0"/>
              <w:jc w:val="center"/>
              <w:rPr>
                <w:rFonts w:cs="Times New Roman"/>
                <w:sz w:val="21"/>
                <w:szCs w:val="21"/>
              </w:rPr>
            </w:pPr>
            <w:r>
              <w:rPr>
                <w:rFonts w:hint="eastAsia" w:cs="Times New Roman"/>
                <w:sz w:val="21"/>
                <w:szCs w:val="21"/>
              </w:rPr>
              <w:t>约50</w:t>
            </w:r>
          </w:p>
        </w:tc>
      </w:tr>
      <w:tr w14:paraId="20CD0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1DA8CB4">
            <w:pPr>
              <w:pStyle w:val="39"/>
              <w:numPr>
                <w:ilvl w:val="0"/>
                <w:numId w:val="7"/>
              </w:numPr>
              <w:spacing w:line="240" w:lineRule="auto"/>
              <w:ind w:firstLineChars="0"/>
              <w:jc w:val="center"/>
              <w:rPr>
                <w:rFonts w:cs="Times New Roman"/>
                <w:sz w:val="21"/>
                <w:szCs w:val="21"/>
              </w:rPr>
            </w:pPr>
          </w:p>
        </w:tc>
        <w:tc>
          <w:tcPr>
            <w:tcW w:w="992" w:type="dxa"/>
            <w:noWrap/>
            <w:vAlign w:val="center"/>
          </w:tcPr>
          <w:p w14:paraId="78AAFA3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40E37D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CCB1B3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3D6413E">
            <w:pPr>
              <w:spacing w:line="240" w:lineRule="auto"/>
              <w:ind w:firstLine="0" w:firstLineChars="0"/>
              <w:jc w:val="center"/>
              <w:rPr>
                <w:rFonts w:cs="Times New Roman"/>
                <w:sz w:val="21"/>
                <w:szCs w:val="21"/>
              </w:rPr>
            </w:pPr>
            <w:r>
              <w:rPr>
                <w:rFonts w:hint="eastAsia" w:cs="Times New Roman"/>
                <w:sz w:val="21"/>
                <w:szCs w:val="21"/>
              </w:rPr>
              <w:t>金坛区西</w:t>
            </w:r>
            <w:r>
              <w:rPr>
                <w:rFonts w:hint="eastAsia" w:eastAsia="微软雅黑" w:cs="Times New Roman"/>
                <w:sz w:val="21"/>
                <w:szCs w:val="21"/>
              </w:rPr>
              <w:t>旸</w:t>
            </w:r>
            <w:r>
              <w:rPr>
                <w:rFonts w:hint="eastAsia" w:cs="Times New Roman"/>
                <w:sz w:val="21"/>
                <w:szCs w:val="21"/>
              </w:rPr>
              <w:t>中心小学</w:t>
            </w:r>
          </w:p>
        </w:tc>
        <w:tc>
          <w:tcPr>
            <w:tcW w:w="1701" w:type="dxa"/>
            <w:noWrap/>
            <w:vAlign w:val="center"/>
          </w:tcPr>
          <w:p w14:paraId="35564C63">
            <w:pPr>
              <w:spacing w:line="240" w:lineRule="auto"/>
              <w:ind w:firstLine="0" w:firstLineChars="0"/>
              <w:jc w:val="center"/>
              <w:rPr>
                <w:rFonts w:cs="Times New Roman"/>
                <w:sz w:val="21"/>
                <w:szCs w:val="21"/>
              </w:rPr>
            </w:pPr>
            <w:r>
              <w:rPr>
                <w:rFonts w:hint="eastAsia" w:cs="Times New Roman"/>
                <w:sz w:val="21"/>
                <w:szCs w:val="21"/>
              </w:rPr>
              <w:t>119.382503</w:t>
            </w:r>
          </w:p>
        </w:tc>
        <w:tc>
          <w:tcPr>
            <w:tcW w:w="1690" w:type="dxa"/>
            <w:noWrap/>
            <w:vAlign w:val="center"/>
          </w:tcPr>
          <w:p w14:paraId="391CA16A">
            <w:pPr>
              <w:spacing w:line="240" w:lineRule="auto"/>
              <w:ind w:firstLine="0" w:firstLineChars="0"/>
              <w:jc w:val="center"/>
              <w:rPr>
                <w:rFonts w:cs="Times New Roman"/>
                <w:sz w:val="21"/>
                <w:szCs w:val="21"/>
              </w:rPr>
            </w:pPr>
            <w:r>
              <w:rPr>
                <w:rFonts w:hint="eastAsia" w:cs="Times New Roman"/>
                <w:sz w:val="21"/>
                <w:szCs w:val="21"/>
              </w:rPr>
              <w:t>31.836363</w:t>
            </w:r>
          </w:p>
        </w:tc>
        <w:tc>
          <w:tcPr>
            <w:tcW w:w="1080" w:type="dxa"/>
            <w:noWrap/>
            <w:vAlign w:val="center"/>
          </w:tcPr>
          <w:p w14:paraId="2FB8A1A9">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2166648E">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655452DA">
            <w:pPr>
              <w:spacing w:line="240" w:lineRule="auto"/>
              <w:ind w:firstLine="0" w:firstLineChars="0"/>
              <w:jc w:val="center"/>
              <w:rPr>
                <w:rFonts w:cs="Times New Roman"/>
                <w:sz w:val="21"/>
                <w:szCs w:val="21"/>
              </w:rPr>
            </w:pPr>
            <w:r>
              <w:rPr>
                <w:rFonts w:hint="eastAsia" w:cs="Times New Roman"/>
                <w:sz w:val="21"/>
                <w:szCs w:val="21"/>
              </w:rPr>
              <w:t>770</w:t>
            </w:r>
          </w:p>
        </w:tc>
        <w:tc>
          <w:tcPr>
            <w:tcW w:w="1168" w:type="dxa"/>
            <w:noWrap/>
            <w:vAlign w:val="center"/>
          </w:tcPr>
          <w:p w14:paraId="377D16A8">
            <w:pPr>
              <w:spacing w:line="240" w:lineRule="auto"/>
              <w:ind w:firstLine="0" w:firstLineChars="0"/>
              <w:jc w:val="center"/>
              <w:rPr>
                <w:rFonts w:cs="Times New Roman"/>
                <w:sz w:val="21"/>
                <w:szCs w:val="21"/>
              </w:rPr>
            </w:pPr>
            <w:r>
              <w:rPr>
                <w:rFonts w:hint="eastAsia" w:cs="Times New Roman"/>
                <w:sz w:val="21"/>
                <w:szCs w:val="21"/>
              </w:rPr>
              <w:t>约100</w:t>
            </w:r>
          </w:p>
        </w:tc>
      </w:tr>
      <w:tr w14:paraId="2BAFC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D1AE87C">
            <w:pPr>
              <w:pStyle w:val="39"/>
              <w:numPr>
                <w:ilvl w:val="0"/>
                <w:numId w:val="7"/>
              </w:numPr>
              <w:spacing w:line="240" w:lineRule="auto"/>
              <w:ind w:firstLineChars="0"/>
              <w:jc w:val="center"/>
              <w:rPr>
                <w:rFonts w:cs="Times New Roman"/>
                <w:sz w:val="21"/>
                <w:szCs w:val="21"/>
              </w:rPr>
            </w:pPr>
          </w:p>
        </w:tc>
        <w:tc>
          <w:tcPr>
            <w:tcW w:w="992" w:type="dxa"/>
            <w:noWrap/>
            <w:vAlign w:val="center"/>
          </w:tcPr>
          <w:p w14:paraId="588BE81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795906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5ABB47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D46B53D">
            <w:pPr>
              <w:spacing w:line="240" w:lineRule="auto"/>
              <w:ind w:firstLine="0" w:firstLineChars="0"/>
              <w:jc w:val="center"/>
              <w:rPr>
                <w:rFonts w:cs="Times New Roman"/>
                <w:sz w:val="21"/>
                <w:szCs w:val="21"/>
              </w:rPr>
            </w:pPr>
            <w:r>
              <w:rPr>
                <w:rFonts w:hint="eastAsia" w:cs="Times New Roman"/>
                <w:sz w:val="21"/>
                <w:szCs w:val="21"/>
              </w:rPr>
              <w:t>西</w:t>
            </w:r>
            <w:r>
              <w:rPr>
                <w:rFonts w:hint="eastAsia" w:eastAsia="微软雅黑" w:cs="Times New Roman"/>
                <w:sz w:val="21"/>
                <w:szCs w:val="21"/>
              </w:rPr>
              <w:t>旸</w:t>
            </w:r>
            <w:r>
              <w:rPr>
                <w:rFonts w:hint="eastAsia" w:cs="Times New Roman"/>
                <w:sz w:val="21"/>
                <w:szCs w:val="21"/>
              </w:rPr>
              <w:t>村</w:t>
            </w:r>
          </w:p>
        </w:tc>
        <w:tc>
          <w:tcPr>
            <w:tcW w:w="1701" w:type="dxa"/>
            <w:noWrap/>
            <w:vAlign w:val="center"/>
          </w:tcPr>
          <w:p w14:paraId="055CB2D8">
            <w:pPr>
              <w:spacing w:line="240" w:lineRule="auto"/>
              <w:ind w:firstLine="0" w:firstLineChars="0"/>
              <w:jc w:val="center"/>
              <w:rPr>
                <w:rFonts w:cs="Times New Roman"/>
                <w:sz w:val="21"/>
                <w:szCs w:val="21"/>
              </w:rPr>
            </w:pPr>
            <w:r>
              <w:rPr>
                <w:rFonts w:hint="eastAsia" w:cs="Times New Roman"/>
                <w:sz w:val="21"/>
                <w:szCs w:val="21"/>
              </w:rPr>
              <w:t>119.380443</w:t>
            </w:r>
          </w:p>
        </w:tc>
        <w:tc>
          <w:tcPr>
            <w:tcW w:w="1690" w:type="dxa"/>
            <w:noWrap/>
            <w:vAlign w:val="center"/>
          </w:tcPr>
          <w:p w14:paraId="21EE537A">
            <w:pPr>
              <w:spacing w:line="240" w:lineRule="auto"/>
              <w:ind w:firstLine="0" w:firstLineChars="0"/>
              <w:jc w:val="center"/>
              <w:rPr>
                <w:rFonts w:cs="Times New Roman"/>
                <w:sz w:val="21"/>
                <w:szCs w:val="21"/>
              </w:rPr>
            </w:pPr>
            <w:r>
              <w:rPr>
                <w:rFonts w:hint="eastAsia" w:cs="Times New Roman"/>
                <w:sz w:val="21"/>
                <w:szCs w:val="21"/>
              </w:rPr>
              <w:t>31.834105</w:t>
            </w:r>
          </w:p>
        </w:tc>
        <w:tc>
          <w:tcPr>
            <w:tcW w:w="1080" w:type="dxa"/>
            <w:noWrap/>
            <w:vAlign w:val="center"/>
          </w:tcPr>
          <w:p w14:paraId="1305B1B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028B63D">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30288C2">
            <w:pPr>
              <w:spacing w:line="240" w:lineRule="auto"/>
              <w:ind w:firstLine="0" w:firstLineChars="0"/>
              <w:jc w:val="center"/>
              <w:rPr>
                <w:rFonts w:cs="Times New Roman"/>
                <w:sz w:val="21"/>
                <w:szCs w:val="21"/>
              </w:rPr>
            </w:pPr>
            <w:r>
              <w:rPr>
                <w:rFonts w:hint="eastAsia" w:cs="Times New Roman"/>
                <w:sz w:val="21"/>
                <w:szCs w:val="21"/>
              </w:rPr>
              <w:t>400</w:t>
            </w:r>
          </w:p>
        </w:tc>
        <w:tc>
          <w:tcPr>
            <w:tcW w:w="1168" w:type="dxa"/>
            <w:noWrap/>
            <w:vAlign w:val="center"/>
          </w:tcPr>
          <w:p w14:paraId="28485F22">
            <w:pPr>
              <w:spacing w:line="240" w:lineRule="auto"/>
              <w:ind w:firstLine="0" w:firstLineChars="0"/>
              <w:jc w:val="center"/>
              <w:rPr>
                <w:rFonts w:cs="Times New Roman"/>
                <w:sz w:val="21"/>
                <w:szCs w:val="21"/>
              </w:rPr>
            </w:pPr>
            <w:r>
              <w:rPr>
                <w:rFonts w:hint="eastAsia" w:cs="Times New Roman"/>
                <w:sz w:val="21"/>
                <w:szCs w:val="21"/>
              </w:rPr>
              <w:t>约500</w:t>
            </w:r>
          </w:p>
        </w:tc>
      </w:tr>
      <w:tr w14:paraId="6702F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40A48BC">
            <w:pPr>
              <w:pStyle w:val="39"/>
              <w:numPr>
                <w:ilvl w:val="0"/>
                <w:numId w:val="7"/>
              </w:numPr>
              <w:spacing w:line="240" w:lineRule="auto"/>
              <w:ind w:firstLineChars="0"/>
              <w:jc w:val="center"/>
              <w:rPr>
                <w:rFonts w:cs="Times New Roman"/>
                <w:sz w:val="21"/>
                <w:szCs w:val="21"/>
              </w:rPr>
            </w:pPr>
          </w:p>
        </w:tc>
        <w:tc>
          <w:tcPr>
            <w:tcW w:w="992" w:type="dxa"/>
            <w:noWrap/>
            <w:vAlign w:val="center"/>
          </w:tcPr>
          <w:p w14:paraId="5B25DF2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169EBC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52596C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3BE200E">
            <w:pPr>
              <w:spacing w:line="240" w:lineRule="auto"/>
              <w:ind w:firstLine="0" w:firstLineChars="0"/>
              <w:jc w:val="center"/>
              <w:rPr>
                <w:rFonts w:cs="Times New Roman"/>
                <w:sz w:val="21"/>
                <w:szCs w:val="21"/>
              </w:rPr>
            </w:pPr>
            <w:r>
              <w:rPr>
                <w:rFonts w:hint="eastAsia" w:cs="Times New Roman"/>
                <w:sz w:val="21"/>
                <w:szCs w:val="21"/>
              </w:rPr>
              <w:t>后阳庄</w:t>
            </w:r>
          </w:p>
        </w:tc>
        <w:tc>
          <w:tcPr>
            <w:tcW w:w="1701" w:type="dxa"/>
            <w:noWrap/>
            <w:vAlign w:val="center"/>
          </w:tcPr>
          <w:p w14:paraId="4C2FDA6E">
            <w:pPr>
              <w:spacing w:line="240" w:lineRule="auto"/>
              <w:ind w:firstLine="0" w:firstLineChars="0"/>
              <w:jc w:val="center"/>
              <w:rPr>
                <w:rFonts w:cs="Times New Roman"/>
                <w:sz w:val="21"/>
                <w:szCs w:val="21"/>
              </w:rPr>
            </w:pPr>
            <w:r>
              <w:rPr>
                <w:rFonts w:hint="eastAsia" w:cs="Times New Roman"/>
                <w:sz w:val="21"/>
                <w:szCs w:val="21"/>
              </w:rPr>
              <w:t>119.384335</w:t>
            </w:r>
          </w:p>
        </w:tc>
        <w:tc>
          <w:tcPr>
            <w:tcW w:w="1690" w:type="dxa"/>
            <w:noWrap/>
            <w:vAlign w:val="center"/>
          </w:tcPr>
          <w:p w14:paraId="3CAAAEF2">
            <w:pPr>
              <w:spacing w:line="240" w:lineRule="auto"/>
              <w:ind w:firstLine="0" w:firstLineChars="0"/>
              <w:jc w:val="center"/>
              <w:rPr>
                <w:rFonts w:cs="Times New Roman"/>
                <w:sz w:val="21"/>
                <w:szCs w:val="21"/>
              </w:rPr>
            </w:pPr>
            <w:r>
              <w:rPr>
                <w:rFonts w:hint="eastAsia" w:cs="Times New Roman"/>
                <w:sz w:val="21"/>
                <w:szCs w:val="21"/>
              </w:rPr>
              <w:t>31.837259</w:t>
            </w:r>
          </w:p>
        </w:tc>
        <w:tc>
          <w:tcPr>
            <w:tcW w:w="1080" w:type="dxa"/>
            <w:noWrap/>
            <w:vAlign w:val="center"/>
          </w:tcPr>
          <w:p w14:paraId="295109C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D7E1E00">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46ED31FF">
            <w:pPr>
              <w:spacing w:line="240" w:lineRule="auto"/>
              <w:ind w:firstLine="0" w:firstLineChars="0"/>
              <w:jc w:val="center"/>
              <w:rPr>
                <w:rFonts w:cs="Times New Roman"/>
                <w:sz w:val="21"/>
                <w:szCs w:val="21"/>
              </w:rPr>
            </w:pPr>
            <w:r>
              <w:rPr>
                <w:rFonts w:hint="eastAsia" w:cs="Times New Roman"/>
                <w:sz w:val="21"/>
                <w:szCs w:val="21"/>
              </w:rPr>
              <w:t>914</w:t>
            </w:r>
          </w:p>
        </w:tc>
        <w:tc>
          <w:tcPr>
            <w:tcW w:w="1168" w:type="dxa"/>
            <w:noWrap/>
            <w:vAlign w:val="center"/>
          </w:tcPr>
          <w:p w14:paraId="7B1C8476">
            <w:pPr>
              <w:spacing w:line="240" w:lineRule="auto"/>
              <w:ind w:firstLine="0" w:firstLineChars="0"/>
              <w:jc w:val="center"/>
              <w:rPr>
                <w:rFonts w:cs="Times New Roman"/>
                <w:sz w:val="21"/>
                <w:szCs w:val="21"/>
              </w:rPr>
            </w:pPr>
            <w:r>
              <w:rPr>
                <w:rFonts w:hint="eastAsia" w:cs="Times New Roman"/>
                <w:sz w:val="21"/>
                <w:szCs w:val="21"/>
              </w:rPr>
              <w:t>约50</w:t>
            </w:r>
          </w:p>
        </w:tc>
      </w:tr>
      <w:tr w14:paraId="1BEE7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651316E">
            <w:pPr>
              <w:pStyle w:val="39"/>
              <w:numPr>
                <w:ilvl w:val="0"/>
                <w:numId w:val="7"/>
              </w:numPr>
              <w:spacing w:line="240" w:lineRule="auto"/>
              <w:ind w:firstLineChars="0"/>
              <w:jc w:val="center"/>
              <w:rPr>
                <w:rFonts w:cs="Times New Roman"/>
                <w:sz w:val="21"/>
                <w:szCs w:val="21"/>
              </w:rPr>
            </w:pPr>
          </w:p>
        </w:tc>
        <w:tc>
          <w:tcPr>
            <w:tcW w:w="992" w:type="dxa"/>
            <w:noWrap/>
            <w:vAlign w:val="center"/>
          </w:tcPr>
          <w:p w14:paraId="1A1273E0">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0349867">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68F5E64F">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458686CB">
            <w:pPr>
              <w:spacing w:line="240" w:lineRule="auto"/>
              <w:ind w:firstLine="0" w:firstLineChars="0"/>
              <w:jc w:val="center"/>
              <w:rPr>
                <w:rFonts w:cs="Times New Roman"/>
                <w:sz w:val="21"/>
                <w:szCs w:val="21"/>
              </w:rPr>
            </w:pPr>
            <w:r>
              <w:rPr>
                <w:rFonts w:hint="eastAsia" w:cs="Times New Roman"/>
                <w:sz w:val="21"/>
                <w:szCs w:val="21"/>
              </w:rPr>
              <w:t>北刘巷</w:t>
            </w:r>
          </w:p>
        </w:tc>
        <w:tc>
          <w:tcPr>
            <w:tcW w:w="1701" w:type="dxa"/>
            <w:noWrap/>
            <w:vAlign w:val="center"/>
          </w:tcPr>
          <w:p w14:paraId="120F9F21">
            <w:pPr>
              <w:spacing w:line="240" w:lineRule="auto"/>
              <w:ind w:firstLine="0" w:firstLineChars="0"/>
              <w:jc w:val="center"/>
              <w:rPr>
                <w:rFonts w:cs="Times New Roman"/>
                <w:sz w:val="21"/>
                <w:szCs w:val="21"/>
              </w:rPr>
            </w:pPr>
            <w:r>
              <w:rPr>
                <w:rFonts w:hint="eastAsia" w:cs="Times New Roman"/>
                <w:sz w:val="21"/>
                <w:szCs w:val="21"/>
              </w:rPr>
              <w:t>119.367131</w:t>
            </w:r>
          </w:p>
        </w:tc>
        <w:tc>
          <w:tcPr>
            <w:tcW w:w="1690" w:type="dxa"/>
            <w:noWrap/>
            <w:vAlign w:val="center"/>
          </w:tcPr>
          <w:p w14:paraId="0100423D">
            <w:pPr>
              <w:spacing w:line="240" w:lineRule="auto"/>
              <w:ind w:firstLine="0" w:firstLineChars="0"/>
              <w:jc w:val="center"/>
              <w:rPr>
                <w:rFonts w:cs="Times New Roman"/>
                <w:sz w:val="21"/>
                <w:szCs w:val="21"/>
              </w:rPr>
            </w:pPr>
            <w:r>
              <w:rPr>
                <w:rFonts w:hint="eastAsia" w:cs="Times New Roman"/>
                <w:sz w:val="21"/>
                <w:szCs w:val="21"/>
              </w:rPr>
              <w:t>31.857518</w:t>
            </w:r>
          </w:p>
        </w:tc>
        <w:tc>
          <w:tcPr>
            <w:tcW w:w="1080" w:type="dxa"/>
            <w:noWrap/>
            <w:vAlign w:val="center"/>
          </w:tcPr>
          <w:p w14:paraId="73A8824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18F8435">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7A104232">
            <w:pPr>
              <w:spacing w:line="240" w:lineRule="auto"/>
              <w:ind w:firstLine="0" w:firstLineChars="0"/>
              <w:jc w:val="center"/>
              <w:rPr>
                <w:rFonts w:cs="Times New Roman"/>
                <w:sz w:val="21"/>
                <w:szCs w:val="21"/>
              </w:rPr>
            </w:pPr>
            <w:r>
              <w:rPr>
                <w:rFonts w:hint="eastAsia" w:cs="Times New Roman"/>
                <w:sz w:val="21"/>
                <w:szCs w:val="21"/>
              </w:rPr>
              <w:t>333</w:t>
            </w:r>
          </w:p>
        </w:tc>
        <w:tc>
          <w:tcPr>
            <w:tcW w:w="1168" w:type="dxa"/>
            <w:noWrap/>
            <w:vAlign w:val="center"/>
          </w:tcPr>
          <w:p w14:paraId="01DFE336">
            <w:pPr>
              <w:spacing w:line="240" w:lineRule="auto"/>
              <w:ind w:firstLine="0" w:firstLineChars="0"/>
              <w:jc w:val="center"/>
              <w:rPr>
                <w:rFonts w:cs="Times New Roman"/>
                <w:sz w:val="21"/>
                <w:szCs w:val="21"/>
              </w:rPr>
            </w:pPr>
            <w:r>
              <w:rPr>
                <w:rFonts w:hint="eastAsia" w:cs="Times New Roman"/>
                <w:sz w:val="21"/>
                <w:szCs w:val="21"/>
              </w:rPr>
              <w:t>约250</w:t>
            </w:r>
          </w:p>
        </w:tc>
      </w:tr>
      <w:tr w14:paraId="3DD8B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FE8F0B4">
            <w:pPr>
              <w:pStyle w:val="39"/>
              <w:numPr>
                <w:ilvl w:val="0"/>
                <w:numId w:val="7"/>
              </w:numPr>
              <w:spacing w:line="240" w:lineRule="auto"/>
              <w:ind w:firstLineChars="0"/>
              <w:jc w:val="center"/>
              <w:rPr>
                <w:rFonts w:cs="Times New Roman"/>
                <w:sz w:val="21"/>
                <w:szCs w:val="21"/>
              </w:rPr>
            </w:pPr>
          </w:p>
        </w:tc>
        <w:tc>
          <w:tcPr>
            <w:tcW w:w="992" w:type="dxa"/>
            <w:noWrap/>
            <w:vAlign w:val="center"/>
          </w:tcPr>
          <w:p w14:paraId="51FA815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D8A5B5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59C718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9A7F0DB">
            <w:pPr>
              <w:spacing w:line="240" w:lineRule="auto"/>
              <w:ind w:firstLine="0" w:firstLineChars="0"/>
              <w:jc w:val="center"/>
              <w:rPr>
                <w:rFonts w:cs="Times New Roman"/>
                <w:sz w:val="21"/>
                <w:szCs w:val="21"/>
              </w:rPr>
            </w:pPr>
            <w:r>
              <w:rPr>
                <w:rFonts w:hint="eastAsia" w:cs="Times New Roman"/>
                <w:sz w:val="21"/>
                <w:szCs w:val="21"/>
              </w:rPr>
              <w:t>西谷棚</w:t>
            </w:r>
          </w:p>
        </w:tc>
        <w:tc>
          <w:tcPr>
            <w:tcW w:w="1701" w:type="dxa"/>
            <w:noWrap/>
            <w:vAlign w:val="center"/>
          </w:tcPr>
          <w:p w14:paraId="6CDDB5A5">
            <w:pPr>
              <w:spacing w:line="240" w:lineRule="auto"/>
              <w:ind w:firstLine="0" w:firstLineChars="0"/>
              <w:jc w:val="center"/>
              <w:rPr>
                <w:rFonts w:cs="Times New Roman"/>
                <w:sz w:val="21"/>
                <w:szCs w:val="21"/>
              </w:rPr>
            </w:pPr>
            <w:r>
              <w:rPr>
                <w:rFonts w:hint="eastAsia" w:cs="Times New Roman"/>
                <w:sz w:val="21"/>
                <w:szCs w:val="21"/>
              </w:rPr>
              <w:t>119.374157</w:t>
            </w:r>
          </w:p>
        </w:tc>
        <w:tc>
          <w:tcPr>
            <w:tcW w:w="1690" w:type="dxa"/>
            <w:noWrap/>
            <w:vAlign w:val="center"/>
          </w:tcPr>
          <w:p w14:paraId="2704FB98">
            <w:pPr>
              <w:spacing w:line="240" w:lineRule="auto"/>
              <w:ind w:firstLine="0" w:firstLineChars="0"/>
              <w:jc w:val="center"/>
              <w:rPr>
                <w:rFonts w:cs="Times New Roman"/>
                <w:sz w:val="21"/>
                <w:szCs w:val="21"/>
              </w:rPr>
            </w:pPr>
            <w:r>
              <w:rPr>
                <w:rFonts w:hint="eastAsia" w:cs="Times New Roman"/>
                <w:sz w:val="21"/>
                <w:szCs w:val="21"/>
              </w:rPr>
              <w:t>31.842896</w:t>
            </w:r>
          </w:p>
        </w:tc>
        <w:tc>
          <w:tcPr>
            <w:tcW w:w="1080" w:type="dxa"/>
            <w:noWrap/>
            <w:vAlign w:val="center"/>
          </w:tcPr>
          <w:p w14:paraId="5C6820C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89F040C">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77989D13">
            <w:pPr>
              <w:spacing w:line="240" w:lineRule="auto"/>
              <w:ind w:firstLine="0" w:firstLineChars="0"/>
              <w:jc w:val="center"/>
              <w:rPr>
                <w:rFonts w:cs="Times New Roman"/>
                <w:sz w:val="21"/>
                <w:szCs w:val="21"/>
              </w:rPr>
            </w:pPr>
            <w:r>
              <w:rPr>
                <w:rFonts w:hint="eastAsia" w:cs="Times New Roman"/>
                <w:sz w:val="21"/>
                <w:szCs w:val="21"/>
              </w:rPr>
              <w:t>246</w:t>
            </w:r>
          </w:p>
        </w:tc>
        <w:tc>
          <w:tcPr>
            <w:tcW w:w="1168" w:type="dxa"/>
            <w:noWrap/>
            <w:vAlign w:val="center"/>
          </w:tcPr>
          <w:p w14:paraId="47A5D0FE">
            <w:pPr>
              <w:spacing w:line="240" w:lineRule="auto"/>
              <w:ind w:firstLine="0" w:firstLineChars="0"/>
              <w:jc w:val="center"/>
              <w:rPr>
                <w:rFonts w:cs="Times New Roman"/>
                <w:sz w:val="21"/>
                <w:szCs w:val="21"/>
              </w:rPr>
            </w:pPr>
            <w:r>
              <w:rPr>
                <w:rFonts w:hint="eastAsia" w:cs="Times New Roman"/>
                <w:sz w:val="21"/>
                <w:szCs w:val="21"/>
              </w:rPr>
              <w:t>约50</w:t>
            </w:r>
          </w:p>
        </w:tc>
      </w:tr>
      <w:tr w14:paraId="34250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1C930AF">
            <w:pPr>
              <w:pStyle w:val="39"/>
              <w:numPr>
                <w:ilvl w:val="0"/>
                <w:numId w:val="7"/>
              </w:numPr>
              <w:spacing w:line="240" w:lineRule="auto"/>
              <w:ind w:firstLineChars="0"/>
              <w:jc w:val="center"/>
              <w:rPr>
                <w:rFonts w:cs="Times New Roman"/>
                <w:sz w:val="21"/>
                <w:szCs w:val="21"/>
              </w:rPr>
            </w:pPr>
          </w:p>
        </w:tc>
        <w:tc>
          <w:tcPr>
            <w:tcW w:w="992" w:type="dxa"/>
            <w:noWrap/>
            <w:vAlign w:val="center"/>
          </w:tcPr>
          <w:p w14:paraId="174C244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B4C885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FDE15A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3BDD134">
            <w:pPr>
              <w:spacing w:line="240" w:lineRule="auto"/>
              <w:ind w:firstLine="0" w:firstLineChars="0"/>
              <w:jc w:val="center"/>
              <w:rPr>
                <w:rFonts w:cs="Times New Roman"/>
                <w:sz w:val="21"/>
                <w:szCs w:val="21"/>
              </w:rPr>
            </w:pPr>
            <w:r>
              <w:rPr>
                <w:rFonts w:hint="eastAsia" w:cs="Times New Roman"/>
                <w:sz w:val="21"/>
                <w:szCs w:val="21"/>
              </w:rPr>
              <w:t>大谷下</w:t>
            </w:r>
          </w:p>
        </w:tc>
        <w:tc>
          <w:tcPr>
            <w:tcW w:w="1701" w:type="dxa"/>
            <w:noWrap/>
            <w:vAlign w:val="center"/>
          </w:tcPr>
          <w:p w14:paraId="5FBCD969">
            <w:pPr>
              <w:spacing w:line="240" w:lineRule="auto"/>
              <w:ind w:firstLine="0" w:firstLineChars="0"/>
              <w:jc w:val="center"/>
              <w:rPr>
                <w:rFonts w:cs="Times New Roman"/>
                <w:sz w:val="21"/>
                <w:szCs w:val="21"/>
              </w:rPr>
            </w:pPr>
            <w:r>
              <w:rPr>
                <w:rFonts w:hint="eastAsia" w:cs="Times New Roman"/>
                <w:sz w:val="21"/>
                <w:szCs w:val="21"/>
              </w:rPr>
              <w:t>119.370425</w:t>
            </w:r>
          </w:p>
        </w:tc>
        <w:tc>
          <w:tcPr>
            <w:tcW w:w="1690" w:type="dxa"/>
            <w:noWrap/>
            <w:vAlign w:val="center"/>
          </w:tcPr>
          <w:p w14:paraId="24C5D7CC">
            <w:pPr>
              <w:spacing w:line="240" w:lineRule="auto"/>
              <w:ind w:firstLine="0" w:firstLineChars="0"/>
              <w:jc w:val="center"/>
              <w:rPr>
                <w:rFonts w:cs="Times New Roman"/>
                <w:sz w:val="21"/>
                <w:szCs w:val="21"/>
              </w:rPr>
            </w:pPr>
            <w:r>
              <w:rPr>
                <w:rFonts w:hint="eastAsia" w:cs="Times New Roman"/>
                <w:sz w:val="21"/>
                <w:szCs w:val="21"/>
              </w:rPr>
              <w:t>31.812981</w:t>
            </w:r>
          </w:p>
        </w:tc>
        <w:tc>
          <w:tcPr>
            <w:tcW w:w="1080" w:type="dxa"/>
            <w:noWrap/>
            <w:vAlign w:val="center"/>
          </w:tcPr>
          <w:p w14:paraId="2F4B029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43781B0">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32C35FAE">
            <w:pPr>
              <w:spacing w:line="240" w:lineRule="auto"/>
              <w:ind w:firstLine="0" w:firstLineChars="0"/>
              <w:jc w:val="center"/>
              <w:rPr>
                <w:rFonts w:cs="Times New Roman"/>
                <w:sz w:val="21"/>
                <w:szCs w:val="21"/>
              </w:rPr>
            </w:pPr>
            <w:r>
              <w:rPr>
                <w:rFonts w:hint="eastAsia" w:cs="Times New Roman"/>
                <w:sz w:val="21"/>
                <w:szCs w:val="21"/>
              </w:rPr>
              <w:t>133</w:t>
            </w:r>
          </w:p>
        </w:tc>
        <w:tc>
          <w:tcPr>
            <w:tcW w:w="1168" w:type="dxa"/>
            <w:noWrap/>
            <w:vAlign w:val="center"/>
          </w:tcPr>
          <w:p w14:paraId="5E0D3922">
            <w:pPr>
              <w:spacing w:line="240" w:lineRule="auto"/>
              <w:ind w:firstLine="0" w:firstLineChars="0"/>
              <w:jc w:val="center"/>
              <w:rPr>
                <w:rFonts w:cs="Times New Roman"/>
                <w:sz w:val="21"/>
                <w:szCs w:val="21"/>
              </w:rPr>
            </w:pPr>
            <w:r>
              <w:rPr>
                <w:rFonts w:hint="eastAsia" w:cs="Times New Roman"/>
                <w:sz w:val="21"/>
                <w:szCs w:val="21"/>
              </w:rPr>
              <w:t>约100</w:t>
            </w:r>
          </w:p>
        </w:tc>
      </w:tr>
      <w:tr w14:paraId="044D2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6563832">
            <w:pPr>
              <w:pStyle w:val="39"/>
              <w:numPr>
                <w:ilvl w:val="0"/>
                <w:numId w:val="7"/>
              </w:numPr>
              <w:spacing w:line="240" w:lineRule="auto"/>
              <w:ind w:firstLineChars="0"/>
              <w:jc w:val="center"/>
              <w:rPr>
                <w:rFonts w:cs="Times New Roman"/>
                <w:sz w:val="21"/>
                <w:szCs w:val="21"/>
              </w:rPr>
            </w:pPr>
          </w:p>
        </w:tc>
        <w:tc>
          <w:tcPr>
            <w:tcW w:w="992" w:type="dxa"/>
            <w:noWrap/>
            <w:vAlign w:val="center"/>
          </w:tcPr>
          <w:p w14:paraId="660C400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EA3D81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A84180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F336F7C">
            <w:pPr>
              <w:spacing w:line="240" w:lineRule="auto"/>
              <w:ind w:firstLine="0" w:firstLineChars="0"/>
              <w:jc w:val="center"/>
              <w:rPr>
                <w:rFonts w:cs="Times New Roman"/>
                <w:sz w:val="21"/>
                <w:szCs w:val="21"/>
              </w:rPr>
            </w:pPr>
            <w:r>
              <w:rPr>
                <w:rFonts w:hint="eastAsia" w:cs="Times New Roman"/>
                <w:sz w:val="21"/>
                <w:szCs w:val="21"/>
              </w:rPr>
              <w:t>大谷上</w:t>
            </w:r>
          </w:p>
        </w:tc>
        <w:tc>
          <w:tcPr>
            <w:tcW w:w="1701" w:type="dxa"/>
            <w:noWrap/>
            <w:vAlign w:val="center"/>
          </w:tcPr>
          <w:p w14:paraId="19725D02">
            <w:pPr>
              <w:spacing w:line="240" w:lineRule="auto"/>
              <w:ind w:firstLine="0" w:firstLineChars="0"/>
              <w:jc w:val="center"/>
              <w:rPr>
                <w:rFonts w:cs="Times New Roman"/>
                <w:sz w:val="21"/>
                <w:szCs w:val="21"/>
              </w:rPr>
            </w:pPr>
            <w:r>
              <w:rPr>
                <w:rFonts w:hint="eastAsia" w:cs="Times New Roman"/>
                <w:sz w:val="21"/>
                <w:szCs w:val="21"/>
              </w:rPr>
              <w:t>119.363778</w:t>
            </w:r>
          </w:p>
        </w:tc>
        <w:tc>
          <w:tcPr>
            <w:tcW w:w="1690" w:type="dxa"/>
            <w:noWrap/>
            <w:vAlign w:val="center"/>
          </w:tcPr>
          <w:p w14:paraId="5ADB2D69">
            <w:pPr>
              <w:spacing w:line="240" w:lineRule="auto"/>
              <w:ind w:firstLine="0" w:firstLineChars="0"/>
              <w:jc w:val="center"/>
              <w:rPr>
                <w:rFonts w:cs="Times New Roman"/>
                <w:sz w:val="21"/>
                <w:szCs w:val="21"/>
              </w:rPr>
            </w:pPr>
            <w:r>
              <w:rPr>
                <w:rFonts w:hint="eastAsia" w:cs="Times New Roman"/>
                <w:sz w:val="21"/>
                <w:szCs w:val="21"/>
              </w:rPr>
              <w:t>31.81497</w:t>
            </w:r>
          </w:p>
        </w:tc>
        <w:tc>
          <w:tcPr>
            <w:tcW w:w="1080" w:type="dxa"/>
            <w:noWrap/>
            <w:vAlign w:val="center"/>
          </w:tcPr>
          <w:p w14:paraId="497D6FD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1816667">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3B1D55C6">
            <w:pPr>
              <w:spacing w:line="240" w:lineRule="auto"/>
              <w:ind w:firstLine="0" w:firstLineChars="0"/>
              <w:jc w:val="center"/>
              <w:rPr>
                <w:rFonts w:cs="Times New Roman"/>
                <w:sz w:val="21"/>
                <w:szCs w:val="21"/>
              </w:rPr>
            </w:pPr>
            <w:r>
              <w:rPr>
                <w:rFonts w:hint="eastAsia" w:cs="Times New Roman"/>
                <w:sz w:val="21"/>
                <w:szCs w:val="21"/>
              </w:rPr>
              <w:t>104</w:t>
            </w:r>
          </w:p>
        </w:tc>
        <w:tc>
          <w:tcPr>
            <w:tcW w:w="1168" w:type="dxa"/>
            <w:noWrap/>
            <w:vAlign w:val="center"/>
          </w:tcPr>
          <w:p w14:paraId="4E1C9291">
            <w:pPr>
              <w:spacing w:line="240" w:lineRule="auto"/>
              <w:ind w:firstLine="0" w:firstLineChars="0"/>
              <w:jc w:val="center"/>
              <w:rPr>
                <w:rFonts w:cs="Times New Roman"/>
                <w:sz w:val="21"/>
                <w:szCs w:val="21"/>
              </w:rPr>
            </w:pPr>
            <w:r>
              <w:rPr>
                <w:rFonts w:hint="eastAsia" w:cs="Times New Roman"/>
                <w:sz w:val="21"/>
                <w:szCs w:val="21"/>
              </w:rPr>
              <w:t>约20</w:t>
            </w:r>
          </w:p>
        </w:tc>
      </w:tr>
      <w:tr w14:paraId="7DEA8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DC4005F">
            <w:pPr>
              <w:pStyle w:val="39"/>
              <w:numPr>
                <w:ilvl w:val="0"/>
                <w:numId w:val="7"/>
              </w:numPr>
              <w:spacing w:line="240" w:lineRule="auto"/>
              <w:ind w:firstLineChars="0"/>
              <w:jc w:val="center"/>
              <w:rPr>
                <w:rFonts w:cs="Times New Roman"/>
                <w:sz w:val="21"/>
                <w:szCs w:val="21"/>
              </w:rPr>
            </w:pPr>
          </w:p>
        </w:tc>
        <w:tc>
          <w:tcPr>
            <w:tcW w:w="992" w:type="dxa"/>
            <w:noWrap/>
            <w:vAlign w:val="center"/>
          </w:tcPr>
          <w:p w14:paraId="0C77E3D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AD6244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0336B3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F2F18B2">
            <w:pPr>
              <w:spacing w:line="240" w:lineRule="auto"/>
              <w:ind w:firstLine="0" w:firstLineChars="0"/>
              <w:jc w:val="center"/>
              <w:rPr>
                <w:rFonts w:cs="Times New Roman"/>
                <w:sz w:val="21"/>
                <w:szCs w:val="21"/>
              </w:rPr>
            </w:pPr>
            <w:r>
              <w:rPr>
                <w:rFonts w:hint="eastAsia" w:cs="Times New Roman"/>
                <w:sz w:val="21"/>
                <w:szCs w:val="21"/>
              </w:rPr>
              <w:t>东谷棚</w:t>
            </w:r>
          </w:p>
        </w:tc>
        <w:tc>
          <w:tcPr>
            <w:tcW w:w="1701" w:type="dxa"/>
            <w:noWrap/>
            <w:vAlign w:val="center"/>
          </w:tcPr>
          <w:p w14:paraId="484C587F">
            <w:pPr>
              <w:spacing w:line="240" w:lineRule="auto"/>
              <w:ind w:firstLine="0" w:firstLineChars="0"/>
              <w:jc w:val="center"/>
              <w:rPr>
                <w:rFonts w:cs="Times New Roman"/>
                <w:sz w:val="21"/>
                <w:szCs w:val="21"/>
              </w:rPr>
            </w:pPr>
            <w:r>
              <w:rPr>
                <w:rFonts w:hint="eastAsia" w:cs="Times New Roman"/>
                <w:sz w:val="21"/>
                <w:szCs w:val="21"/>
              </w:rPr>
              <w:t>119.377455</w:t>
            </w:r>
          </w:p>
        </w:tc>
        <w:tc>
          <w:tcPr>
            <w:tcW w:w="1690" w:type="dxa"/>
            <w:noWrap/>
            <w:vAlign w:val="center"/>
          </w:tcPr>
          <w:p w14:paraId="165E560C">
            <w:pPr>
              <w:spacing w:line="240" w:lineRule="auto"/>
              <w:ind w:firstLine="0" w:firstLineChars="0"/>
              <w:jc w:val="center"/>
              <w:rPr>
                <w:rFonts w:cs="Times New Roman"/>
                <w:sz w:val="21"/>
                <w:szCs w:val="21"/>
              </w:rPr>
            </w:pPr>
            <w:r>
              <w:rPr>
                <w:rFonts w:hint="eastAsia" w:cs="Times New Roman"/>
                <w:sz w:val="21"/>
                <w:szCs w:val="21"/>
              </w:rPr>
              <w:t>31.843285</w:t>
            </w:r>
          </w:p>
        </w:tc>
        <w:tc>
          <w:tcPr>
            <w:tcW w:w="1080" w:type="dxa"/>
            <w:noWrap/>
            <w:vAlign w:val="center"/>
          </w:tcPr>
          <w:p w14:paraId="2113421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396266B">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7F3E4C5F">
            <w:pPr>
              <w:spacing w:line="240" w:lineRule="auto"/>
              <w:ind w:firstLine="0" w:firstLineChars="0"/>
              <w:jc w:val="center"/>
              <w:rPr>
                <w:rFonts w:cs="Times New Roman"/>
                <w:sz w:val="21"/>
                <w:szCs w:val="21"/>
              </w:rPr>
            </w:pPr>
            <w:r>
              <w:rPr>
                <w:rFonts w:hint="eastAsia" w:cs="Times New Roman"/>
                <w:sz w:val="21"/>
                <w:szCs w:val="21"/>
              </w:rPr>
              <w:t>466</w:t>
            </w:r>
          </w:p>
        </w:tc>
        <w:tc>
          <w:tcPr>
            <w:tcW w:w="1168" w:type="dxa"/>
            <w:noWrap/>
            <w:vAlign w:val="center"/>
          </w:tcPr>
          <w:p w14:paraId="77B87BC1">
            <w:pPr>
              <w:spacing w:line="240" w:lineRule="auto"/>
              <w:ind w:firstLine="0" w:firstLineChars="0"/>
              <w:jc w:val="center"/>
              <w:rPr>
                <w:rFonts w:cs="Times New Roman"/>
                <w:sz w:val="21"/>
                <w:szCs w:val="21"/>
              </w:rPr>
            </w:pPr>
            <w:r>
              <w:rPr>
                <w:rFonts w:hint="eastAsia" w:cs="Times New Roman"/>
                <w:sz w:val="21"/>
                <w:szCs w:val="21"/>
              </w:rPr>
              <w:t>约50</w:t>
            </w:r>
          </w:p>
        </w:tc>
      </w:tr>
      <w:tr w14:paraId="06243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A70B66F">
            <w:pPr>
              <w:pStyle w:val="39"/>
              <w:numPr>
                <w:ilvl w:val="0"/>
                <w:numId w:val="7"/>
              </w:numPr>
              <w:spacing w:line="240" w:lineRule="auto"/>
              <w:ind w:firstLineChars="0"/>
              <w:jc w:val="center"/>
              <w:rPr>
                <w:rFonts w:cs="Times New Roman"/>
                <w:sz w:val="21"/>
                <w:szCs w:val="21"/>
              </w:rPr>
            </w:pPr>
          </w:p>
        </w:tc>
        <w:tc>
          <w:tcPr>
            <w:tcW w:w="992" w:type="dxa"/>
            <w:noWrap/>
            <w:vAlign w:val="center"/>
          </w:tcPr>
          <w:p w14:paraId="7A37B9D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42BFA9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1FA6716">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C4CBE3A">
            <w:pPr>
              <w:spacing w:line="240" w:lineRule="auto"/>
              <w:ind w:firstLine="0" w:firstLineChars="0"/>
              <w:jc w:val="center"/>
              <w:rPr>
                <w:rFonts w:cs="Times New Roman"/>
                <w:sz w:val="21"/>
                <w:szCs w:val="21"/>
              </w:rPr>
            </w:pPr>
            <w:r>
              <w:rPr>
                <w:rFonts w:hint="eastAsia" w:cs="Times New Roman"/>
                <w:sz w:val="21"/>
                <w:szCs w:val="21"/>
              </w:rPr>
              <w:t>河头村</w:t>
            </w:r>
          </w:p>
        </w:tc>
        <w:tc>
          <w:tcPr>
            <w:tcW w:w="1701" w:type="dxa"/>
            <w:noWrap/>
            <w:vAlign w:val="center"/>
          </w:tcPr>
          <w:p w14:paraId="046B23AD">
            <w:pPr>
              <w:spacing w:line="240" w:lineRule="auto"/>
              <w:ind w:firstLine="0" w:firstLineChars="0"/>
              <w:jc w:val="center"/>
              <w:rPr>
                <w:rFonts w:cs="Times New Roman"/>
                <w:sz w:val="21"/>
                <w:szCs w:val="21"/>
              </w:rPr>
            </w:pPr>
            <w:r>
              <w:rPr>
                <w:rFonts w:hint="eastAsia" w:cs="Times New Roman"/>
                <w:sz w:val="21"/>
                <w:szCs w:val="21"/>
              </w:rPr>
              <w:t>119.385836</w:t>
            </w:r>
          </w:p>
        </w:tc>
        <w:tc>
          <w:tcPr>
            <w:tcW w:w="1690" w:type="dxa"/>
            <w:noWrap/>
            <w:vAlign w:val="center"/>
          </w:tcPr>
          <w:p w14:paraId="448E1979">
            <w:pPr>
              <w:spacing w:line="240" w:lineRule="auto"/>
              <w:ind w:firstLine="0" w:firstLineChars="0"/>
              <w:jc w:val="center"/>
              <w:rPr>
                <w:rFonts w:cs="Times New Roman"/>
                <w:sz w:val="21"/>
                <w:szCs w:val="21"/>
              </w:rPr>
            </w:pPr>
            <w:r>
              <w:rPr>
                <w:rFonts w:hint="eastAsia" w:cs="Times New Roman"/>
                <w:sz w:val="21"/>
                <w:szCs w:val="21"/>
              </w:rPr>
              <w:t>31.822494</w:t>
            </w:r>
          </w:p>
        </w:tc>
        <w:tc>
          <w:tcPr>
            <w:tcW w:w="1080" w:type="dxa"/>
            <w:noWrap/>
            <w:vAlign w:val="center"/>
          </w:tcPr>
          <w:p w14:paraId="336A7CA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020D617">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1FF23C0F">
            <w:pPr>
              <w:spacing w:line="240" w:lineRule="auto"/>
              <w:ind w:firstLine="0" w:firstLineChars="0"/>
              <w:jc w:val="center"/>
              <w:rPr>
                <w:rFonts w:cs="Times New Roman"/>
                <w:sz w:val="21"/>
                <w:szCs w:val="21"/>
              </w:rPr>
            </w:pPr>
            <w:r>
              <w:rPr>
                <w:rFonts w:hint="eastAsia" w:cs="Times New Roman"/>
                <w:sz w:val="21"/>
                <w:szCs w:val="21"/>
              </w:rPr>
              <w:t>673</w:t>
            </w:r>
          </w:p>
        </w:tc>
        <w:tc>
          <w:tcPr>
            <w:tcW w:w="1168" w:type="dxa"/>
            <w:noWrap/>
            <w:vAlign w:val="center"/>
          </w:tcPr>
          <w:p w14:paraId="18838F39">
            <w:pPr>
              <w:spacing w:line="240" w:lineRule="auto"/>
              <w:ind w:firstLine="0" w:firstLineChars="0"/>
              <w:jc w:val="center"/>
              <w:rPr>
                <w:rFonts w:cs="Times New Roman"/>
                <w:sz w:val="21"/>
                <w:szCs w:val="21"/>
              </w:rPr>
            </w:pPr>
            <w:r>
              <w:rPr>
                <w:rFonts w:hint="eastAsia" w:cs="Times New Roman"/>
                <w:sz w:val="21"/>
                <w:szCs w:val="21"/>
              </w:rPr>
              <w:t>约100</w:t>
            </w:r>
          </w:p>
        </w:tc>
      </w:tr>
      <w:tr w14:paraId="1A19E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B3331AB">
            <w:pPr>
              <w:pStyle w:val="39"/>
              <w:numPr>
                <w:ilvl w:val="0"/>
                <w:numId w:val="7"/>
              </w:numPr>
              <w:spacing w:line="240" w:lineRule="auto"/>
              <w:ind w:firstLineChars="0"/>
              <w:jc w:val="center"/>
              <w:rPr>
                <w:rFonts w:cs="Times New Roman"/>
                <w:sz w:val="21"/>
                <w:szCs w:val="21"/>
              </w:rPr>
            </w:pPr>
          </w:p>
        </w:tc>
        <w:tc>
          <w:tcPr>
            <w:tcW w:w="992" w:type="dxa"/>
            <w:noWrap/>
            <w:vAlign w:val="center"/>
          </w:tcPr>
          <w:p w14:paraId="2FD59AD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80F0AC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6319D2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E08973E">
            <w:pPr>
              <w:spacing w:line="240" w:lineRule="auto"/>
              <w:ind w:firstLine="0" w:firstLineChars="0"/>
              <w:jc w:val="center"/>
              <w:rPr>
                <w:rFonts w:cs="Times New Roman"/>
                <w:sz w:val="21"/>
                <w:szCs w:val="21"/>
              </w:rPr>
            </w:pPr>
            <w:r>
              <w:rPr>
                <w:rFonts w:hint="eastAsia" w:cs="Times New Roman"/>
                <w:sz w:val="21"/>
                <w:szCs w:val="21"/>
              </w:rPr>
              <w:t>后社干</w:t>
            </w:r>
          </w:p>
        </w:tc>
        <w:tc>
          <w:tcPr>
            <w:tcW w:w="1701" w:type="dxa"/>
            <w:noWrap/>
            <w:vAlign w:val="center"/>
          </w:tcPr>
          <w:p w14:paraId="091C26B8">
            <w:pPr>
              <w:spacing w:line="240" w:lineRule="auto"/>
              <w:ind w:firstLine="0" w:firstLineChars="0"/>
              <w:jc w:val="center"/>
              <w:rPr>
                <w:rFonts w:cs="Times New Roman"/>
                <w:sz w:val="21"/>
                <w:szCs w:val="21"/>
              </w:rPr>
            </w:pPr>
            <w:r>
              <w:rPr>
                <w:rFonts w:hint="eastAsia" w:cs="Times New Roman"/>
                <w:sz w:val="21"/>
                <w:szCs w:val="21"/>
              </w:rPr>
              <w:t>119.381597</w:t>
            </w:r>
          </w:p>
        </w:tc>
        <w:tc>
          <w:tcPr>
            <w:tcW w:w="1690" w:type="dxa"/>
            <w:noWrap/>
            <w:vAlign w:val="center"/>
          </w:tcPr>
          <w:p w14:paraId="62C7B5EC">
            <w:pPr>
              <w:spacing w:line="240" w:lineRule="auto"/>
              <w:ind w:firstLine="0" w:firstLineChars="0"/>
              <w:jc w:val="center"/>
              <w:rPr>
                <w:rFonts w:cs="Times New Roman"/>
                <w:sz w:val="21"/>
                <w:szCs w:val="21"/>
              </w:rPr>
            </w:pPr>
            <w:r>
              <w:rPr>
                <w:rFonts w:hint="eastAsia" w:cs="Times New Roman"/>
                <w:sz w:val="21"/>
                <w:szCs w:val="21"/>
              </w:rPr>
              <w:t>31.819826</w:t>
            </w:r>
          </w:p>
        </w:tc>
        <w:tc>
          <w:tcPr>
            <w:tcW w:w="1080" w:type="dxa"/>
            <w:noWrap/>
            <w:vAlign w:val="center"/>
          </w:tcPr>
          <w:p w14:paraId="080D4F1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17803EE">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031A35A7">
            <w:pPr>
              <w:spacing w:line="240" w:lineRule="auto"/>
              <w:ind w:firstLine="0" w:firstLineChars="0"/>
              <w:jc w:val="center"/>
              <w:rPr>
                <w:rFonts w:cs="Times New Roman"/>
                <w:sz w:val="21"/>
                <w:szCs w:val="21"/>
              </w:rPr>
            </w:pPr>
            <w:r>
              <w:rPr>
                <w:rFonts w:hint="eastAsia" w:cs="Times New Roman"/>
                <w:sz w:val="21"/>
                <w:szCs w:val="21"/>
              </w:rPr>
              <w:t>434</w:t>
            </w:r>
          </w:p>
        </w:tc>
        <w:tc>
          <w:tcPr>
            <w:tcW w:w="1168" w:type="dxa"/>
            <w:noWrap/>
            <w:vAlign w:val="center"/>
          </w:tcPr>
          <w:p w14:paraId="76F9AF7A">
            <w:pPr>
              <w:spacing w:line="240" w:lineRule="auto"/>
              <w:ind w:firstLine="0" w:firstLineChars="0"/>
              <w:jc w:val="center"/>
              <w:rPr>
                <w:rFonts w:cs="Times New Roman"/>
                <w:sz w:val="21"/>
                <w:szCs w:val="21"/>
              </w:rPr>
            </w:pPr>
            <w:r>
              <w:rPr>
                <w:rFonts w:hint="eastAsia" w:cs="Times New Roman"/>
                <w:sz w:val="21"/>
                <w:szCs w:val="21"/>
              </w:rPr>
              <w:t>约50</w:t>
            </w:r>
          </w:p>
        </w:tc>
      </w:tr>
      <w:tr w14:paraId="237D0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B1858DE">
            <w:pPr>
              <w:pStyle w:val="39"/>
              <w:numPr>
                <w:ilvl w:val="0"/>
                <w:numId w:val="7"/>
              </w:numPr>
              <w:spacing w:line="240" w:lineRule="auto"/>
              <w:ind w:firstLineChars="0"/>
              <w:jc w:val="center"/>
              <w:rPr>
                <w:rFonts w:cs="Times New Roman"/>
                <w:sz w:val="21"/>
                <w:szCs w:val="21"/>
              </w:rPr>
            </w:pPr>
          </w:p>
        </w:tc>
        <w:tc>
          <w:tcPr>
            <w:tcW w:w="992" w:type="dxa"/>
            <w:noWrap/>
            <w:vAlign w:val="center"/>
          </w:tcPr>
          <w:p w14:paraId="05ACE86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EE2660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140A2E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CE08BEC">
            <w:pPr>
              <w:spacing w:line="240" w:lineRule="auto"/>
              <w:ind w:firstLine="0" w:firstLineChars="0"/>
              <w:jc w:val="center"/>
              <w:rPr>
                <w:rFonts w:cs="Times New Roman"/>
                <w:sz w:val="21"/>
                <w:szCs w:val="21"/>
              </w:rPr>
            </w:pPr>
            <w:r>
              <w:rPr>
                <w:rFonts w:hint="eastAsia" w:cs="Times New Roman"/>
                <w:sz w:val="21"/>
                <w:szCs w:val="21"/>
              </w:rPr>
              <w:t>下庄村</w:t>
            </w:r>
          </w:p>
        </w:tc>
        <w:tc>
          <w:tcPr>
            <w:tcW w:w="1701" w:type="dxa"/>
            <w:noWrap/>
            <w:vAlign w:val="center"/>
          </w:tcPr>
          <w:p w14:paraId="163047E9">
            <w:pPr>
              <w:spacing w:line="240" w:lineRule="auto"/>
              <w:ind w:firstLine="0" w:firstLineChars="0"/>
              <w:jc w:val="center"/>
              <w:rPr>
                <w:rFonts w:cs="Times New Roman"/>
                <w:sz w:val="21"/>
                <w:szCs w:val="21"/>
              </w:rPr>
            </w:pPr>
            <w:r>
              <w:rPr>
                <w:rFonts w:hint="eastAsia" w:cs="Times New Roman"/>
                <w:sz w:val="21"/>
                <w:szCs w:val="21"/>
              </w:rPr>
              <w:t>119.388384</w:t>
            </w:r>
          </w:p>
        </w:tc>
        <w:tc>
          <w:tcPr>
            <w:tcW w:w="1690" w:type="dxa"/>
            <w:noWrap/>
            <w:vAlign w:val="center"/>
          </w:tcPr>
          <w:p w14:paraId="3CA4FB9A">
            <w:pPr>
              <w:spacing w:line="240" w:lineRule="auto"/>
              <w:ind w:firstLine="0" w:firstLineChars="0"/>
              <w:jc w:val="center"/>
              <w:rPr>
                <w:rFonts w:cs="Times New Roman"/>
                <w:sz w:val="21"/>
                <w:szCs w:val="21"/>
              </w:rPr>
            </w:pPr>
            <w:r>
              <w:rPr>
                <w:rFonts w:hint="eastAsia" w:cs="Times New Roman"/>
                <w:sz w:val="21"/>
                <w:szCs w:val="21"/>
              </w:rPr>
              <w:t>31.816987</w:t>
            </w:r>
          </w:p>
        </w:tc>
        <w:tc>
          <w:tcPr>
            <w:tcW w:w="1080" w:type="dxa"/>
            <w:noWrap/>
            <w:vAlign w:val="center"/>
          </w:tcPr>
          <w:p w14:paraId="789D91E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CD02F84">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242DB86A">
            <w:pPr>
              <w:spacing w:line="240" w:lineRule="auto"/>
              <w:ind w:firstLine="0" w:firstLineChars="0"/>
              <w:jc w:val="center"/>
              <w:rPr>
                <w:rFonts w:cs="Times New Roman"/>
                <w:sz w:val="21"/>
                <w:szCs w:val="21"/>
              </w:rPr>
            </w:pPr>
            <w:r>
              <w:rPr>
                <w:rFonts w:hint="eastAsia" w:cs="Times New Roman"/>
                <w:sz w:val="21"/>
                <w:szCs w:val="21"/>
              </w:rPr>
              <w:t>1082</w:t>
            </w:r>
          </w:p>
        </w:tc>
        <w:tc>
          <w:tcPr>
            <w:tcW w:w="1168" w:type="dxa"/>
            <w:noWrap/>
            <w:vAlign w:val="center"/>
          </w:tcPr>
          <w:p w14:paraId="5E64D052">
            <w:pPr>
              <w:spacing w:line="240" w:lineRule="auto"/>
              <w:ind w:firstLine="0" w:firstLineChars="0"/>
              <w:jc w:val="center"/>
              <w:rPr>
                <w:rFonts w:cs="Times New Roman"/>
                <w:sz w:val="21"/>
                <w:szCs w:val="21"/>
              </w:rPr>
            </w:pPr>
            <w:r>
              <w:rPr>
                <w:rFonts w:hint="eastAsia" w:cs="Times New Roman"/>
                <w:sz w:val="21"/>
                <w:szCs w:val="21"/>
              </w:rPr>
              <w:t>约50</w:t>
            </w:r>
          </w:p>
        </w:tc>
      </w:tr>
      <w:tr w14:paraId="6A6AF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8F5E65E">
            <w:pPr>
              <w:pStyle w:val="39"/>
              <w:numPr>
                <w:ilvl w:val="0"/>
                <w:numId w:val="7"/>
              </w:numPr>
              <w:spacing w:line="240" w:lineRule="auto"/>
              <w:ind w:firstLineChars="0"/>
              <w:jc w:val="center"/>
              <w:rPr>
                <w:rFonts w:cs="Times New Roman"/>
                <w:sz w:val="21"/>
                <w:szCs w:val="21"/>
              </w:rPr>
            </w:pPr>
          </w:p>
        </w:tc>
        <w:tc>
          <w:tcPr>
            <w:tcW w:w="992" w:type="dxa"/>
            <w:noWrap/>
            <w:vAlign w:val="center"/>
          </w:tcPr>
          <w:p w14:paraId="6D62BE3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9AC6C5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799D10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77E2CFF">
            <w:pPr>
              <w:spacing w:line="240" w:lineRule="auto"/>
              <w:ind w:firstLine="0" w:firstLineChars="0"/>
              <w:jc w:val="center"/>
              <w:rPr>
                <w:rFonts w:cs="Times New Roman"/>
                <w:sz w:val="21"/>
                <w:szCs w:val="21"/>
              </w:rPr>
            </w:pPr>
            <w:r>
              <w:rPr>
                <w:rFonts w:hint="eastAsia" w:cs="Times New Roman"/>
                <w:sz w:val="21"/>
                <w:szCs w:val="21"/>
              </w:rPr>
              <w:t>丁庄</w:t>
            </w:r>
          </w:p>
        </w:tc>
        <w:tc>
          <w:tcPr>
            <w:tcW w:w="1701" w:type="dxa"/>
            <w:noWrap/>
            <w:vAlign w:val="center"/>
          </w:tcPr>
          <w:p w14:paraId="3D5A39BC">
            <w:pPr>
              <w:spacing w:line="240" w:lineRule="auto"/>
              <w:ind w:firstLine="0" w:firstLineChars="0"/>
              <w:jc w:val="center"/>
              <w:rPr>
                <w:rFonts w:cs="Times New Roman"/>
                <w:sz w:val="21"/>
                <w:szCs w:val="21"/>
              </w:rPr>
            </w:pPr>
            <w:r>
              <w:rPr>
                <w:rFonts w:hint="eastAsia" w:cs="Times New Roman"/>
                <w:sz w:val="21"/>
                <w:szCs w:val="21"/>
              </w:rPr>
              <w:t>119.37365</w:t>
            </w:r>
          </w:p>
        </w:tc>
        <w:tc>
          <w:tcPr>
            <w:tcW w:w="1690" w:type="dxa"/>
            <w:noWrap/>
            <w:vAlign w:val="center"/>
          </w:tcPr>
          <w:p w14:paraId="17A3F026">
            <w:pPr>
              <w:spacing w:line="240" w:lineRule="auto"/>
              <w:ind w:firstLine="0" w:firstLineChars="0"/>
              <w:jc w:val="center"/>
              <w:rPr>
                <w:rFonts w:cs="Times New Roman"/>
                <w:sz w:val="21"/>
                <w:szCs w:val="21"/>
              </w:rPr>
            </w:pPr>
            <w:r>
              <w:rPr>
                <w:rFonts w:hint="eastAsia" w:cs="Times New Roman"/>
                <w:sz w:val="21"/>
                <w:szCs w:val="21"/>
              </w:rPr>
              <w:t>31.808898</w:t>
            </w:r>
          </w:p>
        </w:tc>
        <w:tc>
          <w:tcPr>
            <w:tcW w:w="1080" w:type="dxa"/>
            <w:noWrap/>
            <w:vAlign w:val="center"/>
          </w:tcPr>
          <w:p w14:paraId="7CD9E5D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1611470">
            <w:pPr>
              <w:spacing w:line="240" w:lineRule="auto"/>
              <w:ind w:firstLine="0" w:firstLineChars="0"/>
              <w:jc w:val="center"/>
              <w:rPr>
                <w:rFonts w:cs="Times New Roman"/>
                <w:sz w:val="21"/>
                <w:szCs w:val="21"/>
              </w:rPr>
            </w:pPr>
            <w:r>
              <w:rPr>
                <w:rFonts w:hint="eastAsia" w:cs="Times New Roman"/>
                <w:sz w:val="21"/>
                <w:szCs w:val="21"/>
              </w:rPr>
              <w:t>北</w:t>
            </w:r>
          </w:p>
        </w:tc>
        <w:tc>
          <w:tcPr>
            <w:tcW w:w="720" w:type="dxa"/>
            <w:noWrap/>
            <w:vAlign w:val="center"/>
          </w:tcPr>
          <w:p w14:paraId="154D479E">
            <w:pPr>
              <w:spacing w:line="240" w:lineRule="auto"/>
              <w:ind w:firstLine="0" w:firstLineChars="0"/>
              <w:jc w:val="center"/>
              <w:rPr>
                <w:rFonts w:cs="Times New Roman"/>
                <w:sz w:val="21"/>
                <w:szCs w:val="21"/>
              </w:rPr>
            </w:pPr>
            <w:r>
              <w:rPr>
                <w:rFonts w:hint="eastAsia" w:cs="Times New Roman"/>
                <w:sz w:val="21"/>
                <w:szCs w:val="21"/>
              </w:rPr>
              <w:t>354</w:t>
            </w:r>
          </w:p>
        </w:tc>
        <w:tc>
          <w:tcPr>
            <w:tcW w:w="1168" w:type="dxa"/>
            <w:noWrap/>
            <w:vAlign w:val="center"/>
          </w:tcPr>
          <w:p w14:paraId="545D5A0D">
            <w:pPr>
              <w:spacing w:line="240" w:lineRule="auto"/>
              <w:ind w:firstLine="0" w:firstLineChars="0"/>
              <w:jc w:val="center"/>
              <w:rPr>
                <w:rFonts w:cs="Times New Roman"/>
                <w:sz w:val="21"/>
                <w:szCs w:val="21"/>
              </w:rPr>
            </w:pPr>
            <w:r>
              <w:rPr>
                <w:rFonts w:hint="eastAsia" w:cs="Times New Roman"/>
                <w:sz w:val="21"/>
                <w:szCs w:val="21"/>
              </w:rPr>
              <w:t>约80</w:t>
            </w:r>
          </w:p>
        </w:tc>
      </w:tr>
      <w:tr w14:paraId="47737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BD41759">
            <w:pPr>
              <w:pStyle w:val="39"/>
              <w:numPr>
                <w:ilvl w:val="0"/>
                <w:numId w:val="7"/>
              </w:numPr>
              <w:spacing w:line="240" w:lineRule="auto"/>
              <w:ind w:firstLineChars="0"/>
              <w:jc w:val="center"/>
              <w:rPr>
                <w:rFonts w:cs="Times New Roman"/>
                <w:sz w:val="21"/>
                <w:szCs w:val="21"/>
              </w:rPr>
            </w:pPr>
          </w:p>
        </w:tc>
        <w:tc>
          <w:tcPr>
            <w:tcW w:w="992" w:type="dxa"/>
            <w:noWrap/>
            <w:vAlign w:val="center"/>
          </w:tcPr>
          <w:p w14:paraId="401A1ED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51C04A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7AE5DE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18FC412">
            <w:pPr>
              <w:spacing w:line="240" w:lineRule="auto"/>
              <w:ind w:firstLine="0" w:firstLineChars="0"/>
              <w:jc w:val="center"/>
              <w:rPr>
                <w:rFonts w:cs="Times New Roman"/>
                <w:sz w:val="21"/>
                <w:szCs w:val="21"/>
              </w:rPr>
            </w:pPr>
            <w:r>
              <w:rPr>
                <w:rFonts w:hint="eastAsia" w:cs="Times New Roman"/>
                <w:sz w:val="21"/>
                <w:szCs w:val="21"/>
              </w:rPr>
              <w:t>观西村</w:t>
            </w:r>
          </w:p>
        </w:tc>
        <w:tc>
          <w:tcPr>
            <w:tcW w:w="1701" w:type="dxa"/>
            <w:noWrap/>
            <w:vAlign w:val="center"/>
          </w:tcPr>
          <w:p w14:paraId="1B1104CA">
            <w:pPr>
              <w:spacing w:line="240" w:lineRule="auto"/>
              <w:ind w:firstLine="0" w:firstLineChars="0"/>
              <w:jc w:val="center"/>
              <w:rPr>
                <w:rFonts w:cs="Times New Roman"/>
                <w:sz w:val="21"/>
                <w:szCs w:val="21"/>
              </w:rPr>
            </w:pPr>
            <w:r>
              <w:rPr>
                <w:rFonts w:hint="eastAsia" w:cs="Times New Roman"/>
                <w:sz w:val="21"/>
                <w:szCs w:val="21"/>
              </w:rPr>
              <w:t>119.390052</w:t>
            </w:r>
          </w:p>
        </w:tc>
        <w:tc>
          <w:tcPr>
            <w:tcW w:w="1690" w:type="dxa"/>
            <w:noWrap/>
            <w:vAlign w:val="center"/>
          </w:tcPr>
          <w:p w14:paraId="14C07BA1">
            <w:pPr>
              <w:spacing w:line="240" w:lineRule="auto"/>
              <w:ind w:firstLine="0" w:firstLineChars="0"/>
              <w:jc w:val="center"/>
              <w:rPr>
                <w:rFonts w:cs="Times New Roman"/>
                <w:sz w:val="21"/>
                <w:szCs w:val="21"/>
              </w:rPr>
            </w:pPr>
            <w:r>
              <w:rPr>
                <w:rFonts w:hint="eastAsia" w:cs="Times New Roman"/>
                <w:sz w:val="21"/>
                <w:szCs w:val="21"/>
              </w:rPr>
              <w:t>31.831264</w:t>
            </w:r>
          </w:p>
        </w:tc>
        <w:tc>
          <w:tcPr>
            <w:tcW w:w="1080" w:type="dxa"/>
            <w:noWrap/>
            <w:vAlign w:val="center"/>
          </w:tcPr>
          <w:p w14:paraId="07A554A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ED365A9">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3F88DD6A">
            <w:pPr>
              <w:spacing w:line="240" w:lineRule="auto"/>
              <w:ind w:firstLine="0" w:firstLineChars="0"/>
              <w:jc w:val="center"/>
              <w:rPr>
                <w:rFonts w:cs="Times New Roman"/>
                <w:sz w:val="21"/>
                <w:szCs w:val="21"/>
              </w:rPr>
            </w:pPr>
            <w:r>
              <w:rPr>
                <w:rFonts w:hint="eastAsia" w:cs="Times New Roman"/>
                <w:sz w:val="21"/>
                <w:szCs w:val="21"/>
              </w:rPr>
              <w:t>1396</w:t>
            </w:r>
          </w:p>
        </w:tc>
        <w:tc>
          <w:tcPr>
            <w:tcW w:w="1168" w:type="dxa"/>
            <w:noWrap/>
            <w:vAlign w:val="center"/>
          </w:tcPr>
          <w:p w14:paraId="25C2D309">
            <w:pPr>
              <w:spacing w:line="240" w:lineRule="auto"/>
              <w:ind w:firstLine="0" w:firstLineChars="0"/>
              <w:jc w:val="center"/>
              <w:rPr>
                <w:rFonts w:cs="Times New Roman"/>
                <w:sz w:val="21"/>
                <w:szCs w:val="21"/>
              </w:rPr>
            </w:pPr>
            <w:r>
              <w:rPr>
                <w:rFonts w:hint="eastAsia" w:cs="Times New Roman"/>
                <w:sz w:val="21"/>
                <w:szCs w:val="21"/>
              </w:rPr>
              <w:t>约70</w:t>
            </w:r>
          </w:p>
        </w:tc>
      </w:tr>
      <w:tr w14:paraId="2AC41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9F4FF37">
            <w:pPr>
              <w:pStyle w:val="39"/>
              <w:numPr>
                <w:ilvl w:val="0"/>
                <w:numId w:val="7"/>
              </w:numPr>
              <w:spacing w:line="240" w:lineRule="auto"/>
              <w:ind w:firstLineChars="0"/>
              <w:jc w:val="center"/>
              <w:rPr>
                <w:rFonts w:cs="Times New Roman"/>
                <w:sz w:val="21"/>
                <w:szCs w:val="21"/>
              </w:rPr>
            </w:pPr>
          </w:p>
        </w:tc>
        <w:tc>
          <w:tcPr>
            <w:tcW w:w="992" w:type="dxa"/>
            <w:noWrap/>
            <w:vAlign w:val="center"/>
          </w:tcPr>
          <w:p w14:paraId="3430648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8D813C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F501B1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1EE9EFB">
            <w:pPr>
              <w:spacing w:line="240" w:lineRule="auto"/>
              <w:ind w:firstLine="0" w:firstLineChars="0"/>
              <w:jc w:val="center"/>
              <w:rPr>
                <w:rFonts w:cs="Times New Roman"/>
                <w:sz w:val="21"/>
                <w:szCs w:val="21"/>
              </w:rPr>
            </w:pPr>
            <w:r>
              <w:rPr>
                <w:rFonts w:hint="eastAsia" w:cs="Times New Roman"/>
                <w:sz w:val="21"/>
                <w:szCs w:val="21"/>
              </w:rPr>
              <w:t>徐甲村</w:t>
            </w:r>
          </w:p>
        </w:tc>
        <w:tc>
          <w:tcPr>
            <w:tcW w:w="1701" w:type="dxa"/>
            <w:noWrap/>
            <w:vAlign w:val="center"/>
          </w:tcPr>
          <w:p w14:paraId="12107245">
            <w:pPr>
              <w:spacing w:line="240" w:lineRule="auto"/>
              <w:ind w:firstLine="0" w:firstLineChars="0"/>
              <w:jc w:val="center"/>
              <w:rPr>
                <w:rFonts w:cs="Times New Roman"/>
                <w:sz w:val="21"/>
                <w:szCs w:val="21"/>
              </w:rPr>
            </w:pPr>
            <w:r>
              <w:rPr>
                <w:rFonts w:hint="eastAsia" w:cs="Times New Roman"/>
                <w:sz w:val="21"/>
                <w:szCs w:val="21"/>
              </w:rPr>
              <w:t>119.39351</w:t>
            </w:r>
          </w:p>
        </w:tc>
        <w:tc>
          <w:tcPr>
            <w:tcW w:w="1690" w:type="dxa"/>
            <w:noWrap/>
            <w:vAlign w:val="center"/>
          </w:tcPr>
          <w:p w14:paraId="18EAD614">
            <w:pPr>
              <w:spacing w:line="240" w:lineRule="auto"/>
              <w:ind w:firstLine="0" w:firstLineChars="0"/>
              <w:jc w:val="center"/>
              <w:rPr>
                <w:rFonts w:cs="Times New Roman"/>
                <w:sz w:val="21"/>
                <w:szCs w:val="21"/>
              </w:rPr>
            </w:pPr>
            <w:r>
              <w:rPr>
                <w:rFonts w:hint="eastAsia" w:cs="Times New Roman"/>
                <w:sz w:val="21"/>
                <w:szCs w:val="21"/>
              </w:rPr>
              <w:t>31.830066</w:t>
            </w:r>
          </w:p>
        </w:tc>
        <w:tc>
          <w:tcPr>
            <w:tcW w:w="1080" w:type="dxa"/>
            <w:noWrap/>
            <w:vAlign w:val="center"/>
          </w:tcPr>
          <w:p w14:paraId="5F7E979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DDBCFEF">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3C22E8D">
            <w:pPr>
              <w:spacing w:line="240" w:lineRule="auto"/>
              <w:ind w:firstLine="0" w:firstLineChars="0"/>
              <w:jc w:val="center"/>
              <w:rPr>
                <w:rFonts w:cs="Times New Roman"/>
                <w:sz w:val="21"/>
                <w:szCs w:val="21"/>
              </w:rPr>
            </w:pPr>
            <w:r>
              <w:rPr>
                <w:rFonts w:hint="eastAsia" w:cs="Times New Roman"/>
                <w:sz w:val="21"/>
                <w:szCs w:val="21"/>
              </w:rPr>
              <w:t>1723</w:t>
            </w:r>
          </w:p>
        </w:tc>
        <w:tc>
          <w:tcPr>
            <w:tcW w:w="1168" w:type="dxa"/>
            <w:noWrap/>
            <w:vAlign w:val="center"/>
          </w:tcPr>
          <w:p w14:paraId="25376565">
            <w:pPr>
              <w:spacing w:line="240" w:lineRule="auto"/>
              <w:ind w:firstLine="0" w:firstLineChars="0"/>
              <w:jc w:val="center"/>
              <w:rPr>
                <w:rFonts w:cs="Times New Roman"/>
                <w:sz w:val="21"/>
                <w:szCs w:val="21"/>
              </w:rPr>
            </w:pPr>
            <w:r>
              <w:rPr>
                <w:rFonts w:hint="eastAsia" w:cs="Times New Roman"/>
                <w:sz w:val="21"/>
                <w:szCs w:val="21"/>
              </w:rPr>
              <w:t>约150</w:t>
            </w:r>
          </w:p>
        </w:tc>
      </w:tr>
      <w:tr w14:paraId="62E5A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EB5DBD1">
            <w:pPr>
              <w:pStyle w:val="39"/>
              <w:numPr>
                <w:ilvl w:val="0"/>
                <w:numId w:val="7"/>
              </w:numPr>
              <w:spacing w:line="240" w:lineRule="auto"/>
              <w:ind w:firstLineChars="0"/>
              <w:jc w:val="center"/>
              <w:rPr>
                <w:rFonts w:cs="Times New Roman"/>
                <w:sz w:val="21"/>
                <w:szCs w:val="21"/>
              </w:rPr>
            </w:pPr>
          </w:p>
        </w:tc>
        <w:tc>
          <w:tcPr>
            <w:tcW w:w="992" w:type="dxa"/>
            <w:noWrap/>
            <w:vAlign w:val="center"/>
          </w:tcPr>
          <w:p w14:paraId="3654C69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0CFD74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AD2D2A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2014C9A">
            <w:pPr>
              <w:spacing w:line="240" w:lineRule="auto"/>
              <w:ind w:firstLine="0" w:firstLineChars="0"/>
              <w:jc w:val="center"/>
              <w:rPr>
                <w:rFonts w:cs="Times New Roman"/>
                <w:sz w:val="21"/>
                <w:szCs w:val="21"/>
              </w:rPr>
            </w:pPr>
            <w:r>
              <w:rPr>
                <w:rFonts w:hint="eastAsia" w:cs="Times New Roman"/>
                <w:sz w:val="21"/>
                <w:szCs w:val="21"/>
              </w:rPr>
              <w:t>新山</w:t>
            </w:r>
          </w:p>
        </w:tc>
        <w:tc>
          <w:tcPr>
            <w:tcW w:w="1701" w:type="dxa"/>
            <w:noWrap/>
            <w:vAlign w:val="center"/>
          </w:tcPr>
          <w:p w14:paraId="33DD76EC">
            <w:pPr>
              <w:spacing w:line="240" w:lineRule="auto"/>
              <w:ind w:firstLine="0" w:firstLineChars="0"/>
              <w:jc w:val="center"/>
              <w:rPr>
                <w:rFonts w:cs="Times New Roman"/>
                <w:sz w:val="21"/>
                <w:szCs w:val="21"/>
              </w:rPr>
            </w:pPr>
            <w:r>
              <w:rPr>
                <w:rFonts w:hint="eastAsia" w:cs="Times New Roman"/>
                <w:sz w:val="21"/>
                <w:szCs w:val="21"/>
              </w:rPr>
              <w:t>119.370503</w:t>
            </w:r>
          </w:p>
        </w:tc>
        <w:tc>
          <w:tcPr>
            <w:tcW w:w="1690" w:type="dxa"/>
            <w:noWrap/>
            <w:vAlign w:val="center"/>
          </w:tcPr>
          <w:p w14:paraId="1761C20C">
            <w:pPr>
              <w:spacing w:line="240" w:lineRule="auto"/>
              <w:ind w:firstLine="0" w:firstLineChars="0"/>
              <w:jc w:val="center"/>
              <w:rPr>
                <w:rFonts w:cs="Times New Roman"/>
                <w:sz w:val="21"/>
                <w:szCs w:val="21"/>
              </w:rPr>
            </w:pPr>
            <w:r>
              <w:rPr>
                <w:rFonts w:hint="eastAsia" w:cs="Times New Roman"/>
                <w:sz w:val="21"/>
                <w:szCs w:val="21"/>
              </w:rPr>
              <w:t>31.787958</w:t>
            </w:r>
          </w:p>
        </w:tc>
        <w:tc>
          <w:tcPr>
            <w:tcW w:w="1080" w:type="dxa"/>
            <w:noWrap/>
            <w:vAlign w:val="center"/>
          </w:tcPr>
          <w:p w14:paraId="6202E8C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3481869">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244BE9E0">
            <w:pPr>
              <w:spacing w:line="240" w:lineRule="auto"/>
              <w:ind w:firstLine="0" w:firstLineChars="0"/>
              <w:jc w:val="center"/>
              <w:rPr>
                <w:rFonts w:cs="Times New Roman"/>
                <w:sz w:val="21"/>
                <w:szCs w:val="21"/>
              </w:rPr>
            </w:pPr>
            <w:r>
              <w:rPr>
                <w:rFonts w:hint="eastAsia" w:cs="Times New Roman"/>
                <w:sz w:val="21"/>
                <w:szCs w:val="21"/>
              </w:rPr>
              <w:t>121</w:t>
            </w:r>
          </w:p>
        </w:tc>
        <w:tc>
          <w:tcPr>
            <w:tcW w:w="1168" w:type="dxa"/>
            <w:noWrap/>
            <w:vAlign w:val="center"/>
          </w:tcPr>
          <w:p w14:paraId="6E8A5506">
            <w:pPr>
              <w:spacing w:line="240" w:lineRule="auto"/>
              <w:ind w:firstLine="0" w:firstLineChars="0"/>
              <w:jc w:val="center"/>
              <w:rPr>
                <w:rFonts w:cs="Times New Roman"/>
                <w:sz w:val="21"/>
                <w:szCs w:val="21"/>
              </w:rPr>
            </w:pPr>
            <w:r>
              <w:rPr>
                <w:rFonts w:hint="eastAsia" w:cs="Times New Roman"/>
                <w:sz w:val="21"/>
                <w:szCs w:val="21"/>
              </w:rPr>
              <w:t>约50</w:t>
            </w:r>
          </w:p>
        </w:tc>
      </w:tr>
      <w:tr w14:paraId="03B4C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AAD56B5">
            <w:pPr>
              <w:pStyle w:val="39"/>
              <w:numPr>
                <w:ilvl w:val="0"/>
                <w:numId w:val="7"/>
              </w:numPr>
              <w:spacing w:line="240" w:lineRule="auto"/>
              <w:ind w:firstLineChars="0"/>
              <w:jc w:val="center"/>
              <w:rPr>
                <w:rFonts w:cs="Times New Roman"/>
                <w:sz w:val="21"/>
                <w:szCs w:val="21"/>
              </w:rPr>
            </w:pPr>
          </w:p>
        </w:tc>
        <w:tc>
          <w:tcPr>
            <w:tcW w:w="992" w:type="dxa"/>
            <w:noWrap/>
            <w:vAlign w:val="center"/>
          </w:tcPr>
          <w:p w14:paraId="2FFC44F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7B0125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0AEE9F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E749F9B">
            <w:pPr>
              <w:spacing w:line="240" w:lineRule="auto"/>
              <w:ind w:firstLine="0" w:firstLineChars="0"/>
              <w:jc w:val="center"/>
              <w:rPr>
                <w:rFonts w:cs="Times New Roman"/>
                <w:sz w:val="21"/>
                <w:szCs w:val="21"/>
              </w:rPr>
            </w:pPr>
            <w:r>
              <w:rPr>
                <w:rFonts w:hint="eastAsia" w:cs="Times New Roman"/>
                <w:sz w:val="21"/>
                <w:szCs w:val="21"/>
              </w:rPr>
              <w:t>油榨头</w:t>
            </w:r>
          </w:p>
        </w:tc>
        <w:tc>
          <w:tcPr>
            <w:tcW w:w="1701" w:type="dxa"/>
            <w:noWrap/>
            <w:vAlign w:val="center"/>
          </w:tcPr>
          <w:p w14:paraId="75D3CCE8">
            <w:pPr>
              <w:spacing w:line="240" w:lineRule="auto"/>
              <w:ind w:firstLine="0" w:firstLineChars="0"/>
              <w:jc w:val="center"/>
              <w:rPr>
                <w:rFonts w:cs="Times New Roman"/>
                <w:sz w:val="21"/>
                <w:szCs w:val="21"/>
              </w:rPr>
            </w:pPr>
            <w:r>
              <w:rPr>
                <w:rFonts w:hint="eastAsia" w:cs="Times New Roman"/>
                <w:sz w:val="21"/>
                <w:szCs w:val="21"/>
              </w:rPr>
              <w:t>119.37053</w:t>
            </w:r>
          </w:p>
        </w:tc>
        <w:tc>
          <w:tcPr>
            <w:tcW w:w="1690" w:type="dxa"/>
            <w:noWrap/>
            <w:vAlign w:val="center"/>
          </w:tcPr>
          <w:p w14:paraId="3AACA903">
            <w:pPr>
              <w:spacing w:line="240" w:lineRule="auto"/>
              <w:ind w:firstLine="0" w:firstLineChars="0"/>
              <w:jc w:val="center"/>
              <w:rPr>
                <w:rFonts w:cs="Times New Roman"/>
                <w:sz w:val="21"/>
                <w:szCs w:val="21"/>
              </w:rPr>
            </w:pPr>
            <w:r>
              <w:rPr>
                <w:rFonts w:hint="eastAsia" w:cs="Times New Roman"/>
                <w:sz w:val="21"/>
                <w:szCs w:val="21"/>
              </w:rPr>
              <w:t>31.782266</w:t>
            </w:r>
          </w:p>
        </w:tc>
        <w:tc>
          <w:tcPr>
            <w:tcW w:w="1080" w:type="dxa"/>
            <w:noWrap/>
            <w:vAlign w:val="center"/>
          </w:tcPr>
          <w:p w14:paraId="1F78348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0EC9120">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721A4453">
            <w:pPr>
              <w:spacing w:line="240" w:lineRule="auto"/>
              <w:ind w:firstLine="0" w:firstLineChars="0"/>
              <w:jc w:val="center"/>
              <w:rPr>
                <w:rFonts w:cs="Times New Roman"/>
                <w:sz w:val="21"/>
                <w:szCs w:val="21"/>
              </w:rPr>
            </w:pPr>
            <w:r>
              <w:rPr>
                <w:rFonts w:hint="eastAsia" w:cs="Times New Roman"/>
                <w:sz w:val="21"/>
                <w:szCs w:val="21"/>
              </w:rPr>
              <w:t>392</w:t>
            </w:r>
          </w:p>
        </w:tc>
        <w:tc>
          <w:tcPr>
            <w:tcW w:w="1168" w:type="dxa"/>
            <w:noWrap/>
            <w:vAlign w:val="center"/>
          </w:tcPr>
          <w:p w14:paraId="2DCC7823">
            <w:pPr>
              <w:spacing w:line="240" w:lineRule="auto"/>
              <w:ind w:firstLine="0" w:firstLineChars="0"/>
              <w:jc w:val="center"/>
              <w:rPr>
                <w:rFonts w:cs="Times New Roman"/>
                <w:sz w:val="21"/>
                <w:szCs w:val="21"/>
              </w:rPr>
            </w:pPr>
            <w:r>
              <w:rPr>
                <w:rFonts w:hint="eastAsia" w:cs="Times New Roman"/>
                <w:sz w:val="21"/>
                <w:szCs w:val="21"/>
              </w:rPr>
              <w:t>约50</w:t>
            </w:r>
          </w:p>
        </w:tc>
      </w:tr>
      <w:tr w14:paraId="50DF4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E2EF973">
            <w:pPr>
              <w:pStyle w:val="39"/>
              <w:numPr>
                <w:ilvl w:val="0"/>
                <w:numId w:val="7"/>
              </w:numPr>
              <w:spacing w:line="240" w:lineRule="auto"/>
              <w:ind w:firstLineChars="0"/>
              <w:jc w:val="center"/>
              <w:rPr>
                <w:rFonts w:cs="Times New Roman"/>
                <w:sz w:val="21"/>
                <w:szCs w:val="21"/>
              </w:rPr>
            </w:pPr>
          </w:p>
        </w:tc>
        <w:tc>
          <w:tcPr>
            <w:tcW w:w="992" w:type="dxa"/>
            <w:noWrap/>
            <w:vAlign w:val="center"/>
          </w:tcPr>
          <w:p w14:paraId="4C01072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4447E6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B5A03D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D6006D7">
            <w:pPr>
              <w:spacing w:line="240" w:lineRule="auto"/>
              <w:ind w:firstLine="0" w:firstLineChars="0"/>
              <w:jc w:val="center"/>
              <w:rPr>
                <w:rFonts w:cs="Times New Roman"/>
                <w:sz w:val="21"/>
                <w:szCs w:val="21"/>
              </w:rPr>
            </w:pPr>
            <w:r>
              <w:rPr>
                <w:rFonts w:hint="eastAsia" w:cs="Times New Roman"/>
                <w:sz w:val="21"/>
                <w:szCs w:val="21"/>
              </w:rPr>
              <w:t>张家庄</w:t>
            </w:r>
          </w:p>
        </w:tc>
        <w:tc>
          <w:tcPr>
            <w:tcW w:w="1701" w:type="dxa"/>
            <w:noWrap/>
            <w:vAlign w:val="center"/>
          </w:tcPr>
          <w:p w14:paraId="5CD8F034">
            <w:pPr>
              <w:spacing w:line="240" w:lineRule="auto"/>
              <w:ind w:firstLine="0" w:firstLineChars="0"/>
              <w:jc w:val="center"/>
              <w:rPr>
                <w:rFonts w:cs="Times New Roman"/>
                <w:sz w:val="21"/>
                <w:szCs w:val="21"/>
              </w:rPr>
            </w:pPr>
            <w:r>
              <w:rPr>
                <w:rFonts w:hint="eastAsia" w:cs="Times New Roman"/>
                <w:sz w:val="21"/>
                <w:szCs w:val="21"/>
              </w:rPr>
              <w:t>119.375371</w:t>
            </w:r>
          </w:p>
        </w:tc>
        <w:tc>
          <w:tcPr>
            <w:tcW w:w="1690" w:type="dxa"/>
            <w:noWrap/>
            <w:vAlign w:val="center"/>
          </w:tcPr>
          <w:p w14:paraId="5CFF7BFD">
            <w:pPr>
              <w:spacing w:line="240" w:lineRule="auto"/>
              <w:ind w:firstLine="0" w:firstLineChars="0"/>
              <w:jc w:val="center"/>
              <w:rPr>
                <w:rFonts w:cs="Times New Roman"/>
                <w:sz w:val="21"/>
                <w:szCs w:val="21"/>
              </w:rPr>
            </w:pPr>
            <w:r>
              <w:rPr>
                <w:rFonts w:hint="eastAsia" w:cs="Times New Roman"/>
                <w:sz w:val="21"/>
                <w:szCs w:val="21"/>
              </w:rPr>
              <w:t>31.783126</w:t>
            </w:r>
          </w:p>
        </w:tc>
        <w:tc>
          <w:tcPr>
            <w:tcW w:w="1080" w:type="dxa"/>
            <w:noWrap/>
            <w:vAlign w:val="center"/>
          </w:tcPr>
          <w:p w14:paraId="75F67E4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E432066">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2DCC4C6D">
            <w:pPr>
              <w:spacing w:line="240" w:lineRule="auto"/>
              <w:ind w:firstLine="0" w:firstLineChars="0"/>
              <w:jc w:val="center"/>
              <w:rPr>
                <w:rFonts w:cs="Times New Roman"/>
                <w:sz w:val="21"/>
                <w:szCs w:val="21"/>
              </w:rPr>
            </w:pPr>
            <w:r>
              <w:rPr>
                <w:rFonts w:hint="eastAsia" w:cs="Times New Roman"/>
                <w:sz w:val="21"/>
                <w:szCs w:val="21"/>
              </w:rPr>
              <w:t>449</w:t>
            </w:r>
          </w:p>
        </w:tc>
        <w:tc>
          <w:tcPr>
            <w:tcW w:w="1168" w:type="dxa"/>
            <w:noWrap/>
            <w:vAlign w:val="center"/>
          </w:tcPr>
          <w:p w14:paraId="0F92300D">
            <w:pPr>
              <w:spacing w:line="240" w:lineRule="auto"/>
              <w:ind w:firstLine="0" w:firstLineChars="0"/>
              <w:jc w:val="center"/>
              <w:rPr>
                <w:rFonts w:cs="Times New Roman"/>
                <w:sz w:val="21"/>
                <w:szCs w:val="21"/>
              </w:rPr>
            </w:pPr>
            <w:r>
              <w:rPr>
                <w:rFonts w:hint="eastAsia" w:cs="Times New Roman"/>
                <w:sz w:val="21"/>
                <w:szCs w:val="21"/>
              </w:rPr>
              <w:t>约50</w:t>
            </w:r>
          </w:p>
        </w:tc>
      </w:tr>
      <w:tr w14:paraId="075A0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A93E3D1">
            <w:pPr>
              <w:pStyle w:val="39"/>
              <w:numPr>
                <w:ilvl w:val="0"/>
                <w:numId w:val="7"/>
              </w:numPr>
              <w:spacing w:line="240" w:lineRule="auto"/>
              <w:ind w:firstLineChars="0"/>
              <w:jc w:val="center"/>
              <w:rPr>
                <w:rFonts w:cs="Times New Roman"/>
                <w:sz w:val="21"/>
                <w:szCs w:val="21"/>
              </w:rPr>
            </w:pPr>
          </w:p>
        </w:tc>
        <w:tc>
          <w:tcPr>
            <w:tcW w:w="992" w:type="dxa"/>
            <w:noWrap/>
            <w:vAlign w:val="center"/>
          </w:tcPr>
          <w:p w14:paraId="669ABA2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3AC395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AC10BA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433FB5E">
            <w:pPr>
              <w:spacing w:line="240" w:lineRule="auto"/>
              <w:ind w:firstLine="0" w:firstLineChars="0"/>
              <w:jc w:val="center"/>
              <w:rPr>
                <w:rFonts w:cs="Times New Roman"/>
                <w:sz w:val="21"/>
                <w:szCs w:val="21"/>
              </w:rPr>
            </w:pPr>
            <w:r>
              <w:rPr>
                <w:rFonts w:hint="eastAsia" w:cs="Times New Roman"/>
                <w:sz w:val="21"/>
                <w:szCs w:val="21"/>
              </w:rPr>
              <w:t>小谷</w:t>
            </w:r>
          </w:p>
        </w:tc>
        <w:tc>
          <w:tcPr>
            <w:tcW w:w="1701" w:type="dxa"/>
            <w:noWrap/>
            <w:vAlign w:val="center"/>
          </w:tcPr>
          <w:p w14:paraId="79C8A127">
            <w:pPr>
              <w:spacing w:line="240" w:lineRule="auto"/>
              <w:ind w:firstLine="0" w:firstLineChars="0"/>
              <w:jc w:val="center"/>
              <w:rPr>
                <w:rFonts w:cs="Times New Roman"/>
                <w:sz w:val="21"/>
                <w:szCs w:val="21"/>
              </w:rPr>
            </w:pPr>
            <w:r>
              <w:rPr>
                <w:rFonts w:hint="eastAsia" w:cs="Times New Roman"/>
                <w:sz w:val="21"/>
                <w:szCs w:val="21"/>
              </w:rPr>
              <w:t>119.379898</w:t>
            </w:r>
          </w:p>
        </w:tc>
        <w:tc>
          <w:tcPr>
            <w:tcW w:w="1690" w:type="dxa"/>
            <w:noWrap/>
            <w:vAlign w:val="center"/>
          </w:tcPr>
          <w:p w14:paraId="0CB37206">
            <w:pPr>
              <w:spacing w:line="240" w:lineRule="auto"/>
              <w:ind w:firstLine="0" w:firstLineChars="0"/>
              <w:jc w:val="center"/>
              <w:rPr>
                <w:rFonts w:cs="Times New Roman"/>
                <w:sz w:val="21"/>
                <w:szCs w:val="21"/>
              </w:rPr>
            </w:pPr>
            <w:r>
              <w:rPr>
                <w:rFonts w:hint="eastAsia" w:cs="Times New Roman"/>
                <w:sz w:val="21"/>
                <w:szCs w:val="21"/>
              </w:rPr>
              <w:t>31.785688</w:t>
            </w:r>
          </w:p>
        </w:tc>
        <w:tc>
          <w:tcPr>
            <w:tcW w:w="1080" w:type="dxa"/>
            <w:noWrap/>
            <w:vAlign w:val="center"/>
          </w:tcPr>
          <w:p w14:paraId="6BA5DA5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7BB8DB4">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4A94D2BE">
            <w:pPr>
              <w:spacing w:line="240" w:lineRule="auto"/>
              <w:ind w:firstLine="0" w:firstLineChars="0"/>
              <w:jc w:val="center"/>
              <w:rPr>
                <w:rFonts w:cs="Times New Roman"/>
                <w:sz w:val="21"/>
                <w:szCs w:val="21"/>
              </w:rPr>
            </w:pPr>
            <w:r>
              <w:rPr>
                <w:rFonts w:hint="eastAsia" w:cs="Times New Roman"/>
                <w:sz w:val="21"/>
                <w:szCs w:val="21"/>
              </w:rPr>
              <w:t>689</w:t>
            </w:r>
          </w:p>
        </w:tc>
        <w:tc>
          <w:tcPr>
            <w:tcW w:w="1168" w:type="dxa"/>
            <w:noWrap/>
            <w:vAlign w:val="center"/>
          </w:tcPr>
          <w:p w14:paraId="1654E14F">
            <w:pPr>
              <w:spacing w:line="240" w:lineRule="auto"/>
              <w:ind w:firstLine="0" w:firstLineChars="0"/>
              <w:jc w:val="center"/>
              <w:rPr>
                <w:rFonts w:cs="Times New Roman"/>
                <w:sz w:val="21"/>
                <w:szCs w:val="21"/>
              </w:rPr>
            </w:pPr>
            <w:r>
              <w:rPr>
                <w:rFonts w:hint="eastAsia" w:cs="Times New Roman"/>
                <w:sz w:val="21"/>
                <w:szCs w:val="21"/>
              </w:rPr>
              <w:t>约50</w:t>
            </w:r>
          </w:p>
        </w:tc>
      </w:tr>
      <w:tr w14:paraId="132AB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CBB196B">
            <w:pPr>
              <w:pStyle w:val="39"/>
              <w:numPr>
                <w:ilvl w:val="0"/>
                <w:numId w:val="7"/>
              </w:numPr>
              <w:spacing w:line="240" w:lineRule="auto"/>
              <w:ind w:firstLineChars="0"/>
              <w:jc w:val="center"/>
              <w:rPr>
                <w:rFonts w:cs="Times New Roman"/>
                <w:sz w:val="21"/>
                <w:szCs w:val="21"/>
              </w:rPr>
            </w:pPr>
          </w:p>
        </w:tc>
        <w:tc>
          <w:tcPr>
            <w:tcW w:w="992" w:type="dxa"/>
            <w:noWrap/>
            <w:vAlign w:val="center"/>
          </w:tcPr>
          <w:p w14:paraId="5581D2E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AC982F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413FC7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88297D7">
            <w:pPr>
              <w:spacing w:line="240" w:lineRule="auto"/>
              <w:ind w:firstLine="0" w:firstLineChars="0"/>
              <w:jc w:val="center"/>
              <w:rPr>
                <w:rFonts w:cs="Times New Roman"/>
                <w:sz w:val="21"/>
                <w:szCs w:val="21"/>
              </w:rPr>
            </w:pPr>
            <w:r>
              <w:rPr>
                <w:rFonts w:hint="eastAsia" w:cs="Times New Roman"/>
                <w:sz w:val="21"/>
                <w:szCs w:val="21"/>
              </w:rPr>
              <w:t>谢庄村</w:t>
            </w:r>
          </w:p>
        </w:tc>
        <w:tc>
          <w:tcPr>
            <w:tcW w:w="1701" w:type="dxa"/>
            <w:noWrap/>
            <w:vAlign w:val="center"/>
          </w:tcPr>
          <w:p w14:paraId="16493916">
            <w:pPr>
              <w:spacing w:line="240" w:lineRule="auto"/>
              <w:ind w:firstLine="0" w:firstLineChars="0"/>
              <w:jc w:val="center"/>
              <w:rPr>
                <w:rFonts w:cs="Times New Roman"/>
                <w:sz w:val="21"/>
                <w:szCs w:val="21"/>
              </w:rPr>
            </w:pPr>
            <w:r>
              <w:rPr>
                <w:rFonts w:hint="eastAsia" w:cs="Times New Roman"/>
                <w:sz w:val="21"/>
                <w:szCs w:val="21"/>
              </w:rPr>
              <w:t>119.383689</w:t>
            </w:r>
          </w:p>
        </w:tc>
        <w:tc>
          <w:tcPr>
            <w:tcW w:w="1690" w:type="dxa"/>
            <w:noWrap/>
            <w:vAlign w:val="center"/>
          </w:tcPr>
          <w:p w14:paraId="627C74EA">
            <w:pPr>
              <w:spacing w:line="240" w:lineRule="auto"/>
              <w:ind w:firstLine="0" w:firstLineChars="0"/>
              <w:jc w:val="center"/>
              <w:rPr>
                <w:rFonts w:cs="Times New Roman"/>
                <w:sz w:val="21"/>
                <w:szCs w:val="21"/>
              </w:rPr>
            </w:pPr>
            <w:r>
              <w:rPr>
                <w:rFonts w:hint="eastAsia" w:cs="Times New Roman"/>
                <w:sz w:val="21"/>
                <w:szCs w:val="21"/>
              </w:rPr>
              <w:t>31.78507</w:t>
            </w:r>
          </w:p>
        </w:tc>
        <w:tc>
          <w:tcPr>
            <w:tcW w:w="1080" w:type="dxa"/>
            <w:noWrap/>
            <w:vAlign w:val="center"/>
          </w:tcPr>
          <w:p w14:paraId="713A556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50D1688">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6936C56B">
            <w:pPr>
              <w:spacing w:line="240" w:lineRule="auto"/>
              <w:ind w:firstLine="0" w:firstLineChars="0"/>
              <w:jc w:val="center"/>
              <w:rPr>
                <w:rFonts w:cs="Times New Roman"/>
                <w:sz w:val="21"/>
                <w:szCs w:val="21"/>
              </w:rPr>
            </w:pPr>
            <w:r>
              <w:rPr>
                <w:rFonts w:hint="eastAsia" w:cs="Times New Roman"/>
                <w:sz w:val="21"/>
                <w:szCs w:val="21"/>
              </w:rPr>
              <w:t>758</w:t>
            </w:r>
          </w:p>
        </w:tc>
        <w:tc>
          <w:tcPr>
            <w:tcW w:w="1168" w:type="dxa"/>
            <w:noWrap/>
            <w:vAlign w:val="center"/>
          </w:tcPr>
          <w:p w14:paraId="3F324C9E">
            <w:pPr>
              <w:spacing w:line="240" w:lineRule="auto"/>
              <w:ind w:firstLine="0" w:firstLineChars="0"/>
              <w:jc w:val="center"/>
              <w:rPr>
                <w:rFonts w:cs="Times New Roman"/>
                <w:sz w:val="21"/>
                <w:szCs w:val="21"/>
              </w:rPr>
            </w:pPr>
            <w:r>
              <w:rPr>
                <w:rFonts w:hint="eastAsia" w:cs="Times New Roman"/>
                <w:sz w:val="21"/>
                <w:szCs w:val="21"/>
              </w:rPr>
              <w:t>约100</w:t>
            </w:r>
          </w:p>
        </w:tc>
      </w:tr>
      <w:tr w14:paraId="5E3E6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B237197">
            <w:pPr>
              <w:pStyle w:val="39"/>
              <w:numPr>
                <w:ilvl w:val="0"/>
                <w:numId w:val="7"/>
              </w:numPr>
              <w:spacing w:line="240" w:lineRule="auto"/>
              <w:ind w:firstLineChars="0"/>
              <w:jc w:val="center"/>
              <w:rPr>
                <w:rFonts w:cs="Times New Roman"/>
                <w:sz w:val="21"/>
                <w:szCs w:val="21"/>
              </w:rPr>
            </w:pPr>
          </w:p>
        </w:tc>
        <w:tc>
          <w:tcPr>
            <w:tcW w:w="992" w:type="dxa"/>
            <w:noWrap/>
            <w:vAlign w:val="center"/>
          </w:tcPr>
          <w:p w14:paraId="78226F9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13448C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9E5BA8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D758F1D">
            <w:pPr>
              <w:spacing w:line="240" w:lineRule="auto"/>
              <w:ind w:firstLine="0" w:firstLineChars="0"/>
              <w:jc w:val="center"/>
              <w:rPr>
                <w:rFonts w:cs="Times New Roman"/>
                <w:sz w:val="21"/>
                <w:szCs w:val="21"/>
              </w:rPr>
            </w:pPr>
            <w:r>
              <w:rPr>
                <w:rFonts w:hint="eastAsia" w:cs="Times New Roman"/>
                <w:sz w:val="21"/>
                <w:szCs w:val="21"/>
              </w:rPr>
              <w:t>前溪村</w:t>
            </w:r>
          </w:p>
        </w:tc>
        <w:tc>
          <w:tcPr>
            <w:tcW w:w="1701" w:type="dxa"/>
            <w:noWrap/>
            <w:vAlign w:val="center"/>
          </w:tcPr>
          <w:p w14:paraId="111869F0">
            <w:pPr>
              <w:spacing w:line="240" w:lineRule="auto"/>
              <w:ind w:firstLine="0" w:firstLineChars="0"/>
              <w:jc w:val="center"/>
              <w:rPr>
                <w:rFonts w:cs="Times New Roman"/>
                <w:sz w:val="21"/>
                <w:szCs w:val="21"/>
              </w:rPr>
            </w:pPr>
            <w:r>
              <w:rPr>
                <w:rFonts w:hint="eastAsia" w:cs="Times New Roman"/>
                <w:sz w:val="21"/>
                <w:szCs w:val="21"/>
              </w:rPr>
              <w:t>119.388764</w:t>
            </w:r>
          </w:p>
        </w:tc>
        <w:tc>
          <w:tcPr>
            <w:tcW w:w="1690" w:type="dxa"/>
            <w:noWrap/>
            <w:vAlign w:val="center"/>
          </w:tcPr>
          <w:p w14:paraId="71F4E9EF">
            <w:pPr>
              <w:spacing w:line="240" w:lineRule="auto"/>
              <w:ind w:firstLine="0" w:firstLineChars="0"/>
              <w:jc w:val="center"/>
              <w:rPr>
                <w:rFonts w:cs="Times New Roman"/>
                <w:sz w:val="21"/>
                <w:szCs w:val="21"/>
              </w:rPr>
            </w:pPr>
            <w:r>
              <w:rPr>
                <w:rFonts w:hint="eastAsia" w:cs="Times New Roman"/>
                <w:sz w:val="21"/>
                <w:szCs w:val="21"/>
              </w:rPr>
              <w:t>31.788227</w:t>
            </w:r>
          </w:p>
        </w:tc>
        <w:tc>
          <w:tcPr>
            <w:tcW w:w="1080" w:type="dxa"/>
            <w:noWrap/>
            <w:vAlign w:val="center"/>
          </w:tcPr>
          <w:p w14:paraId="735456A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2A491B1">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53AE70E4">
            <w:pPr>
              <w:spacing w:line="240" w:lineRule="auto"/>
              <w:ind w:firstLine="0" w:firstLineChars="0"/>
              <w:jc w:val="center"/>
              <w:rPr>
                <w:rFonts w:cs="Times New Roman"/>
                <w:sz w:val="21"/>
                <w:szCs w:val="21"/>
              </w:rPr>
            </w:pPr>
            <w:r>
              <w:rPr>
                <w:rFonts w:hint="eastAsia" w:cs="Times New Roman"/>
                <w:sz w:val="21"/>
                <w:szCs w:val="21"/>
              </w:rPr>
              <w:t>640</w:t>
            </w:r>
          </w:p>
        </w:tc>
        <w:tc>
          <w:tcPr>
            <w:tcW w:w="1168" w:type="dxa"/>
            <w:noWrap/>
            <w:vAlign w:val="center"/>
          </w:tcPr>
          <w:p w14:paraId="11D14686">
            <w:pPr>
              <w:spacing w:line="240" w:lineRule="auto"/>
              <w:ind w:firstLine="0" w:firstLineChars="0"/>
              <w:jc w:val="center"/>
              <w:rPr>
                <w:rFonts w:cs="Times New Roman"/>
                <w:sz w:val="21"/>
                <w:szCs w:val="21"/>
              </w:rPr>
            </w:pPr>
            <w:r>
              <w:rPr>
                <w:rFonts w:hint="eastAsia" w:cs="Times New Roman"/>
                <w:sz w:val="21"/>
                <w:szCs w:val="21"/>
              </w:rPr>
              <w:t>约300</w:t>
            </w:r>
          </w:p>
        </w:tc>
      </w:tr>
      <w:tr w14:paraId="34B55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FFA6B63">
            <w:pPr>
              <w:pStyle w:val="39"/>
              <w:numPr>
                <w:ilvl w:val="0"/>
                <w:numId w:val="7"/>
              </w:numPr>
              <w:spacing w:line="240" w:lineRule="auto"/>
              <w:ind w:firstLineChars="0"/>
              <w:jc w:val="center"/>
              <w:rPr>
                <w:rFonts w:cs="Times New Roman"/>
                <w:sz w:val="21"/>
                <w:szCs w:val="21"/>
              </w:rPr>
            </w:pPr>
          </w:p>
        </w:tc>
        <w:tc>
          <w:tcPr>
            <w:tcW w:w="992" w:type="dxa"/>
            <w:noWrap/>
            <w:vAlign w:val="center"/>
          </w:tcPr>
          <w:p w14:paraId="79EB314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751206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E9572E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F1F75C8">
            <w:pPr>
              <w:spacing w:line="240" w:lineRule="auto"/>
              <w:ind w:firstLine="0" w:firstLineChars="0"/>
              <w:jc w:val="center"/>
              <w:rPr>
                <w:rFonts w:cs="Times New Roman"/>
                <w:sz w:val="21"/>
                <w:szCs w:val="21"/>
              </w:rPr>
            </w:pPr>
            <w:r>
              <w:rPr>
                <w:rFonts w:hint="eastAsia" w:cs="Times New Roman"/>
                <w:sz w:val="21"/>
                <w:szCs w:val="21"/>
              </w:rPr>
              <w:t>茅麓卫生院</w:t>
            </w:r>
          </w:p>
        </w:tc>
        <w:tc>
          <w:tcPr>
            <w:tcW w:w="1701" w:type="dxa"/>
            <w:noWrap/>
            <w:vAlign w:val="center"/>
          </w:tcPr>
          <w:p w14:paraId="63EE952C">
            <w:pPr>
              <w:spacing w:line="240" w:lineRule="auto"/>
              <w:ind w:firstLine="0" w:firstLineChars="0"/>
              <w:jc w:val="center"/>
              <w:rPr>
                <w:rFonts w:cs="Times New Roman"/>
                <w:sz w:val="21"/>
                <w:szCs w:val="21"/>
              </w:rPr>
            </w:pPr>
            <w:r>
              <w:rPr>
                <w:rFonts w:hint="eastAsia" w:cs="Times New Roman"/>
                <w:sz w:val="21"/>
                <w:szCs w:val="21"/>
              </w:rPr>
              <w:t>119.391002</w:t>
            </w:r>
          </w:p>
        </w:tc>
        <w:tc>
          <w:tcPr>
            <w:tcW w:w="1690" w:type="dxa"/>
            <w:noWrap/>
            <w:vAlign w:val="center"/>
          </w:tcPr>
          <w:p w14:paraId="35D1B068">
            <w:pPr>
              <w:spacing w:line="240" w:lineRule="auto"/>
              <w:ind w:firstLine="0" w:firstLineChars="0"/>
              <w:jc w:val="center"/>
              <w:rPr>
                <w:rFonts w:cs="Times New Roman"/>
                <w:sz w:val="21"/>
                <w:szCs w:val="21"/>
              </w:rPr>
            </w:pPr>
            <w:r>
              <w:rPr>
                <w:rFonts w:hint="eastAsia" w:cs="Times New Roman"/>
                <w:sz w:val="21"/>
                <w:szCs w:val="21"/>
              </w:rPr>
              <w:t>31.790701</w:t>
            </w:r>
          </w:p>
        </w:tc>
        <w:tc>
          <w:tcPr>
            <w:tcW w:w="1080" w:type="dxa"/>
            <w:noWrap/>
            <w:vAlign w:val="center"/>
          </w:tcPr>
          <w:p w14:paraId="506F41AD">
            <w:pPr>
              <w:spacing w:line="240" w:lineRule="auto"/>
              <w:ind w:firstLine="0" w:firstLineChars="0"/>
              <w:jc w:val="center"/>
              <w:rPr>
                <w:rFonts w:cs="Times New Roman"/>
                <w:sz w:val="21"/>
                <w:szCs w:val="21"/>
              </w:rPr>
            </w:pPr>
            <w:r>
              <w:rPr>
                <w:rFonts w:hint="eastAsia" w:cs="Times New Roman"/>
                <w:sz w:val="21"/>
                <w:szCs w:val="21"/>
              </w:rPr>
              <w:t>医患</w:t>
            </w:r>
          </w:p>
        </w:tc>
        <w:tc>
          <w:tcPr>
            <w:tcW w:w="702" w:type="dxa"/>
            <w:noWrap/>
            <w:vAlign w:val="center"/>
          </w:tcPr>
          <w:p w14:paraId="6F05DBFB">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7FC3EBE1">
            <w:pPr>
              <w:spacing w:line="240" w:lineRule="auto"/>
              <w:ind w:firstLine="0" w:firstLineChars="0"/>
              <w:jc w:val="center"/>
              <w:rPr>
                <w:rFonts w:cs="Times New Roman"/>
                <w:sz w:val="21"/>
                <w:szCs w:val="21"/>
              </w:rPr>
            </w:pPr>
            <w:r>
              <w:rPr>
                <w:rFonts w:hint="eastAsia" w:cs="Times New Roman"/>
                <w:sz w:val="21"/>
                <w:szCs w:val="21"/>
              </w:rPr>
              <w:t>675</w:t>
            </w:r>
          </w:p>
        </w:tc>
        <w:tc>
          <w:tcPr>
            <w:tcW w:w="1168" w:type="dxa"/>
            <w:noWrap/>
            <w:vAlign w:val="center"/>
          </w:tcPr>
          <w:p w14:paraId="25AA3D3E">
            <w:pPr>
              <w:spacing w:line="240" w:lineRule="auto"/>
              <w:ind w:firstLine="0" w:firstLineChars="0"/>
              <w:jc w:val="center"/>
              <w:rPr>
                <w:rFonts w:cs="Times New Roman"/>
                <w:sz w:val="21"/>
                <w:szCs w:val="21"/>
              </w:rPr>
            </w:pPr>
            <w:r>
              <w:rPr>
                <w:rFonts w:hint="eastAsia" w:cs="Times New Roman"/>
                <w:sz w:val="21"/>
                <w:szCs w:val="21"/>
              </w:rPr>
              <w:t>约30</w:t>
            </w:r>
          </w:p>
        </w:tc>
      </w:tr>
      <w:tr w14:paraId="1D47D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4A0EE86">
            <w:pPr>
              <w:pStyle w:val="39"/>
              <w:numPr>
                <w:ilvl w:val="0"/>
                <w:numId w:val="7"/>
              </w:numPr>
              <w:spacing w:line="240" w:lineRule="auto"/>
              <w:ind w:firstLineChars="0"/>
              <w:jc w:val="center"/>
              <w:rPr>
                <w:rFonts w:cs="Times New Roman"/>
                <w:sz w:val="21"/>
                <w:szCs w:val="21"/>
              </w:rPr>
            </w:pPr>
          </w:p>
        </w:tc>
        <w:tc>
          <w:tcPr>
            <w:tcW w:w="992" w:type="dxa"/>
            <w:noWrap/>
            <w:vAlign w:val="center"/>
          </w:tcPr>
          <w:p w14:paraId="2668116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0BF6FA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B69D0C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9AA54E9">
            <w:pPr>
              <w:spacing w:line="240" w:lineRule="auto"/>
              <w:ind w:firstLine="0" w:firstLineChars="0"/>
              <w:jc w:val="center"/>
              <w:rPr>
                <w:rFonts w:cs="Times New Roman"/>
                <w:sz w:val="21"/>
                <w:szCs w:val="21"/>
              </w:rPr>
            </w:pPr>
            <w:r>
              <w:rPr>
                <w:rFonts w:hint="eastAsia" w:cs="Times New Roman"/>
                <w:sz w:val="21"/>
                <w:szCs w:val="21"/>
              </w:rPr>
              <w:t>茅麓中学</w:t>
            </w:r>
          </w:p>
        </w:tc>
        <w:tc>
          <w:tcPr>
            <w:tcW w:w="1701" w:type="dxa"/>
            <w:noWrap/>
            <w:vAlign w:val="center"/>
          </w:tcPr>
          <w:p w14:paraId="7CBC140A">
            <w:pPr>
              <w:spacing w:line="240" w:lineRule="auto"/>
              <w:ind w:firstLine="0" w:firstLineChars="0"/>
              <w:jc w:val="center"/>
              <w:rPr>
                <w:rFonts w:cs="Times New Roman"/>
                <w:sz w:val="21"/>
                <w:szCs w:val="21"/>
              </w:rPr>
            </w:pPr>
            <w:r>
              <w:rPr>
                <w:rFonts w:hint="eastAsia" w:cs="Times New Roman"/>
                <w:sz w:val="21"/>
                <w:szCs w:val="21"/>
              </w:rPr>
              <w:t>119.393602</w:t>
            </w:r>
          </w:p>
        </w:tc>
        <w:tc>
          <w:tcPr>
            <w:tcW w:w="1690" w:type="dxa"/>
            <w:noWrap/>
            <w:vAlign w:val="center"/>
          </w:tcPr>
          <w:p w14:paraId="0AD5D5F4">
            <w:pPr>
              <w:spacing w:line="240" w:lineRule="auto"/>
              <w:ind w:firstLine="0" w:firstLineChars="0"/>
              <w:jc w:val="center"/>
              <w:rPr>
                <w:rFonts w:cs="Times New Roman"/>
                <w:sz w:val="21"/>
                <w:szCs w:val="21"/>
              </w:rPr>
            </w:pPr>
            <w:r>
              <w:rPr>
                <w:rFonts w:hint="eastAsia" w:cs="Times New Roman"/>
                <w:sz w:val="21"/>
                <w:szCs w:val="21"/>
              </w:rPr>
              <w:t>31.789989</w:t>
            </w:r>
          </w:p>
        </w:tc>
        <w:tc>
          <w:tcPr>
            <w:tcW w:w="1080" w:type="dxa"/>
            <w:noWrap/>
            <w:vAlign w:val="center"/>
          </w:tcPr>
          <w:p w14:paraId="7DD85B0B">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510CD523">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4663342D">
            <w:pPr>
              <w:spacing w:line="240" w:lineRule="auto"/>
              <w:ind w:firstLine="0" w:firstLineChars="0"/>
              <w:jc w:val="center"/>
              <w:rPr>
                <w:rFonts w:cs="Times New Roman"/>
                <w:sz w:val="21"/>
                <w:szCs w:val="21"/>
              </w:rPr>
            </w:pPr>
            <w:r>
              <w:rPr>
                <w:rFonts w:hint="eastAsia" w:cs="Times New Roman"/>
                <w:sz w:val="21"/>
                <w:szCs w:val="21"/>
              </w:rPr>
              <w:t>938</w:t>
            </w:r>
          </w:p>
        </w:tc>
        <w:tc>
          <w:tcPr>
            <w:tcW w:w="1168" w:type="dxa"/>
            <w:noWrap/>
            <w:vAlign w:val="center"/>
          </w:tcPr>
          <w:p w14:paraId="271BCBCD">
            <w:pPr>
              <w:spacing w:line="240" w:lineRule="auto"/>
              <w:ind w:firstLine="0" w:firstLineChars="0"/>
              <w:jc w:val="center"/>
              <w:rPr>
                <w:rFonts w:cs="Times New Roman"/>
                <w:sz w:val="21"/>
                <w:szCs w:val="21"/>
              </w:rPr>
            </w:pPr>
            <w:r>
              <w:rPr>
                <w:rFonts w:hint="eastAsia" w:cs="Times New Roman"/>
                <w:sz w:val="21"/>
                <w:szCs w:val="21"/>
              </w:rPr>
              <w:t>约150</w:t>
            </w:r>
          </w:p>
        </w:tc>
      </w:tr>
      <w:tr w14:paraId="1BFC5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F817DD4">
            <w:pPr>
              <w:pStyle w:val="39"/>
              <w:numPr>
                <w:ilvl w:val="0"/>
                <w:numId w:val="7"/>
              </w:numPr>
              <w:spacing w:line="240" w:lineRule="auto"/>
              <w:ind w:firstLineChars="0"/>
              <w:jc w:val="center"/>
              <w:rPr>
                <w:rFonts w:cs="Times New Roman"/>
                <w:sz w:val="21"/>
                <w:szCs w:val="21"/>
              </w:rPr>
            </w:pPr>
          </w:p>
        </w:tc>
        <w:tc>
          <w:tcPr>
            <w:tcW w:w="992" w:type="dxa"/>
            <w:noWrap/>
            <w:vAlign w:val="center"/>
          </w:tcPr>
          <w:p w14:paraId="6332206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5A2343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F88576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9872F37">
            <w:pPr>
              <w:spacing w:line="240" w:lineRule="auto"/>
              <w:ind w:firstLine="0" w:firstLineChars="0"/>
              <w:jc w:val="center"/>
              <w:rPr>
                <w:rFonts w:cs="Times New Roman"/>
                <w:sz w:val="21"/>
                <w:szCs w:val="21"/>
              </w:rPr>
            </w:pPr>
            <w:r>
              <w:rPr>
                <w:rFonts w:hint="eastAsia" w:cs="Times New Roman"/>
                <w:sz w:val="21"/>
                <w:szCs w:val="21"/>
              </w:rPr>
              <w:t>茅麓中心小学</w:t>
            </w:r>
          </w:p>
        </w:tc>
        <w:tc>
          <w:tcPr>
            <w:tcW w:w="1701" w:type="dxa"/>
            <w:noWrap/>
            <w:vAlign w:val="center"/>
          </w:tcPr>
          <w:p w14:paraId="644118AD">
            <w:pPr>
              <w:spacing w:line="240" w:lineRule="auto"/>
              <w:ind w:firstLine="0" w:firstLineChars="0"/>
              <w:jc w:val="center"/>
              <w:rPr>
                <w:rFonts w:cs="Times New Roman"/>
                <w:sz w:val="21"/>
                <w:szCs w:val="21"/>
              </w:rPr>
            </w:pPr>
            <w:r>
              <w:rPr>
                <w:rFonts w:hint="eastAsia" w:cs="Times New Roman"/>
                <w:sz w:val="21"/>
                <w:szCs w:val="21"/>
              </w:rPr>
              <w:t>119.395566</w:t>
            </w:r>
          </w:p>
        </w:tc>
        <w:tc>
          <w:tcPr>
            <w:tcW w:w="1690" w:type="dxa"/>
            <w:noWrap/>
            <w:vAlign w:val="center"/>
          </w:tcPr>
          <w:p w14:paraId="4C8AEACE">
            <w:pPr>
              <w:spacing w:line="240" w:lineRule="auto"/>
              <w:ind w:firstLine="0" w:firstLineChars="0"/>
              <w:jc w:val="center"/>
              <w:rPr>
                <w:rFonts w:cs="Times New Roman"/>
                <w:sz w:val="21"/>
                <w:szCs w:val="21"/>
              </w:rPr>
            </w:pPr>
            <w:r>
              <w:rPr>
                <w:rFonts w:hint="eastAsia" w:cs="Times New Roman"/>
                <w:sz w:val="21"/>
                <w:szCs w:val="21"/>
              </w:rPr>
              <w:t>31.79028</w:t>
            </w:r>
          </w:p>
        </w:tc>
        <w:tc>
          <w:tcPr>
            <w:tcW w:w="1080" w:type="dxa"/>
            <w:noWrap/>
            <w:vAlign w:val="center"/>
          </w:tcPr>
          <w:p w14:paraId="6A112392">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2959F97A">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4CC861A0">
            <w:pPr>
              <w:spacing w:line="240" w:lineRule="auto"/>
              <w:ind w:firstLine="0" w:firstLineChars="0"/>
              <w:jc w:val="center"/>
              <w:rPr>
                <w:rFonts w:cs="Times New Roman"/>
                <w:sz w:val="21"/>
                <w:szCs w:val="21"/>
              </w:rPr>
            </w:pPr>
            <w:r>
              <w:rPr>
                <w:rFonts w:hint="eastAsia" w:cs="Times New Roman"/>
                <w:sz w:val="21"/>
                <w:szCs w:val="21"/>
              </w:rPr>
              <w:t>1110</w:t>
            </w:r>
          </w:p>
        </w:tc>
        <w:tc>
          <w:tcPr>
            <w:tcW w:w="1168" w:type="dxa"/>
            <w:noWrap/>
            <w:vAlign w:val="center"/>
          </w:tcPr>
          <w:p w14:paraId="1B2C51CB">
            <w:pPr>
              <w:spacing w:line="240" w:lineRule="auto"/>
              <w:ind w:firstLine="0" w:firstLineChars="0"/>
              <w:jc w:val="center"/>
              <w:rPr>
                <w:rFonts w:cs="Times New Roman"/>
                <w:sz w:val="21"/>
                <w:szCs w:val="21"/>
              </w:rPr>
            </w:pPr>
            <w:r>
              <w:rPr>
                <w:rFonts w:hint="eastAsia" w:cs="Times New Roman"/>
                <w:sz w:val="21"/>
                <w:szCs w:val="21"/>
              </w:rPr>
              <w:t>约150</w:t>
            </w:r>
          </w:p>
        </w:tc>
      </w:tr>
      <w:tr w14:paraId="4C795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4D4229A">
            <w:pPr>
              <w:pStyle w:val="39"/>
              <w:numPr>
                <w:ilvl w:val="0"/>
                <w:numId w:val="7"/>
              </w:numPr>
              <w:spacing w:line="240" w:lineRule="auto"/>
              <w:ind w:firstLineChars="0"/>
              <w:jc w:val="center"/>
              <w:rPr>
                <w:rFonts w:cs="Times New Roman"/>
                <w:sz w:val="21"/>
                <w:szCs w:val="21"/>
              </w:rPr>
            </w:pPr>
          </w:p>
        </w:tc>
        <w:tc>
          <w:tcPr>
            <w:tcW w:w="992" w:type="dxa"/>
            <w:noWrap/>
            <w:vAlign w:val="center"/>
          </w:tcPr>
          <w:p w14:paraId="186151E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FCDD28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C23465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C7D963B">
            <w:pPr>
              <w:spacing w:line="240" w:lineRule="auto"/>
              <w:ind w:firstLine="0" w:firstLineChars="0"/>
              <w:jc w:val="center"/>
              <w:rPr>
                <w:rFonts w:cs="Times New Roman"/>
                <w:sz w:val="21"/>
                <w:szCs w:val="21"/>
              </w:rPr>
            </w:pPr>
            <w:r>
              <w:rPr>
                <w:rFonts w:hint="eastAsia" w:cs="Times New Roman"/>
                <w:sz w:val="21"/>
                <w:szCs w:val="21"/>
              </w:rPr>
              <w:t>石马村</w:t>
            </w:r>
          </w:p>
        </w:tc>
        <w:tc>
          <w:tcPr>
            <w:tcW w:w="1701" w:type="dxa"/>
            <w:noWrap/>
            <w:vAlign w:val="center"/>
          </w:tcPr>
          <w:p w14:paraId="3AB2A87F">
            <w:pPr>
              <w:spacing w:line="240" w:lineRule="auto"/>
              <w:ind w:firstLine="0" w:firstLineChars="0"/>
              <w:jc w:val="center"/>
              <w:rPr>
                <w:rFonts w:cs="Times New Roman"/>
                <w:sz w:val="21"/>
                <w:szCs w:val="21"/>
              </w:rPr>
            </w:pPr>
            <w:r>
              <w:rPr>
                <w:rFonts w:hint="eastAsia" w:cs="Times New Roman"/>
                <w:sz w:val="21"/>
                <w:szCs w:val="21"/>
              </w:rPr>
              <w:t>119.396113</w:t>
            </w:r>
          </w:p>
        </w:tc>
        <w:tc>
          <w:tcPr>
            <w:tcW w:w="1690" w:type="dxa"/>
            <w:noWrap/>
            <w:vAlign w:val="center"/>
          </w:tcPr>
          <w:p w14:paraId="0059397C">
            <w:pPr>
              <w:spacing w:line="240" w:lineRule="auto"/>
              <w:ind w:firstLine="0" w:firstLineChars="0"/>
              <w:jc w:val="center"/>
              <w:rPr>
                <w:rFonts w:cs="Times New Roman"/>
                <w:sz w:val="21"/>
                <w:szCs w:val="21"/>
              </w:rPr>
            </w:pPr>
            <w:r>
              <w:rPr>
                <w:rFonts w:hint="eastAsia" w:cs="Times New Roman"/>
                <w:sz w:val="21"/>
                <w:szCs w:val="21"/>
              </w:rPr>
              <w:t>31.787281</w:t>
            </w:r>
          </w:p>
        </w:tc>
        <w:tc>
          <w:tcPr>
            <w:tcW w:w="1080" w:type="dxa"/>
            <w:noWrap/>
            <w:vAlign w:val="center"/>
          </w:tcPr>
          <w:p w14:paraId="6A36D83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54AE275">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0B9F0DF7">
            <w:pPr>
              <w:spacing w:line="240" w:lineRule="auto"/>
              <w:ind w:firstLine="0" w:firstLineChars="0"/>
              <w:jc w:val="center"/>
              <w:rPr>
                <w:rFonts w:cs="Times New Roman"/>
                <w:sz w:val="21"/>
                <w:szCs w:val="21"/>
              </w:rPr>
            </w:pPr>
            <w:r>
              <w:rPr>
                <w:rFonts w:hint="eastAsia" w:cs="Times New Roman"/>
                <w:sz w:val="21"/>
                <w:szCs w:val="21"/>
              </w:rPr>
              <w:t>1150</w:t>
            </w:r>
          </w:p>
        </w:tc>
        <w:tc>
          <w:tcPr>
            <w:tcW w:w="1168" w:type="dxa"/>
            <w:noWrap/>
            <w:vAlign w:val="center"/>
          </w:tcPr>
          <w:p w14:paraId="4F8A839E">
            <w:pPr>
              <w:spacing w:line="240" w:lineRule="auto"/>
              <w:ind w:firstLine="0" w:firstLineChars="0"/>
              <w:jc w:val="center"/>
              <w:rPr>
                <w:rFonts w:cs="Times New Roman"/>
                <w:sz w:val="21"/>
                <w:szCs w:val="21"/>
              </w:rPr>
            </w:pPr>
            <w:r>
              <w:rPr>
                <w:rFonts w:hint="eastAsia" w:cs="Times New Roman"/>
                <w:sz w:val="21"/>
                <w:szCs w:val="21"/>
              </w:rPr>
              <w:t>约120</w:t>
            </w:r>
          </w:p>
        </w:tc>
      </w:tr>
      <w:tr w14:paraId="05E13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D155343">
            <w:pPr>
              <w:pStyle w:val="39"/>
              <w:numPr>
                <w:ilvl w:val="0"/>
                <w:numId w:val="7"/>
              </w:numPr>
              <w:spacing w:line="240" w:lineRule="auto"/>
              <w:ind w:firstLineChars="0"/>
              <w:jc w:val="center"/>
              <w:rPr>
                <w:rFonts w:cs="Times New Roman"/>
                <w:sz w:val="21"/>
                <w:szCs w:val="21"/>
              </w:rPr>
            </w:pPr>
          </w:p>
        </w:tc>
        <w:tc>
          <w:tcPr>
            <w:tcW w:w="992" w:type="dxa"/>
            <w:noWrap/>
            <w:vAlign w:val="center"/>
          </w:tcPr>
          <w:p w14:paraId="17E99B5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D21C63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92C64F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F8A247E">
            <w:pPr>
              <w:spacing w:line="240" w:lineRule="auto"/>
              <w:ind w:firstLine="0" w:firstLineChars="0"/>
              <w:jc w:val="center"/>
              <w:rPr>
                <w:rFonts w:cs="Times New Roman"/>
                <w:sz w:val="21"/>
                <w:szCs w:val="21"/>
              </w:rPr>
            </w:pPr>
            <w:r>
              <w:rPr>
                <w:rFonts w:hint="eastAsia" w:cs="Times New Roman"/>
                <w:sz w:val="21"/>
                <w:szCs w:val="21"/>
              </w:rPr>
              <w:t>下庄</w:t>
            </w:r>
          </w:p>
        </w:tc>
        <w:tc>
          <w:tcPr>
            <w:tcW w:w="1701" w:type="dxa"/>
            <w:noWrap/>
            <w:vAlign w:val="center"/>
          </w:tcPr>
          <w:p w14:paraId="45A3D122">
            <w:pPr>
              <w:spacing w:line="240" w:lineRule="auto"/>
              <w:ind w:firstLine="0" w:firstLineChars="0"/>
              <w:jc w:val="center"/>
              <w:rPr>
                <w:rFonts w:cs="Times New Roman"/>
                <w:sz w:val="21"/>
                <w:szCs w:val="21"/>
              </w:rPr>
            </w:pPr>
            <w:r>
              <w:rPr>
                <w:rFonts w:hint="eastAsia" w:cs="Times New Roman"/>
                <w:sz w:val="21"/>
                <w:szCs w:val="21"/>
              </w:rPr>
              <w:t>119.380314</w:t>
            </w:r>
          </w:p>
        </w:tc>
        <w:tc>
          <w:tcPr>
            <w:tcW w:w="1690" w:type="dxa"/>
            <w:noWrap/>
            <w:vAlign w:val="center"/>
          </w:tcPr>
          <w:p w14:paraId="4498E84F">
            <w:pPr>
              <w:spacing w:line="240" w:lineRule="auto"/>
              <w:ind w:firstLine="0" w:firstLineChars="0"/>
              <w:jc w:val="center"/>
              <w:rPr>
                <w:rFonts w:cs="Times New Roman"/>
                <w:sz w:val="21"/>
                <w:szCs w:val="21"/>
              </w:rPr>
            </w:pPr>
            <w:r>
              <w:rPr>
                <w:rFonts w:hint="eastAsia" w:cs="Times New Roman"/>
                <w:sz w:val="21"/>
                <w:szCs w:val="21"/>
              </w:rPr>
              <w:t>31.722942</w:t>
            </w:r>
          </w:p>
        </w:tc>
        <w:tc>
          <w:tcPr>
            <w:tcW w:w="1080" w:type="dxa"/>
            <w:noWrap/>
            <w:vAlign w:val="center"/>
          </w:tcPr>
          <w:p w14:paraId="3ED3911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774E9F0">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113D989C">
            <w:pPr>
              <w:spacing w:line="240" w:lineRule="auto"/>
              <w:ind w:firstLine="0" w:firstLineChars="0"/>
              <w:jc w:val="center"/>
              <w:rPr>
                <w:rFonts w:cs="Times New Roman"/>
                <w:sz w:val="21"/>
                <w:szCs w:val="21"/>
              </w:rPr>
            </w:pPr>
            <w:r>
              <w:rPr>
                <w:rFonts w:hint="eastAsia" w:cs="Times New Roman"/>
                <w:sz w:val="21"/>
                <w:szCs w:val="21"/>
              </w:rPr>
              <w:t>1070</w:t>
            </w:r>
          </w:p>
        </w:tc>
        <w:tc>
          <w:tcPr>
            <w:tcW w:w="1168" w:type="dxa"/>
            <w:noWrap/>
            <w:vAlign w:val="center"/>
          </w:tcPr>
          <w:p w14:paraId="56ECCC3E">
            <w:pPr>
              <w:spacing w:line="240" w:lineRule="auto"/>
              <w:ind w:firstLine="0" w:firstLineChars="0"/>
              <w:jc w:val="center"/>
              <w:rPr>
                <w:rFonts w:cs="Times New Roman"/>
                <w:sz w:val="21"/>
                <w:szCs w:val="21"/>
              </w:rPr>
            </w:pPr>
            <w:r>
              <w:rPr>
                <w:rFonts w:hint="eastAsia" w:cs="Times New Roman"/>
                <w:sz w:val="21"/>
                <w:szCs w:val="21"/>
              </w:rPr>
              <w:t>约300</w:t>
            </w:r>
          </w:p>
        </w:tc>
      </w:tr>
      <w:tr w14:paraId="7E0E4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853B27E">
            <w:pPr>
              <w:pStyle w:val="39"/>
              <w:numPr>
                <w:ilvl w:val="0"/>
                <w:numId w:val="7"/>
              </w:numPr>
              <w:spacing w:line="240" w:lineRule="auto"/>
              <w:ind w:firstLineChars="0"/>
              <w:jc w:val="center"/>
              <w:rPr>
                <w:rFonts w:cs="Times New Roman"/>
                <w:sz w:val="21"/>
                <w:szCs w:val="21"/>
              </w:rPr>
            </w:pPr>
          </w:p>
        </w:tc>
        <w:tc>
          <w:tcPr>
            <w:tcW w:w="992" w:type="dxa"/>
            <w:noWrap/>
            <w:vAlign w:val="center"/>
          </w:tcPr>
          <w:p w14:paraId="6C94832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E6D4CD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5784A7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9C7B791">
            <w:pPr>
              <w:spacing w:line="240" w:lineRule="auto"/>
              <w:ind w:firstLine="0" w:firstLineChars="0"/>
              <w:jc w:val="center"/>
              <w:rPr>
                <w:rFonts w:cs="Times New Roman"/>
                <w:sz w:val="21"/>
                <w:szCs w:val="21"/>
              </w:rPr>
            </w:pPr>
            <w:r>
              <w:rPr>
                <w:rFonts w:hint="eastAsia" w:cs="Times New Roman"/>
                <w:sz w:val="21"/>
                <w:szCs w:val="21"/>
              </w:rPr>
              <w:t>破塘坝</w:t>
            </w:r>
          </w:p>
        </w:tc>
        <w:tc>
          <w:tcPr>
            <w:tcW w:w="1701" w:type="dxa"/>
            <w:noWrap/>
            <w:vAlign w:val="center"/>
          </w:tcPr>
          <w:p w14:paraId="0A9EA7D1">
            <w:pPr>
              <w:spacing w:line="240" w:lineRule="auto"/>
              <w:ind w:firstLine="0" w:firstLineChars="0"/>
              <w:jc w:val="center"/>
              <w:rPr>
                <w:rFonts w:cs="Times New Roman"/>
                <w:sz w:val="21"/>
                <w:szCs w:val="21"/>
              </w:rPr>
            </w:pPr>
            <w:r>
              <w:rPr>
                <w:rFonts w:hint="eastAsia" w:cs="Times New Roman"/>
                <w:sz w:val="21"/>
                <w:szCs w:val="21"/>
              </w:rPr>
              <w:t>119.353316</w:t>
            </w:r>
          </w:p>
        </w:tc>
        <w:tc>
          <w:tcPr>
            <w:tcW w:w="1690" w:type="dxa"/>
            <w:noWrap/>
            <w:vAlign w:val="center"/>
          </w:tcPr>
          <w:p w14:paraId="5CE874EE">
            <w:pPr>
              <w:spacing w:line="240" w:lineRule="auto"/>
              <w:ind w:firstLine="0" w:firstLineChars="0"/>
              <w:jc w:val="center"/>
              <w:rPr>
                <w:rFonts w:cs="Times New Roman"/>
                <w:sz w:val="21"/>
                <w:szCs w:val="21"/>
              </w:rPr>
            </w:pPr>
            <w:r>
              <w:rPr>
                <w:rFonts w:hint="eastAsia" w:cs="Times New Roman"/>
                <w:sz w:val="21"/>
                <w:szCs w:val="21"/>
              </w:rPr>
              <w:t>31.701481</w:t>
            </w:r>
          </w:p>
        </w:tc>
        <w:tc>
          <w:tcPr>
            <w:tcW w:w="1080" w:type="dxa"/>
            <w:noWrap/>
            <w:vAlign w:val="center"/>
          </w:tcPr>
          <w:p w14:paraId="36F6617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5DFCD47">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11CCB253">
            <w:pPr>
              <w:spacing w:line="240" w:lineRule="auto"/>
              <w:ind w:firstLine="0" w:firstLineChars="0"/>
              <w:jc w:val="center"/>
              <w:rPr>
                <w:rFonts w:cs="Times New Roman"/>
                <w:sz w:val="21"/>
                <w:szCs w:val="21"/>
              </w:rPr>
            </w:pPr>
            <w:r>
              <w:rPr>
                <w:rFonts w:hint="eastAsia" w:cs="Times New Roman"/>
                <w:sz w:val="21"/>
                <w:szCs w:val="21"/>
              </w:rPr>
              <w:t>853</w:t>
            </w:r>
          </w:p>
        </w:tc>
        <w:tc>
          <w:tcPr>
            <w:tcW w:w="1168" w:type="dxa"/>
            <w:noWrap/>
            <w:vAlign w:val="center"/>
          </w:tcPr>
          <w:p w14:paraId="4564609A">
            <w:pPr>
              <w:spacing w:line="240" w:lineRule="auto"/>
              <w:ind w:firstLine="0" w:firstLineChars="0"/>
              <w:jc w:val="center"/>
              <w:rPr>
                <w:rFonts w:cs="Times New Roman"/>
                <w:sz w:val="21"/>
                <w:szCs w:val="21"/>
              </w:rPr>
            </w:pPr>
            <w:r>
              <w:rPr>
                <w:rFonts w:hint="eastAsia" w:cs="Times New Roman"/>
                <w:sz w:val="21"/>
                <w:szCs w:val="21"/>
              </w:rPr>
              <w:t>约50</w:t>
            </w:r>
          </w:p>
        </w:tc>
      </w:tr>
      <w:tr w14:paraId="15AEC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2480E32">
            <w:pPr>
              <w:pStyle w:val="39"/>
              <w:numPr>
                <w:ilvl w:val="0"/>
                <w:numId w:val="7"/>
              </w:numPr>
              <w:spacing w:line="240" w:lineRule="auto"/>
              <w:ind w:firstLineChars="0"/>
              <w:jc w:val="center"/>
              <w:rPr>
                <w:rFonts w:cs="Times New Roman"/>
                <w:sz w:val="21"/>
                <w:szCs w:val="21"/>
              </w:rPr>
            </w:pPr>
          </w:p>
        </w:tc>
        <w:tc>
          <w:tcPr>
            <w:tcW w:w="992" w:type="dxa"/>
            <w:noWrap/>
            <w:vAlign w:val="center"/>
          </w:tcPr>
          <w:p w14:paraId="5650350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55C61D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595313A">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102EA12">
            <w:pPr>
              <w:spacing w:line="240" w:lineRule="auto"/>
              <w:ind w:firstLine="0" w:firstLineChars="0"/>
              <w:jc w:val="center"/>
              <w:rPr>
                <w:rFonts w:cs="Times New Roman"/>
                <w:sz w:val="21"/>
                <w:szCs w:val="21"/>
              </w:rPr>
            </w:pPr>
            <w:r>
              <w:rPr>
                <w:rFonts w:hint="eastAsia" w:cs="Times New Roman"/>
                <w:sz w:val="21"/>
                <w:szCs w:val="21"/>
              </w:rPr>
              <w:t>大庄村</w:t>
            </w:r>
          </w:p>
        </w:tc>
        <w:tc>
          <w:tcPr>
            <w:tcW w:w="1701" w:type="dxa"/>
            <w:noWrap/>
            <w:vAlign w:val="center"/>
          </w:tcPr>
          <w:p w14:paraId="3224AD76">
            <w:pPr>
              <w:spacing w:line="240" w:lineRule="auto"/>
              <w:ind w:firstLine="0" w:firstLineChars="0"/>
              <w:jc w:val="center"/>
              <w:rPr>
                <w:rFonts w:cs="Times New Roman"/>
                <w:sz w:val="21"/>
                <w:szCs w:val="21"/>
              </w:rPr>
            </w:pPr>
            <w:r>
              <w:rPr>
                <w:rFonts w:hint="eastAsia" w:cs="Times New Roman"/>
                <w:sz w:val="21"/>
                <w:szCs w:val="21"/>
              </w:rPr>
              <w:t>119.362694</w:t>
            </w:r>
          </w:p>
        </w:tc>
        <w:tc>
          <w:tcPr>
            <w:tcW w:w="1690" w:type="dxa"/>
            <w:noWrap/>
            <w:vAlign w:val="center"/>
          </w:tcPr>
          <w:p w14:paraId="7D6A08FE">
            <w:pPr>
              <w:spacing w:line="240" w:lineRule="auto"/>
              <w:ind w:firstLine="0" w:firstLineChars="0"/>
              <w:jc w:val="center"/>
              <w:rPr>
                <w:rFonts w:cs="Times New Roman"/>
                <w:sz w:val="21"/>
                <w:szCs w:val="21"/>
              </w:rPr>
            </w:pPr>
            <w:r>
              <w:rPr>
                <w:rFonts w:hint="eastAsia" w:cs="Times New Roman"/>
                <w:sz w:val="21"/>
                <w:szCs w:val="21"/>
              </w:rPr>
              <w:t>31.704191</w:t>
            </w:r>
          </w:p>
        </w:tc>
        <w:tc>
          <w:tcPr>
            <w:tcW w:w="1080" w:type="dxa"/>
            <w:noWrap/>
            <w:vAlign w:val="center"/>
          </w:tcPr>
          <w:p w14:paraId="02C474F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F72A6B0">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075CAB91">
            <w:pPr>
              <w:spacing w:line="240" w:lineRule="auto"/>
              <w:ind w:firstLine="0" w:firstLineChars="0"/>
              <w:jc w:val="center"/>
              <w:rPr>
                <w:rFonts w:cs="Times New Roman"/>
                <w:sz w:val="21"/>
                <w:szCs w:val="21"/>
              </w:rPr>
            </w:pPr>
            <w:r>
              <w:rPr>
                <w:rFonts w:hint="eastAsia" w:cs="Times New Roman"/>
                <w:sz w:val="21"/>
                <w:szCs w:val="21"/>
              </w:rPr>
              <w:t>1670</w:t>
            </w:r>
          </w:p>
        </w:tc>
        <w:tc>
          <w:tcPr>
            <w:tcW w:w="1168" w:type="dxa"/>
            <w:noWrap/>
            <w:vAlign w:val="center"/>
          </w:tcPr>
          <w:p w14:paraId="4DA04681">
            <w:pPr>
              <w:spacing w:line="240" w:lineRule="auto"/>
              <w:ind w:firstLine="0" w:firstLineChars="0"/>
              <w:jc w:val="center"/>
              <w:rPr>
                <w:rFonts w:cs="Times New Roman"/>
                <w:sz w:val="21"/>
                <w:szCs w:val="21"/>
              </w:rPr>
            </w:pPr>
            <w:r>
              <w:rPr>
                <w:rFonts w:hint="eastAsia" w:cs="Times New Roman"/>
                <w:sz w:val="21"/>
                <w:szCs w:val="21"/>
              </w:rPr>
              <w:t>约50</w:t>
            </w:r>
          </w:p>
        </w:tc>
      </w:tr>
      <w:tr w14:paraId="5264A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C164FC1">
            <w:pPr>
              <w:pStyle w:val="39"/>
              <w:numPr>
                <w:ilvl w:val="0"/>
                <w:numId w:val="7"/>
              </w:numPr>
              <w:spacing w:line="240" w:lineRule="auto"/>
              <w:ind w:firstLineChars="0"/>
              <w:jc w:val="center"/>
              <w:rPr>
                <w:rFonts w:cs="Times New Roman"/>
                <w:sz w:val="21"/>
                <w:szCs w:val="21"/>
              </w:rPr>
            </w:pPr>
          </w:p>
        </w:tc>
        <w:tc>
          <w:tcPr>
            <w:tcW w:w="992" w:type="dxa"/>
            <w:noWrap/>
            <w:vAlign w:val="center"/>
          </w:tcPr>
          <w:p w14:paraId="20B63BC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C2BD9A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3E8D9D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7F54D40">
            <w:pPr>
              <w:spacing w:line="240" w:lineRule="auto"/>
              <w:ind w:firstLine="0" w:firstLineChars="0"/>
              <w:jc w:val="center"/>
              <w:rPr>
                <w:rFonts w:cs="Times New Roman"/>
                <w:sz w:val="21"/>
                <w:szCs w:val="21"/>
              </w:rPr>
            </w:pPr>
            <w:r>
              <w:rPr>
                <w:rFonts w:hint="eastAsia" w:cs="Times New Roman"/>
                <w:sz w:val="21"/>
                <w:szCs w:val="21"/>
              </w:rPr>
              <w:t>井头</w:t>
            </w:r>
          </w:p>
        </w:tc>
        <w:tc>
          <w:tcPr>
            <w:tcW w:w="1701" w:type="dxa"/>
            <w:noWrap/>
            <w:vAlign w:val="center"/>
          </w:tcPr>
          <w:p w14:paraId="6F507372">
            <w:pPr>
              <w:spacing w:line="240" w:lineRule="auto"/>
              <w:ind w:firstLine="0" w:firstLineChars="0"/>
              <w:jc w:val="center"/>
              <w:rPr>
                <w:rFonts w:cs="Times New Roman"/>
                <w:sz w:val="21"/>
                <w:szCs w:val="21"/>
              </w:rPr>
            </w:pPr>
            <w:r>
              <w:rPr>
                <w:rFonts w:hint="eastAsia" w:cs="Times New Roman"/>
                <w:sz w:val="21"/>
                <w:szCs w:val="21"/>
              </w:rPr>
              <w:t>119.357537</w:t>
            </w:r>
          </w:p>
        </w:tc>
        <w:tc>
          <w:tcPr>
            <w:tcW w:w="1690" w:type="dxa"/>
            <w:noWrap/>
            <w:vAlign w:val="center"/>
          </w:tcPr>
          <w:p w14:paraId="3AFC3F53">
            <w:pPr>
              <w:spacing w:line="240" w:lineRule="auto"/>
              <w:ind w:firstLine="0" w:firstLineChars="0"/>
              <w:jc w:val="center"/>
              <w:rPr>
                <w:rFonts w:cs="Times New Roman"/>
                <w:sz w:val="21"/>
                <w:szCs w:val="21"/>
              </w:rPr>
            </w:pPr>
            <w:r>
              <w:rPr>
                <w:rFonts w:hint="eastAsia" w:cs="Times New Roman"/>
                <w:sz w:val="21"/>
                <w:szCs w:val="21"/>
              </w:rPr>
              <w:t>31.708633</w:t>
            </w:r>
          </w:p>
        </w:tc>
        <w:tc>
          <w:tcPr>
            <w:tcW w:w="1080" w:type="dxa"/>
            <w:noWrap/>
            <w:vAlign w:val="center"/>
          </w:tcPr>
          <w:p w14:paraId="4727D70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E2CA158">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C37BBA8">
            <w:pPr>
              <w:spacing w:line="240" w:lineRule="auto"/>
              <w:ind w:firstLine="0" w:firstLineChars="0"/>
              <w:jc w:val="center"/>
              <w:rPr>
                <w:rFonts w:cs="Times New Roman"/>
                <w:sz w:val="21"/>
                <w:szCs w:val="21"/>
              </w:rPr>
            </w:pPr>
            <w:r>
              <w:rPr>
                <w:rFonts w:hint="eastAsia" w:cs="Times New Roman"/>
                <w:sz w:val="21"/>
                <w:szCs w:val="21"/>
              </w:rPr>
              <w:t>1300</w:t>
            </w:r>
          </w:p>
        </w:tc>
        <w:tc>
          <w:tcPr>
            <w:tcW w:w="1168" w:type="dxa"/>
            <w:noWrap/>
            <w:vAlign w:val="center"/>
          </w:tcPr>
          <w:p w14:paraId="18C2D382">
            <w:pPr>
              <w:spacing w:line="240" w:lineRule="auto"/>
              <w:ind w:firstLine="0" w:firstLineChars="0"/>
              <w:jc w:val="center"/>
              <w:rPr>
                <w:rFonts w:cs="Times New Roman"/>
                <w:sz w:val="21"/>
                <w:szCs w:val="21"/>
              </w:rPr>
            </w:pPr>
            <w:r>
              <w:rPr>
                <w:rFonts w:hint="eastAsia" w:cs="Times New Roman"/>
                <w:sz w:val="21"/>
                <w:szCs w:val="21"/>
              </w:rPr>
              <w:t>约20</w:t>
            </w:r>
          </w:p>
        </w:tc>
      </w:tr>
      <w:tr w14:paraId="08D84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70FD666">
            <w:pPr>
              <w:pStyle w:val="39"/>
              <w:numPr>
                <w:ilvl w:val="0"/>
                <w:numId w:val="7"/>
              </w:numPr>
              <w:spacing w:line="240" w:lineRule="auto"/>
              <w:ind w:firstLineChars="0"/>
              <w:jc w:val="center"/>
              <w:rPr>
                <w:rFonts w:cs="Times New Roman"/>
                <w:sz w:val="21"/>
                <w:szCs w:val="21"/>
              </w:rPr>
            </w:pPr>
          </w:p>
        </w:tc>
        <w:tc>
          <w:tcPr>
            <w:tcW w:w="992" w:type="dxa"/>
            <w:noWrap/>
            <w:vAlign w:val="center"/>
          </w:tcPr>
          <w:p w14:paraId="04993E2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E7F35E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C08A5B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E6E4C3B">
            <w:pPr>
              <w:spacing w:line="240" w:lineRule="auto"/>
              <w:ind w:firstLine="0" w:firstLineChars="0"/>
              <w:jc w:val="center"/>
              <w:rPr>
                <w:rFonts w:cs="Times New Roman"/>
                <w:sz w:val="21"/>
                <w:szCs w:val="21"/>
              </w:rPr>
            </w:pPr>
            <w:r>
              <w:rPr>
                <w:rFonts w:hint="eastAsia" w:cs="Times New Roman"/>
                <w:sz w:val="21"/>
                <w:szCs w:val="21"/>
              </w:rPr>
              <w:t>王笪里</w:t>
            </w:r>
          </w:p>
        </w:tc>
        <w:tc>
          <w:tcPr>
            <w:tcW w:w="1701" w:type="dxa"/>
            <w:noWrap/>
            <w:vAlign w:val="center"/>
          </w:tcPr>
          <w:p w14:paraId="4026C9E1">
            <w:pPr>
              <w:spacing w:line="240" w:lineRule="auto"/>
              <w:ind w:firstLine="0" w:firstLineChars="0"/>
              <w:jc w:val="center"/>
              <w:rPr>
                <w:rFonts w:cs="Times New Roman"/>
                <w:sz w:val="21"/>
                <w:szCs w:val="21"/>
              </w:rPr>
            </w:pPr>
            <w:r>
              <w:rPr>
                <w:rFonts w:hint="eastAsia" w:cs="Times New Roman"/>
                <w:sz w:val="21"/>
                <w:szCs w:val="21"/>
              </w:rPr>
              <w:t>119.401694</w:t>
            </w:r>
          </w:p>
        </w:tc>
        <w:tc>
          <w:tcPr>
            <w:tcW w:w="1690" w:type="dxa"/>
            <w:noWrap/>
            <w:vAlign w:val="center"/>
          </w:tcPr>
          <w:p w14:paraId="74B5EEC4">
            <w:pPr>
              <w:spacing w:line="240" w:lineRule="auto"/>
              <w:ind w:firstLine="0" w:firstLineChars="0"/>
              <w:jc w:val="center"/>
              <w:rPr>
                <w:rFonts w:cs="Times New Roman"/>
                <w:sz w:val="21"/>
                <w:szCs w:val="21"/>
              </w:rPr>
            </w:pPr>
            <w:r>
              <w:rPr>
                <w:rFonts w:hint="eastAsia" w:cs="Times New Roman"/>
                <w:sz w:val="21"/>
                <w:szCs w:val="21"/>
              </w:rPr>
              <w:t>31.666504</w:t>
            </w:r>
          </w:p>
        </w:tc>
        <w:tc>
          <w:tcPr>
            <w:tcW w:w="1080" w:type="dxa"/>
            <w:noWrap/>
            <w:vAlign w:val="center"/>
          </w:tcPr>
          <w:p w14:paraId="396D464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3AA8DBC">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027742B">
            <w:pPr>
              <w:spacing w:line="240" w:lineRule="auto"/>
              <w:ind w:firstLine="0" w:firstLineChars="0"/>
              <w:jc w:val="center"/>
              <w:rPr>
                <w:rFonts w:cs="Times New Roman"/>
                <w:sz w:val="21"/>
                <w:szCs w:val="21"/>
              </w:rPr>
            </w:pPr>
            <w:r>
              <w:rPr>
                <w:rFonts w:hint="eastAsia" w:cs="Times New Roman"/>
                <w:sz w:val="21"/>
                <w:szCs w:val="21"/>
              </w:rPr>
              <w:t>253</w:t>
            </w:r>
          </w:p>
        </w:tc>
        <w:tc>
          <w:tcPr>
            <w:tcW w:w="1168" w:type="dxa"/>
            <w:noWrap/>
            <w:vAlign w:val="center"/>
          </w:tcPr>
          <w:p w14:paraId="1EC79F1C">
            <w:pPr>
              <w:spacing w:line="240" w:lineRule="auto"/>
              <w:ind w:firstLine="0" w:firstLineChars="0"/>
              <w:jc w:val="center"/>
              <w:rPr>
                <w:rFonts w:cs="Times New Roman"/>
                <w:sz w:val="21"/>
                <w:szCs w:val="21"/>
              </w:rPr>
            </w:pPr>
            <w:r>
              <w:rPr>
                <w:rFonts w:hint="eastAsia" w:cs="Times New Roman"/>
                <w:sz w:val="21"/>
                <w:szCs w:val="21"/>
              </w:rPr>
              <w:t>约100</w:t>
            </w:r>
          </w:p>
        </w:tc>
      </w:tr>
      <w:tr w14:paraId="11395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8C4C120">
            <w:pPr>
              <w:pStyle w:val="39"/>
              <w:numPr>
                <w:ilvl w:val="0"/>
                <w:numId w:val="7"/>
              </w:numPr>
              <w:spacing w:line="240" w:lineRule="auto"/>
              <w:ind w:firstLineChars="0"/>
              <w:jc w:val="center"/>
              <w:rPr>
                <w:rFonts w:cs="Times New Roman"/>
                <w:sz w:val="21"/>
                <w:szCs w:val="21"/>
              </w:rPr>
            </w:pPr>
          </w:p>
        </w:tc>
        <w:tc>
          <w:tcPr>
            <w:tcW w:w="992" w:type="dxa"/>
            <w:noWrap/>
            <w:vAlign w:val="center"/>
          </w:tcPr>
          <w:p w14:paraId="1DAAAC7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A20910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9FE5AA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50613A6">
            <w:pPr>
              <w:spacing w:line="240" w:lineRule="auto"/>
              <w:ind w:firstLine="0" w:firstLineChars="0"/>
              <w:jc w:val="center"/>
              <w:rPr>
                <w:rFonts w:cs="Times New Roman"/>
                <w:sz w:val="21"/>
                <w:szCs w:val="21"/>
              </w:rPr>
            </w:pPr>
            <w:r>
              <w:rPr>
                <w:rFonts w:hint="eastAsia" w:cs="Times New Roman"/>
                <w:sz w:val="21"/>
                <w:szCs w:val="21"/>
              </w:rPr>
              <w:t>宫林村</w:t>
            </w:r>
          </w:p>
        </w:tc>
        <w:tc>
          <w:tcPr>
            <w:tcW w:w="1701" w:type="dxa"/>
            <w:noWrap/>
            <w:vAlign w:val="center"/>
          </w:tcPr>
          <w:p w14:paraId="0D9947A8">
            <w:pPr>
              <w:spacing w:line="240" w:lineRule="auto"/>
              <w:ind w:firstLine="0" w:firstLineChars="0"/>
              <w:jc w:val="center"/>
              <w:rPr>
                <w:rFonts w:cs="Times New Roman"/>
                <w:sz w:val="21"/>
                <w:szCs w:val="21"/>
              </w:rPr>
            </w:pPr>
            <w:r>
              <w:rPr>
                <w:rFonts w:hint="eastAsia" w:cs="Times New Roman"/>
                <w:sz w:val="21"/>
                <w:szCs w:val="21"/>
              </w:rPr>
              <w:t>119.403101</w:t>
            </w:r>
          </w:p>
        </w:tc>
        <w:tc>
          <w:tcPr>
            <w:tcW w:w="1690" w:type="dxa"/>
            <w:noWrap/>
            <w:vAlign w:val="center"/>
          </w:tcPr>
          <w:p w14:paraId="7808FD87">
            <w:pPr>
              <w:spacing w:line="240" w:lineRule="auto"/>
              <w:ind w:firstLine="0" w:firstLineChars="0"/>
              <w:jc w:val="center"/>
              <w:rPr>
                <w:rFonts w:cs="Times New Roman"/>
                <w:sz w:val="21"/>
                <w:szCs w:val="21"/>
              </w:rPr>
            </w:pPr>
            <w:r>
              <w:rPr>
                <w:rFonts w:hint="eastAsia" w:cs="Times New Roman"/>
                <w:sz w:val="21"/>
                <w:szCs w:val="21"/>
              </w:rPr>
              <w:t>31.668707</w:t>
            </w:r>
          </w:p>
        </w:tc>
        <w:tc>
          <w:tcPr>
            <w:tcW w:w="1080" w:type="dxa"/>
            <w:noWrap/>
            <w:vAlign w:val="center"/>
          </w:tcPr>
          <w:p w14:paraId="0933211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57B61DA">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0B24ADBE">
            <w:pPr>
              <w:spacing w:line="240" w:lineRule="auto"/>
              <w:ind w:firstLine="0" w:firstLineChars="0"/>
              <w:jc w:val="center"/>
              <w:rPr>
                <w:rFonts w:cs="Times New Roman"/>
                <w:sz w:val="21"/>
                <w:szCs w:val="21"/>
              </w:rPr>
            </w:pPr>
            <w:r>
              <w:rPr>
                <w:rFonts w:hint="eastAsia" w:cs="Times New Roman"/>
                <w:sz w:val="21"/>
                <w:szCs w:val="21"/>
              </w:rPr>
              <w:t>528</w:t>
            </w:r>
          </w:p>
        </w:tc>
        <w:tc>
          <w:tcPr>
            <w:tcW w:w="1168" w:type="dxa"/>
            <w:noWrap/>
            <w:vAlign w:val="center"/>
          </w:tcPr>
          <w:p w14:paraId="69D37C28">
            <w:pPr>
              <w:spacing w:line="240" w:lineRule="auto"/>
              <w:ind w:firstLine="0" w:firstLineChars="0"/>
              <w:jc w:val="center"/>
              <w:rPr>
                <w:rFonts w:cs="Times New Roman"/>
                <w:sz w:val="21"/>
                <w:szCs w:val="21"/>
              </w:rPr>
            </w:pPr>
            <w:r>
              <w:rPr>
                <w:rFonts w:hint="eastAsia" w:cs="Times New Roman"/>
                <w:sz w:val="21"/>
                <w:szCs w:val="21"/>
              </w:rPr>
              <w:t>约70</w:t>
            </w:r>
          </w:p>
        </w:tc>
      </w:tr>
      <w:tr w14:paraId="32EEC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E50165E">
            <w:pPr>
              <w:pStyle w:val="39"/>
              <w:numPr>
                <w:ilvl w:val="0"/>
                <w:numId w:val="7"/>
              </w:numPr>
              <w:spacing w:line="240" w:lineRule="auto"/>
              <w:ind w:firstLineChars="0"/>
              <w:jc w:val="center"/>
              <w:rPr>
                <w:rFonts w:cs="Times New Roman"/>
                <w:sz w:val="21"/>
                <w:szCs w:val="21"/>
              </w:rPr>
            </w:pPr>
          </w:p>
        </w:tc>
        <w:tc>
          <w:tcPr>
            <w:tcW w:w="992" w:type="dxa"/>
            <w:noWrap/>
            <w:vAlign w:val="center"/>
          </w:tcPr>
          <w:p w14:paraId="522D6E1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379722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0CE6D1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CA0DBE1">
            <w:pPr>
              <w:spacing w:line="240" w:lineRule="auto"/>
              <w:ind w:firstLine="0" w:firstLineChars="0"/>
              <w:jc w:val="center"/>
              <w:rPr>
                <w:rFonts w:cs="Times New Roman"/>
                <w:sz w:val="21"/>
                <w:szCs w:val="21"/>
              </w:rPr>
            </w:pPr>
            <w:r>
              <w:rPr>
                <w:rFonts w:hint="eastAsia" w:cs="Times New Roman"/>
                <w:sz w:val="21"/>
                <w:szCs w:val="21"/>
              </w:rPr>
              <w:t>周巷</w:t>
            </w:r>
          </w:p>
        </w:tc>
        <w:tc>
          <w:tcPr>
            <w:tcW w:w="1701" w:type="dxa"/>
            <w:noWrap/>
            <w:vAlign w:val="center"/>
          </w:tcPr>
          <w:p w14:paraId="089F2FDB">
            <w:pPr>
              <w:spacing w:line="240" w:lineRule="auto"/>
              <w:ind w:firstLine="0" w:firstLineChars="0"/>
              <w:jc w:val="center"/>
              <w:rPr>
                <w:rFonts w:cs="Times New Roman"/>
                <w:sz w:val="21"/>
                <w:szCs w:val="21"/>
              </w:rPr>
            </w:pPr>
            <w:r>
              <w:rPr>
                <w:rFonts w:hint="eastAsia" w:cs="Times New Roman"/>
                <w:sz w:val="21"/>
                <w:szCs w:val="21"/>
              </w:rPr>
              <w:t>119.400738</w:t>
            </w:r>
          </w:p>
        </w:tc>
        <w:tc>
          <w:tcPr>
            <w:tcW w:w="1690" w:type="dxa"/>
            <w:noWrap/>
            <w:vAlign w:val="center"/>
          </w:tcPr>
          <w:p w14:paraId="6A2E202B">
            <w:pPr>
              <w:spacing w:line="240" w:lineRule="auto"/>
              <w:ind w:firstLine="0" w:firstLineChars="0"/>
              <w:jc w:val="center"/>
              <w:rPr>
                <w:rFonts w:cs="Times New Roman"/>
                <w:sz w:val="21"/>
                <w:szCs w:val="21"/>
              </w:rPr>
            </w:pPr>
            <w:r>
              <w:rPr>
                <w:rFonts w:hint="eastAsia" w:cs="Times New Roman"/>
                <w:sz w:val="21"/>
                <w:szCs w:val="21"/>
              </w:rPr>
              <w:t>31.654033</w:t>
            </w:r>
          </w:p>
        </w:tc>
        <w:tc>
          <w:tcPr>
            <w:tcW w:w="1080" w:type="dxa"/>
            <w:noWrap/>
            <w:vAlign w:val="center"/>
          </w:tcPr>
          <w:p w14:paraId="7E9B74C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CA2DB34">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4E500CC">
            <w:pPr>
              <w:spacing w:line="240" w:lineRule="auto"/>
              <w:ind w:firstLine="0" w:firstLineChars="0"/>
              <w:jc w:val="center"/>
              <w:rPr>
                <w:rFonts w:cs="Times New Roman"/>
                <w:sz w:val="21"/>
                <w:szCs w:val="21"/>
              </w:rPr>
            </w:pPr>
            <w:r>
              <w:rPr>
                <w:rFonts w:hint="eastAsia" w:cs="Times New Roman"/>
                <w:sz w:val="21"/>
                <w:szCs w:val="21"/>
              </w:rPr>
              <w:t>100</w:t>
            </w:r>
          </w:p>
        </w:tc>
        <w:tc>
          <w:tcPr>
            <w:tcW w:w="1168" w:type="dxa"/>
            <w:noWrap/>
            <w:vAlign w:val="center"/>
          </w:tcPr>
          <w:p w14:paraId="15BCEA1D">
            <w:pPr>
              <w:spacing w:line="240" w:lineRule="auto"/>
              <w:ind w:firstLine="0" w:firstLineChars="0"/>
              <w:jc w:val="center"/>
              <w:rPr>
                <w:rFonts w:cs="Times New Roman"/>
                <w:sz w:val="21"/>
                <w:szCs w:val="21"/>
              </w:rPr>
            </w:pPr>
            <w:r>
              <w:rPr>
                <w:rFonts w:hint="eastAsia" w:cs="Times New Roman"/>
                <w:sz w:val="21"/>
                <w:szCs w:val="21"/>
              </w:rPr>
              <w:t>约20</w:t>
            </w:r>
          </w:p>
        </w:tc>
      </w:tr>
      <w:tr w14:paraId="06305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8F83008">
            <w:pPr>
              <w:pStyle w:val="39"/>
              <w:numPr>
                <w:ilvl w:val="0"/>
                <w:numId w:val="7"/>
              </w:numPr>
              <w:spacing w:line="240" w:lineRule="auto"/>
              <w:ind w:firstLineChars="0"/>
              <w:jc w:val="center"/>
              <w:rPr>
                <w:rFonts w:cs="Times New Roman"/>
                <w:sz w:val="21"/>
                <w:szCs w:val="21"/>
              </w:rPr>
            </w:pPr>
          </w:p>
        </w:tc>
        <w:tc>
          <w:tcPr>
            <w:tcW w:w="992" w:type="dxa"/>
            <w:noWrap/>
            <w:vAlign w:val="center"/>
          </w:tcPr>
          <w:p w14:paraId="04D1604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86E1A8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BDCA384">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7F3DEAD">
            <w:pPr>
              <w:spacing w:line="240" w:lineRule="auto"/>
              <w:ind w:firstLine="0" w:firstLineChars="0"/>
              <w:jc w:val="center"/>
              <w:rPr>
                <w:rFonts w:cs="Times New Roman"/>
                <w:sz w:val="21"/>
                <w:szCs w:val="21"/>
              </w:rPr>
            </w:pPr>
            <w:r>
              <w:rPr>
                <w:rFonts w:hint="eastAsia" w:cs="Times New Roman"/>
                <w:sz w:val="21"/>
                <w:szCs w:val="21"/>
              </w:rPr>
              <w:t>李家村</w:t>
            </w:r>
          </w:p>
        </w:tc>
        <w:tc>
          <w:tcPr>
            <w:tcW w:w="1701" w:type="dxa"/>
            <w:noWrap/>
            <w:vAlign w:val="center"/>
          </w:tcPr>
          <w:p w14:paraId="03F2A643">
            <w:pPr>
              <w:spacing w:line="240" w:lineRule="auto"/>
              <w:ind w:firstLine="0" w:firstLineChars="0"/>
              <w:jc w:val="center"/>
              <w:rPr>
                <w:rFonts w:cs="Times New Roman"/>
                <w:sz w:val="21"/>
                <w:szCs w:val="21"/>
              </w:rPr>
            </w:pPr>
            <w:r>
              <w:rPr>
                <w:rFonts w:hint="eastAsia" w:cs="Times New Roman"/>
                <w:sz w:val="21"/>
                <w:szCs w:val="21"/>
              </w:rPr>
              <w:t>119.380918</w:t>
            </w:r>
          </w:p>
        </w:tc>
        <w:tc>
          <w:tcPr>
            <w:tcW w:w="1690" w:type="dxa"/>
            <w:noWrap/>
            <w:vAlign w:val="center"/>
          </w:tcPr>
          <w:p w14:paraId="6717B43F">
            <w:pPr>
              <w:spacing w:line="240" w:lineRule="auto"/>
              <w:ind w:firstLine="0" w:firstLineChars="0"/>
              <w:jc w:val="center"/>
              <w:rPr>
                <w:rFonts w:cs="Times New Roman"/>
                <w:sz w:val="21"/>
                <w:szCs w:val="21"/>
              </w:rPr>
            </w:pPr>
            <w:r>
              <w:rPr>
                <w:rFonts w:hint="eastAsia" w:cs="Times New Roman"/>
                <w:sz w:val="21"/>
                <w:szCs w:val="21"/>
              </w:rPr>
              <w:t>31.763688</w:t>
            </w:r>
          </w:p>
        </w:tc>
        <w:tc>
          <w:tcPr>
            <w:tcW w:w="1080" w:type="dxa"/>
            <w:noWrap/>
            <w:vAlign w:val="center"/>
          </w:tcPr>
          <w:p w14:paraId="24047F8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B9D3F18">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25138144">
            <w:pPr>
              <w:spacing w:line="240" w:lineRule="auto"/>
              <w:ind w:firstLine="0" w:firstLineChars="0"/>
              <w:jc w:val="center"/>
              <w:rPr>
                <w:rFonts w:cs="Times New Roman"/>
                <w:sz w:val="21"/>
                <w:szCs w:val="21"/>
              </w:rPr>
            </w:pPr>
            <w:r>
              <w:rPr>
                <w:rFonts w:hint="eastAsia" w:cs="Times New Roman"/>
                <w:sz w:val="21"/>
                <w:szCs w:val="21"/>
              </w:rPr>
              <w:t>850</w:t>
            </w:r>
          </w:p>
        </w:tc>
        <w:tc>
          <w:tcPr>
            <w:tcW w:w="1168" w:type="dxa"/>
            <w:noWrap/>
            <w:vAlign w:val="center"/>
          </w:tcPr>
          <w:p w14:paraId="3E4DEC3C">
            <w:pPr>
              <w:spacing w:line="240" w:lineRule="auto"/>
              <w:ind w:firstLine="0" w:firstLineChars="0"/>
              <w:jc w:val="center"/>
              <w:rPr>
                <w:rFonts w:cs="Times New Roman"/>
                <w:sz w:val="21"/>
                <w:szCs w:val="21"/>
              </w:rPr>
            </w:pPr>
            <w:r>
              <w:rPr>
                <w:rFonts w:hint="eastAsia" w:cs="Times New Roman"/>
                <w:sz w:val="21"/>
                <w:szCs w:val="21"/>
              </w:rPr>
              <w:t>约100</w:t>
            </w:r>
          </w:p>
        </w:tc>
      </w:tr>
      <w:tr w14:paraId="0FA30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7D950DC">
            <w:pPr>
              <w:pStyle w:val="39"/>
              <w:numPr>
                <w:ilvl w:val="0"/>
                <w:numId w:val="7"/>
              </w:numPr>
              <w:spacing w:line="240" w:lineRule="auto"/>
              <w:ind w:firstLineChars="0"/>
              <w:jc w:val="center"/>
              <w:rPr>
                <w:rFonts w:cs="Times New Roman"/>
                <w:sz w:val="21"/>
                <w:szCs w:val="21"/>
              </w:rPr>
            </w:pPr>
          </w:p>
        </w:tc>
        <w:tc>
          <w:tcPr>
            <w:tcW w:w="992" w:type="dxa"/>
            <w:noWrap/>
            <w:vAlign w:val="center"/>
          </w:tcPr>
          <w:p w14:paraId="337FE90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7BCD4A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7C13C1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AAD0AB9">
            <w:pPr>
              <w:spacing w:line="240" w:lineRule="auto"/>
              <w:ind w:firstLine="0" w:firstLineChars="0"/>
              <w:jc w:val="center"/>
              <w:rPr>
                <w:rFonts w:cs="Times New Roman"/>
                <w:sz w:val="21"/>
                <w:szCs w:val="21"/>
              </w:rPr>
            </w:pPr>
            <w:r>
              <w:rPr>
                <w:rFonts w:hint="eastAsia" w:cs="Times New Roman"/>
                <w:sz w:val="21"/>
                <w:szCs w:val="21"/>
              </w:rPr>
              <w:t>杨家村</w:t>
            </w:r>
          </w:p>
        </w:tc>
        <w:tc>
          <w:tcPr>
            <w:tcW w:w="1701" w:type="dxa"/>
            <w:noWrap/>
            <w:vAlign w:val="center"/>
          </w:tcPr>
          <w:p w14:paraId="569EF071">
            <w:pPr>
              <w:spacing w:line="240" w:lineRule="auto"/>
              <w:ind w:firstLine="0" w:firstLineChars="0"/>
              <w:jc w:val="center"/>
              <w:rPr>
                <w:rFonts w:cs="Times New Roman"/>
                <w:sz w:val="21"/>
                <w:szCs w:val="21"/>
              </w:rPr>
            </w:pPr>
            <w:r>
              <w:rPr>
                <w:rFonts w:hint="eastAsia" w:cs="Times New Roman"/>
                <w:sz w:val="21"/>
                <w:szCs w:val="21"/>
              </w:rPr>
              <w:t>119.385738</w:t>
            </w:r>
          </w:p>
        </w:tc>
        <w:tc>
          <w:tcPr>
            <w:tcW w:w="1690" w:type="dxa"/>
            <w:noWrap/>
            <w:vAlign w:val="center"/>
          </w:tcPr>
          <w:p w14:paraId="26EC5F58">
            <w:pPr>
              <w:spacing w:line="240" w:lineRule="auto"/>
              <w:ind w:firstLine="0" w:firstLineChars="0"/>
              <w:jc w:val="center"/>
              <w:rPr>
                <w:rFonts w:cs="Times New Roman"/>
                <w:sz w:val="21"/>
                <w:szCs w:val="21"/>
              </w:rPr>
            </w:pPr>
            <w:r>
              <w:rPr>
                <w:rFonts w:hint="eastAsia" w:cs="Times New Roman"/>
                <w:sz w:val="21"/>
                <w:szCs w:val="21"/>
              </w:rPr>
              <w:t>31.757542</w:t>
            </w:r>
          </w:p>
        </w:tc>
        <w:tc>
          <w:tcPr>
            <w:tcW w:w="1080" w:type="dxa"/>
            <w:noWrap/>
            <w:vAlign w:val="center"/>
          </w:tcPr>
          <w:p w14:paraId="5D947D7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944571C">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2B25629A">
            <w:pPr>
              <w:spacing w:line="240" w:lineRule="auto"/>
              <w:ind w:firstLine="0" w:firstLineChars="0"/>
              <w:jc w:val="center"/>
              <w:rPr>
                <w:rFonts w:cs="Times New Roman"/>
                <w:sz w:val="21"/>
                <w:szCs w:val="21"/>
              </w:rPr>
            </w:pPr>
            <w:r>
              <w:rPr>
                <w:rFonts w:hint="eastAsia" w:cs="Times New Roman"/>
                <w:sz w:val="21"/>
                <w:szCs w:val="21"/>
              </w:rPr>
              <w:t>1100</w:t>
            </w:r>
          </w:p>
        </w:tc>
        <w:tc>
          <w:tcPr>
            <w:tcW w:w="1168" w:type="dxa"/>
            <w:noWrap/>
            <w:vAlign w:val="center"/>
          </w:tcPr>
          <w:p w14:paraId="75567B94">
            <w:pPr>
              <w:spacing w:line="240" w:lineRule="auto"/>
              <w:ind w:firstLine="0" w:firstLineChars="0"/>
              <w:jc w:val="center"/>
              <w:rPr>
                <w:rFonts w:cs="Times New Roman"/>
                <w:sz w:val="21"/>
                <w:szCs w:val="21"/>
              </w:rPr>
            </w:pPr>
            <w:r>
              <w:rPr>
                <w:rFonts w:hint="eastAsia" w:cs="Times New Roman"/>
                <w:sz w:val="21"/>
                <w:szCs w:val="21"/>
              </w:rPr>
              <w:t>约120</w:t>
            </w:r>
          </w:p>
        </w:tc>
      </w:tr>
      <w:tr w14:paraId="5A0A2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DDD8E38">
            <w:pPr>
              <w:pStyle w:val="39"/>
              <w:numPr>
                <w:ilvl w:val="0"/>
                <w:numId w:val="7"/>
              </w:numPr>
              <w:spacing w:line="240" w:lineRule="auto"/>
              <w:ind w:firstLineChars="0"/>
              <w:jc w:val="center"/>
              <w:rPr>
                <w:rFonts w:cs="Times New Roman"/>
                <w:sz w:val="21"/>
                <w:szCs w:val="21"/>
              </w:rPr>
            </w:pPr>
          </w:p>
        </w:tc>
        <w:tc>
          <w:tcPr>
            <w:tcW w:w="992" w:type="dxa"/>
            <w:noWrap/>
            <w:vAlign w:val="center"/>
          </w:tcPr>
          <w:p w14:paraId="535E194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2ADCBC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393361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51DFF67">
            <w:pPr>
              <w:spacing w:line="240" w:lineRule="auto"/>
              <w:ind w:firstLine="0" w:firstLineChars="0"/>
              <w:jc w:val="center"/>
              <w:rPr>
                <w:rFonts w:cs="Times New Roman"/>
                <w:sz w:val="21"/>
                <w:szCs w:val="21"/>
              </w:rPr>
            </w:pPr>
            <w:r>
              <w:rPr>
                <w:rFonts w:hint="eastAsia" w:cs="Times New Roman"/>
                <w:sz w:val="21"/>
                <w:szCs w:val="21"/>
              </w:rPr>
              <w:t>沈家村</w:t>
            </w:r>
          </w:p>
        </w:tc>
        <w:tc>
          <w:tcPr>
            <w:tcW w:w="1701" w:type="dxa"/>
            <w:noWrap/>
            <w:vAlign w:val="center"/>
          </w:tcPr>
          <w:p w14:paraId="1CFA3F7A">
            <w:pPr>
              <w:spacing w:line="240" w:lineRule="auto"/>
              <w:ind w:firstLine="0" w:firstLineChars="0"/>
              <w:jc w:val="center"/>
              <w:rPr>
                <w:rFonts w:cs="Times New Roman"/>
                <w:sz w:val="21"/>
                <w:szCs w:val="21"/>
              </w:rPr>
            </w:pPr>
            <w:r>
              <w:rPr>
                <w:rFonts w:hint="eastAsia" w:cs="Times New Roman"/>
                <w:sz w:val="21"/>
                <w:szCs w:val="21"/>
              </w:rPr>
              <w:t>119.387157</w:t>
            </w:r>
          </w:p>
        </w:tc>
        <w:tc>
          <w:tcPr>
            <w:tcW w:w="1690" w:type="dxa"/>
            <w:noWrap/>
            <w:vAlign w:val="center"/>
          </w:tcPr>
          <w:p w14:paraId="0BBCF180">
            <w:pPr>
              <w:spacing w:line="240" w:lineRule="auto"/>
              <w:ind w:firstLine="0" w:firstLineChars="0"/>
              <w:jc w:val="center"/>
              <w:rPr>
                <w:rFonts w:cs="Times New Roman"/>
                <w:sz w:val="21"/>
                <w:szCs w:val="21"/>
              </w:rPr>
            </w:pPr>
            <w:r>
              <w:rPr>
                <w:rFonts w:hint="eastAsia" w:cs="Times New Roman"/>
                <w:sz w:val="21"/>
                <w:szCs w:val="21"/>
              </w:rPr>
              <w:t>31.778662</w:t>
            </w:r>
          </w:p>
        </w:tc>
        <w:tc>
          <w:tcPr>
            <w:tcW w:w="1080" w:type="dxa"/>
            <w:noWrap/>
            <w:vAlign w:val="center"/>
          </w:tcPr>
          <w:p w14:paraId="09A0864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FCAE1B8">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C1A5737">
            <w:pPr>
              <w:spacing w:line="240" w:lineRule="auto"/>
              <w:ind w:firstLine="0" w:firstLineChars="0"/>
              <w:jc w:val="center"/>
              <w:rPr>
                <w:rFonts w:cs="Times New Roman"/>
                <w:sz w:val="21"/>
                <w:szCs w:val="21"/>
              </w:rPr>
            </w:pPr>
            <w:r>
              <w:rPr>
                <w:rFonts w:hint="eastAsia" w:cs="Times New Roman"/>
                <w:sz w:val="21"/>
                <w:szCs w:val="21"/>
              </w:rPr>
              <w:t>300</w:t>
            </w:r>
          </w:p>
        </w:tc>
        <w:tc>
          <w:tcPr>
            <w:tcW w:w="1168" w:type="dxa"/>
            <w:noWrap/>
            <w:vAlign w:val="center"/>
          </w:tcPr>
          <w:p w14:paraId="6BB14BE4">
            <w:pPr>
              <w:spacing w:line="240" w:lineRule="auto"/>
              <w:ind w:firstLine="0" w:firstLineChars="0"/>
              <w:jc w:val="center"/>
              <w:rPr>
                <w:rFonts w:cs="Times New Roman"/>
                <w:sz w:val="21"/>
                <w:szCs w:val="21"/>
              </w:rPr>
            </w:pPr>
            <w:r>
              <w:rPr>
                <w:rFonts w:hint="eastAsia" w:cs="Times New Roman"/>
                <w:sz w:val="21"/>
                <w:szCs w:val="21"/>
              </w:rPr>
              <w:t>约60</w:t>
            </w:r>
          </w:p>
        </w:tc>
      </w:tr>
      <w:tr w14:paraId="26F76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8129278">
            <w:pPr>
              <w:pStyle w:val="39"/>
              <w:numPr>
                <w:ilvl w:val="0"/>
                <w:numId w:val="7"/>
              </w:numPr>
              <w:spacing w:line="240" w:lineRule="auto"/>
              <w:ind w:firstLineChars="0"/>
              <w:jc w:val="center"/>
              <w:rPr>
                <w:rFonts w:cs="Times New Roman"/>
                <w:sz w:val="21"/>
                <w:szCs w:val="21"/>
              </w:rPr>
            </w:pPr>
          </w:p>
        </w:tc>
        <w:tc>
          <w:tcPr>
            <w:tcW w:w="992" w:type="dxa"/>
            <w:noWrap/>
            <w:vAlign w:val="center"/>
          </w:tcPr>
          <w:p w14:paraId="42611B5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4079B8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E32CCF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1C9BD5B">
            <w:pPr>
              <w:spacing w:line="240" w:lineRule="auto"/>
              <w:ind w:firstLine="0" w:firstLineChars="0"/>
              <w:jc w:val="center"/>
              <w:rPr>
                <w:rFonts w:cs="Times New Roman"/>
                <w:sz w:val="21"/>
                <w:szCs w:val="21"/>
              </w:rPr>
            </w:pPr>
            <w:r>
              <w:rPr>
                <w:rFonts w:hint="eastAsia" w:cs="Times New Roman"/>
                <w:sz w:val="21"/>
                <w:szCs w:val="21"/>
              </w:rPr>
              <w:t>涧头</w:t>
            </w:r>
          </w:p>
        </w:tc>
        <w:tc>
          <w:tcPr>
            <w:tcW w:w="1701" w:type="dxa"/>
            <w:noWrap/>
            <w:vAlign w:val="center"/>
          </w:tcPr>
          <w:p w14:paraId="31CB2388">
            <w:pPr>
              <w:spacing w:line="240" w:lineRule="auto"/>
              <w:ind w:firstLine="0" w:firstLineChars="0"/>
              <w:jc w:val="center"/>
              <w:rPr>
                <w:rFonts w:cs="Times New Roman"/>
                <w:sz w:val="21"/>
                <w:szCs w:val="21"/>
              </w:rPr>
            </w:pPr>
            <w:r>
              <w:rPr>
                <w:rFonts w:hint="eastAsia" w:cs="Times New Roman"/>
                <w:sz w:val="21"/>
                <w:szCs w:val="21"/>
              </w:rPr>
              <w:t>119.392209</w:t>
            </w:r>
          </w:p>
        </w:tc>
        <w:tc>
          <w:tcPr>
            <w:tcW w:w="1690" w:type="dxa"/>
            <w:noWrap/>
            <w:vAlign w:val="center"/>
          </w:tcPr>
          <w:p w14:paraId="259B3DED">
            <w:pPr>
              <w:spacing w:line="240" w:lineRule="auto"/>
              <w:ind w:firstLine="0" w:firstLineChars="0"/>
              <w:jc w:val="center"/>
              <w:rPr>
                <w:rFonts w:cs="Times New Roman"/>
                <w:sz w:val="21"/>
                <w:szCs w:val="21"/>
              </w:rPr>
            </w:pPr>
            <w:r>
              <w:rPr>
                <w:rFonts w:hint="eastAsia" w:cs="Times New Roman"/>
                <w:sz w:val="21"/>
                <w:szCs w:val="21"/>
              </w:rPr>
              <w:t>31.781988</w:t>
            </w:r>
          </w:p>
        </w:tc>
        <w:tc>
          <w:tcPr>
            <w:tcW w:w="1080" w:type="dxa"/>
            <w:noWrap/>
            <w:vAlign w:val="center"/>
          </w:tcPr>
          <w:p w14:paraId="0F29802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FF29467">
            <w:pPr>
              <w:spacing w:line="240" w:lineRule="auto"/>
              <w:ind w:firstLine="0" w:firstLineChars="0"/>
              <w:jc w:val="center"/>
              <w:rPr>
                <w:rFonts w:cs="Times New Roman"/>
                <w:sz w:val="21"/>
                <w:szCs w:val="21"/>
              </w:rPr>
            </w:pPr>
            <w:r>
              <w:rPr>
                <w:rFonts w:hint="eastAsia" w:cs="Times New Roman"/>
                <w:sz w:val="21"/>
                <w:szCs w:val="21"/>
              </w:rPr>
              <w:t>北</w:t>
            </w:r>
          </w:p>
        </w:tc>
        <w:tc>
          <w:tcPr>
            <w:tcW w:w="720" w:type="dxa"/>
            <w:noWrap/>
            <w:vAlign w:val="center"/>
          </w:tcPr>
          <w:p w14:paraId="67BD842F">
            <w:pPr>
              <w:spacing w:line="240" w:lineRule="auto"/>
              <w:ind w:firstLine="0" w:firstLineChars="0"/>
              <w:jc w:val="center"/>
              <w:rPr>
                <w:rFonts w:cs="Times New Roman"/>
                <w:sz w:val="21"/>
                <w:szCs w:val="21"/>
              </w:rPr>
            </w:pPr>
            <w:r>
              <w:rPr>
                <w:rFonts w:hint="eastAsia" w:cs="Times New Roman"/>
                <w:sz w:val="21"/>
                <w:szCs w:val="21"/>
              </w:rPr>
              <w:t>616</w:t>
            </w:r>
          </w:p>
        </w:tc>
        <w:tc>
          <w:tcPr>
            <w:tcW w:w="1168" w:type="dxa"/>
            <w:noWrap/>
            <w:vAlign w:val="center"/>
          </w:tcPr>
          <w:p w14:paraId="1305C1A7">
            <w:pPr>
              <w:spacing w:line="240" w:lineRule="auto"/>
              <w:ind w:firstLine="0" w:firstLineChars="0"/>
              <w:jc w:val="center"/>
              <w:rPr>
                <w:rFonts w:cs="Times New Roman"/>
                <w:sz w:val="21"/>
                <w:szCs w:val="21"/>
              </w:rPr>
            </w:pPr>
            <w:r>
              <w:rPr>
                <w:rFonts w:hint="eastAsia" w:cs="Times New Roman"/>
                <w:sz w:val="21"/>
                <w:szCs w:val="21"/>
              </w:rPr>
              <w:t>约20</w:t>
            </w:r>
          </w:p>
        </w:tc>
      </w:tr>
      <w:tr w14:paraId="34660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BC8CCB3">
            <w:pPr>
              <w:pStyle w:val="39"/>
              <w:numPr>
                <w:ilvl w:val="0"/>
                <w:numId w:val="7"/>
              </w:numPr>
              <w:spacing w:line="240" w:lineRule="auto"/>
              <w:ind w:firstLineChars="0"/>
              <w:jc w:val="center"/>
              <w:rPr>
                <w:rFonts w:cs="Times New Roman"/>
                <w:sz w:val="21"/>
                <w:szCs w:val="21"/>
              </w:rPr>
            </w:pPr>
          </w:p>
        </w:tc>
        <w:tc>
          <w:tcPr>
            <w:tcW w:w="992" w:type="dxa"/>
            <w:noWrap/>
            <w:vAlign w:val="center"/>
          </w:tcPr>
          <w:p w14:paraId="34A72C7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9EC6F2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1E52E7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C5B8C86">
            <w:pPr>
              <w:spacing w:line="240" w:lineRule="auto"/>
              <w:ind w:firstLine="0" w:firstLineChars="0"/>
              <w:jc w:val="center"/>
              <w:rPr>
                <w:rFonts w:cs="Times New Roman"/>
                <w:sz w:val="21"/>
                <w:szCs w:val="21"/>
              </w:rPr>
            </w:pPr>
            <w:r>
              <w:rPr>
                <w:rFonts w:hint="eastAsia" w:cs="Times New Roman"/>
                <w:sz w:val="21"/>
                <w:szCs w:val="21"/>
              </w:rPr>
              <w:t>刘家棚</w:t>
            </w:r>
          </w:p>
        </w:tc>
        <w:tc>
          <w:tcPr>
            <w:tcW w:w="1701" w:type="dxa"/>
            <w:noWrap/>
            <w:vAlign w:val="center"/>
          </w:tcPr>
          <w:p w14:paraId="731EC53D">
            <w:pPr>
              <w:spacing w:line="240" w:lineRule="auto"/>
              <w:ind w:firstLine="0" w:firstLineChars="0"/>
              <w:jc w:val="center"/>
              <w:rPr>
                <w:rFonts w:cs="Times New Roman"/>
                <w:sz w:val="21"/>
                <w:szCs w:val="21"/>
              </w:rPr>
            </w:pPr>
            <w:r>
              <w:rPr>
                <w:rFonts w:hint="eastAsia" w:cs="Times New Roman"/>
                <w:sz w:val="21"/>
                <w:szCs w:val="21"/>
              </w:rPr>
              <w:t>119.397131</w:t>
            </w:r>
          </w:p>
        </w:tc>
        <w:tc>
          <w:tcPr>
            <w:tcW w:w="1690" w:type="dxa"/>
            <w:noWrap/>
            <w:vAlign w:val="center"/>
          </w:tcPr>
          <w:p w14:paraId="65856187">
            <w:pPr>
              <w:spacing w:line="240" w:lineRule="auto"/>
              <w:ind w:firstLine="0" w:firstLineChars="0"/>
              <w:jc w:val="center"/>
              <w:rPr>
                <w:rFonts w:cs="Times New Roman"/>
                <w:sz w:val="21"/>
                <w:szCs w:val="21"/>
              </w:rPr>
            </w:pPr>
            <w:r>
              <w:rPr>
                <w:rFonts w:hint="eastAsia" w:cs="Times New Roman"/>
                <w:sz w:val="21"/>
                <w:szCs w:val="21"/>
              </w:rPr>
              <w:t>31.782277</w:t>
            </w:r>
          </w:p>
        </w:tc>
        <w:tc>
          <w:tcPr>
            <w:tcW w:w="1080" w:type="dxa"/>
            <w:noWrap/>
            <w:vAlign w:val="center"/>
          </w:tcPr>
          <w:p w14:paraId="60E18D4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E6F4D82">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48C635BB">
            <w:pPr>
              <w:spacing w:line="240" w:lineRule="auto"/>
              <w:ind w:firstLine="0" w:firstLineChars="0"/>
              <w:jc w:val="center"/>
              <w:rPr>
                <w:rFonts w:cs="Times New Roman"/>
                <w:sz w:val="21"/>
                <w:szCs w:val="21"/>
              </w:rPr>
            </w:pPr>
            <w:r>
              <w:rPr>
                <w:rFonts w:hint="eastAsia" w:cs="Times New Roman"/>
                <w:sz w:val="21"/>
                <w:szCs w:val="21"/>
              </w:rPr>
              <w:t>250</w:t>
            </w:r>
          </w:p>
        </w:tc>
        <w:tc>
          <w:tcPr>
            <w:tcW w:w="1168" w:type="dxa"/>
            <w:noWrap/>
            <w:vAlign w:val="center"/>
          </w:tcPr>
          <w:p w14:paraId="122268D3">
            <w:pPr>
              <w:spacing w:line="240" w:lineRule="auto"/>
              <w:ind w:firstLine="0" w:firstLineChars="0"/>
              <w:jc w:val="center"/>
              <w:rPr>
                <w:rFonts w:cs="Times New Roman"/>
                <w:sz w:val="21"/>
                <w:szCs w:val="21"/>
              </w:rPr>
            </w:pPr>
            <w:r>
              <w:rPr>
                <w:rFonts w:hint="eastAsia" w:cs="Times New Roman"/>
                <w:sz w:val="21"/>
                <w:szCs w:val="21"/>
              </w:rPr>
              <w:t>约30</w:t>
            </w:r>
          </w:p>
        </w:tc>
      </w:tr>
      <w:tr w14:paraId="0B357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EE3F2C0">
            <w:pPr>
              <w:pStyle w:val="39"/>
              <w:numPr>
                <w:ilvl w:val="0"/>
                <w:numId w:val="7"/>
              </w:numPr>
              <w:spacing w:line="240" w:lineRule="auto"/>
              <w:ind w:firstLineChars="0"/>
              <w:jc w:val="center"/>
              <w:rPr>
                <w:rFonts w:cs="Times New Roman"/>
                <w:sz w:val="21"/>
                <w:szCs w:val="21"/>
              </w:rPr>
            </w:pPr>
          </w:p>
        </w:tc>
        <w:tc>
          <w:tcPr>
            <w:tcW w:w="992" w:type="dxa"/>
            <w:noWrap/>
            <w:vAlign w:val="center"/>
          </w:tcPr>
          <w:p w14:paraId="4677A9F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E5ED05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A878DEA">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604CED4">
            <w:pPr>
              <w:spacing w:line="240" w:lineRule="auto"/>
              <w:ind w:firstLine="0" w:firstLineChars="0"/>
              <w:jc w:val="center"/>
              <w:rPr>
                <w:rFonts w:cs="Times New Roman"/>
                <w:sz w:val="21"/>
                <w:szCs w:val="21"/>
              </w:rPr>
            </w:pPr>
            <w:r>
              <w:rPr>
                <w:rFonts w:hint="eastAsia" w:cs="Times New Roman"/>
                <w:sz w:val="21"/>
                <w:szCs w:val="21"/>
              </w:rPr>
              <w:t>孔家村</w:t>
            </w:r>
          </w:p>
        </w:tc>
        <w:tc>
          <w:tcPr>
            <w:tcW w:w="1701" w:type="dxa"/>
            <w:noWrap/>
            <w:vAlign w:val="center"/>
          </w:tcPr>
          <w:p w14:paraId="33567497">
            <w:pPr>
              <w:spacing w:line="240" w:lineRule="auto"/>
              <w:ind w:firstLine="0" w:firstLineChars="0"/>
              <w:jc w:val="center"/>
              <w:rPr>
                <w:rFonts w:cs="Times New Roman"/>
                <w:sz w:val="21"/>
                <w:szCs w:val="21"/>
              </w:rPr>
            </w:pPr>
            <w:r>
              <w:rPr>
                <w:rFonts w:hint="eastAsia" w:cs="Times New Roman"/>
                <w:sz w:val="21"/>
                <w:szCs w:val="21"/>
              </w:rPr>
              <w:t>119.399042</w:t>
            </w:r>
          </w:p>
        </w:tc>
        <w:tc>
          <w:tcPr>
            <w:tcW w:w="1690" w:type="dxa"/>
            <w:noWrap/>
            <w:vAlign w:val="center"/>
          </w:tcPr>
          <w:p w14:paraId="233461C4">
            <w:pPr>
              <w:spacing w:line="240" w:lineRule="auto"/>
              <w:ind w:firstLine="0" w:firstLineChars="0"/>
              <w:jc w:val="center"/>
              <w:rPr>
                <w:rFonts w:cs="Times New Roman"/>
                <w:sz w:val="21"/>
                <w:szCs w:val="21"/>
              </w:rPr>
            </w:pPr>
            <w:r>
              <w:rPr>
                <w:rFonts w:hint="eastAsia" w:cs="Times New Roman"/>
                <w:sz w:val="21"/>
                <w:szCs w:val="21"/>
              </w:rPr>
              <w:t>31.779184</w:t>
            </w:r>
          </w:p>
        </w:tc>
        <w:tc>
          <w:tcPr>
            <w:tcW w:w="1080" w:type="dxa"/>
            <w:noWrap/>
            <w:vAlign w:val="center"/>
          </w:tcPr>
          <w:p w14:paraId="399FEF2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59A0E92">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0CC8057A">
            <w:pPr>
              <w:spacing w:line="240" w:lineRule="auto"/>
              <w:ind w:firstLine="0" w:firstLineChars="0"/>
              <w:jc w:val="center"/>
              <w:rPr>
                <w:rFonts w:cs="Times New Roman"/>
                <w:sz w:val="21"/>
                <w:szCs w:val="21"/>
              </w:rPr>
            </w:pPr>
            <w:r>
              <w:rPr>
                <w:rFonts w:hint="eastAsia" w:cs="Times New Roman"/>
                <w:sz w:val="21"/>
                <w:szCs w:val="21"/>
              </w:rPr>
              <w:t>600</w:t>
            </w:r>
          </w:p>
        </w:tc>
        <w:tc>
          <w:tcPr>
            <w:tcW w:w="1168" w:type="dxa"/>
            <w:noWrap/>
            <w:vAlign w:val="center"/>
          </w:tcPr>
          <w:p w14:paraId="2A240F39">
            <w:pPr>
              <w:spacing w:line="240" w:lineRule="auto"/>
              <w:ind w:firstLine="0" w:firstLineChars="0"/>
              <w:jc w:val="center"/>
              <w:rPr>
                <w:rFonts w:cs="Times New Roman"/>
                <w:sz w:val="21"/>
                <w:szCs w:val="21"/>
              </w:rPr>
            </w:pPr>
            <w:r>
              <w:rPr>
                <w:rFonts w:hint="eastAsia" w:cs="Times New Roman"/>
                <w:sz w:val="21"/>
                <w:szCs w:val="21"/>
              </w:rPr>
              <w:t>约20</w:t>
            </w:r>
          </w:p>
        </w:tc>
      </w:tr>
      <w:tr w14:paraId="0787E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68E45BE">
            <w:pPr>
              <w:pStyle w:val="39"/>
              <w:numPr>
                <w:ilvl w:val="0"/>
                <w:numId w:val="7"/>
              </w:numPr>
              <w:spacing w:line="240" w:lineRule="auto"/>
              <w:ind w:firstLineChars="0"/>
              <w:jc w:val="center"/>
              <w:rPr>
                <w:rFonts w:cs="Times New Roman"/>
                <w:sz w:val="21"/>
                <w:szCs w:val="21"/>
              </w:rPr>
            </w:pPr>
          </w:p>
        </w:tc>
        <w:tc>
          <w:tcPr>
            <w:tcW w:w="992" w:type="dxa"/>
            <w:noWrap/>
            <w:vAlign w:val="center"/>
          </w:tcPr>
          <w:p w14:paraId="43F9191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247F98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B3A68E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B75B26E">
            <w:pPr>
              <w:spacing w:line="240" w:lineRule="auto"/>
              <w:ind w:firstLine="0" w:firstLineChars="0"/>
              <w:jc w:val="center"/>
              <w:rPr>
                <w:rFonts w:cs="Times New Roman"/>
                <w:sz w:val="21"/>
                <w:szCs w:val="21"/>
              </w:rPr>
            </w:pPr>
            <w:r>
              <w:rPr>
                <w:rFonts w:hint="eastAsia" w:cs="Times New Roman"/>
                <w:sz w:val="21"/>
                <w:szCs w:val="21"/>
              </w:rPr>
              <w:t>董家棚</w:t>
            </w:r>
          </w:p>
        </w:tc>
        <w:tc>
          <w:tcPr>
            <w:tcW w:w="1701" w:type="dxa"/>
            <w:noWrap/>
            <w:vAlign w:val="center"/>
          </w:tcPr>
          <w:p w14:paraId="760C0813">
            <w:pPr>
              <w:spacing w:line="240" w:lineRule="auto"/>
              <w:ind w:firstLine="0" w:firstLineChars="0"/>
              <w:jc w:val="center"/>
              <w:rPr>
                <w:rFonts w:cs="Times New Roman"/>
                <w:sz w:val="21"/>
                <w:szCs w:val="21"/>
              </w:rPr>
            </w:pPr>
            <w:r>
              <w:rPr>
                <w:rFonts w:hint="eastAsia" w:cs="Times New Roman"/>
                <w:sz w:val="21"/>
                <w:szCs w:val="21"/>
              </w:rPr>
              <w:t>119.398783</w:t>
            </w:r>
          </w:p>
        </w:tc>
        <w:tc>
          <w:tcPr>
            <w:tcW w:w="1690" w:type="dxa"/>
            <w:noWrap/>
            <w:vAlign w:val="center"/>
          </w:tcPr>
          <w:p w14:paraId="0540FB56">
            <w:pPr>
              <w:spacing w:line="240" w:lineRule="auto"/>
              <w:ind w:firstLine="0" w:firstLineChars="0"/>
              <w:jc w:val="center"/>
              <w:rPr>
                <w:rFonts w:cs="Times New Roman"/>
                <w:sz w:val="21"/>
                <w:szCs w:val="21"/>
              </w:rPr>
            </w:pPr>
            <w:r>
              <w:rPr>
                <w:rFonts w:hint="eastAsia" w:cs="Times New Roman"/>
                <w:sz w:val="21"/>
                <w:szCs w:val="21"/>
              </w:rPr>
              <w:t>31.775938</w:t>
            </w:r>
          </w:p>
        </w:tc>
        <w:tc>
          <w:tcPr>
            <w:tcW w:w="1080" w:type="dxa"/>
            <w:noWrap/>
            <w:vAlign w:val="center"/>
          </w:tcPr>
          <w:p w14:paraId="68A84E6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AAAD16C">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6CCBBBC9">
            <w:pPr>
              <w:spacing w:line="240" w:lineRule="auto"/>
              <w:ind w:firstLine="0" w:firstLineChars="0"/>
              <w:jc w:val="center"/>
              <w:rPr>
                <w:rFonts w:cs="Times New Roman"/>
                <w:sz w:val="21"/>
                <w:szCs w:val="21"/>
              </w:rPr>
            </w:pPr>
            <w:r>
              <w:rPr>
                <w:rFonts w:hint="eastAsia" w:cs="Times New Roman"/>
                <w:sz w:val="21"/>
                <w:szCs w:val="21"/>
              </w:rPr>
              <w:t>516</w:t>
            </w:r>
          </w:p>
        </w:tc>
        <w:tc>
          <w:tcPr>
            <w:tcW w:w="1168" w:type="dxa"/>
            <w:noWrap/>
            <w:vAlign w:val="center"/>
          </w:tcPr>
          <w:p w14:paraId="5563C427">
            <w:pPr>
              <w:spacing w:line="240" w:lineRule="auto"/>
              <w:ind w:firstLine="0" w:firstLineChars="0"/>
              <w:jc w:val="center"/>
              <w:rPr>
                <w:rFonts w:cs="Times New Roman"/>
                <w:sz w:val="21"/>
                <w:szCs w:val="21"/>
              </w:rPr>
            </w:pPr>
            <w:r>
              <w:rPr>
                <w:rFonts w:hint="eastAsia" w:cs="Times New Roman"/>
                <w:sz w:val="21"/>
                <w:szCs w:val="21"/>
              </w:rPr>
              <w:t>约30</w:t>
            </w:r>
          </w:p>
        </w:tc>
      </w:tr>
      <w:tr w14:paraId="5CAEA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1C56525">
            <w:pPr>
              <w:pStyle w:val="39"/>
              <w:numPr>
                <w:ilvl w:val="0"/>
                <w:numId w:val="7"/>
              </w:numPr>
              <w:spacing w:line="240" w:lineRule="auto"/>
              <w:ind w:firstLineChars="0"/>
              <w:jc w:val="center"/>
              <w:rPr>
                <w:rFonts w:cs="Times New Roman"/>
                <w:sz w:val="21"/>
                <w:szCs w:val="21"/>
              </w:rPr>
            </w:pPr>
          </w:p>
        </w:tc>
        <w:tc>
          <w:tcPr>
            <w:tcW w:w="992" w:type="dxa"/>
            <w:noWrap/>
            <w:vAlign w:val="center"/>
          </w:tcPr>
          <w:p w14:paraId="187AC67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2E901A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75F387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4E6AD38">
            <w:pPr>
              <w:spacing w:line="240" w:lineRule="auto"/>
              <w:ind w:firstLine="0" w:firstLineChars="0"/>
              <w:jc w:val="center"/>
              <w:rPr>
                <w:rFonts w:cs="Times New Roman"/>
                <w:sz w:val="21"/>
                <w:szCs w:val="21"/>
              </w:rPr>
            </w:pPr>
            <w:r>
              <w:rPr>
                <w:rFonts w:hint="eastAsia" w:cs="Times New Roman"/>
                <w:sz w:val="21"/>
                <w:szCs w:val="21"/>
              </w:rPr>
              <w:t>富家山</w:t>
            </w:r>
          </w:p>
        </w:tc>
        <w:tc>
          <w:tcPr>
            <w:tcW w:w="1701" w:type="dxa"/>
            <w:noWrap/>
            <w:vAlign w:val="center"/>
          </w:tcPr>
          <w:p w14:paraId="6D6115A2">
            <w:pPr>
              <w:spacing w:line="240" w:lineRule="auto"/>
              <w:ind w:firstLine="0" w:firstLineChars="0"/>
              <w:jc w:val="center"/>
              <w:rPr>
                <w:rFonts w:cs="Times New Roman"/>
                <w:sz w:val="21"/>
                <w:szCs w:val="21"/>
              </w:rPr>
            </w:pPr>
            <w:r>
              <w:rPr>
                <w:rFonts w:hint="eastAsia" w:cs="Times New Roman"/>
                <w:sz w:val="21"/>
                <w:szCs w:val="21"/>
              </w:rPr>
              <w:t>119.390607</w:t>
            </w:r>
          </w:p>
        </w:tc>
        <w:tc>
          <w:tcPr>
            <w:tcW w:w="1690" w:type="dxa"/>
            <w:noWrap/>
            <w:vAlign w:val="center"/>
          </w:tcPr>
          <w:p w14:paraId="45D6FA65">
            <w:pPr>
              <w:spacing w:line="240" w:lineRule="auto"/>
              <w:ind w:firstLine="0" w:firstLineChars="0"/>
              <w:jc w:val="center"/>
              <w:rPr>
                <w:rFonts w:cs="Times New Roman"/>
                <w:sz w:val="21"/>
                <w:szCs w:val="21"/>
              </w:rPr>
            </w:pPr>
            <w:r>
              <w:rPr>
                <w:rFonts w:hint="eastAsia" w:cs="Times New Roman"/>
                <w:sz w:val="21"/>
                <w:szCs w:val="21"/>
              </w:rPr>
              <w:t>31.772628</w:t>
            </w:r>
          </w:p>
        </w:tc>
        <w:tc>
          <w:tcPr>
            <w:tcW w:w="1080" w:type="dxa"/>
            <w:noWrap/>
            <w:vAlign w:val="center"/>
          </w:tcPr>
          <w:p w14:paraId="320134A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C57E2A7">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549752F0">
            <w:pPr>
              <w:spacing w:line="240" w:lineRule="auto"/>
              <w:ind w:firstLine="0" w:firstLineChars="0"/>
              <w:jc w:val="center"/>
              <w:rPr>
                <w:rFonts w:cs="Times New Roman"/>
                <w:sz w:val="21"/>
                <w:szCs w:val="21"/>
              </w:rPr>
            </w:pPr>
            <w:r>
              <w:rPr>
                <w:rFonts w:hint="eastAsia" w:cs="Times New Roman"/>
                <w:sz w:val="21"/>
                <w:szCs w:val="21"/>
              </w:rPr>
              <w:t>30</w:t>
            </w:r>
          </w:p>
        </w:tc>
        <w:tc>
          <w:tcPr>
            <w:tcW w:w="1168" w:type="dxa"/>
            <w:noWrap/>
            <w:vAlign w:val="center"/>
          </w:tcPr>
          <w:p w14:paraId="4F6BFC69">
            <w:pPr>
              <w:spacing w:line="240" w:lineRule="auto"/>
              <w:ind w:firstLine="0" w:firstLineChars="0"/>
              <w:jc w:val="center"/>
              <w:rPr>
                <w:rFonts w:cs="Times New Roman"/>
                <w:sz w:val="21"/>
                <w:szCs w:val="21"/>
              </w:rPr>
            </w:pPr>
            <w:r>
              <w:rPr>
                <w:rFonts w:hint="eastAsia" w:cs="Times New Roman"/>
                <w:sz w:val="21"/>
                <w:szCs w:val="21"/>
              </w:rPr>
              <w:t>约20</w:t>
            </w:r>
          </w:p>
        </w:tc>
      </w:tr>
      <w:tr w14:paraId="6C46D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2CEA6F0">
            <w:pPr>
              <w:pStyle w:val="39"/>
              <w:numPr>
                <w:ilvl w:val="0"/>
                <w:numId w:val="7"/>
              </w:numPr>
              <w:spacing w:line="240" w:lineRule="auto"/>
              <w:ind w:firstLineChars="0"/>
              <w:jc w:val="center"/>
              <w:rPr>
                <w:rFonts w:cs="Times New Roman"/>
                <w:sz w:val="21"/>
                <w:szCs w:val="21"/>
              </w:rPr>
            </w:pPr>
          </w:p>
        </w:tc>
        <w:tc>
          <w:tcPr>
            <w:tcW w:w="992" w:type="dxa"/>
            <w:noWrap/>
            <w:vAlign w:val="center"/>
          </w:tcPr>
          <w:p w14:paraId="1B0F98F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25814D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06588B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6DC500B">
            <w:pPr>
              <w:spacing w:line="240" w:lineRule="auto"/>
              <w:ind w:firstLine="0" w:firstLineChars="0"/>
              <w:jc w:val="center"/>
              <w:rPr>
                <w:rFonts w:cs="Times New Roman"/>
                <w:sz w:val="21"/>
                <w:szCs w:val="21"/>
              </w:rPr>
            </w:pPr>
            <w:r>
              <w:rPr>
                <w:rFonts w:hint="eastAsia" w:cs="Times New Roman"/>
                <w:sz w:val="21"/>
                <w:szCs w:val="21"/>
              </w:rPr>
              <w:t>沙子岗</w:t>
            </w:r>
          </w:p>
        </w:tc>
        <w:tc>
          <w:tcPr>
            <w:tcW w:w="1701" w:type="dxa"/>
            <w:noWrap/>
            <w:vAlign w:val="center"/>
          </w:tcPr>
          <w:p w14:paraId="20136285">
            <w:pPr>
              <w:spacing w:line="240" w:lineRule="auto"/>
              <w:ind w:firstLine="0" w:firstLineChars="0"/>
              <w:jc w:val="center"/>
              <w:rPr>
                <w:rFonts w:cs="Times New Roman"/>
                <w:sz w:val="21"/>
                <w:szCs w:val="21"/>
              </w:rPr>
            </w:pPr>
            <w:r>
              <w:rPr>
                <w:rFonts w:hint="eastAsia" w:cs="Times New Roman"/>
                <w:sz w:val="21"/>
                <w:szCs w:val="21"/>
              </w:rPr>
              <w:t>119.386469</w:t>
            </w:r>
          </w:p>
        </w:tc>
        <w:tc>
          <w:tcPr>
            <w:tcW w:w="1690" w:type="dxa"/>
            <w:noWrap/>
            <w:vAlign w:val="center"/>
          </w:tcPr>
          <w:p w14:paraId="20B5D8F1">
            <w:pPr>
              <w:spacing w:line="240" w:lineRule="auto"/>
              <w:ind w:firstLine="0" w:firstLineChars="0"/>
              <w:jc w:val="center"/>
              <w:rPr>
                <w:rFonts w:cs="Times New Roman"/>
                <w:sz w:val="21"/>
                <w:szCs w:val="21"/>
              </w:rPr>
            </w:pPr>
            <w:r>
              <w:rPr>
                <w:rFonts w:hint="eastAsia" w:cs="Times New Roman"/>
                <w:sz w:val="21"/>
                <w:szCs w:val="21"/>
              </w:rPr>
              <w:t>31.773501</w:t>
            </w:r>
          </w:p>
        </w:tc>
        <w:tc>
          <w:tcPr>
            <w:tcW w:w="1080" w:type="dxa"/>
            <w:noWrap/>
            <w:vAlign w:val="center"/>
          </w:tcPr>
          <w:p w14:paraId="074B127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C4D978E">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3DE2E5B">
            <w:pPr>
              <w:spacing w:line="240" w:lineRule="auto"/>
              <w:ind w:firstLine="0" w:firstLineChars="0"/>
              <w:jc w:val="center"/>
              <w:rPr>
                <w:rFonts w:cs="Times New Roman"/>
                <w:sz w:val="21"/>
                <w:szCs w:val="21"/>
              </w:rPr>
            </w:pPr>
            <w:r>
              <w:rPr>
                <w:rFonts w:hint="eastAsia" w:cs="Times New Roman"/>
                <w:sz w:val="21"/>
                <w:szCs w:val="21"/>
              </w:rPr>
              <w:t>20</w:t>
            </w:r>
          </w:p>
        </w:tc>
        <w:tc>
          <w:tcPr>
            <w:tcW w:w="1168" w:type="dxa"/>
            <w:noWrap/>
            <w:vAlign w:val="center"/>
          </w:tcPr>
          <w:p w14:paraId="2326B424">
            <w:pPr>
              <w:spacing w:line="240" w:lineRule="auto"/>
              <w:ind w:firstLine="0" w:firstLineChars="0"/>
              <w:jc w:val="center"/>
              <w:rPr>
                <w:rFonts w:cs="Times New Roman"/>
                <w:sz w:val="21"/>
                <w:szCs w:val="21"/>
              </w:rPr>
            </w:pPr>
            <w:r>
              <w:rPr>
                <w:rFonts w:hint="eastAsia" w:cs="Times New Roman"/>
                <w:sz w:val="21"/>
                <w:szCs w:val="21"/>
              </w:rPr>
              <w:t>约20</w:t>
            </w:r>
          </w:p>
        </w:tc>
      </w:tr>
      <w:tr w14:paraId="050E7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7BF258D">
            <w:pPr>
              <w:pStyle w:val="39"/>
              <w:numPr>
                <w:ilvl w:val="0"/>
                <w:numId w:val="7"/>
              </w:numPr>
              <w:spacing w:line="240" w:lineRule="auto"/>
              <w:ind w:firstLineChars="0"/>
              <w:jc w:val="center"/>
              <w:rPr>
                <w:rFonts w:cs="Times New Roman"/>
                <w:sz w:val="21"/>
                <w:szCs w:val="21"/>
              </w:rPr>
            </w:pPr>
          </w:p>
        </w:tc>
        <w:tc>
          <w:tcPr>
            <w:tcW w:w="992" w:type="dxa"/>
            <w:noWrap/>
            <w:vAlign w:val="center"/>
          </w:tcPr>
          <w:p w14:paraId="53ED091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C9C5C1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0E3E67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4C2FB11">
            <w:pPr>
              <w:spacing w:line="240" w:lineRule="auto"/>
              <w:ind w:firstLine="0" w:firstLineChars="0"/>
              <w:jc w:val="center"/>
              <w:rPr>
                <w:rFonts w:cs="Times New Roman"/>
                <w:sz w:val="21"/>
                <w:szCs w:val="21"/>
              </w:rPr>
            </w:pPr>
            <w:r>
              <w:rPr>
                <w:rFonts w:hint="eastAsia" w:cs="Times New Roman"/>
                <w:sz w:val="21"/>
                <w:szCs w:val="21"/>
              </w:rPr>
              <w:t>大树下</w:t>
            </w:r>
          </w:p>
        </w:tc>
        <w:tc>
          <w:tcPr>
            <w:tcW w:w="1701" w:type="dxa"/>
            <w:noWrap/>
            <w:vAlign w:val="center"/>
          </w:tcPr>
          <w:p w14:paraId="0D0D6897">
            <w:pPr>
              <w:spacing w:line="240" w:lineRule="auto"/>
              <w:ind w:firstLine="0" w:firstLineChars="0"/>
              <w:jc w:val="center"/>
              <w:rPr>
                <w:rFonts w:cs="Times New Roman"/>
                <w:sz w:val="21"/>
                <w:szCs w:val="21"/>
              </w:rPr>
            </w:pPr>
            <w:r>
              <w:rPr>
                <w:rFonts w:hint="eastAsia" w:cs="Times New Roman"/>
                <w:sz w:val="21"/>
                <w:szCs w:val="21"/>
              </w:rPr>
              <w:t>119.386648</w:t>
            </w:r>
          </w:p>
        </w:tc>
        <w:tc>
          <w:tcPr>
            <w:tcW w:w="1690" w:type="dxa"/>
            <w:noWrap/>
            <w:vAlign w:val="center"/>
          </w:tcPr>
          <w:p w14:paraId="3F9528E9">
            <w:pPr>
              <w:spacing w:line="240" w:lineRule="auto"/>
              <w:ind w:firstLine="0" w:firstLineChars="0"/>
              <w:jc w:val="center"/>
              <w:rPr>
                <w:rFonts w:cs="Times New Roman"/>
                <w:sz w:val="21"/>
                <w:szCs w:val="21"/>
              </w:rPr>
            </w:pPr>
            <w:r>
              <w:rPr>
                <w:rFonts w:hint="eastAsia" w:cs="Times New Roman"/>
                <w:sz w:val="21"/>
                <w:szCs w:val="21"/>
              </w:rPr>
              <w:t>31.798944</w:t>
            </w:r>
          </w:p>
        </w:tc>
        <w:tc>
          <w:tcPr>
            <w:tcW w:w="1080" w:type="dxa"/>
            <w:noWrap/>
            <w:vAlign w:val="center"/>
          </w:tcPr>
          <w:p w14:paraId="2405CD2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7979E79">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36EB4382">
            <w:pPr>
              <w:spacing w:line="240" w:lineRule="auto"/>
              <w:ind w:firstLine="0" w:firstLineChars="0"/>
              <w:jc w:val="center"/>
              <w:rPr>
                <w:rFonts w:cs="Times New Roman"/>
                <w:sz w:val="21"/>
                <w:szCs w:val="21"/>
              </w:rPr>
            </w:pPr>
            <w:r>
              <w:rPr>
                <w:rFonts w:hint="eastAsia" w:cs="Times New Roman"/>
                <w:sz w:val="21"/>
                <w:szCs w:val="21"/>
              </w:rPr>
              <w:t>429</w:t>
            </w:r>
          </w:p>
        </w:tc>
        <w:tc>
          <w:tcPr>
            <w:tcW w:w="1168" w:type="dxa"/>
            <w:noWrap/>
            <w:vAlign w:val="center"/>
          </w:tcPr>
          <w:p w14:paraId="3B4061A8">
            <w:pPr>
              <w:spacing w:line="240" w:lineRule="auto"/>
              <w:ind w:firstLine="0" w:firstLineChars="0"/>
              <w:jc w:val="center"/>
              <w:rPr>
                <w:rFonts w:cs="Times New Roman"/>
                <w:sz w:val="21"/>
                <w:szCs w:val="21"/>
              </w:rPr>
            </w:pPr>
            <w:r>
              <w:rPr>
                <w:rFonts w:hint="eastAsia" w:cs="Times New Roman"/>
                <w:sz w:val="21"/>
                <w:szCs w:val="21"/>
              </w:rPr>
              <w:t>约70</w:t>
            </w:r>
          </w:p>
        </w:tc>
      </w:tr>
      <w:tr w14:paraId="5501E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83CDEE1">
            <w:pPr>
              <w:pStyle w:val="39"/>
              <w:numPr>
                <w:ilvl w:val="0"/>
                <w:numId w:val="7"/>
              </w:numPr>
              <w:spacing w:line="240" w:lineRule="auto"/>
              <w:ind w:firstLineChars="0"/>
              <w:jc w:val="center"/>
              <w:rPr>
                <w:rFonts w:cs="Times New Roman"/>
                <w:sz w:val="21"/>
                <w:szCs w:val="21"/>
              </w:rPr>
            </w:pPr>
          </w:p>
        </w:tc>
        <w:tc>
          <w:tcPr>
            <w:tcW w:w="992" w:type="dxa"/>
            <w:noWrap/>
            <w:vAlign w:val="center"/>
          </w:tcPr>
          <w:p w14:paraId="1E06595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4D9235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CA68C4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A6835A1">
            <w:pPr>
              <w:spacing w:line="240" w:lineRule="auto"/>
              <w:ind w:firstLine="0" w:firstLineChars="0"/>
              <w:jc w:val="center"/>
              <w:rPr>
                <w:rFonts w:cs="Times New Roman"/>
                <w:sz w:val="21"/>
                <w:szCs w:val="21"/>
              </w:rPr>
            </w:pPr>
            <w:r>
              <w:rPr>
                <w:rFonts w:hint="eastAsia" w:cs="Times New Roman"/>
                <w:sz w:val="21"/>
                <w:szCs w:val="21"/>
              </w:rPr>
              <w:t>亭塘桥</w:t>
            </w:r>
          </w:p>
        </w:tc>
        <w:tc>
          <w:tcPr>
            <w:tcW w:w="1701" w:type="dxa"/>
            <w:noWrap/>
            <w:vAlign w:val="center"/>
          </w:tcPr>
          <w:p w14:paraId="714E9477">
            <w:pPr>
              <w:spacing w:line="240" w:lineRule="auto"/>
              <w:ind w:firstLine="0" w:firstLineChars="0"/>
              <w:jc w:val="center"/>
              <w:rPr>
                <w:rFonts w:cs="Times New Roman"/>
                <w:sz w:val="21"/>
                <w:szCs w:val="21"/>
              </w:rPr>
            </w:pPr>
            <w:r>
              <w:rPr>
                <w:rFonts w:hint="eastAsia" w:cs="Times New Roman"/>
                <w:sz w:val="21"/>
                <w:szCs w:val="21"/>
              </w:rPr>
              <w:t>119.389465</w:t>
            </w:r>
          </w:p>
        </w:tc>
        <w:tc>
          <w:tcPr>
            <w:tcW w:w="1690" w:type="dxa"/>
            <w:noWrap/>
            <w:vAlign w:val="center"/>
          </w:tcPr>
          <w:p w14:paraId="76E5C279">
            <w:pPr>
              <w:spacing w:line="240" w:lineRule="auto"/>
              <w:ind w:firstLine="0" w:firstLineChars="0"/>
              <w:jc w:val="center"/>
              <w:rPr>
                <w:rFonts w:cs="Times New Roman"/>
                <w:sz w:val="21"/>
                <w:szCs w:val="21"/>
              </w:rPr>
            </w:pPr>
            <w:r>
              <w:rPr>
                <w:rFonts w:hint="eastAsia" w:cs="Times New Roman"/>
                <w:sz w:val="21"/>
                <w:szCs w:val="21"/>
              </w:rPr>
              <w:t>31.797062</w:t>
            </w:r>
          </w:p>
        </w:tc>
        <w:tc>
          <w:tcPr>
            <w:tcW w:w="1080" w:type="dxa"/>
            <w:noWrap/>
            <w:vAlign w:val="center"/>
          </w:tcPr>
          <w:p w14:paraId="15029F5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77B6A4C">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13941A5A">
            <w:pPr>
              <w:spacing w:line="240" w:lineRule="auto"/>
              <w:ind w:firstLine="0" w:firstLineChars="0"/>
              <w:jc w:val="center"/>
              <w:rPr>
                <w:rFonts w:cs="Times New Roman"/>
                <w:sz w:val="21"/>
                <w:szCs w:val="21"/>
              </w:rPr>
            </w:pPr>
            <w:r>
              <w:rPr>
                <w:rFonts w:hint="eastAsia" w:cs="Times New Roman"/>
                <w:sz w:val="21"/>
                <w:szCs w:val="21"/>
              </w:rPr>
              <w:t>532</w:t>
            </w:r>
          </w:p>
        </w:tc>
        <w:tc>
          <w:tcPr>
            <w:tcW w:w="1168" w:type="dxa"/>
            <w:noWrap/>
            <w:vAlign w:val="center"/>
          </w:tcPr>
          <w:p w14:paraId="51B66533">
            <w:pPr>
              <w:spacing w:line="240" w:lineRule="auto"/>
              <w:ind w:firstLine="0" w:firstLineChars="0"/>
              <w:jc w:val="center"/>
              <w:rPr>
                <w:rFonts w:cs="Times New Roman"/>
                <w:sz w:val="21"/>
                <w:szCs w:val="21"/>
              </w:rPr>
            </w:pPr>
            <w:r>
              <w:rPr>
                <w:rFonts w:hint="eastAsia" w:cs="Times New Roman"/>
                <w:sz w:val="21"/>
                <w:szCs w:val="21"/>
              </w:rPr>
              <w:t>约50</w:t>
            </w:r>
          </w:p>
        </w:tc>
      </w:tr>
      <w:tr w14:paraId="6706D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FB05B14">
            <w:pPr>
              <w:pStyle w:val="39"/>
              <w:numPr>
                <w:ilvl w:val="0"/>
                <w:numId w:val="7"/>
              </w:numPr>
              <w:spacing w:line="240" w:lineRule="auto"/>
              <w:ind w:firstLineChars="0"/>
              <w:jc w:val="center"/>
              <w:rPr>
                <w:rFonts w:cs="Times New Roman"/>
                <w:sz w:val="21"/>
                <w:szCs w:val="21"/>
              </w:rPr>
            </w:pPr>
          </w:p>
        </w:tc>
        <w:tc>
          <w:tcPr>
            <w:tcW w:w="992" w:type="dxa"/>
            <w:noWrap/>
            <w:vAlign w:val="center"/>
          </w:tcPr>
          <w:p w14:paraId="09211F9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D3C3DD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A87275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F742AF6">
            <w:pPr>
              <w:spacing w:line="240" w:lineRule="auto"/>
              <w:ind w:firstLine="0" w:firstLineChars="0"/>
              <w:jc w:val="center"/>
              <w:rPr>
                <w:rFonts w:cs="Times New Roman"/>
                <w:sz w:val="21"/>
                <w:szCs w:val="21"/>
              </w:rPr>
            </w:pPr>
            <w:r>
              <w:rPr>
                <w:rFonts w:hint="eastAsia" w:cs="Times New Roman"/>
                <w:sz w:val="21"/>
                <w:szCs w:val="21"/>
              </w:rPr>
              <w:t>西</w:t>
            </w:r>
            <w:r>
              <w:rPr>
                <w:rFonts w:hint="eastAsia" w:eastAsia="微软雅黑" w:cs="Times New Roman"/>
                <w:sz w:val="21"/>
                <w:szCs w:val="21"/>
              </w:rPr>
              <w:t>坵</w:t>
            </w:r>
            <w:r>
              <w:rPr>
                <w:rFonts w:hint="eastAsia" w:cs="Times New Roman"/>
                <w:sz w:val="21"/>
                <w:szCs w:val="21"/>
              </w:rPr>
              <w:t>村</w:t>
            </w:r>
          </w:p>
        </w:tc>
        <w:tc>
          <w:tcPr>
            <w:tcW w:w="1701" w:type="dxa"/>
            <w:noWrap/>
            <w:vAlign w:val="center"/>
          </w:tcPr>
          <w:p w14:paraId="77B7ED38">
            <w:pPr>
              <w:spacing w:line="240" w:lineRule="auto"/>
              <w:ind w:firstLine="0" w:firstLineChars="0"/>
              <w:jc w:val="center"/>
              <w:rPr>
                <w:rFonts w:cs="Times New Roman"/>
                <w:sz w:val="21"/>
                <w:szCs w:val="21"/>
              </w:rPr>
            </w:pPr>
            <w:r>
              <w:rPr>
                <w:rFonts w:hint="eastAsia" w:cs="Times New Roman"/>
                <w:sz w:val="21"/>
                <w:szCs w:val="21"/>
              </w:rPr>
              <w:t>119.396165</w:t>
            </w:r>
          </w:p>
        </w:tc>
        <w:tc>
          <w:tcPr>
            <w:tcW w:w="1690" w:type="dxa"/>
            <w:noWrap/>
            <w:vAlign w:val="center"/>
          </w:tcPr>
          <w:p w14:paraId="6B839836">
            <w:pPr>
              <w:spacing w:line="240" w:lineRule="auto"/>
              <w:ind w:firstLine="0" w:firstLineChars="0"/>
              <w:jc w:val="center"/>
              <w:rPr>
                <w:rFonts w:cs="Times New Roman"/>
                <w:sz w:val="21"/>
                <w:szCs w:val="21"/>
              </w:rPr>
            </w:pPr>
            <w:r>
              <w:rPr>
                <w:rFonts w:hint="eastAsia" w:cs="Times New Roman"/>
                <w:sz w:val="21"/>
                <w:szCs w:val="21"/>
              </w:rPr>
              <w:t>31.695308</w:t>
            </w:r>
          </w:p>
        </w:tc>
        <w:tc>
          <w:tcPr>
            <w:tcW w:w="1080" w:type="dxa"/>
            <w:noWrap/>
            <w:vAlign w:val="center"/>
          </w:tcPr>
          <w:p w14:paraId="7ADD443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0F7D6FC">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4E6F5C2D">
            <w:pPr>
              <w:spacing w:line="240" w:lineRule="auto"/>
              <w:ind w:firstLine="0" w:firstLineChars="0"/>
              <w:jc w:val="center"/>
              <w:rPr>
                <w:rFonts w:cs="Times New Roman"/>
                <w:sz w:val="21"/>
                <w:szCs w:val="21"/>
              </w:rPr>
            </w:pPr>
            <w:r>
              <w:rPr>
                <w:rFonts w:hint="eastAsia" w:cs="Times New Roman"/>
                <w:sz w:val="21"/>
                <w:szCs w:val="21"/>
              </w:rPr>
              <w:t>720</w:t>
            </w:r>
          </w:p>
        </w:tc>
        <w:tc>
          <w:tcPr>
            <w:tcW w:w="1168" w:type="dxa"/>
            <w:noWrap/>
            <w:vAlign w:val="center"/>
          </w:tcPr>
          <w:p w14:paraId="60A7BEDA">
            <w:pPr>
              <w:spacing w:line="240" w:lineRule="auto"/>
              <w:ind w:firstLine="0" w:firstLineChars="0"/>
              <w:jc w:val="center"/>
              <w:rPr>
                <w:rFonts w:cs="Times New Roman"/>
                <w:sz w:val="21"/>
                <w:szCs w:val="21"/>
              </w:rPr>
            </w:pPr>
            <w:r>
              <w:rPr>
                <w:rFonts w:hint="eastAsia" w:cs="Times New Roman"/>
                <w:sz w:val="21"/>
                <w:szCs w:val="21"/>
              </w:rPr>
              <w:t>约200</w:t>
            </w:r>
          </w:p>
        </w:tc>
      </w:tr>
      <w:tr w14:paraId="71D05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3B79599">
            <w:pPr>
              <w:pStyle w:val="39"/>
              <w:numPr>
                <w:ilvl w:val="0"/>
                <w:numId w:val="7"/>
              </w:numPr>
              <w:spacing w:line="240" w:lineRule="auto"/>
              <w:ind w:firstLineChars="0"/>
              <w:jc w:val="center"/>
              <w:rPr>
                <w:rFonts w:cs="Times New Roman"/>
                <w:sz w:val="21"/>
                <w:szCs w:val="21"/>
              </w:rPr>
            </w:pPr>
          </w:p>
        </w:tc>
        <w:tc>
          <w:tcPr>
            <w:tcW w:w="992" w:type="dxa"/>
            <w:noWrap/>
            <w:vAlign w:val="center"/>
          </w:tcPr>
          <w:p w14:paraId="7136247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A75B6B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9174F5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6A456AB">
            <w:pPr>
              <w:spacing w:line="240" w:lineRule="auto"/>
              <w:ind w:firstLine="0" w:firstLineChars="0"/>
              <w:jc w:val="center"/>
              <w:rPr>
                <w:rFonts w:cs="Times New Roman"/>
                <w:sz w:val="21"/>
                <w:szCs w:val="21"/>
              </w:rPr>
            </w:pPr>
            <w:r>
              <w:rPr>
                <w:rFonts w:hint="eastAsia" w:cs="Times New Roman"/>
                <w:sz w:val="21"/>
                <w:szCs w:val="21"/>
              </w:rPr>
              <w:t>小冲</w:t>
            </w:r>
          </w:p>
        </w:tc>
        <w:tc>
          <w:tcPr>
            <w:tcW w:w="1701" w:type="dxa"/>
            <w:noWrap/>
            <w:vAlign w:val="center"/>
          </w:tcPr>
          <w:p w14:paraId="65C3BDFF">
            <w:pPr>
              <w:spacing w:line="240" w:lineRule="auto"/>
              <w:ind w:firstLine="0" w:firstLineChars="0"/>
              <w:jc w:val="center"/>
              <w:rPr>
                <w:rFonts w:cs="Times New Roman"/>
                <w:sz w:val="21"/>
                <w:szCs w:val="21"/>
              </w:rPr>
            </w:pPr>
            <w:r>
              <w:rPr>
                <w:rFonts w:hint="eastAsia" w:cs="Times New Roman"/>
                <w:sz w:val="21"/>
                <w:szCs w:val="21"/>
              </w:rPr>
              <w:t>119.387666</w:t>
            </w:r>
          </w:p>
        </w:tc>
        <w:tc>
          <w:tcPr>
            <w:tcW w:w="1690" w:type="dxa"/>
            <w:noWrap/>
            <w:vAlign w:val="center"/>
          </w:tcPr>
          <w:p w14:paraId="50848333">
            <w:pPr>
              <w:spacing w:line="240" w:lineRule="auto"/>
              <w:ind w:firstLine="0" w:firstLineChars="0"/>
              <w:jc w:val="center"/>
              <w:rPr>
                <w:rFonts w:cs="Times New Roman"/>
                <w:sz w:val="21"/>
                <w:szCs w:val="21"/>
              </w:rPr>
            </w:pPr>
            <w:r>
              <w:rPr>
                <w:rFonts w:hint="eastAsia" w:cs="Times New Roman"/>
                <w:sz w:val="21"/>
                <w:szCs w:val="21"/>
              </w:rPr>
              <w:t>31.681029</w:t>
            </w:r>
          </w:p>
        </w:tc>
        <w:tc>
          <w:tcPr>
            <w:tcW w:w="1080" w:type="dxa"/>
            <w:noWrap/>
            <w:vAlign w:val="center"/>
          </w:tcPr>
          <w:p w14:paraId="3F06BCD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E1AA13A">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5A5B2A03">
            <w:pPr>
              <w:spacing w:line="240" w:lineRule="auto"/>
              <w:ind w:firstLine="0" w:firstLineChars="0"/>
              <w:jc w:val="center"/>
              <w:rPr>
                <w:rFonts w:cs="Times New Roman"/>
                <w:sz w:val="21"/>
                <w:szCs w:val="21"/>
              </w:rPr>
            </w:pPr>
            <w:r>
              <w:rPr>
                <w:rFonts w:hint="eastAsia" w:cs="Times New Roman"/>
                <w:sz w:val="21"/>
                <w:szCs w:val="21"/>
              </w:rPr>
              <w:t>559</w:t>
            </w:r>
          </w:p>
        </w:tc>
        <w:tc>
          <w:tcPr>
            <w:tcW w:w="1168" w:type="dxa"/>
            <w:noWrap/>
            <w:vAlign w:val="center"/>
          </w:tcPr>
          <w:p w14:paraId="11B8AF39">
            <w:pPr>
              <w:spacing w:line="240" w:lineRule="auto"/>
              <w:ind w:firstLine="0" w:firstLineChars="0"/>
              <w:jc w:val="center"/>
              <w:rPr>
                <w:rFonts w:cs="Times New Roman"/>
                <w:sz w:val="21"/>
                <w:szCs w:val="21"/>
              </w:rPr>
            </w:pPr>
            <w:r>
              <w:rPr>
                <w:rFonts w:hint="eastAsia" w:cs="Times New Roman"/>
                <w:sz w:val="21"/>
                <w:szCs w:val="21"/>
              </w:rPr>
              <w:t>约30</w:t>
            </w:r>
          </w:p>
        </w:tc>
      </w:tr>
      <w:tr w14:paraId="2B57E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499AD4A">
            <w:pPr>
              <w:pStyle w:val="39"/>
              <w:numPr>
                <w:ilvl w:val="0"/>
                <w:numId w:val="7"/>
              </w:numPr>
              <w:spacing w:line="240" w:lineRule="auto"/>
              <w:ind w:firstLineChars="0"/>
              <w:jc w:val="center"/>
              <w:rPr>
                <w:rFonts w:cs="Times New Roman"/>
                <w:sz w:val="21"/>
                <w:szCs w:val="21"/>
              </w:rPr>
            </w:pPr>
          </w:p>
        </w:tc>
        <w:tc>
          <w:tcPr>
            <w:tcW w:w="992" w:type="dxa"/>
            <w:noWrap/>
            <w:vAlign w:val="center"/>
          </w:tcPr>
          <w:p w14:paraId="04B56E1E">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1A244D7A">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0EF36526">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2AE87EBB">
            <w:pPr>
              <w:spacing w:line="240" w:lineRule="auto"/>
              <w:ind w:firstLine="0" w:firstLineChars="0"/>
              <w:jc w:val="center"/>
              <w:rPr>
                <w:rFonts w:cs="Times New Roman"/>
                <w:sz w:val="21"/>
                <w:szCs w:val="21"/>
              </w:rPr>
            </w:pPr>
            <w:r>
              <w:rPr>
                <w:rFonts w:hint="eastAsia" w:cs="Times New Roman"/>
                <w:sz w:val="21"/>
                <w:szCs w:val="21"/>
              </w:rPr>
              <w:t>西谷里</w:t>
            </w:r>
          </w:p>
        </w:tc>
        <w:tc>
          <w:tcPr>
            <w:tcW w:w="1701" w:type="dxa"/>
            <w:noWrap/>
            <w:vAlign w:val="center"/>
          </w:tcPr>
          <w:p w14:paraId="25BFFCB2">
            <w:pPr>
              <w:spacing w:line="240" w:lineRule="auto"/>
              <w:ind w:firstLine="0" w:firstLineChars="0"/>
              <w:jc w:val="center"/>
              <w:rPr>
                <w:rFonts w:cs="Times New Roman"/>
                <w:sz w:val="21"/>
                <w:szCs w:val="21"/>
              </w:rPr>
            </w:pPr>
            <w:r>
              <w:rPr>
                <w:rFonts w:hint="eastAsia" w:cs="Times New Roman"/>
                <w:sz w:val="21"/>
                <w:szCs w:val="21"/>
              </w:rPr>
              <w:t>119.380542</w:t>
            </w:r>
          </w:p>
        </w:tc>
        <w:tc>
          <w:tcPr>
            <w:tcW w:w="1690" w:type="dxa"/>
            <w:noWrap/>
            <w:vAlign w:val="center"/>
          </w:tcPr>
          <w:p w14:paraId="5B012608">
            <w:pPr>
              <w:spacing w:line="240" w:lineRule="auto"/>
              <w:ind w:firstLine="0" w:firstLineChars="0"/>
              <w:jc w:val="center"/>
              <w:rPr>
                <w:rFonts w:cs="Times New Roman"/>
                <w:sz w:val="21"/>
                <w:szCs w:val="21"/>
              </w:rPr>
            </w:pPr>
            <w:r>
              <w:rPr>
                <w:rFonts w:hint="eastAsia" w:cs="Times New Roman"/>
                <w:sz w:val="21"/>
                <w:szCs w:val="21"/>
              </w:rPr>
              <w:t>31.853272</w:t>
            </w:r>
          </w:p>
        </w:tc>
        <w:tc>
          <w:tcPr>
            <w:tcW w:w="1080" w:type="dxa"/>
            <w:noWrap/>
            <w:vAlign w:val="center"/>
          </w:tcPr>
          <w:p w14:paraId="59FA648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305E096">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1A03D54D">
            <w:pPr>
              <w:spacing w:line="240" w:lineRule="auto"/>
              <w:ind w:firstLine="0" w:firstLineChars="0"/>
              <w:jc w:val="center"/>
              <w:rPr>
                <w:rFonts w:cs="Times New Roman"/>
                <w:sz w:val="21"/>
                <w:szCs w:val="21"/>
              </w:rPr>
            </w:pPr>
            <w:r>
              <w:rPr>
                <w:rFonts w:hint="eastAsia" w:cs="Times New Roman"/>
                <w:sz w:val="21"/>
                <w:szCs w:val="21"/>
              </w:rPr>
              <w:t>1040</w:t>
            </w:r>
          </w:p>
        </w:tc>
        <w:tc>
          <w:tcPr>
            <w:tcW w:w="1168" w:type="dxa"/>
            <w:noWrap/>
            <w:vAlign w:val="center"/>
          </w:tcPr>
          <w:p w14:paraId="45250328">
            <w:pPr>
              <w:spacing w:line="240" w:lineRule="auto"/>
              <w:ind w:firstLine="0" w:firstLineChars="0"/>
              <w:jc w:val="center"/>
              <w:rPr>
                <w:rFonts w:cs="Times New Roman"/>
                <w:sz w:val="21"/>
                <w:szCs w:val="21"/>
              </w:rPr>
            </w:pPr>
            <w:r>
              <w:rPr>
                <w:rFonts w:hint="eastAsia" w:cs="Times New Roman"/>
                <w:sz w:val="21"/>
                <w:szCs w:val="21"/>
              </w:rPr>
              <w:t>约100</w:t>
            </w:r>
          </w:p>
        </w:tc>
      </w:tr>
      <w:tr w14:paraId="48CD3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7B44F59">
            <w:pPr>
              <w:pStyle w:val="39"/>
              <w:numPr>
                <w:ilvl w:val="0"/>
                <w:numId w:val="7"/>
              </w:numPr>
              <w:spacing w:line="240" w:lineRule="auto"/>
              <w:ind w:firstLineChars="0"/>
              <w:jc w:val="center"/>
              <w:rPr>
                <w:rFonts w:cs="Times New Roman"/>
                <w:sz w:val="21"/>
                <w:szCs w:val="21"/>
              </w:rPr>
            </w:pPr>
          </w:p>
        </w:tc>
        <w:tc>
          <w:tcPr>
            <w:tcW w:w="992" w:type="dxa"/>
            <w:noWrap/>
            <w:vAlign w:val="center"/>
          </w:tcPr>
          <w:p w14:paraId="5D675B4B">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780E21EF">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4F89A0F7">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7A76A70E">
            <w:pPr>
              <w:spacing w:line="240" w:lineRule="auto"/>
              <w:ind w:firstLine="0" w:firstLineChars="0"/>
              <w:jc w:val="center"/>
              <w:rPr>
                <w:rFonts w:cs="Times New Roman"/>
                <w:sz w:val="21"/>
                <w:szCs w:val="21"/>
              </w:rPr>
            </w:pPr>
            <w:r>
              <w:rPr>
                <w:rFonts w:hint="eastAsia" w:cs="Times New Roman"/>
                <w:sz w:val="21"/>
                <w:szCs w:val="21"/>
              </w:rPr>
              <w:t>胡达里</w:t>
            </w:r>
          </w:p>
        </w:tc>
        <w:tc>
          <w:tcPr>
            <w:tcW w:w="1701" w:type="dxa"/>
            <w:noWrap/>
            <w:vAlign w:val="center"/>
          </w:tcPr>
          <w:p w14:paraId="35A01D3F">
            <w:pPr>
              <w:spacing w:line="240" w:lineRule="auto"/>
              <w:ind w:firstLine="0" w:firstLineChars="0"/>
              <w:jc w:val="center"/>
              <w:rPr>
                <w:rFonts w:cs="Times New Roman"/>
                <w:sz w:val="21"/>
                <w:szCs w:val="21"/>
              </w:rPr>
            </w:pPr>
            <w:r>
              <w:rPr>
                <w:rFonts w:hint="eastAsia" w:cs="Times New Roman"/>
                <w:sz w:val="21"/>
                <w:szCs w:val="21"/>
              </w:rPr>
              <w:t>119.386503</w:t>
            </w:r>
          </w:p>
        </w:tc>
        <w:tc>
          <w:tcPr>
            <w:tcW w:w="1690" w:type="dxa"/>
            <w:noWrap/>
            <w:vAlign w:val="center"/>
          </w:tcPr>
          <w:p w14:paraId="7E6DCC38">
            <w:pPr>
              <w:spacing w:line="240" w:lineRule="auto"/>
              <w:ind w:firstLine="0" w:firstLineChars="0"/>
              <w:jc w:val="center"/>
              <w:rPr>
                <w:rFonts w:cs="Times New Roman"/>
                <w:sz w:val="21"/>
                <w:szCs w:val="21"/>
              </w:rPr>
            </w:pPr>
            <w:r>
              <w:rPr>
                <w:rFonts w:hint="eastAsia" w:cs="Times New Roman"/>
                <w:sz w:val="21"/>
                <w:szCs w:val="21"/>
              </w:rPr>
              <w:t>31.854552</w:t>
            </w:r>
          </w:p>
        </w:tc>
        <w:tc>
          <w:tcPr>
            <w:tcW w:w="1080" w:type="dxa"/>
            <w:noWrap/>
            <w:vAlign w:val="center"/>
          </w:tcPr>
          <w:p w14:paraId="61C81C7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DC88A58">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41D9B63B">
            <w:pPr>
              <w:spacing w:line="240" w:lineRule="auto"/>
              <w:ind w:firstLine="0" w:firstLineChars="0"/>
              <w:jc w:val="center"/>
              <w:rPr>
                <w:rFonts w:cs="Times New Roman"/>
                <w:sz w:val="21"/>
                <w:szCs w:val="21"/>
              </w:rPr>
            </w:pPr>
            <w:r>
              <w:rPr>
                <w:rFonts w:hint="eastAsia" w:cs="Times New Roman"/>
                <w:sz w:val="21"/>
                <w:szCs w:val="21"/>
              </w:rPr>
              <w:t>1760</w:t>
            </w:r>
          </w:p>
        </w:tc>
        <w:tc>
          <w:tcPr>
            <w:tcW w:w="1168" w:type="dxa"/>
            <w:noWrap/>
            <w:vAlign w:val="center"/>
          </w:tcPr>
          <w:p w14:paraId="3393A0B3">
            <w:pPr>
              <w:spacing w:line="240" w:lineRule="auto"/>
              <w:ind w:firstLine="0" w:firstLineChars="0"/>
              <w:jc w:val="center"/>
              <w:rPr>
                <w:rFonts w:cs="Times New Roman"/>
                <w:sz w:val="21"/>
                <w:szCs w:val="21"/>
              </w:rPr>
            </w:pPr>
            <w:r>
              <w:rPr>
                <w:rFonts w:hint="eastAsia" w:cs="Times New Roman"/>
                <w:sz w:val="21"/>
                <w:szCs w:val="21"/>
              </w:rPr>
              <w:t>约30</w:t>
            </w:r>
          </w:p>
        </w:tc>
      </w:tr>
      <w:tr w14:paraId="226E4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9556FEA">
            <w:pPr>
              <w:pStyle w:val="39"/>
              <w:numPr>
                <w:ilvl w:val="0"/>
                <w:numId w:val="7"/>
              </w:numPr>
              <w:spacing w:line="240" w:lineRule="auto"/>
              <w:ind w:firstLineChars="0"/>
              <w:jc w:val="center"/>
              <w:rPr>
                <w:rFonts w:cs="Times New Roman"/>
                <w:sz w:val="21"/>
                <w:szCs w:val="21"/>
              </w:rPr>
            </w:pPr>
          </w:p>
        </w:tc>
        <w:tc>
          <w:tcPr>
            <w:tcW w:w="992" w:type="dxa"/>
            <w:noWrap/>
            <w:vAlign w:val="center"/>
          </w:tcPr>
          <w:p w14:paraId="575CC88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493950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169549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1D9C7BE">
            <w:pPr>
              <w:spacing w:line="240" w:lineRule="auto"/>
              <w:ind w:firstLine="0" w:firstLineChars="0"/>
              <w:jc w:val="center"/>
              <w:rPr>
                <w:rFonts w:cs="Times New Roman"/>
                <w:sz w:val="21"/>
                <w:szCs w:val="21"/>
              </w:rPr>
            </w:pPr>
            <w:r>
              <w:rPr>
                <w:rFonts w:hint="eastAsia" w:cs="Times New Roman"/>
                <w:sz w:val="21"/>
                <w:szCs w:val="21"/>
              </w:rPr>
              <w:t>和尚墩</w:t>
            </w:r>
          </w:p>
        </w:tc>
        <w:tc>
          <w:tcPr>
            <w:tcW w:w="1701" w:type="dxa"/>
            <w:noWrap/>
            <w:vAlign w:val="center"/>
          </w:tcPr>
          <w:p w14:paraId="66A7CA60">
            <w:pPr>
              <w:spacing w:line="240" w:lineRule="auto"/>
              <w:ind w:firstLine="0" w:firstLineChars="0"/>
              <w:jc w:val="center"/>
              <w:rPr>
                <w:rFonts w:cs="Times New Roman"/>
                <w:sz w:val="21"/>
                <w:szCs w:val="21"/>
              </w:rPr>
            </w:pPr>
            <w:r>
              <w:rPr>
                <w:rFonts w:hint="eastAsia" w:cs="Times New Roman"/>
                <w:sz w:val="21"/>
                <w:szCs w:val="21"/>
              </w:rPr>
              <w:t>119.357263</w:t>
            </w:r>
          </w:p>
        </w:tc>
        <w:tc>
          <w:tcPr>
            <w:tcW w:w="1690" w:type="dxa"/>
            <w:noWrap/>
            <w:vAlign w:val="center"/>
          </w:tcPr>
          <w:p w14:paraId="53C8E027">
            <w:pPr>
              <w:spacing w:line="240" w:lineRule="auto"/>
              <w:ind w:firstLine="0" w:firstLineChars="0"/>
              <w:jc w:val="center"/>
              <w:rPr>
                <w:rFonts w:cs="Times New Roman"/>
                <w:sz w:val="21"/>
                <w:szCs w:val="21"/>
              </w:rPr>
            </w:pPr>
            <w:r>
              <w:rPr>
                <w:rFonts w:hint="eastAsia" w:cs="Times New Roman"/>
                <w:sz w:val="21"/>
                <w:szCs w:val="21"/>
              </w:rPr>
              <w:t>31.725581</w:t>
            </w:r>
          </w:p>
        </w:tc>
        <w:tc>
          <w:tcPr>
            <w:tcW w:w="1080" w:type="dxa"/>
            <w:noWrap/>
            <w:vAlign w:val="center"/>
          </w:tcPr>
          <w:p w14:paraId="4C4A5FF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0A1ECB4">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03AACA06">
            <w:pPr>
              <w:spacing w:line="240" w:lineRule="auto"/>
              <w:ind w:firstLine="0" w:firstLineChars="0"/>
              <w:jc w:val="center"/>
              <w:rPr>
                <w:rFonts w:cs="Times New Roman"/>
                <w:sz w:val="21"/>
                <w:szCs w:val="21"/>
              </w:rPr>
            </w:pPr>
            <w:r>
              <w:rPr>
                <w:rFonts w:hint="eastAsia" w:cs="Times New Roman"/>
                <w:sz w:val="21"/>
                <w:szCs w:val="21"/>
              </w:rPr>
              <w:t>605</w:t>
            </w:r>
          </w:p>
        </w:tc>
        <w:tc>
          <w:tcPr>
            <w:tcW w:w="1168" w:type="dxa"/>
            <w:noWrap/>
            <w:vAlign w:val="center"/>
          </w:tcPr>
          <w:p w14:paraId="5CA00CFB">
            <w:pPr>
              <w:spacing w:line="240" w:lineRule="auto"/>
              <w:ind w:firstLine="0" w:firstLineChars="0"/>
              <w:jc w:val="center"/>
              <w:rPr>
                <w:rFonts w:cs="Times New Roman"/>
                <w:sz w:val="21"/>
                <w:szCs w:val="21"/>
              </w:rPr>
            </w:pPr>
            <w:r>
              <w:rPr>
                <w:rFonts w:hint="eastAsia" w:cs="Times New Roman"/>
                <w:sz w:val="21"/>
                <w:szCs w:val="21"/>
              </w:rPr>
              <w:t>约20</w:t>
            </w:r>
          </w:p>
        </w:tc>
      </w:tr>
      <w:tr w14:paraId="5167F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20C733D">
            <w:pPr>
              <w:pStyle w:val="39"/>
              <w:numPr>
                <w:ilvl w:val="0"/>
                <w:numId w:val="7"/>
              </w:numPr>
              <w:spacing w:line="240" w:lineRule="auto"/>
              <w:ind w:firstLineChars="0"/>
              <w:jc w:val="center"/>
              <w:rPr>
                <w:rFonts w:cs="Times New Roman"/>
                <w:sz w:val="21"/>
                <w:szCs w:val="21"/>
              </w:rPr>
            </w:pPr>
          </w:p>
        </w:tc>
        <w:tc>
          <w:tcPr>
            <w:tcW w:w="992" w:type="dxa"/>
            <w:noWrap/>
            <w:vAlign w:val="center"/>
          </w:tcPr>
          <w:p w14:paraId="6BA95CA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B4953D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DEA1DD4">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1355B5F">
            <w:pPr>
              <w:spacing w:line="240" w:lineRule="auto"/>
              <w:ind w:firstLine="0" w:firstLineChars="0"/>
              <w:jc w:val="center"/>
              <w:rPr>
                <w:rFonts w:cs="Times New Roman"/>
                <w:sz w:val="21"/>
                <w:szCs w:val="21"/>
              </w:rPr>
            </w:pPr>
            <w:r>
              <w:rPr>
                <w:rFonts w:hint="eastAsia" w:cs="Times New Roman"/>
                <w:sz w:val="21"/>
                <w:szCs w:val="21"/>
              </w:rPr>
              <w:t>山东村</w:t>
            </w:r>
          </w:p>
        </w:tc>
        <w:tc>
          <w:tcPr>
            <w:tcW w:w="1701" w:type="dxa"/>
            <w:noWrap/>
            <w:vAlign w:val="center"/>
          </w:tcPr>
          <w:p w14:paraId="0B7A0A67">
            <w:pPr>
              <w:spacing w:line="240" w:lineRule="auto"/>
              <w:ind w:firstLine="0" w:firstLineChars="0"/>
              <w:jc w:val="center"/>
              <w:rPr>
                <w:rFonts w:cs="Times New Roman"/>
                <w:sz w:val="21"/>
                <w:szCs w:val="21"/>
              </w:rPr>
            </w:pPr>
            <w:r>
              <w:rPr>
                <w:rFonts w:hint="eastAsia" w:cs="Times New Roman"/>
                <w:sz w:val="21"/>
                <w:szCs w:val="21"/>
              </w:rPr>
              <w:t>119.382903</w:t>
            </w:r>
          </w:p>
        </w:tc>
        <w:tc>
          <w:tcPr>
            <w:tcW w:w="1690" w:type="dxa"/>
            <w:noWrap/>
            <w:vAlign w:val="center"/>
          </w:tcPr>
          <w:p w14:paraId="3AAF475E">
            <w:pPr>
              <w:spacing w:line="240" w:lineRule="auto"/>
              <w:ind w:firstLine="0" w:firstLineChars="0"/>
              <w:jc w:val="center"/>
              <w:rPr>
                <w:rFonts w:cs="Times New Roman"/>
                <w:sz w:val="21"/>
                <w:szCs w:val="21"/>
              </w:rPr>
            </w:pPr>
            <w:r>
              <w:rPr>
                <w:rFonts w:hint="eastAsia" w:cs="Times New Roman"/>
                <w:sz w:val="21"/>
                <w:szCs w:val="21"/>
              </w:rPr>
              <w:t>31.690783</w:t>
            </w:r>
          </w:p>
        </w:tc>
        <w:tc>
          <w:tcPr>
            <w:tcW w:w="1080" w:type="dxa"/>
            <w:noWrap/>
            <w:vAlign w:val="center"/>
          </w:tcPr>
          <w:p w14:paraId="78B0A1D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59C2ADE">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4DD6C47">
            <w:pPr>
              <w:spacing w:line="240" w:lineRule="auto"/>
              <w:ind w:firstLine="0" w:firstLineChars="0"/>
              <w:jc w:val="center"/>
              <w:rPr>
                <w:rFonts w:cs="Times New Roman"/>
                <w:sz w:val="21"/>
                <w:szCs w:val="21"/>
              </w:rPr>
            </w:pPr>
            <w:r>
              <w:rPr>
                <w:rFonts w:hint="eastAsia" w:cs="Times New Roman"/>
                <w:sz w:val="21"/>
                <w:szCs w:val="21"/>
              </w:rPr>
              <w:t>109</w:t>
            </w:r>
          </w:p>
        </w:tc>
        <w:tc>
          <w:tcPr>
            <w:tcW w:w="1168" w:type="dxa"/>
            <w:noWrap/>
            <w:vAlign w:val="center"/>
          </w:tcPr>
          <w:p w14:paraId="574EC252">
            <w:pPr>
              <w:spacing w:line="240" w:lineRule="auto"/>
              <w:ind w:firstLine="0" w:firstLineChars="0"/>
              <w:jc w:val="center"/>
              <w:rPr>
                <w:rFonts w:cs="Times New Roman"/>
                <w:sz w:val="21"/>
                <w:szCs w:val="21"/>
              </w:rPr>
            </w:pPr>
            <w:r>
              <w:rPr>
                <w:rFonts w:hint="eastAsia" w:cs="Times New Roman"/>
                <w:sz w:val="21"/>
                <w:szCs w:val="21"/>
              </w:rPr>
              <w:t>约20</w:t>
            </w:r>
          </w:p>
        </w:tc>
      </w:tr>
      <w:tr w14:paraId="4B20A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E4B424F">
            <w:pPr>
              <w:pStyle w:val="39"/>
              <w:numPr>
                <w:ilvl w:val="0"/>
                <w:numId w:val="7"/>
              </w:numPr>
              <w:spacing w:line="240" w:lineRule="auto"/>
              <w:ind w:firstLineChars="0"/>
              <w:jc w:val="center"/>
              <w:rPr>
                <w:rFonts w:cs="Times New Roman"/>
                <w:sz w:val="21"/>
                <w:szCs w:val="21"/>
              </w:rPr>
            </w:pPr>
          </w:p>
        </w:tc>
        <w:tc>
          <w:tcPr>
            <w:tcW w:w="992" w:type="dxa"/>
            <w:noWrap/>
            <w:vAlign w:val="center"/>
          </w:tcPr>
          <w:p w14:paraId="170A7DA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4B2A8C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A6B66A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F59CE41">
            <w:pPr>
              <w:spacing w:line="240" w:lineRule="auto"/>
              <w:ind w:firstLine="0" w:firstLineChars="0"/>
              <w:jc w:val="center"/>
              <w:rPr>
                <w:rFonts w:cs="Times New Roman"/>
                <w:sz w:val="21"/>
                <w:szCs w:val="21"/>
              </w:rPr>
            </w:pPr>
            <w:r>
              <w:rPr>
                <w:rFonts w:hint="eastAsia" w:cs="Times New Roman"/>
                <w:sz w:val="21"/>
                <w:szCs w:val="21"/>
              </w:rPr>
              <w:t>上阳村</w:t>
            </w:r>
          </w:p>
        </w:tc>
        <w:tc>
          <w:tcPr>
            <w:tcW w:w="1701" w:type="dxa"/>
            <w:noWrap/>
            <w:vAlign w:val="center"/>
          </w:tcPr>
          <w:p w14:paraId="32648961">
            <w:pPr>
              <w:spacing w:line="240" w:lineRule="auto"/>
              <w:ind w:firstLine="0" w:firstLineChars="0"/>
              <w:jc w:val="center"/>
              <w:rPr>
                <w:rFonts w:cs="Times New Roman"/>
                <w:sz w:val="21"/>
                <w:szCs w:val="21"/>
              </w:rPr>
            </w:pPr>
            <w:r>
              <w:rPr>
                <w:rFonts w:hint="eastAsia" w:cs="Times New Roman"/>
                <w:sz w:val="21"/>
                <w:szCs w:val="21"/>
              </w:rPr>
              <w:t>119.380989</w:t>
            </w:r>
          </w:p>
        </w:tc>
        <w:tc>
          <w:tcPr>
            <w:tcW w:w="1690" w:type="dxa"/>
            <w:noWrap/>
            <w:vAlign w:val="center"/>
          </w:tcPr>
          <w:p w14:paraId="09617942">
            <w:pPr>
              <w:spacing w:line="240" w:lineRule="auto"/>
              <w:ind w:firstLine="0" w:firstLineChars="0"/>
              <w:jc w:val="center"/>
              <w:rPr>
                <w:rFonts w:cs="Times New Roman"/>
                <w:sz w:val="21"/>
                <w:szCs w:val="21"/>
              </w:rPr>
            </w:pPr>
            <w:r>
              <w:rPr>
                <w:rFonts w:hint="eastAsia" w:cs="Times New Roman"/>
                <w:sz w:val="21"/>
                <w:szCs w:val="21"/>
              </w:rPr>
              <w:t>31.727639</w:t>
            </w:r>
          </w:p>
        </w:tc>
        <w:tc>
          <w:tcPr>
            <w:tcW w:w="1080" w:type="dxa"/>
            <w:noWrap/>
            <w:vAlign w:val="center"/>
          </w:tcPr>
          <w:p w14:paraId="336ED67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74FE104">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55FC5EC1">
            <w:pPr>
              <w:spacing w:line="240" w:lineRule="auto"/>
              <w:ind w:firstLine="0" w:firstLineChars="0"/>
              <w:jc w:val="center"/>
              <w:rPr>
                <w:rFonts w:cs="Times New Roman"/>
                <w:sz w:val="21"/>
                <w:szCs w:val="21"/>
              </w:rPr>
            </w:pPr>
            <w:r>
              <w:rPr>
                <w:rFonts w:hint="eastAsia" w:cs="Times New Roman"/>
                <w:sz w:val="21"/>
                <w:szCs w:val="21"/>
              </w:rPr>
              <w:t>630</w:t>
            </w:r>
          </w:p>
        </w:tc>
        <w:tc>
          <w:tcPr>
            <w:tcW w:w="1168" w:type="dxa"/>
            <w:noWrap/>
            <w:vAlign w:val="center"/>
          </w:tcPr>
          <w:p w14:paraId="6C030490">
            <w:pPr>
              <w:spacing w:line="240" w:lineRule="auto"/>
              <w:ind w:firstLine="0" w:firstLineChars="0"/>
              <w:jc w:val="center"/>
              <w:rPr>
                <w:rFonts w:cs="Times New Roman"/>
                <w:sz w:val="21"/>
                <w:szCs w:val="21"/>
              </w:rPr>
            </w:pPr>
            <w:r>
              <w:rPr>
                <w:rFonts w:hint="eastAsia" w:cs="Times New Roman"/>
                <w:sz w:val="21"/>
                <w:szCs w:val="21"/>
              </w:rPr>
              <w:t>约200</w:t>
            </w:r>
          </w:p>
        </w:tc>
      </w:tr>
      <w:tr w14:paraId="7C260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47E0D3C">
            <w:pPr>
              <w:pStyle w:val="39"/>
              <w:numPr>
                <w:ilvl w:val="0"/>
                <w:numId w:val="7"/>
              </w:numPr>
              <w:spacing w:line="240" w:lineRule="auto"/>
              <w:ind w:firstLineChars="0"/>
              <w:jc w:val="center"/>
              <w:rPr>
                <w:rFonts w:cs="Times New Roman"/>
                <w:sz w:val="21"/>
                <w:szCs w:val="21"/>
              </w:rPr>
            </w:pPr>
          </w:p>
        </w:tc>
        <w:tc>
          <w:tcPr>
            <w:tcW w:w="992" w:type="dxa"/>
            <w:noWrap/>
            <w:vAlign w:val="center"/>
          </w:tcPr>
          <w:p w14:paraId="7545D74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CAEA33B">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4411BBFC">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02F24889">
            <w:pPr>
              <w:spacing w:line="240" w:lineRule="auto"/>
              <w:ind w:firstLine="0" w:firstLineChars="0"/>
              <w:jc w:val="center"/>
              <w:rPr>
                <w:rFonts w:cs="Times New Roman"/>
                <w:sz w:val="21"/>
                <w:szCs w:val="21"/>
              </w:rPr>
            </w:pPr>
            <w:r>
              <w:rPr>
                <w:rFonts w:hint="eastAsia" w:cs="Times New Roman"/>
                <w:sz w:val="21"/>
                <w:szCs w:val="21"/>
              </w:rPr>
              <w:t>后陈</w:t>
            </w:r>
          </w:p>
        </w:tc>
        <w:tc>
          <w:tcPr>
            <w:tcW w:w="1701" w:type="dxa"/>
            <w:noWrap/>
            <w:vAlign w:val="center"/>
          </w:tcPr>
          <w:p w14:paraId="065D482B">
            <w:pPr>
              <w:spacing w:line="240" w:lineRule="auto"/>
              <w:ind w:firstLine="0" w:firstLineChars="0"/>
              <w:jc w:val="center"/>
              <w:rPr>
                <w:rFonts w:cs="Times New Roman"/>
                <w:sz w:val="21"/>
                <w:szCs w:val="21"/>
              </w:rPr>
            </w:pPr>
            <w:r>
              <w:rPr>
                <w:rFonts w:hint="eastAsia" w:cs="Times New Roman"/>
                <w:sz w:val="21"/>
                <w:szCs w:val="21"/>
              </w:rPr>
              <w:t>119.380577</w:t>
            </w:r>
          </w:p>
        </w:tc>
        <w:tc>
          <w:tcPr>
            <w:tcW w:w="1690" w:type="dxa"/>
            <w:noWrap/>
            <w:vAlign w:val="center"/>
          </w:tcPr>
          <w:p w14:paraId="595AAB19">
            <w:pPr>
              <w:spacing w:line="240" w:lineRule="auto"/>
              <w:ind w:firstLine="0" w:firstLineChars="0"/>
              <w:jc w:val="center"/>
              <w:rPr>
                <w:rFonts w:cs="Times New Roman"/>
                <w:sz w:val="21"/>
                <w:szCs w:val="21"/>
              </w:rPr>
            </w:pPr>
            <w:r>
              <w:rPr>
                <w:rFonts w:hint="eastAsia" w:cs="Times New Roman"/>
                <w:sz w:val="21"/>
                <w:szCs w:val="21"/>
              </w:rPr>
              <w:t>31.628713</w:t>
            </w:r>
          </w:p>
        </w:tc>
        <w:tc>
          <w:tcPr>
            <w:tcW w:w="1080" w:type="dxa"/>
            <w:noWrap/>
            <w:vAlign w:val="center"/>
          </w:tcPr>
          <w:p w14:paraId="3B0349E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430D5D9">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12D07E36">
            <w:pPr>
              <w:spacing w:line="240" w:lineRule="auto"/>
              <w:ind w:firstLine="0" w:firstLineChars="0"/>
              <w:jc w:val="center"/>
              <w:rPr>
                <w:rFonts w:cs="Times New Roman"/>
                <w:sz w:val="21"/>
                <w:szCs w:val="21"/>
              </w:rPr>
            </w:pPr>
            <w:r>
              <w:rPr>
                <w:rFonts w:hint="eastAsia" w:cs="Times New Roman"/>
                <w:sz w:val="21"/>
                <w:szCs w:val="21"/>
              </w:rPr>
              <w:t>358</w:t>
            </w:r>
          </w:p>
        </w:tc>
        <w:tc>
          <w:tcPr>
            <w:tcW w:w="1168" w:type="dxa"/>
            <w:noWrap/>
            <w:vAlign w:val="center"/>
          </w:tcPr>
          <w:p w14:paraId="4B4326E0">
            <w:pPr>
              <w:spacing w:line="240" w:lineRule="auto"/>
              <w:ind w:firstLine="0" w:firstLineChars="0"/>
              <w:jc w:val="center"/>
              <w:rPr>
                <w:rFonts w:cs="Times New Roman"/>
                <w:sz w:val="21"/>
                <w:szCs w:val="21"/>
              </w:rPr>
            </w:pPr>
            <w:r>
              <w:rPr>
                <w:rFonts w:hint="eastAsia" w:cs="Times New Roman"/>
                <w:sz w:val="21"/>
                <w:szCs w:val="21"/>
              </w:rPr>
              <w:t>约40</w:t>
            </w:r>
          </w:p>
        </w:tc>
      </w:tr>
      <w:tr w14:paraId="08F32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9199FB9">
            <w:pPr>
              <w:pStyle w:val="39"/>
              <w:numPr>
                <w:ilvl w:val="0"/>
                <w:numId w:val="7"/>
              </w:numPr>
              <w:spacing w:line="240" w:lineRule="auto"/>
              <w:ind w:firstLineChars="0"/>
              <w:jc w:val="center"/>
              <w:rPr>
                <w:rFonts w:cs="Times New Roman"/>
                <w:sz w:val="21"/>
                <w:szCs w:val="21"/>
              </w:rPr>
            </w:pPr>
          </w:p>
        </w:tc>
        <w:tc>
          <w:tcPr>
            <w:tcW w:w="992" w:type="dxa"/>
            <w:noWrap/>
            <w:vAlign w:val="center"/>
          </w:tcPr>
          <w:p w14:paraId="76C75E7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F7827EB">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1FE0077D">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3F14ADFD">
            <w:pPr>
              <w:spacing w:line="240" w:lineRule="auto"/>
              <w:ind w:firstLine="0" w:firstLineChars="0"/>
              <w:jc w:val="center"/>
              <w:rPr>
                <w:rFonts w:cs="Times New Roman"/>
                <w:sz w:val="21"/>
                <w:szCs w:val="21"/>
              </w:rPr>
            </w:pPr>
            <w:r>
              <w:rPr>
                <w:rFonts w:hint="eastAsia" w:cs="Times New Roman"/>
                <w:sz w:val="21"/>
                <w:szCs w:val="21"/>
              </w:rPr>
              <w:t>黄金山村</w:t>
            </w:r>
          </w:p>
        </w:tc>
        <w:tc>
          <w:tcPr>
            <w:tcW w:w="1701" w:type="dxa"/>
            <w:noWrap/>
            <w:vAlign w:val="center"/>
          </w:tcPr>
          <w:p w14:paraId="60C852B6">
            <w:pPr>
              <w:spacing w:line="240" w:lineRule="auto"/>
              <w:ind w:firstLine="0" w:firstLineChars="0"/>
              <w:jc w:val="center"/>
              <w:rPr>
                <w:rFonts w:cs="Times New Roman"/>
                <w:sz w:val="21"/>
                <w:szCs w:val="21"/>
              </w:rPr>
            </w:pPr>
            <w:r>
              <w:rPr>
                <w:rFonts w:hint="eastAsia" w:cs="Times New Roman"/>
                <w:sz w:val="21"/>
                <w:szCs w:val="21"/>
              </w:rPr>
              <w:t>119.391306</w:t>
            </w:r>
          </w:p>
        </w:tc>
        <w:tc>
          <w:tcPr>
            <w:tcW w:w="1690" w:type="dxa"/>
            <w:noWrap/>
            <w:vAlign w:val="center"/>
          </w:tcPr>
          <w:p w14:paraId="242E555E">
            <w:pPr>
              <w:spacing w:line="240" w:lineRule="auto"/>
              <w:ind w:firstLine="0" w:firstLineChars="0"/>
              <w:jc w:val="center"/>
              <w:rPr>
                <w:rFonts w:cs="Times New Roman"/>
                <w:sz w:val="21"/>
                <w:szCs w:val="21"/>
              </w:rPr>
            </w:pPr>
            <w:r>
              <w:rPr>
                <w:rFonts w:hint="eastAsia" w:cs="Times New Roman"/>
                <w:sz w:val="21"/>
                <w:szCs w:val="21"/>
              </w:rPr>
              <w:t>31.622983</w:t>
            </w:r>
          </w:p>
        </w:tc>
        <w:tc>
          <w:tcPr>
            <w:tcW w:w="1080" w:type="dxa"/>
            <w:noWrap/>
            <w:vAlign w:val="center"/>
          </w:tcPr>
          <w:p w14:paraId="4984820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D1E1091">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09924D2F">
            <w:pPr>
              <w:spacing w:line="240" w:lineRule="auto"/>
              <w:ind w:firstLine="0" w:firstLineChars="0"/>
              <w:jc w:val="center"/>
              <w:rPr>
                <w:rFonts w:cs="Times New Roman"/>
                <w:sz w:val="21"/>
                <w:szCs w:val="21"/>
              </w:rPr>
            </w:pPr>
            <w:r>
              <w:rPr>
                <w:rFonts w:hint="eastAsia" w:cs="Times New Roman"/>
                <w:sz w:val="21"/>
                <w:szCs w:val="21"/>
              </w:rPr>
              <w:t>496</w:t>
            </w:r>
          </w:p>
        </w:tc>
        <w:tc>
          <w:tcPr>
            <w:tcW w:w="1168" w:type="dxa"/>
            <w:noWrap/>
            <w:vAlign w:val="center"/>
          </w:tcPr>
          <w:p w14:paraId="5257B023">
            <w:pPr>
              <w:spacing w:line="240" w:lineRule="auto"/>
              <w:ind w:firstLine="0" w:firstLineChars="0"/>
              <w:jc w:val="center"/>
              <w:rPr>
                <w:rFonts w:cs="Times New Roman"/>
                <w:sz w:val="21"/>
                <w:szCs w:val="21"/>
              </w:rPr>
            </w:pPr>
            <w:r>
              <w:rPr>
                <w:rFonts w:hint="eastAsia" w:cs="Times New Roman"/>
                <w:sz w:val="21"/>
                <w:szCs w:val="21"/>
              </w:rPr>
              <w:t>约200</w:t>
            </w:r>
          </w:p>
        </w:tc>
      </w:tr>
      <w:tr w14:paraId="35713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32A7864">
            <w:pPr>
              <w:pStyle w:val="39"/>
              <w:numPr>
                <w:ilvl w:val="0"/>
                <w:numId w:val="7"/>
              </w:numPr>
              <w:spacing w:line="240" w:lineRule="auto"/>
              <w:ind w:firstLineChars="0"/>
              <w:jc w:val="center"/>
              <w:rPr>
                <w:rFonts w:cs="Times New Roman"/>
                <w:sz w:val="21"/>
                <w:szCs w:val="21"/>
              </w:rPr>
            </w:pPr>
          </w:p>
        </w:tc>
        <w:tc>
          <w:tcPr>
            <w:tcW w:w="992" w:type="dxa"/>
            <w:noWrap/>
            <w:vAlign w:val="center"/>
          </w:tcPr>
          <w:p w14:paraId="70D3E6B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4345DA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E8D39C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49AAF63">
            <w:pPr>
              <w:spacing w:line="240" w:lineRule="auto"/>
              <w:ind w:firstLine="0" w:firstLineChars="0"/>
              <w:jc w:val="center"/>
              <w:rPr>
                <w:rFonts w:cs="Times New Roman"/>
                <w:sz w:val="21"/>
                <w:szCs w:val="21"/>
              </w:rPr>
            </w:pPr>
            <w:r>
              <w:rPr>
                <w:rFonts w:hint="eastAsia" w:cs="Times New Roman"/>
                <w:sz w:val="21"/>
                <w:szCs w:val="21"/>
              </w:rPr>
              <w:t>三里墩</w:t>
            </w:r>
          </w:p>
        </w:tc>
        <w:tc>
          <w:tcPr>
            <w:tcW w:w="1701" w:type="dxa"/>
            <w:noWrap/>
            <w:vAlign w:val="center"/>
          </w:tcPr>
          <w:p w14:paraId="16F470BE">
            <w:pPr>
              <w:spacing w:line="240" w:lineRule="auto"/>
              <w:ind w:firstLine="0" w:firstLineChars="0"/>
              <w:jc w:val="center"/>
              <w:rPr>
                <w:rFonts w:cs="Times New Roman"/>
                <w:sz w:val="21"/>
                <w:szCs w:val="21"/>
              </w:rPr>
            </w:pPr>
            <w:r>
              <w:rPr>
                <w:rFonts w:hint="eastAsia" w:cs="Times New Roman"/>
                <w:sz w:val="21"/>
                <w:szCs w:val="21"/>
              </w:rPr>
              <w:t>119.348504</w:t>
            </w:r>
          </w:p>
        </w:tc>
        <w:tc>
          <w:tcPr>
            <w:tcW w:w="1690" w:type="dxa"/>
            <w:noWrap/>
            <w:vAlign w:val="center"/>
          </w:tcPr>
          <w:p w14:paraId="619B048B">
            <w:pPr>
              <w:spacing w:line="240" w:lineRule="auto"/>
              <w:ind w:firstLine="0" w:firstLineChars="0"/>
              <w:jc w:val="center"/>
              <w:rPr>
                <w:rFonts w:cs="Times New Roman"/>
                <w:sz w:val="21"/>
                <w:szCs w:val="21"/>
              </w:rPr>
            </w:pPr>
            <w:r>
              <w:rPr>
                <w:rFonts w:hint="eastAsia" w:cs="Times New Roman"/>
                <w:sz w:val="21"/>
                <w:szCs w:val="21"/>
              </w:rPr>
              <w:t>31.721588</w:t>
            </w:r>
          </w:p>
        </w:tc>
        <w:tc>
          <w:tcPr>
            <w:tcW w:w="1080" w:type="dxa"/>
            <w:noWrap/>
            <w:vAlign w:val="center"/>
          </w:tcPr>
          <w:p w14:paraId="1BECECA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B730BB8">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77FCFE63">
            <w:pPr>
              <w:spacing w:line="240" w:lineRule="auto"/>
              <w:ind w:firstLine="0" w:firstLineChars="0"/>
              <w:jc w:val="center"/>
              <w:rPr>
                <w:rFonts w:cs="Times New Roman"/>
                <w:sz w:val="21"/>
                <w:szCs w:val="21"/>
              </w:rPr>
            </w:pPr>
            <w:r>
              <w:rPr>
                <w:rFonts w:hint="eastAsia" w:cs="Times New Roman"/>
                <w:sz w:val="21"/>
                <w:szCs w:val="21"/>
              </w:rPr>
              <w:t>10</w:t>
            </w:r>
          </w:p>
        </w:tc>
        <w:tc>
          <w:tcPr>
            <w:tcW w:w="1168" w:type="dxa"/>
            <w:noWrap/>
            <w:vAlign w:val="center"/>
          </w:tcPr>
          <w:p w14:paraId="7229B8E8">
            <w:pPr>
              <w:spacing w:line="240" w:lineRule="auto"/>
              <w:ind w:firstLine="0" w:firstLineChars="0"/>
              <w:jc w:val="center"/>
              <w:rPr>
                <w:rFonts w:cs="Times New Roman"/>
                <w:sz w:val="21"/>
                <w:szCs w:val="21"/>
              </w:rPr>
            </w:pPr>
            <w:r>
              <w:rPr>
                <w:rFonts w:hint="eastAsia" w:cs="Times New Roman"/>
                <w:sz w:val="21"/>
                <w:szCs w:val="21"/>
              </w:rPr>
              <w:t>约20</w:t>
            </w:r>
          </w:p>
        </w:tc>
      </w:tr>
      <w:tr w14:paraId="09361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AC4C0B3">
            <w:pPr>
              <w:pStyle w:val="39"/>
              <w:numPr>
                <w:ilvl w:val="0"/>
                <w:numId w:val="7"/>
              </w:numPr>
              <w:spacing w:line="240" w:lineRule="auto"/>
              <w:ind w:firstLineChars="0"/>
              <w:jc w:val="center"/>
              <w:rPr>
                <w:rFonts w:cs="Times New Roman"/>
                <w:sz w:val="21"/>
                <w:szCs w:val="21"/>
              </w:rPr>
            </w:pPr>
          </w:p>
        </w:tc>
        <w:tc>
          <w:tcPr>
            <w:tcW w:w="992" w:type="dxa"/>
            <w:noWrap/>
            <w:vAlign w:val="center"/>
          </w:tcPr>
          <w:p w14:paraId="3F3267B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DDCDA8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A36A23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DAB48C5">
            <w:pPr>
              <w:spacing w:line="240" w:lineRule="auto"/>
              <w:ind w:firstLine="0" w:firstLineChars="0"/>
              <w:jc w:val="center"/>
              <w:rPr>
                <w:rFonts w:cs="Times New Roman"/>
                <w:sz w:val="21"/>
                <w:szCs w:val="21"/>
              </w:rPr>
            </w:pPr>
            <w:r>
              <w:rPr>
                <w:rFonts w:hint="eastAsia" w:cs="Times New Roman"/>
                <w:sz w:val="21"/>
                <w:szCs w:val="21"/>
              </w:rPr>
              <w:t>石家涧</w:t>
            </w:r>
          </w:p>
        </w:tc>
        <w:tc>
          <w:tcPr>
            <w:tcW w:w="1701" w:type="dxa"/>
            <w:noWrap/>
            <w:vAlign w:val="center"/>
          </w:tcPr>
          <w:p w14:paraId="144279FF">
            <w:pPr>
              <w:spacing w:line="240" w:lineRule="auto"/>
              <w:ind w:firstLine="0" w:firstLineChars="0"/>
              <w:jc w:val="center"/>
              <w:rPr>
                <w:rFonts w:cs="Times New Roman"/>
                <w:sz w:val="21"/>
                <w:szCs w:val="21"/>
              </w:rPr>
            </w:pPr>
            <w:r>
              <w:rPr>
                <w:rFonts w:hint="eastAsia" w:cs="Times New Roman"/>
                <w:sz w:val="21"/>
                <w:szCs w:val="21"/>
              </w:rPr>
              <w:t>119.377325</w:t>
            </w:r>
          </w:p>
        </w:tc>
        <w:tc>
          <w:tcPr>
            <w:tcW w:w="1690" w:type="dxa"/>
            <w:noWrap/>
            <w:vAlign w:val="center"/>
          </w:tcPr>
          <w:p w14:paraId="36952FAE">
            <w:pPr>
              <w:spacing w:line="240" w:lineRule="auto"/>
              <w:ind w:firstLine="0" w:firstLineChars="0"/>
              <w:jc w:val="center"/>
              <w:rPr>
                <w:rFonts w:cs="Times New Roman"/>
                <w:sz w:val="21"/>
                <w:szCs w:val="21"/>
              </w:rPr>
            </w:pPr>
            <w:r>
              <w:rPr>
                <w:rFonts w:hint="eastAsia" w:cs="Times New Roman"/>
                <w:sz w:val="21"/>
                <w:szCs w:val="21"/>
              </w:rPr>
              <w:t>31.741158</w:t>
            </w:r>
          </w:p>
        </w:tc>
        <w:tc>
          <w:tcPr>
            <w:tcW w:w="1080" w:type="dxa"/>
            <w:noWrap/>
            <w:vAlign w:val="center"/>
          </w:tcPr>
          <w:p w14:paraId="4C5FBBC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DE01D04">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4632277B">
            <w:pPr>
              <w:spacing w:line="240" w:lineRule="auto"/>
              <w:ind w:firstLine="0" w:firstLineChars="0"/>
              <w:jc w:val="center"/>
              <w:rPr>
                <w:rFonts w:cs="Times New Roman"/>
                <w:sz w:val="21"/>
                <w:szCs w:val="21"/>
              </w:rPr>
            </w:pPr>
            <w:r>
              <w:rPr>
                <w:rFonts w:hint="eastAsia" w:cs="Times New Roman"/>
                <w:sz w:val="21"/>
                <w:szCs w:val="21"/>
              </w:rPr>
              <w:t>216</w:t>
            </w:r>
          </w:p>
        </w:tc>
        <w:tc>
          <w:tcPr>
            <w:tcW w:w="1168" w:type="dxa"/>
            <w:noWrap/>
            <w:vAlign w:val="center"/>
          </w:tcPr>
          <w:p w14:paraId="64E90164">
            <w:pPr>
              <w:spacing w:line="240" w:lineRule="auto"/>
              <w:ind w:firstLine="0" w:firstLineChars="0"/>
              <w:jc w:val="center"/>
              <w:rPr>
                <w:rFonts w:cs="Times New Roman"/>
                <w:sz w:val="21"/>
                <w:szCs w:val="21"/>
              </w:rPr>
            </w:pPr>
            <w:r>
              <w:rPr>
                <w:rFonts w:hint="eastAsia" w:cs="Times New Roman"/>
                <w:sz w:val="21"/>
                <w:szCs w:val="21"/>
              </w:rPr>
              <w:t>约30</w:t>
            </w:r>
          </w:p>
        </w:tc>
      </w:tr>
      <w:tr w14:paraId="53464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1D614E1">
            <w:pPr>
              <w:pStyle w:val="39"/>
              <w:numPr>
                <w:ilvl w:val="0"/>
                <w:numId w:val="7"/>
              </w:numPr>
              <w:spacing w:line="240" w:lineRule="auto"/>
              <w:ind w:firstLineChars="0"/>
              <w:jc w:val="center"/>
              <w:rPr>
                <w:rFonts w:cs="Times New Roman"/>
                <w:sz w:val="21"/>
                <w:szCs w:val="21"/>
              </w:rPr>
            </w:pPr>
          </w:p>
        </w:tc>
        <w:tc>
          <w:tcPr>
            <w:tcW w:w="992" w:type="dxa"/>
            <w:noWrap/>
            <w:vAlign w:val="center"/>
          </w:tcPr>
          <w:p w14:paraId="08C2A73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5F998A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4A4CFC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5370706">
            <w:pPr>
              <w:spacing w:line="240" w:lineRule="auto"/>
              <w:ind w:firstLine="0" w:firstLineChars="0"/>
              <w:jc w:val="center"/>
              <w:rPr>
                <w:rFonts w:cs="Times New Roman"/>
                <w:sz w:val="21"/>
                <w:szCs w:val="21"/>
              </w:rPr>
            </w:pPr>
            <w:r>
              <w:rPr>
                <w:rFonts w:hint="eastAsia" w:cs="Times New Roman"/>
                <w:sz w:val="21"/>
                <w:szCs w:val="21"/>
              </w:rPr>
              <w:t>刘家棚</w:t>
            </w:r>
          </w:p>
        </w:tc>
        <w:tc>
          <w:tcPr>
            <w:tcW w:w="1701" w:type="dxa"/>
            <w:noWrap/>
            <w:vAlign w:val="center"/>
          </w:tcPr>
          <w:p w14:paraId="2F297454">
            <w:pPr>
              <w:spacing w:line="240" w:lineRule="auto"/>
              <w:ind w:firstLine="0" w:firstLineChars="0"/>
              <w:jc w:val="center"/>
              <w:rPr>
                <w:rFonts w:cs="Times New Roman"/>
                <w:sz w:val="21"/>
                <w:szCs w:val="21"/>
              </w:rPr>
            </w:pPr>
            <w:r>
              <w:rPr>
                <w:rFonts w:hint="eastAsia" w:cs="Times New Roman"/>
                <w:sz w:val="21"/>
                <w:szCs w:val="21"/>
              </w:rPr>
              <w:t>119.379131</w:t>
            </w:r>
          </w:p>
        </w:tc>
        <w:tc>
          <w:tcPr>
            <w:tcW w:w="1690" w:type="dxa"/>
            <w:noWrap/>
            <w:vAlign w:val="center"/>
          </w:tcPr>
          <w:p w14:paraId="6999521F">
            <w:pPr>
              <w:spacing w:line="240" w:lineRule="auto"/>
              <w:ind w:firstLine="0" w:firstLineChars="0"/>
              <w:jc w:val="center"/>
              <w:rPr>
                <w:rFonts w:cs="Times New Roman"/>
                <w:sz w:val="21"/>
                <w:szCs w:val="21"/>
              </w:rPr>
            </w:pPr>
            <w:r>
              <w:rPr>
                <w:rFonts w:hint="eastAsia" w:cs="Times New Roman"/>
                <w:sz w:val="21"/>
                <w:szCs w:val="21"/>
              </w:rPr>
              <w:t>31.734234</w:t>
            </w:r>
          </w:p>
        </w:tc>
        <w:tc>
          <w:tcPr>
            <w:tcW w:w="1080" w:type="dxa"/>
            <w:noWrap/>
            <w:vAlign w:val="center"/>
          </w:tcPr>
          <w:p w14:paraId="2B080FF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47FE10B">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4CF34000">
            <w:pPr>
              <w:spacing w:line="240" w:lineRule="auto"/>
              <w:ind w:firstLine="0" w:firstLineChars="0"/>
              <w:jc w:val="center"/>
              <w:rPr>
                <w:rFonts w:cs="Times New Roman"/>
                <w:sz w:val="21"/>
                <w:szCs w:val="21"/>
              </w:rPr>
            </w:pPr>
            <w:r>
              <w:rPr>
                <w:rFonts w:hint="eastAsia" w:cs="Times New Roman"/>
                <w:sz w:val="21"/>
                <w:szCs w:val="21"/>
              </w:rPr>
              <w:t>766</w:t>
            </w:r>
          </w:p>
        </w:tc>
        <w:tc>
          <w:tcPr>
            <w:tcW w:w="1168" w:type="dxa"/>
            <w:noWrap/>
            <w:vAlign w:val="center"/>
          </w:tcPr>
          <w:p w14:paraId="1EC6CEF6">
            <w:pPr>
              <w:spacing w:line="240" w:lineRule="auto"/>
              <w:ind w:firstLine="0" w:firstLineChars="0"/>
              <w:jc w:val="center"/>
              <w:rPr>
                <w:rFonts w:cs="Times New Roman"/>
                <w:sz w:val="21"/>
                <w:szCs w:val="21"/>
              </w:rPr>
            </w:pPr>
            <w:r>
              <w:rPr>
                <w:rFonts w:hint="eastAsia" w:cs="Times New Roman"/>
                <w:sz w:val="21"/>
                <w:szCs w:val="21"/>
              </w:rPr>
              <w:t>约150</w:t>
            </w:r>
          </w:p>
        </w:tc>
      </w:tr>
      <w:tr w14:paraId="108B0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53B631E">
            <w:pPr>
              <w:pStyle w:val="39"/>
              <w:numPr>
                <w:ilvl w:val="0"/>
                <w:numId w:val="7"/>
              </w:numPr>
              <w:spacing w:line="240" w:lineRule="auto"/>
              <w:ind w:firstLineChars="0"/>
              <w:jc w:val="center"/>
              <w:rPr>
                <w:rFonts w:cs="Times New Roman"/>
                <w:sz w:val="21"/>
                <w:szCs w:val="21"/>
              </w:rPr>
            </w:pPr>
          </w:p>
        </w:tc>
        <w:tc>
          <w:tcPr>
            <w:tcW w:w="992" w:type="dxa"/>
            <w:noWrap/>
            <w:vAlign w:val="center"/>
          </w:tcPr>
          <w:p w14:paraId="6718AF0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921B9B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1BDFEC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4F870B2">
            <w:pPr>
              <w:spacing w:line="240" w:lineRule="auto"/>
              <w:ind w:firstLine="0" w:firstLineChars="0"/>
              <w:jc w:val="center"/>
              <w:rPr>
                <w:rFonts w:cs="Times New Roman"/>
                <w:sz w:val="21"/>
                <w:szCs w:val="21"/>
              </w:rPr>
            </w:pPr>
            <w:r>
              <w:rPr>
                <w:rFonts w:hint="eastAsia" w:cs="Times New Roman"/>
                <w:sz w:val="21"/>
                <w:szCs w:val="21"/>
              </w:rPr>
              <w:t>粉壁头</w:t>
            </w:r>
          </w:p>
        </w:tc>
        <w:tc>
          <w:tcPr>
            <w:tcW w:w="1701" w:type="dxa"/>
            <w:noWrap/>
            <w:vAlign w:val="center"/>
          </w:tcPr>
          <w:p w14:paraId="57A8766B">
            <w:pPr>
              <w:spacing w:line="240" w:lineRule="auto"/>
              <w:ind w:firstLine="0" w:firstLineChars="0"/>
              <w:jc w:val="center"/>
              <w:rPr>
                <w:rFonts w:cs="Times New Roman"/>
                <w:sz w:val="21"/>
                <w:szCs w:val="21"/>
              </w:rPr>
            </w:pPr>
            <w:r>
              <w:rPr>
                <w:rFonts w:hint="eastAsia" w:cs="Times New Roman"/>
                <w:sz w:val="21"/>
                <w:szCs w:val="21"/>
              </w:rPr>
              <w:t>119.393594</w:t>
            </w:r>
          </w:p>
        </w:tc>
        <w:tc>
          <w:tcPr>
            <w:tcW w:w="1690" w:type="dxa"/>
            <w:noWrap/>
            <w:vAlign w:val="center"/>
          </w:tcPr>
          <w:p w14:paraId="69968AC5">
            <w:pPr>
              <w:spacing w:line="240" w:lineRule="auto"/>
              <w:ind w:firstLine="0" w:firstLineChars="0"/>
              <w:jc w:val="center"/>
              <w:rPr>
                <w:rFonts w:cs="Times New Roman"/>
                <w:sz w:val="21"/>
                <w:szCs w:val="21"/>
              </w:rPr>
            </w:pPr>
            <w:r>
              <w:rPr>
                <w:rFonts w:hint="eastAsia" w:cs="Times New Roman"/>
                <w:sz w:val="21"/>
                <w:szCs w:val="21"/>
              </w:rPr>
              <w:t>31.800821</w:t>
            </w:r>
          </w:p>
        </w:tc>
        <w:tc>
          <w:tcPr>
            <w:tcW w:w="1080" w:type="dxa"/>
            <w:noWrap/>
            <w:vAlign w:val="center"/>
          </w:tcPr>
          <w:p w14:paraId="7A07063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9F9F6C8">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7582CB4C">
            <w:pPr>
              <w:spacing w:line="240" w:lineRule="auto"/>
              <w:ind w:firstLine="0" w:firstLineChars="0"/>
              <w:jc w:val="center"/>
              <w:rPr>
                <w:rFonts w:cs="Times New Roman"/>
                <w:sz w:val="21"/>
                <w:szCs w:val="21"/>
              </w:rPr>
            </w:pPr>
            <w:r>
              <w:rPr>
                <w:rFonts w:hint="eastAsia" w:cs="Times New Roman"/>
                <w:sz w:val="21"/>
                <w:szCs w:val="21"/>
              </w:rPr>
              <w:t>1191</w:t>
            </w:r>
          </w:p>
        </w:tc>
        <w:tc>
          <w:tcPr>
            <w:tcW w:w="1168" w:type="dxa"/>
            <w:noWrap/>
            <w:vAlign w:val="center"/>
          </w:tcPr>
          <w:p w14:paraId="48E82994">
            <w:pPr>
              <w:spacing w:line="240" w:lineRule="auto"/>
              <w:ind w:firstLine="0" w:firstLineChars="0"/>
              <w:jc w:val="center"/>
              <w:rPr>
                <w:rFonts w:cs="Times New Roman"/>
                <w:sz w:val="21"/>
                <w:szCs w:val="21"/>
              </w:rPr>
            </w:pPr>
            <w:r>
              <w:rPr>
                <w:rFonts w:hint="eastAsia" w:cs="Times New Roman"/>
                <w:sz w:val="21"/>
                <w:szCs w:val="21"/>
              </w:rPr>
              <w:t>约70</w:t>
            </w:r>
          </w:p>
        </w:tc>
      </w:tr>
      <w:tr w14:paraId="0D230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7CD1511">
            <w:pPr>
              <w:pStyle w:val="39"/>
              <w:numPr>
                <w:ilvl w:val="0"/>
                <w:numId w:val="7"/>
              </w:numPr>
              <w:spacing w:line="240" w:lineRule="auto"/>
              <w:ind w:firstLineChars="0"/>
              <w:jc w:val="center"/>
              <w:rPr>
                <w:rFonts w:cs="Times New Roman"/>
                <w:sz w:val="21"/>
                <w:szCs w:val="21"/>
              </w:rPr>
            </w:pPr>
          </w:p>
        </w:tc>
        <w:tc>
          <w:tcPr>
            <w:tcW w:w="992" w:type="dxa"/>
            <w:noWrap/>
            <w:vAlign w:val="center"/>
          </w:tcPr>
          <w:p w14:paraId="46BA96C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B1DEDC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BC938B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5D76BFF">
            <w:pPr>
              <w:spacing w:line="240" w:lineRule="auto"/>
              <w:ind w:firstLine="0" w:firstLineChars="0"/>
              <w:jc w:val="center"/>
              <w:rPr>
                <w:rFonts w:cs="Times New Roman"/>
                <w:sz w:val="21"/>
                <w:szCs w:val="21"/>
              </w:rPr>
            </w:pPr>
            <w:r>
              <w:rPr>
                <w:rFonts w:hint="eastAsia" w:cs="Times New Roman"/>
                <w:sz w:val="21"/>
                <w:szCs w:val="21"/>
              </w:rPr>
              <w:t>小倪巷</w:t>
            </w:r>
          </w:p>
        </w:tc>
        <w:tc>
          <w:tcPr>
            <w:tcW w:w="1701" w:type="dxa"/>
            <w:noWrap/>
            <w:vAlign w:val="center"/>
          </w:tcPr>
          <w:p w14:paraId="65C63BA4">
            <w:pPr>
              <w:spacing w:line="240" w:lineRule="auto"/>
              <w:ind w:firstLine="0" w:firstLineChars="0"/>
              <w:jc w:val="center"/>
              <w:rPr>
                <w:rFonts w:cs="Times New Roman"/>
                <w:sz w:val="21"/>
                <w:szCs w:val="21"/>
              </w:rPr>
            </w:pPr>
            <w:r>
              <w:rPr>
                <w:rFonts w:hint="eastAsia" w:cs="Times New Roman"/>
                <w:sz w:val="21"/>
                <w:szCs w:val="21"/>
              </w:rPr>
              <w:t>119.396601</w:t>
            </w:r>
          </w:p>
        </w:tc>
        <w:tc>
          <w:tcPr>
            <w:tcW w:w="1690" w:type="dxa"/>
            <w:noWrap/>
            <w:vAlign w:val="center"/>
          </w:tcPr>
          <w:p w14:paraId="3669F68F">
            <w:pPr>
              <w:spacing w:line="240" w:lineRule="auto"/>
              <w:ind w:firstLine="0" w:firstLineChars="0"/>
              <w:jc w:val="center"/>
              <w:rPr>
                <w:rFonts w:cs="Times New Roman"/>
                <w:sz w:val="21"/>
                <w:szCs w:val="21"/>
              </w:rPr>
            </w:pPr>
            <w:r>
              <w:rPr>
                <w:rFonts w:hint="eastAsia" w:cs="Times New Roman"/>
                <w:sz w:val="21"/>
                <w:szCs w:val="21"/>
              </w:rPr>
              <w:t>31.802912</w:t>
            </w:r>
          </w:p>
        </w:tc>
        <w:tc>
          <w:tcPr>
            <w:tcW w:w="1080" w:type="dxa"/>
            <w:noWrap/>
            <w:vAlign w:val="center"/>
          </w:tcPr>
          <w:p w14:paraId="2F52155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E112106">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4837724D">
            <w:pPr>
              <w:spacing w:line="240" w:lineRule="auto"/>
              <w:ind w:firstLine="0" w:firstLineChars="0"/>
              <w:jc w:val="center"/>
              <w:rPr>
                <w:rFonts w:cs="Times New Roman"/>
                <w:sz w:val="21"/>
                <w:szCs w:val="21"/>
              </w:rPr>
            </w:pPr>
            <w:r>
              <w:rPr>
                <w:rFonts w:hint="eastAsia" w:cs="Times New Roman"/>
                <w:sz w:val="21"/>
                <w:szCs w:val="21"/>
              </w:rPr>
              <w:t>1494</w:t>
            </w:r>
          </w:p>
        </w:tc>
        <w:tc>
          <w:tcPr>
            <w:tcW w:w="1168" w:type="dxa"/>
            <w:noWrap/>
            <w:vAlign w:val="center"/>
          </w:tcPr>
          <w:p w14:paraId="38C23D80">
            <w:pPr>
              <w:spacing w:line="240" w:lineRule="auto"/>
              <w:ind w:firstLine="0" w:firstLineChars="0"/>
              <w:jc w:val="center"/>
              <w:rPr>
                <w:rFonts w:cs="Times New Roman"/>
                <w:sz w:val="21"/>
                <w:szCs w:val="21"/>
              </w:rPr>
            </w:pPr>
            <w:r>
              <w:rPr>
                <w:rFonts w:hint="eastAsia" w:cs="Times New Roman"/>
                <w:sz w:val="21"/>
                <w:szCs w:val="21"/>
              </w:rPr>
              <w:t>约200</w:t>
            </w:r>
          </w:p>
        </w:tc>
      </w:tr>
      <w:tr w14:paraId="606D1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2D406EC">
            <w:pPr>
              <w:pStyle w:val="39"/>
              <w:numPr>
                <w:ilvl w:val="0"/>
                <w:numId w:val="7"/>
              </w:numPr>
              <w:spacing w:line="240" w:lineRule="auto"/>
              <w:ind w:firstLineChars="0"/>
              <w:jc w:val="center"/>
              <w:rPr>
                <w:rFonts w:cs="Times New Roman"/>
                <w:sz w:val="21"/>
                <w:szCs w:val="21"/>
              </w:rPr>
            </w:pPr>
          </w:p>
        </w:tc>
        <w:tc>
          <w:tcPr>
            <w:tcW w:w="992" w:type="dxa"/>
            <w:noWrap/>
            <w:vAlign w:val="center"/>
          </w:tcPr>
          <w:p w14:paraId="6413408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3A6952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B14C4A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B885983">
            <w:pPr>
              <w:spacing w:line="240" w:lineRule="auto"/>
              <w:ind w:firstLine="0" w:firstLineChars="0"/>
              <w:jc w:val="center"/>
              <w:rPr>
                <w:rFonts w:cs="Times New Roman"/>
                <w:sz w:val="21"/>
                <w:szCs w:val="21"/>
              </w:rPr>
            </w:pPr>
            <w:r>
              <w:rPr>
                <w:rFonts w:hint="eastAsia" w:cs="Times New Roman"/>
                <w:sz w:val="21"/>
                <w:szCs w:val="21"/>
              </w:rPr>
              <w:t>杨巷</w:t>
            </w:r>
          </w:p>
        </w:tc>
        <w:tc>
          <w:tcPr>
            <w:tcW w:w="1701" w:type="dxa"/>
            <w:noWrap/>
            <w:vAlign w:val="center"/>
          </w:tcPr>
          <w:p w14:paraId="6C818F35">
            <w:pPr>
              <w:spacing w:line="240" w:lineRule="auto"/>
              <w:ind w:firstLine="0" w:firstLineChars="0"/>
              <w:jc w:val="center"/>
              <w:rPr>
                <w:rFonts w:cs="Times New Roman"/>
                <w:sz w:val="21"/>
                <w:szCs w:val="21"/>
              </w:rPr>
            </w:pPr>
            <w:r>
              <w:rPr>
                <w:rFonts w:hint="eastAsia" w:cs="Times New Roman"/>
                <w:sz w:val="21"/>
                <w:szCs w:val="21"/>
              </w:rPr>
              <w:t>119.399678</w:t>
            </w:r>
          </w:p>
        </w:tc>
        <w:tc>
          <w:tcPr>
            <w:tcW w:w="1690" w:type="dxa"/>
            <w:noWrap/>
            <w:vAlign w:val="center"/>
          </w:tcPr>
          <w:p w14:paraId="6BE834E0">
            <w:pPr>
              <w:spacing w:line="240" w:lineRule="auto"/>
              <w:ind w:firstLine="0" w:firstLineChars="0"/>
              <w:jc w:val="center"/>
              <w:rPr>
                <w:rFonts w:cs="Times New Roman"/>
                <w:sz w:val="21"/>
                <w:szCs w:val="21"/>
              </w:rPr>
            </w:pPr>
            <w:r>
              <w:rPr>
                <w:rFonts w:hint="eastAsia" w:cs="Times New Roman"/>
                <w:sz w:val="21"/>
                <w:szCs w:val="21"/>
              </w:rPr>
              <w:t>31.80243</w:t>
            </w:r>
          </w:p>
        </w:tc>
        <w:tc>
          <w:tcPr>
            <w:tcW w:w="1080" w:type="dxa"/>
            <w:noWrap/>
            <w:vAlign w:val="center"/>
          </w:tcPr>
          <w:p w14:paraId="64552FD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59A734E">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1B7EE26B">
            <w:pPr>
              <w:spacing w:line="240" w:lineRule="auto"/>
              <w:ind w:firstLine="0" w:firstLineChars="0"/>
              <w:jc w:val="center"/>
              <w:rPr>
                <w:rFonts w:cs="Times New Roman"/>
                <w:sz w:val="21"/>
                <w:szCs w:val="21"/>
              </w:rPr>
            </w:pPr>
            <w:r>
              <w:rPr>
                <w:rFonts w:hint="eastAsia" w:cs="Times New Roman"/>
                <w:sz w:val="21"/>
                <w:szCs w:val="21"/>
              </w:rPr>
              <w:t>1829</w:t>
            </w:r>
          </w:p>
        </w:tc>
        <w:tc>
          <w:tcPr>
            <w:tcW w:w="1168" w:type="dxa"/>
            <w:noWrap/>
            <w:vAlign w:val="center"/>
          </w:tcPr>
          <w:p w14:paraId="6BA812D0">
            <w:pPr>
              <w:spacing w:line="240" w:lineRule="auto"/>
              <w:ind w:firstLine="0" w:firstLineChars="0"/>
              <w:jc w:val="center"/>
              <w:rPr>
                <w:rFonts w:cs="Times New Roman"/>
                <w:sz w:val="21"/>
                <w:szCs w:val="21"/>
              </w:rPr>
            </w:pPr>
            <w:r>
              <w:rPr>
                <w:rFonts w:hint="eastAsia" w:cs="Times New Roman"/>
                <w:sz w:val="21"/>
                <w:szCs w:val="21"/>
              </w:rPr>
              <w:t>约80</w:t>
            </w:r>
          </w:p>
        </w:tc>
      </w:tr>
      <w:tr w14:paraId="71C28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D7CE855">
            <w:pPr>
              <w:pStyle w:val="39"/>
              <w:numPr>
                <w:ilvl w:val="0"/>
                <w:numId w:val="7"/>
              </w:numPr>
              <w:spacing w:line="240" w:lineRule="auto"/>
              <w:ind w:firstLineChars="0"/>
              <w:jc w:val="center"/>
              <w:rPr>
                <w:rFonts w:cs="Times New Roman"/>
                <w:sz w:val="21"/>
                <w:szCs w:val="21"/>
              </w:rPr>
            </w:pPr>
          </w:p>
        </w:tc>
        <w:tc>
          <w:tcPr>
            <w:tcW w:w="992" w:type="dxa"/>
            <w:noWrap/>
            <w:vAlign w:val="center"/>
          </w:tcPr>
          <w:p w14:paraId="6F721D6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F93B39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9DE117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DE95ED2">
            <w:pPr>
              <w:spacing w:line="240" w:lineRule="auto"/>
              <w:ind w:firstLine="0" w:firstLineChars="0"/>
              <w:jc w:val="center"/>
              <w:rPr>
                <w:rFonts w:cs="Times New Roman"/>
                <w:sz w:val="21"/>
                <w:szCs w:val="21"/>
              </w:rPr>
            </w:pPr>
            <w:r>
              <w:rPr>
                <w:rFonts w:hint="eastAsia" w:cs="Times New Roman"/>
                <w:sz w:val="21"/>
                <w:szCs w:val="21"/>
              </w:rPr>
              <w:t>刘巷村</w:t>
            </w:r>
          </w:p>
        </w:tc>
        <w:tc>
          <w:tcPr>
            <w:tcW w:w="1701" w:type="dxa"/>
            <w:noWrap/>
            <w:vAlign w:val="center"/>
          </w:tcPr>
          <w:p w14:paraId="78EEDF28">
            <w:pPr>
              <w:spacing w:line="240" w:lineRule="auto"/>
              <w:ind w:firstLine="0" w:firstLineChars="0"/>
              <w:jc w:val="center"/>
              <w:rPr>
                <w:rFonts w:cs="Times New Roman"/>
                <w:sz w:val="21"/>
                <w:szCs w:val="21"/>
              </w:rPr>
            </w:pPr>
            <w:r>
              <w:rPr>
                <w:rFonts w:hint="eastAsia" w:cs="Times New Roman"/>
                <w:sz w:val="21"/>
                <w:szCs w:val="21"/>
              </w:rPr>
              <w:t>119.400888</w:t>
            </w:r>
          </w:p>
        </w:tc>
        <w:tc>
          <w:tcPr>
            <w:tcW w:w="1690" w:type="dxa"/>
            <w:noWrap/>
            <w:vAlign w:val="center"/>
          </w:tcPr>
          <w:p w14:paraId="0EF2A92F">
            <w:pPr>
              <w:spacing w:line="240" w:lineRule="auto"/>
              <w:ind w:firstLine="0" w:firstLineChars="0"/>
              <w:jc w:val="center"/>
              <w:rPr>
                <w:rFonts w:cs="Times New Roman"/>
                <w:sz w:val="21"/>
                <w:szCs w:val="21"/>
              </w:rPr>
            </w:pPr>
            <w:r>
              <w:rPr>
                <w:rFonts w:hint="eastAsia" w:cs="Times New Roman"/>
                <w:sz w:val="21"/>
                <w:szCs w:val="21"/>
              </w:rPr>
              <w:t>31.813778</w:t>
            </w:r>
          </w:p>
        </w:tc>
        <w:tc>
          <w:tcPr>
            <w:tcW w:w="1080" w:type="dxa"/>
            <w:noWrap/>
            <w:vAlign w:val="center"/>
          </w:tcPr>
          <w:p w14:paraId="3B50B02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471A8DD">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27BB24D9">
            <w:pPr>
              <w:spacing w:line="240" w:lineRule="auto"/>
              <w:ind w:firstLine="0" w:firstLineChars="0"/>
              <w:jc w:val="center"/>
              <w:rPr>
                <w:rFonts w:cs="Times New Roman"/>
                <w:sz w:val="21"/>
                <w:szCs w:val="21"/>
              </w:rPr>
            </w:pPr>
            <w:r>
              <w:rPr>
                <w:rFonts w:hint="eastAsia" w:cs="Times New Roman"/>
                <w:sz w:val="21"/>
                <w:szCs w:val="21"/>
              </w:rPr>
              <w:t>2365</w:t>
            </w:r>
          </w:p>
        </w:tc>
        <w:tc>
          <w:tcPr>
            <w:tcW w:w="1168" w:type="dxa"/>
            <w:noWrap/>
            <w:vAlign w:val="center"/>
          </w:tcPr>
          <w:p w14:paraId="0B760A5E">
            <w:pPr>
              <w:spacing w:line="240" w:lineRule="auto"/>
              <w:ind w:firstLine="0" w:firstLineChars="0"/>
              <w:jc w:val="center"/>
              <w:rPr>
                <w:rFonts w:cs="Times New Roman"/>
                <w:sz w:val="21"/>
                <w:szCs w:val="21"/>
              </w:rPr>
            </w:pPr>
            <w:r>
              <w:rPr>
                <w:rFonts w:hint="eastAsia" w:cs="Times New Roman"/>
                <w:sz w:val="21"/>
                <w:szCs w:val="21"/>
              </w:rPr>
              <w:t>约200</w:t>
            </w:r>
          </w:p>
        </w:tc>
      </w:tr>
      <w:tr w14:paraId="5B7D3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261B535">
            <w:pPr>
              <w:pStyle w:val="39"/>
              <w:numPr>
                <w:ilvl w:val="0"/>
                <w:numId w:val="7"/>
              </w:numPr>
              <w:spacing w:line="240" w:lineRule="auto"/>
              <w:ind w:firstLineChars="0"/>
              <w:jc w:val="center"/>
              <w:rPr>
                <w:rFonts w:cs="Times New Roman"/>
                <w:sz w:val="21"/>
                <w:szCs w:val="21"/>
              </w:rPr>
            </w:pPr>
          </w:p>
        </w:tc>
        <w:tc>
          <w:tcPr>
            <w:tcW w:w="992" w:type="dxa"/>
            <w:noWrap/>
            <w:vAlign w:val="center"/>
          </w:tcPr>
          <w:p w14:paraId="4481505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461605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122267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630D681">
            <w:pPr>
              <w:spacing w:line="240" w:lineRule="auto"/>
              <w:ind w:firstLine="0" w:firstLineChars="0"/>
              <w:jc w:val="center"/>
              <w:rPr>
                <w:rFonts w:cs="Times New Roman"/>
                <w:sz w:val="21"/>
                <w:szCs w:val="21"/>
              </w:rPr>
            </w:pPr>
            <w:r>
              <w:rPr>
                <w:rFonts w:hint="eastAsia" w:cs="Times New Roman"/>
                <w:sz w:val="21"/>
                <w:szCs w:val="21"/>
              </w:rPr>
              <w:t>倪巷村</w:t>
            </w:r>
          </w:p>
        </w:tc>
        <w:tc>
          <w:tcPr>
            <w:tcW w:w="1701" w:type="dxa"/>
            <w:noWrap/>
            <w:vAlign w:val="center"/>
          </w:tcPr>
          <w:p w14:paraId="7E0AB459">
            <w:pPr>
              <w:spacing w:line="240" w:lineRule="auto"/>
              <w:ind w:firstLine="0" w:firstLineChars="0"/>
              <w:jc w:val="center"/>
              <w:rPr>
                <w:rFonts w:cs="Times New Roman"/>
                <w:sz w:val="21"/>
                <w:szCs w:val="21"/>
              </w:rPr>
            </w:pPr>
            <w:r>
              <w:rPr>
                <w:rFonts w:hint="eastAsia" w:cs="Times New Roman"/>
                <w:sz w:val="21"/>
                <w:szCs w:val="21"/>
              </w:rPr>
              <w:t>119.400906</w:t>
            </w:r>
          </w:p>
        </w:tc>
        <w:tc>
          <w:tcPr>
            <w:tcW w:w="1690" w:type="dxa"/>
            <w:noWrap/>
            <w:vAlign w:val="center"/>
          </w:tcPr>
          <w:p w14:paraId="52BB6B41">
            <w:pPr>
              <w:spacing w:line="240" w:lineRule="auto"/>
              <w:ind w:firstLine="0" w:firstLineChars="0"/>
              <w:jc w:val="center"/>
              <w:rPr>
                <w:rFonts w:cs="Times New Roman"/>
                <w:sz w:val="21"/>
                <w:szCs w:val="21"/>
              </w:rPr>
            </w:pPr>
            <w:r>
              <w:rPr>
                <w:rFonts w:hint="eastAsia" w:cs="Times New Roman"/>
                <w:sz w:val="21"/>
                <w:szCs w:val="21"/>
              </w:rPr>
              <w:t>31.830282</w:t>
            </w:r>
          </w:p>
        </w:tc>
        <w:tc>
          <w:tcPr>
            <w:tcW w:w="1080" w:type="dxa"/>
            <w:noWrap/>
            <w:vAlign w:val="center"/>
          </w:tcPr>
          <w:p w14:paraId="5008594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F2C99A3">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0B4B27A1">
            <w:pPr>
              <w:spacing w:line="240" w:lineRule="auto"/>
              <w:ind w:firstLine="0" w:firstLineChars="0"/>
              <w:jc w:val="center"/>
              <w:rPr>
                <w:rFonts w:cs="Times New Roman"/>
                <w:sz w:val="21"/>
                <w:szCs w:val="21"/>
              </w:rPr>
            </w:pPr>
            <w:r>
              <w:rPr>
                <w:rFonts w:hint="eastAsia" w:cs="Times New Roman"/>
                <w:sz w:val="21"/>
                <w:szCs w:val="21"/>
              </w:rPr>
              <w:t>2373</w:t>
            </w:r>
          </w:p>
        </w:tc>
        <w:tc>
          <w:tcPr>
            <w:tcW w:w="1168" w:type="dxa"/>
            <w:noWrap/>
            <w:vAlign w:val="center"/>
          </w:tcPr>
          <w:p w14:paraId="33AA7708">
            <w:pPr>
              <w:spacing w:line="240" w:lineRule="auto"/>
              <w:ind w:firstLine="0" w:firstLineChars="0"/>
              <w:jc w:val="center"/>
              <w:rPr>
                <w:rFonts w:cs="Times New Roman"/>
                <w:sz w:val="21"/>
                <w:szCs w:val="21"/>
              </w:rPr>
            </w:pPr>
            <w:r>
              <w:rPr>
                <w:rFonts w:hint="eastAsia" w:cs="Times New Roman"/>
                <w:sz w:val="21"/>
                <w:szCs w:val="21"/>
              </w:rPr>
              <w:t>约200</w:t>
            </w:r>
          </w:p>
        </w:tc>
      </w:tr>
      <w:tr w14:paraId="175D9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141EB05">
            <w:pPr>
              <w:pStyle w:val="39"/>
              <w:numPr>
                <w:ilvl w:val="0"/>
                <w:numId w:val="7"/>
              </w:numPr>
              <w:spacing w:line="240" w:lineRule="auto"/>
              <w:ind w:firstLineChars="0"/>
              <w:jc w:val="center"/>
              <w:rPr>
                <w:rFonts w:cs="Times New Roman"/>
                <w:sz w:val="21"/>
                <w:szCs w:val="21"/>
              </w:rPr>
            </w:pPr>
          </w:p>
        </w:tc>
        <w:tc>
          <w:tcPr>
            <w:tcW w:w="992" w:type="dxa"/>
            <w:noWrap/>
            <w:vAlign w:val="center"/>
          </w:tcPr>
          <w:p w14:paraId="652EE95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66AAB0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E5BC09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56A393F">
            <w:pPr>
              <w:spacing w:line="240" w:lineRule="auto"/>
              <w:ind w:firstLine="0" w:firstLineChars="0"/>
              <w:jc w:val="center"/>
              <w:rPr>
                <w:rFonts w:cs="Times New Roman"/>
                <w:sz w:val="21"/>
                <w:szCs w:val="21"/>
              </w:rPr>
            </w:pPr>
            <w:r>
              <w:rPr>
                <w:rFonts w:hint="eastAsia" w:cs="Times New Roman"/>
                <w:sz w:val="21"/>
                <w:szCs w:val="21"/>
              </w:rPr>
              <w:t>王巷村</w:t>
            </w:r>
          </w:p>
        </w:tc>
        <w:tc>
          <w:tcPr>
            <w:tcW w:w="1701" w:type="dxa"/>
            <w:noWrap/>
            <w:vAlign w:val="center"/>
          </w:tcPr>
          <w:p w14:paraId="5C2E4671">
            <w:pPr>
              <w:spacing w:line="240" w:lineRule="auto"/>
              <w:ind w:firstLine="0" w:firstLineChars="0"/>
              <w:jc w:val="center"/>
              <w:rPr>
                <w:rFonts w:cs="Times New Roman"/>
                <w:sz w:val="21"/>
                <w:szCs w:val="21"/>
              </w:rPr>
            </w:pPr>
            <w:r>
              <w:rPr>
                <w:rFonts w:hint="eastAsia" w:cs="Times New Roman"/>
                <w:sz w:val="21"/>
                <w:szCs w:val="21"/>
              </w:rPr>
              <w:t>119.403299</w:t>
            </w:r>
          </w:p>
        </w:tc>
        <w:tc>
          <w:tcPr>
            <w:tcW w:w="1690" w:type="dxa"/>
            <w:noWrap/>
            <w:vAlign w:val="center"/>
          </w:tcPr>
          <w:p w14:paraId="6E0228EE">
            <w:pPr>
              <w:spacing w:line="240" w:lineRule="auto"/>
              <w:ind w:firstLine="0" w:firstLineChars="0"/>
              <w:jc w:val="center"/>
              <w:rPr>
                <w:rFonts w:cs="Times New Roman"/>
                <w:sz w:val="21"/>
                <w:szCs w:val="21"/>
              </w:rPr>
            </w:pPr>
            <w:r>
              <w:rPr>
                <w:rFonts w:hint="eastAsia" w:cs="Times New Roman"/>
                <w:sz w:val="21"/>
                <w:szCs w:val="21"/>
              </w:rPr>
              <w:t>31.827816</w:t>
            </w:r>
          </w:p>
        </w:tc>
        <w:tc>
          <w:tcPr>
            <w:tcW w:w="1080" w:type="dxa"/>
            <w:noWrap/>
            <w:vAlign w:val="center"/>
          </w:tcPr>
          <w:p w14:paraId="5B7D293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345EF26">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7C2ABC7A">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1AE7BB60">
            <w:pPr>
              <w:spacing w:line="240" w:lineRule="auto"/>
              <w:ind w:firstLine="0" w:firstLineChars="0"/>
              <w:jc w:val="center"/>
              <w:rPr>
                <w:rFonts w:cs="Times New Roman"/>
                <w:sz w:val="21"/>
                <w:szCs w:val="21"/>
              </w:rPr>
            </w:pPr>
            <w:r>
              <w:rPr>
                <w:rFonts w:hint="eastAsia" w:cs="Times New Roman"/>
                <w:sz w:val="21"/>
                <w:szCs w:val="21"/>
              </w:rPr>
              <w:t>约100</w:t>
            </w:r>
          </w:p>
        </w:tc>
      </w:tr>
      <w:tr w14:paraId="7114D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A1CCAB6">
            <w:pPr>
              <w:pStyle w:val="39"/>
              <w:numPr>
                <w:ilvl w:val="0"/>
                <w:numId w:val="7"/>
              </w:numPr>
              <w:spacing w:line="240" w:lineRule="auto"/>
              <w:ind w:firstLineChars="0"/>
              <w:jc w:val="center"/>
              <w:rPr>
                <w:rFonts w:cs="Times New Roman"/>
                <w:sz w:val="21"/>
                <w:szCs w:val="21"/>
              </w:rPr>
            </w:pPr>
          </w:p>
        </w:tc>
        <w:tc>
          <w:tcPr>
            <w:tcW w:w="992" w:type="dxa"/>
            <w:noWrap/>
            <w:vAlign w:val="center"/>
          </w:tcPr>
          <w:p w14:paraId="5CA33FB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148CE9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E20111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D49E36A">
            <w:pPr>
              <w:spacing w:line="240" w:lineRule="auto"/>
              <w:ind w:firstLine="0" w:firstLineChars="0"/>
              <w:jc w:val="center"/>
              <w:rPr>
                <w:rFonts w:cs="Times New Roman"/>
                <w:sz w:val="21"/>
                <w:szCs w:val="21"/>
              </w:rPr>
            </w:pPr>
            <w:r>
              <w:rPr>
                <w:rFonts w:hint="eastAsia" w:cs="Times New Roman"/>
                <w:sz w:val="21"/>
                <w:szCs w:val="21"/>
              </w:rPr>
              <w:t>马家棚</w:t>
            </w:r>
          </w:p>
        </w:tc>
        <w:tc>
          <w:tcPr>
            <w:tcW w:w="1701" w:type="dxa"/>
            <w:noWrap/>
            <w:vAlign w:val="center"/>
          </w:tcPr>
          <w:p w14:paraId="405D7BCA">
            <w:pPr>
              <w:spacing w:line="240" w:lineRule="auto"/>
              <w:ind w:firstLine="0" w:firstLineChars="0"/>
              <w:jc w:val="center"/>
              <w:rPr>
                <w:rFonts w:cs="Times New Roman"/>
                <w:sz w:val="21"/>
                <w:szCs w:val="21"/>
              </w:rPr>
            </w:pPr>
            <w:r>
              <w:rPr>
                <w:rFonts w:hint="eastAsia" w:cs="Times New Roman"/>
                <w:sz w:val="21"/>
                <w:szCs w:val="21"/>
              </w:rPr>
              <w:t>119.375348</w:t>
            </w:r>
          </w:p>
        </w:tc>
        <w:tc>
          <w:tcPr>
            <w:tcW w:w="1690" w:type="dxa"/>
            <w:noWrap/>
            <w:vAlign w:val="center"/>
          </w:tcPr>
          <w:p w14:paraId="1866DDB9">
            <w:pPr>
              <w:spacing w:line="240" w:lineRule="auto"/>
              <w:ind w:firstLine="0" w:firstLineChars="0"/>
              <w:jc w:val="center"/>
              <w:rPr>
                <w:rFonts w:cs="Times New Roman"/>
                <w:sz w:val="21"/>
                <w:szCs w:val="21"/>
              </w:rPr>
            </w:pPr>
            <w:r>
              <w:rPr>
                <w:rFonts w:hint="eastAsia" w:cs="Times New Roman"/>
                <w:sz w:val="21"/>
                <w:szCs w:val="21"/>
              </w:rPr>
              <w:t>31.817504</w:t>
            </w:r>
          </w:p>
        </w:tc>
        <w:tc>
          <w:tcPr>
            <w:tcW w:w="1080" w:type="dxa"/>
            <w:noWrap/>
            <w:vAlign w:val="center"/>
          </w:tcPr>
          <w:p w14:paraId="1F8DE31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4A7D2B5">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B683AC5">
            <w:pPr>
              <w:spacing w:line="240" w:lineRule="auto"/>
              <w:ind w:firstLine="0" w:firstLineChars="0"/>
              <w:jc w:val="center"/>
              <w:rPr>
                <w:rFonts w:cs="Times New Roman"/>
                <w:sz w:val="21"/>
                <w:szCs w:val="21"/>
              </w:rPr>
            </w:pPr>
            <w:r>
              <w:rPr>
                <w:rFonts w:hint="eastAsia" w:cs="Times New Roman"/>
                <w:sz w:val="21"/>
                <w:szCs w:val="21"/>
              </w:rPr>
              <w:t>71</w:t>
            </w:r>
          </w:p>
        </w:tc>
        <w:tc>
          <w:tcPr>
            <w:tcW w:w="1168" w:type="dxa"/>
            <w:noWrap/>
            <w:vAlign w:val="center"/>
          </w:tcPr>
          <w:p w14:paraId="1D64761F">
            <w:pPr>
              <w:spacing w:line="240" w:lineRule="auto"/>
              <w:ind w:firstLine="0" w:firstLineChars="0"/>
              <w:jc w:val="center"/>
              <w:rPr>
                <w:rFonts w:cs="Times New Roman"/>
                <w:sz w:val="21"/>
                <w:szCs w:val="21"/>
              </w:rPr>
            </w:pPr>
            <w:r>
              <w:rPr>
                <w:rFonts w:hint="eastAsia" w:cs="Times New Roman"/>
                <w:sz w:val="21"/>
                <w:szCs w:val="21"/>
              </w:rPr>
              <w:t>约20</w:t>
            </w:r>
          </w:p>
        </w:tc>
      </w:tr>
      <w:tr w14:paraId="1FAC1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62F45B8">
            <w:pPr>
              <w:pStyle w:val="39"/>
              <w:numPr>
                <w:ilvl w:val="0"/>
                <w:numId w:val="7"/>
              </w:numPr>
              <w:spacing w:line="240" w:lineRule="auto"/>
              <w:ind w:firstLineChars="0"/>
              <w:jc w:val="center"/>
              <w:rPr>
                <w:rFonts w:cs="Times New Roman"/>
                <w:sz w:val="21"/>
                <w:szCs w:val="21"/>
              </w:rPr>
            </w:pPr>
          </w:p>
        </w:tc>
        <w:tc>
          <w:tcPr>
            <w:tcW w:w="992" w:type="dxa"/>
            <w:noWrap/>
            <w:vAlign w:val="center"/>
          </w:tcPr>
          <w:p w14:paraId="34879B3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BD2E54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971C4A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6FC9A74">
            <w:pPr>
              <w:spacing w:line="240" w:lineRule="auto"/>
              <w:ind w:firstLine="0" w:firstLineChars="0"/>
              <w:jc w:val="center"/>
              <w:rPr>
                <w:rFonts w:cs="Times New Roman"/>
                <w:sz w:val="21"/>
                <w:szCs w:val="21"/>
              </w:rPr>
            </w:pPr>
            <w:r>
              <w:rPr>
                <w:rFonts w:hint="eastAsia" w:cs="Times New Roman"/>
                <w:sz w:val="21"/>
                <w:szCs w:val="21"/>
              </w:rPr>
              <w:t>前社干</w:t>
            </w:r>
          </w:p>
        </w:tc>
        <w:tc>
          <w:tcPr>
            <w:tcW w:w="1701" w:type="dxa"/>
            <w:noWrap/>
            <w:vAlign w:val="center"/>
          </w:tcPr>
          <w:p w14:paraId="1DA8630A">
            <w:pPr>
              <w:spacing w:line="240" w:lineRule="auto"/>
              <w:ind w:firstLine="0" w:firstLineChars="0"/>
              <w:jc w:val="center"/>
              <w:rPr>
                <w:rFonts w:cs="Times New Roman"/>
                <w:sz w:val="21"/>
                <w:szCs w:val="21"/>
              </w:rPr>
            </w:pPr>
            <w:r>
              <w:rPr>
                <w:rFonts w:hint="eastAsia" w:cs="Times New Roman"/>
                <w:sz w:val="21"/>
                <w:szCs w:val="21"/>
              </w:rPr>
              <w:t>119.38157</w:t>
            </w:r>
          </w:p>
        </w:tc>
        <w:tc>
          <w:tcPr>
            <w:tcW w:w="1690" w:type="dxa"/>
            <w:noWrap/>
            <w:vAlign w:val="center"/>
          </w:tcPr>
          <w:p w14:paraId="12380B94">
            <w:pPr>
              <w:spacing w:line="240" w:lineRule="auto"/>
              <w:ind w:firstLine="0" w:firstLineChars="0"/>
              <w:jc w:val="center"/>
              <w:rPr>
                <w:rFonts w:cs="Times New Roman"/>
                <w:sz w:val="21"/>
                <w:szCs w:val="21"/>
              </w:rPr>
            </w:pPr>
            <w:r>
              <w:rPr>
                <w:rFonts w:hint="eastAsia" w:cs="Times New Roman"/>
                <w:sz w:val="21"/>
                <w:szCs w:val="21"/>
              </w:rPr>
              <w:t>31.814025</w:t>
            </w:r>
          </w:p>
        </w:tc>
        <w:tc>
          <w:tcPr>
            <w:tcW w:w="1080" w:type="dxa"/>
            <w:noWrap/>
            <w:vAlign w:val="center"/>
          </w:tcPr>
          <w:p w14:paraId="7F9D20D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03774D5">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38B8D080">
            <w:pPr>
              <w:spacing w:line="240" w:lineRule="auto"/>
              <w:ind w:firstLine="0" w:firstLineChars="0"/>
              <w:jc w:val="center"/>
              <w:rPr>
                <w:rFonts w:cs="Times New Roman"/>
                <w:sz w:val="21"/>
                <w:szCs w:val="21"/>
              </w:rPr>
            </w:pPr>
            <w:r>
              <w:rPr>
                <w:rFonts w:hint="eastAsia" w:cs="Times New Roman"/>
                <w:sz w:val="21"/>
                <w:szCs w:val="21"/>
              </w:rPr>
              <w:t>773</w:t>
            </w:r>
          </w:p>
        </w:tc>
        <w:tc>
          <w:tcPr>
            <w:tcW w:w="1168" w:type="dxa"/>
            <w:noWrap/>
            <w:vAlign w:val="center"/>
          </w:tcPr>
          <w:p w14:paraId="1237D4B0">
            <w:pPr>
              <w:spacing w:line="240" w:lineRule="auto"/>
              <w:ind w:firstLine="0" w:firstLineChars="0"/>
              <w:jc w:val="center"/>
              <w:rPr>
                <w:rFonts w:cs="Times New Roman"/>
                <w:sz w:val="21"/>
                <w:szCs w:val="21"/>
              </w:rPr>
            </w:pPr>
            <w:r>
              <w:rPr>
                <w:rFonts w:hint="eastAsia" w:cs="Times New Roman"/>
                <w:sz w:val="21"/>
                <w:szCs w:val="21"/>
              </w:rPr>
              <w:t>约30</w:t>
            </w:r>
          </w:p>
        </w:tc>
      </w:tr>
      <w:tr w14:paraId="28824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B3D58A7">
            <w:pPr>
              <w:pStyle w:val="39"/>
              <w:numPr>
                <w:ilvl w:val="0"/>
                <w:numId w:val="7"/>
              </w:numPr>
              <w:spacing w:line="240" w:lineRule="auto"/>
              <w:ind w:firstLineChars="0"/>
              <w:jc w:val="center"/>
              <w:rPr>
                <w:rFonts w:cs="Times New Roman"/>
                <w:sz w:val="21"/>
                <w:szCs w:val="21"/>
              </w:rPr>
            </w:pPr>
          </w:p>
        </w:tc>
        <w:tc>
          <w:tcPr>
            <w:tcW w:w="992" w:type="dxa"/>
            <w:noWrap/>
            <w:vAlign w:val="center"/>
          </w:tcPr>
          <w:p w14:paraId="4CA96F4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A76B1B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2F7586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07CDF37">
            <w:pPr>
              <w:spacing w:line="240" w:lineRule="auto"/>
              <w:ind w:firstLine="0" w:firstLineChars="0"/>
              <w:jc w:val="center"/>
              <w:rPr>
                <w:rFonts w:cs="Times New Roman"/>
                <w:sz w:val="21"/>
                <w:szCs w:val="21"/>
              </w:rPr>
            </w:pPr>
            <w:r>
              <w:rPr>
                <w:rFonts w:hint="eastAsia" w:cs="Times New Roman"/>
                <w:sz w:val="21"/>
                <w:szCs w:val="21"/>
              </w:rPr>
              <w:t>罗村</w:t>
            </w:r>
          </w:p>
        </w:tc>
        <w:tc>
          <w:tcPr>
            <w:tcW w:w="1701" w:type="dxa"/>
            <w:noWrap/>
            <w:vAlign w:val="center"/>
          </w:tcPr>
          <w:p w14:paraId="5DEF7829">
            <w:pPr>
              <w:spacing w:line="240" w:lineRule="auto"/>
              <w:ind w:firstLine="0" w:firstLineChars="0"/>
              <w:jc w:val="center"/>
              <w:rPr>
                <w:rFonts w:cs="Times New Roman"/>
                <w:sz w:val="21"/>
                <w:szCs w:val="21"/>
              </w:rPr>
            </w:pPr>
            <w:r>
              <w:rPr>
                <w:rFonts w:hint="eastAsia" w:cs="Times New Roman"/>
                <w:sz w:val="21"/>
                <w:szCs w:val="21"/>
              </w:rPr>
              <w:t>119.409249</w:t>
            </w:r>
          </w:p>
        </w:tc>
        <w:tc>
          <w:tcPr>
            <w:tcW w:w="1690" w:type="dxa"/>
            <w:noWrap/>
            <w:vAlign w:val="center"/>
          </w:tcPr>
          <w:p w14:paraId="1430B4BA">
            <w:pPr>
              <w:spacing w:line="240" w:lineRule="auto"/>
              <w:ind w:firstLine="0" w:firstLineChars="0"/>
              <w:jc w:val="center"/>
              <w:rPr>
                <w:rFonts w:cs="Times New Roman"/>
                <w:sz w:val="21"/>
                <w:szCs w:val="21"/>
              </w:rPr>
            </w:pPr>
            <w:r>
              <w:rPr>
                <w:rFonts w:hint="eastAsia" w:cs="Times New Roman"/>
                <w:sz w:val="21"/>
                <w:szCs w:val="21"/>
              </w:rPr>
              <w:t>31.665461</w:t>
            </w:r>
          </w:p>
        </w:tc>
        <w:tc>
          <w:tcPr>
            <w:tcW w:w="1080" w:type="dxa"/>
            <w:noWrap/>
            <w:vAlign w:val="center"/>
          </w:tcPr>
          <w:p w14:paraId="7D22150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68F8007">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4A34486C">
            <w:pPr>
              <w:spacing w:line="240" w:lineRule="auto"/>
              <w:ind w:firstLine="0" w:firstLineChars="0"/>
              <w:jc w:val="center"/>
              <w:rPr>
                <w:rFonts w:cs="Times New Roman"/>
                <w:sz w:val="21"/>
                <w:szCs w:val="21"/>
              </w:rPr>
            </w:pPr>
            <w:r>
              <w:rPr>
                <w:rFonts w:hint="eastAsia" w:cs="Times New Roman"/>
                <w:sz w:val="21"/>
                <w:szCs w:val="21"/>
              </w:rPr>
              <w:t>960</w:t>
            </w:r>
          </w:p>
        </w:tc>
        <w:tc>
          <w:tcPr>
            <w:tcW w:w="1168" w:type="dxa"/>
            <w:noWrap/>
            <w:vAlign w:val="center"/>
          </w:tcPr>
          <w:p w14:paraId="5C7B7EE2">
            <w:pPr>
              <w:spacing w:line="240" w:lineRule="auto"/>
              <w:ind w:firstLine="0" w:firstLineChars="0"/>
              <w:jc w:val="center"/>
              <w:rPr>
                <w:rFonts w:cs="Times New Roman"/>
                <w:sz w:val="21"/>
                <w:szCs w:val="21"/>
              </w:rPr>
            </w:pPr>
            <w:r>
              <w:rPr>
                <w:rFonts w:hint="eastAsia" w:cs="Times New Roman"/>
                <w:sz w:val="21"/>
                <w:szCs w:val="21"/>
              </w:rPr>
              <w:t>约500</w:t>
            </w:r>
          </w:p>
        </w:tc>
      </w:tr>
      <w:tr w14:paraId="3FC60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4D0143C">
            <w:pPr>
              <w:pStyle w:val="39"/>
              <w:numPr>
                <w:ilvl w:val="0"/>
                <w:numId w:val="7"/>
              </w:numPr>
              <w:spacing w:line="240" w:lineRule="auto"/>
              <w:ind w:firstLineChars="0"/>
              <w:jc w:val="center"/>
              <w:rPr>
                <w:rFonts w:cs="Times New Roman"/>
                <w:sz w:val="21"/>
                <w:szCs w:val="21"/>
              </w:rPr>
            </w:pPr>
          </w:p>
        </w:tc>
        <w:tc>
          <w:tcPr>
            <w:tcW w:w="992" w:type="dxa"/>
            <w:noWrap/>
            <w:vAlign w:val="center"/>
          </w:tcPr>
          <w:p w14:paraId="230F0BD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2B0D1C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DC895B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DBF292F">
            <w:pPr>
              <w:spacing w:line="240" w:lineRule="auto"/>
              <w:ind w:firstLine="0" w:firstLineChars="0"/>
              <w:jc w:val="center"/>
              <w:rPr>
                <w:rFonts w:cs="Times New Roman"/>
                <w:sz w:val="21"/>
                <w:szCs w:val="21"/>
              </w:rPr>
            </w:pPr>
            <w:r>
              <w:rPr>
                <w:rFonts w:hint="eastAsia" w:cs="Times New Roman"/>
                <w:sz w:val="21"/>
                <w:szCs w:val="21"/>
              </w:rPr>
              <w:t>绿化村</w:t>
            </w:r>
          </w:p>
        </w:tc>
        <w:tc>
          <w:tcPr>
            <w:tcW w:w="1701" w:type="dxa"/>
            <w:noWrap/>
            <w:vAlign w:val="center"/>
          </w:tcPr>
          <w:p w14:paraId="48DC9512">
            <w:pPr>
              <w:spacing w:line="240" w:lineRule="auto"/>
              <w:ind w:firstLine="0" w:firstLineChars="0"/>
              <w:jc w:val="center"/>
              <w:rPr>
                <w:rFonts w:cs="Times New Roman"/>
                <w:sz w:val="21"/>
                <w:szCs w:val="21"/>
              </w:rPr>
            </w:pPr>
            <w:r>
              <w:rPr>
                <w:rFonts w:hint="eastAsia" w:cs="Times New Roman"/>
                <w:sz w:val="21"/>
                <w:szCs w:val="21"/>
              </w:rPr>
              <w:t>119.366336</w:t>
            </w:r>
          </w:p>
        </w:tc>
        <w:tc>
          <w:tcPr>
            <w:tcW w:w="1690" w:type="dxa"/>
            <w:noWrap/>
            <w:vAlign w:val="center"/>
          </w:tcPr>
          <w:p w14:paraId="6933C83A">
            <w:pPr>
              <w:spacing w:line="240" w:lineRule="auto"/>
              <w:ind w:firstLine="0" w:firstLineChars="0"/>
              <w:jc w:val="center"/>
              <w:rPr>
                <w:rFonts w:cs="Times New Roman"/>
                <w:sz w:val="21"/>
                <w:szCs w:val="21"/>
              </w:rPr>
            </w:pPr>
            <w:r>
              <w:rPr>
                <w:rFonts w:hint="eastAsia" w:cs="Times New Roman"/>
                <w:sz w:val="21"/>
                <w:szCs w:val="21"/>
              </w:rPr>
              <w:t>31.71699</w:t>
            </w:r>
          </w:p>
        </w:tc>
        <w:tc>
          <w:tcPr>
            <w:tcW w:w="1080" w:type="dxa"/>
            <w:noWrap/>
            <w:vAlign w:val="center"/>
          </w:tcPr>
          <w:p w14:paraId="009FA3D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7F8C10E">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2E6A2878">
            <w:pPr>
              <w:spacing w:line="240" w:lineRule="auto"/>
              <w:ind w:firstLine="0" w:firstLineChars="0"/>
              <w:jc w:val="center"/>
              <w:rPr>
                <w:rFonts w:cs="Times New Roman"/>
                <w:sz w:val="21"/>
                <w:szCs w:val="21"/>
              </w:rPr>
            </w:pPr>
            <w:r>
              <w:rPr>
                <w:rFonts w:hint="eastAsia" w:cs="Times New Roman"/>
                <w:sz w:val="21"/>
                <w:szCs w:val="21"/>
              </w:rPr>
              <w:t>1688</w:t>
            </w:r>
          </w:p>
        </w:tc>
        <w:tc>
          <w:tcPr>
            <w:tcW w:w="1168" w:type="dxa"/>
            <w:noWrap/>
            <w:vAlign w:val="center"/>
          </w:tcPr>
          <w:p w14:paraId="79D8D850">
            <w:pPr>
              <w:spacing w:line="240" w:lineRule="auto"/>
              <w:ind w:firstLine="0" w:firstLineChars="0"/>
              <w:jc w:val="center"/>
              <w:rPr>
                <w:rFonts w:cs="Times New Roman"/>
                <w:sz w:val="21"/>
                <w:szCs w:val="21"/>
              </w:rPr>
            </w:pPr>
            <w:r>
              <w:rPr>
                <w:rFonts w:hint="eastAsia" w:cs="Times New Roman"/>
                <w:sz w:val="21"/>
                <w:szCs w:val="21"/>
              </w:rPr>
              <w:t>约200</w:t>
            </w:r>
          </w:p>
        </w:tc>
      </w:tr>
      <w:tr w14:paraId="6BFDD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D05BEF1">
            <w:pPr>
              <w:pStyle w:val="39"/>
              <w:numPr>
                <w:ilvl w:val="0"/>
                <w:numId w:val="7"/>
              </w:numPr>
              <w:spacing w:line="240" w:lineRule="auto"/>
              <w:ind w:firstLineChars="0"/>
              <w:jc w:val="center"/>
              <w:rPr>
                <w:rFonts w:cs="Times New Roman"/>
                <w:sz w:val="21"/>
                <w:szCs w:val="21"/>
              </w:rPr>
            </w:pPr>
          </w:p>
        </w:tc>
        <w:tc>
          <w:tcPr>
            <w:tcW w:w="992" w:type="dxa"/>
            <w:noWrap/>
            <w:vAlign w:val="center"/>
          </w:tcPr>
          <w:p w14:paraId="54223A6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ADA4E4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DE6BE8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0951F8E">
            <w:pPr>
              <w:spacing w:line="240" w:lineRule="auto"/>
              <w:ind w:firstLine="0" w:firstLineChars="0"/>
              <w:jc w:val="center"/>
              <w:rPr>
                <w:rFonts w:cs="Times New Roman"/>
                <w:sz w:val="21"/>
                <w:szCs w:val="21"/>
              </w:rPr>
            </w:pPr>
            <w:r>
              <w:rPr>
                <w:rFonts w:hint="eastAsia" w:cs="Times New Roman"/>
                <w:sz w:val="21"/>
                <w:szCs w:val="21"/>
              </w:rPr>
              <w:t>下杖村</w:t>
            </w:r>
          </w:p>
        </w:tc>
        <w:tc>
          <w:tcPr>
            <w:tcW w:w="1701" w:type="dxa"/>
            <w:noWrap/>
            <w:vAlign w:val="center"/>
          </w:tcPr>
          <w:p w14:paraId="027F3C58">
            <w:pPr>
              <w:spacing w:line="240" w:lineRule="auto"/>
              <w:ind w:firstLine="0" w:firstLineChars="0"/>
              <w:jc w:val="center"/>
              <w:rPr>
                <w:rFonts w:cs="Times New Roman"/>
                <w:sz w:val="21"/>
                <w:szCs w:val="21"/>
              </w:rPr>
            </w:pPr>
            <w:r>
              <w:rPr>
                <w:rFonts w:hint="eastAsia" w:cs="Times New Roman"/>
                <w:sz w:val="21"/>
                <w:szCs w:val="21"/>
              </w:rPr>
              <w:t>119.407922</w:t>
            </w:r>
          </w:p>
        </w:tc>
        <w:tc>
          <w:tcPr>
            <w:tcW w:w="1690" w:type="dxa"/>
            <w:noWrap/>
            <w:vAlign w:val="center"/>
          </w:tcPr>
          <w:p w14:paraId="0DABDD60">
            <w:pPr>
              <w:spacing w:line="240" w:lineRule="auto"/>
              <w:ind w:firstLine="0" w:firstLineChars="0"/>
              <w:jc w:val="center"/>
              <w:rPr>
                <w:rFonts w:cs="Times New Roman"/>
                <w:sz w:val="21"/>
                <w:szCs w:val="21"/>
              </w:rPr>
            </w:pPr>
            <w:r>
              <w:rPr>
                <w:rFonts w:hint="eastAsia" w:cs="Times New Roman"/>
                <w:sz w:val="21"/>
                <w:szCs w:val="21"/>
              </w:rPr>
              <w:t>31.787941</w:t>
            </w:r>
          </w:p>
        </w:tc>
        <w:tc>
          <w:tcPr>
            <w:tcW w:w="1080" w:type="dxa"/>
            <w:noWrap/>
            <w:vAlign w:val="center"/>
          </w:tcPr>
          <w:p w14:paraId="0D1AF01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6B84DFF">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200899E1">
            <w:pPr>
              <w:spacing w:line="240" w:lineRule="auto"/>
              <w:ind w:firstLine="0" w:firstLineChars="0"/>
              <w:jc w:val="center"/>
              <w:rPr>
                <w:rFonts w:cs="Times New Roman"/>
                <w:sz w:val="21"/>
                <w:szCs w:val="21"/>
              </w:rPr>
            </w:pPr>
            <w:r>
              <w:rPr>
                <w:rFonts w:hint="eastAsia" w:cs="Times New Roman"/>
                <w:sz w:val="21"/>
                <w:szCs w:val="21"/>
              </w:rPr>
              <w:t>2277</w:t>
            </w:r>
          </w:p>
        </w:tc>
        <w:tc>
          <w:tcPr>
            <w:tcW w:w="1168" w:type="dxa"/>
            <w:noWrap/>
            <w:vAlign w:val="center"/>
          </w:tcPr>
          <w:p w14:paraId="0ED157AE">
            <w:pPr>
              <w:spacing w:line="240" w:lineRule="auto"/>
              <w:ind w:firstLine="0" w:firstLineChars="0"/>
              <w:jc w:val="center"/>
              <w:rPr>
                <w:rFonts w:cs="Times New Roman"/>
                <w:sz w:val="21"/>
                <w:szCs w:val="21"/>
              </w:rPr>
            </w:pPr>
            <w:r>
              <w:rPr>
                <w:rFonts w:hint="eastAsia" w:cs="Times New Roman"/>
                <w:sz w:val="21"/>
                <w:szCs w:val="21"/>
              </w:rPr>
              <w:t>约500</w:t>
            </w:r>
          </w:p>
        </w:tc>
      </w:tr>
      <w:tr w14:paraId="597D9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E7862B7">
            <w:pPr>
              <w:pStyle w:val="39"/>
              <w:numPr>
                <w:ilvl w:val="0"/>
                <w:numId w:val="7"/>
              </w:numPr>
              <w:spacing w:line="240" w:lineRule="auto"/>
              <w:ind w:firstLineChars="0"/>
              <w:jc w:val="center"/>
              <w:rPr>
                <w:rFonts w:cs="Times New Roman"/>
                <w:sz w:val="21"/>
                <w:szCs w:val="21"/>
              </w:rPr>
            </w:pPr>
          </w:p>
        </w:tc>
        <w:tc>
          <w:tcPr>
            <w:tcW w:w="992" w:type="dxa"/>
            <w:noWrap/>
            <w:vAlign w:val="center"/>
          </w:tcPr>
          <w:p w14:paraId="7019640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355F51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B7796A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5D21F67">
            <w:pPr>
              <w:spacing w:line="240" w:lineRule="auto"/>
              <w:ind w:firstLine="0" w:firstLineChars="0"/>
              <w:jc w:val="center"/>
              <w:rPr>
                <w:rFonts w:cs="Times New Roman"/>
                <w:sz w:val="21"/>
                <w:szCs w:val="21"/>
              </w:rPr>
            </w:pPr>
            <w:r>
              <w:rPr>
                <w:rFonts w:hint="eastAsia" w:cs="Times New Roman"/>
                <w:sz w:val="21"/>
                <w:szCs w:val="21"/>
              </w:rPr>
              <w:t>凤凰新村</w:t>
            </w:r>
          </w:p>
        </w:tc>
        <w:tc>
          <w:tcPr>
            <w:tcW w:w="1701" w:type="dxa"/>
            <w:noWrap/>
            <w:vAlign w:val="center"/>
          </w:tcPr>
          <w:p w14:paraId="5EFDB1F3">
            <w:pPr>
              <w:spacing w:line="240" w:lineRule="auto"/>
              <w:ind w:firstLine="0" w:firstLineChars="0"/>
              <w:jc w:val="center"/>
              <w:rPr>
                <w:rFonts w:cs="Times New Roman"/>
                <w:sz w:val="21"/>
                <w:szCs w:val="21"/>
              </w:rPr>
            </w:pPr>
            <w:r>
              <w:rPr>
                <w:rFonts w:hint="eastAsia" w:cs="Times New Roman"/>
                <w:sz w:val="21"/>
                <w:szCs w:val="21"/>
              </w:rPr>
              <w:t>119.370288</w:t>
            </w:r>
          </w:p>
        </w:tc>
        <w:tc>
          <w:tcPr>
            <w:tcW w:w="1690" w:type="dxa"/>
            <w:noWrap/>
            <w:vAlign w:val="center"/>
          </w:tcPr>
          <w:p w14:paraId="450F3ACD">
            <w:pPr>
              <w:spacing w:line="240" w:lineRule="auto"/>
              <w:ind w:firstLine="0" w:firstLineChars="0"/>
              <w:jc w:val="center"/>
              <w:rPr>
                <w:rFonts w:cs="Times New Roman"/>
                <w:sz w:val="21"/>
                <w:szCs w:val="21"/>
              </w:rPr>
            </w:pPr>
            <w:r>
              <w:rPr>
                <w:rFonts w:hint="eastAsia" w:cs="Times New Roman"/>
                <w:sz w:val="21"/>
                <w:szCs w:val="21"/>
              </w:rPr>
              <w:t>31.715137</w:t>
            </w:r>
          </w:p>
        </w:tc>
        <w:tc>
          <w:tcPr>
            <w:tcW w:w="1080" w:type="dxa"/>
            <w:noWrap/>
            <w:vAlign w:val="center"/>
          </w:tcPr>
          <w:p w14:paraId="743A482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B33C1ED">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0C79B9C3">
            <w:pPr>
              <w:spacing w:line="240" w:lineRule="auto"/>
              <w:ind w:firstLine="0" w:firstLineChars="0"/>
              <w:jc w:val="center"/>
              <w:rPr>
                <w:rFonts w:cs="Times New Roman"/>
                <w:sz w:val="21"/>
                <w:szCs w:val="21"/>
              </w:rPr>
            </w:pPr>
            <w:r>
              <w:rPr>
                <w:rFonts w:hint="eastAsia" w:cs="Times New Roman"/>
                <w:sz w:val="21"/>
                <w:szCs w:val="21"/>
              </w:rPr>
              <w:t>1890</w:t>
            </w:r>
          </w:p>
        </w:tc>
        <w:tc>
          <w:tcPr>
            <w:tcW w:w="1168" w:type="dxa"/>
            <w:noWrap/>
            <w:vAlign w:val="center"/>
          </w:tcPr>
          <w:p w14:paraId="715578E2">
            <w:pPr>
              <w:spacing w:line="240" w:lineRule="auto"/>
              <w:ind w:firstLine="0" w:firstLineChars="0"/>
              <w:jc w:val="center"/>
              <w:rPr>
                <w:rFonts w:cs="Times New Roman"/>
                <w:sz w:val="21"/>
                <w:szCs w:val="21"/>
              </w:rPr>
            </w:pPr>
            <w:r>
              <w:rPr>
                <w:rFonts w:hint="eastAsia" w:cs="Times New Roman"/>
                <w:sz w:val="21"/>
                <w:szCs w:val="21"/>
              </w:rPr>
              <w:t>约200</w:t>
            </w:r>
          </w:p>
        </w:tc>
      </w:tr>
      <w:tr w14:paraId="69CDF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182CE4E">
            <w:pPr>
              <w:pStyle w:val="39"/>
              <w:numPr>
                <w:ilvl w:val="0"/>
                <w:numId w:val="7"/>
              </w:numPr>
              <w:spacing w:line="240" w:lineRule="auto"/>
              <w:ind w:firstLineChars="0"/>
              <w:jc w:val="center"/>
              <w:rPr>
                <w:rFonts w:cs="Times New Roman"/>
                <w:sz w:val="21"/>
                <w:szCs w:val="21"/>
              </w:rPr>
            </w:pPr>
          </w:p>
        </w:tc>
        <w:tc>
          <w:tcPr>
            <w:tcW w:w="992" w:type="dxa"/>
            <w:noWrap/>
            <w:vAlign w:val="center"/>
          </w:tcPr>
          <w:p w14:paraId="32490AD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C8CD3E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5B4539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BEC475C">
            <w:pPr>
              <w:spacing w:line="240" w:lineRule="auto"/>
              <w:ind w:firstLine="0" w:firstLineChars="0"/>
              <w:jc w:val="center"/>
              <w:rPr>
                <w:rFonts w:cs="Times New Roman"/>
                <w:sz w:val="21"/>
                <w:szCs w:val="21"/>
              </w:rPr>
            </w:pPr>
            <w:r>
              <w:rPr>
                <w:rFonts w:hint="eastAsia" w:cs="Times New Roman"/>
                <w:sz w:val="21"/>
                <w:szCs w:val="21"/>
              </w:rPr>
              <w:t>罗村小学</w:t>
            </w:r>
          </w:p>
        </w:tc>
        <w:tc>
          <w:tcPr>
            <w:tcW w:w="1701" w:type="dxa"/>
            <w:noWrap/>
            <w:vAlign w:val="center"/>
          </w:tcPr>
          <w:p w14:paraId="3366C617">
            <w:pPr>
              <w:spacing w:line="240" w:lineRule="auto"/>
              <w:ind w:firstLine="0" w:firstLineChars="0"/>
              <w:jc w:val="center"/>
              <w:rPr>
                <w:rFonts w:cs="Times New Roman"/>
                <w:sz w:val="21"/>
                <w:szCs w:val="21"/>
              </w:rPr>
            </w:pPr>
            <w:r>
              <w:rPr>
                <w:rFonts w:hint="eastAsia" w:cs="Times New Roman"/>
                <w:sz w:val="21"/>
                <w:szCs w:val="21"/>
              </w:rPr>
              <w:t>119.406643</w:t>
            </w:r>
          </w:p>
        </w:tc>
        <w:tc>
          <w:tcPr>
            <w:tcW w:w="1690" w:type="dxa"/>
            <w:noWrap/>
            <w:vAlign w:val="center"/>
          </w:tcPr>
          <w:p w14:paraId="30051C42">
            <w:pPr>
              <w:spacing w:line="240" w:lineRule="auto"/>
              <w:ind w:firstLine="0" w:firstLineChars="0"/>
              <w:jc w:val="center"/>
              <w:rPr>
                <w:rFonts w:cs="Times New Roman"/>
                <w:sz w:val="21"/>
                <w:szCs w:val="21"/>
              </w:rPr>
            </w:pPr>
            <w:r>
              <w:rPr>
                <w:rFonts w:hint="eastAsia" w:cs="Times New Roman"/>
                <w:sz w:val="21"/>
                <w:szCs w:val="21"/>
              </w:rPr>
              <w:t>31.663422</w:t>
            </w:r>
          </w:p>
        </w:tc>
        <w:tc>
          <w:tcPr>
            <w:tcW w:w="1080" w:type="dxa"/>
            <w:noWrap/>
            <w:vAlign w:val="center"/>
          </w:tcPr>
          <w:p w14:paraId="356009C0">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21FBCD0F">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7058DA4F">
            <w:pPr>
              <w:spacing w:line="240" w:lineRule="auto"/>
              <w:ind w:firstLine="0" w:firstLineChars="0"/>
              <w:jc w:val="center"/>
              <w:rPr>
                <w:rFonts w:cs="Times New Roman"/>
                <w:sz w:val="21"/>
                <w:szCs w:val="21"/>
              </w:rPr>
            </w:pPr>
            <w:r>
              <w:rPr>
                <w:rFonts w:hint="eastAsia" w:cs="Times New Roman"/>
                <w:sz w:val="21"/>
                <w:szCs w:val="21"/>
              </w:rPr>
              <w:t>533</w:t>
            </w:r>
          </w:p>
        </w:tc>
        <w:tc>
          <w:tcPr>
            <w:tcW w:w="1168" w:type="dxa"/>
            <w:noWrap/>
            <w:vAlign w:val="center"/>
          </w:tcPr>
          <w:p w14:paraId="4ED640AB">
            <w:pPr>
              <w:spacing w:line="240" w:lineRule="auto"/>
              <w:ind w:firstLine="0" w:firstLineChars="0"/>
              <w:jc w:val="center"/>
              <w:rPr>
                <w:rFonts w:cs="Times New Roman"/>
                <w:sz w:val="21"/>
                <w:szCs w:val="21"/>
              </w:rPr>
            </w:pPr>
            <w:r>
              <w:rPr>
                <w:rFonts w:hint="eastAsia" w:cs="Times New Roman"/>
                <w:sz w:val="21"/>
                <w:szCs w:val="21"/>
              </w:rPr>
              <w:t>约100</w:t>
            </w:r>
          </w:p>
        </w:tc>
      </w:tr>
      <w:tr w14:paraId="3780E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F11A626">
            <w:pPr>
              <w:pStyle w:val="39"/>
              <w:numPr>
                <w:ilvl w:val="0"/>
                <w:numId w:val="7"/>
              </w:numPr>
              <w:spacing w:line="240" w:lineRule="auto"/>
              <w:ind w:firstLineChars="0"/>
              <w:jc w:val="center"/>
              <w:rPr>
                <w:rFonts w:cs="Times New Roman"/>
                <w:sz w:val="21"/>
                <w:szCs w:val="21"/>
              </w:rPr>
            </w:pPr>
          </w:p>
        </w:tc>
        <w:tc>
          <w:tcPr>
            <w:tcW w:w="992" w:type="dxa"/>
            <w:noWrap/>
            <w:vAlign w:val="center"/>
          </w:tcPr>
          <w:p w14:paraId="45121EE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74096D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389205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C72F390">
            <w:pPr>
              <w:spacing w:line="240" w:lineRule="auto"/>
              <w:ind w:firstLine="0" w:firstLineChars="0"/>
              <w:jc w:val="center"/>
              <w:rPr>
                <w:rFonts w:cs="Times New Roman"/>
                <w:sz w:val="21"/>
                <w:szCs w:val="21"/>
              </w:rPr>
            </w:pPr>
            <w:r>
              <w:rPr>
                <w:rFonts w:hint="eastAsia" w:cs="Times New Roman"/>
                <w:sz w:val="21"/>
                <w:szCs w:val="21"/>
              </w:rPr>
              <w:t>分元村</w:t>
            </w:r>
          </w:p>
        </w:tc>
        <w:tc>
          <w:tcPr>
            <w:tcW w:w="1701" w:type="dxa"/>
            <w:noWrap/>
            <w:vAlign w:val="center"/>
          </w:tcPr>
          <w:p w14:paraId="1297E2E4">
            <w:pPr>
              <w:spacing w:line="240" w:lineRule="auto"/>
              <w:ind w:firstLine="0" w:firstLineChars="0"/>
              <w:jc w:val="center"/>
              <w:rPr>
                <w:rFonts w:cs="Times New Roman"/>
                <w:sz w:val="21"/>
                <w:szCs w:val="21"/>
              </w:rPr>
            </w:pPr>
            <w:r>
              <w:rPr>
                <w:rFonts w:hint="eastAsia" w:cs="Times New Roman"/>
                <w:sz w:val="21"/>
                <w:szCs w:val="21"/>
              </w:rPr>
              <w:t>119.407921</w:t>
            </w:r>
          </w:p>
        </w:tc>
        <w:tc>
          <w:tcPr>
            <w:tcW w:w="1690" w:type="dxa"/>
            <w:noWrap/>
            <w:vAlign w:val="center"/>
          </w:tcPr>
          <w:p w14:paraId="7CD6DB9F">
            <w:pPr>
              <w:spacing w:line="240" w:lineRule="auto"/>
              <w:ind w:firstLine="0" w:firstLineChars="0"/>
              <w:jc w:val="center"/>
              <w:rPr>
                <w:rFonts w:cs="Times New Roman"/>
                <w:sz w:val="21"/>
                <w:szCs w:val="21"/>
              </w:rPr>
            </w:pPr>
            <w:r>
              <w:rPr>
                <w:rFonts w:hint="eastAsia" w:cs="Times New Roman"/>
                <w:sz w:val="21"/>
                <w:szCs w:val="21"/>
              </w:rPr>
              <w:t>31.655494</w:t>
            </w:r>
          </w:p>
        </w:tc>
        <w:tc>
          <w:tcPr>
            <w:tcW w:w="1080" w:type="dxa"/>
            <w:noWrap/>
            <w:vAlign w:val="center"/>
          </w:tcPr>
          <w:p w14:paraId="73ED61D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0F745AD">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1B4B6020">
            <w:pPr>
              <w:spacing w:line="240" w:lineRule="auto"/>
              <w:ind w:firstLine="0" w:firstLineChars="0"/>
              <w:jc w:val="center"/>
              <w:rPr>
                <w:rFonts w:cs="Times New Roman"/>
                <w:sz w:val="21"/>
                <w:szCs w:val="21"/>
              </w:rPr>
            </w:pPr>
            <w:r>
              <w:rPr>
                <w:rFonts w:hint="eastAsia" w:cs="Times New Roman"/>
                <w:sz w:val="21"/>
                <w:szCs w:val="21"/>
              </w:rPr>
              <w:t>258</w:t>
            </w:r>
          </w:p>
        </w:tc>
        <w:tc>
          <w:tcPr>
            <w:tcW w:w="1168" w:type="dxa"/>
            <w:noWrap/>
            <w:vAlign w:val="center"/>
          </w:tcPr>
          <w:p w14:paraId="648BF242">
            <w:pPr>
              <w:spacing w:line="240" w:lineRule="auto"/>
              <w:ind w:firstLine="0" w:firstLineChars="0"/>
              <w:jc w:val="center"/>
              <w:rPr>
                <w:rFonts w:cs="Times New Roman"/>
                <w:sz w:val="21"/>
                <w:szCs w:val="21"/>
              </w:rPr>
            </w:pPr>
            <w:r>
              <w:rPr>
                <w:rFonts w:hint="eastAsia" w:cs="Times New Roman"/>
                <w:sz w:val="21"/>
                <w:szCs w:val="21"/>
              </w:rPr>
              <w:t>约50</w:t>
            </w:r>
          </w:p>
        </w:tc>
      </w:tr>
      <w:tr w14:paraId="01D15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FE8A0B7">
            <w:pPr>
              <w:pStyle w:val="39"/>
              <w:numPr>
                <w:ilvl w:val="0"/>
                <w:numId w:val="7"/>
              </w:numPr>
              <w:spacing w:line="240" w:lineRule="auto"/>
              <w:ind w:firstLineChars="0"/>
              <w:jc w:val="center"/>
              <w:rPr>
                <w:rFonts w:cs="Times New Roman"/>
                <w:sz w:val="21"/>
                <w:szCs w:val="21"/>
              </w:rPr>
            </w:pPr>
          </w:p>
        </w:tc>
        <w:tc>
          <w:tcPr>
            <w:tcW w:w="992" w:type="dxa"/>
            <w:noWrap/>
            <w:vAlign w:val="center"/>
          </w:tcPr>
          <w:p w14:paraId="427F93C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7EBB5E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94196F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E9D4054">
            <w:pPr>
              <w:spacing w:line="240" w:lineRule="auto"/>
              <w:ind w:firstLine="0" w:firstLineChars="0"/>
              <w:jc w:val="center"/>
              <w:rPr>
                <w:rFonts w:cs="Times New Roman"/>
                <w:sz w:val="21"/>
                <w:szCs w:val="21"/>
              </w:rPr>
            </w:pPr>
            <w:r>
              <w:rPr>
                <w:rFonts w:hint="eastAsia" w:cs="Times New Roman"/>
                <w:sz w:val="21"/>
                <w:szCs w:val="21"/>
              </w:rPr>
              <w:t>黄墅干</w:t>
            </w:r>
          </w:p>
        </w:tc>
        <w:tc>
          <w:tcPr>
            <w:tcW w:w="1701" w:type="dxa"/>
            <w:noWrap/>
            <w:vAlign w:val="center"/>
          </w:tcPr>
          <w:p w14:paraId="313B12D2">
            <w:pPr>
              <w:spacing w:line="240" w:lineRule="auto"/>
              <w:ind w:firstLine="0" w:firstLineChars="0"/>
              <w:jc w:val="center"/>
              <w:rPr>
                <w:rFonts w:cs="Times New Roman"/>
                <w:sz w:val="21"/>
                <w:szCs w:val="21"/>
              </w:rPr>
            </w:pPr>
            <w:r>
              <w:rPr>
                <w:rFonts w:hint="eastAsia" w:cs="Times New Roman"/>
                <w:sz w:val="21"/>
                <w:szCs w:val="21"/>
              </w:rPr>
              <w:t>119.396134</w:t>
            </w:r>
          </w:p>
        </w:tc>
        <w:tc>
          <w:tcPr>
            <w:tcW w:w="1690" w:type="dxa"/>
            <w:noWrap/>
            <w:vAlign w:val="center"/>
          </w:tcPr>
          <w:p w14:paraId="76F15075">
            <w:pPr>
              <w:spacing w:line="240" w:lineRule="auto"/>
              <w:ind w:firstLine="0" w:firstLineChars="0"/>
              <w:jc w:val="center"/>
              <w:rPr>
                <w:rFonts w:cs="Times New Roman"/>
                <w:sz w:val="21"/>
                <w:szCs w:val="21"/>
              </w:rPr>
            </w:pPr>
            <w:r>
              <w:rPr>
                <w:rFonts w:hint="eastAsia" w:cs="Times New Roman"/>
                <w:sz w:val="21"/>
                <w:szCs w:val="21"/>
              </w:rPr>
              <w:t>31.678881</w:t>
            </w:r>
          </w:p>
        </w:tc>
        <w:tc>
          <w:tcPr>
            <w:tcW w:w="1080" w:type="dxa"/>
            <w:noWrap/>
            <w:vAlign w:val="center"/>
          </w:tcPr>
          <w:p w14:paraId="6B3D7FB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01FFBDA">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79117D1F">
            <w:pPr>
              <w:spacing w:line="240" w:lineRule="auto"/>
              <w:ind w:firstLine="0" w:firstLineChars="0"/>
              <w:jc w:val="center"/>
              <w:rPr>
                <w:rFonts w:cs="Times New Roman"/>
                <w:sz w:val="21"/>
                <w:szCs w:val="21"/>
              </w:rPr>
            </w:pPr>
            <w:r>
              <w:rPr>
                <w:rFonts w:hint="eastAsia" w:cs="Times New Roman"/>
                <w:sz w:val="21"/>
                <w:szCs w:val="21"/>
              </w:rPr>
              <w:t>237</w:t>
            </w:r>
          </w:p>
        </w:tc>
        <w:tc>
          <w:tcPr>
            <w:tcW w:w="1168" w:type="dxa"/>
            <w:noWrap/>
            <w:vAlign w:val="center"/>
          </w:tcPr>
          <w:p w14:paraId="33A528B3">
            <w:pPr>
              <w:spacing w:line="240" w:lineRule="auto"/>
              <w:ind w:firstLine="0" w:firstLineChars="0"/>
              <w:jc w:val="center"/>
              <w:rPr>
                <w:rFonts w:cs="Times New Roman"/>
                <w:sz w:val="21"/>
                <w:szCs w:val="21"/>
              </w:rPr>
            </w:pPr>
            <w:r>
              <w:rPr>
                <w:rFonts w:hint="eastAsia" w:cs="Times New Roman"/>
                <w:sz w:val="21"/>
                <w:szCs w:val="21"/>
              </w:rPr>
              <w:t>约50</w:t>
            </w:r>
          </w:p>
        </w:tc>
      </w:tr>
      <w:tr w14:paraId="06AC8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97E0736">
            <w:pPr>
              <w:pStyle w:val="39"/>
              <w:numPr>
                <w:ilvl w:val="0"/>
                <w:numId w:val="7"/>
              </w:numPr>
              <w:spacing w:line="240" w:lineRule="auto"/>
              <w:ind w:firstLineChars="0"/>
              <w:jc w:val="center"/>
              <w:rPr>
                <w:rFonts w:cs="Times New Roman"/>
                <w:sz w:val="21"/>
                <w:szCs w:val="21"/>
              </w:rPr>
            </w:pPr>
          </w:p>
        </w:tc>
        <w:tc>
          <w:tcPr>
            <w:tcW w:w="992" w:type="dxa"/>
            <w:noWrap/>
            <w:vAlign w:val="center"/>
          </w:tcPr>
          <w:p w14:paraId="7418C0E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C4CCCA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DA7C62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356EE22">
            <w:pPr>
              <w:spacing w:line="240" w:lineRule="auto"/>
              <w:ind w:firstLine="0" w:firstLineChars="0"/>
              <w:jc w:val="center"/>
              <w:rPr>
                <w:rFonts w:cs="Times New Roman"/>
                <w:sz w:val="21"/>
                <w:szCs w:val="21"/>
              </w:rPr>
            </w:pPr>
            <w:r>
              <w:rPr>
                <w:rFonts w:hint="eastAsia" w:cs="Times New Roman"/>
                <w:sz w:val="21"/>
                <w:szCs w:val="21"/>
              </w:rPr>
              <w:t>田舍</w:t>
            </w:r>
          </w:p>
        </w:tc>
        <w:tc>
          <w:tcPr>
            <w:tcW w:w="1701" w:type="dxa"/>
            <w:noWrap/>
            <w:vAlign w:val="center"/>
          </w:tcPr>
          <w:p w14:paraId="7D46ADE9">
            <w:pPr>
              <w:spacing w:line="240" w:lineRule="auto"/>
              <w:ind w:firstLine="0" w:firstLineChars="0"/>
              <w:jc w:val="center"/>
              <w:rPr>
                <w:rFonts w:cs="Times New Roman"/>
                <w:sz w:val="21"/>
                <w:szCs w:val="21"/>
              </w:rPr>
            </w:pPr>
            <w:r>
              <w:rPr>
                <w:rFonts w:hint="eastAsia" w:cs="Times New Roman"/>
                <w:sz w:val="21"/>
                <w:szCs w:val="21"/>
              </w:rPr>
              <w:t>119.404834</w:t>
            </w:r>
          </w:p>
        </w:tc>
        <w:tc>
          <w:tcPr>
            <w:tcW w:w="1690" w:type="dxa"/>
            <w:noWrap/>
            <w:vAlign w:val="center"/>
          </w:tcPr>
          <w:p w14:paraId="650C6340">
            <w:pPr>
              <w:spacing w:line="240" w:lineRule="auto"/>
              <w:ind w:firstLine="0" w:firstLineChars="0"/>
              <w:jc w:val="center"/>
              <w:rPr>
                <w:rFonts w:cs="Times New Roman"/>
                <w:sz w:val="21"/>
                <w:szCs w:val="21"/>
              </w:rPr>
            </w:pPr>
            <w:r>
              <w:rPr>
                <w:rFonts w:hint="eastAsia" w:cs="Times New Roman"/>
                <w:sz w:val="21"/>
                <w:szCs w:val="21"/>
              </w:rPr>
              <w:t>31.675666</w:t>
            </w:r>
          </w:p>
        </w:tc>
        <w:tc>
          <w:tcPr>
            <w:tcW w:w="1080" w:type="dxa"/>
            <w:noWrap/>
            <w:vAlign w:val="center"/>
          </w:tcPr>
          <w:p w14:paraId="02B167E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C71A57A">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771DFFB4">
            <w:pPr>
              <w:spacing w:line="240" w:lineRule="auto"/>
              <w:ind w:firstLine="0" w:firstLineChars="0"/>
              <w:jc w:val="center"/>
              <w:rPr>
                <w:rFonts w:cs="Times New Roman"/>
                <w:sz w:val="21"/>
                <w:szCs w:val="21"/>
              </w:rPr>
            </w:pPr>
            <w:r>
              <w:rPr>
                <w:rFonts w:hint="eastAsia" w:cs="Times New Roman"/>
                <w:sz w:val="21"/>
                <w:szCs w:val="21"/>
              </w:rPr>
              <w:t>688</w:t>
            </w:r>
          </w:p>
        </w:tc>
        <w:tc>
          <w:tcPr>
            <w:tcW w:w="1168" w:type="dxa"/>
            <w:noWrap/>
            <w:vAlign w:val="center"/>
          </w:tcPr>
          <w:p w14:paraId="4C989B17">
            <w:pPr>
              <w:spacing w:line="240" w:lineRule="auto"/>
              <w:ind w:firstLine="0" w:firstLineChars="0"/>
              <w:jc w:val="center"/>
              <w:rPr>
                <w:rFonts w:cs="Times New Roman"/>
                <w:sz w:val="21"/>
                <w:szCs w:val="21"/>
              </w:rPr>
            </w:pPr>
            <w:r>
              <w:rPr>
                <w:rFonts w:hint="eastAsia" w:cs="Times New Roman"/>
                <w:sz w:val="21"/>
                <w:szCs w:val="21"/>
              </w:rPr>
              <w:t>约100</w:t>
            </w:r>
          </w:p>
        </w:tc>
      </w:tr>
      <w:tr w14:paraId="26800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2DA8E72">
            <w:pPr>
              <w:pStyle w:val="39"/>
              <w:numPr>
                <w:ilvl w:val="0"/>
                <w:numId w:val="7"/>
              </w:numPr>
              <w:spacing w:line="240" w:lineRule="auto"/>
              <w:ind w:firstLineChars="0"/>
              <w:jc w:val="center"/>
              <w:rPr>
                <w:rFonts w:cs="Times New Roman"/>
                <w:sz w:val="21"/>
                <w:szCs w:val="21"/>
              </w:rPr>
            </w:pPr>
          </w:p>
        </w:tc>
        <w:tc>
          <w:tcPr>
            <w:tcW w:w="992" w:type="dxa"/>
            <w:noWrap/>
            <w:vAlign w:val="center"/>
          </w:tcPr>
          <w:p w14:paraId="7DF86DE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900759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DED2EE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17F8132">
            <w:pPr>
              <w:spacing w:line="240" w:lineRule="auto"/>
              <w:ind w:firstLine="0" w:firstLineChars="0"/>
              <w:jc w:val="center"/>
              <w:rPr>
                <w:rFonts w:cs="Times New Roman"/>
                <w:sz w:val="21"/>
                <w:szCs w:val="21"/>
              </w:rPr>
            </w:pPr>
            <w:r>
              <w:rPr>
                <w:rFonts w:hint="eastAsia" w:cs="Times New Roman"/>
                <w:sz w:val="21"/>
                <w:szCs w:val="21"/>
              </w:rPr>
              <w:t>下沈村</w:t>
            </w:r>
          </w:p>
        </w:tc>
        <w:tc>
          <w:tcPr>
            <w:tcW w:w="1701" w:type="dxa"/>
            <w:noWrap/>
            <w:vAlign w:val="center"/>
          </w:tcPr>
          <w:p w14:paraId="5FD9E9D2">
            <w:pPr>
              <w:spacing w:line="240" w:lineRule="auto"/>
              <w:ind w:firstLine="0" w:firstLineChars="0"/>
              <w:jc w:val="center"/>
              <w:rPr>
                <w:rFonts w:cs="Times New Roman"/>
                <w:sz w:val="21"/>
                <w:szCs w:val="21"/>
              </w:rPr>
            </w:pPr>
            <w:r>
              <w:rPr>
                <w:rFonts w:hint="eastAsia" w:cs="Times New Roman"/>
                <w:sz w:val="21"/>
                <w:szCs w:val="21"/>
              </w:rPr>
              <w:t>119.410807</w:t>
            </w:r>
          </w:p>
        </w:tc>
        <w:tc>
          <w:tcPr>
            <w:tcW w:w="1690" w:type="dxa"/>
            <w:noWrap/>
            <w:vAlign w:val="center"/>
          </w:tcPr>
          <w:p w14:paraId="65358B94">
            <w:pPr>
              <w:spacing w:line="240" w:lineRule="auto"/>
              <w:ind w:firstLine="0" w:firstLineChars="0"/>
              <w:jc w:val="center"/>
              <w:rPr>
                <w:rFonts w:cs="Times New Roman"/>
                <w:sz w:val="21"/>
                <w:szCs w:val="21"/>
              </w:rPr>
            </w:pPr>
            <w:r>
              <w:rPr>
                <w:rFonts w:hint="eastAsia" w:cs="Times New Roman"/>
                <w:sz w:val="21"/>
                <w:szCs w:val="21"/>
              </w:rPr>
              <w:t>31.679274</w:t>
            </w:r>
          </w:p>
        </w:tc>
        <w:tc>
          <w:tcPr>
            <w:tcW w:w="1080" w:type="dxa"/>
            <w:noWrap/>
            <w:vAlign w:val="center"/>
          </w:tcPr>
          <w:p w14:paraId="65DBBF2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3464AC1">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68DE0302">
            <w:pPr>
              <w:spacing w:line="240" w:lineRule="auto"/>
              <w:ind w:firstLine="0" w:firstLineChars="0"/>
              <w:jc w:val="center"/>
              <w:rPr>
                <w:rFonts w:cs="Times New Roman"/>
                <w:sz w:val="21"/>
                <w:szCs w:val="21"/>
              </w:rPr>
            </w:pPr>
            <w:r>
              <w:rPr>
                <w:rFonts w:hint="eastAsia" w:cs="Times New Roman"/>
                <w:sz w:val="21"/>
                <w:szCs w:val="21"/>
              </w:rPr>
              <w:t>911</w:t>
            </w:r>
          </w:p>
        </w:tc>
        <w:tc>
          <w:tcPr>
            <w:tcW w:w="1168" w:type="dxa"/>
            <w:noWrap/>
            <w:vAlign w:val="center"/>
          </w:tcPr>
          <w:p w14:paraId="3175F6C6">
            <w:pPr>
              <w:spacing w:line="240" w:lineRule="auto"/>
              <w:ind w:firstLine="0" w:firstLineChars="0"/>
              <w:jc w:val="center"/>
              <w:rPr>
                <w:rFonts w:cs="Times New Roman"/>
                <w:sz w:val="21"/>
                <w:szCs w:val="21"/>
              </w:rPr>
            </w:pPr>
            <w:r>
              <w:rPr>
                <w:rFonts w:hint="eastAsia" w:cs="Times New Roman"/>
                <w:sz w:val="21"/>
                <w:szCs w:val="21"/>
              </w:rPr>
              <w:t>约100</w:t>
            </w:r>
          </w:p>
        </w:tc>
      </w:tr>
      <w:tr w14:paraId="400AA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DC4126C">
            <w:pPr>
              <w:pStyle w:val="39"/>
              <w:numPr>
                <w:ilvl w:val="0"/>
                <w:numId w:val="7"/>
              </w:numPr>
              <w:spacing w:line="240" w:lineRule="auto"/>
              <w:ind w:firstLineChars="0"/>
              <w:jc w:val="center"/>
              <w:rPr>
                <w:rFonts w:cs="Times New Roman"/>
                <w:sz w:val="21"/>
                <w:szCs w:val="21"/>
              </w:rPr>
            </w:pPr>
          </w:p>
        </w:tc>
        <w:tc>
          <w:tcPr>
            <w:tcW w:w="992" w:type="dxa"/>
            <w:noWrap/>
            <w:vAlign w:val="center"/>
          </w:tcPr>
          <w:p w14:paraId="1FBF0D8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1260F7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E382A6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4F48DE5">
            <w:pPr>
              <w:spacing w:line="240" w:lineRule="auto"/>
              <w:ind w:firstLine="0" w:firstLineChars="0"/>
              <w:jc w:val="center"/>
              <w:rPr>
                <w:rFonts w:cs="Times New Roman"/>
                <w:sz w:val="21"/>
                <w:szCs w:val="21"/>
              </w:rPr>
            </w:pPr>
            <w:r>
              <w:rPr>
                <w:rFonts w:hint="eastAsia" w:cs="Times New Roman"/>
                <w:sz w:val="21"/>
                <w:szCs w:val="21"/>
              </w:rPr>
              <w:t>友联村</w:t>
            </w:r>
          </w:p>
        </w:tc>
        <w:tc>
          <w:tcPr>
            <w:tcW w:w="1701" w:type="dxa"/>
            <w:noWrap/>
            <w:vAlign w:val="center"/>
          </w:tcPr>
          <w:p w14:paraId="23DFFD48">
            <w:pPr>
              <w:spacing w:line="240" w:lineRule="auto"/>
              <w:ind w:firstLine="0" w:firstLineChars="0"/>
              <w:jc w:val="center"/>
              <w:rPr>
                <w:rFonts w:cs="Times New Roman"/>
                <w:sz w:val="21"/>
                <w:szCs w:val="21"/>
              </w:rPr>
            </w:pPr>
            <w:r>
              <w:rPr>
                <w:rFonts w:hint="eastAsia" w:cs="Times New Roman"/>
                <w:sz w:val="21"/>
                <w:szCs w:val="21"/>
              </w:rPr>
              <w:t>119.381799</w:t>
            </w:r>
          </w:p>
        </w:tc>
        <w:tc>
          <w:tcPr>
            <w:tcW w:w="1690" w:type="dxa"/>
            <w:noWrap/>
            <w:vAlign w:val="center"/>
          </w:tcPr>
          <w:p w14:paraId="73114392">
            <w:pPr>
              <w:spacing w:line="240" w:lineRule="auto"/>
              <w:ind w:firstLine="0" w:firstLineChars="0"/>
              <w:jc w:val="center"/>
              <w:rPr>
                <w:rFonts w:cs="Times New Roman"/>
                <w:sz w:val="21"/>
                <w:szCs w:val="21"/>
              </w:rPr>
            </w:pPr>
            <w:r>
              <w:rPr>
                <w:rFonts w:hint="eastAsia" w:cs="Times New Roman"/>
                <w:sz w:val="21"/>
                <w:szCs w:val="21"/>
              </w:rPr>
              <w:t>31.752037</w:t>
            </w:r>
          </w:p>
        </w:tc>
        <w:tc>
          <w:tcPr>
            <w:tcW w:w="1080" w:type="dxa"/>
            <w:noWrap/>
            <w:vAlign w:val="center"/>
          </w:tcPr>
          <w:p w14:paraId="55BE639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9091BDE">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4C9BE38D">
            <w:pPr>
              <w:spacing w:line="240" w:lineRule="auto"/>
              <w:ind w:firstLine="0" w:firstLineChars="0"/>
              <w:jc w:val="center"/>
              <w:rPr>
                <w:rFonts w:cs="Times New Roman"/>
                <w:sz w:val="21"/>
                <w:szCs w:val="21"/>
              </w:rPr>
            </w:pPr>
            <w:r>
              <w:rPr>
                <w:rFonts w:hint="eastAsia" w:cs="Times New Roman"/>
                <w:sz w:val="21"/>
                <w:szCs w:val="21"/>
              </w:rPr>
              <w:t>732</w:t>
            </w:r>
          </w:p>
        </w:tc>
        <w:tc>
          <w:tcPr>
            <w:tcW w:w="1168" w:type="dxa"/>
            <w:noWrap/>
            <w:vAlign w:val="center"/>
          </w:tcPr>
          <w:p w14:paraId="1B5615BF">
            <w:pPr>
              <w:spacing w:line="240" w:lineRule="auto"/>
              <w:ind w:firstLine="0" w:firstLineChars="0"/>
              <w:jc w:val="center"/>
              <w:rPr>
                <w:rFonts w:cs="Times New Roman"/>
                <w:sz w:val="21"/>
                <w:szCs w:val="21"/>
              </w:rPr>
            </w:pPr>
            <w:r>
              <w:rPr>
                <w:rFonts w:hint="eastAsia" w:cs="Times New Roman"/>
                <w:sz w:val="21"/>
                <w:szCs w:val="21"/>
              </w:rPr>
              <w:t>约20</w:t>
            </w:r>
          </w:p>
        </w:tc>
      </w:tr>
      <w:tr w14:paraId="245E7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094AB41">
            <w:pPr>
              <w:pStyle w:val="39"/>
              <w:numPr>
                <w:ilvl w:val="0"/>
                <w:numId w:val="7"/>
              </w:numPr>
              <w:spacing w:line="240" w:lineRule="auto"/>
              <w:ind w:firstLineChars="0"/>
              <w:jc w:val="center"/>
              <w:rPr>
                <w:rFonts w:cs="Times New Roman"/>
                <w:sz w:val="21"/>
                <w:szCs w:val="21"/>
              </w:rPr>
            </w:pPr>
          </w:p>
        </w:tc>
        <w:tc>
          <w:tcPr>
            <w:tcW w:w="992" w:type="dxa"/>
            <w:noWrap/>
            <w:vAlign w:val="center"/>
          </w:tcPr>
          <w:p w14:paraId="3B4B6C4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6268D3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616C764">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0733D5C">
            <w:pPr>
              <w:spacing w:line="240" w:lineRule="auto"/>
              <w:ind w:firstLine="0" w:firstLineChars="0"/>
              <w:jc w:val="center"/>
              <w:rPr>
                <w:rFonts w:cs="Times New Roman"/>
                <w:sz w:val="21"/>
                <w:szCs w:val="21"/>
              </w:rPr>
            </w:pPr>
            <w:r>
              <w:rPr>
                <w:rFonts w:hint="eastAsia" w:cs="Times New Roman"/>
                <w:sz w:val="21"/>
                <w:szCs w:val="21"/>
              </w:rPr>
              <w:t>茅庵村</w:t>
            </w:r>
          </w:p>
        </w:tc>
        <w:tc>
          <w:tcPr>
            <w:tcW w:w="1701" w:type="dxa"/>
            <w:noWrap/>
            <w:vAlign w:val="center"/>
          </w:tcPr>
          <w:p w14:paraId="4A39B408">
            <w:pPr>
              <w:spacing w:line="240" w:lineRule="auto"/>
              <w:ind w:firstLine="0" w:firstLineChars="0"/>
              <w:jc w:val="center"/>
              <w:rPr>
                <w:rFonts w:cs="Times New Roman"/>
                <w:sz w:val="21"/>
                <w:szCs w:val="21"/>
              </w:rPr>
            </w:pPr>
            <w:r>
              <w:rPr>
                <w:rFonts w:hint="eastAsia" w:cs="Times New Roman"/>
                <w:sz w:val="21"/>
                <w:szCs w:val="21"/>
              </w:rPr>
              <w:t>119.394933</w:t>
            </w:r>
          </w:p>
        </w:tc>
        <w:tc>
          <w:tcPr>
            <w:tcW w:w="1690" w:type="dxa"/>
            <w:noWrap/>
            <w:vAlign w:val="center"/>
          </w:tcPr>
          <w:p w14:paraId="7B54AF2C">
            <w:pPr>
              <w:spacing w:line="240" w:lineRule="auto"/>
              <w:ind w:firstLine="0" w:firstLineChars="0"/>
              <w:jc w:val="center"/>
              <w:rPr>
                <w:rFonts w:cs="Times New Roman"/>
                <w:sz w:val="21"/>
                <w:szCs w:val="21"/>
              </w:rPr>
            </w:pPr>
            <w:r>
              <w:rPr>
                <w:rFonts w:hint="eastAsia" w:cs="Times New Roman"/>
                <w:sz w:val="21"/>
                <w:szCs w:val="21"/>
              </w:rPr>
              <w:t>31.750166</w:t>
            </w:r>
          </w:p>
        </w:tc>
        <w:tc>
          <w:tcPr>
            <w:tcW w:w="1080" w:type="dxa"/>
            <w:noWrap/>
            <w:vAlign w:val="center"/>
          </w:tcPr>
          <w:p w14:paraId="35D7330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657C3BD">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2BBF46D4">
            <w:pPr>
              <w:spacing w:line="240" w:lineRule="auto"/>
              <w:ind w:firstLine="0" w:firstLineChars="0"/>
              <w:jc w:val="center"/>
              <w:rPr>
                <w:rFonts w:cs="Times New Roman"/>
                <w:sz w:val="21"/>
                <w:szCs w:val="21"/>
              </w:rPr>
            </w:pPr>
            <w:r>
              <w:rPr>
                <w:rFonts w:hint="eastAsia" w:cs="Times New Roman"/>
                <w:sz w:val="21"/>
                <w:szCs w:val="21"/>
              </w:rPr>
              <w:t>1950</w:t>
            </w:r>
          </w:p>
        </w:tc>
        <w:tc>
          <w:tcPr>
            <w:tcW w:w="1168" w:type="dxa"/>
            <w:noWrap/>
            <w:vAlign w:val="center"/>
          </w:tcPr>
          <w:p w14:paraId="195AB866">
            <w:pPr>
              <w:spacing w:line="240" w:lineRule="auto"/>
              <w:ind w:firstLine="0" w:firstLineChars="0"/>
              <w:jc w:val="center"/>
              <w:rPr>
                <w:rFonts w:cs="Times New Roman"/>
                <w:sz w:val="21"/>
                <w:szCs w:val="21"/>
              </w:rPr>
            </w:pPr>
            <w:r>
              <w:rPr>
                <w:rFonts w:hint="eastAsia" w:cs="Times New Roman"/>
                <w:sz w:val="21"/>
                <w:szCs w:val="21"/>
              </w:rPr>
              <w:t>约50</w:t>
            </w:r>
          </w:p>
        </w:tc>
      </w:tr>
      <w:tr w14:paraId="657D1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16CC287">
            <w:pPr>
              <w:pStyle w:val="39"/>
              <w:numPr>
                <w:ilvl w:val="0"/>
                <w:numId w:val="7"/>
              </w:numPr>
              <w:spacing w:line="240" w:lineRule="auto"/>
              <w:ind w:firstLineChars="0"/>
              <w:jc w:val="center"/>
              <w:rPr>
                <w:rFonts w:cs="Times New Roman"/>
                <w:sz w:val="21"/>
                <w:szCs w:val="21"/>
              </w:rPr>
            </w:pPr>
          </w:p>
        </w:tc>
        <w:tc>
          <w:tcPr>
            <w:tcW w:w="992" w:type="dxa"/>
            <w:noWrap/>
            <w:vAlign w:val="center"/>
          </w:tcPr>
          <w:p w14:paraId="4B349C6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DF3C57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9C39B6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D147001">
            <w:pPr>
              <w:spacing w:line="240" w:lineRule="auto"/>
              <w:ind w:firstLine="0" w:firstLineChars="0"/>
              <w:jc w:val="center"/>
              <w:rPr>
                <w:rFonts w:cs="Times New Roman"/>
                <w:sz w:val="21"/>
                <w:szCs w:val="21"/>
              </w:rPr>
            </w:pPr>
            <w:r>
              <w:rPr>
                <w:rFonts w:hint="eastAsia" w:cs="Times New Roman"/>
                <w:sz w:val="21"/>
                <w:szCs w:val="21"/>
              </w:rPr>
              <w:t>下山头</w:t>
            </w:r>
          </w:p>
        </w:tc>
        <w:tc>
          <w:tcPr>
            <w:tcW w:w="1701" w:type="dxa"/>
            <w:noWrap/>
            <w:vAlign w:val="center"/>
          </w:tcPr>
          <w:p w14:paraId="4D1FEF73">
            <w:pPr>
              <w:spacing w:line="240" w:lineRule="auto"/>
              <w:ind w:firstLine="0" w:firstLineChars="0"/>
              <w:jc w:val="center"/>
              <w:rPr>
                <w:rFonts w:cs="Times New Roman"/>
                <w:sz w:val="21"/>
                <w:szCs w:val="21"/>
              </w:rPr>
            </w:pPr>
            <w:r>
              <w:rPr>
                <w:rFonts w:hint="eastAsia" w:cs="Times New Roman"/>
                <w:sz w:val="21"/>
                <w:szCs w:val="21"/>
              </w:rPr>
              <w:t>119.402945</w:t>
            </w:r>
          </w:p>
        </w:tc>
        <w:tc>
          <w:tcPr>
            <w:tcW w:w="1690" w:type="dxa"/>
            <w:noWrap/>
            <w:vAlign w:val="center"/>
          </w:tcPr>
          <w:p w14:paraId="6C1BE684">
            <w:pPr>
              <w:spacing w:line="240" w:lineRule="auto"/>
              <w:ind w:firstLine="0" w:firstLineChars="0"/>
              <w:jc w:val="center"/>
              <w:rPr>
                <w:rFonts w:cs="Times New Roman"/>
                <w:sz w:val="21"/>
                <w:szCs w:val="21"/>
              </w:rPr>
            </w:pPr>
            <w:r>
              <w:rPr>
                <w:rFonts w:hint="eastAsia" w:cs="Times New Roman"/>
                <w:sz w:val="21"/>
                <w:szCs w:val="21"/>
              </w:rPr>
              <w:t>31.749227</w:t>
            </w:r>
          </w:p>
        </w:tc>
        <w:tc>
          <w:tcPr>
            <w:tcW w:w="1080" w:type="dxa"/>
            <w:noWrap/>
            <w:vAlign w:val="center"/>
          </w:tcPr>
          <w:p w14:paraId="2B42FD5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22F7C3A">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1325B83D">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74F039CC">
            <w:pPr>
              <w:spacing w:line="240" w:lineRule="auto"/>
              <w:ind w:firstLine="0" w:firstLineChars="0"/>
              <w:jc w:val="center"/>
              <w:rPr>
                <w:rFonts w:cs="Times New Roman"/>
                <w:sz w:val="21"/>
                <w:szCs w:val="21"/>
              </w:rPr>
            </w:pPr>
            <w:r>
              <w:rPr>
                <w:rFonts w:hint="eastAsia" w:cs="Times New Roman"/>
                <w:sz w:val="21"/>
                <w:szCs w:val="21"/>
              </w:rPr>
              <w:t>约50</w:t>
            </w:r>
          </w:p>
        </w:tc>
      </w:tr>
      <w:tr w14:paraId="71A22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C31DE03">
            <w:pPr>
              <w:pStyle w:val="39"/>
              <w:numPr>
                <w:ilvl w:val="0"/>
                <w:numId w:val="7"/>
              </w:numPr>
              <w:spacing w:line="240" w:lineRule="auto"/>
              <w:ind w:firstLineChars="0"/>
              <w:jc w:val="center"/>
              <w:rPr>
                <w:rFonts w:cs="Times New Roman"/>
                <w:sz w:val="21"/>
                <w:szCs w:val="21"/>
              </w:rPr>
            </w:pPr>
          </w:p>
        </w:tc>
        <w:tc>
          <w:tcPr>
            <w:tcW w:w="992" w:type="dxa"/>
            <w:noWrap/>
            <w:vAlign w:val="center"/>
          </w:tcPr>
          <w:p w14:paraId="3DAB10D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CD9798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69A384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6A8481D">
            <w:pPr>
              <w:spacing w:line="240" w:lineRule="auto"/>
              <w:ind w:firstLine="0" w:firstLineChars="0"/>
              <w:jc w:val="center"/>
              <w:rPr>
                <w:rFonts w:cs="Times New Roman"/>
                <w:sz w:val="21"/>
                <w:szCs w:val="21"/>
              </w:rPr>
            </w:pPr>
            <w:r>
              <w:rPr>
                <w:rFonts w:hint="eastAsia" w:cs="Times New Roman"/>
                <w:sz w:val="21"/>
                <w:szCs w:val="21"/>
              </w:rPr>
              <w:t>花山脚</w:t>
            </w:r>
          </w:p>
        </w:tc>
        <w:tc>
          <w:tcPr>
            <w:tcW w:w="1701" w:type="dxa"/>
            <w:noWrap/>
            <w:vAlign w:val="center"/>
          </w:tcPr>
          <w:p w14:paraId="2020E3F7">
            <w:pPr>
              <w:spacing w:line="240" w:lineRule="auto"/>
              <w:ind w:firstLine="0" w:firstLineChars="0"/>
              <w:jc w:val="center"/>
              <w:rPr>
                <w:rFonts w:cs="Times New Roman"/>
                <w:sz w:val="21"/>
                <w:szCs w:val="21"/>
              </w:rPr>
            </w:pPr>
            <w:r>
              <w:rPr>
                <w:rFonts w:hint="eastAsia" w:cs="Times New Roman"/>
                <w:sz w:val="21"/>
                <w:szCs w:val="21"/>
              </w:rPr>
              <w:t>119.399661</w:t>
            </w:r>
          </w:p>
        </w:tc>
        <w:tc>
          <w:tcPr>
            <w:tcW w:w="1690" w:type="dxa"/>
            <w:noWrap/>
            <w:vAlign w:val="center"/>
          </w:tcPr>
          <w:p w14:paraId="775B35D0">
            <w:pPr>
              <w:spacing w:line="240" w:lineRule="auto"/>
              <w:ind w:firstLine="0" w:firstLineChars="0"/>
              <w:jc w:val="center"/>
              <w:rPr>
                <w:rFonts w:cs="Times New Roman"/>
                <w:sz w:val="21"/>
                <w:szCs w:val="21"/>
              </w:rPr>
            </w:pPr>
            <w:r>
              <w:rPr>
                <w:rFonts w:hint="eastAsia" w:cs="Times New Roman"/>
                <w:sz w:val="21"/>
                <w:szCs w:val="21"/>
              </w:rPr>
              <w:t>31.744819</w:t>
            </w:r>
          </w:p>
        </w:tc>
        <w:tc>
          <w:tcPr>
            <w:tcW w:w="1080" w:type="dxa"/>
            <w:noWrap/>
            <w:vAlign w:val="center"/>
          </w:tcPr>
          <w:p w14:paraId="7E74E05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21BA84C">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2E4D6702">
            <w:pPr>
              <w:spacing w:line="240" w:lineRule="auto"/>
              <w:ind w:firstLine="0" w:firstLineChars="0"/>
              <w:jc w:val="center"/>
              <w:rPr>
                <w:rFonts w:cs="Times New Roman"/>
                <w:sz w:val="21"/>
                <w:szCs w:val="21"/>
              </w:rPr>
            </w:pPr>
            <w:r>
              <w:rPr>
                <w:rFonts w:hint="eastAsia" w:cs="Times New Roman"/>
                <w:sz w:val="21"/>
                <w:szCs w:val="21"/>
              </w:rPr>
              <w:t>2470</w:t>
            </w:r>
          </w:p>
        </w:tc>
        <w:tc>
          <w:tcPr>
            <w:tcW w:w="1168" w:type="dxa"/>
            <w:noWrap/>
            <w:vAlign w:val="center"/>
          </w:tcPr>
          <w:p w14:paraId="650142D8">
            <w:pPr>
              <w:spacing w:line="240" w:lineRule="auto"/>
              <w:ind w:firstLine="0" w:firstLineChars="0"/>
              <w:jc w:val="center"/>
              <w:rPr>
                <w:rFonts w:cs="Times New Roman"/>
                <w:sz w:val="21"/>
                <w:szCs w:val="21"/>
              </w:rPr>
            </w:pPr>
            <w:r>
              <w:rPr>
                <w:rFonts w:hint="eastAsia" w:cs="Times New Roman"/>
                <w:sz w:val="21"/>
                <w:szCs w:val="21"/>
              </w:rPr>
              <w:t>约20</w:t>
            </w:r>
          </w:p>
        </w:tc>
      </w:tr>
      <w:tr w14:paraId="7A394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AD2D8A4">
            <w:pPr>
              <w:pStyle w:val="39"/>
              <w:numPr>
                <w:ilvl w:val="0"/>
                <w:numId w:val="7"/>
              </w:numPr>
              <w:spacing w:line="240" w:lineRule="auto"/>
              <w:ind w:firstLineChars="0"/>
              <w:jc w:val="center"/>
              <w:rPr>
                <w:rFonts w:cs="Times New Roman"/>
                <w:sz w:val="21"/>
                <w:szCs w:val="21"/>
              </w:rPr>
            </w:pPr>
          </w:p>
        </w:tc>
        <w:tc>
          <w:tcPr>
            <w:tcW w:w="992" w:type="dxa"/>
            <w:noWrap/>
            <w:vAlign w:val="center"/>
          </w:tcPr>
          <w:p w14:paraId="316AA53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144886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1CDDB0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1595BC5">
            <w:pPr>
              <w:spacing w:line="240" w:lineRule="auto"/>
              <w:ind w:firstLine="0" w:firstLineChars="0"/>
              <w:jc w:val="center"/>
              <w:rPr>
                <w:rFonts w:cs="Times New Roman"/>
                <w:sz w:val="21"/>
                <w:szCs w:val="21"/>
              </w:rPr>
            </w:pPr>
            <w:r>
              <w:rPr>
                <w:rFonts w:hint="eastAsia" w:cs="Times New Roman"/>
                <w:sz w:val="21"/>
                <w:szCs w:val="21"/>
              </w:rPr>
              <w:t>沈家村</w:t>
            </w:r>
          </w:p>
        </w:tc>
        <w:tc>
          <w:tcPr>
            <w:tcW w:w="1701" w:type="dxa"/>
            <w:noWrap/>
            <w:vAlign w:val="center"/>
          </w:tcPr>
          <w:p w14:paraId="540CCABF">
            <w:pPr>
              <w:spacing w:line="240" w:lineRule="auto"/>
              <w:ind w:firstLine="0" w:firstLineChars="0"/>
              <w:jc w:val="center"/>
              <w:rPr>
                <w:rFonts w:cs="Times New Roman"/>
                <w:sz w:val="21"/>
                <w:szCs w:val="21"/>
              </w:rPr>
            </w:pPr>
            <w:r>
              <w:rPr>
                <w:rFonts w:hint="eastAsia" w:cs="Times New Roman"/>
                <w:sz w:val="21"/>
                <w:szCs w:val="21"/>
              </w:rPr>
              <w:t>119.384986</w:t>
            </w:r>
          </w:p>
        </w:tc>
        <w:tc>
          <w:tcPr>
            <w:tcW w:w="1690" w:type="dxa"/>
            <w:noWrap/>
            <w:vAlign w:val="center"/>
          </w:tcPr>
          <w:p w14:paraId="6A4F7155">
            <w:pPr>
              <w:spacing w:line="240" w:lineRule="auto"/>
              <w:ind w:firstLine="0" w:firstLineChars="0"/>
              <w:jc w:val="center"/>
              <w:rPr>
                <w:rFonts w:cs="Times New Roman"/>
                <w:sz w:val="21"/>
                <w:szCs w:val="21"/>
              </w:rPr>
            </w:pPr>
            <w:r>
              <w:rPr>
                <w:rFonts w:hint="eastAsia" w:cs="Times New Roman"/>
                <w:sz w:val="21"/>
                <w:szCs w:val="21"/>
              </w:rPr>
              <w:t>31.748163</w:t>
            </w:r>
          </w:p>
        </w:tc>
        <w:tc>
          <w:tcPr>
            <w:tcW w:w="1080" w:type="dxa"/>
            <w:noWrap/>
            <w:vAlign w:val="center"/>
          </w:tcPr>
          <w:p w14:paraId="0BBA17D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4AE7CBA">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20569CF9">
            <w:pPr>
              <w:spacing w:line="240" w:lineRule="auto"/>
              <w:ind w:firstLine="0" w:firstLineChars="0"/>
              <w:jc w:val="center"/>
              <w:rPr>
                <w:rFonts w:cs="Times New Roman"/>
                <w:sz w:val="21"/>
                <w:szCs w:val="21"/>
              </w:rPr>
            </w:pPr>
            <w:r>
              <w:rPr>
                <w:rFonts w:hint="eastAsia" w:cs="Times New Roman"/>
                <w:sz w:val="21"/>
                <w:szCs w:val="21"/>
              </w:rPr>
              <w:t>848</w:t>
            </w:r>
          </w:p>
        </w:tc>
        <w:tc>
          <w:tcPr>
            <w:tcW w:w="1168" w:type="dxa"/>
            <w:noWrap/>
            <w:vAlign w:val="center"/>
          </w:tcPr>
          <w:p w14:paraId="4718CC2E">
            <w:pPr>
              <w:spacing w:line="240" w:lineRule="auto"/>
              <w:ind w:firstLine="0" w:firstLineChars="0"/>
              <w:jc w:val="center"/>
              <w:rPr>
                <w:rFonts w:cs="Times New Roman"/>
                <w:sz w:val="21"/>
                <w:szCs w:val="21"/>
              </w:rPr>
            </w:pPr>
            <w:r>
              <w:rPr>
                <w:rFonts w:hint="eastAsia" w:cs="Times New Roman"/>
                <w:sz w:val="21"/>
                <w:szCs w:val="21"/>
              </w:rPr>
              <w:t>约20</w:t>
            </w:r>
          </w:p>
        </w:tc>
      </w:tr>
      <w:tr w14:paraId="35A35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36DD53D">
            <w:pPr>
              <w:pStyle w:val="39"/>
              <w:numPr>
                <w:ilvl w:val="0"/>
                <w:numId w:val="7"/>
              </w:numPr>
              <w:spacing w:line="240" w:lineRule="auto"/>
              <w:ind w:firstLineChars="0"/>
              <w:jc w:val="center"/>
              <w:rPr>
                <w:rFonts w:cs="Times New Roman"/>
                <w:sz w:val="21"/>
                <w:szCs w:val="21"/>
              </w:rPr>
            </w:pPr>
          </w:p>
        </w:tc>
        <w:tc>
          <w:tcPr>
            <w:tcW w:w="992" w:type="dxa"/>
            <w:noWrap/>
            <w:vAlign w:val="center"/>
          </w:tcPr>
          <w:p w14:paraId="2493B947">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43F3F14C">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3828CFE3">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715E6AC0">
            <w:pPr>
              <w:spacing w:line="240" w:lineRule="auto"/>
              <w:ind w:firstLine="0" w:firstLineChars="0"/>
              <w:jc w:val="center"/>
              <w:rPr>
                <w:rFonts w:cs="Times New Roman"/>
                <w:sz w:val="21"/>
                <w:szCs w:val="21"/>
              </w:rPr>
            </w:pPr>
            <w:r>
              <w:rPr>
                <w:rFonts w:hint="eastAsia" w:cs="Times New Roman"/>
                <w:sz w:val="21"/>
                <w:szCs w:val="21"/>
              </w:rPr>
              <w:t>塘北村</w:t>
            </w:r>
          </w:p>
        </w:tc>
        <w:tc>
          <w:tcPr>
            <w:tcW w:w="1701" w:type="dxa"/>
            <w:noWrap/>
            <w:vAlign w:val="center"/>
          </w:tcPr>
          <w:p w14:paraId="4F7D1F3B">
            <w:pPr>
              <w:spacing w:line="240" w:lineRule="auto"/>
              <w:ind w:firstLine="0" w:firstLineChars="0"/>
              <w:jc w:val="center"/>
              <w:rPr>
                <w:rFonts w:cs="Times New Roman"/>
                <w:sz w:val="21"/>
                <w:szCs w:val="21"/>
              </w:rPr>
            </w:pPr>
            <w:r>
              <w:rPr>
                <w:rFonts w:hint="eastAsia" w:cs="Times New Roman"/>
                <w:sz w:val="21"/>
                <w:szCs w:val="21"/>
              </w:rPr>
              <w:t>119.399726</w:t>
            </w:r>
          </w:p>
        </w:tc>
        <w:tc>
          <w:tcPr>
            <w:tcW w:w="1690" w:type="dxa"/>
            <w:noWrap/>
            <w:vAlign w:val="center"/>
          </w:tcPr>
          <w:p w14:paraId="26F3E4B3">
            <w:pPr>
              <w:spacing w:line="240" w:lineRule="auto"/>
              <w:ind w:firstLine="0" w:firstLineChars="0"/>
              <w:jc w:val="center"/>
              <w:rPr>
                <w:rFonts w:cs="Times New Roman"/>
                <w:sz w:val="21"/>
                <w:szCs w:val="21"/>
              </w:rPr>
            </w:pPr>
            <w:r>
              <w:rPr>
                <w:rFonts w:hint="eastAsia" w:cs="Times New Roman"/>
                <w:sz w:val="21"/>
                <w:szCs w:val="21"/>
              </w:rPr>
              <w:t>31.837768</w:t>
            </w:r>
          </w:p>
        </w:tc>
        <w:tc>
          <w:tcPr>
            <w:tcW w:w="1080" w:type="dxa"/>
            <w:noWrap/>
            <w:vAlign w:val="center"/>
          </w:tcPr>
          <w:p w14:paraId="7015156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956444C">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E4707B5">
            <w:pPr>
              <w:spacing w:line="240" w:lineRule="auto"/>
              <w:ind w:firstLine="0" w:firstLineChars="0"/>
              <w:jc w:val="center"/>
              <w:rPr>
                <w:rFonts w:cs="Times New Roman"/>
                <w:sz w:val="21"/>
                <w:szCs w:val="21"/>
              </w:rPr>
            </w:pPr>
            <w:r>
              <w:rPr>
                <w:rFonts w:hint="eastAsia" w:cs="Times New Roman"/>
                <w:sz w:val="21"/>
                <w:szCs w:val="21"/>
              </w:rPr>
              <w:t>2385</w:t>
            </w:r>
          </w:p>
        </w:tc>
        <w:tc>
          <w:tcPr>
            <w:tcW w:w="1168" w:type="dxa"/>
            <w:noWrap/>
            <w:vAlign w:val="center"/>
          </w:tcPr>
          <w:p w14:paraId="3E11602C">
            <w:pPr>
              <w:spacing w:line="240" w:lineRule="auto"/>
              <w:ind w:firstLine="0" w:firstLineChars="0"/>
              <w:jc w:val="center"/>
              <w:rPr>
                <w:rFonts w:cs="Times New Roman"/>
                <w:sz w:val="21"/>
                <w:szCs w:val="21"/>
              </w:rPr>
            </w:pPr>
            <w:r>
              <w:rPr>
                <w:rFonts w:hint="eastAsia" w:cs="Times New Roman"/>
                <w:sz w:val="21"/>
                <w:szCs w:val="21"/>
              </w:rPr>
              <w:t>约200</w:t>
            </w:r>
          </w:p>
        </w:tc>
      </w:tr>
      <w:tr w14:paraId="22408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5615EB2">
            <w:pPr>
              <w:pStyle w:val="39"/>
              <w:numPr>
                <w:ilvl w:val="0"/>
                <w:numId w:val="7"/>
              </w:numPr>
              <w:spacing w:line="240" w:lineRule="auto"/>
              <w:ind w:firstLineChars="0"/>
              <w:jc w:val="center"/>
              <w:rPr>
                <w:rFonts w:cs="Times New Roman"/>
                <w:sz w:val="21"/>
                <w:szCs w:val="21"/>
              </w:rPr>
            </w:pPr>
          </w:p>
        </w:tc>
        <w:tc>
          <w:tcPr>
            <w:tcW w:w="992" w:type="dxa"/>
            <w:noWrap/>
            <w:vAlign w:val="center"/>
          </w:tcPr>
          <w:p w14:paraId="476615A4">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CCA3E95">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3C293F5D">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6813E395">
            <w:pPr>
              <w:spacing w:line="240" w:lineRule="auto"/>
              <w:ind w:firstLine="0" w:firstLineChars="0"/>
              <w:jc w:val="center"/>
              <w:rPr>
                <w:rFonts w:cs="Times New Roman"/>
                <w:sz w:val="21"/>
                <w:szCs w:val="21"/>
              </w:rPr>
            </w:pPr>
            <w:r>
              <w:rPr>
                <w:rFonts w:hint="eastAsia" w:cs="Times New Roman"/>
                <w:sz w:val="21"/>
                <w:szCs w:val="21"/>
              </w:rPr>
              <w:t>裴甲村</w:t>
            </w:r>
          </w:p>
        </w:tc>
        <w:tc>
          <w:tcPr>
            <w:tcW w:w="1701" w:type="dxa"/>
            <w:noWrap/>
            <w:vAlign w:val="center"/>
          </w:tcPr>
          <w:p w14:paraId="0E5E97E5">
            <w:pPr>
              <w:spacing w:line="240" w:lineRule="auto"/>
              <w:ind w:firstLine="0" w:firstLineChars="0"/>
              <w:jc w:val="center"/>
              <w:rPr>
                <w:rFonts w:cs="Times New Roman"/>
                <w:sz w:val="21"/>
                <w:szCs w:val="21"/>
              </w:rPr>
            </w:pPr>
            <w:r>
              <w:rPr>
                <w:rFonts w:hint="eastAsia" w:cs="Times New Roman"/>
                <w:sz w:val="21"/>
                <w:szCs w:val="21"/>
              </w:rPr>
              <w:t>119.3916</w:t>
            </w:r>
          </w:p>
        </w:tc>
        <w:tc>
          <w:tcPr>
            <w:tcW w:w="1690" w:type="dxa"/>
            <w:noWrap/>
            <w:vAlign w:val="center"/>
          </w:tcPr>
          <w:p w14:paraId="4E6435A3">
            <w:pPr>
              <w:spacing w:line="240" w:lineRule="auto"/>
              <w:ind w:firstLine="0" w:firstLineChars="0"/>
              <w:jc w:val="center"/>
              <w:rPr>
                <w:rFonts w:cs="Times New Roman"/>
                <w:sz w:val="21"/>
                <w:szCs w:val="21"/>
              </w:rPr>
            </w:pPr>
            <w:r>
              <w:rPr>
                <w:rFonts w:hint="eastAsia" w:cs="Times New Roman"/>
                <w:sz w:val="21"/>
                <w:szCs w:val="21"/>
              </w:rPr>
              <w:t>31.840303</w:t>
            </w:r>
          </w:p>
        </w:tc>
        <w:tc>
          <w:tcPr>
            <w:tcW w:w="1080" w:type="dxa"/>
            <w:noWrap/>
            <w:vAlign w:val="center"/>
          </w:tcPr>
          <w:p w14:paraId="2F1313A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20CE355">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7B529ADA">
            <w:pPr>
              <w:spacing w:line="240" w:lineRule="auto"/>
              <w:ind w:firstLine="0" w:firstLineChars="0"/>
              <w:jc w:val="center"/>
              <w:rPr>
                <w:rFonts w:cs="Times New Roman"/>
                <w:sz w:val="21"/>
                <w:szCs w:val="21"/>
              </w:rPr>
            </w:pPr>
            <w:r>
              <w:rPr>
                <w:rFonts w:hint="eastAsia" w:cs="Times New Roman"/>
                <w:sz w:val="21"/>
                <w:szCs w:val="21"/>
              </w:rPr>
              <w:t>1708</w:t>
            </w:r>
          </w:p>
        </w:tc>
        <w:tc>
          <w:tcPr>
            <w:tcW w:w="1168" w:type="dxa"/>
            <w:noWrap/>
            <w:vAlign w:val="center"/>
          </w:tcPr>
          <w:p w14:paraId="03BA9B34">
            <w:pPr>
              <w:spacing w:line="240" w:lineRule="auto"/>
              <w:ind w:firstLine="0" w:firstLineChars="0"/>
              <w:jc w:val="center"/>
              <w:rPr>
                <w:rFonts w:cs="Times New Roman"/>
                <w:sz w:val="21"/>
                <w:szCs w:val="21"/>
              </w:rPr>
            </w:pPr>
            <w:r>
              <w:rPr>
                <w:rFonts w:hint="eastAsia" w:cs="Times New Roman"/>
                <w:sz w:val="21"/>
                <w:szCs w:val="21"/>
              </w:rPr>
              <w:t>约80</w:t>
            </w:r>
          </w:p>
        </w:tc>
      </w:tr>
      <w:tr w14:paraId="44BB7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F2CDF47">
            <w:pPr>
              <w:pStyle w:val="39"/>
              <w:numPr>
                <w:ilvl w:val="0"/>
                <w:numId w:val="7"/>
              </w:numPr>
              <w:spacing w:line="240" w:lineRule="auto"/>
              <w:ind w:firstLineChars="0"/>
              <w:jc w:val="center"/>
              <w:rPr>
                <w:rFonts w:cs="Times New Roman"/>
                <w:sz w:val="21"/>
                <w:szCs w:val="21"/>
              </w:rPr>
            </w:pPr>
          </w:p>
        </w:tc>
        <w:tc>
          <w:tcPr>
            <w:tcW w:w="992" w:type="dxa"/>
            <w:noWrap/>
            <w:vAlign w:val="center"/>
          </w:tcPr>
          <w:p w14:paraId="65603043">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8129BA3">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6B18BEBE">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4572006A">
            <w:pPr>
              <w:spacing w:line="240" w:lineRule="auto"/>
              <w:ind w:firstLine="0" w:firstLineChars="0"/>
              <w:jc w:val="center"/>
              <w:rPr>
                <w:rFonts w:cs="Times New Roman"/>
                <w:sz w:val="21"/>
                <w:szCs w:val="21"/>
              </w:rPr>
            </w:pPr>
            <w:r>
              <w:rPr>
                <w:rFonts w:hint="eastAsia" w:cs="Times New Roman"/>
                <w:sz w:val="21"/>
                <w:szCs w:val="21"/>
              </w:rPr>
              <w:t>凌甲庄</w:t>
            </w:r>
          </w:p>
        </w:tc>
        <w:tc>
          <w:tcPr>
            <w:tcW w:w="1701" w:type="dxa"/>
            <w:noWrap/>
            <w:vAlign w:val="center"/>
          </w:tcPr>
          <w:p w14:paraId="7F546606">
            <w:pPr>
              <w:spacing w:line="240" w:lineRule="auto"/>
              <w:ind w:firstLine="0" w:firstLineChars="0"/>
              <w:jc w:val="center"/>
              <w:rPr>
                <w:rFonts w:cs="Times New Roman"/>
                <w:sz w:val="21"/>
                <w:szCs w:val="21"/>
              </w:rPr>
            </w:pPr>
            <w:r>
              <w:rPr>
                <w:rFonts w:hint="eastAsia" w:cs="Times New Roman"/>
                <w:sz w:val="21"/>
                <w:szCs w:val="21"/>
              </w:rPr>
              <w:t>119.385675</w:t>
            </w:r>
          </w:p>
        </w:tc>
        <w:tc>
          <w:tcPr>
            <w:tcW w:w="1690" w:type="dxa"/>
            <w:noWrap/>
            <w:vAlign w:val="center"/>
          </w:tcPr>
          <w:p w14:paraId="4A09CD3E">
            <w:pPr>
              <w:spacing w:line="240" w:lineRule="auto"/>
              <w:ind w:firstLine="0" w:firstLineChars="0"/>
              <w:jc w:val="center"/>
              <w:rPr>
                <w:rFonts w:cs="Times New Roman"/>
                <w:sz w:val="21"/>
                <w:szCs w:val="21"/>
              </w:rPr>
            </w:pPr>
            <w:r>
              <w:rPr>
                <w:rFonts w:hint="eastAsia" w:cs="Times New Roman"/>
                <w:sz w:val="21"/>
                <w:szCs w:val="21"/>
              </w:rPr>
              <w:t>31.848695</w:t>
            </w:r>
          </w:p>
        </w:tc>
        <w:tc>
          <w:tcPr>
            <w:tcW w:w="1080" w:type="dxa"/>
            <w:noWrap/>
            <w:vAlign w:val="center"/>
          </w:tcPr>
          <w:p w14:paraId="5E4F241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5F8A6A6">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61CDE5B3">
            <w:pPr>
              <w:spacing w:line="240" w:lineRule="auto"/>
              <w:ind w:firstLine="0" w:firstLineChars="0"/>
              <w:jc w:val="center"/>
              <w:rPr>
                <w:rFonts w:cs="Times New Roman"/>
                <w:sz w:val="21"/>
                <w:szCs w:val="21"/>
              </w:rPr>
            </w:pPr>
            <w:r>
              <w:rPr>
                <w:rFonts w:hint="eastAsia" w:cs="Times New Roman"/>
                <w:sz w:val="21"/>
                <w:szCs w:val="21"/>
              </w:rPr>
              <w:t>1382</w:t>
            </w:r>
          </w:p>
        </w:tc>
        <w:tc>
          <w:tcPr>
            <w:tcW w:w="1168" w:type="dxa"/>
            <w:noWrap/>
            <w:vAlign w:val="center"/>
          </w:tcPr>
          <w:p w14:paraId="3F9A637B">
            <w:pPr>
              <w:spacing w:line="240" w:lineRule="auto"/>
              <w:ind w:firstLine="0" w:firstLineChars="0"/>
              <w:jc w:val="center"/>
              <w:rPr>
                <w:rFonts w:cs="Times New Roman"/>
                <w:sz w:val="21"/>
                <w:szCs w:val="21"/>
              </w:rPr>
            </w:pPr>
            <w:r>
              <w:rPr>
                <w:rFonts w:hint="eastAsia" w:cs="Times New Roman"/>
                <w:sz w:val="21"/>
                <w:szCs w:val="21"/>
              </w:rPr>
              <w:t>约50</w:t>
            </w:r>
          </w:p>
        </w:tc>
      </w:tr>
      <w:tr w14:paraId="0D017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6CB02E5">
            <w:pPr>
              <w:pStyle w:val="39"/>
              <w:numPr>
                <w:ilvl w:val="0"/>
                <w:numId w:val="7"/>
              </w:numPr>
              <w:spacing w:line="240" w:lineRule="auto"/>
              <w:ind w:firstLineChars="0"/>
              <w:jc w:val="center"/>
              <w:rPr>
                <w:rFonts w:cs="Times New Roman"/>
                <w:sz w:val="21"/>
                <w:szCs w:val="21"/>
              </w:rPr>
            </w:pPr>
          </w:p>
        </w:tc>
        <w:tc>
          <w:tcPr>
            <w:tcW w:w="992" w:type="dxa"/>
            <w:noWrap/>
            <w:vAlign w:val="center"/>
          </w:tcPr>
          <w:p w14:paraId="4B41D11C">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43239512">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318EA0BF">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66D154CB">
            <w:pPr>
              <w:spacing w:line="240" w:lineRule="auto"/>
              <w:ind w:firstLine="0" w:firstLineChars="0"/>
              <w:jc w:val="center"/>
              <w:rPr>
                <w:rFonts w:cs="Times New Roman"/>
                <w:sz w:val="21"/>
                <w:szCs w:val="21"/>
              </w:rPr>
            </w:pPr>
            <w:r>
              <w:rPr>
                <w:rFonts w:hint="eastAsia" w:cs="Times New Roman"/>
                <w:sz w:val="21"/>
                <w:szCs w:val="21"/>
              </w:rPr>
              <w:t>沈家棚</w:t>
            </w:r>
          </w:p>
        </w:tc>
        <w:tc>
          <w:tcPr>
            <w:tcW w:w="1701" w:type="dxa"/>
            <w:noWrap/>
            <w:vAlign w:val="center"/>
          </w:tcPr>
          <w:p w14:paraId="53E0FE5F">
            <w:pPr>
              <w:spacing w:line="240" w:lineRule="auto"/>
              <w:ind w:firstLine="0" w:firstLineChars="0"/>
              <w:jc w:val="center"/>
              <w:rPr>
                <w:rFonts w:cs="Times New Roman"/>
                <w:sz w:val="21"/>
                <w:szCs w:val="21"/>
              </w:rPr>
            </w:pPr>
            <w:r>
              <w:rPr>
                <w:rFonts w:hint="eastAsia" w:cs="Times New Roman"/>
                <w:sz w:val="21"/>
                <w:szCs w:val="21"/>
              </w:rPr>
              <w:t>119.389903</w:t>
            </w:r>
          </w:p>
        </w:tc>
        <w:tc>
          <w:tcPr>
            <w:tcW w:w="1690" w:type="dxa"/>
            <w:noWrap/>
            <w:vAlign w:val="center"/>
          </w:tcPr>
          <w:p w14:paraId="375EF957">
            <w:pPr>
              <w:spacing w:line="240" w:lineRule="auto"/>
              <w:ind w:firstLine="0" w:firstLineChars="0"/>
              <w:jc w:val="center"/>
              <w:rPr>
                <w:rFonts w:cs="Times New Roman"/>
                <w:sz w:val="21"/>
                <w:szCs w:val="21"/>
              </w:rPr>
            </w:pPr>
            <w:r>
              <w:rPr>
                <w:rFonts w:hint="eastAsia" w:cs="Times New Roman"/>
                <w:sz w:val="21"/>
                <w:szCs w:val="21"/>
              </w:rPr>
              <w:t>31.847785</w:t>
            </w:r>
          </w:p>
        </w:tc>
        <w:tc>
          <w:tcPr>
            <w:tcW w:w="1080" w:type="dxa"/>
            <w:noWrap/>
            <w:vAlign w:val="center"/>
          </w:tcPr>
          <w:p w14:paraId="7082D78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8B7016F">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6B930C3F">
            <w:pPr>
              <w:spacing w:line="240" w:lineRule="auto"/>
              <w:ind w:firstLine="0" w:firstLineChars="0"/>
              <w:jc w:val="center"/>
              <w:rPr>
                <w:rFonts w:cs="Times New Roman"/>
                <w:sz w:val="21"/>
                <w:szCs w:val="21"/>
              </w:rPr>
            </w:pPr>
            <w:r>
              <w:rPr>
                <w:rFonts w:hint="eastAsia" w:cs="Times New Roman"/>
                <w:sz w:val="21"/>
                <w:szCs w:val="21"/>
              </w:rPr>
              <w:t>1728</w:t>
            </w:r>
          </w:p>
        </w:tc>
        <w:tc>
          <w:tcPr>
            <w:tcW w:w="1168" w:type="dxa"/>
            <w:noWrap/>
            <w:vAlign w:val="center"/>
          </w:tcPr>
          <w:p w14:paraId="0F6A2716">
            <w:pPr>
              <w:spacing w:line="240" w:lineRule="auto"/>
              <w:ind w:firstLine="0" w:firstLineChars="0"/>
              <w:jc w:val="center"/>
              <w:rPr>
                <w:rFonts w:cs="Times New Roman"/>
                <w:sz w:val="21"/>
                <w:szCs w:val="21"/>
              </w:rPr>
            </w:pPr>
            <w:r>
              <w:rPr>
                <w:rFonts w:hint="eastAsia" w:cs="Times New Roman"/>
                <w:sz w:val="21"/>
                <w:szCs w:val="21"/>
              </w:rPr>
              <w:t>约50</w:t>
            </w:r>
          </w:p>
        </w:tc>
      </w:tr>
      <w:tr w14:paraId="6ED4B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9F0ACEA">
            <w:pPr>
              <w:pStyle w:val="39"/>
              <w:numPr>
                <w:ilvl w:val="0"/>
                <w:numId w:val="7"/>
              </w:numPr>
              <w:spacing w:line="240" w:lineRule="auto"/>
              <w:ind w:firstLineChars="0"/>
              <w:jc w:val="center"/>
              <w:rPr>
                <w:rFonts w:cs="Times New Roman"/>
                <w:sz w:val="21"/>
                <w:szCs w:val="21"/>
              </w:rPr>
            </w:pPr>
          </w:p>
        </w:tc>
        <w:tc>
          <w:tcPr>
            <w:tcW w:w="992" w:type="dxa"/>
            <w:noWrap/>
            <w:vAlign w:val="center"/>
          </w:tcPr>
          <w:p w14:paraId="16F641A5">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50FAFEB">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5DDF66F2">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446EB287">
            <w:pPr>
              <w:spacing w:line="240" w:lineRule="auto"/>
              <w:ind w:firstLine="0" w:firstLineChars="0"/>
              <w:jc w:val="center"/>
              <w:rPr>
                <w:rFonts w:cs="Times New Roman"/>
                <w:sz w:val="21"/>
                <w:szCs w:val="21"/>
              </w:rPr>
            </w:pPr>
            <w:r>
              <w:rPr>
                <w:rFonts w:hint="eastAsia" w:cs="Times New Roman"/>
                <w:sz w:val="21"/>
                <w:szCs w:val="21"/>
              </w:rPr>
              <w:t>森林村</w:t>
            </w:r>
          </w:p>
        </w:tc>
        <w:tc>
          <w:tcPr>
            <w:tcW w:w="1701" w:type="dxa"/>
            <w:noWrap/>
            <w:vAlign w:val="center"/>
          </w:tcPr>
          <w:p w14:paraId="23BAABE2">
            <w:pPr>
              <w:spacing w:line="240" w:lineRule="auto"/>
              <w:ind w:firstLine="0" w:firstLineChars="0"/>
              <w:jc w:val="center"/>
              <w:rPr>
                <w:rFonts w:cs="Times New Roman"/>
                <w:sz w:val="21"/>
                <w:szCs w:val="21"/>
              </w:rPr>
            </w:pPr>
            <w:r>
              <w:rPr>
                <w:rFonts w:hint="eastAsia" w:cs="Times New Roman"/>
                <w:sz w:val="21"/>
                <w:szCs w:val="21"/>
              </w:rPr>
              <w:t>119.380317</w:t>
            </w:r>
          </w:p>
        </w:tc>
        <w:tc>
          <w:tcPr>
            <w:tcW w:w="1690" w:type="dxa"/>
            <w:noWrap/>
            <w:vAlign w:val="center"/>
          </w:tcPr>
          <w:p w14:paraId="008FE996">
            <w:pPr>
              <w:spacing w:line="240" w:lineRule="auto"/>
              <w:ind w:firstLine="0" w:firstLineChars="0"/>
              <w:jc w:val="center"/>
              <w:rPr>
                <w:rFonts w:cs="Times New Roman"/>
                <w:sz w:val="21"/>
                <w:szCs w:val="21"/>
              </w:rPr>
            </w:pPr>
            <w:r>
              <w:rPr>
                <w:rFonts w:hint="eastAsia" w:cs="Times New Roman"/>
                <w:sz w:val="21"/>
                <w:szCs w:val="21"/>
              </w:rPr>
              <w:t>31.862259</w:t>
            </w:r>
          </w:p>
        </w:tc>
        <w:tc>
          <w:tcPr>
            <w:tcW w:w="1080" w:type="dxa"/>
            <w:noWrap/>
            <w:vAlign w:val="center"/>
          </w:tcPr>
          <w:p w14:paraId="0511CA6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74DE371">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44B1F7A1">
            <w:pPr>
              <w:spacing w:line="240" w:lineRule="auto"/>
              <w:ind w:firstLine="0" w:firstLineChars="0"/>
              <w:jc w:val="center"/>
              <w:rPr>
                <w:rFonts w:cs="Times New Roman"/>
                <w:sz w:val="21"/>
                <w:szCs w:val="21"/>
              </w:rPr>
            </w:pPr>
            <w:r>
              <w:rPr>
                <w:rFonts w:hint="eastAsia" w:cs="Times New Roman"/>
                <w:sz w:val="21"/>
                <w:szCs w:val="21"/>
              </w:rPr>
              <w:t>1705</w:t>
            </w:r>
          </w:p>
        </w:tc>
        <w:tc>
          <w:tcPr>
            <w:tcW w:w="1168" w:type="dxa"/>
            <w:noWrap/>
            <w:vAlign w:val="center"/>
          </w:tcPr>
          <w:p w14:paraId="402FC5DA">
            <w:pPr>
              <w:spacing w:line="240" w:lineRule="auto"/>
              <w:ind w:firstLine="0" w:firstLineChars="0"/>
              <w:jc w:val="center"/>
              <w:rPr>
                <w:rFonts w:cs="Times New Roman"/>
                <w:sz w:val="21"/>
                <w:szCs w:val="21"/>
              </w:rPr>
            </w:pPr>
            <w:r>
              <w:rPr>
                <w:rFonts w:hint="eastAsia" w:cs="Times New Roman"/>
                <w:sz w:val="21"/>
                <w:szCs w:val="21"/>
              </w:rPr>
              <w:t>约150</w:t>
            </w:r>
          </w:p>
        </w:tc>
      </w:tr>
      <w:tr w14:paraId="07BB9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70DF933">
            <w:pPr>
              <w:pStyle w:val="39"/>
              <w:numPr>
                <w:ilvl w:val="0"/>
                <w:numId w:val="7"/>
              </w:numPr>
              <w:spacing w:line="240" w:lineRule="auto"/>
              <w:ind w:firstLineChars="0"/>
              <w:jc w:val="center"/>
              <w:rPr>
                <w:rFonts w:cs="Times New Roman"/>
                <w:sz w:val="21"/>
                <w:szCs w:val="21"/>
              </w:rPr>
            </w:pPr>
          </w:p>
        </w:tc>
        <w:tc>
          <w:tcPr>
            <w:tcW w:w="992" w:type="dxa"/>
            <w:noWrap/>
            <w:vAlign w:val="center"/>
          </w:tcPr>
          <w:p w14:paraId="1E9A1504">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5AB7BAC">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5590D1CF">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2AA924DD">
            <w:pPr>
              <w:spacing w:line="240" w:lineRule="auto"/>
              <w:ind w:firstLine="0" w:firstLineChars="0"/>
              <w:jc w:val="center"/>
              <w:rPr>
                <w:rFonts w:cs="Times New Roman"/>
                <w:sz w:val="21"/>
                <w:szCs w:val="21"/>
              </w:rPr>
            </w:pPr>
            <w:r>
              <w:rPr>
                <w:rFonts w:hint="eastAsia" w:cs="Times New Roman"/>
                <w:sz w:val="21"/>
                <w:szCs w:val="21"/>
              </w:rPr>
              <w:t>茹墅村</w:t>
            </w:r>
          </w:p>
        </w:tc>
        <w:tc>
          <w:tcPr>
            <w:tcW w:w="1701" w:type="dxa"/>
            <w:noWrap/>
            <w:vAlign w:val="center"/>
          </w:tcPr>
          <w:p w14:paraId="475CA1A4">
            <w:pPr>
              <w:spacing w:line="240" w:lineRule="auto"/>
              <w:ind w:firstLine="0" w:firstLineChars="0"/>
              <w:jc w:val="center"/>
              <w:rPr>
                <w:rFonts w:cs="Times New Roman"/>
                <w:sz w:val="21"/>
                <w:szCs w:val="21"/>
              </w:rPr>
            </w:pPr>
            <w:r>
              <w:rPr>
                <w:rFonts w:hint="eastAsia" w:cs="Times New Roman"/>
                <w:sz w:val="21"/>
                <w:szCs w:val="21"/>
              </w:rPr>
              <w:t>119.384981</w:t>
            </w:r>
          </w:p>
        </w:tc>
        <w:tc>
          <w:tcPr>
            <w:tcW w:w="1690" w:type="dxa"/>
            <w:noWrap/>
            <w:vAlign w:val="center"/>
          </w:tcPr>
          <w:p w14:paraId="6A702CE3">
            <w:pPr>
              <w:spacing w:line="240" w:lineRule="auto"/>
              <w:ind w:firstLine="0" w:firstLineChars="0"/>
              <w:jc w:val="center"/>
              <w:rPr>
                <w:rFonts w:cs="Times New Roman"/>
                <w:sz w:val="21"/>
                <w:szCs w:val="21"/>
              </w:rPr>
            </w:pPr>
            <w:r>
              <w:rPr>
                <w:rFonts w:hint="eastAsia" w:cs="Times New Roman"/>
                <w:sz w:val="21"/>
                <w:szCs w:val="21"/>
              </w:rPr>
              <w:t>31.864377</w:t>
            </w:r>
          </w:p>
        </w:tc>
        <w:tc>
          <w:tcPr>
            <w:tcW w:w="1080" w:type="dxa"/>
            <w:noWrap/>
            <w:vAlign w:val="center"/>
          </w:tcPr>
          <w:p w14:paraId="5D100B6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F04F8A6">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220FB7B9">
            <w:pPr>
              <w:spacing w:line="240" w:lineRule="auto"/>
              <w:ind w:firstLine="0" w:firstLineChars="0"/>
              <w:jc w:val="center"/>
              <w:rPr>
                <w:rFonts w:cs="Times New Roman"/>
                <w:sz w:val="21"/>
                <w:szCs w:val="21"/>
              </w:rPr>
            </w:pPr>
            <w:r>
              <w:rPr>
                <w:rFonts w:hint="eastAsia" w:cs="Times New Roman"/>
                <w:sz w:val="21"/>
                <w:szCs w:val="21"/>
              </w:rPr>
              <w:t>2206</w:t>
            </w:r>
          </w:p>
        </w:tc>
        <w:tc>
          <w:tcPr>
            <w:tcW w:w="1168" w:type="dxa"/>
            <w:noWrap/>
            <w:vAlign w:val="center"/>
          </w:tcPr>
          <w:p w14:paraId="6C19FD25">
            <w:pPr>
              <w:spacing w:line="240" w:lineRule="auto"/>
              <w:ind w:firstLine="0" w:firstLineChars="0"/>
              <w:jc w:val="center"/>
              <w:rPr>
                <w:rFonts w:cs="Times New Roman"/>
                <w:sz w:val="21"/>
                <w:szCs w:val="21"/>
              </w:rPr>
            </w:pPr>
            <w:r>
              <w:rPr>
                <w:rFonts w:hint="eastAsia" w:cs="Times New Roman"/>
                <w:sz w:val="21"/>
                <w:szCs w:val="21"/>
              </w:rPr>
              <w:t>约100</w:t>
            </w:r>
          </w:p>
        </w:tc>
      </w:tr>
      <w:tr w14:paraId="70411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4B726A9">
            <w:pPr>
              <w:pStyle w:val="39"/>
              <w:numPr>
                <w:ilvl w:val="0"/>
                <w:numId w:val="7"/>
              </w:numPr>
              <w:spacing w:line="240" w:lineRule="auto"/>
              <w:ind w:firstLineChars="0"/>
              <w:jc w:val="center"/>
              <w:rPr>
                <w:rFonts w:cs="Times New Roman"/>
                <w:sz w:val="21"/>
                <w:szCs w:val="21"/>
              </w:rPr>
            </w:pPr>
          </w:p>
        </w:tc>
        <w:tc>
          <w:tcPr>
            <w:tcW w:w="992" w:type="dxa"/>
            <w:noWrap/>
            <w:vAlign w:val="center"/>
          </w:tcPr>
          <w:p w14:paraId="71EACFF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8453E3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B9018D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02D94EA">
            <w:pPr>
              <w:spacing w:line="240" w:lineRule="auto"/>
              <w:ind w:firstLine="0" w:firstLineChars="0"/>
              <w:jc w:val="center"/>
              <w:rPr>
                <w:rFonts w:cs="Times New Roman"/>
                <w:sz w:val="21"/>
                <w:szCs w:val="21"/>
              </w:rPr>
            </w:pPr>
            <w:r>
              <w:rPr>
                <w:rFonts w:hint="eastAsia" w:cs="Times New Roman"/>
                <w:sz w:val="21"/>
                <w:szCs w:val="21"/>
              </w:rPr>
              <w:t>桃园凹</w:t>
            </w:r>
          </w:p>
        </w:tc>
        <w:tc>
          <w:tcPr>
            <w:tcW w:w="1701" w:type="dxa"/>
            <w:noWrap/>
            <w:vAlign w:val="center"/>
          </w:tcPr>
          <w:p w14:paraId="7FF91376">
            <w:pPr>
              <w:spacing w:line="240" w:lineRule="auto"/>
              <w:ind w:firstLine="0" w:firstLineChars="0"/>
              <w:jc w:val="center"/>
              <w:rPr>
                <w:rFonts w:cs="Times New Roman"/>
                <w:sz w:val="21"/>
                <w:szCs w:val="21"/>
              </w:rPr>
            </w:pPr>
            <w:r>
              <w:rPr>
                <w:rFonts w:hint="eastAsia" w:cs="Times New Roman"/>
                <w:sz w:val="21"/>
                <w:szCs w:val="21"/>
              </w:rPr>
              <w:t>119.379657</w:t>
            </w:r>
          </w:p>
        </w:tc>
        <w:tc>
          <w:tcPr>
            <w:tcW w:w="1690" w:type="dxa"/>
            <w:noWrap/>
            <w:vAlign w:val="center"/>
          </w:tcPr>
          <w:p w14:paraId="3DD6A862">
            <w:pPr>
              <w:spacing w:line="240" w:lineRule="auto"/>
              <w:ind w:firstLine="0" w:firstLineChars="0"/>
              <w:jc w:val="center"/>
              <w:rPr>
                <w:rFonts w:cs="Times New Roman"/>
                <w:sz w:val="21"/>
                <w:szCs w:val="21"/>
              </w:rPr>
            </w:pPr>
            <w:r>
              <w:rPr>
                <w:rFonts w:hint="eastAsia" w:cs="Times New Roman"/>
                <w:sz w:val="21"/>
                <w:szCs w:val="21"/>
              </w:rPr>
              <w:t>31.757666</w:t>
            </w:r>
          </w:p>
        </w:tc>
        <w:tc>
          <w:tcPr>
            <w:tcW w:w="1080" w:type="dxa"/>
            <w:noWrap/>
            <w:vAlign w:val="center"/>
          </w:tcPr>
          <w:p w14:paraId="5BB8D45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DE08DB1">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4105EEF0">
            <w:pPr>
              <w:spacing w:line="240" w:lineRule="auto"/>
              <w:ind w:firstLine="0" w:firstLineChars="0"/>
              <w:jc w:val="center"/>
              <w:rPr>
                <w:rFonts w:cs="Times New Roman"/>
                <w:sz w:val="21"/>
                <w:szCs w:val="21"/>
              </w:rPr>
            </w:pPr>
            <w:r>
              <w:rPr>
                <w:rFonts w:hint="eastAsia" w:cs="Times New Roman"/>
                <w:sz w:val="21"/>
                <w:szCs w:val="21"/>
              </w:rPr>
              <w:t>530</w:t>
            </w:r>
          </w:p>
        </w:tc>
        <w:tc>
          <w:tcPr>
            <w:tcW w:w="1168" w:type="dxa"/>
            <w:noWrap/>
            <w:vAlign w:val="center"/>
          </w:tcPr>
          <w:p w14:paraId="48776184">
            <w:pPr>
              <w:spacing w:line="240" w:lineRule="auto"/>
              <w:ind w:firstLine="0" w:firstLineChars="0"/>
              <w:jc w:val="center"/>
              <w:rPr>
                <w:rFonts w:cs="Times New Roman"/>
                <w:sz w:val="21"/>
                <w:szCs w:val="21"/>
              </w:rPr>
            </w:pPr>
            <w:r>
              <w:rPr>
                <w:rFonts w:hint="eastAsia" w:cs="Times New Roman"/>
                <w:sz w:val="21"/>
                <w:szCs w:val="21"/>
              </w:rPr>
              <w:t>约20</w:t>
            </w:r>
          </w:p>
        </w:tc>
      </w:tr>
      <w:tr w14:paraId="5A23A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3EC6802">
            <w:pPr>
              <w:pStyle w:val="39"/>
              <w:numPr>
                <w:ilvl w:val="0"/>
                <w:numId w:val="7"/>
              </w:numPr>
              <w:spacing w:line="240" w:lineRule="auto"/>
              <w:ind w:firstLineChars="0"/>
              <w:jc w:val="center"/>
              <w:rPr>
                <w:rFonts w:cs="Times New Roman"/>
                <w:sz w:val="21"/>
                <w:szCs w:val="21"/>
              </w:rPr>
            </w:pPr>
          </w:p>
        </w:tc>
        <w:tc>
          <w:tcPr>
            <w:tcW w:w="992" w:type="dxa"/>
            <w:noWrap/>
            <w:vAlign w:val="center"/>
          </w:tcPr>
          <w:p w14:paraId="4EBE56C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8D59DFD">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7C24F4D2">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1EFEAEBA">
            <w:pPr>
              <w:spacing w:line="240" w:lineRule="auto"/>
              <w:ind w:firstLine="0" w:firstLineChars="0"/>
              <w:jc w:val="center"/>
              <w:rPr>
                <w:rFonts w:cs="Times New Roman"/>
                <w:sz w:val="21"/>
                <w:szCs w:val="21"/>
              </w:rPr>
            </w:pPr>
            <w:r>
              <w:rPr>
                <w:rFonts w:hint="eastAsia" w:cs="Times New Roman"/>
                <w:sz w:val="21"/>
                <w:szCs w:val="21"/>
              </w:rPr>
              <w:t>顾家</w:t>
            </w:r>
          </w:p>
        </w:tc>
        <w:tc>
          <w:tcPr>
            <w:tcW w:w="1701" w:type="dxa"/>
            <w:noWrap/>
            <w:vAlign w:val="center"/>
          </w:tcPr>
          <w:p w14:paraId="7919BB61">
            <w:pPr>
              <w:spacing w:line="240" w:lineRule="auto"/>
              <w:ind w:firstLine="0" w:firstLineChars="0"/>
              <w:jc w:val="center"/>
              <w:rPr>
                <w:rFonts w:cs="Times New Roman"/>
                <w:sz w:val="21"/>
                <w:szCs w:val="21"/>
              </w:rPr>
            </w:pPr>
            <w:r>
              <w:rPr>
                <w:rFonts w:hint="eastAsia" w:cs="Times New Roman"/>
                <w:sz w:val="21"/>
                <w:szCs w:val="21"/>
              </w:rPr>
              <w:t>119.3961</w:t>
            </w:r>
          </w:p>
        </w:tc>
        <w:tc>
          <w:tcPr>
            <w:tcW w:w="1690" w:type="dxa"/>
            <w:noWrap/>
            <w:vAlign w:val="center"/>
          </w:tcPr>
          <w:p w14:paraId="019673A3">
            <w:pPr>
              <w:spacing w:line="240" w:lineRule="auto"/>
              <w:ind w:firstLine="0" w:firstLineChars="0"/>
              <w:jc w:val="center"/>
              <w:rPr>
                <w:rFonts w:cs="Times New Roman"/>
                <w:sz w:val="21"/>
                <w:szCs w:val="21"/>
              </w:rPr>
            </w:pPr>
            <w:r>
              <w:rPr>
                <w:rFonts w:hint="eastAsia" w:cs="Times New Roman"/>
                <w:sz w:val="21"/>
                <w:szCs w:val="21"/>
              </w:rPr>
              <w:t>31.620426</w:t>
            </w:r>
          </w:p>
        </w:tc>
        <w:tc>
          <w:tcPr>
            <w:tcW w:w="1080" w:type="dxa"/>
            <w:noWrap/>
            <w:vAlign w:val="center"/>
          </w:tcPr>
          <w:p w14:paraId="19D9D8B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6C93675">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5F63E243">
            <w:pPr>
              <w:spacing w:line="240" w:lineRule="auto"/>
              <w:ind w:firstLine="0" w:firstLineChars="0"/>
              <w:jc w:val="center"/>
              <w:rPr>
                <w:rFonts w:cs="Times New Roman"/>
                <w:sz w:val="21"/>
                <w:szCs w:val="21"/>
              </w:rPr>
            </w:pPr>
            <w:r>
              <w:rPr>
                <w:rFonts w:hint="eastAsia" w:cs="Times New Roman"/>
                <w:sz w:val="21"/>
                <w:szCs w:val="21"/>
              </w:rPr>
              <w:t>638</w:t>
            </w:r>
          </w:p>
        </w:tc>
        <w:tc>
          <w:tcPr>
            <w:tcW w:w="1168" w:type="dxa"/>
            <w:noWrap/>
            <w:vAlign w:val="center"/>
          </w:tcPr>
          <w:p w14:paraId="058A4A40">
            <w:pPr>
              <w:spacing w:line="240" w:lineRule="auto"/>
              <w:ind w:firstLine="0" w:firstLineChars="0"/>
              <w:jc w:val="center"/>
              <w:rPr>
                <w:rFonts w:cs="Times New Roman"/>
                <w:sz w:val="21"/>
                <w:szCs w:val="21"/>
              </w:rPr>
            </w:pPr>
            <w:r>
              <w:rPr>
                <w:rFonts w:hint="eastAsia" w:cs="Times New Roman"/>
                <w:sz w:val="21"/>
                <w:szCs w:val="21"/>
              </w:rPr>
              <w:t>约20</w:t>
            </w:r>
          </w:p>
        </w:tc>
      </w:tr>
      <w:tr w14:paraId="267AE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FAE63D7">
            <w:pPr>
              <w:pStyle w:val="39"/>
              <w:numPr>
                <w:ilvl w:val="0"/>
                <w:numId w:val="7"/>
              </w:numPr>
              <w:spacing w:line="240" w:lineRule="auto"/>
              <w:ind w:firstLineChars="0"/>
              <w:jc w:val="center"/>
              <w:rPr>
                <w:rFonts w:cs="Times New Roman"/>
                <w:sz w:val="21"/>
                <w:szCs w:val="21"/>
              </w:rPr>
            </w:pPr>
          </w:p>
        </w:tc>
        <w:tc>
          <w:tcPr>
            <w:tcW w:w="992" w:type="dxa"/>
            <w:noWrap/>
            <w:vAlign w:val="center"/>
          </w:tcPr>
          <w:p w14:paraId="2F3FBD8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CCAC291">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7E20048E">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68B2C0A2">
            <w:pPr>
              <w:spacing w:line="240" w:lineRule="auto"/>
              <w:ind w:firstLine="0" w:firstLineChars="0"/>
              <w:jc w:val="center"/>
              <w:rPr>
                <w:rFonts w:cs="Times New Roman"/>
                <w:sz w:val="21"/>
                <w:szCs w:val="21"/>
              </w:rPr>
            </w:pPr>
            <w:r>
              <w:rPr>
                <w:rFonts w:hint="eastAsia" w:cs="Times New Roman"/>
                <w:sz w:val="21"/>
                <w:szCs w:val="21"/>
              </w:rPr>
              <w:t>桃园村</w:t>
            </w:r>
          </w:p>
        </w:tc>
        <w:tc>
          <w:tcPr>
            <w:tcW w:w="1701" w:type="dxa"/>
            <w:noWrap/>
            <w:vAlign w:val="center"/>
          </w:tcPr>
          <w:p w14:paraId="547FA832">
            <w:pPr>
              <w:spacing w:line="240" w:lineRule="auto"/>
              <w:ind w:firstLine="0" w:firstLineChars="0"/>
              <w:jc w:val="center"/>
              <w:rPr>
                <w:rFonts w:cs="Times New Roman"/>
                <w:sz w:val="21"/>
                <w:szCs w:val="21"/>
              </w:rPr>
            </w:pPr>
            <w:r>
              <w:rPr>
                <w:rFonts w:hint="eastAsia" w:cs="Times New Roman"/>
                <w:sz w:val="21"/>
                <w:szCs w:val="21"/>
              </w:rPr>
              <w:t>119.396801</w:t>
            </w:r>
          </w:p>
        </w:tc>
        <w:tc>
          <w:tcPr>
            <w:tcW w:w="1690" w:type="dxa"/>
            <w:noWrap/>
            <w:vAlign w:val="center"/>
          </w:tcPr>
          <w:p w14:paraId="36DAF672">
            <w:pPr>
              <w:spacing w:line="240" w:lineRule="auto"/>
              <w:ind w:firstLine="0" w:firstLineChars="0"/>
              <w:jc w:val="center"/>
              <w:rPr>
                <w:rFonts w:cs="Times New Roman"/>
                <w:sz w:val="21"/>
                <w:szCs w:val="21"/>
              </w:rPr>
            </w:pPr>
            <w:r>
              <w:rPr>
                <w:rFonts w:hint="eastAsia" w:cs="Times New Roman"/>
                <w:sz w:val="21"/>
                <w:szCs w:val="21"/>
              </w:rPr>
              <w:t>31.617211</w:t>
            </w:r>
          </w:p>
        </w:tc>
        <w:tc>
          <w:tcPr>
            <w:tcW w:w="1080" w:type="dxa"/>
            <w:noWrap/>
            <w:vAlign w:val="center"/>
          </w:tcPr>
          <w:p w14:paraId="415FD4D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013E528">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310CE71C">
            <w:pPr>
              <w:spacing w:line="240" w:lineRule="auto"/>
              <w:ind w:firstLine="0" w:firstLineChars="0"/>
              <w:jc w:val="center"/>
              <w:rPr>
                <w:rFonts w:cs="Times New Roman"/>
                <w:sz w:val="21"/>
                <w:szCs w:val="21"/>
              </w:rPr>
            </w:pPr>
            <w:r>
              <w:rPr>
                <w:rFonts w:hint="eastAsia" w:cs="Times New Roman"/>
                <w:sz w:val="21"/>
                <w:szCs w:val="21"/>
              </w:rPr>
              <w:t>989</w:t>
            </w:r>
          </w:p>
        </w:tc>
        <w:tc>
          <w:tcPr>
            <w:tcW w:w="1168" w:type="dxa"/>
            <w:noWrap/>
            <w:vAlign w:val="center"/>
          </w:tcPr>
          <w:p w14:paraId="17EF3DE3">
            <w:pPr>
              <w:spacing w:line="240" w:lineRule="auto"/>
              <w:ind w:firstLine="0" w:firstLineChars="0"/>
              <w:jc w:val="center"/>
              <w:rPr>
                <w:rFonts w:cs="Times New Roman"/>
                <w:sz w:val="21"/>
                <w:szCs w:val="21"/>
              </w:rPr>
            </w:pPr>
            <w:r>
              <w:rPr>
                <w:rFonts w:hint="eastAsia" w:cs="Times New Roman"/>
                <w:sz w:val="21"/>
                <w:szCs w:val="21"/>
              </w:rPr>
              <w:t>约20</w:t>
            </w:r>
          </w:p>
        </w:tc>
      </w:tr>
      <w:tr w14:paraId="62635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404AB70">
            <w:pPr>
              <w:pStyle w:val="39"/>
              <w:numPr>
                <w:ilvl w:val="0"/>
                <w:numId w:val="7"/>
              </w:numPr>
              <w:spacing w:line="240" w:lineRule="auto"/>
              <w:ind w:firstLineChars="0"/>
              <w:jc w:val="center"/>
              <w:rPr>
                <w:rFonts w:cs="Times New Roman"/>
                <w:sz w:val="21"/>
                <w:szCs w:val="21"/>
              </w:rPr>
            </w:pPr>
          </w:p>
        </w:tc>
        <w:tc>
          <w:tcPr>
            <w:tcW w:w="992" w:type="dxa"/>
            <w:noWrap/>
            <w:vAlign w:val="center"/>
          </w:tcPr>
          <w:p w14:paraId="0E90A19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AAA0F0D">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4A65F68F">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1277C1FE">
            <w:pPr>
              <w:spacing w:line="240" w:lineRule="auto"/>
              <w:ind w:firstLine="0" w:firstLineChars="0"/>
              <w:jc w:val="center"/>
              <w:rPr>
                <w:rFonts w:cs="Times New Roman"/>
                <w:sz w:val="21"/>
                <w:szCs w:val="21"/>
              </w:rPr>
            </w:pPr>
            <w:r>
              <w:rPr>
                <w:rFonts w:hint="eastAsia" w:cs="Times New Roman"/>
                <w:sz w:val="21"/>
                <w:szCs w:val="21"/>
              </w:rPr>
              <w:t>建国村</w:t>
            </w:r>
          </w:p>
        </w:tc>
        <w:tc>
          <w:tcPr>
            <w:tcW w:w="1701" w:type="dxa"/>
            <w:noWrap/>
            <w:vAlign w:val="center"/>
          </w:tcPr>
          <w:p w14:paraId="1C0BEEFD">
            <w:pPr>
              <w:spacing w:line="240" w:lineRule="auto"/>
              <w:ind w:firstLine="0" w:firstLineChars="0"/>
              <w:jc w:val="center"/>
              <w:rPr>
                <w:rFonts w:cs="Times New Roman"/>
                <w:sz w:val="21"/>
                <w:szCs w:val="21"/>
              </w:rPr>
            </w:pPr>
            <w:r>
              <w:rPr>
                <w:rFonts w:hint="eastAsia" w:cs="Times New Roman"/>
                <w:sz w:val="21"/>
                <w:szCs w:val="21"/>
              </w:rPr>
              <w:t>119.400506</w:t>
            </w:r>
          </w:p>
        </w:tc>
        <w:tc>
          <w:tcPr>
            <w:tcW w:w="1690" w:type="dxa"/>
            <w:noWrap/>
            <w:vAlign w:val="center"/>
          </w:tcPr>
          <w:p w14:paraId="6E980219">
            <w:pPr>
              <w:spacing w:line="240" w:lineRule="auto"/>
              <w:ind w:firstLine="0" w:firstLineChars="0"/>
              <w:jc w:val="center"/>
              <w:rPr>
                <w:rFonts w:cs="Times New Roman"/>
                <w:sz w:val="21"/>
                <w:szCs w:val="21"/>
              </w:rPr>
            </w:pPr>
            <w:r>
              <w:rPr>
                <w:rFonts w:hint="eastAsia" w:cs="Times New Roman"/>
                <w:sz w:val="21"/>
                <w:szCs w:val="21"/>
              </w:rPr>
              <w:t>31.619077</w:t>
            </w:r>
          </w:p>
        </w:tc>
        <w:tc>
          <w:tcPr>
            <w:tcW w:w="1080" w:type="dxa"/>
            <w:noWrap/>
            <w:vAlign w:val="center"/>
          </w:tcPr>
          <w:p w14:paraId="3F7F4AA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504BF8A">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5F00BAC8">
            <w:pPr>
              <w:spacing w:line="240" w:lineRule="auto"/>
              <w:ind w:firstLine="0" w:firstLineChars="0"/>
              <w:jc w:val="center"/>
              <w:rPr>
                <w:rFonts w:cs="Times New Roman"/>
                <w:sz w:val="21"/>
                <w:szCs w:val="21"/>
              </w:rPr>
            </w:pPr>
            <w:r>
              <w:rPr>
                <w:rFonts w:hint="eastAsia" w:cs="Times New Roman"/>
                <w:sz w:val="21"/>
                <w:szCs w:val="21"/>
              </w:rPr>
              <w:t>770</w:t>
            </w:r>
          </w:p>
        </w:tc>
        <w:tc>
          <w:tcPr>
            <w:tcW w:w="1168" w:type="dxa"/>
            <w:noWrap/>
            <w:vAlign w:val="center"/>
          </w:tcPr>
          <w:p w14:paraId="683E68C0">
            <w:pPr>
              <w:spacing w:line="240" w:lineRule="auto"/>
              <w:ind w:firstLine="0" w:firstLineChars="0"/>
              <w:jc w:val="center"/>
              <w:rPr>
                <w:rFonts w:cs="Times New Roman"/>
                <w:sz w:val="21"/>
                <w:szCs w:val="21"/>
              </w:rPr>
            </w:pPr>
            <w:r>
              <w:rPr>
                <w:rFonts w:hint="eastAsia" w:cs="Times New Roman"/>
                <w:sz w:val="21"/>
                <w:szCs w:val="21"/>
              </w:rPr>
              <w:t>约20</w:t>
            </w:r>
          </w:p>
        </w:tc>
      </w:tr>
      <w:tr w14:paraId="54AE9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F33D745">
            <w:pPr>
              <w:pStyle w:val="39"/>
              <w:numPr>
                <w:ilvl w:val="0"/>
                <w:numId w:val="7"/>
              </w:numPr>
              <w:spacing w:line="240" w:lineRule="auto"/>
              <w:ind w:firstLineChars="0"/>
              <w:jc w:val="center"/>
              <w:rPr>
                <w:rFonts w:cs="Times New Roman"/>
                <w:sz w:val="21"/>
                <w:szCs w:val="21"/>
              </w:rPr>
            </w:pPr>
          </w:p>
        </w:tc>
        <w:tc>
          <w:tcPr>
            <w:tcW w:w="992" w:type="dxa"/>
            <w:noWrap/>
            <w:vAlign w:val="center"/>
          </w:tcPr>
          <w:p w14:paraId="4F6F7A8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DDBE1AD">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7E61033C">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0C6265A8">
            <w:pPr>
              <w:spacing w:line="240" w:lineRule="auto"/>
              <w:ind w:firstLine="0" w:firstLineChars="0"/>
              <w:jc w:val="center"/>
              <w:rPr>
                <w:rFonts w:cs="Times New Roman"/>
                <w:sz w:val="21"/>
                <w:szCs w:val="21"/>
              </w:rPr>
            </w:pPr>
            <w:r>
              <w:rPr>
                <w:rFonts w:hint="eastAsia" w:cs="Times New Roman"/>
                <w:sz w:val="21"/>
                <w:szCs w:val="21"/>
              </w:rPr>
              <w:t>东头村</w:t>
            </w:r>
          </w:p>
        </w:tc>
        <w:tc>
          <w:tcPr>
            <w:tcW w:w="1701" w:type="dxa"/>
            <w:noWrap/>
            <w:vAlign w:val="center"/>
          </w:tcPr>
          <w:p w14:paraId="3BC13128">
            <w:pPr>
              <w:spacing w:line="240" w:lineRule="auto"/>
              <w:ind w:firstLine="0" w:firstLineChars="0"/>
              <w:jc w:val="center"/>
              <w:rPr>
                <w:rFonts w:cs="Times New Roman"/>
                <w:sz w:val="21"/>
                <w:szCs w:val="21"/>
              </w:rPr>
            </w:pPr>
            <w:r>
              <w:rPr>
                <w:rFonts w:hint="eastAsia" w:cs="Times New Roman"/>
                <w:sz w:val="21"/>
                <w:szCs w:val="21"/>
              </w:rPr>
              <w:t>119.379318</w:t>
            </w:r>
          </w:p>
        </w:tc>
        <w:tc>
          <w:tcPr>
            <w:tcW w:w="1690" w:type="dxa"/>
            <w:noWrap/>
            <w:vAlign w:val="center"/>
          </w:tcPr>
          <w:p w14:paraId="705A6B59">
            <w:pPr>
              <w:spacing w:line="240" w:lineRule="auto"/>
              <w:ind w:firstLine="0" w:firstLineChars="0"/>
              <w:jc w:val="center"/>
              <w:rPr>
                <w:rFonts w:cs="Times New Roman"/>
                <w:sz w:val="21"/>
                <w:szCs w:val="21"/>
              </w:rPr>
            </w:pPr>
            <w:r>
              <w:rPr>
                <w:rFonts w:hint="eastAsia" w:cs="Times New Roman"/>
                <w:sz w:val="21"/>
                <w:szCs w:val="21"/>
              </w:rPr>
              <w:t>31.625591</w:t>
            </w:r>
          </w:p>
        </w:tc>
        <w:tc>
          <w:tcPr>
            <w:tcW w:w="1080" w:type="dxa"/>
            <w:noWrap/>
            <w:vAlign w:val="center"/>
          </w:tcPr>
          <w:p w14:paraId="181A78E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8CF49C7">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28B2A2D">
            <w:pPr>
              <w:spacing w:line="240" w:lineRule="auto"/>
              <w:ind w:firstLine="0" w:firstLineChars="0"/>
              <w:jc w:val="center"/>
              <w:rPr>
                <w:rFonts w:cs="Times New Roman"/>
                <w:sz w:val="21"/>
                <w:szCs w:val="21"/>
              </w:rPr>
            </w:pPr>
            <w:r>
              <w:rPr>
                <w:rFonts w:hint="eastAsia" w:cs="Times New Roman"/>
                <w:sz w:val="21"/>
                <w:szCs w:val="21"/>
              </w:rPr>
              <w:t>547</w:t>
            </w:r>
          </w:p>
        </w:tc>
        <w:tc>
          <w:tcPr>
            <w:tcW w:w="1168" w:type="dxa"/>
            <w:noWrap/>
            <w:vAlign w:val="center"/>
          </w:tcPr>
          <w:p w14:paraId="519598D0">
            <w:pPr>
              <w:spacing w:line="240" w:lineRule="auto"/>
              <w:ind w:firstLine="0" w:firstLineChars="0"/>
              <w:jc w:val="center"/>
              <w:rPr>
                <w:rFonts w:cs="Times New Roman"/>
                <w:sz w:val="21"/>
                <w:szCs w:val="21"/>
              </w:rPr>
            </w:pPr>
            <w:r>
              <w:rPr>
                <w:rFonts w:hint="eastAsia" w:cs="Times New Roman"/>
                <w:sz w:val="21"/>
                <w:szCs w:val="21"/>
              </w:rPr>
              <w:t>约20</w:t>
            </w:r>
          </w:p>
        </w:tc>
      </w:tr>
      <w:tr w14:paraId="639A4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7CFD9F2">
            <w:pPr>
              <w:pStyle w:val="39"/>
              <w:numPr>
                <w:ilvl w:val="0"/>
                <w:numId w:val="7"/>
              </w:numPr>
              <w:spacing w:line="240" w:lineRule="auto"/>
              <w:ind w:firstLineChars="0"/>
              <w:jc w:val="center"/>
              <w:rPr>
                <w:rFonts w:cs="Times New Roman"/>
                <w:sz w:val="21"/>
                <w:szCs w:val="21"/>
              </w:rPr>
            </w:pPr>
          </w:p>
        </w:tc>
        <w:tc>
          <w:tcPr>
            <w:tcW w:w="992" w:type="dxa"/>
            <w:noWrap/>
            <w:vAlign w:val="center"/>
          </w:tcPr>
          <w:p w14:paraId="60B4EF1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E89B231">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3A9BBBA4">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35C75BDF">
            <w:pPr>
              <w:spacing w:line="240" w:lineRule="auto"/>
              <w:ind w:firstLine="0" w:firstLineChars="0"/>
              <w:jc w:val="center"/>
              <w:rPr>
                <w:rFonts w:cs="Times New Roman"/>
                <w:sz w:val="21"/>
                <w:szCs w:val="21"/>
              </w:rPr>
            </w:pPr>
            <w:r>
              <w:rPr>
                <w:rFonts w:hint="eastAsia" w:cs="Times New Roman"/>
                <w:sz w:val="21"/>
                <w:szCs w:val="21"/>
              </w:rPr>
              <w:t>前</w:t>
            </w:r>
            <w:r>
              <w:rPr>
                <w:rFonts w:hint="eastAsia" w:eastAsia="微软雅黑" w:cs="Times New Roman"/>
                <w:sz w:val="21"/>
                <w:szCs w:val="21"/>
              </w:rPr>
              <w:t>疁</w:t>
            </w:r>
          </w:p>
        </w:tc>
        <w:tc>
          <w:tcPr>
            <w:tcW w:w="1701" w:type="dxa"/>
            <w:noWrap/>
            <w:vAlign w:val="center"/>
          </w:tcPr>
          <w:p w14:paraId="3236B309">
            <w:pPr>
              <w:spacing w:line="240" w:lineRule="auto"/>
              <w:ind w:firstLine="0" w:firstLineChars="0"/>
              <w:jc w:val="center"/>
              <w:rPr>
                <w:rFonts w:cs="Times New Roman"/>
                <w:sz w:val="21"/>
                <w:szCs w:val="21"/>
              </w:rPr>
            </w:pPr>
            <w:r>
              <w:rPr>
                <w:rFonts w:hint="eastAsia" w:cs="Times New Roman"/>
                <w:sz w:val="21"/>
                <w:szCs w:val="21"/>
              </w:rPr>
              <w:t>119.380269</w:t>
            </w:r>
          </w:p>
        </w:tc>
        <w:tc>
          <w:tcPr>
            <w:tcW w:w="1690" w:type="dxa"/>
            <w:noWrap/>
            <w:vAlign w:val="center"/>
          </w:tcPr>
          <w:p w14:paraId="3382FE2B">
            <w:pPr>
              <w:spacing w:line="240" w:lineRule="auto"/>
              <w:ind w:firstLine="0" w:firstLineChars="0"/>
              <w:jc w:val="center"/>
              <w:rPr>
                <w:rFonts w:cs="Times New Roman"/>
                <w:sz w:val="21"/>
                <w:szCs w:val="21"/>
              </w:rPr>
            </w:pPr>
            <w:r>
              <w:rPr>
                <w:rFonts w:hint="eastAsia" w:cs="Times New Roman"/>
                <w:sz w:val="21"/>
                <w:szCs w:val="21"/>
              </w:rPr>
              <w:t>31.619741</w:t>
            </w:r>
          </w:p>
        </w:tc>
        <w:tc>
          <w:tcPr>
            <w:tcW w:w="1080" w:type="dxa"/>
            <w:noWrap/>
            <w:vAlign w:val="center"/>
          </w:tcPr>
          <w:p w14:paraId="39E49B1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02316B3">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50C0D331">
            <w:pPr>
              <w:spacing w:line="240" w:lineRule="auto"/>
              <w:ind w:firstLine="0" w:firstLineChars="0"/>
              <w:jc w:val="center"/>
              <w:rPr>
                <w:rFonts w:cs="Times New Roman"/>
                <w:sz w:val="21"/>
                <w:szCs w:val="21"/>
              </w:rPr>
            </w:pPr>
            <w:r>
              <w:rPr>
                <w:rFonts w:hint="eastAsia" w:cs="Times New Roman"/>
                <w:sz w:val="21"/>
                <w:szCs w:val="21"/>
              </w:rPr>
              <w:t>833</w:t>
            </w:r>
          </w:p>
        </w:tc>
        <w:tc>
          <w:tcPr>
            <w:tcW w:w="1168" w:type="dxa"/>
            <w:noWrap/>
            <w:vAlign w:val="center"/>
          </w:tcPr>
          <w:p w14:paraId="3EF8AAB5">
            <w:pPr>
              <w:spacing w:line="240" w:lineRule="auto"/>
              <w:ind w:firstLine="0" w:firstLineChars="0"/>
              <w:jc w:val="center"/>
              <w:rPr>
                <w:rFonts w:cs="Times New Roman"/>
                <w:sz w:val="21"/>
                <w:szCs w:val="21"/>
              </w:rPr>
            </w:pPr>
            <w:r>
              <w:rPr>
                <w:rFonts w:hint="eastAsia" w:cs="Times New Roman"/>
                <w:sz w:val="21"/>
                <w:szCs w:val="21"/>
              </w:rPr>
              <w:t>约200</w:t>
            </w:r>
          </w:p>
        </w:tc>
      </w:tr>
      <w:tr w14:paraId="59263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4B4AB68">
            <w:pPr>
              <w:pStyle w:val="39"/>
              <w:numPr>
                <w:ilvl w:val="0"/>
                <w:numId w:val="7"/>
              </w:numPr>
              <w:spacing w:line="240" w:lineRule="auto"/>
              <w:ind w:firstLineChars="0"/>
              <w:jc w:val="center"/>
              <w:rPr>
                <w:rFonts w:cs="Times New Roman"/>
                <w:sz w:val="21"/>
                <w:szCs w:val="21"/>
              </w:rPr>
            </w:pPr>
          </w:p>
        </w:tc>
        <w:tc>
          <w:tcPr>
            <w:tcW w:w="992" w:type="dxa"/>
            <w:noWrap/>
            <w:vAlign w:val="center"/>
          </w:tcPr>
          <w:p w14:paraId="6B665DE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8358802">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20736EB9">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41C3122E">
            <w:pPr>
              <w:spacing w:line="240" w:lineRule="auto"/>
              <w:ind w:firstLine="0" w:firstLineChars="0"/>
              <w:jc w:val="center"/>
              <w:rPr>
                <w:rFonts w:cs="Times New Roman"/>
                <w:sz w:val="21"/>
                <w:szCs w:val="21"/>
              </w:rPr>
            </w:pPr>
            <w:r>
              <w:rPr>
                <w:rFonts w:hint="eastAsia" w:cs="Times New Roman"/>
                <w:sz w:val="21"/>
                <w:szCs w:val="21"/>
              </w:rPr>
              <w:t>巷上</w:t>
            </w:r>
          </w:p>
        </w:tc>
        <w:tc>
          <w:tcPr>
            <w:tcW w:w="1701" w:type="dxa"/>
            <w:noWrap/>
            <w:vAlign w:val="center"/>
          </w:tcPr>
          <w:p w14:paraId="45355241">
            <w:pPr>
              <w:spacing w:line="240" w:lineRule="auto"/>
              <w:ind w:firstLine="0" w:firstLineChars="0"/>
              <w:jc w:val="center"/>
              <w:rPr>
                <w:rFonts w:cs="Times New Roman"/>
                <w:sz w:val="21"/>
                <w:szCs w:val="21"/>
              </w:rPr>
            </w:pPr>
            <w:r>
              <w:rPr>
                <w:rFonts w:hint="eastAsia" w:cs="Times New Roman"/>
                <w:sz w:val="21"/>
                <w:szCs w:val="21"/>
              </w:rPr>
              <w:t>119.371601</w:t>
            </w:r>
          </w:p>
        </w:tc>
        <w:tc>
          <w:tcPr>
            <w:tcW w:w="1690" w:type="dxa"/>
            <w:noWrap/>
            <w:vAlign w:val="center"/>
          </w:tcPr>
          <w:p w14:paraId="3CF8448E">
            <w:pPr>
              <w:spacing w:line="240" w:lineRule="auto"/>
              <w:ind w:firstLine="0" w:firstLineChars="0"/>
              <w:jc w:val="center"/>
              <w:rPr>
                <w:rFonts w:cs="Times New Roman"/>
                <w:sz w:val="21"/>
                <w:szCs w:val="21"/>
              </w:rPr>
            </w:pPr>
            <w:r>
              <w:rPr>
                <w:rFonts w:hint="eastAsia" w:cs="Times New Roman"/>
                <w:sz w:val="21"/>
                <w:szCs w:val="21"/>
              </w:rPr>
              <w:t>31.616776</w:t>
            </w:r>
          </w:p>
        </w:tc>
        <w:tc>
          <w:tcPr>
            <w:tcW w:w="1080" w:type="dxa"/>
            <w:noWrap/>
            <w:vAlign w:val="center"/>
          </w:tcPr>
          <w:p w14:paraId="1FB181E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ADB7A49">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7780FE08">
            <w:pPr>
              <w:spacing w:line="240" w:lineRule="auto"/>
              <w:ind w:firstLine="0" w:firstLineChars="0"/>
              <w:jc w:val="center"/>
              <w:rPr>
                <w:rFonts w:cs="Times New Roman"/>
                <w:sz w:val="21"/>
                <w:szCs w:val="21"/>
              </w:rPr>
            </w:pPr>
            <w:r>
              <w:rPr>
                <w:rFonts w:hint="eastAsia" w:cs="Times New Roman"/>
                <w:sz w:val="21"/>
                <w:szCs w:val="21"/>
              </w:rPr>
              <w:t>1277</w:t>
            </w:r>
          </w:p>
        </w:tc>
        <w:tc>
          <w:tcPr>
            <w:tcW w:w="1168" w:type="dxa"/>
            <w:noWrap/>
            <w:vAlign w:val="center"/>
          </w:tcPr>
          <w:p w14:paraId="60477A23">
            <w:pPr>
              <w:spacing w:line="240" w:lineRule="auto"/>
              <w:ind w:firstLine="0" w:firstLineChars="0"/>
              <w:jc w:val="center"/>
              <w:rPr>
                <w:rFonts w:cs="Times New Roman"/>
                <w:sz w:val="21"/>
                <w:szCs w:val="21"/>
              </w:rPr>
            </w:pPr>
            <w:r>
              <w:rPr>
                <w:rFonts w:hint="eastAsia" w:cs="Times New Roman"/>
                <w:sz w:val="21"/>
                <w:szCs w:val="21"/>
              </w:rPr>
              <w:t>约100</w:t>
            </w:r>
          </w:p>
        </w:tc>
      </w:tr>
      <w:tr w14:paraId="42450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8FEAB21">
            <w:pPr>
              <w:pStyle w:val="39"/>
              <w:numPr>
                <w:ilvl w:val="0"/>
                <w:numId w:val="7"/>
              </w:numPr>
              <w:spacing w:line="240" w:lineRule="auto"/>
              <w:ind w:firstLineChars="0"/>
              <w:jc w:val="center"/>
              <w:rPr>
                <w:rFonts w:cs="Times New Roman"/>
                <w:sz w:val="21"/>
                <w:szCs w:val="21"/>
              </w:rPr>
            </w:pPr>
          </w:p>
        </w:tc>
        <w:tc>
          <w:tcPr>
            <w:tcW w:w="992" w:type="dxa"/>
            <w:noWrap/>
            <w:vAlign w:val="center"/>
          </w:tcPr>
          <w:p w14:paraId="6145E54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F8CB5EE">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6757BA3E">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7F01ABD7">
            <w:pPr>
              <w:spacing w:line="240" w:lineRule="auto"/>
              <w:ind w:firstLine="0" w:firstLineChars="0"/>
              <w:jc w:val="center"/>
              <w:rPr>
                <w:rFonts w:cs="Times New Roman"/>
                <w:sz w:val="21"/>
                <w:szCs w:val="21"/>
              </w:rPr>
            </w:pPr>
            <w:r>
              <w:rPr>
                <w:rFonts w:hint="eastAsia" w:cs="Times New Roman"/>
                <w:sz w:val="21"/>
                <w:szCs w:val="21"/>
              </w:rPr>
              <w:t>前巷</w:t>
            </w:r>
          </w:p>
        </w:tc>
        <w:tc>
          <w:tcPr>
            <w:tcW w:w="1701" w:type="dxa"/>
            <w:noWrap/>
            <w:vAlign w:val="center"/>
          </w:tcPr>
          <w:p w14:paraId="2E6F3EBD">
            <w:pPr>
              <w:spacing w:line="240" w:lineRule="auto"/>
              <w:ind w:firstLine="0" w:firstLineChars="0"/>
              <w:jc w:val="center"/>
              <w:rPr>
                <w:rFonts w:cs="Times New Roman"/>
                <w:sz w:val="21"/>
                <w:szCs w:val="21"/>
              </w:rPr>
            </w:pPr>
            <w:r>
              <w:rPr>
                <w:rFonts w:hint="eastAsia" w:cs="Times New Roman"/>
                <w:sz w:val="21"/>
                <w:szCs w:val="21"/>
              </w:rPr>
              <w:t>119.372712</w:t>
            </w:r>
          </w:p>
        </w:tc>
        <w:tc>
          <w:tcPr>
            <w:tcW w:w="1690" w:type="dxa"/>
            <w:noWrap/>
            <w:vAlign w:val="center"/>
          </w:tcPr>
          <w:p w14:paraId="16847B8C">
            <w:pPr>
              <w:spacing w:line="240" w:lineRule="auto"/>
              <w:ind w:firstLine="0" w:firstLineChars="0"/>
              <w:jc w:val="center"/>
              <w:rPr>
                <w:rFonts w:cs="Times New Roman"/>
                <w:sz w:val="21"/>
                <w:szCs w:val="21"/>
              </w:rPr>
            </w:pPr>
            <w:r>
              <w:rPr>
                <w:rFonts w:hint="eastAsia" w:cs="Times New Roman"/>
                <w:sz w:val="21"/>
                <w:szCs w:val="21"/>
              </w:rPr>
              <w:t>31.613767</w:t>
            </w:r>
          </w:p>
        </w:tc>
        <w:tc>
          <w:tcPr>
            <w:tcW w:w="1080" w:type="dxa"/>
            <w:noWrap/>
            <w:vAlign w:val="center"/>
          </w:tcPr>
          <w:p w14:paraId="3C8704D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2D139D6">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6029FDB1">
            <w:pPr>
              <w:spacing w:line="240" w:lineRule="auto"/>
              <w:ind w:firstLine="0" w:firstLineChars="0"/>
              <w:jc w:val="center"/>
              <w:rPr>
                <w:rFonts w:cs="Times New Roman"/>
                <w:sz w:val="21"/>
                <w:szCs w:val="21"/>
              </w:rPr>
            </w:pPr>
            <w:r>
              <w:rPr>
                <w:rFonts w:hint="eastAsia" w:cs="Times New Roman"/>
                <w:sz w:val="21"/>
                <w:szCs w:val="21"/>
              </w:rPr>
              <w:t>1550</w:t>
            </w:r>
          </w:p>
        </w:tc>
        <w:tc>
          <w:tcPr>
            <w:tcW w:w="1168" w:type="dxa"/>
            <w:noWrap/>
            <w:vAlign w:val="center"/>
          </w:tcPr>
          <w:p w14:paraId="08310798">
            <w:pPr>
              <w:spacing w:line="240" w:lineRule="auto"/>
              <w:ind w:firstLine="0" w:firstLineChars="0"/>
              <w:jc w:val="center"/>
              <w:rPr>
                <w:rFonts w:cs="Times New Roman"/>
                <w:sz w:val="21"/>
                <w:szCs w:val="21"/>
              </w:rPr>
            </w:pPr>
            <w:r>
              <w:rPr>
                <w:rFonts w:hint="eastAsia" w:cs="Times New Roman"/>
                <w:sz w:val="21"/>
                <w:szCs w:val="21"/>
              </w:rPr>
              <w:t>约30</w:t>
            </w:r>
          </w:p>
        </w:tc>
      </w:tr>
      <w:tr w14:paraId="5EFF1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CD5AEDA">
            <w:pPr>
              <w:pStyle w:val="39"/>
              <w:numPr>
                <w:ilvl w:val="0"/>
                <w:numId w:val="7"/>
              </w:numPr>
              <w:spacing w:line="240" w:lineRule="auto"/>
              <w:ind w:firstLineChars="0"/>
              <w:jc w:val="center"/>
              <w:rPr>
                <w:rFonts w:cs="Times New Roman"/>
                <w:sz w:val="21"/>
                <w:szCs w:val="21"/>
              </w:rPr>
            </w:pPr>
          </w:p>
        </w:tc>
        <w:tc>
          <w:tcPr>
            <w:tcW w:w="992" w:type="dxa"/>
            <w:noWrap/>
            <w:vAlign w:val="center"/>
          </w:tcPr>
          <w:p w14:paraId="713750A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2828EF7">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2DB78E36">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0E1B1446">
            <w:pPr>
              <w:spacing w:line="240" w:lineRule="auto"/>
              <w:ind w:firstLine="0" w:firstLineChars="0"/>
              <w:jc w:val="center"/>
              <w:rPr>
                <w:rFonts w:cs="Times New Roman"/>
                <w:sz w:val="21"/>
                <w:szCs w:val="21"/>
              </w:rPr>
            </w:pPr>
            <w:r>
              <w:rPr>
                <w:rFonts w:hint="eastAsia" w:cs="Times New Roman"/>
                <w:sz w:val="21"/>
                <w:szCs w:val="21"/>
              </w:rPr>
              <w:t>黄涯村</w:t>
            </w:r>
          </w:p>
        </w:tc>
        <w:tc>
          <w:tcPr>
            <w:tcW w:w="1701" w:type="dxa"/>
            <w:noWrap/>
            <w:vAlign w:val="center"/>
          </w:tcPr>
          <w:p w14:paraId="0C8D8456">
            <w:pPr>
              <w:spacing w:line="240" w:lineRule="auto"/>
              <w:ind w:firstLine="0" w:firstLineChars="0"/>
              <w:jc w:val="center"/>
              <w:rPr>
                <w:rFonts w:cs="Times New Roman"/>
                <w:sz w:val="21"/>
                <w:szCs w:val="21"/>
              </w:rPr>
            </w:pPr>
            <w:r>
              <w:rPr>
                <w:rFonts w:hint="eastAsia" w:cs="Times New Roman"/>
                <w:sz w:val="21"/>
                <w:szCs w:val="21"/>
              </w:rPr>
              <w:t>119.370847</w:t>
            </w:r>
          </w:p>
        </w:tc>
        <w:tc>
          <w:tcPr>
            <w:tcW w:w="1690" w:type="dxa"/>
            <w:noWrap/>
            <w:vAlign w:val="center"/>
          </w:tcPr>
          <w:p w14:paraId="38CA97FB">
            <w:pPr>
              <w:spacing w:line="240" w:lineRule="auto"/>
              <w:ind w:firstLine="0" w:firstLineChars="0"/>
              <w:jc w:val="center"/>
              <w:rPr>
                <w:rFonts w:cs="Times New Roman"/>
                <w:sz w:val="21"/>
                <w:szCs w:val="21"/>
              </w:rPr>
            </w:pPr>
            <w:r>
              <w:rPr>
                <w:rFonts w:hint="eastAsia" w:cs="Times New Roman"/>
                <w:sz w:val="21"/>
                <w:szCs w:val="21"/>
              </w:rPr>
              <w:t>31.61009</w:t>
            </w:r>
          </w:p>
        </w:tc>
        <w:tc>
          <w:tcPr>
            <w:tcW w:w="1080" w:type="dxa"/>
            <w:noWrap/>
            <w:vAlign w:val="center"/>
          </w:tcPr>
          <w:p w14:paraId="0F312C5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99C7871">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6A7C1CC4">
            <w:pPr>
              <w:spacing w:line="240" w:lineRule="auto"/>
              <w:ind w:firstLine="0" w:firstLineChars="0"/>
              <w:jc w:val="center"/>
              <w:rPr>
                <w:rFonts w:cs="Times New Roman"/>
                <w:sz w:val="21"/>
                <w:szCs w:val="21"/>
              </w:rPr>
            </w:pPr>
            <w:r>
              <w:rPr>
                <w:rFonts w:hint="eastAsia" w:cs="Times New Roman"/>
                <w:sz w:val="21"/>
                <w:szCs w:val="21"/>
              </w:rPr>
              <w:t>2000</w:t>
            </w:r>
          </w:p>
        </w:tc>
        <w:tc>
          <w:tcPr>
            <w:tcW w:w="1168" w:type="dxa"/>
            <w:noWrap/>
            <w:vAlign w:val="center"/>
          </w:tcPr>
          <w:p w14:paraId="6ACB0801">
            <w:pPr>
              <w:spacing w:line="240" w:lineRule="auto"/>
              <w:ind w:firstLine="0" w:firstLineChars="0"/>
              <w:jc w:val="center"/>
              <w:rPr>
                <w:rFonts w:cs="Times New Roman"/>
                <w:sz w:val="21"/>
                <w:szCs w:val="21"/>
              </w:rPr>
            </w:pPr>
            <w:r>
              <w:rPr>
                <w:rFonts w:hint="eastAsia" w:cs="Times New Roman"/>
                <w:sz w:val="21"/>
                <w:szCs w:val="21"/>
              </w:rPr>
              <w:t>约30</w:t>
            </w:r>
          </w:p>
        </w:tc>
      </w:tr>
      <w:tr w14:paraId="6B641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C16267B">
            <w:pPr>
              <w:pStyle w:val="39"/>
              <w:numPr>
                <w:ilvl w:val="0"/>
                <w:numId w:val="7"/>
              </w:numPr>
              <w:spacing w:line="240" w:lineRule="auto"/>
              <w:ind w:firstLineChars="0"/>
              <w:jc w:val="center"/>
              <w:rPr>
                <w:rFonts w:cs="Times New Roman"/>
                <w:sz w:val="21"/>
                <w:szCs w:val="21"/>
              </w:rPr>
            </w:pPr>
          </w:p>
        </w:tc>
        <w:tc>
          <w:tcPr>
            <w:tcW w:w="992" w:type="dxa"/>
            <w:noWrap/>
            <w:vAlign w:val="center"/>
          </w:tcPr>
          <w:p w14:paraId="6EC89AF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2026CDC">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4B73973D">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5FF93DA9">
            <w:pPr>
              <w:spacing w:line="240" w:lineRule="auto"/>
              <w:ind w:firstLine="0" w:firstLineChars="0"/>
              <w:jc w:val="center"/>
              <w:rPr>
                <w:rFonts w:cs="Times New Roman"/>
                <w:sz w:val="21"/>
                <w:szCs w:val="21"/>
              </w:rPr>
            </w:pPr>
            <w:r>
              <w:rPr>
                <w:rFonts w:hint="eastAsia" w:cs="Times New Roman"/>
                <w:sz w:val="21"/>
                <w:szCs w:val="21"/>
              </w:rPr>
              <w:t>西沈村</w:t>
            </w:r>
          </w:p>
        </w:tc>
        <w:tc>
          <w:tcPr>
            <w:tcW w:w="1701" w:type="dxa"/>
            <w:noWrap/>
            <w:vAlign w:val="center"/>
          </w:tcPr>
          <w:p w14:paraId="3E7F7F29">
            <w:pPr>
              <w:spacing w:line="240" w:lineRule="auto"/>
              <w:ind w:firstLine="0" w:firstLineChars="0"/>
              <w:jc w:val="center"/>
              <w:rPr>
                <w:rFonts w:cs="Times New Roman"/>
                <w:sz w:val="21"/>
                <w:szCs w:val="21"/>
              </w:rPr>
            </w:pPr>
            <w:r>
              <w:rPr>
                <w:rFonts w:hint="eastAsia" w:cs="Times New Roman"/>
                <w:sz w:val="21"/>
                <w:szCs w:val="21"/>
              </w:rPr>
              <w:t>119.379767</w:t>
            </w:r>
          </w:p>
        </w:tc>
        <w:tc>
          <w:tcPr>
            <w:tcW w:w="1690" w:type="dxa"/>
            <w:noWrap/>
            <w:vAlign w:val="center"/>
          </w:tcPr>
          <w:p w14:paraId="08623B72">
            <w:pPr>
              <w:spacing w:line="240" w:lineRule="auto"/>
              <w:ind w:firstLine="0" w:firstLineChars="0"/>
              <w:jc w:val="center"/>
              <w:rPr>
                <w:rFonts w:cs="Times New Roman"/>
                <w:sz w:val="21"/>
                <w:szCs w:val="21"/>
              </w:rPr>
            </w:pPr>
            <w:r>
              <w:rPr>
                <w:rFonts w:hint="eastAsia" w:cs="Times New Roman"/>
                <w:sz w:val="21"/>
                <w:szCs w:val="21"/>
              </w:rPr>
              <w:t>31.607602</w:t>
            </w:r>
          </w:p>
        </w:tc>
        <w:tc>
          <w:tcPr>
            <w:tcW w:w="1080" w:type="dxa"/>
            <w:noWrap/>
            <w:vAlign w:val="center"/>
          </w:tcPr>
          <w:p w14:paraId="50E02AB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35DCE1C">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1E89E92F">
            <w:pPr>
              <w:spacing w:line="240" w:lineRule="auto"/>
              <w:ind w:firstLine="0" w:firstLineChars="0"/>
              <w:jc w:val="center"/>
              <w:rPr>
                <w:rFonts w:cs="Times New Roman"/>
                <w:sz w:val="21"/>
                <w:szCs w:val="21"/>
              </w:rPr>
            </w:pPr>
            <w:r>
              <w:rPr>
                <w:rFonts w:hint="eastAsia" w:cs="Times New Roman"/>
                <w:sz w:val="21"/>
                <w:szCs w:val="21"/>
              </w:rPr>
              <w:t>2490</w:t>
            </w:r>
          </w:p>
        </w:tc>
        <w:tc>
          <w:tcPr>
            <w:tcW w:w="1168" w:type="dxa"/>
            <w:noWrap/>
            <w:vAlign w:val="center"/>
          </w:tcPr>
          <w:p w14:paraId="7F7B4AB9">
            <w:pPr>
              <w:spacing w:line="240" w:lineRule="auto"/>
              <w:ind w:firstLine="0" w:firstLineChars="0"/>
              <w:jc w:val="center"/>
              <w:rPr>
                <w:rFonts w:cs="Times New Roman"/>
                <w:sz w:val="21"/>
                <w:szCs w:val="21"/>
              </w:rPr>
            </w:pPr>
            <w:r>
              <w:rPr>
                <w:rFonts w:hint="eastAsia" w:cs="Times New Roman"/>
                <w:sz w:val="21"/>
                <w:szCs w:val="21"/>
              </w:rPr>
              <w:t>约100</w:t>
            </w:r>
          </w:p>
        </w:tc>
      </w:tr>
      <w:tr w14:paraId="21A31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D4A20A2">
            <w:pPr>
              <w:pStyle w:val="39"/>
              <w:numPr>
                <w:ilvl w:val="0"/>
                <w:numId w:val="7"/>
              </w:numPr>
              <w:spacing w:line="240" w:lineRule="auto"/>
              <w:ind w:firstLineChars="0"/>
              <w:jc w:val="center"/>
              <w:rPr>
                <w:rFonts w:cs="Times New Roman"/>
                <w:sz w:val="21"/>
                <w:szCs w:val="21"/>
              </w:rPr>
            </w:pPr>
          </w:p>
        </w:tc>
        <w:tc>
          <w:tcPr>
            <w:tcW w:w="992" w:type="dxa"/>
            <w:noWrap/>
            <w:vAlign w:val="center"/>
          </w:tcPr>
          <w:p w14:paraId="6940499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978BD8A">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706865C9">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54B94D48">
            <w:pPr>
              <w:spacing w:line="240" w:lineRule="auto"/>
              <w:ind w:firstLine="0" w:firstLineChars="0"/>
              <w:jc w:val="center"/>
              <w:rPr>
                <w:rFonts w:cs="Times New Roman"/>
                <w:sz w:val="21"/>
                <w:szCs w:val="21"/>
              </w:rPr>
            </w:pPr>
            <w:r>
              <w:rPr>
                <w:rFonts w:hint="eastAsia" w:cs="Times New Roman"/>
                <w:sz w:val="21"/>
                <w:szCs w:val="21"/>
              </w:rPr>
              <w:t>五棚</w:t>
            </w:r>
          </w:p>
        </w:tc>
        <w:tc>
          <w:tcPr>
            <w:tcW w:w="1701" w:type="dxa"/>
            <w:noWrap/>
            <w:vAlign w:val="center"/>
          </w:tcPr>
          <w:p w14:paraId="3B7F3563">
            <w:pPr>
              <w:spacing w:line="240" w:lineRule="auto"/>
              <w:ind w:firstLine="0" w:firstLineChars="0"/>
              <w:jc w:val="center"/>
              <w:rPr>
                <w:rFonts w:cs="Times New Roman"/>
                <w:sz w:val="21"/>
                <w:szCs w:val="21"/>
              </w:rPr>
            </w:pPr>
            <w:r>
              <w:rPr>
                <w:rFonts w:hint="eastAsia" w:cs="Times New Roman"/>
                <w:sz w:val="21"/>
                <w:szCs w:val="21"/>
              </w:rPr>
              <w:t>119.372259</w:t>
            </w:r>
          </w:p>
        </w:tc>
        <w:tc>
          <w:tcPr>
            <w:tcW w:w="1690" w:type="dxa"/>
            <w:noWrap/>
            <w:vAlign w:val="center"/>
          </w:tcPr>
          <w:p w14:paraId="21278580">
            <w:pPr>
              <w:spacing w:line="240" w:lineRule="auto"/>
              <w:ind w:firstLine="0" w:firstLineChars="0"/>
              <w:jc w:val="center"/>
              <w:rPr>
                <w:rFonts w:cs="Times New Roman"/>
                <w:sz w:val="21"/>
                <w:szCs w:val="21"/>
              </w:rPr>
            </w:pPr>
            <w:r>
              <w:rPr>
                <w:rFonts w:hint="eastAsia" w:cs="Times New Roman"/>
                <w:sz w:val="21"/>
                <w:szCs w:val="21"/>
              </w:rPr>
              <w:t>31.624866</w:t>
            </w:r>
          </w:p>
        </w:tc>
        <w:tc>
          <w:tcPr>
            <w:tcW w:w="1080" w:type="dxa"/>
            <w:noWrap/>
            <w:vAlign w:val="center"/>
          </w:tcPr>
          <w:p w14:paraId="2BCE1C7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EC2D788">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725CDC06">
            <w:pPr>
              <w:spacing w:line="240" w:lineRule="auto"/>
              <w:ind w:firstLine="0" w:firstLineChars="0"/>
              <w:jc w:val="center"/>
              <w:rPr>
                <w:rFonts w:cs="Times New Roman"/>
                <w:sz w:val="21"/>
                <w:szCs w:val="21"/>
              </w:rPr>
            </w:pPr>
            <w:r>
              <w:rPr>
                <w:rFonts w:hint="eastAsia" w:cs="Times New Roman"/>
                <w:sz w:val="21"/>
                <w:szCs w:val="21"/>
              </w:rPr>
              <w:t>255</w:t>
            </w:r>
          </w:p>
        </w:tc>
        <w:tc>
          <w:tcPr>
            <w:tcW w:w="1168" w:type="dxa"/>
            <w:noWrap/>
            <w:vAlign w:val="center"/>
          </w:tcPr>
          <w:p w14:paraId="562F338D">
            <w:pPr>
              <w:spacing w:line="240" w:lineRule="auto"/>
              <w:ind w:firstLine="0" w:firstLineChars="0"/>
              <w:jc w:val="center"/>
              <w:rPr>
                <w:rFonts w:cs="Times New Roman"/>
                <w:sz w:val="21"/>
                <w:szCs w:val="21"/>
              </w:rPr>
            </w:pPr>
            <w:r>
              <w:rPr>
                <w:rFonts w:hint="eastAsia" w:cs="Times New Roman"/>
                <w:sz w:val="21"/>
                <w:szCs w:val="21"/>
              </w:rPr>
              <w:t>约30</w:t>
            </w:r>
          </w:p>
        </w:tc>
      </w:tr>
      <w:tr w14:paraId="661F1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B483C7C">
            <w:pPr>
              <w:pStyle w:val="39"/>
              <w:numPr>
                <w:ilvl w:val="0"/>
                <w:numId w:val="7"/>
              </w:numPr>
              <w:spacing w:line="240" w:lineRule="auto"/>
              <w:ind w:firstLineChars="0"/>
              <w:jc w:val="center"/>
              <w:rPr>
                <w:rFonts w:cs="Times New Roman"/>
                <w:sz w:val="21"/>
                <w:szCs w:val="21"/>
              </w:rPr>
            </w:pPr>
          </w:p>
        </w:tc>
        <w:tc>
          <w:tcPr>
            <w:tcW w:w="992" w:type="dxa"/>
            <w:noWrap/>
            <w:vAlign w:val="center"/>
          </w:tcPr>
          <w:p w14:paraId="096F490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9F15DE2">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094D618E">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0A918300">
            <w:pPr>
              <w:spacing w:line="240" w:lineRule="auto"/>
              <w:ind w:firstLine="0" w:firstLineChars="0"/>
              <w:jc w:val="center"/>
              <w:rPr>
                <w:rFonts w:cs="Times New Roman"/>
                <w:sz w:val="21"/>
                <w:szCs w:val="21"/>
              </w:rPr>
            </w:pPr>
            <w:r>
              <w:rPr>
                <w:rFonts w:hint="eastAsia" w:cs="Times New Roman"/>
                <w:sz w:val="21"/>
                <w:szCs w:val="21"/>
              </w:rPr>
              <w:t>小涧西</w:t>
            </w:r>
          </w:p>
        </w:tc>
        <w:tc>
          <w:tcPr>
            <w:tcW w:w="1701" w:type="dxa"/>
            <w:noWrap/>
            <w:vAlign w:val="center"/>
          </w:tcPr>
          <w:p w14:paraId="52BEFE9A">
            <w:pPr>
              <w:spacing w:line="240" w:lineRule="auto"/>
              <w:ind w:firstLine="0" w:firstLineChars="0"/>
              <w:jc w:val="center"/>
              <w:rPr>
                <w:rFonts w:cs="Times New Roman"/>
                <w:sz w:val="21"/>
                <w:szCs w:val="21"/>
              </w:rPr>
            </w:pPr>
            <w:r>
              <w:rPr>
                <w:rFonts w:hint="eastAsia" w:cs="Times New Roman"/>
                <w:sz w:val="21"/>
                <w:szCs w:val="21"/>
              </w:rPr>
              <w:t>119.385691</w:t>
            </w:r>
          </w:p>
        </w:tc>
        <w:tc>
          <w:tcPr>
            <w:tcW w:w="1690" w:type="dxa"/>
            <w:noWrap/>
            <w:vAlign w:val="center"/>
          </w:tcPr>
          <w:p w14:paraId="0DC7E1A3">
            <w:pPr>
              <w:spacing w:line="240" w:lineRule="auto"/>
              <w:ind w:firstLine="0" w:firstLineChars="0"/>
              <w:jc w:val="center"/>
              <w:rPr>
                <w:rFonts w:cs="Times New Roman"/>
                <w:sz w:val="21"/>
                <w:szCs w:val="21"/>
              </w:rPr>
            </w:pPr>
            <w:r>
              <w:rPr>
                <w:rFonts w:hint="eastAsia" w:cs="Times New Roman"/>
                <w:sz w:val="21"/>
                <w:szCs w:val="21"/>
              </w:rPr>
              <w:t>31.613956</w:t>
            </w:r>
          </w:p>
        </w:tc>
        <w:tc>
          <w:tcPr>
            <w:tcW w:w="1080" w:type="dxa"/>
            <w:noWrap/>
            <w:vAlign w:val="center"/>
          </w:tcPr>
          <w:p w14:paraId="1C26C0C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BC3A8A4">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33380DC8">
            <w:pPr>
              <w:spacing w:line="240" w:lineRule="auto"/>
              <w:ind w:firstLine="0" w:firstLineChars="0"/>
              <w:jc w:val="center"/>
              <w:rPr>
                <w:rFonts w:cs="Times New Roman"/>
                <w:sz w:val="21"/>
                <w:szCs w:val="21"/>
              </w:rPr>
            </w:pPr>
            <w:r>
              <w:rPr>
                <w:rFonts w:hint="eastAsia" w:cs="Times New Roman"/>
                <w:sz w:val="21"/>
                <w:szCs w:val="21"/>
              </w:rPr>
              <w:t>1342</w:t>
            </w:r>
          </w:p>
        </w:tc>
        <w:tc>
          <w:tcPr>
            <w:tcW w:w="1168" w:type="dxa"/>
            <w:noWrap/>
            <w:vAlign w:val="center"/>
          </w:tcPr>
          <w:p w14:paraId="1750EE0F">
            <w:pPr>
              <w:spacing w:line="240" w:lineRule="auto"/>
              <w:ind w:firstLine="0" w:firstLineChars="0"/>
              <w:jc w:val="center"/>
              <w:rPr>
                <w:rFonts w:cs="Times New Roman"/>
                <w:sz w:val="21"/>
                <w:szCs w:val="21"/>
              </w:rPr>
            </w:pPr>
            <w:r>
              <w:rPr>
                <w:rFonts w:hint="eastAsia" w:cs="Times New Roman"/>
                <w:sz w:val="21"/>
                <w:szCs w:val="21"/>
              </w:rPr>
              <w:t>约80</w:t>
            </w:r>
          </w:p>
        </w:tc>
      </w:tr>
      <w:tr w14:paraId="05E8B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4B4FB20">
            <w:pPr>
              <w:pStyle w:val="39"/>
              <w:numPr>
                <w:ilvl w:val="0"/>
                <w:numId w:val="7"/>
              </w:numPr>
              <w:spacing w:line="240" w:lineRule="auto"/>
              <w:ind w:firstLineChars="0"/>
              <w:jc w:val="center"/>
              <w:rPr>
                <w:rFonts w:cs="Times New Roman"/>
                <w:sz w:val="21"/>
                <w:szCs w:val="21"/>
              </w:rPr>
            </w:pPr>
          </w:p>
        </w:tc>
        <w:tc>
          <w:tcPr>
            <w:tcW w:w="992" w:type="dxa"/>
            <w:noWrap/>
            <w:vAlign w:val="center"/>
          </w:tcPr>
          <w:p w14:paraId="7CD607F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530853A">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36B98640">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6CDE737A">
            <w:pPr>
              <w:spacing w:line="240" w:lineRule="auto"/>
              <w:ind w:firstLine="0" w:firstLineChars="0"/>
              <w:jc w:val="center"/>
              <w:rPr>
                <w:rFonts w:cs="Times New Roman"/>
                <w:sz w:val="21"/>
                <w:szCs w:val="21"/>
              </w:rPr>
            </w:pPr>
            <w:r>
              <w:rPr>
                <w:rFonts w:hint="eastAsia" w:cs="Times New Roman"/>
                <w:sz w:val="21"/>
                <w:szCs w:val="21"/>
              </w:rPr>
              <w:t>大涧西</w:t>
            </w:r>
          </w:p>
        </w:tc>
        <w:tc>
          <w:tcPr>
            <w:tcW w:w="1701" w:type="dxa"/>
            <w:noWrap/>
            <w:vAlign w:val="center"/>
          </w:tcPr>
          <w:p w14:paraId="17065420">
            <w:pPr>
              <w:spacing w:line="240" w:lineRule="auto"/>
              <w:ind w:firstLine="0" w:firstLineChars="0"/>
              <w:jc w:val="center"/>
              <w:rPr>
                <w:rFonts w:cs="Times New Roman"/>
                <w:sz w:val="21"/>
                <w:szCs w:val="21"/>
              </w:rPr>
            </w:pPr>
            <w:r>
              <w:rPr>
                <w:rFonts w:hint="eastAsia" w:cs="Times New Roman"/>
                <w:sz w:val="21"/>
                <w:szCs w:val="21"/>
              </w:rPr>
              <w:t>119.390902</w:t>
            </w:r>
          </w:p>
        </w:tc>
        <w:tc>
          <w:tcPr>
            <w:tcW w:w="1690" w:type="dxa"/>
            <w:noWrap/>
            <w:vAlign w:val="center"/>
          </w:tcPr>
          <w:p w14:paraId="4977AC20">
            <w:pPr>
              <w:spacing w:line="240" w:lineRule="auto"/>
              <w:ind w:firstLine="0" w:firstLineChars="0"/>
              <w:jc w:val="center"/>
              <w:rPr>
                <w:rFonts w:cs="Times New Roman"/>
                <w:sz w:val="21"/>
                <w:szCs w:val="21"/>
              </w:rPr>
            </w:pPr>
            <w:r>
              <w:rPr>
                <w:rFonts w:hint="eastAsia" w:cs="Times New Roman"/>
                <w:sz w:val="21"/>
                <w:szCs w:val="21"/>
              </w:rPr>
              <w:t>31.613241</w:t>
            </w:r>
          </w:p>
        </w:tc>
        <w:tc>
          <w:tcPr>
            <w:tcW w:w="1080" w:type="dxa"/>
            <w:noWrap/>
            <w:vAlign w:val="center"/>
          </w:tcPr>
          <w:p w14:paraId="3E4C131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0E24135">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39323256">
            <w:pPr>
              <w:spacing w:line="240" w:lineRule="auto"/>
              <w:ind w:firstLine="0" w:firstLineChars="0"/>
              <w:jc w:val="center"/>
              <w:rPr>
                <w:rFonts w:cs="Times New Roman"/>
                <w:sz w:val="21"/>
                <w:szCs w:val="21"/>
              </w:rPr>
            </w:pPr>
            <w:r>
              <w:rPr>
                <w:rFonts w:hint="eastAsia" w:cs="Times New Roman"/>
                <w:sz w:val="21"/>
                <w:szCs w:val="21"/>
              </w:rPr>
              <w:t>1429</w:t>
            </w:r>
          </w:p>
        </w:tc>
        <w:tc>
          <w:tcPr>
            <w:tcW w:w="1168" w:type="dxa"/>
            <w:noWrap/>
            <w:vAlign w:val="center"/>
          </w:tcPr>
          <w:p w14:paraId="623B7034">
            <w:pPr>
              <w:spacing w:line="240" w:lineRule="auto"/>
              <w:ind w:firstLine="0" w:firstLineChars="0"/>
              <w:jc w:val="center"/>
              <w:rPr>
                <w:rFonts w:cs="Times New Roman"/>
                <w:sz w:val="21"/>
                <w:szCs w:val="21"/>
              </w:rPr>
            </w:pPr>
            <w:r>
              <w:rPr>
                <w:rFonts w:hint="eastAsia" w:cs="Times New Roman"/>
                <w:sz w:val="21"/>
                <w:szCs w:val="21"/>
              </w:rPr>
              <w:t>约30</w:t>
            </w:r>
          </w:p>
        </w:tc>
      </w:tr>
      <w:tr w14:paraId="30AD0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3149ED6">
            <w:pPr>
              <w:pStyle w:val="39"/>
              <w:numPr>
                <w:ilvl w:val="0"/>
                <w:numId w:val="7"/>
              </w:numPr>
              <w:spacing w:line="240" w:lineRule="auto"/>
              <w:ind w:firstLineChars="0"/>
              <w:jc w:val="center"/>
              <w:rPr>
                <w:rFonts w:cs="Times New Roman"/>
                <w:sz w:val="21"/>
                <w:szCs w:val="21"/>
              </w:rPr>
            </w:pPr>
          </w:p>
        </w:tc>
        <w:tc>
          <w:tcPr>
            <w:tcW w:w="992" w:type="dxa"/>
            <w:noWrap/>
            <w:vAlign w:val="center"/>
          </w:tcPr>
          <w:p w14:paraId="79F17D6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EF4D263">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244E9D46">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541B914D">
            <w:pPr>
              <w:spacing w:line="240" w:lineRule="auto"/>
              <w:ind w:firstLine="0" w:firstLineChars="0"/>
              <w:jc w:val="center"/>
              <w:rPr>
                <w:rFonts w:cs="Times New Roman"/>
                <w:sz w:val="21"/>
                <w:szCs w:val="21"/>
              </w:rPr>
            </w:pPr>
            <w:r>
              <w:rPr>
                <w:rFonts w:hint="eastAsia" w:cs="Times New Roman"/>
                <w:sz w:val="21"/>
                <w:szCs w:val="21"/>
              </w:rPr>
              <w:t>大家庄村</w:t>
            </w:r>
          </w:p>
        </w:tc>
        <w:tc>
          <w:tcPr>
            <w:tcW w:w="1701" w:type="dxa"/>
            <w:noWrap/>
            <w:vAlign w:val="center"/>
          </w:tcPr>
          <w:p w14:paraId="507B5B67">
            <w:pPr>
              <w:spacing w:line="240" w:lineRule="auto"/>
              <w:ind w:firstLine="0" w:firstLineChars="0"/>
              <w:jc w:val="center"/>
              <w:rPr>
                <w:rFonts w:cs="Times New Roman"/>
                <w:sz w:val="21"/>
                <w:szCs w:val="21"/>
              </w:rPr>
            </w:pPr>
            <w:r>
              <w:rPr>
                <w:rFonts w:hint="eastAsia" w:cs="Times New Roman"/>
                <w:sz w:val="21"/>
                <w:szCs w:val="21"/>
              </w:rPr>
              <w:t>119.360602</w:t>
            </w:r>
          </w:p>
        </w:tc>
        <w:tc>
          <w:tcPr>
            <w:tcW w:w="1690" w:type="dxa"/>
            <w:noWrap/>
            <w:vAlign w:val="center"/>
          </w:tcPr>
          <w:p w14:paraId="6FC03ADF">
            <w:pPr>
              <w:spacing w:line="240" w:lineRule="auto"/>
              <w:ind w:firstLine="0" w:firstLineChars="0"/>
              <w:jc w:val="center"/>
              <w:rPr>
                <w:rFonts w:cs="Times New Roman"/>
                <w:sz w:val="21"/>
                <w:szCs w:val="21"/>
              </w:rPr>
            </w:pPr>
            <w:r>
              <w:rPr>
                <w:rFonts w:hint="eastAsia" w:cs="Times New Roman"/>
                <w:sz w:val="21"/>
                <w:szCs w:val="21"/>
              </w:rPr>
              <w:t>31.616687</w:t>
            </w:r>
          </w:p>
        </w:tc>
        <w:tc>
          <w:tcPr>
            <w:tcW w:w="1080" w:type="dxa"/>
            <w:noWrap/>
            <w:vAlign w:val="center"/>
          </w:tcPr>
          <w:p w14:paraId="2DCCFE5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187FE21">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7DACE0E7">
            <w:pPr>
              <w:spacing w:line="240" w:lineRule="auto"/>
              <w:ind w:firstLine="0" w:firstLineChars="0"/>
              <w:jc w:val="center"/>
              <w:rPr>
                <w:rFonts w:cs="Times New Roman"/>
                <w:sz w:val="21"/>
                <w:szCs w:val="21"/>
              </w:rPr>
            </w:pPr>
            <w:r>
              <w:rPr>
                <w:rFonts w:hint="eastAsia" w:cs="Times New Roman"/>
                <w:sz w:val="21"/>
                <w:szCs w:val="21"/>
              </w:rPr>
              <w:t>1459</w:t>
            </w:r>
          </w:p>
        </w:tc>
        <w:tc>
          <w:tcPr>
            <w:tcW w:w="1168" w:type="dxa"/>
            <w:noWrap/>
            <w:vAlign w:val="center"/>
          </w:tcPr>
          <w:p w14:paraId="371928CC">
            <w:pPr>
              <w:spacing w:line="240" w:lineRule="auto"/>
              <w:ind w:firstLine="0" w:firstLineChars="0"/>
              <w:jc w:val="center"/>
              <w:rPr>
                <w:rFonts w:cs="Times New Roman"/>
                <w:sz w:val="21"/>
                <w:szCs w:val="21"/>
              </w:rPr>
            </w:pPr>
            <w:r>
              <w:rPr>
                <w:rFonts w:hint="eastAsia" w:cs="Times New Roman"/>
                <w:sz w:val="21"/>
                <w:szCs w:val="21"/>
              </w:rPr>
              <w:t>约200</w:t>
            </w:r>
          </w:p>
        </w:tc>
      </w:tr>
      <w:tr w14:paraId="733A1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CBF341B">
            <w:pPr>
              <w:pStyle w:val="39"/>
              <w:numPr>
                <w:ilvl w:val="0"/>
                <w:numId w:val="7"/>
              </w:numPr>
              <w:spacing w:line="240" w:lineRule="auto"/>
              <w:ind w:firstLineChars="0"/>
              <w:jc w:val="center"/>
              <w:rPr>
                <w:rFonts w:cs="Times New Roman"/>
                <w:sz w:val="21"/>
                <w:szCs w:val="21"/>
              </w:rPr>
            </w:pPr>
          </w:p>
        </w:tc>
        <w:tc>
          <w:tcPr>
            <w:tcW w:w="992" w:type="dxa"/>
            <w:noWrap/>
            <w:vAlign w:val="center"/>
          </w:tcPr>
          <w:p w14:paraId="3FB0C1A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B58127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8D2E23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91F326D">
            <w:pPr>
              <w:spacing w:line="240" w:lineRule="auto"/>
              <w:ind w:firstLine="0" w:firstLineChars="0"/>
              <w:jc w:val="center"/>
              <w:rPr>
                <w:rFonts w:cs="Times New Roman"/>
                <w:sz w:val="21"/>
                <w:szCs w:val="21"/>
              </w:rPr>
            </w:pPr>
            <w:r>
              <w:rPr>
                <w:rFonts w:hint="eastAsia" w:cs="Times New Roman"/>
                <w:sz w:val="21"/>
                <w:szCs w:val="21"/>
              </w:rPr>
              <w:t>上阮</w:t>
            </w:r>
          </w:p>
        </w:tc>
        <w:tc>
          <w:tcPr>
            <w:tcW w:w="1701" w:type="dxa"/>
            <w:noWrap/>
            <w:vAlign w:val="center"/>
          </w:tcPr>
          <w:p w14:paraId="6D295560">
            <w:pPr>
              <w:spacing w:line="240" w:lineRule="auto"/>
              <w:ind w:firstLine="0" w:firstLineChars="0"/>
              <w:jc w:val="center"/>
              <w:rPr>
                <w:rFonts w:cs="Times New Roman"/>
                <w:sz w:val="21"/>
                <w:szCs w:val="21"/>
              </w:rPr>
            </w:pPr>
            <w:r>
              <w:rPr>
                <w:rFonts w:hint="eastAsia" w:cs="Times New Roman"/>
                <w:sz w:val="21"/>
                <w:szCs w:val="21"/>
              </w:rPr>
              <w:t>119.325499</w:t>
            </w:r>
          </w:p>
        </w:tc>
        <w:tc>
          <w:tcPr>
            <w:tcW w:w="1690" w:type="dxa"/>
            <w:noWrap/>
            <w:vAlign w:val="center"/>
          </w:tcPr>
          <w:p w14:paraId="757646FF">
            <w:pPr>
              <w:spacing w:line="240" w:lineRule="auto"/>
              <w:ind w:firstLine="0" w:firstLineChars="0"/>
              <w:jc w:val="center"/>
              <w:rPr>
                <w:rFonts w:cs="Times New Roman"/>
                <w:sz w:val="21"/>
                <w:szCs w:val="21"/>
              </w:rPr>
            </w:pPr>
            <w:r>
              <w:rPr>
                <w:rFonts w:hint="eastAsia" w:cs="Times New Roman"/>
                <w:sz w:val="21"/>
                <w:szCs w:val="21"/>
              </w:rPr>
              <w:t>31.668061</w:t>
            </w:r>
          </w:p>
        </w:tc>
        <w:tc>
          <w:tcPr>
            <w:tcW w:w="1080" w:type="dxa"/>
            <w:noWrap/>
            <w:vAlign w:val="center"/>
          </w:tcPr>
          <w:p w14:paraId="23FA93D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4A7B96A">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63D002A5">
            <w:pPr>
              <w:spacing w:line="240" w:lineRule="auto"/>
              <w:ind w:firstLine="0" w:firstLineChars="0"/>
              <w:jc w:val="center"/>
              <w:rPr>
                <w:rFonts w:cs="Times New Roman"/>
                <w:sz w:val="21"/>
                <w:szCs w:val="21"/>
              </w:rPr>
            </w:pPr>
            <w:r>
              <w:rPr>
                <w:rFonts w:hint="eastAsia" w:cs="Times New Roman"/>
                <w:sz w:val="21"/>
                <w:szCs w:val="21"/>
              </w:rPr>
              <w:t>10</w:t>
            </w:r>
          </w:p>
        </w:tc>
        <w:tc>
          <w:tcPr>
            <w:tcW w:w="1168" w:type="dxa"/>
            <w:noWrap/>
            <w:vAlign w:val="center"/>
          </w:tcPr>
          <w:p w14:paraId="086F9CF0">
            <w:pPr>
              <w:spacing w:line="240" w:lineRule="auto"/>
              <w:ind w:firstLine="0" w:firstLineChars="0"/>
              <w:jc w:val="center"/>
              <w:rPr>
                <w:rFonts w:cs="Times New Roman"/>
                <w:sz w:val="21"/>
                <w:szCs w:val="21"/>
              </w:rPr>
            </w:pPr>
            <w:r>
              <w:rPr>
                <w:rFonts w:hint="eastAsia" w:cs="Times New Roman"/>
                <w:sz w:val="21"/>
                <w:szCs w:val="21"/>
              </w:rPr>
              <w:t>约20</w:t>
            </w:r>
          </w:p>
        </w:tc>
      </w:tr>
      <w:tr w14:paraId="4502A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98EB314">
            <w:pPr>
              <w:pStyle w:val="39"/>
              <w:numPr>
                <w:ilvl w:val="0"/>
                <w:numId w:val="7"/>
              </w:numPr>
              <w:spacing w:line="240" w:lineRule="auto"/>
              <w:ind w:firstLineChars="0"/>
              <w:jc w:val="center"/>
              <w:rPr>
                <w:rFonts w:cs="Times New Roman"/>
                <w:sz w:val="21"/>
                <w:szCs w:val="21"/>
              </w:rPr>
            </w:pPr>
          </w:p>
        </w:tc>
        <w:tc>
          <w:tcPr>
            <w:tcW w:w="992" w:type="dxa"/>
            <w:noWrap/>
            <w:vAlign w:val="center"/>
          </w:tcPr>
          <w:p w14:paraId="52F641C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EC64F8B">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150AE742">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47B3EDCB">
            <w:pPr>
              <w:spacing w:line="240" w:lineRule="auto"/>
              <w:ind w:firstLine="0" w:firstLineChars="0"/>
              <w:jc w:val="center"/>
              <w:rPr>
                <w:rFonts w:cs="Times New Roman"/>
                <w:sz w:val="21"/>
                <w:szCs w:val="21"/>
              </w:rPr>
            </w:pPr>
            <w:r>
              <w:rPr>
                <w:rFonts w:hint="eastAsia" w:cs="Times New Roman"/>
                <w:sz w:val="21"/>
                <w:szCs w:val="21"/>
              </w:rPr>
              <w:t>晶阳小区</w:t>
            </w:r>
          </w:p>
        </w:tc>
        <w:tc>
          <w:tcPr>
            <w:tcW w:w="1701" w:type="dxa"/>
            <w:noWrap/>
            <w:vAlign w:val="center"/>
          </w:tcPr>
          <w:p w14:paraId="2A8F9F86">
            <w:pPr>
              <w:spacing w:line="240" w:lineRule="auto"/>
              <w:ind w:firstLine="0" w:firstLineChars="0"/>
              <w:jc w:val="center"/>
              <w:rPr>
                <w:rFonts w:cs="Times New Roman"/>
                <w:sz w:val="21"/>
                <w:szCs w:val="21"/>
              </w:rPr>
            </w:pPr>
            <w:r>
              <w:rPr>
                <w:rFonts w:hint="eastAsia" w:cs="Times New Roman"/>
                <w:sz w:val="21"/>
                <w:szCs w:val="21"/>
              </w:rPr>
              <w:t>119.318379</w:t>
            </w:r>
          </w:p>
        </w:tc>
        <w:tc>
          <w:tcPr>
            <w:tcW w:w="1690" w:type="dxa"/>
            <w:noWrap/>
            <w:vAlign w:val="center"/>
          </w:tcPr>
          <w:p w14:paraId="3A74A789">
            <w:pPr>
              <w:spacing w:line="240" w:lineRule="auto"/>
              <w:ind w:firstLine="0" w:firstLineChars="0"/>
              <w:jc w:val="center"/>
              <w:rPr>
                <w:rFonts w:cs="Times New Roman"/>
                <w:sz w:val="21"/>
                <w:szCs w:val="21"/>
              </w:rPr>
            </w:pPr>
            <w:r>
              <w:rPr>
                <w:rFonts w:hint="eastAsia" w:cs="Times New Roman"/>
                <w:sz w:val="21"/>
                <w:szCs w:val="21"/>
              </w:rPr>
              <w:t>31.663047</w:t>
            </w:r>
          </w:p>
        </w:tc>
        <w:tc>
          <w:tcPr>
            <w:tcW w:w="1080" w:type="dxa"/>
            <w:noWrap/>
            <w:vAlign w:val="center"/>
          </w:tcPr>
          <w:p w14:paraId="490C417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578069F">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14A4413C">
            <w:pPr>
              <w:spacing w:line="240" w:lineRule="auto"/>
              <w:ind w:firstLine="0" w:firstLineChars="0"/>
              <w:jc w:val="center"/>
              <w:rPr>
                <w:rFonts w:cs="Times New Roman"/>
                <w:sz w:val="21"/>
                <w:szCs w:val="21"/>
              </w:rPr>
            </w:pPr>
            <w:r>
              <w:rPr>
                <w:rFonts w:hint="eastAsia" w:cs="Times New Roman"/>
                <w:sz w:val="21"/>
                <w:szCs w:val="21"/>
              </w:rPr>
              <w:t>912</w:t>
            </w:r>
          </w:p>
        </w:tc>
        <w:tc>
          <w:tcPr>
            <w:tcW w:w="1168" w:type="dxa"/>
            <w:noWrap/>
            <w:vAlign w:val="center"/>
          </w:tcPr>
          <w:p w14:paraId="0C2FDB45">
            <w:pPr>
              <w:spacing w:line="240" w:lineRule="auto"/>
              <w:ind w:firstLine="0" w:firstLineChars="0"/>
              <w:jc w:val="center"/>
              <w:rPr>
                <w:rFonts w:cs="Times New Roman"/>
                <w:sz w:val="21"/>
                <w:szCs w:val="21"/>
              </w:rPr>
            </w:pPr>
            <w:r>
              <w:rPr>
                <w:rFonts w:hint="eastAsia" w:cs="Times New Roman"/>
                <w:sz w:val="21"/>
                <w:szCs w:val="21"/>
              </w:rPr>
              <w:t>约80</w:t>
            </w:r>
          </w:p>
        </w:tc>
      </w:tr>
      <w:tr w14:paraId="34965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6D55418">
            <w:pPr>
              <w:pStyle w:val="39"/>
              <w:numPr>
                <w:ilvl w:val="0"/>
                <w:numId w:val="7"/>
              </w:numPr>
              <w:spacing w:line="240" w:lineRule="auto"/>
              <w:ind w:firstLineChars="0"/>
              <w:jc w:val="center"/>
              <w:rPr>
                <w:rFonts w:cs="Times New Roman"/>
                <w:sz w:val="21"/>
                <w:szCs w:val="21"/>
              </w:rPr>
            </w:pPr>
          </w:p>
        </w:tc>
        <w:tc>
          <w:tcPr>
            <w:tcW w:w="992" w:type="dxa"/>
            <w:noWrap/>
            <w:vAlign w:val="center"/>
          </w:tcPr>
          <w:p w14:paraId="7973959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F7A300C">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19E972A5">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28500319">
            <w:pPr>
              <w:spacing w:line="240" w:lineRule="auto"/>
              <w:ind w:firstLine="0" w:firstLineChars="0"/>
              <w:jc w:val="center"/>
              <w:rPr>
                <w:rFonts w:cs="Times New Roman"/>
                <w:sz w:val="21"/>
                <w:szCs w:val="21"/>
              </w:rPr>
            </w:pPr>
            <w:r>
              <w:rPr>
                <w:rFonts w:hint="eastAsia" w:cs="Times New Roman"/>
                <w:sz w:val="21"/>
                <w:szCs w:val="21"/>
              </w:rPr>
              <w:t>园中小区</w:t>
            </w:r>
          </w:p>
        </w:tc>
        <w:tc>
          <w:tcPr>
            <w:tcW w:w="1701" w:type="dxa"/>
            <w:noWrap/>
            <w:vAlign w:val="center"/>
          </w:tcPr>
          <w:p w14:paraId="50DADF35">
            <w:pPr>
              <w:spacing w:line="240" w:lineRule="auto"/>
              <w:ind w:firstLine="0" w:firstLineChars="0"/>
              <w:jc w:val="center"/>
              <w:rPr>
                <w:rFonts w:cs="Times New Roman"/>
                <w:sz w:val="21"/>
                <w:szCs w:val="21"/>
              </w:rPr>
            </w:pPr>
            <w:r>
              <w:rPr>
                <w:rFonts w:hint="eastAsia" w:cs="Times New Roman"/>
                <w:sz w:val="21"/>
                <w:szCs w:val="21"/>
              </w:rPr>
              <w:t>119.317216</w:t>
            </w:r>
          </w:p>
        </w:tc>
        <w:tc>
          <w:tcPr>
            <w:tcW w:w="1690" w:type="dxa"/>
            <w:noWrap/>
            <w:vAlign w:val="center"/>
          </w:tcPr>
          <w:p w14:paraId="3318F5EF">
            <w:pPr>
              <w:spacing w:line="240" w:lineRule="auto"/>
              <w:ind w:firstLine="0" w:firstLineChars="0"/>
              <w:jc w:val="center"/>
              <w:rPr>
                <w:rFonts w:cs="Times New Roman"/>
                <w:sz w:val="21"/>
                <w:szCs w:val="21"/>
              </w:rPr>
            </w:pPr>
            <w:r>
              <w:rPr>
                <w:rFonts w:hint="eastAsia" w:cs="Times New Roman"/>
                <w:sz w:val="21"/>
                <w:szCs w:val="21"/>
              </w:rPr>
              <w:t>31.66118</w:t>
            </w:r>
          </w:p>
        </w:tc>
        <w:tc>
          <w:tcPr>
            <w:tcW w:w="1080" w:type="dxa"/>
            <w:noWrap/>
            <w:vAlign w:val="center"/>
          </w:tcPr>
          <w:p w14:paraId="177E87E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088029E">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1B2E2066">
            <w:pPr>
              <w:spacing w:line="240" w:lineRule="auto"/>
              <w:ind w:firstLine="0" w:firstLineChars="0"/>
              <w:jc w:val="center"/>
              <w:rPr>
                <w:rFonts w:cs="Times New Roman"/>
                <w:sz w:val="21"/>
                <w:szCs w:val="21"/>
              </w:rPr>
            </w:pPr>
            <w:r>
              <w:rPr>
                <w:rFonts w:hint="eastAsia" w:cs="Times New Roman"/>
                <w:sz w:val="21"/>
                <w:szCs w:val="21"/>
              </w:rPr>
              <w:t>960</w:t>
            </w:r>
          </w:p>
        </w:tc>
        <w:tc>
          <w:tcPr>
            <w:tcW w:w="1168" w:type="dxa"/>
            <w:noWrap/>
            <w:vAlign w:val="center"/>
          </w:tcPr>
          <w:p w14:paraId="0F218A88">
            <w:pPr>
              <w:spacing w:line="240" w:lineRule="auto"/>
              <w:ind w:firstLine="0" w:firstLineChars="0"/>
              <w:jc w:val="center"/>
              <w:rPr>
                <w:rFonts w:cs="Times New Roman"/>
                <w:sz w:val="21"/>
                <w:szCs w:val="21"/>
              </w:rPr>
            </w:pPr>
            <w:r>
              <w:rPr>
                <w:rFonts w:hint="eastAsia" w:cs="Times New Roman"/>
                <w:sz w:val="21"/>
                <w:szCs w:val="21"/>
              </w:rPr>
              <w:t>约150</w:t>
            </w:r>
          </w:p>
        </w:tc>
      </w:tr>
      <w:tr w14:paraId="6CF29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B243627">
            <w:pPr>
              <w:pStyle w:val="39"/>
              <w:numPr>
                <w:ilvl w:val="0"/>
                <w:numId w:val="7"/>
              </w:numPr>
              <w:spacing w:line="240" w:lineRule="auto"/>
              <w:ind w:firstLineChars="0"/>
              <w:jc w:val="center"/>
              <w:rPr>
                <w:rFonts w:cs="Times New Roman"/>
                <w:sz w:val="21"/>
                <w:szCs w:val="21"/>
              </w:rPr>
            </w:pPr>
          </w:p>
        </w:tc>
        <w:tc>
          <w:tcPr>
            <w:tcW w:w="992" w:type="dxa"/>
            <w:noWrap/>
            <w:vAlign w:val="center"/>
          </w:tcPr>
          <w:p w14:paraId="0932117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EE0B879">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0AE05D05">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057840EF">
            <w:pPr>
              <w:spacing w:line="240" w:lineRule="auto"/>
              <w:ind w:firstLine="0" w:firstLineChars="0"/>
              <w:jc w:val="center"/>
              <w:rPr>
                <w:rFonts w:cs="Times New Roman"/>
                <w:sz w:val="21"/>
                <w:szCs w:val="21"/>
              </w:rPr>
            </w:pPr>
            <w:r>
              <w:rPr>
                <w:rFonts w:hint="eastAsia" w:cs="Times New Roman"/>
                <w:sz w:val="21"/>
                <w:szCs w:val="21"/>
              </w:rPr>
              <w:t>晶阳小区南</w:t>
            </w:r>
          </w:p>
        </w:tc>
        <w:tc>
          <w:tcPr>
            <w:tcW w:w="1701" w:type="dxa"/>
            <w:noWrap/>
            <w:vAlign w:val="center"/>
          </w:tcPr>
          <w:p w14:paraId="1329DA46">
            <w:pPr>
              <w:spacing w:line="240" w:lineRule="auto"/>
              <w:ind w:firstLine="0" w:firstLineChars="0"/>
              <w:jc w:val="center"/>
              <w:rPr>
                <w:rFonts w:cs="Times New Roman"/>
                <w:sz w:val="21"/>
                <w:szCs w:val="21"/>
              </w:rPr>
            </w:pPr>
            <w:r>
              <w:rPr>
                <w:rFonts w:hint="eastAsia" w:cs="Times New Roman"/>
                <w:sz w:val="21"/>
                <w:szCs w:val="21"/>
              </w:rPr>
              <w:t>119.319585</w:t>
            </w:r>
          </w:p>
        </w:tc>
        <w:tc>
          <w:tcPr>
            <w:tcW w:w="1690" w:type="dxa"/>
            <w:noWrap/>
            <w:vAlign w:val="center"/>
          </w:tcPr>
          <w:p w14:paraId="15B51463">
            <w:pPr>
              <w:spacing w:line="240" w:lineRule="auto"/>
              <w:ind w:firstLine="0" w:firstLineChars="0"/>
              <w:jc w:val="center"/>
              <w:rPr>
                <w:rFonts w:cs="Times New Roman"/>
                <w:sz w:val="21"/>
                <w:szCs w:val="21"/>
              </w:rPr>
            </w:pPr>
            <w:r>
              <w:rPr>
                <w:rFonts w:hint="eastAsia" w:cs="Times New Roman"/>
                <w:sz w:val="21"/>
                <w:szCs w:val="21"/>
              </w:rPr>
              <w:t>31.659487</w:t>
            </w:r>
          </w:p>
        </w:tc>
        <w:tc>
          <w:tcPr>
            <w:tcW w:w="1080" w:type="dxa"/>
            <w:noWrap/>
            <w:vAlign w:val="center"/>
          </w:tcPr>
          <w:p w14:paraId="6BF5B9B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6151CA2">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197AD0B8">
            <w:pPr>
              <w:spacing w:line="240" w:lineRule="auto"/>
              <w:ind w:firstLine="0" w:firstLineChars="0"/>
              <w:jc w:val="center"/>
              <w:rPr>
                <w:rFonts w:cs="Times New Roman"/>
                <w:sz w:val="21"/>
                <w:szCs w:val="21"/>
              </w:rPr>
            </w:pPr>
            <w:r>
              <w:rPr>
                <w:rFonts w:hint="eastAsia" w:cs="Times New Roman"/>
                <w:sz w:val="21"/>
                <w:szCs w:val="21"/>
              </w:rPr>
              <w:t>844</w:t>
            </w:r>
          </w:p>
        </w:tc>
        <w:tc>
          <w:tcPr>
            <w:tcW w:w="1168" w:type="dxa"/>
            <w:noWrap/>
            <w:vAlign w:val="center"/>
          </w:tcPr>
          <w:p w14:paraId="7B0290DD">
            <w:pPr>
              <w:spacing w:line="240" w:lineRule="auto"/>
              <w:ind w:firstLine="0" w:firstLineChars="0"/>
              <w:jc w:val="center"/>
              <w:rPr>
                <w:rFonts w:cs="Times New Roman"/>
                <w:sz w:val="21"/>
                <w:szCs w:val="21"/>
              </w:rPr>
            </w:pPr>
            <w:r>
              <w:rPr>
                <w:rFonts w:hint="eastAsia" w:cs="Times New Roman"/>
                <w:sz w:val="21"/>
                <w:szCs w:val="21"/>
              </w:rPr>
              <w:t>约30</w:t>
            </w:r>
          </w:p>
        </w:tc>
      </w:tr>
      <w:tr w14:paraId="720C1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E134383">
            <w:pPr>
              <w:pStyle w:val="39"/>
              <w:numPr>
                <w:ilvl w:val="0"/>
                <w:numId w:val="7"/>
              </w:numPr>
              <w:spacing w:line="240" w:lineRule="auto"/>
              <w:ind w:firstLineChars="0"/>
              <w:jc w:val="center"/>
              <w:rPr>
                <w:rFonts w:cs="Times New Roman"/>
                <w:sz w:val="21"/>
                <w:szCs w:val="21"/>
              </w:rPr>
            </w:pPr>
          </w:p>
        </w:tc>
        <w:tc>
          <w:tcPr>
            <w:tcW w:w="992" w:type="dxa"/>
            <w:noWrap/>
            <w:vAlign w:val="center"/>
          </w:tcPr>
          <w:p w14:paraId="639DD10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5FD8EC3">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2D283C5B">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2119BA6A">
            <w:pPr>
              <w:spacing w:line="240" w:lineRule="auto"/>
              <w:ind w:firstLine="0" w:firstLineChars="0"/>
              <w:jc w:val="center"/>
              <w:rPr>
                <w:rFonts w:cs="Times New Roman"/>
                <w:sz w:val="21"/>
                <w:szCs w:val="21"/>
              </w:rPr>
            </w:pPr>
            <w:r>
              <w:rPr>
                <w:rFonts w:hint="eastAsia" w:cs="Times New Roman"/>
                <w:sz w:val="21"/>
                <w:szCs w:val="21"/>
              </w:rPr>
              <w:t>江苏省司法行政学院常州分院</w:t>
            </w:r>
          </w:p>
        </w:tc>
        <w:tc>
          <w:tcPr>
            <w:tcW w:w="1701" w:type="dxa"/>
            <w:noWrap/>
            <w:vAlign w:val="center"/>
          </w:tcPr>
          <w:p w14:paraId="75F2DF0A">
            <w:pPr>
              <w:spacing w:line="240" w:lineRule="auto"/>
              <w:ind w:firstLine="0" w:firstLineChars="0"/>
              <w:jc w:val="center"/>
              <w:rPr>
                <w:rFonts w:cs="Times New Roman"/>
                <w:sz w:val="21"/>
                <w:szCs w:val="21"/>
              </w:rPr>
            </w:pPr>
            <w:r>
              <w:rPr>
                <w:rFonts w:hint="eastAsia" w:cs="Times New Roman"/>
                <w:sz w:val="21"/>
                <w:szCs w:val="21"/>
              </w:rPr>
              <w:t>119.318462</w:t>
            </w:r>
          </w:p>
        </w:tc>
        <w:tc>
          <w:tcPr>
            <w:tcW w:w="1690" w:type="dxa"/>
            <w:noWrap/>
            <w:vAlign w:val="center"/>
          </w:tcPr>
          <w:p w14:paraId="0CD219F4">
            <w:pPr>
              <w:spacing w:line="240" w:lineRule="auto"/>
              <w:ind w:firstLine="0" w:firstLineChars="0"/>
              <w:jc w:val="center"/>
              <w:rPr>
                <w:rFonts w:cs="Times New Roman"/>
                <w:sz w:val="21"/>
                <w:szCs w:val="21"/>
              </w:rPr>
            </w:pPr>
            <w:r>
              <w:rPr>
                <w:rFonts w:hint="eastAsia" w:cs="Times New Roman"/>
                <w:sz w:val="21"/>
                <w:szCs w:val="21"/>
              </w:rPr>
              <w:t>31.661553</w:t>
            </w:r>
          </w:p>
        </w:tc>
        <w:tc>
          <w:tcPr>
            <w:tcW w:w="1080" w:type="dxa"/>
            <w:noWrap/>
            <w:vAlign w:val="center"/>
          </w:tcPr>
          <w:p w14:paraId="1A9BBC76">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7FC22D71">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2320388F">
            <w:pPr>
              <w:spacing w:line="240" w:lineRule="auto"/>
              <w:ind w:firstLine="0" w:firstLineChars="0"/>
              <w:jc w:val="center"/>
              <w:rPr>
                <w:rFonts w:cs="Times New Roman"/>
                <w:sz w:val="21"/>
                <w:szCs w:val="21"/>
              </w:rPr>
            </w:pPr>
            <w:r>
              <w:rPr>
                <w:rFonts w:hint="eastAsia" w:cs="Times New Roman"/>
                <w:sz w:val="21"/>
                <w:szCs w:val="21"/>
              </w:rPr>
              <w:t>881</w:t>
            </w:r>
          </w:p>
        </w:tc>
        <w:tc>
          <w:tcPr>
            <w:tcW w:w="1168" w:type="dxa"/>
            <w:noWrap/>
            <w:vAlign w:val="center"/>
          </w:tcPr>
          <w:p w14:paraId="6D03AD26">
            <w:pPr>
              <w:spacing w:line="240" w:lineRule="auto"/>
              <w:ind w:firstLine="0" w:firstLineChars="0"/>
              <w:jc w:val="center"/>
              <w:rPr>
                <w:rFonts w:cs="Times New Roman"/>
                <w:sz w:val="21"/>
                <w:szCs w:val="21"/>
              </w:rPr>
            </w:pPr>
            <w:r>
              <w:rPr>
                <w:rFonts w:hint="eastAsia" w:cs="Times New Roman"/>
                <w:sz w:val="21"/>
                <w:szCs w:val="21"/>
              </w:rPr>
              <w:t>约50</w:t>
            </w:r>
          </w:p>
        </w:tc>
      </w:tr>
      <w:tr w14:paraId="5BF3E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94F8406">
            <w:pPr>
              <w:pStyle w:val="39"/>
              <w:numPr>
                <w:ilvl w:val="0"/>
                <w:numId w:val="7"/>
              </w:numPr>
              <w:spacing w:line="240" w:lineRule="auto"/>
              <w:ind w:firstLineChars="0"/>
              <w:jc w:val="center"/>
              <w:rPr>
                <w:rFonts w:cs="Times New Roman"/>
                <w:sz w:val="21"/>
                <w:szCs w:val="21"/>
              </w:rPr>
            </w:pPr>
          </w:p>
        </w:tc>
        <w:tc>
          <w:tcPr>
            <w:tcW w:w="992" w:type="dxa"/>
            <w:noWrap/>
            <w:vAlign w:val="center"/>
          </w:tcPr>
          <w:p w14:paraId="0296EAB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68BB411">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19DF2A79">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61B41303">
            <w:pPr>
              <w:spacing w:line="240" w:lineRule="auto"/>
              <w:ind w:firstLine="0" w:firstLineChars="0"/>
              <w:jc w:val="center"/>
              <w:rPr>
                <w:rFonts w:cs="Times New Roman"/>
                <w:sz w:val="21"/>
                <w:szCs w:val="21"/>
              </w:rPr>
            </w:pPr>
            <w:r>
              <w:rPr>
                <w:rFonts w:hint="eastAsia" w:cs="Times New Roman"/>
                <w:sz w:val="21"/>
                <w:szCs w:val="21"/>
              </w:rPr>
              <w:t>涧北</w:t>
            </w:r>
          </w:p>
        </w:tc>
        <w:tc>
          <w:tcPr>
            <w:tcW w:w="1701" w:type="dxa"/>
            <w:noWrap/>
            <w:vAlign w:val="center"/>
          </w:tcPr>
          <w:p w14:paraId="1D339302">
            <w:pPr>
              <w:spacing w:line="240" w:lineRule="auto"/>
              <w:ind w:firstLine="0" w:firstLineChars="0"/>
              <w:jc w:val="center"/>
              <w:rPr>
                <w:rFonts w:cs="Times New Roman"/>
                <w:sz w:val="21"/>
                <w:szCs w:val="21"/>
              </w:rPr>
            </w:pPr>
            <w:r>
              <w:rPr>
                <w:rFonts w:hint="eastAsia" w:cs="Times New Roman"/>
                <w:sz w:val="21"/>
                <w:szCs w:val="21"/>
              </w:rPr>
              <w:t>119.352667</w:t>
            </w:r>
          </w:p>
        </w:tc>
        <w:tc>
          <w:tcPr>
            <w:tcW w:w="1690" w:type="dxa"/>
            <w:noWrap/>
            <w:vAlign w:val="center"/>
          </w:tcPr>
          <w:p w14:paraId="66FEB513">
            <w:pPr>
              <w:spacing w:line="240" w:lineRule="auto"/>
              <w:ind w:firstLine="0" w:firstLineChars="0"/>
              <w:jc w:val="center"/>
              <w:rPr>
                <w:rFonts w:cs="Times New Roman"/>
                <w:sz w:val="21"/>
                <w:szCs w:val="21"/>
              </w:rPr>
            </w:pPr>
            <w:r>
              <w:rPr>
                <w:rFonts w:hint="eastAsia" w:cs="Times New Roman"/>
                <w:sz w:val="21"/>
                <w:szCs w:val="21"/>
              </w:rPr>
              <w:t>31.620346</w:t>
            </w:r>
          </w:p>
        </w:tc>
        <w:tc>
          <w:tcPr>
            <w:tcW w:w="1080" w:type="dxa"/>
            <w:noWrap/>
            <w:vAlign w:val="center"/>
          </w:tcPr>
          <w:p w14:paraId="7C89667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7F347C5">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47AC0DCD">
            <w:pPr>
              <w:spacing w:line="240" w:lineRule="auto"/>
              <w:ind w:firstLine="0" w:firstLineChars="0"/>
              <w:jc w:val="center"/>
              <w:rPr>
                <w:rFonts w:cs="Times New Roman"/>
                <w:sz w:val="21"/>
                <w:szCs w:val="21"/>
              </w:rPr>
            </w:pPr>
            <w:r>
              <w:rPr>
                <w:rFonts w:hint="eastAsia" w:cs="Times New Roman"/>
                <w:sz w:val="21"/>
                <w:szCs w:val="21"/>
              </w:rPr>
              <w:t>1304</w:t>
            </w:r>
          </w:p>
        </w:tc>
        <w:tc>
          <w:tcPr>
            <w:tcW w:w="1168" w:type="dxa"/>
            <w:noWrap/>
            <w:vAlign w:val="center"/>
          </w:tcPr>
          <w:p w14:paraId="57099CA1">
            <w:pPr>
              <w:spacing w:line="240" w:lineRule="auto"/>
              <w:ind w:firstLine="0" w:firstLineChars="0"/>
              <w:jc w:val="center"/>
              <w:rPr>
                <w:rFonts w:cs="Times New Roman"/>
                <w:sz w:val="21"/>
                <w:szCs w:val="21"/>
              </w:rPr>
            </w:pPr>
            <w:r>
              <w:rPr>
                <w:rFonts w:hint="eastAsia" w:cs="Times New Roman"/>
                <w:sz w:val="21"/>
                <w:szCs w:val="21"/>
              </w:rPr>
              <w:t>约50</w:t>
            </w:r>
          </w:p>
        </w:tc>
      </w:tr>
      <w:tr w14:paraId="114B6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F860797">
            <w:pPr>
              <w:pStyle w:val="39"/>
              <w:numPr>
                <w:ilvl w:val="0"/>
                <w:numId w:val="7"/>
              </w:numPr>
              <w:spacing w:line="240" w:lineRule="auto"/>
              <w:ind w:firstLineChars="0"/>
              <w:jc w:val="center"/>
              <w:rPr>
                <w:rFonts w:cs="Times New Roman"/>
                <w:sz w:val="21"/>
                <w:szCs w:val="21"/>
              </w:rPr>
            </w:pPr>
          </w:p>
        </w:tc>
        <w:tc>
          <w:tcPr>
            <w:tcW w:w="992" w:type="dxa"/>
            <w:noWrap/>
            <w:vAlign w:val="center"/>
          </w:tcPr>
          <w:p w14:paraId="19F0A44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A665E2C">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712D2EE6">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3A69C320">
            <w:pPr>
              <w:spacing w:line="240" w:lineRule="auto"/>
              <w:ind w:firstLine="0" w:firstLineChars="0"/>
              <w:jc w:val="center"/>
              <w:rPr>
                <w:rFonts w:cs="Times New Roman"/>
                <w:sz w:val="21"/>
                <w:szCs w:val="21"/>
              </w:rPr>
            </w:pPr>
            <w:r>
              <w:rPr>
                <w:rFonts w:hint="eastAsia" w:cs="Times New Roman"/>
                <w:sz w:val="21"/>
                <w:szCs w:val="21"/>
              </w:rPr>
              <w:t>东门</w:t>
            </w:r>
          </w:p>
        </w:tc>
        <w:tc>
          <w:tcPr>
            <w:tcW w:w="1701" w:type="dxa"/>
            <w:noWrap/>
            <w:vAlign w:val="center"/>
          </w:tcPr>
          <w:p w14:paraId="16AB13B6">
            <w:pPr>
              <w:spacing w:line="240" w:lineRule="auto"/>
              <w:ind w:firstLine="0" w:firstLineChars="0"/>
              <w:jc w:val="center"/>
              <w:rPr>
                <w:rFonts w:cs="Times New Roman"/>
                <w:sz w:val="21"/>
                <w:szCs w:val="21"/>
              </w:rPr>
            </w:pPr>
            <w:r>
              <w:rPr>
                <w:rFonts w:hint="eastAsia" w:cs="Times New Roman"/>
                <w:sz w:val="21"/>
                <w:szCs w:val="21"/>
              </w:rPr>
              <w:t>119.350731</w:t>
            </w:r>
          </w:p>
        </w:tc>
        <w:tc>
          <w:tcPr>
            <w:tcW w:w="1690" w:type="dxa"/>
            <w:noWrap/>
            <w:vAlign w:val="center"/>
          </w:tcPr>
          <w:p w14:paraId="745E364B">
            <w:pPr>
              <w:spacing w:line="240" w:lineRule="auto"/>
              <w:ind w:firstLine="0" w:firstLineChars="0"/>
              <w:jc w:val="center"/>
              <w:rPr>
                <w:rFonts w:cs="Times New Roman"/>
                <w:sz w:val="21"/>
                <w:szCs w:val="21"/>
              </w:rPr>
            </w:pPr>
            <w:r>
              <w:rPr>
                <w:rFonts w:hint="eastAsia" w:cs="Times New Roman"/>
                <w:sz w:val="21"/>
                <w:szCs w:val="21"/>
              </w:rPr>
              <w:t>31.615636</w:t>
            </w:r>
          </w:p>
        </w:tc>
        <w:tc>
          <w:tcPr>
            <w:tcW w:w="1080" w:type="dxa"/>
            <w:noWrap/>
            <w:vAlign w:val="center"/>
          </w:tcPr>
          <w:p w14:paraId="17C0ACB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37FDE85">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4EC68335">
            <w:pPr>
              <w:spacing w:line="240" w:lineRule="auto"/>
              <w:ind w:firstLine="0" w:firstLineChars="0"/>
              <w:jc w:val="center"/>
              <w:rPr>
                <w:rFonts w:cs="Times New Roman"/>
                <w:sz w:val="21"/>
                <w:szCs w:val="21"/>
              </w:rPr>
            </w:pPr>
            <w:r>
              <w:rPr>
                <w:rFonts w:hint="eastAsia" w:cs="Times New Roman"/>
                <w:sz w:val="21"/>
                <w:szCs w:val="21"/>
              </w:rPr>
              <w:t>1908</w:t>
            </w:r>
          </w:p>
        </w:tc>
        <w:tc>
          <w:tcPr>
            <w:tcW w:w="1168" w:type="dxa"/>
            <w:noWrap/>
            <w:vAlign w:val="center"/>
          </w:tcPr>
          <w:p w14:paraId="1FCD31EC">
            <w:pPr>
              <w:spacing w:line="240" w:lineRule="auto"/>
              <w:ind w:firstLine="0" w:firstLineChars="0"/>
              <w:jc w:val="center"/>
              <w:rPr>
                <w:rFonts w:cs="Times New Roman"/>
                <w:sz w:val="21"/>
                <w:szCs w:val="21"/>
              </w:rPr>
            </w:pPr>
            <w:r>
              <w:rPr>
                <w:rFonts w:hint="eastAsia" w:cs="Times New Roman"/>
                <w:sz w:val="21"/>
                <w:szCs w:val="21"/>
              </w:rPr>
              <w:t>约80</w:t>
            </w:r>
          </w:p>
        </w:tc>
      </w:tr>
      <w:tr w14:paraId="7E1C4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279389C">
            <w:pPr>
              <w:pStyle w:val="39"/>
              <w:numPr>
                <w:ilvl w:val="0"/>
                <w:numId w:val="7"/>
              </w:numPr>
              <w:spacing w:line="240" w:lineRule="auto"/>
              <w:ind w:firstLineChars="0"/>
              <w:jc w:val="center"/>
              <w:rPr>
                <w:rFonts w:cs="Times New Roman"/>
                <w:sz w:val="21"/>
                <w:szCs w:val="21"/>
              </w:rPr>
            </w:pPr>
          </w:p>
        </w:tc>
        <w:tc>
          <w:tcPr>
            <w:tcW w:w="992" w:type="dxa"/>
            <w:noWrap/>
            <w:vAlign w:val="center"/>
          </w:tcPr>
          <w:p w14:paraId="27175F5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D06BA5C">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12795732">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6F0BAF7F">
            <w:pPr>
              <w:spacing w:line="240" w:lineRule="auto"/>
              <w:ind w:firstLine="0" w:firstLineChars="0"/>
              <w:jc w:val="center"/>
              <w:rPr>
                <w:rFonts w:cs="Times New Roman"/>
                <w:sz w:val="21"/>
                <w:szCs w:val="21"/>
              </w:rPr>
            </w:pPr>
            <w:r>
              <w:rPr>
                <w:rFonts w:hint="eastAsia" w:cs="Times New Roman"/>
                <w:sz w:val="21"/>
                <w:szCs w:val="21"/>
              </w:rPr>
              <w:t>王家棚</w:t>
            </w:r>
          </w:p>
        </w:tc>
        <w:tc>
          <w:tcPr>
            <w:tcW w:w="1701" w:type="dxa"/>
            <w:noWrap/>
            <w:vAlign w:val="center"/>
          </w:tcPr>
          <w:p w14:paraId="2AB992BF">
            <w:pPr>
              <w:spacing w:line="240" w:lineRule="auto"/>
              <w:ind w:firstLine="0" w:firstLineChars="0"/>
              <w:jc w:val="center"/>
              <w:rPr>
                <w:rFonts w:cs="Times New Roman"/>
                <w:sz w:val="21"/>
                <w:szCs w:val="21"/>
              </w:rPr>
            </w:pPr>
            <w:r>
              <w:rPr>
                <w:rFonts w:hint="eastAsia" w:cs="Times New Roman"/>
                <w:sz w:val="21"/>
                <w:szCs w:val="21"/>
              </w:rPr>
              <w:t>119.345365</w:t>
            </w:r>
          </w:p>
        </w:tc>
        <w:tc>
          <w:tcPr>
            <w:tcW w:w="1690" w:type="dxa"/>
            <w:noWrap/>
            <w:vAlign w:val="center"/>
          </w:tcPr>
          <w:p w14:paraId="25F56300">
            <w:pPr>
              <w:spacing w:line="240" w:lineRule="auto"/>
              <w:ind w:firstLine="0" w:firstLineChars="0"/>
              <w:jc w:val="center"/>
              <w:rPr>
                <w:rFonts w:cs="Times New Roman"/>
                <w:sz w:val="21"/>
                <w:szCs w:val="21"/>
              </w:rPr>
            </w:pPr>
            <w:r>
              <w:rPr>
                <w:rFonts w:hint="eastAsia" w:cs="Times New Roman"/>
                <w:sz w:val="21"/>
                <w:szCs w:val="21"/>
              </w:rPr>
              <w:t>31.616238</w:t>
            </w:r>
          </w:p>
        </w:tc>
        <w:tc>
          <w:tcPr>
            <w:tcW w:w="1080" w:type="dxa"/>
            <w:noWrap/>
            <w:vAlign w:val="center"/>
          </w:tcPr>
          <w:p w14:paraId="013B04F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28CA64B">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62FCFCB9">
            <w:pPr>
              <w:spacing w:line="240" w:lineRule="auto"/>
              <w:ind w:firstLine="0" w:firstLineChars="0"/>
              <w:jc w:val="center"/>
              <w:rPr>
                <w:rFonts w:cs="Times New Roman"/>
                <w:sz w:val="21"/>
                <w:szCs w:val="21"/>
              </w:rPr>
            </w:pPr>
            <w:r>
              <w:rPr>
                <w:rFonts w:hint="eastAsia" w:cs="Times New Roman"/>
                <w:sz w:val="21"/>
                <w:szCs w:val="21"/>
              </w:rPr>
              <w:t>2056</w:t>
            </w:r>
          </w:p>
        </w:tc>
        <w:tc>
          <w:tcPr>
            <w:tcW w:w="1168" w:type="dxa"/>
            <w:noWrap/>
            <w:vAlign w:val="center"/>
          </w:tcPr>
          <w:p w14:paraId="1B5819AC">
            <w:pPr>
              <w:spacing w:line="240" w:lineRule="auto"/>
              <w:ind w:firstLine="0" w:firstLineChars="0"/>
              <w:jc w:val="center"/>
              <w:rPr>
                <w:rFonts w:cs="Times New Roman"/>
                <w:sz w:val="21"/>
                <w:szCs w:val="21"/>
              </w:rPr>
            </w:pPr>
            <w:r>
              <w:rPr>
                <w:rFonts w:hint="eastAsia" w:cs="Times New Roman"/>
                <w:sz w:val="21"/>
                <w:szCs w:val="21"/>
              </w:rPr>
              <w:t>约40</w:t>
            </w:r>
          </w:p>
        </w:tc>
      </w:tr>
      <w:tr w14:paraId="55DBB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C11AE74">
            <w:pPr>
              <w:pStyle w:val="39"/>
              <w:numPr>
                <w:ilvl w:val="0"/>
                <w:numId w:val="7"/>
              </w:numPr>
              <w:spacing w:line="240" w:lineRule="auto"/>
              <w:ind w:firstLineChars="0"/>
              <w:jc w:val="center"/>
              <w:rPr>
                <w:rFonts w:cs="Times New Roman"/>
                <w:sz w:val="21"/>
                <w:szCs w:val="21"/>
              </w:rPr>
            </w:pPr>
          </w:p>
        </w:tc>
        <w:tc>
          <w:tcPr>
            <w:tcW w:w="992" w:type="dxa"/>
            <w:noWrap/>
            <w:vAlign w:val="center"/>
          </w:tcPr>
          <w:p w14:paraId="0468E6E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5F89AEA">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7EEA7660">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2594092C">
            <w:pPr>
              <w:spacing w:line="240" w:lineRule="auto"/>
              <w:ind w:firstLine="0" w:firstLineChars="0"/>
              <w:jc w:val="center"/>
              <w:rPr>
                <w:rFonts w:cs="Times New Roman"/>
                <w:sz w:val="21"/>
                <w:szCs w:val="21"/>
              </w:rPr>
            </w:pPr>
            <w:r>
              <w:rPr>
                <w:rFonts w:hint="eastAsia" w:cs="Times New Roman"/>
                <w:sz w:val="21"/>
                <w:szCs w:val="21"/>
              </w:rPr>
              <w:t>马家棚</w:t>
            </w:r>
          </w:p>
        </w:tc>
        <w:tc>
          <w:tcPr>
            <w:tcW w:w="1701" w:type="dxa"/>
            <w:noWrap/>
            <w:vAlign w:val="center"/>
          </w:tcPr>
          <w:p w14:paraId="5A54BB44">
            <w:pPr>
              <w:spacing w:line="240" w:lineRule="auto"/>
              <w:ind w:firstLine="0" w:firstLineChars="0"/>
              <w:jc w:val="center"/>
              <w:rPr>
                <w:rFonts w:cs="Times New Roman"/>
                <w:sz w:val="21"/>
                <w:szCs w:val="21"/>
              </w:rPr>
            </w:pPr>
            <w:r>
              <w:rPr>
                <w:rFonts w:hint="eastAsia" w:cs="Times New Roman"/>
                <w:sz w:val="21"/>
                <w:szCs w:val="21"/>
              </w:rPr>
              <w:t>119.346716</w:t>
            </w:r>
          </w:p>
        </w:tc>
        <w:tc>
          <w:tcPr>
            <w:tcW w:w="1690" w:type="dxa"/>
            <w:noWrap/>
            <w:vAlign w:val="center"/>
          </w:tcPr>
          <w:p w14:paraId="514472D9">
            <w:pPr>
              <w:spacing w:line="240" w:lineRule="auto"/>
              <w:ind w:firstLine="0" w:firstLineChars="0"/>
              <w:jc w:val="center"/>
              <w:rPr>
                <w:rFonts w:cs="Times New Roman"/>
                <w:sz w:val="21"/>
                <w:szCs w:val="21"/>
              </w:rPr>
            </w:pPr>
            <w:r>
              <w:rPr>
                <w:rFonts w:hint="eastAsia" w:cs="Times New Roman"/>
                <w:sz w:val="21"/>
                <w:szCs w:val="21"/>
              </w:rPr>
              <w:t>31.620044</w:t>
            </w:r>
          </w:p>
        </w:tc>
        <w:tc>
          <w:tcPr>
            <w:tcW w:w="1080" w:type="dxa"/>
            <w:noWrap/>
            <w:vAlign w:val="center"/>
          </w:tcPr>
          <w:p w14:paraId="4C6DB2E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4A908CE">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1523CBB6">
            <w:pPr>
              <w:spacing w:line="240" w:lineRule="auto"/>
              <w:ind w:firstLine="0" w:firstLineChars="0"/>
              <w:jc w:val="center"/>
              <w:rPr>
                <w:rFonts w:cs="Times New Roman"/>
                <w:sz w:val="21"/>
                <w:szCs w:val="21"/>
              </w:rPr>
            </w:pPr>
            <w:r>
              <w:rPr>
                <w:rFonts w:hint="eastAsia" w:cs="Times New Roman"/>
                <w:sz w:val="21"/>
                <w:szCs w:val="21"/>
              </w:rPr>
              <w:t>1561</w:t>
            </w:r>
          </w:p>
        </w:tc>
        <w:tc>
          <w:tcPr>
            <w:tcW w:w="1168" w:type="dxa"/>
            <w:noWrap/>
            <w:vAlign w:val="center"/>
          </w:tcPr>
          <w:p w14:paraId="5E73E704">
            <w:pPr>
              <w:spacing w:line="240" w:lineRule="auto"/>
              <w:ind w:firstLine="0" w:firstLineChars="0"/>
              <w:jc w:val="center"/>
              <w:rPr>
                <w:rFonts w:cs="Times New Roman"/>
                <w:sz w:val="21"/>
                <w:szCs w:val="21"/>
              </w:rPr>
            </w:pPr>
            <w:r>
              <w:rPr>
                <w:rFonts w:hint="eastAsia" w:cs="Times New Roman"/>
                <w:sz w:val="21"/>
                <w:szCs w:val="21"/>
              </w:rPr>
              <w:t>约20</w:t>
            </w:r>
          </w:p>
        </w:tc>
      </w:tr>
      <w:tr w14:paraId="4F1C7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70A4DAC">
            <w:pPr>
              <w:pStyle w:val="39"/>
              <w:numPr>
                <w:ilvl w:val="0"/>
                <w:numId w:val="7"/>
              </w:numPr>
              <w:spacing w:line="240" w:lineRule="auto"/>
              <w:ind w:firstLineChars="0"/>
              <w:jc w:val="center"/>
              <w:rPr>
                <w:rFonts w:cs="Times New Roman"/>
                <w:sz w:val="21"/>
                <w:szCs w:val="21"/>
              </w:rPr>
            </w:pPr>
          </w:p>
        </w:tc>
        <w:tc>
          <w:tcPr>
            <w:tcW w:w="992" w:type="dxa"/>
            <w:noWrap/>
            <w:vAlign w:val="center"/>
          </w:tcPr>
          <w:p w14:paraId="401C13D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AC092EB">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515AA0B4">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0F7AA410">
            <w:pPr>
              <w:spacing w:line="240" w:lineRule="auto"/>
              <w:ind w:firstLine="0" w:firstLineChars="0"/>
              <w:jc w:val="center"/>
              <w:rPr>
                <w:rFonts w:cs="Times New Roman"/>
                <w:sz w:val="21"/>
                <w:szCs w:val="21"/>
              </w:rPr>
            </w:pPr>
            <w:r>
              <w:rPr>
                <w:rFonts w:hint="eastAsia" w:cs="Times New Roman"/>
                <w:sz w:val="21"/>
                <w:szCs w:val="21"/>
              </w:rPr>
              <w:t>来笪村</w:t>
            </w:r>
          </w:p>
        </w:tc>
        <w:tc>
          <w:tcPr>
            <w:tcW w:w="1701" w:type="dxa"/>
            <w:noWrap/>
            <w:vAlign w:val="center"/>
          </w:tcPr>
          <w:p w14:paraId="60CCDF49">
            <w:pPr>
              <w:spacing w:line="240" w:lineRule="auto"/>
              <w:ind w:firstLine="0" w:firstLineChars="0"/>
              <w:jc w:val="center"/>
              <w:rPr>
                <w:rFonts w:cs="Times New Roman"/>
                <w:sz w:val="21"/>
                <w:szCs w:val="21"/>
              </w:rPr>
            </w:pPr>
            <w:r>
              <w:rPr>
                <w:rFonts w:hint="eastAsia" w:cs="Times New Roman"/>
                <w:sz w:val="21"/>
                <w:szCs w:val="21"/>
              </w:rPr>
              <w:t>119.341292</w:t>
            </w:r>
          </w:p>
        </w:tc>
        <w:tc>
          <w:tcPr>
            <w:tcW w:w="1690" w:type="dxa"/>
            <w:noWrap/>
            <w:vAlign w:val="center"/>
          </w:tcPr>
          <w:p w14:paraId="3FB6EABF">
            <w:pPr>
              <w:spacing w:line="240" w:lineRule="auto"/>
              <w:ind w:firstLine="0" w:firstLineChars="0"/>
              <w:jc w:val="center"/>
              <w:rPr>
                <w:rFonts w:cs="Times New Roman"/>
                <w:sz w:val="21"/>
                <w:szCs w:val="21"/>
              </w:rPr>
            </w:pPr>
            <w:r>
              <w:rPr>
                <w:rFonts w:hint="eastAsia" w:cs="Times New Roman"/>
                <w:sz w:val="21"/>
                <w:szCs w:val="21"/>
              </w:rPr>
              <w:t>31.619213</w:t>
            </w:r>
          </w:p>
        </w:tc>
        <w:tc>
          <w:tcPr>
            <w:tcW w:w="1080" w:type="dxa"/>
            <w:noWrap/>
            <w:vAlign w:val="center"/>
          </w:tcPr>
          <w:p w14:paraId="2C0B1AB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FA100D6">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150276C5">
            <w:pPr>
              <w:spacing w:line="240" w:lineRule="auto"/>
              <w:ind w:firstLine="0" w:firstLineChars="0"/>
              <w:jc w:val="center"/>
              <w:rPr>
                <w:rFonts w:cs="Times New Roman"/>
                <w:sz w:val="21"/>
                <w:szCs w:val="21"/>
              </w:rPr>
            </w:pPr>
            <w:r>
              <w:rPr>
                <w:rFonts w:hint="eastAsia" w:cs="Times New Roman"/>
                <w:sz w:val="21"/>
                <w:szCs w:val="21"/>
              </w:rPr>
              <w:t>1948</w:t>
            </w:r>
          </w:p>
        </w:tc>
        <w:tc>
          <w:tcPr>
            <w:tcW w:w="1168" w:type="dxa"/>
            <w:noWrap/>
            <w:vAlign w:val="center"/>
          </w:tcPr>
          <w:p w14:paraId="63EFC4DB">
            <w:pPr>
              <w:spacing w:line="240" w:lineRule="auto"/>
              <w:ind w:firstLine="0" w:firstLineChars="0"/>
              <w:jc w:val="center"/>
              <w:rPr>
                <w:rFonts w:cs="Times New Roman"/>
                <w:sz w:val="21"/>
                <w:szCs w:val="21"/>
              </w:rPr>
            </w:pPr>
            <w:r>
              <w:rPr>
                <w:rFonts w:hint="eastAsia" w:cs="Times New Roman"/>
                <w:sz w:val="21"/>
                <w:szCs w:val="21"/>
              </w:rPr>
              <w:t>约200</w:t>
            </w:r>
          </w:p>
        </w:tc>
      </w:tr>
      <w:tr w14:paraId="1AA66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1279A8D">
            <w:pPr>
              <w:pStyle w:val="39"/>
              <w:numPr>
                <w:ilvl w:val="0"/>
                <w:numId w:val="7"/>
              </w:numPr>
              <w:spacing w:line="240" w:lineRule="auto"/>
              <w:ind w:firstLineChars="0"/>
              <w:jc w:val="center"/>
              <w:rPr>
                <w:rFonts w:cs="Times New Roman"/>
                <w:sz w:val="21"/>
                <w:szCs w:val="21"/>
              </w:rPr>
            </w:pPr>
          </w:p>
        </w:tc>
        <w:tc>
          <w:tcPr>
            <w:tcW w:w="992" w:type="dxa"/>
            <w:noWrap/>
            <w:vAlign w:val="center"/>
          </w:tcPr>
          <w:p w14:paraId="75DF1ED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816BE18">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5F76B5DB">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3B829FDE">
            <w:pPr>
              <w:spacing w:line="240" w:lineRule="auto"/>
              <w:ind w:firstLine="0" w:firstLineChars="0"/>
              <w:jc w:val="center"/>
              <w:rPr>
                <w:rFonts w:cs="Times New Roman"/>
                <w:sz w:val="21"/>
                <w:szCs w:val="21"/>
              </w:rPr>
            </w:pPr>
            <w:r>
              <w:rPr>
                <w:rFonts w:hint="eastAsia" w:cs="Times New Roman"/>
                <w:sz w:val="21"/>
                <w:szCs w:val="21"/>
              </w:rPr>
              <w:t>朱家村</w:t>
            </w:r>
          </w:p>
        </w:tc>
        <w:tc>
          <w:tcPr>
            <w:tcW w:w="1701" w:type="dxa"/>
            <w:noWrap/>
            <w:vAlign w:val="center"/>
          </w:tcPr>
          <w:p w14:paraId="4CFA3CF1">
            <w:pPr>
              <w:spacing w:line="240" w:lineRule="auto"/>
              <w:ind w:firstLine="0" w:firstLineChars="0"/>
              <w:jc w:val="center"/>
              <w:rPr>
                <w:rFonts w:cs="Times New Roman"/>
                <w:sz w:val="21"/>
                <w:szCs w:val="21"/>
              </w:rPr>
            </w:pPr>
            <w:r>
              <w:rPr>
                <w:rFonts w:hint="eastAsia" w:cs="Times New Roman"/>
                <w:sz w:val="21"/>
                <w:szCs w:val="21"/>
              </w:rPr>
              <w:t>119.364159</w:t>
            </w:r>
          </w:p>
        </w:tc>
        <w:tc>
          <w:tcPr>
            <w:tcW w:w="1690" w:type="dxa"/>
            <w:noWrap/>
            <w:vAlign w:val="center"/>
          </w:tcPr>
          <w:p w14:paraId="41DBA56E">
            <w:pPr>
              <w:spacing w:line="240" w:lineRule="auto"/>
              <w:ind w:firstLine="0" w:firstLineChars="0"/>
              <w:jc w:val="center"/>
              <w:rPr>
                <w:rFonts w:cs="Times New Roman"/>
                <w:sz w:val="21"/>
                <w:szCs w:val="21"/>
              </w:rPr>
            </w:pPr>
            <w:r>
              <w:rPr>
                <w:rFonts w:hint="eastAsia" w:cs="Times New Roman"/>
                <w:sz w:val="21"/>
                <w:szCs w:val="21"/>
              </w:rPr>
              <w:t>31.61004</w:t>
            </w:r>
          </w:p>
        </w:tc>
        <w:tc>
          <w:tcPr>
            <w:tcW w:w="1080" w:type="dxa"/>
            <w:noWrap/>
            <w:vAlign w:val="center"/>
          </w:tcPr>
          <w:p w14:paraId="16CD028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6A9A003">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E0695FB">
            <w:pPr>
              <w:spacing w:line="240" w:lineRule="auto"/>
              <w:ind w:firstLine="0" w:firstLineChars="0"/>
              <w:jc w:val="center"/>
              <w:rPr>
                <w:rFonts w:cs="Times New Roman"/>
                <w:sz w:val="21"/>
                <w:szCs w:val="21"/>
              </w:rPr>
            </w:pPr>
            <w:r>
              <w:rPr>
                <w:rFonts w:hint="eastAsia" w:cs="Times New Roman"/>
                <w:sz w:val="21"/>
                <w:szCs w:val="21"/>
              </w:rPr>
              <w:t>2105</w:t>
            </w:r>
          </w:p>
        </w:tc>
        <w:tc>
          <w:tcPr>
            <w:tcW w:w="1168" w:type="dxa"/>
            <w:noWrap/>
            <w:vAlign w:val="center"/>
          </w:tcPr>
          <w:p w14:paraId="453ED541">
            <w:pPr>
              <w:spacing w:line="240" w:lineRule="auto"/>
              <w:ind w:firstLine="0" w:firstLineChars="0"/>
              <w:jc w:val="center"/>
              <w:rPr>
                <w:rFonts w:cs="Times New Roman"/>
                <w:sz w:val="21"/>
                <w:szCs w:val="21"/>
              </w:rPr>
            </w:pPr>
            <w:r>
              <w:rPr>
                <w:rFonts w:hint="eastAsia" w:cs="Times New Roman"/>
                <w:sz w:val="21"/>
                <w:szCs w:val="21"/>
              </w:rPr>
              <w:t>约30</w:t>
            </w:r>
          </w:p>
        </w:tc>
      </w:tr>
      <w:tr w14:paraId="6D86B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29E5030">
            <w:pPr>
              <w:pStyle w:val="39"/>
              <w:numPr>
                <w:ilvl w:val="0"/>
                <w:numId w:val="7"/>
              </w:numPr>
              <w:spacing w:line="240" w:lineRule="auto"/>
              <w:ind w:firstLineChars="0"/>
              <w:jc w:val="center"/>
              <w:rPr>
                <w:rFonts w:cs="Times New Roman"/>
                <w:sz w:val="21"/>
                <w:szCs w:val="21"/>
              </w:rPr>
            </w:pPr>
          </w:p>
        </w:tc>
        <w:tc>
          <w:tcPr>
            <w:tcW w:w="992" w:type="dxa"/>
            <w:noWrap/>
            <w:vAlign w:val="center"/>
          </w:tcPr>
          <w:p w14:paraId="3271AB0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59577D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A69170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163B8D6">
            <w:pPr>
              <w:spacing w:line="240" w:lineRule="auto"/>
              <w:ind w:firstLine="0" w:firstLineChars="0"/>
              <w:jc w:val="center"/>
              <w:rPr>
                <w:rFonts w:cs="Times New Roman"/>
                <w:sz w:val="21"/>
                <w:szCs w:val="21"/>
              </w:rPr>
            </w:pPr>
            <w:r>
              <w:rPr>
                <w:rFonts w:hint="eastAsia" w:cs="Times New Roman"/>
                <w:sz w:val="21"/>
                <w:szCs w:val="21"/>
              </w:rPr>
              <w:t>上慢埠</w:t>
            </w:r>
          </w:p>
        </w:tc>
        <w:tc>
          <w:tcPr>
            <w:tcW w:w="1701" w:type="dxa"/>
            <w:noWrap/>
            <w:vAlign w:val="center"/>
          </w:tcPr>
          <w:p w14:paraId="4A12311A">
            <w:pPr>
              <w:spacing w:line="240" w:lineRule="auto"/>
              <w:ind w:firstLine="0" w:firstLineChars="0"/>
              <w:jc w:val="center"/>
              <w:rPr>
                <w:rFonts w:cs="Times New Roman"/>
                <w:sz w:val="21"/>
                <w:szCs w:val="21"/>
              </w:rPr>
            </w:pPr>
            <w:r>
              <w:rPr>
                <w:rFonts w:hint="eastAsia" w:cs="Times New Roman"/>
                <w:sz w:val="21"/>
                <w:szCs w:val="21"/>
              </w:rPr>
              <w:t>119.350785</w:t>
            </w:r>
          </w:p>
        </w:tc>
        <w:tc>
          <w:tcPr>
            <w:tcW w:w="1690" w:type="dxa"/>
            <w:noWrap/>
            <w:vAlign w:val="center"/>
          </w:tcPr>
          <w:p w14:paraId="267767C2">
            <w:pPr>
              <w:spacing w:line="240" w:lineRule="auto"/>
              <w:ind w:firstLine="0" w:firstLineChars="0"/>
              <w:jc w:val="center"/>
              <w:rPr>
                <w:rFonts w:cs="Times New Roman"/>
                <w:sz w:val="21"/>
                <w:szCs w:val="21"/>
              </w:rPr>
            </w:pPr>
            <w:r>
              <w:rPr>
                <w:rFonts w:hint="eastAsia" w:cs="Times New Roman"/>
                <w:sz w:val="21"/>
                <w:szCs w:val="21"/>
              </w:rPr>
              <w:t>31.724867</w:t>
            </w:r>
          </w:p>
        </w:tc>
        <w:tc>
          <w:tcPr>
            <w:tcW w:w="1080" w:type="dxa"/>
            <w:noWrap/>
            <w:vAlign w:val="center"/>
          </w:tcPr>
          <w:p w14:paraId="0EAE1A7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A0B5620">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4D2C9905">
            <w:pPr>
              <w:spacing w:line="240" w:lineRule="auto"/>
              <w:ind w:firstLine="0" w:firstLineChars="0"/>
              <w:jc w:val="center"/>
              <w:rPr>
                <w:rFonts w:cs="Times New Roman"/>
                <w:sz w:val="21"/>
                <w:szCs w:val="21"/>
              </w:rPr>
            </w:pPr>
            <w:r>
              <w:rPr>
                <w:rFonts w:hint="eastAsia" w:cs="Times New Roman"/>
                <w:sz w:val="21"/>
                <w:szCs w:val="21"/>
              </w:rPr>
              <w:t>156</w:t>
            </w:r>
          </w:p>
        </w:tc>
        <w:tc>
          <w:tcPr>
            <w:tcW w:w="1168" w:type="dxa"/>
            <w:noWrap/>
            <w:vAlign w:val="center"/>
          </w:tcPr>
          <w:p w14:paraId="7F10AEDB">
            <w:pPr>
              <w:spacing w:line="240" w:lineRule="auto"/>
              <w:ind w:firstLine="0" w:firstLineChars="0"/>
              <w:jc w:val="center"/>
              <w:rPr>
                <w:rFonts w:cs="Times New Roman"/>
                <w:sz w:val="21"/>
                <w:szCs w:val="21"/>
              </w:rPr>
            </w:pPr>
            <w:r>
              <w:rPr>
                <w:rFonts w:hint="eastAsia" w:cs="Times New Roman"/>
                <w:sz w:val="21"/>
                <w:szCs w:val="21"/>
              </w:rPr>
              <w:t>约10</w:t>
            </w:r>
          </w:p>
        </w:tc>
      </w:tr>
      <w:tr w14:paraId="486C6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665B591">
            <w:pPr>
              <w:pStyle w:val="39"/>
              <w:numPr>
                <w:ilvl w:val="0"/>
                <w:numId w:val="7"/>
              </w:numPr>
              <w:spacing w:line="240" w:lineRule="auto"/>
              <w:ind w:firstLineChars="0"/>
              <w:jc w:val="center"/>
              <w:rPr>
                <w:rFonts w:cs="Times New Roman"/>
                <w:sz w:val="21"/>
                <w:szCs w:val="21"/>
              </w:rPr>
            </w:pPr>
          </w:p>
        </w:tc>
        <w:tc>
          <w:tcPr>
            <w:tcW w:w="992" w:type="dxa"/>
            <w:noWrap/>
            <w:vAlign w:val="center"/>
          </w:tcPr>
          <w:p w14:paraId="7B545D3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C706EA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DD0186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5C760E0">
            <w:pPr>
              <w:spacing w:line="240" w:lineRule="auto"/>
              <w:ind w:firstLine="0" w:firstLineChars="0"/>
              <w:jc w:val="center"/>
              <w:rPr>
                <w:rFonts w:cs="Times New Roman"/>
                <w:sz w:val="21"/>
                <w:szCs w:val="21"/>
              </w:rPr>
            </w:pPr>
            <w:r>
              <w:rPr>
                <w:rFonts w:hint="eastAsia" w:cs="Times New Roman"/>
                <w:sz w:val="21"/>
                <w:szCs w:val="21"/>
              </w:rPr>
              <w:t>下慢埠</w:t>
            </w:r>
          </w:p>
        </w:tc>
        <w:tc>
          <w:tcPr>
            <w:tcW w:w="1701" w:type="dxa"/>
            <w:noWrap/>
            <w:vAlign w:val="center"/>
          </w:tcPr>
          <w:p w14:paraId="354BEDE0">
            <w:pPr>
              <w:spacing w:line="240" w:lineRule="auto"/>
              <w:ind w:firstLine="0" w:firstLineChars="0"/>
              <w:jc w:val="center"/>
              <w:rPr>
                <w:rFonts w:cs="Times New Roman"/>
                <w:sz w:val="21"/>
                <w:szCs w:val="21"/>
              </w:rPr>
            </w:pPr>
            <w:r>
              <w:rPr>
                <w:rFonts w:hint="eastAsia" w:cs="Times New Roman"/>
                <w:sz w:val="21"/>
                <w:szCs w:val="21"/>
              </w:rPr>
              <w:t>119.355663</w:t>
            </w:r>
          </w:p>
        </w:tc>
        <w:tc>
          <w:tcPr>
            <w:tcW w:w="1690" w:type="dxa"/>
            <w:noWrap/>
            <w:vAlign w:val="center"/>
          </w:tcPr>
          <w:p w14:paraId="3E3EC606">
            <w:pPr>
              <w:spacing w:line="240" w:lineRule="auto"/>
              <w:ind w:firstLine="0" w:firstLineChars="0"/>
              <w:jc w:val="center"/>
              <w:rPr>
                <w:rFonts w:cs="Times New Roman"/>
                <w:sz w:val="21"/>
                <w:szCs w:val="21"/>
              </w:rPr>
            </w:pPr>
            <w:r>
              <w:rPr>
                <w:rFonts w:hint="eastAsia" w:cs="Times New Roman"/>
                <w:sz w:val="21"/>
                <w:szCs w:val="21"/>
              </w:rPr>
              <w:t>31.721994</w:t>
            </w:r>
          </w:p>
        </w:tc>
        <w:tc>
          <w:tcPr>
            <w:tcW w:w="1080" w:type="dxa"/>
            <w:noWrap/>
            <w:vAlign w:val="center"/>
          </w:tcPr>
          <w:p w14:paraId="4B87A03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49BE96A">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1AFFE1ED">
            <w:pPr>
              <w:spacing w:line="240" w:lineRule="auto"/>
              <w:ind w:firstLine="0" w:firstLineChars="0"/>
              <w:jc w:val="center"/>
              <w:rPr>
                <w:rFonts w:cs="Times New Roman"/>
                <w:sz w:val="21"/>
                <w:szCs w:val="21"/>
              </w:rPr>
            </w:pPr>
            <w:r>
              <w:rPr>
                <w:rFonts w:hint="eastAsia" w:cs="Times New Roman"/>
                <w:sz w:val="21"/>
                <w:szCs w:val="21"/>
              </w:rPr>
              <w:t>510</w:t>
            </w:r>
          </w:p>
        </w:tc>
        <w:tc>
          <w:tcPr>
            <w:tcW w:w="1168" w:type="dxa"/>
            <w:noWrap/>
            <w:vAlign w:val="center"/>
          </w:tcPr>
          <w:p w14:paraId="0029AD70">
            <w:pPr>
              <w:spacing w:line="240" w:lineRule="auto"/>
              <w:ind w:firstLine="0" w:firstLineChars="0"/>
              <w:jc w:val="center"/>
              <w:rPr>
                <w:rFonts w:cs="Times New Roman"/>
                <w:sz w:val="21"/>
                <w:szCs w:val="21"/>
              </w:rPr>
            </w:pPr>
            <w:r>
              <w:rPr>
                <w:rFonts w:hint="eastAsia" w:cs="Times New Roman"/>
                <w:sz w:val="21"/>
                <w:szCs w:val="21"/>
              </w:rPr>
              <w:t>约50</w:t>
            </w:r>
          </w:p>
        </w:tc>
      </w:tr>
      <w:tr w14:paraId="1261C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68B95D5">
            <w:pPr>
              <w:pStyle w:val="39"/>
              <w:numPr>
                <w:ilvl w:val="0"/>
                <w:numId w:val="7"/>
              </w:numPr>
              <w:spacing w:line="240" w:lineRule="auto"/>
              <w:ind w:firstLineChars="0"/>
              <w:jc w:val="center"/>
              <w:rPr>
                <w:rFonts w:cs="Times New Roman"/>
                <w:sz w:val="21"/>
                <w:szCs w:val="21"/>
              </w:rPr>
            </w:pPr>
          </w:p>
        </w:tc>
        <w:tc>
          <w:tcPr>
            <w:tcW w:w="992" w:type="dxa"/>
            <w:noWrap/>
            <w:vAlign w:val="center"/>
          </w:tcPr>
          <w:p w14:paraId="338E9AE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35C68F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82BBDD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097CCF8">
            <w:pPr>
              <w:spacing w:line="240" w:lineRule="auto"/>
              <w:ind w:firstLine="0" w:firstLineChars="0"/>
              <w:jc w:val="center"/>
              <w:rPr>
                <w:rFonts w:cs="Times New Roman"/>
                <w:sz w:val="21"/>
                <w:szCs w:val="21"/>
              </w:rPr>
            </w:pPr>
            <w:r>
              <w:rPr>
                <w:rFonts w:hint="eastAsia" w:cs="Times New Roman"/>
                <w:sz w:val="21"/>
                <w:szCs w:val="21"/>
              </w:rPr>
              <w:t>仙湖新村</w:t>
            </w:r>
          </w:p>
        </w:tc>
        <w:tc>
          <w:tcPr>
            <w:tcW w:w="1701" w:type="dxa"/>
            <w:noWrap/>
            <w:vAlign w:val="center"/>
          </w:tcPr>
          <w:p w14:paraId="6444D3E7">
            <w:pPr>
              <w:spacing w:line="240" w:lineRule="auto"/>
              <w:ind w:firstLine="0" w:firstLineChars="0"/>
              <w:jc w:val="center"/>
              <w:rPr>
                <w:rFonts w:cs="Times New Roman"/>
                <w:sz w:val="21"/>
                <w:szCs w:val="21"/>
              </w:rPr>
            </w:pPr>
            <w:r>
              <w:rPr>
                <w:rFonts w:hint="eastAsia" w:cs="Times New Roman"/>
                <w:sz w:val="21"/>
                <w:szCs w:val="21"/>
              </w:rPr>
              <w:t>119.372915</w:t>
            </w:r>
          </w:p>
        </w:tc>
        <w:tc>
          <w:tcPr>
            <w:tcW w:w="1690" w:type="dxa"/>
            <w:noWrap/>
            <w:vAlign w:val="center"/>
          </w:tcPr>
          <w:p w14:paraId="74D49B14">
            <w:pPr>
              <w:spacing w:line="240" w:lineRule="auto"/>
              <w:ind w:firstLine="0" w:firstLineChars="0"/>
              <w:jc w:val="center"/>
              <w:rPr>
                <w:rFonts w:cs="Times New Roman"/>
                <w:sz w:val="21"/>
                <w:szCs w:val="21"/>
              </w:rPr>
            </w:pPr>
            <w:r>
              <w:rPr>
                <w:rFonts w:hint="eastAsia" w:cs="Times New Roman"/>
                <w:sz w:val="21"/>
                <w:szCs w:val="21"/>
              </w:rPr>
              <w:t>31.722551</w:t>
            </w:r>
          </w:p>
        </w:tc>
        <w:tc>
          <w:tcPr>
            <w:tcW w:w="1080" w:type="dxa"/>
            <w:noWrap/>
            <w:vAlign w:val="center"/>
          </w:tcPr>
          <w:p w14:paraId="4A7BBDA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B57F403">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28067722">
            <w:pPr>
              <w:spacing w:line="240" w:lineRule="auto"/>
              <w:ind w:firstLine="0" w:firstLineChars="0"/>
              <w:jc w:val="center"/>
              <w:rPr>
                <w:rFonts w:cs="Times New Roman"/>
                <w:sz w:val="21"/>
                <w:szCs w:val="21"/>
              </w:rPr>
            </w:pPr>
            <w:r>
              <w:rPr>
                <w:rFonts w:hint="eastAsia" w:cs="Times New Roman"/>
                <w:sz w:val="21"/>
                <w:szCs w:val="21"/>
              </w:rPr>
              <w:t>990</w:t>
            </w:r>
          </w:p>
        </w:tc>
        <w:tc>
          <w:tcPr>
            <w:tcW w:w="1168" w:type="dxa"/>
            <w:noWrap/>
            <w:vAlign w:val="center"/>
          </w:tcPr>
          <w:p w14:paraId="05756AC9">
            <w:pPr>
              <w:spacing w:line="240" w:lineRule="auto"/>
              <w:ind w:firstLine="0" w:firstLineChars="0"/>
              <w:jc w:val="center"/>
              <w:rPr>
                <w:rFonts w:cs="Times New Roman"/>
                <w:sz w:val="21"/>
                <w:szCs w:val="21"/>
              </w:rPr>
            </w:pPr>
            <w:r>
              <w:rPr>
                <w:rFonts w:hint="eastAsia" w:cs="Times New Roman"/>
                <w:sz w:val="21"/>
                <w:szCs w:val="21"/>
              </w:rPr>
              <w:t>约200</w:t>
            </w:r>
          </w:p>
        </w:tc>
      </w:tr>
      <w:tr w14:paraId="6426F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C091657">
            <w:pPr>
              <w:pStyle w:val="39"/>
              <w:numPr>
                <w:ilvl w:val="0"/>
                <w:numId w:val="7"/>
              </w:numPr>
              <w:spacing w:line="240" w:lineRule="auto"/>
              <w:ind w:firstLineChars="0"/>
              <w:jc w:val="center"/>
              <w:rPr>
                <w:rFonts w:cs="Times New Roman"/>
                <w:sz w:val="21"/>
                <w:szCs w:val="21"/>
              </w:rPr>
            </w:pPr>
          </w:p>
        </w:tc>
        <w:tc>
          <w:tcPr>
            <w:tcW w:w="992" w:type="dxa"/>
            <w:noWrap/>
            <w:vAlign w:val="center"/>
          </w:tcPr>
          <w:p w14:paraId="1946DD8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DD9EC1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7F7968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8743D79">
            <w:pPr>
              <w:spacing w:line="240" w:lineRule="auto"/>
              <w:ind w:firstLine="0" w:firstLineChars="0"/>
              <w:jc w:val="center"/>
              <w:rPr>
                <w:rFonts w:cs="Times New Roman"/>
                <w:sz w:val="21"/>
                <w:szCs w:val="21"/>
              </w:rPr>
            </w:pPr>
            <w:r>
              <w:rPr>
                <w:rFonts w:hint="eastAsia" w:cs="Times New Roman"/>
                <w:sz w:val="21"/>
                <w:szCs w:val="21"/>
              </w:rPr>
              <w:t>薛埠村北</w:t>
            </w:r>
          </w:p>
        </w:tc>
        <w:tc>
          <w:tcPr>
            <w:tcW w:w="1701" w:type="dxa"/>
            <w:noWrap/>
            <w:vAlign w:val="center"/>
          </w:tcPr>
          <w:p w14:paraId="7FE093E3">
            <w:pPr>
              <w:spacing w:line="240" w:lineRule="auto"/>
              <w:ind w:firstLine="0" w:firstLineChars="0"/>
              <w:jc w:val="center"/>
              <w:rPr>
                <w:rFonts w:cs="Times New Roman"/>
                <w:sz w:val="21"/>
                <w:szCs w:val="21"/>
              </w:rPr>
            </w:pPr>
            <w:r>
              <w:rPr>
                <w:rFonts w:hint="eastAsia" w:cs="Times New Roman"/>
                <w:sz w:val="21"/>
                <w:szCs w:val="21"/>
              </w:rPr>
              <w:t>119.370666</w:t>
            </w:r>
          </w:p>
        </w:tc>
        <w:tc>
          <w:tcPr>
            <w:tcW w:w="1690" w:type="dxa"/>
            <w:noWrap/>
            <w:vAlign w:val="center"/>
          </w:tcPr>
          <w:p w14:paraId="4AC72D5E">
            <w:pPr>
              <w:spacing w:line="240" w:lineRule="auto"/>
              <w:ind w:firstLine="0" w:firstLineChars="0"/>
              <w:jc w:val="center"/>
              <w:rPr>
                <w:rFonts w:cs="Times New Roman"/>
                <w:sz w:val="21"/>
                <w:szCs w:val="21"/>
              </w:rPr>
            </w:pPr>
            <w:r>
              <w:rPr>
                <w:rFonts w:hint="eastAsia" w:cs="Times New Roman"/>
                <w:sz w:val="21"/>
                <w:szCs w:val="21"/>
              </w:rPr>
              <w:t>31.724623</w:t>
            </w:r>
          </w:p>
        </w:tc>
        <w:tc>
          <w:tcPr>
            <w:tcW w:w="1080" w:type="dxa"/>
            <w:noWrap/>
            <w:vAlign w:val="center"/>
          </w:tcPr>
          <w:p w14:paraId="760E2FB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A361DF8">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7BE0D862">
            <w:pPr>
              <w:spacing w:line="240" w:lineRule="auto"/>
              <w:ind w:firstLine="0" w:firstLineChars="0"/>
              <w:jc w:val="center"/>
              <w:rPr>
                <w:rFonts w:cs="Times New Roman"/>
                <w:sz w:val="21"/>
                <w:szCs w:val="21"/>
              </w:rPr>
            </w:pPr>
            <w:r>
              <w:rPr>
                <w:rFonts w:hint="eastAsia" w:cs="Times New Roman"/>
                <w:sz w:val="21"/>
                <w:szCs w:val="21"/>
              </w:rPr>
              <w:t>770</w:t>
            </w:r>
          </w:p>
        </w:tc>
        <w:tc>
          <w:tcPr>
            <w:tcW w:w="1168" w:type="dxa"/>
            <w:noWrap/>
            <w:vAlign w:val="center"/>
          </w:tcPr>
          <w:p w14:paraId="59C5A719">
            <w:pPr>
              <w:spacing w:line="240" w:lineRule="auto"/>
              <w:ind w:firstLine="0" w:firstLineChars="0"/>
              <w:jc w:val="center"/>
              <w:rPr>
                <w:rFonts w:cs="Times New Roman"/>
                <w:sz w:val="21"/>
                <w:szCs w:val="21"/>
              </w:rPr>
            </w:pPr>
            <w:r>
              <w:rPr>
                <w:rFonts w:hint="eastAsia" w:cs="Times New Roman"/>
                <w:sz w:val="21"/>
                <w:szCs w:val="21"/>
              </w:rPr>
              <w:t>约400</w:t>
            </w:r>
          </w:p>
        </w:tc>
      </w:tr>
      <w:tr w14:paraId="7E0F5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023F675">
            <w:pPr>
              <w:pStyle w:val="39"/>
              <w:numPr>
                <w:ilvl w:val="0"/>
                <w:numId w:val="7"/>
              </w:numPr>
              <w:spacing w:line="240" w:lineRule="auto"/>
              <w:ind w:firstLineChars="0"/>
              <w:jc w:val="center"/>
              <w:rPr>
                <w:rFonts w:cs="Times New Roman"/>
                <w:sz w:val="21"/>
                <w:szCs w:val="21"/>
              </w:rPr>
            </w:pPr>
          </w:p>
        </w:tc>
        <w:tc>
          <w:tcPr>
            <w:tcW w:w="992" w:type="dxa"/>
            <w:noWrap/>
            <w:vAlign w:val="center"/>
          </w:tcPr>
          <w:p w14:paraId="57A6378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6E5BE3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8B2C6B4">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4AF6F47">
            <w:pPr>
              <w:spacing w:line="240" w:lineRule="auto"/>
              <w:ind w:firstLine="0" w:firstLineChars="0"/>
              <w:jc w:val="center"/>
              <w:rPr>
                <w:rFonts w:cs="Times New Roman"/>
                <w:sz w:val="21"/>
                <w:szCs w:val="21"/>
              </w:rPr>
            </w:pPr>
            <w:r>
              <w:rPr>
                <w:rFonts w:hint="eastAsia" w:cs="Times New Roman"/>
                <w:sz w:val="21"/>
                <w:szCs w:val="21"/>
              </w:rPr>
              <w:t>薛埠村南</w:t>
            </w:r>
          </w:p>
        </w:tc>
        <w:tc>
          <w:tcPr>
            <w:tcW w:w="1701" w:type="dxa"/>
            <w:noWrap/>
            <w:vAlign w:val="center"/>
          </w:tcPr>
          <w:p w14:paraId="145F35C2">
            <w:pPr>
              <w:spacing w:line="240" w:lineRule="auto"/>
              <w:ind w:firstLine="0" w:firstLineChars="0"/>
              <w:jc w:val="center"/>
              <w:rPr>
                <w:rFonts w:cs="Times New Roman"/>
                <w:sz w:val="21"/>
                <w:szCs w:val="21"/>
              </w:rPr>
            </w:pPr>
            <w:r>
              <w:rPr>
                <w:rFonts w:hint="eastAsia" w:cs="Times New Roman"/>
                <w:sz w:val="21"/>
                <w:szCs w:val="21"/>
              </w:rPr>
              <w:t>119.369529</w:t>
            </w:r>
          </w:p>
        </w:tc>
        <w:tc>
          <w:tcPr>
            <w:tcW w:w="1690" w:type="dxa"/>
            <w:noWrap/>
            <w:vAlign w:val="center"/>
          </w:tcPr>
          <w:p w14:paraId="7064DF28">
            <w:pPr>
              <w:spacing w:line="240" w:lineRule="auto"/>
              <w:ind w:firstLine="0" w:firstLineChars="0"/>
              <w:jc w:val="center"/>
              <w:rPr>
                <w:rFonts w:cs="Times New Roman"/>
                <w:sz w:val="21"/>
                <w:szCs w:val="21"/>
              </w:rPr>
            </w:pPr>
            <w:r>
              <w:rPr>
                <w:rFonts w:hint="eastAsia" w:cs="Times New Roman"/>
                <w:sz w:val="21"/>
                <w:szCs w:val="21"/>
              </w:rPr>
              <w:t>31.718655</w:t>
            </w:r>
          </w:p>
        </w:tc>
        <w:tc>
          <w:tcPr>
            <w:tcW w:w="1080" w:type="dxa"/>
            <w:noWrap/>
            <w:vAlign w:val="center"/>
          </w:tcPr>
          <w:p w14:paraId="7F05F42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238A2AB">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DF24482">
            <w:pPr>
              <w:spacing w:line="240" w:lineRule="auto"/>
              <w:ind w:firstLine="0" w:firstLineChars="0"/>
              <w:jc w:val="center"/>
              <w:rPr>
                <w:rFonts w:cs="Times New Roman"/>
                <w:sz w:val="21"/>
                <w:szCs w:val="21"/>
              </w:rPr>
            </w:pPr>
            <w:r>
              <w:rPr>
                <w:rFonts w:hint="eastAsia" w:cs="Times New Roman"/>
                <w:sz w:val="21"/>
                <w:szCs w:val="21"/>
              </w:rPr>
              <w:t>1380</w:t>
            </w:r>
          </w:p>
        </w:tc>
        <w:tc>
          <w:tcPr>
            <w:tcW w:w="1168" w:type="dxa"/>
            <w:noWrap/>
            <w:vAlign w:val="center"/>
          </w:tcPr>
          <w:p w14:paraId="1770BB1E">
            <w:pPr>
              <w:spacing w:line="240" w:lineRule="auto"/>
              <w:ind w:firstLine="0" w:firstLineChars="0"/>
              <w:jc w:val="center"/>
              <w:rPr>
                <w:rFonts w:cs="Times New Roman"/>
                <w:sz w:val="21"/>
                <w:szCs w:val="21"/>
              </w:rPr>
            </w:pPr>
            <w:r>
              <w:rPr>
                <w:rFonts w:hint="eastAsia" w:cs="Times New Roman"/>
                <w:sz w:val="21"/>
                <w:szCs w:val="21"/>
              </w:rPr>
              <w:t>约1500</w:t>
            </w:r>
          </w:p>
        </w:tc>
      </w:tr>
      <w:tr w14:paraId="5E7D8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94EBF95">
            <w:pPr>
              <w:pStyle w:val="39"/>
              <w:numPr>
                <w:ilvl w:val="0"/>
                <w:numId w:val="7"/>
              </w:numPr>
              <w:spacing w:line="240" w:lineRule="auto"/>
              <w:ind w:firstLineChars="0"/>
              <w:jc w:val="center"/>
              <w:rPr>
                <w:rFonts w:cs="Times New Roman"/>
                <w:sz w:val="21"/>
                <w:szCs w:val="21"/>
              </w:rPr>
            </w:pPr>
          </w:p>
        </w:tc>
        <w:tc>
          <w:tcPr>
            <w:tcW w:w="992" w:type="dxa"/>
            <w:noWrap/>
            <w:vAlign w:val="center"/>
          </w:tcPr>
          <w:p w14:paraId="6C82D77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53CC49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799685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843BE9A">
            <w:pPr>
              <w:spacing w:line="240" w:lineRule="auto"/>
              <w:ind w:firstLine="0" w:firstLineChars="0"/>
              <w:jc w:val="center"/>
              <w:rPr>
                <w:rFonts w:cs="Times New Roman"/>
                <w:sz w:val="21"/>
                <w:szCs w:val="21"/>
              </w:rPr>
            </w:pPr>
            <w:r>
              <w:rPr>
                <w:rFonts w:hint="eastAsia" w:cs="Times New Roman"/>
                <w:sz w:val="21"/>
                <w:szCs w:val="21"/>
              </w:rPr>
              <w:t>薛埠村村委</w:t>
            </w:r>
          </w:p>
        </w:tc>
        <w:tc>
          <w:tcPr>
            <w:tcW w:w="1701" w:type="dxa"/>
            <w:noWrap/>
            <w:vAlign w:val="center"/>
          </w:tcPr>
          <w:p w14:paraId="2CF0C165">
            <w:pPr>
              <w:spacing w:line="240" w:lineRule="auto"/>
              <w:ind w:firstLine="0" w:firstLineChars="0"/>
              <w:jc w:val="center"/>
              <w:rPr>
                <w:rFonts w:cs="Times New Roman"/>
                <w:sz w:val="21"/>
                <w:szCs w:val="21"/>
              </w:rPr>
            </w:pPr>
            <w:r>
              <w:rPr>
                <w:rFonts w:hint="eastAsia" w:cs="Times New Roman"/>
                <w:sz w:val="21"/>
                <w:szCs w:val="21"/>
              </w:rPr>
              <w:t>119.375587</w:t>
            </w:r>
          </w:p>
        </w:tc>
        <w:tc>
          <w:tcPr>
            <w:tcW w:w="1690" w:type="dxa"/>
            <w:noWrap/>
            <w:vAlign w:val="center"/>
          </w:tcPr>
          <w:p w14:paraId="34B94669">
            <w:pPr>
              <w:spacing w:line="240" w:lineRule="auto"/>
              <w:ind w:firstLine="0" w:firstLineChars="0"/>
              <w:jc w:val="center"/>
              <w:rPr>
                <w:rFonts w:cs="Times New Roman"/>
                <w:sz w:val="21"/>
                <w:szCs w:val="21"/>
              </w:rPr>
            </w:pPr>
            <w:r>
              <w:rPr>
                <w:rFonts w:hint="eastAsia" w:cs="Times New Roman"/>
                <w:sz w:val="21"/>
                <w:szCs w:val="21"/>
              </w:rPr>
              <w:t>31.72597</w:t>
            </w:r>
          </w:p>
        </w:tc>
        <w:tc>
          <w:tcPr>
            <w:tcW w:w="1080" w:type="dxa"/>
            <w:noWrap/>
            <w:vAlign w:val="center"/>
          </w:tcPr>
          <w:p w14:paraId="2E9F0BC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D49F07A">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3C73C44D">
            <w:pPr>
              <w:spacing w:line="240" w:lineRule="auto"/>
              <w:ind w:firstLine="0" w:firstLineChars="0"/>
              <w:jc w:val="center"/>
              <w:rPr>
                <w:rFonts w:cs="Times New Roman"/>
                <w:sz w:val="21"/>
                <w:szCs w:val="21"/>
              </w:rPr>
            </w:pPr>
            <w:r>
              <w:rPr>
                <w:rFonts w:hint="eastAsia" w:cs="Times New Roman"/>
                <w:sz w:val="21"/>
                <w:szCs w:val="21"/>
              </w:rPr>
              <w:t>710</w:t>
            </w:r>
          </w:p>
        </w:tc>
        <w:tc>
          <w:tcPr>
            <w:tcW w:w="1168" w:type="dxa"/>
            <w:noWrap/>
            <w:vAlign w:val="center"/>
          </w:tcPr>
          <w:p w14:paraId="55D9F95D">
            <w:pPr>
              <w:spacing w:line="240" w:lineRule="auto"/>
              <w:ind w:firstLine="0" w:firstLineChars="0"/>
              <w:jc w:val="center"/>
              <w:rPr>
                <w:rFonts w:cs="Times New Roman"/>
                <w:sz w:val="21"/>
                <w:szCs w:val="21"/>
              </w:rPr>
            </w:pPr>
            <w:r>
              <w:rPr>
                <w:rFonts w:hint="eastAsia" w:cs="Times New Roman"/>
                <w:sz w:val="21"/>
                <w:szCs w:val="21"/>
              </w:rPr>
              <w:t>约300</w:t>
            </w:r>
          </w:p>
        </w:tc>
      </w:tr>
      <w:tr w14:paraId="7F1E7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C8E8E8E">
            <w:pPr>
              <w:pStyle w:val="39"/>
              <w:numPr>
                <w:ilvl w:val="0"/>
                <w:numId w:val="7"/>
              </w:numPr>
              <w:spacing w:line="240" w:lineRule="auto"/>
              <w:ind w:firstLineChars="0"/>
              <w:jc w:val="center"/>
              <w:rPr>
                <w:rFonts w:cs="Times New Roman"/>
                <w:sz w:val="21"/>
                <w:szCs w:val="21"/>
              </w:rPr>
            </w:pPr>
          </w:p>
        </w:tc>
        <w:tc>
          <w:tcPr>
            <w:tcW w:w="992" w:type="dxa"/>
            <w:noWrap/>
            <w:vAlign w:val="center"/>
          </w:tcPr>
          <w:p w14:paraId="7FC3484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A60D84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81C0F5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CC1D7D7">
            <w:pPr>
              <w:spacing w:line="240" w:lineRule="auto"/>
              <w:ind w:firstLine="0" w:firstLineChars="0"/>
              <w:jc w:val="center"/>
              <w:rPr>
                <w:rFonts w:cs="Times New Roman"/>
                <w:sz w:val="21"/>
                <w:szCs w:val="21"/>
              </w:rPr>
            </w:pPr>
            <w:r>
              <w:rPr>
                <w:rFonts w:hint="eastAsia" w:cs="Times New Roman"/>
                <w:sz w:val="21"/>
                <w:szCs w:val="21"/>
              </w:rPr>
              <w:t>刘家棚</w:t>
            </w:r>
          </w:p>
        </w:tc>
        <w:tc>
          <w:tcPr>
            <w:tcW w:w="1701" w:type="dxa"/>
            <w:noWrap/>
            <w:vAlign w:val="center"/>
          </w:tcPr>
          <w:p w14:paraId="1C4F10C8">
            <w:pPr>
              <w:spacing w:line="240" w:lineRule="auto"/>
              <w:ind w:firstLine="0" w:firstLineChars="0"/>
              <w:jc w:val="center"/>
              <w:rPr>
                <w:rFonts w:cs="Times New Roman"/>
                <w:sz w:val="21"/>
                <w:szCs w:val="21"/>
              </w:rPr>
            </w:pPr>
            <w:r>
              <w:rPr>
                <w:rFonts w:hint="eastAsia" w:cs="Times New Roman"/>
                <w:sz w:val="21"/>
                <w:szCs w:val="21"/>
              </w:rPr>
              <w:t>119.375874</w:t>
            </w:r>
          </w:p>
        </w:tc>
        <w:tc>
          <w:tcPr>
            <w:tcW w:w="1690" w:type="dxa"/>
            <w:noWrap/>
            <w:vAlign w:val="center"/>
          </w:tcPr>
          <w:p w14:paraId="550AEE66">
            <w:pPr>
              <w:spacing w:line="240" w:lineRule="auto"/>
              <w:ind w:firstLine="0" w:firstLineChars="0"/>
              <w:jc w:val="center"/>
              <w:rPr>
                <w:rFonts w:cs="Times New Roman"/>
                <w:sz w:val="21"/>
                <w:szCs w:val="21"/>
              </w:rPr>
            </w:pPr>
            <w:r>
              <w:rPr>
                <w:rFonts w:hint="eastAsia" w:cs="Times New Roman"/>
                <w:sz w:val="21"/>
                <w:szCs w:val="21"/>
              </w:rPr>
              <w:t>31.729483</w:t>
            </w:r>
          </w:p>
        </w:tc>
        <w:tc>
          <w:tcPr>
            <w:tcW w:w="1080" w:type="dxa"/>
            <w:noWrap/>
            <w:vAlign w:val="center"/>
          </w:tcPr>
          <w:p w14:paraId="310C499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3BC9E77">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713F6D07">
            <w:pPr>
              <w:spacing w:line="240" w:lineRule="auto"/>
              <w:ind w:firstLine="0" w:firstLineChars="0"/>
              <w:jc w:val="center"/>
              <w:rPr>
                <w:rFonts w:cs="Times New Roman"/>
                <w:sz w:val="21"/>
                <w:szCs w:val="21"/>
              </w:rPr>
            </w:pPr>
            <w:r>
              <w:rPr>
                <w:rFonts w:hint="eastAsia" w:cs="Times New Roman"/>
                <w:sz w:val="21"/>
                <w:szCs w:val="21"/>
              </w:rPr>
              <w:t>220</w:t>
            </w:r>
          </w:p>
        </w:tc>
        <w:tc>
          <w:tcPr>
            <w:tcW w:w="1168" w:type="dxa"/>
            <w:noWrap/>
            <w:vAlign w:val="center"/>
          </w:tcPr>
          <w:p w14:paraId="330B1A38">
            <w:pPr>
              <w:spacing w:line="240" w:lineRule="auto"/>
              <w:ind w:firstLine="0" w:firstLineChars="0"/>
              <w:jc w:val="center"/>
              <w:rPr>
                <w:rFonts w:cs="Times New Roman"/>
                <w:sz w:val="21"/>
                <w:szCs w:val="21"/>
              </w:rPr>
            </w:pPr>
            <w:r>
              <w:rPr>
                <w:rFonts w:hint="eastAsia" w:cs="Times New Roman"/>
                <w:sz w:val="21"/>
                <w:szCs w:val="21"/>
              </w:rPr>
              <w:t>约50</w:t>
            </w:r>
          </w:p>
        </w:tc>
      </w:tr>
      <w:tr w14:paraId="01DDF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EDCEA47">
            <w:pPr>
              <w:pStyle w:val="39"/>
              <w:numPr>
                <w:ilvl w:val="0"/>
                <w:numId w:val="7"/>
              </w:numPr>
              <w:spacing w:line="240" w:lineRule="auto"/>
              <w:ind w:firstLineChars="0"/>
              <w:jc w:val="center"/>
              <w:rPr>
                <w:rFonts w:cs="Times New Roman"/>
                <w:sz w:val="21"/>
                <w:szCs w:val="21"/>
              </w:rPr>
            </w:pPr>
          </w:p>
        </w:tc>
        <w:tc>
          <w:tcPr>
            <w:tcW w:w="992" w:type="dxa"/>
            <w:noWrap/>
            <w:vAlign w:val="center"/>
          </w:tcPr>
          <w:p w14:paraId="30FBF1C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3C44A7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4B8FFE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493AB28">
            <w:pPr>
              <w:spacing w:line="240" w:lineRule="auto"/>
              <w:ind w:firstLine="0" w:firstLineChars="0"/>
              <w:jc w:val="center"/>
              <w:rPr>
                <w:rFonts w:cs="Times New Roman"/>
                <w:sz w:val="21"/>
                <w:szCs w:val="21"/>
              </w:rPr>
            </w:pPr>
            <w:r>
              <w:rPr>
                <w:rFonts w:hint="eastAsia" w:cs="Times New Roman"/>
                <w:sz w:val="21"/>
                <w:szCs w:val="21"/>
              </w:rPr>
              <w:t>北山</w:t>
            </w:r>
          </w:p>
        </w:tc>
        <w:tc>
          <w:tcPr>
            <w:tcW w:w="1701" w:type="dxa"/>
            <w:noWrap/>
            <w:vAlign w:val="center"/>
          </w:tcPr>
          <w:p w14:paraId="2702D27A">
            <w:pPr>
              <w:spacing w:line="240" w:lineRule="auto"/>
              <w:ind w:firstLine="0" w:firstLineChars="0"/>
              <w:jc w:val="center"/>
              <w:rPr>
                <w:rFonts w:cs="Times New Roman"/>
                <w:sz w:val="21"/>
                <w:szCs w:val="21"/>
              </w:rPr>
            </w:pPr>
            <w:r>
              <w:rPr>
                <w:rFonts w:hint="eastAsia" w:cs="Times New Roman"/>
                <w:sz w:val="21"/>
                <w:szCs w:val="21"/>
              </w:rPr>
              <w:t>119.372964</w:t>
            </w:r>
          </w:p>
        </w:tc>
        <w:tc>
          <w:tcPr>
            <w:tcW w:w="1690" w:type="dxa"/>
            <w:noWrap/>
            <w:vAlign w:val="center"/>
          </w:tcPr>
          <w:p w14:paraId="3DAE6333">
            <w:pPr>
              <w:spacing w:line="240" w:lineRule="auto"/>
              <w:ind w:firstLine="0" w:firstLineChars="0"/>
              <w:jc w:val="center"/>
              <w:rPr>
                <w:rFonts w:cs="Times New Roman"/>
                <w:sz w:val="21"/>
                <w:szCs w:val="21"/>
              </w:rPr>
            </w:pPr>
            <w:r>
              <w:rPr>
                <w:rFonts w:hint="eastAsia" w:cs="Times New Roman"/>
                <w:sz w:val="21"/>
                <w:szCs w:val="21"/>
              </w:rPr>
              <w:t>31.728691</w:t>
            </w:r>
          </w:p>
        </w:tc>
        <w:tc>
          <w:tcPr>
            <w:tcW w:w="1080" w:type="dxa"/>
            <w:noWrap/>
            <w:vAlign w:val="center"/>
          </w:tcPr>
          <w:p w14:paraId="75B761C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EA0270D">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2404A10A">
            <w:pPr>
              <w:spacing w:line="240" w:lineRule="auto"/>
              <w:ind w:firstLine="0" w:firstLineChars="0"/>
              <w:jc w:val="center"/>
              <w:rPr>
                <w:rFonts w:cs="Times New Roman"/>
                <w:sz w:val="21"/>
                <w:szCs w:val="21"/>
              </w:rPr>
            </w:pPr>
            <w:r>
              <w:rPr>
                <w:rFonts w:hint="eastAsia" w:cs="Times New Roman"/>
                <w:sz w:val="21"/>
                <w:szCs w:val="21"/>
              </w:rPr>
              <w:t>480</w:t>
            </w:r>
          </w:p>
        </w:tc>
        <w:tc>
          <w:tcPr>
            <w:tcW w:w="1168" w:type="dxa"/>
            <w:noWrap/>
            <w:vAlign w:val="center"/>
          </w:tcPr>
          <w:p w14:paraId="27AD0F71">
            <w:pPr>
              <w:spacing w:line="240" w:lineRule="auto"/>
              <w:ind w:firstLine="0" w:firstLineChars="0"/>
              <w:jc w:val="center"/>
              <w:rPr>
                <w:rFonts w:cs="Times New Roman"/>
                <w:sz w:val="21"/>
                <w:szCs w:val="21"/>
              </w:rPr>
            </w:pPr>
            <w:r>
              <w:rPr>
                <w:rFonts w:hint="eastAsia" w:cs="Times New Roman"/>
                <w:sz w:val="21"/>
                <w:szCs w:val="21"/>
              </w:rPr>
              <w:t>约70</w:t>
            </w:r>
          </w:p>
        </w:tc>
      </w:tr>
      <w:tr w14:paraId="52E29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40B0DCC">
            <w:pPr>
              <w:pStyle w:val="39"/>
              <w:numPr>
                <w:ilvl w:val="0"/>
                <w:numId w:val="7"/>
              </w:numPr>
              <w:spacing w:line="240" w:lineRule="auto"/>
              <w:ind w:firstLineChars="0"/>
              <w:jc w:val="center"/>
              <w:rPr>
                <w:rFonts w:cs="Times New Roman"/>
                <w:sz w:val="21"/>
                <w:szCs w:val="21"/>
              </w:rPr>
            </w:pPr>
          </w:p>
        </w:tc>
        <w:tc>
          <w:tcPr>
            <w:tcW w:w="992" w:type="dxa"/>
            <w:noWrap/>
            <w:vAlign w:val="center"/>
          </w:tcPr>
          <w:p w14:paraId="5065399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CC17F2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A00AE1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3BB671C">
            <w:pPr>
              <w:spacing w:line="240" w:lineRule="auto"/>
              <w:ind w:firstLine="0" w:firstLineChars="0"/>
              <w:jc w:val="center"/>
              <w:rPr>
                <w:rFonts w:cs="Times New Roman"/>
                <w:sz w:val="21"/>
                <w:szCs w:val="21"/>
              </w:rPr>
            </w:pPr>
            <w:r>
              <w:rPr>
                <w:rFonts w:hint="eastAsia" w:cs="Times New Roman"/>
                <w:sz w:val="21"/>
                <w:szCs w:val="21"/>
              </w:rPr>
              <w:t>上阳</w:t>
            </w:r>
          </w:p>
        </w:tc>
        <w:tc>
          <w:tcPr>
            <w:tcW w:w="1701" w:type="dxa"/>
            <w:noWrap/>
            <w:vAlign w:val="center"/>
          </w:tcPr>
          <w:p w14:paraId="74B9FA3F">
            <w:pPr>
              <w:spacing w:line="240" w:lineRule="auto"/>
              <w:ind w:firstLine="0" w:firstLineChars="0"/>
              <w:jc w:val="center"/>
              <w:rPr>
                <w:rFonts w:cs="Times New Roman"/>
                <w:sz w:val="21"/>
                <w:szCs w:val="21"/>
              </w:rPr>
            </w:pPr>
            <w:r>
              <w:rPr>
                <w:rFonts w:hint="eastAsia" w:cs="Times New Roman"/>
                <w:sz w:val="21"/>
                <w:szCs w:val="21"/>
              </w:rPr>
              <w:t>119.369416</w:t>
            </w:r>
          </w:p>
        </w:tc>
        <w:tc>
          <w:tcPr>
            <w:tcW w:w="1690" w:type="dxa"/>
            <w:noWrap/>
            <w:vAlign w:val="center"/>
          </w:tcPr>
          <w:p w14:paraId="5BE012B3">
            <w:pPr>
              <w:spacing w:line="240" w:lineRule="auto"/>
              <w:ind w:firstLine="0" w:firstLineChars="0"/>
              <w:jc w:val="center"/>
              <w:rPr>
                <w:rFonts w:cs="Times New Roman"/>
                <w:sz w:val="21"/>
                <w:szCs w:val="21"/>
              </w:rPr>
            </w:pPr>
            <w:r>
              <w:rPr>
                <w:rFonts w:hint="eastAsia" w:cs="Times New Roman"/>
                <w:sz w:val="21"/>
                <w:szCs w:val="21"/>
              </w:rPr>
              <w:t>31.729726</w:t>
            </w:r>
          </w:p>
        </w:tc>
        <w:tc>
          <w:tcPr>
            <w:tcW w:w="1080" w:type="dxa"/>
            <w:noWrap/>
            <w:vAlign w:val="center"/>
          </w:tcPr>
          <w:p w14:paraId="6629699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7436A73">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2A977A59">
            <w:pPr>
              <w:spacing w:line="240" w:lineRule="auto"/>
              <w:ind w:firstLine="0" w:firstLineChars="0"/>
              <w:jc w:val="center"/>
              <w:rPr>
                <w:rFonts w:cs="Times New Roman"/>
                <w:sz w:val="21"/>
                <w:szCs w:val="21"/>
              </w:rPr>
            </w:pPr>
            <w:r>
              <w:rPr>
                <w:rFonts w:hint="eastAsia" w:cs="Times New Roman"/>
                <w:sz w:val="21"/>
                <w:szCs w:val="21"/>
              </w:rPr>
              <w:t>210</w:t>
            </w:r>
          </w:p>
        </w:tc>
        <w:tc>
          <w:tcPr>
            <w:tcW w:w="1168" w:type="dxa"/>
            <w:noWrap/>
            <w:vAlign w:val="center"/>
          </w:tcPr>
          <w:p w14:paraId="79118240">
            <w:pPr>
              <w:spacing w:line="240" w:lineRule="auto"/>
              <w:ind w:firstLine="0" w:firstLineChars="0"/>
              <w:jc w:val="center"/>
              <w:rPr>
                <w:rFonts w:cs="Times New Roman"/>
                <w:sz w:val="21"/>
                <w:szCs w:val="21"/>
              </w:rPr>
            </w:pPr>
            <w:r>
              <w:rPr>
                <w:rFonts w:hint="eastAsia" w:cs="Times New Roman"/>
                <w:sz w:val="21"/>
                <w:szCs w:val="21"/>
              </w:rPr>
              <w:t>约80</w:t>
            </w:r>
          </w:p>
        </w:tc>
      </w:tr>
      <w:tr w14:paraId="67B68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6E2E3A6">
            <w:pPr>
              <w:pStyle w:val="39"/>
              <w:numPr>
                <w:ilvl w:val="0"/>
                <w:numId w:val="7"/>
              </w:numPr>
              <w:spacing w:line="240" w:lineRule="auto"/>
              <w:ind w:firstLineChars="0"/>
              <w:jc w:val="center"/>
              <w:rPr>
                <w:rFonts w:cs="Times New Roman"/>
                <w:sz w:val="21"/>
                <w:szCs w:val="21"/>
              </w:rPr>
            </w:pPr>
          </w:p>
        </w:tc>
        <w:tc>
          <w:tcPr>
            <w:tcW w:w="992" w:type="dxa"/>
            <w:noWrap/>
            <w:vAlign w:val="center"/>
          </w:tcPr>
          <w:p w14:paraId="637D7DD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48A4AB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C8A3F1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AA1F4E1">
            <w:pPr>
              <w:spacing w:line="240" w:lineRule="auto"/>
              <w:ind w:firstLine="0" w:firstLineChars="0"/>
              <w:jc w:val="center"/>
              <w:rPr>
                <w:rFonts w:cs="Times New Roman"/>
                <w:sz w:val="21"/>
                <w:szCs w:val="21"/>
              </w:rPr>
            </w:pPr>
            <w:r>
              <w:rPr>
                <w:rFonts w:hint="eastAsia" w:cs="Times New Roman"/>
                <w:sz w:val="21"/>
                <w:szCs w:val="21"/>
              </w:rPr>
              <w:t>下元头</w:t>
            </w:r>
          </w:p>
        </w:tc>
        <w:tc>
          <w:tcPr>
            <w:tcW w:w="1701" w:type="dxa"/>
            <w:noWrap/>
            <w:vAlign w:val="center"/>
          </w:tcPr>
          <w:p w14:paraId="170FE4BF">
            <w:pPr>
              <w:spacing w:line="240" w:lineRule="auto"/>
              <w:ind w:firstLine="0" w:firstLineChars="0"/>
              <w:jc w:val="center"/>
              <w:rPr>
                <w:rFonts w:cs="Times New Roman"/>
                <w:sz w:val="21"/>
                <w:szCs w:val="21"/>
              </w:rPr>
            </w:pPr>
            <w:r>
              <w:rPr>
                <w:rFonts w:hint="eastAsia" w:cs="Times New Roman"/>
                <w:sz w:val="21"/>
                <w:szCs w:val="21"/>
              </w:rPr>
              <w:t>119.405636</w:t>
            </w:r>
          </w:p>
        </w:tc>
        <w:tc>
          <w:tcPr>
            <w:tcW w:w="1690" w:type="dxa"/>
            <w:noWrap/>
            <w:vAlign w:val="center"/>
          </w:tcPr>
          <w:p w14:paraId="15BD14E8">
            <w:pPr>
              <w:spacing w:line="240" w:lineRule="auto"/>
              <w:ind w:firstLine="0" w:firstLineChars="0"/>
              <w:jc w:val="center"/>
              <w:rPr>
                <w:rFonts w:cs="Times New Roman"/>
                <w:sz w:val="21"/>
                <w:szCs w:val="21"/>
              </w:rPr>
            </w:pPr>
            <w:r>
              <w:rPr>
                <w:rFonts w:hint="eastAsia" w:cs="Times New Roman"/>
                <w:sz w:val="21"/>
                <w:szCs w:val="21"/>
              </w:rPr>
              <w:t>31.695786</w:t>
            </w:r>
          </w:p>
        </w:tc>
        <w:tc>
          <w:tcPr>
            <w:tcW w:w="1080" w:type="dxa"/>
            <w:noWrap/>
            <w:vAlign w:val="center"/>
          </w:tcPr>
          <w:p w14:paraId="1DD91ED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FA6E04F">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FB3EC08">
            <w:pPr>
              <w:spacing w:line="240" w:lineRule="auto"/>
              <w:ind w:firstLine="0" w:firstLineChars="0"/>
              <w:jc w:val="center"/>
              <w:rPr>
                <w:rFonts w:cs="Times New Roman"/>
                <w:sz w:val="21"/>
                <w:szCs w:val="21"/>
              </w:rPr>
            </w:pPr>
            <w:r>
              <w:rPr>
                <w:rFonts w:hint="eastAsia" w:cs="Times New Roman"/>
                <w:sz w:val="21"/>
                <w:szCs w:val="21"/>
              </w:rPr>
              <w:t>1110</w:t>
            </w:r>
          </w:p>
        </w:tc>
        <w:tc>
          <w:tcPr>
            <w:tcW w:w="1168" w:type="dxa"/>
            <w:noWrap/>
            <w:vAlign w:val="center"/>
          </w:tcPr>
          <w:p w14:paraId="62BEC430">
            <w:pPr>
              <w:spacing w:line="240" w:lineRule="auto"/>
              <w:ind w:firstLine="0" w:firstLineChars="0"/>
              <w:jc w:val="center"/>
              <w:rPr>
                <w:rFonts w:cs="Times New Roman"/>
                <w:sz w:val="21"/>
                <w:szCs w:val="21"/>
              </w:rPr>
            </w:pPr>
            <w:r>
              <w:rPr>
                <w:rFonts w:hint="eastAsia" w:cs="Times New Roman"/>
                <w:sz w:val="21"/>
                <w:szCs w:val="21"/>
              </w:rPr>
              <w:t>约200</w:t>
            </w:r>
          </w:p>
        </w:tc>
      </w:tr>
      <w:tr w14:paraId="762C6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07B0E95">
            <w:pPr>
              <w:pStyle w:val="39"/>
              <w:numPr>
                <w:ilvl w:val="0"/>
                <w:numId w:val="7"/>
              </w:numPr>
              <w:spacing w:line="240" w:lineRule="auto"/>
              <w:ind w:firstLineChars="0"/>
              <w:jc w:val="center"/>
              <w:rPr>
                <w:rFonts w:cs="Times New Roman"/>
                <w:sz w:val="21"/>
                <w:szCs w:val="21"/>
              </w:rPr>
            </w:pPr>
          </w:p>
        </w:tc>
        <w:tc>
          <w:tcPr>
            <w:tcW w:w="992" w:type="dxa"/>
            <w:noWrap/>
            <w:vAlign w:val="center"/>
          </w:tcPr>
          <w:p w14:paraId="0BB2AD9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8AAEF9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538E5B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875587A">
            <w:pPr>
              <w:spacing w:line="240" w:lineRule="auto"/>
              <w:ind w:firstLine="0" w:firstLineChars="0"/>
              <w:jc w:val="center"/>
              <w:rPr>
                <w:rFonts w:cs="Times New Roman"/>
                <w:sz w:val="21"/>
                <w:szCs w:val="21"/>
              </w:rPr>
            </w:pPr>
            <w:r>
              <w:rPr>
                <w:rFonts w:hint="eastAsia" w:cs="Times New Roman"/>
                <w:sz w:val="21"/>
                <w:szCs w:val="21"/>
              </w:rPr>
              <w:t>东岗</w:t>
            </w:r>
          </w:p>
        </w:tc>
        <w:tc>
          <w:tcPr>
            <w:tcW w:w="1701" w:type="dxa"/>
            <w:noWrap/>
            <w:vAlign w:val="center"/>
          </w:tcPr>
          <w:p w14:paraId="02E80FFC">
            <w:pPr>
              <w:spacing w:line="240" w:lineRule="auto"/>
              <w:ind w:firstLine="0" w:firstLineChars="0"/>
              <w:jc w:val="center"/>
              <w:rPr>
                <w:rFonts w:cs="Times New Roman"/>
                <w:sz w:val="21"/>
                <w:szCs w:val="21"/>
              </w:rPr>
            </w:pPr>
            <w:r>
              <w:rPr>
                <w:rFonts w:hint="eastAsia" w:cs="Times New Roman"/>
                <w:sz w:val="21"/>
                <w:szCs w:val="21"/>
              </w:rPr>
              <w:t>119.406869</w:t>
            </w:r>
          </w:p>
        </w:tc>
        <w:tc>
          <w:tcPr>
            <w:tcW w:w="1690" w:type="dxa"/>
            <w:noWrap/>
            <w:vAlign w:val="center"/>
          </w:tcPr>
          <w:p w14:paraId="7D3B7E41">
            <w:pPr>
              <w:spacing w:line="240" w:lineRule="auto"/>
              <w:ind w:firstLine="0" w:firstLineChars="0"/>
              <w:jc w:val="center"/>
              <w:rPr>
                <w:rFonts w:cs="Times New Roman"/>
                <w:sz w:val="21"/>
                <w:szCs w:val="21"/>
              </w:rPr>
            </w:pPr>
            <w:r>
              <w:rPr>
                <w:rFonts w:hint="eastAsia" w:cs="Times New Roman"/>
                <w:sz w:val="21"/>
                <w:szCs w:val="21"/>
              </w:rPr>
              <w:t>31.689376</w:t>
            </w:r>
          </w:p>
        </w:tc>
        <w:tc>
          <w:tcPr>
            <w:tcW w:w="1080" w:type="dxa"/>
            <w:noWrap/>
            <w:vAlign w:val="center"/>
          </w:tcPr>
          <w:p w14:paraId="6180AC9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9B8ED9C">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56357A2E">
            <w:pPr>
              <w:spacing w:line="240" w:lineRule="auto"/>
              <w:ind w:firstLine="0" w:firstLineChars="0"/>
              <w:jc w:val="center"/>
              <w:rPr>
                <w:rFonts w:cs="Times New Roman"/>
                <w:sz w:val="21"/>
                <w:szCs w:val="21"/>
              </w:rPr>
            </w:pPr>
            <w:r>
              <w:rPr>
                <w:rFonts w:hint="eastAsia" w:cs="Times New Roman"/>
                <w:sz w:val="21"/>
                <w:szCs w:val="21"/>
              </w:rPr>
              <w:t>721</w:t>
            </w:r>
          </w:p>
        </w:tc>
        <w:tc>
          <w:tcPr>
            <w:tcW w:w="1168" w:type="dxa"/>
            <w:noWrap/>
            <w:vAlign w:val="center"/>
          </w:tcPr>
          <w:p w14:paraId="3159DF94">
            <w:pPr>
              <w:spacing w:line="240" w:lineRule="auto"/>
              <w:ind w:firstLine="0" w:firstLineChars="0"/>
              <w:jc w:val="center"/>
              <w:rPr>
                <w:rFonts w:cs="Times New Roman"/>
                <w:sz w:val="21"/>
                <w:szCs w:val="21"/>
              </w:rPr>
            </w:pPr>
            <w:r>
              <w:rPr>
                <w:rFonts w:hint="eastAsia" w:cs="Times New Roman"/>
                <w:sz w:val="21"/>
                <w:szCs w:val="21"/>
              </w:rPr>
              <w:t>约30</w:t>
            </w:r>
          </w:p>
        </w:tc>
      </w:tr>
      <w:tr w14:paraId="506A3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DBA8729">
            <w:pPr>
              <w:pStyle w:val="39"/>
              <w:numPr>
                <w:ilvl w:val="0"/>
                <w:numId w:val="7"/>
              </w:numPr>
              <w:spacing w:line="240" w:lineRule="auto"/>
              <w:ind w:firstLineChars="0"/>
              <w:jc w:val="center"/>
              <w:rPr>
                <w:rFonts w:cs="Times New Roman"/>
                <w:sz w:val="21"/>
                <w:szCs w:val="21"/>
              </w:rPr>
            </w:pPr>
          </w:p>
        </w:tc>
        <w:tc>
          <w:tcPr>
            <w:tcW w:w="992" w:type="dxa"/>
            <w:noWrap/>
            <w:vAlign w:val="center"/>
          </w:tcPr>
          <w:p w14:paraId="0C48877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19938B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4C24572">
            <w:pPr>
              <w:spacing w:line="240" w:lineRule="auto"/>
              <w:ind w:firstLine="0" w:firstLineChars="0"/>
              <w:jc w:val="center"/>
              <w:rPr>
                <w:rFonts w:cs="Times New Roman"/>
                <w:sz w:val="21"/>
                <w:szCs w:val="21"/>
              </w:rPr>
            </w:pPr>
            <w:r>
              <w:rPr>
                <w:rFonts w:hint="eastAsia" w:cs="Times New Roman"/>
                <w:sz w:val="21"/>
                <w:szCs w:val="21"/>
              </w:rPr>
              <w:t>朱林镇</w:t>
            </w:r>
          </w:p>
        </w:tc>
        <w:tc>
          <w:tcPr>
            <w:tcW w:w="2409" w:type="dxa"/>
            <w:noWrap/>
            <w:vAlign w:val="center"/>
          </w:tcPr>
          <w:p w14:paraId="46B517A0">
            <w:pPr>
              <w:spacing w:line="240" w:lineRule="auto"/>
              <w:ind w:firstLine="0" w:firstLineChars="0"/>
              <w:jc w:val="center"/>
              <w:rPr>
                <w:rFonts w:cs="Times New Roman"/>
                <w:sz w:val="21"/>
                <w:szCs w:val="21"/>
              </w:rPr>
            </w:pPr>
            <w:r>
              <w:rPr>
                <w:rFonts w:hint="eastAsia" w:cs="Times New Roman"/>
                <w:sz w:val="21"/>
                <w:szCs w:val="21"/>
              </w:rPr>
              <w:t>登科</w:t>
            </w:r>
          </w:p>
        </w:tc>
        <w:tc>
          <w:tcPr>
            <w:tcW w:w="1701" w:type="dxa"/>
            <w:noWrap/>
            <w:vAlign w:val="center"/>
          </w:tcPr>
          <w:p w14:paraId="5B66A16A">
            <w:pPr>
              <w:spacing w:line="240" w:lineRule="auto"/>
              <w:ind w:firstLine="0" w:firstLineChars="0"/>
              <w:jc w:val="center"/>
              <w:rPr>
                <w:rFonts w:cs="Times New Roman"/>
                <w:sz w:val="21"/>
                <w:szCs w:val="21"/>
              </w:rPr>
            </w:pPr>
            <w:r>
              <w:rPr>
                <w:rFonts w:hint="eastAsia" w:cs="Times New Roman"/>
                <w:sz w:val="21"/>
                <w:szCs w:val="21"/>
              </w:rPr>
              <w:t>119.41513</w:t>
            </w:r>
          </w:p>
        </w:tc>
        <w:tc>
          <w:tcPr>
            <w:tcW w:w="1690" w:type="dxa"/>
            <w:noWrap/>
            <w:vAlign w:val="center"/>
          </w:tcPr>
          <w:p w14:paraId="686E85DC">
            <w:pPr>
              <w:spacing w:line="240" w:lineRule="auto"/>
              <w:ind w:firstLine="0" w:firstLineChars="0"/>
              <w:jc w:val="center"/>
              <w:rPr>
                <w:rFonts w:cs="Times New Roman"/>
                <w:sz w:val="21"/>
                <w:szCs w:val="21"/>
              </w:rPr>
            </w:pPr>
            <w:r>
              <w:rPr>
                <w:rFonts w:hint="eastAsia" w:cs="Times New Roman"/>
                <w:sz w:val="21"/>
                <w:szCs w:val="21"/>
              </w:rPr>
              <w:t>31.691228</w:t>
            </w:r>
          </w:p>
        </w:tc>
        <w:tc>
          <w:tcPr>
            <w:tcW w:w="1080" w:type="dxa"/>
            <w:noWrap/>
            <w:vAlign w:val="center"/>
          </w:tcPr>
          <w:p w14:paraId="096ECB5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119D3C3">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508552D2">
            <w:pPr>
              <w:spacing w:line="240" w:lineRule="auto"/>
              <w:ind w:firstLine="0" w:firstLineChars="0"/>
              <w:jc w:val="center"/>
              <w:rPr>
                <w:rFonts w:cs="Times New Roman"/>
                <w:sz w:val="21"/>
                <w:szCs w:val="21"/>
              </w:rPr>
            </w:pPr>
            <w:r>
              <w:rPr>
                <w:rFonts w:hint="eastAsia" w:cs="Times New Roman"/>
                <w:sz w:val="21"/>
                <w:szCs w:val="21"/>
              </w:rPr>
              <w:t>1590</w:t>
            </w:r>
          </w:p>
        </w:tc>
        <w:tc>
          <w:tcPr>
            <w:tcW w:w="1168" w:type="dxa"/>
            <w:noWrap/>
            <w:vAlign w:val="center"/>
          </w:tcPr>
          <w:p w14:paraId="2D48CC26">
            <w:pPr>
              <w:spacing w:line="240" w:lineRule="auto"/>
              <w:ind w:firstLine="0" w:firstLineChars="0"/>
              <w:jc w:val="center"/>
              <w:rPr>
                <w:rFonts w:cs="Times New Roman"/>
                <w:sz w:val="21"/>
                <w:szCs w:val="21"/>
              </w:rPr>
            </w:pPr>
            <w:r>
              <w:rPr>
                <w:rFonts w:hint="eastAsia" w:cs="Times New Roman"/>
                <w:sz w:val="21"/>
                <w:szCs w:val="21"/>
              </w:rPr>
              <w:t>约40</w:t>
            </w:r>
          </w:p>
        </w:tc>
      </w:tr>
      <w:tr w14:paraId="6FD27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E8EDA86">
            <w:pPr>
              <w:pStyle w:val="39"/>
              <w:numPr>
                <w:ilvl w:val="0"/>
                <w:numId w:val="7"/>
              </w:numPr>
              <w:spacing w:line="240" w:lineRule="auto"/>
              <w:ind w:firstLineChars="0"/>
              <w:jc w:val="center"/>
              <w:rPr>
                <w:rFonts w:cs="Times New Roman"/>
                <w:sz w:val="21"/>
                <w:szCs w:val="21"/>
              </w:rPr>
            </w:pPr>
          </w:p>
        </w:tc>
        <w:tc>
          <w:tcPr>
            <w:tcW w:w="992" w:type="dxa"/>
            <w:noWrap/>
            <w:vAlign w:val="center"/>
          </w:tcPr>
          <w:p w14:paraId="7386F9E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63C9F7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D1DAA0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0DA6B3C">
            <w:pPr>
              <w:spacing w:line="240" w:lineRule="auto"/>
              <w:ind w:firstLine="0" w:firstLineChars="0"/>
              <w:jc w:val="center"/>
              <w:rPr>
                <w:rFonts w:cs="Times New Roman"/>
                <w:sz w:val="21"/>
                <w:szCs w:val="21"/>
              </w:rPr>
            </w:pPr>
            <w:r>
              <w:rPr>
                <w:rFonts w:hint="eastAsia" w:cs="Times New Roman"/>
                <w:sz w:val="21"/>
                <w:szCs w:val="21"/>
              </w:rPr>
              <w:t>水西</w:t>
            </w:r>
          </w:p>
        </w:tc>
        <w:tc>
          <w:tcPr>
            <w:tcW w:w="1701" w:type="dxa"/>
            <w:noWrap/>
            <w:vAlign w:val="center"/>
          </w:tcPr>
          <w:p w14:paraId="74B6D793">
            <w:pPr>
              <w:spacing w:line="240" w:lineRule="auto"/>
              <w:ind w:firstLine="0" w:firstLineChars="0"/>
              <w:jc w:val="center"/>
              <w:rPr>
                <w:rFonts w:cs="Times New Roman"/>
                <w:sz w:val="21"/>
                <w:szCs w:val="21"/>
              </w:rPr>
            </w:pPr>
            <w:r>
              <w:rPr>
                <w:rFonts w:hint="eastAsia" w:cs="Times New Roman"/>
                <w:sz w:val="21"/>
                <w:szCs w:val="21"/>
              </w:rPr>
              <w:t>119.411183</w:t>
            </w:r>
          </w:p>
        </w:tc>
        <w:tc>
          <w:tcPr>
            <w:tcW w:w="1690" w:type="dxa"/>
            <w:noWrap/>
            <w:vAlign w:val="center"/>
          </w:tcPr>
          <w:p w14:paraId="3CBC9B8E">
            <w:pPr>
              <w:spacing w:line="240" w:lineRule="auto"/>
              <w:ind w:firstLine="0" w:firstLineChars="0"/>
              <w:jc w:val="center"/>
              <w:rPr>
                <w:rFonts w:cs="Times New Roman"/>
                <w:sz w:val="21"/>
                <w:szCs w:val="21"/>
              </w:rPr>
            </w:pPr>
            <w:r>
              <w:rPr>
                <w:rFonts w:hint="eastAsia" w:cs="Times New Roman"/>
                <w:sz w:val="21"/>
                <w:szCs w:val="21"/>
              </w:rPr>
              <w:t>31.687021</w:t>
            </w:r>
          </w:p>
        </w:tc>
        <w:tc>
          <w:tcPr>
            <w:tcW w:w="1080" w:type="dxa"/>
            <w:noWrap/>
            <w:vAlign w:val="center"/>
          </w:tcPr>
          <w:p w14:paraId="014FBDF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9319995">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72F53E87">
            <w:pPr>
              <w:spacing w:line="240" w:lineRule="auto"/>
              <w:ind w:firstLine="0" w:firstLineChars="0"/>
              <w:jc w:val="center"/>
              <w:rPr>
                <w:rFonts w:cs="Times New Roman"/>
                <w:sz w:val="21"/>
                <w:szCs w:val="21"/>
              </w:rPr>
            </w:pPr>
            <w:r>
              <w:rPr>
                <w:rFonts w:hint="eastAsia" w:cs="Times New Roman"/>
                <w:sz w:val="21"/>
                <w:szCs w:val="21"/>
              </w:rPr>
              <w:t>1000</w:t>
            </w:r>
          </w:p>
        </w:tc>
        <w:tc>
          <w:tcPr>
            <w:tcW w:w="1168" w:type="dxa"/>
            <w:noWrap/>
            <w:vAlign w:val="center"/>
          </w:tcPr>
          <w:p w14:paraId="4A88DD0B">
            <w:pPr>
              <w:spacing w:line="240" w:lineRule="auto"/>
              <w:ind w:firstLine="0" w:firstLineChars="0"/>
              <w:jc w:val="center"/>
              <w:rPr>
                <w:rFonts w:cs="Times New Roman"/>
                <w:sz w:val="21"/>
                <w:szCs w:val="21"/>
              </w:rPr>
            </w:pPr>
            <w:r>
              <w:rPr>
                <w:rFonts w:hint="eastAsia" w:cs="Times New Roman"/>
                <w:sz w:val="21"/>
                <w:szCs w:val="21"/>
              </w:rPr>
              <w:t>约30</w:t>
            </w:r>
          </w:p>
        </w:tc>
      </w:tr>
      <w:tr w14:paraId="3D6B4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360F40E">
            <w:pPr>
              <w:pStyle w:val="39"/>
              <w:numPr>
                <w:ilvl w:val="0"/>
                <w:numId w:val="7"/>
              </w:numPr>
              <w:spacing w:line="240" w:lineRule="auto"/>
              <w:ind w:firstLineChars="0"/>
              <w:jc w:val="center"/>
              <w:rPr>
                <w:rFonts w:cs="Times New Roman"/>
                <w:sz w:val="21"/>
                <w:szCs w:val="21"/>
              </w:rPr>
            </w:pPr>
          </w:p>
        </w:tc>
        <w:tc>
          <w:tcPr>
            <w:tcW w:w="992" w:type="dxa"/>
            <w:noWrap/>
            <w:vAlign w:val="center"/>
          </w:tcPr>
          <w:p w14:paraId="09D2C6D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E2AC6A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2B8251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2A63139">
            <w:pPr>
              <w:spacing w:line="240" w:lineRule="auto"/>
              <w:ind w:firstLine="0" w:firstLineChars="0"/>
              <w:jc w:val="center"/>
              <w:rPr>
                <w:rFonts w:cs="Times New Roman"/>
                <w:sz w:val="21"/>
                <w:szCs w:val="21"/>
              </w:rPr>
            </w:pPr>
            <w:r>
              <w:rPr>
                <w:rFonts w:hint="eastAsia" w:cs="Times New Roman"/>
                <w:sz w:val="21"/>
                <w:szCs w:val="21"/>
              </w:rPr>
              <w:t>石马集镇</w:t>
            </w:r>
          </w:p>
        </w:tc>
        <w:tc>
          <w:tcPr>
            <w:tcW w:w="1701" w:type="dxa"/>
            <w:noWrap/>
            <w:vAlign w:val="center"/>
          </w:tcPr>
          <w:p w14:paraId="6F33D959">
            <w:pPr>
              <w:spacing w:line="240" w:lineRule="auto"/>
              <w:ind w:firstLine="0" w:firstLineChars="0"/>
              <w:jc w:val="center"/>
              <w:rPr>
                <w:rFonts w:cs="Times New Roman"/>
                <w:sz w:val="21"/>
                <w:szCs w:val="21"/>
              </w:rPr>
            </w:pPr>
            <w:r>
              <w:rPr>
                <w:rFonts w:hint="eastAsia" w:cs="Times New Roman"/>
                <w:sz w:val="21"/>
                <w:szCs w:val="21"/>
              </w:rPr>
              <w:t>119.391093</w:t>
            </w:r>
          </w:p>
        </w:tc>
        <w:tc>
          <w:tcPr>
            <w:tcW w:w="1690" w:type="dxa"/>
            <w:noWrap/>
            <w:vAlign w:val="center"/>
          </w:tcPr>
          <w:p w14:paraId="761098B6">
            <w:pPr>
              <w:spacing w:line="240" w:lineRule="auto"/>
              <w:ind w:firstLine="0" w:firstLineChars="0"/>
              <w:jc w:val="center"/>
              <w:rPr>
                <w:rFonts w:cs="Times New Roman"/>
                <w:sz w:val="21"/>
                <w:szCs w:val="21"/>
              </w:rPr>
            </w:pPr>
            <w:r>
              <w:rPr>
                <w:rFonts w:hint="eastAsia" w:cs="Times New Roman"/>
                <w:sz w:val="21"/>
                <w:szCs w:val="21"/>
              </w:rPr>
              <w:t>31.791734</w:t>
            </w:r>
          </w:p>
        </w:tc>
        <w:tc>
          <w:tcPr>
            <w:tcW w:w="1080" w:type="dxa"/>
            <w:noWrap/>
            <w:vAlign w:val="center"/>
          </w:tcPr>
          <w:p w14:paraId="4CD8735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064E61B">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078A9AA">
            <w:pPr>
              <w:spacing w:line="240" w:lineRule="auto"/>
              <w:ind w:firstLine="0" w:firstLineChars="0"/>
              <w:jc w:val="center"/>
              <w:rPr>
                <w:rFonts w:cs="Times New Roman"/>
                <w:sz w:val="21"/>
                <w:szCs w:val="21"/>
              </w:rPr>
            </w:pPr>
            <w:r>
              <w:rPr>
                <w:rFonts w:hint="eastAsia" w:cs="Times New Roman"/>
                <w:sz w:val="21"/>
                <w:szCs w:val="21"/>
              </w:rPr>
              <w:t>300</w:t>
            </w:r>
          </w:p>
        </w:tc>
        <w:tc>
          <w:tcPr>
            <w:tcW w:w="1168" w:type="dxa"/>
            <w:noWrap/>
            <w:vAlign w:val="center"/>
          </w:tcPr>
          <w:p w14:paraId="6952AD82">
            <w:pPr>
              <w:spacing w:line="240" w:lineRule="auto"/>
              <w:ind w:firstLine="0" w:firstLineChars="0"/>
              <w:jc w:val="center"/>
              <w:rPr>
                <w:rFonts w:cs="Times New Roman"/>
                <w:sz w:val="21"/>
                <w:szCs w:val="21"/>
              </w:rPr>
            </w:pPr>
            <w:r>
              <w:rPr>
                <w:rFonts w:hint="eastAsia" w:cs="Times New Roman"/>
                <w:sz w:val="21"/>
                <w:szCs w:val="21"/>
              </w:rPr>
              <w:t>约400</w:t>
            </w:r>
          </w:p>
        </w:tc>
      </w:tr>
      <w:tr w14:paraId="228BC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FE97E7B">
            <w:pPr>
              <w:pStyle w:val="39"/>
              <w:numPr>
                <w:ilvl w:val="0"/>
                <w:numId w:val="7"/>
              </w:numPr>
              <w:spacing w:line="240" w:lineRule="auto"/>
              <w:ind w:firstLineChars="0"/>
              <w:jc w:val="center"/>
              <w:rPr>
                <w:rFonts w:cs="Times New Roman"/>
                <w:sz w:val="21"/>
                <w:szCs w:val="21"/>
              </w:rPr>
            </w:pPr>
          </w:p>
        </w:tc>
        <w:tc>
          <w:tcPr>
            <w:tcW w:w="992" w:type="dxa"/>
            <w:noWrap/>
            <w:vAlign w:val="center"/>
          </w:tcPr>
          <w:p w14:paraId="1F6C616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960223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87EE2C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B473CAA">
            <w:pPr>
              <w:spacing w:line="240" w:lineRule="auto"/>
              <w:ind w:firstLine="0" w:firstLineChars="0"/>
              <w:jc w:val="center"/>
              <w:rPr>
                <w:rFonts w:cs="Times New Roman"/>
                <w:sz w:val="21"/>
                <w:szCs w:val="21"/>
              </w:rPr>
            </w:pPr>
            <w:r>
              <w:rPr>
                <w:rFonts w:hint="eastAsia" w:cs="Times New Roman"/>
                <w:sz w:val="21"/>
                <w:szCs w:val="21"/>
              </w:rPr>
              <w:t>朱家墩</w:t>
            </w:r>
          </w:p>
        </w:tc>
        <w:tc>
          <w:tcPr>
            <w:tcW w:w="1701" w:type="dxa"/>
            <w:noWrap/>
            <w:vAlign w:val="center"/>
          </w:tcPr>
          <w:p w14:paraId="674B3FD2">
            <w:pPr>
              <w:spacing w:line="240" w:lineRule="auto"/>
              <w:ind w:firstLine="0" w:firstLineChars="0"/>
              <w:jc w:val="center"/>
              <w:rPr>
                <w:rFonts w:cs="Times New Roman"/>
                <w:sz w:val="21"/>
                <w:szCs w:val="21"/>
              </w:rPr>
            </w:pPr>
            <w:r>
              <w:rPr>
                <w:rFonts w:hint="eastAsia" w:cs="Times New Roman"/>
                <w:sz w:val="21"/>
                <w:szCs w:val="21"/>
              </w:rPr>
              <w:t>119.400225</w:t>
            </w:r>
          </w:p>
        </w:tc>
        <w:tc>
          <w:tcPr>
            <w:tcW w:w="1690" w:type="dxa"/>
            <w:noWrap/>
            <w:vAlign w:val="center"/>
          </w:tcPr>
          <w:p w14:paraId="45192EB5">
            <w:pPr>
              <w:spacing w:line="240" w:lineRule="auto"/>
              <w:ind w:firstLine="0" w:firstLineChars="0"/>
              <w:jc w:val="center"/>
              <w:rPr>
                <w:rFonts w:cs="Times New Roman"/>
                <w:sz w:val="21"/>
                <w:szCs w:val="21"/>
              </w:rPr>
            </w:pPr>
            <w:r>
              <w:rPr>
                <w:rFonts w:hint="eastAsia" w:cs="Times New Roman"/>
                <w:sz w:val="21"/>
                <w:szCs w:val="21"/>
              </w:rPr>
              <w:t>31.788658</w:t>
            </w:r>
          </w:p>
        </w:tc>
        <w:tc>
          <w:tcPr>
            <w:tcW w:w="1080" w:type="dxa"/>
            <w:noWrap/>
            <w:vAlign w:val="center"/>
          </w:tcPr>
          <w:p w14:paraId="75F7662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8C395D4">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6FB0D15">
            <w:pPr>
              <w:spacing w:line="240" w:lineRule="auto"/>
              <w:ind w:firstLine="0" w:firstLineChars="0"/>
              <w:jc w:val="center"/>
              <w:rPr>
                <w:rFonts w:cs="Times New Roman"/>
                <w:sz w:val="21"/>
                <w:szCs w:val="21"/>
              </w:rPr>
            </w:pPr>
            <w:r>
              <w:rPr>
                <w:rFonts w:hint="eastAsia" w:cs="Times New Roman"/>
                <w:sz w:val="21"/>
                <w:szCs w:val="21"/>
              </w:rPr>
              <w:t>1570</w:t>
            </w:r>
          </w:p>
        </w:tc>
        <w:tc>
          <w:tcPr>
            <w:tcW w:w="1168" w:type="dxa"/>
            <w:noWrap/>
            <w:vAlign w:val="center"/>
          </w:tcPr>
          <w:p w14:paraId="1A17C6FA">
            <w:pPr>
              <w:spacing w:line="240" w:lineRule="auto"/>
              <w:ind w:firstLine="0" w:firstLineChars="0"/>
              <w:jc w:val="center"/>
              <w:rPr>
                <w:rFonts w:cs="Times New Roman"/>
                <w:sz w:val="21"/>
                <w:szCs w:val="21"/>
              </w:rPr>
            </w:pPr>
            <w:r>
              <w:rPr>
                <w:rFonts w:hint="eastAsia" w:cs="Times New Roman"/>
                <w:sz w:val="21"/>
                <w:szCs w:val="21"/>
              </w:rPr>
              <w:t>约200</w:t>
            </w:r>
          </w:p>
        </w:tc>
      </w:tr>
      <w:tr w14:paraId="0A27B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FAB8EEC">
            <w:pPr>
              <w:pStyle w:val="39"/>
              <w:numPr>
                <w:ilvl w:val="0"/>
                <w:numId w:val="7"/>
              </w:numPr>
              <w:spacing w:line="240" w:lineRule="auto"/>
              <w:ind w:firstLineChars="0"/>
              <w:jc w:val="center"/>
              <w:rPr>
                <w:rFonts w:cs="Times New Roman"/>
                <w:sz w:val="21"/>
                <w:szCs w:val="21"/>
              </w:rPr>
            </w:pPr>
          </w:p>
        </w:tc>
        <w:tc>
          <w:tcPr>
            <w:tcW w:w="992" w:type="dxa"/>
            <w:noWrap/>
            <w:vAlign w:val="center"/>
          </w:tcPr>
          <w:p w14:paraId="1FC70E6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C78E49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B9DC1A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55671719">
            <w:pPr>
              <w:spacing w:line="240" w:lineRule="auto"/>
              <w:ind w:firstLine="0" w:firstLineChars="0"/>
              <w:jc w:val="center"/>
              <w:rPr>
                <w:rFonts w:cs="Times New Roman"/>
                <w:sz w:val="21"/>
                <w:szCs w:val="21"/>
              </w:rPr>
            </w:pPr>
            <w:r>
              <w:rPr>
                <w:rFonts w:hint="eastAsia" w:cs="Times New Roman"/>
                <w:sz w:val="21"/>
                <w:szCs w:val="21"/>
              </w:rPr>
              <w:t>茅麓村东</w:t>
            </w:r>
          </w:p>
        </w:tc>
        <w:tc>
          <w:tcPr>
            <w:tcW w:w="1701" w:type="dxa"/>
            <w:noWrap/>
            <w:vAlign w:val="center"/>
          </w:tcPr>
          <w:p w14:paraId="26A62A7D">
            <w:pPr>
              <w:spacing w:line="240" w:lineRule="auto"/>
              <w:ind w:firstLine="0" w:firstLineChars="0"/>
              <w:jc w:val="center"/>
              <w:rPr>
                <w:rFonts w:cs="Times New Roman"/>
                <w:sz w:val="21"/>
                <w:szCs w:val="21"/>
              </w:rPr>
            </w:pPr>
            <w:r>
              <w:rPr>
                <w:rFonts w:hint="eastAsia" w:cs="Times New Roman"/>
                <w:sz w:val="21"/>
                <w:szCs w:val="21"/>
              </w:rPr>
              <w:t>119.399164</w:t>
            </w:r>
          </w:p>
        </w:tc>
        <w:tc>
          <w:tcPr>
            <w:tcW w:w="1690" w:type="dxa"/>
            <w:noWrap/>
            <w:vAlign w:val="center"/>
          </w:tcPr>
          <w:p w14:paraId="59A3F92F">
            <w:pPr>
              <w:spacing w:line="240" w:lineRule="auto"/>
              <w:ind w:firstLine="0" w:firstLineChars="0"/>
              <w:jc w:val="center"/>
              <w:rPr>
                <w:rFonts w:cs="Times New Roman"/>
                <w:sz w:val="21"/>
                <w:szCs w:val="21"/>
              </w:rPr>
            </w:pPr>
            <w:r>
              <w:rPr>
                <w:rFonts w:hint="eastAsia" w:cs="Times New Roman"/>
                <w:sz w:val="21"/>
                <w:szCs w:val="21"/>
              </w:rPr>
              <w:t>31.789563</w:t>
            </w:r>
          </w:p>
        </w:tc>
        <w:tc>
          <w:tcPr>
            <w:tcW w:w="1080" w:type="dxa"/>
            <w:noWrap/>
            <w:vAlign w:val="center"/>
          </w:tcPr>
          <w:p w14:paraId="519FBFE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7C8A2D5">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7CCB7222">
            <w:pPr>
              <w:spacing w:line="240" w:lineRule="auto"/>
              <w:ind w:firstLine="0" w:firstLineChars="0"/>
              <w:jc w:val="center"/>
              <w:rPr>
                <w:rFonts w:cs="Times New Roman"/>
                <w:sz w:val="21"/>
                <w:szCs w:val="21"/>
              </w:rPr>
            </w:pPr>
            <w:r>
              <w:rPr>
                <w:rFonts w:hint="eastAsia" w:cs="Times New Roman"/>
                <w:sz w:val="21"/>
                <w:szCs w:val="21"/>
              </w:rPr>
              <w:t>1440</w:t>
            </w:r>
          </w:p>
        </w:tc>
        <w:tc>
          <w:tcPr>
            <w:tcW w:w="1168" w:type="dxa"/>
            <w:noWrap/>
            <w:vAlign w:val="center"/>
          </w:tcPr>
          <w:p w14:paraId="21AE9D22">
            <w:pPr>
              <w:spacing w:line="240" w:lineRule="auto"/>
              <w:ind w:firstLine="0" w:firstLineChars="0"/>
              <w:jc w:val="center"/>
              <w:rPr>
                <w:rFonts w:cs="Times New Roman"/>
                <w:sz w:val="21"/>
                <w:szCs w:val="21"/>
              </w:rPr>
            </w:pPr>
            <w:r>
              <w:rPr>
                <w:rFonts w:hint="eastAsia" w:cs="Times New Roman"/>
                <w:sz w:val="21"/>
                <w:szCs w:val="21"/>
              </w:rPr>
              <w:t>约200</w:t>
            </w:r>
          </w:p>
        </w:tc>
      </w:tr>
      <w:tr w14:paraId="53A49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6D2D86D">
            <w:pPr>
              <w:pStyle w:val="39"/>
              <w:numPr>
                <w:ilvl w:val="0"/>
                <w:numId w:val="7"/>
              </w:numPr>
              <w:spacing w:line="240" w:lineRule="auto"/>
              <w:ind w:firstLineChars="0"/>
              <w:jc w:val="center"/>
              <w:rPr>
                <w:rFonts w:cs="Times New Roman"/>
                <w:sz w:val="21"/>
                <w:szCs w:val="21"/>
              </w:rPr>
            </w:pPr>
          </w:p>
        </w:tc>
        <w:tc>
          <w:tcPr>
            <w:tcW w:w="992" w:type="dxa"/>
            <w:noWrap/>
            <w:vAlign w:val="center"/>
          </w:tcPr>
          <w:p w14:paraId="4B3C5E9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ADB24F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36C495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58EB4E8">
            <w:pPr>
              <w:spacing w:line="240" w:lineRule="auto"/>
              <w:ind w:firstLine="0" w:firstLineChars="0"/>
              <w:jc w:val="center"/>
              <w:rPr>
                <w:rFonts w:cs="Times New Roman"/>
                <w:sz w:val="21"/>
                <w:szCs w:val="21"/>
              </w:rPr>
            </w:pPr>
            <w:r>
              <w:rPr>
                <w:rFonts w:hint="eastAsia" w:cs="Times New Roman"/>
                <w:sz w:val="21"/>
                <w:szCs w:val="21"/>
              </w:rPr>
              <w:t>周家棚</w:t>
            </w:r>
          </w:p>
        </w:tc>
        <w:tc>
          <w:tcPr>
            <w:tcW w:w="1701" w:type="dxa"/>
            <w:noWrap/>
            <w:vAlign w:val="center"/>
          </w:tcPr>
          <w:p w14:paraId="5415B255">
            <w:pPr>
              <w:spacing w:line="240" w:lineRule="auto"/>
              <w:ind w:firstLine="0" w:firstLineChars="0"/>
              <w:jc w:val="center"/>
              <w:rPr>
                <w:rFonts w:cs="Times New Roman"/>
                <w:sz w:val="21"/>
                <w:szCs w:val="21"/>
              </w:rPr>
            </w:pPr>
            <w:r>
              <w:rPr>
                <w:rFonts w:hint="eastAsia" w:cs="Times New Roman"/>
                <w:sz w:val="21"/>
                <w:szCs w:val="21"/>
              </w:rPr>
              <w:t>119.396296</w:t>
            </w:r>
          </w:p>
        </w:tc>
        <w:tc>
          <w:tcPr>
            <w:tcW w:w="1690" w:type="dxa"/>
            <w:noWrap/>
            <w:vAlign w:val="center"/>
          </w:tcPr>
          <w:p w14:paraId="21A52A06">
            <w:pPr>
              <w:spacing w:line="240" w:lineRule="auto"/>
              <w:ind w:firstLine="0" w:firstLineChars="0"/>
              <w:jc w:val="center"/>
              <w:rPr>
                <w:rFonts w:cs="Times New Roman"/>
                <w:sz w:val="21"/>
                <w:szCs w:val="21"/>
              </w:rPr>
            </w:pPr>
            <w:r>
              <w:rPr>
                <w:rFonts w:hint="eastAsia" w:cs="Times New Roman"/>
                <w:sz w:val="21"/>
                <w:szCs w:val="21"/>
              </w:rPr>
              <w:t>31.672859</w:t>
            </w:r>
          </w:p>
        </w:tc>
        <w:tc>
          <w:tcPr>
            <w:tcW w:w="1080" w:type="dxa"/>
            <w:noWrap/>
            <w:vAlign w:val="center"/>
          </w:tcPr>
          <w:p w14:paraId="269A3A2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7F9170D">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1FCD088">
            <w:pPr>
              <w:spacing w:line="240" w:lineRule="auto"/>
              <w:ind w:firstLine="0" w:firstLineChars="0"/>
              <w:jc w:val="center"/>
              <w:rPr>
                <w:rFonts w:cs="Times New Roman"/>
                <w:sz w:val="21"/>
                <w:szCs w:val="21"/>
              </w:rPr>
            </w:pPr>
            <w:r>
              <w:rPr>
                <w:rFonts w:hint="eastAsia" w:cs="Times New Roman"/>
                <w:sz w:val="21"/>
                <w:szCs w:val="21"/>
              </w:rPr>
              <w:t>279</w:t>
            </w:r>
          </w:p>
        </w:tc>
        <w:tc>
          <w:tcPr>
            <w:tcW w:w="1168" w:type="dxa"/>
            <w:noWrap/>
            <w:vAlign w:val="center"/>
          </w:tcPr>
          <w:p w14:paraId="5E8E40ED">
            <w:pPr>
              <w:spacing w:line="240" w:lineRule="auto"/>
              <w:ind w:firstLine="0" w:firstLineChars="0"/>
              <w:jc w:val="center"/>
              <w:rPr>
                <w:rFonts w:cs="Times New Roman"/>
                <w:sz w:val="21"/>
                <w:szCs w:val="21"/>
              </w:rPr>
            </w:pPr>
            <w:r>
              <w:rPr>
                <w:rFonts w:hint="eastAsia" w:cs="Times New Roman"/>
                <w:sz w:val="21"/>
                <w:szCs w:val="21"/>
              </w:rPr>
              <w:t>约20</w:t>
            </w:r>
          </w:p>
        </w:tc>
      </w:tr>
      <w:tr w14:paraId="21B2E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A7E5366">
            <w:pPr>
              <w:pStyle w:val="39"/>
              <w:numPr>
                <w:ilvl w:val="0"/>
                <w:numId w:val="7"/>
              </w:numPr>
              <w:spacing w:line="240" w:lineRule="auto"/>
              <w:ind w:firstLineChars="0"/>
              <w:jc w:val="center"/>
              <w:rPr>
                <w:rFonts w:cs="Times New Roman"/>
                <w:sz w:val="21"/>
                <w:szCs w:val="21"/>
              </w:rPr>
            </w:pPr>
          </w:p>
        </w:tc>
        <w:tc>
          <w:tcPr>
            <w:tcW w:w="992" w:type="dxa"/>
            <w:noWrap/>
            <w:vAlign w:val="center"/>
          </w:tcPr>
          <w:p w14:paraId="36B4371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4E8E29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BB1A69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AB1FA09">
            <w:pPr>
              <w:spacing w:line="240" w:lineRule="auto"/>
              <w:ind w:firstLine="0" w:firstLineChars="0"/>
              <w:jc w:val="center"/>
              <w:rPr>
                <w:rFonts w:cs="Times New Roman"/>
                <w:sz w:val="21"/>
                <w:szCs w:val="21"/>
              </w:rPr>
            </w:pPr>
            <w:r>
              <w:rPr>
                <w:rFonts w:hint="eastAsia" w:cs="Times New Roman"/>
                <w:sz w:val="21"/>
                <w:szCs w:val="21"/>
              </w:rPr>
              <w:t>开基</w:t>
            </w:r>
          </w:p>
        </w:tc>
        <w:tc>
          <w:tcPr>
            <w:tcW w:w="1701" w:type="dxa"/>
            <w:noWrap/>
            <w:vAlign w:val="center"/>
          </w:tcPr>
          <w:p w14:paraId="6426851F">
            <w:pPr>
              <w:spacing w:line="240" w:lineRule="auto"/>
              <w:ind w:firstLine="0" w:firstLineChars="0"/>
              <w:jc w:val="center"/>
              <w:rPr>
                <w:rFonts w:cs="Times New Roman"/>
                <w:sz w:val="21"/>
                <w:szCs w:val="21"/>
              </w:rPr>
            </w:pPr>
            <w:r>
              <w:rPr>
                <w:rFonts w:hint="eastAsia" w:cs="Times New Roman"/>
                <w:sz w:val="21"/>
                <w:szCs w:val="21"/>
              </w:rPr>
              <w:t>119.412881</w:t>
            </w:r>
          </w:p>
        </w:tc>
        <w:tc>
          <w:tcPr>
            <w:tcW w:w="1690" w:type="dxa"/>
            <w:noWrap/>
            <w:vAlign w:val="center"/>
          </w:tcPr>
          <w:p w14:paraId="2AEFA7DD">
            <w:pPr>
              <w:spacing w:line="240" w:lineRule="auto"/>
              <w:ind w:firstLine="0" w:firstLineChars="0"/>
              <w:jc w:val="center"/>
              <w:rPr>
                <w:rFonts w:cs="Times New Roman"/>
                <w:sz w:val="21"/>
                <w:szCs w:val="21"/>
              </w:rPr>
            </w:pPr>
            <w:r>
              <w:rPr>
                <w:rFonts w:hint="eastAsia" w:cs="Times New Roman"/>
                <w:sz w:val="21"/>
                <w:szCs w:val="21"/>
              </w:rPr>
              <w:t>31.657499</w:t>
            </w:r>
          </w:p>
        </w:tc>
        <w:tc>
          <w:tcPr>
            <w:tcW w:w="1080" w:type="dxa"/>
            <w:noWrap/>
            <w:vAlign w:val="center"/>
          </w:tcPr>
          <w:p w14:paraId="2743ACD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BF48FD8">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11C6500F">
            <w:pPr>
              <w:spacing w:line="240" w:lineRule="auto"/>
              <w:ind w:firstLine="0" w:firstLineChars="0"/>
              <w:jc w:val="center"/>
              <w:rPr>
                <w:rFonts w:cs="Times New Roman"/>
                <w:sz w:val="21"/>
                <w:szCs w:val="21"/>
              </w:rPr>
            </w:pPr>
            <w:r>
              <w:rPr>
                <w:rFonts w:hint="eastAsia" w:cs="Times New Roman"/>
                <w:sz w:val="21"/>
                <w:szCs w:val="21"/>
              </w:rPr>
              <w:t>455</w:t>
            </w:r>
          </w:p>
        </w:tc>
        <w:tc>
          <w:tcPr>
            <w:tcW w:w="1168" w:type="dxa"/>
            <w:noWrap/>
            <w:vAlign w:val="center"/>
          </w:tcPr>
          <w:p w14:paraId="3CDF666A">
            <w:pPr>
              <w:spacing w:line="240" w:lineRule="auto"/>
              <w:ind w:firstLine="0" w:firstLineChars="0"/>
              <w:jc w:val="center"/>
              <w:rPr>
                <w:rFonts w:cs="Times New Roman"/>
                <w:sz w:val="21"/>
                <w:szCs w:val="21"/>
              </w:rPr>
            </w:pPr>
            <w:r>
              <w:rPr>
                <w:rFonts w:hint="eastAsia" w:cs="Times New Roman"/>
                <w:sz w:val="21"/>
                <w:szCs w:val="21"/>
              </w:rPr>
              <w:t>约30</w:t>
            </w:r>
          </w:p>
        </w:tc>
      </w:tr>
      <w:tr w14:paraId="2BEC2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BDDE36E">
            <w:pPr>
              <w:pStyle w:val="39"/>
              <w:numPr>
                <w:ilvl w:val="0"/>
                <w:numId w:val="7"/>
              </w:numPr>
              <w:spacing w:line="240" w:lineRule="auto"/>
              <w:ind w:firstLineChars="0"/>
              <w:jc w:val="center"/>
              <w:rPr>
                <w:rFonts w:cs="Times New Roman"/>
                <w:sz w:val="21"/>
                <w:szCs w:val="21"/>
              </w:rPr>
            </w:pPr>
          </w:p>
        </w:tc>
        <w:tc>
          <w:tcPr>
            <w:tcW w:w="992" w:type="dxa"/>
            <w:noWrap/>
            <w:vAlign w:val="center"/>
          </w:tcPr>
          <w:p w14:paraId="3D6AAA2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827550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4A65FD8">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59D3B7F2">
            <w:pPr>
              <w:spacing w:line="240" w:lineRule="auto"/>
              <w:ind w:firstLine="0" w:firstLineChars="0"/>
              <w:jc w:val="center"/>
              <w:rPr>
                <w:rFonts w:cs="Times New Roman"/>
                <w:sz w:val="21"/>
                <w:szCs w:val="21"/>
              </w:rPr>
            </w:pPr>
            <w:r>
              <w:rPr>
                <w:rFonts w:hint="eastAsia" w:cs="Times New Roman"/>
                <w:sz w:val="21"/>
                <w:szCs w:val="21"/>
              </w:rPr>
              <w:t>竹墩头</w:t>
            </w:r>
          </w:p>
        </w:tc>
        <w:tc>
          <w:tcPr>
            <w:tcW w:w="1701" w:type="dxa"/>
            <w:noWrap/>
            <w:vAlign w:val="center"/>
          </w:tcPr>
          <w:p w14:paraId="0AAEB04D">
            <w:pPr>
              <w:spacing w:line="240" w:lineRule="auto"/>
              <w:ind w:firstLine="0" w:firstLineChars="0"/>
              <w:jc w:val="center"/>
              <w:rPr>
                <w:rFonts w:cs="Times New Roman"/>
                <w:sz w:val="21"/>
                <w:szCs w:val="21"/>
              </w:rPr>
            </w:pPr>
            <w:r>
              <w:rPr>
                <w:rFonts w:hint="eastAsia" w:cs="Times New Roman"/>
                <w:sz w:val="21"/>
                <w:szCs w:val="21"/>
              </w:rPr>
              <w:t>119.417966</w:t>
            </w:r>
          </w:p>
        </w:tc>
        <w:tc>
          <w:tcPr>
            <w:tcW w:w="1690" w:type="dxa"/>
            <w:noWrap/>
            <w:vAlign w:val="center"/>
          </w:tcPr>
          <w:p w14:paraId="52EC2151">
            <w:pPr>
              <w:spacing w:line="240" w:lineRule="auto"/>
              <w:ind w:firstLine="0" w:firstLineChars="0"/>
              <w:jc w:val="center"/>
              <w:rPr>
                <w:rFonts w:cs="Times New Roman"/>
                <w:sz w:val="21"/>
                <w:szCs w:val="21"/>
              </w:rPr>
            </w:pPr>
            <w:r>
              <w:rPr>
                <w:rFonts w:hint="eastAsia" w:cs="Times New Roman"/>
                <w:sz w:val="21"/>
                <w:szCs w:val="21"/>
              </w:rPr>
              <w:t>31.648024</w:t>
            </w:r>
          </w:p>
        </w:tc>
        <w:tc>
          <w:tcPr>
            <w:tcW w:w="1080" w:type="dxa"/>
            <w:noWrap/>
            <w:vAlign w:val="center"/>
          </w:tcPr>
          <w:p w14:paraId="19CD269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6AA217F">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3CA48268">
            <w:pPr>
              <w:spacing w:line="240" w:lineRule="auto"/>
              <w:ind w:firstLine="0" w:firstLineChars="0"/>
              <w:jc w:val="center"/>
              <w:rPr>
                <w:rFonts w:cs="Times New Roman"/>
                <w:sz w:val="21"/>
                <w:szCs w:val="21"/>
              </w:rPr>
            </w:pPr>
            <w:r>
              <w:rPr>
                <w:rFonts w:hint="eastAsia" w:cs="Times New Roman"/>
                <w:sz w:val="21"/>
                <w:szCs w:val="21"/>
              </w:rPr>
              <w:t>177</w:t>
            </w:r>
          </w:p>
        </w:tc>
        <w:tc>
          <w:tcPr>
            <w:tcW w:w="1168" w:type="dxa"/>
            <w:noWrap/>
            <w:vAlign w:val="center"/>
          </w:tcPr>
          <w:p w14:paraId="731A8656">
            <w:pPr>
              <w:spacing w:line="240" w:lineRule="auto"/>
              <w:ind w:firstLine="0" w:firstLineChars="0"/>
              <w:jc w:val="center"/>
              <w:rPr>
                <w:rFonts w:cs="Times New Roman"/>
                <w:sz w:val="21"/>
                <w:szCs w:val="21"/>
              </w:rPr>
            </w:pPr>
            <w:r>
              <w:rPr>
                <w:rFonts w:hint="eastAsia" w:cs="Times New Roman"/>
                <w:sz w:val="21"/>
                <w:szCs w:val="21"/>
              </w:rPr>
              <w:t>约50</w:t>
            </w:r>
          </w:p>
        </w:tc>
      </w:tr>
      <w:tr w14:paraId="60EBD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18DCD92">
            <w:pPr>
              <w:pStyle w:val="39"/>
              <w:numPr>
                <w:ilvl w:val="0"/>
                <w:numId w:val="7"/>
              </w:numPr>
              <w:spacing w:line="240" w:lineRule="auto"/>
              <w:ind w:firstLineChars="0"/>
              <w:jc w:val="center"/>
              <w:rPr>
                <w:rFonts w:cs="Times New Roman"/>
                <w:sz w:val="21"/>
                <w:szCs w:val="21"/>
              </w:rPr>
            </w:pPr>
          </w:p>
        </w:tc>
        <w:tc>
          <w:tcPr>
            <w:tcW w:w="992" w:type="dxa"/>
            <w:noWrap/>
            <w:vAlign w:val="center"/>
          </w:tcPr>
          <w:p w14:paraId="563E75B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AFBE44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F84C67E">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4128D9D4">
            <w:pPr>
              <w:spacing w:line="240" w:lineRule="auto"/>
              <w:ind w:firstLine="0" w:firstLineChars="0"/>
              <w:jc w:val="center"/>
              <w:rPr>
                <w:rFonts w:cs="Times New Roman"/>
                <w:sz w:val="21"/>
                <w:szCs w:val="21"/>
              </w:rPr>
            </w:pPr>
            <w:r>
              <w:rPr>
                <w:rFonts w:hint="eastAsia" w:cs="Times New Roman"/>
                <w:sz w:val="21"/>
                <w:szCs w:val="21"/>
              </w:rPr>
              <w:t>东窑村</w:t>
            </w:r>
          </w:p>
        </w:tc>
        <w:tc>
          <w:tcPr>
            <w:tcW w:w="1701" w:type="dxa"/>
            <w:noWrap/>
            <w:vAlign w:val="center"/>
          </w:tcPr>
          <w:p w14:paraId="7ED2EB3D">
            <w:pPr>
              <w:spacing w:line="240" w:lineRule="auto"/>
              <w:ind w:firstLine="0" w:firstLineChars="0"/>
              <w:jc w:val="center"/>
              <w:rPr>
                <w:rFonts w:cs="Times New Roman"/>
                <w:sz w:val="21"/>
                <w:szCs w:val="21"/>
              </w:rPr>
            </w:pPr>
            <w:r>
              <w:rPr>
                <w:rFonts w:hint="eastAsia" w:cs="Times New Roman"/>
                <w:sz w:val="21"/>
                <w:szCs w:val="21"/>
              </w:rPr>
              <w:t>119.423675</w:t>
            </w:r>
          </w:p>
        </w:tc>
        <w:tc>
          <w:tcPr>
            <w:tcW w:w="1690" w:type="dxa"/>
            <w:noWrap/>
            <w:vAlign w:val="center"/>
          </w:tcPr>
          <w:p w14:paraId="0EDF65B8">
            <w:pPr>
              <w:spacing w:line="240" w:lineRule="auto"/>
              <w:ind w:firstLine="0" w:firstLineChars="0"/>
              <w:jc w:val="center"/>
              <w:rPr>
                <w:rFonts w:cs="Times New Roman"/>
                <w:sz w:val="21"/>
                <w:szCs w:val="21"/>
              </w:rPr>
            </w:pPr>
            <w:r>
              <w:rPr>
                <w:rFonts w:hint="eastAsia" w:cs="Times New Roman"/>
                <w:sz w:val="21"/>
                <w:szCs w:val="21"/>
              </w:rPr>
              <w:t>31.64646</w:t>
            </w:r>
          </w:p>
        </w:tc>
        <w:tc>
          <w:tcPr>
            <w:tcW w:w="1080" w:type="dxa"/>
            <w:noWrap/>
            <w:vAlign w:val="center"/>
          </w:tcPr>
          <w:p w14:paraId="3E6F96E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2EAA7E1">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60F1AC5A">
            <w:pPr>
              <w:spacing w:line="240" w:lineRule="auto"/>
              <w:ind w:firstLine="0" w:firstLineChars="0"/>
              <w:jc w:val="center"/>
              <w:rPr>
                <w:rFonts w:cs="Times New Roman"/>
                <w:sz w:val="21"/>
                <w:szCs w:val="21"/>
              </w:rPr>
            </w:pPr>
            <w:r>
              <w:rPr>
                <w:rFonts w:hint="eastAsia" w:cs="Times New Roman"/>
                <w:sz w:val="21"/>
                <w:szCs w:val="21"/>
              </w:rPr>
              <w:t>786</w:t>
            </w:r>
          </w:p>
        </w:tc>
        <w:tc>
          <w:tcPr>
            <w:tcW w:w="1168" w:type="dxa"/>
            <w:noWrap/>
            <w:vAlign w:val="center"/>
          </w:tcPr>
          <w:p w14:paraId="415A02D9">
            <w:pPr>
              <w:spacing w:line="240" w:lineRule="auto"/>
              <w:ind w:firstLine="0" w:firstLineChars="0"/>
              <w:jc w:val="center"/>
              <w:rPr>
                <w:rFonts w:cs="Times New Roman"/>
                <w:sz w:val="21"/>
                <w:szCs w:val="21"/>
              </w:rPr>
            </w:pPr>
            <w:r>
              <w:rPr>
                <w:rFonts w:hint="eastAsia" w:cs="Times New Roman"/>
                <w:sz w:val="21"/>
                <w:szCs w:val="21"/>
              </w:rPr>
              <w:t>约30</w:t>
            </w:r>
          </w:p>
        </w:tc>
      </w:tr>
      <w:tr w14:paraId="53198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3C4F83F">
            <w:pPr>
              <w:pStyle w:val="39"/>
              <w:numPr>
                <w:ilvl w:val="0"/>
                <w:numId w:val="7"/>
              </w:numPr>
              <w:spacing w:line="240" w:lineRule="auto"/>
              <w:ind w:firstLineChars="0"/>
              <w:jc w:val="center"/>
              <w:rPr>
                <w:rFonts w:cs="Times New Roman"/>
                <w:sz w:val="21"/>
                <w:szCs w:val="21"/>
              </w:rPr>
            </w:pPr>
          </w:p>
        </w:tc>
        <w:tc>
          <w:tcPr>
            <w:tcW w:w="992" w:type="dxa"/>
            <w:noWrap/>
            <w:vAlign w:val="center"/>
          </w:tcPr>
          <w:p w14:paraId="1162ACD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407127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25ACFC8">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3871831B">
            <w:pPr>
              <w:spacing w:line="240" w:lineRule="auto"/>
              <w:ind w:firstLine="0" w:firstLineChars="0"/>
              <w:jc w:val="center"/>
              <w:rPr>
                <w:rFonts w:cs="Times New Roman"/>
                <w:sz w:val="21"/>
                <w:szCs w:val="21"/>
              </w:rPr>
            </w:pPr>
            <w:r>
              <w:rPr>
                <w:rFonts w:hint="eastAsia" w:cs="Times New Roman"/>
                <w:sz w:val="21"/>
                <w:szCs w:val="21"/>
              </w:rPr>
              <w:t>山上村</w:t>
            </w:r>
          </w:p>
        </w:tc>
        <w:tc>
          <w:tcPr>
            <w:tcW w:w="1701" w:type="dxa"/>
            <w:noWrap/>
            <w:vAlign w:val="center"/>
          </w:tcPr>
          <w:p w14:paraId="7A8E3467">
            <w:pPr>
              <w:spacing w:line="240" w:lineRule="auto"/>
              <w:ind w:firstLine="0" w:firstLineChars="0"/>
              <w:jc w:val="center"/>
              <w:rPr>
                <w:rFonts w:cs="Times New Roman"/>
                <w:sz w:val="21"/>
                <w:szCs w:val="21"/>
              </w:rPr>
            </w:pPr>
            <w:r>
              <w:rPr>
                <w:rFonts w:hint="eastAsia" w:cs="Times New Roman"/>
                <w:sz w:val="21"/>
                <w:szCs w:val="21"/>
              </w:rPr>
              <w:t>119.42456</w:t>
            </w:r>
          </w:p>
        </w:tc>
        <w:tc>
          <w:tcPr>
            <w:tcW w:w="1690" w:type="dxa"/>
            <w:noWrap/>
            <w:vAlign w:val="center"/>
          </w:tcPr>
          <w:p w14:paraId="36D601FA">
            <w:pPr>
              <w:spacing w:line="240" w:lineRule="auto"/>
              <w:ind w:firstLine="0" w:firstLineChars="0"/>
              <w:jc w:val="center"/>
              <w:rPr>
                <w:rFonts w:cs="Times New Roman"/>
                <w:sz w:val="21"/>
                <w:szCs w:val="21"/>
              </w:rPr>
            </w:pPr>
            <w:r>
              <w:rPr>
                <w:rFonts w:hint="eastAsia" w:cs="Times New Roman"/>
                <w:sz w:val="21"/>
                <w:szCs w:val="21"/>
              </w:rPr>
              <w:t>31.649079</w:t>
            </w:r>
          </w:p>
        </w:tc>
        <w:tc>
          <w:tcPr>
            <w:tcW w:w="1080" w:type="dxa"/>
            <w:noWrap/>
            <w:vAlign w:val="center"/>
          </w:tcPr>
          <w:p w14:paraId="3594838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2A0E1CD">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5330133">
            <w:pPr>
              <w:spacing w:line="240" w:lineRule="auto"/>
              <w:ind w:firstLine="0" w:firstLineChars="0"/>
              <w:jc w:val="center"/>
              <w:rPr>
                <w:rFonts w:cs="Times New Roman"/>
                <w:sz w:val="21"/>
                <w:szCs w:val="21"/>
              </w:rPr>
            </w:pPr>
            <w:r>
              <w:rPr>
                <w:rFonts w:hint="eastAsia" w:cs="Times New Roman"/>
                <w:sz w:val="21"/>
                <w:szCs w:val="21"/>
              </w:rPr>
              <w:t>802</w:t>
            </w:r>
          </w:p>
        </w:tc>
        <w:tc>
          <w:tcPr>
            <w:tcW w:w="1168" w:type="dxa"/>
            <w:noWrap/>
            <w:vAlign w:val="center"/>
          </w:tcPr>
          <w:p w14:paraId="54B51077">
            <w:pPr>
              <w:spacing w:line="240" w:lineRule="auto"/>
              <w:ind w:firstLine="0" w:firstLineChars="0"/>
              <w:jc w:val="center"/>
              <w:rPr>
                <w:rFonts w:cs="Times New Roman"/>
                <w:sz w:val="21"/>
                <w:szCs w:val="21"/>
              </w:rPr>
            </w:pPr>
            <w:r>
              <w:rPr>
                <w:rFonts w:hint="eastAsia" w:cs="Times New Roman"/>
                <w:sz w:val="21"/>
                <w:szCs w:val="21"/>
              </w:rPr>
              <w:t>约30</w:t>
            </w:r>
          </w:p>
        </w:tc>
      </w:tr>
      <w:tr w14:paraId="0BCF7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99B1B68">
            <w:pPr>
              <w:pStyle w:val="39"/>
              <w:numPr>
                <w:ilvl w:val="0"/>
                <w:numId w:val="7"/>
              </w:numPr>
              <w:spacing w:line="240" w:lineRule="auto"/>
              <w:ind w:firstLineChars="0"/>
              <w:jc w:val="center"/>
              <w:rPr>
                <w:rFonts w:cs="Times New Roman"/>
                <w:sz w:val="21"/>
                <w:szCs w:val="21"/>
              </w:rPr>
            </w:pPr>
          </w:p>
        </w:tc>
        <w:tc>
          <w:tcPr>
            <w:tcW w:w="992" w:type="dxa"/>
            <w:noWrap/>
            <w:vAlign w:val="center"/>
          </w:tcPr>
          <w:p w14:paraId="51F2A3E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C1C75E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4EA9EC9">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1AC2EF2C">
            <w:pPr>
              <w:spacing w:line="240" w:lineRule="auto"/>
              <w:ind w:firstLine="0" w:firstLineChars="0"/>
              <w:jc w:val="center"/>
              <w:rPr>
                <w:rFonts w:cs="Times New Roman"/>
                <w:sz w:val="21"/>
                <w:szCs w:val="21"/>
              </w:rPr>
            </w:pPr>
            <w:r>
              <w:rPr>
                <w:rFonts w:hint="eastAsia" w:cs="Times New Roman"/>
                <w:sz w:val="21"/>
                <w:szCs w:val="21"/>
              </w:rPr>
              <w:t>洪村</w:t>
            </w:r>
          </w:p>
        </w:tc>
        <w:tc>
          <w:tcPr>
            <w:tcW w:w="1701" w:type="dxa"/>
            <w:noWrap/>
            <w:vAlign w:val="center"/>
          </w:tcPr>
          <w:p w14:paraId="40F6AB3B">
            <w:pPr>
              <w:spacing w:line="240" w:lineRule="auto"/>
              <w:ind w:firstLine="0" w:firstLineChars="0"/>
              <w:jc w:val="center"/>
              <w:rPr>
                <w:rFonts w:cs="Times New Roman"/>
                <w:sz w:val="21"/>
                <w:szCs w:val="21"/>
              </w:rPr>
            </w:pPr>
            <w:r>
              <w:rPr>
                <w:rFonts w:hint="eastAsia" w:cs="Times New Roman"/>
                <w:sz w:val="21"/>
                <w:szCs w:val="21"/>
              </w:rPr>
              <w:t>119.427901</w:t>
            </w:r>
          </w:p>
        </w:tc>
        <w:tc>
          <w:tcPr>
            <w:tcW w:w="1690" w:type="dxa"/>
            <w:noWrap/>
            <w:vAlign w:val="center"/>
          </w:tcPr>
          <w:p w14:paraId="72DB3597">
            <w:pPr>
              <w:spacing w:line="240" w:lineRule="auto"/>
              <w:ind w:firstLine="0" w:firstLineChars="0"/>
              <w:jc w:val="center"/>
              <w:rPr>
                <w:rFonts w:cs="Times New Roman"/>
                <w:sz w:val="21"/>
                <w:szCs w:val="21"/>
              </w:rPr>
            </w:pPr>
            <w:r>
              <w:rPr>
                <w:rFonts w:hint="eastAsia" w:cs="Times New Roman"/>
                <w:sz w:val="21"/>
                <w:szCs w:val="21"/>
              </w:rPr>
              <w:t>31.642281</w:t>
            </w:r>
          </w:p>
        </w:tc>
        <w:tc>
          <w:tcPr>
            <w:tcW w:w="1080" w:type="dxa"/>
            <w:noWrap/>
            <w:vAlign w:val="center"/>
          </w:tcPr>
          <w:p w14:paraId="29D37E9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8FDC05C">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1088C983">
            <w:pPr>
              <w:spacing w:line="240" w:lineRule="auto"/>
              <w:ind w:firstLine="0" w:firstLineChars="0"/>
              <w:jc w:val="center"/>
              <w:rPr>
                <w:rFonts w:cs="Times New Roman"/>
                <w:sz w:val="21"/>
                <w:szCs w:val="21"/>
              </w:rPr>
            </w:pPr>
            <w:r>
              <w:rPr>
                <w:rFonts w:hint="eastAsia" w:cs="Times New Roman"/>
                <w:sz w:val="21"/>
                <w:szCs w:val="21"/>
              </w:rPr>
              <w:t>1308</w:t>
            </w:r>
          </w:p>
        </w:tc>
        <w:tc>
          <w:tcPr>
            <w:tcW w:w="1168" w:type="dxa"/>
            <w:noWrap/>
            <w:vAlign w:val="center"/>
          </w:tcPr>
          <w:p w14:paraId="51173A84">
            <w:pPr>
              <w:spacing w:line="240" w:lineRule="auto"/>
              <w:ind w:firstLine="0" w:firstLineChars="0"/>
              <w:jc w:val="center"/>
              <w:rPr>
                <w:rFonts w:cs="Times New Roman"/>
                <w:sz w:val="21"/>
                <w:szCs w:val="21"/>
              </w:rPr>
            </w:pPr>
            <w:r>
              <w:rPr>
                <w:rFonts w:hint="eastAsia" w:cs="Times New Roman"/>
                <w:sz w:val="21"/>
                <w:szCs w:val="21"/>
              </w:rPr>
              <w:t>约200</w:t>
            </w:r>
          </w:p>
        </w:tc>
      </w:tr>
      <w:tr w14:paraId="48A3D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2AF8B60">
            <w:pPr>
              <w:pStyle w:val="39"/>
              <w:numPr>
                <w:ilvl w:val="0"/>
                <w:numId w:val="7"/>
              </w:numPr>
              <w:spacing w:line="240" w:lineRule="auto"/>
              <w:ind w:firstLineChars="0"/>
              <w:jc w:val="center"/>
              <w:rPr>
                <w:rFonts w:cs="Times New Roman"/>
                <w:sz w:val="21"/>
                <w:szCs w:val="21"/>
              </w:rPr>
            </w:pPr>
          </w:p>
        </w:tc>
        <w:tc>
          <w:tcPr>
            <w:tcW w:w="992" w:type="dxa"/>
            <w:noWrap/>
            <w:vAlign w:val="center"/>
          </w:tcPr>
          <w:p w14:paraId="0A69B4C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5A276F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5562ED6">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3DC9A122">
            <w:pPr>
              <w:spacing w:line="240" w:lineRule="auto"/>
              <w:ind w:firstLine="0" w:firstLineChars="0"/>
              <w:jc w:val="center"/>
              <w:rPr>
                <w:rFonts w:cs="Times New Roman"/>
                <w:sz w:val="21"/>
                <w:szCs w:val="21"/>
              </w:rPr>
            </w:pPr>
            <w:r>
              <w:rPr>
                <w:rFonts w:hint="eastAsia" w:cs="Times New Roman"/>
                <w:sz w:val="21"/>
                <w:szCs w:val="21"/>
              </w:rPr>
              <w:t>芦巷村</w:t>
            </w:r>
          </w:p>
        </w:tc>
        <w:tc>
          <w:tcPr>
            <w:tcW w:w="1701" w:type="dxa"/>
            <w:noWrap/>
            <w:vAlign w:val="center"/>
          </w:tcPr>
          <w:p w14:paraId="383C6BCC">
            <w:pPr>
              <w:spacing w:line="240" w:lineRule="auto"/>
              <w:ind w:firstLine="0" w:firstLineChars="0"/>
              <w:jc w:val="center"/>
              <w:rPr>
                <w:rFonts w:cs="Times New Roman"/>
                <w:sz w:val="21"/>
                <w:szCs w:val="21"/>
              </w:rPr>
            </w:pPr>
            <w:r>
              <w:rPr>
                <w:rFonts w:hint="eastAsia" w:cs="Times New Roman"/>
                <w:sz w:val="21"/>
                <w:szCs w:val="21"/>
              </w:rPr>
              <w:t>119.432108</w:t>
            </w:r>
          </w:p>
        </w:tc>
        <w:tc>
          <w:tcPr>
            <w:tcW w:w="1690" w:type="dxa"/>
            <w:noWrap/>
            <w:vAlign w:val="center"/>
          </w:tcPr>
          <w:p w14:paraId="62DE229A">
            <w:pPr>
              <w:spacing w:line="240" w:lineRule="auto"/>
              <w:ind w:firstLine="0" w:firstLineChars="0"/>
              <w:jc w:val="center"/>
              <w:rPr>
                <w:rFonts w:cs="Times New Roman"/>
                <w:sz w:val="21"/>
                <w:szCs w:val="21"/>
              </w:rPr>
            </w:pPr>
            <w:r>
              <w:rPr>
                <w:rFonts w:hint="eastAsia" w:cs="Times New Roman"/>
                <w:sz w:val="21"/>
                <w:szCs w:val="21"/>
              </w:rPr>
              <w:t>31.64966</w:t>
            </w:r>
          </w:p>
        </w:tc>
        <w:tc>
          <w:tcPr>
            <w:tcW w:w="1080" w:type="dxa"/>
            <w:noWrap/>
            <w:vAlign w:val="center"/>
          </w:tcPr>
          <w:p w14:paraId="548514C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0972C79">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6BAF88CE">
            <w:pPr>
              <w:spacing w:line="240" w:lineRule="auto"/>
              <w:ind w:firstLine="0" w:firstLineChars="0"/>
              <w:jc w:val="center"/>
              <w:rPr>
                <w:rFonts w:cs="Times New Roman"/>
                <w:sz w:val="21"/>
                <w:szCs w:val="21"/>
              </w:rPr>
            </w:pPr>
            <w:r>
              <w:rPr>
                <w:rFonts w:hint="eastAsia" w:cs="Times New Roman"/>
                <w:sz w:val="21"/>
                <w:szCs w:val="21"/>
              </w:rPr>
              <w:t>1589</w:t>
            </w:r>
          </w:p>
        </w:tc>
        <w:tc>
          <w:tcPr>
            <w:tcW w:w="1168" w:type="dxa"/>
            <w:noWrap/>
            <w:vAlign w:val="center"/>
          </w:tcPr>
          <w:p w14:paraId="0046A7F7">
            <w:pPr>
              <w:spacing w:line="240" w:lineRule="auto"/>
              <w:ind w:firstLine="0" w:firstLineChars="0"/>
              <w:jc w:val="center"/>
              <w:rPr>
                <w:rFonts w:cs="Times New Roman"/>
                <w:sz w:val="21"/>
                <w:szCs w:val="21"/>
              </w:rPr>
            </w:pPr>
            <w:r>
              <w:rPr>
                <w:rFonts w:hint="eastAsia" w:cs="Times New Roman"/>
                <w:sz w:val="21"/>
                <w:szCs w:val="21"/>
              </w:rPr>
              <w:t>约200</w:t>
            </w:r>
          </w:p>
        </w:tc>
      </w:tr>
      <w:tr w14:paraId="6CCF5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7DA27B9">
            <w:pPr>
              <w:pStyle w:val="39"/>
              <w:numPr>
                <w:ilvl w:val="0"/>
                <w:numId w:val="7"/>
              </w:numPr>
              <w:spacing w:line="240" w:lineRule="auto"/>
              <w:ind w:firstLineChars="0"/>
              <w:jc w:val="center"/>
              <w:rPr>
                <w:rFonts w:cs="Times New Roman"/>
                <w:sz w:val="21"/>
                <w:szCs w:val="21"/>
              </w:rPr>
            </w:pPr>
          </w:p>
        </w:tc>
        <w:tc>
          <w:tcPr>
            <w:tcW w:w="992" w:type="dxa"/>
            <w:noWrap/>
            <w:vAlign w:val="center"/>
          </w:tcPr>
          <w:p w14:paraId="5F5AC6E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AC7B73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EE24D3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B40EEA6">
            <w:pPr>
              <w:spacing w:line="240" w:lineRule="auto"/>
              <w:ind w:firstLine="0" w:firstLineChars="0"/>
              <w:jc w:val="center"/>
              <w:rPr>
                <w:rFonts w:cs="Times New Roman"/>
                <w:sz w:val="21"/>
                <w:szCs w:val="21"/>
              </w:rPr>
            </w:pPr>
            <w:r>
              <w:rPr>
                <w:rFonts w:hint="eastAsia" w:cs="Times New Roman"/>
                <w:sz w:val="21"/>
                <w:szCs w:val="21"/>
              </w:rPr>
              <w:t>马场里</w:t>
            </w:r>
          </w:p>
        </w:tc>
        <w:tc>
          <w:tcPr>
            <w:tcW w:w="1701" w:type="dxa"/>
            <w:noWrap/>
            <w:vAlign w:val="center"/>
          </w:tcPr>
          <w:p w14:paraId="660A32BA">
            <w:pPr>
              <w:spacing w:line="240" w:lineRule="auto"/>
              <w:ind w:firstLine="0" w:firstLineChars="0"/>
              <w:jc w:val="center"/>
              <w:rPr>
                <w:rFonts w:cs="Times New Roman"/>
                <w:sz w:val="21"/>
                <w:szCs w:val="21"/>
              </w:rPr>
            </w:pPr>
            <w:r>
              <w:rPr>
                <w:rFonts w:hint="eastAsia" w:cs="Times New Roman"/>
                <w:sz w:val="21"/>
                <w:szCs w:val="21"/>
              </w:rPr>
              <w:t>119.430298</w:t>
            </w:r>
          </w:p>
        </w:tc>
        <w:tc>
          <w:tcPr>
            <w:tcW w:w="1690" w:type="dxa"/>
            <w:noWrap/>
            <w:vAlign w:val="center"/>
          </w:tcPr>
          <w:p w14:paraId="580C1D21">
            <w:pPr>
              <w:spacing w:line="240" w:lineRule="auto"/>
              <w:ind w:firstLine="0" w:firstLineChars="0"/>
              <w:jc w:val="center"/>
              <w:rPr>
                <w:rFonts w:cs="Times New Roman"/>
                <w:sz w:val="21"/>
                <w:szCs w:val="21"/>
              </w:rPr>
            </w:pPr>
            <w:r>
              <w:rPr>
                <w:rFonts w:hint="eastAsia" w:cs="Times New Roman"/>
                <w:sz w:val="21"/>
                <w:szCs w:val="21"/>
              </w:rPr>
              <w:t>31.65443</w:t>
            </w:r>
          </w:p>
        </w:tc>
        <w:tc>
          <w:tcPr>
            <w:tcW w:w="1080" w:type="dxa"/>
            <w:noWrap/>
            <w:vAlign w:val="center"/>
          </w:tcPr>
          <w:p w14:paraId="677E431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FA06A7C">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41389872">
            <w:pPr>
              <w:spacing w:line="240" w:lineRule="auto"/>
              <w:ind w:firstLine="0" w:firstLineChars="0"/>
              <w:jc w:val="center"/>
              <w:rPr>
                <w:rFonts w:cs="Times New Roman"/>
                <w:sz w:val="21"/>
                <w:szCs w:val="21"/>
              </w:rPr>
            </w:pPr>
            <w:r>
              <w:rPr>
                <w:rFonts w:hint="eastAsia" w:cs="Times New Roman"/>
                <w:sz w:val="21"/>
                <w:szCs w:val="21"/>
              </w:rPr>
              <w:t>1559</w:t>
            </w:r>
          </w:p>
        </w:tc>
        <w:tc>
          <w:tcPr>
            <w:tcW w:w="1168" w:type="dxa"/>
            <w:noWrap/>
            <w:vAlign w:val="center"/>
          </w:tcPr>
          <w:p w14:paraId="305296D9">
            <w:pPr>
              <w:spacing w:line="240" w:lineRule="auto"/>
              <w:ind w:firstLine="0" w:firstLineChars="0"/>
              <w:jc w:val="center"/>
              <w:rPr>
                <w:rFonts w:cs="Times New Roman"/>
                <w:sz w:val="21"/>
                <w:szCs w:val="21"/>
              </w:rPr>
            </w:pPr>
            <w:r>
              <w:rPr>
                <w:rFonts w:hint="eastAsia" w:cs="Times New Roman"/>
                <w:sz w:val="21"/>
                <w:szCs w:val="21"/>
              </w:rPr>
              <w:t>约50</w:t>
            </w:r>
          </w:p>
        </w:tc>
      </w:tr>
      <w:tr w14:paraId="2DB91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4AC352C">
            <w:pPr>
              <w:pStyle w:val="39"/>
              <w:numPr>
                <w:ilvl w:val="0"/>
                <w:numId w:val="7"/>
              </w:numPr>
              <w:spacing w:line="240" w:lineRule="auto"/>
              <w:ind w:firstLineChars="0"/>
              <w:jc w:val="center"/>
              <w:rPr>
                <w:rFonts w:cs="Times New Roman"/>
                <w:sz w:val="21"/>
                <w:szCs w:val="21"/>
              </w:rPr>
            </w:pPr>
          </w:p>
        </w:tc>
        <w:tc>
          <w:tcPr>
            <w:tcW w:w="992" w:type="dxa"/>
            <w:noWrap/>
            <w:vAlign w:val="center"/>
          </w:tcPr>
          <w:p w14:paraId="7F70986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624938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75D113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C5BA089">
            <w:pPr>
              <w:spacing w:line="240" w:lineRule="auto"/>
              <w:ind w:firstLine="0" w:firstLineChars="0"/>
              <w:jc w:val="center"/>
              <w:rPr>
                <w:rFonts w:cs="Times New Roman"/>
                <w:sz w:val="21"/>
                <w:szCs w:val="21"/>
              </w:rPr>
            </w:pPr>
            <w:r>
              <w:rPr>
                <w:rFonts w:hint="eastAsia" w:cs="Times New Roman"/>
                <w:sz w:val="21"/>
                <w:szCs w:val="21"/>
              </w:rPr>
              <w:t>花园</w:t>
            </w:r>
          </w:p>
        </w:tc>
        <w:tc>
          <w:tcPr>
            <w:tcW w:w="1701" w:type="dxa"/>
            <w:noWrap/>
            <w:vAlign w:val="center"/>
          </w:tcPr>
          <w:p w14:paraId="728D2428">
            <w:pPr>
              <w:spacing w:line="240" w:lineRule="auto"/>
              <w:ind w:firstLine="0" w:firstLineChars="0"/>
              <w:jc w:val="center"/>
              <w:rPr>
                <w:rFonts w:cs="Times New Roman"/>
                <w:sz w:val="21"/>
                <w:szCs w:val="21"/>
              </w:rPr>
            </w:pPr>
            <w:r>
              <w:rPr>
                <w:rFonts w:hint="eastAsia" w:cs="Times New Roman"/>
                <w:sz w:val="21"/>
                <w:szCs w:val="21"/>
              </w:rPr>
              <w:t>119.421409</w:t>
            </w:r>
          </w:p>
        </w:tc>
        <w:tc>
          <w:tcPr>
            <w:tcW w:w="1690" w:type="dxa"/>
            <w:noWrap/>
            <w:vAlign w:val="center"/>
          </w:tcPr>
          <w:p w14:paraId="179B264E">
            <w:pPr>
              <w:spacing w:line="240" w:lineRule="auto"/>
              <w:ind w:firstLine="0" w:firstLineChars="0"/>
              <w:jc w:val="center"/>
              <w:rPr>
                <w:rFonts w:cs="Times New Roman"/>
                <w:sz w:val="21"/>
                <w:szCs w:val="21"/>
              </w:rPr>
            </w:pPr>
            <w:r>
              <w:rPr>
                <w:rFonts w:hint="eastAsia" w:cs="Times New Roman"/>
                <w:sz w:val="21"/>
                <w:szCs w:val="21"/>
              </w:rPr>
              <w:t>31.656621</w:t>
            </w:r>
          </w:p>
        </w:tc>
        <w:tc>
          <w:tcPr>
            <w:tcW w:w="1080" w:type="dxa"/>
            <w:noWrap/>
            <w:vAlign w:val="center"/>
          </w:tcPr>
          <w:p w14:paraId="66335D8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AD0BB44">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047A7A7">
            <w:pPr>
              <w:spacing w:line="240" w:lineRule="auto"/>
              <w:ind w:firstLine="0" w:firstLineChars="0"/>
              <w:jc w:val="center"/>
              <w:rPr>
                <w:rFonts w:cs="Times New Roman"/>
                <w:sz w:val="21"/>
                <w:szCs w:val="21"/>
              </w:rPr>
            </w:pPr>
            <w:r>
              <w:rPr>
                <w:rFonts w:hint="eastAsia" w:cs="Times New Roman"/>
                <w:sz w:val="21"/>
                <w:szCs w:val="21"/>
              </w:rPr>
              <w:t>823</w:t>
            </w:r>
          </w:p>
        </w:tc>
        <w:tc>
          <w:tcPr>
            <w:tcW w:w="1168" w:type="dxa"/>
            <w:noWrap/>
            <w:vAlign w:val="center"/>
          </w:tcPr>
          <w:p w14:paraId="1CA15AB9">
            <w:pPr>
              <w:spacing w:line="240" w:lineRule="auto"/>
              <w:ind w:firstLine="0" w:firstLineChars="0"/>
              <w:jc w:val="center"/>
              <w:rPr>
                <w:rFonts w:cs="Times New Roman"/>
                <w:sz w:val="21"/>
                <w:szCs w:val="21"/>
              </w:rPr>
            </w:pPr>
            <w:r>
              <w:rPr>
                <w:rFonts w:hint="eastAsia" w:cs="Times New Roman"/>
                <w:sz w:val="21"/>
                <w:szCs w:val="21"/>
              </w:rPr>
              <w:t>约20</w:t>
            </w:r>
          </w:p>
        </w:tc>
      </w:tr>
      <w:tr w14:paraId="43A15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DA44D55">
            <w:pPr>
              <w:pStyle w:val="39"/>
              <w:numPr>
                <w:ilvl w:val="0"/>
                <w:numId w:val="7"/>
              </w:numPr>
              <w:spacing w:line="240" w:lineRule="auto"/>
              <w:ind w:firstLineChars="0"/>
              <w:jc w:val="center"/>
              <w:rPr>
                <w:rFonts w:cs="Times New Roman"/>
                <w:sz w:val="21"/>
                <w:szCs w:val="21"/>
              </w:rPr>
            </w:pPr>
          </w:p>
        </w:tc>
        <w:tc>
          <w:tcPr>
            <w:tcW w:w="992" w:type="dxa"/>
            <w:noWrap/>
            <w:vAlign w:val="center"/>
          </w:tcPr>
          <w:p w14:paraId="00E3310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E92D90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B92623A">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0DA8C6AF">
            <w:pPr>
              <w:spacing w:line="240" w:lineRule="auto"/>
              <w:ind w:firstLine="0" w:firstLineChars="0"/>
              <w:jc w:val="center"/>
              <w:rPr>
                <w:rFonts w:cs="Times New Roman"/>
                <w:sz w:val="21"/>
                <w:szCs w:val="21"/>
              </w:rPr>
            </w:pPr>
            <w:r>
              <w:rPr>
                <w:rFonts w:hint="eastAsia" w:cs="Times New Roman"/>
                <w:sz w:val="21"/>
                <w:szCs w:val="21"/>
              </w:rPr>
              <w:t>时家村</w:t>
            </w:r>
          </w:p>
        </w:tc>
        <w:tc>
          <w:tcPr>
            <w:tcW w:w="1701" w:type="dxa"/>
            <w:noWrap/>
            <w:vAlign w:val="center"/>
          </w:tcPr>
          <w:p w14:paraId="20FD6669">
            <w:pPr>
              <w:spacing w:line="240" w:lineRule="auto"/>
              <w:ind w:firstLine="0" w:firstLineChars="0"/>
              <w:jc w:val="center"/>
              <w:rPr>
                <w:rFonts w:cs="Times New Roman"/>
                <w:sz w:val="21"/>
                <w:szCs w:val="21"/>
              </w:rPr>
            </w:pPr>
            <w:r>
              <w:rPr>
                <w:rFonts w:hint="eastAsia" w:cs="Times New Roman"/>
                <w:sz w:val="21"/>
                <w:szCs w:val="21"/>
              </w:rPr>
              <w:t>119.417525</w:t>
            </w:r>
          </w:p>
        </w:tc>
        <w:tc>
          <w:tcPr>
            <w:tcW w:w="1690" w:type="dxa"/>
            <w:noWrap/>
            <w:vAlign w:val="center"/>
          </w:tcPr>
          <w:p w14:paraId="3CB8EDD3">
            <w:pPr>
              <w:spacing w:line="240" w:lineRule="auto"/>
              <w:ind w:firstLine="0" w:firstLineChars="0"/>
              <w:jc w:val="center"/>
              <w:rPr>
                <w:rFonts w:cs="Times New Roman"/>
                <w:sz w:val="21"/>
                <w:szCs w:val="21"/>
              </w:rPr>
            </w:pPr>
            <w:r>
              <w:rPr>
                <w:rFonts w:hint="eastAsia" w:cs="Times New Roman"/>
                <w:sz w:val="21"/>
                <w:szCs w:val="21"/>
              </w:rPr>
              <w:t>31.641031</w:t>
            </w:r>
          </w:p>
        </w:tc>
        <w:tc>
          <w:tcPr>
            <w:tcW w:w="1080" w:type="dxa"/>
            <w:noWrap/>
            <w:vAlign w:val="center"/>
          </w:tcPr>
          <w:p w14:paraId="2E1C202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23CFCCB">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2D63C240">
            <w:pPr>
              <w:spacing w:line="240" w:lineRule="auto"/>
              <w:ind w:firstLine="0" w:firstLineChars="0"/>
              <w:jc w:val="center"/>
              <w:rPr>
                <w:rFonts w:cs="Times New Roman"/>
                <w:sz w:val="21"/>
                <w:szCs w:val="21"/>
              </w:rPr>
            </w:pPr>
            <w:r>
              <w:rPr>
                <w:rFonts w:hint="eastAsia" w:cs="Times New Roman"/>
                <w:sz w:val="21"/>
                <w:szCs w:val="21"/>
              </w:rPr>
              <w:t>309</w:t>
            </w:r>
          </w:p>
        </w:tc>
        <w:tc>
          <w:tcPr>
            <w:tcW w:w="1168" w:type="dxa"/>
            <w:noWrap/>
            <w:vAlign w:val="center"/>
          </w:tcPr>
          <w:p w14:paraId="0E4747AB">
            <w:pPr>
              <w:spacing w:line="240" w:lineRule="auto"/>
              <w:ind w:firstLine="0" w:firstLineChars="0"/>
              <w:jc w:val="center"/>
              <w:rPr>
                <w:rFonts w:cs="Times New Roman"/>
                <w:sz w:val="21"/>
                <w:szCs w:val="21"/>
              </w:rPr>
            </w:pPr>
            <w:r>
              <w:rPr>
                <w:rFonts w:hint="eastAsia" w:cs="Times New Roman"/>
                <w:sz w:val="21"/>
                <w:szCs w:val="21"/>
              </w:rPr>
              <w:t>约20</w:t>
            </w:r>
          </w:p>
        </w:tc>
      </w:tr>
      <w:tr w14:paraId="7FB75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695C2DE">
            <w:pPr>
              <w:pStyle w:val="39"/>
              <w:numPr>
                <w:ilvl w:val="0"/>
                <w:numId w:val="7"/>
              </w:numPr>
              <w:spacing w:line="240" w:lineRule="auto"/>
              <w:ind w:firstLineChars="0"/>
              <w:jc w:val="center"/>
              <w:rPr>
                <w:rFonts w:cs="Times New Roman"/>
                <w:sz w:val="21"/>
                <w:szCs w:val="21"/>
              </w:rPr>
            </w:pPr>
          </w:p>
        </w:tc>
        <w:tc>
          <w:tcPr>
            <w:tcW w:w="992" w:type="dxa"/>
            <w:noWrap/>
            <w:vAlign w:val="center"/>
          </w:tcPr>
          <w:p w14:paraId="12869B6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06A99D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8861B6E">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400F5797">
            <w:pPr>
              <w:spacing w:line="240" w:lineRule="auto"/>
              <w:ind w:firstLine="0" w:firstLineChars="0"/>
              <w:jc w:val="center"/>
              <w:rPr>
                <w:rFonts w:cs="Times New Roman"/>
                <w:sz w:val="21"/>
                <w:szCs w:val="21"/>
              </w:rPr>
            </w:pPr>
            <w:r>
              <w:rPr>
                <w:rFonts w:hint="eastAsia" w:cs="Times New Roman"/>
                <w:sz w:val="21"/>
                <w:szCs w:val="21"/>
              </w:rPr>
              <w:t>集星村</w:t>
            </w:r>
          </w:p>
        </w:tc>
        <w:tc>
          <w:tcPr>
            <w:tcW w:w="1701" w:type="dxa"/>
            <w:noWrap/>
            <w:vAlign w:val="center"/>
          </w:tcPr>
          <w:p w14:paraId="75FE989C">
            <w:pPr>
              <w:spacing w:line="240" w:lineRule="auto"/>
              <w:ind w:firstLine="0" w:firstLineChars="0"/>
              <w:jc w:val="center"/>
              <w:rPr>
                <w:rFonts w:cs="Times New Roman"/>
                <w:sz w:val="21"/>
                <w:szCs w:val="21"/>
              </w:rPr>
            </w:pPr>
            <w:r>
              <w:rPr>
                <w:rFonts w:hint="eastAsia" w:cs="Times New Roman"/>
                <w:sz w:val="21"/>
                <w:szCs w:val="21"/>
              </w:rPr>
              <w:t>119.420657</w:t>
            </w:r>
          </w:p>
        </w:tc>
        <w:tc>
          <w:tcPr>
            <w:tcW w:w="1690" w:type="dxa"/>
            <w:noWrap/>
            <w:vAlign w:val="center"/>
          </w:tcPr>
          <w:p w14:paraId="286E7B11">
            <w:pPr>
              <w:spacing w:line="240" w:lineRule="auto"/>
              <w:ind w:firstLine="0" w:firstLineChars="0"/>
              <w:jc w:val="center"/>
              <w:rPr>
                <w:rFonts w:cs="Times New Roman"/>
                <w:sz w:val="21"/>
                <w:szCs w:val="21"/>
              </w:rPr>
            </w:pPr>
            <w:r>
              <w:rPr>
                <w:rFonts w:hint="eastAsia" w:cs="Times New Roman"/>
                <w:sz w:val="21"/>
                <w:szCs w:val="21"/>
              </w:rPr>
              <w:t>31.635339</w:t>
            </w:r>
          </w:p>
        </w:tc>
        <w:tc>
          <w:tcPr>
            <w:tcW w:w="1080" w:type="dxa"/>
            <w:noWrap/>
            <w:vAlign w:val="center"/>
          </w:tcPr>
          <w:p w14:paraId="71D0CF6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4FCA9BD">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54FC0C39">
            <w:pPr>
              <w:spacing w:line="240" w:lineRule="auto"/>
              <w:ind w:firstLine="0" w:firstLineChars="0"/>
              <w:jc w:val="center"/>
              <w:rPr>
                <w:rFonts w:cs="Times New Roman"/>
                <w:sz w:val="21"/>
                <w:szCs w:val="21"/>
              </w:rPr>
            </w:pPr>
            <w:r>
              <w:rPr>
                <w:rFonts w:hint="eastAsia" w:cs="Times New Roman"/>
                <w:sz w:val="21"/>
                <w:szCs w:val="21"/>
              </w:rPr>
              <w:t>691</w:t>
            </w:r>
          </w:p>
        </w:tc>
        <w:tc>
          <w:tcPr>
            <w:tcW w:w="1168" w:type="dxa"/>
            <w:noWrap/>
            <w:vAlign w:val="center"/>
          </w:tcPr>
          <w:p w14:paraId="728B4F9A">
            <w:pPr>
              <w:spacing w:line="240" w:lineRule="auto"/>
              <w:ind w:firstLine="0" w:firstLineChars="0"/>
              <w:jc w:val="center"/>
              <w:rPr>
                <w:rFonts w:cs="Times New Roman"/>
                <w:sz w:val="21"/>
                <w:szCs w:val="21"/>
              </w:rPr>
            </w:pPr>
            <w:r>
              <w:rPr>
                <w:rFonts w:hint="eastAsia" w:cs="Times New Roman"/>
                <w:sz w:val="21"/>
                <w:szCs w:val="21"/>
              </w:rPr>
              <w:t>约300</w:t>
            </w:r>
          </w:p>
        </w:tc>
      </w:tr>
      <w:tr w14:paraId="4DDBA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60E6D6C">
            <w:pPr>
              <w:pStyle w:val="39"/>
              <w:numPr>
                <w:ilvl w:val="0"/>
                <w:numId w:val="7"/>
              </w:numPr>
              <w:spacing w:line="240" w:lineRule="auto"/>
              <w:ind w:firstLineChars="0"/>
              <w:jc w:val="center"/>
              <w:rPr>
                <w:rFonts w:cs="Times New Roman"/>
                <w:sz w:val="21"/>
                <w:szCs w:val="21"/>
              </w:rPr>
            </w:pPr>
          </w:p>
        </w:tc>
        <w:tc>
          <w:tcPr>
            <w:tcW w:w="992" w:type="dxa"/>
            <w:noWrap/>
            <w:vAlign w:val="center"/>
          </w:tcPr>
          <w:p w14:paraId="2E656E7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9642C3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736BAFF">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4E73559A">
            <w:pPr>
              <w:spacing w:line="240" w:lineRule="auto"/>
              <w:ind w:firstLine="0" w:firstLineChars="0"/>
              <w:jc w:val="center"/>
              <w:rPr>
                <w:rFonts w:cs="Times New Roman"/>
                <w:sz w:val="21"/>
                <w:szCs w:val="21"/>
              </w:rPr>
            </w:pPr>
            <w:r>
              <w:rPr>
                <w:rFonts w:hint="eastAsia" w:cs="Times New Roman"/>
                <w:sz w:val="21"/>
                <w:szCs w:val="21"/>
              </w:rPr>
              <w:t>史塔坝</w:t>
            </w:r>
          </w:p>
        </w:tc>
        <w:tc>
          <w:tcPr>
            <w:tcW w:w="1701" w:type="dxa"/>
            <w:noWrap/>
            <w:vAlign w:val="center"/>
          </w:tcPr>
          <w:p w14:paraId="23218FEB">
            <w:pPr>
              <w:spacing w:line="240" w:lineRule="auto"/>
              <w:ind w:firstLine="0" w:firstLineChars="0"/>
              <w:jc w:val="center"/>
              <w:rPr>
                <w:rFonts w:cs="Times New Roman"/>
                <w:sz w:val="21"/>
                <w:szCs w:val="21"/>
              </w:rPr>
            </w:pPr>
            <w:r>
              <w:rPr>
                <w:rFonts w:hint="eastAsia" w:cs="Times New Roman"/>
                <w:sz w:val="21"/>
                <w:szCs w:val="21"/>
              </w:rPr>
              <w:t>119.41458</w:t>
            </w:r>
          </w:p>
        </w:tc>
        <w:tc>
          <w:tcPr>
            <w:tcW w:w="1690" w:type="dxa"/>
            <w:noWrap/>
            <w:vAlign w:val="center"/>
          </w:tcPr>
          <w:p w14:paraId="482A049E">
            <w:pPr>
              <w:spacing w:line="240" w:lineRule="auto"/>
              <w:ind w:firstLine="0" w:firstLineChars="0"/>
              <w:jc w:val="center"/>
              <w:rPr>
                <w:rFonts w:cs="Times New Roman"/>
                <w:sz w:val="21"/>
                <w:szCs w:val="21"/>
              </w:rPr>
            </w:pPr>
            <w:r>
              <w:rPr>
                <w:rFonts w:hint="eastAsia" w:cs="Times New Roman"/>
                <w:sz w:val="21"/>
                <w:szCs w:val="21"/>
              </w:rPr>
              <w:t>31.630984</w:t>
            </w:r>
          </w:p>
        </w:tc>
        <w:tc>
          <w:tcPr>
            <w:tcW w:w="1080" w:type="dxa"/>
            <w:noWrap/>
            <w:vAlign w:val="center"/>
          </w:tcPr>
          <w:p w14:paraId="0923461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F3BA6E2">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62D8C386">
            <w:pPr>
              <w:spacing w:line="240" w:lineRule="auto"/>
              <w:ind w:firstLine="0" w:firstLineChars="0"/>
              <w:jc w:val="center"/>
              <w:rPr>
                <w:rFonts w:cs="Times New Roman"/>
                <w:sz w:val="21"/>
                <w:szCs w:val="21"/>
              </w:rPr>
            </w:pPr>
            <w:r>
              <w:rPr>
                <w:rFonts w:hint="eastAsia" w:cs="Times New Roman"/>
                <w:sz w:val="21"/>
                <w:szCs w:val="21"/>
              </w:rPr>
              <w:t>559</w:t>
            </w:r>
          </w:p>
        </w:tc>
        <w:tc>
          <w:tcPr>
            <w:tcW w:w="1168" w:type="dxa"/>
            <w:noWrap/>
            <w:vAlign w:val="center"/>
          </w:tcPr>
          <w:p w14:paraId="3A2CCFAA">
            <w:pPr>
              <w:spacing w:line="240" w:lineRule="auto"/>
              <w:ind w:firstLine="0" w:firstLineChars="0"/>
              <w:jc w:val="center"/>
              <w:rPr>
                <w:rFonts w:cs="Times New Roman"/>
                <w:sz w:val="21"/>
                <w:szCs w:val="21"/>
              </w:rPr>
            </w:pPr>
            <w:r>
              <w:rPr>
                <w:rFonts w:hint="eastAsia" w:cs="Times New Roman"/>
                <w:sz w:val="21"/>
                <w:szCs w:val="21"/>
              </w:rPr>
              <w:t>约30</w:t>
            </w:r>
          </w:p>
        </w:tc>
      </w:tr>
      <w:tr w14:paraId="13869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11CBDA2">
            <w:pPr>
              <w:pStyle w:val="39"/>
              <w:numPr>
                <w:ilvl w:val="0"/>
                <w:numId w:val="7"/>
              </w:numPr>
              <w:spacing w:line="240" w:lineRule="auto"/>
              <w:ind w:firstLineChars="0"/>
              <w:jc w:val="center"/>
              <w:rPr>
                <w:rFonts w:cs="Times New Roman"/>
                <w:sz w:val="21"/>
                <w:szCs w:val="21"/>
              </w:rPr>
            </w:pPr>
          </w:p>
        </w:tc>
        <w:tc>
          <w:tcPr>
            <w:tcW w:w="992" w:type="dxa"/>
            <w:noWrap/>
            <w:vAlign w:val="center"/>
          </w:tcPr>
          <w:p w14:paraId="1ADC399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155BA2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9D3F7E4">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67BA86BB">
            <w:pPr>
              <w:spacing w:line="240" w:lineRule="auto"/>
              <w:ind w:firstLine="0" w:firstLineChars="0"/>
              <w:jc w:val="center"/>
              <w:rPr>
                <w:rFonts w:cs="Times New Roman"/>
                <w:sz w:val="21"/>
                <w:szCs w:val="21"/>
              </w:rPr>
            </w:pPr>
            <w:r>
              <w:rPr>
                <w:rFonts w:hint="eastAsia" w:cs="Times New Roman"/>
                <w:sz w:val="21"/>
                <w:szCs w:val="21"/>
              </w:rPr>
              <w:t>下庄</w:t>
            </w:r>
          </w:p>
        </w:tc>
        <w:tc>
          <w:tcPr>
            <w:tcW w:w="1701" w:type="dxa"/>
            <w:noWrap/>
            <w:vAlign w:val="center"/>
          </w:tcPr>
          <w:p w14:paraId="61F3A38B">
            <w:pPr>
              <w:spacing w:line="240" w:lineRule="auto"/>
              <w:ind w:firstLine="0" w:firstLineChars="0"/>
              <w:jc w:val="center"/>
              <w:rPr>
                <w:rFonts w:cs="Times New Roman"/>
                <w:sz w:val="21"/>
                <w:szCs w:val="21"/>
              </w:rPr>
            </w:pPr>
            <w:r>
              <w:rPr>
                <w:rFonts w:hint="eastAsia" w:cs="Times New Roman"/>
                <w:sz w:val="21"/>
                <w:szCs w:val="21"/>
              </w:rPr>
              <w:t>119.410188</w:t>
            </w:r>
          </w:p>
        </w:tc>
        <w:tc>
          <w:tcPr>
            <w:tcW w:w="1690" w:type="dxa"/>
            <w:noWrap/>
            <w:vAlign w:val="center"/>
          </w:tcPr>
          <w:p w14:paraId="24511CE8">
            <w:pPr>
              <w:spacing w:line="240" w:lineRule="auto"/>
              <w:ind w:firstLine="0" w:firstLineChars="0"/>
              <w:jc w:val="center"/>
              <w:rPr>
                <w:rFonts w:cs="Times New Roman"/>
                <w:sz w:val="21"/>
                <w:szCs w:val="21"/>
              </w:rPr>
            </w:pPr>
            <w:r>
              <w:rPr>
                <w:rFonts w:hint="eastAsia" w:cs="Times New Roman"/>
                <w:sz w:val="21"/>
                <w:szCs w:val="21"/>
              </w:rPr>
              <w:t>31.62609</w:t>
            </w:r>
          </w:p>
        </w:tc>
        <w:tc>
          <w:tcPr>
            <w:tcW w:w="1080" w:type="dxa"/>
            <w:noWrap/>
            <w:vAlign w:val="center"/>
          </w:tcPr>
          <w:p w14:paraId="3F262EF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F82F7BB">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363B5113">
            <w:pPr>
              <w:spacing w:line="240" w:lineRule="auto"/>
              <w:ind w:firstLine="0" w:firstLineChars="0"/>
              <w:jc w:val="center"/>
              <w:rPr>
                <w:rFonts w:cs="Times New Roman"/>
                <w:sz w:val="21"/>
                <w:szCs w:val="21"/>
              </w:rPr>
            </w:pPr>
            <w:r>
              <w:rPr>
                <w:rFonts w:hint="eastAsia" w:cs="Times New Roman"/>
                <w:sz w:val="21"/>
                <w:szCs w:val="21"/>
              </w:rPr>
              <w:t>241</w:t>
            </w:r>
          </w:p>
        </w:tc>
        <w:tc>
          <w:tcPr>
            <w:tcW w:w="1168" w:type="dxa"/>
            <w:noWrap/>
            <w:vAlign w:val="center"/>
          </w:tcPr>
          <w:p w14:paraId="65276E82">
            <w:pPr>
              <w:spacing w:line="240" w:lineRule="auto"/>
              <w:ind w:firstLine="0" w:firstLineChars="0"/>
              <w:jc w:val="center"/>
              <w:rPr>
                <w:rFonts w:cs="Times New Roman"/>
                <w:sz w:val="21"/>
                <w:szCs w:val="21"/>
              </w:rPr>
            </w:pPr>
            <w:r>
              <w:rPr>
                <w:rFonts w:hint="eastAsia" w:cs="Times New Roman"/>
                <w:sz w:val="21"/>
                <w:szCs w:val="21"/>
              </w:rPr>
              <w:t>约20</w:t>
            </w:r>
          </w:p>
        </w:tc>
      </w:tr>
      <w:tr w14:paraId="369BB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3ECEFE6">
            <w:pPr>
              <w:pStyle w:val="39"/>
              <w:numPr>
                <w:ilvl w:val="0"/>
                <w:numId w:val="7"/>
              </w:numPr>
              <w:spacing w:line="240" w:lineRule="auto"/>
              <w:ind w:firstLineChars="0"/>
              <w:jc w:val="center"/>
              <w:rPr>
                <w:rFonts w:cs="Times New Roman"/>
                <w:sz w:val="21"/>
                <w:szCs w:val="21"/>
              </w:rPr>
            </w:pPr>
          </w:p>
        </w:tc>
        <w:tc>
          <w:tcPr>
            <w:tcW w:w="992" w:type="dxa"/>
            <w:noWrap/>
            <w:vAlign w:val="center"/>
          </w:tcPr>
          <w:p w14:paraId="3775A0F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100D2F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49171A1">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3770E8D9">
            <w:pPr>
              <w:spacing w:line="240" w:lineRule="auto"/>
              <w:ind w:firstLine="0" w:firstLineChars="0"/>
              <w:jc w:val="center"/>
              <w:rPr>
                <w:rFonts w:cs="Times New Roman"/>
                <w:sz w:val="21"/>
                <w:szCs w:val="21"/>
              </w:rPr>
            </w:pPr>
            <w:r>
              <w:rPr>
                <w:rFonts w:hint="eastAsia" w:cs="Times New Roman"/>
                <w:sz w:val="21"/>
                <w:szCs w:val="21"/>
              </w:rPr>
              <w:t>朱家村</w:t>
            </w:r>
          </w:p>
        </w:tc>
        <w:tc>
          <w:tcPr>
            <w:tcW w:w="1701" w:type="dxa"/>
            <w:noWrap/>
            <w:vAlign w:val="center"/>
          </w:tcPr>
          <w:p w14:paraId="524F6C93">
            <w:pPr>
              <w:spacing w:line="240" w:lineRule="auto"/>
              <w:ind w:firstLine="0" w:firstLineChars="0"/>
              <w:jc w:val="center"/>
              <w:rPr>
                <w:rFonts w:cs="Times New Roman"/>
                <w:sz w:val="21"/>
                <w:szCs w:val="21"/>
              </w:rPr>
            </w:pPr>
            <w:r>
              <w:rPr>
                <w:rFonts w:hint="eastAsia" w:cs="Times New Roman"/>
                <w:sz w:val="21"/>
                <w:szCs w:val="21"/>
              </w:rPr>
              <w:t>119.417517</w:t>
            </w:r>
          </w:p>
        </w:tc>
        <w:tc>
          <w:tcPr>
            <w:tcW w:w="1690" w:type="dxa"/>
            <w:noWrap/>
            <w:vAlign w:val="center"/>
          </w:tcPr>
          <w:p w14:paraId="38B5917F">
            <w:pPr>
              <w:spacing w:line="240" w:lineRule="auto"/>
              <w:ind w:firstLine="0" w:firstLineChars="0"/>
              <w:jc w:val="center"/>
              <w:rPr>
                <w:rFonts w:cs="Times New Roman"/>
                <w:sz w:val="21"/>
                <w:szCs w:val="21"/>
              </w:rPr>
            </w:pPr>
            <w:r>
              <w:rPr>
                <w:rFonts w:hint="eastAsia" w:cs="Times New Roman"/>
                <w:sz w:val="21"/>
                <w:szCs w:val="21"/>
              </w:rPr>
              <w:t>31.628117</w:t>
            </w:r>
          </w:p>
        </w:tc>
        <w:tc>
          <w:tcPr>
            <w:tcW w:w="1080" w:type="dxa"/>
            <w:noWrap/>
            <w:vAlign w:val="center"/>
          </w:tcPr>
          <w:p w14:paraId="2A605D8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9863F09">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4FD5CA59">
            <w:pPr>
              <w:spacing w:line="240" w:lineRule="auto"/>
              <w:ind w:firstLine="0" w:firstLineChars="0"/>
              <w:jc w:val="center"/>
              <w:rPr>
                <w:rFonts w:cs="Times New Roman"/>
                <w:sz w:val="21"/>
                <w:szCs w:val="21"/>
              </w:rPr>
            </w:pPr>
            <w:r>
              <w:rPr>
                <w:rFonts w:hint="eastAsia" w:cs="Times New Roman"/>
                <w:sz w:val="21"/>
                <w:szCs w:val="21"/>
              </w:rPr>
              <w:t>621</w:t>
            </w:r>
          </w:p>
        </w:tc>
        <w:tc>
          <w:tcPr>
            <w:tcW w:w="1168" w:type="dxa"/>
            <w:noWrap/>
            <w:vAlign w:val="center"/>
          </w:tcPr>
          <w:p w14:paraId="2C40907C">
            <w:pPr>
              <w:spacing w:line="240" w:lineRule="auto"/>
              <w:ind w:firstLine="0" w:firstLineChars="0"/>
              <w:jc w:val="center"/>
              <w:rPr>
                <w:rFonts w:cs="Times New Roman"/>
                <w:sz w:val="21"/>
                <w:szCs w:val="21"/>
              </w:rPr>
            </w:pPr>
            <w:r>
              <w:rPr>
                <w:rFonts w:hint="eastAsia" w:cs="Times New Roman"/>
                <w:sz w:val="21"/>
                <w:szCs w:val="21"/>
              </w:rPr>
              <w:t>约20</w:t>
            </w:r>
          </w:p>
        </w:tc>
      </w:tr>
      <w:tr w14:paraId="71BDC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F83D5C4">
            <w:pPr>
              <w:pStyle w:val="39"/>
              <w:numPr>
                <w:ilvl w:val="0"/>
                <w:numId w:val="7"/>
              </w:numPr>
              <w:spacing w:line="240" w:lineRule="auto"/>
              <w:ind w:firstLineChars="0"/>
              <w:jc w:val="center"/>
              <w:rPr>
                <w:rFonts w:cs="Times New Roman"/>
                <w:sz w:val="21"/>
                <w:szCs w:val="21"/>
              </w:rPr>
            </w:pPr>
          </w:p>
        </w:tc>
        <w:tc>
          <w:tcPr>
            <w:tcW w:w="992" w:type="dxa"/>
            <w:noWrap/>
            <w:vAlign w:val="center"/>
          </w:tcPr>
          <w:p w14:paraId="6350188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E0A2F4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7BF0434">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38D37DEF">
            <w:pPr>
              <w:spacing w:line="240" w:lineRule="auto"/>
              <w:ind w:firstLine="0" w:firstLineChars="0"/>
              <w:jc w:val="center"/>
              <w:rPr>
                <w:rFonts w:cs="Times New Roman"/>
                <w:sz w:val="21"/>
                <w:szCs w:val="21"/>
              </w:rPr>
            </w:pPr>
            <w:r>
              <w:rPr>
                <w:rFonts w:hint="eastAsia" w:cs="Times New Roman"/>
                <w:sz w:val="21"/>
                <w:szCs w:val="21"/>
              </w:rPr>
              <w:t>徐家村</w:t>
            </w:r>
          </w:p>
        </w:tc>
        <w:tc>
          <w:tcPr>
            <w:tcW w:w="1701" w:type="dxa"/>
            <w:noWrap/>
            <w:vAlign w:val="center"/>
          </w:tcPr>
          <w:p w14:paraId="17FF70F6">
            <w:pPr>
              <w:spacing w:line="240" w:lineRule="auto"/>
              <w:ind w:firstLine="0" w:firstLineChars="0"/>
              <w:jc w:val="center"/>
              <w:rPr>
                <w:rFonts w:cs="Times New Roman"/>
                <w:sz w:val="21"/>
                <w:szCs w:val="21"/>
              </w:rPr>
            </w:pPr>
            <w:r>
              <w:rPr>
                <w:rFonts w:hint="eastAsia" w:cs="Times New Roman"/>
                <w:sz w:val="21"/>
                <w:szCs w:val="21"/>
              </w:rPr>
              <w:t>119.418595</w:t>
            </w:r>
          </w:p>
        </w:tc>
        <w:tc>
          <w:tcPr>
            <w:tcW w:w="1690" w:type="dxa"/>
            <w:noWrap/>
            <w:vAlign w:val="center"/>
          </w:tcPr>
          <w:p w14:paraId="4BE6194F">
            <w:pPr>
              <w:spacing w:line="240" w:lineRule="auto"/>
              <w:ind w:firstLine="0" w:firstLineChars="0"/>
              <w:jc w:val="center"/>
              <w:rPr>
                <w:rFonts w:cs="Times New Roman"/>
                <w:sz w:val="21"/>
                <w:szCs w:val="21"/>
              </w:rPr>
            </w:pPr>
            <w:r>
              <w:rPr>
                <w:rFonts w:hint="eastAsia" w:cs="Times New Roman"/>
                <w:sz w:val="21"/>
                <w:szCs w:val="21"/>
              </w:rPr>
              <w:t>31.626281</w:t>
            </w:r>
          </w:p>
        </w:tc>
        <w:tc>
          <w:tcPr>
            <w:tcW w:w="1080" w:type="dxa"/>
            <w:noWrap/>
            <w:vAlign w:val="center"/>
          </w:tcPr>
          <w:p w14:paraId="48B4D52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BA1EF40">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22E160AF">
            <w:pPr>
              <w:spacing w:line="240" w:lineRule="auto"/>
              <w:ind w:firstLine="0" w:firstLineChars="0"/>
              <w:jc w:val="center"/>
              <w:rPr>
                <w:rFonts w:cs="Times New Roman"/>
                <w:sz w:val="21"/>
                <w:szCs w:val="21"/>
              </w:rPr>
            </w:pPr>
            <w:r>
              <w:rPr>
                <w:rFonts w:hint="eastAsia" w:cs="Times New Roman"/>
                <w:sz w:val="21"/>
                <w:szCs w:val="21"/>
              </w:rPr>
              <w:t>821</w:t>
            </w:r>
          </w:p>
        </w:tc>
        <w:tc>
          <w:tcPr>
            <w:tcW w:w="1168" w:type="dxa"/>
            <w:noWrap/>
            <w:vAlign w:val="center"/>
          </w:tcPr>
          <w:p w14:paraId="5AF0D3F1">
            <w:pPr>
              <w:spacing w:line="240" w:lineRule="auto"/>
              <w:ind w:firstLine="0" w:firstLineChars="0"/>
              <w:jc w:val="center"/>
              <w:rPr>
                <w:rFonts w:cs="Times New Roman"/>
                <w:sz w:val="21"/>
                <w:szCs w:val="21"/>
              </w:rPr>
            </w:pPr>
            <w:r>
              <w:rPr>
                <w:rFonts w:hint="eastAsia" w:cs="Times New Roman"/>
                <w:sz w:val="21"/>
                <w:szCs w:val="21"/>
              </w:rPr>
              <w:t>约50</w:t>
            </w:r>
          </w:p>
        </w:tc>
      </w:tr>
      <w:tr w14:paraId="40AEA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D0EB956">
            <w:pPr>
              <w:pStyle w:val="39"/>
              <w:numPr>
                <w:ilvl w:val="0"/>
                <w:numId w:val="7"/>
              </w:numPr>
              <w:spacing w:line="240" w:lineRule="auto"/>
              <w:ind w:firstLineChars="0"/>
              <w:jc w:val="center"/>
              <w:rPr>
                <w:rFonts w:cs="Times New Roman"/>
                <w:sz w:val="21"/>
                <w:szCs w:val="21"/>
              </w:rPr>
            </w:pPr>
          </w:p>
        </w:tc>
        <w:tc>
          <w:tcPr>
            <w:tcW w:w="992" w:type="dxa"/>
            <w:noWrap/>
            <w:vAlign w:val="center"/>
          </w:tcPr>
          <w:p w14:paraId="0F1A398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90053C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1AC4F93">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34A7F46B">
            <w:pPr>
              <w:spacing w:line="240" w:lineRule="auto"/>
              <w:ind w:firstLine="0" w:firstLineChars="0"/>
              <w:jc w:val="center"/>
              <w:rPr>
                <w:rFonts w:cs="Times New Roman"/>
                <w:sz w:val="21"/>
                <w:szCs w:val="21"/>
              </w:rPr>
            </w:pPr>
            <w:r>
              <w:rPr>
                <w:rFonts w:hint="eastAsia" w:cs="Times New Roman"/>
                <w:sz w:val="21"/>
                <w:szCs w:val="21"/>
              </w:rPr>
              <w:t>许家村</w:t>
            </w:r>
          </w:p>
        </w:tc>
        <w:tc>
          <w:tcPr>
            <w:tcW w:w="1701" w:type="dxa"/>
            <w:noWrap/>
            <w:vAlign w:val="center"/>
          </w:tcPr>
          <w:p w14:paraId="6DE51812">
            <w:pPr>
              <w:spacing w:line="240" w:lineRule="auto"/>
              <w:ind w:firstLine="0" w:firstLineChars="0"/>
              <w:jc w:val="center"/>
              <w:rPr>
                <w:rFonts w:cs="Times New Roman"/>
                <w:sz w:val="21"/>
                <w:szCs w:val="21"/>
              </w:rPr>
            </w:pPr>
            <w:r>
              <w:rPr>
                <w:rFonts w:hint="eastAsia" w:cs="Times New Roman"/>
                <w:sz w:val="21"/>
                <w:szCs w:val="21"/>
              </w:rPr>
              <w:t>119.420362</w:t>
            </w:r>
          </w:p>
        </w:tc>
        <w:tc>
          <w:tcPr>
            <w:tcW w:w="1690" w:type="dxa"/>
            <w:noWrap/>
            <w:vAlign w:val="center"/>
          </w:tcPr>
          <w:p w14:paraId="0D0E8E7B">
            <w:pPr>
              <w:spacing w:line="240" w:lineRule="auto"/>
              <w:ind w:firstLine="0" w:firstLineChars="0"/>
              <w:jc w:val="center"/>
              <w:rPr>
                <w:rFonts w:cs="Times New Roman"/>
                <w:sz w:val="21"/>
                <w:szCs w:val="21"/>
              </w:rPr>
            </w:pPr>
            <w:r>
              <w:rPr>
                <w:rFonts w:hint="eastAsia" w:cs="Times New Roman"/>
                <w:sz w:val="21"/>
                <w:szCs w:val="21"/>
              </w:rPr>
              <w:t>31.626932</w:t>
            </w:r>
          </w:p>
        </w:tc>
        <w:tc>
          <w:tcPr>
            <w:tcW w:w="1080" w:type="dxa"/>
            <w:noWrap/>
            <w:vAlign w:val="center"/>
          </w:tcPr>
          <w:p w14:paraId="1E95D88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8659ED6">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37F86CF3">
            <w:pPr>
              <w:spacing w:line="240" w:lineRule="auto"/>
              <w:ind w:firstLine="0" w:firstLineChars="0"/>
              <w:jc w:val="center"/>
              <w:rPr>
                <w:rFonts w:cs="Times New Roman"/>
                <w:sz w:val="21"/>
                <w:szCs w:val="21"/>
              </w:rPr>
            </w:pPr>
            <w:r>
              <w:rPr>
                <w:rFonts w:hint="eastAsia" w:cs="Times New Roman"/>
                <w:sz w:val="21"/>
                <w:szCs w:val="21"/>
              </w:rPr>
              <w:t>927</w:t>
            </w:r>
          </w:p>
        </w:tc>
        <w:tc>
          <w:tcPr>
            <w:tcW w:w="1168" w:type="dxa"/>
            <w:noWrap/>
            <w:vAlign w:val="center"/>
          </w:tcPr>
          <w:p w14:paraId="024AC332">
            <w:pPr>
              <w:spacing w:line="240" w:lineRule="auto"/>
              <w:ind w:firstLine="0" w:firstLineChars="0"/>
              <w:jc w:val="center"/>
              <w:rPr>
                <w:rFonts w:cs="Times New Roman"/>
                <w:sz w:val="21"/>
                <w:szCs w:val="21"/>
              </w:rPr>
            </w:pPr>
            <w:r>
              <w:rPr>
                <w:rFonts w:hint="eastAsia" w:cs="Times New Roman"/>
                <w:sz w:val="21"/>
                <w:szCs w:val="21"/>
              </w:rPr>
              <w:t>约30</w:t>
            </w:r>
          </w:p>
        </w:tc>
      </w:tr>
      <w:tr w14:paraId="40ABD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B0B03D1">
            <w:pPr>
              <w:pStyle w:val="39"/>
              <w:numPr>
                <w:ilvl w:val="0"/>
                <w:numId w:val="7"/>
              </w:numPr>
              <w:spacing w:line="240" w:lineRule="auto"/>
              <w:ind w:firstLineChars="0"/>
              <w:jc w:val="center"/>
              <w:rPr>
                <w:rFonts w:cs="Times New Roman"/>
                <w:sz w:val="21"/>
                <w:szCs w:val="21"/>
              </w:rPr>
            </w:pPr>
          </w:p>
        </w:tc>
        <w:tc>
          <w:tcPr>
            <w:tcW w:w="992" w:type="dxa"/>
            <w:noWrap/>
            <w:vAlign w:val="center"/>
          </w:tcPr>
          <w:p w14:paraId="188E70A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BB6494D">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143DAEA5">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48BBDACE">
            <w:pPr>
              <w:spacing w:line="240" w:lineRule="auto"/>
              <w:ind w:firstLine="0" w:firstLineChars="0"/>
              <w:jc w:val="center"/>
              <w:rPr>
                <w:rFonts w:cs="Times New Roman"/>
                <w:sz w:val="21"/>
                <w:szCs w:val="21"/>
              </w:rPr>
            </w:pPr>
            <w:r>
              <w:rPr>
                <w:rFonts w:hint="eastAsia" w:cs="Times New Roman"/>
                <w:sz w:val="21"/>
                <w:szCs w:val="21"/>
              </w:rPr>
              <w:t>金星</w:t>
            </w:r>
          </w:p>
        </w:tc>
        <w:tc>
          <w:tcPr>
            <w:tcW w:w="1701" w:type="dxa"/>
            <w:noWrap/>
            <w:vAlign w:val="center"/>
          </w:tcPr>
          <w:p w14:paraId="359B4411">
            <w:pPr>
              <w:spacing w:line="240" w:lineRule="auto"/>
              <w:ind w:firstLine="0" w:firstLineChars="0"/>
              <w:jc w:val="center"/>
              <w:rPr>
                <w:rFonts w:cs="Times New Roman"/>
                <w:sz w:val="21"/>
                <w:szCs w:val="21"/>
              </w:rPr>
            </w:pPr>
            <w:r>
              <w:rPr>
                <w:rFonts w:hint="eastAsia" w:cs="Times New Roman"/>
                <w:sz w:val="21"/>
                <w:szCs w:val="21"/>
              </w:rPr>
              <w:t>119.396641</w:t>
            </w:r>
          </w:p>
        </w:tc>
        <w:tc>
          <w:tcPr>
            <w:tcW w:w="1690" w:type="dxa"/>
            <w:noWrap/>
            <w:vAlign w:val="center"/>
          </w:tcPr>
          <w:p w14:paraId="67564E9D">
            <w:pPr>
              <w:spacing w:line="240" w:lineRule="auto"/>
              <w:ind w:firstLine="0" w:firstLineChars="0"/>
              <w:jc w:val="center"/>
              <w:rPr>
                <w:rFonts w:cs="Times New Roman"/>
                <w:sz w:val="21"/>
                <w:szCs w:val="21"/>
              </w:rPr>
            </w:pPr>
            <w:r>
              <w:rPr>
                <w:rFonts w:hint="eastAsia" w:cs="Times New Roman"/>
                <w:sz w:val="21"/>
                <w:szCs w:val="21"/>
              </w:rPr>
              <w:t>31.624961</w:t>
            </w:r>
          </w:p>
        </w:tc>
        <w:tc>
          <w:tcPr>
            <w:tcW w:w="1080" w:type="dxa"/>
            <w:noWrap/>
            <w:vAlign w:val="center"/>
          </w:tcPr>
          <w:p w14:paraId="4D0A3E3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BC6A9C0">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BF6BD2B">
            <w:pPr>
              <w:spacing w:line="240" w:lineRule="auto"/>
              <w:ind w:firstLine="0" w:firstLineChars="0"/>
              <w:jc w:val="center"/>
              <w:rPr>
                <w:rFonts w:cs="Times New Roman"/>
                <w:sz w:val="21"/>
                <w:szCs w:val="21"/>
              </w:rPr>
            </w:pPr>
            <w:r>
              <w:rPr>
                <w:rFonts w:hint="eastAsia" w:cs="Times New Roman"/>
                <w:sz w:val="21"/>
                <w:szCs w:val="21"/>
              </w:rPr>
              <w:t>210</w:t>
            </w:r>
          </w:p>
        </w:tc>
        <w:tc>
          <w:tcPr>
            <w:tcW w:w="1168" w:type="dxa"/>
            <w:noWrap/>
            <w:vAlign w:val="center"/>
          </w:tcPr>
          <w:p w14:paraId="10437F21">
            <w:pPr>
              <w:spacing w:line="240" w:lineRule="auto"/>
              <w:ind w:firstLine="0" w:firstLineChars="0"/>
              <w:jc w:val="center"/>
              <w:rPr>
                <w:rFonts w:cs="Times New Roman"/>
                <w:sz w:val="21"/>
                <w:szCs w:val="21"/>
              </w:rPr>
            </w:pPr>
            <w:r>
              <w:rPr>
                <w:rFonts w:hint="eastAsia" w:cs="Times New Roman"/>
                <w:sz w:val="21"/>
                <w:szCs w:val="21"/>
              </w:rPr>
              <w:t>约30</w:t>
            </w:r>
          </w:p>
        </w:tc>
      </w:tr>
      <w:tr w14:paraId="7444A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B4D9C37">
            <w:pPr>
              <w:pStyle w:val="39"/>
              <w:numPr>
                <w:ilvl w:val="0"/>
                <w:numId w:val="7"/>
              </w:numPr>
              <w:spacing w:line="240" w:lineRule="auto"/>
              <w:ind w:firstLineChars="0"/>
              <w:jc w:val="center"/>
              <w:rPr>
                <w:rFonts w:cs="Times New Roman"/>
                <w:sz w:val="21"/>
                <w:szCs w:val="21"/>
              </w:rPr>
            </w:pPr>
          </w:p>
        </w:tc>
        <w:tc>
          <w:tcPr>
            <w:tcW w:w="992" w:type="dxa"/>
            <w:noWrap/>
            <w:vAlign w:val="center"/>
          </w:tcPr>
          <w:p w14:paraId="7E26871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8D07A9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DD3CC9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5C631E8">
            <w:pPr>
              <w:spacing w:line="240" w:lineRule="auto"/>
              <w:ind w:firstLine="0" w:firstLineChars="0"/>
              <w:jc w:val="center"/>
              <w:rPr>
                <w:rFonts w:cs="Times New Roman"/>
                <w:sz w:val="21"/>
                <w:szCs w:val="21"/>
              </w:rPr>
            </w:pPr>
            <w:r>
              <w:rPr>
                <w:rFonts w:hint="eastAsia" w:cs="Times New Roman"/>
                <w:sz w:val="21"/>
                <w:szCs w:val="21"/>
              </w:rPr>
              <w:t>上头上</w:t>
            </w:r>
          </w:p>
        </w:tc>
        <w:tc>
          <w:tcPr>
            <w:tcW w:w="1701" w:type="dxa"/>
            <w:noWrap/>
            <w:vAlign w:val="center"/>
          </w:tcPr>
          <w:p w14:paraId="31909E50">
            <w:pPr>
              <w:spacing w:line="240" w:lineRule="auto"/>
              <w:ind w:firstLine="0" w:firstLineChars="0"/>
              <w:jc w:val="center"/>
              <w:rPr>
                <w:rFonts w:cs="Times New Roman"/>
                <w:sz w:val="21"/>
                <w:szCs w:val="21"/>
              </w:rPr>
            </w:pPr>
            <w:r>
              <w:rPr>
                <w:rFonts w:hint="eastAsia" w:cs="Times New Roman"/>
                <w:sz w:val="21"/>
                <w:szCs w:val="21"/>
              </w:rPr>
              <w:t>119.384761</w:t>
            </w:r>
          </w:p>
        </w:tc>
        <w:tc>
          <w:tcPr>
            <w:tcW w:w="1690" w:type="dxa"/>
            <w:noWrap/>
            <w:vAlign w:val="center"/>
          </w:tcPr>
          <w:p w14:paraId="676F1A7E">
            <w:pPr>
              <w:spacing w:line="240" w:lineRule="auto"/>
              <w:ind w:firstLine="0" w:firstLineChars="0"/>
              <w:jc w:val="center"/>
              <w:rPr>
                <w:rFonts w:cs="Times New Roman"/>
                <w:sz w:val="21"/>
                <w:szCs w:val="21"/>
              </w:rPr>
            </w:pPr>
            <w:r>
              <w:rPr>
                <w:rFonts w:hint="eastAsia" w:cs="Times New Roman"/>
                <w:sz w:val="21"/>
                <w:szCs w:val="21"/>
              </w:rPr>
              <w:t>31.701695</w:t>
            </w:r>
          </w:p>
        </w:tc>
        <w:tc>
          <w:tcPr>
            <w:tcW w:w="1080" w:type="dxa"/>
            <w:noWrap/>
            <w:vAlign w:val="center"/>
          </w:tcPr>
          <w:p w14:paraId="683DA49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466BBCF">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799A34C2">
            <w:pPr>
              <w:spacing w:line="240" w:lineRule="auto"/>
              <w:ind w:firstLine="0" w:firstLineChars="0"/>
              <w:jc w:val="center"/>
              <w:rPr>
                <w:rFonts w:cs="Times New Roman"/>
                <w:sz w:val="21"/>
                <w:szCs w:val="21"/>
              </w:rPr>
            </w:pPr>
            <w:r>
              <w:rPr>
                <w:rFonts w:hint="eastAsia" w:cs="Times New Roman"/>
                <w:sz w:val="21"/>
                <w:szCs w:val="21"/>
              </w:rPr>
              <w:t>1300</w:t>
            </w:r>
          </w:p>
        </w:tc>
        <w:tc>
          <w:tcPr>
            <w:tcW w:w="1168" w:type="dxa"/>
            <w:noWrap/>
            <w:vAlign w:val="center"/>
          </w:tcPr>
          <w:p w14:paraId="4AAF6436">
            <w:pPr>
              <w:spacing w:line="240" w:lineRule="auto"/>
              <w:ind w:firstLine="0" w:firstLineChars="0"/>
              <w:jc w:val="center"/>
              <w:rPr>
                <w:rFonts w:cs="Times New Roman"/>
                <w:sz w:val="21"/>
                <w:szCs w:val="21"/>
              </w:rPr>
            </w:pPr>
            <w:r>
              <w:rPr>
                <w:rFonts w:hint="eastAsia" w:cs="Times New Roman"/>
                <w:sz w:val="21"/>
                <w:szCs w:val="21"/>
              </w:rPr>
              <w:t>约20</w:t>
            </w:r>
          </w:p>
        </w:tc>
      </w:tr>
      <w:tr w14:paraId="16BCC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06FBD55">
            <w:pPr>
              <w:pStyle w:val="39"/>
              <w:numPr>
                <w:ilvl w:val="0"/>
                <w:numId w:val="7"/>
              </w:numPr>
              <w:spacing w:line="240" w:lineRule="auto"/>
              <w:ind w:firstLineChars="0"/>
              <w:jc w:val="center"/>
              <w:rPr>
                <w:rFonts w:cs="Times New Roman"/>
                <w:sz w:val="21"/>
                <w:szCs w:val="21"/>
              </w:rPr>
            </w:pPr>
          </w:p>
        </w:tc>
        <w:tc>
          <w:tcPr>
            <w:tcW w:w="992" w:type="dxa"/>
            <w:noWrap/>
            <w:vAlign w:val="center"/>
          </w:tcPr>
          <w:p w14:paraId="00A783E3">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77D385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ABD72A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E31F19A">
            <w:pPr>
              <w:spacing w:line="240" w:lineRule="auto"/>
              <w:ind w:firstLine="0" w:firstLineChars="0"/>
              <w:jc w:val="center"/>
              <w:rPr>
                <w:rFonts w:cs="Times New Roman"/>
                <w:sz w:val="21"/>
                <w:szCs w:val="21"/>
              </w:rPr>
            </w:pPr>
            <w:r>
              <w:rPr>
                <w:rFonts w:hint="eastAsia" w:cs="Times New Roman"/>
                <w:sz w:val="21"/>
                <w:szCs w:val="21"/>
              </w:rPr>
              <w:t>白塘岸</w:t>
            </w:r>
          </w:p>
        </w:tc>
        <w:tc>
          <w:tcPr>
            <w:tcW w:w="1701" w:type="dxa"/>
            <w:noWrap/>
            <w:vAlign w:val="center"/>
          </w:tcPr>
          <w:p w14:paraId="42FFB55E">
            <w:pPr>
              <w:spacing w:line="240" w:lineRule="auto"/>
              <w:ind w:firstLine="0" w:firstLineChars="0"/>
              <w:jc w:val="center"/>
              <w:rPr>
                <w:rFonts w:cs="Times New Roman"/>
                <w:sz w:val="21"/>
                <w:szCs w:val="21"/>
              </w:rPr>
            </w:pPr>
            <w:r>
              <w:rPr>
                <w:rFonts w:hint="eastAsia" w:cs="Times New Roman"/>
                <w:sz w:val="21"/>
                <w:szCs w:val="21"/>
              </w:rPr>
              <w:t>119.380839</w:t>
            </w:r>
          </w:p>
        </w:tc>
        <w:tc>
          <w:tcPr>
            <w:tcW w:w="1690" w:type="dxa"/>
            <w:noWrap/>
            <w:vAlign w:val="center"/>
          </w:tcPr>
          <w:p w14:paraId="1F20AE23">
            <w:pPr>
              <w:spacing w:line="240" w:lineRule="auto"/>
              <w:ind w:firstLine="0" w:firstLineChars="0"/>
              <w:jc w:val="center"/>
              <w:rPr>
                <w:rFonts w:cs="Times New Roman"/>
                <w:sz w:val="21"/>
                <w:szCs w:val="21"/>
              </w:rPr>
            </w:pPr>
            <w:r>
              <w:rPr>
                <w:rFonts w:hint="eastAsia" w:cs="Times New Roman"/>
                <w:sz w:val="21"/>
                <w:szCs w:val="21"/>
              </w:rPr>
              <w:t>31.697706</w:t>
            </w:r>
          </w:p>
        </w:tc>
        <w:tc>
          <w:tcPr>
            <w:tcW w:w="1080" w:type="dxa"/>
            <w:noWrap/>
            <w:vAlign w:val="center"/>
          </w:tcPr>
          <w:p w14:paraId="2F00325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4316FBC">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5ED3BDB5">
            <w:pPr>
              <w:spacing w:line="240" w:lineRule="auto"/>
              <w:ind w:firstLine="0" w:firstLineChars="0"/>
              <w:jc w:val="center"/>
              <w:rPr>
                <w:rFonts w:cs="Times New Roman"/>
                <w:sz w:val="21"/>
                <w:szCs w:val="21"/>
              </w:rPr>
            </w:pPr>
            <w:r>
              <w:rPr>
                <w:rFonts w:hint="eastAsia" w:cs="Times New Roman"/>
                <w:sz w:val="21"/>
                <w:szCs w:val="21"/>
              </w:rPr>
              <w:t>1077</w:t>
            </w:r>
          </w:p>
        </w:tc>
        <w:tc>
          <w:tcPr>
            <w:tcW w:w="1168" w:type="dxa"/>
            <w:noWrap/>
            <w:vAlign w:val="center"/>
          </w:tcPr>
          <w:p w14:paraId="4665F268">
            <w:pPr>
              <w:spacing w:line="240" w:lineRule="auto"/>
              <w:ind w:firstLine="0" w:firstLineChars="0"/>
              <w:jc w:val="center"/>
              <w:rPr>
                <w:rFonts w:cs="Times New Roman"/>
                <w:sz w:val="21"/>
                <w:szCs w:val="21"/>
              </w:rPr>
            </w:pPr>
            <w:r>
              <w:rPr>
                <w:rFonts w:hint="eastAsia" w:cs="Times New Roman"/>
                <w:sz w:val="21"/>
                <w:szCs w:val="21"/>
              </w:rPr>
              <w:t>约20</w:t>
            </w:r>
          </w:p>
        </w:tc>
      </w:tr>
      <w:tr w14:paraId="53D6C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0D1BEBC">
            <w:pPr>
              <w:pStyle w:val="39"/>
              <w:numPr>
                <w:ilvl w:val="0"/>
                <w:numId w:val="7"/>
              </w:numPr>
              <w:spacing w:line="240" w:lineRule="auto"/>
              <w:ind w:firstLineChars="0"/>
              <w:jc w:val="center"/>
              <w:rPr>
                <w:rFonts w:cs="Times New Roman"/>
                <w:sz w:val="21"/>
                <w:szCs w:val="21"/>
              </w:rPr>
            </w:pPr>
          </w:p>
        </w:tc>
        <w:tc>
          <w:tcPr>
            <w:tcW w:w="992" w:type="dxa"/>
            <w:noWrap/>
            <w:vAlign w:val="center"/>
          </w:tcPr>
          <w:p w14:paraId="401919F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7A19A5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C8911B5">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3B39327">
            <w:pPr>
              <w:spacing w:line="240" w:lineRule="auto"/>
              <w:ind w:firstLine="0" w:firstLineChars="0"/>
              <w:jc w:val="center"/>
              <w:rPr>
                <w:rFonts w:cs="Times New Roman"/>
                <w:sz w:val="21"/>
                <w:szCs w:val="21"/>
              </w:rPr>
            </w:pPr>
            <w:r>
              <w:rPr>
                <w:rFonts w:hint="eastAsia" w:cs="Times New Roman"/>
                <w:sz w:val="21"/>
                <w:szCs w:val="21"/>
              </w:rPr>
              <w:t>下坝</w:t>
            </w:r>
          </w:p>
        </w:tc>
        <w:tc>
          <w:tcPr>
            <w:tcW w:w="1701" w:type="dxa"/>
            <w:noWrap/>
            <w:vAlign w:val="center"/>
          </w:tcPr>
          <w:p w14:paraId="03BA2001">
            <w:pPr>
              <w:spacing w:line="240" w:lineRule="auto"/>
              <w:ind w:firstLine="0" w:firstLineChars="0"/>
              <w:jc w:val="center"/>
              <w:rPr>
                <w:rFonts w:cs="Times New Roman"/>
                <w:sz w:val="21"/>
                <w:szCs w:val="21"/>
              </w:rPr>
            </w:pPr>
            <w:r>
              <w:rPr>
                <w:rFonts w:hint="eastAsia" w:cs="Times New Roman"/>
                <w:sz w:val="21"/>
                <w:szCs w:val="21"/>
              </w:rPr>
              <w:t>119.383008</w:t>
            </w:r>
          </w:p>
        </w:tc>
        <w:tc>
          <w:tcPr>
            <w:tcW w:w="1690" w:type="dxa"/>
            <w:noWrap/>
            <w:vAlign w:val="center"/>
          </w:tcPr>
          <w:p w14:paraId="5A0565C5">
            <w:pPr>
              <w:spacing w:line="240" w:lineRule="auto"/>
              <w:ind w:firstLine="0" w:firstLineChars="0"/>
              <w:jc w:val="center"/>
              <w:rPr>
                <w:rFonts w:cs="Times New Roman"/>
                <w:sz w:val="21"/>
                <w:szCs w:val="21"/>
              </w:rPr>
            </w:pPr>
            <w:r>
              <w:rPr>
                <w:rFonts w:hint="eastAsia" w:cs="Times New Roman"/>
                <w:sz w:val="21"/>
                <w:szCs w:val="21"/>
              </w:rPr>
              <w:t>31.703897</w:t>
            </w:r>
          </w:p>
        </w:tc>
        <w:tc>
          <w:tcPr>
            <w:tcW w:w="1080" w:type="dxa"/>
            <w:noWrap/>
            <w:vAlign w:val="center"/>
          </w:tcPr>
          <w:p w14:paraId="7EC1472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03B7091">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CCFCFF1">
            <w:pPr>
              <w:spacing w:line="240" w:lineRule="auto"/>
              <w:ind w:firstLine="0" w:firstLineChars="0"/>
              <w:jc w:val="center"/>
              <w:rPr>
                <w:rFonts w:cs="Times New Roman"/>
                <w:sz w:val="21"/>
                <w:szCs w:val="21"/>
              </w:rPr>
            </w:pPr>
            <w:r>
              <w:rPr>
                <w:rFonts w:hint="eastAsia" w:cs="Times New Roman"/>
                <w:sz w:val="21"/>
                <w:szCs w:val="21"/>
              </w:rPr>
              <w:t>1496</w:t>
            </w:r>
          </w:p>
        </w:tc>
        <w:tc>
          <w:tcPr>
            <w:tcW w:w="1168" w:type="dxa"/>
            <w:noWrap/>
            <w:vAlign w:val="center"/>
          </w:tcPr>
          <w:p w14:paraId="6837DDDE">
            <w:pPr>
              <w:spacing w:line="240" w:lineRule="auto"/>
              <w:ind w:firstLine="0" w:firstLineChars="0"/>
              <w:jc w:val="center"/>
              <w:rPr>
                <w:rFonts w:cs="Times New Roman"/>
                <w:sz w:val="21"/>
                <w:szCs w:val="21"/>
              </w:rPr>
            </w:pPr>
            <w:r>
              <w:rPr>
                <w:rFonts w:hint="eastAsia" w:cs="Times New Roman"/>
                <w:sz w:val="21"/>
                <w:szCs w:val="21"/>
              </w:rPr>
              <w:t>约20</w:t>
            </w:r>
          </w:p>
        </w:tc>
      </w:tr>
      <w:tr w14:paraId="5ECF6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DDA461E">
            <w:pPr>
              <w:pStyle w:val="39"/>
              <w:numPr>
                <w:ilvl w:val="0"/>
                <w:numId w:val="7"/>
              </w:numPr>
              <w:spacing w:line="240" w:lineRule="auto"/>
              <w:ind w:firstLineChars="0"/>
              <w:jc w:val="center"/>
              <w:rPr>
                <w:rFonts w:cs="Times New Roman"/>
                <w:sz w:val="21"/>
                <w:szCs w:val="21"/>
              </w:rPr>
            </w:pPr>
          </w:p>
        </w:tc>
        <w:tc>
          <w:tcPr>
            <w:tcW w:w="992" w:type="dxa"/>
            <w:noWrap/>
            <w:vAlign w:val="center"/>
          </w:tcPr>
          <w:p w14:paraId="44F1651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022E0C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CB386A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84B00AC">
            <w:pPr>
              <w:spacing w:line="240" w:lineRule="auto"/>
              <w:ind w:firstLine="0" w:firstLineChars="0"/>
              <w:jc w:val="center"/>
              <w:rPr>
                <w:rFonts w:cs="Times New Roman"/>
                <w:sz w:val="21"/>
                <w:szCs w:val="21"/>
              </w:rPr>
            </w:pPr>
            <w:r>
              <w:rPr>
                <w:rFonts w:hint="eastAsia" w:cs="Times New Roman"/>
                <w:sz w:val="21"/>
                <w:szCs w:val="21"/>
              </w:rPr>
              <w:t>荷花塘</w:t>
            </w:r>
          </w:p>
        </w:tc>
        <w:tc>
          <w:tcPr>
            <w:tcW w:w="1701" w:type="dxa"/>
            <w:noWrap/>
            <w:vAlign w:val="center"/>
          </w:tcPr>
          <w:p w14:paraId="29CABFA2">
            <w:pPr>
              <w:spacing w:line="240" w:lineRule="auto"/>
              <w:ind w:firstLine="0" w:firstLineChars="0"/>
              <w:jc w:val="center"/>
              <w:rPr>
                <w:rFonts w:cs="Times New Roman"/>
                <w:sz w:val="21"/>
                <w:szCs w:val="21"/>
              </w:rPr>
            </w:pPr>
            <w:r>
              <w:rPr>
                <w:rFonts w:hint="eastAsia" w:cs="Times New Roman"/>
                <w:sz w:val="21"/>
                <w:szCs w:val="21"/>
              </w:rPr>
              <w:t>119.388401</w:t>
            </w:r>
          </w:p>
        </w:tc>
        <w:tc>
          <w:tcPr>
            <w:tcW w:w="1690" w:type="dxa"/>
            <w:noWrap/>
            <w:vAlign w:val="center"/>
          </w:tcPr>
          <w:p w14:paraId="4456C00B">
            <w:pPr>
              <w:spacing w:line="240" w:lineRule="auto"/>
              <w:ind w:firstLine="0" w:firstLineChars="0"/>
              <w:jc w:val="center"/>
              <w:rPr>
                <w:rFonts w:cs="Times New Roman"/>
                <w:sz w:val="21"/>
                <w:szCs w:val="21"/>
              </w:rPr>
            </w:pPr>
            <w:r>
              <w:rPr>
                <w:rFonts w:hint="eastAsia" w:cs="Times New Roman"/>
                <w:sz w:val="21"/>
                <w:szCs w:val="21"/>
              </w:rPr>
              <w:t>31.706102</w:t>
            </w:r>
          </w:p>
        </w:tc>
        <w:tc>
          <w:tcPr>
            <w:tcW w:w="1080" w:type="dxa"/>
            <w:noWrap/>
            <w:vAlign w:val="center"/>
          </w:tcPr>
          <w:p w14:paraId="7AD9A19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D75443E">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5B49DE3D">
            <w:pPr>
              <w:spacing w:line="240" w:lineRule="auto"/>
              <w:ind w:firstLine="0" w:firstLineChars="0"/>
              <w:jc w:val="center"/>
              <w:rPr>
                <w:rFonts w:cs="Times New Roman"/>
                <w:sz w:val="21"/>
                <w:szCs w:val="21"/>
              </w:rPr>
            </w:pPr>
            <w:r>
              <w:rPr>
                <w:rFonts w:hint="eastAsia" w:cs="Times New Roman"/>
                <w:sz w:val="21"/>
                <w:szCs w:val="21"/>
              </w:rPr>
              <w:t>2056</w:t>
            </w:r>
          </w:p>
        </w:tc>
        <w:tc>
          <w:tcPr>
            <w:tcW w:w="1168" w:type="dxa"/>
            <w:noWrap/>
            <w:vAlign w:val="center"/>
          </w:tcPr>
          <w:p w14:paraId="6B3396B9">
            <w:pPr>
              <w:spacing w:line="240" w:lineRule="auto"/>
              <w:ind w:firstLine="0" w:firstLineChars="0"/>
              <w:jc w:val="center"/>
              <w:rPr>
                <w:rFonts w:cs="Times New Roman"/>
                <w:sz w:val="21"/>
                <w:szCs w:val="21"/>
              </w:rPr>
            </w:pPr>
            <w:r>
              <w:rPr>
                <w:rFonts w:hint="eastAsia" w:cs="Times New Roman"/>
                <w:sz w:val="21"/>
                <w:szCs w:val="21"/>
              </w:rPr>
              <w:t>约20</w:t>
            </w:r>
          </w:p>
        </w:tc>
      </w:tr>
      <w:tr w14:paraId="41442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4F5731C">
            <w:pPr>
              <w:pStyle w:val="39"/>
              <w:numPr>
                <w:ilvl w:val="0"/>
                <w:numId w:val="7"/>
              </w:numPr>
              <w:spacing w:line="240" w:lineRule="auto"/>
              <w:ind w:firstLineChars="0"/>
              <w:jc w:val="center"/>
              <w:rPr>
                <w:rFonts w:cs="Times New Roman"/>
                <w:sz w:val="21"/>
                <w:szCs w:val="21"/>
              </w:rPr>
            </w:pPr>
          </w:p>
        </w:tc>
        <w:tc>
          <w:tcPr>
            <w:tcW w:w="992" w:type="dxa"/>
            <w:noWrap/>
            <w:vAlign w:val="center"/>
          </w:tcPr>
          <w:p w14:paraId="01FC9B9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A04DC7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5F632B0">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4A91366E">
            <w:pPr>
              <w:spacing w:line="240" w:lineRule="auto"/>
              <w:ind w:firstLine="0" w:firstLineChars="0"/>
              <w:jc w:val="center"/>
              <w:rPr>
                <w:rFonts w:cs="Times New Roman"/>
                <w:sz w:val="21"/>
                <w:szCs w:val="21"/>
              </w:rPr>
            </w:pPr>
            <w:r>
              <w:rPr>
                <w:rFonts w:hint="eastAsia" w:cs="Times New Roman"/>
                <w:sz w:val="21"/>
                <w:szCs w:val="21"/>
              </w:rPr>
              <w:t>东窑头</w:t>
            </w:r>
          </w:p>
        </w:tc>
        <w:tc>
          <w:tcPr>
            <w:tcW w:w="1701" w:type="dxa"/>
            <w:noWrap/>
            <w:vAlign w:val="center"/>
          </w:tcPr>
          <w:p w14:paraId="00647499">
            <w:pPr>
              <w:spacing w:line="240" w:lineRule="auto"/>
              <w:ind w:firstLine="0" w:firstLineChars="0"/>
              <w:jc w:val="center"/>
              <w:rPr>
                <w:rFonts w:cs="Times New Roman"/>
                <w:sz w:val="21"/>
                <w:szCs w:val="21"/>
              </w:rPr>
            </w:pPr>
            <w:r>
              <w:rPr>
                <w:rFonts w:hint="eastAsia" w:cs="Times New Roman"/>
                <w:sz w:val="21"/>
                <w:szCs w:val="21"/>
              </w:rPr>
              <w:t>119.407222</w:t>
            </w:r>
          </w:p>
        </w:tc>
        <w:tc>
          <w:tcPr>
            <w:tcW w:w="1690" w:type="dxa"/>
            <w:noWrap/>
            <w:vAlign w:val="center"/>
          </w:tcPr>
          <w:p w14:paraId="6A7FE198">
            <w:pPr>
              <w:spacing w:line="240" w:lineRule="auto"/>
              <w:ind w:firstLine="0" w:firstLineChars="0"/>
              <w:jc w:val="center"/>
              <w:rPr>
                <w:rFonts w:cs="Times New Roman"/>
                <w:sz w:val="21"/>
                <w:szCs w:val="21"/>
              </w:rPr>
            </w:pPr>
            <w:r>
              <w:rPr>
                <w:rFonts w:hint="eastAsia" w:cs="Times New Roman"/>
                <w:sz w:val="21"/>
                <w:szCs w:val="21"/>
              </w:rPr>
              <w:t>31.618281</w:t>
            </w:r>
          </w:p>
        </w:tc>
        <w:tc>
          <w:tcPr>
            <w:tcW w:w="1080" w:type="dxa"/>
            <w:noWrap/>
            <w:vAlign w:val="center"/>
          </w:tcPr>
          <w:p w14:paraId="51C73D2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7D0BD90">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14AA4719">
            <w:pPr>
              <w:spacing w:line="240" w:lineRule="auto"/>
              <w:ind w:firstLine="0" w:firstLineChars="0"/>
              <w:jc w:val="center"/>
              <w:rPr>
                <w:rFonts w:cs="Times New Roman"/>
                <w:sz w:val="21"/>
                <w:szCs w:val="21"/>
              </w:rPr>
            </w:pPr>
            <w:r>
              <w:rPr>
                <w:rFonts w:hint="eastAsia" w:cs="Times New Roman"/>
                <w:sz w:val="21"/>
                <w:szCs w:val="21"/>
              </w:rPr>
              <w:t>781</w:t>
            </w:r>
          </w:p>
        </w:tc>
        <w:tc>
          <w:tcPr>
            <w:tcW w:w="1168" w:type="dxa"/>
            <w:noWrap/>
            <w:vAlign w:val="center"/>
          </w:tcPr>
          <w:p w14:paraId="1DA4EEBE">
            <w:pPr>
              <w:spacing w:line="240" w:lineRule="auto"/>
              <w:ind w:firstLine="0" w:firstLineChars="0"/>
              <w:jc w:val="center"/>
              <w:rPr>
                <w:rFonts w:cs="Times New Roman"/>
                <w:sz w:val="21"/>
                <w:szCs w:val="21"/>
              </w:rPr>
            </w:pPr>
            <w:r>
              <w:rPr>
                <w:rFonts w:hint="eastAsia" w:cs="Times New Roman"/>
                <w:sz w:val="21"/>
                <w:szCs w:val="21"/>
              </w:rPr>
              <w:t>约20</w:t>
            </w:r>
          </w:p>
        </w:tc>
      </w:tr>
      <w:tr w14:paraId="12287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3528A68">
            <w:pPr>
              <w:pStyle w:val="39"/>
              <w:numPr>
                <w:ilvl w:val="0"/>
                <w:numId w:val="7"/>
              </w:numPr>
              <w:spacing w:line="240" w:lineRule="auto"/>
              <w:ind w:firstLineChars="0"/>
              <w:jc w:val="center"/>
              <w:rPr>
                <w:rFonts w:cs="Times New Roman"/>
                <w:sz w:val="21"/>
                <w:szCs w:val="21"/>
              </w:rPr>
            </w:pPr>
          </w:p>
        </w:tc>
        <w:tc>
          <w:tcPr>
            <w:tcW w:w="992" w:type="dxa"/>
            <w:noWrap/>
            <w:vAlign w:val="center"/>
          </w:tcPr>
          <w:p w14:paraId="4AB0B43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D9527DA">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1BBDB432">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51EF8C82">
            <w:pPr>
              <w:spacing w:line="240" w:lineRule="auto"/>
              <w:ind w:firstLine="0" w:firstLineChars="0"/>
              <w:jc w:val="center"/>
              <w:rPr>
                <w:rFonts w:cs="Times New Roman"/>
                <w:sz w:val="21"/>
                <w:szCs w:val="21"/>
              </w:rPr>
            </w:pPr>
            <w:r>
              <w:rPr>
                <w:rFonts w:hint="eastAsia" w:cs="Times New Roman"/>
                <w:sz w:val="21"/>
                <w:szCs w:val="21"/>
              </w:rPr>
              <w:t>西窑</w:t>
            </w:r>
          </w:p>
        </w:tc>
        <w:tc>
          <w:tcPr>
            <w:tcW w:w="1701" w:type="dxa"/>
            <w:noWrap/>
            <w:vAlign w:val="center"/>
          </w:tcPr>
          <w:p w14:paraId="7823300E">
            <w:pPr>
              <w:spacing w:line="240" w:lineRule="auto"/>
              <w:ind w:firstLine="0" w:firstLineChars="0"/>
              <w:jc w:val="center"/>
              <w:rPr>
                <w:rFonts w:cs="Times New Roman"/>
                <w:sz w:val="21"/>
                <w:szCs w:val="21"/>
              </w:rPr>
            </w:pPr>
            <w:r>
              <w:rPr>
                <w:rFonts w:hint="eastAsia" w:cs="Times New Roman"/>
                <w:sz w:val="21"/>
                <w:szCs w:val="21"/>
              </w:rPr>
              <w:t>119.404539</w:t>
            </w:r>
          </w:p>
        </w:tc>
        <w:tc>
          <w:tcPr>
            <w:tcW w:w="1690" w:type="dxa"/>
            <w:noWrap/>
            <w:vAlign w:val="center"/>
          </w:tcPr>
          <w:p w14:paraId="10CEAF4E">
            <w:pPr>
              <w:spacing w:line="240" w:lineRule="auto"/>
              <w:ind w:firstLine="0" w:firstLineChars="0"/>
              <w:jc w:val="center"/>
              <w:rPr>
                <w:rFonts w:cs="Times New Roman"/>
                <w:sz w:val="21"/>
                <w:szCs w:val="21"/>
              </w:rPr>
            </w:pPr>
            <w:r>
              <w:rPr>
                <w:rFonts w:hint="eastAsia" w:cs="Times New Roman"/>
                <w:sz w:val="21"/>
                <w:szCs w:val="21"/>
              </w:rPr>
              <w:t>31.61644</w:t>
            </w:r>
          </w:p>
        </w:tc>
        <w:tc>
          <w:tcPr>
            <w:tcW w:w="1080" w:type="dxa"/>
            <w:noWrap/>
            <w:vAlign w:val="center"/>
          </w:tcPr>
          <w:p w14:paraId="79A6837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5467672">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70567DFD">
            <w:pPr>
              <w:spacing w:line="240" w:lineRule="auto"/>
              <w:ind w:firstLine="0" w:firstLineChars="0"/>
              <w:jc w:val="center"/>
              <w:rPr>
                <w:rFonts w:cs="Times New Roman"/>
                <w:sz w:val="21"/>
                <w:szCs w:val="21"/>
              </w:rPr>
            </w:pPr>
            <w:r>
              <w:rPr>
                <w:rFonts w:hint="eastAsia" w:cs="Times New Roman"/>
                <w:sz w:val="21"/>
                <w:szCs w:val="21"/>
              </w:rPr>
              <w:t>907</w:t>
            </w:r>
          </w:p>
        </w:tc>
        <w:tc>
          <w:tcPr>
            <w:tcW w:w="1168" w:type="dxa"/>
            <w:noWrap/>
            <w:vAlign w:val="center"/>
          </w:tcPr>
          <w:p w14:paraId="5AB17CA6">
            <w:pPr>
              <w:spacing w:line="240" w:lineRule="auto"/>
              <w:ind w:firstLine="0" w:firstLineChars="0"/>
              <w:jc w:val="center"/>
              <w:rPr>
                <w:rFonts w:cs="Times New Roman"/>
                <w:sz w:val="21"/>
                <w:szCs w:val="21"/>
              </w:rPr>
            </w:pPr>
            <w:r>
              <w:rPr>
                <w:rFonts w:hint="eastAsia" w:cs="Times New Roman"/>
                <w:sz w:val="21"/>
                <w:szCs w:val="21"/>
              </w:rPr>
              <w:t>约20</w:t>
            </w:r>
          </w:p>
        </w:tc>
      </w:tr>
      <w:tr w14:paraId="62E2F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63B10CD">
            <w:pPr>
              <w:pStyle w:val="39"/>
              <w:numPr>
                <w:ilvl w:val="0"/>
                <w:numId w:val="7"/>
              </w:numPr>
              <w:spacing w:line="240" w:lineRule="auto"/>
              <w:ind w:firstLineChars="0"/>
              <w:jc w:val="center"/>
              <w:rPr>
                <w:rFonts w:cs="Times New Roman"/>
                <w:sz w:val="21"/>
                <w:szCs w:val="21"/>
              </w:rPr>
            </w:pPr>
          </w:p>
        </w:tc>
        <w:tc>
          <w:tcPr>
            <w:tcW w:w="992" w:type="dxa"/>
            <w:noWrap/>
            <w:vAlign w:val="center"/>
          </w:tcPr>
          <w:p w14:paraId="1734B45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287B1F9">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498BD376">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72849955">
            <w:pPr>
              <w:spacing w:line="240" w:lineRule="auto"/>
              <w:ind w:firstLine="0" w:firstLineChars="0"/>
              <w:jc w:val="center"/>
              <w:rPr>
                <w:rFonts w:cs="Times New Roman"/>
                <w:sz w:val="21"/>
                <w:szCs w:val="21"/>
              </w:rPr>
            </w:pPr>
            <w:r>
              <w:rPr>
                <w:rFonts w:hint="eastAsia" w:cs="Times New Roman"/>
                <w:sz w:val="21"/>
                <w:szCs w:val="21"/>
              </w:rPr>
              <w:t>马达山</w:t>
            </w:r>
          </w:p>
        </w:tc>
        <w:tc>
          <w:tcPr>
            <w:tcW w:w="1701" w:type="dxa"/>
            <w:noWrap/>
            <w:vAlign w:val="center"/>
          </w:tcPr>
          <w:p w14:paraId="155BE31C">
            <w:pPr>
              <w:spacing w:line="240" w:lineRule="auto"/>
              <w:ind w:firstLine="0" w:firstLineChars="0"/>
              <w:jc w:val="center"/>
              <w:rPr>
                <w:rFonts w:cs="Times New Roman"/>
                <w:sz w:val="21"/>
                <w:szCs w:val="21"/>
              </w:rPr>
            </w:pPr>
            <w:r>
              <w:rPr>
                <w:rFonts w:hint="eastAsia" w:cs="Times New Roman"/>
                <w:sz w:val="21"/>
                <w:szCs w:val="21"/>
              </w:rPr>
              <w:t>119.41352</w:t>
            </w:r>
          </w:p>
        </w:tc>
        <w:tc>
          <w:tcPr>
            <w:tcW w:w="1690" w:type="dxa"/>
            <w:noWrap/>
            <w:vAlign w:val="center"/>
          </w:tcPr>
          <w:p w14:paraId="2CC68836">
            <w:pPr>
              <w:spacing w:line="240" w:lineRule="auto"/>
              <w:ind w:firstLine="0" w:firstLineChars="0"/>
              <w:jc w:val="center"/>
              <w:rPr>
                <w:rFonts w:cs="Times New Roman"/>
                <w:sz w:val="21"/>
                <w:szCs w:val="21"/>
              </w:rPr>
            </w:pPr>
            <w:r>
              <w:rPr>
                <w:rFonts w:hint="eastAsia" w:cs="Times New Roman"/>
                <w:sz w:val="21"/>
                <w:szCs w:val="21"/>
              </w:rPr>
              <w:t>31.620466</w:t>
            </w:r>
          </w:p>
        </w:tc>
        <w:tc>
          <w:tcPr>
            <w:tcW w:w="1080" w:type="dxa"/>
            <w:noWrap/>
            <w:vAlign w:val="center"/>
          </w:tcPr>
          <w:p w14:paraId="2F0DCFA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440E794">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272196A9">
            <w:pPr>
              <w:spacing w:line="240" w:lineRule="auto"/>
              <w:ind w:firstLine="0" w:firstLineChars="0"/>
              <w:jc w:val="center"/>
              <w:rPr>
                <w:rFonts w:cs="Times New Roman"/>
                <w:sz w:val="21"/>
                <w:szCs w:val="21"/>
              </w:rPr>
            </w:pPr>
            <w:r>
              <w:rPr>
                <w:rFonts w:hint="eastAsia" w:cs="Times New Roman"/>
                <w:sz w:val="21"/>
                <w:szCs w:val="21"/>
              </w:rPr>
              <w:t>877</w:t>
            </w:r>
          </w:p>
        </w:tc>
        <w:tc>
          <w:tcPr>
            <w:tcW w:w="1168" w:type="dxa"/>
            <w:noWrap/>
            <w:vAlign w:val="center"/>
          </w:tcPr>
          <w:p w14:paraId="2C4F7B99">
            <w:pPr>
              <w:spacing w:line="240" w:lineRule="auto"/>
              <w:ind w:firstLine="0" w:firstLineChars="0"/>
              <w:jc w:val="center"/>
              <w:rPr>
                <w:rFonts w:cs="Times New Roman"/>
                <w:sz w:val="21"/>
                <w:szCs w:val="21"/>
              </w:rPr>
            </w:pPr>
            <w:r>
              <w:rPr>
                <w:rFonts w:hint="eastAsia" w:cs="Times New Roman"/>
                <w:sz w:val="21"/>
                <w:szCs w:val="21"/>
              </w:rPr>
              <w:t>约50</w:t>
            </w:r>
          </w:p>
        </w:tc>
      </w:tr>
      <w:tr w14:paraId="3B208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F40B035">
            <w:pPr>
              <w:pStyle w:val="39"/>
              <w:numPr>
                <w:ilvl w:val="0"/>
                <w:numId w:val="7"/>
              </w:numPr>
              <w:spacing w:line="240" w:lineRule="auto"/>
              <w:ind w:firstLineChars="0"/>
              <w:jc w:val="center"/>
              <w:rPr>
                <w:rFonts w:cs="Times New Roman"/>
                <w:sz w:val="21"/>
                <w:szCs w:val="21"/>
              </w:rPr>
            </w:pPr>
          </w:p>
        </w:tc>
        <w:tc>
          <w:tcPr>
            <w:tcW w:w="992" w:type="dxa"/>
            <w:noWrap/>
            <w:vAlign w:val="center"/>
          </w:tcPr>
          <w:p w14:paraId="6FDFD1A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7AFE8AB">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2CB840DF">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087F1BE0">
            <w:pPr>
              <w:spacing w:line="240" w:lineRule="auto"/>
              <w:ind w:firstLine="0" w:firstLineChars="0"/>
              <w:jc w:val="center"/>
              <w:rPr>
                <w:rFonts w:cs="Times New Roman"/>
                <w:sz w:val="21"/>
                <w:szCs w:val="21"/>
              </w:rPr>
            </w:pPr>
            <w:r>
              <w:rPr>
                <w:rFonts w:hint="eastAsia" w:cs="Times New Roman"/>
                <w:sz w:val="21"/>
                <w:szCs w:val="21"/>
              </w:rPr>
              <w:t>张家棚</w:t>
            </w:r>
          </w:p>
        </w:tc>
        <w:tc>
          <w:tcPr>
            <w:tcW w:w="1701" w:type="dxa"/>
            <w:noWrap/>
            <w:vAlign w:val="center"/>
          </w:tcPr>
          <w:p w14:paraId="6F5584E5">
            <w:pPr>
              <w:spacing w:line="240" w:lineRule="auto"/>
              <w:ind w:firstLine="0" w:firstLineChars="0"/>
              <w:jc w:val="center"/>
              <w:rPr>
                <w:rFonts w:cs="Times New Roman"/>
                <w:sz w:val="21"/>
                <w:szCs w:val="21"/>
              </w:rPr>
            </w:pPr>
            <w:r>
              <w:rPr>
                <w:rFonts w:hint="eastAsia" w:cs="Times New Roman"/>
                <w:sz w:val="21"/>
                <w:szCs w:val="21"/>
              </w:rPr>
              <w:t>119.424776</w:t>
            </w:r>
          </w:p>
        </w:tc>
        <w:tc>
          <w:tcPr>
            <w:tcW w:w="1690" w:type="dxa"/>
            <w:noWrap/>
            <w:vAlign w:val="center"/>
          </w:tcPr>
          <w:p w14:paraId="09BDC36D">
            <w:pPr>
              <w:spacing w:line="240" w:lineRule="auto"/>
              <w:ind w:firstLine="0" w:firstLineChars="0"/>
              <w:jc w:val="center"/>
              <w:rPr>
                <w:rFonts w:cs="Times New Roman"/>
                <w:sz w:val="21"/>
                <w:szCs w:val="21"/>
              </w:rPr>
            </w:pPr>
            <w:r>
              <w:rPr>
                <w:rFonts w:hint="eastAsia" w:cs="Times New Roman"/>
                <w:sz w:val="21"/>
                <w:szCs w:val="21"/>
              </w:rPr>
              <w:t>31.627043</w:t>
            </w:r>
          </w:p>
        </w:tc>
        <w:tc>
          <w:tcPr>
            <w:tcW w:w="1080" w:type="dxa"/>
            <w:noWrap/>
            <w:vAlign w:val="center"/>
          </w:tcPr>
          <w:p w14:paraId="4B3D5B7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B334547">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2A7C9562">
            <w:pPr>
              <w:spacing w:line="240" w:lineRule="auto"/>
              <w:ind w:firstLine="0" w:firstLineChars="0"/>
              <w:jc w:val="center"/>
              <w:rPr>
                <w:rFonts w:cs="Times New Roman"/>
                <w:sz w:val="21"/>
                <w:szCs w:val="21"/>
              </w:rPr>
            </w:pPr>
            <w:r>
              <w:rPr>
                <w:rFonts w:hint="eastAsia" w:cs="Times New Roman"/>
                <w:sz w:val="21"/>
                <w:szCs w:val="21"/>
              </w:rPr>
              <w:t>1321</w:t>
            </w:r>
          </w:p>
        </w:tc>
        <w:tc>
          <w:tcPr>
            <w:tcW w:w="1168" w:type="dxa"/>
            <w:noWrap/>
            <w:vAlign w:val="center"/>
          </w:tcPr>
          <w:p w14:paraId="603AA217">
            <w:pPr>
              <w:spacing w:line="240" w:lineRule="auto"/>
              <w:ind w:firstLine="0" w:firstLineChars="0"/>
              <w:jc w:val="center"/>
              <w:rPr>
                <w:rFonts w:cs="Times New Roman"/>
                <w:sz w:val="21"/>
                <w:szCs w:val="21"/>
              </w:rPr>
            </w:pPr>
            <w:r>
              <w:rPr>
                <w:rFonts w:hint="eastAsia" w:cs="Times New Roman"/>
                <w:sz w:val="21"/>
                <w:szCs w:val="21"/>
              </w:rPr>
              <w:t>约30</w:t>
            </w:r>
          </w:p>
        </w:tc>
      </w:tr>
      <w:tr w14:paraId="2667E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2834D55">
            <w:pPr>
              <w:pStyle w:val="39"/>
              <w:numPr>
                <w:ilvl w:val="0"/>
                <w:numId w:val="7"/>
              </w:numPr>
              <w:spacing w:line="240" w:lineRule="auto"/>
              <w:ind w:firstLineChars="0"/>
              <w:jc w:val="center"/>
              <w:rPr>
                <w:rFonts w:cs="Times New Roman"/>
                <w:sz w:val="21"/>
                <w:szCs w:val="21"/>
              </w:rPr>
            </w:pPr>
          </w:p>
        </w:tc>
        <w:tc>
          <w:tcPr>
            <w:tcW w:w="992" w:type="dxa"/>
            <w:noWrap/>
            <w:vAlign w:val="center"/>
          </w:tcPr>
          <w:p w14:paraId="35CDC88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2E1563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0D78B2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6E6E828">
            <w:pPr>
              <w:spacing w:line="240" w:lineRule="auto"/>
              <w:ind w:firstLine="0" w:firstLineChars="0"/>
              <w:jc w:val="center"/>
              <w:rPr>
                <w:rFonts w:cs="Times New Roman"/>
                <w:sz w:val="21"/>
                <w:szCs w:val="21"/>
              </w:rPr>
            </w:pPr>
            <w:r>
              <w:rPr>
                <w:rFonts w:hint="eastAsia" w:cs="Times New Roman"/>
                <w:sz w:val="21"/>
                <w:szCs w:val="21"/>
              </w:rPr>
              <w:t>西山脚</w:t>
            </w:r>
          </w:p>
        </w:tc>
        <w:tc>
          <w:tcPr>
            <w:tcW w:w="1701" w:type="dxa"/>
            <w:noWrap/>
            <w:vAlign w:val="center"/>
          </w:tcPr>
          <w:p w14:paraId="20715885">
            <w:pPr>
              <w:spacing w:line="240" w:lineRule="auto"/>
              <w:ind w:firstLine="0" w:firstLineChars="0"/>
              <w:jc w:val="center"/>
              <w:rPr>
                <w:rFonts w:cs="Times New Roman"/>
                <w:sz w:val="21"/>
                <w:szCs w:val="21"/>
              </w:rPr>
            </w:pPr>
            <w:r>
              <w:rPr>
                <w:rFonts w:hint="eastAsia" w:cs="Times New Roman"/>
                <w:sz w:val="21"/>
                <w:szCs w:val="21"/>
              </w:rPr>
              <w:t>119.393907</w:t>
            </w:r>
          </w:p>
        </w:tc>
        <w:tc>
          <w:tcPr>
            <w:tcW w:w="1690" w:type="dxa"/>
            <w:noWrap/>
            <w:vAlign w:val="center"/>
          </w:tcPr>
          <w:p w14:paraId="42547C1F">
            <w:pPr>
              <w:spacing w:line="240" w:lineRule="auto"/>
              <w:ind w:firstLine="0" w:firstLineChars="0"/>
              <w:jc w:val="center"/>
              <w:rPr>
                <w:rFonts w:cs="Times New Roman"/>
                <w:sz w:val="21"/>
                <w:szCs w:val="21"/>
              </w:rPr>
            </w:pPr>
            <w:r>
              <w:rPr>
                <w:rFonts w:hint="eastAsia" w:cs="Times New Roman"/>
                <w:sz w:val="21"/>
                <w:szCs w:val="21"/>
              </w:rPr>
              <w:t>31.73547</w:t>
            </w:r>
          </w:p>
        </w:tc>
        <w:tc>
          <w:tcPr>
            <w:tcW w:w="1080" w:type="dxa"/>
            <w:noWrap/>
            <w:vAlign w:val="center"/>
          </w:tcPr>
          <w:p w14:paraId="3C13B34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20E912B">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67DB0EB6">
            <w:pPr>
              <w:spacing w:line="240" w:lineRule="auto"/>
              <w:ind w:firstLine="0" w:firstLineChars="0"/>
              <w:jc w:val="center"/>
              <w:rPr>
                <w:rFonts w:cs="Times New Roman"/>
                <w:sz w:val="21"/>
                <w:szCs w:val="21"/>
              </w:rPr>
            </w:pPr>
            <w:r>
              <w:rPr>
                <w:rFonts w:hint="eastAsia" w:cs="Times New Roman"/>
                <w:sz w:val="21"/>
                <w:szCs w:val="21"/>
              </w:rPr>
              <w:t>1480</w:t>
            </w:r>
          </w:p>
        </w:tc>
        <w:tc>
          <w:tcPr>
            <w:tcW w:w="1168" w:type="dxa"/>
            <w:noWrap/>
            <w:vAlign w:val="center"/>
          </w:tcPr>
          <w:p w14:paraId="00F54BF3">
            <w:pPr>
              <w:spacing w:line="240" w:lineRule="auto"/>
              <w:ind w:firstLine="0" w:firstLineChars="0"/>
              <w:jc w:val="center"/>
              <w:rPr>
                <w:rFonts w:cs="Times New Roman"/>
                <w:sz w:val="21"/>
                <w:szCs w:val="21"/>
              </w:rPr>
            </w:pPr>
            <w:r>
              <w:rPr>
                <w:rFonts w:hint="eastAsia" w:cs="Times New Roman"/>
                <w:sz w:val="21"/>
                <w:szCs w:val="21"/>
              </w:rPr>
              <w:t>约50</w:t>
            </w:r>
          </w:p>
        </w:tc>
      </w:tr>
      <w:tr w14:paraId="0BE45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79895C4">
            <w:pPr>
              <w:pStyle w:val="39"/>
              <w:numPr>
                <w:ilvl w:val="0"/>
                <w:numId w:val="7"/>
              </w:numPr>
              <w:spacing w:line="240" w:lineRule="auto"/>
              <w:ind w:firstLineChars="0"/>
              <w:jc w:val="center"/>
              <w:rPr>
                <w:rFonts w:cs="Times New Roman"/>
                <w:sz w:val="21"/>
                <w:szCs w:val="21"/>
              </w:rPr>
            </w:pPr>
          </w:p>
        </w:tc>
        <w:tc>
          <w:tcPr>
            <w:tcW w:w="992" w:type="dxa"/>
            <w:noWrap/>
            <w:vAlign w:val="center"/>
          </w:tcPr>
          <w:p w14:paraId="49668C5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8230BF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DF5568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23B9459">
            <w:pPr>
              <w:spacing w:line="240" w:lineRule="auto"/>
              <w:ind w:firstLine="0" w:firstLineChars="0"/>
              <w:jc w:val="center"/>
              <w:rPr>
                <w:rFonts w:cs="Times New Roman"/>
                <w:sz w:val="21"/>
                <w:szCs w:val="21"/>
              </w:rPr>
            </w:pPr>
            <w:r>
              <w:rPr>
                <w:rFonts w:hint="eastAsia" w:cs="Times New Roman"/>
                <w:sz w:val="21"/>
                <w:szCs w:val="21"/>
              </w:rPr>
              <w:t>花山村</w:t>
            </w:r>
          </w:p>
        </w:tc>
        <w:tc>
          <w:tcPr>
            <w:tcW w:w="1701" w:type="dxa"/>
            <w:noWrap/>
            <w:vAlign w:val="center"/>
          </w:tcPr>
          <w:p w14:paraId="6E04E767">
            <w:pPr>
              <w:spacing w:line="240" w:lineRule="auto"/>
              <w:ind w:firstLine="0" w:firstLineChars="0"/>
              <w:jc w:val="center"/>
              <w:rPr>
                <w:rFonts w:cs="Times New Roman"/>
                <w:sz w:val="21"/>
                <w:szCs w:val="21"/>
              </w:rPr>
            </w:pPr>
            <w:r>
              <w:rPr>
                <w:rFonts w:hint="eastAsia" w:cs="Times New Roman"/>
                <w:sz w:val="21"/>
                <w:szCs w:val="21"/>
              </w:rPr>
              <w:t>119.399744</w:t>
            </w:r>
          </w:p>
        </w:tc>
        <w:tc>
          <w:tcPr>
            <w:tcW w:w="1690" w:type="dxa"/>
            <w:noWrap/>
            <w:vAlign w:val="center"/>
          </w:tcPr>
          <w:p w14:paraId="55C3B1C8">
            <w:pPr>
              <w:spacing w:line="240" w:lineRule="auto"/>
              <w:ind w:firstLine="0" w:firstLineChars="0"/>
              <w:jc w:val="center"/>
              <w:rPr>
                <w:rFonts w:cs="Times New Roman"/>
                <w:sz w:val="21"/>
                <w:szCs w:val="21"/>
              </w:rPr>
            </w:pPr>
            <w:r>
              <w:rPr>
                <w:rFonts w:hint="eastAsia" w:cs="Times New Roman"/>
                <w:sz w:val="21"/>
                <w:szCs w:val="21"/>
              </w:rPr>
              <w:t>31.734068</w:t>
            </w:r>
          </w:p>
        </w:tc>
        <w:tc>
          <w:tcPr>
            <w:tcW w:w="1080" w:type="dxa"/>
            <w:noWrap/>
            <w:vAlign w:val="center"/>
          </w:tcPr>
          <w:p w14:paraId="4371417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1CD3201">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1EDF143">
            <w:pPr>
              <w:spacing w:line="240" w:lineRule="auto"/>
              <w:ind w:firstLine="0" w:firstLineChars="0"/>
              <w:jc w:val="center"/>
              <w:rPr>
                <w:rFonts w:cs="Times New Roman"/>
                <w:sz w:val="21"/>
                <w:szCs w:val="21"/>
              </w:rPr>
            </w:pPr>
            <w:r>
              <w:rPr>
                <w:rFonts w:hint="eastAsia" w:cs="Times New Roman"/>
                <w:sz w:val="21"/>
                <w:szCs w:val="21"/>
              </w:rPr>
              <w:t>2150</w:t>
            </w:r>
          </w:p>
        </w:tc>
        <w:tc>
          <w:tcPr>
            <w:tcW w:w="1168" w:type="dxa"/>
            <w:noWrap/>
            <w:vAlign w:val="center"/>
          </w:tcPr>
          <w:p w14:paraId="5156A018">
            <w:pPr>
              <w:spacing w:line="240" w:lineRule="auto"/>
              <w:ind w:firstLine="0" w:firstLineChars="0"/>
              <w:jc w:val="center"/>
              <w:rPr>
                <w:rFonts w:cs="Times New Roman"/>
                <w:sz w:val="21"/>
                <w:szCs w:val="21"/>
              </w:rPr>
            </w:pPr>
            <w:r>
              <w:rPr>
                <w:rFonts w:hint="eastAsia" w:cs="Times New Roman"/>
                <w:sz w:val="21"/>
                <w:szCs w:val="21"/>
              </w:rPr>
              <w:t>约150</w:t>
            </w:r>
          </w:p>
        </w:tc>
      </w:tr>
      <w:tr w14:paraId="2B3E8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B913CB4">
            <w:pPr>
              <w:pStyle w:val="39"/>
              <w:numPr>
                <w:ilvl w:val="0"/>
                <w:numId w:val="7"/>
              </w:numPr>
              <w:spacing w:line="240" w:lineRule="auto"/>
              <w:ind w:firstLineChars="0"/>
              <w:jc w:val="center"/>
              <w:rPr>
                <w:rFonts w:cs="Times New Roman"/>
                <w:sz w:val="21"/>
                <w:szCs w:val="21"/>
              </w:rPr>
            </w:pPr>
          </w:p>
        </w:tc>
        <w:tc>
          <w:tcPr>
            <w:tcW w:w="992" w:type="dxa"/>
            <w:noWrap/>
            <w:vAlign w:val="center"/>
          </w:tcPr>
          <w:p w14:paraId="1C7ADEC9">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248B7EEC">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1E33F0E4">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33A7E410">
            <w:pPr>
              <w:spacing w:line="240" w:lineRule="auto"/>
              <w:ind w:firstLine="0" w:firstLineChars="0"/>
              <w:jc w:val="center"/>
              <w:rPr>
                <w:rFonts w:cs="Times New Roman"/>
                <w:sz w:val="21"/>
                <w:szCs w:val="21"/>
              </w:rPr>
            </w:pPr>
            <w:r>
              <w:rPr>
                <w:rFonts w:hint="eastAsia" w:cs="Times New Roman"/>
                <w:sz w:val="21"/>
                <w:szCs w:val="21"/>
              </w:rPr>
              <w:t>靠背山</w:t>
            </w:r>
          </w:p>
        </w:tc>
        <w:tc>
          <w:tcPr>
            <w:tcW w:w="1701" w:type="dxa"/>
            <w:noWrap/>
            <w:vAlign w:val="center"/>
          </w:tcPr>
          <w:p w14:paraId="6E675E1B">
            <w:pPr>
              <w:spacing w:line="240" w:lineRule="auto"/>
              <w:ind w:firstLine="0" w:firstLineChars="0"/>
              <w:jc w:val="center"/>
              <w:rPr>
                <w:rFonts w:cs="Times New Roman"/>
                <w:sz w:val="21"/>
                <w:szCs w:val="21"/>
              </w:rPr>
            </w:pPr>
            <w:r>
              <w:rPr>
                <w:rFonts w:hint="eastAsia" w:cs="Times New Roman"/>
                <w:sz w:val="21"/>
                <w:szCs w:val="21"/>
              </w:rPr>
              <w:t>119.364195</w:t>
            </w:r>
          </w:p>
        </w:tc>
        <w:tc>
          <w:tcPr>
            <w:tcW w:w="1690" w:type="dxa"/>
            <w:noWrap/>
            <w:vAlign w:val="center"/>
          </w:tcPr>
          <w:p w14:paraId="3B371F3A">
            <w:pPr>
              <w:spacing w:line="240" w:lineRule="auto"/>
              <w:ind w:firstLine="0" w:firstLineChars="0"/>
              <w:jc w:val="center"/>
              <w:rPr>
                <w:rFonts w:cs="Times New Roman"/>
                <w:sz w:val="21"/>
                <w:szCs w:val="21"/>
              </w:rPr>
            </w:pPr>
            <w:r>
              <w:rPr>
                <w:rFonts w:hint="eastAsia" w:cs="Times New Roman"/>
                <w:sz w:val="21"/>
                <w:szCs w:val="21"/>
              </w:rPr>
              <w:t>31.862418</w:t>
            </w:r>
          </w:p>
        </w:tc>
        <w:tc>
          <w:tcPr>
            <w:tcW w:w="1080" w:type="dxa"/>
            <w:noWrap/>
            <w:vAlign w:val="center"/>
          </w:tcPr>
          <w:p w14:paraId="6CA39A2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BF02D15">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0CF66DB">
            <w:pPr>
              <w:spacing w:line="240" w:lineRule="auto"/>
              <w:ind w:firstLine="0" w:firstLineChars="0"/>
              <w:jc w:val="center"/>
              <w:rPr>
                <w:rFonts w:cs="Times New Roman"/>
                <w:sz w:val="21"/>
                <w:szCs w:val="21"/>
              </w:rPr>
            </w:pPr>
            <w:r>
              <w:rPr>
                <w:rFonts w:hint="eastAsia" w:cs="Times New Roman"/>
                <w:sz w:val="21"/>
                <w:szCs w:val="21"/>
              </w:rPr>
              <w:t>466</w:t>
            </w:r>
          </w:p>
        </w:tc>
        <w:tc>
          <w:tcPr>
            <w:tcW w:w="1168" w:type="dxa"/>
            <w:noWrap/>
            <w:vAlign w:val="center"/>
          </w:tcPr>
          <w:p w14:paraId="298D3BE0">
            <w:pPr>
              <w:spacing w:line="240" w:lineRule="auto"/>
              <w:ind w:firstLine="0" w:firstLineChars="0"/>
              <w:jc w:val="center"/>
              <w:rPr>
                <w:rFonts w:cs="Times New Roman"/>
                <w:sz w:val="21"/>
                <w:szCs w:val="21"/>
              </w:rPr>
            </w:pPr>
            <w:r>
              <w:rPr>
                <w:rFonts w:hint="eastAsia" w:cs="Times New Roman"/>
                <w:sz w:val="21"/>
                <w:szCs w:val="21"/>
              </w:rPr>
              <w:t>约20</w:t>
            </w:r>
          </w:p>
        </w:tc>
      </w:tr>
      <w:tr w14:paraId="52315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FE3F967">
            <w:pPr>
              <w:pStyle w:val="39"/>
              <w:numPr>
                <w:ilvl w:val="0"/>
                <w:numId w:val="7"/>
              </w:numPr>
              <w:spacing w:line="240" w:lineRule="auto"/>
              <w:ind w:firstLineChars="0"/>
              <w:jc w:val="center"/>
              <w:rPr>
                <w:rFonts w:cs="Times New Roman"/>
                <w:sz w:val="21"/>
                <w:szCs w:val="21"/>
              </w:rPr>
            </w:pPr>
          </w:p>
        </w:tc>
        <w:tc>
          <w:tcPr>
            <w:tcW w:w="992" w:type="dxa"/>
            <w:noWrap/>
            <w:vAlign w:val="center"/>
          </w:tcPr>
          <w:p w14:paraId="422656B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1C1BFB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06F75A5">
            <w:pPr>
              <w:spacing w:line="240" w:lineRule="auto"/>
              <w:ind w:firstLine="0" w:firstLineChars="0"/>
              <w:jc w:val="center"/>
              <w:rPr>
                <w:rFonts w:cs="Times New Roman"/>
                <w:sz w:val="21"/>
                <w:szCs w:val="21"/>
              </w:rPr>
            </w:pPr>
            <w:r>
              <w:rPr>
                <w:rFonts w:hint="eastAsia" w:cs="Times New Roman"/>
                <w:sz w:val="21"/>
                <w:szCs w:val="21"/>
              </w:rPr>
              <w:t>朱林镇</w:t>
            </w:r>
          </w:p>
        </w:tc>
        <w:tc>
          <w:tcPr>
            <w:tcW w:w="2409" w:type="dxa"/>
            <w:noWrap/>
            <w:vAlign w:val="center"/>
          </w:tcPr>
          <w:p w14:paraId="46673AC2">
            <w:pPr>
              <w:spacing w:line="240" w:lineRule="auto"/>
              <w:ind w:firstLine="0" w:firstLineChars="0"/>
              <w:jc w:val="center"/>
              <w:rPr>
                <w:rFonts w:cs="Times New Roman"/>
                <w:sz w:val="21"/>
                <w:szCs w:val="21"/>
              </w:rPr>
            </w:pPr>
            <w:r>
              <w:rPr>
                <w:rFonts w:hint="eastAsia" w:cs="Times New Roman"/>
                <w:sz w:val="21"/>
                <w:szCs w:val="21"/>
              </w:rPr>
              <w:t>下庄</w:t>
            </w:r>
          </w:p>
        </w:tc>
        <w:tc>
          <w:tcPr>
            <w:tcW w:w="1701" w:type="dxa"/>
            <w:noWrap/>
            <w:vAlign w:val="center"/>
          </w:tcPr>
          <w:p w14:paraId="18267B54">
            <w:pPr>
              <w:spacing w:line="240" w:lineRule="auto"/>
              <w:ind w:firstLine="0" w:firstLineChars="0"/>
              <w:jc w:val="center"/>
              <w:rPr>
                <w:rFonts w:cs="Times New Roman"/>
                <w:sz w:val="21"/>
                <w:szCs w:val="21"/>
              </w:rPr>
            </w:pPr>
            <w:r>
              <w:rPr>
                <w:rFonts w:hint="eastAsia" w:cs="Times New Roman"/>
                <w:sz w:val="21"/>
                <w:szCs w:val="21"/>
              </w:rPr>
              <w:t>119.423296</w:t>
            </w:r>
          </w:p>
        </w:tc>
        <w:tc>
          <w:tcPr>
            <w:tcW w:w="1690" w:type="dxa"/>
            <w:noWrap/>
            <w:vAlign w:val="center"/>
          </w:tcPr>
          <w:p w14:paraId="27112C84">
            <w:pPr>
              <w:spacing w:line="240" w:lineRule="auto"/>
              <w:ind w:firstLine="0" w:firstLineChars="0"/>
              <w:jc w:val="center"/>
              <w:rPr>
                <w:rFonts w:cs="Times New Roman"/>
                <w:sz w:val="21"/>
                <w:szCs w:val="21"/>
              </w:rPr>
            </w:pPr>
            <w:r>
              <w:rPr>
                <w:rFonts w:hint="eastAsia" w:cs="Times New Roman"/>
                <w:sz w:val="21"/>
                <w:szCs w:val="21"/>
              </w:rPr>
              <w:t>31.692617</w:t>
            </w:r>
          </w:p>
        </w:tc>
        <w:tc>
          <w:tcPr>
            <w:tcW w:w="1080" w:type="dxa"/>
            <w:noWrap/>
            <w:vAlign w:val="center"/>
          </w:tcPr>
          <w:p w14:paraId="1CA2FE9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0A6A373">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1C2D7E7F">
            <w:pPr>
              <w:spacing w:line="240" w:lineRule="auto"/>
              <w:ind w:firstLine="0" w:firstLineChars="0"/>
              <w:jc w:val="center"/>
              <w:rPr>
                <w:rFonts w:cs="Times New Roman"/>
                <w:sz w:val="21"/>
                <w:szCs w:val="21"/>
              </w:rPr>
            </w:pPr>
            <w:r>
              <w:rPr>
                <w:rFonts w:hint="eastAsia" w:cs="Times New Roman"/>
                <w:sz w:val="21"/>
                <w:szCs w:val="21"/>
              </w:rPr>
              <w:t>2320</w:t>
            </w:r>
          </w:p>
        </w:tc>
        <w:tc>
          <w:tcPr>
            <w:tcW w:w="1168" w:type="dxa"/>
            <w:noWrap/>
            <w:vAlign w:val="center"/>
          </w:tcPr>
          <w:p w14:paraId="50DF9CB2">
            <w:pPr>
              <w:spacing w:line="240" w:lineRule="auto"/>
              <w:ind w:firstLine="0" w:firstLineChars="0"/>
              <w:jc w:val="center"/>
              <w:rPr>
                <w:rFonts w:cs="Times New Roman"/>
                <w:sz w:val="21"/>
                <w:szCs w:val="21"/>
              </w:rPr>
            </w:pPr>
            <w:r>
              <w:rPr>
                <w:rFonts w:hint="eastAsia" w:cs="Times New Roman"/>
                <w:sz w:val="21"/>
                <w:szCs w:val="21"/>
              </w:rPr>
              <w:t>约30</w:t>
            </w:r>
          </w:p>
        </w:tc>
      </w:tr>
      <w:tr w14:paraId="17E96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DECC46B">
            <w:pPr>
              <w:pStyle w:val="39"/>
              <w:numPr>
                <w:ilvl w:val="0"/>
                <w:numId w:val="7"/>
              </w:numPr>
              <w:spacing w:line="240" w:lineRule="auto"/>
              <w:ind w:firstLineChars="0"/>
              <w:jc w:val="center"/>
              <w:rPr>
                <w:rFonts w:cs="Times New Roman"/>
                <w:sz w:val="21"/>
                <w:szCs w:val="21"/>
              </w:rPr>
            </w:pPr>
          </w:p>
        </w:tc>
        <w:tc>
          <w:tcPr>
            <w:tcW w:w="992" w:type="dxa"/>
            <w:noWrap/>
            <w:vAlign w:val="center"/>
          </w:tcPr>
          <w:p w14:paraId="3A18A5E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C88060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201079A">
            <w:pPr>
              <w:spacing w:line="240" w:lineRule="auto"/>
              <w:ind w:firstLine="0" w:firstLineChars="0"/>
              <w:jc w:val="center"/>
              <w:rPr>
                <w:rFonts w:cs="Times New Roman"/>
                <w:sz w:val="21"/>
                <w:szCs w:val="21"/>
              </w:rPr>
            </w:pPr>
            <w:r>
              <w:rPr>
                <w:rFonts w:hint="eastAsia" w:cs="Times New Roman"/>
                <w:sz w:val="21"/>
                <w:szCs w:val="21"/>
              </w:rPr>
              <w:t>朱林镇</w:t>
            </w:r>
          </w:p>
        </w:tc>
        <w:tc>
          <w:tcPr>
            <w:tcW w:w="2409" w:type="dxa"/>
            <w:noWrap/>
            <w:vAlign w:val="center"/>
          </w:tcPr>
          <w:p w14:paraId="335044DC">
            <w:pPr>
              <w:spacing w:line="240" w:lineRule="auto"/>
              <w:ind w:firstLine="0" w:firstLineChars="0"/>
              <w:jc w:val="center"/>
              <w:rPr>
                <w:rFonts w:cs="Times New Roman"/>
                <w:sz w:val="21"/>
                <w:szCs w:val="21"/>
              </w:rPr>
            </w:pPr>
            <w:r>
              <w:rPr>
                <w:rFonts w:hint="eastAsia" w:cs="Times New Roman"/>
                <w:sz w:val="21"/>
                <w:szCs w:val="21"/>
              </w:rPr>
              <w:t>大车口</w:t>
            </w:r>
          </w:p>
        </w:tc>
        <w:tc>
          <w:tcPr>
            <w:tcW w:w="1701" w:type="dxa"/>
            <w:noWrap/>
            <w:vAlign w:val="center"/>
          </w:tcPr>
          <w:p w14:paraId="4FBD46B0">
            <w:pPr>
              <w:spacing w:line="240" w:lineRule="auto"/>
              <w:ind w:firstLine="0" w:firstLineChars="0"/>
              <w:jc w:val="center"/>
              <w:rPr>
                <w:rFonts w:cs="Times New Roman"/>
                <w:sz w:val="21"/>
                <w:szCs w:val="21"/>
              </w:rPr>
            </w:pPr>
            <w:r>
              <w:rPr>
                <w:rFonts w:hint="eastAsia" w:cs="Times New Roman"/>
                <w:sz w:val="21"/>
                <w:szCs w:val="21"/>
              </w:rPr>
              <w:t>119.426477</w:t>
            </w:r>
          </w:p>
        </w:tc>
        <w:tc>
          <w:tcPr>
            <w:tcW w:w="1690" w:type="dxa"/>
            <w:noWrap/>
            <w:vAlign w:val="center"/>
          </w:tcPr>
          <w:p w14:paraId="4A4357F6">
            <w:pPr>
              <w:spacing w:line="240" w:lineRule="auto"/>
              <w:ind w:firstLine="0" w:firstLineChars="0"/>
              <w:jc w:val="center"/>
              <w:rPr>
                <w:rFonts w:cs="Times New Roman"/>
                <w:sz w:val="21"/>
                <w:szCs w:val="21"/>
              </w:rPr>
            </w:pPr>
            <w:r>
              <w:rPr>
                <w:rFonts w:hint="eastAsia" w:cs="Times New Roman"/>
                <w:sz w:val="21"/>
                <w:szCs w:val="21"/>
              </w:rPr>
              <w:t>31.682606</w:t>
            </w:r>
          </w:p>
        </w:tc>
        <w:tc>
          <w:tcPr>
            <w:tcW w:w="1080" w:type="dxa"/>
            <w:noWrap/>
            <w:vAlign w:val="center"/>
          </w:tcPr>
          <w:p w14:paraId="729C8AF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3E898D6">
            <w:pPr>
              <w:spacing w:line="240" w:lineRule="auto"/>
              <w:ind w:firstLine="0" w:firstLineChars="0"/>
              <w:jc w:val="center"/>
              <w:rPr>
                <w:rFonts w:cs="Times New Roman"/>
                <w:sz w:val="21"/>
                <w:szCs w:val="21"/>
              </w:rPr>
            </w:pPr>
            <w:r>
              <w:rPr>
                <w:rFonts w:hint="eastAsia" w:cs="Times New Roman"/>
                <w:sz w:val="21"/>
                <w:szCs w:val="21"/>
              </w:rPr>
              <w:t>北</w:t>
            </w:r>
          </w:p>
        </w:tc>
        <w:tc>
          <w:tcPr>
            <w:tcW w:w="720" w:type="dxa"/>
            <w:noWrap/>
            <w:vAlign w:val="center"/>
          </w:tcPr>
          <w:p w14:paraId="2AAE4844">
            <w:pPr>
              <w:spacing w:line="240" w:lineRule="auto"/>
              <w:ind w:firstLine="0" w:firstLineChars="0"/>
              <w:jc w:val="center"/>
              <w:rPr>
                <w:rFonts w:cs="Times New Roman"/>
                <w:sz w:val="21"/>
                <w:szCs w:val="21"/>
              </w:rPr>
            </w:pPr>
            <w:r>
              <w:rPr>
                <w:rFonts w:hint="eastAsia" w:cs="Times New Roman"/>
                <w:sz w:val="21"/>
                <w:szCs w:val="21"/>
              </w:rPr>
              <w:t>2291</w:t>
            </w:r>
          </w:p>
        </w:tc>
        <w:tc>
          <w:tcPr>
            <w:tcW w:w="1168" w:type="dxa"/>
            <w:noWrap/>
            <w:vAlign w:val="center"/>
          </w:tcPr>
          <w:p w14:paraId="14FBFEC9">
            <w:pPr>
              <w:spacing w:line="240" w:lineRule="auto"/>
              <w:ind w:firstLine="0" w:firstLineChars="0"/>
              <w:jc w:val="center"/>
              <w:rPr>
                <w:rFonts w:cs="Times New Roman"/>
                <w:sz w:val="21"/>
                <w:szCs w:val="21"/>
              </w:rPr>
            </w:pPr>
            <w:r>
              <w:rPr>
                <w:rFonts w:hint="eastAsia" w:cs="Times New Roman"/>
                <w:sz w:val="21"/>
                <w:szCs w:val="21"/>
              </w:rPr>
              <w:t>约40</w:t>
            </w:r>
          </w:p>
        </w:tc>
      </w:tr>
      <w:tr w14:paraId="532CE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5980262">
            <w:pPr>
              <w:pStyle w:val="39"/>
              <w:numPr>
                <w:ilvl w:val="0"/>
                <w:numId w:val="7"/>
              </w:numPr>
              <w:spacing w:line="240" w:lineRule="auto"/>
              <w:ind w:firstLineChars="0"/>
              <w:jc w:val="center"/>
              <w:rPr>
                <w:rFonts w:cs="Times New Roman"/>
                <w:sz w:val="21"/>
                <w:szCs w:val="21"/>
              </w:rPr>
            </w:pPr>
          </w:p>
        </w:tc>
        <w:tc>
          <w:tcPr>
            <w:tcW w:w="992" w:type="dxa"/>
            <w:noWrap/>
            <w:vAlign w:val="center"/>
          </w:tcPr>
          <w:p w14:paraId="1F9C053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B8A42E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FB262D8">
            <w:pPr>
              <w:spacing w:line="240" w:lineRule="auto"/>
              <w:ind w:firstLine="0" w:firstLineChars="0"/>
              <w:jc w:val="center"/>
              <w:rPr>
                <w:rFonts w:cs="Times New Roman"/>
                <w:sz w:val="21"/>
                <w:szCs w:val="21"/>
              </w:rPr>
            </w:pPr>
            <w:r>
              <w:rPr>
                <w:rFonts w:hint="eastAsia" w:cs="Times New Roman"/>
                <w:sz w:val="21"/>
                <w:szCs w:val="21"/>
              </w:rPr>
              <w:t>朱林镇</w:t>
            </w:r>
          </w:p>
        </w:tc>
        <w:tc>
          <w:tcPr>
            <w:tcW w:w="2409" w:type="dxa"/>
            <w:noWrap/>
            <w:vAlign w:val="center"/>
          </w:tcPr>
          <w:p w14:paraId="5534C701">
            <w:pPr>
              <w:spacing w:line="240" w:lineRule="auto"/>
              <w:ind w:firstLine="0" w:firstLineChars="0"/>
              <w:jc w:val="center"/>
              <w:rPr>
                <w:rFonts w:cs="Times New Roman"/>
                <w:sz w:val="21"/>
                <w:szCs w:val="21"/>
              </w:rPr>
            </w:pPr>
            <w:r>
              <w:rPr>
                <w:rFonts w:hint="eastAsia" w:cs="Times New Roman"/>
                <w:sz w:val="21"/>
                <w:szCs w:val="21"/>
              </w:rPr>
              <w:t>西街</w:t>
            </w:r>
          </w:p>
        </w:tc>
        <w:tc>
          <w:tcPr>
            <w:tcW w:w="1701" w:type="dxa"/>
            <w:noWrap/>
            <w:vAlign w:val="center"/>
          </w:tcPr>
          <w:p w14:paraId="6CC5C013">
            <w:pPr>
              <w:spacing w:line="240" w:lineRule="auto"/>
              <w:ind w:firstLine="0" w:firstLineChars="0"/>
              <w:jc w:val="center"/>
              <w:rPr>
                <w:rFonts w:cs="Times New Roman"/>
                <w:sz w:val="21"/>
                <w:szCs w:val="21"/>
              </w:rPr>
            </w:pPr>
            <w:r>
              <w:rPr>
                <w:rFonts w:hint="eastAsia" w:cs="Times New Roman"/>
                <w:sz w:val="21"/>
                <w:szCs w:val="21"/>
              </w:rPr>
              <w:t>119.426391</w:t>
            </w:r>
          </w:p>
        </w:tc>
        <w:tc>
          <w:tcPr>
            <w:tcW w:w="1690" w:type="dxa"/>
            <w:noWrap/>
            <w:vAlign w:val="center"/>
          </w:tcPr>
          <w:p w14:paraId="0E867608">
            <w:pPr>
              <w:spacing w:line="240" w:lineRule="auto"/>
              <w:ind w:firstLine="0" w:firstLineChars="0"/>
              <w:jc w:val="center"/>
              <w:rPr>
                <w:rFonts w:cs="Times New Roman"/>
                <w:sz w:val="21"/>
                <w:szCs w:val="21"/>
              </w:rPr>
            </w:pPr>
            <w:r>
              <w:rPr>
                <w:rFonts w:hint="eastAsia" w:cs="Times New Roman"/>
                <w:sz w:val="21"/>
                <w:szCs w:val="21"/>
              </w:rPr>
              <w:t>31.689349</w:t>
            </w:r>
          </w:p>
        </w:tc>
        <w:tc>
          <w:tcPr>
            <w:tcW w:w="1080" w:type="dxa"/>
            <w:noWrap/>
            <w:vAlign w:val="center"/>
          </w:tcPr>
          <w:p w14:paraId="4064C35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EE8DFFA">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7E3DF335">
            <w:pPr>
              <w:spacing w:line="240" w:lineRule="auto"/>
              <w:ind w:firstLine="0" w:firstLineChars="0"/>
              <w:jc w:val="center"/>
              <w:rPr>
                <w:rFonts w:cs="Times New Roman"/>
                <w:sz w:val="21"/>
                <w:szCs w:val="21"/>
              </w:rPr>
            </w:pPr>
            <w:r>
              <w:rPr>
                <w:rFonts w:hint="eastAsia" w:cs="Times New Roman"/>
                <w:sz w:val="21"/>
                <w:szCs w:val="21"/>
              </w:rPr>
              <w:t>2448</w:t>
            </w:r>
          </w:p>
        </w:tc>
        <w:tc>
          <w:tcPr>
            <w:tcW w:w="1168" w:type="dxa"/>
            <w:noWrap/>
            <w:vAlign w:val="center"/>
          </w:tcPr>
          <w:p w14:paraId="4029BDA1">
            <w:pPr>
              <w:spacing w:line="240" w:lineRule="auto"/>
              <w:ind w:firstLine="0" w:firstLineChars="0"/>
              <w:jc w:val="center"/>
              <w:rPr>
                <w:rFonts w:cs="Times New Roman"/>
                <w:sz w:val="21"/>
                <w:szCs w:val="21"/>
              </w:rPr>
            </w:pPr>
            <w:r>
              <w:rPr>
                <w:rFonts w:hint="eastAsia" w:cs="Times New Roman"/>
                <w:sz w:val="21"/>
                <w:szCs w:val="21"/>
              </w:rPr>
              <w:t>约20</w:t>
            </w:r>
          </w:p>
        </w:tc>
      </w:tr>
      <w:tr w14:paraId="04EB8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B1652F4">
            <w:pPr>
              <w:pStyle w:val="39"/>
              <w:numPr>
                <w:ilvl w:val="0"/>
                <w:numId w:val="7"/>
              </w:numPr>
              <w:spacing w:line="240" w:lineRule="auto"/>
              <w:ind w:firstLineChars="0"/>
              <w:jc w:val="center"/>
              <w:rPr>
                <w:rFonts w:cs="Times New Roman"/>
                <w:sz w:val="21"/>
                <w:szCs w:val="21"/>
              </w:rPr>
            </w:pPr>
          </w:p>
        </w:tc>
        <w:tc>
          <w:tcPr>
            <w:tcW w:w="992" w:type="dxa"/>
            <w:noWrap/>
            <w:vAlign w:val="center"/>
          </w:tcPr>
          <w:p w14:paraId="3961C02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D2D18A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617E18F">
            <w:pPr>
              <w:spacing w:line="240" w:lineRule="auto"/>
              <w:ind w:firstLine="0" w:firstLineChars="0"/>
              <w:jc w:val="center"/>
              <w:rPr>
                <w:rFonts w:cs="Times New Roman"/>
                <w:sz w:val="21"/>
                <w:szCs w:val="21"/>
              </w:rPr>
            </w:pPr>
            <w:r>
              <w:rPr>
                <w:rFonts w:hint="eastAsia" w:cs="Times New Roman"/>
                <w:sz w:val="21"/>
                <w:szCs w:val="21"/>
              </w:rPr>
              <w:t>朱林镇</w:t>
            </w:r>
          </w:p>
        </w:tc>
        <w:tc>
          <w:tcPr>
            <w:tcW w:w="2409" w:type="dxa"/>
            <w:noWrap/>
            <w:vAlign w:val="center"/>
          </w:tcPr>
          <w:p w14:paraId="66723021">
            <w:pPr>
              <w:spacing w:line="240" w:lineRule="auto"/>
              <w:ind w:firstLine="0" w:firstLineChars="0"/>
              <w:jc w:val="center"/>
              <w:rPr>
                <w:rFonts w:cs="Times New Roman"/>
                <w:sz w:val="21"/>
                <w:szCs w:val="21"/>
              </w:rPr>
            </w:pPr>
            <w:r>
              <w:rPr>
                <w:rFonts w:hint="eastAsia" w:cs="Times New Roman"/>
                <w:sz w:val="21"/>
                <w:szCs w:val="21"/>
              </w:rPr>
              <w:t>西庄</w:t>
            </w:r>
          </w:p>
        </w:tc>
        <w:tc>
          <w:tcPr>
            <w:tcW w:w="1701" w:type="dxa"/>
            <w:noWrap/>
            <w:vAlign w:val="center"/>
          </w:tcPr>
          <w:p w14:paraId="540FB199">
            <w:pPr>
              <w:spacing w:line="240" w:lineRule="auto"/>
              <w:ind w:firstLine="0" w:firstLineChars="0"/>
              <w:jc w:val="center"/>
              <w:rPr>
                <w:rFonts w:cs="Times New Roman"/>
                <w:sz w:val="21"/>
                <w:szCs w:val="21"/>
              </w:rPr>
            </w:pPr>
            <w:r>
              <w:rPr>
                <w:rFonts w:hint="eastAsia" w:cs="Times New Roman"/>
                <w:sz w:val="21"/>
                <w:szCs w:val="21"/>
              </w:rPr>
              <w:t>119.422707</w:t>
            </w:r>
          </w:p>
        </w:tc>
        <w:tc>
          <w:tcPr>
            <w:tcW w:w="1690" w:type="dxa"/>
            <w:noWrap/>
            <w:vAlign w:val="center"/>
          </w:tcPr>
          <w:p w14:paraId="57FF100F">
            <w:pPr>
              <w:spacing w:line="240" w:lineRule="auto"/>
              <w:ind w:firstLine="0" w:firstLineChars="0"/>
              <w:jc w:val="center"/>
              <w:rPr>
                <w:rFonts w:cs="Times New Roman"/>
                <w:sz w:val="21"/>
                <w:szCs w:val="21"/>
              </w:rPr>
            </w:pPr>
            <w:r>
              <w:rPr>
                <w:rFonts w:hint="eastAsia" w:cs="Times New Roman"/>
                <w:sz w:val="21"/>
                <w:szCs w:val="21"/>
              </w:rPr>
              <w:t>31.688676</w:t>
            </w:r>
          </w:p>
        </w:tc>
        <w:tc>
          <w:tcPr>
            <w:tcW w:w="1080" w:type="dxa"/>
            <w:noWrap/>
            <w:vAlign w:val="center"/>
          </w:tcPr>
          <w:p w14:paraId="3085C7C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0B365C7">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2FD048EC">
            <w:pPr>
              <w:spacing w:line="240" w:lineRule="auto"/>
              <w:ind w:firstLine="0" w:firstLineChars="0"/>
              <w:jc w:val="center"/>
              <w:rPr>
                <w:rFonts w:cs="Times New Roman"/>
                <w:sz w:val="21"/>
                <w:szCs w:val="21"/>
              </w:rPr>
            </w:pPr>
            <w:r>
              <w:rPr>
                <w:rFonts w:hint="eastAsia" w:cs="Times New Roman"/>
                <w:sz w:val="21"/>
                <w:szCs w:val="21"/>
              </w:rPr>
              <w:t>2098</w:t>
            </w:r>
          </w:p>
        </w:tc>
        <w:tc>
          <w:tcPr>
            <w:tcW w:w="1168" w:type="dxa"/>
            <w:noWrap/>
            <w:vAlign w:val="center"/>
          </w:tcPr>
          <w:p w14:paraId="171D53DF">
            <w:pPr>
              <w:spacing w:line="240" w:lineRule="auto"/>
              <w:ind w:firstLine="0" w:firstLineChars="0"/>
              <w:jc w:val="center"/>
              <w:rPr>
                <w:rFonts w:cs="Times New Roman"/>
                <w:sz w:val="21"/>
                <w:szCs w:val="21"/>
              </w:rPr>
            </w:pPr>
            <w:r>
              <w:rPr>
                <w:rFonts w:hint="eastAsia" w:cs="Times New Roman"/>
                <w:sz w:val="21"/>
                <w:szCs w:val="21"/>
              </w:rPr>
              <w:t>约20</w:t>
            </w:r>
          </w:p>
        </w:tc>
      </w:tr>
      <w:tr w14:paraId="6567E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11F3406">
            <w:pPr>
              <w:pStyle w:val="39"/>
              <w:numPr>
                <w:ilvl w:val="0"/>
                <w:numId w:val="7"/>
              </w:numPr>
              <w:spacing w:line="240" w:lineRule="auto"/>
              <w:ind w:firstLineChars="0"/>
              <w:jc w:val="center"/>
              <w:rPr>
                <w:rFonts w:cs="Times New Roman"/>
                <w:sz w:val="21"/>
                <w:szCs w:val="21"/>
              </w:rPr>
            </w:pPr>
          </w:p>
        </w:tc>
        <w:tc>
          <w:tcPr>
            <w:tcW w:w="992" w:type="dxa"/>
            <w:noWrap/>
            <w:vAlign w:val="center"/>
          </w:tcPr>
          <w:p w14:paraId="69A53604">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2251B927">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7EF63239">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0D8F7C26">
            <w:pPr>
              <w:spacing w:line="240" w:lineRule="auto"/>
              <w:ind w:firstLine="0" w:firstLineChars="0"/>
              <w:jc w:val="center"/>
              <w:rPr>
                <w:rFonts w:cs="Times New Roman"/>
                <w:sz w:val="21"/>
                <w:szCs w:val="21"/>
              </w:rPr>
            </w:pPr>
            <w:r>
              <w:rPr>
                <w:rFonts w:hint="eastAsia" w:cs="Times New Roman"/>
                <w:sz w:val="21"/>
                <w:szCs w:val="21"/>
              </w:rPr>
              <w:t>东棚</w:t>
            </w:r>
          </w:p>
        </w:tc>
        <w:tc>
          <w:tcPr>
            <w:tcW w:w="1701" w:type="dxa"/>
            <w:noWrap/>
            <w:vAlign w:val="center"/>
          </w:tcPr>
          <w:p w14:paraId="5DE5DDA7">
            <w:pPr>
              <w:spacing w:line="240" w:lineRule="auto"/>
              <w:ind w:firstLine="0" w:firstLineChars="0"/>
              <w:jc w:val="center"/>
              <w:rPr>
                <w:rFonts w:cs="Times New Roman"/>
                <w:sz w:val="21"/>
                <w:szCs w:val="21"/>
              </w:rPr>
            </w:pPr>
            <w:r>
              <w:rPr>
                <w:rFonts w:hint="eastAsia" w:cs="Times New Roman"/>
                <w:sz w:val="21"/>
                <w:szCs w:val="21"/>
              </w:rPr>
              <w:t>119.378125</w:t>
            </w:r>
          </w:p>
        </w:tc>
        <w:tc>
          <w:tcPr>
            <w:tcW w:w="1690" w:type="dxa"/>
            <w:noWrap/>
            <w:vAlign w:val="center"/>
          </w:tcPr>
          <w:p w14:paraId="49851103">
            <w:pPr>
              <w:spacing w:line="240" w:lineRule="auto"/>
              <w:ind w:firstLine="0" w:firstLineChars="0"/>
              <w:jc w:val="center"/>
              <w:rPr>
                <w:rFonts w:cs="Times New Roman"/>
                <w:sz w:val="21"/>
                <w:szCs w:val="21"/>
              </w:rPr>
            </w:pPr>
            <w:r>
              <w:rPr>
                <w:rFonts w:hint="eastAsia" w:cs="Times New Roman"/>
                <w:sz w:val="21"/>
                <w:szCs w:val="21"/>
              </w:rPr>
              <w:t>31.867359</w:t>
            </w:r>
          </w:p>
        </w:tc>
        <w:tc>
          <w:tcPr>
            <w:tcW w:w="1080" w:type="dxa"/>
            <w:noWrap/>
            <w:vAlign w:val="center"/>
          </w:tcPr>
          <w:p w14:paraId="48601EA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F3D3794">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5A5CC482">
            <w:pPr>
              <w:spacing w:line="240" w:lineRule="auto"/>
              <w:ind w:firstLine="0" w:firstLineChars="0"/>
              <w:jc w:val="center"/>
              <w:rPr>
                <w:rFonts w:cs="Times New Roman"/>
                <w:sz w:val="21"/>
                <w:szCs w:val="21"/>
              </w:rPr>
            </w:pPr>
            <w:r>
              <w:rPr>
                <w:rFonts w:hint="eastAsia" w:cs="Times New Roman"/>
                <w:sz w:val="21"/>
                <w:szCs w:val="21"/>
              </w:rPr>
              <w:t>1781</w:t>
            </w:r>
          </w:p>
        </w:tc>
        <w:tc>
          <w:tcPr>
            <w:tcW w:w="1168" w:type="dxa"/>
            <w:noWrap/>
            <w:vAlign w:val="center"/>
          </w:tcPr>
          <w:p w14:paraId="3A52E12B">
            <w:pPr>
              <w:spacing w:line="240" w:lineRule="auto"/>
              <w:ind w:firstLine="0" w:firstLineChars="0"/>
              <w:jc w:val="center"/>
              <w:rPr>
                <w:rFonts w:cs="Times New Roman"/>
                <w:sz w:val="21"/>
                <w:szCs w:val="21"/>
              </w:rPr>
            </w:pPr>
            <w:r>
              <w:rPr>
                <w:rFonts w:hint="eastAsia" w:cs="Times New Roman"/>
                <w:sz w:val="21"/>
                <w:szCs w:val="21"/>
              </w:rPr>
              <w:t>约20</w:t>
            </w:r>
          </w:p>
        </w:tc>
      </w:tr>
      <w:tr w14:paraId="7C244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5AF282F">
            <w:pPr>
              <w:pStyle w:val="39"/>
              <w:numPr>
                <w:ilvl w:val="0"/>
                <w:numId w:val="7"/>
              </w:numPr>
              <w:spacing w:line="240" w:lineRule="auto"/>
              <w:ind w:firstLineChars="0"/>
              <w:jc w:val="center"/>
              <w:rPr>
                <w:rFonts w:cs="Times New Roman"/>
                <w:sz w:val="21"/>
                <w:szCs w:val="21"/>
              </w:rPr>
            </w:pPr>
          </w:p>
        </w:tc>
        <w:tc>
          <w:tcPr>
            <w:tcW w:w="992" w:type="dxa"/>
            <w:noWrap/>
            <w:vAlign w:val="center"/>
          </w:tcPr>
          <w:p w14:paraId="2B113006">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A1BB335">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4A2EC464">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1D9F9A4F">
            <w:pPr>
              <w:spacing w:line="240" w:lineRule="auto"/>
              <w:ind w:firstLine="0" w:firstLineChars="0"/>
              <w:jc w:val="center"/>
              <w:rPr>
                <w:rFonts w:cs="Times New Roman"/>
                <w:sz w:val="21"/>
                <w:szCs w:val="21"/>
              </w:rPr>
            </w:pPr>
            <w:r>
              <w:rPr>
                <w:rFonts w:hint="eastAsia" w:cs="Times New Roman"/>
                <w:sz w:val="21"/>
                <w:szCs w:val="21"/>
              </w:rPr>
              <w:t>西棚</w:t>
            </w:r>
          </w:p>
        </w:tc>
        <w:tc>
          <w:tcPr>
            <w:tcW w:w="1701" w:type="dxa"/>
            <w:noWrap/>
            <w:vAlign w:val="center"/>
          </w:tcPr>
          <w:p w14:paraId="5F2E6ADC">
            <w:pPr>
              <w:spacing w:line="240" w:lineRule="auto"/>
              <w:ind w:firstLine="0" w:firstLineChars="0"/>
              <w:jc w:val="center"/>
              <w:rPr>
                <w:rFonts w:cs="Times New Roman"/>
                <w:sz w:val="21"/>
                <w:szCs w:val="21"/>
              </w:rPr>
            </w:pPr>
            <w:r>
              <w:rPr>
                <w:rFonts w:hint="eastAsia" w:cs="Times New Roman"/>
                <w:sz w:val="21"/>
                <w:szCs w:val="21"/>
              </w:rPr>
              <w:t>119.372233</w:t>
            </w:r>
          </w:p>
        </w:tc>
        <w:tc>
          <w:tcPr>
            <w:tcW w:w="1690" w:type="dxa"/>
            <w:noWrap/>
            <w:vAlign w:val="center"/>
          </w:tcPr>
          <w:p w14:paraId="0AD6A6EA">
            <w:pPr>
              <w:spacing w:line="240" w:lineRule="auto"/>
              <w:ind w:firstLine="0" w:firstLineChars="0"/>
              <w:jc w:val="center"/>
              <w:rPr>
                <w:rFonts w:cs="Times New Roman"/>
                <w:sz w:val="21"/>
                <w:szCs w:val="21"/>
              </w:rPr>
            </w:pPr>
            <w:r>
              <w:rPr>
                <w:rFonts w:hint="eastAsia" w:cs="Times New Roman"/>
                <w:sz w:val="21"/>
                <w:szCs w:val="21"/>
              </w:rPr>
              <w:t>31.867005</w:t>
            </w:r>
          </w:p>
        </w:tc>
        <w:tc>
          <w:tcPr>
            <w:tcW w:w="1080" w:type="dxa"/>
            <w:noWrap/>
            <w:vAlign w:val="center"/>
          </w:tcPr>
          <w:p w14:paraId="28C3CCB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9A873BE">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5D35D3E9">
            <w:pPr>
              <w:spacing w:line="240" w:lineRule="auto"/>
              <w:ind w:firstLine="0" w:firstLineChars="0"/>
              <w:jc w:val="center"/>
              <w:rPr>
                <w:rFonts w:cs="Times New Roman"/>
                <w:sz w:val="21"/>
                <w:szCs w:val="21"/>
              </w:rPr>
            </w:pPr>
            <w:r>
              <w:rPr>
                <w:rFonts w:hint="eastAsia" w:cs="Times New Roman"/>
                <w:sz w:val="21"/>
                <w:szCs w:val="21"/>
              </w:rPr>
              <w:t>1378</w:t>
            </w:r>
          </w:p>
        </w:tc>
        <w:tc>
          <w:tcPr>
            <w:tcW w:w="1168" w:type="dxa"/>
            <w:noWrap/>
            <w:vAlign w:val="center"/>
          </w:tcPr>
          <w:p w14:paraId="41CF8A0A">
            <w:pPr>
              <w:spacing w:line="240" w:lineRule="auto"/>
              <w:ind w:firstLine="0" w:firstLineChars="0"/>
              <w:jc w:val="center"/>
              <w:rPr>
                <w:rFonts w:cs="Times New Roman"/>
                <w:sz w:val="21"/>
                <w:szCs w:val="21"/>
              </w:rPr>
            </w:pPr>
            <w:r>
              <w:rPr>
                <w:rFonts w:hint="eastAsia" w:cs="Times New Roman"/>
                <w:sz w:val="21"/>
                <w:szCs w:val="21"/>
              </w:rPr>
              <w:t>约30</w:t>
            </w:r>
          </w:p>
        </w:tc>
      </w:tr>
      <w:tr w14:paraId="327EA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1A86D43">
            <w:pPr>
              <w:pStyle w:val="39"/>
              <w:numPr>
                <w:ilvl w:val="0"/>
                <w:numId w:val="7"/>
              </w:numPr>
              <w:spacing w:line="240" w:lineRule="auto"/>
              <w:ind w:firstLineChars="0"/>
              <w:jc w:val="center"/>
              <w:rPr>
                <w:rFonts w:cs="Times New Roman"/>
                <w:sz w:val="21"/>
                <w:szCs w:val="21"/>
              </w:rPr>
            </w:pPr>
          </w:p>
        </w:tc>
        <w:tc>
          <w:tcPr>
            <w:tcW w:w="992" w:type="dxa"/>
            <w:noWrap/>
            <w:vAlign w:val="center"/>
          </w:tcPr>
          <w:p w14:paraId="09E16D66">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12379700">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6123A4DB">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6E2EE7A0">
            <w:pPr>
              <w:spacing w:line="240" w:lineRule="auto"/>
              <w:ind w:firstLine="0" w:firstLineChars="0"/>
              <w:jc w:val="center"/>
              <w:rPr>
                <w:rFonts w:cs="Times New Roman"/>
                <w:sz w:val="21"/>
                <w:szCs w:val="21"/>
              </w:rPr>
            </w:pPr>
            <w:r>
              <w:rPr>
                <w:rFonts w:hint="eastAsia" w:cs="Times New Roman"/>
                <w:sz w:val="21"/>
                <w:szCs w:val="21"/>
              </w:rPr>
              <w:t>胜利村</w:t>
            </w:r>
          </w:p>
        </w:tc>
        <w:tc>
          <w:tcPr>
            <w:tcW w:w="1701" w:type="dxa"/>
            <w:noWrap/>
            <w:vAlign w:val="center"/>
          </w:tcPr>
          <w:p w14:paraId="612A0C39">
            <w:pPr>
              <w:spacing w:line="240" w:lineRule="auto"/>
              <w:ind w:firstLine="0" w:firstLineChars="0"/>
              <w:jc w:val="center"/>
              <w:rPr>
                <w:rFonts w:cs="Times New Roman"/>
                <w:sz w:val="21"/>
                <w:szCs w:val="21"/>
              </w:rPr>
            </w:pPr>
            <w:r>
              <w:rPr>
                <w:rFonts w:hint="eastAsia" w:cs="Times New Roman"/>
                <w:sz w:val="21"/>
                <w:szCs w:val="21"/>
              </w:rPr>
              <w:t>119.382465</w:t>
            </w:r>
          </w:p>
        </w:tc>
        <w:tc>
          <w:tcPr>
            <w:tcW w:w="1690" w:type="dxa"/>
            <w:noWrap/>
            <w:vAlign w:val="center"/>
          </w:tcPr>
          <w:p w14:paraId="4B2224A5">
            <w:pPr>
              <w:spacing w:line="240" w:lineRule="auto"/>
              <w:ind w:firstLine="0" w:firstLineChars="0"/>
              <w:jc w:val="center"/>
              <w:rPr>
                <w:rFonts w:cs="Times New Roman"/>
                <w:sz w:val="21"/>
                <w:szCs w:val="21"/>
              </w:rPr>
            </w:pPr>
            <w:r>
              <w:rPr>
                <w:rFonts w:hint="eastAsia" w:cs="Times New Roman"/>
                <w:sz w:val="21"/>
                <w:szCs w:val="21"/>
              </w:rPr>
              <w:t>31.86919</w:t>
            </w:r>
          </w:p>
        </w:tc>
        <w:tc>
          <w:tcPr>
            <w:tcW w:w="1080" w:type="dxa"/>
            <w:noWrap/>
            <w:vAlign w:val="center"/>
          </w:tcPr>
          <w:p w14:paraId="5EFCCED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02458A6">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3D8E51F9">
            <w:pPr>
              <w:spacing w:line="240" w:lineRule="auto"/>
              <w:ind w:firstLine="0" w:firstLineChars="0"/>
              <w:jc w:val="center"/>
              <w:rPr>
                <w:rFonts w:cs="Times New Roman"/>
                <w:sz w:val="21"/>
                <w:szCs w:val="21"/>
              </w:rPr>
            </w:pPr>
            <w:r>
              <w:rPr>
                <w:rFonts w:hint="eastAsia" w:cs="Times New Roman"/>
                <w:sz w:val="21"/>
                <w:szCs w:val="21"/>
              </w:rPr>
              <w:t>2203</w:t>
            </w:r>
          </w:p>
        </w:tc>
        <w:tc>
          <w:tcPr>
            <w:tcW w:w="1168" w:type="dxa"/>
            <w:noWrap/>
            <w:vAlign w:val="center"/>
          </w:tcPr>
          <w:p w14:paraId="6E570E4F">
            <w:pPr>
              <w:spacing w:line="240" w:lineRule="auto"/>
              <w:ind w:firstLine="0" w:firstLineChars="0"/>
              <w:jc w:val="center"/>
              <w:rPr>
                <w:rFonts w:cs="Times New Roman"/>
                <w:sz w:val="21"/>
                <w:szCs w:val="21"/>
              </w:rPr>
            </w:pPr>
            <w:r>
              <w:rPr>
                <w:rFonts w:hint="eastAsia" w:cs="Times New Roman"/>
                <w:sz w:val="21"/>
                <w:szCs w:val="21"/>
              </w:rPr>
              <w:t>约200</w:t>
            </w:r>
          </w:p>
        </w:tc>
      </w:tr>
      <w:tr w14:paraId="65B67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A53986E">
            <w:pPr>
              <w:pStyle w:val="39"/>
              <w:numPr>
                <w:ilvl w:val="0"/>
                <w:numId w:val="7"/>
              </w:numPr>
              <w:spacing w:line="240" w:lineRule="auto"/>
              <w:ind w:firstLineChars="0"/>
              <w:jc w:val="center"/>
              <w:rPr>
                <w:rFonts w:cs="Times New Roman"/>
                <w:sz w:val="21"/>
                <w:szCs w:val="21"/>
              </w:rPr>
            </w:pPr>
          </w:p>
        </w:tc>
        <w:tc>
          <w:tcPr>
            <w:tcW w:w="992" w:type="dxa"/>
            <w:noWrap/>
            <w:vAlign w:val="center"/>
          </w:tcPr>
          <w:p w14:paraId="77A07E53">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5331E68">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7C7554AB">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74F6BBD6">
            <w:pPr>
              <w:spacing w:line="240" w:lineRule="auto"/>
              <w:ind w:firstLine="0" w:firstLineChars="0"/>
              <w:jc w:val="center"/>
              <w:rPr>
                <w:rFonts w:cs="Times New Roman"/>
                <w:sz w:val="21"/>
                <w:szCs w:val="21"/>
              </w:rPr>
            </w:pPr>
            <w:r>
              <w:rPr>
                <w:rFonts w:hint="eastAsia" w:cs="Times New Roman"/>
                <w:sz w:val="21"/>
                <w:szCs w:val="21"/>
              </w:rPr>
              <w:t>汪甲</w:t>
            </w:r>
          </w:p>
        </w:tc>
        <w:tc>
          <w:tcPr>
            <w:tcW w:w="1701" w:type="dxa"/>
            <w:noWrap/>
            <w:vAlign w:val="center"/>
          </w:tcPr>
          <w:p w14:paraId="3F9D33C7">
            <w:pPr>
              <w:spacing w:line="240" w:lineRule="auto"/>
              <w:ind w:firstLine="0" w:firstLineChars="0"/>
              <w:jc w:val="center"/>
              <w:rPr>
                <w:rFonts w:cs="Times New Roman"/>
                <w:sz w:val="21"/>
                <w:szCs w:val="21"/>
              </w:rPr>
            </w:pPr>
            <w:r>
              <w:rPr>
                <w:rFonts w:hint="eastAsia" w:cs="Times New Roman"/>
                <w:sz w:val="21"/>
                <w:szCs w:val="21"/>
              </w:rPr>
              <w:t>119.394066</w:t>
            </w:r>
          </w:p>
        </w:tc>
        <w:tc>
          <w:tcPr>
            <w:tcW w:w="1690" w:type="dxa"/>
            <w:noWrap/>
            <w:vAlign w:val="center"/>
          </w:tcPr>
          <w:p w14:paraId="2E817CF7">
            <w:pPr>
              <w:spacing w:line="240" w:lineRule="auto"/>
              <w:ind w:firstLine="0" w:firstLineChars="0"/>
              <w:jc w:val="center"/>
              <w:rPr>
                <w:rFonts w:cs="Times New Roman"/>
                <w:sz w:val="21"/>
                <w:szCs w:val="21"/>
              </w:rPr>
            </w:pPr>
            <w:r>
              <w:rPr>
                <w:rFonts w:hint="eastAsia" w:cs="Times New Roman"/>
                <w:sz w:val="21"/>
                <w:szCs w:val="21"/>
              </w:rPr>
              <w:t>31.86087</w:t>
            </w:r>
          </w:p>
        </w:tc>
        <w:tc>
          <w:tcPr>
            <w:tcW w:w="1080" w:type="dxa"/>
            <w:noWrap/>
            <w:vAlign w:val="center"/>
          </w:tcPr>
          <w:p w14:paraId="41FAEB6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9E0BAFA">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121213AB">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1927205C">
            <w:pPr>
              <w:spacing w:line="240" w:lineRule="auto"/>
              <w:ind w:firstLine="0" w:firstLineChars="0"/>
              <w:jc w:val="center"/>
              <w:rPr>
                <w:rFonts w:cs="Times New Roman"/>
                <w:sz w:val="21"/>
                <w:szCs w:val="21"/>
              </w:rPr>
            </w:pPr>
            <w:r>
              <w:rPr>
                <w:rFonts w:hint="eastAsia" w:cs="Times New Roman"/>
                <w:sz w:val="21"/>
                <w:szCs w:val="21"/>
              </w:rPr>
              <w:t>约200</w:t>
            </w:r>
          </w:p>
        </w:tc>
      </w:tr>
      <w:tr w14:paraId="3E6D8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9573403">
            <w:pPr>
              <w:pStyle w:val="39"/>
              <w:numPr>
                <w:ilvl w:val="0"/>
                <w:numId w:val="7"/>
              </w:numPr>
              <w:spacing w:line="240" w:lineRule="auto"/>
              <w:ind w:firstLineChars="0"/>
              <w:jc w:val="center"/>
              <w:rPr>
                <w:rFonts w:cs="Times New Roman"/>
                <w:sz w:val="21"/>
                <w:szCs w:val="21"/>
              </w:rPr>
            </w:pPr>
          </w:p>
        </w:tc>
        <w:tc>
          <w:tcPr>
            <w:tcW w:w="992" w:type="dxa"/>
            <w:noWrap/>
            <w:vAlign w:val="center"/>
          </w:tcPr>
          <w:p w14:paraId="51EF3718">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153A1302">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64574A53">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7F491029">
            <w:pPr>
              <w:spacing w:line="240" w:lineRule="auto"/>
              <w:ind w:firstLine="0" w:firstLineChars="0"/>
              <w:jc w:val="center"/>
              <w:rPr>
                <w:rFonts w:cs="Times New Roman"/>
                <w:sz w:val="21"/>
                <w:szCs w:val="21"/>
              </w:rPr>
            </w:pPr>
            <w:r>
              <w:rPr>
                <w:rFonts w:hint="eastAsia" w:cs="Times New Roman"/>
                <w:sz w:val="21"/>
                <w:szCs w:val="21"/>
              </w:rPr>
              <w:t>下坝</w:t>
            </w:r>
          </w:p>
        </w:tc>
        <w:tc>
          <w:tcPr>
            <w:tcW w:w="1701" w:type="dxa"/>
            <w:noWrap/>
            <w:vAlign w:val="center"/>
          </w:tcPr>
          <w:p w14:paraId="4456E9F8">
            <w:pPr>
              <w:spacing w:line="240" w:lineRule="auto"/>
              <w:ind w:firstLine="0" w:firstLineChars="0"/>
              <w:jc w:val="center"/>
              <w:rPr>
                <w:rFonts w:cs="Times New Roman"/>
                <w:sz w:val="21"/>
                <w:szCs w:val="21"/>
              </w:rPr>
            </w:pPr>
            <w:r>
              <w:rPr>
                <w:rFonts w:hint="eastAsia" w:cs="Times New Roman"/>
                <w:sz w:val="21"/>
                <w:szCs w:val="21"/>
              </w:rPr>
              <w:t>119.372166</w:t>
            </w:r>
          </w:p>
        </w:tc>
        <w:tc>
          <w:tcPr>
            <w:tcW w:w="1690" w:type="dxa"/>
            <w:noWrap/>
            <w:vAlign w:val="center"/>
          </w:tcPr>
          <w:p w14:paraId="3CF50FC1">
            <w:pPr>
              <w:spacing w:line="240" w:lineRule="auto"/>
              <w:ind w:firstLine="0" w:firstLineChars="0"/>
              <w:jc w:val="center"/>
              <w:rPr>
                <w:rFonts w:cs="Times New Roman"/>
                <w:sz w:val="21"/>
                <w:szCs w:val="21"/>
              </w:rPr>
            </w:pPr>
            <w:r>
              <w:rPr>
                <w:rFonts w:hint="eastAsia" w:cs="Times New Roman"/>
                <w:sz w:val="21"/>
                <w:szCs w:val="21"/>
              </w:rPr>
              <w:t>31.877386</w:t>
            </w:r>
          </w:p>
        </w:tc>
        <w:tc>
          <w:tcPr>
            <w:tcW w:w="1080" w:type="dxa"/>
            <w:noWrap/>
            <w:vAlign w:val="center"/>
          </w:tcPr>
          <w:p w14:paraId="1BDFB67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EDD7D8D">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7F18F017">
            <w:pPr>
              <w:spacing w:line="240" w:lineRule="auto"/>
              <w:ind w:firstLine="0" w:firstLineChars="0"/>
              <w:jc w:val="center"/>
              <w:rPr>
                <w:rFonts w:cs="Times New Roman"/>
                <w:sz w:val="21"/>
                <w:szCs w:val="21"/>
              </w:rPr>
            </w:pPr>
            <w:r>
              <w:rPr>
                <w:rFonts w:hint="eastAsia" w:cs="Times New Roman"/>
                <w:sz w:val="21"/>
                <w:szCs w:val="21"/>
              </w:rPr>
              <w:t>2305</w:t>
            </w:r>
          </w:p>
        </w:tc>
        <w:tc>
          <w:tcPr>
            <w:tcW w:w="1168" w:type="dxa"/>
            <w:noWrap/>
            <w:vAlign w:val="center"/>
          </w:tcPr>
          <w:p w14:paraId="21D0A8C0">
            <w:pPr>
              <w:spacing w:line="240" w:lineRule="auto"/>
              <w:ind w:firstLine="0" w:firstLineChars="0"/>
              <w:jc w:val="center"/>
              <w:rPr>
                <w:rFonts w:cs="Times New Roman"/>
                <w:sz w:val="21"/>
                <w:szCs w:val="21"/>
              </w:rPr>
            </w:pPr>
            <w:r>
              <w:rPr>
                <w:rFonts w:hint="eastAsia" w:cs="Times New Roman"/>
                <w:sz w:val="21"/>
                <w:szCs w:val="21"/>
              </w:rPr>
              <w:t>约150</w:t>
            </w:r>
          </w:p>
        </w:tc>
      </w:tr>
      <w:tr w14:paraId="62929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871F0C8">
            <w:pPr>
              <w:pStyle w:val="39"/>
              <w:numPr>
                <w:ilvl w:val="0"/>
                <w:numId w:val="7"/>
              </w:numPr>
              <w:spacing w:line="240" w:lineRule="auto"/>
              <w:ind w:firstLineChars="0"/>
              <w:jc w:val="center"/>
              <w:rPr>
                <w:rFonts w:cs="Times New Roman"/>
                <w:sz w:val="21"/>
                <w:szCs w:val="21"/>
              </w:rPr>
            </w:pPr>
          </w:p>
        </w:tc>
        <w:tc>
          <w:tcPr>
            <w:tcW w:w="992" w:type="dxa"/>
            <w:noWrap/>
            <w:vAlign w:val="center"/>
          </w:tcPr>
          <w:p w14:paraId="60DFDE04">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260D04D2">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6EF0A671">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62A061F8">
            <w:pPr>
              <w:spacing w:line="240" w:lineRule="auto"/>
              <w:ind w:firstLine="0" w:firstLineChars="0"/>
              <w:jc w:val="center"/>
              <w:rPr>
                <w:rFonts w:cs="Times New Roman"/>
                <w:sz w:val="21"/>
                <w:szCs w:val="21"/>
              </w:rPr>
            </w:pPr>
            <w:r>
              <w:rPr>
                <w:rFonts w:hint="eastAsia" w:cs="Times New Roman"/>
                <w:sz w:val="21"/>
                <w:szCs w:val="21"/>
              </w:rPr>
              <w:t>曲阳村</w:t>
            </w:r>
          </w:p>
        </w:tc>
        <w:tc>
          <w:tcPr>
            <w:tcW w:w="1701" w:type="dxa"/>
            <w:noWrap/>
            <w:vAlign w:val="center"/>
          </w:tcPr>
          <w:p w14:paraId="5DDAA87A">
            <w:pPr>
              <w:spacing w:line="240" w:lineRule="auto"/>
              <w:ind w:firstLine="0" w:firstLineChars="0"/>
              <w:jc w:val="center"/>
              <w:rPr>
                <w:rFonts w:cs="Times New Roman"/>
                <w:sz w:val="21"/>
                <w:szCs w:val="21"/>
              </w:rPr>
            </w:pPr>
            <w:r>
              <w:rPr>
                <w:rFonts w:hint="eastAsia" w:cs="Times New Roman"/>
                <w:sz w:val="21"/>
                <w:szCs w:val="21"/>
              </w:rPr>
              <w:t>119.362171</w:t>
            </w:r>
          </w:p>
        </w:tc>
        <w:tc>
          <w:tcPr>
            <w:tcW w:w="1690" w:type="dxa"/>
            <w:noWrap/>
            <w:vAlign w:val="center"/>
          </w:tcPr>
          <w:p w14:paraId="759E0985">
            <w:pPr>
              <w:spacing w:line="240" w:lineRule="auto"/>
              <w:ind w:firstLine="0" w:firstLineChars="0"/>
              <w:jc w:val="center"/>
              <w:rPr>
                <w:rFonts w:cs="Times New Roman"/>
                <w:sz w:val="21"/>
                <w:szCs w:val="21"/>
              </w:rPr>
            </w:pPr>
            <w:r>
              <w:rPr>
                <w:rFonts w:hint="eastAsia" w:cs="Times New Roman"/>
                <w:sz w:val="21"/>
                <w:szCs w:val="21"/>
              </w:rPr>
              <w:t>31.881749</w:t>
            </w:r>
          </w:p>
        </w:tc>
        <w:tc>
          <w:tcPr>
            <w:tcW w:w="1080" w:type="dxa"/>
            <w:noWrap/>
            <w:vAlign w:val="center"/>
          </w:tcPr>
          <w:p w14:paraId="078F816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7A21005">
            <w:pPr>
              <w:spacing w:line="240" w:lineRule="auto"/>
              <w:ind w:firstLine="0" w:firstLineChars="0"/>
              <w:jc w:val="center"/>
              <w:rPr>
                <w:rFonts w:cs="Times New Roman"/>
                <w:sz w:val="21"/>
                <w:szCs w:val="21"/>
              </w:rPr>
            </w:pPr>
            <w:r>
              <w:rPr>
                <w:rFonts w:hint="eastAsia" w:cs="Times New Roman"/>
                <w:sz w:val="21"/>
                <w:szCs w:val="21"/>
              </w:rPr>
              <w:t>北</w:t>
            </w:r>
          </w:p>
        </w:tc>
        <w:tc>
          <w:tcPr>
            <w:tcW w:w="720" w:type="dxa"/>
            <w:noWrap/>
            <w:vAlign w:val="center"/>
          </w:tcPr>
          <w:p w14:paraId="15892510">
            <w:pPr>
              <w:spacing w:line="240" w:lineRule="auto"/>
              <w:ind w:firstLine="0" w:firstLineChars="0"/>
              <w:jc w:val="center"/>
              <w:rPr>
                <w:rFonts w:cs="Times New Roman"/>
                <w:sz w:val="21"/>
                <w:szCs w:val="21"/>
              </w:rPr>
            </w:pPr>
            <w:r>
              <w:rPr>
                <w:rFonts w:hint="eastAsia" w:cs="Times New Roman"/>
                <w:sz w:val="21"/>
                <w:szCs w:val="21"/>
              </w:rPr>
              <w:t>2323</w:t>
            </w:r>
          </w:p>
        </w:tc>
        <w:tc>
          <w:tcPr>
            <w:tcW w:w="1168" w:type="dxa"/>
            <w:noWrap/>
            <w:vAlign w:val="center"/>
          </w:tcPr>
          <w:p w14:paraId="49EF2991">
            <w:pPr>
              <w:spacing w:line="240" w:lineRule="auto"/>
              <w:ind w:firstLine="0" w:firstLineChars="0"/>
              <w:jc w:val="center"/>
              <w:rPr>
                <w:rFonts w:cs="Times New Roman"/>
                <w:sz w:val="21"/>
                <w:szCs w:val="21"/>
              </w:rPr>
            </w:pPr>
            <w:r>
              <w:rPr>
                <w:rFonts w:hint="eastAsia" w:cs="Times New Roman"/>
                <w:sz w:val="21"/>
                <w:szCs w:val="21"/>
              </w:rPr>
              <w:t>约300</w:t>
            </w:r>
          </w:p>
        </w:tc>
      </w:tr>
      <w:tr w14:paraId="3DC0C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7703E59">
            <w:pPr>
              <w:pStyle w:val="39"/>
              <w:numPr>
                <w:ilvl w:val="0"/>
                <w:numId w:val="7"/>
              </w:numPr>
              <w:spacing w:line="240" w:lineRule="auto"/>
              <w:ind w:firstLineChars="0"/>
              <w:jc w:val="center"/>
              <w:rPr>
                <w:rFonts w:cs="Times New Roman"/>
                <w:sz w:val="21"/>
                <w:szCs w:val="21"/>
              </w:rPr>
            </w:pPr>
          </w:p>
        </w:tc>
        <w:tc>
          <w:tcPr>
            <w:tcW w:w="992" w:type="dxa"/>
            <w:noWrap/>
            <w:vAlign w:val="center"/>
          </w:tcPr>
          <w:p w14:paraId="49A5416B">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1467E6AA">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0008C9EB">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299C70EA">
            <w:pPr>
              <w:spacing w:line="240" w:lineRule="auto"/>
              <w:ind w:firstLine="0" w:firstLineChars="0"/>
              <w:jc w:val="center"/>
              <w:rPr>
                <w:rFonts w:cs="Times New Roman"/>
                <w:sz w:val="21"/>
                <w:szCs w:val="21"/>
              </w:rPr>
            </w:pPr>
            <w:r>
              <w:rPr>
                <w:rFonts w:hint="eastAsia" w:cs="Times New Roman"/>
                <w:sz w:val="21"/>
                <w:szCs w:val="21"/>
              </w:rPr>
              <w:t>曹巷</w:t>
            </w:r>
          </w:p>
        </w:tc>
        <w:tc>
          <w:tcPr>
            <w:tcW w:w="1701" w:type="dxa"/>
            <w:noWrap/>
            <w:vAlign w:val="center"/>
          </w:tcPr>
          <w:p w14:paraId="09DB7DF1">
            <w:pPr>
              <w:spacing w:line="240" w:lineRule="auto"/>
              <w:ind w:firstLine="0" w:firstLineChars="0"/>
              <w:jc w:val="center"/>
              <w:rPr>
                <w:rFonts w:cs="Times New Roman"/>
                <w:sz w:val="21"/>
                <w:szCs w:val="21"/>
              </w:rPr>
            </w:pPr>
            <w:r>
              <w:rPr>
                <w:rFonts w:hint="eastAsia" w:cs="Times New Roman"/>
                <w:sz w:val="21"/>
                <w:szCs w:val="21"/>
              </w:rPr>
              <w:t>119.356025</w:t>
            </w:r>
          </w:p>
        </w:tc>
        <w:tc>
          <w:tcPr>
            <w:tcW w:w="1690" w:type="dxa"/>
            <w:noWrap/>
            <w:vAlign w:val="center"/>
          </w:tcPr>
          <w:p w14:paraId="3688D344">
            <w:pPr>
              <w:spacing w:line="240" w:lineRule="auto"/>
              <w:ind w:firstLine="0" w:firstLineChars="0"/>
              <w:jc w:val="center"/>
              <w:rPr>
                <w:rFonts w:cs="Times New Roman"/>
                <w:sz w:val="21"/>
                <w:szCs w:val="21"/>
              </w:rPr>
            </w:pPr>
            <w:r>
              <w:rPr>
                <w:rFonts w:hint="eastAsia" w:cs="Times New Roman"/>
                <w:sz w:val="21"/>
                <w:szCs w:val="21"/>
              </w:rPr>
              <w:t>31.883623</w:t>
            </w:r>
          </w:p>
        </w:tc>
        <w:tc>
          <w:tcPr>
            <w:tcW w:w="1080" w:type="dxa"/>
            <w:noWrap/>
            <w:vAlign w:val="center"/>
          </w:tcPr>
          <w:p w14:paraId="2C0647F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F6CF139">
            <w:pPr>
              <w:spacing w:line="240" w:lineRule="auto"/>
              <w:ind w:firstLine="0" w:firstLineChars="0"/>
              <w:jc w:val="center"/>
              <w:rPr>
                <w:rFonts w:cs="Times New Roman"/>
                <w:sz w:val="21"/>
                <w:szCs w:val="21"/>
              </w:rPr>
            </w:pPr>
            <w:r>
              <w:rPr>
                <w:rFonts w:hint="eastAsia" w:cs="Times New Roman"/>
                <w:sz w:val="21"/>
                <w:szCs w:val="21"/>
              </w:rPr>
              <w:t>北</w:t>
            </w:r>
          </w:p>
        </w:tc>
        <w:tc>
          <w:tcPr>
            <w:tcW w:w="720" w:type="dxa"/>
            <w:noWrap/>
            <w:vAlign w:val="center"/>
          </w:tcPr>
          <w:p w14:paraId="4E94A4B3">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60D2841F">
            <w:pPr>
              <w:spacing w:line="240" w:lineRule="auto"/>
              <w:ind w:firstLine="0" w:firstLineChars="0"/>
              <w:jc w:val="center"/>
              <w:rPr>
                <w:rFonts w:cs="Times New Roman"/>
                <w:sz w:val="21"/>
                <w:szCs w:val="21"/>
              </w:rPr>
            </w:pPr>
            <w:r>
              <w:rPr>
                <w:rFonts w:hint="eastAsia" w:cs="Times New Roman"/>
                <w:sz w:val="21"/>
                <w:szCs w:val="21"/>
              </w:rPr>
              <w:t>约100</w:t>
            </w:r>
          </w:p>
        </w:tc>
      </w:tr>
      <w:tr w14:paraId="6C769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4FDD6D3">
            <w:pPr>
              <w:pStyle w:val="39"/>
              <w:numPr>
                <w:ilvl w:val="0"/>
                <w:numId w:val="7"/>
              </w:numPr>
              <w:spacing w:line="240" w:lineRule="auto"/>
              <w:ind w:firstLineChars="0"/>
              <w:jc w:val="center"/>
              <w:rPr>
                <w:rFonts w:cs="Times New Roman"/>
                <w:sz w:val="21"/>
                <w:szCs w:val="21"/>
              </w:rPr>
            </w:pPr>
          </w:p>
        </w:tc>
        <w:tc>
          <w:tcPr>
            <w:tcW w:w="992" w:type="dxa"/>
            <w:noWrap/>
            <w:vAlign w:val="center"/>
          </w:tcPr>
          <w:p w14:paraId="240FA251">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4928CCF">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527859E4">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0D16BE46">
            <w:pPr>
              <w:spacing w:line="240" w:lineRule="auto"/>
              <w:ind w:firstLine="0" w:firstLineChars="0"/>
              <w:jc w:val="center"/>
              <w:rPr>
                <w:rFonts w:cs="Times New Roman"/>
                <w:sz w:val="21"/>
                <w:szCs w:val="21"/>
              </w:rPr>
            </w:pPr>
            <w:r>
              <w:rPr>
                <w:rFonts w:hint="eastAsia" w:cs="Times New Roman"/>
                <w:sz w:val="21"/>
                <w:szCs w:val="21"/>
              </w:rPr>
              <w:t>长毛岗</w:t>
            </w:r>
          </w:p>
        </w:tc>
        <w:tc>
          <w:tcPr>
            <w:tcW w:w="1701" w:type="dxa"/>
            <w:noWrap/>
            <w:vAlign w:val="center"/>
          </w:tcPr>
          <w:p w14:paraId="213FE315">
            <w:pPr>
              <w:spacing w:line="240" w:lineRule="auto"/>
              <w:ind w:firstLine="0" w:firstLineChars="0"/>
              <w:jc w:val="center"/>
              <w:rPr>
                <w:rFonts w:cs="Times New Roman"/>
                <w:sz w:val="21"/>
                <w:szCs w:val="21"/>
              </w:rPr>
            </w:pPr>
            <w:r>
              <w:rPr>
                <w:rFonts w:hint="eastAsia" w:cs="Times New Roman"/>
                <w:sz w:val="21"/>
                <w:szCs w:val="21"/>
              </w:rPr>
              <w:t>119.348665</w:t>
            </w:r>
          </w:p>
        </w:tc>
        <w:tc>
          <w:tcPr>
            <w:tcW w:w="1690" w:type="dxa"/>
            <w:noWrap/>
            <w:vAlign w:val="center"/>
          </w:tcPr>
          <w:p w14:paraId="76D0D4DB">
            <w:pPr>
              <w:spacing w:line="240" w:lineRule="auto"/>
              <w:ind w:firstLine="0" w:firstLineChars="0"/>
              <w:jc w:val="center"/>
              <w:rPr>
                <w:rFonts w:cs="Times New Roman"/>
                <w:sz w:val="21"/>
                <w:szCs w:val="21"/>
              </w:rPr>
            </w:pPr>
            <w:r>
              <w:rPr>
                <w:rFonts w:hint="eastAsia" w:cs="Times New Roman"/>
                <w:sz w:val="21"/>
                <w:szCs w:val="21"/>
              </w:rPr>
              <w:t>31.878494</w:t>
            </w:r>
          </w:p>
        </w:tc>
        <w:tc>
          <w:tcPr>
            <w:tcW w:w="1080" w:type="dxa"/>
            <w:noWrap/>
            <w:vAlign w:val="center"/>
          </w:tcPr>
          <w:p w14:paraId="54237F6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3D30D29">
            <w:pPr>
              <w:spacing w:line="240" w:lineRule="auto"/>
              <w:ind w:firstLine="0" w:firstLineChars="0"/>
              <w:jc w:val="center"/>
              <w:rPr>
                <w:rFonts w:cs="Times New Roman"/>
                <w:sz w:val="21"/>
                <w:szCs w:val="21"/>
              </w:rPr>
            </w:pPr>
            <w:r>
              <w:rPr>
                <w:rFonts w:hint="eastAsia" w:cs="Times New Roman"/>
                <w:sz w:val="21"/>
                <w:szCs w:val="21"/>
              </w:rPr>
              <w:t>北</w:t>
            </w:r>
          </w:p>
        </w:tc>
        <w:tc>
          <w:tcPr>
            <w:tcW w:w="720" w:type="dxa"/>
            <w:noWrap/>
            <w:vAlign w:val="center"/>
          </w:tcPr>
          <w:p w14:paraId="519F3AB0">
            <w:pPr>
              <w:spacing w:line="240" w:lineRule="auto"/>
              <w:ind w:firstLine="0" w:firstLineChars="0"/>
              <w:jc w:val="center"/>
              <w:rPr>
                <w:rFonts w:cs="Times New Roman"/>
                <w:sz w:val="21"/>
                <w:szCs w:val="21"/>
              </w:rPr>
            </w:pPr>
            <w:r>
              <w:rPr>
                <w:rFonts w:hint="eastAsia" w:cs="Times New Roman"/>
                <w:sz w:val="21"/>
                <w:szCs w:val="21"/>
              </w:rPr>
              <w:t>1966</w:t>
            </w:r>
          </w:p>
        </w:tc>
        <w:tc>
          <w:tcPr>
            <w:tcW w:w="1168" w:type="dxa"/>
            <w:noWrap/>
            <w:vAlign w:val="center"/>
          </w:tcPr>
          <w:p w14:paraId="51443305">
            <w:pPr>
              <w:spacing w:line="240" w:lineRule="auto"/>
              <w:ind w:firstLine="0" w:firstLineChars="0"/>
              <w:jc w:val="center"/>
              <w:rPr>
                <w:rFonts w:cs="Times New Roman"/>
                <w:sz w:val="21"/>
                <w:szCs w:val="21"/>
              </w:rPr>
            </w:pPr>
            <w:r>
              <w:rPr>
                <w:rFonts w:hint="eastAsia" w:cs="Times New Roman"/>
                <w:sz w:val="21"/>
                <w:szCs w:val="21"/>
              </w:rPr>
              <w:t>约20</w:t>
            </w:r>
          </w:p>
        </w:tc>
      </w:tr>
      <w:tr w14:paraId="7F55B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EC515D1">
            <w:pPr>
              <w:pStyle w:val="39"/>
              <w:numPr>
                <w:ilvl w:val="0"/>
                <w:numId w:val="7"/>
              </w:numPr>
              <w:spacing w:line="240" w:lineRule="auto"/>
              <w:ind w:firstLineChars="0"/>
              <w:jc w:val="center"/>
              <w:rPr>
                <w:rFonts w:cs="Times New Roman"/>
                <w:sz w:val="21"/>
                <w:szCs w:val="21"/>
              </w:rPr>
            </w:pPr>
          </w:p>
        </w:tc>
        <w:tc>
          <w:tcPr>
            <w:tcW w:w="992" w:type="dxa"/>
            <w:noWrap/>
            <w:vAlign w:val="center"/>
          </w:tcPr>
          <w:p w14:paraId="52844700">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109E430A">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611AB1CD">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5C8CAAFC">
            <w:pPr>
              <w:spacing w:line="240" w:lineRule="auto"/>
              <w:ind w:firstLine="0" w:firstLineChars="0"/>
              <w:jc w:val="center"/>
              <w:rPr>
                <w:rFonts w:cs="Times New Roman"/>
                <w:sz w:val="21"/>
                <w:szCs w:val="21"/>
              </w:rPr>
            </w:pPr>
            <w:r>
              <w:rPr>
                <w:rFonts w:hint="eastAsia" w:cs="Times New Roman"/>
                <w:sz w:val="21"/>
                <w:szCs w:val="21"/>
              </w:rPr>
              <w:t>上大坝</w:t>
            </w:r>
          </w:p>
        </w:tc>
        <w:tc>
          <w:tcPr>
            <w:tcW w:w="1701" w:type="dxa"/>
            <w:noWrap/>
            <w:vAlign w:val="center"/>
          </w:tcPr>
          <w:p w14:paraId="51C8FB47">
            <w:pPr>
              <w:spacing w:line="240" w:lineRule="auto"/>
              <w:ind w:firstLine="0" w:firstLineChars="0"/>
              <w:jc w:val="center"/>
              <w:rPr>
                <w:rFonts w:cs="Times New Roman"/>
                <w:sz w:val="21"/>
                <w:szCs w:val="21"/>
              </w:rPr>
            </w:pPr>
            <w:r>
              <w:rPr>
                <w:rFonts w:hint="eastAsia" w:cs="Times New Roman"/>
                <w:sz w:val="21"/>
                <w:szCs w:val="21"/>
              </w:rPr>
              <w:t>119.349938</w:t>
            </w:r>
          </w:p>
        </w:tc>
        <w:tc>
          <w:tcPr>
            <w:tcW w:w="1690" w:type="dxa"/>
            <w:noWrap/>
            <w:vAlign w:val="center"/>
          </w:tcPr>
          <w:p w14:paraId="0D5D0BA5">
            <w:pPr>
              <w:spacing w:line="240" w:lineRule="auto"/>
              <w:ind w:firstLine="0" w:firstLineChars="0"/>
              <w:jc w:val="center"/>
              <w:rPr>
                <w:rFonts w:cs="Times New Roman"/>
                <w:sz w:val="21"/>
                <w:szCs w:val="21"/>
              </w:rPr>
            </w:pPr>
            <w:r>
              <w:rPr>
                <w:rFonts w:hint="eastAsia" w:cs="Times New Roman"/>
                <w:sz w:val="21"/>
                <w:szCs w:val="21"/>
              </w:rPr>
              <w:t>31.871643</w:t>
            </w:r>
          </w:p>
        </w:tc>
        <w:tc>
          <w:tcPr>
            <w:tcW w:w="1080" w:type="dxa"/>
            <w:noWrap/>
            <w:vAlign w:val="center"/>
          </w:tcPr>
          <w:p w14:paraId="24AD521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DA158F5">
            <w:pPr>
              <w:spacing w:line="240" w:lineRule="auto"/>
              <w:ind w:firstLine="0" w:firstLineChars="0"/>
              <w:jc w:val="center"/>
              <w:rPr>
                <w:rFonts w:cs="Times New Roman"/>
                <w:sz w:val="21"/>
                <w:szCs w:val="21"/>
              </w:rPr>
            </w:pPr>
            <w:r>
              <w:rPr>
                <w:rFonts w:hint="eastAsia" w:cs="Times New Roman"/>
                <w:sz w:val="21"/>
                <w:szCs w:val="21"/>
              </w:rPr>
              <w:t>北</w:t>
            </w:r>
          </w:p>
        </w:tc>
        <w:tc>
          <w:tcPr>
            <w:tcW w:w="720" w:type="dxa"/>
            <w:noWrap/>
            <w:vAlign w:val="center"/>
          </w:tcPr>
          <w:p w14:paraId="16A6157F">
            <w:pPr>
              <w:spacing w:line="240" w:lineRule="auto"/>
              <w:ind w:firstLine="0" w:firstLineChars="0"/>
              <w:jc w:val="center"/>
              <w:rPr>
                <w:rFonts w:cs="Times New Roman"/>
                <w:sz w:val="21"/>
                <w:szCs w:val="21"/>
              </w:rPr>
            </w:pPr>
            <w:r>
              <w:rPr>
                <w:rFonts w:hint="eastAsia" w:cs="Times New Roman"/>
                <w:sz w:val="21"/>
                <w:szCs w:val="21"/>
              </w:rPr>
              <w:t>1208</w:t>
            </w:r>
          </w:p>
        </w:tc>
        <w:tc>
          <w:tcPr>
            <w:tcW w:w="1168" w:type="dxa"/>
            <w:noWrap/>
            <w:vAlign w:val="center"/>
          </w:tcPr>
          <w:p w14:paraId="277738C8">
            <w:pPr>
              <w:spacing w:line="240" w:lineRule="auto"/>
              <w:ind w:firstLine="0" w:firstLineChars="0"/>
              <w:jc w:val="center"/>
              <w:rPr>
                <w:rFonts w:cs="Times New Roman"/>
                <w:sz w:val="21"/>
                <w:szCs w:val="21"/>
              </w:rPr>
            </w:pPr>
            <w:r>
              <w:rPr>
                <w:rFonts w:hint="eastAsia" w:cs="Times New Roman"/>
                <w:sz w:val="21"/>
                <w:szCs w:val="21"/>
              </w:rPr>
              <w:t>约30</w:t>
            </w:r>
          </w:p>
        </w:tc>
      </w:tr>
      <w:tr w14:paraId="11E14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A7E93BE">
            <w:pPr>
              <w:pStyle w:val="39"/>
              <w:numPr>
                <w:ilvl w:val="0"/>
                <w:numId w:val="7"/>
              </w:numPr>
              <w:spacing w:line="240" w:lineRule="auto"/>
              <w:ind w:firstLineChars="0"/>
              <w:jc w:val="center"/>
              <w:rPr>
                <w:rFonts w:cs="Times New Roman"/>
                <w:sz w:val="21"/>
                <w:szCs w:val="21"/>
              </w:rPr>
            </w:pPr>
          </w:p>
        </w:tc>
        <w:tc>
          <w:tcPr>
            <w:tcW w:w="992" w:type="dxa"/>
            <w:noWrap/>
            <w:vAlign w:val="center"/>
          </w:tcPr>
          <w:p w14:paraId="1EE3A258">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467D112">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4D115AB7">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7C90D5E9">
            <w:pPr>
              <w:spacing w:line="240" w:lineRule="auto"/>
              <w:ind w:firstLine="0" w:firstLineChars="0"/>
              <w:jc w:val="center"/>
              <w:rPr>
                <w:rFonts w:cs="Times New Roman"/>
                <w:sz w:val="21"/>
                <w:szCs w:val="21"/>
              </w:rPr>
            </w:pPr>
            <w:r>
              <w:rPr>
                <w:rFonts w:hint="eastAsia" w:cs="Times New Roman"/>
                <w:sz w:val="21"/>
                <w:szCs w:val="21"/>
              </w:rPr>
              <w:t>南岗山</w:t>
            </w:r>
          </w:p>
        </w:tc>
        <w:tc>
          <w:tcPr>
            <w:tcW w:w="1701" w:type="dxa"/>
            <w:noWrap/>
            <w:vAlign w:val="center"/>
          </w:tcPr>
          <w:p w14:paraId="302E03B0">
            <w:pPr>
              <w:spacing w:line="240" w:lineRule="auto"/>
              <w:ind w:firstLine="0" w:firstLineChars="0"/>
              <w:jc w:val="center"/>
              <w:rPr>
                <w:rFonts w:cs="Times New Roman"/>
                <w:sz w:val="21"/>
                <w:szCs w:val="21"/>
              </w:rPr>
            </w:pPr>
            <w:r>
              <w:rPr>
                <w:rFonts w:hint="eastAsia" w:cs="Times New Roman"/>
                <w:sz w:val="21"/>
                <w:szCs w:val="21"/>
              </w:rPr>
              <w:t>119.363299</w:t>
            </w:r>
          </w:p>
        </w:tc>
        <w:tc>
          <w:tcPr>
            <w:tcW w:w="1690" w:type="dxa"/>
            <w:noWrap/>
            <w:vAlign w:val="center"/>
          </w:tcPr>
          <w:p w14:paraId="472EFF4D">
            <w:pPr>
              <w:spacing w:line="240" w:lineRule="auto"/>
              <w:ind w:firstLine="0" w:firstLineChars="0"/>
              <w:jc w:val="center"/>
              <w:rPr>
                <w:rFonts w:cs="Times New Roman"/>
                <w:sz w:val="21"/>
                <w:szCs w:val="21"/>
              </w:rPr>
            </w:pPr>
            <w:r>
              <w:rPr>
                <w:rFonts w:hint="eastAsia" w:cs="Times New Roman"/>
                <w:sz w:val="21"/>
                <w:szCs w:val="21"/>
              </w:rPr>
              <w:t>31.870979</w:t>
            </w:r>
          </w:p>
        </w:tc>
        <w:tc>
          <w:tcPr>
            <w:tcW w:w="1080" w:type="dxa"/>
            <w:noWrap/>
            <w:vAlign w:val="center"/>
          </w:tcPr>
          <w:p w14:paraId="706600D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EC01F9C">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10F3683B">
            <w:pPr>
              <w:spacing w:line="240" w:lineRule="auto"/>
              <w:ind w:firstLine="0" w:firstLineChars="0"/>
              <w:jc w:val="center"/>
              <w:rPr>
                <w:rFonts w:cs="Times New Roman"/>
                <w:sz w:val="21"/>
                <w:szCs w:val="21"/>
              </w:rPr>
            </w:pPr>
            <w:r>
              <w:rPr>
                <w:rFonts w:hint="eastAsia" w:cs="Times New Roman"/>
                <w:sz w:val="21"/>
                <w:szCs w:val="21"/>
              </w:rPr>
              <w:t>1288</w:t>
            </w:r>
          </w:p>
        </w:tc>
        <w:tc>
          <w:tcPr>
            <w:tcW w:w="1168" w:type="dxa"/>
            <w:noWrap/>
            <w:vAlign w:val="center"/>
          </w:tcPr>
          <w:p w14:paraId="6E281E10">
            <w:pPr>
              <w:spacing w:line="240" w:lineRule="auto"/>
              <w:ind w:firstLine="0" w:firstLineChars="0"/>
              <w:jc w:val="center"/>
              <w:rPr>
                <w:rFonts w:cs="Times New Roman"/>
                <w:sz w:val="21"/>
                <w:szCs w:val="21"/>
              </w:rPr>
            </w:pPr>
            <w:r>
              <w:rPr>
                <w:rFonts w:hint="eastAsia" w:cs="Times New Roman"/>
                <w:sz w:val="21"/>
                <w:szCs w:val="21"/>
              </w:rPr>
              <w:t>约50</w:t>
            </w:r>
          </w:p>
        </w:tc>
      </w:tr>
      <w:tr w14:paraId="6F761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69A5B09">
            <w:pPr>
              <w:pStyle w:val="39"/>
              <w:numPr>
                <w:ilvl w:val="0"/>
                <w:numId w:val="7"/>
              </w:numPr>
              <w:spacing w:line="240" w:lineRule="auto"/>
              <w:ind w:firstLineChars="0"/>
              <w:jc w:val="center"/>
              <w:rPr>
                <w:rFonts w:cs="Times New Roman"/>
                <w:sz w:val="21"/>
                <w:szCs w:val="21"/>
              </w:rPr>
            </w:pPr>
          </w:p>
        </w:tc>
        <w:tc>
          <w:tcPr>
            <w:tcW w:w="992" w:type="dxa"/>
            <w:noWrap/>
            <w:vAlign w:val="center"/>
          </w:tcPr>
          <w:p w14:paraId="39447EC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F4FEF4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EDA683B">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E60392D">
            <w:pPr>
              <w:spacing w:line="240" w:lineRule="auto"/>
              <w:ind w:firstLine="0" w:firstLineChars="0"/>
              <w:jc w:val="center"/>
              <w:rPr>
                <w:rFonts w:cs="Times New Roman"/>
                <w:sz w:val="21"/>
                <w:szCs w:val="21"/>
              </w:rPr>
            </w:pPr>
            <w:r>
              <w:rPr>
                <w:rFonts w:hint="eastAsia" w:cs="Times New Roman"/>
                <w:sz w:val="21"/>
                <w:szCs w:val="21"/>
              </w:rPr>
              <w:t>花园山</w:t>
            </w:r>
          </w:p>
        </w:tc>
        <w:tc>
          <w:tcPr>
            <w:tcW w:w="1701" w:type="dxa"/>
            <w:noWrap/>
            <w:vAlign w:val="center"/>
          </w:tcPr>
          <w:p w14:paraId="74534EA8">
            <w:pPr>
              <w:spacing w:line="240" w:lineRule="auto"/>
              <w:ind w:firstLine="0" w:firstLineChars="0"/>
              <w:jc w:val="center"/>
              <w:rPr>
                <w:rFonts w:cs="Times New Roman"/>
                <w:sz w:val="21"/>
                <w:szCs w:val="21"/>
              </w:rPr>
            </w:pPr>
            <w:r>
              <w:rPr>
                <w:rFonts w:hint="eastAsia" w:cs="Times New Roman"/>
                <w:sz w:val="21"/>
                <w:szCs w:val="21"/>
              </w:rPr>
              <w:t>119.40394</w:t>
            </w:r>
          </w:p>
        </w:tc>
        <w:tc>
          <w:tcPr>
            <w:tcW w:w="1690" w:type="dxa"/>
            <w:noWrap/>
            <w:vAlign w:val="center"/>
          </w:tcPr>
          <w:p w14:paraId="50355CE2">
            <w:pPr>
              <w:spacing w:line="240" w:lineRule="auto"/>
              <w:ind w:firstLine="0" w:firstLineChars="0"/>
              <w:jc w:val="center"/>
              <w:rPr>
                <w:rFonts w:cs="Times New Roman"/>
                <w:sz w:val="21"/>
                <w:szCs w:val="21"/>
              </w:rPr>
            </w:pPr>
            <w:r>
              <w:rPr>
                <w:rFonts w:hint="eastAsia" w:cs="Times New Roman"/>
                <w:sz w:val="21"/>
                <w:szCs w:val="21"/>
              </w:rPr>
              <w:t>31.806017</w:t>
            </w:r>
          </w:p>
        </w:tc>
        <w:tc>
          <w:tcPr>
            <w:tcW w:w="1080" w:type="dxa"/>
            <w:noWrap/>
            <w:vAlign w:val="center"/>
          </w:tcPr>
          <w:p w14:paraId="6905293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34B6C26">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27DAB36F">
            <w:pPr>
              <w:spacing w:line="240" w:lineRule="auto"/>
              <w:ind w:firstLine="0" w:firstLineChars="0"/>
              <w:jc w:val="center"/>
              <w:rPr>
                <w:rFonts w:cs="Times New Roman"/>
                <w:sz w:val="21"/>
                <w:szCs w:val="21"/>
              </w:rPr>
            </w:pPr>
            <w:r>
              <w:rPr>
                <w:rFonts w:hint="eastAsia" w:cs="Times New Roman"/>
                <w:sz w:val="21"/>
                <w:szCs w:val="21"/>
              </w:rPr>
              <w:t>2289</w:t>
            </w:r>
          </w:p>
        </w:tc>
        <w:tc>
          <w:tcPr>
            <w:tcW w:w="1168" w:type="dxa"/>
            <w:noWrap/>
            <w:vAlign w:val="center"/>
          </w:tcPr>
          <w:p w14:paraId="47A2D6C0">
            <w:pPr>
              <w:spacing w:line="240" w:lineRule="auto"/>
              <w:ind w:firstLine="0" w:firstLineChars="0"/>
              <w:jc w:val="center"/>
              <w:rPr>
                <w:rFonts w:cs="Times New Roman"/>
                <w:sz w:val="21"/>
                <w:szCs w:val="21"/>
              </w:rPr>
            </w:pPr>
            <w:r>
              <w:rPr>
                <w:rFonts w:hint="eastAsia" w:cs="Times New Roman"/>
                <w:sz w:val="21"/>
                <w:szCs w:val="21"/>
              </w:rPr>
              <w:t>约30</w:t>
            </w:r>
          </w:p>
        </w:tc>
      </w:tr>
      <w:tr w14:paraId="77811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A8808F8">
            <w:pPr>
              <w:pStyle w:val="39"/>
              <w:numPr>
                <w:ilvl w:val="0"/>
                <w:numId w:val="7"/>
              </w:numPr>
              <w:spacing w:line="240" w:lineRule="auto"/>
              <w:ind w:firstLineChars="0"/>
              <w:jc w:val="center"/>
              <w:rPr>
                <w:rFonts w:cs="Times New Roman"/>
                <w:sz w:val="21"/>
                <w:szCs w:val="21"/>
              </w:rPr>
            </w:pPr>
          </w:p>
        </w:tc>
        <w:tc>
          <w:tcPr>
            <w:tcW w:w="992" w:type="dxa"/>
            <w:noWrap/>
            <w:vAlign w:val="center"/>
          </w:tcPr>
          <w:p w14:paraId="29C3D42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67A86C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53FF1C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BF57B0B">
            <w:pPr>
              <w:spacing w:line="240" w:lineRule="auto"/>
              <w:ind w:firstLine="0" w:firstLineChars="0"/>
              <w:jc w:val="center"/>
              <w:rPr>
                <w:rFonts w:cs="Times New Roman"/>
                <w:sz w:val="21"/>
                <w:szCs w:val="21"/>
              </w:rPr>
            </w:pPr>
            <w:r>
              <w:rPr>
                <w:rFonts w:hint="eastAsia" w:cs="Times New Roman"/>
                <w:sz w:val="21"/>
                <w:szCs w:val="21"/>
              </w:rPr>
              <w:t>红庙头</w:t>
            </w:r>
          </w:p>
        </w:tc>
        <w:tc>
          <w:tcPr>
            <w:tcW w:w="1701" w:type="dxa"/>
            <w:noWrap/>
            <w:vAlign w:val="center"/>
          </w:tcPr>
          <w:p w14:paraId="6F3BE33C">
            <w:pPr>
              <w:spacing w:line="240" w:lineRule="auto"/>
              <w:ind w:firstLine="0" w:firstLineChars="0"/>
              <w:jc w:val="center"/>
              <w:rPr>
                <w:rFonts w:cs="Times New Roman"/>
                <w:sz w:val="21"/>
                <w:szCs w:val="21"/>
              </w:rPr>
            </w:pPr>
            <w:r>
              <w:rPr>
                <w:rFonts w:hint="eastAsia" w:cs="Times New Roman"/>
                <w:sz w:val="21"/>
                <w:szCs w:val="21"/>
              </w:rPr>
              <w:t>119.410255</w:t>
            </w:r>
          </w:p>
        </w:tc>
        <w:tc>
          <w:tcPr>
            <w:tcW w:w="1690" w:type="dxa"/>
            <w:noWrap/>
            <w:vAlign w:val="center"/>
          </w:tcPr>
          <w:p w14:paraId="190089F4">
            <w:pPr>
              <w:spacing w:line="240" w:lineRule="auto"/>
              <w:ind w:firstLine="0" w:firstLineChars="0"/>
              <w:jc w:val="center"/>
              <w:rPr>
                <w:rFonts w:cs="Times New Roman"/>
                <w:sz w:val="21"/>
                <w:szCs w:val="21"/>
              </w:rPr>
            </w:pPr>
            <w:r>
              <w:rPr>
                <w:rFonts w:hint="eastAsia" w:cs="Times New Roman"/>
                <w:sz w:val="21"/>
                <w:szCs w:val="21"/>
              </w:rPr>
              <w:t>31.799446</w:t>
            </w:r>
          </w:p>
        </w:tc>
        <w:tc>
          <w:tcPr>
            <w:tcW w:w="1080" w:type="dxa"/>
            <w:noWrap/>
            <w:vAlign w:val="center"/>
          </w:tcPr>
          <w:p w14:paraId="29E3C37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B915DB4">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4C75688E">
            <w:pPr>
              <w:spacing w:line="240" w:lineRule="auto"/>
              <w:ind w:firstLine="0" w:firstLineChars="0"/>
              <w:jc w:val="center"/>
              <w:rPr>
                <w:rFonts w:cs="Times New Roman"/>
                <w:sz w:val="21"/>
                <w:szCs w:val="21"/>
              </w:rPr>
            </w:pPr>
            <w:r>
              <w:rPr>
                <w:rFonts w:hint="eastAsia" w:cs="Times New Roman"/>
                <w:sz w:val="21"/>
                <w:szCs w:val="21"/>
              </w:rPr>
              <w:t>2532</w:t>
            </w:r>
          </w:p>
        </w:tc>
        <w:tc>
          <w:tcPr>
            <w:tcW w:w="1168" w:type="dxa"/>
            <w:noWrap/>
            <w:vAlign w:val="center"/>
          </w:tcPr>
          <w:p w14:paraId="099F58F1">
            <w:pPr>
              <w:spacing w:line="240" w:lineRule="auto"/>
              <w:ind w:firstLine="0" w:firstLineChars="0"/>
              <w:jc w:val="center"/>
              <w:rPr>
                <w:rFonts w:cs="Times New Roman"/>
                <w:sz w:val="21"/>
                <w:szCs w:val="21"/>
              </w:rPr>
            </w:pPr>
            <w:r>
              <w:rPr>
                <w:rFonts w:hint="eastAsia" w:cs="Times New Roman"/>
                <w:sz w:val="21"/>
                <w:szCs w:val="21"/>
              </w:rPr>
              <w:t>约30</w:t>
            </w:r>
          </w:p>
        </w:tc>
      </w:tr>
      <w:tr w14:paraId="43752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E92CFEF">
            <w:pPr>
              <w:pStyle w:val="39"/>
              <w:numPr>
                <w:ilvl w:val="0"/>
                <w:numId w:val="7"/>
              </w:numPr>
              <w:spacing w:line="240" w:lineRule="auto"/>
              <w:ind w:firstLineChars="0"/>
              <w:jc w:val="center"/>
              <w:rPr>
                <w:rFonts w:cs="Times New Roman"/>
                <w:sz w:val="21"/>
                <w:szCs w:val="21"/>
              </w:rPr>
            </w:pPr>
          </w:p>
        </w:tc>
        <w:tc>
          <w:tcPr>
            <w:tcW w:w="992" w:type="dxa"/>
            <w:noWrap/>
            <w:vAlign w:val="center"/>
          </w:tcPr>
          <w:p w14:paraId="367D8FB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F17037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BD9350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330E084">
            <w:pPr>
              <w:spacing w:line="240" w:lineRule="auto"/>
              <w:ind w:firstLine="0" w:firstLineChars="0"/>
              <w:jc w:val="center"/>
              <w:rPr>
                <w:rFonts w:cs="Times New Roman"/>
                <w:sz w:val="21"/>
                <w:szCs w:val="21"/>
              </w:rPr>
            </w:pPr>
            <w:r>
              <w:rPr>
                <w:rFonts w:hint="eastAsia" w:cs="Times New Roman"/>
                <w:sz w:val="21"/>
                <w:szCs w:val="21"/>
              </w:rPr>
              <w:t>马北</w:t>
            </w:r>
          </w:p>
        </w:tc>
        <w:tc>
          <w:tcPr>
            <w:tcW w:w="1701" w:type="dxa"/>
            <w:noWrap/>
            <w:vAlign w:val="center"/>
          </w:tcPr>
          <w:p w14:paraId="46C16532">
            <w:pPr>
              <w:spacing w:line="240" w:lineRule="auto"/>
              <w:ind w:firstLine="0" w:firstLineChars="0"/>
              <w:jc w:val="center"/>
              <w:rPr>
                <w:rFonts w:cs="Times New Roman"/>
                <w:sz w:val="21"/>
                <w:szCs w:val="21"/>
              </w:rPr>
            </w:pPr>
            <w:r>
              <w:rPr>
                <w:rFonts w:hint="eastAsia" w:cs="Times New Roman"/>
                <w:sz w:val="21"/>
                <w:szCs w:val="21"/>
              </w:rPr>
              <w:t>119.406966</w:t>
            </w:r>
          </w:p>
        </w:tc>
        <w:tc>
          <w:tcPr>
            <w:tcW w:w="1690" w:type="dxa"/>
            <w:noWrap/>
            <w:vAlign w:val="center"/>
          </w:tcPr>
          <w:p w14:paraId="7E96AAC2">
            <w:pPr>
              <w:spacing w:line="240" w:lineRule="auto"/>
              <w:ind w:firstLine="0" w:firstLineChars="0"/>
              <w:jc w:val="center"/>
              <w:rPr>
                <w:rFonts w:cs="Times New Roman"/>
                <w:sz w:val="21"/>
                <w:szCs w:val="21"/>
              </w:rPr>
            </w:pPr>
            <w:r>
              <w:rPr>
                <w:rFonts w:hint="eastAsia" w:cs="Times New Roman"/>
                <w:sz w:val="21"/>
                <w:szCs w:val="21"/>
              </w:rPr>
              <w:t>31.800842</w:t>
            </w:r>
          </w:p>
        </w:tc>
        <w:tc>
          <w:tcPr>
            <w:tcW w:w="1080" w:type="dxa"/>
            <w:noWrap/>
            <w:vAlign w:val="center"/>
          </w:tcPr>
          <w:p w14:paraId="5361EC0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96EF112">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0890FDA9">
            <w:pPr>
              <w:spacing w:line="240" w:lineRule="auto"/>
              <w:ind w:firstLine="0" w:firstLineChars="0"/>
              <w:jc w:val="center"/>
              <w:rPr>
                <w:rFonts w:cs="Times New Roman"/>
                <w:sz w:val="21"/>
                <w:szCs w:val="21"/>
              </w:rPr>
            </w:pPr>
            <w:r>
              <w:rPr>
                <w:rFonts w:hint="eastAsia" w:cs="Times New Roman"/>
                <w:sz w:val="21"/>
                <w:szCs w:val="21"/>
              </w:rPr>
              <w:t>2195</w:t>
            </w:r>
          </w:p>
        </w:tc>
        <w:tc>
          <w:tcPr>
            <w:tcW w:w="1168" w:type="dxa"/>
            <w:noWrap/>
            <w:vAlign w:val="center"/>
          </w:tcPr>
          <w:p w14:paraId="79B873EB">
            <w:pPr>
              <w:spacing w:line="240" w:lineRule="auto"/>
              <w:ind w:firstLine="0" w:firstLineChars="0"/>
              <w:jc w:val="center"/>
              <w:rPr>
                <w:rFonts w:cs="Times New Roman"/>
                <w:sz w:val="21"/>
                <w:szCs w:val="21"/>
              </w:rPr>
            </w:pPr>
            <w:r>
              <w:rPr>
                <w:rFonts w:hint="eastAsia" w:cs="Times New Roman"/>
                <w:sz w:val="21"/>
                <w:szCs w:val="21"/>
              </w:rPr>
              <w:t>约30</w:t>
            </w:r>
          </w:p>
        </w:tc>
      </w:tr>
      <w:tr w14:paraId="2944E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2271F9E">
            <w:pPr>
              <w:pStyle w:val="39"/>
              <w:numPr>
                <w:ilvl w:val="0"/>
                <w:numId w:val="7"/>
              </w:numPr>
              <w:spacing w:line="240" w:lineRule="auto"/>
              <w:ind w:firstLineChars="0"/>
              <w:jc w:val="center"/>
              <w:rPr>
                <w:rFonts w:cs="Times New Roman"/>
                <w:sz w:val="21"/>
                <w:szCs w:val="21"/>
              </w:rPr>
            </w:pPr>
          </w:p>
        </w:tc>
        <w:tc>
          <w:tcPr>
            <w:tcW w:w="992" w:type="dxa"/>
            <w:noWrap/>
            <w:vAlign w:val="center"/>
          </w:tcPr>
          <w:p w14:paraId="27AEE94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6C6E82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903918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4637690">
            <w:pPr>
              <w:spacing w:line="240" w:lineRule="auto"/>
              <w:ind w:firstLine="0" w:firstLineChars="0"/>
              <w:jc w:val="center"/>
              <w:rPr>
                <w:rFonts w:cs="Times New Roman"/>
                <w:sz w:val="21"/>
                <w:szCs w:val="21"/>
              </w:rPr>
            </w:pPr>
            <w:r>
              <w:rPr>
                <w:rFonts w:hint="eastAsia" w:cs="Times New Roman"/>
                <w:sz w:val="21"/>
                <w:szCs w:val="21"/>
              </w:rPr>
              <w:t>三益堂</w:t>
            </w:r>
          </w:p>
        </w:tc>
        <w:tc>
          <w:tcPr>
            <w:tcW w:w="1701" w:type="dxa"/>
            <w:noWrap/>
            <w:vAlign w:val="center"/>
          </w:tcPr>
          <w:p w14:paraId="31AD9B1F">
            <w:pPr>
              <w:spacing w:line="240" w:lineRule="auto"/>
              <w:ind w:firstLine="0" w:firstLineChars="0"/>
              <w:jc w:val="center"/>
              <w:rPr>
                <w:rFonts w:cs="Times New Roman"/>
                <w:sz w:val="21"/>
                <w:szCs w:val="21"/>
              </w:rPr>
            </w:pPr>
            <w:r>
              <w:rPr>
                <w:rFonts w:hint="eastAsia" w:cs="Times New Roman"/>
                <w:sz w:val="21"/>
                <w:szCs w:val="21"/>
              </w:rPr>
              <w:t>119.41538</w:t>
            </w:r>
          </w:p>
        </w:tc>
        <w:tc>
          <w:tcPr>
            <w:tcW w:w="1690" w:type="dxa"/>
            <w:noWrap/>
            <w:vAlign w:val="center"/>
          </w:tcPr>
          <w:p w14:paraId="63B3FA94">
            <w:pPr>
              <w:spacing w:line="240" w:lineRule="auto"/>
              <w:ind w:firstLine="0" w:firstLineChars="0"/>
              <w:jc w:val="center"/>
              <w:rPr>
                <w:rFonts w:cs="Times New Roman"/>
                <w:sz w:val="21"/>
                <w:szCs w:val="21"/>
              </w:rPr>
            </w:pPr>
            <w:r>
              <w:rPr>
                <w:rFonts w:hint="eastAsia" w:cs="Times New Roman"/>
                <w:sz w:val="21"/>
                <w:szCs w:val="21"/>
              </w:rPr>
              <w:t>31.776824</w:t>
            </w:r>
          </w:p>
        </w:tc>
        <w:tc>
          <w:tcPr>
            <w:tcW w:w="1080" w:type="dxa"/>
            <w:noWrap/>
            <w:vAlign w:val="center"/>
          </w:tcPr>
          <w:p w14:paraId="0006A73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C91DC1C">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240B3E11">
            <w:pPr>
              <w:spacing w:line="240" w:lineRule="auto"/>
              <w:ind w:firstLine="0" w:firstLineChars="0"/>
              <w:jc w:val="center"/>
              <w:rPr>
                <w:rFonts w:cs="Times New Roman"/>
                <w:sz w:val="21"/>
                <w:szCs w:val="21"/>
              </w:rPr>
            </w:pPr>
            <w:r>
              <w:rPr>
                <w:rFonts w:hint="eastAsia" w:cs="Times New Roman"/>
                <w:sz w:val="21"/>
                <w:szCs w:val="21"/>
              </w:rPr>
              <w:t>2040</w:t>
            </w:r>
          </w:p>
        </w:tc>
        <w:tc>
          <w:tcPr>
            <w:tcW w:w="1168" w:type="dxa"/>
            <w:noWrap/>
            <w:vAlign w:val="center"/>
          </w:tcPr>
          <w:p w14:paraId="65CE75DC">
            <w:pPr>
              <w:spacing w:line="240" w:lineRule="auto"/>
              <w:ind w:firstLine="0" w:firstLineChars="0"/>
              <w:jc w:val="center"/>
              <w:rPr>
                <w:rFonts w:cs="Times New Roman"/>
                <w:sz w:val="21"/>
                <w:szCs w:val="21"/>
              </w:rPr>
            </w:pPr>
            <w:r>
              <w:rPr>
                <w:rFonts w:hint="eastAsia" w:cs="Times New Roman"/>
                <w:sz w:val="21"/>
                <w:szCs w:val="21"/>
              </w:rPr>
              <w:t>约30</w:t>
            </w:r>
          </w:p>
        </w:tc>
      </w:tr>
      <w:tr w14:paraId="232F0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F77F853">
            <w:pPr>
              <w:pStyle w:val="39"/>
              <w:numPr>
                <w:ilvl w:val="0"/>
                <w:numId w:val="7"/>
              </w:numPr>
              <w:spacing w:line="240" w:lineRule="auto"/>
              <w:ind w:firstLineChars="0"/>
              <w:jc w:val="center"/>
              <w:rPr>
                <w:rFonts w:cs="Times New Roman"/>
                <w:sz w:val="21"/>
                <w:szCs w:val="21"/>
              </w:rPr>
            </w:pPr>
          </w:p>
        </w:tc>
        <w:tc>
          <w:tcPr>
            <w:tcW w:w="992" w:type="dxa"/>
            <w:noWrap/>
            <w:vAlign w:val="center"/>
          </w:tcPr>
          <w:p w14:paraId="6149EFA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046387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E44313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A5010DE">
            <w:pPr>
              <w:spacing w:line="240" w:lineRule="auto"/>
              <w:ind w:firstLine="0" w:firstLineChars="0"/>
              <w:jc w:val="center"/>
              <w:rPr>
                <w:rFonts w:cs="Times New Roman"/>
                <w:sz w:val="21"/>
                <w:szCs w:val="21"/>
              </w:rPr>
            </w:pPr>
            <w:r>
              <w:rPr>
                <w:rFonts w:hint="eastAsia" w:cs="Times New Roman"/>
                <w:sz w:val="21"/>
                <w:szCs w:val="21"/>
              </w:rPr>
              <w:t>芝麻棚</w:t>
            </w:r>
          </w:p>
        </w:tc>
        <w:tc>
          <w:tcPr>
            <w:tcW w:w="1701" w:type="dxa"/>
            <w:noWrap/>
            <w:vAlign w:val="center"/>
          </w:tcPr>
          <w:p w14:paraId="6B4267C6">
            <w:pPr>
              <w:spacing w:line="240" w:lineRule="auto"/>
              <w:ind w:firstLine="0" w:firstLineChars="0"/>
              <w:jc w:val="center"/>
              <w:rPr>
                <w:rFonts w:cs="Times New Roman"/>
                <w:sz w:val="21"/>
                <w:szCs w:val="21"/>
              </w:rPr>
            </w:pPr>
            <w:r>
              <w:rPr>
                <w:rFonts w:hint="eastAsia" w:cs="Times New Roman"/>
                <w:sz w:val="21"/>
                <w:szCs w:val="21"/>
              </w:rPr>
              <w:t>119.41824</w:t>
            </w:r>
          </w:p>
        </w:tc>
        <w:tc>
          <w:tcPr>
            <w:tcW w:w="1690" w:type="dxa"/>
            <w:noWrap/>
            <w:vAlign w:val="center"/>
          </w:tcPr>
          <w:p w14:paraId="5E2A020D">
            <w:pPr>
              <w:spacing w:line="240" w:lineRule="auto"/>
              <w:ind w:firstLine="0" w:firstLineChars="0"/>
              <w:jc w:val="center"/>
              <w:rPr>
                <w:rFonts w:cs="Times New Roman"/>
                <w:sz w:val="21"/>
                <w:szCs w:val="21"/>
              </w:rPr>
            </w:pPr>
            <w:r>
              <w:rPr>
                <w:rFonts w:hint="eastAsia" w:cs="Times New Roman"/>
                <w:sz w:val="21"/>
                <w:szCs w:val="21"/>
              </w:rPr>
              <w:t>31.777767</w:t>
            </w:r>
          </w:p>
        </w:tc>
        <w:tc>
          <w:tcPr>
            <w:tcW w:w="1080" w:type="dxa"/>
            <w:noWrap/>
            <w:vAlign w:val="center"/>
          </w:tcPr>
          <w:p w14:paraId="02561CD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A9760B8">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6BBD354">
            <w:pPr>
              <w:spacing w:line="240" w:lineRule="auto"/>
              <w:ind w:firstLine="0" w:firstLineChars="0"/>
              <w:jc w:val="center"/>
              <w:rPr>
                <w:rFonts w:cs="Times New Roman"/>
                <w:sz w:val="21"/>
                <w:szCs w:val="21"/>
              </w:rPr>
            </w:pPr>
            <w:r>
              <w:rPr>
                <w:rFonts w:hint="eastAsia" w:cs="Times New Roman"/>
                <w:sz w:val="21"/>
                <w:szCs w:val="21"/>
              </w:rPr>
              <w:t>2390</w:t>
            </w:r>
          </w:p>
        </w:tc>
        <w:tc>
          <w:tcPr>
            <w:tcW w:w="1168" w:type="dxa"/>
            <w:noWrap/>
            <w:vAlign w:val="center"/>
          </w:tcPr>
          <w:p w14:paraId="5E546D75">
            <w:pPr>
              <w:spacing w:line="240" w:lineRule="auto"/>
              <w:ind w:firstLine="0" w:firstLineChars="0"/>
              <w:jc w:val="center"/>
              <w:rPr>
                <w:rFonts w:cs="Times New Roman"/>
                <w:sz w:val="21"/>
                <w:szCs w:val="21"/>
              </w:rPr>
            </w:pPr>
            <w:r>
              <w:rPr>
                <w:rFonts w:hint="eastAsia" w:cs="Times New Roman"/>
                <w:sz w:val="21"/>
                <w:szCs w:val="21"/>
              </w:rPr>
              <w:t>约30</w:t>
            </w:r>
          </w:p>
        </w:tc>
      </w:tr>
      <w:tr w14:paraId="725F8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3694156">
            <w:pPr>
              <w:pStyle w:val="39"/>
              <w:numPr>
                <w:ilvl w:val="0"/>
                <w:numId w:val="7"/>
              </w:numPr>
              <w:spacing w:line="240" w:lineRule="auto"/>
              <w:ind w:firstLineChars="0"/>
              <w:jc w:val="center"/>
              <w:rPr>
                <w:rFonts w:cs="Times New Roman"/>
                <w:sz w:val="21"/>
                <w:szCs w:val="21"/>
              </w:rPr>
            </w:pPr>
          </w:p>
        </w:tc>
        <w:tc>
          <w:tcPr>
            <w:tcW w:w="992" w:type="dxa"/>
            <w:noWrap/>
            <w:vAlign w:val="center"/>
          </w:tcPr>
          <w:p w14:paraId="6C29E700">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2BB5270E">
            <w:pPr>
              <w:spacing w:line="240" w:lineRule="auto"/>
              <w:ind w:firstLine="0" w:firstLineChars="0"/>
              <w:jc w:val="center"/>
              <w:rPr>
                <w:rFonts w:cs="Times New Roman"/>
                <w:sz w:val="21"/>
                <w:szCs w:val="21"/>
              </w:rPr>
            </w:pPr>
            <w:r>
              <w:rPr>
                <w:rFonts w:hint="eastAsia" w:cs="Times New Roman"/>
                <w:sz w:val="21"/>
                <w:szCs w:val="21"/>
              </w:rPr>
              <w:t>丹徒区</w:t>
            </w:r>
          </w:p>
        </w:tc>
        <w:tc>
          <w:tcPr>
            <w:tcW w:w="1560" w:type="dxa"/>
            <w:noWrap/>
            <w:vAlign w:val="center"/>
          </w:tcPr>
          <w:p w14:paraId="182B1446">
            <w:pPr>
              <w:spacing w:line="240" w:lineRule="auto"/>
              <w:ind w:firstLine="0" w:firstLineChars="0"/>
              <w:jc w:val="center"/>
              <w:rPr>
                <w:rFonts w:cs="Times New Roman"/>
                <w:sz w:val="21"/>
                <w:szCs w:val="21"/>
              </w:rPr>
            </w:pPr>
            <w:r>
              <w:rPr>
                <w:rFonts w:hint="eastAsia" w:cs="Times New Roman"/>
                <w:sz w:val="21"/>
                <w:szCs w:val="21"/>
              </w:rPr>
              <w:t>荣炳盐资源区</w:t>
            </w:r>
          </w:p>
        </w:tc>
        <w:tc>
          <w:tcPr>
            <w:tcW w:w="2409" w:type="dxa"/>
            <w:noWrap/>
            <w:vAlign w:val="center"/>
          </w:tcPr>
          <w:p w14:paraId="4ADFBE10">
            <w:pPr>
              <w:spacing w:line="240" w:lineRule="auto"/>
              <w:ind w:firstLine="0" w:firstLineChars="0"/>
              <w:jc w:val="center"/>
              <w:rPr>
                <w:rFonts w:cs="Times New Roman"/>
                <w:sz w:val="21"/>
                <w:szCs w:val="21"/>
              </w:rPr>
            </w:pPr>
            <w:r>
              <w:rPr>
                <w:rFonts w:hint="eastAsia" w:cs="Times New Roman"/>
                <w:sz w:val="21"/>
                <w:szCs w:val="21"/>
              </w:rPr>
              <w:t>华山一组</w:t>
            </w:r>
          </w:p>
        </w:tc>
        <w:tc>
          <w:tcPr>
            <w:tcW w:w="1701" w:type="dxa"/>
            <w:noWrap/>
            <w:vAlign w:val="center"/>
          </w:tcPr>
          <w:p w14:paraId="0F31981E">
            <w:pPr>
              <w:spacing w:line="240" w:lineRule="auto"/>
              <w:ind w:firstLine="0" w:firstLineChars="0"/>
              <w:jc w:val="center"/>
              <w:rPr>
                <w:rFonts w:cs="Times New Roman"/>
                <w:sz w:val="21"/>
                <w:szCs w:val="21"/>
              </w:rPr>
            </w:pPr>
            <w:r>
              <w:rPr>
                <w:rFonts w:hint="eastAsia" w:cs="Times New Roman"/>
                <w:sz w:val="21"/>
                <w:szCs w:val="21"/>
              </w:rPr>
              <w:t>119.337091</w:t>
            </w:r>
          </w:p>
        </w:tc>
        <w:tc>
          <w:tcPr>
            <w:tcW w:w="1690" w:type="dxa"/>
            <w:noWrap/>
            <w:vAlign w:val="center"/>
          </w:tcPr>
          <w:p w14:paraId="0875F986">
            <w:pPr>
              <w:spacing w:line="240" w:lineRule="auto"/>
              <w:ind w:firstLine="0" w:firstLineChars="0"/>
              <w:jc w:val="center"/>
              <w:rPr>
                <w:rFonts w:cs="Times New Roman"/>
                <w:sz w:val="21"/>
                <w:szCs w:val="21"/>
              </w:rPr>
            </w:pPr>
            <w:r>
              <w:rPr>
                <w:rFonts w:hint="eastAsia" w:cs="Times New Roman"/>
                <w:sz w:val="21"/>
                <w:szCs w:val="21"/>
              </w:rPr>
              <w:t>31.875636</w:t>
            </w:r>
          </w:p>
        </w:tc>
        <w:tc>
          <w:tcPr>
            <w:tcW w:w="1080" w:type="dxa"/>
            <w:noWrap/>
            <w:vAlign w:val="center"/>
          </w:tcPr>
          <w:p w14:paraId="6FC4C39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84AE16D">
            <w:pPr>
              <w:spacing w:line="240" w:lineRule="auto"/>
              <w:ind w:firstLine="0" w:firstLineChars="0"/>
              <w:jc w:val="center"/>
              <w:rPr>
                <w:rFonts w:cs="Times New Roman"/>
                <w:sz w:val="21"/>
                <w:szCs w:val="21"/>
              </w:rPr>
            </w:pPr>
            <w:r>
              <w:rPr>
                <w:rFonts w:hint="eastAsia" w:cs="Times New Roman"/>
                <w:sz w:val="21"/>
                <w:szCs w:val="21"/>
              </w:rPr>
              <w:t>北</w:t>
            </w:r>
          </w:p>
        </w:tc>
        <w:tc>
          <w:tcPr>
            <w:tcW w:w="720" w:type="dxa"/>
            <w:noWrap/>
            <w:vAlign w:val="center"/>
          </w:tcPr>
          <w:p w14:paraId="4806A75C">
            <w:pPr>
              <w:spacing w:line="240" w:lineRule="auto"/>
              <w:ind w:firstLine="0" w:firstLineChars="0"/>
              <w:jc w:val="center"/>
              <w:rPr>
                <w:rFonts w:cs="Times New Roman"/>
                <w:sz w:val="21"/>
                <w:szCs w:val="21"/>
              </w:rPr>
            </w:pPr>
            <w:r>
              <w:rPr>
                <w:rFonts w:hint="eastAsia" w:cs="Times New Roman"/>
                <w:sz w:val="21"/>
                <w:szCs w:val="21"/>
              </w:rPr>
              <w:t>1762</w:t>
            </w:r>
          </w:p>
        </w:tc>
        <w:tc>
          <w:tcPr>
            <w:tcW w:w="1168" w:type="dxa"/>
            <w:noWrap/>
            <w:vAlign w:val="center"/>
          </w:tcPr>
          <w:p w14:paraId="79EDE4F1">
            <w:pPr>
              <w:spacing w:line="240" w:lineRule="auto"/>
              <w:ind w:firstLine="0" w:firstLineChars="0"/>
              <w:jc w:val="center"/>
              <w:rPr>
                <w:rFonts w:cs="Times New Roman"/>
                <w:sz w:val="21"/>
                <w:szCs w:val="21"/>
              </w:rPr>
            </w:pPr>
            <w:r>
              <w:rPr>
                <w:rFonts w:hint="eastAsia" w:cs="Times New Roman"/>
                <w:sz w:val="21"/>
                <w:szCs w:val="21"/>
              </w:rPr>
              <w:t>约30</w:t>
            </w:r>
          </w:p>
        </w:tc>
      </w:tr>
      <w:tr w14:paraId="581E6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805F84C">
            <w:pPr>
              <w:pStyle w:val="39"/>
              <w:numPr>
                <w:ilvl w:val="0"/>
                <w:numId w:val="7"/>
              </w:numPr>
              <w:spacing w:line="240" w:lineRule="auto"/>
              <w:ind w:firstLineChars="0"/>
              <w:jc w:val="center"/>
              <w:rPr>
                <w:rFonts w:cs="Times New Roman"/>
                <w:sz w:val="21"/>
                <w:szCs w:val="21"/>
              </w:rPr>
            </w:pPr>
          </w:p>
        </w:tc>
        <w:tc>
          <w:tcPr>
            <w:tcW w:w="992" w:type="dxa"/>
            <w:noWrap/>
            <w:vAlign w:val="center"/>
          </w:tcPr>
          <w:p w14:paraId="2CB1D248">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E02AC35">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5970DA36">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038FE3E8">
            <w:pPr>
              <w:spacing w:line="240" w:lineRule="auto"/>
              <w:ind w:firstLine="0" w:firstLineChars="0"/>
              <w:jc w:val="center"/>
              <w:rPr>
                <w:rFonts w:cs="Times New Roman"/>
                <w:sz w:val="21"/>
                <w:szCs w:val="21"/>
              </w:rPr>
            </w:pPr>
            <w:r>
              <w:rPr>
                <w:rFonts w:hint="eastAsia" w:cs="Times New Roman"/>
                <w:sz w:val="21"/>
                <w:szCs w:val="21"/>
              </w:rPr>
              <w:t>九龙塘</w:t>
            </w:r>
          </w:p>
        </w:tc>
        <w:tc>
          <w:tcPr>
            <w:tcW w:w="1701" w:type="dxa"/>
            <w:noWrap/>
            <w:vAlign w:val="center"/>
          </w:tcPr>
          <w:p w14:paraId="5D52FFD2">
            <w:pPr>
              <w:spacing w:line="240" w:lineRule="auto"/>
              <w:ind w:firstLine="0" w:firstLineChars="0"/>
              <w:jc w:val="center"/>
              <w:rPr>
                <w:rFonts w:cs="Times New Roman"/>
                <w:sz w:val="21"/>
                <w:szCs w:val="21"/>
              </w:rPr>
            </w:pPr>
            <w:r>
              <w:rPr>
                <w:rFonts w:hint="eastAsia" w:cs="Times New Roman"/>
                <w:sz w:val="21"/>
                <w:szCs w:val="21"/>
              </w:rPr>
              <w:t>119.329607</w:t>
            </w:r>
          </w:p>
        </w:tc>
        <w:tc>
          <w:tcPr>
            <w:tcW w:w="1690" w:type="dxa"/>
            <w:noWrap/>
            <w:vAlign w:val="center"/>
          </w:tcPr>
          <w:p w14:paraId="49F0CFE1">
            <w:pPr>
              <w:spacing w:line="240" w:lineRule="auto"/>
              <w:ind w:firstLine="0" w:firstLineChars="0"/>
              <w:jc w:val="center"/>
              <w:rPr>
                <w:rFonts w:cs="Times New Roman"/>
                <w:sz w:val="21"/>
                <w:szCs w:val="21"/>
              </w:rPr>
            </w:pPr>
            <w:r>
              <w:rPr>
                <w:rFonts w:hint="eastAsia" w:cs="Times New Roman"/>
                <w:sz w:val="21"/>
                <w:szCs w:val="21"/>
              </w:rPr>
              <w:t>31.878909</w:t>
            </w:r>
          </w:p>
        </w:tc>
        <w:tc>
          <w:tcPr>
            <w:tcW w:w="1080" w:type="dxa"/>
            <w:noWrap/>
            <w:vAlign w:val="center"/>
          </w:tcPr>
          <w:p w14:paraId="55B9641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102CED6">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6369A4C2">
            <w:pPr>
              <w:spacing w:line="240" w:lineRule="auto"/>
              <w:ind w:firstLine="0" w:firstLineChars="0"/>
              <w:jc w:val="center"/>
              <w:rPr>
                <w:rFonts w:cs="Times New Roman"/>
                <w:sz w:val="21"/>
                <w:szCs w:val="21"/>
              </w:rPr>
            </w:pPr>
            <w:r>
              <w:rPr>
                <w:rFonts w:hint="eastAsia" w:cs="Times New Roman"/>
                <w:sz w:val="21"/>
                <w:szCs w:val="21"/>
              </w:rPr>
              <w:t>2174</w:t>
            </w:r>
          </w:p>
        </w:tc>
        <w:tc>
          <w:tcPr>
            <w:tcW w:w="1168" w:type="dxa"/>
            <w:noWrap/>
            <w:vAlign w:val="center"/>
          </w:tcPr>
          <w:p w14:paraId="73F86ADC">
            <w:pPr>
              <w:spacing w:line="240" w:lineRule="auto"/>
              <w:ind w:firstLine="0" w:firstLineChars="0"/>
              <w:jc w:val="center"/>
              <w:rPr>
                <w:rFonts w:cs="Times New Roman"/>
                <w:sz w:val="21"/>
                <w:szCs w:val="21"/>
              </w:rPr>
            </w:pPr>
            <w:r>
              <w:rPr>
                <w:rFonts w:hint="eastAsia" w:cs="Times New Roman"/>
                <w:sz w:val="21"/>
                <w:szCs w:val="21"/>
              </w:rPr>
              <w:t>约30</w:t>
            </w:r>
          </w:p>
        </w:tc>
      </w:tr>
      <w:tr w14:paraId="68FE4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CBA6EEA">
            <w:pPr>
              <w:pStyle w:val="39"/>
              <w:numPr>
                <w:ilvl w:val="0"/>
                <w:numId w:val="7"/>
              </w:numPr>
              <w:spacing w:line="240" w:lineRule="auto"/>
              <w:ind w:firstLineChars="0"/>
              <w:jc w:val="center"/>
              <w:rPr>
                <w:rFonts w:cs="Times New Roman"/>
                <w:sz w:val="21"/>
                <w:szCs w:val="21"/>
              </w:rPr>
            </w:pPr>
          </w:p>
        </w:tc>
        <w:tc>
          <w:tcPr>
            <w:tcW w:w="992" w:type="dxa"/>
            <w:noWrap/>
            <w:vAlign w:val="center"/>
          </w:tcPr>
          <w:p w14:paraId="6B330E7B">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F6F5E2D">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5F77C79C">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31F185EE">
            <w:pPr>
              <w:spacing w:line="240" w:lineRule="auto"/>
              <w:ind w:firstLine="0" w:firstLineChars="0"/>
              <w:jc w:val="center"/>
              <w:rPr>
                <w:rFonts w:cs="Times New Roman"/>
                <w:sz w:val="21"/>
                <w:szCs w:val="21"/>
              </w:rPr>
            </w:pPr>
            <w:r>
              <w:rPr>
                <w:rFonts w:hint="eastAsia" w:cs="Times New Roman"/>
                <w:sz w:val="21"/>
                <w:szCs w:val="21"/>
              </w:rPr>
              <w:t>九龙塘上</w:t>
            </w:r>
          </w:p>
        </w:tc>
        <w:tc>
          <w:tcPr>
            <w:tcW w:w="1701" w:type="dxa"/>
            <w:noWrap/>
            <w:vAlign w:val="center"/>
          </w:tcPr>
          <w:p w14:paraId="2B698D3E">
            <w:pPr>
              <w:spacing w:line="240" w:lineRule="auto"/>
              <w:ind w:firstLine="0" w:firstLineChars="0"/>
              <w:jc w:val="center"/>
              <w:rPr>
                <w:rFonts w:cs="Times New Roman"/>
                <w:sz w:val="21"/>
                <w:szCs w:val="21"/>
              </w:rPr>
            </w:pPr>
            <w:r>
              <w:rPr>
                <w:rFonts w:hint="eastAsia" w:cs="Times New Roman"/>
                <w:sz w:val="21"/>
                <w:szCs w:val="21"/>
              </w:rPr>
              <w:t>119.323961</w:t>
            </w:r>
          </w:p>
        </w:tc>
        <w:tc>
          <w:tcPr>
            <w:tcW w:w="1690" w:type="dxa"/>
            <w:noWrap/>
            <w:vAlign w:val="center"/>
          </w:tcPr>
          <w:p w14:paraId="375DAFB5">
            <w:pPr>
              <w:spacing w:line="240" w:lineRule="auto"/>
              <w:ind w:firstLine="0" w:firstLineChars="0"/>
              <w:jc w:val="center"/>
              <w:rPr>
                <w:rFonts w:cs="Times New Roman"/>
                <w:sz w:val="21"/>
                <w:szCs w:val="21"/>
              </w:rPr>
            </w:pPr>
            <w:r>
              <w:rPr>
                <w:rFonts w:hint="eastAsia" w:cs="Times New Roman"/>
                <w:sz w:val="21"/>
                <w:szCs w:val="21"/>
              </w:rPr>
              <w:t>31.880013</w:t>
            </w:r>
          </w:p>
        </w:tc>
        <w:tc>
          <w:tcPr>
            <w:tcW w:w="1080" w:type="dxa"/>
            <w:noWrap/>
            <w:vAlign w:val="center"/>
          </w:tcPr>
          <w:p w14:paraId="090BAF9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A3D258C">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17548AB1">
            <w:pPr>
              <w:spacing w:line="240" w:lineRule="auto"/>
              <w:ind w:firstLine="0" w:firstLineChars="0"/>
              <w:jc w:val="center"/>
              <w:rPr>
                <w:rFonts w:cs="Times New Roman"/>
                <w:sz w:val="21"/>
                <w:szCs w:val="21"/>
              </w:rPr>
            </w:pPr>
            <w:r>
              <w:rPr>
                <w:rFonts w:hint="eastAsia" w:cs="Times New Roman"/>
                <w:sz w:val="21"/>
                <w:szCs w:val="21"/>
              </w:rPr>
              <w:t>2292</w:t>
            </w:r>
          </w:p>
        </w:tc>
        <w:tc>
          <w:tcPr>
            <w:tcW w:w="1168" w:type="dxa"/>
            <w:noWrap/>
            <w:vAlign w:val="center"/>
          </w:tcPr>
          <w:p w14:paraId="4EDC3088">
            <w:pPr>
              <w:spacing w:line="240" w:lineRule="auto"/>
              <w:ind w:firstLine="0" w:firstLineChars="0"/>
              <w:jc w:val="center"/>
              <w:rPr>
                <w:rFonts w:cs="Times New Roman"/>
                <w:sz w:val="21"/>
                <w:szCs w:val="21"/>
              </w:rPr>
            </w:pPr>
            <w:r>
              <w:rPr>
                <w:rFonts w:hint="eastAsia" w:cs="Times New Roman"/>
                <w:sz w:val="21"/>
                <w:szCs w:val="21"/>
              </w:rPr>
              <w:t>约30</w:t>
            </w:r>
          </w:p>
        </w:tc>
      </w:tr>
      <w:tr w14:paraId="343F8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A665BE4">
            <w:pPr>
              <w:pStyle w:val="39"/>
              <w:numPr>
                <w:ilvl w:val="0"/>
                <w:numId w:val="7"/>
              </w:numPr>
              <w:spacing w:line="240" w:lineRule="auto"/>
              <w:ind w:firstLineChars="0"/>
              <w:jc w:val="center"/>
              <w:rPr>
                <w:rFonts w:cs="Times New Roman"/>
                <w:sz w:val="21"/>
                <w:szCs w:val="21"/>
              </w:rPr>
            </w:pPr>
          </w:p>
        </w:tc>
        <w:tc>
          <w:tcPr>
            <w:tcW w:w="992" w:type="dxa"/>
            <w:noWrap/>
            <w:vAlign w:val="center"/>
          </w:tcPr>
          <w:p w14:paraId="21835669">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7B77C08">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157D303B">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25A2D6D6">
            <w:pPr>
              <w:spacing w:line="240" w:lineRule="auto"/>
              <w:ind w:firstLine="0" w:firstLineChars="0"/>
              <w:jc w:val="center"/>
              <w:rPr>
                <w:rFonts w:cs="Times New Roman"/>
                <w:sz w:val="21"/>
                <w:szCs w:val="21"/>
              </w:rPr>
            </w:pPr>
            <w:r>
              <w:rPr>
                <w:rFonts w:hint="eastAsia" w:cs="Times New Roman"/>
                <w:sz w:val="21"/>
                <w:szCs w:val="21"/>
              </w:rPr>
              <w:t>迎西</w:t>
            </w:r>
          </w:p>
        </w:tc>
        <w:tc>
          <w:tcPr>
            <w:tcW w:w="1701" w:type="dxa"/>
            <w:noWrap/>
            <w:vAlign w:val="center"/>
          </w:tcPr>
          <w:p w14:paraId="2ECB2481">
            <w:pPr>
              <w:spacing w:line="240" w:lineRule="auto"/>
              <w:ind w:firstLine="0" w:firstLineChars="0"/>
              <w:jc w:val="center"/>
              <w:rPr>
                <w:rFonts w:cs="Times New Roman"/>
                <w:sz w:val="21"/>
                <w:szCs w:val="21"/>
              </w:rPr>
            </w:pPr>
            <w:r>
              <w:rPr>
                <w:rFonts w:hint="eastAsia" w:cs="Times New Roman"/>
                <w:sz w:val="21"/>
                <w:szCs w:val="21"/>
              </w:rPr>
              <w:t>119.315717</w:t>
            </w:r>
          </w:p>
        </w:tc>
        <w:tc>
          <w:tcPr>
            <w:tcW w:w="1690" w:type="dxa"/>
            <w:noWrap/>
            <w:vAlign w:val="center"/>
          </w:tcPr>
          <w:p w14:paraId="74AACFA2">
            <w:pPr>
              <w:spacing w:line="240" w:lineRule="auto"/>
              <w:ind w:firstLine="0" w:firstLineChars="0"/>
              <w:jc w:val="center"/>
              <w:rPr>
                <w:rFonts w:cs="Times New Roman"/>
                <w:sz w:val="21"/>
                <w:szCs w:val="21"/>
              </w:rPr>
            </w:pPr>
            <w:r>
              <w:rPr>
                <w:rFonts w:hint="eastAsia" w:cs="Times New Roman"/>
                <w:sz w:val="21"/>
                <w:szCs w:val="21"/>
              </w:rPr>
              <w:t>31.875631</w:t>
            </w:r>
          </w:p>
        </w:tc>
        <w:tc>
          <w:tcPr>
            <w:tcW w:w="1080" w:type="dxa"/>
            <w:noWrap/>
            <w:vAlign w:val="center"/>
          </w:tcPr>
          <w:p w14:paraId="4A2FFE4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09489F2">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38935BC1">
            <w:pPr>
              <w:spacing w:line="240" w:lineRule="auto"/>
              <w:ind w:firstLine="0" w:firstLineChars="0"/>
              <w:jc w:val="center"/>
              <w:rPr>
                <w:rFonts w:cs="Times New Roman"/>
                <w:sz w:val="21"/>
                <w:szCs w:val="21"/>
              </w:rPr>
            </w:pPr>
            <w:r>
              <w:rPr>
                <w:rFonts w:hint="eastAsia" w:cs="Times New Roman"/>
                <w:sz w:val="21"/>
                <w:szCs w:val="21"/>
              </w:rPr>
              <w:t>2301</w:t>
            </w:r>
          </w:p>
        </w:tc>
        <w:tc>
          <w:tcPr>
            <w:tcW w:w="1168" w:type="dxa"/>
            <w:noWrap/>
            <w:vAlign w:val="center"/>
          </w:tcPr>
          <w:p w14:paraId="29C58C37">
            <w:pPr>
              <w:spacing w:line="240" w:lineRule="auto"/>
              <w:ind w:firstLine="0" w:firstLineChars="0"/>
              <w:jc w:val="center"/>
              <w:rPr>
                <w:rFonts w:cs="Times New Roman"/>
                <w:sz w:val="21"/>
                <w:szCs w:val="21"/>
              </w:rPr>
            </w:pPr>
            <w:r>
              <w:rPr>
                <w:rFonts w:hint="eastAsia" w:cs="Times New Roman"/>
                <w:sz w:val="21"/>
                <w:szCs w:val="21"/>
              </w:rPr>
              <w:t>约50</w:t>
            </w:r>
          </w:p>
        </w:tc>
      </w:tr>
      <w:tr w14:paraId="06B15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201C5FD">
            <w:pPr>
              <w:pStyle w:val="39"/>
              <w:numPr>
                <w:ilvl w:val="0"/>
                <w:numId w:val="7"/>
              </w:numPr>
              <w:spacing w:line="240" w:lineRule="auto"/>
              <w:ind w:firstLineChars="0"/>
              <w:jc w:val="center"/>
              <w:rPr>
                <w:rFonts w:cs="Times New Roman"/>
                <w:sz w:val="21"/>
                <w:szCs w:val="21"/>
              </w:rPr>
            </w:pPr>
          </w:p>
        </w:tc>
        <w:tc>
          <w:tcPr>
            <w:tcW w:w="992" w:type="dxa"/>
            <w:noWrap/>
            <w:vAlign w:val="center"/>
          </w:tcPr>
          <w:p w14:paraId="63FF0D25">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2C7EE3F">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4C2E324E">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3DC9321B">
            <w:pPr>
              <w:spacing w:line="240" w:lineRule="auto"/>
              <w:ind w:firstLine="0" w:firstLineChars="0"/>
              <w:jc w:val="center"/>
              <w:rPr>
                <w:rFonts w:cs="Times New Roman"/>
                <w:sz w:val="21"/>
                <w:szCs w:val="21"/>
              </w:rPr>
            </w:pPr>
            <w:r>
              <w:rPr>
                <w:rFonts w:hint="eastAsia" w:cs="Times New Roman"/>
                <w:sz w:val="21"/>
                <w:szCs w:val="21"/>
              </w:rPr>
              <w:t>玉真桥</w:t>
            </w:r>
          </w:p>
        </w:tc>
        <w:tc>
          <w:tcPr>
            <w:tcW w:w="1701" w:type="dxa"/>
            <w:noWrap/>
            <w:vAlign w:val="center"/>
          </w:tcPr>
          <w:p w14:paraId="1A7D90EB">
            <w:pPr>
              <w:spacing w:line="240" w:lineRule="auto"/>
              <w:ind w:firstLine="0" w:firstLineChars="0"/>
              <w:jc w:val="center"/>
              <w:rPr>
                <w:rFonts w:cs="Times New Roman"/>
                <w:sz w:val="21"/>
                <w:szCs w:val="21"/>
              </w:rPr>
            </w:pPr>
            <w:r>
              <w:rPr>
                <w:rFonts w:hint="eastAsia" w:cs="Times New Roman"/>
                <w:sz w:val="21"/>
                <w:szCs w:val="21"/>
              </w:rPr>
              <w:t>119.308555</w:t>
            </w:r>
          </w:p>
        </w:tc>
        <w:tc>
          <w:tcPr>
            <w:tcW w:w="1690" w:type="dxa"/>
            <w:noWrap/>
            <w:vAlign w:val="center"/>
          </w:tcPr>
          <w:p w14:paraId="7D8E5DB6">
            <w:pPr>
              <w:spacing w:line="240" w:lineRule="auto"/>
              <w:ind w:firstLine="0" w:firstLineChars="0"/>
              <w:jc w:val="center"/>
              <w:rPr>
                <w:rFonts w:cs="Times New Roman"/>
                <w:sz w:val="21"/>
                <w:szCs w:val="21"/>
              </w:rPr>
            </w:pPr>
            <w:r>
              <w:rPr>
                <w:rFonts w:hint="eastAsia" w:cs="Times New Roman"/>
                <w:sz w:val="21"/>
                <w:szCs w:val="21"/>
              </w:rPr>
              <w:t>31.866641</w:t>
            </w:r>
          </w:p>
        </w:tc>
        <w:tc>
          <w:tcPr>
            <w:tcW w:w="1080" w:type="dxa"/>
            <w:noWrap/>
            <w:vAlign w:val="center"/>
          </w:tcPr>
          <w:p w14:paraId="7FFC782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298F962">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78C2E80F">
            <w:pPr>
              <w:spacing w:line="240" w:lineRule="auto"/>
              <w:ind w:firstLine="0" w:firstLineChars="0"/>
              <w:jc w:val="center"/>
              <w:rPr>
                <w:rFonts w:cs="Times New Roman"/>
                <w:sz w:val="21"/>
                <w:szCs w:val="21"/>
              </w:rPr>
            </w:pPr>
            <w:r>
              <w:rPr>
                <w:rFonts w:hint="eastAsia" w:cs="Times New Roman"/>
                <w:sz w:val="21"/>
                <w:szCs w:val="21"/>
              </w:rPr>
              <w:t>2303</w:t>
            </w:r>
          </w:p>
        </w:tc>
        <w:tc>
          <w:tcPr>
            <w:tcW w:w="1168" w:type="dxa"/>
            <w:noWrap/>
            <w:vAlign w:val="center"/>
          </w:tcPr>
          <w:p w14:paraId="437172E2">
            <w:pPr>
              <w:spacing w:line="240" w:lineRule="auto"/>
              <w:ind w:firstLine="0" w:firstLineChars="0"/>
              <w:jc w:val="center"/>
              <w:rPr>
                <w:rFonts w:cs="Times New Roman"/>
                <w:sz w:val="21"/>
                <w:szCs w:val="21"/>
              </w:rPr>
            </w:pPr>
            <w:r>
              <w:rPr>
                <w:rFonts w:hint="eastAsia" w:cs="Times New Roman"/>
                <w:sz w:val="21"/>
                <w:szCs w:val="21"/>
              </w:rPr>
              <w:t>约20</w:t>
            </w:r>
          </w:p>
        </w:tc>
      </w:tr>
      <w:tr w14:paraId="5AD79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3FF70F0">
            <w:pPr>
              <w:pStyle w:val="39"/>
              <w:numPr>
                <w:ilvl w:val="0"/>
                <w:numId w:val="7"/>
              </w:numPr>
              <w:spacing w:line="240" w:lineRule="auto"/>
              <w:ind w:firstLineChars="0"/>
              <w:jc w:val="center"/>
              <w:rPr>
                <w:rFonts w:cs="Times New Roman"/>
                <w:sz w:val="21"/>
                <w:szCs w:val="21"/>
              </w:rPr>
            </w:pPr>
          </w:p>
        </w:tc>
        <w:tc>
          <w:tcPr>
            <w:tcW w:w="992" w:type="dxa"/>
            <w:noWrap/>
            <w:vAlign w:val="center"/>
          </w:tcPr>
          <w:p w14:paraId="215F63CB">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5DA2EFE">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6EC8AE9E">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38D5A6D6">
            <w:pPr>
              <w:spacing w:line="240" w:lineRule="auto"/>
              <w:ind w:firstLine="0" w:firstLineChars="0"/>
              <w:jc w:val="center"/>
              <w:rPr>
                <w:rFonts w:cs="Times New Roman"/>
                <w:sz w:val="21"/>
                <w:szCs w:val="21"/>
              </w:rPr>
            </w:pPr>
            <w:r>
              <w:rPr>
                <w:rFonts w:hint="eastAsia" w:cs="Times New Roman"/>
                <w:sz w:val="21"/>
                <w:szCs w:val="21"/>
              </w:rPr>
              <w:t>潘庄村</w:t>
            </w:r>
          </w:p>
        </w:tc>
        <w:tc>
          <w:tcPr>
            <w:tcW w:w="1701" w:type="dxa"/>
            <w:noWrap/>
            <w:vAlign w:val="center"/>
          </w:tcPr>
          <w:p w14:paraId="1BFE4DB1">
            <w:pPr>
              <w:spacing w:line="240" w:lineRule="auto"/>
              <w:ind w:firstLine="0" w:firstLineChars="0"/>
              <w:jc w:val="center"/>
              <w:rPr>
                <w:rFonts w:cs="Times New Roman"/>
                <w:sz w:val="21"/>
                <w:szCs w:val="21"/>
              </w:rPr>
            </w:pPr>
            <w:r>
              <w:rPr>
                <w:rFonts w:hint="eastAsia" w:cs="Times New Roman"/>
                <w:sz w:val="21"/>
                <w:szCs w:val="21"/>
              </w:rPr>
              <w:t>119.308404</w:t>
            </w:r>
          </w:p>
        </w:tc>
        <w:tc>
          <w:tcPr>
            <w:tcW w:w="1690" w:type="dxa"/>
            <w:noWrap/>
            <w:vAlign w:val="center"/>
          </w:tcPr>
          <w:p w14:paraId="20B3A6B2">
            <w:pPr>
              <w:spacing w:line="240" w:lineRule="auto"/>
              <w:ind w:firstLine="0" w:firstLineChars="0"/>
              <w:jc w:val="center"/>
              <w:rPr>
                <w:rFonts w:cs="Times New Roman"/>
                <w:sz w:val="21"/>
                <w:szCs w:val="21"/>
              </w:rPr>
            </w:pPr>
            <w:r>
              <w:rPr>
                <w:rFonts w:hint="eastAsia" w:cs="Times New Roman"/>
                <w:sz w:val="21"/>
                <w:szCs w:val="21"/>
              </w:rPr>
              <w:t>31.860668</w:t>
            </w:r>
          </w:p>
        </w:tc>
        <w:tc>
          <w:tcPr>
            <w:tcW w:w="1080" w:type="dxa"/>
            <w:noWrap/>
            <w:vAlign w:val="center"/>
          </w:tcPr>
          <w:p w14:paraId="5997C7D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909118C">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23F0FBE4">
            <w:pPr>
              <w:spacing w:line="240" w:lineRule="auto"/>
              <w:ind w:firstLine="0" w:firstLineChars="0"/>
              <w:jc w:val="center"/>
              <w:rPr>
                <w:rFonts w:cs="Times New Roman"/>
                <w:sz w:val="21"/>
                <w:szCs w:val="21"/>
              </w:rPr>
            </w:pPr>
            <w:r>
              <w:rPr>
                <w:rFonts w:hint="eastAsia" w:cs="Times New Roman"/>
                <w:sz w:val="21"/>
                <w:szCs w:val="21"/>
              </w:rPr>
              <w:t>1820</w:t>
            </w:r>
          </w:p>
        </w:tc>
        <w:tc>
          <w:tcPr>
            <w:tcW w:w="1168" w:type="dxa"/>
            <w:noWrap/>
            <w:vAlign w:val="center"/>
          </w:tcPr>
          <w:p w14:paraId="5F8D19F6">
            <w:pPr>
              <w:spacing w:line="240" w:lineRule="auto"/>
              <w:ind w:firstLine="0" w:firstLineChars="0"/>
              <w:jc w:val="center"/>
              <w:rPr>
                <w:rFonts w:cs="Times New Roman"/>
                <w:sz w:val="21"/>
                <w:szCs w:val="21"/>
              </w:rPr>
            </w:pPr>
            <w:r>
              <w:rPr>
                <w:rFonts w:hint="eastAsia" w:cs="Times New Roman"/>
                <w:sz w:val="21"/>
                <w:szCs w:val="21"/>
              </w:rPr>
              <w:t>约100</w:t>
            </w:r>
          </w:p>
        </w:tc>
      </w:tr>
      <w:tr w14:paraId="3F3C1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C4CF1F3">
            <w:pPr>
              <w:pStyle w:val="39"/>
              <w:numPr>
                <w:ilvl w:val="0"/>
                <w:numId w:val="7"/>
              </w:numPr>
              <w:spacing w:line="240" w:lineRule="auto"/>
              <w:ind w:firstLineChars="0"/>
              <w:jc w:val="center"/>
              <w:rPr>
                <w:rFonts w:cs="Times New Roman"/>
                <w:sz w:val="21"/>
                <w:szCs w:val="21"/>
              </w:rPr>
            </w:pPr>
          </w:p>
        </w:tc>
        <w:tc>
          <w:tcPr>
            <w:tcW w:w="992" w:type="dxa"/>
            <w:noWrap/>
            <w:vAlign w:val="center"/>
          </w:tcPr>
          <w:p w14:paraId="170F9108">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980E2CF">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2CCB11D1">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1CE21F12">
            <w:pPr>
              <w:spacing w:line="240" w:lineRule="auto"/>
              <w:ind w:firstLine="0" w:firstLineChars="0"/>
              <w:jc w:val="center"/>
              <w:rPr>
                <w:rFonts w:cs="Times New Roman"/>
                <w:sz w:val="21"/>
                <w:szCs w:val="21"/>
              </w:rPr>
            </w:pPr>
            <w:r>
              <w:rPr>
                <w:rFonts w:hint="eastAsia" w:cs="Times New Roman"/>
                <w:sz w:val="21"/>
                <w:szCs w:val="21"/>
              </w:rPr>
              <w:t>顾家棚</w:t>
            </w:r>
          </w:p>
        </w:tc>
        <w:tc>
          <w:tcPr>
            <w:tcW w:w="1701" w:type="dxa"/>
            <w:noWrap/>
            <w:vAlign w:val="center"/>
          </w:tcPr>
          <w:p w14:paraId="1124C9FF">
            <w:pPr>
              <w:spacing w:line="240" w:lineRule="auto"/>
              <w:ind w:firstLine="0" w:firstLineChars="0"/>
              <w:jc w:val="center"/>
              <w:rPr>
                <w:rFonts w:cs="Times New Roman"/>
                <w:sz w:val="21"/>
                <w:szCs w:val="21"/>
              </w:rPr>
            </w:pPr>
            <w:r>
              <w:rPr>
                <w:rFonts w:hint="eastAsia" w:cs="Times New Roman"/>
                <w:sz w:val="21"/>
                <w:szCs w:val="21"/>
              </w:rPr>
              <w:t>119.311718</w:t>
            </w:r>
          </w:p>
        </w:tc>
        <w:tc>
          <w:tcPr>
            <w:tcW w:w="1690" w:type="dxa"/>
            <w:noWrap/>
            <w:vAlign w:val="center"/>
          </w:tcPr>
          <w:p w14:paraId="3E191FAA">
            <w:pPr>
              <w:spacing w:line="240" w:lineRule="auto"/>
              <w:ind w:firstLine="0" w:firstLineChars="0"/>
              <w:jc w:val="center"/>
              <w:rPr>
                <w:rFonts w:cs="Times New Roman"/>
                <w:sz w:val="21"/>
                <w:szCs w:val="21"/>
              </w:rPr>
            </w:pPr>
            <w:r>
              <w:rPr>
                <w:rFonts w:hint="eastAsia" w:cs="Times New Roman"/>
                <w:sz w:val="21"/>
                <w:szCs w:val="21"/>
              </w:rPr>
              <w:t>31.854762</w:t>
            </w:r>
          </w:p>
        </w:tc>
        <w:tc>
          <w:tcPr>
            <w:tcW w:w="1080" w:type="dxa"/>
            <w:noWrap/>
            <w:vAlign w:val="center"/>
          </w:tcPr>
          <w:p w14:paraId="723C03D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53EB820">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1241FF9A">
            <w:pPr>
              <w:spacing w:line="240" w:lineRule="auto"/>
              <w:ind w:firstLine="0" w:firstLineChars="0"/>
              <w:jc w:val="center"/>
              <w:rPr>
                <w:rFonts w:cs="Times New Roman"/>
                <w:sz w:val="21"/>
                <w:szCs w:val="21"/>
              </w:rPr>
            </w:pPr>
            <w:r>
              <w:rPr>
                <w:rFonts w:hint="eastAsia" w:cs="Times New Roman"/>
                <w:sz w:val="21"/>
                <w:szCs w:val="21"/>
              </w:rPr>
              <w:t>1257</w:t>
            </w:r>
          </w:p>
        </w:tc>
        <w:tc>
          <w:tcPr>
            <w:tcW w:w="1168" w:type="dxa"/>
            <w:noWrap/>
            <w:vAlign w:val="center"/>
          </w:tcPr>
          <w:p w14:paraId="00C2C2C2">
            <w:pPr>
              <w:spacing w:line="240" w:lineRule="auto"/>
              <w:ind w:firstLine="0" w:firstLineChars="0"/>
              <w:jc w:val="center"/>
              <w:rPr>
                <w:rFonts w:cs="Times New Roman"/>
                <w:sz w:val="21"/>
                <w:szCs w:val="21"/>
              </w:rPr>
            </w:pPr>
            <w:r>
              <w:rPr>
                <w:rFonts w:hint="eastAsia" w:cs="Times New Roman"/>
                <w:sz w:val="21"/>
                <w:szCs w:val="21"/>
              </w:rPr>
              <w:t>约20</w:t>
            </w:r>
          </w:p>
        </w:tc>
      </w:tr>
      <w:tr w14:paraId="018BF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D6F7AD2">
            <w:pPr>
              <w:pStyle w:val="39"/>
              <w:numPr>
                <w:ilvl w:val="0"/>
                <w:numId w:val="7"/>
              </w:numPr>
              <w:spacing w:line="240" w:lineRule="auto"/>
              <w:ind w:firstLineChars="0"/>
              <w:jc w:val="center"/>
              <w:rPr>
                <w:rFonts w:cs="Times New Roman"/>
                <w:sz w:val="21"/>
                <w:szCs w:val="21"/>
              </w:rPr>
            </w:pPr>
          </w:p>
        </w:tc>
        <w:tc>
          <w:tcPr>
            <w:tcW w:w="992" w:type="dxa"/>
            <w:noWrap/>
            <w:vAlign w:val="center"/>
          </w:tcPr>
          <w:p w14:paraId="022EF422">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185109C3">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3D93D2D9">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22C0E7F9">
            <w:pPr>
              <w:spacing w:line="240" w:lineRule="auto"/>
              <w:ind w:firstLine="0" w:firstLineChars="0"/>
              <w:jc w:val="center"/>
              <w:rPr>
                <w:rFonts w:cs="Times New Roman"/>
                <w:sz w:val="21"/>
                <w:szCs w:val="21"/>
              </w:rPr>
            </w:pPr>
            <w:r>
              <w:rPr>
                <w:rFonts w:hint="eastAsia" w:cs="Times New Roman"/>
                <w:sz w:val="21"/>
                <w:szCs w:val="21"/>
              </w:rPr>
              <w:t>南头</w:t>
            </w:r>
          </w:p>
        </w:tc>
        <w:tc>
          <w:tcPr>
            <w:tcW w:w="1701" w:type="dxa"/>
            <w:noWrap/>
            <w:vAlign w:val="center"/>
          </w:tcPr>
          <w:p w14:paraId="65697E51">
            <w:pPr>
              <w:spacing w:line="240" w:lineRule="auto"/>
              <w:ind w:firstLine="0" w:firstLineChars="0"/>
              <w:jc w:val="center"/>
              <w:rPr>
                <w:rFonts w:cs="Times New Roman"/>
                <w:sz w:val="21"/>
                <w:szCs w:val="21"/>
              </w:rPr>
            </w:pPr>
            <w:r>
              <w:rPr>
                <w:rFonts w:hint="eastAsia" w:cs="Times New Roman"/>
                <w:sz w:val="21"/>
                <w:szCs w:val="21"/>
              </w:rPr>
              <w:t>119.311056</w:t>
            </w:r>
          </w:p>
        </w:tc>
        <w:tc>
          <w:tcPr>
            <w:tcW w:w="1690" w:type="dxa"/>
            <w:noWrap/>
            <w:vAlign w:val="center"/>
          </w:tcPr>
          <w:p w14:paraId="5675FF16">
            <w:pPr>
              <w:spacing w:line="240" w:lineRule="auto"/>
              <w:ind w:firstLine="0" w:firstLineChars="0"/>
              <w:jc w:val="center"/>
              <w:rPr>
                <w:rFonts w:cs="Times New Roman"/>
                <w:sz w:val="21"/>
                <w:szCs w:val="21"/>
              </w:rPr>
            </w:pPr>
            <w:r>
              <w:rPr>
                <w:rFonts w:hint="eastAsia" w:cs="Times New Roman"/>
                <w:sz w:val="21"/>
                <w:szCs w:val="21"/>
              </w:rPr>
              <w:t>31.849286</w:t>
            </w:r>
          </w:p>
        </w:tc>
        <w:tc>
          <w:tcPr>
            <w:tcW w:w="1080" w:type="dxa"/>
            <w:noWrap/>
            <w:vAlign w:val="center"/>
          </w:tcPr>
          <w:p w14:paraId="6258CDE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40AC170">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2E269202">
            <w:pPr>
              <w:spacing w:line="240" w:lineRule="auto"/>
              <w:ind w:firstLine="0" w:firstLineChars="0"/>
              <w:jc w:val="center"/>
              <w:rPr>
                <w:rFonts w:cs="Times New Roman"/>
                <w:sz w:val="21"/>
                <w:szCs w:val="21"/>
              </w:rPr>
            </w:pPr>
            <w:r>
              <w:rPr>
                <w:rFonts w:hint="eastAsia" w:cs="Times New Roman"/>
                <w:sz w:val="21"/>
                <w:szCs w:val="21"/>
              </w:rPr>
              <w:t>1212</w:t>
            </w:r>
          </w:p>
        </w:tc>
        <w:tc>
          <w:tcPr>
            <w:tcW w:w="1168" w:type="dxa"/>
            <w:noWrap/>
            <w:vAlign w:val="center"/>
          </w:tcPr>
          <w:p w14:paraId="52516602">
            <w:pPr>
              <w:spacing w:line="240" w:lineRule="auto"/>
              <w:ind w:firstLine="0" w:firstLineChars="0"/>
              <w:jc w:val="center"/>
              <w:rPr>
                <w:rFonts w:cs="Times New Roman"/>
                <w:sz w:val="21"/>
                <w:szCs w:val="21"/>
              </w:rPr>
            </w:pPr>
            <w:r>
              <w:rPr>
                <w:rFonts w:hint="eastAsia" w:cs="Times New Roman"/>
                <w:sz w:val="21"/>
                <w:szCs w:val="21"/>
              </w:rPr>
              <w:t>约30</w:t>
            </w:r>
          </w:p>
        </w:tc>
      </w:tr>
      <w:tr w14:paraId="56F78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9E36FE8">
            <w:pPr>
              <w:pStyle w:val="39"/>
              <w:numPr>
                <w:ilvl w:val="0"/>
                <w:numId w:val="7"/>
              </w:numPr>
              <w:spacing w:line="240" w:lineRule="auto"/>
              <w:ind w:firstLineChars="0"/>
              <w:jc w:val="center"/>
              <w:rPr>
                <w:rFonts w:cs="Times New Roman"/>
                <w:sz w:val="21"/>
                <w:szCs w:val="21"/>
              </w:rPr>
            </w:pPr>
          </w:p>
        </w:tc>
        <w:tc>
          <w:tcPr>
            <w:tcW w:w="992" w:type="dxa"/>
            <w:noWrap/>
            <w:vAlign w:val="center"/>
          </w:tcPr>
          <w:p w14:paraId="79BF3DDB">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531099E">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77668EA1">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55B62A3C">
            <w:pPr>
              <w:spacing w:line="240" w:lineRule="auto"/>
              <w:ind w:firstLine="0" w:firstLineChars="0"/>
              <w:jc w:val="center"/>
              <w:rPr>
                <w:rFonts w:cs="Times New Roman"/>
                <w:sz w:val="21"/>
                <w:szCs w:val="21"/>
              </w:rPr>
            </w:pPr>
            <w:r>
              <w:rPr>
                <w:rFonts w:hint="eastAsia" w:cs="Times New Roman"/>
                <w:sz w:val="21"/>
                <w:szCs w:val="21"/>
              </w:rPr>
              <w:t>孙家棚</w:t>
            </w:r>
          </w:p>
        </w:tc>
        <w:tc>
          <w:tcPr>
            <w:tcW w:w="1701" w:type="dxa"/>
            <w:noWrap/>
            <w:vAlign w:val="center"/>
          </w:tcPr>
          <w:p w14:paraId="1B59470E">
            <w:pPr>
              <w:spacing w:line="240" w:lineRule="auto"/>
              <w:ind w:firstLine="0" w:firstLineChars="0"/>
              <w:jc w:val="center"/>
              <w:rPr>
                <w:rFonts w:cs="Times New Roman"/>
                <w:sz w:val="21"/>
                <w:szCs w:val="21"/>
              </w:rPr>
            </w:pPr>
            <w:r>
              <w:rPr>
                <w:rFonts w:hint="eastAsia" w:cs="Times New Roman"/>
                <w:sz w:val="21"/>
                <w:szCs w:val="21"/>
              </w:rPr>
              <w:t>119.305324</w:t>
            </w:r>
          </w:p>
        </w:tc>
        <w:tc>
          <w:tcPr>
            <w:tcW w:w="1690" w:type="dxa"/>
            <w:noWrap/>
            <w:vAlign w:val="center"/>
          </w:tcPr>
          <w:p w14:paraId="53C12488">
            <w:pPr>
              <w:spacing w:line="240" w:lineRule="auto"/>
              <w:ind w:firstLine="0" w:firstLineChars="0"/>
              <w:jc w:val="center"/>
              <w:rPr>
                <w:rFonts w:cs="Times New Roman"/>
                <w:sz w:val="21"/>
                <w:szCs w:val="21"/>
              </w:rPr>
            </w:pPr>
            <w:r>
              <w:rPr>
                <w:rFonts w:hint="eastAsia" w:cs="Times New Roman"/>
                <w:sz w:val="21"/>
                <w:szCs w:val="21"/>
              </w:rPr>
              <w:t>31.848253</w:t>
            </w:r>
          </w:p>
        </w:tc>
        <w:tc>
          <w:tcPr>
            <w:tcW w:w="1080" w:type="dxa"/>
            <w:noWrap/>
            <w:vAlign w:val="center"/>
          </w:tcPr>
          <w:p w14:paraId="4B23AD6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C447E66">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734CB8D2">
            <w:pPr>
              <w:spacing w:line="240" w:lineRule="auto"/>
              <w:ind w:firstLine="0" w:firstLineChars="0"/>
              <w:jc w:val="center"/>
              <w:rPr>
                <w:rFonts w:cs="Times New Roman"/>
                <w:sz w:val="21"/>
                <w:szCs w:val="21"/>
              </w:rPr>
            </w:pPr>
            <w:r>
              <w:rPr>
                <w:rFonts w:hint="eastAsia" w:cs="Times New Roman"/>
                <w:sz w:val="21"/>
                <w:szCs w:val="21"/>
              </w:rPr>
              <w:t>1735</w:t>
            </w:r>
          </w:p>
        </w:tc>
        <w:tc>
          <w:tcPr>
            <w:tcW w:w="1168" w:type="dxa"/>
            <w:noWrap/>
            <w:vAlign w:val="center"/>
          </w:tcPr>
          <w:p w14:paraId="49C75255">
            <w:pPr>
              <w:spacing w:line="240" w:lineRule="auto"/>
              <w:ind w:firstLine="0" w:firstLineChars="0"/>
              <w:jc w:val="center"/>
              <w:rPr>
                <w:rFonts w:cs="Times New Roman"/>
                <w:sz w:val="21"/>
                <w:szCs w:val="21"/>
              </w:rPr>
            </w:pPr>
            <w:r>
              <w:rPr>
                <w:rFonts w:hint="eastAsia" w:cs="Times New Roman"/>
                <w:sz w:val="21"/>
                <w:szCs w:val="21"/>
              </w:rPr>
              <w:t>约20</w:t>
            </w:r>
          </w:p>
        </w:tc>
      </w:tr>
      <w:tr w14:paraId="176B3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80B30AB">
            <w:pPr>
              <w:pStyle w:val="39"/>
              <w:numPr>
                <w:ilvl w:val="0"/>
                <w:numId w:val="7"/>
              </w:numPr>
              <w:spacing w:line="240" w:lineRule="auto"/>
              <w:ind w:firstLineChars="0"/>
              <w:jc w:val="center"/>
              <w:rPr>
                <w:rFonts w:cs="Times New Roman"/>
                <w:sz w:val="21"/>
                <w:szCs w:val="21"/>
              </w:rPr>
            </w:pPr>
          </w:p>
        </w:tc>
        <w:tc>
          <w:tcPr>
            <w:tcW w:w="992" w:type="dxa"/>
            <w:noWrap/>
            <w:vAlign w:val="center"/>
          </w:tcPr>
          <w:p w14:paraId="46E90740">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C1B0DA8">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55B25A39">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27BCDC0B">
            <w:pPr>
              <w:spacing w:line="240" w:lineRule="auto"/>
              <w:ind w:firstLine="0" w:firstLineChars="0"/>
              <w:jc w:val="center"/>
              <w:rPr>
                <w:rFonts w:cs="Times New Roman"/>
                <w:sz w:val="21"/>
                <w:szCs w:val="21"/>
              </w:rPr>
            </w:pPr>
            <w:r>
              <w:rPr>
                <w:rFonts w:hint="eastAsia" w:cs="Times New Roman"/>
                <w:sz w:val="21"/>
                <w:szCs w:val="21"/>
              </w:rPr>
              <w:t>施家棚</w:t>
            </w:r>
          </w:p>
        </w:tc>
        <w:tc>
          <w:tcPr>
            <w:tcW w:w="1701" w:type="dxa"/>
            <w:noWrap/>
            <w:vAlign w:val="center"/>
          </w:tcPr>
          <w:p w14:paraId="7306F2C7">
            <w:pPr>
              <w:spacing w:line="240" w:lineRule="auto"/>
              <w:ind w:firstLine="0" w:firstLineChars="0"/>
              <w:jc w:val="center"/>
              <w:rPr>
                <w:rFonts w:cs="Times New Roman"/>
                <w:sz w:val="21"/>
                <w:szCs w:val="21"/>
              </w:rPr>
            </w:pPr>
            <w:r>
              <w:rPr>
                <w:rFonts w:hint="eastAsia" w:cs="Times New Roman"/>
                <w:sz w:val="21"/>
                <w:szCs w:val="21"/>
              </w:rPr>
              <w:t>119.308107</w:t>
            </w:r>
          </w:p>
        </w:tc>
        <w:tc>
          <w:tcPr>
            <w:tcW w:w="1690" w:type="dxa"/>
            <w:noWrap/>
            <w:vAlign w:val="center"/>
          </w:tcPr>
          <w:p w14:paraId="7F22B04F">
            <w:pPr>
              <w:spacing w:line="240" w:lineRule="auto"/>
              <w:ind w:firstLine="0" w:firstLineChars="0"/>
              <w:jc w:val="center"/>
              <w:rPr>
                <w:rFonts w:cs="Times New Roman"/>
                <w:sz w:val="21"/>
                <w:szCs w:val="21"/>
              </w:rPr>
            </w:pPr>
            <w:r>
              <w:rPr>
                <w:rFonts w:hint="eastAsia" w:cs="Times New Roman"/>
                <w:sz w:val="21"/>
                <w:szCs w:val="21"/>
              </w:rPr>
              <w:t>31.838461</w:t>
            </w:r>
          </w:p>
        </w:tc>
        <w:tc>
          <w:tcPr>
            <w:tcW w:w="1080" w:type="dxa"/>
            <w:noWrap/>
            <w:vAlign w:val="center"/>
          </w:tcPr>
          <w:p w14:paraId="7460E5D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64BBA61">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52ABC2AC">
            <w:pPr>
              <w:spacing w:line="240" w:lineRule="auto"/>
              <w:ind w:firstLine="0" w:firstLineChars="0"/>
              <w:jc w:val="center"/>
              <w:rPr>
                <w:rFonts w:cs="Times New Roman"/>
                <w:sz w:val="21"/>
                <w:szCs w:val="21"/>
              </w:rPr>
            </w:pPr>
            <w:r>
              <w:rPr>
                <w:rFonts w:hint="eastAsia" w:cs="Times New Roman"/>
                <w:sz w:val="21"/>
                <w:szCs w:val="21"/>
              </w:rPr>
              <w:t>1294</w:t>
            </w:r>
          </w:p>
        </w:tc>
        <w:tc>
          <w:tcPr>
            <w:tcW w:w="1168" w:type="dxa"/>
            <w:noWrap/>
            <w:vAlign w:val="center"/>
          </w:tcPr>
          <w:p w14:paraId="14363454">
            <w:pPr>
              <w:spacing w:line="240" w:lineRule="auto"/>
              <w:ind w:firstLine="0" w:firstLineChars="0"/>
              <w:jc w:val="center"/>
              <w:rPr>
                <w:rFonts w:cs="Times New Roman"/>
                <w:sz w:val="21"/>
                <w:szCs w:val="21"/>
              </w:rPr>
            </w:pPr>
            <w:r>
              <w:rPr>
                <w:rFonts w:hint="eastAsia" w:cs="Times New Roman"/>
                <w:sz w:val="21"/>
                <w:szCs w:val="21"/>
              </w:rPr>
              <w:t>约20</w:t>
            </w:r>
          </w:p>
        </w:tc>
      </w:tr>
      <w:tr w14:paraId="4578C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6E5436D">
            <w:pPr>
              <w:pStyle w:val="39"/>
              <w:numPr>
                <w:ilvl w:val="0"/>
                <w:numId w:val="7"/>
              </w:numPr>
              <w:spacing w:line="240" w:lineRule="auto"/>
              <w:ind w:firstLineChars="0"/>
              <w:jc w:val="center"/>
              <w:rPr>
                <w:rFonts w:cs="Times New Roman"/>
                <w:sz w:val="21"/>
                <w:szCs w:val="21"/>
              </w:rPr>
            </w:pPr>
          </w:p>
        </w:tc>
        <w:tc>
          <w:tcPr>
            <w:tcW w:w="992" w:type="dxa"/>
            <w:noWrap/>
            <w:vAlign w:val="center"/>
          </w:tcPr>
          <w:p w14:paraId="6BCA0156">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21C50CF4">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1280D8E9">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2DF48E0A">
            <w:pPr>
              <w:spacing w:line="240" w:lineRule="auto"/>
              <w:ind w:firstLine="0" w:firstLineChars="0"/>
              <w:jc w:val="center"/>
              <w:rPr>
                <w:rFonts w:cs="Times New Roman"/>
                <w:sz w:val="21"/>
                <w:szCs w:val="21"/>
              </w:rPr>
            </w:pPr>
            <w:r>
              <w:rPr>
                <w:rFonts w:hint="eastAsia" w:cs="Times New Roman"/>
                <w:sz w:val="21"/>
                <w:szCs w:val="21"/>
              </w:rPr>
              <w:t>烂石岗</w:t>
            </w:r>
          </w:p>
        </w:tc>
        <w:tc>
          <w:tcPr>
            <w:tcW w:w="1701" w:type="dxa"/>
            <w:noWrap/>
            <w:vAlign w:val="center"/>
          </w:tcPr>
          <w:p w14:paraId="766B9D95">
            <w:pPr>
              <w:spacing w:line="240" w:lineRule="auto"/>
              <w:ind w:firstLine="0" w:firstLineChars="0"/>
              <w:jc w:val="center"/>
              <w:rPr>
                <w:rFonts w:cs="Times New Roman"/>
                <w:sz w:val="21"/>
                <w:szCs w:val="21"/>
              </w:rPr>
            </w:pPr>
            <w:r>
              <w:rPr>
                <w:rFonts w:hint="eastAsia" w:cs="Times New Roman"/>
                <w:sz w:val="21"/>
                <w:szCs w:val="21"/>
              </w:rPr>
              <w:t>119.306152</w:t>
            </w:r>
          </w:p>
        </w:tc>
        <w:tc>
          <w:tcPr>
            <w:tcW w:w="1690" w:type="dxa"/>
            <w:noWrap/>
            <w:vAlign w:val="center"/>
          </w:tcPr>
          <w:p w14:paraId="61D8D5CC">
            <w:pPr>
              <w:spacing w:line="240" w:lineRule="auto"/>
              <w:ind w:firstLine="0" w:firstLineChars="0"/>
              <w:jc w:val="center"/>
              <w:rPr>
                <w:rFonts w:cs="Times New Roman"/>
                <w:sz w:val="21"/>
                <w:szCs w:val="21"/>
              </w:rPr>
            </w:pPr>
            <w:r>
              <w:rPr>
                <w:rFonts w:hint="eastAsia" w:cs="Times New Roman"/>
                <w:sz w:val="21"/>
                <w:szCs w:val="21"/>
              </w:rPr>
              <w:t>31.835476</w:t>
            </w:r>
          </w:p>
        </w:tc>
        <w:tc>
          <w:tcPr>
            <w:tcW w:w="1080" w:type="dxa"/>
            <w:noWrap/>
            <w:vAlign w:val="center"/>
          </w:tcPr>
          <w:p w14:paraId="0AD80BC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B3B5D54">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4FBAAB26">
            <w:pPr>
              <w:spacing w:line="240" w:lineRule="auto"/>
              <w:ind w:firstLine="0" w:firstLineChars="0"/>
              <w:jc w:val="center"/>
              <w:rPr>
                <w:rFonts w:cs="Times New Roman"/>
                <w:sz w:val="21"/>
                <w:szCs w:val="21"/>
              </w:rPr>
            </w:pPr>
            <w:r>
              <w:rPr>
                <w:rFonts w:hint="eastAsia" w:cs="Times New Roman"/>
                <w:sz w:val="21"/>
                <w:szCs w:val="21"/>
              </w:rPr>
              <w:t>1241</w:t>
            </w:r>
          </w:p>
        </w:tc>
        <w:tc>
          <w:tcPr>
            <w:tcW w:w="1168" w:type="dxa"/>
            <w:noWrap/>
            <w:vAlign w:val="center"/>
          </w:tcPr>
          <w:p w14:paraId="793F6615">
            <w:pPr>
              <w:spacing w:line="240" w:lineRule="auto"/>
              <w:ind w:firstLine="0" w:firstLineChars="0"/>
              <w:jc w:val="center"/>
              <w:rPr>
                <w:rFonts w:cs="Times New Roman"/>
                <w:sz w:val="21"/>
                <w:szCs w:val="21"/>
              </w:rPr>
            </w:pPr>
            <w:r>
              <w:rPr>
                <w:rFonts w:hint="eastAsia" w:cs="Times New Roman"/>
                <w:sz w:val="21"/>
                <w:szCs w:val="21"/>
              </w:rPr>
              <w:t>约20</w:t>
            </w:r>
          </w:p>
        </w:tc>
      </w:tr>
      <w:tr w14:paraId="05232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EF6D27B">
            <w:pPr>
              <w:pStyle w:val="39"/>
              <w:numPr>
                <w:ilvl w:val="0"/>
                <w:numId w:val="7"/>
              </w:numPr>
              <w:spacing w:line="240" w:lineRule="auto"/>
              <w:ind w:firstLineChars="0"/>
              <w:jc w:val="center"/>
              <w:rPr>
                <w:rFonts w:cs="Times New Roman"/>
                <w:sz w:val="21"/>
                <w:szCs w:val="21"/>
              </w:rPr>
            </w:pPr>
          </w:p>
        </w:tc>
        <w:tc>
          <w:tcPr>
            <w:tcW w:w="992" w:type="dxa"/>
            <w:noWrap/>
            <w:vAlign w:val="center"/>
          </w:tcPr>
          <w:p w14:paraId="0456A325">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0ECE040">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6B7F70CB">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163AA9CE">
            <w:pPr>
              <w:spacing w:line="240" w:lineRule="auto"/>
              <w:ind w:firstLine="0" w:firstLineChars="0"/>
              <w:jc w:val="center"/>
              <w:rPr>
                <w:rFonts w:cs="Times New Roman"/>
                <w:sz w:val="21"/>
                <w:szCs w:val="21"/>
              </w:rPr>
            </w:pPr>
            <w:r>
              <w:rPr>
                <w:rFonts w:hint="eastAsia" w:cs="Times New Roman"/>
                <w:sz w:val="21"/>
                <w:szCs w:val="21"/>
              </w:rPr>
              <w:t>汇金半岛溪岸</w:t>
            </w:r>
          </w:p>
        </w:tc>
        <w:tc>
          <w:tcPr>
            <w:tcW w:w="1701" w:type="dxa"/>
            <w:noWrap/>
            <w:vAlign w:val="center"/>
          </w:tcPr>
          <w:p w14:paraId="666B26CA">
            <w:pPr>
              <w:spacing w:line="240" w:lineRule="auto"/>
              <w:ind w:firstLine="0" w:firstLineChars="0"/>
              <w:jc w:val="center"/>
              <w:rPr>
                <w:rFonts w:cs="Times New Roman"/>
                <w:sz w:val="21"/>
                <w:szCs w:val="21"/>
              </w:rPr>
            </w:pPr>
            <w:r>
              <w:rPr>
                <w:rFonts w:hint="eastAsia" w:cs="Times New Roman"/>
                <w:sz w:val="21"/>
                <w:szCs w:val="21"/>
              </w:rPr>
              <w:t>119.307423</w:t>
            </w:r>
          </w:p>
        </w:tc>
        <w:tc>
          <w:tcPr>
            <w:tcW w:w="1690" w:type="dxa"/>
            <w:noWrap/>
            <w:vAlign w:val="center"/>
          </w:tcPr>
          <w:p w14:paraId="03B670F6">
            <w:pPr>
              <w:spacing w:line="240" w:lineRule="auto"/>
              <w:ind w:firstLine="0" w:firstLineChars="0"/>
              <w:jc w:val="center"/>
              <w:rPr>
                <w:rFonts w:cs="Times New Roman"/>
                <w:sz w:val="21"/>
                <w:szCs w:val="21"/>
              </w:rPr>
            </w:pPr>
            <w:r>
              <w:rPr>
                <w:rFonts w:hint="eastAsia" w:cs="Times New Roman"/>
                <w:sz w:val="21"/>
                <w:szCs w:val="21"/>
              </w:rPr>
              <w:t>31.831173</w:t>
            </w:r>
          </w:p>
        </w:tc>
        <w:tc>
          <w:tcPr>
            <w:tcW w:w="1080" w:type="dxa"/>
            <w:noWrap/>
            <w:vAlign w:val="center"/>
          </w:tcPr>
          <w:p w14:paraId="77E26AB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5A48BC4">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689E87F1">
            <w:pPr>
              <w:spacing w:line="240" w:lineRule="auto"/>
              <w:ind w:firstLine="0" w:firstLineChars="0"/>
              <w:jc w:val="center"/>
              <w:rPr>
                <w:rFonts w:cs="Times New Roman"/>
                <w:sz w:val="21"/>
                <w:szCs w:val="21"/>
              </w:rPr>
            </w:pPr>
            <w:r>
              <w:rPr>
                <w:rFonts w:hint="eastAsia" w:cs="Times New Roman"/>
                <w:sz w:val="21"/>
                <w:szCs w:val="21"/>
              </w:rPr>
              <w:t>862</w:t>
            </w:r>
          </w:p>
        </w:tc>
        <w:tc>
          <w:tcPr>
            <w:tcW w:w="1168" w:type="dxa"/>
            <w:noWrap/>
            <w:vAlign w:val="center"/>
          </w:tcPr>
          <w:p w14:paraId="67A8F64C">
            <w:pPr>
              <w:spacing w:line="240" w:lineRule="auto"/>
              <w:ind w:firstLine="0" w:firstLineChars="0"/>
              <w:jc w:val="center"/>
              <w:rPr>
                <w:rFonts w:cs="Times New Roman"/>
                <w:sz w:val="21"/>
                <w:szCs w:val="21"/>
              </w:rPr>
            </w:pPr>
            <w:r>
              <w:rPr>
                <w:rFonts w:hint="eastAsia" w:cs="Times New Roman"/>
                <w:sz w:val="21"/>
                <w:szCs w:val="21"/>
              </w:rPr>
              <w:t>约100</w:t>
            </w:r>
          </w:p>
        </w:tc>
      </w:tr>
      <w:tr w14:paraId="1AB21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14D6815">
            <w:pPr>
              <w:pStyle w:val="39"/>
              <w:numPr>
                <w:ilvl w:val="0"/>
                <w:numId w:val="7"/>
              </w:numPr>
              <w:spacing w:line="240" w:lineRule="auto"/>
              <w:ind w:firstLineChars="0"/>
              <w:jc w:val="center"/>
              <w:rPr>
                <w:rFonts w:cs="Times New Roman"/>
                <w:sz w:val="21"/>
                <w:szCs w:val="21"/>
              </w:rPr>
            </w:pPr>
          </w:p>
        </w:tc>
        <w:tc>
          <w:tcPr>
            <w:tcW w:w="992" w:type="dxa"/>
            <w:noWrap/>
            <w:vAlign w:val="center"/>
          </w:tcPr>
          <w:p w14:paraId="5FFAE2E8">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5DBAD85">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58401B02">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4797B802">
            <w:pPr>
              <w:spacing w:line="240" w:lineRule="auto"/>
              <w:ind w:firstLine="0" w:firstLineChars="0"/>
              <w:jc w:val="center"/>
              <w:rPr>
                <w:rFonts w:cs="Times New Roman"/>
                <w:sz w:val="21"/>
                <w:szCs w:val="21"/>
              </w:rPr>
            </w:pPr>
            <w:r>
              <w:rPr>
                <w:rFonts w:hint="eastAsia" w:cs="Times New Roman"/>
                <w:sz w:val="21"/>
                <w:szCs w:val="21"/>
              </w:rPr>
              <w:t>王家棚</w:t>
            </w:r>
          </w:p>
        </w:tc>
        <w:tc>
          <w:tcPr>
            <w:tcW w:w="1701" w:type="dxa"/>
            <w:noWrap/>
            <w:vAlign w:val="center"/>
          </w:tcPr>
          <w:p w14:paraId="2F323421">
            <w:pPr>
              <w:spacing w:line="240" w:lineRule="auto"/>
              <w:ind w:firstLine="0" w:firstLineChars="0"/>
              <w:jc w:val="center"/>
              <w:rPr>
                <w:rFonts w:cs="Times New Roman"/>
                <w:sz w:val="21"/>
                <w:szCs w:val="21"/>
              </w:rPr>
            </w:pPr>
            <w:r>
              <w:rPr>
                <w:rFonts w:hint="eastAsia" w:cs="Times New Roman"/>
                <w:sz w:val="21"/>
                <w:szCs w:val="21"/>
              </w:rPr>
              <w:t>119.29705</w:t>
            </w:r>
          </w:p>
        </w:tc>
        <w:tc>
          <w:tcPr>
            <w:tcW w:w="1690" w:type="dxa"/>
            <w:noWrap/>
            <w:vAlign w:val="center"/>
          </w:tcPr>
          <w:p w14:paraId="3AF714C5">
            <w:pPr>
              <w:spacing w:line="240" w:lineRule="auto"/>
              <w:ind w:firstLine="0" w:firstLineChars="0"/>
              <w:jc w:val="center"/>
              <w:rPr>
                <w:rFonts w:cs="Times New Roman"/>
                <w:sz w:val="21"/>
                <w:szCs w:val="21"/>
              </w:rPr>
            </w:pPr>
            <w:r>
              <w:rPr>
                <w:rFonts w:hint="eastAsia" w:cs="Times New Roman"/>
                <w:sz w:val="21"/>
                <w:szCs w:val="21"/>
              </w:rPr>
              <w:t>31.839835</w:t>
            </w:r>
          </w:p>
        </w:tc>
        <w:tc>
          <w:tcPr>
            <w:tcW w:w="1080" w:type="dxa"/>
            <w:noWrap/>
            <w:vAlign w:val="center"/>
          </w:tcPr>
          <w:p w14:paraId="43FAFCB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358CEA2">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33482844">
            <w:pPr>
              <w:spacing w:line="240" w:lineRule="auto"/>
              <w:ind w:firstLine="0" w:firstLineChars="0"/>
              <w:jc w:val="center"/>
              <w:rPr>
                <w:rFonts w:cs="Times New Roman"/>
                <w:sz w:val="21"/>
                <w:szCs w:val="21"/>
              </w:rPr>
            </w:pPr>
            <w:r>
              <w:rPr>
                <w:rFonts w:hint="eastAsia" w:cs="Times New Roman"/>
                <w:sz w:val="21"/>
                <w:szCs w:val="21"/>
              </w:rPr>
              <w:t>2131</w:t>
            </w:r>
          </w:p>
        </w:tc>
        <w:tc>
          <w:tcPr>
            <w:tcW w:w="1168" w:type="dxa"/>
            <w:noWrap/>
            <w:vAlign w:val="center"/>
          </w:tcPr>
          <w:p w14:paraId="4B50ED2D">
            <w:pPr>
              <w:spacing w:line="240" w:lineRule="auto"/>
              <w:ind w:firstLine="0" w:firstLineChars="0"/>
              <w:jc w:val="center"/>
              <w:rPr>
                <w:rFonts w:cs="Times New Roman"/>
                <w:sz w:val="21"/>
                <w:szCs w:val="21"/>
              </w:rPr>
            </w:pPr>
            <w:r>
              <w:rPr>
                <w:rFonts w:hint="eastAsia" w:cs="Times New Roman"/>
                <w:sz w:val="21"/>
                <w:szCs w:val="21"/>
              </w:rPr>
              <w:t>约30</w:t>
            </w:r>
          </w:p>
        </w:tc>
      </w:tr>
      <w:tr w14:paraId="2F40F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541822F">
            <w:pPr>
              <w:pStyle w:val="39"/>
              <w:numPr>
                <w:ilvl w:val="0"/>
                <w:numId w:val="7"/>
              </w:numPr>
              <w:spacing w:line="240" w:lineRule="auto"/>
              <w:ind w:firstLineChars="0"/>
              <w:jc w:val="center"/>
              <w:rPr>
                <w:rFonts w:cs="Times New Roman"/>
                <w:sz w:val="21"/>
                <w:szCs w:val="21"/>
              </w:rPr>
            </w:pPr>
          </w:p>
        </w:tc>
        <w:tc>
          <w:tcPr>
            <w:tcW w:w="992" w:type="dxa"/>
            <w:noWrap/>
            <w:vAlign w:val="center"/>
          </w:tcPr>
          <w:p w14:paraId="66D3E271">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13B98D9B">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0A9B3553">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7F10400A">
            <w:pPr>
              <w:spacing w:line="240" w:lineRule="auto"/>
              <w:ind w:firstLine="0" w:firstLineChars="0"/>
              <w:jc w:val="center"/>
              <w:rPr>
                <w:rFonts w:cs="Times New Roman"/>
                <w:sz w:val="21"/>
                <w:szCs w:val="21"/>
              </w:rPr>
            </w:pPr>
            <w:r>
              <w:rPr>
                <w:rFonts w:hint="eastAsia" w:cs="Times New Roman"/>
                <w:sz w:val="21"/>
                <w:szCs w:val="21"/>
              </w:rPr>
              <w:t>陈岗</w:t>
            </w:r>
          </w:p>
        </w:tc>
        <w:tc>
          <w:tcPr>
            <w:tcW w:w="1701" w:type="dxa"/>
            <w:noWrap/>
            <w:vAlign w:val="center"/>
          </w:tcPr>
          <w:p w14:paraId="05F4F069">
            <w:pPr>
              <w:spacing w:line="240" w:lineRule="auto"/>
              <w:ind w:firstLine="0" w:firstLineChars="0"/>
              <w:jc w:val="center"/>
              <w:rPr>
                <w:rFonts w:cs="Times New Roman"/>
                <w:sz w:val="21"/>
                <w:szCs w:val="21"/>
              </w:rPr>
            </w:pPr>
            <w:r>
              <w:rPr>
                <w:rFonts w:hint="eastAsia" w:cs="Times New Roman"/>
                <w:sz w:val="21"/>
                <w:szCs w:val="21"/>
              </w:rPr>
              <w:t>119.292544</w:t>
            </w:r>
          </w:p>
        </w:tc>
        <w:tc>
          <w:tcPr>
            <w:tcW w:w="1690" w:type="dxa"/>
            <w:noWrap/>
            <w:vAlign w:val="center"/>
          </w:tcPr>
          <w:p w14:paraId="65C3C496">
            <w:pPr>
              <w:spacing w:line="240" w:lineRule="auto"/>
              <w:ind w:firstLine="0" w:firstLineChars="0"/>
              <w:jc w:val="center"/>
              <w:rPr>
                <w:rFonts w:cs="Times New Roman"/>
                <w:sz w:val="21"/>
                <w:szCs w:val="21"/>
              </w:rPr>
            </w:pPr>
            <w:r>
              <w:rPr>
                <w:rFonts w:hint="eastAsia" w:cs="Times New Roman"/>
                <w:sz w:val="21"/>
                <w:szCs w:val="21"/>
              </w:rPr>
              <w:t>31.832374</w:t>
            </w:r>
          </w:p>
        </w:tc>
        <w:tc>
          <w:tcPr>
            <w:tcW w:w="1080" w:type="dxa"/>
            <w:noWrap/>
            <w:vAlign w:val="center"/>
          </w:tcPr>
          <w:p w14:paraId="12F46B7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62224ED">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1EFC6B5A">
            <w:pPr>
              <w:spacing w:line="240" w:lineRule="auto"/>
              <w:ind w:firstLine="0" w:firstLineChars="0"/>
              <w:jc w:val="center"/>
              <w:rPr>
                <w:rFonts w:cs="Times New Roman"/>
                <w:sz w:val="21"/>
                <w:szCs w:val="21"/>
              </w:rPr>
            </w:pPr>
            <w:r>
              <w:rPr>
                <w:rFonts w:hint="eastAsia" w:cs="Times New Roman"/>
                <w:sz w:val="21"/>
                <w:szCs w:val="21"/>
              </w:rPr>
              <w:t>2302</w:t>
            </w:r>
          </w:p>
        </w:tc>
        <w:tc>
          <w:tcPr>
            <w:tcW w:w="1168" w:type="dxa"/>
            <w:noWrap/>
            <w:vAlign w:val="center"/>
          </w:tcPr>
          <w:p w14:paraId="6D007911">
            <w:pPr>
              <w:spacing w:line="240" w:lineRule="auto"/>
              <w:ind w:firstLine="0" w:firstLineChars="0"/>
              <w:jc w:val="center"/>
              <w:rPr>
                <w:rFonts w:cs="Times New Roman"/>
                <w:sz w:val="21"/>
                <w:szCs w:val="21"/>
              </w:rPr>
            </w:pPr>
            <w:r>
              <w:rPr>
                <w:rFonts w:hint="eastAsia" w:cs="Times New Roman"/>
                <w:sz w:val="21"/>
                <w:szCs w:val="21"/>
              </w:rPr>
              <w:t>约20</w:t>
            </w:r>
          </w:p>
        </w:tc>
      </w:tr>
      <w:tr w14:paraId="0C0F1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A9365DD">
            <w:pPr>
              <w:pStyle w:val="39"/>
              <w:numPr>
                <w:ilvl w:val="0"/>
                <w:numId w:val="7"/>
              </w:numPr>
              <w:spacing w:line="240" w:lineRule="auto"/>
              <w:ind w:firstLineChars="0"/>
              <w:jc w:val="center"/>
              <w:rPr>
                <w:rFonts w:cs="Times New Roman"/>
                <w:sz w:val="21"/>
                <w:szCs w:val="21"/>
              </w:rPr>
            </w:pPr>
          </w:p>
        </w:tc>
        <w:tc>
          <w:tcPr>
            <w:tcW w:w="992" w:type="dxa"/>
            <w:noWrap/>
            <w:vAlign w:val="center"/>
          </w:tcPr>
          <w:p w14:paraId="06E876AE">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4EA23F82">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59D7C64B">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417D5714">
            <w:pPr>
              <w:spacing w:line="240" w:lineRule="auto"/>
              <w:ind w:firstLine="0" w:firstLineChars="0"/>
              <w:jc w:val="center"/>
              <w:rPr>
                <w:rFonts w:cs="Times New Roman"/>
                <w:sz w:val="21"/>
                <w:szCs w:val="21"/>
              </w:rPr>
            </w:pPr>
            <w:r>
              <w:rPr>
                <w:rFonts w:hint="eastAsia" w:cs="Times New Roman"/>
                <w:sz w:val="21"/>
                <w:szCs w:val="21"/>
              </w:rPr>
              <w:t>茅山风景区玉晨养老院</w:t>
            </w:r>
          </w:p>
        </w:tc>
        <w:tc>
          <w:tcPr>
            <w:tcW w:w="1701" w:type="dxa"/>
            <w:noWrap/>
            <w:vAlign w:val="center"/>
          </w:tcPr>
          <w:p w14:paraId="799D51D5">
            <w:pPr>
              <w:spacing w:line="240" w:lineRule="auto"/>
              <w:ind w:firstLine="0" w:firstLineChars="0"/>
              <w:jc w:val="center"/>
              <w:rPr>
                <w:rFonts w:cs="Times New Roman"/>
                <w:sz w:val="21"/>
                <w:szCs w:val="21"/>
              </w:rPr>
            </w:pPr>
            <w:r>
              <w:rPr>
                <w:rFonts w:hint="eastAsia" w:cs="Times New Roman"/>
                <w:sz w:val="21"/>
                <w:szCs w:val="21"/>
              </w:rPr>
              <w:t>119.290628</w:t>
            </w:r>
          </w:p>
        </w:tc>
        <w:tc>
          <w:tcPr>
            <w:tcW w:w="1690" w:type="dxa"/>
            <w:noWrap/>
            <w:vAlign w:val="center"/>
          </w:tcPr>
          <w:p w14:paraId="0799316A">
            <w:pPr>
              <w:spacing w:line="240" w:lineRule="auto"/>
              <w:ind w:firstLine="0" w:firstLineChars="0"/>
              <w:jc w:val="center"/>
              <w:rPr>
                <w:rFonts w:cs="Times New Roman"/>
                <w:sz w:val="21"/>
                <w:szCs w:val="21"/>
              </w:rPr>
            </w:pPr>
            <w:r>
              <w:rPr>
                <w:rFonts w:hint="eastAsia" w:cs="Times New Roman"/>
                <w:sz w:val="21"/>
                <w:szCs w:val="21"/>
              </w:rPr>
              <w:t>31.831495</w:t>
            </w:r>
          </w:p>
        </w:tc>
        <w:tc>
          <w:tcPr>
            <w:tcW w:w="1080" w:type="dxa"/>
            <w:noWrap/>
            <w:vAlign w:val="center"/>
          </w:tcPr>
          <w:p w14:paraId="567605E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1F18E62">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2705A372">
            <w:pPr>
              <w:spacing w:line="240" w:lineRule="auto"/>
              <w:ind w:firstLine="0" w:firstLineChars="0"/>
              <w:jc w:val="center"/>
              <w:rPr>
                <w:rFonts w:cs="Times New Roman"/>
                <w:sz w:val="21"/>
                <w:szCs w:val="21"/>
              </w:rPr>
            </w:pPr>
            <w:r>
              <w:rPr>
                <w:rFonts w:hint="eastAsia" w:cs="Times New Roman"/>
                <w:sz w:val="21"/>
                <w:szCs w:val="21"/>
              </w:rPr>
              <w:t>2448</w:t>
            </w:r>
          </w:p>
        </w:tc>
        <w:tc>
          <w:tcPr>
            <w:tcW w:w="1168" w:type="dxa"/>
            <w:noWrap/>
            <w:vAlign w:val="center"/>
          </w:tcPr>
          <w:p w14:paraId="5BEB3CDC">
            <w:pPr>
              <w:spacing w:line="240" w:lineRule="auto"/>
              <w:ind w:firstLine="0" w:firstLineChars="0"/>
              <w:jc w:val="center"/>
              <w:rPr>
                <w:rFonts w:cs="Times New Roman"/>
                <w:sz w:val="21"/>
                <w:szCs w:val="21"/>
              </w:rPr>
            </w:pPr>
            <w:r>
              <w:rPr>
                <w:rFonts w:hint="eastAsia" w:cs="Times New Roman"/>
                <w:sz w:val="21"/>
                <w:szCs w:val="21"/>
              </w:rPr>
              <w:t>约30</w:t>
            </w:r>
          </w:p>
        </w:tc>
      </w:tr>
      <w:tr w14:paraId="535E2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D7CD480">
            <w:pPr>
              <w:pStyle w:val="39"/>
              <w:numPr>
                <w:ilvl w:val="0"/>
                <w:numId w:val="7"/>
              </w:numPr>
              <w:spacing w:line="240" w:lineRule="auto"/>
              <w:ind w:firstLineChars="0"/>
              <w:jc w:val="center"/>
              <w:rPr>
                <w:rFonts w:cs="Times New Roman"/>
                <w:sz w:val="21"/>
                <w:szCs w:val="21"/>
              </w:rPr>
            </w:pPr>
          </w:p>
        </w:tc>
        <w:tc>
          <w:tcPr>
            <w:tcW w:w="992" w:type="dxa"/>
            <w:noWrap/>
            <w:vAlign w:val="center"/>
          </w:tcPr>
          <w:p w14:paraId="168A3185">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26A62E48">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2EE96F05">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199E42A2">
            <w:pPr>
              <w:spacing w:line="240" w:lineRule="auto"/>
              <w:ind w:firstLine="0" w:firstLineChars="0"/>
              <w:jc w:val="center"/>
              <w:rPr>
                <w:rFonts w:cs="Times New Roman"/>
                <w:sz w:val="21"/>
                <w:szCs w:val="21"/>
              </w:rPr>
            </w:pPr>
            <w:r>
              <w:rPr>
                <w:rFonts w:hint="eastAsia" w:cs="Times New Roman"/>
                <w:sz w:val="21"/>
                <w:szCs w:val="21"/>
              </w:rPr>
              <w:t>玉晨村</w:t>
            </w:r>
          </w:p>
        </w:tc>
        <w:tc>
          <w:tcPr>
            <w:tcW w:w="1701" w:type="dxa"/>
            <w:noWrap/>
            <w:vAlign w:val="center"/>
          </w:tcPr>
          <w:p w14:paraId="7E2ED013">
            <w:pPr>
              <w:spacing w:line="240" w:lineRule="auto"/>
              <w:ind w:firstLine="0" w:firstLineChars="0"/>
              <w:jc w:val="center"/>
              <w:rPr>
                <w:rFonts w:cs="Times New Roman"/>
                <w:sz w:val="21"/>
                <w:szCs w:val="21"/>
              </w:rPr>
            </w:pPr>
            <w:r>
              <w:rPr>
                <w:rFonts w:hint="eastAsia" w:cs="Times New Roman"/>
                <w:sz w:val="21"/>
                <w:szCs w:val="21"/>
              </w:rPr>
              <w:t>119.292378</w:t>
            </w:r>
          </w:p>
        </w:tc>
        <w:tc>
          <w:tcPr>
            <w:tcW w:w="1690" w:type="dxa"/>
            <w:noWrap/>
            <w:vAlign w:val="center"/>
          </w:tcPr>
          <w:p w14:paraId="3C0DA744">
            <w:pPr>
              <w:spacing w:line="240" w:lineRule="auto"/>
              <w:ind w:firstLine="0" w:firstLineChars="0"/>
              <w:jc w:val="center"/>
              <w:rPr>
                <w:rFonts w:cs="Times New Roman"/>
                <w:sz w:val="21"/>
                <w:szCs w:val="21"/>
              </w:rPr>
            </w:pPr>
            <w:r>
              <w:rPr>
                <w:rFonts w:hint="eastAsia" w:cs="Times New Roman"/>
                <w:sz w:val="21"/>
                <w:szCs w:val="21"/>
              </w:rPr>
              <w:t>31.829744</w:t>
            </w:r>
          </w:p>
        </w:tc>
        <w:tc>
          <w:tcPr>
            <w:tcW w:w="1080" w:type="dxa"/>
            <w:noWrap/>
            <w:vAlign w:val="center"/>
          </w:tcPr>
          <w:p w14:paraId="72EE63D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01382B9">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75D562BB">
            <w:pPr>
              <w:spacing w:line="240" w:lineRule="auto"/>
              <w:ind w:firstLine="0" w:firstLineChars="0"/>
              <w:jc w:val="center"/>
              <w:rPr>
                <w:rFonts w:cs="Times New Roman"/>
                <w:sz w:val="21"/>
                <w:szCs w:val="21"/>
              </w:rPr>
            </w:pPr>
            <w:r>
              <w:rPr>
                <w:rFonts w:hint="eastAsia" w:cs="Times New Roman"/>
                <w:sz w:val="21"/>
                <w:szCs w:val="21"/>
              </w:rPr>
              <w:t>2165</w:t>
            </w:r>
          </w:p>
        </w:tc>
        <w:tc>
          <w:tcPr>
            <w:tcW w:w="1168" w:type="dxa"/>
            <w:noWrap/>
            <w:vAlign w:val="center"/>
          </w:tcPr>
          <w:p w14:paraId="1E44CE14">
            <w:pPr>
              <w:spacing w:line="240" w:lineRule="auto"/>
              <w:ind w:firstLine="0" w:firstLineChars="0"/>
              <w:jc w:val="center"/>
              <w:rPr>
                <w:rFonts w:cs="Times New Roman"/>
                <w:sz w:val="21"/>
                <w:szCs w:val="21"/>
              </w:rPr>
            </w:pPr>
            <w:r>
              <w:rPr>
                <w:rFonts w:hint="eastAsia" w:cs="Times New Roman"/>
                <w:sz w:val="21"/>
                <w:szCs w:val="21"/>
              </w:rPr>
              <w:t>约50</w:t>
            </w:r>
          </w:p>
        </w:tc>
      </w:tr>
      <w:tr w14:paraId="594D8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6BEBC97">
            <w:pPr>
              <w:pStyle w:val="39"/>
              <w:numPr>
                <w:ilvl w:val="0"/>
                <w:numId w:val="7"/>
              </w:numPr>
              <w:spacing w:line="240" w:lineRule="auto"/>
              <w:ind w:firstLineChars="0"/>
              <w:jc w:val="center"/>
              <w:rPr>
                <w:rFonts w:cs="Times New Roman"/>
                <w:sz w:val="21"/>
                <w:szCs w:val="21"/>
              </w:rPr>
            </w:pPr>
          </w:p>
        </w:tc>
        <w:tc>
          <w:tcPr>
            <w:tcW w:w="992" w:type="dxa"/>
            <w:noWrap/>
            <w:vAlign w:val="center"/>
          </w:tcPr>
          <w:p w14:paraId="3C96A1ED">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52BA15B2">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51B78CE1">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6FB0CE09">
            <w:pPr>
              <w:spacing w:line="240" w:lineRule="auto"/>
              <w:ind w:firstLine="0" w:firstLineChars="0"/>
              <w:jc w:val="center"/>
              <w:rPr>
                <w:rFonts w:cs="Times New Roman"/>
                <w:sz w:val="21"/>
                <w:szCs w:val="21"/>
              </w:rPr>
            </w:pPr>
            <w:r>
              <w:rPr>
                <w:rFonts w:hint="eastAsia" w:cs="Times New Roman"/>
                <w:sz w:val="21"/>
                <w:szCs w:val="21"/>
              </w:rPr>
              <w:t>北镇街</w:t>
            </w:r>
          </w:p>
        </w:tc>
        <w:tc>
          <w:tcPr>
            <w:tcW w:w="1701" w:type="dxa"/>
            <w:noWrap/>
            <w:vAlign w:val="center"/>
          </w:tcPr>
          <w:p w14:paraId="00823DCC">
            <w:pPr>
              <w:spacing w:line="240" w:lineRule="auto"/>
              <w:ind w:firstLine="0" w:firstLineChars="0"/>
              <w:jc w:val="center"/>
              <w:rPr>
                <w:rFonts w:cs="Times New Roman"/>
                <w:sz w:val="21"/>
                <w:szCs w:val="21"/>
              </w:rPr>
            </w:pPr>
            <w:r>
              <w:rPr>
                <w:rFonts w:hint="eastAsia" w:cs="Times New Roman"/>
                <w:sz w:val="21"/>
                <w:szCs w:val="21"/>
              </w:rPr>
              <w:t>119.299062</w:t>
            </w:r>
          </w:p>
        </w:tc>
        <w:tc>
          <w:tcPr>
            <w:tcW w:w="1690" w:type="dxa"/>
            <w:noWrap/>
            <w:vAlign w:val="center"/>
          </w:tcPr>
          <w:p w14:paraId="4611F37E">
            <w:pPr>
              <w:spacing w:line="240" w:lineRule="auto"/>
              <w:ind w:firstLine="0" w:firstLineChars="0"/>
              <w:jc w:val="center"/>
              <w:rPr>
                <w:rFonts w:cs="Times New Roman"/>
                <w:sz w:val="21"/>
                <w:szCs w:val="21"/>
              </w:rPr>
            </w:pPr>
            <w:r>
              <w:rPr>
                <w:rFonts w:hint="eastAsia" w:cs="Times New Roman"/>
                <w:sz w:val="21"/>
                <w:szCs w:val="21"/>
              </w:rPr>
              <w:t>31.832754</w:t>
            </w:r>
          </w:p>
        </w:tc>
        <w:tc>
          <w:tcPr>
            <w:tcW w:w="1080" w:type="dxa"/>
            <w:noWrap/>
            <w:vAlign w:val="center"/>
          </w:tcPr>
          <w:p w14:paraId="7F3BEEC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EA3340C">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724884DD">
            <w:pPr>
              <w:spacing w:line="240" w:lineRule="auto"/>
              <w:ind w:firstLine="0" w:firstLineChars="0"/>
              <w:jc w:val="center"/>
              <w:rPr>
                <w:rFonts w:cs="Times New Roman"/>
                <w:sz w:val="21"/>
                <w:szCs w:val="21"/>
              </w:rPr>
            </w:pPr>
            <w:r>
              <w:rPr>
                <w:rFonts w:hint="eastAsia" w:cs="Times New Roman"/>
                <w:sz w:val="21"/>
                <w:szCs w:val="21"/>
              </w:rPr>
              <w:t>1528</w:t>
            </w:r>
          </w:p>
        </w:tc>
        <w:tc>
          <w:tcPr>
            <w:tcW w:w="1168" w:type="dxa"/>
            <w:noWrap/>
            <w:vAlign w:val="center"/>
          </w:tcPr>
          <w:p w14:paraId="4076EAD8">
            <w:pPr>
              <w:spacing w:line="240" w:lineRule="auto"/>
              <w:ind w:firstLine="0" w:firstLineChars="0"/>
              <w:jc w:val="center"/>
              <w:rPr>
                <w:rFonts w:cs="Times New Roman"/>
                <w:sz w:val="21"/>
                <w:szCs w:val="21"/>
              </w:rPr>
            </w:pPr>
            <w:r>
              <w:rPr>
                <w:rFonts w:hint="eastAsia" w:cs="Times New Roman"/>
                <w:sz w:val="21"/>
                <w:szCs w:val="21"/>
              </w:rPr>
              <w:t>约150</w:t>
            </w:r>
          </w:p>
        </w:tc>
      </w:tr>
      <w:tr w14:paraId="21C47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2301B02">
            <w:pPr>
              <w:pStyle w:val="39"/>
              <w:numPr>
                <w:ilvl w:val="0"/>
                <w:numId w:val="7"/>
              </w:numPr>
              <w:spacing w:line="240" w:lineRule="auto"/>
              <w:ind w:firstLineChars="0"/>
              <w:jc w:val="center"/>
              <w:rPr>
                <w:rFonts w:cs="Times New Roman"/>
                <w:sz w:val="21"/>
                <w:szCs w:val="21"/>
              </w:rPr>
            </w:pPr>
          </w:p>
        </w:tc>
        <w:tc>
          <w:tcPr>
            <w:tcW w:w="992" w:type="dxa"/>
            <w:noWrap/>
            <w:vAlign w:val="center"/>
          </w:tcPr>
          <w:p w14:paraId="08471F0F">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9505973">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5E23C92F">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7B09CA57">
            <w:pPr>
              <w:spacing w:line="240" w:lineRule="auto"/>
              <w:ind w:firstLine="0" w:firstLineChars="0"/>
              <w:jc w:val="center"/>
              <w:rPr>
                <w:rFonts w:cs="Times New Roman"/>
                <w:sz w:val="21"/>
                <w:szCs w:val="21"/>
              </w:rPr>
            </w:pPr>
            <w:r>
              <w:rPr>
                <w:rFonts w:hint="eastAsia" w:cs="Times New Roman"/>
                <w:sz w:val="21"/>
                <w:szCs w:val="21"/>
              </w:rPr>
              <w:t>上袁</w:t>
            </w:r>
          </w:p>
        </w:tc>
        <w:tc>
          <w:tcPr>
            <w:tcW w:w="1701" w:type="dxa"/>
            <w:noWrap/>
            <w:vAlign w:val="center"/>
          </w:tcPr>
          <w:p w14:paraId="2CEE6E36">
            <w:pPr>
              <w:spacing w:line="240" w:lineRule="auto"/>
              <w:ind w:firstLine="0" w:firstLineChars="0"/>
              <w:jc w:val="center"/>
              <w:rPr>
                <w:rFonts w:cs="Times New Roman"/>
                <w:sz w:val="21"/>
                <w:szCs w:val="21"/>
              </w:rPr>
            </w:pPr>
            <w:r>
              <w:rPr>
                <w:rFonts w:hint="eastAsia" w:cs="Times New Roman"/>
                <w:sz w:val="21"/>
                <w:szCs w:val="21"/>
              </w:rPr>
              <w:t>119.289721</w:t>
            </w:r>
          </w:p>
        </w:tc>
        <w:tc>
          <w:tcPr>
            <w:tcW w:w="1690" w:type="dxa"/>
            <w:noWrap/>
            <w:vAlign w:val="center"/>
          </w:tcPr>
          <w:p w14:paraId="7C18DA04">
            <w:pPr>
              <w:spacing w:line="240" w:lineRule="auto"/>
              <w:ind w:firstLine="0" w:firstLineChars="0"/>
              <w:jc w:val="center"/>
              <w:rPr>
                <w:rFonts w:cs="Times New Roman"/>
                <w:sz w:val="21"/>
                <w:szCs w:val="21"/>
              </w:rPr>
            </w:pPr>
            <w:r>
              <w:rPr>
                <w:rFonts w:hint="eastAsia" w:cs="Times New Roman"/>
                <w:sz w:val="21"/>
                <w:szCs w:val="21"/>
              </w:rPr>
              <w:t>31.827683</w:t>
            </w:r>
          </w:p>
        </w:tc>
        <w:tc>
          <w:tcPr>
            <w:tcW w:w="1080" w:type="dxa"/>
            <w:noWrap/>
            <w:vAlign w:val="center"/>
          </w:tcPr>
          <w:p w14:paraId="755679C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72ED396">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61FCBA6B">
            <w:pPr>
              <w:spacing w:line="240" w:lineRule="auto"/>
              <w:ind w:firstLine="0" w:firstLineChars="0"/>
              <w:jc w:val="center"/>
              <w:rPr>
                <w:rFonts w:cs="Times New Roman"/>
                <w:sz w:val="21"/>
                <w:szCs w:val="21"/>
              </w:rPr>
            </w:pPr>
            <w:r>
              <w:rPr>
                <w:rFonts w:hint="eastAsia" w:cs="Times New Roman"/>
                <w:sz w:val="21"/>
                <w:szCs w:val="21"/>
              </w:rPr>
              <w:t>2205</w:t>
            </w:r>
          </w:p>
        </w:tc>
        <w:tc>
          <w:tcPr>
            <w:tcW w:w="1168" w:type="dxa"/>
            <w:noWrap/>
            <w:vAlign w:val="center"/>
          </w:tcPr>
          <w:p w14:paraId="61108C18">
            <w:pPr>
              <w:spacing w:line="240" w:lineRule="auto"/>
              <w:ind w:firstLine="0" w:firstLineChars="0"/>
              <w:jc w:val="center"/>
              <w:rPr>
                <w:rFonts w:cs="Times New Roman"/>
                <w:sz w:val="21"/>
                <w:szCs w:val="21"/>
              </w:rPr>
            </w:pPr>
            <w:r>
              <w:rPr>
                <w:rFonts w:hint="eastAsia" w:cs="Times New Roman"/>
                <w:sz w:val="21"/>
                <w:szCs w:val="21"/>
              </w:rPr>
              <w:t>约80</w:t>
            </w:r>
          </w:p>
        </w:tc>
      </w:tr>
      <w:tr w14:paraId="1C894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6D1D7FD">
            <w:pPr>
              <w:pStyle w:val="39"/>
              <w:numPr>
                <w:ilvl w:val="0"/>
                <w:numId w:val="7"/>
              </w:numPr>
              <w:spacing w:line="240" w:lineRule="auto"/>
              <w:ind w:firstLineChars="0"/>
              <w:jc w:val="center"/>
              <w:rPr>
                <w:rFonts w:cs="Times New Roman"/>
                <w:sz w:val="21"/>
                <w:szCs w:val="21"/>
              </w:rPr>
            </w:pPr>
          </w:p>
        </w:tc>
        <w:tc>
          <w:tcPr>
            <w:tcW w:w="992" w:type="dxa"/>
            <w:noWrap/>
            <w:vAlign w:val="center"/>
          </w:tcPr>
          <w:p w14:paraId="10C69EEC">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4F175DD">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4A20F131">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138AE7E7">
            <w:pPr>
              <w:spacing w:line="240" w:lineRule="auto"/>
              <w:ind w:firstLine="0" w:firstLineChars="0"/>
              <w:jc w:val="center"/>
              <w:rPr>
                <w:rFonts w:cs="Times New Roman"/>
                <w:sz w:val="21"/>
                <w:szCs w:val="21"/>
              </w:rPr>
            </w:pPr>
            <w:r>
              <w:rPr>
                <w:rFonts w:hint="eastAsia" w:cs="Times New Roman"/>
                <w:sz w:val="21"/>
                <w:szCs w:val="21"/>
              </w:rPr>
              <w:t>三茅峰</w:t>
            </w:r>
          </w:p>
        </w:tc>
        <w:tc>
          <w:tcPr>
            <w:tcW w:w="1701" w:type="dxa"/>
            <w:noWrap/>
            <w:vAlign w:val="center"/>
          </w:tcPr>
          <w:p w14:paraId="12180024">
            <w:pPr>
              <w:spacing w:line="240" w:lineRule="auto"/>
              <w:ind w:firstLine="0" w:firstLineChars="0"/>
              <w:jc w:val="center"/>
              <w:rPr>
                <w:rFonts w:cs="Times New Roman"/>
                <w:sz w:val="21"/>
                <w:szCs w:val="21"/>
              </w:rPr>
            </w:pPr>
            <w:r>
              <w:rPr>
                <w:rFonts w:hint="eastAsia" w:cs="Times New Roman"/>
                <w:sz w:val="21"/>
                <w:szCs w:val="21"/>
              </w:rPr>
              <w:t>119.296558</w:t>
            </w:r>
          </w:p>
        </w:tc>
        <w:tc>
          <w:tcPr>
            <w:tcW w:w="1690" w:type="dxa"/>
            <w:noWrap/>
            <w:vAlign w:val="center"/>
          </w:tcPr>
          <w:p w14:paraId="3600D75C">
            <w:pPr>
              <w:spacing w:line="240" w:lineRule="auto"/>
              <w:ind w:firstLine="0" w:firstLineChars="0"/>
              <w:jc w:val="center"/>
              <w:rPr>
                <w:rFonts w:cs="Times New Roman"/>
                <w:sz w:val="21"/>
                <w:szCs w:val="21"/>
              </w:rPr>
            </w:pPr>
            <w:r>
              <w:rPr>
                <w:rFonts w:hint="eastAsia" w:cs="Times New Roman"/>
                <w:sz w:val="21"/>
                <w:szCs w:val="21"/>
              </w:rPr>
              <w:t>31.822997</w:t>
            </w:r>
          </w:p>
        </w:tc>
        <w:tc>
          <w:tcPr>
            <w:tcW w:w="1080" w:type="dxa"/>
            <w:noWrap/>
            <w:vAlign w:val="center"/>
          </w:tcPr>
          <w:p w14:paraId="3D06753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4F0E9E2">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69D95BEF">
            <w:pPr>
              <w:spacing w:line="240" w:lineRule="auto"/>
              <w:ind w:firstLine="0" w:firstLineChars="0"/>
              <w:jc w:val="center"/>
              <w:rPr>
                <w:rFonts w:cs="Times New Roman"/>
                <w:sz w:val="21"/>
                <w:szCs w:val="21"/>
              </w:rPr>
            </w:pPr>
            <w:r>
              <w:rPr>
                <w:rFonts w:hint="eastAsia" w:cs="Times New Roman"/>
                <w:sz w:val="21"/>
                <w:szCs w:val="21"/>
              </w:rPr>
              <w:t>1556</w:t>
            </w:r>
          </w:p>
        </w:tc>
        <w:tc>
          <w:tcPr>
            <w:tcW w:w="1168" w:type="dxa"/>
            <w:noWrap/>
            <w:vAlign w:val="center"/>
          </w:tcPr>
          <w:p w14:paraId="5D6807D5">
            <w:pPr>
              <w:spacing w:line="240" w:lineRule="auto"/>
              <w:ind w:firstLine="0" w:firstLineChars="0"/>
              <w:jc w:val="center"/>
              <w:rPr>
                <w:rFonts w:cs="Times New Roman"/>
                <w:sz w:val="21"/>
                <w:szCs w:val="21"/>
              </w:rPr>
            </w:pPr>
            <w:r>
              <w:rPr>
                <w:rFonts w:hint="eastAsia" w:cs="Times New Roman"/>
                <w:sz w:val="21"/>
                <w:szCs w:val="21"/>
              </w:rPr>
              <w:t>约100</w:t>
            </w:r>
          </w:p>
        </w:tc>
      </w:tr>
      <w:tr w14:paraId="58CC2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7A6200D">
            <w:pPr>
              <w:pStyle w:val="39"/>
              <w:numPr>
                <w:ilvl w:val="0"/>
                <w:numId w:val="7"/>
              </w:numPr>
              <w:spacing w:line="240" w:lineRule="auto"/>
              <w:ind w:firstLineChars="0"/>
              <w:jc w:val="center"/>
              <w:rPr>
                <w:rFonts w:cs="Times New Roman"/>
                <w:sz w:val="21"/>
                <w:szCs w:val="21"/>
              </w:rPr>
            </w:pPr>
          </w:p>
        </w:tc>
        <w:tc>
          <w:tcPr>
            <w:tcW w:w="992" w:type="dxa"/>
            <w:noWrap/>
            <w:vAlign w:val="center"/>
          </w:tcPr>
          <w:p w14:paraId="3BABF939">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2FD9BB72">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1E899882">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0F399F8D">
            <w:pPr>
              <w:spacing w:line="240" w:lineRule="auto"/>
              <w:ind w:firstLine="0" w:firstLineChars="0"/>
              <w:jc w:val="center"/>
              <w:rPr>
                <w:rFonts w:cs="Times New Roman"/>
                <w:sz w:val="21"/>
                <w:szCs w:val="21"/>
              </w:rPr>
            </w:pPr>
            <w:r>
              <w:rPr>
                <w:rFonts w:hint="eastAsia" w:cs="Times New Roman"/>
                <w:sz w:val="21"/>
                <w:szCs w:val="21"/>
              </w:rPr>
              <w:t>下袁</w:t>
            </w:r>
          </w:p>
        </w:tc>
        <w:tc>
          <w:tcPr>
            <w:tcW w:w="1701" w:type="dxa"/>
            <w:noWrap/>
            <w:vAlign w:val="center"/>
          </w:tcPr>
          <w:p w14:paraId="757C0CE4">
            <w:pPr>
              <w:spacing w:line="240" w:lineRule="auto"/>
              <w:ind w:firstLine="0" w:firstLineChars="0"/>
              <w:jc w:val="center"/>
              <w:rPr>
                <w:rFonts w:cs="Times New Roman"/>
                <w:sz w:val="21"/>
                <w:szCs w:val="21"/>
              </w:rPr>
            </w:pPr>
            <w:r>
              <w:rPr>
                <w:rFonts w:hint="eastAsia" w:cs="Times New Roman"/>
                <w:sz w:val="21"/>
                <w:szCs w:val="21"/>
              </w:rPr>
              <w:t>119.284234</w:t>
            </w:r>
          </w:p>
        </w:tc>
        <w:tc>
          <w:tcPr>
            <w:tcW w:w="1690" w:type="dxa"/>
            <w:noWrap/>
            <w:vAlign w:val="center"/>
          </w:tcPr>
          <w:p w14:paraId="077185F7">
            <w:pPr>
              <w:spacing w:line="240" w:lineRule="auto"/>
              <w:ind w:firstLine="0" w:firstLineChars="0"/>
              <w:jc w:val="center"/>
              <w:rPr>
                <w:rFonts w:cs="Times New Roman"/>
                <w:sz w:val="21"/>
                <w:szCs w:val="21"/>
              </w:rPr>
            </w:pPr>
            <w:r>
              <w:rPr>
                <w:rFonts w:hint="eastAsia" w:cs="Times New Roman"/>
                <w:sz w:val="21"/>
                <w:szCs w:val="21"/>
              </w:rPr>
              <w:t>31.819938</w:t>
            </w:r>
          </w:p>
        </w:tc>
        <w:tc>
          <w:tcPr>
            <w:tcW w:w="1080" w:type="dxa"/>
            <w:noWrap/>
            <w:vAlign w:val="center"/>
          </w:tcPr>
          <w:p w14:paraId="49E7E2E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7B326E9">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7BB2EB01">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51036AA3">
            <w:pPr>
              <w:spacing w:line="240" w:lineRule="auto"/>
              <w:ind w:firstLine="0" w:firstLineChars="0"/>
              <w:jc w:val="center"/>
              <w:rPr>
                <w:rFonts w:cs="Times New Roman"/>
                <w:sz w:val="21"/>
                <w:szCs w:val="21"/>
              </w:rPr>
            </w:pPr>
            <w:r>
              <w:rPr>
                <w:rFonts w:hint="eastAsia" w:cs="Times New Roman"/>
                <w:sz w:val="21"/>
                <w:szCs w:val="21"/>
              </w:rPr>
              <w:t>约10</w:t>
            </w:r>
          </w:p>
        </w:tc>
      </w:tr>
      <w:tr w14:paraId="08FDC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BD39535">
            <w:pPr>
              <w:pStyle w:val="39"/>
              <w:numPr>
                <w:ilvl w:val="0"/>
                <w:numId w:val="7"/>
              </w:numPr>
              <w:spacing w:line="240" w:lineRule="auto"/>
              <w:ind w:firstLineChars="0"/>
              <w:jc w:val="center"/>
              <w:rPr>
                <w:rFonts w:cs="Times New Roman"/>
                <w:sz w:val="21"/>
                <w:szCs w:val="21"/>
              </w:rPr>
            </w:pPr>
          </w:p>
        </w:tc>
        <w:tc>
          <w:tcPr>
            <w:tcW w:w="992" w:type="dxa"/>
            <w:noWrap/>
            <w:vAlign w:val="center"/>
          </w:tcPr>
          <w:p w14:paraId="15965FCF">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7EB93C2B">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5FC8CBD3">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14D7B07B">
            <w:pPr>
              <w:spacing w:line="240" w:lineRule="auto"/>
              <w:ind w:firstLine="0" w:firstLineChars="0"/>
              <w:jc w:val="center"/>
              <w:rPr>
                <w:rFonts w:cs="Times New Roman"/>
                <w:sz w:val="21"/>
                <w:szCs w:val="21"/>
              </w:rPr>
            </w:pPr>
            <w:r>
              <w:rPr>
                <w:rFonts w:hint="eastAsia" w:cs="Times New Roman"/>
                <w:sz w:val="21"/>
                <w:szCs w:val="21"/>
              </w:rPr>
              <w:t>茅山湾壹号</w:t>
            </w:r>
          </w:p>
        </w:tc>
        <w:tc>
          <w:tcPr>
            <w:tcW w:w="1701" w:type="dxa"/>
            <w:noWrap/>
            <w:vAlign w:val="center"/>
          </w:tcPr>
          <w:p w14:paraId="62B73ADD">
            <w:pPr>
              <w:spacing w:line="240" w:lineRule="auto"/>
              <w:ind w:firstLine="0" w:firstLineChars="0"/>
              <w:jc w:val="center"/>
              <w:rPr>
                <w:rFonts w:cs="Times New Roman"/>
                <w:sz w:val="21"/>
                <w:szCs w:val="21"/>
              </w:rPr>
            </w:pPr>
            <w:r>
              <w:rPr>
                <w:rFonts w:hint="eastAsia" w:cs="Times New Roman"/>
                <w:sz w:val="21"/>
                <w:szCs w:val="21"/>
              </w:rPr>
              <w:t>119.283839</w:t>
            </w:r>
          </w:p>
        </w:tc>
        <w:tc>
          <w:tcPr>
            <w:tcW w:w="1690" w:type="dxa"/>
            <w:noWrap/>
            <w:vAlign w:val="center"/>
          </w:tcPr>
          <w:p w14:paraId="19A0E751">
            <w:pPr>
              <w:spacing w:line="240" w:lineRule="auto"/>
              <w:ind w:firstLine="0" w:firstLineChars="0"/>
              <w:jc w:val="center"/>
              <w:rPr>
                <w:rFonts w:cs="Times New Roman"/>
                <w:sz w:val="21"/>
                <w:szCs w:val="21"/>
              </w:rPr>
            </w:pPr>
            <w:r>
              <w:rPr>
                <w:rFonts w:hint="eastAsia" w:cs="Times New Roman"/>
                <w:sz w:val="21"/>
                <w:szCs w:val="21"/>
              </w:rPr>
              <w:t>31.816339</w:t>
            </w:r>
          </w:p>
        </w:tc>
        <w:tc>
          <w:tcPr>
            <w:tcW w:w="1080" w:type="dxa"/>
            <w:noWrap/>
            <w:vAlign w:val="center"/>
          </w:tcPr>
          <w:p w14:paraId="5236BF8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D41A22C">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4EB9313D">
            <w:pPr>
              <w:spacing w:line="240" w:lineRule="auto"/>
              <w:ind w:firstLine="0" w:firstLineChars="0"/>
              <w:jc w:val="center"/>
              <w:rPr>
                <w:rFonts w:cs="Times New Roman"/>
                <w:sz w:val="21"/>
                <w:szCs w:val="21"/>
              </w:rPr>
            </w:pPr>
            <w:r>
              <w:rPr>
                <w:rFonts w:hint="eastAsia" w:cs="Times New Roman"/>
                <w:sz w:val="21"/>
                <w:szCs w:val="21"/>
              </w:rPr>
              <w:t>2432</w:t>
            </w:r>
          </w:p>
        </w:tc>
        <w:tc>
          <w:tcPr>
            <w:tcW w:w="1168" w:type="dxa"/>
            <w:noWrap/>
            <w:vAlign w:val="center"/>
          </w:tcPr>
          <w:p w14:paraId="4426B283">
            <w:pPr>
              <w:spacing w:line="240" w:lineRule="auto"/>
              <w:ind w:firstLine="0" w:firstLineChars="0"/>
              <w:jc w:val="center"/>
              <w:rPr>
                <w:rFonts w:cs="Times New Roman"/>
                <w:sz w:val="21"/>
                <w:szCs w:val="21"/>
              </w:rPr>
            </w:pPr>
            <w:r>
              <w:rPr>
                <w:rFonts w:hint="eastAsia" w:cs="Times New Roman"/>
                <w:sz w:val="21"/>
                <w:szCs w:val="21"/>
              </w:rPr>
              <w:t>约150</w:t>
            </w:r>
          </w:p>
        </w:tc>
      </w:tr>
      <w:tr w14:paraId="62C02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D717873">
            <w:pPr>
              <w:pStyle w:val="39"/>
              <w:numPr>
                <w:ilvl w:val="0"/>
                <w:numId w:val="7"/>
              </w:numPr>
              <w:spacing w:line="240" w:lineRule="auto"/>
              <w:ind w:firstLineChars="0"/>
              <w:jc w:val="center"/>
              <w:rPr>
                <w:rFonts w:cs="Times New Roman"/>
                <w:sz w:val="21"/>
                <w:szCs w:val="21"/>
              </w:rPr>
            </w:pPr>
          </w:p>
        </w:tc>
        <w:tc>
          <w:tcPr>
            <w:tcW w:w="992" w:type="dxa"/>
            <w:noWrap/>
            <w:vAlign w:val="center"/>
          </w:tcPr>
          <w:p w14:paraId="4574F090">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F3E1886">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7ECDF612">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75A18031">
            <w:pPr>
              <w:spacing w:line="240" w:lineRule="auto"/>
              <w:ind w:firstLine="0" w:firstLineChars="0"/>
              <w:jc w:val="center"/>
              <w:rPr>
                <w:rFonts w:cs="Times New Roman"/>
                <w:sz w:val="21"/>
                <w:szCs w:val="21"/>
              </w:rPr>
            </w:pPr>
            <w:r>
              <w:rPr>
                <w:rFonts w:hint="eastAsia" w:cs="Times New Roman"/>
                <w:sz w:val="21"/>
                <w:szCs w:val="21"/>
              </w:rPr>
              <w:t>鸿德紫谷</w:t>
            </w:r>
          </w:p>
        </w:tc>
        <w:tc>
          <w:tcPr>
            <w:tcW w:w="1701" w:type="dxa"/>
            <w:noWrap/>
            <w:vAlign w:val="center"/>
          </w:tcPr>
          <w:p w14:paraId="5369B695">
            <w:pPr>
              <w:spacing w:line="240" w:lineRule="auto"/>
              <w:ind w:firstLine="0" w:firstLineChars="0"/>
              <w:jc w:val="center"/>
              <w:rPr>
                <w:rFonts w:cs="Times New Roman"/>
                <w:sz w:val="21"/>
                <w:szCs w:val="21"/>
              </w:rPr>
            </w:pPr>
            <w:r>
              <w:rPr>
                <w:rFonts w:hint="eastAsia" w:cs="Times New Roman"/>
                <w:sz w:val="21"/>
                <w:szCs w:val="21"/>
              </w:rPr>
              <w:t>119.29394</w:t>
            </w:r>
          </w:p>
        </w:tc>
        <w:tc>
          <w:tcPr>
            <w:tcW w:w="1690" w:type="dxa"/>
            <w:noWrap/>
            <w:vAlign w:val="center"/>
          </w:tcPr>
          <w:p w14:paraId="764C4F60">
            <w:pPr>
              <w:spacing w:line="240" w:lineRule="auto"/>
              <w:ind w:firstLine="0" w:firstLineChars="0"/>
              <w:jc w:val="center"/>
              <w:rPr>
                <w:rFonts w:cs="Times New Roman"/>
                <w:sz w:val="21"/>
                <w:szCs w:val="21"/>
              </w:rPr>
            </w:pPr>
            <w:r>
              <w:rPr>
                <w:rFonts w:hint="eastAsia" w:cs="Times New Roman"/>
                <w:sz w:val="21"/>
                <w:szCs w:val="21"/>
              </w:rPr>
              <w:t>31.814715</w:t>
            </w:r>
          </w:p>
        </w:tc>
        <w:tc>
          <w:tcPr>
            <w:tcW w:w="1080" w:type="dxa"/>
            <w:noWrap/>
            <w:vAlign w:val="center"/>
          </w:tcPr>
          <w:p w14:paraId="6987303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7FABC98">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318A197A">
            <w:pPr>
              <w:spacing w:line="240" w:lineRule="auto"/>
              <w:ind w:firstLine="0" w:firstLineChars="0"/>
              <w:jc w:val="center"/>
              <w:rPr>
                <w:rFonts w:cs="Times New Roman"/>
                <w:sz w:val="21"/>
                <w:szCs w:val="21"/>
              </w:rPr>
            </w:pPr>
            <w:r>
              <w:rPr>
                <w:rFonts w:hint="eastAsia" w:cs="Times New Roman"/>
                <w:sz w:val="21"/>
                <w:szCs w:val="21"/>
              </w:rPr>
              <w:t>1519</w:t>
            </w:r>
          </w:p>
        </w:tc>
        <w:tc>
          <w:tcPr>
            <w:tcW w:w="1168" w:type="dxa"/>
            <w:noWrap/>
            <w:vAlign w:val="center"/>
          </w:tcPr>
          <w:p w14:paraId="5476D068">
            <w:pPr>
              <w:spacing w:line="240" w:lineRule="auto"/>
              <w:ind w:firstLine="0" w:firstLineChars="0"/>
              <w:jc w:val="center"/>
              <w:rPr>
                <w:rFonts w:cs="Times New Roman"/>
                <w:sz w:val="21"/>
                <w:szCs w:val="21"/>
              </w:rPr>
            </w:pPr>
            <w:r>
              <w:rPr>
                <w:rFonts w:hint="eastAsia" w:cs="Times New Roman"/>
                <w:sz w:val="21"/>
                <w:szCs w:val="21"/>
              </w:rPr>
              <w:t>约100</w:t>
            </w:r>
          </w:p>
        </w:tc>
      </w:tr>
      <w:tr w14:paraId="679E9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008498A">
            <w:pPr>
              <w:pStyle w:val="39"/>
              <w:numPr>
                <w:ilvl w:val="0"/>
                <w:numId w:val="7"/>
              </w:numPr>
              <w:spacing w:line="240" w:lineRule="auto"/>
              <w:ind w:firstLineChars="0"/>
              <w:jc w:val="center"/>
              <w:rPr>
                <w:rFonts w:cs="Times New Roman"/>
                <w:sz w:val="21"/>
                <w:szCs w:val="21"/>
              </w:rPr>
            </w:pPr>
          </w:p>
        </w:tc>
        <w:tc>
          <w:tcPr>
            <w:tcW w:w="992" w:type="dxa"/>
            <w:noWrap/>
            <w:vAlign w:val="center"/>
          </w:tcPr>
          <w:p w14:paraId="2584F079">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4C8EF267">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6CB0E810">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4BE94137">
            <w:pPr>
              <w:spacing w:line="240" w:lineRule="auto"/>
              <w:ind w:firstLine="0" w:firstLineChars="0"/>
              <w:jc w:val="center"/>
              <w:rPr>
                <w:rFonts w:cs="Times New Roman"/>
                <w:sz w:val="21"/>
                <w:szCs w:val="21"/>
              </w:rPr>
            </w:pPr>
            <w:r>
              <w:rPr>
                <w:rFonts w:hint="eastAsia" w:cs="Times New Roman"/>
                <w:sz w:val="21"/>
                <w:szCs w:val="21"/>
              </w:rPr>
              <w:t>西园</w:t>
            </w:r>
          </w:p>
        </w:tc>
        <w:tc>
          <w:tcPr>
            <w:tcW w:w="1701" w:type="dxa"/>
            <w:noWrap/>
            <w:vAlign w:val="center"/>
          </w:tcPr>
          <w:p w14:paraId="37EB471B">
            <w:pPr>
              <w:spacing w:line="240" w:lineRule="auto"/>
              <w:ind w:firstLine="0" w:firstLineChars="0"/>
              <w:jc w:val="center"/>
              <w:rPr>
                <w:rFonts w:cs="Times New Roman"/>
                <w:sz w:val="21"/>
                <w:szCs w:val="21"/>
              </w:rPr>
            </w:pPr>
            <w:r>
              <w:rPr>
                <w:rFonts w:hint="eastAsia" w:cs="Times New Roman"/>
                <w:sz w:val="21"/>
                <w:szCs w:val="21"/>
              </w:rPr>
              <w:t>119.295819</w:t>
            </w:r>
          </w:p>
        </w:tc>
        <w:tc>
          <w:tcPr>
            <w:tcW w:w="1690" w:type="dxa"/>
            <w:noWrap/>
            <w:vAlign w:val="center"/>
          </w:tcPr>
          <w:p w14:paraId="5995232B">
            <w:pPr>
              <w:spacing w:line="240" w:lineRule="auto"/>
              <w:ind w:firstLine="0" w:firstLineChars="0"/>
              <w:jc w:val="center"/>
              <w:rPr>
                <w:rFonts w:cs="Times New Roman"/>
                <w:sz w:val="21"/>
                <w:szCs w:val="21"/>
              </w:rPr>
            </w:pPr>
            <w:r>
              <w:rPr>
                <w:rFonts w:hint="eastAsia" w:cs="Times New Roman"/>
                <w:sz w:val="21"/>
                <w:szCs w:val="21"/>
              </w:rPr>
              <w:t>31.800005</w:t>
            </w:r>
          </w:p>
        </w:tc>
        <w:tc>
          <w:tcPr>
            <w:tcW w:w="1080" w:type="dxa"/>
            <w:noWrap/>
            <w:vAlign w:val="center"/>
          </w:tcPr>
          <w:p w14:paraId="578F743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60AE356">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53D96BD2">
            <w:pPr>
              <w:spacing w:line="240" w:lineRule="auto"/>
              <w:ind w:firstLine="0" w:firstLineChars="0"/>
              <w:jc w:val="center"/>
              <w:rPr>
                <w:rFonts w:cs="Times New Roman"/>
                <w:sz w:val="21"/>
                <w:szCs w:val="21"/>
              </w:rPr>
            </w:pPr>
            <w:r>
              <w:rPr>
                <w:rFonts w:hint="eastAsia" w:cs="Times New Roman"/>
                <w:sz w:val="21"/>
                <w:szCs w:val="21"/>
              </w:rPr>
              <w:t>1136</w:t>
            </w:r>
          </w:p>
        </w:tc>
        <w:tc>
          <w:tcPr>
            <w:tcW w:w="1168" w:type="dxa"/>
            <w:noWrap/>
            <w:vAlign w:val="center"/>
          </w:tcPr>
          <w:p w14:paraId="3C04F47B">
            <w:pPr>
              <w:spacing w:line="240" w:lineRule="auto"/>
              <w:ind w:firstLine="0" w:firstLineChars="0"/>
              <w:jc w:val="center"/>
              <w:rPr>
                <w:rFonts w:cs="Times New Roman"/>
                <w:sz w:val="21"/>
                <w:szCs w:val="21"/>
              </w:rPr>
            </w:pPr>
            <w:r>
              <w:rPr>
                <w:rFonts w:hint="eastAsia" w:cs="Times New Roman"/>
                <w:sz w:val="21"/>
                <w:szCs w:val="21"/>
              </w:rPr>
              <w:t>约120</w:t>
            </w:r>
          </w:p>
        </w:tc>
      </w:tr>
      <w:tr w14:paraId="757D9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6B9B739">
            <w:pPr>
              <w:pStyle w:val="39"/>
              <w:numPr>
                <w:ilvl w:val="0"/>
                <w:numId w:val="7"/>
              </w:numPr>
              <w:spacing w:line="240" w:lineRule="auto"/>
              <w:ind w:firstLineChars="0"/>
              <w:jc w:val="center"/>
              <w:rPr>
                <w:rFonts w:cs="Times New Roman"/>
                <w:sz w:val="21"/>
                <w:szCs w:val="21"/>
              </w:rPr>
            </w:pPr>
          </w:p>
        </w:tc>
        <w:tc>
          <w:tcPr>
            <w:tcW w:w="992" w:type="dxa"/>
            <w:noWrap/>
            <w:vAlign w:val="center"/>
          </w:tcPr>
          <w:p w14:paraId="589B9D50">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E929D40">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40BE0D1D">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6B8D175A">
            <w:pPr>
              <w:spacing w:line="240" w:lineRule="auto"/>
              <w:ind w:firstLine="0" w:firstLineChars="0"/>
              <w:jc w:val="center"/>
              <w:rPr>
                <w:rFonts w:cs="Times New Roman"/>
                <w:sz w:val="21"/>
                <w:szCs w:val="21"/>
              </w:rPr>
            </w:pPr>
            <w:r>
              <w:rPr>
                <w:rFonts w:hint="eastAsia" w:cs="Times New Roman"/>
                <w:sz w:val="21"/>
                <w:szCs w:val="21"/>
              </w:rPr>
              <w:t>福桂小区北</w:t>
            </w:r>
          </w:p>
        </w:tc>
        <w:tc>
          <w:tcPr>
            <w:tcW w:w="1701" w:type="dxa"/>
            <w:noWrap/>
            <w:vAlign w:val="center"/>
          </w:tcPr>
          <w:p w14:paraId="534D4AA9">
            <w:pPr>
              <w:spacing w:line="240" w:lineRule="auto"/>
              <w:ind w:firstLine="0" w:firstLineChars="0"/>
              <w:jc w:val="center"/>
              <w:rPr>
                <w:rFonts w:cs="Times New Roman"/>
                <w:sz w:val="21"/>
                <w:szCs w:val="21"/>
              </w:rPr>
            </w:pPr>
            <w:r>
              <w:rPr>
                <w:rFonts w:hint="eastAsia" w:cs="Times New Roman"/>
                <w:sz w:val="21"/>
                <w:szCs w:val="21"/>
              </w:rPr>
              <w:t>119.287766</w:t>
            </w:r>
          </w:p>
        </w:tc>
        <w:tc>
          <w:tcPr>
            <w:tcW w:w="1690" w:type="dxa"/>
            <w:noWrap/>
            <w:vAlign w:val="center"/>
          </w:tcPr>
          <w:p w14:paraId="11A68568">
            <w:pPr>
              <w:spacing w:line="240" w:lineRule="auto"/>
              <w:ind w:firstLine="0" w:firstLineChars="0"/>
              <w:jc w:val="center"/>
              <w:rPr>
                <w:rFonts w:cs="Times New Roman"/>
                <w:sz w:val="21"/>
                <w:szCs w:val="21"/>
              </w:rPr>
            </w:pPr>
            <w:r>
              <w:rPr>
                <w:rFonts w:hint="eastAsia" w:cs="Times New Roman"/>
                <w:sz w:val="21"/>
                <w:szCs w:val="21"/>
              </w:rPr>
              <w:t>31.798038</w:t>
            </w:r>
          </w:p>
        </w:tc>
        <w:tc>
          <w:tcPr>
            <w:tcW w:w="1080" w:type="dxa"/>
            <w:noWrap/>
            <w:vAlign w:val="center"/>
          </w:tcPr>
          <w:p w14:paraId="3788C33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3DD330B">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05DAFBD5">
            <w:pPr>
              <w:spacing w:line="240" w:lineRule="auto"/>
              <w:ind w:firstLine="0" w:firstLineChars="0"/>
              <w:jc w:val="center"/>
              <w:rPr>
                <w:rFonts w:cs="Times New Roman"/>
                <w:sz w:val="21"/>
                <w:szCs w:val="21"/>
              </w:rPr>
            </w:pPr>
            <w:r>
              <w:rPr>
                <w:rFonts w:hint="eastAsia" w:cs="Times New Roman"/>
                <w:sz w:val="21"/>
                <w:szCs w:val="21"/>
              </w:rPr>
              <w:t>2018</w:t>
            </w:r>
          </w:p>
        </w:tc>
        <w:tc>
          <w:tcPr>
            <w:tcW w:w="1168" w:type="dxa"/>
            <w:noWrap/>
            <w:vAlign w:val="center"/>
          </w:tcPr>
          <w:p w14:paraId="7DF86122">
            <w:pPr>
              <w:spacing w:line="240" w:lineRule="auto"/>
              <w:ind w:firstLine="0" w:firstLineChars="0"/>
              <w:jc w:val="center"/>
              <w:rPr>
                <w:rFonts w:cs="Times New Roman"/>
                <w:sz w:val="21"/>
                <w:szCs w:val="21"/>
              </w:rPr>
            </w:pPr>
            <w:r>
              <w:rPr>
                <w:rFonts w:hint="eastAsia" w:cs="Times New Roman"/>
                <w:sz w:val="21"/>
                <w:szCs w:val="21"/>
              </w:rPr>
              <w:t>约300</w:t>
            </w:r>
          </w:p>
        </w:tc>
      </w:tr>
      <w:tr w14:paraId="5070E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34B9902">
            <w:pPr>
              <w:pStyle w:val="39"/>
              <w:numPr>
                <w:ilvl w:val="0"/>
                <w:numId w:val="7"/>
              </w:numPr>
              <w:spacing w:line="240" w:lineRule="auto"/>
              <w:ind w:firstLineChars="0"/>
              <w:jc w:val="center"/>
              <w:rPr>
                <w:rFonts w:cs="Times New Roman"/>
                <w:sz w:val="21"/>
                <w:szCs w:val="21"/>
              </w:rPr>
            </w:pPr>
          </w:p>
        </w:tc>
        <w:tc>
          <w:tcPr>
            <w:tcW w:w="992" w:type="dxa"/>
            <w:noWrap/>
            <w:vAlign w:val="center"/>
          </w:tcPr>
          <w:p w14:paraId="5AAE3A76">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7366D2DB">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3120CE28">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53070AD4">
            <w:pPr>
              <w:spacing w:line="240" w:lineRule="auto"/>
              <w:ind w:firstLine="0" w:firstLineChars="0"/>
              <w:jc w:val="center"/>
              <w:rPr>
                <w:rFonts w:cs="Times New Roman"/>
                <w:sz w:val="21"/>
                <w:szCs w:val="21"/>
              </w:rPr>
            </w:pPr>
            <w:r>
              <w:rPr>
                <w:rFonts w:hint="eastAsia" w:cs="Times New Roman"/>
                <w:sz w:val="21"/>
                <w:szCs w:val="21"/>
              </w:rPr>
              <w:t>竹梧园</w:t>
            </w:r>
          </w:p>
        </w:tc>
        <w:tc>
          <w:tcPr>
            <w:tcW w:w="1701" w:type="dxa"/>
            <w:noWrap/>
            <w:vAlign w:val="center"/>
          </w:tcPr>
          <w:p w14:paraId="792A4C5E">
            <w:pPr>
              <w:spacing w:line="240" w:lineRule="auto"/>
              <w:ind w:firstLine="0" w:firstLineChars="0"/>
              <w:jc w:val="center"/>
              <w:rPr>
                <w:rFonts w:cs="Times New Roman"/>
                <w:sz w:val="21"/>
                <w:szCs w:val="21"/>
              </w:rPr>
            </w:pPr>
            <w:r>
              <w:rPr>
                <w:rFonts w:hint="eastAsia" w:cs="Times New Roman"/>
                <w:sz w:val="21"/>
                <w:szCs w:val="21"/>
              </w:rPr>
              <w:t>119.286417</w:t>
            </w:r>
          </w:p>
        </w:tc>
        <w:tc>
          <w:tcPr>
            <w:tcW w:w="1690" w:type="dxa"/>
            <w:noWrap/>
            <w:vAlign w:val="center"/>
          </w:tcPr>
          <w:p w14:paraId="1268CE1A">
            <w:pPr>
              <w:spacing w:line="240" w:lineRule="auto"/>
              <w:ind w:firstLine="0" w:firstLineChars="0"/>
              <w:jc w:val="center"/>
              <w:rPr>
                <w:rFonts w:cs="Times New Roman"/>
                <w:sz w:val="21"/>
                <w:szCs w:val="21"/>
              </w:rPr>
            </w:pPr>
            <w:r>
              <w:rPr>
                <w:rFonts w:hint="eastAsia" w:cs="Times New Roman"/>
                <w:sz w:val="21"/>
                <w:szCs w:val="21"/>
              </w:rPr>
              <w:t>31.799734</w:t>
            </w:r>
          </w:p>
        </w:tc>
        <w:tc>
          <w:tcPr>
            <w:tcW w:w="1080" w:type="dxa"/>
            <w:noWrap/>
            <w:vAlign w:val="center"/>
          </w:tcPr>
          <w:p w14:paraId="0C21FEF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D32E39C">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0913E228">
            <w:pPr>
              <w:spacing w:line="240" w:lineRule="auto"/>
              <w:ind w:firstLine="0" w:firstLineChars="0"/>
              <w:jc w:val="center"/>
              <w:rPr>
                <w:rFonts w:cs="Times New Roman"/>
                <w:sz w:val="21"/>
                <w:szCs w:val="21"/>
              </w:rPr>
            </w:pPr>
            <w:r>
              <w:rPr>
                <w:rFonts w:hint="eastAsia" w:cs="Times New Roman"/>
                <w:sz w:val="21"/>
                <w:szCs w:val="21"/>
              </w:rPr>
              <w:t>2101</w:t>
            </w:r>
          </w:p>
        </w:tc>
        <w:tc>
          <w:tcPr>
            <w:tcW w:w="1168" w:type="dxa"/>
            <w:noWrap/>
            <w:vAlign w:val="center"/>
          </w:tcPr>
          <w:p w14:paraId="78CE2D6D">
            <w:pPr>
              <w:spacing w:line="240" w:lineRule="auto"/>
              <w:ind w:firstLine="0" w:firstLineChars="0"/>
              <w:jc w:val="center"/>
              <w:rPr>
                <w:rFonts w:cs="Times New Roman"/>
                <w:sz w:val="21"/>
                <w:szCs w:val="21"/>
              </w:rPr>
            </w:pPr>
            <w:r>
              <w:rPr>
                <w:rFonts w:hint="eastAsia" w:cs="Times New Roman"/>
                <w:sz w:val="21"/>
                <w:szCs w:val="21"/>
              </w:rPr>
              <w:t>约50</w:t>
            </w:r>
          </w:p>
        </w:tc>
      </w:tr>
      <w:tr w14:paraId="24CD4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BA05371">
            <w:pPr>
              <w:pStyle w:val="39"/>
              <w:numPr>
                <w:ilvl w:val="0"/>
                <w:numId w:val="7"/>
              </w:numPr>
              <w:spacing w:line="240" w:lineRule="auto"/>
              <w:ind w:firstLineChars="0"/>
              <w:jc w:val="center"/>
              <w:rPr>
                <w:rFonts w:cs="Times New Roman"/>
                <w:sz w:val="21"/>
                <w:szCs w:val="21"/>
              </w:rPr>
            </w:pPr>
          </w:p>
        </w:tc>
        <w:tc>
          <w:tcPr>
            <w:tcW w:w="992" w:type="dxa"/>
            <w:noWrap/>
            <w:vAlign w:val="center"/>
          </w:tcPr>
          <w:p w14:paraId="746B8CE3">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7FE1404A">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7A683AE2">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304E8AEF">
            <w:pPr>
              <w:spacing w:line="240" w:lineRule="auto"/>
              <w:ind w:firstLine="0" w:firstLineChars="0"/>
              <w:jc w:val="center"/>
              <w:rPr>
                <w:rFonts w:cs="Times New Roman"/>
                <w:sz w:val="21"/>
                <w:szCs w:val="21"/>
              </w:rPr>
            </w:pPr>
            <w:r>
              <w:rPr>
                <w:rFonts w:hint="eastAsia" w:cs="Times New Roman"/>
                <w:sz w:val="21"/>
                <w:szCs w:val="21"/>
              </w:rPr>
              <w:t>新家园小区</w:t>
            </w:r>
          </w:p>
        </w:tc>
        <w:tc>
          <w:tcPr>
            <w:tcW w:w="1701" w:type="dxa"/>
            <w:noWrap/>
            <w:vAlign w:val="center"/>
          </w:tcPr>
          <w:p w14:paraId="028DFA00">
            <w:pPr>
              <w:spacing w:line="240" w:lineRule="auto"/>
              <w:ind w:firstLine="0" w:firstLineChars="0"/>
              <w:jc w:val="center"/>
              <w:rPr>
                <w:rFonts w:cs="Times New Roman"/>
                <w:sz w:val="21"/>
                <w:szCs w:val="21"/>
              </w:rPr>
            </w:pPr>
            <w:r>
              <w:rPr>
                <w:rFonts w:hint="eastAsia" w:cs="Times New Roman"/>
                <w:sz w:val="21"/>
                <w:szCs w:val="21"/>
              </w:rPr>
              <w:t>119.283271</w:t>
            </w:r>
          </w:p>
        </w:tc>
        <w:tc>
          <w:tcPr>
            <w:tcW w:w="1690" w:type="dxa"/>
            <w:noWrap/>
            <w:vAlign w:val="center"/>
          </w:tcPr>
          <w:p w14:paraId="21177A59">
            <w:pPr>
              <w:spacing w:line="240" w:lineRule="auto"/>
              <w:ind w:firstLine="0" w:firstLineChars="0"/>
              <w:jc w:val="center"/>
              <w:rPr>
                <w:rFonts w:cs="Times New Roman"/>
                <w:sz w:val="21"/>
                <w:szCs w:val="21"/>
              </w:rPr>
            </w:pPr>
            <w:r>
              <w:rPr>
                <w:rFonts w:hint="eastAsia" w:cs="Times New Roman"/>
                <w:sz w:val="21"/>
                <w:szCs w:val="21"/>
              </w:rPr>
              <w:t>31.794578</w:t>
            </w:r>
          </w:p>
        </w:tc>
        <w:tc>
          <w:tcPr>
            <w:tcW w:w="1080" w:type="dxa"/>
            <w:noWrap/>
            <w:vAlign w:val="center"/>
          </w:tcPr>
          <w:p w14:paraId="6EADD8D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0818163">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6F89DB11">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430C2451">
            <w:pPr>
              <w:spacing w:line="240" w:lineRule="auto"/>
              <w:ind w:firstLine="0" w:firstLineChars="0"/>
              <w:jc w:val="center"/>
              <w:rPr>
                <w:rFonts w:cs="Times New Roman"/>
                <w:sz w:val="21"/>
                <w:szCs w:val="21"/>
              </w:rPr>
            </w:pPr>
            <w:r>
              <w:rPr>
                <w:rFonts w:hint="eastAsia" w:cs="Times New Roman"/>
                <w:sz w:val="21"/>
                <w:szCs w:val="21"/>
              </w:rPr>
              <w:t>约400</w:t>
            </w:r>
          </w:p>
        </w:tc>
      </w:tr>
      <w:tr w14:paraId="6D1AC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9C920A7">
            <w:pPr>
              <w:pStyle w:val="39"/>
              <w:numPr>
                <w:ilvl w:val="0"/>
                <w:numId w:val="7"/>
              </w:numPr>
              <w:spacing w:line="240" w:lineRule="auto"/>
              <w:ind w:firstLineChars="0"/>
              <w:jc w:val="center"/>
              <w:rPr>
                <w:rFonts w:cs="Times New Roman"/>
                <w:sz w:val="21"/>
                <w:szCs w:val="21"/>
              </w:rPr>
            </w:pPr>
          </w:p>
        </w:tc>
        <w:tc>
          <w:tcPr>
            <w:tcW w:w="992" w:type="dxa"/>
            <w:noWrap/>
            <w:vAlign w:val="center"/>
          </w:tcPr>
          <w:p w14:paraId="766AA5B0">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A1EC197">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262B4047">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64453A28">
            <w:pPr>
              <w:spacing w:line="240" w:lineRule="auto"/>
              <w:ind w:firstLine="0" w:firstLineChars="0"/>
              <w:jc w:val="center"/>
              <w:rPr>
                <w:rFonts w:cs="Times New Roman"/>
                <w:sz w:val="21"/>
                <w:szCs w:val="21"/>
              </w:rPr>
            </w:pPr>
            <w:r>
              <w:rPr>
                <w:rFonts w:hint="eastAsia" w:cs="Times New Roman"/>
                <w:sz w:val="21"/>
                <w:szCs w:val="21"/>
              </w:rPr>
              <w:t>五桂庄</w:t>
            </w:r>
          </w:p>
        </w:tc>
        <w:tc>
          <w:tcPr>
            <w:tcW w:w="1701" w:type="dxa"/>
            <w:noWrap/>
            <w:vAlign w:val="center"/>
          </w:tcPr>
          <w:p w14:paraId="2341C86F">
            <w:pPr>
              <w:spacing w:line="240" w:lineRule="auto"/>
              <w:ind w:firstLine="0" w:firstLineChars="0"/>
              <w:jc w:val="center"/>
              <w:rPr>
                <w:rFonts w:cs="Times New Roman"/>
                <w:sz w:val="21"/>
                <w:szCs w:val="21"/>
              </w:rPr>
            </w:pPr>
            <w:r>
              <w:rPr>
                <w:rFonts w:hint="eastAsia" w:cs="Times New Roman"/>
                <w:sz w:val="21"/>
                <w:szCs w:val="21"/>
              </w:rPr>
              <w:t>119.286986</w:t>
            </w:r>
          </w:p>
        </w:tc>
        <w:tc>
          <w:tcPr>
            <w:tcW w:w="1690" w:type="dxa"/>
            <w:noWrap/>
            <w:vAlign w:val="center"/>
          </w:tcPr>
          <w:p w14:paraId="6D84C75C">
            <w:pPr>
              <w:spacing w:line="240" w:lineRule="auto"/>
              <w:ind w:firstLine="0" w:firstLineChars="0"/>
              <w:jc w:val="center"/>
              <w:rPr>
                <w:rFonts w:cs="Times New Roman"/>
                <w:sz w:val="21"/>
                <w:szCs w:val="21"/>
              </w:rPr>
            </w:pPr>
            <w:r>
              <w:rPr>
                <w:rFonts w:hint="eastAsia" w:cs="Times New Roman"/>
                <w:sz w:val="21"/>
                <w:szCs w:val="21"/>
              </w:rPr>
              <w:t>31.793963</w:t>
            </w:r>
          </w:p>
        </w:tc>
        <w:tc>
          <w:tcPr>
            <w:tcW w:w="1080" w:type="dxa"/>
            <w:noWrap/>
            <w:vAlign w:val="center"/>
          </w:tcPr>
          <w:p w14:paraId="6E6ED17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BAEBE4A">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66496830">
            <w:pPr>
              <w:spacing w:line="240" w:lineRule="auto"/>
              <w:ind w:firstLine="0" w:firstLineChars="0"/>
              <w:jc w:val="center"/>
              <w:rPr>
                <w:rFonts w:cs="Times New Roman"/>
                <w:sz w:val="21"/>
                <w:szCs w:val="21"/>
              </w:rPr>
            </w:pPr>
            <w:r>
              <w:rPr>
                <w:rFonts w:hint="eastAsia" w:cs="Times New Roman"/>
                <w:sz w:val="21"/>
                <w:szCs w:val="21"/>
              </w:rPr>
              <w:t>2158</w:t>
            </w:r>
          </w:p>
        </w:tc>
        <w:tc>
          <w:tcPr>
            <w:tcW w:w="1168" w:type="dxa"/>
            <w:noWrap/>
            <w:vAlign w:val="center"/>
          </w:tcPr>
          <w:p w14:paraId="1422F028">
            <w:pPr>
              <w:spacing w:line="240" w:lineRule="auto"/>
              <w:ind w:firstLine="0" w:firstLineChars="0"/>
              <w:jc w:val="center"/>
              <w:rPr>
                <w:rFonts w:cs="Times New Roman"/>
                <w:sz w:val="21"/>
                <w:szCs w:val="21"/>
              </w:rPr>
            </w:pPr>
            <w:r>
              <w:rPr>
                <w:rFonts w:hint="eastAsia" w:cs="Times New Roman"/>
                <w:sz w:val="21"/>
                <w:szCs w:val="21"/>
              </w:rPr>
              <w:t>约100</w:t>
            </w:r>
          </w:p>
        </w:tc>
      </w:tr>
      <w:tr w14:paraId="25FF2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A59B5C8">
            <w:pPr>
              <w:pStyle w:val="39"/>
              <w:numPr>
                <w:ilvl w:val="0"/>
                <w:numId w:val="7"/>
              </w:numPr>
              <w:spacing w:line="240" w:lineRule="auto"/>
              <w:ind w:firstLineChars="0"/>
              <w:jc w:val="center"/>
              <w:rPr>
                <w:rFonts w:cs="Times New Roman"/>
                <w:sz w:val="21"/>
                <w:szCs w:val="21"/>
              </w:rPr>
            </w:pPr>
          </w:p>
        </w:tc>
        <w:tc>
          <w:tcPr>
            <w:tcW w:w="992" w:type="dxa"/>
            <w:noWrap/>
            <w:vAlign w:val="center"/>
          </w:tcPr>
          <w:p w14:paraId="576C6529">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5755CB9A">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76F0F19D">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4A172C81">
            <w:pPr>
              <w:spacing w:line="240" w:lineRule="auto"/>
              <w:ind w:firstLine="0" w:firstLineChars="0"/>
              <w:jc w:val="center"/>
              <w:rPr>
                <w:rFonts w:cs="Times New Roman"/>
                <w:sz w:val="21"/>
                <w:szCs w:val="21"/>
              </w:rPr>
            </w:pPr>
            <w:r>
              <w:rPr>
                <w:rFonts w:hint="eastAsia" w:cs="Times New Roman"/>
                <w:sz w:val="21"/>
                <w:szCs w:val="21"/>
              </w:rPr>
              <w:t>茅山风景区中心幼儿园</w:t>
            </w:r>
          </w:p>
        </w:tc>
        <w:tc>
          <w:tcPr>
            <w:tcW w:w="1701" w:type="dxa"/>
            <w:noWrap/>
            <w:vAlign w:val="center"/>
          </w:tcPr>
          <w:p w14:paraId="79DC5A27">
            <w:pPr>
              <w:spacing w:line="240" w:lineRule="auto"/>
              <w:ind w:firstLine="0" w:firstLineChars="0"/>
              <w:jc w:val="center"/>
              <w:rPr>
                <w:rFonts w:cs="Times New Roman"/>
                <w:sz w:val="21"/>
                <w:szCs w:val="21"/>
              </w:rPr>
            </w:pPr>
            <w:r>
              <w:rPr>
                <w:rFonts w:hint="eastAsia" w:cs="Times New Roman"/>
                <w:sz w:val="21"/>
                <w:szCs w:val="21"/>
              </w:rPr>
              <w:t>119.291033</w:t>
            </w:r>
          </w:p>
        </w:tc>
        <w:tc>
          <w:tcPr>
            <w:tcW w:w="1690" w:type="dxa"/>
            <w:noWrap/>
            <w:vAlign w:val="center"/>
          </w:tcPr>
          <w:p w14:paraId="0DC56128">
            <w:pPr>
              <w:spacing w:line="240" w:lineRule="auto"/>
              <w:ind w:firstLine="0" w:firstLineChars="0"/>
              <w:jc w:val="center"/>
              <w:rPr>
                <w:rFonts w:cs="Times New Roman"/>
                <w:sz w:val="21"/>
                <w:szCs w:val="21"/>
              </w:rPr>
            </w:pPr>
            <w:r>
              <w:rPr>
                <w:rFonts w:hint="eastAsia" w:cs="Times New Roman"/>
                <w:sz w:val="21"/>
                <w:szCs w:val="21"/>
              </w:rPr>
              <w:t>31.793306</w:t>
            </w:r>
          </w:p>
        </w:tc>
        <w:tc>
          <w:tcPr>
            <w:tcW w:w="1080" w:type="dxa"/>
            <w:noWrap/>
            <w:vAlign w:val="center"/>
          </w:tcPr>
          <w:p w14:paraId="6E655D2D">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19C068A2">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3E33B2BB">
            <w:pPr>
              <w:spacing w:line="240" w:lineRule="auto"/>
              <w:ind w:firstLine="0" w:firstLineChars="0"/>
              <w:jc w:val="center"/>
              <w:rPr>
                <w:rFonts w:cs="Times New Roman"/>
                <w:sz w:val="21"/>
                <w:szCs w:val="21"/>
              </w:rPr>
            </w:pPr>
            <w:r>
              <w:rPr>
                <w:rFonts w:hint="eastAsia" w:cs="Times New Roman"/>
                <w:sz w:val="21"/>
                <w:szCs w:val="21"/>
              </w:rPr>
              <w:t>1804</w:t>
            </w:r>
          </w:p>
        </w:tc>
        <w:tc>
          <w:tcPr>
            <w:tcW w:w="1168" w:type="dxa"/>
            <w:noWrap/>
            <w:vAlign w:val="center"/>
          </w:tcPr>
          <w:p w14:paraId="5A4CD943">
            <w:pPr>
              <w:spacing w:line="240" w:lineRule="auto"/>
              <w:ind w:firstLine="0" w:firstLineChars="0"/>
              <w:jc w:val="center"/>
              <w:rPr>
                <w:rFonts w:cs="Times New Roman"/>
                <w:sz w:val="21"/>
                <w:szCs w:val="21"/>
              </w:rPr>
            </w:pPr>
            <w:r>
              <w:rPr>
                <w:rFonts w:hint="eastAsia" w:cs="Times New Roman"/>
                <w:sz w:val="21"/>
                <w:szCs w:val="21"/>
              </w:rPr>
              <w:t>约80</w:t>
            </w:r>
          </w:p>
        </w:tc>
      </w:tr>
      <w:tr w14:paraId="659E4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33A6C44">
            <w:pPr>
              <w:pStyle w:val="39"/>
              <w:numPr>
                <w:ilvl w:val="0"/>
                <w:numId w:val="7"/>
              </w:numPr>
              <w:spacing w:line="240" w:lineRule="auto"/>
              <w:ind w:firstLineChars="0"/>
              <w:jc w:val="center"/>
              <w:rPr>
                <w:rFonts w:cs="Times New Roman"/>
                <w:sz w:val="21"/>
                <w:szCs w:val="21"/>
              </w:rPr>
            </w:pPr>
          </w:p>
        </w:tc>
        <w:tc>
          <w:tcPr>
            <w:tcW w:w="992" w:type="dxa"/>
            <w:noWrap/>
            <w:vAlign w:val="center"/>
          </w:tcPr>
          <w:p w14:paraId="306D2D06">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1A31D6C">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45EA1972">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7A33D9FD">
            <w:pPr>
              <w:spacing w:line="240" w:lineRule="auto"/>
              <w:ind w:firstLine="0" w:firstLineChars="0"/>
              <w:jc w:val="center"/>
              <w:rPr>
                <w:rFonts w:cs="Times New Roman"/>
                <w:sz w:val="21"/>
                <w:szCs w:val="21"/>
              </w:rPr>
            </w:pPr>
            <w:r>
              <w:rPr>
                <w:rFonts w:hint="eastAsia" w:cs="Times New Roman"/>
                <w:sz w:val="21"/>
                <w:szCs w:val="21"/>
              </w:rPr>
              <w:t>万福山庄</w:t>
            </w:r>
          </w:p>
        </w:tc>
        <w:tc>
          <w:tcPr>
            <w:tcW w:w="1701" w:type="dxa"/>
            <w:noWrap/>
            <w:vAlign w:val="center"/>
          </w:tcPr>
          <w:p w14:paraId="77C0AE3D">
            <w:pPr>
              <w:spacing w:line="240" w:lineRule="auto"/>
              <w:ind w:firstLine="0" w:firstLineChars="0"/>
              <w:jc w:val="center"/>
              <w:rPr>
                <w:rFonts w:cs="Times New Roman"/>
                <w:sz w:val="21"/>
                <w:szCs w:val="21"/>
              </w:rPr>
            </w:pPr>
            <w:r>
              <w:rPr>
                <w:rFonts w:hint="eastAsia" w:cs="Times New Roman"/>
                <w:sz w:val="21"/>
                <w:szCs w:val="21"/>
              </w:rPr>
              <w:t>119.296639</w:t>
            </w:r>
          </w:p>
        </w:tc>
        <w:tc>
          <w:tcPr>
            <w:tcW w:w="1690" w:type="dxa"/>
            <w:noWrap/>
            <w:vAlign w:val="center"/>
          </w:tcPr>
          <w:p w14:paraId="62433233">
            <w:pPr>
              <w:spacing w:line="240" w:lineRule="auto"/>
              <w:ind w:firstLine="0" w:firstLineChars="0"/>
              <w:jc w:val="center"/>
              <w:rPr>
                <w:rFonts w:cs="Times New Roman"/>
                <w:sz w:val="21"/>
                <w:szCs w:val="21"/>
              </w:rPr>
            </w:pPr>
            <w:r>
              <w:rPr>
                <w:rFonts w:hint="eastAsia" w:cs="Times New Roman"/>
                <w:sz w:val="21"/>
                <w:szCs w:val="21"/>
              </w:rPr>
              <w:t>31.790204</w:t>
            </w:r>
          </w:p>
        </w:tc>
        <w:tc>
          <w:tcPr>
            <w:tcW w:w="1080" w:type="dxa"/>
            <w:noWrap/>
            <w:vAlign w:val="center"/>
          </w:tcPr>
          <w:p w14:paraId="5D1FC35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62A7775">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3759AD4B">
            <w:pPr>
              <w:spacing w:line="240" w:lineRule="auto"/>
              <w:ind w:firstLine="0" w:firstLineChars="0"/>
              <w:jc w:val="center"/>
              <w:rPr>
                <w:rFonts w:cs="Times New Roman"/>
                <w:sz w:val="21"/>
                <w:szCs w:val="21"/>
              </w:rPr>
            </w:pPr>
            <w:r>
              <w:rPr>
                <w:rFonts w:hint="eastAsia" w:cs="Times New Roman"/>
                <w:sz w:val="21"/>
                <w:szCs w:val="21"/>
              </w:rPr>
              <w:t>1488</w:t>
            </w:r>
          </w:p>
        </w:tc>
        <w:tc>
          <w:tcPr>
            <w:tcW w:w="1168" w:type="dxa"/>
            <w:noWrap/>
            <w:vAlign w:val="center"/>
          </w:tcPr>
          <w:p w14:paraId="76ED52DF">
            <w:pPr>
              <w:spacing w:line="240" w:lineRule="auto"/>
              <w:ind w:firstLine="0" w:firstLineChars="0"/>
              <w:jc w:val="center"/>
              <w:rPr>
                <w:rFonts w:cs="Times New Roman"/>
                <w:sz w:val="21"/>
                <w:szCs w:val="21"/>
              </w:rPr>
            </w:pPr>
            <w:r>
              <w:rPr>
                <w:rFonts w:hint="eastAsia" w:cs="Times New Roman"/>
                <w:sz w:val="21"/>
                <w:szCs w:val="21"/>
              </w:rPr>
              <w:t>约200</w:t>
            </w:r>
          </w:p>
        </w:tc>
      </w:tr>
      <w:tr w14:paraId="7A8EF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48121F1">
            <w:pPr>
              <w:pStyle w:val="39"/>
              <w:numPr>
                <w:ilvl w:val="0"/>
                <w:numId w:val="7"/>
              </w:numPr>
              <w:spacing w:line="240" w:lineRule="auto"/>
              <w:ind w:firstLineChars="0"/>
              <w:jc w:val="center"/>
              <w:rPr>
                <w:rFonts w:cs="Times New Roman"/>
                <w:sz w:val="21"/>
                <w:szCs w:val="21"/>
              </w:rPr>
            </w:pPr>
          </w:p>
        </w:tc>
        <w:tc>
          <w:tcPr>
            <w:tcW w:w="992" w:type="dxa"/>
            <w:noWrap/>
            <w:vAlign w:val="center"/>
          </w:tcPr>
          <w:p w14:paraId="467DA157">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160AED5">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5305B2EF">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7A08FE9C">
            <w:pPr>
              <w:spacing w:line="240" w:lineRule="auto"/>
              <w:ind w:firstLine="0" w:firstLineChars="0"/>
              <w:jc w:val="center"/>
              <w:rPr>
                <w:rFonts w:cs="Times New Roman"/>
                <w:sz w:val="21"/>
                <w:szCs w:val="21"/>
              </w:rPr>
            </w:pPr>
            <w:r>
              <w:rPr>
                <w:rFonts w:hint="eastAsia" w:cs="Times New Roman"/>
                <w:sz w:val="21"/>
                <w:szCs w:val="21"/>
              </w:rPr>
              <w:t>林枫墨庄</w:t>
            </w:r>
          </w:p>
        </w:tc>
        <w:tc>
          <w:tcPr>
            <w:tcW w:w="1701" w:type="dxa"/>
            <w:noWrap/>
            <w:vAlign w:val="center"/>
          </w:tcPr>
          <w:p w14:paraId="6E325821">
            <w:pPr>
              <w:spacing w:line="240" w:lineRule="auto"/>
              <w:ind w:firstLine="0" w:firstLineChars="0"/>
              <w:jc w:val="center"/>
              <w:rPr>
                <w:rFonts w:cs="Times New Roman"/>
                <w:sz w:val="21"/>
                <w:szCs w:val="21"/>
              </w:rPr>
            </w:pPr>
            <w:r>
              <w:rPr>
                <w:rFonts w:hint="eastAsia" w:cs="Times New Roman"/>
                <w:sz w:val="21"/>
                <w:szCs w:val="21"/>
              </w:rPr>
              <w:t>119.288461</w:t>
            </w:r>
          </w:p>
        </w:tc>
        <w:tc>
          <w:tcPr>
            <w:tcW w:w="1690" w:type="dxa"/>
            <w:noWrap/>
            <w:vAlign w:val="center"/>
          </w:tcPr>
          <w:p w14:paraId="43BCFF56">
            <w:pPr>
              <w:spacing w:line="240" w:lineRule="auto"/>
              <w:ind w:firstLine="0" w:firstLineChars="0"/>
              <w:jc w:val="center"/>
              <w:rPr>
                <w:rFonts w:cs="Times New Roman"/>
                <w:sz w:val="21"/>
                <w:szCs w:val="21"/>
              </w:rPr>
            </w:pPr>
            <w:r>
              <w:rPr>
                <w:rFonts w:hint="eastAsia" w:cs="Times New Roman"/>
                <w:sz w:val="21"/>
                <w:szCs w:val="21"/>
              </w:rPr>
              <w:t>31.791912</w:t>
            </w:r>
          </w:p>
        </w:tc>
        <w:tc>
          <w:tcPr>
            <w:tcW w:w="1080" w:type="dxa"/>
            <w:noWrap/>
            <w:vAlign w:val="center"/>
          </w:tcPr>
          <w:p w14:paraId="2DF592F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BEBF29F">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4691764D">
            <w:pPr>
              <w:spacing w:line="240" w:lineRule="auto"/>
              <w:ind w:firstLine="0" w:firstLineChars="0"/>
              <w:jc w:val="center"/>
              <w:rPr>
                <w:rFonts w:cs="Times New Roman"/>
                <w:sz w:val="21"/>
                <w:szCs w:val="21"/>
              </w:rPr>
            </w:pPr>
            <w:r>
              <w:rPr>
                <w:rFonts w:hint="eastAsia" w:cs="Times New Roman"/>
                <w:sz w:val="21"/>
                <w:szCs w:val="21"/>
              </w:rPr>
              <w:t>2080</w:t>
            </w:r>
          </w:p>
        </w:tc>
        <w:tc>
          <w:tcPr>
            <w:tcW w:w="1168" w:type="dxa"/>
            <w:noWrap/>
            <w:vAlign w:val="center"/>
          </w:tcPr>
          <w:p w14:paraId="34D38F9B">
            <w:pPr>
              <w:spacing w:line="240" w:lineRule="auto"/>
              <w:ind w:firstLine="0" w:firstLineChars="0"/>
              <w:jc w:val="center"/>
              <w:rPr>
                <w:rFonts w:cs="Times New Roman"/>
                <w:sz w:val="21"/>
                <w:szCs w:val="21"/>
              </w:rPr>
            </w:pPr>
            <w:r>
              <w:rPr>
                <w:rFonts w:hint="eastAsia" w:cs="Times New Roman"/>
                <w:sz w:val="21"/>
                <w:szCs w:val="21"/>
              </w:rPr>
              <w:t>约500</w:t>
            </w:r>
          </w:p>
        </w:tc>
      </w:tr>
      <w:tr w14:paraId="49A0E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75793D6">
            <w:pPr>
              <w:pStyle w:val="39"/>
              <w:numPr>
                <w:ilvl w:val="0"/>
                <w:numId w:val="7"/>
              </w:numPr>
              <w:spacing w:line="240" w:lineRule="auto"/>
              <w:ind w:firstLineChars="0"/>
              <w:jc w:val="center"/>
              <w:rPr>
                <w:rFonts w:cs="Times New Roman"/>
                <w:sz w:val="21"/>
                <w:szCs w:val="21"/>
              </w:rPr>
            </w:pPr>
          </w:p>
        </w:tc>
        <w:tc>
          <w:tcPr>
            <w:tcW w:w="992" w:type="dxa"/>
            <w:noWrap/>
            <w:vAlign w:val="center"/>
          </w:tcPr>
          <w:p w14:paraId="47242A45">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74E6F7CE">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06997D9F">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5698F590">
            <w:pPr>
              <w:spacing w:line="240" w:lineRule="auto"/>
              <w:ind w:firstLine="0" w:firstLineChars="0"/>
              <w:jc w:val="center"/>
              <w:rPr>
                <w:rFonts w:cs="Times New Roman"/>
                <w:sz w:val="21"/>
                <w:szCs w:val="21"/>
              </w:rPr>
            </w:pPr>
            <w:r>
              <w:rPr>
                <w:rFonts w:hint="eastAsia" w:cs="Times New Roman"/>
                <w:sz w:val="21"/>
                <w:szCs w:val="21"/>
              </w:rPr>
              <w:t>蒋家庄</w:t>
            </w:r>
          </w:p>
        </w:tc>
        <w:tc>
          <w:tcPr>
            <w:tcW w:w="1701" w:type="dxa"/>
            <w:noWrap/>
            <w:vAlign w:val="center"/>
          </w:tcPr>
          <w:p w14:paraId="6CEB3744">
            <w:pPr>
              <w:spacing w:line="240" w:lineRule="auto"/>
              <w:ind w:firstLine="0" w:firstLineChars="0"/>
              <w:jc w:val="center"/>
              <w:rPr>
                <w:rFonts w:cs="Times New Roman"/>
                <w:sz w:val="21"/>
                <w:szCs w:val="21"/>
              </w:rPr>
            </w:pPr>
            <w:r>
              <w:rPr>
                <w:rFonts w:hint="eastAsia" w:cs="Times New Roman"/>
                <w:sz w:val="21"/>
                <w:szCs w:val="21"/>
              </w:rPr>
              <w:t>119.282207</w:t>
            </w:r>
          </w:p>
        </w:tc>
        <w:tc>
          <w:tcPr>
            <w:tcW w:w="1690" w:type="dxa"/>
            <w:noWrap/>
            <w:vAlign w:val="center"/>
          </w:tcPr>
          <w:p w14:paraId="427ABF72">
            <w:pPr>
              <w:spacing w:line="240" w:lineRule="auto"/>
              <w:ind w:firstLine="0" w:firstLineChars="0"/>
              <w:jc w:val="center"/>
              <w:rPr>
                <w:rFonts w:cs="Times New Roman"/>
                <w:sz w:val="21"/>
                <w:szCs w:val="21"/>
              </w:rPr>
            </w:pPr>
            <w:r>
              <w:rPr>
                <w:rFonts w:hint="eastAsia" w:cs="Times New Roman"/>
                <w:sz w:val="21"/>
                <w:szCs w:val="21"/>
              </w:rPr>
              <w:t>31.790284</w:t>
            </w:r>
          </w:p>
        </w:tc>
        <w:tc>
          <w:tcPr>
            <w:tcW w:w="1080" w:type="dxa"/>
            <w:noWrap/>
            <w:vAlign w:val="center"/>
          </w:tcPr>
          <w:p w14:paraId="7C8420D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3521948">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5C0200DF">
            <w:pPr>
              <w:spacing w:line="240" w:lineRule="auto"/>
              <w:ind w:firstLine="0" w:firstLineChars="0"/>
              <w:jc w:val="center"/>
              <w:rPr>
                <w:rFonts w:cs="Times New Roman"/>
                <w:sz w:val="21"/>
                <w:szCs w:val="21"/>
              </w:rPr>
            </w:pPr>
            <w:r>
              <w:rPr>
                <w:rFonts w:hint="eastAsia" w:cs="Times New Roman"/>
                <w:sz w:val="21"/>
                <w:szCs w:val="21"/>
              </w:rPr>
              <w:t>2319</w:t>
            </w:r>
          </w:p>
        </w:tc>
        <w:tc>
          <w:tcPr>
            <w:tcW w:w="1168" w:type="dxa"/>
            <w:noWrap/>
            <w:vAlign w:val="center"/>
          </w:tcPr>
          <w:p w14:paraId="4898163B">
            <w:pPr>
              <w:spacing w:line="240" w:lineRule="auto"/>
              <w:ind w:firstLine="0" w:firstLineChars="0"/>
              <w:jc w:val="center"/>
              <w:rPr>
                <w:rFonts w:cs="Times New Roman"/>
                <w:sz w:val="21"/>
                <w:szCs w:val="21"/>
              </w:rPr>
            </w:pPr>
            <w:r>
              <w:rPr>
                <w:rFonts w:hint="eastAsia" w:cs="Times New Roman"/>
                <w:sz w:val="21"/>
                <w:szCs w:val="21"/>
              </w:rPr>
              <w:t>约200</w:t>
            </w:r>
          </w:p>
        </w:tc>
      </w:tr>
      <w:tr w14:paraId="7F881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153C3B8">
            <w:pPr>
              <w:pStyle w:val="39"/>
              <w:numPr>
                <w:ilvl w:val="0"/>
                <w:numId w:val="7"/>
              </w:numPr>
              <w:spacing w:line="240" w:lineRule="auto"/>
              <w:ind w:firstLineChars="0"/>
              <w:jc w:val="center"/>
              <w:rPr>
                <w:rFonts w:cs="Times New Roman"/>
                <w:sz w:val="21"/>
                <w:szCs w:val="21"/>
              </w:rPr>
            </w:pPr>
          </w:p>
        </w:tc>
        <w:tc>
          <w:tcPr>
            <w:tcW w:w="992" w:type="dxa"/>
            <w:noWrap/>
            <w:vAlign w:val="center"/>
          </w:tcPr>
          <w:p w14:paraId="24A8DB5B">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5F1C4EB">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154245EC">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4977F166">
            <w:pPr>
              <w:spacing w:line="240" w:lineRule="auto"/>
              <w:ind w:firstLine="0" w:firstLineChars="0"/>
              <w:jc w:val="center"/>
              <w:rPr>
                <w:rFonts w:cs="Times New Roman"/>
                <w:sz w:val="21"/>
                <w:szCs w:val="21"/>
              </w:rPr>
            </w:pPr>
            <w:r>
              <w:rPr>
                <w:rFonts w:hint="eastAsia" w:cs="Times New Roman"/>
                <w:sz w:val="21"/>
                <w:szCs w:val="21"/>
              </w:rPr>
              <w:t>松鹤居</w:t>
            </w:r>
          </w:p>
        </w:tc>
        <w:tc>
          <w:tcPr>
            <w:tcW w:w="1701" w:type="dxa"/>
            <w:noWrap/>
            <w:vAlign w:val="center"/>
          </w:tcPr>
          <w:p w14:paraId="572D55FF">
            <w:pPr>
              <w:spacing w:line="240" w:lineRule="auto"/>
              <w:ind w:firstLine="0" w:firstLineChars="0"/>
              <w:jc w:val="center"/>
              <w:rPr>
                <w:rFonts w:cs="Times New Roman"/>
                <w:sz w:val="21"/>
                <w:szCs w:val="21"/>
              </w:rPr>
            </w:pPr>
            <w:r>
              <w:rPr>
                <w:rFonts w:hint="eastAsia" w:cs="Times New Roman"/>
                <w:sz w:val="21"/>
                <w:szCs w:val="21"/>
              </w:rPr>
              <w:t>119.289016</w:t>
            </w:r>
          </w:p>
        </w:tc>
        <w:tc>
          <w:tcPr>
            <w:tcW w:w="1690" w:type="dxa"/>
            <w:noWrap/>
            <w:vAlign w:val="center"/>
          </w:tcPr>
          <w:p w14:paraId="06DEBDF9">
            <w:pPr>
              <w:spacing w:line="240" w:lineRule="auto"/>
              <w:ind w:firstLine="0" w:firstLineChars="0"/>
              <w:jc w:val="center"/>
              <w:rPr>
                <w:rFonts w:cs="Times New Roman"/>
                <w:sz w:val="21"/>
                <w:szCs w:val="21"/>
              </w:rPr>
            </w:pPr>
            <w:r>
              <w:rPr>
                <w:rFonts w:hint="eastAsia" w:cs="Times New Roman"/>
                <w:sz w:val="21"/>
                <w:szCs w:val="21"/>
              </w:rPr>
              <w:t>31.784639</w:t>
            </w:r>
          </w:p>
        </w:tc>
        <w:tc>
          <w:tcPr>
            <w:tcW w:w="1080" w:type="dxa"/>
            <w:noWrap/>
            <w:vAlign w:val="center"/>
          </w:tcPr>
          <w:p w14:paraId="18EC939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671E296">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1FCB1130">
            <w:pPr>
              <w:spacing w:line="240" w:lineRule="auto"/>
              <w:ind w:firstLine="0" w:firstLineChars="0"/>
              <w:jc w:val="center"/>
              <w:rPr>
                <w:rFonts w:cs="Times New Roman"/>
                <w:sz w:val="21"/>
                <w:szCs w:val="21"/>
              </w:rPr>
            </w:pPr>
            <w:r>
              <w:rPr>
                <w:rFonts w:hint="eastAsia" w:cs="Times New Roman"/>
                <w:sz w:val="21"/>
                <w:szCs w:val="21"/>
              </w:rPr>
              <w:t>1822</w:t>
            </w:r>
          </w:p>
        </w:tc>
        <w:tc>
          <w:tcPr>
            <w:tcW w:w="1168" w:type="dxa"/>
            <w:noWrap/>
            <w:vAlign w:val="center"/>
          </w:tcPr>
          <w:p w14:paraId="62C8AE43">
            <w:pPr>
              <w:spacing w:line="240" w:lineRule="auto"/>
              <w:ind w:firstLine="0" w:firstLineChars="0"/>
              <w:jc w:val="center"/>
              <w:rPr>
                <w:rFonts w:cs="Times New Roman"/>
                <w:sz w:val="21"/>
                <w:szCs w:val="21"/>
              </w:rPr>
            </w:pPr>
            <w:r>
              <w:rPr>
                <w:rFonts w:hint="eastAsia" w:cs="Times New Roman"/>
                <w:sz w:val="21"/>
                <w:szCs w:val="21"/>
              </w:rPr>
              <w:t>约50</w:t>
            </w:r>
          </w:p>
        </w:tc>
      </w:tr>
      <w:tr w14:paraId="3BEA0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A0C4DE4">
            <w:pPr>
              <w:pStyle w:val="39"/>
              <w:numPr>
                <w:ilvl w:val="0"/>
                <w:numId w:val="7"/>
              </w:numPr>
              <w:spacing w:line="240" w:lineRule="auto"/>
              <w:ind w:firstLineChars="0"/>
              <w:jc w:val="center"/>
              <w:rPr>
                <w:rFonts w:cs="Times New Roman"/>
                <w:sz w:val="21"/>
                <w:szCs w:val="21"/>
              </w:rPr>
            </w:pPr>
          </w:p>
        </w:tc>
        <w:tc>
          <w:tcPr>
            <w:tcW w:w="992" w:type="dxa"/>
            <w:noWrap/>
            <w:vAlign w:val="center"/>
          </w:tcPr>
          <w:p w14:paraId="7BA66330">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C4E238F">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764C70E0">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4B0D4261">
            <w:pPr>
              <w:spacing w:line="240" w:lineRule="auto"/>
              <w:ind w:firstLine="0" w:firstLineChars="0"/>
              <w:jc w:val="center"/>
              <w:rPr>
                <w:rFonts w:cs="Times New Roman"/>
                <w:sz w:val="21"/>
                <w:szCs w:val="21"/>
              </w:rPr>
            </w:pPr>
            <w:r>
              <w:rPr>
                <w:rFonts w:hint="eastAsia" w:cs="Times New Roman"/>
                <w:sz w:val="21"/>
                <w:szCs w:val="21"/>
              </w:rPr>
              <w:t>聚仙苑</w:t>
            </w:r>
          </w:p>
        </w:tc>
        <w:tc>
          <w:tcPr>
            <w:tcW w:w="1701" w:type="dxa"/>
            <w:noWrap/>
            <w:vAlign w:val="center"/>
          </w:tcPr>
          <w:p w14:paraId="04DAE2BD">
            <w:pPr>
              <w:spacing w:line="240" w:lineRule="auto"/>
              <w:ind w:firstLine="0" w:firstLineChars="0"/>
              <w:jc w:val="center"/>
              <w:rPr>
                <w:rFonts w:cs="Times New Roman"/>
                <w:sz w:val="21"/>
                <w:szCs w:val="21"/>
              </w:rPr>
            </w:pPr>
            <w:r>
              <w:rPr>
                <w:rFonts w:hint="eastAsia" w:cs="Times New Roman"/>
                <w:sz w:val="21"/>
                <w:szCs w:val="21"/>
              </w:rPr>
              <w:t>119.290257</w:t>
            </w:r>
          </w:p>
        </w:tc>
        <w:tc>
          <w:tcPr>
            <w:tcW w:w="1690" w:type="dxa"/>
            <w:noWrap/>
            <w:vAlign w:val="center"/>
          </w:tcPr>
          <w:p w14:paraId="05EA7F1C">
            <w:pPr>
              <w:spacing w:line="240" w:lineRule="auto"/>
              <w:ind w:firstLine="0" w:firstLineChars="0"/>
              <w:jc w:val="center"/>
              <w:rPr>
                <w:rFonts w:cs="Times New Roman"/>
                <w:sz w:val="21"/>
                <w:szCs w:val="21"/>
              </w:rPr>
            </w:pPr>
            <w:r>
              <w:rPr>
                <w:rFonts w:hint="eastAsia" w:cs="Times New Roman"/>
                <w:sz w:val="21"/>
                <w:szCs w:val="21"/>
              </w:rPr>
              <w:t>31.785455</w:t>
            </w:r>
          </w:p>
        </w:tc>
        <w:tc>
          <w:tcPr>
            <w:tcW w:w="1080" w:type="dxa"/>
            <w:noWrap/>
            <w:vAlign w:val="center"/>
          </w:tcPr>
          <w:p w14:paraId="0967390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BC026FA">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2C711161">
            <w:pPr>
              <w:spacing w:line="240" w:lineRule="auto"/>
              <w:ind w:firstLine="0" w:firstLineChars="0"/>
              <w:jc w:val="center"/>
              <w:rPr>
                <w:rFonts w:cs="Times New Roman"/>
                <w:sz w:val="21"/>
                <w:szCs w:val="21"/>
              </w:rPr>
            </w:pPr>
            <w:r>
              <w:rPr>
                <w:rFonts w:hint="eastAsia" w:cs="Times New Roman"/>
                <w:sz w:val="21"/>
                <w:szCs w:val="21"/>
              </w:rPr>
              <w:t>1905</w:t>
            </w:r>
          </w:p>
        </w:tc>
        <w:tc>
          <w:tcPr>
            <w:tcW w:w="1168" w:type="dxa"/>
            <w:noWrap/>
            <w:vAlign w:val="center"/>
          </w:tcPr>
          <w:p w14:paraId="4F092998">
            <w:pPr>
              <w:spacing w:line="240" w:lineRule="auto"/>
              <w:ind w:firstLine="0" w:firstLineChars="0"/>
              <w:jc w:val="center"/>
              <w:rPr>
                <w:rFonts w:cs="Times New Roman"/>
                <w:sz w:val="21"/>
                <w:szCs w:val="21"/>
              </w:rPr>
            </w:pPr>
            <w:r>
              <w:rPr>
                <w:rFonts w:hint="eastAsia" w:cs="Times New Roman"/>
                <w:sz w:val="21"/>
                <w:szCs w:val="21"/>
              </w:rPr>
              <w:t>约80</w:t>
            </w:r>
          </w:p>
        </w:tc>
      </w:tr>
      <w:tr w14:paraId="7CF61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54460BB">
            <w:pPr>
              <w:pStyle w:val="39"/>
              <w:numPr>
                <w:ilvl w:val="0"/>
                <w:numId w:val="7"/>
              </w:numPr>
              <w:spacing w:line="240" w:lineRule="auto"/>
              <w:ind w:firstLineChars="0"/>
              <w:jc w:val="center"/>
              <w:rPr>
                <w:rFonts w:cs="Times New Roman"/>
                <w:sz w:val="21"/>
                <w:szCs w:val="21"/>
              </w:rPr>
            </w:pPr>
          </w:p>
        </w:tc>
        <w:tc>
          <w:tcPr>
            <w:tcW w:w="992" w:type="dxa"/>
            <w:noWrap/>
            <w:vAlign w:val="center"/>
          </w:tcPr>
          <w:p w14:paraId="0A46E0D4">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59160647">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3ED570D8">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0FD982B9">
            <w:pPr>
              <w:spacing w:line="240" w:lineRule="auto"/>
              <w:ind w:firstLine="0" w:firstLineChars="0"/>
              <w:jc w:val="center"/>
              <w:rPr>
                <w:rFonts w:cs="Times New Roman"/>
                <w:sz w:val="21"/>
                <w:szCs w:val="21"/>
              </w:rPr>
            </w:pPr>
            <w:r>
              <w:rPr>
                <w:rFonts w:hint="eastAsia" w:cs="Times New Roman"/>
                <w:sz w:val="21"/>
                <w:szCs w:val="21"/>
              </w:rPr>
              <w:t>茅山风景区财政所</w:t>
            </w:r>
          </w:p>
        </w:tc>
        <w:tc>
          <w:tcPr>
            <w:tcW w:w="1701" w:type="dxa"/>
            <w:noWrap/>
            <w:vAlign w:val="center"/>
          </w:tcPr>
          <w:p w14:paraId="4B104BA0">
            <w:pPr>
              <w:spacing w:line="240" w:lineRule="auto"/>
              <w:ind w:firstLine="0" w:firstLineChars="0"/>
              <w:jc w:val="center"/>
              <w:rPr>
                <w:rFonts w:cs="Times New Roman"/>
                <w:sz w:val="21"/>
                <w:szCs w:val="21"/>
              </w:rPr>
            </w:pPr>
            <w:r>
              <w:rPr>
                <w:rFonts w:hint="eastAsia" w:cs="Times New Roman"/>
                <w:sz w:val="21"/>
                <w:szCs w:val="21"/>
              </w:rPr>
              <w:t>119.289965</w:t>
            </w:r>
          </w:p>
        </w:tc>
        <w:tc>
          <w:tcPr>
            <w:tcW w:w="1690" w:type="dxa"/>
            <w:noWrap/>
            <w:vAlign w:val="center"/>
          </w:tcPr>
          <w:p w14:paraId="559791A0">
            <w:pPr>
              <w:spacing w:line="240" w:lineRule="auto"/>
              <w:ind w:firstLine="0" w:firstLineChars="0"/>
              <w:jc w:val="center"/>
              <w:rPr>
                <w:rFonts w:cs="Times New Roman"/>
                <w:sz w:val="21"/>
                <w:szCs w:val="21"/>
              </w:rPr>
            </w:pPr>
            <w:r>
              <w:rPr>
                <w:rFonts w:hint="eastAsia" w:cs="Times New Roman"/>
                <w:sz w:val="21"/>
                <w:szCs w:val="21"/>
              </w:rPr>
              <w:t>31.786361</w:t>
            </w:r>
          </w:p>
        </w:tc>
        <w:tc>
          <w:tcPr>
            <w:tcW w:w="1080" w:type="dxa"/>
            <w:noWrap/>
            <w:vAlign w:val="center"/>
          </w:tcPr>
          <w:p w14:paraId="40BEB6FE">
            <w:pPr>
              <w:spacing w:line="240" w:lineRule="auto"/>
              <w:ind w:firstLine="0" w:firstLineChars="0"/>
              <w:jc w:val="center"/>
              <w:rPr>
                <w:rFonts w:cs="Times New Roman"/>
                <w:sz w:val="21"/>
                <w:szCs w:val="21"/>
              </w:rPr>
            </w:pPr>
            <w:r>
              <w:rPr>
                <w:rFonts w:hint="eastAsia" w:cs="Times New Roman"/>
                <w:sz w:val="21"/>
                <w:szCs w:val="21"/>
              </w:rPr>
              <w:t>办公区</w:t>
            </w:r>
          </w:p>
        </w:tc>
        <w:tc>
          <w:tcPr>
            <w:tcW w:w="702" w:type="dxa"/>
            <w:noWrap/>
            <w:vAlign w:val="center"/>
          </w:tcPr>
          <w:p w14:paraId="4FDAA908">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0561B4ED">
            <w:pPr>
              <w:spacing w:line="240" w:lineRule="auto"/>
              <w:ind w:firstLine="0" w:firstLineChars="0"/>
              <w:jc w:val="center"/>
              <w:rPr>
                <w:rFonts w:cs="Times New Roman"/>
                <w:sz w:val="21"/>
                <w:szCs w:val="21"/>
              </w:rPr>
            </w:pPr>
            <w:r>
              <w:rPr>
                <w:rFonts w:hint="eastAsia" w:cs="Times New Roman"/>
                <w:sz w:val="21"/>
                <w:szCs w:val="21"/>
              </w:rPr>
              <w:t>1435</w:t>
            </w:r>
          </w:p>
        </w:tc>
        <w:tc>
          <w:tcPr>
            <w:tcW w:w="1168" w:type="dxa"/>
            <w:noWrap/>
            <w:vAlign w:val="center"/>
          </w:tcPr>
          <w:p w14:paraId="057BCDAD">
            <w:pPr>
              <w:spacing w:line="240" w:lineRule="auto"/>
              <w:ind w:firstLine="0" w:firstLineChars="0"/>
              <w:jc w:val="center"/>
              <w:rPr>
                <w:rFonts w:cs="Times New Roman"/>
                <w:sz w:val="21"/>
                <w:szCs w:val="21"/>
              </w:rPr>
            </w:pPr>
            <w:r>
              <w:rPr>
                <w:rFonts w:hint="eastAsia" w:cs="Times New Roman"/>
                <w:sz w:val="21"/>
                <w:szCs w:val="21"/>
              </w:rPr>
              <w:t>约30</w:t>
            </w:r>
          </w:p>
        </w:tc>
      </w:tr>
      <w:tr w14:paraId="79A74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A00FAC9">
            <w:pPr>
              <w:pStyle w:val="39"/>
              <w:numPr>
                <w:ilvl w:val="0"/>
                <w:numId w:val="7"/>
              </w:numPr>
              <w:spacing w:line="240" w:lineRule="auto"/>
              <w:ind w:firstLineChars="0"/>
              <w:jc w:val="center"/>
              <w:rPr>
                <w:rFonts w:cs="Times New Roman"/>
                <w:sz w:val="21"/>
                <w:szCs w:val="21"/>
              </w:rPr>
            </w:pPr>
          </w:p>
        </w:tc>
        <w:tc>
          <w:tcPr>
            <w:tcW w:w="992" w:type="dxa"/>
            <w:noWrap/>
            <w:vAlign w:val="center"/>
          </w:tcPr>
          <w:p w14:paraId="3D5B5800">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558504AC">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51368F83">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0EA524E3">
            <w:pPr>
              <w:spacing w:line="240" w:lineRule="auto"/>
              <w:ind w:firstLine="0" w:firstLineChars="0"/>
              <w:jc w:val="center"/>
              <w:rPr>
                <w:rFonts w:cs="Times New Roman"/>
                <w:sz w:val="21"/>
                <w:szCs w:val="21"/>
              </w:rPr>
            </w:pPr>
            <w:r>
              <w:rPr>
                <w:rFonts w:hint="eastAsia" w:cs="Times New Roman"/>
                <w:sz w:val="21"/>
                <w:szCs w:val="21"/>
              </w:rPr>
              <w:t>金葫山庄</w:t>
            </w:r>
          </w:p>
        </w:tc>
        <w:tc>
          <w:tcPr>
            <w:tcW w:w="1701" w:type="dxa"/>
            <w:noWrap/>
            <w:vAlign w:val="center"/>
          </w:tcPr>
          <w:p w14:paraId="03447D3A">
            <w:pPr>
              <w:spacing w:line="240" w:lineRule="auto"/>
              <w:ind w:firstLine="0" w:firstLineChars="0"/>
              <w:jc w:val="center"/>
              <w:rPr>
                <w:rFonts w:cs="Times New Roman"/>
                <w:sz w:val="21"/>
                <w:szCs w:val="21"/>
              </w:rPr>
            </w:pPr>
            <w:r>
              <w:rPr>
                <w:rFonts w:hint="eastAsia" w:cs="Times New Roman"/>
                <w:sz w:val="21"/>
                <w:szCs w:val="21"/>
              </w:rPr>
              <w:t>119.295165</w:t>
            </w:r>
          </w:p>
        </w:tc>
        <w:tc>
          <w:tcPr>
            <w:tcW w:w="1690" w:type="dxa"/>
            <w:noWrap/>
            <w:vAlign w:val="center"/>
          </w:tcPr>
          <w:p w14:paraId="5B78F577">
            <w:pPr>
              <w:spacing w:line="240" w:lineRule="auto"/>
              <w:ind w:firstLine="0" w:firstLineChars="0"/>
              <w:jc w:val="center"/>
              <w:rPr>
                <w:rFonts w:cs="Times New Roman"/>
                <w:sz w:val="21"/>
                <w:szCs w:val="21"/>
              </w:rPr>
            </w:pPr>
            <w:r>
              <w:rPr>
                <w:rFonts w:hint="eastAsia" w:cs="Times New Roman"/>
                <w:sz w:val="21"/>
                <w:szCs w:val="21"/>
              </w:rPr>
              <w:t>31.785926</w:t>
            </w:r>
          </w:p>
        </w:tc>
        <w:tc>
          <w:tcPr>
            <w:tcW w:w="1080" w:type="dxa"/>
            <w:noWrap/>
            <w:vAlign w:val="center"/>
          </w:tcPr>
          <w:p w14:paraId="3789EE6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469CA94">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19FD6AF6">
            <w:pPr>
              <w:spacing w:line="240" w:lineRule="auto"/>
              <w:ind w:firstLine="0" w:firstLineChars="0"/>
              <w:jc w:val="center"/>
              <w:rPr>
                <w:rFonts w:cs="Times New Roman"/>
                <w:sz w:val="21"/>
                <w:szCs w:val="21"/>
              </w:rPr>
            </w:pPr>
            <w:r>
              <w:rPr>
                <w:rFonts w:hint="eastAsia" w:cs="Times New Roman"/>
                <w:sz w:val="21"/>
                <w:szCs w:val="21"/>
              </w:rPr>
              <w:t>1072</w:t>
            </w:r>
          </w:p>
        </w:tc>
        <w:tc>
          <w:tcPr>
            <w:tcW w:w="1168" w:type="dxa"/>
            <w:noWrap/>
            <w:vAlign w:val="center"/>
          </w:tcPr>
          <w:p w14:paraId="0D50A2E0">
            <w:pPr>
              <w:spacing w:line="240" w:lineRule="auto"/>
              <w:ind w:firstLine="0" w:firstLineChars="0"/>
              <w:jc w:val="center"/>
              <w:rPr>
                <w:rFonts w:cs="Times New Roman"/>
                <w:sz w:val="21"/>
                <w:szCs w:val="21"/>
              </w:rPr>
            </w:pPr>
            <w:r>
              <w:rPr>
                <w:rFonts w:hint="eastAsia" w:cs="Times New Roman"/>
                <w:sz w:val="21"/>
                <w:szCs w:val="21"/>
              </w:rPr>
              <w:t>约80</w:t>
            </w:r>
          </w:p>
        </w:tc>
      </w:tr>
      <w:tr w14:paraId="13F5E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7204EA4">
            <w:pPr>
              <w:pStyle w:val="39"/>
              <w:numPr>
                <w:ilvl w:val="0"/>
                <w:numId w:val="7"/>
              </w:numPr>
              <w:spacing w:line="240" w:lineRule="auto"/>
              <w:ind w:firstLineChars="0"/>
              <w:jc w:val="center"/>
              <w:rPr>
                <w:rFonts w:cs="Times New Roman"/>
                <w:sz w:val="21"/>
                <w:szCs w:val="21"/>
              </w:rPr>
            </w:pPr>
          </w:p>
        </w:tc>
        <w:tc>
          <w:tcPr>
            <w:tcW w:w="992" w:type="dxa"/>
            <w:noWrap/>
            <w:vAlign w:val="center"/>
          </w:tcPr>
          <w:p w14:paraId="0D4D0327">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ACAF16A">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0DA69A33">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239DE1F2">
            <w:pPr>
              <w:spacing w:line="240" w:lineRule="auto"/>
              <w:ind w:firstLine="0" w:firstLineChars="0"/>
              <w:jc w:val="center"/>
              <w:rPr>
                <w:rFonts w:cs="Times New Roman"/>
                <w:sz w:val="21"/>
                <w:szCs w:val="21"/>
              </w:rPr>
            </w:pPr>
            <w:r>
              <w:rPr>
                <w:rFonts w:hint="eastAsia" w:cs="Times New Roman"/>
                <w:sz w:val="21"/>
                <w:szCs w:val="21"/>
              </w:rPr>
              <w:t>茅山中心小学</w:t>
            </w:r>
          </w:p>
        </w:tc>
        <w:tc>
          <w:tcPr>
            <w:tcW w:w="1701" w:type="dxa"/>
            <w:noWrap/>
            <w:vAlign w:val="center"/>
          </w:tcPr>
          <w:p w14:paraId="46A9CEC9">
            <w:pPr>
              <w:spacing w:line="240" w:lineRule="auto"/>
              <w:ind w:firstLine="0" w:firstLineChars="0"/>
              <w:jc w:val="center"/>
              <w:rPr>
                <w:rFonts w:cs="Times New Roman"/>
                <w:sz w:val="21"/>
                <w:szCs w:val="21"/>
              </w:rPr>
            </w:pPr>
            <w:r>
              <w:rPr>
                <w:rFonts w:hint="eastAsia" w:cs="Times New Roman"/>
                <w:sz w:val="21"/>
                <w:szCs w:val="21"/>
              </w:rPr>
              <w:t>119.291396</w:t>
            </w:r>
          </w:p>
        </w:tc>
        <w:tc>
          <w:tcPr>
            <w:tcW w:w="1690" w:type="dxa"/>
            <w:noWrap/>
            <w:vAlign w:val="center"/>
          </w:tcPr>
          <w:p w14:paraId="2B6DF137">
            <w:pPr>
              <w:spacing w:line="240" w:lineRule="auto"/>
              <w:ind w:firstLine="0" w:firstLineChars="0"/>
              <w:jc w:val="center"/>
              <w:rPr>
                <w:rFonts w:cs="Times New Roman"/>
                <w:sz w:val="21"/>
                <w:szCs w:val="21"/>
              </w:rPr>
            </w:pPr>
            <w:r>
              <w:rPr>
                <w:rFonts w:hint="eastAsia" w:cs="Times New Roman"/>
                <w:sz w:val="21"/>
                <w:szCs w:val="21"/>
              </w:rPr>
              <w:t>31.795952</w:t>
            </w:r>
          </w:p>
        </w:tc>
        <w:tc>
          <w:tcPr>
            <w:tcW w:w="1080" w:type="dxa"/>
            <w:noWrap/>
            <w:vAlign w:val="center"/>
          </w:tcPr>
          <w:p w14:paraId="35972A6D">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498B226F">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12CFF74D">
            <w:pPr>
              <w:spacing w:line="240" w:lineRule="auto"/>
              <w:ind w:firstLine="0" w:firstLineChars="0"/>
              <w:jc w:val="center"/>
              <w:rPr>
                <w:rFonts w:cs="Times New Roman"/>
                <w:sz w:val="21"/>
                <w:szCs w:val="21"/>
              </w:rPr>
            </w:pPr>
            <w:r>
              <w:rPr>
                <w:rFonts w:hint="eastAsia" w:cs="Times New Roman"/>
                <w:sz w:val="21"/>
                <w:szCs w:val="21"/>
              </w:rPr>
              <w:t>1684</w:t>
            </w:r>
          </w:p>
        </w:tc>
        <w:tc>
          <w:tcPr>
            <w:tcW w:w="1168" w:type="dxa"/>
            <w:noWrap/>
            <w:vAlign w:val="center"/>
          </w:tcPr>
          <w:p w14:paraId="308D4C85">
            <w:pPr>
              <w:spacing w:line="240" w:lineRule="auto"/>
              <w:ind w:firstLine="0" w:firstLineChars="0"/>
              <w:jc w:val="center"/>
              <w:rPr>
                <w:rFonts w:cs="Times New Roman"/>
                <w:sz w:val="21"/>
                <w:szCs w:val="21"/>
              </w:rPr>
            </w:pPr>
            <w:r>
              <w:rPr>
                <w:rFonts w:hint="eastAsia" w:cs="Times New Roman"/>
                <w:sz w:val="21"/>
                <w:szCs w:val="21"/>
              </w:rPr>
              <w:t>约150</w:t>
            </w:r>
          </w:p>
        </w:tc>
      </w:tr>
      <w:tr w14:paraId="24111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8862E25">
            <w:pPr>
              <w:pStyle w:val="39"/>
              <w:numPr>
                <w:ilvl w:val="0"/>
                <w:numId w:val="7"/>
              </w:numPr>
              <w:spacing w:line="240" w:lineRule="auto"/>
              <w:ind w:firstLineChars="0"/>
              <w:jc w:val="center"/>
              <w:rPr>
                <w:rFonts w:cs="Times New Roman"/>
                <w:sz w:val="21"/>
                <w:szCs w:val="21"/>
              </w:rPr>
            </w:pPr>
          </w:p>
        </w:tc>
        <w:tc>
          <w:tcPr>
            <w:tcW w:w="992" w:type="dxa"/>
            <w:noWrap/>
            <w:vAlign w:val="center"/>
          </w:tcPr>
          <w:p w14:paraId="33C45B02">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47201FCE">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3A52631D">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0C12616D">
            <w:pPr>
              <w:spacing w:line="240" w:lineRule="auto"/>
              <w:ind w:firstLine="0" w:firstLineChars="0"/>
              <w:jc w:val="center"/>
              <w:rPr>
                <w:rFonts w:cs="Times New Roman"/>
                <w:sz w:val="21"/>
                <w:szCs w:val="21"/>
              </w:rPr>
            </w:pPr>
            <w:r>
              <w:rPr>
                <w:rFonts w:hint="eastAsia" w:cs="Times New Roman"/>
                <w:sz w:val="21"/>
                <w:szCs w:val="21"/>
              </w:rPr>
              <w:t>福桂小区南</w:t>
            </w:r>
          </w:p>
        </w:tc>
        <w:tc>
          <w:tcPr>
            <w:tcW w:w="1701" w:type="dxa"/>
            <w:noWrap/>
            <w:vAlign w:val="center"/>
          </w:tcPr>
          <w:p w14:paraId="6933F472">
            <w:pPr>
              <w:spacing w:line="240" w:lineRule="auto"/>
              <w:ind w:firstLine="0" w:firstLineChars="0"/>
              <w:jc w:val="center"/>
              <w:rPr>
                <w:rFonts w:cs="Times New Roman"/>
                <w:sz w:val="21"/>
                <w:szCs w:val="21"/>
              </w:rPr>
            </w:pPr>
            <w:r>
              <w:rPr>
                <w:rFonts w:hint="eastAsia" w:cs="Times New Roman"/>
                <w:sz w:val="21"/>
                <w:szCs w:val="21"/>
              </w:rPr>
              <w:t>119.292624</w:t>
            </w:r>
          </w:p>
        </w:tc>
        <w:tc>
          <w:tcPr>
            <w:tcW w:w="1690" w:type="dxa"/>
            <w:noWrap/>
            <w:vAlign w:val="center"/>
          </w:tcPr>
          <w:p w14:paraId="388B7346">
            <w:pPr>
              <w:spacing w:line="240" w:lineRule="auto"/>
              <w:ind w:firstLine="0" w:firstLineChars="0"/>
              <w:jc w:val="center"/>
              <w:rPr>
                <w:rFonts w:cs="Times New Roman"/>
                <w:sz w:val="21"/>
                <w:szCs w:val="21"/>
              </w:rPr>
            </w:pPr>
            <w:r>
              <w:rPr>
                <w:rFonts w:hint="eastAsia" w:cs="Times New Roman"/>
                <w:sz w:val="21"/>
                <w:szCs w:val="21"/>
              </w:rPr>
              <w:t>31.79428</w:t>
            </w:r>
          </w:p>
        </w:tc>
        <w:tc>
          <w:tcPr>
            <w:tcW w:w="1080" w:type="dxa"/>
            <w:noWrap/>
            <w:vAlign w:val="center"/>
          </w:tcPr>
          <w:p w14:paraId="254B04F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D0802E8">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038FE19A">
            <w:pPr>
              <w:spacing w:line="240" w:lineRule="auto"/>
              <w:ind w:firstLine="0" w:firstLineChars="0"/>
              <w:jc w:val="center"/>
              <w:rPr>
                <w:rFonts w:cs="Times New Roman"/>
                <w:sz w:val="21"/>
                <w:szCs w:val="21"/>
              </w:rPr>
            </w:pPr>
            <w:r>
              <w:rPr>
                <w:rFonts w:hint="eastAsia" w:cs="Times New Roman"/>
                <w:sz w:val="21"/>
                <w:szCs w:val="21"/>
              </w:rPr>
              <w:t>1610</w:t>
            </w:r>
          </w:p>
        </w:tc>
        <w:tc>
          <w:tcPr>
            <w:tcW w:w="1168" w:type="dxa"/>
            <w:noWrap/>
            <w:vAlign w:val="center"/>
          </w:tcPr>
          <w:p w14:paraId="514F4229">
            <w:pPr>
              <w:spacing w:line="240" w:lineRule="auto"/>
              <w:ind w:firstLine="0" w:firstLineChars="0"/>
              <w:jc w:val="center"/>
              <w:rPr>
                <w:rFonts w:cs="Times New Roman"/>
                <w:sz w:val="21"/>
                <w:szCs w:val="21"/>
              </w:rPr>
            </w:pPr>
            <w:r>
              <w:rPr>
                <w:rFonts w:hint="eastAsia" w:cs="Times New Roman"/>
                <w:sz w:val="21"/>
                <w:szCs w:val="21"/>
              </w:rPr>
              <w:t>约150</w:t>
            </w:r>
          </w:p>
        </w:tc>
      </w:tr>
      <w:tr w14:paraId="412C8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3714D04">
            <w:pPr>
              <w:pStyle w:val="39"/>
              <w:numPr>
                <w:ilvl w:val="0"/>
                <w:numId w:val="7"/>
              </w:numPr>
              <w:spacing w:line="240" w:lineRule="auto"/>
              <w:ind w:firstLineChars="0"/>
              <w:jc w:val="center"/>
              <w:rPr>
                <w:rFonts w:cs="Times New Roman"/>
                <w:sz w:val="21"/>
                <w:szCs w:val="21"/>
              </w:rPr>
            </w:pPr>
          </w:p>
        </w:tc>
        <w:tc>
          <w:tcPr>
            <w:tcW w:w="992" w:type="dxa"/>
            <w:noWrap/>
            <w:vAlign w:val="center"/>
          </w:tcPr>
          <w:p w14:paraId="34BA4A44">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484B7839">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3BF611C3">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7CB18147">
            <w:pPr>
              <w:spacing w:line="240" w:lineRule="auto"/>
              <w:ind w:firstLine="0" w:firstLineChars="0"/>
              <w:jc w:val="center"/>
              <w:rPr>
                <w:rFonts w:cs="Times New Roman"/>
                <w:sz w:val="21"/>
                <w:szCs w:val="21"/>
              </w:rPr>
            </w:pPr>
            <w:r>
              <w:rPr>
                <w:rFonts w:hint="eastAsia" w:cs="Times New Roman"/>
                <w:sz w:val="21"/>
                <w:szCs w:val="21"/>
              </w:rPr>
              <w:t>福地山庄</w:t>
            </w:r>
          </w:p>
        </w:tc>
        <w:tc>
          <w:tcPr>
            <w:tcW w:w="1701" w:type="dxa"/>
            <w:noWrap/>
            <w:vAlign w:val="center"/>
          </w:tcPr>
          <w:p w14:paraId="41B5D039">
            <w:pPr>
              <w:spacing w:line="240" w:lineRule="auto"/>
              <w:ind w:firstLine="0" w:firstLineChars="0"/>
              <w:jc w:val="center"/>
              <w:rPr>
                <w:rFonts w:cs="Times New Roman"/>
                <w:sz w:val="21"/>
                <w:szCs w:val="21"/>
              </w:rPr>
            </w:pPr>
            <w:r>
              <w:rPr>
                <w:rFonts w:hint="eastAsia" w:cs="Times New Roman"/>
                <w:sz w:val="21"/>
                <w:szCs w:val="21"/>
              </w:rPr>
              <w:t>119.294663</w:t>
            </w:r>
          </w:p>
        </w:tc>
        <w:tc>
          <w:tcPr>
            <w:tcW w:w="1690" w:type="dxa"/>
            <w:noWrap/>
            <w:vAlign w:val="center"/>
          </w:tcPr>
          <w:p w14:paraId="589A88E8">
            <w:pPr>
              <w:spacing w:line="240" w:lineRule="auto"/>
              <w:ind w:firstLine="0" w:firstLineChars="0"/>
              <w:jc w:val="center"/>
              <w:rPr>
                <w:rFonts w:cs="Times New Roman"/>
                <w:sz w:val="21"/>
                <w:szCs w:val="21"/>
              </w:rPr>
            </w:pPr>
            <w:r>
              <w:rPr>
                <w:rFonts w:hint="eastAsia" w:cs="Times New Roman"/>
                <w:sz w:val="21"/>
                <w:szCs w:val="21"/>
              </w:rPr>
              <w:t>31.790508</w:t>
            </w:r>
          </w:p>
        </w:tc>
        <w:tc>
          <w:tcPr>
            <w:tcW w:w="1080" w:type="dxa"/>
            <w:noWrap/>
            <w:vAlign w:val="center"/>
          </w:tcPr>
          <w:p w14:paraId="1B5A643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CD22B37">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0EB86642">
            <w:pPr>
              <w:spacing w:line="240" w:lineRule="auto"/>
              <w:ind w:firstLine="0" w:firstLineChars="0"/>
              <w:jc w:val="center"/>
              <w:rPr>
                <w:rFonts w:cs="Times New Roman"/>
                <w:sz w:val="21"/>
                <w:szCs w:val="21"/>
              </w:rPr>
            </w:pPr>
            <w:r>
              <w:rPr>
                <w:rFonts w:hint="eastAsia" w:cs="Times New Roman"/>
                <w:sz w:val="21"/>
                <w:szCs w:val="21"/>
              </w:rPr>
              <w:t>1608</w:t>
            </w:r>
          </w:p>
        </w:tc>
        <w:tc>
          <w:tcPr>
            <w:tcW w:w="1168" w:type="dxa"/>
            <w:noWrap/>
            <w:vAlign w:val="center"/>
          </w:tcPr>
          <w:p w14:paraId="462587C9">
            <w:pPr>
              <w:spacing w:line="240" w:lineRule="auto"/>
              <w:ind w:firstLine="0" w:firstLineChars="0"/>
              <w:jc w:val="center"/>
              <w:rPr>
                <w:rFonts w:cs="Times New Roman"/>
                <w:sz w:val="21"/>
                <w:szCs w:val="21"/>
              </w:rPr>
            </w:pPr>
            <w:r>
              <w:rPr>
                <w:rFonts w:hint="eastAsia" w:cs="Times New Roman"/>
                <w:sz w:val="21"/>
                <w:szCs w:val="21"/>
              </w:rPr>
              <w:t>约50</w:t>
            </w:r>
          </w:p>
        </w:tc>
      </w:tr>
      <w:tr w14:paraId="56FC3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03E78A8">
            <w:pPr>
              <w:pStyle w:val="39"/>
              <w:numPr>
                <w:ilvl w:val="0"/>
                <w:numId w:val="7"/>
              </w:numPr>
              <w:spacing w:line="240" w:lineRule="auto"/>
              <w:ind w:firstLineChars="0"/>
              <w:jc w:val="center"/>
              <w:rPr>
                <w:rFonts w:cs="Times New Roman"/>
                <w:sz w:val="21"/>
                <w:szCs w:val="21"/>
              </w:rPr>
            </w:pPr>
          </w:p>
        </w:tc>
        <w:tc>
          <w:tcPr>
            <w:tcW w:w="992" w:type="dxa"/>
            <w:noWrap/>
            <w:vAlign w:val="center"/>
          </w:tcPr>
          <w:p w14:paraId="3E36F0E6">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5124B8B5">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7CB9349D">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562F29AE">
            <w:pPr>
              <w:spacing w:line="240" w:lineRule="auto"/>
              <w:ind w:firstLine="0" w:firstLineChars="0"/>
              <w:jc w:val="center"/>
              <w:rPr>
                <w:rFonts w:cs="Times New Roman"/>
                <w:sz w:val="21"/>
                <w:szCs w:val="21"/>
              </w:rPr>
            </w:pPr>
            <w:r>
              <w:rPr>
                <w:rFonts w:hint="eastAsia" w:cs="Times New Roman"/>
                <w:sz w:val="21"/>
                <w:szCs w:val="21"/>
              </w:rPr>
              <w:t>茅山村</w:t>
            </w:r>
          </w:p>
        </w:tc>
        <w:tc>
          <w:tcPr>
            <w:tcW w:w="1701" w:type="dxa"/>
            <w:noWrap/>
            <w:vAlign w:val="center"/>
          </w:tcPr>
          <w:p w14:paraId="149EB182">
            <w:pPr>
              <w:spacing w:line="240" w:lineRule="auto"/>
              <w:ind w:firstLine="0" w:firstLineChars="0"/>
              <w:jc w:val="center"/>
              <w:rPr>
                <w:rFonts w:cs="Times New Roman"/>
                <w:sz w:val="21"/>
                <w:szCs w:val="21"/>
              </w:rPr>
            </w:pPr>
            <w:r>
              <w:rPr>
                <w:rFonts w:hint="eastAsia" w:cs="Times New Roman"/>
                <w:sz w:val="21"/>
                <w:szCs w:val="21"/>
              </w:rPr>
              <w:t>119.296026</w:t>
            </w:r>
          </w:p>
        </w:tc>
        <w:tc>
          <w:tcPr>
            <w:tcW w:w="1690" w:type="dxa"/>
            <w:noWrap/>
            <w:vAlign w:val="center"/>
          </w:tcPr>
          <w:p w14:paraId="0DDB0CF9">
            <w:pPr>
              <w:spacing w:line="240" w:lineRule="auto"/>
              <w:ind w:firstLine="0" w:firstLineChars="0"/>
              <w:jc w:val="center"/>
              <w:rPr>
                <w:rFonts w:cs="Times New Roman"/>
                <w:sz w:val="21"/>
                <w:szCs w:val="21"/>
              </w:rPr>
            </w:pPr>
            <w:r>
              <w:rPr>
                <w:rFonts w:hint="eastAsia" w:cs="Times New Roman"/>
                <w:sz w:val="21"/>
                <w:szCs w:val="21"/>
              </w:rPr>
              <w:t>31.793801</w:t>
            </w:r>
          </w:p>
        </w:tc>
        <w:tc>
          <w:tcPr>
            <w:tcW w:w="1080" w:type="dxa"/>
            <w:noWrap/>
            <w:vAlign w:val="center"/>
          </w:tcPr>
          <w:p w14:paraId="4F08D8C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605D8EB">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11C3D324">
            <w:pPr>
              <w:spacing w:line="240" w:lineRule="auto"/>
              <w:ind w:firstLine="0" w:firstLineChars="0"/>
              <w:jc w:val="center"/>
              <w:rPr>
                <w:rFonts w:cs="Times New Roman"/>
                <w:sz w:val="21"/>
                <w:szCs w:val="21"/>
              </w:rPr>
            </w:pPr>
            <w:r>
              <w:rPr>
                <w:rFonts w:hint="eastAsia" w:cs="Times New Roman"/>
                <w:sz w:val="21"/>
                <w:szCs w:val="21"/>
              </w:rPr>
              <w:t>1326</w:t>
            </w:r>
          </w:p>
        </w:tc>
        <w:tc>
          <w:tcPr>
            <w:tcW w:w="1168" w:type="dxa"/>
            <w:noWrap/>
            <w:vAlign w:val="center"/>
          </w:tcPr>
          <w:p w14:paraId="1EC360E4">
            <w:pPr>
              <w:spacing w:line="240" w:lineRule="auto"/>
              <w:ind w:firstLine="0" w:firstLineChars="0"/>
              <w:jc w:val="center"/>
              <w:rPr>
                <w:rFonts w:cs="Times New Roman"/>
                <w:sz w:val="21"/>
                <w:szCs w:val="21"/>
              </w:rPr>
            </w:pPr>
            <w:r>
              <w:rPr>
                <w:rFonts w:hint="eastAsia" w:cs="Times New Roman"/>
                <w:sz w:val="21"/>
                <w:szCs w:val="21"/>
              </w:rPr>
              <w:t>约400</w:t>
            </w:r>
          </w:p>
        </w:tc>
      </w:tr>
      <w:tr w14:paraId="53BE3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E8FE9F9">
            <w:pPr>
              <w:pStyle w:val="39"/>
              <w:numPr>
                <w:ilvl w:val="0"/>
                <w:numId w:val="7"/>
              </w:numPr>
              <w:spacing w:line="240" w:lineRule="auto"/>
              <w:ind w:firstLineChars="0"/>
              <w:jc w:val="center"/>
              <w:rPr>
                <w:rFonts w:cs="Times New Roman"/>
                <w:sz w:val="21"/>
                <w:szCs w:val="21"/>
              </w:rPr>
            </w:pPr>
          </w:p>
        </w:tc>
        <w:tc>
          <w:tcPr>
            <w:tcW w:w="992" w:type="dxa"/>
            <w:noWrap/>
            <w:vAlign w:val="center"/>
          </w:tcPr>
          <w:p w14:paraId="69B13F66">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25060E3">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6849C076">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3E3F8E5D">
            <w:pPr>
              <w:spacing w:line="240" w:lineRule="auto"/>
              <w:ind w:firstLine="0" w:firstLineChars="0"/>
              <w:jc w:val="center"/>
              <w:rPr>
                <w:rFonts w:cs="Times New Roman"/>
                <w:sz w:val="21"/>
                <w:szCs w:val="21"/>
              </w:rPr>
            </w:pPr>
            <w:r>
              <w:rPr>
                <w:rFonts w:hint="eastAsia" w:cs="Times New Roman"/>
                <w:sz w:val="21"/>
                <w:szCs w:val="21"/>
              </w:rPr>
              <w:t>南窑</w:t>
            </w:r>
          </w:p>
        </w:tc>
        <w:tc>
          <w:tcPr>
            <w:tcW w:w="1701" w:type="dxa"/>
            <w:noWrap/>
            <w:vAlign w:val="center"/>
          </w:tcPr>
          <w:p w14:paraId="79CC695C">
            <w:pPr>
              <w:spacing w:line="240" w:lineRule="auto"/>
              <w:ind w:firstLine="0" w:firstLineChars="0"/>
              <w:jc w:val="center"/>
              <w:rPr>
                <w:rFonts w:cs="Times New Roman"/>
                <w:sz w:val="21"/>
                <w:szCs w:val="21"/>
              </w:rPr>
            </w:pPr>
            <w:r>
              <w:rPr>
                <w:rFonts w:hint="eastAsia" w:cs="Times New Roman"/>
                <w:sz w:val="21"/>
                <w:szCs w:val="21"/>
              </w:rPr>
              <w:t>119.2972</w:t>
            </w:r>
          </w:p>
        </w:tc>
        <w:tc>
          <w:tcPr>
            <w:tcW w:w="1690" w:type="dxa"/>
            <w:noWrap/>
            <w:vAlign w:val="center"/>
          </w:tcPr>
          <w:p w14:paraId="5615F970">
            <w:pPr>
              <w:spacing w:line="240" w:lineRule="auto"/>
              <w:ind w:firstLine="0" w:firstLineChars="0"/>
              <w:jc w:val="center"/>
              <w:rPr>
                <w:rFonts w:cs="Times New Roman"/>
                <w:sz w:val="21"/>
                <w:szCs w:val="21"/>
              </w:rPr>
            </w:pPr>
            <w:r>
              <w:rPr>
                <w:rFonts w:hint="eastAsia" w:cs="Times New Roman"/>
                <w:sz w:val="21"/>
                <w:szCs w:val="21"/>
              </w:rPr>
              <w:t>31.785328</w:t>
            </w:r>
          </w:p>
        </w:tc>
        <w:tc>
          <w:tcPr>
            <w:tcW w:w="1080" w:type="dxa"/>
            <w:noWrap/>
            <w:vAlign w:val="center"/>
          </w:tcPr>
          <w:p w14:paraId="2E043B1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9523FF9">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6E174CE0">
            <w:pPr>
              <w:spacing w:line="240" w:lineRule="auto"/>
              <w:ind w:firstLine="0" w:firstLineChars="0"/>
              <w:jc w:val="center"/>
              <w:rPr>
                <w:rFonts w:cs="Times New Roman"/>
                <w:sz w:val="21"/>
                <w:szCs w:val="21"/>
              </w:rPr>
            </w:pPr>
            <w:r>
              <w:rPr>
                <w:rFonts w:hint="eastAsia" w:cs="Times New Roman"/>
                <w:sz w:val="21"/>
                <w:szCs w:val="21"/>
              </w:rPr>
              <w:t>905</w:t>
            </w:r>
          </w:p>
        </w:tc>
        <w:tc>
          <w:tcPr>
            <w:tcW w:w="1168" w:type="dxa"/>
            <w:noWrap/>
            <w:vAlign w:val="center"/>
          </w:tcPr>
          <w:p w14:paraId="20BAD65F">
            <w:pPr>
              <w:spacing w:line="240" w:lineRule="auto"/>
              <w:ind w:firstLine="0" w:firstLineChars="0"/>
              <w:jc w:val="center"/>
              <w:rPr>
                <w:rFonts w:cs="Times New Roman"/>
                <w:sz w:val="21"/>
                <w:szCs w:val="21"/>
              </w:rPr>
            </w:pPr>
            <w:r>
              <w:rPr>
                <w:rFonts w:hint="eastAsia" w:cs="Times New Roman"/>
                <w:sz w:val="21"/>
                <w:szCs w:val="21"/>
              </w:rPr>
              <w:t>约150</w:t>
            </w:r>
          </w:p>
        </w:tc>
      </w:tr>
      <w:tr w14:paraId="33DF7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EC65E13">
            <w:pPr>
              <w:pStyle w:val="39"/>
              <w:numPr>
                <w:ilvl w:val="0"/>
                <w:numId w:val="7"/>
              </w:numPr>
              <w:spacing w:line="240" w:lineRule="auto"/>
              <w:ind w:firstLineChars="0"/>
              <w:jc w:val="center"/>
              <w:rPr>
                <w:rFonts w:cs="Times New Roman"/>
                <w:sz w:val="21"/>
                <w:szCs w:val="21"/>
              </w:rPr>
            </w:pPr>
          </w:p>
        </w:tc>
        <w:tc>
          <w:tcPr>
            <w:tcW w:w="992" w:type="dxa"/>
            <w:noWrap/>
            <w:vAlign w:val="center"/>
          </w:tcPr>
          <w:p w14:paraId="53A96AAC">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5A6AD5D">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383680AB">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0DFBA589">
            <w:pPr>
              <w:spacing w:line="240" w:lineRule="auto"/>
              <w:ind w:firstLine="0" w:firstLineChars="0"/>
              <w:jc w:val="center"/>
              <w:rPr>
                <w:rFonts w:cs="Times New Roman"/>
                <w:sz w:val="21"/>
                <w:szCs w:val="21"/>
              </w:rPr>
            </w:pPr>
            <w:r>
              <w:rPr>
                <w:rFonts w:hint="eastAsia" w:cs="Times New Roman"/>
                <w:sz w:val="21"/>
                <w:szCs w:val="21"/>
              </w:rPr>
              <w:t>千仑地</w:t>
            </w:r>
          </w:p>
        </w:tc>
        <w:tc>
          <w:tcPr>
            <w:tcW w:w="1701" w:type="dxa"/>
            <w:noWrap/>
            <w:vAlign w:val="center"/>
          </w:tcPr>
          <w:p w14:paraId="7244C701">
            <w:pPr>
              <w:spacing w:line="240" w:lineRule="auto"/>
              <w:ind w:firstLine="0" w:firstLineChars="0"/>
              <w:jc w:val="center"/>
              <w:rPr>
                <w:rFonts w:cs="Times New Roman"/>
                <w:sz w:val="21"/>
                <w:szCs w:val="21"/>
              </w:rPr>
            </w:pPr>
            <w:r>
              <w:rPr>
                <w:rFonts w:hint="eastAsia" w:cs="Times New Roman"/>
                <w:sz w:val="21"/>
                <w:szCs w:val="21"/>
              </w:rPr>
              <w:t>119.292255</w:t>
            </w:r>
          </w:p>
        </w:tc>
        <w:tc>
          <w:tcPr>
            <w:tcW w:w="1690" w:type="dxa"/>
            <w:noWrap/>
            <w:vAlign w:val="center"/>
          </w:tcPr>
          <w:p w14:paraId="3EB58294">
            <w:pPr>
              <w:spacing w:line="240" w:lineRule="auto"/>
              <w:ind w:firstLine="0" w:firstLineChars="0"/>
              <w:jc w:val="center"/>
              <w:rPr>
                <w:rFonts w:cs="Times New Roman"/>
                <w:sz w:val="21"/>
                <w:szCs w:val="21"/>
              </w:rPr>
            </w:pPr>
            <w:r>
              <w:rPr>
                <w:rFonts w:hint="eastAsia" w:cs="Times New Roman"/>
                <w:sz w:val="21"/>
                <w:szCs w:val="21"/>
              </w:rPr>
              <w:t>31.786027</w:t>
            </w:r>
          </w:p>
        </w:tc>
        <w:tc>
          <w:tcPr>
            <w:tcW w:w="1080" w:type="dxa"/>
            <w:noWrap/>
            <w:vAlign w:val="center"/>
          </w:tcPr>
          <w:p w14:paraId="4D339E0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D0CBD70">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742B23D1">
            <w:pPr>
              <w:spacing w:line="240" w:lineRule="auto"/>
              <w:ind w:firstLine="0" w:firstLineChars="0"/>
              <w:jc w:val="center"/>
              <w:rPr>
                <w:rFonts w:cs="Times New Roman"/>
                <w:sz w:val="21"/>
                <w:szCs w:val="21"/>
              </w:rPr>
            </w:pPr>
            <w:r>
              <w:rPr>
                <w:rFonts w:hint="eastAsia" w:cs="Times New Roman"/>
                <w:sz w:val="21"/>
                <w:szCs w:val="21"/>
              </w:rPr>
              <w:t>1305</w:t>
            </w:r>
          </w:p>
        </w:tc>
        <w:tc>
          <w:tcPr>
            <w:tcW w:w="1168" w:type="dxa"/>
            <w:noWrap/>
            <w:vAlign w:val="center"/>
          </w:tcPr>
          <w:p w14:paraId="40A907CE">
            <w:pPr>
              <w:spacing w:line="240" w:lineRule="auto"/>
              <w:ind w:firstLine="0" w:firstLineChars="0"/>
              <w:jc w:val="center"/>
              <w:rPr>
                <w:rFonts w:cs="Times New Roman"/>
                <w:sz w:val="21"/>
                <w:szCs w:val="21"/>
              </w:rPr>
            </w:pPr>
            <w:r>
              <w:rPr>
                <w:rFonts w:hint="eastAsia" w:cs="Times New Roman"/>
                <w:sz w:val="21"/>
                <w:szCs w:val="21"/>
              </w:rPr>
              <w:t>约400</w:t>
            </w:r>
          </w:p>
        </w:tc>
      </w:tr>
      <w:tr w14:paraId="035F0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68E5D11">
            <w:pPr>
              <w:pStyle w:val="39"/>
              <w:numPr>
                <w:ilvl w:val="0"/>
                <w:numId w:val="7"/>
              </w:numPr>
              <w:spacing w:line="240" w:lineRule="auto"/>
              <w:ind w:firstLineChars="0"/>
              <w:jc w:val="center"/>
              <w:rPr>
                <w:rFonts w:cs="Times New Roman"/>
                <w:sz w:val="21"/>
                <w:szCs w:val="21"/>
              </w:rPr>
            </w:pPr>
          </w:p>
        </w:tc>
        <w:tc>
          <w:tcPr>
            <w:tcW w:w="992" w:type="dxa"/>
            <w:noWrap/>
            <w:vAlign w:val="center"/>
          </w:tcPr>
          <w:p w14:paraId="67386901">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5F6FAA8D">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3700F69A">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05E913B0">
            <w:pPr>
              <w:spacing w:line="240" w:lineRule="auto"/>
              <w:ind w:firstLine="0" w:firstLineChars="0"/>
              <w:jc w:val="center"/>
              <w:rPr>
                <w:rFonts w:cs="Times New Roman"/>
                <w:sz w:val="21"/>
                <w:szCs w:val="21"/>
              </w:rPr>
            </w:pPr>
            <w:r>
              <w:rPr>
                <w:rFonts w:hint="eastAsia" w:cs="Times New Roman"/>
                <w:sz w:val="21"/>
                <w:szCs w:val="21"/>
              </w:rPr>
              <w:t>后南庄</w:t>
            </w:r>
          </w:p>
        </w:tc>
        <w:tc>
          <w:tcPr>
            <w:tcW w:w="1701" w:type="dxa"/>
            <w:noWrap/>
            <w:vAlign w:val="center"/>
          </w:tcPr>
          <w:p w14:paraId="270D9310">
            <w:pPr>
              <w:spacing w:line="240" w:lineRule="auto"/>
              <w:ind w:firstLine="0" w:firstLineChars="0"/>
              <w:jc w:val="center"/>
              <w:rPr>
                <w:rFonts w:cs="Times New Roman"/>
                <w:sz w:val="21"/>
                <w:szCs w:val="21"/>
              </w:rPr>
            </w:pPr>
            <w:r>
              <w:rPr>
                <w:rFonts w:hint="eastAsia" w:cs="Times New Roman"/>
                <w:sz w:val="21"/>
                <w:szCs w:val="21"/>
              </w:rPr>
              <w:t>119.293857</w:t>
            </w:r>
          </w:p>
        </w:tc>
        <w:tc>
          <w:tcPr>
            <w:tcW w:w="1690" w:type="dxa"/>
            <w:noWrap/>
            <w:vAlign w:val="center"/>
          </w:tcPr>
          <w:p w14:paraId="4341F1BA">
            <w:pPr>
              <w:spacing w:line="240" w:lineRule="auto"/>
              <w:ind w:firstLine="0" w:firstLineChars="0"/>
              <w:jc w:val="center"/>
              <w:rPr>
                <w:rFonts w:cs="Times New Roman"/>
                <w:sz w:val="21"/>
                <w:szCs w:val="21"/>
              </w:rPr>
            </w:pPr>
            <w:r>
              <w:rPr>
                <w:rFonts w:hint="eastAsia" w:cs="Times New Roman"/>
                <w:sz w:val="21"/>
                <w:szCs w:val="21"/>
              </w:rPr>
              <w:t>31.780803</w:t>
            </w:r>
          </w:p>
        </w:tc>
        <w:tc>
          <w:tcPr>
            <w:tcW w:w="1080" w:type="dxa"/>
            <w:noWrap/>
            <w:vAlign w:val="center"/>
          </w:tcPr>
          <w:p w14:paraId="0C2DB61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8A482A1">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55F659E7">
            <w:pPr>
              <w:spacing w:line="240" w:lineRule="auto"/>
              <w:ind w:firstLine="0" w:firstLineChars="0"/>
              <w:jc w:val="center"/>
              <w:rPr>
                <w:rFonts w:cs="Times New Roman"/>
                <w:sz w:val="21"/>
                <w:szCs w:val="21"/>
              </w:rPr>
            </w:pPr>
            <w:r>
              <w:rPr>
                <w:rFonts w:hint="eastAsia" w:cs="Times New Roman"/>
                <w:sz w:val="21"/>
                <w:szCs w:val="21"/>
              </w:rPr>
              <w:t>854</w:t>
            </w:r>
          </w:p>
        </w:tc>
        <w:tc>
          <w:tcPr>
            <w:tcW w:w="1168" w:type="dxa"/>
            <w:noWrap/>
            <w:vAlign w:val="center"/>
          </w:tcPr>
          <w:p w14:paraId="33DE4DA9">
            <w:pPr>
              <w:spacing w:line="240" w:lineRule="auto"/>
              <w:ind w:firstLine="0" w:firstLineChars="0"/>
              <w:jc w:val="center"/>
              <w:rPr>
                <w:rFonts w:cs="Times New Roman"/>
                <w:sz w:val="21"/>
                <w:szCs w:val="21"/>
              </w:rPr>
            </w:pPr>
            <w:r>
              <w:rPr>
                <w:rFonts w:hint="eastAsia" w:cs="Times New Roman"/>
                <w:sz w:val="21"/>
                <w:szCs w:val="21"/>
              </w:rPr>
              <w:t>约100</w:t>
            </w:r>
          </w:p>
        </w:tc>
      </w:tr>
      <w:tr w14:paraId="7C3EC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A5F75A4">
            <w:pPr>
              <w:pStyle w:val="39"/>
              <w:numPr>
                <w:ilvl w:val="0"/>
                <w:numId w:val="7"/>
              </w:numPr>
              <w:spacing w:line="240" w:lineRule="auto"/>
              <w:ind w:firstLineChars="0"/>
              <w:jc w:val="center"/>
              <w:rPr>
                <w:rFonts w:cs="Times New Roman"/>
                <w:sz w:val="21"/>
                <w:szCs w:val="21"/>
              </w:rPr>
            </w:pPr>
          </w:p>
        </w:tc>
        <w:tc>
          <w:tcPr>
            <w:tcW w:w="992" w:type="dxa"/>
            <w:noWrap/>
            <w:vAlign w:val="center"/>
          </w:tcPr>
          <w:p w14:paraId="6A77AAEC">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82F50F9">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672E8695">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197D2C18">
            <w:pPr>
              <w:spacing w:line="240" w:lineRule="auto"/>
              <w:ind w:firstLine="0" w:firstLineChars="0"/>
              <w:jc w:val="center"/>
              <w:rPr>
                <w:rFonts w:cs="Times New Roman"/>
                <w:sz w:val="21"/>
                <w:szCs w:val="21"/>
              </w:rPr>
            </w:pPr>
            <w:r>
              <w:rPr>
                <w:rFonts w:hint="eastAsia" w:cs="Times New Roman"/>
                <w:sz w:val="21"/>
                <w:szCs w:val="21"/>
              </w:rPr>
              <w:t>前南庄</w:t>
            </w:r>
          </w:p>
        </w:tc>
        <w:tc>
          <w:tcPr>
            <w:tcW w:w="1701" w:type="dxa"/>
            <w:noWrap/>
            <w:vAlign w:val="center"/>
          </w:tcPr>
          <w:p w14:paraId="19FC6F04">
            <w:pPr>
              <w:spacing w:line="240" w:lineRule="auto"/>
              <w:ind w:firstLine="0" w:firstLineChars="0"/>
              <w:jc w:val="center"/>
              <w:rPr>
                <w:rFonts w:cs="Times New Roman"/>
                <w:sz w:val="21"/>
                <w:szCs w:val="21"/>
              </w:rPr>
            </w:pPr>
            <w:r>
              <w:rPr>
                <w:rFonts w:hint="eastAsia" w:cs="Times New Roman"/>
                <w:sz w:val="21"/>
                <w:szCs w:val="21"/>
              </w:rPr>
              <w:t>119.294412</w:t>
            </w:r>
          </w:p>
        </w:tc>
        <w:tc>
          <w:tcPr>
            <w:tcW w:w="1690" w:type="dxa"/>
            <w:noWrap/>
            <w:vAlign w:val="center"/>
          </w:tcPr>
          <w:p w14:paraId="5751274C">
            <w:pPr>
              <w:spacing w:line="240" w:lineRule="auto"/>
              <w:ind w:firstLine="0" w:firstLineChars="0"/>
              <w:jc w:val="center"/>
              <w:rPr>
                <w:rFonts w:cs="Times New Roman"/>
                <w:sz w:val="21"/>
                <w:szCs w:val="21"/>
              </w:rPr>
            </w:pPr>
            <w:r>
              <w:rPr>
                <w:rFonts w:hint="eastAsia" w:cs="Times New Roman"/>
                <w:sz w:val="21"/>
                <w:szCs w:val="21"/>
              </w:rPr>
              <w:t>31.774385</w:t>
            </w:r>
          </w:p>
        </w:tc>
        <w:tc>
          <w:tcPr>
            <w:tcW w:w="1080" w:type="dxa"/>
            <w:noWrap/>
            <w:vAlign w:val="center"/>
          </w:tcPr>
          <w:p w14:paraId="0FE1AF5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E36AAE1">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5DBDD998">
            <w:pPr>
              <w:spacing w:line="240" w:lineRule="auto"/>
              <w:ind w:firstLine="0" w:firstLineChars="0"/>
              <w:jc w:val="center"/>
              <w:rPr>
                <w:rFonts w:cs="Times New Roman"/>
                <w:sz w:val="21"/>
                <w:szCs w:val="21"/>
              </w:rPr>
            </w:pPr>
            <w:r>
              <w:rPr>
                <w:rFonts w:hint="eastAsia" w:cs="Times New Roman"/>
                <w:sz w:val="21"/>
                <w:szCs w:val="21"/>
              </w:rPr>
              <w:t>593</w:t>
            </w:r>
          </w:p>
        </w:tc>
        <w:tc>
          <w:tcPr>
            <w:tcW w:w="1168" w:type="dxa"/>
            <w:noWrap/>
            <w:vAlign w:val="center"/>
          </w:tcPr>
          <w:p w14:paraId="0221456D">
            <w:pPr>
              <w:spacing w:line="240" w:lineRule="auto"/>
              <w:ind w:firstLine="0" w:firstLineChars="0"/>
              <w:jc w:val="center"/>
              <w:rPr>
                <w:rFonts w:cs="Times New Roman"/>
                <w:sz w:val="21"/>
                <w:szCs w:val="21"/>
              </w:rPr>
            </w:pPr>
            <w:r>
              <w:rPr>
                <w:rFonts w:hint="eastAsia" w:cs="Times New Roman"/>
                <w:sz w:val="21"/>
                <w:szCs w:val="21"/>
              </w:rPr>
              <w:t>约80</w:t>
            </w:r>
          </w:p>
        </w:tc>
      </w:tr>
      <w:tr w14:paraId="56652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EB4D83F">
            <w:pPr>
              <w:pStyle w:val="39"/>
              <w:numPr>
                <w:ilvl w:val="0"/>
                <w:numId w:val="7"/>
              </w:numPr>
              <w:spacing w:line="240" w:lineRule="auto"/>
              <w:ind w:firstLineChars="0"/>
              <w:jc w:val="center"/>
              <w:rPr>
                <w:rFonts w:cs="Times New Roman"/>
                <w:sz w:val="21"/>
                <w:szCs w:val="21"/>
              </w:rPr>
            </w:pPr>
          </w:p>
        </w:tc>
        <w:tc>
          <w:tcPr>
            <w:tcW w:w="992" w:type="dxa"/>
            <w:noWrap/>
            <w:vAlign w:val="center"/>
          </w:tcPr>
          <w:p w14:paraId="5E552D6F">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A4401A4">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3323F23C">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30C79E16">
            <w:pPr>
              <w:spacing w:line="240" w:lineRule="auto"/>
              <w:ind w:firstLine="0" w:firstLineChars="0"/>
              <w:jc w:val="center"/>
              <w:rPr>
                <w:rFonts w:cs="Times New Roman"/>
                <w:sz w:val="21"/>
                <w:szCs w:val="21"/>
              </w:rPr>
            </w:pPr>
            <w:r>
              <w:rPr>
                <w:rFonts w:hint="eastAsia" w:cs="Times New Roman"/>
                <w:sz w:val="21"/>
                <w:szCs w:val="21"/>
              </w:rPr>
              <w:t>夏林村</w:t>
            </w:r>
          </w:p>
        </w:tc>
        <w:tc>
          <w:tcPr>
            <w:tcW w:w="1701" w:type="dxa"/>
            <w:noWrap/>
            <w:vAlign w:val="center"/>
          </w:tcPr>
          <w:p w14:paraId="3461717C">
            <w:pPr>
              <w:spacing w:line="240" w:lineRule="auto"/>
              <w:ind w:firstLine="0" w:firstLineChars="0"/>
              <w:jc w:val="center"/>
              <w:rPr>
                <w:rFonts w:cs="Times New Roman"/>
                <w:sz w:val="21"/>
                <w:szCs w:val="21"/>
              </w:rPr>
            </w:pPr>
            <w:r>
              <w:rPr>
                <w:rFonts w:hint="eastAsia" w:cs="Times New Roman"/>
                <w:sz w:val="21"/>
                <w:szCs w:val="21"/>
              </w:rPr>
              <w:t>119.282578</w:t>
            </w:r>
          </w:p>
        </w:tc>
        <w:tc>
          <w:tcPr>
            <w:tcW w:w="1690" w:type="dxa"/>
            <w:noWrap/>
            <w:vAlign w:val="center"/>
          </w:tcPr>
          <w:p w14:paraId="101ABB10">
            <w:pPr>
              <w:spacing w:line="240" w:lineRule="auto"/>
              <w:ind w:firstLine="0" w:firstLineChars="0"/>
              <w:jc w:val="center"/>
              <w:rPr>
                <w:rFonts w:cs="Times New Roman"/>
                <w:sz w:val="21"/>
                <w:szCs w:val="21"/>
              </w:rPr>
            </w:pPr>
            <w:r>
              <w:rPr>
                <w:rFonts w:hint="eastAsia" w:cs="Times New Roman"/>
                <w:sz w:val="21"/>
                <w:szCs w:val="21"/>
              </w:rPr>
              <w:t>31.776377</w:t>
            </w:r>
          </w:p>
        </w:tc>
        <w:tc>
          <w:tcPr>
            <w:tcW w:w="1080" w:type="dxa"/>
            <w:noWrap/>
            <w:vAlign w:val="center"/>
          </w:tcPr>
          <w:p w14:paraId="6762400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7354FA7">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210ECC5B">
            <w:pPr>
              <w:spacing w:line="240" w:lineRule="auto"/>
              <w:ind w:firstLine="0" w:firstLineChars="0"/>
              <w:jc w:val="center"/>
              <w:rPr>
                <w:rFonts w:cs="Times New Roman"/>
                <w:sz w:val="21"/>
                <w:szCs w:val="21"/>
              </w:rPr>
            </w:pPr>
            <w:r>
              <w:rPr>
                <w:rFonts w:hint="eastAsia" w:cs="Times New Roman"/>
                <w:sz w:val="21"/>
                <w:szCs w:val="21"/>
              </w:rPr>
              <w:t>1685</w:t>
            </w:r>
          </w:p>
        </w:tc>
        <w:tc>
          <w:tcPr>
            <w:tcW w:w="1168" w:type="dxa"/>
            <w:noWrap/>
            <w:vAlign w:val="center"/>
          </w:tcPr>
          <w:p w14:paraId="1B4D26D0">
            <w:pPr>
              <w:spacing w:line="240" w:lineRule="auto"/>
              <w:ind w:firstLine="0" w:firstLineChars="0"/>
              <w:jc w:val="center"/>
              <w:rPr>
                <w:rFonts w:cs="Times New Roman"/>
                <w:sz w:val="21"/>
                <w:szCs w:val="21"/>
              </w:rPr>
            </w:pPr>
            <w:r>
              <w:rPr>
                <w:rFonts w:hint="eastAsia" w:cs="Times New Roman"/>
                <w:sz w:val="21"/>
                <w:szCs w:val="21"/>
              </w:rPr>
              <w:t>约100</w:t>
            </w:r>
          </w:p>
        </w:tc>
      </w:tr>
      <w:tr w14:paraId="6C44A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62FB6EB">
            <w:pPr>
              <w:pStyle w:val="39"/>
              <w:numPr>
                <w:ilvl w:val="0"/>
                <w:numId w:val="7"/>
              </w:numPr>
              <w:spacing w:line="240" w:lineRule="auto"/>
              <w:ind w:firstLineChars="0"/>
              <w:jc w:val="center"/>
              <w:rPr>
                <w:rFonts w:cs="Times New Roman"/>
                <w:sz w:val="21"/>
                <w:szCs w:val="21"/>
              </w:rPr>
            </w:pPr>
          </w:p>
        </w:tc>
        <w:tc>
          <w:tcPr>
            <w:tcW w:w="992" w:type="dxa"/>
            <w:noWrap/>
            <w:vAlign w:val="center"/>
          </w:tcPr>
          <w:p w14:paraId="55C6973A">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DF0C4E5">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245CFC5D">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7761AE58">
            <w:pPr>
              <w:spacing w:line="240" w:lineRule="auto"/>
              <w:ind w:firstLine="0" w:firstLineChars="0"/>
              <w:jc w:val="center"/>
              <w:rPr>
                <w:rFonts w:cs="Times New Roman"/>
                <w:sz w:val="21"/>
                <w:szCs w:val="21"/>
              </w:rPr>
            </w:pPr>
            <w:r>
              <w:rPr>
                <w:rFonts w:hint="eastAsia" w:cs="Times New Roman"/>
                <w:sz w:val="21"/>
                <w:szCs w:val="21"/>
              </w:rPr>
              <w:t>周公塘</w:t>
            </w:r>
          </w:p>
        </w:tc>
        <w:tc>
          <w:tcPr>
            <w:tcW w:w="1701" w:type="dxa"/>
            <w:noWrap/>
            <w:vAlign w:val="center"/>
          </w:tcPr>
          <w:p w14:paraId="7A47C5E6">
            <w:pPr>
              <w:spacing w:line="240" w:lineRule="auto"/>
              <w:ind w:firstLine="0" w:firstLineChars="0"/>
              <w:jc w:val="center"/>
              <w:rPr>
                <w:rFonts w:cs="Times New Roman"/>
                <w:sz w:val="21"/>
                <w:szCs w:val="21"/>
              </w:rPr>
            </w:pPr>
            <w:r>
              <w:rPr>
                <w:rFonts w:hint="eastAsia" w:cs="Times New Roman"/>
                <w:sz w:val="21"/>
                <w:szCs w:val="21"/>
              </w:rPr>
              <w:t>119.27919</w:t>
            </w:r>
          </w:p>
        </w:tc>
        <w:tc>
          <w:tcPr>
            <w:tcW w:w="1690" w:type="dxa"/>
            <w:noWrap/>
            <w:vAlign w:val="center"/>
          </w:tcPr>
          <w:p w14:paraId="266FCB73">
            <w:pPr>
              <w:spacing w:line="240" w:lineRule="auto"/>
              <w:ind w:firstLine="0" w:firstLineChars="0"/>
              <w:jc w:val="center"/>
              <w:rPr>
                <w:rFonts w:cs="Times New Roman"/>
                <w:sz w:val="21"/>
                <w:szCs w:val="21"/>
              </w:rPr>
            </w:pPr>
            <w:r>
              <w:rPr>
                <w:rFonts w:hint="eastAsia" w:cs="Times New Roman"/>
                <w:sz w:val="21"/>
                <w:szCs w:val="21"/>
              </w:rPr>
              <w:t>31.771685</w:t>
            </w:r>
          </w:p>
        </w:tc>
        <w:tc>
          <w:tcPr>
            <w:tcW w:w="1080" w:type="dxa"/>
            <w:noWrap/>
            <w:vAlign w:val="center"/>
          </w:tcPr>
          <w:p w14:paraId="7F8E392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BDEEF0D">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10380F57">
            <w:pPr>
              <w:spacing w:line="240" w:lineRule="auto"/>
              <w:ind w:firstLine="0" w:firstLineChars="0"/>
              <w:jc w:val="center"/>
              <w:rPr>
                <w:rFonts w:cs="Times New Roman"/>
                <w:sz w:val="21"/>
                <w:szCs w:val="21"/>
              </w:rPr>
            </w:pPr>
            <w:r>
              <w:rPr>
                <w:rFonts w:hint="eastAsia" w:cs="Times New Roman"/>
                <w:sz w:val="21"/>
                <w:szCs w:val="21"/>
              </w:rPr>
              <w:t>1852</w:t>
            </w:r>
          </w:p>
        </w:tc>
        <w:tc>
          <w:tcPr>
            <w:tcW w:w="1168" w:type="dxa"/>
            <w:noWrap/>
            <w:vAlign w:val="center"/>
          </w:tcPr>
          <w:p w14:paraId="3FD78C17">
            <w:pPr>
              <w:spacing w:line="240" w:lineRule="auto"/>
              <w:ind w:firstLine="0" w:firstLineChars="0"/>
              <w:jc w:val="center"/>
              <w:rPr>
                <w:rFonts w:cs="Times New Roman"/>
                <w:sz w:val="21"/>
                <w:szCs w:val="21"/>
              </w:rPr>
            </w:pPr>
            <w:r>
              <w:rPr>
                <w:rFonts w:hint="eastAsia" w:cs="Times New Roman"/>
                <w:sz w:val="21"/>
                <w:szCs w:val="21"/>
              </w:rPr>
              <w:t>约50</w:t>
            </w:r>
          </w:p>
        </w:tc>
      </w:tr>
      <w:tr w14:paraId="240FA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A995AA8">
            <w:pPr>
              <w:pStyle w:val="39"/>
              <w:numPr>
                <w:ilvl w:val="0"/>
                <w:numId w:val="7"/>
              </w:numPr>
              <w:spacing w:line="240" w:lineRule="auto"/>
              <w:ind w:firstLineChars="0"/>
              <w:jc w:val="center"/>
              <w:rPr>
                <w:rFonts w:cs="Times New Roman"/>
                <w:sz w:val="21"/>
                <w:szCs w:val="21"/>
              </w:rPr>
            </w:pPr>
          </w:p>
        </w:tc>
        <w:tc>
          <w:tcPr>
            <w:tcW w:w="992" w:type="dxa"/>
            <w:noWrap/>
            <w:vAlign w:val="center"/>
          </w:tcPr>
          <w:p w14:paraId="29F3B72A">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453029E9">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1D56859B">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6F3CA0C5">
            <w:pPr>
              <w:spacing w:line="240" w:lineRule="auto"/>
              <w:ind w:firstLine="0" w:firstLineChars="0"/>
              <w:jc w:val="center"/>
              <w:rPr>
                <w:rFonts w:cs="Times New Roman"/>
                <w:sz w:val="21"/>
                <w:szCs w:val="21"/>
              </w:rPr>
            </w:pPr>
            <w:r>
              <w:rPr>
                <w:rFonts w:hint="eastAsia" w:cs="Times New Roman"/>
                <w:sz w:val="21"/>
                <w:szCs w:val="21"/>
              </w:rPr>
              <w:t>西沟</w:t>
            </w:r>
          </w:p>
        </w:tc>
        <w:tc>
          <w:tcPr>
            <w:tcW w:w="1701" w:type="dxa"/>
            <w:noWrap/>
            <w:vAlign w:val="center"/>
          </w:tcPr>
          <w:p w14:paraId="0A46CE38">
            <w:pPr>
              <w:spacing w:line="240" w:lineRule="auto"/>
              <w:ind w:firstLine="0" w:firstLineChars="0"/>
              <w:jc w:val="center"/>
              <w:rPr>
                <w:rFonts w:cs="Times New Roman"/>
                <w:sz w:val="21"/>
                <w:szCs w:val="21"/>
              </w:rPr>
            </w:pPr>
            <w:r>
              <w:rPr>
                <w:rFonts w:hint="eastAsia" w:cs="Times New Roman"/>
                <w:sz w:val="21"/>
                <w:szCs w:val="21"/>
              </w:rPr>
              <w:t>119.284536</w:t>
            </w:r>
          </w:p>
        </w:tc>
        <w:tc>
          <w:tcPr>
            <w:tcW w:w="1690" w:type="dxa"/>
            <w:noWrap/>
            <w:vAlign w:val="center"/>
          </w:tcPr>
          <w:p w14:paraId="6E78E38C">
            <w:pPr>
              <w:spacing w:line="240" w:lineRule="auto"/>
              <w:ind w:firstLine="0" w:firstLineChars="0"/>
              <w:jc w:val="center"/>
              <w:rPr>
                <w:rFonts w:cs="Times New Roman"/>
                <w:sz w:val="21"/>
                <w:szCs w:val="21"/>
              </w:rPr>
            </w:pPr>
            <w:r>
              <w:rPr>
                <w:rFonts w:hint="eastAsia" w:cs="Times New Roman"/>
                <w:sz w:val="21"/>
                <w:szCs w:val="21"/>
              </w:rPr>
              <w:t>31.771547</w:t>
            </w:r>
          </w:p>
        </w:tc>
        <w:tc>
          <w:tcPr>
            <w:tcW w:w="1080" w:type="dxa"/>
            <w:noWrap/>
            <w:vAlign w:val="center"/>
          </w:tcPr>
          <w:p w14:paraId="4C16EC1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57A3832">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49962C07">
            <w:pPr>
              <w:spacing w:line="240" w:lineRule="auto"/>
              <w:ind w:firstLine="0" w:firstLineChars="0"/>
              <w:jc w:val="center"/>
              <w:rPr>
                <w:rFonts w:cs="Times New Roman"/>
                <w:sz w:val="21"/>
                <w:szCs w:val="21"/>
              </w:rPr>
            </w:pPr>
            <w:r>
              <w:rPr>
                <w:rFonts w:hint="eastAsia" w:cs="Times New Roman"/>
                <w:sz w:val="21"/>
                <w:szCs w:val="21"/>
              </w:rPr>
              <w:t>1355</w:t>
            </w:r>
          </w:p>
        </w:tc>
        <w:tc>
          <w:tcPr>
            <w:tcW w:w="1168" w:type="dxa"/>
            <w:noWrap/>
            <w:vAlign w:val="center"/>
          </w:tcPr>
          <w:p w14:paraId="39B2301C">
            <w:pPr>
              <w:spacing w:line="240" w:lineRule="auto"/>
              <w:ind w:firstLine="0" w:firstLineChars="0"/>
              <w:jc w:val="center"/>
              <w:rPr>
                <w:rFonts w:cs="Times New Roman"/>
                <w:sz w:val="21"/>
                <w:szCs w:val="21"/>
              </w:rPr>
            </w:pPr>
            <w:r>
              <w:rPr>
                <w:rFonts w:hint="eastAsia" w:cs="Times New Roman"/>
                <w:sz w:val="21"/>
                <w:szCs w:val="21"/>
              </w:rPr>
              <w:t>约80</w:t>
            </w:r>
          </w:p>
        </w:tc>
      </w:tr>
      <w:tr w14:paraId="1AEBD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45D053B">
            <w:pPr>
              <w:pStyle w:val="39"/>
              <w:numPr>
                <w:ilvl w:val="0"/>
                <w:numId w:val="7"/>
              </w:numPr>
              <w:spacing w:line="240" w:lineRule="auto"/>
              <w:ind w:firstLineChars="0"/>
              <w:jc w:val="center"/>
              <w:rPr>
                <w:rFonts w:cs="Times New Roman"/>
                <w:sz w:val="21"/>
                <w:szCs w:val="21"/>
              </w:rPr>
            </w:pPr>
          </w:p>
        </w:tc>
        <w:tc>
          <w:tcPr>
            <w:tcW w:w="992" w:type="dxa"/>
            <w:noWrap/>
            <w:vAlign w:val="center"/>
          </w:tcPr>
          <w:p w14:paraId="75DA153B">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45E07CE7">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0A096726">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6396034A">
            <w:pPr>
              <w:spacing w:line="240" w:lineRule="auto"/>
              <w:ind w:firstLine="0" w:firstLineChars="0"/>
              <w:jc w:val="center"/>
              <w:rPr>
                <w:rFonts w:cs="Times New Roman"/>
                <w:sz w:val="21"/>
                <w:szCs w:val="21"/>
              </w:rPr>
            </w:pPr>
            <w:r>
              <w:rPr>
                <w:rFonts w:hint="eastAsia" w:cs="Times New Roman"/>
                <w:sz w:val="21"/>
                <w:szCs w:val="21"/>
              </w:rPr>
              <w:t>蒋谷</w:t>
            </w:r>
          </w:p>
        </w:tc>
        <w:tc>
          <w:tcPr>
            <w:tcW w:w="1701" w:type="dxa"/>
            <w:noWrap/>
            <w:vAlign w:val="center"/>
          </w:tcPr>
          <w:p w14:paraId="5ED23E21">
            <w:pPr>
              <w:spacing w:line="240" w:lineRule="auto"/>
              <w:ind w:firstLine="0" w:firstLineChars="0"/>
              <w:jc w:val="center"/>
              <w:rPr>
                <w:rFonts w:cs="Times New Roman"/>
                <w:sz w:val="21"/>
                <w:szCs w:val="21"/>
              </w:rPr>
            </w:pPr>
            <w:r>
              <w:rPr>
                <w:rFonts w:hint="eastAsia" w:cs="Times New Roman"/>
                <w:sz w:val="21"/>
                <w:szCs w:val="21"/>
              </w:rPr>
              <w:t>119.273633</w:t>
            </w:r>
          </w:p>
        </w:tc>
        <w:tc>
          <w:tcPr>
            <w:tcW w:w="1690" w:type="dxa"/>
            <w:noWrap/>
            <w:vAlign w:val="center"/>
          </w:tcPr>
          <w:p w14:paraId="3E509041">
            <w:pPr>
              <w:spacing w:line="240" w:lineRule="auto"/>
              <w:ind w:firstLine="0" w:firstLineChars="0"/>
              <w:jc w:val="center"/>
              <w:rPr>
                <w:rFonts w:cs="Times New Roman"/>
                <w:sz w:val="21"/>
                <w:szCs w:val="21"/>
              </w:rPr>
            </w:pPr>
            <w:r>
              <w:rPr>
                <w:rFonts w:hint="eastAsia" w:cs="Times New Roman"/>
                <w:sz w:val="21"/>
                <w:szCs w:val="21"/>
              </w:rPr>
              <w:t>31.775919</w:t>
            </w:r>
          </w:p>
        </w:tc>
        <w:tc>
          <w:tcPr>
            <w:tcW w:w="1080" w:type="dxa"/>
            <w:noWrap/>
            <w:vAlign w:val="center"/>
          </w:tcPr>
          <w:p w14:paraId="3CCE0DC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6B8C0F3">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2FB9A9C9">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5EFE4209">
            <w:pPr>
              <w:spacing w:line="240" w:lineRule="auto"/>
              <w:ind w:firstLine="0" w:firstLineChars="0"/>
              <w:jc w:val="center"/>
              <w:rPr>
                <w:rFonts w:cs="Times New Roman"/>
                <w:sz w:val="21"/>
                <w:szCs w:val="21"/>
              </w:rPr>
            </w:pPr>
            <w:r>
              <w:rPr>
                <w:rFonts w:hint="eastAsia" w:cs="Times New Roman"/>
                <w:sz w:val="21"/>
                <w:szCs w:val="21"/>
              </w:rPr>
              <w:t>约20</w:t>
            </w:r>
          </w:p>
        </w:tc>
      </w:tr>
      <w:tr w14:paraId="7B76E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D08B4AE">
            <w:pPr>
              <w:pStyle w:val="39"/>
              <w:numPr>
                <w:ilvl w:val="0"/>
                <w:numId w:val="7"/>
              </w:numPr>
              <w:spacing w:line="240" w:lineRule="auto"/>
              <w:ind w:firstLineChars="0"/>
              <w:jc w:val="center"/>
              <w:rPr>
                <w:rFonts w:cs="Times New Roman"/>
                <w:sz w:val="21"/>
                <w:szCs w:val="21"/>
              </w:rPr>
            </w:pPr>
          </w:p>
        </w:tc>
        <w:tc>
          <w:tcPr>
            <w:tcW w:w="992" w:type="dxa"/>
            <w:noWrap/>
            <w:vAlign w:val="center"/>
          </w:tcPr>
          <w:p w14:paraId="7D91F5A5">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5FAC0050">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1CF25C31">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2852289D">
            <w:pPr>
              <w:spacing w:line="240" w:lineRule="auto"/>
              <w:ind w:firstLine="0" w:firstLineChars="0"/>
              <w:jc w:val="center"/>
              <w:rPr>
                <w:rFonts w:cs="Times New Roman"/>
                <w:sz w:val="21"/>
                <w:szCs w:val="21"/>
              </w:rPr>
            </w:pPr>
            <w:r>
              <w:rPr>
                <w:rFonts w:hint="eastAsia" w:cs="Times New Roman"/>
                <w:sz w:val="21"/>
                <w:szCs w:val="21"/>
              </w:rPr>
              <w:t>美加东部假日</w:t>
            </w:r>
          </w:p>
        </w:tc>
        <w:tc>
          <w:tcPr>
            <w:tcW w:w="1701" w:type="dxa"/>
            <w:noWrap/>
            <w:vAlign w:val="center"/>
          </w:tcPr>
          <w:p w14:paraId="407C9CDA">
            <w:pPr>
              <w:spacing w:line="240" w:lineRule="auto"/>
              <w:ind w:firstLine="0" w:firstLineChars="0"/>
              <w:jc w:val="center"/>
              <w:rPr>
                <w:rFonts w:cs="Times New Roman"/>
                <w:sz w:val="21"/>
                <w:szCs w:val="21"/>
              </w:rPr>
            </w:pPr>
            <w:r>
              <w:rPr>
                <w:rFonts w:hint="eastAsia" w:cs="Times New Roman"/>
                <w:sz w:val="21"/>
                <w:szCs w:val="21"/>
              </w:rPr>
              <w:t>119.282895</w:t>
            </w:r>
          </w:p>
        </w:tc>
        <w:tc>
          <w:tcPr>
            <w:tcW w:w="1690" w:type="dxa"/>
            <w:noWrap/>
            <w:vAlign w:val="center"/>
          </w:tcPr>
          <w:p w14:paraId="68FD76D4">
            <w:pPr>
              <w:spacing w:line="240" w:lineRule="auto"/>
              <w:ind w:firstLine="0" w:firstLineChars="0"/>
              <w:jc w:val="center"/>
              <w:rPr>
                <w:rFonts w:cs="Times New Roman"/>
                <w:sz w:val="21"/>
                <w:szCs w:val="21"/>
              </w:rPr>
            </w:pPr>
            <w:r>
              <w:rPr>
                <w:rFonts w:hint="eastAsia" w:cs="Times New Roman"/>
                <w:sz w:val="21"/>
                <w:szCs w:val="21"/>
              </w:rPr>
              <w:t>31.801447</w:t>
            </w:r>
          </w:p>
        </w:tc>
        <w:tc>
          <w:tcPr>
            <w:tcW w:w="1080" w:type="dxa"/>
            <w:noWrap/>
            <w:vAlign w:val="center"/>
          </w:tcPr>
          <w:p w14:paraId="02779BF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BD374FD">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1F7654B7">
            <w:pPr>
              <w:spacing w:line="240" w:lineRule="auto"/>
              <w:ind w:firstLine="0" w:firstLineChars="0"/>
              <w:jc w:val="center"/>
              <w:rPr>
                <w:rFonts w:cs="Times New Roman"/>
                <w:sz w:val="21"/>
                <w:szCs w:val="21"/>
              </w:rPr>
            </w:pPr>
            <w:r>
              <w:rPr>
                <w:rFonts w:hint="eastAsia" w:cs="Times New Roman"/>
                <w:sz w:val="21"/>
                <w:szCs w:val="21"/>
              </w:rPr>
              <w:t>2316</w:t>
            </w:r>
          </w:p>
        </w:tc>
        <w:tc>
          <w:tcPr>
            <w:tcW w:w="1168" w:type="dxa"/>
            <w:noWrap/>
            <w:vAlign w:val="center"/>
          </w:tcPr>
          <w:p w14:paraId="3E5ED93A">
            <w:pPr>
              <w:spacing w:line="240" w:lineRule="auto"/>
              <w:ind w:firstLine="0" w:firstLineChars="0"/>
              <w:jc w:val="center"/>
              <w:rPr>
                <w:rFonts w:cs="Times New Roman"/>
                <w:sz w:val="21"/>
                <w:szCs w:val="21"/>
              </w:rPr>
            </w:pPr>
            <w:r>
              <w:rPr>
                <w:rFonts w:hint="eastAsia" w:cs="Times New Roman"/>
                <w:sz w:val="21"/>
                <w:szCs w:val="21"/>
              </w:rPr>
              <w:t>约200</w:t>
            </w:r>
          </w:p>
        </w:tc>
      </w:tr>
      <w:tr w14:paraId="2AD38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67A087F">
            <w:pPr>
              <w:pStyle w:val="39"/>
              <w:numPr>
                <w:ilvl w:val="0"/>
                <w:numId w:val="7"/>
              </w:numPr>
              <w:spacing w:line="240" w:lineRule="auto"/>
              <w:ind w:firstLineChars="0"/>
              <w:jc w:val="center"/>
              <w:rPr>
                <w:rFonts w:cs="Times New Roman"/>
                <w:sz w:val="21"/>
                <w:szCs w:val="21"/>
              </w:rPr>
            </w:pPr>
          </w:p>
        </w:tc>
        <w:tc>
          <w:tcPr>
            <w:tcW w:w="992" w:type="dxa"/>
            <w:noWrap/>
            <w:vAlign w:val="center"/>
          </w:tcPr>
          <w:p w14:paraId="1993B4D1">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4E5C8C7B">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3A6B2E53">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3D8F4BAB">
            <w:pPr>
              <w:spacing w:line="240" w:lineRule="auto"/>
              <w:ind w:firstLine="0" w:firstLineChars="0"/>
              <w:jc w:val="center"/>
              <w:rPr>
                <w:rFonts w:cs="Times New Roman"/>
                <w:sz w:val="21"/>
                <w:szCs w:val="21"/>
              </w:rPr>
            </w:pPr>
            <w:r>
              <w:rPr>
                <w:rFonts w:hint="eastAsia" w:cs="Times New Roman"/>
                <w:sz w:val="21"/>
                <w:szCs w:val="21"/>
              </w:rPr>
              <w:t>肖家</w:t>
            </w:r>
          </w:p>
        </w:tc>
        <w:tc>
          <w:tcPr>
            <w:tcW w:w="1701" w:type="dxa"/>
            <w:noWrap/>
            <w:vAlign w:val="center"/>
          </w:tcPr>
          <w:p w14:paraId="382C37E8">
            <w:pPr>
              <w:spacing w:line="240" w:lineRule="auto"/>
              <w:ind w:firstLine="0" w:firstLineChars="0"/>
              <w:jc w:val="center"/>
              <w:rPr>
                <w:rFonts w:cs="Times New Roman"/>
                <w:sz w:val="21"/>
                <w:szCs w:val="21"/>
              </w:rPr>
            </w:pPr>
            <w:r>
              <w:rPr>
                <w:rFonts w:hint="eastAsia" w:cs="Times New Roman"/>
                <w:sz w:val="21"/>
                <w:szCs w:val="21"/>
              </w:rPr>
              <w:t>119.276621</w:t>
            </w:r>
          </w:p>
        </w:tc>
        <w:tc>
          <w:tcPr>
            <w:tcW w:w="1690" w:type="dxa"/>
            <w:noWrap/>
            <w:vAlign w:val="center"/>
          </w:tcPr>
          <w:p w14:paraId="59619645">
            <w:pPr>
              <w:spacing w:line="240" w:lineRule="auto"/>
              <w:ind w:firstLine="0" w:firstLineChars="0"/>
              <w:jc w:val="center"/>
              <w:rPr>
                <w:rFonts w:cs="Times New Roman"/>
                <w:sz w:val="21"/>
                <w:szCs w:val="21"/>
              </w:rPr>
            </w:pPr>
            <w:r>
              <w:rPr>
                <w:rFonts w:hint="eastAsia" w:cs="Times New Roman"/>
                <w:sz w:val="21"/>
                <w:szCs w:val="21"/>
              </w:rPr>
              <w:t>31.784564</w:t>
            </w:r>
          </w:p>
        </w:tc>
        <w:tc>
          <w:tcPr>
            <w:tcW w:w="1080" w:type="dxa"/>
            <w:noWrap/>
            <w:vAlign w:val="center"/>
          </w:tcPr>
          <w:p w14:paraId="5A480D2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427D778">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4555B61B">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46F0D129">
            <w:pPr>
              <w:spacing w:line="240" w:lineRule="auto"/>
              <w:ind w:firstLine="0" w:firstLineChars="0"/>
              <w:jc w:val="center"/>
              <w:rPr>
                <w:rFonts w:cs="Times New Roman"/>
                <w:sz w:val="21"/>
                <w:szCs w:val="21"/>
              </w:rPr>
            </w:pPr>
            <w:r>
              <w:rPr>
                <w:rFonts w:hint="eastAsia" w:cs="Times New Roman"/>
                <w:sz w:val="21"/>
                <w:szCs w:val="21"/>
              </w:rPr>
              <w:t>约20</w:t>
            </w:r>
          </w:p>
        </w:tc>
      </w:tr>
      <w:tr w14:paraId="0078A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84B9E32">
            <w:pPr>
              <w:pStyle w:val="39"/>
              <w:numPr>
                <w:ilvl w:val="0"/>
                <w:numId w:val="7"/>
              </w:numPr>
              <w:spacing w:line="240" w:lineRule="auto"/>
              <w:ind w:firstLineChars="0"/>
              <w:jc w:val="center"/>
              <w:rPr>
                <w:rFonts w:cs="Times New Roman"/>
                <w:sz w:val="21"/>
                <w:szCs w:val="21"/>
              </w:rPr>
            </w:pPr>
          </w:p>
        </w:tc>
        <w:tc>
          <w:tcPr>
            <w:tcW w:w="992" w:type="dxa"/>
            <w:noWrap/>
            <w:vAlign w:val="center"/>
          </w:tcPr>
          <w:p w14:paraId="55C5FD1F">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7781B908">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468C6724">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0B00D474">
            <w:pPr>
              <w:spacing w:line="240" w:lineRule="auto"/>
              <w:ind w:firstLine="0" w:firstLineChars="0"/>
              <w:jc w:val="center"/>
              <w:rPr>
                <w:rFonts w:cs="Times New Roman"/>
                <w:sz w:val="21"/>
                <w:szCs w:val="21"/>
              </w:rPr>
            </w:pPr>
            <w:r>
              <w:rPr>
                <w:rFonts w:hint="eastAsia" w:cs="Times New Roman"/>
                <w:sz w:val="21"/>
                <w:szCs w:val="21"/>
              </w:rPr>
              <w:t>上林山</w:t>
            </w:r>
          </w:p>
        </w:tc>
        <w:tc>
          <w:tcPr>
            <w:tcW w:w="1701" w:type="dxa"/>
            <w:noWrap/>
            <w:vAlign w:val="center"/>
          </w:tcPr>
          <w:p w14:paraId="2B782D83">
            <w:pPr>
              <w:spacing w:line="240" w:lineRule="auto"/>
              <w:ind w:firstLine="0" w:firstLineChars="0"/>
              <w:jc w:val="center"/>
              <w:rPr>
                <w:rFonts w:cs="Times New Roman"/>
                <w:sz w:val="21"/>
                <w:szCs w:val="21"/>
              </w:rPr>
            </w:pPr>
            <w:r>
              <w:rPr>
                <w:rFonts w:hint="eastAsia" w:cs="Times New Roman"/>
                <w:sz w:val="21"/>
                <w:szCs w:val="21"/>
              </w:rPr>
              <w:t>119.27756</w:t>
            </w:r>
          </w:p>
        </w:tc>
        <w:tc>
          <w:tcPr>
            <w:tcW w:w="1690" w:type="dxa"/>
            <w:noWrap/>
            <w:vAlign w:val="center"/>
          </w:tcPr>
          <w:p w14:paraId="297C559C">
            <w:pPr>
              <w:spacing w:line="240" w:lineRule="auto"/>
              <w:ind w:firstLine="0" w:firstLineChars="0"/>
              <w:jc w:val="center"/>
              <w:rPr>
                <w:rFonts w:cs="Times New Roman"/>
                <w:sz w:val="21"/>
                <w:szCs w:val="21"/>
              </w:rPr>
            </w:pPr>
            <w:r>
              <w:rPr>
                <w:rFonts w:hint="eastAsia" w:cs="Times New Roman"/>
                <w:sz w:val="21"/>
                <w:szCs w:val="21"/>
              </w:rPr>
              <w:t>31.764697</w:t>
            </w:r>
          </w:p>
        </w:tc>
        <w:tc>
          <w:tcPr>
            <w:tcW w:w="1080" w:type="dxa"/>
            <w:noWrap/>
            <w:vAlign w:val="center"/>
          </w:tcPr>
          <w:p w14:paraId="6694EB3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62427E5">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366B977F">
            <w:pPr>
              <w:spacing w:line="240" w:lineRule="auto"/>
              <w:ind w:firstLine="0" w:firstLineChars="0"/>
              <w:jc w:val="center"/>
              <w:rPr>
                <w:rFonts w:cs="Times New Roman"/>
                <w:sz w:val="21"/>
                <w:szCs w:val="21"/>
              </w:rPr>
            </w:pPr>
            <w:r>
              <w:rPr>
                <w:rFonts w:hint="eastAsia" w:cs="Times New Roman"/>
                <w:sz w:val="21"/>
                <w:szCs w:val="21"/>
              </w:rPr>
              <w:t>1886</w:t>
            </w:r>
          </w:p>
        </w:tc>
        <w:tc>
          <w:tcPr>
            <w:tcW w:w="1168" w:type="dxa"/>
            <w:noWrap/>
            <w:vAlign w:val="center"/>
          </w:tcPr>
          <w:p w14:paraId="7939A406">
            <w:pPr>
              <w:spacing w:line="240" w:lineRule="auto"/>
              <w:ind w:firstLine="0" w:firstLineChars="0"/>
              <w:jc w:val="center"/>
              <w:rPr>
                <w:rFonts w:cs="Times New Roman"/>
                <w:sz w:val="21"/>
                <w:szCs w:val="21"/>
              </w:rPr>
            </w:pPr>
            <w:r>
              <w:rPr>
                <w:rFonts w:hint="eastAsia" w:cs="Times New Roman"/>
                <w:sz w:val="21"/>
                <w:szCs w:val="21"/>
              </w:rPr>
              <w:t>约80</w:t>
            </w:r>
          </w:p>
        </w:tc>
      </w:tr>
      <w:tr w14:paraId="7E508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1D02A11">
            <w:pPr>
              <w:pStyle w:val="39"/>
              <w:numPr>
                <w:ilvl w:val="0"/>
                <w:numId w:val="7"/>
              </w:numPr>
              <w:spacing w:line="240" w:lineRule="auto"/>
              <w:ind w:firstLineChars="0"/>
              <w:jc w:val="center"/>
              <w:rPr>
                <w:rFonts w:cs="Times New Roman"/>
                <w:sz w:val="21"/>
                <w:szCs w:val="21"/>
              </w:rPr>
            </w:pPr>
          </w:p>
        </w:tc>
        <w:tc>
          <w:tcPr>
            <w:tcW w:w="992" w:type="dxa"/>
            <w:noWrap/>
            <w:vAlign w:val="center"/>
          </w:tcPr>
          <w:p w14:paraId="0E3EA0C9">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1C74C900">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23A515FE">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21D2F9E6">
            <w:pPr>
              <w:spacing w:line="240" w:lineRule="auto"/>
              <w:ind w:firstLine="0" w:firstLineChars="0"/>
              <w:jc w:val="center"/>
              <w:rPr>
                <w:rFonts w:cs="Times New Roman"/>
                <w:sz w:val="21"/>
                <w:szCs w:val="21"/>
              </w:rPr>
            </w:pPr>
            <w:r>
              <w:rPr>
                <w:rFonts w:hint="eastAsia" w:cs="Times New Roman"/>
                <w:sz w:val="21"/>
                <w:szCs w:val="21"/>
              </w:rPr>
              <w:t>下林山</w:t>
            </w:r>
          </w:p>
        </w:tc>
        <w:tc>
          <w:tcPr>
            <w:tcW w:w="1701" w:type="dxa"/>
            <w:noWrap/>
            <w:vAlign w:val="center"/>
          </w:tcPr>
          <w:p w14:paraId="5373155D">
            <w:pPr>
              <w:spacing w:line="240" w:lineRule="auto"/>
              <w:ind w:firstLine="0" w:firstLineChars="0"/>
              <w:jc w:val="center"/>
              <w:rPr>
                <w:rFonts w:cs="Times New Roman"/>
                <w:sz w:val="21"/>
                <w:szCs w:val="21"/>
              </w:rPr>
            </w:pPr>
            <w:r>
              <w:rPr>
                <w:rFonts w:hint="eastAsia" w:cs="Times New Roman"/>
                <w:sz w:val="21"/>
                <w:szCs w:val="21"/>
              </w:rPr>
              <w:t>119.276026</w:t>
            </w:r>
          </w:p>
        </w:tc>
        <w:tc>
          <w:tcPr>
            <w:tcW w:w="1690" w:type="dxa"/>
            <w:noWrap/>
            <w:vAlign w:val="center"/>
          </w:tcPr>
          <w:p w14:paraId="545283E8">
            <w:pPr>
              <w:spacing w:line="240" w:lineRule="auto"/>
              <w:ind w:firstLine="0" w:firstLineChars="0"/>
              <w:jc w:val="center"/>
              <w:rPr>
                <w:rFonts w:cs="Times New Roman"/>
                <w:sz w:val="21"/>
                <w:szCs w:val="21"/>
              </w:rPr>
            </w:pPr>
            <w:r>
              <w:rPr>
                <w:rFonts w:hint="eastAsia" w:cs="Times New Roman"/>
                <w:sz w:val="21"/>
                <w:szCs w:val="21"/>
              </w:rPr>
              <w:t>31.761814</w:t>
            </w:r>
          </w:p>
        </w:tc>
        <w:tc>
          <w:tcPr>
            <w:tcW w:w="1080" w:type="dxa"/>
            <w:noWrap/>
            <w:vAlign w:val="center"/>
          </w:tcPr>
          <w:p w14:paraId="7EE6105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0AC7BE4">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5061843D">
            <w:pPr>
              <w:spacing w:line="240" w:lineRule="auto"/>
              <w:ind w:firstLine="0" w:firstLineChars="0"/>
              <w:jc w:val="center"/>
              <w:rPr>
                <w:rFonts w:cs="Times New Roman"/>
                <w:sz w:val="21"/>
                <w:szCs w:val="21"/>
              </w:rPr>
            </w:pPr>
            <w:r>
              <w:rPr>
                <w:rFonts w:hint="eastAsia" w:cs="Times New Roman"/>
                <w:sz w:val="21"/>
                <w:szCs w:val="21"/>
              </w:rPr>
              <w:t>2039</w:t>
            </w:r>
          </w:p>
        </w:tc>
        <w:tc>
          <w:tcPr>
            <w:tcW w:w="1168" w:type="dxa"/>
            <w:noWrap/>
            <w:vAlign w:val="center"/>
          </w:tcPr>
          <w:p w14:paraId="51C5C7CF">
            <w:pPr>
              <w:spacing w:line="240" w:lineRule="auto"/>
              <w:ind w:firstLine="0" w:firstLineChars="0"/>
              <w:jc w:val="center"/>
              <w:rPr>
                <w:rFonts w:cs="Times New Roman"/>
                <w:sz w:val="21"/>
                <w:szCs w:val="21"/>
              </w:rPr>
            </w:pPr>
            <w:r>
              <w:rPr>
                <w:rFonts w:hint="eastAsia" w:cs="Times New Roman"/>
                <w:sz w:val="21"/>
                <w:szCs w:val="21"/>
              </w:rPr>
              <w:t>约80</w:t>
            </w:r>
          </w:p>
        </w:tc>
      </w:tr>
      <w:tr w14:paraId="3AAAA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C6984B0">
            <w:pPr>
              <w:pStyle w:val="39"/>
              <w:numPr>
                <w:ilvl w:val="0"/>
                <w:numId w:val="7"/>
              </w:numPr>
              <w:spacing w:line="240" w:lineRule="auto"/>
              <w:ind w:firstLineChars="0"/>
              <w:jc w:val="center"/>
              <w:rPr>
                <w:rFonts w:cs="Times New Roman"/>
                <w:sz w:val="21"/>
                <w:szCs w:val="21"/>
              </w:rPr>
            </w:pPr>
          </w:p>
        </w:tc>
        <w:tc>
          <w:tcPr>
            <w:tcW w:w="992" w:type="dxa"/>
            <w:noWrap/>
            <w:vAlign w:val="center"/>
          </w:tcPr>
          <w:p w14:paraId="617E7D4D">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78FC9A24">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15D2E0E4">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66907785">
            <w:pPr>
              <w:spacing w:line="240" w:lineRule="auto"/>
              <w:ind w:firstLine="0" w:firstLineChars="0"/>
              <w:jc w:val="center"/>
              <w:rPr>
                <w:rFonts w:cs="Times New Roman"/>
                <w:sz w:val="21"/>
                <w:szCs w:val="21"/>
              </w:rPr>
            </w:pPr>
            <w:r>
              <w:rPr>
                <w:rFonts w:hint="eastAsia" w:cs="Times New Roman"/>
                <w:sz w:val="21"/>
                <w:szCs w:val="21"/>
              </w:rPr>
              <w:t>石墩头</w:t>
            </w:r>
          </w:p>
        </w:tc>
        <w:tc>
          <w:tcPr>
            <w:tcW w:w="1701" w:type="dxa"/>
            <w:noWrap/>
            <w:vAlign w:val="center"/>
          </w:tcPr>
          <w:p w14:paraId="5E210802">
            <w:pPr>
              <w:spacing w:line="240" w:lineRule="auto"/>
              <w:ind w:firstLine="0" w:firstLineChars="0"/>
              <w:jc w:val="center"/>
              <w:rPr>
                <w:rFonts w:cs="Times New Roman"/>
                <w:sz w:val="21"/>
                <w:szCs w:val="21"/>
              </w:rPr>
            </w:pPr>
            <w:r>
              <w:rPr>
                <w:rFonts w:hint="eastAsia" w:cs="Times New Roman"/>
                <w:sz w:val="21"/>
                <w:szCs w:val="21"/>
              </w:rPr>
              <w:t>119.291007</w:t>
            </w:r>
          </w:p>
        </w:tc>
        <w:tc>
          <w:tcPr>
            <w:tcW w:w="1690" w:type="dxa"/>
            <w:noWrap/>
            <w:vAlign w:val="center"/>
          </w:tcPr>
          <w:p w14:paraId="29B248A0">
            <w:pPr>
              <w:spacing w:line="240" w:lineRule="auto"/>
              <w:ind w:firstLine="0" w:firstLineChars="0"/>
              <w:jc w:val="center"/>
              <w:rPr>
                <w:rFonts w:cs="Times New Roman"/>
                <w:sz w:val="21"/>
                <w:szCs w:val="21"/>
              </w:rPr>
            </w:pPr>
            <w:r>
              <w:rPr>
                <w:rFonts w:hint="eastAsia" w:cs="Times New Roman"/>
                <w:sz w:val="21"/>
                <w:szCs w:val="21"/>
              </w:rPr>
              <w:t>31.76442</w:t>
            </w:r>
          </w:p>
        </w:tc>
        <w:tc>
          <w:tcPr>
            <w:tcW w:w="1080" w:type="dxa"/>
            <w:noWrap/>
            <w:vAlign w:val="center"/>
          </w:tcPr>
          <w:p w14:paraId="0FFB7FC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FE6E4BF">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1B027A12">
            <w:pPr>
              <w:spacing w:line="240" w:lineRule="auto"/>
              <w:ind w:firstLine="0" w:firstLineChars="0"/>
              <w:jc w:val="center"/>
              <w:rPr>
                <w:rFonts w:cs="Times New Roman"/>
                <w:sz w:val="21"/>
                <w:szCs w:val="21"/>
              </w:rPr>
            </w:pPr>
            <w:r>
              <w:rPr>
                <w:rFonts w:hint="eastAsia" w:cs="Times New Roman"/>
                <w:sz w:val="21"/>
                <w:szCs w:val="21"/>
              </w:rPr>
              <w:t>631</w:t>
            </w:r>
          </w:p>
        </w:tc>
        <w:tc>
          <w:tcPr>
            <w:tcW w:w="1168" w:type="dxa"/>
            <w:noWrap/>
            <w:vAlign w:val="center"/>
          </w:tcPr>
          <w:p w14:paraId="2FFF5553">
            <w:pPr>
              <w:spacing w:line="240" w:lineRule="auto"/>
              <w:ind w:firstLine="0" w:firstLineChars="0"/>
              <w:jc w:val="center"/>
              <w:rPr>
                <w:rFonts w:cs="Times New Roman"/>
                <w:sz w:val="21"/>
                <w:szCs w:val="21"/>
              </w:rPr>
            </w:pPr>
            <w:r>
              <w:rPr>
                <w:rFonts w:hint="eastAsia" w:cs="Times New Roman"/>
                <w:sz w:val="21"/>
                <w:szCs w:val="21"/>
              </w:rPr>
              <w:t>约40</w:t>
            </w:r>
          </w:p>
        </w:tc>
      </w:tr>
      <w:tr w14:paraId="09399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7F05C52">
            <w:pPr>
              <w:pStyle w:val="39"/>
              <w:numPr>
                <w:ilvl w:val="0"/>
                <w:numId w:val="7"/>
              </w:numPr>
              <w:spacing w:line="240" w:lineRule="auto"/>
              <w:ind w:firstLineChars="0"/>
              <w:jc w:val="center"/>
              <w:rPr>
                <w:rFonts w:cs="Times New Roman"/>
                <w:sz w:val="21"/>
                <w:szCs w:val="21"/>
              </w:rPr>
            </w:pPr>
          </w:p>
        </w:tc>
        <w:tc>
          <w:tcPr>
            <w:tcW w:w="992" w:type="dxa"/>
            <w:noWrap/>
            <w:vAlign w:val="center"/>
          </w:tcPr>
          <w:p w14:paraId="4741F7C2">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75086D0A">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45ACD084">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6AB068BF">
            <w:pPr>
              <w:spacing w:line="240" w:lineRule="auto"/>
              <w:ind w:firstLine="0" w:firstLineChars="0"/>
              <w:jc w:val="center"/>
              <w:rPr>
                <w:rFonts w:cs="Times New Roman"/>
                <w:sz w:val="21"/>
                <w:szCs w:val="21"/>
              </w:rPr>
            </w:pPr>
            <w:r>
              <w:rPr>
                <w:rFonts w:hint="eastAsia" w:cs="Times New Roman"/>
                <w:sz w:val="21"/>
                <w:szCs w:val="21"/>
              </w:rPr>
              <w:t>石巷新村</w:t>
            </w:r>
          </w:p>
        </w:tc>
        <w:tc>
          <w:tcPr>
            <w:tcW w:w="1701" w:type="dxa"/>
            <w:noWrap/>
            <w:vAlign w:val="center"/>
          </w:tcPr>
          <w:p w14:paraId="79E091E1">
            <w:pPr>
              <w:spacing w:line="240" w:lineRule="auto"/>
              <w:ind w:firstLine="0" w:firstLineChars="0"/>
              <w:jc w:val="center"/>
              <w:rPr>
                <w:rFonts w:cs="Times New Roman"/>
                <w:sz w:val="21"/>
                <w:szCs w:val="21"/>
              </w:rPr>
            </w:pPr>
            <w:r>
              <w:rPr>
                <w:rFonts w:hint="eastAsia" w:cs="Times New Roman"/>
                <w:sz w:val="21"/>
                <w:szCs w:val="21"/>
              </w:rPr>
              <w:t>119.274963</w:t>
            </w:r>
          </w:p>
        </w:tc>
        <w:tc>
          <w:tcPr>
            <w:tcW w:w="1690" w:type="dxa"/>
            <w:noWrap/>
            <w:vAlign w:val="center"/>
          </w:tcPr>
          <w:p w14:paraId="05AFC5B6">
            <w:pPr>
              <w:spacing w:line="240" w:lineRule="auto"/>
              <w:ind w:firstLine="0" w:firstLineChars="0"/>
              <w:jc w:val="center"/>
              <w:rPr>
                <w:rFonts w:cs="Times New Roman"/>
                <w:sz w:val="21"/>
                <w:szCs w:val="21"/>
              </w:rPr>
            </w:pPr>
            <w:r>
              <w:rPr>
                <w:rFonts w:hint="eastAsia" w:cs="Times New Roman"/>
                <w:sz w:val="21"/>
                <w:szCs w:val="21"/>
              </w:rPr>
              <w:t>31.753745</w:t>
            </w:r>
          </w:p>
        </w:tc>
        <w:tc>
          <w:tcPr>
            <w:tcW w:w="1080" w:type="dxa"/>
            <w:noWrap/>
            <w:vAlign w:val="center"/>
          </w:tcPr>
          <w:p w14:paraId="3F1DD4C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15127EF">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78ED3C94">
            <w:pPr>
              <w:spacing w:line="240" w:lineRule="auto"/>
              <w:ind w:firstLine="0" w:firstLineChars="0"/>
              <w:jc w:val="center"/>
              <w:rPr>
                <w:rFonts w:cs="Times New Roman"/>
                <w:sz w:val="21"/>
                <w:szCs w:val="21"/>
              </w:rPr>
            </w:pPr>
            <w:r>
              <w:rPr>
                <w:rFonts w:hint="eastAsia" w:cs="Times New Roman"/>
                <w:sz w:val="21"/>
                <w:szCs w:val="21"/>
              </w:rPr>
              <w:t>2320</w:t>
            </w:r>
          </w:p>
        </w:tc>
        <w:tc>
          <w:tcPr>
            <w:tcW w:w="1168" w:type="dxa"/>
            <w:noWrap/>
            <w:vAlign w:val="center"/>
          </w:tcPr>
          <w:p w14:paraId="394114AE">
            <w:pPr>
              <w:spacing w:line="240" w:lineRule="auto"/>
              <w:ind w:firstLine="0" w:firstLineChars="0"/>
              <w:jc w:val="center"/>
              <w:rPr>
                <w:rFonts w:cs="Times New Roman"/>
                <w:sz w:val="21"/>
                <w:szCs w:val="21"/>
              </w:rPr>
            </w:pPr>
            <w:r>
              <w:rPr>
                <w:rFonts w:hint="eastAsia" w:cs="Times New Roman"/>
                <w:sz w:val="21"/>
                <w:szCs w:val="21"/>
              </w:rPr>
              <w:t>约30</w:t>
            </w:r>
          </w:p>
        </w:tc>
      </w:tr>
      <w:tr w14:paraId="35E6F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0B2453F">
            <w:pPr>
              <w:pStyle w:val="39"/>
              <w:numPr>
                <w:ilvl w:val="0"/>
                <w:numId w:val="7"/>
              </w:numPr>
              <w:spacing w:line="240" w:lineRule="auto"/>
              <w:ind w:firstLineChars="0"/>
              <w:jc w:val="center"/>
              <w:rPr>
                <w:rFonts w:cs="Times New Roman"/>
                <w:sz w:val="21"/>
                <w:szCs w:val="21"/>
              </w:rPr>
            </w:pPr>
          </w:p>
        </w:tc>
        <w:tc>
          <w:tcPr>
            <w:tcW w:w="992" w:type="dxa"/>
            <w:noWrap/>
            <w:vAlign w:val="center"/>
          </w:tcPr>
          <w:p w14:paraId="31FBC5D2">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4FE6F7F">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41B72C9D">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5885590F">
            <w:pPr>
              <w:spacing w:line="240" w:lineRule="auto"/>
              <w:ind w:firstLine="0" w:firstLineChars="0"/>
              <w:jc w:val="center"/>
              <w:rPr>
                <w:rFonts w:cs="Times New Roman"/>
                <w:sz w:val="21"/>
                <w:szCs w:val="21"/>
              </w:rPr>
            </w:pPr>
            <w:r>
              <w:rPr>
                <w:rFonts w:hint="eastAsia" w:cs="Times New Roman"/>
                <w:sz w:val="21"/>
                <w:szCs w:val="21"/>
              </w:rPr>
              <w:t>上东山</w:t>
            </w:r>
          </w:p>
        </w:tc>
        <w:tc>
          <w:tcPr>
            <w:tcW w:w="1701" w:type="dxa"/>
            <w:noWrap/>
            <w:vAlign w:val="center"/>
          </w:tcPr>
          <w:p w14:paraId="3AF690F6">
            <w:pPr>
              <w:spacing w:line="240" w:lineRule="auto"/>
              <w:ind w:firstLine="0" w:firstLineChars="0"/>
              <w:jc w:val="center"/>
              <w:rPr>
                <w:rFonts w:cs="Times New Roman"/>
                <w:sz w:val="21"/>
                <w:szCs w:val="21"/>
              </w:rPr>
            </w:pPr>
            <w:r>
              <w:rPr>
                <w:rFonts w:hint="eastAsia" w:cs="Times New Roman"/>
                <w:sz w:val="21"/>
                <w:szCs w:val="21"/>
              </w:rPr>
              <w:t>119.284052</w:t>
            </w:r>
          </w:p>
        </w:tc>
        <w:tc>
          <w:tcPr>
            <w:tcW w:w="1690" w:type="dxa"/>
            <w:noWrap/>
            <w:vAlign w:val="center"/>
          </w:tcPr>
          <w:p w14:paraId="20A535B6">
            <w:pPr>
              <w:spacing w:line="240" w:lineRule="auto"/>
              <w:ind w:firstLine="0" w:firstLineChars="0"/>
              <w:jc w:val="center"/>
              <w:rPr>
                <w:rFonts w:cs="Times New Roman"/>
                <w:sz w:val="21"/>
                <w:szCs w:val="21"/>
              </w:rPr>
            </w:pPr>
            <w:r>
              <w:rPr>
                <w:rFonts w:hint="eastAsia" w:cs="Times New Roman"/>
                <w:sz w:val="21"/>
                <w:szCs w:val="21"/>
              </w:rPr>
              <w:t>31.759844</w:t>
            </w:r>
          </w:p>
        </w:tc>
        <w:tc>
          <w:tcPr>
            <w:tcW w:w="1080" w:type="dxa"/>
            <w:noWrap/>
            <w:vAlign w:val="center"/>
          </w:tcPr>
          <w:p w14:paraId="7C77FD6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65DD5A6">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6ABBD460">
            <w:pPr>
              <w:spacing w:line="240" w:lineRule="auto"/>
              <w:ind w:firstLine="0" w:firstLineChars="0"/>
              <w:jc w:val="center"/>
              <w:rPr>
                <w:rFonts w:cs="Times New Roman"/>
                <w:sz w:val="21"/>
                <w:szCs w:val="21"/>
              </w:rPr>
            </w:pPr>
            <w:r>
              <w:rPr>
                <w:rFonts w:hint="eastAsia" w:cs="Times New Roman"/>
                <w:sz w:val="21"/>
                <w:szCs w:val="21"/>
              </w:rPr>
              <w:t>1250</w:t>
            </w:r>
          </w:p>
        </w:tc>
        <w:tc>
          <w:tcPr>
            <w:tcW w:w="1168" w:type="dxa"/>
            <w:noWrap/>
            <w:vAlign w:val="center"/>
          </w:tcPr>
          <w:p w14:paraId="31C8FA39">
            <w:pPr>
              <w:spacing w:line="240" w:lineRule="auto"/>
              <w:ind w:firstLine="0" w:firstLineChars="0"/>
              <w:jc w:val="center"/>
              <w:rPr>
                <w:rFonts w:cs="Times New Roman"/>
                <w:sz w:val="21"/>
                <w:szCs w:val="21"/>
              </w:rPr>
            </w:pPr>
            <w:r>
              <w:rPr>
                <w:rFonts w:hint="eastAsia" w:cs="Times New Roman"/>
                <w:sz w:val="21"/>
                <w:szCs w:val="21"/>
              </w:rPr>
              <w:t>约30</w:t>
            </w:r>
          </w:p>
        </w:tc>
      </w:tr>
      <w:tr w14:paraId="06F72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E1444C8">
            <w:pPr>
              <w:pStyle w:val="39"/>
              <w:numPr>
                <w:ilvl w:val="0"/>
                <w:numId w:val="7"/>
              </w:numPr>
              <w:spacing w:line="240" w:lineRule="auto"/>
              <w:ind w:firstLineChars="0"/>
              <w:jc w:val="center"/>
              <w:rPr>
                <w:rFonts w:cs="Times New Roman"/>
                <w:sz w:val="21"/>
                <w:szCs w:val="21"/>
              </w:rPr>
            </w:pPr>
          </w:p>
        </w:tc>
        <w:tc>
          <w:tcPr>
            <w:tcW w:w="992" w:type="dxa"/>
            <w:noWrap/>
            <w:vAlign w:val="center"/>
          </w:tcPr>
          <w:p w14:paraId="258517BB">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5C113675">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25E39AEA">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26CE3D7E">
            <w:pPr>
              <w:spacing w:line="240" w:lineRule="auto"/>
              <w:ind w:firstLine="0" w:firstLineChars="0"/>
              <w:jc w:val="center"/>
              <w:rPr>
                <w:rFonts w:cs="Times New Roman"/>
                <w:sz w:val="21"/>
                <w:szCs w:val="21"/>
              </w:rPr>
            </w:pPr>
            <w:r>
              <w:rPr>
                <w:rFonts w:hint="eastAsia" w:cs="Times New Roman"/>
                <w:sz w:val="21"/>
                <w:szCs w:val="21"/>
              </w:rPr>
              <w:t>南东山</w:t>
            </w:r>
          </w:p>
        </w:tc>
        <w:tc>
          <w:tcPr>
            <w:tcW w:w="1701" w:type="dxa"/>
            <w:noWrap/>
            <w:vAlign w:val="center"/>
          </w:tcPr>
          <w:p w14:paraId="44FFDB28">
            <w:pPr>
              <w:spacing w:line="240" w:lineRule="auto"/>
              <w:ind w:firstLine="0" w:firstLineChars="0"/>
              <w:jc w:val="center"/>
              <w:rPr>
                <w:rFonts w:cs="Times New Roman"/>
                <w:sz w:val="21"/>
                <w:szCs w:val="21"/>
              </w:rPr>
            </w:pPr>
            <w:r>
              <w:rPr>
                <w:rFonts w:hint="eastAsia" w:cs="Times New Roman"/>
                <w:sz w:val="21"/>
                <w:szCs w:val="21"/>
              </w:rPr>
              <w:t>119.288176</w:t>
            </w:r>
          </w:p>
        </w:tc>
        <w:tc>
          <w:tcPr>
            <w:tcW w:w="1690" w:type="dxa"/>
            <w:noWrap/>
            <w:vAlign w:val="center"/>
          </w:tcPr>
          <w:p w14:paraId="7D0E15A1">
            <w:pPr>
              <w:spacing w:line="240" w:lineRule="auto"/>
              <w:ind w:firstLine="0" w:firstLineChars="0"/>
              <w:jc w:val="center"/>
              <w:rPr>
                <w:rFonts w:cs="Times New Roman"/>
                <w:sz w:val="21"/>
                <w:szCs w:val="21"/>
              </w:rPr>
            </w:pPr>
            <w:r>
              <w:rPr>
                <w:rFonts w:hint="eastAsia" w:cs="Times New Roman"/>
                <w:sz w:val="21"/>
                <w:szCs w:val="21"/>
              </w:rPr>
              <w:t>31.750546</w:t>
            </w:r>
          </w:p>
        </w:tc>
        <w:tc>
          <w:tcPr>
            <w:tcW w:w="1080" w:type="dxa"/>
            <w:noWrap/>
            <w:vAlign w:val="center"/>
          </w:tcPr>
          <w:p w14:paraId="1CC7A08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088C2E4">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75B7B162">
            <w:pPr>
              <w:spacing w:line="240" w:lineRule="auto"/>
              <w:ind w:firstLine="0" w:firstLineChars="0"/>
              <w:jc w:val="center"/>
              <w:rPr>
                <w:rFonts w:cs="Times New Roman"/>
                <w:sz w:val="21"/>
                <w:szCs w:val="21"/>
              </w:rPr>
            </w:pPr>
            <w:r>
              <w:rPr>
                <w:rFonts w:hint="eastAsia" w:cs="Times New Roman"/>
                <w:sz w:val="21"/>
                <w:szCs w:val="21"/>
              </w:rPr>
              <w:t>1125</w:t>
            </w:r>
          </w:p>
        </w:tc>
        <w:tc>
          <w:tcPr>
            <w:tcW w:w="1168" w:type="dxa"/>
            <w:noWrap/>
            <w:vAlign w:val="center"/>
          </w:tcPr>
          <w:p w14:paraId="5958554A">
            <w:pPr>
              <w:spacing w:line="240" w:lineRule="auto"/>
              <w:ind w:firstLine="0" w:firstLineChars="0"/>
              <w:jc w:val="center"/>
              <w:rPr>
                <w:rFonts w:cs="Times New Roman"/>
                <w:sz w:val="21"/>
                <w:szCs w:val="21"/>
              </w:rPr>
            </w:pPr>
            <w:r>
              <w:rPr>
                <w:rFonts w:hint="eastAsia" w:cs="Times New Roman"/>
                <w:sz w:val="21"/>
                <w:szCs w:val="21"/>
              </w:rPr>
              <w:t>约20</w:t>
            </w:r>
          </w:p>
        </w:tc>
      </w:tr>
      <w:tr w14:paraId="418B0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91BEF27">
            <w:pPr>
              <w:pStyle w:val="39"/>
              <w:numPr>
                <w:ilvl w:val="0"/>
                <w:numId w:val="7"/>
              </w:numPr>
              <w:spacing w:line="240" w:lineRule="auto"/>
              <w:ind w:firstLineChars="0"/>
              <w:jc w:val="center"/>
              <w:rPr>
                <w:rFonts w:cs="Times New Roman"/>
                <w:sz w:val="21"/>
                <w:szCs w:val="21"/>
              </w:rPr>
            </w:pPr>
          </w:p>
        </w:tc>
        <w:tc>
          <w:tcPr>
            <w:tcW w:w="992" w:type="dxa"/>
            <w:noWrap/>
            <w:vAlign w:val="center"/>
          </w:tcPr>
          <w:p w14:paraId="544E4AD2">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46F3F7B7">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1B1C4080">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2C94B3CB">
            <w:pPr>
              <w:spacing w:line="240" w:lineRule="auto"/>
              <w:ind w:firstLine="0" w:firstLineChars="0"/>
              <w:jc w:val="center"/>
              <w:rPr>
                <w:rFonts w:cs="Times New Roman"/>
                <w:sz w:val="21"/>
                <w:szCs w:val="21"/>
              </w:rPr>
            </w:pPr>
            <w:r>
              <w:rPr>
                <w:rFonts w:hint="eastAsia" w:cs="Times New Roman"/>
                <w:sz w:val="21"/>
                <w:szCs w:val="21"/>
              </w:rPr>
              <w:t>包家棚</w:t>
            </w:r>
          </w:p>
        </w:tc>
        <w:tc>
          <w:tcPr>
            <w:tcW w:w="1701" w:type="dxa"/>
            <w:noWrap/>
            <w:vAlign w:val="center"/>
          </w:tcPr>
          <w:p w14:paraId="61A27F37">
            <w:pPr>
              <w:spacing w:line="240" w:lineRule="auto"/>
              <w:ind w:firstLine="0" w:firstLineChars="0"/>
              <w:jc w:val="center"/>
              <w:rPr>
                <w:rFonts w:cs="Times New Roman"/>
                <w:sz w:val="21"/>
                <w:szCs w:val="21"/>
              </w:rPr>
            </w:pPr>
            <w:r>
              <w:rPr>
                <w:rFonts w:hint="eastAsia" w:cs="Times New Roman"/>
                <w:sz w:val="21"/>
                <w:szCs w:val="21"/>
              </w:rPr>
              <w:t>119.282439</w:t>
            </w:r>
          </w:p>
        </w:tc>
        <w:tc>
          <w:tcPr>
            <w:tcW w:w="1690" w:type="dxa"/>
            <w:noWrap/>
            <w:vAlign w:val="center"/>
          </w:tcPr>
          <w:p w14:paraId="45706907">
            <w:pPr>
              <w:spacing w:line="240" w:lineRule="auto"/>
              <w:ind w:firstLine="0" w:firstLineChars="0"/>
              <w:jc w:val="center"/>
              <w:rPr>
                <w:rFonts w:cs="Times New Roman"/>
                <w:sz w:val="21"/>
                <w:szCs w:val="21"/>
              </w:rPr>
            </w:pPr>
            <w:r>
              <w:rPr>
                <w:rFonts w:hint="eastAsia" w:cs="Times New Roman"/>
                <w:sz w:val="21"/>
                <w:szCs w:val="21"/>
              </w:rPr>
              <w:t>31.740819</w:t>
            </w:r>
          </w:p>
        </w:tc>
        <w:tc>
          <w:tcPr>
            <w:tcW w:w="1080" w:type="dxa"/>
            <w:noWrap/>
            <w:vAlign w:val="center"/>
          </w:tcPr>
          <w:p w14:paraId="46C66B1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33D295E">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293FD2C6">
            <w:pPr>
              <w:spacing w:line="240" w:lineRule="auto"/>
              <w:ind w:firstLine="0" w:firstLineChars="0"/>
              <w:jc w:val="center"/>
              <w:rPr>
                <w:rFonts w:cs="Times New Roman"/>
                <w:sz w:val="21"/>
                <w:szCs w:val="21"/>
              </w:rPr>
            </w:pPr>
            <w:r>
              <w:rPr>
                <w:rFonts w:hint="eastAsia" w:cs="Times New Roman"/>
                <w:sz w:val="21"/>
                <w:szCs w:val="21"/>
              </w:rPr>
              <w:t>1633</w:t>
            </w:r>
          </w:p>
        </w:tc>
        <w:tc>
          <w:tcPr>
            <w:tcW w:w="1168" w:type="dxa"/>
            <w:noWrap/>
            <w:vAlign w:val="center"/>
          </w:tcPr>
          <w:p w14:paraId="36166D19">
            <w:pPr>
              <w:spacing w:line="240" w:lineRule="auto"/>
              <w:ind w:firstLine="0" w:firstLineChars="0"/>
              <w:jc w:val="center"/>
              <w:rPr>
                <w:rFonts w:cs="Times New Roman"/>
                <w:sz w:val="21"/>
                <w:szCs w:val="21"/>
              </w:rPr>
            </w:pPr>
            <w:r>
              <w:rPr>
                <w:rFonts w:hint="eastAsia" w:cs="Times New Roman"/>
                <w:sz w:val="21"/>
                <w:szCs w:val="21"/>
              </w:rPr>
              <w:t>约200</w:t>
            </w:r>
          </w:p>
        </w:tc>
      </w:tr>
      <w:tr w14:paraId="755B4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657CA8A">
            <w:pPr>
              <w:pStyle w:val="39"/>
              <w:numPr>
                <w:ilvl w:val="0"/>
                <w:numId w:val="7"/>
              </w:numPr>
              <w:spacing w:line="240" w:lineRule="auto"/>
              <w:ind w:firstLineChars="0"/>
              <w:jc w:val="center"/>
              <w:rPr>
                <w:rFonts w:cs="Times New Roman"/>
                <w:sz w:val="21"/>
                <w:szCs w:val="21"/>
              </w:rPr>
            </w:pPr>
          </w:p>
        </w:tc>
        <w:tc>
          <w:tcPr>
            <w:tcW w:w="992" w:type="dxa"/>
            <w:noWrap/>
            <w:vAlign w:val="center"/>
          </w:tcPr>
          <w:p w14:paraId="7300357D">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78B22E30">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23BC4320">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579354FF">
            <w:pPr>
              <w:spacing w:line="240" w:lineRule="auto"/>
              <w:ind w:firstLine="0" w:firstLineChars="0"/>
              <w:jc w:val="center"/>
              <w:rPr>
                <w:rFonts w:cs="Times New Roman"/>
                <w:sz w:val="21"/>
                <w:szCs w:val="21"/>
              </w:rPr>
            </w:pPr>
            <w:r>
              <w:rPr>
                <w:rFonts w:hint="eastAsia" w:cs="Times New Roman"/>
                <w:sz w:val="21"/>
                <w:szCs w:val="21"/>
              </w:rPr>
              <w:t>农林</w:t>
            </w:r>
          </w:p>
        </w:tc>
        <w:tc>
          <w:tcPr>
            <w:tcW w:w="1701" w:type="dxa"/>
            <w:noWrap/>
            <w:vAlign w:val="center"/>
          </w:tcPr>
          <w:p w14:paraId="2CA518B2">
            <w:pPr>
              <w:spacing w:line="240" w:lineRule="auto"/>
              <w:ind w:firstLine="0" w:firstLineChars="0"/>
              <w:jc w:val="center"/>
              <w:rPr>
                <w:rFonts w:cs="Times New Roman"/>
                <w:sz w:val="21"/>
                <w:szCs w:val="21"/>
              </w:rPr>
            </w:pPr>
            <w:r>
              <w:rPr>
                <w:rFonts w:hint="eastAsia" w:cs="Times New Roman"/>
                <w:sz w:val="21"/>
                <w:szCs w:val="21"/>
              </w:rPr>
              <w:t>119.273376</w:t>
            </w:r>
          </w:p>
        </w:tc>
        <w:tc>
          <w:tcPr>
            <w:tcW w:w="1690" w:type="dxa"/>
            <w:noWrap/>
            <w:vAlign w:val="center"/>
          </w:tcPr>
          <w:p w14:paraId="3FC98B80">
            <w:pPr>
              <w:spacing w:line="240" w:lineRule="auto"/>
              <w:ind w:firstLine="0" w:firstLineChars="0"/>
              <w:jc w:val="center"/>
              <w:rPr>
                <w:rFonts w:cs="Times New Roman"/>
                <w:sz w:val="21"/>
                <w:szCs w:val="21"/>
              </w:rPr>
            </w:pPr>
            <w:r>
              <w:rPr>
                <w:rFonts w:hint="eastAsia" w:cs="Times New Roman"/>
                <w:sz w:val="21"/>
                <w:szCs w:val="21"/>
              </w:rPr>
              <w:t>31.742408</w:t>
            </w:r>
          </w:p>
        </w:tc>
        <w:tc>
          <w:tcPr>
            <w:tcW w:w="1080" w:type="dxa"/>
            <w:noWrap/>
            <w:vAlign w:val="center"/>
          </w:tcPr>
          <w:p w14:paraId="610F7D1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874B38D">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5ED56094">
            <w:pPr>
              <w:spacing w:line="240" w:lineRule="auto"/>
              <w:ind w:firstLine="0" w:firstLineChars="0"/>
              <w:jc w:val="center"/>
              <w:rPr>
                <w:rFonts w:cs="Times New Roman"/>
                <w:sz w:val="21"/>
                <w:szCs w:val="21"/>
              </w:rPr>
            </w:pPr>
            <w:r>
              <w:rPr>
                <w:rFonts w:hint="eastAsia" w:cs="Times New Roman"/>
                <w:sz w:val="21"/>
                <w:szCs w:val="21"/>
              </w:rPr>
              <w:t>2438</w:t>
            </w:r>
          </w:p>
        </w:tc>
        <w:tc>
          <w:tcPr>
            <w:tcW w:w="1168" w:type="dxa"/>
            <w:noWrap/>
            <w:vAlign w:val="center"/>
          </w:tcPr>
          <w:p w14:paraId="427599F0">
            <w:pPr>
              <w:spacing w:line="240" w:lineRule="auto"/>
              <w:ind w:firstLine="0" w:firstLineChars="0"/>
              <w:jc w:val="center"/>
              <w:rPr>
                <w:rFonts w:cs="Times New Roman"/>
                <w:sz w:val="21"/>
                <w:szCs w:val="21"/>
              </w:rPr>
            </w:pPr>
            <w:r>
              <w:rPr>
                <w:rFonts w:hint="eastAsia" w:cs="Times New Roman"/>
                <w:sz w:val="21"/>
                <w:szCs w:val="21"/>
              </w:rPr>
              <w:t>约40</w:t>
            </w:r>
          </w:p>
        </w:tc>
      </w:tr>
      <w:tr w14:paraId="38B72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CCC2660">
            <w:pPr>
              <w:pStyle w:val="39"/>
              <w:numPr>
                <w:ilvl w:val="0"/>
                <w:numId w:val="7"/>
              </w:numPr>
              <w:spacing w:line="240" w:lineRule="auto"/>
              <w:ind w:firstLineChars="0"/>
              <w:jc w:val="center"/>
              <w:rPr>
                <w:rFonts w:cs="Times New Roman"/>
                <w:sz w:val="21"/>
                <w:szCs w:val="21"/>
              </w:rPr>
            </w:pPr>
          </w:p>
        </w:tc>
        <w:tc>
          <w:tcPr>
            <w:tcW w:w="992" w:type="dxa"/>
            <w:noWrap/>
            <w:vAlign w:val="center"/>
          </w:tcPr>
          <w:p w14:paraId="5FD79478">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C7248BC">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3E0FC303">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3A60B221">
            <w:pPr>
              <w:spacing w:line="240" w:lineRule="auto"/>
              <w:ind w:firstLine="0" w:firstLineChars="0"/>
              <w:jc w:val="center"/>
              <w:rPr>
                <w:rFonts w:cs="Times New Roman"/>
                <w:sz w:val="21"/>
                <w:szCs w:val="21"/>
              </w:rPr>
            </w:pPr>
            <w:r>
              <w:rPr>
                <w:rFonts w:hint="eastAsia" w:cs="Times New Roman"/>
                <w:sz w:val="21"/>
                <w:szCs w:val="21"/>
              </w:rPr>
              <w:t>胡家寨</w:t>
            </w:r>
          </w:p>
        </w:tc>
        <w:tc>
          <w:tcPr>
            <w:tcW w:w="1701" w:type="dxa"/>
            <w:noWrap/>
            <w:vAlign w:val="center"/>
          </w:tcPr>
          <w:p w14:paraId="2CE9FABB">
            <w:pPr>
              <w:spacing w:line="240" w:lineRule="auto"/>
              <w:ind w:firstLine="0" w:firstLineChars="0"/>
              <w:jc w:val="center"/>
              <w:rPr>
                <w:rFonts w:cs="Times New Roman"/>
                <w:sz w:val="21"/>
                <w:szCs w:val="21"/>
              </w:rPr>
            </w:pPr>
            <w:r>
              <w:rPr>
                <w:rFonts w:hint="eastAsia" w:cs="Times New Roman"/>
                <w:sz w:val="21"/>
                <w:szCs w:val="21"/>
              </w:rPr>
              <w:t>119.27361</w:t>
            </w:r>
          </w:p>
        </w:tc>
        <w:tc>
          <w:tcPr>
            <w:tcW w:w="1690" w:type="dxa"/>
            <w:noWrap/>
            <w:vAlign w:val="center"/>
          </w:tcPr>
          <w:p w14:paraId="5A52C5D4">
            <w:pPr>
              <w:spacing w:line="240" w:lineRule="auto"/>
              <w:ind w:firstLine="0" w:firstLineChars="0"/>
              <w:jc w:val="center"/>
              <w:rPr>
                <w:rFonts w:cs="Times New Roman"/>
                <w:sz w:val="21"/>
                <w:szCs w:val="21"/>
              </w:rPr>
            </w:pPr>
            <w:r>
              <w:rPr>
                <w:rFonts w:hint="eastAsia" w:cs="Times New Roman"/>
                <w:sz w:val="21"/>
                <w:szCs w:val="21"/>
              </w:rPr>
              <w:t>31.736443</w:t>
            </w:r>
          </w:p>
        </w:tc>
        <w:tc>
          <w:tcPr>
            <w:tcW w:w="1080" w:type="dxa"/>
            <w:noWrap/>
            <w:vAlign w:val="center"/>
          </w:tcPr>
          <w:p w14:paraId="21DD66B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66EB3B2">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3652382E">
            <w:pPr>
              <w:spacing w:line="240" w:lineRule="auto"/>
              <w:ind w:firstLine="0" w:firstLineChars="0"/>
              <w:jc w:val="center"/>
              <w:rPr>
                <w:rFonts w:cs="Times New Roman"/>
                <w:sz w:val="21"/>
                <w:szCs w:val="21"/>
              </w:rPr>
            </w:pPr>
            <w:r>
              <w:rPr>
                <w:rFonts w:hint="eastAsia" w:cs="Times New Roman"/>
                <w:sz w:val="21"/>
                <w:szCs w:val="21"/>
              </w:rPr>
              <w:t>2432</w:t>
            </w:r>
          </w:p>
        </w:tc>
        <w:tc>
          <w:tcPr>
            <w:tcW w:w="1168" w:type="dxa"/>
            <w:noWrap/>
            <w:vAlign w:val="center"/>
          </w:tcPr>
          <w:p w14:paraId="50DA9076">
            <w:pPr>
              <w:spacing w:line="240" w:lineRule="auto"/>
              <w:ind w:firstLine="0" w:firstLineChars="0"/>
              <w:jc w:val="center"/>
              <w:rPr>
                <w:rFonts w:cs="Times New Roman"/>
                <w:sz w:val="21"/>
                <w:szCs w:val="21"/>
              </w:rPr>
            </w:pPr>
            <w:r>
              <w:rPr>
                <w:rFonts w:hint="eastAsia" w:cs="Times New Roman"/>
                <w:sz w:val="21"/>
                <w:szCs w:val="21"/>
              </w:rPr>
              <w:t>约300</w:t>
            </w:r>
          </w:p>
        </w:tc>
      </w:tr>
      <w:tr w14:paraId="3E6BC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17A510B">
            <w:pPr>
              <w:pStyle w:val="39"/>
              <w:numPr>
                <w:ilvl w:val="0"/>
                <w:numId w:val="7"/>
              </w:numPr>
              <w:spacing w:line="240" w:lineRule="auto"/>
              <w:ind w:firstLineChars="0"/>
              <w:jc w:val="center"/>
              <w:rPr>
                <w:rFonts w:cs="Times New Roman"/>
                <w:sz w:val="21"/>
                <w:szCs w:val="21"/>
              </w:rPr>
            </w:pPr>
          </w:p>
        </w:tc>
        <w:tc>
          <w:tcPr>
            <w:tcW w:w="992" w:type="dxa"/>
            <w:noWrap/>
            <w:vAlign w:val="center"/>
          </w:tcPr>
          <w:p w14:paraId="71977172">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27986E8">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6C465698">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2B331E24">
            <w:pPr>
              <w:spacing w:line="240" w:lineRule="auto"/>
              <w:ind w:firstLine="0" w:firstLineChars="0"/>
              <w:jc w:val="center"/>
              <w:rPr>
                <w:rFonts w:cs="Times New Roman"/>
                <w:sz w:val="21"/>
                <w:szCs w:val="21"/>
              </w:rPr>
            </w:pPr>
            <w:r>
              <w:rPr>
                <w:rFonts w:hint="eastAsia" w:cs="Times New Roman"/>
                <w:sz w:val="21"/>
                <w:szCs w:val="21"/>
              </w:rPr>
              <w:t>白龙地</w:t>
            </w:r>
          </w:p>
        </w:tc>
        <w:tc>
          <w:tcPr>
            <w:tcW w:w="1701" w:type="dxa"/>
            <w:noWrap/>
            <w:vAlign w:val="center"/>
          </w:tcPr>
          <w:p w14:paraId="77838AB5">
            <w:pPr>
              <w:spacing w:line="240" w:lineRule="auto"/>
              <w:ind w:firstLine="0" w:firstLineChars="0"/>
              <w:jc w:val="center"/>
              <w:rPr>
                <w:rFonts w:cs="Times New Roman"/>
                <w:sz w:val="21"/>
                <w:szCs w:val="21"/>
              </w:rPr>
            </w:pPr>
            <w:r>
              <w:rPr>
                <w:rFonts w:hint="eastAsia" w:cs="Times New Roman"/>
                <w:sz w:val="21"/>
                <w:szCs w:val="21"/>
              </w:rPr>
              <w:t>119.285345</w:t>
            </w:r>
          </w:p>
        </w:tc>
        <w:tc>
          <w:tcPr>
            <w:tcW w:w="1690" w:type="dxa"/>
            <w:noWrap/>
            <w:vAlign w:val="center"/>
          </w:tcPr>
          <w:p w14:paraId="25017359">
            <w:pPr>
              <w:spacing w:line="240" w:lineRule="auto"/>
              <w:ind w:firstLine="0" w:firstLineChars="0"/>
              <w:jc w:val="center"/>
              <w:rPr>
                <w:rFonts w:cs="Times New Roman"/>
                <w:sz w:val="21"/>
                <w:szCs w:val="21"/>
              </w:rPr>
            </w:pPr>
            <w:r>
              <w:rPr>
                <w:rFonts w:hint="eastAsia" w:cs="Times New Roman"/>
                <w:sz w:val="21"/>
                <w:szCs w:val="21"/>
              </w:rPr>
              <w:t>31.728082</w:t>
            </w:r>
          </w:p>
        </w:tc>
        <w:tc>
          <w:tcPr>
            <w:tcW w:w="1080" w:type="dxa"/>
            <w:noWrap/>
            <w:vAlign w:val="center"/>
          </w:tcPr>
          <w:p w14:paraId="0E361CD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16D6D3A">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7AA73990">
            <w:pPr>
              <w:spacing w:line="240" w:lineRule="auto"/>
              <w:ind w:firstLine="0" w:firstLineChars="0"/>
              <w:jc w:val="center"/>
              <w:rPr>
                <w:rFonts w:cs="Times New Roman"/>
                <w:sz w:val="21"/>
                <w:szCs w:val="21"/>
              </w:rPr>
            </w:pPr>
            <w:r>
              <w:rPr>
                <w:rFonts w:hint="eastAsia" w:cs="Times New Roman"/>
                <w:sz w:val="21"/>
                <w:szCs w:val="21"/>
              </w:rPr>
              <w:t>1893</w:t>
            </w:r>
          </w:p>
        </w:tc>
        <w:tc>
          <w:tcPr>
            <w:tcW w:w="1168" w:type="dxa"/>
            <w:noWrap/>
            <w:vAlign w:val="center"/>
          </w:tcPr>
          <w:p w14:paraId="61E0CA2F">
            <w:pPr>
              <w:spacing w:line="240" w:lineRule="auto"/>
              <w:ind w:firstLine="0" w:firstLineChars="0"/>
              <w:jc w:val="center"/>
              <w:rPr>
                <w:rFonts w:cs="Times New Roman"/>
                <w:sz w:val="21"/>
                <w:szCs w:val="21"/>
              </w:rPr>
            </w:pPr>
            <w:r>
              <w:rPr>
                <w:rFonts w:hint="eastAsia" w:cs="Times New Roman"/>
                <w:sz w:val="21"/>
                <w:szCs w:val="21"/>
              </w:rPr>
              <w:t>约20</w:t>
            </w:r>
          </w:p>
        </w:tc>
      </w:tr>
      <w:tr w14:paraId="4C247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325AC95">
            <w:pPr>
              <w:pStyle w:val="39"/>
              <w:numPr>
                <w:ilvl w:val="0"/>
                <w:numId w:val="7"/>
              </w:numPr>
              <w:spacing w:line="240" w:lineRule="auto"/>
              <w:ind w:firstLineChars="0"/>
              <w:jc w:val="center"/>
              <w:rPr>
                <w:rFonts w:cs="Times New Roman"/>
                <w:sz w:val="21"/>
                <w:szCs w:val="21"/>
              </w:rPr>
            </w:pPr>
          </w:p>
        </w:tc>
        <w:tc>
          <w:tcPr>
            <w:tcW w:w="992" w:type="dxa"/>
            <w:noWrap/>
            <w:vAlign w:val="center"/>
          </w:tcPr>
          <w:p w14:paraId="333609EB">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943EE0A">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0187299C">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52ADF3B0">
            <w:pPr>
              <w:spacing w:line="240" w:lineRule="auto"/>
              <w:ind w:firstLine="0" w:firstLineChars="0"/>
              <w:jc w:val="center"/>
              <w:rPr>
                <w:rFonts w:cs="Times New Roman"/>
                <w:sz w:val="21"/>
                <w:szCs w:val="21"/>
              </w:rPr>
            </w:pPr>
            <w:r>
              <w:rPr>
                <w:rFonts w:hint="eastAsia" w:cs="Times New Roman"/>
                <w:sz w:val="21"/>
                <w:szCs w:val="21"/>
              </w:rPr>
              <w:t>黄金滩</w:t>
            </w:r>
          </w:p>
        </w:tc>
        <w:tc>
          <w:tcPr>
            <w:tcW w:w="1701" w:type="dxa"/>
            <w:noWrap/>
            <w:vAlign w:val="center"/>
          </w:tcPr>
          <w:p w14:paraId="5D91FFDC">
            <w:pPr>
              <w:spacing w:line="240" w:lineRule="auto"/>
              <w:ind w:firstLine="0" w:firstLineChars="0"/>
              <w:jc w:val="center"/>
              <w:rPr>
                <w:rFonts w:cs="Times New Roman"/>
                <w:sz w:val="21"/>
                <w:szCs w:val="21"/>
              </w:rPr>
            </w:pPr>
            <w:r>
              <w:rPr>
                <w:rFonts w:hint="eastAsia" w:cs="Times New Roman"/>
                <w:sz w:val="21"/>
                <w:szCs w:val="21"/>
              </w:rPr>
              <w:t>119.319234</w:t>
            </w:r>
          </w:p>
        </w:tc>
        <w:tc>
          <w:tcPr>
            <w:tcW w:w="1690" w:type="dxa"/>
            <w:noWrap/>
            <w:vAlign w:val="center"/>
          </w:tcPr>
          <w:p w14:paraId="701C09A0">
            <w:pPr>
              <w:spacing w:line="240" w:lineRule="auto"/>
              <w:ind w:firstLine="0" w:firstLineChars="0"/>
              <w:jc w:val="center"/>
              <w:rPr>
                <w:rFonts w:cs="Times New Roman"/>
                <w:sz w:val="21"/>
                <w:szCs w:val="21"/>
              </w:rPr>
            </w:pPr>
            <w:r>
              <w:rPr>
                <w:rFonts w:hint="eastAsia" w:cs="Times New Roman"/>
                <w:sz w:val="21"/>
                <w:szCs w:val="21"/>
              </w:rPr>
              <w:t>31.729093</w:t>
            </w:r>
          </w:p>
        </w:tc>
        <w:tc>
          <w:tcPr>
            <w:tcW w:w="1080" w:type="dxa"/>
            <w:noWrap/>
            <w:vAlign w:val="center"/>
          </w:tcPr>
          <w:p w14:paraId="628377A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6974B14">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4FAD32B9">
            <w:pPr>
              <w:spacing w:line="240" w:lineRule="auto"/>
              <w:ind w:firstLine="0" w:firstLineChars="0"/>
              <w:jc w:val="center"/>
              <w:rPr>
                <w:rFonts w:cs="Times New Roman"/>
                <w:sz w:val="21"/>
                <w:szCs w:val="21"/>
              </w:rPr>
            </w:pPr>
            <w:r>
              <w:rPr>
                <w:rFonts w:hint="eastAsia" w:cs="Times New Roman"/>
                <w:sz w:val="21"/>
                <w:szCs w:val="21"/>
              </w:rPr>
              <w:t>431</w:t>
            </w:r>
          </w:p>
        </w:tc>
        <w:tc>
          <w:tcPr>
            <w:tcW w:w="1168" w:type="dxa"/>
            <w:noWrap/>
            <w:vAlign w:val="center"/>
          </w:tcPr>
          <w:p w14:paraId="06537A5B">
            <w:pPr>
              <w:spacing w:line="240" w:lineRule="auto"/>
              <w:ind w:firstLine="0" w:firstLineChars="0"/>
              <w:jc w:val="center"/>
              <w:rPr>
                <w:rFonts w:cs="Times New Roman"/>
                <w:sz w:val="21"/>
                <w:szCs w:val="21"/>
              </w:rPr>
            </w:pPr>
            <w:r>
              <w:rPr>
                <w:rFonts w:hint="eastAsia" w:cs="Times New Roman"/>
                <w:sz w:val="21"/>
                <w:szCs w:val="21"/>
              </w:rPr>
              <w:t>约50</w:t>
            </w:r>
          </w:p>
        </w:tc>
      </w:tr>
      <w:tr w14:paraId="38CB0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F790E57">
            <w:pPr>
              <w:pStyle w:val="39"/>
              <w:numPr>
                <w:ilvl w:val="0"/>
                <w:numId w:val="7"/>
              </w:numPr>
              <w:spacing w:line="240" w:lineRule="auto"/>
              <w:ind w:firstLineChars="0"/>
              <w:jc w:val="center"/>
              <w:rPr>
                <w:rFonts w:cs="Times New Roman"/>
                <w:sz w:val="21"/>
                <w:szCs w:val="21"/>
              </w:rPr>
            </w:pPr>
          </w:p>
        </w:tc>
        <w:tc>
          <w:tcPr>
            <w:tcW w:w="992" w:type="dxa"/>
            <w:noWrap/>
            <w:vAlign w:val="center"/>
          </w:tcPr>
          <w:p w14:paraId="466CEC1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D9452B1">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432D5A41">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2897DF9F">
            <w:pPr>
              <w:spacing w:line="240" w:lineRule="auto"/>
              <w:ind w:firstLine="0" w:firstLineChars="0"/>
              <w:jc w:val="center"/>
              <w:rPr>
                <w:rFonts w:cs="Times New Roman"/>
                <w:sz w:val="21"/>
                <w:szCs w:val="21"/>
              </w:rPr>
            </w:pPr>
            <w:r>
              <w:rPr>
                <w:rFonts w:hint="eastAsia" w:cs="Times New Roman"/>
                <w:sz w:val="21"/>
                <w:szCs w:val="21"/>
              </w:rPr>
              <w:t>前云</w:t>
            </w:r>
          </w:p>
        </w:tc>
        <w:tc>
          <w:tcPr>
            <w:tcW w:w="1701" w:type="dxa"/>
            <w:noWrap/>
            <w:vAlign w:val="center"/>
          </w:tcPr>
          <w:p w14:paraId="0BC4D799">
            <w:pPr>
              <w:spacing w:line="240" w:lineRule="auto"/>
              <w:ind w:firstLine="0" w:firstLineChars="0"/>
              <w:jc w:val="center"/>
              <w:rPr>
                <w:rFonts w:cs="Times New Roman"/>
                <w:sz w:val="21"/>
                <w:szCs w:val="21"/>
              </w:rPr>
            </w:pPr>
            <w:r>
              <w:rPr>
                <w:rFonts w:hint="eastAsia" w:cs="Times New Roman"/>
                <w:sz w:val="21"/>
                <w:szCs w:val="21"/>
              </w:rPr>
              <w:t>119.38932</w:t>
            </w:r>
          </w:p>
        </w:tc>
        <w:tc>
          <w:tcPr>
            <w:tcW w:w="1690" w:type="dxa"/>
            <w:noWrap/>
            <w:vAlign w:val="center"/>
          </w:tcPr>
          <w:p w14:paraId="66F2F76E">
            <w:pPr>
              <w:spacing w:line="240" w:lineRule="auto"/>
              <w:ind w:firstLine="0" w:firstLineChars="0"/>
              <w:jc w:val="center"/>
              <w:rPr>
                <w:rFonts w:cs="Times New Roman"/>
                <w:sz w:val="21"/>
                <w:szCs w:val="21"/>
              </w:rPr>
            </w:pPr>
            <w:r>
              <w:rPr>
                <w:rFonts w:hint="eastAsia" w:cs="Times New Roman"/>
                <w:sz w:val="21"/>
                <w:szCs w:val="21"/>
              </w:rPr>
              <w:t>31.604302</w:t>
            </w:r>
          </w:p>
        </w:tc>
        <w:tc>
          <w:tcPr>
            <w:tcW w:w="1080" w:type="dxa"/>
            <w:noWrap/>
            <w:vAlign w:val="center"/>
          </w:tcPr>
          <w:p w14:paraId="598BBC2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2050713">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3B97790">
            <w:pPr>
              <w:spacing w:line="240" w:lineRule="auto"/>
              <w:ind w:firstLine="0" w:firstLineChars="0"/>
              <w:jc w:val="center"/>
              <w:rPr>
                <w:rFonts w:cs="Times New Roman"/>
                <w:sz w:val="21"/>
                <w:szCs w:val="21"/>
              </w:rPr>
            </w:pPr>
            <w:r>
              <w:rPr>
                <w:rFonts w:hint="eastAsia" w:cs="Times New Roman"/>
                <w:sz w:val="21"/>
                <w:szCs w:val="21"/>
              </w:rPr>
              <w:t>2354</w:t>
            </w:r>
          </w:p>
        </w:tc>
        <w:tc>
          <w:tcPr>
            <w:tcW w:w="1168" w:type="dxa"/>
            <w:noWrap/>
            <w:vAlign w:val="center"/>
          </w:tcPr>
          <w:p w14:paraId="6C78DA95">
            <w:pPr>
              <w:spacing w:line="240" w:lineRule="auto"/>
              <w:ind w:firstLine="0" w:firstLineChars="0"/>
              <w:jc w:val="center"/>
              <w:rPr>
                <w:rFonts w:cs="Times New Roman"/>
                <w:sz w:val="21"/>
                <w:szCs w:val="21"/>
              </w:rPr>
            </w:pPr>
            <w:r>
              <w:rPr>
                <w:rFonts w:hint="eastAsia" w:cs="Times New Roman"/>
                <w:sz w:val="21"/>
                <w:szCs w:val="21"/>
              </w:rPr>
              <w:t>约10</w:t>
            </w:r>
          </w:p>
        </w:tc>
      </w:tr>
      <w:tr w14:paraId="6CB5D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A629ECE">
            <w:pPr>
              <w:pStyle w:val="39"/>
              <w:numPr>
                <w:ilvl w:val="0"/>
                <w:numId w:val="7"/>
              </w:numPr>
              <w:spacing w:line="240" w:lineRule="auto"/>
              <w:ind w:firstLineChars="0"/>
              <w:jc w:val="center"/>
              <w:rPr>
                <w:rFonts w:cs="Times New Roman"/>
                <w:sz w:val="21"/>
                <w:szCs w:val="21"/>
              </w:rPr>
            </w:pPr>
          </w:p>
        </w:tc>
        <w:tc>
          <w:tcPr>
            <w:tcW w:w="992" w:type="dxa"/>
            <w:noWrap/>
            <w:vAlign w:val="center"/>
          </w:tcPr>
          <w:p w14:paraId="6321BEF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B64FF63">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03A31EDF">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03C04BBC">
            <w:pPr>
              <w:spacing w:line="240" w:lineRule="auto"/>
              <w:ind w:firstLine="0" w:firstLineChars="0"/>
              <w:jc w:val="center"/>
              <w:rPr>
                <w:rFonts w:cs="Times New Roman"/>
                <w:sz w:val="21"/>
                <w:szCs w:val="21"/>
              </w:rPr>
            </w:pPr>
            <w:r>
              <w:rPr>
                <w:rFonts w:hint="eastAsia" w:cs="Times New Roman"/>
                <w:sz w:val="21"/>
                <w:szCs w:val="21"/>
              </w:rPr>
              <w:t>王家头</w:t>
            </w:r>
          </w:p>
        </w:tc>
        <w:tc>
          <w:tcPr>
            <w:tcW w:w="1701" w:type="dxa"/>
            <w:noWrap/>
            <w:vAlign w:val="center"/>
          </w:tcPr>
          <w:p w14:paraId="0B82F1E6">
            <w:pPr>
              <w:spacing w:line="240" w:lineRule="auto"/>
              <w:ind w:firstLine="0" w:firstLineChars="0"/>
              <w:jc w:val="center"/>
              <w:rPr>
                <w:rFonts w:cs="Times New Roman"/>
                <w:sz w:val="21"/>
                <w:szCs w:val="21"/>
              </w:rPr>
            </w:pPr>
            <w:r>
              <w:rPr>
                <w:rFonts w:hint="eastAsia" w:cs="Times New Roman"/>
                <w:sz w:val="21"/>
                <w:szCs w:val="21"/>
              </w:rPr>
              <w:t>119.388487</w:t>
            </w:r>
          </w:p>
        </w:tc>
        <w:tc>
          <w:tcPr>
            <w:tcW w:w="1690" w:type="dxa"/>
            <w:noWrap/>
            <w:vAlign w:val="center"/>
          </w:tcPr>
          <w:p w14:paraId="207F0CA2">
            <w:pPr>
              <w:spacing w:line="240" w:lineRule="auto"/>
              <w:ind w:firstLine="0" w:firstLineChars="0"/>
              <w:jc w:val="center"/>
              <w:rPr>
                <w:rFonts w:cs="Times New Roman"/>
                <w:sz w:val="21"/>
                <w:szCs w:val="21"/>
              </w:rPr>
            </w:pPr>
            <w:r>
              <w:rPr>
                <w:rFonts w:hint="eastAsia" w:cs="Times New Roman"/>
                <w:sz w:val="21"/>
                <w:szCs w:val="21"/>
              </w:rPr>
              <w:t>31.606011</w:t>
            </w:r>
          </w:p>
        </w:tc>
        <w:tc>
          <w:tcPr>
            <w:tcW w:w="1080" w:type="dxa"/>
            <w:noWrap/>
            <w:vAlign w:val="center"/>
          </w:tcPr>
          <w:p w14:paraId="699E209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F06147F">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3E2E438A">
            <w:pPr>
              <w:spacing w:line="240" w:lineRule="auto"/>
              <w:ind w:firstLine="0" w:firstLineChars="0"/>
              <w:jc w:val="center"/>
              <w:rPr>
                <w:rFonts w:cs="Times New Roman"/>
                <w:sz w:val="21"/>
                <w:szCs w:val="21"/>
              </w:rPr>
            </w:pPr>
            <w:r>
              <w:rPr>
                <w:rFonts w:hint="eastAsia" w:cs="Times New Roman"/>
                <w:sz w:val="21"/>
                <w:szCs w:val="21"/>
              </w:rPr>
              <w:t>2123</w:t>
            </w:r>
          </w:p>
        </w:tc>
        <w:tc>
          <w:tcPr>
            <w:tcW w:w="1168" w:type="dxa"/>
            <w:noWrap/>
            <w:vAlign w:val="center"/>
          </w:tcPr>
          <w:p w14:paraId="6A863A33">
            <w:pPr>
              <w:spacing w:line="240" w:lineRule="auto"/>
              <w:ind w:firstLine="0" w:firstLineChars="0"/>
              <w:jc w:val="center"/>
              <w:rPr>
                <w:rFonts w:cs="Times New Roman"/>
                <w:sz w:val="21"/>
                <w:szCs w:val="21"/>
              </w:rPr>
            </w:pPr>
            <w:r>
              <w:rPr>
                <w:rFonts w:hint="eastAsia" w:cs="Times New Roman"/>
                <w:sz w:val="21"/>
                <w:szCs w:val="21"/>
              </w:rPr>
              <w:t>约30</w:t>
            </w:r>
          </w:p>
        </w:tc>
      </w:tr>
      <w:tr w14:paraId="2CC83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C832519">
            <w:pPr>
              <w:pStyle w:val="39"/>
              <w:numPr>
                <w:ilvl w:val="0"/>
                <w:numId w:val="7"/>
              </w:numPr>
              <w:spacing w:line="240" w:lineRule="auto"/>
              <w:ind w:firstLineChars="0"/>
              <w:jc w:val="center"/>
              <w:rPr>
                <w:rFonts w:cs="Times New Roman"/>
                <w:sz w:val="21"/>
                <w:szCs w:val="21"/>
              </w:rPr>
            </w:pPr>
          </w:p>
        </w:tc>
        <w:tc>
          <w:tcPr>
            <w:tcW w:w="992" w:type="dxa"/>
            <w:noWrap/>
            <w:vAlign w:val="center"/>
          </w:tcPr>
          <w:p w14:paraId="3E91FEC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0096529">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7C73D49E">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45749D3D">
            <w:pPr>
              <w:spacing w:line="240" w:lineRule="auto"/>
              <w:ind w:firstLine="0" w:firstLineChars="0"/>
              <w:jc w:val="center"/>
              <w:rPr>
                <w:rFonts w:cs="Times New Roman"/>
                <w:sz w:val="21"/>
                <w:szCs w:val="21"/>
              </w:rPr>
            </w:pPr>
            <w:r>
              <w:rPr>
                <w:rFonts w:hint="eastAsia" w:cs="Times New Roman"/>
                <w:sz w:val="21"/>
                <w:szCs w:val="21"/>
              </w:rPr>
              <w:t>上云</w:t>
            </w:r>
          </w:p>
        </w:tc>
        <w:tc>
          <w:tcPr>
            <w:tcW w:w="1701" w:type="dxa"/>
            <w:noWrap/>
            <w:vAlign w:val="center"/>
          </w:tcPr>
          <w:p w14:paraId="08A95265">
            <w:pPr>
              <w:spacing w:line="240" w:lineRule="auto"/>
              <w:ind w:firstLine="0" w:firstLineChars="0"/>
              <w:jc w:val="center"/>
              <w:rPr>
                <w:rFonts w:cs="Times New Roman"/>
                <w:sz w:val="21"/>
                <w:szCs w:val="21"/>
              </w:rPr>
            </w:pPr>
            <w:r>
              <w:rPr>
                <w:rFonts w:hint="eastAsia" w:cs="Times New Roman"/>
                <w:sz w:val="21"/>
                <w:szCs w:val="21"/>
              </w:rPr>
              <w:t>119.386221</w:t>
            </w:r>
          </w:p>
        </w:tc>
        <w:tc>
          <w:tcPr>
            <w:tcW w:w="1690" w:type="dxa"/>
            <w:noWrap/>
            <w:vAlign w:val="center"/>
          </w:tcPr>
          <w:p w14:paraId="29EC0340">
            <w:pPr>
              <w:spacing w:line="240" w:lineRule="auto"/>
              <w:ind w:firstLine="0" w:firstLineChars="0"/>
              <w:jc w:val="center"/>
              <w:rPr>
                <w:rFonts w:cs="Times New Roman"/>
                <w:sz w:val="21"/>
                <w:szCs w:val="21"/>
              </w:rPr>
            </w:pPr>
            <w:r>
              <w:rPr>
                <w:rFonts w:hint="eastAsia" w:cs="Times New Roman"/>
                <w:sz w:val="21"/>
                <w:szCs w:val="21"/>
              </w:rPr>
              <w:t>31.603394</w:t>
            </w:r>
          </w:p>
        </w:tc>
        <w:tc>
          <w:tcPr>
            <w:tcW w:w="1080" w:type="dxa"/>
            <w:noWrap/>
            <w:vAlign w:val="center"/>
          </w:tcPr>
          <w:p w14:paraId="4023B16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3A82A2D">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3D2A9B2A">
            <w:pPr>
              <w:spacing w:line="240" w:lineRule="auto"/>
              <w:ind w:firstLine="0" w:firstLineChars="0"/>
              <w:jc w:val="center"/>
              <w:rPr>
                <w:rFonts w:cs="Times New Roman"/>
                <w:sz w:val="21"/>
                <w:szCs w:val="21"/>
              </w:rPr>
            </w:pPr>
            <w:r>
              <w:rPr>
                <w:rFonts w:hint="eastAsia" w:cs="Times New Roman"/>
                <w:sz w:val="21"/>
                <w:szCs w:val="21"/>
              </w:rPr>
              <w:t>2416</w:t>
            </w:r>
          </w:p>
        </w:tc>
        <w:tc>
          <w:tcPr>
            <w:tcW w:w="1168" w:type="dxa"/>
            <w:noWrap/>
            <w:vAlign w:val="center"/>
          </w:tcPr>
          <w:p w14:paraId="154D9FE2">
            <w:pPr>
              <w:spacing w:line="240" w:lineRule="auto"/>
              <w:ind w:firstLine="0" w:firstLineChars="0"/>
              <w:jc w:val="center"/>
              <w:rPr>
                <w:rFonts w:cs="Times New Roman"/>
                <w:sz w:val="21"/>
                <w:szCs w:val="21"/>
              </w:rPr>
            </w:pPr>
            <w:r>
              <w:rPr>
                <w:rFonts w:hint="eastAsia" w:cs="Times New Roman"/>
                <w:sz w:val="21"/>
                <w:szCs w:val="21"/>
              </w:rPr>
              <w:t>约10</w:t>
            </w:r>
          </w:p>
        </w:tc>
      </w:tr>
      <w:tr w14:paraId="08150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BFC276D">
            <w:pPr>
              <w:pStyle w:val="39"/>
              <w:numPr>
                <w:ilvl w:val="0"/>
                <w:numId w:val="7"/>
              </w:numPr>
              <w:spacing w:line="240" w:lineRule="auto"/>
              <w:ind w:firstLineChars="0"/>
              <w:jc w:val="center"/>
              <w:rPr>
                <w:rFonts w:cs="Times New Roman"/>
                <w:sz w:val="21"/>
                <w:szCs w:val="21"/>
              </w:rPr>
            </w:pPr>
          </w:p>
        </w:tc>
        <w:tc>
          <w:tcPr>
            <w:tcW w:w="992" w:type="dxa"/>
            <w:noWrap/>
            <w:vAlign w:val="center"/>
          </w:tcPr>
          <w:p w14:paraId="4C2AD55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CA47613">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0D6BE2E6">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2D1B33AE">
            <w:pPr>
              <w:spacing w:line="240" w:lineRule="auto"/>
              <w:ind w:firstLine="0" w:firstLineChars="0"/>
              <w:jc w:val="center"/>
              <w:rPr>
                <w:rFonts w:cs="Times New Roman"/>
                <w:sz w:val="21"/>
                <w:szCs w:val="21"/>
              </w:rPr>
            </w:pPr>
            <w:r>
              <w:rPr>
                <w:rFonts w:hint="eastAsia" w:cs="Times New Roman"/>
                <w:sz w:val="21"/>
                <w:szCs w:val="21"/>
              </w:rPr>
              <w:t>木库</w:t>
            </w:r>
          </w:p>
        </w:tc>
        <w:tc>
          <w:tcPr>
            <w:tcW w:w="1701" w:type="dxa"/>
            <w:noWrap/>
            <w:vAlign w:val="center"/>
          </w:tcPr>
          <w:p w14:paraId="5E0B205B">
            <w:pPr>
              <w:spacing w:line="240" w:lineRule="auto"/>
              <w:ind w:firstLine="0" w:firstLineChars="0"/>
              <w:jc w:val="center"/>
              <w:rPr>
                <w:rFonts w:cs="Times New Roman"/>
                <w:sz w:val="21"/>
                <w:szCs w:val="21"/>
              </w:rPr>
            </w:pPr>
            <w:r>
              <w:rPr>
                <w:rFonts w:hint="eastAsia" w:cs="Times New Roman"/>
                <w:sz w:val="21"/>
                <w:szCs w:val="21"/>
              </w:rPr>
              <w:t>119.383193</w:t>
            </w:r>
          </w:p>
        </w:tc>
        <w:tc>
          <w:tcPr>
            <w:tcW w:w="1690" w:type="dxa"/>
            <w:noWrap/>
            <w:vAlign w:val="center"/>
          </w:tcPr>
          <w:p w14:paraId="53BA0CA4">
            <w:pPr>
              <w:spacing w:line="240" w:lineRule="auto"/>
              <w:ind w:firstLine="0" w:firstLineChars="0"/>
              <w:jc w:val="center"/>
              <w:rPr>
                <w:rFonts w:cs="Times New Roman"/>
                <w:sz w:val="21"/>
                <w:szCs w:val="21"/>
              </w:rPr>
            </w:pPr>
            <w:r>
              <w:rPr>
                <w:rFonts w:hint="eastAsia" w:cs="Times New Roman"/>
                <w:sz w:val="21"/>
                <w:szCs w:val="21"/>
              </w:rPr>
              <w:t>31.604301</w:t>
            </w:r>
          </w:p>
        </w:tc>
        <w:tc>
          <w:tcPr>
            <w:tcW w:w="1080" w:type="dxa"/>
            <w:noWrap/>
            <w:vAlign w:val="center"/>
          </w:tcPr>
          <w:p w14:paraId="671DCF2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1ACABB3">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5CCDEC1F">
            <w:pPr>
              <w:spacing w:line="240" w:lineRule="auto"/>
              <w:ind w:firstLine="0" w:firstLineChars="0"/>
              <w:jc w:val="center"/>
              <w:rPr>
                <w:rFonts w:cs="Times New Roman"/>
                <w:sz w:val="21"/>
                <w:szCs w:val="21"/>
              </w:rPr>
            </w:pPr>
            <w:r>
              <w:rPr>
                <w:rFonts w:hint="eastAsia" w:cs="Times New Roman"/>
                <w:sz w:val="21"/>
                <w:szCs w:val="21"/>
              </w:rPr>
              <w:t>2351</w:t>
            </w:r>
          </w:p>
        </w:tc>
        <w:tc>
          <w:tcPr>
            <w:tcW w:w="1168" w:type="dxa"/>
            <w:noWrap/>
            <w:vAlign w:val="center"/>
          </w:tcPr>
          <w:p w14:paraId="3AF6E5C7">
            <w:pPr>
              <w:spacing w:line="240" w:lineRule="auto"/>
              <w:ind w:firstLine="0" w:firstLineChars="0"/>
              <w:jc w:val="center"/>
              <w:rPr>
                <w:rFonts w:cs="Times New Roman"/>
                <w:sz w:val="21"/>
                <w:szCs w:val="21"/>
              </w:rPr>
            </w:pPr>
            <w:r>
              <w:rPr>
                <w:rFonts w:hint="eastAsia" w:cs="Times New Roman"/>
                <w:sz w:val="21"/>
                <w:szCs w:val="21"/>
              </w:rPr>
              <w:t>约10</w:t>
            </w:r>
          </w:p>
        </w:tc>
      </w:tr>
      <w:tr w14:paraId="2B7F0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FB117CB">
            <w:pPr>
              <w:pStyle w:val="39"/>
              <w:numPr>
                <w:ilvl w:val="0"/>
                <w:numId w:val="7"/>
              </w:numPr>
              <w:spacing w:line="240" w:lineRule="auto"/>
              <w:ind w:firstLineChars="0"/>
              <w:jc w:val="center"/>
              <w:rPr>
                <w:rFonts w:cs="Times New Roman"/>
                <w:sz w:val="21"/>
                <w:szCs w:val="21"/>
              </w:rPr>
            </w:pPr>
          </w:p>
        </w:tc>
        <w:tc>
          <w:tcPr>
            <w:tcW w:w="992" w:type="dxa"/>
            <w:noWrap/>
            <w:vAlign w:val="center"/>
          </w:tcPr>
          <w:p w14:paraId="7309FF9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67DCA4F">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52F4EAF0">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2B53D893">
            <w:pPr>
              <w:spacing w:line="240" w:lineRule="auto"/>
              <w:ind w:firstLine="0" w:firstLineChars="0"/>
              <w:jc w:val="center"/>
              <w:rPr>
                <w:rFonts w:cs="Times New Roman"/>
                <w:sz w:val="21"/>
                <w:szCs w:val="21"/>
              </w:rPr>
            </w:pPr>
            <w:r>
              <w:rPr>
                <w:rFonts w:hint="eastAsia" w:cs="Times New Roman"/>
                <w:sz w:val="21"/>
                <w:szCs w:val="21"/>
              </w:rPr>
              <w:t>宋家</w:t>
            </w:r>
          </w:p>
        </w:tc>
        <w:tc>
          <w:tcPr>
            <w:tcW w:w="1701" w:type="dxa"/>
            <w:noWrap/>
            <w:vAlign w:val="center"/>
          </w:tcPr>
          <w:p w14:paraId="00905CD8">
            <w:pPr>
              <w:spacing w:line="240" w:lineRule="auto"/>
              <w:ind w:firstLine="0" w:firstLineChars="0"/>
              <w:jc w:val="center"/>
              <w:rPr>
                <w:rFonts w:cs="Times New Roman"/>
                <w:sz w:val="21"/>
                <w:szCs w:val="21"/>
              </w:rPr>
            </w:pPr>
            <w:r>
              <w:rPr>
                <w:rFonts w:hint="eastAsia" w:cs="Times New Roman"/>
                <w:sz w:val="21"/>
                <w:szCs w:val="21"/>
              </w:rPr>
              <w:t>119.361985</w:t>
            </w:r>
          </w:p>
        </w:tc>
        <w:tc>
          <w:tcPr>
            <w:tcW w:w="1690" w:type="dxa"/>
            <w:noWrap/>
            <w:vAlign w:val="center"/>
          </w:tcPr>
          <w:p w14:paraId="07D049CD">
            <w:pPr>
              <w:spacing w:line="240" w:lineRule="auto"/>
              <w:ind w:firstLine="0" w:firstLineChars="0"/>
              <w:jc w:val="center"/>
              <w:rPr>
                <w:rFonts w:cs="Times New Roman"/>
                <w:sz w:val="21"/>
                <w:szCs w:val="21"/>
              </w:rPr>
            </w:pPr>
            <w:r>
              <w:rPr>
                <w:rFonts w:hint="eastAsia" w:cs="Times New Roman"/>
                <w:sz w:val="21"/>
                <w:szCs w:val="21"/>
              </w:rPr>
              <w:t>31.60601</w:t>
            </w:r>
          </w:p>
        </w:tc>
        <w:tc>
          <w:tcPr>
            <w:tcW w:w="1080" w:type="dxa"/>
            <w:noWrap/>
            <w:vAlign w:val="center"/>
          </w:tcPr>
          <w:p w14:paraId="1303AB2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544DC01">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1436339B">
            <w:pPr>
              <w:spacing w:line="240" w:lineRule="auto"/>
              <w:ind w:firstLine="0" w:firstLineChars="0"/>
              <w:jc w:val="center"/>
              <w:rPr>
                <w:rFonts w:cs="Times New Roman"/>
                <w:sz w:val="21"/>
                <w:szCs w:val="21"/>
              </w:rPr>
            </w:pPr>
            <w:r>
              <w:rPr>
                <w:rFonts w:hint="eastAsia" w:cs="Times New Roman"/>
                <w:sz w:val="21"/>
                <w:szCs w:val="21"/>
              </w:rPr>
              <w:t>2305</w:t>
            </w:r>
          </w:p>
        </w:tc>
        <w:tc>
          <w:tcPr>
            <w:tcW w:w="1168" w:type="dxa"/>
            <w:noWrap/>
            <w:vAlign w:val="center"/>
          </w:tcPr>
          <w:p w14:paraId="55D0CE70">
            <w:pPr>
              <w:spacing w:line="240" w:lineRule="auto"/>
              <w:ind w:firstLine="0" w:firstLineChars="0"/>
              <w:jc w:val="center"/>
              <w:rPr>
                <w:rFonts w:cs="Times New Roman"/>
                <w:sz w:val="21"/>
                <w:szCs w:val="21"/>
              </w:rPr>
            </w:pPr>
            <w:r>
              <w:rPr>
                <w:rFonts w:hint="eastAsia" w:cs="Times New Roman"/>
                <w:sz w:val="21"/>
                <w:szCs w:val="21"/>
              </w:rPr>
              <w:t>约10</w:t>
            </w:r>
          </w:p>
        </w:tc>
      </w:tr>
      <w:tr w14:paraId="3A162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AAD7C18">
            <w:pPr>
              <w:pStyle w:val="39"/>
              <w:numPr>
                <w:ilvl w:val="0"/>
                <w:numId w:val="7"/>
              </w:numPr>
              <w:spacing w:line="240" w:lineRule="auto"/>
              <w:ind w:firstLineChars="0"/>
              <w:jc w:val="center"/>
              <w:rPr>
                <w:rFonts w:cs="Times New Roman"/>
                <w:sz w:val="21"/>
                <w:szCs w:val="21"/>
              </w:rPr>
            </w:pPr>
          </w:p>
        </w:tc>
        <w:tc>
          <w:tcPr>
            <w:tcW w:w="992" w:type="dxa"/>
            <w:noWrap/>
            <w:vAlign w:val="center"/>
          </w:tcPr>
          <w:p w14:paraId="4A3F76A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4CC899F">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0AB8E027">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4786CDC0">
            <w:pPr>
              <w:spacing w:line="240" w:lineRule="auto"/>
              <w:ind w:firstLine="0" w:firstLineChars="0"/>
              <w:jc w:val="center"/>
              <w:rPr>
                <w:rFonts w:cs="Times New Roman"/>
                <w:sz w:val="21"/>
                <w:szCs w:val="21"/>
              </w:rPr>
            </w:pPr>
            <w:r>
              <w:rPr>
                <w:rFonts w:hint="eastAsia" w:cs="Times New Roman"/>
                <w:sz w:val="21"/>
                <w:szCs w:val="21"/>
              </w:rPr>
              <w:t>大坝</w:t>
            </w:r>
          </w:p>
        </w:tc>
        <w:tc>
          <w:tcPr>
            <w:tcW w:w="1701" w:type="dxa"/>
            <w:noWrap/>
            <w:vAlign w:val="center"/>
          </w:tcPr>
          <w:p w14:paraId="12A22C7D">
            <w:pPr>
              <w:spacing w:line="240" w:lineRule="auto"/>
              <w:ind w:firstLine="0" w:firstLineChars="0"/>
              <w:jc w:val="center"/>
              <w:rPr>
                <w:rFonts w:cs="Times New Roman"/>
                <w:sz w:val="21"/>
                <w:szCs w:val="21"/>
              </w:rPr>
            </w:pPr>
            <w:r>
              <w:rPr>
                <w:rFonts w:hint="eastAsia" w:cs="Times New Roman"/>
                <w:sz w:val="21"/>
                <w:szCs w:val="21"/>
              </w:rPr>
              <w:t>119.358464</w:t>
            </w:r>
          </w:p>
        </w:tc>
        <w:tc>
          <w:tcPr>
            <w:tcW w:w="1690" w:type="dxa"/>
            <w:noWrap/>
            <w:vAlign w:val="center"/>
          </w:tcPr>
          <w:p w14:paraId="73806A11">
            <w:pPr>
              <w:spacing w:line="240" w:lineRule="auto"/>
              <w:ind w:firstLine="0" w:firstLineChars="0"/>
              <w:jc w:val="center"/>
              <w:rPr>
                <w:rFonts w:cs="Times New Roman"/>
                <w:sz w:val="21"/>
                <w:szCs w:val="21"/>
              </w:rPr>
            </w:pPr>
            <w:r>
              <w:rPr>
                <w:rFonts w:hint="eastAsia" w:cs="Times New Roman"/>
                <w:sz w:val="21"/>
                <w:szCs w:val="21"/>
              </w:rPr>
              <w:t>31.608365</w:t>
            </w:r>
          </w:p>
        </w:tc>
        <w:tc>
          <w:tcPr>
            <w:tcW w:w="1080" w:type="dxa"/>
            <w:noWrap/>
            <w:vAlign w:val="center"/>
          </w:tcPr>
          <w:p w14:paraId="35D6D6A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B338422">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7E78D34F">
            <w:pPr>
              <w:spacing w:line="240" w:lineRule="auto"/>
              <w:ind w:firstLine="0" w:firstLineChars="0"/>
              <w:jc w:val="center"/>
              <w:rPr>
                <w:rFonts w:cs="Times New Roman"/>
                <w:sz w:val="21"/>
                <w:szCs w:val="21"/>
              </w:rPr>
            </w:pPr>
            <w:r>
              <w:rPr>
                <w:rFonts w:hint="eastAsia" w:cs="Times New Roman"/>
                <w:sz w:val="21"/>
                <w:szCs w:val="21"/>
              </w:rPr>
              <w:t>2305</w:t>
            </w:r>
          </w:p>
        </w:tc>
        <w:tc>
          <w:tcPr>
            <w:tcW w:w="1168" w:type="dxa"/>
            <w:noWrap/>
            <w:vAlign w:val="center"/>
          </w:tcPr>
          <w:p w14:paraId="30961FB5">
            <w:pPr>
              <w:spacing w:line="240" w:lineRule="auto"/>
              <w:ind w:firstLine="0" w:firstLineChars="0"/>
              <w:jc w:val="center"/>
              <w:rPr>
                <w:rFonts w:cs="Times New Roman"/>
                <w:sz w:val="21"/>
                <w:szCs w:val="21"/>
              </w:rPr>
            </w:pPr>
            <w:r>
              <w:rPr>
                <w:rFonts w:hint="eastAsia" w:cs="Times New Roman"/>
                <w:sz w:val="21"/>
                <w:szCs w:val="21"/>
              </w:rPr>
              <w:t>约10</w:t>
            </w:r>
          </w:p>
        </w:tc>
      </w:tr>
      <w:tr w14:paraId="2577B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E38EE13">
            <w:pPr>
              <w:pStyle w:val="39"/>
              <w:numPr>
                <w:ilvl w:val="0"/>
                <w:numId w:val="7"/>
              </w:numPr>
              <w:spacing w:line="240" w:lineRule="auto"/>
              <w:ind w:firstLineChars="0"/>
              <w:jc w:val="center"/>
              <w:rPr>
                <w:rFonts w:cs="Times New Roman"/>
                <w:sz w:val="21"/>
                <w:szCs w:val="21"/>
              </w:rPr>
            </w:pPr>
          </w:p>
        </w:tc>
        <w:tc>
          <w:tcPr>
            <w:tcW w:w="992" w:type="dxa"/>
            <w:noWrap/>
            <w:vAlign w:val="center"/>
          </w:tcPr>
          <w:p w14:paraId="6F3C854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51FD268">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116FCAE0">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3BFCF6CD">
            <w:pPr>
              <w:spacing w:line="240" w:lineRule="auto"/>
              <w:ind w:firstLine="0" w:firstLineChars="0"/>
              <w:jc w:val="center"/>
              <w:rPr>
                <w:rFonts w:cs="Times New Roman"/>
                <w:sz w:val="21"/>
                <w:szCs w:val="21"/>
              </w:rPr>
            </w:pPr>
            <w:r>
              <w:rPr>
                <w:rFonts w:hint="eastAsia" w:cs="Times New Roman"/>
                <w:sz w:val="21"/>
                <w:szCs w:val="21"/>
              </w:rPr>
              <w:t>上庄</w:t>
            </w:r>
          </w:p>
        </w:tc>
        <w:tc>
          <w:tcPr>
            <w:tcW w:w="1701" w:type="dxa"/>
            <w:noWrap/>
            <w:vAlign w:val="center"/>
          </w:tcPr>
          <w:p w14:paraId="1FE25A23">
            <w:pPr>
              <w:spacing w:line="240" w:lineRule="auto"/>
              <w:ind w:firstLine="0" w:firstLineChars="0"/>
              <w:jc w:val="center"/>
              <w:rPr>
                <w:rFonts w:cs="Times New Roman"/>
                <w:sz w:val="21"/>
                <w:szCs w:val="21"/>
              </w:rPr>
            </w:pPr>
            <w:r>
              <w:rPr>
                <w:rFonts w:hint="eastAsia" w:cs="Times New Roman"/>
                <w:sz w:val="21"/>
                <w:szCs w:val="21"/>
              </w:rPr>
              <w:t>119.355273</w:t>
            </w:r>
          </w:p>
        </w:tc>
        <w:tc>
          <w:tcPr>
            <w:tcW w:w="1690" w:type="dxa"/>
            <w:noWrap/>
            <w:vAlign w:val="center"/>
          </w:tcPr>
          <w:p w14:paraId="619AA2BD">
            <w:pPr>
              <w:spacing w:line="240" w:lineRule="auto"/>
              <w:ind w:firstLine="0" w:firstLineChars="0"/>
              <w:jc w:val="center"/>
              <w:rPr>
                <w:rFonts w:cs="Times New Roman"/>
                <w:sz w:val="21"/>
                <w:szCs w:val="21"/>
              </w:rPr>
            </w:pPr>
            <w:r>
              <w:rPr>
                <w:rFonts w:hint="eastAsia" w:cs="Times New Roman"/>
                <w:sz w:val="21"/>
                <w:szCs w:val="21"/>
              </w:rPr>
              <w:t>31.607326</w:t>
            </w:r>
          </w:p>
        </w:tc>
        <w:tc>
          <w:tcPr>
            <w:tcW w:w="1080" w:type="dxa"/>
            <w:noWrap/>
            <w:vAlign w:val="center"/>
          </w:tcPr>
          <w:p w14:paraId="6827E9F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97D7D9D">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088F39D1">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3C6F69E8">
            <w:pPr>
              <w:spacing w:line="240" w:lineRule="auto"/>
              <w:ind w:firstLine="0" w:firstLineChars="0"/>
              <w:jc w:val="center"/>
              <w:rPr>
                <w:rFonts w:cs="Times New Roman"/>
                <w:sz w:val="21"/>
                <w:szCs w:val="21"/>
              </w:rPr>
            </w:pPr>
            <w:r>
              <w:rPr>
                <w:rFonts w:hint="eastAsia" w:cs="Times New Roman"/>
                <w:sz w:val="21"/>
                <w:szCs w:val="21"/>
              </w:rPr>
              <w:t>约20</w:t>
            </w:r>
          </w:p>
        </w:tc>
      </w:tr>
      <w:tr w14:paraId="182F3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1FD057A">
            <w:pPr>
              <w:pStyle w:val="39"/>
              <w:numPr>
                <w:ilvl w:val="0"/>
                <w:numId w:val="7"/>
              </w:numPr>
              <w:spacing w:line="240" w:lineRule="auto"/>
              <w:ind w:firstLineChars="0"/>
              <w:jc w:val="center"/>
              <w:rPr>
                <w:rFonts w:cs="Times New Roman"/>
                <w:sz w:val="21"/>
                <w:szCs w:val="21"/>
              </w:rPr>
            </w:pPr>
          </w:p>
        </w:tc>
        <w:tc>
          <w:tcPr>
            <w:tcW w:w="992" w:type="dxa"/>
            <w:noWrap/>
            <w:vAlign w:val="center"/>
          </w:tcPr>
          <w:p w14:paraId="2FCBEF5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1AD1499">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358D9E4F">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3B63B428">
            <w:pPr>
              <w:spacing w:line="240" w:lineRule="auto"/>
              <w:ind w:firstLine="0" w:firstLineChars="0"/>
              <w:jc w:val="center"/>
              <w:rPr>
                <w:rFonts w:cs="Times New Roman"/>
                <w:sz w:val="21"/>
                <w:szCs w:val="21"/>
              </w:rPr>
            </w:pPr>
            <w:r>
              <w:rPr>
                <w:rFonts w:hint="eastAsia" w:cs="Times New Roman"/>
                <w:sz w:val="21"/>
                <w:szCs w:val="21"/>
              </w:rPr>
              <w:t>钱家</w:t>
            </w:r>
          </w:p>
        </w:tc>
        <w:tc>
          <w:tcPr>
            <w:tcW w:w="1701" w:type="dxa"/>
            <w:noWrap/>
            <w:vAlign w:val="center"/>
          </w:tcPr>
          <w:p w14:paraId="66C3A9F7">
            <w:pPr>
              <w:spacing w:line="240" w:lineRule="auto"/>
              <w:ind w:firstLine="0" w:firstLineChars="0"/>
              <w:jc w:val="center"/>
              <w:rPr>
                <w:rFonts w:cs="Times New Roman"/>
                <w:sz w:val="21"/>
                <w:szCs w:val="21"/>
              </w:rPr>
            </w:pPr>
            <w:r>
              <w:rPr>
                <w:rFonts w:hint="eastAsia" w:cs="Times New Roman"/>
                <w:sz w:val="21"/>
                <w:szCs w:val="21"/>
              </w:rPr>
              <w:t>119.350129</w:t>
            </w:r>
          </w:p>
        </w:tc>
        <w:tc>
          <w:tcPr>
            <w:tcW w:w="1690" w:type="dxa"/>
            <w:noWrap/>
            <w:vAlign w:val="center"/>
          </w:tcPr>
          <w:p w14:paraId="72958B2A">
            <w:pPr>
              <w:spacing w:line="240" w:lineRule="auto"/>
              <w:ind w:firstLine="0" w:firstLineChars="0"/>
              <w:jc w:val="center"/>
              <w:rPr>
                <w:rFonts w:cs="Times New Roman"/>
                <w:sz w:val="21"/>
                <w:szCs w:val="21"/>
              </w:rPr>
            </w:pPr>
            <w:r>
              <w:rPr>
                <w:rFonts w:hint="eastAsia" w:cs="Times New Roman"/>
                <w:sz w:val="21"/>
                <w:szCs w:val="21"/>
              </w:rPr>
              <w:t>31.609227</w:t>
            </w:r>
          </w:p>
        </w:tc>
        <w:tc>
          <w:tcPr>
            <w:tcW w:w="1080" w:type="dxa"/>
            <w:noWrap/>
            <w:vAlign w:val="center"/>
          </w:tcPr>
          <w:p w14:paraId="1320C88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4544A6A">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4A581E3D">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7004E07C">
            <w:pPr>
              <w:spacing w:line="240" w:lineRule="auto"/>
              <w:ind w:firstLine="0" w:firstLineChars="0"/>
              <w:jc w:val="center"/>
              <w:rPr>
                <w:rFonts w:cs="Times New Roman"/>
                <w:sz w:val="21"/>
                <w:szCs w:val="21"/>
              </w:rPr>
            </w:pPr>
            <w:r>
              <w:rPr>
                <w:rFonts w:hint="eastAsia" w:cs="Times New Roman"/>
                <w:sz w:val="21"/>
                <w:szCs w:val="21"/>
              </w:rPr>
              <w:t>约10</w:t>
            </w:r>
          </w:p>
        </w:tc>
      </w:tr>
      <w:tr w14:paraId="582AE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58F2623">
            <w:pPr>
              <w:pStyle w:val="39"/>
              <w:numPr>
                <w:ilvl w:val="0"/>
                <w:numId w:val="7"/>
              </w:numPr>
              <w:spacing w:line="240" w:lineRule="auto"/>
              <w:ind w:firstLineChars="0"/>
              <w:jc w:val="center"/>
              <w:rPr>
                <w:rFonts w:cs="Times New Roman"/>
                <w:sz w:val="21"/>
                <w:szCs w:val="21"/>
              </w:rPr>
            </w:pPr>
          </w:p>
        </w:tc>
        <w:tc>
          <w:tcPr>
            <w:tcW w:w="992" w:type="dxa"/>
            <w:noWrap/>
            <w:vAlign w:val="center"/>
          </w:tcPr>
          <w:p w14:paraId="0BE8B60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4EFCB6D">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09FCFE6F">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6FE4A669">
            <w:pPr>
              <w:spacing w:line="240" w:lineRule="auto"/>
              <w:ind w:firstLine="0" w:firstLineChars="0"/>
              <w:jc w:val="center"/>
              <w:rPr>
                <w:rFonts w:cs="Times New Roman"/>
                <w:sz w:val="21"/>
                <w:szCs w:val="21"/>
              </w:rPr>
            </w:pPr>
            <w:r>
              <w:rPr>
                <w:rFonts w:hint="eastAsia" w:cs="Times New Roman"/>
                <w:sz w:val="21"/>
                <w:szCs w:val="21"/>
              </w:rPr>
              <w:t>小村上村</w:t>
            </w:r>
          </w:p>
        </w:tc>
        <w:tc>
          <w:tcPr>
            <w:tcW w:w="1701" w:type="dxa"/>
            <w:noWrap/>
            <w:vAlign w:val="center"/>
          </w:tcPr>
          <w:p w14:paraId="25E4E171">
            <w:pPr>
              <w:spacing w:line="240" w:lineRule="auto"/>
              <w:ind w:firstLine="0" w:firstLineChars="0"/>
              <w:jc w:val="center"/>
              <w:rPr>
                <w:rFonts w:cs="Times New Roman"/>
                <w:sz w:val="21"/>
                <w:szCs w:val="21"/>
              </w:rPr>
            </w:pPr>
            <w:r>
              <w:rPr>
                <w:rFonts w:hint="eastAsia" w:cs="Times New Roman"/>
                <w:sz w:val="21"/>
                <w:szCs w:val="21"/>
              </w:rPr>
              <w:t>119.339388</w:t>
            </w:r>
          </w:p>
        </w:tc>
        <w:tc>
          <w:tcPr>
            <w:tcW w:w="1690" w:type="dxa"/>
            <w:noWrap/>
            <w:vAlign w:val="center"/>
          </w:tcPr>
          <w:p w14:paraId="5F0526D1">
            <w:pPr>
              <w:spacing w:line="240" w:lineRule="auto"/>
              <w:ind w:firstLine="0" w:firstLineChars="0"/>
              <w:jc w:val="center"/>
              <w:rPr>
                <w:rFonts w:cs="Times New Roman"/>
                <w:sz w:val="21"/>
                <w:szCs w:val="21"/>
              </w:rPr>
            </w:pPr>
            <w:r>
              <w:rPr>
                <w:rFonts w:hint="eastAsia" w:cs="Times New Roman"/>
                <w:sz w:val="21"/>
                <w:szCs w:val="21"/>
              </w:rPr>
              <w:t>31.613153</w:t>
            </w:r>
          </w:p>
        </w:tc>
        <w:tc>
          <w:tcPr>
            <w:tcW w:w="1080" w:type="dxa"/>
            <w:noWrap/>
            <w:vAlign w:val="center"/>
          </w:tcPr>
          <w:p w14:paraId="6AD8A26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7ACC3D1">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0ACDF9CA">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3BB3E9A3">
            <w:pPr>
              <w:spacing w:line="240" w:lineRule="auto"/>
              <w:ind w:firstLine="0" w:firstLineChars="0"/>
              <w:jc w:val="center"/>
              <w:rPr>
                <w:rFonts w:cs="Times New Roman"/>
                <w:sz w:val="21"/>
                <w:szCs w:val="21"/>
              </w:rPr>
            </w:pPr>
            <w:r>
              <w:rPr>
                <w:rFonts w:hint="eastAsia" w:cs="Times New Roman"/>
                <w:sz w:val="21"/>
                <w:szCs w:val="21"/>
              </w:rPr>
              <w:t>约10</w:t>
            </w:r>
          </w:p>
        </w:tc>
      </w:tr>
      <w:tr w14:paraId="669E0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D01B26C">
            <w:pPr>
              <w:pStyle w:val="39"/>
              <w:numPr>
                <w:ilvl w:val="0"/>
                <w:numId w:val="7"/>
              </w:numPr>
              <w:spacing w:line="240" w:lineRule="auto"/>
              <w:ind w:firstLineChars="0"/>
              <w:jc w:val="center"/>
              <w:rPr>
                <w:rFonts w:cs="Times New Roman"/>
                <w:sz w:val="21"/>
                <w:szCs w:val="21"/>
              </w:rPr>
            </w:pPr>
          </w:p>
        </w:tc>
        <w:tc>
          <w:tcPr>
            <w:tcW w:w="992" w:type="dxa"/>
            <w:noWrap/>
            <w:vAlign w:val="center"/>
          </w:tcPr>
          <w:p w14:paraId="700EC56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FFEECCA">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62D1D0C4">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7E0A2ADD">
            <w:pPr>
              <w:spacing w:line="240" w:lineRule="auto"/>
              <w:ind w:firstLine="0" w:firstLineChars="0"/>
              <w:jc w:val="center"/>
              <w:rPr>
                <w:rFonts w:cs="Times New Roman"/>
                <w:sz w:val="21"/>
                <w:szCs w:val="21"/>
              </w:rPr>
            </w:pPr>
            <w:r>
              <w:rPr>
                <w:rFonts w:hint="eastAsia" w:cs="Times New Roman"/>
                <w:sz w:val="21"/>
                <w:szCs w:val="21"/>
              </w:rPr>
              <w:t>陈笪村</w:t>
            </w:r>
          </w:p>
        </w:tc>
        <w:tc>
          <w:tcPr>
            <w:tcW w:w="1701" w:type="dxa"/>
            <w:noWrap/>
            <w:vAlign w:val="center"/>
          </w:tcPr>
          <w:p w14:paraId="47F0B525">
            <w:pPr>
              <w:spacing w:line="240" w:lineRule="auto"/>
              <w:ind w:firstLine="0" w:firstLineChars="0"/>
              <w:jc w:val="center"/>
              <w:rPr>
                <w:rFonts w:cs="Times New Roman"/>
                <w:sz w:val="21"/>
                <w:szCs w:val="21"/>
              </w:rPr>
            </w:pPr>
            <w:r>
              <w:rPr>
                <w:rFonts w:hint="eastAsia" w:cs="Times New Roman"/>
                <w:sz w:val="21"/>
                <w:szCs w:val="21"/>
              </w:rPr>
              <w:t>119.341575</w:t>
            </w:r>
          </w:p>
        </w:tc>
        <w:tc>
          <w:tcPr>
            <w:tcW w:w="1690" w:type="dxa"/>
            <w:noWrap/>
            <w:vAlign w:val="center"/>
          </w:tcPr>
          <w:p w14:paraId="2F8D8AA1">
            <w:pPr>
              <w:spacing w:line="240" w:lineRule="auto"/>
              <w:ind w:firstLine="0" w:firstLineChars="0"/>
              <w:jc w:val="center"/>
              <w:rPr>
                <w:rFonts w:cs="Times New Roman"/>
                <w:sz w:val="21"/>
                <w:szCs w:val="21"/>
              </w:rPr>
            </w:pPr>
            <w:r>
              <w:rPr>
                <w:rFonts w:hint="eastAsia" w:cs="Times New Roman"/>
                <w:sz w:val="21"/>
                <w:szCs w:val="21"/>
              </w:rPr>
              <w:t>31.612144</w:t>
            </w:r>
          </w:p>
        </w:tc>
        <w:tc>
          <w:tcPr>
            <w:tcW w:w="1080" w:type="dxa"/>
            <w:noWrap/>
            <w:vAlign w:val="center"/>
          </w:tcPr>
          <w:p w14:paraId="7059006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3C501C1">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1904F893">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38F47801">
            <w:pPr>
              <w:spacing w:line="240" w:lineRule="auto"/>
              <w:ind w:firstLine="0" w:firstLineChars="0"/>
              <w:jc w:val="center"/>
              <w:rPr>
                <w:rFonts w:cs="Times New Roman"/>
                <w:sz w:val="21"/>
                <w:szCs w:val="21"/>
              </w:rPr>
            </w:pPr>
            <w:r>
              <w:rPr>
                <w:rFonts w:hint="eastAsia" w:cs="Times New Roman"/>
                <w:sz w:val="21"/>
                <w:szCs w:val="21"/>
              </w:rPr>
              <w:t>约50</w:t>
            </w:r>
          </w:p>
        </w:tc>
      </w:tr>
      <w:tr w14:paraId="07BF0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229AC0F">
            <w:pPr>
              <w:pStyle w:val="39"/>
              <w:numPr>
                <w:ilvl w:val="0"/>
                <w:numId w:val="7"/>
              </w:numPr>
              <w:spacing w:line="240" w:lineRule="auto"/>
              <w:ind w:firstLineChars="0"/>
              <w:jc w:val="center"/>
              <w:rPr>
                <w:rFonts w:cs="Times New Roman"/>
                <w:sz w:val="21"/>
                <w:szCs w:val="21"/>
              </w:rPr>
            </w:pPr>
          </w:p>
        </w:tc>
        <w:tc>
          <w:tcPr>
            <w:tcW w:w="992" w:type="dxa"/>
            <w:noWrap/>
            <w:vAlign w:val="center"/>
          </w:tcPr>
          <w:p w14:paraId="0795CF0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BB47142">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5CBCE24E">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41E08006">
            <w:pPr>
              <w:spacing w:line="240" w:lineRule="auto"/>
              <w:ind w:firstLine="0" w:firstLineChars="0"/>
              <w:jc w:val="center"/>
              <w:rPr>
                <w:rFonts w:cs="Times New Roman"/>
                <w:sz w:val="21"/>
                <w:szCs w:val="21"/>
              </w:rPr>
            </w:pPr>
            <w:r>
              <w:rPr>
                <w:rFonts w:hint="eastAsia" w:cs="Times New Roman"/>
                <w:sz w:val="21"/>
                <w:szCs w:val="21"/>
              </w:rPr>
              <w:t>大管里</w:t>
            </w:r>
          </w:p>
        </w:tc>
        <w:tc>
          <w:tcPr>
            <w:tcW w:w="1701" w:type="dxa"/>
            <w:noWrap/>
            <w:vAlign w:val="center"/>
          </w:tcPr>
          <w:p w14:paraId="2DA77706">
            <w:pPr>
              <w:spacing w:line="240" w:lineRule="auto"/>
              <w:ind w:firstLine="0" w:firstLineChars="0"/>
              <w:jc w:val="center"/>
              <w:rPr>
                <w:rFonts w:cs="Times New Roman"/>
                <w:sz w:val="21"/>
                <w:szCs w:val="21"/>
              </w:rPr>
            </w:pPr>
            <w:r>
              <w:rPr>
                <w:rFonts w:hint="eastAsia" w:cs="Times New Roman"/>
                <w:sz w:val="21"/>
                <w:szCs w:val="21"/>
              </w:rPr>
              <w:t>119.336323</w:t>
            </w:r>
          </w:p>
        </w:tc>
        <w:tc>
          <w:tcPr>
            <w:tcW w:w="1690" w:type="dxa"/>
            <w:noWrap/>
            <w:vAlign w:val="center"/>
          </w:tcPr>
          <w:p w14:paraId="34165CCF">
            <w:pPr>
              <w:spacing w:line="240" w:lineRule="auto"/>
              <w:ind w:firstLine="0" w:firstLineChars="0"/>
              <w:jc w:val="center"/>
              <w:rPr>
                <w:rFonts w:cs="Times New Roman"/>
                <w:sz w:val="21"/>
                <w:szCs w:val="21"/>
              </w:rPr>
            </w:pPr>
            <w:r>
              <w:rPr>
                <w:rFonts w:hint="eastAsia" w:cs="Times New Roman"/>
                <w:sz w:val="21"/>
                <w:szCs w:val="21"/>
              </w:rPr>
              <w:t>31.633677</w:t>
            </w:r>
          </w:p>
        </w:tc>
        <w:tc>
          <w:tcPr>
            <w:tcW w:w="1080" w:type="dxa"/>
            <w:noWrap/>
            <w:vAlign w:val="center"/>
          </w:tcPr>
          <w:p w14:paraId="5209629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C968411">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2E9019F1">
            <w:pPr>
              <w:spacing w:line="240" w:lineRule="auto"/>
              <w:ind w:firstLine="0" w:firstLineChars="0"/>
              <w:jc w:val="center"/>
              <w:rPr>
                <w:rFonts w:cs="Times New Roman"/>
                <w:sz w:val="21"/>
                <w:szCs w:val="21"/>
              </w:rPr>
            </w:pPr>
            <w:r>
              <w:rPr>
                <w:rFonts w:hint="eastAsia" w:cs="Times New Roman"/>
                <w:sz w:val="21"/>
                <w:szCs w:val="21"/>
              </w:rPr>
              <w:t>1311</w:t>
            </w:r>
          </w:p>
        </w:tc>
        <w:tc>
          <w:tcPr>
            <w:tcW w:w="1168" w:type="dxa"/>
            <w:noWrap/>
            <w:vAlign w:val="center"/>
          </w:tcPr>
          <w:p w14:paraId="715466F7">
            <w:pPr>
              <w:spacing w:line="240" w:lineRule="auto"/>
              <w:ind w:firstLine="0" w:firstLineChars="0"/>
              <w:jc w:val="center"/>
              <w:rPr>
                <w:rFonts w:cs="Times New Roman"/>
                <w:sz w:val="21"/>
                <w:szCs w:val="21"/>
              </w:rPr>
            </w:pPr>
            <w:r>
              <w:rPr>
                <w:rFonts w:hint="eastAsia" w:cs="Times New Roman"/>
                <w:sz w:val="21"/>
                <w:szCs w:val="21"/>
              </w:rPr>
              <w:t>约20</w:t>
            </w:r>
          </w:p>
        </w:tc>
      </w:tr>
      <w:tr w14:paraId="70A18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D50EA04">
            <w:pPr>
              <w:pStyle w:val="39"/>
              <w:numPr>
                <w:ilvl w:val="0"/>
                <w:numId w:val="7"/>
              </w:numPr>
              <w:spacing w:line="240" w:lineRule="auto"/>
              <w:ind w:firstLineChars="0"/>
              <w:jc w:val="center"/>
              <w:rPr>
                <w:rFonts w:cs="Times New Roman"/>
                <w:sz w:val="21"/>
                <w:szCs w:val="21"/>
              </w:rPr>
            </w:pPr>
          </w:p>
        </w:tc>
        <w:tc>
          <w:tcPr>
            <w:tcW w:w="992" w:type="dxa"/>
            <w:noWrap/>
            <w:vAlign w:val="center"/>
          </w:tcPr>
          <w:p w14:paraId="239F23F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A79412F">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72D7748C">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4D15830C">
            <w:pPr>
              <w:spacing w:line="240" w:lineRule="auto"/>
              <w:ind w:firstLine="0" w:firstLineChars="0"/>
              <w:jc w:val="center"/>
              <w:rPr>
                <w:rFonts w:cs="Times New Roman"/>
                <w:sz w:val="21"/>
                <w:szCs w:val="21"/>
              </w:rPr>
            </w:pPr>
            <w:r>
              <w:rPr>
                <w:rFonts w:hint="eastAsia" w:cs="Times New Roman"/>
                <w:sz w:val="21"/>
                <w:szCs w:val="21"/>
              </w:rPr>
              <w:t>三墩</w:t>
            </w:r>
          </w:p>
        </w:tc>
        <w:tc>
          <w:tcPr>
            <w:tcW w:w="1701" w:type="dxa"/>
            <w:noWrap/>
            <w:vAlign w:val="center"/>
          </w:tcPr>
          <w:p w14:paraId="729A2C28">
            <w:pPr>
              <w:spacing w:line="240" w:lineRule="auto"/>
              <w:ind w:firstLine="0" w:firstLineChars="0"/>
              <w:jc w:val="center"/>
              <w:rPr>
                <w:rFonts w:cs="Times New Roman"/>
                <w:sz w:val="21"/>
                <w:szCs w:val="21"/>
              </w:rPr>
            </w:pPr>
            <w:r>
              <w:rPr>
                <w:rFonts w:hint="eastAsia" w:cs="Times New Roman"/>
                <w:sz w:val="21"/>
                <w:szCs w:val="21"/>
              </w:rPr>
              <w:t>119.333868</w:t>
            </w:r>
          </w:p>
        </w:tc>
        <w:tc>
          <w:tcPr>
            <w:tcW w:w="1690" w:type="dxa"/>
            <w:noWrap/>
            <w:vAlign w:val="center"/>
          </w:tcPr>
          <w:p w14:paraId="16CAB873">
            <w:pPr>
              <w:spacing w:line="240" w:lineRule="auto"/>
              <w:ind w:firstLine="0" w:firstLineChars="0"/>
              <w:jc w:val="center"/>
              <w:rPr>
                <w:rFonts w:cs="Times New Roman"/>
                <w:sz w:val="21"/>
                <w:szCs w:val="21"/>
              </w:rPr>
            </w:pPr>
            <w:r>
              <w:rPr>
                <w:rFonts w:hint="eastAsia" w:cs="Times New Roman"/>
                <w:sz w:val="21"/>
                <w:szCs w:val="21"/>
              </w:rPr>
              <w:t>31.621379</w:t>
            </w:r>
          </w:p>
        </w:tc>
        <w:tc>
          <w:tcPr>
            <w:tcW w:w="1080" w:type="dxa"/>
            <w:noWrap/>
            <w:vAlign w:val="center"/>
          </w:tcPr>
          <w:p w14:paraId="1CBB348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1AF725A">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171575C6">
            <w:pPr>
              <w:spacing w:line="240" w:lineRule="auto"/>
              <w:ind w:firstLine="0" w:firstLineChars="0"/>
              <w:jc w:val="center"/>
              <w:rPr>
                <w:rFonts w:cs="Times New Roman"/>
                <w:sz w:val="21"/>
                <w:szCs w:val="21"/>
              </w:rPr>
            </w:pPr>
            <w:r>
              <w:rPr>
                <w:rFonts w:hint="eastAsia" w:cs="Times New Roman"/>
                <w:sz w:val="21"/>
                <w:szCs w:val="21"/>
              </w:rPr>
              <w:t>2317</w:t>
            </w:r>
          </w:p>
        </w:tc>
        <w:tc>
          <w:tcPr>
            <w:tcW w:w="1168" w:type="dxa"/>
            <w:noWrap/>
            <w:vAlign w:val="center"/>
          </w:tcPr>
          <w:p w14:paraId="540456E4">
            <w:pPr>
              <w:spacing w:line="240" w:lineRule="auto"/>
              <w:ind w:firstLine="0" w:firstLineChars="0"/>
              <w:jc w:val="center"/>
              <w:rPr>
                <w:rFonts w:cs="Times New Roman"/>
                <w:sz w:val="21"/>
                <w:szCs w:val="21"/>
              </w:rPr>
            </w:pPr>
            <w:r>
              <w:rPr>
                <w:rFonts w:hint="eastAsia" w:cs="Times New Roman"/>
                <w:sz w:val="21"/>
                <w:szCs w:val="21"/>
              </w:rPr>
              <w:t>约10</w:t>
            </w:r>
          </w:p>
        </w:tc>
      </w:tr>
      <w:tr w14:paraId="2793C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1DD23D1">
            <w:pPr>
              <w:pStyle w:val="39"/>
              <w:numPr>
                <w:ilvl w:val="0"/>
                <w:numId w:val="7"/>
              </w:numPr>
              <w:spacing w:line="240" w:lineRule="auto"/>
              <w:ind w:firstLineChars="0"/>
              <w:jc w:val="center"/>
              <w:rPr>
                <w:rFonts w:cs="Times New Roman"/>
                <w:sz w:val="21"/>
                <w:szCs w:val="21"/>
              </w:rPr>
            </w:pPr>
          </w:p>
        </w:tc>
        <w:tc>
          <w:tcPr>
            <w:tcW w:w="992" w:type="dxa"/>
            <w:noWrap/>
            <w:vAlign w:val="center"/>
          </w:tcPr>
          <w:p w14:paraId="45B7590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CFD8483">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04A702C4">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45F6AEAA">
            <w:pPr>
              <w:spacing w:line="240" w:lineRule="auto"/>
              <w:ind w:firstLine="0" w:firstLineChars="0"/>
              <w:jc w:val="center"/>
              <w:rPr>
                <w:rFonts w:cs="Times New Roman"/>
                <w:sz w:val="21"/>
                <w:szCs w:val="21"/>
              </w:rPr>
            </w:pPr>
            <w:r>
              <w:rPr>
                <w:rFonts w:hint="eastAsia" w:cs="Times New Roman"/>
                <w:sz w:val="21"/>
                <w:szCs w:val="21"/>
              </w:rPr>
              <w:t>下宅村</w:t>
            </w:r>
          </w:p>
        </w:tc>
        <w:tc>
          <w:tcPr>
            <w:tcW w:w="1701" w:type="dxa"/>
            <w:noWrap/>
            <w:vAlign w:val="center"/>
          </w:tcPr>
          <w:p w14:paraId="4AB025CD">
            <w:pPr>
              <w:spacing w:line="240" w:lineRule="auto"/>
              <w:ind w:firstLine="0" w:firstLineChars="0"/>
              <w:jc w:val="center"/>
              <w:rPr>
                <w:rFonts w:cs="Times New Roman"/>
                <w:sz w:val="21"/>
                <w:szCs w:val="21"/>
              </w:rPr>
            </w:pPr>
            <w:r>
              <w:rPr>
                <w:rFonts w:hint="eastAsia" w:cs="Times New Roman"/>
                <w:sz w:val="21"/>
                <w:szCs w:val="21"/>
              </w:rPr>
              <w:t>119.331888</w:t>
            </w:r>
          </w:p>
        </w:tc>
        <w:tc>
          <w:tcPr>
            <w:tcW w:w="1690" w:type="dxa"/>
            <w:noWrap/>
            <w:vAlign w:val="center"/>
          </w:tcPr>
          <w:p w14:paraId="392BECC6">
            <w:pPr>
              <w:spacing w:line="240" w:lineRule="auto"/>
              <w:ind w:firstLine="0" w:firstLineChars="0"/>
              <w:jc w:val="center"/>
              <w:rPr>
                <w:rFonts w:cs="Times New Roman"/>
                <w:sz w:val="21"/>
                <w:szCs w:val="21"/>
              </w:rPr>
            </w:pPr>
            <w:r>
              <w:rPr>
                <w:rFonts w:hint="eastAsia" w:cs="Times New Roman"/>
                <w:sz w:val="21"/>
                <w:szCs w:val="21"/>
              </w:rPr>
              <w:t>31.624782</w:t>
            </w:r>
          </w:p>
        </w:tc>
        <w:tc>
          <w:tcPr>
            <w:tcW w:w="1080" w:type="dxa"/>
            <w:noWrap/>
            <w:vAlign w:val="center"/>
          </w:tcPr>
          <w:p w14:paraId="462EA3B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492FF47">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41377670">
            <w:pPr>
              <w:spacing w:line="240" w:lineRule="auto"/>
              <w:ind w:firstLine="0" w:firstLineChars="0"/>
              <w:jc w:val="center"/>
              <w:rPr>
                <w:rFonts w:cs="Times New Roman"/>
                <w:sz w:val="21"/>
                <w:szCs w:val="21"/>
              </w:rPr>
            </w:pPr>
            <w:r>
              <w:rPr>
                <w:rFonts w:hint="eastAsia" w:cs="Times New Roman"/>
                <w:sz w:val="21"/>
                <w:szCs w:val="21"/>
              </w:rPr>
              <w:t>2443</w:t>
            </w:r>
          </w:p>
        </w:tc>
        <w:tc>
          <w:tcPr>
            <w:tcW w:w="1168" w:type="dxa"/>
            <w:noWrap/>
            <w:vAlign w:val="center"/>
          </w:tcPr>
          <w:p w14:paraId="576CB4F1">
            <w:pPr>
              <w:spacing w:line="240" w:lineRule="auto"/>
              <w:ind w:firstLine="0" w:firstLineChars="0"/>
              <w:jc w:val="center"/>
              <w:rPr>
                <w:rFonts w:cs="Times New Roman"/>
                <w:sz w:val="21"/>
                <w:szCs w:val="21"/>
              </w:rPr>
            </w:pPr>
            <w:r>
              <w:rPr>
                <w:rFonts w:hint="eastAsia" w:cs="Times New Roman"/>
                <w:sz w:val="21"/>
                <w:szCs w:val="21"/>
              </w:rPr>
              <w:t>约150</w:t>
            </w:r>
          </w:p>
        </w:tc>
      </w:tr>
      <w:tr w14:paraId="77EF6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AC0180E">
            <w:pPr>
              <w:pStyle w:val="39"/>
              <w:numPr>
                <w:ilvl w:val="0"/>
                <w:numId w:val="7"/>
              </w:numPr>
              <w:spacing w:line="240" w:lineRule="auto"/>
              <w:ind w:firstLineChars="0"/>
              <w:jc w:val="center"/>
              <w:rPr>
                <w:rFonts w:cs="Times New Roman"/>
                <w:sz w:val="21"/>
                <w:szCs w:val="21"/>
              </w:rPr>
            </w:pPr>
          </w:p>
        </w:tc>
        <w:tc>
          <w:tcPr>
            <w:tcW w:w="992" w:type="dxa"/>
            <w:noWrap/>
            <w:vAlign w:val="center"/>
          </w:tcPr>
          <w:p w14:paraId="62A8E30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1A5A5F7">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71A7D38B">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65827B2D">
            <w:pPr>
              <w:spacing w:line="240" w:lineRule="auto"/>
              <w:ind w:firstLine="0" w:firstLineChars="0"/>
              <w:jc w:val="center"/>
              <w:rPr>
                <w:rFonts w:cs="Times New Roman"/>
                <w:sz w:val="21"/>
                <w:szCs w:val="21"/>
              </w:rPr>
            </w:pPr>
            <w:r>
              <w:rPr>
                <w:rFonts w:hint="eastAsia" w:cs="Times New Roman"/>
                <w:sz w:val="21"/>
                <w:szCs w:val="21"/>
              </w:rPr>
              <w:t>席笪里</w:t>
            </w:r>
          </w:p>
        </w:tc>
        <w:tc>
          <w:tcPr>
            <w:tcW w:w="1701" w:type="dxa"/>
            <w:noWrap/>
            <w:vAlign w:val="center"/>
          </w:tcPr>
          <w:p w14:paraId="414FFC9C">
            <w:pPr>
              <w:spacing w:line="240" w:lineRule="auto"/>
              <w:ind w:firstLine="0" w:firstLineChars="0"/>
              <w:jc w:val="center"/>
              <w:rPr>
                <w:rFonts w:cs="Times New Roman"/>
                <w:sz w:val="21"/>
                <w:szCs w:val="21"/>
              </w:rPr>
            </w:pPr>
            <w:r>
              <w:rPr>
                <w:rFonts w:hint="eastAsia" w:cs="Times New Roman"/>
                <w:sz w:val="21"/>
                <w:szCs w:val="21"/>
              </w:rPr>
              <w:t>119.323746</w:t>
            </w:r>
          </w:p>
        </w:tc>
        <w:tc>
          <w:tcPr>
            <w:tcW w:w="1690" w:type="dxa"/>
            <w:noWrap/>
            <w:vAlign w:val="center"/>
          </w:tcPr>
          <w:p w14:paraId="0610DBA1">
            <w:pPr>
              <w:spacing w:line="240" w:lineRule="auto"/>
              <w:ind w:firstLine="0" w:firstLineChars="0"/>
              <w:jc w:val="center"/>
              <w:rPr>
                <w:rFonts w:cs="Times New Roman"/>
                <w:sz w:val="21"/>
                <w:szCs w:val="21"/>
              </w:rPr>
            </w:pPr>
            <w:r>
              <w:rPr>
                <w:rFonts w:hint="eastAsia" w:cs="Times New Roman"/>
                <w:sz w:val="21"/>
                <w:szCs w:val="21"/>
              </w:rPr>
              <w:t>31.628813</w:t>
            </w:r>
          </w:p>
        </w:tc>
        <w:tc>
          <w:tcPr>
            <w:tcW w:w="1080" w:type="dxa"/>
            <w:noWrap/>
            <w:vAlign w:val="center"/>
          </w:tcPr>
          <w:p w14:paraId="02A834F2">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C88B654">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0D0C6706">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237B372E">
            <w:pPr>
              <w:spacing w:line="240" w:lineRule="auto"/>
              <w:ind w:firstLine="0" w:firstLineChars="0"/>
              <w:jc w:val="center"/>
              <w:rPr>
                <w:rFonts w:cs="Times New Roman"/>
                <w:sz w:val="21"/>
                <w:szCs w:val="21"/>
              </w:rPr>
            </w:pPr>
            <w:r>
              <w:rPr>
                <w:rFonts w:hint="eastAsia" w:cs="Times New Roman"/>
                <w:sz w:val="21"/>
                <w:szCs w:val="21"/>
              </w:rPr>
              <w:t>约30</w:t>
            </w:r>
          </w:p>
        </w:tc>
      </w:tr>
      <w:tr w14:paraId="7729A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23E5727">
            <w:pPr>
              <w:pStyle w:val="39"/>
              <w:numPr>
                <w:ilvl w:val="0"/>
                <w:numId w:val="7"/>
              </w:numPr>
              <w:spacing w:line="240" w:lineRule="auto"/>
              <w:ind w:firstLineChars="0"/>
              <w:jc w:val="center"/>
              <w:rPr>
                <w:rFonts w:cs="Times New Roman"/>
                <w:sz w:val="21"/>
                <w:szCs w:val="21"/>
              </w:rPr>
            </w:pPr>
          </w:p>
        </w:tc>
        <w:tc>
          <w:tcPr>
            <w:tcW w:w="992" w:type="dxa"/>
            <w:noWrap/>
            <w:vAlign w:val="center"/>
          </w:tcPr>
          <w:p w14:paraId="63DAD9F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DAB8C46">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36E88B7C">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2CC1EFF2">
            <w:pPr>
              <w:spacing w:line="240" w:lineRule="auto"/>
              <w:ind w:firstLine="0" w:firstLineChars="0"/>
              <w:jc w:val="center"/>
              <w:rPr>
                <w:rFonts w:cs="Times New Roman"/>
                <w:sz w:val="21"/>
                <w:szCs w:val="21"/>
              </w:rPr>
            </w:pPr>
            <w:r>
              <w:rPr>
                <w:rFonts w:hint="eastAsia" w:cs="Times New Roman"/>
                <w:sz w:val="21"/>
                <w:szCs w:val="21"/>
              </w:rPr>
              <w:t>下大田</w:t>
            </w:r>
          </w:p>
        </w:tc>
        <w:tc>
          <w:tcPr>
            <w:tcW w:w="1701" w:type="dxa"/>
            <w:noWrap/>
            <w:vAlign w:val="center"/>
          </w:tcPr>
          <w:p w14:paraId="57D21969">
            <w:pPr>
              <w:spacing w:line="240" w:lineRule="auto"/>
              <w:ind w:firstLine="0" w:firstLineChars="0"/>
              <w:jc w:val="center"/>
              <w:rPr>
                <w:rFonts w:cs="Times New Roman"/>
                <w:sz w:val="21"/>
                <w:szCs w:val="21"/>
              </w:rPr>
            </w:pPr>
            <w:r>
              <w:rPr>
                <w:rFonts w:hint="eastAsia" w:cs="Times New Roman"/>
                <w:sz w:val="21"/>
                <w:szCs w:val="21"/>
              </w:rPr>
              <w:t>119.322884</w:t>
            </w:r>
          </w:p>
        </w:tc>
        <w:tc>
          <w:tcPr>
            <w:tcW w:w="1690" w:type="dxa"/>
            <w:noWrap/>
            <w:vAlign w:val="center"/>
          </w:tcPr>
          <w:p w14:paraId="3E7D5B87">
            <w:pPr>
              <w:spacing w:line="240" w:lineRule="auto"/>
              <w:ind w:firstLine="0" w:firstLineChars="0"/>
              <w:jc w:val="center"/>
              <w:rPr>
                <w:rFonts w:cs="Times New Roman"/>
                <w:sz w:val="21"/>
                <w:szCs w:val="21"/>
              </w:rPr>
            </w:pPr>
            <w:r>
              <w:rPr>
                <w:rFonts w:hint="eastAsia" w:cs="Times New Roman"/>
                <w:sz w:val="21"/>
                <w:szCs w:val="21"/>
              </w:rPr>
              <w:t>31.637434</w:t>
            </w:r>
          </w:p>
        </w:tc>
        <w:tc>
          <w:tcPr>
            <w:tcW w:w="1080" w:type="dxa"/>
            <w:noWrap/>
            <w:vAlign w:val="center"/>
          </w:tcPr>
          <w:p w14:paraId="0566DDA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1329F6A">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086EA176">
            <w:pPr>
              <w:spacing w:line="240" w:lineRule="auto"/>
              <w:ind w:firstLine="0" w:firstLineChars="0"/>
              <w:jc w:val="center"/>
              <w:rPr>
                <w:rFonts w:cs="Times New Roman"/>
                <w:sz w:val="21"/>
                <w:szCs w:val="21"/>
              </w:rPr>
            </w:pPr>
            <w:r>
              <w:rPr>
                <w:rFonts w:hint="eastAsia" w:cs="Times New Roman"/>
                <w:sz w:val="21"/>
                <w:szCs w:val="21"/>
              </w:rPr>
              <w:t>1996</w:t>
            </w:r>
          </w:p>
        </w:tc>
        <w:tc>
          <w:tcPr>
            <w:tcW w:w="1168" w:type="dxa"/>
            <w:noWrap/>
            <w:vAlign w:val="center"/>
          </w:tcPr>
          <w:p w14:paraId="19537151">
            <w:pPr>
              <w:spacing w:line="240" w:lineRule="auto"/>
              <w:ind w:firstLine="0" w:firstLineChars="0"/>
              <w:jc w:val="center"/>
              <w:rPr>
                <w:rFonts w:cs="Times New Roman"/>
                <w:sz w:val="21"/>
                <w:szCs w:val="21"/>
              </w:rPr>
            </w:pPr>
            <w:r>
              <w:rPr>
                <w:rFonts w:hint="eastAsia" w:cs="Times New Roman"/>
                <w:sz w:val="21"/>
                <w:szCs w:val="21"/>
              </w:rPr>
              <w:t>约10</w:t>
            </w:r>
          </w:p>
        </w:tc>
      </w:tr>
      <w:tr w14:paraId="33218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56B6B03">
            <w:pPr>
              <w:pStyle w:val="39"/>
              <w:numPr>
                <w:ilvl w:val="0"/>
                <w:numId w:val="7"/>
              </w:numPr>
              <w:spacing w:line="240" w:lineRule="auto"/>
              <w:ind w:firstLineChars="0"/>
              <w:jc w:val="center"/>
              <w:rPr>
                <w:rFonts w:cs="Times New Roman"/>
                <w:sz w:val="21"/>
                <w:szCs w:val="21"/>
              </w:rPr>
            </w:pPr>
          </w:p>
        </w:tc>
        <w:tc>
          <w:tcPr>
            <w:tcW w:w="992" w:type="dxa"/>
            <w:noWrap/>
            <w:vAlign w:val="center"/>
          </w:tcPr>
          <w:p w14:paraId="3A9D07F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EB8D8D8">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51DBB55D">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5CF31D89">
            <w:pPr>
              <w:spacing w:line="240" w:lineRule="auto"/>
              <w:ind w:firstLine="0" w:firstLineChars="0"/>
              <w:jc w:val="center"/>
              <w:rPr>
                <w:rFonts w:cs="Times New Roman"/>
                <w:sz w:val="21"/>
                <w:szCs w:val="21"/>
              </w:rPr>
            </w:pPr>
            <w:r>
              <w:rPr>
                <w:rFonts w:hint="eastAsia" w:cs="Times New Roman"/>
                <w:sz w:val="21"/>
                <w:szCs w:val="21"/>
              </w:rPr>
              <w:t>东山杆</w:t>
            </w:r>
          </w:p>
        </w:tc>
        <w:tc>
          <w:tcPr>
            <w:tcW w:w="1701" w:type="dxa"/>
            <w:noWrap/>
            <w:vAlign w:val="center"/>
          </w:tcPr>
          <w:p w14:paraId="23846DEF">
            <w:pPr>
              <w:spacing w:line="240" w:lineRule="auto"/>
              <w:ind w:firstLine="0" w:firstLineChars="0"/>
              <w:jc w:val="center"/>
              <w:rPr>
                <w:rFonts w:cs="Times New Roman"/>
                <w:sz w:val="21"/>
                <w:szCs w:val="21"/>
              </w:rPr>
            </w:pPr>
            <w:r>
              <w:rPr>
                <w:rFonts w:hint="eastAsia" w:cs="Times New Roman"/>
                <w:sz w:val="21"/>
                <w:szCs w:val="21"/>
              </w:rPr>
              <w:t>119.316676</w:t>
            </w:r>
          </w:p>
        </w:tc>
        <w:tc>
          <w:tcPr>
            <w:tcW w:w="1690" w:type="dxa"/>
            <w:noWrap/>
            <w:vAlign w:val="center"/>
          </w:tcPr>
          <w:p w14:paraId="4C711EB1">
            <w:pPr>
              <w:spacing w:line="240" w:lineRule="auto"/>
              <w:ind w:firstLine="0" w:firstLineChars="0"/>
              <w:jc w:val="center"/>
              <w:rPr>
                <w:rFonts w:cs="Times New Roman"/>
                <w:sz w:val="21"/>
                <w:szCs w:val="21"/>
              </w:rPr>
            </w:pPr>
            <w:r>
              <w:rPr>
                <w:rFonts w:hint="eastAsia" w:cs="Times New Roman"/>
                <w:sz w:val="21"/>
                <w:szCs w:val="21"/>
              </w:rPr>
              <w:t>31.635449</w:t>
            </w:r>
          </w:p>
        </w:tc>
        <w:tc>
          <w:tcPr>
            <w:tcW w:w="1080" w:type="dxa"/>
            <w:noWrap/>
            <w:vAlign w:val="center"/>
          </w:tcPr>
          <w:p w14:paraId="590DD27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0CC78E7">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14F3761C">
            <w:pPr>
              <w:spacing w:line="240" w:lineRule="auto"/>
              <w:ind w:firstLine="0" w:firstLineChars="0"/>
              <w:jc w:val="center"/>
              <w:rPr>
                <w:rFonts w:cs="Times New Roman"/>
                <w:sz w:val="21"/>
                <w:szCs w:val="21"/>
              </w:rPr>
            </w:pPr>
            <w:r>
              <w:rPr>
                <w:rFonts w:hint="eastAsia" w:cs="Times New Roman"/>
                <w:sz w:val="21"/>
                <w:szCs w:val="21"/>
              </w:rPr>
              <w:t>2470</w:t>
            </w:r>
          </w:p>
        </w:tc>
        <w:tc>
          <w:tcPr>
            <w:tcW w:w="1168" w:type="dxa"/>
            <w:noWrap/>
            <w:vAlign w:val="center"/>
          </w:tcPr>
          <w:p w14:paraId="36C9E57F">
            <w:pPr>
              <w:spacing w:line="240" w:lineRule="auto"/>
              <w:ind w:firstLine="0" w:firstLineChars="0"/>
              <w:jc w:val="center"/>
              <w:rPr>
                <w:rFonts w:cs="Times New Roman"/>
                <w:sz w:val="21"/>
                <w:szCs w:val="21"/>
              </w:rPr>
            </w:pPr>
            <w:r>
              <w:rPr>
                <w:rFonts w:hint="eastAsia" w:cs="Times New Roman"/>
                <w:sz w:val="21"/>
                <w:szCs w:val="21"/>
              </w:rPr>
              <w:t>约20</w:t>
            </w:r>
          </w:p>
        </w:tc>
      </w:tr>
      <w:tr w14:paraId="31916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7759646">
            <w:pPr>
              <w:pStyle w:val="39"/>
              <w:numPr>
                <w:ilvl w:val="0"/>
                <w:numId w:val="7"/>
              </w:numPr>
              <w:spacing w:line="240" w:lineRule="auto"/>
              <w:ind w:firstLineChars="0"/>
              <w:jc w:val="center"/>
              <w:rPr>
                <w:rFonts w:cs="Times New Roman"/>
                <w:sz w:val="21"/>
                <w:szCs w:val="21"/>
              </w:rPr>
            </w:pPr>
          </w:p>
        </w:tc>
        <w:tc>
          <w:tcPr>
            <w:tcW w:w="992" w:type="dxa"/>
            <w:noWrap/>
            <w:vAlign w:val="center"/>
          </w:tcPr>
          <w:p w14:paraId="148C9DE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9385121">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0CF970C0">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43897431">
            <w:pPr>
              <w:spacing w:line="240" w:lineRule="auto"/>
              <w:ind w:firstLine="0" w:firstLineChars="0"/>
              <w:jc w:val="center"/>
              <w:rPr>
                <w:rFonts w:cs="Times New Roman"/>
                <w:sz w:val="21"/>
                <w:szCs w:val="21"/>
              </w:rPr>
            </w:pPr>
            <w:r>
              <w:rPr>
                <w:rFonts w:hint="eastAsia" w:cs="Times New Roman"/>
                <w:sz w:val="21"/>
                <w:szCs w:val="21"/>
              </w:rPr>
              <w:t>煤山村</w:t>
            </w:r>
          </w:p>
        </w:tc>
        <w:tc>
          <w:tcPr>
            <w:tcW w:w="1701" w:type="dxa"/>
            <w:noWrap/>
            <w:vAlign w:val="center"/>
          </w:tcPr>
          <w:p w14:paraId="4D40B5DE">
            <w:pPr>
              <w:spacing w:line="240" w:lineRule="auto"/>
              <w:ind w:firstLine="0" w:firstLineChars="0"/>
              <w:jc w:val="center"/>
              <w:rPr>
                <w:rFonts w:cs="Times New Roman"/>
                <w:sz w:val="21"/>
                <w:szCs w:val="21"/>
              </w:rPr>
            </w:pPr>
            <w:r>
              <w:rPr>
                <w:rFonts w:hint="eastAsia" w:cs="Times New Roman"/>
                <w:sz w:val="21"/>
                <w:szCs w:val="21"/>
              </w:rPr>
              <w:t>119.327194</w:t>
            </w:r>
          </w:p>
        </w:tc>
        <w:tc>
          <w:tcPr>
            <w:tcW w:w="1690" w:type="dxa"/>
            <w:noWrap/>
            <w:vAlign w:val="center"/>
          </w:tcPr>
          <w:p w14:paraId="6A51BD98">
            <w:pPr>
              <w:spacing w:line="240" w:lineRule="auto"/>
              <w:ind w:firstLine="0" w:firstLineChars="0"/>
              <w:jc w:val="center"/>
              <w:rPr>
                <w:rFonts w:cs="Times New Roman"/>
                <w:sz w:val="21"/>
                <w:szCs w:val="21"/>
              </w:rPr>
            </w:pPr>
            <w:r>
              <w:rPr>
                <w:rFonts w:hint="eastAsia" w:cs="Times New Roman"/>
                <w:sz w:val="21"/>
                <w:szCs w:val="21"/>
              </w:rPr>
              <w:t>31.647541</w:t>
            </w:r>
          </w:p>
        </w:tc>
        <w:tc>
          <w:tcPr>
            <w:tcW w:w="1080" w:type="dxa"/>
            <w:noWrap/>
            <w:vAlign w:val="center"/>
          </w:tcPr>
          <w:p w14:paraId="5519554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CDC86C4">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0BB01E28">
            <w:pPr>
              <w:spacing w:line="240" w:lineRule="auto"/>
              <w:ind w:firstLine="0" w:firstLineChars="0"/>
              <w:jc w:val="center"/>
              <w:rPr>
                <w:rFonts w:cs="Times New Roman"/>
                <w:sz w:val="21"/>
                <w:szCs w:val="21"/>
              </w:rPr>
            </w:pPr>
            <w:r>
              <w:rPr>
                <w:rFonts w:hint="eastAsia" w:cs="Times New Roman"/>
                <w:sz w:val="21"/>
                <w:szCs w:val="21"/>
              </w:rPr>
              <w:t>1051</w:t>
            </w:r>
          </w:p>
        </w:tc>
        <w:tc>
          <w:tcPr>
            <w:tcW w:w="1168" w:type="dxa"/>
            <w:noWrap/>
            <w:vAlign w:val="center"/>
          </w:tcPr>
          <w:p w14:paraId="19D6F523">
            <w:pPr>
              <w:spacing w:line="240" w:lineRule="auto"/>
              <w:ind w:firstLine="0" w:firstLineChars="0"/>
              <w:jc w:val="center"/>
              <w:rPr>
                <w:rFonts w:cs="Times New Roman"/>
                <w:sz w:val="21"/>
                <w:szCs w:val="21"/>
              </w:rPr>
            </w:pPr>
            <w:r>
              <w:rPr>
                <w:rFonts w:hint="eastAsia" w:cs="Times New Roman"/>
                <w:sz w:val="21"/>
                <w:szCs w:val="21"/>
              </w:rPr>
              <w:t>约10</w:t>
            </w:r>
          </w:p>
        </w:tc>
      </w:tr>
      <w:tr w14:paraId="1D178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A780600">
            <w:pPr>
              <w:pStyle w:val="39"/>
              <w:numPr>
                <w:ilvl w:val="0"/>
                <w:numId w:val="7"/>
              </w:numPr>
              <w:spacing w:line="240" w:lineRule="auto"/>
              <w:ind w:firstLineChars="0"/>
              <w:jc w:val="center"/>
              <w:rPr>
                <w:rFonts w:cs="Times New Roman"/>
                <w:sz w:val="21"/>
                <w:szCs w:val="21"/>
              </w:rPr>
            </w:pPr>
          </w:p>
        </w:tc>
        <w:tc>
          <w:tcPr>
            <w:tcW w:w="992" w:type="dxa"/>
            <w:noWrap/>
            <w:vAlign w:val="center"/>
          </w:tcPr>
          <w:p w14:paraId="648E159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7E1F3AB">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10FACF12">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293F263B">
            <w:pPr>
              <w:spacing w:line="240" w:lineRule="auto"/>
              <w:ind w:firstLine="0" w:firstLineChars="0"/>
              <w:jc w:val="center"/>
              <w:rPr>
                <w:rFonts w:cs="Times New Roman"/>
                <w:sz w:val="21"/>
                <w:szCs w:val="21"/>
              </w:rPr>
            </w:pPr>
            <w:r>
              <w:rPr>
                <w:rFonts w:hint="eastAsia" w:cs="Times New Roman"/>
                <w:sz w:val="21"/>
                <w:szCs w:val="21"/>
              </w:rPr>
              <w:t>河西</w:t>
            </w:r>
          </w:p>
        </w:tc>
        <w:tc>
          <w:tcPr>
            <w:tcW w:w="1701" w:type="dxa"/>
            <w:noWrap/>
            <w:vAlign w:val="center"/>
          </w:tcPr>
          <w:p w14:paraId="15D9A7B4">
            <w:pPr>
              <w:spacing w:line="240" w:lineRule="auto"/>
              <w:ind w:firstLine="0" w:firstLineChars="0"/>
              <w:jc w:val="center"/>
              <w:rPr>
                <w:rFonts w:cs="Times New Roman"/>
                <w:sz w:val="21"/>
                <w:szCs w:val="21"/>
              </w:rPr>
            </w:pPr>
            <w:r>
              <w:rPr>
                <w:rFonts w:hint="eastAsia" w:cs="Times New Roman"/>
                <w:sz w:val="21"/>
                <w:szCs w:val="21"/>
              </w:rPr>
              <w:t>119.3321</w:t>
            </w:r>
          </w:p>
        </w:tc>
        <w:tc>
          <w:tcPr>
            <w:tcW w:w="1690" w:type="dxa"/>
            <w:noWrap/>
            <w:vAlign w:val="center"/>
          </w:tcPr>
          <w:p w14:paraId="44186F92">
            <w:pPr>
              <w:spacing w:line="240" w:lineRule="auto"/>
              <w:ind w:firstLine="0" w:firstLineChars="0"/>
              <w:jc w:val="center"/>
              <w:rPr>
                <w:rFonts w:cs="Times New Roman"/>
                <w:sz w:val="21"/>
                <w:szCs w:val="21"/>
              </w:rPr>
            </w:pPr>
            <w:r>
              <w:rPr>
                <w:rFonts w:hint="eastAsia" w:cs="Times New Roman"/>
                <w:sz w:val="21"/>
                <w:szCs w:val="21"/>
              </w:rPr>
              <w:t>31.642742</w:t>
            </w:r>
          </w:p>
        </w:tc>
        <w:tc>
          <w:tcPr>
            <w:tcW w:w="1080" w:type="dxa"/>
            <w:noWrap/>
            <w:vAlign w:val="center"/>
          </w:tcPr>
          <w:p w14:paraId="1DB9339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E69CEB9">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120B6213">
            <w:pPr>
              <w:spacing w:line="240" w:lineRule="auto"/>
              <w:ind w:firstLine="0" w:firstLineChars="0"/>
              <w:jc w:val="center"/>
              <w:rPr>
                <w:rFonts w:cs="Times New Roman"/>
                <w:sz w:val="21"/>
                <w:szCs w:val="21"/>
              </w:rPr>
            </w:pPr>
            <w:r>
              <w:rPr>
                <w:rFonts w:hint="eastAsia" w:cs="Times New Roman"/>
                <w:sz w:val="21"/>
                <w:szCs w:val="21"/>
              </w:rPr>
              <w:t>814</w:t>
            </w:r>
          </w:p>
        </w:tc>
        <w:tc>
          <w:tcPr>
            <w:tcW w:w="1168" w:type="dxa"/>
            <w:noWrap/>
            <w:vAlign w:val="center"/>
          </w:tcPr>
          <w:p w14:paraId="02F8763C">
            <w:pPr>
              <w:spacing w:line="240" w:lineRule="auto"/>
              <w:ind w:firstLine="0" w:firstLineChars="0"/>
              <w:jc w:val="center"/>
              <w:rPr>
                <w:rFonts w:cs="Times New Roman"/>
                <w:sz w:val="21"/>
                <w:szCs w:val="21"/>
              </w:rPr>
            </w:pPr>
            <w:r>
              <w:rPr>
                <w:rFonts w:hint="eastAsia" w:cs="Times New Roman"/>
                <w:sz w:val="21"/>
                <w:szCs w:val="21"/>
              </w:rPr>
              <w:t>约10</w:t>
            </w:r>
          </w:p>
        </w:tc>
      </w:tr>
      <w:tr w14:paraId="43E89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D557EF6">
            <w:pPr>
              <w:pStyle w:val="39"/>
              <w:numPr>
                <w:ilvl w:val="0"/>
                <w:numId w:val="7"/>
              </w:numPr>
              <w:spacing w:line="240" w:lineRule="auto"/>
              <w:ind w:firstLineChars="0"/>
              <w:jc w:val="center"/>
              <w:rPr>
                <w:rFonts w:cs="Times New Roman"/>
                <w:sz w:val="21"/>
                <w:szCs w:val="21"/>
              </w:rPr>
            </w:pPr>
          </w:p>
        </w:tc>
        <w:tc>
          <w:tcPr>
            <w:tcW w:w="992" w:type="dxa"/>
            <w:noWrap/>
            <w:vAlign w:val="center"/>
          </w:tcPr>
          <w:p w14:paraId="2AEA89F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E63E8BC">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69D290F5">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20C04B51">
            <w:pPr>
              <w:spacing w:line="240" w:lineRule="auto"/>
              <w:ind w:firstLine="0" w:firstLineChars="0"/>
              <w:jc w:val="center"/>
              <w:rPr>
                <w:rFonts w:cs="Times New Roman"/>
                <w:sz w:val="21"/>
                <w:szCs w:val="21"/>
              </w:rPr>
            </w:pPr>
            <w:r>
              <w:rPr>
                <w:rFonts w:hint="eastAsia" w:cs="Times New Roman"/>
                <w:sz w:val="21"/>
                <w:szCs w:val="21"/>
              </w:rPr>
              <w:t>河东</w:t>
            </w:r>
          </w:p>
        </w:tc>
        <w:tc>
          <w:tcPr>
            <w:tcW w:w="1701" w:type="dxa"/>
            <w:noWrap/>
            <w:vAlign w:val="center"/>
          </w:tcPr>
          <w:p w14:paraId="6E48910A">
            <w:pPr>
              <w:spacing w:line="240" w:lineRule="auto"/>
              <w:ind w:firstLine="0" w:firstLineChars="0"/>
              <w:jc w:val="center"/>
              <w:rPr>
                <w:rFonts w:cs="Times New Roman"/>
                <w:sz w:val="21"/>
                <w:szCs w:val="21"/>
              </w:rPr>
            </w:pPr>
            <w:r>
              <w:rPr>
                <w:rFonts w:hint="eastAsia" w:cs="Times New Roman"/>
                <w:sz w:val="21"/>
                <w:szCs w:val="21"/>
              </w:rPr>
              <w:t>119.337172</w:t>
            </w:r>
          </w:p>
        </w:tc>
        <w:tc>
          <w:tcPr>
            <w:tcW w:w="1690" w:type="dxa"/>
            <w:noWrap/>
            <w:vAlign w:val="center"/>
          </w:tcPr>
          <w:p w14:paraId="1F036726">
            <w:pPr>
              <w:spacing w:line="240" w:lineRule="auto"/>
              <w:ind w:firstLine="0" w:firstLineChars="0"/>
              <w:jc w:val="center"/>
              <w:rPr>
                <w:rFonts w:cs="Times New Roman"/>
                <w:sz w:val="21"/>
                <w:szCs w:val="21"/>
              </w:rPr>
            </w:pPr>
            <w:r>
              <w:rPr>
                <w:rFonts w:hint="eastAsia" w:cs="Times New Roman"/>
                <w:sz w:val="21"/>
                <w:szCs w:val="21"/>
              </w:rPr>
              <w:t>31.644371</w:t>
            </w:r>
          </w:p>
        </w:tc>
        <w:tc>
          <w:tcPr>
            <w:tcW w:w="1080" w:type="dxa"/>
            <w:noWrap/>
            <w:vAlign w:val="center"/>
          </w:tcPr>
          <w:p w14:paraId="45CF1E7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200EBC7">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377C8717">
            <w:pPr>
              <w:spacing w:line="240" w:lineRule="auto"/>
              <w:ind w:firstLine="0" w:firstLineChars="0"/>
              <w:jc w:val="center"/>
              <w:rPr>
                <w:rFonts w:cs="Times New Roman"/>
                <w:sz w:val="21"/>
                <w:szCs w:val="21"/>
              </w:rPr>
            </w:pPr>
            <w:r>
              <w:rPr>
                <w:rFonts w:hint="eastAsia" w:cs="Times New Roman"/>
                <w:sz w:val="21"/>
                <w:szCs w:val="21"/>
              </w:rPr>
              <w:t>495</w:t>
            </w:r>
          </w:p>
        </w:tc>
        <w:tc>
          <w:tcPr>
            <w:tcW w:w="1168" w:type="dxa"/>
            <w:noWrap/>
            <w:vAlign w:val="center"/>
          </w:tcPr>
          <w:p w14:paraId="7D5D52FB">
            <w:pPr>
              <w:spacing w:line="240" w:lineRule="auto"/>
              <w:ind w:firstLine="0" w:firstLineChars="0"/>
              <w:jc w:val="center"/>
              <w:rPr>
                <w:rFonts w:cs="Times New Roman"/>
                <w:sz w:val="21"/>
                <w:szCs w:val="21"/>
              </w:rPr>
            </w:pPr>
            <w:r>
              <w:rPr>
                <w:rFonts w:hint="eastAsia" w:cs="Times New Roman"/>
                <w:sz w:val="21"/>
                <w:szCs w:val="21"/>
              </w:rPr>
              <w:t>约10</w:t>
            </w:r>
          </w:p>
        </w:tc>
      </w:tr>
      <w:tr w14:paraId="0F6E7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7E44091">
            <w:pPr>
              <w:pStyle w:val="39"/>
              <w:numPr>
                <w:ilvl w:val="0"/>
                <w:numId w:val="7"/>
              </w:numPr>
              <w:spacing w:line="240" w:lineRule="auto"/>
              <w:ind w:firstLineChars="0"/>
              <w:jc w:val="center"/>
              <w:rPr>
                <w:rFonts w:cs="Times New Roman"/>
                <w:sz w:val="21"/>
                <w:szCs w:val="21"/>
              </w:rPr>
            </w:pPr>
          </w:p>
        </w:tc>
        <w:tc>
          <w:tcPr>
            <w:tcW w:w="992" w:type="dxa"/>
            <w:noWrap/>
            <w:vAlign w:val="center"/>
          </w:tcPr>
          <w:p w14:paraId="3E0AAF6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A312719">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18F84380">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3901CC47">
            <w:pPr>
              <w:spacing w:line="240" w:lineRule="auto"/>
              <w:ind w:firstLine="0" w:firstLineChars="0"/>
              <w:jc w:val="center"/>
              <w:rPr>
                <w:rFonts w:cs="Times New Roman"/>
                <w:sz w:val="21"/>
                <w:szCs w:val="21"/>
              </w:rPr>
            </w:pPr>
            <w:r>
              <w:rPr>
                <w:rFonts w:hint="eastAsia" w:cs="Times New Roman"/>
                <w:sz w:val="21"/>
                <w:szCs w:val="21"/>
              </w:rPr>
              <w:t>下储庄</w:t>
            </w:r>
          </w:p>
        </w:tc>
        <w:tc>
          <w:tcPr>
            <w:tcW w:w="1701" w:type="dxa"/>
            <w:noWrap/>
            <w:vAlign w:val="center"/>
          </w:tcPr>
          <w:p w14:paraId="17DED5FC">
            <w:pPr>
              <w:spacing w:line="240" w:lineRule="auto"/>
              <w:ind w:firstLine="0" w:firstLineChars="0"/>
              <w:jc w:val="center"/>
              <w:rPr>
                <w:rFonts w:cs="Times New Roman"/>
                <w:sz w:val="21"/>
                <w:szCs w:val="21"/>
              </w:rPr>
            </w:pPr>
            <w:r>
              <w:rPr>
                <w:rFonts w:hint="eastAsia" w:cs="Times New Roman"/>
                <w:sz w:val="21"/>
                <w:szCs w:val="21"/>
              </w:rPr>
              <w:t>119.323467</w:t>
            </w:r>
          </w:p>
        </w:tc>
        <w:tc>
          <w:tcPr>
            <w:tcW w:w="1690" w:type="dxa"/>
            <w:noWrap/>
            <w:vAlign w:val="center"/>
          </w:tcPr>
          <w:p w14:paraId="35DEDE3B">
            <w:pPr>
              <w:spacing w:line="240" w:lineRule="auto"/>
              <w:ind w:firstLine="0" w:firstLineChars="0"/>
              <w:jc w:val="center"/>
              <w:rPr>
                <w:rFonts w:cs="Times New Roman"/>
                <w:sz w:val="21"/>
                <w:szCs w:val="21"/>
              </w:rPr>
            </w:pPr>
            <w:r>
              <w:rPr>
                <w:rFonts w:hint="eastAsia" w:cs="Times New Roman"/>
                <w:sz w:val="21"/>
                <w:szCs w:val="21"/>
              </w:rPr>
              <w:t>31.644612</w:t>
            </w:r>
          </w:p>
        </w:tc>
        <w:tc>
          <w:tcPr>
            <w:tcW w:w="1080" w:type="dxa"/>
            <w:noWrap/>
            <w:vAlign w:val="center"/>
          </w:tcPr>
          <w:p w14:paraId="035FF16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4AF5335">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708AF2A8">
            <w:pPr>
              <w:spacing w:line="240" w:lineRule="auto"/>
              <w:ind w:firstLine="0" w:firstLineChars="0"/>
              <w:jc w:val="center"/>
              <w:rPr>
                <w:rFonts w:cs="Times New Roman"/>
                <w:sz w:val="21"/>
                <w:szCs w:val="21"/>
              </w:rPr>
            </w:pPr>
            <w:r>
              <w:rPr>
                <w:rFonts w:hint="eastAsia" w:cs="Times New Roman"/>
                <w:sz w:val="21"/>
                <w:szCs w:val="21"/>
              </w:rPr>
              <w:t>1465</w:t>
            </w:r>
          </w:p>
        </w:tc>
        <w:tc>
          <w:tcPr>
            <w:tcW w:w="1168" w:type="dxa"/>
            <w:noWrap/>
            <w:vAlign w:val="center"/>
          </w:tcPr>
          <w:p w14:paraId="16576CC4">
            <w:pPr>
              <w:spacing w:line="240" w:lineRule="auto"/>
              <w:ind w:firstLine="0" w:firstLineChars="0"/>
              <w:jc w:val="center"/>
              <w:rPr>
                <w:rFonts w:cs="Times New Roman"/>
                <w:sz w:val="21"/>
                <w:szCs w:val="21"/>
              </w:rPr>
            </w:pPr>
            <w:r>
              <w:rPr>
                <w:rFonts w:hint="eastAsia" w:cs="Times New Roman"/>
                <w:sz w:val="21"/>
                <w:szCs w:val="21"/>
              </w:rPr>
              <w:t>约20</w:t>
            </w:r>
          </w:p>
        </w:tc>
      </w:tr>
      <w:tr w14:paraId="2E599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462B619">
            <w:pPr>
              <w:pStyle w:val="39"/>
              <w:numPr>
                <w:ilvl w:val="0"/>
                <w:numId w:val="7"/>
              </w:numPr>
              <w:spacing w:line="240" w:lineRule="auto"/>
              <w:ind w:firstLineChars="0"/>
              <w:jc w:val="center"/>
              <w:rPr>
                <w:rFonts w:cs="Times New Roman"/>
                <w:sz w:val="21"/>
                <w:szCs w:val="21"/>
              </w:rPr>
            </w:pPr>
          </w:p>
        </w:tc>
        <w:tc>
          <w:tcPr>
            <w:tcW w:w="992" w:type="dxa"/>
            <w:noWrap/>
            <w:vAlign w:val="center"/>
          </w:tcPr>
          <w:p w14:paraId="2F5EA79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669C3AE">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7FF5AE42">
            <w:pPr>
              <w:spacing w:line="240" w:lineRule="auto"/>
              <w:ind w:firstLine="0" w:firstLineChars="0"/>
              <w:jc w:val="center"/>
              <w:rPr>
                <w:rFonts w:cs="Times New Roman"/>
                <w:sz w:val="21"/>
                <w:szCs w:val="21"/>
              </w:rPr>
            </w:pPr>
            <w:r>
              <w:rPr>
                <w:rFonts w:hint="eastAsia" w:cs="Times New Roman"/>
                <w:sz w:val="21"/>
                <w:szCs w:val="21"/>
              </w:rPr>
              <w:t>竹篑镇</w:t>
            </w:r>
          </w:p>
        </w:tc>
        <w:tc>
          <w:tcPr>
            <w:tcW w:w="2409" w:type="dxa"/>
            <w:noWrap/>
            <w:vAlign w:val="center"/>
          </w:tcPr>
          <w:p w14:paraId="66B1694A">
            <w:pPr>
              <w:spacing w:line="240" w:lineRule="auto"/>
              <w:ind w:firstLine="0" w:firstLineChars="0"/>
              <w:jc w:val="center"/>
              <w:rPr>
                <w:rFonts w:cs="Times New Roman"/>
                <w:sz w:val="21"/>
                <w:szCs w:val="21"/>
              </w:rPr>
            </w:pPr>
            <w:r>
              <w:rPr>
                <w:rFonts w:hint="eastAsia" w:cs="Times New Roman"/>
                <w:sz w:val="21"/>
                <w:szCs w:val="21"/>
              </w:rPr>
              <w:t>上储庄</w:t>
            </w:r>
          </w:p>
        </w:tc>
        <w:tc>
          <w:tcPr>
            <w:tcW w:w="1701" w:type="dxa"/>
            <w:noWrap/>
            <w:vAlign w:val="center"/>
          </w:tcPr>
          <w:p w14:paraId="5AB674F4">
            <w:pPr>
              <w:spacing w:line="240" w:lineRule="auto"/>
              <w:ind w:firstLine="0" w:firstLineChars="0"/>
              <w:jc w:val="center"/>
              <w:rPr>
                <w:rFonts w:cs="Times New Roman"/>
                <w:sz w:val="21"/>
                <w:szCs w:val="21"/>
              </w:rPr>
            </w:pPr>
            <w:r>
              <w:rPr>
                <w:rFonts w:hint="eastAsia" w:cs="Times New Roman"/>
                <w:sz w:val="21"/>
                <w:szCs w:val="21"/>
              </w:rPr>
              <w:t>119.320452</w:t>
            </w:r>
          </w:p>
        </w:tc>
        <w:tc>
          <w:tcPr>
            <w:tcW w:w="1690" w:type="dxa"/>
            <w:noWrap/>
            <w:vAlign w:val="center"/>
          </w:tcPr>
          <w:p w14:paraId="23692C34">
            <w:pPr>
              <w:spacing w:line="240" w:lineRule="auto"/>
              <w:ind w:firstLine="0" w:firstLineChars="0"/>
              <w:jc w:val="center"/>
              <w:rPr>
                <w:rFonts w:cs="Times New Roman"/>
                <w:sz w:val="21"/>
                <w:szCs w:val="21"/>
              </w:rPr>
            </w:pPr>
            <w:r>
              <w:rPr>
                <w:rFonts w:hint="eastAsia" w:cs="Times New Roman"/>
                <w:sz w:val="21"/>
                <w:szCs w:val="21"/>
              </w:rPr>
              <w:t>31.652218</w:t>
            </w:r>
          </w:p>
        </w:tc>
        <w:tc>
          <w:tcPr>
            <w:tcW w:w="1080" w:type="dxa"/>
            <w:noWrap/>
            <w:vAlign w:val="center"/>
          </w:tcPr>
          <w:p w14:paraId="303315C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24D2126">
            <w:pPr>
              <w:spacing w:line="240" w:lineRule="auto"/>
              <w:ind w:firstLine="0" w:firstLineChars="0"/>
              <w:jc w:val="center"/>
              <w:rPr>
                <w:rFonts w:cs="Times New Roman"/>
                <w:sz w:val="21"/>
                <w:szCs w:val="21"/>
              </w:rPr>
            </w:pPr>
            <w:r>
              <w:rPr>
                <w:rFonts w:hint="eastAsia" w:cs="Times New Roman"/>
                <w:sz w:val="21"/>
                <w:szCs w:val="21"/>
              </w:rPr>
              <w:t>西南</w:t>
            </w:r>
          </w:p>
        </w:tc>
        <w:tc>
          <w:tcPr>
            <w:tcW w:w="720" w:type="dxa"/>
            <w:noWrap/>
            <w:vAlign w:val="center"/>
          </w:tcPr>
          <w:p w14:paraId="7F35C7C3">
            <w:pPr>
              <w:spacing w:line="240" w:lineRule="auto"/>
              <w:ind w:firstLine="0" w:firstLineChars="0"/>
              <w:jc w:val="center"/>
              <w:rPr>
                <w:rFonts w:cs="Times New Roman"/>
                <w:sz w:val="21"/>
                <w:szCs w:val="21"/>
              </w:rPr>
            </w:pPr>
            <w:r>
              <w:rPr>
                <w:rFonts w:hint="eastAsia" w:cs="Times New Roman"/>
                <w:sz w:val="21"/>
                <w:szCs w:val="21"/>
              </w:rPr>
              <w:t>1424</w:t>
            </w:r>
          </w:p>
        </w:tc>
        <w:tc>
          <w:tcPr>
            <w:tcW w:w="1168" w:type="dxa"/>
            <w:noWrap/>
            <w:vAlign w:val="center"/>
          </w:tcPr>
          <w:p w14:paraId="5A68D229">
            <w:pPr>
              <w:spacing w:line="240" w:lineRule="auto"/>
              <w:ind w:firstLine="0" w:firstLineChars="0"/>
              <w:jc w:val="center"/>
              <w:rPr>
                <w:rFonts w:cs="Times New Roman"/>
                <w:sz w:val="21"/>
                <w:szCs w:val="21"/>
              </w:rPr>
            </w:pPr>
            <w:r>
              <w:rPr>
                <w:rFonts w:hint="eastAsia" w:cs="Times New Roman"/>
                <w:sz w:val="21"/>
                <w:szCs w:val="21"/>
              </w:rPr>
              <w:t>约30</w:t>
            </w:r>
          </w:p>
        </w:tc>
      </w:tr>
      <w:tr w14:paraId="0AFED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88AFD82">
            <w:pPr>
              <w:pStyle w:val="39"/>
              <w:numPr>
                <w:ilvl w:val="0"/>
                <w:numId w:val="7"/>
              </w:numPr>
              <w:spacing w:line="240" w:lineRule="auto"/>
              <w:ind w:firstLineChars="0"/>
              <w:jc w:val="center"/>
              <w:rPr>
                <w:rFonts w:cs="Times New Roman"/>
                <w:sz w:val="21"/>
                <w:szCs w:val="21"/>
              </w:rPr>
            </w:pPr>
          </w:p>
        </w:tc>
        <w:tc>
          <w:tcPr>
            <w:tcW w:w="992" w:type="dxa"/>
            <w:noWrap/>
            <w:vAlign w:val="center"/>
          </w:tcPr>
          <w:p w14:paraId="4F8DBB4D">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FE91658">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6F9D8C77">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28AD360A">
            <w:pPr>
              <w:spacing w:line="240" w:lineRule="auto"/>
              <w:ind w:firstLine="0" w:firstLineChars="0"/>
              <w:jc w:val="center"/>
              <w:rPr>
                <w:rFonts w:cs="Times New Roman"/>
                <w:sz w:val="21"/>
                <w:szCs w:val="21"/>
              </w:rPr>
            </w:pPr>
            <w:r>
              <w:rPr>
                <w:rFonts w:hint="eastAsia" w:cs="Times New Roman"/>
                <w:sz w:val="21"/>
                <w:szCs w:val="21"/>
              </w:rPr>
              <w:t>陈庄</w:t>
            </w:r>
          </w:p>
        </w:tc>
        <w:tc>
          <w:tcPr>
            <w:tcW w:w="1701" w:type="dxa"/>
            <w:noWrap/>
            <w:vAlign w:val="center"/>
          </w:tcPr>
          <w:p w14:paraId="32700363">
            <w:pPr>
              <w:spacing w:line="240" w:lineRule="auto"/>
              <w:ind w:firstLine="0" w:firstLineChars="0"/>
              <w:jc w:val="center"/>
              <w:rPr>
                <w:rFonts w:cs="Times New Roman"/>
                <w:sz w:val="21"/>
                <w:szCs w:val="21"/>
              </w:rPr>
            </w:pPr>
            <w:r>
              <w:rPr>
                <w:rFonts w:hint="eastAsia" w:cs="Times New Roman"/>
                <w:sz w:val="21"/>
                <w:szCs w:val="21"/>
              </w:rPr>
              <w:t>119.313047</w:t>
            </w:r>
          </w:p>
        </w:tc>
        <w:tc>
          <w:tcPr>
            <w:tcW w:w="1690" w:type="dxa"/>
            <w:noWrap/>
            <w:vAlign w:val="center"/>
          </w:tcPr>
          <w:p w14:paraId="6664145A">
            <w:pPr>
              <w:spacing w:line="240" w:lineRule="auto"/>
              <w:ind w:firstLine="0" w:firstLineChars="0"/>
              <w:jc w:val="center"/>
              <w:rPr>
                <w:rFonts w:cs="Times New Roman"/>
                <w:sz w:val="21"/>
                <w:szCs w:val="21"/>
              </w:rPr>
            </w:pPr>
            <w:r>
              <w:rPr>
                <w:rFonts w:hint="eastAsia" w:cs="Times New Roman"/>
                <w:sz w:val="21"/>
                <w:szCs w:val="21"/>
              </w:rPr>
              <w:t>31.700275</w:t>
            </w:r>
          </w:p>
        </w:tc>
        <w:tc>
          <w:tcPr>
            <w:tcW w:w="1080" w:type="dxa"/>
            <w:noWrap/>
            <w:vAlign w:val="center"/>
          </w:tcPr>
          <w:p w14:paraId="6292535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5F64A94">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30AA1F13">
            <w:pPr>
              <w:spacing w:line="240" w:lineRule="auto"/>
              <w:ind w:firstLine="0" w:firstLineChars="0"/>
              <w:jc w:val="center"/>
              <w:rPr>
                <w:rFonts w:cs="Times New Roman"/>
                <w:sz w:val="21"/>
                <w:szCs w:val="21"/>
              </w:rPr>
            </w:pPr>
            <w:r>
              <w:rPr>
                <w:rFonts w:hint="eastAsia" w:cs="Times New Roman"/>
                <w:sz w:val="21"/>
                <w:szCs w:val="21"/>
              </w:rPr>
              <w:t>770</w:t>
            </w:r>
          </w:p>
        </w:tc>
        <w:tc>
          <w:tcPr>
            <w:tcW w:w="1168" w:type="dxa"/>
            <w:noWrap/>
            <w:vAlign w:val="center"/>
          </w:tcPr>
          <w:p w14:paraId="566C221D">
            <w:pPr>
              <w:spacing w:line="240" w:lineRule="auto"/>
              <w:ind w:firstLine="0" w:firstLineChars="0"/>
              <w:jc w:val="center"/>
              <w:rPr>
                <w:rFonts w:cs="Times New Roman"/>
                <w:sz w:val="21"/>
                <w:szCs w:val="21"/>
              </w:rPr>
            </w:pPr>
            <w:r>
              <w:rPr>
                <w:rFonts w:hint="eastAsia" w:cs="Times New Roman"/>
                <w:sz w:val="21"/>
                <w:szCs w:val="21"/>
              </w:rPr>
              <w:t>约30</w:t>
            </w:r>
          </w:p>
        </w:tc>
      </w:tr>
      <w:tr w14:paraId="0AD43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CEC411B">
            <w:pPr>
              <w:pStyle w:val="39"/>
              <w:numPr>
                <w:ilvl w:val="0"/>
                <w:numId w:val="7"/>
              </w:numPr>
              <w:spacing w:line="240" w:lineRule="auto"/>
              <w:ind w:firstLineChars="0"/>
              <w:jc w:val="center"/>
              <w:rPr>
                <w:rFonts w:cs="Times New Roman"/>
                <w:sz w:val="21"/>
                <w:szCs w:val="21"/>
              </w:rPr>
            </w:pPr>
          </w:p>
        </w:tc>
        <w:tc>
          <w:tcPr>
            <w:tcW w:w="992" w:type="dxa"/>
            <w:noWrap/>
            <w:vAlign w:val="center"/>
          </w:tcPr>
          <w:p w14:paraId="69312EDE">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2B297422">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54D67A8B">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6509C785">
            <w:pPr>
              <w:spacing w:line="240" w:lineRule="auto"/>
              <w:ind w:firstLine="0" w:firstLineChars="0"/>
              <w:jc w:val="center"/>
              <w:rPr>
                <w:rFonts w:cs="Times New Roman"/>
                <w:sz w:val="21"/>
                <w:szCs w:val="21"/>
              </w:rPr>
            </w:pPr>
            <w:r>
              <w:rPr>
                <w:rFonts w:hint="eastAsia" w:cs="Times New Roman"/>
                <w:sz w:val="21"/>
                <w:szCs w:val="21"/>
              </w:rPr>
              <w:t>李塔村</w:t>
            </w:r>
          </w:p>
        </w:tc>
        <w:tc>
          <w:tcPr>
            <w:tcW w:w="1701" w:type="dxa"/>
            <w:noWrap/>
            <w:vAlign w:val="center"/>
          </w:tcPr>
          <w:p w14:paraId="7573F0CA">
            <w:pPr>
              <w:spacing w:line="240" w:lineRule="auto"/>
              <w:ind w:firstLine="0" w:firstLineChars="0"/>
              <w:jc w:val="center"/>
              <w:rPr>
                <w:rFonts w:cs="Times New Roman"/>
                <w:sz w:val="21"/>
                <w:szCs w:val="21"/>
              </w:rPr>
            </w:pPr>
            <w:r>
              <w:rPr>
                <w:rFonts w:hint="eastAsia" w:cs="Times New Roman"/>
                <w:sz w:val="21"/>
                <w:szCs w:val="21"/>
              </w:rPr>
              <w:t>119.292501</w:t>
            </w:r>
          </w:p>
        </w:tc>
        <w:tc>
          <w:tcPr>
            <w:tcW w:w="1690" w:type="dxa"/>
            <w:noWrap/>
            <w:vAlign w:val="center"/>
          </w:tcPr>
          <w:p w14:paraId="1394EC9D">
            <w:pPr>
              <w:spacing w:line="240" w:lineRule="auto"/>
              <w:ind w:firstLine="0" w:firstLineChars="0"/>
              <w:jc w:val="center"/>
              <w:rPr>
                <w:rFonts w:cs="Times New Roman"/>
                <w:sz w:val="21"/>
                <w:szCs w:val="21"/>
              </w:rPr>
            </w:pPr>
            <w:r>
              <w:rPr>
                <w:rFonts w:hint="eastAsia" w:cs="Times New Roman"/>
                <w:sz w:val="21"/>
                <w:szCs w:val="21"/>
              </w:rPr>
              <w:t>31.699457</w:t>
            </w:r>
          </w:p>
        </w:tc>
        <w:tc>
          <w:tcPr>
            <w:tcW w:w="1080" w:type="dxa"/>
            <w:noWrap/>
            <w:vAlign w:val="center"/>
          </w:tcPr>
          <w:p w14:paraId="7E302AC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A7E3976">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0E4812D3">
            <w:pPr>
              <w:spacing w:line="240" w:lineRule="auto"/>
              <w:ind w:firstLine="0" w:firstLineChars="0"/>
              <w:jc w:val="center"/>
              <w:rPr>
                <w:rFonts w:cs="Times New Roman"/>
                <w:sz w:val="21"/>
                <w:szCs w:val="21"/>
              </w:rPr>
            </w:pPr>
            <w:r>
              <w:rPr>
                <w:rFonts w:hint="eastAsia" w:cs="Times New Roman"/>
                <w:sz w:val="21"/>
                <w:szCs w:val="21"/>
              </w:rPr>
              <w:t>2476</w:t>
            </w:r>
          </w:p>
        </w:tc>
        <w:tc>
          <w:tcPr>
            <w:tcW w:w="1168" w:type="dxa"/>
            <w:noWrap/>
            <w:vAlign w:val="center"/>
          </w:tcPr>
          <w:p w14:paraId="71B40CDE">
            <w:pPr>
              <w:spacing w:line="240" w:lineRule="auto"/>
              <w:ind w:firstLine="0" w:firstLineChars="0"/>
              <w:jc w:val="center"/>
              <w:rPr>
                <w:rFonts w:cs="Times New Roman"/>
                <w:sz w:val="21"/>
                <w:szCs w:val="21"/>
              </w:rPr>
            </w:pPr>
            <w:r>
              <w:rPr>
                <w:rFonts w:hint="eastAsia" w:cs="Times New Roman"/>
                <w:sz w:val="21"/>
                <w:szCs w:val="21"/>
              </w:rPr>
              <w:t>约100</w:t>
            </w:r>
          </w:p>
        </w:tc>
      </w:tr>
      <w:tr w14:paraId="661C1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61A68D8">
            <w:pPr>
              <w:pStyle w:val="39"/>
              <w:numPr>
                <w:ilvl w:val="0"/>
                <w:numId w:val="7"/>
              </w:numPr>
              <w:spacing w:line="240" w:lineRule="auto"/>
              <w:ind w:firstLineChars="0"/>
              <w:jc w:val="center"/>
              <w:rPr>
                <w:rFonts w:cs="Times New Roman"/>
                <w:sz w:val="21"/>
                <w:szCs w:val="21"/>
              </w:rPr>
            </w:pPr>
          </w:p>
        </w:tc>
        <w:tc>
          <w:tcPr>
            <w:tcW w:w="992" w:type="dxa"/>
            <w:noWrap/>
            <w:vAlign w:val="center"/>
          </w:tcPr>
          <w:p w14:paraId="771FF98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E85C7C5">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4C35CB5E">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779071EF">
            <w:pPr>
              <w:spacing w:line="240" w:lineRule="auto"/>
              <w:ind w:firstLine="0" w:firstLineChars="0"/>
              <w:jc w:val="center"/>
              <w:rPr>
                <w:rFonts w:cs="Times New Roman"/>
                <w:sz w:val="21"/>
                <w:szCs w:val="21"/>
              </w:rPr>
            </w:pPr>
            <w:r>
              <w:rPr>
                <w:rFonts w:hint="eastAsia" w:cs="Times New Roman"/>
                <w:sz w:val="21"/>
                <w:szCs w:val="21"/>
              </w:rPr>
              <w:t>戴巷里</w:t>
            </w:r>
          </w:p>
        </w:tc>
        <w:tc>
          <w:tcPr>
            <w:tcW w:w="1701" w:type="dxa"/>
            <w:noWrap/>
            <w:vAlign w:val="center"/>
          </w:tcPr>
          <w:p w14:paraId="35A4371A">
            <w:pPr>
              <w:spacing w:line="240" w:lineRule="auto"/>
              <w:ind w:firstLine="0" w:firstLineChars="0"/>
              <w:jc w:val="center"/>
              <w:rPr>
                <w:rFonts w:cs="Times New Roman"/>
                <w:sz w:val="21"/>
                <w:szCs w:val="21"/>
              </w:rPr>
            </w:pPr>
            <w:r>
              <w:rPr>
                <w:rFonts w:hint="eastAsia" w:cs="Times New Roman"/>
                <w:sz w:val="21"/>
                <w:szCs w:val="21"/>
              </w:rPr>
              <w:t>119.399447</w:t>
            </w:r>
          </w:p>
        </w:tc>
        <w:tc>
          <w:tcPr>
            <w:tcW w:w="1690" w:type="dxa"/>
            <w:noWrap/>
            <w:vAlign w:val="center"/>
          </w:tcPr>
          <w:p w14:paraId="2A882C97">
            <w:pPr>
              <w:spacing w:line="240" w:lineRule="auto"/>
              <w:ind w:firstLine="0" w:firstLineChars="0"/>
              <w:jc w:val="center"/>
              <w:rPr>
                <w:rFonts w:cs="Times New Roman"/>
                <w:sz w:val="21"/>
                <w:szCs w:val="21"/>
              </w:rPr>
            </w:pPr>
            <w:r>
              <w:rPr>
                <w:rFonts w:hint="eastAsia" w:cs="Times New Roman"/>
                <w:sz w:val="21"/>
                <w:szCs w:val="21"/>
              </w:rPr>
              <w:t>31.605514</w:t>
            </w:r>
          </w:p>
        </w:tc>
        <w:tc>
          <w:tcPr>
            <w:tcW w:w="1080" w:type="dxa"/>
            <w:noWrap/>
            <w:vAlign w:val="center"/>
          </w:tcPr>
          <w:p w14:paraId="1468F74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F5DD452">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709729E">
            <w:pPr>
              <w:spacing w:line="240" w:lineRule="auto"/>
              <w:ind w:firstLine="0" w:firstLineChars="0"/>
              <w:jc w:val="center"/>
              <w:rPr>
                <w:rFonts w:cs="Times New Roman"/>
                <w:sz w:val="21"/>
                <w:szCs w:val="21"/>
              </w:rPr>
            </w:pPr>
            <w:r>
              <w:rPr>
                <w:rFonts w:hint="eastAsia" w:cs="Times New Roman"/>
                <w:sz w:val="21"/>
                <w:szCs w:val="21"/>
              </w:rPr>
              <w:t>2133</w:t>
            </w:r>
          </w:p>
        </w:tc>
        <w:tc>
          <w:tcPr>
            <w:tcW w:w="1168" w:type="dxa"/>
            <w:noWrap/>
            <w:vAlign w:val="center"/>
          </w:tcPr>
          <w:p w14:paraId="5893BFD1">
            <w:pPr>
              <w:spacing w:line="240" w:lineRule="auto"/>
              <w:ind w:firstLine="0" w:firstLineChars="0"/>
              <w:jc w:val="center"/>
              <w:rPr>
                <w:rFonts w:cs="Times New Roman"/>
                <w:sz w:val="21"/>
                <w:szCs w:val="21"/>
              </w:rPr>
            </w:pPr>
            <w:r>
              <w:rPr>
                <w:rFonts w:hint="eastAsia" w:cs="Times New Roman"/>
                <w:sz w:val="21"/>
                <w:szCs w:val="21"/>
              </w:rPr>
              <w:t>约200</w:t>
            </w:r>
          </w:p>
        </w:tc>
      </w:tr>
      <w:tr w14:paraId="536B5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8BC90C8">
            <w:pPr>
              <w:pStyle w:val="39"/>
              <w:numPr>
                <w:ilvl w:val="0"/>
                <w:numId w:val="7"/>
              </w:numPr>
              <w:spacing w:line="240" w:lineRule="auto"/>
              <w:ind w:firstLineChars="0"/>
              <w:jc w:val="center"/>
              <w:rPr>
                <w:rFonts w:cs="Times New Roman"/>
                <w:sz w:val="21"/>
                <w:szCs w:val="21"/>
              </w:rPr>
            </w:pPr>
          </w:p>
        </w:tc>
        <w:tc>
          <w:tcPr>
            <w:tcW w:w="992" w:type="dxa"/>
            <w:noWrap/>
            <w:vAlign w:val="center"/>
          </w:tcPr>
          <w:p w14:paraId="6CB9B7E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AE936E5">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5E1CB907">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2BCB15E1">
            <w:pPr>
              <w:spacing w:line="240" w:lineRule="auto"/>
              <w:ind w:firstLine="0" w:firstLineChars="0"/>
              <w:jc w:val="center"/>
              <w:rPr>
                <w:rFonts w:cs="Times New Roman"/>
                <w:sz w:val="21"/>
                <w:szCs w:val="21"/>
              </w:rPr>
            </w:pPr>
            <w:r>
              <w:rPr>
                <w:rFonts w:hint="eastAsia" w:cs="Times New Roman"/>
                <w:sz w:val="21"/>
                <w:szCs w:val="21"/>
              </w:rPr>
              <w:t>唐家</w:t>
            </w:r>
          </w:p>
        </w:tc>
        <w:tc>
          <w:tcPr>
            <w:tcW w:w="1701" w:type="dxa"/>
            <w:noWrap/>
            <w:vAlign w:val="center"/>
          </w:tcPr>
          <w:p w14:paraId="605ED651">
            <w:pPr>
              <w:spacing w:line="240" w:lineRule="auto"/>
              <w:ind w:firstLine="0" w:firstLineChars="0"/>
              <w:jc w:val="center"/>
              <w:rPr>
                <w:rFonts w:cs="Times New Roman"/>
                <w:sz w:val="21"/>
                <w:szCs w:val="21"/>
              </w:rPr>
            </w:pPr>
            <w:r>
              <w:rPr>
                <w:rFonts w:hint="eastAsia" w:cs="Times New Roman"/>
                <w:sz w:val="21"/>
                <w:szCs w:val="21"/>
              </w:rPr>
              <w:t>119.406688</w:t>
            </w:r>
          </w:p>
        </w:tc>
        <w:tc>
          <w:tcPr>
            <w:tcW w:w="1690" w:type="dxa"/>
            <w:noWrap/>
            <w:vAlign w:val="center"/>
          </w:tcPr>
          <w:p w14:paraId="1DCA8BE1">
            <w:pPr>
              <w:spacing w:line="240" w:lineRule="auto"/>
              <w:ind w:firstLine="0" w:firstLineChars="0"/>
              <w:jc w:val="center"/>
              <w:rPr>
                <w:rFonts w:cs="Times New Roman"/>
                <w:sz w:val="21"/>
                <w:szCs w:val="21"/>
              </w:rPr>
            </w:pPr>
            <w:r>
              <w:rPr>
                <w:rFonts w:hint="eastAsia" w:cs="Times New Roman"/>
                <w:sz w:val="21"/>
                <w:szCs w:val="21"/>
              </w:rPr>
              <w:t>31.606407</w:t>
            </w:r>
          </w:p>
        </w:tc>
        <w:tc>
          <w:tcPr>
            <w:tcW w:w="1080" w:type="dxa"/>
            <w:noWrap/>
            <w:vAlign w:val="center"/>
          </w:tcPr>
          <w:p w14:paraId="62B938D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8DD8EEA">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4D350E2D">
            <w:pPr>
              <w:spacing w:line="240" w:lineRule="auto"/>
              <w:ind w:firstLine="0" w:firstLineChars="0"/>
              <w:jc w:val="center"/>
              <w:rPr>
                <w:rFonts w:cs="Times New Roman"/>
                <w:sz w:val="21"/>
                <w:szCs w:val="21"/>
              </w:rPr>
            </w:pPr>
            <w:r>
              <w:rPr>
                <w:rFonts w:hint="eastAsia" w:cs="Times New Roman"/>
                <w:sz w:val="21"/>
                <w:szCs w:val="21"/>
              </w:rPr>
              <w:t>2104</w:t>
            </w:r>
          </w:p>
        </w:tc>
        <w:tc>
          <w:tcPr>
            <w:tcW w:w="1168" w:type="dxa"/>
            <w:noWrap/>
            <w:vAlign w:val="center"/>
          </w:tcPr>
          <w:p w14:paraId="70FAF01A">
            <w:pPr>
              <w:spacing w:line="240" w:lineRule="auto"/>
              <w:ind w:firstLine="0" w:firstLineChars="0"/>
              <w:jc w:val="center"/>
              <w:rPr>
                <w:rFonts w:cs="Times New Roman"/>
                <w:sz w:val="21"/>
                <w:szCs w:val="21"/>
              </w:rPr>
            </w:pPr>
            <w:r>
              <w:rPr>
                <w:rFonts w:hint="eastAsia" w:cs="Times New Roman"/>
                <w:sz w:val="21"/>
                <w:szCs w:val="21"/>
              </w:rPr>
              <w:t>约10</w:t>
            </w:r>
          </w:p>
        </w:tc>
      </w:tr>
      <w:tr w14:paraId="43AD0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C845EBD">
            <w:pPr>
              <w:pStyle w:val="39"/>
              <w:numPr>
                <w:ilvl w:val="0"/>
                <w:numId w:val="7"/>
              </w:numPr>
              <w:spacing w:line="240" w:lineRule="auto"/>
              <w:ind w:firstLineChars="0"/>
              <w:jc w:val="center"/>
              <w:rPr>
                <w:rFonts w:cs="Times New Roman"/>
                <w:sz w:val="21"/>
                <w:szCs w:val="21"/>
              </w:rPr>
            </w:pPr>
          </w:p>
        </w:tc>
        <w:tc>
          <w:tcPr>
            <w:tcW w:w="992" w:type="dxa"/>
            <w:noWrap/>
            <w:vAlign w:val="center"/>
          </w:tcPr>
          <w:p w14:paraId="153E151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AE69D19">
            <w:pPr>
              <w:spacing w:line="240" w:lineRule="auto"/>
              <w:ind w:firstLine="0" w:firstLineChars="0"/>
              <w:jc w:val="center"/>
              <w:rPr>
                <w:rFonts w:cs="Times New Roman"/>
                <w:sz w:val="21"/>
                <w:szCs w:val="21"/>
              </w:rPr>
            </w:pPr>
            <w:r>
              <w:rPr>
                <w:rFonts w:hint="eastAsia" w:cs="Times New Roman"/>
                <w:sz w:val="21"/>
                <w:szCs w:val="21"/>
              </w:rPr>
              <w:t>溧阳市</w:t>
            </w:r>
          </w:p>
        </w:tc>
        <w:tc>
          <w:tcPr>
            <w:tcW w:w="1560" w:type="dxa"/>
            <w:noWrap/>
            <w:vAlign w:val="center"/>
          </w:tcPr>
          <w:p w14:paraId="53A791DA">
            <w:pPr>
              <w:spacing w:line="240" w:lineRule="auto"/>
              <w:ind w:firstLine="0" w:firstLineChars="0"/>
              <w:jc w:val="center"/>
              <w:rPr>
                <w:rFonts w:cs="Times New Roman"/>
                <w:sz w:val="21"/>
                <w:szCs w:val="21"/>
              </w:rPr>
            </w:pPr>
            <w:r>
              <w:rPr>
                <w:rFonts w:hint="eastAsia" w:cs="Times New Roman"/>
                <w:sz w:val="21"/>
                <w:szCs w:val="21"/>
              </w:rPr>
              <w:t>别桥镇</w:t>
            </w:r>
          </w:p>
        </w:tc>
        <w:tc>
          <w:tcPr>
            <w:tcW w:w="2409" w:type="dxa"/>
            <w:noWrap/>
            <w:vAlign w:val="center"/>
          </w:tcPr>
          <w:p w14:paraId="6D60ACFD">
            <w:pPr>
              <w:spacing w:line="240" w:lineRule="auto"/>
              <w:ind w:firstLine="0" w:firstLineChars="0"/>
              <w:jc w:val="center"/>
              <w:rPr>
                <w:rFonts w:cs="Times New Roman"/>
                <w:sz w:val="21"/>
                <w:szCs w:val="21"/>
              </w:rPr>
            </w:pPr>
            <w:r>
              <w:rPr>
                <w:rFonts w:hint="eastAsia" w:cs="Times New Roman"/>
                <w:sz w:val="21"/>
                <w:szCs w:val="21"/>
              </w:rPr>
              <w:t>沟北墩</w:t>
            </w:r>
          </w:p>
        </w:tc>
        <w:tc>
          <w:tcPr>
            <w:tcW w:w="1701" w:type="dxa"/>
            <w:noWrap/>
            <w:vAlign w:val="center"/>
          </w:tcPr>
          <w:p w14:paraId="0CE6DCAF">
            <w:pPr>
              <w:spacing w:line="240" w:lineRule="auto"/>
              <w:ind w:firstLine="0" w:firstLineChars="0"/>
              <w:jc w:val="center"/>
              <w:rPr>
                <w:rFonts w:cs="Times New Roman"/>
                <w:sz w:val="21"/>
                <w:szCs w:val="21"/>
              </w:rPr>
            </w:pPr>
            <w:r>
              <w:rPr>
                <w:rFonts w:hint="eastAsia" w:cs="Times New Roman"/>
                <w:sz w:val="21"/>
                <w:szCs w:val="21"/>
              </w:rPr>
              <w:t>119.41188</w:t>
            </w:r>
          </w:p>
        </w:tc>
        <w:tc>
          <w:tcPr>
            <w:tcW w:w="1690" w:type="dxa"/>
            <w:noWrap/>
            <w:vAlign w:val="center"/>
          </w:tcPr>
          <w:p w14:paraId="77B7090E">
            <w:pPr>
              <w:spacing w:line="240" w:lineRule="auto"/>
              <w:ind w:firstLine="0" w:firstLineChars="0"/>
              <w:jc w:val="center"/>
              <w:rPr>
                <w:rFonts w:cs="Times New Roman"/>
                <w:sz w:val="21"/>
                <w:szCs w:val="21"/>
              </w:rPr>
            </w:pPr>
            <w:r>
              <w:rPr>
                <w:rFonts w:hint="eastAsia" w:cs="Times New Roman"/>
                <w:sz w:val="21"/>
                <w:szCs w:val="21"/>
              </w:rPr>
              <w:t>31.605375</w:t>
            </w:r>
          </w:p>
        </w:tc>
        <w:tc>
          <w:tcPr>
            <w:tcW w:w="1080" w:type="dxa"/>
            <w:noWrap/>
            <w:vAlign w:val="center"/>
          </w:tcPr>
          <w:p w14:paraId="0C5A6CB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AD0D62B">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04FBE12D">
            <w:pPr>
              <w:spacing w:line="240" w:lineRule="auto"/>
              <w:ind w:firstLine="0" w:firstLineChars="0"/>
              <w:jc w:val="center"/>
              <w:rPr>
                <w:rFonts w:cs="Times New Roman"/>
                <w:sz w:val="21"/>
                <w:szCs w:val="21"/>
              </w:rPr>
            </w:pPr>
            <w:r>
              <w:rPr>
                <w:rFonts w:hint="eastAsia" w:cs="Times New Roman"/>
                <w:sz w:val="21"/>
                <w:szCs w:val="21"/>
              </w:rPr>
              <w:t>2173</w:t>
            </w:r>
          </w:p>
        </w:tc>
        <w:tc>
          <w:tcPr>
            <w:tcW w:w="1168" w:type="dxa"/>
            <w:noWrap/>
            <w:vAlign w:val="center"/>
          </w:tcPr>
          <w:p w14:paraId="6B5A92B6">
            <w:pPr>
              <w:spacing w:line="240" w:lineRule="auto"/>
              <w:ind w:firstLine="0" w:firstLineChars="0"/>
              <w:jc w:val="center"/>
              <w:rPr>
                <w:rFonts w:cs="Times New Roman"/>
                <w:sz w:val="21"/>
                <w:szCs w:val="21"/>
              </w:rPr>
            </w:pPr>
            <w:r>
              <w:rPr>
                <w:rFonts w:hint="eastAsia" w:cs="Times New Roman"/>
                <w:sz w:val="21"/>
                <w:szCs w:val="21"/>
              </w:rPr>
              <w:t>约20</w:t>
            </w:r>
          </w:p>
        </w:tc>
      </w:tr>
      <w:tr w14:paraId="24936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9B33E51">
            <w:pPr>
              <w:pStyle w:val="39"/>
              <w:numPr>
                <w:ilvl w:val="0"/>
                <w:numId w:val="7"/>
              </w:numPr>
              <w:spacing w:line="240" w:lineRule="auto"/>
              <w:ind w:firstLineChars="0"/>
              <w:jc w:val="center"/>
              <w:rPr>
                <w:rFonts w:cs="Times New Roman"/>
                <w:sz w:val="21"/>
                <w:szCs w:val="21"/>
              </w:rPr>
            </w:pPr>
          </w:p>
        </w:tc>
        <w:tc>
          <w:tcPr>
            <w:tcW w:w="992" w:type="dxa"/>
            <w:noWrap/>
            <w:vAlign w:val="center"/>
          </w:tcPr>
          <w:p w14:paraId="6A0FA428">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4E0A79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AAE0B25">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310D42ED">
            <w:pPr>
              <w:spacing w:line="240" w:lineRule="auto"/>
              <w:ind w:firstLine="0" w:firstLineChars="0"/>
              <w:jc w:val="center"/>
              <w:rPr>
                <w:rFonts w:cs="Times New Roman"/>
                <w:sz w:val="21"/>
                <w:szCs w:val="21"/>
              </w:rPr>
            </w:pPr>
            <w:r>
              <w:rPr>
                <w:rFonts w:hint="eastAsia" w:cs="Times New Roman"/>
                <w:sz w:val="21"/>
                <w:szCs w:val="21"/>
              </w:rPr>
              <w:t>水西村</w:t>
            </w:r>
          </w:p>
        </w:tc>
        <w:tc>
          <w:tcPr>
            <w:tcW w:w="1701" w:type="dxa"/>
            <w:noWrap/>
            <w:vAlign w:val="center"/>
          </w:tcPr>
          <w:p w14:paraId="3FAD3B6B">
            <w:pPr>
              <w:spacing w:line="240" w:lineRule="auto"/>
              <w:ind w:firstLine="0" w:firstLineChars="0"/>
              <w:jc w:val="center"/>
              <w:rPr>
                <w:rFonts w:cs="Times New Roman"/>
                <w:sz w:val="21"/>
                <w:szCs w:val="21"/>
              </w:rPr>
            </w:pPr>
            <w:r>
              <w:rPr>
                <w:rFonts w:hint="eastAsia" w:cs="Times New Roman"/>
                <w:sz w:val="21"/>
                <w:szCs w:val="21"/>
              </w:rPr>
              <w:t>119.419531</w:t>
            </w:r>
          </w:p>
        </w:tc>
        <w:tc>
          <w:tcPr>
            <w:tcW w:w="1690" w:type="dxa"/>
            <w:noWrap/>
            <w:vAlign w:val="center"/>
          </w:tcPr>
          <w:p w14:paraId="08FABF85">
            <w:pPr>
              <w:spacing w:line="240" w:lineRule="auto"/>
              <w:ind w:firstLine="0" w:firstLineChars="0"/>
              <w:jc w:val="center"/>
              <w:rPr>
                <w:rFonts w:cs="Times New Roman"/>
                <w:sz w:val="21"/>
                <w:szCs w:val="21"/>
              </w:rPr>
            </w:pPr>
            <w:r>
              <w:rPr>
                <w:rFonts w:hint="eastAsia" w:cs="Times New Roman"/>
                <w:sz w:val="21"/>
                <w:szCs w:val="21"/>
              </w:rPr>
              <w:t>31.609503</w:t>
            </w:r>
          </w:p>
        </w:tc>
        <w:tc>
          <w:tcPr>
            <w:tcW w:w="1080" w:type="dxa"/>
            <w:noWrap/>
            <w:vAlign w:val="center"/>
          </w:tcPr>
          <w:p w14:paraId="1988BC1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66D92A8">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30F1003F">
            <w:pPr>
              <w:spacing w:line="240" w:lineRule="auto"/>
              <w:ind w:firstLine="0" w:firstLineChars="0"/>
              <w:jc w:val="center"/>
              <w:rPr>
                <w:rFonts w:cs="Times New Roman"/>
                <w:sz w:val="21"/>
                <w:szCs w:val="21"/>
              </w:rPr>
            </w:pPr>
            <w:r>
              <w:rPr>
                <w:rFonts w:hint="eastAsia" w:cs="Times New Roman"/>
                <w:sz w:val="21"/>
                <w:szCs w:val="21"/>
              </w:rPr>
              <w:t>2046</w:t>
            </w:r>
          </w:p>
        </w:tc>
        <w:tc>
          <w:tcPr>
            <w:tcW w:w="1168" w:type="dxa"/>
            <w:noWrap/>
            <w:vAlign w:val="center"/>
          </w:tcPr>
          <w:p w14:paraId="44843B9A">
            <w:pPr>
              <w:spacing w:line="240" w:lineRule="auto"/>
              <w:ind w:firstLine="0" w:firstLineChars="0"/>
              <w:jc w:val="center"/>
              <w:rPr>
                <w:rFonts w:cs="Times New Roman"/>
                <w:sz w:val="21"/>
                <w:szCs w:val="21"/>
              </w:rPr>
            </w:pPr>
            <w:r>
              <w:rPr>
                <w:rFonts w:hint="eastAsia" w:cs="Times New Roman"/>
                <w:sz w:val="21"/>
                <w:szCs w:val="21"/>
              </w:rPr>
              <w:t>约70</w:t>
            </w:r>
          </w:p>
        </w:tc>
      </w:tr>
      <w:tr w14:paraId="13DC4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622089D">
            <w:pPr>
              <w:pStyle w:val="39"/>
              <w:numPr>
                <w:ilvl w:val="0"/>
                <w:numId w:val="7"/>
              </w:numPr>
              <w:spacing w:line="240" w:lineRule="auto"/>
              <w:ind w:firstLineChars="0"/>
              <w:jc w:val="center"/>
              <w:rPr>
                <w:rFonts w:cs="Times New Roman"/>
                <w:sz w:val="21"/>
                <w:szCs w:val="21"/>
              </w:rPr>
            </w:pPr>
          </w:p>
        </w:tc>
        <w:tc>
          <w:tcPr>
            <w:tcW w:w="992" w:type="dxa"/>
            <w:noWrap/>
            <w:vAlign w:val="center"/>
          </w:tcPr>
          <w:p w14:paraId="2290446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DD133C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11A5B81">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4EA59424">
            <w:pPr>
              <w:spacing w:line="240" w:lineRule="auto"/>
              <w:ind w:firstLine="0" w:firstLineChars="0"/>
              <w:jc w:val="center"/>
              <w:rPr>
                <w:rFonts w:cs="Times New Roman"/>
                <w:sz w:val="21"/>
                <w:szCs w:val="21"/>
              </w:rPr>
            </w:pPr>
            <w:r>
              <w:rPr>
                <w:rFonts w:hint="eastAsia" w:cs="Times New Roman"/>
                <w:sz w:val="21"/>
                <w:szCs w:val="21"/>
              </w:rPr>
              <w:t>大坟村</w:t>
            </w:r>
          </w:p>
        </w:tc>
        <w:tc>
          <w:tcPr>
            <w:tcW w:w="1701" w:type="dxa"/>
            <w:noWrap/>
            <w:vAlign w:val="center"/>
          </w:tcPr>
          <w:p w14:paraId="75CDE582">
            <w:pPr>
              <w:spacing w:line="240" w:lineRule="auto"/>
              <w:ind w:firstLine="0" w:firstLineChars="0"/>
              <w:jc w:val="center"/>
              <w:rPr>
                <w:rFonts w:cs="Times New Roman"/>
                <w:sz w:val="21"/>
                <w:szCs w:val="21"/>
              </w:rPr>
            </w:pPr>
            <w:r>
              <w:rPr>
                <w:rFonts w:hint="eastAsia" w:cs="Times New Roman"/>
                <w:sz w:val="21"/>
                <w:szCs w:val="21"/>
              </w:rPr>
              <w:t>119.425523</w:t>
            </w:r>
          </w:p>
        </w:tc>
        <w:tc>
          <w:tcPr>
            <w:tcW w:w="1690" w:type="dxa"/>
            <w:noWrap/>
            <w:vAlign w:val="center"/>
          </w:tcPr>
          <w:p w14:paraId="5198DA32">
            <w:pPr>
              <w:spacing w:line="240" w:lineRule="auto"/>
              <w:ind w:firstLine="0" w:firstLineChars="0"/>
              <w:jc w:val="center"/>
              <w:rPr>
                <w:rFonts w:cs="Times New Roman"/>
                <w:sz w:val="21"/>
                <w:szCs w:val="21"/>
              </w:rPr>
            </w:pPr>
            <w:r>
              <w:rPr>
                <w:rFonts w:hint="eastAsia" w:cs="Times New Roman"/>
                <w:sz w:val="21"/>
                <w:szCs w:val="21"/>
              </w:rPr>
              <w:t>31.616456</w:t>
            </w:r>
          </w:p>
        </w:tc>
        <w:tc>
          <w:tcPr>
            <w:tcW w:w="1080" w:type="dxa"/>
            <w:noWrap/>
            <w:vAlign w:val="center"/>
          </w:tcPr>
          <w:p w14:paraId="5C7C9EA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C64FF8F">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5FFCBD5B">
            <w:pPr>
              <w:spacing w:line="240" w:lineRule="auto"/>
              <w:ind w:firstLine="0" w:firstLineChars="0"/>
              <w:jc w:val="center"/>
              <w:rPr>
                <w:rFonts w:cs="Times New Roman"/>
                <w:sz w:val="21"/>
                <w:szCs w:val="21"/>
              </w:rPr>
            </w:pPr>
            <w:r>
              <w:rPr>
                <w:rFonts w:hint="eastAsia" w:cs="Times New Roman"/>
                <w:sz w:val="21"/>
                <w:szCs w:val="21"/>
              </w:rPr>
              <w:t>1990</w:t>
            </w:r>
          </w:p>
        </w:tc>
        <w:tc>
          <w:tcPr>
            <w:tcW w:w="1168" w:type="dxa"/>
            <w:noWrap/>
            <w:vAlign w:val="center"/>
          </w:tcPr>
          <w:p w14:paraId="25C95487">
            <w:pPr>
              <w:spacing w:line="240" w:lineRule="auto"/>
              <w:ind w:firstLine="0" w:firstLineChars="0"/>
              <w:jc w:val="center"/>
              <w:rPr>
                <w:rFonts w:cs="Times New Roman"/>
                <w:sz w:val="21"/>
                <w:szCs w:val="21"/>
              </w:rPr>
            </w:pPr>
            <w:r>
              <w:rPr>
                <w:rFonts w:hint="eastAsia" w:cs="Times New Roman"/>
                <w:sz w:val="21"/>
                <w:szCs w:val="21"/>
              </w:rPr>
              <w:t>约30</w:t>
            </w:r>
          </w:p>
        </w:tc>
      </w:tr>
      <w:tr w14:paraId="7DB31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A06887D">
            <w:pPr>
              <w:pStyle w:val="39"/>
              <w:numPr>
                <w:ilvl w:val="0"/>
                <w:numId w:val="7"/>
              </w:numPr>
              <w:spacing w:line="240" w:lineRule="auto"/>
              <w:ind w:firstLineChars="0"/>
              <w:jc w:val="center"/>
              <w:rPr>
                <w:rFonts w:cs="Times New Roman"/>
                <w:sz w:val="21"/>
                <w:szCs w:val="21"/>
              </w:rPr>
            </w:pPr>
          </w:p>
        </w:tc>
        <w:tc>
          <w:tcPr>
            <w:tcW w:w="992" w:type="dxa"/>
            <w:noWrap/>
            <w:vAlign w:val="center"/>
          </w:tcPr>
          <w:p w14:paraId="202263F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CF7167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2E284D7">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0A4F0E21">
            <w:pPr>
              <w:spacing w:line="240" w:lineRule="auto"/>
              <w:ind w:firstLine="0" w:firstLineChars="0"/>
              <w:jc w:val="center"/>
              <w:rPr>
                <w:rFonts w:cs="Times New Roman"/>
                <w:sz w:val="21"/>
                <w:szCs w:val="21"/>
              </w:rPr>
            </w:pPr>
            <w:r>
              <w:rPr>
                <w:rFonts w:hint="eastAsia" w:cs="Times New Roman"/>
                <w:sz w:val="21"/>
                <w:szCs w:val="21"/>
              </w:rPr>
              <w:t>东干</w:t>
            </w:r>
          </w:p>
        </w:tc>
        <w:tc>
          <w:tcPr>
            <w:tcW w:w="1701" w:type="dxa"/>
            <w:noWrap/>
            <w:vAlign w:val="center"/>
          </w:tcPr>
          <w:p w14:paraId="601B6D7F">
            <w:pPr>
              <w:spacing w:line="240" w:lineRule="auto"/>
              <w:ind w:firstLine="0" w:firstLineChars="0"/>
              <w:jc w:val="center"/>
              <w:rPr>
                <w:rFonts w:cs="Times New Roman"/>
                <w:sz w:val="21"/>
                <w:szCs w:val="21"/>
              </w:rPr>
            </w:pPr>
            <w:r>
              <w:rPr>
                <w:rFonts w:hint="eastAsia" w:cs="Times New Roman"/>
                <w:sz w:val="21"/>
                <w:szCs w:val="21"/>
              </w:rPr>
              <w:t>119.417993</w:t>
            </w:r>
          </w:p>
        </w:tc>
        <w:tc>
          <w:tcPr>
            <w:tcW w:w="1690" w:type="dxa"/>
            <w:noWrap/>
            <w:vAlign w:val="center"/>
          </w:tcPr>
          <w:p w14:paraId="5C949782">
            <w:pPr>
              <w:spacing w:line="240" w:lineRule="auto"/>
              <w:ind w:firstLine="0" w:firstLineChars="0"/>
              <w:jc w:val="center"/>
              <w:rPr>
                <w:rFonts w:cs="Times New Roman"/>
                <w:sz w:val="21"/>
                <w:szCs w:val="21"/>
              </w:rPr>
            </w:pPr>
            <w:r>
              <w:rPr>
                <w:rFonts w:hint="eastAsia" w:cs="Times New Roman"/>
                <w:sz w:val="21"/>
                <w:szCs w:val="21"/>
              </w:rPr>
              <w:t>31.615849</w:t>
            </w:r>
          </w:p>
        </w:tc>
        <w:tc>
          <w:tcPr>
            <w:tcW w:w="1080" w:type="dxa"/>
            <w:noWrap/>
            <w:vAlign w:val="center"/>
          </w:tcPr>
          <w:p w14:paraId="10BBD99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F97D62B">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5613394F">
            <w:pPr>
              <w:spacing w:line="240" w:lineRule="auto"/>
              <w:ind w:firstLine="0" w:firstLineChars="0"/>
              <w:jc w:val="center"/>
              <w:rPr>
                <w:rFonts w:cs="Times New Roman"/>
                <w:sz w:val="21"/>
                <w:szCs w:val="21"/>
              </w:rPr>
            </w:pPr>
            <w:r>
              <w:rPr>
                <w:rFonts w:hint="eastAsia" w:cs="Times New Roman"/>
                <w:sz w:val="21"/>
                <w:szCs w:val="21"/>
              </w:rPr>
              <w:t>1437</w:t>
            </w:r>
          </w:p>
        </w:tc>
        <w:tc>
          <w:tcPr>
            <w:tcW w:w="1168" w:type="dxa"/>
            <w:noWrap/>
            <w:vAlign w:val="center"/>
          </w:tcPr>
          <w:p w14:paraId="5C913880">
            <w:pPr>
              <w:spacing w:line="240" w:lineRule="auto"/>
              <w:ind w:firstLine="0" w:firstLineChars="0"/>
              <w:jc w:val="center"/>
              <w:rPr>
                <w:rFonts w:cs="Times New Roman"/>
                <w:sz w:val="21"/>
                <w:szCs w:val="21"/>
              </w:rPr>
            </w:pPr>
            <w:r>
              <w:rPr>
                <w:rFonts w:hint="eastAsia" w:cs="Times New Roman"/>
                <w:sz w:val="21"/>
                <w:szCs w:val="21"/>
              </w:rPr>
              <w:t>约20</w:t>
            </w:r>
          </w:p>
        </w:tc>
      </w:tr>
      <w:tr w14:paraId="2F949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A5C363E">
            <w:pPr>
              <w:pStyle w:val="39"/>
              <w:numPr>
                <w:ilvl w:val="0"/>
                <w:numId w:val="7"/>
              </w:numPr>
              <w:spacing w:line="240" w:lineRule="auto"/>
              <w:ind w:firstLineChars="0"/>
              <w:jc w:val="center"/>
              <w:rPr>
                <w:rFonts w:cs="Times New Roman"/>
                <w:sz w:val="21"/>
                <w:szCs w:val="21"/>
              </w:rPr>
            </w:pPr>
          </w:p>
        </w:tc>
        <w:tc>
          <w:tcPr>
            <w:tcW w:w="992" w:type="dxa"/>
            <w:noWrap/>
            <w:vAlign w:val="center"/>
          </w:tcPr>
          <w:p w14:paraId="4A74A57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2ACED0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002A904">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127A562D">
            <w:pPr>
              <w:spacing w:line="240" w:lineRule="auto"/>
              <w:ind w:firstLine="0" w:firstLineChars="0"/>
              <w:jc w:val="center"/>
              <w:rPr>
                <w:rFonts w:cs="Times New Roman"/>
                <w:sz w:val="21"/>
                <w:szCs w:val="21"/>
              </w:rPr>
            </w:pPr>
            <w:r>
              <w:rPr>
                <w:rFonts w:hint="eastAsia" w:cs="Times New Roman"/>
                <w:sz w:val="21"/>
                <w:szCs w:val="21"/>
              </w:rPr>
              <w:t>东周</w:t>
            </w:r>
          </w:p>
        </w:tc>
        <w:tc>
          <w:tcPr>
            <w:tcW w:w="1701" w:type="dxa"/>
            <w:noWrap/>
            <w:vAlign w:val="center"/>
          </w:tcPr>
          <w:p w14:paraId="73E48109">
            <w:pPr>
              <w:spacing w:line="240" w:lineRule="auto"/>
              <w:ind w:firstLine="0" w:firstLineChars="0"/>
              <w:jc w:val="center"/>
              <w:rPr>
                <w:rFonts w:cs="Times New Roman"/>
                <w:sz w:val="21"/>
                <w:szCs w:val="21"/>
              </w:rPr>
            </w:pPr>
            <w:r>
              <w:rPr>
                <w:rFonts w:hint="eastAsia" w:cs="Times New Roman"/>
                <w:sz w:val="21"/>
                <w:szCs w:val="21"/>
              </w:rPr>
              <w:t>119.432223</w:t>
            </w:r>
          </w:p>
        </w:tc>
        <w:tc>
          <w:tcPr>
            <w:tcW w:w="1690" w:type="dxa"/>
            <w:noWrap/>
            <w:vAlign w:val="center"/>
          </w:tcPr>
          <w:p w14:paraId="0515D653">
            <w:pPr>
              <w:spacing w:line="240" w:lineRule="auto"/>
              <w:ind w:firstLine="0" w:firstLineChars="0"/>
              <w:jc w:val="center"/>
              <w:rPr>
                <w:rFonts w:cs="Times New Roman"/>
                <w:sz w:val="21"/>
                <w:szCs w:val="21"/>
              </w:rPr>
            </w:pPr>
            <w:r>
              <w:rPr>
                <w:rFonts w:hint="eastAsia" w:cs="Times New Roman"/>
                <w:sz w:val="21"/>
                <w:szCs w:val="21"/>
              </w:rPr>
              <w:t>31.62211</w:t>
            </w:r>
          </w:p>
        </w:tc>
        <w:tc>
          <w:tcPr>
            <w:tcW w:w="1080" w:type="dxa"/>
            <w:noWrap/>
            <w:vAlign w:val="center"/>
          </w:tcPr>
          <w:p w14:paraId="79AE773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F9B5681">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3BB9E1B0">
            <w:pPr>
              <w:spacing w:line="240" w:lineRule="auto"/>
              <w:ind w:firstLine="0" w:firstLineChars="0"/>
              <w:jc w:val="center"/>
              <w:rPr>
                <w:rFonts w:cs="Times New Roman"/>
                <w:sz w:val="21"/>
                <w:szCs w:val="21"/>
              </w:rPr>
            </w:pPr>
            <w:r>
              <w:rPr>
                <w:rFonts w:hint="eastAsia" w:cs="Times New Roman"/>
                <w:sz w:val="21"/>
                <w:szCs w:val="21"/>
              </w:rPr>
              <w:t>2107</w:t>
            </w:r>
          </w:p>
        </w:tc>
        <w:tc>
          <w:tcPr>
            <w:tcW w:w="1168" w:type="dxa"/>
            <w:noWrap/>
            <w:vAlign w:val="center"/>
          </w:tcPr>
          <w:p w14:paraId="70617901">
            <w:pPr>
              <w:spacing w:line="240" w:lineRule="auto"/>
              <w:ind w:firstLine="0" w:firstLineChars="0"/>
              <w:jc w:val="center"/>
              <w:rPr>
                <w:rFonts w:cs="Times New Roman"/>
                <w:sz w:val="21"/>
                <w:szCs w:val="21"/>
              </w:rPr>
            </w:pPr>
            <w:r>
              <w:rPr>
                <w:rFonts w:hint="eastAsia" w:cs="Times New Roman"/>
                <w:sz w:val="21"/>
                <w:szCs w:val="21"/>
              </w:rPr>
              <w:t>约150</w:t>
            </w:r>
          </w:p>
        </w:tc>
      </w:tr>
      <w:tr w14:paraId="2F8C1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23FE776">
            <w:pPr>
              <w:pStyle w:val="39"/>
              <w:numPr>
                <w:ilvl w:val="0"/>
                <w:numId w:val="7"/>
              </w:numPr>
              <w:spacing w:line="240" w:lineRule="auto"/>
              <w:ind w:firstLineChars="0"/>
              <w:jc w:val="center"/>
              <w:rPr>
                <w:rFonts w:cs="Times New Roman"/>
                <w:sz w:val="21"/>
                <w:szCs w:val="21"/>
              </w:rPr>
            </w:pPr>
          </w:p>
        </w:tc>
        <w:tc>
          <w:tcPr>
            <w:tcW w:w="992" w:type="dxa"/>
            <w:noWrap/>
            <w:vAlign w:val="center"/>
          </w:tcPr>
          <w:p w14:paraId="661C183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8DA586F">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729069F">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236D3A40">
            <w:pPr>
              <w:spacing w:line="240" w:lineRule="auto"/>
              <w:ind w:firstLine="0" w:firstLineChars="0"/>
              <w:jc w:val="center"/>
              <w:rPr>
                <w:rFonts w:cs="Times New Roman"/>
                <w:sz w:val="21"/>
                <w:szCs w:val="21"/>
              </w:rPr>
            </w:pPr>
            <w:r>
              <w:rPr>
                <w:rFonts w:hint="eastAsia" w:cs="Times New Roman"/>
                <w:sz w:val="21"/>
                <w:szCs w:val="21"/>
              </w:rPr>
              <w:t>董家棚</w:t>
            </w:r>
          </w:p>
        </w:tc>
        <w:tc>
          <w:tcPr>
            <w:tcW w:w="1701" w:type="dxa"/>
            <w:noWrap/>
            <w:vAlign w:val="center"/>
          </w:tcPr>
          <w:p w14:paraId="2BD07415">
            <w:pPr>
              <w:spacing w:line="240" w:lineRule="auto"/>
              <w:ind w:firstLine="0" w:firstLineChars="0"/>
              <w:jc w:val="center"/>
              <w:rPr>
                <w:rFonts w:cs="Times New Roman"/>
                <w:sz w:val="21"/>
                <w:szCs w:val="21"/>
              </w:rPr>
            </w:pPr>
            <w:r>
              <w:rPr>
                <w:rFonts w:hint="eastAsia" w:cs="Times New Roman"/>
                <w:sz w:val="21"/>
                <w:szCs w:val="21"/>
              </w:rPr>
              <w:t>119.435091</w:t>
            </w:r>
          </w:p>
        </w:tc>
        <w:tc>
          <w:tcPr>
            <w:tcW w:w="1690" w:type="dxa"/>
            <w:noWrap/>
            <w:vAlign w:val="center"/>
          </w:tcPr>
          <w:p w14:paraId="56237622">
            <w:pPr>
              <w:spacing w:line="240" w:lineRule="auto"/>
              <w:ind w:firstLine="0" w:firstLineChars="0"/>
              <w:jc w:val="center"/>
              <w:rPr>
                <w:rFonts w:cs="Times New Roman"/>
                <w:sz w:val="21"/>
                <w:szCs w:val="21"/>
              </w:rPr>
            </w:pPr>
            <w:r>
              <w:rPr>
                <w:rFonts w:hint="eastAsia" w:cs="Times New Roman"/>
                <w:sz w:val="21"/>
                <w:szCs w:val="21"/>
              </w:rPr>
              <w:t>31.629757</w:t>
            </w:r>
          </w:p>
        </w:tc>
        <w:tc>
          <w:tcPr>
            <w:tcW w:w="1080" w:type="dxa"/>
            <w:noWrap/>
            <w:vAlign w:val="center"/>
          </w:tcPr>
          <w:p w14:paraId="624216B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AE8B900">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7FDD6459">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424D948E">
            <w:pPr>
              <w:spacing w:line="240" w:lineRule="auto"/>
              <w:ind w:firstLine="0" w:firstLineChars="0"/>
              <w:jc w:val="center"/>
              <w:rPr>
                <w:rFonts w:cs="Times New Roman"/>
                <w:sz w:val="21"/>
                <w:szCs w:val="21"/>
              </w:rPr>
            </w:pPr>
            <w:r>
              <w:rPr>
                <w:rFonts w:hint="eastAsia" w:cs="Times New Roman"/>
                <w:sz w:val="21"/>
                <w:szCs w:val="21"/>
              </w:rPr>
              <w:t>约80</w:t>
            </w:r>
          </w:p>
        </w:tc>
      </w:tr>
      <w:tr w14:paraId="6DF67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3B6A52D">
            <w:pPr>
              <w:pStyle w:val="39"/>
              <w:numPr>
                <w:ilvl w:val="0"/>
                <w:numId w:val="7"/>
              </w:numPr>
              <w:spacing w:line="240" w:lineRule="auto"/>
              <w:ind w:firstLineChars="0"/>
              <w:jc w:val="center"/>
              <w:rPr>
                <w:rFonts w:cs="Times New Roman"/>
                <w:sz w:val="21"/>
                <w:szCs w:val="21"/>
              </w:rPr>
            </w:pPr>
          </w:p>
        </w:tc>
        <w:tc>
          <w:tcPr>
            <w:tcW w:w="992" w:type="dxa"/>
            <w:noWrap/>
            <w:vAlign w:val="center"/>
          </w:tcPr>
          <w:p w14:paraId="17C941F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9BB58E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51C6622">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7B090044">
            <w:pPr>
              <w:spacing w:line="240" w:lineRule="auto"/>
              <w:ind w:firstLine="0" w:firstLineChars="0"/>
              <w:jc w:val="center"/>
              <w:rPr>
                <w:rFonts w:cs="Times New Roman"/>
                <w:sz w:val="21"/>
                <w:szCs w:val="21"/>
              </w:rPr>
            </w:pPr>
            <w:r>
              <w:rPr>
                <w:rFonts w:hint="eastAsia" w:cs="Times New Roman"/>
                <w:sz w:val="21"/>
                <w:szCs w:val="21"/>
              </w:rPr>
              <w:t>青龙圩</w:t>
            </w:r>
          </w:p>
        </w:tc>
        <w:tc>
          <w:tcPr>
            <w:tcW w:w="1701" w:type="dxa"/>
            <w:noWrap/>
            <w:vAlign w:val="center"/>
          </w:tcPr>
          <w:p w14:paraId="55E3F18B">
            <w:pPr>
              <w:spacing w:line="240" w:lineRule="auto"/>
              <w:ind w:firstLine="0" w:firstLineChars="0"/>
              <w:jc w:val="center"/>
              <w:rPr>
                <w:rFonts w:cs="Times New Roman"/>
                <w:sz w:val="21"/>
                <w:szCs w:val="21"/>
              </w:rPr>
            </w:pPr>
            <w:r>
              <w:rPr>
                <w:rFonts w:hint="eastAsia" w:cs="Times New Roman"/>
                <w:sz w:val="21"/>
                <w:szCs w:val="21"/>
              </w:rPr>
              <w:t>119.430532</w:t>
            </w:r>
          </w:p>
        </w:tc>
        <w:tc>
          <w:tcPr>
            <w:tcW w:w="1690" w:type="dxa"/>
            <w:noWrap/>
            <w:vAlign w:val="center"/>
          </w:tcPr>
          <w:p w14:paraId="504F3457">
            <w:pPr>
              <w:spacing w:line="240" w:lineRule="auto"/>
              <w:ind w:firstLine="0" w:firstLineChars="0"/>
              <w:jc w:val="center"/>
              <w:rPr>
                <w:rFonts w:cs="Times New Roman"/>
                <w:sz w:val="21"/>
                <w:szCs w:val="21"/>
              </w:rPr>
            </w:pPr>
            <w:r>
              <w:rPr>
                <w:rFonts w:hint="eastAsia" w:cs="Times New Roman"/>
                <w:sz w:val="21"/>
                <w:szCs w:val="21"/>
              </w:rPr>
              <w:t>31.63693</w:t>
            </w:r>
          </w:p>
        </w:tc>
        <w:tc>
          <w:tcPr>
            <w:tcW w:w="1080" w:type="dxa"/>
            <w:noWrap/>
            <w:vAlign w:val="center"/>
          </w:tcPr>
          <w:p w14:paraId="02B44E2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F244136">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430108E7">
            <w:pPr>
              <w:spacing w:line="240" w:lineRule="auto"/>
              <w:ind w:firstLine="0" w:firstLineChars="0"/>
              <w:jc w:val="center"/>
              <w:rPr>
                <w:rFonts w:cs="Times New Roman"/>
                <w:sz w:val="21"/>
                <w:szCs w:val="21"/>
              </w:rPr>
            </w:pPr>
            <w:r>
              <w:rPr>
                <w:rFonts w:hint="eastAsia" w:cs="Times New Roman"/>
                <w:sz w:val="21"/>
                <w:szCs w:val="21"/>
              </w:rPr>
              <w:t>1489</w:t>
            </w:r>
          </w:p>
        </w:tc>
        <w:tc>
          <w:tcPr>
            <w:tcW w:w="1168" w:type="dxa"/>
            <w:noWrap/>
            <w:vAlign w:val="center"/>
          </w:tcPr>
          <w:p w14:paraId="3A956EC0">
            <w:pPr>
              <w:spacing w:line="240" w:lineRule="auto"/>
              <w:ind w:firstLine="0" w:firstLineChars="0"/>
              <w:jc w:val="center"/>
              <w:rPr>
                <w:rFonts w:cs="Times New Roman"/>
                <w:sz w:val="21"/>
                <w:szCs w:val="21"/>
              </w:rPr>
            </w:pPr>
            <w:r>
              <w:rPr>
                <w:rFonts w:hint="eastAsia" w:cs="Times New Roman"/>
                <w:sz w:val="21"/>
                <w:szCs w:val="21"/>
              </w:rPr>
              <w:t>约30</w:t>
            </w:r>
          </w:p>
        </w:tc>
      </w:tr>
      <w:tr w14:paraId="7E316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2F1D826">
            <w:pPr>
              <w:pStyle w:val="39"/>
              <w:numPr>
                <w:ilvl w:val="0"/>
                <w:numId w:val="7"/>
              </w:numPr>
              <w:spacing w:line="240" w:lineRule="auto"/>
              <w:ind w:firstLineChars="0"/>
              <w:jc w:val="center"/>
              <w:rPr>
                <w:rFonts w:cs="Times New Roman"/>
                <w:sz w:val="21"/>
                <w:szCs w:val="21"/>
              </w:rPr>
            </w:pPr>
          </w:p>
        </w:tc>
        <w:tc>
          <w:tcPr>
            <w:tcW w:w="992" w:type="dxa"/>
            <w:noWrap/>
            <w:vAlign w:val="center"/>
          </w:tcPr>
          <w:p w14:paraId="25D6712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613D1A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52382DE">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2F2AB4C4">
            <w:pPr>
              <w:spacing w:line="240" w:lineRule="auto"/>
              <w:ind w:firstLine="0" w:firstLineChars="0"/>
              <w:jc w:val="center"/>
              <w:rPr>
                <w:rFonts w:cs="Times New Roman"/>
                <w:sz w:val="21"/>
                <w:szCs w:val="21"/>
              </w:rPr>
            </w:pPr>
            <w:r>
              <w:rPr>
                <w:rFonts w:hint="eastAsia" w:cs="Times New Roman"/>
                <w:sz w:val="21"/>
                <w:szCs w:val="21"/>
              </w:rPr>
              <w:t>会官村</w:t>
            </w:r>
          </w:p>
        </w:tc>
        <w:tc>
          <w:tcPr>
            <w:tcW w:w="1701" w:type="dxa"/>
            <w:noWrap/>
            <w:vAlign w:val="center"/>
          </w:tcPr>
          <w:p w14:paraId="306CED8D">
            <w:pPr>
              <w:spacing w:line="240" w:lineRule="auto"/>
              <w:ind w:firstLine="0" w:firstLineChars="0"/>
              <w:jc w:val="center"/>
              <w:rPr>
                <w:rFonts w:cs="Times New Roman"/>
                <w:sz w:val="21"/>
                <w:szCs w:val="21"/>
              </w:rPr>
            </w:pPr>
            <w:r>
              <w:rPr>
                <w:rFonts w:hint="eastAsia" w:cs="Times New Roman"/>
                <w:sz w:val="21"/>
                <w:szCs w:val="21"/>
              </w:rPr>
              <w:t>119.437</w:t>
            </w:r>
          </w:p>
        </w:tc>
        <w:tc>
          <w:tcPr>
            <w:tcW w:w="1690" w:type="dxa"/>
            <w:noWrap/>
            <w:vAlign w:val="center"/>
          </w:tcPr>
          <w:p w14:paraId="7DF6FF8D">
            <w:pPr>
              <w:spacing w:line="240" w:lineRule="auto"/>
              <w:ind w:firstLine="0" w:firstLineChars="0"/>
              <w:jc w:val="center"/>
              <w:rPr>
                <w:rFonts w:cs="Times New Roman"/>
                <w:sz w:val="21"/>
                <w:szCs w:val="21"/>
              </w:rPr>
            </w:pPr>
            <w:r>
              <w:rPr>
                <w:rFonts w:hint="eastAsia" w:cs="Times New Roman"/>
                <w:sz w:val="21"/>
                <w:szCs w:val="21"/>
              </w:rPr>
              <w:t>31.638394</w:t>
            </w:r>
          </w:p>
        </w:tc>
        <w:tc>
          <w:tcPr>
            <w:tcW w:w="1080" w:type="dxa"/>
            <w:noWrap/>
            <w:vAlign w:val="center"/>
          </w:tcPr>
          <w:p w14:paraId="754CE0C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7B68B25">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71ADE518">
            <w:pPr>
              <w:spacing w:line="240" w:lineRule="auto"/>
              <w:ind w:firstLine="0" w:firstLineChars="0"/>
              <w:jc w:val="center"/>
              <w:rPr>
                <w:rFonts w:cs="Times New Roman"/>
                <w:sz w:val="21"/>
                <w:szCs w:val="21"/>
              </w:rPr>
            </w:pPr>
            <w:r>
              <w:rPr>
                <w:rFonts w:hint="eastAsia" w:cs="Times New Roman"/>
                <w:sz w:val="21"/>
                <w:szCs w:val="21"/>
              </w:rPr>
              <w:t>2000</w:t>
            </w:r>
          </w:p>
        </w:tc>
        <w:tc>
          <w:tcPr>
            <w:tcW w:w="1168" w:type="dxa"/>
            <w:noWrap/>
            <w:vAlign w:val="center"/>
          </w:tcPr>
          <w:p w14:paraId="29FE5526">
            <w:pPr>
              <w:spacing w:line="240" w:lineRule="auto"/>
              <w:ind w:firstLine="0" w:firstLineChars="0"/>
              <w:jc w:val="center"/>
              <w:rPr>
                <w:rFonts w:cs="Times New Roman"/>
                <w:sz w:val="21"/>
                <w:szCs w:val="21"/>
              </w:rPr>
            </w:pPr>
            <w:r>
              <w:rPr>
                <w:rFonts w:hint="eastAsia" w:cs="Times New Roman"/>
                <w:sz w:val="21"/>
                <w:szCs w:val="21"/>
              </w:rPr>
              <w:t>约30</w:t>
            </w:r>
          </w:p>
        </w:tc>
      </w:tr>
      <w:tr w14:paraId="7372A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3468968">
            <w:pPr>
              <w:pStyle w:val="39"/>
              <w:numPr>
                <w:ilvl w:val="0"/>
                <w:numId w:val="7"/>
              </w:numPr>
              <w:spacing w:line="240" w:lineRule="auto"/>
              <w:ind w:firstLineChars="0"/>
              <w:jc w:val="center"/>
              <w:rPr>
                <w:rFonts w:cs="Times New Roman"/>
                <w:sz w:val="21"/>
                <w:szCs w:val="21"/>
              </w:rPr>
            </w:pPr>
          </w:p>
        </w:tc>
        <w:tc>
          <w:tcPr>
            <w:tcW w:w="992" w:type="dxa"/>
            <w:noWrap/>
            <w:vAlign w:val="center"/>
          </w:tcPr>
          <w:p w14:paraId="21C23C2C">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BC78CB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CF73C5B">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3B52DB39">
            <w:pPr>
              <w:spacing w:line="240" w:lineRule="auto"/>
              <w:ind w:firstLine="0" w:firstLineChars="0"/>
              <w:jc w:val="center"/>
              <w:rPr>
                <w:rFonts w:cs="Times New Roman"/>
                <w:sz w:val="21"/>
                <w:szCs w:val="21"/>
              </w:rPr>
            </w:pPr>
            <w:r>
              <w:rPr>
                <w:rFonts w:hint="eastAsia" w:cs="Times New Roman"/>
                <w:sz w:val="21"/>
                <w:szCs w:val="21"/>
              </w:rPr>
              <w:t>印桥村</w:t>
            </w:r>
          </w:p>
        </w:tc>
        <w:tc>
          <w:tcPr>
            <w:tcW w:w="1701" w:type="dxa"/>
            <w:noWrap/>
            <w:vAlign w:val="center"/>
          </w:tcPr>
          <w:p w14:paraId="303AE9DE">
            <w:pPr>
              <w:spacing w:line="240" w:lineRule="auto"/>
              <w:ind w:firstLine="0" w:firstLineChars="0"/>
              <w:jc w:val="center"/>
              <w:rPr>
                <w:rFonts w:cs="Times New Roman"/>
                <w:sz w:val="21"/>
                <w:szCs w:val="21"/>
              </w:rPr>
            </w:pPr>
            <w:r>
              <w:rPr>
                <w:rFonts w:hint="eastAsia" w:cs="Times New Roman"/>
                <w:sz w:val="21"/>
                <w:szCs w:val="21"/>
              </w:rPr>
              <w:t>119.436107</w:t>
            </w:r>
          </w:p>
        </w:tc>
        <w:tc>
          <w:tcPr>
            <w:tcW w:w="1690" w:type="dxa"/>
            <w:noWrap/>
            <w:vAlign w:val="center"/>
          </w:tcPr>
          <w:p w14:paraId="0163C3A1">
            <w:pPr>
              <w:spacing w:line="240" w:lineRule="auto"/>
              <w:ind w:firstLine="0" w:firstLineChars="0"/>
              <w:jc w:val="center"/>
              <w:rPr>
                <w:rFonts w:cs="Times New Roman"/>
                <w:sz w:val="21"/>
                <w:szCs w:val="21"/>
              </w:rPr>
            </w:pPr>
            <w:r>
              <w:rPr>
                <w:rFonts w:hint="eastAsia" w:cs="Times New Roman"/>
                <w:sz w:val="21"/>
                <w:szCs w:val="21"/>
              </w:rPr>
              <w:t>31.641621</w:t>
            </w:r>
          </w:p>
        </w:tc>
        <w:tc>
          <w:tcPr>
            <w:tcW w:w="1080" w:type="dxa"/>
            <w:noWrap/>
            <w:vAlign w:val="center"/>
          </w:tcPr>
          <w:p w14:paraId="1F9515B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D5DEBAD">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05B101FC">
            <w:pPr>
              <w:spacing w:line="240" w:lineRule="auto"/>
              <w:ind w:firstLine="0" w:firstLineChars="0"/>
              <w:jc w:val="center"/>
              <w:rPr>
                <w:rFonts w:cs="Times New Roman"/>
                <w:sz w:val="21"/>
                <w:szCs w:val="21"/>
              </w:rPr>
            </w:pPr>
            <w:r>
              <w:rPr>
                <w:rFonts w:hint="eastAsia" w:cs="Times New Roman"/>
                <w:sz w:val="21"/>
                <w:szCs w:val="21"/>
              </w:rPr>
              <w:t>2099</w:t>
            </w:r>
          </w:p>
        </w:tc>
        <w:tc>
          <w:tcPr>
            <w:tcW w:w="1168" w:type="dxa"/>
            <w:noWrap/>
            <w:vAlign w:val="center"/>
          </w:tcPr>
          <w:p w14:paraId="37B90B9F">
            <w:pPr>
              <w:spacing w:line="240" w:lineRule="auto"/>
              <w:ind w:firstLine="0" w:firstLineChars="0"/>
              <w:jc w:val="center"/>
              <w:rPr>
                <w:rFonts w:cs="Times New Roman"/>
                <w:sz w:val="21"/>
                <w:szCs w:val="21"/>
              </w:rPr>
            </w:pPr>
            <w:r>
              <w:rPr>
                <w:rFonts w:hint="eastAsia" w:cs="Times New Roman"/>
                <w:sz w:val="21"/>
                <w:szCs w:val="21"/>
              </w:rPr>
              <w:t>约50</w:t>
            </w:r>
          </w:p>
        </w:tc>
      </w:tr>
      <w:tr w14:paraId="219C2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F8F4AFE">
            <w:pPr>
              <w:pStyle w:val="39"/>
              <w:numPr>
                <w:ilvl w:val="0"/>
                <w:numId w:val="7"/>
              </w:numPr>
              <w:spacing w:line="240" w:lineRule="auto"/>
              <w:ind w:firstLineChars="0"/>
              <w:jc w:val="center"/>
              <w:rPr>
                <w:rFonts w:cs="Times New Roman"/>
                <w:sz w:val="21"/>
                <w:szCs w:val="21"/>
              </w:rPr>
            </w:pPr>
          </w:p>
        </w:tc>
        <w:tc>
          <w:tcPr>
            <w:tcW w:w="992" w:type="dxa"/>
            <w:noWrap/>
            <w:vAlign w:val="center"/>
          </w:tcPr>
          <w:p w14:paraId="1019039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D016FC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4CCEC7B">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00CE6FC5">
            <w:pPr>
              <w:spacing w:line="240" w:lineRule="auto"/>
              <w:ind w:firstLine="0" w:firstLineChars="0"/>
              <w:jc w:val="center"/>
              <w:rPr>
                <w:rFonts w:cs="Times New Roman"/>
                <w:sz w:val="21"/>
                <w:szCs w:val="21"/>
              </w:rPr>
            </w:pPr>
            <w:r>
              <w:rPr>
                <w:rFonts w:hint="eastAsia" w:cs="Times New Roman"/>
                <w:sz w:val="21"/>
                <w:szCs w:val="21"/>
              </w:rPr>
              <w:t>李家棚</w:t>
            </w:r>
          </w:p>
        </w:tc>
        <w:tc>
          <w:tcPr>
            <w:tcW w:w="1701" w:type="dxa"/>
            <w:noWrap/>
            <w:vAlign w:val="center"/>
          </w:tcPr>
          <w:p w14:paraId="5DFF347B">
            <w:pPr>
              <w:spacing w:line="240" w:lineRule="auto"/>
              <w:ind w:firstLine="0" w:firstLineChars="0"/>
              <w:jc w:val="center"/>
              <w:rPr>
                <w:rFonts w:cs="Times New Roman"/>
                <w:sz w:val="21"/>
                <w:szCs w:val="21"/>
              </w:rPr>
            </w:pPr>
            <w:r>
              <w:rPr>
                <w:rFonts w:hint="eastAsia" w:cs="Times New Roman"/>
                <w:sz w:val="21"/>
                <w:szCs w:val="21"/>
              </w:rPr>
              <w:t>119.436672</w:t>
            </w:r>
          </w:p>
        </w:tc>
        <w:tc>
          <w:tcPr>
            <w:tcW w:w="1690" w:type="dxa"/>
            <w:noWrap/>
            <w:vAlign w:val="center"/>
          </w:tcPr>
          <w:p w14:paraId="3A21222A">
            <w:pPr>
              <w:spacing w:line="240" w:lineRule="auto"/>
              <w:ind w:firstLine="0" w:firstLineChars="0"/>
              <w:jc w:val="center"/>
              <w:rPr>
                <w:rFonts w:cs="Times New Roman"/>
                <w:sz w:val="21"/>
                <w:szCs w:val="21"/>
              </w:rPr>
            </w:pPr>
            <w:r>
              <w:rPr>
                <w:rFonts w:hint="eastAsia" w:cs="Times New Roman"/>
                <w:sz w:val="21"/>
                <w:szCs w:val="21"/>
              </w:rPr>
              <w:t>31.646276</w:t>
            </w:r>
          </w:p>
        </w:tc>
        <w:tc>
          <w:tcPr>
            <w:tcW w:w="1080" w:type="dxa"/>
            <w:noWrap/>
            <w:vAlign w:val="center"/>
          </w:tcPr>
          <w:p w14:paraId="6DB03B3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5F787F6">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3A1EAAC4">
            <w:pPr>
              <w:spacing w:line="240" w:lineRule="auto"/>
              <w:ind w:firstLine="0" w:firstLineChars="0"/>
              <w:jc w:val="center"/>
              <w:rPr>
                <w:rFonts w:cs="Times New Roman"/>
                <w:sz w:val="21"/>
                <w:szCs w:val="21"/>
              </w:rPr>
            </w:pPr>
            <w:r>
              <w:rPr>
                <w:rFonts w:hint="eastAsia" w:cs="Times New Roman"/>
                <w:sz w:val="21"/>
                <w:szCs w:val="21"/>
              </w:rPr>
              <w:t>1949</w:t>
            </w:r>
          </w:p>
        </w:tc>
        <w:tc>
          <w:tcPr>
            <w:tcW w:w="1168" w:type="dxa"/>
            <w:noWrap/>
            <w:vAlign w:val="center"/>
          </w:tcPr>
          <w:p w14:paraId="3EE2EE22">
            <w:pPr>
              <w:spacing w:line="240" w:lineRule="auto"/>
              <w:ind w:firstLine="0" w:firstLineChars="0"/>
              <w:jc w:val="center"/>
              <w:rPr>
                <w:rFonts w:cs="Times New Roman"/>
                <w:sz w:val="21"/>
                <w:szCs w:val="21"/>
              </w:rPr>
            </w:pPr>
            <w:r>
              <w:rPr>
                <w:rFonts w:hint="eastAsia" w:cs="Times New Roman"/>
                <w:sz w:val="21"/>
                <w:szCs w:val="21"/>
              </w:rPr>
              <w:t>约50</w:t>
            </w:r>
          </w:p>
        </w:tc>
      </w:tr>
      <w:tr w14:paraId="62362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70F572A">
            <w:pPr>
              <w:pStyle w:val="39"/>
              <w:numPr>
                <w:ilvl w:val="0"/>
                <w:numId w:val="7"/>
              </w:numPr>
              <w:spacing w:line="240" w:lineRule="auto"/>
              <w:ind w:firstLineChars="0"/>
              <w:jc w:val="center"/>
              <w:rPr>
                <w:rFonts w:cs="Times New Roman"/>
                <w:sz w:val="21"/>
                <w:szCs w:val="21"/>
              </w:rPr>
            </w:pPr>
          </w:p>
        </w:tc>
        <w:tc>
          <w:tcPr>
            <w:tcW w:w="992" w:type="dxa"/>
            <w:noWrap/>
            <w:vAlign w:val="center"/>
          </w:tcPr>
          <w:p w14:paraId="15E6D6D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26664D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64483A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27F29F7">
            <w:pPr>
              <w:spacing w:line="240" w:lineRule="auto"/>
              <w:ind w:firstLine="0" w:firstLineChars="0"/>
              <w:jc w:val="center"/>
              <w:rPr>
                <w:rFonts w:cs="Times New Roman"/>
                <w:sz w:val="21"/>
                <w:szCs w:val="21"/>
              </w:rPr>
            </w:pPr>
            <w:r>
              <w:rPr>
                <w:rFonts w:hint="eastAsia" w:cs="Times New Roman"/>
                <w:sz w:val="21"/>
                <w:szCs w:val="21"/>
              </w:rPr>
              <w:t>东毛庄</w:t>
            </w:r>
          </w:p>
        </w:tc>
        <w:tc>
          <w:tcPr>
            <w:tcW w:w="1701" w:type="dxa"/>
            <w:noWrap/>
            <w:vAlign w:val="center"/>
          </w:tcPr>
          <w:p w14:paraId="02CF0778">
            <w:pPr>
              <w:spacing w:line="240" w:lineRule="auto"/>
              <w:ind w:firstLine="0" w:firstLineChars="0"/>
              <w:jc w:val="center"/>
              <w:rPr>
                <w:rFonts w:cs="Times New Roman"/>
                <w:sz w:val="21"/>
                <w:szCs w:val="21"/>
              </w:rPr>
            </w:pPr>
            <w:r>
              <w:rPr>
                <w:rFonts w:hint="eastAsia" w:cs="Times New Roman"/>
                <w:sz w:val="21"/>
                <w:szCs w:val="21"/>
              </w:rPr>
              <w:t>119.435185</w:t>
            </w:r>
          </w:p>
        </w:tc>
        <w:tc>
          <w:tcPr>
            <w:tcW w:w="1690" w:type="dxa"/>
            <w:noWrap/>
            <w:vAlign w:val="center"/>
          </w:tcPr>
          <w:p w14:paraId="317820BE">
            <w:pPr>
              <w:spacing w:line="240" w:lineRule="auto"/>
              <w:ind w:firstLine="0" w:firstLineChars="0"/>
              <w:jc w:val="center"/>
              <w:rPr>
                <w:rFonts w:cs="Times New Roman"/>
                <w:sz w:val="21"/>
                <w:szCs w:val="21"/>
              </w:rPr>
            </w:pPr>
            <w:r>
              <w:rPr>
                <w:rFonts w:hint="eastAsia" w:cs="Times New Roman"/>
                <w:sz w:val="21"/>
                <w:szCs w:val="21"/>
              </w:rPr>
              <w:t>31.657094</w:t>
            </w:r>
          </w:p>
        </w:tc>
        <w:tc>
          <w:tcPr>
            <w:tcW w:w="1080" w:type="dxa"/>
            <w:noWrap/>
            <w:vAlign w:val="center"/>
          </w:tcPr>
          <w:p w14:paraId="6B47AB5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1D8828B">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0DAB1020">
            <w:pPr>
              <w:spacing w:line="240" w:lineRule="auto"/>
              <w:ind w:firstLine="0" w:firstLineChars="0"/>
              <w:jc w:val="center"/>
              <w:rPr>
                <w:rFonts w:cs="Times New Roman"/>
                <w:sz w:val="21"/>
                <w:szCs w:val="21"/>
              </w:rPr>
            </w:pPr>
            <w:r>
              <w:rPr>
                <w:rFonts w:hint="eastAsia" w:cs="Times New Roman"/>
                <w:sz w:val="21"/>
                <w:szCs w:val="21"/>
              </w:rPr>
              <w:t>2125</w:t>
            </w:r>
          </w:p>
        </w:tc>
        <w:tc>
          <w:tcPr>
            <w:tcW w:w="1168" w:type="dxa"/>
            <w:noWrap/>
            <w:vAlign w:val="center"/>
          </w:tcPr>
          <w:p w14:paraId="412148F0">
            <w:pPr>
              <w:spacing w:line="240" w:lineRule="auto"/>
              <w:ind w:firstLine="0" w:firstLineChars="0"/>
              <w:jc w:val="center"/>
              <w:rPr>
                <w:rFonts w:cs="Times New Roman"/>
                <w:sz w:val="21"/>
                <w:szCs w:val="21"/>
              </w:rPr>
            </w:pPr>
            <w:r>
              <w:rPr>
                <w:rFonts w:hint="eastAsia" w:cs="Times New Roman"/>
                <w:sz w:val="21"/>
                <w:szCs w:val="21"/>
              </w:rPr>
              <w:t>约50</w:t>
            </w:r>
          </w:p>
        </w:tc>
      </w:tr>
      <w:tr w14:paraId="4A96E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975A5CB">
            <w:pPr>
              <w:pStyle w:val="39"/>
              <w:numPr>
                <w:ilvl w:val="0"/>
                <w:numId w:val="7"/>
              </w:numPr>
              <w:spacing w:line="240" w:lineRule="auto"/>
              <w:ind w:firstLineChars="0"/>
              <w:jc w:val="center"/>
              <w:rPr>
                <w:rFonts w:cs="Times New Roman"/>
                <w:sz w:val="21"/>
                <w:szCs w:val="21"/>
              </w:rPr>
            </w:pPr>
          </w:p>
        </w:tc>
        <w:tc>
          <w:tcPr>
            <w:tcW w:w="992" w:type="dxa"/>
            <w:noWrap/>
            <w:vAlign w:val="center"/>
          </w:tcPr>
          <w:p w14:paraId="35C44447">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891493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42E91BE">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674E31D">
            <w:pPr>
              <w:spacing w:line="240" w:lineRule="auto"/>
              <w:ind w:firstLine="0" w:firstLineChars="0"/>
              <w:jc w:val="center"/>
              <w:rPr>
                <w:rFonts w:cs="Times New Roman"/>
                <w:sz w:val="21"/>
                <w:szCs w:val="21"/>
              </w:rPr>
            </w:pPr>
            <w:r>
              <w:rPr>
                <w:rFonts w:hint="eastAsia" w:cs="Times New Roman"/>
                <w:sz w:val="21"/>
                <w:szCs w:val="21"/>
              </w:rPr>
              <w:t>周家棚</w:t>
            </w:r>
          </w:p>
        </w:tc>
        <w:tc>
          <w:tcPr>
            <w:tcW w:w="1701" w:type="dxa"/>
            <w:noWrap/>
            <w:vAlign w:val="center"/>
          </w:tcPr>
          <w:p w14:paraId="60520EB6">
            <w:pPr>
              <w:spacing w:line="240" w:lineRule="auto"/>
              <w:ind w:firstLine="0" w:firstLineChars="0"/>
              <w:jc w:val="center"/>
              <w:rPr>
                <w:rFonts w:cs="Times New Roman"/>
                <w:sz w:val="21"/>
                <w:szCs w:val="21"/>
              </w:rPr>
            </w:pPr>
            <w:r>
              <w:rPr>
                <w:rFonts w:hint="eastAsia" w:cs="Times New Roman"/>
                <w:sz w:val="21"/>
                <w:szCs w:val="21"/>
              </w:rPr>
              <w:t>119.431307</w:t>
            </w:r>
          </w:p>
        </w:tc>
        <w:tc>
          <w:tcPr>
            <w:tcW w:w="1690" w:type="dxa"/>
            <w:noWrap/>
            <w:vAlign w:val="center"/>
          </w:tcPr>
          <w:p w14:paraId="25971524">
            <w:pPr>
              <w:spacing w:line="240" w:lineRule="auto"/>
              <w:ind w:firstLine="0" w:firstLineChars="0"/>
              <w:jc w:val="center"/>
              <w:rPr>
                <w:rFonts w:cs="Times New Roman"/>
                <w:sz w:val="21"/>
                <w:szCs w:val="21"/>
              </w:rPr>
            </w:pPr>
            <w:r>
              <w:rPr>
                <w:rFonts w:hint="eastAsia" w:cs="Times New Roman"/>
                <w:sz w:val="21"/>
                <w:szCs w:val="21"/>
              </w:rPr>
              <w:t>31.660499</w:t>
            </w:r>
          </w:p>
        </w:tc>
        <w:tc>
          <w:tcPr>
            <w:tcW w:w="1080" w:type="dxa"/>
            <w:noWrap/>
            <w:vAlign w:val="center"/>
          </w:tcPr>
          <w:p w14:paraId="5D6685A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89EC371">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55F7ADD3">
            <w:pPr>
              <w:spacing w:line="240" w:lineRule="auto"/>
              <w:ind w:firstLine="0" w:firstLineChars="0"/>
              <w:jc w:val="center"/>
              <w:rPr>
                <w:rFonts w:cs="Times New Roman"/>
                <w:sz w:val="21"/>
                <w:szCs w:val="21"/>
              </w:rPr>
            </w:pPr>
            <w:r>
              <w:rPr>
                <w:rFonts w:hint="eastAsia" w:cs="Times New Roman"/>
                <w:sz w:val="21"/>
                <w:szCs w:val="21"/>
              </w:rPr>
              <w:t>1875</w:t>
            </w:r>
          </w:p>
        </w:tc>
        <w:tc>
          <w:tcPr>
            <w:tcW w:w="1168" w:type="dxa"/>
            <w:noWrap/>
            <w:vAlign w:val="center"/>
          </w:tcPr>
          <w:p w14:paraId="787283D7">
            <w:pPr>
              <w:spacing w:line="240" w:lineRule="auto"/>
              <w:ind w:firstLine="0" w:firstLineChars="0"/>
              <w:jc w:val="center"/>
              <w:rPr>
                <w:rFonts w:cs="Times New Roman"/>
                <w:sz w:val="21"/>
                <w:szCs w:val="21"/>
              </w:rPr>
            </w:pPr>
            <w:r>
              <w:rPr>
                <w:rFonts w:hint="eastAsia" w:cs="Times New Roman"/>
                <w:sz w:val="21"/>
                <w:szCs w:val="21"/>
              </w:rPr>
              <w:t>约20</w:t>
            </w:r>
          </w:p>
        </w:tc>
      </w:tr>
      <w:tr w14:paraId="3B14F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501672C">
            <w:pPr>
              <w:pStyle w:val="39"/>
              <w:numPr>
                <w:ilvl w:val="0"/>
                <w:numId w:val="7"/>
              </w:numPr>
              <w:spacing w:line="240" w:lineRule="auto"/>
              <w:ind w:firstLineChars="0"/>
              <w:jc w:val="center"/>
              <w:rPr>
                <w:rFonts w:cs="Times New Roman"/>
                <w:sz w:val="21"/>
                <w:szCs w:val="21"/>
              </w:rPr>
            </w:pPr>
          </w:p>
        </w:tc>
        <w:tc>
          <w:tcPr>
            <w:tcW w:w="992" w:type="dxa"/>
            <w:noWrap/>
            <w:vAlign w:val="center"/>
          </w:tcPr>
          <w:p w14:paraId="7451FEA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705FC8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0C5D744">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3770E61">
            <w:pPr>
              <w:spacing w:line="240" w:lineRule="auto"/>
              <w:ind w:firstLine="0" w:firstLineChars="0"/>
              <w:jc w:val="center"/>
              <w:rPr>
                <w:rFonts w:cs="Times New Roman"/>
                <w:sz w:val="21"/>
                <w:szCs w:val="21"/>
              </w:rPr>
            </w:pPr>
            <w:r>
              <w:rPr>
                <w:rFonts w:hint="eastAsia" w:cs="Times New Roman"/>
                <w:sz w:val="21"/>
                <w:szCs w:val="21"/>
              </w:rPr>
              <w:t>小屯头</w:t>
            </w:r>
          </w:p>
        </w:tc>
        <w:tc>
          <w:tcPr>
            <w:tcW w:w="1701" w:type="dxa"/>
            <w:noWrap/>
            <w:vAlign w:val="center"/>
          </w:tcPr>
          <w:p w14:paraId="510B8544">
            <w:pPr>
              <w:spacing w:line="240" w:lineRule="auto"/>
              <w:ind w:firstLine="0" w:firstLineChars="0"/>
              <w:jc w:val="center"/>
              <w:rPr>
                <w:rFonts w:cs="Times New Roman"/>
                <w:sz w:val="21"/>
                <w:szCs w:val="21"/>
              </w:rPr>
            </w:pPr>
            <w:r>
              <w:rPr>
                <w:rFonts w:hint="eastAsia" w:cs="Times New Roman"/>
                <w:sz w:val="21"/>
                <w:szCs w:val="21"/>
              </w:rPr>
              <w:t>119.425166</w:t>
            </w:r>
          </w:p>
        </w:tc>
        <w:tc>
          <w:tcPr>
            <w:tcW w:w="1690" w:type="dxa"/>
            <w:noWrap/>
            <w:vAlign w:val="center"/>
          </w:tcPr>
          <w:p w14:paraId="58D896AA">
            <w:pPr>
              <w:spacing w:line="240" w:lineRule="auto"/>
              <w:ind w:firstLine="0" w:firstLineChars="0"/>
              <w:jc w:val="center"/>
              <w:rPr>
                <w:rFonts w:cs="Times New Roman"/>
                <w:sz w:val="21"/>
                <w:szCs w:val="21"/>
              </w:rPr>
            </w:pPr>
            <w:r>
              <w:rPr>
                <w:rFonts w:hint="eastAsia" w:cs="Times New Roman"/>
                <w:sz w:val="21"/>
                <w:szCs w:val="21"/>
              </w:rPr>
              <w:t>31.660942</w:t>
            </w:r>
          </w:p>
        </w:tc>
        <w:tc>
          <w:tcPr>
            <w:tcW w:w="1080" w:type="dxa"/>
            <w:noWrap/>
            <w:vAlign w:val="center"/>
          </w:tcPr>
          <w:p w14:paraId="59B0E51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4942D3E">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DD4C6B7">
            <w:pPr>
              <w:spacing w:line="240" w:lineRule="auto"/>
              <w:ind w:firstLine="0" w:firstLineChars="0"/>
              <w:jc w:val="center"/>
              <w:rPr>
                <w:rFonts w:cs="Times New Roman"/>
                <w:sz w:val="21"/>
                <w:szCs w:val="21"/>
              </w:rPr>
            </w:pPr>
            <w:r>
              <w:rPr>
                <w:rFonts w:hint="eastAsia" w:cs="Times New Roman"/>
                <w:sz w:val="21"/>
                <w:szCs w:val="21"/>
              </w:rPr>
              <w:t>1389</w:t>
            </w:r>
          </w:p>
        </w:tc>
        <w:tc>
          <w:tcPr>
            <w:tcW w:w="1168" w:type="dxa"/>
            <w:noWrap/>
            <w:vAlign w:val="center"/>
          </w:tcPr>
          <w:p w14:paraId="3ADFD3E9">
            <w:pPr>
              <w:spacing w:line="240" w:lineRule="auto"/>
              <w:ind w:firstLine="0" w:firstLineChars="0"/>
              <w:jc w:val="center"/>
              <w:rPr>
                <w:rFonts w:cs="Times New Roman"/>
                <w:sz w:val="21"/>
                <w:szCs w:val="21"/>
              </w:rPr>
            </w:pPr>
            <w:r>
              <w:rPr>
                <w:rFonts w:hint="eastAsia" w:cs="Times New Roman"/>
                <w:sz w:val="21"/>
                <w:szCs w:val="21"/>
              </w:rPr>
              <w:t>约40</w:t>
            </w:r>
          </w:p>
        </w:tc>
      </w:tr>
      <w:tr w14:paraId="29DB7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89D4EC1">
            <w:pPr>
              <w:pStyle w:val="39"/>
              <w:numPr>
                <w:ilvl w:val="0"/>
                <w:numId w:val="7"/>
              </w:numPr>
              <w:spacing w:line="240" w:lineRule="auto"/>
              <w:ind w:firstLineChars="0"/>
              <w:jc w:val="center"/>
              <w:rPr>
                <w:rFonts w:cs="Times New Roman"/>
                <w:sz w:val="21"/>
                <w:szCs w:val="21"/>
              </w:rPr>
            </w:pPr>
          </w:p>
        </w:tc>
        <w:tc>
          <w:tcPr>
            <w:tcW w:w="992" w:type="dxa"/>
            <w:noWrap/>
            <w:vAlign w:val="center"/>
          </w:tcPr>
          <w:p w14:paraId="4DA51EBA">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09CBC2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13DA1CC">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62C1A5A0">
            <w:pPr>
              <w:spacing w:line="240" w:lineRule="auto"/>
              <w:ind w:firstLine="0" w:firstLineChars="0"/>
              <w:jc w:val="center"/>
              <w:rPr>
                <w:rFonts w:cs="Times New Roman"/>
                <w:sz w:val="21"/>
                <w:szCs w:val="21"/>
              </w:rPr>
            </w:pPr>
            <w:r>
              <w:rPr>
                <w:rFonts w:hint="eastAsia" w:cs="Times New Roman"/>
                <w:sz w:val="21"/>
                <w:szCs w:val="21"/>
              </w:rPr>
              <w:t>王家庄</w:t>
            </w:r>
          </w:p>
        </w:tc>
        <w:tc>
          <w:tcPr>
            <w:tcW w:w="1701" w:type="dxa"/>
            <w:noWrap/>
            <w:vAlign w:val="center"/>
          </w:tcPr>
          <w:p w14:paraId="067D67EA">
            <w:pPr>
              <w:spacing w:line="240" w:lineRule="auto"/>
              <w:ind w:firstLine="0" w:firstLineChars="0"/>
              <w:jc w:val="center"/>
              <w:rPr>
                <w:rFonts w:cs="Times New Roman"/>
                <w:sz w:val="21"/>
                <w:szCs w:val="21"/>
              </w:rPr>
            </w:pPr>
            <w:r>
              <w:rPr>
                <w:rFonts w:hint="eastAsia" w:cs="Times New Roman"/>
                <w:sz w:val="21"/>
                <w:szCs w:val="21"/>
              </w:rPr>
              <w:t>119.434867</w:t>
            </w:r>
          </w:p>
        </w:tc>
        <w:tc>
          <w:tcPr>
            <w:tcW w:w="1690" w:type="dxa"/>
            <w:noWrap/>
            <w:vAlign w:val="center"/>
          </w:tcPr>
          <w:p w14:paraId="10261B4A">
            <w:pPr>
              <w:spacing w:line="240" w:lineRule="auto"/>
              <w:ind w:firstLine="0" w:firstLineChars="0"/>
              <w:jc w:val="center"/>
              <w:rPr>
                <w:rFonts w:cs="Times New Roman"/>
                <w:sz w:val="21"/>
                <w:szCs w:val="21"/>
              </w:rPr>
            </w:pPr>
            <w:r>
              <w:rPr>
                <w:rFonts w:hint="eastAsia" w:cs="Times New Roman"/>
                <w:sz w:val="21"/>
                <w:szCs w:val="21"/>
              </w:rPr>
              <w:t>31.662925</w:t>
            </w:r>
          </w:p>
        </w:tc>
        <w:tc>
          <w:tcPr>
            <w:tcW w:w="1080" w:type="dxa"/>
            <w:noWrap/>
            <w:vAlign w:val="center"/>
          </w:tcPr>
          <w:p w14:paraId="25230279">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D3C3A56">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7F30BC6B">
            <w:pPr>
              <w:spacing w:line="240" w:lineRule="auto"/>
              <w:ind w:firstLine="0" w:firstLineChars="0"/>
              <w:jc w:val="center"/>
              <w:rPr>
                <w:rFonts w:cs="Times New Roman"/>
                <w:sz w:val="21"/>
                <w:szCs w:val="21"/>
              </w:rPr>
            </w:pPr>
            <w:r>
              <w:rPr>
                <w:rFonts w:hint="eastAsia" w:cs="Times New Roman"/>
                <w:sz w:val="21"/>
                <w:szCs w:val="21"/>
              </w:rPr>
              <w:t>2330</w:t>
            </w:r>
          </w:p>
        </w:tc>
        <w:tc>
          <w:tcPr>
            <w:tcW w:w="1168" w:type="dxa"/>
            <w:noWrap/>
            <w:vAlign w:val="center"/>
          </w:tcPr>
          <w:p w14:paraId="48774B37">
            <w:pPr>
              <w:spacing w:line="240" w:lineRule="auto"/>
              <w:ind w:firstLine="0" w:firstLineChars="0"/>
              <w:jc w:val="center"/>
              <w:rPr>
                <w:rFonts w:cs="Times New Roman"/>
                <w:sz w:val="21"/>
                <w:szCs w:val="21"/>
              </w:rPr>
            </w:pPr>
            <w:r>
              <w:rPr>
                <w:rFonts w:hint="eastAsia" w:cs="Times New Roman"/>
                <w:sz w:val="21"/>
                <w:szCs w:val="21"/>
              </w:rPr>
              <w:t>约20</w:t>
            </w:r>
          </w:p>
        </w:tc>
      </w:tr>
      <w:tr w14:paraId="7AF5D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A6F3CC3">
            <w:pPr>
              <w:pStyle w:val="39"/>
              <w:numPr>
                <w:ilvl w:val="0"/>
                <w:numId w:val="7"/>
              </w:numPr>
              <w:spacing w:line="240" w:lineRule="auto"/>
              <w:ind w:firstLineChars="0"/>
              <w:jc w:val="center"/>
              <w:rPr>
                <w:rFonts w:cs="Times New Roman"/>
                <w:sz w:val="21"/>
                <w:szCs w:val="21"/>
              </w:rPr>
            </w:pPr>
          </w:p>
        </w:tc>
        <w:tc>
          <w:tcPr>
            <w:tcW w:w="992" w:type="dxa"/>
            <w:noWrap/>
            <w:vAlign w:val="center"/>
          </w:tcPr>
          <w:p w14:paraId="692ABD0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41AD8C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A0F5C85">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7A70101E">
            <w:pPr>
              <w:spacing w:line="240" w:lineRule="auto"/>
              <w:ind w:firstLine="0" w:firstLineChars="0"/>
              <w:jc w:val="center"/>
              <w:rPr>
                <w:rFonts w:cs="Times New Roman"/>
                <w:sz w:val="21"/>
                <w:szCs w:val="21"/>
              </w:rPr>
            </w:pPr>
            <w:r>
              <w:rPr>
                <w:rFonts w:hint="eastAsia" w:cs="Times New Roman"/>
                <w:sz w:val="21"/>
                <w:szCs w:val="21"/>
              </w:rPr>
              <w:t>戴家棚</w:t>
            </w:r>
          </w:p>
        </w:tc>
        <w:tc>
          <w:tcPr>
            <w:tcW w:w="1701" w:type="dxa"/>
            <w:noWrap/>
            <w:vAlign w:val="center"/>
          </w:tcPr>
          <w:p w14:paraId="3498D652">
            <w:pPr>
              <w:spacing w:line="240" w:lineRule="auto"/>
              <w:ind w:firstLine="0" w:firstLineChars="0"/>
              <w:jc w:val="center"/>
              <w:rPr>
                <w:rFonts w:cs="Times New Roman"/>
                <w:sz w:val="21"/>
                <w:szCs w:val="21"/>
              </w:rPr>
            </w:pPr>
            <w:r>
              <w:rPr>
                <w:rFonts w:hint="eastAsia" w:cs="Times New Roman"/>
                <w:sz w:val="21"/>
                <w:szCs w:val="21"/>
              </w:rPr>
              <w:t>119.433027</w:t>
            </w:r>
          </w:p>
        </w:tc>
        <w:tc>
          <w:tcPr>
            <w:tcW w:w="1690" w:type="dxa"/>
            <w:noWrap/>
            <w:vAlign w:val="center"/>
          </w:tcPr>
          <w:p w14:paraId="041D74BF">
            <w:pPr>
              <w:spacing w:line="240" w:lineRule="auto"/>
              <w:ind w:firstLine="0" w:firstLineChars="0"/>
              <w:jc w:val="center"/>
              <w:rPr>
                <w:rFonts w:cs="Times New Roman"/>
                <w:sz w:val="21"/>
                <w:szCs w:val="21"/>
              </w:rPr>
            </w:pPr>
            <w:r>
              <w:rPr>
                <w:rFonts w:hint="eastAsia" w:cs="Times New Roman"/>
                <w:sz w:val="21"/>
                <w:szCs w:val="21"/>
              </w:rPr>
              <w:t>31.663989</w:t>
            </w:r>
          </w:p>
        </w:tc>
        <w:tc>
          <w:tcPr>
            <w:tcW w:w="1080" w:type="dxa"/>
            <w:noWrap/>
            <w:vAlign w:val="center"/>
          </w:tcPr>
          <w:p w14:paraId="282BFB4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072CA4B">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317BEB7E">
            <w:pPr>
              <w:spacing w:line="240" w:lineRule="auto"/>
              <w:ind w:firstLine="0" w:firstLineChars="0"/>
              <w:jc w:val="center"/>
              <w:rPr>
                <w:rFonts w:cs="Times New Roman"/>
                <w:sz w:val="21"/>
                <w:szCs w:val="21"/>
              </w:rPr>
            </w:pPr>
            <w:r>
              <w:rPr>
                <w:rFonts w:hint="eastAsia" w:cs="Times New Roman"/>
                <w:sz w:val="21"/>
                <w:szCs w:val="21"/>
              </w:rPr>
              <w:t>2123</w:t>
            </w:r>
          </w:p>
        </w:tc>
        <w:tc>
          <w:tcPr>
            <w:tcW w:w="1168" w:type="dxa"/>
            <w:noWrap/>
            <w:vAlign w:val="center"/>
          </w:tcPr>
          <w:p w14:paraId="4780C4E9">
            <w:pPr>
              <w:spacing w:line="240" w:lineRule="auto"/>
              <w:ind w:firstLine="0" w:firstLineChars="0"/>
              <w:jc w:val="center"/>
              <w:rPr>
                <w:rFonts w:cs="Times New Roman"/>
                <w:sz w:val="21"/>
                <w:szCs w:val="21"/>
              </w:rPr>
            </w:pPr>
            <w:r>
              <w:rPr>
                <w:rFonts w:hint="eastAsia" w:cs="Times New Roman"/>
                <w:sz w:val="21"/>
                <w:szCs w:val="21"/>
              </w:rPr>
              <w:t>约20</w:t>
            </w:r>
          </w:p>
        </w:tc>
      </w:tr>
      <w:tr w14:paraId="3022D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ADD7935">
            <w:pPr>
              <w:pStyle w:val="39"/>
              <w:numPr>
                <w:ilvl w:val="0"/>
                <w:numId w:val="7"/>
              </w:numPr>
              <w:spacing w:line="240" w:lineRule="auto"/>
              <w:ind w:firstLineChars="0"/>
              <w:jc w:val="center"/>
              <w:rPr>
                <w:rFonts w:cs="Times New Roman"/>
                <w:sz w:val="21"/>
                <w:szCs w:val="21"/>
              </w:rPr>
            </w:pPr>
          </w:p>
        </w:tc>
        <w:tc>
          <w:tcPr>
            <w:tcW w:w="992" w:type="dxa"/>
            <w:noWrap/>
            <w:vAlign w:val="center"/>
          </w:tcPr>
          <w:p w14:paraId="3F741D5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1ECBB5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15E2D52">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0CCCA804">
            <w:pPr>
              <w:spacing w:line="240" w:lineRule="auto"/>
              <w:ind w:firstLine="0" w:firstLineChars="0"/>
              <w:jc w:val="center"/>
              <w:rPr>
                <w:rFonts w:cs="Times New Roman"/>
                <w:sz w:val="21"/>
                <w:szCs w:val="21"/>
              </w:rPr>
            </w:pPr>
            <w:r>
              <w:rPr>
                <w:rFonts w:hint="eastAsia" w:cs="Times New Roman"/>
                <w:sz w:val="21"/>
                <w:szCs w:val="21"/>
              </w:rPr>
              <w:t>油板</w:t>
            </w:r>
          </w:p>
        </w:tc>
        <w:tc>
          <w:tcPr>
            <w:tcW w:w="1701" w:type="dxa"/>
            <w:noWrap/>
            <w:vAlign w:val="center"/>
          </w:tcPr>
          <w:p w14:paraId="0241FEEC">
            <w:pPr>
              <w:spacing w:line="240" w:lineRule="auto"/>
              <w:ind w:firstLine="0" w:firstLineChars="0"/>
              <w:jc w:val="center"/>
              <w:rPr>
                <w:rFonts w:cs="Times New Roman"/>
                <w:sz w:val="21"/>
                <w:szCs w:val="21"/>
              </w:rPr>
            </w:pPr>
            <w:r>
              <w:rPr>
                <w:rFonts w:hint="eastAsia" w:cs="Times New Roman"/>
                <w:sz w:val="21"/>
                <w:szCs w:val="21"/>
              </w:rPr>
              <w:t>119.432997</w:t>
            </w:r>
          </w:p>
        </w:tc>
        <w:tc>
          <w:tcPr>
            <w:tcW w:w="1690" w:type="dxa"/>
            <w:noWrap/>
            <w:vAlign w:val="center"/>
          </w:tcPr>
          <w:p w14:paraId="1AFAC810">
            <w:pPr>
              <w:spacing w:line="240" w:lineRule="auto"/>
              <w:ind w:firstLine="0" w:firstLineChars="0"/>
              <w:jc w:val="center"/>
              <w:rPr>
                <w:rFonts w:cs="Times New Roman"/>
                <w:sz w:val="21"/>
                <w:szCs w:val="21"/>
              </w:rPr>
            </w:pPr>
            <w:r>
              <w:rPr>
                <w:rFonts w:hint="eastAsia" w:cs="Times New Roman"/>
                <w:sz w:val="21"/>
                <w:szCs w:val="21"/>
              </w:rPr>
              <w:t>31.667075</w:t>
            </w:r>
          </w:p>
        </w:tc>
        <w:tc>
          <w:tcPr>
            <w:tcW w:w="1080" w:type="dxa"/>
            <w:noWrap/>
            <w:vAlign w:val="center"/>
          </w:tcPr>
          <w:p w14:paraId="4225D14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2CA05B2">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40C2C9DC">
            <w:pPr>
              <w:spacing w:line="240" w:lineRule="auto"/>
              <w:ind w:firstLine="0" w:firstLineChars="0"/>
              <w:jc w:val="center"/>
              <w:rPr>
                <w:rFonts w:cs="Times New Roman"/>
                <w:sz w:val="21"/>
                <w:szCs w:val="21"/>
              </w:rPr>
            </w:pPr>
            <w:r>
              <w:rPr>
                <w:rFonts w:hint="eastAsia" w:cs="Times New Roman"/>
                <w:sz w:val="21"/>
                <w:szCs w:val="21"/>
              </w:rPr>
              <w:t>2384</w:t>
            </w:r>
          </w:p>
        </w:tc>
        <w:tc>
          <w:tcPr>
            <w:tcW w:w="1168" w:type="dxa"/>
            <w:noWrap/>
            <w:vAlign w:val="center"/>
          </w:tcPr>
          <w:p w14:paraId="2E6E042B">
            <w:pPr>
              <w:spacing w:line="240" w:lineRule="auto"/>
              <w:ind w:firstLine="0" w:firstLineChars="0"/>
              <w:jc w:val="center"/>
              <w:rPr>
                <w:rFonts w:cs="Times New Roman"/>
                <w:sz w:val="21"/>
                <w:szCs w:val="21"/>
              </w:rPr>
            </w:pPr>
            <w:r>
              <w:rPr>
                <w:rFonts w:hint="eastAsia" w:cs="Times New Roman"/>
                <w:sz w:val="21"/>
                <w:szCs w:val="21"/>
              </w:rPr>
              <w:t>约20</w:t>
            </w:r>
          </w:p>
        </w:tc>
      </w:tr>
      <w:tr w14:paraId="19E4B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5CC89FD">
            <w:pPr>
              <w:pStyle w:val="39"/>
              <w:numPr>
                <w:ilvl w:val="0"/>
                <w:numId w:val="7"/>
              </w:numPr>
              <w:spacing w:line="240" w:lineRule="auto"/>
              <w:ind w:firstLineChars="0"/>
              <w:jc w:val="center"/>
              <w:rPr>
                <w:rFonts w:cs="Times New Roman"/>
                <w:sz w:val="21"/>
                <w:szCs w:val="21"/>
              </w:rPr>
            </w:pPr>
          </w:p>
        </w:tc>
        <w:tc>
          <w:tcPr>
            <w:tcW w:w="992" w:type="dxa"/>
            <w:noWrap/>
            <w:vAlign w:val="center"/>
          </w:tcPr>
          <w:p w14:paraId="3EC7C65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001D21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4C0588D4">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DB58EB7">
            <w:pPr>
              <w:spacing w:line="240" w:lineRule="auto"/>
              <w:ind w:firstLine="0" w:firstLineChars="0"/>
              <w:jc w:val="center"/>
              <w:rPr>
                <w:rFonts w:cs="Times New Roman"/>
                <w:sz w:val="21"/>
                <w:szCs w:val="21"/>
              </w:rPr>
            </w:pPr>
            <w:r>
              <w:rPr>
                <w:rFonts w:hint="eastAsia" w:cs="Times New Roman"/>
                <w:sz w:val="21"/>
                <w:szCs w:val="21"/>
              </w:rPr>
              <w:t>大屯头</w:t>
            </w:r>
          </w:p>
        </w:tc>
        <w:tc>
          <w:tcPr>
            <w:tcW w:w="1701" w:type="dxa"/>
            <w:noWrap/>
            <w:vAlign w:val="center"/>
          </w:tcPr>
          <w:p w14:paraId="16DD86C9">
            <w:pPr>
              <w:spacing w:line="240" w:lineRule="auto"/>
              <w:ind w:firstLine="0" w:firstLineChars="0"/>
              <w:jc w:val="center"/>
              <w:rPr>
                <w:rFonts w:cs="Times New Roman"/>
                <w:sz w:val="21"/>
                <w:szCs w:val="21"/>
              </w:rPr>
            </w:pPr>
            <w:r>
              <w:rPr>
                <w:rFonts w:hint="eastAsia" w:cs="Times New Roman"/>
                <w:sz w:val="21"/>
                <w:szCs w:val="21"/>
              </w:rPr>
              <w:t>119.425546</w:t>
            </w:r>
          </w:p>
        </w:tc>
        <w:tc>
          <w:tcPr>
            <w:tcW w:w="1690" w:type="dxa"/>
            <w:noWrap/>
            <w:vAlign w:val="center"/>
          </w:tcPr>
          <w:p w14:paraId="5CC11C36">
            <w:pPr>
              <w:spacing w:line="240" w:lineRule="auto"/>
              <w:ind w:firstLine="0" w:firstLineChars="0"/>
              <w:jc w:val="center"/>
              <w:rPr>
                <w:rFonts w:cs="Times New Roman"/>
                <w:sz w:val="21"/>
                <w:szCs w:val="21"/>
              </w:rPr>
            </w:pPr>
            <w:r>
              <w:rPr>
                <w:rFonts w:hint="eastAsia" w:cs="Times New Roman"/>
                <w:sz w:val="21"/>
                <w:szCs w:val="21"/>
              </w:rPr>
              <w:t>31.664928</w:t>
            </w:r>
          </w:p>
        </w:tc>
        <w:tc>
          <w:tcPr>
            <w:tcW w:w="1080" w:type="dxa"/>
            <w:noWrap/>
            <w:vAlign w:val="center"/>
          </w:tcPr>
          <w:p w14:paraId="69DC62E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2C7D88E3">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DE9565C">
            <w:pPr>
              <w:spacing w:line="240" w:lineRule="auto"/>
              <w:ind w:firstLine="0" w:firstLineChars="0"/>
              <w:jc w:val="center"/>
              <w:rPr>
                <w:rFonts w:cs="Times New Roman"/>
                <w:sz w:val="21"/>
                <w:szCs w:val="21"/>
              </w:rPr>
            </w:pPr>
            <w:r>
              <w:rPr>
                <w:rFonts w:hint="eastAsia" w:cs="Times New Roman"/>
                <w:sz w:val="21"/>
                <w:szCs w:val="21"/>
              </w:rPr>
              <w:t>1670</w:t>
            </w:r>
          </w:p>
        </w:tc>
        <w:tc>
          <w:tcPr>
            <w:tcW w:w="1168" w:type="dxa"/>
            <w:noWrap/>
            <w:vAlign w:val="center"/>
          </w:tcPr>
          <w:p w14:paraId="74F3E657">
            <w:pPr>
              <w:spacing w:line="240" w:lineRule="auto"/>
              <w:ind w:firstLine="0" w:firstLineChars="0"/>
              <w:jc w:val="center"/>
              <w:rPr>
                <w:rFonts w:cs="Times New Roman"/>
                <w:sz w:val="21"/>
                <w:szCs w:val="21"/>
              </w:rPr>
            </w:pPr>
            <w:r>
              <w:rPr>
                <w:rFonts w:hint="eastAsia" w:cs="Times New Roman"/>
                <w:sz w:val="21"/>
                <w:szCs w:val="21"/>
              </w:rPr>
              <w:t>约30</w:t>
            </w:r>
          </w:p>
        </w:tc>
      </w:tr>
      <w:tr w14:paraId="64902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02AF45F">
            <w:pPr>
              <w:pStyle w:val="39"/>
              <w:numPr>
                <w:ilvl w:val="0"/>
                <w:numId w:val="7"/>
              </w:numPr>
              <w:spacing w:line="240" w:lineRule="auto"/>
              <w:ind w:firstLineChars="0"/>
              <w:jc w:val="center"/>
              <w:rPr>
                <w:rFonts w:cs="Times New Roman"/>
                <w:sz w:val="21"/>
                <w:szCs w:val="21"/>
              </w:rPr>
            </w:pPr>
          </w:p>
        </w:tc>
        <w:tc>
          <w:tcPr>
            <w:tcW w:w="992" w:type="dxa"/>
            <w:noWrap/>
            <w:vAlign w:val="center"/>
          </w:tcPr>
          <w:p w14:paraId="174F552D">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7F50DD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2BBBE5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1C738BF">
            <w:pPr>
              <w:spacing w:line="240" w:lineRule="auto"/>
              <w:ind w:firstLine="0" w:firstLineChars="0"/>
              <w:jc w:val="center"/>
              <w:rPr>
                <w:rFonts w:cs="Times New Roman"/>
                <w:sz w:val="21"/>
                <w:szCs w:val="21"/>
              </w:rPr>
            </w:pPr>
            <w:r>
              <w:rPr>
                <w:rFonts w:hint="eastAsia" w:cs="Times New Roman"/>
                <w:sz w:val="21"/>
                <w:szCs w:val="21"/>
              </w:rPr>
              <w:t>窑上</w:t>
            </w:r>
          </w:p>
        </w:tc>
        <w:tc>
          <w:tcPr>
            <w:tcW w:w="1701" w:type="dxa"/>
            <w:noWrap/>
            <w:vAlign w:val="center"/>
          </w:tcPr>
          <w:p w14:paraId="15541AF2">
            <w:pPr>
              <w:spacing w:line="240" w:lineRule="auto"/>
              <w:ind w:firstLine="0" w:firstLineChars="0"/>
              <w:jc w:val="center"/>
              <w:rPr>
                <w:rFonts w:cs="Times New Roman"/>
                <w:sz w:val="21"/>
                <w:szCs w:val="21"/>
              </w:rPr>
            </w:pPr>
            <w:r>
              <w:rPr>
                <w:rFonts w:hint="eastAsia" w:cs="Times New Roman"/>
                <w:sz w:val="21"/>
                <w:szCs w:val="21"/>
              </w:rPr>
              <w:t>119.415948</w:t>
            </w:r>
          </w:p>
        </w:tc>
        <w:tc>
          <w:tcPr>
            <w:tcW w:w="1690" w:type="dxa"/>
            <w:noWrap/>
            <w:vAlign w:val="center"/>
          </w:tcPr>
          <w:p w14:paraId="777572BD">
            <w:pPr>
              <w:spacing w:line="240" w:lineRule="auto"/>
              <w:ind w:firstLine="0" w:firstLineChars="0"/>
              <w:jc w:val="center"/>
              <w:rPr>
                <w:rFonts w:cs="Times New Roman"/>
                <w:sz w:val="21"/>
                <w:szCs w:val="21"/>
              </w:rPr>
            </w:pPr>
            <w:r>
              <w:rPr>
                <w:rFonts w:hint="eastAsia" w:cs="Times New Roman"/>
                <w:sz w:val="21"/>
                <w:szCs w:val="21"/>
              </w:rPr>
              <w:t>31.667531</w:t>
            </w:r>
          </w:p>
        </w:tc>
        <w:tc>
          <w:tcPr>
            <w:tcW w:w="1080" w:type="dxa"/>
            <w:noWrap/>
            <w:vAlign w:val="center"/>
          </w:tcPr>
          <w:p w14:paraId="5D37880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E670299">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BC1C431">
            <w:pPr>
              <w:spacing w:line="240" w:lineRule="auto"/>
              <w:ind w:firstLine="0" w:firstLineChars="0"/>
              <w:jc w:val="center"/>
              <w:rPr>
                <w:rFonts w:cs="Times New Roman"/>
                <w:sz w:val="21"/>
                <w:szCs w:val="21"/>
              </w:rPr>
            </w:pPr>
            <w:r>
              <w:rPr>
                <w:rFonts w:hint="eastAsia" w:cs="Times New Roman"/>
                <w:sz w:val="21"/>
                <w:szCs w:val="21"/>
              </w:rPr>
              <w:t>1511</w:t>
            </w:r>
          </w:p>
        </w:tc>
        <w:tc>
          <w:tcPr>
            <w:tcW w:w="1168" w:type="dxa"/>
            <w:noWrap/>
            <w:vAlign w:val="center"/>
          </w:tcPr>
          <w:p w14:paraId="6CD016E8">
            <w:pPr>
              <w:spacing w:line="240" w:lineRule="auto"/>
              <w:ind w:firstLine="0" w:firstLineChars="0"/>
              <w:jc w:val="center"/>
              <w:rPr>
                <w:rFonts w:cs="Times New Roman"/>
                <w:sz w:val="21"/>
                <w:szCs w:val="21"/>
              </w:rPr>
            </w:pPr>
            <w:r>
              <w:rPr>
                <w:rFonts w:hint="eastAsia" w:cs="Times New Roman"/>
                <w:sz w:val="21"/>
                <w:szCs w:val="21"/>
              </w:rPr>
              <w:t>约30</w:t>
            </w:r>
          </w:p>
        </w:tc>
      </w:tr>
      <w:tr w14:paraId="186DB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1FAB11A">
            <w:pPr>
              <w:pStyle w:val="39"/>
              <w:numPr>
                <w:ilvl w:val="0"/>
                <w:numId w:val="7"/>
              </w:numPr>
              <w:spacing w:line="240" w:lineRule="auto"/>
              <w:ind w:firstLineChars="0"/>
              <w:jc w:val="center"/>
              <w:rPr>
                <w:rFonts w:cs="Times New Roman"/>
                <w:sz w:val="21"/>
                <w:szCs w:val="21"/>
              </w:rPr>
            </w:pPr>
          </w:p>
        </w:tc>
        <w:tc>
          <w:tcPr>
            <w:tcW w:w="992" w:type="dxa"/>
            <w:noWrap/>
            <w:vAlign w:val="center"/>
          </w:tcPr>
          <w:p w14:paraId="3EFD8DB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722B10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BBC1F18">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22667E9">
            <w:pPr>
              <w:spacing w:line="240" w:lineRule="auto"/>
              <w:ind w:firstLine="0" w:firstLineChars="0"/>
              <w:jc w:val="center"/>
              <w:rPr>
                <w:rFonts w:cs="Times New Roman"/>
                <w:sz w:val="21"/>
                <w:szCs w:val="21"/>
              </w:rPr>
            </w:pPr>
            <w:r>
              <w:rPr>
                <w:rFonts w:hint="eastAsia" w:cs="Times New Roman"/>
                <w:sz w:val="21"/>
                <w:szCs w:val="21"/>
              </w:rPr>
              <w:t>张家村</w:t>
            </w:r>
          </w:p>
        </w:tc>
        <w:tc>
          <w:tcPr>
            <w:tcW w:w="1701" w:type="dxa"/>
            <w:noWrap/>
            <w:vAlign w:val="center"/>
          </w:tcPr>
          <w:p w14:paraId="0F7853D9">
            <w:pPr>
              <w:spacing w:line="240" w:lineRule="auto"/>
              <w:ind w:firstLine="0" w:firstLineChars="0"/>
              <w:jc w:val="center"/>
              <w:rPr>
                <w:rFonts w:cs="Times New Roman"/>
                <w:sz w:val="21"/>
                <w:szCs w:val="21"/>
              </w:rPr>
            </w:pPr>
            <w:r>
              <w:rPr>
                <w:rFonts w:hint="eastAsia" w:cs="Times New Roman"/>
                <w:sz w:val="21"/>
                <w:szCs w:val="21"/>
              </w:rPr>
              <w:t>119.42093</w:t>
            </w:r>
          </w:p>
        </w:tc>
        <w:tc>
          <w:tcPr>
            <w:tcW w:w="1690" w:type="dxa"/>
            <w:noWrap/>
            <w:vAlign w:val="center"/>
          </w:tcPr>
          <w:p w14:paraId="0EC4CF55">
            <w:pPr>
              <w:spacing w:line="240" w:lineRule="auto"/>
              <w:ind w:firstLine="0" w:firstLineChars="0"/>
              <w:jc w:val="center"/>
              <w:rPr>
                <w:rFonts w:cs="Times New Roman"/>
                <w:sz w:val="21"/>
                <w:szCs w:val="21"/>
              </w:rPr>
            </w:pPr>
            <w:r>
              <w:rPr>
                <w:rFonts w:hint="eastAsia" w:cs="Times New Roman"/>
                <w:sz w:val="21"/>
                <w:szCs w:val="21"/>
              </w:rPr>
              <w:t>31.671211</w:t>
            </w:r>
          </w:p>
        </w:tc>
        <w:tc>
          <w:tcPr>
            <w:tcW w:w="1080" w:type="dxa"/>
            <w:noWrap/>
            <w:vAlign w:val="center"/>
          </w:tcPr>
          <w:p w14:paraId="3C017BB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7C00E14">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7CFCBFBA">
            <w:pPr>
              <w:spacing w:line="240" w:lineRule="auto"/>
              <w:ind w:firstLine="0" w:firstLineChars="0"/>
              <w:jc w:val="center"/>
              <w:rPr>
                <w:rFonts w:cs="Times New Roman"/>
                <w:sz w:val="21"/>
                <w:szCs w:val="21"/>
              </w:rPr>
            </w:pPr>
            <w:r>
              <w:rPr>
                <w:rFonts w:hint="eastAsia" w:cs="Times New Roman"/>
                <w:sz w:val="21"/>
                <w:szCs w:val="21"/>
              </w:rPr>
              <w:t>2053</w:t>
            </w:r>
          </w:p>
        </w:tc>
        <w:tc>
          <w:tcPr>
            <w:tcW w:w="1168" w:type="dxa"/>
            <w:noWrap/>
            <w:vAlign w:val="center"/>
          </w:tcPr>
          <w:p w14:paraId="08B1FE0B">
            <w:pPr>
              <w:spacing w:line="240" w:lineRule="auto"/>
              <w:ind w:firstLine="0" w:firstLineChars="0"/>
              <w:jc w:val="center"/>
              <w:rPr>
                <w:rFonts w:cs="Times New Roman"/>
                <w:sz w:val="21"/>
                <w:szCs w:val="21"/>
              </w:rPr>
            </w:pPr>
            <w:r>
              <w:rPr>
                <w:rFonts w:hint="eastAsia" w:cs="Times New Roman"/>
                <w:sz w:val="21"/>
                <w:szCs w:val="21"/>
              </w:rPr>
              <w:t>约40</w:t>
            </w:r>
          </w:p>
        </w:tc>
      </w:tr>
      <w:tr w14:paraId="17A4E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8163A94">
            <w:pPr>
              <w:pStyle w:val="39"/>
              <w:numPr>
                <w:ilvl w:val="0"/>
                <w:numId w:val="7"/>
              </w:numPr>
              <w:spacing w:line="240" w:lineRule="auto"/>
              <w:ind w:firstLineChars="0"/>
              <w:jc w:val="center"/>
              <w:rPr>
                <w:rFonts w:cs="Times New Roman"/>
                <w:sz w:val="21"/>
                <w:szCs w:val="21"/>
              </w:rPr>
            </w:pPr>
          </w:p>
        </w:tc>
        <w:tc>
          <w:tcPr>
            <w:tcW w:w="992" w:type="dxa"/>
            <w:noWrap/>
            <w:vAlign w:val="center"/>
          </w:tcPr>
          <w:p w14:paraId="5A9D631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ED7341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656A77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1B1D2C3">
            <w:pPr>
              <w:spacing w:line="240" w:lineRule="auto"/>
              <w:ind w:firstLine="0" w:firstLineChars="0"/>
              <w:jc w:val="center"/>
              <w:rPr>
                <w:rFonts w:cs="Times New Roman"/>
                <w:sz w:val="21"/>
                <w:szCs w:val="21"/>
              </w:rPr>
            </w:pPr>
            <w:r>
              <w:rPr>
                <w:rFonts w:hint="eastAsia" w:cs="Times New Roman"/>
                <w:sz w:val="21"/>
                <w:szCs w:val="21"/>
              </w:rPr>
              <w:t>山头上</w:t>
            </w:r>
          </w:p>
        </w:tc>
        <w:tc>
          <w:tcPr>
            <w:tcW w:w="1701" w:type="dxa"/>
            <w:noWrap/>
            <w:vAlign w:val="center"/>
          </w:tcPr>
          <w:p w14:paraId="3D3C2B30">
            <w:pPr>
              <w:spacing w:line="240" w:lineRule="auto"/>
              <w:ind w:firstLine="0" w:firstLineChars="0"/>
              <w:jc w:val="center"/>
              <w:rPr>
                <w:rFonts w:cs="Times New Roman"/>
                <w:sz w:val="21"/>
                <w:szCs w:val="21"/>
              </w:rPr>
            </w:pPr>
            <w:r>
              <w:rPr>
                <w:rFonts w:hint="eastAsia" w:cs="Times New Roman"/>
                <w:sz w:val="21"/>
                <w:szCs w:val="21"/>
              </w:rPr>
              <w:t>119.420805</w:t>
            </w:r>
          </w:p>
        </w:tc>
        <w:tc>
          <w:tcPr>
            <w:tcW w:w="1690" w:type="dxa"/>
            <w:noWrap/>
            <w:vAlign w:val="center"/>
          </w:tcPr>
          <w:p w14:paraId="6005527A">
            <w:pPr>
              <w:spacing w:line="240" w:lineRule="auto"/>
              <w:ind w:firstLine="0" w:firstLineChars="0"/>
              <w:jc w:val="center"/>
              <w:rPr>
                <w:rFonts w:cs="Times New Roman"/>
                <w:sz w:val="21"/>
                <w:szCs w:val="21"/>
              </w:rPr>
            </w:pPr>
            <w:r>
              <w:rPr>
                <w:rFonts w:hint="eastAsia" w:cs="Times New Roman"/>
                <w:sz w:val="21"/>
                <w:szCs w:val="21"/>
              </w:rPr>
              <w:t>31.665137</w:t>
            </w:r>
          </w:p>
        </w:tc>
        <w:tc>
          <w:tcPr>
            <w:tcW w:w="1080" w:type="dxa"/>
            <w:noWrap/>
            <w:vAlign w:val="center"/>
          </w:tcPr>
          <w:p w14:paraId="24C4A6C7">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F3AA4AE">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5D1189FD">
            <w:pPr>
              <w:spacing w:line="240" w:lineRule="auto"/>
              <w:ind w:firstLine="0" w:firstLineChars="0"/>
              <w:jc w:val="center"/>
              <w:rPr>
                <w:rFonts w:cs="Times New Roman"/>
                <w:sz w:val="21"/>
                <w:szCs w:val="21"/>
              </w:rPr>
            </w:pPr>
            <w:r>
              <w:rPr>
                <w:rFonts w:hint="eastAsia" w:cs="Times New Roman"/>
                <w:sz w:val="21"/>
                <w:szCs w:val="21"/>
              </w:rPr>
              <w:t>2052</w:t>
            </w:r>
          </w:p>
        </w:tc>
        <w:tc>
          <w:tcPr>
            <w:tcW w:w="1168" w:type="dxa"/>
            <w:noWrap/>
            <w:vAlign w:val="center"/>
          </w:tcPr>
          <w:p w14:paraId="5C1DF72E">
            <w:pPr>
              <w:spacing w:line="240" w:lineRule="auto"/>
              <w:ind w:firstLine="0" w:firstLineChars="0"/>
              <w:jc w:val="center"/>
              <w:rPr>
                <w:rFonts w:cs="Times New Roman"/>
                <w:sz w:val="21"/>
                <w:szCs w:val="21"/>
              </w:rPr>
            </w:pPr>
            <w:r>
              <w:rPr>
                <w:rFonts w:hint="eastAsia" w:cs="Times New Roman"/>
                <w:sz w:val="21"/>
                <w:szCs w:val="21"/>
              </w:rPr>
              <w:t>约30</w:t>
            </w:r>
          </w:p>
        </w:tc>
      </w:tr>
      <w:tr w14:paraId="02034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DB66DCB">
            <w:pPr>
              <w:pStyle w:val="39"/>
              <w:numPr>
                <w:ilvl w:val="0"/>
                <w:numId w:val="7"/>
              </w:numPr>
              <w:spacing w:line="240" w:lineRule="auto"/>
              <w:ind w:firstLineChars="0"/>
              <w:jc w:val="center"/>
              <w:rPr>
                <w:rFonts w:cs="Times New Roman"/>
                <w:sz w:val="21"/>
                <w:szCs w:val="21"/>
              </w:rPr>
            </w:pPr>
          </w:p>
        </w:tc>
        <w:tc>
          <w:tcPr>
            <w:tcW w:w="992" w:type="dxa"/>
            <w:noWrap/>
            <w:vAlign w:val="center"/>
          </w:tcPr>
          <w:p w14:paraId="428E7FF1">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656F76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B7047A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1080395">
            <w:pPr>
              <w:spacing w:line="240" w:lineRule="auto"/>
              <w:ind w:firstLine="0" w:firstLineChars="0"/>
              <w:jc w:val="center"/>
              <w:rPr>
                <w:rFonts w:cs="Times New Roman"/>
                <w:sz w:val="21"/>
                <w:szCs w:val="21"/>
              </w:rPr>
            </w:pPr>
            <w:r>
              <w:rPr>
                <w:rFonts w:hint="eastAsia" w:cs="Times New Roman"/>
                <w:sz w:val="21"/>
                <w:szCs w:val="21"/>
              </w:rPr>
              <w:t>小村子</w:t>
            </w:r>
          </w:p>
        </w:tc>
        <w:tc>
          <w:tcPr>
            <w:tcW w:w="1701" w:type="dxa"/>
            <w:noWrap/>
            <w:vAlign w:val="center"/>
          </w:tcPr>
          <w:p w14:paraId="76CF2ECE">
            <w:pPr>
              <w:spacing w:line="240" w:lineRule="auto"/>
              <w:ind w:firstLine="0" w:firstLineChars="0"/>
              <w:jc w:val="center"/>
              <w:rPr>
                <w:rFonts w:cs="Times New Roman"/>
                <w:sz w:val="21"/>
                <w:szCs w:val="21"/>
              </w:rPr>
            </w:pPr>
            <w:r>
              <w:rPr>
                <w:rFonts w:hint="eastAsia" w:cs="Times New Roman"/>
                <w:sz w:val="21"/>
                <w:szCs w:val="21"/>
              </w:rPr>
              <w:t>119.414616</w:t>
            </w:r>
          </w:p>
        </w:tc>
        <w:tc>
          <w:tcPr>
            <w:tcW w:w="1690" w:type="dxa"/>
            <w:noWrap/>
            <w:vAlign w:val="center"/>
          </w:tcPr>
          <w:p w14:paraId="5215337D">
            <w:pPr>
              <w:spacing w:line="240" w:lineRule="auto"/>
              <w:ind w:firstLine="0" w:firstLineChars="0"/>
              <w:jc w:val="center"/>
              <w:rPr>
                <w:rFonts w:cs="Times New Roman"/>
                <w:sz w:val="21"/>
                <w:szCs w:val="21"/>
              </w:rPr>
            </w:pPr>
            <w:r>
              <w:rPr>
                <w:rFonts w:hint="eastAsia" w:cs="Times New Roman"/>
                <w:sz w:val="21"/>
                <w:szCs w:val="21"/>
              </w:rPr>
              <w:t>31.671625</w:t>
            </w:r>
          </w:p>
        </w:tc>
        <w:tc>
          <w:tcPr>
            <w:tcW w:w="1080" w:type="dxa"/>
            <w:noWrap/>
            <w:vAlign w:val="center"/>
          </w:tcPr>
          <w:p w14:paraId="0F3C214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4AD0C9A">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64831B77">
            <w:pPr>
              <w:spacing w:line="240" w:lineRule="auto"/>
              <w:ind w:firstLine="0" w:firstLineChars="0"/>
              <w:jc w:val="center"/>
              <w:rPr>
                <w:rFonts w:cs="Times New Roman"/>
                <w:sz w:val="21"/>
                <w:szCs w:val="21"/>
              </w:rPr>
            </w:pPr>
            <w:r>
              <w:rPr>
                <w:rFonts w:hint="eastAsia" w:cs="Times New Roman"/>
                <w:sz w:val="21"/>
                <w:szCs w:val="21"/>
              </w:rPr>
              <w:t>1527</w:t>
            </w:r>
          </w:p>
        </w:tc>
        <w:tc>
          <w:tcPr>
            <w:tcW w:w="1168" w:type="dxa"/>
            <w:noWrap/>
            <w:vAlign w:val="center"/>
          </w:tcPr>
          <w:p w14:paraId="7403AF6E">
            <w:pPr>
              <w:spacing w:line="240" w:lineRule="auto"/>
              <w:ind w:firstLine="0" w:firstLineChars="0"/>
              <w:jc w:val="center"/>
              <w:rPr>
                <w:rFonts w:cs="Times New Roman"/>
                <w:sz w:val="21"/>
                <w:szCs w:val="21"/>
              </w:rPr>
            </w:pPr>
            <w:r>
              <w:rPr>
                <w:rFonts w:hint="eastAsia" w:cs="Times New Roman"/>
                <w:sz w:val="21"/>
                <w:szCs w:val="21"/>
              </w:rPr>
              <w:t>约20</w:t>
            </w:r>
          </w:p>
        </w:tc>
      </w:tr>
      <w:tr w14:paraId="5D861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0D5E60D">
            <w:pPr>
              <w:pStyle w:val="39"/>
              <w:numPr>
                <w:ilvl w:val="0"/>
                <w:numId w:val="7"/>
              </w:numPr>
              <w:spacing w:line="240" w:lineRule="auto"/>
              <w:ind w:firstLineChars="0"/>
              <w:jc w:val="center"/>
              <w:rPr>
                <w:rFonts w:cs="Times New Roman"/>
                <w:sz w:val="21"/>
                <w:szCs w:val="21"/>
              </w:rPr>
            </w:pPr>
          </w:p>
        </w:tc>
        <w:tc>
          <w:tcPr>
            <w:tcW w:w="992" w:type="dxa"/>
            <w:noWrap/>
            <w:vAlign w:val="center"/>
          </w:tcPr>
          <w:p w14:paraId="0038A8D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10B371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185C76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7063397">
            <w:pPr>
              <w:spacing w:line="240" w:lineRule="auto"/>
              <w:ind w:firstLine="0" w:firstLineChars="0"/>
              <w:jc w:val="center"/>
              <w:rPr>
                <w:rFonts w:cs="Times New Roman"/>
                <w:sz w:val="21"/>
                <w:szCs w:val="21"/>
              </w:rPr>
            </w:pPr>
            <w:r>
              <w:rPr>
                <w:rFonts w:hint="eastAsia" w:cs="Times New Roman"/>
                <w:sz w:val="21"/>
                <w:szCs w:val="21"/>
              </w:rPr>
              <w:t>潘家圩</w:t>
            </w:r>
          </w:p>
        </w:tc>
        <w:tc>
          <w:tcPr>
            <w:tcW w:w="1701" w:type="dxa"/>
            <w:noWrap/>
            <w:vAlign w:val="center"/>
          </w:tcPr>
          <w:p w14:paraId="6086422B">
            <w:pPr>
              <w:spacing w:line="240" w:lineRule="auto"/>
              <w:ind w:firstLine="0" w:firstLineChars="0"/>
              <w:jc w:val="center"/>
              <w:rPr>
                <w:rFonts w:cs="Times New Roman"/>
                <w:sz w:val="21"/>
                <w:szCs w:val="21"/>
              </w:rPr>
            </w:pPr>
            <w:r>
              <w:rPr>
                <w:rFonts w:hint="eastAsia" w:cs="Times New Roman"/>
                <w:sz w:val="21"/>
                <w:szCs w:val="21"/>
              </w:rPr>
              <w:t>119.420764</w:t>
            </w:r>
          </w:p>
        </w:tc>
        <w:tc>
          <w:tcPr>
            <w:tcW w:w="1690" w:type="dxa"/>
            <w:noWrap/>
            <w:vAlign w:val="center"/>
          </w:tcPr>
          <w:p w14:paraId="77304C4E">
            <w:pPr>
              <w:spacing w:line="240" w:lineRule="auto"/>
              <w:ind w:firstLine="0" w:firstLineChars="0"/>
              <w:jc w:val="center"/>
              <w:rPr>
                <w:rFonts w:cs="Times New Roman"/>
                <w:sz w:val="21"/>
                <w:szCs w:val="21"/>
              </w:rPr>
            </w:pPr>
            <w:r>
              <w:rPr>
                <w:rFonts w:hint="eastAsia" w:cs="Times New Roman"/>
                <w:sz w:val="21"/>
                <w:szCs w:val="21"/>
              </w:rPr>
              <w:t>31.673879</w:t>
            </w:r>
          </w:p>
        </w:tc>
        <w:tc>
          <w:tcPr>
            <w:tcW w:w="1080" w:type="dxa"/>
            <w:noWrap/>
            <w:vAlign w:val="center"/>
          </w:tcPr>
          <w:p w14:paraId="33AEFD8E">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8E892EB">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77E58EC8">
            <w:pPr>
              <w:spacing w:line="240" w:lineRule="auto"/>
              <w:ind w:firstLine="0" w:firstLineChars="0"/>
              <w:jc w:val="center"/>
              <w:rPr>
                <w:rFonts w:cs="Times New Roman"/>
                <w:sz w:val="21"/>
                <w:szCs w:val="21"/>
              </w:rPr>
            </w:pPr>
            <w:r>
              <w:rPr>
                <w:rFonts w:hint="eastAsia" w:cs="Times New Roman"/>
                <w:sz w:val="21"/>
                <w:szCs w:val="21"/>
              </w:rPr>
              <w:t>1936</w:t>
            </w:r>
          </w:p>
        </w:tc>
        <w:tc>
          <w:tcPr>
            <w:tcW w:w="1168" w:type="dxa"/>
            <w:noWrap/>
            <w:vAlign w:val="center"/>
          </w:tcPr>
          <w:p w14:paraId="5919ADCB">
            <w:pPr>
              <w:spacing w:line="240" w:lineRule="auto"/>
              <w:ind w:firstLine="0" w:firstLineChars="0"/>
              <w:jc w:val="center"/>
              <w:rPr>
                <w:rFonts w:cs="Times New Roman"/>
                <w:sz w:val="21"/>
                <w:szCs w:val="21"/>
              </w:rPr>
            </w:pPr>
            <w:r>
              <w:rPr>
                <w:rFonts w:hint="eastAsia" w:cs="Times New Roman"/>
                <w:sz w:val="21"/>
                <w:szCs w:val="21"/>
              </w:rPr>
              <w:t>约20</w:t>
            </w:r>
          </w:p>
        </w:tc>
      </w:tr>
      <w:tr w14:paraId="04243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A1BA13E">
            <w:pPr>
              <w:pStyle w:val="39"/>
              <w:numPr>
                <w:ilvl w:val="0"/>
                <w:numId w:val="7"/>
              </w:numPr>
              <w:spacing w:line="240" w:lineRule="auto"/>
              <w:ind w:firstLineChars="0"/>
              <w:jc w:val="center"/>
              <w:rPr>
                <w:rFonts w:cs="Times New Roman"/>
                <w:sz w:val="21"/>
                <w:szCs w:val="21"/>
              </w:rPr>
            </w:pPr>
          </w:p>
        </w:tc>
        <w:tc>
          <w:tcPr>
            <w:tcW w:w="992" w:type="dxa"/>
            <w:noWrap/>
            <w:vAlign w:val="center"/>
          </w:tcPr>
          <w:p w14:paraId="6C06094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29E922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3436D01">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D4BA4B4">
            <w:pPr>
              <w:spacing w:line="240" w:lineRule="auto"/>
              <w:ind w:firstLine="0" w:firstLineChars="0"/>
              <w:jc w:val="center"/>
              <w:rPr>
                <w:rFonts w:cs="Times New Roman"/>
                <w:sz w:val="21"/>
                <w:szCs w:val="21"/>
              </w:rPr>
            </w:pPr>
            <w:r>
              <w:rPr>
                <w:rFonts w:hint="eastAsia" w:cs="Times New Roman"/>
                <w:sz w:val="21"/>
                <w:szCs w:val="21"/>
              </w:rPr>
              <w:t>里埠墩</w:t>
            </w:r>
          </w:p>
        </w:tc>
        <w:tc>
          <w:tcPr>
            <w:tcW w:w="1701" w:type="dxa"/>
            <w:noWrap/>
            <w:vAlign w:val="center"/>
          </w:tcPr>
          <w:p w14:paraId="1181BFF4">
            <w:pPr>
              <w:spacing w:line="240" w:lineRule="auto"/>
              <w:ind w:firstLine="0" w:firstLineChars="0"/>
              <w:jc w:val="center"/>
              <w:rPr>
                <w:rFonts w:cs="Times New Roman"/>
                <w:sz w:val="21"/>
                <w:szCs w:val="21"/>
              </w:rPr>
            </w:pPr>
            <w:r>
              <w:rPr>
                <w:rFonts w:hint="eastAsia" w:cs="Times New Roman"/>
                <w:sz w:val="21"/>
                <w:szCs w:val="21"/>
              </w:rPr>
              <w:t>119.424001</w:t>
            </w:r>
          </w:p>
        </w:tc>
        <w:tc>
          <w:tcPr>
            <w:tcW w:w="1690" w:type="dxa"/>
            <w:noWrap/>
            <w:vAlign w:val="center"/>
          </w:tcPr>
          <w:p w14:paraId="2F503757">
            <w:pPr>
              <w:spacing w:line="240" w:lineRule="auto"/>
              <w:ind w:firstLine="0" w:firstLineChars="0"/>
              <w:jc w:val="center"/>
              <w:rPr>
                <w:rFonts w:cs="Times New Roman"/>
                <w:sz w:val="21"/>
                <w:szCs w:val="21"/>
              </w:rPr>
            </w:pPr>
            <w:r>
              <w:rPr>
                <w:rFonts w:hint="eastAsia" w:cs="Times New Roman"/>
                <w:sz w:val="21"/>
                <w:szCs w:val="21"/>
              </w:rPr>
              <w:t>31.675573</w:t>
            </w:r>
          </w:p>
        </w:tc>
        <w:tc>
          <w:tcPr>
            <w:tcW w:w="1080" w:type="dxa"/>
            <w:noWrap/>
            <w:vAlign w:val="center"/>
          </w:tcPr>
          <w:p w14:paraId="0854A50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17E25E0">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506C98AB">
            <w:pPr>
              <w:spacing w:line="240" w:lineRule="auto"/>
              <w:ind w:firstLine="0" w:firstLineChars="0"/>
              <w:jc w:val="center"/>
              <w:rPr>
                <w:rFonts w:cs="Times New Roman"/>
                <w:sz w:val="21"/>
                <w:szCs w:val="21"/>
              </w:rPr>
            </w:pPr>
            <w:r>
              <w:rPr>
                <w:rFonts w:hint="eastAsia" w:cs="Times New Roman"/>
                <w:sz w:val="21"/>
                <w:szCs w:val="21"/>
              </w:rPr>
              <w:t>2146</w:t>
            </w:r>
          </w:p>
        </w:tc>
        <w:tc>
          <w:tcPr>
            <w:tcW w:w="1168" w:type="dxa"/>
            <w:noWrap/>
            <w:vAlign w:val="center"/>
          </w:tcPr>
          <w:p w14:paraId="2A65DA64">
            <w:pPr>
              <w:spacing w:line="240" w:lineRule="auto"/>
              <w:ind w:firstLine="0" w:firstLineChars="0"/>
              <w:jc w:val="center"/>
              <w:rPr>
                <w:rFonts w:cs="Times New Roman"/>
                <w:sz w:val="21"/>
                <w:szCs w:val="21"/>
              </w:rPr>
            </w:pPr>
            <w:r>
              <w:rPr>
                <w:rFonts w:hint="eastAsia" w:cs="Times New Roman"/>
                <w:sz w:val="21"/>
                <w:szCs w:val="21"/>
              </w:rPr>
              <w:t>约30</w:t>
            </w:r>
          </w:p>
        </w:tc>
      </w:tr>
      <w:tr w14:paraId="007A0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042504E">
            <w:pPr>
              <w:pStyle w:val="39"/>
              <w:numPr>
                <w:ilvl w:val="0"/>
                <w:numId w:val="7"/>
              </w:numPr>
              <w:spacing w:line="240" w:lineRule="auto"/>
              <w:ind w:firstLineChars="0"/>
              <w:jc w:val="center"/>
              <w:rPr>
                <w:rFonts w:cs="Times New Roman"/>
                <w:sz w:val="21"/>
                <w:szCs w:val="21"/>
              </w:rPr>
            </w:pPr>
          </w:p>
        </w:tc>
        <w:tc>
          <w:tcPr>
            <w:tcW w:w="992" w:type="dxa"/>
            <w:noWrap/>
            <w:vAlign w:val="center"/>
          </w:tcPr>
          <w:p w14:paraId="54827FC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7C170A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B1EAD87">
            <w:pPr>
              <w:spacing w:line="240" w:lineRule="auto"/>
              <w:ind w:firstLine="0" w:firstLineChars="0"/>
              <w:jc w:val="center"/>
              <w:rPr>
                <w:rFonts w:cs="Times New Roman"/>
                <w:sz w:val="21"/>
                <w:szCs w:val="21"/>
              </w:rPr>
            </w:pPr>
            <w:r>
              <w:rPr>
                <w:rFonts w:hint="eastAsia" w:cs="Times New Roman"/>
                <w:sz w:val="21"/>
                <w:szCs w:val="21"/>
              </w:rPr>
              <w:t>朱林镇</w:t>
            </w:r>
          </w:p>
        </w:tc>
        <w:tc>
          <w:tcPr>
            <w:tcW w:w="2409" w:type="dxa"/>
            <w:noWrap/>
            <w:vAlign w:val="center"/>
          </w:tcPr>
          <w:p w14:paraId="7B0B07FE">
            <w:pPr>
              <w:spacing w:line="240" w:lineRule="auto"/>
              <w:ind w:firstLine="0" w:firstLineChars="0"/>
              <w:jc w:val="center"/>
              <w:rPr>
                <w:rFonts w:cs="Times New Roman"/>
                <w:sz w:val="21"/>
                <w:szCs w:val="21"/>
              </w:rPr>
            </w:pPr>
            <w:r>
              <w:rPr>
                <w:rFonts w:hint="eastAsia" w:cs="Times New Roman"/>
                <w:sz w:val="21"/>
                <w:szCs w:val="21"/>
              </w:rPr>
              <w:t>珠珠山</w:t>
            </w:r>
          </w:p>
        </w:tc>
        <w:tc>
          <w:tcPr>
            <w:tcW w:w="1701" w:type="dxa"/>
            <w:noWrap/>
            <w:vAlign w:val="center"/>
          </w:tcPr>
          <w:p w14:paraId="1CDFF389">
            <w:pPr>
              <w:spacing w:line="240" w:lineRule="auto"/>
              <w:ind w:firstLine="0" w:firstLineChars="0"/>
              <w:jc w:val="center"/>
              <w:rPr>
                <w:rFonts w:cs="Times New Roman"/>
                <w:sz w:val="21"/>
                <w:szCs w:val="21"/>
              </w:rPr>
            </w:pPr>
            <w:r>
              <w:rPr>
                <w:rFonts w:hint="eastAsia" w:cs="Times New Roman"/>
                <w:sz w:val="21"/>
                <w:szCs w:val="21"/>
              </w:rPr>
              <w:t>119.418111</w:t>
            </w:r>
          </w:p>
        </w:tc>
        <w:tc>
          <w:tcPr>
            <w:tcW w:w="1690" w:type="dxa"/>
            <w:noWrap/>
            <w:vAlign w:val="center"/>
          </w:tcPr>
          <w:p w14:paraId="71B1C22F">
            <w:pPr>
              <w:spacing w:line="240" w:lineRule="auto"/>
              <w:ind w:firstLine="0" w:firstLineChars="0"/>
              <w:jc w:val="center"/>
              <w:rPr>
                <w:rFonts w:cs="Times New Roman"/>
                <w:sz w:val="21"/>
                <w:szCs w:val="21"/>
              </w:rPr>
            </w:pPr>
            <w:r>
              <w:rPr>
                <w:rFonts w:hint="eastAsia" w:cs="Times New Roman"/>
                <w:sz w:val="21"/>
                <w:szCs w:val="21"/>
              </w:rPr>
              <w:t>31.685411</w:t>
            </w:r>
          </w:p>
        </w:tc>
        <w:tc>
          <w:tcPr>
            <w:tcW w:w="1080" w:type="dxa"/>
            <w:noWrap/>
            <w:vAlign w:val="center"/>
          </w:tcPr>
          <w:p w14:paraId="19919CB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FFF1ED2">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08316031">
            <w:pPr>
              <w:spacing w:line="240" w:lineRule="auto"/>
              <w:ind w:firstLine="0" w:firstLineChars="0"/>
              <w:jc w:val="center"/>
              <w:rPr>
                <w:rFonts w:cs="Times New Roman"/>
                <w:sz w:val="21"/>
                <w:szCs w:val="21"/>
              </w:rPr>
            </w:pPr>
            <w:r>
              <w:rPr>
                <w:rFonts w:hint="eastAsia" w:cs="Times New Roman"/>
                <w:sz w:val="21"/>
                <w:szCs w:val="21"/>
              </w:rPr>
              <w:t>1724</w:t>
            </w:r>
          </w:p>
        </w:tc>
        <w:tc>
          <w:tcPr>
            <w:tcW w:w="1168" w:type="dxa"/>
            <w:noWrap/>
            <w:vAlign w:val="center"/>
          </w:tcPr>
          <w:p w14:paraId="0722305A">
            <w:pPr>
              <w:spacing w:line="240" w:lineRule="auto"/>
              <w:ind w:firstLine="0" w:firstLineChars="0"/>
              <w:jc w:val="center"/>
              <w:rPr>
                <w:rFonts w:cs="Times New Roman"/>
                <w:sz w:val="21"/>
                <w:szCs w:val="21"/>
              </w:rPr>
            </w:pPr>
            <w:r>
              <w:rPr>
                <w:rFonts w:hint="eastAsia" w:cs="Times New Roman"/>
                <w:sz w:val="21"/>
                <w:szCs w:val="21"/>
              </w:rPr>
              <w:t>约20</w:t>
            </w:r>
          </w:p>
        </w:tc>
      </w:tr>
      <w:tr w14:paraId="6D313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DD42FB3">
            <w:pPr>
              <w:pStyle w:val="39"/>
              <w:numPr>
                <w:ilvl w:val="0"/>
                <w:numId w:val="7"/>
              </w:numPr>
              <w:spacing w:line="240" w:lineRule="auto"/>
              <w:ind w:firstLineChars="0"/>
              <w:jc w:val="center"/>
              <w:rPr>
                <w:rFonts w:cs="Times New Roman"/>
                <w:sz w:val="21"/>
                <w:szCs w:val="21"/>
              </w:rPr>
            </w:pPr>
          </w:p>
        </w:tc>
        <w:tc>
          <w:tcPr>
            <w:tcW w:w="992" w:type="dxa"/>
            <w:noWrap/>
            <w:vAlign w:val="center"/>
          </w:tcPr>
          <w:p w14:paraId="5E8841E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238FD99">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BF0DBDC">
            <w:pPr>
              <w:spacing w:line="240" w:lineRule="auto"/>
              <w:ind w:firstLine="0" w:firstLineChars="0"/>
              <w:jc w:val="center"/>
              <w:rPr>
                <w:rFonts w:cs="Times New Roman"/>
                <w:sz w:val="21"/>
                <w:szCs w:val="21"/>
              </w:rPr>
            </w:pPr>
            <w:r>
              <w:rPr>
                <w:rFonts w:hint="eastAsia" w:cs="Times New Roman"/>
                <w:sz w:val="21"/>
                <w:szCs w:val="21"/>
              </w:rPr>
              <w:t>朱林镇</w:t>
            </w:r>
          </w:p>
        </w:tc>
        <w:tc>
          <w:tcPr>
            <w:tcW w:w="2409" w:type="dxa"/>
            <w:noWrap/>
            <w:vAlign w:val="center"/>
          </w:tcPr>
          <w:p w14:paraId="08517E0D">
            <w:pPr>
              <w:spacing w:line="240" w:lineRule="auto"/>
              <w:ind w:firstLine="0" w:firstLineChars="0"/>
              <w:jc w:val="center"/>
              <w:rPr>
                <w:rFonts w:cs="Times New Roman"/>
                <w:sz w:val="21"/>
                <w:szCs w:val="21"/>
              </w:rPr>
            </w:pPr>
            <w:r>
              <w:rPr>
                <w:rFonts w:hint="eastAsia" w:cs="Times New Roman"/>
                <w:sz w:val="21"/>
                <w:szCs w:val="21"/>
              </w:rPr>
              <w:t>南鱼桥</w:t>
            </w:r>
          </w:p>
        </w:tc>
        <w:tc>
          <w:tcPr>
            <w:tcW w:w="1701" w:type="dxa"/>
            <w:noWrap/>
            <w:vAlign w:val="center"/>
          </w:tcPr>
          <w:p w14:paraId="47461F3C">
            <w:pPr>
              <w:spacing w:line="240" w:lineRule="auto"/>
              <w:ind w:firstLine="0" w:firstLineChars="0"/>
              <w:jc w:val="center"/>
              <w:rPr>
                <w:rFonts w:cs="Times New Roman"/>
                <w:sz w:val="21"/>
                <w:szCs w:val="21"/>
              </w:rPr>
            </w:pPr>
            <w:r>
              <w:rPr>
                <w:rFonts w:hint="eastAsia" w:cs="Times New Roman"/>
                <w:sz w:val="21"/>
                <w:szCs w:val="21"/>
              </w:rPr>
              <w:t>119.414787</w:t>
            </w:r>
          </w:p>
        </w:tc>
        <w:tc>
          <w:tcPr>
            <w:tcW w:w="1690" w:type="dxa"/>
            <w:noWrap/>
            <w:vAlign w:val="center"/>
          </w:tcPr>
          <w:p w14:paraId="12FBFB1A">
            <w:pPr>
              <w:spacing w:line="240" w:lineRule="auto"/>
              <w:ind w:firstLine="0" w:firstLineChars="0"/>
              <w:jc w:val="center"/>
              <w:rPr>
                <w:rFonts w:cs="Times New Roman"/>
                <w:sz w:val="21"/>
                <w:szCs w:val="21"/>
              </w:rPr>
            </w:pPr>
            <w:r>
              <w:rPr>
                <w:rFonts w:hint="eastAsia" w:cs="Times New Roman"/>
                <w:sz w:val="21"/>
                <w:szCs w:val="21"/>
              </w:rPr>
              <w:t>31.69777</w:t>
            </w:r>
          </w:p>
        </w:tc>
        <w:tc>
          <w:tcPr>
            <w:tcW w:w="1080" w:type="dxa"/>
            <w:noWrap/>
            <w:vAlign w:val="center"/>
          </w:tcPr>
          <w:p w14:paraId="6D34D98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4DDBED4">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378FADA2">
            <w:pPr>
              <w:spacing w:line="240" w:lineRule="auto"/>
              <w:ind w:firstLine="0" w:firstLineChars="0"/>
              <w:jc w:val="center"/>
              <w:rPr>
                <w:rFonts w:cs="Times New Roman"/>
                <w:sz w:val="21"/>
                <w:szCs w:val="21"/>
              </w:rPr>
            </w:pPr>
            <w:r>
              <w:rPr>
                <w:rFonts w:hint="eastAsia" w:cs="Times New Roman"/>
                <w:sz w:val="21"/>
                <w:szCs w:val="21"/>
              </w:rPr>
              <w:t>1956</w:t>
            </w:r>
          </w:p>
        </w:tc>
        <w:tc>
          <w:tcPr>
            <w:tcW w:w="1168" w:type="dxa"/>
            <w:noWrap/>
            <w:vAlign w:val="center"/>
          </w:tcPr>
          <w:p w14:paraId="2B63C3A6">
            <w:pPr>
              <w:spacing w:line="240" w:lineRule="auto"/>
              <w:ind w:firstLine="0" w:firstLineChars="0"/>
              <w:jc w:val="center"/>
              <w:rPr>
                <w:rFonts w:cs="Times New Roman"/>
                <w:sz w:val="21"/>
                <w:szCs w:val="21"/>
              </w:rPr>
            </w:pPr>
            <w:r>
              <w:rPr>
                <w:rFonts w:hint="eastAsia" w:cs="Times New Roman"/>
                <w:sz w:val="21"/>
                <w:szCs w:val="21"/>
              </w:rPr>
              <w:t>约30</w:t>
            </w:r>
          </w:p>
        </w:tc>
      </w:tr>
      <w:tr w14:paraId="56CBD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BF5D81E">
            <w:pPr>
              <w:pStyle w:val="39"/>
              <w:numPr>
                <w:ilvl w:val="0"/>
                <w:numId w:val="7"/>
              </w:numPr>
              <w:spacing w:line="240" w:lineRule="auto"/>
              <w:ind w:firstLineChars="0"/>
              <w:jc w:val="center"/>
              <w:rPr>
                <w:rFonts w:cs="Times New Roman"/>
                <w:sz w:val="21"/>
                <w:szCs w:val="21"/>
              </w:rPr>
            </w:pPr>
          </w:p>
        </w:tc>
        <w:tc>
          <w:tcPr>
            <w:tcW w:w="992" w:type="dxa"/>
            <w:noWrap/>
            <w:vAlign w:val="center"/>
          </w:tcPr>
          <w:p w14:paraId="16C7836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659D05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E3F9036">
            <w:pPr>
              <w:spacing w:line="240" w:lineRule="auto"/>
              <w:ind w:firstLine="0" w:firstLineChars="0"/>
              <w:jc w:val="center"/>
              <w:rPr>
                <w:rFonts w:cs="Times New Roman"/>
                <w:sz w:val="21"/>
                <w:szCs w:val="21"/>
              </w:rPr>
            </w:pPr>
            <w:r>
              <w:rPr>
                <w:rFonts w:hint="eastAsia" w:cs="Times New Roman"/>
                <w:sz w:val="21"/>
                <w:szCs w:val="21"/>
              </w:rPr>
              <w:t>朱林镇</w:t>
            </w:r>
          </w:p>
        </w:tc>
        <w:tc>
          <w:tcPr>
            <w:tcW w:w="2409" w:type="dxa"/>
            <w:noWrap/>
            <w:vAlign w:val="center"/>
          </w:tcPr>
          <w:p w14:paraId="22E83FAB">
            <w:pPr>
              <w:spacing w:line="240" w:lineRule="auto"/>
              <w:ind w:firstLine="0" w:firstLineChars="0"/>
              <w:jc w:val="center"/>
              <w:rPr>
                <w:rFonts w:cs="Times New Roman"/>
                <w:sz w:val="21"/>
                <w:szCs w:val="21"/>
              </w:rPr>
            </w:pPr>
            <w:r>
              <w:rPr>
                <w:rFonts w:hint="eastAsia" w:cs="Times New Roman"/>
                <w:sz w:val="21"/>
                <w:szCs w:val="21"/>
              </w:rPr>
              <w:t>大兴圩</w:t>
            </w:r>
          </w:p>
        </w:tc>
        <w:tc>
          <w:tcPr>
            <w:tcW w:w="1701" w:type="dxa"/>
            <w:noWrap/>
            <w:vAlign w:val="center"/>
          </w:tcPr>
          <w:p w14:paraId="14CCBCD1">
            <w:pPr>
              <w:spacing w:line="240" w:lineRule="auto"/>
              <w:ind w:firstLine="0" w:firstLineChars="0"/>
              <w:jc w:val="center"/>
              <w:rPr>
                <w:rFonts w:cs="Times New Roman"/>
                <w:sz w:val="21"/>
                <w:szCs w:val="21"/>
              </w:rPr>
            </w:pPr>
            <w:r>
              <w:rPr>
                <w:rFonts w:hint="eastAsia" w:cs="Times New Roman"/>
                <w:sz w:val="21"/>
                <w:szCs w:val="21"/>
              </w:rPr>
              <w:t>119.409713</w:t>
            </w:r>
          </w:p>
        </w:tc>
        <w:tc>
          <w:tcPr>
            <w:tcW w:w="1690" w:type="dxa"/>
            <w:noWrap/>
            <w:vAlign w:val="center"/>
          </w:tcPr>
          <w:p w14:paraId="27683A76">
            <w:pPr>
              <w:spacing w:line="240" w:lineRule="auto"/>
              <w:ind w:firstLine="0" w:firstLineChars="0"/>
              <w:jc w:val="center"/>
              <w:rPr>
                <w:rFonts w:cs="Times New Roman"/>
                <w:sz w:val="21"/>
                <w:szCs w:val="21"/>
              </w:rPr>
            </w:pPr>
            <w:r>
              <w:rPr>
                <w:rFonts w:hint="eastAsia" w:cs="Times New Roman"/>
                <w:sz w:val="21"/>
                <w:szCs w:val="21"/>
              </w:rPr>
              <w:t>31.696503</w:t>
            </w:r>
          </w:p>
        </w:tc>
        <w:tc>
          <w:tcPr>
            <w:tcW w:w="1080" w:type="dxa"/>
            <w:noWrap/>
            <w:vAlign w:val="center"/>
          </w:tcPr>
          <w:p w14:paraId="6D3ED53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6951105">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78D7C27F">
            <w:pPr>
              <w:spacing w:line="240" w:lineRule="auto"/>
              <w:ind w:firstLine="0" w:firstLineChars="0"/>
              <w:jc w:val="center"/>
              <w:rPr>
                <w:rFonts w:cs="Times New Roman"/>
                <w:sz w:val="21"/>
                <w:szCs w:val="21"/>
              </w:rPr>
            </w:pPr>
            <w:r>
              <w:rPr>
                <w:rFonts w:hint="eastAsia" w:cs="Times New Roman"/>
                <w:sz w:val="21"/>
                <w:szCs w:val="21"/>
              </w:rPr>
              <w:t>1510</w:t>
            </w:r>
          </w:p>
        </w:tc>
        <w:tc>
          <w:tcPr>
            <w:tcW w:w="1168" w:type="dxa"/>
            <w:noWrap/>
            <w:vAlign w:val="center"/>
          </w:tcPr>
          <w:p w14:paraId="1672AA5D">
            <w:pPr>
              <w:spacing w:line="240" w:lineRule="auto"/>
              <w:ind w:firstLine="0" w:firstLineChars="0"/>
              <w:jc w:val="center"/>
              <w:rPr>
                <w:rFonts w:cs="Times New Roman"/>
                <w:sz w:val="21"/>
                <w:szCs w:val="21"/>
              </w:rPr>
            </w:pPr>
            <w:r>
              <w:rPr>
                <w:rFonts w:hint="eastAsia" w:cs="Times New Roman"/>
                <w:sz w:val="21"/>
                <w:szCs w:val="21"/>
              </w:rPr>
              <w:t>约20</w:t>
            </w:r>
          </w:p>
        </w:tc>
      </w:tr>
      <w:tr w14:paraId="70F00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22A4D5E">
            <w:pPr>
              <w:pStyle w:val="39"/>
              <w:numPr>
                <w:ilvl w:val="0"/>
                <w:numId w:val="7"/>
              </w:numPr>
              <w:spacing w:line="240" w:lineRule="auto"/>
              <w:ind w:firstLineChars="0"/>
              <w:jc w:val="center"/>
              <w:rPr>
                <w:rFonts w:cs="Times New Roman"/>
                <w:sz w:val="21"/>
                <w:szCs w:val="21"/>
              </w:rPr>
            </w:pPr>
          </w:p>
        </w:tc>
        <w:tc>
          <w:tcPr>
            <w:tcW w:w="992" w:type="dxa"/>
            <w:noWrap/>
            <w:vAlign w:val="center"/>
          </w:tcPr>
          <w:p w14:paraId="562571E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E46F250">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8D6FFA6">
            <w:pPr>
              <w:spacing w:line="240" w:lineRule="auto"/>
              <w:ind w:firstLine="0" w:firstLineChars="0"/>
              <w:jc w:val="center"/>
              <w:rPr>
                <w:rFonts w:cs="Times New Roman"/>
                <w:sz w:val="21"/>
                <w:szCs w:val="21"/>
              </w:rPr>
            </w:pPr>
            <w:r>
              <w:rPr>
                <w:rFonts w:hint="eastAsia" w:cs="Times New Roman"/>
                <w:sz w:val="21"/>
                <w:szCs w:val="21"/>
              </w:rPr>
              <w:t>朱林镇</w:t>
            </w:r>
          </w:p>
        </w:tc>
        <w:tc>
          <w:tcPr>
            <w:tcW w:w="2409" w:type="dxa"/>
            <w:noWrap/>
            <w:vAlign w:val="center"/>
          </w:tcPr>
          <w:p w14:paraId="36FFBDB7">
            <w:pPr>
              <w:spacing w:line="240" w:lineRule="auto"/>
              <w:ind w:firstLine="0" w:firstLineChars="0"/>
              <w:jc w:val="center"/>
              <w:rPr>
                <w:rFonts w:cs="Times New Roman"/>
                <w:sz w:val="21"/>
                <w:szCs w:val="21"/>
              </w:rPr>
            </w:pPr>
            <w:r>
              <w:rPr>
                <w:rFonts w:hint="eastAsia" w:cs="Times New Roman"/>
                <w:sz w:val="21"/>
                <w:szCs w:val="21"/>
              </w:rPr>
              <w:t>蒋家墩</w:t>
            </w:r>
          </w:p>
        </w:tc>
        <w:tc>
          <w:tcPr>
            <w:tcW w:w="1701" w:type="dxa"/>
            <w:noWrap/>
            <w:vAlign w:val="center"/>
          </w:tcPr>
          <w:p w14:paraId="39AFDFC8">
            <w:pPr>
              <w:spacing w:line="240" w:lineRule="auto"/>
              <w:ind w:firstLine="0" w:firstLineChars="0"/>
              <w:jc w:val="center"/>
              <w:rPr>
                <w:rFonts w:cs="Times New Roman"/>
                <w:sz w:val="21"/>
                <w:szCs w:val="21"/>
              </w:rPr>
            </w:pPr>
            <w:r>
              <w:rPr>
                <w:rFonts w:hint="eastAsia" w:cs="Times New Roman"/>
                <w:sz w:val="21"/>
                <w:szCs w:val="21"/>
              </w:rPr>
              <w:t>119.410096</w:t>
            </w:r>
          </w:p>
        </w:tc>
        <w:tc>
          <w:tcPr>
            <w:tcW w:w="1690" w:type="dxa"/>
            <w:noWrap/>
            <w:vAlign w:val="center"/>
          </w:tcPr>
          <w:p w14:paraId="7DE2EFC4">
            <w:pPr>
              <w:spacing w:line="240" w:lineRule="auto"/>
              <w:ind w:firstLine="0" w:firstLineChars="0"/>
              <w:jc w:val="center"/>
              <w:rPr>
                <w:rFonts w:cs="Times New Roman"/>
                <w:sz w:val="21"/>
                <w:szCs w:val="21"/>
              </w:rPr>
            </w:pPr>
            <w:r>
              <w:rPr>
                <w:rFonts w:hint="eastAsia" w:cs="Times New Roman"/>
                <w:sz w:val="21"/>
                <w:szCs w:val="21"/>
              </w:rPr>
              <w:t>31.702857</w:t>
            </w:r>
          </w:p>
        </w:tc>
        <w:tc>
          <w:tcPr>
            <w:tcW w:w="1080" w:type="dxa"/>
            <w:noWrap/>
            <w:vAlign w:val="center"/>
          </w:tcPr>
          <w:p w14:paraId="0B3982E4">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3336A6B">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4D54D614">
            <w:pPr>
              <w:spacing w:line="240" w:lineRule="auto"/>
              <w:ind w:firstLine="0" w:firstLineChars="0"/>
              <w:jc w:val="center"/>
              <w:rPr>
                <w:rFonts w:cs="Times New Roman"/>
                <w:sz w:val="21"/>
                <w:szCs w:val="21"/>
              </w:rPr>
            </w:pPr>
            <w:r>
              <w:rPr>
                <w:rFonts w:hint="eastAsia" w:cs="Times New Roman"/>
                <w:sz w:val="21"/>
                <w:szCs w:val="21"/>
              </w:rPr>
              <w:t>2110</w:t>
            </w:r>
          </w:p>
        </w:tc>
        <w:tc>
          <w:tcPr>
            <w:tcW w:w="1168" w:type="dxa"/>
            <w:noWrap/>
            <w:vAlign w:val="center"/>
          </w:tcPr>
          <w:p w14:paraId="4A11BA0D">
            <w:pPr>
              <w:spacing w:line="240" w:lineRule="auto"/>
              <w:ind w:firstLine="0" w:firstLineChars="0"/>
              <w:jc w:val="center"/>
              <w:rPr>
                <w:rFonts w:cs="Times New Roman"/>
                <w:sz w:val="21"/>
                <w:szCs w:val="21"/>
              </w:rPr>
            </w:pPr>
            <w:r>
              <w:rPr>
                <w:rFonts w:hint="eastAsia" w:cs="Times New Roman"/>
                <w:sz w:val="21"/>
                <w:szCs w:val="21"/>
              </w:rPr>
              <w:t>约20</w:t>
            </w:r>
          </w:p>
        </w:tc>
      </w:tr>
      <w:tr w14:paraId="21CFA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5745911">
            <w:pPr>
              <w:pStyle w:val="39"/>
              <w:numPr>
                <w:ilvl w:val="0"/>
                <w:numId w:val="7"/>
              </w:numPr>
              <w:spacing w:line="240" w:lineRule="auto"/>
              <w:ind w:firstLineChars="0"/>
              <w:jc w:val="center"/>
              <w:rPr>
                <w:rFonts w:cs="Times New Roman"/>
                <w:sz w:val="21"/>
                <w:szCs w:val="21"/>
              </w:rPr>
            </w:pPr>
          </w:p>
        </w:tc>
        <w:tc>
          <w:tcPr>
            <w:tcW w:w="992" w:type="dxa"/>
            <w:noWrap/>
            <w:vAlign w:val="center"/>
          </w:tcPr>
          <w:p w14:paraId="3DF4E3EE">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49731DA">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3EC6BF3F">
            <w:pPr>
              <w:spacing w:line="240" w:lineRule="auto"/>
              <w:ind w:firstLine="0" w:firstLineChars="0"/>
              <w:jc w:val="center"/>
              <w:rPr>
                <w:rFonts w:cs="Times New Roman"/>
                <w:sz w:val="21"/>
                <w:szCs w:val="21"/>
              </w:rPr>
            </w:pPr>
            <w:r>
              <w:rPr>
                <w:rFonts w:hint="eastAsia" w:cs="Times New Roman"/>
                <w:sz w:val="21"/>
                <w:szCs w:val="21"/>
              </w:rPr>
              <w:t>朱林镇</w:t>
            </w:r>
          </w:p>
        </w:tc>
        <w:tc>
          <w:tcPr>
            <w:tcW w:w="2409" w:type="dxa"/>
            <w:noWrap/>
            <w:vAlign w:val="center"/>
          </w:tcPr>
          <w:p w14:paraId="777DD7BF">
            <w:pPr>
              <w:spacing w:line="240" w:lineRule="auto"/>
              <w:ind w:firstLine="0" w:firstLineChars="0"/>
              <w:jc w:val="center"/>
              <w:rPr>
                <w:rFonts w:cs="Times New Roman"/>
                <w:sz w:val="21"/>
                <w:szCs w:val="21"/>
              </w:rPr>
            </w:pPr>
            <w:r>
              <w:rPr>
                <w:rFonts w:hint="eastAsia" w:cs="Times New Roman"/>
                <w:sz w:val="21"/>
                <w:szCs w:val="21"/>
              </w:rPr>
              <w:t>杨家墩</w:t>
            </w:r>
          </w:p>
        </w:tc>
        <w:tc>
          <w:tcPr>
            <w:tcW w:w="1701" w:type="dxa"/>
            <w:noWrap/>
            <w:vAlign w:val="center"/>
          </w:tcPr>
          <w:p w14:paraId="1F0AC332">
            <w:pPr>
              <w:spacing w:line="240" w:lineRule="auto"/>
              <w:ind w:firstLine="0" w:firstLineChars="0"/>
              <w:jc w:val="center"/>
              <w:rPr>
                <w:rFonts w:cs="Times New Roman"/>
                <w:sz w:val="21"/>
                <w:szCs w:val="21"/>
              </w:rPr>
            </w:pPr>
            <w:r>
              <w:rPr>
                <w:rFonts w:hint="eastAsia" w:cs="Times New Roman"/>
                <w:sz w:val="21"/>
                <w:szCs w:val="21"/>
              </w:rPr>
              <w:t>119.407622</w:t>
            </w:r>
          </w:p>
        </w:tc>
        <w:tc>
          <w:tcPr>
            <w:tcW w:w="1690" w:type="dxa"/>
            <w:noWrap/>
            <w:vAlign w:val="center"/>
          </w:tcPr>
          <w:p w14:paraId="518C0A1B">
            <w:pPr>
              <w:spacing w:line="240" w:lineRule="auto"/>
              <w:ind w:firstLine="0" w:firstLineChars="0"/>
              <w:jc w:val="center"/>
              <w:rPr>
                <w:rFonts w:cs="Times New Roman"/>
                <w:sz w:val="21"/>
                <w:szCs w:val="21"/>
              </w:rPr>
            </w:pPr>
            <w:r>
              <w:rPr>
                <w:rFonts w:hint="eastAsia" w:cs="Times New Roman"/>
                <w:sz w:val="21"/>
                <w:szCs w:val="21"/>
              </w:rPr>
              <w:t>31.702852</w:t>
            </w:r>
          </w:p>
        </w:tc>
        <w:tc>
          <w:tcPr>
            <w:tcW w:w="1080" w:type="dxa"/>
            <w:noWrap/>
            <w:vAlign w:val="center"/>
          </w:tcPr>
          <w:p w14:paraId="6B7360E8">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56B2573">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4BC14C29">
            <w:pPr>
              <w:spacing w:line="240" w:lineRule="auto"/>
              <w:ind w:firstLine="0" w:firstLineChars="0"/>
              <w:jc w:val="center"/>
              <w:rPr>
                <w:rFonts w:cs="Times New Roman"/>
                <w:sz w:val="21"/>
                <w:szCs w:val="21"/>
              </w:rPr>
            </w:pPr>
            <w:r>
              <w:rPr>
                <w:rFonts w:hint="eastAsia" w:cs="Times New Roman"/>
                <w:sz w:val="21"/>
                <w:szCs w:val="21"/>
              </w:rPr>
              <w:t>2148</w:t>
            </w:r>
          </w:p>
        </w:tc>
        <w:tc>
          <w:tcPr>
            <w:tcW w:w="1168" w:type="dxa"/>
            <w:noWrap/>
            <w:vAlign w:val="center"/>
          </w:tcPr>
          <w:p w14:paraId="372A66B4">
            <w:pPr>
              <w:spacing w:line="240" w:lineRule="auto"/>
              <w:ind w:firstLine="0" w:firstLineChars="0"/>
              <w:jc w:val="center"/>
              <w:rPr>
                <w:rFonts w:cs="Times New Roman"/>
                <w:sz w:val="21"/>
                <w:szCs w:val="21"/>
              </w:rPr>
            </w:pPr>
            <w:r>
              <w:rPr>
                <w:rFonts w:hint="eastAsia" w:cs="Times New Roman"/>
                <w:sz w:val="21"/>
                <w:szCs w:val="21"/>
              </w:rPr>
              <w:t>约20</w:t>
            </w:r>
          </w:p>
        </w:tc>
      </w:tr>
      <w:tr w14:paraId="64B77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ACF6CA3">
            <w:pPr>
              <w:pStyle w:val="39"/>
              <w:numPr>
                <w:ilvl w:val="0"/>
                <w:numId w:val="7"/>
              </w:numPr>
              <w:spacing w:line="240" w:lineRule="auto"/>
              <w:ind w:firstLineChars="0"/>
              <w:jc w:val="center"/>
              <w:rPr>
                <w:rFonts w:cs="Times New Roman"/>
                <w:sz w:val="21"/>
                <w:szCs w:val="21"/>
              </w:rPr>
            </w:pPr>
          </w:p>
        </w:tc>
        <w:tc>
          <w:tcPr>
            <w:tcW w:w="992" w:type="dxa"/>
            <w:noWrap/>
            <w:vAlign w:val="center"/>
          </w:tcPr>
          <w:p w14:paraId="29CD27C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2701EA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AF41A6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A5A2DE8">
            <w:pPr>
              <w:spacing w:line="240" w:lineRule="auto"/>
              <w:ind w:firstLine="0" w:firstLineChars="0"/>
              <w:jc w:val="center"/>
              <w:rPr>
                <w:rFonts w:cs="Times New Roman"/>
                <w:sz w:val="21"/>
                <w:szCs w:val="21"/>
              </w:rPr>
            </w:pPr>
            <w:r>
              <w:rPr>
                <w:rFonts w:hint="eastAsia" w:cs="Times New Roman"/>
                <w:sz w:val="21"/>
                <w:szCs w:val="21"/>
              </w:rPr>
              <w:t>窑墩头</w:t>
            </w:r>
          </w:p>
        </w:tc>
        <w:tc>
          <w:tcPr>
            <w:tcW w:w="1701" w:type="dxa"/>
            <w:noWrap/>
            <w:vAlign w:val="center"/>
          </w:tcPr>
          <w:p w14:paraId="0EDDF352">
            <w:pPr>
              <w:spacing w:line="240" w:lineRule="auto"/>
              <w:ind w:firstLine="0" w:firstLineChars="0"/>
              <w:jc w:val="center"/>
              <w:rPr>
                <w:rFonts w:cs="Times New Roman"/>
                <w:sz w:val="21"/>
                <w:szCs w:val="21"/>
              </w:rPr>
            </w:pPr>
            <w:r>
              <w:rPr>
                <w:rFonts w:hint="eastAsia" w:cs="Times New Roman"/>
                <w:sz w:val="21"/>
                <w:szCs w:val="21"/>
              </w:rPr>
              <w:t>119.401138</w:t>
            </w:r>
          </w:p>
        </w:tc>
        <w:tc>
          <w:tcPr>
            <w:tcW w:w="1690" w:type="dxa"/>
            <w:noWrap/>
            <w:vAlign w:val="center"/>
          </w:tcPr>
          <w:p w14:paraId="399F89E6">
            <w:pPr>
              <w:spacing w:line="240" w:lineRule="auto"/>
              <w:ind w:firstLine="0" w:firstLineChars="0"/>
              <w:jc w:val="center"/>
              <w:rPr>
                <w:rFonts w:cs="Times New Roman"/>
                <w:sz w:val="21"/>
                <w:szCs w:val="21"/>
              </w:rPr>
            </w:pPr>
            <w:r>
              <w:rPr>
                <w:rFonts w:hint="eastAsia" w:cs="Times New Roman"/>
                <w:sz w:val="21"/>
                <w:szCs w:val="21"/>
              </w:rPr>
              <w:t>31.699104</w:t>
            </w:r>
          </w:p>
        </w:tc>
        <w:tc>
          <w:tcPr>
            <w:tcW w:w="1080" w:type="dxa"/>
            <w:noWrap/>
            <w:vAlign w:val="center"/>
          </w:tcPr>
          <w:p w14:paraId="19C8BF6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A04C4C2">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098E307">
            <w:pPr>
              <w:spacing w:line="240" w:lineRule="auto"/>
              <w:ind w:firstLine="0" w:firstLineChars="0"/>
              <w:jc w:val="center"/>
              <w:rPr>
                <w:rFonts w:cs="Times New Roman"/>
                <w:sz w:val="21"/>
                <w:szCs w:val="21"/>
              </w:rPr>
            </w:pPr>
            <w:r>
              <w:rPr>
                <w:rFonts w:hint="eastAsia" w:cs="Times New Roman"/>
                <w:sz w:val="21"/>
                <w:szCs w:val="21"/>
              </w:rPr>
              <w:t>1382</w:t>
            </w:r>
          </w:p>
        </w:tc>
        <w:tc>
          <w:tcPr>
            <w:tcW w:w="1168" w:type="dxa"/>
            <w:noWrap/>
            <w:vAlign w:val="center"/>
          </w:tcPr>
          <w:p w14:paraId="32A24CC8">
            <w:pPr>
              <w:spacing w:line="240" w:lineRule="auto"/>
              <w:ind w:firstLine="0" w:firstLineChars="0"/>
              <w:jc w:val="center"/>
              <w:rPr>
                <w:rFonts w:cs="Times New Roman"/>
                <w:sz w:val="21"/>
                <w:szCs w:val="21"/>
              </w:rPr>
            </w:pPr>
            <w:r>
              <w:rPr>
                <w:rFonts w:hint="eastAsia" w:cs="Times New Roman"/>
                <w:sz w:val="21"/>
                <w:szCs w:val="21"/>
              </w:rPr>
              <w:t>约20</w:t>
            </w:r>
          </w:p>
        </w:tc>
      </w:tr>
      <w:tr w14:paraId="5A81A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2AB43A5">
            <w:pPr>
              <w:pStyle w:val="39"/>
              <w:numPr>
                <w:ilvl w:val="0"/>
                <w:numId w:val="7"/>
              </w:numPr>
              <w:spacing w:line="240" w:lineRule="auto"/>
              <w:ind w:firstLineChars="0"/>
              <w:jc w:val="center"/>
              <w:rPr>
                <w:rFonts w:cs="Times New Roman"/>
                <w:sz w:val="21"/>
                <w:szCs w:val="21"/>
              </w:rPr>
            </w:pPr>
          </w:p>
        </w:tc>
        <w:tc>
          <w:tcPr>
            <w:tcW w:w="992" w:type="dxa"/>
            <w:noWrap/>
            <w:vAlign w:val="center"/>
          </w:tcPr>
          <w:p w14:paraId="14A88E2F">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8E94D9D">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D93B02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4A5361C">
            <w:pPr>
              <w:spacing w:line="240" w:lineRule="auto"/>
              <w:ind w:firstLine="0" w:firstLineChars="0"/>
              <w:jc w:val="center"/>
              <w:rPr>
                <w:rFonts w:cs="Times New Roman"/>
                <w:sz w:val="21"/>
                <w:szCs w:val="21"/>
              </w:rPr>
            </w:pPr>
            <w:r>
              <w:rPr>
                <w:rFonts w:hint="eastAsia" w:cs="Times New Roman"/>
                <w:sz w:val="21"/>
                <w:szCs w:val="21"/>
              </w:rPr>
              <w:t>虞家村</w:t>
            </w:r>
          </w:p>
        </w:tc>
        <w:tc>
          <w:tcPr>
            <w:tcW w:w="1701" w:type="dxa"/>
            <w:noWrap/>
            <w:vAlign w:val="center"/>
          </w:tcPr>
          <w:p w14:paraId="1F27CC16">
            <w:pPr>
              <w:spacing w:line="240" w:lineRule="auto"/>
              <w:ind w:firstLine="0" w:firstLineChars="0"/>
              <w:jc w:val="center"/>
              <w:rPr>
                <w:rFonts w:cs="Times New Roman"/>
                <w:sz w:val="21"/>
                <w:szCs w:val="21"/>
              </w:rPr>
            </w:pPr>
            <w:r>
              <w:rPr>
                <w:rFonts w:hint="eastAsia" w:cs="Times New Roman"/>
                <w:sz w:val="21"/>
                <w:szCs w:val="21"/>
              </w:rPr>
              <w:t>119.400586</w:t>
            </w:r>
          </w:p>
        </w:tc>
        <w:tc>
          <w:tcPr>
            <w:tcW w:w="1690" w:type="dxa"/>
            <w:noWrap/>
            <w:vAlign w:val="center"/>
          </w:tcPr>
          <w:p w14:paraId="6202A89E">
            <w:pPr>
              <w:spacing w:line="240" w:lineRule="auto"/>
              <w:ind w:firstLine="0" w:firstLineChars="0"/>
              <w:jc w:val="center"/>
              <w:rPr>
                <w:rFonts w:cs="Times New Roman"/>
                <w:sz w:val="21"/>
                <w:szCs w:val="21"/>
              </w:rPr>
            </w:pPr>
            <w:r>
              <w:rPr>
                <w:rFonts w:hint="eastAsia" w:cs="Times New Roman"/>
                <w:sz w:val="21"/>
                <w:szCs w:val="21"/>
              </w:rPr>
              <w:t>31.703531</w:t>
            </w:r>
          </w:p>
        </w:tc>
        <w:tc>
          <w:tcPr>
            <w:tcW w:w="1080" w:type="dxa"/>
            <w:noWrap/>
            <w:vAlign w:val="center"/>
          </w:tcPr>
          <w:p w14:paraId="4E3AA91F">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B23AF68">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563E896E">
            <w:pPr>
              <w:spacing w:line="240" w:lineRule="auto"/>
              <w:ind w:firstLine="0" w:firstLineChars="0"/>
              <w:jc w:val="center"/>
              <w:rPr>
                <w:rFonts w:cs="Times New Roman"/>
                <w:sz w:val="21"/>
                <w:szCs w:val="21"/>
              </w:rPr>
            </w:pPr>
            <w:r>
              <w:rPr>
                <w:rFonts w:hint="eastAsia" w:cs="Times New Roman"/>
                <w:sz w:val="21"/>
                <w:szCs w:val="21"/>
              </w:rPr>
              <w:t>1717</w:t>
            </w:r>
          </w:p>
        </w:tc>
        <w:tc>
          <w:tcPr>
            <w:tcW w:w="1168" w:type="dxa"/>
            <w:noWrap/>
            <w:vAlign w:val="center"/>
          </w:tcPr>
          <w:p w14:paraId="11A3F44D">
            <w:pPr>
              <w:spacing w:line="240" w:lineRule="auto"/>
              <w:ind w:firstLine="0" w:firstLineChars="0"/>
              <w:jc w:val="center"/>
              <w:rPr>
                <w:rFonts w:cs="Times New Roman"/>
                <w:sz w:val="21"/>
                <w:szCs w:val="21"/>
              </w:rPr>
            </w:pPr>
            <w:r>
              <w:rPr>
                <w:rFonts w:hint="eastAsia" w:cs="Times New Roman"/>
                <w:sz w:val="21"/>
                <w:szCs w:val="21"/>
              </w:rPr>
              <w:t>约30</w:t>
            </w:r>
          </w:p>
        </w:tc>
      </w:tr>
      <w:tr w14:paraId="05A7D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825EEDD">
            <w:pPr>
              <w:pStyle w:val="39"/>
              <w:numPr>
                <w:ilvl w:val="0"/>
                <w:numId w:val="7"/>
              </w:numPr>
              <w:spacing w:line="240" w:lineRule="auto"/>
              <w:ind w:firstLineChars="0"/>
              <w:jc w:val="center"/>
              <w:rPr>
                <w:rFonts w:cs="Times New Roman"/>
                <w:sz w:val="21"/>
                <w:szCs w:val="21"/>
              </w:rPr>
            </w:pPr>
          </w:p>
        </w:tc>
        <w:tc>
          <w:tcPr>
            <w:tcW w:w="992" w:type="dxa"/>
            <w:noWrap/>
            <w:vAlign w:val="center"/>
          </w:tcPr>
          <w:p w14:paraId="44A0EF4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98D2402">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ACE6022">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7C5E9BD">
            <w:pPr>
              <w:spacing w:line="240" w:lineRule="auto"/>
              <w:ind w:firstLine="0" w:firstLineChars="0"/>
              <w:jc w:val="center"/>
              <w:rPr>
                <w:rFonts w:cs="Times New Roman"/>
                <w:sz w:val="21"/>
                <w:szCs w:val="21"/>
              </w:rPr>
            </w:pPr>
            <w:r>
              <w:rPr>
                <w:rFonts w:hint="eastAsia" w:cs="Times New Roman"/>
                <w:sz w:val="21"/>
                <w:szCs w:val="21"/>
              </w:rPr>
              <w:t>竹窠</w:t>
            </w:r>
          </w:p>
        </w:tc>
        <w:tc>
          <w:tcPr>
            <w:tcW w:w="1701" w:type="dxa"/>
            <w:noWrap/>
            <w:vAlign w:val="center"/>
          </w:tcPr>
          <w:p w14:paraId="0533E151">
            <w:pPr>
              <w:spacing w:line="240" w:lineRule="auto"/>
              <w:ind w:firstLine="0" w:firstLineChars="0"/>
              <w:jc w:val="center"/>
              <w:rPr>
                <w:rFonts w:cs="Times New Roman"/>
                <w:sz w:val="21"/>
                <w:szCs w:val="21"/>
              </w:rPr>
            </w:pPr>
            <w:r>
              <w:rPr>
                <w:rFonts w:hint="eastAsia" w:cs="Times New Roman"/>
                <w:sz w:val="21"/>
                <w:szCs w:val="21"/>
              </w:rPr>
              <w:t>119.39624</w:t>
            </w:r>
          </w:p>
        </w:tc>
        <w:tc>
          <w:tcPr>
            <w:tcW w:w="1690" w:type="dxa"/>
            <w:noWrap/>
            <w:vAlign w:val="center"/>
          </w:tcPr>
          <w:p w14:paraId="479A3189">
            <w:pPr>
              <w:spacing w:line="240" w:lineRule="auto"/>
              <w:ind w:firstLine="0" w:firstLineChars="0"/>
              <w:jc w:val="center"/>
              <w:rPr>
                <w:rFonts w:cs="Times New Roman"/>
                <w:sz w:val="21"/>
                <w:szCs w:val="21"/>
              </w:rPr>
            </w:pPr>
            <w:r>
              <w:rPr>
                <w:rFonts w:hint="eastAsia" w:cs="Times New Roman"/>
                <w:sz w:val="21"/>
                <w:szCs w:val="21"/>
              </w:rPr>
              <w:t>31.704013</w:t>
            </w:r>
          </w:p>
        </w:tc>
        <w:tc>
          <w:tcPr>
            <w:tcW w:w="1080" w:type="dxa"/>
            <w:noWrap/>
            <w:vAlign w:val="center"/>
          </w:tcPr>
          <w:p w14:paraId="5858F495">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5AABD18">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0959A2AF">
            <w:pPr>
              <w:spacing w:line="240" w:lineRule="auto"/>
              <w:ind w:firstLine="0" w:firstLineChars="0"/>
              <w:jc w:val="center"/>
              <w:rPr>
                <w:rFonts w:cs="Times New Roman"/>
                <w:sz w:val="21"/>
                <w:szCs w:val="21"/>
              </w:rPr>
            </w:pPr>
            <w:r>
              <w:rPr>
                <w:rFonts w:hint="eastAsia" w:cs="Times New Roman"/>
                <w:sz w:val="21"/>
                <w:szCs w:val="21"/>
              </w:rPr>
              <w:t>1541</w:t>
            </w:r>
          </w:p>
        </w:tc>
        <w:tc>
          <w:tcPr>
            <w:tcW w:w="1168" w:type="dxa"/>
            <w:noWrap/>
            <w:vAlign w:val="center"/>
          </w:tcPr>
          <w:p w14:paraId="3439EC0A">
            <w:pPr>
              <w:spacing w:line="240" w:lineRule="auto"/>
              <w:ind w:firstLine="0" w:firstLineChars="0"/>
              <w:jc w:val="center"/>
              <w:rPr>
                <w:rFonts w:cs="Times New Roman"/>
                <w:sz w:val="21"/>
                <w:szCs w:val="21"/>
              </w:rPr>
            </w:pPr>
            <w:r>
              <w:rPr>
                <w:rFonts w:hint="eastAsia" w:cs="Times New Roman"/>
                <w:sz w:val="21"/>
                <w:szCs w:val="21"/>
              </w:rPr>
              <w:t>约30</w:t>
            </w:r>
          </w:p>
        </w:tc>
      </w:tr>
      <w:tr w14:paraId="2733E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A97FBCD">
            <w:pPr>
              <w:pStyle w:val="39"/>
              <w:numPr>
                <w:ilvl w:val="0"/>
                <w:numId w:val="7"/>
              </w:numPr>
              <w:spacing w:line="240" w:lineRule="auto"/>
              <w:ind w:firstLineChars="0"/>
              <w:jc w:val="center"/>
              <w:rPr>
                <w:rFonts w:cs="Times New Roman"/>
                <w:sz w:val="21"/>
                <w:szCs w:val="21"/>
              </w:rPr>
            </w:pPr>
          </w:p>
        </w:tc>
        <w:tc>
          <w:tcPr>
            <w:tcW w:w="992" w:type="dxa"/>
            <w:noWrap/>
            <w:vAlign w:val="center"/>
          </w:tcPr>
          <w:p w14:paraId="12292E5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51397D01">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1833B67">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6FB086C6">
            <w:pPr>
              <w:spacing w:line="240" w:lineRule="auto"/>
              <w:ind w:firstLine="0" w:firstLineChars="0"/>
              <w:jc w:val="center"/>
              <w:rPr>
                <w:rFonts w:cs="Times New Roman"/>
                <w:sz w:val="21"/>
                <w:szCs w:val="21"/>
              </w:rPr>
            </w:pPr>
            <w:r>
              <w:rPr>
                <w:rFonts w:hint="eastAsia" w:cs="Times New Roman"/>
                <w:sz w:val="21"/>
                <w:szCs w:val="21"/>
              </w:rPr>
              <w:t>龙口</w:t>
            </w:r>
          </w:p>
        </w:tc>
        <w:tc>
          <w:tcPr>
            <w:tcW w:w="1701" w:type="dxa"/>
            <w:noWrap/>
            <w:vAlign w:val="center"/>
          </w:tcPr>
          <w:p w14:paraId="21EC9EBC">
            <w:pPr>
              <w:spacing w:line="240" w:lineRule="auto"/>
              <w:ind w:firstLine="0" w:firstLineChars="0"/>
              <w:jc w:val="center"/>
              <w:rPr>
                <w:rFonts w:cs="Times New Roman"/>
                <w:sz w:val="21"/>
                <w:szCs w:val="21"/>
              </w:rPr>
            </w:pPr>
            <w:r>
              <w:rPr>
                <w:rFonts w:hint="eastAsia" w:cs="Times New Roman"/>
                <w:sz w:val="21"/>
                <w:szCs w:val="21"/>
              </w:rPr>
              <w:t>119.400313</w:t>
            </w:r>
          </w:p>
        </w:tc>
        <w:tc>
          <w:tcPr>
            <w:tcW w:w="1690" w:type="dxa"/>
            <w:noWrap/>
            <w:vAlign w:val="center"/>
          </w:tcPr>
          <w:p w14:paraId="5C89E2D4">
            <w:pPr>
              <w:spacing w:line="240" w:lineRule="auto"/>
              <w:ind w:firstLine="0" w:firstLineChars="0"/>
              <w:jc w:val="center"/>
              <w:rPr>
                <w:rFonts w:cs="Times New Roman"/>
                <w:sz w:val="21"/>
                <w:szCs w:val="21"/>
              </w:rPr>
            </w:pPr>
            <w:r>
              <w:rPr>
                <w:rFonts w:hint="eastAsia" w:cs="Times New Roman"/>
                <w:sz w:val="21"/>
                <w:szCs w:val="21"/>
              </w:rPr>
              <w:t>31.759708</w:t>
            </w:r>
          </w:p>
        </w:tc>
        <w:tc>
          <w:tcPr>
            <w:tcW w:w="1080" w:type="dxa"/>
            <w:noWrap/>
            <w:vAlign w:val="center"/>
          </w:tcPr>
          <w:p w14:paraId="6CFE6D9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371FFF99">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18392EB8">
            <w:pPr>
              <w:spacing w:line="240" w:lineRule="auto"/>
              <w:ind w:firstLine="0" w:firstLineChars="0"/>
              <w:jc w:val="center"/>
              <w:rPr>
                <w:rFonts w:cs="Times New Roman"/>
                <w:sz w:val="21"/>
                <w:szCs w:val="21"/>
              </w:rPr>
            </w:pPr>
            <w:r>
              <w:rPr>
                <w:rFonts w:hint="eastAsia" w:cs="Times New Roman"/>
                <w:sz w:val="21"/>
                <w:szCs w:val="21"/>
              </w:rPr>
              <w:t>1780</w:t>
            </w:r>
          </w:p>
        </w:tc>
        <w:tc>
          <w:tcPr>
            <w:tcW w:w="1168" w:type="dxa"/>
            <w:noWrap/>
            <w:vAlign w:val="center"/>
          </w:tcPr>
          <w:p w14:paraId="2EB2EDBE">
            <w:pPr>
              <w:spacing w:line="240" w:lineRule="auto"/>
              <w:ind w:firstLine="0" w:firstLineChars="0"/>
              <w:jc w:val="center"/>
              <w:rPr>
                <w:rFonts w:cs="Times New Roman"/>
                <w:sz w:val="21"/>
                <w:szCs w:val="21"/>
              </w:rPr>
            </w:pPr>
            <w:r>
              <w:rPr>
                <w:rFonts w:hint="eastAsia" w:cs="Times New Roman"/>
                <w:sz w:val="21"/>
                <w:szCs w:val="21"/>
              </w:rPr>
              <w:t>约30</w:t>
            </w:r>
          </w:p>
        </w:tc>
      </w:tr>
      <w:tr w14:paraId="4016C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639854E">
            <w:pPr>
              <w:pStyle w:val="39"/>
              <w:numPr>
                <w:ilvl w:val="0"/>
                <w:numId w:val="7"/>
              </w:numPr>
              <w:spacing w:line="240" w:lineRule="auto"/>
              <w:ind w:firstLineChars="0"/>
              <w:jc w:val="center"/>
              <w:rPr>
                <w:rFonts w:cs="Times New Roman"/>
                <w:sz w:val="21"/>
                <w:szCs w:val="21"/>
              </w:rPr>
            </w:pPr>
          </w:p>
        </w:tc>
        <w:tc>
          <w:tcPr>
            <w:tcW w:w="992" w:type="dxa"/>
            <w:noWrap/>
            <w:vAlign w:val="center"/>
          </w:tcPr>
          <w:p w14:paraId="328CC0E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3626831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9C1687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723BDE17">
            <w:pPr>
              <w:spacing w:line="240" w:lineRule="auto"/>
              <w:ind w:firstLine="0" w:firstLineChars="0"/>
              <w:jc w:val="center"/>
              <w:rPr>
                <w:rFonts w:cs="Times New Roman"/>
                <w:sz w:val="21"/>
                <w:szCs w:val="21"/>
              </w:rPr>
            </w:pPr>
            <w:r>
              <w:rPr>
                <w:rFonts w:hint="eastAsia" w:cs="Times New Roman"/>
                <w:sz w:val="21"/>
                <w:szCs w:val="21"/>
              </w:rPr>
              <w:t>庙斗村</w:t>
            </w:r>
          </w:p>
        </w:tc>
        <w:tc>
          <w:tcPr>
            <w:tcW w:w="1701" w:type="dxa"/>
            <w:noWrap/>
            <w:vAlign w:val="center"/>
          </w:tcPr>
          <w:p w14:paraId="340A677C">
            <w:pPr>
              <w:spacing w:line="240" w:lineRule="auto"/>
              <w:ind w:firstLine="0" w:firstLineChars="0"/>
              <w:jc w:val="center"/>
              <w:rPr>
                <w:rFonts w:cs="Times New Roman"/>
                <w:sz w:val="21"/>
                <w:szCs w:val="21"/>
              </w:rPr>
            </w:pPr>
            <w:r>
              <w:rPr>
                <w:rFonts w:hint="eastAsia" w:cs="Times New Roman"/>
                <w:sz w:val="21"/>
                <w:szCs w:val="21"/>
              </w:rPr>
              <w:t>119.405789</w:t>
            </w:r>
          </w:p>
        </w:tc>
        <w:tc>
          <w:tcPr>
            <w:tcW w:w="1690" w:type="dxa"/>
            <w:noWrap/>
            <w:vAlign w:val="center"/>
          </w:tcPr>
          <w:p w14:paraId="49B92B72">
            <w:pPr>
              <w:spacing w:line="240" w:lineRule="auto"/>
              <w:ind w:firstLine="0" w:firstLineChars="0"/>
              <w:jc w:val="center"/>
              <w:rPr>
                <w:rFonts w:cs="Times New Roman"/>
                <w:sz w:val="21"/>
                <w:szCs w:val="21"/>
              </w:rPr>
            </w:pPr>
            <w:r>
              <w:rPr>
                <w:rFonts w:hint="eastAsia" w:cs="Times New Roman"/>
                <w:sz w:val="21"/>
                <w:szCs w:val="21"/>
              </w:rPr>
              <w:t>31.759058</w:t>
            </w:r>
          </w:p>
        </w:tc>
        <w:tc>
          <w:tcPr>
            <w:tcW w:w="1080" w:type="dxa"/>
            <w:noWrap/>
            <w:vAlign w:val="center"/>
          </w:tcPr>
          <w:p w14:paraId="6C880E1D">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D8E6962">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250B60BB">
            <w:pPr>
              <w:spacing w:line="240" w:lineRule="auto"/>
              <w:ind w:firstLine="0" w:firstLineChars="0"/>
              <w:jc w:val="center"/>
              <w:rPr>
                <w:rFonts w:cs="Times New Roman"/>
                <w:sz w:val="21"/>
                <w:szCs w:val="21"/>
              </w:rPr>
            </w:pPr>
            <w:r>
              <w:rPr>
                <w:rFonts w:hint="eastAsia" w:cs="Times New Roman"/>
                <w:sz w:val="21"/>
                <w:szCs w:val="21"/>
              </w:rPr>
              <w:t>2000</w:t>
            </w:r>
          </w:p>
        </w:tc>
        <w:tc>
          <w:tcPr>
            <w:tcW w:w="1168" w:type="dxa"/>
            <w:noWrap/>
            <w:vAlign w:val="center"/>
          </w:tcPr>
          <w:p w14:paraId="33F874B1">
            <w:pPr>
              <w:spacing w:line="240" w:lineRule="auto"/>
              <w:ind w:firstLine="0" w:firstLineChars="0"/>
              <w:jc w:val="center"/>
              <w:rPr>
                <w:rFonts w:cs="Times New Roman"/>
                <w:sz w:val="21"/>
                <w:szCs w:val="21"/>
              </w:rPr>
            </w:pPr>
            <w:r>
              <w:rPr>
                <w:rFonts w:hint="eastAsia" w:cs="Times New Roman"/>
                <w:sz w:val="21"/>
                <w:szCs w:val="21"/>
              </w:rPr>
              <w:t>约30</w:t>
            </w:r>
          </w:p>
        </w:tc>
      </w:tr>
      <w:tr w14:paraId="7ADA1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F62CF21">
            <w:pPr>
              <w:pStyle w:val="39"/>
              <w:numPr>
                <w:ilvl w:val="0"/>
                <w:numId w:val="7"/>
              </w:numPr>
              <w:spacing w:line="240" w:lineRule="auto"/>
              <w:ind w:firstLineChars="0"/>
              <w:jc w:val="center"/>
              <w:rPr>
                <w:rFonts w:cs="Times New Roman"/>
                <w:sz w:val="21"/>
                <w:szCs w:val="21"/>
              </w:rPr>
            </w:pPr>
          </w:p>
        </w:tc>
        <w:tc>
          <w:tcPr>
            <w:tcW w:w="992" w:type="dxa"/>
            <w:noWrap/>
            <w:vAlign w:val="center"/>
          </w:tcPr>
          <w:p w14:paraId="2A2A1319">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AD62A95">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07F6727C">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2F98010">
            <w:pPr>
              <w:spacing w:line="240" w:lineRule="auto"/>
              <w:ind w:firstLine="0" w:firstLineChars="0"/>
              <w:jc w:val="center"/>
              <w:rPr>
                <w:rFonts w:cs="Times New Roman"/>
                <w:sz w:val="21"/>
                <w:szCs w:val="21"/>
              </w:rPr>
            </w:pPr>
            <w:r>
              <w:rPr>
                <w:rFonts w:hint="eastAsia" w:cs="Times New Roman"/>
                <w:sz w:val="21"/>
                <w:szCs w:val="21"/>
              </w:rPr>
              <w:t>水家凹</w:t>
            </w:r>
          </w:p>
        </w:tc>
        <w:tc>
          <w:tcPr>
            <w:tcW w:w="1701" w:type="dxa"/>
            <w:noWrap/>
            <w:vAlign w:val="center"/>
          </w:tcPr>
          <w:p w14:paraId="4EE70869">
            <w:pPr>
              <w:spacing w:line="240" w:lineRule="auto"/>
              <w:ind w:firstLine="0" w:firstLineChars="0"/>
              <w:jc w:val="center"/>
              <w:rPr>
                <w:rFonts w:cs="Times New Roman"/>
                <w:sz w:val="21"/>
                <w:szCs w:val="21"/>
              </w:rPr>
            </w:pPr>
            <w:r>
              <w:rPr>
                <w:rFonts w:hint="eastAsia" w:cs="Times New Roman"/>
                <w:sz w:val="21"/>
                <w:szCs w:val="21"/>
              </w:rPr>
              <w:t>119.394223</w:t>
            </w:r>
          </w:p>
        </w:tc>
        <w:tc>
          <w:tcPr>
            <w:tcW w:w="1690" w:type="dxa"/>
            <w:noWrap/>
            <w:vAlign w:val="center"/>
          </w:tcPr>
          <w:p w14:paraId="0609D66A">
            <w:pPr>
              <w:spacing w:line="240" w:lineRule="auto"/>
              <w:ind w:firstLine="0" w:firstLineChars="0"/>
              <w:jc w:val="center"/>
              <w:rPr>
                <w:rFonts w:cs="Times New Roman"/>
                <w:sz w:val="21"/>
                <w:szCs w:val="21"/>
              </w:rPr>
            </w:pPr>
            <w:r>
              <w:rPr>
                <w:rFonts w:hint="eastAsia" w:cs="Times New Roman"/>
                <w:sz w:val="21"/>
                <w:szCs w:val="21"/>
              </w:rPr>
              <w:t>31.764208</w:t>
            </w:r>
          </w:p>
        </w:tc>
        <w:tc>
          <w:tcPr>
            <w:tcW w:w="1080" w:type="dxa"/>
            <w:noWrap/>
            <w:vAlign w:val="center"/>
          </w:tcPr>
          <w:p w14:paraId="66897543">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38CBA9C">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3EB7ACBF">
            <w:pPr>
              <w:spacing w:line="240" w:lineRule="auto"/>
              <w:ind w:firstLine="0" w:firstLineChars="0"/>
              <w:jc w:val="center"/>
              <w:rPr>
                <w:rFonts w:cs="Times New Roman"/>
                <w:sz w:val="21"/>
                <w:szCs w:val="21"/>
              </w:rPr>
            </w:pPr>
            <w:r>
              <w:rPr>
                <w:rFonts w:hint="eastAsia" w:cs="Times New Roman"/>
                <w:sz w:val="21"/>
                <w:szCs w:val="21"/>
              </w:rPr>
              <w:t>1100</w:t>
            </w:r>
          </w:p>
        </w:tc>
        <w:tc>
          <w:tcPr>
            <w:tcW w:w="1168" w:type="dxa"/>
            <w:noWrap/>
            <w:vAlign w:val="center"/>
          </w:tcPr>
          <w:p w14:paraId="4F97FCE9">
            <w:pPr>
              <w:spacing w:line="240" w:lineRule="auto"/>
              <w:ind w:firstLine="0" w:firstLineChars="0"/>
              <w:jc w:val="center"/>
              <w:rPr>
                <w:rFonts w:cs="Times New Roman"/>
                <w:sz w:val="21"/>
                <w:szCs w:val="21"/>
              </w:rPr>
            </w:pPr>
            <w:r>
              <w:rPr>
                <w:rFonts w:hint="eastAsia" w:cs="Times New Roman"/>
                <w:sz w:val="21"/>
                <w:szCs w:val="21"/>
              </w:rPr>
              <w:t>约100</w:t>
            </w:r>
          </w:p>
        </w:tc>
      </w:tr>
      <w:tr w14:paraId="11507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1490DE8">
            <w:pPr>
              <w:pStyle w:val="39"/>
              <w:numPr>
                <w:ilvl w:val="0"/>
                <w:numId w:val="7"/>
              </w:numPr>
              <w:spacing w:line="240" w:lineRule="auto"/>
              <w:ind w:firstLineChars="0"/>
              <w:jc w:val="center"/>
              <w:rPr>
                <w:rFonts w:cs="Times New Roman"/>
                <w:sz w:val="21"/>
                <w:szCs w:val="21"/>
              </w:rPr>
            </w:pPr>
          </w:p>
        </w:tc>
        <w:tc>
          <w:tcPr>
            <w:tcW w:w="992" w:type="dxa"/>
            <w:noWrap/>
            <w:vAlign w:val="center"/>
          </w:tcPr>
          <w:p w14:paraId="21BEB67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C5BCF5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66F6F92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BAC62F5">
            <w:pPr>
              <w:spacing w:line="240" w:lineRule="auto"/>
              <w:ind w:firstLine="0" w:firstLineChars="0"/>
              <w:jc w:val="center"/>
              <w:rPr>
                <w:rFonts w:cs="Times New Roman"/>
                <w:sz w:val="21"/>
                <w:szCs w:val="21"/>
              </w:rPr>
            </w:pPr>
            <w:r>
              <w:rPr>
                <w:rFonts w:hint="eastAsia" w:cs="Times New Roman"/>
                <w:sz w:val="21"/>
                <w:szCs w:val="21"/>
              </w:rPr>
              <w:t>乌振岗</w:t>
            </w:r>
          </w:p>
        </w:tc>
        <w:tc>
          <w:tcPr>
            <w:tcW w:w="1701" w:type="dxa"/>
            <w:noWrap/>
            <w:vAlign w:val="center"/>
          </w:tcPr>
          <w:p w14:paraId="0BD885D1">
            <w:pPr>
              <w:spacing w:line="240" w:lineRule="auto"/>
              <w:ind w:firstLine="0" w:firstLineChars="0"/>
              <w:jc w:val="center"/>
              <w:rPr>
                <w:rFonts w:cs="Times New Roman"/>
                <w:sz w:val="21"/>
                <w:szCs w:val="21"/>
              </w:rPr>
            </w:pPr>
            <w:r>
              <w:rPr>
                <w:rFonts w:hint="eastAsia" w:cs="Times New Roman"/>
                <w:sz w:val="21"/>
                <w:szCs w:val="21"/>
              </w:rPr>
              <w:t>119.403724</w:t>
            </w:r>
          </w:p>
        </w:tc>
        <w:tc>
          <w:tcPr>
            <w:tcW w:w="1690" w:type="dxa"/>
            <w:noWrap/>
            <w:vAlign w:val="center"/>
          </w:tcPr>
          <w:p w14:paraId="12E4CAC2">
            <w:pPr>
              <w:spacing w:line="240" w:lineRule="auto"/>
              <w:ind w:firstLine="0" w:firstLineChars="0"/>
              <w:jc w:val="center"/>
              <w:rPr>
                <w:rFonts w:cs="Times New Roman"/>
                <w:sz w:val="21"/>
                <w:szCs w:val="21"/>
              </w:rPr>
            </w:pPr>
            <w:r>
              <w:rPr>
                <w:rFonts w:hint="eastAsia" w:cs="Times New Roman"/>
                <w:sz w:val="21"/>
                <w:szCs w:val="21"/>
              </w:rPr>
              <w:t>31.769483</w:t>
            </w:r>
          </w:p>
        </w:tc>
        <w:tc>
          <w:tcPr>
            <w:tcW w:w="1080" w:type="dxa"/>
            <w:noWrap/>
            <w:vAlign w:val="center"/>
          </w:tcPr>
          <w:p w14:paraId="68D5828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AAA3857">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42E148DD">
            <w:pPr>
              <w:spacing w:line="240" w:lineRule="auto"/>
              <w:ind w:firstLine="0" w:firstLineChars="0"/>
              <w:jc w:val="center"/>
              <w:rPr>
                <w:rFonts w:cs="Times New Roman"/>
                <w:sz w:val="21"/>
                <w:szCs w:val="21"/>
              </w:rPr>
            </w:pPr>
            <w:r>
              <w:rPr>
                <w:rFonts w:hint="eastAsia" w:cs="Times New Roman"/>
                <w:sz w:val="21"/>
                <w:szCs w:val="21"/>
              </w:rPr>
              <w:t>1177</w:t>
            </w:r>
          </w:p>
        </w:tc>
        <w:tc>
          <w:tcPr>
            <w:tcW w:w="1168" w:type="dxa"/>
            <w:noWrap/>
            <w:vAlign w:val="center"/>
          </w:tcPr>
          <w:p w14:paraId="4ECB94A7">
            <w:pPr>
              <w:spacing w:line="240" w:lineRule="auto"/>
              <w:ind w:firstLine="0" w:firstLineChars="0"/>
              <w:jc w:val="center"/>
              <w:rPr>
                <w:rFonts w:cs="Times New Roman"/>
                <w:sz w:val="21"/>
                <w:szCs w:val="21"/>
              </w:rPr>
            </w:pPr>
            <w:r>
              <w:rPr>
                <w:rFonts w:hint="eastAsia" w:cs="Times New Roman"/>
                <w:sz w:val="21"/>
                <w:szCs w:val="21"/>
              </w:rPr>
              <w:t>约100</w:t>
            </w:r>
          </w:p>
        </w:tc>
      </w:tr>
      <w:tr w14:paraId="366CF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715C643">
            <w:pPr>
              <w:pStyle w:val="39"/>
              <w:numPr>
                <w:ilvl w:val="0"/>
                <w:numId w:val="7"/>
              </w:numPr>
              <w:spacing w:line="240" w:lineRule="auto"/>
              <w:ind w:firstLineChars="0"/>
              <w:jc w:val="center"/>
              <w:rPr>
                <w:rFonts w:cs="Times New Roman"/>
                <w:sz w:val="21"/>
                <w:szCs w:val="21"/>
              </w:rPr>
            </w:pPr>
          </w:p>
        </w:tc>
        <w:tc>
          <w:tcPr>
            <w:tcW w:w="992" w:type="dxa"/>
            <w:noWrap/>
            <w:vAlign w:val="center"/>
          </w:tcPr>
          <w:p w14:paraId="5454B290">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6F358438">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541F755">
            <w:pPr>
              <w:spacing w:line="240" w:lineRule="auto"/>
              <w:ind w:firstLine="0" w:firstLineChars="0"/>
              <w:jc w:val="center"/>
              <w:rPr>
                <w:rFonts w:cs="Times New Roman"/>
                <w:sz w:val="21"/>
                <w:szCs w:val="21"/>
              </w:rPr>
            </w:pPr>
            <w:r>
              <w:rPr>
                <w:rFonts w:hint="eastAsia" w:cs="Times New Roman"/>
                <w:sz w:val="21"/>
                <w:szCs w:val="21"/>
              </w:rPr>
              <w:t>指前镇</w:t>
            </w:r>
          </w:p>
        </w:tc>
        <w:tc>
          <w:tcPr>
            <w:tcW w:w="2409" w:type="dxa"/>
            <w:noWrap/>
            <w:vAlign w:val="center"/>
          </w:tcPr>
          <w:p w14:paraId="5AED7C25">
            <w:pPr>
              <w:spacing w:line="240" w:lineRule="auto"/>
              <w:ind w:firstLine="0" w:firstLineChars="0"/>
              <w:jc w:val="center"/>
              <w:rPr>
                <w:rFonts w:cs="Times New Roman"/>
                <w:sz w:val="21"/>
                <w:szCs w:val="21"/>
              </w:rPr>
            </w:pPr>
            <w:r>
              <w:rPr>
                <w:rFonts w:hint="eastAsia" w:cs="Times New Roman"/>
                <w:sz w:val="21"/>
                <w:szCs w:val="21"/>
              </w:rPr>
              <w:t>水沿墩</w:t>
            </w:r>
          </w:p>
        </w:tc>
        <w:tc>
          <w:tcPr>
            <w:tcW w:w="1701" w:type="dxa"/>
            <w:noWrap/>
            <w:vAlign w:val="center"/>
          </w:tcPr>
          <w:p w14:paraId="136AA9BB">
            <w:pPr>
              <w:spacing w:line="240" w:lineRule="auto"/>
              <w:ind w:firstLine="0" w:firstLineChars="0"/>
              <w:jc w:val="center"/>
              <w:rPr>
                <w:rFonts w:cs="Times New Roman"/>
                <w:sz w:val="21"/>
                <w:szCs w:val="21"/>
              </w:rPr>
            </w:pPr>
            <w:r>
              <w:rPr>
                <w:rFonts w:hint="eastAsia" w:cs="Times New Roman"/>
                <w:sz w:val="21"/>
                <w:szCs w:val="21"/>
              </w:rPr>
              <w:t>119.441629</w:t>
            </w:r>
          </w:p>
        </w:tc>
        <w:tc>
          <w:tcPr>
            <w:tcW w:w="1690" w:type="dxa"/>
            <w:noWrap/>
            <w:vAlign w:val="center"/>
          </w:tcPr>
          <w:p w14:paraId="0C149D4D">
            <w:pPr>
              <w:spacing w:line="240" w:lineRule="auto"/>
              <w:ind w:firstLine="0" w:firstLineChars="0"/>
              <w:jc w:val="center"/>
              <w:rPr>
                <w:rFonts w:cs="Times New Roman"/>
                <w:sz w:val="21"/>
                <w:szCs w:val="21"/>
              </w:rPr>
            </w:pPr>
            <w:r>
              <w:rPr>
                <w:rFonts w:hint="eastAsia" w:cs="Times New Roman"/>
                <w:sz w:val="21"/>
                <w:szCs w:val="21"/>
              </w:rPr>
              <w:t>31.644809</w:t>
            </w:r>
          </w:p>
        </w:tc>
        <w:tc>
          <w:tcPr>
            <w:tcW w:w="1080" w:type="dxa"/>
            <w:noWrap/>
            <w:vAlign w:val="center"/>
          </w:tcPr>
          <w:p w14:paraId="301AE66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49B7D2C7">
            <w:pPr>
              <w:spacing w:line="240" w:lineRule="auto"/>
              <w:ind w:firstLine="0" w:firstLineChars="0"/>
              <w:jc w:val="center"/>
              <w:rPr>
                <w:rFonts w:cs="Times New Roman"/>
                <w:sz w:val="21"/>
                <w:szCs w:val="21"/>
              </w:rPr>
            </w:pPr>
            <w:r>
              <w:rPr>
                <w:rFonts w:hint="eastAsia" w:cs="Times New Roman"/>
                <w:sz w:val="21"/>
                <w:szCs w:val="21"/>
              </w:rPr>
              <w:t>东</w:t>
            </w:r>
          </w:p>
        </w:tc>
        <w:tc>
          <w:tcPr>
            <w:tcW w:w="720" w:type="dxa"/>
            <w:noWrap/>
            <w:vAlign w:val="center"/>
          </w:tcPr>
          <w:p w14:paraId="371EB100">
            <w:pPr>
              <w:spacing w:line="240" w:lineRule="auto"/>
              <w:ind w:firstLine="0" w:firstLineChars="0"/>
              <w:jc w:val="center"/>
              <w:rPr>
                <w:rFonts w:cs="Times New Roman"/>
                <w:sz w:val="21"/>
                <w:szCs w:val="21"/>
              </w:rPr>
            </w:pPr>
            <w:r>
              <w:rPr>
                <w:rFonts w:hint="eastAsia" w:cs="Times New Roman"/>
                <w:sz w:val="21"/>
                <w:szCs w:val="21"/>
              </w:rPr>
              <w:t>2471</w:t>
            </w:r>
          </w:p>
        </w:tc>
        <w:tc>
          <w:tcPr>
            <w:tcW w:w="1168" w:type="dxa"/>
            <w:noWrap/>
            <w:vAlign w:val="center"/>
          </w:tcPr>
          <w:p w14:paraId="58E260D6">
            <w:pPr>
              <w:spacing w:line="240" w:lineRule="auto"/>
              <w:ind w:firstLine="0" w:firstLineChars="0"/>
              <w:jc w:val="center"/>
              <w:rPr>
                <w:rFonts w:cs="Times New Roman"/>
                <w:sz w:val="21"/>
                <w:szCs w:val="21"/>
              </w:rPr>
            </w:pPr>
            <w:r>
              <w:rPr>
                <w:rFonts w:hint="eastAsia" w:cs="Times New Roman"/>
                <w:sz w:val="21"/>
                <w:szCs w:val="21"/>
              </w:rPr>
              <w:t>约20</w:t>
            </w:r>
          </w:p>
        </w:tc>
      </w:tr>
      <w:tr w14:paraId="598C6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F4A2BDC">
            <w:pPr>
              <w:pStyle w:val="39"/>
              <w:numPr>
                <w:ilvl w:val="0"/>
                <w:numId w:val="7"/>
              </w:numPr>
              <w:spacing w:line="240" w:lineRule="auto"/>
              <w:ind w:firstLineChars="0"/>
              <w:jc w:val="center"/>
              <w:rPr>
                <w:rFonts w:cs="Times New Roman"/>
                <w:sz w:val="21"/>
                <w:szCs w:val="21"/>
              </w:rPr>
            </w:pPr>
          </w:p>
        </w:tc>
        <w:tc>
          <w:tcPr>
            <w:tcW w:w="992" w:type="dxa"/>
            <w:noWrap/>
            <w:vAlign w:val="center"/>
          </w:tcPr>
          <w:p w14:paraId="0E7AAE9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016F9D2E">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3FB64E0">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2667F16C">
            <w:pPr>
              <w:spacing w:line="240" w:lineRule="auto"/>
              <w:ind w:firstLine="0" w:firstLineChars="0"/>
              <w:jc w:val="center"/>
              <w:rPr>
                <w:rFonts w:cs="Times New Roman"/>
                <w:sz w:val="21"/>
                <w:szCs w:val="21"/>
              </w:rPr>
            </w:pPr>
            <w:r>
              <w:rPr>
                <w:rFonts w:hint="eastAsia" w:cs="Times New Roman"/>
                <w:sz w:val="21"/>
                <w:szCs w:val="21"/>
              </w:rPr>
              <w:t>茅麓茶场九工区</w:t>
            </w:r>
          </w:p>
        </w:tc>
        <w:tc>
          <w:tcPr>
            <w:tcW w:w="1701" w:type="dxa"/>
            <w:noWrap/>
            <w:vAlign w:val="center"/>
          </w:tcPr>
          <w:p w14:paraId="56E05761">
            <w:pPr>
              <w:spacing w:line="240" w:lineRule="auto"/>
              <w:ind w:firstLine="0" w:firstLineChars="0"/>
              <w:jc w:val="center"/>
              <w:rPr>
                <w:rFonts w:cs="Times New Roman"/>
                <w:sz w:val="21"/>
                <w:szCs w:val="21"/>
              </w:rPr>
            </w:pPr>
            <w:r>
              <w:rPr>
                <w:rFonts w:hint="eastAsia" w:cs="Times New Roman"/>
                <w:sz w:val="21"/>
                <w:szCs w:val="21"/>
              </w:rPr>
              <w:t>119.380765</w:t>
            </w:r>
          </w:p>
        </w:tc>
        <w:tc>
          <w:tcPr>
            <w:tcW w:w="1690" w:type="dxa"/>
            <w:noWrap/>
            <w:vAlign w:val="center"/>
          </w:tcPr>
          <w:p w14:paraId="05FF452C">
            <w:pPr>
              <w:spacing w:line="240" w:lineRule="auto"/>
              <w:ind w:firstLine="0" w:firstLineChars="0"/>
              <w:jc w:val="center"/>
              <w:rPr>
                <w:rFonts w:cs="Times New Roman"/>
                <w:sz w:val="21"/>
                <w:szCs w:val="21"/>
              </w:rPr>
            </w:pPr>
            <w:r>
              <w:rPr>
                <w:rFonts w:hint="eastAsia" w:cs="Times New Roman"/>
                <w:sz w:val="21"/>
                <w:szCs w:val="21"/>
              </w:rPr>
              <w:t>31.804945</w:t>
            </w:r>
          </w:p>
        </w:tc>
        <w:tc>
          <w:tcPr>
            <w:tcW w:w="1080" w:type="dxa"/>
            <w:noWrap/>
            <w:vAlign w:val="center"/>
          </w:tcPr>
          <w:p w14:paraId="6B75203C">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EEB35A7">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6BF9663">
            <w:pPr>
              <w:spacing w:line="240" w:lineRule="auto"/>
              <w:ind w:firstLine="0" w:firstLineChars="0"/>
              <w:jc w:val="center"/>
              <w:rPr>
                <w:rFonts w:cs="Times New Roman"/>
                <w:sz w:val="21"/>
                <w:szCs w:val="21"/>
              </w:rPr>
            </w:pPr>
            <w:r>
              <w:rPr>
                <w:rFonts w:hint="eastAsia" w:cs="Times New Roman"/>
                <w:sz w:val="21"/>
                <w:szCs w:val="21"/>
              </w:rPr>
              <w:t>321</w:t>
            </w:r>
          </w:p>
        </w:tc>
        <w:tc>
          <w:tcPr>
            <w:tcW w:w="1168" w:type="dxa"/>
            <w:noWrap/>
            <w:vAlign w:val="center"/>
          </w:tcPr>
          <w:p w14:paraId="0E372CA6">
            <w:pPr>
              <w:spacing w:line="240" w:lineRule="auto"/>
              <w:ind w:firstLine="0" w:firstLineChars="0"/>
              <w:jc w:val="center"/>
              <w:rPr>
                <w:rFonts w:cs="Times New Roman"/>
                <w:sz w:val="21"/>
                <w:szCs w:val="21"/>
              </w:rPr>
            </w:pPr>
            <w:r>
              <w:rPr>
                <w:rFonts w:hint="eastAsia" w:cs="Times New Roman"/>
                <w:sz w:val="21"/>
                <w:szCs w:val="21"/>
              </w:rPr>
              <w:t>约20</w:t>
            </w:r>
          </w:p>
        </w:tc>
      </w:tr>
      <w:tr w14:paraId="0E83B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7F6DDDB">
            <w:pPr>
              <w:pStyle w:val="39"/>
              <w:numPr>
                <w:ilvl w:val="0"/>
                <w:numId w:val="7"/>
              </w:numPr>
              <w:spacing w:line="240" w:lineRule="auto"/>
              <w:ind w:firstLineChars="0"/>
              <w:jc w:val="center"/>
              <w:rPr>
                <w:rFonts w:cs="Times New Roman"/>
                <w:sz w:val="21"/>
                <w:szCs w:val="21"/>
              </w:rPr>
            </w:pPr>
          </w:p>
        </w:tc>
        <w:tc>
          <w:tcPr>
            <w:tcW w:w="992" w:type="dxa"/>
            <w:noWrap/>
            <w:vAlign w:val="center"/>
          </w:tcPr>
          <w:p w14:paraId="21E7E4D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B5418AC">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796A2C9">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7E491AA">
            <w:pPr>
              <w:spacing w:line="240" w:lineRule="auto"/>
              <w:ind w:firstLine="0" w:firstLineChars="0"/>
              <w:jc w:val="center"/>
              <w:rPr>
                <w:rFonts w:cs="Times New Roman"/>
                <w:sz w:val="21"/>
                <w:szCs w:val="21"/>
              </w:rPr>
            </w:pPr>
            <w:r>
              <w:rPr>
                <w:rFonts w:hint="eastAsia" w:cs="Times New Roman"/>
                <w:sz w:val="21"/>
                <w:szCs w:val="21"/>
              </w:rPr>
              <w:t>茅东村</w:t>
            </w:r>
          </w:p>
        </w:tc>
        <w:tc>
          <w:tcPr>
            <w:tcW w:w="1701" w:type="dxa"/>
            <w:noWrap/>
            <w:vAlign w:val="center"/>
          </w:tcPr>
          <w:p w14:paraId="62B16BC9">
            <w:pPr>
              <w:spacing w:line="240" w:lineRule="auto"/>
              <w:ind w:firstLine="0" w:firstLineChars="0"/>
              <w:jc w:val="center"/>
              <w:rPr>
                <w:rFonts w:cs="Times New Roman"/>
                <w:sz w:val="21"/>
                <w:szCs w:val="21"/>
              </w:rPr>
            </w:pPr>
            <w:r>
              <w:rPr>
                <w:rFonts w:hint="eastAsia" w:cs="Times New Roman"/>
                <w:sz w:val="21"/>
                <w:szCs w:val="21"/>
              </w:rPr>
              <w:t>119.378778</w:t>
            </w:r>
          </w:p>
        </w:tc>
        <w:tc>
          <w:tcPr>
            <w:tcW w:w="1690" w:type="dxa"/>
            <w:noWrap/>
            <w:vAlign w:val="center"/>
          </w:tcPr>
          <w:p w14:paraId="6B903B50">
            <w:pPr>
              <w:spacing w:line="240" w:lineRule="auto"/>
              <w:ind w:firstLine="0" w:firstLineChars="0"/>
              <w:jc w:val="center"/>
              <w:rPr>
                <w:rFonts w:cs="Times New Roman"/>
                <w:sz w:val="21"/>
                <w:szCs w:val="21"/>
              </w:rPr>
            </w:pPr>
            <w:r>
              <w:rPr>
                <w:rFonts w:hint="eastAsia" w:cs="Times New Roman"/>
                <w:sz w:val="21"/>
                <w:szCs w:val="21"/>
              </w:rPr>
              <w:t>31.815555</w:t>
            </w:r>
          </w:p>
        </w:tc>
        <w:tc>
          <w:tcPr>
            <w:tcW w:w="1080" w:type="dxa"/>
            <w:noWrap/>
            <w:vAlign w:val="center"/>
          </w:tcPr>
          <w:p w14:paraId="75F1AB8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0877A0A3">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56FE4566">
            <w:pPr>
              <w:spacing w:line="240" w:lineRule="auto"/>
              <w:ind w:firstLine="0" w:firstLineChars="0"/>
              <w:jc w:val="center"/>
              <w:rPr>
                <w:rFonts w:cs="Times New Roman"/>
                <w:sz w:val="21"/>
                <w:szCs w:val="21"/>
              </w:rPr>
            </w:pPr>
            <w:r>
              <w:rPr>
                <w:rFonts w:hint="eastAsia" w:cs="Times New Roman"/>
                <w:sz w:val="21"/>
                <w:szCs w:val="21"/>
              </w:rPr>
              <w:t>424</w:t>
            </w:r>
          </w:p>
        </w:tc>
        <w:tc>
          <w:tcPr>
            <w:tcW w:w="1168" w:type="dxa"/>
            <w:noWrap/>
            <w:vAlign w:val="center"/>
          </w:tcPr>
          <w:p w14:paraId="29A2897D">
            <w:pPr>
              <w:spacing w:line="240" w:lineRule="auto"/>
              <w:ind w:firstLine="0" w:firstLineChars="0"/>
              <w:jc w:val="center"/>
              <w:rPr>
                <w:rFonts w:cs="Times New Roman"/>
                <w:sz w:val="21"/>
                <w:szCs w:val="21"/>
              </w:rPr>
            </w:pPr>
            <w:r>
              <w:rPr>
                <w:rFonts w:hint="eastAsia" w:cs="Times New Roman"/>
                <w:sz w:val="21"/>
                <w:szCs w:val="21"/>
              </w:rPr>
              <w:t>约50</w:t>
            </w:r>
          </w:p>
        </w:tc>
      </w:tr>
      <w:tr w14:paraId="48E88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4860990">
            <w:pPr>
              <w:pStyle w:val="39"/>
              <w:numPr>
                <w:ilvl w:val="0"/>
                <w:numId w:val="7"/>
              </w:numPr>
              <w:spacing w:line="240" w:lineRule="auto"/>
              <w:ind w:firstLineChars="0"/>
              <w:jc w:val="center"/>
              <w:rPr>
                <w:rFonts w:cs="Times New Roman"/>
                <w:sz w:val="21"/>
                <w:szCs w:val="21"/>
              </w:rPr>
            </w:pPr>
          </w:p>
        </w:tc>
        <w:tc>
          <w:tcPr>
            <w:tcW w:w="992" w:type="dxa"/>
            <w:noWrap/>
            <w:vAlign w:val="center"/>
          </w:tcPr>
          <w:p w14:paraId="796A1B7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0ABA0D7">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58C930D">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0C878ED9">
            <w:pPr>
              <w:spacing w:line="240" w:lineRule="auto"/>
              <w:ind w:firstLine="0" w:firstLineChars="0"/>
              <w:jc w:val="center"/>
              <w:rPr>
                <w:rFonts w:cs="Times New Roman"/>
                <w:sz w:val="21"/>
                <w:szCs w:val="21"/>
              </w:rPr>
            </w:pPr>
            <w:r>
              <w:rPr>
                <w:rFonts w:hint="eastAsia" w:cs="Times New Roman"/>
                <w:sz w:val="21"/>
                <w:szCs w:val="21"/>
              </w:rPr>
              <w:t>刘巷茶场</w:t>
            </w:r>
          </w:p>
        </w:tc>
        <w:tc>
          <w:tcPr>
            <w:tcW w:w="1701" w:type="dxa"/>
            <w:noWrap/>
            <w:vAlign w:val="center"/>
          </w:tcPr>
          <w:p w14:paraId="79577F7F">
            <w:pPr>
              <w:spacing w:line="240" w:lineRule="auto"/>
              <w:ind w:firstLine="0" w:firstLineChars="0"/>
              <w:jc w:val="center"/>
              <w:rPr>
                <w:rFonts w:cs="Times New Roman"/>
                <w:sz w:val="21"/>
                <w:szCs w:val="21"/>
              </w:rPr>
            </w:pPr>
            <w:r>
              <w:rPr>
                <w:rFonts w:hint="eastAsia" w:cs="Times New Roman"/>
                <w:sz w:val="21"/>
                <w:szCs w:val="21"/>
              </w:rPr>
              <w:t>119.39633</w:t>
            </w:r>
          </w:p>
        </w:tc>
        <w:tc>
          <w:tcPr>
            <w:tcW w:w="1690" w:type="dxa"/>
            <w:noWrap/>
            <w:vAlign w:val="center"/>
          </w:tcPr>
          <w:p w14:paraId="1DEF335B">
            <w:pPr>
              <w:spacing w:line="240" w:lineRule="auto"/>
              <w:ind w:firstLine="0" w:firstLineChars="0"/>
              <w:jc w:val="center"/>
              <w:rPr>
                <w:rFonts w:cs="Times New Roman"/>
                <w:sz w:val="21"/>
                <w:szCs w:val="21"/>
              </w:rPr>
            </w:pPr>
            <w:r>
              <w:rPr>
                <w:rFonts w:hint="eastAsia" w:cs="Times New Roman"/>
                <w:sz w:val="21"/>
                <w:szCs w:val="21"/>
              </w:rPr>
              <w:t>31.813865</w:t>
            </w:r>
          </w:p>
        </w:tc>
        <w:tc>
          <w:tcPr>
            <w:tcW w:w="1080" w:type="dxa"/>
            <w:noWrap/>
            <w:vAlign w:val="center"/>
          </w:tcPr>
          <w:p w14:paraId="5DAD006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6505045">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3F8779FC">
            <w:pPr>
              <w:spacing w:line="240" w:lineRule="auto"/>
              <w:ind w:firstLine="0" w:firstLineChars="0"/>
              <w:jc w:val="center"/>
              <w:rPr>
                <w:rFonts w:cs="Times New Roman"/>
                <w:sz w:val="21"/>
                <w:szCs w:val="21"/>
              </w:rPr>
            </w:pPr>
            <w:r>
              <w:rPr>
                <w:rFonts w:hint="eastAsia" w:cs="Times New Roman"/>
                <w:sz w:val="21"/>
                <w:szCs w:val="21"/>
              </w:rPr>
              <w:t>2024</w:t>
            </w:r>
          </w:p>
        </w:tc>
        <w:tc>
          <w:tcPr>
            <w:tcW w:w="1168" w:type="dxa"/>
            <w:noWrap/>
            <w:vAlign w:val="center"/>
          </w:tcPr>
          <w:p w14:paraId="7FFAA8A0">
            <w:pPr>
              <w:spacing w:line="240" w:lineRule="auto"/>
              <w:ind w:firstLine="0" w:firstLineChars="0"/>
              <w:jc w:val="center"/>
              <w:rPr>
                <w:rFonts w:cs="Times New Roman"/>
                <w:sz w:val="21"/>
                <w:szCs w:val="21"/>
              </w:rPr>
            </w:pPr>
            <w:r>
              <w:rPr>
                <w:rFonts w:hint="eastAsia" w:cs="Times New Roman"/>
                <w:sz w:val="21"/>
                <w:szCs w:val="21"/>
              </w:rPr>
              <w:t>约20</w:t>
            </w:r>
          </w:p>
        </w:tc>
      </w:tr>
      <w:tr w14:paraId="7BCD0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9B791B2">
            <w:pPr>
              <w:pStyle w:val="39"/>
              <w:numPr>
                <w:ilvl w:val="0"/>
                <w:numId w:val="7"/>
              </w:numPr>
              <w:spacing w:line="240" w:lineRule="auto"/>
              <w:ind w:firstLineChars="0"/>
              <w:jc w:val="center"/>
              <w:rPr>
                <w:rFonts w:cs="Times New Roman"/>
                <w:sz w:val="21"/>
                <w:szCs w:val="21"/>
              </w:rPr>
            </w:pPr>
          </w:p>
        </w:tc>
        <w:tc>
          <w:tcPr>
            <w:tcW w:w="992" w:type="dxa"/>
            <w:noWrap/>
            <w:vAlign w:val="center"/>
          </w:tcPr>
          <w:p w14:paraId="434BA812">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76E977B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2280A06A">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9FDA20D">
            <w:pPr>
              <w:spacing w:line="240" w:lineRule="auto"/>
              <w:ind w:firstLine="0" w:firstLineChars="0"/>
              <w:jc w:val="center"/>
              <w:rPr>
                <w:rFonts w:cs="Times New Roman"/>
                <w:sz w:val="21"/>
                <w:szCs w:val="21"/>
              </w:rPr>
            </w:pPr>
            <w:r>
              <w:rPr>
                <w:rFonts w:hint="eastAsia" w:cs="Times New Roman"/>
                <w:sz w:val="21"/>
                <w:szCs w:val="21"/>
              </w:rPr>
              <w:t>薛埠村中</w:t>
            </w:r>
          </w:p>
        </w:tc>
        <w:tc>
          <w:tcPr>
            <w:tcW w:w="1701" w:type="dxa"/>
            <w:noWrap/>
            <w:vAlign w:val="center"/>
          </w:tcPr>
          <w:p w14:paraId="210E45AD">
            <w:pPr>
              <w:spacing w:line="240" w:lineRule="auto"/>
              <w:ind w:firstLine="0" w:firstLineChars="0"/>
              <w:jc w:val="center"/>
              <w:rPr>
                <w:rFonts w:cs="Times New Roman"/>
                <w:sz w:val="21"/>
                <w:szCs w:val="21"/>
              </w:rPr>
            </w:pPr>
            <w:r>
              <w:rPr>
                <w:rFonts w:hint="eastAsia" w:cs="Times New Roman"/>
                <w:sz w:val="21"/>
                <w:szCs w:val="21"/>
              </w:rPr>
              <w:t>119.369776</w:t>
            </w:r>
          </w:p>
        </w:tc>
        <w:tc>
          <w:tcPr>
            <w:tcW w:w="1690" w:type="dxa"/>
            <w:noWrap/>
            <w:vAlign w:val="center"/>
          </w:tcPr>
          <w:p w14:paraId="60E2A35D">
            <w:pPr>
              <w:spacing w:line="240" w:lineRule="auto"/>
              <w:ind w:firstLine="0" w:firstLineChars="0"/>
              <w:jc w:val="center"/>
              <w:rPr>
                <w:rFonts w:cs="Times New Roman"/>
                <w:sz w:val="21"/>
                <w:szCs w:val="21"/>
              </w:rPr>
            </w:pPr>
            <w:r>
              <w:rPr>
                <w:rFonts w:hint="eastAsia" w:cs="Times New Roman"/>
                <w:sz w:val="21"/>
                <w:szCs w:val="21"/>
              </w:rPr>
              <w:t>31.721152</w:t>
            </w:r>
          </w:p>
        </w:tc>
        <w:tc>
          <w:tcPr>
            <w:tcW w:w="1080" w:type="dxa"/>
            <w:noWrap/>
            <w:vAlign w:val="center"/>
          </w:tcPr>
          <w:p w14:paraId="0A3E4626">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A0BD6CF">
            <w:pPr>
              <w:spacing w:line="240" w:lineRule="auto"/>
              <w:ind w:firstLine="0" w:firstLineChars="0"/>
              <w:jc w:val="center"/>
              <w:rPr>
                <w:rFonts w:cs="Times New Roman"/>
                <w:sz w:val="21"/>
                <w:szCs w:val="21"/>
              </w:rPr>
            </w:pPr>
            <w:r>
              <w:rPr>
                <w:rFonts w:hint="eastAsia" w:cs="Times New Roman"/>
                <w:sz w:val="21"/>
                <w:szCs w:val="21"/>
              </w:rPr>
              <w:t>南</w:t>
            </w:r>
          </w:p>
        </w:tc>
        <w:tc>
          <w:tcPr>
            <w:tcW w:w="720" w:type="dxa"/>
            <w:noWrap/>
            <w:vAlign w:val="center"/>
          </w:tcPr>
          <w:p w14:paraId="23B82F71">
            <w:pPr>
              <w:spacing w:line="240" w:lineRule="auto"/>
              <w:ind w:firstLine="0" w:firstLineChars="0"/>
              <w:jc w:val="center"/>
              <w:rPr>
                <w:rFonts w:cs="Times New Roman"/>
                <w:sz w:val="21"/>
                <w:szCs w:val="21"/>
              </w:rPr>
            </w:pPr>
            <w:r>
              <w:rPr>
                <w:rFonts w:hint="eastAsia" w:cs="Times New Roman"/>
                <w:sz w:val="21"/>
                <w:szCs w:val="21"/>
              </w:rPr>
              <w:t>1060</w:t>
            </w:r>
          </w:p>
        </w:tc>
        <w:tc>
          <w:tcPr>
            <w:tcW w:w="1168" w:type="dxa"/>
            <w:noWrap/>
            <w:vAlign w:val="center"/>
          </w:tcPr>
          <w:p w14:paraId="2E28F453">
            <w:pPr>
              <w:spacing w:line="240" w:lineRule="auto"/>
              <w:ind w:firstLine="0" w:firstLineChars="0"/>
              <w:jc w:val="center"/>
              <w:rPr>
                <w:rFonts w:cs="Times New Roman"/>
                <w:sz w:val="21"/>
                <w:szCs w:val="21"/>
              </w:rPr>
            </w:pPr>
            <w:r>
              <w:rPr>
                <w:rFonts w:hint="eastAsia" w:cs="Times New Roman"/>
                <w:sz w:val="21"/>
                <w:szCs w:val="21"/>
              </w:rPr>
              <w:t>约400</w:t>
            </w:r>
          </w:p>
        </w:tc>
      </w:tr>
      <w:tr w14:paraId="1522E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CF8E340">
            <w:pPr>
              <w:pStyle w:val="39"/>
              <w:numPr>
                <w:ilvl w:val="0"/>
                <w:numId w:val="7"/>
              </w:numPr>
              <w:spacing w:line="240" w:lineRule="auto"/>
              <w:ind w:firstLineChars="0"/>
              <w:jc w:val="center"/>
              <w:rPr>
                <w:rFonts w:cs="Times New Roman"/>
                <w:sz w:val="21"/>
                <w:szCs w:val="21"/>
              </w:rPr>
            </w:pPr>
          </w:p>
        </w:tc>
        <w:tc>
          <w:tcPr>
            <w:tcW w:w="992" w:type="dxa"/>
            <w:noWrap/>
            <w:vAlign w:val="center"/>
          </w:tcPr>
          <w:p w14:paraId="4E702EB5">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A4A72E4">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5DCA7ABF">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33815CA9">
            <w:pPr>
              <w:spacing w:line="240" w:lineRule="auto"/>
              <w:ind w:firstLine="0" w:firstLineChars="0"/>
              <w:jc w:val="center"/>
              <w:rPr>
                <w:rFonts w:cs="Times New Roman"/>
                <w:sz w:val="21"/>
                <w:szCs w:val="21"/>
              </w:rPr>
            </w:pPr>
            <w:r>
              <w:rPr>
                <w:rFonts w:hint="eastAsia" w:cs="Times New Roman"/>
                <w:sz w:val="21"/>
                <w:szCs w:val="21"/>
              </w:rPr>
              <w:t>薛埠邻里中心</w:t>
            </w:r>
          </w:p>
        </w:tc>
        <w:tc>
          <w:tcPr>
            <w:tcW w:w="1701" w:type="dxa"/>
            <w:noWrap/>
            <w:vAlign w:val="center"/>
          </w:tcPr>
          <w:p w14:paraId="262F34F4">
            <w:pPr>
              <w:spacing w:line="240" w:lineRule="auto"/>
              <w:ind w:firstLine="0" w:firstLineChars="0"/>
              <w:jc w:val="center"/>
              <w:rPr>
                <w:rFonts w:cs="Times New Roman"/>
                <w:sz w:val="21"/>
                <w:szCs w:val="21"/>
              </w:rPr>
            </w:pPr>
            <w:r>
              <w:rPr>
                <w:rFonts w:hint="eastAsia" w:cs="Times New Roman"/>
                <w:sz w:val="21"/>
                <w:szCs w:val="21"/>
              </w:rPr>
              <w:t>119.378852</w:t>
            </w:r>
          </w:p>
        </w:tc>
        <w:tc>
          <w:tcPr>
            <w:tcW w:w="1690" w:type="dxa"/>
            <w:noWrap/>
            <w:vAlign w:val="center"/>
          </w:tcPr>
          <w:p w14:paraId="508D8369">
            <w:pPr>
              <w:spacing w:line="240" w:lineRule="auto"/>
              <w:ind w:firstLine="0" w:firstLineChars="0"/>
              <w:jc w:val="center"/>
              <w:rPr>
                <w:rFonts w:cs="Times New Roman"/>
                <w:sz w:val="21"/>
                <w:szCs w:val="21"/>
              </w:rPr>
            </w:pPr>
            <w:r>
              <w:rPr>
                <w:rFonts w:hint="eastAsia" w:cs="Times New Roman"/>
                <w:sz w:val="21"/>
                <w:szCs w:val="21"/>
              </w:rPr>
              <w:t>31.719765</w:t>
            </w:r>
          </w:p>
        </w:tc>
        <w:tc>
          <w:tcPr>
            <w:tcW w:w="1080" w:type="dxa"/>
            <w:noWrap/>
            <w:vAlign w:val="center"/>
          </w:tcPr>
          <w:p w14:paraId="5BD65B70">
            <w:pPr>
              <w:spacing w:line="240" w:lineRule="auto"/>
              <w:ind w:firstLine="0" w:firstLineChars="0"/>
              <w:jc w:val="center"/>
              <w:rPr>
                <w:rFonts w:cs="Times New Roman"/>
                <w:sz w:val="21"/>
                <w:szCs w:val="21"/>
              </w:rPr>
            </w:pPr>
            <w:r>
              <w:rPr>
                <w:rFonts w:hint="eastAsia" w:cs="Times New Roman"/>
                <w:sz w:val="21"/>
                <w:szCs w:val="21"/>
              </w:rPr>
              <w:t>办公区</w:t>
            </w:r>
          </w:p>
        </w:tc>
        <w:tc>
          <w:tcPr>
            <w:tcW w:w="702" w:type="dxa"/>
            <w:noWrap/>
            <w:vAlign w:val="center"/>
          </w:tcPr>
          <w:p w14:paraId="176FCDBD">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7DAF2BC8">
            <w:pPr>
              <w:spacing w:line="240" w:lineRule="auto"/>
              <w:ind w:firstLine="0" w:firstLineChars="0"/>
              <w:jc w:val="center"/>
              <w:rPr>
                <w:rFonts w:cs="Times New Roman"/>
                <w:sz w:val="21"/>
                <w:szCs w:val="21"/>
              </w:rPr>
            </w:pPr>
            <w:r>
              <w:rPr>
                <w:rFonts w:hint="eastAsia" w:cs="Times New Roman"/>
                <w:sz w:val="21"/>
                <w:szCs w:val="21"/>
              </w:rPr>
              <w:t>1370</w:t>
            </w:r>
          </w:p>
        </w:tc>
        <w:tc>
          <w:tcPr>
            <w:tcW w:w="1168" w:type="dxa"/>
            <w:noWrap/>
            <w:vAlign w:val="center"/>
          </w:tcPr>
          <w:p w14:paraId="0AC6BD46">
            <w:pPr>
              <w:spacing w:line="240" w:lineRule="auto"/>
              <w:ind w:firstLine="0" w:firstLineChars="0"/>
              <w:jc w:val="center"/>
              <w:rPr>
                <w:rFonts w:cs="Times New Roman"/>
                <w:sz w:val="21"/>
                <w:szCs w:val="21"/>
              </w:rPr>
            </w:pPr>
            <w:r>
              <w:rPr>
                <w:rFonts w:hint="eastAsia" w:cs="Times New Roman"/>
                <w:sz w:val="21"/>
                <w:szCs w:val="21"/>
              </w:rPr>
              <w:t>约100</w:t>
            </w:r>
          </w:p>
        </w:tc>
      </w:tr>
      <w:tr w14:paraId="3D821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1B15A53">
            <w:pPr>
              <w:pStyle w:val="39"/>
              <w:numPr>
                <w:ilvl w:val="0"/>
                <w:numId w:val="7"/>
              </w:numPr>
              <w:spacing w:line="240" w:lineRule="auto"/>
              <w:ind w:firstLineChars="0"/>
              <w:jc w:val="center"/>
              <w:rPr>
                <w:rFonts w:cs="Times New Roman"/>
                <w:sz w:val="21"/>
                <w:szCs w:val="21"/>
              </w:rPr>
            </w:pPr>
          </w:p>
        </w:tc>
        <w:tc>
          <w:tcPr>
            <w:tcW w:w="992" w:type="dxa"/>
            <w:noWrap/>
            <w:vAlign w:val="center"/>
          </w:tcPr>
          <w:p w14:paraId="5A72EE94">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10671906">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C7A99C6">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109F5040">
            <w:pPr>
              <w:spacing w:line="240" w:lineRule="auto"/>
              <w:ind w:firstLine="0" w:firstLineChars="0"/>
              <w:jc w:val="center"/>
              <w:rPr>
                <w:rFonts w:cs="Times New Roman"/>
                <w:sz w:val="21"/>
                <w:szCs w:val="21"/>
              </w:rPr>
            </w:pPr>
            <w:r>
              <w:rPr>
                <w:rFonts w:hint="eastAsia" w:cs="Times New Roman"/>
                <w:sz w:val="21"/>
                <w:szCs w:val="21"/>
              </w:rPr>
              <w:t>金坛区人民法院薛埠法庭</w:t>
            </w:r>
          </w:p>
        </w:tc>
        <w:tc>
          <w:tcPr>
            <w:tcW w:w="1701" w:type="dxa"/>
            <w:noWrap/>
            <w:vAlign w:val="center"/>
          </w:tcPr>
          <w:p w14:paraId="262F6940">
            <w:pPr>
              <w:spacing w:line="240" w:lineRule="auto"/>
              <w:ind w:firstLine="0" w:firstLineChars="0"/>
              <w:jc w:val="center"/>
              <w:rPr>
                <w:rFonts w:cs="Times New Roman"/>
                <w:sz w:val="21"/>
                <w:szCs w:val="21"/>
              </w:rPr>
            </w:pPr>
            <w:r>
              <w:rPr>
                <w:rFonts w:hint="eastAsia" w:cs="Times New Roman"/>
                <w:sz w:val="21"/>
                <w:szCs w:val="21"/>
              </w:rPr>
              <w:t>119.380537</w:t>
            </w:r>
          </w:p>
        </w:tc>
        <w:tc>
          <w:tcPr>
            <w:tcW w:w="1690" w:type="dxa"/>
            <w:noWrap/>
            <w:vAlign w:val="center"/>
          </w:tcPr>
          <w:p w14:paraId="2AA858FC">
            <w:pPr>
              <w:spacing w:line="240" w:lineRule="auto"/>
              <w:ind w:firstLine="0" w:firstLineChars="0"/>
              <w:jc w:val="center"/>
              <w:rPr>
                <w:rFonts w:cs="Times New Roman"/>
                <w:sz w:val="21"/>
                <w:szCs w:val="21"/>
              </w:rPr>
            </w:pPr>
            <w:r>
              <w:rPr>
                <w:rFonts w:hint="eastAsia" w:cs="Times New Roman"/>
                <w:sz w:val="21"/>
                <w:szCs w:val="21"/>
              </w:rPr>
              <w:t>31.718814</w:t>
            </w:r>
          </w:p>
        </w:tc>
        <w:tc>
          <w:tcPr>
            <w:tcW w:w="1080" w:type="dxa"/>
            <w:noWrap/>
            <w:vAlign w:val="center"/>
          </w:tcPr>
          <w:p w14:paraId="198055F2">
            <w:pPr>
              <w:spacing w:line="240" w:lineRule="auto"/>
              <w:ind w:firstLine="0" w:firstLineChars="0"/>
              <w:jc w:val="center"/>
              <w:rPr>
                <w:rFonts w:cs="Times New Roman"/>
                <w:sz w:val="21"/>
                <w:szCs w:val="21"/>
              </w:rPr>
            </w:pPr>
            <w:r>
              <w:rPr>
                <w:rFonts w:hint="eastAsia" w:cs="Times New Roman"/>
                <w:sz w:val="21"/>
                <w:szCs w:val="21"/>
              </w:rPr>
              <w:t>办公区</w:t>
            </w:r>
          </w:p>
        </w:tc>
        <w:tc>
          <w:tcPr>
            <w:tcW w:w="702" w:type="dxa"/>
            <w:noWrap/>
            <w:vAlign w:val="center"/>
          </w:tcPr>
          <w:p w14:paraId="2E451E4E">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576D175D">
            <w:pPr>
              <w:spacing w:line="240" w:lineRule="auto"/>
              <w:ind w:firstLine="0" w:firstLineChars="0"/>
              <w:jc w:val="center"/>
              <w:rPr>
                <w:rFonts w:cs="Times New Roman"/>
                <w:sz w:val="21"/>
                <w:szCs w:val="21"/>
              </w:rPr>
            </w:pPr>
            <w:r>
              <w:rPr>
                <w:rFonts w:hint="eastAsia" w:cs="Times New Roman"/>
                <w:sz w:val="21"/>
                <w:szCs w:val="21"/>
              </w:rPr>
              <w:t>1578</w:t>
            </w:r>
          </w:p>
        </w:tc>
        <w:tc>
          <w:tcPr>
            <w:tcW w:w="1168" w:type="dxa"/>
            <w:noWrap/>
            <w:vAlign w:val="center"/>
          </w:tcPr>
          <w:p w14:paraId="69C3E4F4">
            <w:pPr>
              <w:spacing w:line="240" w:lineRule="auto"/>
              <w:ind w:firstLine="0" w:firstLineChars="0"/>
              <w:jc w:val="center"/>
              <w:rPr>
                <w:rFonts w:cs="Times New Roman"/>
                <w:sz w:val="21"/>
                <w:szCs w:val="21"/>
              </w:rPr>
            </w:pPr>
            <w:r>
              <w:rPr>
                <w:rFonts w:hint="eastAsia" w:cs="Times New Roman"/>
                <w:sz w:val="21"/>
                <w:szCs w:val="21"/>
              </w:rPr>
              <w:t>约50</w:t>
            </w:r>
          </w:p>
        </w:tc>
      </w:tr>
      <w:tr w14:paraId="0881E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11B06C8F">
            <w:pPr>
              <w:pStyle w:val="39"/>
              <w:numPr>
                <w:ilvl w:val="0"/>
                <w:numId w:val="7"/>
              </w:numPr>
              <w:spacing w:line="240" w:lineRule="auto"/>
              <w:ind w:firstLineChars="0"/>
              <w:jc w:val="center"/>
              <w:rPr>
                <w:rFonts w:cs="Times New Roman"/>
                <w:sz w:val="21"/>
                <w:szCs w:val="21"/>
              </w:rPr>
            </w:pPr>
          </w:p>
        </w:tc>
        <w:tc>
          <w:tcPr>
            <w:tcW w:w="992" w:type="dxa"/>
            <w:noWrap/>
            <w:vAlign w:val="center"/>
          </w:tcPr>
          <w:p w14:paraId="60CF100B">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25249E8B">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7474DC03">
            <w:pPr>
              <w:spacing w:line="240" w:lineRule="auto"/>
              <w:ind w:firstLine="0" w:firstLineChars="0"/>
              <w:jc w:val="center"/>
              <w:rPr>
                <w:rFonts w:cs="Times New Roman"/>
                <w:sz w:val="21"/>
                <w:szCs w:val="21"/>
              </w:rPr>
            </w:pPr>
            <w:r>
              <w:rPr>
                <w:rFonts w:hint="eastAsia" w:cs="Times New Roman"/>
                <w:sz w:val="21"/>
                <w:szCs w:val="21"/>
              </w:rPr>
              <w:t>薛埠镇</w:t>
            </w:r>
          </w:p>
        </w:tc>
        <w:tc>
          <w:tcPr>
            <w:tcW w:w="2409" w:type="dxa"/>
            <w:noWrap/>
            <w:vAlign w:val="center"/>
          </w:tcPr>
          <w:p w14:paraId="499B9155">
            <w:pPr>
              <w:spacing w:line="240" w:lineRule="auto"/>
              <w:ind w:firstLine="0" w:firstLineChars="0"/>
              <w:jc w:val="center"/>
              <w:rPr>
                <w:rFonts w:cs="Times New Roman"/>
                <w:sz w:val="21"/>
                <w:szCs w:val="21"/>
              </w:rPr>
            </w:pPr>
            <w:r>
              <w:rPr>
                <w:rFonts w:hint="eastAsia" w:cs="Times New Roman"/>
                <w:sz w:val="21"/>
                <w:szCs w:val="21"/>
              </w:rPr>
              <w:t>仙湖茗苑</w:t>
            </w:r>
          </w:p>
        </w:tc>
        <w:tc>
          <w:tcPr>
            <w:tcW w:w="1701" w:type="dxa"/>
            <w:noWrap/>
            <w:vAlign w:val="center"/>
          </w:tcPr>
          <w:p w14:paraId="43755C14">
            <w:pPr>
              <w:spacing w:line="240" w:lineRule="auto"/>
              <w:ind w:firstLine="0" w:firstLineChars="0"/>
              <w:jc w:val="center"/>
              <w:rPr>
                <w:rFonts w:cs="Times New Roman"/>
                <w:sz w:val="21"/>
                <w:szCs w:val="21"/>
              </w:rPr>
            </w:pPr>
            <w:r>
              <w:rPr>
                <w:rFonts w:hint="eastAsia" w:cs="Times New Roman"/>
                <w:sz w:val="21"/>
                <w:szCs w:val="21"/>
              </w:rPr>
              <w:t>119.381756</w:t>
            </w:r>
          </w:p>
        </w:tc>
        <w:tc>
          <w:tcPr>
            <w:tcW w:w="1690" w:type="dxa"/>
            <w:noWrap/>
            <w:vAlign w:val="center"/>
          </w:tcPr>
          <w:p w14:paraId="1D189AAB">
            <w:pPr>
              <w:spacing w:line="240" w:lineRule="auto"/>
              <w:ind w:firstLine="0" w:firstLineChars="0"/>
              <w:jc w:val="center"/>
              <w:rPr>
                <w:rFonts w:cs="Times New Roman"/>
                <w:sz w:val="21"/>
                <w:szCs w:val="21"/>
              </w:rPr>
            </w:pPr>
            <w:r>
              <w:rPr>
                <w:rFonts w:hint="eastAsia" w:cs="Times New Roman"/>
                <w:sz w:val="21"/>
                <w:szCs w:val="21"/>
              </w:rPr>
              <w:t>31.719001</w:t>
            </w:r>
          </w:p>
        </w:tc>
        <w:tc>
          <w:tcPr>
            <w:tcW w:w="1080" w:type="dxa"/>
            <w:noWrap/>
            <w:vAlign w:val="center"/>
          </w:tcPr>
          <w:p w14:paraId="249AAA1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192DBCE2">
            <w:pPr>
              <w:spacing w:line="240" w:lineRule="auto"/>
              <w:ind w:firstLine="0" w:firstLineChars="0"/>
              <w:jc w:val="center"/>
              <w:rPr>
                <w:rFonts w:cs="Times New Roman"/>
                <w:sz w:val="21"/>
                <w:szCs w:val="21"/>
              </w:rPr>
            </w:pPr>
            <w:r>
              <w:rPr>
                <w:rFonts w:hint="eastAsia" w:cs="Times New Roman"/>
                <w:sz w:val="21"/>
                <w:szCs w:val="21"/>
              </w:rPr>
              <w:t>东南</w:t>
            </w:r>
          </w:p>
        </w:tc>
        <w:tc>
          <w:tcPr>
            <w:tcW w:w="720" w:type="dxa"/>
            <w:noWrap/>
            <w:vAlign w:val="center"/>
          </w:tcPr>
          <w:p w14:paraId="041BE5AE">
            <w:pPr>
              <w:spacing w:line="240" w:lineRule="auto"/>
              <w:ind w:firstLine="0" w:firstLineChars="0"/>
              <w:jc w:val="center"/>
              <w:rPr>
                <w:rFonts w:cs="Times New Roman"/>
                <w:sz w:val="21"/>
                <w:szCs w:val="21"/>
              </w:rPr>
            </w:pPr>
            <w:r>
              <w:rPr>
                <w:rFonts w:hint="eastAsia" w:cs="Times New Roman"/>
                <w:sz w:val="21"/>
                <w:szCs w:val="21"/>
              </w:rPr>
              <w:t>1568</w:t>
            </w:r>
          </w:p>
        </w:tc>
        <w:tc>
          <w:tcPr>
            <w:tcW w:w="1168" w:type="dxa"/>
            <w:noWrap/>
            <w:vAlign w:val="center"/>
          </w:tcPr>
          <w:p w14:paraId="5884B31B">
            <w:pPr>
              <w:spacing w:line="240" w:lineRule="auto"/>
              <w:ind w:firstLine="0" w:firstLineChars="0"/>
              <w:jc w:val="center"/>
              <w:rPr>
                <w:rFonts w:cs="Times New Roman"/>
                <w:sz w:val="21"/>
                <w:szCs w:val="21"/>
              </w:rPr>
            </w:pPr>
            <w:r>
              <w:rPr>
                <w:rFonts w:hint="eastAsia" w:cs="Times New Roman"/>
                <w:sz w:val="21"/>
                <w:szCs w:val="21"/>
              </w:rPr>
              <w:t>约300</w:t>
            </w:r>
          </w:p>
        </w:tc>
      </w:tr>
      <w:tr w14:paraId="4074C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48B8AEFF">
            <w:pPr>
              <w:pStyle w:val="39"/>
              <w:numPr>
                <w:ilvl w:val="0"/>
                <w:numId w:val="7"/>
              </w:numPr>
              <w:spacing w:line="240" w:lineRule="auto"/>
              <w:ind w:firstLineChars="0"/>
              <w:jc w:val="center"/>
              <w:rPr>
                <w:rFonts w:cs="Times New Roman"/>
                <w:sz w:val="21"/>
                <w:szCs w:val="21"/>
              </w:rPr>
            </w:pPr>
          </w:p>
        </w:tc>
        <w:tc>
          <w:tcPr>
            <w:tcW w:w="992" w:type="dxa"/>
            <w:noWrap/>
            <w:vAlign w:val="center"/>
          </w:tcPr>
          <w:p w14:paraId="2A286BDF">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3212F54A">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6B22C9AD">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00C99E55">
            <w:pPr>
              <w:spacing w:line="240" w:lineRule="auto"/>
              <w:ind w:firstLine="0" w:firstLineChars="0"/>
              <w:jc w:val="center"/>
              <w:rPr>
                <w:rFonts w:cs="Times New Roman"/>
                <w:sz w:val="21"/>
                <w:szCs w:val="21"/>
              </w:rPr>
            </w:pPr>
            <w:r>
              <w:rPr>
                <w:rFonts w:hint="eastAsia" w:cs="Times New Roman"/>
                <w:sz w:val="21"/>
                <w:szCs w:val="21"/>
              </w:rPr>
              <w:t>苏家大凹</w:t>
            </w:r>
          </w:p>
        </w:tc>
        <w:tc>
          <w:tcPr>
            <w:tcW w:w="1701" w:type="dxa"/>
            <w:noWrap/>
            <w:vAlign w:val="center"/>
          </w:tcPr>
          <w:p w14:paraId="7FEB0A23">
            <w:pPr>
              <w:spacing w:line="240" w:lineRule="auto"/>
              <w:ind w:firstLine="0" w:firstLineChars="0"/>
              <w:jc w:val="center"/>
              <w:rPr>
                <w:rFonts w:cs="Times New Roman"/>
                <w:sz w:val="21"/>
                <w:szCs w:val="21"/>
              </w:rPr>
            </w:pPr>
            <w:r>
              <w:rPr>
                <w:rFonts w:hint="eastAsia" w:cs="Times New Roman"/>
                <w:sz w:val="21"/>
                <w:szCs w:val="21"/>
              </w:rPr>
              <w:t>119.302624</w:t>
            </w:r>
          </w:p>
        </w:tc>
        <w:tc>
          <w:tcPr>
            <w:tcW w:w="1690" w:type="dxa"/>
            <w:noWrap/>
            <w:vAlign w:val="center"/>
          </w:tcPr>
          <w:p w14:paraId="0C9AF6AF">
            <w:pPr>
              <w:spacing w:line="240" w:lineRule="auto"/>
              <w:ind w:firstLine="0" w:firstLineChars="0"/>
              <w:jc w:val="center"/>
              <w:rPr>
                <w:rFonts w:cs="Times New Roman"/>
                <w:sz w:val="21"/>
                <w:szCs w:val="21"/>
              </w:rPr>
            </w:pPr>
            <w:r>
              <w:rPr>
                <w:rFonts w:hint="eastAsia" w:cs="Times New Roman"/>
                <w:sz w:val="21"/>
                <w:szCs w:val="21"/>
              </w:rPr>
              <w:t>31.708636</w:t>
            </w:r>
          </w:p>
        </w:tc>
        <w:tc>
          <w:tcPr>
            <w:tcW w:w="1080" w:type="dxa"/>
            <w:noWrap/>
            <w:vAlign w:val="center"/>
          </w:tcPr>
          <w:p w14:paraId="1162E2CB">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B13B5A5">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39C04E3F">
            <w:pPr>
              <w:spacing w:line="240" w:lineRule="auto"/>
              <w:ind w:firstLine="0" w:firstLineChars="0"/>
              <w:jc w:val="center"/>
              <w:rPr>
                <w:rFonts w:cs="Times New Roman"/>
                <w:sz w:val="21"/>
                <w:szCs w:val="21"/>
              </w:rPr>
            </w:pPr>
            <w:r>
              <w:rPr>
                <w:rFonts w:hint="eastAsia" w:cs="Times New Roman"/>
                <w:sz w:val="21"/>
                <w:szCs w:val="21"/>
              </w:rPr>
              <w:t>1198</w:t>
            </w:r>
          </w:p>
        </w:tc>
        <w:tc>
          <w:tcPr>
            <w:tcW w:w="1168" w:type="dxa"/>
            <w:noWrap/>
            <w:vAlign w:val="center"/>
          </w:tcPr>
          <w:p w14:paraId="06B5A018">
            <w:pPr>
              <w:spacing w:line="240" w:lineRule="auto"/>
              <w:ind w:firstLine="0" w:firstLineChars="0"/>
              <w:jc w:val="center"/>
              <w:rPr>
                <w:rFonts w:cs="Times New Roman"/>
                <w:sz w:val="21"/>
                <w:szCs w:val="21"/>
              </w:rPr>
            </w:pPr>
            <w:r>
              <w:rPr>
                <w:rFonts w:hint="eastAsia" w:cs="Times New Roman"/>
                <w:sz w:val="21"/>
                <w:szCs w:val="21"/>
              </w:rPr>
              <w:t>约10</w:t>
            </w:r>
          </w:p>
        </w:tc>
      </w:tr>
      <w:tr w14:paraId="10DD0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0BD5FD78">
            <w:pPr>
              <w:pStyle w:val="39"/>
              <w:numPr>
                <w:ilvl w:val="0"/>
                <w:numId w:val="7"/>
              </w:numPr>
              <w:spacing w:line="240" w:lineRule="auto"/>
              <w:ind w:firstLineChars="0"/>
              <w:jc w:val="center"/>
              <w:rPr>
                <w:rFonts w:cs="Times New Roman"/>
                <w:sz w:val="21"/>
                <w:szCs w:val="21"/>
              </w:rPr>
            </w:pPr>
          </w:p>
        </w:tc>
        <w:tc>
          <w:tcPr>
            <w:tcW w:w="992" w:type="dxa"/>
            <w:noWrap/>
            <w:vAlign w:val="center"/>
          </w:tcPr>
          <w:p w14:paraId="1E114463">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4C4D080">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3C327AF1">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27A52DE3">
            <w:pPr>
              <w:spacing w:line="240" w:lineRule="auto"/>
              <w:ind w:firstLine="0" w:firstLineChars="0"/>
              <w:jc w:val="center"/>
              <w:rPr>
                <w:rFonts w:cs="Times New Roman"/>
                <w:sz w:val="21"/>
                <w:szCs w:val="21"/>
              </w:rPr>
            </w:pPr>
            <w:r>
              <w:rPr>
                <w:rFonts w:hint="eastAsia" w:cs="Times New Roman"/>
                <w:sz w:val="21"/>
                <w:szCs w:val="21"/>
              </w:rPr>
              <w:t>杨树塘</w:t>
            </w:r>
          </w:p>
        </w:tc>
        <w:tc>
          <w:tcPr>
            <w:tcW w:w="1701" w:type="dxa"/>
            <w:noWrap/>
            <w:vAlign w:val="center"/>
          </w:tcPr>
          <w:p w14:paraId="778307CD">
            <w:pPr>
              <w:spacing w:line="240" w:lineRule="auto"/>
              <w:ind w:firstLine="0" w:firstLineChars="0"/>
              <w:jc w:val="center"/>
              <w:rPr>
                <w:rFonts w:cs="Times New Roman"/>
                <w:sz w:val="21"/>
                <w:szCs w:val="21"/>
              </w:rPr>
            </w:pPr>
            <w:r>
              <w:rPr>
                <w:rFonts w:hint="eastAsia" w:cs="Times New Roman"/>
                <w:sz w:val="21"/>
                <w:szCs w:val="21"/>
              </w:rPr>
              <w:t>119.270697</w:t>
            </w:r>
          </w:p>
        </w:tc>
        <w:tc>
          <w:tcPr>
            <w:tcW w:w="1690" w:type="dxa"/>
            <w:noWrap/>
            <w:vAlign w:val="center"/>
          </w:tcPr>
          <w:p w14:paraId="0F18C02B">
            <w:pPr>
              <w:spacing w:line="240" w:lineRule="auto"/>
              <w:ind w:firstLine="0" w:firstLineChars="0"/>
              <w:jc w:val="center"/>
              <w:rPr>
                <w:rFonts w:cs="Times New Roman"/>
                <w:sz w:val="21"/>
                <w:szCs w:val="21"/>
              </w:rPr>
            </w:pPr>
            <w:r>
              <w:rPr>
                <w:rFonts w:hint="eastAsia" w:cs="Times New Roman"/>
                <w:sz w:val="21"/>
                <w:szCs w:val="21"/>
              </w:rPr>
              <w:t>31.764472</w:t>
            </w:r>
          </w:p>
        </w:tc>
        <w:tc>
          <w:tcPr>
            <w:tcW w:w="1080" w:type="dxa"/>
            <w:noWrap/>
            <w:vAlign w:val="center"/>
          </w:tcPr>
          <w:p w14:paraId="18DB69DA">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6E7B28B5">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71EA500E">
            <w:pPr>
              <w:spacing w:line="240" w:lineRule="auto"/>
              <w:ind w:firstLine="0" w:firstLineChars="0"/>
              <w:jc w:val="center"/>
              <w:rPr>
                <w:rFonts w:cs="Times New Roman"/>
                <w:sz w:val="21"/>
                <w:szCs w:val="21"/>
              </w:rPr>
            </w:pPr>
            <w:r>
              <w:rPr>
                <w:rFonts w:hint="eastAsia" w:cs="Times New Roman"/>
                <w:sz w:val="21"/>
                <w:szCs w:val="21"/>
              </w:rPr>
              <w:t>2500</w:t>
            </w:r>
          </w:p>
        </w:tc>
        <w:tc>
          <w:tcPr>
            <w:tcW w:w="1168" w:type="dxa"/>
            <w:noWrap/>
            <w:vAlign w:val="center"/>
          </w:tcPr>
          <w:p w14:paraId="32AEEE1C">
            <w:pPr>
              <w:spacing w:line="240" w:lineRule="auto"/>
              <w:ind w:firstLine="0" w:firstLineChars="0"/>
              <w:jc w:val="center"/>
              <w:rPr>
                <w:rFonts w:cs="Times New Roman"/>
                <w:sz w:val="21"/>
                <w:szCs w:val="21"/>
              </w:rPr>
            </w:pPr>
            <w:r>
              <w:rPr>
                <w:rFonts w:hint="eastAsia" w:cs="Times New Roman"/>
                <w:sz w:val="21"/>
                <w:szCs w:val="21"/>
              </w:rPr>
              <w:t>约20</w:t>
            </w:r>
          </w:p>
        </w:tc>
      </w:tr>
      <w:tr w14:paraId="07D69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263F3CF">
            <w:pPr>
              <w:pStyle w:val="39"/>
              <w:numPr>
                <w:ilvl w:val="0"/>
                <w:numId w:val="7"/>
              </w:numPr>
              <w:spacing w:line="240" w:lineRule="auto"/>
              <w:ind w:firstLineChars="0"/>
              <w:jc w:val="center"/>
              <w:rPr>
                <w:rFonts w:cs="Times New Roman"/>
                <w:sz w:val="21"/>
                <w:szCs w:val="21"/>
              </w:rPr>
            </w:pPr>
          </w:p>
        </w:tc>
        <w:tc>
          <w:tcPr>
            <w:tcW w:w="992" w:type="dxa"/>
            <w:noWrap/>
            <w:vAlign w:val="center"/>
          </w:tcPr>
          <w:p w14:paraId="3629A05A">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7CD0F130">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2DF7AD4F">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502B4DB3">
            <w:pPr>
              <w:spacing w:line="240" w:lineRule="auto"/>
              <w:ind w:firstLine="0" w:firstLineChars="0"/>
              <w:jc w:val="center"/>
              <w:rPr>
                <w:rFonts w:cs="Times New Roman"/>
                <w:sz w:val="21"/>
                <w:szCs w:val="21"/>
              </w:rPr>
            </w:pPr>
            <w:r>
              <w:rPr>
                <w:rFonts w:hint="eastAsia" w:cs="Times New Roman"/>
                <w:sz w:val="21"/>
                <w:szCs w:val="21"/>
              </w:rPr>
              <w:t>国家检察官学院江苏分院</w:t>
            </w:r>
          </w:p>
        </w:tc>
        <w:tc>
          <w:tcPr>
            <w:tcW w:w="1701" w:type="dxa"/>
            <w:noWrap/>
            <w:vAlign w:val="center"/>
          </w:tcPr>
          <w:p w14:paraId="7335C176">
            <w:pPr>
              <w:spacing w:line="240" w:lineRule="auto"/>
              <w:ind w:firstLine="0" w:firstLineChars="0"/>
              <w:jc w:val="center"/>
              <w:rPr>
                <w:rFonts w:cs="Times New Roman"/>
                <w:sz w:val="21"/>
                <w:szCs w:val="21"/>
              </w:rPr>
            </w:pPr>
            <w:r>
              <w:rPr>
                <w:rFonts w:hint="eastAsia" w:cs="Times New Roman"/>
                <w:sz w:val="21"/>
                <w:szCs w:val="21"/>
              </w:rPr>
              <w:t>119.299592</w:t>
            </w:r>
          </w:p>
        </w:tc>
        <w:tc>
          <w:tcPr>
            <w:tcW w:w="1690" w:type="dxa"/>
            <w:noWrap/>
            <w:vAlign w:val="center"/>
          </w:tcPr>
          <w:p w14:paraId="705C715C">
            <w:pPr>
              <w:spacing w:line="240" w:lineRule="auto"/>
              <w:ind w:firstLine="0" w:firstLineChars="0"/>
              <w:jc w:val="center"/>
              <w:rPr>
                <w:rFonts w:cs="Times New Roman"/>
                <w:sz w:val="21"/>
                <w:szCs w:val="21"/>
              </w:rPr>
            </w:pPr>
            <w:r>
              <w:rPr>
                <w:rFonts w:hint="eastAsia" w:cs="Times New Roman"/>
                <w:sz w:val="21"/>
                <w:szCs w:val="21"/>
              </w:rPr>
              <w:t>31.780074</w:t>
            </w:r>
          </w:p>
        </w:tc>
        <w:tc>
          <w:tcPr>
            <w:tcW w:w="1080" w:type="dxa"/>
            <w:noWrap/>
            <w:vAlign w:val="center"/>
          </w:tcPr>
          <w:p w14:paraId="1802828C">
            <w:pPr>
              <w:spacing w:line="240" w:lineRule="auto"/>
              <w:ind w:firstLine="0" w:firstLineChars="0"/>
              <w:jc w:val="center"/>
              <w:rPr>
                <w:rFonts w:cs="Times New Roman"/>
                <w:sz w:val="21"/>
                <w:szCs w:val="21"/>
              </w:rPr>
            </w:pPr>
            <w:r>
              <w:rPr>
                <w:rFonts w:hint="eastAsia" w:cs="Times New Roman"/>
                <w:sz w:val="21"/>
                <w:szCs w:val="21"/>
              </w:rPr>
              <w:t>师生</w:t>
            </w:r>
          </w:p>
        </w:tc>
        <w:tc>
          <w:tcPr>
            <w:tcW w:w="702" w:type="dxa"/>
            <w:noWrap/>
            <w:vAlign w:val="center"/>
          </w:tcPr>
          <w:p w14:paraId="6635E1C1">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1C2CACD0">
            <w:pPr>
              <w:spacing w:line="240" w:lineRule="auto"/>
              <w:ind w:firstLine="0" w:firstLineChars="0"/>
              <w:jc w:val="center"/>
              <w:rPr>
                <w:rFonts w:cs="Times New Roman"/>
                <w:sz w:val="21"/>
                <w:szCs w:val="21"/>
              </w:rPr>
            </w:pPr>
            <w:r>
              <w:rPr>
                <w:rFonts w:hint="eastAsia" w:cs="Times New Roman"/>
                <w:sz w:val="21"/>
                <w:szCs w:val="21"/>
              </w:rPr>
              <w:t>175</w:t>
            </w:r>
          </w:p>
        </w:tc>
        <w:tc>
          <w:tcPr>
            <w:tcW w:w="1168" w:type="dxa"/>
            <w:noWrap/>
            <w:vAlign w:val="center"/>
          </w:tcPr>
          <w:p w14:paraId="74542841">
            <w:pPr>
              <w:spacing w:line="240" w:lineRule="auto"/>
              <w:ind w:firstLine="0" w:firstLineChars="0"/>
              <w:jc w:val="center"/>
              <w:rPr>
                <w:rFonts w:cs="Times New Roman"/>
                <w:sz w:val="21"/>
                <w:szCs w:val="21"/>
              </w:rPr>
            </w:pPr>
            <w:r>
              <w:rPr>
                <w:rFonts w:hint="eastAsia" w:cs="Times New Roman"/>
                <w:sz w:val="21"/>
                <w:szCs w:val="21"/>
              </w:rPr>
              <w:t>约50</w:t>
            </w:r>
          </w:p>
        </w:tc>
      </w:tr>
      <w:tr w14:paraId="2DBD5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316DAB9F">
            <w:pPr>
              <w:pStyle w:val="39"/>
              <w:numPr>
                <w:ilvl w:val="0"/>
                <w:numId w:val="7"/>
              </w:numPr>
              <w:spacing w:line="240" w:lineRule="auto"/>
              <w:ind w:firstLineChars="0"/>
              <w:jc w:val="center"/>
              <w:rPr>
                <w:rFonts w:cs="Times New Roman"/>
                <w:sz w:val="21"/>
                <w:szCs w:val="21"/>
              </w:rPr>
            </w:pPr>
          </w:p>
        </w:tc>
        <w:tc>
          <w:tcPr>
            <w:tcW w:w="992" w:type="dxa"/>
            <w:noWrap/>
            <w:vAlign w:val="center"/>
          </w:tcPr>
          <w:p w14:paraId="3D83A3B5">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12490148">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169CFB57">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1673EC0F">
            <w:pPr>
              <w:spacing w:line="240" w:lineRule="auto"/>
              <w:ind w:firstLine="0" w:firstLineChars="0"/>
              <w:jc w:val="center"/>
              <w:rPr>
                <w:rFonts w:cs="Times New Roman"/>
                <w:sz w:val="21"/>
                <w:szCs w:val="21"/>
              </w:rPr>
            </w:pPr>
            <w:r>
              <w:rPr>
                <w:rFonts w:hint="eastAsia" w:cs="Times New Roman"/>
                <w:sz w:val="21"/>
                <w:szCs w:val="21"/>
              </w:rPr>
              <w:t>茅山风景区管理委员会</w:t>
            </w:r>
          </w:p>
        </w:tc>
        <w:tc>
          <w:tcPr>
            <w:tcW w:w="1701" w:type="dxa"/>
            <w:noWrap/>
            <w:vAlign w:val="center"/>
          </w:tcPr>
          <w:p w14:paraId="6EDB9174">
            <w:pPr>
              <w:spacing w:line="240" w:lineRule="auto"/>
              <w:ind w:firstLine="0" w:firstLineChars="0"/>
              <w:jc w:val="center"/>
              <w:rPr>
                <w:rFonts w:cs="Times New Roman"/>
                <w:sz w:val="21"/>
                <w:szCs w:val="21"/>
              </w:rPr>
            </w:pPr>
            <w:r>
              <w:rPr>
                <w:rFonts w:hint="eastAsia" w:cs="Times New Roman"/>
                <w:sz w:val="21"/>
                <w:szCs w:val="21"/>
              </w:rPr>
              <w:t>119.298643</w:t>
            </w:r>
          </w:p>
        </w:tc>
        <w:tc>
          <w:tcPr>
            <w:tcW w:w="1690" w:type="dxa"/>
            <w:noWrap/>
            <w:vAlign w:val="center"/>
          </w:tcPr>
          <w:p w14:paraId="589AB730">
            <w:pPr>
              <w:spacing w:line="240" w:lineRule="auto"/>
              <w:ind w:firstLine="0" w:firstLineChars="0"/>
              <w:jc w:val="center"/>
              <w:rPr>
                <w:rFonts w:cs="Times New Roman"/>
                <w:sz w:val="21"/>
                <w:szCs w:val="21"/>
              </w:rPr>
            </w:pPr>
            <w:r>
              <w:rPr>
                <w:rFonts w:hint="eastAsia" w:cs="Times New Roman"/>
                <w:sz w:val="21"/>
                <w:szCs w:val="21"/>
              </w:rPr>
              <w:t>31.787914</w:t>
            </w:r>
          </w:p>
        </w:tc>
        <w:tc>
          <w:tcPr>
            <w:tcW w:w="1080" w:type="dxa"/>
            <w:noWrap/>
            <w:vAlign w:val="center"/>
          </w:tcPr>
          <w:p w14:paraId="31318750">
            <w:pPr>
              <w:spacing w:line="240" w:lineRule="auto"/>
              <w:ind w:firstLine="0" w:firstLineChars="0"/>
              <w:jc w:val="center"/>
              <w:rPr>
                <w:rFonts w:cs="Times New Roman"/>
                <w:sz w:val="21"/>
                <w:szCs w:val="21"/>
              </w:rPr>
            </w:pPr>
            <w:r>
              <w:rPr>
                <w:rFonts w:hint="eastAsia" w:cs="Times New Roman"/>
                <w:sz w:val="21"/>
                <w:szCs w:val="21"/>
              </w:rPr>
              <w:t>办公区</w:t>
            </w:r>
          </w:p>
        </w:tc>
        <w:tc>
          <w:tcPr>
            <w:tcW w:w="702" w:type="dxa"/>
            <w:noWrap/>
            <w:vAlign w:val="center"/>
          </w:tcPr>
          <w:p w14:paraId="0731899E">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0A4DF4BA">
            <w:pPr>
              <w:spacing w:line="240" w:lineRule="auto"/>
              <w:ind w:firstLine="0" w:firstLineChars="0"/>
              <w:jc w:val="center"/>
              <w:rPr>
                <w:rFonts w:cs="Times New Roman"/>
                <w:sz w:val="21"/>
                <w:szCs w:val="21"/>
              </w:rPr>
            </w:pPr>
            <w:r>
              <w:rPr>
                <w:rFonts w:hint="eastAsia" w:cs="Times New Roman"/>
                <w:sz w:val="21"/>
                <w:szCs w:val="21"/>
              </w:rPr>
              <w:t>1135</w:t>
            </w:r>
          </w:p>
        </w:tc>
        <w:tc>
          <w:tcPr>
            <w:tcW w:w="1168" w:type="dxa"/>
            <w:noWrap/>
            <w:vAlign w:val="center"/>
          </w:tcPr>
          <w:p w14:paraId="4EED06D5">
            <w:pPr>
              <w:spacing w:line="240" w:lineRule="auto"/>
              <w:ind w:firstLine="0" w:firstLineChars="0"/>
              <w:jc w:val="center"/>
              <w:rPr>
                <w:rFonts w:cs="Times New Roman"/>
                <w:sz w:val="21"/>
                <w:szCs w:val="21"/>
              </w:rPr>
            </w:pPr>
            <w:r>
              <w:rPr>
                <w:rFonts w:hint="eastAsia" w:cs="Times New Roman"/>
                <w:sz w:val="21"/>
                <w:szCs w:val="21"/>
              </w:rPr>
              <w:t>约50</w:t>
            </w:r>
          </w:p>
        </w:tc>
      </w:tr>
      <w:tr w14:paraId="1C452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69ECC75E">
            <w:pPr>
              <w:pStyle w:val="39"/>
              <w:numPr>
                <w:ilvl w:val="0"/>
                <w:numId w:val="7"/>
              </w:numPr>
              <w:spacing w:line="240" w:lineRule="auto"/>
              <w:ind w:firstLineChars="0"/>
              <w:jc w:val="center"/>
              <w:rPr>
                <w:rFonts w:cs="Times New Roman"/>
                <w:sz w:val="21"/>
                <w:szCs w:val="21"/>
              </w:rPr>
            </w:pPr>
          </w:p>
        </w:tc>
        <w:tc>
          <w:tcPr>
            <w:tcW w:w="992" w:type="dxa"/>
            <w:noWrap/>
            <w:vAlign w:val="center"/>
          </w:tcPr>
          <w:p w14:paraId="2A672C17">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67C4009A">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0273929C">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3175FFB6">
            <w:pPr>
              <w:spacing w:line="240" w:lineRule="auto"/>
              <w:ind w:firstLine="0" w:firstLineChars="0"/>
              <w:jc w:val="center"/>
              <w:rPr>
                <w:rFonts w:cs="Times New Roman"/>
                <w:sz w:val="21"/>
                <w:szCs w:val="21"/>
              </w:rPr>
            </w:pPr>
            <w:r>
              <w:rPr>
                <w:rFonts w:hint="eastAsia" w:cs="Times New Roman"/>
                <w:sz w:val="21"/>
                <w:szCs w:val="21"/>
              </w:rPr>
              <w:t>茅山交管所</w:t>
            </w:r>
          </w:p>
        </w:tc>
        <w:tc>
          <w:tcPr>
            <w:tcW w:w="1701" w:type="dxa"/>
            <w:noWrap/>
            <w:vAlign w:val="center"/>
          </w:tcPr>
          <w:p w14:paraId="6C0A09D5">
            <w:pPr>
              <w:spacing w:line="240" w:lineRule="auto"/>
              <w:ind w:firstLine="0" w:firstLineChars="0"/>
              <w:jc w:val="center"/>
              <w:rPr>
                <w:rFonts w:cs="Times New Roman"/>
                <w:sz w:val="21"/>
                <w:szCs w:val="21"/>
              </w:rPr>
            </w:pPr>
            <w:r>
              <w:rPr>
                <w:rFonts w:hint="eastAsia" w:cs="Times New Roman"/>
                <w:sz w:val="21"/>
                <w:szCs w:val="21"/>
              </w:rPr>
              <w:t>119.298154</w:t>
            </w:r>
          </w:p>
        </w:tc>
        <w:tc>
          <w:tcPr>
            <w:tcW w:w="1690" w:type="dxa"/>
            <w:noWrap/>
            <w:vAlign w:val="center"/>
          </w:tcPr>
          <w:p w14:paraId="7D73F9C2">
            <w:pPr>
              <w:spacing w:line="240" w:lineRule="auto"/>
              <w:ind w:firstLine="0" w:firstLineChars="0"/>
              <w:jc w:val="center"/>
              <w:rPr>
                <w:rFonts w:cs="Times New Roman"/>
                <w:sz w:val="21"/>
                <w:szCs w:val="21"/>
              </w:rPr>
            </w:pPr>
            <w:r>
              <w:rPr>
                <w:rFonts w:hint="eastAsia" w:cs="Times New Roman"/>
                <w:sz w:val="21"/>
                <w:szCs w:val="21"/>
              </w:rPr>
              <w:t>31.787904</w:t>
            </w:r>
          </w:p>
        </w:tc>
        <w:tc>
          <w:tcPr>
            <w:tcW w:w="1080" w:type="dxa"/>
            <w:noWrap/>
            <w:vAlign w:val="center"/>
          </w:tcPr>
          <w:p w14:paraId="738F29C3">
            <w:pPr>
              <w:spacing w:line="240" w:lineRule="auto"/>
              <w:ind w:firstLine="0" w:firstLineChars="0"/>
              <w:jc w:val="center"/>
              <w:rPr>
                <w:rFonts w:cs="Times New Roman"/>
                <w:sz w:val="21"/>
                <w:szCs w:val="21"/>
              </w:rPr>
            </w:pPr>
            <w:r>
              <w:rPr>
                <w:rFonts w:hint="eastAsia" w:cs="Times New Roman"/>
                <w:sz w:val="21"/>
                <w:szCs w:val="21"/>
              </w:rPr>
              <w:t>办公区</w:t>
            </w:r>
          </w:p>
        </w:tc>
        <w:tc>
          <w:tcPr>
            <w:tcW w:w="702" w:type="dxa"/>
            <w:noWrap/>
            <w:vAlign w:val="center"/>
          </w:tcPr>
          <w:p w14:paraId="762C0429">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5B5C7879">
            <w:pPr>
              <w:spacing w:line="240" w:lineRule="auto"/>
              <w:ind w:firstLine="0" w:firstLineChars="0"/>
              <w:jc w:val="center"/>
              <w:rPr>
                <w:rFonts w:cs="Times New Roman"/>
                <w:sz w:val="21"/>
                <w:szCs w:val="21"/>
              </w:rPr>
            </w:pPr>
            <w:r>
              <w:rPr>
                <w:rFonts w:hint="eastAsia" w:cs="Times New Roman"/>
                <w:sz w:val="21"/>
                <w:szCs w:val="21"/>
              </w:rPr>
              <w:t>1182</w:t>
            </w:r>
          </w:p>
        </w:tc>
        <w:tc>
          <w:tcPr>
            <w:tcW w:w="1168" w:type="dxa"/>
            <w:noWrap/>
            <w:vAlign w:val="center"/>
          </w:tcPr>
          <w:p w14:paraId="7B375EB5">
            <w:pPr>
              <w:spacing w:line="240" w:lineRule="auto"/>
              <w:ind w:firstLine="0" w:firstLineChars="0"/>
              <w:jc w:val="center"/>
              <w:rPr>
                <w:rFonts w:cs="Times New Roman"/>
                <w:sz w:val="21"/>
                <w:szCs w:val="21"/>
              </w:rPr>
            </w:pPr>
            <w:r>
              <w:rPr>
                <w:rFonts w:hint="eastAsia" w:cs="Times New Roman"/>
                <w:sz w:val="21"/>
                <w:szCs w:val="21"/>
              </w:rPr>
              <w:t>约20</w:t>
            </w:r>
          </w:p>
        </w:tc>
      </w:tr>
      <w:tr w14:paraId="2869A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73C9E09E">
            <w:pPr>
              <w:pStyle w:val="39"/>
              <w:numPr>
                <w:ilvl w:val="0"/>
                <w:numId w:val="7"/>
              </w:numPr>
              <w:spacing w:line="240" w:lineRule="auto"/>
              <w:ind w:firstLineChars="0"/>
              <w:jc w:val="center"/>
              <w:rPr>
                <w:rFonts w:cs="Times New Roman"/>
                <w:sz w:val="21"/>
                <w:szCs w:val="21"/>
              </w:rPr>
            </w:pPr>
          </w:p>
        </w:tc>
        <w:tc>
          <w:tcPr>
            <w:tcW w:w="992" w:type="dxa"/>
            <w:noWrap/>
            <w:vAlign w:val="center"/>
          </w:tcPr>
          <w:p w14:paraId="1A7CAA20">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1ED94413">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7A753EAD">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127827DF">
            <w:pPr>
              <w:spacing w:line="240" w:lineRule="auto"/>
              <w:ind w:firstLine="0" w:firstLineChars="0"/>
              <w:jc w:val="center"/>
              <w:rPr>
                <w:rFonts w:cs="Times New Roman"/>
                <w:sz w:val="21"/>
                <w:szCs w:val="21"/>
              </w:rPr>
            </w:pPr>
            <w:r>
              <w:rPr>
                <w:rFonts w:hint="eastAsia" w:cs="Times New Roman"/>
                <w:sz w:val="21"/>
                <w:szCs w:val="21"/>
              </w:rPr>
              <w:t>茅山温泉桃李春风</w:t>
            </w:r>
          </w:p>
        </w:tc>
        <w:tc>
          <w:tcPr>
            <w:tcW w:w="1701" w:type="dxa"/>
            <w:noWrap/>
            <w:vAlign w:val="center"/>
          </w:tcPr>
          <w:p w14:paraId="4C232475">
            <w:pPr>
              <w:spacing w:line="240" w:lineRule="auto"/>
              <w:ind w:firstLine="0" w:firstLineChars="0"/>
              <w:jc w:val="center"/>
              <w:rPr>
                <w:rFonts w:cs="Times New Roman"/>
                <w:sz w:val="21"/>
                <w:szCs w:val="21"/>
              </w:rPr>
            </w:pPr>
            <w:r>
              <w:rPr>
                <w:rFonts w:hint="eastAsia" w:cs="Times New Roman"/>
                <w:sz w:val="21"/>
                <w:szCs w:val="21"/>
              </w:rPr>
              <w:t>119.285348</w:t>
            </w:r>
          </w:p>
        </w:tc>
        <w:tc>
          <w:tcPr>
            <w:tcW w:w="1690" w:type="dxa"/>
            <w:noWrap/>
            <w:vAlign w:val="center"/>
          </w:tcPr>
          <w:p w14:paraId="686D1787">
            <w:pPr>
              <w:spacing w:line="240" w:lineRule="auto"/>
              <w:ind w:firstLine="0" w:firstLineChars="0"/>
              <w:jc w:val="center"/>
              <w:rPr>
                <w:rFonts w:cs="Times New Roman"/>
                <w:sz w:val="21"/>
                <w:szCs w:val="21"/>
              </w:rPr>
            </w:pPr>
            <w:r>
              <w:rPr>
                <w:rFonts w:hint="eastAsia" w:cs="Times New Roman"/>
                <w:sz w:val="21"/>
                <w:szCs w:val="21"/>
              </w:rPr>
              <w:t>31.812847</w:t>
            </w:r>
          </w:p>
        </w:tc>
        <w:tc>
          <w:tcPr>
            <w:tcW w:w="1080" w:type="dxa"/>
            <w:noWrap/>
            <w:vAlign w:val="center"/>
          </w:tcPr>
          <w:p w14:paraId="68E955A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2705BFB">
            <w:pPr>
              <w:spacing w:line="240" w:lineRule="auto"/>
              <w:ind w:firstLine="0" w:firstLineChars="0"/>
              <w:jc w:val="center"/>
              <w:rPr>
                <w:rFonts w:cs="Times New Roman"/>
                <w:sz w:val="21"/>
                <w:szCs w:val="21"/>
              </w:rPr>
            </w:pPr>
            <w:r>
              <w:rPr>
                <w:rFonts w:hint="eastAsia" w:cs="Times New Roman"/>
                <w:sz w:val="21"/>
                <w:szCs w:val="21"/>
              </w:rPr>
              <w:t>西北</w:t>
            </w:r>
          </w:p>
        </w:tc>
        <w:tc>
          <w:tcPr>
            <w:tcW w:w="720" w:type="dxa"/>
            <w:noWrap/>
            <w:vAlign w:val="center"/>
          </w:tcPr>
          <w:p w14:paraId="6E2FD130">
            <w:pPr>
              <w:spacing w:line="240" w:lineRule="auto"/>
              <w:ind w:firstLine="0" w:firstLineChars="0"/>
              <w:jc w:val="center"/>
              <w:rPr>
                <w:rFonts w:cs="Times New Roman"/>
                <w:sz w:val="21"/>
                <w:szCs w:val="21"/>
              </w:rPr>
            </w:pPr>
            <w:r>
              <w:rPr>
                <w:rFonts w:hint="eastAsia" w:cs="Times New Roman"/>
                <w:sz w:val="21"/>
                <w:szCs w:val="21"/>
              </w:rPr>
              <w:t>2295</w:t>
            </w:r>
          </w:p>
        </w:tc>
        <w:tc>
          <w:tcPr>
            <w:tcW w:w="1168" w:type="dxa"/>
            <w:noWrap/>
            <w:vAlign w:val="center"/>
          </w:tcPr>
          <w:p w14:paraId="72B7D575">
            <w:pPr>
              <w:spacing w:line="240" w:lineRule="auto"/>
              <w:ind w:firstLine="0" w:firstLineChars="0"/>
              <w:jc w:val="center"/>
              <w:rPr>
                <w:rFonts w:cs="Times New Roman"/>
                <w:sz w:val="21"/>
                <w:szCs w:val="21"/>
              </w:rPr>
            </w:pPr>
            <w:r>
              <w:rPr>
                <w:rFonts w:hint="eastAsia" w:cs="Times New Roman"/>
                <w:sz w:val="21"/>
                <w:szCs w:val="21"/>
              </w:rPr>
              <w:t>约150</w:t>
            </w:r>
          </w:p>
        </w:tc>
      </w:tr>
      <w:tr w14:paraId="5D646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2BC52753">
            <w:pPr>
              <w:pStyle w:val="39"/>
              <w:numPr>
                <w:ilvl w:val="0"/>
                <w:numId w:val="7"/>
              </w:numPr>
              <w:spacing w:line="240" w:lineRule="auto"/>
              <w:ind w:firstLineChars="0"/>
              <w:jc w:val="center"/>
              <w:rPr>
                <w:rFonts w:cs="Times New Roman"/>
                <w:sz w:val="21"/>
                <w:szCs w:val="21"/>
              </w:rPr>
            </w:pPr>
          </w:p>
        </w:tc>
        <w:tc>
          <w:tcPr>
            <w:tcW w:w="992" w:type="dxa"/>
            <w:noWrap/>
            <w:vAlign w:val="center"/>
          </w:tcPr>
          <w:p w14:paraId="3EA4B2FC">
            <w:pPr>
              <w:spacing w:line="240" w:lineRule="auto"/>
              <w:ind w:firstLine="0" w:firstLineChars="0"/>
              <w:jc w:val="center"/>
              <w:rPr>
                <w:rFonts w:cs="Times New Roman"/>
                <w:sz w:val="21"/>
                <w:szCs w:val="21"/>
              </w:rPr>
            </w:pPr>
            <w:r>
              <w:rPr>
                <w:rFonts w:hint="eastAsia" w:cs="Times New Roman"/>
                <w:sz w:val="21"/>
                <w:szCs w:val="21"/>
              </w:rPr>
              <w:t>镇江市</w:t>
            </w:r>
          </w:p>
        </w:tc>
        <w:tc>
          <w:tcPr>
            <w:tcW w:w="1134" w:type="dxa"/>
            <w:noWrap/>
            <w:vAlign w:val="center"/>
          </w:tcPr>
          <w:p w14:paraId="0B3A73E5">
            <w:pPr>
              <w:spacing w:line="240" w:lineRule="auto"/>
              <w:ind w:firstLine="0" w:firstLineChars="0"/>
              <w:jc w:val="center"/>
              <w:rPr>
                <w:rFonts w:cs="Times New Roman"/>
                <w:sz w:val="21"/>
                <w:szCs w:val="21"/>
              </w:rPr>
            </w:pPr>
            <w:r>
              <w:rPr>
                <w:rFonts w:hint="eastAsia" w:cs="Times New Roman"/>
                <w:sz w:val="21"/>
                <w:szCs w:val="21"/>
              </w:rPr>
              <w:t>句容市</w:t>
            </w:r>
          </w:p>
        </w:tc>
        <w:tc>
          <w:tcPr>
            <w:tcW w:w="1560" w:type="dxa"/>
            <w:noWrap/>
            <w:vAlign w:val="center"/>
          </w:tcPr>
          <w:p w14:paraId="60B9FD44">
            <w:pPr>
              <w:spacing w:line="240" w:lineRule="auto"/>
              <w:ind w:firstLine="0" w:firstLineChars="0"/>
              <w:jc w:val="center"/>
              <w:rPr>
                <w:rFonts w:cs="Times New Roman"/>
                <w:sz w:val="21"/>
                <w:szCs w:val="21"/>
              </w:rPr>
            </w:pPr>
            <w:r>
              <w:rPr>
                <w:rFonts w:hint="eastAsia" w:cs="Times New Roman"/>
                <w:sz w:val="21"/>
                <w:szCs w:val="21"/>
              </w:rPr>
              <w:t>茅山管委会</w:t>
            </w:r>
          </w:p>
        </w:tc>
        <w:tc>
          <w:tcPr>
            <w:tcW w:w="2409" w:type="dxa"/>
            <w:noWrap/>
            <w:vAlign w:val="center"/>
          </w:tcPr>
          <w:p w14:paraId="1DE3F06B">
            <w:pPr>
              <w:spacing w:line="240" w:lineRule="auto"/>
              <w:ind w:firstLine="0" w:firstLineChars="0"/>
              <w:jc w:val="center"/>
              <w:rPr>
                <w:rFonts w:cs="Times New Roman"/>
                <w:sz w:val="21"/>
                <w:szCs w:val="21"/>
              </w:rPr>
            </w:pPr>
            <w:r>
              <w:rPr>
                <w:rFonts w:hint="eastAsia" w:cs="Times New Roman"/>
                <w:sz w:val="21"/>
                <w:szCs w:val="21"/>
              </w:rPr>
              <w:t>老人山</w:t>
            </w:r>
          </w:p>
        </w:tc>
        <w:tc>
          <w:tcPr>
            <w:tcW w:w="1701" w:type="dxa"/>
            <w:noWrap/>
            <w:vAlign w:val="center"/>
          </w:tcPr>
          <w:p w14:paraId="53447BE4">
            <w:pPr>
              <w:spacing w:line="240" w:lineRule="auto"/>
              <w:ind w:firstLine="0" w:firstLineChars="0"/>
              <w:jc w:val="center"/>
              <w:rPr>
                <w:rFonts w:cs="Times New Roman"/>
                <w:sz w:val="21"/>
                <w:szCs w:val="21"/>
              </w:rPr>
            </w:pPr>
            <w:r>
              <w:rPr>
                <w:rFonts w:hint="eastAsia" w:cs="Times New Roman"/>
                <w:sz w:val="21"/>
                <w:szCs w:val="21"/>
              </w:rPr>
              <w:t>119.309308</w:t>
            </w:r>
          </w:p>
        </w:tc>
        <w:tc>
          <w:tcPr>
            <w:tcW w:w="1690" w:type="dxa"/>
            <w:noWrap/>
            <w:vAlign w:val="center"/>
          </w:tcPr>
          <w:p w14:paraId="43A77876">
            <w:pPr>
              <w:spacing w:line="240" w:lineRule="auto"/>
              <w:ind w:firstLine="0" w:firstLineChars="0"/>
              <w:jc w:val="center"/>
              <w:rPr>
                <w:rFonts w:cs="Times New Roman"/>
                <w:sz w:val="21"/>
                <w:szCs w:val="21"/>
              </w:rPr>
            </w:pPr>
            <w:r>
              <w:rPr>
                <w:rFonts w:hint="eastAsia" w:cs="Times New Roman"/>
                <w:sz w:val="21"/>
                <w:szCs w:val="21"/>
              </w:rPr>
              <w:t>31.69011</w:t>
            </w:r>
          </w:p>
        </w:tc>
        <w:tc>
          <w:tcPr>
            <w:tcW w:w="1080" w:type="dxa"/>
            <w:noWrap/>
            <w:vAlign w:val="center"/>
          </w:tcPr>
          <w:p w14:paraId="7B21E121">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587E44E3">
            <w:pPr>
              <w:spacing w:line="240" w:lineRule="auto"/>
              <w:ind w:firstLine="0" w:firstLineChars="0"/>
              <w:jc w:val="center"/>
              <w:rPr>
                <w:rFonts w:cs="Times New Roman"/>
                <w:sz w:val="21"/>
                <w:szCs w:val="21"/>
              </w:rPr>
            </w:pPr>
            <w:r>
              <w:rPr>
                <w:rFonts w:hint="eastAsia" w:cs="Times New Roman"/>
                <w:sz w:val="21"/>
                <w:szCs w:val="21"/>
              </w:rPr>
              <w:t>西</w:t>
            </w:r>
          </w:p>
        </w:tc>
        <w:tc>
          <w:tcPr>
            <w:tcW w:w="720" w:type="dxa"/>
            <w:noWrap/>
            <w:vAlign w:val="center"/>
          </w:tcPr>
          <w:p w14:paraId="251BC34C">
            <w:pPr>
              <w:spacing w:line="240" w:lineRule="auto"/>
              <w:ind w:firstLine="0" w:firstLineChars="0"/>
              <w:jc w:val="center"/>
              <w:rPr>
                <w:rFonts w:cs="Times New Roman"/>
                <w:sz w:val="21"/>
                <w:szCs w:val="21"/>
              </w:rPr>
            </w:pPr>
            <w:r>
              <w:rPr>
                <w:rFonts w:hint="eastAsia" w:cs="Times New Roman"/>
                <w:sz w:val="21"/>
                <w:szCs w:val="21"/>
              </w:rPr>
              <w:t>841</w:t>
            </w:r>
          </w:p>
        </w:tc>
        <w:tc>
          <w:tcPr>
            <w:tcW w:w="1168" w:type="dxa"/>
            <w:noWrap/>
            <w:vAlign w:val="center"/>
          </w:tcPr>
          <w:p w14:paraId="79DE4044">
            <w:pPr>
              <w:spacing w:line="240" w:lineRule="auto"/>
              <w:ind w:firstLine="0" w:firstLineChars="0"/>
              <w:jc w:val="center"/>
              <w:rPr>
                <w:rFonts w:cs="Times New Roman"/>
                <w:sz w:val="21"/>
                <w:szCs w:val="21"/>
              </w:rPr>
            </w:pPr>
            <w:r>
              <w:rPr>
                <w:rFonts w:hint="eastAsia" w:cs="Times New Roman"/>
                <w:sz w:val="21"/>
                <w:szCs w:val="21"/>
              </w:rPr>
              <w:t>约20</w:t>
            </w:r>
          </w:p>
        </w:tc>
      </w:tr>
      <w:tr w14:paraId="1C19C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4" w:type="dxa"/>
            <w:noWrap/>
            <w:vAlign w:val="center"/>
          </w:tcPr>
          <w:p w14:paraId="5E72EFDC">
            <w:pPr>
              <w:pStyle w:val="39"/>
              <w:numPr>
                <w:ilvl w:val="0"/>
                <w:numId w:val="7"/>
              </w:numPr>
              <w:spacing w:line="240" w:lineRule="auto"/>
              <w:ind w:firstLineChars="0"/>
              <w:jc w:val="center"/>
              <w:rPr>
                <w:rFonts w:cs="Times New Roman"/>
                <w:sz w:val="21"/>
                <w:szCs w:val="21"/>
              </w:rPr>
            </w:pPr>
          </w:p>
        </w:tc>
        <w:tc>
          <w:tcPr>
            <w:tcW w:w="992" w:type="dxa"/>
            <w:noWrap/>
            <w:vAlign w:val="center"/>
          </w:tcPr>
          <w:p w14:paraId="62860006">
            <w:pPr>
              <w:spacing w:line="240" w:lineRule="auto"/>
              <w:ind w:firstLine="0" w:firstLineChars="0"/>
              <w:jc w:val="center"/>
              <w:rPr>
                <w:rFonts w:cs="Times New Roman"/>
                <w:sz w:val="21"/>
                <w:szCs w:val="21"/>
              </w:rPr>
            </w:pPr>
            <w:r>
              <w:rPr>
                <w:rFonts w:hint="eastAsia" w:cs="Times New Roman"/>
                <w:sz w:val="21"/>
                <w:szCs w:val="21"/>
              </w:rPr>
              <w:t>常州市</w:t>
            </w:r>
          </w:p>
        </w:tc>
        <w:tc>
          <w:tcPr>
            <w:tcW w:w="1134" w:type="dxa"/>
            <w:noWrap/>
            <w:vAlign w:val="center"/>
          </w:tcPr>
          <w:p w14:paraId="4F0F0523">
            <w:pPr>
              <w:spacing w:line="240" w:lineRule="auto"/>
              <w:ind w:firstLine="0" w:firstLineChars="0"/>
              <w:jc w:val="center"/>
              <w:rPr>
                <w:rFonts w:cs="Times New Roman"/>
                <w:sz w:val="21"/>
                <w:szCs w:val="21"/>
              </w:rPr>
            </w:pPr>
            <w:r>
              <w:rPr>
                <w:rFonts w:hint="eastAsia" w:cs="Times New Roman"/>
                <w:sz w:val="21"/>
                <w:szCs w:val="21"/>
              </w:rPr>
              <w:t>金坛区</w:t>
            </w:r>
          </w:p>
        </w:tc>
        <w:tc>
          <w:tcPr>
            <w:tcW w:w="1560" w:type="dxa"/>
            <w:noWrap/>
            <w:vAlign w:val="center"/>
          </w:tcPr>
          <w:p w14:paraId="15A74BC1">
            <w:pPr>
              <w:spacing w:line="240" w:lineRule="auto"/>
              <w:ind w:firstLine="0" w:firstLineChars="0"/>
              <w:jc w:val="center"/>
              <w:rPr>
                <w:rFonts w:cs="Times New Roman"/>
                <w:sz w:val="21"/>
                <w:szCs w:val="21"/>
              </w:rPr>
            </w:pPr>
            <w:r>
              <w:rPr>
                <w:rFonts w:hint="eastAsia" w:cs="Times New Roman"/>
                <w:sz w:val="21"/>
                <w:szCs w:val="21"/>
              </w:rPr>
              <w:t>朱林镇</w:t>
            </w:r>
          </w:p>
        </w:tc>
        <w:tc>
          <w:tcPr>
            <w:tcW w:w="2409" w:type="dxa"/>
            <w:noWrap/>
            <w:vAlign w:val="center"/>
          </w:tcPr>
          <w:p w14:paraId="768B9CFD">
            <w:pPr>
              <w:spacing w:line="240" w:lineRule="auto"/>
              <w:ind w:firstLine="0" w:firstLineChars="0"/>
              <w:jc w:val="center"/>
              <w:rPr>
                <w:rFonts w:cs="Times New Roman"/>
                <w:sz w:val="21"/>
                <w:szCs w:val="21"/>
              </w:rPr>
            </w:pPr>
            <w:r>
              <w:rPr>
                <w:rFonts w:hint="eastAsia" w:cs="Times New Roman"/>
                <w:sz w:val="21"/>
                <w:szCs w:val="21"/>
              </w:rPr>
              <w:t>高家圩</w:t>
            </w:r>
          </w:p>
        </w:tc>
        <w:tc>
          <w:tcPr>
            <w:tcW w:w="1701" w:type="dxa"/>
            <w:noWrap/>
            <w:vAlign w:val="center"/>
          </w:tcPr>
          <w:p w14:paraId="6DA42D8E">
            <w:pPr>
              <w:spacing w:line="240" w:lineRule="auto"/>
              <w:ind w:firstLine="0" w:firstLineChars="0"/>
              <w:jc w:val="center"/>
              <w:rPr>
                <w:rFonts w:cs="Times New Roman"/>
                <w:sz w:val="21"/>
                <w:szCs w:val="21"/>
              </w:rPr>
            </w:pPr>
            <w:r>
              <w:rPr>
                <w:rFonts w:hint="eastAsia" w:cs="Times New Roman"/>
                <w:sz w:val="21"/>
                <w:szCs w:val="21"/>
              </w:rPr>
              <w:t>119.413912</w:t>
            </w:r>
          </w:p>
        </w:tc>
        <w:tc>
          <w:tcPr>
            <w:tcW w:w="1690" w:type="dxa"/>
            <w:noWrap/>
            <w:vAlign w:val="center"/>
          </w:tcPr>
          <w:p w14:paraId="1A18BA63">
            <w:pPr>
              <w:spacing w:line="240" w:lineRule="auto"/>
              <w:ind w:firstLine="0" w:firstLineChars="0"/>
              <w:jc w:val="center"/>
              <w:rPr>
                <w:rFonts w:cs="Times New Roman"/>
                <w:sz w:val="21"/>
                <w:szCs w:val="21"/>
              </w:rPr>
            </w:pPr>
            <w:r>
              <w:rPr>
                <w:rFonts w:hint="eastAsia" w:cs="Times New Roman"/>
                <w:sz w:val="21"/>
                <w:szCs w:val="21"/>
              </w:rPr>
              <w:t>31.705378</w:t>
            </w:r>
          </w:p>
        </w:tc>
        <w:tc>
          <w:tcPr>
            <w:tcW w:w="1080" w:type="dxa"/>
            <w:noWrap/>
            <w:vAlign w:val="center"/>
          </w:tcPr>
          <w:p w14:paraId="1C06A170">
            <w:pPr>
              <w:spacing w:line="240" w:lineRule="auto"/>
              <w:ind w:firstLine="0" w:firstLineChars="0"/>
              <w:jc w:val="center"/>
              <w:rPr>
                <w:rFonts w:cs="Times New Roman"/>
                <w:sz w:val="21"/>
                <w:szCs w:val="21"/>
              </w:rPr>
            </w:pPr>
            <w:r>
              <w:rPr>
                <w:rFonts w:hint="eastAsia" w:cs="Times New Roman"/>
                <w:sz w:val="21"/>
                <w:szCs w:val="21"/>
              </w:rPr>
              <w:t>居民</w:t>
            </w:r>
          </w:p>
        </w:tc>
        <w:tc>
          <w:tcPr>
            <w:tcW w:w="702" w:type="dxa"/>
            <w:noWrap/>
            <w:vAlign w:val="center"/>
          </w:tcPr>
          <w:p w14:paraId="7E333756">
            <w:pPr>
              <w:spacing w:line="240" w:lineRule="auto"/>
              <w:ind w:firstLine="0" w:firstLineChars="0"/>
              <w:jc w:val="center"/>
              <w:rPr>
                <w:rFonts w:cs="Times New Roman"/>
                <w:sz w:val="21"/>
                <w:szCs w:val="21"/>
              </w:rPr>
            </w:pPr>
            <w:r>
              <w:rPr>
                <w:rFonts w:hint="eastAsia" w:cs="Times New Roman"/>
                <w:sz w:val="21"/>
                <w:szCs w:val="21"/>
              </w:rPr>
              <w:t>东北</w:t>
            </w:r>
          </w:p>
        </w:tc>
        <w:tc>
          <w:tcPr>
            <w:tcW w:w="720" w:type="dxa"/>
            <w:noWrap/>
            <w:vAlign w:val="center"/>
          </w:tcPr>
          <w:p w14:paraId="6D225629">
            <w:pPr>
              <w:spacing w:line="240" w:lineRule="auto"/>
              <w:ind w:firstLine="0" w:firstLineChars="0"/>
              <w:jc w:val="center"/>
              <w:rPr>
                <w:rFonts w:cs="Times New Roman"/>
                <w:sz w:val="21"/>
                <w:szCs w:val="21"/>
              </w:rPr>
            </w:pPr>
            <w:r>
              <w:rPr>
                <w:rFonts w:hint="eastAsia" w:cs="Times New Roman"/>
                <w:sz w:val="21"/>
                <w:szCs w:val="21"/>
              </w:rPr>
              <w:t>2484</w:t>
            </w:r>
          </w:p>
        </w:tc>
        <w:tc>
          <w:tcPr>
            <w:tcW w:w="1168" w:type="dxa"/>
            <w:noWrap/>
            <w:vAlign w:val="center"/>
          </w:tcPr>
          <w:p w14:paraId="3227EA9B">
            <w:pPr>
              <w:spacing w:line="240" w:lineRule="auto"/>
              <w:ind w:firstLine="0" w:firstLineChars="0"/>
              <w:jc w:val="center"/>
              <w:rPr>
                <w:rFonts w:cs="Times New Roman"/>
                <w:sz w:val="21"/>
                <w:szCs w:val="21"/>
              </w:rPr>
            </w:pPr>
            <w:r>
              <w:rPr>
                <w:rFonts w:hint="eastAsia" w:cs="Times New Roman"/>
                <w:sz w:val="21"/>
                <w:szCs w:val="21"/>
              </w:rPr>
              <w:t>约50</w:t>
            </w:r>
          </w:p>
        </w:tc>
      </w:tr>
    </w:tbl>
    <w:p w14:paraId="2AB57E9B">
      <w:pPr>
        <w:ind w:firstLine="0" w:firstLineChars="0"/>
      </w:pPr>
    </w:p>
    <w:p w14:paraId="2AFFD2E4">
      <w:pPr>
        <w:ind w:firstLine="480"/>
      </w:pPr>
    </w:p>
    <w:p w14:paraId="309F03E6">
      <w:pPr>
        <w:ind w:firstLine="480"/>
        <w:sectPr>
          <w:pgSz w:w="16838" w:h="11906" w:orient="landscape"/>
          <w:pgMar w:top="1800" w:right="1440" w:bottom="1800" w:left="1440" w:header="851" w:footer="992" w:gutter="0"/>
          <w:cols w:space="425" w:num="1"/>
          <w:docGrid w:type="lines" w:linePitch="312" w:charSpace="0"/>
        </w:sectPr>
      </w:pPr>
    </w:p>
    <w:p w14:paraId="298D33FE">
      <w:pPr>
        <w:ind w:firstLine="480"/>
        <w:outlineLvl w:val="3"/>
      </w:pPr>
      <w:r>
        <w:rPr>
          <w:rFonts w:hint="eastAsia"/>
        </w:rPr>
        <w:t>（2）地表水保护目标</w:t>
      </w:r>
    </w:p>
    <w:p w14:paraId="29106B92">
      <w:pPr>
        <w:ind w:firstLine="480"/>
        <w:rPr>
          <w:rFonts w:cs="Times New Roman"/>
        </w:rPr>
      </w:pPr>
      <w:r>
        <w:rPr>
          <w:rFonts w:hint="eastAsia"/>
        </w:rPr>
        <w:t>地表水环境保护敏感目标为度假区内涉及的《江苏省地表水（环境）功能区划（2021-2030年）》中的薛埠河以及区内茅东水库、东进水库、海底水库、向阳水库、瓦沟水库、新浮（山）水库，管理及目标要求达到《地表水环境质量标准》（GB 3838-2002）</w:t>
      </w:r>
      <w:r>
        <w:rPr>
          <w:rFonts w:cs="Times New Roman"/>
        </w:rPr>
        <w:t>Ⅲ类标准</w:t>
      </w:r>
      <w:r>
        <w:rPr>
          <w:rFonts w:hint="eastAsia" w:cs="Times New Roman"/>
        </w:rPr>
        <w:t>；其他河流、小型水库参照执行</w:t>
      </w:r>
      <w:r>
        <w:rPr>
          <w:rFonts w:cs="Times New Roman"/>
        </w:rPr>
        <w:t>Ⅲ类标准</w:t>
      </w:r>
      <w:r>
        <w:rPr>
          <w:rFonts w:hint="eastAsia" w:cs="Times New Roman"/>
        </w:rPr>
        <w:t>要求。地表水环境保护敏感目标具体情况见表1.8-2，分布如附图7所示。</w:t>
      </w:r>
    </w:p>
    <w:p w14:paraId="3F402D5E">
      <w:pPr>
        <w:pStyle w:val="45"/>
        <w:rPr>
          <w:rFonts w:cs="Times New Roman"/>
        </w:rPr>
      </w:pPr>
      <w:r>
        <w:rPr>
          <w:rFonts w:cs="Times New Roman"/>
        </w:rPr>
        <w:t xml:space="preserve">表1.8-2  </w:t>
      </w:r>
      <w:r>
        <w:rPr>
          <w:rFonts w:hint="eastAsia" w:cs="Times New Roman"/>
        </w:rPr>
        <w:t>地表水环境保护敏感目标一览表</w:t>
      </w:r>
    </w:p>
    <w:tbl>
      <w:tblPr>
        <w:tblStyle w:val="25"/>
        <w:tblW w:w="496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883"/>
        <w:gridCol w:w="1313"/>
        <w:gridCol w:w="1448"/>
        <w:gridCol w:w="2691"/>
      </w:tblGrid>
      <w:tr w14:paraId="4617B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254" w:type="pct"/>
            <w:tcBorders>
              <w:top w:val="single" w:color="auto" w:sz="4" w:space="0"/>
              <w:left w:val="single" w:color="auto" w:sz="4" w:space="0"/>
              <w:bottom w:val="single" w:color="auto" w:sz="4" w:space="0"/>
              <w:right w:val="single" w:color="auto" w:sz="4" w:space="0"/>
            </w:tcBorders>
            <w:vAlign w:val="center"/>
          </w:tcPr>
          <w:p w14:paraId="0ECBE803">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敏感目标名称</w:t>
            </w:r>
          </w:p>
        </w:tc>
        <w:tc>
          <w:tcPr>
            <w:tcW w:w="522" w:type="pct"/>
            <w:tcBorders>
              <w:top w:val="single" w:color="auto" w:sz="4" w:space="0"/>
              <w:left w:val="single" w:color="auto" w:sz="4" w:space="0"/>
              <w:bottom w:val="single" w:color="auto" w:sz="4" w:space="0"/>
              <w:right w:val="single" w:color="auto" w:sz="4" w:space="0"/>
            </w:tcBorders>
            <w:vAlign w:val="center"/>
          </w:tcPr>
          <w:p w14:paraId="04D3E068">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方位</w:t>
            </w:r>
          </w:p>
        </w:tc>
        <w:tc>
          <w:tcPr>
            <w:tcW w:w="776" w:type="pct"/>
            <w:tcBorders>
              <w:top w:val="single" w:color="auto" w:sz="4" w:space="0"/>
              <w:left w:val="single" w:color="auto" w:sz="4" w:space="0"/>
              <w:bottom w:val="single" w:color="auto" w:sz="4" w:space="0"/>
              <w:right w:val="single" w:color="auto" w:sz="4" w:space="0"/>
            </w:tcBorders>
            <w:vAlign w:val="center"/>
          </w:tcPr>
          <w:p w14:paraId="5D771AA1">
            <w:pPr>
              <w:spacing w:line="240" w:lineRule="auto"/>
              <w:ind w:firstLine="0" w:firstLineChars="0"/>
              <w:jc w:val="center"/>
              <w:rPr>
                <w:rFonts w:cs="Times New Roman"/>
                <w:b/>
                <w:bCs/>
                <w:kern w:val="0"/>
                <w:sz w:val="21"/>
                <w:szCs w:val="21"/>
              </w:rPr>
            </w:pPr>
            <w:r>
              <w:rPr>
                <w:rFonts w:hint="eastAsia" w:cs="Times New Roman"/>
                <w:b/>
                <w:bCs/>
                <w:kern w:val="0"/>
                <w:sz w:val="21"/>
                <w:szCs w:val="21"/>
              </w:rPr>
              <w:t>距离规划区边界（m）</w:t>
            </w:r>
          </w:p>
        </w:tc>
        <w:tc>
          <w:tcPr>
            <w:tcW w:w="856" w:type="pct"/>
            <w:tcBorders>
              <w:top w:val="single" w:color="auto" w:sz="4" w:space="0"/>
              <w:left w:val="single" w:color="auto" w:sz="4" w:space="0"/>
              <w:bottom w:val="single" w:color="auto" w:sz="4" w:space="0"/>
              <w:right w:val="single" w:color="auto" w:sz="4" w:space="0"/>
            </w:tcBorders>
            <w:vAlign w:val="center"/>
          </w:tcPr>
          <w:p w14:paraId="3D10442A">
            <w:pPr>
              <w:widowControl/>
              <w:spacing w:line="240" w:lineRule="auto"/>
              <w:ind w:firstLine="0" w:firstLineChars="0"/>
              <w:jc w:val="center"/>
              <w:rPr>
                <w:rFonts w:cs="Times New Roman"/>
                <w:b/>
                <w:kern w:val="0"/>
                <w:sz w:val="21"/>
                <w:szCs w:val="21"/>
              </w:rPr>
            </w:pPr>
            <w:r>
              <w:rPr>
                <w:rFonts w:hint="eastAsia" w:cs="Times New Roman"/>
                <w:b/>
                <w:kern w:val="0"/>
                <w:sz w:val="21"/>
                <w:szCs w:val="21"/>
              </w:rPr>
              <w:t>规模/等级</w:t>
            </w:r>
          </w:p>
        </w:tc>
        <w:tc>
          <w:tcPr>
            <w:tcW w:w="1590" w:type="pct"/>
            <w:tcBorders>
              <w:top w:val="single" w:color="auto" w:sz="4" w:space="0"/>
              <w:left w:val="single" w:color="auto" w:sz="4" w:space="0"/>
              <w:bottom w:val="single" w:color="auto" w:sz="4" w:space="0"/>
              <w:right w:val="single" w:color="auto" w:sz="4" w:space="0"/>
            </w:tcBorders>
            <w:vAlign w:val="center"/>
          </w:tcPr>
          <w:p w14:paraId="3F74E82A">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环境功能及保护目标</w:t>
            </w:r>
          </w:p>
        </w:tc>
      </w:tr>
      <w:tr w14:paraId="227E8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4" w:type="pct"/>
            <w:tcBorders>
              <w:top w:val="single" w:color="auto" w:sz="4" w:space="0"/>
              <w:left w:val="single" w:color="auto" w:sz="4" w:space="0"/>
              <w:bottom w:val="single" w:color="auto" w:sz="4" w:space="0"/>
              <w:right w:val="single" w:color="auto" w:sz="4" w:space="0"/>
            </w:tcBorders>
            <w:vAlign w:val="center"/>
          </w:tcPr>
          <w:p w14:paraId="18571923">
            <w:pPr>
              <w:widowControl/>
              <w:spacing w:line="240" w:lineRule="auto"/>
              <w:ind w:firstLine="0" w:firstLineChars="0"/>
              <w:jc w:val="center"/>
              <w:rPr>
                <w:rFonts w:cs="Times New Roman"/>
                <w:sz w:val="21"/>
                <w:szCs w:val="21"/>
              </w:rPr>
            </w:pPr>
            <w:r>
              <w:rPr>
                <w:rFonts w:hint="eastAsia" w:cs="Times New Roman"/>
                <w:sz w:val="21"/>
                <w:szCs w:val="21"/>
              </w:rPr>
              <w:t>薛埠河</w:t>
            </w:r>
          </w:p>
        </w:tc>
        <w:tc>
          <w:tcPr>
            <w:tcW w:w="522" w:type="pct"/>
            <w:tcBorders>
              <w:top w:val="single" w:color="auto" w:sz="4" w:space="0"/>
              <w:left w:val="single" w:color="auto" w:sz="4" w:space="0"/>
              <w:bottom w:val="single" w:color="auto" w:sz="4" w:space="0"/>
              <w:right w:val="single" w:color="auto" w:sz="4" w:space="0"/>
            </w:tcBorders>
            <w:vAlign w:val="center"/>
          </w:tcPr>
          <w:p w14:paraId="6AE70B66">
            <w:pPr>
              <w:widowControl/>
              <w:spacing w:line="240" w:lineRule="auto"/>
              <w:ind w:firstLine="0" w:firstLineChars="0"/>
              <w:jc w:val="center"/>
              <w:rPr>
                <w:rFonts w:cs="Times New Roman"/>
                <w:kern w:val="0"/>
                <w:sz w:val="21"/>
                <w:szCs w:val="21"/>
              </w:rPr>
            </w:pPr>
            <w:r>
              <w:rPr>
                <w:rFonts w:hint="eastAsia" w:cs="Times New Roman"/>
                <w:kern w:val="0"/>
                <w:sz w:val="21"/>
                <w:szCs w:val="21"/>
              </w:rPr>
              <w:t>区内</w:t>
            </w:r>
          </w:p>
        </w:tc>
        <w:tc>
          <w:tcPr>
            <w:tcW w:w="776" w:type="pct"/>
            <w:tcBorders>
              <w:top w:val="single" w:color="auto" w:sz="4" w:space="0"/>
              <w:left w:val="single" w:color="auto" w:sz="4" w:space="0"/>
              <w:bottom w:val="single" w:color="auto" w:sz="4" w:space="0"/>
              <w:right w:val="single" w:color="auto" w:sz="4" w:space="0"/>
            </w:tcBorders>
            <w:vAlign w:val="center"/>
          </w:tcPr>
          <w:p w14:paraId="5451A4C6">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56" w:type="pct"/>
            <w:tcBorders>
              <w:top w:val="single" w:color="auto" w:sz="4" w:space="0"/>
              <w:left w:val="single" w:color="auto" w:sz="4" w:space="0"/>
              <w:bottom w:val="single" w:color="auto" w:sz="4" w:space="0"/>
              <w:right w:val="single" w:color="auto" w:sz="4" w:space="0"/>
            </w:tcBorders>
            <w:vAlign w:val="center"/>
          </w:tcPr>
          <w:p w14:paraId="7A6644B9">
            <w:pPr>
              <w:widowControl/>
              <w:spacing w:line="240" w:lineRule="auto"/>
              <w:ind w:firstLine="0" w:firstLineChars="0"/>
              <w:jc w:val="center"/>
              <w:rPr>
                <w:rFonts w:cs="Times New Roman"/>
                <w:kern w:val="0"/>
                <w:sz w:val="21"/>
                <w:szCs w:val="21"/>
              </w:rPr>
            </w:pPr>
            <w:r>
              <w:rPr>
                <w:rFonts w:hint="eastAsia" w:cs="Times New Roman"/>
                <w:kern w:val="0"/>
                <w:sz w:val="21"/>
                <w:szCs w:val="21"/>
              </w:rPr>
              <w:t>省级水环境功能保护区</w:t>
            </w:r>
          </w:p>
        </w:tc>
        <w:tc>
          <w:tcPr>
            <w:tcW w:w="1590" w:type="pct"/>
            <w:tcBorders>
              <w:top w:val="single" w:color="auto" w:sz="4" w:space="0"/>
              <w:left w:val="single" w:color="auto" w:sz="4" w:space="0"/>
              <w:bottom w:val="single" w:color="auto" w:sz="4" w:space="0"/>
              <w:right w:val="single" w:color="auto" w:sz="4" w:space="0"/>
            </w:tcBorders>
            <w:vAlign w:val="center"/>
          </w:tcPr>
          <w:p w14:paraId="21DE1CBE">
            <w:pPr>
              <w:widowControl/>
              <w:spacing w:line="240" w:lineRule="auto"/>
              <w:ind w:firstLine="0" w:firstLineChars="0"/>
              <w:jc w:val="center"/>
              <w:rPr>
                <w:rFonts w:cs="Times New Roman"/>
                <w:kern w:val="0"/>
                <w:sz w:val="21"/>
                <w:szCs w:val="21"/>
              </w:rPr>
            </w:pPr>
            <w:r>
              <w:rPr>
                <w:rFonts w:hint="eastAsia" w:cs="Times New Roman"/>
                <w:kern w:val="0"/>
                <w:sz w:val="21"/>
                <w:szCs w:val="21"/>
              </w:rPr>
              <w:t>工业、农业用水区，《地表水环境质量标准》（GB 3838-2002）III类</w:t>
            </w:r>
          </w:p>
        </w:tc>
      </w:tr>
      <w:tr w14:paraId="64943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4" w:type="pct"/>
            <w:tcBorders>
              <w:top w:val="single" w:color="auto" w:sz="4" w:space="0"/>
              <w:left w:val="single" w:color="auto" w:sz="4" w:space="0"/>
              <w:bottom w:val="single" w:color="auto" w:sz="4" w:space="0"/>
              <w:right w:val="single" w:color="auto" w:sz="4" w:space="0"/>
            </w:tcBorders>
            <w:vAlign w:val="center"/>
          </w:tcPr>
          <w:p w14:paraId="19E01E4C">
            <w:pPr>
              <w:widowControl/>
              <w:spacing w:line="240" w:lineRule="auto"/>
              <w:ind w:firstLine="0" w:firstLineChars="0"/>
              <w:jc w:val="center"/>
              <w:rPr>
                <w:rFonts w:cs="Times New Roman"/>
                <w:sz w:val="21"/>
                <w:szCs w:val="21"/>
              </w:rPr>
            </w:pPr>
            <w:r>
              <w:rPr>
                <w:rFonts w:hint="eastAsia"/>
                <w:sz w:val="20"/>
                <w:szCs w:val="20"/>
              </w:rPr>
              <w:t>茅东水库</w:t>
            </w:r>
          </w:p>
        </w:tc>
        <w:tc>
          <w:tcPr>
            <w:tcW w:w="522" w:type="pct"/>
            <w:tcBorders>
              <w:top w:val="single" w:color="auto" w:sz="4" w:space="0"/>
              <w:left w:val="single" w:color="auto" w:sz="4" w:space="0"/>
              <w:bottom w:val="single" w:color="auto" w:sz="4" w:space="0"/>
              <w:right w:val="single" w:color="auto" w:sz="4" w:space="0"/>
            </w:tcBorders>
            <w:vAlign w:val="center"/>
          </w:tcPr>
          <w:p w14:paraId="4C77F76E">
            <w:pPr>
              <w:widowControl/>
              <w:spacing w:line="240" w:lineRule="auto"/>
              <w:ind w:firstLine="0" w:firstLineChars="0"/>
              <w:jc w:val="center"/>
              <w:rPr>
                <w:rFonts w:cs="Times New Roman"/>
                <w:kern w:val="0"/>
                <w:sz w:val="21"/>
                <w:szCs w:val="21"/>
              </w:rPr>
            </w:pPr>
            <w:r>
              <w:rPr>
                <w:rFonts w:hint="eastAsia" w:cs="Times New Roman"/>
                <w:kern w:val="0"/>
                <w:sz w:val="21"/>
                <w:szCs w:val="21"/>
              </w:rPr>
              <w:t>区内</w:t>
            </w:r>
          </w:p>
        </w:tc>
        <w:tc>
          <w:tcPr>
            <w:tcW w:w="776" w:type="pct"/>
            <w:tcBorders>
              <w:top w:val="single" w:color="auto" w:sz="4" w:space="0"/>
              <w:left w:val="single" w:color="auto" w:sz="4" w:space="0"/>
              <w:bottom w:val="single" w:color="auto" w:sz="4" w:space="0"/>
              <w:right w:val="single" w:color="auto" w:sz="4" w:space="0"/>
            </w:tcBorders>
            <w:vAlign w:val="center"/>
          </w:tcPr>
          <w:p w14:paraId="701A2D32">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56" w:type="pct"/>
            <w:tcBorders>
              <w:top w:val="single" w:color="auto" w:sz="4" w:space="0"/>
              <w:left w:val="single" w:color="auto" w:sz="4" w:space="0"/>
              <w:bottom w:val="single" w:color="auto" w:sz="4" w:space="0"/>
              <w:right w:val="single" w:color="auto" w:sz="4" w:space="0"/>
            </w:tcBorders>
            <w:vAlign w:val="center"/>
          </w:tcPr>
          <w:p w14:paraId="51A4BF69">
            <w:pPr>
              <w:widowControl/>
              <w:spacing w:line="240" w:lineRule="auto"/>
              <w:ind w:firstLine="0" w:firstLineChars="0"/>
              <w:jc w:val="center"/>
              <w:rPr>
                <w:rFonts w:cs="Times New Roman"/>
                <w:kern w:val="0"/>
                <w:sz w:val="21"/>
                <w:szCs w:val="21"/>
              </w:rPr>
            </w:pPr>
            <w:r>
              <w:rPr>
                <w:rFonts w:hint="eastAsia" w:cs="Times New Roman"/>
                <w:kern w:val="0"/>
                <w:sz w:val="21"/>
                <w:szCs w:val="21"/>
              </w:rPr>
              <w:t>省级水环境功能保护区</w:t>
            </w:r>
          </w:p>
        </w:tc>
        <w:tc>
          <w:tcPr>
            <w:tcW w:w="1590" w:type="pct"/>
            <w:tcBorders>
              <w:top w:val="single" w:color="auto" w:sz="4" w:space="0"/>
              <w:left w:val="single" w:color="auto" w:sz="4" w:space="0"/>
              <w:bottom w:val="single" w:color="auto" w:sz="4" w:space="0"/>
              <w:right w:val="single" w:color="auto" w:sz="4" w:space="0"/>
            </w:tcBorders>
            <w:vAlign w:val="center"/>
          </w:tcPr>
          <w:p w14:paraId="62BDB12E">
            <w:pPr>
              <w:widowControl/>
              <w:spacing w:line="240" w:lineRule="auto"/>
              <w:ind w:firstLine="0" w:firstLineChars="0"/>
              <w:jc w:val="center"/>
              <w:rPr>
                <w:rFonts w:cs="Times New Roman"/>
                <w:kern w:val="0"/>
                <w:sz w:val="21"/>
                <w:szCs w:val="21"/>
              </w:rPr>
            </w:pPr>
            <w:r>
              <w:rPr>
                <w:rFonts w:hint="eastAsia"/>
                <w:sz w:val="20"/>
                <w:szCs w:val="20"/>
              </w:rPr>
              <w:t>渔业用水区，</w:t>
            </w:r>
            <w:r>
              <w:rPr>
                <w:rFonts w:hint="eastAsia" w:cs="Times New Roman"/>
                <w:kern w:val="0"/>
                <w:sz w:val="21"/>
                <w:szCs w:val="21"/>
              </w:rPr>
              <w:t>《地表水环境质量标准》（GB 3838-2002）III类（湖、库）</w:t>
            </w:r>
          </w:p>
        </w:tc>
      </w:tr>
      <w:tr w14:paraId="6B2E4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4" w:type="pct"/>
            <w:tcBorders>
              <w:top w:val="single" w:color="auto" w:sz="4" w:space="0"/>
              <w:left w:val="single" w:color="auto" w:sz="4" w:space="0"/>
              <w:bottom w:val="single" w:color="auto" w:sz="4" w:space="0"/>
              <w:right w:val="single" w:color="auto" w:sz="4" w:space="0"/>
            </w:tcBorders>
            <w:vAlign w:val="center"/>
          </w:tcPr>
          <w:p w14:paraId="4B02861D">
            <w:pPr>
              <w:widowControl/>
              <w:spacing w:line="240" w:lineRule="auto"/>
              <w:ind w:firstLine="0" w:firstLineChars="0"/>
              <w:jc w:val="center"/>
              <w:rPr>
                <w:rFonts w:cs="Times New Roman"/>
                <w:sz w:val="21"/>
                <w:szCs w:val="21"/>
              </w:rPr>
            </w:pPr>
            <w:r>
              <w:rPr>
                <w:rFonts w:hint="eastAsia"/>
                <w:sz w:val="20"/>
                <w:szCs w:val="20"/>
              </w:rPr>
              <w:t>东进水库</w:t>
            </w:r>
          </w:p>
        </w:tc>
        <w:tc>
          <w:tcPr>
            <w:tcW w:w="522" w:type="pct"/>
            <w:tcBorders>
              <w:top w:val="single" w:color="auto" w:sz="4" w:space="0"/>
              <w:left w:val="single" w:color="auto" w:sz="4" w:space="0"/>
              <w:bottom w:val="single" w:color="auto" w:sz="4" w:space="0"/>
              <w:right w:val="single" w:color="auto" w:sz="4" w:space="0"/>
            </w:tcBorders>
            <w:vAlign w:val="center"/>
          </w:tcPr>
          <w:p w14:paraId="39551C9D">
            <w:pPr>
              <w:widowControl/>
              <w:spacing w:line="240" w:lineRule="auto"/>
              <w:ind w:firstLine="0" w:firstLineChars="0"/>
              <w:jc w:val="center"/>
              <w:rPr>
                <w:rFonts w:cs="Times New Roman"/>
                <w:kern w:val="0"/>
                <w:sz w:val="21"/>
                <w:szCs w:val="21"/>
              </w:rPr>
            </w:pPr>
            <w:r>
              <w:rPr>
                <w:rFonts w:hint="eastAsia" w:cs="Times New Roman"/>
                <w:kern w:val="0"/>
                <w:sz w:val="21"/>
                <w:szCs w:val="21"/>
              </w:rPr>
              <w:t>区内</w:t>
            </w:r>
          </w:p>
        </w:tc>
        <w:tc>
          <w:tcPr>
            <w:tcW w:w="776" w:type="pct"/>
            <w:tcBorders>
              <w:top w:val="single" w:color="auto" w:sz="4" w:space="0"/>
              <w:left w:val="single" w:color="auto" w:sz="4" w:space="0"/>
              <w:bottom w:val="single" w:color="auto" w:sz="4" w:space="0"/>
              <w:right w:val="single" w:color="auto" w:sz="4" w:space="0"/>
            </w:tcBorders>
            <w:vAlign w:val="center"/>
          </w:tcPr>
          <w:p w14:paraId="6BC7D313">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56" w:type="pct"/>
            <w:tcBorders>
              <w:top w:val="single" w:color="auto" w:sz="4" w:space="0"/>
              <w:left w:val="single" w:color="auto" w:sz="4" w:space="0"/>
              <w:bottom w:val="single" w:color="auto" w:sz="4" w:space="0"/>
              <w:right w:val="single" w:color="auto" w:sz="4" w:space="0"/>
            </w:tcBorders>
            <w:vAlign w:val="center"/>
          </w:tcPr>
          <w:p w14:paraId="60949EE9">
            <w:pPr>
              <w:widowControl/>
              <w:spacing w:line="240" w:lineRule="auto"/>
              <w:ind w:firstLine="0" w:firstLineChars="0"/>
              <w:jc w:val="center"/>
              <w:rPr>
                <w:rFonts w:cs="Times New Roman"/>
                <w:kern w:val="0"/>
                <w:sz w:val="21"/>
                <w:szCs w:val="21"/>
              </w:rPr>
            </w:pPr>
            <w:r>
              <w:rPr>
                <w:rFonts w:hint="eastAsia" w:cs="Times New Roman"/>
                <w:kern w:val="0"/>
                <w:sz w:val="21"/>
                <w:szCs w:val="21"/>
              </w:rPr>
              <w:t>省级水环境功能保护区</w:t>
            </w:r>
          </w:p>
        </w:tc>
        <w:tc>
          <w:tcPr>
            <w:tcW w:w="1590" w:type="pct"/>
            <w:tcBorders>
              <w:top w:val="single" w:color="auto" w:sz="4" w:space="0"/>
              <w:left w:val="single" w:color="auto" w:sz="4" w:space="0"/>
              <w:bottom w:val="single" w:color="auto" w:sz="4" w:space="0"/>
              <w:right w:val="single" w:color="auto" w:sz="4" w:space="0"/>
            </w:tcBorders>
            <w:vAlign w:val="center"/>
          </w:tcPr>
          <w:p w14:paraId="5DDF0070">
            <w:pPr>
              <w:widowControl/>
              <w:spacing w:line="240" w:lineRule="auto"/>
              <w:ind w:firstLine="0" w:firstLineChars="0"/>
              <w:jc w:val="center"/>
              <w:rPr>
                <w:rFonts w:cs="Times New Roman"/>
                <w:kern w:val="0"/>
                <w:sz w:val="21"/>
                <w:szCs w:val="21"/>
              </w:rPr>
            </w:pPr>
            <w:r>
              <w:rPr>
                <w:rFonts w:hint="eastAsia"/>
                <w:sz w:val="20"/>
                <w:szCs w:val="20"/>
              </w:rPr>
              <w:t>渔业用水区，</w:t>
            </w:r>
            <w:r>
              <w:rPr>
                <w:rFonts w:hint="eastAsia" w:cs="Times New Roman"/>
                <w:kern w:val="0"/>
                <w:sz w:val="21"/>
                <w:szCs w:val="21"/>
              </w:rPr>
              <w:t>《地表水环境质量标准》（GB 3838-2002）III类（湖、库）</w:t>
            </w:r>
          </w:p>
        </w:tc>
      </w:tr>
      <w:tr w14:paraId="73C98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4" w:type="pct"/>
            <w:tcBorders>
              <w:top w:val="single" w:color="auto" w:sz="4" w:space="0"/>
              <w:left w:val="single" w:color="auto" w:sz="4" w:space="0"/>
              <w:bottom w:val="single" w:color="auto" w:sz="4" w:space="0"/>
              <w:right w:val="single" w:color="auto" w:sz="4" w:space="0"/>
            </w:tcBorders>
            <w:vAlign w:val="center"/>
          </w:tcPr>
          <w:p w14:paraId="147A49B3">
            <w:pPr>
              <w:widowControl/>
              <w:spacing w:line="240" w:lineRule="auto"/>
              <w:ind w:firstLine="0" w:firstLineChars="0"/>
              <w:jc w:val="center"/>
              <w:rPr>
                <w:rFonts w:cs="Times New Roman"/>
                <w:sz w:val="21"/>
                <w:szCs w:val="21"/>
              </w:rPr>
            </w:pPr>
            <w:r>
              <w:rPr>
                <w:rFonts w:hint="eastAsia"/>
                <w:sz w:val="20"/>
                <w:szCs w:val="20"/>
              </w:rPr>
              <w:t>海底水库</w:t>
            </w:r>
          </w:p>
        </w:tc>
        <w:tc>
          <w:tcPr>
            <w:tcW w:w="522" w:type="pct"/>
            <w:tcBorders>
              <w:top w:val="single" w:color="auto" w:sz="4" w:space="0"/>
              <w:left w:val="single" w:color="auto" w:sz="4" w:space="0"/>
              <w:bottom w:val="single" w:color="auto" w:sz="4" w:space="0"/>
              <w:right w:val="single" w:color="auto" w:sz="4" w:space="0"/>
            </w:tcBorders>
            <w:vAlign w:val="center"/>
          </w:tcPr>
          <w:p w14:paraId="7ACF6F05">
            <w:pPr>
              <w:widowControl/>
              <w:spacing w:line="240" w:lineRule="auto"/>
              <w:ind w:firstLine="0" w:firstLineChars="0"/>
              <w:jc w:val="center"/>
              <w:rPr>
                <w:rFonts w:cs="Times New Roman"/>
                <w:kern w:val="0"/>
                <w:sz w:val="21"/>
                <w:szCs w:val="21"/>
              </w:rPr>
            </w:pPr>
            <w:r>
              <w:rPr>
                <w:rFonts w:hint="eastAsia" w:cs="Times New Roman"/>
                <w:kern w:val="0"/>
                <w:sz w:val="21"/>
                <w:szCs w:val="21"/>
              </w:rPr>
              <w:t>区内</w:t>
            </w:r>
          </w:p>
        </w:tc>
        <w:tc>
          <w:tcPr>
            <w:tcW w:w="776" w:type="pct"/>
            <w:tcBorders>
              <w:top w:val="single" w:color="auto" w:sz="4" w:space="0"/>
              <w:left w:val="single" w:color="auto" w:sz="4" w:space="0"/>
              <w:bottom w:val="single" w:color="auto" w:sz="4" w:space="0"/>
              <w:right w:val="single" w:color="auto" w:sz="4" w:space="0"/>
            </w:tcBorders>
            <w:vAlign w:val="center"/>
          </w:tcPr>
          <w:p w14:paraId="7A99CF4C">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56" w:type="pct"/>
            <w:tcBorders>
              <w:top w:val="single" w:color="auto" w:sz="4" w:space="0"/>
              <w:left w:val="single" w:color="auto" w:sz="4" w:space="0"/>
              <w:bottom w:val="single" w:color="auto" w:sz="4" w:space="0"/>
              <w:right w:val="single" w:color="auto" w:sz="4" w:space="0"/>
            </w:tcBorders>
            <w:vAlign w:val="center"/>
          </w:tcPr>
          <w:p w14:paraId="30ED60CD">
            <w:pPr>
              <w:widowControl/>
              <w:spacing w:line="240" w:lineRule="auto"/>
              <w:ind w:firstLine="0" w:firstLineChars="0"/>
              <w:jc w:val="center"/>
              <w:rPr>
                <w:rFonts w:cs="Times New Roman"/>
                <w:kern w:val="0"/>
                <w:sz w:val="21"/>
                <w:szCs w:val="21"/>
              </w:rPr>
            </w:pPr>
            <w:r>
              <w:rPr>
                <w:rFonts w:hint="eastAsia" w:cs="Times New Roman"/>
                <w:kern w:val="0"/>
                <w:sz w:val="21"/>
                <w:szCs w:val="21"/>
              </w:rPr>
              <w:t>省级水环境功能保护区</w:t>
            </w:r>
          </w:p>
        </w:tc>
        <w:tc>
          <w:tcPr>
            <w:tcW w:w="1590" w:type="pct"/>
            <w:tcBorders>
              <w:top w:val="single" w:color="auto" w:sz="4" w:space="0"/>
              <w:left w:val="single" w:color="auto" w:sz="4" w:space="0"/>
              <w:bottom w:val="single" w:color="auto" w:sz="4" w:space="0"/>
              <w:right w:val="single" w:color="auto" w:sz="4" w:space="0"/>
            </w:tcBorders>
            <w:vAlign w:val="center"/>
          </w:tcPr>
          <w:p w14:paraId="18CB1B8B">
            <w:pPr>
              <w:widowControl/>
              <w:spacing w:line="240" w:lineRule="auto"/>
              <w:ind w:firstLine="0" w:firstLineChars="0"/>
              <w:jc w:val="center"/>
              <w:rPr>
                <w:rFonts w:cs="Times New Roman"/>
                <w:kern w:val="0"/>
                <w:sz w:val="21"/>
                <w:szCs w:val="21"/>
              </w:rPr>
            </w:pPr>
            <w:r>
              <w:rPr>
                <w:rFonts w:hint="eastAsia"/>
                <w:sz w:val="20"/>
                <w:szCs w:val="20"/>
              </w:rPr>
              <w:t>景观娱乐用水区，</w:t>
            </w:r>
            <w:r>
              <w:rPr>
                <w:rFonts w:hint="eastAsia" w:cs="Times New Roman"/>
                <w:kern w:val="0"/>
                <w:sz w:val="21"/>
                <w:szCs w:val="21"/>
              </w:rPr>
              <w:t>《地表水环境质量标准》（GB 3838-2002）III类（湖、库）</w:t>
            </w:r>
          </w:p>
        </w:tc>
      </w:tr>
      <w:tr w14:paraId="4EA32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4" w:type="pct"/>
            <w:tcBorders>
              <w:top w:val="single" w:color="auto" w:sz="4" w:space="0"/>
              <w:left w:val="single" w:color="auto" w:sz="4" w:space="0"/>
              <w:bottom w:val="single" w:color="auto" w:sz="4" w:space="0"/>
              <w:right w:val="single" w:color="auto" w:sz="4" w:space="0"/>
            </w:tcBorders>
            <w:vAlign w:val="center"/>
          </w:tcPr>
          <w:p w14:paraId="0EE36E3A">
            <w:pPr>
              <w:widowControl/>
              <w:spacing w:line="240" w:lineRule="auto"/>
              <w:ind w:firstLine="0" w:firstLineChars="0"/>
              <w:jc w:val="center"/>
              <w:rPr>
                <w:rFonts w:cs="Times New Roman"/>
                <w:kern w:val="0"/>
                <w:sz w:val="21"/>
                <w:szCs w:val="21"/>
              </w:rPr>
            </w:pPr>
            <w:r>
              <w:rPr>
                <w:rFonts w:hint="eastAsia"/>
                <w:sz w:val="20"/>
                <w:szCs w:val="20"/>
              </w:rPr>
              <w:t>向阳水库</w:t>
            </w:r>
          </w:p>
        </w:tc>
        <w:tc>
          <w:tcPr>
            <w:tcW w:w="522" w:type="pct"/>
            <w:tcBorders>
              <w:top w:val="single" w:color="auto" w:sz="4" w:space="0"/>
              <w:left w:val="single" w:color="auto" w:sz="4" w:space="0"/>
              <w:bottom w:val="single" w:color="auto" w:sz="4" w:space="0"/>
              <w:right w:val="single" w:color="auto" w:sz="4" w:space="0"/>
            </w:tcBorders>
            <w:vAlign w:val="center"/>
          </w:tcPr>
          <w:p w14:paraId="17651207">
            <w:pPr>
              <w:widowControl/>
              <w:spacing w:line="240" w:lineRule="auto"/>
              <w:ind w:firstLine="0" w:firstLineChars="0"/>
              <w:jc w:val="center"/>
              <w:rPr>
                <w:rFonts w:cs="Times New Roman"/>
                <w:kern w:val="0"/>
                <w:sz w:val="21"/>
                <w:szCs w:val="21"/>
              </w:rPr>
            </w:pPr>
            <w:r>
              <w:rPr>
                <w:rFonts w:hint="eastAsia" w:cs="Times New Roman"/>
                <w:kern w:val="0"/>
                <w:sz w:val="21"/>
                <w:szCs w:val="21"/>
              </w:rPr>
              <w:t>区内</w:t>
            </w:r>
          </w:p>
        </w:tc>
        <w:tc>
          <w:tcPr>
            <w:tcW w:w="776" w:type="pct"/>
            <w:tcBorders>
              <w:top w:val="single" w:color="auto" w:sz="4" w:space="0"/>
              <w:left w:val="single" w:color="auto" w:sz="4" w:space="0"/>
              <w:bottom w:val="single" w:color="auto" w:sz="4" w:space="0"/>
              <w:right w:val="single" w:color="auto" w:sz="4" w:space="0"/>
            </w:tcBorders>
            <w:vAlign w:val="center"/>
          </w:tcPr>
          <w:p w14:paraId="4FFE975A">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56" w:type="pct"/>
            <w:tcBorders>
              <w:top w:val="single" w:color="auto" w:sz="4" w:space="0"/>
              <w:left w:val="single" w:color="auto" w:sz="4" w:space="0"/>
              <w:bottom w:val="single" w:color="auto" w:sz="4" w:space="0"/>
              <w:right w:val="single" w:color="auto" w:sz="4" w:space="0"/>
            </w:tcBorders>
            <w:vAlign w:val="center"/>
          </w:tcPr>
          <w:p w14:paraId="37FABAD0">
            <w:pPr>
              <w:widowControl/>
              <w:spacing w:line="240" w:lineRule="auto"/>
              <w:ind w:firstLine="0" w:firstLineChars="0"/>
              <w:jc w:val="center"/>
              <w:rPr>
                <w:rFonts w:cs="Times New Roman"/>
                <w:kern w:val="0"/>
                <w:sz w:val="21"/>
                <w:szCs w:val="21"/>
              </w:rPr>
            </w:pPr>
            <w:r>
              <w:rPr>
                <w:rFonts w:hint="eastAsia" w:cs="Times New Roman"/>
                <w:kern w:val="0"/>
                <w:sz w:val="21"/>
                <w:szCs w:val="21"/>
              </w:rPr>
              <w:t>省级水环境功能保护区</w:t>
            </w:r>
          </w:p>
        </w:tc>
        <w:tc>
          <w:tcPr>
            <w:tcW w:w="1590" w:type="pct"/>
            <w:tcBorders>
              <w:top w:val="single" w:color="auto" w:sz="4" w:space="0"/>
              <w:left w:val="single" w:color="auto" w:sz="4" w:space="0"/>
              <w:bottom w:val="single" w:color="auto" w:sz="4" w:space="0"/>
              <w:right w:val="single" w:color="auto" w:sz="4" w:space="0"/>
            </w:tcBorders>
            <w:vAlign w:val="center"/>
          </w:tcPr>
          <w:p w14:paraId="1965B27B">
            <w:pPr>
              <w:widowControl/>
              <w:spacing w:line="240" w:lineRule="auto"/>
              <w:ind w:firstLine="0" w:firstLineChars="0"/>
              <w:jc w:val="center"/>
              <w:rPr>
                <w:rFonts w:cs="Times New Roman"/>
                <w:kern w:val="0"/>
                <w:sz w:val="21"/>
                <w:szCs w:val="21"/>
              </w:rPr>
            </w:pPr>
            <w:r>
              <w:rPr>
                <w:rFonts w:hint="eastAsia"/>
                <w:sz w:val="20"/>
                <w:szCs w:val="20"/>
              </w:rPr>
              <w:t>渔业用水区，</w:t>
            </w:r>
            <w:r>
              <w:rPr>
                <w:rFonts w:hint="eastAsia" w:cs="Times New Roman"/>
                <w:kern w:val="0"/>
                <w:sz w:val="21"/>
                <w:szCs w:val="21"/>
              </w:rPr>
              <w:t>《地表水环境质量标准》（GB 3838-2002）III类（湖、库）</w:t>
            </w:r>
          </w:p>
        </w:tc>
      </w:tr>
      <w:tr w14:paraId="3F4F9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4" w:type="pct"/>
            <w:tcBorders>
              <w:top w:val="single" w:color="auto" w:sz="4" w:space="0"/>
              <w:left w:val="single" w:color="auto" w:sz="4" w:space="0"/>
              <w:bottom w:val="single" w:color="auto" w:sz="4" w:space="0"/>
              <w:right w:val="single" w:color="auto" w:sz="4" w:space="0"/>
            </w:tcBorders>
            <w:vAlign w:val="center"/>
          </w:tcPr>
          <w:p w14:paraId="016B7D0E">
            <w:pPr>
              <w:widowControl/>
              <w:spacing w:line="240" w:lineRule="auto"/>
              <w:ind w:firstLine="0" w:firstLineChars="0"/>
              <w:jc w:val="center"/>
              <w:rPr>
                <w:rFonts w:cs="Times New Roman"/>
                <w:sz w:val="21"/>
                <w:szCs w:val="21"/>
              </w:rPr>
            </w:pPr>
            <w:r>
              <w:rPr>
                <w:rFonts w:hint="eastAsia"/>
                <w:sz w:val="20"/>
                <w:szCs w:val="20"/>
              </w:rPr>
              <w:t>瓦沟水库</w:t>
            </w:r>
          </w:p>
        </w:tc>
        <w:tc>
          <w:tcPr>
            <w:tcW w:w="522" w:type="pct"/>
            <w:tcBorders>
              <w:top w:val="single" w:color="auto" w:sz="4" w:space="0"/>
              <w:left w:val="single" w:color="auto" w:sz="4" w:space="0"/>
              <w:bottom w:val="single" w:color="auto" w:sz="4" w:space="0"/>
              <w:right w:val="single" w:color="auto" w:sz="4" w:space="0"/>
            </w:tcBorders>
            <w:vAlign w:val="center"/>
          </w:tcPr>
          <w:p w14:paraId="531194FD">
            <w:pPr>
              <w:widowControl/>
              <w:spacing w:line="240" w:lineRule="auto"/>
              <w:ind w:firstLine="0" w:firstLineChars="0"/>
              <w:jc w:val="center"/>
              <w:rPr>
                <w:rFonts w:cs="Times New Roman"/>
                <w:kern w:val="0"/>
                <w:sz w:val="21"/>
                <w:szCs w:val="21"/>
              </w:rPr>
            </w:pPr>
            <w:r>
              <w:rPr>
                <w:rFonts w:hint="eastAsia" w:cs="Times New Roman"/>
                <w:kern w:val="0"/>
                <w:sz w:val="21"/>
                <w:szCs w:val="21"/>
              </w:rPr>
              <w:t>区内</w:t>
            </w:r>
          </w:p>
        </w:tc>
        <w:tc>
          <w:tcPr>
            <w:tcW w:w="776" w:type="pct"/>
            <w:tcBorders>
              <w:top w:val="single" w:color="auto" w:sz="4" w:space="0"/>
              <w:left w:val="single" w:color="auto" w:sz="4" w:space="0"/>
              <w:bottom w:val="single" w:color="auto" w:sz="4" w:space="0"/>
              <w:right w:val="single" w:color="auto" w:sz="4" w:space="0"/>
            </w:tcBorders>
            <w:vAlign w:val="center"/>
          </w:tcPr>
          <w:p w14:paraId="337B2A9B">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56" w:type="pct"/>
            <w:tcBorders>
              <w:top w:val="single" w:color="auto" w:sz="4" w:space="0"/>
              <w:left w:val="single" w:color="auto" w:sz="4" w:space="0"/>
              <w:bottom w:val="single" w:color="auto" w:sz="4" w:space="0"/>
              <w:right w:val="single" w:color="auto" w:sz="4" w:space="0"/>
            </w:tcBorders>
            <w:vAlign w:val="center"/>
          </w:tcPr>
          <w:p w14:paraId="6F6EE10B">
            <w:pPr>
              <w:widowControl/>
              <w:spacing w:line="240" w:lineRule="auto"/>
              <w:ind w:firstLine="0" w:firstLineChars="0"/>
              <w:jc w:val="center"/>
              <w:rPr>
                <w:rFonts w:cs="Times New Roman"/>
                <w:kern w:val="0"/>
                <w:sz w:val="21"/>
                <w:szCs w:val="21"/>
              </w:rPr>
            </w:pPr>
            <w:r>
              <w:rPr>
                <w:rFonts w:hint="eastAsia" w:cs="Times New Roman"/>
                <w:kern w:val="0"/>
                <w:sz w:val="21"/>
                <w:szCs w:val="21"/>
              </w:rPr>
              <w:t>省级水环境功能保护区</w:t>
            </w:r>
          </w:p>
        </w:tc>
        <w:tc>
          <w:tcPr>
            <w:tcW w:w="1590" w:type="pct"/>
            <w:tcBorders>
              <w:top w:val="single" w:color="auto" w:sz="4" w:space="0"/>
              <w:left w:val="single" w:color="auto" w:sz="4" w:space="0"/>
              <w:bottom w:val="single" w:color="auto" w:sz="4" w:space="0"/>
              <w:right w:val="single" w:color="auto" w:sz="4" w:space="0"/>
            </w:tcBorders>
            <w:vAlign w:val="center"/>
          </w:tcPr>
          <w:p w14:paraId="69BFF251">
            <w:pPr>
              <w:widowControl/>
              <w:spacing w:line="240" w:lineRule="auto"/>
              <w:ind w:firstLine="0" w:firstLineChars="0"/>
              <w:jc w:val="center"/>
              <w:rPr>
                <w:rFonts w:cs="Times New Roman"/>
                <w:kern w:val="0"/>
                <w:sz w:val="21"/>
                <w:szCs w:val="21"/>
              </w:rPr>
            </w:pPr>
            <w:r>
              <w:rPr>
                <w:rFonts w:hint="eastAsia"/>
                <w:sz w:val="20"/>
                <w:szCs w:val="20"/>
              </w:rPr>
              <w:t>渔业用水区，</w:t>
            </w:r>
            <w:r>
              <w:rPr>
                <w:rFonts w:hint="eastAsia" w:cs="Times New Roman"/>
                <w:kern w:val="0"/>
                <w:sz w:val="21"/>
                <w:szCs w:val="21"/>
              </w:rPr>
              <w:t>《地表水环境质量标准》（GB 3838-2002）III类（湖、库）</w:t>
            </w:r>
          </w:p>
        </w:tc>
      </w:tr>
      <w:tr w14:paraId="6748D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4" w:type="pct"/>
            <w:tcBorders>
              <w:top w:val="single" w:color="auto" w:sz="4" w:space="0"/>
              <w:left w:val="single" w:color="auto" w:sz="4" w:space="0"/>
              <w:bottom w:val="single" w:color="auto" w:sz="4" w:space="0"/>
              <w:right w:val="single" w:color="auto" w:sz="4" w:space="0"/>
            </w:tcBorders>
            <w:vAlign w:val="center"/>
          </w:tcPr>
          <w:p w14:paraId="3B151716">
            <w:pPr>
              <w:widowControl/>
              <w:spacing w:line="240" w:lineRule="auto"/>
              <w:ind w:firstLine="0" w:firstLineChars="0"/>
              <w:jc w:val="center"/>
              <w:rPr>
                <w:rFonts w:cs="Times New Roman"/>
                <w:sz w:val="21"/>
                <w:szCs w:val="21"/>
              </w:rPr>
            </w:pPr>
            <w:r>
              <w:rPr>
                <w:rFonts w:hint="eastAsia"/>
                <w:sz w:val="20"/>
                <w:szCs w:val="20"/>
              </w:rPr>
              <w:t>新浮（山）水库</w:t>
            </w:r>
          </w:p>
        </w:tc>
        <w:tc>
          <w:tcPr>
            <w:tcW w:w="522" w:type="pct"/>
            <w:tcBorders>
              <w:top w:val="single" w:color="auto" w:sz="4" w:space="0"/>
              <w:left w:val="single" w:color="auto" w:sz="4" w:space="0"/>
              <w:bottom w:val="single" w:color="auto" w:sz="4" w:space="0"/>
              <w:right w:val="single" w:color="auto" w:sz="4" w:space="0"/>
            </w:tcBorders>
            <w:vAlign w:val="center"/>
          </w:tcPr>
          <w:p w14:paraId="11109DED">
            <w:pPr>
              <w:widowControl/>
              <w:spacing w:line="240" w:lineRule="auto"/>
              <w:ind w:firstLine="0" w:firstLineChars="0"/>
              <w:jc w:val="center"/>
              <w:rPr>
                <w:rFonts w:cs="Times New Roman"/>
                <w:kern w:val="0"/>
                <w:sz w:val="21"/>
                <w:szCs w:val="21"/>
              </w:rPr>
            </w:pPr>
            <w:r>
              <w:rPr>
                <w:rFonts w:hint="eastAsia" w:cs="Times New Roman"/>
                <w:kern w:val="0"/>
                <w:sz w:val="21"/>
                <w:szCs w:val="21"/>
              </w:rPr>
              <w:t>区内</w:t>
            </w:r>
          </w:p>
        </w:tc>
        <w:tc>
          <w:tcPr>
            <w:tcW w:w="776" w:type="pct"/>
            <w:tcBorders>
              <w:top w:val="single" w:color="auto" w:sz="4" w:space="0"/>
              <w:left w:val="single" w:color="auto" w:sz="4" w:space="0"/>
              <w:bottom w:val="single" w:color="auto" w:sz="4" w:space="0"/>
              <w:right w:val="single" w:color="auto" w:sz="4" w:space="0"/>
            </w:tcBorders>
            <w:vAlign w:val="center"/>
          </w:tcPr>
          <w:p w14:paraId="7DD963A6">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56" w:type="pct"/>
            <w:tcBorders>
              <w:top w:val="single" w:color="auto" w:sz="4" w:space="0"/>
              <w:left w:val="single" w:color="auto" w:sz="4" w:space="0"/>
              <w:bottom w:val="single" w:color="auto" w:sz="4" w:space="0"/>
              <w:right w:val="single" w:color="auto" w:sz="4" w:space="0"/>
            </w:tcBorders>
            <w:vAlign w:val="center"/>
          </w:tcPr>
          <w:p w14:paraId="512520C6">
            <w:pPr>
              <w:widowControl/>
              <w:spacing w:line="240" w:lineRule="auto"/>
              <w:ind w:firstLine="0" w:firstLineChars="0"/>
              <w:jc w:val="center"/>
              <w:rPr>
                <w:rFonts w:cs="Times New Roman"/>
                <w:kern w:val="0"/>
                <w:sz w:val="21"/>
                <w:szCs w:val="21"/>
              </w:rPr>
            </w:pPr>
            <w:r>
              <w:rPr>
                <w:rFonts w:hint="eastAsia" w:cs="Times New Roman"/>
                <w:kern w:val="0"/>
                <w:sz w:val="21"/>
                <w:szCs w:val="21"/>
              </w:rPr>
              <w:t>省级水环境功能保护区</w:t>
            </w:r>
          </w:p>
        </w:tc>
        <w:tc>
          <w:tcPr>
            <w:tcW w:w="1590" w:type="pct"/>
            <w:tcBorders>
              <w:top w:val="single" w:color="auto" w:sz="4" w:space="0"/>
              <w:left w:val="single" w:color="auto" w:sz="4" w:space="0"/>
              <w:bottom w:val="single" w:color="auto" w:sz="4" w:space="0"/>
              <w:right w:val="single" w:color="auto" w:sz="4" w:space="0"/>
            </w:tcBorders>
            <w:vAlign w:val="center"/>
          </w:tcPr>
          <w:p w14:paraId="1EE8FD64">
            <w:pPr>
              <w:widowControl/>
              <w:spacing w:line="240" w:lineRule="auto"/>
              <w:ind w:firstLine="0" w:firstLineChars="0"/>
              <w:jc w:val="center"/>
              <w:rPr>
                <w:rFonts w:cs="Times New Roman"/>
                <w:kern w:val="0"/>
                <w:sz w:val="21"/>
                <w:szCs w:val="21"/>
              </w:rPr>
            </w:pPr>
            <w:r>
              <w:rPr>
                <w:rFonts w:hint="eastAsia"/>
                <w:sz w:val="20"/>
                <w:szCs w:val="20"/>
              </w:rPr>
              <w:t>渔业用水区，</w:t>
            </w:r>
            <w:r>
              <w:rPr>
                <w:rFonts w:hint="eastAsia" w:cs="Times New Roman"/>
                <w:kern w:val="0"/>
                <w:sz w:val="21"/>
                <w:szCs w:val="21"/>
              </w:rPr>
              <w:t>《地表水环境质量标准》（GB 3838-2002）III类（湖、库）</w:t>
            </w:r>
          </w:p>
        </w:tc>
      </w:tr>
      <w:tr w14:paraId="79318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4" w:type="pct"/>
            <w:tcBorders>
              <w:top w:val="single" w:color="auto" w:sz="4" w:space="0"/>
              <w:left w:val="single" w:color="auto" w:sz="4" w:space="0"/>
              <w:bottom w:val="single" w:color="auto" w:sz="4" w:space="0"/>
              <w:right w:val="single" w:color="auto" w:sz="4" w:space="0"/>
            </w:tcBorders>
            <w:vAlign w:val="center"/>
          </w:tcPr>
          <w:p w14:paraId="430FBC6F">
            <w:pPr>
              <w:widowControl/>
              <w:spacing w:line="240" w:lineRule="auto"/>
              <w:ind w:firstLine="0" w:firstLineChars="0"/>
              <w:jc w:val="center"/>
              <w:rPr>
                <w:rFonts w:cs="Times New Roman"/>
                <w:sz w:val="21"/>
                <w:szCs w:val="21"/>
              </w:rPr>
            </w:pPr>
            <w:r>
              <w:rPr>
                <w:rFonts w:hint="eastAsia" w:cs="Times New Roman"/>
                <w:sz w:val="21"/>
                <w:szCs w:val="21"/>
              </w:rPr>
              <w:t>区内其他河流（海底溢洪河、东进溢洪河、新浮溢洪河、茅东溢洪河、青龙溢洪河、瓦沟溢洪河、</w:t>
            </w:r>
            <w:r>
              <w:rPr>
                <w:rFonts w:hint="eastAsia" w:cs="Times New Roman"/>
                <w:kern w:val="0"/>
                <w:sz w:val="21"/>
                <w:szCs w:val="21"/>
              </w:rPr>
              <w:t>山蓬河、</w:t>
            </w:r>
            <w:r>
              <w:rPr>
                <w:rFonts w:hint="eastAsia" w:cs="Times New Roman"/>
                <w:sz w:val="21"/>
                <w:szCs w:val="21"/>
              </w:rPr>
              <w:t>赤岗河等）</w:t>
            </w:r>
          </w:p>
        </w:tc>
        <w:tc>
          <w:tcPr>
            <w:tcW w:w="522" w:type="pct"/>
            <w:tcBorders>
              <w:top w:val="single" w:color="auto" w:sz="4" w:space="0"/>
              <w:left w:val="single" w:color="auto" w:sz="4" w:space="0"/>
              <w:bottom w:val="single" w:color="auto" w:sz="4" w:space="0"/>
              <w:right w:val="single" w:color="auto" w:sz="4" w:space="0"/>
            </w:tcBorders>
            <w:vAlign w:val="center"/>
          </w:tcPr>
          <w:p w14:paraId="239CAEA3">
            <w:pPr>
              <w:widowControl/>
              <w:spacing w:line="240" w:lineRule="auto"/>
              <w:ind w:firstLine="0" w:firstLineChars="0"/>
              <w:jc w:val="center"/>
              <w:rPr>
                <w:rFonts w:cs="Times New Roman"/>
                <w:kern w:val="0"/>
                <w:sz w:val="21"/>
                <w:szCs w:val="21"/>
              </w:rPr>
            </w:pPr>
            <w:r>
              <w:rPr>
                <w:rFonts w:hint="eastAsia" w:cs="Times New Roman"/>
                <w:kern w:val="0"/>
                <w:sz w:val="21"/>
                <w:szCs w:val="21"/>
              </w:rPr>
              <w:t>区内</w:t>
            </w:r>
          </w:p>
        </w:tc>
        <w:tc>
          <w:tcPr>
            <w:tcW w:w="776" w:type="pct"/>
            <w:tcBorders>
              <w:top w:val="single" w:color="auto" w:sz="4" w:space="0"/>
              <w:left w:val="single" w:color="auto" w:sz="4" w:space="0"/>
              <w:bottom w:val="single" w:color="auto" w:sz="4" w:space="0"/>
              <w:right w:val="single" w:color="auto" w:sz="4" w:space="0"/>
            </w:tcBorders>
            <w:vAlign w:val="center"/>
          </w:tcPr>
          <w:p w14:paraId="63C35989">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56" w:type="pct"/>
            <w:tcBorders>
              <w:top w:val="single" w:color="auto" w:sz="4" w:space="0"/>
              <w:left w:val="single" w:color="auto" w:sz="4" w:space="0"/>
              <w:bottom w:val="single" w:color="auto" w:sz="4" w:space="0"/>
              <w:right w:val="single" w:color="auto" w:sz="4" w:space="0"/>
            </w:tcBorders>
            <w:vAlign w:val="center"/>
          </w:tcPr>
          <w:p w14:paraId="1C9642CC">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1590" w:type="pct"/>
            <w:tcBorders>
              <w:top w:val="single" w:color="auto" w:sz="4" w:space="0"/>
              <w:left w:val="single" w:color="auto" w:sz="4" w:space="0"/>
              <w:bottom w:val="single" w:color="auto" w:sz="4" w:space="0"/>
              <w:right w:val="single" w:color="auto" w:sz="4" w:space="0"/>
            </w:tcBorders>
            <w:vAlign w:val="center"/>
          </w:tcPr>
          <w:p w14:paraId="5449339B">
            <w:pPr>
              <w:widowControl/>
              <w:spacing w:line="240" w:lineRule="auto"/>
              <w:ind w:firstLine="0" w:firstLineChars="0"/>
              <w:jc w:val="center"/>
              <w:rPr>
                <w:rFonts w:cs="Times New Roman"/>
                <w:kern w:val="0"/>
                <w:sz w:val="21"/>
                <w:szCs w:val="21"/>
              </w:rPr>
            </w:pPr>
            <w:r>
              <w:rPr>
                <w:rFonts w:hint="eastAsia" w:cs="Times New Roman"/>
                <w:kern w:val="0"/>
                <w:sz w:val="21"/>
                <w:szCs w:val="21"/>
              </w:rPr>
              <w:t>《地表水环境质量标准》（GB 3838-2002）III类</w:t>
            </w:r>
          </w:p>
        </w:tc>
      </w:tr>
    </w:tbl>
    <w:p w14:paraId="75FB80C6">
      <w:pPr>
        <w:ind w:firstLine="480"/>
        <w:outlineLvl w:val="3"/>
      </w:pPr>
      <w:r>
        <w:rPr>
          <w:rFonts w:hint="eastAsia"/>
        </w:rPr>
        <w:t>（3）声环境保护目标</w:t>
      </w:r>
    </w:p>
    <w:p w14:paraId="4C8829BC">
      <w:pPr>
        <w:ind w:firstLine="480"/>
      </w:pPr>
      <w:r>
        <w:rPr>
          <w:rFonts w:hint="eastAsia"/>
        </w:rPr>
        <w:t>本次评价声环境敏感目标主要为茅山旅游度假区内及其周边200米范围内医院、学校、机关、科研单位、住宅等声环境敏感目标，保护要求为达到1类声环境功能区标准。评价范围内现状和规划的声环境保护敏感目标具体见表1.8-3。</w:t>
      </w:r>
    </w:p>
    <w:p w14:paraId="076E9BB3">
      <w:pPr>
        <w:pStyle w:val="45"/>
        <w:rPr>
          <w:rFonts w:cs="Times New Roman"/>
        </w:rPr>
      </w:pPr>
      <w:r>
        <w:rPr>
          <w:rFonts w:cs="Times New Roman"/>
        </w:rPr>
        <w:t>表1.8-</w:t>
      </w:r>
      <w:r>
        <w:rPr>
          <w:rFonts w:hint="eastAsia" w:cs="Times New Roman"/>
        </w:rPr>
        <w:t>3</w:t>
      </w:r>
      <w:r>
        <w:rPr>
          <w:rFonts w:cs="Times New Roman"/>
        </w:rPr>
        <w:t xml:space="preserve">  </w:t>
      </w:r>
      <w:r>
        <w:rPr>
          <w:rFonts w:hint="eastAsia" w:cs="Times New Roman"/>
        </w:rPr>
        <w:t>声环境保护敏感目标一览表</w:t>
      </w:r>
    </w:p>
    <w:tbl>
      <w:tblPr>
        <w:tblStyle w:val="25"/>
        <w:tblW w:w="513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8"/>
        <w:gridCol w:w="1853"/>
        <w:gridCol w:w="1301"/>
        <w:gridCol w:w="1300"/>
        <w:gridCol w:w="815"/>
        <w:gridCol w:w="872"/>
        <w:gridCol w:w="872"/>
        <w:gridCol w:w="1046"/>
      </w:tblGrid>
      <w:tr w14:paraId="19D98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398" w:type="pct"/>
            <w:vMerge w:val="restart"/>
            <w:noWrap/>
            <w:vAlign w:val="center"/>
          </w:tcPr>
          <w:p w14:paraId="39B3441A">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序号</w:t>
            </w:r>
          </w:p>
        </w:tc>
        <w:tc>
          <w:tcPr>
            <w:tcW w:w="1058" w:type="pct"/>
            <w:vMerge w:val="restart"/>
            <w:noWrap/>
            <w:vAlign w:val="center"/>
          </w:tcPr>
          <w:p w14:paraId="33AA332A">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敏感目标名称</w:t>
            </w:r>
          </w:p>
        </w:tc>
        <w:tc>
          <w:tcPr>
            <w:tcW w:w="1484" w:type="pct"/>
            <w:gridSpan w:val="2"/>
            <w:noWrap/>
            <w:vAlign w:val="center"/>
          </w:tcPr>
          <w:p w14:paraId="6D7941BE">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中心坐标经纬度</w:t>
            </w:r>
          </w:p>
        </w:tc>
        <w:tc>
          <w:tcPr>
            <w:tcW w:w="465" w:type="pct"/>
            <w:vMerge w:val="restart"/>
            <w:noWrap/>
            <w:vAlign w:val="center"/>
          </w:tcPr>
          <w:p w14:paraId="0FEB3379">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保护对象</w:t>
            </w:r>
          </w:p>
        </w:tc>
        <w:tc>
          <w:tcPr>
            <w:tcW w:w="498" w:type="pct"/>
            <w:vMerge w:val="restart"/>
            <w:vAlign w:val="center"/>
          </w:tcPr>
          <w:p w14:paraId="684E160C">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相对度假区方位</w:t>
            </w:r>
          </w:p>
        </w:tc>
        <w:tc>
          <w:tcPr>
            <w:tcW w:w="498" w:type="pct"/>
            <w:vMerge w:val="restart"/>
            <w:vAlign w:val="center"/>
          </w:tcPr>
          <w:p w14:paraId="53EE4A20">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相对规划边界距离（m）</w:t>
            </w:r>
          </w:p>
        </w:tc>
        <w:tc>
          <w:tcPr>
            <w:tcW w:w="597" w:type="pct"/>
            <w:vMerge w:val="restart"/>
            <w:vAlign w:val="center"/>
          </w:tcPr>
          <w:p w14:paraId="3A9DD492">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规模（人）</w:t>
            </w:r>
          </w:p>
        </w:tc>
      </w:tr>
      <w:tr w14:paraId="30FD1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398" w:type="pct"/>
            <w:vMerge w:val="continue"/>
            <w:noWrap/>
            <w:vAlign w:val="center"/>
          </w:tcPr>
          <w:p w14:paraId="3605FA00">
            <w:pPr>
              <w:widowControl/>
              <w:spacing w:line="240" w:lineRule="auto"/>
              <w:ind w:firstLine="0" w:firstLineChars="0"/>
              <w:jc w:val="center"/>
              <w:rPr>
                <w:rFonts w:cs="Times New Roman"/>
                <w:b/>
                <w:bCs/>
                <w:color w:val="000000"/>
                <w:sz w:val="21"/>
                <w:szCs w:val="21"/>
              </w:rPr>
            </w:pPr>
          </w:p>
        </w:tc>
        <w:tc>
          <w:tcPr>
            <w:tcW w:w="1058" w:type="pct"/>
            <w:vMerge w:val="continue"/>
            <w:noWrap/>
            <w:vAlign w:val="center"/>
          </w:tcPr>
          <w:p w14:paraId="1F026C00">
            <w:pPr>
              <w:widowControl/>
              <w:spacing w:line="240" w:lineRule="auto"/>
              <w:ind w:firstLine="0" w:firstLineChars="0"/>
              <w:jc w:val="center"/>
              <w:rPr>
                <w:rFonts w:cs="Times New Roman"/>
                <w:b/>
                <w:bCs/>
                <w:color w:val="000000"/>
                <w:sz w:val="21"/>
                <w:szCs w:val="21"/>
              </w:rPr>
            </w:pPr>
          </w:p>
        </w:tc>
        <w:tc>
          <w:tcPr>
            <w:tcW w:w="742" w:type="pct"/>
            <w:noWrap/>
            <w:vAlign w:val="center"/>
          </w:tcPr>
          <w:p w14:paraId="4D7A5E01">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经度</w:t>
            </w:r>
          </w:p>
        </w:tc>
        <w:tc>
          <w:tcPr>
            <w:tcW w:w="742" w:type="pct"/>
            <w:noWrap/>
            <w:vAlign w:val="center"/>
          </w:tcPr>
          <w:p w14:paraId="0AA29A62">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纬度</w:t>
            </w:r>
          </w:p>
        </w:tc>
        <w:tc>
          <w:tcPr>
            <w:tcW w:w="465" w:type="pct"/>
            <w:vMerge w:val="continue"/>
            <w:noWrap/>
            <w:vAlign w:val="center"/>
          </w:tcPr>
          <w:p w14:paraId="0DD17096">
            <w:pPr>
              <w:widowControl/>
              <w:spacing w:line="240" w:lineRule="auto"/>
              <w:ind w:firstLine="0" w:firstLineChars="0"/>
              <w:jc w:val="center"/>
              <w:rPr>
                <w:rFonts w:cs="Times New Roman"/>
                <w:b/>
                <w:bCs/>
                <w:color w:val="000000"/>
                <w:sz w:val="21"/>
                <w:szCs w:val="21"/>
              </w:rPr>
            </w:pPr>
          </w:p>
        </w:tc>
        <w:tc>
          <w:tcPr>
            <w:tcW w:w="498" w:type="pct"/>
            <w:vMerge w:val="continue"/>
            <w:vAlign w:val="center"/>
          </w:tcPr>
          <w:p w14:paraId="21C12A7F">
            <w:pPr>
              <w:widowControl/>
              <w:spacing w:line="240" w:lineRule="auto"/>
              <w:ind w:firstLine="0" w:firstLineChars="0"/>
              <w:jc w:val="center"/>
              <w:rPr>
                <w:rFonts w:cs="Times New Roman"/>
                <w:b/>
                <w:bCs/>
                <w:color w:val="000000"/>
                <w:sz w:val="21"/>
                <w:szCs w:val="21"/>
              </w:rPr>
            </w:pPr>
          </w:p>
        </w:tc>
        <w:tc>
          <w:tcPr>
            <w:tcW w:w="498" w:type="pct"/>
            <w:vMerge w:val="continue"/>
            <w:vAlign w:val="center"/>
          </w:tcPr>
          <w:p w14:paraId="7CCA62F9">
            <w:pPr>
              <w:widowControl/>
              <w:spacing w:line="240" w:lineRule="auto"/>
              <w:ind w:firstLine="0" w:firstLineChars="0"/>
              <w:jc w:val="center"/>
              <w:rPr>
                <w:rFonts w:cs="Times New Roman"/>
                <w:b/>
                <w:bCs/>
                <w:color w:val="000000"/>
                <w:sz w:val="21"/>
                <w:szCs w:val="21"/>
              </w:rPr>
            </w:pPr>
          </w:p>
        </w:tc>
        <w:tc>
          <w:tcPr>
            <w:tcW w:w="597" w:type="pct"/>
            <w:vMerge w:val="continue"/>
            <w:vAlign w:val="center"/>
          </w:tcPr>
          <w:p w14:paraId="514B4DA2">
            <w:pPr>
              <w:widowControl/>
              <w:spacing w:line="240" w:lineRule="auto"/>
              <w:ind w:firstLine="0" w:firstLineChars="0"/>
              <w:jc w:val="center"/>
              <w:rPr>
                <w:rFonts w:cs="Times New Roman"/>
                <w:b/>
                <w:bCs/>
                <w:color w:val="000000"/>
                <w:sz w:val="21"/>
                <w:szCs w:val="21"/>
              </w:rPr>
            </w:pPr>
          </w:p>
        </w:tc>
      </w:tr>
      <w:tr w14:paraId="0EB46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7DA7B85">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866EE2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东塔山</w:t>
            </w:r>
          </w:p>
        </w:tc>
        <w:tc>
          <w:tcPr>
            <w:tcW w:w="742" w:type="pct"/>
            <w:noWrap/>
            <w:vAlign w:val="center"/>
          </w:tcPr>
          <w:p w14:paraId="42BA67F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119.359216</w:t>
            </w:r>
          </w:p>
        </w:tc>
        <w:tc>
          <w:tcPr>
            <w:tcW w:w="742" w:type="pct"/>
            <w:noWrap/>
            <w:vAlign w:val="center"/>
          </w:tcPr>
          <w:p w14:paraId="4131A6C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31.851676</w:t>
            </w:r>
          </w:p>
        </w:tc>
        <w:tc>
          <w:tcPr>
            <w:tcW w:w="465" w:type="pct"/>
            <w:noWrap/>
            <w:vAlign w:val="center"/>
          </w:tcPr>
          <w:p w14:paraId="75143D5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A388FF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restart"/>
            <w:noWrap/>
            <w:vAlign w:val="center"/>
          </w:tcPr>
          <w:p w14:paraId="0960226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区内</w:t>
            </w:r>
          </w:p>
        </w:tc>
        <w:tc>
          <w:tcPr>
            <w:tcW w:w="597" w:type="pct"/>
            <w:noWrap/>
            <w:vAlign w:val="center"/>
          </w:tcPr>
          <w:p w14:paraId="242FB16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约200</w:t>
            </w:r>
          </w:p>
        </w:tc>
      </w:tr>
      <w:tr w14:paraId="43080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A50BC34">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5EF750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朝阳村</w:t>
            </w:r>
          </w:p>
        </w:tc>
        <w:tc>
          <w:tcPr>
            <w:tcW w:w="742" w:type="pct"/>
            <w:noWrap/>
            <w:vAlign w:val="center"/>
          </w:tcPr>
          <w:p w14:paraId="0C920A8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119.356294</w:t>
            </w:r>
          </w:p>
        </w:tc>
        <w:tc>
          <w:tcPr>
            <w:tcW w:w="742" w:type="pct"/>
            <w:noWrap/>
            <w:vAlign w:val="center"/>
          </w:tcPr>
          <w:p w14:paraId="4A37D2D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31.850401</w:t>
            </w:r>
          </w:p>
        </w:tc>
        <w:tc>
          <w:tcPr>
            <w:tcW w:w="465" w:type="pct"/>
            <w:noWrap/>
            <w:vAlign w:val="center"/>
          </w:tcPr>
          <w:p w14:paraId="469BA0D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F271C5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D10BC22">
            <w:pPr>
              <w:widowControl/>
              <w:spacing w:line="240" w:lineRule="auto"/>
              <w:ind w:firstLine="0" w:firstLineChars="0"/>
              <w:jc w:val="center"/>
              <w:rPr>
                <w:rFonts w:cs="Times New Roman"/>
                <w:color w:val="000000"/>
                <w:sz w:val="21"/>
                <w:szCs w:val="21"/>
              </w:rPr>
            </w:pPr>
          </w:p>
        </w:tc>
        <w:tc>
          <w:tcPr>
            <w:tcW w:w="597" w:type="pct"/>
            <w:noWrap/>
            <w:vAlign w:val="center"/>
          </w:tcPr>
          <w:p w14:paraId="1FE810A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73F85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5EE54F5">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66F6E23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西塔山</w:t>
            </w:r>
          </w:p>
        </w:tc>
        <w:tc>
          <w:tcPr>
            <w:tcW w:w="742" w:type="pct"/>
            <w:noWrap/>
            <w:vAlign w:val="center"/>
          </w:tcPr>
          <w:p w14:paraId="5FD03E0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119.350668</w:t>
            </w:r>
          </w:p>
        </w:tc>
        <w:tc>
          <w:tcPr>
            <w:tcW w:w="742" w:type="pct"/>
            <w:noWrap/>
            <w:vAlign w:val="center"/>
          </w:tcPr>
          <w:p w14:paraId="199D425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31.847979</w:t>
            </w:r>
          </w:p>
        </w:tc>
        <w:tc>
          <w:tcPr>
            <w:tcW w:w="465" w:type="pct"/>
            <w:noWrap/>
            <w:vAlign w:val="center"/>
          </w:tcPr>
          <w:p w14:paraId="1A51B47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02C65E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2F7C679">
            <w:pPr>
              <w:widowControl/>
              <w:spacing w:line="240" w:lineRule="auto"/>
              <w:ind w:firstLine="0" w:firstLineChars="0"/>
              <w:jc w:val="center"/>
              <w:rPr>
                <w:rFonts w:cs="Times New Roman"/>
                <w:color w:val="000000"/>
                <w:sz w:val="21"/>
                <w:szCs w:val="21"/>
              </w:rPr>
            </w:pPr>
          </w:p>
        </w:tc>
        <w:tc>
          <w:tcPr>
            <w:tcW w:w="597" w:type="pct"/>
            <w:noWrap/>
            <w:vAlign w:val="center"/>
          </w:tcPr>
          <w:p w14:paraId="73E1F49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约450</w:t>
            </w:r>
          </w:p>
        </w:tc>
      </w:tr>
      <w:tr w14:paraId="25BAD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259C01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BB4444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东场村</w:t>
            </w:r>
          </w:p>
        </w:tc>
        <w:tc>
          <w:tcPr>
            <w:tcW w:w="742" w:type="pct"/>
            <w:noWrap/>
            <w:vAlign w:val="center"/>
          </w:tcPr>
          <w:p w14:paraId="10D1897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119.353065</w:t>
            </w:r>
          </w:p>
        </w:tc>
        <w:tc>
          <w:tcPr>
            <w:tcW w:w="742" w:type="pct"/>
            <w:noWrap/>
            <w:vAlign w:val="center"/>
          </w:tcPr>
          <w:p w14:paraId="23DE741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31.847533</w:t>
            </w:r>
          </w:p>
        </w:tc>
        <w:tc>
          <w:tcPr>
            <w:tcW w:w="465" w:type="pct"/>
            <w:noWrap/>
            <w:vAlign w:val="center"/>
          </w:tcPr>
          <w:p w14:paraId="12D36BB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2FF652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893C41C">
            <w:pPr>
              <w:widowControl/>
              <w:spacing w:line="240" w:lineRule="auto"/>
              <w:ind w:firstLine="0" w:firstLineChars="0"/>
              <w:jc w:val="center"/>
              <w:rPr>
                <w:rFonts w:cs="Times New Roman"/>
                <w:color w:val="000000"/>
                <w:sz w:val="21"/>
                <w:szCs w:val="21"/>
              </w:rPr>
            </w:pPr>
          </w:p>
        </w:tc>
        <w:tc>
          <w:tcPr>
            <w:tcW w:w="597" w:type="pct"/>
            <w:noWrap/>
            <w:vAlign w:val="center"/>
          </w:tcPr>
          <w:p w14:paraId="64C9B97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约60</w:t>
            </w:r>
          </w:p>
        </w:tc>
      </w:tr>
      <w:tr w14:paraId="0A5BE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ABA6F5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8845F5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油榨头</w:t>
            </w:r>
          </w:p>
        </w:tc>
        <w:tc>
          <w:tcPr>
            <w:tcW w:w="742" w:type="pct"/>
            <w:noWrap/>
            <w:vAlign w:val="center"/>
          </w:tcPr>
          <w:p w14:paraId="3967C03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119.367306</w:t>
            </w:r>
          </w:p>
        </w:tc>
        <w:tc>
          <w:tcPr>
            <w:tcW w:w="742" w:type="pct"/>
            <w:noWrap/>
            <w:vAlign w:val="center"/>
          </w:tcPr>
          <w:p w14:paraId="3D28330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31.842645</w:t>
            </w:r>
          </w:p>
        </w:tc>
        <w:tc>
          <w:tcPr>
            <w:tcW w:w="465" w:type="pct"/>
            <w:noWrap/>
            <w:vAlign w:val="center"/>
          </w:tcPr>
          <w:p w14:paraId="0C918D4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F785B1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048CB0A7">
            <w:pPr>
              <w:widowControl/>
              <w:spacing w:line="240" w:lineRule="auto"/>
              <w:ind w:firstLine="0" w:firstLineChars="0"/>
              <w:jc w:val="center"/>
              <w:rPr>
                <w:rFonts w:cs="Times New Roman"/>
                <w:color w:val="000000"/>
                <w:sz w:val="21"/>
                <w:szCs w:val="21"/>
              </w:rPr>
            </w:pPr>
          </w:p>
        </w:tc>
        <w:tc>
          <w:tcPr>
            <w:tcW w:w="597" w:type="pct"/>
            <w:noWrap/>
            <w:vAlign w:val="center"/>
          </w:tcPr>
          <w:p w14:paraId="749A982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约300</w:t>
            </w:r>
          </w:p>
        </w:tc>
      </w:tr>
      <w:tr w14:paraId="76B8E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669447E">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E1B62A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周达村</w:t>
            </w:r>
          </w:p>
        </w:tc>
        <w:tc>
          <w:tcPr>
            <w:tcW w:w="742" w:type="pct"/>
            <w:noWrap/>
            <w:vAlign w:val="center"/>
          </w:tcPr>
          <w:p w14:paraId="2522E42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119.365884</w:t>
            </w:r>
          </w:p>
        </w:tc>
        <w:tc>
          <w:tcPr>
            <w:tcW w:w="742" w:type="pct"/>
            <w:noWrap/>
            <w:vAlign w:val="center"/>
          </w:tcPr>
          <w:p w14:paraId="0697261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31.838227</w:t>
            </w:r>
          </w:p>
        </w:tc>
        <w:tc>
          <w:tcPr>
            <w:tcW w:w="465" w:type="pct"/>
            <w:noWrap/>
            <w:vAlign w:val="center"/>
          </w:tcPr>
          <w:p w14:paraId="607A37E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F1525E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B10F02A">
            <w:pPr>
              <w:widowControl/>
              <w:spacing w:line="240" w:lineRule="auto"/>
              <w:ind w:firstLine="0" w:firstLineChars="0"/>
              <w:jc w:val="center"/>
              <w:rPr>
                <w:rFonts w:cs="Times New Roman"/>
                <w:color w:val="000000"/>
                <w:sz w:val="21"/>
                <w:szCs w:val="21"/>
              </w:rPr>
            </w:pPr>
          </w:p>
        </w:tc>
        <w:tc>
          <w:tcPr>
            <w:tcW w:w="597" w:type="pct"/>
            <w:noWrap/>
            <w:vAlign w:val="center"/>
          </w:tcPr>
          <w:p w14:paraId="7C31D12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约250</w:t>
            </w:r>
          </w:p>
        </w:tc>
      </w:tr>
      <w:tr w14:paraId="35443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F7477E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FFA224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任家棚</w:t>
            </w:r>
          </w:p>
        </w:tc>
        <w:tc>
          <w:tcPr>
            <w:tcW w:w="742" w:type="pct"/>
            <w:noWrap/>
            <w:vAlign w:val="center"/>
          </w:tcPr>
          <w:p w14:paraId="07EB4D9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119.360538</w:t>
            </w:r>
          </w:p>
        </w:tc>
        <w:tc>
          <w:tcPr>
            <w:tcW w:w="742" w:type="pct"/>
            <w:noWrap/>
            <w:vAlign w:val="center"/>
          </w:tcPr>
          <w:p w14:paraId="5FC22F2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31.839052</w:t>
            </w:r>
          </w:p>
        </w:tc>
        <w:tc>
          <w:tcPr>
            <w:tcW w:w="465" w:type="pct"/>
            <w:noWrap/>
            <w:vAlign w:val="center"/>
          </w:tcPr>
          <w:p w14:paraId="109E96A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832310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457A58C">
            <w:pPr>
              <w:widowControl/>
              <w:spacing w:line="240" w:lineRule="auto"/>
              <w:ind w:firstLine="0" w:firstLineChars="0"/>
              <w:jc w:val="center"/>
              <w:rPr>
                <w:rFonts w:cs="Times New Roman"/>
                <w:color w:val="000000"/>
                <w:sz w:val="21"/>
                <w:szCs w:val="21"/>
              </w:rPr>
            </w:pPr>
          </w:p>
        </w:tc>
        <w:tc>
          <w:tcPr>
            <w:tcW w:w="597" w:type="pct"/>
            <w:noWrap/>
            <w:vAlign w:val="center"/>
          </w:tcPr>
          <w:p w14:paraId="4171BAC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23331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A4F8615">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62A15E7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青龙梗</w:t>
            </w:r>
          </w:p>
        </w:tc>
        <w:tc>
          <w:tcPr>
            <w:tcW w:w="742" w:type="pct"/>
            <w:noWrap/>
            <w:vAlign w:val="center"/>
          </w:tcPr>
          <w:p w14:paraId="1AF92FA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119.355898</w:t>
            </w:r>
          </w:p>
        </w:tc>
        <w:tc>
          <w:tcPr>
            <w:tcW w:w="742" w:type="pct"/>
            <w:noWrap/>
            <w:vAlign w:val="center"/>
          </w:tcPr>
          <w:p w14:paraId="63C9548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31.838501</w:t>
            </w:r>
          </w:p>
        </w:tc>
        <w:tc>
          <w:tcPr>
            <w:tcW w:w="465" w:type="pct"/>
            <w:noWrap/>
            <w:vAlign w:val="center"/>
          </w:tcPr>
          <w:p w14:paraId="49B503D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4FDFA9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0B8751E">
            <w:pPr>
              <w:widowControl/>
              <w:spacing w:line="240" w:lineRule="auto"/>
              <w:ind w:firstLine="0" w:firstLineChars="0"/>
              <w:jc w:val="center"/>
              <w:rPr>
                <w:rFonts w:cs="Times New Roman"/>
                <w:color w:val="000000"/>
                <w:sz w:val="21"/>
                <w:szCs w:val="21"/>
              </w:rPr>
            </w:pPr>
          </w:p>
        </w:tc>
        <w:tc>
          <w:tcPr>
            <w:tcW w:w="597" w:type="pct"/>
            <w:noWrap/>
            <w:vAlign w:val="center"/>
          </w:tcPr>
          <w:p w14:paraId="5B0683E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约90</w:t>
            </w:r>
          </w:p>
        </w:tc>
      </w:tr>
      <w:tr w14:paraId="48096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092ABA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8869F4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巨塘</w:t>
            </w:r>
          </w:p>
        </w:tc>
        <w:tc>
          <w:tcPr>
            <w:tcW w:w="742" w:type="pct"/>
            <w:noWrap/>
            <w:vAlign w:val="center"/>
          </w:tcPr>
          <w:p w14:paraId="6034411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119.348873</w:t>
            </w:r>
          </w:p>
        </w:tc>
        <w:tc>
          <w:tcPr>
            <w:tcW w:w="742" w:type="pct"/>
            <w:noWrap/>
            <w:vAlign w:val="center"/>
          </w:tcPr>
          <w:p w14:paraId="1DC4B84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31.839733</w:t>
            </w:r>
          </w:p>
        </w:tc>
        <w:tc>
          <w:tcPr>
            <w:tcW w:w="465" w:type="pct"/>
            <w:noWrap/>
            <w:vAlign w:val="center"/>
          </w:tcPr>
          <w:p w14:paraId="646329B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5EFC0B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EF01254">
            <w:pPr>
              <w:widowControl/>
              <w:spacing w:line="240" w:lineRule="auto"/>
              <w:ind w:firstLine="0" w:firstLineChars="0"/>
              <w:jc w:val="center"/>
              <w:rPr>
                <w:rFonts w:cs="Times New Roman"/>
                <w:color w:val="000000"/>
                <w:sz w:val="21"/>
                <w:szCs w:val="21"/>
              </w:rPr>
            </w:pPr>
          </w:p>
        </w:tc>
        <w:tc>
          <w:tcPr>
            <w:tcW w:w="597" w:type="pct"/>
            <w:noWrap/>
            <w:vAlign w:val="center"/>
          </w:tcPr>
          <w:p w14:paraId="10D8E85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约180</w:t>
            </w:r>
          </w:p>
        </w:tc>
      </w:tr>
      <w:tr w14:paraId="0BF0E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1D2FF05">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4D7384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石门塘</w:t>
            </w:r>
          </w:p>
        </w:tc>
        <w:tc>
          <w:tcPr>
            <w:tcW w:w="742" w:type="pct"/>
            <w:noWrap/>
            <w:vAlign w:val="center"/>
          </w:tcPr>
          <w:p w14:paraId="6720BE7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119.343916</w:t>
            </w:r>
          </w:p>
        </w:tc>
        <w:tc>
          <w:tcPr>
            <w:tcW w:w="742" w:type="pct"/>
            <w:noWrap/>
            <w:vAlign w:val="center"/>
          </w:tcPr>
          <w:p w14:paraId="24F3285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31.842608</w:t>
            </w:r>
          </w:p>
        </w:tc>
        <w:tc>
          <w:tcPr>
            <w:tcW w:w="465" w:type="pct"/>
            <w:noWrap/>
            <w:vAlign w:val="center"/>
          </w:tcPr>
          <w:p w14:paraId="3ADA49E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FB6551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0B1DA7A">
            <w:pPr>
              <w:widowControl/>
              <w:spacing w:line="240" w:lineRule="auto"/>
              <w:ind w:firstLine="0" w:firstLineChars="0"/>
              <w:jc w:val="center"/>
              <w:rPr>
                <w:rFonts w:cs="Times New Roman"/>
                <w:color w:val="000000"/>
                <w:sz w:val="21"/>
                <w:szCs w:val="21"/>
              </w:rPr>
            </w:pPr>
          </w:p>
        </w:tc>
        <w:tc>
          <w:tcPr>
            <w:tcW w:w="597" w:type="pct"/>
            <w:noWrap/>
            <w:vAlign w:val="center"/>
          </w:tcPr>
          <w:p w14:paraId="76D1BCA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0E645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A39007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01FEA7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棠梨岗</w:t>
            </w:r>
          </w:p>
        </w:tc>
        <w:tc>
          <w:tcPr>
            <w:tcW w:w="742" w:type="pct"/>
            <w:noWrap/>
            <w:vAlign w:val="center"/>
          </w:tcPr>
          <w:p w14:paraId="2D20DBF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119.36857</w:t>
            </w:r>
          </w:p>
        </w:tc>
        <w:tc>
          <w:tcPr>
            <w:tcW w:w="742" w:type="pct"/>
            <w:noWrap/>
            <w:vAlign w:val="center"/>
          </w:tcPr>
          <w:p w14:paraId="19318B2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31.831885</w:t>
            </w:r>
          </w:p>
        </w:tc>
        <w:tc>
          <w:tcPr>
            <w:tcW w:w="465" w:type="pct"/>
            <w:noWrap/>
            <w:vAlign w:val="center"/>
          </w:tcPr>
          <w:p w14:paraId="37CF686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30FC82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1123A33">
            <w:pPr>
              <w:widowControl/>
              <w:spacing w:line="240" w:lineRule="auto"/>
              <w:ind w:firstLine="0" w:firstLineChars="0"/>
              <w:jc w:val="center"/>
              <w:rPr>
                <w:rFonts w:cs="Times New Roman"/>
                <w:color w:val="000000"/>
                <w:sz w:val="21"/>
                <w:szCs w:val="21"/>
              </w:rPr>
            </w:pPr>
          </w:p>
        </w:tc>
        <w:tc>
          <w:tcPr>
            <w:tcW w:w="597" w:type="pct"/>
            <w:noWrap/>
            <w:vAlign w:val="center"/>
          </w:tcPr>
          <w:p w14:paraId="442D235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约200</w:t>
            </w:r>
          </w:p>
        </w:tc>
      </w:tr>
      <w:tr w14:paraId="1CE2D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D154E06">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68FC6D6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小庄山</w:t>
            </w:r>
          </w:p>
        </w:tc>
        <w:tc>
          <w:tcPr>
            <w:tcW w:w="742" w:type="pct"/>
            <w:noWrap/>
            <w:vAlign w:val="center"/>
          </w:tcPr>
          <w:p w14:paraId="009DC1F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119.361769</w:t>
            </w:r>
          </w:p>
        </w:tc>
        <w:tc>
          <w:tcPr>
            <w:tcW w:w="742" w:type="pct"/>
            <w:noWrap/>
            <w:vAlign w:val="center"/>
          </w:tcPr>
          <w:p w14:paraId="6AF29ED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31.832274</w:t>
            </w:r>
          </w:p>
        </w:tc>
        <w:tc>
          <w:tcPr>
            <w:tcW w:w="465" w:type="pct"/>
            <w:noWrap/>
            <w:vAlign w:val="center"/>
          </w:tcPr>
          <w:p w14:paraId="4BA8803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D4B99E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7956BE9">
            <w:pPr>
              <w:widowControl/>
              <w:spacing w:line="240" w:lineRule="auto"/>
              <w:ind w:firstLine="0" w:firstLineChars="0"/>
              <w:jc w:val="center"/>
              <w:rPr>
                <w:rFonts w:cs="Times New Roman"/>
                <w:color w:val="000000"/>
                <w:sz w:val="21"/>
                <w:szCs w:val="21"/>
              </w:rPr>
            </w:pPr>
          </w:p>
        </w:tc>
        <w:tc>
          <w:tcPr>
            <w:tcW w:w="597" w:type="pct"/>
            <w:noWrap/>
            <w:vAlign w:val="center"/>
          </w:tcPr>
          <w:p w14:paraId="098F4A4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5247A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FEE3E7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BBC912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门楼下</w:t>
            </w:r>
          </w:p>
        </w:tc>
        <w:tc>
          <w:tcPr>
            <w:tcW w:w="742" w:type="pct"/>
            <w:noWrap/>
            <w:vAlign w:val="center"/>
          </w:tcPr>
          <w:p w14:paraId="0D406EF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119.354855</w:t>
            </w:r>
          </w:p>
        </w:tc>
        <w:tc>
          <w:tcPr>
            <w:tcW w:w="742" w:type="pct"/>
            <w:noWrap/>
            <w:vAlign w:val="center"/>
          </w:tcPr>
          <w:p w14:paraId="6001AED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31.831835</w:t>
            </w:r>
          </w:p>
        </w:tc>
        <w:tc>
          <w:tcPr>
            <w:tcW w:w="465" w:type="pct"/>
            <w:noWrap/>
            <w:vAlign w:val="center"/>
          </w:tcPr>
          <w:p w14:paraId="63EC630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47FC70E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01176148">
            <w:pPr>
              <w:widowControl/>
              <w:spacing w:line="240" w:lineRule="auto"/>
              <w:ind w:firstLine="0" w:firstLineChars="0"/>
              <w:jc w:val="center"/>
              <w:rPr>
                <w:rFonts w:cs="Times New Roman"/>
                <w:color w:val="000000"/>
                <w:sz w:val="21"/>
                <w:szCs w:val="21"/>
              </w:rPr>
            </w:pPr>
          </w:p>
        </w:tc>
        <w:tc>
          <w:tcPr>
            <w:tcW w:w="597" w:type="pct"/>
            <w:noWrap/>
            <w:vAlign w:val="center"/>
          </w:tcPr>
          <w:p w14:paraId="360B0FD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约200</w:t>
            </w:r>
          </w:p>
        </w:tc>
      </w:tr>
      <w:tr w14:paraId="6E960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568426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8CB719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东边点</w:t>
            </w:r>
          </w:p>
        </w:tc>
        <w:tc>
          <w:tcPr>
            <w:tcW w:w="742" w:type="pct"/>
            <w:noWrap/>
            <w:vAlign w:val="center"/>
          </w:tcPr>
          <w:p w14:paraId="2E049A7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119.347968</w:t>
            </w:r>
          </w:p>
        </w:tc>
        <w:tc>
          <w:tcPr>
            <w:tcW w:w="742" w:type="pct"/>
            <w:noWrap/>
            <w:vAlign w:val="center"/>
          </w:tcPr>
          <w:p w14:paraId="43B6F10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31.832208</w:t>
            </w:r>
          </w:p>
        </w:tc>
        <w:tc>
          <w:tcPr>
            <w:tcW w:w="465" w:type="pct"/>
            <w:noWrap/>
            <w:vAlign w:val="center"/>
          </w:tcPr>
          <w:p w14:paraId="31409AC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71510F7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F7E81E8">
            <w:pPr>
              <w:widowControl/>
              <w:spacing w:line="240" w:lineRule="auto"/>
              <w:ind w:firstLine="0" w:firstLineChars="0"/>
              <w:jc w:val="center"/>
              <w:rPr>
                <w:rFonts w:cs="Times New Roman"/>
                <w:color w:val="000000"/>
                <w:sz w:val="21"/>
                <w:szCs w:val="21"/>
              </w:rPr>
            </w:pPr>
          </w:p>
        </w:tc>
        <w:tc>
          <w:tcPr>
            <w:tcW w:w="597" w:type="pct"/>
            <w:noWrap/>
            <w:vAlign w:val="center"/>
          </w:tcPr>
          <w:p w14:paraId="258A2A4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约70</w:t>
            </w:r>
          </w:p>
        </w:tc>
      </w:tr>
      <w:tr w14:paraId="18868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403BFA5">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ABE1F3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阳山村</w:t>
            </w:r>
          </w:p>
        </w:tc>
        <w:tc>
          <w:tcPr>
            <w:tcW w:w="742" w:type="pct"/>
            <w:noWrap/>
            <w:vAlign w:val="center"/>
          </w:tcPr>
          <w:p w14:paraId="6DF954B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119.343164</w:t>
            </w:r>
          </w:p>
        </w:tc>
        <w:tc>
          <w:tcPr>
            <w:tcW w:w="742" w:type="pct"/>
            <w:noWrap/>
            <w:vAlign w:val="center"/>
          </w:tcPr>
          <w:p w14:paraId="1A610ED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31.832504</w:t>
            </w:r>
          </w:p>
        </w:tc>
        <w:tc>
          <w:tcPr>
            <w:tcW w:w="465" w:type="pct"/>
            <w:noWrap/>
            <w:vAlign w:val="center"/>
          </w:tcPr>
          <w:p w14:paraId="7CE40D8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80AD94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993B6E2">
            <w:pPr>
              <w:widowControl/>
              <w:spacing w:line="240" w:lineRule="auto"/>
              <w:ind w:firstLine="0" w:firstLineChars="0"/>
              <w:jc w:val="center"/>
              <w:rPr>
                <w:rFonts w:cs="Times New Roman"/>
                <w:color w:val="000000"/>
                <w:sz w:val="21"/>
                <w:szCs w:val="21"/>
              </w:rPr>
            </w:pPr>
          </w:p>
        </w:tc>
        <w:tc>
          <w:tcPr>
            <w:tcW w:w="597" w:type="pct"/>
            <w:noWrap/>
            <w:vAlign w:val="center"/>
          </w:tcPr>
          <w:p w14:paraId="445CFBA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约300</w:t>
            </w:r>
          </w:p>
        </w:tc>
      </w:tr>
      <w:tr w14:paraId="50313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108E7EE">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6BABC8D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对达村</w:t>
            </w:r>
          </w:p>
        </w:tc>
        <w:tc>
          <w:tcPr>
            <w:tcW w:w="742" w:type="pct"/>
            <w:noWrap/>
            <w:vAlign w:val="center"/>
          </w:tcPr>
          <w:p w14:paraId="314F5BA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119.358038</w:t>
            </w:r>
          </w:p>
        </w:tc>
        <w:tc>
          <w:tcPr>
            <w:tcW w:w="742" w:type="pct"/>
            <w:noWrap/>
            <w:vAlign w:val="center"/>
          </w:tcPr>
          <w:p w14:paraId="62C6DC9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31.827435</w:t>
            </w:r>
          </w:p>
        </w:tc>
        <w:tc>
          <w:tcPr>
            <w:tcW w:w="465" w:type="pct"/>
            <w:noWrap/>
            <w:vAlign w:val="center"/>
          </w:tcPr>
          <w:p w14:paraId="4FBCF8F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435E8D7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40F6CDD">
            <w:pPr>
              <w:widowControl/>
              <w:spacing w:line="240" w:lineRule="auto"/>
              <w:ind w:firstLine="0" w:firstLineChars="0"/>
              <w:jc w:val="center"/>
              <w:rPr>
                <w:rFonts w:cs="Times New Roman"/>
                <w:color w:val="000000"/>
                <w:sz w:val="21"/>
                <w:szCs w:val="21"/>
              </w:rPr>
            </w:pPr>
          </w:p>
        </w:tc>
        <w:tc>
          <w:tcPr>
            <w:tcW w:w="597" w:type="pct"/>
            <w:noWrap/>
            <w:vAlign w:val="center"/>
          </w:tcPr>
          <w:p w14:paraId="5794306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约400</w:t>
            </w:r>
          </w:p>
        </w:tc>
      </w:tr>
      <w:tr w14:paraId="2E25C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7F6906F4">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2312F2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宜庄村</w:t>
            </w:r>
          </w:p>
        </w:tc>
        <w:tc>
          <w:tcPr>
            <w:tcW w:w="742" w:type="pct"/>
            <w:noWrap/>
            <w:vAlign w:val="center"/>
          </w:tcPr>
          <w:p w14:paraId="6F44FEB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119.367898</w:t>
            </w:r>
          </w:p>
        </w:tc>
        <w:tc>
          <w:tcPr>
            <w:tcW w:w="742" w:type="pct"/>
            <w:noWrap/>
            <w:vAlign w:val="center"/>
          </w:tcPr>
          <w:p w14:paraId="6DAC111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31.820509</w:t>
            </w:r>
          </w:p>
        </w:tc>
        <w:tc>
          <w:tcPr>
            <w:tcW w:w="465" w:type="pct"/>
            <w:noWrap/>
            <w:vAlign w:val="center"/>
          </w:tcPr>
          <w:p w14:paraId="7A25B80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A9DFBC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47A2E2F6">
            <w:pPr>
              <w:widowControl/>
              <w:spacing w:line="240" w:lineRule="auto"/>
              <w:ind w:firstLine="0" w:firstLineChars="0"/>
              <w:jc w:val="center"/>
              <w:rPr>
                <w:rFonts w:cs="Times New Roman"/>
                <w:color w:val="000000"/>
                <w:sz w:val="21"/>
                <w:szCs w:val="21"/>
              </w:rPr>
            </w:pPr>
          </w:p>
        </w:tc>
        <w:tc>
          <w:tcPr>
            <w:tcW w:w="597" w:type="pct"/>
            <w:noWrap/>
            <w:vAlign w:val="center"/>
          </w:tcPr>
          <w:p w14:paraId="7FC23F0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约700</w:t>
            </w:r>
          </w:p>
        </w:tc>
      </w:tr>
      <w:tr w14:paraId="2CC8C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DF84B1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B69E53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窑缸背</w:t>
            </w:r>
          </w:p>
        </w:tc>
        <w:tc>
          <w:tcPr>
            <w:tcW w:w="742" w:type="pct"/>
            <w:noWrap/>
            <w:vAlign w:val="center"/>
          </w:tcPr>
          <w:p w14:paraId="798D991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119.360498</w:t>
            </w:r>
          </w:p>
        </w:tc>
        <w:tc>
          <w:tcPr>
            <w:tcW w:w="742" w:type="pct"/>
            <w:noWrap/>
            <w:vAlign w:val="center"/>
          </w:tcPr>
          <w:p w14:paraId="14FF7C8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31.82151</w:t>
            </w:r>
          </w:p>
        </w:tc>
        <w:tc>
          <w:tcPr>
            <w:tcW w:w="465" w:type="pct"/>
            <w:noWrap/>
            <w:vAlign w:val="center"/>
          </w:tcPr>
          <w:p w14:paraId="77F1D3C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CBA1A4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0F7CF76E">
            <w:pPr>
              <w:widowControl/>
              <w:spacing w:line="240" w:lineRule="auto"/>
              <w:ind w:firstLine="0" w:firstLineChars="0"/>
              <w:jc w:val="center"/>
              <w:rPr>
                <w:rFonts w:cs="Times New Roman"/>
                <w:color w:val="000000"/>
                <w:sz w:val="21"/>
                <w:szCs w:val="21"/>
              </w:rPr>
            </w:pPr>
          </w:p>
        </w:tc>
        <w:tc>
          <w:tcPr>
            <w:tcW w:w="597" w:type="pct"/>
            <w:noWrap/>
            <w:vAlign w:val="center"/>
          </w:tcPr>
          <w:p w14:paraId="11DDD42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03905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703E1194">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3A6452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下王岗</w:t>
            </w:r>
          </w:p>
        </w:tc>
        <w:tc>
          <w:tcPr>
            <w:tcW w:w="742" w:type="pct"/>
            <w:noWrap/>
            <w:vAlign w:val="center"/>
          </w:tcPr>
          <w:p w14:paraId="32D989E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119.348923</w:t>
            </w:r>
          </w:p>
        </w:tc>
        <w:tc>
          <w:tcPr>
            <w:tcW w:w="742" w:type="pct"/>
            <w:noWrap/>
            <w:vAlign w:val="center"/>
          </w:tcPr>
          <w:p w14:paraId="4F47D0D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31.81984</w:t>
            </w:r>
          </w:p>
        </w:tc>
        <w:tc>
          <w:tcPr>
            <w:tcW w:w="465" w:type="pct"/>
            <w:noWrap/>
            <w:vAlign w:val="center"/>
          </w:tcPr>
          <w:p w14:paraId="3171758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44414F3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9D98995">
            <w:pPr>
              <w:widowControl/>
              <w:spacing w:line="240" w:lineRule="auto"/>
              <w:ind w:firstLine="0" w:firstLineChars="0"/>
              <w:jc w:val="center"/>
              <w:rPr>
                <w:rFonts w:cs="Times New Roman"/>
                <w:color w:val="000000"/>
                <w:sz w:val="21"/>
                <w:szCs w:val="21"/>
              </w:rPr>
            </w:pPr>
          </w:p>
        </w:tc>
        <w:tc>
          <w:tcPr>
            <w:tcW w:w="597" w:type="pct"/>
            <w:noWrap/>
            <w:vAlign w:val="center"/>
          </w:tcPr>
          <w:p w14:paraId="6003C03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72260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CEEA334">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B59C80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上王岗</w:t>
            </w:r>
          </w:p>
        </w:tc>
        <w:tc>
          <w:tcPr>
            <w:tcW w:w="742" w:type="pct"/>
            <w:noWrap/>
            <w:vAlign w:val="center"/>
          </w:tcPr>
          <w:p w14:paraId="68CFE66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119.345684</w:t>
            </w:r>
          </w:p>
        </w:tc>
        <w:tc>
          <w:tcPr>
            <w:tcW w:w="742" w:type="pct"/>
            <w:noWrap/>
            <w:vAlign w:val="center"/>
          </w:tcPr>
          <w:p w14:paraId="01981E4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31.819298</w:t>
            </w:r>
          </w:p>
        </w:tc>
        <w:tc>
          <w:tcPr>
            <w:tcW w:w="465" w:type="pct"/>
            <w:noWrap/>
            <w:vAlign w:val="center"/>
          </w:tcPr>
          <w:p w14:paraId="45A0DFF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803E19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876E28B">
            <w:pPr>
              <w:widowControl/>
              <w:spacing w:line="240" w:lineRule="auto"/>
              <w:ind w:firstLine="0" w:firstLineChars="0"/>
              <w:jc w:val="center"/>
              <w:rPr>
                <w:rFonts w:cs="Times New Roman"/>
                <w:color w:val="000000"/>
                <w:sz w:val="21"/>
                <w:szCs w:val="21"/>
              </w:rPr>
            </w:pPr>
          </w:p>
        </w:tc>
        <w:tc>
          <w:tcPr>
            <w:tcW w:w="597" w:type="pct"/>
            <w:noWrap/>
            <w:vAlign w:val="center"/>
          </w:tcPr>
          <w:p w14:paraId="775CD03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2B66A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661A68B">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575A22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本达村</w:t>
            </w:r>
          </w:p>
        </w:tc>
        <w:tc>
          <w:tcPr>
            <w:tcW w:w="742" w:type="pct"/>
            <w:noWrap/>
            <w:vAlign w:val="center"/>
          </w:tcPr>
          <w:p w14:paraId="0CE2247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119.341164</w:t>
            </w:r>
          </w:p>
        </w:tc>
        <w:tc>
          <w:tcPr>
            <w:tcW w:w="742" w:type="pct"/>
            <w:noWrap/>
            <w:vAlign w:val="center"/>
          </w:tcPr>
          <w:p w14:paraId="1D14074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31.82464</w:t>
            </w:r>
          </w:p>
        </w:tc>
        <w:tc>
          <w:tcPr>
            <w:tcW w:w="465" w:type="pct"/>
            <w:noWrap/>
            <w:vAlign w:val="center"/>
          </w:tcPr>
          <w:p w14:paraId="0AC42D5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127E78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7CF44AB">
            <w:pPr>
              <w:widowControl/>
              <w:spacing w:line="240" w:lineRule="auto"/>
              <w:ind w:firstLine="0" w:firstLineChars="0"/>
              <w:jc w:val="center"/>
              <w:rPr>
                <w:rFonts w:cs="Times New Roman"/>
                <w:color w:val="000000"/>
                <w:sz w:val="21"/>
                <w:szCs w:val="21"/>
              </w:rPr>
            </w:pPr>
          </w:p>
        </w:tc>
        <w:tc>
          <w:tcPr>
            <w:tcW w:w="597" w:type="pct"/>
            <w:noWrap/>
            <w:vAlign w:val="center"/>
          </w:tcPr>
          <w:p w14:paraId="24BBC56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约300</w:t>
            </w:r>
          </w:p>
        </w:tc>
      </w:tr>
      <w:tr w14:paraId="13446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D759016">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7C190A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茅山自然学校</w:t>
            </w:r>
          </w:p>
        </w:tc>
        <w:tc>
          <w:tcPr>
            <w:tcW w:w="742" w:type="pct"/>
            <w:noWrap/>
            <w:vAlign w:val="center"/>
          </w:tcPr>
          <w:p w14:paraId="2BB1DE3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119.34983</w:t>
            </w:r>
          </w:p>
        </w:tc>
        <w:tc>
          <w:tcPr>
            <w:tcW w:w="742" w:type="pct"/>
            <w:noWrap/>
            <w:vAlign w:val="center"/>
          </w:tcPr>
          <w:p w14:paraId="6C3AF43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31.830824</w:t>
            </w:r>
          </w:p>
        </w:tc>
        <w:tc>
          <w:tcPr>
            <w:tcW w:w="465" w:type="pct"/>
            <w:noWrap/>
            <w:vAlign w:val="center"/>
          </w:tcPr>
          <w:p w14:paraId="4B2AB3E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师生</w:t>
            </w:r>
          </w:p>
        </w:tc>
        <w:tc>
          <w:tcPr>
            <w:tcW w:w="498" w:type="pct"/>
            <w:noWrap/>
            <w:vAlign w:val="center"/>
          </w:tcPr>
          <w:p w14:paraId="7FDB6BC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BF85205">
            <w:pPr>
              <w:widowControl/>
              <w:spacing w:line="240" w:lineRule="auto"/>
              <w:ind w:firstLine="0" w:firstLineChars="0"/>
              <w:jc w:val="center"/>
              <w:rPr>
                <w:rFonts w:cs="Times New Roman"/>
                <w:color w:val="000000"/>
                <w:sz w:val="21"/>
                <w:szCs w:val="21"/>
              </w:rPr>
            </w:pPr>
          </w:p>
        </w:tc>
        <w:tc>
          <w:tcPr>
            <w:tcW w:w="597" w:type="pct"/>
            <w:noWrap/>
            <w:vAlign w:val="center"/>
          </w:tcPr>
          <w:p w14:paraId="182B9D4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1ACD2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168FC2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2DBCD8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接山墩</w:t>
            </w:r>
          </w:p>
        </w:tc>
        <w:tc>
          <w:tcPr>
            <w:tcW w:w="742" w:type="pct"/>
            <w:noWrap/>
            <w:vAlign w:val="center"/>
          </w:tcPr>
          <w:p w14:paraId="59DB306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119.331722</w:t>
            </w:r>
          </w:p>
        </w:tc>
        <w:tc>
          <w:tcPr>
            <w:tcW w:w="742" w:type="pct"/>
            <w:noWrap/>
            <w:vAlign w:val="center"/>
          </w:tcPr>
          <w:p w14:paraId="48325FC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31.824002</w:t>
            </w:r>
          </w:p>
        </w:tc>
        <w:tc>
          <w:tcPr>
            <w:tcW w:w="465" w:type="pct"/>
            <w:noWrap/>
            <w:vAlign w:val="center"/>
          </w:tcPr>
          <w:p w14:paraId="19B9C2A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DA1B99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2775C81">
            <w:pPr>
              <w:widowControl/>
              <w:spacing w:line="240" w:lineRule="auto"/>
              <w:ind w:firstLine="0" w:firstLineChars="0"/>
              <w:jc w:val="center"/>
              <w:rPr>
                <w:rFonts w:cs="Times New Roman"/>
                <w:color w:val="000000"/>
                <w:sz w:val="21"/>
                <w:szCs w:val="21"/>
              </w:rPr>
            </w:pPr>
          </w:p>
        </w:tc>
        <w:tc>
          <w:tcPr>
            <w:tcW w:w="597" w:type="pct"/>
            <w:noWrap/>
            <w:vAlign w:val="center"/>
          </w:tcPr>
          <w:p w14:paraId="5353731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2DC1D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489983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4EF5C9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滕甲棚</w:t>
            </w:r>
          </w:p>
        </w:tc>
        <w:tc>
          <w:tcPr>
            <w:tcW w:w="742" w:type="pct"/>
            <w:noWrap/>
            <w:vAlign w:val="center"/>
          </w:tcPr>
          <w:p w14:paraId="28B0DA7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119.377081</w:t>
            </w:r>
          </w:p>
        </w:tc>
        <w:tc>
          <w:tcPr>
            <w:tcW w:w="742" w:type="pct"/>
            <w:noWrap/>
            <w:vAlign w:val="center"/>
          </w:tcPr>
          <w:p w14:paraId="62A7C31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31.796011</w:t>
            </w:r>
          </w:p>
        </w:tc>
        <w:tc>
          <w:tcPr>
            <w:tcW w:w="465" w:type="pct"/>
            <w:noWrap/>
            <w:vAlign w:val="center"/>
          </w:tcPr>
          <w:p w14:paraId="68E2BEC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1C68B7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48656F2E">
            <w:pPr>
              <w:widowControl/>
              <w:spacing w:line="240" w:lineRule="auto"/>
              <w:ind w:firstLine="0" w:firstLineChars="0"/>
              <w:jc w:val="center"/>
              <w:rPr>
                <w:rFonts w:cs="Times New Roman"/>
                <w:color w:val="000000"/>
                <w:sz w:val="21"/>
                <w:szCs w:val="21"/>
              </w:rPr>
            </w:pPr>
          </w:p>
        </w:tc>
        <w:tc>
          <w:tcPr>
            <w:tcW w:w="597" w:type="pct"/>
            <w:noWrap/>
            <w:vAlign w:val="center"/>
          </w:tcPr>
          <w:p w14:paraId="18046AB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约70</w:t>
            </w:r>
          </w:p>
        </w:tc>
      </w:tr>
      <w:tr w14:paraId="5C37B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027EAE6">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6670E0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致和村</w:t>
            </w:r>
          </w:p>
        </w:tc>
        <w:tc>
          <w:tcPr>
            <w:tcW w:w="742" w:type="pct"/>
            <w:noWrap/>
            <w:vAlign w:val="center"/>
          </w:tcPr>
          <w:p w14:paraId="656B55B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119.375644</w:t>
            </w:r>
          </w:p>
        </w:tc>
        <w:tc>
          <w:tcPr>
            <w:tcW w:w="742" w:type="pct"/>
            <w:noWrap/>
            <w:vAlign w:val="center"/>
          </w:tcPr>
          <w:p w14:paraId="5E2C666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31.798394</w:t>
            </w:r>
          </w:p>
        </w:tc>
        <w:tc>
          <w:tcPr>
            <w:tcW w:w="465" w:type="pct"/>
            <w:noWrap/>
            <w:vAlign w:val="center"/>
          </w:tcPr>
          <w:p w14:paraId="3A9DA9C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7F3E6B4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84197E3">
            <w:pPr>
              <w:widowControl/>
              <w:spacing w:line="240" w:lineRule="auto"/>
              <w:ind w:firstLine="0" w:firstLineChars="0"/>
              <w:jc w:val="center"/>
              <w:rPr>
                <w:rFonts w:cs="Times New Roman"/>
                <w:color w:val="000000"/>
                <w:sz w:val="21"/>
                <w:szCs w:val="21"/>
              </w:rPr>
            </w:pPr>
          </w:p>
        </w:tc>
        <w:tc>
          <w:tcPr>
            <w:tcW w:w="597" w:type="pct"/>
            <w:noWrap/>
            <w:vAlign w:val="center"/>
          </w:tcPr>
          <w:p w14:paraId="0B7E4AD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约70</w:t>
            </w:r>
          </w:p>
        </w:tc>
      </w:tr>
      <w:tr w14:paraId="61AD1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919B2FF">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3F2A87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东棚</w:t>
            </w:r>
          </w:p>
        </w:tc>
        <w:tc>
          <w:tcPr>
            <w:tcW w:w="742" w:type="pct"/>
            <w:noWrap/>
            <w:vAlign w:val="center"/>
          </w:tcPr>
          <w:p w14:paraId="567962E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119.379568</w:t>
            </w:r>
          </w:p>
        </w:tc>
        <w:tc>
          <w:tcPr>
            <w:tcW w:w="742" w:type="pct"/>
            <w:noWrap/>
            <w:vAlign w:val="center"/>
          </w:tcPr>
          <w:p w14:paraId="223CCCF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31.798379</w:t>
            </w:r>
          </w:p>
        </w:tc>
        <w:tc>
          <w:tcPr>
            <w:tcW w:w="465" w:type="pct"/>
            <w:noWrap/>
            <w:vAlign w:val="center"/>
          </w:tcPr>
          <w:p w14:paraId="322C2DF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C3AE27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26B8C3B">
            <w:pPr>
              <w:widowControl/>
              <w:spacing w:line="240" w:lineRule="auto"/>
              <w:ind w:firstLine="0" w:firstLineChars="0"/>
              <w:jc w:val="center"/>
              <w:rPr>
                <w:rFonts w:cs="Times New Roman"/>
                <w:color w:val="000000"/>
                <w:sz w:val="21"/>
                <w:szCs w:val="21"/>
              </w:rPr>
            </w:pPr>
          </w:p>
        </w:tc>
        <w:tc>
          <w:tcPr>
            <w:tcW w:w="597" w:type="pct"/>
            <w:noWrap/>
            <w:vAlign w:val="center"/>
          </w:tcPr>
          <w:p w14:paraId="2DF9688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46C15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9B78915">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13B751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彭城村</w:t>
            </w:r>
          </w:p>
        </w:tc>
        <w:tc>
          <w:tcPr>
            <w:tcW w:w="742" w:type="pct"/>
            <w:noWrap/>
            <w:vAlign w:val="center"/>
          </w:tcPr>
          <w:p w14:paraId="742C2CA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119.371644</w:t>
            </w:r>
          </w:p>
        </w:tc>
        <w:tc>
          <w:tcPr>
            <w:tcW w:w="742" w:type="pct"/>
            <w:noWrap/>
            <w:vAlign w:val="center"/>
          </w:tcPr>
          <w:p w14:paraId="5787528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31.798525</w:t>
            </w:r>
          </w:p>
        </w:tc>
        <w:tc>
          <w:tcPr>
            <w:tcW w:w="465" w:type="pct"/>
            <w:noWrap/>
            <w:vAlign w:val="center"/>
          </w:tcPr>
          <w:p w14:paraId="513A493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DBEA40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46336972">
            <w:pPr>
              <w:widowControl/>
              <w:spacing w:line="240" w:lineRule="auto"/>
              <w:ind w:firstLine="0" w:firstLineChars="0"/>
              <w:jc w:val="center"/>
              <w:rPr>
                <w:rFonts w:cs="Times New Roman"/>
                <w:color w:val="000000"/>
                <w:sz w:val="21"/>
                <w:szCs w:val="21"/>
              </w:rPr>
            </w:pPr>
          </w:p>
        </w:tc>
        <w:tc>
          <w:tcPr>
            <w:tcW w:w="597" w:type="pct"/>
            <w:noWrap/>
            <w:vAlign w:val="center"/>
          </w:tcPr>
          <w:p w14:paraId="0A771C0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6F183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77D22B7E">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904666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杭山村</w:t>
            </w:r>
          </w:p>
        </w:tc>
        <w:tc>
          <w:tcPr>
            <w:tcW w:w="742" w:type="pct"/>
            <w:noWrap/>
            <w:vAlign w:val="center"/>
          </w:tcPr>
          <w:p w14:paraId="6A29B6D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119.361924</w:t>
            </w:r>
          </w:p>
        </w:tc>
        <w:tc>
          <w:tcPr>
            <w:tcW w:w="742" w:type="pct"/>
            <w:noWrap/>
            <w:vAlign w:val="center"/>
          </w:tcPr>
          <w:p w14:paraId="0CEA58E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31.784242</w:t>
            </w:r>
          </w:p>
        </w:tc>
        <w:tc>
          <w:tcPr>
            <w:tcW w:w="465" w:type="pct"/>
            <w:noWrap/>
            <w:vAlign w:val="center"/>
          </w:tcPr>
          <w:p w14:paraId="3EE0DF4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742524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969B60B">
            <w:pPr>
              <w:widowControl/>
              <w:spacing w:line="240" w:lineRule="auto"/>
              <w:ind w:firstLine="0" w:firstLineChars="0"/>
              <w:jc w:val="center"/>
              <w:rPr>
                <w:rFonts w:cs="Times New Roman"/>
                <w:color w:val="000000"/>
                <w:sz w:val="21"/>
                <w:szCs w:val="21"/>
              </w:rPr>
            </w:pPr>
          </w:p>
        </w:tc>
        <w:tc>
          <w:tcPr>
            <w:tcW w:w="597" w:type="pct"/>
            <w:noWrap/>
            <w:vAlign w:val="center"/>
          </w:tcPr>
          <w:p w14:paraId="0D8D79D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约300</w:t>
            </w:r>
          </w:p>
        </w:tc>
      </w:tr>
      <w:tr w14:paraId="1C584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8755E8A">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DD1D2C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云湖山庄</w:t>
            </w:r>
          </w:p>
        </w:tc>
        <w:tc>
          <w:tcPr>
            <w:tcW w:w="742" w:type="pct"/>
            <w:noWrap/>
            <w:vAlign w:val="center"/>
          </w:tcPr>
          <w:p w14:paraId="699E339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119.333128</w:t>
            </w:r>
          </w:p>
        </w:tc>
        <w:tc>
          <w:tcPr>
            <w:tcW w:w="742" w:type="pct"/>
            <w:noWrap/>
            <w:vAlign w:val="center"/>
          </w:tcPr>
          <w:p w14:paraId="6A746C4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31.812498</w:t>
            </w:r>
          </w:p>
        </w:tc>
        <w:tc>
          <w:tcPr>
            <w:tcW w:w="465" w:type="pct"/>
            <w:noWrap/>
            <w:vAlign w:val="center"/>
          </w:tcPr>
          <w:p w14:paraId="1554784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A668F2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73AFBBE7">
            <w:pPr>
              <w:widowControl/>
              <w:spacing w:line="240" w:lineRule="auto"/>
              <w:ind w:firstLine="0" w:firstLineChars="0"/>
              <w:jc w:val="center"/>
              <w:rPr>
                <w:rFonts w:cs="Times New Roman"/>
                <w:color w:val="000000"/>
                <w:sz w:val="21"/>
                <w:szCs w:val="21"/>
              </w:rPr>
            </w:pPr>
          </w:p>
        </w:tc>
        <w:tc>
          <w:tcPr>
            <w:tcW w:w="597" w:type="pct"/>
            <w:noWrap/>
            <w:vAlign w:val="center"/>
          </w:tcPr>
          <w:p w14:paraId="53992AF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5DAEA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B0328E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0D4F2A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仙姑村</w:t>
            </w:r>
          </w:p>
        </w:tc>
        <w:tc>
          <w:tcPr>
            <w:tcW w:w="742" w:type="pct"/>
            <w:noWrap/>
            <w:vAlign w:val="center"/>
          </w:tcPr>
          <w:p w14:paraId="61F32D5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119.337807</w:t>
            </w:r>
          </w:p>
        </w:tc>
        <w:tc>
          <w:tcPr>
            <w:tcW w:w="742" w:type="pct"/>
            <w:noWrap/>
            <w:vAlign w:val="center"/>
          </w:tcPr>
          <w:p w14:paraId="7850FF8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31.815366</w:t>
            </w:r>
          </w:p>
        </w:tc>
        <w:tc>
          <w:tcPr>
            <w:tcW w:w="465" w:type="pct"/>
            <w:noWrap/>
            <w:vAlign w:val="center"/>
          </w:tcPr>
          <w:p w14:paraId="0E8F36C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CDFD8F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3DBEA8A">
            <w:pPr>
              <w:widowControl/>
              <w:spacing w:line="240" w:lineRule="auto"/>
              <w:ind w:firstLine="0" w:firstLineChars="0"/>
              <w:jc w:val="center"/>
              <w:rPr>
                <w:rFonts w:cs="Times New Roman"/>
                <w:color w:val="000000"/>
                <w:sz w:val="21"/>
                <w:szCs w:val="21"/>
              </w:rPr>
            </w:pPr>
          </w:p>
        </w:tc>
        <w:tc>
          <w:tcPr>
            <w:tcW w:w="597" w:type="pct"/>
            <w:noWrap/>
            <w:vAlign w:val="center"/>
          </w:tcPr>
          <w:p w14:paraId="4AAFC89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约500</w:t>
            </w:r>
          </w:p>
        </w:tc>
      </w:tr>
      <w:tr w14:paraId="7178A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FE275C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6DFBF7B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胡成岗</w:t>
            </w:r>
          </w:p>
        </w:tc>
        <w:tc>
          <w:tcPr>
            <w:tcW w:w="742" w:type="pct"/>
            <w:noWrap/>
            <w:vAlign w:val="center"/>
          </w:tcPr>
          <w:p w14:paraId="68B443D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119.344758</w:t>
            </w:r>
          </w:p>
        </w:tc>
        <w:tc>
          <w:tcPr>
            <w:tcW w:w="742" w:type="pct"/>
            <w:noWrap/>
            <w:vAlign w:val="center"/>
          </w:tcPr>
          <w:p w14:paraId="2AFF63D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31.799067</w:t>
            </w:r>
          </w:p>
        </w:tc>
        <w:tc>
          <w:tcPr>
            <w:tcW w:w="465" w:type="pct"/>
            <w:noWrap/>
            <w:vAlign w:val="center"/>
          </w:tcPr>
          <w:p w14:paraId="4F28405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07AC58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E92F06F">
            <w:pPr>
              <w:widowControl/>
              <w:spacing w:line="240" w:lineRule="auto"/>
              <w:ind w:firstLine="0" w:firstLineChars="0"/>
              <w:jc w:val="center"/>
              <w:rPr>
                <w:rFonts w:cs="Times New Roman"/>
                <w:color w:val="000000"/>
                <w:sz w:val="21"/>
                <w:szCs w:val="21"/>
              </w:rPr>
            </w:pPr>
          </w:p>
        </w:tc>
        <w:tc>
          <w:tcPr>
            <w:tcW w:w="597" w:type="pct"/>
            <w:noWrap/>
            <w:vAlign w:val="center"/>
          </w:tcPr>
          <w:p w14:paraId="10D4CA0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1074B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8727CFF">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CB729D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江南医院</w:t>
            </w:r>
          </w:p>
        </w:tc>
        <w:tc>
          <w:tcPr>
            <w:tcW w:w="742" w:type="pct"/>
            <w:noWrap/>
            <w:vAlign w:val="center"/>
          </w:tcPr>
          <w:p w14:paraId="1A0684D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119.337208</w:t>
            </w:r>
          </w:p>
        </w:tc>
        <w:tc>
          <w:tcPr>
            <w:tcW w:w="742" w:type="pct"/>
            <w:noWrap/>
            <w:vAlign w:val="center"/>
          </w:tcPr>
          <w:p w14:paraId="1BBF788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31.789007</w:t>
            </w:r>
          </w:p>
        </w:tc>
        <w:tc>
          <w:tcPr>
            <w:tcW w:w="465" w:type="pct"/>
            <w:noWrap/>
            <w:vAlign w:val="center"/>
          </w:tcPr>
          <w:p w14:paraId="01D65E0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医患</w:t>
            </w:r>
          </w:p>
        </w:tc>
        <w:tc>
          <w:tcPr>
            <w:tcW w:w="498" w:type="pct"/>
            <w:noWrap/>
            <w:vAlign w:val="center"/>
          </w:tcPr>
          <w:p w14:paraId="385D56B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337B4D4">
            <w:pPr>
              <w:widowControl/>
              <w:spacing w:line="240" w:lineRule="auto"/>
              <w:ind w:firstLine="0" w:firstLineChars="0"/>
              <w:jc w:val="center"/>
              <w:rPr>
                <w:rFonts w:cs="Times New Roman"/>
                <w:color w:val="000000"/>
                <w:sz w:val="21"/>
                <w:szCs w:val="21"/>
              </w:rPr>
            </w:pPr>
          </w:p>
        </w:tc>
        <w:tc>
          <w:tcPr>
            <w:tcW w:w="597" w:type="pct"/>
            <w:noWrap/>
            <w:vAlign w:val="center"/>
          </w:tcPr>
          <w:p w14:paraId="15249AC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约150</w:t>
            </w:r>
          </w:p>
        </w:tc>
      </w:tr>
      <w:tr w14:paraId="2D45E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23E037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D69CFF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茅山颐园度假酒店、养心园</w:t>
            </w:r>
          </w:p>
        </w:tc>
        <w:tc>
          <w:tcPr>
            <w:tcW w:w="742" w:type="pct"/>
            <w:noWrap/>
            <w:vAlign w:val="center"/>
          </w:tcPr>
          <w:p w14:paraId="4CFDC8A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119.338701</w:t>
            </w:r>
          </w:p>
        </w:tc>
        <w:tc>
          <w:tcPr>
            <w:tcW w:w="742" w:type="pct"/>
            <w:noWrap/>
            <w:vAlign w:val="center"/>
          </w:tcPr>
          <w:p w14:paraId="1830688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31.787221</w:t>
            </w:r>
          </w:p>
        </w:tc>
        <w:tc>
          <w:tcPr>
            <w:tcW w:w="465" w:type="pct"/>
            <w:noWrap/>
            <w:vAlign w:val="center"/>
          </w:tcPr>
          <w:p w14:paraId="2002293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98A885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758B99A">
            <w:pPr>
              <w:widowControl/>
              <w:spacing w:line="240" w:lineRule="auto"/>
              <w:ind w:firstLine="0" w:firstLineChars="0"/>
              <w:jc w:val="center"/>
              <w:rPr>
                <w:rFonts w:cs="Times New Roman"/>
                <w:color w:val="000000"/>
                <w:sz w:val="21"/>
                <w:szCs w:val="21"/>
              </w:rPr>
            </w:pPr>
          </w:p>
        </w:tc>
        <w:tc>
          <w:tcPr>
            <w:tcW w:w="597" w:type="pct"/>
            <w:noWrap/>
            <w:vAlign w:val="center"/>
          </w:tcPr>
          <w:p w14:paraId="39D15A3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约2000</w:t>
            </w:r>
          </w:p>
        </w:tc>
      </w:tr>
      <w:tr w14:paraId="54D2E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689FDA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06D4B1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茅山雅居乐明月山溪花园</w:t>
            </w:r>
          </w:p>
        </w:tc>
        <w:tc>
          <w:tcPr>
            <w:tcW w:w="742" w:type="pct"/>
            <w:noWrap/>
            <w:vAlign w:val="center"/>
          </w:tcPr>
          <w:p w14:paraId="4BB6EEC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119.347678</w:t>
            </w:r>
          </w:p>
        </w:tc>
        <w:tc>
          <w:tcPr>
            <w:tcW w:w="742" w:type="pct"/>
            <w:noWrap/>
            <w:vAlign w:val="center"/>
          </w:tcPr>
          <w:p w14:paraId="58000C6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31.775107</w:t>
            </w:r>
          </w:p>
        </w:tc>
        <w:tc>
          <w:tcPr>
            <w:tcW w:w="465" w:type="pct"/>
            <w:noWrap/>
            <w:vAlign w:val="center"/>
          </w:tcPr>
          <w:p w14:paraId="4537517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598877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4D90D1C">
            <w:pPr>
              <w:widowControl/>
              <w:spacing w:line="240" w:lineRule="auto"/>
              <w:ind w:firstLine="0" w:firstLineChars="0"/>
              <w:jc w:val="center"/>
              <w:rPr>
                <w:rFonts w:cs="Times New Roman"/>
                <w:color w:val="000000"/>
                <w:sz w:val="21"/>
                <w:szCs w:val="21"/>
              </w:rPr>
            </w:pPr>
          </w:p>
        </w:tc>
        <w:tc>
          <w:tcPr>
            <w:tcW w:w="597" w:type="pct"/>
            <w:noWrap/>
            <w:vAlign w:val="center"/>
          </w:tcPr>
          <w:p w14:paraId="06C548F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约700</w:t>
            </w:r>
          </w:p>
        </w:tc>
      </w:tr>
      <w:tr w14:paraId="3E997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DA5F58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7DCB9C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斜谷</w:t>
            </w:r>
          </w:p>
        </w:tc>
        <w:tc>
          <w:tcPr>
            <w:tcW w:w="742" w:type="pct"/>
            <w:noWrap/>
            <w:vAlign w:val="center"/>
          </w:tcPr>
          <w:p w14:paraId="1950ED5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119.37765</w:t>
            </w:r>
          </w:p>
        </w:tc>
        <w:tc>
          <w:tcPr>
            <w:tcW w:w="742" w:type="pct"/>
            <w:noWrap/>
            <w:vAlign w:val="center"/>
          </w:tcPr>
          <w:p w14:paraId="12A3773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31.777232</w:t>
            </w:r>
          </w:p>
        </w:tc>
        <w:tc>
          <w:tcPr>
            <w:tcW w:w="465" w:type="pct"/>
            <w:noWrap/>
            <w:vAlign w:val="center"/>
          </w:tcPr>
          <w:p w14:paraId="43F21A4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3E4D81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79827677">
            <w:pPr>
              <w:widowControl/>
              <w:spacing w:line="240" w:lineRule="auto"/>
              <w:ind w:firstLine="0" w:firstLineChars="0"/>
              <w:jc w:val="center"/>
              <w:rPr>
                <w:rFonts w:cs="Times New Roman"/>
                <w:color w:val="000000"/>
                <w:sz w:val="21"/>
                <w:szCs w:val="21"/>
              </w:rPr>
            </w:pPr>
          </w:p>
        </w:tc>
        <w:tc>
          <w:tcPr>
            <w:tcW w:w="597" w:type="pct"/>
            <w:noWrap/>
            <w:vAlign w:val="center"/>
          </w:tcPr>
          <w:p w14:paraId="59BDA80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64A4A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9D40968">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F11A91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高庄</w:t>
            </w:r>
          </w:p>
        </w:tc>
        <w:tc>
          <w:tcPr>
            <w:tcW w:w="742" w:type="pct"/>
            <w:noWrap/>
            <w:vAlign w:val="center"/>
          </w:tcPr>
          <w:p w14:paraId="7010663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119.365234</w:t>
            </w:r>
          </w:p>
        </w:tc>
        <w:tc>
          <w:tcPr>
            <w:tcW w:w="742" w:type="pct"/>
            <w:noWrap/>
            <w:vAlign w:val="center"/>
          </w:tcPr>
          <w:p w14:paraId="6F6C28B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31.769246</w:t>
            </w:r>
          </w:p>
        </w:tc>
        <w:tc>
          <w:tcPr>
            <w:tcW w:w="465" w:type="pct"/>
            <w:noWrap/>
            <w:vAlign w:val="center"/>
          </w:tcPr>
          <w:p w14:paraId="1A83265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ADE8A9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51808F2">
            <w:pPr>
              <w:widowControl/>
              <w:spacing w:line="240" w:lineRule="auto"/>
              <w:ind w:firstLine="0" w:firstLineChars="0"/>
              <w:jc w:val="center"/>
              <w:rPr>
                <w:rFonts w:cs="Times New Roman"/>
                <w:color w:val="000000"/>
                <w:sz w:val="21"/>
                <w:szCs w:val="21"/>
              </w:rPr>
            </w:pPr>
          </w:p>
        </w:tc>
        <w:tc>
          <w:tcPr>
            <w:tcW w:w="597" w:type="pct"/>
            <w:noWrap/>
            <w:vAlign w:val="center"/>
          </w:tcPr>
          <w:p w14:paraId="3BBB800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48A92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2225DD7">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48B0EA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雅居乐山湖城</w:t>
            </w:r>
          </w:p>
        </w:tc>
        <w:tc>
          <w:tcPr>
            <w:tcW w:w="742" w:type="pct"/>
            <w:noWrap/>
            <w:vAlign w:val="center"/>
          </w:tcPr>
          <w:p w14:paraId="5721CA5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119.343741</w:t>
            </w:r>
          </w:p>
        </w:tc>
        <w:tc>
          <w:tcPr>
            <w:tcW w:w="742" w:type="pct"/>
            <w:noWrap/>
            <w:vAlign w:val="center"/>
          </w:tcPr>
          <w:p w14:paraId="6F0FADD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31.763312</w:t>
            </w:r>
          </w:p>
        </w:tc>
        <w:tc>
          <w:tcPr>
            <w:tcW w:w="465" w:type="pct"/>
            <w:noWrap/>
            <w:vAlign w:val="center"/>
          </w:tcPr>
          <w:p w14:paraId="1356D4F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6987BB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DA32C16">
            <w:pPr>
              <w:widowControl/>
              <w:spacing w:line="240" w:lineRule="auto"/>
              <w:ind w:firstLine="0" w:firstLineChars="0"/>
              <w:jc w:val="center"/>
              <w:rPr>
                <w:rFonts w:cs="Times New Roman"/>
                <w:color w:val="000000"/>
                <w:sz w:val="21"/>
                <w:szCs w:val="21"/>
              </w:rPr>
            </w:pPr>
          </w:p>
        </w:tc>
        <w:tc>
          <w:tcPr>
            <w:tcW w:w="597" w:type="pct"/>
            <w:noWrap/>
            <w:vAlign w:val="center"/>
          </w:tcPr>
          <w:p w14:paraId="765AC1C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约2000</w:t>
            </w:r>
          </w:p>
        </w:tc>
      </w:tr>
      <w:tr w14:paraId="7AF3C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398" w:type="pct"/>
            <w:noWrap/>
            <w:vAlign w:val="center"/>
          </w:tcPr>
          <w:p w14:paraId="5CD005CF">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BCD2D4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金牛山庄</w:t>
            </w:r>
          </w:p>
        </w:tc>
        <w:tc>
          <w:tcPr>
            <w:tcW w:w="742" w:type="pct"/>
            <w:noWrap/>
            <w:vAlign w:val="center"/>
          </w:tcPr>
          <w:p w14:paraId="603C766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119.309029</w:t>
            </w:r>
          </w:p>
        </w:tc>
        <w:tc>
          <w:tcPr>
            <w:tcW w:w="742" w:type="pct"/>
            <w:noWrap/>
            <w:vAlign w:val="center"/>
          </w:tcPr>
          <w:p w14:paraId="21A4E79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31.76239</w:t>
            </w:r>
          </w:p>
        </w:tc>
        <w:tc>
          <w:tcPr>
            <w:tcW w:w="465" w:type="pct"/>
            <w:noWrap/>
            <w:vAlign w:val="center"/>
          </w:tcPr>
          <w:p w14:paraId="1E3E8BB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75FBF8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02ABEE0B">
            <w:pPr>
              <w:widowControl/>
              <w:spacing w:line="240" w:lineRule="auto"/>
              <w:ind w:firstLine="0" w:firstLineChars="0"/>
              <w:jc w:val="center"/>
              <w:rPr>
                <w:rFonts w:cs="Times New Roman"/>
                <w:color w:val="000000"/>
                <w:sz w:val="21"/>
                <w:szCs w:val="21"/>
              </w:rPr>
            </w:pPr>
          </w:p>
        </w:tc>
        <w:tc>
          <w:tcPr>
            <w:tcW w:w="597" w:type="pct"/>
            <w:noWrap/>
            <w:vAlign w:val="center"/>
          </w:tcPr>
          <w:p w14:paraId="51C0F86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约400</w:t>
            </w:r>
          </w:p>
        </w:tc>
      </w:tr>
      <w:tr w14:paraId="7FB2A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CAED3C5">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D638BE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山湖城花园湖畔小院</w:t>
            </w:r>
          </w:p>
        </w:tc>
        <w:tc>
          <w:tcPr>
            <w:tcW w:w="742" w:type="pct"/>
            <w:noWrap/>
            <w:vAlign w:val="center"/>
          </w:tcPr>
          <w:p w14:paraId="249C1EE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119.320356</w:t>
            </w:r>
          </w:p>
        </w:tc>
        <w:tc>
          <w:tcPr>
            <w:tcW w:w="742" w:type="pct"/>
            <w:noWrap/>
            <w:vAlign w:val="center"/>
          </w:tcPr>
          <w:p w14:paraId="7DF13A1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31.755369</w:t>
            </w:r>
          </w:p>
        </w:tc>
        <w:tc>
          <w:tcPr>
            <w:tcW w:w="465" w:type="pct"/>
            <w:noWrap/>
            <w:vAlign w:val="center"/>
          </w:tcPr>
          <w:p w14:paraId="3FE60F8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5A4631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D0B2B58">
            <w:pPr>
              <w:widowControl/>
              <w:spacing w:line="240" w:lineRule="auto"/>
              <w:ind w:firstLine="0" w:firstLineChars="0"/>
              <w:jc w:val="center"/>
              <w:rPr>
                <w:rFonts w:cs="Times New Roman"/>
                <w:color w:val="000000"/>
                <w:sz w:val="21"/>
                <w:szCs w:val="21"/>
              </w:rPr>
            </w:pPr>
          </w:p>
        </w:tc>
        <w:tc>
          <w:tcPr>
            <w:tcW w:w="597" w:type="pct"/>
            <w:noWrap/>
            <w:vAlign w:val="center"/>
          </w:tcPr>
          <w:p w14:paraId="69BE328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约2000</w:t>
            </w:r>
          </w:p>
        </w:tc>
      </w:tr>
      <w:tr w14:paraId="1D0A5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BE07AE8">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9C7AE6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恒大誉湖庄园</w:t>
            </w:r>
          </w:p>
        </w:tc>
        <w:tc>
          <w:tcPr>
            <w:tcW w:w="742" w:type="pct"/>
            <w:noWrap/>
            <w:vAlign w:val="center"/>
          </w:tcPr>
          <w:p w14:paraId="478AAA6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119.321482</w:t>
            </w:r>
          </w:p>
        </w:tc>
        <w:tc>
          <w:tcPr>
            <w:tcW w:w="742" w:type="pct"/>
            <w:noWrap/>
            <w:vAlign w:val="center"/>
          </w:tcPr>
          <w:p w14:paraId="1377499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31.749642</w:t>
            </w:r>
          </w:p>
        </w:tc>
        <w:tc>
          <w:tcPr>
            <w:tcW w:w="465" w:type="pct"/>
            <w:noWrap/>
            <w:vAlign w:val="center"/>
          </w:tcPr>
          <w:p w14:paraId="5A94C7F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43CE80C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99AA1DD">
            <w:pPr>
              <w:widowControl/>
              <w:spacing w:line="240" w:lineRule="auto"/>
              <w:ind w:firstLine="0" w:firstLineChars="0"/>
              <w:jc w:val="center"/>
              <w:rPr>
                <w:rFonts w:cs="Times New Roman"/>
                <w:color w:val="000000"/>
                <w:sz w:val="21"/>
                <w:szCs w:val="21"/>
              </w:rPr>
            </w:pPr>
          </w:p>
        </w:tc>
        <w:tc>
          <w:tcPr>
            <w:tcW w:w="597" w:type="pct"/>
            <w:noWrap/>
            <w:vAlign w:val="center"/>
          </w:tcPr>
          <w:p w14:paraId="08438B5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约1000</w:t>
            </w:r>
          </w:p>
        </w:tc>
      </w:tr>
      <w:tr w14:paraId="1FC3F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48640F8">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B094C0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金坛区东进小学</w:t>
            </w:r>
          </w:p>
        </w:tc>
        <w:tc>
          <w:tcPr>
            <w:tcW w:w="742" w:type="pct"/>
            <w:noWrap/>
            <w:vAlign w:val="center"/>
          </w:tcPr>
          <w:p w14:paraId="13EC946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119.318374</w:t>
            </w:r>
          </w:p>
        </w:tc>
        <w:tc>
          <w:tcPr>
            <w:tcW w:w="742" w:type="pct"/>
            <w:noWrap/>
            <w:vAlign w:val="center"/>
          </w:tcPr>
          <w:p w14:paraId="3902F5E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31.750886</w:t>
            </w:r>
          </w:p>
        </w:tc>
        <w:tc>
          <w:tcPr>
            <w:tcW w:w="465" w:type="pct"/>
            <w:noWrap/>
            <w:vAlign w:val="center"/>
          </w:tcPr>
          <w:p w14:paraId="6D6159E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师生</w:t>
            </w:r>
          </w:p>
        </w:tc>
        <w:tc>
          <w:tcPr>
            <w:tcW w:w="498" w:type="pct"/>
            <w:noWrap/>
            <w:vAlign w:val="center"/>
          </w:tcPr>
          <w:p w14:paraId="43B154F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4F534107">
            <w:pPr>
              <w:widowControl/>
              <w:spacing w:line="240" w:lineRule="auto"/>
              <w:ind w:firstLine="0" w:firstLineChars="0"/>
              <w:jc w:val="center"/>
              <w:rPr>
                <w:rFonts w:cs="Times New Roman"/>
                <w:color w:val="000000"/>
                <w:sz w:val="21"/>
                <w:szCs w:val="21"/>
              </w:rPr>
            </w:pPr>
          </w:p>
        </w:tc>
        <w:tc>
          <w:tcPr>
            <w:tcW w:w="597" w:type="pct"/>
            <w:noWrap/>
            <w:vAlign w:val="center"/>
          </w:tcPr>
          <w:p w14:paraId="421463C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1C1FD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0415E75">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666BC5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桃园小区</w:t>
            </w:r>
          </w:p>
        </w:tc>
        <w:tc>
          <w:tcPr>
            <w:tcW w:w="742" w:type="pct"/>
            <w:noWrap/>
            <w:vAlign w:val="center"/>
          </w:tcPr>
          <w:p w14:paraId="171BEB2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119.313504</w:t>
            </w:r>
          </w:p>
        </w:tc>
        <w:tc>
          <w:tcPr>
            <w:tcW w:w="742" w:type="pct"/>
            <w:noWrap/>
            <w:vAlign w:val="center"/>
          </w:tcPr>
          <w:p w14:paraId="3AE244B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31.746937</w:t>
            </w:r>
          </w:p>
        </w:tc>
        <w:tc>
          <w:tcPr>
            <w:tcW w:w="465" w:type="pct"/>
            <w:noWrap/>
            <w:vAlign w:val="center"/>
          </w:tcPr>
          <w:p w14:paraId="1FE5F81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7D5934A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78E8425B">
            <w:pPr>
              <w:widowControl/>
              <w:spacing w:line="240" w:lineRule="auto"/>
              <w:ind w:firstLine="0" w:firstLineChars="0"/>
              <w:jc w:val="center"/>
              <w:rPr>
                <w:rFonts w:cs="Times New Roman"/>
                <w:color w:val="000000"/>
                <w:sz w:val="21"/>
                <w:szCs w:val="21"/>
              </w:rPr>
            </w:pPr>
          </w:p>
        </w:tc>
        <w:tc>
          <w:tcPr>
            <w:tcW w:w="597" w:type="pct"/>
            <w:noWrap/>
            <w:vAlign w:val="center"/>
          </w:tcPr>
          <w:p w14:paraId="6853BB5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约1000</w:t>
            </w:r>
          </w:p>
        </w:tc>
      </w:tr>
      <w:tr w14:paraId="2CF71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8BFAAE3">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F7C2C1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桃源山庄</w:t>
            </w:r>
          </w:p>
        </w:tc>
        <w:tc>
          <w:tcPr>
            <w:tcW w:w="742" w:type="pct"/>
            <w:noWrap/>
            <w:vAlign w:val="center"/>
          </w:tcPr>
          <w:p w14:paraId="20C21D1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119.306367</w:t>
            </w:r>
          </w:p>
        </w:tc>
        <w:tc>
          <w:tcPr>
            <w:tcW w:w="742" w:type="pct"/>
            <w:noWrap/>
            <w:vAlign w:val="center"/>
          </w:tcPr>
          <w:p w14:paraId="7604460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31.746306</w:t>
            </w:r>
          </w:p>
        </w:tc>
        <w:tc>
          <w:tcPr>
            <w:tcW w:w="465" w:type="pct"/>
            <w:noWrap/>
            <w:vAlign w:val="center"/>
          </w:tcPr>
          <w:p w14:paraId="6D887D3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B47ECD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5C30AAE">
            <w:pPr>
              <w:widowControl/>
              <w:spacing w:line="240" w:lineRule="auto"/>
              <w:ind w:firstLine="0" w:firstLineChars="0"/>
              <w:jc w:val="center"/>
              <w:rPr>
                <w:rFonts w:cs="Times New Roman"/>
                <w:color w:val="000000"/>
                <w:sz w:val="21"/>
                <w:szCs w:val="21"/>
              </w:rPr>
            </w:pPr>
          </w:p>
        </w:tc>
        <w:tc>
          <w:tcPr>
            <w:tcW w:w="597" w:type="pct"/>
            <w:noWrap/>
            <w:vAlign w:val="center"/>
          </w:tcPr>
          <w:p w14:paraId="5A08834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约1000</w:t>
            </w:r>
          </w:p>
        </w:tc>
      </w:tr>
      <w:tr w14:paraId="64E6E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7D767545">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71EF6B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茅山东湖花苑</w:t>
            </w:r>
          </w:p>
        </w:tc>
        <w:tc>
          <w:tcPr>
            <w:tcW w:w="742" w:type="pct"/>
            <w:noWrap/>
            <w:vAlign w:val="center"/>
          </w:tcPr>
          <w:p w14:paraId="7198F6E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119.319229</w:t>
            </w:r>
          </w:p>
        </w:tc>
        <w:tc>
          <w:tcPr>
            <w:tcW w:w="742" w:type="pct"/>
            <w:noWrap/>
            <w:vAlign w:val="center"/>
          </w:tcPr>
          <w:p w14:paraId="667118B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31.738394</w:t>
            </w:r>
          </w:p>
        </w:tc>
        <w:tc>
          <w:tcPr>
            <w:tcW w:w="465" w:type="pct"/>
            <w:noWrap/>
            <w:vAlign w:val="center"/>
          </w:tcPr>
          <w:p w14:paraId="6E87730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A493D0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7C3B090">
            <w:pPr>
              <w:widowControl/>
              <w:spacing w:line="240" w:lineRule="auto"/>
              <w:ind w:firstLine="0" w:firstLineChars="0"/>
              <w:jc w:val="center"/>
              <w:rPr>
                <w:rFonts w:cs="Times New Roman"/>
                <w:color w:val="000000"/>
                <w:sz w:val="21"/>
                <w:szCs w:val="21"/>
              </w:rPr>
            </w:pPr>
          </w:p>
        </w:tc>
        <w:tc>
          <w:tcPr>
            <w:tcW w:w="597" w:type="pct"/>
            <w:noWrap/>
            <w:vAlign w:val="center"/>
          </w:tcPr>
          <w:p w14:paraId="6C07F60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约800</w:t>
            </w:r>
          </w:p>
        </w:tc>
      </w:tr>
      <w:tr w14:paraId="0E2C0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6AE8A58">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5B5D5F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段岗</w:t>
            </w:r>
          </w:p>
        </w:tc>
        <w:tc>
          <w:tcPr>
            <w:tcW w:w="742" w:type="pct"/>
            <w:noWrap/>
            <w:vAlign w:val="center"/>
          </w:tcPr>
          <w:p w14:paraId="275D0D1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119.340551</w:t>
            </w:r>
          </w:p>
        </w:tc>
        <w:tc>
          <w:tcPr>
            <w:tcW w:w="742" w:type="pct"/>
            <w:noWrap/>
            <w:vAlign w:val="center"/>
          </w:tcPr>
          <w:p w14:paraId="6FEFD61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31.735293</w:t>
            </w:r>
          </w:p>
        </w:tc>
        <w:tc>
          <w:tcPr>
            <w:tcW w:w="465" w:type="pct"/>
            <w:noWrap/>
            <w:vAlign w:val="center"/>
          </w:tcPr>
          <w:p w14:paraId="3BD4EDE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BF6B71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7103B3E">
            <w:pPr>
              <w:widowControl/>
              <w:spacing w:line="240" w:lineRule="auto"/>
              <w:ind w:firstLine="0" w:firstLineChars="0"/>
              <w:jc w:val="center"/>
              <w:rPr>
                <w:rFonts w:cs="Times New Roman"/>
                <w:color w:val="000000"/>
                <w:sz w:val="21"/>
                <w:szCs w:val="21"/>
              </w:rPr>
            </w:pPr>
          </w:p>
        </w:tc>
        <w:tc>
          <w:tcPr>
            <w:tcW w:w="597" w:type="pct"/>
            <w:noWrap/>
            <w:vAlign w:val="center"/>
          </w:tcPr>
          <w:p w14:paraId="0DD01C1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4132E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76D1B02B">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2CE8CF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五里棚</w:t>
            </w:r>
          </w:p>
        </w:tc>
        <w:tc>
          <w:tcPr>
            <w:tcW w:w="742" w:type="pct"/>
            <w:noWrap/>
            <w:vAlign w:val="center"/>
          </w:tcPr>
          <w:p w14:paraId="79F36C2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119.342195</w:t>
            </w:r>
          </w:p>
        </w:tc>
        <w:tc>
          <w:tcPr>
            <w:tcW w:w="742" w:type="pct"/>
            <w:noWrap/>
            <w:vAlign w:val="center"/>
          </w:tcPr>
          <w:p w14:paraId="7196820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31.722922</w:t>
            </w:r>
          </w:p>
        </w:tc>
        <w:tc>
          <w:tcPr>
            <w:tcW w:w="465" w:type="pct"/>
            <w:noWrap/>
            <w:vAlign w:val="center"/>
          </w:tcPr>
          <w:p w14:paraId="2CFDFCA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9398B6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4C8AD533">
            <w:pPr>
              <w:widowControl/>
              <w:spacing w:line="240" w:lineRule="auto"/>
              <w:ind w:firstLine="0" w:firstLineChars="0"/>
              <w:jc w:val="center"/>
              <w:rPr>
                <w:rFonts w:cs="Times New Roman"/>
                <w:color w:val="000000"/>
                <w:sz w:val="21"/>
                <w:szCs w:val="21"/>
              </w:rPr>
            </w:pPr>
          </w:p>
        </w:tc>
        <w:tc>
          <w:tcPr>
            <w:tcW w:w="597" w:type="pct"/>
            <w:noWrap/>
            <w:vAlign w:val="center"/>
          </w:tcPr>
          <w:p w14:paraId="551915B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4C9C6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BDFC31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938EA0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黄庄</w:t>
            </w:r>
          </w:p>
        </w:tc>
        <w:tc>
          <w:tcPr>
            <w:tcW w:w="742" w:type="pct"/>
            <w:noWrap/>
            <w:vAlign w:val="center"/>
          </w:tcPr>
          <w:p w14:paraId="55BE2B7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119.37238</w:t>
            </w:r>
          </w:p>
        </w:tc>
        <w:tc>
          <w:tcPr>
            <w:tcW w:w="742" w:type="pct"/>
            <w:noWrap/>
            <w:vAlign w:val="center"/>
          </w:tcPr>
          <w:p w14:paraId="1D1CD34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31.753248</w:t>
            </w:r>
          </w:p>
        </w:tc>
        <w:tc>
          <w:tcPr>
            <w:tcW w:w="465" w:type="pct"/>
            <w:noWrap/>
            <w:vAlign w:val="center"/>
          </w:tcPr>
          <w:p w14:paraId="2936E07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FE7BAB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22A9171">
            <w:pPr>
              <w:widowControl/>
              <w:spacing w:line="240" w:lineRule="auto"/>
              <w:ind w:firstLine="0" w:firstLineChars="0"/>
              <w:jc w:val="center"/>
              <w:rPr>
                <w:rFonts w:cs="Times New Roman"/>
                <w:color w:val="000000"/>
                <w:sz w:val="21"/>
                <w:szCs w:val="21"/>
              </w:rPr>
            </w:pPr>
          </w:p>
        </w:tc>
        <w:tc>
          <w:tcPr>
            <w:tcW w:w="597" w:type="pct"/>
            <w:noWrap/>
            <w:vAlign w:val="center"/>
          </w:tcPr>
          <w:p w14:paraId="00545D5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08A37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77B19501">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397702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大凹</w:t>
            </w:r>
          </w:p>
        </w:tc>
        <w:tc>
          <w:tcPr>
            <w:tcW w:w="742" w:type="pct"/>
            <w:noWrap/>
            <w:vAlign w:val="center"/>
          </w:tcPr>
          <w:p w14:paraId="7A151B1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119.367029</w:t>
            </w:r>
          </w:p>
        </w:tc>
        <w:tc>
          <w:tcPr>
            <w:tcW w:w="742" w:type="pct"/>
            <w:noWrap/>
            <w:vAlign w:val="center"/>
          </w:tcPr>
          <w:p w14:paraId="4C75478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31.747523</w:t>
            </w:r>
          </w:p>
        </w:tc>
        <w:tc>
          <w:tcPr>
            <w:tcW w:w="465" w:type="pct"/>
            <w:noWrap/>
            <w:vAlign w:val="center"/>
          </w:tcPr>
          <w:p w14:paraId="315087A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AFCE96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9F75FF5">
            <w:pPr>
              <w:widowControl/>
              <w:spacing w:line="240" w:lineRule="auto"/>
              <w:ind w:firstLine="0" w:firstLineChars="0"/>
              <w:jc w:val="center"/>
              <w:rPr>
                <w:rFonts w:cs="Times New Roman"/>
                <w:color w:val="000000"/>
                <w:sz w:val="21"/>
                <w:szCs w:val="21"/>
              </w:rPr>
            </w:pPr>
          </w:p>
        </w:tc>
        <w:tc>
          <w:tcPr>
            <w:tcW w:w="597" w:type="pct"/>
            <w:noWrap/>
            <w:vAlign w:val="center"/>
          </w:tcPr>
          <w:p w14:paraId="4F10F82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67B3E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EE0269F">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314CF1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三棵大树</w:t>
            </w:r>
          </w:p>
        </w:tc>
        <w:tc>
          <w:tcPr>
            <w:tcW w:w="742" w:type="pct"/>
            <w:noWrap/>
            <w:vAlign w:val="center"/>
          </w:tcPr>
          <w:p w14:paraId="3CA3C81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119.371158</w:t>
            </w:r>
          </w:p>
        </w:tc>
        <w:tc>
          <w:tcPr>
            <w:tcW w:w="742" w:type="pct"/>
            <w:noWrap/>
            <w:vAlign w:val="center"/>
          </w:tcPr>
          <w:p w14:paraId="025A8B0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31.747951</w:t>
            </w:r>
          </w:p>
        </w:tc>
        <w:tc>
          <w:tcPr>
            <w:tcW w:w="465" w:type="pct"/>
            <w:noWrap/>
            <w:vAlign w:val="center"/>
          </w:tcPr>
          <w:p w14:paraId="47CDECD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DDB025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9F1937A">
            <w:pPr>
              <w:widowControl/>
              <w:spacing w:line="240" w:lineRule="auto"/>
              <w:ind w:firstLine="0" w:firstLineChars="0"/>
              <w:jc w:val="center"/>
              <w:rPr>
                <w:rFonts w:cs="Times New Roman"/>
                <w:color w:val="000000"/>
                <w:sz w:val="21"/>
                <w:szCs w:val="21"/>
              </w:rPr>
            </w:pPr>
          </w:p>
        </w:tc>
        <w:tc>
          <w:tcPr>
            <w:tcW w:w="597" w:type="pct"/>
            <w:noWrap/>
            <w:vAlign w:val="center"/>
          </w:tcPr>
          <w:p w14:paraId="7605855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w:t>
            </w:r>
          </w:p>
        </w:tc>
      </w:tr>
      <w:tr w14:paraId="7E093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1606256">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FFF9C1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石头路</w:t>
            </w:r>
          </w:p>
        </w:tc>
        <w:tc>
          <w:tcPr>
            <w:tcW w:w="742" w:type="pct"/>
            <w:noWrap/>
            <w:vAlign w:val="center"/>
          </w:tcPr>
          <w:p w14:paraId="5F9FD54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119.364044</w:t>
            </w:r>
          </w:p>
        </w:tc>
        <w:tc>
          <w:tcPr>
            <w:tcW w:w="742" w:type="pct"/>
            <w:noWrap/>
            <w:vAlign w:val="center"/>
          </w:tcPr>
          <w:p w14:paraId="445F89A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31.73548</w:t>
            </w:r>
          </w:p>
        </w:tc>
        <w:tc>
          <w:tcPr>
            <w:tcW w:w="465" w:type="pct"/>
            <w:noWrap/>
            <w:vAlign w:val="center"/>
          </w:tcPr>
          <w:p w14:paraId="613A882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0BC27C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3A4CAAD">
            <w:pPr>
              <w:widowControl/>
              <w:spacing w:line="240" w:lineRule="auto"/>
              <w:ind w:firstLine="0" w:firstLineChars="0"/>
              <w:jc w:val="center"/>
              <w:rPr>
                <w:rFonts w:cs="Times New Roman"/>
                <w:color w:val="000000"/>
                <w:sz w:val="21"/>
                <w:szCs w:val="21"/>
              </w:rPr>
            </w:pPr>
          </w:p>
        </w:tc>
        <w:tc>
          <w:tcPr>
            <w:tcW w:w="597" w:type="pct"/>
            <w:noWrap/>
            <w:vAlign w:val="center"/>
          </w:tcPr>
          <w:p w14:paraId="3A9B1C3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027E5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D61D9C5">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203F99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郭笪</w:t>
            </w:r>
          </w:p>
        </w:tc>
        <w:tc>
          <w:tcPr>
            <w:tcW w:w="742" w:type="pct"/>
            <w:noWrap/>
            <w:vAlign w:val="center"/>
          </w:tcPr>
          <w:p w14:paraId="106B80C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119.365771</w:t>
            </w:r>
          </w:p>
        </w:tc>
        <w:tc>
          <w:tcPr>
            <w:tcW w:w="742" w:type="pct"/>
            <w:noWrap/>
            <w:vAlign w:val="center"/>
          </w:tcPr>
          <w:p w14:paraId="49A117B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31.737404</w:t>
            </w:r>
          </w:p>
        </w:tc>
        <w:tc>
          <w:tcPr>
            <w:tcW w:w="465" w:type="pct"/>
            <w:noWrap/>
            <w:vAlign w:val="center"/>
          </w:tcPr>
          <w:p w14:paraId="7FE10DA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4E750E9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84B8884">
            <w:pPr>
              <w:widowControl/>
              <w:spacing w:line="240" w:lineRule="auto"/>
              <w:ind w:firstLine="0" w:firstLineChars="0"/>
              <w:jc w:val="center"/>
              <w:rPr>
                <w:rFonts w:cs="Times New Roman"/>
                <w:color w:val="000000"/>
                <w:sz w:val="21"/>
                <w:szCs w:val="21"/>
              </w:rPr>
            </w:pPr>
          </w:p>
        </w:tc>
        <w:tc>
          <w:tcPr>
            <w:tcW w:w="597" w:type="pct"/>
            <w:noWrap/>
            <w:vAlign w:val="center"/>
          </w:tcPr>
          <w:p w14:paraId="4F80DE9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7B14B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7970A0FA">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C7F7F0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涧滩</w:t>
            </w:r>
          </w:p>
        </w:tc>
        <w:tc>
          <w:tcPr>
            <w:tcW w:w="742" w:type="pct"/>
            <w:noWrap/>
            <w:vAlign w:val="center"/>
          </w:tcPr>
          <w:p w14:paraId="5E83D9F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119.362447</w:t>
            </w:r>
          </w:p>
        </w:tc>
        <w:tc>
          <w:tcPr>
            <w:tcW w:w="742" w:type="pct"/>
            <w:noWrap/>
            <w:vAlign w:val="center"/>
          </w:tcPr>
          <w:p w14:paraId="3DDE074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31.733277</w:t>
            </w:r>
          </w:p>
        </w:tc>
        <w:tc>
          <w:tcPr>
            <w:tcW w:w="465" w:type="pct"/>
            <w:noWrap/>
            <w:vAlign w:val="center"/>
          </w:tcPr>
          <w:p w14:paraId="74A79CF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8AB327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395E209">
            <w:pPr>
              <w:widowControl/>
              <w:spacing w:line="240" w:lineRule="auto"/>
              <w:ind w:firstLine="0" w:firstLineChars="0"/>
              <w:jc w:val="center"/>
              <w:rPr>
                <w:rFonts w:cs="Times New Roman"/>
                <w:color w:val="000000"/>
                <w:sz w:val="21"/>
                <w:szCs w:val="21"/>
              </w:rPr>
            </w:pPr>
          </w:p>
        </w:tc>
        <w:tc>
          <w:tcPr>
            <w:tcW w:w="597" w:type="pct"/>
            <w:noWrap/>
            <w:vAlign w:val="center"/>
          </w:tcPr>
          <w:p w14:paraId="21BEF2B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1583B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7F71625">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BE2646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上庄</w:t>
            </w:r>
          </w:p>
        </w:tc>
        <w:tc>
          <w:tcPr>
            <w:tcW w:w="742" w:type="pct"/>
            <w:noWrap/>
            <w:vAlign w:val="center"/>
          </w:tcPr>
          <w:p w14:paraId="326CF00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119.363946</w:t>
            </w:r>
          </w:p>
        </w:tc>
        <w:tc>
          <w:tcPr>
            <w:tcW w:w="742" w:type="pct"/>
            <w:noWrap/>
            <w:vAlign w:val="center"/>
          </w:tcPr>
          <w:p w14:paraId="3A35F4E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31.731656</w:t>
            </w:r>
          </w:p>
        </w:tc>
        <w:tc>
          <w:tcPr>
            <w:tcW w:w="465" w:type="pct"/>
            <w:noWrap/>
            <w:vAlign w:val="center"/>
          </w:tcPr>
          <w:p w14:paraId="118EDFF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F18EE2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40EA19EC">
            <w:pPr>
              <w:widowControl/>
              <w:spacing w:line="240" w:lineRule="auto"/>
              <w:ind w:firstLine="0" w:firstLineChars="0"/>
              <w:jc w:val="center"/>
              <w:rPr>
                <w:rFonts w:cs="Times New Roman"/>
                <w:color w:val="000000"/>
                <w:sz w:val="21"/>
                <w:szCs w:val="21"/>
              </w:rPr>
            </w:pPr>
          </w:p>
        </w:tc>
        <w:tc>
          <w:tcPr>
            <w:tcW w:w="597" w:type="pct"/>
            <w:noWrap/>
            <w:vAlign w:val="center"/>
          </w:tcPr>
          <w:p w14:paraId="55152AB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785A0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E5C546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6BF69B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蒋家</w:t>
            </w:r>
          </w:p>
        </w:tc>
        <w:tc>
          <w:tcPr>
            <w:tcW w:w="742" w:type="pct"/>
            <w:noWrap/>
            <w:vAlign w:val="center"/>
          </w:tcPr>
          <w:p w14:paraId="2140FBF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119.364319</w:t>
            </w:r>
          </w:p>
        </w:tc>
        <w:tc>
          <w:tcPr>
            <w:tcW w:w="742" w:type="pct"/>
            <w:noWrap/>
            <w:vAlign w:val="center"/>
          </w:tcPr>
          <w:p w14:paraId="54AE856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31.741022</w:t>
            </w:r>
          </w:p>
        </w:tc>
        <w:tc>
          <w:tcPr>
            <w:tcW w:w="465" w:type="pct"/>
            <w:noWrap/>
            <w:vAlign w:val="center"/>
          </w:tcPr>
          <w:p w14:paraId="3D70F30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431698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BED6D7C">
            <w:pPr>
              <w:widowControl/>
              <w:spacing w:line="240" w:lineRule="auto"/>
              <w:ind w:firstLine="0" w:firstLineChars="0"/>
              <w:jc w:val="center"/>
              <w:rPr>
                <w:rFonts w:cs="Times New Roman"/>
                <w:color w:val="000000"/>
                <w:sz w:val="21"/>
                <w:szCs w:val="21"/>
              </w:rPr>
            </w:pPr>
          </w:p>
        </w:tc>
        <w:tc>
          <w:tcPr>
            <w:tcW w:w="597" w:type="pct"/>
            <w:noWrap/>
            <w:vAlign w:val="center"/>
          </w:tcPr>
          <w:p w14:paraId="26B658C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21C97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E43DA7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7D7E4B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窑塘凹</w:t>
            </w:r>
          </w:p>
        </w:tc>
        <w:tc>
          <w:tcPr>
            <w:tcW w:w="742" w:type="pct"/>
            <w:noWrap/>
            <w:vAlign w:val="center"/>
          </w:tcPr>
          <w:p w14:paraId="10001E8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119.362004</w:t>
            </w:r>
          </w:p>
        </w:tc>
        <w:tc>
          <w:tcPr>
            <w:tcW w:w="742" w:type="pct"/>
            <w:noWrap/>
            <w:vAlign w:val="center"/>
          </w:tcPr>
          <w:p w14:paraId="23B7127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31.748625</w:t>
            </w:r>
          </w:p>
        </w:tc>
        <w:tc>
          <w:tcPr>
            <w:tcW w:w="465" w:type="pct"/>
            <w:noWrap/>
            <w:vAlign w:val="center"/>
          </w:tcPr>
          <w:p w14:paraId="018B8C1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7897096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03D70175">
            <w:pPr>
              <w:widowControl/>
              <w:spacing w:line="240" w:lineRule="auto"/>
              <w:ind w:firstLine="0" w:firstLineChars="0"/>
              <w:jc w:val="center"/>
              <w:rPr>
                <w:rFonts w:cs="Times New Roman"/>
                <w:color w:val="000000"/>
                <w:sz w:val="21"/>
                <w:szCs w:val="21"/>
              </w:rPr>
            </w:pPr>
          </w:p>
        </w:tc>
        <w:tc>
          <w:tcPr>
            <w:tcW w:w="597" w:type="pct"/>
            <w:noWrap/>
            <w:vAlign w:val="center"/>
          </w:tcPr>
          <w:p w14:paraId="3F13B30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w:t>
            </w:r>
          </w:p>
        </w:tc>
      </w:tr>
      <w:tr w14:paraId="304C4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CA1968E">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B213B5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西头舍</w:t>
            </w:r>
          </w:p>
        </w:tc>
        <w:tc>
          <w:tcPr>
            <w:tcW w:w="742" w:type="pct"/>
            <w:noWrap/>
            <w:vAlign w:val="center"/>
          </w:tcPr>
          <w:p w14:paraId="3358538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119.361152</w:t>
            </w:r>
          </w:p>
        </w:tc>
        <w:tc>
          <w:tcPr>
            <w:tcW w:w="742" w:type="pct"/>
            <w:noWrap/>
            <w:vAlign w:val="center"/>
          </w:tcPr>
          <w:p w14:paraId="6576C41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31.744877</w:t>
            </w:r>
          </w:p>
        </w:tc>
        <w:tc>
          <w:tcPr>
            <w:tcW w:w="465" w:type="pct"/>
            <w:noWrap/>
            <w:vAlign w:val="center"/>
          </w:tcPr>
          <w:p w14:paraId="68CA0CD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26E07F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098235C">
            <w:pPr>
              <w:widowControl/>
              <w:spacing w:line="240" w:lineRule="auto"/>
              <w:ind w:firstLine="0" w:firstLineChars="0"/>
              <w:jc w:val="center"/>
              <w:rPr>
                <w:rFonts w:cs="Times New Roman"/>
                <w:color w:val="000000"/>
                <w:sz w:val="21"/>
                <w:szCs w:val="21"/>
              </w:rPr>
            </w:pPr>
          </w:p>
        </w:tc>
        <w:tc>
          <w:tcPr>
            <w:tcW w:w="597" w:type="pct"/>
            <w:noWrap/>
            <w:vAlign w:val="center"/>
          </w:tcPr>
          <w:p w14:paraId="7DA4BE8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084B7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098822E">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28F9AA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青龙嘴</w:t>
            </w:r>
          </w:p>
        </w:tc>
        <w:tc>
          <w:tcPr>
            <w:tcW w:w="742" w:type="pct"/>
            <w:noWrap/>
            <w:vAlign w:val="center"/>
          </w:tcPr>
          <w:p w14:paraId="0D77DB8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119.359535</w:t>
            </w:r>
          </w:p>
        </w:tc>
        <w:tc>
          <w:tcPr>
            <w:tcW w:w="742" w:type="pct"/>
            <w:noWrap/>
            <w:vAlign w:val="center"/>
          </w:tcPr>
          <w:p w14:paraId="46ED050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31.747556</w:t>
            </w:r>
          </w:p>
        </w:tc>
        <w:tc>
          <w:tcPr>
            <w:tcW w:w="465" w:type="pct"/>
            <w:noWrap/>
            <w:vAlign w:val="center"/>
          </w:tcPr>
          <w:p w14:paraId="2F34499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E138F1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42D9115">
            <w:pPr>
              <w:widowControl/>
              <w:spacing w:line="240" w:lineRule="auto"/>
              <w:ind w:firstLine="0" w:firstLineChars="0"/>
              <w:jc w:val="center"/>
              <w:rPr>
                <w:rFonts w:cs="Times New Roman"/>
                <w:color w:val="000000"/>
                <w:sz w:val="21"/>
                <w:szCs w:val="21"/>
              </w:rPr>
            </w:pPr>
          </w:p>
        </w:tc>
        <w:tc>
          <w:tcPr>
            <w:tcW w:w="597" w:type="pct"/>
            <w:noWrap/>
            <w:vAlign w:val="center"/>
          </w:tcPr>
          <w:p w14:paraId="720933E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69314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9064EB4">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A8CF35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浦塘</w:t>
            </w:r>
          </w:p>
        </w:tc>
        <w:tc>
          <w:tcPr>
            <w:tcW w:w="742" w:type="pct"/>
            <w:noWrap/>
            <w:vAlign w:val="center"/>
          </w:tcPr>
          <w:p w14:paraId="34918F3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119.367508</w:t>
            </w:r>
          </w:p>
        </w:tc>
        <w:tc>
          <w:tcPr>
            <w:tcW w:w="742" w:type="pct"/>
            <w:noWrap/>
            <w:vAlign w:val="center"/>
          </w:tcPr>
          <w:p w14:paraId="272BECE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31.756725</w:t>
            </w:r>
          </w:p>
        </w:tc>
        <w:tc>
          <w:tcPr>
            <w:tcW w:w="465" w:type="pct"/>
            <w:noWrap/>
            <w:vAlign w:val="center"/>
          </w:tcPr>
          <w:p w14:paraId="2F8C57E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434C6B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43D333B">
            <w:pPr>
              <w:widowControl/>
              <w:spacing w:line="240" w:lineRule="auto"/>
              <w:ind w:firstLine="0" w:firstLineChars="0"/>
              <w:jc w:val="center"/>
              <w:rPr>
                <w:rFonts w:cs="Times New Roman"/>
                <w:color w:val="000000"/>
                <w:sz w:val="21"/>
                <w:szCs w:val="21"/>
              </w:rPr>
            </w:pPr>
          </w:p>
        </w:tc>
        <w:tc>
          <w:tcPr>
            <w:tcW w:w="597" w:type="pct"/>
            <w:noWrap/>
            <w:vAlign w:val="center"/>
          </w:tcPr>
          <w:p w14:paraId="343ED90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0B817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71E748C1">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26296F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茅山森林世界</w:t>
            </w:r>
          </w:p>
        </w:tc>
        <w:tc>
          <w:tcPr>
            <w:tcW w:w="742" w:type="pct"/>
            <w:noWrap/>
            <w:vAlign w:val="center"/>
          </w:tcPr>
          <w:p w14:paraId="15F7EC3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119.319826</w:t>
            </w:r>
          </w:p>
        </w:tc>
        <w:tc>
          <w:tcPr>
            <w:tcW w:w="742" w:type="pct"/>
            <w:noWrap/>
            <w:vAlign w:val="center"/>
          </w:tcPr>
          <w:p w14:paraId="227D4EE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31.812764</w:t>
            </w:r>
          </w:p>
        </w:tc>
        <w:tc>
          <w:tcPr>
            <w:tcW w:w="465" w:type="pct"/>
            <w:noWrap/>
            <w:vAlign w:val="center"/>
          </w:tcPr>
          <w:p w14:paraId="5D0DEE2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游客</w:t>
            </w:r>
          </w:p>
        </w:tc>
        <w:tc>
          <w:tcPr>
            <w:tcW w:w="498" w:type="pct"/>
            <w:noWrap/>
            <w:vAlign w:val="center"/>
          </w:tcPr>
          <w:p w14:paraId="3A6016D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06AA05A0">
            <w:pPr>
              <w:widowControl/>
              <w:spacing w:line="240" w:lineRule="auto"/>
              <w:ind w:firstLine="0" w:firstLineChars="0"/>
              <w:jc w:val="center"/>
              <w:rPr>
                <w:rFonts w:cs="Times New Roman"/>
                <w:color w:val="000000"/>
                <w:sz w:val="21"/>
                <w:szCs w:val="21"/>
              </w:rPr>
            </w:pPr>
          </w:p>
        </w:tc>
        <w:tc>
          <w:tcPr>
            <w:tcW w:w="597" w:type="pct"/>
            <w:noWrap/>
            <w:vAlign w:val="center"/>
          </w:tcPr>
          <w:p w14:paraId="06BD7AE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r>
      <w:tr w14:paraId="515F7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C030DD1">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BF8BE0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上竹棵</w:t>
            </w:r>
          </w:p>
        </w:tc>
        <w:tc>
          <w:tcPr>
            <w:tcW w:w="742" w:type="pct"/>
            <w:noWrap/>
            <w:vAlign w:val="center"/>
          </w:tcPr>
          <w:p w14:paraId="64C9F55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119.335204</w:t>
            </w:r>
          </w:p>
        </w:tc>
        <w:tc>
          <w:tcPr>
            <w:tcW w:w="742" w:type="pct"/>
            <w:noWrap/>
            <w:vAlign w:val="center"/>
          </w:tcPr>
          <w:p w14:paraId="42A9D7E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31.707664</w:t>
            </w:r>
          </w:p>
        </w:tc>
        <w:tc>
          <w:tcPr>
            <w:tcW w:w="465" w:type="pct"/>
            <w:noWrap/>
            <w:vAlign w:val="center"/>
          </w:tcPr>
          <w:p w14:paraId="7DDF67B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B6745B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FD0D17A">
            <w:pPr>
              <w:widowControl/>
              <w:spacing w:line="240" w:lineRule="auto"/>
              <w:ind w:firstLine="0" w:firstLineChars="0"/>
              <w:jc w:val="center"/>
              <w:rPr>
                <w:rFonts w:cs="Times New Roman"/>
                <w:color w:val="000000"/>
                <w:sz w:val="21"/>
                <w:szCs w:val="21"/>
              </w:rPr>
            </w:pPr>
          </w:p>
        </w:tc>
        <w:tc>
          <w:tcPr>
            <w:tcW w:w="597" w:type="pct"/>
            <w:noWrap/>
            <w:vAlign w:val="center"/>
          </w:tcPr>
          <w:p w14:paraId="4742F5B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约150</w:t>
            </w:r>
          </w:p>
        </w:tc>
      </w:tr>
      <w:tr w14:paraId="0AAEA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59B143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69659F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陶家凹</w:t>
            </w:r>
          </w:p>
        </w:tc>
        <w:tc>
          <w:tcPr>
            <w:tcW w:w="742" w:type="pct"/>
            <w:noWrap/>
            <w:vAlign w:val="center"/>
          </w:tcPr>
          <w:p w14:paraId="330CBCD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119.331317</w:t>
            </w:r>
          </w:p>
        </w:tc>
        <w:tc>
          <w:tcPr>
            <w:tcW w:w="742" w:type="pct"/>
            <w:noWrap/>
            <w:vAlign w:val="center"/>
          </w:tcPr>
          <w:p w14:paraId="2D05243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31.695443</w:t>
            </w:r>
          </w:p>
        </w:tc>
        <w:tc>
          <w:tcPr>
            <w:tcW w:w="465" w:type="pct"/>
            <w:noWrap/>
            <w:vAlign w:val="center"/>
          </w:tcPr>
          <w:p w14:paraId="133D1BD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F0DF13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047DF6FA">
            <w:pPr>
              <w:widowControl/>
              <w:spacing w:line="240" w:lineRule="auto"/>
              <w:ind w:firstLine="0" w:firstLineChars="0"/>
              <w:jc w:val="center"/>
              <w:rPr>
                <w:rFonts w:cs="Times New Roman"/>
                <w:color w:val="000000"/>
                <w:sz w:val="21"/>
                <w:szCs w:val="21"/>
              </w:rPr>
            </w:pPr>
          </w:p>
        </w:tc>
        <w:tc>
          <w:tcPr>
            <w:tcW w:w="597" w:type="pct"/>
            <w:noWrap/>
            <w:vAlign w:val="center"/>
          </w:tcPr>
          <w:p w14:paraId="08566F9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03405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E94037E">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4CBE0F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段家湾</w:t>
            </w:r>
          </w:p>
        </w:tc>
        <w:tc>
          <w:tcPr>
            <w:tcW w:w="742" w:type="pct"/>
            <w:noWrap/>
            <w:vAlign w:val="center"/>
          </w:tcPr>
          <w:p w14:paraId="7E69B2D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119.340406</w:t>
            </w:r>
          </w:p>
        </w:tc>
        <w:tc>
          <w:tcPr>
            <w:tcW w:w="742" w:type="pct"/>
            <w:noWrap/>
            <w:vAlign w:val="center"/>
          </w:tcPr>
          <w:p w14:paraId="180CE67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31.691063</w:t>
            </w:r>
          </w:p>
        </w:tc>
        <w:tc>
          <w:tcPr>
            <w:tcW w:w="465" w:type="pct"/>
            <w:noWrap/>
            <w:vAlign w:val="center"/>
          </w:tcPr>
          <w:p w14:paraId="576DDF8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586D9E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742377AB">
            <w:pPr>
              <w:widowControl/>
              <w:spacing w:line="240" w:lineRule="auto"/>
              <w:ind w:firstLine="0" w:firstLineChars="0"/>
              <w:jc w:val="center"/>
              <w:rPr>
                <w:rFonts w:cs="Times New Roman"/>
                <w:color w:val="000000"/>
                <w:sz w:val="21"/>
                <w:szCs w:val="21"/>
              </w:rPr>
            </w:pPr>
          </w:p>
        </w:tc>
        <w:tc>
          <w:tcPr>
            <w:tcW w:w="597" w:type="pct"/>
            <w:noWrap/>
            <w:vAlign w:val="center"/>
          </w:tcPr>
          <w:p w14:paraId="2062282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02E7B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7F63B9F2">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67F619E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八里庙</w:t>
            </w:r>
          </w:p>
        </w:tc>
        <w:tc>
          <w:tcPr>
            <w:tcW w:w="742" w:type="pct"/>
            <w:noWrap/>
            <w:vAlign w:val="center"/>
          </w:tcPr>
          <w:p w14:paraId="67A980A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119.346876</w:t>
            </w:r>
          </w:p>
        </w:tc>
        <w:tc>
          <w:tcPr>
            <w:tcW w:w="742" w:type="pct"/>
            <w:noWrap/>
            <w:vAlign w:val="center"/>
          </w:tcPr>
          <w:p w14:paraId="07D5F43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31.689245</w:t>
            </w:r>
          </w:p>
        </w:tc>
        <w:tc>
          <w:tcPr>
            <w:tcW w:w="465" w:type="pct"/>
            <w:noWrap/>
            <w:vAlign w:val="center"/>
          </w:tcPr>
          <w:p w14:paraId="0A18941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D949BE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BFEAB6D">
            <w:pPr>
              <w:widowControl/>
              <w:spacing w:line="240" w:lineRule="auto"/>
              <w:ind w:firstLine="0" w:firstLineChars="0"/>
              <w:jc w:val="center"/>
              <w:rPr>
                <w:rFonts w:cs="Times New Roman"/>
                <w:color w:val="000000"/>
                <w:sz w:val="21"/>
                <w:szCs w:val="21"/>
              </w:rPr>
            </w:pPr>
          </w:p>
        </w:tc>
        <w:tc>
          <w:tcPr>
            <w:tcW w:w="597" w:type="pct"/>
            <w:noWrap/>
            <w:vAlign w:val="center"/>
          </w:tcPr>
          <w:p w14:paraId="51DEE8C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0250A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5571C77">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BEA204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唐家棚</w:t>
            </w:r>
          </w:p>
        </w:tc>
        <w:tc>
          <w:tcPr>
            <w:tcW w:w="742" w:type="pct"/>
            <w:noWrap/>
            <w:vAlign w:val="center"/>
          </w:tcPr>
          <w:p w14:paraId="4234616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119.352102</w:t>
            </w:r>
          </w:p>
        </w:tc>
        <w:tc>
          <w:tcPr>
            <w:tcW w:w="742" w:type="pct"/>
            <w:noWrap/>
            <w:vAlign w:val="center"/>
          </w:tcPr>
          <w:p w14:paraId="56EC9C0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31.68952</w:t>
            </w:r>
          </w:p>
        </w:tc>
        <w:tc>
          <w:tcPr>
            <w:tcW w:w="465" w:type="pct"/>
            <w:noWrap/>
            <w:vAlign w:val="center"/>
          </w:tcPr>
          <w:p w14:paraId="4258E1C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FEE477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069F3517">
            <w:pPr>
              <w:widowControl/>
              <w:spacing w:line="240" w:lineRule="auto"/>
              <w:ind w:firstLine="0" w:firstLineChars="0"/>
              <w:jc w:val="center"/>
              <w:rPr>
                <w:rFonts w:cs="Times New Roman"/>
                <w:color w:val="000000"/>
                <w:sz w:val="21"/>
                <w:szCs w:val="21"/>
              </w:rPr>
            </w:pPr>
          </w:p>
        </w:tc>
        <w:tc>
          <w:tcPr>
            <w:tcW w:w="597" w:type="pct"/>
            <w:noWrap/>
            <w:vAlign w:val="center"/>
          </w:tcPr>
          <w:p w14:paraId="7875D51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45C41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6617FE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8DEAC1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新村</w:t>
            </w:r>
          </w:p>
        </w:tc>
        <w:tc>
          <w:tcPr>
            <w:tcW w:w="742" w:type="pct"/>
            <w:noWrap/>
            <w:vAlign w:val="center"/>
          </w:tcPr>
          <w:p w14:paraId="07374B0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119.356796</w:t>
            </w:r>
          </w:p>
        </w:tc>
        <w:tc>
          <w:tcPr>
            <w:tcW w:w="742" w:type="pct"/>
            <w:noWrap/>
            <w:vAlign w:val="center"/>
          </w:tcPr>
          <w:p w14:paraId="3C7CA06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31.692062</w:t>
            </w:r>
          </w:p>
        </w:tc>
        <w:tc>
          <w:tcPr>
            <w:tcW w:w="465" w:type="pct"/>
            <w:noWrap/>
            <w:vAlign w:val="center"/>
          </w:tcPr>
          <w:p w14:paraId="0A897F4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EA3D35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457F202F">
            <w:pPr>
              <w:widowControl/>
              <w:spacing w:line="240" w:lineRule="auto"/>
              <w:ind w:firstLine="0" w:firstLineChars="0"/>
              <w:jc w:val="center"/>
              <w:rPr>
                <w:rFonts w:cs="Times New Roman"/>
                <w:color w:val="000000"/>
                <w:sz w:val="21"/>
                <w:szCs w:val="21"/>
              </w:rPr>
            </w:pPr>
          </w:p>
        </w:tc>
        <w:tc>
          <w:tcPr>
            <w:tcW w:w="597" w:type="pct"/>
            <w:noWrap/>
            <w:vAlign w:val="center"/>
          </w:tcPr>
          <w:p w14:paraId="757B3D4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约120</w:t>
            </w:r>
          </w:p>
        </w:tc>
      </w:tr>
      <w:tr w14:paraId="5E546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4E363F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F65FD9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太平庄</w:t>
            </w:r>
          </w:p>
        </w:tc>
        <w:tc>
          <w:tcPr>
            <w:tcW w:w="742" w:type="pct"/>
            <w:noWrap/>
            <w:vAlign w:val="center"/>
          </w:tcPr>
          <w:p w14:paraId="07FFF42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119.357726</w:t>
            </w:r>
          </w:p>
        </w:tc>
        <w:tc>
          <w:tcPr>
            <w:tcW w:w="742" w:type="pct"/>
            <w:noWrap/>
            <w:vAlign w:val="center"/>
          </w:tcPr>
          <w:p w14:paraId="595B8A1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31.689692</w:t>
            </w:r>
          </w:p>
        </w:tc>
        <w:tc>
          <w:tcPr>
            <w:tcW w:w="465" w:type="pct"/>
            <w:noWrap/>
            <w:vAlign w:val="center"/>
          </w:tcPr>
          <w:p w14:paraId="0EC1DCB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DC5E10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A040F49">
            <w:pPr>
              <w:widowControl/>
              <w:spacing w:line="240" w:lineRule="auto"/>
              <w:ind w:firstLine="0" w:firstLineChars="0"/>
              <w:jc w:val="center"/>
              <w:rPr>
                <w:rFonts w:cs="Times New Roman"/>
                <w:color w:val="000000"/>
                <w:sz w:val="21"/>
                <w:szCs w:val="21"/>
              </w:rPr>
            </w:pPr>
          </w:p>
        </w:tc>
        <w:tc>
          <w:tcPr>
            <w:tcW w:w="597" w:type="pct"/>
            <w:noWrap/>
            <w:vAlign w:val="center"/>
          </w:tcPr>
          <w:p w14:paraId="7BABD33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w:t>
            </w:r>
          </w:p>
        </w:tc>
      </w:tr>
      <w:tr w14:paraId="461F6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B63057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889E85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老鸦墩</w:t>
            </w:r>
          </w:p>
        </w:tc>
        <w:tc>
          <w:tcPr>
            <w:tcW w:w="742" w:type="pct"/>
            <w:noWrap/>
            <w:vAlign w:val="center"/>
          </w:tcPr>
          <w:p w14:paraId="313D9A1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119.361458</w:t>
            </w:r>
          </w:p>
        </w:tc>
        <w:tc>
          <w:tcPr>
            <w:tcW w:w="742" w:type="pct"/>
            <w:noWrap/>
            <w:vAlign w:val="center"/>
          </w:tcPr>
          <w:p w14:paraId="6EB45C6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31.693378</w:t>
            </w:r>
          </w:p>
        </w:tc>
        <w:tc>
          <w:tcPr>
            <w:tcW w:w="465" w:type="pct"/>
            <w:noWrap/>
            <w:vAlign w:val="center"/>
          </w:tcPr>
          <w:p w14:paraId="2BE91DE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829228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7DD1ABA1">
            <w:pPr>
              <w:widowControl/>
              <w:spacing w:line="240" w:lineRule="auto"/>
              <w:ind w:firstLine="0" w:firstLineChars="0"/>
              <w:jc w:val="center"/>
              <w:rPr>
                <w:rFonts w:cs="Times New Roman"/>
                <w:color w:val="000000"/>
                <w:sz w:val="21"/>
                <w:szCs w:val="21"/>
              </w:rPr>
            </w:pPr>
          </w:p>
        </w:tc>
        <w:tc>
          <w:tcPr>
            <w:tcW w:w="597" w:type="pct"/>
            <w:noWrap/>
            <w:vAlign w:val="center"/>
          </w:tcPr>
          <w:p w14:paraId="1CEE954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w:t>
            </w:r>
          </w:p>
        </w:tc>
      </w:tr>
      <w:tr w14:paraId="4C4DB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592BE2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B6A0E5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宝塘</w:t>
            </w:r>
          </w:p>
        </w:tc>
        <w:tc>
          <w:tcPr>
            <w:tcW w:w="742" w:type="pct"/>
            <w:noWrap/>
            <w:vAlign w:val="center"/>
          </w:tcPr>
          <w:p w14:paraId="1776EC3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119.36264</w:t>
            </w:r>
          </w:p>
        </w:tc>
        <w:tc>
          <w:tcPr>
            <w:tcW w:w="742" w:type="pct"/>
            <w:noWrap/>
            <w:vAlign w:val="center"/>
          </w:tcPr>
          <w:p w14:paraId="13DB37E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31.697403</w:t>
            </w:r>
          </w:p>
        </w:tc>
        <w:tc>
          <w:tcPr>
            <w:tcW w:w="465" w:type="pct"/>
            <w:noWrap/>
            <w:vAlign w:val="center"/>
          </w:tcPr>
          <w:p w14:paraId="3D9BB87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1CAD93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FEB0204">
            <w:pPr>
              <w:widowControl/>
              <w:spacing w:line="240" w:lineRule="auto"/>
              <w:ind w:firstLine="0" w:firstLineChars="0"/>
              <w:jc w:val="center"/>
              <w:rPr>
                <w:rFonts w:cs="Times New Roman"/>
                <w:color w:val="000000"/>
                <w:sz w:val="21"/>
                <w:szCs w:val="21"/>
              </w:rPr>
            </w:pPr>
          </w:p>
        </w:tc>
        <w:tc>
          <w:tcPr>
            <w:tcW w:w="597" w:type="pct"/>
            <w:noWrap/>
            <w:vAlign w:val="center"/>
          </w:tcPr>
          <w:p w14:paraId="4D3C189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0759D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905DF02">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FB07AE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方麓村</w:t>
            </w:r>
          </w:p>
        </w:tc>
        <w:tc>
          <w:tcPr>
            <w:tcW w:w="742" w:type="pct"/>
            <w:noWrap/>
            <w:vAlign w:val="center"/>
          </w:tcPr>
          <w:p w14:paraId="15FC28E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119.369417</w:t>
            </w:r>
          </w:p>
        </w:tc>
        <w:tc>
          <w:tcPr>
            <w:tcW w:w="742" w:type="pct"/>
            <w:noWrap/>
            <w:vAlign w:val="center"/>
          </w:tcPr>
          <w:p w14:paraId="59F31EF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31.699225</w:t>
            </w:r>
          </w:p>
        </w:tc>
        <w:tc>
          <w:tcPr>
            <w:tcW w:w="465" w:type="pct"/>
            <w:noWrap/>
            <w:vAlign w:val="center"/>
          </w:tcPr>
          <w:p w14:paraId="31F3881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D3019D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7F939BBE">
            <w:pPr>
              <w:widowControl/>
              <w:spacing w:line="240" w:lineRule="auto"/>
              <w:ind w:firstLine="0" w:firstLineChars="0"/>
              <w:jc w:val="center"/>
              <w:rPr>
                <w:rFonts w:cs="Times New Roman"/>
                <w:color w:val="000000"/>
                <w:sz w:val="21"/>
                <w:szCs w:val="21"/>
              </w:rPr>
            </w:pPr>
          </w:p>
        </w:tc>
        <w:tc>
          <w:tcPr>
            <w:tcW w:w="597" w:type="pct"/>
            <w:noWrap/>
            <w:vAlign w:val="center"/>
          </w:tcPr>
          <w:p w14:paraId="4BC9ADD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5E5EA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7E7EC6E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0A0AA1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于笪里</w:t>
            </w:r>
          </w:p>
        </w:tc>
        <w:tc>
          <w:tcPr>
            <w:tcW w:w="742" w:type="pct"/>
            <w:noWrap/>
            <w:vAlign w:val="center"/>
          </w:tcPr>
          <w:p w14:paraId="4E0D752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119.402369</w:t>
            </w:r>
          </w:p>
        </w:tc>
        <w:tc>
          <w:tcPr>
            <w:tcW w:w="742" w:type="pct"/>
            <w:noWrap/>
            <w:vAlign w:val="center"/>
          </w:tcPr>
          <w:p w14:paraId="0EF89BA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31.627344</w:t>
            </w:r>
          </w:p>
        </w:tc>
        <w:tc>
          <w:tcPr>
            <w:tcW w:w="465" w:type="pct"/>
            <w:noWrap/>
            <w:vAlign w:val="center"/>
          </w:tcPr>
          <w:p w14:paraId="027C156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46A6ED1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6716BD6">
            <w:pPr>
              <w:widowControl/>
              <w:spacing w:line="240" w:lineRule="auto"/>
              <w:ind w:firstLine="0" w:firstLineChars="0"/>
              <w:jc w:val="center"/>
              <w:rPr>
                <w:rFonts w:cs="Times New Roman"/>
                <w:color w:val="000000"/>
                <w:sz w:val="21"/>
                <w:szCs w:val="21"/>
              </w:rPr>
            </w:pPr>
          </w:p>
        </w:tc>
        <w:tc>
          <w:tcPr>
            <w:tcW w:w="597" w:type="pct"/>
            <w:noWrap/>
            <w:vAlign w:val="center"/>
          </w:tcPr>
          <w:p w14:paraId="2F540EF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6471F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8A8534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7F9B5E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青龙洞</w:t>
            </w:r>
          </w:p>
        </w:tc>
        <w:tc>
          <w:tcPr>
            <w:tcW w:w="742" w:type="pct"/>
            <w:noWrap/>
            <w:vAlign w:val="center"/>
          </w:tcPr>
          <w:p w14:paraId="115B680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119.336595</w:t>
            </w:r>
          </w:p>
        </w:tc>
        <w:tc>
          <w:tcPr>
            <w:tcW w:w="742" w:type="pct"/>
            <w:noWrap/>
            <w:vAlign w:val="center"/>
          </w:tcPr>
          <w:p w14:paraId="7D84D87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31.662477</w:t>
            </w:r>
          </w:p>
        </w:tc>
        <w:tc>
          <w:tcPr>
            <w:tcW w:w="465" w:type="pct"/>
            <w:noWrap/>
            <w:vAlign w:val="center"/>
          </w:tcPr>
          <w:p w14:paraId="0817107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7DDC56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D4B9969">
            <w:pPr>
              <w:widowControl/>
              <w:spacing w:line="240" w:lineRule="auto"/>
              <w:ind w:firstLine="0" w:firstLineChars="0"/>
              <w:jc w:val="center"/>
              <w:rPr>
                <w:rFonts w:cs="Times New Roman"/>
                <w:color w:val="000000"/>
                <w:sz w:val="21"/>
                <w:szCs w:val="21"/>
              </w:rPr>
            </w:pPr>
          </w:p>
        </w:tc>
        <w:tc>
          <w:tcPr>
            <w:tcW w:w="597" w:type="pct"/>
            <w:noWrap/>
            <w:vAlign w:val="center"/>
          </w:tcPr>
          <w:p w14:paraId="5EFE910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1C057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771A0B9">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E3992F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头棚</w:t>
            </w:r>
          </w:p>
        </w:tc>
        <w:tc>
          <w:tcPr>
            <w:tcW w:w="742" w:type="pct"/>
            <w:noWrap/>
            <w:vAlign w:val="center"/>
          </w:tcPr>
          <w:p w14:paraId="0226A18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119.342644</w:t>
            </w:r>
          </w:p>
        </w:tc>
        <w:tc>
          <w:tcPr>
            <w:tcW w:w="742" w:type="pct"/>
            <w:noWrap/>
            <w:vAlign w:val="center"/>
          </w:tcPr>
          <w:p w14:paraId="328CB3A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31.662553</w:t>
            </w:r>
          </w:p>
        </w:tc>
        <w:tc>
          <w:tcPr>
            <w:tcW w:w="465" w:type="pct"/>
            <w:noWrap/>
            <w:vAlign w:val="center"/>
          </w:tcPr>
          <w:p w14:paraId="35A5C33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49DE976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F551802">
            <w:pPr>
              <w:widowControl/>
              <w:spacing w:line="240" w:lineRule="auto"/>
              <w:ind w:firstLine="0" w:firstLineChars="0"/>
              <w:jc w:val="center"/>
              <w:rPr>
                <w:rFonts w:cs="Times New Roman"/>
                <w:color w:val="000000"/>
                <w:sz w:val="21"/>
                <w:szCs w:val="21"/>
              </w:rPr>
            </w:pPr>
          </w:p>
        </w:tc>
        <w:tc>
          <w:tcPr>
            <w:tcW w:w="597" w:type="pct"/>
            <w:noWrap/>
            <w:vAlign w:val="center"/>
          </w:tcPr>
          <w:p w14:paraId="43BCD07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w:t>
            </w:r>
          </w:p>
        </w:tc>
      </w:tr>
      <w:tr w14:paraId="4EC19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F3C3AD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34B54C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李家山</w:t>
            </w:r>
          </w:p>
        </w:tc>
        <w:tc>
          <w:tcPr>
            <w:tcW w:w="742" w:type="pct"/>
            <w:noWrap/>
            <w:vAlign w:val="center"/>
          </w:tcPr>
          <w:p w14:paraId="6C930D2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119.347037</w:t>
            </w:r>
          </w:p>
        </w:tc>
        <w:tc>
          <w:tcPr>
            <w:tcW w:w="742" w:type="pct"/>
            <w:noWrap/>
            <w:vAlign w:val="center"/>
          </w:tcPr>
          <w:p w14:paraId="73EBBF8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31.657982</w:t>
            </w:r>
          </w:p>
        </w:tc>
        <w:tc>
          <w:tcPr>
            <w:tcW w:w="465" w:type="pct"/>
            <w:noWrap/>
            <w:vAlign w:val="center"/>
          </w:tcPr>
          <w:p w14:paraId="2844D18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75E7051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057D9EB7">
            <w:pPr>
              <w:widowControl/>
              <w:spacing w:line="240" w:lineRule="auto"/>
              <w:ind w:firstLine="0" w:firstLineChars="0"/>
              <w:jc w:val="center"/>
              <w:rPr>
                <w:rFonts w:cs="Times New Roman"/>
                <w:color w:val="000000"/>
                <w:sz w:val="21"/>
                <w:szCs w:val="21"/>
              </w:rPr>
            </w:pPr>
          </w:p>
        </w:tc>
        <w:tc>
          <w:tcPr>
            <w:tcW w:w="597" w:type="pct"/>
            <w:noWrap/>
            <w:vAlign w:val="center"/>
          </w:tcPr>
          <w:p w14:paraId="4F2A0A2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约70</w:t>
            </w:r>
          </w:p>
        </w:tc>
      </w:tr>
      <w:tr w14:paraId="04F67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73643E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4D101C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涧西沟</w:t>
            </w:r>
          </w:p>
        </w:tc>
        <w:tc>
          <w:tcPr>
            <w:tcW w:w="742" w:type="pct"/>
            <w:noWrap/>
            <w:vAlign w:val="center"/>
          </w:tcPr>
          <w:p w14:paraId="7CF051F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119.343961</w:t>
            </w:r>
          </w:p>
        </w:tc>
        <w:tc>
          <w:tcPr>
            <w:tcW w:w="742" w:type="pct"/>
            <w:noWrap/>
            <w:vAlign w:val="center"/>
          </w:tcPr>
          <w:p w14:paraId="7E7C987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31.645767</w:t>
            </w:r>
          </w:p>
        </w:tc>
        <w:tc>
          <w:tcPr>
            <w:tcW w:w="465" w:type="pct"/>
            <w:noWrap/>
            <w:vAlign w:val="center"/>
          </w:tcPr>
          <w:p w14:paraId="47D1791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7113E0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77D9AB17">
            <w:pPr>
              <w:widowControl/>
              <w:spacing w:line="240" w:lineRule="auto"/>
              <w:ind w:firstLine="0" w:firstLineChars="0"/>
              <w:jc w:val="center"/>
              <w:rPr>
                <w:rFonts w:cs="Times New Roman"/>
                <w:color w:val="000000"/>
                <w:sz w:val="21"/>
                <w:szCs w:val="21"/>
              </w:rPr>
            </w:pPr>
          </w:p>
        </w:tc>
        <w:tc>
          <w:tcPr>
            <w:tcW w:w="597" w:type="pct"/>
            <w:noWrap/>
            <w:vAlign w:val="center"/>
          </w:tcPr>
          <w:p w14:paraId="7179477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05224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DF8CE9F">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93941D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上阮村</w:t>
            </w:r>
          </w:p>
        </w:tc>
        <w:tc>
          <w:tcPr>
            <w:tcW w:w="742" w:type="pct"/>
            <w:noWrap/>
            <w:vAlign w:val="center"/>
          </w:tcPr>
          <w:p w14:paraId="6E3E0A6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119.358264</w:t>
            </w:r>
          </w:p>
        </w:tc>
        <w:tc>
          <w:tcPr>
            <w:tcW w:w="742" w:type="pct"/>
            <w:noWrap/>
            <w:vAlign w:val="center"/>
          </w:tcPr>
          <w:p w14:paraId="49F929A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31.643006</w:t>
            </w:r>
          </w:p>
        </w:tc>
        <w:tc>
          <w:tcPr>
            <w:tcW w:w="465" w:type="pct"/>
            <w:noWrap/>
            <w:vAlign w:val="center"/>
          </w:tcPr>
          <w:p w14:paraId="047892E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872342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B78A955">
            <w:pPr>
              <w:widowControl/>
              <w:spacing w:line="240" w:lineRule="auto"/>
              <w:ind w:firstLine="0" w:firstLineChars="0"/>
              <w:jc w:val="center"/>
              <w:rPr>
                <w:rFonts w:cs="Times New Roman"/>
                <w:color w:val="000000"/>
                <w:sz w:val="21"/>
                <w:szCs w:val="21"/>
              </w:rPr>
            </w:pPr>
          </w:p>
        </w:tc>
        <w:tc>
          <w:tcPr>
            <w:tcW w:w="597" w:type="pct"/>
            <w:noWrap/>
            <w:vAlign w:val="center"/>
          </w:tcPr>
          <w:p w14:paraId="6F5C161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约200</w:t>
            </w:r>
          </w:p>
        </w:tc>
      </w:tr>
      <w:tr w14:paraId="773F3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79B2CD3">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5EF524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涧口</w:t>
            </w:r>
          </w:p>
        </w:tc>
        <w:tc>
          <w:tcPr>
            <w:tcW w:w="742" w:type="pct"/>
            <w:noWrap/>
            <w:vAlign w:val="center"/>
          </w:tcPr>
          <w:p w14:paraId="0523412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119.366408</w:t>
            </w:r>
          </w:p>
        </w:tc>
        <w:tc>
          <w:tcPr>
            <w:tcW w:w="742" w:type="pct"/>
            <w:noWrap/>
            <w:vAlign w:val="center"/>
          </w:tcPr>
          <w:p w14:paraId="3C742FA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31.633015</w:t>
            </w:r>
          </w:p>
        </w:tc>
        <w:tc>
          <w:tcPr>
            <w:tcW w:w="465" w:type="pct"/>
            <w:noWrap/>
            <w:vAlign w:val="center"/>
          </w:tcPr>
          <w:p w14:paraId="6B25659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1B39F1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CA1CF79">
            <w:pPr>
              <w:widowControl/>
              <w:spacing w:line="240" w:lineRule="auto"/>
              <w:ind w:firstLine="0" w:firstLineChars="0"/>
              <w:jc w:val="center"/>
              <w:rPr>
                <w:rFonts w:cs="Times New Roman"/>
                <w:color w:val="000000"/>
                <w:sz w:val="21"/>
                <w:szCs w:val="21"/>
              </w:rPr>
            </w:pPr>
          </w:p>
        </w:tc>
        <w:tc>
          <w:tcPr>
            <w:tcW w:w="597" w:type="pct"/>
            <w:noWrap/>
            <w:vAlign w:val="center"/>
          </w:tcPr>
          <w:p w14:paraId="662E9D0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5F6D8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EB9D77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EE153A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西格</w:t>
            </w:r>
          </w:p>
        </w:tc>
        <w:tc>
          <w:tcPr>
            <w:tcW w:w="742" w:type="pct"/>
            <w:noWrap/>
            <w:vAlign w:val="center"/>
          </w:tcPr>
          <w:p w14:paraId="4826B90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119.369616</w:t>
            </w:r>
          </w:p>
        </w:tc>
        <w:tc>
          <w:tcPr>
            <w:tcW w:w="742" w:type="pct"/>
            <w:noWrap/>
            <w:vAlign w:val="center"/>
          </w:tcPr>
          <w:p w14:paraId="0F77C99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31.645846</w:t>
            </w:r>
          </w:p>
        </w:tc>
        <w:tc>
          <w:tcPr>
            <w:tcW w:w="465" w:type="pct"/>
            <w:noWrap/>
            <w:vAlign w:val="center"/>
          </w:tcPr>
          <w:p w14:paraId="30FEA64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F34FC5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35428B0">
            <w:pPr>
              <w:widowControl/>
              <w:spacing w:line="240" w:lineRule="auto"/>
              <w:ind w:firstLine="0" w:firstLineChars="0"/>
              <w:jc w:val="center"/>
              <w:rPr>
                <w:rFonts w:cs="Times New Roman"/>
                <w:color w:val="000000"/>
                <w:sz w:val="21"/>
                <w:szCs w:val="21"/>
              </w:rPr>
            </w:pPr>
          </w:p>
        </w:tc>
        <w:tc>
          <w:tcPr>
            <w:tcW w:w="597" w:type="pct"/>
            <w:noWrap/>
            <w:vAlign w:val="center"/>
          </w:tcPr>
          <w:p w14:paraId="1880C76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46E7E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80B464B">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C5635C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东杨庄</w:t>
            </w:r>
          </w:p>
        </w:tc>
        <w:tc>
          <w:tcPr>
            <w:tcW w:w="742" w:type="pct"/>
            <w:noWrap/>
            <w:vAlign w:val="center"/>
          </w:tcPr>
          <w:p w14:paraId="1A09E88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119.371257</w:t>
            </w:r>
          </w:p>
        </w:tc>
        <w:tc>
          <w:tcPr>
            <w:tcW w:w="742" w:type="pct"/>
            <w:noWrap/>
            <w:vAlign w:val="center"/>
          </w:tcPr>
          <w:p w14:paraId="0605A2A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31.651366</w:t>
            </w:r>
          </w:p>
        </w:tc>
        <w:tc>
          <w:tcPr>
            <w:tcW w:w="465" w:type="pct"/>
            <w:noWrap/>
            <w:vAlign w:val="center"/>
          </w:tcPr>
          <w:p w14:paraId="70442E4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278589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60B870E">
            <w:pPr>
              <w:widowControl/>
              <w:spacing w:line="240" w:lineRule="auto"/>
              <w:ind w:firstLine="0" w:firstLineChars="0"/>
              <w:jc w:val="center"/>
              <w:rPr>
                <w:rFonts w:cs="Times New Roman"/>
                <w:color w:val="000000"/>
                <w:sz w:val="21"/>
                <w:szCs w:val="21"/>
              </w:rPr>
            </w:pPr>
          </w:p>
        </w:tc>
        <w:tc>
          <w:tcPr>
            <w:tcW w:w="597" w:type="pct"/>
            <w:noWrap/>
            <w:vAlign w:val="center"/>
          </w:tcPr>
          <w:p w14:paraId="7FC8D18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39C0E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836C0E6">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62E5A1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西阳庄</w:t>
            </w:r>
          </w:p>
        </w:tc>
        <w:tc>
          <w:tcPr>
            <w:tcW w:w="742" w:type="pct"/>
            <w:noWrap/>
            <w:vAlign w:val="center"/>
          </w:tcPr>
          <w:p w14:paraId="15B0A31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119.364004</w:t>
            </w:r>
          </w:p>
        </w:tc>
        <w:tc>
          <w:tcPr>
            <w:tcW w:w="742" w:type="pct"/>
            <w:noWrap/>
            <w:vAlign w:val="center"/>
          </w:tcPr>
          <w:p w14:paraId="6F10B47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31.653331</w:t>
            </w:r>
          </w:p>
        </w:tc>
        <w:tc>
          <w:tcPr>
            <w:tcW w:w="465" w:type="pct"/>
            <w:noWrap/>
            <w:vAlign w:val="center"/>
          </w:tcPr>
          <w:p w14:paraId="4998EA6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297420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7FB25F0">
            <w:pPr>
              <w:widowControl/>
              <w:spacing w:line="240" w:lineRule="auto"/>
              <w:ind w:firstLine="0" w:firstLineChars="0"/>
              <w:jc w:val="center"/>
              <w:rPr>
                <w:rFonts w:cs="Times New Roman"/>
                <w:color w:val="000000"/>
                <w:sz w:val="21"/>
                <w:szCs w:val="21"/>
              </w:rPr>
            </w:pPr>
          </w:p>
        </w:tc>
        <w:tc>
          <w:tcPr>
            <w:tcW w:w="597" w:type="pct"/>
            <w:noWrap/>
            <w:vAlign w:val="center"/>
          </w:tcPr>
          <w:p w14:paraId="7715A35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438FE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65C65E6">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5D7314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瓦沟</w:t>
            </w:r>
          </w:p>
        </w:tc>
        <w:tc>
          <w:tcPr>
            <w:tcW w:w="742" w:type="pct"/>
            <w:noWrap/>
            <w:vAlign w:val="center"/>
          </w:tcPr>
          <w:p w14:paraId="3242107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119.358486</w:t>
            </w:r>
          </w:p>
        </w:tc>
        <w:tc>
          <w:tcPr>
            <w:tcW w:w="742" w:type="pct"/>
            <w:noWrap/>
            <w:vAlign w:val="center"/>
          </w:tcPr>
          <w:p w14:paraId="5B03B24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31.659998</w:t>
            </w:r>
          </w:p>
        </w:tc>
        <w:tc>
          <w:tcPr>
            <w:tcW w:w="465" w:type="pct"/>
            <w:noWrap/>
            <w:vAlign w:val="center"/>
          </w:tcPr>
          <w:p w14:paraId="608B091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A495A4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7AA5576F">
            <w:pPr>
              <w:widowControl/>
              <w:spacing w:line="240" w:lineRule="auto"/>
              <w:ind w:firstLine="0" w:firstLineChars="0"/>
              <w:jc w:val="center"/>
              <w:rPr>
                <w:rFonts w:cs="Times New Roman"/>
                <w:color w:val="000000"/>
                <w:sz w:val="21"/>
                <w:szCs w:val="21"/>
              </w:rPr>
            </w:pPr>
          </w:p>
        </w:tc>
        <w:tc>
          <w:tcPr>
            <w:tcW w:w="597" w:type="pct"/>
            <w:noWrap/>
            <w:vAlign w:val="center"/>
          </w:tcPr>
          <w:p w14:paraId="01A8880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20E59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3934B2A">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EAFFE3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土瓦沟</w:t>
            </w:r>
          </w:p>
        </w:tc>
        <w:tc>
          <w:tcPr>
            <w:tcW w:w="742" w:type="pct"/>
            <w:noWrap/>
            <w:vAlign w:val="center"/>
          </w:tcPr>
          <w:p w14:paraId="2B64921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119.352115</w:t>
            </w:r>
          </w:p>
        </w:tc>
        <w:tc>
          <w:tcPr>
            <w:tcW w:w="742" w:type="pct"/>
            <w:noWrap/>
            <w:vAlign w:val="center"/>
          </w:tcPr>
          <w:p w14:paraId="09F6BF9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31.665181</w:t>
            </w:r>
          </w:p>
        </w:tc>
        <w:tc>
          <w:tcPr>
            <w:tcW w:w="465" w:type="pct"/>
            <w:noWrap/>
            <w:vAlign w:val="center"/>
          </w:tcPr>
          <w:p w14:paraId="3406D81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6A0D56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B9B9CFB">
            <w:pPr>
              <w:widowControl/>
              <w:spacing w:line="240" w:lineRule="auto"/>
              <w:ind w:firstLine="0" w:firstLineChars="0"/>
              <w:jc w:val="center"/>
              <w:rPr>
                <w:rFonts w:cs="Times New Roman"/>
                <w:color w:val="000000"/>
                <w:sz w:val="21"/>
                <w:szCs w:val="21"/>
              </w:rPr>
            </w:pPr>
          </w:p>
        </w:tc>
        <w:tc>
          <w:tcPr>
            <w:tcW w:w="597" w:type="pct"/>
            <w:noWrap/>
            <w:vAlign w:val="center"/>
          </w:tcPr>
          <w:p w14:paraId="2F919AD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2C0C3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192FB1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C70980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芝麻凹</w:t>
            </w:r>
          </w:p>
        </w:tc>
        <w:tc>
          <w:tcPr>
            <w:tcW w:w="742" w:type="pct"/>
            <w:noWrap/>
            <w:vAlign w:val="center"/>
          </w:tcPr>
          <w:p w14:paraId="3571AFC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119.357286</w:t>
            </w:r>
          </w:p>
        </w:tc>
        <w:tc>
          <w:tcPr>
            <w:tcW w:w="742" w:type="pct"/>
            <w:noWrap/>
            <w:vAlign w:val="center"/>
          </w:tcPr>
          <w:p w14:paraId="1305AB2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31.672229</w:t>
            </w:r>
          </w:p>
        </w:tc>
        <w:tc>
          <w:tcPr>
            <w:tcW w:w="465" w:type="pct"/>
            <w:noWrap/>
            <w:vAlign w:val="center"/>
          </w:tcPr>
          <w:p w14:paraId="23635A7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16FED8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7584C5DF">
            <w:pPr>
              <w:widowControl/>
              <w:spacing w:line="240" w:lineRule="auto"/>
              <w:ind w:firstLine="0" w:firstLineChars="0"/>
              <w:jc w:val="center"/>
              <w:rPr>
                <w:rFonts w:cs="Times New Roman"/>
                <w:color w:val="000000"/>
                <w:sz w:val="21"/>
                <w:szCs w:val="21"/>
              </w:rPr>
            </w:pPr>
          </w:p>
        </w:tc>
        <w:tc>
          <w:tcPr>
            <w:tcW w:w="597" w:type="pct"/>
            <w:noWrap/>
            <w:vAlign w:val="center"/>
          </w:tcPr>
          <w:p w14:paraId="3D5411F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56B7B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4DB5722">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D9AA85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大地馆</w:t>
            </w:r>
          </w:p>
        </w:tc>
        <w:tc>
          <w:tcPr>
            <w:tcW w:w="742" w:type="pct"/>
            <w:noWrap/>
            <w:vAlign w:val="center"/>
          </w:tcPr>
          <w:p w14:paraId="765B590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119.367596</w:t>
            </w:r>
          </w:p>
        </w:tc>
        <w:tc>
          <w:tcPr>
            <w:tcW w:w="742" w:type="pct"/>
            <w:noWrap/>
            <w:vAlign w:val="center"/>
          </w:tcPr>
          <w:p w14:paraId="055CBBA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31.665844</w:t>
            </w:r>
          </w:p>
        </w:tc>
        <w:tc>
          <w:tcPr>
            <w:tcW w:w="465" w:type="pct"/>
            <w:noWrap/>
            <w:vAlign w:val="center"/>
          </w:tcPr>
          <w:p w14:paraId="00AA2EE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583290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4839E4E3">
            <w:pPr>
              <w:widowControl/>
              <w:spacing w:line="240" w:lineRule="auto"/>
              <w:ind w:firstLine="0" w:firstLineChars="0"/>
              <w:jc w:val="center"/>
              <w:rPr>
                <w:rFonts w:cs="Times New Roman"/>
                <w:color w:val="000000"/>
                <w:sz w:val="21"/>
                <w:szCs w:val="21"/>
              </w:rPr>
            </w:pPr>
          </w:p>
        </w:tc>
        <w:tc>
          <w:tcPr>
            <w:tcW w:w="597" w:type="pct"/>
            <w:noWrap/>
            <w:vAlign w:val="center"/>
          </w:tcPr>
          <w:p w14:paraId="5D45E7E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1D166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D65636E">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999C27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小地馆</w:t>
            </w:r>
          </w:p>
        </w:tc>
        <w:tc>
          <w:tcPr>
            <w:tcW w:w="742" w:type="pct"/>
            <w:noWrap/>
            <w:vAlign w:val="center"/>
          </w:tcPr>
          <w:p w14:paraId="623EB2A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119.374795</w:t>
            </w:r>
          </w:p>
        </w:tc>
        <w:tc>
          <w:tcPr>
            <w:tcW w:w="742" w:type="pct"/>
            <w:noWrap/>
            <w:vAlign w:val="center"/>
          </w:tcPr>
          <w:p w14:paraId="27A0BDA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31.664944</w:t>
            </w:r>
          </w:p>
        </w:tc>
        <w:tc>
          <w:tcPr>
            <w:tcW w:w="465" w:type="pct"/>
            <w:noWrap/>
            <w:vAlign w:val="center"/>
          </w:tcPr>
          <w:p w14:paraId="28EC800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4796ECF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D8B1853">
            <w:pPr>
              <w:widowControl/>
              <w:spacing w:line="240" w:lineRule="auto"/>
              <w:ind w:firstLine="0" w:firstLineChars="0"/>
              <w:jc w:val="center"/>
              <w:rPr>
                <w:rFonts w:cs="Times New Roman"/>
                <w:color w:val="000000"/>
                <w:sz w:val="21"/>
                <w:szCs w:val="21"/>
              </w:rPr>
            </w:pPr>
          </w:p>
        </w:tc>
        <w:tc>
          <w:tcPr>
            <w:tcW w:w="597" w:type="pct"/>
            <w:noWrap/>
            <w:vAlign w:val="center"/>
          </w:tcPr>
          <w:p w14:paraId="2A52BD2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5FCDA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22315F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813C09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张笪里</w:t>
            </w:r>
          </w:p>
        </w:tc>
        <w:tc>
          <w:tcPr>
            <w:tcW w:w="742" w:type="pct"/>
            <w:noWrap/>
            <w:vAlign w:val="center"/>
          </w:tcPr>
          <w:p w14:paraId="4A0EDE0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119.389924</w:t>
            </w:r>
          </w:p>
        </w:tc>
        <w:tc>
          <w:tcPr>
            <w:tcW w:w="742" w:type="pct"/>
            <w:noWrap/>
            <w:vAlign w:val="center"/>
          </w:tcPr>
          <w:p w14:paraId="01319E4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31.663979</w:t>
            </w:r>
          </w:p>
        </w:tc>
        <w:tc>
          <w:tcPr>
            <w:tcW w:w="465" w:type="pct"/>
            <w:noWrap/>
            <w:vAlign w:val="center"/>
          </w:tcPr>
          <w:p w14:paraId="751D692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139C98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4FB2CEFC">
            <w:pPr>
              <w:widowControl/>
              <w:spacing w:line="240" w:lineRule="auto"/>
              <w:ind w:firstLine="0" w:firstLineChars="0"/>
              <w:jc w:val="center"/>
              <w:rPr>
                <w:rFonts w:cs="Times New Roman"/>
                <w:color w:val="000000"/>
                <w:sz w:val="21"/>
                <w:szCs w:val="21"/>
              </w:rPr>
            </w:pPr>
          </w:p>
        </w:tc>
        <w:tc>
          <w:tcPr>
            <w:tcW w:w="597" w:type="pct"/>
            <w:noWrap/>
            <w:vAlign w:val="center"/>
          </w:tcPr>
          <w:p w14:paraId="291DC13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626A5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D95EA7B">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6FF7B9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赤岗</w:t>
            </w:r>
          </w:p>
        </w:tc>
        <w:tc>
          <w:tcPr>
            <w:tcW w:w="742" w:type="pct"/>
            <w:noWrap/>
            <w:vAlign w:val="center"/>
          </w:tcPr>
          <w:p w14:paraId="435E480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119.383919</w:t>
            </w:r>
          </w:p>
        </w:tc>
        <w:tc>
          <w:tcPr>
            <w:tcW w:w="742" w:type="pct"/>
            <w:noWrap/>
            <w:vAlign w:val="center"/>
          </w:tcPr>
          <w:p w14:paraId="53FCE26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31.661938</w:t>
            </w:r>
          </w:p>
        </w:tc>
        <w:tc>
          <w:tcPr>
            <w:tcW w:w="465" w:type="pct"/>
            <w:noWrap/>
            <w:vAlign w:val="center"/>
          </w:tcPr>
          <w:p w14:paraId="32F38AF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5F023B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EABEE86">
            <w:pPr>
              <w:widowControl/>
              <w:spacing w:line="240" w:lineRule="auto"/>
              <w:ind w:firstLine="0" w:firstLineChars="0"/>
              <w:jc w:val="center"/>
              <w:rPr>
                <w:rFonts w:cs="Times New Roman"/>
                <w:color w:val="000000"/>
                <w:sz w:val="21"/>
                <w:szCs w:val="21"/>
              </w:rPr>
            </w:pPr>
          </w:p>
        </w:tc>
        <w:tc>
          <w:tcPr>
            <w:tcW w:w="597" w:type="pct"/>
            <w:noWrap/>
            <w:vAlign w:val="center"/>
          </w:tcPr>
          <w:p w14:paraId="446D898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约200</w:t>
            </w:r>
          </w:p>
        </w:tc>
      </w:tr>
      <w:tr w14:paraId="57B27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E9F2083">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E177C3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扁墩头</w:t>
            </w:r>
          </w:p>
        </w:tc>
        <w:tc>
          <w:tcPr>
            <w:tcW w:w="742" w:type="pct"/>
            <w:noWrap/>
            <w:vAlign w:val="center"/>
          </w:tcPr>
          <w:p w14:paraId="6C73EAB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119.396138</w:t>
            </w:r>
          </w:p>
        </w:tc>
        <w:tc>
          <w:tcPr>
            <w:tcW w:w="742" w:type="pct"/>
            <w:noWrap/>
            <w:vAlign w:val="center"/>
          </w:tcPr>
          <w:p w14:paraId="58CAF81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31.659237</w:t>
            </w:r>
          </w:p>
        </w:tc>
        <w:tc>
          <w:tcPr>
            <w:tcW w:w="465" w:type="pct"/>
            <w:noWrap/>
            <w:vAlign w:val="center"/>
          </w:tcPr>
          <w:p w14:paraId="67A23E6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B6ED72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A6D4D7B">
            <w:pPr>
              <w:widowControl/>
              <w:spacing w:line="240" w:lineRule="auto"/>
              <w:ind w:firstLine="0" w:firstLineChars="0"/>
              <w:jc w:val="center"/>
              <w:rPr>
                <w:rFonts w:cs="Times New Roman"/>
                <w:color w:val="000000"/>
                <w:sz w:val="21"/>
                <w:szCs w:val="21"/>
              </w:rPr>
            </w:pPr>
          </w:p>
        </w:tc>
        <w:tc>
          <w:tcPr>
            <w:tcW w:w="597" w:type="pct"/>
            <w:noWrap/>
            <w:vAlign w:val="center"/>
          </w:tcPr>
          <w:p w14:paraId="65C620E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约200</w:t>
            </w:r>
          </w:p>
        </w:tc>
      </w:tr>
      <w:tr w14:paraId="18E8D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D8737B7">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699B40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周家棚</w:t>
            </w:r>
          </w:p>
        </w:tc>
        <w:tc>
          <w:tcPr>
            <w:tcW w:w="742" w:type="pct"/>
            <w:noWrap/>
            <w:vAlign w:val="center"/>
          </w:tcPr>
          <w:p w14:paraId="1A91CBF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119.394087</w:t>
            </w:r>
          </w:p>
        </w:tc>
        <w:tc>
          <w:tcPr>
            <w:tcW w:w="742" w:type="pct"/>
            <w:noWrap/>
            <w:vAlign w:val="center"/>
          </w:tcPr>
          <w:p w14:paraId="141F4C5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31.668026</w:t>
            </w:r>
          </w:p>
        </w:tc>
        <w:tc>
          <w:tcPr>
            <w:tcW w:w="465" w:type="pct"/>
            <w:noWrap/>
            <w:vAlign w:val="center"/>
          </w:tcPr>
          <w:p w14:paraId="465602D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EF9EF3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9794318">
            <w:pPr>
              <w:widowControl/>
              <w:spacing w:line="240" w:lineRule="auto"/>
              <w:ind w:firstLine="0" w:firstLineChars="0"/>
              <w:jc w:val="center"/>
              <w:rPr>
                <w:rFonts w:cs="Times New Roman"/>
                <w:color w:val="000000"/>
                <w:sz w:val="21"/>
                <w:szCs w:val="21"/>
              </w:rPr>
            </w:pPr>
          </w:p>
        </w:tc>
        <w:tc>
          <w:tcPr>
            <w:tcW w:w="597" w:type="pct"/>
            <w:noWrap/>
            <w:vAlign w:val="center"/>
          </w:tcPr>
          <w:p w14:paraId="5947B48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3D233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5F8ABAE">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679AD64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长山凹</w:t>
            </w:r>
          </w:p>
        </w:tc>
        <w:tc>
          <w:tcPr>
            <w:tcW w:w="742" w:type="pct"/>
            <w:noWrap/>
            <w:vAlign w:val="center"/>
          </w:tcPr>
          <w:p w14:paraId="0C257D7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119.382159</w:t>
            </w:r>
          </w:p>
        </w:tc>
        <w:tc>
          <w:tcPr>
            <w:tcW w:w="742" w:type="pct"/>
            <w:noWrap/>
            <w:vAlign w:val="center"/>
          </w:tcPr>
          <w:p w14:paraId="4E55599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31.671046</w:t>
            </w:r>
          </w:p>
        </w:tc>
        <w:tc>
          <w:tcPr>
            <w:tcW w:w="465" w:type="pct"/>
            <w:noWrap/>
            <w:vAlign w:val="center"/>
          </w:tcPr>
          <w:p w14:paraId="1C6F13F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79875F4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79333C1">
            <w:pPr>
              <w:widowControl/>
              <w:spacing w:line="240" w:lineRule="auto"/>
              <w:ind w:firstLine="0" w:firstLineChars="0"/>
              <w:jc w:val="center"/>
              <w:rPr>
                <w:rFonts w:cs="Times New Roman"/>
                <w:color w:val="000000"/>
                <w:sz w:val="21"/>
                <w:szCs w:val="21"/>
              </w:rPr>
            </w:pPr>
          </w:p>
        </w:tc>
        <w:tc>
          <w:tcPr>
            <w:tcW w:w="597" w:type="pct"/>
            <w:noWrap/>
            <w:vAlign w:val="center"/>
          </w:tcPr>
          <w:p w14:paraId="3449C28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50D11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34C4389">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5F6AAA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朱家坊</w:t>
            </w:r>
          </w:p>
        </w:tc>
        <w:tc>
          <w:tcPr>
            <w:tcW w:w="742" w:type="pct"/>
            <w:noWrap/>
            <w:vAlign w:val="center"/>
          </w:tcPr>
          <w:p w14:paraId="3E3A995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119.372428</w:t>
            </w:r>
          </w:p>
        </w:tc>
        <w:tc>
          <w:tcPr>
            <w:tcW w:w="742" w:type="pct"/>
            <w:noWrap/>
            <w:vAlign w:val="center"/>
          </w:tcPr>
          <w:p w14:paraId="1B5CFBD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31.673132</w:t>
            </w:r>
          </w:p>
        </w:tc>
        <w:tc>
          <w:tcPr>
            <w:tcW w:w="465" w:type="pct"/>
            <w:noWrap/>
            <w:vAlign w:val="center"/>
          </w:tcPr>
          <w:p w14:paraId="55B8FD3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1F0672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3663860">
            <w:pPr>
              <w:widowControl/>
              <w:spacing w:line="240" w:lineRule="auto"/>
              <w:ind w:firstLine="0" w:firstLineChars="0"/>
              <w:jc w:val="center"/>
              <w:rPr>
                <w:rFonts w:cs="Times New Roman"/>
                <w:color w:val="000000"/>
                <w:sz w:val="21"/>
                <w:szCs w:val="21"/>
              </w:rPr>
            </w:pPr>
          </w:p>
        </w:tc>
        <w:tc>
          <w:tcPr>
            <w:tcW w:w="597" w:type="pct"/>
            <w:noWrap/>
            <w:vAlign w:val="center"/>
          </w:tcPr>
          <w:p w14:paraId="0C4FE12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1067B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182749A">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D93CD8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许庄村</w:t>
            </w:r>
          </w:p>
        </w:tc>
        <w:tc>
          <w:tcPr>
            <w:tcW w:w="742" w:type="pct"/>
            <w:noWrap/>
            <w:vAlign w:val="center"/>
          </w:tcPr>
          <w:p w14:paraId="1DB6F4D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119.386807</w:t>
            </w:r>
          </w:p>
        </w:tc>
        <w:tc>
          <w:tcPr>
            <w:tcW w:w="742" w:type="pct"/>
            <w:noWrap/>
            <w:vAlign w:val="center"/>
          </w:tcPr>
          <w:p w14:paraId="2CB706E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31.651274</w:t>
            </w:r>
          </w:p>
        </w:tc>
        <w:tc>
          <w:tcPr>
            <w:tcW w:w="465" w:type="pct"/>
            <w:noWrap/>
            <w:vAlign w:val="center"/>
          </w:tcPr>
          <w:p w14:paraId="5B7EB9B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8902FA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E1E2DB6">
            <w:pPr>
              <w:widowControl/>
              <w:spacing w:line="240" w:lineRule="auto"/>
              <w:ind w:firstLine="0" w:firstLineChars="0"/>
              <w:jc w:val="center"/>
              <w:rPr>
                <w:rFonts w:cs="Times New Roman"/>
                <w:color w:val="000000"/>
                <w:sz w:val="21"/>
                <w:szCs w:val="21"/>
              </w:rPr>
            </w:pPr>
          </w:p>
        </w:tc>
        <w:tc>
          <w:tcPr>
            <w:tcW w:w="597" w:type="pct"/>
            <w:noWrap/>
            <w:vAlign w:val="center"/>
          </w:tcPr>
          <w:p w14:paraId="07D8F0E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约200</w:t>
            </w:r>
          </w:p>
        </w:tc>
      </w:tr>
      <w:tr w14:paraId="3CB3D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33BEF9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10824A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前塘</w:t>
            </w:r>
          </w:p>
        </w:tc>
        <w:tc>
          <w:tcPr>
            <w:tcW w:w="742" w:type="pct"/>
            <w:noWrap/>
            <w:vAlign w:val="center"/>
          </w:tcPr>
          <w:p w14:paraId="64EE422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119.380427</w:t>
            </w:r>
          </w:p>
        </w:tc>
        <w:tc>
          <w:tcPr>
            <w:tcW w:w="742" w:type="pct"/>
            <w:noWrap/>
            <w:vAlign w:val="center"/>
          </w:tcPr>
          <w:p w14:paraId="6A386A7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31.646825</w:t>
            </w:r>
          </w:p>
        </w:tc>
        <w:tc>
          <w:tcPr>
            <w:tcW w:w="465" w:type="pct"/>
            <w:noWrap/>
            <w:vAlign w:val="center"/>
          </w:tcPr>
          <w:p w14:paraId="7948869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3173B8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5F587A1">
            <w:pPr>
              <w:widowControl/>
              <w:spacing w:line="240" w:lineRule="auto"/>
              <w:ind w:firstLine="0" w:firstLineChars="0"/>
              <w:jc w:val="center"/>
              <w:rPr>
                <w:rFonts w:cs="Times New Roman"/>
                <w:color w:val="000000"/>
                <w:sz w:val="21"/>
                <w:szCs w:val="21"/>
              </w:rPr>
            </w:pPr>
          </w:p>
        </w:tc>
        <w:tc>
          <w:tcPr>
            <w:tcW w:w="597" w:type="pct"/>
            <w:noWrap/>
            <w:vAlign w:val="center"/>
          </w:tcPr>
          <w:p w14:paraId="415D1A8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75B7C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3E11E11">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89C4BD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大凹</w:t>
            </w:r>
          </w:p>
        </w:tc>
        <w:tc>
          <w:tcPr>
            <w:tcW w:w="742" w:type="pct"/>
            <w:noWrap/>
            <w:vAlign w:val="center"/>
          </w:tcPr>
          <w:p w14:paraId="28C467B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119.380129</w:t>
            </w:r>
          </w:p>
        </w:tc>
        <w:tc>
          <w:tcPr>
            <w:tcW w:w="742" w:type="pct"/>
            <w:noWrap/>
            <w:vAlign w:val="center"/>
          </w:tcPr>
          <w:p w14:paraId="4CD5FAC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31.637203</w:t>
            </w:r>
          </w:p>
        </w:tc>
        <w:tc>
          <w:tcPr>
            <w:tcW w:w="465" w:type="pct"/>
            <w:noWrap/>
            <w:vAlign w:val="center"/>
          </w:tcPr>
          <w:p w14:paraId="662E946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2A9E02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ACA8EEA">
            <w:pPr>
              <w:widowControl/>
              <w:spacing w:line="240" w:lineRule="auto"/>
              <w:ind w:firstLine="0" w:firstLineChars="0"/>
              <w:jc w:val="center"/>
              <w:rPr>
                <w:rFonts w:cs="Times New Roman"/>
                <w:color w:val="000000"/>
                <w:sz w:val="21"/>
                <w:szCs w:val="21"/>
              </w:rPr>
            </w:pPr>
          </w:p>
        </w:tc>
        <w:tc>
          <w:tcPr>
            <w:tcW w:w="597" w:type="pct"/>
            <w:noWrap/>
            <w:vAlign w:val="center"/>
          </w:tcPr>
          <w:p w14:paraId="576EB42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w:t>
            </w:r>
          </w:p>
        </w:tc>
      </w:tr>
      <w:tr w14:paraId="2806A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933EF27">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9FEF70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金山后</w:t>
            </w:r>
          </w:p>
        </w:tc>
        <w:tc>
          <w:tcPr>
            <w:tcW w:w="742" w:type="pct"/>
            <w:noWrap/>
            <w:vAlign w:val="center"/>
          </w:tcPr>
          <w:p w14:paraId="3913E24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119.388481</w:t>
            </w:r>
          </w:p>
        </w:tc>
        <w:tc>
          <w:tcPr>
            <w:tcW w:w="742" w:type="pct"/>
            <w:noWrap/>
            <w:vAlign w:val="center"/>
          </w:tcPr>
          <w:p w14:paraId="71674F3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31.63228</w:t>
            </w:r>
          </w:p>
        </w:tc>
        <w:tc>
          <w:tcPr>
            <w:tcW w:w="465" w:type="pct"/>
            <w:noWrap/>
            <w:vAlign w:val="center"/>
          </w:tcPr>
          <w:p w14:paraId="541DEAD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8ACE5F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D439C34">
            <w:pPr>
              <w:widowControl/>
              <w:spacing w:line="240" w:lineRule="auto"/>
              <w:ind w:firstLine="0" w:firstLineChars="0"/>
              <w:jc w:val="center"/>
              <w:rPr>
                <w:rFonts w:cs="Times New Roman"/>
                <w:color w:val="000000"/>
                <w:sz w:val="21"/>
                <w:szCs w:val="21"/>
              </w:rPr>
            </w:pPr>
          </w:p>
        </w:tc>
        <w:tc>
          <w:tcPr>
            <w:tcW w:w="597" w:type="pct"/>
            <w:noWrap/>
            <w:vAlign w:val="center"/>
          </w:tcPr>
          <w:p w14:paraId="0266BF1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7537B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7AC9570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04499B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沈庄</w:t>
            </w:r>
          </w:p>
        </w:tc>
        <w:tc>
          <w:tcPr>
            <w:tcW w:w="742" w:type="pct"/>
            <w:noWrap/>
            <w:vAlign w:val="center"/>
          </w:tcPr>
          <w:p w14:paraId="2FF5027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119.397047</w:t>
            </w:r>
          </w:p>
        </w:tc>
        <w:tc>
          <w:tcPr>
            <w:tcW w:w="742" w:type="pct"/>
            <w:noWrap/>
            <w:vAlign w:val="center"/>
          </w:tcPr>
          <w:p w14:paraId="37F5878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31.630839</w:t>
            </w:r>
          </w:p>
        </w:tc>
        <w:tc>
          <w:tcPr>
            <w:tcW w:w="465" w:type="pct"/>
            <w:noWrap/>
            <w:vAlign w:val="center"/>
          </w:tcPr>
          <w:p w14:paraId="5C37492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CB8BFA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1E9C424">
            <w:pPr>
              <w:widowControl/>
              <w:spacing w:line="240" w:lineRule="auto"/>
              <w:ind w:firstLine="0" w:firstLineChars="0"/>
              <w:jc w:val="center"/>
              <w:rPr>
                <w:rFonts w:cs="Times New Roman"/>
                <w:color w:val="000000"/>
                <w:sz w:val="21"/>
                <w:szCs w:val="21"/>
              </w:rPr>
            </w:pPr>
          </w:p>
        </w:tc>
        <w:tc>
          <w:tcPr>
            <w:tcW w:w="597" w:type="pct"/>
            <w:noWrap/>
            <w:vAlign w:val="center"/>
          </w:tcPr>
          <w:p w14:paraId="68B95E7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2F9E9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DB0FCF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61D1B64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钱家村</w:t>
            </w:r>
          </w:p>
        </w:tc>
        <w:tc>
          <w:tcPr>
            <w:tcW w:w="742" w:type="pct"/>
            <w:noWrap/>
            <w:vAlign w:val="center"/>
          </w:tcPr>
          <w:p w14:paraId="1A98820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119.405571</w:t>
            </w:r>
          </w:p>
        </w:tc>
        <w:tc>
          <w:tcPr>
            <w:tcW w:w="742" w:type="pct"/>
            <w:noWrap/>
            <w:vAlign w:val="center"/>
          </w:tcPr>
          <w:p w14:paraId="7F6FDC5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31.629748</w:t>
            </w:r>
          </w:p>
        </w:tc>
        <w:tc>
          <w:tcPr>
            <w:tcW w:w="465" w:type="pct"/>
            <w:noWrap/>
            <w:vAlign w:val="center"/>
          </w:tcPr>
          <w:p w14:paraId="2B40B77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A67598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023DC951">
            <w:pPr>
              <w:widowControl/>
              <w:spacing w:line="240" w:lineRule="auto"/>
              <w:ind w:firstLine="0" w:firstLineChars="0"/>
              <w:jc w:val="center"/>
              <w:rPr>
                <w:rFonts w:cs="Times New Roman"/>
                <w:color w:val="000000"/>
                <w:sz w:val="21"/>
                <w:szCs w:val="21"/>
              </w:rPr>
            </w:pPr>
          </w:p>
        </w:tc>
        <w:tc>
          <w:tcPr>
            <w:tcW w:w="597" w:type="pct"/>
            <w:noWrap/>
            <w:vAlign w:val="center"/>
          </w:tcPr>
          <w:p w14:paraId="7003091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1DA9A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A8944B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47A850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小庄头</w:t>
            </w:r>
          </w:p>
        </w:tc>
        <w:tc>
          <w:tcPr>
            <w:tcW w:w="742" w:type="pct"/>
            <w:noWrap/>
            <w:vAlign w:val="center"/>
          </w:tcPr>
          <w:p w14:paraId="6E666F1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119.4105</w:t>
            </w:r>
          </w:p>
        </w:tc>
        <w:tc>
          <w:tcPr>
            <w:tcW w:w="742" w:type="pct"/>
            <w:noWrap/>
            <w:vAlign w:val="center"/>
          </w:tcPr>
          <w:p w14:paraId="7C873CE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31.64191</w:t>
            </w:r>
          </w:p>
        </w:tc>
        <w:tc>
          <w:tcPr>
            <w:tcW w:w="465" w:type="pct"/>
            <w:noWrap/>
            <w:vAlign w:val="center"/>
          </w:tcPr>
          <w:p w14:paraId="68FD7C6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35829C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8784301">
            <w:pPr>
              <w:widowControl/>
              <w:spacing w:line="240" w:lineRule="auto"/>
              <w:ind w:firstLine="0" w:firstLineChars="0"/>
              <w:jc w:val="center"/>
              <w:rPr>
                <w:rFonts w:cs="Times New Roman"/>
                <w:color w:val="000000"/>
                <w:sz w:val="21"/>
                <w:szCs w:val="21"/>
              </w:rPr>
            </w:pPr>
          </w:p>
        </w:tc>
        <w:tc>
          <w:tcPr>
            <w:tcW w:w="597" w:type="pct"/>
            <w:noWrap/>
            <w:vAlign w:val="center"/>
          </w:tcPr>
          <w:p w14:paraId="6C31523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54AFB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DEB4EF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FFF2DA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西窑</w:t>
            </w:r>
          </w:p>
        </w:tc>
        <w:tc>
          <w:tcPr>
            <w:tcW w:w="742" w:type="pct"/>
            <w:noWrap/>
            <w:vAlign w:val="center"/>
          </w:tcPr>
          <w:p w14:paraId="5CC3783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119.413804</w:t>
            </w:r>
          </w:p>
        </w:tc>
        <w:tc>
          <w:tcPr>
            <w:tcW w:w="742" w:type="pct"/>
            <w:noWrap/>
            <w:vAlign w:val="center"/>
          </w:tcPr>
          <w:p w14:paraId="17061A3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31.648042</w:t>
            </w:r>
          </w:p>
        </w:tc>
        <w:tc>
          <w:tcPr>
            <w:tcW w:w="465" w:type="pct"/>
            <w:noWrap/>
            <w:vAlign w:val="center"/>
          </w:tcPr>
          <w:p w14:paraId="3728626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7368887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F53B370">
            <w:pPr>
              <w:widowControl/>
              <w:spacing w:line="240" w:lineRule="auto"/>
              <w:ind w:firstLine="0" w:firstLineChars="0"/>
              <w:jc w:val="center"/>
              <w:rPr>
                <w:rFonts w:cs="Times New Roman"/>
                <w:color w:val="000000"/>
                <w:sz w:val="21"/>
                <w:szCs w:val="21"/>
              </w:rPr>
            </w:pPr>
          </w:p>
        </w:tc>
        <w:tc>
          <w:tcPr>
            <w:tcW w:w="597" w:type="pct"/>
            <w:noWrap/>
            <w:vAlign w:val="center"/>
          </w:tcPr>
          <w:p w14:paraId="1DB73B1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6B7C5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CC9906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E22FF0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榨塘</w:t>
            </w:r>
          </w:p>
        </w:tc>
        <w:tc>
          <w:tcPr>
            <w:tcW w:w="742" w:type="pct"/>
            <w:noWrap/>
            <w:vAlign w:val="center"/>
          </w:tcPr>
          <w:p w14:paraId="4C404FE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119.411023</w:t>
            </w:r>
          </w:p>
        </w:tc>
        <w:tc>
          <w:tcPr>
            <w:tcW w:w="742" w:type="pct"/>
            <w:noWrap/>
            <w:vAlign w:val="center"/>
          </w:tcPr>
          <w:p w14:paraId="7204634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31.651038</w:t>
            </w:r>
          </w:p>
        </w:tc>
        <w:tc>
          <w:tcPr>
            <w:tcW w:w="465" w:type="pct"/>
            <w:noWrap/>
            <w:vAlign w:val="center"/>
          </w:tcPr>
          <w:p w14:paraId="4EF183C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5C1DA7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BEFF3FC">
            <w:pPr>
              <w:widowControl/>
              <w:spacing w:line="240" w:lineRule="auto"/>
              <w:ind w:firstLine="0" w:firstLineChars="0"/>
              <w:jc w:val="center"/>
              <w:rPr>
                <w:rFonts w:cs="Times New Roman"/>
                <w:color w:val="000000"/>
                <w:sz w:val="21"/>
                <w:szCs w:val="21"/>
              </w:rPr>
            </w:pPr>
          </w:p>
        </w:tc>
        <w:tc>
          <w:tcPr>
            <w:tcW w:w="597" w:type="pct"/>
            <w:noWrap/>
            <w:vAlign w:val="center"/>
          </w:tcPr>
          <w:p w14:paraId="6C6E6C7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78E44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7C665546">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07F88D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下庄</w:t>
            </w:r>
          </w:p>
        </w:tc>
        <w:tc>
          <w:tcPr>
            <w:tcW w:w="742" w:type="pct"/>
            <w:noWrap/>
            <w:vAlign w:val="center"/>
          </w:tcPr>
          <w:p w14:paraId="44CC96E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119.403378</w:t>
            </w:r>
          </w:p>
        </w:tc>
        <w:tc>
          <w:tcPr>
            <w:tcW w:w="742" w:type="pct"/>
            <w:noWrap/>
            <w:vAlign w:val="center"/>
          </w:tcPr>
          <w:p w14:paraId="75120FD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31.648478</w:t>
            </w:r>
          </w:p>
        </w:tc>
        <w:tc>
          <w:tcPr>
            <w:tcW w:w="465" w:type="pct"/>
            <w:noWrap/>
            <w:vAlign w:val="center"/>
          </w:tcPr>
          <w:p w14:paraId="72A54AE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D44210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AD8C804">
            <w:pPr>
              <w:widowControl/>
              <w:spacing w:line="240" w:lineRule="auto"/>
              <w:ind w:firstLine="0" w:firstLineChars="0"/>
              <w:jc w:val="center"/>
              <w:rPr>
                <w:rFonts w:cs="Times New Roman"/>
                <w:color w:val="000000"/>
                <w:sz w:val="21"/>
                <w:szCs w:val="21"/>
              </w:rPr>
            </w:pPr>
          </w:p>
        </w:tc>
        <w:tc>
          <w:tcPr>
            <w:tcW w:w="597" w:type="pct"/>
            <w:noWrap/>
            <w:vAlign w:val="center"/>
          </w:tcPr>
          <w:p w14:paraId="7E86A35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003B6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3D664FF">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701442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涧南</w:t>
            </w:r>
          </w:p>
        </w:tc>
        <w:tc>
          <w:tcPr>
            <w:tcW w:w="742" w:type="pct"/>
            <w:noWrap/>
            <w:vAlign w:val="center"/>
          </w:tcPr>
          <w:p w14:paraId="11BBC11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119.398957</w:t>
            </w:r>
          </w:p>
        </w:tc>
        <w:tc>
          <w:tcPr>
            <w:tcW w:w="742" w:type="pct"/>
            <w:noWrap/>
            <w:vAlign w:val="center"/>
          </w:tcPr>
          <w:p w14:paraId="0BD2578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31.64553</w:t>
            </w:r>
          </w:p>
        </w:tc>
        <w:tc>
          <w:tcPr>
            <w:tcW w:w="465" w:type="pct"/>
            <w:noWrap/>
            <w:vAlign w:val="center"/>
          </w:tcPr>
          <w:p w14:paraId="2328DC0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75520BF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038CD3EE">
            <w:pPr>
              <w:widowControl/>
              <w:spacing w:line="240" w:lineRule="auto"/>
              <w:ind w:firstLine="0" w:firstLineChars="0"/>
              <w:jc w:val="center"/>
              <w:rPr>
                <w:rFonts w:cs="Times New Roman"/>
                <w:color w:val="000000"/>
                <w:sz w:val="21"/>
                <w:szCs w:val="21"/>
              </w:rPr>
            </w:pPr>
          </w:p>
        </w:tc>
        <w:tc>
          <w:tcPr>
            <w:tcW w:w="597" w:type="pct"/>
            <w:noWrap/>
            <w:vAlign w:val="center"/>
          </w:tcPr>
          <w:p w14:paraId="3FB5CCC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396C5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5ADB57F">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9D7532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苗圃</w:t>
            </w:r>
          </w:p>
        </w:tc>
        <w:tc>
          <w:tcPr>
            <w:tcW w:w="742" w:type="pct"/>
            <w:noWrap/>
            <w:vAlign w:val="center"/>
          </w:tcPr>
          <w:p w14:paraId="6463308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119.369192</w:t>
            </w:r>
          </w:p>
        </w:tc>
        <w:tc>
          <w:tcPr>
            <w:tcW w:w="742" w:type="pct"/>
            <w:noWrap/>
            <w:vAlign w:val="center"/>
          </w:tcPr>
          <w:p w14:paraId="393E160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31.642987</w:t>
            </w:r>
          </w:p>
        </w:tc>
        <w:tc>
          <w:tcPr>
            <w:tcW w:w="465" w:type="pct"/>
            <w:noWrap/>
            <w:vAlign w:val="center"/>
          </w:tcPr>
          <w:p w14:paraId="74EDE63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7797A1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706500F2">
            <w:pPr>
              <w:widowControl/>
              <w:spacing w:line="240" w:lineRule="auto"/>
              <w:ind w:firstLine="0" w:firstLineChars="0"/>
              <w:jc w:val="center"/>
              <w:rPr>
                <w:rFonts w:cs="Times New Roman"/>
                <w:color w:val="000000"/>
                <w:sz w:val="21"/>
                <w:szCs w:val="21"/>
              </w:rPr>
            </w:pPr>
          </w:p>
        </w:tc>
        <w:tc>
          <w:tcPr>
            <w:tcW w:w="597" w:type="pct"/>
            <w:noWrap/>
            <w:vAlign w:val="center"/>
          </w:tcPr>
          <w:p w14:paraId="0A3E99C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1610C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C233133">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8435FE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中竹棵</w:t>
            </w:r>
          </w:p>
        </w:tc>
        <w:tc>
          <w:tcPr>
            <w:tcW w:w="742" w:type="pct"/>
            <w:noWrap/>
            <w:vAlign w:val="center"/>
          </w:tcPr>
          <w:p w14:paraId="18D505C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119.34186</w:t>
            </w:r>
          </w:p>
        </w:tc>
        <w:tc>
          <w:tcPr>
            <w:tcW w:w="742" w:type="pct"/>
            <w:noWrap/>
            <w:vAlign w:val="center"/>
          </w:tcPr>
          <w:p w14:paraId="417957E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31.704681</w:t>
            </w:r>
          </w:p>
        </w:tc>
        <w:tc>
          <w:tcPr>
            <w:tcW w:w="465" w:type="pct"/>
            <w:noWrap/>
            <w:vAlign w:val="center"/>
          </w:tcPr>
          <w:p w14:paraId="4425B3B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7D7B1FE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8A9C215">
            <w:pPr>
              <w:widowControl/>
              <w:spacing w:line="240" w:lineRule="auto"/>
              <w:ind w:firstLine="0" w:firstLineChars="0"/>
              <w:jc w:val="center"/>
              <w:rPr>
                <w:rFonts w:cs="Times New Roman"/>
                <w:color w:val="000000"/>
                <w:sz w:val="21"/>
                <w:szCs w:val="21"/>
              </w:rPr>
            </w:pPr>
          </w:p>
        </w:tc>
        <w:tc>
          <w:tcPr>
            <w:tcW w:w="597" w:type="pct"/>
            <w:noWrap/>
            <w:vAlign w:val="center"/>
          </w:tcPr>
          <w:p w14:paraId="3A90033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51F05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98" w:type="pct"/>
            <w:noWrap/>
            <w:vAlign w:val="center"/>
          </w:tcPr>
          <w:p w14:paraId="79E4523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5D5BD9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凤凰嘴</w:t>
            </w:r>
          </w:p>
        </w:tc>
        <w:tc>
          <w:tcPr>
            <w:tcW w:w="742" w:type="pct"/>
            <w:noWrap/>
            <w:vAlign w:val="center"/>
          </w:tcPr>
          <w:p w14:paraId="21915E4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119.37185</w:t>
            </w:r>
          </w:p>
        </w:tc>
        <w:tc>
          <w:tcPr>
            <w:tcW w:w="742" w:type="pct"/>
            <w:noWrap/>
            <w:vAlign w:val="center"/>
          </w:tcPr>
          <w:p w14:paraId="17CA6AA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31.768717</w:t>
            </w:r>
          </w:p>
        </w:tc>
        <w:tc>
          <w:tcPr>
            <w:tcW w:w="465" w:type="pct"/>
            <w:noWrap/>
            <w:vAlign w:val="center"/>
          </w:tcPr>
          <w:p w14:paraId="6BE27AD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D517C2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2048615E">
            <w:pPr>
              <w:widowControl/>
              <w:spacing w:line="240" w:lineRule="auto"/>
              <w:ind w:firstLine="0" w:firstLineChars="0"/>
              <w:jc w:val="center"/>
              <w:rPr>
                <w:rFonts w:cs="Times New Roman"/>
                <w:color w:val="000000"/>
                <w:sz w:val="21"/>
                <w:szCs w:val="21"/>
              </w:rPr>
            </w:pPr>
          </w:p>
        </w:tc>
        <w:tc>
          <w:tcPr>
            <w:tcW w:w="597" w:type="pct"/>
            <w:noWrap/>
            <w:vAlign w:val="center"/>
          </w:tcPr>
          <w:p w14:paraId="31D54CA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74F17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63D0C23">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21EFC8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美池温泉度假村</w:t>
            </w:r>
          </w:p>
        </w:tc>
        <w:tc>
          <w:tcPr>
            <w:tcW w:w="742" w:type="pct"/>
            <w:noWrap/>
            <w:vAlign w:val="center"/>
          </w:tcPr>
          <w:p w14:paraId="012FF91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119.325055</w:t>
            </w:r>
          </w:p>
        </w:tc>
        <w:tc>
          <w:tcPr>
            <w:tcW w:w="742" w:type="pct"/>
            <w:noWrap/>
            <w:vAlign w:val="center"/>
          </w:tcPr>
          <w:p w14:paraId="4B56D01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31.757602</w:t>
            </w:r>
          </w:p>
        </w:tc>
        <w:tc>
          <w:tcPr>
            <w:tcW w:w="465" w:type="pct"/>
            <w:noWrap/>
            <w:vAlign w:val="center"/>
          </w:tcPr>
          <w:p w14:paraId="2A3BCF6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345153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71FEE152">
            <w:pPr>
              <w:widowControl/>
              <w:spacing w:line="240" w:lineRule="auto"/>
              <w:ind w:firstLine="0" w:firstLineChars="0"/>
              <w:jc w:val="center"/>
              <w:rPr>
                <w:rFonts w:cs="Times New Roman"/>
                <w:color w:val="000000"/>
                <w:sz w:val="21"/>
                <w:szCs w:val="21"/>
              </w:rPr>
            </w:pPr>
          </w:p>
        </w:tc>
        <w:tc>
          <w:tcPr>
            <w:tcW w:w="597" w:type="pct"/>
            <w:noWrap/>
            <w:vAlign w:val="center"/>
          </w:tcPr>
          <w:p w14:paraId="67CD2E3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0DAFF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7F1652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B60E13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东石桥</w:t>
            </w:r>
          </w:p>
        </w:tc>
        <w:tc>
          <w:tcPr>
            <w:tcW w:w="742" w:type="pct"/>
            <w:noWrap/>
            <w:vAlign w:val="center"/>
          </w:tcPr>
          <w:p w14:paraId="421D375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119.376764</w:t>
            </w:r>
          </w:p>
        </w:tc>
        <w:tc>
          <w:tcPr>
            <w:tcW w:w="742" w:type="pct"/>
            <w:noWrap/>
            <w:vAlign w:val="center"/>
          </w:tcPr>
          <w:p w14:paraId="781ED0B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31.82199</w:t>
            </w:r>
          </w:p>
        </w:tc>
        <w:tc>
          <w:tcPr>
            <w:tcW w:w="465" w:type="pct"/>
            <w:noWrap/>
            <w:vAlign w:val="center"/>
          </w:tcPr>
          <w:p w14:paraId="4A94243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ABB586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6FBEC52">
            <w:pPr>
              <w:widowControl/>
              <w:spacing w:line="240" w:lineRule="auto"/>
              <w:ind w:firstLine="0" w:firstLineChars="0"/>
              <w:jc w:val="center"/>
              <w:rPr>
                <w:rFonts w:cs="Times New Roman"/>
                <w:color w:val="000000"/>
                <w:sz w:val="21"/>
                <w:szCs w:val="21"/>
              </w:rPr>
            </w:pPr>
          </w:p>
        </w:tc>
        <w:tc>
          <w:tcPr>
            <w:tcW w:w="597" w:type="pct"/>
            <w:noWrap/>
            <w:vAlign w:val="center"/>
          </w:tcPr>
          <w:p w14:paraId="00C7676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2D4B0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015F08F">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A0B4EC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山蓬村</w:t>
            </w:r>
          </w:p>
        </w:tc>
        <w:tc>
          <w:tcPr>
            <w:tcW w:w="742" w:type="pct"/>
            <w:noWrap/>
            <w:vAlign w:val="center"/>
          </w:tcPr>
          <w:p w14:paraId="52AC76A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119.400266</w:t>
            </w:r>
          </w:p>
        </w:tc>
        <w:tc>
          <w:tcPr>
            <w:tcW w:w="742" w:type="pct"/>
            <w:noWrap/>
            <w:vAlign w:val="center"/>
          </w:tcPr>
          <w:p w14:paraId="783749E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31.635917</w:t>
            </w:r>
          </w:p>
        </w:tc>
        <w:tc>
          <w:tcPr>
            <w:tcW w:w="465" w:type="pct"/>
            <w:noWrap/>
            <w:vAlign w:val="center"/>
          </w:tcPr>
          <w:p w14:paraId="1DDDC92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7C5FB08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65133F9">
            <w:pPr>
              <w:widowControl/>
              <w:spacing w:line="240" w:lineRule="auto"/>
              <w:ind w:firstLine="0" w:firstLineChars="0"/>
              <w:jc w:val="center"/>
              <w:rPr>
                <w:rFonts w:cs="Times New Roman"/>
                <w:color w:val="000000"/>
                <w:sz w:val="21"/>
                <w:szCs w:val="21"/>
              </w:rPr>
            </w:pPr>
          </w:p>
        </w:tc>
        <w:tc>
          <w:tcPr>
            <w:tcW w:w="597" w:type="pct"/>
            <w:noWrap/>
            <w:vAlign w:val="center"/>
          </w:tcPr>
          <w:p w14:paraId="6635CB5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约150</w:t>
            </w:r>
          </w:p>
        </w:tc>
      </w:tr>
      <w:tr w14:paraId="687F5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525E1EA9">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142DB0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焦家棚</w:t>
            </w:r>
          </w:p>
        </w:tc>
        <w:tc>
          <w:tcPr>
            <w:tcW w:w="742" w:type="pct"/>
            <w:noWrap/>
            <w:vAlign w:val="center"/>
          </w:tcPr>
          <w:p w14:paraId="5F6432C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119.374843</w:t>
            </w:r>
          </w:p>
        </w:tc>
        <w:tc>
          <w:tcPr>
            <w:tcW w:w="742" w:type="pct"/>
            <w:noWrap/>
            <w:vAlign w:val="center"/>
          </w:tcPr>
          <w:p w14:paraId="567B828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31.734712</w:t>
            </w:r>
          </w:p>
        </w:tc>
        <w:tc>
          <w:tcPr>
            <w:tcW w:w="465" w:type="pct"/>
            <w:noWrap/>
            <w:vAlign w:val="center"/>
          </w:tcPr>
          <w:p w14:paraId="5187205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4FFF625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262D816">
            <w:pPr>
              <w:widowControl/>
              <w:spacing w:line="240" w:lineRule="auto"/>
              <w:ind w:firstLine="0" w:firstLineChars="0"/>
              <w:jc w:val="center"/>
              <w:rPr>
                <w:rFonts w:cs="Times New Roman"/>
                <w:color w:val="000000"/>
                <w:sz w:val="21"/>
                <w:szCs w:val="21"/>
              </w:rPr>
            </w:pPr>
          </w:p>
        </w:tc>
        <w:tc>
          <w:tcPr>
            <w:tcW w:w="597" w:type="pct"/>
            <w:noWrap/>
            <w:vAlign w:val="center"/>
          </w:tcPr>
          <w:p w14:paraId="6B84B78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47436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2778D4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67D46A3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龙家湾</w:t>
            </w:r>
          </w:p>
        </w:tc>
        <w:tc>
          <w:tcPr>
            <w:tcW w:w="742" w:type="pct"/>
            <w:noWrap/>
            <w:vAlign w:val="center"/>
          </w:tcPr>
          <w:p w14:paraId="1C061CB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119.367543</w:t>
            </w:r>
          </w:p>
        </w:tc>
        <w:tc>
          <w:tcPr>
            <w:tcW w:w="742" w:type="pct"/>
            <w:noWrap/>
            <w:vAlign w:val="center"/>
          </w:tcPr>
          <w:p w14:paraId="497F905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31.638794</w:t>
            </w:r>
          </w:p>
        </w:tc>
        <w:tc>
          <w:tcPr>
            <w:tcW w:w="465" w:type="pct"/>
            <w:noWrap/>
            <w:vAlign w:val="center"/>
          </w:tcPr>
          <w:p w14:paraId="7BDF17D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899A8A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1E8DD37">
            <w:pPr>
              <w:widowControl/>
              <w:spacing w:line="240" w:lineRule="auto"/>
              <w:ind w:firstLine="0" w:firstLineChars="0"/>
              <w:jc w:val="center"/>
              <w:rPr>
                <w:rFonts w:cs="Times New Roman"/>
                <w:color w:val="000000"/>
                <w:sz w:val="21"/>
                <w:szCs w:val="21"/>
              </w:rPr>
            </w:pPr>
          </w:p>
        </w:tc>
        <w:tc>
          <w:tcPr>
            <w:tcW w:w="597" w:type="pct"/>
            <w:noWrap/>
            <w:vAlign w:val="center"/>
          </w:tcPr>
          <w:p w14:paraId="21BA44C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3D7C7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F40489B">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6B5795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南涧滩</w:t>
            </w:r>
          </w:p>
        </w:tc>
        <w:tc>
          <w:tcPr>
            <w:tcW w:w="742" w:type="pct"/>
            <w:noWrap/>
            <w:vAlign w:val="center"/>
          </w:tcPr>
          <w:p w14:paraId="5228AA9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119.366735</w:t>
            </w:r>
          </w:p>
        </w:tc>
        <w:tc>
          <w:tcPr>
            <w:tcW w:w="742" w:type="pct"/>
            <w:noWrap/>
            <w:vAlign w:val="center"/>
          </w:tcPr>
          <w:p w14:paraId="196B249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31.695593</w:t>
            </w:r>
          </w:p>
        </w:tc>
        <w:tc>
          <w:tcPr>
            <w:tcW w:w="465" w:type="pct"/>
            <w:noWrap/>
            <w:vAlign w:val="center"/>
          </w:tcPr>
          <w:p w14:paraId="4DCF70C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25335E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49E72658">
            <w:pPr>
              <w:widowControl/>
              <w:spacing w:line="240" w:lineRule="auto"/>
              <w:ind w:firstLine="0" w:firstLineChars="0"/>
              <w:jc w:val="center"/>
              <w:rPr>
                <w:rFonts w:cs="Times New Roman"/>
                <w:color w:val="000000"/>
                <w:sz w:val="21"/>
                <w:szCs w:val="21"/>
              </w:rPr>
            </w:pPr>
          </w:p>
        </w:tc>
        <w:tc>
          <w:tcPr>
            <w:tcW w:w="597" w:type="pct"/>
            <w:noWrap/>
            <w:vAlign w:val="center"/>
          </w:tcPr>
          <w:p w14:paraId="2465A8E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5C5D0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866A6E3">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581D15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方麓茶场五工区</w:t>
            </w:r>
          </w:p>
        </w:tc>
        <w:tc>
          <w:tcPr>
            <w:tcW w:w="742" w:type="pct"/>
            <w:noWrap/>
            <w:vAlign w:val="center"/>
          </w:tcPr>
          <w:p w14:paraId="4674D9A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119.395984</w:t>
            </w:r>
          </w:p>
        </w:tc>
        <w:tc>
          <w:tcPr>
            <w:tcW w:w="742" w:type="pct"/>
            <w:noWrap/>
            <w:vAlign w:val="center"/>
          </w:tcPr>
          <w:p w14:paraId="59AB964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31.68544</w:t>
            </w:r>
          </w:p>
        </w:tc>
        <w:tc>
          <w:tcPr>
            <w:tcW w:w="465" w:type="pct"/>
            <w:noWrap/>
            <w:vAlign w:val="center"/>
          </w:tcPr>
          <w:p w14:paraId="0FAD504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7C2E33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9D00C66">
            <w:pPr>
              <w:widowControl/>
              <w:spacing w:line="240" w:lineRule="auto"/>
              <w:ind w:firstLine="0" w:firstLineChars="0"/>
              <w:jc w:val="center"/>
              <w:rPr>
                <w:rFonts w:cs="Times New Roman"/>
                <w:color w:val="000000"/>
                <w:sz w:val="21"/>
                <w:szCs w:val="21"/>
              </w:rPr>
            </w:pPr>
          </w:p>
        </w:tc>
        <w:tc>
          <w:tcPr>
            <w:tcW w:w="597" w:type="pct"/>
            <w:noWrap/>
            <w:vAlign w:val="center"/>
          </w:tcPr>
          <w:p w14:paraId="671F824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14DFA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6801C5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74CD10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方麓茶场二工区</w:t>
            </w:r>
          </w:p>
        </w:tc>
        <w:tc>
          <w:tcPr>
            <w:tcW w:w="742" w:type="pct"/>
            <w:noWrap/>
            <w:vAlign w:val="center"/>
          </w:tcPr>
          <w:p w14:paraId="4754EDF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119.389143</w:t>
            </w:r>
          </w:p>
        </w:tc>
        <w:tc>
          <w:tcPr>
            <w:tcW w:w="742" w:type="pct"/>
            <w:noWrap/>
            <w:vAlign w:val="center"/>
          </w:tcPr>
          <w:p w14:paraId="58A1076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31.686533</w:t>
            </w:r>
          </w:p>
        </w:tc>
        <w:tc>
          <w:tcPr>
            <w:tcW w:w="465" w:type="pct"/>
            <w:noWrap/>
            <w:vAlign w:val="center"/>
          </w:tcPr>
          <w:p w14:paraId="7F1E632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56F6E4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56A48E2">
            <w:pPr>
              <w:widowControl/>
              <w:spacing w:line="240" w:lineRule="auto"/>
              <w:ind w:firstLine="0" w:firstLineChars="0"/>
              <w:jc w:val="center"/>
              <w:rPr>
                <w:rFonts w:cs="Times New Roman"/>
                <w:color w:val="000000"/>
                <w:sz w:val="21"/>
                <w:szCs w:val="21"/>
              </w:rPr>
            </w:pPr>
          </w:p>
        </w:tc>
        <w:tc>
          <w:tcPr>
            <w:tcW w:w="597" w:type="pct"/>
            <w:noWrap/>
            <w:vAlign w:val="center"/>
          </w:tcPr>
          <w:p w14:paraId="53F97ED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548DE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6C01EB99">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6525562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方麓茶场</w:t>
            </w:r>
          </w:p>
        </w:tc>
        <w:tc>
          <w:tcPr>
            <w:tcW w:w="742" w:type="pct"/>
            <w:noWrap/>
            <w:vAlign w:val="center"/>
          </w:tcPr>
          <w:p w14:paraId="3BC12A8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119.382236</w:t>
            </w:r>
          </w:p>
        </w:tc>
        <w:tc>
          <w:tcPr>
            <w:tcW w:w="742" w:type="pct"/>
            <w:noWrap/>
            <w:vAlign w:val="center"/>
          </w:tcPr>
          <w:p w14:paraId="26797DD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31.685295</w:t>
            </w:r>
          </w:p>
        </w:tc>
        <w:tc>
          <w:tcPr>
            <w:tcW w:w="465" w:type="pct"/>
            <w:noWrap/>
            <w:vAlign w:val="center"/>
          </w:tcPr>
          <w:p w14:paraId="0BACF82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AAFCC7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ADAA4EC">
            <w:pPr>
              <w:widowControl/>
              <w:spacing w:line="240" w:lineRule="auto"/>
              <w:ind w:firstLine="0" w:firstLineChars="0"/>
              <w:jc w:val="center"/>
              <w:rPr>
                <w:rFonts w:cs="Times New Roman"/>
                <w:color w:val="000000"/>
                <w:sz w:val="21"/>
                <w:szCs w:val="21"/>
              </w:rPr>
            </w:pPr>
          </w:p>
        </w:tc>
        <w:tc>
          <w:tcPr>
            <w:tcW w:w="597" w:type="pct"/>
            <w:noWrap/>
            <w:vAlign w:val="center"/>
          </w:tcPr>
          <w:p w14:paraId="1862B5E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约70</w:t>
            </w:r>
          </w:p>
        </w:tc>
      </w:tr>
      <w:tr w14:paraId="183A5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365CEB47">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6522DA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方麓茶场四工区</w:t>
            </w:r>
          </w:p>
        </w:tc>
        <w:tc>
          <w:tcPr>
            <w:tcW w:w="742" w:type="pct"/>
            <w:noWrap/>
            <w:vAlign w:val="center"/>
          </w:tcPr>
          <w:p w14:paraId="48E1CC1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119.373077</w:t>
            </w:r>
          </w:p>
        </w:tc>
        <w:tc>
          <w:tcPr>
            <w:tcW w:w="742" w:type="pct"/>
            <w:noWrap/>
            <w:vAlign w:val="center"/>
          </w:tcPr>
          <w:p w14:paraId="1D3DC02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31.682745</w:t>
            </w:r>
          </w:p>
        </w:tc>
        <w:tc>
          <w:tcPr>
            <w:tcW w:w="465" w:type="pct"/>
            <w:noWrap/>
            <w:vAlign w:val="center"/>
          </w:tcPr>
          <w:p w14:paraId="03CE3AA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9FAAFF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5E3D100C">
            <w:pPr>
              <w:widowControl/>
              <w:spacing w:line="240" w:lineRule="auto"/>
              <w:ind w:firstLine="0" w:firstLineChars="0"/>
              <w:jc w:val="center"/>
              <w:rPr>
                <w:rFonts w:cs="Times New Roman"/>
                <w:color w:val="000000"/>
                <w:sz w:val="21"/>
                <w:szCs w:val="21"/>
              </w:rPr>
            </w:pPr>
          </w:p>
        </w:tc>
        <w:tc>
          <w:tcPr>
            <w:tcW w:w="597" w:type="pct"/>
            <w:noWrap/>
            <w:vAlign w:val="center"/>
          </w:tcPr>
          <w:p w14:paraId="4CA4248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1C8A9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EA8E5D7">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FC7664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下阮</w:t>
            </w:r>
          </w:p>
        </w:tc>
        <w:tc>
          <w:tcPr>
            <w:tcW w:w="742" w:type="pct"/>
            <w:noWrap/>
            <w:vAlign w:val="center"/>
          </w:tcPr>
          <w:p w14:paraId="23F85F2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119.361323</w:t>
            </w:r>
          </w:p>
        </w:tc>
        <w:tc>
          <w:tcPr>
            <w:tcW w:w="742" w:type="pct"/>
            <w:noWrap/>
            <w:vAlign w:val="center"/>
          </w:tcPr>
          <w:p w14:paraId="6836513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31.633505</w:t>
            </w:r>
          </w:p>
        </w:tc>
        <w:tc>
          <w:tcPr>
            <w:tcW w:w="465" w:type="pct"/>
            <w:noWrap/>
            <w:vAlign w:val="center"/>
          </w:tcPr>
          <w:p w14:paraId="2BBB201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7CBB151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9AA92F9">
            <w:pPr>
              <w:widowControl/>
              <w:spacing w:line="240" w:lineRule="auto"/>
              <w:ind w:firstLine="0" w:firstLineChars="0"/>
              <w:jc w:val="center"/>
              <w:rPr>
                <w:rFonts w:cs="Times New Roman"/>
                <w:color w:val="000000"/>
                <w:sz w:val="21"/>
                <w:szCs w:val="21"/>
              </w:rPr>
            </w:pPr>
          </w:p>
        </w:tc>
        <w:tc>
          <w:tcPr>
            <w:tcW w:w="597" w:type="pct"/>
            <w:noWrap/>
            <w:vAlign w:val="center"/>
          </w:tcPr>
          <w:p w14:paraId="5C89151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346FD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B931A9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54A536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白石里</w:t>
            </w:r>
          </w:p>
        </w:tc>
        <w:tc>
          <w:tcPr>
            <w:tcW w:w="742" w:type="pct"/>
            <w:noWrap/>
            <w:vAlign w:val="center"/>
          </w:tcPr>
          <w:p w14:paraId="6FEC797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119.345323</w:t>
            </w:r>
          </w:p>
        </w:tc>
        <w:tc>
          <w:tcPr>
            <w:tcW w:w="742" w:type="pct"/>
            <w:noWrap/>
            <w:vAlign w:val="center"/>
          </w:tcPr>
          <w:p w14:paraId="2F664C3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31.683841</w:t>
            </w:r>
          </w:p>
        </w:tc>
        <w:tc>
          <w:tcPr>
            <w:tcW w:w="465" w:type="pct"/>
            <w:noWrap/>
            <w:vAlign w:val="center"/>
          </w:tcPr>
          <w:p w14:paraId="03E970C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551854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3D772BA5">
            <w:pPr>
              <w:widowControl/>
              <w:spacing w:line="240" w:lineRule="auto"/>
              <w:ind w:firstLine="0" w:firstLineChars="0"/>
              <w:jc w:val="center"/>
              <w:rPr>
                <w:rFonts w:cs="Times New Roman"/>
                <w:color w:val="000000"/>
                <w:sz w:val="21"/>
                <w:szCs w:val="21"/>
              </w:rPr>
            </w:pPr>
          </w:p>
        </w:tc>
        <w:tc>
          <w:tcPr>
            <w:tcW w:w="597" w:type="pct"/>
            <w:noWrap/>
            <w:vAlign w:val="center"/>
          </w:tcPr>
          <w:p w14:paraId="04592D9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05D8A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42D1EFAB">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782155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方山顶茶厂（含句容市部分）</w:t>
            </w:r>
          </w:p>
        </w:tc>
        <w:tc>
          <w:tcPr>
            <w:tcW w:w="742" w:type="pct"/>
            <w:noWrap/>
            <w:vAlign w:val="center"/>
          </w:tcPr>
          <w:p w14:paraId="0C34789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119.315217</w:t>
            </w:r>
          </w:p>
        </w:tc>
        <w:tc>
          <w:tcPr>
            <w:tcW w:w="742" w:type="pct"/>
            <w:noWrap/>
            <w:vAlign w:val="center"/>
          </w:tcPr>
          <w:p w14:paraId="4747D60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31.714274</w:t>
            </w:r>
          </w:p>
        </w:tc>
        <w:tc>
          <w:tcPr>
            <w:tcW w:w="465" w:type="pct"/>
            <w:noWrap/>
            <w:vAlign w:val="center"/>
          </w:tcPr>
          <w:p w14:paraId="4FB1701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400ABA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B2FB183">
            <w:pPr>
              <w:widowControl/>
              <w:spacing w:line="240" w:lineRule="auto"/>
              <w:ind w:firstLine="0" w:firstLineChars="0"/>
              <w:jc w:val="center"/>
              <w:rPr>
                <w:rFonts w:cs="Times New Roman"/>
                <w:color w:val="000000"/>
                <w:sz w:val="21"/>
                <w:szCs w:val="21"/>
              </w:rPr>
            </w:pPr>
          </w:p>
        </w:tc>
        <w:tc>
          <w:tcPr>
            <w:tcW w:w="597" w:type="pct"/>
            <w:noWrap/>
            <w:vAlign w:val="center"/>
          </w:tcPr>
          <w:p w14:paraId="61DDFA7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67EA2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252FAD2B">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1D0CE0E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石龙</w:t>
            </w:r>
          </w:p>
        </w:tc>
        <w:tc>
          <w:tcPr>
            <w:tcW w:w="742" w:type="pct"/>
            <w:noWrap/>
            <w:vAlign w:val="center"/>
          </w:tcPr>
          <w:p w14:paraId="5A336D3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119.30804</w:t>
            </w:r>
          </w:p>
        </w:tc>
        <w:tc>
          <w:tcPr>
            <w:tcW w:w="742" w:type="pct"/>
            <w:noWrap/>
            <w:vAlign w:val="center"/>
          </w:tcPr>
          <w:p w14:paraId="3BE499B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31.772926</w:t>
            </w:r>
          </w:p>
        </w:tc>
        <w:tc>
          <w:tcPr>
            <w:tcW w:w="465" w:type="pct"/>
            <w:noWrap/>
            <w:vAlign w:val="center"/>
          </w:tcPr>
          <w:p w14:paraId="2618AE6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CCAC7A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7A7DF69B">
            <w:pPr>
              <w:widowControl/>
              <w:spacing w:line="240" w:lineRule="auto"/>
              <w:ind w:firstLine="0" w:firstLineChars="0"/>
              <w:jc w:val="center"/>
              <w:rPr>
                <w:rFonts w:cs="Times New Roman"/>
                <w:color w:val="000000"/>
                <w:sz w:val="21"/>
                <w:szCs w:val="21"/>
              </w:rPr>
            </w:pPr>
          </w:p>
        </w:tc>
        <w:tc>
          <w:tcPr>
            <w:tcW w:w="597" w:type="pct"/>
            <w:noWrap/>
            <w:vAlign w:val="center"/>
          </w:tcPr>
          <w:p w14:paraId="6EEF4FC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4BB3B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06AB269B">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FC1F66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金牛</w:t>
            </w:r>
          </w:p>
        </w:tc>
        <w:tc>
          <w:tcPr>
            <w:tcW w:w="742" w:type="pct"/>
            <w:noWrap/>
            <w:vAlign w:val="center"/>
          </w:tcPr>
          <w:p w14:paraId="349DB21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119.309716</w:t>
            </w:r>
          </w:p>
        </w:tc>
        <w:tc>
          <w:tcPr>
            <w:tcW w:w="742" w:type="pct"/>
            <w:noWrap/>
            <w:vAlign w:val="center"/>
          </w:tcPr>
          <w:p w14:paraId="0EA43DB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31.768416</w:t>
            </w:r>
          </w:p>
        </w:tc>
        <w:tc>
          <w:tcPr>
            <w:tcW w:w="465" w:type="pct"/>
            <w:noWrap/>
            <w:vAlign w:val="center"/>
          </w:tcPr>
          <w:p w14:paraId="282848A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9D79AD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1355EAF2">
            <w:pPr>
              <w:widowControl/>
              <w:spacing w:line="240" w:lineRule="auto"/>
              <w:ind w:firstLine="0" w:firstLineChars="0"/>
              <w:jc w:val="center"/>
              <w:rPr>
                <w:rFonts w:cs="Times New Roman"/>
                <w:color w:val="000000"/>
                <w:sz w:val="21"/>
                <w:szCs w:val="21"/>
              </w:rPr>
            </w:pPr>
          </w:p>
        </w:tc>
        <w:tc>
          <w:tcPr>
            <w:tcW w:w="597" w:type="pct"/>
            <w:noWrap/>
            <w:vAlign w:val="center"/>
          </w:tcPr>
          <w:p w14:paraId="6F60C2D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7BC5D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98" w:type="pct"/>
            <w:noWrap/>
            <w:vAlign w:val="center"/>
          </w:tcPr>
          <w:p w14:paraId="1EC2AAE2">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E40CE9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茅山银发大学</w:t>
            </w:r>
          </w:p>
        </w:tc>
        <w:tc>
          <w:tcPr>
            <w:tcW w:w="742" w:type="pct"/>
            <w:noWrap/>
            <w:vAlign w:val="center"/>
          </w:tcPr>
          <w:p w14:paraId="30205DD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119.321689</w:t>
            </w:r>
          </w:p>
        </w:tc>
        <w:tc>
          <w:tcPr>
            <w:tcW w:w="742" w:type="pct"/>
            <w:noWrap/>
            <w:vAlign w:val="center"/>
          </w:tcPr>
          <w:p w14:paraId="337A327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31.784454</w:t>
            </w:r>
          </w:p>
        </w:tc>
        <w:tc>
          <w:tcPr>
            <w:tcW w:w="465" w:type="pct"/>
            <w:noWrap/>
            <w:vAlign w:val="center"/>
          </w:tcPr>
          <w:p w14:paraId="1AA6366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师生</w:t>
            </w:r>
          </w:p>
        </w:tc>
        <w:tc>
          <w:tcPr>
            <w:tcW w:w="498" w:type="pct"/>
            <w:noWrap/>
            <w:vAlign w:val="center"/>
          </w:tcPr>
          <w:p w14:paraId="30C2F76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C487266">
            <w:pPr>
              <w:widowControl/>
              <w:spacing w:line="240" w:lineRule="auto"/>
              <w:ind w:firstLine="0" w:firstLineChars="0"/>
              <w:jc w:val="center"/>
              <w:rPr>
                <w:rFonts w:cs="Times New Roman"/>
                <w:color w:val="000000"/>
                <w:sz w:val="21"/>
                <w:szCs w:val="21"/>
              </w:rPr>
            </w:pPr>
          </w:p>
        </w:tc>
        <w:tc>
          <w:tcPr>
            <w:tcW w:w="597" w:type="pct"/>
            <w:noWrap/>
            <w:vAlign w:val="center"/>
          </w:tcPr>
          <w:p w14:paraId="3C87B64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约30</w:t>
            </w:r>
          </w:p>
        </w:tc>
      </w:tr>
      <w:tr w14:paraId="56C93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32897490">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1D4FB9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洪山门</w:t>
            </w:r>
          </w:p>
        </w:tc>
        <w:tc>
          <w:tcPr>
            <w:tcW w:w="742" w:type="pct"/>
            <w:noWrap/>
            <w:vAlign w:val="center"/>
          </w:tcPr>
          <w:p w14:paraId="6FC0C4E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119.328049</w:t>
            </w:r>
          </w:p>
        </w:tc>
        <w:tc>
          <w:tcPr>
            <w:tcW w:w="742" w:type="pct"/>
            <w:noWrap/>
            <w:vAlign w:val="center"/>
          </w:tcPr>
          <w:p w14:paraId="7CE56E4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31.804398</w:t>
            </w:r>
          </w:p>
        </w:tc>
        <w:tc>
          <w:tcPr>
            <w:tcW w:w="465" w:type="pct"/>
            <w:noWrap/>
            <w:vAlign w:val="center"/>
          </w:tcPr>
          <w:p w14:paraId="1DCB5FD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80EEE3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64736185">
            <w:pPr>
              <w:widowControl/>
              <w:spacing w:line="240" w:lineRule="auto"/>
              <w:ind w:firstLine="0" w:firstLineChars="0"/>
              <w:jc w:val="center"/>
              <w:rPr>
                <w:rFonts w:cs="Times New Roman"/>
                <w:color w:val="000000"/>
                <w:sz w:val="21"/>
                <w:szCs w:val="21"/>
              </w:rPr>
            </w:pPr>
          </w:p>
        </w:tc>
        <w:tc>
          <w:tcPr>
            <w:tcW w:w="597" w:type="pct"/>
            <w:noWrap/>
            <w:vAlign w:val="center"/>
          </w:tcPr>
          <w:p w14:paraId="65A16AE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w:t>
            </w:r>
          </w:p>
        </w:tc>
      </w:tr>
      <w:tr w14:paraId="2774D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0CC86A7B">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65A0018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棉花山</w:t>
            </w:r>
          </w:p>
        </w:tc>
        <w:tc>
          <w:tcPr>
            <w:tcW w:w="742" w:type="pct"/>
            <w:noWrap/>
            <w:vAlign w:val="center"/>
          </w:tcPr>
          <w:p w14:paraId="37CA5D1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119.369783</w:t>
            </w:r>
          </w:p>
        </w:tc>
        <w:tc>
          <w:tcPr>
            <w:tcW w:w="742" w:type="pct"/>
            <w:noWrap/>
            <w:vAlign w:val="center"/>
          </w:tcPr>
          <w:p w14:paraId="6A7257A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31.733481</w:t>
            </w:r>
          </w:p>
        </w:tc>
        <w:tc>
          <w:tcPr>
            <w:tcW w:w="465" w:type="pct"/>
            <w:noWrap/>
            <w:vAlign w:val="center"/>
          </w:tcPr>
          <w:p w14:paraId="0BF5877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BA680B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t>
            </w:r>
          </w:p>
        </w:tc>
        <w:tc>
          <w:tcPr>
            <w:tcW w:w="498" w:type="pct"/>
            <w:vMerge w:val="continue"/>
            <w:noWrap/>
            <w:vAlign w:val="center"/>
          </w:tcPr>
          <w:p w14:paraId="4CB8EC26">
            <w:pPr>
              <w:widowControl/>
              <w:spacing w:line="240" w:lineRule="auto"/>
              <w:ind w:firstLine="0" w:firstLineChars="0"/>
              <w:jc w:val="center"/>
              <w:rPr>
                <w:rFonts w:cs="Times New Roman"/>
                <w:color w:val="000000"/>
                <w:sz w:val="21"/>
                <w:szCs w:val="21"/>
              </w:rPr>
            </w:pPr>
          </w:p>
        </w:tc>
        <w:tc>
          <w:tcPr>
            <w:tcW w:w="597" w:type="pct"/>
            <w:noWrap/>
            <w:vAlign w:val="center"/>
          </w:tcPr>
          <w:p w14:paraId="2F43B55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31878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1335308E">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2CBC4C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高德·花谷里</w:t>
            </w:r>
          </w:p>
        </w:tc>
        <w:tc>
          <w:tcPr>
            <w:tcW w:w="742" w:type="pct"/>
            <w:noWrap/>
            <w:vAlign w:val="center"/>
          </w:tcPr>
          <w:p w14:paraId="64A56E9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119.320069</w:t>
            </w:r>
          </w:p>
        </w:tc>
        <w:tc>
          <w:tcPr>
            <w:tcW w:w="742" w:type="pct"/>
            <w:noWrap/>
            <w:vAlign w:val="center"/>
          </w:tcPr>
          <w:p w14:paraId="488912B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31.733314</w:t>
            </w:r>
          </w:p>
        </w:tc>
        <w:tc>
          <w:tcPr>
            <w:tcW w:w="465" w:type="pct"/>
            <w:noWrap/>
            <w:vAlign w:val="center"/>
          </w:tcPr>
          <w:p w14:paraId="4CC884B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895630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西南</w:t>
            </w:r>
          </w:p>
        </w:tc>
        <w:tc>
          <w:tcPr>
            <w:tcW w:w="498" w:type="pct"/>
            <w:noWrap/>
            <w:vAlign w:val="center"/>
          </w:tcPr>
          <w:p w14:paraId="617F310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10</w:t>
            </w:r>
          </w:p>
        </w:tc>
        <w:tc>
          <w:tcPr>
            <w:tcW w:w="597" w:type="pct"/>
            <w:noWrap/>
            <w:vAlign w:val="center"/>
          </w:tcPr>
          <w:p w14:paraId="1BABC54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约400</w:t>
            </w:r>
          </w:p>
        </w:tc>
      </w:tr>
      <w:tr w14:paraId="08D76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20033F7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014CC7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顺水桥</w:t>
            </w:r>
          </w:p>
        </w:tc>
        <w:tc>
          <w:tcPr>
            <w:tcW w:w="742" w:type="pct"/>
            <w:noWrap/>
            <w:vAlign w:val="center"/>
          </w:tcPr>
          <w:p w14:paraId="0E07FC3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119.343947</w:t>
            </w:r>
          </w:p>
        </w:tc>
        <w:tc>
          <w:tcPr>
            <w:tcW w:w="742" w:type="pct"/>
            <w:noWrap/>
            <w:vAlign w:val="center"/>
          </w:tcPr>
          <w:p w14:paraId="14BD4EE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31.716205</w:t>
            </w:r>
          </w:p>
        </w:tc>
        <w:tc>
          <w:tcPr>
            <w:tcW w:w="465" w:type="pct"/>
            <w:noWrap/>
            <w:vAlign w:val="center"/>
          </w:tcPr>
          <w:p w14:paraId="55EFAEE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6E0C968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南</w:t>
            </w:r>
          </w:p>
        </w:tc>
        <w:tc>
          <w:tcPr>
            <w:tcW w:w="498" w:type="pct"/>
            <w:noWrap/>
            <w:vAlign w:val="center"/>
          </w:tcPr>
          <w:p w14:paraId="0F6B402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60</w:t>
            </w:r>
          </w:p>
        </w:tc>
        <w:tc>
          <w:tcPr>
            <w:tcW w:w="597" w:type="pct"/>
            <w:noWrap/>
            <w:vAlign w:val="center"/>
          </w:tcPr>
          <w:p w14:paraId="1F15EE5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7554C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63330943">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A38145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野猪塘</w:t>
            </w:r>
          </w:p>
        </w:tc>
        <w:tc>
          <w:tcPr>
            <w:tcW w:w="742" w:type="pct"/>
            <w:noWrap/>
            <w:vAlign w:val="center"/>
          </w:tcPr>
          <w:p w14:paraId="5D94278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119.336624</w:t>
            </w:r>
          </w:p>
        </w:tc>
        <w:tc>
          <w:tcPr>
            <w:tcW w:w="742" w:type="pct"/>
            <w:noWrap/>
            <w:vAlign w:val="center"/>
          </w:tcPr>
          <w:p w14:paraId="5934D74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31.719535</w:t>
            </w:r>
          </w:p>
        </w:tc>
        <w:tc>
          <w:tcPr>
            <w:tcW w:w="465" w:type="pct"/>
            <w:noWrap/>
            <w:vAlign w:val="center"/>
          </w:tcPr>
          <w:p w14:paraId="73C0452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125D23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南</w:t>
            </w:r>
          </w:p>
        </w:tc>
        <w:tc>
          <w:tcPr>
            <w:tcW w:w="498" w:type="pct"/>
            <w:noWrap/>
            <w:vAlign w:val="center"/>
          </w:tcPr>
          <w:p w14:paraId="6A32A0D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60</w:t>
            </w:r>
          </w:p>
        </w:tc>
        <w:tc>
          <w:tcPr>
            <w:tcW w:w="597" w:type="pct"/>
            <w:noWrap/>
            <w:vAlign w:val="center"/>
          </w:tcPr>
          <w:p w14:paraId="2C0D45D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6C113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1ACA450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3A0AA94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清水塘</w:t>
            </w:r>
          </w:p>
        </w:tc>
        <w:tc>
          <w:tcPr>
            <w:tcW w:w="742" w:type="pct"/>
            <w:noWrap/>
            <w:vAlign w:val="center"/>
          </w:tcPr>
          <w:p w14:paraId="46602DD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119.370274</w:t>
            </w:r>
          </w:p>
        </w:tc>
        <w:tc>
          <w:tcPr>
            <w:tcW w:w="742" w:type="pct"/>
            <w:noWrap/>
            <w:vAlign w:val="center"/>
          </w:tcPr>
          <w:p w14:paraId="79B7AA7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31.6941</w:t>
            </w:r>
          </w:p>
        </w:tc>
        <w:tc>
          <w:tcPr>
            <w:tcW w:w="465" w:type="pct"/>
            <w:noWrap/>
            <w:vAlign w:val="center"/>
          </w:tcPr>
          <w:p w14:paraId="6875F9B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88BC7A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w:t>
            </w:r>
          </w:p>
        </w:tc>
        <w:tc>
          <w:tcPr>
            <w:tcW w:w="498" w:type="pct"/>
            <w:noWrap/>
            <w:vAlign w:val="center"/>
          </w:tcPr>
          <w:p w14:paraId="6D0FEC2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30</w:t>
            </w:r>
          </w:p>
        </w:tc>
        <w:tc>
          <w:tcPr>
            <w:tcW w:w="597" w:type="pct"/>
            <w:noWrap/>
            <w:vAlign w:val="center"/>
          </w:tcPr>
          <w:p w14:paraId="7523B03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77FC5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2C8BED12">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DE9D5B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唐庄</w:t>
            </w:r>
          </w:p>
        </w:tc>
        <w:tc>
          <w:tcPr>
            <w:tcW w:w="742" w:type="pct"/>
            <w:noWrap/>
            <w:vAlign w:val="center"/>
          </w:tcPr>
          <w:p w14:paraId="3DB905A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119.373402</w:t>
            </w:r>
          </w:p>
        </w:tc>
        <w:tc>
          <w:tcPr>
            <w:tcW w:w="742" w:type="pct"/>
            <w:noWrap/>
            <w:vAlign w:val="center"/>
          </w:tcPr>
          <w:p w14:paraId="41B15D6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31.691746</w:t>
            </w:r>
          </w:p>
        </w:tc>
        <w:tc>
          <w:tcPr>
            <w:tcW w:w="465" w:type="pct"/>
            <w:noWrap/>
            <w:vAlign w:val="center"/>
          </w:tcPr>
          <w:p w14:paraId="6BFBBD5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0EB4A0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w:t>
            </w:r>
          </w:p>
        </w:tc>
        <w:tc>
          <w:tcPr>
            <w:tcW w:w="498" w:type="pct"/>
            <w:noWrap/>
            <w:vAlign w:val="center"/>
          </w:tcPr>
          <w:p w14:paraId="40A2556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177</w:t>
            </w:r>
          </w:p>
        </w:tc>
        <w:tc>
          <w:tcPr>
            <w:tcW w:w="597" w:type="pct"/>
            <w:noWrap/>
            <w:vAlign w:val="center"/>
          </w:tcPr>
          <w:p w14:paraId="1A6EDBC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45005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79C5ECA8">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1E159A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大谷下</w:t>
            </w:r>
          </w:p>
        </w:tc>
        <w:tc>
          <w:tcPr>
            <w:tcW w:w="742" w:type="pct"/>
            <w:noWrap/>
            <w:vAlign w:val="center"/>
          </w:tcPr>
          <w:p w14:paraId="7563FD7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119.370425</w:t>
            </w:r>
          </w:p>
        </w:tc>
        <w:tc>
          <w:tcPr>
            <w:tcW w:w="742" w:type="pct"/>
            <w:noWrap/>
            <w:vAlign w:val="center"/>
          </w:tcPr>
          <w:p w14:paraId="737D462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31.812981</w:t>
            </w:r>
          </w:p>
        </w:tc>
        <w:tc>
          <w:tcPr>
            <w:tcW w:w="465" w:type="pct"/>
            <w:noWrap/>
            <w:vAlign w:val="center"/>
          </w:tcPr>
          <w:p w14:paraId="5D3AE0B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7E9C35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南</w:t>
            </w:r>
          </w:p>
        </w:tc>
        <w:tc>
          <w:tcPr>
            <w:tcW w:w="498" w:type="pct"/>
            <w:noWrap/>
            <w:vAlign w:val="center"/>
          </w:tcPr>
          <w:p w14:paraId="76244A8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133</w:t>
            </w:r>
          </w:p>
        </w:tc>
        <w:tc>
          <w:tcPr>
            <w:tcW w:w="597" w:type="pct"/>
            <w:noWrap/>
            <w:vAlign w:val="center"/>
          </w:tcPr>
          <w:p w14:paraId="7412245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约100</w:t>
            </w:r>
          </w:p>
        </w:tc>
      </w:tr>
      <w:tr w14:paraId="39FFD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181DA5A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4F3A54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大谷上</w:t>
            </w:r>
          </w:p>
        </w:tc>
        <w:tc>
          <w:tcPr>
            <w:tcW w:w="742" w:type="pct"/>
            <w:noWrap/>
            <w:vAlign w:val="center"/>
          </w:tcPr>
          <w:p w14:paraId="1333124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119.363778</w:t>
            </w:r>
          </w:p>
        </w:tc>
        <w:tc>
          <w:tcPr>
            <w:tcW w:w="742" w:type="pct"/>
            <w:noWrap/>
            <w:vAlign w:val="center"/>
          </w:tcPr>
          <w:p w14:paraId="57F52CD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31.81497</w:t>
            </w:r>
          </w:p>
        </w:tc>
        <w:tc>
          <w:tcPr>
            <w:tcW w:w="465" w:type="pct"/>
            <w:noWrap/>
            <w:vAlign w:val="center"/>
          </w:tcPr>
          <w:p w14:paraId="622FA44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E79541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南</w:t>
            </w:r>
          </w:p>
        </w:tc>
        <w:tc>
          <w:tcPr>
            <w:tcW w:w="498" w:type="pct"/>
            <w:noWrap/>
            <w:vAlign w:val="center"/>
          </w:tcPr>
          <w:p w14:paraId="4998BDA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104</w:t>
            </w:r>
          </w:p>
        </w:tc>
        <w:tc>
          <w:tcPr>
            <w:tcW w:w="597" w:type="pct"/>
            <w:noWrap/>
            <w:vAlign w:val="center"/>
          </w:tcPr>
          <w:p w14:paraId="6FEF72B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768F8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7F07B2A3">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CE82E0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新山</w:t>
            </w:r>
          </w:p>
        </w:tc>
        <w:tc>
          <w:tcPr>
            <w:tcW w:w="742" w:type="pct"/>
            <w:noWrap/>
            <w:vAlign w:val="center"/>
          </w:tcPr>
          <w:p w14:paraId="77CAAD6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119.370503</w:t>
            </w:r>
          </w:p>
        </w:tc>
        <w:tc>
          <w:tcPr>
            <w:tcW w:w="742" w:type="pct"/>
            <w:noWrap/>
            <w:vAlign w:val="center"/>
          </w:tcPr>
          <w:p w14:paraId="2B26D00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31.787958</w:t>
            </w:r>
          </w:p>
        </w:tc>
        <w:tc>
          <w:tcPr>
            <w:tcW w:w="465" w:type="pct"/>
            <w:noWrap/>
            <w:vAlign w:val="center"/>
          </w:tcPr>
          <w:p w14:paraId="2DED05B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CFEEF6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w:t>
            </w:r>
          </w:p>
        </w:tc>
        <w:tc>
          <w:tcPr>
            <w:tcW w:w="498" w:type="pct"/>
            <w:noWrap/>
            <w:vAlign w:val="center"/>
          </w:tcPr>
          <w:p w14:paraId="3B81767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121</w:t>
            </w:r>
          </w:p>
        </w:tc>
        <w:tc>
          <w:tcPr>
            <w:tcW w:w="597" w:type="pct"/>
            <w:noWrap/>
            <w:vAlign w:val="center"/>
          </w:tcPr>
          <w:p w14:paraId="6C6C8FA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47E0A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27EF3A3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BD04A4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周巷</w:t>
            </w:r>
          </w:p>
        </w:tc>
        <w:tc>
          <w:tcPr>
            <w:tcW w:w="742" w:type="pct"/>
            <w:noWrap/>
            <w:vAlign w:val="center"/>
          </w:tcPr>
          <w:p w14:paraId="7C583CE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119.400738</w:t>
            </w:r>
          </w:p>
        </w:tc>
        <w:tc>
          <w:tcPr>
            <w:tcW w:w="742" w:type="pct"/>
            <w:noWrap/>
            <w:vAlign w:val="center"/>
          </w:tcPr>
          <w:p w14:paraId="4C856F6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31.654033</w:t>
            </w:r>
          </w:p>
        </w:tc>
        <w:tc>
          <w:tcPr>
            <w:tcW w:w="465" w:type="pct"/>
            <w:noWrap/>
            <w:vAlign w:val="center"/>
          </w:tcPr>
          <w:p w14:paraId="7C7388C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169F4F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w:t>
            </w:r>
          </w:p>
        </w:tc>
        <w:tc>
          <w:tcPr>
            <w:tcW w:w="498" w:type="pct"/>
            <w:noWrap/>
            <w:vAlign w:val="center"/>
          </w:tcPr>
          <w:p w14:paraId="0AE5341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100</w:t>
            </w:r>
          </w:p>
        </w:tc>
        <w:tc>
          <w:tcPr>
            <w:tcW w:w="597" w:type="pct"/>
            <w:noWrap/>
            <w:vAlign w:val="center"/>
          </w:tcPr>
          <w:p w14:paraId="569D0DC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426AF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5C38047A">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5C433B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富家山</w:t>
            </w:r>
          </w:p>
        </w:tc>
        <w:tc>
          <w:tcPr>
            <w:tcW w:w="742" w:type="pct"/>
            <w:noWrap/>
            <w:vAlign w:val="center"/>
          </w:tcPr>
          <w:p w14:paraId="2D66E58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119.390607</w:t>
            </w:r>
          </w:p>
        </w:tc>
        <w:tc>
          <w:tcPr>
            <w:tcW w:w="742" w:type="pct"/>
            <w:noWrap/>
            <w:vAlign w:val="center"/>
          </w:tcPr>
          <w:p w14:paraId="5D614D1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31.772628</w:t>
            </w:r>
          </w:p>
        </w:tc>
        <w:tc>
          <w:tcPr>
            <w:tcW w:w="465" w:type="pct"/>
            <w:noWrap/>
            <w:vAlign w:val="center"/>
          </w:tcPr>
          <w:p w14:paraId="72D86DE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0A2B993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南</w:t>
            </w:r>
          </w:p>
        </w:tc>
        <w:tc>
          <w:tcPr>
            <w:tcW w:w="498" w:type="pct"/>
            <w:noWrap/>
            <w:vAlign w:val="center"/>
          </w:tcPr>
          <w:p w14:paraId="4A087AD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30</w:t>
            </w:r>
          </w:p>
        </w:tc>
        <w:tc>
          <w:tcPr>
            <w:tcW w:w="597" w:type="pct"/>
            <w:noWrap/>
            <w:vAlign w:val="center"/>
          </w:tcPr>
          <w:p w14:paraId="04356C1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6F346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7447135F">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0C95E6E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沙子岗</w:t>
            </w:r>
          </w:p>
        </w:tc>
        <w:tc>
          <w:tcPr>
            <w:tcW w:w="742" w:type="pct"/>
            <w:noWrap/>
            <w:vAlign w:val="center"/>
          </w:tcPr>
          <w:p w14:paraId="2E1C5F9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119.386469</w:t>
            </w:r>
          </w:p>
        </w:tc>
        <w:tc>
          <w:tcPr>
            <w:tcW w:w="742" w:type="pct"/>
            <w:noWrap/>
            <w:vAlign w:val="center"/>
          </w:tcPr>
          <w:p w14:paraId="061B6DE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31.773501</w:t>
            </w:r>
          </w:p>
        </w:tc>
        <w:tc>
          <w:tcPr>
            <w:tcW w:w="465" w:type="pct"/>
            <w:noWrap/>
            <w:vAlign w:val="center"/>
          </w:tcPr>
          <w:p w14:paraId="41B568D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CBAD07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南</w:t>
            </w:r>
          </w:p>
        </w:tc>
        <w:tc>
          <w:tcPr>
            <w:tcW w:w="498" w:type="pct"/>
            <w:noWrap/>
            <w:vAlign w:val="center"/>
          </w:tcPr>
          <w:p w14:paraId="562637C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20</w:t>
            </w:r>
          </w:p>
        </w:tc>
        <w:tc>
          <w:tcPr>
            <w:tcW w:w="597" w:type="pct"/>
            <w:noWrap/>
            <w:vAlign w:val="center"/>
          </w:tcPr>
          <w:p w14:paraId="3C8380E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2B2EE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50538DFE">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BAC14C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山东村</w:t>
            </w:r>
          </w:p>
        </w:tc>
        <w:tc>
          <w:tcPr>
            <w:tcW w:w="742" w:type="pct"/>
            <w:noWrap/>
            <w:vAlign w:val="center"/>
          </w:tcPr>
          <w:p w14:paraId="7D7DCD0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119.382903</w:t>
            </w:r>
          </w:p>
        </w:tc>
        <w:tc>
          <w:tcPr>
            <w:tcW w:w="742" w:type="pct"/>
            <w:noWrap/>
            <w:vAlign w:val="center"/>
          </w:tcPr>
          <w:p w14:paraId="53D6E23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31.690783</w:t>
            </w:r>
          </w:p>
        </w:tc>
        <w:tc>
          <w:tcPr>
            <w:tcW w:w="465" w:type="pct"/>
            <w:noWrap/>
            <w:vAlign w:val="center"/>
          </w:tcPr>
          <w:p w14:paraId="3EB1D72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595793C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东北</w:t>
            </w:r>
          </w:p>
        </w:tc>
        <w:tc>
          <w:tcPr>
            <w:tcW w:w="498" w:type="pct"/>
            <w:noWrap/>
            <w:vAlign w:val="center"/>
          </w:tcPr>
          <w:p w14:paraId="641B4A5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109</w:t>
            </w:r>
          </w:p>
        </w:tc>
        <w:tc>
          <w:tcPr>
            <w:tcW w:w="597" w:type="pct"/>
            <w:noWrap/>
            <w:vAlign w:val="center"/>
          </w:tcPr>
          <w:p w14:paraId="409C31C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1A523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1CA0F3D3">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40B0AF7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三里墩</w:t>
            </w:r>
          </w:p>
        </w:tc>
        <w:tc>
          <w:tcPr>
            <w:tcW w:w="742" w:type="pct"/>
            <w:noWrap/>
            <w:vAlign w:val="center"/>
          </w:tcPr>
          <w:p w14:paraId="40E9C56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119.348504</w:t>
            </w:r>
          </w:p>
        </w:tc>
        <w:tc>
          <w:tcPr>
            <w:tcW w:w="742" w:type="pct"/>
            <w:noWrap/>
            <w:vAlign w:val="center"/>
          </w:tcPr>
          <w:p w14:paraId="33D7755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31.721588</w:t>
            </w:r>
          </w:p>
        </w:tc>
        <w:tc>
          <w:tcPr>
            <w:tcW w:w="465" w:type="pct"/>
            <w:noWrap/>
            <w:vAlign w:val="center"/>
          </w:tcPr>
          <w:p w14:paraId="3CFE99A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161F184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东南</w:t>
            </w:r>
          </w:p>
        </w:tc>
        <w:tc>
          <w:tcPr>
            <w:tcW w:w="498" w:type="pct"/>
            <w:noWrap/>
            <w:vAlign w:val="center"/>
          </w:tcPr>
          <w:p w14:paraId="5CAF5A2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10</w:t>
            </w:r>
          </w:p>
        </w:tc>
        <w:tc>
          <w:tcPr>
            <w:tcW w:w="597" w:type="pct"/>
            <w:noWrap/>
            <w:vAlign w:val="center"/>
          </w:tcPr>
          <w:p w14:paraId="7605709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27281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5B4B7357">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42EC94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马家棚</w:t>
            </w:r>
          </w:p>
        </w:tc>
        <w:tc>
          <w:tcPr>
            <w:tcW w:w="742" w:type="pct"/>
            <w:noWrap/>
            <w:vAlign w:val="center"/>
          </w:tcPr>
          <w:p w14:paraId="65ED155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119.375348</w:t>
            </w:r>
          </w:p>
        </w:tc>
        <w:tc>
          <w:tcPr>
            <w:tcW w:w="742" w:type="pct"/>
            <w:noWrap/>
            <w:vAlign w:val="center"/>
          </w:tcPr>
          <w:p w14:paraId="7FF9578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31.817504</w:t>
            </w:r>
          </w:p>
        </w:tc>
        <w:tc>
          <w:tcPr>
            <w:tcW w:w="465" w:type="pct"/>
            <w:noWrap/>
            <w:vAlign w:val="center"/>
          </w:tcPr>
          <w:p w14:paraId="23FD446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2E0E216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w:t>
            </w:r>
          </w:p>
        </w:tc>
        <w:tc>
          <w:tcPr>
            <w:tcW w:w="498" w:type="pct"/>
            <w:noWrap/>
            <w:vAlign w:val="center"/>
          </w:tcPr>
          <w:p w14:paraId="53DE43E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71</w:t>
            </w:r>
          </w:p>
        </w:tc>
        <w:tc>
          <w:tcPr>
            <w:tcW w:w="597" w:type="pct"/>
            <w:noWrap/>
            <w:vAlign w:val="center"/>
          </w:tcPr>
          <w:p w14:paraId="5E936C4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54213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7D7A2C69">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2A53D8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上阮</w:t>
            </w:r>
          </w:p>
        </w:tc>
        <w:tc>
          <w:tcPr>
            <w:tcW w:w="742" w:type="pct"/>
            <w:noWrap/>
            <w:vAlign w:val="center"/>
          </w:tcPr>
          <w:p w14:paraId="77F79A3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119.325499</w:t>
            </w:r>
          </w:p>
        </w:tc>
        <w:tc>
          <w:tcPr>
            <w:tcW w:w="742" w:type="pct"/>
            <w:noWrap/>
            <w:vAlign w:val="center"/>
          </w:tcPr>
          <w:p w14:paraId="7058093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31.668061</w:t>
            </w:r>
          </w:p>
        </w:tc>
        <w:tc>
          <w:tcPr>
            <w:tcW w:w="465" w:type="pct"/>
            <w:noWrap/>
            <w:vAlign w:val="center"/>
          </w:tcPr>
          <w:p w14:paraId="31B4981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4C23549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西南</w:t>
            </w:r>
          </w:p>
        </w:tc>
        <w:tc>
          <w:tcPr>
            <w:tcW w:w="498" w:type="pct"/>
            <w:noWrap/>
            <w:vAlign w:val="center"/>
          </w:tcPr>
          <w:p w14:paraId="6458F6B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10</w:t>
            </w:r>
          </w:p>
        </w:tc>
        <w:tc>
          <w:tcPr>
            <w:tcW w:w="597" w:type="pct"/>
            <w:noWrap/>
            <w:vAlign w:val="center"/>
          </w:tcPr>
          <w:p w14:paraId="47B9289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约20</w:t>
            </w:r>
          </w:p>
        </w:tc>
      </w:tr>
      <w:tr w14:paraId="5A796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60A8A5E5">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2BEFC13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上慢埠</w:t>
            </w:r>
          </w:p>
        </w:tc>
        <w:tc>
          <w:tcPr>
            <w:tcW w:w="742" w:type="pct"/>
            <w:noWrap/>
            <w:vAlign w:val="center"/>
          </w:tcPr>
          <w:p w14:paraId="3708678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119.350785</w:t>
            </w:r>
          </w:p>
        </w:tc>
        <w:tc>
          <w:tcPr>
            <w:tcW w:w="742" w:type="pct"/>
            <w:noWrap/>
            <w:vAlign w:val="center"/>
          </w:tcPr>
          <w:p w14:paraId="4CBA0E5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31.724867</w:t>
            </w:r>
          </w:p>
        </w:tc>
        <w:tc>
          <w:tcPr>
            <w:tcW w:w="465" w:type="pct"/>
            <w:noWrap/>
            <w:vAlign w:val="center"/>
          </w:tcPr>
          <w:p w14:paraId="3BC8A9B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38646CE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东南</w:t>
            </w:r>
          </w:p>
        </w:tc>
        <w:tc>
          <w:tcPr>
            <w:tcW w:w="498" w:type="pct"/>
            <w:noWrap/>
            <w:vAlign w:val="center"/>
          </w:tcPr>
          <w:p w14:paraId="4437413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156</w:t>
            </w:r>
          </w:p>
        </w:tc>
        <w:tc>
          <w:tcPr>
            <w:tcW w:w="597" w:type="pct"/>
            <w:noWrap/>
            <w:vAlign w:val="center"/>
          </w:tcPr>
          <w:p w14:paraId="0C74A19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约10</w:t>
            </w:r>
          </w:p>
        </w:tc>
      </w:tr>
      <w:tr w14:paraId="007A6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7BE9738C">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742EEA8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竹墩头</w:t>
            </w:r>
          </w:p>
        </w:tc>
        <w:tc>
          <w:tcPr>
            <w:tcW w:w="742" w:type="pct"/>
            <w:noWrap/>
            <w:vAlign w:val="center"/>
          </w:tcPr>
          <w:p w14:paraId="0C8C75F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119.417966</w:t>
            </w:r>
          </w:p>
        </w:tc>
        <w:tc>
          <w:tcPr>
            <w:tcW w:w="742" w:type="pct"/>
            <w:noWrap/>
            <w:vAlign w:val="center"/>
          </w:tcPr>
          <w:p w14:paraId="4A59994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31.648024</w:t>
            </w:r>
          </w:p>
        </w:tc>
        <w:tc>
          <w:tcPr>
            <w:tcW w:w="465" w:type="pct"/>
            <w:noWrap/>
            <w:vAlign w:val="center"/>
          </w:tcPr>
          <w:p w14:paraId="0D18B75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居民</w:t>
            </w:r>
          </w:p>
        </w:tc>
        <w:tc>
          <w:tcPr>
            <w:tcW w:w="498" w:type="pct"/>
            <w:noWrap/>
            <w:vAlign w:val="center"/>
          </w:tcPr>
          <w:p w14:paraId="7DF5F75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东</w:t>
            </w:r>
          </w:p>
        </w:tc>
        <w:tc>
          <w:tcPr>
            <w:tcW w:w="498" w:type="pct"/>
            <w:noWrap/>
            <w:vAlign w:val="center"/>
          </w:tcPr>
          <w:p w14:paraId="5E1A0D3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177</w:t>
            </w:r>
          </w:p>
        </w:tc>
        <w:tc>
          <w:tcPr>
            <w:tcW w:w="597" w:type="pct"/>
            <w:noWrap/>
            <w:vAlign w:val="center"/>
          </w:tcPr>
          <w:p w14:paraId="586E9D5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r w14:paraId="6EBD4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98" w:type="pct"/>
            <w:noWrap/>
            <w:vAlign w:val="center"/>
          </w:tcPr>
          <w:p w14:paraId="3785743D">
            <w:pPr>
              <w:widowControl/>
              <w:numPr>
                <w:ilvl w:val="0"/>
                <w:numId w:val="8"/>
              </w:numPr>
              <w:tabs>
                <w:tab w:val="clear" w:pos="0"/>
              </w:tabs>
              <w:spacing w:line="240" w:lineRule="auto"/>
              <w:ind w:firstLine="420"/>
              <w:jc w:val="center"/>
              <w:textAlignment w:val="center"/>
              <w:rPr>
                <w:rFonts w:cs="Times New Roman"/>
                <w:color w:val="000000"/>
                <w:sz w:val="21"/>
                <w:szCs w:val="21"/>
              </w:rPr>
            </w:pPr>
          </w:p>
        </w:tc>
        <w:tc>
          <w:tcPr>
            <w:tcW w:w="1058" w:type="pct"/>
            <w:noWrap/>
            <w:vAlign w:val="center"/>
          </w:tcPr>
          <w:p w14:paraId="5F1CF4C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国家检察官学院江苏分院</w:t>
            </w:r>
          </w:p>
        </w:tc>
        <w:tc>
          <w:tcPr>
            <w:tcW w:w="742" w:type="pct"/>
            <w:noWrap/>
            <w:vAlign w:val="center"/>
          </w:tcPr>
          <w:p w14:paraId="1FFE22C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119.299592</w:t>
            </w:r>
          </w:p>
        </w:tc>
        <w:tc>
          <w:tcPr>
            <w:tcW w:w="742" w:type="pct"/>
            <w:noWrap/>
            <w:vAlign w:val="center"/>
          </w:tcPr>
          <w:p w14:paraId="015D60A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31.780074</w:t>
            </w:r>
          </w:p>
        </w:tc>
        <w:tc>
          <w:tcPr>
            <w:tcW w:w="465" w:type="pct"/>
            <w:noWrap/>
            <w:vAlign w:val="center"/>
          </w:tcPr>
          <w:p w14:paraId="06C1171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师生</w:t>
            </w:r>
          </w:p>
        </w:tc>
        <w:tc>
          <w:tcPr>
            <w:tcW w:w="498" w:type="pct"/>
            <w:noWrap/>
            <w:vAlign w:val="center"/>
          </w:tcPr>
          <w:p w14:paraId="3D89330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西</w:t>
            </w:r>
          </w:p>
        </w:tc>
        <w:tc>
          <w:tcPr>
            <w:tcW w:w="498" w:type="pct"/>
            <w:noWrap/>
            <w:vAlign w:val="center"/>
          </w:tcPr>
          <w:p w14:paraId="351B45E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175</w:t>
            </w:r>
          </w:p>
        </w:tc>
        <w:tc>
          <w:tcPr>
            <w:tcW w:w="597" w:type="pct"/>
            <w:noWrap/>
            <w:vAlign w:val="center"/>
          </w:tcPr>
          <w:p w14:paraId="1D9F45E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约50</w:t>
            </w:r>
          </w:p>
        </w:tc>
      </w:tr>
    </w:tbl>
    <w:p w14:paraId="1EB5EA3D">
      <w:pPr>
        <w:ind w:firstLine="480"/>
        <w:outlineLvl w:val="3"/>
      </w:pPr>
      <w:r>
        <w:rPr>
          <w:rFonts w:hint="eastAsia"/>
        </w:rPr>
        <w:t>（4）土壤保护目标</w:t>
      </w:r>
    </w:p>
    <w:p w14:paraId="43E7F0F0">
      <w:pPr>
        <w:ind w:firstLine="480"/>
      </w:pPr>
      <w:r>
        <w:rPr>
          <w:rFonts w:hint="eastAsia"/>
        </w:rPr>
        <w:t>对照《环境影响评价技术导则 土壤环境》（HJ964-2018），结合现场调查结果，本次评价土壤保护目标主要包括区内耕地、林地、园地、草地及居民区等。评价范围内土壤环境保护敏感目标具体见表1.8-4。</w:t>
      </w:r>
    </w:p>
    <w:p w14:paraId="24E3E919">
      <w:pPr>
        <w:pStyle w:val="45"/>
        <w:rPr>
          <w:rFonts w:cs="Times New Roman"/>
        </w:rPr>
      </w:pPr>
      <w:r>
        <w:rPr>
          <w:rFonts w:cs="Times New Roman"/>
        </w:rPr>
        <w:t>表1.8-</w:t>
      </w:r>
      <w:r>
        <w:rPr>
          <w:rFonts w:hint="eastAsia" w:cs="Times New Roman"/>
        </w:rPr>
        <w:t>4</w:t>
      </w:r>
      <w:r>
        <w:rPr>
          <w:rFonts w:cs="Times New Roman"/>
        </w:rPr>
        <w:t xml:space="preserve">  </w:t>
      </w:r>
      <w:r>
        <w:rPr>
          <w:rFonts w:hint="eastAsia" w:cs="Times New Roman"/>
        </w:rPr>
        <w:t>土壤环境保护目标情况表</w:t>
      </w:r>
    </w:p>
    <w:tbl>
      <w:tblPr>
        <w:tblStyle w:val="25"/>
        <w:tblW w:w="49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36"/>
        <w:gridCol w:w="2668"/>
        <w:gridCol w:w="1284"/>
        <w:gridCol w:w="2705"/>
      </w:tblGrid>
      <w:tr w14:paraId="15CE0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986" w:type="pct"/>
            <w:vAlign w:val="center"/>
          </w:tcPr>
          <w:p w14:paraId="6770E0DE">
            <w:pPr>
              <w:autoSpaceDE w:val="0"/>
              <w:autoSpaceDN w:val="0"/>
              <w:adjustRightInd w:val="0"/>
              <w:snapToGrid w:val="0"/>
              <w:spacing w:line="240" w:lineRule="auto"/>
              <w:ind w:firstLine="0" w:firstLineChars="0"/>
              <w:jc w:val="center"/>
              <w:rPr>
                <w:rFonts w:cs="Times New Roman"/>
                <w:b/>
                <w:sz w:val="21"/>
                <w:szCs w:val="21"/>
              </w:rPr>
            </w:pPr>
            <w:r>
              <w:rPr>
                <w:rFonts w:cs="Times New Roman"/>
                <w:b/>
                <w:sz w:val="21"/>
                <w:szCs w:val="21"/>
              </w:rPr>
              <w:t>环境要素</w:t>
            </w:r>
          </w:p>
        </w:tc>
        <w:tc>
          <w:tcPr>
            <w:tcW w:w="1607" w:type="pct"/>
            <w:vAlign w:val="center"/>
          </w:tcPr>
          <w:p w14:paraId="706F8EF8">
            <w:pPr>
              <w:autoSpaceDE w:val="0"/>
              <w:autoSpaceDN w:val="0"/>
              <w:adjustRightInd w:val="0"/>
              <w:snapToGrid w:val="0"/>
              <w:spacing w:line="240" w:lineRule="auto"/>
              <w:ind w:firstLine="0" w:firstLineChars="0"/>
              <w:jc w:val="center"/>
              <w:rPr>
                <w:rFonts w:cs="Times New Roman"/>
                <w:b/>
                <w:sz w:val="21"/>
                <w:szCs w:val="21"/>
              </w:rPr>
            </w:pPr>
            <w:r>
              <w:rPr>
                <w:rFonts w:cs="Times New Roman"/>
                <w:b/>
                <w:sz w:val="21"/>
                <w:szCs w:val="21"/>
              </w:rPr>
              <w:t>环境保护对象名称</w:t>
            </w:r>
          </w:p>
        </w:tc>
        <w:tc>
          <w:tcPr>
            <w:tcW w:w="774" w:type="pct"/>
            <w:vAlign w:val="center"/>
          </w:tcPr>
          <w:p w14:paraId="02CCB6A2">
            <w:pPr>
              <w:autoSpaceDE w:val="0"/>
              <w:autoSpaceDN w:val="0"/>
              <w:adjustRightInd w:val="0"/>
              <w:snapToGrid w:val="0"/>
              <w:spacing w:line="240" w:lineRule="auto"/>
              <w:ind w:firstLine="0" w:firstLineChars="0"/>
              <w:jc w:val="center"/>
              <w:rPr>
                <w:rFonts w:cs="Times New Roman"/>
                <w:b/>
                <w:sz w:val="21"/>
                <w:szCs w:val="21"/>
              </w:rPr>
            </w:pPr>
            <w:r>
              <w:rPr>
                <w:rFonts w:cs="Times New Roman"/>
                <w:b/>
                <w:sz w:val="21"/>
                <w:szCs w:val="21"/>
              </w:rPr>
              <w:t>方位</w:t>
            </w:r>
          </w:p>
        </w:tc>
        <w:tc>
          <w:tcPr>
            <w:tcW w:w="1630" w:type="pct"/>
            <w:vAlign w:val="center"/>
          </w:tcPr>
          <w:p w14:paraId="0287261E">
            <w:pPr>
              <w:autoSpaceDE w:val="0"/>
              <w:autoSpaceDN w:val="0"/>
              <w:adjustRightInd w:val="0"/>
              <w:snapToGrid w:val="0"/>
              <w:spacing w:line="240" w:lineRule="auto"/>
              <w:ind w:firstLine="0" w:firstLineChars="0"/>
              <w:jc w:val="center"/>
              <w:rPr>
                <w:rFonts w:cs="Times New Roman"/>
                <w:b/>
                <w:sz w:val="21"/>
                <w:szCs w:val="21"/>
              </w:rPr>
            </w:pPr>
            <w:r>
              <w:rPr>
                <w:rFonts w:hint="eastAsia" w:cs="Times New Roman"/>
                <w:b/>
                <w:sz w:val="21"/>
                <w:szCs w:val="21"/>
              </w:rPr>
              <w:t>面积（</w:t>
            </w:r>
            <w:r>
              <w:rPr>
                <w:rFonts w:cs="Times New Roman"/>
                <w:b/>
                <w:sz w:val="21"/>
                <w:szCs w:val="21"/>
              </w:rPr>
              <w:t>km</w:t>
            </w:r>
            <w:r>
              <w:rPr>
                <w:rFonts w:cs="Times New Roman"/>
                <w:b/>
                <w:sz w:val="21"/>
                <w:szCs w:val="21"/>
                <w:vertAlign w:val="superscript"/>
              </w:rPr>
              <w:t>2</w:t>
            </w:r>
            <w:r>
              <w:rPr>
                <w:rFonts w:hint="eastAsia" w:cs="Times New Roman"/>
                <w:b/>
                <w:sz w:val="21"/>
                <w:szCs w:val="21"/>
              </w:rPr>
              <w:t>）</w:t>
            </w:r>
          </w:p>
        </w:tc>
      </w:tr>
      <w:tr w14:paraId="48722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986" w:type="pct"/>
            <w:vMerge w:val="restart"/>
            <w:vAlign w:val="center"/>
          </w:tcPr>
          <w:p w14:paraId="1C24DDB6">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耕地</w:t>
            </w:r>
          </w:p>
        </w:tc>
        <w:tc>
          <w:tcPr>
            <w:tcW w:w="1607" w:type="pct"/>
            <w:vAlign w:val="center"/>
          </w:tcPr>
          <w:p w14:paraId="4D5A44DC">
            <w:pPr>
              <w:adjustRightInd w:val="0"/>
              <w:snapToGrid w:val="0"/>
              <w:spacing w:line="240" w:lineRule="auto"/>
              <w:ind w:firstLine="0" w:firstLineChars="0"/>
              <w:jc w:val="center"/>
              <w:rPr>
                <w:rFonts w:cs="Times New Roman"/>
                <w:sz w:val="21"/>
                <w:szCs w:val="21"/>
              </w:rPr>
            </w:pPr>
            <w:r>
              <w:rPr>
                <w:rFonts w:cs="Times New Roman"/>
                <w:sz w:val="21"/>
                <w:szCs w:val="21"/>
              </w:rPr>
              <w:t>一般农用地</w:t>
            </w:r>
          </w:p>
        </w:tc>
        <w:tc>
          <w:tcPr>
            <w:tcW w:w="774" w:type="pct"/>
            <w:vMerge w:val="restart"/>
            <w:vAlign w:val="center"/>
          </w:tcPr>
          <w:p w14:paraId="1B1086F6">
            <w:pPr>
              <w:adjustRightInd w:val="0"/>
              <w:snapToGrid w:val="0"/>
              <w:spacing w:line="240" w:lineRule="auto"/>
              <w:ind w:firstLine="0" w:firstLineChars="0"/>
              <w:jc w:val="center"/>
              <w:rPr>
                <w:rFonts w:cs="Times New Roman"/>
                <w:sz w:val="21"/>
                <w:szCs w:val="21"/>
              </w:rPr>
            </w:pPr>
            <w:r>
              <w:rPr>
                <w:rFonts w:cs="Times New Roman"/>
                <w:sz w:val="21"/>
                <w:szCs w:val="21"/>
              </w:rPr>
              <w:t>区内</w:t>
            </w:r>
          </w:p>
        </w:tc>
        <w:tc>
          <w:tcPr>
            <w:tcW w:w="1630" w:type="pct"/>
            <w:vAlign w:val="center"/>
          </w:tcPr>
          <w:p w14:paraId="64165971">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0.44</w:t>
            </w:r>
          </w:p>
        </w:tc>
      </w:tr>
      <w:tr w14:paraId="0673D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986" w:type="pct"/>
            <w:vMerge w:val="continue"/>
            <w:vAlign w:val="center"/>
          </w:tcPr>
          <w:p w14:paraId="1CFD336B">
            <w:pPr>
              <w:autoSpaceDE w:val="0"/>
              <w:autoSpaceDN w:val="0"/>
              <w:adjustRightInd w:val="0"/>
              <w:snapToGrid w:val="0"/>
              <w:spacing w:line="240" w:lineRule="auto"/>
              <w:ind w:firstLine="0" w:firstLineChars="0"/>
              <w:jc w:val="center"/>
              <w:rPr>
                <w:rFonts w:cs="Times New Roman"/>
                <w:sz w:val="21"/>
                <w:szCs w:val="21"/>
              </w:rPr>
            </w:pPr>
          </w:p>
        </w:tc>
        <w:tc>
          <w:tcPr>
            <w:tcW w:w="1607" w:type="pct"/>
            <w:vAlign w:val="center"/>
          </w:tcPr>
          <w:p w14:paraId="38AA5FBF">
            <w:pPr>
              <w:adjustRightInd w:val="0"/>
              <w:snapToGrid w:val="0"/>
              <w:spacing w:line="240" w:lineRule="auto"/>
              <w:ind w:firstLine="0" w:firstLineChars="0"/>
              <w:jc w:val="center"/>
              <w:rPr>
                <w:rFonts w:cs="Times New Roman"/>
                <w:sz w:val="21"/>
                <w:szCs w:val="21"/>
              </w:rPr>
            </w:pPr>
            <w:r>
              <w:rPr>
                <w:rFonts w:hint="eastAsia" w:cs="Times New Roman"/>
                <w:sz w:val="21"/>
                <w:szCs w:val="21"/>
              </w:rPr>
              <w:t>基本农田保护区</w:t>
            </w:r>
          </w:p>
        </w:tc>
        <w:tc>
          <w:tcPr>
            <w:tcW w:w="774" w:type="pct"/>
            <w:vMerge w:val="continue"/>
            <w:vAlign w:val="center"/>
          </w:tcPr>
          <w:p w14:paraId="7B27EDFC">
            <w:pPr>
              <w:adjustRightInd w:val="0"/>
              <w:snapToGrid w:val="0"/>
              <w:spacing w:line="240" w:lineRule="auto"/>
              <w:ind w:firstLine="0" w:firstLineChars="0"/>
              <w:jc w:val="center"/>
              <w:rPr>
                <w:rFonts w:cs="Times New Roman"/>
                <w:sz w:val="21"/>
                <w:szCs w:val="21"/>
              </w:rPr>
            </w:pPr>
          </w:p>
        </w:tc>
        <w:tc>
          <w:tcPr>
            <w:tcW w:w="1630" w:type="pct"/>
            <w:vAlign w:val="center"/>
          </w:tcPr>
          <w:p w14:paraId="45E1E750">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11.16</w:t>
            </w:r>
          </w:p>
        </w:tc>
      </w:tr>
      <w:tr w14:paraId="415FE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594" w:type="pct"/>
            <w:gridSpan w:val="2"/>
            <w:vAlign w:val="center"/>
          </w:tcPr>
          <w:p w14:paraId="180702DA">
            <w:pPr>
              <w:adjustRightInd w:val="0"/>
              <w:snapToGrid w:val="0"/>
              <w:spacing w:line="240" w:lineRule="auto"/>
              <w:ind w:firstLine="0" w:firstLineChars="0"/>
              <w:jc w:val="center"/>
              <w:rPr>
                <w:rFonts w:cs="Times New Roman"/>
                <w:sz w:val="21"/>
                <w:szCs w:val="21"/>
              </w:rPr>
            </w:pPr>
            <w:r>
              <w:rPr>
                <w:rFonts w:hint="eastAsia" w:cs="Times New Roman"/>
                <w:sz w:val="21"/>
                <w:szCs w:val="21"/>
              </w:rPr>
              <w:t>林地</w:t>
            </w:r>
          </w:p>
        </w:tc>
        <w:tc>
          <w:tcPr>
            <w:tcW w:w="774" w:type="pct"/>
            <w:vMerge w:val="continue"/>
            <w:vAlign w:val="center"/>
          </w:tcPr>
          <w:p w14:paraId="600518AB">
            <w:pPr>
              <w:adjustRightInd w:val="0"/>
              <w:snapToGrid w:val="0"/>
              <w:spacing w:line="240" w:lineRule="auto"/>
              <w:ind w:firstLine="0" w:firstLineChars="0"/>
              <w:jc w:val="center"/>
              <w:rPr>
                <w:rFonts w:cs="Times New Roman"/>
                <w:sz w:val="21"/>
                <w:szCs w:val="21"/>
              </w:rPr>
            </w:pPr>
          </w:p>
        </w:tc>
        <w:tc>
          <w:tcPr>
            <w:tcW w:w="1630" w:type="pct"/>
            <w:vAlign w:val="center"/>
          </w:tcPr>
          <w:p w14:paraId="3E905028">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61.25</w:t>
            </w:r>
          </w:p>
        </w:tc>
      </w:tr>
      <w:tr w14:paraId="7D447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594" w:type="pct"/>
            <w:gridSpan w:val="2"/>
            <w:vAlign w:val="center"/>
          </w:tcPr>
          <w:p w14:paraId="35C1AA33">
            <w:pPr>
              <w:adjustRightInd w:val="0"/>
              <w:snapToGrid w:val="0"/>
              <w:spacing w:line="240" w:lineRule="auto"/>
              <w:ind w:firstLine="0" w:firstLineChars="0"/>
              <w:jc w:val="center"/>
              <w:rPr>
                <w:rFonts w:cs="Times New Roman"/>
                <w:sz w:val="21"/>
                <w:szCs w:val="21"/>
              </w:rPr>
            </w:pPr>
            <w:r>
              <w:rPr>
                <w:rFonts w:hint="eastAsia" w:cs="Times New Roman"/>
                <w:sz w:val="21"/>
                <w:szCs w:val="21"/>
              </w:rPr>
              <w:t>园地</w:t>
            </w:r>
          </w:p>
        </w:tc>
        <w:tc>
          <w:tcPr>
            <w:tcW w:w="774" w:type="pct"/>
            <w:vMerge w:val="continue"/>
            <w:vAlign w:val="center"/>
          </w:tcPr>
          <w:p w14:paraId="61AB3F17">
            <w:pPr>
              <w:adjustRightInd w:val="0"/>
              <w:snapToGrid w:val="0"/>
              <w:spacing w:line="240" w:lineRule="auto"/>
              <w:ind w:firstLine="0" w:firstLineChars="0"/>
              <w:jc w:val="center"/>
              <w:rPr>
                <w:rFonts w:cs="Times New Roman"/>
                <w:sz w:val="21"/>
                <w:szCs w:val="21"/>
              </w:rPr>
            </w:pPr>
          </w:p>
        </w:tc>
        <w:tc>
          <w:tcPr>
            <w:tcW w:w="1630" w:type="pct"/>
            <w:vAlign w:val="center"/>
          </w:tcPr>
          <w:p w14:paraId="01A04A06">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9.29</w:t>
            </w:r>
          </w:p>
        </w:tc>
      </w:tr>
      <w:tr w14:paraId="475A7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594" w:type="pct"/>
            <w:gridSpan w:val="2"/>
            <w:vAlign w:val="center"/>
          </w:tcPr>
          <w:p w14:paraId="27B06D2F">
            <w:pPr>
              <w:adjustRightInd w:val="0"/>
              <w:snapToGrid w:val="0"/>
              <w:spacing w:line="240" w:lineRule="auto"/>
              <w:ind w:firstLine="0" w:firstLineChars="0"/>
              <w:jc w:val="center"/>
              <w:rPr>
                <w:rFonts w:cs="Times New Roman"/>
                <w:sz w:val="21"/>
                <w:szCs w:val="21"/>
              </w:rPr>
            </w:pPr>
            <w:r>
              <w:rPr>
                <w:rFonts w:hint="eastAsia" w:cs="Times New Roman"/>
                <w:sz w:val="21"/>
                <w:szCs w:val="21"/>
              </w:rPr>
              <w:t>草地</w:t>
            </w:r>
          </w:p>
        </w:tc>
        <w:tc>
          <w:tcPr>
            <w:tcW w:w="774" w:type="pct"/>
            <w:vMerge w:val="continue"/>
            <w:vAlign w:val="center"/>
          </w:tcPr>
          <w:p w14:paraId="36596BDB">
            <w:pPr>
              <w:adjustRightInd w:val="0"/>
              <w:snapToGrid w:val="0"/>
              <w:spacing w:line="240" w:lineRule="auto"/>
              <w:ind w:firstLine="0" w:firstLineChars="0"/>
              <w:jc w:val="center"/>
              <w:rPr>
                <w:rFonts w:cs="Times New Roman"/>
                <w:sz w:val="21"/>
                <w:szCs w:val="21"/>
              </w:rPr>
            </w:pPr>
          </w:p>
        </w:tc>
        <w:tc>
          <w:tcPr>
            <w:tcW w:w="1630" w:type="pct"/>
            <w:vAlign w:val="center"/>
          </w:tcPr>
          <w:p w14:paraId="1F8B8AD9">
            <w:pPr>
              <w:autoSpaceDE w:val="0"/>
              <w:autoSpaceDN w:val="0"/>
              <w:adjustRightInd w:val="0"/>
              <w:snapToGrid w:val="0"/>
              <w:spacing w:line="240" w:lineRule="auto"/>
              <w:ind w:firstLine="0" w:firstLineChars="0"/>
              <w:jc w:val="center"/>
              <w:rPr>
                <w:rFonts w:cs="Times New Roman"/>
                <w:sz w:val="21"/>
                <w:szCs w:val="21"/>
              </w:rPr>
            </w:pPr>
            <w:r>
              <w:rPr>
                <w:rFonts w:hint="eastAsia" w:cs="Times New Roman"/>
                <w:sz w:val="21"/>
                <w:szCs w:val="21"/>
              </w:rPr>
              <w:t>1.67</w:t>
            </w:r>
          </w:p>
        </w:tc>
      </w:tr>
      <w:tr w14:paraId="01D12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2" w:hRule="atLeast"/>
          <w:jc w:val="center"/>
        </w:trPr>
        <w:tc>
          <w:tcPr>
            <w:tcW w:w="2594" w:type="pct"/>
            <w:gridSpan w:val="2"/>
            <w:vAlign w:val="center"/>
          </w:tcPr>
          <w:p w14:paraId="5E7E33A7">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居民</w:t>
            </w:r>
            <w:r>
              <w:rPr>
                <w:rFonts w:hint="eastAsia" w:cs="Times New Roman"/>
                <w:sz w:val="21"/>
                <w:szCs w:val="21"/>
              </w:rPr>
              <w:t>区等</w:t>
            </w:r>
          </w:p>
        </w:tc>
        <w:tc>
          <w:tcPr>
            <w:tcW w:w="774" w:type="pct"/>
            <w:vMerge w:val="continue"/>
            <w:vAlign w:val="center"/>
          </w:tcPr>
          <w:p w14:paraId="2A906DCD">
            <w:pPr>
              <w:autoSpaceDE w:val="0"/>
              <w:autoSpaceDN w:val="0"/>
              <w:adjustRightInd w:val="0"/>
              <w:snapToGrid w:val="0"/>
              <w:spacing w:line="240" w:lineRule="auto"/>
              <w:ind w:firstLine="0" w:firstLineChars="0"/>
              <w:jc w:val="center"/>
              <w:rPr>
                <w:rFonts w:cs="Times New Roman"/>
                <w:sz w:val="21"/>
                <w:szCs w:val="21"/>
              </w:rPr>
            </w:pPr>
          </w:p>
        </w:tc>
        <w:tc>
          <w:tcPr>
            <w:tcW w:w="1630" w:type="pct"/>
            <w:vAlign w:val="center"/>
          </w:tcPr>
          <w:p w14:paraId="52342888">
            <w:pPr>
              <w:autoSpaceDE w:val="0"/>
              <w:autoSpaceDN w:val="0"/>
              <w:adjustRightInd w:val="0"/>
              <w:snapToGrid w:val="0"/>
              <w:spacing w:line="240" w:lineRule="auto"/>
              <w:ind w:firstLine="0" w:firstLineChars="0"/>
              <w:jc w:val="center"/>
              <w:rPr>
                <w:rFonts w:cs="Times New Roman"/>
                <w:sz w:val="21"/>
                <w:szCs w:val="21"/>
              </w:rPr>
            </w:pPr>
            <w:r>
              <w:rPr>
                <w:rFonts w:cs="Times New Roman"/>
                <w:sz w:val="21"/>
                <w:szCs w:val="21"/>
              </w:rPr>
              <w:t>具体内容详见表1.</w:t>
            </w:r>
            <w:r>
              <w:rPr>
                <w:rFonts w:hint="eastAsia" w:cs="Times New Roman"/>
                <w:sz w:val="21"/>
                <w:szCs w:val="21"/>
              </w:rPr>
              <w:t>8</w:t>
            </w:r>
            <w:r>
              <w:rPr>
                <w:rFonts w:cs="Times New Roman"/>
                <w:sz w:val="21"/>
                <w:szCs w:val="21"/>
              </w:rPr>
              <w:t>-1</w:t>
            </w:r>
            <w:r>
              <w:rPr>
                <w:rFonts w:hint="eastAsia" w:cs="Times New Roman"/>
                <w:sz w:val="21"/>
                <w:szCs w:val="21"/>
              </w:rPr>
              <w:t>中区内居民区敏感目标</w:t>
            </w:r>
          </w:p>
        </w:tc>
      </w:tr>
    </w:tbl>
    <w:p w14:paraId="34130BAB">
      <w:pPr>
        <w:ind w:firstLine="480"/>
        <w:outlineLvl w:val="3"/>
      </w:pPr>
      <w:r>
        <w:rPr>
          <w:rFonts w:hint="eastAsia"/>
        </w:rPr>
        <w:t>（5）地下水保护目标</w:t>
      </w:r>
    </w:p>
    <w:p w14:paraId="59B368D9">
      <w:pPr>
        <w:ind w:firstLine="480"/>
      </w:pPr>
      <w:r>
        <w:rPr>
          <w:rFonts w:hint="eastAsia"/>
        </w:rPr>
        <w:t>茅山旅游度假区内居民生活、行政办公等用水均由市政自来水供水（长荡湖水厂），区内无集中式、分散式取水水井及无地下水水源保护区，因此，本次评价地下水环境保护目标确定为茅山旅游度假区内地下水潜水含水层。</w:t>
      </w:r>
    </w:p>
    <w:p w14:paraId="52CA42D8">
      <w:pPr>
        <w:ind w:firstLine="480"/>
        <w:outlineLvl w:val="3"/>
      </w:pPr>
      <w:r>
        <w:rPr>
          <w:rFonts w:hint="eastAsia"/>
        </w:rPr>
        <w:t>（6）生态环境保护目标</w:t>
      </w:r>
    </w:p>
    <w:p w14:paraId="34733588">
      <w:pPr>
        <w:ind w:firstLine="480"/>
      </w:pPr>
      <w:r>
        <w:rPr>
          <w:rFonts w:hint="eastAsia"/>
        </w:rPr>
        <w:t>对照</w:t>
      </w:r>
      <w:bookmarkStart w:id="22" w:name="_Hlk172190784"/>
      <w:r>
        <w:rPr>
          <w:rFonts w:hint="eastAsia"/>
        </w:rPr>
        <w:t>《江苏省国家级生态保护红线规划》《江苏省生态空间管控区域规划》，以及《江苏省自然资源厅关于常州市金坛区2023年度生态空间管控区域调整方案的复函》（苏自然资函〔2023〕209号），度假区范围内涉及</w:t>
      </w:r>
      <w:bookmarkStart w:id="23" w:name="_Hlk172188350"/>
      <w:bookmarkStart w:id="24" w:name="_Hlk162443520"/>
      <w:r>
        <w:rPr>
          <w:rFonts w:hint="eastAsia"/>
        </w:rPr>
        <w:t>江苏常州金坛茅东省级森林公园</w:t>
      </w:r>
      <w:bookmarkEnd w:id="23"/>
      <w:r>
        <w:rPr>
          <w:rFonts w:hint="eastAsia"/>
        </w:rPr>
        <w:t>、茅东山地水源涵养区、四棚洼生态公益林、方山（金坛区）森林公园、向阳水库水源涵养区等生态空间保护区域</w:t>
      </w:r>
      <w:bookmarkEnd w:id="22"/>
      <w:bookmarkEnd w:id="24"/>
      <w:r>
        <w:rPr>
          <w:rFonts w:hint="eastAsia"/>
        </w:rPr>
        <w:t>，生态环境保护要求为度假区的规划建设不会对生态保护红线和生态空间管控区产生不利影响。评价范围内的生态环境保护敏感目标具体见表1.8-5。度假区范围内生态保护红线、生态空间管控区分布如附图8、附图10所示。</w:t>
      </w:r>
    </w:p>
    <w:p w14:paraId="42D96CCF">
      <w:pPr>
        <w:ind w:firstLine="480"/>
        <w:outlineLvl w:val="3"/>
      </w:pPr>
      <w:r>
        <w:rPr>
          <w:rFonts w:hint="eastAsia"/>
        </w:rPr>
        <w:t>（</w:t>
      </w:r>
      <w:r>
        <w:t>6</w:t>
      </w:r>
      <w:r>
        <w:rPr>
          <w:rFonts w:hint="eastAsia"/>
        </w:rPr>
        <w:t>）历史文化保护目标</w:t>
      </w:r>
    </w:p>
    <w:p w14:paraId="2A302934">
      <w:pPr>
        <w:ind w:firstLine="480"/>
      </w:pPr>
      <w:r>
        <w:rPr>
          <w:rFonts w:hint="eastAsia"/>
        </w:rPr>
        <w:t>评价范围内涉及3处全国重点文物保护单位、2处市级文物保护单位，保护要求为应严格执行《中华人民共和国文物保护法》《江苏省文物保护条例》等法律法规及规划要求，做好各类古迹文物的保护工作。评价范围内文物保护单位具体见表1.8-6，分布如附图12所示。</w:t>
      </w:r>
    </w:p>
    <w:p w14:paraId="14A967DD">
      <w:pPr>
        <w:ind w:firstLine="480"/>
      </w:pPr>
      <w:r>
        <w:rPr>
          <w:rFonts w:hint="eastAsia"/>
        </w:rPr>
        <w:t>（7）古树名木保护目标</w:t>
      </w:r>
    </w:p>
    <w:p w14:paraId="42025710">
      <w:pPr>
        <w:ind w:firstLine="480"/>
      </w:pPr>
      <w:r>
        <w:rPr>
          <w:rFonts w:hint="eastAsia"/>
        </w:rPr>
        <w:t>规划范围内涉及古树名木23株，按《常州市古树名木和古树后备资源保护管理办法》要求管理，古树名木信息具体见表1.8-7。</w:t>
      </w:r>
    </w:p>
    <w:p w14:paraId="6ED2C91E">
      <w:pPr>
        <w:ind w:firstLine="480"/>
      </w:pPr>
    </w:p>
    <w:p w14:paraId="277A689B">
      <w:pPr>
        <w:ind w:firstLine="480"/>
        <w:sectPr>
          <w:pgSz w:w="11906" w:h="16838"/>
          <w:pgMar w:top="1440" w:right="1800" w:bottom="1440" w:left="1800" w:header="851" w:footer="992" w:gutter="0"/>
          <w:cols w:space="425" w:num="1"/>
          <w:docGrid w:type="lines" w:linePitch="312" w:charSpace="0"/>
        </w:sectPr>
      </w:pPr>
    </w:p>
    <w:p w14:paraId="581ED37A">
      <w:pPr>
        <w:pStyle w:val="45"/>
        <w:rPr>
          <w:rFonts w:cs="Times New Roman"/>
        </w:rPr>
      </w:pPr>
      <w:r>
        <w:rPr>
          <w:rFonts w:hint="eastAsia" w:cs="Times New Roman"/>
        </w:rPr>
        <w:t>表1.8-5  生态环境保护敏感目标一览表</w:t>
      </w:r>
    </w:p>
    <w:tbl>
      <w:tblPr>
        <w:tblStyle w:val="25"/>
        <w:tblW w:w="52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6"/>
        <w:gridCol w:w="1065"/>
        <w:gridCol w:w="1362"/>
        <w:gridCol w:w="1703"/>
        <w:gridCol w:w="2051"/>
        <w:gridCol w:w="1772"/>
        <w:gridCol w:w="1631"/>
        <w:gridCol w:w="899"/>
        <w:gridCol w:w="915"/>
        <w:gridCol w:w="2699"/>
      </w:tblGrid>
      <w:tr w14:paraId="40215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54" w:type="pct"/>
            <w:gridSpan w:val="2"/>
            <w:vMerge w:val="restart"/>
            <w:vAlign w:val="center"/>
          </w:tcPr>
          <w:p w14:paraId="31A3CB42">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生态空间保护区域名称</w:t>
            </w:r>
          </w:p>
        </w:tc>
        <w:tc>
          <w:tcPr>
            <w:tcW w:w="454" w:type="pct"/>
            <w:vMerge w:val="restart"/>
            <w:vAlign w:val="center"/>
          </w:tcPr>
          <w:p w14:paraId="73B977F1">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主导生态功能</w:t>
            </w:r>
          </w:p>
        </w:tc>
        <w:tc>
          <w:tcPr>
            <w:tcW w:w="1250" w:type="pct"/>
            <w:gridSpan w:val="2"/>
            <w:vAlign w:val="center"/>
          </w:tcPr>
          <w:p w14:paraId="2D3B5801">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范围</w:t>
            </w:r>
          </w:p>
        </w:tc>
        <w:tc>
          <w:tcPr>
            <w:tcW w:w="1133" w:type="pct"/>
            <w:gridSpan w:val="2"/>
            <w:vAlign w:val="center"/>
          </w:tcPr>
          <w:p w14:paraId="58ABF727">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面积</w:t>
            </w:r>
          </w:p>
        </w:tc>
        <w:tc>
          <w:tcPr>
            <w:tcW w:w="605" w:type="pct"/>
            <w:gridSpan w:val="2"/>
            <w:tcBorders>
              <w:right w:val="single" w:color="auto" w:sz="4" w:space="0"/>
            </w:tcBorders>
            <w:noWrap/>
            <w:vAlign w:val="center"/>
          </w:tcPr>
          <w:p w14:paraId="5835765F">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相对位置</w:t>
            </w:r>
          </w:p>
        </w:tc>
        <w:tc>
          <w:tcPr>
            <w:tcW w:w="899" w:type="pct"/>
            <w:vMerge w:val="restart"/>
            <w:tcBorders>
              <w:top w:val="single" w:color="auto" w:sz="4" w:space="0"/>
              <w:left w:val="single" w:color="auto" w:sz="4" w:space="0"/>
              <w:bottom w:val="single" w:color="auto" w:sz="4" w:space="0"/>
              <w:right w:val="single" w:color="auto" w:sz="4" w:space="0"/>
            </w:tcBorders>
            <w:vAlign w:val="center"/>
          </w:tcPr>
          <w:p w14:paraId="160B073C">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管控要求</w:t>
            </w:r>
          </w:p>
        </w:tc>
      </w:tr>
      <w:tr w14:paraId="7C9C3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54" w:type="pct"/>
            <w:gridSpan w:val="2"/>
            <w:vMerge w:val="continue"/>
            <w:vAlign w:val="center"/>
          </w:tcPr>
          <w:p w14:paraId="594B15FC">
            <w:pPr>
              <w:spacing w:line="240" w:lineRule="auto"/>
              <w:ind w:firstLine="0" w:firstLineChars="0"/>
              <w:jc w:val="center"/>
              <w:rPr>
                <w:rFonts w:cs="Times New Roman"/>
                <w:b/>
                <w:sz w:val="21"/>
                <w:szCs w:val="21"/>
                <w14:ligatures w14:val="none"/>
              </w:rPr>
            </w:pPr>
          </w:p>
        </w:tc>
        <w:tc>
          <w:tcPr>
            <w:tcW w:w="454" w:type="pct"/>
            <w:vMerge w:val="continue"/>
            <w:vAlign w:val="center"/>
          </w:tcPr>
          <w:p w14:paraId="30974475">
            <w:pPr>
              <w:spacing w:line="240" w:lineRule="auto"/>
              <w:ind w:firstLine="0" w:firstLineChars="0"/>
              <w:jc w:val="center"/>
              <w:rPr>
                <w:rFonts w:cs="Times New Roman"/>
                <w:b/>
                <w:sz w:val="21"/>
                <w:szCs w:val="21"/>
                <w14:ligatures w14:val="none"/>
              </w:rPr>
            </w:pPr>
          </w:p>
        </w:tc>
        <w:tc>
          <w:tcPr>
            <w:tcW w:w="567" w:type="pct"/>
            <w:vAlign w:val="center"/>
          </w:tcPr>
          <w:p w14:paraId="362A032A">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国家级生态保护红线范围</w:t>
            </w:r>
          </w:p>
        </w:tc>
        <w:tc>
          <w:tcPr>
            <w:tcW w:w="683" w:type="pct"/>
            <w:vAlign w:val="center"/>
          </w:tcPr>
          <w:p w14:paraId="04C820C0">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生态空间管控区域范围</w:t>
            </w:r>
          </w:p>
        </w:tc>
        <w:tc>
          <w:tcPr>
            <w:tcW w:w="590" w:type="pct"/>
            <w:vAlign w:val="center"/>
          </w:tcPr>
          <w:p w14:paraId="0C9D2BF6">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国家级生态保护红线范围（km</w:t>
            </w:r>
            <w:r>
              <w:rPr>
                <w:rFonts w:hint="eastAsia" w:cs="Times New Roman"/>
                <w:b/>
                <w:sz w:val="21"/>
                <w:szCs w:val="21"/>
                <w:vertAlign w:val="superscript"/>
                <w14:ligatures w14:val="none"/>
              </w:rPr>
              <w:t>2</w:t>
            </w:r>
            <w:r>
              <w:rPr>
                <w:rFonts w:hint="eastAsia" w:cs="Times New Roman"/>
                <w:b/>
                <w:sz w:val="21"/>
                <w:szCs w:val="21"/>
                <w14:ligatures w14:val="none"/>
              </w:rPr>
              <w:t>）</w:t>
            </w:r>
          </w:p>
        </w:tc>
        <w:tc>
          <w:tcPr>
            <w:tcW w:w="543" w:type="pct"/>
            <w:vAlign w:val="center"/>
          </w:tcPr>
          <w:p w14:paraId="04AC376A">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生态空间管控区域范围（km</w:t>
            </w:r>
            <w:r>
              <w:rPr>
                <w:rFonts w:hint="eastAsia" w:cs="Times New Roman"/>
                <w:b/>
                <w:sz w:val="21"/>
                <w:szCs w:val="21"/>
                <w:vertAlign w:val="superscript"/>
                <w14:ligatures w14:val="none"/>
              </w:rPr>
              <w:t>2</w:t>
            </w:r>
            <w:r>
              <w:rPr>
                <w:rFonts w:hint="eastAsia" w:cs="Times New Roman"/>
                <w:b/>
                <w:sz w:val="21"/>
                <w:szCs w:val="21"/>
                <w14:ligatures w14:val="none"/>
              </w:rPr>
              <w:t>）</w:t>
            </w:r>
          </w:p>
        </w:tc>
        <w:tc>
          <w:tcPr>
            <w:tcW w:w="300" w:type="pct"/>
            <w:noWrap/>
            <w:vAlign w:val="center"/>
          </w:tcPr>
          <w:p w14:paraId="5DD69614">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方位</w:t>
            </w:r>
          </w:p>
        </w:tc>
        <w:tc>
          <w:tcPr>
            <w:tcW w:w="305" w:type="pct"/>
            <w:tcBorders>
              <w:right w:val="single" w:color="auto" w:sz="4" w:space="0"/>
            </w:tcBorders>
            <w:noWrap/>
            <w:vAlign w:val="center"/>
          </w:tcPr>
          <w:p w14:paraId="0C485C6E">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最近距离（m）</w:t>
            </w:r>
          </w:p>
        </w:tc>
        <w:tc>
          <w:tcPr>
            <w:tcW w:w="899" w:type="pct"/>
            <w:vMerge w:val="continue"/>
            <w:tcBorders>
              <w:top w:val="single" w:color="auto" w:sz="4" w:space="0"/>
              <w:left w:val="single" w:color="auto" w:sz="4" w:space="0"/>
              <w:bottom w:val="single" w:color="auto" w:sz="4" w:space="0"/>
              <w:right w:val="single" w:color="auto" w:sz="4" w:space="0"/>
            </w:tcBorders>
            <w:vAlign w:val="center"/>
          </w:tcPr>
          <w:p w14:paraId="4F0E8F4C">
            <w:pPr>
              <w:spacing w:line="240" w:lineRule="auto"/>
              <w:ind w:firstLine="0" w:firstLineChars="0"/>
              <w:jc w:val="center"/>
              <w:rPr>
                <w:rFonts w:cs="Times New Roman"/>
                <w:sz w:val="21"/>
                <w:szCs w:val="21"/>
                <w14:ligatures w14:val="none"/>
              </w:rPr>
            </w:pPr>
          </w:p>
        </w:tc>
      </w:tr>
      <w:tr w14:paraId="21220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1" w:hRule="atLeast"/>
          <w:jc w:val="center"/>
        </w:trPr>
        <w:tc>
          <w:tcPr>
            <w:tcW w:w="299" w:type="pct"/>
            <w:vMerge w:val="restart"/>
            <w:vAlign w:val="center"/>
          </w:tcPr>
          <w:p w14:paraId="110F458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江苏常州金坛茅东省级森林公园</w:t>
            </w:r>
            <w:r>
              <w:rPr>
                <w:rFonts w:hint="eastAsia" w:cs="Times New Roman"/>
                <w:sz w:val="21"/>
                <w:szCs w:val="21"/>
                <w:vertAlign w:val="superscript"/>
                <w14:ligatures w14:val="none"/>
              </w:rPr>
              <w:t>[1]</w:t>
            </w:r>
          </w:p>
        </w:tc>
        <w:tc>
          <w:tcPr>
            <w:tcW w:w="355" w:type="pct"/>
            <w:vAlign w:val="center"/>
          </w:tcPr>
          <w:p w14:paraId="11EB040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茅东省级森林公园</w:t>
            </w:r>
          </w:p>
        </w:tc>
        <w:tc>
          <w:tcPr>
            <w:tcW w:w="454" w:type="pct"/>
            <w:vAlign w:val="center"/>
          </w:tcPr>
          <w:p w14:paraId="0005DB3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自然与人文景观保护</w:t>
            </w:r>
          </w:p>
        </w:tc>
        <w:tc>
          <w:tcPr>
            <w:tcW w:w="567" w:type="pct"/>
            <w:vAlign w:val="center"/>
          </w:tcPr>
          <w:p w14:paraId="7BB82EB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茅东省级森林公园总体规划中确定的范围（包括生态保育区和核心景观区等）</w:t>
            </w:r>
          </w:p>
        </w:tc>
        <w:tc>
          <w:tcPr>
            <w:tcW w:w="683" w:type="pct"/>
            <w:vAlign w:val="center"/>
          </w:tcPr>
          <w:p w14:paraId="63E5ED5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590" w:type="pct"/>
            <w:vMerge w:val="restart"/>
            <w:vAlign w:val="center"/>
          </w:tcPr>
          <w:p w14:paraId="06CFF55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18.978</w:t>
            </w:r>
            <w:r>
              <w:rPr>
                <w:rFonts w:hint="eastAsia" w:cs="Times New Roman"/>
                <w:sz w:val="21"/>
                <w:szCs w:val="21"/>
                <w:vertAlign w:val="superscript"/>
                <w14:ligatures w14:val="none"/>
              </w:rPr>
              <w:t>[1]</w:t>
            </w:r>
          </w:p>
        </w:tc>
        <w:tc>
          <w:tcPr>
            <w:tcW w:w="543" w:type="pct"/>
            <w:vAlign w:val="center"/>
          </w:tcPr>
          <w:p w14:paraId="7304857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300" w:type="pct"/>
            <w:noWrap/>
            <w:vAlign w:val="center"/>
          </w:tcPr>
          <w:p w14:paraId="0F81052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区内</w:t>
            </w:r>
          </w:p>
        </w:tc>
        <w:tc>
          <w:tcPr>
            <w:tcW w:w="305" w:type="pct"/>
            <w:noWrap/>
            <w:vAlign w:val="center"/>
          </w:tcPr>
          <w:p w14:paraId="63AFFB7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899" w:type="pct"/>
            <w:vMerge w:val="restart"/>
            <w:tcBorders>
              <w:top w:val="single" w:color="auto" w:sz="4" w:space="0"/>
            </w:tcBorders>
            <w:vAlign w:val="center"/>
          </w:tcPr>
          <w:p w14:paraId="714FE57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生态保护红线内自然保护地核心保护区原则上禁止人为活动，其他区域严格禁止开发性、生产性建设活动。在符合现行法律法规前提下，除国家重大战略项目外，仅允许对生态功能不造成破坏的有限人为活动。生态保护红线内自然保护区、风景名胜区、饮用水水源保护区等区域，依照法律法规执行。</w:t>
            </w:r>
          </w:p>
        </w:tc>
      </w:tr>
      <w:tr w14:paraId="275E3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jc w:val="center"/>
        </w:trPr>
        <w:tc>
          <w:tcPr>
            <w:tcW w:w="299" w:type="pct"/>
            <w:vMerge w:val="continue"/>
            <w:vAlign w:val="center"/>
          </w:tcPr>
          <w:p w14:paraId="30F220C4">
            <w:pPr>
              <w:spacing w:line="240" w:lineRule="auto"/>
              <w:ind w:firstLine="0" w:firstLineChars="0"/>
              <w:jc w:val="center"/>
              <w:rPr>
                <w:rFonts w:cs="Times New Roman"/>
                <w:sz w:val="21"/>
                <w:szCs w:val="21"/>
                <w14:ligatures w14:val="none"/>
              </w:rPr>
            </w:pPr>
          </w:p>
        </w:tc>
        <w:tc>
          <w:tcPr>
            <w:tcW w:w="355" w:type="pct"/>
            <w:vAlign w:val="center"/>
          </w:tcPr>
          <w:p w14:paraId="53DFBA8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茅山省级风</w:t>
            </w:r>
          </w:p>
          <w:p w14:paraId="4904614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景名胜区（金坛区）</w:t>
            </w:r>
          </w:p>
        </w:tc>
        <w:tc>
          <w:tcPr>
            <w:tcW w:w="454" w:type="pct"/>
            <w:vAlign w:val="center"/>
          </w:tcPr>
          <w:p w14:paraId="4815BC0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自然与人文景观保护</w:t>
            </w:r>
          </w:p>
        </w:tc>
        <w:tc>
          <w:tcPr>
            <w:tcW w:w="567" w:type="pct"/>
            <w:vAlign w:val="center"/>
          </w:tcPr>
          <w:p w14:paraId="04DA8E4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茅山省级风景名胜区总体规划中确定的范围（包括核心景区等）</w:t>
            </w:r>
          </w:p>
        </w:tc>
        <w:tc>
          <w:tcPr>
            <w:tcW w:w="683" w:type="pct"/>
            <w:vAlign w:val="center"/>
          </w:tcPr>
          <w:p w14:paraId="4F91867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590" w:type="pct"/>
            <w:vMerge w:val="continue"/>
            <w:vAlign w:val="center"/>
          </w:tcPr>
          <w:p w14:paraId="1CE19945">
            <w:pPr>
              <w:spacing w:line="240" w:lineRule="auto"/>
              <w:ind w:firstLine="0" w:firstLineChars="0"/>
              <w:jc w:val="center"/>
              <w:rPr>
                <w:rFonts w:cs="Times New Roman"/>
                <w:sz w:val="21"/>
                <w:szCs w:val="21"/>
                <w14:ligatures w14:val="none"/>
              </w:rPr>
            </w:pPr>
          </w:p>
        </w:tc>
        <w:tc>
          <w:tcPr>
            <w:tcW w:w="543" w:type="pct"/>
            <w:vAlign w:val="center"/>
          </w:tcPr>
          <w:p w14:paraId="15C1AB7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300" w:type="pct"/>
            <w:noWrap/>
            <w:vAlign w:val="center"/>
          </w:tcPr>
          <w:p w14:paraId="41DB749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区内</w:t>
            </w:r>
          </w:p>
        </w:tc>
        <w:tc>
          <w:tcPr>
            <w:tcW w:w="305" w:type="pct"/>
            <w:noWrap/>
            <w:vAlign w:val="center"/>
          </w:tcPr>
          <w:p w14:paraId="1B1534A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899" w:type="pct"/>
            <w:vMerge w:val="continue"/>
            <w:tcBorders>
              <w:bottom w:val="single" w:color="auto" w:sz="4" w:space="0"/>
            </w:tcBorders>
            <w:vAlign w:val="center"/>
          </w:tcPr>
          <w:p w14:paraId="1790C18F">
            <w:pPr>
              <w:spacing w:line="240" w:lineRule="auto"/>
              <w:ind w:firstLine="0" w:firstLineChars="0"/>
              <w:jc w:val="center"/>
              <w:rPr>
                <w:rFonts w:cs="Times New Roman"/>
                <w:sz w:val="21"/>
                <w:szCs w:val="21"/>
                <w14:ligatures w14:val="none"/>
              </w:rPr>
            </w:pPr>
          </w:p>
        </w:tc>
      </w:tr>
      <w:tr w14:paraId="7C377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2" w:hRule="atLeast"/>
          <w:jc w:val="center"/>
        </w:trPr>
        <w:tc>
          <w:tcPr>
            <w:tcW w:w="654" w:type="pct"/>
            <w:gridSpan w:val="2"/>
            <w:vAlign w:val="center"/>
          </w:tcPr>
          <w:p w14:paraId="65C44AC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茅东山地水源涵养区</w:t>
            </w:r>
          </w:p>
        </w:tc>
        <w:tc>
          <w:tcPr>
            <w:tcW w:w="454" w:type="pct"/>
            <w:vAlign w:val="center"/>
          </w:tcPr>
          <w:p w14:paraId="3676E56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水源涵养</w:t>
            </w:r>
          </w:p>
        </w:tc>
        <w:tc>
          <w:tcPr>
            <w:tcW w:w="567" w:type="pct"/>
            <w:vAlign w:val="center"/>
          </w:tcPr>
          <w:p w14:paraId="0A4A8F9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683" w:type="pct"/>
            <w:vAlign w:val="center"/>
          </w:tcPr>
          <w:p w14:paraId="69731CB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北至丹徒县界，东以海底水库坝址至乾元观公路和仙姑至南山门公路为界，再沿常溧公路南侧，南行包括茅东水库沿岸，西以市界为界</w:t>
            </w:r>
          </w:p>
        </w:tc>
        <w:tc>
          <w:tcPr>
            <w:tcW w:w="590" w:type="pct"/>
            <w:vAlign w:val="center"/>
          </w:tcPr>
          <w:p w14:paraId="0020C32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543" w:type="pct"/>
            <w:vAlign w:val="center"/>
          </w:tcPr>
          <w:p w14:paraId="03EAF3D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8.74</w:t>
            </w:r>
            <w:r>
              <w:rPr>
                <w:rFonts w:hint="eastAsia" w:cs="Times New Roman"/>
                <w:sz w:val="21"/>
                <w:szCs w:val="21"/>
                <w:vertAlign w:val="superscript"/>
                <w14:ligatures w14:val="none"/>
              </w:rPr>
              <w:t>[2]</w:t>
            </w:r>
          </w:p>
        </w:tc>
        <w:tc>
          <w:tcPr>
            <w:tcW w:w="300" w:type="pct"/>
            <w:noWrap/>
            <w:vAlign w:val="center"/>
          </w:tcPr>
          <w:p w14:paraId="6798C4E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区内</w:t>
            </w:r>
          </w:p>
        </w:tc>
        <w:tc>
          <w:tcPr>
            <w:tcW w:w="305" w:type="pct"/>
            <w:tcBorders>
              <w:right w:val="single" w:color="auto" w:sz="4" w:space="0"/>
            </w:tcBorders>
            <w:noWrap/>
            <w:vAlign w:val="center"/>
          </w:tcPr>
          <w:p w14:paraId="6AC61B8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899" w:type="pct"/>
            <w:vMerge w:val="restart"/>
            <w:tcBorders>
              <w:top w:val="single" w:color="auto" w:sz="4" w:space="0"/>
              <w:left w:val="single" w:color="auto" w:sz="4" w:space="0"/>
              <w:bottom w:val="single" w:color="auto" w:sz="4" w:space="0"/>
              <w:right w:val="single" w:color="auto" w:sz="4" w:space="0"/>
            </w:tcBorders>
            <w:vAlign w:val="center"/>
          </w:tcPr>
          <w:p w14:paraId="4D1A1228">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生态空间管控区域内严格落实《省政府办公厅关于印发江苏省生态空间管控区域监督管理办法的通知》（苏政办发〔2021〕20号）《江苏省生态空间管控区域规划》（苏政发〔2020〕1号）中关于森林公园、重要水源涵养区、生态公益林的管控要求，仅允许开展有限的对生态功能不造成破坏的人类活动。</w:t>
            </w:r>
          </w:p>
        </w:tc>
      </w:tr>
      <w:tr w14:paraId="03B85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pct"/>
            <w:gridSpan w:val="2"/>
            <w:vAlign w:val="center"/>
          </w:tcPr>
          <w:p w14:paraId="75ED8F5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四棚洼生态公益林</w:t>
            </w:r>
          </w:p>
        </w:tc>
        <w:tc>
          <w:tcPr>
            <w:tcW w:w="454" w:type="pct"/>
            <w:vAlign w:val="center"/>
          </w:tcPr>
          <w:p w14:paraId="35A1579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水土保持</w:t>
            </w:r>
          </w:p>
        </w:tc>
        <w:tc>
          <w:tcPr>
            <w:tcW w:w="567" w:type="pct"/>
            <w:vAlign w:val="center"/>
          </w:tcPr>
          <w:p w14:paraId="09AB463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683" w:type="pct"/>
            <w:vAlign w:val="center"/>
          </w:tcPr>
          <w:p w14:paraId="0AB111C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地处茅山东麓</w:t>
            </w:r>
          </w:p>
        </w:tc>
        <w:tc>
          <w:tcPr>
            <w:tcW w:w="590" w:type="pct"/>
            <w:vAlign w:val="center"/>
          </w:tcPr>
          <w:p w14:paraId="4603034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543" w:type="pct"/>
            <w:vAlign w:val="center"/>
          </w:tcPr>
          <w:p w14:paraId="7CA1F01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7.25</w:t>
            </w:r>
          </w:p>
        </w:tc>
        <w:tc>
          <w:tcPr>
            <w:tcW w:w="300" w:type="pct"/>
            <w:noWrap/>
            <w:vAlign w:val="center"/>
          </w:tcPr>
          <w:p w14:paraId="6B859E9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区内</w:t>
            </w:r>
          </w:p>
        </w:tc>
        <w:tc>
          <w:tcPr>
            <w:tcW w:w="305" w:type="pct"/>
            <w:tcBorders>
              <w:right w:val="single" w:color="auto" w:sz="4" w:space="0"/>
            </w:tcBorders>
            <w:noWrap/>
            <w:vAlign w:val="center"/>
          </w:tcPr>
          <w:p w14:paraId="0022E6A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899" w:type="pct"/>
            <w:vMerge w:val="continue"/>
            <w:tcBorders>
              <w:top w:val="single" w:color="auto" w:sz="4" w:space="0"/>
              <w:left w:val="single" w:color="auto" w:sz="4" w:space="0"/>
              <w:bottom w:val="single" w:color="auto" w:sz="4" w:space="0"/>
              <w:right w:val="single" w:color="auto" w:sz="4" w:space="0"/>
            </w:tcBorders>
            <w:vAlign w:val="center"/>
          </w:tcPr>
          <w:p w14:paraId="55F71A49">
            <w:pPr>
              <w:spacing w:line="240" w:lineRule="auto"/>
              <w:ind w:firstLine="0" w:firstLineChars="0"/>
              <w:jc w:val="center"/>
              <w:rPr>
                <w:rFonts w:cs="Times New Roman"/>
                <w:sz w:val="21"/>
                <w:szCs w:val="21"/>
                <w14:ligatures w14:val="none"/>
              </w:rPr>
            </w:pPr>
          </w:p>
        </w:tc>
      </w:tr>
      <w:tr w14:paraId="1CF4A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pct"/>
            <w:gridSpan w:val="2"/>
            <w:vAlign w:val="center"/>
          </w:tcPr>
          <w:p w14:paraId="51856C3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方山（金坛区）森林公园</w:t>
            </w:r>
          </w:p>
        </w:tc>
        <w:tc>
          <w:tcPr>
            <w:tcW w:w="454" w:type="pct"/>
            <w:vAlign w:val="center"/>
          </w:tcPr>
          <w:p w14:paraId="0695B76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自然与人文景观保护</w:t>
            </w:r>
          </w:p>
        </w:tc>
        <w:tc>
          <w:tcPr>
            <w:tcW w:w="567" w:type="pct"/>
            <w:vAlign w:val="center"/>
          </w:tcPr>
          <w:p w14:paraId="38A9A51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683" w:type="pct"/>
            <w:vAlign w:val="center"/>
          </w:tcPr>
          <w:p w14:paraId="5F2F1F7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方山森林公园范围，以方山为主体；西至市界，北至常溧公路，东至顺水桥、中竹棵、唐家棚、种猪场和方麓茶场一线，南至唐王到竹箦矿公路和市界</w:t>
            </w:r>
          </w:p>
        </w:tc>
        <w:tc>
          <w:tcPr>
            <w:tcW w:w="590" w:type="pct"/>
            <w:vAlign w:val="center"/>
          </w:tcPr>
          <w:p w14:paraId="2DD64C2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543" w:type="pct"/>
            <w:vAlign w:val="center"/>
          </w:tcPr>
          <w:p w14:paraId="11354C8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12.97</w:t>
            </w:r>
            <w:r>
              <w:rPr>
                <w:rFonts w:hint="eastAsia" w:cs="Times New Roman"/>
                <w:sz w:val="21"/>
                <w:szCs w:val="21"/>
                <w:vertAlign w:val="superscript"/>
                <w14:ligatures w14:val="none"/>
              </w:rPr>
              <w:t>[2]</w:t>
            </w:r>
          </w:p>
        </w:tc>
        <w:tc>
          <w:tcPr>
            <w:tcW w:w="300" w:type="pct"/>
            <w:noWrap/>
            <w:vAlign w:val="center"/>
          </w:tcPr>
          <w:p w14:paraId="44C61D1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区内</w:t>
            </w:r>
          </w:p>
        </w:tc>
        <w:tc>
          <w:tcPr>
            <w:tcW w:w="305" w:type="pct"/>
            <w:tcBorders>
              <w:right w:val="single" w:color="auto" w:sz="4" w:space="0"/>
            </w:tcBorders>
            <w:noWrap/>
            <w:vAlign w:val="center"/>
          </w:tcPr>
          <w:p w14:paraId="7F56650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899" w:type="pct"/>
            <w:vMerge w:val="continue"/>
            <w:tcBorders>
              <w:top w:val="single" w:color="auto" w:sz="4" w:space="0"/>
              <w:left w:val="single" w:color="auto" w:sz="4" w:space="0"/>
              <w:bottom w:val="single" w:color="auto" w:sz="4" w:space="0"/>
              <w:right w:val="single" w:color="auto" w:sz="4" w:space="0"/>
            </w:tcBorders>
            <w:vAlign w:val="center"/>
          </w:tcPr>
          <w:p w14:paraId="306E9270">
            <w:pPr>
              <w:spacing w:line="240" w:lineRule="auto"/>
              <w:ind w:firstLine="0" w:firstLineChars="0"/>
              <w:jc w:val="center"/>
              <w:rPr>
                <w:rFonts w:cs="Times New Roman"/>
                <w:sz w:val="21"/>
                <w:szCs w:val="21"/>
                <w14:ligatures w14:val="none"/>
              </w:rPr>
            </w:pPr>
          </w:p>
        </w:tc>
      </w:tr>
      <w:tr w14:paraId="08CAD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pct"/>
            <w:gridSpan w:val="2"/>
            <w:vAlign w:val="center"/>
          </w:tcPr>
          <w:p w14:paraId="706655E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向阳水库水源涵养区</w:t>
            </w:r>
          </w:p>
        </w:tc>
        <w:tc>
          <w:tcPr>
            <w:tcW w:w="454" w:type="pct"/>
            <w:vAlign w:val="center"/>
          </w:tcPr>
          <w:p w14:paraId="20FA7D0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水源涵养</w:t>
            </w:r>
          </w:p>
        </w:tc>
        <w:tc>
          <w:tcPr>
            <w:tcW w:w="567" w:type="pct"/>
            <w:vAlign w:val="center"/>
          </w:tcPr>
          <w:p w14:paraId="449B1DA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683" w:type="pct"/>
            <w:vAlign w:val="center"/>
          </w:tcPr>
          <w:p w14:paraId="0DCC8A2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东以扬溧高速公路为界（除罗村集镇），南以市界为界，西以市界为界，北以X304县道、方山（金坛）森林公园为界，包括向阳水库湖面区域</w:t>
            </w:r>
          </w:p>
        </w:tc>
        <w:tc>
          <w:tcPr>
            <w:tcW w:w="590" w:type="pct"/>
            <w:vAlign w:val="center"/>
          </w:tcPr>
          <w:p w14:paraId="7ADC936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543" w:type="pct"/>
            <w:vAlign w:val="center"/>
          </w:tcPr>
          <w:p w14:paraId="7B1051E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42.34</w:t>
            </w:r>
            <w:r>
              <w:rPr>
                <w:rFonts w:hint="eastAsia" w:cs="Times New Roman"/>
                <w:sz w:val="21"/>
                <w:szCs w:val="21"/>
                <w:vertAlign w:val="superscript"/>
                <w14:ligatures w14:val="none"/>
              </w:rPr>
              <w:t>[2]</w:t>
            </w:r>
          </w:p>
        </w:tc>
        <w:tc>
          <w:tcPr>
            <w:tcW w:w="300" w:type="pct"/>
            <w:noWrap/>
            <w:vAlign w:val="center"/>
          </w:tcPr>
          <w:p w14:paraId="3C21EEB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区内</w:t>
            </w:r>
          </w:p>
        </w:tc>
        <w:tc>
          <w:tcPr>
            <w:tcW w:w="305" w:type="pct"/>
            <w:tcBorders>
              <w:right w:val="single" w:color="auto" w:sz="4" w:space="0"/>
            </w:tcBorders>
            <w:noWrap/>
            <w:vAlign w:val="center"/>
          </w:tcPr>
          <w:p w14:paraId="7CCEE0E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899" w:type="pct"/>
            <w:vMerge w:val="continue"/>
            <w:tcBorders>
              <w:top w:val="single" w:color="auto" w:sz="4" w:space="0"/>
              <w:left w:val="single" w:color="auto" w:sz="4" w:space="0"/>
              <w:bottom w:val="single" w:color="auto" w:sz="4" w:space="0"/>
              <w:right w:val="single" w:color="auto" w:sz="4" w:space="0"/>
            </w:tcBorders>
            <w:vAlign w:val="center"/>
          </w:tcPr>
          <w:p w14:paraId="2797E221">
            <w:pPr>
              <w:spacing w:line="240" w:lineRule="auto"/>
              <w:ind w:firstLine="0" w:firstLineChars="0"/>
              <w:jc w:val="center"/>
              <w:rPr>
                <w:rFonts w:cs="Times New Roman"/>
                <w:sz w:val="21"/>
                <w:szCs w:val="21"/>
                <w14:ligatures w14:val="none"/>
              </w:rPr>
            </w:pPr>
          </w:p>
        </w:tc>
      </w:tr>
    </w:tbl>
    <w:p w14:paraId="6822673E">
      <w:pPr>
        <w:widowControl/>
        <w:spacing w:line="240" w:lineRule="auto"/>
        <w:ind w:firstLine="0" w:firstLineChars="0"/>
        <w:jc w:val="left"/>
        <w:rPr>
          <w:rFonts w:cs="Times New Roman"/>
          <w:sz w:val="21"/>
          <w:szCs w:val="21"/>
          <w14:ligatures w14:val="none"/>
        </w:rPr>
      </w:pPr>
      <w:bookmarkStart w:id="25" w:name="_Hlk166601085"/>
      <w:r>
        <w:rPr>
          <w:rFonts w:hint="eastAsia" w:cs="Times New Roman"/>
          <w:sz w:val="21"/>
          <w:szCs w:val="21"/>
          <w14:ligatures w14:val="none"/>
        </w:rPr>
        <w:t>注：</w:t>
      </w:r>
      <w:r>
        <w:rPr>
          <w:rFonts w:cs="Times New Roman"/>
          <w:sz w:val="21"/>
          <w:szCs w:val="21"/>
          <w:vertAlign w:val="superscript"/>
          <w14:ligatures w14:val="none"/>
        </w:rPr>
        <w:t>[</w:t>
      </w:r>
      <w:r>
        <w:rPr>
          <w:rFonts w:hint="eastAsia" w:cs="Times New Roman"/>
          <w:sz w:val="21"/>
          <w:szCs w:val="21"/>
          <w:vertAlign w:val="superscript"/>
          <w14:ligatures w14:val="none"/>
        </w:rPr>
        <w:t>1</w:t>
      </w:r>
      <w:r>
        <w:rPr>
          <w:rFonts w:cs="Times New Roman"/>
          <w:sz w:val="21"/>
          <w:szCs w:val="21"/>
          <w:vertAlign w:val="superscript"/>
          <w14:ligatures w14:val="none"/>
        </w:rPr>
        <w:t>]</w:t>
      </w:r>
      <w:r>
        <w:rPr>
          <w:rFonts w:hint="eastAsia"/>
        </w:rPr>
        <w:t xml:space="preserve"> </w:t>
      </w:r>
      <w:r>
        <w:rPr>
          <w:rFonts w:hint="eastAsia" w:cs="Times New Roman"/>
          <w:sz w:val="21"/>
          <w:szCs w:val="21"/>
          <w14:ligatures w14:val="none"/>
        </w:rPr>
        <w:t>茅东省级森林公园、茅山省级风景名胜区（金坛区）2处国家级生态保护红线范围依据江苏省最新报批自然资源部办公厅“三区三线”划定成果（附件14），已整合优化为最新国家级生态保护红线“江苏常州金坛茅东省级森林公园”，生态保护红线范围</w:t>
      </w:r>
      <w:bookmarkStart w:id="26" w:name="_Hlk172188371"/>
      <w:r>
        <w:rPr>
          <w:rFonts w:hint="eastAsia" w:cs="Times New Roman"/>
          <w:sz w:val="21"/>
          <w:szCs w:val="21"/>
          <w14:ligatures w14:val="none"/>
        </w:rPr>
        <w:t>18.978km</w:t>
      </w:r>
      <w:r>
        <w:rPr>
          <w:rFonts w:hint="eastAsia" w:cs="Times New Roman"/>
          <w:sz w:val="21"/>
          <w:szCs w:val="21"/>
          <w:vertAlign w:val="superscript"/>
          <w14:ligatures w14:val="none"/>
        </w:rPr>
        <w:t>2</w:t>
      </w:r>
      <w:bookmarkEnd w:id="26"/>
      <w:r>
        <w:rPr>
          <w:rFonts w:hint="eastAsia" w:cs="Times New Roman"/>
          <w:sz w:val="21"/>
          <w:szCs w:val="21"/>
          <w14:ligatures w14:val="none"/>
        </w:rPr>
        <w:t>。</w:t>
      </w:r>
    </w:p>
    <w:p w14:paraId="0ADF9702">
      <w:pPr>
        <w:widowControl/>
        <w:spacing w:line="240" w:lineRule="auto"/>
        <w:ind w:firstLine="420"/>
        <w:jc w:val="left"/>
      </w:pPr>
      <w:r>
        <w:rPr>
          <w:rFonts w:cs="Times New Roman"/>
          <w:sz w:val="21"/>
          <w:szCs w:val="21"/>
          <w:vertAlign w:val="superscript"/>
          <w14:ligatures w14:val="none"/>
        </w:rPr>
        <w:t>[</w:t>
      </w:r>
      <w:r>
        <w:rPr>
          <w:rFonts w:hint="eastAsia" w:cs="Times New Roman"/>
          <w:sz w:val="21"/>
          <w:szCs w:val="21"/>
          <w:vertAlign w:val="superscript"/>
          <w14:ligatures w14:val="none"/>
        </w:rPr>
        <w:t>2</w:t>
      </w:r>
      <w:r>
        <w:rPr>
          <w:rFonts w:cs="Times New Roman"/>
          <w:sz w:val="21"/>
          <w:szCs w:val="21"/>
          <w:vertAlign w:val="superscript"/>
          <w14:ligatures w14:val="none"/>
        </w:rPr>
        <w:t>]</w:t>
      </w:r>
      <w:r>
        <w:rPr>
          <w:rFonts w:hint="eastAsia" w:cs="Times New Roman"/>
          <w:sz w:val="21"/>
          <w:szCs w:val="21"/>
          <w14:ligatures w14:val="none"/>
        </w:rPr>
        <w:t>生态空间管控区域面积依据《江苏省自然资源厅关于常州市金坛区2023年度生态空间管控区域调整方案的复函》（苏自然资函〔2023〕209号）批复调整后为准（附件15）。</w:t>
      </w:r>
    </w:p>
    <w:bookmarkEnd w:id="25"/>
    <w:p w14:paraId="3EB0E744">
      <w:pPr>
        <w:widowControl/>
        <w:spacing w:line="240" w:lineRule="auto"/>
        <w:ind w:firstLine="0" w:firstLineChars="0"/>
        <w:jc w:val="left"/>
        <w:sectPr>
          <w:pgSz w:w="16838" w:h="11906" w:orient="landscape"/>
          <w:pgMar w:top="1800" w:right="1440" w:bottom="1800" w:left="1440" w:header="851" w:footer="992" w:gutter="0"/>
          <w:cols w:space="425" w:num="1"/>
          <w:docGrid w:type="lines" w:linePitch="326" w:charSpace="0"/>
        </w:sectPr>
      </w:pPr>
      <w:r>
        <w:br w:type="page"/>
      </w:r>
    </w:p>
    <w:p w14:paraId="23A4F6BE">
      <w:pPr>
        <w:pStyle w:val="45"/>
        <w:rPr>
          <w:rFonts w:cs="Times New Roman"/>
        </w:rPr>
      </w:pPr>
      <w:r>
        <w:rPr>
          <w:rFonts w:hint="eastAsia" w:cs="Times New Roman"/>
        </w:rPr>
        <w:t>表1.8-6  规划范围内文物保护单位一览表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9"/>
        <w:gridCol w:w="3071"/>
        <w:gridCol w:w="992"/>
        <w:gridCol w:w="2938"/>
        <w:gridCol w:w="941"/>
      </w:tblGrid>
      <w:tr w14:paraId="34F30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40" w:type="pct"/>
            <w:noWrap/>
            <w:vAlign w:val="center"/>
          </w:tcPr>
          <w:p w14:paraId="0A9AA51A">
            <w:pPr>
              <w:spacing w:line="240" w:lineRule="auto"/>
              <w:ind w:firstLine="0" w:firstLineChars="0"/>
              <w:jc w:val="center"/>
              <w:rPr>
                <w:rFonts w:cs="Times New Roman"/>
                <w:b/>
                <w:bCs/>
                <w:sz w:val="21"/>
                <w:szCs w:val="21"/>
              </w:rPr>
            </w:pPr>
            <w:bookmarkStart w:id="27" w:name="_Hlk172191001"/>
            <w:r>
              <w:rPr>
                <w:rFonts w:hint="eastAsia" w:cs="Times New Roman"/>
                <w:b/>
                <w:bCs/>
                <w:sz w:val="21"/>
                <w:szCs w:val="21"/>
              </w:rPr>
              <w:t>序号</w:t>
            </w:r>
          </w:p>
        </w:tc>
        <w:tc>
          <w:tcPr>
            <w:tcW w:w="1801" w:type="pct"/>
            <w:noWrap/>
            <w:vAlign w:val="center"/>
          </w:tcPr>
          <w:p w14:paraId="69BC9442">
            <w:pPr>
              <w:spacing w:line="240" w:lineRule="auto"/>
              <w:ind w:firstLine="0" w:firstLineChars="0"/>
              <w:jc w:val="center"/>
              <w:rPr>
                <w:rFonts w:cs="Times New Roman"/>
                <w:b/>
                <w:bCs/>
                <w:sz w:val="21"/>
                <w:szCs w:val="21"/>
              </w:rPr>
            </w:pPr>
            <w:r>
              <w:rPr>
                <w:rFonts w:hint="eastAsia" w:cs="Times New Roman"/>
                <w:b/>
                <w:bCs/>
                <w:sz w:val="21"/>
                <w:szCs w:val="21"/>
              </w:rPr>
              <w:t>名称</w:t>
            </w:r>
          </w:p>
        </w:tc>
        <w:tc>
          <w:tcPr>
            <w:tcW w:w="582" w:type="pct"/>
            <w:noWrap/>
            <w:vAlign w:val="center"/>
          </w:tcPr>
          <w:p w14:paraId="0290A290">
            <w:pPr>
              <w:spacing w:line="240" w:lineRule="auto"/>
              <w:ind w:firstLine="0" w:firstLineChars="0"/>
              <w:jc w:val="center"/>
              <w:rPr>
                <w:rFonts w:cs="Times New Roman"/>
                <w:b/>
                <w:bCs/>
                <w:sz w:val="21"/>
                <w:szCs w:val="21"/>
              </w:rPr>
            </w:pPr>
            <w:r>
              <w:rPr>
                <w:rFonts w:hint="eastAsia" w:cs="Times New Roman"/>
                <w:b/>
                <w:bCs/>
                <w:sz w:val="21"/>
                <w:szCs w:val="21"/>
              </w:rPr>
              <w:t>级别</w:t>
            </w:r>
          </w:p>
        </w:tc>
        <w:tc>
          <w:tcPr>
            <w:tcW w:w="1723" w:type="pct"/>
            <w:noWrap/>
            <w:vAlign w:val="center"/>
          </w:tcPr>
          <w:p w14:paraId="01B92816">
            <w:pPr>
              <w:spacing w:line="240" w:lineRule="auto"/>
              <w:ind w:firstLine="0" w:firstLineChars="0"/>
              <w:jc w:val="center"/>
              <w:rPr>
                <w:rFonts w:cs="Times New Roman"/>
                <w:b/>
                <w:bCs/>
                <w:sz w:val="21"/>
                <w:szCs w:val="21"/>
              </w:rPr>
            </w:pPr>
            <w:r>
              <w:rPr>
                <w:rFonts w:hint="eastAsia" w:cs="Times New Roman"/>
                <w:b/>
                <w:bCs/>
                <w:sz w:val="21"/>
                <w:szCs w:val="21"/>
              </w:rPr>
              <w:t>类别</w:t>
            </w:r>
          </w:p>
        </w:tc>
        <w:tc>
          <w:tcPr>
            <w:tcW w:w="552" w:type="pct"/>
            <w:noWrap/>
            <w:vAlign w:val="center"/>
          </w:tcPr>
          <w:p w14:paraId="37438932">
            <w:pPr>
              <w:spacing w:line="240" w:lineRule="auto"/>
              <w:ind w:firstLine="0" w:firstLineChars="0"/>
              <w:jc w:val="center"/>
              <w:rPr>
                <w:rFonts w:cs="Times New Roman"/>
                <w:b/>
                <w:bCs/>
                <w:sz w:val="21"/>
                <w:szCs w:val="21"/>
              </w:rPr>
            </w:pPr>
            <w:r>
              <w:rPr>
                <w:rFonts w:hint="eastAsia" w:cs="Times New Roman"/>
                <w:b/>
                <w:bCs/>
                <w:sz w:val="21"/>
                <w:szCs w:val="21"/>
              </w:rPr>
              <w:t>年代</w:t>
            </w:r>
          </w:p>
        </w:tc>
      </w:tr>
      <w:tr w14:paraId="4E953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40" w:type="pct"/>
            <w:noWrap/>
            <w:vAlign w:val="center"/>
          </w:tcPr>
          <w:p w14:paraId="6B2B4FDE">
            <w:pPr>
              <w:spacing w:line="240" w:lineRule="auto"/>
              <w:ind w:firstLine="0" w:firstLineChars="0"/>
              <w:jc w:val="center"/>
              <w:rPr>
                <w:rFonts w:cs="Times New Roman"/>
                <w:sz w:val="21"/>
                <w:szCs w:val="21"/>
              </w:rPr>
            </w:pPr>
            <w:r>
              <w:rPr>
                <w:rFonts w:hint="eastAsia" w:cs="Times New Roman"/>
                <w:sz w:val="21"/>
                <w:szCs w:val="21"/>
              </w:rPr>
              <w:t>1</w:t>
            </w:r>
          </w:p>
        </w:tc>
        <w:tc>
          <w:tcPr>
            <w:tcW w:w="1801" w:type="pct"/>
            <w:noWrap/>
            <w:vAlign w:val="center"/>
          </w:tcPr>
          <w:p w14:paraId="77A3E172">
            <w:pPr>
              <w:spacing w:line="240" w:lineRule="auto"/>
              <w:ind w:firstLine="0" w:firstLineChars="0"/>
              <w:jc w:val="center"/>
              <w:rPr>
                <w:rFonts w:cs="Times New Roman"/>
                <w:sz w:val="21"/>
                <w:szCs w:val="21"/>
              </w:rPr>
            </w:pPr>
            <w:r>
              <w:rPr>
                <w:rFonts w:hint="eastAsia" w:cs="Times New Roman"/>
                <w:sz w:val="21"/>
                <w:szCs w:val="21"/>
              </w:rPr>
              <w:t>金坛土墩墓群（</w:t>
            </w:r>
            <w:r>
              <w:rPr>
                <w:rFonts w:hint="eastAsia" w:cs="Times New Roman"/>
                <w:kern w:val="0"/>
                <w:sz w:val="21"/>
                <w:szCs w:val="21"/>
              </w:rPr>
              <w:t>仙姑庙西村</w:t>
            </w:r>
            <w:r>
              <w:rPr>
                <w:rFonts w:hint="eastAsia" w:cs="Times New Roman"/>
                <w:sz w:val="21"/>
                <w:szCs w:val="21"/>
              </w:rPr>
              <w:t>）</w:t>
            </w:r>
          </w:p>
        </w:tc>
        <w:tc>
          <w:tcPr>
            <w:tcW w:w="582" w:type="pct"/>
            <w:noWrap/>
            <w:vAlign w:val="center"/>
          </w:tcPr>
          <w:p w14:paraId="650CBE89">
            <w:pPr>
              <w:spacing w:line="240" w:lineRule="auto"/>
              <w:ind w:firstLine="0" w:firstLineChars="0"/>
              <w:jc w:val="center"/>
              <w:rPr>
                <w:rFonts w:cs="Times New Roman"/>
                <w:sz w:val="21"/>
                <w:szCs w:val="21"/>
              </w:rPr>
            </w:pPr>
            <w:r>
              <w:rPr>
                <w:rFonts w:hint="eastAsia" w:cs="Times New Roman"/>
                <w:sz w:val="21"/>
                <w:szCs w:val="21"/>
              </w:rPr>
              <w:t>国保</w:t>
            </w:r>
          </w:p>
        </w:tc>
        <w:tc>
          <w:tcPr>
            <w:tcW w:w="1723" w:type="pct"/>
            <w:noWrap/>
            <w:vAlign w:val="center"/>
          </w:tcPr>
          <w:p w14:paraId="34F66BCE">
            <w:pPr>
              <w:spacing w:line="240" w:lineRule="auto"/>
              <w:ind w:firstLine="0" w:firstLineChars="0"/>
              <w:jc w:val="center"/>
              <w:rPr>
                <w:rFonts w:cs="Times New Roman"/>
                <w:sz w:val="21"/>
                <w:szCs w:val="21"/>
              </w:rPr>
            </w:pPr>
            <w:r>
              <w:rPr>
                <w:rFonts w:hint="eastAsia" w:cs="Times New Roman"/>
                <w:sz w:val="21"/>
                <w:szCs w:val="21"/>
              </w:rPr>
              <w:t>古墓葬</w:t>
            </w:r>
          </w:p>
        </w:tc>
        <w:tc>
          <w:tcPr>
            <w:tcW w:w="552" w:type="pct"/>
            <w:noWrap/>
            <w:vAlign w:val="center"/>
          </w:tcPr>
          <w:p w14:paraId="6C929619">
            <w:pPr>
              <w:spacing w:line="240" w:lineRule="auto"/>
              <w:ind w:firstLine="0" w:firstLineChars="0"/>
              <w:jc w:val="center"/>
              <w:rPr>
                <w:rFonts w:cs="Times New Roman"/>
                <w:sz w:val="21"/>
                <w:szCs w:val="21"/>
              </w:rPr>
            </w:pPr>
            <w:r>
              <w:rPr>
                <w:rFonts w:hint="eastAsia" w:cs="Times New Roman"/>
                <w:sz w:val="21"/>
                <w:szCs w:val="21"/>
              </w:rPr>
              <w:t>周代</w:t>
            </w:r>
          </w:p>
        </w:tc>
      </w:tr>
      <w:tr w14:paraId="2A621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40" w:type="pct"/>
            <w:noWrap/>
            <w:vAlign w:val="center"/>
          </w:tcPr>
          <w:p w14:paraId="4E34AD14">
            <w:pPr>
              <w:spacing w:line="240" w:lineRule="auto"/>
              <w:ind w:firstLine="0" w:firstLineChars="0"/>
              <w:jc w:val="center"/>
              <w:rPr>
                <w:rFonts w:cs="Times New Roman"/>
                <w:sz w:val="21"/>
                <w:szCs w:val="21"/>
              </w:rPr>
            </w:pPr>
            <w:r>
              <w:rPr>
                <w:rFonts w:hint="eastAsia" w:cs="Times New Roman"/>
                <w:sz w:val="21"/>
                <w:szCs w:val="21"/>
              </w:rPr>
              <w:t>2</w:t>
            </w:r>
          </w:p>
        </w:tc>
        <w:tc>
          <w:tcPr>
            <w:tcW w:w="1801" w:type="pct"/>
            <w:noWrap/>
            <w:vAlign w:val="center"/>
          </w:tcPr>
          <w:p w14:paraId="55E0A597">
            <w:pPr>
              <w:spacing w:line="240" w:lineRule="auto"/>
              <w:ind w:firstLine="0" w:firstLineChars="0"/>
              <w:jc w:val="center"/>
              <w:rPr>
                <w:rFonts w:cs="Times New Roman"/>
                <w:sz w:val="21"/>
                <w:szCs w:val="21"/>
              </w:rPr>
            </w:pPr>
            <w:r>
              <w:rPr>
                <w:rFonts w:hint="eastAsia" w:cs="Times New Roman"/>
                <w:sz w:val="21"/>
                <w:szCs w:val="21"/>
              </w:rPr>
              <w:t>金坛土墩墓群</w:t>
            </w:r>
          </w:p>
        </w:tc>
        <w:tc>
          <w:tcPr>
            <w:tcW w:w="582" w:type="pct"/>
            <w:noWrap/>
            <w:vAlign w:val="center"/>
          </w:tcPr>
          <w:p w14:paraId="263D7D14">
            <w:pPr>
              <w:spacing w:line="240" w:lineRule="auto"/>
              <w:ind w:firstLine="0" w:firstLineChars="0"/>
              <w:jc w:val="center"/>
              <w:rPr>
                <w:rFonts w:cs="Times New Roman"/>
                <w:sz w:val="21"/>
                <w:szCs w:val="21"/>
              </w:rPr>
            </w:pPr>
            <w:r>
              <w:rPr>
                <w:rFonts w:hint="eastAsia" w:cs="Times New Roman"/>
                <w:sz w:val="21"/>
                <w:szCs w:val="21"/>
              </w:rPr>
              <w:t>国保</w:t>
            </w:r>
          </w:p>
        </w:tc>
        <w:tc>
          <w:tcPr>
            <w:tcW w:w="1723" w:type="pct"/>
            <w:noWrap/>
            <w:vAlign w:val="center"/>
          </w:tcPr>
          <w:p w14:paraId="1FF43F56">
            <w:pPr>
              <w:spacing w:line="240" w:lineRule="auto"/>
              <w:ind w:firstLine="0" w:firstLineChars="0"/>
              <w:jc w:val="center"/>
              <w:rPr>
                <w:rFonts w:cs="Times New Roman"/>
                <w:sz w:val="21"/>
                <w:szCs w:val="21"/>
              </w:rPr>
            </w:pPr>
            <w:r>
              <w:rPr>
                <w:rFonts w:hint="eastAsia" w:cs="Times New Roman"/>
                <w:sz w:val="21"/>
                <w:szCs w:val="21"/>
              </w:rPr>
              <w:t>古墓葬</w:t>
            </w:r>
          </w:p>
        </w:tc>
        <w:tc>
          <w:tcPr>
            <w:tcW w:w="552" w:type="pct"/>
            <w:noWrap/>
            <w:vAlign w:val="center"/>
          </w:tcPr>
          <w:p w14:paraId="782E7C43">
            <w:pPr>
              <w:spacing w:line="240" w:lineRule="auto"/>
              <w:ind w:firstLine="0" w:firstLineChars="0"/>
              <w:jc w:val="center"/>
              <w:rPr>
                <w:rFonts w:cs="Times New Roman"/>
                <w:sz w:val="21"/>
                <w:szCs w:val="21"/>
              </w:rPr>
            </w:pPr>
            <w:r>
              <w:rPr>
                <w:rFonts w:hint="eastAsia" w:cs="Times New Roman"/>
                <w:sz w:val="21"/>
                <w:szCs w:val="21"/>
              </w:rPr>
              <w:t>周代</w:t>
            </w:r>
          </w:p>
        </w:tc>
      </w:tr>
      <w:tr w14:paraId="5964E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40" w:type="pct"/>
            <w:noWrap/>
            <w:vAlign w:val="center"/>
          </w:tcPr>
          <w:p w14:paraId="0FD106A1">
            <w:pPr>
              <w:spacing w:line="240" w:lineRule="auto"/>
              <w:ind w:firstLine="0" w:firstLineChars="0"/>
              <w:jc w:val="center"/>
              <w:rPr>
                <w:rFonts w:cs="Times New Roman"/>
                <w:sz w:val="21"/>
                <w:szCs w:val="21"/>
              </w:rPr>
            </w:pPr>
            <w:r>
              <w:rPr>
                <w:rFonts w:hint="eastAsia" w:cs="Times New Roman"/>
                <w:sz w:val="21"/>
                <w:szCs w:val="21"/>
              </w:rPr>
              <w:t>3</w:t>
            </w:r>
          </w:p>
        </w:tc>
        <w:tc>
          <w:tcPr>
            <w:tcW w:w="1801" w:type="pct"/>
            <w:noWrap/>
            <w:vAlign w:val="center"/>
          </w:tcPr>
          <w:p w14:paraId="60F80316">
            <w:pPr>
              <w:spacing w:line="240" w:lineRule="auto"/>
              <w:ind w:firstLine="0" w:firstLineChars="0"/>
              <w:jc w:val="center"/>
              <w:rPr>
                <w:rFonts w:cs="Times New Roman"/>
                <w:sz w:val="21"/>
                <w:szCs w:val="21"/>
              </w:rPr>
            </w:pPr>
            <w:r>
              <w:rPr>
                <w:rFonts w:hint="eastAsia" w:cs="Times New Roman"/>
                <w:sz w:val="21"/>
                <w:szCs w:val="21"/>
              </w:rPr>
              <w:t>上阮村土墩墓群</w:t>
            </w:r>
          </w:p>
        </w:tc>
        <w:tc>
          <w:tcPr>
            <w:tcW w:w="582" w:type="pct"/>
            <w:noWrap/>
            <w:vAlign w:val="center"/>
          </w:tcPr>
          <w:p w14:paraId="259B5077">
            <w:pPr>
              <w:spacing w:line="240" w:lineRule="auto"/>
              <w:ind w:firstLine="0" w:firstLineChars="0"/>
              <w:jc w:val="center"/>
              <w:rPr>
                <w:rFonts w:cs="Times New Roman"/>
                <w:sz w:val="21"/>
                <w:szCs w:val="21"/>
              </w:rPr>
            </w:pPr>
            <w:r>
              <w:rPr>
                <w:rFonts w:hint="eastAsia" w:cs="Times New Roman"/>
                <w:sz w:val="21"/>
                <w:szCs w:val="21"/>
              </w:rPr>
              <w:t>国保</w:t>
            </w:r>
          </w:p>
        </w:tc>
        <w:tc>
          <w:tcPr>
            <w:tcW w:w="1723" w:type="pct"/>
            <w:noWrap/>
            <w:vAlign w:val="center"/>
          </w:tcPr>
          <w:p w14:paraId="526AA72B">
            <w:pPr>
              <w:spacing w:line="240" w:lineRule="auto"/>
              <w:ind w:firstLine="0" w:firstLineChars="0"/>
              <w:jc w:val="center"/>
              <w:rPr>
                <w:rFonts w:cs="Times New Roman"/>
                <w:sz w:val="21"/>
                <w:szCs w:val="21"/>
              </w:rPr>
            </w:pPr>
            <w:r>
              <w:rPr>
                <w:rFonts w:hint="eastAsia" w:cs="Times New Roman"/>
                <w:sz w:val="21"/>
                <w:szCs w:val="21"/>
              </w:rPr>
              <w:t>古墓葬</w:t>
            </w:r>
          </w:p>
        </w:tc>
        <w:tc>
          <w:tcPr>
            <w:tcW w:w="552" w:type="pct"/>
            <w:noWrap/>
            <w:vAlign w:val="center"/>
          </w:tcPr>
          <w:p w14:paraId="609BF077">
            <w:pPr>
              <w:spacing w:line="240" w:lineRule="auto"/>
              <w:ind w:firstLine="0" w:firstLineChars="0"/>
              <w:jc w:val="center"/>
              <w:rPr>
                <w:rFonts w:cs="Times New Roman"/>
                <w:sz w:val="21"/>
                <w:szCs w:val="21"/>
              </w:rPr>
            </w:pPr>
            <w:r>
              <w:rPr>
                <w:rFonts w:hint="eastAsia" w:cs="Times New Roman"/>
                <w:sz w:val="21"/>
                <w:szCs w:val="21"/>
              </w:rPr>
              <w:t>周代</w:t>
            </w:r>
          </w:p>
        </w:tc>
      </w:tr>
      <w:tr w14:paraId="13E3C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40" w:type="pct"/>
            <w:noWrap/>
            <w:vAlign w:val="center"/>
          </w:tcPr>
          <w:p w14:paraId="0F471646">
            <w:pPr>
              <w:spacing w:line="240" w:lineRule="auto"/>
              <w:ind w:firstLine="0" w:firstLineChars="0"/>
              <w:jc w:val="center"/>
              <w:rPr>
                <w:rFonts w:cs="Times New Roman"/>
                <w:sz w:val="21"/>
                <w:szCs w:val="21"/>
              </w:rPr>
            </w:pPr>
            <w:r>
              <w:rPr>
                <w:rFonts w:hint="eastAsia" w:cs="Times New Roman"/>
                <w:sz w:val="21"/>
                <w:szCs w:val="21"/>
              </w:rPr>
              <w:t>4</w:t>
            </w:r>
          </w:p>
        </w:tc>
        <w:tc>
          <w:tcPr>
            <w:tcW w:w="1801" w:type="pct"/>
            <w:noWrap/>
            <w:vAlign w:val="center"/>
          </w:tcPr>
          <w:p w14:paraId="352E2BAF">
            <w:pPr>
              <w:spacing w:line="240" w:lineRule="auto"/>
              <w:ind w:firstLine="0" w:firstLineChars="0"/>
              <w:jc w:val="center"/>
              <w:rPr>
                <w:rFonts w:cs="Times New Roman"/>
                <w:sz w:val="21"/>
                <w:szCs w:val="21"/>
              </w:rPr>
            </w:pPr>
            <w:r>
              <w:rPr>
                <w:rFonts w:hint="eastAsia" w:cs="Times New Roman"/>
                <w:sz w:val="21"/>
                <w:szCs w:val="21"/>
              </w:rPr>
              <w:t>赤岗汉代窑址</w:t>
            </w:r>
          </w:p>
        </w:tc>
        <w:tc>
          <w:tcPr>
            <w:tcW w:w="582" w:type="pct"/>
            <w:noWrap/>
            <w:vAlign w:val="center"/>
          </w:tcPr>
          <w:p w14:paraId="474EB184">
            <w:pPr>
              <w:spacing w:line="240" w:lineRule="auto"/>
              <w:ind w:firstLine="0" w:firstLineChars="0"/>
              <w:jc w:val="center"/>
              <w:rPr>
                <w:rFonts w:cs="Times New Roman"/>
                <w:sz w:val="21"/>
                <w:szCs w:val="21"/>
              </w:rPr>
            </w:pPr>
            <w:r>
              <w:rPr>
                <w:rFonts w:hint="eastAsia" w:cs="Times New Roman"/>
                <w:sz w:val="21"/>
                <w:szCs w:val="21"/>
              </w:rPr>
              <w:t>市保</w:t>
            </w:r>
          </w:p>
        </w:tc>
        <w:tc>
          <w:tcPr>
            <w:tcW w:w="1723" w:type="pct"/>
            <w:noWrap/>
            <w:vAlign w:val="center"/>
          </w:tcPr>
          <w:p w14:paraId="30FCDFBC">
            <w:pPr>
              <w:spacing w:line="240" w:lineRule="auto"/>
              <w:ind w:firstLine="0" w:firstLineChars="0"/>
              <w:jc w:val="center"/>
              <w:rPr>
                <w:rFonts w:cs="Times New Roman"/>
                <w:sz w:val="21"/>
                <w:szCs w:val="21"/>
              </w:rPr>
            </w:pPr>
            <w:r>
              <w:rPr>
                <w:rFonts w:hint="eastAsia" w:cs="Times New Roman"/>
                <w:kern w:val="0"/>
                <w:sz w:val="21"/>
                <w:szCs w:val="21"/>
              </w:rPr>
              <w:t>古遗址</w:t>
            </w:r>
          </w:p>
        </w:tc>
        <w:tc>
          <w:tcPr>
            <w:tcW w:w="552" w:type="pct"/>
            <w:noWrap/>
            <w:vAlign w:val="center"/>
          </w:tcPr>
          <w:p w14:paraId="701FED69">
            <w:pPr>
              <w:spacing w:line="240" w:lineRule="auto"/>
              <w:ind w:firstLine="0" w:firstLineChars="0"/>
              <w:jc w:val="center"/>
              <w:rPr>
                <w:rFonts w:cs="Times New Roman"/>
                <w:sz w:val="21"/>
                <w:szCs w:val="21"/>
              </w:rPr>
            </w:pPr>
            <w:r>
              <w:rPr>
                <w:rFonts w:hint="eastAsia" w:cs="Times New Roman"/>
                <w:sz w:val="21"/>
                <w:szCs w:val="21"/>
              </w:rPr>
              <w:t>汉代</w:t>
            </w:r>
          </w:p>
        </w:tc>
      </w:tr>
      <w:tr w14:paraId="0D841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40" w:type="pct"/>
            <w:noWrap/>
            <w:vAlign w:val="center"/>
          </w:tcPr>
          <w:p w14:paraId="241284D0">
            <w:pPr>
              <w:spacing w:line="240" w:lineRule="auto"/>
              <w:ind w:firstLine="0" w:firstLineChars="0"/>
              <w:jc w:val="center"/>
              <w:rPr>
                <w:rFonts w:cs="Times New Roman"/>
                <w:sz w:val="21"/>
                <w:szCs w:val="21"/>
              </w:rPr>
            </w:pPr>
            <w:r>
              <w:rPr>
                <w:rFonts w:hint="eastAsia" w:cs="Times New Roman"/>
                <w:sz w:val="21"/>
                <w:szCs w:val="21"/>
              </w:rPr>
              <w:t>5</w:t>
            </w:r>
          </w:p>
        </w:tc>
        <w:tc>
          <w:tcPr>
            <w:tcW w:w="1801" w:type="pct"/>
            <w:noWrap/>
            <w:vAlign w:val="center"/>
          </w:tcPr>
          <w:p w14:paraId="757DD642">
            <w:pPr>
              <w:spacing w:line="240" w:lineRule="auto"/>
              <w:ind w:firstLine="0" w:firstLineChars="0"/>
              <w:jc w:val="center"/>
              <w:rPr>
                <w:rFonts w:cs="Times New Roman"/>
                <w:sz w:val="21"/>
                <w:szCs w:val="21"/>
              </w:rPr>
            </w:pPr>
            <w:r>
              <w:rPr>
                <w:rFonts w:hint="eastAsia" w:cs="Times New Roman"/>
                <w:sz w:val="21"/>
                <w:szCs w:val="21"/>
              </w:rPr>
              <w:t>接山墩宋元窑址</w:t>
            </w:r>
          </w:p>
        </w:tc>
        <w:tc>
          <w:tcPr>
            <w:tcW w:w="582" w:type="pct"/>
            <w:noWrap/>
            <w:vAlign w:val="center"/>
          </w:tcPr>
          <w:p w14:paraId="779192BE">
            <w:pPr>
              <w:spacing w:line="240" w:lineRule="auto"/>
              <w:ind w:firstLine="0" w:firstLineChars="0"/>
              <w:jc w:val="center"/>
              <w:rPr>
                <w:rFonts w:cs="Times New Roman"/>
                <w:sz w:val="21"/>
                <w:szCs w:val="21"/>
              </w:rPr>
            </w:pPr>
            <w:r>
              <w:rPr>
                <w:rFonts w:hint="eastAsia" w:cs="Times New Roman"/>
                <w:sz w:val="21"/>
                <w:szCs w:val="21"/>
              </w:rPr>
              <w:t>市保</w:t>
            </w:r>
          </w:p>
        </w:tc>
        <w:tc>
          <w:tcPr>
            <w:tcW w:w="1723" w:type="pct"/>
            <w:noWrap/>
            <w:vAlign w:val="center"/>
          </w:tcPr>
          <w:p w14:paraId="26B76B1A">
            <w:pPr>
              <w:spacing w:line="240" w:lineRule="auto"/>
              <w:ind w:firstLine="0" w:firstLineChars="0"/>
              <w:jc w:val="center"/>
              <w:rPr>
                <w:rFonts w:cs="Times New Roman"/>
                <w:sz w:val="21"/>
                <w:szCs w:val="21"/>
              </w:rPr>
            </w:pPr>
            <w:r>
              <w:rPr>
                <w:rFonts w:hint="eastAsia" w:cs="Times New Roman"/>
                <w:kern w:val="0"/>
                <w:sz w:val="21"/>
                <w:szCs w:val="21"/>
              </w:rPr>
              <w:t>古遗址</w:t>
            </w:r>
          </w:p>
        </w:tc>
        <w:tc>
          <w:tcPr>
            <w:tcW w:w="552" w:type="pct"/>
            <w:noWrap/>
            <w:vAlign w:val="center"/>
          </w:tcPr>
          <w:p w14:paraId="65948375">
            <w:pPr>
              <w:spacing w:line="240" w:lineRule="auto"/>
              <w:ind w:firstLine="0" w:firstLineChars="0"/>
              <w:jc w:val="center"/>
              <w:rPr>
                <w:rFonts w:cs="Times New Roman"/>
                <w:sz w:val="21"/>
                <w:szCs w:val="21"/>
              </w:rPr>
            </w:pPr>
            <w:r>
              <w:rPr>
                <w:rFonts w:hint="eastAsia" w:cs="Times New Roman"/>
                <w:sz w:val="21"/>
                <w:szCs w:val="21"/>
              </w:rPr>
              <w:t>宋元</w:t>
            </w:r>
          </w:p>
        </w:tc>
      </w:tr>
      <w:bookmarkEnd w:id="27"/>
    </w:tbl>
    <w:p w14:paraId="1F5FA456">
      <w:pPr>
        <w:pStyle w:val="45"/>
      </w:pPr>
      <w:r>
        <w:rPr>
          <w:rFonts w:hint="eastAsia"/>
        </w:rPr>
        <w:t>表1.8-7  规划范围内古树名木一览表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2425"/>
        <w:gridCol w:w="1134"/>
        <w:gridCol w:w="2268"/>
        <w:gridCol w:w="709"/>
        <w:gridCol w:w="1071"/>
      </w:tblGrid>
      <w:tr w14:paraId="13746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tcPr>
          <w:p w14:paraId="33303270">
            <w:pPr>
              <w:spacing w:line="240" w:lineRule="auto"/>
              <w:ind w:firstLine="0" w:firstLineChars="0"/>
              <w:jc w:val="center"/>
              <w:rPr>
                <w:rFonts w:cs="Times New Roman"/>
                <w:b/>
                <w:bCs/>
                <w:sz w:val="21"/>
                <w:szCs w:val="21"/>
              </w:rPr>
            </w:pPr>
            <w:r>
              <w:rPr>
                <w:rFonts w:hint="eastAsia" w:cs="Times New Roman"/>
                <w:b/>
                <w:bCs/>
                <w:sz w:val="21"/>
                <w:szCs w:val="21"/>
              </w:rPr>
              <w:t>序号</w:t>
            </w:r>
          </w:p>
        </w:tc>
        <w:tc>
          <w:tcPr>
            <w:tcW w:w="2425" w:type="dxa"/>
          </w:tcPr>
          <w:p w14:paraId="5B0BB932">
            <w:pPr>
              <w:spacing w:line="240" w:lineRule="auto"/>
              <w:ind w:firstLine="0" w:firstLineChars="0"/>
              <w:jc w:val="center"/>
              <w:rPr>
                <w:rFonts w:cs="Times New Roman"/>
                <w:b/>
                <w:bCs/>
                <w:sz w:val="21"/>
                <w:szCs w:val="21"/>
              </w:rPr>
            </w:pPr>
            <w:r>
              <w:rPr>
                <w:rFonts w:hint="eastAsia" w:cs="Times New Roman"/>
                <w:b/>
                <w:bCs/>
                <w:sz w:val="21"/>
                <w:szCs w:val="21"/>
              </w:rPr>
              <w:t>敏感目标名称</w:t>
            </w:r>
          </w:p>
        </w:tc>
        <w:tc>
          <w:tcPr>
            <w:tcW w:w="1134" w:type="dxa"/>
          </w:tcPr>
          <w:p w14:paraId="6BCC8A14">
            <w:pPr>
              <w:spacing w:line="240" w:lineRule="auto"/>
              <w:ind w:firstLine="0" w:firstLineChars="0"/>
              <w:jc w:val="center"/>
              <w:rPr>
                <w:rFonts w:cs="Times New Roman"/>
                <w:b/>
                <w:bCs/>
                <w:sz w:val="21"/>
                <w:szCs w:val="21"/>
              </w:rPr>
            </w:pPr>
            <w:r>
              <w:rPr>
                <w:rFonts w:hint="eastAsia" w:cs="Times New Roman"/>
                <w:b/>
                <w:bCs/>
                <w:sz w:val="21"/>
                <w:szCs w:val="21"/>
              </w:rPr>
              <w:t>保护对象</w:t>
            </w:r>
          </w:p>
        </w:tc>
        <w:tc>
          <w:tcPr>
            <w:tcW w:w="2268" w:type="dxa"/>
          </w:tcPr>
          <w:p w14:paraId="20DA1615">
            <w:pPr>
              <w:spacing w:line="240" w:lineRule="auto"/>
              <w:ind w:firstLine="0" w:firstLineChars="0"/>
              <w:jc w:val="center"/>
              <w:rPr>
                <w:rFonts w:cs="Times New Roman"/>
                <w:b/>
                <w:bCs/>
                <w:sz w:val="21"/>
                <w:szCs w:val="21"/>
              </w:rPr>
            </w:pPr>
            <w:r>
              <w:rPr>
                <w:rFonts w:hint="eastAsia" w:cs="Times New Roman"/>
                <w:b/>
                <w:bCs/>
                <w:sz w:val="21"/>
                <w:szCs w:val="21"/>
              </w:rPr>
              <w:t>位置</w:t>
            </w:r>
          </w:p>
        </w:tc>
        <w:tc>
          <w:tcPr>
            <w:tcW w:w="709" w:type="dxa"/>
          </w:tcPr>
          <w:p w14:paraId="698DDDFF">
            <w:pPr>
              <w:spacing w:line="240" w:lineRule="auto"/>
              <w:ind w:firstLine="0" w:firstLineChars="0"/>
              <w:jc w:val="center"/>
              <w:rPr>
                <w:rFonts w:cs="Times New Roman"/>
                <w:b/>
                <w:bCs/>
                <w:sz w:val="21"/>
                <w:szCs w:val="21"/>
              </w:rPr>
            </w:pPr>
            <w:r>
              <w:rPr>
                <w:rFonts w:hint="eastAsia" w:cs="Times New Roman"/>
                <w:b/>
                <w:bCs/>
                <w:sz w:val="21"/>
                <w:szCs w:val="21"/>
              </w:rPr>
              <w:t>树龄</w:t>
            </w:r>
          </w:p>
        </w:tc>
        <w:tc>
          <w:tcPr>
            <w:tcW w:w="1071" w:type="dxa"/>
          </w:tcPr>
          <w:p w14:paraId="028A6C96">
            <w:pPr>
              <w:spacing w:line="240" w:lineRule="auto"/>
              <w:ind w:firstLine="0" w:firstLineChars="0"/>
              <w:jc w:val="center"/>
              <w:rPr>
                <w:rFonts w:cs="Times New Roman"/>
                <w:b/>
                <w:bCs/>
                <w:sz w:val="21"/>
                <w:szCs w:val="21"/>
              </w:rPr>
            </w:pPr>
            <w:r>
              <w:rPr>
                <w:rFonts w:hint="eastAsia" w:cs="Times New Roman"/>
                <w:b/>
                <w:bCs/>
                <w:sz w:val="21"/>
                <w:szCs w:val="21"/>
              </w:rPr>
              <w:t>保护级别</w:t>
            </w:r>
          </w:p>
        </w:tc>
      </w:tr>
      <w:tr w14:paraId="4865A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Align w:val="center"/>
          </w:tcPr>
          <w:p w14:paraId="74AD59C8">
            <w:pPr>
              <w:spacing w:line="240" w:lineRule="auto"/>
              <w:ind w:firstLine="0" w:firstLineChars="0"/>
              <w:jc w:val="center"/>
              <w:rPr>
                <w:rFonts w:cs="Times New Roman"/>
                <w:sz w:val="21"/>
                <w:szCs w:val="21"/>
              </w:rPr>
            </w:pPr>
            <w:r>
              <w:rPr>
                <w:rFonts w:hint="eastAsia" w:cs="Times New Roman"/>
                <w:sz w:val="21"/>
                <w:szCs w:val="21"/>
              </w:rPr>
              <w:t>1</w:t>
            </w:r>
          </w:p>
        </w:tc>
        <w:tc>
          <w:tcPr>
            <w:tcW w:w="2425" w:type="dxa"/>
            <w:vAlign w:val="center"/>
          </w:tcPr>
          <w:p w14:paraId="395A45B1">
            <w:pPr>
              <w:spacing w:line="240" w:lineRule="auto"/>
              <w:ind w:firstLine="0" w:firstLineChars="0"/>
              <w:jc w:val="center"/>
              <w:rPr>
                <w:rFonts w:cs="Times New Roman"/>
                <w:sz w:val="21"/>
                <w:szCs w:val="21"/>
              </w:rPr>
            </w:pPr>
            <w:r>
              <w:rPr>
                <w:rFonts w:hint="eastAsia" w:cs="Times New Roman"/>
                <w:sz w:val="21"/>
                <w:szCs w:val="21"/>
              </w:rPr>
              <w:t>圆柏（1株）</w:t>
            </w:r>
          </w:p>
        </w:tc>
        <w:tc>
          <w:tcPr>
            <w:tcW w:w="1134" w:type="dxa"/>
            <w:vMerge w:val="restart"/>
            <w:vAlign w:val="center"/>
          </w:tcPr>
          <w:p w14:paraId="573070D7">
            <w:pPr>
              <w:spacing w:line="240" w:lineRule="auto"/>
              <w:ind w:firstLine="0" w:firstLineChars="0"/>
              <w:jc w:val="center"/>
              <w:rPr>
                <w:rFonts w:cs="Times New Roman"/>
                <w:sz w:val="21"/>
                <w:szCs w:val="21"/>
              </w:rPr>
            </w:pPr>
            <w:r>
              <w:rPr>
                <w:rFonts w:hint="eastAsia" w:cs="Times New Roman"/>
                <w:sz w:val="21"/>
                <w:szCs w:val="21"/>
              </w:rPr>
              <w:t>古树名木</w:t>
            </w:r>
          </w:p>
        </w:tc>
        <w:tc>
          <w:tcPr>
            <w:tcW w:w="2268" w:type="dxa"/>
            <w:vAlign w:val="center"/>
          </w:tcPr>
          <w:p w14:paraId="7865C444">
            <w:pPr>
              <w:spacing w:line="240" w:lineRule="auto"/>
              <w:ind w:firstLine="0" w:firstLineChars="0"/>
              <w:jc w:val="center"/>
              <w:rPr>
                <w:rFonts w:cs="Times New Roman"/>
                <w:sz w:val="21"/>
                <w:szCs w:val="21"/>
              </w:rPr>
            </w:pPr>
            <w:r>
              <w:rPr>
                <w:rFonts w:hint="eastAsia" w:cs="Times New Roman"/>
                <w:sz w:val="21"/>
                <w:szCs w:val="21"/>
              </w:rPr>
              <w:t>薛埠镇对达村</w:t>
            </w:r>
          </w:p>
        </w:tc>
        <w:tc>
          <w:tcPr>
            <w:tcW w:w="709" w:type="dxa"/>
            <w:vAlign w:val="center"/>
          </w:tcPr>
          <w:p w14:paraId="73274E93">
            <w:pPr>
              <w:spacing w:line="240" w:lineRule="auto"/>
              <w:ind w:firstLine="0" w:firstLineChars="0"/>
              <w:jc w:val="center"/>
              <w:rPr>
                <w:rFonts w:cs="Times New Roman"/>
                <w:sz w:val="21"/>
                <w:szCs w:val="21"/>
              </w:rPr>
            </w:pPr>
            <w:r>
              <w:rPr>
                <w:rFonts w:hint="eastAsia" w:cs="Times New Roman"/>
                <w:sz w:val="21"/>
                <w:szCs w:val="21"/>
              </w:rPr>
              <w:t>300</w:t>
            </w:r>
          </w:p>
        </w:tc>
        <w:tc>
          <w:tcPr>
            <w:tcW w:w="1071" w:type="dxa"/>
            <w:vAlign w:val="center"/>
          </w:tcPr>
          <w:p w14:paraId="45FE5091">
            <w:pPr>
              <w:spacing w:line="240" w:lineRule="auto"/>
              <w:ind w:firstLine="0" w:firstLineChars="0"/>
              <w:jc w:val="center"/>
              <w:rPr>
                <w:rFonts w:cs="Times New Roman"/>
                <w:sz w:val="21"/>
                <w:szCs w:val="21"/>
              </w:rPr>
            </w:pPr>
            <w:r>
              <w:rPr>
                <w:rFonts w:hint="eastAsia" w:cs="Times New Roman"/>
                <w:sz w:val="21"/>
                <w:szCs w:val="21"/>
              </w:rPr>
              <w:t>一级</w:t>
            </w:r>
          </w:p>
        </w:tc>
      </w:tr>
      <w:tr w14:paraId="246DB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Align w:val="center"/>
          </w:tcPr>
          <w:p w14:paraId="7F736177">
            <w:pPr>
              <w:spacing w:line="240" w:lineRule="auto"/>
              <w:ind w:firstLine="0" w:firstLineChars="0"/>
              <w:jc w:val="center"/>
              <w:rPr>
                <w:rFonts w:cs="Times New Roman"/>
                <w:sz w:val="21"/>
                <w:szCs w:val="21"/>
              </w:rPr>
            </w:pPr>
            <w:r>
              <w:rPr>
                <w:rFonts w:hint="eastAsia" w:cs="Times New Roman"/>
                <w:sz w:val="21"/>
                <w:szCs w:val="21"/>
              </w:rPr>
              <w:t>2</w:t>
            </w:r>
          </w:p>
        </w:tc>
        <w:tc>
          <w:tcPr>
            <w:tcW w:w="2425" w:type="dxa"/>
            <w:vAlign w:val="center"/>
          </w:tcPr>
          <w:p w14:paraId="086F0E3E">
            <w:pPr>
              <w:spacing w:line="240" w:lineRule="auto"/>
              <w:ind w:firstLine="0" w:firstLineChars="0"/>
              <w:jc w:val="center"/>
              <w:rPr>
                <w:rFonts w:cs="Times New Roman"/>
                <w:sz w:val="21"/>
                <w:szCs w:val="21"/>
              </w:rPr>
            </w:pPr>
            <w:r>
              <w:rPr>
                <w:rFonts w:hint="eastAsia" w:cs="Times New Roman"/>
                <w:sz w:val="21"/>
                <w:szCs w:val="21"/>
              </w:rPr>
              <w:t>枸骨（1株）</w:t>
            </w:r>
          </w:p>
        </w:tc>
        <w:tc>
          <w:tcPr>
            <w:tcW w:w="1134" w:type="dxa"/>
            <w:vMerge w:val="continue"/>
            <w:vAlign w:val="center"/>
          </w:tcPr>
          <w:p w14:paraId="27820551">
            <w:pPr>
              <w:spacing w:line="240" w:lineRule="auto"/>
              <w:ind w:firstLine="0" w:firstLineChars="0"/>
              <w:jc w:val="center"/>
              <w:rPr>
                <w:rFonts w:cs="Times New Roman"/>
                <w:sz w:val="21"/>
                <w:szCs w:val="21"/>
              </w:rPr>
            </w:pPr>
          </w:p>
        </w:tc>
        <w:tc>
          <w:tcPr>
            <w:tcW w:w="2268" w:type="dxa"/>
            <w:vAlign w:val="center"/>
          </w:tcPr>
          <w:p w14:paraId="4212AF05">
            <w:pPr>
              <w:spacing w:line="240" w:lineRule="auto"/>
              <w:ind w:firstLine="0" w:firstLineChars="0"/>
              <w:jc w:val="center"/>
              <w:rPr>
                <w:rFonts w:cs="Times New Roman"/>
                <w:sz w:val="21"/>
                <w:szCs w:val="21"/>
              </w:rPr>
            </w:pPr>
            <w:r>
              <w:rPr>
                <w:rFonts w:hint="eastAsia" w:cs="Times New Roman"/>
                <w:sz w:val="21"/>
                <w:szCs w:val="21"/>
              </w:rPr>
              <w:t>薛埠镇塔山村</w:t>
            </w:r>
          </w:p>
        </w:tc>
        <w:tc>
          <w:tcPr>
            <w:tcW w:w="709" w:type="dxa"/>
            <w:vAlign w:val="center"/>
          </w:tcPr>
          <w:p w14:paraId="61D12E4D">
            <w:pPr>
              <w:spacing w:line="240" w:lineRule="auto"/>
              <w:ind w:firstLine="0" w:firstLineChars="0"/>
              <w:jc w:val="center"/>
              <w:rPr>
                <w:rFonts w:cs="Times New Roman"/>
                <w:sz w:val="21"/>
                <w:szCs w:val="21"/>
              </w:rPr>
            </w:pPr>
            <w:r>
              <w:rPr>
                <w:rFonts w:hint="eastAsia" w:cs="Times New Roman"/>
                <w:sz w:val="21"/>
                <w:szCs w:val="21"/>
              </w:rPr>
              <w:t>500</w:t>
            </w:r>
          </w:p>
        </w:tc>
        <w:tc>
          <w:tcPr>
            <w:tcW w:w="1071" w:type="dxa"/>
            <w:vAlign w:val="center"/>
          </w:tcPr>
          <w:p w14:paraId="30EA37DC">
            <w:pPr>
              <w:spacing w:line="240" w:lineRule="auto"/>
              <w:ind w:firstLine="0" w:firstLineChars="0"/>
              <w:jc w:val="center"/>
              <w:rPr>
                <w:rFonts w:cs="Times New Roman"/>
                <w:sz w:val="21"/>
                <w:szCs w:val="21"/>
              </w:rPr>
            </w:pPr>
            <w:r>
              <w:rPr>
                <w:rFonts w:hint="eastAsia" w:cs="Times New Roman"/>
                <w:sz w:val="21"/>
                <w:szCs w:val="21"/>
              </w:rPr>
              <w:t>一级</w:t>
            </w:r>
          </w:p>
        </w:tc>
      </w:tr>
      <w:tr w14:paraId="09E07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Align w:val="center"/>
          </w:tcPr>
          <w:p w14:paraId="212D3F58">
            <w:pPr>
              <w:spacing w:line="240" w:lineRule="auto"/>
              <w:ind w:firstLine="0" w:firstLineChars="0"/>
              <w:jc w:val="center"/>
              <w:rPr>
                <w:rFonts w:cs="Times New Roman"/>
                <w:sz w:val="21"/>
                <w:szCs w:val="21"/>
              </w:rPr>
            </w:pPr>
            <w:r>
              <w:rPr>
                <w:rFonts w:hint="eastAsia" w:cs="Times New Roman"/>
                <w:sz w:val="21"/>
                <w:szCs w:val="21"/>
              </w:rPr>
              <w:t>3</w:t>
            </w:r>
          </w:p>
        </w:tc>
        <w:tc>
          <w:tcPr>
            <w:tcW w:w="2425" w:type="dxa"/>
            <w:vAlign w:val="center"/>
          </w:tcPr>
          <w:p w14:paraId="5FE3DDF8">
            <w:pPr>
              <w:spacing w:line="240" w:lineRule="auto"/>
              <w:ind w:firstLine="0" w:firstLineChars="0"/>
              <w:jc w:val="center"/>
              <w:rPr>
                <w:rFonts w:cs="Times New Roman"/>
                <w:sz w:val="21"/>
                <w:szCs w:val="21"/>
              </w:rPr>
            </w:pPr>
            <w:r>
              <w:rPr>
                <w:rFonts w:hint="eastAsia" w:cs="Times New Roman"/>
                <w:sz w:val="21"/>
                <w:szCs w:val="21"/>
              </w:rPr>
              <w:t>银杏（1株）</w:t>
            </w:r>
          </w:p>
        </w:tc>
        <w:tc>
          <w:tcPr>
            <w:tcW w:w="1134" w:type="dxa"/>
            <w:vMerge w:val="continue"/>
            <w:vAlign w:val="center"/>
          </w:tcPr>
          <w:p w14:paraId="43C76C7A">
            <w:pPr>
              <w:spacing w:line="240" w:lineRule="auto"/>
              <w:ind w:firstLine="0" w:firstLineChars="0"/>
              <w:jc w:val="center"/>
              <w:rPr>
                <w:rFonts w:cs="Times New Roman"/>
                <w:sz w:val="21"/>
                <w:szCs w:val="21"/>
              </w:rPr>
            </w:pPr>
          </w:p>
        </w:tc>
        <w:tc>
          <w:tcPr>
            <w:tcW w:w="2268" w:type="dxa"/>
            <w:vAlign w:val="center"/>
          </w:tcPr>
          <w:p w14:paraId="5499680D">
            <w:pPr>
              <w:spacing w:line="240" w:lineRule="auto"/>
              <w:ind w:firstLine="0" w:firstLineChars="0"/>
              <w:jc w:val="center"/>
              <w:rPr>
                <w:rFonts w:cs="Times New Roman"/>
                <w:sz w:val="21"/>
                <w:szCs w:val="21"/>
              </w:rPr>
            </w:pPr>
            <w:r>
              <w:rPr>
                <w:rFonts w:hint="eastAsia" w:cs="Times New Roman"/>
                <w:sz w:val="21"/>
                <w:szCs w:val="21"/>
              </w:rPr>
              <w:t>薛埠镇金坛微波站</w:t>
            </w:r>
          </w:p>
        </w:tc>
        <w:tc>
          <w:tcPr>
            <w:tcW w:w="709" w:type="dxa"/>
            <w:vAlign w:val="center"/>
          </w:tcPr>
          <w:p w14:paraId="1C398B7F">
            <w:pPr>
              <w:spacing w:line="240" w:lineRule="auto"/>
              <w:ind w:firstLine="0" w:firstLineChars="0"/>
              <w:jc w:val="center"/>
              <w:rPr>
                <w:rFonts w:cs="Times New Roman"/>
                <w:sz w:val="21"/>
                <w:szCs w:val="21"/>
              </w:rPr>
            </w:pPr>
            <w:r>
              <w:rPr>
                <w:rFonts w:hint="eastAsia" w:cs="Times New Roman"/>
                <w:sz w:val="21"/>
                <w:szCs w:val="21"/>
              </w:rPr>
              <w:t>200</w:t>
            </w:r>
          </w:p>
        </w:tc>
        <w:tc>
          <w:tcPr>
            <w:tcW w:w="1071" w:type="dxa"/>
            <w:vAlign w:val="center"/>
          </w:tcPr>
          <w:p w14:paraId="66A959A1">
            <w:pPr>
              <w:spacing w:line="240" w:lineRule="auto"/>
              <w:ind w:firstLine="0" w:firstLineChars="0"/>
              <w:jc w:val="center"/>
              <w:rPr>
                <w:rFonts w:cs="Times New Roman"/>
                <w:sz w:val="21"/>
                <w:szCs w:val="21"/>
              </w:rPr>
            </w:pPr>
            <w:r>
              <w:rPr>
                <w:rFonts w:hint="eastAsia" w:cs="Times New Roman"/>
                <w:sz w:val="21"/>
                <w:szCs w:val="21"/>
              </w:rPr>
              <w:t>二级</w:t>
            </w:r>
          </w:p>
        </w:tc>
      </w:tr>
      <w:tr w14:paraId="0647A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Align w:val="center"/>
          </w:tcPr>
          <w:p w14:paraId="02FBB9E2">
            <w:pPr>
              <w:spacing w:line="240" w:lineRule="auto"/>
              <w:ind w:firstLine="0" w:firstLineChars="0"/>
              <w:jc w:val="center"/>
              <w:rPr>
                <w:rFonts w:cs="Times New Roman"/>
                <w:sz w:val="21"/>
                <w:szCs w:val="21"/>
              </w:rPr>
            </w:pPr>
            <w:r>
              <w:rPr>
                <w:rFonts w:hint="eastAsia" w:cs="Times New Roman"/>
                <w:sz w:val="21"/>
                <w:szCs w:val="21"/>
              </w:rPr>
              <w:t>4</w:t>
            </w:r>
          </w:p>
        </w:tc>
        <w:tc>
          <w:tcPr>
            <w:tcW w:w="2425" w:type="dxa"/>
            <w:vAlign w:val="center"/>
          </w:tcPr>
          <w:p w14:paraId="0E16BC9D">
            <w:pPr>
              <w:spacing w:line="240" w:lineRule="auto"/>
              <w:ind w:firstLine="0" w:firstLineChars="0"/>
              <w:jc w:val="center"/>
              <w:rPr>
                <w:rFonts w:cs="Times New Roman"/>
                <w:sz w:val="21"/>
                <w:szCs w:val="21"/>
              </w:rPr>
            </w:pPr>
            <w:r>
              <w:rPr>
                <w:rFonts w:hint="eastAsia" w:cs="Times New Roman"/>
                <w:sz w:val="21"/>
                <w:szCs w:val="21"/>
              </w:rPr>
              <w:t>枸骨（1株）</w:t>
            </w:r>
          </w:p>
        </w:tc>
        <w:tc>
          <w:tcPr>
            <w:tcW w:w="1134" w:type="dxa"/>
            <w:vMerge w:val="continue"/>
            <w:vAlign w:val="center"/>
          </w:tcPr>
          <w:p w14:paraId="194E9EA5">
            <w:pPr>
              <w:spacing w:line="240" w:lineRule="auto"/>
              <w:ind w:firstLine="0" w:firstLineChars="0"/>
              <w:jc w:val="center"/>
              <w:rPr>
                <w:rFonts w:cs="Times New Roman"/>
                <w:sz w:val="21"/>
                <w:szCs w:val="21"/>
              </w:rPr>
            </w:pPr>
          </w:p>
        </w:tc>
        <w:tc>
          <w:tcPr>
            <w:tcW w:w="2268" w:type="dxa"/>
            <w:vAlign w:val="center"/>
          </w:tcPr>
          <w:p w14:paraId="7828CE9E">
            <w:pPr>
              <w:spacing w:line="240" w:lineRule="auto"/>
              <w:ind w:firstLine="0" w:firstLineChars="0"/>
              <w:jc w:val="center"/>
              <w:rPr>
                <w:rFonts w:cs="Times New Roman"/>
                <w:sz w:val="21"/>
                <w:szCs w:val="21"/>
              </w:rPr>
            </w:pPr>
            <w:r>
              <w:rPr>
                <w:rFonts w:hint="eastAsia" w:cs="Times New Roman"/>
                <w:sz w:val="21"/>
                <w:szCs w:val="21"/>
              </w:rPr>
              <w:t>茅东林场（区外西侧）</w:t>
            </w:r>
          </w:p>
        </w:tc>
        <w:tc>
          <w:tcPr>
            <w:tcW w:w="709" w:type="dxa"/>
            <w:vAlign w:val="center"/>
          </w:tcPr>
          <w:p w14:paraId="508B89D2">
            <w:pPr>
              <w:spacing w:line="240" w:lineRule="auto"/>
              <w:ind w:firstLine="0" w:firstLineChars="0"/>
              <w:jc w:val="center"/>
              <w:rPr>
                <w:rFonts w:cs="Times New Roman"/>
                <w:sz w:val="21"/>
                <w:szCs w:val="21"/>
              </w:rPr>
            </w:pPr>
            <w:r>
              <w:rPr>
                <w:rFonts w:hint="eastAsia" w:cs="Times New Roman"/>
                <w:sz w:val="21"/>
                <w:szCs w:val="21"/>
              </w:rPr>
              <w:t>100</w:t>
            </w:r>
          </w:p>
        </w:tc>
        <w:tc>
          <w:tcPr>
            <w:tcW w:w="1071" w:type="dxa"/>
            <w:vAlign w:val="center"/>
          </w:tcPr>
          <w:p w14:paraId="14331209">
            <w:pPr>
              <w:spacing w:line="240" w:lineRule="auto"/>
              <w:ind w:firstLine="0" w:firstLineChars="0"/>
              <w:jc w:val="center"/>
              <w:rPr>
                <w:rFonts w:cs="Times New Roman"/>
                <w:sz w:val="21"/>
                <w:szCs w:val="21"/>
              </w:rPr>
            </w:pPr>
            <w:r>
              <w:rPr>
                <w:rFonts w:hint="eastAsia" w:cs="Times New Roman"/>
                <w:sz w:val="21"/>
                <w:szCs w:val="21"/>
              </w:rPr>
              <w:t>二级</w:t>
            </w:r>
          </w:p>
        </w:tc>
      </w:tr>
      <w:tr w14:paraId="2B0BD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Align w:val="center"/>
          </w:tcPr>
          <w:p w14:paraId="05EFF239">
            <w:pPr>
              <w:spacing w:line="240" w:lineRule="auto"/>
              <w:ind w:firstLine="0" w:firstLineChars="0"/>
              <w:jc w:val="center"/>
              <w:rPr>
                <w:rFonts w:cs="Times New Roman"/>
                <w:sz w:val="21"/>
                <w:szCs w:val="21"/>
              </w:rPr>
            </w:pPr>
            <w:r>
              <w:rPr>
                <w:rFonts w:hint="eastAsia" w:cs="Times New Roman"/>
                <w:sz w:val="21"/>
                <w:szCs w:val="21"/>
              </w:rPr>
              <w:t>5</w:t>
            </w:r>
          </w:p>
        </w:tc>
        <w:tc>
          <w:tcPr>
            <w:tcW w:w="2425" w:type="dxa"/>
            <w:vAlign w:val="center"/>
          </w:tcPr>
          <w:p w14:paraId="612C2974">
            <w:pPr>
              <w:spacing w:line="240" w:lineRule="auto"/>
              <w:ind w:firstLine="0" w:firstLineChars="0"/>
              <w:jc w:val="center"/>
              <w:rPr>
                <w:rFonts w:cs="Times New Roman"/>
                <w:sz w:val="21"/>
                <w:szCs w:val="21"/>
              </w:rPr>
            </w:pPr>
            <w:r>
              <w:rPr>
                <w:rFonts w:hint="eastAsia" w:cs="Times New Roman"/>
                <w:sz w:val="21"/>
                <w:szCs w:val="21"/>
              </w:rPr>
              <w:t>栓皮栎古树群（19株）</w:t>
            </w:r>
          </w:p>
        </w:tc>
        <w:tc>
          <w:tcPr>
            <w:tcW w:w="1134" w:type="dxa"/>
            <w:vMerge w:val="continue"/>
          </w:tcPr>
          <w:p w14:paraId="763F428B">
            <w:pPr>
              <w:spacing w:line="240" w:lineRule="auto"/>
              <w:ind w:firstLine="0" w:firstLineChars="0"/>
              <w:jc w:val="center"/>
              <w:rPr>
                <w:rFonts w:cs="Times New Roman"/>
                <w:sz w:val="21"/>
                <w:szCs w:val="21"/>
              </w:rPr>
            </w:pPr>
          </w:p>
        </w:tc>
        <w:tc>
          <w:tcPr>
            <w:tcW w:w="2268" w:type="dxa"/>
          </w:tcPr>
          <w:p w14:paraId="73E8D4EA">
            <w:pPr>
              <w:spacing w:line="240" w:lineRule="auto"/>
              <w:ind w:firstLine="0" w:firstLineChars="0"/>
              <w:jc w:val="center"/>
              <w:rPr>
                <w:rFonts w:cs="Times New Roman"/>
                <w:sz w:val="21"/>
                <w:szCs w:val="21"/>
              </w:rPr>
            </w:pPr>
            <w:r>
              <w:rPr>
                <w:rFonts w:hint="eastAsia" w:cs="Times New Roman"/>
                <w:sz w:val="21"/>
                <w:szCs w:val="21"/>
              </w:rPr>
              <w:t>茅东林场（区内）</w:t>
            </w:r>
          </w:p>
        </w:tc>
        <w:tc>
          <w:tcPr>
            <w:tcW w:w="709" w:type="dxa"/>
          </w:tcPr>
          <w:p w14:paraId="463D101D">
            <w:pPr>
              <w:spacing w:line="240" w:lineRule="auto"/>
              <w:ind w:firstLine="0" w:firstLineChars="0"/>
              <w:jc w:val="center"/>
              <w:rPr>
                <w:rFonts w:cs="Times New Roman"/>
                <w:sz w:val="21"/>
                <w:szCs w:val="21"/>
              </w:rPr>
            </w:pPr>
            <w:r>
              <w:rPr>
                <w:rFonts w:hint="eastAsia" w:cs="Times New Roman"/>
                <w:sz w:val="21"/>
                <w:szCs w:val="21"/>
              </w:rPr>
              <w:t>113</w:t>
            </w:r>
          </w:p>
        </w:tc>
        <w:tc>
          <w:tcPr>
            <w:tcW w:w="1071" w:type="dxa"/>
            <w:vAlign w:val="center"/>
          </w:tcPr>
          <w:p w14:paraId="2FA01329">
            <w:pPr>
              <w:spacing w:line="240" w:lineRule="auto"/>
              <w:ind w:firstLine="0" w:firstLineChars="0"/>
              <w:jc w:val="center"/>
              <w:rPr>
                <w:rFonts w:cs="Times New Roman"/>
                <w:sz w:val="21"/>
                <w:szCs w:val="21"/>
              </w:rPr>
            </w:pPr>
            <w:r>
              <w:rPr>
                <w:rFonts w:hint="eastAsia" w:cs="Times New Roman"/>
                <w:sz w:val="21"/>
                <w:szCs w:val="21"/>
              </w:rPr>
              <w:t>二级</w:t>
            </w:r>
          </w:p>
        </w:tc>
      </w:tr>
    </w:tbl>
    <w:p w14:paraId="7F73F1C1">
      <w:pPr>
        <w:ind w:firstLine="0" w:firstLineChars="0"/>
      </w:pPr>
    </w:p>
    <w:p w14:paraId="1E0E74E6">
      <w:pPr>
        <w:ind w:firstLine="0" w:firstLineChars="0"/>
      </w:pPr>
    </w:p>
    <w:p w14:paraId="2BA751BB">
      <w:pPr>
        <w:ind w:firstLine="480"/>
        <w:sectPr>
          <w:pgSz w:w="11906" w:h="16838"/>
          <w:pgMar w:top="1440" w:right="1800" w:bottom="1440" w:left="1800" w:header="851" w:footer="992" w:gutter="0"/>
          <w:cols w:space="425" w:num="1"/>
          <w:docGrid w:type="lines" w:linePitch="326" w:charSpace="0"/>
        </w:sectPr>
      </w:pPr>
    </w:p>
    <w:p w14:paraId="4CF732EC">
      <w:pPr>
        <w:pStyle w:val="3"/>
        <w:ind w:firstLine="0" w:firstLineChars="0"/>
        <w:rPr>
          <w:rFonts w:cs="Times New Roman"/>
        </w:rPr>
      </w:pPr>
      <w:bookmarkStart w:id="28" w:name="_Toc217294035"/>
      <w:r>
        <w:rPr>
          <w:rFonts w:cs="Times New Roman"/>
        </w:rPr>
        <w:t>1.9</w:t>
      </w:r>
      <w:r>
        <w:rPr>
          <w:rFonts w:hint="eastAsia" w:cs="Times New Roman"/>
        </w:rPr>
        <w:t>评价流程</w:t>
      </w:r>
      <w:bookmarkEnd w:id="28"/>
    </w:p>
    <w:p w14:paraId="42696638">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1.9.1</w:t>
      </w:r>
      <w:r>
        <w:rPr>
          <w:rFonts w:hint="eastAsia" w:eastAsia="方正楷体_GBK" w:cs="Times New Roman"/>
          <w:b/>
          <w:bCs/>
          <w:szCs w:val="28"/>
          <w14:ligatures w14:val="none"/>
        </w:rPr>
        <w:t>工作流程</w:t>
      </w:r>
    </w:p>
    <w:p w14:paraId="60834E0E">
      <w:pPr>
        <w:ind w:firstLine="480"/>
      </w:pPr>
      <w:r>
        <w:rPr>
          <w:rFonts w:hint="eastAsia"/>
        </w:rPr>
        <w:t>规划环境影响评价在规划编制的早期阶段介入，并与规划编制、论证及审定等关键环节和过程充分互动，互动内容包括：</w:t>
      </w:r>
    </w:p>
    <w:p w14:paraId="28565584">
      <w:pPr>
        <w:ind w:firstLine="480"/>
      </w:pPr>
      <w:r>
        <w:rPr>
          <w:rFonts w:cs="Times New Roman"/>
        </w:rPr>
        <w:t>1、</w:t>
      </w:r>
      <w:r>
        <w:rPr>
          <w:rFonts w:hint="eastAsia"/>
        </w:rPr>
        <w:t>在规划前期阶段，同步开展规划环评工作。通过对规划内容的分析，收集与规划相关的法律法规、环境政策等，收集上层位规划和规划所在区域生态环境分区管控要求，对规划区域及可能受影响的区域进行现场踏勘，收集相关基础数据资料，初步调查环境敏感区情况，识别规划实施的主要环境影响，分析提出规划实施的资源、生态、环境制约因素，反馈给规划编制机关。</w:t>
      </w:r>
    </w:p>
    <w:p w14:paraId="131B680C">
      <w:pPr>
        <w:ind w:firstLine="480"/>
      </w:pPr>
      <w:r>
        <w:rPr>
          <w:rFonts w:hint="eastAsia"/>
        </w:rPr>
        <w:t>2、在规划方案编制阶段，完成现状调查与评价，提出环境影响评价指标体系，分析、预测和评价拟定规划方案实施的资源、生态、环境影响，并将评价结果和结论反馈给规划编制机关，作为方案比选和优化的参考和依据。</w:t>
      </w:r>
    </w:p>
    <w:p w14:paraId="1D734597">
      <w:pPr>
        <w:ind w:firstLine="480"/>
      </w:pPr>
      <w:r>
        <w:rPr>
          <w:rFonts w:hint="eastAsia"/>
        </w:rPr>
        <w:t>3、在规划的审定阶段：进一步论证拟推荐的规划方案的环境合理性，形成必要的优化调整建议，反馈给规划编制机关。针对推荐的规划方案提出不良环境影响减缓措施和环境影响跟踪评价计划，编制环境影响报告书。</w:t>
      </w:r>
    </w:p>
    <w:p w14:paraId="6A41724B">
      <w:pPr>
        <w:ind w:firstLine="480"/>
      </w:pPr>
      <w:r>
        <w:rPr>
          <w:rFonts w:hint="eastAsia"/>
        </w:rPr>
        <w:t>4、规划环境影响报告书审查会后，应根据审查小组提出的修改意见和审查意见对报告书进行修改完善。</w:t>
      </w:r>
    </w:p>
    <w:p w14:paraId="6BCA892D">
      <w:pPr>
        <w:ind w:firstLine="480"/>
      </w:pPr>
      <w:r>
        <w:rPr>
          <w:rFonts w:hint="eastAsia"/>
        </w:rPr>
        <w:t>5、在规划报送审批前，将环境影响评价文件及其审查意见正式提交给规划编制机关。</w:t>
      </w:r>
    </w:p>
    <w:p w14:paraId="53FD6CB2">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1.9.2</w:t>
      </w:r>
      <w:r>
        <w:rPr>
          <w:rFonts w:hint="eastAsia" w:eastAsia="方正楷体_GBK" w:cs="Times New Roman"/>
          <w:b/>
          <w:bCs/>
          <w:szCs w:val="28"/>
          <w14:ligatures w14:val="none"/>
        </w:rPr>
        <w:t>技术流程</w:t>
      </w:r>
    </w:p>
    <w:p w14:paraId="3C3FD17D">
      <w:pPr>
        <w:ind w:firstLine="480"/>
      </w:pPr>
      <w:r>
        <w:rPr>
          <w:rFonts w:hint="eastAsia"/>
        </w:rPr>
        <w:t>本次度假区规划环境影响评价工作流程详见图1.</w:t>
      </w:r>
      <w:r>
        <w:t>9</w:t>
      </w:r>
      <w:r>
        <w:rPr>
          <w:rFonts w:hint="eastAsia"/>
        </w:rPr>
        <w:t>-1。</w:t>
      </w:r>
    </w:p>
    <w:p w14:paraId="775486AB">
      <w:pPr>
        <w:spacing w:line="240" w:lineRule="auto"/>
        <w:ind w:left="-142" w:leftChars="-59" w:firstLine="0" w:firstLineChars="0"/>
      </w:pPr>
      <w:r>
        <w:object>
          <v:shape id="_x0000_i1025" o:spt="75" type="#_x0000_t75" style="height:448.1pt;width:435.2pt;" o:ole="t" filled="f" o:preferrelative="t" stroked="f" coordsize="21600,21600">
            <v:path/>
            <v:fill on="f" focussize="0,0"/>
            <v:stroke on="f" joinstyle="miter"/>
            <v:imagedata r:id="rId14" o:title=""/>
            <o:lock v:ext="edit" aspectratio="t"/>
            <w10:wrap type="none"/>
            <w10:anchorlock/>
          </v:shape>
          <o:OLEObject Type="Embed" ProgID="Visio.Drawing.15" ShapeID="_x0000_i1025" DrawAspect="Content" ObjectID="_1468075725" r:id="rId13">
            <o:LockedField>false</o:LockedField>
          </o:OLEObject>
        </w:object>
      </w:r>
    </w:p>
    <w:p w14:paraId="00BF3B4C">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hint="eastAsia" w:cs="Times New Roman"/>
          <w:b/>
          <w:szCs w:val="24"/>
          <w14:ligatures w14:val="none"/>
        </w:rPr>
        <w:t>图</w:t>
      </w:r>
      <w:r>
        <w:rPr>
          <w:rFonts w:cs="Times New Roman"/>
          <w:b/>
          <w:szCs w:val="24"/>
          <w14:ligatures w14:val="none"/>
        </w:rPr>
        <w:t xml:space="preserve">1.9-1  </w:t>
      </w:r>
      <w:r>
        <w:rPr>
          <w:rFonts w:hint="eastAsia" w:cs="Times New Roman"/>
          <w:b/>
          <w:szCs w:val="24"/>
          <w14:ligatures w14:val="none"/>
        </w:rPr>
        <w:t>本次规划环境影响评价技术流程图</w:t>
      </w:r>
    </w:p>
    <w:p w14:paraId="435278BF">
      <w:pPr>
        <w:spacing w:line="240" w:lineRule="auto"/>
        <w:ind w:left="-425" w:leftChars="-177" w:firstLine="0" w:firstLineChars="0"/>
      </w:pPr>
    </w:p>
    <w:p w14:paraId="4DEF22AF">
      <w:pPr>
        <w:widowControl/>
        <w:spacing w:line="240" w:lineRule="auto"/>
        <w:ind w:firstLine="0" w:firstLineChars="0"/>
        <w:jc w:val="left"/>
      </w:pPr>
      <w:r>
        <w:br w:type="page"/>
      </w:r>
    </w:p>
    <w:p w14:paraId="6A127D12">
      <w:pPr>
        <w:pStyle w:val="2"/>
        <w:ind w:firstLine="0" w:firstLineChars="0"/>
      </w:pPr>
      <w:bookmarkStart w:id="29" w:name="_Toc217294036"/>
      <w:r>
        <w:t>2</w:t>
      </w:r>
      <w:r>
        <w:rPr>
          <w:rFonts w:hint="eastAsia"/>
        </w:rPr>
        <w:t>规划分析</w:t>
      </w:r>
      <w:bookmarkEnd w:id="29"/>
    </w:p>
    <w:p w14:paraId="62551226">
      <w:pPr>
        <w:pStyle w:val="3"/>
        <w:ind w:firstLine="0" w:firstLineChars="0"/>
        <w:rPr>
          <w:rFonts w:cs="Times New Roman"/>
        </w:rPr>
      </w:pPr>
      <w:bookmarkStart w:id="30" w:name="_Toc217294037"/>
      <w:r>
        <w:rPr>
          <w:rFonts w:cs="Times New Roman"/>
        </w:rPr>
        <w:t>2.1</w:t>
      </w:r>
      <w:r>
        <w:rPr>
          <w:rFonts w:hint="eastAsia" w:cs="Times New Roman"/>
        </w:rPr>
        <w:t>规划概述</w:t>
      </w:r>
      <w:bookmarkEnd w:id="30"/>
    </w:p>
    <w:p w14:paraId="74A62A3F">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w:t>
      </w:r>
      <w:r>
        <w:rPr>
          <w:rFonts w:hint="eastAsia" w:eastAsia="方正楷体_GBK" w:cs="Times New Roman"/>
          <w:b/>
          <w:bCs/>
          <w:szCs w:val="28"/>
          <w14:ligatures w14:val="none"/>
        </w:rPr>
        <w:t>1规划背景</w:t>
      </w:r>
    </w:p>
    <w:p w14:paraId="25AFA90D">
      <w:pPr>
        <w:spacing w:line="500" w:lineRule="exact"/>
        <w:ind w:firstLine="480"/>
        <w:rPr>
          <w:rFonts w:cs="Times New Roman"/>
          <w:szCs w:val="24"/>
        </w:rPr>
      </w:pPr>
      <w:r>
        <w:rPr>
          <w:rFonts w:cs="Times New Roman"/>
          <w:szCs w:val="24"/>
        </w:rPr>
        <w:t>2008</w:t>
      </w:r>
      <w:r>
        <w:rPr>
          <w:rFonts w:hint="eastAsia" w:cs="Times New Roman"/>
          <w:szCs w:val="24"/>
        </w:rPr>
        <w:t>年，为迎合长三角居民旅游活动消费规模大、消费层次高、消费能力强的发展特点，激活周边客源市场的潜在需求，茅山风景旅游区管理委员会组织编制了《茅山旅游度假区总体规划》，并获得原金坛市人民政府出具的《关于同意茅山旅游度假区总体规划的批复》（坛政复〔</w:t>
      </w:r>
      <w:r>
        <w:rPr>
          <w:rFonts w:cs="Times New Roman"/>
          <w:szCs w:val="24"/>
        </w:rPr>
        <w:t>2008</w:t>
      </w:r>
      <w:r>
        <w:rPr>
          <w:rFonts w:hint="eastAsia" w:cs="Times New Roman"/>
          <w:szCs w:val="24"/>
        </w:rPr>
        <w:t>〕</w:t>
      </w:r>
      <w:r>
        <w:rPr>
          <w:rFonts w:cs="Times New Roman"/>
          <w:szCs w:val="24"/>
        </w:rPr>
        <w:t>11</w:t>
      </w:r>
      <w:r>
        <w:rPr>
          <w:rFonts w:hint="eastAsia" w:cs="Times New Roman"/>
          <w:szCs w:val="24"/>
        </w:rPr>
        <w:t>号），规划范围为薛埠镇区域内的</w:t>
      </w:r>
      <w:r>
        <w:rPr>
          <w:rFonts w:cs="Times New Roman"/>
          <w:szCs w:val="24"/>
        </w:rPr>
        <w:t>4</w:t>
      </w:r>
      <w:r>
        <w:rPr>
          <w:rFonts w:hint="eastAsia" w:cs="Times New Roman"/>
          <w:szCs w:val="24"/>
        </w:rPr>
        <w:t>个行政村和</w:t>
      </w:r>
      <w:r>
        <w:rPr>
          <w:rFonts w:cs="Times New Roman"/>
          <w:szCs w:val="24"/>
        </w:rPr>
        <w:t>2</w:t>
      </w:r>
      <w:r>
        <w:rPr>
          <w:rFonts w:hint="eastAsia" w:cs="Times New Roman"/>
          <w:szCs w:val="24"/>
        </w:rPr>
        <w:t>个场圃，总面积</w:t>
      </w:r>
      <w:r>
        <w:rPr>
          <w:rFonts w:cs="Times New Roman"/>
          <w:szCs w:val="24"/>
        </w:rPr>
        <w:t>18.6</w:t>
      </w:r>
      <w:r>
        <w:rPr>
          <w:rFonts w:hint="eastAsia" w:cs="Times New Roman"/>
          <w:szCs w:val="24"/>
        </w:rPr>
        <w:t>平方公里。</w:t>
      </w:r>
    </w:p>
    <w:p w14:paraId="5EF51C6E">
      <w:pPr>
        <w:spacing w:line="500" w:lineRule="exact"/>
        <w:ind w:firstLine="480"/>
        <w:rPr>
          <w:rFonts w:cs="Times New Roman"/>
          <w:szCs w:val="24"/>
        </w:rPr>
      </w:pPr>
      <w:r>
        <w:rPr>
          <w:rFonts w:cs="Times New Roman"/>
          <w:szCs w:val="24"/>
        </w:rPr>
        <w:t>2012</w:t>
      </w:r>
      <w:r>
        <w:rPr>
          <w:rFonts w:hint="eastAsia" w:cs="Times New Roman"/>
          <w:szCs w:val="24"/>
        </w:rPr>
        <w:t>年，茅山风景旅游区管理委员会管辖范围变更，管辖范围扩大至</w:t>
      </w:r>
      <w:r>
        <w:rPr>
          <w:rFonts w:cs="Times New Roman"/>
          <w:szCs w:val="24"/>
        </w:rPr>
        <w:t>108</w:t>
      </w:r>
      <w:r>
        <w:rPr>
          <w:rFonts w:hint="eastAsia" w:cs="Times New Roman"/>
          <w:szCs w:val="24"/>
        </w:rPr>
        <w:t>平方公里，即以茅山风景名胜区、茅山旅游度假区、生态农业观光区和方山森林公园为中心，涉及薛镇行政区域内的</w:t>
      </w:r>
      <w:r>
        <w:rPr>
          <w:rFonts w:cs="Times New Roman"/>
          <w:szCs w:val="24"/>
        </w:rPr>
        <w:t>11</w:t>
      </w:r>
      <w:r>
        <w:rPr>
          <w:rFonts w:hint="eastAsia" w:cs="Times New Roman"/>
          <w:szCs w:val="24"/>
        </w:rPr>
        <w:t>个行政村和</w:t>
      </w:r>
      <w:r>
        <w:rPr>
          <w:rFonts w:cs="Times New Roman"/>
          <w:szCs w:val="24"/>
        </w:rPr>
        <w:t>5</w:t>
      </w:r>
      <w:r>
        <w:rPr>
          <w:rFonts w:hint="eastAsia" w:cs="Times New Roman"/>
          <w:szCs w:val="24"/>
        </w:rPr>
        <w:t>个场圃。为此，茅山旅游度假区管委会组织编制了《金坛市茅山风景旅游区总体规划》，同年委托编制了《金坛市茅山风景旅游区总体规划环境影响报告书》，并获得原金坛市环境保护局的批复（坛环服复〔</w:t>
      </w:r>
      <w:r>
        <w:rPr>
          <w:rFonts w:cs="Times New Roman"/>
          <w:szCs w:val="24"/>
        </w:rPr>
        <w:t>2012</w:t>
      </w:r>
      <w:r>
        <w:rPr>
          <w:rFonts w:hint="eastAsia" w:cs="Times New Roman"/>
          <w:szCs w:val="24"/>
        </w:rPr>
        <w:t>〕</w:t>
      </w:r>
      <w:r>
        <w:rPr>
          <w:rFonts w:cs="Times New Roman"/>
          <w:szCs w:val="24"/>
        </w:rPr>
        <w:t>67</w:t>
      </w:r>
      <w:r>
        <w:rPr>
          <w:rFonts w:hint="eastAsia" w:cs="Times New Roman"/>
          <w:szCs w:val="24"/>
        </w:rPr>
        <w:t>号）。</w:t>
      </w:r>
    </w:p>
    <w:p w14:paraId="7C509773">
      <w:pPr>
        <w:spacing w:line="500" w:lineRule="exact"/>
        <w:ind w:firstLine="480"/>
        <w:rPr>
          <w:rFonts w:cs="Times New Roman"/>
          <w:szCs w:val="24"/>
        </w:rPr>
      </w:pPr>
      <w:r>
        <w:rPr>
          <w:rFonts w:cs="Times New Roman"/>
          <w:szCs w:val="24"/>
        </w:rPr>
        <w:t>2013</w:t>
      </w:r>
      <w:r>
        <w:rPr>
          <w:rFonts w:hint="eastAsia" w:cs="Times New Roman"/>
          <w:szCs w:val="24"/>
        </w:rPr>
        <w:t>年，为深度展现著名道教胜地和茅山东部区域的各类景点和旅游设施，挖掘三星文化遗址、城南人文景观、乾元观等景观资源优势，打造集道教名山、文化旅游、山岭观光、休闲旅游为一体的风景区，常州市人民政府提请江苏省人民政府《关于金坛市茅山旅游度假区设立省级旅游度假区的请示》（常政发〔</w:t>
      </w:r>
      <w:r>
        <w:rPr>
          <w:rFonts w:cs="Times New Roman"/>
          <w:szCs w:val="24"/>
        </w:rPr>
        <w:t>2013</w:t>
      </w:r>
      <w:r>
        <w:rPr>
          <w:rFonts w:hint="eastAsia" w:cs="Times New Roman"/>
          <w:szCs w:val="24"/>
        </w:rPr>
        <w:t>〕</w:t>
      </w:r>
      <w:r>
        <w:rPr>
          <w:rFonts w:cs="Times New Roman"/>
          <w:szCs w:val="24"/>
        </w:rPr>
        <w:t>4</w:t>
      </w:r>
      <w:r>
        <w:rPr>
          <w:rFonts w:hint="eastAsia" w:cs="Times New Roman"/>
          <w:szCs w:val="24"/>
        </w:rPr>
        <w:t>号），申请范围同原坛政复〔</w:t>
      </w:r>
      <w:r>
        <w:rPr>
          <w:rFonts w:cs="Times New Roman"/>
          <w:szCs w:val="24"/>
        </w:rPr>
        <w:t>2008</w:t>
      </w:r>
      <w:r>
        <w:rPr>
          <w:rFonts w:hint="eastAsia" w:cs="Times New Roman"/>
          <w:szCs w:val="24"/>
        </w:rPr>
        <w:t>〕</w:t>
      </w:r>
      <w:r>
        <w:rPr>
          <w:rFonts w:cs="Times New Roman"/>
          <w:szCs w:val="24"/>
        </w:rPr>
        <w:t>11</w:t>
      </w:r>
      <w:r>
        <w:rPr>
          <w:rFonts w:hint="eastAsia" w:cs="Times New Roman"/>
          <w:szCs w:val="24"/>
        </w:rPr>
        <w:t>号范围，但由于薛埠镇内行政村区划调整，范围描述变更为东临新浮水库，南至沿江高速，西靠</w:t>
      </w:r>
      <w:r>
        <w:rPr>
          <w:rFonts w:cs="Times New Roman"/>
          <w:szCs w:val="24"/>
        </w:rPr>
        <w:t>340</w:t>
      </w:r>
      <w:r>
        <w:rPr>
          <w:rFonts w:hint="eastAsia" w:cs="Times New Roman"/>
          <w:szCs w:val="24"/>
        </w:rPr>
        <w:t>省道，北达致和公路，总面积</w:t>
      </w:r>
      <w:r>
        <w:rPr>
          <w:rFonts w:cs="Times New Roman"/>
          <w:szCs w:val="24"/>
        </w:rPr>
        <w:t>18.6</w:t>
      </w:r>
      <w:r>
        <w:rPr>
          <w:rFonts w:hint="eastAsia" w:cs="Times New Roman"/>
          <w:szCs w:val="24"/>
        </w:rPr>
        <w:t>平方公里，并附原金坛市国土资源局，金坛市规划局范围划定图；同年</w:t>
      </w:r>
      <w:r>
        <w:rPr>
          <w:rFonts w:cs="Times New Roman"/>
          <w:szCs w:val="24"/>
        </w:rPr>
        <w:t>1</w:t>
      </w:r>
      <w:r>
        <w:rPr>
          <w:rFonts w:hint="eastAsia" w:cs="Times New Roman"/>
          <w:szCs w:val="24"/>
        </w:rPr>
        <w:t>月</w:t>
      </w:r>
      <w:r>
        <w:rPr>
          <w:rFonts w:cs="Times New Roman"/>
          <w:szCs w:val="24"/>
        </w:rPr>
        <w:t>23</w:t>
      </w:r>
      <w:r>
        <w:rPr>
          <w:rFonts w:hint="eastAsia" w:cs="Times New Roman"/>
          <w:szCs w:val="24"/>
        </w:rPr>
        <w:t>日，省政府正式批复成立江苏省金坛茅山旅游度假区（苏政复〔</w:t>
      </w:r>
      <w:r>
        <w:rPr>
          <w:rFonts w:cs="Times New Roman"/>
          <w:szCs w:val="24"/>
        </w:rPr>
        <w:t>2013</w:t>
      </w:r>
      <w:r>
        <w:rPr>
          <w:rFonts w:hint="eastAsia" w:cs="Times New Roman"/>
          <w:szCs w:val="24"/>
        </w:rPr>
        <w:t>〕</w:t>
      </w:r>
      <w:r>
        <w:rPr>
          <w:rFonts w:cs="Times New Roman"/>
          <w:szCs w:val="24"/>
        </w:rPr>
        <w:t>19</w:t>
      </w:r>
      <w:r>
        <w:rPr>
          <w:rFonts w:hint="eastAsia" w:cs="Times New Roman"/>
          <w:szCs w:val="24"/>
        </w:rPr>
        <w:t>号），批复面积</w:t>
      </w:r>
      <w:r>
        <w:rPr>
          <w:rFonts w:cs="Times New Roman"/>
          <w:szCs w:val="24"/>
        </w:rPr>
        <w:t>18.6</w:t>
      </w:r>
      <w:r>
        <w:rPr>
          <w:rFonts w:hint="eastAsia" w:cs="Times New Roman"/>
          <w:szCs w:val="24"/>
        </w:rPr>
        <w:t>平方公里，范围东至新浮水库，西至</w:t>
      </w:r>
      <w:r>
        <w:rPr>
          <w:rFonts w:cs="Times New Roman"/>
          <w:szCs w:val="24"/>
        </w:rPr>
        <w:t>340</w:t>
      </w:r>
      <w:r>
        <w:rPr>
          <w:rFonts w:hint="eastAsia" w:cs="Times New Roman"/>
          <w:szCs w:val="24"/>
        </w:rPr>
        <w:t>省道，南至沿江高速，北至致和公路。同年，茅山风景旅游区管理委员会更名为“茅山旅游度假区管理委员会”（坛编字〔</w:t>
      </w:r>
      <w:r>
        <w:rPr>
          <w:rFonts w:cs="Times New Roman"/>
          <w:szCs w:val="24"/>
        </w:rPr>
        <w:t>2013</w:t>
      </w:r>
      <w:r>
        <w:rPr>
          <w:rFonts w:hint="eastAsia" w:cs="Times New Roman"/>
          <w:szCs w:val="24"/>
        </w:rPr>
        <w:t>〕</w:t>
      </w:r>
      <w:r>
        <w:rPr>
          <w:rFonts w:cs="Times New Roman"/>
          <w:szCs w:val="24"/>
        </w:rPr>
        <w:t>1</w:t>
      </w:r>
      <w:r>
        <w:rPr>
          <w:rFonts w:hint="eastAsia" w:cs="Times New Roman"/>
          <w:szCs w:val="24"/>
        </w:rPr>
        <w:t>号）。</w:t>
      </w:r>
    </w:p>
    <w:p w14:paraId="3ACF21C5">
      <w:pPr>
        <w:spacing w:line="500" w:lineRule="exact"/>
        <w:ind w:firstLine="480"/>
        <w:rPr>
          <w:rFonts w:cs="Times New Roman"/>
          <w:szCs w:val="24"/>
        </w:rPr>
      </w:pPr>
      <w:r>
        <w:rPr>
          <w:rFonts w:cs="Times New Roman"/>
          <w:szCs w:val="24"/>
        </w:rPr>
        <w:t>2015</w:t>
      </w:r>
      <w:r>
        <w:rPr>
          <w:rFonts w:hint="eastAsia" w:cs="Times New Roman"/>
          <w:szCs w:val="24"/>
        </w:rPr>
        <w:t>年，随着茅山旅游度假区的不断发展，茅山风景旅游区管理委员会管辖范围在此变更，管辖范围扩大至</w:t>
      </w:r>
      <w:r>
        <w:rPr>
          <w:rFonts w:cs="Times New Roman"/>
          <w:szCs w:val="24"/>
        </w:rPr>
        <w:t>128</w:t>
      </w:r>
      <w:r>
        <w:rPr>
          <w:rFonts w:hint="eastAsia" w:cs="Times New Roman"/>
          <w:szCs w:val="24"/>
        </w:rPr>
        <w:t>平方公里，范围囊括</w:t>
      </w:r>
      <w:r>
        <w:rPr>
          <w:rFonts w:cs="Times New Roman"/>
          <w:szCs w:val="24"/>
        </w:rPr>
        <w:t>11</w:t>
      </w:r>
      <w:r>
        <w:rPr>
          <w:rFonts w:hint="eastAsia" w:cs="Times New Roman"/>
          <w:szCs w:val="24"/>
        </w:rPr>
        <w:t>个行政村和茅东林场区域。同年，茅山旅游度假区管委会也组织编制了《金坛茅山旅游度假区总体规划》，并获得原金坛市人民政府批复（坛政复〔</w:t>
      </w:r>
      <w:r>
        <w:rPr>
          <w:rFonts w:cs="Times New Roman"/>
          <w:szCs w:val="24"/>
        </w:rPr>
        <w:t>2015</w:t>
      </w:r>
      <w:r>
        <w:rPr>
          <w:rFonts w:hint="eastAsia" w:cs="Times New Roman"/>
          <w:szCs w:val="24"/>
        </w:rPr>
        <w:t>〕</w:t>
      </w:r>
      <w:r>
        <w:rPr>
          <w:rFonts w:cs="Times New Roman"/>
          <w:szCs w:val="24"/>
        </w:rPr>
        <w:t>5</w:t>
      </w:r>
      <w:r>
        <w:rPr>
          <w:rFonts w:hint="eastAsia" w:cs="Times New Roman"/>
          <w:szCs w:val="24"/>
        </w:rPr>
        <w:t>号）。</w:t>
      </w:r>
    </w:p>
    <w:p w14:paraId="374F5A4F">
      <w:pPr>
        <w:spacing w:line="500" w:lineRule="exact"/>
        <w:ind w:firstLine="480"/>
        <w:rPr>
          <w:rFonts w:cs="Times New Roman"/>
          <w:szCs w:val="24"/>
        </w:rPr>
      </w:pPr>
      <w:r>
        <w:rPr>
          <w:rFonts w:cs="Times New Roman"/>
          <w:szCs w:val="24"/>
        </w:rPr>
        <w:t>202</w:t>
      </w:r>
      <w:r>
        <w:rPr>
          <w:rFonts w:hint="eastAsia" w:cs="Times New Roman"/>
          <w:szCs w:val="24"/>
        </w:rPr>
        <w:t>2年，根据《区委办公室</w:t>
      </w:r>
      <w:r>
        <w:rPr>
          <w:rFonts w:cs="Times New Roman"/>
          <w:szCs w:val="24"/>
        </w:rPr>
        <w:t xml:space="preserve"> </w:t>
      </w:r>
      <w:r>
        <w:rPr>
          <w:rFonts w:hint="eastAsia" w:cs="Times New Roman"/>
          <w:szCs w:val="24"/>
        </w:rPr>
        <w:t>区政府办公室关于印发〈江苏省金坛茅山旅游度假区党工委、管委会主要职责、职能机构和人员编制规定〉的通知》（坛办发〔</w:t>
      </w:r>
      <w:r>
        <w:rPr>
          <w:rFonts w:cs="Times New Roman"/>
          <w:szCs w:val="24"/>
        </w:rPr>
        <w:t>2021</w:t>
      </w:r>
      <w:r>
        <w:rPr>
          <w:rFonts w:hint="eastAsia" w:cs="Times New Roman"/>
          <w:szCs w:val="24"/>
        </w:rPr>
        <w:t>〕</w:t>
      </w:r>
      <w:r>
        <w:rPr>
          <w:rFonts w:cs="Times New Roman"/>
          <w:szCs w:val="24"/>
        </w:rPr>
        <w:t>42</w:t>
      </w:r>
      <w:r>
        <w:rPr>
          <w:rFonts w:hint="eastAsia" w:cs="Times New Roman"/>
          <w:szCs w:val="24"/>
        </w:rPr>
        <w:t>号）及《市委编委关于调整江苏省金坛茅山、长荡湖</w:t>
      </w:r>
      <w:r>
        <w:rPr>
          <w:rFonts w:cs="Times New Roman"/>
          <w:szCs w:val="24"/>
        </w:rPr>
        <w:t>2</w:t>
      </w:r>
      <w:r>
        <w:rPr>
          <w:rFonts w:hint="eastAsia" w:cs="Times New Roman"/>
          <w:szCs w:val="24"/>
        </w:rPr>
        <w:t>个旅游度假区管理机构的通知》（常编〔</w:t>
      </w:r>
      <w:r>
        <w:rPr>
          <w:rFonts w:cs="Times New Roman"/>
          <w:szCs w:val="24"/>
        </w:rPr>
        <w:t>2022</w:t>
      </w:r>
      <w:r>
        <w:rPr>
          <w:rFonts w:hint="eastAsia" w:cs="Times New Roman"/>
          <w:szCs w:val="24"/>
        </w:rPr>
        <w:t>〕</w:t>
      </w:r>
      <w:r>
        <w:rPr>
          <w:rFonts w:cs="Times New Roman"/>
          <w:szCs w:val="24"/>
        </w:rPr>
        <w:t>17</w:t>
      </w:r>
      <w:r>
        <w:rPr>
          <w:rFonts w:hint="eastAsia" w:cs="Times New Roman"/>
          <w:szCs w:val="24"/>
        </w:rPr>
        <w:t>号），茅山旅游度假区管理机构由茅山旅游度假区管委会调整为江苏省金坛茅山旅游度假区管理办公室。</w:t>
      </w:r>
    </w:p>
    <w:p w14:paraId="7A485712">
      <w:pPr>
        <w:spacing w:line="500" w:lineRule="exact"/>
        <w:ind w:firstLine="480"/>
        <w:rPr>
          <w:rFonts w:cs="Times New Roman"/>
          <w:szCs w:val="24"/>
        </w:rPr>
      </w:pPr>
      <w:r>
        <w:rPr>
          <w:rFonts w:hint="eastAsia" w:cs="Times New Roman"/>
          <w:szCs w:val="24"/>
        </w:rPr>
        <w:t>同年，为紧紧围绕“高标准、精品化、特色化”的发展要求，立足常州“</w:t>
      </w:r>
      <w:r>
        <w:rPr>
          <w:rFonts w:cs="Times New Roman"/>
          <w:szCs w:val="24"/>
        </w:rPr>
        <w:t>532</w:t>
      </w:r>
      <w:r>
        <w:rPr>
          <w:rFonts w:hint="eastAsia" w:cs="Times New Roman"/>
          <w:szCs w:val="24"/>
        </w:rPr>
        <w:t>”发展战略，凸显建设“长三角生态中轴、文旅中轴、休闲度假中心”重要承载地地位，全面推动“文旅</w:t>
      </w:r>
      <w:r>
        <w:rPr>
          <w:rFonts w:cs="Times New Roman"/>
          <w:szCs w:val="24"/>
        </w:rPr>
        <w:t>+</w:t>
      </w:r>
      <w:r>
        <w:rPr>
          <w:rFonts w:hint="eastAsia" w:cs="Times New Roman"/>
          <w:szCs w:val="24"/>
        </w:rPr>
        <w:t>”与“</w:t>
      </w:r>
      <w:r>
        <w:rPr>
          <w:rFonts w:cs="Times New Roman"/>
          <w:szCs w:val="24"/>
        </w:rPr>
        <w:t>+</w:t>
      </w:r>
      <w:r>
        <w:rPr>
          <w:rFonts w:hint="eastAsia" w:cs="Times New Roman"/>
          <w:szCs w:val="24"/>
        </w:rPr>
        <w:t>文旅”产业，江苏省金坛茅山旅游度假区管理办公室针对省级旅游度假区范围组织编制了《江苏省金坛茅山旅游度假区总体规划（</w:t>
      </w:r>
      <w:r>
        <w:rPr>
          <w:rFonts w:cs="Times New Roman"/>
          <w:szCs w:val="24"/>
        </w:rPr>
        <w:t>2024</w:t>
      </w:r>
      <w:r>
        <w:rPr>
          <w:rFonts w:hint="eastAsia" w:cs="Times New Roman"/>
          <w:szCs w:val="24"/>
        </w:rPr>
        <w:t>—</w:t>
      </w:r>
      <w:r>
        <w:rPr>
          <w:rFonts w:cs="Times New Roman"/>
          <w:szCs w:val="24"/>
        </w:rPr>
        <w:t>2035</w:t>
      </w:r>
      <w:r>
        <w:rPr>
          <w:rFonts w:hint="eastAsia" w:cs="Times New Roman"/>
          <w:szCs w:val="24"/>
        </w:rPr>
        <w:t>年）》，现已取得省级审查意见。同时为进一步统筹考虑薛埠镇域全局，协调省级旅游度假区与镇区、集镇、农业生产以及镇域内其他旅游景点之间的关系，更好地整合和开发利用区域旅游资源，江苏省金坛茅山旅游度假区管理办公室对管辖的其余109.4平方公里范围组织编制了《金坛茅山旅游度假区总体规划（</w:t>
      </w:r>
      <w:r>
        <w:rPr>
          <w:rFonts w:cs="Times New Roman"/>
          <w:szCs w:val="24"/>
        </w:rPr>
        <w:t>2024</w:t>
      </w:r>
      <w:r>
        <w:rPr>
          <w:rFonts w:hint="eastAsia" w:cs="Times New Roman"/>
          <w:szCs w:val="24"/>
        </w:rPr>
        <w:t>—</w:t>
      </w:r>
      <w:r>
        <w:rPr>
          <w:rFonts w:cs="Times New Roman"/>
          <w:szCs w:val="24"/>
        </w:rPr>
        <w:t>2035</w:t>
      </w:r>
      <w:r>
        <w:rPr>
          <w:rFonts w:hint="eastAsia" w:cs="Times New Roman"/>
          <w:szCs w:val="24"/>
        </w:rPr>
        <w:t>年）》。</w:t>
      </w:r>
    </w:p>
    <w:p w14:paraId="44414D97">
      <w:pPr>
        <w:spacing w:line="500" w:lineRule="exact"/>
        <w:ind w:firstLine="480"/>
        <w:rPr>
          <w:rFonts w:cs="Times New Roman"/>
          <w:szCs w:val="24"/>
          <w14:ligatures w14:val="none"/>
        </w:rPr>
      </w:pPr>
      <w:r>
        <w:rPr>
          <w:rFonts w:hint="eastAsia" w:cs="Times New Roman"/>
          <w:szCs w:val="24"/>
          <w14:ligatures w14:val="none"/>
        </w:rPr>
        <w:t>茅山旅游度假区发展历程见表</w:t>
      </w:r>
      <w:r>
        <w:rPr>
          <w:rFonts w:cs="Times New Roman"/>
          <w:szCs w:val="24"/>
          <w14:ligatures w14:val="none"/>
        </w:rPr>
        <w:t>2.1-1</w:t>
      </w:r>
      <w:r>
        <w:rPr>
          <w:rFonts w:hint="eastAsia" w:cs="Times New Roman"/>
          <w:szCs w:val="24"/>
          <w14:ligatures w14:val="none"/>
        </w:rPr>
        <w:t>。</w:t>
      </w:r>
    </w:p>
    <w:p w14:paraId="184A8408">
      <w:pPr>
        <w:pStyle w:val="45"/>
        <w:rPr>
          <w:rFonts w:cs="Times New Roman"/>
        </w:rPr>
      </w:pPr>
      <w:bookmarkStart w:id="31" w:name="_Toc16415"/>
      <w:bookmarkStart w:id="32" w:name="_Hlk129256802"/>
      <w:r>
        <w:rPr>
          <w:rFonts w:cs="Times New Roman"/>
        </w:rPr>
        <w:t>表2.1-1 茅山旅游度假区发展历程一览表</w:t>
      </w:r>
      <w:bookmarkEnd w:id="31"/>
    </w:p>
    <w:bookmarkEnd w:id="32"/>
    <w:tbl>
      <w:tblPr>
        <w:tblStyle w:val="25"/>
        <w:tblW w:w="83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90"/>
        <w:gridCol w:w="2239"/>
        <w:gridCol w:w="734"/>
        <w:gridCol w:w="840"/>
        <w:gridCol w:w="2473"/>
        <w:gridCol w:w="1540"/>
      </w:tblGrid>
      <w:tr w14:paraId="7B468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0" w:type="auto"/>
            <w:vAlign w:val="center"/>
          </w:tcPr>
          <w:p w14:paraId="7DB7E924">
            <w:pPr>
              <w:adjustRightInd w:val="0"/>
              <w:snapToGrid w:val="0"/>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时间</w:t>
            </w:r>
          </w:p>
        </w:tc>
        <w:tc>
          <w:tcPr>
            <w:tcW w:w="2239" w:type="dxa"/>
            <w:vAlign w:val="center"/>
          </w:tcPr>
          <w:p w14:paraId="1377F9CD">
            <w:pPr>
              <w:adjustRightInd w:val="0"/>
              <w:snapToGrid w:val="0"/>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工作沿革</w:t>
            </w:r>
          </w:p>
        </w:tc>
        <w:tc>
          <w:tcPr>
            <w:tcW w:w="734" w:type="dxa"/>
            <w:vAlign w:val="center"/>
          </w:tcPr>
          <w:p w14:paraId="7CB6DA5A">
            <w:pPr>
              <w:adjustRightInd w:val="0"/>
              <w:snapToGrid w:val="0"/>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级别</w:t>
            </w:r>
          </w:p>
        </w:tc>
        <w:tc>
          <w:tcPr>
            <w:tcW w:w="840" w:type="dxa"/>
            <w:vAlign w:val="center"/>
          </w:tcPr>
          <w:p w14:paraId="0DE3A755">
            <w:pPr>
              <w:adjustRightInd w:val="0"/>
              <w:snapToGrid w:val="0"/>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面积km</w:t>
            </w:r>
            <w:r>
              <w:rPr>
                <w:rFonts w:hint="eastAsia" w:cs="Times New Roman"/>
                <w:b/>
                <w:sz w:val="21"/>
                <w:szCs w:val="21"/>
                <w:vertAlign w:val="superscript"/>
                <w14:ligatures w14:val="none"/>
              </w:rPr>
              <w:t>2</w:t>
            </w:r>
          </w:p>
        </w:tc>
        <w:tc>
          <w:tcPr>
            <w:tcW w:w="2473" w:type="dxa"/>
            <w:vAlign w:val="center"/>
          </w:tcPr>
          <w:p w14:paraId="71972C70">
            <w:pPr>
              <w:adjustRightInd w:val="0"/>
              <w:snapToGrid w:val="0"/>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范围</w:t>
            </w:r>
          </w:p>
        </w:tc>
        <w:tc>
          <w:tcPr>
            <w:tcW w:w="1540" w:type="dxa"/>
            <w:vAlign w:val="center"/>
          </w:tcPr>
          <w:p w14:paraId="4F90A63E">
            <w:pPr>
              <w:adjustRightInd w:val="0"/>
              <w:snapToGrid w:val="0"/>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依据</w:t>
            </w:r>
          </w:p>
        </w:tc>
      </w:tr>
      <w:tr w14:paraId="67FBB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vMerge w:val="restart"/>
            <w:vAlign w:val="center"/>
          </w:tcPr>
          <w:p w14:paraId="5B7E0A59">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2008年</w:t>
            </w:r>
          </w:p>
        </w:tc>
        <w:tc>
          <w:tcPr>
            <w:tcW w:w="2239" w:type="dxa"/>
            <w:vAlign w:val="center"/>
          </w:tcPr>
          <w:p w14:paraId="0D5FE50E">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编制《茅山旅游度假区总体规划》</w:t>
            </w:r>
          </w:p>
        </w:tc>
        <w:tc>
          <w:tcPr>
            <w:tcW w:w="734" w:type="dxa"/>
            <w:vMerge w:val="restart"/>
            <w:vAlign w:val="center"/>
          </w:tcPr>
          <w:p w14:paraId="32E31311">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区级</w:t>
            </w:r>
          </w:p>
        </w:tc>
        <w:tc>
          <w:tcPr>
            <w:tcW w:w="840" w:type="dxa"/>
            <w:vMerge w:val="restart"/>
            <w:vAlign w:val="center"/>
          </w:tcPr>
          <w:p w14:paraId="4C5F49DE">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18.6</w:t>
            </w:r>
          </w:p>
        </w:tc>
        <w:tc>
          <w:tcPr>
            <w:tcW w:w="2473" w:type="dxa"/>
            <w:vMerge w:val="restart"/>
            <w:vAlign w:val="center"/>
          </w:tcPr>
          <w:p w14:paraId="7EA1A98E">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薛埠镇区域内的4个行政村和2个场圃</w:t>
            </w:r>
          </w:p>
        </w:tc>
        <w:tc>
          <w:tcPr>
            <w:tcW w:w="1540" w:type="dxa"/>
            <w:vMerge w:val="restart"/>
            <w:vAlign w:val="center"/>
          </w:tcPr>
          <w:p w14:paraId="1AF2999C">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坛政复〔2008〕11号</w:t>
            </w:r>
          </w:p>
        </w:tc>
      </w:tr>
      <w:tr w14:paraId="18D7C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0" w:type="auto"/>
            <w:vMerge w:val="continue"/>
            <w:vAlign w:val="center"/>
          </w:tcPr>
          <w:p w14:paraId="3E3E5556">
            <w:pPr>
              <w:adjustRightInd w:val="0"/>
              <w:snapToGrid w:val="0"/>
              <w:spacing w:line="240" w:lineRule="auto"/>
              <w:ind w:firstLine="0" w:firstLineChars="0"/>
              <w:jc w:val="center"/>
              <w:rPr>
                <w:rFonts w:cs="Times New Roman"/>
                <w:sz w:val="21"/>
                <w:szCs w:val="21"/>
                <w14:ligatures w14:val="none"/>
              </w:rPr>
            </w:pPr>
          </w:p>
        </w:tc>
        <w:tc>
          <w:tcPr>
            <w:tcW w:w="2239" w:type="dxa"/>
            <w:vAlign w:val="center"/>
          </w:tcPr>
          <w:p w14:paraId="785CA186">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获得原金坛市人民政府的批复</w:t>
            </w:r>
          </w:p>
        </w:tc>
        <w:tc>
          <w:tcPr>
            <w:tcW w:w="734" w:type="dxa"/>
            <w:vMerge w:val="continue"/>
            <w:vAlign w:val="center"/>
          </w:tcPr>
          <w:p w14:paraId="14AD975B">
            <w:pPr>
              <w:adjustRightInd w:val="0"/>
              <w:snapToGrid w:val="0"/>
              <w:spacing w:line="240" w:lineRule="auto"/>
              <w:ind w:firstLine="0" w:firstLineChars="0"/>
              <w:jc w:val="center"/>
              <w:rPr>
                <w:rFonts w:cs="Times New Roman"/>
                <w:sz w:val="21"/>
                <w:szCs w:val="21"/>
                <w14:ligatures w14:val="none"/>
              </w:rPr>
            </w:pPr>
          </w:p>
        </w:tc>
        <w:tc>
          <w:tcPr>
            <w:tcW w:w="840" w:type="dxa"/>
            <w:vMerge w:val="continue"/>
            <w:vAlign w:val="center"/>
          </w:tcPr>
          <w:p w14:paraId="62943355">
            <w:pPr>
              <w:adjustRightInd w:val="0"/>
              <w:snapToGrid w:val="0"/>
              <w:spacing w:line="240" w:lineRule="auto"/>
              <w:ind w:firstLine="0" w:firstLineChars="0"/>
              <w:jc w:val="center"/>
              <w:rPr>
                <w:rFonts w:cs="Times New Roman"/>
                <w:sz w:val="21"/>
                <w:szCs w:val="21"/>
                <w14:ligatures w14:val="none"/>
              </w:rPr>
            </w:pPr>
          </w:p>
        </w:tc>
        <w:tc>
          <w:tcPr>
            <w:tcW w:w="2473" w:type="dxa"/>
            <w:vMerge w:val="continue"/>
            <w:vAlign w:val="center"/>
          </w:tcPr>
          <w:p w14:paraId="6A822356">
            <w:pPr>
              <w:adjustRightInd w:val="0"/>
              <w:snapToGrid w:val="0"/>
              <w:spacing w:line="240" w:lineRule="auto"/>
              <w:ind w:firstLine="0" w:firstLineChars="0"/>
              <w:jc w:val="center"/>
              <w:rPr>
                <w:rFonts w:cs="Times New Roman"/>
                <w:sz w:val="21"/>
                <w:szCs w:val="21"/>
                <w14:ligatures w14:val="none"/>
              </w:rPr>
            </w:pPr>
          </w:p>
        </w:tc>
        <w:tc>
          <w:tcPr>
            <w:tcW w:w="1540" w:type="dxa"/>
            <w:vMerge w:val="continue"/>
            <w:vAlign w:val="center"/>
          </w:tcPr>
          <w:p w14:paraId="1D9283D2">
            <w:pPr>
              <w:adjustRightInd w:val="0"/>
              <w:snapToGrid w:val="0"/>
              <w:spacing w:line="240" w:lineRule="auto"/>
              <w:ind w:firstLine="0" w:firstLineChars="0"/>
              <w:jc w:val="center"/>
              <w:rPr>
                <w:rFonts w:cs="Times New Roman"/>
                <w:sz w:val="21"/>
                <w:szCs w:val="21"/>
                <w14:ligatures w14:val="none"/>
              </w:rPr>
            </w:pPr>
          </w:p>
        </w:tc>
      </w:tr>
      <w:tr w14:paraId="7B98F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0" w:type="auto"/>
            <w:vMerge w:val="restart"/>
            <w:vAlign w:val="center"/>
          </w:tcPr>
          <w:p w14:paraId="27F30F67">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2012年</w:t>
            </w:r>
          </w:p>
        </w:tc>
        <w:tc>
          <w:tcPr>
            <w:tcW w:w="2239" w:type="dxa"/>
            <w:vAlign w:val="center"/>
          </w:tcPr>
          <w:p w14:paraId="32A2B298">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管辖范围变更</w:t>
            </w:r>
          </w:p>
        </w:tc>
        <w:tc>
          <w:tcPr>
            <w:tcW w:w="734" w:type="dxa"/>
            <w:vMerge w:val="restart"/>
            <w:vAlign w:val="center"/>
          </w:tcPr>
          <w:p w14:paraId="26AA3255">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区级</w:t>
            </w:r>
          </w:p>
        </w:tc>
        <w:tc>
          <w:tcPr>
            <w:tcW w:w="840" w:type="dxa"/>
            <w:vMerge w:val="restart"/>
            <w:vAlign w:val="center"/>
          </w:tcPr>
          <w:p w14:paraId="6A59BACC">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108</w:t>
            </w:r>
          </w:p>
        </w:tc>
        <w:tc>
          <w:tcPr>
            <w:tcW w:w="2473" w:type="dxa"/>
            <w:vMerge w:val="restart"/>
            <w:vAlign w:val="center"/>
          </w:tcPr>
          <w:p w14:paraId="0F600EBC">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以茅山风景名胜区、茅山旅游度假区、生态农业观光区和方山森林公园为中心，涉及薛镇行政区域内的11个行政村和5个场圃</w:t>
            </w:r>
          </w:p>
        </w:tc>
        <w:tc>
          <w:tcPr>
            <w:tcW w:w="1540" w:type="dxa"/>
            <w:vMerge w:val="restart"/>
            <w:vAlign w:val="center"/>
          </w:tcPr>
          <w:p w14:paraId="732207FA">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坛环服复〔2012〕67号</w:t>
            </w:r>
          </w:p>
        </w:tc>
      </w:tr>
      <w:tr w14:paraId="4D448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vMerge w:val="continue"/>
            <w:vAlign w:val="center"/>
          </w:tcPr>
          <w:p w14:paraId="378236D7">
            <w:pPr>
              <w:adjustRightInd w:val="0"/>
              <w:snapToGrid w:val="0"/>
              <w:spacing w:line="240" w:lineRule="auto"/>
              <w:ind w:firstLine="0" w:firstLineChars="0"/>
              <w:jc w:val="center"/>
              <w:rPr>
                <w:rFonts w:cs="Times New Roman"/>
                <w:sz w:val="21"/>
                <w:szCs w:val="21"/>
                <w14:ligatures w14:val="none"/>
              </w:rPr>
            </w:pPr>
          </w:p>
        </w:tc>
        <w:tc>
          <w:tcPr>
            <w:tcW w:w="2239" w:type="dxa"/>
            <w:vAlign w:val="center"/>
          </w:tcPr>
          <w:p w14:paraId="197EB9B0">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编制《金坛市茅山风景旅游区总体规划》</w:t>
            </w:r>
          </w:p>
        </w:tc>
        <w:tc>
          <w:tcPr>
            <w:tcW w:w="734" w:type="dxa"/>
            <w:vMerge w:val="continue"/>
            <w:vAlign w:val="center"/>
          </w:tcPr>
          <w:p w14:paraId="2DA657C6">
            <w:pPr>
              <w:adjustRightInd w:val="0"/>
              <w:snapToGrid w:val="0"/>
              <w:spacing w:line="240" w:lineRule="auto"/>
              <w:ind w:firstLine="0" w:firstLineChars="0"/>
              <w:jc w:val="center"/>
              <w:rPr>
                <w:rFonts w:cs="Times New Roman"/>
                <w:sz w:val="21"/>
                <w:szCs w:val="21"/>
                <w14:ligatures w14:val="none"/>
              </w:rPr>
            </w:pPr>
          </w:p>
        </w:tc>
        <w:tc>
          <w:tcPr>
            <w:tcW w:w="840" w:type="dxa"/>
            <w:vMerge w:val="continue"/>
            <w:vAlign w:val="center"/>
          </w:tcPr>
          <w:p w14:paraId="618221AB">
            <w:pPr>
              <w:adjustRightInd w:val="0"/>
              <w:snapToGrid w:val="0"/>
              <w:spacing w:line="240" w:lineRule="auto"/>
              <w:ind w:firstLine="0" w:firstLineChars="0"/>
              <w:jc w:val="center"/>
              <w:rPr>
                <w:rFonts w:cs="Times New Roman"/>
                <w:sz w:val="21"/>
                <w:szCs w:val="21"/>
                <w14:ligatures w14:val="none"/>
              </w:rPr>
            </w:pPr>
          </w:p>
        </w:tc>
        <w:tc>
          <w:tcPr>
            <w:tcW w:w="2473" w:type="dxa"/>
            <w:vMerge w:val="continue"/>
            <w:vAlign w:val="center"/>
          </w:tcPr>
          <w:p w14:paraId="585275AF">
            <w:pPr>
              <w:adjustRightInd w:val="0"/>
              <w:snapToGrid w:val="0"/>
              <w:spacing w:line="240" w:lineRule="auto"/>
              <w:ind w:firstLine="0" w:firstLineChars="0"/>
              <w:jc w:val="center"/>
              <w:rPr>
                <w:rFonts w:cs="Times New Roman"/>
                <w:sz w:val="21"/>
                <w:szCs w:val="21"/>
                <w14:ligatures w14:val="none"/>
              </w:rPr>
            </w:pPr>
          </w:p>
        </w:tc>
        <w:tc>
          <w:tcPr>
            <w:tcW w:w="1540" w:type="dxa"/>
            <w:vMerge w:val="continue"/>
            <w:vAlign w:val="center"/>
          </w:tcPr>
          <w:p w14:paraId="6E79AF3C">
            <w:pPr>
              <w:adjustRightInd w:val="0"/>
              <w:snapToGrid w:val="0"/>
              <w:spacing w:line="240" w:lineRule="auto"/>
              <w:ind w:firstLine="0" w:firstLineChars="0"/>
              <w:jc w:val="center"/>
              <w:rPr>
                <w:rFonts w:cs="Times New Roman"/>
                <w:sz w:val="21"/>
                <w:szCs w:val="21"/>
                <w14:ligatures w14:val="none"/>
              </w:rPr>
            </w:pPr>
          </w:p>
        </w:tc>
      </w:tr>
      <w:tr w14:paraId="7E80C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0" w:type="auto"/>
            <w:vMerge w:val="continue"/>
            <w:vAlign w:val="center"/>
          </w:tcPr>
          <w:p w14:paraId="596A6AF5">
            <w:pPr>
              <w:adjustRightInd w:val="0"/>
              <w:snapToGrid w:val="0"/>
              <w:spacing w:line="240" w:lineRule="auto"/>
              <w:ind w:firstLine="0" w:firstLineChars="0"/>
              <w:jc w:val="center"/>
              <w:rPr>
                <w:rFonts w:cs="Times New Roman"/>
                <w:sz w:val="21"/>
                <w:szCs w:val="21"/>
                <w14:ligatures w14:val="none"/>
              </w:rPr>
            </w:pPr>
          </w:p>
        </w:tc>
        <w:tc>
          <w:tcPr>
            <w:tcW w:w="2239" w:type="dxa"/>
            <w:vAlign w:val="center"/>
          </w:tcPr>
          <w:p w14:paraId="62961A42">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编制《金坛市茅山风景旅游区总体规划环境影响报告书》并获得原金坛市环境保护局的批复</w:t>
            </w:r>
          </w:p>
        </w:tc>
        <w:tc>
          <w:tcPr>
            <w:tcW w:w="734" w:type="dxa"/>
            <w:vMerge w:val="continue"/>
            <w:vAlign w:val="center"/>
          </w:tcPr>
          <w:p w14:paraId="337A4D57">
            <w:pPr>
              <w:adjustRightInd w:val="0"/>
              <w:snapToGrid w:val="0"/>
              <w:spacing w:line="240" w:lineRule="auto"/>
              <w:ind w:firstLine="0" w:firstLineChars="0"/>
              <w:jc w:val="center"/>
              <w:rPr>
                <w:rFonts w:cs="Times New Roman"/>
                <w:sz w:val="21"/>
                <w:szCs w:val="21"/>
                <w14:ligatures w14:val="none"/>
              </w:rPr>
            </w:pPr>
          </w:p>
        </w:tc>
        <w:tc>
          <w:tcPr>
            <w:tcW w:w="840" w:type="dxa"/>
            <w:vMerge w:val="continue"/>
            <w:vAlign w:val="center"/>
          </w:tcPr>
          <w:p w14:paraId="75F5C3A4">
            <w:pPr>
              <w:adjustRightInd w:val="0"/>
              <w:snapToGrid w:val="0"/>
              <w:spacing w:line="240" w:lineRule="auto"/>
              <w:ind w:firstLine="0" w:firstLineChars="0"/>
              <w:jc w:val="center"/>
              <w:rPr>
                <w:rFonts w:cs="Times New Roman"/>
                <w:sz w:val="21"/>
                <w:szCs w:val="21"/>
                <w14:ligatures w14:val="none"/>
              </w:rPr>
            </w:pPr>
          </w:p>
        </w:tc>
        <w:tc>
          <w:tcPr>
            <w:tcW w:w="2473" w:type="dxa"/>
            <w:vMerge w:val="continue"/>
            <w:vAlign w:val="center"/>
          </w:tcPr>
          <w:p w14:paraId="705F5DE4">
            <w:pPr>
              <w:adjustRightInd w:val="0"/>
              <w:snapToGrid w:val="0"/>
              <w:spacing w:line="240" w:lineRule="auto"/>
              <w:ind w:firstLine="0" w:firstLineChars="0"/>
              <w:jc w:val="center"/>
              <w:rPr>
                <w:rFonts w:cs="Times New Roman"/>
                <w:sz w:val="21"/>
                <w:szCs w:val="21"/>
                <w14:ligatures w14:val="none"/>
              </w:rPr>
            </w:pPr>
          </w:p>
        </w:tc>
        <w:tc>
          <w:tcPr>
            <w:tcW w:w="1540" w:type="dxa"/>
            <w:vMerge w:val="continue"/>
            <w:vAlign w:val="center"/>
          </w:tcPr>
          <w:p w14:paraId="15A1E2A6">
            <w:pPr>
              <w:adjustRightInd w:val="0"/>
              <w:snapToGrid w:val="0"/>
              <w:spacing w:line="240" w:lineRule="auto"/>
              <w:ind w:firstLine="0" w:firstLineChars="0"/>
              <w:jc w:val="center"/>
              <w:rPr>
                <w:rFonts w:cs="Times New Roman"/>
                <w:sz w:val="21"/>
                <w:szCs w:val="21"/>
                <w14:ligatures w14:val="none"/>
              </w:rPr>
            </w:pPr>
          </w:p>
        </w:tc>
      </w:tr>
      <w:tr w14:paraId="453FE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vMerge w:val="restart"/>
            <w:vAlign w:val="center"/>
          </w:tcPr>
          <w:p w14:paraId="2D51F865">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2013年</w:t>
            </w:r>
          </w:p>
        </w:tc>
        <w:tc>
          <w:tcPr>
            <w:tcW w:w="2239" w:type="dxa"/>
            <w:vAlign w:val="center"/>
          </w:tcPr>
          <w:p w14:paraId="3CB2FAC1">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提请《关于金坛市茅山旅游度假区设立省级旅游度假区的请示》</w:t>
            </w:r>
          </w:p>
        </w:tc>
        <w:tc>
          <w:tcPr>
            <w:tcW w:w="734" w:type="dxa"/>
            <w:vMerge w:val="restart"/>
            <w:vAlign w:val="center"/>
          </w:tcPr>
          <w:p w14:paraId="394AA391">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省级</w:t>
            </w:r>
          </w:p>
        </w:tc>
        <w:tc>
          <w:tcPr>
            <w:tcW w:w="840" w:type="dxa"/>
            <w:vMerge w:val="restart"/>
            <w:vAlign w:val="center"/>
          </w:tcPr>
          <w:p w14:paraId="7F71C943">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18.6</w:t>
            </w:r>
          </w:p>
        </w:tc>
        <w:tc>
          <w:tcPr>
            <w:tcW w:w="2473" w:type="dxa"/>
            <w:vMerge w:val="restart"/>
            <w:vAlign w:val="center"/>
          </w:tcPr>
          <w:p w14:paraId="4B431C81">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范围同2008年，由于薛埠镇内行政村区划调整，描述调整为东临新浮水库，南至沿江高速，西340省道，北达致和公路</w:t>
            </w:r>
          </w:p>
        </w:tc>
        <w:tc>
          <w:tcPr>
            <w:tcW w:w="1540" w:type="dxa"/>
            <w:vAlign w:val="center"/>
          </w:tcPr>
          <w:p w14:paraId="68A962CB">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常政发〔2013〕4号</w:t>
            </w:r>
          </w:p>
        </w:tc>
      </w:tr>
      <w:tr w14:paraId="40D9A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vMerge w:val="continue"/>
            <w:vAlign w:val="center"/>
          </w:tcPr>
          <w:p w14:paraId="40C45465">
            <w:pPr>
              <w:adjustRightInd w:val="0"/>
              <w:snapToGrid w:val="0"/>
              <w:spacing w:line="240" w:lineRule="auto"/>
              <w:ind w:firstLine="0" w:firstLineChars="0"/>
              <w:jc w:val="center"/>
              <w:rPr>
                <w:rFonts w:cs="Times New Roman"/>
                <w:sz w:val="21"/>
                <w:szCs w:val="21"/>
                <w14:ligatures w14:val="none"/>
              </w:rPr>
            </w:pPr>
          </w:p>
        </w:tc>
        <w:tc>
          <w:tcPr>
            <w:tcW w:w="2239" w:type="dxa"/>
            <w:vAlign w:val="center"/>
          </w:tcPr>
          <w:p w14:paraId="46E67704">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获得江苏省人民政府的批复</w:t>
            </w:r>
          </w:p>
        </w:tc>
        <w:tc>
          <w:tcPr>
            <w:tcW w:w="734" w:type="dxa"/>
            <w:vMerge w:val="continue"/>
            <w:vAlign w:val="center"/>
          </w:tcPr>
          <w:p w14:paraId="1270A381">
            <w:pPr>
              <w:adjustRightInd w:val="0"/>
              <w:snapToGrid w:val="0"/>
              <w:spacing w:line="240" w:lineRule="auto"/>
              <w:ind w:firstLine="0" w:firstLineChars="0"/>
              <w:jc w:val="center"/>
              <w:rPr>
                <w:rFonts w:cs="Times New Roman"/>
                <w:sz w:val="21"/>
                <w:szCs w:val="21"/>
                <w14:ligatures w14:val="none"/>
              </w:rPr>
            </w:pPr>
          </w:p>
        </w:tc>
        <w:tc>
          <w:tcPr>
            <w:tcW w:w="840" w:type="dxa"/>
            <w:vMerge w:val="continue"/>
            <w:vAlign w:val="center"/>
          </w:tcPr>
          <w:p w14:paraId="063D578B">
            <w:pPr>
              <w:adjustRightInd w:val="0"/>
              <w:snapToGrid w:val="0"/>
              <w:spacing w:line="240" w:lineRule="auto"/>
              <w:ind w:firstLine="0" w:firstLineChars="0"/>
              <w:jc w:val="center"/>
              <w:rPr>
                <w:rFonts w:cs="Times New Roman"/>
                <w:sz w:val="21"/>
                <w:szCs w:val="21"/>
                <w14:ligatures w14:val="none"/>
              </w:rPr>
            </w:pPr>
          </w:p>
        </w:tc>
        <w:tc>
          <w:tcPr>
            <w:tcW w:w="2473" w:type="dxa"/>
            <w:vMerge w:val="continue"/>
            <w:vAlign w:val="center"/>
          </w:tcPr>
          <w:p w14:paraId="7A543480">
            <w:pPr>
              <w:adjustRightInd w:val="0"/>
              <w:snapToGrid w:val="0"/>
              <w:spacing w:line="240" w:lineRule="auto"/>
              <w:ind w:firstLine="0" w:firstLineChars="0"/>
              <w:jc w:val="center"/>
              <w:rPr>
                <w:rFonts w:cs="Times New Roman"/>
                <w:sz w:val="21"/>
                <w:szCs w:val="21"/>
                <w14:ligatures w14:val="none"/>
              </w:rPr>
            </w:pPr>
          </w:p>
        </w:tc>
        <w:tc>
          <w:tcPr>
            <w:tcW w:w="1540" w:type="dxa"/>
            <w:vAlign w:val="center"/>
          </w:tcPr>
          <w:p w14:paraId="0B6F1DDF">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苏政复〔2013〕19号</w:t>
            </w:r>
          </w:p>
        </w:tc>
      </w:tr>
      <w:tr w14:paraId="57F3F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0" w:type="auto"/>
            <w:vMerge w:val="continue"/>
            <w:vAlign w:val="center"/>
          </w:tcPr>
          <w:p w14:paraId="7820C1E8">
            <w:pPr>
              <w:adjustRightInd w:val="0"/>
              <w:snapToGrid w:val="0"/>
              <w:spacing w:line="240" w:lineRule="auto"/>
              <w:ind w:firstLine="0" w:firstLineChars="0"/>
              <w:jc w:val="center"/>
              <w:rPr>
                <w:rFonts w:cs="Times New Roman"/>
                <w:sz w:val="21"/>
                <w:szCs w:val="21"/>
                <w14:ligatures w14:val="none"/>
              </w:rPr>
            </w:pPr>
          </w:p>
        </w:tc>
        <w:tc>
          <w:tcPr>
            <w:tcW w:w="2239" w:type="dxa"/>
            <w:vAlign w:val="center"/>
          </w:tcPr>
          <w:p w14:paraId="1BBBE755">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管理机构更名为“茅山旅游度假区管理委员会”</w:t>
            </w:r>
          </w:p>
        </w:tc>
        <w:tc>
          <w:tcPr>
            <w:tcW w:w="734" w:type="dxa"/>
            <w:vAlign w:val="center"/>
          </w:tcPr>
          <w:p w14:paraId="12A659B6">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840" w:type="dxa"/>
            <w:vAlign w:val="center"/>
          </w:tcPr>
          <w:p w14:paraId="12CC4694">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2473" w:type="dxa"/>
            <w:vAlign w:val="center"/>
          </w:tcPr>
          <w:p w14:paraId="41BC5CBB">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1540" w:type="dxa"/>
            <w:vAlign w:val="center"/>
          </w:tcPr>
          <w:p w14:paraId="723E37EA">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坛编字〔2013〕1号</w:t>
            </w:r>
          </w:p>
        </w:tc>
      </w:tr>
      <w:tr w14:paraId="48752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0" w:type="auto"/>
            <w:vAlign w:val="center"/>
          </w:tcPr>
          <w:p w14:paraId="46859C62">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2015年</w:t>
            </w:r>
          </w:p>
        </w:tc>
        <w:tc>
          <w:tcPr>
            <w:tcW w:w="2239" w:type="dxa"/>
            <w:vAlign w:val="center"/>
          </w:tcPr>
          <w:p w14:paraId="0ECD409C">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管辖范围变更，编制《金坛茅山旅游度假区总体规划》并获得金坛市人民政府批复</w:t>
            </w:r>
          </w:p>
        </w:tc>
        <w:tc>
          <w:tcPr>
            <w:tcW w:w="734" w:type="dxa"/>
            <w:vAlign w:val="center"/>
          </w:tcPr>
          <w:p w14:paraId="73344E73">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区级</w:t>
            </w:r>
          </w:p>
        </w:tc>
        <w:tc>
          <w:tcPr>
            <w:tcW w:w="840" w:type="dxa"/>
            <w:vAlign w:val="center"/>
          </w:tcPr>
          <w:p w14:paraId="38B2914E">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128</w:t>
            </w:r>
          </w:p>
        </w:tc>
        <w:tc>
          <w:tcPr>
            <w:tcW w:w="2473" w:type="dxa"/>
            <w:vAlign w:val="center"/>
          </w:tcPr>
          <w:p w14:paraId="357D3D2C">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11个行政村和茅东林场区域</w:t>
            </w:r>
          </w:p>
        </w:tc>
        <w:tc>
          <w:tcPr>
            <w:tcW w:w="1540" w:type="dxa"/>
            <w:vAlign w:val="center"/>
          </w:tcPr>
          <w:p w14:paraId="20A080AD">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坛政复〔2015〕5号</w:t>
            </w:r>
          </w:p>
        </w:tc>
      </w:tr>
      <w:tr w14:paraId="25FC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0" w:type="auto"/>
            <w:vMerge w:val="restart"/>
            <w:vAlign w:val="center"/>
          </w:tcPr>
          <w:p w14:paraId="52AA87B3">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2024年</w:t>
            </w:r>
          </w:p>
        </w:tc>
        <w:tc>
          <w:tcPr>
            <w:tcW w:w="2239" w:type="dxa"/>
            <w:vAlign w:val="center"/>
          </w:tcPr>
          <w:p w14:paraId="7324C2F4">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管理机构更名为“江苏省金坛茅山旅游度假区管理办公室”</w:t>
            </w:r>
          </w:p>
        </w:tc>
        <w:tc>
          <w:tcPr>
            <w:tcW w:w="734" w:type="dxa"/>
            <w:vAlign w:val="center"/>
          </w:tcPr>
          <w:p w14:paraId="6457FE2E">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840" w:type="dxa"/>
            <w:vAlign w:val="center"/>
          </w:tcPr>
          <w:p w14:paraId="1EBF0826">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2473" w:type="dxa"/>
            <w:vAlign w:val="center"/>
          </w:tcPr>
          <w:p w14:paraId="21A860B0">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1540" w:type="dxa"/>
            <w:vAlign w:val="center"/>
          </w:tcPr>
          <w:p w14:paraId="53921355">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坛办发〔2021〕42号、常编〔2022〕17号</w:t>
            </w:r>
          </w:p>
        </w:tc>
      </w:tr>
      <w:tr w14:paraId="22A6A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0" w:type="auto"/>
            <w:vMerge w:val="continue"/>
            <w:vAlign w:val="center"/>
          </w:tcPr>
          <w:p w14:paraId="63642285">
            <w:pPr>
              <w:adjustRightInd w:val="0"/>
              <w:snapToGrid w:val="0"/>
              <w:spacing w:line="240" w:lineRule="auto"/>
              <w:ind w:firstLine="0" w:firstLineChars="0"/>
              <w:jc w:val="center"/>
              <w:rPr>
                <w:rFonts w:cs="Times New Roman"/>
                <w:sz w:val="21"/>
                <w:szCs w:val="21"/>
                <w14:ligatures w14:val="none"/>
              </w:rPr>
            </w:pPr>
          </w:p>
        </w:tc>
        <w:tc>
          <w:tcPr>
            <w:tcW w:w="2239" w:type="dxa"/>
            <w:vAlign w:val="center"/>
          </w:tcPr>
          <w:p w14:paraId="138D430D">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编制《江苏省金坛茅山旅游度假区总体规划》</w:t>
            </w:r>
          </w:p>
        </w:tc>
        <w:tc>
          <w:tcPr>
            <w:tcW w:w="734" w:type="dxa"/>
            <w:vAlign w:val="center"/>
          </w:tcPr>
          <w:p w14:paraId="2D52116E">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省级</w:t>
            </w:r>
          </w:p>
        </w:tc>
        <w:tc>
          <w:tcPr>
            <w:tcW w:w="840" w:type="dxa"/>
            <w:vAlign w:val="center"/>
          </w:tcPr>
          <w:p w14:paraId="40737C48">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18.6</w:t>
            </w:r>
          </w:p>
        </w:tc>
        <w:tc>
          <w:tcPr>
            <w:tcW w:w="2473" w:type="dxa"/>
            <w:vAlign w:val="center"/>
          </w:tcPr>
          <w:p w14:paraId="2973AF66">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范围同苏政复〔2013〕19号批复范围，东至新浮水库，西至S340省道，南至沿江高速，北至致和公路</w:t>
            </w:r>
          </w:p>
        </w:tc>
        <w:tc>
          <w:tcPr>
            <w:tcW w:w="1540" w:type="dxa"/>
            <w:vAlign w:val="center"/>
          </w:tcPr>
          <w:p w14:paraId="561C9C58">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苏环审〔2025〕79号</w:t>
            </w:r>
          </w:p>
        </w:tc>
      </w:tr>
      <w:tr w14:paraId="5A123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0" w:type="auto"/>
            <w:vMerge w:val="continue"/>
            <w:vAlign w:val="center"/>
          </w:tcPr>
          <w:p w14:paraId="6FB961F5">
            <w:pPr>
              <w:adjustRightInd w:val="0"/>
              <w:snapToGrid w:val="0"/>
              <w:spacing w:line="240" w:lineRule="auto"/>
              <w:ind w:firstLine="0" w:firstLineChars="0"/>
              <w:jc w:val="center"/>
              <w:rPr>
                <w:rFonts w:cs="Times New Roman"/>
                <w:sz w:val="21"/>
                <w:szCs w:val="21"/>
                <w14:ligatures w14:val="none"/>
              </w:rPr>
            </w:pPr>
          </w:p>
        </w:tc>
        <w:tc>
          <w:tcPr>
            <w:tcW w:w="2239" w:type="dxa"/>
            <w:vAlign w:val="center"/>
          </w:tcPr>
          <w:p w14:paraId="35EFDBEE">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编制《金坛茅山旅游度假区总体规划》</w:t>
            </w:r>
          </w:p>
        </w:tc>
        <w:tc>
          <w:tcPr>
            <w:tcW w:w="734" w:type="dxa"/>
            <w:vAlign w:val="center"/>
          </w:tcPr>
          <w:p w14:paraId="4DD510E7">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区级</w:t>
            </w:r>
          </w:p>
        </w:tc>
        <w:tc>
          <w:tcPr>
            <w:tcW w:w="840" w:type="dxa"/>
            <w:vAlign w:val="center"/>
          </w:tcPr>
          <w:p w14:paraId="01F646C9">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109.4</w:t>
            </w:r>
          </w:p>
        </w:tc>
        <w:tc>
          <w:tcPr>
            <w:tcW w:w="2473" w:type="dxa"/>
            <w:vAlign w:val="center"/>
          </w:tcPr>
          <w:p w14:paraId="600650D4">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除省级度假区以外的管辖范围</w:t>
            </w:r>
          </w:p>
        </w:tc>
        <w:tc>
          <w:tcPr>
            <w:tcW w:w="1540" w:type="dxa"/>
            <w:vAlign w:val="center"/>
          </w:tcPr>
          <w:p w14:paraId="6D57BD9E">
            <w:pPr>
              <w:adjustRightInd w:val="0"/>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tbl>
    <w:p w14:paraId="07CB7ABC">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w:t>
      </w:r>
      <w:r>
        <w:rPr>
          <w:rFonts w:hint="eastAsia" w:eastAsia="方正楷体_GBK" w:cs="Times New Roman"/>
          <w:b/>
          <w:bCs/>
          <w:szCs w:val="28"/>
          <w14:ligatures w14:val="none"/>
        </w:rPr>
        <w:t>2规划范围及时限</w:t>
      </w:r>
    </w:p>
    <w:p w14:paraId="24303200">
      <w:pPr>
        <w:ind w:firstLine="480"/>
      </w:pPr>
      <w:r>
        <w:rPr>
          <w:rFonts w:hint="eastAsia"/>
        </w:rPr>
        <w:t>规划范围：</w:t>
      </w:r>
      <w:bookmarkStart w:id="33" w:name="_Hlk172185720"/>
      <w:r>
        <w:rPr>
          <w:rFonts w:hint="eastAsia"/>
        </w:rPr>
        <w:t>本轮规划范围基于江苏省金坛茅山旅游度假区管理办公室实际管辖范围，主要涉及薛埠镇西侧区域，西、南、北至金坛区行政边界，总面积109.4平方公里</w:t>
      </w:r>
      <w:bookmarkEnd w:id="33"/>
      <w:r>
        <w:rPr>
          <w:rFonts w:hint="eastAsia"/>
        </w:rPr>
        <w:t>。</w:t>
      </w:r>
    </w:p>
    <w:p w14:paraId="67FAEA36">
      <w:pPr>
        <w:ind w:firstLine="480"/>
      </w:pPr>
      <w:r>
        <w:rPr>
          <w:rFonts w:hint="eastAsia"/>
        </w:rPr>
        <w:t>规划期限：</w:t>
      </w:r>
      <w:bookmarkStart w:id="34" w:name="_Hlk172185764"/>
      <w:r>
        <w:rPr>
          <w:rFonts w:hint="eastAsia"/>
        </w:rPr>
        <w:t>2024—2035年，其中2024—2030年为</w:t>
      </w:r>
      <w:bookmarkStart w:id="35" w:name="_Hlk172192204"/>
      <w:r>
        <w:rPr>
          <w:rFonts w:hint="eastAsia"/>
        </w:rPr>
        <w:t>优化提升期（近期）</w:t>
      </w:r>
      <w:bookmarkEnd w:id="35"/>
      <w:r>
        <w:rPr>
          <w:rFonts w:hint="eastAsia"/>
        </w:rPr>
        <w:t>，2031—2035年为高效运营期（远期），规划基准年为2023年</w:t>
      </w:r>
      <w:bookmarkEnd w:id="34"/>
      <w:r>
        <w:rPr>
          <w:rFonts w:hint="eastAsia"/>
        </w:rPr>
        <w:t>。</w:t>
      </w:r>
    </w:p>
    <w:p w14:paraId="1FF80D02">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w:t>
      </w:r>
      <w:r>
        <w:rPr>
          <w:rFonts w:hint="eastAsia" w:eastAsia="方正楷体_GBK" w:cs="Times New Roman"/>
          <w:b/>
          <w:bCs/>
          <w:szCs w:val="28"/>
          <w14:ligatures w14:val="none"/>
        </w:rPr>
        <w:t>3规划目标和定位</w:t>
      </w:r>
    </w:p>
    <w:p w14:paraId="0A17D514">
      <w:pPr>
        <w:ind w:firstLine="480"/>
      </w:pPr>
      <w:r>
        <w:rPr>
          <w:rFonts w:hint="eastAsia"/>
        </w:rPr>
        <w:t>（1）功能定位</w:t>
      </w:r>
    </w:p>
    <w:p w14:paraId="4F562174">
      <w:pPr>
        <w:ind w:firstLine="480"/>
      </w:pPr>
      <w:r>
        <w:rPr>
          <w:rFonts w:hint="eastAsia"/>
        </w:rPr>
        <w:t>以茅山+田园为生态基底，统筹考虑镇区－乡村－旅游区发展空间，依托南京都市圈与苏锡常都市圈，以产业一体化发展、促进地区经济发展、推进地域现代化进程为导向，以道文化为文化底蕴和景观氛围营造指引，打造集文化创意、休闲度假、现代农业、康养居住功能于一体的中国道意生活心灵度假旅游目的地。</w:t>
      </w:r>
    </w:p>
    <w:p w14:paraId="364E3A08">
      <w:pPr>
        <w:ind w:firstLine="480"/>
      </w:pPr>
      <w:r>
        <w:rPr>
          <w:rFonts w:hint="eastAsia"/>
        </w:rPr>
        <w:t>（2）市场定位</w:t>
      </w:r>
    </w:p>
    <w:p w14:paraId="7215050B">
      <w:pPr>
        <w:ind w:firstLine="480"/>
      </w:pPr>
      <w:r>
        <w:rPr>
          <w:rFonts w:hint="eastAsia"/>
        </w:rPr>
        <w:t>立足南京与苏锡常都市圈，面向长三角，辐射全国各大城市群。</w:t>
      </w:r>
    </w:p>
    <w:p w14:paraId="2B6F636B">
      <w:pPr>
        <w:ind w:firstLine="480"/>
      </w:pPr>
      <w:r>
        <w:rPr>
          <w:rFonts w:hint="eastAsia"/>
        </w:rPr>
        <w:t>基础市场：南京都市圈、苏锡常都市圈。</w:t>
      </w:r>
    </w:p>
    <w:p w14:paraId="6B45D36A">
      <w:pPr>
        <w:ind w:firstLine="480"/>
      </w:pPr>
      <w:r>
        <w:rPr>
          <w:rFonts w:hint="eastAsia"/>
        </w:rPr>
        <w:t>核心市场：长三角城市群、常州市高铁沿线城市（京沪高铁沿线城市、沪宁城际高铁沿线城市、宁杭高铁沿线城市）。</w:t>
      </w:r>
    </w:p>
    <w:p w14:paraId="70CC77A6">
      <w:pPr>
        <w:ind w:firstLine="480"/>
      </w:pPr>
      <w:r>
        <w:rPr>
          <w:rFonts w:hint="eastAsia"/>
        </w:rPr>
        <w:t>拓展市场：以南京、常州为旅游目的地的分流市场；京津冀、珠三角城市群；其他省会城市。</w:t>
      </w:r>
    </w:p>
    <w:p w14:paraId="6F171C1B">
      <w:pPr>
        <w:ind w:firstLine="480"/>
      </w:pPr>
      <w:r>
        <w:rPr>
          <w:rFonts w:hint="eastAsia"/>
        </w:rPr>
        <w:t>国际市场：以日本、韩国、德国为主的国际市场。</w:t>
      </w:r>
    </w:p>
    <w:p w14:paraId="649E1AF0">
      <w:pPr>
        <w:ind w:firstLine="480"/>
      </w:pPr>
      <w:r>
        <w:rPr>
          <w:rFonts w:hint="eastAsia"/>
        </w:rPr>
        <w:t>（3）形象定位</w:t>
      </w:r>
    </w:p>
    <w:p w14:paraId="207C4F04">
      <w:pPr>
        <w:ind w:firstLine="480"/>
      </w:pPr>
      <w:bookmarkStart w:id="36" w:name="_Hlk172186283"/>
      <w:r>
        <w:rPr>
          <w:rFonts w:hint="eastAsia"/>
        </w:rPr>
        <w:t>以打造“逍遥生活目的地”为目标定位，打造“金坛茅山 逍遥江南”的品牌形象</w:t>
      </w:r>
      <w:bookmarkEnd w:id="36"/>
      <w:r>
        <w:rPr>
          <w:rFonts w:hint="eastAsia"/>
        </w:rPr>
        <w:t>。</w:t>
      </w:r>
    </w:p>
    <w:p w14:paraId="5BF02085">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w:t>
      </w:r>
      <w:r>
        <w:rPr>
          <w:rFonts w:hint="eastAsia" w:eastAsia="方正楷体_GBK" w:cs="Times New Roman"/>
          <w:b/>
          <w:bCs/>
          <w:szCs w:val="28"/>
          <w14:ligatures w14:val="none"/>
        </w:rPr>
        <w:t>4规划发展规模</w:t>
      </w:r>
    </w:p>
    <w:p w14:paraId="261C86E1">
      <w:pPr>
        <w:ind w:firstLine="480"/>
      </w:pPr>
      <w:bookmarkStart w:id="37" w:name="_Hlk162450264"/>
      <w:r>
        <w:rPr>
          <w:rFonts w:hint="eastAsia"/>
        </w:rPr>
        <w:t>（1）游客规模：</w:t>
      </w:r>
    </w:p>
    <w:p w14:paraId="2F6F232E">
      <w:pPr>
        <w:ind w:firstLine="482" w:firstLineChars="0"/>
      </w:pPr>
      <w:bookmarkStart w:id="38" w:name="_Hlk198045720"/>
      <w:bookmarkStart w:id="39" w:name="_Hlk168994537"/>
      <w:r>
        <w:rPr>
          <w:rFonts w:hint="eastAsia"/>
        </w:rPr>
        <w:t>2023年，规划区域内接待游客量约为210万人次。本次度假区客流量预测采用旅游度假区生命周期测算法。旅游度假区生命周期一般可分为下面几个阶段：发展阶段4~5年，游客增长率约15~30%；巩固阶段5~6年，游客增长率约5~10%；之后为停滞阶段，游客增长率约1~2%。</w:t>
      </w:r>
    </w:p>
    <w:p w14:paraId="55A57373">
      <w:pPr>
        <w:ind w:firstLine="482" w:firstLineChars="0"/>
      </w:pPr>
      <w:r>
        <w:rPr>
          <w:rFonts w:hint="eastAsia"/>
        </w:rPr>
        <w:t>茅山旅游度假区内发展至今仍处于高质量发展阶段（2024~2030年），游客增长率按15%计，后期进入巩固（2031~2034年）和停滞阶段（2035年后），游客增长率分别按5%和1%计</w:t>
      </w:r>
      <w:bookmarkEnd w:id="38"/>
      <w:r>
        <w:rPr>
          <w:rFonts w:hint="eastAsia"/>
        </w:rPr>
        <w:t>，具体预测结果见表2.1-2。</w:t>
      </w:r>
    </w:p>
    <w:bookmarkEnd w:id="39"/>
    <w:p w14:paraId="474AF784">
      <w:pPr>
        <w:pStyle w:val="45"/>
        <w:rPr>
          <w:rFonts w:cs="Times New Roman"/>
        </w:rPr>
      </w:pPr>
      <w:bookmarkStart w:id="40" w:name="_Hlk168994581"/>
      <w:r>
        <w:rPr>
          <w:rFonts w:cs="Times New Roman"/>
        </w:rPr>
        <w:t>表2.1-2 年度游客量预测表</w:t>
      </w:r>
    </w:p>
    <w:tbl>
      <w:tblPr>
        <w:tblStyle w:val="25"/>
        <w:tblW w:w="500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003"/>
        <w:gridCol w:w="1850"/>
        <w:gridCol w:w="1847"/>
        <w:gridCol w:w="1623"/>
      </w:tblGrid>
      <w:tr w14:paraId="707A0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803" w:type="pct"/>
            <w:vMerge w:val="restart"/>
            <w:vAlign w:val="center"/>
          </w:tcPr>
          <w:p w14:paraId="22065CA5">
            <w:pPr>
              <w:snapToGrid w:val="0"/>
              <w:spacing w:line="240" w:lineRule="auto"/>
              <w:ind w:firstLine="0" w:firstLineChars="0"/>
              <w:jc w:val="center"/>
              <w:rPr>
                <w:b/>
                <w:bCs/>
                <w:sz w:val="21"/>
                <w:szCs w:val="21"/>
                <w14:ligatures w14:val="none"/>
              </w:rPr>
            </w:pPr>
            <w:r>
              <w:rPr>
                <w:rFonts w:hint="eastAsia"/>
                <w:b/>
                <w:bCs/>
                <w:sz w:val="21"/>
                <w:szCs w:val="21"/>
                <w14:ligatures w14:val="none"/>
              </w:rPr>
              <w:t>年份</w:t>
            </w:r>
          </w:p>
        </w:tc>
        <w:tc>
          <w:tcPr>
            <w:tcW w:w="1111" w:type="pct"/>
            <w:vAlign w:val="center"/>
          </w:tcPr>
          <w:p w14:paraId="691CE9AD">
            <w:pPr>
              <w:widowControl/>
              <w:snapToGrid w:val="0"/>
              <w:spacing w:line="240" w:lineRule="auto"/>
              <w:ind w:firstLine="0" w:firstLineChars="0"/>
              <w:jc w:val="center"/>
              <w:rPr>
                <w:b/>
                <w:bCs/>
                <w:sz w:val="21"/>
                <w:szCs w:val="21"/>
                <w14:ligatures w14:val="none"/>
              </w:rPr>
            </w:pPr>
            <w:r>
              <w:rPr>
                <w:rFonts w:hint="eastAsia"/>
                <w:b/>
                <w:bCs/>
                <w:sz w:val="21"/>
                <w:szCs w:val="21"/>
                <w14:ligatures w14:val="none"/>
              </w:rPr>
              <w:t>发展阶段</w:t>
            </w:r>
          </w:p>
        </w:tc>
        <w:tc>
          <w:tcPr>
            <w:tcW w:w="1109" w:type="pct"/>
            <w:vAlign w:val="center"/>
          </w:tcPr>
          <w:p w14:paraId="153D737B">
            <w:pPr>
              <w:widowControl/>
              <w:snapToGrid w:val="0"/>
              <w:spacing w:line="240" w:lineRule="auto"/>
              <w:ind w:firstLine="0" w:firstLineChars="0"/>
              <w:jc w:val="center"/>
              <w:rPr>
                <w:b/>
                <w:bCs/>
                <w:sz w:val="21"/>
                <w:szCs w:val="21"/>
                <w14:ligatures w14:val="none"/>
              </w:rPr>
            </w:pPr>
            <w:r>
              <w:rPr>
                <w:rFonts w:hint="eastAsia"/>
                <w:b/>
                <w:bCs/>
                <w:sz w:val="21"/>
                <w:szCs w:val="21"/>
                <w14:ligatures w14:val="none"/>
              </w:rPr>
              <w:t>巩固阶段</w:t>
            </w:r>
          </w:p>
        </w:tc>
        <w:tc>
          <w:tcPr>
            <w:tcW w:w="974" w:type="pct"/>
            <w:vAlign w:val="center"/>
          </w:tcPr>
          <w:p w14:paraId="71840328">
            <w:pPr>
              <w:widowControl/>
              <w:snapToGrid w:val="0"/>
              <w:spacing w:line="240" w:lineRule="auto"/>
              <w:ind w:firstLine="0" w:firstLineChars="0"/>
              <w:jc w:val="center"/>
              <w:rPr>
                <w:b/>
                <w:bCs/>
                <w:sz w:val="21"/>
                <w:szCs w:val="21"/>
                <w14:ligatures w14:val="none"/>
              </w:rPr>
            </w:pPr>
            <w:r>
              <w:rPr>
                <w:rFonts w:hint="eastAsia"/>
                <w:b/>
                <w:bCs/>
                <w:sz w:val="21"/>
                <w:szCs w:val="21"/>
                <w14:ligatures w14:val="none"/>
              </w:rPr>
              <w:t>停滞阶段</w:t>
            </w:r>
          </w:p>
        </w:tc>
      </w:tr>
      <w:tr w14:paraId="1C80B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803" w:type="pct"/>
            <w:vMerge w:val="continue"/>
            <w:vAlign w:val="center"/>
          </w:tcPr>
          <w:p w14:paraId="15926B34">
            <w:pPr>
              <w:snapToGrid w:val="0"/>
              <w:spacing w:line="240" w:lineRule="auto"/>
              <w:ind w:firstLine="0" w:firstLineChars="0"/>
              <w:jc w:val="center"/>
              <w:rPr>
                <w:b/>
                <w:bCs/>
                <w:sz w:val="21"/>
                <w:szCs w:val="21"/>
                <w14:ligatures w14:val="none"/>
              </w:rPr>
            </w:pPr>
          </w:p>
        </w:tc>
        <w:tc>
          <w:tcPr>
            <w:tcW w:w="1111" w:type="pct"/>
            <w:vAlign w:val="center"/>
          </w:tcPr>
          <w:p w14:paraId="2D2767B5">
            <w:pPr>
              <w:snapToGrid w:val="0"/>
              <w:spacing w:line="240" w:lineRule="auto"/>
              <w:ind w:firstLine="0" w:firstLineChars="0"/>
              <w:jc w:val="center"/>
              <w:rPr>
                <w:b/>
                <w:bCs/>
                <w:sz w:val="21"/>
                <w:szCs w:val="21"/>
                <w14:ligatures w14:val="none"/>
              </w:rPr>
            </w:pPr>
            <w:r>
              <w:rPr>
                <w:rFonts w:hint="eastAsia"/>
                <w:b/>
                <w:bCs/>
                <w:sz w:val="21"/>
                <w:szCs w:val="21"/>
                <w14:ligatures w14:val="none"/>
              </w:rPr>
              <w:t>2024~2030年</w:t>
            </w:r>
          </w:p>
        </w:tc>
        <w:tc>
          <w:tcPr>
            <w:tcW w:w="1109" w:type="pct"/>
            <w:vAlign w:val="center"/>
          </w:tcPr>
          <w:p w14:paraId="5BC25EF9">
            <w:pPr>
              <w:snapToGrid w:val="0"/>
              <w:spacing w:line="240" w:lineRule="auto"/>
              <w:ind w:firstLine="0" w:firstLineChars="0"/>
              <w:jc w:val="center"/>
              <w:rPr>
                <w:b/>
                <w:bCs/>
                <w:sz w:val="21"/>
                <w:szCs w:val="21"/>
                <w14:ligatures w14:val="none"/>
              </w:rPr>
            </w:pPr>
            <w:r>
              <w:rPr>
                <w:rFonts w:hint="eastAsia"/>
                <w:b/>
                <w:bCs/>
                <w:sz w:val="21"/>
                <w:szCs w:val="21"/>
                <w14:ligatures w14:val="none"/>
              </w:rPr>
              <w:t>2031~2034年</w:t>
            </w:r>
          </w:p>
        </w:tc>
        <w:tc>
          <w:tcPr>
            <w:tcW w:w="974" w:type="pct"/>
            <w:vAlign w:val="center"/>
          </w:tcPr>
          <w:p w14:paraId="4AC25697">
            <w:pPr>
              <w:snapToGrid w:val="0"/>
              <w:spacing w:line="240" w:lineRule="auto"/>
              <w:ind w:firstLine="0" w:firstLineChars="0"/>
              <w:jc w:val="center"/>
              <w:rPr>
                <w:b/>
                <w:bCs/>
                <w:sz w:val="21"/>
                <w:szCs w:val="21"/>
                <w14:ligatures w14:val="none"/>
              </w:rPr>
            </w:pPr>
            <w:r>
              <w:rPr>
                <w:rFonts w:hint="eastAsia"/>
                <w:b/>
                <w:bCs/>
                <w:sz w:val="21"/>
                <w:szCs w:val="21"/>
                <w14:ligatures w14:val="none"/>
              </w:rPr>
              <w:t>2035年~以后</w:t>
            </w:r>
          </w:p>
        </w:tc>
      </w:tr>
      <w:tr w14:paraId="04588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803" w:type="pct"/>
            <w:vAlign w:val="center"/>
          </w:tcPr>
          <w:p w14:paraId="117C735D">
            <w:pPr>
              <w:snapToGrid w:val="0"/>
              <w:spacing w:line="240" w:lineRule="auto"/>
              <w:ind w:firstLine="0" w:firstLineChars="0"/>
              <w:jc w:val="center"/>
              <w:rPr>
                <w:sz w:val="21"/>
                <w:szCs w:val="21"/>
                <w14:ligatures w14:val="none"/>
              </w:rPr>
            </w:pPr>
            <w:r>
              <w:rPr>
                <w:rFonts w:hint="eastAsia"/>
                <w:sz w:val="21"/>
                <w:szCs w:val="21"/>
                <w14:ligatures w14:val="none"/>
              </w:rPr>
              <w:t>游客增长率（%）</w:t>
            </w:r>
          </w:p>
        </w:tc>
        <w:tc>
          <w:tcPr>
            <w:tcW w:w="1111" w:type="pct"/>
            <w:vAlign w:val="center"/>
          </w:tcPr>
          <w:p w14:paraId="6E627E1D">
            <w:pPr>
              <w:snapToGrid w:val="0"/>
              <w:spacing w:line="240" w:lineRule="auto"/>
              <w:ind w:firstLine="0" w:firstLineChars="0"/>
              <w:jc w:val="center"/>
              <w:rPr>
                <w:sz w:val="21"/>
                <w:szCs w:val="21"/>
                <w14:ligatures w14:val="none"/>
              </w:rPr>
            </w:pPr>
            <w:r>
              <w:rPr>
                <w:rFonts w:hint="eastAsia"/>
                <w:sz w:val="21"/>
                <w:szCs w:val="21"/>
                <w14:ligatures w14:val="none"/>
              </w:rPr>
              <w:t>15</w:t>
            </w:r>
          </w:p>
        </w:tc>
        <w:tc>
          <w:tcPr>
            <w:tcW w:w="1109" w:type="pct"/>
            <w:vAlign w:val="center"/>
          </w:tcPr>
          <w:p w14:paraId="538D1BBD">
            <w:pPr>
              <w:snapToGrid w:val="0"/>
              <w:spacing w:line="240" w:lineRule="auto"/>
              <w:ind w:firstLine="0" w:firstLineChars="0"/>
              <w:jc w:val="center"/>
              <w:rPr>
                <w:sz w:val="21"/>
                <w:szCs w:val="21"/>
                <w14:ligatures w14:val="none"/>
              </w:rPr>
            </w:pPr>
            <w:r>
              <w:rPr>
                <w:rFonts w:hint="eastAsia"/>
                <w:sz w:val="21"/>
                <w:szCs w:val="21"/>
                <w14:ligatures w14:val="none"/>
              </w:rPr>
              <w:t>5</w:t>
            </w:r>
          </w:p>
        </w:tc>
        <w:tc>
          <w:tcPr>
            <w:tcW w:w="974" w:type="pct"/>
            <w:vAlign w:val="center"/>
          </w:tcPr>
          <w:p w14:paraId="676E0F94">
            <w:pPr>
              <w:snapToGrid w:val="0"/>
              <w:spacing w:line="240" w:lineRule="auto"/>
              <w:ind w:firstLine="0" w:firstLineChars="0"/>
              <w:jc w:val="center"/>
              <w:rPr>
                <w:sz w:val="21"/>
                <w:szCs w:val="21"/>
                <w14:ligatures w14:val="none"/>
              </w:rPr>
            </w:pPr>
            <w:r>
              <w:rPr>
                <w:rFonts w:hint="eastAsia"/>
                <w:sz w:val="21"/>
                <w:szCs w:val="21"/>
                <w14:ligatures w14:val="none"/>
              </w:rPr>
              <w:t>1</w:t>
            </w:r>
          </w:p>
        </w:tc>
      </w:tr>
      <w:tr w14:paraId="2521C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803" w:type="pct"/>
            <w:vAlign w:val="center"/>
          </w:tcPr>
          <w:p w14:paraId="54135F12">
            <w:pPr>
              <w:snapToGrid w:val="0"/>
              <w:spacing w:line="240" w:lineRule="auto"/>
              <w:ind w:firstLine="0" w:firstLineChars="0"/>
              <w:jc w:val="center"/>
              <w:rPr>
                <w:sz w:val="21"/>
                <w:szCs w:val="21"/>
                <w14:ligatures w14:val="none"/>
              </w:rPr>
            </w:pPr>
            <w:r>
              <w:rPr>
                <w:rFonts w:hint="eastAsia"/>
                <w:sz w:val="21"/>
                <w:szCs w:val="21"/>
                <w14:ligatures w14:val="none"/>
              </w:rPr>
              <w:t>游客量（万人）</w:t>
            </w:r>
          </w:p>
        </w:tc>
        <w:tc>
          <w:tcPr>
            <w:tcW w:w="1111" w:type="pct"/>
            <w:vAlign w:val="center"/>
          </w:tcPr>
          <w:p w14:paraId="06331B72">
            <w:pPr>
              <w:snapToGrid w:val="0"/>
              <w:spacing w:line="240" w:lineRule="auto"/>
              <w:ind w:firstLine="0" w:firstLineChars="0"/>
              <w:jc w:val="center"/>
              <w:rPr>
                <w:sz w:val="21"/>
                <w:szCs w:val="21"/>
                <w14:ligatures w14:val="none"/>
              </w:rPr>
            </w:pPr>
            <w:r>
              <w:rPr>
                <w:rFonts w:hint="eastAsia"/>
                <w:sz w:val="21"/>
                <w:szCs w:val="21"/>
                <w14:ligatures w14:val="none"/>
              </w:rPr>
              <w:t>558.6</w:t>
            </w:r>
          </w:p>
        </w:tc>
        <w:tc>
          <w:tcPr>
            <w:tcW w:w="1109" w:type="pct"/>
            <w:vAlign w:val="center"/>
          </w:tcPr>
          <w:p w14:paraId="71B09916">
            <w:pPr>
              <w:snapToGrid w:val="0"/>
              <w:spacing w:line="240" w:lineRule="auto"/>
              <w:ind w:firstLine="0" w:firstLineChars="0"/>
              <w:jc w:val="center"/>
              <w:rPr>
                <w:sz w:val="21"/>
                <w:szCs w:val="21"/>
                <w14:ligatures w14:val="none"/>
              </w:rPr>
            </w:pPr>
            <w:r>
              <w:rPr>
                <w:rFonts w:hint="eastAsia"/>
                <w:sz w:val="21"/>
                <w:szCs w:val="21"/>
                <w14:ligatures w14:val="none"/>
              </w:rPr>
              <w:t>678.9</w:t>
            </w:r>
          </w:p>
        </w:tc>
        <w:tc>
          <w:tcPr>
            <w:tcW w:w="974" w:type="pct"/>
            <w:vAlign w:val="center"/>
          </w:tcPr>
          <w:p w14:paraId="1EEDD56F">
            <w:pPr>
              <w:snapToGrid w:val="0"/>
              <w:spacing w:line="240" w:lineRule="auto"/>
              <w:ind w:firstLine="0" w:firstLineChars="0"/>
              <w:jc w:val="center"/>
              <w:rPr>
                <w:sz w:val="21"/>
                <w:szCs w:val="21"/>
                <w14:ligatures w14:val="none"/>
              </w:rPr>
            </w:pPr>
            <w:r>
              <w:rPr>
                <w:rFonts w:hint="eastAsia"/>
                <w:sz w:val="21"/>
                <w:szCs w:val="21"/>
                <w14:ligatures w14:val="none"/>
              </w:rPr>
              <w:t>685.7</w:t>
            </w:r>
          </w:p>
        </w:tc>
      </w:tr>
      <w:bookmarkEnd w:id="40"/>
    </w:tbl>
    <w:p w14:paraId="1B01160B">
      <w:pPr>
        <w:ind w:firstLine="480"/>
        <w:rPr>
          <w:rFonts w:cs="Times New Roman"/>
          <w:szCs w:val="24"/>
          <w14:ligatures w14:val="none"/>
        </w:rPr>
      </w:pPr>
      <w:r>
        <w:rPr>
          <w:rFonts w:hint="eastAsia" w:cs="Times New Roman"/>
          <w:szCs w:val="24"/>
          <w14:ligatures w14:val="none"/>
        </w:rPr>
        <w:t>根据生命周期阶段预测结果，至近期（~</w:t>
      </w:r>
      <w:r>
        <w:rPr>
          <w:rFonts w:cs="Times New Roman"/>
          <w:szCs w:val="24"/>
          <w14:ligatures w14:val="none"/>
        </w:rPr>
        <w:t>20</w:t>
      </w:r>
      <w:r>
        <w:rPr>
          <w:rFonts w:hint="eastAsia" w:cs="Times New Roman"/>
          <w:szCs w:val="24"/>
          <w14:ligatures w14:val="none"/>
        </w:rPr>
        <w:t>30</w:t>
      </w:r>
      <w:r>
        <w:rPr>
          <w:rFonts w:cs="Times New Roman"/>
          <w:szCs w:val="24"/>
          <w14:ligatures w14:val="none"/>
        </w:rPr>
        <w:t>年），度假区年游客量将达</w:t>
      </w:r>
      <w:r>
        <w:rPr>
          <w:rFonts w:hint="eastAsia" w:cs="Times New Roman"/>
          <w:szCs w:val="24"/>
          <w14:ligatures w14:val="none"/>
        </w:rPr>
        <w:t>558.6</w:t>
      </w:r>
      <w:r>
        <w:rPr>
          <w:rFonts w:cs="Times New Roman"/>
          <w:szCs w:val="24"/>
          <w14:ligatures w14:val="none"/>
        </w:rPr>
        <w:t>万人；</w:t>
      </w:r>
      <w:r>
        <w:rPr>
          <w:rFonts w:hint="eastAsia" w:cs="Times New Roman"/>
          <w:szCs w:val="24"/>
          <w14:ligatures w14:val="none"/>
        </w:rPr>
        <w:t>至</w:t>
      </w:r>
      <w:r>
        <w:rPr>
          <w:rFonts w:cs="Times New Roman"/>
          <w:szCs w:val="24"/>
          <w14:ligatures w14:val="none"/>
        </w:rPr>
        <w:t>远期（</w:t>
      </w:r>
      <w:r>
        <w:rPr>
          <w:rFonts w:hint="eastAsia" w:cs="Times New Roman"/>
          <w:szCs w:val="24"/>
          <w14:ligatures w14:val="none"/>
        </w:rPr>
        <w:t>~</w:t>
      </w:r>
      <w:r>
        <w:rPr>
          <w:rFonts w:cs="Times New Roman"/>
          <w:szCs w:val="24"/>
          <w14:ligatures w14:val="none"/>
        </w:rPr>
        <w:t>2035年），年游客量将达</w:t>
      </w:r>
      <w:r>
        <w:rPr>
          <w:rFonts w:hint="eastAsia" w:cs="Times New Roman"/>
          <w:szCs w:val="24"/>
          <w14:ligatures w14:val="none"/>
        </w:rPr>
        <w:t>685.7</w:t>
      </w:r>
      <w:r>
        <w:rPr>
          <w:rFonts w:cs="Times New Roman"/>
          <w:szCs w:val="24"/>
          <w14:ligatures w14:val="none"/>
        </w:rPr>
        <w:t>万人。</w:t>
      </w:r>
    </w:p>
    <w:p w14:paraId="13B75587">
      <w:pPr>
        <w:ind w:firstLine="480"/>
        <w:rPr>
          <w:rFonts w:cs="Times New Roman"/>
          <w:szCs w:val="24"/>
          <w14:ligatures w14:val="none"/>
        </w:rPr>
      </w:pPr>
      <w:r>
        <w:rPr>
          <w:rFonts w:hint="eastAsia" w:cs="Times New Roman"/>
          <w:szCs w:val="24"/>
          <w14:ligatures w14:val="none"/>
        </w:rPr>
        <w:t>（2）常住人口规模：</w:t>
      </w:r>
    </w:p>
    <w:p w14:paraId="7B58D1FD">
      <w:pPr>
        <w:ind w:firstLine="480"/>
      </w:pPr>
      <w:r>
        <w:rPr>
          <w:rFonts w:hint="eastAsia"/>
        </w:rPr>
        <w:t>2023年，规划区域内现状常住人口约30117人，现状居住用地面积332.1公顷。综合考虑周边村庄的集聚提升和居住用地面积变化、经济社会发展带来人口增长等要素，本轮规划近期高质量发展时期人口增长率按20</w:t>
      </w:r>
      <w:r>
        <w:rPr>
          <w:rFonts w:cs="Times New Roman"/>
        </w:rPr>
        <w:t>‰</w:t>
      </w:r>
      <w:r>
        <w:rPr>
          <w:rFonts w:hint="eastAsia" w:cs="Times New Roman"/>
        </w:rPr>
        <w:t>计，规划末期高效运营期</w:t>
      </w:r>
      <w:r>
        <w:rPr>
          <w:rFonts w:hint="eastAsia"/>
        </w:rPr>
        <w:t>人口增长率按10</w:t>
      </w:r>
      <w:r>
        <w:rPr>
          <w:rFonts w:cs="Times New Roman"/>
        </w:rPr>
        <w:t>‰</w:t>
      </w:r>
      <w:r>
        <w:rPr>
          <w:rFonts w:hint="eastAsia" w:cs="Times New Roman"/>
        </w:rPr>
        <w:t>计</w:t>
      </w:r>
      <w:r>
        <w:rPr>
          <w:rFonts w:hint="eastAsia"/>
        </w:rPr>
        <w:t>，预测规划近期和远期内居住总人口分别为34595人和36360人。</w:t>
      </w:r>
    </w:p>
    <w:bookmarkEnd w:id="37"/>
    <w:p w14:paraId="197CCEB9">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w:t>
      </w:r>
      <w:r>
        <w:rPr>
          <w:rFonts w:hint="eastAsia" w:eastAsia="方正楷体_GBK" w:cs="Times New Roman"/>
          <w:b/>
          <w:bCs/>
          <w:szCs w:val="28"/>
          <w14:ligatures w14:val="none"/>
        </w:rPr>
        <w:t>5空间布局结构</w:t>
      </w:r>
    </w:p>
    <w:p w14:paraId="641353C4">
      <w:pPr>
        <w:ind w:firstLine="480"/>
      </w:pPr>
      <w:r>
        <w:rPr>
          <w:rFonts w:hint="eastAsia"/>
        </w:rPr>
        <w:t>（1）总体空间布局</w:t>
      </w:r>
    </w:p>
    <w:p w14:paraId="548167C2">
      <w:pPr>
        <w:ind w:firstLine="480"/>
      </w:pPr>
      <w:r>
        <w:rPr>
          <w:rFonts w:hint="eastAsia"/>
        </w:rPr>
        <w:t>本次规划依据茅山地区的地形地貌、资源禀赋、交通区位等因素，科学合理地确定“一带一环多片区”的规划结构（附图13）。</w:t>
      </w:r>
    </w:p>
    <w:p w14:paraId="03766A5A">
      <w:pPr>
        <w:ind w:firstLine="480"/>
      </w:pPr>
      <w:r>
        <w:rPr>
          <w:rFonts w:hint="eastAsia"/>
        </w:rPr>
        <w:t>一带：依托265省道形成纵连茅山旅游度假区的全域旅游发展带。</w:t>
      </w:r>
    </w:p>
    <w:p w14:paraId="70DAAF3F">
      <w:pPr>
        <w:ind w:firstLine="480"/>
      </w:pPr>
      <w:r>
        <w:rPr>
          <w:rFonts w:hint="eastAsia"/>
        </w:rPr>
        <w:t>一环：由白乾公路、游仙路、340省道、十里春风、上阮路、大社线和物流大道相连形成贯穿茅山旅游度假区的旅游环线。</w:t>
      </w:r>
    </w:p>
    <w:p w14:paraId="1081F8B4">
      <w:pPr>
        <w:ind w:firstLine="480"/>
      </w:pPr>
      <w:r>
        <w:rPr>
          <w:rFonts w:hint="eastAsia"/>
        </w:rPr>
        <w:t>多片区：结合山水文化旅游资源和城乡发展节点形成道文化体验区、康养休闲度假区、方山生态休闲区、农旅融合发展区、产城融合发展区、景镇融合发展区、茅麓茶香小镇、花山文旅小镇、仙姑美丽乡村、西</w:t>
      </w:r>
      <w:r>
        <w:rPr>
          <w:rFonts w:hint="eastAsia" w:ascii="微软雅黑" w:hAnsi="微软雅黑" w:eastAsia="微软雅黑" w:cs="微软雅黑"/>
        </w:rPr>
        <w:t>旸</w:t>
      </w:r>
      <w:r>
        <w:rPr>
          <w:rFonts w:hint="eastAsia" w:ascii="仿宋_GB2312" w:hAnsi="仿宋_GB2312" w:cs="仿宋_GB2312"/>
        </w:rPr>
        <w:t>、罗村等多个发展片区，形成各具特色、功能互补的发展格局</w:t>
      </w:r>
      <w:r>
        <w:rPr>
          <w:rFonts w:hint="eastAsia"/>
        </w:rPr>
        <w:t>。</w:t>
      </w:r>
    </w:p>
    <w:p w14:paraId="652ECBC2">
      <w:pPr>
        <w:ind w:firstLine="480"/>
      </w:pPr>
      <w:r>
        <w:rPr>
          <w:rFonts w:hint="eastAsia"/>
        </w:rPr>
        <w:t>（2）镇村体系布局</w:t>
      </w:r>
    </w:p>
    <w:p w14:paraId="4F4BBE6C">
      <w:pPr>
        <w:ind w:firstLine="480"/>
      </w:pPr>
      <w:bookmarkStart w:id="41" w:name="_Hlk172188785"/>
      <w:r>
        <w:rPr>
          <w:rFonts w:hint="eastAsia"/>
        </w:rPr>
        <w:t>茅山旅游度假区内镇村体系布局以保护风景资源与整体景观风貌、尊重文脉与历史、合理引导村庄集约集中为原则。合理发展有条件的村庄，改善基础设施，提高居民生活水平，并引导度假区内一般村向规划发展村与薛埠镇区集中。</w:t>
      </w:r>
    </w:p>
    <w:p w14:paraId="27D5131F">
      <w:pPr>
        <w:ind w:firstLine="480"/>
      </w:pPr>
      <w:r>
        <w:rPr>
          <w:rFonts w:hint="eastAsia"/>
        </w:rPr>
        <w:t>在茅山旅游度假区范围内，根据旅游发展的需要，将仙姑村、上阮村等2个村庄结合旅游功能精心打造，形成特色鲜明的美丽乡村。</w:t>
      </w:r>
    </w:p>
    <w:p w14:paraId="344B5697">
      <w:pPr>
        <w:ind w:firstLine="480"/>
      </w:pPr>
      <w:r>
        <w:rPr>
          <w:rFonts w:hint="eastAsia"/>
        </w:rPr>
        <w:t>根据镇村发展诉求与实际情况，保留度假区范围内24个村庄作为规划发展村（表2</w:t>
      </w:r>
      <w:r>
        <w:t>.1</w:t>
      </w:r>
      <w:r>
        <w:rPr>
          <w:rFonts w:hint="eastAsia"/>
        </w:rPr>
        <w:t>-3、附图14），同时结合各片区发展导向及项目策划，从规划发展村中选择仙姑村、山蓬村、上阮村、西旸村等发展特色田园乡村。</w:t>
      </w:r>
    </w:p>
    <w:bookmarkEnd w:id="41"/>
    <w:p w14:paraId="4945BFE3">
      <w:pPr>
        <w:pStyle w:val="45"/>
        <w:rPr>
          <w:rFonts w:cs="Times New Roman"/>
        </w:rPr>
      </w:pPr>
      <w:r>
        <w:rPr>
          <w:rFonts w:hint="eastAsia" w:cs="Times New Roman"/>
        </w:rPr>
        <w:t>表</w:t>
      </w:r>
      <w:r>
        <w:rPr>
          <w:rFonts w:cs="Times New Roman"/>
        </w:rPr>
        <w:t>2.1</w:t>
      </w:r>
      <w:r>
        <w:rPr>
          <w:rFonts w:hint="eastAsia" w:cs="Times New Roman"/>
        </w:rPr>
        <w:t>-3 茅山旅游度假区</w:t>
      </w:r>
      <w:r>
        <w:rPr>
          <w:rFonts w:cs="Times New Roman"/>
        </w:rPr>
        <w:t>规划发展村一览表</w:t>
      </w:r>
    </w:p>
    <w:tbl>
      <w:tblPr>
        <w:tblStyle w:val="25"/>
        <w:tblW w:w="478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E8CF"/>
        <w:tblLayout w:type="autofit"/>
        <w:tblCellMar>
          <w:top w:w="0" w:type="dxa"/>
          <w:left w:w="0" w:type="dxa"/>
          <w:bottom w:w="0" w:type="dxa"/>
          <w:right w:w="0" w:type="dxa"/>
        </w:tblCellMar>
      </w:tblPr>
      <w:tblGrid>
        <w:gridCol w:w="1177"/>
        <w:gridCol w:w="1203"/>
        <w:gridCol w:w="955"/>
        <w:gridCol w:w="2203"/>
        <w:gridCol w:w="845"/>
        <w:gridCol w:w="1584"/>
      </w:tblGrid>
      <w:tr w14:paraId="47DFC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E8CF"/>
          <w:tblCellMar>
            <w:top w:w="0" w:type="dxa"/>
            <w:left w:w="0" w:type="dxa"/>
            <w:bottom w:w="0" w:type="dxa"/>
            <w:right w:w="0" w:type="dxa"/>
          </w:tblCellMar>
        </w:tblPrEx>
        <w:trPr>
          <w:trHeight w:val="20" w:hRule="atLeast"/>
          <w:tblHeader/>
          <w:jc w:val="center"/>
        </w:trPr>
        <w:tc>
          <w:tcPr>
            <w:tcW w:w="739" w:type="pct"/>
            <w:vMerge w:val="restart"/>
            <w:shd w:val="clear" w:color="auto" w:fill="FFFFFF" w:themeFill="background1"/>
            <w:tcMar>
              <w:top w:w="15" w:type="dxa"/>
              <w:left w:w="11" w:type="dxa"/>
              <w:bottom w:w="0" w:type="dxa"/>
              <w:right w:w="11" w:type="dxa"/>
            </w:tcMar>
            <w:vAlign w:val="center"/>
          </w:tcPr>
          <w:p w14:paraId="13DF49EC">
            <w:pPr>
              <w:keepNext/>
              <w:spacing w:line="240" w:lineRule="auto"/>
              <w:ind w:firstLine="0" w:firstLineChars="0"/>
              <w:jc w:val="center"/>
              <w:rPr>
                <w:rFonts w:cs="Times New Roman"/>
                <w:b/>
                <w:bCs/>
                <w:sz w:val="21"/>
                <w:szCs w:val="21"/>
                <w14:ligatures w14:val="none"/>
              </w:rPr>
            </w:pPr>
            <w:bookmarkStart w:id="42" w:name="_Hlk172188807"/>
            <w:r>
              <w:rPr>
                <w:rFonts w:hint="eastAsia" w:cs="Times New Roman"/>
                <w:b/>
                <w:bCs/>
                <w:sz w:val="21"/>
                <w:szCs w:val="21"/>
                <w14:ligatures w14:val="none"/>
              </w:rPr>
              <w:t>镇</w:t>
            </w:r>
          </w:p>
        </w:tc>
        <w:tc>
          <w:tcPr>
            <w:tcW w:w="754" w:type="pct"/>
            <w:vMerge w:val="restart"/>
            <w:shd w:val="clear" w:color="auto" w:fill="FFFFFF" w:themeFill="background1"/>
            <w:tcMar>
              <w:top w:w="15" w:type="dxa"/>
              <w:left w:w="11" w:type="dxa"/>
              <w:bottom w:w="0" w:type="dxa"/>
              <w:right w:w="11" w:type="dxa"/>
            </w:tcMar>
            <w:vAlign w:val="center"/>
          </w:tcPr>
          <w:p w14:paraId="7823B022">
            <w:pPr>
              <w:keepNext/>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行政村</w:t>
            </w:r>
          </w:p>
          <w:p w14:paraId="0C28FA8C">
            <w:pPr>
              <w:keepNext/>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名称</w:t>
            </w:r>
          </w:p>
        </w:tc>
        <w:tc>
          <w:tcPr>
            <w:tcW w:w="3505" w:type="pct"/>
            <w:gridSpan w:val="4"/>
            <w:shd w:val="clear" w:color="auto" w:fill="FFFFFF" w:themeFill="background1"/>
            <w:tcMar>
              <w:top w:w="15" w:type="dxa"/>
              <w:left w:w="11" w:type="dxa"/>
              <w:bottom w:w="0" w:type="dxa"/>
              <w:right w:w="11" w:type="dxa"/>
            </w:tcMar>
            <w:vAlign w:val="center"/>
          </w:tcPr>
          <w:p w14:paraId="1B207972">
            <w:pPr>
              <w:keepNext/>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规划发展村</w:t>
            </w:r>
          </w:p>
        </w:tc>
      </w:tr>
      <w:tr w14:paraId="337E6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739" w:type="pct"/>
            <w:vMerge w:val="continue"/>
            <w:shd w:val="clear" w:color="auto" w:fill="FFFFFF" w:themeFill="background1"/>
            <w:vAlign w:val="center"/>
          </w:tcPr>
          <w:p w14:paraId="6DF4C074">
            <w:pPr>
              <w:keepNext/>
              <w:spacing w:line="240" w:lineRule="auto"/>
              <w:ind w:firstLine="0" w:firstLineChars="0"/>
              <w:jc w:val="center"/>
              <w:rPr>
                <w:rFonts w:cs="Times New Roman"/>
                <w:b/>
                <w:bCs/>
                <w:sz w:val="21"/>
                <w:szCs w:val="21"/>
                <w14:ligatures w14:val="none"/>
              </w:rPr>
            </w:pPr>
          </w:p>
        </w:tc>
        <w:tc>
          <w:tcPr>
            <w:tcW w:w="754" w:type="pct"/>
            <w:vMerge w:val="continue"/>
            <w:shd w:val="clear" w:color="auto" w:fill="FFFFFF" w:themeFill="background1"/>
            <w:vAlign w:val="center"/>
          </w:tcPr>
          <w:p w14:paraId="61881AA0">
            <w:pPr>
              <w:keepNext/>
              <w:spacing w:line="240" w:lineRule="auto"/>
              <w:ind w:firstLine="0" w:firstLineChars="0"/>
              <w:jc w:val="center"/>
              <w:rPr>
                <w:rFonts w:cs="Times New Roman"/>
                <w:b/>
                <w:bCs/>
                <w:sz w:val="21"/>
                <w:szCs w:val="21"/>
                <w14:ligatures w14:val="none"/>
              </w:rPr>
            </w:pPr>
          </w:p>
        </w:tc>
        <w:tc>
          <w:tcPr>
            <w:tcW w:w="1981" w:type="pct"/>
            <w:gridSpan w:val="2"/>
            <w:shd w:val="clear" w:color="auto" w:fill="FFFFFF" w:themeFill="background1"/>
            <w:tcMar>
              <w:top w:w="15" w:type="dxa"/>
              <w:left w:w="11" w:type="dxa"/>
              <w:bottom w:w="0" w:type="dxa"/>
              <w:right w:w="11" w:type="dxa"/>
            </w:tcMar>
            <w:vAlign w:val="center"/>
          </w:tcPr>
          <w:p w14:paraId="3D7248F6">
            <w:pPr>
              <w:keepNext/>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集聚提升类村庄</w:t>
            </w:r>
          </w:p>
        </w:tc>
        <w:tc>
          <w:tcPr>
            <w:tcW w:w="1523" w:type="pct"/>
            <w:gridSpan w:val="2"/>
            <w:shd w:val="clear" w:color="auto" w:fill="FFFFFF" w:themeFill="background1"/>
            <w:tcMar>
              <w:top w:w="15" w:type="dxa"/>
              <w:left w:w="11" w:type="dxa"/>
              <w:bottom w:w="0" w:type="dxa"/>
              <w:right w:w="11" w:type="dxa"/>
            </w:tcMar>
            <w:vAlign w:val="center"/>
          </w:tcPr>
          <w:p w14:paraId="6465E13A">
            <w:pPr>
              <w:keepNext/>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特色保护类村庄</w:t>
            </w:r>
          </w:p>
        </w:tc>
      </w:tr>
      <w:tr w14:paraId="1CAA1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739" w:type="pct"/>
            <w:vMerge w:val="continue"/>
            <w:shd w:val="clear" w:color="auto" w:fill="FFFFFF" w:themeFill="background1"/>
            <w:vAlign w:val="center"/>
          </w:tcPr>
          <w:p w14:paraId="1293198A">
            <w:pPr>
              <w:keepNext/>
              <w:spacing w:line="240" w:lineRule="auto"/>
              <w:ind w:firstLine="0" w:firstLineChars="0"/>
              <w:jc w:val="center"/>
              <w:rPr>
                <w:rFonts w:cs="Times New Roman"/>
                <w:b/>
                <w:bCs/>
                <w:sz w:val="21"/>
                <w:szCs w:val="21"/>
                <w14:ligatures w14:val="none"/>
              </w:rPr>
            </w:pPr>
          </w:p>
        </w:tc>
        <w:tc>
          <w:tcPr>
            <w:tcW w:w="754" w:type="pct"/>
            <w:vMerge w:val="continue"/>
            <w:shd w:val="clear" w:color="auto" w:fill="FFFFFF" w:themeFill="background1"/>
            <w:vAlign w:val="center"/>
          </w:tcPr>
          <w:p w14:paraId="3047751C">
            <w:pPr>
              <w:keepNext/>
              <w:spacing w:line="240" w:lineRule="auto"/>
              <w:ind w:firstLine="0" w:firstLineChars="0"/>
              <w:jc w:val="center"/>
              <w:rPr>
                <w:rFonts w:cs="Times New Roman"/>
                <w:b/>
                <w:bCs/>
                <w:sz w:val="21"/>
                <w:szCs w:val="21"/>
                <w14:ligatures w14:val="none"/>
              </w:rPr>
            </w:pPr>
          </w:p>
        </w:tc>
        <w:tc>
          <w:tcPr>
            <w:tcW w:w="599" w:type="pct"/>
            <w:shd w:val="clear" w:color="auto" w:fill="FFFFFF" w:themeFill="background1"/>
            <w:tcMar>
              <w:top w:w="15" w:type="dxa"/>
              <w:left w:w="11" w:type="dxa"/>
              <w:bottom w:w="0" w:type="dxa"/>
              <w:right w:w="11" w:type="dxa"/>
            </w:tcMar>
            <w:vAlign w:val="center"/>
          </w:tcPr>
          <w:p w14:paraId="406492EE">
            <w:pPr>
              <w:keepNext/>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个数</w:t>
            </w:r>
          </w:p>
        </w:tc>
        <w:tc>
          <w:tcPr>
            <w:tcW w:w="1382" w:type="pct"/>
            <w:shd w:val="clear" w:color="auto" w:fill="FFFFFF" w:themeFill="background1"/>
            <w:tcMar>
              <w:top w:w="15" w:type="dxa"/>
              <w:left w:w="11" w:type="dxa"/>
              <w:bottom w:w="0" w:type="dxa"/>
              <w:right w:w="11" w:type="dxa"/>
            </w:tcMar>
            <w:vAlign w:val="center"/>
          </w:tcPr>
          <w:p w14:paraId="6D65938B">
            <w:pPr>
              <w:keepNext/>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村名</w:t>
            </w:r>
          </w:p>
        </w:tc>
        <w:tc>
          <w:tcPr>
            <w:tcW w:w="530" w:type="pct"/>
            <w:shd w:val="clear" w:color="auto" w:fill="FFFFFF" w:themeFill="background1"/>
            <w:tcMar>
              <w:top w:w="15" w:type="dxa"/>
              <w:left w:w="11" w:type="dxa"/>
              <w:bottom w:w="0" w:type="dxa"/>
              <w:right w:w="11" w:type="dxa"/>
            </w:tcMar>
            <w:vAlign w:val="center"/>
          </w:tcPr>
          <w:p w14:paraId="6CDA2897">
            <w:pPr>
              <w:keepNext/>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个数</w:t>
            </w:r>
          </w:p>
        </w:tc>
        <w:tc>
          <w:tcPr>
            <w:tcW w:w="993" w:type="pct"/>
            <w:shd w:val="clear" w:color="auto" w:fill="FFFFFF" w:themeFill="background1"/>
            <w:tcMar>
              <w:top w:w="15" w:type="dxa"/>
              <w:left w:w="11" w:type="dxa"/>
              <w:bottom w:w="0" w:type="dxa"/>
              <w:right w:w="11" w:type="dxa"/>
            </w:tcMar>
            <w:vAlign w:val="center"/>
          </w:tcPr>
          <w:p w14:paraId="085414AE">
            <w:pPr>
              <w:keepNext/>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村名</w:t>
            </w:r>
          </w:p>
        </w:tc>
      </w:tr>
      <w:tr w14:paraId="2D2FC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39" w:type="pct"/>
            <w:vMerge w:val="restart"/>
            <w:shd w:val="clear" w:color="auto" w:fill="FFFFFF" w:themeFill="background1"/>
            <w:tcMar>
              <w:top w:w="15" w:type="dxa"/>
              <w:left w:w="108" w:type="dxa"/>
              <w:bottom w:w="0" w:type="dxa"/>
              <w:right w:w="108" w:type="dxa"/>
            </w:tcMar>
            <w:vAlign w:val="center"/>
          </w:tcPr>
          <w:p w14:paraId="449C3A4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薛埠镇</w:t>
            </w:r>
          </w:p>
        </w:tc>
        <w:tc>
          <w:tcPr>
            <w:tcW w:w="754" w:type="pct"/>
            <w:shd w:val="clear" w:color="auto" w:fill="FFFFFF" w:themeFill="background1"/>
            <w:tcMar>
              <w:top w:w="15" w:type="dxa"/>
              <w:left w:w="108" w:type="dxa"/>
              <w:bottom w:w="0" w:type="dxa"/>
              <w:right w:w="108" w:type="dxa"/>
            </w:tcMar>
            <w:vAlign w:val="center"/>
          </w:tcPr>
          <w:p w14:paraId="3873F3A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西</w:t>
            </w:r>
            <w:r>
              <w:rPr>
                <w:rFonts w:hint="eastAsia" w:eastAsia="微软雅黑" w:cs="Times New Roman"/>
                <w:sz w:val="21"/>
                <w:szCs w:val="21"/>
                <w14:ligatures w14:val="none"/>
              </w:rPr>
              <w:t>旸</w:t>
            </w:r>
            <w:r>
              <w:rPr>
                <w:rFonts w:hint="eastAsia" w:cs="Times New Roman"/>
                <w:sz w:val="21"/>
                <w:szCs w:val="21"/>
                <w14:ligatures w14:val="none"/>
              </w:rPr>
              <w:t>村</w:t>
            </w:r>
          </w:p>
        </w:tc>
        <w:tc>
          <w:tcPr>
            <w:tcW w:w="599" w:type="pct"/>
            <w:shd w:val="clear" w:color="auto" w:fill="FFFFFF" w:themeFill="background1"/>
            <w:tcMar>
              <w:top w:w="15" w:type="dxa"/>
              <w:left w:w="57" w:type="dxa"/>
              <w:bottom w:w="0" w:type="dxa"/>
              <w:right w:w="57" w:type="dxa"/>
            </w:tcMar>
            <w:vAlign w:val="center"/>
          </w:tcPr>
          <w:p w14:paraId="535658C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3</w:t>
            </w:r>
          </w:p>
        </w:tc>
        <w:tc>
          <w:tcPr>
            <w:tcW w:w="1382" w:type="pct"/>
            <w:shd w:val="clear" w:color="auto" w:fill="FFFFFF" w:themeFill="background1"/>
            <w:tcMar>
              <w:top w:w="15" w:type="dxa"/>
              <w:left w:w="57" w:type="dxa"/>
              <w:bottom w:w="0" w:type="dxa"/>
              <w:right w:w="57" w:type="dxa"/>
            </w:tcMar>
            <w:vAlign w:val="center"/>
          </w:tcPr>
          <w:p w14:paraId="3298BCB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油炸头、周达、塔山</w:t>
            </w:r>
          </w:p>
        </w:tc>
        <w:tc>
          <w:tcPr>
            <w:tcW w:w="530" w:type="pct"/>
            <w:shd w:val="clear" w:color="auto" w:fill="FFFFFF" w:themeFill="background1"/>
            <w:tcMar>
              <w:top w:w="15" w:type="dxa"/>
              <w:left w:w="57" w:type="dxa"/>
              <w:bottom w:w="0" w:type="dxa"/>
              <w:right w:w="57" w:type="dxa"/>
            </w:tcMar>
            <w:vAlign w:val="center"/>
          </w:tcPr>
          <w:p w14:paraId="288C539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w:t>
            </w:r>
          </w:p>
        </w:tc>
        <w:tc>
          <w:tcPr>
            <w:tcW w:w="993" w:type="pct"/>
            <w:shd w:val="clear" w:color="auto" w:fill="FFFFFF" w:themeFill="background1"/>
            <w:tcMar>
              <w:top w:w="15" w:type="dxa"/>
              <w:left w:w="57" w:type="dxa"/>
              <w:bottom w:w="0" w:type="dxa"/>
              <w:right w:w="57" w:type="dxa"/>
            </w:tcMar>
            <w:vAlign w:val="center"/>
          </w:tcPr>
          <w:p w14:paraId="2A7031B5">
            <w:pPr>
              <w:spacing w:line="240" w:lineRule="auto"/>
              <w:ind w:firstLine="0" w:firstLineChars="0"/>
              <w:jc w:val="center"/>
              <w:rPr>
                <w:rFonts w:cs="Times New Roman"/>
                <w:sz w:val="21"/>
                <w:szCs w:val="21"/>
                <w14:ligatures w14:val="none"/>
              </w:rPr>
            </w:pPr>
          </w:p>
        </w:tc>
      </w:tr>
      <w:tr w14:paraId="7D04E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39" w:type="pct"/>
            <w:vMerge w:val="continue"/>
            <w:shd w:val="clear" w:color="auto" w:fill="FFFFFF" w:themeFill="background1"/>
            <w:vAlign w:val="center"/>
          </w:tcPr>
          <w:p w14:paraId="1C4FED7D">
            <w:pPr>
              <w:spacing w:line="240" w:lineRule="auto"/>
              <w:ind w:firstLine="0" w:firstLineChars="0"/>
              <w:jc w:val="center"/>
              <w:rPr>
                <w:rFonts w:cs="Times New Roman"/>
                <w:sz w:val="21"/>
                <w:szCs w:val="21"/>
                <w14:ligatures w14:val="none"/>
              </w:rPr>
            </w:pPr>
          </w:p>
        </w:tc>
        <w:tc>
          <w:tcPr>
            <w:tcW w:w="754" w:type="pct"/>
            <w:shd w:val="clear" w:color="auto" w:fill="FFFFFF" w:themeFill="background1"/>
            <w:tcMar>
              <w:top w:w="15" w:type="dxa"/>
              <w:left w:w="108" w:type="dxa"/>
              <w:bottom w:w="0" w:type="dxa"/>
              <w:right w:w="108" w:type="dxa"/>
            </w:tcMar>
            <w:vAlign w:val="center"/>
          </w:tcPr>
          <w:p w14:paraId="415699C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仙姑村</w:t>
            </w:r>
          </w:p>
        </w:tc>
        <w:tc>
          <w:tcPr>
            <w:tcW w:w="599" w:type="pct"/>
            <w:shd w:val="clear" w:color="auto" w:fill="FFFFFF" w:themeFill="background1"/>
            <w:tcMar>
              <w:top w:w="15" w:type="dxa"/>
              <w:left w:w="57" w:type="dxa"/>
              <w:bottom w:w="0" w:type="dxa"/>
              <w:right w:w="57" w:type="dxa"/>
            </w:tcMar>
            <w:vAlign w:val="center"/>
          </w:tcPr>
          <w:p w14:paraId="3256E23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2</w:t>
            </w:r>
          </w:p>
        </w:tc>
        <w:tc>
          <w:tcPr>
            <w:tcW w:w="1382" w:type="pct"/>
            <w:shd w:val="clear" w:color="auto" w:fill="FFFFFF" w:themeFill="background1"/>
            <w:tcMar>
              <w:top w:w="15" w:type="dxa"/>
              <w:left w:w="57" w:type="dxa"/>
              <w:bottom w:w="0" w:type="dxa"/>
              <w:right w:w="57" w:type="dxa"/>
            </w:tcMar>
            <w:vAlign w:val="center"/>
          </w:tcPr>
          <w:p w14:paraId="4A31B0F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宜庄、下王岗</w:t>
            </w:r>
          </w:p>
        </w:tc>
        <w:tc>
          <w:tcPr>
            <w:tcW w:w="530" w:type="pct"/>
            <w:shd w:val="clear" w:color="auto" w:fill="FFFFFF" w:themeFill="background1"/>
            <w:tcMar>
              <w:top w:w="15" w:type="dxa"/>
              <w:left w:w="57" w:type="dxa"/>
              <w:bottom w:w="0" w:type="dxa"/>
              <w:right w:w="57" w:type="dxa"/>
            </w:tcMar>
            <w:vAlign w:val="center"/>
          </w:tcPr>
          <w:p w14:paraId="6F5F1B7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2</w:t>
            </w:r>
          </w:p>
        </w:tc>
        <w:tc>
          <w:tcPr>
            <w:tcW w:w="993" w:type="pct"/>
            <w:shd w:val="clear" w:color="auto" w:fill="FFFFFF" w:themeFill="background1"/>
            <w:tcMar>
              <w:top w:w="15" w:type="dxa"/>
              <w:left w:w="57" w:type="dxa"/>
              <w:bottom w:w="0" w:type="dxa"/>
              <w:right w:w="57" w:type="dxa"/>
            </w:tcMar>
            <w:vAlign w:val="center"/>
          </w:tcPr>
          <w:p w14:paraId="2EAEA53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仙姑、阳山</w:t>
            </w:r>
          </w:p>
        </w:tc>
      </w:tr>
      <w:tr w14:paraId="3217F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39" w:type="pct"/>
            <w:vMerge w:val="continue"/>
            <w:shd w:val="clear" w:color="auto" w:fill="FFFFFF" w:themeFill="background1"/>
            <w:vAlign w:val="center"/>
          </w:tcPr>
          <w:p w14:paraId="4102E212">
            <w:pPr>
              <w:spacing w:line="240" w:lineRule="auto"/>
              <w:ind w:firstLine="0" w:firstLineChars="0"/>
              <w:jc w:val="center"/>
              <w:rPr>
                <w:rFonts w:cs="Times New Roman"/>
                <w:sz w:val="21"/>
                <w:szCs w:val="21"/>
                <w14:ligatures w14:val="none"/>
              </w:rPr>
            </w:pPr>
          </w:p>
        </w:tc>
        <w:tc>
          <w:tcPr>
            <w:tcW w:w="754" w:type="pct"/>
            <w:shd w:val="clear" w:color="auto" w:fill="FFFFFF" w:themeFill="background1"/>
            <w:tcMar>
              <w:top w:w="15" w:type="dxa"/>
              <w:left w:w="108" w:type="dxa"/>
              <w:bottom w:w="0" w:type="dxa"/>
              <w:right w:w="108" w:type="dxa"/>
            </w:tcMar>
            <w:vAlign w:val="center"/>
          </w:tcPr>
          <w:p w14:paraId="26A7A49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致和村</w:t>
            </w:r>
          </w:p>
        </w:tc>
        <w:tc>
          <w:tcPr>
            <w:tcW w:w="599" w:type="pct"/>
            <w:shd w:val="clear" w:color="auto" w:fill="FFFFFF" w:themeFill="background1"/>
            <w:tcMar>
              <w:top w:w="15" w:type="dxa"/>
              <w:left w:w="57" w:type="dxa"/>
              <w:bottom w:w="0" w:type="dxa"/>
              <w:right w:w="57" w:type="dxa"/>
            </w:tcMar>
            <w:vAlign w:val="center"/>
          </w:tcPr>
          <w:p w14:paraId="0861AC0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w:t>
            </w:r>
          </w:p>
        </w:tc>
        <w:tc>
          <w:tcPr>
            <w:tcW w:w="1382" w:type="pct"/>
            <w:shd w:val="clear" w:color="auto" w:fill="FFFFFF" w:themeFill="background1"/>
            <w:tcMar>
              <w:top w:w="15" w:type="dxa"/>
              <w:left w:w="57" w:type="dxa"/>
              <w:bottom w:w="0" w:type="dxa"/>
              <w:right w:w="57" w:type="dxa"/>
            </w:tcMar>
            <w:vAlign w:val="center"/>
          </w:tcPr>
          <w:p w14:paraId="2610DEA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杭山</w:t>
            </w:r>
          </w:p>
        </w:tc>
        <w:tc>
          <w:tcPr>
            <w:tcW w:w="530" w:type="pct"/>
            <w:shd w:val="clear" w:color="auto" w:fill="FFFFFF" w:themeFill="background1"/>
            <w:tcMar>
              <w:top w:w="15" w:type="dxa"/>
              <w:left w:w="57" w:type="dxa"/>
              <w:bottom w:w="0" w:type="dxa"/>
              <w:right w:w="57" w:type="dxa"/>
            </w:tcMar>
            <w:vAlign w:val="center"/>
          </w:tcPr>
          <w:p w14:paraId="703ABEA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w:t>
            </w:r>
          </w:p>
        </w:tc>
        <w:tc>
          <w:tcPr>
            <w:tcW w:w="993" w:type="pct"/>
            <w:shd w:val="clear" w:color="auto" w:fill="FFFFFF" w:themeFill="background1"/>
            <w:tcMar>
              <w:top w:w="15" w:type="dxa"/>
              <w:left w:w="57" w:type="dxa"/>
              <w:bottom w:w="0" w:type="dxa"/>
              <w:right w:w="57" w:type="dxa"/>
            </w:tcMar>
            <w:vAlign w:val="center"/>
          </w:tcPr>
          <w:p w14:paraId="18AFFA09">
            <w:pPr>
              <w:spacing w:line="240" w:lineRule="auto"/>
              <w:ind w:firstLine="0" w:firstLineChars="0"/>
              <w:jc w:val="center"/>
              <w:rPr>
                <w:rFonts w:cs="Times New Roman"/>
                <w:sz w:val="21"/>
                <w:szCs w:val="21"/>
                <w14:ligatures w14:val="none"/>
              </w:rPr>
            </w:pPr>
          </w:p>
        </w:tc>
      </w:tr>
      <w:tr w14:paraId="0E3C9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39" w:type="pct"/>
            <w:vMerge w:val="continue"/>
            <w:shd w:val="clear" w:color="auto" w:fill="FFFFFF" w:themeFill="background1"/>
            <w:vAlign w:val="center"/>
          </w:tcPr>
          <w:p w14:paraId="5BD6F3E1">
            <w:pPr>
              <w:spacing w:line="240" w:lineRule="auto"/>
              <w:ind w:firstLine="0" w:firstLineChars="0"/>
              <w:jc w:val="center"/>
              <w:rPr>
                <w:rFonts w:cs="Times New Roman"/>
                <w:sz w:val="21"/>
                <w:szCs w:val="21"/>
                <w14:ligatures w14:val="none"/>
              </w:rPr>
            </w:pPr>
          </w:p>
        </w:tc>
        <w:tc>
          <w:tcPr>
            <w:tcW w:w="754" w:type="pct"/>
            <w:shd w:val="clear" w:color="auto" w:fill="FFFFFF" w:themeFill="background1"/>
            <w:tcMar>
              <w:top w:w="15" w:type="dxa"/>
              <w:left w:w="108" w:type="dxa"/>
              <w:bottom w:w="0" w:type="dxa"/>
              <w:right w:w="108" w:type="dxa"/>
            </w:tcMar>
            <w:vAlign w:val="center"/>
          </w:tcPr>
          <w:p w14:paraId="6056F61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上阳村</w:t>
            </w:r>
          </w:p>
        </w:tc>
        <w:tc>
          <w:tcPr>
            <w:tcW w:w="599" w:type="pct"/>
            <w:shd w:val="clear" w:color="auto" w:fill="FFFFFF" w:themeFill="background1"/>
            <w:tcMar>
              <w:top w:w="15" w:type="dxa"/>
              <w:left w:w="57" w:type="dxa"/>
              <w:bottom w:w="0" w:type="dxa"/>
              <w:right w:w="57" w:type="dxa"/>
            </w:tcMar>
            <w:vAlign w:val="center"/>
          </w:tcPr>
          <w:p w14:paraId="032C047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w:t>
            </w:r>
          </w:p>
        </w:tc>
        <w:tc>
          <w:tcPr>
            <w:tcW w:w="1382" w:type="pct"/>
            <w:shd w:val="clear" w:color="auto" w:fill="FFFFFF" w:themeFill="background1"/>
            <w:tcMar>
              <w:top w:w="15" w:type="dxa"/>
              <w:left w:w="57" w:type="dxa"/>
              <w:bottom w:w="0" w:type="dxa"/>
              <w:right w:w="57" w:type="dxa"/>
            </w:tcMar>
            <w:vAlign w:val="bottom"/>
          </w:tcPr>
          <w:p w14:paraId="4AB4D5FF">
            <w:pPr>
              <w:spacing w:line="240" w:lineRule="auto"/>
              <w:ind w:firstLine="0" w:firstLineChars="0"/>
              <w:jc w:val="center"/>
              <w:rPr>
                <w:rFonts w:ascii="仿宋_GB2312" w:hAnsi="Arial" w:cs="仿宋_GB2312"/>
                <w:color w:val="000000"/>
                <w:sz w:val="21"/>
                <w:szCs w:val="21"/>
              </w:rPr>
            </w:pPr>
            <w:r>
              <w:rPr>
                <w:rFonts w:hint="eastAsia" w:cs="Times New Roman"/>
                <w:sz w:val="21"/>
                <w:szCs w:val="21"/>
                <w14:ligatures w14:val="none"/>
              </w:rPr>
              <w:t>三棵大树</w:t>
            </w:r>
          </w:p>
        </w:tc>
        <w:tc>
          <w:tcPr>
            <w:tcW w:w="530" w:type="pct"/>
            <w:shd w:val="clear" w:color="auto" w:fill="FFFFFF" w:themeFill="background1"/>
            <w:tcMar>
              <w:top w:w="15" w:type="dxa"/>
              <w:left w:w="57" w:type="dxa"/>
              <w:bottom w:w="0" w:type="dxa"/>
              <w:right w:w="57" w:type="dxa"/>
            </w:tcMar>
            <w:vAlign w:val="center"/>
          </w:tcPr>
          <w:p w14:paraId="1682866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w:t>
            </w:r>
          </w:p>
        </w:tc>
        <w:tc>
          <w:tcPr>
            <w:tcW w:w="993" w:type="pct"/>
            <w:shd w:val="clear" w:color="auto" w:fill="FFFFFF" w:themeFill="background1"/>
            <w:tcMar>
              <w:top w:w="15" w:type="dxa"/>
              <w:left w:w="57" w:type="dxa"/>
              <w:bottom w:w="0" w:type="dxa"/>
              <w:right w:w="57" w:type="dxa"/>
            </w:tcMar>
            <w:vAlign w:val="center"/>
          </w:tcPr>
          <w:p w14:paraId="286A39EA">
            <w:pPr>
              <w:spacing w:line="240" w:lineRule="auto"/>
              <w:ind w:firstLine="0" w:firstLineChars="0"/>
              <w:jc w:val="center"/>
              <w:rPr>
                <w:rFonts w:cs="Times New Roman"/>
                <w:sz w:val="21"/>
                <w:szCs w:val="21"/>
                <w14:ligatures w14:val="none"/>
              </w:rPr>
            </w:pPr>
          </w:p>
        </w:tc>
      </w:tr>
      <w:tr w14:paraId="7F2AE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39" w:type="pct"/>
            <w:vMerge w:val="continue"/>
            <w:shd w:val="clear" w:color="auto" w:fill="FFFFFF" w:themeFill="background1"/>
            <w:vAlign w:val="center"/>
          </w:tcPr>
          <w:p w14:paraId="458B27FD">
            <w:pPr>
              <w:spacing w:line="240" w:lineRule="auto"/>
              <w:ind w:firstLine="0" w:firstLineChars="0"/>
              <w:jc w:val="center"/>
              <w:rPr>
                <w:rFonts w:cs="Times New Roman"/>
                <w:sz w:val="21"/>
                <w:szCs w:val="21"/>
                <w14:ligatures w14:val="none"/>
              </w:rPr>
            </w:pPr>
          </w:p>
        </w:tc>
        <w:tc>
          <w:tcPr>
            <w:tcW w:w="754" w:type="pct"/>
            <w:shd w:val="clear" w:color="auto" w:fill="FFFFFF" w:themeFill="background1"/>
            <w:tcMar>
              <w:top w:w="15" w:type="dxa"/>
              <w:left w:w="108" w:type="dxa"/>
              <w:bottom w:w="0" w:type="dxa"/>
              <w:right w:w="108" w:type="dxa"/>
            </w:tcMar>
            <w:vAlign w:val="center"/>
          </w:tcPr>
          <w:p w14:paraId="0689EF8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东进村</w:t>
            </w:r>
          </w:p>
        </w:tc>
        <w:tc>
          <w:tcPr>
            <w:tcW w:w="599" w:type="pct"/>
            <w:shd w:val="clear" w:color="auto" w:fill="FFFFFF" w:themeFill="background1"/>
            <w:tcMar>
              <w:top w:w="15" w:type="dxa"/>
              <w:left w:w="57" w:type="dxa"/>
              <w:bottom w:w="0" w:type="dxa"/>
              <w:right w:w="57" w:type="dxa"/>
            </w:tcMar>
            <w:vAlign w:val="center"/>
          </w:tcPr>
          <w:p w14:paraId="74B5CC2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w:t>
            </w:r>
          </w:p>
        </w:tc>
        <w:tc>
          <w:tcPr>
            <w:tcW w:w="1382" w:type="pct"/>
            <w:shd w:val="clear" w:color="auto" w:fill="FFFFFF" w:themeFill="background1"/>
            <w:tcMar>
              <w:top w:w="15" w:type="dxa"/>
              <w:left w:w="57" w:type="dxa"/>
              <w:bottom w:w="0" w:type="dxa"/>
              <w:right w:w="57" w:type="dxa"/>
            </w:tcMar>
            <w:vAlign w:val="center"/>
          </w:tcPr>
          <w:p w14:paraId="7D64E48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桃园</w:t>
            </w:r>
          </w:p>
        </w:tc>
        <w:tc>
          <w:tcPr>
            <w:tcW w:w="530" w:type="pct"/>
            <w:shd w:val="clear" w:color="auto" w:fill="FFFFFF" w:themeFill="background1"/>
            <w:tcMar>
              <w:top w:w="15" w:type="dxa"/>
              <w:left w:w="57" w:type="dxa"/>
              <w:bottom w:w="0" w:type="dxa"/>
              <w:right w:w="57" w:type="dxa"/>
            </w:tcMar>
            <w:vAlign w:val="center"/>
          </w:tcPr>
          <w:p w14:paraId="22A0077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w:t>
            </w:r>
          </w:p>
        </w:tc>
        <w:tc>
          <w:tcPr>
            <w:tcW w:w="993" w:type="pct"/>
            <w:shd w:val="clear" w:color="auto" w:fill="FFFFFF" w:themeFill="background1"/>
            <w:tcMar>
              <w:top w:w="15" w:type="dxa"/>
              <w:left w:w="57" w:type="dxa"/>
              <w:bottom w:w="0" w:type="dxa"/>
              <w:right w:w="57" w:type="dxa"/>
            </w:tcMar>
            <w:vAlign w:val="center"/>
          </w:tcPr>
          <w:p w14:paraId="704AC315">
            <w:pPr>
              <w:spacing w:line="240" w:lineRule="auto"/>
              <w:ind w:firstLine="0" w:firstLineChars="0"/>
              <w:jc w:val="center"/>
              <w:rPr>
                <w:rFonts w:cs="Times New Roman"/>
                <w:sz w:val="21"/>
                <w:szCs w:val="21"/>
                <w14:ligatures w14:val="none"/>
              </w:rPr>
            </w:pPr>
          </w:p>
        </w:tc>
      </w:tr>
      <w:tr w14:paraId="02E9C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39" w:type="pct"/>
            <w:vMerge w:val="continue"/>
            <w:shd w:val="clear" w:color="auto" w:fill="FFFFFF" w:themeFill="background1"/>
            <w:vAlign w:val="center"/>
          </w:tcPr>
          <w:p w14:paraId="2B6994C9">
            <w:pPr>
              <w:spacing w:line="240" w:lineRule="auto"/>
              <w:ind w:firstLine="0" w:firstLineChars="0"/>
              <w:jc w:val="center"/>
              <w:rPr>
                <w:rFonts w:cs="Times New Roman"/>
                <w:sz w:val="21"/>
                <w:szCs w:val="21"/>
                <w14:ligatures w14:val="none"/>
              </w:rPr>
            </w:pPr>
          </w:p>
        </w:tc>
        <w:tc>
          <w:tcPr>
            <w:tcW w:w="754" w:type="pct"/>
            <w:shd w:val="clear" w:color="auto" w:fill="FFFFFF" w:themeFill="background1"/>
            <w:tcMar>
              <w:top w:w="15" w:type="dxa"/>
              <w:left w:w="108" w:type="dxa"/>
              <w:bottom w:w="0" w:type="dxa"/>
              <w:right w:w="108" w:type="dxa"/>
            </w:tcMar>
            <w:vAlign w:val="center"/>
          </w:tcPr>
          <w:p w14:paraId="0C7DABC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连山村</w:t>
            </w:r>
          </w:p>
        </w:tc>
        <w:tc>
          <w:tcPr>
            <w:tcW w:w="599" w:type="pct"/>
            <w:shd w:val="clear" w:color="auto" w:fill="FFFFFF" w:themeFill="background1"/>
            <w:tcMar>
              <w:top w:w="15" w:type="dxa"/>
              <w:left w:w="57" w:type="dxa"/>
              <w:bottom w:w="0" w:type="dxa"/>
              <w:right w:w="57" w:type="dxa"/>
            </w:tcMar>
            <w:vAlign w:val="center"/>
          </w:tcPr>
          <w:p w14:paraId="4C33B31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w:t>
            </w:r>
          </w:p>
        </w:tc>
        <w:tc>
          <w:tcPr>
            <w:tcW w:w="1382" w:type="pct"/>
            <w:shd w:val="clear" w:color="auto" w:fill="FFFFFF" w:themeFill="background1"/>
            <w:tcMar>
              <w:top w:w="15" w:type="dxa"/>
              <w:left w:w="57" w:type="dxa"/>
              <w:bottom w:w="0" w:type="dxa"/>
              <w:right w:w="57" w:type="dxa"/>
            </w:tcMar>
            <w:vAlign w:val="center"/>
          </w:tcPr>
          <w:p w14:paraId="7669F28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上竹棵</w:t>
            </w:r>
          </w:p>
        </w:tc>
        <w:tc>
          <w:tcPr>
            <w:tcW w:w="530" w:type="pct"/>
            <w:shd w:val="clear" w:color="auto" w:fill="FFFFFF" w:themeFill="background1"/>
            <w:tcMar>
              <w:top w:w="15" w:type="dxa"/>
              <w:left w:w="57" w:type="dxa"/>
              <w:bottom w:w="0" w:type="dxa"/>
              <w:right w:w="57" w:type="dxa"/>
            </w:tcMar>
            <w:vAlign w:val="center"/>
          </w:tcPr>
          <w:p w14:paraId="598A5DA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w:t>
            </w:r>
          </w:p>
        </w:tc>
        <w:tc>
          <w:tcPr>
            <w:tcW w:w="993" w:type="pct"/>
            <w:shd w:val="clear" w:color="auto" w:fill="FFFFFF" w:themeFill="background1"/>
            <w:tcMar>
              <w:top w:w="15" w:type="dxa"/>
              <w:left w:w="57" w:type="dxa"/>
              <w:bottom w:w="0" w:type="dxa"/>
              <w:right w:w="57" w:type="dxa"/>
            </w:tcMar>
            <w:vAlign w:val="center"/>
          </w:tcPr>
          <w:p w14:paraId="2C38322D">
            <w:pPr>
              <w:spacing w:line="240" w:lineRule="auto"/>
              <w:ind w:firstLine="0" w:firstLineChars="0"/>
              <w:jc w:val="center"/>
              <w:rPr>
                <w:rFonts w:cs="Times New Roman"/>
                <w:sz w:val="21"/>
                <w:szCs w:val="21"/>
                <w14:ligatures w14:val="none"/>
              </w:rPr>
            </w:pPr>
          </w:p>
        </w:tc>
      </w:tr>
      <w:tr w14:paraId="5DEAA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39" w:type="pct"/>
            <w:vMerge w:val="continue"/>
            <w:shd w:val="clear" w:color="auto" w:fill="FFFFFF" w:themeFill="background1"/>
            <w:vAlign w:val="center"/>
          </w:tcPr>
          <w:p w14:paraId="5D5E1683">
            <w:pPr>
              <w:spacing w:line="240" w:lineRule="auto"/>
              <w:ind w:firstLine="0" w:firstLineChars="0"/>
              <w:jc w:val="center"/>
              <w:rPr>
                <w:rFonts w:cs="Times New Roman"/>
                <w:sz w:val="21"/>
                <w:szCs w:val="21"/>
                <w14:ligatures w14:val="none"/>
              </w:rPr>
            </w:pPr>
          </w:p>
        </w:tc>
        <w:tc>
          <w:tcPr>
            <w:tcW w:w="754" w:type="pct"/>
            <w:shd w:val="clear" w:color="auto" w:fill="FFFFFF" w:themeFill="background1"/>
            <w:tcMar>
              <w:top w:w="15" w:type="dxa"/>
              <w:left w:w="108" w:type="dxa"/>
              <w:bottom w:w="0" w:type="dxa"/>
              <w:right w:w="108" w:type="dxa"/>
            </w:tcMar>
            <w:vAlign w:val="center"/>
          </w:tcPr>
          <w:p w14:paraId="7D928CF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茅庵村</w:t>
            </w:r>
          </w:p>
        </w:tc>
        <w:tc>
          <w:tcPr>
            <w:tcW w:w="599" w:type="pct"/>
            <w:shd w:val="clear" w:color="auto" w:fill="FFFFFF" w:themeFill="background1"/>
            <w:tcMar>
              <w:top w:w="15" w:type="dxa"/>
              <w:left w:w="57" w:type="dxa"/>
              <w:bottom w:w="0" w:type="dxa"/>
              <w:right w:w="57" w:type="dxa"/>
            </w:tcMar>
            <w:vAlign w:val="center"/>
          </w:tcPr>
          <w:p w14:paraId="7A3797E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w:t>
            </w:r>
          </w:p>
        </w:tc>
        <w:tc>
          <w:tcPr>
            <w:tcW w:w="1382" w:type="pct"/>
            <w:shd w:val="clear" w:color="auto" w:fill="FFFFFF" w:themeFill="background1"/>
            <w:tcMar>
              <w:top w:w="15" w:type="dxa"/>
              <w:left w:w="57" w:type="dxa"/>
              <w:bottom w:w="0" w:type="dxa"/>
              <w:right w:w="57" w:type="dxa"/>
            </w:tcMar>
            <w:vAlign w:val="center"/>
          </w:tcPr>
          <w:p w14:paraId="41CA882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高庄</w:t>
            </w:r>
          </w:p>
        </w:tc>
        <w:tc>
          <w:tcPr>
            <w:tcW w:w="530" w:type="pct"/>
            <w:shd w:val="clear" w:color="auto" w:fill="FFFFFF" w:themeFill="background1"/>
            <w:tcMar>
              <w:top w:w="15" w:type="dxa"/>
              <w:left w:w="57" w:type="dxa"/>
              <w:bottom w:w="0" w:type="dxa"/>
              <w:right w:w="57" w:type="dxa"/>
            </w:tcMar>
            <w:vAlign w:val="center"/>
          </w:tcPr>
          <w:p w14:paraId="11D60BE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w:t>
            </w:r>
          </w:p>
        </w:tc>
        <w:tc>
          <w:tcPr>
            <w:tcW w:w="993" w:type="pct"/>
            <w:shd w:val="clear" w:color="auto" w:fill="FFFFFF" w:themeFill="background1"/>
            <w:tcMar>
              <w:top w:w="15" w:type="dxa"/>
              <w:left w:w="57" w:type="dxa"/>
              <w:bottom w:w="0" w:type="dxa"/>
              <w:right w:w="57" w:type="dxa"/>
            </w:tcMar>
            <w:vAlign w:val="center"/>
          </w:tcPr>
          <w:p w14:paraId="5B9428B6">
            <w:pPr>
              <w:spacing w:line="240" w:lineRule="auto"/>
              <w:ind w:firstLine="0" w:firstLineChars="0"/>
              <w:jc w:val="center"/>
              <w:rPr>
                <w:rFonts w:cs="Times New Roman"/>
                <w:sz w:val="21"/>
                <w:szCs w:val="21"/>
                <w14:ligatures w14:val="none"/>
              </w:rPr>
            </w:pPr>
          </w:p>
        </w:tc>
      </w:tr>
      <w:tr w14:paraId="3F460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39" w:type="pct"/>
            <w:vMerge w:val="continue"/>
            <w:shd w:val="clear" w:color="auto" w:fill="FFFFFF" w:themeFill="background1"/>
            <w:vAlign w:val="center"/>
          </w:tcPr>
          <w:p w14:paraId="0F486786">
            <w:pPr>
              <w:spacing w:line="240" w:lineRule="auto"/>
              <w:ind w:firstLine="0" w:firstLineChars="0"/>
              <w:jc w:val="center"/>
              <w:rPr>
                <w:rFonts w:cs="Times New Roman"/>
                <w:sz w:val="21"/>
                <w:szCs w:val="21"/>
                <w14:ligatures w14:val="none"/>
              </w:rPr>
            </w:pPr>
          </w:p>
        </w:tc>
        <w:tc>
          <w:tcPr>
            <w:tcW w:w="754" w:type="pct"/>
            <w:shd w:val="clear" w:color="auto" w:fill="FFFFFF" w:themeFill="background1"/>
            <w:tcMar>
              <w:top w:w="15" w:type="dxa"/>
              <w:left w:w="108" w:type="dxa"/>
              <w:bottom w:w="0" w:type="dxa"/>
              <w:right w:w="108" w:type="dxa"/>
            </w:tcMar>
            <w:vAlign w:val="center"/>
          </w:tcPr>
          <w:p w14:paraId="67B82EF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上阮村</w:t>
            </w:r>
          </w:p>
        </w:tc>
        <w:tc>
          <w:tcPr>
            <w:tcW w:w="599" w:type="pct"/>
            <w:shd w:val="clear" w:color="auto" w:fill="FFFFFF" w:themeFill="background1"/>
            <w:tcMar>
              <w:top w:w="15" w:type="dxa"/>
              <w:left w:w="57" w:type="dxa"/>
              <w:bottom w:w="0" w:type="dxa"/>
              <w:right w:w="57" w:type="dxa"/>
            </w:tcMar>
            <w:vAlign w:val="center"/>
          </w:tcPr>
          <w:p w14:paraId="1FEE5E7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8</w:t>
            </w:r>
          </w:p>
        </w:tc>
        <w:tc>
          <w:tcPr>
            <w:tcW w:w="1382" w:type="pct"/>
            <w:shd w:val="clear" w:color="auto" w:fill="FFFFFF" w:themeFill="background1"/>
            <w:tcMar>
              <w:top w:w="15" w:type="dxa"/>
              <w:left w:w="57" w:type="dxa"/>
              <w:bottom w:w="0" w:type="dxa"/>
              <w:right w:w="57" w:type="dxa"/>
            </w:tcMar>
            <w:vAlign w:val="center"/>
          </w:tcPr>
          <w:p w14:paraId="16AA1568">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下阮、上阮、许庄、杨庄、李家山、扁墩头、青龙洞、赤岗</w:t>
            </w:r>
          </w:p>
        </w:tc>
        <w:tc>
          <w:tcPr>
            <w:tcW w:w="530" w:type="pct"/>
            <w:shd w:val="clear" w:color="auto" w:fill="FFFFFF" w:themeFill="background1"/>
            <w:tcMar>
              <w:top w:w="15" w:type="dxa"/>
              <w:left w:w="57" w:type="dxa"/>
              <w:bottom w:w="0" w:type="dxa"/>
              <w:right w:w="57" w:type="dxa"/>
            </w:tcMar>
            <w:vAlign w:val="center"/>
          </w:tcPr>
          <w:p w14:paraId="1603F008">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w:t>
            </w:r>
          </w:p>
        </w:tc>
        <w:tc>
          <w:tcPr>
            <w:tcW w:w="993" w:type="pct"/>
            <w:shd w:val="clear" w:color="auto" w:fill="FFFFFF" w:themeFill="background1"/>
            <w:tcMar>
              <w:top w:w="15" w:type="dxa"/>
              <w:left w:w="57" w:type="dxa"/>
              <w:bottom w:w="0" w:type="dxa"/>
              <w:right w:w="57" w:type="dxa"/>
            </w:tcMar>
            <w:vAlign w:val="center"/>
          </w:tcPr>
          <w:p w14:paraId="301C0DB1">
            <w:pPr>
              <w:spacing w:line="240" w:lineRule="auto"/>
              <w:ind w:firstLine="0" w:firstLineChars="0"/>
              <w:jc w:val="center"/>
              <w:rPr>
                <w:rFonts w:cs="Times New Roman"/>
                <w:sz w:val="21"/>
                <w:szCs w:val="21"/>
                <w14:ligatures w14:val="none"/>
              </w:rPr>
            </w:pPr>
          </w:p>
        </w:tc>
      </w:tr>
      <w:tr w14:paraId="7E916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39" w:type="pct"/>
            <w:vMerge w:val="continue"/>
            <w:shd w:val="clear" w:color="auto" w:fill="FFFFFF" w:themeFill="background1"/>
            <w:vAlign w:val="center"/>
          </w:tcPr>
          <w:p w14:paraId="7D9E7E80">
            <w:pPr>
              <w:spacing w:line="240" w:lineRule="auto"/>
              <w:ind w:firstLine="0" w:firstLineChars="0"/>
              <w:jc w:val="center"/>
              <w:rPr>
                <w:rFonts w:cs="Times New Roman"/>
                <w:sz w:val="21"/>
                <w:szCs w:val="21"/>
                <w14:ligatures w14:val="none"/>
              </w:rPr>
            </w:pPr>
          </w:p>
        </w:tc>
        <w:tc>
          <w:tcPr>
            <w:tcW w:w="754" w:type="pct"/>
            <w:shd w:val="clear" w:color="auto" w:fill="FFFFFF" w:themeFill="background1"/>
            <w:tcMar>
              <w:top w:w="15" w:type="dxa"/>
              <w:left w:w="108" w:type="dxa"/>
              <w:bottom w:w="0" w:type="dxa"/>
              <w:right w:w="108" w:type="dxa"/>
            </w:tcMar>
            <w:vAlign w:val="center"/>
          </w:tcPr>
          <w:p w14:paraId="4467E3F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山蓬村</w:t>
            </w:r>
          </w:p>
        </w:tc>
        <w:tc>
          <w:tcPr>
            <w:tcW w:w="599" w:type="pct"/>
            <w:shd w:val="clear" w:color="auto" w:fill="FFFFFF" w:themeFill="background1"/>
            <w:tcMar>
              <w:top w:w="15" w:type="dxa"/>
              <w:left w:w="57" w:type="dxa"/>
              <w:bottom w:w="0" w:type="dxa"/>
              <w:right w:w="57" w:type="dxa"/>
            </w:tcMar>
            <w:vAlign w:val="center"/>
          </w:tcPr>
          <w:p w14:paraId="60A26BE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3</w:t>
            </w:r>
          </w:p>
        </w:tc>
        <w:tc>
          <w:tcPr>
            <w:tcW w:w="1382" w:type="pct"/>
            <w:shd w:val="clear" w:color="auto" w:fill="FFFFFF" w:themeFill="background1"/>
            <w:tcMar>
              <w:top w:w="15" w:type="dxa"/>
              <w:left w:w="57" w:type="dxa"/>
              <w:bottom w:w="0" w:type="dxa"/>
              <w:right w:w="57" w:type="dxa"/>
            </w:tcMar>
            <w:vAlign w:val="center"/>
          </w:tcPr>
          <w:p w14:paraId="5212549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山蓬、沈庄、下庄</w:t>
            </w:r>
          </w:p>
        </w:tc>
        <w:tc>
          <w:tcPr>
            <w:tcW w:w="530" w:type="pct"/>
            <w:shd w:val="clear" w:color="auto" w:fill="FFFFFF" w:themeFill="background1"/>
            <w:tcMar>
              <w:top w:w="15" w:type="dxa"/>
              <w:left w:w="57" w:type="dxa"/>
              <w:bottom w:w="0" w:type="dxa"/>
              <w:right w:w="57" w:type="dxa"/>
            </w:tcMar>
            <w:vAlign w:val="center"/>
          </w:tcPr>
          <w:p w14:paraId="2443C5E7">
            <w:pPr>
              <w:spacing w:line="240" w:lineRule="auto"/>
              <w:ind w:firstLine="0" w:firstLineChars="0"/>
              <w:jc w:val="center"/>
              <w:rPr>
                <w:rFonts w:cs="Times New Roman"/>
                <w:sz w:val="21"/>
                <w:szCs w:val="21"/>
                <w14:ligatures w14:val="none"/>
              </w:rPr>
            </w:pPr>
          </w:p>
        </w:tc>
        <w:tc>
          <w:tcPr>
            <w:tcW w:w="993" w:type="pct"/>
            <w:shd w:val="clear" w:color="auto" w:fill="FFFFFF" w:themeFill="background1"/>
            <w:tcMar>
              <w:top w:w="15" w:type="dxa"/>
              <w:left w:w="57" w:type="dxa"/>
              <w:bottom w:w="0" w:type="dxa"/>
              <w:right w:w="57" w:type="dxa"/>
            </w:tcMar>
            <w:vAlign w:val="center"/>
          </w:tcPr>
          <w:p w14:paraId="570BE65D">
            <w:pPr>
              <w:spacing w:line="240" w:lineRule="auto"/>
              <w:ind w:firstLine="0" w:firstLineChars="0"/>
              <w:jc w:val="center"/>
              <w:rPr>
                <w:rFonts w:cs="Times New Roman"/>
                <w:sz w:val="21"/>
                <w:szCs w:val="21"/>
                <w14:ligatures w14:val="none"/>
              </w:rPr>
            </w:pPr>
          </w:p>
        </w:tc>
      </w:tr>
      <w:tr w14:paraId="3FAE7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39" w:type="pct"/>
            <w:vMerge w:val="continue"/>
            <w:shd w:val="clear" w:color="auto" w:fill="FFFFFF" w:themeFill="background1"/>
            <w:vAlign w:val="center"/>
          </w:tcPr>
          <w:p w14:paraId="2B3CCB62">
            <w:pPr>
              <w:spacing w:line="240" w:lineRule="auto"/>
              <w:ind w:firstLine="0" w:firstLineChars="0"/>
              <w:jc w:val="center"/>
              <w:rPr>
                <w:rFonts w:cs="Times New Roman"/>
                <w:sz w:val="21"/>
                <w:szCs w:val="21"/>
                <w14:ligatures w14:val="none"/>
              </w:rPr>
            </w:pPr>
          </w:p>
        </w:tc>
        <w:tc>
          <w:tcPr>
            <w:tcW w:w="754" w:type="pct"/>
            <w:shd w:val="clear" w:color="auto" w:fill="FFFFFF" w:themeFill="background1"/>
            <w:tcMar>
              <w:top w:w="15" w:type="dxa"/>
              <w:left w:w="108" w:type="dxa"/>
              <w:bottom w:w="0" w:type="dxa"/>
              <w:right w:w="108" w:type="dxa"/>
            </w:tcMar>
            <w:vAlign w:val="center"/>
          </w:tcPr>
          <w:p w14:paraId="56532A78">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茅东林场</w:t>
            </w:r>
          </w:p>
        </w:tc>
        <w:tc>
          <w:tcPr>
            <w:tcW w:w="599" w:type="pct"/>
            <w:shd w:val="clear" w:color="auto" w:fill="FFFFFF" w:themeFill="background1"/>
            <w:tcMar>
              <w:top w:w="15" w:type="dxa"/>
              <w:left w:w="57" w:type="dxa"/>
              <w:bottom w:w="0" w:type="dxa"/>
              <w:right w:w="57" w:type="dxa"/>
            </w:tcMar>
            <w:vAlign w:val="center"/>
          </w:tcPr>
          <w:p w14:paraId="4F911C7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w:t>
            </w:r>
          </w:p>
        </w:tc>
        <w:tc>
          <w:tcPr>
            <w:tcW w:w="1382" w:type="pct"/>
            <w:shd w:val="clear" w:color="auto" w:fill="FFFFFF" w:themeFill="background1"/>
            <w:tcMar>
              <w:top w:w="15" w:type="dxa"/>
              <w:left w:w="57" w:type="dxa"/>
              <w:bottom w:w="0" w:type="dxa"/>
              <w:right w:w="57" w:type="dxa"/>
            </w:tcMar>
            <w:vAlign w:val="center"/>
          </w:tcPr>
          <w:p w14:paraId="0CFD665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530" w:type="pct"/>
            <w:shd w:val="clear" w:color="auto" w:fill="FFFFFF" w:themeFill="background1"/>
            <w:tcMar>
              <w:top w:w="15" w:type="dxa"/>
              <w:left w:w="57" w:type="dxa"/>
              <w:bottom w:w="0" w:type="dxa"/>
              <w:right w:w="57" w:type="dxa"/>
            </w:tcMar>
            <w:vAlign w:val="center"/>
          </w:tcPr>
          <w:p w14:paraId="704B9CB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w:t>
            </w:r>
          </w:p>
        </w:tc>
        <w:tc>
          <w:tcPr>
            <w:tcW w:w="993" w:type="pct"/>
            <w:shd w:val="clear" w:color="auto" w:fill="FFFFFF" w:themeFill="background1"/>
            <w:tcMar>
              <w:top w:w="15" w:type="dxa"/>
              <w:left w:w="57" w:type="dxa"/>
              <w:bottom w:w="0" w:type="dxa"/>
              <w:right w:w="57" w:type="dxa"/>
            </w:tcMar>
            <w:vAlign w:val="center"/>
          </w:tcPr>
          <w:p w14:paraId="1FC7665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金牛山庄</w:t>
            </w:r>
          </w:p>
        </w:tc>
      </w:tr>
      <w:tr w14:paraId="38D14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494" w:type="pct"/>
            <w:gridSpan w:val="2"/>
            <w:shd w:val="clear" w:color="auto" w:fill="FFFFFF" w:themeFill="background1"/>
            <w:tcMar>
              <w:top w:w="15" w:type="dxa"/>
              <w:left w:w="108" w:type="dxa"/>
              <w:bottom w:w="0" w:type="dxa"/>
              <w:right w:w="108" w:type="dxa"/>
            </w:tcMar>
            <w:vAlign w:val="center"/>
          </w:tcPr>
          <w:p w14:paraId="231C8D5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合计</w:t>
            </w:r>
          </w:p>
        </w:tc>
        <w:tc>
          <w:tcPr>
            <w:tcW w:w="599" w:type="pct"/>
            <w:shd w:val="clear" w:color="auto" w:fill="FFFFFF" w:themeFill="background1"/>
            <w:tcMar>
              <w:top w:w="15" w:type="dxa"/>
              <w:left w:w="57" w:type="dxa"/>
              <w:bottom w:w="0" w:type="dxa"/>
              <w:right w:w="57" w:type="dxa"/>
            </w:tcMar>
            <w:vAlign w:val="center"/>
          </w:tcPr>
          <w:p w14:paraId="1968365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21</w:t>
            </w:r>
          </w:p>
        </w:tc>
        <w:tc>
          <w:tcPr>
            <w:tcW w:w="1382" w:type="pct"/>
            <w:shd w:val="clear" w:color="auto" w:fill="FFFFFF" w:themeFill="background1"/>
            <w:tcMar>
              <w:top w:w="15" w:type="dxa"/>
              <w:left w:w="57" w:type="dxa"/>
              <w:bottom w:w="0" w:type="dxa"/>
              <w:right w:w="57" w:type="dxa"/>
            </w:tcMar>
            <w:vAlign w:val="center"/>
          </w:tcPr>
          <w:p w14:paraId="4DF8EC9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530" w:type="pct"/>
            <w:shd w:val="clear" w:color="auto" w:fill="FFFFFF" w:themeFill="background1"/>
            <w:tcMar>
              <w:top w:w="15" w:type="dxa"/>
              <w:left w:w="57" w:type="dxa"/>
              <w:bottom w:w="0" w:type="dxa"/>
              <w:right w:w="57" w:type="dxa"/>
            </w:tcMar>
            <w:vAlign w:val="center"/>
          </w:tcPr>
          <w:p w14:paraId="6198250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3</w:t>
            </w:r>
          </w:p>
        </w:tc>
        <w:tc>
          <w:tcPr>
            <w:tcW w:w="993" w:type="pct"/>
            <w:shd w:val="clear" w:color="auto" w:fill="FFFFFF" w:themeFill="background1"/>
            <w:tcMar>
              <w:top w:w="15" w:type="dxa"/>
              <w:left w:w="57" w:type="dxa"/>
              <w:bottom w:w="0" w:type="dxa"/>
              <w:right w:w="57" w:type="dxa"/>
            </w:tcMar>
            <w:vAlign w:val="center"/>
          </w:tcPr>
          <w:p w14:paraId="24D274A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bookmarkEnd w:id="42"/>
    </w:tbl>
    <w:p w14:paraId="50F43893">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w:t>
      </w:r>
      <w:r>
        <w:rPr>
          <w:rFonts w:hint="eastAsia" w:eastAsia="方正楷体_GBK" w:cs="Times New Roman"/>
          <w:b/>
          <w:bCs/>
          <w:szCs w:val="28"/>
          <w14:ligatures w14:val="none"/>
        </w:rPr>
        <w:t>6土地利用规划</w:t>
      </w:r>
    </w:p>
    <w:p w14:paraId="442B3472">
      <w:pPr>
        <w:ind w:firstLine="480"/>
      </w:pPr>
      <w:bookmarkStart w:id="43" w:name="_Hlk172190443"/>
      <w:r>
        <w:rPr>
          <w:rFonts w:hint="eastAsia"/>
        </w:rPr>
        <w:t>（1）近期土地利用规划</w:t>
      </w:r>
    </w:p>
    <w:p w14:paraId="4887D979">
      <w:pPr>
        <w:ind w:firstLine="480"/>
      </w:pPr>
      <w:r>
        <w:rPr>
          <w:rFonts w:hint="eastAsia"/>
        </w:rPr>
        <w:t>规划近期（~2030年），本轮规划范围面积</w:t>
      </w:r>
      <w:r>
        <w:t>为</w:t>
      </w:r>
      <w:r>
        <w:rPr>
          <w:rFonts w:hint="eastAsia"/>
        </w:rPr>
        <w:t>109.4平方公里</w:t>
      </w:r>
      <w:r>
        <w:t>，</w:t>
      </w:r>
      <w:r>
        <w:rPr>
          <w:rFonts w:hint="eastAsia"/>
        </w:rPr>
        <w:t>区域内建设用地9.787平方公里，开发强度8.94%。其中居住用地3.338平方公里，占区域总面积的3.05%，主要为农村住宅用地；公共管理与公共服务设施用地0.469平方公里，占总面积的0.43%；商业服务设施用地1.582平方公里，占总面积的1.45%。区域非建设用地99.613平方公里，其中水域面积11.75平方公里，占总面积的</w:t>
      </w:r>
      <w:r>
        <w:rPr>
          <w:rFonts w:hint="eastAsia" w:eastAsia="宋体"/>
        </w:rPr>
        <w:t>10.74</w:t>
      </w:r>
      <w:r>
        <w:rPr>
          <w:rFonts w:hint="eastAsia"/>
        </w:rPr>
        <w:t>%；农林用地87.863平方公里，占总面积的</w:t>
      </w:r>
      <w:r>
        <w:rPr>
          <w:rFonts w:hint="eastAsia" w:eastAsia="宋体"/>
        </w:rPr>
        <w:t>80.31</w:t>
      </w:r>
      <w:r>
        <w:rPr>
          <w:rFonts w:hint="eastAsia"/>
        </w:rPr>
        <w:t>%。</w:t>
      </w:r>
    </w:p>
    <w:p w14:paraId="1EAECB8E">
      <w:pPr>
        <w:pStyle w:val="45"/>
        <w:rPr>
          <w:rFonts w:cs="Times New Roman"/>
        </w:rPr>
      </w:pPr>
      <w:r>
        <w:rPr>
          <w:rFonts w:hint="eastAsia" w:cs="Times New Roman"/>
        </w:rPr>
        <w:t>表</w:t>
      </w:r>
      <w:r>
        <w:rPr>
          <w:rFonts w:cs="Times New Roman"/>
        </w:rPr>
        <w:t>2.1</w:t>
      </w:r>
      <w:r>
        <w:rPr>
          <w:rFonts w:hint="eastAsia" w:cs="Times New Roman"/>
        </w:rPr>
        <w:t>-4</w:t>
      </w:r>
      <w:r>
        <w:rPr>
          <w:rFonts w:cs="Times New Roman"/>
        </w:rPr>
        <w:t xml:space="preserve"> 金坛茅山旅游</w:t>
      </w:r>
      <w:r>
        <w:rPr>
          <w:rFonts w:hint="eastAsia" w:cs="Times New Roman"/>
        </w:rPr>
        <w:t>度假区规划用地平衡</w:t>
      </w:r>
      <w:r>
        <w:rPr>
          <w:rFonts w:cs="Times New Roman"/>
        </w:rPr>
        <w:t>表</w:t>
      </w:r>
      <w:r>
        <w:rPr>
          <w:rFonts w:hint="eastAsia" w:cs="Times New Roman"/>
        </w:rPr>
        <w:t>（近期）</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2"/>
        <w:gridCol w:w="748"/>
        <w:gridCol w:w="740"/>
        <w:gridCol w:w="2451"/>
        <w:gridCol w:w="2327"/>
        <w:gridCol w:w="1481"/>
      </w:tblGrid>
      <w:tr w14:paraId="113AC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892" w:type="pct"/>
            <w:gridSpan w:val="2"/>
            <w:noWrap/>
            <w:vAlign w:val="center"/>
          </w:tcPr>
          <w:p w14:paraId="32C3BCD6">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用地代码</w:t>
            </w:r>
          </w:p>
        </w:tc>
        <w:tc>
          <w:tcPr>
            <w:tcW w:w="1872" w:type="pct"/>
            <w:gridSpan w:val="2"/>
            <w:noWrap/>
            <w:vAlign w:val="center"/>
          </w:tcPr>
          <w:p w14:paraId="1A3024B4">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用地性质</w:t>
            </w:r>
          </w:p>
        </w:tc>
        <w:tc>
          <w:tcPr>
            <w:tcW w:w="1365" w:type="pct"/>
            <w:noWrap/>
            <w:vAlign w:val="center"/>
          </w:tcPr>
          <w:p w14:paraId="43FCC164">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用地面积（平方千米）</w:t>
            </w:r>
          </w:p>
        </w:tc>
        <w:tc>
          <w:tcPr>
            <w:tcW w:w="869" w:type="pct"/>
            <w:noWrap/>
            <w:vAlign w:val="center"/>
          </w:tcPr>
          <w:p w14:paraId="5293F56A">
            <w:pPr>
              <w:widowControl/>
              <w:spacing w:line="240" w:lineRule="auto"/>
              <w:ind w:firstLine="0" w:firstLineChars="0"/>
              <w:jc w:val="center"/>
              <w:textAlignment w:val="center"/>
              <w:rPr>
                <w:rFonts w:cs="Times New Roman"/>
                <w:b/>
                <w:bCs/>
                <w:color w:val="000000"/>
                <w:kern w:val="0"/>
                <w:sz w:val="21"/>
                <w:szCs w:val="21"/>
                <w:lang w:bidi="ar"/>
              </w:rPr>
            </w:pPr>
            <w:r>
              <w:rPr>
                <w:rFonts w:cs="Times New Roman"/>
                <w:b/>
                <w:bCs/>
                <w:color w:val="000000"/>
                <w:kern w:val="0"/>
                <w:sz w:val="21"/>
                <w:szCs w:val="21"/>
                <w:lang w:bidi="ar"/>
              </w:rPr>
              <w:t>百分比（%）</w:t>
            </w:r>
          </w:p>
        </w:tc>
      </w:tr>
      <w:tr w14:paraId="779E3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16DAA15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R</w:t>
            </w:r>
          </w:p>
        </w:tc>
        <w:tc>
          <w:tcPr>
            <w:tcW w:w="1872" w:type="pct"/>
            <w:gridSpan w:val="2"/>
            <w:noWrap/>
            <w:vAlign w:val="center"/>
          </w:tcPr>
          <w:p w14:paraId="5C6CF98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居住用地</w:t>
            </w:r>
          </w:p>
        </w:tc>
        <w:tc>
          <w:tcPr>
            <w:tcW w:w="1365" w:type="pct"/>
            <w:noWrap/>
            <w:vAlign w:val="center"/>
          </w:tcPr>
          <w:p w14:paraId="5BAD5EDF">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3.338</w:t>
            </w:r>
          </w:p>
        </w:tc>
        <w:tc>
          <w:tcPr>
            <w:tcW w:w="1481" w:type="dxa"/>
            <w:noWrap/>
            <w:vAlign w:val="center"/>
          </w:tcPr>
          <w:p w14:paraId="251D7F02">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3.05</w:t>
            </w:r>
          </w:p>
        </w:tc>
      </w:tr>
      <w:tr w14:paraId="492C2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vMerge w:val="restart"/>
            <w:vAlign w:val="center"/>
          </w:tcPr>
          <w:p w14:paraId="0C73A8A1">
            <w:pPr>
              <w:widowControl/>
              <w:spacing w:line="240" w:lineRule="auto"/>
              <w:ind w:firstLine="0" w:firstLineChars="0"/>
              <w:jc w:val="center"/>
              <w:textAlignment w:val="center"/>
              <w:rPr>
                <w:rFonts w:eastAsia="宋体" w:cs="Times New Roman"/>
                <w:color w:val="000000"/>
                <w:sz w:val="21"/>
                <w:szCs w:val="21"/>
              </w:rPr>
            </w:pPr>
            <w:r>
              <w:rPr>
                <w:rFonts w:cs="Times New Roman"/>
                <w:color w:val="000000"/>
                <w:kern w:val="0"/>
                <w:sz w:val="21"/>
                <w:szCs w:val="21"/>
                <w:lang w:bidi="ar"/>
              </w:rPr>
              <w:t>其中</w:t>
            </w:r>
          </w:p>
        </w:tc>
        <w:tc>
          <w:tcPr>
            <w:tcW w:w="1872" w:type="pct"/>
            <w:gridSpan w:val="2"/>
            <w:noWrap/>
            <w:vAlign w:val="center"/>
          </w:tcPr>
          <w:p w14:paraId="4C18E88D">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城镇住宅用地</w:t>
            </w:r>
          </w:p>
        </w:tc>
        <w:tc>
          <w:tcPr>
            <w:tcW w:w="1365" w:type="pct"/>
            <w:noWrap/>
            <w:vAlign w:val="center"/>
          </w:tcPr>
          <w:p w14:paraId="729E4EAC">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0.26</w:t>
            </w:r>
          </w:p>
        </w:tc>
        <w:tc>
          <w:tcPr>
            <w:tcW w:w="1481" w:type="dxa"/>
            <w:noWrap/>
            <w:vAlign w:val="center"/>
          </w:tcPr>
          <w:p w14:paraId="3E3D1A70">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0.24</w:t>
            </w:r>
          </w:p>
        </w:tc>
      </w:tr>
      <w:tr w14:paraId="6A819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vMerge w:val="continue"/>
            <w:vAlign w:val="center"/>
          </w:tcPr>
          <w:p w14:paraId="3D107A36">
            <w:pPr>
              <w:widowControl/>
              <w:spacing w:line="240" w:lineRule="auto"/>
              <w:ind w:firstLine="0" w:firstLineChars="0"/>
              <w:jc w:val="center"/>
              <w:textAlignment w:val="center"/>
              <w:rPr>
                <w:rFonts w:eastAsia="宋体" w:cs="Times New Roman"/>
                <w:color w:val="000000"/>
                <w:kern w:val="0"/>
                <w:sz w:val="21"/>
                <w:szCs w:val="21"/>
                <w:lang w:bidi="ar"/>
              </w:rPr>
            </w:pPr>
          </w:p>
        </w:tc>
        <w:tc>
          <w:tcPr>
            <w:tcW w:w="1872" w:type="pct"/>
            <w:gridSpan w:val="2"/>
            <w:noWrap/>
            <w:vAlign w:val="center"/>
          </w:tcPr>
          <w:p w14:paraId="3C2D4ED9">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农村住宅用地</w:t>
            </w:r>
          </w:p>
        </w:tc>
        <w:tc>
          <w:tcPr>
            <w:tcW w:w="1365" w:type="pct"/>
            <w:noWrap/>
            <w:vAlign w:val="center"/>
          </w:tcPr>
          <w:p w14:paraId="31369D85">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3.078</w:t>
            </w:r>
          </w:p>
        </w:tc>
        <w:tc>
          <w:tcPr>
            <w:tcW w:w="1481" w:type="dxa"/>
            <w:noWrap/>
            <w:vAlign w:val="center"/>
          </w:tcPr>
          <w:p w14:paraId="1745C41F">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2.81</w:t>
            </w:r>
          </w:p>
        </w:tc>
      </w:tr>
      <w:tr w14:paraId="0D425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vAlign w:val="center"/>
          </w:tcPr>
          <w:p w14:paraId="080C544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RB</w:t>
            </w:r>
          </w:p>
        </w:tc>
        <w:tc>
          <w:tcPr>
            <w:tcW w:w="1872" w:type="pct"/>
            <w:gridSpan w:val="2"/>
            <w:noWrap/>
            <w:vAlign w:val="center"/>
          </w:tcPr>
          <w:p w14:paraId="5C0B0E1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商住混合用地</w:t>
            </w:r>
          </w:p>
        </w:tc>
        <w:tc>
          <w:tcPr>
            <w:tcW w:w="1365" w:type="pct"/>
            <w:noWrap/>
            <w:vAlign w:val="center"/>
          </w:tcPr>
          <w:p w14:paraId="2F28C626">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0.11</w:t>
            </w:r>
          </w:p>
        </w:tc>
        <w:tc>
          <w:tcPr>
            <w:tcW w:w="1481" w:type="dxa"/>
            <w:noWrap/>
            <w:vAlign w:val="center"/>
          </w:tcPr>
          <w:p w14:paraId="4A467D51">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0.10</w:t>
            </w:r>
          </w:p>
        </w:tc>
      </w:tr>
      <w:tr w14:paraId="6D3CC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458E251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w:t>
            </w:r>
          </w:p>
        </w:tc>
        <w:tc>
          <w:tcPr>
            <w:tcW w:w="1872" w:type="pct"/>
            <w:gridSpan w:val="2"/>
            <w:noWrap/>
            <w:vAlign w:val="center"/>
          </w:tcPr>
          <w:p w14:paraId="7930DDC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公共管理与公共服务设施用地</w:t>
            </w:r>
          </w:p>
        </w:tc>
        <w:tc>
          <w:tcPr>
            <w:tcW w:w="1365" w:type="pct"/>
            <w:noWrap/>
            <w:vAlign w:val="center"/>
          </w:tcPr>
          <w:p w14:paraId="62B83A7C">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0.469</w:t>
            </w:r>
          </w:p>
        </w:tc>
        <w:tc>
          <w:tcPr>
            <w:tcW w:w="1481" w:type="dxa"/>
            <w:noWrap/>
            <w:vAlign w:val="center"/>
          </w:tcPr>
          <w:p w14:paraId="50A88D2C">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0.43</w:t>
            </w:r>
          </w:p>
        </w:tc>
      </w:tr>
      <w:tr w14:paraId="60B46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restart"/>
            <w:vAlign w:val="center"/>
          </w:tcPr>
          <w:p w14:paraId="4EC22C2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438" w:type="pct"/>
            <w:noWrap/>
            <w:vAlign w:val="center"/>
          </w:tcPr>
          <w:p w14:paraId="0A25795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A1</w:t>
            </w:r>
          </w:p>
        </w:tc>
        <w:tc>
          <w:tcPr>
            <w:tcW w:w="1872" w:type="pct"/>
            <w:gridSpan w:val="2"/>
            <w:noWrap/>
            <w:vAlign w:val="center"/>
          </w:tcPr>
          <w:p w14:paraId="5AADB56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行政办公用地</w:t>
            </w:r>
          </w:p>
        </w:tc>
        <w:tc>
          <w:tcPr>
            <w:tcW w:w="1365" w:type="pct"/>
            <w:noWrap/>
            <w:vAlign w:val="center"/>
          </w:tcPr>
          <w:p w14:paraId="551541B4">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0.051</w:t>
            </w:r>
          </w:p>
        </w:tc>
        <w:tc>
          <w:tcPr>
            <w:tcW w:w="1481" w:type="dxa"/>
            <w:noWrap/>
            <w:vAlign w:val="center"/>
          </w:tcPr>
          <w:p w14:paraId="2B8677F3">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0.05</w:t>
            </w:r>
          </w:p>
        </w:tc>
      </w:tr>
      <w:tr w14:paraId="2C682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vAlign w:val="center"/>
          </w:tcPr>
          <w:p w14:paraId="0497D4F1">
            <w:pPr>
              <w:widowControl/>
              <w:spacing w:line="240" w:lineRule="auto"/>
              <w:ind w:firstLine="0" w:firstLineChars="0"/>
              <w:jc w:val="center"/>
              <w:rPr>
                <w:rFonts w:cs="Times New Roman"/>
                <w:color w:val="000000"/>
                <w:sz w:val="21"/>
                <w:szCs w:val="21"/>
              </w:rPr>
            </w:pPr>
          </w:p>
        </w:tc>
        <w:tc>
          <w:tcPr>
            <w:tcW w:w="438" w:type="pct"/>
            <w:noWrap/>
            <w:vAlign w:val="center"/>
          </w:tcPr>
          <w:p w14:paraId="4FD0C9A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w:t>
            </w:r>
            <w:r>
              <w:rPr>
                <w:rFonts w:hint="eastAsia" w:eastAsia="宋体" w:cs="Times New Roman"/>
                <w:color w:val="000000"/>
                <w:kern w:val="0"/>
                <w:sz w:val="21"/>
                <w:szCs w:val="21"/>
                <w:lang w:bidi="ar"/>
              </w:rPr>
              <w:t>2</w:t>
            </w:r>
          </w:p>
        </w:tc>
        <w:tc>
          <w:tcPr>
            <w:tcW w:w="1872" w:type="pct"/>
            <w:gridSpan w:val="2"/>
            <w:noWrap/>
            <w:vAlign w:val="center"/>
          </w:tcPr>
          <w:p w14:paraId="17D452E0">
            <w:pPr>
              <w:widowControl/>
              <w:spacing w:line="240" w:lineRule="auto"/>
              <w:ind w:firstLine="0" w:firstLineChars="0"/>
              <w:jc w:val="center"/>
              <w:textAlignment w:val="center"/>
              <w:rPr>
                <w:rFonts w:cs="Times New Roman"/>
                <w:color w:val="000000"/>
                <w:sz w:val="21"/>
                <w:szCs w:val="21"/>
              </w:rPr>
            </w:pPr>
            <w:r>
              <w:rPr>
                <w:rFonts w:cs="Times New Roman"/>
                <w:color w:val="000000"/>
                <w:sz w:val="21"/>
                <w:szCs w:val="21"/>
              </w:rPr>
              <w:t>文化设施用地</w:t>
            </w:r>
          </w:p>
        </w:tc>
        <w:tc>
          <w:tcPr>
            <w:tcW w:w="1365" w:type="pct"/>
            <w:noWrap/>
            <w:vAlign w:val="center"/>
          </w:tcPr>
          <w:p w14:paraId="477C1AFD">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0.003</w:t>
            </w:r>
          </w:p>
        </w:tc>
        <w:tc>
          <w:tcPr>
            <w:tcW w:w="1481" w:type="dxa"/>
            <w:noWrap/>
            <w:vAlign w:val="center"/>
          </w:tcPr>
          <w:p w14:paraId="7F243DEA">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0.00</w:t>
            </w:r>
          </w:p>
        </w:tc>
      </w:tr>
      <w:tr w14:paraId="5291B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vAlign w:val="center"/>
          </w:tcPr>
          <w:p w14:paraId="332C96C8">
            <w:pPr>
              <w:widowControl/>
              <w:spacing w:line="240" w:lineRule="auto"/>
              <w:ind w:firstLine="0" w:firstLineChars="0"/>
              <w:jc w:val="center"/>
              <w:rPr>
                <w:rFonts w:cs="Times New Roman"/>
                <w:color w:val="000000"/>
                <w:sz w:val="21"/>
                <w:szCs w:val="21"/>
              </w:rPr>
            </w:pPr>
          </w:p>
        </w:tc>
        <w:tc>
          <w:tcPr>
            <w:tcW w:w="438" w:type="pct"/>
            <w:noWrap/>
            <w:vAlign w:val="center"/>
          </w:tcPr>
          <w:p w14:paraId="50A14E52">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A3</w:t>
            </w:r>
          </w:p>
        </w:tc>
        <w:tc>
          <w:tcPr>
            <w:tcW w:w="1872" w:type="pct"/>
            <w:gridSpan w:val="2"/>
            <w:noWrap/>
            <w:vAlign w:val="center"/>
          </w:tcPr>
          <w:p w14:paraId="57468D8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教育科研用地</w:t>
            </w:r>
          </w:p>
        </w:tc>
        <w:tc>
          <w:tcPr>
            <w:tcW w:w="1365" w:type="pct"/>
            <w:noWrap/>
            <w:vAlign w:val="center"/>
          </w:tcPr>
          <w:p w14:paraId="48B184C2">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0.107</w:t>
            </w:r>
          </w:p>
        </w:tc>
        <w:tc>
          <w:tcPr>
            <w:tcW w:w="1481" w:type="dxa"/>
            <w:noWrap/>
            <w:vAlign w:val="center"/>
          </w:tcPr>
          <w:p w14:paraId="5D3EF033">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0.10</w:t>
            </w:r>
          </w:p>
        </w:tc>
      </w:tr>
      <w:tr w14:paraId="31CCC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vAlign w:val="center"/>
          </w:tcPr>
          <w:p w14:paraId="3B8D2A4B">
            <w:pPr>
              <w:widowControl/>
              <w:spacing w:line="240" w:lineRule="auto"/>
              <w:ind w:firstLine="0" w:firstLineChars="0"/>
              <w:jc w:val="center"/>
              <w:rPr>
                <w:rFonts w:cs="Times New Roman"/>
                <w:color w:val="000000"/>
                <w:sz w:val="21"/>
                <w:szCs w:val="21"/>
              </w:rPr>
            </w:pPr>
          </w:p>
        </w:tc>
        <w:tc>
          <w:tcPr>
            <w:tcW w:w="438" w:type="pct"/>
            <w:noWrap/>
            <w:vAlign w:val="center"/>
          </w:tcPr>
          <w:p w14:paraId="319C502B">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A4</w:t>
            </w:r>
          </w:p>
        </w:tc>
        <w:tc>
          <w:tcPr>
            <w:tcW w:w="1872" w:type="pct"/>
            <w:gridSpan w:val="2"/>
            <w:noWrap/>
            <w:vAlign w:val="center"/>
          </w:tcPr>
          <w:p w14:paraId="54BC620E">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体育用地</w:t>
            </w:r>
          </w:p>
        </w:tc>
        <w:tc>
          <w:tcPr>
            <w:tcW w:w="1365" w:type="pct"/>
            <w:noWrap/>
            <w:vAlign w:val="center"/>
          </w:tcPr>
          <w:p w14:paraId="5A0A8428">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0.001</w:t>
            </w:r>
          </w:p>
        </w:tc>
        <w:tc>
          <w:tcPr>
            <w:tcW w:w="1481" w:type="dxa"/>
            <w:noWrap/>
            <w:vAlign w:val="center"/>
          </w:tcPr>
          <w:p w14:paraId="607CE0E6">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0.00</w:t>
            </w:r>
          </w:p>
        </w:tc>
      </w:tr>
      <w:tr w14:paraId="04855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vAlign w:val="center"/>
          </w:tcPr>
          <w:p w14:paraId="17F17C82">
            <w:pPr>
              <w:widowControl/>
              <w:spacing w:line="240" w:lineRule="auto"/>
              <w:ind w:firstLine="0" w:firstLineChars="0"/>
              <w:jc w:val="center"/>
              <w:rPr>
                <w:rFonts w:cs="Times New Roman"/>
                <w:color w:val="000000"/>
                <w:sz w:val="21"/>
                <w:szCs w:val="21"/>
              </w:rPr>
            </w:pPr>
          </w:p>
        </w:tc>
        <w:tc>
          <w:tcPr>
            <w:tcW w:w="438" w:type="pct"/>
            <w:noWrap/>
            <w:vAlign w:val="center"/>
          </w:tcPr>
          <w:p w14:paraId="26424904">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A5</w:t>
            </w:r>
          </w:p>
        </w:tc>
        <w:tc>
          <w:tcPr>
            <w:tcW w:w="1872" w:type="pct"/>
            <w:gridSpan w:val="2"/>
            <w:noWrap/>
            <w:vAlign w:val="center"/>
          </w:tcPr>
          <w:p w14:paraId="57F7E45C">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医疗卫生用地</w:t>
            </w:r>
          </w:p>
        </w:tc>
        <w:tc>
          <w:tcPr>
            <w:tcW w:w="1365" w:type="pct"/>
            <w:noWrap/>
            <w:vAlign w:val="center"/>
          </w:tcPr>
          <w:p w14:paraId="5C008951">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0.07</w:t>
            </w:r>
          </w:p>
        </w:tc>
        <w:tc>
          <w:tcPr>
            <w:tcW w:w="1481" w:type="dxa"/>
            <w:noWrap/>
            <w:vAlign w:val="center"/>
          </w:tcPr>
          <w:p w14:paraId="1BA0D7D9">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0.06</w:t>
            </w:r>
          </w:p>
        </w:tc>
      </w:tr>
      <w:tr w14:paraId="1FFC0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vAlign w:val="center"/>
          </w:tcPr>
          <w:p w14:paraId="0A6C68C7">
            <w:pPr>
              <w:widowControl/>
              <w:spacing w:line="240" w:lineRule="auto"/>
              <w:ind w:firstLine="0" w:firstLineChars="0"/>
              <w:jc w:val="center"/>
              <w:rPr>
                <w:rFonts w:cs="Times New Roman"/>
                <w:color w:val="000000"/>
                <w:sz w:val="21"/>
                <w:szCs w:val="21"/>
              </w:rPr>
            </w:pPr>
          </w:p>
        </w:tc>
        <w:tc>
          <w:tcPr>
            <w:tcW w:w="438" w:type="pct"/>
            <w:noWrap/>
            <w:vAlign w:val="center"/>
          </w:tcPr>
          <w:p w14:paraId="7BFC6152">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A6</w:t>
            </w:r>
          </w:p>
        </w:tc>
        <w:tc>
          <w:tcPr>
            <w:tcW w:w="1872" w:type="pct"/>
            <w:gridSpan w:val="2"/>
            <w:noWrap/>
            <w:vAlign w:val="center"/>
          </w:tcPr>
          <w:p w14:paraId="1C2E8E7D">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社会福利用地</w:t>
            </w:r>
          </w:p>
        </w:tc>
        <w:tc>
          <w:tcPr>
            <w:tcW w:w="1365" w:type="pct"/>
            <w:noWrap/>
            <w:vAlign w:val="center"/>
          </w:tcPr>
          <w:p w14:paraId="411D0316">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0.001</w:t>
            </w:r>
          </w:p>
        </w:tc>
        <w:tc>
          <w:tcPr>
            <w:tcW w:w="1481" w:type="dxa"/>
            <w:noWrap/>
            <w:vAlign w:val="center"/>
          </w:tcPr>
          <w:p w14:paraId="110C4D3E">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0.00</w:t>
            </w:r>
          </w:p>
        </w:tc>
      </w:tr>
      <w:tr w14:paraId="449FD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vAlign w:val="center"/>
          </w:tcPr>
          <w:p w14:paraId="2381272B">
            <w:pPr>
              <w:widowControl/>
              <w:spacing w:line="240" w:lineRule="auto"/>
              <w:ind w:firstLine="0" w:firstLineChars="0"/>
              <w:jc w:val="center"/>
              <w:rPr>
                <w:rFonts w:cs="Times New Roman"/>
                <w:color w:val="000000"/>
                <w:sz w:val="21"/>
                <w:szCs w:val="21"/>
              </w:rPr>
            </w:pPr>
          </w:p>
        </w:tc>
        <w:tc>
          <w:tcPr>
            <w:tcW w:w="438" w:type="pct"/>
            <w:noWrap/>
            <w:vAlign w:val="center"/>
          </w:tcPr>
          <w:p w14:paraId="2CC8702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A9</w:t>
            </w:r>
          </w:p>
        </w:tc>
        <w:tc>
          <w:tcPr>
            <w:tcW w:w="1872" w:type="pct"/>
            <w:gridSpan w:val="2"/>
            <w:noWrap/>
            <w:vAlign w:val="center"/>
          </w:tcPr>
          <w:p w14:paraId="2083E96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宗教设施用地</w:t>
            </w:r>
          </w:p>
        </w:tc>
        <w:tc>
          <w:tcPr>
            <w:tcW w:w="1365" w:type="pct"/>
            <w:noWrap/>
            <w:vAlign w:val="center"/>
          </w:tcPr>
          <w:p w14:paraId="7F9DEEB4">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0.236</w:t>
            </w:r>
          </w:p>
        </w:tc>
        <w:tc>
          <w:tcPr>
            <w:tcW w:w="1481" w:type="dxa"/>
            <w:noWrap/>
            <w:vAlign w:val="center"/>
          </w:tcPr>
          <w:p w14:paraId="68DB6ADF">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0.22</w:t>
            </w:r>
          </w:p>
        </w:tc>
      </w:tr>
      <w:tr w14:paraId="03C92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4296541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B</w:t>
            </w:r>
          </w:p>
        </w:tc>
        <w:tc>
          <w:tcPr>
            <w:tcW w:w="1872" w:type="pct"/>
            <w:gridSpan w:val="2"/>
            <w:noWrap/>
            <w:vAlign w:val="center"/>
          </w:tcPr>
          <w:p w14:paraId="1C256CC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商业服务业设施用地</w:t>
            </w:r>
          </w:p>
        </w:tc>
        <w:tc>
          <w:tcPr>
            <w:tcW w:w="1365" w:type="pct"/>
            <w:noWrap/>
            <w:vAlign w:val="center"/>
          </w:tcPr>
          <w:p w14:paraId="62CB918B">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1.582</w:t>
            </w:r>
          </w:p>
        </w:tc>
        <w:tc>
          <w:tcPr>
            <w:tcW w:w="1481" w:type="dxa"/>
            <w:noWrap/>
            <w:vAlign w:val="center"/>
          </w:tcPr>
          <w:p w14:paraId="369B6D9E">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1.45</w:t>
            </w:r>
          </w:p>
        </w:tc>
      </w:tr>
      <w:tr w14:paraId="06A9F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5684AEB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M</w:t>
            </w:r>
          </w:p>
        </w:tc>
        <w:tc>
          <w:tcPr>
            <w:tcW w:w="1872" w:type="pct"/>
            <w:gridSpan w:val="2"/>
            <w:noWrap/>
            <w:vAlign w:val="center"/>
          </w:tcPr>
          <w:p w14:paraId="3B2FA5C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工业用地</w:t>
            </w:r>
          </w:p>
        </w:tc>
        <w:tc>
          <w:tcPr>
            <w:tcW w:w="1365" w:type="pct"/>
            <w:noWrap/>
            <w:vAlign w:val="center"/>
          </w:tcPr>
          <w:p w14:paraId="2DF6BFF2">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0.434</w:t>
            </w:r>
          </w:p>
        </w:tc>
        <w:tc>
          <w:tcPr>
            <w:tcW w:w="1481" w:type="dxa"/>
            <w:noWrap/>
            <w:vAlign w:val="center"/>
          </w:tcPr>
          <w:p w14:paraId="6E2E70CA">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0.40</w:t>
            </w:r>
          </w:p>
        </w:tc>
      </w:tr>
      <w:tr w14:paraId="059C6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41CF06C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w:t>
            </w:r>
          </w:p>
        </w:tc>
        <w:tc>
          <w:tcPr>
            <w:tcW w:w="1872" w:type="pct"/>
            <w:gridSpan w:val="2"/>
            <w:noWrap/>
            <w:vAlign w:val="center"/>
          </w:tcPr>
          <w:p w14:paraId="3E43AC0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物流仓储用地</w:t>
            </w:r>
          </w:p>
        </w:tc>
        <w:tc>
          <w:tcPr>
            <w:tcW w:w="1365" w:type="pct"/>
            <w:noWrap/>
            <w:vAlign w:val="center"/>
          </w:tcPr>
          <w:p w14:paraId="452C4B8F">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0.005</w:t>
            </w:r>
          </w:p>
        </w:tc>
        <w:tc>
          <w:tcPr>
            <w:tcW w:w="1481" w:type="dxa"/>
            <w:noWrap/>
            <w:vAlign w:val="center"/>
          </w:tcPr>
          <w:p w14:paraId="4F5B88D0">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0.00</w:t>
            </w:r>
          </w:p>
        </w:tc>
      </w:tr>
      <w:tr w14:paraId="43699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5B57AE8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S</w:t>
            </w:r>
          </w:p>
        </w:tc>
        <w:tc>
          <w:tcPr>
            <w:tcW w:w="1872" w:type="pct"/>
            <w:gridSpan w:val="2"/>
            <w:noWrap/>
            <w:vAlign w:val="center"/>
          </w:tcPr>
          <w:p w14:paraId="4DCF230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道路与交通设施用地</w:t>
            </w:r>
          </w:p>
        </w:tc>
        <w:tc>
          <w:tcPr>
            <w:tcW w:w="1365" w:type="pct"/>
            <w:noWrap/>
            <w:vAlign w:val="center"/>
          </w:tcPr>
          <w:p w14:paraId="1E7F5694">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2.789</w:t>
            </w:r>
          </w:p>
        </w:tc>
        <w:tc>
          <w:tcPr>
            <w:tcW w:w="1481" w:type="dxa"/>
            <w:noWrap/>
            <w:vAlign w:val="center"/>
          </w:tcPr>
          <w:p w14:paraId="1629247D">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2.55</w:t>
            </w:r>
          </w:p>
        </w:tc>
      </w:tr>
      <w:tr w14:paraId="0A1ED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44B1CEE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U</w:t>
            </w:r>
          </w:p>
        </w:tc>
        <w:tc>
          <w:tcPr>
            <w:tcW w:w="1872" w:type="pct"/>
            <w:gridSpan w:val="2"/>
            <w:noWrap/>
            <w:vAlign w:val="center"/>
          </w:tcPr>
          <w:p w14:paraId="745B360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公用设施用地</w:t>
            </w:r>
          </w:p>
        </w:tc>
        <w:tc>
          <w:tcPr>
            <w:tcW w:w="1365" w:type="pct"/>
            <w:noWrap/>
            <w:vAlign w:val="center"/>
          </w:tcPr>
          <w:p w14:paraId="6A33A624">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0.72</w:t>
            </w:r>
          </w:p>
        </w:tc>
        <w:tc>
          <w:tcPr>
            <w:tcW w:w="1481" w:type="dxa"/>
            <w:noWrap/>
            <w:vAlign w:val="center"/>
          </w:tcPr>
          <w:p w14:paraId="5A79B4ED">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0.66</w:t>
            </w:r>
          </w:p>
        </w:tc>
      </w:tr>
      <w:tr w14:paraId="7B908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5D83920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G</w:t>
            </w:r>
          </w:p>
        </w:tc>
        <w:tc>
          <w:tcPr>
            <w:tcW w:w="1872" w:type="pct"/>
            <w:gridSpan w:val="2"/>
            <w:noWrap/>
            <w:vAlign w:val="center"/>
          </w:tcPr>
          <w:p w14:paraId="1B84E07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绿地与广场用地</w:t>
            </w:r>
          </w:p>
        </w:tc>
        <w:tc>
          <w:tcPr>
            <w:tcW w:w="1365" w:type="pct"/>
            <w:noWrap/>
            <w:vAlign w:val="center"/>
          </w:tcPr>
          <w:p w14:paraId="53A42699">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0.023</w:t>
            </w:r>
          </w:p>
        </w:tc>
        <w:tc>
          <w:tcPr>
            <w:tcW w:w="1481" w:type="dxa"/>
            <w:noWrap/>
            <w:vAlign w:val="center"/>
          </w:tcPr>
          <w:p w14:paraId="5B698E9A">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0.02</w:t>
            </w:r>
          </w:p>
        </w:tc>
      </w:tr>
      <w:tr w14:paraId="48251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7397F69E">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H5</w:t>
            </w:r>
          </w:p>
        </w:tc>
        <w:tc>
          <w:tcPr>
            <w:tcW w:w="1872" w:type="pct"/>
            <w:gridSpan w:val="2"/>
            <w:noWrap/>
            <w:vAlign w:val="center"/>
          </w:tcPr>
          <w:p w14:paraId="27DD0469">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采矿用地</w:t>
            </w:r>
          </w:p>
        </w:tc>
        <w:tc>
          <w:tcPr>
            <w:tcW w:w="1365" w:type="pct"/>
            <w:noWrap/>
            <w:vAlign w:val="center"/>
          </w:tcPr>
          <w:p w14:paraId="64FEF11B">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0.317</w:t>
            </w:r>
          </w:p>
        </w:tc>
        <w:tc>
          <w:tcPr>
            <w:tcW w:w="1481" w:type="dxa"/>
            <w:noWrap/>
            <w:vAlign w:val="center"/>
          </w:tcPr>
          <w:p w14:paraId="23748528">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0.29</w:t>
            </w:r>
          </w:p>
        </w:tc>
      </w:tr>
      <w:tr w14:paraId="58A24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52B14A3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w:t>
            </w:r>
          </w:p>
        </w:tc>
        <w:tc>
          <w:tcPr>
            <w:tcW w:w="1872" w:type="pct"/>
            <w:gridSpan w:val="2"/>
            <w:noWrap/>
            <w:vAlign w:val="center"/>
          </w:tcPr>
          <w:p w14:paraId="76788AE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非建设用地</w:t>
            </w:r>
          </w:p>
        </w:tc>
        <w:tc>
          <w:tcPr>
            <w:tcW w:w="2327" w:type="dxa"/>
            <w:noWrap/>
            <w:vAlign w:val="center"/>
          </w:tcPr>
          <w:p w14:paraId="09767E5E">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99.613</w:t>
            </w:r>
          </w:p>
        </w:tc>
        <w:tc>
          <w:tcPr>
            <w:tcW w:w="1481" w:type="dxa"/>
            <w:noWrap/>
            <w:vAlign w:val="center"/>
          </w:tcPr>
          <w:p w14:paraId="21DA8EBA">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91.05</w:t>
            </w:r>
          </w:p>
        </w:tc>
      </w:tr>
      <w:tr w14:paraId="6CBAA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restart"/>
            <w:noWrap/>
            <w:vAlign w:val="center"/>
          </w:tcPr>
          <w:p w14:paraId="638B7AC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438" w:type="pct"/>
            <w:vAlign w:val="center"/>
          </w:tcPr>
          <w:p w14:paraId="78F3474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E1</w:t>
            </w:r>
          </w:p>
        </w:tc>
        <w:tc>
          <w:tcPr>
            <w:tcW w:w="1872" w:type="pct"/>
            <w:gridSpan w:val="2"/>
            <w:noWrap/>
            <w:vAlign w:val="center"/>
          </w:tcPr>
          <w:p w14:paraId="2802D7E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水域</w:t>
            </w:r>
          </w:p>
        </w:tc>
        <w:tc>
          <w:tcPr>
            <w:tcW w:w="2327" w:type="dxa"/>
            <w:noWrap/>
            <w:vAlign w:val="center"/>
          </w:tcPr>
          <w:p w14:paraId="10214955">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11.75</w:t>
            </w:r>
          </w:p>
        </w:tc>
        <w:tc>
          <w:tcPr>
            <w:tcW w:w="1481" w:type="dxa"/>
            <w:noWrap/>
            <w:vAlign w:val="center"/>
          </w:tcPr>
          <w:p w14:paraId="6806ECE3">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10.74</w:t>
            </w:r>
          </w:p>
        </w:tc>
      </w:tr>
      <w:tr w14:paraId="26CE0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noWrap/>
            <w:vAlign w:val="center"/>
          </w:tcPr>
          <w:p w14:paraId="4F3FA2AD">
            <w:pPr>
              <w:widowControl/>
              <w:spacing w:line="240" w:lineRule="auto"/>
              <w:ind w:firstLine="0" w:firstLineChars="0"/>
              <w:jc w:val="center"/>
              <w:rPr>
                <w:rFonts w:cs="Times New Roman"/>
                <w:color w:val="000000"/>
                <w:sz w:val="21"/>
                <w:szCs w:val="21"/>
              </w:rPr>
            </w:pPr>
          </w:p>
        </w:tc>
        <w:tc>
          <w:tcPr>
            <w:tcW w:w="438" w:type="pct"/>
            <w:vAlign w:val="center"/>
          </w:tcPr>
          <w:p w14:paraId="5750B77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w:t>
            </w:r>
          </w:p>
        </w:tc>
        <w:tc>
          <w:tcPr>
            <w:tcW w:w="1872" w:type="pct"/>
            <w:gridSpan w:val="2"/>
            <w:noWrap/>
            <w:vAlign w:val="center"/>
          </w:tcPr>
          <w:p w14:paraId="4E9B2A4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农林用地</w:t>
            </w:r>
          </w:p>
        </w:tc>
        <w:tc>
          <w:tcPr>
            <w:tcW w:w="2327" w:type="dxa"/>
            <w:noWrap/>
            <w:vAlign w:val="center"/>
          </w:tcPr>
          <w:p w14:paraId="31B265D3">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87.863</w:t>
            </w:r>
          </w:p>
        </w:tc>
        <w:tc>
          <w:tcPr>
            <w:tcW w:w="1481" w:type="dxa"/>
            <w:noWrap/>
            <w:vAlign w:val="center"/>
          </w:tcPr>
          <w:p w14:paraId="23F91CAE">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80.31</w:t>
            </w:r>
          </w:p>
        </w:tc>
      </w:tr>
      <w:tr w14:paraId="31866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noWrap/>
            <w:vAlign w:val="center"/>
          </w:tcPr>
          <w:p w14:paraId="4A116B80">
            <w:pPr>
              <w:widowControl/>
              <w:spacing w:line="240" w:lineRule="auto"/>
              <w:ind w:firstLine="0" w:firstLineChars="0"/>
              <w:jc w:val="center"/>
              <w:rPr>
                <w:rFonts w:cs="Times New Roman"/>
                <w:color w:val="000000"/>
                <w:sz w:val="21"/>
                <w:szCs w:val="21"/>
              </w:rPr>
            </w:pPr>
          </w:p>
        </w:tc>
        <w:tc>
          <w:tcPr>
            <w:tcW w:w="438" w:type="pct"/>
            <w:vMerge w:val="restart"/>
            <w:vAlign w:val="center"/>
          </w:tcPr>
          <w:p w14:paraId="1955E86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434" w:type="pct"/>
            <w:noWrap/>
            <w:vAlign w:val="center"/>
          </w:tcPr>
          <w:p w14:paraId="0FC1047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E2a</w:t>
            </w:r>
          </w:p>
        </w:tc>
        <w:tc>
          <w:tcPr>
            <w:tcW w:w="1438" w:type="pct"/>
            <w:vAlign w:val="center"/>
          </w:tcPr>
          <w:p w14:paraId="7AD535A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耕地</w:t>
            </w:r>
          </w:p>
        </w:tc>
        <w:tc>
          <w:tcPr>
            <w:tcW w:w="2327" w:type="dxa"/>
            <w:vAlign w:val="center"/>
          </w:tcPr>
          <w:p w14:paraId="60781B23">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12.105</w:t>
            </w:r>
          </w:p>
        </w:tc>
        <w:tc>
          <w:tcPr>
            <w:tcW w:w="1481" w:type="dxa"/>
            <w:vAlign w:val="center"/>
          </w:tcPr>
          <w:p w14:paraId="7AB5F50A">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11.06</w:t>
            </w:r>
          </w:p>
        </w:tc>
      </w:tr>
      <w:tr w14:paraId="5FAD2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noWrap/>
            <w:vAlign w:val="center"/>
          </w:tcPr>
          <w:p w14:paraId="0D0FA5D7">
            <w:pPr>
              <w:widowControl/>
              <w:spacing w:line="240" w:lineRule="auto"/>
              <w:ind w:firstLine="0" w:firstLineChars="0"/>
              <w:jc w:val="center"/>
              <w:rPr>
                <w:rFonts w:cs="Times New Roman"/>
                <w:color w:val="000000"/>
                <w:sz w:val="21"/>
                <w:szCs w:val="21"/>
              </w:rPr>
            </w:pPr>
          </w:p>
        </w:tc>
        <w:tc>
          <w:tcPr>
            <w:tcW w:w="438" w:type="pct"/>
            <w:vMerge w:val="continue"/>
            <w:vAlign w:val="center"/>
          </w:tcPr>
          <w:p w14:paraId="2C59D59D">
            <w:pPr>
              <w:widowControl/>
              <w:spacing w:line="240" w:lineRule="auto"/>
              <w:ind w:firstLine="0" w:firstLineChars="0"/>
              <w:jc w:val="center"/>
              <w:rPr>
                <w:rFonts w:cs="Times New Roman"/>
                <w:color w:val="000000"/>
                <w:sz w:val="21"/>
                <w:szCs w:val="21"/>
              </w:rPr>
            </w:pPr>
          </w:p>
        </w:tc>
        <w:tc>
          <w:tcPr>
            <w:tcW w:w="434" w:type="pct"/>
            <w:noWrap/>
            <w:vAlign w:val="center"/>
          </w:tcPr>
          <w:p w14:paraId="0D64BDD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E2b</w:t>
            </w:r>
          </w:p>
        </w:tc>
        <w:tc>
          <w:tcPr>
            <w:tcW w:w="1438" w:type="pct"/>
            <w:vAlign w:val="center"/>
          </w:tcPr>
          <w:p w14:paraId="6CD3470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园地</w:t>
            </w:r>
          </w:p>
        </w:tc>
        <w:tc>
          <w:tcPr>
            <w:tcW w:w="2327" w:type="dxa"/>
            <w:vAlign w:val="center"/>
          </w:tcPr>
          <w:p w14:paraId="0058CFA8">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9.274</w:t>
            </w:r>
          </w:p>
        </w:tc>
        <w:tc>
          <w:tcPr>
            <w:tcW w:w="1481" w:type="dxa"/>
            <w:vAlign w:val="center"/>
          </w:tcPr>
          <w:p w14:paraId="6A231A19">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8.48</w:t>
            </w:r>
          </w:p>
        </w:tc>
      </w:tr>
      <w:tr w14:paraId="7C40E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noWrap/>
            <w:vAlign w:val="center"/>
          </w:tcPr>
          <w:p w14:paraId="10F84CB6">
            <w:pPr>
              <w:widowControl/>
              <w:spacing w:line="240" w:lineRule="auto"/>
              <w:ind w:firstLine="0" w:firstLineChars="0"/>
              <w:jc w:val="center"/>
              <w:rPr>
                <w:rFonts w:cs="Times New Roman"/>
                <w:color w:val="000000"/>
                <w:sz w:val="21"/>
                <w:szCs w:val="21"/>
              </w:rPr>
            </w:pPr>
          </w:p>
        </w:tc>
        <w:tc>
          <w:tcPr>
            <w:tcW w:w="438" w:type="pct"/>
            <w:vMerge w:val="continue"/>
            <w:vAlign w:val="center"/>
          </w:tcPr>
          <w:p w14:paraId="20A3A628">
            <w:pPr>
              <w:widowControl/>
              <w:spacing w:line="240" w:lineRule="auto"/>
              <w:ind w:firstLine="0" w:firstLineChars="0"/>
              <w:jc w:val="center"/>
              <w:rPr>
                <w:rFonts w:cs="Times New Roman"/>
                <w:color w:val="000000"/>
                <w:sz w:val="21"/>
                <w:szCs w:val="21"/>
              </w:rPr>
            </w:pPr>
          </w:p>
        </w:tc>
        <w:tc>
          <w:tcPr>
            <w:tcW w:w="434" w:type="pct"/>
            <w:noWrap/>
            <w:vAlign w:val="center"/>
          </w:tcPr>
          <w:p w14:paraId="4129FD4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E2c</w:t>
            </w:r>
          </w:p>
        </w:tc>
        <w:tc>
          <w:tcPr>
            <w:tcW w:w="1438" w:type="pct"/>
            <w:vAlign w:val="center"/>
          </w:tcPr>
          <w:p w14:paraId="02E7A30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林地</w:t>
            </w:r>
          </w:p>
        </w:tc>
        <w:tc>
          <w:tcPr>
            <w:tcW w:w="2327" w:type="dxa"/>
            <w:vAlign w:val="center"/>
          </w:tcPr>
          <w:p w14:paraId="0B672462">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61.732</w:t>
            </w:r>
          </w:p>
        </w:tc>
        <w:tc>
          <w:tcPr>
            <w:tcW w:w="1481" w:type="dxa"/>
            <w:vAlign w:val="center"/>
          </w:tcPr>
          <w:p w14:paraId="0EEB8458">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56.43</w:t>
            </w:r>
          </w:p>
        </w:tc>
      </w:tr>
      <w:tr w14:paraId="24C88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noWrap/>
            <w:vAlign w:val="center"/>
          </w:tcPr>
          <w:p w14:paraId="61AC228C">
            <w:pPr>
              <w:widowControl/>
              <w:spacing w:line="240" w:lineRule="auto"/>
              <w:ind w:firstLine="0" w:firstLineChars="0"/>
              <w:jc w:val="center"/>
              <w:rPr>
                <w:rFonts w:cs="Times New Roman"/>
                <w:color w:val="000000"/>
                <w:sz w:val="21"/>
                <w:szCs w:val="21"/>
              </w:rPr>
            </w:pPr>
          </w:p>
        </w:tc>
        <w:tc>
          <w:tcPr>
            <w:tcW w:w="438" w:type="pct"/>
            <w:vMerge w:val="continue"/>
            <w:vAlign w:val="center"/>
          </w:tcPr>
          <w:p w14:paraId="23B62E1A">
            <w:pPr>
              <w:widowControl/>
              <w:spacing w:line="240" w:lineRule="auto"/>
              <w:ind w:firstLine="0" w:firstLineChars="0"/>
              <w:jc w:val="center"/>
              <w:rPr>
                <w:rFonts w:cs="Times New Roman"/>
                <w:color w:val="000000"/>
                <w:sz w:val="21"/>
                <w:szCs w:val="21"/>
              </w:rPr>
            </w:pPr>
          </w:p>
        </w:tc>
        <w:tc>
          <w:tcPr>
            <w:tcW w:w="434" w:type="pct"/>
            <w:noWrap/>
            <w:vAlign w:val="center"/>
          </w:tcPr>
          <w:p w14:paraId="1F135BB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E2d</w:t>
            </w:r>
          </w:p>
        </w:tc>
        <w:tc>
          <w:tcPr>
            <w:tcW w:w="1438" w:type="pct"/>
            <w:vAlign w:val="center"/>
          </w:tcPr>
          <w:p w14:paraId="44B30F4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草地</w:t>
            </w:r>
          </w:p>
        </w:tc>
        <w:tc>
          <w:tcPr>
            <w:tcW w:w="2327" w:type="dxa"/>
            <w:vAlign w:val="center"/>
          </w:tcPr>
          <w:p w14:paraId="245E7B7A">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1.615</w:t>
            </w:r>
          </w:p>
        </w:tc>
        <w:tc>
          <w:tcPr>
            <w:tcW w:w="1481" w:type="dxa"/>
            <w:vAlign w:val="center"/>
          </w:tcPr>
          <w:p w14:paraId="57B3B8E2">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1.48</w:t>
            </w:r>
          </w:p>
        </w:tc>
      </w:tr>
      <w:tr w14:paraId="274A1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noWrap/>
            <w:vAlign w:val="center"/>
          </w:tcPr>
          <w:p w14:paraId="3CE8067E">
            <w:pPr>
              <w:widowControl/>
              <w:spacing w:line="240" w:lineRule="auto"/>
              <w:ind w:firstLine="0" w:firstLineChars="0"/>
              <w:jc w:val="center"/>
              <w:rPr>
                <w:rFonts w:cs="Times New Roman"/>
                <w:color w:val="000000"/>
                <w:sz w:val="21"/>
                <w:szCs w:val="21"/>
              </w:rPr>
            </w:pPr>
          </w:p>
        </w:tc>
        <w:tc>
          <w:tcPr>
            <w:tcW w:w="438" w:type="pct"/>
            <w:vMerge w:val="continue"/>
            <w:vAlign w:val="center"/>
          </w:tcPr>
          <w:p w14:paraId="2C4DD7B5">
            <w:pPr>
              <w:widowControl/>
              <w:spacing w:line="240" w:lineRule="auto"/>
              <w:ind w:firstLine="0" w:firstLineChars="0"/>
              <w:jc w:val="center"/>
              <w:rPr>
                <w:rFonts w:cs="Times New Roman"/>
                <w:color w:val="000000"/>
                <w:sz w:val="21"/>
                <w:szCs w:val="21"/>
              </w:rPr>
            </w:pPr>
          </w:p>
        </w:tc>
        <w:tc>
          <w:tcPr>
            <w:tcW w:w="434" w:type="pct"/>
            <w:noWrap/>
            <w:vAlign w:val="center"/>
          </w:tcPr>
          <w:p w14:paraId="4158FC9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E2f</w:t>
            </w:r>
          </w:p>
        </w:tc>
        <w:tc>
          <w:tcPr>
            <w:tcW w:w="1438" w:type="pct"/>
            <w:noWrap/>
            <w:vAlign w:val="center"/>
          </w:tcPr>
          <w:p w14:paraId="0DE0064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设施农用地</w:t>
            </w:r>
          </w:p>
        </w:tc>
        <w:tc>
          <w:tcPr>
            <w:tcW w:w="2327" w:type="dxa"/>
            <w:noWrap/>
            <w:vAlign w:val="center"/>
          </w:tcPr>
          <w:p w14:paraId="665D9334">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3.137</w:t>
            </w:r>
          </w:p>
        </w:tc>
        <w:tc>
          <w:tcPr>
            <w:tcW w:w="1481" w:type="dxa"/>
            <w:noWrap/>
            <w:vAlign w:val="center"/>
          </w:tcPr>
          <w:p w14:paraId="2EE521AF">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2.87</w:t>
            </w:r>
          </w:p>
        </w:tc>
      </w:tr>
      <w:tr w14:paraId="4D29B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764" w:type="pct"/>
            <w:gridSpan w:val="4"/>
            <w:noWrap/>
            <w:vAlign w:val="center"/>
          </w:tcPr>
          <w:p w14:paraId="5F7003A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合计</w:t>
            </w:r>
          </w:p>
        </w:tc>
        <w:tc>
          <w:tcPr>
            <w:tcW w:w="1365" w:type="pct"/>
            <w:noWrap/>
            <w:vAlign w:val="center"/>
          </w:tcPr>
          <w:p w14:paraId="674959A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109.40</w:t>
            </w:r>
          </w:p>
        </w:tc>
        <w:tc>
          <w:tcPr>
            <w:tcW w:w="1481" w:type="dxa"/>
            <w:noWrap/>
            <w:vAlign w:val="center"/>
          </w:tcPr>
          <w:p w14:paraId="04019E7C">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100.00</w:t>
            </w:r>
          </w:p>
        </w:tc>
      </w:tr>
    </w:tbl>
    <w:p w14:paraId="54A00AC3">
      <w:pPr>
        <w:ind w:firstLine="480"/>
      </w:pPr>
      <w:r>
        <w:rPr>
          <w:rFonts w:hint="eastAsia"/>
        </w:rPr>
        <w:t>（2）远期土地利用规划</w:t>
      </w:r>
    </w:p>
    <w:p w14:paraId="1AC9C338">
      <w:pPr>
        <w:ind w:firstLine="480"/>
      </w:pPr>
      <w:r>
        <w:rPr>
          <w:rFonts w:hint="eastAsia" w:cs="Times New Roman"/>
          <w:szCs w:val="24"/>
        </w:rPr>
        <w:t>规划远期（~</w:t>
      </w:r>
      <w:r>
        <w:rPr>
          <w:rFonts w:cs="Times New Roman"/>
          <w:szCs w:val="24"/>
        </w:rPr>
        <w:t>203</w:t>
      </w:r>
      <w:r>
        <w:rPr>
          <w:rFonts w:hint="eastAsia" w:cs="Times New Roman"/>
          <w:szCs w:val="24"/>
        </w:rPr>
        <w:t>5年），</w:t>
      </w:r>
      <w:r>
        <w:rPr>
          <w:rFonts w:hint="eastAsia"/>
        </w:rPr>
        <w:t>本轮规划范围面积为109.4平方公里，区域内建设用地9.374平方公里，开发强度8.57%。其中居住用地3.352平方公里，占区域总面积的3.06%，主要为农村住宅用地；公共管理与公共服务设施用地0.469平方公里，占总面积的0.43%；商业服务设施用地1.583平方公里，占总面积的1.45%。区域非建设用地100.026平方公里，其中水域面积11.75平方公里，占总面积的10.74%；农林用地88.276平方公里，占总面积的80.69%</w:t>
      </w:r>
      <w:bookmarkEnd w:id="43"/>
      <w:r>
        <w:rPr>
          <w:rFonts w:hint="eastAsia"/>
        </w:rPr>
        <w:t>。</w:t>
      </w:r>
    </w:p>
    <w:p w14:paraId="4952EFCB">
      <w:pPr>
        <w:pStyle w:val="45"/>
        <w:rPr>
          <w:rFonts w:cs="Times New Roman"/>
        </w:rPr>
      </w:pPr>
      <w:r>
        <w:rPr>
          <w:rFonts w:hint="eastAsia" w:cs="Times New Roman"/>
        </w:rPr>
        <w:t>表</w:t>
      </w:r>
      <w:r>
        <w:rPr>
          <w:rFonts w:cs="Times New Roman"/>
        </w:rPr>
        <w:t>2.1</w:t>
      </w:r>
      <w:r>
        <w:rPr>
          <w:rFonts w:hint="eastAsia" w:cs="Times New Roman"/>
        </w:rPr>
        <w:t>-5</w:t>
      </w:r>
      <w:r>
        <w:rPr>
          <w:rFonts w:cs="Times New Roman"/>
        </w:rPr>
        <w:t xml:space="preserve"> 金坛茅山旅游</w:t>
      </w:r>
      <w:r>
        <w:rPr>
          <w:rFonts w:hint="eastAsia" w:cs="Times New Roman"/>
        </w:rPr>
        <w:t>度假区规划用地平衡</w:t>
      </w:r>
      <w:r>
        <w:rPr>
          <w:rFonts w:cs="Times New Roman"/>
        </w:rPr>
        <w:t>表</w:t>
      </w:r>
      <w:r>
        <w:rPr>
          <w:rFonts w:hint="eastAsia" w:cs="Times New Roman"/>
        </w:rPr>
        <w:t>（远期）</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2"/>
        <w:gridCol w:w="748"/>
        <w:gridCol w:w="740"/>
        <w:gridCol w:w="2451"/>
        <w:gridCol w:w="2327"/>
        <w:gridCol w:w="1481"/>
      </w:tblGrid>
      <w:tr w14:paraId="7872A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892" w:type="pct"/>
            <w:gridSpan w:val="2"/>
            <w:noWrap/>
            <w:vAlign w:val="center"/>
          </w:tcPr>
          <w:p w14:paraId="0DC61E48">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用地代码</w:t>
            </w:r>
          </w:p>
        </w:tc>
        <w:tc>
          <w:tcPr>
            <w:tcW w:w="1872" w:type="pct"/>
            <w:gridSpan w:val="2"/>
            <w:noWrap/>
            <w:vAlign w:val="center"/>
          </w:tcPr>
          <w:p w14:paraId="04847A57">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用地性质</w:t>
            </w:r>
          </w:p>
        </w:tc>
        <w:tc>
          <w:tcPr>
            <w:tcW w:w="1365" w:type="pct"/>
            <w:noWrap/>
            <w:vAlign w:val="center"/>
          </w:tcPr>
          <w:p w14:paraId="69560856">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用地面积（平方千米）</w:t>
            </w:r>
          </w:p>
        </w:tc>
        <w:tc>
          <w:tcPr>
            <w:tcW w:w="869" w:type="pct"/>
            <w:noWrap/>
            <w:vAlign w:val="center"/>
          </w:tcPr>
          <w:p w14:paraId="248AB5F1">
            <w:pPr>
              <w:widowControl/>
              <w:spacing w:line="240" w:lineRule="auto"/>
              <w:ind w:firstLine="0" w:firstLineChars="0"/>
              <w:jc w:val="center"/>
              <w:textAlignment w:val="center"/>
              <w:rPr>
                <w:rFonts w:cs="Times New Roman"/>
                <w:b/>
                <w:bCs/>
                <w:color w:val="000000"/>
                <w:kern w:val="0"/>
                <w:sz w:val="21"/>
                <w:szCs w:val="21"/>
                <w:lang w:bidi="ar"/>
              </w:rPr>
            </w:pPr>
            <w:r>
              <w:rPr>
                <w:rFonts w:cs="Times New Roman"/>
                <w:b/>
                <w:bCs/>
                <w:color w:val="000000"/>
                <w:kern w:val="0"/>
                <w:sz w:val="21"/>
                <w:szCs w:val="21"/>
                <w:lang w:bidi="ar"/>
              </w:rPr>
              <w:t>百分比（%）</w:t>
            </w:r>
          </w:p>
        </w:tc>
      </w:tr>
      <w:tr w14:paraId="173CB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621EBCC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R</w:t>
            </w:r>
          </w:p>
        </w:tc>
        <w:tc>
          <w:tcPr>
            <w:tcW w:w="1872" w:type="pct"/>
            <w:gridSpan w:val="2"/>
            <w:noWrap/>
            <w:vAlign w:val="center"/>
          </w:tcPr>
          <w:p w14:paraId="503C5AC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居住用地</w:t>
            </w:r>
          </w:p>
        </w:tc>
        <w:tc>
          <w:tcPr>
            <w:tcW w:w="1365" w:type="pct"/>
            <w:noWrap/>
            <w:vAlign w:val="center"/>
          </w:tcPr>
          <w:p w14:paraId="3673919C">
            <w:pPr>
              <w:widowControl/>
              <w:spacing w:line="240" w:lineRule="auto"/>
              <w:ind w:firstLine="0" w:firstLineChars="0"/>
              <w:jc w:val="center"/>
              <w:textAlignment w:val="center"/>
              <w:rPr>
                <w:rFonts w:hint="eastAsia" w:ascii="宋体" w:hAnsi="宋体" w:eastAsia="宋体" w:cs="宋体"/>
                <w:color w:val="000000"/>
                <w:sz w:val="22"/>
              </w:rPr>
            </w:pPr>
            <w:r>
              <w:rPr>
                <w:rFonts w:hint="eastAsia" w:eastAsia="宋体" w:cs="Times New Roman"/>
                <w:color w:val="000000"/>
                <w:kern w:val="0"/>
                <w:sz w:val="21"/>
                <w:szCs w:val="21"/>
                <w:lang w:bidi="ar"/>
              </w:rPr>
              <w:t>3.352</w:t>
            </w:r>
          </w:p>
        </w:tc>
        <w:tc>
          <w:tcPr>
            <w:tcW w:w="1481" w:type="dxa"/>
            <w:noWrap/>
            <w:vAlign w:val="center"/>
          </w:tcPr>
          <w:p w14:paraId="0AA5D72E">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3.06</w:t>
            </w:r>
          </w:p>
        </w:tc>
      </w:tr>
      <w:tr w14:paraId="5D847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vMerge w:val="restart"/>
            <w:vAlign w:val="center"/>
          </w:tcPr>
          <w:p w14:paraId="0FC9DD91">
            <w:pPr>
              <w:widowControl/>
              <w:spacing w:line="240" w:lineRule="auto"/>
              <w:ind w:firstLine="0" w:firstLineChars="0"/>
              <w:jc w:val="center"/>
              <w:textAlignment w:val="center"/>
              <w:rPr>
                <w:rFonts w:eastAsia="宋体" w:cs="Times New Roman"/>
                <w:color w:val="000000"/>
                <w:sz w:val="21"/>
                <w:szCs w:val="21"/>
              </w:rPr>
            </w:pPr>
            <w:r>
              <w:rPr>
                <w:rFonts w:cs="Times New Roman"/>
                <w:color w:val="000000"/>
                <w:kern w:val="0"/>
                <w:sz w:val="21"/>
                <w:szCs w:val="21"/>
                <w:lang w:bidi="ar"/>
              </w:rPr>
              <w:t>其中</w:t>
            </w:r>
          </w:p>
        </w:tc>
        <w:tc>
          <w:tcPr>
            <w:tcW w:w="1872" w:type="pct"/>
            <w:gridSpan w:val="2"/>
            <w:noWrap/>
            <w:vAlign w:val="center"/>
          </w:tcPr>
          <w:p w14:paraId="4E45CCF5">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城镇住宅用地</w:t>
            </w:r>
          </w:p>
        </w:tc>
        <w:tc>
          <w:tcPr>
            <w:tcW w:w="1365" w:type="pct"/>
            <w:noWrap/>
            <w:vAlign w:val="center"/>
          </w:tcPr>
          <w:p w14:paraId="66D49F34">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0.26</w:t>
            </w:r>
          </w:p>
        </w:tc>
        <w:tc>
          <w:tcPr>
            <w:tcW w:w="1481" w:type="dxa"/>
            <w:noWrap/>
            <w:vAlign w:val="center"/>
          </w:tcPr>
          <w:p w14:paraId="05EC83AF">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0.24</w:t>
            </w:r>
          </w:p>
        </w:tc>
      </w:tr>
      <w:tr w14:paraId="11941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vMerge w:val="continue"/>
            <w:vAlign w:val="center"/>
          </w:tcPr>
          <w:p w14:paraId="3D2456EA">
            <w:pPr>
              <w:widowControl/>
              <w:spacing w:line="240" w:lineRule="auto"/>
              <w:ind w:firstLine="0" w:firstLineChars="0"/>
              <w:jc w:val="center"/>
              <w:textAlignment w:val="center"/>
              <w:rPr>
                <w:rFonts w:eastAsia="宋体" w:cs="Times New Roman"/>
                <w:color w:val="000000"/>
                <w:kern w:val="0"/>
                <w:sz w:val="21"/>
                <w:szCs w:val="21"/>
                <w:lang w:bidi="ar"/>
              </w:rPr>
            </w:pPr>
          </w:p>
        </w:tc>
        <w:tc>
          <w:tcPr>
            <w:tcW w:w="1872" w:type="pct"/>
            <w:gridSpan w:val="2"/>
            <w:noWrap/>
            <w:vAlign w:val="center"/>
          </w:tcPr>
          <w:p w14:paraId="362735E3">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农村住宅用地</w:t>
            </w:r>
          </w:p>
        </w:tc>
        <w:tc>
          <w:tcPr>
            <w:tcW w:w="1365" w:type="pct"/>
            <w:shd w:val="clear" w:color="auto" w:fill="FFFFFF" w:themeFill="background1"/>
            <w:noWrap/>
            <w:vAlign w:val="center"/>
          </w:tcPr>
          <w:p w14:paraId="194B0801">
            <w:pPr>
              <w:widowControl/>
              <w:spacing w:line="240" w:lineRule="auto"/>
              <w:ind w:firstLine="0" w:firstLineChars="0"/>
              <w:jc w:val="center"/>
              <w:textAlignment w:val="center"/>
              <w:rPr>
                <w:rFonts w:hint="eastAsia" w:ascii="宋体" w:hAnsi="宋体" w:eastAsia="宋体" w:cs="宋体"/>
                <w:color w:val="000000"/>
                <w:sz w:val="22"/>
              </w:rPr>
            </w:pPr>
            <w:r>
              <w:rPr>
                <w:rFonts w:hint="eastAsia" w:eastAsia="宋体" w:cs="Times New Roman"/>
                <w:color w:val="000000"/>
                <w:kern w:val="0"/>
                <w:sz w:val="21"/>
                <w:szCs w:val="21"/>
                <w:lang w:bidi="ar"/>
              </w:rPr>
              <w:t>3.092</w:t>
            </w:r>
          </w:p>
        </w:tc>
        <w:tc>
          <w:tcPr>
            <w:tcW w:w="1481" w:type="dxa"/>
            <w:noWrap/>
            <w:vAlign w:val="center"/>
          </w:tcPr>
          <w:p w14:paraId="6E7ECD3A">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2.83</w:t>
            </w:r>
          </w:p>
        </w:tc>
      </w:tr>
      <w:tr w14:paraId="7A864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vAlign w:val="center"/>
          </w:tcPr>
          <w:p w14:paraId="78AE593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RB</w:t>
            </w:r>
          </w:p>
        </w:tc>
        <w:tc>
          <w:tcPr>
            <w:tcW w:w="1872" w:type="pct"/>
            <w:gridSpan w:val="2"/>
            <w:noWrap/>
            <w:vAlign w:val="center"/>
          </w:tcPr>
          <w:p w14:paraId="53A15B5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商住混合用地</w:t>
            </w:r>
          </w:p>
        </w:tc>
        <w:tc>
          <w:tcPr>
            <w:tcW w:w="1365" w:type="pct"/>
            <w:noWrap/>
            <w:vAlign w:val="center"/>
          </w:tcPr>
          <w:p w14:paraId="703AC43E">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0.11</w:t>
            </w:r>
          </w:p>
        </w:tc>
        <w:tc>
          <w:tcPr>
            <w:tcW w:w="1481" w:type="dxa"/>
            <w:noWrap/>
            <w:vAlign w:val="center"/>
          </w:tcPr>
          <w:p w14:paraId="198766FA">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0.10</w:t>
            </w:r>
          </w:p>
        </w:tc>
      </w:tr>
      <w:tr w14:paraId="7E5AB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0B60FF5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w:t>
            </w:r>
          </w:p>
        </w:tc>
        <w:tc>
          <w:tcPr>
            <w:tcW w:w="1872" w:type="pct"/>
            <w:gridSpan w:val="2"/>
            <w:noWrap/>
            <w:vAlign w:val="center"/>
          </w:tcPr>
          <w:p w14:paraId="232F88E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公共管理与公共服务设施用地</w:t>
            </w:r>
          </w:p>
        </w:tc>
        <w:tc>
          <w:tcPr>
            <w:tcW w:w="1365" w:type="pct"/>
            <w:noWrap/>
            <w:vAlign w:val="center"/>
          </w:tcPr>
          <w:p w14:paraId="71A34AB9">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0.469</w:t>
            </w:r>
          </w:p>
        </w:tc>
        <w:tc>
          <w:tcPr>
            <w:tcW w:w="1481" w:type="dxa"/>
            <w:noWrap/>
            <w:vAlign w:val="center"/>
          </w:tcPr>
          <w:p w14:paraId="20768861">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0.43</w:t>
            </w:r>
          </w:p>
        </w:tc>
      </w:tr>
      <w:tr w14:paraId="27F3D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restart"/>
            <w:vAlign w:val="center"/>
          </w:tcPr>
          <w:p w14:paraId="7A2DE6F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439" w:type="pct"/>
            <w:noWrap/>
            <w:vAlign w:val="center"/>
          </w:tcPr>
          <w:p w14:paraId="4E02230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A1</w:t>
            </w:r>
          </w:p>
        </w:tc>
        <w:tc>
          <w:tcPr>
            <w:tcW w:w="1872" w:type="pct"/>
            <w:gridSpan w:val="2"/>
            <w:noWrap/>
            <w:vAlign w:val="center"/>
          </w:tcPr>
          <w:p w14:paraId="43070EF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行政办公用地</w:t>
            </w:r>
          </w:p>
        </w:tc>
        <w:tc>
          <w:tcPr>
            <w:tcW w:w="1365" w:type="pct"/>
            <w:noWrap/>
            <w:vAlign w:val="center"/>
          </w:tcPr>
          <w:p w14:paraId="00D64638">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0.051</w:t>
            </w:r>
          </w:p>
        </w:tc>
        <w:tc>
          <w:tcPr>
            <w:tcW w:w="1481" w:type="dxa"/>
            <w:noWrap/>
            <w:vAlign w:val="center"/>
          </w:tcPr>
          <w:p w14:paraId="37508B11">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0.05</w:t>
            </w:r>
          </w:p>
        </w:tc>
      </w:tr>
      <w:tr w14:paraId="133E3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vAlign w:val="center"/>
          </w:tcPr>
          <w:p w14:paraId="4FC8A891">
            <w:pPr>
              <w:widowControl/>
              <w:spacing w:line="240" w:lineRule="auto"/>
              <w:ind w:firstLine="0" w:firstLineChars="0"/>
              <w:jc w:val="center"/>
              <w:rPr>
                <w:rFonts w:cs="Times New Roman"/>
                <w:color w:val="000000"/>
                <w:sz w:val="21"/>
                <w:szCs w:val="21"/>
              </w:rPr>
            </w:pPr>
          </w:p>
        </w:tc>
        <w:tc>
          <w:tcPr>
            <w:tcW w:w="439" w:type="pct"/>
            <w:noWrap/>
            <w:vAlign w:val="center"/>
          </w:tcPr>
          <w:p w14:paraId="5FF7A31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w:t>
            </w:r>
            <w:r>
              <w:rPr>
                <w:rFonts w:hint="eastAsia" w:eastAsia="宋体" w:cs="Times New Roman"/>
                <w:color w:val="000000"/>
                <w:kern w:val="0"/>
                <w:sz w:val="21"/>
                <w:szCs w:val="21"/>
                <w:lang w:bidi="ar"/>
              </w:rPr>
              <w:t>2</w:t>
            </w:r>
          </w:p>
        </w:tc>
        <w:tc>
          <w:tcPr>
            <w:tcW w:w="1872" w:type="pct"/>
            <w:gridSpan w:val="2"/>
            <w:noWrap/>
            <w:vAlign w:val="center"/>
          </w:tcPr>
          <w:p w14:paraId="3A393A3F">
            <w:pPr>
              <w:widowControl/>
              <w:spacing w:line="240" w:lineRule="auto"/>
              <w:ind w:firstLine="0" w:firstLineChars="0"/>
              <w:jc w:val="center"/>
              <w:textAlignment w:val="center"/>
              <w:rPr>
                <w:rFonts w:cs="Times New Roman"/>
                <w:color w:val="000000"/>
                <w:sz w:val="21"/>
                <w:szCs w:val="21"/>
              </w:rPr>
            </w:pPr>
            <w:r>
              <w:rPr>
                <w:rFonts w:cs="Times New Roman"/>
                <w:color w:val="000000"/>
                <w:sz w:val="21"/>
                <w:szCs w:val="21"/>
              </w:rPr>
              <w:t>文化设施用地</w:t>
            </w:r>
          </w:p>
        </w:tc>
        <w:tc>
          <w:tcPr>
            <w:tcW w:w="1365" w:type="pct"/>
            <w:noWrap/>
            <w:vAlign w:val="center"/>
          </w:tcPr>
          <w:p w14:paraId="407C4AE5">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0.003</w:t>
            </w:r>
          </w:p>
        </w:tc>
        <w:tc>
          <w:tcPr>
            <w:tcW w:w="1481" w:type="dxa"/>
            <w:noWrap/>
            <w:vAlign w:val="center"/>
          </w:tcPr>
          <w:p w14:paraId="7B51FC05">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0.00</w:t>
            </w:r>
          </w:p>
        </w:tc>
      </w:tr>
      <w:tr w14:paraId="4F30A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vAlign w:val="center"/>
          </w:tcPr>
          <w:p w14:paraId="5567CB0C">
            <w:pPr>
              <w:widowControl/>
              <w:spacing w:line="240" w:lineRule="auto"/>
              <w:ind w:firstLine="0" w:firstLineChars="0"/>
              <w:jc w:val="center"/>
              <w:rPr>
                <w:rFonts w:cs="Times New Roman"/>
                <w:color w:val="000000"/>
                <w:sz w:val="21"/>
                <w:szCs w:val="21"/>
              </w:rPr>
            </w:pPr>
          </w:p>
        </w:tc>
        <w:tc>
          <w:tcPr>
            <w:tcW w:w="439" w:type="pct"/>
            <w:noWrap/>
            <w:vAlign w:val="center"/>
          </w:tcPr>
          <w:p w14:paraId="09E57E9A">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A3</w:t>
            </w:r>
          </w:p>
        </w:tc>
        <w:tc>
          <w:tcPr>
            <w:tcW w:w="1872" w:type="pct"/>
            <w:gridSpan w:val="2"/>
            <w:noWrap/>
            <w:vAlign w:val="center"/>
          </w:tcPr>
          <w:p w14:paraId="44369B5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教育科研用地</w:t>
            </w:r>
          </w:p>
        </w:tc>
        <w:tc>
          <w:tcPr>
            <w:tcW w:w="1365" w:type="pct"/>
            <w:noWrap/>
            <w:vAlign w:val="center"/>
          </w:tcPr>
          <w:p w14:paraId="7DF2E1D9">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0.107</w:t>
            </w:r>
          </w:p>
        </w:tc>
        <w:tc>
          <w:tcPr>
            <w:tcW w:w="1481" w:type="dxa"/>
            <w:noWrap/>
            <w:vAlign w:val="center"/>
          </w:tcPr>
          <w:p w14:paraId="69CF4255">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0.10</w:t>
            </w:r>
          </w:p>
        </w:tc>
      </w:tr>
      <w:tr w14:paraId="1A24D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vAlign w:val="center"/>
          </w:tcPr>
          <w:p w14:paraId="18239260">
            <w:pPr>
              <w:widowControl/>
              <w:spacing w:line="240" w:lineRule="auto"/>
              <w:ind w:firstLine="0" w:firstLineChars="0"/>
              <w:jc w:val="center"/>
              <w:rPr>
                <w:rFonts w:cs="Times New Roman"/>
                <w:color w:val="000000"/>
                <w:sz w:val="21"/>
                <w:szCs w:val="21"/>
              </w:rPr>
            </w:pPr>
          </w:p>
        </w:tc>
        <w:tc>
          <w:tcPr>
            <w:tcW w:w="439" w:type="pct"/>
            <w:noWrap/>
            <w:vAlign w:val="center"/>
          </w:tcPr>
          <w:p w14:paraId="27B3387B">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A4</w:t>
            </w:r>
          </w:p>
        </w:tc>
        <w:tc>
          <w:tcPr>
            <w:tcW w:w="1872" w:type="pct"/>
            <w:gridSpan w:val="2"/>
            <w:noWrap/>
            <w:vAlign w:val="center"/>
          </w:tcPr>
          <w:p w14:paraId="218A84BA">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体育用地</w:t>
            </w:r>
          </w:p>
        </w:tc>
        <w:tc>
          <w:tcPr>
            <w:tcW w:w="1365" w:type="pct"/>
            <w:noWrap/>
            <w:vAlign w:val="center"/>
          </w:tcPr>
          <w:p w14:paraId="5A129655">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0.001</w:t>
            </w:r>
          </w:p>
        </w:tc>
        <w:tc>
          <w:tcPr>
            <w:tcW w:w="1481" w:type="dxa"/>
            <w:noWrap/>
            <w:vAlign w:val="center"/>
          </w:tcPr>
          <w:p w14:paraId="161E0EA7">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0.00</w:t>
            </w:r>
          </w:p>
        </w:tc>
      </w:tr>
      <w:tr w14:paraId="6363C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vAlign w:val="center"/>
          </w:tcPr>
          <w:p w14:paraId="11BF2834">
            <w:pPr>
              <w:widowControl/>
              <w:spacing w:line="240" w:lineRule="auto"/>
              <w:ind w:firstLine="0" w:firstLineChars="0"/>
              <w:jc w:val="center"/>
              <w:rPr>
                <w:rFonts w:cs="Times New Roman"/>
                <w:color w:val="000000"/>
                <w:sz w:val="21"/>
                <w:szCs w:val="21"/>
              </w:rPr>
            </w:pPr>
          </w:p>
        </w:tc>
        <w:tc>
          <w:tcPr>
            <w:tcW w:w="439" w:type="pct"/>
            <w:noWrap/>
            <w:vAlign w:val="center"/>
          </w:tcPr>
          <w:p w14:paraId="6D7602C4">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A5</w:t>
            </w:r>
          </w:p>
        </w:tc>
        <w:tc>
          <w:tcPr>
            <w:tcW w:w="1872" w:type="pct"/>
            <w:gridSpan w:val="2"/>
            <w:noWrap/>
            <w:vAlign w:val="center"/>
          </w:tcPr>
          <w:p w14:paraId="63551C07">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医疗卫生用地</w:t>
            </w:r>
          </w:p>
        </w:tc>
        <w:tc>
          <w:tcPr>
            <w:tcW w:w="1365" w:type="pct"/>
            <w:noWrap/>
            <w:vAlign w:val="center"/>
          </w:tcPr>
          <w:p w14:paraId="53211813">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0.07</w:t>
            </w:r>
          </w:p>
        </w:tc>
        <w:tc>
          <w:tcPr>
            <w:tcW w:w="1481" w:type="dxa"/>
            <w:noWrap/>
            <w:vAlign w:val="center"/>
          </w:tcPr>
          <w:p w14:paraId="37A58172">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0.06</w:t>
            </w:r>
          </w:p>
        </w:tc>
      </w:tr>
      <w:tr w14:paraId="778FF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vAlign w:val="center"/>
          </w:tcPr>
          <w:p w14:paraId="059CF6EE">
            <w:pPr>
              <w:widowControl/>
              <w:spacing w:line="240" w:lineRule="auto"/>
              <w:ind w:firstLine="0" w:firstLineChars="0"/>
              <w:jc w:val="center"/>
              <w:rPr>
                <w:rFonts w:cs="Times New Roman"/>
                <w:color w:val="000000"/>
                <w:sz w:val="21"/>
                <w:szCs w:val="21"/>
              </w:rPr>
            </w:pPr>
          </w:p>
        </w:tc>
        <w:tc>
          <w:tcPr>
            <w:tcW w:w="439" w:type="pct"/>
            <w:noWrap/>
            <w:vAlign w:val="center"/>
          </w:tcPr>
          <w:p w14:paraId="71B9AEBF">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A6</w:t>
            </w:r>
          </w:p>
        </w:tc>
        <w:tc>
          <w:tcPr>
            <w:tcW w:w="1872" w:type="pct"/>
            <w:gridSpan w:val="2"/>
            <w:noWrap/>
            <w:vAlign w:val="center"/>
          </w:tcPr>
          <w:p w14:paraId="7B71CE9E">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社会福利用地</w:t>
            </w:r>
          </w:p>
        </w:tc>
        <w:tc>
          <w:tcPr>
            <w:tcW w:w="1365" w:type="pct"/>
            <w:noWrap/>
            <w:vAlign w:val="center"/>
          </w:tcPr>
          <w:p w14:paraId="58107FB4">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0.001</w:t>
            </w:r>
          </w:p>
        </w:tc>
        <w:tc>
          <w:tcPr>
            <w:tcW w:w="1481" w:type="dxa"/>
            <w:noWrap/>
            <w:vAlign w:val="center"/>
          </w:tcPr>
          <w:p w14:paraId="0C00036C">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0.00</w:t>
            </w:r>
          </w:p>
        </w:tc>
      </w:tr>
      <w:tr w14:paraId="04D34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vAlign w:val="center"/>
          </w:tcPr>
          <w:p w14:paraId="68043CF4">
            <w:pPr>
              <w:widowControl/>
              <w:spacing w:line="240" w:lineRule="auto"/>
              <w:ind w:firstLine="0" w:firstLineChars="0"/>
              <w:jc w:val="center"/>
              <w:rPr>
                <w:rFonts w:cs="Times New Roman"/>
                <w:color w:val="000000"/>
                <w:sz w:val="21"/>
                <w:szCs w:val="21"/>
              </w:rPr>
            </w:pPr>
          </w:p>
        </w:tc>
        <w:tc>
          <w:tcPr>
            <w:tcW w:w="439" w:type="pct"/>
            <w:noWrap/>
            <w:vAlign w:val="center"/>
          </w:tcPr>
          <w:p w14:paraId="05A3468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A9</w:t>
            </w:r>
          </w:p>
        </w:tc>
        <w:tc>
          <w:tcPr>
            <w:tcW w:w="1872" w:type="pct"/>
            <w:gridSpan w:val="2"/>
            <w:noWrap/>
            <w:vAlign w:val="center"/>
          </w:tcPr>
          <w:p w14:paraId="63D502A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宗教设施用地</w:t>
            </w:r>
          </w:p>
        </w:tc>
        <w:tc>
          <w:tcPr>
            <w:tcW w:w="1365" w:type="pct"/>
            <w:noWrap/>
            <w:vAlign w:val="center"/>
          </w:tcPr>
          <w:p w14:paraId="7DD4A70C">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0.236</w:t>
            </w:r>
          </w:p>
        </w:tc>
        <w:tc>
          <w:tcPr>
            <w:tcW w:w="1481" w:type="dxa"/>
            <w:noWrap/>
            <w:vAlign w:val="center"/>
          </w:tcPr>
          <w:p w14:paraId="62196F65">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0.22</w:t>
            </w:r>
          </w:p>
        </w:tc>
      </w:tr>
      <w:tr w14:paraId="783B6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3993669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B</w:t>
            </w:r>
          </w:p>
        </w:tc>
        <w:tc>
          <w:tcPr>
            <w:tcW w:w="1872" w:type="pct"/>
            <w:gridSpan w:val="2"/>
            <w:noWrap/>
            <w:vAlign w:val="center"/>
          </w:tcPr>
          <w:p w14:paraId="66D3BF1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商业服务业设施用地</w:t>
            </w:r>
          </w:p>
        </w:tc>
        <w:tc>
          <w:tcPr>
            <w:tcW w:w="1365" w:type="pct"/>
            <w:noWrap/>
            <w:vAlign w:val="center"/>
          </w:tcPr>
          <w:p w14:paraId="6456C872">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1.583</w:t>
            </w:r>
          </w:p>
        </w:tc>
        <w:tc>
          <w:tcPr>
            <w:tcW w:w="1481" w:type="dxa"/>
            <w:noWrap/>
            <w:vAlign w:val="center"/>
          </w:tcPr>
          <w:p w14:paraId="70549740">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1.45</w:t>
            </w:r>
          </w:p>
        </w:tc>
      </w:tr>
      <w:tr w14:paraId="504D9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1A694C1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w:t>
            </w:r>
          </w:p>
        </w:tc>
        <w:tc>
          <w:tcPr>
            <w:tcW w:w="1872" w:type="pct"/>
            <w:gridSpan w:val="2"/>
            <w:noWrap/>
            <w:vAlign w:val="center"/>
          </w:tcPr>
          <w:p w14:paraId="5497B7A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物流仓储用地</w:t>
            </w:r>
          </w:p>
        </w:tc>
        <w:tc>
          <w:tcPr>
            <w:tcW w:w="1365" w:type="pct"/>
            <w:noWrap/>
            <w:vAlign w:val="center"/>
          </w:tcPr>
          <w:p w14:paraId="5B6EA56A">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0.005</w:t>
            </w:r>
          </w:p>
        </w:tc>
        <w:tc>
          <w:tcPr>
            <w:tcW w:w="1481" w:type="dxa"/>
            <w:noWrap/>
            <w:vAlign w:val="center"/>
          </w:tcPr>
          <w:p w14:paraId="3ECCC27A">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0.00</w:t>
            </w:r>
          </w:p>
        </w:tc>
      </w:tr>
      <w:tr w14:paraId="2AC0F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4C7B01E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S</w:t>
            </w:r>
          </w:p>
        </w:tc>
        <w:tc>
          <w:tcPr>
            <w:tcW w:w="1872" w:type="pct"/>
            <w:gridSpan w:val="2"/>
            <w:noWrap/>
            <w:vAlign w:val="center"/>
          </w:tcPr>
          <w:p w14:paraId="26057F8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道路与交通设施用地</w:t>
            </w:r>
          </w:p>
        </w:tc>
        <w:tc>
          <w:tcPr>
            <w:tcW w:w="1365" w:type="pct"/>
            <w:noWrap/>
            <w:vAlign w:val="center"/>
          </w:tcPr>
          <w:p w14:paraId="3BF9E16A">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3.112</w:t>
            </w:r>
          </w:p>
        </w:tc>
        <w:tc>
          <w:tcPr>
            <w:tcW w:w="1481" w:type="dxa"/>
            <w:noWrap/>
            <w:vAlign w:val="center"/>
          </w:tcPr>
          <w:p w14:paraId="7C498003">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2.84</w:t>
            </w:r>
          </w:p>
        </w:tc>
      </w:tr>
      <w:tr w14:paraId="49ACE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46FD591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U</w:t>
            </w:r>
          </w:p>
        </w:tc>
        <w:tc>
          <w:tcPr>
            <w:tcW w:w="1872" w:type="pct"/>
            <w:gridSpan w:val="2"/>
            <w:noWrap/>
            <w:vAlign w:val="center"/>
          </w:tcPr>
          <w:p w14:paraId="004FE44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公用设施用地</w:t>
            </w:r>
          </w:p>
        </w:tc>
        <w:tc>
          <w:tcPr>
            <w:tcW w:w="1365" w:type="pct"/>
            <w:noWrap/>
            <w:vAlign w:val="center"/>
          </w:tcPr>
          <w:p w14:paraId="13F47918">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0.72</w:t>
            </w:r>
          </w:p>
        </w:tc>
        <w:tc>
          <w:tcPr>
            <w:tcW w:w="1481" w:type="dxa"/>
            <w:noWrap/>
            <w:vAlign w:val="center"/>
          </w:tcPr>
          <w:p w14:paraId="24D63B47">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0.66</w:t>
            </w:r>
          </w:p>
        </w:tc>
      </w:tr>
      <w:tr w14:paraId="518B8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08EA28F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G</w:t>
            </w:r>
          </w:p>
        </w:tc>
        <w:tc>
          <w:tcPr>
            <w:tcW w:w="1872" w:type="pct"/>
            <w:gridSpan w:val="2"/>
            <w:noWrap/>
            <w:vAlign w:val="center"/>
          </w:tcPr>
          <w:p w14:paraId="1A335A1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绿地与广场用地</w:t>
            </w:r>
          </w:p>
        </w:tc>
        <w:tc>
          <w:tcPr>
            <w:tcW w:w="1365" w:type="pct"/>
            <w:noWrap/>
            <w:vAlign w:val="center"/>
          </w:tcPr>
          <w:p w14:paraId="3F12DDB9">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0.023</w:t>
            </w:r>
          </w:p>
        </w:tc>
        <w:tc>
          <w:tcPr>
            <w:tcW w:w="1481" w:type="dxa"/>
            <w:noWrap/>
            <w:vAlign w:val="center"/>
          </w:tcPr>
          <w:p w14:paraId="51D0C7BD">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0.02</w:t>
            </w:r>
          </w:p>
        </w:tc>
      </w:tr>
      <w:tr w14:paraId="618D4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2" w:type="pct"/>
            <w:gridSpan w:val="2"/>
            <w:noWrap/>
            <w:vAlign w:val="center"/>
          </w:tcPr>
          <w:p w14:paraId="71B015E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w:t>
            </w:r>
          </w:p>
        </w:tc>
        <w:tc>
          <w:tcPr>
            <w:tcW w:w="1872" w:type="pct"/>
            <w:gridSpan w:val="2"/>
            <w:noWrap/>
            <w:vAlign w:val="center"/>
          </w:tcPr>
          <w:p w14:paraId="0B4600E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非建设用地</w:t>
            </w:r>
          </w:p>
        </w:tc>
        <w:tc>
          <w:tcPr>
            <w:tcW w:w="2327" w:type="dxa"/>
            <w:noWrap/>
            <w:vAlign w:val="center"/>
          </w:tcPr>
          <w:p w14:paraId="179CCB93">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100.026</w:t>
            </w:r>
          </w:p>
        </w:tc>
        <w:tc>
          <w:tcPr>
            <w:tcW w:w="1481" w:type="dxa"/>
            <w:noWrap/>
            <w:vAlign w:val="center"/>
          </w:tcPr>
          <w:p w14:paraId="753A8856">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91.43</w:t>
            </w:r>
          </w:p>
        </w:tc>
      </w:tr>
      <w:tr w14:paraId="5C103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restart"/>
            <w:noWrap/>
            <w:vAlign w:val="center"/>
          </w:tcPr>
          <w:p w14:paraId="03AE308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439" w:type="pct"/>
            <w:vAlign w:val="center"/>
          </w:tcPr>
          <w:p w14:paraId="4C87BC0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E1</w:t>
            </w:r>
          </w:p>
        </w:tc>
        <w:tc>
          <w:tcPr>
            <w:tcW w:w="1872" w:type="pct"/>
            <w:gridSpan w:val="2"/>
            <w:noWrap/>
            <w:vAlign w:val="center"/>
          </w:tcPr>
          <w:p w14:paraId="0E441E8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水域</w:t>
            </w:r>
          </w:p>
        </w:tc>
        <w:tc>
          <w:tcPr>
            <w:tcW w:w="2327" w:type="dxa"/>
            <w:noWrap/>
            <w:vAlign w:val="center"/>
          </w:tcPr>
          <w:p w14:paraId="6652C773">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11.75</w:t>
            </w:r>
          </w:p>
        </w:tc>
        <w:tc>
          <w:tcPr>
            <w:tcW w:w="1481" w:type="dxa"/>
            <w:noWrap/>
            <w:vAlign w:val="center"/>
          </w:tcPr>
          <w:p w14:paraId="10BA7467">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10.74</w:t>
            </w:r>
          </w:p>
        </w:tc>
      </w:tr>
      <w:tr w14:paraId="42353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noWrap/>
            <w:vAlign w:val="center"/>
          </w:tcPr>
          <w:p w14:paraId="75FE4210">
            <w:pPr>
              <w:widowControl/>
              <w:spacing w:line="240" w:lineRule="auto"/>
              <w:ind w:firstLine="0" w:firstLineChars="0"/>
              <w:jc w:val="center"/>
              <w:rPr>
                <w:rFonts w:cs="Times New Roman"/>
                <w:color w:val="000000"/>
                <w:sz w:val="21"/>
                <w:szCs w:val="21"/>
              </w:rPr>
            </w:pPr>
          </w:p>
        </w:tc>
        <w:tc>
          <w:tcPr>
            <w:tcW w:w="439" w:type="pct"/>
            <w:vAlign w:val="center"/>
          </w:tcPr>
          <w:p w14:paraId="3639443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w:t>
            </w:r>
          </w:p>
        </w:tc>
        <w:tc>
          <w:tcPr>
            <w:tcW w:w="1872" w:type="pct"/>
            <w:gridSpan w:val="2"/>
            <w:noWrap/>
            <w:vAlign w:val="center"/>
          </w:tcPr>
          <w:p w14:paraId="4DFADB1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农林用地</w:t>
            </w:r>
          </w:p>
        </w:tc>
        <w:tc>
          <w:tcPr>
            <w:tcW w:w="2327" w:type="dxa"/>
            <w:noWrap/>
            <w:vAlign w:val="center"/>
          </w:tcPr>
          <w:p w14:paraId="2BB46E94">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88.276</w:t>
            </w:r>
          </w:p>
        </w:tc>
        <w:tc>
          <w:tcPr>
            <w:tcW w:w="1481" w:type="dxa"/>
            <w:noWrap/>
            <w:vAlign w:val="center"/>
          </w:tcPr>
          <w:p w14:paraId="44030074">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80.69</w:t>
            </w:r>
          </w:p>
        </w:tc>
      </w:tr>
      <w:tr w14:paraId="47970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noWrap/>
            <w:vAlign w:val="center"/>
          </w:tcPr>
          <w:p w14:paraId="0D81D26C">
            <w:pPr>
              <w:widowControl/>
              <w:spacing w:line="240" w:lineRule="auto"/>
              <w:ind w:firstLine="0" w:firstLineChars="0"/>
              <w:jc w:val="center"/>
              <w:rPr>
                <w:rFonts w:cs="Times New Roman"/>
                <w:color w:val="000000"/>
                <w:sz w:val="21"/>
                <w:szCs w:val="21"/>
              </w:rPr>
            </w:pPr>
          </w:p>
        </w:tc>
        <w:tc>
          <w:tcPr>
            <w:tcW w:w="439" w:type="pct"/>
            <w:vMerge w:val="restart"/>
            <w:vAlign w:val="center"/>
          </w:tcPr>
          <w:p w14:paraId="48722F5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434" w:type="pct"/>
            <w:noWrap/>
            <w:vAlign w:val="center"/>
          </w:tcPr>
          <w:p w14:paraId="5F8EAF4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E2a</w:t>
            </w:r>
          </w:p>
        </w:tc>
        <w:tc>
          <w:tcPr>
            <w:tcW w:w="1438" w:type="pct"/>
            <w:vAlign w:val="center"/>
          </w:tcPr>
          <w:p w14:paraId="7FE67FF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耕地</w:t>
            </w:r>
          </w:p>
        </w:tc>
        <w:tc>
          <w:tcPr>
            <w:tcW w:w="2327" w:type="dxa"/>
            <w:vAlign w:val="center"/>
          </w:tcPr>
          <w:p w14:paraId="48C74240">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12.297</w:t>
            </w:r>
          </w:p>
        </w:tc>
        <w:tc>
          <w:tcPr>
            <w:tcW w:w="1481" w:type="dxa"/>
            <w:vAlign w:val="center"/>
          </w:tcPr>
          <w:p w14:paraId="1F457B47">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11.24</w:t>
            </w:r>
          </w:p>
        </w:tc>
      </w:tr>
      <w:tr w14:paraId="3D6F8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noWrap/>
            <w:vAlign w:val="center"/>
          </w:tcPr>
          <w:p w14:paraId="07F7F552">
            <w:pPr>
              <w:widowControl/>
              <w:spacing w:line="240" w:lineRule="auto"/>
              <w:ind w:firstLine="0" w:firstLineChars="0"/>
              <w:jc w:val="center"/>
              <w:rPr>
                <w:rFonts w:cs="Times New Roman"/>
                <w:color w:val="000000"/>
                <w:sz w:val="21"/>
                <w:szCs w:val="21"/>
              </w:rPr>
            </w:pPr>
          </w:p>
        </w:tc>
        <w:tc>
          <w:tcPr>
            <w:tcW w:w="439" w:type="pct"/>
            <w:vMerge w:val="continue"/>
            <w:vAlign w:val="center"/>
          </w:tcPr>
          <w:p w14:paraId="4E8AF6D9">
            <w:pPr>
              <w:widowControl/>
              <w:spacing w:line="240" w:lineRule="auto"/>
              <w:ind w:firstLine="0" w:firstLineChars="0"/>
              <w:jc w:val="center"/>
              <w:rPr>
                <w:rFonts w:cs="Times New Roman"/>
                <w:color w:val="000000"/>
                <w:sz w:val="21"/>
                <w:szCs w:val="21"/>
              </w:rPr>
            </w:pPr>
          </w:p>
        </w:tc>
        <w:tc>
          <w:tcPr>
            <w:tcW w:w="434" w:type="pct"/>
            <w:noWrap/>
            <w:vAlign w:val="center"/>
          </w:tcPr>
          <w:p w14:paraId="442CB52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E2b</w:t>
            </w:r>
          </w:p>
        </w:tc>
        <w:tc>
          <w:tcPr>
            <w:tcW w:w="1438" w:type="pct"/>
            <w:vAlign w:val="center"/>
          </w:tcPr>
          <w:p w14:paraId="022F711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园地</w:t>
            </w:r>
          </w:p>
        </w:tc>
        <w:tc>
          <w:tcPr>
            <w:tcW w:w="2327" w:type="dxa"/>
            <w:vAlign w:val="center"/>
          </w:tcPr>
          <w:p w14:paraId="71124EDA">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9.274</w:t>
            </w:r>
          </w:p>
        </w:tc>
        <w:tc>
          <w:tcPr>
            <w:tcW w:w="1481" w:type="dxa"/>
            <w:vAlign w:val="center"/>
          </w:tcPr>
          <w:p w14:paraId="6667F6AF">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8.48</w:t>
            </w:r>
          </w:p>
        </w:tc>
      </w:tr>
      <w:tr w14:paraId="26B31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noWrap/>
            <w:vAlign w:val="center"/>
          </w:tcPr>
          <w:p w14:paraId="79C025C2">
            <w:pPr>
              <w:widowControl/>
              <w:spacing w:line="240" w:lineRule="auto"/>
              <w:ind w:firstLine="0" w:firstLineChars="0"/>
              <w:jc w:val="center"/>
              <w:rPr>
                <w:rFonts w:cs="Times New Roman"/>
                <w:color w:val="000000"/>
                <w:sz w:val="21"/>
                <w:szCs w:val="21"/>
              </w:rPr>
            </w:pPr>
          </w:p>
        </w:tc>
        <w:tc>
          <w:tcPr>
            <w:tcW w:w="439" w:type="pct"/>
            <w:vMerge w:val="continue"/>
            <w:vAlign w:val="center"/>
          </w:tcPr>
          <w:p w14:paraId="5B758BEB">
            <w:pPr>
              <w:widowControl/>
              <w:spacing w:line="240" w:lineRule="auto"/>
              <w:ind w:firstLine="0" w:firstLineChars="0"/>
              <w:jc w:val="center"/>
              <w:rPr>
                <w:rFonts w:cs="Times New Roman"/>
                <w:color w:val="000000"/>
                <w:sz w:val="21"/>
                <w:szCs w:val="21"/>
              </w:rPr>
            </w:pPr>
          </w:p>
        </w:tc>
        <w:tc>
          <w:tcPr>
            <w:tcW w:w="434" w:type="pct"/>
            <w:noWrap/>
            <w:vAlign w:val="center"/>
          </w:tcPr>
          <w:p w14:paraId="4785ADB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E2c</w:t>
            </w:r>
          </w:p>
        </w:tc>
        <w:tc>
          <w:tcPr>
            <w:tcW w:w="1438" w:type="pct"/>
            <w:vAlign w:val="center"/>
          </w:tcPr>
          <w:p w14:paraId="6E66C65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林地</w:t>
            </w:r>
          </w:p>
        </w:tc>
        <w:tc>
          <w:tcPr>
            <w:tcW w:w="2327" w:type="dxa"/>
            <w:vAlign w:val="center"/>
          </w:tcPr>
          <w:p w14:paraId="77D39E31">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61.881</w:t>
            </w:r>
          </w:p>
        </w:tc>
        <w:tc>
          <w:tcPr>
            <w:tcW w:w="1481" w:type="dxa"/>
            <w:vAlign w:val="center"/>
          </w:tcPr>
          <w:p w14:paraId="0C68ACA0">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56.56</w:t>
            </w:r>
          </w:p>
        </w:tc>
      </w:tr>
      <w:tr w14:paraId="6888D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noWrap/>
            <w:vAlign w:val="center"/>
          </w:tcPr>
          <w:p w14:paraId="404A61E5">
            <w:pPr>
              <w:widowControl/>
              <w:spacing w:line="240" w:lineRule="auto"/>
              <w:ind w:firstLine="0" w:firstLineChars="0"/>
              <w:jc w:val="center"/>
              <w:rPr>
                <w:rFonts w:cs="Times New Roman"/>
                <w:color w:val="000000"/>
                <w:sz w:val="21"/>
                <w:szCs w:val="21"/>
              </w:rPr>
            </w:pPr>
          </w:p>
        </w:tc>
        <w:tc>
          <w:tcPr>
            <w:tcW w:w="439" w:type="pct"/>
            <w:vMerge w:val="continue"/>
            <w:vAlign w:val="center"/>
          </w:tcPr>
          <w:p w14:paraId="009A7479">
            <w:pPr>
              <w:widowControl/>
              <w:spacing w:line="240" w:lineRule="auto"/>
              <w:ind w:firstLine="0" w:firstLineChars="0"/>
              <w:jc w:val="center"/>
              <w:rPr>
                <w:rFonts w:cs="Times New Roman"/>
                <w:color w:val="000000"/>
                <w:sz w:val="21"/>
                <w:szCs w:val="21"/>
              </w:rPr>
            </w:pPr>
          </w:p>
        </w:tc>
        <w:tc>
          <w:tcPr>
            <w:tcW w:w="434" w:type="pct"/>
            <w:noWrap/>
            <w:vAlign w:val="center"/>
          </w:tcPr>
          <w:p w14:paraId="4072F71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E2d</w:t>
            </w:r>
          </w:p>
        </w:tc>
        <w:tc>
          <w:tcPr>
            <w:tcW w:w="1438" w:type="pct"/>
            <w:vAlign w:val="center"/>
          </w:tcPr>
          <w:p w14:paraId="157ECD0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草地</w:t>
            </w:r>
          </w:p>
        </w:tc>
        <w:tc>
          <w:tcPr>
            <w:tcW w:w="2327" w:type="dxa"/>
            <w:vAlign w:val="center"/>
          </w:tcPr>
          <w:p w14:paraId="3C8B90E1">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1.615</w:t>
            </w:r>
          </w:p>
        </w:tc>
        <w:tc>
          <w:tcPr>
            <w:tcW w:w="1481" w:type="dxa"/>
            <w:vAlign w:val="center"/>
          </w:tcPr>
          <w:p w14:paraId="5141E8B2">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1.48</w:t>
            </w:r>
          </w:p>
        </w:tc>
      </w:tr>
      <w:tr w14:paraId="08546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53" w:type="pct"/>
            <w:vMerge w:val="continue"/>
            <w:noWrap/>
            <w:vAlign w:val="center"/>
          </w:tcPr>
          <w:p w14:paraId="63A639B0">
            <w:pPr>
              <w:widowControl/>
              <w:spacing w:line="240" w:lineRule="auto"/>
              <w:ind w:firstLine="0" w:firstLineChars="0"/>
              <w:jc w:val="center"/>
              <w:rPr>
                <w:rFonts w:cs="Times New Roman"/>
                <w:color w:val="000000"/>
                <w:sz w:val="21"/>
                <w:szCs w:val="21"/>
              </w:rPr>
            </w:pPr>
          </w:p>
        </w:tc>
        <w:tc>
          <w:tcPr>
            <w:tcW w:w="439" w:type="pct"/>
            <w:vMerge w:val="continue"/>
            <w:vAlign w:val="center"/>
          </w:tcPr>
          <w:p w14:paraId="7B0006C0">
            <w:pPr>
              <w:widowControl/>
              <w:spacing w:line="240" w:lineRule="auto"/>
              <w:ind w:firstLine="0" w:firstLineChars="0"/>
              <w:jc w:val="center"/>
              <w:rPr>
                <w:rFonts w:cs="Times New Roman"/>
                <w:color w:val="000000"/>
                <w:sz w:val="21"/>
                <w:szCs w:val="21"/>
              </w:rPr>
            </w:pPr>
          </w:p>
        </w:tc>
        <w:tc>
          <w:tcPr>
            <w:tcW w:w="434" w:type="pct"/>
            <w:noWrap/>
            <w:vAlign w:val="center"/>
          </w:tcPr>
          <w:p w14:paraId="4B0FF09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E2f</w:t>
            </w:r>
          </w:p>
        </w:tc>
        <w:tc>
          <w:tcPr>
            <w:tcW w:w="1438" w:type="pct"/>
            <w:noWrap/>
            <w:vAlign w:val="center"/>
          </w:tcPr>
          <w:p w14:paraId="3D8D4F4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设施农用地</w:t>
            </w:r>
          </w:p>
        </w:tc>
        <w:tc>
          <w:tcPr>
            <w:tcW w:w="2327" w:type="dxa"/>
            <w:noWrap/>
            <w:vAlign w:val="center"/>
          </w:tcPr>
          <w:p w14:paraId="71275E1C">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3.209</w:t>
            </w:r>
          </w:p>
        </w:tc>
        <w:tc>
          <w:tcPr>
            <w:tcW w:w="1481" w:type="dxa"/>
            <w:noWrap/>
            <w:vAlign w:val="center"/>
          </w:tcPr>
          <w:p w14:paraId="0E525A07">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2.93</w:t>
            </w:r>
          </w:p>
        </w:tc>
      </w:tr>
      <w:tr w14:paraId="4928D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764" w:type="pct"/>
            <w:gridSpan w:val="4"/>
            <w:noWrap/>
            <w:vAlign w:val="center"/>
          </w:tcPr>
          <w:p w14:paraId="296AC9B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合计</w:t>
            </w:r>
          </w:p>
        </w:tc>
        <w:tc>
          <w:tcPr>
            <w:tcW w:w="1365" w:type="pct"/>
            <w:noWrap/>
            <w:vAlign w:val="center"/>
          </w:tcPr>
          <w:p w14:paraId="00C943D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109.40</w:t>
            </w:r>
          </w:p>
        </w:tc>
        <w:tc>
          <w:tcPr>
            <w:tcW w:w="1481" w:type="dxa"/>
            <w:noWrap/>
            <w:vAlign w:val="center"/>
          </w:tcPr>
          <w:p w14:paraId="443BE765">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100.00</w:t>
            </w:r>
          </w:p>
        </w:tc>
      </w:tr>
    </w:tbl>
    <w:p w14:paraId="3FBA7B64">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w:t>
      </w:r>
      <w:r>
        <w:rPr>
          <w:rFonts w:hint="eastAsia" w:eastAsia="方正楷体_GBK" w:cs="Times New Roman"/>
          <w:b/>
          <w:bCs/>
          <w:szCs w:val="28"/>
          <w14:ligatures w14:val="none"/>
        </w:rPr>
        <w:t>7基础设施规划</w:t>
      </w:r>
    </w:p>
    <w:p w14:paraId="701C75F4">
      <w:pPr>
        <w:ind w:firstLine="0" w:firstLineChars="0"/>
        <w:outlineLvl w:val="3"/>
      </w:pPr>
      <w:r>
        <w:rPr>
          <w:rFonts w:hint="eastAsia"/>
        </w:rPr>
        <w:t>2.1.7.</w:t>
      </w:r>
      <w:r>
        <w:t>1</w:t>
      </w:r>
      <w:r>
        <w:rPr>
          <w:rFonts w:hint="eastAsia"/>
        </w:rPr>
        <w:t>给水工程规划</w:t>
      </w:r>
    </w:p>
    <w:p w14:paraId="0EE60E8D">
      <w:pPr>
        <w:ind w:firstLine="480"/>
      </w:pPr>
      <w:r>
        <w:rPr>
          <w:rFonts w:hint="eastAsia"/>
        </w:rPr>
        <w:t>供水依靠金坛区域供水系统，与东部区域供水增压站或区域供水管道连接，由长荡湖水厂供水，水源取自长荡湖和新孟河。主要增压站包括薛埠增压站、上阮增压站、茅麓增压站和西</w:t>
      </w:r>
      <w:r>
        <w:rPr>
          <w:rFonts w:hint="eastAsia" w:ascii="微软雅黑" w:hAnsi="微软雅黑" w:eastAsia="微软雅黑" w:cs="微软雅黑"/>
        </w:rPr>
        <w:t>旸</w:t>
      </w:r>
      <w:r>
        <w:rPr>
          <w:rFonts w:hint="eastAsia"/>
        </w:rPr>
        <w:t>增</w:t>
      </w:r>
      <w:r>
        <w:rPr>
          <w:rFonts w:hint="eastAsia" w:ascii="仿宋_GB2312" w:hAnsi="仿宋_GB2312" w:cs="仿宋_GB2312"/>
        </w:rPr>
        <w:t>压站（附图</w:t>
      </w:r>
      <w:r>
        <w:rPr>
          <w:rFonts w:hint="eastAsia" w:cs="Times New Roman"/>
        </w:rPr>
        <w:t>17</w:t>
      </w:r>
      <w:r>
        <w:rPr>
          <w:rFonts w:cs="Times New Roman"/>
        </w:rPr>
        <w:t>）</w:t>
      </w:r>
      <w:r>
        <w:rPr>
          <w:rFonts w:hint="eastAsia" w:ascii="仿宋_GB2312" w:hAnsi="仿宋_GB2312" w:cs="仿宋_GB2312"/>
        </w:rPr>
        <w:t>。</w:t>
      </w:r>
    </w:p>
    <w:p w14:paraId="2AC8E2E8">
      <w:pPr>
        <w:ind w:firstLine="480"/>
      </w:pPr>
      <w:r>
        <w:rPr>
          <w:rFonts w:hint="eastAsia"/>
        </w:rPr>
        <w:t>不再保留茅东水库、海底水库、东进水库等西部山区水库水源。规划范围内的薛埠集镇区及外围农村地区，由市政供水管网直接供给。茅山旅游度假区核心区主要用水点集中在公路、道路沿线相对低平地块，直接供水。对于少部分地势较高的用水点，自行设置给水增压泵站。</w:t>
      </w:r>
    </w:p>
    <w:p w14:paraId="77B5B425">
      <w:pPr>
        <w:ind w:firstLine="480"/>
      </w:pPr>
      <w:r>
        <w:rPr>
          <w:rFonts w:hint="eastAsia"/>
        </w:rPr>
        <w:t>给水主干管网分别经340省道、金茅路、白乾路等东西向道路引入。茅山旅游度假区核心区给水管线主要沿主路铺设，并与度假区消防有机结合；环状与枝状布置相结合，干管管径DN300～DN400，支管DN150～DN200。</w:t>
      </w:r>
    </w:p>
    <w:p w14:paraId="10CCF5CB">
      <w:pPr>
        <w:ind w:firstLine="0" w:firstLineChars="0"/>
        <w:outlineLvl w:val="3"/>
      </w:pPr>
      <w:r>
        <w:rPr>
          <w:rFonts w:hint="eastAsia"/>
        </w:rPr>
        <w:t>2.1.7.</w:t>
      </w:r>
      <w:r>
        <w:t>2</w:t>
      </w:r>
      <w:r>
        <w:rPr>
          <w:rFonts w:hint="eastAsia"/>
        </w:rPr>
        <w:t>排水工程规划</w:t>
      </w:r>
    </w:p>
    <w:p w14:paraId="21FE1416">
      <w:pPr>
        <w:ind w:firstLine="480"/>
      </w:pPr>
      <w:r>
        <w:rPr>
          <w:rFonts w:hint="eastAsia"/>
        </w:rPr>
        <w:t>茅山旅游度假区采用雨污分流排水体制。</w:t>
      </w:r>
      <w:bookmarkStart w:id="44" w:name="_Hlk172191653"/>
      <w:r>
        <w:rPr>
          <w:rFonts w:hint="eastAsia"/>
        </w:rPr>
        <w:t>污水采用集中处理为主，分散处理为辅的原则。度假区中央核心旅游度假区域，污水接入茅东污水处理厂集中处理，并规划完善区域污水收集管网；度假区南侧上阮村、山蓬村等农村区域及北侧分布相对分散的农村区域，仍依托现有的农村分散式污水处理设施进行处理。仙姑村北侧区域规划于白乾公路新建污水重力管，</w:t>
      </w:r>
      <w:r>
        <w:rPr>
          <w:rFonts w:hint="eastAsia" w:ascii="仿宋_GB2312" w:hAnsi="仿宋_GB2312" w:cs="仿宋_GB2312"/>
        </w:rPr>
        <w:t>南侧区域依托现有仙姑污水站收集后经压力管输送至</w:t>
      </w:r>
      <w:r>
        <w:rPr>
          <w:rFonts w:hint="eastAsia"/>
        </w:rPr>
        <w:t>西</w:t>
      </w:r>
      <w:r>
        <w:rPr>
          <w:rFonts w:hint="eastAsia" w:ascii="微软雅黑" w:hAnsi="微软雅黑" w:eastAsia="微软雅黑" w:cs="微软雅黑"/>
        </w:rPr>
        <w:t>旸</w:t>
      </w:r>
      <w:r>
        <w:rPr>
          <w:rFonts w:hint="eastAsia" w:ascii="仿宋_GB2312" w:hAnsi="仿宋_GB2312" w:cs="仿宋_GB2312"/>
        </w:rPr>
        <w:t>提升泵站，</w:t>
      </w:r>
      <w:r>
        <w:rPr>
          <w:rFonts w:hint="eastAsia"/>
        </w:rPr>
        <w:t>收集的污水经西</w:t>
      </w:r>
      <w:r>
        <w:rPr>
          <w:rFonts w:hint="eastAsia" w:ascii="微软雅黑" w:hAnsi="微软雅黑" w:eastAsia="微软雅黑" w:cs="微软雅黑"/>
        </w:rPr>
        <w:t>旸</w:t>
      </w:r>
      <w:r>
        <w:rPr>
          <w:rFonts w:hint="eastAsia" w:ascii="仿宋_GB2312" w:hAnsi="仿宋_GB2312" w:cs="仿宋_GB2312"/>
        </w:rPr>
        <w:t>提升泵站送至直溪污水处理厂处理（附图</w:t>
      </w:r>
      <w:r>
        <w:rPr>
          <w:rFonts w:hint="eastAsia" w:cs="Times New Roman"/>
        </w:rPr>
        <w:t>18</w:t>
      </w:r>
      <w:r>
        <w:rPr>
          <w:rFonts w:cs="Times New Roman"/>
        </w:rPr>
        <w:t>）</w:t>
      </w:r>
      <w:r>
        <w:rPr>
          <w:rFonts w:hint="eastAsia" w:ascii="仿宋_GB2312" w:hAnsi="仿宋_GB2312" w:cs="仿宋_GB2312"/>
        </w:rPr>
        <w:t>。</w:t>
      </w:r>
      <w:bookmarkEnd w:id="44"/>
    </w:p>
    <w:p w14:paraId="2B555155">
      <w:pPr>
        <w:ind w:firstLine="0" w:firstLineChars="0"/>
        <w:outlineLvl w:val="3"/>
      </w:pPr>
      <w:r>
        <w:rPr>
          <w:rFonts w:hint="eastAsia"/>
        </w:rPr>
        <w:t>2.1.7.</w:t>
      </w:r>
      <w:r>
        <w:t>3</w:t>
      </w:r>
      <w:r>
        <w:rPr>
          <w:rFonts w:hint="eastAsia"/>
        </w:rPr>
        <w:t>雨水工程规划</w:t>
      </w:r>
    </w:p>
    <w:p w14:paraId="031DEC58">
      <w:pPr>
        <w:ind w:firstLine="480"/>
      </w:pPr>
      <w:r>
        <w:rPr>
          <w:rFonts w:hint="eastAsia"/>
        </w:rPr>
        <w:t>茅山旅游度假区雨水部分留蓄用于景观补充水，多余雨水以自排为主，重力流、就近排入河道或沟渠。河水向东、向南外流；场地标高依托自然地势整理确定，形成特色风貌。</w:t>
      </w:r>
    </w:p>
    <w:p w14:paraId="2E00A3DE">
      <w:pPr>
        <w:ind w:firstLine="0" w:firstLineChars="0"/>
        <w:outlineLvl w:val="3"/>
      </w:pPr>
      <w:r>
        <w:rPr>
          <w:rFonts w:hint="eastAsia"/>
        </w:rPr>
        <w:t>2.1.7.</w:t>
      </w:r>
      <w:r>
        <w:t>4</w:t>
      </w:r>
      <w:r>
        <w:rPr>
          <w:rFonts w:hint="eastAsia"/>
        </w:rPr>
        <w:t>供电工程规划</w:t>
      </w:r>
    </w:p>
    <w:p w14:paraId="699B4275">
      <w:pPr>
        <w:ind w:firstLine="482"/>
      </w:pPr>
      <w:r>
        <w:rPr>
          <w:rFonts w:hint="eastAsia"/>
          <w:b/>
          <w:bCs/>
        </w:rPr>
        <w:t>高压主网：</w:t>
      </w:r>
      <w:r>
        <w:rPr>
          <w:rFonts w:hint="eastAsia"/>
        </w:rPr>
        <w:t>茅山旅游度假区内35kV及以上等级的高压电力线路主要采用架空敷设，新增高压线路沿度假区主要道路敷设，杆塔形式应与度假区环境相协调。其中，沿致和路的景区变110kV进线远期改为电缆入地（附图19）。</w:t>
      </w:r>
    </w:p>
    <w:p w14:paraId="045165F0">
      <w:pPr>
        <w:ind w:firstLine="482"/>
      </w:pPr>
      <w:r>
        <w:rPr>
          <w:rFonts w:hint="eastAsia"/>
          <w:b/>
          <w:bCs/>
        </w:rPr>
        <w:t>中压配网：</w:t>
      </w:r>
      <w:r>
        <w:rPr>
          <w:rFonts w:hint="eastAsia"/>
        </w:rPr>
        <w:t>规划范围内10kV中压线路采用架空和电缆埋地敷设相结合，沿度假区主要道路敷设；核心区范围内中低压电力线路全部采用电缆埋地敷设；核心区以外穿越大片林地和绿化区域的中压线路以架空敷设为主。</w:t>
      </w:r>
    </w:p>
    <w:p w14:paraId="41C05D16">
      <w:pPr>
        <w:ind w:firstLine="482"/>
      </w:pPr>
      <w:r>
        <w:rPr>
          <w:rFonts w:hint="eastAsia"/>
          <w:b/>
          <w:bCs/>
        </w:rPr>
        <w:t>变电所：</w:t>
      </w:r>
      <w:r>
        <w:rPr>
          <w:rFonts w:hint="eastAsia"/>
        </w:rPr>
        <w:t>根据茅山旅游度假区建设发展要求及区域供电规划，区内及周边相关变电所新建及扩建项目有：</w:t>
      </w:r>
    </w:p>
    <w:p w14:paraId="0BBFF7FA">
      <w:pPr>
        <w:ind w:firstLine="480"/>
      </w:pPr>
      <w:bookmarkStart w:id="45" w:name="_Hlk172192018"/>
      <w:bookmarkStart w:id="46" w:name="_Hlk172192003"/>
      <w:r>
        <w:rPr>
          <w:rFonts w:hint="eastAsia"/>
        </w:rPr>
        <w:t>近期（2030年前）：</w:t>
      </w:r>
    </w:p>
    <w:p w14:paraId="5E98E345">
      <w:pPr>
        <w:ind w:firstLine="480"/>
      </w:pPr>
      <w:r>
        <w:rPr>
          <w:rFonts w:hint="eastAsia"/>
        </w:rPr>
        <w:t>110kV景区变扩建工程，规划主变容量63.5+50MVA；</w:t>
      </w:r>
    </w:p>
    <w:p w14:paraId="2A53C9C6">
      <w:pPr>
        <w:ind w:firstLine="480"/>
      </w:pPr>
      <w:r>
        <w:rPr>
          <w:rFonts w:hint="eastAsia"/>
        </w:rPr>
        <w:t>110kV罗村变新建工程，规划主变容量2×50MVA。</w:t>
      </w:r>
    </w:p>
    <w:p w14:paraId="6B70867F">
      <w:pPr>
        <w:ind w:firstLine="480"/>
      </w:pPr>
      <w:r>
        <w:rPr>
          <w:rFonts w:hint="eastAsia"/>
        </w:rPr>
        <w:t>远期（2035年前）：</w:t>
      </w:r>
    </w:p>
    <w:p w14:paraId="56E4A09C">
      <w:pPr>
        <w:ind w:firstLine="480"/>
      </w:pPr>
      <w:r>
        <w:rPr>
          <w:rFonts w:hint="eastAsia"/>
        </w:rPr>
        <w:t>220kV方麓变扩建工程，扩建主变容量至2×180MVA；</w:t>
      </w:r>
    </w:p>
    <w:p w14:paraId="1BF25EDC">
      <w:pPr>
        <w:ind w:firstLine="480"/>
      </w:pPr>
      <w:r>
        <w:rPr>
          <w:rFonts w:hint="eastAsia"/>
        </w:rPr>
        <w:t>110kV西</w:t>
      </w:r>
      <w:r>
        <w:rPr>
          <w:rFonts w:hint="eastAsia" w:ascii="微软雅黑" w:hAnsi="微软雅黑" w:eastAsia="微软雅黑" w:cs="微软雅黑"/>
        </w:rPr>
        <w:t>旸</w:t>
      </w:r>
      <w:r>
        <w:rPr>
          <w:rFonts w:hint="eastAsia" w:ascii="仿宋_GB2312" w:hAnsi="仿宋_GB2312" w:cs="仿宋_GB2312"/>
        </w:rPr>
        <w:t>变新建工程，规划主变容量</w:t>
      </w:r>
      <w:r>
        <w:rPr>
          <w:rFonts w:hint="eastAsia"/>
        </w:rPr>
        <w:t>2×50MVA</w:t>
      </w:r>
      <w:bookmarkEnd w:id="45"/>
      <w:r>
        <w:rPr>
          <w:rFonts w:hint="eastAsia"/>
        </w:rPr>
        <w:t>。</w:t>
      </w:r>
    </w:p>
    <w:bookmarkEnd w:id="46"/>
    <w:p w14:paraId="3C2DDDC3">
      <w:pPr>
        <w:ind w:firstLine="0" w:firstLineChars="0"/>
        <w:outlineLvl w:val="3"/>
      </w:pPr>
      <w:r>
        <w:rPr>
          <w:rFonts w:hint="eastAsia"/>
        </w:rPr>
        <w:t>2.1.7.</w:t>
      </w:r>
      <w:r>
        <w:t>5</w:t>
      </w:r>
      <w:r>
        <w:rPr>
          <w:rFonts w:hint="eastAsia"/>
        </w:rPr>
        <w:t>信息工程规划</w:t>
      </w:r>
    </w:p>
    <w:p w14:paraId="46A15263">
      <w:pPr>
        <w:ind w:firstLine="480"/>
      </w:pPr>
      <w:r>
        <w:rPr>
          <w:rFonts w:hint="eastAsia"/>
        </w:rPr>
        <w:t>核心区规划于寻仙路和尚水路交叉口设置度假区综合信息机房，由各家运营商合用，可结合公共建筑协同建设，建筑面积不小于600平方米，为旅游度假区提供通信服务（附图20）。</w:t>
      </w:r>
    </w:p>
    <w:p w14:paraId="35E283EC">
      <w:pPr>
        <w:ind w:firstLine="480"/>
      </w:pPr>
      <w:r>
        <w:rPr>
          <w:rFonts w:hint="eastAsia"/>
        </w:rPr>
        <w:t>在东方盐湖城等重点项目及人流密集区域设置信息及邮政服务网点，综合开展邮政、通信及报刊杂志零售等业务。</w:t>
      </w:r>
    </w:p>
    <w:p w14:paraId="4DEBB40C">
      <w:pPr>
        <w:ind w:firstLine="480"/>
      </w:pPr>
      <w:r>
        <w:rPr>
          <w:rFonts w:hint="eastAsia"/>
        </w:rPr>
        <w:t>规划扩建薛埠镇电信支局，程控交换机容量远期为5.5万门。保留现有邮政及电信用地，在镇区居民较为集中的地方设置邮政和电信服务网点，综合开展邮政、通信及报刊杂志零售等业务。</w:t>
      </w:r>
    </w:p>
    <w:p w14:paraId="66671CDB">
      <w:pPr>
        <w:ind w:firstLine="0" w:firstLineChars="0"/>
        <w:outlineLvl w:val="3"/>
      </w:pPr>
      <w:r>
        <w:rPr>
          <w:rFonts w:hint="eastAsia"/>
        </w:rPr>
        <w:t>2.1.7.</w:t>
      </w:r>
      <w:r>
        <w:t>6</w:t>
      </w:r>
      <w:r>
        <w:rPr>
          <w:rFonts w:hint="eastAsia"/>
        </w:rPr>
        <w:t>燃气工程规划</w:t>
      </w:r>
    </w:p>
    <w:p w14:paraId="1CCAD800">
      <w:pPr>
        <w:ind w:firstLine="480"/>
      </w:pPr>
      <w:r>
        <w:rPr>
          <w:rFonts w:hint="eastAsia"/>
        </w:rPr>
        <w:t>以管道天然气为主气源。现状薛埠高中压调压站作为规划区主气源，规划从直溪高中压调压站沿金茅公路引中压管进入度假区，形成双管道气源供应。管道燃气近期无法到达的区域，仍采用瓶装液化石油气作为气源（附图21）。</w:t>
      </w:r>
    </w:p>
    <w:p w14:paraId="2CCD34B2">
      <w:pPr>
        <w:ind w:firstLine="0" w:firstLineChars="0"/>
        <w:outlineLvl w:val="3"/>
      </w:pPr>
      <w:r>
        <w:rPr>
          <w:rFonts w:hint="eastAsia"/>
        </w:rPr>
        <w:t>2.1.7.</w:t>
      </w:r>
      <w:r>
        <w:t>7</w:t>
      </w:r>
      <w:r>
        <w:rPr>
          <w:rFonts w:hint="eastAsia"/>
        </w:rPr>
        <w:t>环卫工程规划</w:t>
      </w:r>
    </w:p>
    <w:p w14:paraId="576B4915">
      <w:pPr>
        <w:ind w:firstLine="480"/>
      </w:pPr>
      <w:r>
        <w:rPr>
          <w:rFonts w:hint="eastAsia"/>
        </w:rPr>
        <w:t>度假区生活垃圾收集后分别送至就近转运站，经压缩后送至终端处置设施集中处置。其中，度假区北部地区生活垃圾送至茅麓转运站，核心区送至薛埠集镇转运站，部分单位送至花山生活垃圾中转站，南部地区送至罗村转运站（附图22）。</w:t>
      </w:r>
    </w:p>
    <w:p w14:paraId="49DFA237">
      <w:pPr>
        <w:ind w:firstLine="480"/>
      </w:pPr>
      <w:r>
        <w:rPr>
          <w:rFonts w:hint="eastAsia"/>
        </w:rPr>
        <w:t>公共厕所按照《城市环境卫生设施规划规范》（GB50337-2003）的原则和标准，沿主要道路、商业区、交通枢纽、游乐场所等人流集散场所附近设置公厕，标准不低于AA级，数量与设施功能内容相配套根据高峰日游人量确定。</w:t>
      </w:r>
    </w:p>
    <w:p w14:paraId="235EEDED">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w:t>
      </w:r>
      <w:r>
        <w:rPr>
          <w:rFonts w:hint="eastAsia" w:eastAsia="方正楷体_GBK" w:cs="Times New Roman"/>
          <w:b/>
          <w:bCs/>
          <w:szCs w:val="28"/>
          <w14:ligatures w14:val="none"/>
        </w:rPr>
        <w:t>8综合交通规划</w:t>
      </w:r>
    </w:p>
    <w:p w14:paraId="0BDA5DB0">
      <w:pPr>
        <w:ind w:firstLine="0" w:firstLineChars="0"/>
        <w:outlineLvl w:val="3"/>
      </w:pPr>
      <w:r>
        <w:rPr>
          <w:rFonts w:hint="eastAsia"/>
        </w:rPr>
        <w:t>2.1.8.</w:t>
      </w:r>
      <w:r>
        <w:t>1</w:t>
      </w:r>
      <w:r>
        <w:rPr>
          <w:rFonts w:hint="eastAsia"/>
        </w:rPr>
        <w:t>对外交通</w:t>
      </w:r>
    </w:p>
    <w:p w14:paraId="5348F271">
      <w:pPr>
        <w:ind w:firstLine="480"/>
      </w:pPr>
      <w:r>
        <w:rPr>
          <w:rFonts w:hint="eastAsia"/>
        </w:rPr>
        <w:t>（1）高速公路</w:t>
      </w:r>
    </w:p>
    <w:p w14:paraId="3089BA29">
      <w:pPr>
        <w:ind w:firstLine="480"/>
      </w:pPr>
      <w:r>
        <w:rPr>
          <w:rFonts w:hint="eastAsia"/>
        </w:rPr>
        <w:t>沪武高速公路从茅山旅游度假区中部东西向穿越，保留茅山互通、规划新增薛埠互通。扬溧高速公路从茅山旅游度假区东部南北向穿越，在金茅公路、340省道、南环线设置三处互通。沪武高速公路与扬溧高速公路形成枢纽互通。</w:t>
      </w:r>
    </w:p>
    <w:p w14:paraId="2EB779F5">
      <w:pPr>
        <w:ind w:firstLine="480"/>
      </w:pPr>
      <w:r>
        <w:rPr>
          <w:rFonts w:hint="eastAsia"/>
        </w:rPr>
        <w:t>（2）干线公路</w:t>
      </w:r>
    </w:p>
    <w:p w14:paraId="4FCE7548">
      <w:pPr>
        <w:ind w:firstLine="480"/>
      </w:pPr>
      <w:r>
        <w:rPr>
          <w:rFonts w:hint="eastAsia"/>
        </w:rPr>
        <w:t>规划形成“五横一纵”的干线公路网格局，构成出入茅山的重要通道。“五横”为白乾公路、金茅公路、340省道、茅山旅游大道和南环线。“一纵”为265省道。</w:t>
      </w:r>
    </w:p>
    <w:p w14:paraId="3E763DB9">
      <w:pPr>
        <w:ind w:firstLine="480"/>
      </w:pPr>
      <w:r>
        <w:rPr>
          <w:rFonts w:hint="eastAsia"/>
        </w:rPr>
        <w:t>（3）铁路</w:t>
      </w:r>
    </w:p>
    <w:p w14:paraId="592AB1A1">
      <w:pPr>
        <w:ind w:firstLine="480"/>
      </w:pPr>
      <w:r>
        <w:rPr>
          <w:rFonts w:hint="eastAsia"/>
        </w:rPr>
        <w:t>规划江苏南沿江城际铁路穿越茅山旅游度假区。</w:t>
      </w:r>
    </w:p>
    <w:p w14:paraId="55ED5C02">
      <w:pPr>
        <w:ind w:firstLine="480"/>
      </w:pPr>
      <w:r>
        <w:rPr>
          <w:rFonts w:hint="eastAsia"/>
        </w:rPr>
        <w:t>规划苏锡常城际铁路沿340省道北侧穿越茅山旅游度假区，并在区域内设置游客中心站和薛埠站。</w:t>
      </w:r>
    </w:p>
    <w:p w14:paraId="0DEF8F7F">
      <w:pPr>
        <w:ind w:firstLine="480"/>
      </w:pPr>
      <w:r>
        <w:rPr>
          <w:rFonts w:hint="eastAsia"/>
        </w:rPr>
        <w:t>（4）机场</w:t>
      </w:r>
    </w:p>
    <w:p w14:paraId="3A60BBA7">
      <w:pPr>
        <w:ind w:firstLine="480"/>
      </w:pPr>
      <w:r>
        <w:rPr>
          <w:rFonts w:hint="eastAsia"/>
        </w:rPr>
        <w:t>规划于致和村（藤甲）预留A类通用机场。</w:t>
      </w:r>
    </w:p>
    <w:p w14:paraId="2C0BB835">
      <w:pPr>
        <w:ind w:firstLine="0" w:firstLineChars="0"/>
        <w:outlineLvl w:val="3"/>
      </w:pPr>
      <w:r>
        <w:rPr>
          <w:rFonts w:hint="eastAsia"/>
        </w:rPr>
        <w:t>2.1.8.</w:t>
      </w:r>
      <w:r>
        <w:t>2</w:t>
      </w:r>
      <w:r>
        <w:rPr>
          <w:rFonts w:hint="eastAsia"/>
        </w:rPr>
        <w:t>内部交通</w:t>
      </w:r>
    </w:p>
    <w:p w14:paraId="58A6881E">
      <w:pPr>
        <w:ind w:firstLine="480"/>
      </w:pPr>
      <w:r>
        <w:rPr>
          <w:rFonts w:hint="eastAsia"/>
        </w:rPr>
        <w:t>（1）道路红线</w:t>
      </w:r>
    </w:p>
    <w:p w14:paraId="07C0CFF4">
      <w:pPr>
        <w:ind w:firstLine="480"/>
      </w:pPr>
      <w:r>
        <w:rPr>
          <w:rFonts w:hint="eastAsia"/>
        </w:rPr>
        <w:t>内部形成“一环一纵五横”干路网。</w:t>
      </w:r>
    </w:p>
    <w:p w14:paraId="0AF66A15">
      <w:pPr>
        <w:ind w:firstLine="480"/>
      </w:pPr>
      <w:r>
        <w:rPr>
          <w:rFonts w:hint="eastAsia"/>
        </w:rPr>
        <w:t>“一环”——由白乾公路、游仙路、340省道、十里春风、上阮路、南环线和物流大道组成的环线。东侧环线承担老集镇和村庄集散功能，西侧环线承担旅游功能。</w:t>
      </w:r>
    </w:p>
    <w:p w14:paraId="2A506213">
      <w:pPr>
        <w:ind w:firstLine="480"/>
      </w:pPr>
      <w:r>
        <w:rPr>
          <w:rFonts w:hint="eastAsia"/>
        </w:rPr>
        <w:t>“一纵”——265省道；</w:t>
      </w:r>
    </w:p>
    <w:p w14:paraId="68CF4073">
      <w:pPr>
        <w:ind w:firstLine="480"/>
      </w:pPr>
      <w:r>
        <w:rPr>
          <w:rFonts w:hint="eastAsia"/>
        </w:rPr>
        <w:t>“五横”——白乾公路、金茅公路、340省道、茅山旅游大道、大社线－南环线。</w:t>
      </w:r>
    </w:p>
    <w:p w14:paraId="71E87BE7">
      <w:pPr>
        <w:ind w:firstLine="480"/>
      </w:pPr>
      <w:r>
        <w:rPr>
          <w:rFonts w:hint="eastAsia"/>
        </w:rPr>
        <w:t>干线公路：控制红线宽度不低于24米，双向4-6车道。</w:t>
      </w:r>
    </w:p>
    <w:p w14:paraId="7EE63DFB">
      <w:pPr>
        <w:ind w:firstLine="480"/>
      </w:pPr>
      <w:r>
        <w:rPr>
          <w:rFonts w:hint="eastAsia"/>
        </w:rPr>
        <w:t>主干路：控制红线宽度原则上不低于24米，双向4-6车道。</w:t>
      </w:r>
    </w:p>
    <w:p w14:paraId="61E4CA21">
      <w:pPr>
        <w:ind w:firstLine="480"/>
      </w:pPr>
      <w:r>
        <w:rPr>
          <w:rFonts w:hint="eastAsia"/>
        </w:rPr>
        <w:t>次干路：控制红线宽度原则上不低于18米，双向2-4车道。</w:t>
      </w:r>
    </w:p>
    <w:p w14:paraId="212B4F3F">
      <w:pPr>
        <w:ind w:firstLine="480"/>
      </w:pPr>
      <w:r>
        <w:rPr>
          <w:rFonts w:hint="eastAsia"/>
        </w:rPr>
        <w:t>支路：控制红线宽度原则上不低于7米，双向2车道。</w:t>
      </w:r>
    </w:p>
    <w:p w14:paraId="158BF603">
      <w:pPr>
        <w:ind w:firstLine="480"/>
      </w:pPr>
      <w:r>
        <w:rPr>
          <w:rFonts w:hint="eastAsia"/>
        </w:rPr>
        <w:t>支路为弹性道路，根据用地情况，线位及道路宽度可做适当调整。</w:t>
      </w:r>
    </w:p>
    <w:p w14:paraId="35698790">
      <w:pPr>
        <w:ind w:firstLine="480"/>
      </w:pPr>
      <w:r>
        <w:rPr>
          <w:rFonts w:hint="eastAsia"/>
        </w:rPr>
        <w:t>（2）交叉口</w:t>
      </w:r>
    </w:p>
    <w:p w14:paraId="2C827B2D">
      <w:pPr>
        <w:ind w:firstLine="480"/>
      </w:pPr>
      <w:r>
        <w:rPr>
          <w:rFonts w:hint="eastAsia"/>
        </w:rPr>
        <w:t>合理设置道路交叉口，提高相交道路通行能力。交叉口的形式须与道路等级、建设用地、交叉口所需通行能力相协调。</w:t>
      </w:r>
    </w:p>
    <w:p w14:paraId="24BC3B5A">
      <w:pPr>
        <w:ind w:firstLine="480"/>
      </w:pPr>
      <w:r>
        <w:rPr>
          <w:rFonts w:hint="eastAsia"/>
        </w:rPr>
        <w:t>重要干线公路与主要城市道路的交叉口应根据路网、交通功能和流量需求，规划设置互通、半互通或分离式立交；穿越铁路、高速公路、河道的道路应规划设置桥隧。规划区域交通规划如附图23所示。</w:t>
      </w:r>
    </w:p>
    <w:p w14:paraId="643DA28A">
      <w:pPr>
        <w:ind w:firstLine="0" w:firstLineChars="0"/>
        <w:outlineLvl w:val="3"/>
      </w:pPr>
      <w:r>
        <w:rPr>
          <w:rFonts w:hint="eastAsia"/>
        </w:rPr>
        <w:t>2.1.8.</w:t>
      </w:r>
      <w:r>
        <w:t>3</w:t>
      </w:r>
      <w:r>
        <w:rPr>
          <w:rFonts w:hint="eastAsia"/>
        </w:rPr>
        <w:t>慢行系统</w:t>
      </w:r>
    </w:p>
    <w:p w14:paraId="2B9186D7">
      <w:pPr>
        <w:ind w:firstLine="480"/>
      </w:pPr>
      <w:r>
        <w:rPr>
          <w:rFonts w:hint="eastAsia"/>
        </w:rPr>
        <w:t>规划构建“三级绿道、三级驿站”慢行交通系统引导绿色出行。串联主要旅游景点，引导绿色出行（附图24）。</w:t>
      </w:r>
    </w:p>
    <w:p w14:paraId="08EE9F81">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w:t>
      </w:r>
      <w:r>
        <w:rPr>
          <w:rFonts w:hint="eastAsia" w:eastAsia="方正楷体_GBK" w:cs="Times New Roman"/>
          <w:b/>
          <w:bCs/>
          <w:szCs w:val="28"/>
          <w14:ligatures w14:val="none"/>
        </w:rPr>
        <w:t>9旅游服务规划</w:t>
      </w:r>
    </w:p>
    <w:p w14:paraId="4569D096">
      <w:pPr>
        <w:ind w:firstLine="0" w:firstLineChars="0"/>
        <w:outlineLvl w:val="3"/>
      </w:pPr>
      <w:r>
        <w:rPr>
          <w:rFonts w:hint="eastAsia"/>
        </w:rPr>
        <w:t>2.1.9.</w:t>
      </w:r>
      <w:r>
        <w:t>1</w:t>
      </w:r>
      <w:r>
        <w:rPr>
          <w:rFonts w:hint="eastAsia"/>
        </w:rPr>
        <w:t>旅游服务体系</w:t>
      </w:r>
    </w:p>
    <w:p w14:paraId="0773D13A">
      <w:pPr>
        <w:ind w:firstLine="480"/>
      </w:pPr>
      <w:r>
        <w:rPr>
          <w:rFonts w:hint="eastAsia"/>
        </w:rPr>
        <w:t>规划形成“一主三次多点”的旅游服务设施体系，即旅游服务中心一处、次级旅游服务中心三处、旅游服务点若干。</w:t>
      </w:r>
    </w:p>
    <w:p w14:paraId="012E6388">
      <w:pPr>
        <w:ind w:firstLine="480" w:firstLineChars="0"/>
      </w:pPr>
      <w:r>
        <w:rPr>
          <w:rFonts w:hint="eastAsia"/>
        </w:rPr>
        <w:t>（1）旅游服务主中心</w:t>
      </w:r>
    </w:p>
    <w:p w14:paraId="6BAD1A7E">
      <w:pPr>
        <w:ind w:firstLine="480"/>
      </w:pPr>
      <w:r>
        <w:rPr>
          <w:rFonts w:hint="eastAsia"/>
        </w:rPr>
        <w:t>依托茅山游客服务中心和薛埠镇区，实现景区镇区融合发展，打造含旅游服务、旅游展示、接待、购物、娱乐、管理办公等多功能的综合型旅游服务主中心。</w:t>
      </w:r>
    </w:p>
    <w:p w14:paraId="6ADE358E">
      <w:pPr>
        <w:ind w:firstLine="480"/>
      </w:pPr>
      <w:r>
        <w:rPr>
          <w:rFonts w:hint="eastAsia"/>
        </w:rPr>
        <w:t>（2）次级旅游服务中心</w:t>
      </w:r>
    </w:p>
    <w:p w14:paraId="69B96F9C">
      <w:pPr>
        <w:ind w:firstLine="480"/>
      </w:pPr>
      <w:r>
        <w:rPr>
          <w:rFonts w:hint="eastAsia"/>
        </w:rPr>
        <w:t>规划设置三处次级旅游服务中心，分别在仙姑村、上阮村与花山村。旅游服务次中心内含驿站、休息、便利店、公厕等基本旅游服务功能。</w:t>
      </w:r>
    </w:p>
    <w:p w14:paraId="09FBAA96">
      <w:pPr>
        <w:ind w:firstLine="480"/>
      </w:pPr>
      <w:r>
        <w:rPr>
          <w:rFonts w:hint="eastAsia"/>
        </w:rPr>
        <w:t>（3）旅游服务点</w:t>
      </w:r>
    </w:p>
    <w:p w14:paraId="16CBFA16">
      <w:pPr>
        <w:ind w:firstLine="480"/>
      </w:pPr>
      <w:r>
        <w:rPr>
          <w:rFonts w:hint="eastAsia"/>
        </w:rPr>
        <w:t>依托旅游景点设置集中的旅游配套服务设施，主要提供咨询导引、便利零售、餐饮、休息、摄影、纪念品购买等服务功能。</w:t>
      </w:r>
    </w:p>
    <w:p w14:paraId="2A45DD4F">
      <w:pPr>
        <w:ind w:firstLine="0" w:firstLineChars="0"/>
        <w:outlineLvl w:val="3"/>
      </w:pPr>
      <w:r>
        <w:rPr>
          <w:rFonts w:hint="eastAsia"/>
        </w:rPr>
        <w:t>2.1.9.</w:t>
      </w:r>
      <w:r>
        <w:t>2</w:t>
      </w:r>
      <w:r>
        <w:rPr>
          <w:rFonts w:hint="eastAsia"/>
        </w:rPr>
        <w:t>旅游服务设施</w:t>
      </w:r>
    </w:p>
    <w:p w14:paraId="5547E5D5">
      <w:pPr>
        <w:ind w:firstLine="480"/>
      </w:pPr>
      <w:r>
        <w:rPr>
          <w:rFonts w:hint="eastAsia"/>
        </w:rPr>
        <w:t>（1）</w:t>
      </w:r>
      <w:r>
        <w:t>旅游餐饮</w:t>
      </w:r>
    </w:p>
    <w:p w14:paraId="62E472BA">
      <w:pPr>
        <w:ind w:firstLine="480"/>
      </w:pPr>
      <w:r>
        <w:rPr>
          <w:rFonts w:hint="eastAsia"/>
        </w:rPr>
        <w:t>结合茅山地区的道文化、茶文化、中医药文化及当地特色农产品，发展道家膳食、养生膳食、有机膳食等主题的茅山特色美食。根据不同游客群体需求，规划餐饮类设施提供综合街区、精品餐厅、农家乐、户外烧烤、快餐小吃五种类型，具体餐饮设施详见表2</w:t>
      </w:r>
      <w:r>
        <w:t>.1</w:t>
      </w:r>
      <w:r>
        <w:rPr>
          <w:rFonts w:hint="eastAsia"/>
        </w:rPr>
        <w:t>-</w:t>
      </w:r>
      <w:r>
        <w:t>3</w:t>
      </w:r>
      <w:r>
        <w:rPr>
          <w:rFonts w:hint="eastAsia"/>
        </w:rPr>
        <w:t>，餐饮设施分布如附图25所示。</w:t>
      </w:r>
    </w:p>
    <w:p w14:paraId="043192FC">
      <w:pPr>
        <w:pStyle w:val="45"/>
        <w:rPr>
          <w:rFonts w:cs="Times New Roman"/>
        </w:rPr>
      </w:pPr>
      <w:r>
        <w:rPr>
          <w:rFonts w:hint="eastAsia" w:cs="Times New Roman"/>
        </w:rPr>
        <w:t>表2</w:t>
      </w:r>
      <w:r>
        <w:rPr>
          <w:rFonts w:cs="Times New Roman"/>
        </w:rPr>
        <w:t>.1</w:t>
      </w:r>
      <w:r>
        <w:rPr>
          <w:rFonts w:hint="eastAsia" w:cs="Times New Roman"/>
        </w:rPr>
        <w:t>-</w:t>
      </w:r>
      <w:r>
        <w:rPr>
          <w:rFonts w:cs="Times New Roman"/>
        </w:rPr>
        <w:t xml:space="preserve">3  </w:t>
      </w:r>
      <w:r>
        <w:rPr>
          <w:rFonts w:hint="eastAsia" w:cs="Times New Roman"/>
        </w:rPr>
        <w:t>旅游餐饮设施规划一览表</w:t>
      </w:r>
    </w:p>
    <w:tbl>
      <w:tblPr>
        <w:tblStyle w:val="4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51"/>
        <w:gridCol w:w="1101"/>
        <w:gridCol w:w="6570"/>
      </w:tblGrid>
      <w:tr w14:paraId="70FC95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trPr>
        <w:tc>
          <w:tcPr>
            <w:tcW w:w="1145" w:type="pct"/>
            <w:gridSpan w:val="2"/>
            <w:vAlign w:val="center"/>
          </w:tcPr>
          <w:p w14:paraId="7CE085F7">
            <w:pPr>
              <w:widowControl/>
              <w:adjustRightInd w:val="0"/>
              <w:snapToGrid w:val="0"/>
              <w:spacing w:line="240" w:lineRule="auto"/>
              <w:ind w:firstLine="0" w:firstLineChars="0"/>
              <w:jc w:val="center"/>
              <w:textAlignment w:val="center"/>
              <w:rPr>
                <w:rFonts w:ascii="Calibri" w:hAnsi="Calibri" w:cs="Times New Roman"/>
                <w:b/>
                <w:bCs/>
                <w:kern w:val="24"/>
                <w:sz w:val="21"/>
                <w:szCs w:val="21"/>
                <w14:ligatures w14:val="none"/>
              </w:rPr>
            </w:pPr>
            <w:bookmarkStart w:id="47" w:name="_Hlk172190622"/>
            <w:r>
              <w:rPr>
                <w:rFonts w:hint="eastAsia" w:ascii="Calibri" w:hAnsi="Calibri" w:cs="Times New Roman"/>
                <w:b/>
                <w:bCs/>
                <w:kern w:val="24"/>
                <w:sz w:val="21"/>
                <w:szCs w:val="21"/>
                <w14:ligatures w14:val="none"/>
              </w:rPr>
              <w:t>设施类型</w:t>
            </w:r>
          </w:p>
        </w:tc>
        <w:tc>
          <w:tcPr>
            <w:tcW w:w="3854" w:type="pct"/>
            <w:vAlign w:val="center"/>
          </w:tcPr>
          <w:p w14:paraId="4C804C51">
            <w:pPr>
              <w:widowControl/>
              <w:adjustRightInd w:val="0"/>
              <w:snapToGrid w:val="0"/>
              <w:spacing w:line="240" w:lineRule="auto"/>
              <w:ind w:firstLine="0" w:firstLineChars="0"/>
              <w:jc w:val="center"/>
              <w:textAlignment w:val="center"/>
              <w:rPr>
                <w:rFonts w:ascii="Calibri" w:hAnsi="Calibri" w:cs="Times New Roman"/>
                <w:b/>
                <w:bCs/>
                <w:kern w:val="24"/>
                <w:sz w:val="21"/>
                <w:szCs w:val="21"/>
                <w14:ligatures w14:val="none"/>
              </w:rPr>
            </w:pPr>
            <w:r>
              <w:rPr>
                <w:rFonts w:hint="eastAsia" w:ascii="Calibri" w:hAnsi="Calibri" w:cs="Times New Roman"/>
                <w:b/>
                <w:bCs/>
                <w:kern w:val="24"/>
                <w:sz w:val="21"/>
                <w:szCs w:val="21"/>
                <w14:ligatures w14:val="none"/>
              </w:rPr>
              <w:t>设施名称</w:t>
            </w:r>
          </w:p>
        </w:tc>
      </w:tr>
      <w:tr w14:paraId="3A6ACF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45" w:type="pct"/>
            <w:gridSpan w:val="2"/>
            <w:vAlign w:val="center"/>
          </w:tcPr>
          <w:p w14:paraId="24FB1E1A">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综合街区</w:t>
            </w:r>
          </w:p>
        </w:tc>
        <w:tc>
          <w:tcPr>
            <w:tcW w:w="3854" w:type="pct"/>
            <w:vAlign w:val="center"/>
          </w:tcPr>
          <w:p w14:paraId="50BE9519">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猫山里喵街（规划）、花谷奇缘花食街、恒大商业街、颐园风情水街</w:t>
            </w:r>
          </w:p>
        </w:tc>
      </w:tr>
      <w:tr w14:paraId="699221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9" w:type="pct"/>
            <w:vMerge w:val="restart"/>
            <w:vAlign w:val="center"/>
          </w:tcPr>
          <w:p w14:paraId="2E98DFCF">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精品餐厅</w:t>
            </w:r>
          </w:p>
        </w:tc>
        <w:tc>
          <w:tcPr>
            <w:tcW w:w="645" w:type="pct"/>
            <w:vAlign w:val="center"/>
          </w:tcPr>
          <w:p w14:paraId="39CED23B">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特色餐厅</w:t>
            </w:r>
          </w:p>
        </w:tc>
        <w:tc>
          <w:tcPr>
            <w:tcW w:w="3854" w:type="pct"/>
            <w:vAlign w:val="center"/>
          </w:tcPr>
          <w:p w14:paraId="4E63E698">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仙乐谷餐厅、心白茶舍（规划）、三生风味（规划）、秋的N次方咖啡厅（规划）、泥盆纪餐厅（规划）、马术主题餐厅（规划）、时樱餐厅、五条岭美术餐厅、后稷农业有机餐厅、彩虹谷湖鲜餐厅、半边山下无味餐厅、芥舟寒舍餐厅、东岩民宿餐厅、宝盛园名膳居、颐园玉膳房、乾元山庄、保朴山房五味斋</w:t>
            </w:r>
          </w:p>
        </w:tc>
      </w:tr>
      <w:tr w14:paraId="5DC6DA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9" w:type="pct"/>
            <w:vMerge w:val="continue"/>
            <w:vAlign w:val="center"/>
          </w:tcPr>
          <w:p w14:paraId="26275B03">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p>
        </w:tc>
        <w:tc>
          <w:tcPr>
            <w:tcW w:w="645" w:type="pct"/>
            <w:vAlign w:val="center"/>
          </w:tcPr>
          <w:p w14:paraId="4EDB5C01">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酒店配套餐厅</w:t>
            </w:r>
          </w:p>
        </w:tc>
        <w:tc>
          <w:tcPr>
            <w:tcW w:w="3854" w:type="pct"/>
            <w:vAlign w:val="center"/>
          </w:tcPr>
          <w:p w14:paraId="50656B01">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紫云湖酒店餐厅、璞悦茅山酒店餐厅、茅山默元酒店餐厅、金沙湾餐厅、明都庄园有机餐厅、童瑶岭酒店集群配套餐厅、南湖养生庄园餐厅（京东农业）</w:t>
            </w:r>
          </w:p>
        </w:tc>
      </w:tr>
      <w:tr w14:paraId="281D1B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45" w:type="pct"/>
            <w:gridSpan w:val="2"/>
            <w:vAlign w:val="center"/>
          </w:tcPr>
          <w:p w14:paraId="30BE4774">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农家乐</w:t>
            </w:r>
          </w:p>
        </w:tc>
        <w:tc>
          <w:tcPr>
            <w:tcW w:w="3854" w:type="pct"/>
            <w:vAlign w:val="center"/>
          </w:tcPr>
          <w:p w14:paraId="0EC7F560">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仙姑村农家乐集群、上阮村农家乐集群、山蓬村农家乐集群、竹里·追光农家乐集群</w:t>
            </w:r>
          </w:p>
        </w:tc>
      </w:tr>
      <w:tr w14:paraId="7BAB4A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45" w:type="pct"/>
            <w:gridSpan w:val="2"/>
            <w:vAlign w:val="center"/>
          </w:tcPr>
          <w:p w14:paraId="7FAB22A3">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户外烧烤</w:t>
            </w:r>
          </w:p>
        </w:tc>
        <w:tc>
          <w:tcPr>
            <w:tcW w:w="3854" w:type="pct"/>
            <w:vAlign w:val="center"/>
          </w:tcPr>
          <w:p w14:paraId="635CD6DA">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宝盛园大灶台、壹号农场大草坪烧烤</w:t>
            </w:r>
          </w:p>
        </w:tc>
      </w:tr>
      <w:tr w14:paraId="16E8C8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45" w:type="pct"/>
            <w:gridSpan w:val="2"/>
            <w:vAlign w:val="center"/>
          </w:tcPr>
          <w:p w14:paraId="7568343B">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快餐小吃</w:t>
            </w:r>
          </w:p>
        </w:tc>
        <w:tc>
          <w:tcPr>
            <w:tcW w:w="3854" w:type="pct"/>
            <w:vAlign w:val="center"/>
          </w:tcPr>
          <w:p w14:paraId="39A8AC5A">
            <w:pPr>
              <w:widowControl/>
              <w:adjustRightInd w:val="0"/>
              <w:snapToGrid w:val="0"/>
              <w:spacing w:line="240" w:lineRule="auto"/>
              <w:ind w:firstLine="0" w:firstLineChars="0"/>
              <w:jc w:val="center"/>
              <w:textAlignment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结合旅游项目与交通集散节点布置</w:t>
            </w:r>
          </w:p>
        </w:tc>
      </w:tr>
      <w:bookmarkEnd w:id="47"/>
    </w:tbl>
    <w:p w14:paraId="7B5AB507">
      <w:pPr>
        <w:ind w:firstLine="480"/>
      </w:pPr>
      <w:r>
        <w:rPr>
          <w:rFonts w:hint="eastAsia"/>
        </w:rPr>
        <w:t>（2）</w:t>
      </w:r>
      <w:r>
        <w:t>旅游住宿</w:t>
      </w:r>
    </w:p>
    <w:p w14:paraId="61DFBE4F">
      <w:pPr>
        <w:ind w:firstLine="480"/>
      </w:pPr>
      <w:r>
        <w:rPr>
          <w:rFonts w:hint="eastAsia"/>
        </w:rPr>
        <w:t>为构建多层次、多主题的住宿产品体系，规划建设酒店、社区、民宿、营地四大类型的旅游住宿设施，其中酒店分为主题酒店、精品酒店、高星级酒店和经济型酒店；社区分为颐养社区和旅居社区，鼓励社区发展分时度假、共享公寓等模式增加度假区住宿接待能力，旅游住宿设施详见表2.1-4，分布如附图26所示。</w:t>
      </w:r>
    </w:p>
    <w:p w14:paraId="60300174">
      <w:pPr>
        <w:pStyle w:val="45"/>
        <w:rPr>
          <w:rFonts w:cs="Times New Roman"/>
        </w:rPr>
        <w:sectPr>
          <w:pgSz w:w="11906" w:h="16838"/>
          <w:pgMar w:top="1440" w:right="1800" w:bottom="1440" w:left="1800" w:header="851" w:footer="992" w:gutter="0"/>
          <w:cols w:space="425" w:num="1"/>
          <w:docGrid w:type="lines" w:linePitch="312" w:charSpace="0"/>
        </w:sectPr>
      </w:pPr>
    </w:p>
    <w:p w14:paraId="5F94C4C6">
      <w:pPr>
        <w:pStyle w:val="45"/>
        <w:rPr>
          <w:rFonts w:cs="Times New Roman"/>
        </w:rPr>
      </w:pPr>
      <w:r>
        <w:rPr>
          <w:rFonts w:hint="eastAsia" w:cs="Times New Roman"/>
        </w:rPr>
        <w:t>表</w:t>
      </w:r>
      <w:r>
        <w:rPr>
          <w:rFonts w:cs="Times New Roman"/>
        </w:rPr>
        <w:t>2.1</w:t>
      </w:r>
      <w:r>
        <w:rPr>
          <w:rFonts w:hint="eastAsia" w:cs="Times New Roman"/>
        </w:rPr>
        <w:t>-</w:t>
      </w:r>
      <w:r>
        <w:rPr>
          <w:rFonts w:cs="Times New Roman"/>
        </w:rPr>
        <w:t xml:space="preserve">4 </w:t>
      </w:r>
      <w:r>
        <w:rPr>
          <w:rFonts w:hint="eastAsia" w:cs="Times New Roman"/>
        </w:rPr>
        <w:t xml:space="preserve"> 度假区范围内旅游住宿设施规划一览表</w:t>
      </w:r>
    </w:p>
    <w:tbl>
      <w:tblPr>
        <w:tblStyle w:val="4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5"/>
        <w:gridCol w:w="1703"/>
        <w:gridCol w:w="3117"/>
        <w:gridCol w:w="2887"/>
      </w:tblGrid>
      <w:tr w14:paraId="6FCEB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477" w:type="pct"/>
            <w:gridSpan w:val="2"/>
            <w:vAlign w:val="center"/>
          </w:tcPr>
          <w:p w14:paraId="694DC53B">
            <w:pPr>
              <w:tabs>
                <w:tab w:val="left" w:pos="420"/>
                <w:tab w:val="left" w:pos="1931"/>
              </w:tabs>
              <w:spacing w:line="240" w:lineRule="auto"/>
              <w:ind w:firstLine="0" w:firstLineChars="0"/>
              <w:jc w:val="center"/>
              <w:rPr>
                <w:rFonts w:ascii="Calibri" w:hAnsi="Calibri" w:cs="Times New Roman"/>
                <w:b/>
                <w:bCs/>
                <w:kern w:val="24"/>
                <w:sz w:val="21"/>
                <w:szCs w:val="21"/>
                <w14:ligatures w14:val="none"/>
              </w:rPr>
            </w:pPr>
            <w:bookmarkStart w:id="48" w:name="_Hlk172190641"/>
            <w:r>
              <w:rPr>
                <w:rFonts w:hint="eastAsia" w:ascii="Calibri" w:hAnsi="Calibri" w:cs="Times New Roman"/>
                <w:b/>
                <w:bCs/>
                <w:kern w:val="24"/>
                <w:sz w:val="21"/>
                <w:szCs w:val="21"/>
                <w14:ligatures w14:val="none"/>
              </w:rPr>
              <w:t>设施类型</w:t>
            </w:r>
          </w:p>
        </w:tc>
        <w:tc>
          <w:tcPr>
            <w:tcW w:w="1828" w:type="pct"/>
            <w:vAlign w:val="center"/>
          </w:tcPr>
          <w:p w14:paraId="67945873">
            <w:pPr>
              <w:tabs>
                <w:tab w:val="left" w:pos="420"/>
                <w:tab w:val="left" w:pos="1931"/>
              </w:tabs>
              <w:spacing w:line="240" w:lineRule="auto"/>
              <w:ind w:firstLine="0" w:firstLineChars="0"/>
              <w:jc w:val="center"/>
              <w:rPr>
                <w:rFonts w:ascii="Calibri" w:hAnsi="Calibri" w:cs="Times New Roman"/>
                <w:b/>
                <w:bCs/>
                <w:kern w:val="24"/>
                <w:sz w:val="21"/>
                <w:szCs w:val="21"/>
                <w14:ligatures w14:val="none"/>
              </w:rPr>
            </w:pPr>
            <w:r>
              <w:rPr>
                <w:rFonts w:hint="eastAsia" w:ascii="Calibri" w:hAnsi="Calibri" w:cs="Times New Roman"/>
                <w:b/>
                <w:bCs/>
                <w:kern w:val="24"/>
                <w:sz w:val="21"/>
                <w:szCs w:val="21"/>
                <w14:ligatures w14:val="none"/>
              </w:rPr>
              <w:t>设施名称</w:t>
            </w:r>
          </w:p>
        </w:tc>
        <w:tc>
          <w:tcPr>
            <w:tcW w:w="1693" w:type="pct"/>
            <w:vAlign w:val="center"/>
          </w:tcPr>
          <w:p w14:paraId="411222D2">
            <w:pPr>
              <w:tabs>
                <w:tab w:val="left" w:pos="420"/>
                <w:tab w:val="left" w:pos="1931"/>
              </w:tabs>
              <w:spacing w:line="240" w:lineRule="auto"/>
              <w:ind w:firstLine="0" w:firstLineChars="0"/>
              <w:jc w:val="center"/>
              <w:rPr>
                <w:rFonts w:ascii="Calibri" w:hAnsi="Calibri" w:cs="Times New Roman"/>
                <w:b/>
                <w:bCs/>
                <w:kern w:val="24"/>
                <w:sz w:val="21"/>
                <w:szCs w:val="21"/>
                <w14:ligatures w14:val="none"/>
              </w:rPr>
            </w:pPr>
            <w:r>
              <w:rPr>
                <w:rFonts w:hint="eastAsia" w:ascii="Calibri" w:hAnsi="Calibri" w:cs="Times New Roman"/>
                <w:b/>
                <w:bCs/>
                <w:kern w:val="24"/>
                <w:sz w:val="21"/>
                <w:szCs w:val="21"/>
                <w14:ligatures w14:val="none"/>
              </w:rPr>
              <w:t>客房数（间）</w:t>
            </w:r>
          </w:p>
        </w:tc>
      </w:tr>
      <w:tr w14:paraId="3CB2E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478" w:type="pct"/>
            <w:vMerge w:val="restart"/>
            <w:vAlign w:val="center"/>
          </w:tcPr>
          <w:p w14:paraId="67C7F2FC">
            <w:pPr>
              <w:tabs>
                <w:tab w:val="left" w:pos="420"/>
                <w:tab w:val="left" w:pos="1931"/>
              </w:tabs>
              <w:spacing w:line="500" w:lineRule="exact"/>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酒店</w:t>
            </w:r>
          </w:p>
        </w:tc>
        <w:tc>
          <w:tcPr>
            <w:tcW w:w="999" w:type="pct"/>
            <w:vMerge w:val="restart"/>
            <w:vAlign w:val="center"/>
          </w:tcPr>
          <w:p w14:paraId="7CC19911">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主题酒店</w:t>
            </w:r>
          </w:p>
        </w:tc>
        <w:tc>
          <w:tcPr>
            <w:tcW w:w="1828" w:type="pct"/>
            <w:vAlign w:val="center"/>
          </w:tcPr>
          <w:p w14:paraId="2A1A141E">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宠物猫酒店</w:t>
            </w:r>
          </w:p>
        </w:tc>
        <w:tc>
          <w:tcPr>
            <w:tcW w:w="1693" w:type="pct"/>
            <w:vAlign w:val="center"/>
          </w:tcPr>
          <w:p w14:paraId="45828EF3">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15～20</w:t>
            </w:r>
          </w:p>
        </w:tc>
      </w:tr>
      <w:tr w14:paraId="2834C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36800A63">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691B4DFB">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578B841A">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金坛刻纸艺术酒店</w:t>
            </w:r>
          </w:p>
        </w:tc>
        <w:tc>
          <w:tcPr>
            <w:tcW w:w="1693" w:type="pct"/>
            <w:vAlign w:val="center"/>
          </w:tcPr>
          <w:p w14:paraId="1E57C532">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15～20</w:t>
            </w:r>
          </w:p>
        </w:tc>
      </w:tr>
      <w:tr w14:paraId="1D5B3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0C411210">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375EA47D">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44D91D7C">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春风一杯酒客栈</w:t>
            </w:r>
          </w:p>
        </w:tc>
        <w:tc>
          <w:tcPr>
            <w:tcW w:w="1693" w:type="pct"/>
            <w:vAlign w:val="center"/>
          </w:tcPr>
          <w:p w14:paraId="584D023A">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20～30</w:t>
            </w:r>
          </w:p>
        </w:tc>
      </w:tr>
      <w:tr w14:paraId="5AE12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5097DA04">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6C93A703">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777B1CF1">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心白茶舍</w:t>
            </w:r>
          </w:p>
        </w:tc>
        <w:tc>
          <w:tcPr>
            <w:tcW w:w="1693" w:type="pct"/>
            <w:vAlign w:val="center"/>
          </w:tcPr>
          <w:p w14:paraId="49123752">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20～30</w:t>
            </w:r>
          </w:p>
        </w:tc>
      </w:tr>
      <w:tr w14:paraId="4A43A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478" w:type="pct"/>
            <w:vMerge w:val="continue"/>
            <w:vAlign w:val="center"/>
          </w:tcPr>
          <w:p w14:paraId="09FC112E">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262BCC62">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794C87B1">
            <w:pPr>
              <w:autoSpaceDE w:val="0"/>
              <w:autoSpaceDN w:val="0"/>
              <w:adjustRightInd w:val="0"/>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保朴山房（已建）</w:t>
            </w:r>
          </w:p>
        </w:tc>
        <w:tc>
          <w:tcPr>
            <w:tcW w:w="1693" w:type="pct"/>
            <w:vAlign w:val="center"/>
          </w:tcPr>
          <w:p w14:paraId="07FE8512">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24</w:t>
            </w:r>
          </w:p>
        </w:tc>
      </w:tr>
      <w:tr w14:paraId="26DEB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20BA3E2F">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23F0435A">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5354A8F6">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野松岭度假酒店（已建）</w:t>
            </w:r>
          </w:p>
        </w:tc>
        <w:tc>
          <w:tcPr>
            <w:tcW w:w="1693" w:type="pct"/>
            <w:vAlign w:val="center"/>
          </w:tcPr>
          <w:p w14:paraId="71E2DA54">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32</w:t>
            </w:r>
          </w:p>
        </w:tc>
      </w:tr>
      <w:tr w14:paraId="24365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49238AE8">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7394C909">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2DF1478C">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璞悦茅山酒店（已建）</w:t>
            </w:r>
          </w:p>
        </w:tc>
        <w:tc>
          <w:tcPr>
            <w:tcW w:w="1693" w:type="pct"/>
            <w:vAlign w:val="center"/>
          </w:tcPr>
          <w:p w14:paraId="1C528148">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29</w:t>
            </w:r>
          </w:p>
        </w:tc>
      </w:tr>
      <w:tr w14:paraId="7ABC5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547C27CE">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3A0FFFC6">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12D42506">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秋的N次方</w:t>
            </w:r>
          </w:p>
        </w:tc>
        <w:tc>
          <w:tcPr>
            <w:tcW w:w="1693" w:type="pct"/>
            <w:vAlign w:val="center"/>
          </w:tcPr>
          <w:p w14:paraId="6F9D25B4">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20～30</w:t>
            </w:r>
          </w:p>
        </w:tc>
      </w:tr>
      <w:tr w14:paraId="2E49B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25A34563">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03A9AA08">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1EEC97D3">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马术文化度假酒店</w:t>
            </w:r>
          </w:p>
        </w:tc>
        <w:tc>
          <w:tcPr>
            <w:tcW w:w="1693" w:type="pct"/>
            <w:vAlign w:val="center"/>
          </w:tcPr>
          <w:p w14:paraId="758945DA">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20～30</w:t>
            </w:r>
          </w:p>
        </w:tc>
      </w:tr>
      <w:tr w14:paraId="01C7F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5C3DD8B4">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4BAF4828">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1E700D69">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无为茶田度假村</w:t>
            </w:r>
          </w:p>
        </w:tc>
        <w:tc>
          <w:tcPr>
            <w:tcW w:w="1693" w:type="pct"/>
            <w:vAlign w:val="center"/>
          </w:tcPr>
          <w:p w14:paraId="4BBF37AE">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30～40</w:t>
            </w:r>
          </w:p>
        </w:tc>
      </w:tr>
      <w:tr w14:paraId="12D60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6ED2F8BC">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2E9D3777">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6065A1AD">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五斗米乡村艺创酒店</w:t>
            </w:r>
          </w:p>
        </w:tc>
        <w:tc>
          <w:tcPr>
            <w:tcW w:w="1693" w:type="pct"/>
            <w:vAlign w:val="center"/>
          </w:tcPr>
          <w:p w14:paraId="35F854B2">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30～50</w:t>
            </w:r>
          </w:p>
        </w:tc>
      </w:tr>
      <w:tr w14:paraId="35E70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387A873E">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restart"/>
            <w:vAlign w:val="center"/>
          </w:tcPr>
          <w:p w14:paraId="4FA32C11">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精品酒店</w:t>
            </w:r>
          </w:p>
        </w:tc>
        <w:tc>
          <w:tcPr>
            <w:tcW w:w="1828" w:type="pct"/>
            <w:vAlign w:val="center"/>
          </w:tcPr>
          <w:p w14:paraId="41DE5A26">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隐舍·乾元</w:t>
            </w:r>
          </w:p>
        </w:tc>
        <w:tc>
          <w:tcPr>
            <w:tcW w:w="1693" w:type="pct"/>
            <w:vAlign w:val="center"/>
          </w:tcPr>
          <w:p w14:paraId="0A3532B5">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80~95</w:t>
            </w:r>
          </w:p>
        </w:tc>
      </w:tr>
      <w:tr w14:paraId="1A8C5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7B176062">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4AD99A38">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18FE31AF">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东方盐湖城酒店集群（已建）</w:t>
            </w:r>
          </w:p>
        </w:tc>
        <w:tc>
          <w:tcPr>
            <w:tcW w:w="1693" w:type="pct"/>
            <w:vAlign w:val="center"/>
          </w:tcPr>
          <w:p w14:paraId="6AC4CA28">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644</w:t>
            </w:r>
          </w:p>
        </w:tc>
      </w:tr>
      <w:tr w14:paraId="5A02F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157C28A7">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57304152">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7146B888">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宝盛园酒店集群（已建）</w:t>
            </w:r>
          </w:p>
        </w:tc>
        <w:tc>
          <w:tcPr>
            <w:tcW w:w="1693" w:type="pct"/>
            <w:vAlign w:val="center"/>
          </w:tcPr>
          <w:p w14:paraId="41224021">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242</w:t>
            </w:r>
          </w:p>
        </w:tc>
      </w:tr>
      <w:tr w14:paraId="79DF3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3F93B096">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1FEA5112">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7B34EC90">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童瑶岭酒店集群（已建）</w:t>
            </w:r>
          </w:p>
        </w:tc>
        <w:tc>
          <w:tcPr>
            <w:tcW w:w="1693" w:type="pct"/>
            <w:vAlign w:val="center"/>
          </w:tcPr>
          <w:p w14:paraId="38644607">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447</w:t>
            </w:r>
          </w:p>
        </w:tc>
      </w:tr>
      <w:tr w14:paraId="3349B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04062FB2">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7C607BD4">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1C7B6EC0">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花谷奇缘酒店集群（已建）</w:t>
            </w:r>
          </w:p>
        </w:tc>
        <w:tc>
          <w:tcPr>
            <w:tcW w:w="1693" w:type="pct"/>
            <w:vAlign w:val="center"/>
          </w:tcPr>
          <w:p w14:paraId="4654839B">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166</w:t>
            </w:r>
          </w:p>
        </w:tc>
      </w:tr>
      <w:tr w14:paraId="6B9F2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2D5435AD">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129BEEE3">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0328476C">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紫云湖度假酒店（已建）</w:t>
            </w:r>
          </w:p>
        </w:tc>
        <w:tc>
          <w:tcPr>
            <w:tcW w:w="1693" w:type="pct"/>
            <w:vAlign w:val="center"/>
          </w:tcPr>
          <w:p w14:paraId="3B489C41">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80</w:t>
            </w:r>
          </w:p>
        </w:tc>
      </w:tr>
      <w:tr w14:paraId="3AEF5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54D80540">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7E4E4947">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1C5E319D">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茅山默元酒店（已建）</w:t>
            </w:r>
          </w:p>
        </w:tc>
        <w:tc>
          <w:tcPr>
            <w:tcW w:w="1693" w:type="pct"/>
            <w:vAlign w:val="center"/>
          </w:tcPr>
          <w:p w14:paraId="64A22196">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260</w:t>
            </w:r>
          </w:p>
        </w:tc>
      </w:tr>
      <w:tr w14:paraId="41046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0A0D1BAF">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33EBBFB9">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7626EA0E">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至临酒店（已建）</w:t>
            </w:r>
          </w:p>
        </w:tc>
        <w:tc>
          <w:tcPr>
            <w:tcW w:w="1693" w:type="pct"/>
            <w:vAlign w:val="center"/>
          </w:tcPr>
          <w:p w14:paraId="4DEE10B9">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80</w:t>
            </w:r>
          </w:p>
        </w:tc>
      </w:tr>
      <w:tr w14:paraId="2A108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61610922">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62A83B3C">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6AF55D7D">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隐·茅山</w:t>
            </w:r>
          </w:p>
        </w:tc>
        <w:tc>
          <w:tcPr>
            <w:tcW w:w="1693" w:type="pct"/>
            <w:vAlign w:val="center"/>
          </w:tcPr>
          <w:p w14:paraId="62106571">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50～80</w:t>
            </w:r>
          </w:p>
        </w:tc>
      </w:tr>
      <w:tr w14:paraId="736E8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566E627F">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63C59034">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2D3A1493">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猫山里配套酒店</w:t>
            </w:r>
          </w:p>
        </w:tc>
        <w:tc>
          <w:tcPr>
            <w:tcW w:w="1693" w:type="pct"/>
            <w:vAlign w:val="center"/>
          </w:tcPr>
          <w:p w14:paraId="283424A5">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50～80</w:t>
            </w:r>
          </w:p>
        </w:tc>
      </w:tr>
      <w:tr w14:paraId="514FC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7353416D">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restart"/>
            <w:vAlign w:val="center"/>
          </w:tcPr>
          <w:p w14:paraId="5C01E443">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经济型酒店</w:t>
            </w:r>
          </w:p>
        </w:tc>
        <w:tc>
          <w:tcPr>
            <w:tcW w:w="1828" w:type="pct"/>
            <w:vAlign w:val="center"/>
          </w:tcPr>
          <w:p w14:paraId="4F9ECD4F">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猫山里经济酒店群</w:t>
            </w:r>
          </w:p>
        </w:tc>
        <w:tc>
          <w:tcPr>
            <w:tcW w:w="1693" w:type="pct"/>
            <w:vAlign w:val="center"/>
          </w:tcPr>
          <w:p w14:paraId="1A3729EA">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400～600</w:t>
            </w:r>
          </w:p>
        </w:tc>
      </w:tr>
      <w:tr w14:paraId="6F566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7C251DAD">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36F06C4F">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4077F348">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壹号农场明都庄园酒店（已建）</w:t>
            </w:r>
          </w:p>
        </w:tc>
        <w:tc>
          <w:tcPr>
            <w:tcW w:w="1693" w:type="pct"/>
            <w:vAlign w:val="center"/>
          </w:tcPr>
          <w:p w14:paraId="54BCF02A">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91</w:t>
            </w:r>
          </w:p>
        </w:tc>
      </w:tr>
      <w:tr w14:paraId="6EE09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5FE2DC8B">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1D33A8B9">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61DC8E15">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希言旅社</w:t>
            </w:r>
          </w:p>
        </w:tc>
        <w:tc>
          <w:tcPr>
            <w:tcW w:w="1693" w:type="pct"/>
            <w:vAlign w:val="center"/>
          </w:tcPr>
          <w:p w14:paraId="6543A367">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20～30</w:t>
            </w:r>
          </w:p>
        </w:tc>
      </w:tr>
      <w:tr w14:paraId="30960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38EF6FC2">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549F2CBC">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7983F82B">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一介文旅（已建）</w:t>
            </w:r>
          </w:p>
        </w:tc>
        <w:tc>
          <w:tcPr>
            <w:tcW w:w="1693" w:type="pct"/>
            <w:vAlign w:val="center"/>
          </w:tcPr>
          <w:p w14:paraId="56D47B96">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44</w:t>
            </w:r>
          </w:p>
        </w:tc>
      </w:tr>
      <w:tr w14:paraId="042E9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07A2D331">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Merge w:val="continue"/>
            <w:vAlign w:val="center"/>
          </w:tcPr>
          <w:p w14:paraId="0C8CA817">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0B19310F">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京东农业（已建）</w:t>
            </w:r>
          </w:p>
        </w:tc>
        <w:tc>
          <w:tcPr>
            <w:tcW w:w="1693" w:type="pct"/>
            <w:vAlign w:val="center"/>
          </w:tcPr>
          <w:p w14:paraId="607BB07D">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250</w:t>
            </w:r>
          </w:p>
        </w:tc>
      </w:tr>
      <w:tr w14:paraId="2B47B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restart"/>
            <w:vAlign w:val="center"/>
          </w:tcPr>
          <w:p w14:paraId="09DA017C">
            <w:pPr>
              <w:tabs>
                <w:tab w:val="left" w:pos="420"/>
                <w:tab w:val="left" w:pos="1931"/>
              </w:tabs>
              <w:spacing w:line="500" w:lineRule="exact"/>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社区</w:t>
            </w:r>
          </w:p>
        </w:tc>
        <w:tc>
          <w:tcPr>
            <w:tcW w:w="999" w:type="pct"/>
            <w:vAlign w:val="center"/>
          </w:tcPr>
          <w:p w14:paraId="0B779976">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颐养社区</w:t>
            </w:r>
          </w:p>
        </w:tc>
        <w:tc>
          <w:tcPr>
            <w:tcW w:w="1828" w:type="pct"/>
            <w:vAlign w:val="center"/>
          </w:tcPr>
          <w:p w14:paraId="06470C2D">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江南颐园</w:t>
            </w:r>
          </w:p>
        </w:tc>
        <w:tc>
          <w:tcPr>
            <w:tcW w:w="1693" w:type="pct"/>
            <w:vAlign w:val="center"/>
          </w:tcPr>
          <w:p w14:paraId="6EAAD8AF">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w:t>
            </w:r>
          </w:p>
        </w:tc>
      </w:tr>
      <w:tr w14:paraId="6E4A1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Merge w:val="continue"/>
            <w:vAlign w:val="center"/>
          </w:tcPr>
          <w:p w14:paraId="7933E8C2">
            <w:pPr>
              <w:tabs>
                <w:tab w:val="left" w:pos="420"/>
                <w:tab w:val="left" w:pos="1931"/>
              </w:tabs>
              <w:spacing w:line="500" w:lineRule="exact"/>
              <w:ind w:firstLine="0" w:firstLineChars="0"/>
              <w:jc w:val="center"/>
              <w:rPr>
                <w:rFonts w:ascii="Calibri" w:hAnsi="Calibri" w:cs="Times New Roman"/>
                <w:kern w:val="24"/>
                <w:sz w:val="21"/>
                <w:szCs w:val="21"/>
                <w14:ligatures w14:val="none"/>
              </w:rPr>
            </w:pPr>
          </w:p>
        </w:tc>
        <w:tc>
          <w:tcPr>
            <w:tcW w:w="999" w:type="pct"/>
            <w:vAlign w:val="center"/>
          </w:tcPr>
          <w:p w14:paraId="577565FE">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旅居社区</w:t>
            </w:r>
          </w:p>
        </w:tc>
        <w:tc>
          <w:tcPr>
            <w:tcW w:w="1828" w:type="pct"/>
            <w:vAlign w:val="center"/>
          </w:tcPr>
          <w:p w14:paraId="4DD6A381">
            <w:pPr>
              <w:autoSpaceDE w:val="0"/>
              <w:autoSpaceDN w:val="0"/>
              <w:adjustRightInd w:val="0"/>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恒大御湖庄园、雅居乐山湖城、桃园、映山湖等</w:t>
            </w:r>
          </w:p>
        </w:tc>
        <w:tc>
          <w:tcPr>
            <w:tcW w:w="1693" w:type="pct"/>
            <w:vAlign w:val="center"/>
          </w:tcPr>
          <w:p w14:paraId="3E4B6AB9">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w:t>
            </w:r>
          </w:p>
        </w:tc>
      </w:tr>
      <w:tr w14:paraId="2EF4C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7" w:type="pct"/>
            <w:gridSpan w:val="2"/>
            <w:vMerge w:val="restart"/>
            <w:vAlign w:val="center"/>
          </w:tcPr>
          <w:p w14:paraId="2AD701E1">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民宿</w:t>
            </w:r>
          </w:p>
        </w:tc>
        <w:tc>
          <w:tcPr>
            <w:tcW w:w="1828" w:type="pct"/>
            <w:vAlign w:val="center"/>
          </w:tcPr>
          <w:p w14:paraId="156FD5B4">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竹棵村民宿集群</w:t>
            </w:r>
          </w:p>
        </w:tc>
        <w:tc>
          <w:tcPr>
            <w:tcW w:w="1693" w:type="pct"/>
            <w:vAlign w:val="center"/>
          </w:tcPr>
          <w:p w14:paraId="7E66205F">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50～80</w:t>
            </w:r>
          </w:p>
        </w:tc>
      </w:tr>
      <w:tr w14:paraId="7CE0B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7" w:type="pct"/>
            <w:gridSpan w:val="2"/>
            <w:vMerge w:val="continue"/>
            <w:vAlign w:val="center"/>
          </w:tcPr>
          <w:p w14:paraId="00C48140">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0D9F32E5">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上阮民宿集群</w:t>
            </w:r>
          </w:p>
        </w:tc>
        <w:tc>
          <w:tcPr>
            <w:tcW w:w="1693" w:type="pct"/>
            <w:vAlign w:val="center"/>
          </w:tcPr>
          <w:p w14:paraId="2F7028FA">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500～800</w:t>
            </w:r>
          </w:p>
        </w:tc>
      </w:tr>
      <w:tr w14:paraId="6E35A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7" w:type="pct"/>
            <w:gridSpan w:val="2"/>
            <w:vMerge w:val="continue"/>
            <w:vAlign w:val="center"/>
          </w:tcPr>
          <w:p w14:paraId="54C43C98">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07556BDD">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仙姑民宿集群</w:t>
            </w:r>
          </w:p>
        </w:tc>
        <w:tc>
          <w:tcPr>
            <w:tcW w:w="1693" w:type="pct"/>
            <w:vAlign w:val="center"/>
          </w:tcPr>
          <w:p w14:paraId="7317AC30">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100～200</w:t>
            </w:r>
          </w:p>
        </w:tc>
      </w:tr>
      <w:tr w14:paraId="28D89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7" w:type="pct"/>
            <w:gridSpan w:val="2"/>
            <w:vMerge w:val="continue"/>
            <w:vAlign w:val="center"/>
          </w:tcPr>
          <w:p w14:paraId="1AA411BA">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2348CAFD">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陶隐居</w:t>
            </w:r>
          </w:p>
        </w:tc>
        <w:tc>
          <w:tcPr>
            <w:tcW w:w="1693" w:type="pct"/>
            <w:vAlign w:val="center"/>
          </w:tcPr>
          <w:p w14:paraId="3AA00B26">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80～100</w:t>
            </w:r>
          </w:p>
        </w:tc>
      </w:tr>
      <w:tr w14:paraId="42091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7" w:type="pct"/>
            <w:gridSpan w:val="2"/>
            <w:vMerge w:val="continue"/>
            <w:vAlign w:val="center"/>
          </w:tcPr>
          <w:p w14:paraId="180C1971">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2338C05F">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半边山下民宿集群</w:t>
            </w:r>
          </w:p>
        </w:tc>
        <w:tc>
          <w:tcPr>
            <w:tcW w:w="1693" w:type="pct"/>
            <w:vAlign w:val="center"/>
          </w:tcPr>
          <w:p w14:paraId="5338B874">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100~120</w:t>
            </w:r>
          </w:p>
        </w:tc>
      </w:tr>
      <w:tr w14:paraId="5A311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7" w:type="pct"/>
            <w:gridSpan w:val="2"/>
            <w:vMerge w:val="continue"/>
            <w:vAlign w:val="center"/>
          </w:tcPr>
          <w:p w14:paraId="731C4129">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1DFCBA75">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茅东林场民宿集群</w:t>
            </w:r>
          </w:p>
        </w:tc>
        <w:tc>
          <w:tcPr>
            <w:tcW w:w="1693" w:type="pct"/>
            <w:vAlign w:val="center"/>
          </w:tcPr>
          <w:p w14:paraId="0389D806">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~200</w:t>
            </w:r>
          </w:p>
        </w:tc>
      </w:tr>
      <w:tr w14:paraId="7854F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7" w:type="pct"/>
            <w:gridSpan w:val="2"/>
            <w:vMerge w:val="continue"/>
            <w:vAlign w:val="center"/>
          </w:tcPr>
          <w:p w14:paraId="283A034C">
            <w:pPr>
              <w:tabs>
                <w:tab w:val="left" w:pos="420"/>
                <w:tab w:val="left" w:pos="1931"/>
              </w:tabs>
              <w:spacing w:line="240" w:lineRule="auto"/>
              <w:ind w:firstLine="0" w:firstLineChars="0"/>
              <w:jc w:val="center"/>
              <w:rPr>
                <w:rFonts w:ascii="Calibri" w:hAnsi="Calibri" w:cs="Times New Roman"/>
                <w:kern w:val="24"/>
                <w:sz w:val="21"/>
                <w:szCs w:val="21"/>
                <w14:ligatures w14:val="none"/>
              </w:rPr>
            </w:pPr>
          </w:p>
        </w:tc>
        <w:tc>
          <w:tcPr>
            <w:tcW w:w="1828" w:type="pct"/>
            <w:vAlign w:val="center"/>
          </w:tcPr>
          <w:p w14:paraId="549D54AC">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东岩精品民宿</w:t>
            </w:r>
          </w:p>
        </w:tc>
        <w:tc>
          <w:tcPr>
            <w:tcW w:w="1693" w:type="pct"/>
            <w:vAlign w:val="center"/>
          </w:tcPr>
          <w:p w14:paraId="32C63110">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~20</w:t>
            </w:r>
          </w:p>
        </w:tc>
      </w:tr>
      <w:tr w14:paraId="27144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7" w:type="pct"/>
            <w:gridSpan w:val="2"/>
            <w:vAlign w:val="center"/>
          </w:tcPr>
          <w:p w14:paraId="6FE7AA74">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营地</w:t>
            </w:r>
          </w:p>
        </w:tc>
        <w:tc>
          <w:tcPr>
            <w:tcW w:w="1828" w:type="pct"/>
            <w:vAlign w:val="center"/>
          </w:tcPr>
          <w:p w14:paraId="25830BC5">
            <w:pPr>
              <w:autoSpaceDE w:val="0"/>
              <w:autoSpaceDN w:val="0"/>
              <w:adjustRightInd w:val="0"/>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方山房车营地、绿野仙踪微营地、宝盛茶海营地、盐湖城山野露营、上阮花视界汽车营地</w:t>
            </w:r>
          </w:p>
        </w:tc>
        <w:tc>
          <w:tcPr>
            <w:tcW w:w="1693" w:type="pct"/>
            <w:vAlign w:val="center"/>
          </w:tcPr>
          <w:p w14:paraId="2F674023">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~500</w:t>
            </w:r>
          </w:p>
        </w:tc>
      </w:tr>
      <w:bookmarkEnd w:id="48"/>
    </w:tbl>
    <w:p w14:paraId="4F2958B4">
      <w:pPr>
        <w:ind w:firstLine="480"/>
      </w:pPr>
      <w:r>
        <w:rPr>
          <w:rFonts w:hint="eastAsia"/>
        </w:rPr>
        <w:t>（3）</w:t>
      </w:r>
      <w:r>
        <w:t>旅游游览</w:t>
      </w:r>
    </w:p>
    <w:p w14:paraId="003CC1B8">
      <w:pPr>
        <w:ind w:firstLine="480"/>
      </w:pPr>
      <w:r>
        <w:rPr>
          <w:rFonts w:hint="eastAsia"/>
        </w:rPr>
        <w:t>根据度假区内的资源禀赋，策划道文化体验游、农耕文化体验游、茶文化体验游及国防教育文化体验游四条主要游览线路。</w:t>
      </w:r>
    </w:p>
    <w:p w14:paraId="35E05888">
      <w:pPr>
        <w:ind w:firstLine="480"/>
      </w:pPr>
      <w:r>
        <w:rPr>
          <w:rFonts w:hint="eastAsia"/>
        </w:rPr>
        <w:t>（4）</w:t>
      </w:r>
      <w:r>
        <w:t>旅游购物</w:t>
      </w:r>
    </w:p>
    <w:p w14:paraId="7AB12515">
      <w:pPr>
        <w:ind w:firstLine="480"/>
      </w:pPr>
      <w:r>
        <w:rPr>
          <w:rFonts w:hint="eastAsia"/>
        </w:rPr>
        <w:t>遵循“文化创意、功能实用、互动体验”的旅游商品开发原则，打造线上线下一体化购物体系，规划构建主题沉浸式、体验自制式、一站便捷式的三类旅游购物体验。</w:t>
      </w:r>
    </w:p>
    <w:p w14:paraId="78E89062">
      <w:pPr>
        <w:ind w:firstLine="480"/>
      </w:pPr>
      <w:r>
        <w:rPr>
          <w:rFonts w:hint="eastAsia"/>
        </w:rPr>
        <w:t>根据旅游购物设施的类型、规模等要素，规划将旅游购物设施分为购物街区、特色购物商店、旅游购物点、流动集市四类。顺应电商发展和网购趋势，开拓“实体店+虚拟出样+线下配送”的经营模式，使旅游购物更加轻松、便捷，通过升级购物体验吸引游客。</w:t>
      </w:r>
    </w:p>
    <w:p w14:paraId="0CF80640">
      <w:pPr>
        <w:pStyle w:val="45"/>
        <w:rPr>
          <w:rFonts w:cs="Times New Roman"/>
        </w:rPr>
      </w:pPr>
      <w:r>
        <w:rPr>
          <w:rFonts w:hint="eastAsia" w:cs="Times New Roman"/>
        </w:rPr>
        <w:t>表2</w:t>
      </w:r>
      <w:r>
        <w:rPr>
          <w:rFonts w:cs="Times New Roman"/>
        </w:rPr>
        <w:t>.1</w:t>
      </w:r>
      <w:r>
        <w:rPr>
          <w:rFonts w:hint="eastAsia" w:cs="Times New Roman"/>
        </w:rPr>
        <w:t>-</w:t>
      </w:r>
      <w:r>
        <w:rPr>
          <w:rFonts w:cs="Times New Roman"/>
        </w:rPr>
        <w:t xml:space="preserve">5  </w:t>
      </w:r>
      <w:r>
        <w:rPr>
          <w:rFonts w:hint="eastAsia" w:cs="Times New Roman"/>
        </w:rPr>
        <w:t>度假区范围内旅游购物设施规划一览表</w:t>
      </w:r>
    </w:p>
    <w:tbl>
      <w:tblPr>
        <w:tblStyle w:val="4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810"/>
        <w:gridCol w:w="6712"/>
      </w:tblGrid>
      <w:tr w14:paraId="5F9185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62" w:type="pct"/>
            <w:vAlign w:val="center"/>
          </w:tcPr>
          <w:p w14:paraId="22148876">
            <w:pPr>
              <w:tabs>
                <w:tab w:val="left" w:pos="420"/>
                <w:tab w:val="left" w:pos="1931"/>
              </w:tabs>
              <w:spacing w:line="240" w:lineRule="auto"/>
              <w:ind w:firstLine="0" w:firstLineChars="0"/>
              <w:jc w:val="center"/>
              <w:rPr>
                <w:rFonts w:ascii="Calibri" w:hAnsi="Calibri" w:cs="Times New Roman"/>
                <w:b/>
                <w:bCs/>
                <w:kern w:val="24"/>
                <w:sz w:val="21"/>
                <w:szCs w:val="21"/>
                <w14:ligatures w14:val="none"/>
              </w:rPr>
            </w:pPr>
            <w:bookmarkStart w:id="49" w:name="_Hlk172190668"/>
            <w:r>
              <w:rPr>
                <w:rFonts w:hint="eastAsia" w:ascii="Calibri" w:hAnsi="Calibri" w:cs="Times New Roman"/>
                <w:b/>
                <w:bCs/>
                <w:kern w:val="24"/>
                <w:sz w:val="21"/>
                <w:szCs w:val="21"/>
                <w14:ligatures w14:val="none"/>
              </w:rPr>
              <w:t>购物设施类型</w:t>
            </w:r>
          </w:p>
        </w:tc>
        <w:tc>
          <w:tcPr>
            <w:tcW w:w="3937" w:type="pct"/>
            <w:vAlign w:val="center"/>
          </w:tcPr>
          <w:p w14:paraId="08C3EE16">
            <w:pPr>
              <w:tabs>
                <w:tab w:val="left" w:pos="420"/>
                <w:tab w:val="left" w:pos="1931"/>
              </w:tabs>
              <w:spacing w:line="240" w:lineRule="auto"/>
              <w:ind w:firstLine="0" w:firstLineChars="0"/>
              <w:jc w:val="center"/>
              <w:rPr>
                <w:rFonts w:ascii="Calibri" w:hAnsi="Calibri" w:cs="Times New Roman"/>
                <w:b/>
                <w:bCs/>
                <w:kern w:val="24"/>
                <w:sz w:val="21"/>
                <w:szCs w:val="21"/>
                <w14:ligatures w14:val="none"/>
              </w:rPr>
            </w:pPr>
            <w:r>
              <w:rPr>
                <w:rFonts w:hint="eastAsia" w:ascii="Calibri" w:hAnsi="Calibri" w:cs="Times New Roman"/>
                <w:b/>
                <w:bCs/>
                <w:kern w:val="24"/>
                <w:sz w:val="21"/>
                <w:szCs w:val="21"/>
                <w14:ligatures w14:val="none"/>
              </w:rPr>
              <w:t>设施名称</w:t>
            </w:r>
          </w:p>
        </w:tc>
      </w:tr>
      <w:tr w14:paraId="1F4733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62" w:type="pct"/>
            <w:vAlign w:val="center"/>
          </w:tcPr>
          <w:p w14:paraId="6CCCB1D0">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购物街区</w:t>
            </w:r>
          </w:p>
        </w:tc>
        <w:tc>
          <w:tcPr>
            <w:tcW w:w="3937" w:type="pct"/>
            <w:vAlign w:val="center"/>
          </w:tcPr>
          <w:p w14:paraId="03CE600B">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以商业综合体、商业街、百货店、购物中心、大型超市等为主要业态，规模较大、商品种类较多，可结合重点旅游项目布置或独立布置。布点有恒大商业街、猫山里喵街（规划）、茅山颐园风情水街、花谷奇缘花食街等。</w:t>
            </w:r>
          </w:p>
        </w:tc>
      </w:tr>
      <w:tr w14:paraId="20F273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62" w:type="pct"/>
            <w:vAlign w:val="center"/>
          </w:tcPr>
          <w:p w14:paraId="099472B8">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特色购物商店</w:t>
            </w:r>
          </w:p>
        </w:tc>
        <w:tc>
          <w:tcPr>
            <w:tcW w:w="3937" w:type="pct"/>
            <w:vAlign w:val="center"/>
          </w:tcPr>
          <w:p w14:paraId="1F01BE69">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主要提供茅山旅游纪念品、特色文创产品、农产品和土特产等，规模适中，建议结合重点旅游项目布局。布点有茅山游客服务中心、宝盛生生谷、壹号农场、茅山文创坊（规划）、三生风味（规划）等。</w:t>
            </w:r>
          </w:p>
        </w:tc>
      </w:tr>
      <w:tr w14:paraId="600469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62" w:type="pct"/>
            <w:vAlign w:val="center"/>
          </w:tcPr>
          <w:p w14:paraId="10384AB4">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旅游购物点</w:t>
            </w:r>
          </w:p>
        </w:tc>
        <w:tc>
          <w:tcPr>
            <w:tcW w:w="3937" w:type="pct"/>
            <w:vAlign w:val="center"/>
          </w:tcPr>
          <w:p w14:paraId="5A96A352">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主要提供茅山地区特色农副产品（茶叶、有机稻米、水果等）、土特产、日常生活用品等，规模较小，建议结合旅游项目、村庄居民点等布局。布点有竹里追光（规划）、春风一杯酒客栈（规划）、半边山下、五斗米艺术谷（规划）等。</w:t>
            </w:r>
          </w:p>
        </w:tc>
      </w:tr>
      <w:tr w14:paraId="54FFEF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62" w:type="pct"/>
            <w:vAlign w:val="center"/>
          </w:tcPr>
          <w:p w14:paraId="243D8B55">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流动集市</w:t>
            </w:r>
          </w:p>
        </w:tc>
        <w:tc>
          <w:tcPr>
            <w:tcW w:w="3937" w:type="pct"/>
            <w:vAlign w:val="center"/>
          </w:tcPr>
          <w:p w14:paraId="6816FD4A">
            <w:pPr>
              <w:tabs>
                <w:tab w:val="left" w:pos="420"/>
                <w:tab w:val="left" w:pos="1931"/>
              </w:tabs>
              <w:spacing w:line="240" w:lineRule="auto"/>
              <w:ind w:firstLine="0" w:firstLineChars="0"/>
              <w:jc w:val="center"/>
              <w:rPr>
                <w:rFonts w:ascii="Calibri" w:hAnsi="Calibri" w:cs="Times New Roman"/>
                <w:kern w:val="24"/>
                <w:sz w:val="21"/>
                <w:szCs w:val="21"/>
                <w14:ligatures w14:val="none"/>
              </w:rPr>
            </w:pPr>
            <w:r>
              <w:rPr>
                <w:rFonts w:hint="eastAsia" w:ascii="Calibri" w:hAnsi="Calibri" w:cs="Times New Roman"/>
                <w:kern w:val="24"/>
                <w:sz w:val="21"/>
                <w:szCs w:val="21"/>
                <w14:ligatures w14:val="none"/>
              </w:rPr>
              <w:t>主要为三大类流动集市，分别是国风主题文创集市、花卉主题文创集市和田园主题文创集市，流动性强，规模适中，建议结合各类特色旅游项目、旅游景区等布局。</w:t>
            </w:r>
          </w:p>
        </w:tc>
      </w:tr>
      <w:bookmarkEnd w:id="49"/>
    </w:tbl>
    <w:p w14:paraId="799A99FC">
      <w:pPr>
        <w:ind w:firstLine="480"/>
      </w:pPr>
      <w:r>
        <w:rPr>
          <w:rFonts w:hint="eastAsia"/>
        </w:rPr>
        <w:t>（5）</w:t>
      </w:r>
      <w:r>
        <w:t>旅游娱乐</w:t>
      </w:r>
    </w:p>
    <w:p w14:paraId="3B124618">
      <w:pPr>
        <w:ind w:firstLine="480"/>
      </w:pPr>
      <w:r>
        <w:rPr>
          <w:rFonts w:hint="eastAsia"/>
        </w:rPr>
        <w:t>旅游娱乐设施主要包含公益型和市场型两大类。其中公益性文化娱乐设施规划2处，包括茅山音乐剧场、茅山市民文化活动中心，以政府投建为主，可考虑政府与市场开发主体共建，同时满足周边居民与外来游客的文化娱乐需求。市场型文化娱乐设施规划多处，主要结合功能片区的差异化定位和重点旅游项目布局，规划引导市场型文化娱乐设施发展主题娱乐、休闲观光、科普教育、运动体验、节庆活动等功能类型。</w:t>
      </w:r>
    </w:p>
    <w:p w14:paraId="4717CFC6">
      <w:pPr>
        <w:ind w:firstLine="0" w:firstLineChars="0"/>
        <w:outlineLvl w:val="3"/>
      </w:pPr>
      <w:r>
        <w:rPr>
          <w:rFonts w:hint="eastAsia"/>
        </w:rPr>
        <w:t>2.1.9.</w:t>
      </w:r>
      <w:r>
        <w:t>3</w:t>
      </w:r>
      <w:r>
        <w:rPr>
          <w:rFonts w:hint="eastAsia"/>
        </w:rPr>
        <w:t>旅游公共设施</w:t>
      </w:r>
    </w:p>
    <w:p w14:paraId="778ABC96">
      <w:pPr>
        <w:ind w:firstLine="480"/>
      </w:pPr>
      <w:r>
        <w:rPr>
          <w:rFonts w:hint="eastAsia"/>
        </w:rPr>
        <w:t>（1）旅游公共信息服务</w:t>
      </w:r>
    </w:p>
    <w:p w14:paraId="2071C8A5">
      <w:pPr>
        <w:ind w:firstLine="480"/>
      </w:pPr>
      <w:r>
        <w:rPr>
          <w:rFonts w:hint="eastAsia"/>
        </w:rPr>
        <w:t>规划建设金坛茅山旅游度假区旅游咨询中心，结合旅游服务点设置旅游咨询分中心以及触摸屏等自主信息媒体，建设度假区的旅游咨询网络。大力发展智慧旅游，逐步完善度假区官方资讯网络，利用在线旅游信息服务集群，提升网络旅游服务功能。</w:t>
      </w:r>
    </w:p>
    <w:p w14:paraId="482B290C">
      <w:pPr>
        <w:ind w:firstLine="480"/>
      </w:pPr>
      <w:r>
        <w:rPr>
          <w:rFonts w:hint="eastAsia"/>
        </w:rPr>
        <w:t>（2）旅游安全保障服务</w:t>
      </w:r>
    </w:p>
    <w:p w14:paraId="3AD299A9">
      <w:pPr>
        <w:ind w:firstLine="480"/>
      </w:pPr>
      <w:r>
        <w:rPr>
          <w:rFonts w:hint="eastAsia"/>
        </w:rPr>
        <w:t>1）旅游安全保障措施</w:t>
      </w:r>
    </w:p>
    <w:p w14:paraId="3C5DBC3D">
      <w:pPr>
        <w:ind w:firstLine="480"/>
      </w:pPr>
      <w:r>
        <w:rPr>
          <w:rFonts w:hint="eastAsia"/>
        </w:rPr>
        <w:t>完善安全协作机制。公安、交通、文化、卫生、旅游及各镇村等加强协作，切实做好旅游度假区的社会治安、交通安全、文化市场管理和卫生防疫、卫生监督等工作，及时处置重大事故，确保旅游者生命和财产安全。建立覆盖旅游度假区的旅游救援中心。完善旅游预报系统。在主要节假日及灾害天气到来之前，适时发布“旅游风险预报”。</w:t>
      </w:r>
    </w:p>
    <w:p w14:paraId="730B53D0">
      <w:pPr>
        <w:ind w:firstLine="480"/>
      </w:pPr>
      <w:r>
        <w:rPr>
          <w:rFonts w:hint="eastAsia"/>
        </w:rPr>
        <w:t>加强安全教育和应急预案的演练培训。组织开展对旅游从业人员的安全教育和急救常识培训，建设一支训练有素的旅游安全管理和基层应急施救队伍。</w:t>
      </w:r>
    </w:p>
    <w:p w14:paraId="149B42BC">
      <w:pPr>
        <w:ind w:firstLine="480"/>
      </w:pPr>
      <w:r>
        <w:rPr>
          <w:rFonts w:hint="eastAsia"/>
        </w:rPr>
        <w:t>完善旅游度假区的安全标识系统。加强滨水、山林及其他存在安全隐患的地区设置安全警示牌和相关事故撤离指示牌等。</w:t>
      </w:r>
    </w:p>
    <w:p w14:paraId="235BD6A1">
      <w:pPr>
        <w:ind w:firstLine="480"/>
      </w:pPr>
      <w:r>
        <w:rPr>
          <w:rFonts w:hint="eastAsia"/>
        </w:rPr>
        <w:t>2）旅游安全保障体系</w:t>
      </w:r>
    </w:p>
    <w:p w14:paraId="15459809">
      <w:pPr>
        <w:ind w:firstLine="480"/>
      </w:pPr>
      <w:r>
        <w:rPr>
          <w:rFonts w:hint="eastAsia"/>
        </w:rPr>
        <w:t>交通安全。道路的安全设计、施工、维护和检查；交通的标志标识、GIS交通管理、气象预报、灾害预报等。对在度假区内行驶的旅游车辆进行定期安全检查，提出防范风险的要求。</w:t>
      </w:r>
    </w:p>
    <w:p w14:paraId="29E657EE">
      <w:pPr>
        <w:ind w:firstLine="480"/>
      </w:pPr>
      <w:r>
        <w:rPr>
          <w:rFonts w:hint="eastAsia"/>
        </w:rPr>
        <w:t>游憩安全。完善度假区内的度假、娱乐、游憩、观光等场所安全管理的调查和评估体系，包括自然风险和人为风险两个方面。对线路选择、游览设施装备的安全检修、风险地段的警示、设施防火等做好风险防范措施。对从事体育运动、水上休闲、空中观光的特种旅游服务人员加强应急防治知识培训和技术训练。加强对特种旅游活动的体能要求和检查，并定期对特种旅游活动安全防护设施进行检查。</w:t>
      </w:r>
    </w:p>
    <w:p w14:paraId="04C803F4">
      <w:pPr>
        <w:ind w:firstLine="480"/>
      </w:pPr>
      <w:r>
        <w:rPr>
          <w:rFonts w:hint="eastAsia"/>
        </w:rPr>
        <w:t>卫生防疫。定期对度假场所及公共场所等区域进行消毒。注意对住宿、餐饮等场所的病虫害消灭防治。可能疫情的检测、报告、防治和处理等参照卫生部门的相关标准，应加强疫情预报、疫情检测、药品储备、应急处理和赔偿。</w:t>
      </w:r>
    </w:p>
    <w:p w14:paraId="084C6DDA">
      <w:pPr>
        <w:ind w:firstLine="480"/>
      </w:pPr>
      <w:r>
        <w:rPr>
          <w:rFonts w:hint="eastAsia"/>
        </w:rPr>
        <w:t>风险救助。依托度假区的游客服务中心配套旅游安全救援中心。通过专业急救、社会急救和协同救助的多方协作救援模式，利用现代信息技术构建覆盖度假区的应急救援网络。</w:t>
      </w:r>
    </w:p>
    <w:p w14:paraId="771EFF3C">
      <w:pPr>
        <w:ind w:firstLine="480"/>
      </w:pPr>
      <w:r>
        <w:rPr>
          <w:rFonts w:hint="eastAsia"/>
        </w:rPr>
        <w:t>（3）旅游交通便捷服务</w:t>
      </w:r>
    </w:p>
    <w:p w14:paraId="7B32A617">
      <w:pPr>
        <w:ind w:firstLine="480"/>
      </w:pPr>
      <w:r>
        <w:rPr>
          <w:rFonts w:hint="eastAsia"/>
        </w:rPr>
        <w:t>从满足散客交通需求入手，逐步建立依托“旅游服务中心—旅游服务点”的网络化的旅游交通集散体系。逐步完善旅游集散换乘、旅游票务预订、旅游信息咨询等功能，逐步实现旅游客运枢纽——度假区的无缝对接。</w:t>
      </w:r>
    </w:p>
    <w:p w14:paraId="611AC5F3">
      <w:pPr>
        <w:ind w:firstLine="480"/>
      </w:pPr>
      <w:r>
        <w:rPr>
          <w:rFonts w:hint="eastAsia"/>
        </w:rPr>
        <w:t>逐步完善旅游度假区的交通标识系统，策划设计具有茅山特色的交通标识系统，结合重要交通节点、换乘点等进行设置，并提供旅游交通导览图等。</w:t>
      </w:r>
    </w:p>
    <w:p w14:paraId="5B28F662">
      <w:pPr>
        <w:ind w:firstLine="480"/>
      </w:pPr>
      <w:r>
        <w:rPr>
          <w:rFonts w:hint="eastAsia"/>
        </w:rPr>
        <w:t>规划在340省道—访仙路交叉口、直茅公路—340省道交叉口、寻仙路—340省道交叉口等度假区入口地区，强化交通引导与换乘服务，并满足自驾车旅游的咨询、娱乐、加油、维护保养等服务。</w:t>
      </w:r>
    </w:p>
    <w:p w14:paraId="4D80F826">
      <w:pPr>
        <w:ind w:firstLine="480"/>
      </w:pPr>
      <w:r>
        <w:rPr>
          <w:rFonts w:hint="eastAsia"/>
        </w:rPr>
        <w:t>4、旅游便民惠民服务</w:t>
      </w:r>
    </w:p>
    <w:p w14:paraId="67BCAEE1">
      <w:pPr>
        <w:ind w:firstLine="480"/>
      </w:pPr>
      <w:r>
        <w:rPr>
          <w:rFonts w:hint="eastAsia"/>
        </w:rPr>
        <w:t>探索旅游度假区与薛埠镇区一体化发展，在开放空间的设计及功能配套方面，适度考虑薛埠镇区居民的休闲需求，在门票价格等方面，采取优惠政策，以及设定部分旅游项目的免费开放日，实施区镇共建。</w:t>
      </w:r>
    </w:p>
    <w:p w14:paraId="4C8DEF37">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w:t>
      </w:r>
      <w:r>
        <w:rPr>
          <w:rFonts w:hint="eastAsia" w:eastAsia="方正楷体_GBK" w:cs="Times New Roman"/>
          <w:b/>
          <w:bCs/>
          <w:szCs w:val="28"/>
          <w14:ligatures w14:val="none"/>
        </w:rPr>
        <w:t>10旅游项目规划</w:t>
      </w:r>
    </w:p>
    <w:p w14:paraId="7C1EE605">
      <w:pPr>
        <w:ind w:firstLine="480"/>
        <w:sectPr>
          <w:pgSz w:w="11906" w:h="16838"/>
          <w:pgMar w:top="1440" w:right="1800" w:bottom="1440" w:left="1800" w:header="851" w:footer="992" w:gutter="0"/>
          <w:cols w:space="425" w:num="1"/>
          <w:docGrid w:type="lines" w:linePitch="312" w:charSpace="0"/>
        </w:sectPr>
      </w:pPr>
      <w:bookmarkStart w:id="50" w:name="_Hlk172187567"/>
      <w:r>
        <w:rPr>
          <w:rFonts w:hint="eastAsia"/>
        </w:rPr>
        <w:t>茅山旅游度假区范围内规划以道文化体验区、康养休闲度假区、区镇融合发展区、山田生态休闲区、农旅融合示范区5个分区打造各类文化旅游项目</w:t>
      </w:r>
      <w:bookmarkEnd w:id="50"/>
      <w:r>
        <w:rPr>
          <w:rFonts w:hint="eastAsia"/>
        </w:rPr>
        <w:t>，具体旅游项目清单如表2</w:t>
      </w:r>
      <w:r>
        <w:t>.1</w:t>
      </w:r>
      <w:r>
        <w:rPr>
          <w:rFonts w:hint="eastAsia"/>
        </w:rPr>
        <w:t>-</w:t>
      </w:r>
      <w:r>
        <w:t>6</w:t>
      </w:r>
      <w:r>
        <w:rPr>
          <w:rFonts w:hint="eastAsia"/>
        </w:rPr>
        <w:t>所示，度假区功能分区分布如附图27所示，旅游项目分布如附图28所示。</w:t>
      </w:r>
    </w:p>
    <w:p w14:paraId="486B543D">
      <w:pPr>
        <w:pStyle w:val="45"/>
        <w:rPr>
          <w:rFonts w:cs="Times New Roman"/>
        </w:rPr>
      </w:pPr>
      <w:r>
        <w:rPr>
          <w:rFonts w:hint="eastAsia" w:cs="Times New Roman"/>
        </w:rPr>
        <w:t>表2</w:t>
      </w:r>
      <w:r>
        <w:rPr>
          <w:rFonts w:cs="Times New Roman"/>
        </w:rPr>
        <w:t>.1</w:t>
      </w:r>
      <w:r>
        <w:rPr>
          <w:rFonts w:hint="eastAsia" w:cs="Times New Roman"/>
        </w:rPr>
        <w:t>-</w:t>
      </w:r>
      <w:r>
        <w:rPr>
          <w:rFonts w:cs="Times New Roman"/>
        </w:rPr>
        <w:t xml:space="preserve">6  </w:t>
      </w:r>
      <w:r>
        <w:rPr>
          <w:rFonts w:hint="eastAsia" w:cs="Times New Roman"/>
        </w:rPr>
        <w:t>度假区范围内文化旅游项目规划一览表</w:t>
      </w:r>
    </w:p>
    <w:tbl>
      <w:tblPr>
        <w:tblStyle w:val="26"/>
        <w:tblW w:w="52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
        <w:gridCol w:w="841"/>
        <w:gridCol w:w="1168"/>
        <w:gridCol w:w="1381"/>
        <w:gridCol w:w="811"/>
        <w:gridCol w:w="1154"/>
        <w:gridCol w:w="1198"/>
        <w:gridCol w:w="6102"/>
        <w:gridCol w:w="1555"/>
      </w:tblGrid>
      <w:tr w14:paraId="4A1F3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82" w:type="pct"/>
            <w:vAlign w:val="center"/>
          </w:tcPr>
          <w:p w14:paraId="588B7CE7">
            <w:pPr>
              <w:spacing w:line="240" w:lineRule="auto"/>
              <w:ind w:firstLine="0" w:firstLineChars="0"/>
              <w:jc w:val="center"/>
              <w:rPr>
                <w:rFonts w:cs="Times New Roman"/>
                <w:b/>
                <w:bCs/>
                <w:sz w:val="21"/>
                <w:szCs w:val="21"/>
              </w:rPr>
            </w:pPr>
            <w:bookmarkStart w:id="51" w:name="_Hlk172187677"/>
            <w:r>
              <w:rPr>
                <w:rFonts w:hint="eastAsia" w:cs="Times New Roman"/>
                <w:b/>
                <w:bCs/>
                <w:sz w:val="21"/>
                <w:szCs w:val="21"/>
              </w:rPr>
              <w:t>序号</w:t>
            </w:r>
          </w:p>
        </w:tc>
        <w:tc>
          <w:tcPr>
            <w:tcW w:w="285" w:type="pct"/>
            <w:vAlign w:val="center"/>
          </w:tcPr>
          <w:p w14:paraId="7A439476">
            <w:pPr>
              <w:spacing w:line="240" w:lineRule="auto"/>
              <w:ind w:firstLine="0" w:firstLineChars="0"/>
              <w:jc w:val="center"/>
              <w:rPr>
                <w:rFonts w:cs="Times New Roman"/>
                <w:b/>
                <w:bCs/>
                <w:sz w:val="21"/>
                <w:szCs w:val="21"/>
              </w:rPr>
            </w:pPr>
            <w:r>
              <w:rPr>
                <w:rFonts w:hint="eastAsia" w:cs="Times New Roman"/>
                <w:b/>
                <w:bCs/>
                <w:sz w:val="21"/>
                <w:szCs w:val="21"/>
              </w:rPr>
              <w:t>分区名称</w:t>
            </w:r>
          </w:p>
        </w:tc>
        <w:tc>
          <w:tcPr>
            <w:tcW w:w="396" w:type="pct"/>
            <w:vAlign w:val="center"/>
          </w:tcPr>
          <w:p w14:paraId="0DA37E50">
            <w:pPr>
              <w:spacing w:line="240" w:lineRule="auto"/>
              <w:ind w:firstLine="0" w:firstLineChars="0"/>
              <w:jc w:val="center"/>
              <w:rPr>
                <w:rFonts w:cs="Times New Roman"/>
                <w:b/>
                <w:bCs/>
                <w:sz w:val="21"/>
                <w:szCs w:val="21"/>
              </w:rPr>
            </w:pPr>
            <w:r>
              <w:rPr>
                <w:rFonts w:hint="eastAsia" w:cs="Times New Roman"/>
                <w:b/>
                <w:bCs/>
                <w:sz w:val="21"/>
                <w:szCs w:val="21"/>
              </w:rPr>
              <w:t>项目名称</w:t>
            </w:r>
          </w:p>
        </w:tc>
        <w:tc>
          <w:tcPr>
            <w:tcW w:w="468" w:type="pct"/>
            <w:vAlign w:val="center"/>
          </w:tcPr>
          <w:p w14:paraId="543177E3">
            <w:pPr>
              <w:spacing w:line="240" w:lineRule="auto"/>
              <w:ind w:firstLine="0" w:firstLineChars="0"/>
              <w:jc w:val="center"/>
              <w:rPr>
                <w:rFonts w:cs="Times New Roman"/>
                <w:b/>
                <w:bCs/>
                <w:sz w:val="21"/>
                <w:szCs w:val="21"/>
              </w:rPr>
            </w:pPr>
            <w:r>
              <w:rPr>
                <w:rFonts w:hint="eastAsia" w:cs="Times New Roman"/>
                <w:b/>
                <w:bCs/>
                <w:sz w:val="21"/>
                <w:szCs w:val="21"/>
              </w:rPr>
              <w:t>项目位置</w:t>
            </w:r>
          </w:p>
        </w:tc>
        <w:tc>
          <w:tcPr>
            <w:tcW w:w="275" w:type="pct"/>
            <w:vAlign w:val="center"/>
          </w:tcPr>
          <w:p w14:paraId="08D11B7B">
            <w:pPr>
              <w:spacing w:line="240" w:lineRule="auto"/>
              <w:ind w:firstLine="0" w:firstLineChars="0"/>
              <w:jc w:val="center"/>
              <w:rPr>
                <w:rFonts w:cs="Times New Roman"/>
                <w:b/>
                <w:bCs/>
                <w:sz w:val="21"/>
                <w:szCs w:val="21"/>
              </w:rPr>
            </w:pPr>
            <w:r>
              <w:rPr>
                <w:rFonts w:hint="eastAsia" w:cs="Times New Roman"/>
                <w:b/>
                <w:bCs/>
                <w:sz w:val="21"/>
                <w:szCs w:val="21"/>
              </w:rPr>
              <w:t>项目类型</w:t>
            </w:r>
          </w:p>
        </w:tc>
        <w:tc>
          <w:tcPr>
            <w:tcW w:w="391" w:type="pct"/>
            <w:vAlign w:val="center"/>
          </w:tcPr>
          <w:p w14:paraId="5917F342">
            <w:pPr>
              <w:spacing w:line="240" w:lineRule="auto"/>
              <w:ind w:firstLine="0" w:firstLineChars="0"/>
              <w:jc w:val="center"/>
              <w:rPr>
                <w:rFonts w:cs="Times New Roman"/>
                <w:b/>
                <w:bCs/>
                <w:sz w:val="21"/>
                <w:szCs w:val="21"/>
              </w:rPr>
            </w:pPr>
            <w:r>
              <w:rPr>
                <w:rFonts w:hint="eastAsia" w:cs="Times New Roman"/>
                <w:b/>
                <w:bCs/>
                <w:sz w:val="21"/>
                <w:szCs w:val="21"/>
              </w:rPr>
              <w:t>面积</w:t>
            </w:r>
          </w:p>
        </w:tc>
        <w:tc>
          <w:tcPr>
            <w:tcW w:w="406" w:type="pct"/>
            <w:vAlign w:val="center"/>
          </w:tcPr>
          <w:p w14:paraId="06DBFFF3">
            <w:pPr>
              <w:spacing w:line="240" w:lineRule="auto"/>
              <w:ind w:firstLine="0" w:firstLineChars="0"/>
              <w:jc w:val="center"/>
              <w:rPr>
                <w:rFonts w:cs="Times New Roman"/>
                <w:b/>
                <w:bCs/>
                <w:sz w:val="21"/>
                <w:szCs w:val="21"/>
              </w:rPr>
            </w:pPr>
            <w:r>
              <w:rPr>
                <w:rFonts w:hint="eastAsia" w:cs="Times New Roman"/>
                <w:b/>
                <w:bCs/>
                <w:sz w:val="21"/>
                <w:szCs w:val="21"/>
              </w:rPr>
              <w:t>功能定位</w:t>
            </w:r>
          </w:p>
        </w:tc>
        <w:tc>
          <w:tcPr>
            <w:tcW w:w="2068" w:type="pct"/>
            <w:vAlign w:val="center"/>
          </w:tcPr>
          <w:p w14:paraId="40F6C001">
            <w:pPr>
              <w:spacing w:line="240" w:lineRule="auto"/>
              <w:ind w:firstLine="0" w:firstLineChars="0"/>
              <w:jc w:val="center"/>
              <w:rPr>
                <w:rFonts w:cs="Times New Roman"/>
                <w:b/>
                <w:bCs/>
                <w:sz w:val="21"/>
                <w:szCs w:val="21"/>
              </w:rPr>
            </w:pPr>
            <w:r>
              <w:rPr>
                <w:rFonts w:hint="eastAsia" w:cs="Times New Roman"/>
                <w:b/>
                <w:bCs/>
                <w:sz w:val="21"/>
                <w:szCs w:val="21"/>
              </w:rPr>
              <w:t>发展思路</w:t>
            </w:r>
          </w:p>
        </w:tc>
        <w:tc>
          <w:tcPr>
            <w:tcW w:w="527" w:type="pct"/>
            <w:vAlign w:val="center"/>
          </w:tcPr>
          <w:p w14:paraId="5530BF14">
            <w:pPr>
              <w:spacing w:line="240" w:lineRule="auto"/>
              <w:ind w:firstLine="0" w:firstLineChars="0"/>
              <w:jc w:val="center"/>
              <w:rPr>
                <w:rFonts w:cs="Times New Roman"/>
                <w:b/>
                <w:bCs/>
                <w:sz w:val="21"/>
                <w:szCs w:val="21"/>
              </w:rPr>
            </w:pPr>
            <w:r>
              <w:rPr>
                <w:rFonts w:hint="eastAsia" w:cs="Times New Roman"/>
                <w:b/>
                <w:bCs/>
                <w:sz w:val="21"/>
                <w:szCs w:val="21"/>
              </w:rPr>
              <w:t>建设内容</w:t>
            </w:r>
          </w:p>
        </w:tc>
      </w:tr>
      <w:tr w14:paraId="4CF3B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2BADA558">
            <w:pPr>
              <w:pStyle w:val="39"/>
              <w:numPr>
                <w:ilvl w:val="0"/>
                <w:numId w:val="9"/>
              </w:numPr>
              <w:spacing w:line="240" w:lineRule="auto"/>
              <w:ind w:firstLineChars="0"/>
              <w:jc w:val="center"/>
              <w:rPr>
                <w:rFonts w:cs="Times New Roman"/>
                <w:sz w:val="21"/>
                <w:szCs w:val="21"/>
              </w:rPr>
            </w:pPr>
          </w:p>
        </w:tc>
        <w:tc>
          <w:tcPr>
            <w:tcW w:w="285" w:type="pct"/>
            <w:vMerge w:val="restart"/>
            <w:vAlign w:val="center"/>
          </w:tcPr>
          <w:p w14:paraId="3FACE993">
            <w:pPr>
              <w:spacing w:line="240" w:lineRule="auto"/>
              <w:ind w:firstLine="0" w:firstLineChars="0"/>
              <w:jc w:val="center"/>
              <w:rPr>
                <w:rFonts w:cs="Times New Roman"/>
                <w:sz w:val="21"/>
                <w:szCs w:val="21"/>
              </w:rPr>
            </w:pPr>
            <w:r>
              <w:rPr>
                <w:rFonts w:hint="eastAsia" w:cs="Times New Roman"/>
                <w:sz w:val="21"/>
                <w:szCs w:val="21"/>
              </w:rPr>
              <w:t>道文化体验区</w:t>
            </w:r>
          </w:p>
        </w:tc>
        <w:tc>
          <w:tcPr>
            <w:tcW w:w="396" w:type="pct"/>
            <w:vAlign w:val="center"/>
          </w:tcPr>
          <w:p w14:paraId="6789869D">
            <w:pPr>
              <w:spacing w:line="240" w:lineRule="auto"/>
              <w:ind w:firstLine="0" w:firstLineChars="0"/>
              <w:jc w:val="center"/>
              <w:rPr>
                <w:rFonts w:cs="Times New Roman"/>
                <w:sz w:val="21"/>
                <w:szCs w:val="21"/>
              </w:rPr>
            </w:pPr>
            <w:r>
              <w:rPr>
                <w:rFonts w:hint="eastAsia" w:cs="Times New Roman"/>
                <w:sz w:val="21"/>
                <w:szCs w:val="21"/>
              </w:rPr>
              <w:t>茅山·乾元圣境</w:t>
            </w:r>
          </w:p>
        </w:tc>
        <w:tc>
          <w:tcPr>
            <w:tcW w:w="468" w:type="pct"/>
            <w:vAlign w:val="center"/>
          </w:tcPr>
          <w:p w14:paraId="21FE298D">
            <w:pPr>
              <w:spacing w:line="240" w:lineRule="auto"/>
              <w:ind w:firstLine="0" w:firstLineChars="0"/>
              <w:jc w:val="center"/>
              <w:rPr>
                <w:rFonts w:cs="Times New Roman"/>
                <w:sz w:val="21"/>
                <w:szCs w:val="21"/>
              </w:rPr>
            </w:pPr>
            <w:r>
              <w:rPr>
                <w:rFonts w:hint="eastAsia" w:cs="Times New Roman"/>
                <w:sz w:val="21"/>
                <w:szCs w:val="21"/>
              </w:rPr>
              <w:t>乾元观、白虎山、青龙山</w:t>
            </w:r>
          </w:p>
        </w:tc>
        <w:tc>
          <w:tcPr>
            <w:tcW w:w="275" w:type="pct"/>
            <w:vAlign w:val="center"/>
          </w:tcPr>
          <w:p w14:paraId="2E8CCB02">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6A54DBD3">
            <w:pPr>
              <w:spacing w:line="240" w:lineRule="auto"/>
              <w:ind w:firstLine="0" w:firstLineChars="0"/>
              <w:jc w:val="center"/>
              <w:rPr>
                <w:rFonts w:cs="Times New Roman"/>
                <w:sz w:val="21"/>
                <w:szCs w:val="21"/>
              </w:rPr>
            </w:pPr>
            <w:r>
              <w:rPr>
                <w:rFonts w:hint="eastAsia" w:cs="Times New Roman"/>
                <w:sz w:val="21"/>
                <w:szCs w:val="21"/>
              </w:rPr>
              <w:t>现状占地约348.50亩，建设用地80.80亩</w:t>
            </w:r>
          </w:p>
        </w:tc>
        <w:tc>
          <w:tcPr>
            <w:tcW w:w="406" w:type="pct"/>
            <w:vAlign w:val="center"/>
          </w:tcPr>
          <w:p w14:paraId="54820E29">
            <w:pPr>
              <w:spacing w:line="240" w:lineRule="auto"/>
              <w:ind w:firstLine="0" w:firstLineChars="0"/>
              <w:jc w:val="center"/>
              <w:rPr>
                <w:rFonts w:cs="Times New Roman"/>
                <w:sz w:val="21"/>
                <w:szCs w:val="21"/>
              </w:rPr>
            </w:pPr>
            <w:r>
              <w:rPr>
                <w:rFonts w:hint="eastAsia" w:cs="Times New Roman"/>
                <w:sz w:val="21"/>
                <w:szCs w:val="21"/>
              </w:rPr>
              <w:t>道文化研究、传承与交流</w:t>
            </w:r>
          </w:p>
        </w:tc>
        <w:tc>
          <w:tcPr>
            <w:tcW w:w="2068" w:type="pct"/>
            <w:vAlign w:val="center"/>
          </w:tcPr>
          <w:p w14:paraId="1C6612F0">
            <w:pPr>
              <w:spacing w:line="240" w:lineRule="auto"/>
              <w:ind w:firstLine="0" w:firstLineChars="0"/>
              <w:rPr>
                <w:rFonts w:cs="Times New Roman"/>
                <w:sz w:val="21"/>
                <w:szCs w:val="21"/>
              </w:rPr>
            </w:pPr>
            <w:r>
              <w:rPr>
                <w:rFonts w:hint="eastAsia" w:cs="Times New Roman"/>
                <w:sz w:val="21"/>
                <w:szCs w:val="21"/>
              </w:rPr>
              <w:t>乾元观是江苏省唯一坤道院，为茅山“三宫五观”之一，拥有两千多年历史传承，是陶弘景、朱自英、闫希言、惠心白等历代高道隐居修行之地。乾元观于1993年修复，建有紫光坛、大罗宝殿、灵官殿、东拜殿、西拜殿、玉皇殿、三茅祖师殿、慈航殿等。乾元观坤道仙乐团闻名海内外，曾先后获批设立江苏道教艺术学院、江苏省道文化艺术中心。规划推进乾元观金顶建设，打造茅山道文化地标；建设江苏省道教学院，推进茅山道史修编等道文化研究与传承，开展音乐、书画、玄门讲经等道文化活动；利用白虎山采石场，以陈毅等新四军将领的诗文书法为主题打造新四军碑林，并结合周边显化碑（雷结碑）、洗心池、仙人桥、狗爬桥等古迹遗址，灵活运用园林造景手法，打造一处展示茅山历史的文化大观园。</w:t>
            </w:r>
          </w:p>
        </w:tc>
        <w:tc>
          <w:tcPr>
            <w:tcW w:w="527" w:type="pct"/>
            <w:vAlign w:val="center"/>
          </w:tcPr>
          <w:p w14:paraId="12F14513">
            <w:pPr>
              <w:spacing w:line="240" w:lineRule="auto"/>
              <w:ind w:firstLine="0" w:firstLineChars="0"/>
              <w:rPr>
                <w:rFonts w:cs="Times New Roman"/>
                <w:sz w:val="21"/>
                <w:szCs w:val="21"/>
              </w:rPr>
            </w:pPr>
            <w:r>
              <w:rPr>
                <w:rFonts w:hint="eastAsia" w:cs="Times New Roman"/>
                <w:sz w:val="21"/>
                <w:szCs w:val="21"/>
              </w:rPr>
              <w:t>改造现有乾元观金顶、江苏省道教学院、白虎山历史博览园等</w:t>
            </w:r>
          </w:p>
        </w:tc>
      </w:tr>
      <w:tr w14:paraId="5BB4B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9" w:hRule="atLeast"/>
          <w:jc w:val="center"/>
        </w:trPr>
        <w:tc>
          <w:tcPr>
            <w:tcW w:w="182" w:type="pct"/>
            <w:vAlign w:val="center"/>
          </w:tcPr>
          <w:p w14:paraId="3C2AFE68">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586EAF53">
            <w:pPr>
              <w:spacing w:line="240" w:lineRule="auto"/>
              <w:ind w:firstLine="0" w:firstLineChars="0"/>
              <w:jc w:val="center"/>
              <w:rPr>
                <w:rFonts w:cs="Times New Roman"/>
                <w:sz w:val="21"/>
                <w:szCs w:val="21"/>
              </w:rPr>
            </w:pPr>
          </w:p>
        </w:tc>
        <w:tc>
          <w:tcPr>
            <w:tcW w:w="396" w:type="pct"/>
            <w:vAlign w:val="center"/>
          </w:tcPr>
          <w:p w14:paraId="2948F14C">
            <w:pPr>
              <w:spacing w:line="240" w:lineRule="auto"/>
              <w:ind w:firstLine="0" w:firstLineChars="0"/>
              <w:jc w:val="center"/>
              <w:rPr>
                <w:rFonts w:cs="Times New Roman"/>
                <w:sz w:val="21"/>
                <w:szCs w:val="21"/>
              </w:rPr>
            </w:pPr>
            <w:r>
              <w:rPr>
                <w:rFonts w:hint="eastAsia" w:cs="Times New Roman"/>
                <w:sz w:val="21"/>
                <w:szCs w:val="21"/>
              </w:rPr>
              <w:t>茅山森林世界度假目的地</w:t>
            </w:r>
          </w:p>
        </w:tc>
        <w:tc>
          <w:tcPr>
            <w:tcW w:w="468" w:type="pct"/>
            <w:vAlign w:val="center"/>
          </w:tcPr>
          <w:p w14:paraId="6E5DCAE5">
            <w:pPr>
              <w:spacing w:line="240" w:lineRule="auto"/>
              <w:ind w:firstLine="0" w:firstLineChars="0"/>
              <w:jc w:val="center"/>
              <w:rPr>
                <w:rFonts w:cs="Times New Roman"/>
                <w:sz w:val="21"/>
                <w:szCs w:val="21"/>
              </w:rPr>
            </w:pPr>
            <w:r>
              <w:rPr>
                <w:rFonts w:hint="eastAsia" w:cs="Times New Roman"/>
                <w:sz w:val="21"/>
                <w:szCs w:val="21"/>
              </w:rPr>
              <w:t>茅山森林世界及周边区域</w:t>
            </w:r>
          </w:p>
        </w:tc>
        <w:tc>
          <w:tcPr>
            <w:tcW w:w="275" w:type="pct"/>
            <w:vAlign w:val="center"/>
          </w:tcPr>
          <w:p w14:paraId="1F3DAEAD">
            <w:pPr>
              <w:spacing w:line="240" w:lineRule="auto"/>
              <w:ind w:firstLine="0" w:firstLineChars="0"/>
              <w:jc w:val="center"/>
              <w:rPr>
                <w:rFonts w:cs="Times New Roman"/>
                <w:sz w:val="21"/>
                <w:szCs w:val="21"/>
              </w:rPr>
            </w:pPr>
            <w:r>
              <w:rPr>
                <w:rFonts w:hint="eastAsia" w:cs="Times New Roman"/>
                <w:sz w:val="21"/>
                <w:szCs w:val="21"/>
              </w:rPr>
              <w:t>规划改造、规划新建</w:t>
            </w:r>
          </w:p>
        </w:tc>
        <w:tc>
          <w:tcPr>
            <w:tcW w:w="391" w:type="pct"/>
            <w:vAlign w:val="center"/>
          </w:tcPr>
          <w:p w14:paraId="1C62E383">
            <w:pPr>
              <w:spacing w:line="240" w:lineRule="auto"/>
              <w:ind w:firstLine="0" w:firstLineChars="0"/>
              <w:jc w:val="center"/>
              <w:rPr>
                <w:rFonts w:cs="Times New Roman"/>
                <w:sz w:val="21"/>
                <w:szCs w:val="21"/>
              </w:rPr>
            </w:pPr>
            <w:r>
              <w:rPr>
                <w:rFonts w:hint="eastAsia" w:cs="Times New Roman"/>
                <w:sz w:val="21"/>
                <w:szCs w:val="21"/>
              </w:rPr>
              <w:t>规划建设用地304.8亩，其中新增建设用地78.63亩</w:t>
            </w:r>
          </w:p>
        </w:tc>
        <w:tc>
          <w:tcPr>
            <w:tcW w:w="406" w:type="pct"/>
            <w:vAlign w:val="center"/>
          </w:tcPr>
          <w:p w14:paraId="18BEE911">
            <w:pPr>
              <w:spacing w:line="240" w:lineRule="auto"/>
              <w:ind w:firstLine="0" w:firstLineChars="0"/>
              <w:jc w:val="center"/>
              <w:rPr>
                <w:rFonts w:cs="Times New Roman"/>
                <w:sz w:val="21"/>
                <w:szCs w:val="21"/>
              </w:rPr>
            </w:pPr>
            <w:r>
              <w:rPr>
                <w:rFonts w:hint="eastAsia" w:cs="Times New Roman"/>
                <w:sz w:val="21"/>
                <w:szCs w:val="21"/>
              </w:rPr>
              <w:t>综合旅游度假区</w:t>
            </w:r>
          </w:p>
        </w:tc>
        <w:tc>
          <w:tcPr>
            <w:tcW w:w="2068" w:type="pct"/>
            <w:vAlign w:val="center"/>
          </w:tcPr>
          <w:p w14:paraId="6EFFE7CC">
            <w:pPr>
              <w:spacing w:line="240" w:lineRule="auto"/>
              <w:ind w:firstLine="0" w:firstLineChars="0"/>
              <w:rPr>
                <w:rFonts w:cs="Times New Roman"/>
                <w:sz w:val="21"/>
                <w:szCs w:val="21"/>
              </w:rPr>
            </w:pPr>
            <w:r>
              <w:rPr>
                <w:rFonts w:hint="eastAsia" w:cs="Times New Roman"/>
                <w:sz w:val="21"/>
                <w:szCs w:val="21"/>
              </w:rPr>
              <w:t>依托项目地优美的生态环境、优质的文化资源，遵循“山、湖、林、田、村”并举的发展思路，以绿色生态为基础，以景村共富为导向，全面推进全域旅游、生态文明、乡村振兴发展，努力将项目打造成为集文化体验、休闲娱乐、会议度假、山湖旅游、运动休闲、康体养生等功能于一体的全国首个一站式森活度假目的地。项目分两期建设，一期建设茅山森林冰雪世界、度假酒店、森林小镇、地面停车场、观光缆车等，同步改造原创意中心、原知青改造点、原知青博物馆为森林山居、知青客栈等；二期建设茅山森林水世界、长颈鹿庄园等。</w:t>
            </w:r>
          </w:p>
        </w:tc>
        <w:tc>
          <w:tcPr>
            <w:tcW w:w="527" w:type="pct"/>
            <w:vAlign w:val="center"/>
          </w:tcPr>
          <w:p w14:paraId="6A6C66E8">
            <w:pPr>
              <w:spacing w:line="240" w:lineRule="auto"/>
              <w:ind w:firstLine="0" w:firstLineChars="0"/>
              <w:rPr>
                <w:rFonts w:cs="Times New Roman"/>
                <w:sz w:val="21"/>
                <w:szCs w:val="21"/>
              </w:rPr>
            </w:pPr>
            <w:r>
              <w:rPr>
                <w:rFonts w:hint="eastAsia" w:cs="Times New Roman"/>
                <w:sz w:val="21"/>
                <w:szCs w:val="21"/>
              </w:rPr>
              <w:t>主要建设包括茅山森林冰雪世界、水世界、度假酒店、森林小镇、长颈鹿庄园以及地面停车场等为内容的大型旅游综合体项目</w:t>
            </w:r>
          </w:p>
        </w:tc>
      </w:tr>
      <w:tr w14:paraId="3EB9D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3FF95361">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5B008189">
            <w:pPr>
              <w:spacing w:line="240" w:lineRule="auto"/>
              <w:ind w:firstLine="0" w:firstLineChars="0"/>
              <w:jc w:val="center"/>
              <w:rPr>
                <w:rFonts w:cs="Times New Roman"/>
                <w:sz w:val="21"/>
                <w:szCs w:val="21"/>
              </w:rPr>
            </w:pPr>
          </w:p>
        </w:tc>
        <w:tc>
          <w:tcPr>
            <w:tcW w:w="396" w:type="pct"/>
            <w:vAlign w:val="center"/>
          </w:tcPr>
          <w:p w14:paraId="3D7641AE">
            <w:pPr>
              <w:spacing w:line="240" w:lineRule="auto"/>
              <w:ind w:firstLine="0" w:firstLineChars="0"/>
              <w:jc w:val="center"/>
              <w:rPr>
                <w:rFonts w:cs="Times New Roman"/>
                <w:sz w:val="21"/>
                <w:szCs w:val="21"/>
              </w:rPr>
            </w:pPr>
            <w:r>
              <w:rPr>
                <w:rFonts w:hint="eastAsia" w:cs="Times New Roman"/>
                <w:sz w:val="21"/>
                <w:szCs w:val="21"/>
              </w:rPr>
              <w:t>心白茶舍</w:t>
            </w:r>
          </w:p>
        </w:tc>
        <w:tc>
          <w:tcPr>
            <w:tcW w:w="468" w:type="pct"/>
            <w:vAlign w:val="center"/>
          </w:tcPr>
          <w:p w14:paraId="7CC2930A">
            <w:pPr>
              <w:spacing w:line="240" w:lineRule="auto"/>
              <w:ind w:firstLine="0" w:firstLineChars="0"/>
              <w:jc w:val="center"/>
              <w:rPr>
                <w:rFonts w:cs="Times New Roman"/>
                <w:sz w:val="21"/>
                <w:szCs w:val="21"/>
              </w:rPr>
            </w:pPr>
            <w:r>
              <w:rPr>
                <w:rFonts w:hint="eastAsia" w:cs="Times New Roman"/>
                <w:sz w:val="21"/>
                <w:szCs w:val="21"/>
              </w:rPr>
              <w:t>海底水库西岸，原润祥茶博园改造</w:t>
            </w:r>
          </w:p>
        </w:tc>
        <w:tc>
          <w:tcPr>
            <w:tcW w:w="275" w:type="pct"/>
            <w:vAlign w:val="center"/>
          </w:tcPr>
          <w:p w14:paraId="4F8FD6E0">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5C332D1C">
            <w:pPr>
              <w:spacing w:line="240" w:lineRule="auto"/>
              <w:ind w:firstLine="0" w:firstLineChars="0"/>
              <w:jc w:val="center"/>
              <w:rPr>
                <w:rFonts w:cs="Times New Roman"/>
                <w:sz w:val="21"/>
                <w:szCs w:val="21"/>
              </w:rPr>
            </w:pPr>
            <w:r>
              <w:rPr>
                <w:rFonts w:hint="eastAsia" w:cs="Times New Roman"/>
                <w:sz w:val="21"/>
                <w:szCs w:val="21"/>
              </w:rPr>
              <w:t>现状占地面积约278.00亩，建设用地13.00亩</w:t>
            </w:r>
          </w:p>
        </w:tc>
        <w:tc>
          <w:tcPr>
            <w:tcW w:w="406" w:type="pct"/>
            <w:vAlign w:val="center"/>
          </w:tcPr>
          <w:p w14:paraId="32566DEE">
            <w:pPr>
              <w:spacing w:line="240" w:lineRule="auto"/>
              <w:ind w:firstLine="0" w:firstLineChars="0"/>
              <w:jc w:val="center"/>
              <w:rPr>
                <w:rFonts w:cs="Times New Roman"/>
                <w:sz w:val="21"/>
                <w:szCs w:val="21"/>
              </w:rPr>
            </w:pPr>
            <w:r>
              <w:rPr>
                <w:rFonts w:hint="eastAsia" w:cs="Times New Roman"/>
                <w:sz w:val="21"/>
                <w:szCs w:val="21"/>
              </w:rPr>
              <w:t>道茶文化主题精品酒店</w:t>
            </w:r>
          </w:p>
        </w:tc>
        <w:tc>
          <w:tcPr>
            <w:tcW w:w="2068" w:type="pct"/>
            <w:vAlign w:val="center"/>
          </w:tcPr>
          <w:p w14:paraId="38C4065F">
            <w:pPr>
              <w:spacing w:line="240" w:lineRule="auto"/>
              <w:ind w:firstLine="0" w:firstLineChars="0"/>
              <w:rPr>
                <w:rFonts w:cs="Times New Roman"/>
                <w:sz w:val="21"/>
                <w:szCs w:val="21"/>
              </w:rPr>
            </w:pPr>
            <w:r>
              <w:rPr>
                <w:rFonts w:hint="eastAsia" w:cs="Times New Roman"/>
                <w:sz w:val="21"/>
                <w:szCs w:val="21"/>
              </w:rPr>
              <w:t>此地块位于茅山森林世界主入口东侧，集茶园观光、休闲旅游、品茶购物、体验采茶制茶和观赏茶艺表演等于一体，规划利用已有建筑改造为高端道文化茶舍，根据品茗独坐、接友待客、长日清谈、小型雅集等不同需求，结合景观环境特点，设置不同规模、不同主题的茶空间</w:t>
            </w:r>
          </w:p>
        </w:tc>
        <w:tc>
          <w:tcPr>
            <w:tcW w:w="527" w:type="pct"/>
            <w:vAlign w:val="center"/>
          </w:tcPr>
          <w:p w14:paraId="53354C38">
            <w:pPr>
              <w:spacing w:line="240" w:lineRule="auto"/>
              <w:ind w:firstLine="0" w:firstLineChars="0"/>
              <w:rPr>
                <w:rFonts w:cs="Times New Roman"/>
                <w:sz w:val="21"/>
                <w:szCs w:val="21"/>
              </w:rPr>
            </w:pPr>
            <w:r>
              <w:rPr>
                <w:rFonts w:hint="eastAsia" w:cs="Times New Roman"/>
                <w:sz w:val="21"/>
                <w:szCs w:val="21"/>
              </w:rPr>
              <w:t>茶舍改造、山林游憩空间改造</w:t>
            </w:r>
          </w:p>
        </w:tc>
      </w:tr>
      <w:tr w14:paraId="42209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7A25180E">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7C18C6A5">
            <w:pPr>
              <w:spacing w:line="240" w:lineRule="auto"/>
              <w:ind w:firstLine="0" w:firstLineChars="0"/>
              <w:jc w:val="center"/>
              <w:rPr>
                <w:rFonts w:cs="Times New Roman"/>
                <w:sz w:val="21"/>
                <w:szCs w:val="21"/>
              </w:rPr>
            </w:pPr>
          </w:p>
        </w:tc>
        <w:tc>
          <w:tcPr>
            <w:tcW w:w="396" w:type="pct"/>
            <w:vAlign w:val="center"/>
          </w:tcPr>
          <w:p w14:paraId="5D89A7FE">
            <w:pPr>
              <w:spacing w:line="240" w:lineRule="auto"/>
              <w:ind w:firstLine="0" w:firstLineChars="0"/>
              <w:jc w:val="center"/>
              <w:rPr>
                <w:rFonts w:cs="Times New Roman"/>
                <w:sz w:val="21"/>
                <w:szCs w:val="21"/>
              </w:rPr>
            </w:pPr>
            <w:r>
              <w:rPr>
                <w:rFonts w:hint="eastAsia" w:cs="Times New Roman"/>
                <w:sz w:val="21"/>
                <w:szCs w:val="21"/>
              </w:rPr>
              <w:t>希言旅社</w:t>
            </w:r>
          </w:p>
        </w:tc>
        <w:tc>
          <w:tcPr>
            <w:tcW w:w="468" w:type="pct"/>
            <w:vAlign w:val="center"/>
          </w:tcPr>
          <w:p w14:paraId="04FEA573">
            <w:pPr>
              <w:spacing w:line="240" w:lineRule="auto"/>
              <w:ind w:firstLine="0" w:firstLineChars="0"/>
              <w:jc w:val="center"/>
              <w:rPr>
                <w:rFonts w:cs="Times New Roman"/>
                <w:sz w:val="21"/>
                <w:szCs w:val="21"/>
              </w:rPr>
            </w:pPr>
            <w:r>
              <w:rPr>
                <w:rFonts w:hint="eastAsia" w:cs="Times New Roman"/>
                <w:sz w:val="21"/>
                <w:szCs w:val="21"/>
              </w:rPr>
              <w:t>海底水库西岸，原桐春源茶社、一勺水山庄闲置项目改造</w:t>
            </w:r>
          </w:p>
        </w:tc>
        <w:tc>
          <w:tcPr>
            <w:tcW w:w="275" w:type="pct"/>
            <w:vAlign w:val="center"/>
          </w:tcPr>
          <w:p w14:paraId="381DEF04">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6F6735CE">
            <w:pPr>
              <w:spacing w:line="240" w:lineRule="auto"/>
              <w:ind w:firstLine="0" w:firstLineChars="0"/>
              <w:jc w:val="center"/>
              <w:rPr>
                <w:rFonts w:cs="Times New Roman"/>
                <w:sz w:val="21"/>
                <w:szCs w:val="21"/>
              </w:rPr>
            </w:pPr>
            <w:r>
              <w:rPr>
                <w:rFonts w:hint="eastAsia" w:cs="Times New Roman"/>
                <w:sz w:val="21"/>
                <w:szCs w:val="21"/>
              </w:rPr>
              <w:t>现状占地面积约60.0亩，建设用地15.90亩</w:t>
            </w:r>
          </w:p>
        </w:tc>
        <w:tc>
          <w:tcPr>
            <w:tcW w:w="406" w:type="pct"/>
            <w:vAlign w:val="center"/>
          </w:tcPr>
          <w:p w14:paraId="6588195E">
            <w:pPr>
              <w:spacing w:line="240" w:lineRule="auto"/>
              <w:ind w:firstLine="0" w:firstLineChars="0"/>
              <w:jc w:val="center"/>
              <w:rPr>
                <w:rFonts w:cs="Times New Roman"/>
                <w:sz w:val="21"/>
                <w:szCs w:val="21"/>
              </w:rPr>
            </w:pPr>
            <w:r>
              <w:rPr>
                <w:rFonts w:hint="eastAsia" w:cs="Times New Roman"/>
                <w:sz w:val="21"/>
                <w:szCs w:val="21"/>
              </w:rPr>
              <w:t>特色民宿</w:t>
            </w:r>
          </w:p>
        </w:tc>
        <w:tc>
          <w:tcPr>
            <w:tcW w:w="2068" w:type="pct"/>
            <w:vAlign w:val="center"/>
          </w:tcPr>
          <w:p w14:paraId="31421CF7">
            <w:pPr>
              <w:spacing w:line="240" w:lineRule="auto"/>
              <w:ind w:firstLine="0" w:firstLineChars="0"/>
              <w:rPr>
                <w:rFonts w:cs="Times New Roman"/>
                <w:sz w:val="21"/>
                <w:szCs w:val="21"/>
              </w:rPr>
            </w:pPr>
            <w:r>
              <w:rPr>
                <w:rFonts w:hint="eastAsia" w:cs="Times New Roman"/>
                <w:sz w:val="21"/>
                <w:szCs w:val="21"/>
              </w:rPr>
              <w:t>收购两个体量较小的山庄、茶社，以“小而美”为原则进行改造，定位为经济型酒店。可分别以“道藏”“道乐”“道绘”为主题，打造阅读室、音乐室、书画室等特色公共空间，提供道文化典籍阅读、音乐赏析、书画临摹等体验</w:t>
            </w:r>
          </w:p>
        </w:tc>
        <w:tc>
          <w:tcPr>
            <w:tcW w:w="527" w:type="pct"/>
            <w:vAlign w:val="center"/>
          </w:tcPr>
          <w:p w14:paraId="505E0632">
            <w:pPr>
              <w:spacing w:line="240" w:lineRule="auto"/>
              <w:ind w:firstLine="0" w:firstLineChars="0"/>
              <w:rPr>
                <w:rFonts w:cs="Times New Roman"/>
                <w:sz w:val="21"/>
                <w:szCs w:val="21"/>
              </w:rPr>
            </w:pPr>
            <w:r>
              <w:rPr>
                <w:rFonts w:hint="eastAsia" w:cs="Times New Roman"/>
                <w:sz w:val="21"/>
                <w:szCs w:val="21"/>
              </w:rPr>
              <w:t>旅社改造</w:t>
            </w:r>
          </w:p>
        </w:tc>
      </w:tr>
      <w:tr w14:paraId="71167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78483D6C">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06696255">
            <w:pPr>
              <w:spacing w:line="240" w:lineRule="auto"/>
              <w:ind w:firstLine="0" w:firstLineChars="0"/>
              <w:jc w:val="center"/>
              <w:rPr>
                <w:rFonts w:cs="Times New Roman"/>
                <w:sz w:val="21"/>
                <w:szCs w:val="21"/>
              </w:rPr>
            </w:pPr>
          </w:p>
        </w:tc>
        <w:tc>
          <w:tcPr>
            <w:tcW w:w="396" w:type="pct"/>
            <w:vAlign w:val="center"/>
          </w:tcPr>
          <w:p w14:paraId="13EE015E">
            <w:pPr>
              <w:spacing w:line="240" w:lineRule="auto"/>
              <w:ind w:firstLine="0" w:firstLineChars="0"/>
              <w:jc w:val="center"/>
              <w:rPr>
                <w:rFonts w:cs="Times New Roman"/>
                <w:sz w:val="21"/>
                <w:szCs w:val="21"/>
              </w:rPr>
            </w:pPr>
            <w:r>
              <w:rPr>
                <w:rFonts w:hint="eastAsia" w:cs="Times New Roman"/>
                <w:sz w:val="21"/>
                <w:szCs w:val="21"/>
              </w:rPr>
              <w:t>茅山观妙台</w:t>
            </w:r>
          </w:p>
        </w:tc>
        <w:tc>
          <w:tcPr>
            <w:tcW w:w="468" w:type="pct"/>
            <w:vAlign w:val="center"/>
          </w:tcPr>
          <w:p w14:paraId="2CB72640">
            <w:pPr>
              <w:spacing w:line="240" w:lineRule="auto"/>
              <w:ind w:firstLine="0" w:firstLineChars="0"/>
              <w:jc w:val="center"/>
              <w:rPr>
                <w:rFonts w:cs="Times New Roman"/>
                <w:sz w:val="21"/>
                <w:szCs w:val="21"/>
              </w:rPr>
            </w:pPr>
            <w:r>
              <w:rPr>
                <w:rFonts w:hint="eastAsia" w:cs="Times New Roman"/>
                <w:sz w:val="21"/>
                <w:szCs w:val="21"/>
              </w:rPr>
              <w:t>茅东大街南侧、S265省道西侧，原江苏省气象实验基地</w:t>
            </w:r>
          </w:p>
        </w:tc>
        <w:tc>
          <w:tcPr>
            <w:tcW w:w="275" w:type="pct"/>
            <w:vAlign w:val="center"/>
          </w:tcPr>
          <w:p w14:paraId="09433A72">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7325EF0B">
            <w:pPr>
              <w:spacing w:line="240" w:lineRule="auto"/>
              <w:ind w:firstLine="0" w:firstLineChars="0"/>
              <w:jc w:val="center"/>
              <w:rPr>
                <w:rFonts w:cs="Times New Roman"/>
                <w:sz w:val="21"/>
                <w:szCs w:val="21"/>
              </w:rPr>
            </w:pPr>
            <w:r>
              <w:rPr>
                <w:rFonts w:hint="eastAsia" w:cs="Times New Roman"/>
                <w:sz w:val="21"/>
                <w:szCs w:val="21"/>
              </w:rPr>
              <w:t>现状面积195.40亩，建设用地面积45.00亩</w:t>
            </w:r>
          </w:p>
        </w:tc>
        <w:tc>
          <w:tcPr>
            <w:tcW w:w="406" w:type="pct"/>
            <w:vAlign w:val="center"/>
          </w:tcPr>
          <w:p w14:paraId="11506BB7">
            <w:pPr>
              <w:spacing w:line="240" w:lineRule="auto"/>
              <w:ind w:firstLine="0" w:firstLineChars="0"/>
              <w:jc w:val="center"/>
              <w:rPr>
                <w:rFonts w:cs="Times New Roman"/>
                <w:sz w:val="21"/>
                <w:szCs w:val="21"/>
              </w:rPr>
            </w:pPr>
            <w:r>
              <w:rPr>
                <w:rFonts w:hint="eastAsia" w:cs="Times New Roman"/>
                <w:sz w:val="21"/>
                <w:szCs w:val="21"/>
              </w:rPr>
              <w:t>天象观赏、科普研学</w:t>
            </w:r>
          </w:p>
        </w:tc>
        <w:tc>
          <w:tcPr>
            <w:tcW w:w="2068" w:type="pct"/>
            <w:vAlign w:val="center"/>
          </w:tcPr>
          <w:p w14:paraId="5541028D">
            <w:pPr>
              <w:spacing w:line="240" w:lineRule="auto"/>
              <w:ind w:firstLine="0" w:firstLineChars="0"/>
              <w:rPr>
                <w:rFonts w:cs="Times New Roman"/>
                <w:sz w:val="21"/>
                <w:szCs w:val="21"/>
              </w:rPr>
            </w:pPr>
            <w:r>
              <w:rPr>
                <w:rFonts w:hint="eastAsia" w:cs="Times New Roman"/>
                <w:sz w:val="21"/>
                <w:szCs w:val="21"/>
              </w:rPr>
              <w:t>江苏省气象实验基地已建成气象观测场，并计划建设金坛国家气候观象台。规划在条件允许前提下，依托气象实验基地，融入道文化中对宇宙奇妙的观测与思考，开展气象科普、天象观光活动。主要措施：增设观赏用天文望远镜，为游客提供观星体验、气象讲解项目；引进VR、全息投影等虚拟现实设备，营造人类在太空中的景象，使游客身临其境了解道家对气象天象的认知</w:t>
            </w:r>
          </w:p>
        </w:tc>
        <w:tc>
          <w:tcPr>
            <w:tcW w:w="527" w:type="pct"/>
            <w:vAlign w:val="center"/>
          </w:tcPr>
          <w:p w14:paraId="3A0BC878">
            <w:pPr>
              <w:spacing w:line="240" w:lineRule="auto"/>
              <w:ind w:firstLine="0" w:firstLineChars="0"/>
              <w:rPr>
                <w:rFonts w:cs="Times New Roman"/>
                <w:sz w:val="21"/>
                <w:szCs w:val="21"/>
              </w:rPr>
            </w:pPr>
            <w:r>
              <w:rPr>
                <w:rFonts w:hint="eastAsia" w:cs="Times New Roman"/>
                <w:sz w:val="21"/>
                <w:szCs w:val="21"/>
              </w:rPr>
              <w:t>天文望远镜、虚拟气象体验基地等</w:t>
            </w:r>
          </w:p>
        </w:tc>
      </w:tr>
      <w:tr w14:paraId="35BEB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05DFA81F">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7041696D">
            <w:pPr>
              <w:spacing w:line="240" w:lineRule="auto"/>
              <w:ind w:firstLine="0" w:firstLineChars="0"/>
              <w:jc w:val="center"/>
              <w:rPr>
                <w:rFonts w:cs="Times New Roman"/>
                <w:sz w:val="21"/>
                <w:szCs w:val="21"/>
              </w:rPr>
            </w:pPr>
          </w:p>
        </w:tc>
        <w:tc>
          <w:tcPr>
            <w:tcW w:w="396" w:type="pct"/>
            <w:vAlign w:val="center"/>
          </w:tcPr>
          <w:p w14:paraId="18767555">
            <w:pPr>
              <w:spacing w:line="240" w:lineRule="auto"/>
              <w:ind w:firstLine="0" w:firstLineChars="0"/>
              <w:jc w:val="center"/>
              <w:rPr>
                <w:rFonts w:cs="Times New Roman"/>
                <w:sz w:val="21"/>
                <w:szCs w:val="21"/>
              </w:rPr>
            </w:pPr>
            <w:r>
              <w:rPr>
                <w:rFonts w:hint="eastAsia" w:cs="Times New Roman"/>
                <w:sz w:val="21"/>
                <w:szCs w:val="21"/>
              </w:rPr>
              <w:t>茅山文创坊</w:t>
            </w:r>
          </w:p>
        </w:tc>
        <w:tc>
          <w:tcPr>
            <w:tcW w:w="468" w:type="pct"/>
            <w:vAlign w:val="center"/>
          </w:tcPr>
          <w:p w14:paraId="138005BD">
            <w:pPr>
              <w:spacing w:line="240" w:lineRule="auto"/>
              <w:ind w:firstLine="0" w:firstLineChars="0"/>
              <w:jc w:val="center"/>
              <w:rPr>
                <w:rFonts w:cs="Times New Roman"/>
                <w:sz w:val="21"/>
                <w:szCs w:val="21"/>
              </w:rPr>
            </w:pPr>
            <w:r>
              <w:rPr>
                <w:rFonts w:hint="eastAsia" w:cs="Times New Roman"/>
                <w:sz w:val="21"/>
                <w:szCs w:val="21"/>
              </w:rPr>
              <w:t>仙海路北段沿线，原红山门村</w:t>
            </w:r>
          </w:p>
        </w:tc>
        <w:tc>
          <w:tcPr>
            <w:tcW w:w="275" w:type="pct"/>
            <w:vAlign w:val="center"/>
          </w:tcPr>
          <w:p w14:paraId="3168DE8E">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1F2EBE96">
            <w:pPr>
              <w:spacing w:line="240" w:lineRule="auto"/>
              <w:ind w:firstLine="0" w:firstLineChars="0"/>
              <w:jc w:val="center"/>
              <w:rPr>
                <w:rFonts w:cs="Times New Roman"/>
                <w:sz w:val="21"/>
                <w:szCs w:val="21"/>
              </w:rPr>
            </w:pPr>
            <w:r>
              <w:rPr>
                <w:rFonts w:hint="eastAsia" w:cs="Times New Roman"/>
                <w:sz w:val="21"/>
                <w:szCs w:val="21"/>
              </w:rPr>
              <w:t>现状占地面积约283.80亩，建设用地33.60亩</w:t>
            </w:r>
          </w:p>
        </w:tc>
        <w:tc>
          <w:tcPr>
            <w:tcW w:w="406" w:type="pct"/>
            <w:vAlign w:val="center"/>
          </w:tcPr>
          <w:p w14:paraId="5F524187">
            <w:pPr>
              <w:spacing w:line="240" w:lineRule="auto"/>
              <w:ind w:firstLine="0" w:firstLineChars="0"/>
              <w:jc w:val="center"/>
              <w:rPr>
                <w:rFonts w:cs="Times New Roman"/>
                <w:sz w:val="21"/>
                <w:szCs w:val="21"/>
              </w:rPr>
            </w:pPr>
            <w:r>
              <w:rPr>
                <w:rFonts w:hint="eastAsia" w:cs="Times New Roman"/>
                <w:sz w:val="21"/>
                <w:szCs w:val="21"/>
              </w:rPr>
              <w:t>茅山非遗文创开发、乡土建筑与地方营造的创新实验</w:t>
            </w:r>
          </w:p>
        </w:tc>
        <w:tc>
          <w:tcPr>
            <w:tcW w:w="2068" w:type="pct"/>
            <w:vAlign w:val="center"/>
          </w:tcPr>
          <w:p w14:paraId="71A8CB5B">
            <w:pPr>
              <w:spacing w:line="240" w:lineRule="auto"/>
              <w:ind w:firstLine="0" w:firstLineChars="0"/>
              <w:rPr>
                <w:rFonts w:cs="Times New Roman"/>
                <w:sz w:val="21"/>
                <w:szCs w:val="21"/>
              </w:rPr>
            </w:pPr>
            <w:r>
              <w:rPr>
                <w:rFonts w:hint="eastAsia" w:cs="Times New Roman"/>
                <w:sz w:val="21"/>
                <w:szCs w:val="21"/>
              </w:rPr>
              <w:t>红山门是上茅山的第一道门槛，村庄空间肌理与民居风貌保留较为完好，居民已基本搬迁。规划将红山门整体打造为道主题文创基地，可邀请多位设计师共创，打造数个各具魅力、独立的非遗文创工作室，开展以茅山叫叫、茅山戒指、茅山香包三大茅山道文化吉祥用品为代表的茅山非遗文创产品开发及相关文化活动体验。打造一处集服务咨询、餐厅、水吧、阅读室、艺术展陈与文化聚会等于一体的多功能会客厅，作为公共中心</w:t>
            </w:r>
          </w:p>
        </w:tc>
        <w:tc>
          <w:tcPr>
            <w:tcW w:w="527" w:type="pct"/>
            <w:vAlign w:val="center"/>
          </w:tcPr>
          <w:p w14:paraId="738E50CD">
            <w:pPr>
              <w:spacing w:line="240" w:lineRule="auto"/>
              <w:ind w:firstLine="0" w:firstLineChars="0"/>
              <w:rPr>
                <w:rFonts w:cs="Times New Roman"/>
                <w:sz w:val="21"/>
                <w:szCs w:val="21"/>
              </w:rPr>
            </w:pPr>
            <w:r>
              <w:rPr>
                <w:rFonts w:hint="eastAsia" w:cs="Times New Roman"/>
                <w:sz w:val="21"/>
                <w:szCs w:val="21"/>
              </w:rPr>
              <w:t>红山门景观地标、红山门会客厅、非遗文创工作室、文化市集等</w:t>
            </w:r>
          </w:p>
        </w:tc>
      </w:tr>
      <w:tr w14:paraId="658A2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701789C5">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520D3351">
            <w:pPr>
              <w:spacing w:line="240" w:lineRule="auto"/>
              <w:ind w:firstLine="0" w:firstLineChars="0"/>
              <w:jc w:val="center"/>
              <w:rPr>
                <w:rFonts w:cs="Times New Roman"/>
                <w:sz w:val="21"/>
                <w:szCs w:val="21"/>
              </w:rPr>
            </w:pPr>
          </w:p>
        </w:tc>
        <w:tc>
          <w:tcPr>
            <w:tcW w:w="396" w:type="pct"/>
            <w:vAlign w:val="center"/>
          </w:tcPr>
          <w:p w14:paraId="5F7681DE">
            <w:pPr>
              <w:spacing w:line="240" w:lineRule="auto"/>
              <w:ind w:firstLine="0" w:firstLineChars="0"/>
              <w:jc w:val="center"/>
              <w:rPr>
                <w:rFonts w:cs="Times New Roman"/>
                <w:sz w:val="21"/>
                <w:szCs w:val="21"/>
              </w:rPr>
            </w:pPr>
            <w:r>
              <w:rPr>
                <w:rFonts w:hint="eastAsia" w:cs="Times New Roman"/>
                <w:sz w:val="21"/>
                <w:szCs w:val="21"/>
              </w:rPr>
              <w:t>隐·茅山</w:t>
            </w:r>
          </w:p>
        </w:tc>
        <w:tc>
          <w:tcPr>
            <w:tcW w:w="468" w:type="pct"/>
            <w:vAlign w:val="center"/>
          </w:tcPr>
          <w:p w14:paraId="6060FA83">
            <w:pPr>
              <w:spacing w:line="240" w:lineRule="auto"/>
              <w:ind w:firstLine="0" w:firstLineChars="0"/>
              <w:jc w:val="center"/>
              <w:rPr>
                <w:rFonts w:cs="Times New Roman"/>
                <w:sz w:val="21"/>
                <w:szCs w:val="21"/>
              </w:rPr>
            </w:pPr>
            <w:r>
              <w:rPr>
                <w:rFonts w:hint="eastAsia" w:cs="Times New Roman"/>
                <w:sz w:val="21"/>
                <w:szCs w:val="21"/>
              </w:rPr>
              <w:t>东进石龙村</w:t>
            </w:r>
          </w:p>
        </w:tc>
        <w:tc>
          <w:tcPr>
            <w:tcW w:w="275" w:type="pct"/>
            <w:vAlign w:val="center"/>
          </w:tcPr>
          <w:p w14:paraId="03775DC4">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1554EA71">
            <w:pPr>
              <w:spacing w:line="240" w:lineRule="auto"/>
              <w:ind w:firstLine="0" w:firstLineChars="0"/>
              <w:jc w:val="center"/>
              <w:rPr>
                <w:rFonts w:cs="Times New Roman"/>
                <w:sz w:val="21"/>
                <w:szCs w:val="21"/>
              </w:rPr>
            </w:pPr>
            <w:r>
              <w:rPr>
                <w:rFonts w:hint="eastAsia" w:cs="Times New Roman"/>
                <w:color w:val="000000"/>
                <w:sz w:val="21"/>
                <w:szCs w:val="21"/>
              </w:rPr>
              <w:t>建设用地68.4亩</w:t>
            </w:r>
          </w:p>
        </w:tc>
        <w:tc>
          <w:tcPr>
            <w:tcW w:w="406" w:type="pct"/>
            <w:vAlign w:val="center"/>
          </w:tcPr>
          <w:p w14:paraId="75B2BA67">
            <w:pPr>
              <w:spacing w:line="240" w:lineRule="auto"/>
              <w:ind w:firstLine="0" w:firstLineChars="0"/>
              <w:jc w:val="center"/>
              <w:rPr>
                <w:rFonts w:cs="Times New Roman"/>
                <w:sz w:val="21"/>
                <w:szCs w:val="21"/>
              </w:rPr>
            </w:pPr>
            <w:r>
              <w:rPr>
                <w:rFonts w:hint="eastAsia" w:cs="Times New Roman"/>
                <w:sz w:val="21"/>
                <w:szCs w:val="21"/>
              </w:rPr>
              <w:t>酒店</w:t>
            </w:r>
          </w:p>
        </w:tc>
        <w:tc>
          <w:tcPr>
            <w:tcW w:w="2068" w:type="pct"/>
            <w:vAlign w:val="center"/>
          </w:tcPr>
          <w:p w14:paraId="64A5FAF3">
            <w:pPr>
              <w:spacing w:line="240" w:lineRule="auto"/>
              <w:ind w:firstLine="0" w:firstLineChars="0"/>
              <w:rPr>
                <w:rFonts w:cs="Times New Roman"/>
                <w:sz w:val="21"/>
                <w:szCs w:val="21"/>
              </w:rPr>
            </w:pPr>
            <w:r>
              <w:rPr>
                <w:rFonts w:hint="eastAsia" w:cs="Times New Roman"/>
                <w:sz w:val="21"/>
                <w:szCs w:val="21"/>
              </w:rPr>
              <w:t>在金牛、石龙现状村庄区域打造特色酒店住宿产品</w:t>
            </w:r>
          </w:p>
        </w:tc>
        <w:tc>
          <w:tcPr>
            <w:tcW w:w="527" w:type="pct"/>
            <w:vAlign w:val="center"/>
          </w:tcPr>
          <w:p w14:paraId="4E992E18">
            <w:pPr>
              <w:spacing w:line="240" w:lineRule="auto"/>
              <w:ind w:firstLine="0" w:firstLineChars="0"/>
              <w:rPr>
                <w:rFonts w:cs="Times New Roman"/>
                <w:sz w:val="21"/>
                <w:szCs w:val="21"/>
              </w:rPr>
            </w:pPr>
            <w:r>
              <w:rPr>
                <w:rFonts w:hint="eastAsia" w:cs="Times New Roman"/>
                <w:sz w:val="21"/>
                <w:szCs w:val="21"/>
              </w:rPr>
              <w:t>特色精品酒店</w:t>
            </w:r>
          </w:p>
        </w:tc>
      </w:tr>
      <w:tr w14:paraId="10AF0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7FC16D70">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3A905B12">
            <w:pPr>
              <w:spacing w:line="240" w:lineRule="auto"/>
              <w:ind w:firstLine="0" w:firstLineChars="0"/>
              <w:jc w:val="center"/>
              <w:rPr>
                <w:rFonts w:cs="Times New Roman"/>
                <w:sz w:val="21"/>
                <w:szCs w:val="21"/>
              </w:rPr>
            </w:pPr>
          </w:p>
        </w:tc>
        <w:tc>
          <w:tcPr>
            <w:tcW w:w="396" w:type="pct"/>
            <w:vAlign w:val="center"/>
          </w:tcPr>
          <w:p w14:paraId="4F02A545">
            <w:pPr>
              <w:spacing w:line="240" w:lineRule="auto"/>
              <w:ind w:firstLine="0" w:firstLineChars="0"/>
              <w:jc w:val="center"/>
              <w:rPr>
                <w:rFonts w:cs="Times New Roman"/>
                <w:sz w:val="21"/>
                <w:szCs w:val="21"/>
              </w:rPr>
            </w:pPr>
            <w:r>
              <w:rPr>
                <w:rFonts w:hint="eastAsia" w:cs="Times New Roman"/>
                <w:sz w:val="21"/>
                <w:szCs w:val="21"/>
              </w:rPr>
              <w:t>茅山飞渡·空中博物馆（缆车）</w:t>
            </w:r>
          </w:p>
        </w:tc>
        <w:tc>
          <w:tcPr>
            <w:tcW w:w="468" w:type="pct"/>
            <w:vAlign w:val="center"/>
          </w:tcPr>
          <w:p w14:paraId="338B18D7">
            <w:pPr>
              <w:spacing w:line="240" w:lineRule="auto"/>
              <w:ind w:firstLine="0" w:firstLineChars="0"/>
              <w:jc w:val="center"/>
              <w:rPr>
                <w:rFonts w:cs="Times New Roman"/>
                <w:sz w:val="21"/>
                <w:szCs w:val="21"/>
              </w:rPr>
            </w:pPr>
            <w:r>
              <w:rPr>
                <w:rFonts w:hint="eastAsia" w:cs="Times New Roman"/>
                <w:sz w:val="21"/>
                <w:szCs w:val="21"/>
              </w:rPr>
              <w:t>崇寿观至茅山顶宫</w:t>
            </w:r>
          </w:p>
        </w:tc>
        <w:tc>
          <w:tcPr>
            <w:tcW w:w="275" w:type="pct"/>
            <w:vAlign w:val="center"/>
          </w:tcPr>
          <w:p w14:paraId="7A44C299">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3AEA6743">
            <w:pPr>
              <w:spacing w:line="240" w:lineRule="auto"/>
              <w:ind w:firstLine="0" w:firstLineChars="0"/>
              <w:jc w:val="center"/>
              <w:rPr>
                <w:rFonts w:cs="Times New Roman"/>
                <w:sz w:val="21"/>
                <w:szCs w:val="21"/>
              </w:rPr>
            </w:pPr>
            <w:r>
              <w:rPr>
                <w:rFonts w:hint="eastAsia" w:cs="Times New Roman"/>
                <w:sz w:val="21"/>
                <w:szCs w:val="21"/>
              </w:rPr>
              <w:t>长度818米</w:t>
            </w:r>
          </w:p>
        </w:tc>
        <w:tc>
          <w:tcPr>
            <w:tcW w:w="406" w:type="pct"/>
            <w:vAlign w:val="center"/>
          </w:tcPr>
          <w:p w14:paraId="4D883C99">
            <w:pPr>
              <w:spacing w:line="240" w:lineRule="auto"/>
              <w:ind w:firstLine="0" w:firstLineChars="0"/>
              <w:jc w:val="center"/>
              <w:rPr>
                <w:rFonts w:cs="Times New Roman"/>
                <w:sz w:val="21"/>
                <w:szCs w:val="21"/>
              </w:rPr>
            </w:pPr>
            <w:r>
              <w:rPr>
                <w:rFonts w:hint="eastAsia" w:cs="Times New Roman"/>
                <w:sz w:val="21"/>
                <w:szCs w:val="21"/>
              </w:rPr>
              <w:t>特色交通、文化展示</w:t>
            </w:r>
          </w:p>
        </w:tc>
        <w:tc>
          <w:tcPr>
            <w:tcW w:w="2068" w:type="pct"/>
            <w:vAlign w:val="center"/>
          </w:tcPr>
          <w:p w14:paraId="7E898974">
            <w:pPr>
              <w:spacing w:line="240" w:lineRule="auto"/>
              <w:ind w:firstLine="0" w:firstLineChars="0"/>
              <w:rPr>
                <w:rFonts w:cs="Times New Roman"/>
                <w:sz w:val="21"/>
                <w:szCs w:val="21"/>
              </w:rPr>
            </w:pPr>
            <w:r>
              <w:rPr>
                <w:rFonts w:hint="eastAsia" w:cs="Times New Roman"/>
                <w:sz w:val="21"/>
                <w:szCs w:val="21"/>
              </w:rPr>
              <w:t>近期以“每一个车厢就是一个mini展示厅”为理念对缆车进行改造提升，融入茅山道乐、道茶、道膳、武术、符画等道文化元素，对车厢外立面、地面、天花板等空间进行艺术化改造，植入展陈、互动设施。远期可考虑引进主题化定制缆车</w:t>
            </w:r>
          </w:p>
        </w:tc>
        <w:tc>
          <w:tcPr>
            <w:tcW w:w="527" w:type="pct"/>
            <w:vAlign w:val="center"/>
          </w:tcPr>
          <w:p w14:paraId="7D6B191A">
            <w:pPr>
              <w:spacing w:line="240" w:lineRule="auto"/>
              <w:ind w:firstLine="0" w:firstLineChars="0"/>
              <w:rPr>
                <w:rFonts w:cs="Times New Roman"/>
                <w:sz w:val="21"/>
                <w:szCs w:val="21"/>
              </w:rPr>
            </w:pPr>
            <w:r>
              <w:rPr>
                <w:rFonts w:hint="eastAsia" w:cs="Times New Roman"/>
                <w:sz w:val="21"/>
                <w:szCs w:val="21"/>
              </w:rPr>
              <w:t>现有缆车改造提升</w:t>
            </w:r>
          </w:p>
        </w:tc>
      </w:tr>
      <w:tr w14:paraId="5B3FD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7" w:hRule="atLeast"/>
          <w:jc w:val="center"/>
        </w:trPr>
        <w:tc>
          <w:tcPr>
            <w:tcW w:w="182" w:type="pct"/>
            <w:vAlign w:val="center"/>
          </w:tcPr>
          <w:p w14:paraId="256AB1B0">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092F838F">
            <w:pPr>
              <w:spacing w:line="240" w:lineRule="auto"/>
              <w:ind w:firstLine="0" w:firstLineChars="0"/>
              <w:jc w:val="center"/>
              <w:rPr>
                <w:rFonts w:cs="Times New Roman"/>
                <w:sz w:val="21"/>
                <w:szCs w:val="21"/>
              </w:rPr>
            </w:pPr>
          </w:p>
        </w:tc>
        <w:tc>
          <w:tcPr>
            <w:tcW w:w="396" w:type="pct"/>
            <w:vAlign w:val="center"/>
          </w:tcPr>
          <w:p w14:paraId="7ED6B786">
            <w:pPr>
              <w:spacing w:line="240" w:lineRule="auto"/>
              <w:ind w:firstLine="0" w:firstLineChars="0"/>
              <w:jc w:val="center"/>
              <w:rPr>
                <w:rFonts w:cs="Times New Roman"/>
                <w:sz w:val="21"/>
                <w:szCs w:val="21"/>
              </w:rPr>
            </w:pPr>
            <w:r>
              <w:rPr>
                <w:rFonts w:hint="eastAsia" w:cs="Times New Roman"/>
                <w:sz w:val="21"/>
                <w:szCs w:val="21"/>
              </w:rPr>
              <w:t>茅山金牛洞景区改造提升——福道茅山主题登山道</w:t>
            </w:r>
          </w:p>
        </w:tc>
        <w:tc>
          <w:tcPr>
            <w:tcW w:w="468" w:type="pct"/>
            <w:vAlign w:val="center"/>
          </w:tcPr>
          <w:p w14:paraId="0E4B80D3">
            <w:pPr>
              <w:spacing w:line="240" w:lineRule="auto"/>
              <w:ind w:firstLine="0" w:firstLineChars="0"/>
              <w:jc w:val="center"/>
              <w:rPr>
                <w:rFonts w:cs="Times New Roman"/>
                <w:sz w:val="21"/>
                <w:szCs w:val="21"/>
              </w:rPr>
            </w:pPr>
            <w:r>
              <w:rPr>
                <w:rFonts w:hint="eastAsia" w:cs="Times New Roman"/>
                <w:sz w:val="21"/>
                <w:szCs w:val="21"/>
              </w:rPr>
              <w:t>金牛洞-元阳观-顶宫-保朴山房-三清观</w:t>
            </w:r>
          </w:p>
        </w:tc>
        <w:tc>
          <w:tcPr>
            <w:tcW w:w="275" w:type="pct"/>
            <w:vAlign w:val="center"/>
          </w:tcPr>
          <w:p w14:paraId="0199DCEC">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06BCFB0B">
            <w:pPr>
              <w:spacing w:line="240" w:lineRule="auto"/>
              <w:ind w:firstLine="0" w:firstLineChars="0"/>
              <w:jc w:val="center"/>
              <w:rPr>
                <w:rFonts w:cs="Times New Roman"/>
                <w:sz w:val="21"/>
                <w:szCs w:val="21"/>
              </w:rPr>
            </w:pPr>
            <w:r>
              <w:rPr>
                <w:rFonts w:hint="eastAsia" w:cs="Times New Roman"/>
                <w:sz w:val="21"/>
                <w:szCs w:val="21"/>
              </w:rPr>
              <w:t>长度约2320米</w:t>
            </w:r>
          </w:p>
        </w:tc>
        <w:tc>
          <w:tcPr>
            <w:tcW w:w="406" w:type="pct"/>
            <w:vAlign w:val="center"/>
          </w:tcPr>
          <w:p w14:paraId="1AF7760B">
            <w:pPr>
              <w:spacing w:line="240" w:lineRule="auto"/>
              <w:ind w:firstLine="0" w:firstLineChars="0"/>
              <w:jc w:val="center"/>
              <w:rPr>
                <w:rFonts w:cs="Times New Roman"/>
                <w:sz w:val="21"/>
                <w:szCs w:val="21"/>
              </w:rPr>
            </w:pPr>
            <w:r>
              <w:rPr>
                <w:rFonts w:hint="eastAsia" w:cs="Times New Roman"/>
                <w:sz w:val="21"/>
                <w:szCs w:val="21"/>
              </w:rPr>
              <w:t>慢行交通、道文化互动体验</w:t>
            </w:r>
          </w:p>
        </w:tc>
        <w:tc>
          <w:tcPr>
            <w:tcW w:w="2068" w:type="pct"/>
            <w:vAlign w:val="center"/>
          </w:tcPr>
          <w:p w14:paraId="227846F2">
            <w:pPr>
              <w:spacing w:line="240" w:lineRule="auto"/>
              <w:ind w:firstLine="0" w:firstLineChars="0"/>
              <w:rPr>
                <w:rFonts w:cs="Times New Roman"/>
                <w:sz w:val="21"/>
                <w:szCs w:val="21"/>
              </w:rPr>
            </w:pPr>
            <w:r>
              <w:rPr>
                <w:rFonts w:hint="eastAsia" w:cs="Times New Roman"/>
                <w:sz w:val="21"/>
                <w:szCs w:val="21"/>
              </w:rPr>
              <w:t>对金牛洞景区改造提升的同时，结合茅山现有登山小路或森林防火通道，优化登山道路沿线景观，对登山步道赋予道文化主题灵魂，利用智能语音、重力感应、AR投影等现代科技，对沿途导览、路灯、座椅、亭子等进行智能化升级，构建全新的互动式道文化体验场景，打造满足游览、健身、亲近自然等需求的主题登山步道</w:t>
            </w:r>
          </w:p>
        </w:tc>
        <w:tc>
          <w:tcPr>
            <w:tcW w:w="527" w:type="pct"/>
            <w:vAlign w:val="center"/>
          </w:tcPr>
          <w:p w14:paraId="7B4683EB">
            <w:pPr>
              <w:spacing w:line="240" w:lineRule="auto"/>
              <w:ind w:firstLine="0" w:firstLineChars="0"/>
              <w:rPr>
                <w:rFonts w:cs="Times New Roman"/>
                <w:sz w:val="21"/>
                <w:szCs w:val="21"/>
              </w:rPr>
            </w:pPr>
            <w:r>
              <w:rPr>
                <w:rFonts w:hint="eastAsia" w:cs="Times New Roman"/>
                <w:sz w:val="21"/>
                <w:szCs w:val="21"/>
              </w:rPr>
              <w:t>景区改造提升</w:t>
            </w:r>
          </w:p>
        </w:tc>
      </w:tr>
      <w:tr w14:paraId="6854C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182" w:type="pct"/>
            <w:vAlign w:val="center"/>
          </w:tcPr>
          <w:p w14:paraId="3BA68ADF">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7F2A711D">
            <w:pPr>
              <w:spacing w:line="240" w:lineRule="auto"/>
              <w:ind w:firstLine="0" w:firstLineChars="0"/>
              <w:jc w:val="center"/>
              <w:rPr>
                <w:rFonts w:cs="Times New Roman"/>
                <w:sz w:val="21"/>
                <w:szCs w:val="21"/>
              </w:rPr>
            </w:pPr>
          </w:p>
        </w:tc>
        <w:tc>
          <w:tcPr>
            <w:tcW w:w="396" w:type="pct"/>
            <w:vAlign w:val="center"/>
          </w:tcPr>
          <w:p w14:paraId="1A425927">
            <w:pPr>
              <w:spacing w:line="240" w:lineRule="auto"/>
              <w:ind w:firstLine="0" w:firstLineChars="0"/>
              <w:jc w:val="center"/>
              <w:rPr>
                <w:rFonts w:cs="Times New Roman"/>
                <w:sz w:val="21"/>
                <w:szCs w:val="21"/>
              </w:rPr>
            </w:pPr>
            <w:r>
              <w:rPr>
                <w:rFonts w:hint="eastAsia" w:cs="Times New Roman"/>
                <w:sz w:val="21"/>
                <w:szCs w:val="21"/>
              </w:rPr>
              <w:t>鸣玉径·妙音路</w:t>
            </w:r>
          </w:p>
        </w:tc>
        <w:tc>
          <w:tcPr>
            <w:tcW w:w="468" w:type="pct"/>
            <w:vAlign w:val="center"/>
          </w:tcPr>
          <w:p w14:paraId="7E62EB21">
            <w:pPr>
              <w:spacing w:line="240" w:lineRule="auto"/>
              <w:ind w:firstLine="0" w:firstLineChars="0"/>
              <w:jc w:val="center"/>
              <w:rPr>
                <w:rFonts w:cs="Times New Roman"/>
                <w:sz w:val="21"/>
                <w:szCs w:val="21"/>
              </w:rPr>
            </w:pPr>
            <w:r>
              <w:rPr>
                <w:rFonts w:hint="eastAsia" w:cs="Times New Roman"/>
                <w:sz w:val="21"/>
                <w:szCs w:val="21"/>
              </w:rPr>
              <w:t>乾元观、茅山地质公园附近</w:t>
            </w:r>
          </w:p>
        </w:tc>
        <w:tc>
          <w:tcPr>
            <w:tcW w:w="275" w:type="pct"/>
            <w:vAlign w:val="center"/>
          </w:tcPr>
          <w:p w14:paraId="33E35982">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33EDA845">
            <w:pPr>
              <w:spacing w:line="240" w:lineRule="auto"/>
              <w:ind w:firstLine="0" w:firstLineChars="0"/>
              <w:jc w:val="center"/>
              <w:rPr>
                <w:rFonts w:cs="Times New Roman"/>
                <w:sz w:val="21"/>
                <w:szCs w:val="21"/>
              </w:rPr>
            </w:pPr>
            <w:r>
              <w:rPr>
                <w:rFonts w:hint="eastAsia" w:cs="Times New Roman"/>
                <w:sz w:val="21"/>
                <w:szCs w:val="21"/>
              </w:rPr>
              <w:t>现状占地面积约2.4亩</w:t>
            </w:r>
          </w:p>
        </w:tc>
        <w:tc>
          <w:tcPr>
            <w:tcW w:w="406" w:type="pct"/>
            <w:vAlign w:val="center"/>
          </w:tcPr>
          <w:p w14:paraId="3F5D22F4">
            <w:pPr>
              <w:spacing w:line="240" w:lineRule="auto"/>
              <w:ind w:firstLine="0" w:firstLineChars="0"/>
              <w:jc w:val="center"/>
              <w:rPr>
                <w:rFonts w:cs="Times New Roman"/>
                <w:sz w:val="21"/>
                <w:szCs w:val="21"/>
              </w:rPr>
            </w:pPr>
            <w:r>
              <w:rPr>
                <w:rFonts w:hint="eastAsia" w:cs="Times New Roman"/>
                <w:sz w:val="21"/>
                <w:szCs w:val="21"/>
              </w:rPr>
              <w:t>文化展示</w:t>
            </w:r>
          </w:p>
        </w:tc>
        <w:tc>
          <w:tcPr>
            <w:tcW w:w="2068" w:type="pct"/>
            <w:vAlign w:val="center"/>
          </w:tcPr>
          <w:p w14:paraId="7312B3D8">
            <w:pPr>
              <w:spacing w:line="240" w:lineRule="auto"/>
              <w:ind w:firstLine="0" w:firstLineChars="0"/>
              <w:rPr>
                <w:rFonts w:cs="Times New Roman"/>
                <w:sz w:val="21"/>
                <w:szCs w:val="21"/>
              </w:rPr>
            </w:pPr>
            <w:r>
              <w:rPr>
                <w:rFonts w:hint="eastAsia" w:cs="Times New Roman"/>
                <w:sz w:val="21"/>
                <w:szCs w:val="21"/>
              </w:rPr>
              <w:t>地质公园策划改造</w:t>
            </w:r>
          </w:p>
        </w:tc>
        <w:tc>
          <w:tcPr>
            <w:tcW w:w="527" w:type="pct"/>
            <w:vAlign w:val="center"/>
          </w:tcPr>
          <w:p w14:paraId="2F8A5111">
            <w:pPr>
              <w:spacing w:line="240" w:lineRule="auto"/>
              <w:ind w:firstLine="0" w:firstLineChars="0"/>
              <w:rPr>
                <w:rFonts w:cs="Times New Roman"/>
                <w:sz w:val="21"/>
                <w:szCs w:val="21"/>
              </w:rPr>
            </w:pPr>
            <w:r>
              <w:rPr>
                <w:rFonts w:hint="eastAsia" w:cs="Times New Roman"/>
                <w:sz w:val="21"/>
                <w:szCs w:val="21"/>
              </w:rPr>
              <w:t>现有设施改造提升</w:t>
            </w:r>
          </w:p>
        </w:tc>
      </w:tr>
      <w:tr w14:paraId="788DB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183E9CFE">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35197033">
            <w:pPr>
              <w:spacing w:line="240" w:lineRule="auto"/>
              <w:ind w:firstLine="0" w:firstLineChars="0"/>
              <w:jc w:val="center"/>
              <w:rPr>
                <w:rFonts w:cs="Times New Roman"/>
                <w:sz w:val="21"/>
                <w:szCs w:val="21"/>
              </w:rPr>
            </w:pPr>
          </w:p>
        </w:tc>
        <w:tc>
          <w:tcPr>
            <w:tcW w:w="396" w:type="pct"/>
            <w:vAlign w:val="center"/>
          </w:tcPr>
          <w:p w14:paraId="2BF229A6">
            <w:pPr>
              <w:spacing w:line="240" w:lineRule="auto"/>
              <w:ind w:firstLine="0" w:firstLineChars="0"/>
              <w:jc w:val="center"/>
              <w:rPr>
                <w:rFonts w:cs="Times New Roman"/>
                <w:sz w:val="21"/>
                <w:szCs w:val="21"/>
              </w:rPr>
            </w:pPr>
            <w:r>
              <w:rPr>
                <w:rFonts w:hint="eastAsia" w:cs="Times New Roman"/>
                <w:sz w:val="21"/>
                <w:szCs w:val="21"/>
              </w:rPr>
              <w:t>仙姑土墩墓遗址公园</w:t>
            </w:r>
          </w:p>
        </w:tc>
        <w:tc>
          <w:tcPr>
            <w:tcW w:w="468" w:type="pct"/>
            <w:vAlign w:val="center"/>
          </w:tcPr>
          <w:p w14:paraId="043485F9">
            <w:pPr>
              <w:spacing w:line="240" w:lineRule="auto"/>
              <w:ind w:firstLine="0" w:firstLineChars="0"/>
              <w:jc w:val="center"/>
              <w:rPr>
                <w:rFonts w:cs="Times New Roman"/>
                <w:sz w:val="21"/>
                <w:szCs w:val="21"/>
              </w:rPr>
            </w:pPr>
            <w:r>
              <w:rPr>
                <w:rFonts w:hint="eastAsia" w:cs="Times New Roman"/>
                <w:sz w:val="21"/>
                <w:szCs w:val="21"/>
              </w:rPr>
              <w:t>庙西村委会北侧茶田及西南侧竹林内的土墩墓</w:t>
            </w:r>
          </w:p>
        </w:tc>
        <w:tc>
          <w:tcPr>
            <w:tcW w:w="275" w:type="pct"/>
            <w:vAlign w:val="center"/>
          </w:tcPr>
          <w:p w14:paraId="6E044B90">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35D3D6AA">
            <w:pPr>
              <w:spacing w:line="240" w:lineRule="auto"/>
              <w:ind w:firstLine="0" w:firstLineChars="0"/>
              <w:jc w:val="center"/>
              <w:rPr>
                <w:rFonts w:cs="Times New Roman"/>
                <w:sz w:val="21"/>
                <w:szCs w:val="21"/>
              </w:rPr>
            </w:pPr>
            <w:r>
              <w:rPr>
                <w:rFonts w:hint="eastAsia" w:cs="Times New Roman"/>
                <w:sz w:val="21"/>
                <w:szCs w:val="21"/>
              </w:rPr>
              <w:t>现状面积4220平方米</w:t>
            </w:r>
          </w:p>
        </w:tc>
        <w:tc>
          <w:tcPr>
            <w:tcW w:w="406" w:type="pct"/>
            <w:vAlign w:val="center"/>
          </w:tcPr>
          <w:p w14:paraId="1ADEFB45">
            <w:pPr>
              <w:spacing w:line="240" w:lineRule="auto"/>
              <w:ind w:firstLine="0" w:firstLineChars="0"/>
              <w:jc w:val="center"/>
              <w:rPr>
                <w:rFonts w:cs="Times New Roman"/>
                <w:sz w:val="21"/>
                <w:szCs w:val="21"/>
              </w:rPr>
            </w:pPr>
            <w:r>
              <w:rPr>
                <w:rFonts w:hint="eastAsia" w:cs="Times New Roman"/>
                <w:sz w:val="21"/>
                <w:szCs w:val="21"/>
              </w:rPr>
              <w:t>综合性公园</w:t>
            </w:r>
          </w:p>
        </w:tc>
        <w:tc>
          <w:tcPr>
            <w:tcW w:w="2068" w:type="pct"/>
            <w:vAlign w:val="center"/>
          </w:tcPr>
          <w:p w14:paraId="775A52CA">
            <w:pPr>
              <w:spacing w:line="240" w:lineRule="auto"/>
              <w:ind w:firstLine="0" w:firstLineChars="0"/>
              <w:rPr>
                <w:rFonts w:cs="Times New Roman"/>
                <w:sz w:val="21"/>
                <w:szCs w:val="21"/>
              </w:rPr>
            </w:pPr>
            <w:r>
              <w:rPr>
                <w:rFonts w:hint="eastAsia" w:cs="Times New Roman"/>
                <w:sz w:val="21"/>
                <w:szCs w:val="21"/>
              </w:rPr>
              <w:t>位于庙西村委会北侧茶田及西南侧竹林内的土墩墓，占地面积约4220平方米。本项目将建设集考古科普、亲子互动、文明探源、乡村振兴等于一体的综合性公园。</w:t>
            </w:r>
          </w:p>
        </w:tc>
        <w:tc>
          <w:tcPr>
            <w:tcW w:w="527" w:type="pct"/>
            <w:vAlign w:val="center"/>
          </w:tcPr>
          <w:p w14:paraId="5F270F95">
            <w:pPr>
              <w:spacing w:line="240" w:lineRule="auto"/>
              <w:ind w:firstLine="0" w:firstLineChars="0"/>
              <w:rPr>
                <w:rFonts w:cs="Times New Roman"/>
                <w:sz w:val="21"/>
                <w:szCs w:val="21"/>
              </w:rPr>
            </w:pPr>
            <w:r>
              <w:rPr>
                <w:rFonts w:hint="eastAsia" w:cs="Times New Roman"/>
                <w:sz w:val="21"/>
                <w:szCs w:val="21"/>
              </w:rPr>
              <w:t>综合公园</w:t>
            </w:r>
          </w:p>
        </w:tc>
      </w:tr>
      <w:tr w14:paraId="7297A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70EE6784">
            <w:pPr>
              <w:pStyle w:val="39"/>
              <w:numPr>
                <w:ilvl w:val="0"/>
                <w:numId w:val="9"/>
              </w:numPr>
              <w:spacing w:line="240" w:lineRule="auto"/>
              <w:ind w:firstLineChars="0"/>
              <w:jc w:val="center"/>
              <w:rPr>
                <w:rFonts w:cs="Times New Roman"/>
                <w:sz w:val="21"/>
                <w:szCs w:val="21"/>
              </w:rPr>
            </w:pPr>
          </w:p>
        </w:tc>
        <w:tc>
          <w:tcPr>
            <w:tcW w:w="285" w:type="pct"/>
            <w:vMerge w:val="restart"/>
            <w:vAlign w:val="center"/>
          </w:tcPr>
          <w:p w14:paraId="05062393">
            <w:pPr>
              <w:spacing w:line="240" w:lineRule="auto"/>
              <w:ind w:firstLine="0" w:firstLineChars="0"/>
              <w:jc w:val="center"/>
              <w:rPr>
                <w:rFonts w:cs="Times New Roman"/>
                <w:sz w:val="21"/>
                <w:szCs w:val="21"/>
              </w:rPr>
            </w:pPr>
            <w:r>
              <w:rPr>
                <w:rFonts w:hint="eastAsia" w:cs="Times New Roman"/>
                <w:sz w:val="21"/>
                <w:szCs w:val="21"/>
              </w:rPr>
              <w:t>康养休闲度假区</w:t>
            </w:r>
          </w:p>
        </w:tc>
        <w:tc>
          <w:tcPr>
            <w:tcW w:w="396" w:type="pct"/>
            <w:vAlign w:val="center"/>
          </w:tcPr>
          <w:p w14:paraId="578F722D">
            <w:pPr>
              <w:spacing w:line="240" w:lineRule="auto"/>
              <w:ind w:firstLine="0" w:firstLineChars="0"/>
              <w:jc w:val="center"/>
              <w:rPr>
                <w:rFonts w:cs="Times New Roman"/>
                <w:sz w:val="21"/>
                <w:szCs w:val="21"/>
              </w:rPr>
            </w:pPr>
            <w:r>
              <w:rPr>
                <w:rFonts w:hint="eastAsia" w:cs="Times New Roman"/>
                <w:sz w:val="21"/>
                <w:szCs w:val="21"/>
              </w:rPr>
              <w:t>金牛湖公园</w:t>
            </w:r>
          </w:p>
        </w:tc>
        <w:tc>
          <w:tcPr>
            <w:tcW w:w="468" w:type="pct"/>
            <w:vAlign w:val="center"/>
          </w:tcPr>
          <w:p w14:paraId="351C15E5">
            <w:pPr>
              <w:spacing w:line="240" w:lineRule="auto"/>
              <w:ind w:firstLine="0" w:firstLineChars="0"/>
              <w:jc w:val="center"/>
              <w:rPr>
                <w:rFonts w:cs="Times New Roman"/>
                <w:sz w:val="21"/>
                <w:szCs w:val="21"/>
              </w:rPr>
            </w:pPr>
            <w:r>
              <w:rPr>
                <w:rFonts w:hint="eastAsia" w:cs="Times New Roman"/>
                <w:sz w:val="21"/>
                <w:szCs w:val="21"/>
              </w:rPr>
              <w:t>东进水库及周边区域</w:t>
            </w:r>
          </w:p>
        </w:tc>
        <w:tc>
          <w:tcPr>
            <w:tcW w:w="275" w:type="pct"/>
            <w:vAlign w:val="center"/>
          </w:tcPr>
          <w:p w14:paraId="1180BB1A">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12967DCF">
            <w:pPr>
              <w:spacing w:line="240" w:lineRule="auto"/>
              <w:ind w:firstLine="0" w:firstLineChars="0"/>
              <w:jc w:val="center"/>
              <w:rPr>
                <w:rFonts w:cs="Times New Roman"/>
                <w:sz w:val="21"/>
                <w:szCs w:val="21"/>
              </w:rPr>
            </w:pPr>
            <w:r>
              <w:rPr>
                <w:rFonts w:hint="eastAsia" w:cs="Times New Roman"/>
                <w:sz w:val="21"/>
                <w:szCs w:val="21"/>
              </w:rPr>
              <w:t>现状总面积约1348.90亩</w:t>
            </w:r>
          </w:p>
        </w:tc>
        <w:tc>
          <w:tcPr>
            <w:tcW w:w="406" w:type="pct"/>
            <w:vAlign w:val="center"/>
          </w:tcPr>
          <w:p w14:paraId="32652BDE">
            <w:pPr>
              <w:spacing w:line="240" w:lineRule="auto"/>
              <w:ind w:firstLine="0" w:firstLineChars="0"/>
              <w:jc w:val="center"/>
              <w:rPr>
                <w:rFonts w:cs="Times New Roman"/>
                <w:sz w:val="21"/>
                <w:szCs w:val="21"/>
              </w:rPr>
            </w:pPr>
            <w:r>
              <w:rPr>
                <w:rFonts w:hint="eastAsia" w:cs="Times New Roman"/>
                <w:sz w:val="21"/>
                <w:szCs w:val="21"/>
              </w:rPr>
              <w:t>滨水观光、健身锻炼</w:t>
            </w:r>
          </w:p>
        </w:tc>
        <w:tc>
          <w:tcPr>
            <w:tcW w:w="2068" w:type="pct"/>
            <w:vAlign w:val="center"/>
          </w:tcPr>
          <w:p w14:paraId="6E50A9EE">
            <w:pPr>
              <w:spacing w:line="240" w:lineRule="auto"/>
              <w:ind w:firstLine="0" w:firstLineChars="0"/>
              <w:rPr>
                <w:rFonts w:cs="Times New Roman"/>
                <w:sz w:val="21"/>
                <w:szCs w:val="21"/>
              </w:rPr>
            </w:pPr>
            <w:r>
              <w:rPr>
                <w:rFonts w:hint="eastAsia" w:cs="Times New Roman"/>
                <w:sz w:val="21"/>
                <w:szCs w:val="21"/>
              </w:rPr>
              <w:t>依托东进水库滨水空间建设面向老年人群、康养人群的滨水健身公园。公园内建设具有观光、健身、锻炼等功能的滨水康养步道，步道坡度、弯度需严格把控，以保障康养人群安全。在滨水康养步道沿线设置健身器材、休憩亭、健身广场、观景台、打卡点等设施</w:t>
            </w:r>
          </w:p>
        </w:tc>
        <w:tc>
          <w:tcPr>
            <w:tcW w:w="527" w:type="pct"/>
            <w:vAlign w:val="center"/>
          </w:tcPr>
          <w:p w14:paraId="2793F7D6">
            <w:pPr>
              <w:spacing w:line="240" w:lineRule="auto"/>
              <w:ind w:firstLine="0" w:firstLineChars="0"/>
              <w:rPr>
                <w:rFonts w:cs="Times New Roman"/>
                <w:sz w:val="21"/>
                <w:szCs w:val="21"/>
              </w:rPr>
            </w:pPr>
            <w:r>
              <w:rPr>
                <w:rFonts w:hint="eastAsia" w:cs="Times New Roman"/>
                <w:sz w:val="21"/>
                <w:szCs w:val="21"/>
              </w:rPr>
              <w:t>滨水康养步道、健身器材、休憩亭、健身广场、观景台、打卡点等</w:t>
            </w:r>
          </w:p>
        </w:tc>
      </w:tr>
      <w:tr w14:paraId="56666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3F06B1FE">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7EE72354">
            <w:pPr>
              <w:spacing w:line="240" w:lineRule="auto"/>
              <w:ind w:firstLine="0" w:firstLineChars="0"/>
              <w:jc w:val="center"/>
              <w:rPr>
                <w:rFonts w:cs="Times New Roman"/>
                <w:sz w:val="21"/>
                <w:szCs w:val="21"/>
              </w:rPr>
            </w:pPr>
          </w:p>
        </w:tc>
        <w:tc>
          <w:tcPr>
            <w:tcW w:w="396" w:type="pct"/>
            <w:vAlign w:val="center"/>
          </w:tcPr>
          <w:p w14:paraId="0443475A">
            <w:pPr>
              <w:spacing w:line="240" w:lineRule="auto"/>
              <w:ind w:firstLine="0" w:firstLineChars="0"/>
              <w:jc w:val="center"/>
              <w:rPr>
                <w:rFonts w:cs="Times New Roman"/>
                <w:sz w:val="21"/>
                <w:szCs w:val="21"/>
              </w:rPr>
            </w:pPr>
            <w:r>
              <w:rPr>
                <w:rFonts w:hint="eastAsia" w:cs="Times New Roman"/>
                <w:sz w:val="21"/>
                <w:szCs w:val="21"/>
              </w:rPr>
              <w:t>陶隐居</w:t>
            </w:r>
          </w:p>
        </w:tc>
        <w:tc>
          <w:tcPr>
            <w:tcW w:w="468" w:type="pct"/>
            <w:vAlign w:val="center"/>
          </w:tcPr>
          <w:p w14:paraId="241508A9">
            <w:pPr>
              <w:spacing w:line="240" w:lineRule="auto"/>
              <w:ind w:firstLine="0" w:firstLineChars="0"/>
              <w:jc w:val="center"/>
              <w:rPr>
                <w:rFonts w:cs="Times New Roman"/>
                <w:sz w:val="21"/>
                <w:szCs w:val="21"/>
              </w:rPr>
            </w:pPr>
            <w:r>
              <w:rPr>
                <w:rFonts w:hint="eastAsia" w:cs="Times New Roman"/>
                <w:sz w:val="21"/>
                <w:szCs w:val="21"/>
              </w:rPr>
              <w:t>杭山村</w:t>
            </w:r>
          </w:p>
        </w:tc>
        <w:tc>
          <w:tcPr>
            <w:tcW w:w="275" w:type="pct"/>
            <w:vAlign w:val="center"/>
          </w:tcPr>
          <w:p w14:paraId="55FA0160">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7313B2BD">
            <w:pPr>
              <w:spacing w:line="240" w:lineRule="auto"/>
              <w:ind w:firstLine="0" w:firstLineChars="0"/>
              <w:jc w:val="center"/>
              <w:rPr>
                <w:rFonts w:cs="Times New Roman"/>
                <w:sz w:val="21"/>
                <w:szCs w:val="21"/>
              </w:rPr>
            </w:pPr>
            <w:r>
              <w:rPr>
                <w:rFonts w:hint="eastAsia" w:cs="Times New Roman"/>
                <w:sz w:val="21"/>
                <w:szCs w:val="21"/>
              </w:rPr>
              <w:t>现状面积约50亩</w:t>
            </w:r>
          </w:p>
        </w:tc>
        <w:tc>
          <w:tcPr>
            <w:tcW w:w="406" w:type="pct"/>
            <w:vAlign w:val="center"/>
          </w:tcPr>
          <w:p w14:paraId="55BCE7F5">
            <w:pPr>
              <w:spacing w:line="240" w:lineRule="auto"/>
              <w:ind w:firstLine="0" w:firstLineChars="0"/>
              <w:jc w:val="center"/>
              <w:rPr>
                <w:rFonts w:cs="Times New Roman"/>
                <w:sz w:val="21"/>
                <w:szCs w:val="21"/>
              </w:rPr>
            </w:pPr>
            <w:r>
              <w:rPr>
                <w:rFonts w:hint="eastAsia" w:cs="Times New Roman"/>
                <w:sz w:val="21"/>
                <w:szCs w:val="21"/>
              </w:rPr>
              <w:t>抱团养老、众筹养老</w:t>
            </w:r>
          </w:p>
        </w:tc>
        <w:tc>
          <w:tcPr>
            <w:tcW w:w="2068" w:type="pct"/>
            <w:vAlign w:val="center"/>
          </w:tcPr>
          <w:p w14:paraId="4B1B800A">
            <w:pPr>
              <w:spacing w:line="240" w:lineRule="auto"/>
              <w:ind w:firstLine="0" w:firstLineChars="0"/>
              <w:rPr>
                <w:rFonts w:cs="Times New Roman"/>
                <w:sz w:val="21"/>
                <w:szCs w:val="21"/>
              </w:rPr>
            </w:pPr>
            <w:r>
              <w:rPr>
                <w:rFonts w:hint="eastAsia" w:cs="Times New Roman"/>
                <w:sz w:val="21"/>
                <w:szCs w:val="21"/>
              </w:rPr>
              <w:t>以茅山高道陶弘景隐居山野为内涵，利用杭山村民宿与闲置民房，打造面向都市老年人群的乡村养老基地。养老人群可长期租赁养老民宿或闲置民房，共同生活，抱团养老</w:t>
            </w:r>
          </w:p>
        </w:tc>
        <w:tc>
          <w:tcPr>
            <w:tcW w:w="527" w:type="pct"/>
            <w:vAlign w:val="center"/>
          </w:tcPr>
          <w:p w14:paraId="790BD7E5">
            <w:pPr>
              <w:spacing w:line="240" w:lineRule="auto"/>
              <w:ind w:firstLine="0" w:firstLineChars="0"/>
              <w:rPr>
                <w:rFonts w:cs="Times New Roman"/>
                <w:sz w:val="21"/>
                <w:szCs w:val="21"/>
              </w:rPr>
            </w:pPr>
            <w:r>
              <w:rPr>
                <w:rFonts w:hint="eastAsia" w:cs="Times New Roman"/>
                <w:sz w:val="21"/>
                <w:szCs w:val="21"/>
              </w:rPr>
              <w:t>养老民宿居所等改造</w:t>
            </w:r>
          </w:p>
        </w:tc>
      </w:tr>
      <w:tr w14:paraId="138E8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4" w:hRule="atLeast"/>
          <w:jc w:val="center"/>
        </w:trPr>
        <w:tc>
          <w:tcPr>
            <w:tcW w:w="182" w:type="pct"/>
            <w:vAlign w:val="center"/>
          </w:tcPr>
          <w:p w14:paraId="3230F240">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1ACA4E94">
            <w:pPr>
              <w:spacing w:line="240" w:lineRule="auto"/>
              <w:ind w:firstLine="0" w:firstLineChars="0"/>
              <w:jc w:val="center"/>
              <w:rPr>
                <w:rFonts w:cs="Times New Roman"/>
                <w:sz w:val="21"/>
                <w:szCs w:val="21"/>
              </w:rPr>
            </w:pPr>
          </w:p>
        </w:tc>
        <w:tc>
          <w:tcPr>
            <w:tcW w:w="396" w:type="pct"/>
            <w:vAlign w:val="center"/>
          </w:tcPr>
          <w:p w14:paraId="5E3548A0">
            <w:pPr>
              <w:spacing w:line="240" w:lineRule="auto"/>
              <w:ind w:firstLine="0" w:firstLineChars="0"/>
              <w:jc w:val="center"/>
              <w:rPr>
                <w:rFonts w:cs="Times New Roman"/>
                <w:sz w:val="21"/>
                <w:szCs w:val="21"/>
              </w:rPr>
            </w:pPr>
            <w:r>
              <w:rPr>
                <w:rFonts w:hint="eastAsia" w:cs="Times New Roman"/>
                <w:sz w:val="21"/>
                <w:szCs w:val="21"/>
              </w:rPr>
              <w:t>泥盆纪餐厅</w:t>
            </w:r>
          </w:p>
        </w:tc>
        <w:tc>
          <w:tcPr>
            <w:tcW w:w="468" w:type="pct"/>
            <w:vAlign w:val="center"/>
          </w:tcPr>
          <w:p w14:paraId="3D2FF931">
            <w:pPr>
              <w:spacing w:line="240" w:lineRule="auto"/>
              <w:ind w:firstLine="0" w:firstLineChars="0"/>
              <w:jc w:val="center"/>
              <w:rPr>
                <w:rFonts w:cs="Times New Roman"/>
                <w:sz w:val="21"/>
                <w:szCs w:val="21"/>
              </w:rPr>
            </w:pPr>
            <w:r>
              <w:rPr>
                <w:rFonts w:hint="eastAsia" w:cs="Times New Roman"/>
                <w:sz w:val="21"/>
                <w:szCs w:val="21"/>
              </w:rPr>
              <w:t>娃娃鱼部落</w:t>
            </w:r>
          </w:p>
        </w:tc>
        <w:tc>
          <w:tcPr>
            <w:tcW w:w="275" w:type="pct"/>
            <w:vAlign w:val="center"/>
          </w:tcPr>
          <w:p w14:paraId="7477A92F">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2DA26EDB">
            <w:pPr>
              <w:spacing w:line="240" w:lineRule="auto"/>
              <w:ind w:firstLine="0" w:firstLineChars="0"/>
              <w:jc w:val="center"/>
              <w:rPr>
                <w:rFonts w:cs="Times New Roman"/>
                <w:sz w:val="21"/>
                <w:szCs w:val="21"/>
              </w:rPr>
            </w:pPr>
            <w:r>
              <w:rPr>
                <w:rFonts w:hint="eastAsia" w:cs="Times New Roman"/>
                <w:sz w:val="21"/>
                <w:szCs w:val="21"/>
              </w:rPr>
              <w:t>现状面积72.00亩，建设用地面积15.15亩</w:t>
            </w:r>
          </w:p>
        </w:tc>
        <w:tc>
          <w:tcPr>
            <w:tcW w:w="406" w:type="pct"/>
            <w:vAlign w:val="center"/>
          </w:tcPr>
          <w:p w14:paraId="4B8387EC">
            <w:pPr>
              <w:spacing w:line="240" w:lineRule="auto"/>
              <w:ind w:firstLine="0" w:firstLineChars="0"/>
              <w:jc w:val="center"/>
              <w:rPr>
                <w:rFonts w:cs="Times New Roman"/>
                <w:sz w:val="21"/>
                <w:szCs w:val="21"/>
              </w:rPr>
            </w:pPr>
            <w:r>
              <w:rPr>
                <w:rFonts w:hint="eastAsia" w:cs="Times New Roman"/>
                <w:sz w:val="21"/>
                <w:szCs w:val="21"/>
              </w:rPr>
              <w:t>主题餐饮</w:t>
            </w:r>
          </w:p>
        </w:tc>
        <w:tc>
          <w:tcPr>
            <w:tcW w:w="2068" w:type="pct"/>
            <w:vAlign w:val="center"/>
          </w:tcPr>
          <w:p w14:paraId="100243B3">
            <w:pPr>
              <w:spacing w:line="240" w:lineRule="auto"/>
              <w:ind w:firstLine="0" w:firstLineChars="0"/>
              <w:rPr>
                <w:rFonts w:cs="Times New Roman"/>
                <w:sz w:val="21"/>
                <w:szCs w:val="21"/>
              </w:rPr>
            </w:pPr>
            <w:r>
              <w:rPr>
                <w:rFonts w:hint="eastAsia" w:cs="Times New Roman"/>
                <w:sz w:val="21"/>
                <w:szCs w:val="21"/>
              </w:rPr>
              <w:t>娃娃鱼部落是江苏最大的娃娃鱼养殖基地，配套有娃娃鱼餐厅、泉水洞1号住宿等设施，现已闲置。规划对娃娃鱼部落进行整体改造，打造为古生物自然博物主题综合餐厅。餐厅以热带雨林风情为特色，集餐饮、观光、科普、互动功能于一体，游客既能在热带风情中享受美食，又可以了解古生物科普知识</w:t>
            </w:r>
          </w:p>
        </w:tc>
        <w:tc>
          <w:tcPr>
            <w:tcW w:w="527" w:type="pct"/>
            <w:vAlign w:val="center"/>
          </w:tcPr>
          <w:p w14:paraId="41EBF122">
            <w:pPr>
              <w:spacing w:line="240" w:lineRule="auto"/>
              <w:ind w:firstLine="0" w:firstLineChars="0"/>
              <w:rPr>
                <w:rFonts w:cs="Times New Roman"/>
                <w:sz w:val="21"/>
                <w:szCs w:val="21"/>
              </w:rPr>
            </w:pPr>
            <w:r>
              <w:rPr>
                <w:rFonts w:hint="eastAsia" w:cs="Times New Roman"/>
                <w:sz w:val="21"/>
                <w:szCs w:val="21"/>
              </w:rPr>
              <w:t>现有设施改造热带雨林餐厅、娃娃鱼互动科普馆等</w:t>
            </w:r>
          </w:p>
        </w:tc>
      </w:tr>
      <w:tr w14:paraId="33262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8" w:hRule="atLeast"/>
          <w:jc w:val="center"/>
        </w:trPr>
        <w:tc>
          <w:tcPr>
            <w:tcW w:w="182" w:type="pct"/>
            <w:vAlign w:val="center"/>
          </w:tcPr>
          <w:p w14:paraId="5EDD1383">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62426C3E">
            <w:pPr>
              <w:spacing w:line="240" w:lineRule="auto"/>
              <w:ind w:firstLine="0" w:firstLineChars="0"/>
              <w:jc w:val="center"/>
              <w:rPr>
                <w:rFonts w:cs="Times New Roman"/>
                <w:sz w:val="21"/>
                <w:szCs w:val="21"/>
              </w:rPr>
            </w:pPr>
          </w:p>
        </w:tc>
        <w:tc>
          <w:tcPr>
            <w:tcW w:w="396" w:type="pct"/>
            <w:vAlign w:val="center"/>
          </w:tcPr>
          <w:p w14:paraId="293F76B1">
            <w:pPr>
              <w:spacing w:line="240" w:lineRule="auto"/>
              <w:ind w:firstLine="0" w:firstLineChars="0"/>
              <w:jc w:val="center"/>
              <w:rPr>
                <w:rFonts w:cs="Times New Roman"/>
                <w:sz w:val="21"/>
                <w:szCs w:val="21"/>
              </w:rPr>
            </w:pPr>
            <w:r>
              <w:rPr>
                <w:rFonts w:hint="eastAsia" w:cs="Times New Roman"/>
                <w:sz w:val="21"/>
                <w:szCs w:val="21"/>
              </w:rPr>
              <w:t>白鹭湖公园</w:t>
            </w:r>
          </w:p>
        </w:tc>
        <w:tc>
          <w:tcPr>
            <w:tcW w:w="468" w:type="pct"/>
            <w:vAlign w:val="center"/>
          </w:tcPr>
          <w:p w14:paraId="02B93AEC">
            <w:pPr>
              <w:spacing w:line="240" w:lineRule="auto"/>
              <w:ind w:firstLine="0" w:firstLineChars="0"/>
              <w:jc w:val="center"/>
              <w:rPr>
                <w:rFonts w:cs="Times New Roman"/>
                <w:sz w:val="21"/>
                <w:szCs w:val="21"/>
              </w:rPr>
            </w:pPr>
            <w:r>
              <w:rPr>
                <w:rFonts w:hint="eastAsia" w:cs="Times New Roman"/>
                <w:sz w:val="21"/>
                <w:szCs w:val="21"/>
              </w:rPr>
              <w:t>茅东水库及周边区域</w:t>
            </w:r>
          </w:p>
        </w:tc>
        <w:tc>
          <w:tcPr>
            <w:tcW w:w="275" w:type="pct"/>
            <w:vAlign w:val="center"/>
          </w:tcPr>
          <w:p w14:paraId="17162250">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472F21D8">
            <w:pPr>
              <w:spacing w:line="240" w:lineRule="auto"/>
              <w:ind w:firstLine="0" w:firstLineChars="0"/>
              <w:jc w:val="center"/>
              <w:rPr>
                <w:rFonts w:cs="Times New Roman"/>
                <w:sz w:val="21"/>
                <w:szCs w:val="21"/>
              </w:rPr>
            </w:pPr>
            <w:r>
              <w:rPr>
                <w:rFonts w:hint="eastAsia" w:cs="Times New Roman"/>
                <w:sz w:val="21"/>
                <w:szCs w:val="21"/>
              </w:rPr>
              <w:t>现状区域面积3355亩，新增建设用地约60亩</w:t>
            </w:r>
          </w:p>
        </w:tc>
        <w:tc>
          <w:tcPr>
            <w:tcW w:w="406" w:type="pct"/>
            <w:vAlign w:val="center"/>
          </w:tcPr>
          <w:p w14:paraId="76323096">
            <w:pPr>
              <w:spacing w:line="240" w:lineRule="auto"/>
              <w:ind w:firstLine="0" w:firstLineChars="0"/>
              <w:jc w:val="center"/>
              <w:rPr>
                <w:rFonts w:cs="Times New Roman"/>
                <w:sz w:val="21"/>
                <w:szCs w:val="21"/>
              </w:rPr>
            </w:pPr>
            <w:r>
              <w:rPr>
                <w:rFonts w:hint="eastAsia" w:cs="Times New Roman"/>
                <w:sz w:val="21"/>
                <w:szCs w:val="21"/>
              </w:rPr>
              <w:t>智慧健身、夜游娱乐、宇宙探索、亲子商业</w:t>
            </w:r>
          </w:p>
        </w:tc>
        <w:tc>
          <w:tcPr>
            <w:tcW w:w="2068" w:type="pct"/>
            <w:vAlign w:val="center"/>
          </w:tcPr>
          <w:p w14:paraId="7E7ED184">
            <w:pPr>
              <w:spacing w:line="240" w:lineRule="auto"/>
              <w:ind w:firstLine="0" w:firstLineChars="0"/>
              <w:rPr>
                <w:rFonts w:cs="Times New Roman"/>
                <w:sz w:val="21"/>
                <w:szCs w:val="21"/>
              </w:rPr>
            </w:pPr>
            <w:r>
              <w:rPr>
                <w:rFonts w:hint="eastAsia" w:cs="Times New Roman"/>
                <w:sz w:val="21"/>
                <w:szCs w:val="21"/>
              </w:rPr>
              <w:t>以“体育+科技+商业+旅居”模式打造茅东水库，形成面向高端旅居人群的公共休闲产品。公园内建设智慧步道，用户在智慧步道上健身运动时，沿途人脸识别设备自动抓取人脸信息，实现无感打卡计时，系统自动分析出用户健身数据。公园内配套AR太极、雾森喷淋、光影陪跑墙、动态测速陪跑灯、智慧健身亭、智能健身舱、健身驿站、智慧存取包柜、视觉互动步道、智慧健身器材等科技健身产品。此外，推进“道文化+科技”融合，以道家文化宇宙观、自然观为文化内涵，以现代科技为支撑，打造大型科幻主题夜游互动项目。夜游项目以森林为空间，以飞船造型建筑为载体，通过VR、全息互动投影、人工智能等技术，融入道家对宇宙的认识，向人们展示宇宙的神奇</w:t>
            </w:r>
          </w:p>
        </w:tc>
        <w:tc>
          <w:tcPr>
            <w:tcW w:w="527" w:type="pct"/>
            <w:vAlign w:val="center"/>
          </w:tcPr>
          <w:p w14:paraId="6238ABDD">
            <w:pPr>
              <w:spacing w:line="240" w:lineRule="auto"/>
              <w:ind w:firstLine="0" w:firstLineChars="0"/>
              <w:rPr>
                <w:rFonts w:cs="Times New Roman"/>
                <w:sz w:val="21"/>
                <w:szCs w:val="21"/>
              </w:rPr>
            </w:pPr>
            <w:r>
              <w:rPr>
                <w:rFonts w:hint="eastAsia" w:cs="Times New Roman"/>
                <w:sz w:val="21"/>
                <w:szCs w:val="21"/>
              </w:rPr>
              <w:t>现状区域增设智慧健身设施、星空俱乐部、幻光森林、宇宙街、灯光夜景设施等</w:t>
            </w:r>
          </w:p>
        </w:tc>
      </w:tr>
      <w:tr w14:paraId="70C9B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8" w:hRule="atLeast"/>
          <w:jc w:val="center"/>
        </w:trPr>
        <w:tc>
          <w:tcPr>
            <w:tcW w:w="182" w:type="pct"/>
            <w:vAlign w:val="center"/>
          </w:tcPr>
          <w:p w14:paraId="58D8E6B5">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14179622">
            <w:pPr>
              <w:spacing w:line="240" w:lineRule="auto"/>
              <w:ind w:firstLine="0" w:firstLineChars="0"/>
              <w:jc w:val="center"/>
              <w:rPr>
                <w:rFonts w:cs="Times New Roman"/>
                <w:sz w:val="21"/>
                <w:szCs w:val="21"/>
              </w:rPr>
            </w:pPr>
          </w:p>
        </w:tc>
        <w:tc>
          <w:tcPr>
            <w:tcW w:w="396" w:type="pct"/>
            <w:vAlign w:val="center"/>
          </w:tcPr>
          <w:p w14:paraId="67E74ACD">
            <w:pPr>
              <w:spacing w:line="240" w:lineRule="auto"/>
              <w:ind w:firstLine="0" w:firstLineChars="0"/>
              <w:jc w:val="center"/>
              <w:rPr>
                <w:rFonts w:cs="Times New Roman"/>
                <w:sz w:val="21"/>
                <w:szCs w:val="21"/>
              </w:rPr>
            </w:pPr>
            <w:r>
              <w:rPr>
                <w:rFonts w:hint="eastAsia" w:cs="Times New Roman"/>
                <w:sz w:val="21"/>
                <w:szCs w:val="21"/>
              </w:rPr>
              <w:t>茅山户外生活荟</w:t>
            </w:r>
          </w:p>
        </w:tc>
        <w:tc>
          <w:tcPr>
            <w:tcW w:w="468" w:type="pct"/>
            <w:vAlign w:val="center"/>
          </w:tcPr>
          <w:p w14:paraId="2F2D7A02">
            <w:pPr>
              <w:spacing w:line="240" w:lineRule="auto"/>
              <w:ind w:firstLine="0" w:firstLineChars="0"/>
              <w:jc w:val="center"/>
              <w:rPr>
                <w:rFonts w:cs="Times New Roman"/>
                <w:sz w:val="21"/>
                <w:szCs w:val="21"/>
              </w:rPr>
            </w:pPr>
            <w:r>
              <w:rPr>
                <w:rFonts w:hint="eastAsia" w:cs="Times New Roman"/>
                <w:sz w:val="21"/>
                <w:szCs w:val="21"/>
              </w:rPr>
              <w:t>白鹭湖周边</w:t>
            </w:r>
          </w:p>
        </w:tc>
        <w:tc>
          <w:tcPr>
            <w:tcW w:w="275" w:type="pct"/>
            <w:vAlign w:val="center"/>
          </w:tcPr>
          <w:p w14:paraId="7EAE68E7">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03FB5F61">
            <w:pPr>
              <w:spacing w:line="240" w:lineRule="auto"/>
              <w:ind w:firstLine="0" w:firstLineChars="0"/>
              <w:jc w:val="center"/>
              <w:rPr>
                <w:rFonts w:cs="Times New Roman"/>
                <w:sz w:val="21"/>
                <w:szCs w:val="21"/>
              </w:rPr>
            </w:pPr>
            <w:r>
              <w:rPr>
                <w:rFonts w:hint="eastAsia" w:cs="Times New Roman"/>
                <w:sz w:val="21"/>
                <w:szCs w:val="21"/>
              </w:rPr>
              <w:t>现状面积约40亩</w:t>
            </w:r>
          </w:p>
        </w:tc>
        <w:tc>
          <w:tcPr>
            <w:tcW w:w="406" w:type="pct"/>
            <w:vAlign w:val="center"/>
          </w:tcPr>
          <w:p w14:paraId="5D86D0A5">
            <w:pPr>
              <w:spacing w:line="240" w:lineRule="auto"/>
              <w:ind w:firstLine="0" w:firstLineChars="0"/>
              <w:jc w:val="center"/>
              <w:rPr>
                <w:rFonts w:cs="Times New Roman"/>
                <w:sz w:val="21"/>
                <w:szCs w:val="21"/>
              </w:rPr>
            </w:pPr>
            <w:r>
              <w:rPr>
                <w:rFonts w:hint="eastAsia" w:cs="Times New Roman"/>
                <w:sz w:val="21"/>
                <w:szCs w:val="21"/>
              </w:rPr>
              <w:t>综合性运动中心</w:t>
            </w:r>
          </w:p>
        </w:tc>
        <w:tc>
          <w:tcPr>
            <w:tcW w:w="2068" w:type="pct"/>
            <w:vAlign w:val="center"/>
          </w:tcPr>
          <w:p w14:paraId="17FF43ED">
            <w:pPr>
              <w:spacing w:line="240" w:lineRule="auto"/>
              <w:ind w:firstLine="0" w:firstLineChars="0"/>
              <w:rPr>
                <w:rFonts w:cs="Times New Roman"/>
                <w:sz w:val="21"/>
                <w:szCs w:val="21"/>
              </w:rPr>
            </w:pPr>
            <w:r>
              <w:rPr>
                <w:rFonts w:hint="eastAsia" w:cs="Times New Roman"/>
                <w:sz w:val="21"/>
                <w:szCs w:val="21"/>
              </w:rPr>
              <w:t>本项目将利用原恒大售楼处和白鹭湖周边一圈空间，恒大售楼处将提升改造成集运动装备展示、餐饮轻食、各类运动体验、装备租赁和销售等于一体的综合性运动中心；白鹭湖公园区域承载户外装备和各类运动体验功能。</w:t>
            </w:r>
          </w:p>
        </w:tc>
        <w:tc>
          <w:tcPr>
            <w:tcW w:w="527" w:type="pct"/>
            <w:vAlign w:val="center"/>
          </w:tcPr>
          <w:p w14:paraId="36DDA9D9">
            <w:pPr>
              <w:spacing w:line="240" w:lineRule="auto"/>
              <w:ind w:firstLine="0" w:firstLineChars="0"/>
              <w:rPr>
                <w:rFonts w:cs="Times New Roman"/>
                <w:sz w:val="21"/>
                <w:szCs w:val="21"/>
              </w:rPr>
            </w:pPr>
            <w:r>
              <w:rPr>
                <w:rFonts w:hint="eastAsia" w:cs="Times New Roman"/>
                <w:sz w:val="21"/>
                <w:szCs w:val="21"/>
              </w:rPr>
              <w:t>现有设施改造运动中心</w:t>
            </w:r>
          </w:p>
        </w:tc>
      </w:tr>
      <w:tr w14:paraId="6B0B5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8" w:hRule="atLeast"/>
          <w:jc w:val="center"/>
        </w:trPr>
        <w:tc>
          <w:tcPr>
            <w:tcW w:w="182" w:type="pct"/>
            <w:vAlign w:val="center"/>
          </w:tcPr>
          <w:p w14:paraId="06D7957F">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178EE65B">
            <w:pPr>
              <w:spacing w:line="240" w:lineRule="auto"/>
              <w:ind w:firstLine="0" w:firstLineChars="0"/>
              <w:jc w:val="center"/>
              <w:rPr>
                <w:rFonts w:cs="Times New Roman"/>
                <w:sz w:val="21"/>
                <w:szCs w:val="21"/>
              </w:rPr>
            </w:pPr>
          </w:p>
        </w:tc>
        <w:tc>
          <w:tcPr>
            <w:tcW w:w="396" w:type="pct"/>
            <w:vAlign w:val="center"/>
          </w:tcPr>
          <w:p w14:paraId="6027F3E5">
            <w:pPr>
              <w:spacing w:line="240" w:lineRule="auto"/>
              <w:ind w:firstLine="0" w:firstLineChars="0"/>
              <w:jc w:val="center"/>
              <w:rPr>
                <w:rFonts w:cs="Times New Roman"/>
                <w:sz w:val="21"/>
                <w:szCs w:val="21"/>
              </w:rPr>
            </w:pPr>
            <w:r>
              <w:rPr>
                <w:rFonts w:hint="eastAsia" w:cs="Times New Roman"/>
                <w:sz w:val="21"/>
                <w:szCs w:val="21"/>
              </w:rPr>
              <w:t>金沙湾高尔夫球场</w:t>
            </w:r>
          </w:p>
        </w:tc>
        <w:tc>
          <w:tcPr>
            <w:tcW w:w="468" w:type="pct"/>
            <w:vAlign w:val="center"/>
          </w:tcPr>
          <w:p w14:paraId="77C472ED">
            <w:pPr>
              <w:spacing w:line="240" w:lineRule="auto"/>
              <w:ind w:firstLine="0" w:firstLineChars="0"/>
              <w:jc w:val="center"/>
              <w:rPr>
                <w:rFonts w:cs="Times New Roman"/>
                <w:sz w:val="21"/>
                <w:szCs w:val="21"/>
              </w:rPr>
            </w:pPr>
            <w:r>
              <w:rPr>
                <w:rFonts w:hint="eastAsia" w:cs="Times New Roman"/>
                <w:sz w:val="21"/>
                <w:szCs w:val="21"/>
              </w:rPr>
              <w:t>茅东水库北侧</w:t>
            </w:r>
          </w:p>
        </w:tc>
        <w:tc>
          <w:tcPr>
            <w:tcW w:w="275" w:type="pct"/>
            <w:vAlign w:val="center"/>
          </w:tcPr>
          <w:p w14:paraId="4679ED07">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4E86F3FE">
            <w:pPr>
              <w:spacing w:line="240" w:lineRule="auto"/>
              <w:ind w:firstLine="0" w:firstLineChars="0"/>
              <w:jc w:val="center"/>
              <w:rPr>
                <w:rFonts w:cs="Times New Roman"/>
                <w:sz w:val="21"/>
                <w:szCs w:val="21"/>
              </w:rPr>
            </w:pPr>
            <w:r>
              <w:rPr>
                <w:rFonts w:hint="eastAsia" w:cs="Times New Roman"/>
                <w:sz w:val="21"/>
                <w:szCs w:val="21"/>
              </w:rPr>
              <w:t>球场面积730亩</w:t>
            </w:r>
          </w:p>
        </w:tc>
        <w:tc>
          <w:tcPr>
            <w:tcW w:w="406" w:type="pct"/>
            <w:vAlign w:val="center"/>
          </w:tcPr>
          <w:p w14:paraId="2A4B37EF">
            <w:pPr>
              <w:spacing w:line="240" w:lineRule="auto"/>
              <w:ind w:firstLine="0" w:firstLineChars="0"/>
              <w:jc w:val="center"/>
              <w:rPr>
                <w:rFonts w:cs="Times New Roman"/>
                <w:sz w:val="21"/>
                <w:szCs w:val="21"/>
              </w:rPr>
            </w:pPr>
            <w:r>
              <w:rPr>
                <w:rFonts w:hint="eastAsia" w:cs="Times New Roman"/>
                <w:sz w:val="21"/>
                <w:szCs w:val="21"/>
              </w:rPr>
              <w:t>高尔夫球场</w:t>
            </w:r>
          </w:p>
        </w:tc>
        <w:tc>
          <w:tcPr>
            <w:tcW w:w="2068" w:type="pct"/>
            <w:vAlign w:val="center"/>
          </w:tcPr>
          <w:p w14:paraId="22AD8B71">
            <w:pPr>
              <w:spacing w:line="240" w:lineRule="auto"/>
              <w:ind w:firstLine="0" w:firstLineChars="0"/>
              <w:rPr>
                <w:rFonts w:cs="Times New Roman"/>
                <w:sz w:val="21"/>
                <w:szCs w:val="21"/>
              </w:rPr>
            </w:pPr>
            <w:r>
              <w:rPr>
                <w:rFonts w:hint="eastAsia" w:ascii="仿宋_GB2312" w:hAnsi="等线"/>
                <w:color w:val="000000"/>
                <w:sz w:val="21"/>
                <w:szCs w:val="21"/>
              </w:rPr>
              <w:t>于茅东水库北侧金沙湾区域新建高尔夫球场，区域位于城镇开发边界范围内，建设内容包括球场发球台、球道、沙坑、果岭，以及球场配套会所、职工宿舍、维修用房等。</w:t>
            </w:r>
          </w:p>
        </w:tc>
        <w:tc>
          <w:tcPr>
            <w:tcW w:w="527" w:type="pct"/>
            <w:vAlign w:val="center"/>
          </w:tcPr>
          <w:p w14:paraId="76CB29B1">
            <w:pPr>
              <w:spacing w:line="240" w:lineRule="auto"/>
              <w:ind w:firstLine="0" w:firstLineChars="0"/>
              <w:rPr>
                <w:rFonts w:cs="Times New Roman"/>
                <w:sz w:val="21"/>
                <w:szCs w:val="21"/>
              </w:rPr>
            </w:pPr>
            <w:r>
              <w:rPr>
                <w:rFonts w:hint="eastAsia" w:cs="Times New Roman"/>
                <w:sz w:val="21"/>
                <w:szCs w:val="21"/>
              </w:rPr>
              <w:t>高尔夫球场</w:t>
            </w:r>
          </w:p>
        </w:tc>
      </w:tr>
      <w:tr w14:paraId="4935A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2DC6A107">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381C6149">
            <w:pPr>
              <w:spacing w:line="240" w:lineRule="auto"/>
              <w:ind w:firstLine="0" w:firstLineChars="0"/>
              <w:jc w:val="center"/>
              <w:rPr>
                <w:rFonts w:cs="Times New Roman"/>
                <w:sz w:val="21"/>
                <w:szCs w:val="21"/>
              </w:rPr>
            </w:pPr>
          </w:p>
        </w:tc>
        <w:tc>
          <w:tcPr>
            <w:tcW w:w="396" w:type="pct"/>
            <w:vAlign w:val="center"/>
          </w:tcPr>
          <w:p w14:paraId="33CCFBE5">
            <w:pPr>
              <w:spacing w:line="240" w:lineRule="auto"/>
              <w:ind w:firstLine="0" w:firstLineChars="0"/>
              <w:jc w:val="center"/>
              <w:rPr>
                <w:rFonts w:cs="Times New Roman"/>
                <w:sz w:val="21"/>
                <w:szCs w:val="21"/>
              </w:rPr>
            </w:pPr>
            <w:r>
              <w:rPr>
                <w:rFonts w:hint="eastAsia" w:cs="Times New Roman"/>
                <w:sz w:val="21"/>
                <w:szCs w:val="21"/>
              </w:rPr>
              <w:t>秀山丽水</w:t>
            </w:r>
          </w:p>
        </w:tc>
        <w:tc>
          <w:tcPr>
            <w:tcW w:w="468" w:type="pct"/>
            <w:vAlign w:val="center"/>
          </w:tcPr>
          <w:p w14:paraId="59E859E1">
            <w:pPr>
              <w:spacing w:line="240" w:lineRule="auto"/>
              <w:ind w:firstLine="0" w:firstLineChars="0"/>
              <w:jc w:val="center"/>
              <w:rPr>
                <w:rFonts w:cs="Times New Roman"/>
                <w:sz w:val="21"/>
                <w:szCs w:val="21"/>
              </w:rPr>
            </w:pPr>
            <w:r>
              <w:rPr>
                <w:rFonts w:hint="eastAsia" w:cs="Times New Roman"/>
                <w:sz w:val="21"/>
                <w:szCs w:val="21"/>
              </w:rPr>
              <w:t>花谷奇缘景区北侧</w:t>
            </w:r>
          </w:p>
        </w:tc>
        <w:tc>
          <w:tcPr>
            <w:tcW w:w="275" w:type="pct"/>
            <w:vAlign w:val="center"/>
          </w:tcPr>
          <w:p w14:paraId="41CCF6D6">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6F26515F">
            <w:pPr>
              <w:spacing w:line="240" w:lineRule="auto"/>
              <w:ind w:firstLine="0" w:firstLineChars="0"/>
              <w:jc w:val="center"/>
              <w:rPr>
                <w:rFonts w:cs="Times New Roman"/>
                <w:sz w:val="21"/>
                <w:szCs w:val="21"/>
              </w:rPr>
            </w:pPr>
            <w:r>
              <w:rPr>
                <w:rFonts w:hint="eastAsia" w:cs="Times New Roman"/>
                <w:sz w:val="21"/>
                <w:szCs w:val="21"/>
              </w:rPr>
              <w:t>占地面积91.7亩，建设用地面积24亩</w:t>
            </w:r>
          </w:p>
        </w:tc>
        <w:tc>
          <w:tcPr>
            <w:tcW w:w="406" w:type="pct"/>
            <w:vAlign w:val="center"/>
          </w:tcPr>
          <w:p w14:paraId="2C0C9D5A">
            <w:pPr>
              <w:spacing w:line="240" w:lineRule="auto"/>
              <w:ind w:firstLine="0" w:firstLineChars="0"/>
              <w:jc w:val="center"/>
              <w:rPr>
                <w:rFonts w:cs="Times New Roman"/>
                <w:sz w:val="21"/>
                <w:szCs w:val="21"/>
              </w:rPr>
            </w:pPr>
            <w:r>
              <w:rPr>
                <w:rFonts w:hint="eastAsia" w:cs="Times New Roman"/>
                <w:sz w:val="21"/>
                <w:szCs w:val="21"/>
              </w:rPr>
              <w:t>商业服务设施</w:t>
            </w:r>
          </w:p>
        </w:tc>
        <w:tc>
          <w:tcPr>
            <w:tcW w:w="2068" w:type="pct"/>
            <w:vAlign w:val="center"/>
          </w:tcPr>
          <w:p w14:paraId="7AFD58A3">
            <w:pPr>
              <w:spacing w:line="240" w:lineRule="auto"/>
              <w:ind w:firstLine="0" w:firstLineChars="0"/>
              <w:jc w:val="center"/>
              <w:rPr>
                <w:rFonts w:cs="Times New Roman"/>
                <w:sz w:val="21"/>
                <w:szCs w:val="21"/>
              </w:rPr>
            </w:pPr>
            <w:r>
              <w:rPr>
                <w:rFonts w:hint="eastAsia" w:cs="Times New Roman"/>
                <w:sz w:val="21"/>
                <w:szCs w:val="21"/>
              </w:rPr>
              <w:t>/</w:t>
            </w:r>
          </w:p>
        </w:tc>
        <w:tc>
          <w:tcPr>
            <w:tcW w:w="527" w:type="pct"/>
            <w:vAlign w:val="center"/>
          </w:tcPr>
          <w:p w14:paraId="643E6856">
            <w:pPr>
              <w:spacing w:line="240" w:lineRule="auto"/>
              <w:ind w:firstLine="0" w:firstLineChars="0"/>
              <w:jc w:val="center"/>
              <w:rPr>
                <w:rFonts w:cs="Times New Roman"/>
                <w:sz w:val="21"/>
                <w:szCs w:val="21"/>
              </w:rPr>
            </w:pPr>
            <w:r>
              <w:rPr>
                <w:rFonts w:hint="eastAsia" w:cs="Times New Roman"/>
                <w:sz w:val="21"/>
                <w:szCs w:val="21"/>
              </w:rPr>
              <w:t>/</w:t>
            </w:r>
          </w:p>
        </w:tc>
      </w:tr>
      <w:tr w14:paraId="21999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2A470E5D">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02FEDA62">
            <w:pPr>
              <w:spacing w:line="240" w:lineRule="auto"/>
              <w:ind w:firstLine="0" w:firstLineChars="0"/>
              <w:jc w:val="center"/>
              <w:rPr>
                <w:rFonts w:cs="Times New Roman"/>
                <w:sz w:val="21"/>
                <w:szCs w:val="21"/>
              </w:rPr>
            </w:pPr>
          </w:p>
        </w:tc>
        <w:tc>
          <w:tcPr>
            <w:tcW w:w="396" w:type="pct"/>
            <w:vAlign w:val="center"/>
          </w:tcPr>
          <w:p w14:paraId="060C97DA">
            <w:pPr>
              <w:spacing w:line="240" w:lineRule="auto"/>
              <w:ind w:firstLine="0" w:firstLineChars="0"/>
              <w:jc w:val="center"/>
              <w:rPr>
                <w:rFonts w:cs="Times New Roman"/>
                <w:sz w:val="21"/>
                <w:szCs w:val="21"/>
              </w:rPr>
            </w:pPr>
            <w:r>
              <w:rPr>
                <w:rFonts w:hint="eastAsia" w:cs="Times New Roman"/>
                <w:sz w:val="21"/>
                <w:szCs w:val="21"/>
              </w:rPr>
              <w:t>阅山湖</w:t>
            </w:r>
          </w:p>
        </w:tc>
        <w:tc>
          <w:tcPr>
            <w:tcW w:w="468" w:type="pct"/>
            <w:vAlign w:val="center"/>
          </w:tcPr>
          <w:p w14:paraId="2C2A4D28">
            <w:pPr>
              <w:spacing w:line="240" w:lineRule="auto"/>
              <w:ind w:firstLine="0" w:firstLineChars="0"/>
              <w:jc w:val="center"/>
              <w:rPr>
                <w:rFonts w:cs="Times New Roman"/>
                <w:sz w:val="21"/>
                <w:szCs w:val="21"/>
              </w:rPr>
            </w:pPr>
            <w:r>
              <w:rPr>
                <w:rFonts w:hint="eastAsia" w:cs="Times New Roman"/>
                <w:sz w:val="21"/>
                <w:szCs w:val="21"/>
              </w:rPr>
              <w:t>花谷奇缘景区东侧</w:t>
            </w:r>
          </w:p>
        </w:tc>
        <w:tc>
          <w:tcPr>
            <w:tcW w:w="275" w:type="pct"/>
            <w:vAlign w:val="center"/>
          </w:tcPr>
          <w:p w14:paraId="6DDEC286">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15D978D2">
            <w:pPr>
              <w:spacing w:line="240" w:lineRule="auto"/>
              <w:ind w:firstLine="0" w:firstLineChars="0"/>
              <w:jc w:val="center"/>
              <w:rPr>
                <w:rFonts w:cs="Times New Roman"/>
                <w:sz w:val="21"/>
                <w:szCs w:val="21"/>
              </w:rPr>
            </w:pPr>
            <w:r>
              <w:rPr>
                <w:rFonts w:hint="eastAsia" w:cs="Times New Roman"/>
                <w:sz w:val="21"/>
                <w:szCs w:val="21"/>
              </w:rPr>
              <w:t>占地面积218.6亩，建设用地面积152亩</w:t>
            </w:r>
          </w:p>
        </w:tc>
        <w:tc>
          <w:tcPr>
            <w:tcW w:w="406" w:type="pct"/>
            <w:vAlign w:val="center"/>
          </w:tcPr>
          <w:p w14:paraId="52FCBBF9">
            <w:pPr>
              <w:spacing w:line="240" w:lineRule="auto"/>
              <w:ind w:firstLine="0" w:firstLineChars="0"/>
              <w:jc w:val="center"/>
              <w:rPr>
                <w:rFonts w:cs="Times New Roman"/>
                <w:sz w:val="21"/>
                <w:szCs w:val="21"/>
              </w:rPr>
            </w:pPr>
            <w:r>
              <w:rPr>
                <w:rFonts w:hint="eastAsia" w:cs="Times New Roman"/>
                <w:sz w:val="21"/>
                <w:szCs w:val="21"/>
              </w:rPr>
              <w:t>房地产</w:t>
            </w:r>
          </w:p>
        </w:tc>
        <w:tc>
          <w:tcPr>
            <w:tcW w:w="2068" w:type="pct"/>
            <w:vAlign w:val="center"/>
          </w:tcPr>
          <w:p w14:paraId="44C41553">
            <w:pPr>
              <w:spacing w:line="240" w:lineRule="auto"/>
              <w:ind w:firstLine="0" w:firstLineChars="0"/>
              <w:jc w:val="center"/>
              <w:rPr>
                <w:rFonts w:cs="Times New Roman"/>
                <w:sz w:val="21"/>
                <w:szCs w:val="21"/>
              </w:rPr>
            </w:pPr>
            <w:r>
              <w:rPr>
                <w:rFonts w:hint="eastAsia" w:cs="Times New Roman"/>
                <w:sz w:val="21"/>
                <w:szCs w:val="21"/>
              </w:rPr>
              <w:t>/</w:t>
            </w:r>
          </w:p>
        </w:tc>
        <w:tc>
          <w:tcPr>
            <w:tcW w:w="527" w:type="pct"/>
            <w:vAlign w:val="center"/>
          </w:tcPr>
          <w:p w14:paraId="3172F123">
            <w:pPr>
              <w:spacing w:line="240" w:lineRule="auto"/>
              <w:ind w:firstLine="0" w:firstLineChars="0"/>
              <w:jc w:val="center"/>
              <w:rPr>
                <w:rFonts w:cs="Times New Roman"/>
                <w:sz w:val="21"/>
                <w:szCs w:val="21"/>
              </w:rPr>
            </w:pPr>
            <w:r>
              <w:rPr>
                <w:rFonts w:hint="eastAsia" w:cs="Times New Roman"/>
                <w:sz w:val="21"/>
                <w:szCs w:val="21"/>
              </w:rPr>
              <w:t>/</w:t>
            </w:r>
          </w:p>
        </w:tc>
      </w:tr>
      <w:tr w14:paraId="5C0D2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1C9C7F57">
            <w:pPr>
              <w:pStyle w:val="39"/>
              <w:numPr>
                <w:ilvl w:val="0"/>
                <w:numId w:val="9"/>
              </w:numPr>
              <w:spacing w:line="240" w:lineRule="auto"/>
              <w:ind w:firstLineChars="0"/>
              <w:jc w:val="center"/>
              <w:rPr>
                <w:rFonts w:cs="Times New Roman"/>
                <w:sz w:val="21"/>
                <w:szCs w:val="21"/>
              </w:rPr>
            </w:pPr>
          </w:p>
        </w:tc>
        <w:tc>
          <w:tcPr>
            <w:tcW w:w="285" w:type="pct"/>
            <w:vMerge w:val="restart"/>
            <w:vAlign w:val="center"/>
          </w:tcPr>
          <w:p w14:paraId="3ACDF330">
            <w:pPr>
              <w:spacing w:line="240" w:lineRule="auto"/>
              <w:ind w:firstLine="0" w:firstLineChars="0"/>
              <w:jc w:val="center"/>
              <w:rPr>
                <w:rFonts w:cs="Times New Roman"/>
                <w:sz w:val="21"/>
                <w:szCs w:val="21"/>
              </w:rPr>
            </w:pPr>
            <w:r>
              <w:rPr>
                <w:rFonts w:hint="eastAsia" w:cs="Times New Roman"/>
                <w:sz w:val="21"/>
                <w:szCs w:val="21"/>
              </w:rPr>
              <w:t>区镇融合发展区</w:t>
            </w:r>
          </w:p>
        </w:tc>
        <w:tc>
          <w:tcPr>
            <w:tcW w:w="396" w:type="pct"/>
            <w:vAlign w:val="center"/>
          </w:tcPr>
          <w:p w14:paraId="09F75654">
            <w:pPr>
              <w:spacing w:line="240" w:lineRule="auto"/>
              <w:ind w:firstLine="0" w:firstLineChars="0"/>
              <w:jc w:val="center"/>
              <w:rPr>
                <w:rFonts w:cs="Times New Roman"/>
                <w:sz w:val="21"/>
                <w:szCs w:val="21"/>
              </w:rPr>
            </w:pPr>
            <w:r>
              <w:rPr>
                <w:rFonts w:hint="eastAsia" w:cs="Times New Roman"/>
                <w:sz w:val="21"/>
                <w:szCs w:val="21"/>
              </w:rPr>
              <w:t>喵街（茅山高速服务区）</w:t>
            </w:r>
          </w:p>
        </w:tc>
        <w:tc>
          <w:tcPr>
            <w:tcW w:w="468" w:type="pct"/>
            <w:vAlign w:val="center"/>
          </w:tcPr>
          <w:p w14:paraId="70B7787B">
            <w:pPr>
              <w:spacing w:line="240" w:lineRule="auto"/>
              <w:ind w:firstLine="0" w:firstLineChars="0"/>
              <w:jc w:val="center"/>
              <w:rPr>
                <w:rFonts w:cs="Times New Roman"/>
                <w:sz w:val="21"/>
                <w:szCs w:val="21"/>
              </w:rPr>
            </w:pPr>
            <w:r>
              <w:rPr>
                <w:rFonts w:hint="eastAsia" w:cs="Times New Roman"/>
                <w:sz w:val="21"/>
                <w:szCs w:val="21"/>
              </w:rPr>
              <w:t>茅山游客中心南侧，结合常合高速公路茅山服务区一同建设</w:t>
            </w:r>
          </w:p>
        </w:tc>
        <w:tc>
          <w:tcPr>
            <w:tcW w:w="275" w:type="pct"/>
            <w:vAlign w:val="center"/>
          </w:tcPr>
          <w:p w14:paraId="4995E7B7">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16E73A04">
            <w:pPr>
              <w:spacing w:line="240" w:lineRule="auto"/>
              <w:ind w:firstLine="0" w:firstLineChars="0"/>
              <w:jc w:val="center"/>
              <w:rPr>
                <w:rFonts w:cs="Times New Roman"/>
                <w:sz w:val="21"/>
                <w:szCs w:val="21"/>
              </w:rPr>
            </w:pPr>
            <w:r>
              <w:rPr>
                <w:rFonts w:hint="eastAsia" w:cs="Times New Roman"/>
                <w:sz w:val="21"/>
                <w:szCs w:val="21"/>
              </w:rPr>
              <w:t>总面积317.80亩，建设用地面积317.80亩</w:t>
            </w:r>
          </w:p>
        </w:tc>
        <w:tc>
          <w:tcPr>
            <w:tcW w:w="406" w:type="pct"/>
            <w:vAlign w:val="center"/>
          </w:tcPr>
          <w:p w14:paraId="3FA95976">
            <w:pPr>
              <w:spacing w:line="240" w:lineRule="auto"/>
              <w:ind w:firstLine="0" w:firstLineChars="0"/>
              <w:jc w:val="center"/>
              <w:rPr>
                <w:rFonts w:cs="Times New Roman"/>
                <w:sz w:val="21"/>
                <w:szCs w:val="21"/>
              </w:rPr>
            </w:pPr>
            <w:r>
              <w:rPr>
                <w:rFonts w:hint="eastAsia" w:cs="Times New Roman"/>
                <w:sz w:val="21"/>
                <w:szCs w:val="21"/>
              </w:rPr>
              <w:t>公路服务、形象展示、文化旅游</w:t>
            </w:r>
          </w:p>
        </w:tc>
        <w:tc>
          <w:tcPr>
            <w:tcW w:w="2068" w:type="pct"/>
            <w:vAlign w:val="center"/>
          </w:tcPr>
          <w:p w14:paraId="5ED9CB92">
            <w:pPr>
              <w:spacing w:line="240" w:lineRule="auto"/>
              <w:ind w:firstLine="0" w:firstLineChars="0"/>
              <w:rPr>
                <w:rFonts w:cs="Times New Roman"/>
                <w:sz w:val="21"/>
                <w:szCs w:val="21"/>
              </w:rPr>
            </w:pPr>
            <w:r>
              <w:rPr>
                <w:rFonts w:hint="eastAsia" w:cs="Times New Roman"/>
                <w:sz w:val="21"/>
                <w:szCs w:val="21"/>
              </w:rPr>
              <w:t>推进喵街、常合高速公路茅山服务区、城际铁路茅山站一体化建设，打造集高速公路服务区、城际铁路站、形象展示窗口、文旅特色街区于一体的综合型服务区。除高速服务区、城际铁路站等交通服务设施外，喵街引入图书馆、影院、小型博物馆群、剧院、盐官府、非遗艺术酒店、早茶馆、宠物主题酒店、经济型酒店等特色业态与设施，实现非遗文化、盐文化、生活习俗等传统元素与沉浸式体验、撸猫、二次元等时尚元素相融合，打造兼具古韵与时尚气息的特色休闲街区</w:t>
            </w:r>
          </w:p>
        </w:tc>
        <w:tc>
          <w:tcPr>
            <w:tcW w:w="527" w:type="pct"/>
            <w:vAlign w:val="center"/>
          </w:tcPr>
          <w:p w14:paraId="646399B9">
            <w:pPr>
              <w:spacing w:line="240" w:lineRule="auto"/>
              <w:ind w:firstLine="0" w:firstLineChars="0"/>
              <w:rPr>
                <w:rFonts w:cs="Times New Roman"/>
                <w:sz w:val="21"/>
                <w:szCs w:val="21"/>
              </w:rPr>
            </w:pPr>
            <w:r>
              <w:rPr>
                <w:rFonts w:hint="eastAsia" w:cs="Times New Roman"/>
                <w:sz w:val="21"/>
                <w:szCs w:val="21"/>
              </w:rPr>
              <w:t>猫山广场、猫山图书馆、猫山影院、金坛非遗数字博物馆群、盐官府、《盐之有道》大剧院、金坛刻纸艺术酒店、茅山早茶馆、宠物猫酒店、经济型酒店以及茅山高速服务区、城际铁路茅山站等</w:t>
            </w:r>
          </w:p>
        </w:tc>
      </w:tr>
      <w:tr w14:paraId="02B5C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7FAF2710">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7D7A8B2B">
            <w:pPr>
              <w:spacing w:line="240" w:lineRule="auto"/>
              <w:ind w:firstLine="0" w:firstLineChars="0"/>
              <w:jc w:val="center"/>
              <w:rPr>
                <w:rFonts w:cs="Times New Roman"/>
                <w:sz w:val="21"/>
                <w:szCs w:val="21"/>
              </w:rPr>
            </w:pPr>
          </w:p>
        </w:tc>
        <w:tc>
          <w:tcPr>
            <w:tcW w:w="396" w:type="pct"/>
            <w:vAlign w:val="center"/>
          </w:tcPr>
          <w:p w14:paraId="6139E249">
            <w:pPr>
              <w:spacing w:line="240" w:lineRule="auto"/>
              <w:ind w:firstLine="0" w:firstLineChars="0"/>
              <w:jc w:val="center"/>
              <w:rPr>
                <w:rFonts w:cs="Times New Roman"/>
                <w:sz w:val="21"/>
                <w:szCs w:val="21"/>
              </w:rPr>
            </w:pPr>
            <w:r>
              <w:rPr>
                <w:rFonts w:hint="eastAsia" w:cs="Times New Roman"/>
                <w:sz w:val="21"/>
                <w:szCs w:val="21"/>
              </w:rPr>
              <w:t>猫山里总部基地</w:t>
            </w:r>
          </w:p>
        </w:tc>
        <w:tc>
          <w:tcPr>
            <w:tcW w:w="468" w:type="pct"/>
            <w:vAlign w:val="center"/>
          </w:tcPr>
          <w:p w14:paraId="04AAF97E">
            <w:pPr>
              <w:spacing w:line="240" w:lineRule="auto"/>
              <w:ind w:firstLine="0" w:firstLineChars="0"/>
              <w:jc w:val="center"/>
              <w:rPr>
                <w:rFonts w:cs="Times New Roman"/>
                <w:sz w:val="21"/>
                <w:szCs w:val="21"/>
              </w:rPr>
            </w:pPr>
            <w:r>
              <w:rPr>
                <w:rFonts w:hint="eastAsia" w:cs="Times New Roman"/>
                <w:sz w:val="21"/>
                <w:szCs w:val="21"/>
              </w:rPr>
              <w:t>茅山游客中心东侧，城镇开发边界范围内</w:t>
            </w:r>
          </w:p>
        </w:tc>
        <w:tc>
          <w:tcPr>
            <w:tcW w:w="275" w:type="pct"/>
            <w:vAlign w:val="center"/>
          </w:tcPr>
          <w:p w14:paraId="2E320AA0">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50CE6A46">
            <w:pPr>
              <w:spacing w:line="240" w:lineRule="auto"/>
              <w:ind w:firstLine="0" w:firstLineChars="0"/>
              <w:jc w:val="center"/>
              <w:rPr>
                <w:rFonts w:cs="Times New Roman"/>
                <w:sz w:val="21"/>
                <w:szCs w:val="21"/>
              </w:rPr>
            </w:pPr>
            <w:r>
              <w:rPr>
                <w:rFonts w:hint="eastAsia" w:cs="Times New Roman"/>
                <w:sz w:val="21"/>
                <w:szCs w:val="21"/>
              </w:rPr>
              <w:t>总面积158.50亩</w:t>
            </w:r>
          </w:p>
        </w:tc>
        <w:tc>
          <w:tcPr>
            <w:tcW w:w="406" w:type="pct"/>
            <w:vAlign w:val="center"/>
          </w:tcPr>
          <w:p w14:paraId="19CFEA94">
            <w:pPr>
              <w:spacing w:line="240" w:lineRule="auto"/>
              <w:ind w:firstLine="0" w:firstLineChars="0"/>
              <w:jc w:val="center"/>
              <w:rPr>
                <w:rFonts w:cs="Times New Roman"/>
                <w:sz w:val="21"/>
                <w:szCs w:val="21"/>
              </w:rPr>
            </w:pPr>
            <w:r>
              <w:rPr>
                <w:rFonts w:hint="eastAsia" w:cs="Times New Roman"/>
                <w:sz w:val="21"/>
                <w:szCs w:val="21"/>
              </w:rPr>
              <w:t>综合办公、青年创业、研发设计、商务会议</w:t>
            </w:r>
          </w:p>
        </w:tc>
        <w:tc>
          <w:tcPr>
            <w:tcW w:w="2068" w:type="pct"/>
            <w:vAlign w:val="center"/>
          </w:tcPr>
          <w:p w14:paraId="5866FFDD">
            <w:pPr>
              <w:spacing w:line="240" w:lineRule="auto"/>
              <w:ind w:firstLine="0" w:firstLineChars="0"/>
              <w:rPr>
                <w:rFonts w:cs="Times New Roman"/>
                <w:sz w:val="21"/>
                <w:szCs w:val="21"/>
              </w:rPr>
            </w:pPr>
            <w:r>
              <w:rPr>
                <w:rFonts w:hint="eastAsia" w:cs="Times New Roman"/>
                <w:sz w:val="21"/>
                <w:szCs w:val="21"/>
              </w:rPr>
              <w:t>金坛区地处苏锡常都市圈、南京都市圈两大都市圈，周边有众多大型企业。规划依托金坛地处两大都市圈的区位优势，打造企业总部基地，吸引周边大型企业在此设立总部或地区总部，逐步实现创新资源要素集聚，进而推动地区经济社会发展。同时，总部基地通过优惠条件吸引二次元产业、宠物猫产业、旅游装备制造产业等方面人才在此创新创业。总部基地承载二次元、宠物猫、旅游装备制造产业相关产品设计、研发功能，如动漫创作、游戏设计、二次元与国风服装设计、宠物玩具设计、游乐装备设计等，薛埠现代产业园提供各类产品生产制造服务</w:t>
            </w:r>
          </w:p>
        </w:tc>
        <w:tc>
          <w:tcPr>
            <w:tcW w:w="527" w:type="pct"/>
            <w:vAlign w:val="center"/>
          </w:tcPr>
          <w:p w14:paraId="0272A1CC">
            <w:pPr>
              <w:spacing w:line="240" w:lineRule="auto"/>
              <w:ind w:firstLine="0" w:firstLineChars="0"/>
              <w:rPr>
                <w:rFonts w:cs="Times New Roman"/>
                <w:sz w:val="21"/>
                <w:szCs w:val="21"/>
              </w:rPr>
            </w:pPr>
            <w:r>
              <w:rPr>
                <w:rFonts w:hint="eastAsia" w:cs="Times New Roman"/>
                <w:sz w:val="21"/>
                <w:szCs w:val="21"/>
              </w:rPr>
              <w:t>企业总部、青创社区、设计中心、会议中心、公共活动中心、配套商业设施等</w:t>
            </w:r>
          </w:p>
        </w:tc>
      </w:tr>
      <w:tr w14:paraId="0A961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11B1C946">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6C833C44">
            <w:pPr>
              <w:spacing w:line="240" w:lineRule="auto"/>
              <w:ind w:firstLine="0" w:firstLineChars="0"/>
              <w:jc w:val="center"/>
              <w:rPr>
                <w:rFonts w:cs="Times New Roman"/>
                <w:sz w:val="21"/>
                <w:szCs w:val="21"/>
              </w:rPr>
            </w:pPr>
          </w:p>
        </w:tc>
        <w:tc>
          <w:tcPr>
            <w:tcW w:w="396" w:type="pct"/>
            <w:vAlign w:val="center"/>
          </w:tcPr>
          <w:p w14:paraId="01ABFDFA">
            <w:pPr>
              <w:spacing w:line="240" w:lineRule="auto"/>
              <w:ind w:firstLine="0" w:firstLineChars="0"/>
              <w:jc w:val="center"/>
              <w:rPr>
                <w:rFonts w:cs="Times New Roman"/>
                <w:sz w:val="21"/>
                <w:szCs w:val="21"/>
              </w:rPr>
            </w:pPr>
            <w:r>
              <w:rPr>
                <w:rFonts w:hint="eastAsia" w:cs="Times New Roman"/>
                <w:sz w:val="21"/>
                <w:szCs w:val="21"/>
              </w:rPr>
              <w:t>配套精品酒店</w:t>
            </w:r>
          </w:p>
        </w:tc>
        <w:tc>
          <w:tcPr>
            <w:tcW w:w="468" w:type="pct"/>
            <w:vAlign w:val="center"/>
          </w:tcPr>
          <w:p w14:paraId="3E3B183E">
            <w:pPr>
              <w:spacing w:line="240" w:lineRule="auto"/>
              <w:ind w:firstLine="0" w:firstLineChars="0"/>
              <w:jc w:val="center"/>
              <w:rPr>
                <w:rFonts w:cs="Times New Roman"/>
                <w:sz w:val="21"/>
                <w:szCs w:val="21"/>
              </w:rPr>
            </w:pPr>
            <w:r>
              <w:rPr>
                <w:rFonts w:hint="eastAsia" w:cs="Times New Roman"/>
                <w:sz w:val="21"/>
                <w:szCs w:val="21"/>
              </w:rPr>
              <w:t>茅山游客中心北侧</w:t>
            </w:r>
          </w:p>
        </w:tc>
        <w:tc>
          <w:tcPr>
            <w:tcW w:w="275" w:type="pct"/>
            <w:vAlign w:val="center"/>
          </w:tcPr>
          <w:p w14:paraId="7C1DD3BF">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1F513356">
            <w:pPr>
              <w:spacing w:line="240" w:lineRule="auto"/>
              <w:ind w:firstLine="0" w:firstLineChars="0"/>
              <w:jc w:val="center"/>
              <w:rPr>
                <w:rFonts w:cs="Times New Roman"/>
                <w:sz w:val="21"/>
                <w:szCs w:val="21"/>
              </w:rPr>
            </w:pPr>
            <w:r>
              <w:rPr>
                <w:rFonts w:hint="eastAsia" w:cs="Times New Roman"/>
                <w:sz w:val="21"/>
                <w:szCs w:val="21"/>
              </w:rPr>
              <w:t>总面积50亩</w:t>
            </w:r>
          </w:p>
        </w:tc>
        <w:tc>
          <w:tcPr>
            <w:tcW w:w="406" w:type="pct"/>
            <w:vAlign w:val="center"/>
          </w:tcPr>
          <w:p w14:paraId="092B21EB">
            <w:pPr>
              <w:spacing w:line="240" w:lineRule="auto"/>
              <w:ind w:firstLine="0" w:firstLineChars="0"/>
              <w:jc w:val="center"/>
              <w:rPr>
                <w:rFonts w:cs="Times New Roman"/>
                <w:sz w:val="21"/>
                <w:szCs w:val="21"/>
              </w:rPr>
            </w:pPr>
            <w:r>
              <w:rPr>
                <w:rFonts w:hint="eastAsia" w:cs="Times New Roman"/>
                <w:sz w:val="21"/>
                <w:szCs w:val="21"/>
              </w:rPr>
              <w:t>酒店住宿</w:t>
            </w:r>
          </w:p>
        </w:tc>
        <w:tc>
          <w:tcPr>
            <w:tcW w:w="2068" w:type="pct"/>
            <w:vAlign w:val="center"/>
          </w:tcPr>
          <w:p w14:paraId="56C0E646">
            <w:pPr>
              <w:spacing w:line="240" w:lineRule="auto"/>
              <w:ind w:firstLine="0" w:firstLineChars="0"/>
              <w:rPr>
                <w:rFonts w:cs="Times New Roman"/>
                <w:sz w:val="21"/>
                <w:szCs w:val="21"/>
              </w:rPr>
            </w:pPr>
            <w:r>
              <w:rPr>
                <w:rFonts w:hint="eastAsia" w:cs="Times New Roman"/>
                <w:sz w:val="21"/>
                <w:szCs w:val="21"/>
              </w:rPr>
              <w:t>在茅山游客中心，规划建设的茅山高速服务区周边配套建设旅游服务酒店住宿</w:t>
            </w:r>
          </w:p>
        </w:tc>
        <w:tc>
          <w:tcPr>
            <w:tcW w:w="527" w:type="pct"/>
            <w:vAlign w:val="center"/>
          </w:tcPr>
          <w:p w14:paraId="414EE438">
            <w:pPr>
              <w:spacing w:line="240" w:lineRule="auto"/>
              <w:ind w:firstLine="0" w:firstLineChars="0"/>
              <w:rPr>
                <w:rFonts w:cs="Times New Roman"/>
                <w:sz w:val="21"/>
                <w:szCs w:val="21"/>
              </w:rPr>
            </w:pPr>
            <w:r>
              <w:rPr>
                <w:rFonts w:hint="eastAsia" w:cs="Times New Roman"/>
                <w:sz w:val="21"/>
                <w:szCs w:val="21"/>
              </w:rPr>
              <w:t>旅游住宿精品酒店</w:t>
            </w:r>
          </w:p>
        </w:tc>
      </w:tr>
      <w:tr w14:paraId="306DD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3BABB695">
            <w:pPr>
              <w:pStyle w:val="39"/>
              <w:numPr>
                <w:ilvl w:val="0"/>
                <w:numId w:val="9"/>
              </w:numPr>
              <w:spacing w:line="240" w:lineRule="auto"/>
              <w:ind w:firstLineChars="0"/>
              <w:jc w:val="center"/>
              <w:rPr>
                <w:rFonts w:cs="Times New Roman"/>
                <w:sz w:val="21"/>
                <w:szCs w:val="21"/>
              </w:rPr>
            </w:pPr>
          </w:p>
        </w:tc>
        <w:tc>
          <w:tcPr>
            <w:tcW w:w="285" w:type="pct"/>
            <w:vMerge w:val="restart"/>
            <w:vAlign w:val="center"/>
          </w:tcPr>
          <w:p w14:paraId="45883B1C">
            <w:pPr>
              <w:spacing w:line="240" w:lineRule="auto"/>
              <w:ind w:firstLine="0" w:firstLineChars="0"/>
              <w:jc w:val="center"/>
              <w:rPr>
                <w:rFonts w:cs="Times New Roman"/>
                <w:sz w:val="21"/>
                <w:szCs w:val="21"/>
              </w:rPr>
            </w:pPr>
            <w:r>
              <w:rPr>
                <w:rFonts w:cs="Times New Roman"/>
                <w:sz w:val="21"/>
                <w:szCs w:val="21"/>
              </w:rPr>
              <w:t>山田生态休闲区</w:t>
            </w:r>
          </w:p>
        </w:tc>
        <w:tc>
          <w:tcPr>
            <w:tcW w:w="396" w:type="pct"/>
            <w:vAlign w:val="center"/>
          </w:tcPr>
          <w:p w14:paraId="165077DE">
            <w:pPr>
              <w:spacing w:line="240" w:lineRule="auto"/>
              <w:ind w:firstLine="0" w:firstLineChars="0"/>
              <w:jc w:val="center"/>
              <w:rPr>
                <w:rFonts w:cs="Times New Roman"/>
                <w:sz w:val="21"/>
                <w:szCs w:val="21"/>
              </w:rPr>
            </w:pPr>
            <w:r>
              <w:rPr>
                <w:rFonts w:hint="eastAsia" w:cs="Times New Roman"/>
                <w:sz w:val="21"/>
                <w:szCs w:val="21"/>
              </w:rPr>
              <w:t>大地之野自然学校</w:t>
            </w:r>
          </w:p>
        </w:tc>
        <w:tc>
          <w:tcPr>
            <w:tcW w:w="468" w:type="pct"/>
            <w:vAlign w:val="center"/>
          </w:tcPr>
          <w:p w14:paraId="28133932">
            <w:pPr>
              <w:spacing w:line="240" w:lineRule="auto"/>
              <w:ind w:firstLine="0" w:firstLineChars="0"/>
              <w:jc w:val="center"/>
              <w:rPr>
                <w:rFonts w:cs="Times New Roman"/>
                <w:sz w:val="21"/>
                <w:szCs w:val="21"/>
              </w:rPr>
            </w:pPr>
            <w:r>
              <w:rPr>
                <w:rFonts w:hint="eastAsia" w:cs="Times New Roman"/>
                <w:sz w:val="21"/>
                <w:szCs w:val="21"/>
              </w:rPr>
              <w:t>白石里水库西北侧，大方山矿区东侧</w:t>
            </w:r>
          </w:p>
        </w:tc>
        <w:tc>
          <w:tcPr>
            <w:tcW w:w="275" w:type="pct"/>
            <w:vAlign w:val="center"/>
          </w:tcPr>
          <w:p w14:paraId="0485F9D3">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22CDD225">
            <w:pPr>
              <w:spacing w:line="240" w:lineRule="auto"/>
              <w:ind w:firstLine="0" w:firstLineChars="0"/>
              <w:jc w:val="center"/>
              <w:rPr>
                <w:rFonts w:cs="Times New Roman"/>
                <w:sz w:val="21"/>
                <w:szCs w:val="21"/>
              </w:rPr>
            </w:pPr>
            <w:r>
              <w:rPr>
                <w:rFonts w:hint="eastAsia" w:cs="Times New Roman"/>
                <w:sz w:val="21"/>
                <w:szCs w:val="21"/>
              </w:rPr>
              <w:t>占地面积约69亩，建设用地15.3亩</w:t>
            </w:r>
          </w:p>
        </w:tc>
        <w:tc>
          <w:tcPr>
            <w:tcW w:w="406" w:type="pct"/>
            <w:vAlign w:val="center"/>
          </w:tcPr>
          <w:p w14:paraId="4D039BA6">
            <w:pPr>
              <w:spacing w:line="240" w:lineRule="auto"/>
              <w:ind w:firstLine="0" w:firstLineChars="0"/>
              <w:jc w:val="center"/>
              <w:rPr>
                <w:rFonts w:cs="Times New Roman"/>
                <w:sz w:val="21"/>
                <w:szCs w:val="21"/>
              </w:rPr>
            </w:pPr>
            <w:r>
              <w:rPr>
                <w:rFonts w:hint="eastAsia" w:cs="Times New Roman"/>
                <w:sz w:val="21"/>
                <w:szCs w:val="21"/>
              </w:rPr>
              <w:t>生态研学、自然探索、露营地</w:t>
            </w:r>
          </w:p>
        </w:tc>
        <w:tc>
          <w:tcPr>
            <w:tcW w:w="2068" w:type="pct"/>
            <w:vAlign w:val="center"/>
          </w:tcPr>
          <w:p w14:paraId="1E7710B7">
            <w:pPr>
              <w:spacing w:line="240" w:lineRule="auto"/>
              <w:ind w:firstLine="0" w:firstLineChars="0"/>
              <w:rPr>
                <w:rFonts w:cs="Times New Roman"/>
                <w:sz w:val="21"/>
                <w:szCs w:val="21"/>
              </w:rPr>
            </w:pPr>
            <w:r>
              <w:rPr>
                <w:rFonts w:hint="eastAsia" w:cs="Times New Roman"/>
                <w:sz w:val="21"/>
                <w:szCs w:val="21"/>
              </w:rPr>
              <w:t>严守生态保护要求，以“森林是最好的教室，自然是最好的老师”为理念，通过场景体验重塑“人与自然的联系”，传承敬畏自然、尊重自然的人生哲学，打造营地板块、森林探索（自然观测）、森林探索（丛林探险）版块</w:t>
            </w:r>
          </w:p>
        </w:tc>
        <w:tc>
          <w:tcPr>
            <w:tcW w:w="527" w:type="pct"/>
            <w:vAlign w:val="center"/>
          </w:tcPr>
          <w:p w14:paraId="58C8F50D">
            <w:pPr>
              <w:spacing w:line="240" w:lineRule="auto"/>
              <w:ind w:firstLine="0" w:firstLineChars="0"/>
              <w:rPr>
                <w:rFonts w:cs="Times New Roman"/>
                <w:sz w:val="21"/>
                <w:szCs w:val="21"/>
              </w:rPr>
            </w:pPr>
            <w:r>
              <w:rPr>
                <w:rFonts w:hint="eastAsia" w:cs="Times New Roman"/>
                <w:sz w:val="21"/>
                <w:szCs w:val="21"/>
              </w:rPr>
              <w:t>研学课堂、矿坑花园、宿舍等</w:t>
            </w:r>
          </w:p>
        </w:tc>
      </w:tr>
      <w:tr w14:paraId="21D1E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003FF5CE">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30C5A12D">
            <w:pPr>
              <w:spacing w:line="240" w:lineRule="auto"/>
              <w:ind w:firstLine="0" w:firstLineChars="0"/>
              <w:jc w:val="center"/>
              <w:rPr>
                <w:rFonts w:cs="Times New Roman"/>
                <w:sz w:val="21"/>
                <w:szCs w:val="21"/>
              </w:rPr>
            </w:pPr>
          </w:p>
        </w:tc>
        <w:tc>
          <w:tcPr>
            <w:tcW w:w="396" w:type="pct"/>
            <w:vAlign w:val="center"/>
          </w:tcPr>
          <w:p w14:paraId="28C4FDD0">
            <w:pPr>
              <w:spacing w:line="240" w:lineRule="auto"/>
              <w:ind w:firstLine="0" w:firstLineChars="0"/>
              <w:jc w:val="center"/>
              <w:rPr>
                <w:rFonts w:cs="Times New Roman"/>
                <w:sz w:val="21"/>
                <w:szCs w:val="21"/>
              </w:rPr>
            </w:pPr>
            <w:r>
              <w:rPr>
                <w:rFonts w:hint="eastAsia" w:cs="Times New Roman"/>
                <w:sz w:val="21"/>
                <w:szCs w:val="21"/>
              </w:rPr>
              <w:t>方山房车营地</w:t>
            </w:r>
          </w:p>
        </w:tc>
        <w:tc>
          <w:tcPr>
            <w:tcW w:w="468" w:type="pct"/>
            <w:vAlign w:val="center"/>
          </w:tcPr>
          <w:p w14:paraId="2849DAD9">
            <w:pPr>
              <w:spacing w:line="240" w:lineRule="auto"/>
              <w:ind w:firstLine="0" w:firstLineChars="0"/>
              <w:jc w:val="center"/>
              <w:rPr>
                <w:rFonts w:cs="Times New Roman"/>
                <w:sz w:val="21"/>
                <w:szCs w:val="21"/>
              </w:rPr>
            </w:pPr>
            <w:r>
              <w:rPr>
                <w:rFonts w:hint="eastAsia" w:cs="Times New Roman"/>
                <w:sz w:val="21"/>
                <w:szCs w:val="21"/>
              </w:rPr>
              <w:t>白石里水库北侧，春风十里旅游公路以西</w:t>
            </w:r>
          </w:p>
        </w:tc>
        <w:tc>
          <w:tcPr>
            <w:tcW w:w="275" w:type="pct"/>
            <w:vAlign w:val="center"/>
          </w:tcPr>
          <w:p w14:paraId="345D78D8">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00F1D149">
            <w:pPr>
              <w:spacing w:line="240" w:lineRule="auto"/>
              <w:ind w:firstLine="0" w:firstLineChars="0"/>
              <w:jc w:val="center"/>
              <w:rPr>
                <w:rFonts w:cs="Times New Roman"/>
                <w:sz w:val="21"/>
                <w:szCs w:val="21"/>
              </w:rPr>
            </w:pPr>
            <w:r>
              <w:rPr>
                <w:rFonts w:hint="eastAsia" w:cs="Times New Roman"/>
                <w:sz w:val="21"/>
                <w:szCs w:val="21"/>
              </w:rPr>
              <w:t>占地面积约54.9亩，建设用地54.9亩</w:t>
            </w:r>
          </w:p>
        </w:tc>
        <w:tc>
          <w:tcPr>
            <w:tcW w:w="406" w:type="pct"/>
            <w:vAlign w:val="center"/>
          </w:tcPr>
          <w:p w14:paraId="57F696B0">
            <w:pPr>
              <w:spacing w:line="240" w:lineRule="auto"/>
              <w:ind w:firstLine="0" w:firstLineChars="0"/>
              <w:jc w:val="center"/>
              <w:rPr>
                <w:rFonts w:cs="Times New Roman"/>
                <w:sz w:val="21"/>
                <w:szCs w:val="21"/>
              </w:rPr>
            </w:pPr>
            <w:r>
              <w:rPr>
                <w:rFonts w:hint="eastAsia" w:cs="Times New Roman"/>
                <w:sz w:val="21"/>
                <w:szCs w:val="21"/>
              </w:rPr>
              <w:t>户外露营、户外运动</w:t>
            </w:r>
          </w:p>
        </w:tc>
        <w:tc>
          <w:tcPr>
            <w:tcW w:w="2068" w:type="pct"/>
            <w:vAlign w:val="center"/>
          </w:tcPr>
          <w:p w14:paraId="29FFCE7C">
            <w:pPr>
              <w:spacing w:line="240" w:lineRule="auto"/>
              <w:ind w:firstLine="0" w:firstLineChars="0"/>
              <w:rPr>
                <w:rFonts w:cs="Times New Roman"/>
                <w:sz w:val="21"/>
                <w:szCs w:val="21"/>
              </w:rPr>
            </w:pPr>
            <w:r>
              <w:rPr>
                <w:rFonts w:hint="eastAsia" w:cs="Times New Roman"/>
                <w:sz w:val="21"/>
                <w:szCs w:val="21"/>
              </w:rPr>
              <w:t>利用水库西北侧用地，依托紧邻旅游公路环线的区位优势与山水环抱的环境优势，按四星级汽车营地标准配备相应设施。同时利用方山房车营地周边矿坑，将盐趣味知识、采盐小物件等以雕刻、镶嵌等形式分布在岩壁上，与飞拉达攀岩装置结合，并设置一处模拟盐矿运输轨道的岩壁大滑梯，以及岩壁餐厅、矿坑图书馆等小型体验性空间，形成极具故事性与挑战性的观览体验。 岩壁下方空间则以异地再造手法构建具有代表性的采矿与制盐场景，开展传统制盐工艺体验、现代盐业科普等观光休闲活动</w:t>
            </w:r>
          </w:p>
        </w:tc>
        <w:tc>
          <w:tcPr>
            <w:tcW w:w="527" w:type="pct"/>
            <w:vAlign w:val="center"/>
          </w:tcPr>
          <w:p w14:paraId="55A1233E">
            <w:pPr>
              <w:spacing w:line="240" w:lineRule="auto"/>
              <w:ind w:firstLine="0" w:firstLineChars="0"/>
              <w:rPr>
                <w:rFonts w:cs="Times New Roman"/>
                <w:sz w:val="21"/>
                <w:szCs w:val="21"/>
              </w:rPr>
            </w:pPr>
            <w:r>
              <w:rPr>
                <w:rFonts w:hint="eastAsia" w:cs="Times New Roman"/>
                <w:sz w:val="21"/>
                <w:szCs w:val="21"/>
              </w:rPr>
              <w:t>管理服务中心、特色露营屋、旅居车营位、帐篷营位、盐矿飞拉达、运动场地、儿童游乐场等</w:t>
            </w:r>
          </w:p>
        </w:tc>
      </w:tr>
      <w:tr w14:paraId="3AD29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0C2C8133">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226540FE">
            <w:pPr>
              <w:spacing w:line="240" w:lineRule="auto"/>
              <w:ind w:firstLine="0" w:firstLineChars="0"/>
              <w:jc w:val="center"/>
              <w:rPr>
                <w:rFonts w:cs="Times New Roman"/>
                <w:sz w:val="21"/>
                <w:szCs w:val="21"/>
              </w:rPr>
            </w:pPr>
          </w:p>
        </w:tc>
        <w:tc>
          <w:tcPr>
            <w:tcW w:w="396" w:type="pct"/>
            <w:vAlign w:val="center"/>
          </w:tcPr>
          <w:p w14:paraId="217B2458">
            <w:pPr>
              <w:spacing w:line="240" w:lineRule="auto"/>
              <w:ind w:firstLine="0" w:firstLineChars="0"/>
              <w:jc w:val="center"/>
              <w:rPr>
                <w:rFonts w:cs="Times New Roman"/>
                <w:sz w:val="21"/>
                <w:szCs w:val="21"/>
              </w:rPr>
            </w:pPr>
            <w:r>
              <w:rPr>
                <w:rFonts w:hint="eastAsia" w:cs="Times New Roman"/>
                <w:sz w:val="21"/>
                <w:szCs w:val="21"/>
              </w:rPr>
              <w:t>春风一杯酒客栈</w:t>
            </w:r>
          </w:p>
        </w:tc>
        <w:tc>
          <w:tcPr>
            <w:tcW w:w="468" w:type="pct"/>
            <w:vAlign w:val="center"/>
          </w:tcPr>
          <w:p w14:paraId="0C2E162B">
            <w:pPr>
              <w:spacing w:line="240" w:lineRule="auto"/>
              <w:ind w:firstLine="0" w:firstLineChars="0"/>
              <w:jc w:val="center"/>
              <w:rPr>
                <w:rFonts w:cs="Times New Roman"/>
                <w:sz w:val="21"/>
                <w:szCs w:val="21"/>
              </w:rPr>
            </w:pPr>
            <w:r>
              <w:rPr>
                <w:rFonts w:hint="eastAsia" w:cs="Times New Roman"/>
                <w:sz w:val="21"/>
                <w:szCs w:val="21"/>
              </w:rPr>
              <w:t>上阮村白石里水库西侧</w:t>
            </w:r>
          </w:p>
        </w:tc>
        <w:tc>
          <w:tcPr>
            <w:tcW w:w="275" w:type="pct"/>
            <w:vAlign w:val="center"/>
          </w:tcPr>
          <w:p w14:paraId="5F152D10">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4A6E968E">
            <w:pPr>
              <w:spacing w:line="240" w:lineRule="auto"/>
              <w:ind w:firstLine="0" w:firstLineChars="0"/>
              <w:jc w:val="center"/>
              <w:rPr>
                <w:rFonts w:cs="Times New Roman"/>
                <w:sz w:val="21"/>
                <w:szCs w:val="21"/>
              </w:rPr>
            </w:pPr>
            <w:r>
              <w:rPr>
                <w:rFonts w:hint="eastAsia" w:cs="Times New Roman"/>
                <w:sz w:val="21"/>
                <w:szCs w:val="21"/>
              </w:rPr>
              <w:t>占地面积约152.4亩，建设用地59.6亩</w:t>
            </w:r>
          </w:p>
        </w:tc>
        <w:tc>
          <w:tcPr>
            <w:tcW w:w="406" w:type="pct"/>
            <w:vAlign w:val="center"/>
          </w:tcPr>
          <w:p w14:paraId="0F9293F7">
            <w:pPr>
              <w:spacing w:line="240" w:lineRule="auto"/>
              <w:ind w:firstLine="0" w:firstLineChars="0"/>
              <w:jc w:val="center"/>
              <w:rPr>
                <w:rFonts w:cs="Times New Roman"/>
                <w:sz w:val="21"/>
                <w:szCs w:val="21"/>
              </w:rPr>
            </w:pPr>
            <w:r>
              <w:rPr>
                <w:rFonts w:hint="eastAsia" w:cs="Times New Roman"/>
                <w:sz w:val="21"/>
                <w:szCs w:val="21"/>
              </w:rPr>
              <w:t>主题餐厅、民宿、购物、非遗文化展示与体验</w:t>
            </w:r>
          </w:p>
        </w:tc>
        <w:tc>
          <w:tcPr>
            <w:tcW w:w="2068" w:type="pct"/>
            <w:vAlign w:val="center"/>
          </w:tcPr>
          <w:p w14:paraId="05431E0F">
            <w:pPr>
              <w:spacing w:line="240" w:lineRule="auto"/>
              <w:ind w:firstLine="0" w:firstLineChars="0"/>
              <w:rPr>
                <w:rFonts w:cs="Times New Roman"/>
                <w:sz w:val="21"/>
                <w:szCs w:val="21"/>
              </w:rPr>
            </w:pPr>
            <w:r>
              <w:rPr>
                <w:rFonts w:hint="eastAsia" w:cs="Times New Roman"/>
                <w:sz w:val="21"/>
                <w:szCs w:val="21"/>
              </w:rPr>
              <w:t>依托优越的外部环境，打造高端主题酒店。以“桃李春风一杯酒”的意境对酒店及周边景观进行一体化设计</w:t>
            </w:r>
          </w:p>
        </w:tc>
        <w:tc>
          <w:tcPr>
            <w:tcW w:w="527" w:type="pct"/>
            <w:vAlign w:val="center"/>
          </w:tcPr>
          <w:p w14:paraId="7AE4E92E">
            <w:pPr>
              <w:spacing w:line="240" w:lineRule="auto"/>
              <w:ind w:firstLine="0" w:firstLineChars="0"/>
              <w:rPr>
                <w:rFonts w:cs="Times New Roman"/>
                <w:sz w:val="21"/>
                <w:szCs w:val="21"/>
              </w:rPr>
            </w:pPr>
            <w:r>
              <w:rPr>
                <w:rFonts w:hint="eastAsia" w:cs="Times New Roman"/>
                <w:sz w:val="21"/>
                <w:szCs w:val="21"/>
              </w:rPr>
              <w:t>主题酒店、金坛封缸酒酒坊、桃林、湖心亭、画舫等</w:t>
            </w:r>
          </w:p>
        </w:tc>
      </w:tr>
      <w:tr w14:paraId="0F8EE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3B2C9A4E">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39287C1A">
            <w:pPr>
              <w:spacing w:line="240" w:lineRule="auto"/>
              <w:ind w:firstLine="0" w:firstLineChars="0"/>
              <w:jc w:val="center"/>
              <w:rPr>
                <w:rFonts w:cs="Times New Roman"/>
                <w:sz w:val="21"/>
                <w:szCs w:val="21"/>
              </w:rPr>
            </w:pPr>
          </w:p>
        </w:tc>
        <w:tc>
          <w:tcPr>
            <w:tcW w:w="396" w:type="pct"/>
            <w:vAlign w:val="center"/>
          </w:tcPr>
          <w:p w14:paraId="612DBC26">
            <w:pPr>
              <w:spacing w:line="240" w:lineRule="auto"/>
              <w:ind w:firstLine="0" w:firstLineChars="0"/>
              <w:jc w:val="center"/>
              <w:rPr>
                <w:rFonts w:cs="Times New Roman"/>
                <w:sz w:val="21"/>
                <w:szCs w:val="21"/>
              </w:rPr>
            </w:pPr>
            <w:r>
              <w:rPr>
                <w:rFonts w:hint="eastAsia" w:cs="Times New Roman"/>
                <w:sz w:val="21"/>
                <w:szCs w:val="21"/>
              </w:rPr>
              <w:t>五斗米艺术谷</w:t>
            </w:r>
          </w:p>
        </w:tc>
        <w:tc>
          <w:tcPr>
            <w:tcW w:w="468" w:type="pct"/>
            <w:vAlign w:val="center"/>
          </w:tcPr>
          <w:p w14:paraId="3297DB51">
            <w:pPr>
              <w:spacing w:line="240" w:lineRule="auto"/>
              <w:ind w:firstLine="0" w:firstLineChars="0"/>
              <w:jc w:val="center"/>
              <w:rPr>
                <w:rFonts w:cs="Times New Roman"/>
                <w:sz w:val="21"/>
                <w:szCs w:val="21"/>
              </w:rPr>
            </w:pPr>
            <w:r>
              <w:rPr>
                <w:rFonts w:hint="eastAsia" w:cs="Times New Roman"/>
                <w:sz w:val="21"/>
                <w:szCs w:val="21"/>
              </w:rPr>
              <w:t>上阮村青龙洞水库至向阳水库周边地带</w:t>
            </w:r>
          </w:p>
        </w:tc>
        <w:tc>
          <w:tcPr>
            <w:tcW w:w="275" w:type="pct"/>
            <w:vAlign w:val="center"/>
          </w:tcPr>
          <w:p w14:paraId="06C58048">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61D6F311">
            <w:pPr>
              <w:spacing w:line="240" w:lineRule="auto"/>
              <w:ind w:firstLine="0" w:firstLineChars="0"/>
              <w:jc w:val="center"/>
              <w:rPr>
                <w:rFonts w:cs="Times New Roman"/>
                <w:sz w:val="21"/>
                <w:szCs w:val="21"/>
              </w:rPr>
            </w:pPr>
            <w:r>
              <w:rPr>
                <w:rFonts w:hint="eastAsia" w:cs="Times New Roman"/>
                <w:sz w:val="21"/>
                <w:szCs w:val="21"/>
              </w:rPr>
              <w:t>占地面积约5850亩，建设用地166亩</w:t>
            </w:r>
          </w:p>
        </w:tc>
        <w:tc>
          <w:tcPr>
            <w:tcW w:w="406" w:type="pct"/>
            <w:vAlign w:val="center"/>
          </w:tcPr>
          <w:p w14:paraId="0E37B3C3">
            <w:pPr>
              <w:spacing w:line="240" w:lineRule="auto"/>
              <w:ind w:firstLine="0" w:firstLineChars="0"/>
              <w:jc w:val="center"/>
              <w:rPr>
                <w:rFonts w:cs="Times New Roman"/>
                <w:sz w:val="21"/>
                <w:szCs w:val="21"/>
              </w:rPr>
            </w:pPr>
            <w:r>
              <w:rPr>
                <w:rFonts w:hint="eastAsia" w:cs="Times New Roman"/>
                <w:sz w:val="21"/>
                <w:szCs w:val="21"/>
              </w:rPr>
              <w:t>乡野艺术基地、乡村休闲度假</w:t>
            </w:r>
          </w:p>
        </w:tc>
        <w:tc>
          <w:tcPr>
            <w:tcW w:w="2068" w:type="pct"/>
            <w:vAlign w:val="center"/>
          </w:tcPr>
          <w:p w14:paraId="09F7F87D">
            <w:pPr>
              <w:spacing w:line="240" w:lineRule="auto"/>
              <w:ind w:firstLine="0" w:firstLineChars="0"/>
              <w:rPr>
                <w:rFonts w:cs="Times New Roman"/>
                <w:sz w:val="21"/>
                <w:szCs w:val="21"/>
              </w:rPr>
            </w:pPr>
            <w:r>
              <w:rPr>
                <w:rFonts w:hint="eastAsia" w:cs="Times New Roman"/>
                <w:sz w:val="21"/>
                <w:szCs w:val="21"/>
              </w:rPr>
              <w:t>规划积极对接周边城市院校师生，将该片区打造为长三角知名的乡村创客基地、艺术写生基地、乡村度假基地。以“五斗米”为名，对应御禾山庄、冠台农业、海棠园、翠竹山庄、紫薇山庄五大闲置农庄，同时也蕴含艺术家不为五斗米折腰的风骨、早期道教五斗米教等文化内涵。未来五大农庄可围绕“一庄一斗米”分主题打造；依托周边缓坡地，统筹规划作物种植，打造具有高低层次、丰富色彩的大地景观，开展观光、采摘等活动；建设五条岭美术餐厅，将就餐空间与艺术展览沙龙空间有机融合；整合利用李家山、青龙洞等闲置民宅，打造乡村度假酒店、精品民宿等设施，完善片区旅游接待功能</w:t>
            </w:r>
          </w:p>
        </w:tc>
        <w:tc>
          <w:tcPr>
            <w:tcW w:w="527" w:type="pct"/>
            <w:vAlign w:val="center"/>
          </w:tcPr>
          <w:p w14:paraId="0904932E">
            <w:pPr>
              <w:spacing w:line="240" w:lineRule="auto"/>
              <w:ind w:firstLine="0" w:firstLineChars="0"/>
              <w:rPr>
                <w:rFonts w:cs="Times New Roman"/>
                <w:sz w:val="21"/>
                <w:szCs w:val="21"/>
              </w:rPr>
            </w:pPr>
            <w:r>
              <w:rPr>
                <w:rFonts w:hint="eastAsia" w:cs="Times New Roman"/>
                <w:sz w:val="21"/>
                <w:szCs w:val="21"/>
              </w:rPr>
              <w:t>大地景观打造、五大农庄主题化提升改造、五条岭美术餐厅、乡村艺创酒店、精品民宿等</w:t>
            </w:r>
          </w:p>
        </w:tc>
      </w:tr>
      <w:tr w14:paraId="0F95B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7970E22B">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7AA19749">
            <w:pPr>
              <w:spacing w:line="240" w:lineRule="auto"/>
              <w:ind w:firstLine="0" w:firstLineChars="0"/>
              <w:jc w:val="center"/>
              <w:rPr>
                <w:rFonts w:cs="Times New Roman"/>
                <w:sz w:val="21"/>
                <w:szCs w:val="21"/>
              </w:rPr>
            </w:pPr>
          </w:p>
        </w:tc>
        <w:tc>
          <w:tcPr>
            <w:tcW w:w="396" w:type="pct"/>
            <w:vAlign w:val="center"/>
          </w:tcPr>
          <w:p w14:paraId="2435BB8A">
            <w:pPr>
              <w:spacing w:line="240" w:lineRule="auto"/>
              <w:ind w:firstLine="0" w:firstLineChars="0"/>
              <w:jc w:val="center"/>
              <w:rPr>
                <w:rFonts w:cs="Times New Roman"/>
                <w:sz w:val="21"/>
                <w:szCs w:val="21"/>
              </w:rPr>
            </w:pPr>
            <w:r>
              <w:rPr>
                <w:rFonts w:hint="eastAsia" w:cs="Times New Roman"/>
                <w:sz w:val="21"/>
                <w:szCs w:val="21"/>
              </w:rPr>
              <w:t>马术俱乐部</w:t>
            </w:r>
          </w:p>
        </w:tc>
        <w:tc>
          <w:tcPr>
            <w:tcW w:w="468" w:type="pct"/>
            <w:vAlign w:val="center"/>
          </w:tcPr>
          <w:p w14:paraId="3C6865E4">
            <w:pPr>
              <w:spacing w:line="240" w:lineRule="auto"/>
              <w:ind w:firstLine="0" w:firstLineChars="0"/>
              <w:jc w:val="center"/>
              <w:rPr>
                <w:rFonts w:cs="Times New Roman"/>
                <w:sz w:val="21"/>
                <w:szCs w:val="21"/>
              </w:rPr>
            </w:pPr>
            <w:r>
              <w:rPr>
                <w:rFonts w:hint="eastAsia" w:cs="Times New Roman"/>
                <w:sz w:val="21"/>
                <w:szCs w:val="21"/>
              </w:rPr>
              <w:t>上阮村凌角坝水库以北，原江南孔雀园</w:t>
            </w:r>
          </w:p>
        </w:tc>
        <w:tc>
          <w:tcPr>
            <w:tcW w:w="275" w:type="pct"/>
            <w:vAlign w:val="center"/>
          </w:tcPr>
          <w:p w14:paraId="0C199D9E">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4DC07C4E">
            <w:pPr>
              <w:spacing w:line="240" w:lineRule="auto"/>
              <w:ind w:firstLine="0" w:firstLineChars="0"/>
              <w:jc w:val="center"/>
              <w:rPr>
                <w:rFonts w:cs="Times New Roman"/>
                <w:sz w:val="21"/>
                <w:szCs w:val="21"/>
              </w:rPr>
            </w:pPr>
            <w:r>
              <w:rPr>
                <w:rFonts w:hint="eastAsia" w:cs="Times New Roman"/>
                <w:sz w:val="21"/>
                <w:szCs w:val="21"/>
              </w:rPr>
              <w:t>占地423亩，建设用地55.3亩</w:t>
            </w:r>
          </w:p>
        </w:tc>
        <w:tc>
          <w:tcPr>
            <w:tcW w:w="406" w:type="pct"/>
            <w:vAlign w:val="center"/>
          </w:tcPr>
          <w:p w14:paraId="6C6DA83B">
            <w:pPr>
              <w:spacing w:line="240" w:lineRule="auto"/>
              <w:ind w:firstLine="0" w:firstLineChars="0"/>
              <w:jc w:val="center"/>
              <w:rPr>
                <w:rFonts w:cs="Times New Roman"/>
                <w:sz w:val="21"/>
                <w:szCs w:val="21"/>
              </w:rPr>
            </w:pPr>
            <w:r>
              <w:rPr>
                <w:rFonts w:hint="eastAsia" w:cs="Times New Roman"/>
                <w:sz w:val="21"/>
                <w:szCs w:val="21"/>
              </w:rPr>
              <w:t>集休闲度假、商务接待、亲子互动、马术体验等功能于一体的综合型度假庄园</w:t>
            </w:r>
          </w:p>
        </w:tc>
        <w:tc>
          <w:tcPr>
            <w:tcW w:w="2068" w:type="pct"/>
            <w:vAlign w:val="center"/>
          </w:tcPr>
          <w:p w14:paraId="45DBCEDA">
            <w:pPr>
              <w:spacing w:line="240" w:lineRule="auto"/>
              <w:ind w:firstLine="0" w:firstLineChars="0"/>
              <w:rPr>
                <w:rFonts w:cs="Times New Roman"/>
                <w:sz w:val="21"/>
                <w:szCs w:val="21"/>
              </w:rPr>
            </w:pPr>
            <w:r>
              <w:rPr>
                <w:rFonts w:hint="eastAsia" w:cs="Times New Roman"/>
                <w:sz w:val="21"/>
                <w:szCs w:val="21"/>
              </w:rPr>
              <w:t>江南孔雀园为闲置农庄，建有孔雀养殖区、商务中心、高档宾馆楼、江南马会等设施。规划对其提档升级，全面提升园区景观环境，营造休闲度假氛围。将商务中心改造为会议中心；高档宾馆楼改造为马术文化博览主题度假酒店；依托江南马会，聘请专业团队，开展马术表演、马术体验、马术培训活动；建设马术主题餐厅，顾客可在就餐的同时与小马接触、互动</w:t>
            </w:r>
          </w:p>
        </w:tc>
        <w:tc>
          <w:tcPr>
            <w:tcW w:w="527" w:type="pct"/>
            <w:vAlign w:val="center"/>
          </w:tcPr>
          <w:p w14:paraId="1C9B5EEF">
            <w:pPr>
              <w:spacing w:line="240" w:lineRule="auto"/>
              <w:ind w:firstLine="0" w:firstLineChars="0"/>
              <w:rPr>
                <w:rFonts w:cs="Times New Roman"/>
                <w:sz w:val="21"/>
                <w:szCs w:val="21"/>
              </w:rPr>
            </w:pPr>
            <w:r>
              <w:rPr>
                <w:rFonts w:hint="eastAsia" w:cs="Times New Roman"/>
                <w:sz w:val="21"/>
                <w:szCs w:val="21"/>
              </w:rPr>
              <w:t>马术培训中心、骑乘训练场、马术主题餐厅、马术文化博览主题度假酒店等</w:t>
            </w:r>
          </w:p>
        </w:tc>
      </w:tr>
      <w:tr w14:paraId="33439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7D092E40">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64405551">
            <w:pPr>
              <w:spacing w:line="240" w:lineRule="auto"/>
              <w:ind w:firstLine="0" w:firstLineChars="0"/>
              <w:jc w:val="center"/>
              <w:rPr>
                <w:rFonts w:cs="Times New Roman"/>
                <w:sz w:val="21"/>
                <w:szCs w:val="21"/>
              </w:rPr>
            </w:pPr>
          </w:p>
        </w:tc>
        <w:tc>
          <w:tcPr>
            <w:tcW w:w="396" w:type="pct"/>
            <w:vAlign w:val="center"/>
          </w:tcPr>
          <w:p w14:paraId="1315FF3C">
            <w:pPr>
              <w:spacing w:line="240" w:lineRule="auto"/>
              <w:ind w:firstLine="0" w:firstLineChars="0"/>
              <w:jc w:val="center"/>
              <w:rPr>
                <w:rFonts w:cs="Times New Roman"/>
                <w:sz w:val="21"/>
                <w:szCs w:val="21"/>
              </w:rPr>
            </w:pPr>
            <w:r>
              <w:rPr>
                <w:rFonts w:hint="eastAsia" w:cs="Times New Roman"/>
                <w:sz w:val="21"/>
                <w:szCs w:val="21"/>
              </w:rPr>
              <w:t>三生风味</w:t>
            </w:r>
          </w:p>
        </w:tc>
        <w:tc>
          <w:tcPr>
            <w:tcW w:w="468" w:type="pct"/>
            <w:vAlign w:val="center"/>
          </w:tcPr>
          <w:p w14:paraId="4DED6F79">
            <w:pPr>
              <w:spacing w:line="240" w:lineRule="auto"/>
              <w:ind w:firstLine="0" w:firstLineChars="0"/>
              <w:jc w:val="center"/>
              <w:rPr>
                <w:rFonts w:cs="Times New Roman"/>
                <w:sz w:val="21"/>
                <w:szCs w:val="21"/>
              </w:rPr>
            </w:pPr>
            <w:r>
              <w:rPr>
                <w:rFonts w:hint="eastAsia" w:cs="Times New Roman"/>
                <w:sz w:val="21"/>
                <w:szCs w:val="21"/>
              </w:rPr>
              <w:t>华东玫瑰风情园西北方，原粉丝厂地块</w:t>
            </w:r>
          </w:p>
        </w:tc>
        <w:tc>
          <w:tcPr>
            <w:tcW w:w="275" w:type="pct"/>
            <w:vAlign w:val="center"/>
          </w:tcPr>
          <w:p w14:paraId="28DA4428">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58758C25">
            <w:pPr>
              <w:spacing w:line="240" w:lineRule="auto"/>
              <w:ind w:firstLine="0" w:firstLineChars="0"/>
              <w:jc w:val="center"/>
              <w:rPr>
                <w:rFonts w:cs="Times New Roman"/>
                <w:sz w:val="21"/>
                <w:szCs w:val="21"/>
              </w:rPr>
            </w:pPr>
            <w:r>
              <w:rPr>
                <w:rFonts w:hint="eastAsia" w:cs="Times New Roman"/>
                <w:sz w:val="21"/>
                <w:szCs w:val="21"/>
              </w:rPr>
              <w:t>占地面积约65.4亩，建设用地17.7亩</w:t>
            </w:r>
          </w:p>
        </w:tc>
        <w:tc>
          <w:tcPr>
            <w:tcW w:w="406" w:type="pct"/>
            <w:vAlign w:val="center"/>
          </w:tcPr>
          <w:p w14:paraId="308E4A93">
            <w:pPr>
              <w:spacing w:line="240" w:lineRule="auto"/>
              <w:ind w:firstLine="0" w:firstLineChars="0"/>
              <w:jc w:val="center"/>
              <w:rPr>
                <w:rFonts w:cs="Times New Roman"/>
                <w:sz w:val="21"/>
                <w:szCs w:val="21"/>
              </w:rPr>
            </w:pPr>
            <w:r>
              <w:rPr>
                <w:rFonts w:hint="eastAsia" w:cs="Times New Roman"/>
                <w:sz w:val="21"/>
                <w:szCs w:val="21"/>
              </w:rPr>
              <w:t>兼具正宗乡土美食品尝、乡土美食制作体验、田园集市等功能的综合型餐饮中心</w:t>
            </w:r>
          </w:p>
        </w:tc>
        <w:tc>
          <w:tcPr>
            <w:tcW w:w="2068" w:type="pct"/>
            <w:vAlign w:val="center"/>
          </w:tcPr>
          <w:p w14:paraId="5DCFA8CA">
            <w:pPr>
              <w:spacing w:line="240" w:lineRule="auto"/>
              <w:ind w:firstLine="0" w:firstLineChars="0"/>
              <w:rPr>
                <w:rFonts w:cs="Times New Roman"/>
                <w:sz w:val="21"/>
                <w:szCs w:val="21"/>
              </w:rPr>
            </w:pPr>
            <w:r>
              <w:rPr>
                <w:rFonts w:hint="eastAsia" w:cs="Times New Roman"/>
                <w:sz w:val="21"/>
                <w:szCs w:val="21"/>
              </w:rPr>
              <w:t>规划利用原粉丝厂地块，整体改造升级，以“美好生活”为设计理念，将其打造为连接社区生活与乡村旅游的纽带，重建人与土地、人与食物、人与人之间的链接，打造传承乡土记忆、最具烟火气的温情美食空间</w:t>
            </w:r>
          </w:p>
        </w:tc>
        <w:tc>
          <w:tcPr>
            <w:tcW w:w="527" w:type="pct"/>
            <w:vAlign w:val="center"/>
          </w:tcPr>
          <w:p w14:paraId="028B40DA">
            <w:pPr>
              <w:spacing w:line="240" w:lineRule="auto"/>
              <w:ind w:firstLine="0" w:firstLineChars="0"/>
              <w:rPr>
                <w:rFonts w:cs="Times New Roman"/>
                <w:sz w:val="21"/>
                <w:szCs w:val="21"/>
              </w:rPr>
            </w:pPr>
            <w:r>
              <w:rPr>
                <w:rFonts w:hint="eastAsia" w:cs="Times New Roman"/>
                <w:sz w:val="21"/>
                <w:szCs w:val="21"/>
              </w:rPr>
              <w:t>风味美食区、时令蔬果区、文化休闲区等</w:t>
            </w:r>
          </w:p>
        </w:tc>
      </w:tr>
      <w:tr w14:paraId="7BB90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1" w:hRule="atLeast"/>
          <w:jc w:val="center"/>
        </w:trPr>
        <w:tc>
          <w:tcPr>
            <w:tcW w:w="182" w:type="pct"/>
            <w:vAlign w:val="center"/>
          </w:tcPr>
          <w:p w14:paraId="43A3E43D">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0177C411">
            <w:pPr>
              <w:spacing w:line="240" w:lineRule="auto"/>
              <w:ind w:firstLine="0" w:firstLineChars="0"/>
              <w:jc w:val="center"/>
              <w:rPr>
                <w:rFonts w:cs="Times New Roman"/>
                <w:sz w:val="21"/>
                <w:szCs w:val="21"/>
              </w:rPr>
            </w:pPr>
          </w:p>
        </w:tc>
        <w:tc>
          <w:tcPr>
            <w:tcW w:w="396" w:type="pct"/>
            <w:vAlign w:val="center"/>
          </w:tcPr>
          <w:p w14:paraId="6AA973B9">
            <w:pPr>
              <w:spacing w:line="240" w:lineRule="auto"/>
              <w:ind w:firstLine="0" w:firstLineChars="0"/>
              <w:jc w:val="center"/>
              <w:rPr>
                <w:rFonts w:cs="Times New Roman"/>
                <w:sz w:val="21"/>
                <w:szCs w:val="21"/>
              </w:rPr>
            </w:pPr>
            <w:r>
              <w:rPr>
                <w:rFonts w:hint="eastAsia" w:cs="Times New Roman"/>
                <w:sz w:val="21"/>
                <w:szCs w:val="21"/>
              </w:rPr>
              <w:t>秋的N次方</w:t>
            </w:r>
          </w:p>
        </w:tc>
        <w:tc>
          <w:tcPr>
            <w:tcW w:w="468" w:type="pct"/>
            <w:vAlign w:val="center"/>
          </w:tcPr>
          <w:p w14:paraId="01C97F37">
            <w:pPr>
              <w:spacing w:line="240" w:lineRule="auto"/>
              <w:ind w:firstLine="0" w:firstLineChars="0"/>
              <w:jc w:val="center"/>
              <w:rPr>
                <w:rFonts w:cs="Times New Roman"/>
                <w:sz w:val="21"/>
                <w:szCs w:val="21"/>
              </w:rPr>
            </w:pPr>
            <w:r>
              <w:rPr>
                <w:rFonts w:hint="eastAsia" w:cs="Times New Roman"/>
                <w:sz w:val="21"/>
                <w:szCs w:val="21"/>
              </w:rPr>
              <w:t>上阮路与下阮路交叉口东南侧，原化工厂地块</w:t>
            </w:r>
          </w:p>
        </w:tc>
        <w:tc>
          <w:tcPr>
            <w:tcW w:w="275" w:type="pct"/>
            <w:vAlign w:val="center"/>
          </w:tcPr>
          <w:p w14:paraId="2A221B5A">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79801247">
            <w:pPr>
              <w:spacing w:line="240" w:lineRule="auto"/>
              <w:ind w:firstLine="0" w:firstLineChars="0"/>
              <w:jc w:val="center"/>
              <w:rPr>
                <w:rFonts w:cs="Times New Roman"/>
                <w:sz w:val="21"/>
                <w:szCs w:val="21"/>
              </w:rPr>
            </w:pPr>
            <w:r>
              <w:rPr>
                <w:rFonts w:hint="eastAsia" w:cs="Times New Roman"/>
                <w:sz w:val="21"/>
                <w:szCs w:val="21"/>
              </w:rPr>
              <w:t>占地面积约80亩，建设用地24.8亩</w:t>
            </w:r>
          </w:p>
        </w:tc>
        <w:tc>
          <w:tcPr>
            <w:tcW w:w="406" w:type="pct"/>
            <w:vAlign w:val="center"/>
          </w:tcPr>
          <w:p w14:paraId="414A22AE">
            <w:pPr>
              <w:spacing w:line="240" w:lineRule="auto"/>
              <w:ind w:firstLine="0" w:firstLineChars="0"/>
              <w:jc w:val="center"/>
              <w:rPr>
                <w:rFonts w:cs="Times New Roman"/>
                <w:sz w:val="21"/>
                <w:szCs w:val="21"/>
              </w:rPr>
            </w:pPr>
            <w:r>
              <w:rPr>
                <w:rFonts w:hint="eastAsia" w:cs="Times New Roman"/>
                <w:sz w:val="21"/>
                <w:szCs w:val="21"/>
              </w:rPr>
              <w:t>主题酒店、一级驿站</w:t>
            </w:r>
          </w:p>
        </w:tc>
        <w:tc>
          <w:tcPr>
            <w:tcW w:w="2068" w:type="pct"/>
            <w:vAlign w:val="center"/>
          </w:tcPr>
          <w:p w14:paraId="542154D6">
            <w:pPr>
              <w:spacing w:line="240" w:lineRule="auto"/>
              <w:ind w:firstLine="0" w:firstLineChars="0"/>
              <w:rPr>
                <w:rFonts w:cs="Times New Roman"/>
                <w:sz w:val="21"/>
                <w:szCs w:val="21"/>
              </w:rPr>
            </w:pPr>
            <w:r>
              <w:rPr>
                <w:rFonts w:hint="eastAsia" w:cs="Times New Roman"/>
                <w:sz w:val="21"/>
                <w:szCs w:val="21"/>
              </w:rPr>
              <w:t>规划在化工厂地块，利用集装箱打造一处工业风创意酒店，并开辟一处作为多功能服务站，按一级驿站标准建设，配备咖啡厅、自行车租赁、旅游厕所、自驾车洗车、保养、维修等功能。咖啡厅可依托上阮村丰富的蔬果资源，提供水果鸡尾酒、水果三明治、蔬果沙拉等特色餐饮；旅游厕所可以水果硬糖为设计灵感，采用可调光彩色玻璃，每到夜晚就会照亮四周，如同精灵手里发光的“水果硬糖”</w:t>
            </w:r>
          </w:p>
        </w:tc>
        <w:tc>
          <w:tcPr>
            <w:tcW w:w="527" w:type="pct"/>
            <w:vAlign w:val="center"/>
          </w:tcPr>
          <w:p w14:paraId="1DC0779A">
            <w:pPr>
              <w:spacing w:line="240" w:lineRule="auto"/>
              <w:ind w:firstLine="0" w:firstLineChars="0"/>
              <w:rPr>
                <w:rFonts w:cs="Times New Roman"/>
                <w:sz w:val="21"/>
                <w:szCs w:val="21"/>
              </w:rPr>
            </w:pPr>
            <w:r>
              <w:rPr>
                <w:rFonts w:hint="eastAsia" w:cs="Times New Roman"/>
                <w:sz w:val="21"/>
                <w:szCs w:val="21"/>
              </w:rPr>
              <w:t>集装箱创意酒店、咖啡厅、水果硬糖主题旅游公厕、骑行服务处、自驾车服务处等</w:t>
            </w:r>
          </w:p>
        </w:tc>
      </w:tr>
      <w:tr w14:paraId="51CF6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9" w:hRule="atLeast"/>
          <w:jc w:val="center"/>
        </w:trPr>
        <w:tc>
          <w:tcPr>
            <w:tcW w:w="182" w:type="pct"/>
            <w:vAlign w:val="center"/>
          </w:tcPr>
          <w:p w14:paraId="04E66C2B">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16D05736">
            <w:pPr>
              <w:spacing w:line="240" w:lineRule="auto"/>
              <w:ind w:firstLine="0" w:firstLineChars="0"/>
              <w:jc w:val="center"/>
              <w:rPr>
                <w:rFonts w:cs="Times New Roman"/>
                <w:sz w:val="21"/>
                <w:szCs w:val="21"/>
              </w:rPr>
            </w:pPr>
          </w:p>
        </w:tc>
        <w:tc>
          <w:tcPr>
            <w:tcW w:w="396" w:type="pct"/>
            <w:vAlign w:val="center"/>
          </w:tcPr>
          <w:p w14:paraId="51AE5ED3">
            <w:pPr>
              <w:spacing w:line="240" w:lineRule="auto"/>
              <w:ind w:firstLine="0" w:firstLineChars="0"/>
              <w:jc w:val="center"/>
              <w:rPr>
                <w:rFonts w:cs="Times New Roman"/>
                <w:sz w:val="21"/>
                <w:szCs w:val="21"/>
              </w:rPr>
            </w:pPr>
            <w:r>
              <w:rPr>
                <w:rFonts w:hint="eastAsia" w:cs="Times New Roman"/>
                <w:sz w:val="21"/>
                <w:szCs w:val="21"/>
              </w:rPr>
              <w:t>天心菜园</w:t>
            </w:r>
          </w:p>
        </w:tc>
        <w:tc>
          <w:tcPr>
            <w:tcW w:w="468" w:type="pct"/>
            <w:vAlign w:val="center"/>
          </w:tcPr>
          <w:p w14:paraId="2978A4F0">
            <w:pPr>
              <w:spacing w:line="240" w:lineRule="auto"/>
              <w:ind w:firstLine="0" w:firstLineChars="0"/>
              <w:jc w:val="center"/>
              <w:rPr>
                <w:rFonts w:cs="Times New Roman"/>
                <w:sz w:val="21"/>
                <w:szCs w:val="21"/>
              </w:rPr>
            </w:pPr>
            <w:r>
              <w:rPr>
                <w:rFonts w:hint="eastAsia" w:cs="Times New Roman"/>
                <w:sz w:val="21"/>
                <w:szCs w:val="21"/>
              </w:rPr>
              <w:t>上阮村南部，原华东风情玫瑰园</w:t>
            </w:r>
          </w:p>
        </w:tc>
        <w:tc>
          <w:tcPr>
            <w:tcW w:w="275" w:type="pct"/>
            <w:vAlign w:val="center"/>
          </w:tcPr>
          <w:p w14:paraId="145C4E54">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34359667">
            <w:pPr>
              <w:spacing w:line="240" w:lineRule="auto"/>
              <w:ind w:firstLine="0" w:firstLineChars="0"/>
              <w:jc w:val="center"/>
              <w:rPr>
                <w:rFonts w:cs="Times New Roman"/>
                <w:sz w:val="21"/>
                <w:szCs w:val="21"/>
              </w:rPr>
            </w:pPr>
            <w:r>
              <w:rPr>
                <w:rFonts w:hint="eastAsia" w:cs="Times New Roman"/>
                <w:sz w:val="21"/>
                <w:szCs w:val="21"/>
              </w:rPr>
              <w:t>占地面积约646亩，建设用地23.9亩</w:t>
            </w:r>
          </w:p>
        </w:tc>
        <w:tc>
          <w:tcPr>
            <w:tcW w:w="406" w:type="pct"/>
            <w:vAlign w:val="center"/>
          </w:tcPr>
          <w:p w14:paraId="06D7B581">
            <w:pPr>
              <w:spacing w:line="240" w:lineRule="auto"/>
              <w:ind w:firstLine="0" w:firstLineChars="0"/>
              <w:jc w:val="center"/>
              <w:rPr>
                <w:rFonts w:cs="Times New Roman"/>
                <w:sz w:val="21"/>
                <w:szCs w:val="21"/>
              </w:rPr>
            </w:pPr>
            <w:r>
              <w:rPr>
                <w:rFonts w:hint="eastAsia" w:cs="Times New Roman"/>
                <w:sz w:val="21"/>
                <w:szCs w:val="21"/>
              </w:rPr>
              <w:t>蔬菜亲子农园</w:t>
            </w:r>
          </w:p>
        </w:tc>
        <w:tc>
          <w:tcPr>
            <w:tcW w:w="2068" w:type="pct"/>
            <w:vAlign w:val="center"/>
          </w:tcPr>
          <w:p w14:paraId="1C5ABF4D">
            <w:pPr>
              <w:spacing w:line="240" w:lineRule="auto"/>
              <w:ind w:firstLine="0" w:firstLineChars="0"/>
              <w:rPr>
                <w:rFonts w:cs="Times New Roman"/>
                <w:sz w:val="21"/>
                <w:szCs w:val="21"/>
              </w:rPr>
            </w:pPr>
            <w:r>
              <w:rPr>
                <w:rFonts w:hint="eastAsia" w:cs="Times New Roman"/>
                <w:sz w:val="21"/>
                <w:szCs w:val="21"/>
              </w:rPr>
              <w:t>原华东风情玫瑰园是以玫瑰为主的花卉主题园区，建设有小型儿童游乐场、玫瑰花海长廊等设施，目前因经营问题闲置，规划对其重新利用。一是依托现代化农业设施，发展高品质有机蔬菜种植，打造南京“菜篮子”。二是用生态的方式将农业融入景观，让农园也能富有美感与生态价值，打造可食地景。三是完善儿童游乐设施及其他配套服务设施，开展草坪野餐、烧烤、露营、音乐会、田园集市、蔬菜认养等田园亲子活动</w:t>
            </w:r>
          </w:p>
        </w:tc>
        <w:tc>
          <w:tcPr>
            <w:tcW w:w="527" w:type="pct"/>
            <w:vAlign w:val="center"/>
          </w:tcPr>
          <w:p w14:paraId="6069B19B">
            <w:pPr>
              <w:spacing w:line="240" w:lineRule="auto"/>
              <w:ind w:firstLine="0" w:firstLineChars="0"/>
              <w:rPr>
                <w:rFonts w:cs="Times New Roman"/>
                <w:sz w:val="21"/>
                <w:szCs w:val="21"/>
              </w:rPr>
            </w:pPr>
            <w:r>
              <w:rPr>
                <w:rFonts w:hint="eastAsia" w:cs="Times New Roman"/>
                <w:sz w:val="21"/>
                <w:szCs w:val="21"/>
              </w:rPr>
              <w:t>大草坪、蔬菜花园、蔬菜长廊、认养菜园、儿童游乐场、现代化蔬菜种植大棚等</w:t>
            </w:r>
          </w:p>
        </w:tc>
      </w:tr>
      <w:tr w14:paraId="5E3A5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9" w:hRule="atLeast"/>
          <w:jc w:val="center"/>
        </w:trPr>
        <w:tc>
          <w:tcPr>
            <w:tcW w:w="182" w:type="pct"/>
            <w:vAlign w:val="center"/>
          </w:tcPr>
          <w:p w14:paraId="1E022722">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53A3F447">
            <w:pPr>
              <w:spacing w:line="240" w:lineRule="auto"/>
              <w:ind w:firstLine="0" w:firstLineChars="0"/>
              <w:jc w:val="center"/>
              <w:rPr>
                <w:rFonts w:cs="Times New Roman"/>
                <w:sz w:val="21"/>
                <w:szCs w:val="21"/>
              </w:rPr>
            </w:pPr>
          </w:p>
        </w:tc>
        <w:tc>
          <w:tcPr>
            <w:tcW w:w="396" w:type="pct"/>
            <w:vAlign w:val="center"/>
          </w:tcPr>
          <w:p w14:paraId="53DF3915">
            <w:pPr>
              <w:spacing w:line="240" w:lineRule="auto"/>
              <w:ind w:firstLine="0" w:firstLineChars="0"/>
              <w:jc w:val="center"/>
              <w:rPr>
                <w:rFonts w:cs="Times New Roman"/>
                <w:sz w:val="21"/>
                <w:szCs w:val="21"/>
              </w:rPr>
            </w:pPr>
            <w:r>
              <w:rPr>
                <w:rFonts w:hint="eastAsia" w:cs="Times New Roman"/>
                <w:sz w:val="21"/>
                <w:szCs w:val="21"/>
              </w:rPr>
              <w:t>竹里·追光</w:t>
            </w:r>
          </w:p>
        </w:tc>
        <w:tc>
          <w:tcPr>
            <w:tcW w:w="468" w:type="pct"/>
            <w:vAlign w:val="center"/>
          </w:tcPr>
          <w:p w14:paraId="359DCD0C">
            <w:pPr>
              <w:spacing w:line="240" w:lineRule="auto"/>
              <w:ind w:firstLine="0" w:firstLineChars="0"/>
              <w:jc w:val="center"/>
              <w:rPr>
                <w:rFonts w:cs="Times New Roman"/>
                <w:sz w:val="21"/>
                <w:szCs w:val="21"/>
              </w:rPr>
            </w:pPr>
            <w:r>
              <w:rPr>
                <w:rFonts w:hint="eastAsia" w:cs="Times New Roman"/>
                <w:sz w:val="21"/>
                <w:szCs w:val="21"/>
              </w:rPr>
              <w:t>方山水库北侧，原竹棵自然村</w:t>
            </w:r>
          </w:p>
        </w:tc>
        <w:tc>
          <w:tcPr>
            <w:tcW w:w="275" w:type="pct"/>
            <w:vAlign w:val="center"/>
          </w:tcPr>
          <w:p w14:paraId="01D006DA">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24A3833B">
            <w:pPr>
              <w:spacing w:line="240" w:lineRule="auto"/>
              <w:ind w:firstLine="0" w:firstLineChars="0"/>
              <w:jc w:val="center"/>
              <w:rPr>
                <w:rFonts w:cs="Times New Roman"/>
                <w:sz w:val="21"/>
                <w:szCs w:val="21"/>
              </w:rPr>
            </w:pPr>
            <w:r>
              <w:rPr>
                <w:rFonts w:hint="eastAsia" w:cs="Times New Roman"/>
                <w:sz w:val="21"/>
                <w:szCs w:val="21"/>
              </w:rPr>
              <w:t>占地面积约411亩，建设用地59.4亩</w:t>
            </w:r>
          </w:p>
        </w:tc>
        <w:tc>
          <w:tcPr>
            <w:tcW w:w="406" w:type="pct"/>
            <w:vAlign w:val="center"/>
          </w:tcPr>
          <w:p w14:paraId="2FEE4474">
            <w:pPr>
              <w:spacing w:line="240" w:lineRule="auto"/>
              <w:ind w:firstLine="0" w:firstLineChars="0"/>
              <w:jc w:val="center"/>
              <w:rPr>
                <w:rFonts w:cs="Times New Roman"/>
                <w:sz w:val="21"/>
                <w:szCs w:val="21"/>
              </w:rPr>
            </w:pPr>
            <w:r>
              <w:rPr>
                <w:rFonts w:hint="eastAsia" w:cs="Times New Roman"/>
                <w:sz w:val="21"/>
                <w:szCs w:val="21"/>
              </w:rPr>
              <w:t>竹海夜游特色村</w:t>
            </w:r>
          </w:p>
        </w:tc>
        <w:tc>
          <w:tcPr>
            <w:tcW w:w="2068" w:type="pct"/>
            <w:vAlign w:val="center"/>
          </w:tcPr>
          <w:p w14:paraId="62C4F4B3">
            <w:pPr>
              <w:spacing w:line="240" w:lineRule="auto"/>
              <w:ind w:firstLine="0" w:firstLineChars="0"/>
              <w:rPr>
                <w:rFonts w:cs="Times New Roman"/>
                <w:sz w:val="21"/>
                <w:szCs w:val="21"/>
              </w:rPr>
            </w:pPr>
            <w:r>
              <w:rPr>
                <w:rFonts w:hint="eastAsia" w:cs="Times New Roman"/>
                <w:sz w:val="21"/>
                <w:szCs w:val="21"/>
              </w:rPr>
              <w:t>竹棵自然村位于方山水库北岸，风景优美，距离薛埠镇区仅5分钟车程。规划依托村庄打造以竹为主题的特色旅游村。引进栽种各类具有观赏价值的竹子，运用竹工艺品、大型竹装置艺术、灯光系统等，打造竹子夜游产品</w:t>
            </w:r>
          </w:p>
        </w:tc>
        <w:tc>
          <w:tcPr>
            <w:tcW w:w="527" w:type="pct"/>
            <w:vAlign w:val="center"/>
          </w:tcPr>
          <w:p w14:paraId="38EC59B5">
            <w:pPr>
              <w:spacing w:line="240" w:lineRule="auto"/>
              <w:ind w:firstLine="0" w:firstLineChars="0"/>
              <w:rPr>
                <w:rFonts w:cs="Times New Roman"/>
                <w:sz w:val="21"/>
                <w:szCs w:val="21"/>
              </w:rPr>
            </w:pPr>
            <w:r>
              <w:rPr>
                <w:rFonts w:hint="eastAsia" w:cs="Times New Roman"/>
                <w:sz w:val="21"/>
                <w:szCs w:val="21"/>
              </w:rPr>
              <w:t>竹海景观营造、民居改造、大型竹装置艺术、竹景观小品、夜游灯光系统、水幕电影等</w:t>
            </w:r>
          </w:p>
        </w:tc>
      </w:tr>
      <w:tr w14:paraId="11317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7F2AC046">
            <w:pPr>
              <w:pStyle w:val="39"/>
              <w:numPr>
                <w:ilvl w:val="0"/>
                <w:numId w:val="9"/>
              </w:numPr>
              <w:spacing w:line="240" w:lineRule="auto"/>
              <w:ind w:firstLineChars="0"/>
              <w:jc w:val="center"/>
              <w:rPr>
                <w:rFonts w:cs="Times New Roman"/>
                <w:sz w:val="21"/>
                <w:szCs w:val="21"/>
              </w:rPr>
            </w:pPr>
          </w:p>
        </w:tc>
        <w:tc>
          <w:tcPr>
            <w:tcW w:w="285" w:type="pct"/>
            <w:vMerge w:val="continue"/>
            <w:vAlign w:val="center"/>
          </w:tcPr>
          <w:p w14:paraId="261F37DD">
            <w:pPr>
              <w:spacing w:line="240" w:lineRule="auto"/>
              <w:ind w:firstLine="0" w:firstLineChars="0"/>
              <w:jc w:val="center"/>
              <w:rPr>
                <w:rFonts w:cs="Times New Roman"/>
                <w:sz w:val="21"/>
                <w:szCs w:val="21"/>
              </w:rPr>
            </w:pPr>
          </w:p>
        </w:tc>
        <w:tc>
          <w:tcPr>
            <w:tcW w:w="396" w:type="pct"/>
            <w:vAlign w:val="center"/>
          </w:tcPr>
          <w:p w14:paraId="16AEEBA2">
            <w:pPr>
              <w:spacing w:line="240" w:lineRule="auto"/>
              <w:ind w:firstLine="0" w:firstLineChars="0"/>
              <w:jc w:val="center"/>
              <w:rPr>
                <w:rFonts w:cs="Times New Roman"/>
                <w:sz w:val="21"/>
                <w:szCs w:val="21"/>
              </w:rPr>
            </w:pPr>
            <w:r>
              <w:rPr>
                <w:rFonts w:hint="eastAsia" w:cs="Times New Roman"/>
                <w:sz w:val="21"/>
                <w:szCs w:val="21"/>
              </w:rPr>
              <w:t>果乡·拾忆</w:t>
            </w:r>
          </w:p>
        </w:tc>
        <w:tc>
          <w:tcPr>
            <w:tcW w:w="468" w:type="pct"/>
            <w:vAlign w:val="center"/>
          </w:tcPr>
          <w:p w14:paraId="4F92713B">
            <w:pPr>
              <w:spacing w:line="240" w:lineRule="auto"/>
              <w:ind w:firstLine="0" w:firstLineChars="0"/>
              <w:jc w:val="center"/>
              <w:rPr>
                <w:rFonts w:cs="Times New Roman"/>
                <w:sz w:val="21"/>
                <w:szCs w:val="21"/>
              </w:rPr>
            </w:pPr>
            <w:r>
              <w:rPr>
                <w:rFonts w:hint="eastAsia" w:cs="Times New Roman"/>
                <w:sz w:val="21"/>
                <w:szCs w:val="21"/>
              </w:rPr>
              <w:t>上阮村旧村至尚之源农庄</w:t>
            </w:r>
          </w:p>
        </w:tc>
        <w:tc>
          <w:tcPr>
            <w:tcW w:w="275" w:type="pct"/>
            <w:vAlign w:val="center"/>
          </w:tcPr>
          <w:p w14:paraId="400EB3EF">
            <w:pPr>
              <w:spacing w:line="240" w:lineRule="auto"/>
              <w:ind w:firstLine="0" w:firstLineChars="0"/>
              <w:jc w:val="center"/>
              <w:rPr>
                <w:rFonts w:cs="Times New Roman"/>
                <w:sz w:val="21"/>
                <w:szCs w:val="21"/>
              </w:rPr>
            </w:pPr>
            <w:r>
              <w:rPr>
                <w:rFonts w:hint="eastAsia" w:cs="Times New Roman"/>
                <w:sz w:val="21"/>
                <w:szCs w:val="21"/>
              </w:rPr>
              <w:t>规划改造</w:t>
            </w:r>
          </w:p>
        </w:tc>
        <w:tc>
          <w:tcPr>
            <w:tcW w:w="391" w:type="pct"/>
            <w:vAlign w:val="center"/>
          </w:tcPr>
          <w:p w14:paraId="0F19A6F4">
            <w:pPr>
              <w:spacing w:line="240" w:lineRule="auto"/>
              <w:ind w:firstLine="0" w:firstLineChars="0"/>
              <w:jc w:val="center"/>
              <w:rPr>
                <w:rFonts w:cs="Times New Roman"/>
                <w:sz w:val="21"/>
                <w:szCs w:val="21"/>
              </w:rPr>
            </w:pPr>
            <w:r>
              <w:rPr>
                <w:rFonts w:hint="eastAsia" w:cs="Times New Roman"/>
                <w:sz w:val="21"/>
                <w:szCs w:val="21"/>
              </w:rPr>
              <w:t>占地面积约576.2亩，建设用地106.5亩</w:t>
            </w:r>
          </w:p>
        </w:tc>
        <w:tc>
          <w:tcPr>
            <w:tcW w:w="406" w:type="pct"/>
            <w:vAlign w:val="center"/>
          </w:tcPr>
          <w:p w14:paraId="66268AEC">
            <w:pPr>
              <w:spacing w:line="240" w:lineRule="auto"/>
              <w:ind w:firstLine="0" w:firstLineChars="0"/>
              <w:jc w:val="center"/>
              <w:rPr>
                <w:rFonts w:cs="Times New Roman"/>
                <w:sz w:val="21"/>
                <w:szCs w:val="21"/>
              </w:rPr>
            </w:pPr>
            <w:r>
              <w:rPr>
                <w:rFonts w:hint="eastAsia" w:cs="Times New Roman"/>
                <w:sz w:val="21"/>
                <w:szCs w:val="21"/>
              </w:rPr>
              <w:t>自然城南部区块综合服务基地</w:t>
            </w:r>
          </w:p>
        </w:tc>
        <w:tc>
          <w:tcPr>
            <w:tcW w:w="2068" w:type="pct"/>
            <w:vAlign w:val="center"/>
          </w:tcPr>
          <w:p w14:paraId="6FAC66FC">
            <w:pPr>
              <w:spacing w:line="240" w:lineRule="auto"/>
              <w:ind w:firstLine="0" w:firstLineChars="0"/>
              <w:rPr>
                <w:rFonts w:cs="Times New Roman"/>
                <w:sz w:val="21"/>
                <w:szCs w:val="21"/>
              </w:rPr>
            </w:pPr>
            <w:r>
              <w:rPr>
                <w:rFonts w:hint="eastAsia" w:cs="Times New Roman"/>
                <w:sz w:val="21"/>
                <w:szCs w:val="21"/>
              </w:rPr>
              <w:t>围绕上阮村游客服务中心，依托上阮村美丽乡村建设，进一步提升上阮村闲置民房与尚之源闲置农庄改造，打造乡村文化礼堂、驿站、餐厅、民宿等配套设施，服务于自然城南部区块</w:t>
            </w:r>
          </w:p>
        </w:tc>
        <w:tc>
          <w:tcPr>
            <w:tcW w:w="527" w:type="pct"/>
            <w:vAlign w:val="center"/>
          </w:tcPr>
          <w:p w14:paraId="43F7B6ED">
            <w:pPr>
              <w:spacing w:line="240" w:lineRule="auto"/>
              <w:ind w:firstLine="0" w:firstLineChars="0"/>
              <w:rPr>
                <w:rFonts w:cs="Times New Roman"/>
                <w:sz w:val="21"/>
                <w:szCs w:val="21"/>
              </w:rPr>
            </w:pPr>
            <w:r>
              <w:rPr>
                <w:rFonts w:hint="eastAsia" w:cs="Times New Roman"/>
                <w:sz w:val="21"/>
                <w:szCs w:val="21"/>
              </w:rPr>
              <w:t>民居改造、旅游配套服务设施等</w:t>
            </w:r>
          </w:p>
        </w:tc>
      </w:tr>
      <w:tr w14:paraId="50C50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 w:type="pct"/>
            <w:vAlign w:val="center"/>
          </w:tcPr>
          <w:p w14:paraId="310DC7A3">
            <w:pPr>
              <w:pStyle w:val="39"/>
              <w:numPr>
                <w:ilvl w:val="0"/>
                <w:numId w:val="9"/>
              </w:numPr>
              <w:spacing w:line="240" w:lineRule="auto"/>
              <w:ind w:firstLineChars="0"/>
              <w:jc w:val="center"/>
              <w:rPr>
                <w:rFonts w:cs="Times New Roman"/>
                <w:sz w:val="21"/>
                <w:szCs w:val="21"/>
              </w:rPr>
            </w:pPr>
          </w:p>
        </w:tc>
        <w:tc>
          <w:tcPr>
            <w:tcW w:w="285" w:type="pct"/>
            <w:vAlign w:val="center"/>
          </w:tcPr>
          <w:p w14:paraId="78B095A6">
            <w:pPr>
              <w:spacing w:line="240" w:lineRule="auto"/>
              <w:ind w:firstLine="0" w:firstLineChars="0"/>
              <w:jc w:val="center"/>
              <w:rPr>
                <w:rFonts w:cs="Times New Roman"/>
                <w:sz w:val="21"/>
                <w:szCs w:val="21"/>
              </w:rPr>
            </w:pPr>
            <w:r>
              <w:rPr>
                <w:rFonts w:hint="eastAsia" w:cs="Times New Roman"/>
                <w:sz w:val="21"/>
                <w:szCs w:val="21"/>
              </w:rPr>
              <w:t>农旅融合示范区</w:t>
            </w:r>
          </w:p>
        </w:tc>
        <w:tc>
          <w:tcPr>
            <w:tcW w:w="396" w:type="pct"/>
            <w:vAlign w:val="center"/>
          </w:tcPr>
          <w:p w14:paraId="2969EE8D">
            <w:pPr>
              <w:spacing w:line="240" w:lineRule="auto"/>
              <w:ind w:firstLine="0" w:firstLineChars="0"/>
              <w:jc w:val="center"/>
              <w:rPr>
                <w:rFonts w:cs="Times New Roman"/>
                <w:sz w:val="21"/>
                <w:szCs w:val="21"/>
              </w:rPr>
            </w:pPr>
            <w:r>
              <w:rPr>
                <w:rFonts w:hint="eastAsia" w:cs="Times New Roman"/>
                <w:sz w:val="21"/>
                <w:szCs w:val="21"/>
              </w:rPr>
              <w:t>无为茶田度假村</w:t>
            </w:r>
          </w:p>
        </w:tc>
        <w:tc>
          <w:tcPr>
            <w:tcW w:w="468" w:type="pct"/>
            <w:vAlign w:val="center"/>
          </w:tcPr>
          <w:p w14:paraId="5FF16AC4">
            <w:pPr>
              <w:spacing w:line="240" w:lineRule="auto"/>
              <w:ind w:firstLine="0" w:firstLineChars="0"/>
              <w:jc w:val="center"/>
              <w:rPr>
                <w:rFonts w:cs="Times New Roman"/>
                <w:sz w:val="21"/>
                <w:szCs w:val="21"/>
              </w:rPr>
            </w:pPr>
            <w:r>
              <w:rPr>
                <w:rFonts w:hint="eastAsia" w:cs="Times New Roman"/>
                <w:sz w:val="21"/>
                <w:szCs w:val="21"/>
              </w:rPr>
              <w:t>石马村西南侧</w:t>
            </w:r>
          </w:p>
        </w:tc>
        <w:tc>
          <w:tcPr>
            <w:tcW w:w="275" w:type="pct"/>
            <w:vAlign w:val="center"/>
          </w:tcPr>
          <w:p w14:paraId="4B99CF59">
            <w:pPr>
              <w:spacing w:line="240" w:lineRule="auto"/>
              <w:ind w:firstLine="0" w:firstLineChars="0"/>
              <w:jc w:val="center"/>
              <w:rPr>
                <w:rFonts w:cs="Times New Roman"/>
                <w:sz w:val="21"/>
                <w:szCs w:val="21"/>
              </w:rPr>
            </w:pPr>
            <w:r>
              <w:rPr>
                <w:rFonts w:hint="eastAsia" w:cs="Times New Roman"/>
                <w:sz w:val="21"/>
                <w:szCs w:val="21"/>
              </w:rPr>
              <w:t>规划新建</w:t>
            </w:r>
          </w:p>
        </w:tc>
        <w:tc>
          <w:tcPr>
            <w:tcW w:w="391" w:type="pct"/>
            <w:vAlign w:val="center"/>
          </w:tcPr>
          <w:p w14:paraId="66B4639E">
            <w:pPr>
              <w:spacing w:line="240" w:lineRule="auto"/>
              <w:ind w:firstLine="0" w:firstLineChars="0"/>
              <w:jc w:val="center"/>
              <w:rPr>
                <w:rFonts w:cs="Times New Roman"/>
                <w:sz w:val="21"/>
                <w:szCs w:val="21"/>
              </w:rPr>
            </w:pPr>
            <w:r>
              <w:rPr>
                <w:rFonts w:hint="eastAsia" w:cs="Times New Roman"/>
                <w:sz w:val="21"/>
                <w:szCs w:val="21"/>
              </w:rPr>
              <w:t>总面积约1210.00亩，建设用地17.70亩</w:t>
            </w:r>
          </w:p>
        </w:tc>
        <w:tc>
          <w:tcPr>
            <w:tcW w:w="406" w:type="pct"/>
            <w:vAlign w:val="center"/>
          </w:tcPr>
          <w:p w14:paraId="315E9FE2">
            <w:pPr>
              <w:spacing w:line="240" w:lineRule="auto"/>
              <w:ind w:firstLine="0" w:firstLineChars="0"/>
              <w:jc w:val="center"/>
              <w:rPr>
                <w:rFonts w:cs="Times New Roman"/>
                <w:sz w:val="21"/>
                <w:szCs w:val="21"/>
              </w:rPr>
            </w:pPr>
            <w:r>
              <w:rPr>
                <w:rFonts w:hint="eastAsia" w:cs="Times New Roman"/>
                <w:sz w:val="21"/>
                <w:szCs w:val="21"/>
              </w:rPr>
              <w:t>茶文化体验、茶主题度假、茶田观光游览</w:t>
            </w:r>
          </w:p>
        </w:tc>
        <w:tc>
          <w:tcPr>
            <w:tcW w:w="2068" w:type="pct"/>
            <w:vAlign w:val="center"/>
          </w:tcPr>
          <w:p w14:paraId="162861C4">
            <w:pPr>
              <w:spacing w:line="240" w:lineRule="auto"/>
              <w:ind w:firstLine="0" w:firstLineChars="0"/>
              <w:rPr>
                <w:rFonts w:cs="Times New Roman"/>
                <w:sz w:val="21"/>
                <w:szCs w:val="21"/>
              </w:rPr>
            </w:pPr>
            <w:r>
              <w:rPr>
                <w:rFonts w:hint="eastAsia" w:cs="Times New Roman"/>
                <w:sz w:val="21"/>
                <w:szCs w:val="21"/>
              </w:rPr>
              <w:t>以茶田为景观基底，以道家“清净无为”思想为主题，建设融文化体验、休闲度假、旅游观光功能的精品度假村。无为茶田度假村以茶文化为内涵，追求“与茶结缘，与茶会友，与茶传情”，为都市人群打造一处茶主题休闲度假基地</w:t>
            </w:r>
          </w:p>
        </w:tc>
        <w:tc>
          <w:tcPr>
            <w:tcW w:w="527" w:type="pct"/>
            <w:vAlign w:val="center"/>
          </w:tcPr>
          <w:p w14:paraId="263B6CAE">
            <w:pPr>
              <w:spacing w:line="240" w:lineRule="auto"/>
              <w:ind w:firstLine="0" w:firstLineChars="0"/>
              <w:rPr>
                <w:rFonts w:cs="Times New Roman"/>
                <w:sz w:val="21"/>
                <w:szCs w:val="21"/>
              </w:rPr>
            </w:pPr>
            <w:r>
              <w:rPr>
                <w:rFonts w:hint="eastAsia" w:cs="Times New Roman"/>
                <w:sz w:val="21"/>
                <w:szCs w:val="21"/>
              </w:rPr>
              <w:t>茶主题精品酒店、茶田帐篷客、三才杯广场、茶味斋、品闲茶社等</w:t>
            </w:r>
          </w:p>
        </w:tc>
      </w:tr>
      <w:bookmarkEnd w:id="51"/>
    </w:tbl>
    <w:p w14:paraId="317DA62E">
      <w:pPr>
        <w:ind w:firstLine="0" w:firstLineChars="0"/>
        <w:sectPr>
          <w:pgSz w:w="16838" w:h="11906" w:orient="landscape"/>
          <w:pgMar w:top="1417" w:right="1440" w:bottom="1417" w:left="1440" w:header="851" w:footer="992" w:gutter="0"/>
          <w:cols w:space="425" w:num="1"/>
          <w:docGrid w:type="lines" w:linePitch="326" w:charSpace="0"/>
        </w:sectPr>
      </w:pPr>
    </w:p>
    <w:p w14:paraId="3C5CF878">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2.1.1</w:t>
      </w:r>
      <w:r>
        <w:rPr>
          <w:rFonts w:hint="eastAsia" w:eastAsia="方正楷体_GBK" w:cs="Times New Roman"/>
          <w:b/>
          <w:bCs/>
          <w:szCs w:val="28"/>
          <w14:ligatures w14:val="none"/>
        </w:rPr>
        <w:t>1景观规划</w:t>
      </w:r>
    </w:p>
    <w:p w14:paraId="55B4F18E">
      <w:pPr>
        <w:ind w:firstLine="0" w:firstLineChars="0"/>
        <w:outlineLvl w:val="3"/>
      </w:pPr>
      <w:r>
        <w:rPr>
          <w:rFonts w:hint="eastAsia"/>
        </w:rPr>
        <w:t>2.1.</w:t>
      </w:r>
      <w:r>
        <w:t>1</w:t>
      </w:r>
      <w:r>
        <w:rPr>
          <w:rFonts w:hint="eastAsia"/>
        </w:rPr>
        <w:t>1.</w:t>
      </w:r>
      <w:r>
        <w:t>1</w:t>
      </w:r>
      <w:r>
        <w:rPr>
          <w:rFonts w:hint="eastAsia"/>
        </w:rPr>
        <w:t>山水景观</w:t>
      </w:r>
    </w:p>
    <w:p w14:paraId="19A3A5E3">
      <w:pPr>
        <w:ind w:firstLine="480"/>
      </w:pPr>
      <w:r>
        <w:rPr>
          <w:rFonts w:hint="eastAsia"/>
        </w:rPr>
        <w:t>严格控制山地开发建设，维护原有山体轮廓的完整性。注重林相保护，提升山林整体景观风貌。</w:t>
      </w:r>
    </w:p>
    <w:p w14:paraId="361FAC03">
      <w:pPr>
        <w:ind w:firstLine="480"/>
      </w:pPr>
      <w:r>
        <w:rPr>
          <w:rFonts w:hint="eastAsia"/>
        </w:rPr>
        <w:t>加强水库、河道沿线滨水景观建设，结合游赏需求，打造滨水湿地空间，植入游憩休闲节点，形成丰富的滨水休闲空间。</w:t>
      </w:r>
    </w:p>
    <w:p w14:paraId="7816D1EB">
      <w:pPr>
        <w:ind w:firstLine="480"/>
      </w:pPr>
      <w:r>
        <w:rPr>
          <w:rFonts w:hint="eastAsia"/>
        </w:rPr>
        <w:t>严格控制观景视廊，尤其是茅东水库、新浮水库、东进水库等重要节点至茅山顶宫的视线廊道，合理引导廊道内的建筑高度和绿化景观营造，维护良好的视觉景观风貌（附图29）。</w:t>
      </w:r>
    </w:p>
    <w:p w14:paraId="1E80149E">
      <w:pPr>
        <w:ind w:firstLine="0" w:firstLineChars="0"/>
        <w:outlineLvl w:val="3"/>
      </w:pPr>
      <w:r>
        <w:rPr>
          <w:rFonts w:hint="eastAsia"/>
        </w:rPr>
        <w:t>2.1.</w:t>
      </w:r>
      <w:r>
        <w:t>1</w:t>
      </w:r>
      <w:r>
        <w:rPr>
          <w:rFonts w:hint="eastAsia"/>
        </w:rPr>
        <w:t>1.</w:t>
      </w:r>
      <w:r>
        <w:t>2</w:t>
      </w:r>
      <w:r>
        <w:rPr>
          <w:rFonts w:hint="eastAsia"/>
        </w:rPr>
        <w:t>田园景观</w:t>
      </w:r>
    </w:p>
    <w:p w14:paraId="32A3A8C6">
      <w:pPr>
        <w:ind w:firstLine="480"/>
      </w:pPr>
      <w:r>
        <w:rPr>
          <w:rFonts w:hint="eastAsia"/>
        </w:rPr>
        <w:t>东部特色田园体验区和南部国家农业公园区加强大地景观营造，大力发展茶叶、苗木、林果等当地特色作物种植，打造季节性农业观赏景观，引入绿色农业和有机农业种植，塑造具有自然生态特色的大地景观。</w:t>
      </w:r>
    </w:p>
    <w:p w14:paraId="4B8E7052">
      <w:pPr>
        <w:ind w:firstLine="0" w:firstLineChars="0"/>
        <w:outlineLvl w:val="3"/>
      </w:pPr>
      <w:r>
        <w:rPr>
          <w:rFonts w:hint="eastAsia"/>
        </w:rPr>
        <w:t>2.1.</w:t>
      </w:r>
      <w:r>
        <w:t>1</w:t>
      </w:r>
      <w:r>
        <w:rPr>
          <w:rFonts w:hint="eastAsia"/>
        </w:rPr>
        <w:t>1.</w:t>
      </w:r>
      <w:r>
        <w:t>3</w:t>
      </w:r>
      <w:r>
        <w:rPr>
          <w:rFonts w:hint="eastAsia"/>
        </w:rPr>
        <w:t>建筑景观</w:t>
      </w:r>
    </w:p>
    <w:p w14:paraId="3277E311">
      <w:pPr>
        <w:ind w:firstLine="480"/>
      </w:pPr>
      <w:r>
        <w:rPr>
          <w:rFonts w:hint="eastAsia"/>
        </w:rPr>
        <w:t>度假区内建筑布局应与周边山水自然环境相融合，总体采用“隐”的手法，严格控制容积率、建筑高度和建筑体量，建筑宜以低层和多层建筑为主，体量宜小巧。建筑风格宜以中式风格为主，建筑色彩以黑、白、灰、原木色等淡雅色系为主，与茅山整体风貌相协调。建筑材质建议采用砖、夯土、石、木、竹、草等与山水环境相融合的材质，突出自然性与地域性。建筑形态要素宜以坡屋顶为主，便于协调与山体的关系。</w:t>
      </w:r>
    </w:p>
    <w:p w14:paraId="3C4EBE85">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2.1.1</w:t>
      </w:r>
      <w:r>
        <w:rPr>
          <w:rFonts w:hint="eastAsia" w:eastAsia="方正楷体_GBK" w:cs="Times New Roman"/>
          <w:b/>
          <w:bCs/>
          <w:szCs w:val="28"/>
          <w14:ligatures w14:val="none"/>
        </w:rPr>
        <w:t>2环境保护规划</w:t>
      </w:r>
    </w:p>
    <w:p w14:paraId="33EFC8C3">
      <w:pPr>
        <w:ind w:firstLine="480"/>
      </w:pPr>
      <w:r>
        <w:rPr>
          <w:rFonts w:hint="eastAsia"/>
        </w:rPr>
        <w:t>（1）环境保护目标</w:t>
      </w:r>
    </w:p>
    <w:p w14:paraId="10F5AF85">
      <w:pPr>
        <w:ind w:firstLine="480"/>
      </w:pPr>
      <w:r>
        <w:rPr>
          <w:rFonts w:hint="eastAsia"/>
        </w:rPr>
        <w:t>近期，全面推进生态环境建设，构筑生态旅游、生态产业、生态人居及其它生态环境体系，建成“蓝色”水网和“绿色”林网相互融合、渗透的生态安全格局；促进度假区经济、社会和生态环境协调发展，初步形成循环经济、生态社会、生态环境相互促进的良性发展态势。</w:t>
      </w:r>
    </w:p>
    <w:p w14:paraId="3C5B2A27">
      <w:pPr>
        <w:ind w:firstLine="480"/>
      </w:pPr>
      <w:r>
        <w:rPr>
          <w:rFonts w:hint="eastAsia"/>
        </w:rPr>
        <w:t>远期继续推向内涵深化阶段，度假区经济、社会和生态环境建设步入良性发展轨道，整体生态环境质量优良；以绿色生态空间间隔、开敞式的空间格局逐步形成，形成生态景观和谐优美的人居环境和产业环境。</w:t>
      </w:r>
    </w:p>
    <w:p w14:paraId="106CF3C9">
      <w:pPr>
        <w:ind w:firstLine="480"/>
      </w:pPr>
      <w:r>
        <w:rPr>
          <w:rFonts w:hint="eastAsia"/>
        </w:rPr>
        <w:t>（2）环境保护规划</w:t>
      </w:r>
    </w:p>
    <w:p w14:paraId="3ED122C9">
      <w:pPr>
        <w:ind w:firstLine="480"/>
        <w:rPr>
          <w:rFonts w:hint="eastAsia" w:ascii="仿宋_GB2312" w:hAnsi="仿宋_GB2312" w:cs="仿宋_GB2312"/>
        </w:rPr>
      </w:pPr>
      <w:r>
        <w:rPr>
          <w:rFonts w:hint="eastAsia"/>
        </w:rPr>
        <w:t>综合利用土地、河流以及其他资源，从生态平衡、可持续发展的角度统一进行用地布局。加强生态基质建设。严格保护茅东山地水源涵养区等重要生态功能区，维护生态基底。沿高速公路、主要河道等加强生态廊道建设。加强生态斑块保护。在西</w:t>
      </w:r>
      <w:r>
        <w:rPr>
          <w:rFonts w:hint="eastAsia" w:ascii="微软雅黑" w:hAnsi="微软雅黑" w:eastAsia="微软雅黑" w:cs="微软雅黑"/>
        </w:rPr>
        <w:t>旸</w:t>
      </w:r>
      <w:r>
        <w:rPr>
          <w:rFonts w:hint="eastAsia" w:ascii="仿宋_GB2312" w:hAnsi="仿宋_GB2312" w:cs="仿宋_GB2312"/>
        </w:rPr>
        <w:t>、茅麓、薛埠以及罗村等水网密集地区，应加强水体及滩地、湿地保护，保持原有生态，起到涵养水土、净化水体、改善环境作用。完善集镇区公共绿地，加强防护林带建设，建设沿河、沿路绿色屏障，提高绿化和植被覆盖率。</w:t>
      </w:r>
    </w:p>
    <w:p w14:paraId="78305EC5">
      <w:pPr>
        <w:ind w:firstLine="480"/>
      </w:pPr>
      <w:r>
        <w:rPr>
          <w:rFonts w:hint="eastAsia"/>
        </w:rPr>
        <w:t>（3）环境综合整治规划</w:t>
      </w:r>
    </w:p>
    <w:p w14:paraId="72B09F07">
      <w:pPr>
        <w:ind w:firstLine="480"/>
      </w:pPr>
      <w:bookmarkStart w:id="52" w:name="_Hlk172191051"/>
      <w:r>
        <w:rPr>
          <w:rFonts w:hint="eastAsia"/>
        </w:rPr>
        <w:t>严格控制污水未经处理直接排入区内河湖、沟渠，以区内新浮水库、区外茅东水库、东进水库以及小型景观河塘等为重点，排查水体富营养化、藻类密集区域，积极实施生态清淤、截污、绿化和景观为一体的综合整治。</w:t>
      </w:r>
    </w:p>
    <w:p w14:paraId="7CD1CC4C">
      <w:pPr>
        <w:ind w:firstLine="480"/>
      </w:pPr>
      <w:r>
        <w:rPr>
          <w:rFonts w:hint="eastAsia"/>
        </w:rPr>
        <w:t>加强茅山旅游度假区污水治理，区内居民生活污水、游客游览过程中产生的污水接管进常州市金坛区茅东污水处理厂处理。进一步加强污水处理设施运维管理，加强污水处理设施出水水质监管。同时，通过防洪闸、排涝泵站的调度，对度假区内的部分水体适时进行引水活水，改善水质。</w:t>
      </w:r>
    </w:p>
    <w:p w14:paraId="17976A16">
      <w:pPr>
        <w:ind w:firstLine="480"/>
      </w:pPr>
      <w:r>
        <w:rPr>
          <w:rFonts w:hint="eastAsia"/>
        </w:rPr>
        <w:t>调节茅山旅游度假区内燃料结构，一律使用清洁能源。度假区内的公共交通工具（观光游览车、大巴车等）全部使用电能驱动；积极控制餐饮油烟废气，采用高效机械排风设施和油烟净化设施等方式；加强绿化和生态保护措施，充分利用树木、植被等对烟尘、粉尘的阻挡、吸收和过滤等作用。</w:t>
      </w:r>
    </w:p>
    <w:p w14:paraId="26CD85D1">
      <w:pPr>
        <w:ind w:firstLine="480"/>
      </w:pPr>
      <w:r>
        <w:rPr>
          <w:rFonts w:hint="eastAsia"/>
        </w:rPr>
        <w:t>严格控制餐饮娱乐噪声，对噪声大的娱乐项目和地区设置绿化隔离带；结合实际情况，对声环境有特殊要求的区域禁止机动车辆进入；加强电瓶车、自行车的使用，尽量减少交通噪声。</w:t>
      </w:r>
    </w:p>
    <w:p w14:paraId="359362C4">
      <w:pPr>
        <w:ind w:firstLine="480"/>
      </w:pPr>
      <w:r>
        <w:rPr>
          <w:rFonts w:hint="eastAsia"/>
        </w:rPr>
        <w:t>强化茅山旅游度假区内固体废弃物的收集、转运。对游客丢弃的垃圾实行分类收集，集中处理措施；废物统一收集后一律外运处理。</w:t>
      </w:r>
    </w:p>
    <w:bookmarkEnd w:id="52"/>
    <w:p w14:paraId="7240C9C0">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2.1.1</w:t>
      </w:r>
      <w:r>
        <w:rPr>
          <w:rFonts w:hint="eastAsia" w:eastAsia="方正楷体_GBK" w:cs="Times New Roman"/>
          <w:b/>
          <w:bCs/>
          <w:szCs w:val="28"/>
          <w14:ligatures w14:val="none"/>
        </w:rPr>
        <w:t>3历史文化遗产保护规划</w:t>
      </w:r>
    </w:p>
    <w:p w14:paraId="3A88AEB4">
      <w:pPr>
        <w:ind w:firstLine="480"/>
      </w:pPr>
      <w:r>
        <w:rPr>
          <w:rFonts w:hint="eastAsia"/>
        </w:rPr>
        <w:t>按照《中华人民共和国文物保护法》《江苏省文物保护条例》等相关法律法规要求，依据《金坛区文物保护单位保护规划》落实保护范围和建设控制地带，严格保护各级文物保护单位，评价范围内涉及3处全国重点文物保护单位、2处市级文物保护单位，详见表1.</w:t>
      </w:r>
      <w:r>
        <w:t>8</w:t>
      </w:r>
      <w:r>
        <w:rPr>
          <w:rFonts w:hint="eastAsia"/>
        </w:rPr>
        <w:t>-</w:t>
      </w:r>
      <w:r>
        <w:t>4</w:t>
      </w:r>
      <w:r>
        <w:rPr>
          <w:rFonts w:hint="eastAsia"/>
        </w:rPr>
        <w:t>。</w:t>
      </w:r>
    </w:p>
    <w:p w14:paraId="28A31538">
      <w:pPr>
        <w:pStyle w:val="3"/>
        <w:ind w:firstLine="0" w:firstLineChars="0"/>
        <w:rPr>
          <w:rFonts w:cs="Times New Roman"/>
        </w:rPr>
      </w:pPr>
      <w:bookmarkStart w:id="53" w:name="_Toc217294038"/>
      <w:r>
        <w:rPr>
          <w:rFonts w:cs="Times New Roman"/>
        </w:rPr>
        <w:t>2.</w:t>
      </w:r>
      <w:r>
        <w:rPr>
          <w:rFonts w:hint="eastAsia" w:cs="Times New Roman"/>
        </w:rPr>
        <w:t>2规划环评与规划全程互动情况</w:t>
      </w:r>
      <w:bookmarkEnd w:id="53"/>
    </w:p>
    <w:p w14:paraId="1371D96B">
      <w:pPr>
        <w:ind w:firstLine="480"/>
      </w:pPr>
      <w:r>
        <w:rPr>
          <w:rFonts w:hint="eastAsia"/>
        </w:rPr>
        <w:t>按照规划环评“全过程互动”原则，在规划环评编制过程中，环评单位与规划编制单位持续保持沟通，及时将评价成果反馈给规划编制单位，规划单位对规划进行了优化调整和完善，具体见表2.2-1。</w:t>
      </w:r>
    </w:p>
    <w:p w14:paraId="11AE89B5">
      <w:pPr>
        <w:pStyle w:val="45"/>
        <w:rPr>
          <w:rFonts w:cs="Times New Roman"/>
        </w:rPr>
      </w:pPr>
      <w:r>
        <w:rPr>
          <w:rFonts w:hint="eastAsia" w:cs="Times New Roman"/>
        </w:rPr>
        <w:t>表</w:t>
      </w:r>
      <w:r>
        <w:rPr>
          <w:rFonts w:cs="Times New Roman"/>
        </w:rPr>
        <w:t>2.</w:t>
      </w:r>
      <w:r>
        <w:rPr>
          <w:rFonts w:hint="eastAsia" w:cs="Times New Roman"/>
        </w:rPr>
        <w:t xml:space="preserve">2-1 </w:t>
      </w:r>
      <w:r>
        <w:rPr>
          <w:rFonts w:cs="Times New Roman"/>
        </w:rPr>
        <w:t xml:space="preserve"> </w:t>
      </w:r>
      <w:r>
        <w:rPr>
          <w:rFonts w:hint="eastAsia" w:cs="Times New Roman"/>
        </w:rPr>
        <w:t>规划环评与规划互动情况一览表</w:t>
      </w:r>
    </w:p>
    <w:tbl>
      <w:tblPr>
        <w:tblStyle w:val="26"/>
        <w:tblW w:w="503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1352"/>
        <w:gridCol w:w="2622"/>
        <w:gridCol w:w="2896"/>
        <w:gridCol w:w="1183"/>
      </w:tblGrid>
      <w:tr w14:paraId="243C4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11" w:type="pct"/>
            <w:vAlign w:val="center"/>
          </w:tcPr>
          <w:p w14:paraId="6FE5A231">
            <w:pPr>
              <w:spacing w:line="240" w:lineRule="auto"/>
              <w:ind w:firstLine="0" w:firstLineChars="0"/>
              <w:jc w:val="center"/>
              <w:rPr>
                <w:b/>
                <w:bCs/>
                <w:sz w:val="21"/>
                <w:szCs w:val="21"/>
              </w:rPr>
            </w:pPr>
            <w:r>
              <w:rPr>
                <w:rFonts w:hint="eastAsia"/>
                <w:b/>
                <w:bCs/>
                <w:sz w:val="21"/>
                <w:szCs w:val="21"/>
              </w:rPr>
              <w:t>序号</w:t>
            </w:r>
          </w:p>
        </w:tc>
        <w:tc>
          <w:tcPr>
            <w:tcW w:w="787" w:type="pct"/>
            <w:vAlign w:val="center"/>
          </w:tcPr>
          <w:p w14:paraId="578C2FE7">
            <w:pPr>
              <w:spacing w:line="240" w:lineRule="auto"/>
              <w:ind w:firstLine="0" w:firstLineChars="0"/>
              <w:jc w:val="center"/>
              <w:rPr>
                <w:b/>
                <w:bCs/>
                <w:sz w:val="21"/>
                <w:szCs w:val="21"/>
              </w:rPr>
            </w:pPr>
            <w:r>
              <w:rPr>
                <w:rFonts w:hint="eastAsia"/>
                <w:b/>
                <w:bCs/>
                <w:sz w:val="21"/>
                <w:szCs w:val="21"/>
              </w:rPr>
              <w:t>类型</w:t>
            </w:r>
          </w:p>
        </w:tc>
        <w:tc>
          <w:tcPr>
            <w:tcW w:w="1526" w:type="pct"/>
            <w:vAlign w:val="center"/>
          </w:tcPr>
          <w:p w14:paraId="3816A5BB">
            <w:pPr>
              <w:spacing w:line="240" w:lineRule="auto"/>
              <w:ind w:firstLine="0" w:firstLineChars="0"/>
              <w:jc w:val="center"/>
              <w:rPr>
                <w:b/>
                <w:bCs/>
                <w:sz w:val="21"/>
                <w:szCs w:val="21"/>
              </w:rPr>
            </w:pPr>
            <w:r>
              <w:rPr>
                <w:rFonts w:hint="eastAsia"/>
                <w:b/>
                <w:bCs/>
                <w:sz w:val="21"/>
                <w:szCs w:val="21"/>
              </w:rPr>
              <w:t>原规划内容</w:t>
            </w:r>
          </w:p>
        </w:tc>
        <w:tc>
          <w:tcPr>
            <w:tcW w:w="1685" w:type="pct"/>
            <w:vAlign w:val="center"/>
          </w:tcPr>
          <w:p w14:paraId="57E0D797">
            <w:pPr>
              <w:spacing w:line="240" w:lineRule="auto"/>
              <w:ind w:firstLine="0" w:firstLineChars="0"/>
              <w:jc w:val="center"/>
              <w:rPr>
                <w:b/>
                <w:bCs/>
                <w:sz w:val="21"/>
                <w:szCs w:val="21"/>
              </w:rPr>
            </w:pPr>
            <w:r>
              <w:rPr>
                <w:rFonts w:hint="eastAsia"/>
                <w:b/>
                <w:bCs/>
                <w:sz w:val="21"/>
                <w:szCs w:val="21"/>
              </w:rPr>
              <w:t>优化调整建议</w:t>
            </w:r>
          </w:p>
        </w:tc>
        <w:tc>
          <w:tcPr>
            <w:tcW w:w="688" w:type="pct"/>
            <w:vAlign w:val="center"/>
          </w:tcPr>
          <w:p w14:paraId="67BBA1D5">
            <w:pPr>
              <w:spacing w:line="240" w:lineRule="auto"/>
              <w:ind w:firstLine="0" w:firstLineChars="0"/>
              <w:jc w:val="center"/>
              <w:rPr>
                <w:b/>
                <w:bCs/>
                <w:sz w:val="21"/>
                <w:szCs w:val="21"/>
              </w:rPr>
            </w:pPr>
            <w:r>
              <w:rPr>
                <w:rFonts w:hint="eastAsia"/>
                <w:b/>
                <w:bCs/>
                <w:sz w:val="21"/>
                <w:szCs w:val="21"/>
              </w:rPr>
              <w:t>采纳情况</w:t>
            </w:r>
          </w:p>
        </w:tc>
      </w:tr>
      <w:tr w14:paraId="1A70D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8" w:hRule="atLeast"/>
        </w:trPr>
        <w:tc>
          <w:tcPr>
            <w:tcW w:w="311" w:type="pct"/>
            <w:vAlign w:val="center"/>
          </w:tcPr>
          <w:p w14:paraId="37FE81EB">
            <w:pPr>
              <w:spacing w:line="240" w:lineRule="auto"/>
              <w:ind w:firstLine="0" w:firstLineChars="0"/>
              <w:jc w:val="center"/>
              <w:rPr>
                <w:sz w:val="21"/>
                <w:szCs w:val="21"/>
              </w:rPr>
            </w:pPr>
            <w:r>
              <w:rPr>
                <w:rFonts w:hint="eastAsia"/>
                <w:sz w:val="21"/>
                <w:szCs w:val="21"/>
              </w:rPr>
              <w:t>1</w:t>
            </w:r>
          </w:p>
        </w:tc>
        <w:tc>
          <w:tcPr>
            <w:tcW w:w="787" w:type="pct"/>
            <w:vAlign w:val="center"/>
          </w:tcPr>
          <w:p w14:paraId="39CAF8ED">
            <w:pPr>
              <w:spacing w:line="240" w:lineRule="auto"/>
              <w:ind w:firstLine="0" w:firstLineChars="0"/>
              <w:jc w:val="center"/>
              <w:rPr>
                <w:sz w:val="21"/>
                <w:szCs w:val="21"/>
              </w:rPr>
            </w:pPr>
            <w:r>
              <w:rPr>
                <w:rFonts w:hint="eastAsia"/>
                <w:sz w:val="21"/>
                <w:szCs w:val="21"/>
              </w:rPr>
              <w:t>规划期限</w:t>
            </w:r>
          </w:p>
        </w:tc>
        <w:tc>
          <w:tcPr>
            <w:tcW w:w="1526" w:type="pct"/>
            <w:vAlign w:val="center"/>
          </w:tcPr>
          <w:p w14:paraId="3ABC6CCC">
            <w:pPr>
              <w:spacing w:line="240" w:lineRule="auto"/>
              <w:ind w:firstLine="0" w:firstLineChars="0"/>
              <w:rPr>
                <w:sz w:val="21"/>
                <w:szCs w:val="21"/>
              </w:rPr>
            </w:pPr>
            <w:r>
              <w:rPr>
                <w:rFonts w:hint="eastAsia"/>
                <w:sz w:val="21"/>
                <w:szCs w:val="21"/>
              </w:rPr>
              <w:t>原规划仅设置一个规划期，即规划远期（2035年），未考虑实际建设情况开展中、远期划分</w:t>
            </w:r>
          </w:p>
        </w:tc>
        <w:tc>
          <w:tcPr>
            <w:tcW w:w="1685" w:type="pct"/>
            <w:vAlign w:val="center"/>
          </w:tcPr>
          <w:p w14:paraId="69A699A3">
            <w:pPr>
              <w:spacing w:line="240" w:lineRule="auto"/>
              <w:ind w:firstLine="0" w:firstLineChars="0"/>
              <w:jc w:val="center"/>
              <w:rPr>
                <w:sz w:val="21"/>
                <w:szCs w:val="21"/>
              </w:rPr>
            </w:pPr>
            <w:r>
              <w:rPr>
                <w:rFonts w:hint="eastAsia"/>
                <w:sz w:val="21"/>
                <w:szCs w:val="21"/>
              </w:rPr>
              <w:t>鉴于本次规划时限较长（2024—2035年），考虑度假区发展已进入巩固阶段等因素，建议对规划时期进行近、远期划分</w:t>
            </w:r>
          </w:p>
        </w:tc>
        <w:tc>
          <w:tcPr>
            <w:tcW w:w="688" w:type="pct"/>
            <w:vAlign w:val="center"/>
          </w:tcPr>
          <w:p w14:paraId="3760DFA7">
            <w:pPr>
              <w:spacing w:line="240" w:lineRule="auto"/>
              <w:ind w:firstLine="0" w:firstLineChars="0"/>
              <w:jc w:val="center"/>
              <w:rPr>
                <w:sz w:val="21"/>
                <w:szCs w:val="21"/>
              </w:rPr>
            </w:pPr>
            <w:r>
              <w:rPr>
                <w:rFonts w:hint="eastAsia"/>
                <w:sz w:val="21"/>
                <w:szCs w:val="21"/>
              </w:rPr>
              <w:t>已采纳</w:t>
            </w:r>
          </w:p>
        </w:tc>
      </w:tr>
      <w:tr w14:paraId="20BAF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1" w:hRule="atLeast"/>
        </w:trPr>
        <w:tc>
          <w:tcPr>
            <w:tcW w:w="311" w:type="pct"/>
            <w:vAlign w:val="center"/>
          </w:tcPr>
          <w:p w14:paraId="74FD849D">
            <w:pPr>
              <w:spacing w:line="240" w:lineRule="auto"/>
              <w:ind w:firstLine="0" w:firstLineChars="0"/>
              <w:jc w:val="center"/>
              <w:rPr>
                <w:sz w:val="21"/>
                <w:szCs w:val="21"/>
              </w:rPr>
            </w:pPr>
            <w:r>
              <w:rPr>
                <w:rFonts w:hint="eastAsia"/>
                <w:sz w:val="21"/>
                <w:szCs w:val="21"/>
              </w:rPr>
              <w:t>2</w:t>
            </w:r>
          </w:p>
        </w:tc>
        <w:tc>
          <w:tcPr>
            <w:tcW w:w="787" w:type="pct"/>
            <w:vAlign w:val="center"/>
          </w:tcPr>
          <w:p w14:paraId="3CD5819B">
            <w:pPr>
              <w:spacing w:line="240" w:lineRule="auto"/>
              <w:ind w:firstLine="0" w:firstLineChars="0"/>
              <w:jc w:val="center"/>
              <w:rPr>
                <w:sz w:val="21"/>
                <w:szCs w:val="21"/>
              </w:rPr>
            </w:pPr>
            <w:r>
              <w:rPr>
                <w:rFonts w:hint="eastAsia"/>
                <w:sz w:val="21"/>
                <w:szCs w:val="21"/>
              </w:rPr>
              <w:t>规划规模</w:t>
            </w:r>
          </w:p>
        </w:tc>
        <w:tc>
          <w:tcPr>
            <w:tcW w:w="1526" w:type="pct"/>
            <w:vAlign w:val="center"/>
          </w:tcPr>
          <w:p w14:paraId="65D9F9D6">
            <w:pPr>
              <w:spacing w:line="240" w:lineRule="auto"/>
              <w:ind w:firstLine="0" w:firstLineChars="0"/>
              <w:rPr>
                <w:sz w:val="21"/>
                <w:szCs w:val="21"/>
              </w:rPr>
            </w:pPr>
            <w:r>
              <w:rPr>
                <w:rFonts w:hint="eastAsia"/>
                <w:sz w:val="21"/>
                <w:szCs w:val="21"/>
              </w:rPr>
              <w:t>原规划仅考虑规划期限内游客规模，未考虑区域经济和村庄发展带来的人口规模变化</w:t>
            </w:r>
          </w:p>
        </w:tc>
        <w:tc>
          <w:tcPr>
            <w:tcW w:w="1685" w:type="pct"/>
            <w:vAlign w:val="center"/>
          </w:tcPr>
          <w:p w14:paraId="76528179">
            <w:pPr>
              <w:spacing w:line="240" w:lineRule="auto"/>
              <w:ind w:firstLine="0" w:firstLineChars="0"/>
              <w:jc w:val="center"/>
              <w:rPr>
                <w:sz w:val="21"/>
                <w:szCs w:val="21"/>
              </w:rPr>
            </w:pPr>
            <w:r>
              <w:rPr>
                <w:rFonts w:hint="eastAsia"/>
                <w:sz w:val="21"/>
                <w:szCs w:val="21"/>
              </w:rPr>
              <w:t>根据本轮规划~2030年的优化提升期，~2035年的高效运营期分阶段进行人口规模增长预测</w:t>
            </w:r>
          </w:p>
        </w:tc>
        <w:tc>
          <w:tcPr>
            <w:tcW w:w="688" w:type="pct"/>
            <w:vAlign w:val="center"/>
          </w:tcPr>
          <w:p w14:paraId="563DED07">
            <w:pPr>
              <w:spacing w:line="240" w:lineRule="auto"/>
              <w:ind w:firstLine="0" w:firstLineChars="0"/>
              <w:jc w:val="center"/>
              <w:rPr>
                <w:sz w:val="21"/>
                <w:szCs w:val="21"/>
              </w:rPr>
            </w:pPr>
            <w:r>
              <w:rPr>
                <w:rFonts w:hint="eastAsia"/>
                <w:sz w:val="21"/>
                <w:szCs w:val="21"/>
              </w:rPr>
              <w:t>已采纳</w:t>
            </w:r>
          </w:p>
        </w:tc>
      </w:tr>
      <w:tr w14:paraId="1713D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 w:type="pct"/>
            <w:vAlign w:val="center"/>
          </w:tcPr>
          <w:p w14:paraId="3FECEF65">
            <w:pPr>
              <w:spacing w:line="240" w:lineRule="auto"/>
              <w:ind w:firstLine="0" w:firstLineChars="0"/>
              <w:jc w:val="center"/>
              <w:rPr>
                <w:sz w:val="21"/>
                <w:szCs w:val="21"/>
              </w:rPr>
            </w:pPr>
            <w:r>
              <w:rPr>
                <w:rFonts w:hint="eastAsia"/>
                <w:sz w:val="21"/>
                <w:szCs w:val="21"/>
              </w:rPr>
              <w:t>3</w:t>
            </w:r>
          </w:p>
        </w:tc>
        <w:tc>
          <w:tcPr>
            <w:tcW w:w="787" w:type="pct"/>
            <w:vAlign w:val="center"/>
          </w:tcPr>
          <w:p w14:paraId="7FA8D838">
            <w:pPr>
              <w:spacing w:line="240" w:lineRule="auto"/>
              <w:ind w:firstLine="0" w:firstLineChars="0"/>
              <w:jc w:val="center"/>
              <w:rPr>
                <w:sz w:val="21"/>
                <w:szCs w:val="21"/>
              </w:rPr>
            </w:pPr>
            <w:r>
              <w:rPr>
                <w:rFonts w:hint="eastAsia"/>
                <w:sz w:val="21"/>
                <w:szCs w:val="21"/>
              </w:rPr>
              <w:t>规划布局</w:t>
            </w:r>
          </w:p>
        </w:tc>
        <w:tc>
          <w:tcPr>
            <w:tcW w:w="1526" w:type="pct"/>
            <w:vAlign w:val="center"/>
          </w:tcPr>
          <w:p w14:paraId="0B7BD714">
            <w:pPr>
              <w:spacing w:line="240" w:lineRule="auto"/>
              <w:ind w:firstLine="0" w:firstLineChars="0"/>
              <w:jc w:val="center"/>
              <w:rPr>
                <w:sz w:val="21"/>
                <w:szCs w:val="21"/>
              </w:rPr>
            </w:pPr>
            <w:r>
              <w:rPr>
                <w:rFonts w:hint="eastAsia"/>
                <w:sz w:val="21"/>
                <w:szCs w:val="21"/>
              </w:rPr>
              <w:t>本轮规划涉及的部分文化旅游项目地点位于生态保护红线、生态空间管控区域范围</w:t>
            </w:r>
          </w:p>
        </w:tc>
        <w:tc>
          <w:tcPr>
            <w:tcW w:w="1685" w:type="pct"/>
            <w:vAlign w:val="center"/>
          </w:tcPr>
          <w:p w14:paraId="28F6E220">
            <w:pPr>
              <w:spacing w:line="240" w:lineRule="auto"/>
              <w:ind w:firstLine="0" w:firstLineChars="0"/>
              <w:jc w:val="center"/>
              <w:rPr>
                <w:sz w:val="21"/>
                <w:szCs w:val="21"/>
              </w:rPr>
            </w:pPr>
            <w:r>
              <w:rPr>
                <w:rFonts w:hint="eastAsia"/>
                <w:sz w:val="21"/>
                <w:szCs w:val="21"/>
              </w:rPr>
              <w:t>生态空间管控区域应严格执行《江苏省国家级生态保护红线规划》《江苏省生态空间管控区规划》《江苏省生态空间管控区域监督管理办法》等文件的管控要求，在管控要求允许的范围内进行合理的开发建设。</w:t>
            </w:r>
          </w:p>
        </w:tc>
        <w:tc>
          <w:tcPr>
            <w:tcW w:w="688" w:type="pct"/>
            <w:vAlign w:val="center"/>
          </w:tcPr>
          <w:p w14:paraId="224DA085">
            <w:pPr>
              <w:spacing w:line="240" w:lineRule="auto"/>
              <w:ind w:firstLine="0" w:firstLineChars="0"/>
              <w:jc w:val="center"/>
              <w:rPr>
                <w:sz w:val="21"/>
                <w:szCs w:val="21"/>
              </w:rPr>
            </w:pPr>
            <w:r>
              <w:rPr>
                <w:rFonts w:hint="eastAsia"/>
                <w:sz w:val="21"/>
                <w:szCs w:val="21"/>
              </w:rPr>
              <w:t>已采纳</w:t>
            </w:r>
          </w:p>
        </w:tc>
      </w:tr>
      <w:tr w14:paraId="5DE8F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 w:type="pct"/>
            <w:vAlign w:val="center"/>
          </w:tcPr>
          <w:p w14:paraId="706AE776">
            <w:pPr>
              <w:spacing w:line="240" w:lineRule="auto"/>
              <w:ind w:firstLine="0" w:firstLineChars="0"/>
              <w:jc w:val="center"/>
              <w:rPr>
                <w:sz w:val="21"/>
                <w:szCs w:val="21"/>
              </w:rPr>
            </w:pPr>
            <w:r>
              <w:rPr>
                <w:rFonts w:hint="eastAsia"/>
                <w:sz w:val="21"/>
                <w:szCs w:val="21"/>
              </w:rPr>
              <w:t>4</w:t>
            </w:r>
          </w:p>
        </w:tc>
        <w:tc>
          <w:tcPr>
            <w:tcW w:w="787" w:type="pct"/>
            <w:vAlign w:val="center"/>
          </w:tcPr>
          <w:p w14:paraId="503E8D2E">
            <w:pPr>
              <w:spacing w:line="240" w:lineRule="auto"/>
              <w:ind w:firstLine="0" w:firstLineChars="0"/>
              <w:jc w:val="center"/>
              <w:rPr>
                <w:sz w:val="21"/>
                <w:szCs w:val="21"/>
              </w:rPr>
            </w:pPr>
            <w:r>
              <w:rPr>
                <w:rFonts w:hint="eastAsia"/>
                <w:sz w:val="21"/>
                <w:szCs w:val="21"/>
              </w:rPr>
              <w:t>生态环境保护</w:t>
            </w:r>
          </w:p>
        </w:tc>
        <w:tc>
          <w:tcPr>
            <w:tcW w:w="1526" w:type="pct"/>
            <w:vAlign w:val="center"/>
          </w:tcPr>
          <w:p w14:paraId="0ABB0C89">
            <w:pPr>
              <w:spacing w:line="240" w:lineRule="auto"/>
              <w:ind w:firstLine="0" w:firstLineChars="0"/>
              <w:jc w:val="center"/>
              <w:rPr>
                <w:sz w:val="21"/>
                <w:szCs w:val="21"/>
              </w:rPr>
            </w:pPr>
            <w:r>
              <w:rPr>
                <w:rFonts w:hint="eastAsia"/>
                <w:sz w:val="21"/>
                <w:szCs w:val="21"/>
              </w:rPr>
              <w:t>仅对生态环境保护进行了规划</w:t>
            </w:r>
          </w:p>
        </w:tc>
        <w:tc>
          <w:tcPr>
            <w:tcW w:w="1685" w:type="pct"/>
            <w:vAlign w:val="center"/>
          </w:tcPr>
          <w:p w14:paraId="44DC89AF">
            <w:pPr>
              <w:spacing w:line="240" w:lineRule="auto"/>
              <w:ind w:firstLine="0" w:firstLineChars="0"/>
              <w:jc w:val="center"/>
              <w:rPr>
                <w:sz w:val="21"/>
                <w:szCs w:val="21"/>
              </w:rPr>
            </w:pPr>
            <w:r>
              <w:rPr>
                <w:rFonts w:hint="eastAsia"/>
                <w:sz w:val="21"/>
                <w:szCs w:val="21"/>
              </w:rPr>
              <w:t>茅山旅游度假区区域生态环境敏感，规划中应对环境综合内容进行进一步细化，明确相关规划重点措施和要点。</w:t>
            </w:r>
          </w:p>
        </w:tc>
        <w:tc>
          <w:tcPr>
            <w:tcW w:w="688" w:type="pct"/>
            <w:vAlign w:val="center"/>
          </w:tcPr>
          <w:p w14:paraId="5B9AD4F7">
            <w:pPr>
              <w:spacing w:line="240" w:lineRule="auto"/>
              <w:ind w:firstLine="0" w:firstLineChars="0"/>
              <w:jc w:val="center"/>
              <w:rPr>
                <w:sz w:val="21"/>
                <w:szCs w:val="21"/>
              </w:rPr>
            </w:pPr>
            <w:r>
              <w:rPr>
                <w:rFonts w:hint="eastAsia"/>
                <w:sz w:val="21"/>
                <w:szCs w:val="21"/>
              </w:rPr>
              <w:t>已采纳</w:t>
            </w:r>
          </w:p>
        </w:tc>
      </w:tr>
    </w:tbl>
    <w:p w14:paraId="4C9DB321">
      <w:pPr>
        <w:pStyle w:val="3"/>
        <w:ind w:firstLine="0" w:firstLineChars="0"/>
        <w:rPr>
          <w:rFonts w:cs="Times New Roman"/>
        </w:rPr>
      </w:pPr>
      <w:bookmarkStart w:id="54" w:name="_Toc217294039"/>
      <w:r>
        <w:rPr>
          <w:rFonts w:cs="Times New Roman"/>
        </w:rPr>
        <w:t>2.</w:t>
      </w:r>
      <w:r>
        <w:rPr>
          <w:rFonts w:hint="eastAsia" w:cs="Times New Roman"/>
        </w:rPr>
        <w:t>3规划相符性分析</w:t>
      </w:r>
      <w:bookmarkEnd w:id="54"/>
    </w:p>
    <w:p w14:paraId="58EDDC58">
      <w:pPr>
        <w:ind w:firstLine="480"/>
      </w:pPr>
      <w:r>
        <w:rPr>
          <w:rFonts w:hint="eastAsia"/>
        </w:rPr>
        <w:t>与本轮总体发展规划相关的法规、规划、产业政策、环保政策等见表2.3-1。</w:t>
      </w:r>
    </w:p>
    <w:p w14:paraId="382AF044">
      <w:pPr>
        <w:pStyle w:val="45"/>
        <w:rPr>
          <w:rFonts w:cs="Times New Roman"/>
        </w:rPr>
      </w:pPr>
      <w:r>
        <w:rPr>
          <w:rFonts w:hint="eastAsia" w:cs="Times New Roman"/>
        </w:rPr>
        <w:t>表2</w:t>
      </w:r>
      <w:r>
        <w:rPr>
          <w:rFonts w:cs="Times New Roman"/>
        </w:rPr>
        <w:t>.</w:t>
      </w:r>
      <w:r>
        <w:rPr>
          <w:rFonts w:hint="eastAsia" w:cs="Times New Roman"/>
        </w:rPr>
        <w:t>3-1</w:t>
      </w:r>
      <w:r>
        <w:rPr>
          <w:rFonts w:cs="Times New Roman"/>
        </w:rPr>
        <w:t xml:space="preserve">  </w:t>
      </w:r>
      <w:r>
        <w:rPr>
          <w:rFonts w:hint="eastAsia" w:cs="Times New Roman"/>
        </w:rPr>
        <w:t>与本轮总体发展规划相关的规划、法律法规、产业政策汇总表</w:t>
      </w:r>
    </w:p>
    <w:tbl>
      <w:tblPr>
        <w:tblStyle w:val="25"/>
        <w:tblW w:w="51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724"/>
        <w:gridCol w:w="7341"/>
      </w:tblGrid>
      <w:tr w14:paraId="632F0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blHeader/>
          <w:jc w:val="center"/>
        </w:trPr>
        <w:tc>
          <w:tcPr>
            <w:tcW w:w="408" w:type="pct"/>
            <w:vAlign w:val="center"/>
          </w:tcPr>
          <w:p w14:paraId="62502170">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类别</w:t>
            </w:r>
          </w:p>
        </w:tc>
        <w:tc>
          <w:tcPr>
            <w:tcW w:w="412" w:type="pct"/>
            <w:vAlign w:val="center"/>
          </w:tcPr>
          <w:p w14:paraId="371FC37E">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序号</w:t>
            </w:r>
          </w:p>
        </w:tc>
        <w:tc>
          <w:tcPr>
            <w:tcW w:w="4179" w:type="pct"/>
            <w:vAlign w:val="center"/>
          </w:tcPr>
          <w:p w14:paraId="589B91A3">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名称</w:t>
            </w:r>
          </w:p>
        </w:tc>
      </w:tr>
      <w:tr w14:paraId="7B929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restart"/>
            <w:vAlign w:val="center"/>
          </w:tcPr>
          <w:p w14:paraId="1DC8329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区域发展规划</w:t>
            </w:r>
          </w:p>
        </w:tc>
        <w:tc>
          <w:tcPr>
            <w:tcW w:w="412" w:type="pct"/>
            <w:vAlign w:val="center"/>
          </w:tcPr>
          <w:p w14:paraId="2448AE08">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13493C1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《江苏省国民经济和社会发展第十四个五年规划和二〇三五</w:t>
            </w:r>
            <w:r>
              <w:rPr>
                <w:rFonts w:hint="eastAsia" w:ascii="仿宋_GB2312" w:hAnsi="仿宋_GB2312" w:cs="仿宋_GB2312"/>
                <w:sz w:val="21"/>
                <w:szCs w:val="21"/>
                <w14:ligatures w14:val="none"/>
              </w:rPr>
              <w:t>年远景目标纲要》</w:t>
            </w:r>
          </w:p>
        </w:tc>
      </w:tr>
      <w:tr w14:paraId="3677C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408" w:type="pct"/>
            <w:vMerge w:val="continue"/>
            <w:vAlign w:val="center"/>
          </w:tcPr>
          <w:p w14:paraId="41A72792">
            <w:pPr>
              <w:spacing w:line="240" w:lineRule="auto"/>
              <w:ind w:firstLine="0" w:firstLineChars="0"/>
              <w:jc w:val="center"/>
              <w:rPr>
                <w:rFonts w:cs="Times New Roman"/>
                <w:sz w:val="21"/>
                <w:szCs w:val="21"/>
                <w14:ligatures w14:val="none"/>
              </w:rPr>
            </w:pPr>
          </w:p>
        </w:tc>
        <w:tc>
          <w:tcPr>
            <w:tcW w:w="412" w:type="pct"/>
            <w:vAlign w:val="center"/>
          </w:tcPr>
          <w:p w14:paraId="44A5DF49">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2A73C5C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《常州市国民经济和社会发展第十四个五年规划和二〇三五</w:t>
            </w:r>
            <w:r>
              <w:rPr>
                <w:rFonts w:hint="eastAsia" w:ascii="仿宋_GB2312" w:hAnsi="仿宋_GB2312" w:cs="仿宋_GB2312"/>
                <w:sz w:val="21"/>
                <w:szCs w:val="21"/>
                <w14:ligatures w14:val="none"/>
              </w:rPr>
              <w:t>年远景目标纲要》</w:t>
            </w:r>
          </w:p>
        </w:tc>
      </w:tr>
      <w:tr w14:paraId="15903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2B39EF27">
            <w:pPr>
              <w:spacing w:line="240" w:lineRule="auto"/>
              <w:ind w:firstLine="0" w:firstLineChars="0"/>
              <w:jc w:val="center"/>
              <w:rPr>
                <w:rFonts w:cs="Times New Roman"/>
                <w:sz w:val="21"/>
                <w:szCs w:val="21"/>
                <w14:ligatures w14:val="none"/>
              </w:rPr>
            </w:pPr>
          </w:p>
        </w:tc>
        <w:tc>
          <w:tcPr>
            <w:tcW w:w="412" w:type="pct"/>
            <w:vAlign w:val="center"/>
          </w:tcPr>
          <w:p w14:paraId="689879EA">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3C8A028A">
            <w:pPr>
              <w:spacing w:line="240" w:lineRule="auto"/>
              <w:ind w:firstLine="0" w:firstLineChars="0"/>
              <w:jc w:val="center"/>
              <w:rPr>
                <w:rFonts w:hint="eastAsia" w:ascii="仿宋_GB2312" w:hAnsi="仿宋_GB2312" w:cs="仿宋_GB2312"/>
                <w:sz w:val="21"/>
                <w:szCs w:val="21"/>
                <w14:ligatures w14:val="none"/>
              </w:rPr>
            </w:pPr>
            <w:r>
              <w:rPr>
                <w:rFonts w:hint="eastAsia" w:cs="Times New Roman"/>
                <w:sz w:val="21"/>
                <w:szCs w:val="21"/>
                <w14:ligatures w14:val="none"/>
              </w:rPr>
              <w:t>《常州市金坛区国民经济和社会发展第十四个五年规划和二〇三五</w:t>
            </w:r>
            <w:r>
              <w:rPr>
                <w:rFonts w:hint="eastAsia" w:ascii="仿宋_GB2312" w:hAnsi="仿宋_GB2312" w:cs="仿宋_GB2312"/>
                <w:sz w:val="21"/>
                <w:szCs w:val="21"/>
                <w14:ligatures w14:val="none"/>
              </w:rPr>
              <w:t>年远景目标纲要》</w:t>
            </w:r>
          </w:p>
        </w:tc>
      </w:tr>
      <w:tr w14:paraId="58D48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599906A1">
            <w:pPr>
              <w:spacing w:line="240" w:lineRule="auto"/>
              <w:ind w:firstLine="0" w:firstLineChars="0"/>
              <w:jc w:val="center"/>
              <w:rPr>
                <w:rFonts w:cs="Times New Roman"/>
                <w:sz w:val="21"/>
                <w:szCs w:val="21"/>
                <w14:ligatures w14:val="none"/>
              </w:rPr>
            </w:pPr>
          </w:p>
        </w:tc>
        <w:tc>
          <w:tcPr>
            <w:tcW w:w="412" w:type="pct"/>
            <w:vAlign w:val="center"/>
          </w:tcPr>
          <w:p w14:paraId="5EA030B8">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4279E1B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《长江三角洲区域一体化发展规划纲要》</w:t>
            </w:r>
          </w:p>
        </w:tc>
      </w:tr>
      <w:tr w14:paraId="46F62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6D6EBBF3">
            <w:pPr>
              <w:spacing w:line="240" w:lineRule="auto"/>
              <w:ind w:firstLine="0" w:firstLineChars="0"/>
              <w:jc w:val="center"/>
              <w:rPr>
                <w:rFonts w:cs="Times New Roman"/>
                <w:sz w:val="21"/>
                <w:szCs w:val="21"/>
                <w14:ligatures w14:val="none"/>
              </w:rPr>
            </w:pPr>
          </w:p>
        </w:tc>
        <w:tc>
          <w:tcPr>
            <w:tcW w:w="412" w:type="pct"/>
            <w:vAlign w:val="center"/>
          </w:tcPr>
          <w:p w14:paraId="4C2D409A">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7F14405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《江苏省金坛经济开发区薛埠现代产业园/常州市金坛区薛埠产业新镇总体规划（2016—2030）》（2021年修编）</w:t>
            </w:r>
          </w:p>
        </w:tc>
      </w:tr>
      <w:tr w14:paraId="25F72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408" w:type="pct"/>
            <w:vMerge w:val="restart"/>
            <w:vAlign w:val="center"/>
          </w:tcPr>
          <w:p w14:paraId="6CA779B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区域用地规划</w:t>
            </w:r>
          </w:p>
        </w:tc>
        <w:tc>
          <w:tcPr>
            <w:tcW w:w="412" w:type="pct"/>
            <w:vAlign w:val="center"/>
          </w:tcPr>
          <w:p w14:paraId="6FF59A8D">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3C37063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《常州市国土空间总体规划（2021—2035年）》</w:t>
            </w:r>
          </w:p>
        </w:tc>
      </w:tr>
      <w:tr w14:paraId="3005D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15575993">
            <w:pPr>
              <w:spacing w:line="240" w:lineRule="auto"/>
              <w:ind w:firstLine="0" w:firstLineChars="0"/>
              <w:jc w:val="center"/>
              <w:rPr>
                <w:rFonts w:cs="Times New Roman"/>
                <w:sz w:val="21"/>
                <w:szCs w:val="21"/>
                <w14:ligatures w14:val="none"/>
              </w:rPr>
            </w:pPr>
          </w:p>
        </w:tc>
        <w:tc>
          <w:tcPr>
            <w:tcW w:w="412" w:type="pct"/>
            <w:vAlign w:val="center"/>
          </w:tcPr>
          <w:p w14:paraId="53140AEF">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42F444F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《常州市金坛区国土空间总体规划（2021—2035年）》</w:t>
            </w:r>
          </w:p>
        </w:tc>
      </w:tr>
      <w:tr w14:paraId="663AD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restart"/>
            <w:vAlign w:val="center"/>
          </w:tcPr>
          <w:p w14:paraId="6ABFA59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产业相关政策及规划</w:t>
            </w:r>
          </w:p>
        </w:tc>
        <w:tc>
          <w:tcPr>
            <w:tcW w:w="412" w:type="pct"/>
            <w:vAlign w:val="center"/>
          </w:tcPr>
          <w:p w14:paraId="55414609">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4428A47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《国务院关于加快发展旅游业的意见》</w:t>
            </w:r>
          </w:p>
        </w:tc>
      </w:tr>
      <w:tr w14:paraId="244E4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7AF154EF">
            <w:pPr>
              <w:spacing w:line="240" w:lineRule="auto"/>
              <w:ind w:firstLine="0" w:firstLineChars="0"/>
              <w:jc w:val="center"/>
              <w:rPr>
                <w:rFonts w:cs="Times New Roman"/>
                <w:sz w:val="21"/>
                <w:szCs w:val="21"/>
                <w14:ligatures w14:val="none"/>
              </w:rPr>
            </w:pPr>
          </w:p>
        </w:tc>
        <w:tc>
          <w:tcPr>
            <w:tcW w:w="412" w:type="pct"/>
            <w:vAlign w:val="center"/>
          </w:tcPr>
          <w:p w14:paraId="17545A46">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1A17F63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《国务院关于促进旅游业改革发展的若干意见》</w:t>
            </w:r>
          </w:p>
        </w:tc>
      </w:tr>
      <w:tr w14:paraId="28E09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6B29B4D2">
            <w:pPr>
              <w:spacing w:line="240" w:lineRule="auto"/>
              <w:ind w:firstLine="0" w:firstLineChars="0"/>
              <w:jc w:val="center"/>
              <w:rPr>
                <w:rFonts w:cs="Times New Roman"/>
                <w:sz w:val="21"/>
                <w:szCs w:val="21"/>
                <w14:ligatures w14:val="none"/>
              </w:rPr>
            </w:pPr>
          </w:p>
        </w:tc>
        <w:tc>
          <w:tcPr>
            <w:tcW w:w="412" w:type="pct"/>
            <w:vAlign w:val="center"/>
          </w:tcPr>
          <w:p w14:paraId="3A0ABE72">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4938F37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《国务院办公厅关于促进全域旅游发展的指导意见》</w:t>
            </w:r>
          </w:p>
        </w:tc>
      </w:tr>
      <w:tr w14:paraId="64CA7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4A832C88">
            <w:pPr>
              <w:spacing w:line="240" w:lineRule="auto"/>
              <w:ind w:firstLine="0" w:firstLineChars="0"/>
              <w:jc w:val="center"/>
              <w:rPr>
                <w:rFonts w:cs="Times New Roman"/>
                <w:sz w:val="21"/>
                <w:szCs w:val="21"/>
                <w14:ligatures w14:val="none"/>
              </w:rPr>
            </w:pPr>
          </w:p>
        </w:tc>
        <w:tc>
          <w:tcPr>
            <w:tcW w:w="412" w:type="pct"/>
            <w:vAlign w:val="center"/>
          </w:tcPr>
          <w:p w14:paraId="25504901">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140D7EE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《省政府关于推进旅游业供给侧结构性改革促进旅游投资和消费的意见》</w:t>
            </w:r>
          </w:p>
        </w:tc>
      </w:tr>
      <w:tr w14:paraId="577C8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467AC7E3">
            <w:pPr>
              <w:spacing w:line="240" w:lineRule="auto"/>
              <w:ind w:firstLine="0" w:firstLineChars="0"/>
              <w:jc w:val="center"/>
              <w:rPr>
                <w:rFonts w:cs="Times New Roman"/>
                <w:sz w:val="21"/>
                <w:szCs w:val="21"/>
                <w14:ligatures w14:val="none"/>
              </w:rPr>
            </w:pPr>
          </w:p>
        </w:tc>
        <w:tc>
          <w:tcPr>
            <w:tcW w:w="412" w:type="pct"/>
            <w:vAlign w:val="center"/>
          </w:tcPr>
          <w:p w14:paraId="6F532495">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63AF4F2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《“十四五”文化和旅游发展规划》</w:t>
            </w:r>
          </w:p>
        </w:tc>
      </w:tr>
      <w:tr w14:paraId="768CF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5E971D38">
            <w:pPr>
              <w:spacing w:line="240" w:lineRule="auto"/>
              <w:ind w:firstLine="0" w:firstLineChars="0"/>
              <w:jc w:val="center"/>
              <w:rPr>
                <w:rFonts w:cs="Times New Roman"/>
                <w:sz w:val="21"/>
                <w:szCs w:val="21"/>
                <w14:ligatures w14:val="none"/>
              </w:rPr>
            </w:pPr>
          </w:p>
        </w:tc>
        <w:tc>
          <w:tcPr>
            <w:tcW w:w="412" w:type="pct"/>
            <w:vAlign w:val="center"/>
          </w:tcPr>
          <w:p w14:paraId="6648D305">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12D4535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《江苏省“十四五”文化和旅游发展规划》</w:t>
            </w:r>
          </w:p>
        </w:tc>
      </w:tr>
      <w:tr w14:paraId="0D8B1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1A0C578F">
            <w:pPr>
              <w:spacing w:line="240" w:lineRule="auto"/>
              <w:ind w:firstLine="0" w:firstLineChars="0"/>
              <w:jc w:val="center"/>
              <w:rPr>
                <w:rFonts w:cs="Times New Roman"/>
                <w:sz w:val="21"/>
                <w:szCs w:val="21"/>
                <w14:ligatures w14:val="none"/>
              </w:rPr>
            </w:pPr>
          </w:p>
        </w:tc>
        <w:tc>
          <w:tcPr>
            <w:tcW w:w="412" w:type="pct"/>
            <w:vAlign w:val="center"/>
          </w:tcPr>
          <w:p w14:paraId="6687C185">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0117EA7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《常州市“十四五”文化和旅游融合发展规划》</w:t>
            </w:r>
          </w:p>
        </w:tc>
      </w:tr>
      <w:tr w14:paraId="09898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2C255F85">
            <w:pPr>
              <w:spacing w:line="240" w:lineRule="auto"/>
              <w:ind w:firstLine="0" w:firstLineChars="0"/>
              <w:jc w:val="center"/>
              <w:rPr>
                <w:rFonts w:cs="Times New Roman"/>
                <w:sz w:val="21"/>
                <w:szCs w:val="21"/>
                <w14:ligatures w14:val="none"/>
              </w:rPr>
            </w:pPr>
          </w:p>
        </w:tc>
        <w:tc>
          <w:tcPr>
            <w:tcW w:w="412" w:type="pct"/>
            <w:vAlign w:val="center"/>
          </w:tcPr>
          <w:p w14:paraId="30CE3F48">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735E73B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《长江经济带发展负面清单指南（试行，2022年版）》</w:t>
            </w:r>
          </w:p>
        </w:tc>
      </w:tr>
      <w:tr w14:paraId="096A5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7C244B5A">
            <w:pPr>
              <w:spacing w:line="240" w:lineRule="auto"/>
              <w:ind w:firstLine="0" w:firstLineChars="0"/>
              <w:jc w:val="center"/>
              <w:rPr>
                <w:rFonts w:cs="Times New Roman"/>
                <w:sz w:val="21"/>
                <w:szCs w:val="21"/>
                <w14:ligatures w14:val="none"/>
              </w:rPr>
            </w:pPr>
          </w:p>
        </w:tc>
        <w:tc>
          <w:tcPr>
            <w:tcW w:w="412" w:type="pct"/>
            <w:vAlign w:val="center"/>
          </w:tcPr>
          <w:p w14:paraId="176BBA2D">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1AD21B3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《长江经济带发展负面清单指南（试行 2022年版）－江苏省实施细则》</w:t>
            </w:r>
          </w:p>
        </w:tc>
      </w:tr>
      <w:tr w14:paraId="55A3F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50CA626E">
            <w:pPr>
              <w:spacing w:line="240" w:lineRule="auto"/>
              <w:ind w:firstLine="0" w:firstLineChars="0"/>
              <w:jc w:val="center"/>
              <w:rPr>
                <w:rFonts w:cs="Times New Roman"/>
                <w:sz w:val="21"/>
                <w:szCs w:val="21"/>
                <w14:ligatures w14:val="none"/>
              </w:rPr>
            </w:pPr>
          </w:p>
        </w:tc>
        <w:tc>
          <w:tcPr>
            <w:tcW w:w="412" w:type="pct"/>
            <w:vAlign w:val="center"/>
          </w:tcPr>
          <w:p w14:paraId="7F2EE5FB">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4539CE1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《江苏省“十四五”乡村产业发展规划》</w:t>
            </w:r>
          </w:p>
        </w:tc>
      </w:tr>
      <w:tr w14:paraId="36C28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0F5CE7EA">
            <w:pPr>
              <w:spacing w:line="240" w:lineRule="auto"/>
              <w:ind w:firstLine="0" w:firstLineChars="0"/>
              <w:jc w:val="center"/>
              <w:rPr>
                <w:rFonts w:cs="Times New Roman"/>
                <w:sz w:val="21"/>
                <w:szCs w:val="21"/>
                <w14:ligatures w14:val="none"/>
              </w:rPr>
            </w:pPr>
          </w:p>
        </w:tc>
        <w:tc>
          <w:tcPr>
            <w:tcW w:w="412" w:type="pct"/>
            <w:vAlign w:val="center"/>
          </w:tcPr>
          <w:p w14:paraId="7A39C49C">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1538954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《江苏省“十四五”全面推进乡村振兴加快农业农村现代化规划》</w:t>
            </w:r>
          </w:p>
        </w:tc>
      </w:tr>
      <w:tr w14:paraId="0A519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5FAAE233">
            <w:pPr>
              <w:spacing w:line="240" w:lineRule="auto"/>
              <w:ind w:firstLine="0" w:firstLineChars="0"/>
              <w:jc w:val="center"/>
              <w:rPr>
                <w:rFonts w:cs="Times New Roman"/>
                <w:sz w:val="21"/>
                <w:szCs w:val="21"/>
                <w14:ligatures w14:val="none"/>
              </w:rPr>
            </w:pPr>
          </w:p>
        </w:tc>
        <w:tc>
          <w:tcPr>
            <w:tcW w:w="412" w:type="pct"/>
            <w:vAlign w:val="center"/>
          </w:tcPr>
          <w:p w14:paraId="39B4B4FD">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64902E6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《常州市“十四五”农业农村现代化规划》</w:t>
            </w:r>
          </w:p>
        </w:tc>
      </w:tr>
      <w:tr w14:paraId="4411E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771752E4">
            <w:pPr>
              <w:spacing w:line="240" w:lineRule="auto"/>
              <w:ind w:firstLine="0" w:firstLineChars="0"/>
              <w:jc w:val="center"/>
              <w:rPr>
                <w:rFonts w:cs="Times New Roman"/>
                <w:sz w:val="21"/>
                <w:szCs w:val="21"/>
                <w14:ligatures w14:val="none"/>
              </w:rPr>
            </w:pPr>
          </w:p>
        </w:tc>
        <w:tc>
          <w:tcPr>
            <w:tcW w:w="412" w:type="pct"/>
            <w:vAlign w:val="center"/>
          </w:tcPr>
          <w:p w14:paraId="54D3E465">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5FEDE25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《江苏省持续推动文化旅游业高质量发展三年行动计划（2025－2027年）》</w:t>
            </w:r>
          </w:p>
        </w:tc>
      </w:tr>
      <w:tr w14:paraId="6531D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restart"/>
            <w:vAlign w:val="center"/>
          </w:tcPr>
          <w:p w14:paraId="7D7021A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环保相关法规、政策及规划、方案等</w:t>
            </w:r>
          </w:p>
        </w:tc>
        <w:tc>
          <w:tcPr>
            <w:tcW w:w="412" w:type="pct"/>
            <w:vAlign w:val="center"/>
          </w:tcPr>
          <w:p w14:paraId="51C71E84">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5EEA7FB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《太湖流域管理条例》</w:t>
            </w:r>
          </w:p>
        </w:tc>
      </w:tr>
      <w:tr w14:paraId="440A8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43FA5E12">
            <w:pPr>
              <w:spacing w:line="240" w:lineRule="auto"/>
              <w:ind w:firstLine="0" w:firstLineChars="0"/>
              <w:jc w:val="center"/>
              <w:rPr>
                <w:rFonts w:cs="Times New Roman"/>
                <w:sz w:val="21"/>
                <w:szCs w:val="21"/>
                <w14:ligatures w14:val="none"/>
              </w:rPr>
            </w:pPr>
          </w:p>
        </w:tc>
        <w:tc>
          <w:tcPr>
            <w:tcW w:w="412" w:type="pct"/>
            <w:vAlign w:val="center"/>
          </w:tcPr>
          <w:p w14:paraId="76F7A4AA">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1574FC9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《江苏省“十四五”生态环境保护规划》</w:t>
            </w:r>
          </w:p>
        </w:tc>
      </w:tr>
      <w:tr w14:paraId="0E22B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62C80A42">
            <w:pPr>
              <w:spacing w:line="240" w:lineRule="auto"/>
              <w:ind w:firstLine="0" w:firstLineChars="0"/>
              <w:jc w:val="center"/>
              <w:rPr>
                <w:rFonts w:cs="Times New Roman"/>
                <w:sz w:val="21"/>
                <w:szCs w:val="21"/>
                <w14:ligatures w14:val="none"/>
              </w:rPr>
            </w:pPr>
          </w:p>
        </w:tc>
        <w:tc>
          <w:tcPr>
            <w:tcW w:w="412" w:type="pct"/>
            <w:vAlign w:val="center"/>
          </w:tcPr>
          <w:p w14:paraId="2F3E6C41">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08CBD12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《常州市“十四五”生态环境保护规划》</w:t>
            </w:r>
          </w:p>
        </w:tc>
      </w:tr>
      <w:tr w14:paraId="19CDC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65FF6457">
            <w:pPr>
              <w:spacing w:line="240" w:lineRule="auto"/>
              <w:ind w:firstLine="0" w:firstLineChars="0"/>
              <w:jc w:val="center"/>
              <w:rPr>
                <w:rFonts w:cs="Times New Roman"/>
                <w:sz w:val="21"/>
                <w:szCs w:val="21"/>
                <w14:ligatures w14:val="none"/>
              </w:rPr>
            </w:pPr>
          </w:p>
        </w:tc>
        <w:tc>
          <w:tcPr>
            <w:tcW w:w="412" w:type="pct"/>
            <w:vAlign w:val="center"/>
          </w:tcPr>
          <w:p w14:paraId="11B94695">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0BD587F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《常州市金坛区“十四五”生态环境保护规划》</w:t>
            </w:r>
          </w:p>
        </w:tc>
      </w:tr>
      <w:tr w14:paraId="288FB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0749A9CA">
            <w:pPr>
              <w:spacing w:line="240" w:lineRule="auto"/>
              <w:ind w:firstLine="0" w:firstLineChars="0"/>
              <w:jc w:val="center"/>
              <w:rPr>
                <w:rFonts w:cs="Times New Roman"/>
                <w:sz w:val="21"/>
                <w:szCs w:val="21"/>
                <w14:ligatures w14:val="none"/>
              </w:rPr>
            </w:pPr>
          </w:p>
        </w:tc>
        <w:tc>
          <w:tcPr>
            <w:tcW w:w="412" w:type="pct"/>
            <w:vAlign w:val="center"/>
          </w:tcPr>
          <w:p w14:paraId="3003614E">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0CB8CCA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《江苏省太湖水污染防治条例》</w:t>
            </w:r>
          </w:p>
        </w:tc>
      </w:tr>
      <w:tr w14:paraId="49707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2B9C5A3A">
            <w:pPr>
              <w:spacing w:line="240" w:lineRule="auto"/>
              <w:ind w:firstLine="0" w:firstLineChars="0"/>
              <w:jc w:val="center"/>
              <w:rPr>
                <w:rFonts w:cs="Times New Roman"/>
                <w:sz w:val="21"/>
                <w:szCs w:val="21"/>
                <w14:ligatures w14:val="none"/>
              </w:rPr>
            </w:pPr>
          </w:p>
        </w:tc>
        <w:tc>
          <w:tcPr>
            <w:tcW w:w="412" w:type="pct"/>
            <w:vAlign w:val="center"/>
          </w:tcPr>
          <w:p w14:paraId="283E2648">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734F6F5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《常州市水生态环境保护条例》</w:t>
            </w:r>
          </w:p>
        </w:tc>
      </w:tr>
      <w:tr w14:paraId="4D48A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7AFED6FD">
            <w:pPr>
              <w:spacing w:line="240" w:lineRule="auto"/>
              <w:ind w:firstLine="0" w:firstLineChars="0"/>
              <w:jc w:val="center"/>
              <w:rPr>
                <w:rFonts w:cs="Times New Roman"/>
                <w:sz w:val="21"/>
                <w:szCs w:val="21"/>
                <w14:ligatures w14:val="none"/>
              </w:rPr>
            </w:pPr>
          </w:p>
        </w:tc>
        <w:tc>
          <w:tcPr>
            <w:tcW w:w="412" w:type="pct"/>
            <w:vAlign w:val="center"/>
          </w:tcPr>
          <w:p w14:paraId="1D8A965B">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68B6F10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《关于进一步加强生物多样性保护的意见》</w:t>
            </w:r>
          </w:p>
        </w:tc>
      </w:tr>
      <w:tr w14:paraId="489CA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7806BFE4">
            <w:pPr>
              <w:spacing w:line="240" w:lineRule="auto"/>
              <w:ind w:firstLine="0" w:firstLineChars="0"/>
              <w:jc w:val="center"/>
              <w:rPr>
                <w:rFonts w:cs="Times New Roman"/>
                <w:sz w:val="21"/>
                <w:szCs w:val="21"/>
                <w14:ligatures w14:val="none"/>
              </w:rPr>
            </w:pPr>
          </w:p>
        </w:tc>
        <w:tc>
          <w:tcPr>
            <w:tcW w:w="412" w:type="pct"/>
            <w:vAlign w:val="center"/>
          </w:tcPr>
          <w:p w14:paraId="35FC7754">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317AA1C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《江苏省国家级生态保护红线规划》</w:t>
            </w:r>
          </w:p>
        </w:tc>
      </w:tr>
      <w:tr w14:paraId="217BF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3C575452">
            <w:pPr>
              <w:spacing w:line="240" w:lineRule="auto"/>
              <w:ind w:firstLine="0" w:firstLineChars="0"/>
              <w:jc w:val="center"/>
              <w:rPr>
                <w:rFonts w:cs="Times New Roman"/>
                <w:sz w:val="21"/>
                <w:szCs w:val="21"/>
                <w14:ligatures w14:val="none"/>
              </w:rPr>
            </w:pPr>
          </w:p>
        </w:tc>
        <w:tc>
          <w:tcPr>
            <w:tcW w:w="412" w:type="pct"/>
            <w:vAlign w:val="center"/>
          </w:tcPr>
          <w:p w14:paraId="7D4A926C">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30E021C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《江苏省生态空间管控区域规划》</w:t>
            </w:r>
          </w:p>
        </w:tc>
      </w:tr>
      <w:tr w14:paraId="69A5A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2BF1803C">
            <w:pPr>
              <w:spacing w:line="240" w:lineRule="auto"/>
              <w:ind w:firstLine="0" w:firstLineChars="0"/>
              <w:jc w:val="center"/>
              <w:rPr>
                <w:rFonts w:cs="Times New Roman"/>
                <w:sz w:val="21"/>
                <w:szCs w:val="21"/>
                <w14:ligatures w14:val="none"/>
              </w:rPr>
            </w:pPr>
          </w:p>
        </w:tc>
        <w:tc>
          <w:tcPr>
            <w:tcW w:w="412" w:type="pct"/>
            <w:vAlign w:val="center"/>
          </w:tcPr>
          <w:p w14:paraId="6AD1449A">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7941BAB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《关于加强生态保护红线管理的通知（试行）》</w:t>
            </w:r>
          </w:p>
        </w:tc>
      </w:tr>
      <w:tr w14:paraId="01DDB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125CB65C">
            <w:pPr>
              <w:spacing w:line="240" w:lineRule="auto"/>
              <w:ind w:firstLine="0" w:firstLineChars="0"/>
              <w:jc w:val="center"/>
              <w:rPr>
                <w:rFonts w:cs="Times New Roman"/>
                <w:sz w:val="21"/>
                <w:szCs w:val="21"/>
                <w14:ligatures w14:val="none"/>
              </w:rPr>
            </w:pPr>
          </w:p>
        </w:tc>
        <w:tc>
          <w:tcPr>
            <w:tcW w:w="412" w:type="pct"/>
            <w:vAlign w:val="center"/>
          </w:tcPr>
          <w:p w14:paraId="09CC9FEC">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0A1FD29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《关于进一步加强生态保护红线监督管理的通知》</w:t>
            </w:r>
          </w:p>
        </w:tc>
      </w:tr>
      <w:tr w14:paraId="5A07C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30BAEFAE">
            <w:pPr>
              <w:spacing w:line="240" w:lineRule="auto"/>
              <w:ind w:firstLine="0" w:firstLineChars="0"/>
              <w:jc w:val="center"/>
              <w:rPr>
                <w:rFonts w:cs="Times New Roman"/>
                <w:sz w:val="21"/>
                <w:szCs w:val="21"/>
                <w14:ligatures w14:val="none"/>
              </w:rPr>
            </w:pPr>
          </w:p>
        </w:tc>
        <w:tc>
          <w:tcPr>
            <w:tcW w:w="412" w:type="pct"/>
            <w:vAlign w:val="center"/>
          </w:tcPr>
          <w:p w14:paraId="0E89AC33">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529FDDA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《省政府办公厅关于印发江苏省生态空间管控区域监督管理办法的通知》</w:t>
            </w:r>
          </w:p>
        </w:tc>
      </w:tr>
      <w:tr w14:paraId="103C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78111A8D">
            <w:pPr>
              <w:spacing w:line="240" w:lineRule="auto"/>
              <w:ind w:firstLine="0" w:firstLineChars="0"/>
              <w:jc w:val="center"/>
              <w:rPr>
                <w:rFonts w:cs="Times New Roman"/>
                <w:sz w:val="21"/>
                <w:szCs w:val="21"/>
                <w14:ligatures w14:val="none"/>
              </w:rPr>
            </w:pPr>
          </w:p>
        </w:tc>
        <w:tc>
          <w:tcPr>
            <w:tcW w:w="412" w:type="pct"/>
            <w:vAlign w:val="center"/>
          </w:tcPr>
          <w:p w14:paraId="433491C7">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52C9513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《常州市生态空间管控区域监督管理实施细则》</w:t>
            </w:r>
          </w:p>
        </w:tc>
      </w:tr>
      <w:tr w14:paraId="1C027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7DEFCA28">
            <w:pPr>
              <w:spacing w:line="240" w:lineRule="auto"/>
              <w:ind w:firstLine="0" w:firstLineChars="0"/>
              <w:jc w:val="center"/>
              <w:rPr>
                <w:rFonts w:cs="Times New Roman"/>
                <w:sz w:val="21"/>
                <w:szCs w:val="21"/>
                <w14:ligatures w14:val="none"/>
              </w:rPr>
            </w:pPr>
          </w:p>
        </w:tc>
        <w:tc>
          <w:tcPr>
            <w:tcW w:w="412" w:type="pct"/>
            <w:vAlign w:val="center"/>
          </w:tcPr>
          <w:p w14:paraId="732B53C5">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6039947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《国家级自然公园管理办法（试行）》</w:t>
            </w:r>
          </w:p>
        </w:tc>
      </w:tr>
      <w:tr w14:paraId="25BBB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268A7FD9">
            <w:pPr>
              <w:spacing w:line="240" w:lineRule="auto"/>
              <w:ind w:firstLine="0" w:firstLineChars="0"/>
              <w:jc w:val="center"/>
              <w:rPr>
                <w:rFonts w:cs="Times New Roman"/>
                <w:sz w:val="21"/>
                <w:szCs w:val="21"/>
                <w14:ligatures w14:val="none"/>
              </w:rPr>
            </w:pPr>
          </w:p>
        </w:tc>
        <w:tc>
          <w:tcPr>
            <w:tcW w:w="412" w:type="pct"/>
            <w:vAlign w:val="center"/>
          </w:tcPr>
          <w:p w14:paraId="2A576BA5">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76C95B2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《江苏省省级自然公园管理办法（试行）》</w:t>
            </w:r>
          </w:p>
        </w:tc>
      </w:tr>
      <w:tr w14:paraId="7F8E1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2E51086C">
            <w:pPr>
              <w:spacing w:line="240" w:lineRule="auto"/>
              <w:ind w:firstLine="0" w:firstLineChars="0"/>
              <w:jc w:val="center"/>
              <w:rPr>
                <w:rFonts w:cs="Times New Roman"/>
                <w:sz w:val="21"/>
                <w:szCs w:val="21"/>
                <w14:ligatures w14:val="none"/>
              </w:rPr>
            </w:pPr>
          </w:p>
        </w:tc>
        <w:tc>
          <w:tcPr>
            <w:tcW w:w="412" w:type="pct"/>
            <w:vAlign w:val="center"/>
          </w:tcPr>
          <w:p w14:paraId="75BCE981">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6B56E4A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《金坛茅东省级森林公园总体规划（2024-2030年）》</w:t>
            </w:r>
          </w:p>
        </w:tc>
      </w:tr>
      <w:tr w14:paraId="7B08C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08C50471">
            <w:pPr>
              <w:spacing w:line="240" w:lineRule="auto"/>
              <w:ind w:firstLine="0" w:firstLineChars="0"/>
              <w:jc w:val="center"/>
              <w:rPr>
                <w:rFonts w:cs="Times New Roman"/>
                <w:sz w:val="21"/>
                <w:szCs w:val="21"/>
                <w14:ligatures w14:val="none"/>
              </w:rPr>
            </w:pPr>
          </w:p>
        </w:tc>
        <w:tc>
          <w:tcPr>
            <w:tcW w:w="412" w:type="pct"/>
            <w:vAlign w:val="center"/>
          </w:tcPr>
          <w:p w14:paraId="094815C8">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2D784C0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《江苏省风景名胜区管理条例》</w:t>
            </w:r>
          </w:p>
        </w:tc>
      </w:tr>
      <w:tr w14:paraId="7C0B3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1A790236">
            <w:pPr>
              <w:spacing w:line="240" w:lineRule="auto"/>
              <w:ind w:firstLine="0" w:firstLineChars="0"/>
              <w:jc w:val="center"/>
              <w:rPr>
                <w:rFonts w:cs="Times New Roman"/>
                <w:sz w:val="21"/>
                <w:szCs w:val="21"/>
                <w14:ligatures w14:val="none"/>
              </w:rPr>
            </w:pPr>
          </w:p>
        </w:tc>
        <w:tc>
          <w:tcPr>
            <w:tcW w:w="412" w:type="pct"/>
            <w:vAlign w:val="center"/>
          </w:tcPr>
          <w:p w14:paraId="2F569A60">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286D16A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《江苏茅山风景名胜区总体规划（2017-2035年）》</w:t>
            </w:r>
          </w:p>
        </w:tc>
      </w:tr>
      <w:tr w14:paraId="67E6B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56498EA7">
            <w:pPr>
              <w:spacing w:line="240" w:lineRule="auto"/>
              <w:ind w:firstLine="0" w:firstLineChars="0"/>
              <w:jc w:val="center"/>
              <w:rPr>
                <w:rFonts w:cs="Times New Roman"/>
                <w:sz w:val="21"/>
                <w:szCs w:val="21"/>
                <w14:ligatures w14:val="none"/>
              </w:rPr>
            </w:pPr>
          </w:p>
        </w:tc>
        <w:tc>
          <w:tcPr>
            <w:tcW w:w="412" w:type="pct"/>
            <w:vAlign w:val="center"/>
          </w:tcPr>
          <w:p w14:paraId="5EF28C16">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19F505A8">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《江苏省湿地保护条例》</w:t>
            </w:r>
          </w:p>
        </w:tc>
      </w:tr>
      <w:tr w14:paraId="12AC6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187F568A">
            <w:pPr>
              <w:spacing w:line="240" w:lineRule="auto"/>
              <w:ind w:firstLine="0" w:firstLineChars="0"/>
              <w:jc w:val="center"/>
              <w:rPr>
                <w:rFonts w:cs="Times New Roman"/>
                <w:sz w:val="21"/>
                <w:szCs w:val="21"/>
                <w14:ligatures w14:val="none"/>
              </w:rPr>
            </w:pPr>
          </w:p>
        </w:tc>
        <w:tc>
          <w:tcPr>
            <w:tcW w:w="412" w:type="pct"/>
            <w:vAlign w:val="center"/>
          </w:tcPr>
          <w:p w14:paraId="6827A719">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5442686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《江苏省自然生态保护修复行为负面清单（2025年版）》</w:t>
            </w:r>
          </w:p>
        </w:tc>
      </w:tr>
      <w:tr w14:paraId="598A4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7B088DEC">
            <w:pPr>
              <w:spacing w:line="240" w:lineRule="auto"/>
              <w:ind w:firstLine="0" w:firstLineChars="0"/>
              <w:jc w:val="center"/>
              <w:rPr>
                <w:rFonts w:cs="Times New Roman"/>
                <w:sz w:val="21"/>
                <w:szCs w:val="21"/>
                <w14:ligatures w14:val="none"/>
              </w:rPr>
            </w:pPr>
          </w:p>
        </w:tc>
        <w:tc>
          <w:tcPr>
            <w:tcW w:w="412" w:type="pct"/>
            <w:vAlign w:val="center"/>
          </w:tcPr>
          <w:p w14:paraId="123981F6">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433B6B2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《江苏省“三线一单”生态环境分区管控方案》</w:t>
            </w:r>
          </w:p>
        </w:tc>
      </w:tr>
      <w:tr w14:paraId="1279D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29D75F68">
            <w:pPr>
              <w:spacing w:line="240" w:lineRule="auto"/>
              <w:ind w:firstLine="0" w:firstLineChars="0"/>
              <w:jc w:val="center"/>
              <w:rPr>
                <w:rFonts w:cs="Times New Roman"/>
                <w:sz w:val="21"/>
                <w:szCs w:val="21"/>
                <w14:ligatures w14:val="none"/>
              </w:rPr>
            </w:pPr>
          </w:p>
        </w:tc>
        <w:tc>
          <w:tcPr>
            <w:tcW w:w="412" w:type="pct"/>
            <w:vAlign w:val="center"/>
          </w:tcPr>
          <w:p w14:paraId="4673D985">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656C9AC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《江苏省2023年度生态环境分区管控动态更新成果》</w:t>
            </w:r>
          </w:p>
        </w:tc>
      </w:tr>
      <w:tr w14:paraId="72BA7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08" w:type="pct"/>
            <w:vMerge w:val="continue"/>
            <w:vAlign w:val="center"/>
          </w:tcPr>
          <w:p w14:paraId="682D3CC7">
            <w:pPr>
              <w:spacing w:line="240" w:lineRule="auto"/>
              <w:ind w:firstLine="0" w:firstLineChars="0"/>
              <w:jc w:val="center"/>
              <w:rPr>
                <w:rFonts w:cs="Times New Roman"/>
                <w:sz w:val="21"/>
                <w:szCs w:val="21"/>
                <w14:ligatures w14:val="none"/>
              </w:rPr>
            </w:pPr>
          </w:p>
        </w:tc>
        <w:tc>
          <w:tcPr>
            <w:tcW w:w="412" w:type="pct"/>
            <w:vAlign w:val="center"/>
          </w:tcPr>
          <w:p w14:paraId="2A8186E5">
            <w:pPr>
              <w:pStyle w:val="39"/>
              <w:numPr>
                <w:ilvl w:val="0"/>
                <w:numId w:val="10"/>
              </w:numPr>
              <w:spacing w:line="240" w:lineRule="auto"/>
              <w:ind w:firstLineChars="0"/>
              <w:jc w:val="center"/>
              <w:rPr>
                <w:rFonts w:cs="Times New Roman"/>
                <w:sz w:val="21"/>
                <w:szCs w:val="21"/>
                <w14:ligatures w14:val="none"/>
              </w:rPr>
            </w:pPr>
          </w:p>
        </w:tc>
        <w:tc>
          <w:tcPr>
            <w:tcW w:w="4179" w:type="pct"/>
            <w:vAlign w:val="center"/>
          </w:tcPr>
          <w:p w14:paraId="4620C88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《常州市“三线一单”生态环境分区管控实施方案》（2023年动态更新）</w:t>
            </w:r>
          </w:p>
        </w:tc>
      </w:tr>
    </w:tbl>
    <w:p w14:paraId="764EDC35">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w:t>
      </w:r>
      <w:r>
        <w:rPr>
          <w:rFonts w:hint="eastAsia" w:eastAsia="方正楷体_GBK" w:cs="Times New Roman"/>
          <w:b/>
          <w:bCs/>
          <w:szCs w:val="28"/>
          <w14:ligatures w14:val="none"/>
        </w:rPr>
        <w:t>3</w:t>
      </w:r>
      <w:r>
        <w:rPr>
          <w:rFonts w:eastAsia="方正楷体_GBK" w:cs="Times New Roman"/>
          <w:b/>
          <w:bCs/>
          <w:szCs w:val="28"/>
          <w14:ligatures w14:val="none"/>
        </w:rPr>
        <w:t>.1</w:t>
      </w:r>
      <w:r>
        <w:rPr>
          <w:rFonts w:hint="eastAsia" w:eastAsia="方正楷体_GBK" w:cs="Times New Roman"/>
          <w:b/>
          <w:bCs/>
          <w:szCs w:val="28"/>
          <w14:ligatures w14:val="none"/>
        </w:rPr>
        <w:t>与区域发展规划的相符性分析</w:t>
      </w:r>
    </w:p>
    <w:p w14:paraId="4A62CC39">
      <w:pPr>
        <w:ind w:firstLine="0" w:firstLineChars="0"/>
        <w:outlineLvl w:val="3"/>
        <w:rPr>
          <w:b/>
          <w:bCs/>
        </w:rPr>
      </w:pPr>
      <w:r>
        <w:rPr>
          <w:rFonts w:hint="eastAsia"/>
          <w:b/>
          <w:bCs/>
        </w:rPr>
        <w:t>2</w:t>
      </w:r>
      <w:r>
        <w:rPr>
          <w:b/>
          <w:bCs/>
        </w:rPr>
        <w:t>.</w:t>
      </w:r>
      <w:r>
        <w:rPr>
          <w:rFonts w:hint="eastAsia"/>
          <w:b/>
          <w:bCs/>
        </w:rPr>
        <w:t>3</w:t>
      </w:r>
      <w:r>
        <w:rPr>
          <w:b/>
          <w:bCs/>
        </w:rPr>
        <w:t>.1.1</w:t>
      </w:r>
      <w:r>
        <w:rPr>
          <w:rFonts w:hint="eastAsia"/>
          <w:b/>
          <w:bCs/>
        </w:rPr>
        <w:t>与国民经济和社会发展第十四个五年规划和二</w:t>
      </w:r>
      <w:r>
        <w:rPr>
          <w:rFonts w:hint="eastAsia" w:ascii="微软雅黑" w:hAnsi="微软雅黑" w:eastAsia="微软雅黑" w:cs="微软雅黑"/>
          <w:b/>
          <w:bCs/>
        </w:rPr>
        <w:t>〇</w:t>
      </w:r>
      <w:r>
        <w:rPr>
          <w:rFonts w:hint="eastAsia"/>
          <w:b/>
          <w:bCs/>
        </w:rPr>
        <w:t>三五年远景目标纲要相符性分析</w:t>
      </w:r>
    </w:p>
    <w:p w14:paraId="4B4180FF">
      <w:pPr>
        <w:ind w:firstLine="480"/>
      </w:pPr>
      <w:r>
        <w:rPr>
          <w:rFonts w:hint="eastAsia"/>
        </w:rPr>
        <w:t>（1）规划要点</w:t>
      </w:r>
    </w:p>
    <w:p w14:paraId="2AFE8BC2">
      <w:pPr>
        <w:ind w:firstLine="480"/>
      </w:pPr>
      <w:r>
        <w:rPr>
          <w:rFonts w:hint="eastAsia"/>
        </w:rPr>
        <w:t>《江苏省国民经济和社会发展第十四个五年规划和二</w:t>
      </w:r>
      <w:r>
        <w:rPr>
          <w:rFonts w:hint="eastAsia" w:ascii="微软雅黑" w:hAnsi="微软雅黑" w:eastAsia="微软雅黑" w:cs="微软雅黑"/>
        </w:rPr>
        <w:t>〇</w:t>
      </w:r>
      <w:r>
        <w:rPr>
          <w:rFonts w:hint="eastAsia"/>
        </w:rPr>
        <w:t>三五年远景目标纲要》提出，深化文化和旅游融合发展。优化文旅融合发展体制机制，发展高品质旅游产品，促进红色旅游、</w:t>
      </w:r>
      <w:r>
        <w:rPr>
          <w:rFonts w:hint="eastAsia"/>
          <w:b/>
          <w:bCs/>
        </w:rPr>
        <w:t>乡村旅游</w:t>
      </w:r>
      <w:r>
        <w:rPr>
          <w:rFonts w:hint="eastAsia"/>
          <w:bCs/>
        </w:rPr>
        <w:t>、</w:t>
      </w:r>
      <w:r>
        <w:rPr>
          <w:rFonts w:hint="eastAsia"/>
        </w:rPr>
        <w:t>遗产旅游、研学旅游等融合业态提质升级，</w:t>
      </w:r>
      <w:r>
        <w:rPr>
          <w:rFonts w:hint="eastAsia"/>
          <w:b/>
          <w:bCs/>
        </w:rPr>
        <w:t>健全旅游基础设施，深化文旅公共服务功能融合</w:t>
      </w:r>
      <w:r>
        <w:rPr>
          <w:rFonts w:hint="eastAsia"/>
        </w:rPr>
        <w:t>，推动省域宜居宜业宜游。完善江苏智慧文旅平台功能，强化智慧景区建设。加快全域旅游示范区发展，建设一批富有文化底蕴的世界级旅游景区和度假区，打造一批文化特色鲜明的国家级旅游休闲城市和街区，建成一批国家级夜间文化和旅游消费集聚区、国家文化产业和旅游产业融合发展示范区。</w:t>
      </w:r>
    </w:p>
    <w:p w14:paraId="02445225">
      <w:pPr>
        <w:ind w:firstLine="480"/>
      </w:pPr>
      <w:r>
        <w:rPr>
          <w:rFonts w:hint="eastAsia"/>
        </w:rPr>
        <w:t>加快健康、养老、育幼、文化、旅游、体育、家政、物业等生活性服务业提质扩容，推动向品质化和多样化方向升级。推广</w:t>
      </w:r>
      <w:r>
        <w:rPr>
          <w:rFonts w:hint="eastAsia"/>
          <w:b/>
          <w:bCs/>
        </w:rPr>
        <w:t>“旅游</w:t>
      </w:r>
      <w:r>
        <w:rPr>
          <w:b/>
          <w:bCs/>
        </w:rPr>
        <w:t>+</w:t>
      </w:r>
      <w:r>
        <w:rPr>
          <w:rFonts w:hint="eastAsia"/>
          <w:b/>
          <w:bCs/>
        </w:rPr>
        <w:t>”“文化+”“健康+”</w:t>
      </w:r>
      <w:r>
        <w:rPr>
          <w:rFonts w:hint="eastAsia"/>
        </w:rPr>
        <w:t>等服务业态，不断拓展生活性服务业增值空间……发展面向长三角地区的</w:t>
      </w:r>
      <w:r>
        <w:rPr>
          <w:rFonts w:hint="eastAsia"/>
          <w:b/>
        </w:rPr>
        <w:t>休闲旅游</w:t>
      </w:r>
      <w:r>
        <w:rPr>
          <w:rFonts w:hint="eastAsia"/>
        </w:rPr>
        <w:t>和康养产业，共建</w:t>
      </w:r>
      <w:r>
        <w:rPr>
          <w:rFonts w:hint="eastAsia"/>
          <w:b/>
        </w:rPr>
        <w:t>环太湖生态文化旅游圈</w:t>
      </w:r>
      <w:r>
        <w:rPr>
          <w:rFonts w:hint="eastAsia"/>
        </w:rPr>
        <w:t>。</w:t>
      </w:r>
    </w:p>
    <w:p w14:paraId="120FFF8E">
      <w:pPr>
        <w:ind w:firstLine="480"/>
      </w:pPr>
      <w:r>
        <w:rPr>
          <w:rFonts w:hint="eastAsia"/>
        </w:rPr>
        <w:t>深化农村一二三产业融合发展。树立全产业链思维，引入现代产业发展理念和组织方式，加快发展农村电子商务、</w:t>
      </w:r>
      <w:r>
        <w:rPr>
          <w:rFonts w:hint="eastAsia"/>
          <w:b/>
        </w:rPr>
        <w:t>农村休闲旅游</w:t>
      </w:r>
      <w:r>
        <w:rPr>
          <w:rFonts w:hint="eastAsia"/>
        </w:rPr>
        <w:t>、农业生产性服务业等新产业新业态……丰富乡村经济业态，推进特色农业与农产品加工、</w:t>
      </w:r>
      <w:r>
        <w:rPr>
          <w:rFonts w:hint="eastAsia"/>
          <w:b/>
        </w:rPr>
        <w:t>乡村旅游</w:t>
      </w:r>
      <w:r>
        <w:rPr>
          <w:rFonts w:hint="eastAsia"/>
        </w:rPr>
        <w:t>、农村电商等一体发展，因地制宜壮大旅游民宿、农耕体验、健康养老等新产业新模式，带动更多农民增加收入。</w:t>
      </w:r>
    </w:p>
    <w:p w14:paraId="0ACBA137">
      <w:pPr>
        <w:ind w:firstLine="480"/>
      </w:pPr>
      <w:r>
        <w:rPr>
          <w:rFonts w:hint="eastAsia"/>
        </w:rPr>
        <w:t>《常州市国民经济和社会发展第十四个五年规划和二</w:t>
      </w:r>
      <w:r>
        <w:rPr>
          <w:rFonts w:hint="eastAsia" w:ascii="微软雅黑" w:hAnsi="微软雅黑" w:eastAsia="微软雅黑" w:cs="微软雅黑"/>
        </w:rPr>
        <w:t>〇</w:t>
      </w:r>
      <w:r>
        <w:rPr>
          <w:rFonts w:hint="eastAsia" w:ascii="仿宋_GB2312" w:hAnsi="仿宋_GB2312" w:cs="仿宋_GB2312"/>
        </w:rPr>
        <w:t>三五年远景目标</w:t>
      </w:r>
      <w:r>
        <w:rPr>
          <w:rFonts w:hint="eastAsia"/>
        </w:rPr>
        <w:t>纲要》提出，优化全域旅游发展格局，构建“一核两带七区”全域旅游发展格局……大力推进全域旅游示范区创建。其中“七区”包括天目湖山水旅游度假区、太湖湾旅游度假区、</w:t>
      </w:r>
      <w:r>
        <w:rPr>
          <w:rFonts w:hint="eastAsia"/>
          <w:b/>
          <w:bCs/>
        </w:rPr>
        <w:t>茅山道养旅游度假区</w:t>
      </w:r>
      <w:r>
        <w:rPr>
          <w:rFonts w:hint="eastAsia"/>
        </w:rPr>
        <w:t>、长荡湖湿地旅游度假区、曹山生态旅游度假区、小黄山医养旅游度假区、西太湖郊野度假区。</w:t>
      </w:r>
    </w:p>
    <w:p w14:paraId="40F46F0E">
      <w:pPr>
        <w:ind w:firstLine="480"/>
      </w:pPr>
      <w:r>
        <w:rPr>
          <w:rFonts w:hint="eastAsia"/>
        </w:rPr>
        <w:t>《常州市金坛区国民经济和社会发展第十四个五年规划和二</w:t>
      </w:r>
      <w:r>
        <w:rPr>
          <w:rFonts w:hint="eastAsia" w:ascii="微软雅黑" w:hAnsi="微软雅黑" w:eastAsia="微软雅黑" w:cs="微软雅黑"/>
        </w:rPr>
        <w:t>〇</w:t>
      </w:r>
      <w:r>
        <w:rPr>
          <w:rFonts w:hint="eastAsia" w:ascii="仿宋_GB2312" w:hAnsi="仿宋_GB2312" w:cs="仿宋_GB2312"/>
        </w:rPr>
        <w:t>三五年远景目标纲要</w:t>
      </w:r>
      <w:r>
        <w:rPr>
          <w:rFonts w:hint="eastAsia"/>
        </w:rPr>
        <w:t>》提出，茅山旅游度假区积极对标中国道教四大名山、长三角地区同类景区，以</w:t>
      </w:r>
      <w:r>
        <w:rPr>
          <w:rFonts w:hint="eastAsia"/>
          <w:b/>
          <w:bCs/>
        </w:rPr>
        <w:t>“中国著名的道教圣地、国家级旅游度假区、金坛西部发展引擎”</w:t>
      </w:r>
      <w:r>
        <w:rPr>
          <w:rFonts w:hint="eastAsia"/>
        </w:rPr>
        <w:t>为定位，做深、做新、做响茅山道文化，成为周边地区的旅游核心区。</w:t>
      </w:r>
    </w:p>
    <w:p w14:paraId="7C554F23">
      <w:pPr>
        <w:ind w:firstLine="480"/>
      </w:pPr>
      <w:r>
        <w:rPr>
          <w:rFonts w:hint="eastAsia"/>
        </w:rPr>
        <w:t>（2）相符性分析</w:t>
      </w:r>
    </w:p>
    <w:p w14:paraId="6FC9F6DC">
      <w:pPr>
        <w:ind w:firstLine="480"/>
        <w:rPr>
          <w:rFonts w:hint="eastAsia" w:ascii="仿宋_GB2312" w:hAnsi="仿宋_GB2312" w:cs="仿宋_GB2312"/>
        </w:rPr>
      </w:pPr>
      <w:r>
        <w:rPr>
          <w:rFonts w:hint="eastAsia"/>
        </w:rPr>
        <w:t>度假区重点发展休闲度假产业，同时充分发挥旅游业拉动、催化和集成作用，推动产业深度融合、高质量发展，构建以休闲度假产业为龙头驱动，以文化创意产业、现代农业为支撑的“1+</w:t>
      </w:r>
      <w:r>
        <w:t>3</w:t>
      </w:r>
      <w:r>
        <w:rPr>
          <w:rFonts w:hint="eastAsia"/>
        </w:rPr>
        <w:t>”现代化产业体系。度假区结合物质文化资源和自身的特色打造旅游景点，并与旅游路线相联系，打造道文化自驾休闲风景道文化主题游线；结合茅山道教文化和区域功能定位，逐步打造以茅山道文化体验与清修养生功能为主的道文化体验区；以度假、康养、旅居、游乐为特色的盐之有道度假区；以区域一体化为主导的区镇融合发展区；以方山生态体验、上阮农业休闲为主要功能的山田生态休闲区等特色区域，符合《江苏省国民经济和社会发展第十四个五年规划和二</w:t>
      </w:r>
      <w:r>
        <w:rPr>
          <w:rFonts w:hint="eastAsia" w:ascii="微软雅黑" w:hAnsi="微软雅黑" w:eastAsia="微软雅黑" w:cs="微软雅黑"/>
        </w:rPr>
        <w:t>〇</w:t>
      </w:r>
      <w:r>
        <w:rPr>
          <w:rFonts w:hint="eastAsia" w:ascii="仿宋_GB2312" w:hAnsi="仿宋_GB2312" w:cs="仿宋_GB2312"/>
        </w:rPr>
        <w:t>三五年远景目标纲要》《常州市国民经济和社会发展第十四个五年规划和二</w:t>
      </w:r>
      <w:r>
        <w:rPr>
          <w:rFonts w:hint="eastAsia" w:ascii="微软雅黑" w:hAnsi="微软雅黑" w:eastAsia="微软雅黑" w:cs="微软雅黑"/>
        </w:rPr>
        <w:t>〇</w:t>
      </w:r>
      <w:r>
        <w:rPr>
          <w:rFonts w:hint="eastAsia" w:ascii="仿宋_GB2312" w:hAnsi="仿宋_GB2312" w:cs="仿宋_GB2312"/>
        </w:rPr>
        <w:t>三五年远景目标纲要》中相关发展定位要求。</w:t>
      </w:r>
    </w:p>
    <w:p w14:paraId="32104D95">
      <w:pPr>
        <w:ind w:firstLine="480"/>
      </w:pPr>
      <w:r>
        <w:rPr>
          <w:rFonts w:hint="eastAsia"/>
        </w:rPr>
        <w:t>度假区的功能定位以茅山+田园为生态基底，统筹考虑镇区－乡村－旅游区发展空间，依托南京都市圈与苏锡常都市圈，以产业一体化发展、促进地区经济发展、推进地域现代化进程为导向，以道文化为文化底蕴和景观氛围营造指引，打造集文化创意、休闲度假、现代农业、康养居住功能于一体的中国道意生活心灵度假旅游目的地。符合《常州市金坛区国民经济和社会发展第十四个五年规划和二</w:t>
      </w:r>
      <w:r>
        <w:rPr>
          <w:rFonts w:hint="eastAsia" w:ascii="微软雅黑" w:hAnsi="微软雅黑" w:eastAsia="微软雅黑" w:cs="微软雅黑"/>
        </w:rPr>
        <w:t>〇</w:t>
      </w:r>
      <w:r>
        <w:rPr>
          <w:rFonts w:hint="eastAsia" w:ascii="仿宋_GB2312" w:hAnsi="仿宋_GB2312" w:cs="仿宋_GB2312"/>
        </w:rPr>
        <w:t>三五年远景目标纲要</w:t>
      </w:r>
      <w:r>
        <w:rPr>
          <w:rFonts w:hint="eastAsia"/>
        </w:rPr>
        <w:t>》提出的以“中国著名的道教圣地、国家级旅游度假区、金坛西部发展引擎”为定位的目标要求。</w:t>
      </w:r>
    </w:p>
    <w:p w14:paraId="367D2A1E">
      <w:pPr>
        <w:ind w:firstLine="480"/>
        <w:rPr>
          <w:rFonts w:hint="eastAsia" w:ascii="仿宋_GB2312" w:hAnsi="仿宋_GB2312" w:cs="仿宋_GB2312"/>
        </w:rPr>
      </w:pPr>
      <w:r>
        <w:rPr>
          <w:rFonts w:hint="eastAsia"/>
        </w:rPr>
        <w:t>综上所述，度假区本轮规划与《江苏省国民经济和社会发展第十四个五年规划和二</w:t>
      </w:r>
      <w:r>
        <w:rPr>
          <w:rFonts w:hint="eastAsia" w:ascii="微软雅黑" w:hAnsi="微软雅黑" w:eastAsia="微软雅黑" w:cs="微软雅黑"/>
        </w:rPr>
        <w:t>〇</w:t>
      </w:r>
      <w:r>
        <w:rPr>
          <w:rFonts w:hint="eastAsia" w:ascii="仿宋_GB2312" w:hAnsi="仿宋_GB2312" w:cs="仿宋_GB2312"/>
        </w:rPr>
        <w:t>三五年远景目标纲要》《常州市国民经济和社会发展第十四个五年规划和二</w:t>
      </w:r>
      <w:r>
        <w:rPr>
          <w:rFonts w:hint="eastAsia" w:ascii="微软雅黑" w:hAnsi="微软雅黑" w:eastAsia="微软雅黑" w:cs="微软雅黑"/>
        </w:rPr>
        <w:t>〇</w:t>
      </w:r>
      <w:r>
        <w:rPr>
          <w:rFonts w:hint="eastAsia" w:ascii="仿宋_GB2312" w:hAnsi="仿宋_GB2312" w:cs="仿宋_GB2312"/>
        </w:rPr>
        <w:t>三五年远景目标纲要》和《常州市金坛区国民经济和社会发展第十四个五年规划和二</w:t>
      </w:r>
      <w:r>
        <w:rPr>
          <w:rFonts w:hint="eastAsia" w:ascii="微软雅黑" w:hAnsi="微软雅黑" w:eastAsia="微软雅黑" w:cs="微软雅黑"/>
        </w:rPr>
        <w:t>〇</w:t>
      </w:r>
      <w:r>
        <w:rPr>
          <w:rFonts w:hint="eastAsia" w:ascii="仿宋_GB2312" w:hAnsi="仿宋_GB2312" w:cs="仿宋_GB2312"/>
        </w:rPr>
        <w:t>三五年远景目标纲要》中提出的相关要求相协调。</w:t>
      </w:r>
    </w:p>
    <w:p w14:paraId="7AC58455">
      <w:pPr>
        <w:ind w:firstLine="0" w:firstLineChars="0"/>
        <w:outlineLvl w:val="3"/>
        <w:rPr>
          <w:b/>
          <w:bCs/>
        </w:rPr>
      </w:pPr>
      <w:r>
        <w:rPr>
          <w:rFonts w:hint="eastAsia"/>
          <w:b/>
          <w:bCs/>
        </w:rPr>
        <w:t>2</w:t>
      </w:r>
      <w:r>
        <w:rPr>
          <w:b/>
          <w:bCs/>
        </w:rPr>
        <w:t>.</w:t>
      </w:r>
      <w:r>
        <w:rPr>
          <w:rFonts w:hint="eastAsia"/>
          <w:b/>
          <w:bCs/>
        </w:rPr>
        <w:t>3</w:t>
      </w:r>
      <w:r>
        <w:rPr>
          <w:b/>
          <w:bCs/>
        </w:rPr>
        <w:t>.1.2</w:t>
      </w:r>
      <w:r>
        <w:rPr>
          <w:rFonts w:hint="eastAsia"/>
          <w:b/>
          <w:bCs/>
        </w:rPr>
        <w:t>与《长江三角洲区域一体化发展规划纲要》相符性分析</w:t>
      </w:r>
    </w:p>
    <w:p w14:paraId="06729D01">
      <w:pPr>
        <w:ind w:firstLine="480"/>
      </w:pPr>
      <w:r>
        <w:rPr>
          <w:rFonts w:hint="eastAsia"/>
        </w:rPr>
        <w:t>（1）规划要点</w:t>
      </w:r>
    </w:p>
    <w:p w14:paraId="75FDE708">
      <w:pPr>
        <w:ind w:firstLine="480"/>
      </w:pPr>
      <w:r>
        <w:rPr>
          <w:rFonts w:hint="eastAsia"/>
        </w:rPr>
        <w:t>《长江三角洲区域一体化发展规划纲要》规划范围包括上海市、</w:t>
      </w:r>
      <w:r>
        <w:rPr>
          <w:rFonts w:hint="eastAsia"/>
          <w:b/>
          <w:bCs/>
        </w:rPr>
        <w:t>江苏省</w:t>
      </w:r>
      <w:r>
        <w:rPr>
          <w:rFonts w:hint="eastAsia"/>
        </w:rPr>
        <w:t>、浙江省、安徽省全域（面积35.8万平方公里）。规划提出在</w:t>
      </w:r>
      <w:r>
        <w:rPr>
          <w:rFonts w:hint="eastAsia"/>
          <w:b/>
          <w:bCs/>
        </w:rPr>
        <w:t>旅游</w:t>
      </w:r>
      <w:r>
        <w:rPr>
          <w:rFonts w:hint="eastAsia"/>
        </w:rPr>
        <w:t>、养老等领域探索跨区域合作新模式，提高文化教育、医疗保健、养老安老等资源的供给质量和供给效率。……推动文化旅游合作发展，共建世界知名旅游目的地。深化旅游合作，统筹利用旅游资源，推动旅游市场和服务一体化发展。依托长江、沿海、域内知名河流、名湖、</w:t>
      </w:r>
      <w:r>
        <w:rPr>
          <w:rFonts w:hint="eastAsia"/>
          <w:b/>
          <w:bCs/>
        </w:rPr>
        <w:t>名山</w:t>
      </w:r>
      <w:r>
        <w:rPr>
          <w:rFonts w:hint="eastAsia"/>
        </w:rPr>
        <w:t>、名城等特色资源，共同打造一批具有高品质的休闲度假旅游区和世界闻名的东方度假胜地。</w:t>
      </w:r>
    </w:p>
    <w:p w14:paraId="28951C89">
      <w:pPr>
        <w:ind w:firstLine="480"/>
      </w:pPr>
      <w:r>
        <w:rPr>
          <w:rFonts w:hint="eastAsia"/>
        </w:rPr>
        <w:t>（2）相符性分析</w:t>
      </w:r>
    </w:p>
    <w:p w14:paraId="7B748CB5">
      <w:pPr>
        <w:ind w:firstLine="480"/>
      </w:pPr>
      <w:r>
        <w:rPr>
          <w:rFonts w:hint="eastAsia"/>
        </w:rPr>
        <w:t>度假区的市场定位为立足南京与苏锡常都市圈，面向长三角，辐射全国各大城市群，在功能定位上重点以道文化为文化底蕴和景观氛围营造指引，打造集文化创意、休闲度假、现代农业、康养居住功能于一体的中国道意生活心灵度假旅游目的地，核心范围内重点打造以度假、康养、旅居、游乐为特色的盐之有道度假区，符合《长江三角洲区域一体化发展规划纲要》中“在旅游、养老等领域探索跨区域合作新模式，提高文化教育、医疗保健、养老安老等资源的供给质量和供给效率”相关要求。同时度假区充分发挥茅山风景名胜区的景观资源，打造相关旅游特色项目、旅游路线，建立一体式旅游服务中心，对度假区内文物保护单位按照《中华人民共和国文物保护法》《江苏省文物保护条例》等要求进行严格保护，与《长江三角洲区域一体化发展规划纲要》中相关要点相符合。</w:t>
      </w:r>
    </w:p>
    <w:p w14:paraId="4146ECE5">
      <w:pPr>
        <w:ind w:firstLine="0" w:firstLineChars="0"/>
        <w:outlineLvl w:val="3"/>
        <w:rPr>
          <w:b/>
          <w:bCs/>
        </w:rPr>
      </w:pPr>
      <w:r>
        <w:rPr>
          <w:rFonts w:hint="eastAsia"/>
          <w:b/>
          <w:bCs/>
        </w:rPr>
        <w:t>2</w:t>
      </w:r>
      <w:r>
        <w:rPr>
          <w:b/>
          <w:bCs/>
        </w:rPr>
        <w:t>.</w:t>
      </w:r>
      <w:r>
        <w:rPr>
          <w:rFonts w:hint="eastAsia"/>
          <w:b/>
          <w:bCs/>
        </w:rPr>
        <w:t>3</w:t>
      </w:r>
      <w:r>
        <w:rPr>
          <w:b/>
          <w:bCs/>
        </w:rPr>
        <w:t>.</w:t>
      </w:r>
      <w:r>
        <w:rPr>
          <w:rFonts w:hint="eastAsia"/>
          <w:b/>
          <w:bCs/>
        </w:rPr>
        <w:t>1</w:t>
      </w:r>
      <w:r>
        <w:rPr>
          <w:b/>
          <w:bCs/>
        </w:rPr>
        <w:t>.3</w:t>
      </w:r>
      <w:r>
        <w:rPr>
          <w:rFonts w:hint="eastAsia"/>
          <w:b/>
          <w:bCs/>
        </w:rPr>
        <w:t>与《江苏省金坛经济开发区薛埠现代产业园/常州市金坛区薛埠产业新镇总体规划（2016—2030）》（2</w:t>
      </w:r>
      <w:r>
        <w:rPr>
          <w:b/>
          <w:bCs/>
        </w:rPr>
        <w:t>021</w:t>
      </w:r>
      <w:r>
        <w:rPr>
          <w:rFonts w:hint="eastAsia"/>
          <w:b/>
          <w:bCs/>
        </w:rPr>
        <w:t>年修编）相符性分析</w:t>
      </w:r>
    </w:p>
    <w:p w14:paraId="58FAF1D2">
      <w:pPr>
        <w:ind w:firstLine="480"/>
      </w:pPr>
      <w:r>
        <w:rPr>
          <w:rFonts w:hint="eastAsia"/>
        </w:rPr>
        <w:t>（1）规划要点</w:t>
      </w:r>
    </w:p>
    <w:p w14:paraId="2E1BDCF5">
      <w:pPr>
        <w:ind w:firstLine="480"/>
      </w:pPr>
      <w:r>
        <w:rPr>
          <w:rFonts w:hint="eastAsia"/>
        </w:rPr>
        <w:t>规划提出薛埠城镇发展的总目标是，紧紧围绕全国重点镇和江苏省重点中心镇建设，坚持产业立镇和生态优先相结合，将薛埠建设成为国家级旅游度假区、生态宜居小城镇。……规划依托区域地形地貌、资源禀赋、交通区位等因素，镇域构建“一带一环多片区”的空间结构。</w:t>
      </w:r>
    </w:p>
    <w:p w14:paraId="7DF86A68">
      <w:pPr>
        <w:ind w:firstLine="480"/>
      </w:pPr>
      <w:r>
        <w:rPr>
          <w:rFonts w:hint="eastAsia"/>
        </w:rPr>
        <w:t>一带：依托265省道形成纵贯全域的旅游发展带。</w:t>
      </w:r>
    </w:p>
    <w:p w14:paraId="3E171BF5">
      <w:pPr>
        <w:ind w:firstLine="480"/>
      </w:pPr>
      <w:r>
        <w:rPr>
          <w:rFonts w:hint="eastAsia"/>
        </w:rPr>
        <w:t>一环：由白乾公路、游仙路、340省道、十里春风、上阮路、大社线和物流大道相连形成贯穿全镇的旅游环线。</w:t>
      </w:r>
    </w:p>
    <w:p w14:paraId="1798495E">
      <w:pPr>
        <w:ind w:firstLine="480"/>
      </w:pPr>
      <w:r>
        <w:rPr>
          <w:rFonts w:hint="eastAsia"/>
        </w:rPr>
        <w:t>多片区：结合山水文化旅游资源和城乡发展节点形成</w:t>
      </w:r>
      <w:r>
        <w:rPr>
          <w:rFonts w:hint="eastAsia"/>
          <w:b/>
          <w:bCs/>
        </w:rPr>
        <w:t>道文化体验区、康养休闲度假区</w:t>
      </w:r>
      <w:r>
        <w:rPr>
          <w:rFonts w:hint="eastAsia"/>
        </w:rPr>
        <w:t>、</w:t>
      </w:r>
      <w:r>
        <w:rPr>
          <w:rFonts w:hint="eastAsia"/>
          <w:b/>
          <w:bCs/>
        </w:rPr>
        <w:t>方山生态休闲区</w:t>
      </w:r>
      <w:r>
        <w:rPr>
          <w:rFonts w:hint="eastAsia"/>
        </w:rPr>
        <w:t>、</w:t>
      </w:r>
      <w:r>
        <w:rPr>
          <w:rFonts w:hint="eastAsia"/>
          <w:b/>
          <w:bCs/>
        </w:rPr>
        <w:t>农旅融合发展区</w:t>
      </w:r>
      <w:r>
        <w:rPr>
          <w:rFonts w:hint="eastAsia"/>
        </w:rPr>
        <w:t>、产城融合发展区、景镇融合发展区、茅麓茶香小镇、花山文旅小镇、仙姑美丽乡村、西</w:t>
      </w:r>
      <w:r>
        <w:rPr>
          <w:rFonts w:hint="eastAsia" w:ascii="微软雅黑" w:hAnsi="微软雅黑" w:eastAsia="微软雅黑" w:cs="微软雅黑"/>
        </w:rPr>
        <w:t>旸</w:t>
      </w:r>
      <w:r>
        <w:rPr>
          <w:rFonts w:hint="eastAsia" w:ascii="仿宋_GB2312" w:hAnsi="仿宋_GB2312" w:cs="仿宋_GB2312"/>
        </w:rPr>
        <w:t>、罗村等多个发展片区，形成各具特色、功能互补的发展格局</w:t>
      </w:r>
      <w:r>
        <w:rPr>
          <w:rFonts w:hint="eastAsia"/>
        </w:rPr>
        <w:t>。</w:t>
      </w:r>
    </w:p>
    <w:p w14:paraId="484359F0">
      <w:pPr>
        <w:ind w:firstLine="480"/>
      </w:pPr>
      <w:r>
        <w:rPr>
          <w:rFonts w:hint="eastAsia"/>
        </w:rPr>
        <w:t>（2）相符性分析</w:t>
      </w:r>
    </w:p>
    <w:p w14:paraId="5ADE2E44">
      <w:pPr>
        <w:ind w:firstLine="480"/>
      </w:pPr>
      <w:r>
        <w:rPr>
          <w:rFonts w:hint="eastAsia"/>
        </w:rPr>
        <w:t>本轮规划基于薛埠产业新镇总体规划“一带一环多片区”的空间结构，在区域功能定位、发展目标、空间结构、功能分区等方面进一步分区域规划研究，在道文化体验区、盐之有道度假区、区镇融合发展区、山田生态休闲区、农旅融合示范区5个分区进一步规划打造各类文化旅游项目，充分考虑区域发展格局，实现与省级旅游度假区的协同发展和功能互补。综上所述，度假区本轮规划与《江苏省金坛经济开发区薛埠现代产业园/常州市金坛区薛埠产业新镇总体规划（2016-2030）》相符合。</w:t>
      </w:r>
    </w:p>
    <w:p w14:paraId="18A1DDFE">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w:t>
      </w:r>
      <w:r>
        <w:rPr>
          <w:rFonts w:hint="eastAsia" w:eastAsia="方正楷体_GBK" w:cs="Times New Roman"/>
          <w:b/>
          <w:bCs/>
          <w:szCs w:val="28"/>
          <w14:ligatures w14:val="none"/>
        </w:rPr>
        <w:t>3</w:t>
      </w:r>
      <w:r>
        <w:rPr>
          <w:rFonts w:eastAsia="方正楷体_GBK" w:cs="Times New Roman"/>
          <w:b/>
          <w:bCs/>
          <w:szCs w:val="28"/>
          <w14:ligatures w14:val="none"/>
        </w:rPr>
        <w:t>.2</w:t>
      </w:r>
      <w:r>
        <w:rPr>
          <w:rFonts w:hint="eastAsia" w:eastAsia="方正楷体_GBK" w:cs="Times New Roman"/>
          <w:b/>
          <w:bCs/>
          <w:szCs w:val="28"/>
          <w14:ligatures w14:val="none"/>
        </w:rPr>
        <w:t>与区域用地相关规划的相符性分析</w:t>
      </w:r>
    </w:p>
    <w:p w14:paraId="14CE1359">
      <w:pPr>
        <w:ind w:firstLine="0" w:firstLineChars="0"/>
        <w:outlineLvl w:val="3"/>
        <w:rPr>
          <w:b/>
          <w:bCs/>
        </w:rPr>
      </w:pPr>
      <w:r>
        <w:rPr>
          <w:rFonts w:hint="eastAsia"/>
          <w:b/>
          <w:bCs/>
        </w:rPr>
        <w:t>2</w:t>
      </w:r>
      <w:r>
        <w:rPr>
          <w:b/>
          <w:bCs/>
        </w:rPr>
        <w:t>.</w:t>
      </w:r>
      <w:r>
        <w:rPr>
          <w:rFonts w:hint="eastAsia"/>
          <w:b/>
          <w:bCs/>
        </w:rPr>
        <w:t>3</w:t>
      </w:r>
      <w:r>
        <w:rPr>
          <w:b/>
          <w:bCs/>
        </w:rPr>
        <w:t>.2.1</w:t>
      </w:r>
      <w:r>
        <w:rPr>
          <w:rFonts w:hint="eastAsia"/>
          <w:b/>
          <w:bCs/>
        </w:rPr>
        <w:t>与《常州市国土空间总体规划（2021-2035年）》相符性分析</w:t>
      </w:r>
    </w:p>
    <w:p w14:paraId="40C8E80B">
      <w:pPr>
        <w:ind w:firstLine="480"/>
      </w:pPr>
      <w:r>
        <w:rPr>
          <w:rFonts w:hint="eastAsia"/>
        </w:rPr>
        <w:t>（1）规划要点</w:t>
      </w:r>
    </w:p>
    <w:p w14:paraId="767AB600">
      <w:pPr>
        <w:ind w:firstLine="480"/>
      </w:pPr>
      <w:r>
        <w:rPr>
          <w:rFonts w:hint="eastAsia"/>
        </w:rPr>
        <w:t>在自然资源保护利用方面，《常州市国土空间总体规划（2021-2035年）》提出，严守永久基本农田保护红线，严格规范农业生产活动。</w:t>
      </w:r>
      <w:r>
        <w:rPr>
          <w:rFonts w:hint="eastAsia"/>
          <w:b/>
          <w:bCs/>
        </w:rPr>
        <w:t>严格落实永久基本农田的管控要求</w:t>
      </w:r>
      <w:r>
        <w:rPr>
          <w:rFonts w:hint="eastAsia"/>
        </w:rPr>
        <w:t>，永久基本农田重点用于发展粮食生产，不得转为林地、草地、园地等其他农用地及农业设施建设用地。完善永久基本农田保护措施，提高监管水平，构建保护有力、集约高效、监管严格的永久基本农田特殊保护新格局。建成后的高标准农田，按照国家规定划入永久基本农田（或划入永久基本农田储备区），实施特殊保护。涉及土地征收成片开发等非农建设占用高标准农田的，按现行建设标准进行补建。</w:t>
      </w:r>
    </w:p>
    <w:p w14:paraId="5CA50D31">
      <w:pPr>
        <w:ind w:firstLine="480"/>
      </w:pPr>
      <w:r>
        <w:rPr>
          <w:rFonts w:hint="eastAsia"/>
        </w:rPr>
        <w:t>在建设用地节约集约利用方面，严格落实各类项目建设用地指标，强化密度分区管控，在优先保护生态、保障公共安全、</w:t>
      </w:r>
      <w:r>
        <w:rPr>
          <w:rFonts w:hint="eastAsia"/>
          <w:b/>
          <w:bCs/>
        </w:rPr>
        <w:t>严格保护历史文化</w:t>
      </w:r>
      <w:r>
        <w:rPr>
          <w:rFonts w:hint="eastAsia"/>
        </w:rPr>
        <w:t>和风貌特色的前提下，促进建设用地节约集约利用。……鼓励工业、仓储、研发、办公、商业等功能用途互利的用地混合布置、空间设施共享，引导高校与居住、商业、办公等城市功能融合发展。</w:t>
      </w:r>
    </w:p>
    <w:p w14:paraId="42F7FFEB">
      <w:pPr>
        <w:ind w:firstLine="480"/>
      </w:pPr>
      <w:r>
        <w:rPr>
          <w:rFonts w:hint="eastAsia"/>
        </w:rPr>
        <w:t>在全域旅游空间布局方面，规划提出构建“双心、四带、九区”的全域旅游空间发展格局。九区：天目湖、环球恐龙城、春秋淹城、</w:t>
      </w:r>
      <w:r>
        <w:rPr>
          <w:rFonts w:hint="eastAsia"/>
          <w:b/>
          <w:bCs/>
        </w:rPr>
        <w:t>茅山</w:t>
      </w:r>
      <w:r>
        <w:rPr>
          <w:rFonts w:hint="eastAsia"/>
        </w:rPr>
        <w:t>、太湖湾、北山、小黄山、清明山－芳茂山、焦溪等休闲旅游区。</w:t>
      </w:r>
    </w:p>
    <w:p w14:paraId="3F21C286">
      <w:pPr>
        <w:ind w:firstLine="480"/>
      </w:pPr>
      <w:r>
        <w:rPr>
          <w:rFonts w:hint="eastAsia"/>
        </w:rPr>
        <w:t>（2）相符性分析</w:t>
      </w:r>
    </w:p>
    <w:p w14:paraId="0D305497">
      <w:pPr>
        <w:ind w:firstLine="480"/>
      </w:pPr>
      <w:r>
        <w:rPr>
          <w:rFonts w:hint="eastAsia"/>
        </w:rPr>
        <w:t>度假区将严格落实永久基本农田的管控要求，做到不得占用、不得开发、永久性保护，保障永久基本农田面积不减、质量提升、布局稳定，同时完善永久基本农田保护措施，提高监管水平，构建保护有力、集约高效、监管严格的永久基本农田特殊保护新格局，符合《常州市国土空间总体规划（2021-2035年）》基本农田保护要求（附图23、附图24）。</w:t>
      </w:r>
    </w:p>
    <w:p w14:paraId="1229EA64">
      <w:pPr>
        <w:ind w:firstLine="480"/>
      </w:pPr>
      <w:r>
        <w:rPr>
          <w:rFonts w:hint="eastAsia"/>
        </w:rPr>
        <w:t>度假区合理规划控制建设用地面积，严格落实生态保护红线和生态空间管控区域相关管控要求，区域内历史文化和文物遗存将按照《中华人民共和国文物保护法》《江苏省文物保护条例》等相关法律法规和《金坛区文物保护单位保护规划》落实保护范围和建设控制地带，严格保护各级文物保护单位，符合《常州市国土空间总体规划（2021-2035年）》相关管控要求。</w:t>
      </w:r>
    </w:p>
    <w:p w14:paraId="6D11C761">
      <w:pPr>
        <w:ind w:firstLine="480"/>
      </w:pPr>
      <w:r>
        <w:rPr>
          <w:rFonts w:hint="eastAsia"/>
        </w:rPr>
        <w:t>度假区重点发展休闲度假产业，以茅山+田园为生态基底，以道文化为文化底蕴和景观氛围营造指引，打造集文化创意、休闲度假、现代农业、康养居住功能于一体的中国道意生活心灵度假旅游度假区，与《常州市国土空间总体规划（2021-2035年）》中全域旅游空间布局相符合。</w:t>
      </w:r>
    </w:p>
    <w:p w14:paraId="5E1AD843">
      <w:pPr>
        <w:ind w:firstLine="480"/>
      </w:pPr>
      <w:r>
        <w:rPr>
          <w:rFonts w:hint="eastAsia"/>
        </w:rPr>
        <w:t>综上所述，度假区规划发展与《常州市国土空间总体规划（2021-2035年）》中提出的相关要求相协调。</w:t>
      </w:r>
    </w:p>
    <w:p w14:paraId="46E75E47">
      <w:pPr>
        <w:ind w:firstLine="0" w:firstLineChars="0"/>
        <w:outlineLvl w:val="3"/>
        <w:rPr>
          <w:b/>
          <w:bCs/>
        </w:rPr>
      </w:pPr>
      <w:r>
        <w:rPr>
          <w:rFonts w:hint="eastAsia"/>
          <w:b/>
          <w:bCs/>
        </w:rPr>
        <w:t>2</w:t>
      </w:r>
      <w:r>
        <w:rPr>
          <w:b/>
          <w:bCs/>
        </w:rPr>
        <w:t>.</w:t>
      </w:r>
      <w:r>
        <w:rPr>
          <w:rFonts w:hint="eastAsia"/>
          <w:b/>
          <w:bCs/>
        </w:rPr>
        <w:t>3</w:t>
      </w:r>
      <w:r>
        <w:rPr>
          <w:b/>
          <w:bCs/>
        </w:rPr>
        <w:t>.2.2</w:t>
      </w:r>
      <w:r>
        <w:rPr>
          <w:rFonts w:hint="eastAsia"/>
          <w:b/>
          <w:bCs/>
        </w:rPr>
        <w:t>与《常州市金坛区国土空间总体规划（2021-2035年）》相符性分析</w:t>
      </w:r>
    </w:p>
    <w:p w14:paraId="35189EC3">
      <w:pPr>
        <w:ind w:firstLine="480"/>
      </w:pPr>
      <w:r>
        <w:rPr>
          <w:rFonts w:hint="eastAsia"/>
        </w:rPr>
        <w:t>（1）规划要点</w:t>
      </w:r>
    </w:p>
    <w:p w14:paraId="0C8F77EF">
      <w:pPr>
        <w:ind w:firstLine="480"/>
      </w:pPr>
      <w:r>
        <w:rPr>
          <w:rFonts w:hint="eastAsia"/>
        </w:rPr>
        <w:t>《常州市金坛区国土空间总体规划（2021-2035年）》主要要点有以下内容：</w:t>
      </w:r>
    </w:p>
    <w:p w14:paraId="76F8BE2C">
      <w:pPr>
        <w:ind w:firstLine="480"/>
      </w:pPr>
      <w:r>
        <w:rPr>
          <w:rFonts w:hint="eastAsia"/>
        </w:rPr>
        <w:t>第二节 国土空间总体格局</w:t>
      </w:r>
    </w:p>
    <w:p w14:paraId="3FA4A096">
      <w:pPr>
        <w:ind w:firstLine="480"/>
      </w:pPr>
      <w:r>
        <w:rPr>
          <w:rFonts w:hint="eastAsia"/>
        </w:rPr>
        <w:t>第2</w:t>
      </w:r>
      <w:r>
        <w:t>0</w:t>
      </w:r>
      <w:r>
        <w:rPr>
          <w:rFonts w:hint="eastAsia"/>
        </w:rPr>
        <w:t>条 主体功能分区</w:t>
      </w:r>
    </w:p>
    <w:p w14:paraId="29B1650C">
      <w:pPr>
        <w:ind w:firstLine="480"/>
      </w:pPr>
      <w:r>
        <w:rPr>
          <w:rFonts w:hint="eastAsia"/>
        </w:rPr>
        <w:t>按照国土开发强度、发展方向及人口集聚和城乡建设的适宜程度，将金坛区国土空间划分为城镇化发展区、农产品主产区、禁止开发区。城镇化发展区包括东部中心城区所在镇街以及</w:t>
      </w:r>
      <w:r>
        <w:rPr>
          <w:rFonts w:hint="eastAsia"/>
          <w:b/>
          <w:bCs/>
        </w:rPr>
        <w:t>薛埠镇</w:t>
      </w:r>
      <w:r>
        <w:rPr>
          <w:rFonts w:hint="eastAsia"/>
        </w:rPr>
        <w:t>、儒林镇、指前镇、朱林镇、直溪镇镇区所在地。该区域是实现创新驱动和高质量发展，对接常金同城化、提高综合竞争力的重点区域。农产品主产区包括朱林镇、直溪镇以及指前镇、</w:t>
      </w:r>
      <w:r>
        <w:rPr>
          <w:rFonts w:hint="eastAsia"/>
          <w:b/>
          <w:bCs/>
        </w:rPr>
        <w:t>薛埠镇</w:t>
      </w:r>
      <w:r>
        <w:rPr>
          <w:rFonts w:hint="eastAsia"/>
        </w:rPr>
        <w:t>的大部分区域。该区域以粮食和重要农产品种植为主，是支撑农业现代化发展的重点区域。禁止开发区包括生态保护红线范围。</w:t>
      </w:r>
    </w:p>
    <w:p w14:paraId="157E4CF0">
      <w:pPr>
        <w:ind w:firstLine="480"/>
      </w:pPr>
      <w:r>
        <w:rPr>
          <w:rFonts w:hint="eastAsia"/>
        </w:rPr>
        <w:t>第2</w:t>
      </w:r>
      <w:r>
        <w:t>1</w:t>
      </w:r>
      <w:r>
        <w:rPr>
          <w:rFonts w:hint="eastAsia"/>
        </w:rPr>
        <w:t>条 国土空间格局</w:t>
      </w:r>
    </w:p>
    <w:p w14:paraId="295A42EB">
      <w:pPr>
        <w:ind w:firstLine="480"/>
      </w:pPr>
      <w:r>
        <w:rPr>
          <w:rFonts w:hint="eastAsia"/>
        </w:rPr>
        <w:t>立足国土空间资源禀赋和现状开发格局，统筹城镇、生态、农业空间布局，全区构建“两轴两带，双心四片”的国土空间总体格局。其中“两轴”为常金联动发展轴和镇杭联动发展轴，串联金坛区主要城镇开发空间；“两带”为</w:t>
      </w:r>
      <w:r>
        <w:rPr>
          <w:rFonts w:hint="eastAsia"/>
          <w:b/>
          <w:bCs/>
        </w:rPr>
        <w:t>茅山旅游生态带</w:t>
      </w:r>
      <w:r>
        <w:rPr>
          <w:rFonts w:hint="eastAsia"/>
        </w:rPr>
        <w:t>和长荡湖旅游生态带，充分发挥山水生态资源的休闲旅游功能；“双心”为金坛城市主中心和薛埠西部副中心：“四片”为城市发展片区、</w:t>
      </w:r>
      <w:r>
        <w:rPr>
          <w:rFonts w:hint="eastAsia"/>
          <w:b/>
          <w:bCs/>
        </w:rPr>
        <w:t>茅山生态旅游片区</w:t>
      </w:r>
      <w:r>
        <w:rPr>
          <w:rFonts w:hint="eastAsia"/>
        </w:rPr>
        <w:t>、水乡圩田片区、滨湖旅游片区，实施差异化发展引导政策。</w:t>
      </w:r>
    </w:p>
    <w:p w14:paraId="06C5FFE6">
      <w:pPr>
        <w:ind w:firstLine="480"/>
      </w:pPr>
      <w:r>
        <w:rPr>
          <w:rFonts w:hint="eastAsia"/>
        </w:rPr>
        <w:t>第三节 重要控制线</w:t>
      </w:r>
    </w:p>
    <w:p w14:paraId="74F6DBD0">
      <w:pPr>
        <w:ind w:firstLine="480"/>
      </w:pPr>
      <w:r>
        <w:rPr>
          <w:rFonts w:hint="eastAsia"/>
        </w:rPr>
        <w:t>第2</w:t>
      </w:r>
      <w:r>
        <w:t>2</w:t>
      </w:r>
      <w:r>
        <w:rPr>
          <w:rFonts w:hint="eastAsia"/>
        </w:rPr>
        <w:t>条 生态保护红线</w:t>
      </w:r>
    </w:p>
    <w:p w14:paraId="3D5BC2C8">
      <w:pPr>
        <w:ind w:firstLine="480"/>
      </w:pPr>
      <w:r>
        <w:rPr>
          <w:rFonts w:hint="eastAsia"/>
        </w:rPr>
        <w:t>严格管控生态保护红线。生态保护红线内，自然保护地核心保护区原则上禁止人为活动；自然保护地一般控制区以及其他区域严格禁止开发性、生产性建设活动，在符合现行法律法规前提下，除国家重大战略项目外，允许对生态功能不造成破坏的有限人为活动。</w:t>
      </w:r>
    </w:p>
    <w:p w14:paraId="044C5531">
      <w:pPr>
        <w:ind w:firstLine="480"/>
      </w:pPr>
      <w:r>
        <w:rPr>
          <w:rFonts w:hint="eastAsia"/>
        </w:rPr>
        <w:t>第2</w:t>
      </w:r>
      <w:r>
        <w:t>3</w:t>
      </w:r>
      <w:r>
        <w:rPr>
          <w:rFonts w:hint="eastAsia"/>
        </w:rPr>
        <w:t>条 永久基本农田</w:t>
      </w:r>
    </w:p>
    <w:p w14:paraId="7F6CE6CE">
      <w:pPr>
        <w:ind w:firstLine="480"/>
      </w:pPr>
      <w:r>
        <w:rPr>
          <w:rFonts w:hint="eastAsia"/>
        </w:rPr>
        <w:t>强化永久基本农田管控，永久基本农田重点用于发展粮食生产，不得转为林地、草地、园地等其他农用地及农业设施建设用地。永久基本农田一经划定，任何单位和个人不得擅自占用或调整，一般项目不得占用永久基本农田，重大建设项目选址确实难以避让的，必须按照相关法律法规办理。</w:t>
      </w:r>
    </w:p>
    <w:p w14:paraId="0FDF5AE9">
      <w:pPr>
        <w:ind w:firstLine="480"/>
      </w:pPr>
      <w:r>
        <w:rPr>
          <w:rFonts w:hint="eastAsia"/>
        </w:rPr>
        <w:t>第四节 国土空间用途管制</w:t>
      </w:r>
    </w:p>
    <w:p w14:paraId="06AF49AE">
      <w:pPr>
        <w:ind w:firstLine="480"/>
      </w:pPr>
      <w:r>
        <w:rPr>
          <w:rFonts w:hint="eastAsia"/>
        </w:rPr>
        <w:t>第2</w:t>
      </w:r>
      <w:r>
        <w:t>6</w:t>
      </w:r>
      <w:r>
        <w:rPr>
          <w:rFonts w:hint="eastAsia"/>
        </w:rPr>
        <w:t>条 用途结构优化</w:t>
      </w:r>
    </w:p>
    <w:p w14:paraId="0DAA520F">
      <w:pPr>
        <w:ind w:firstLine="480"/>
      </w:pPr>
      <w:r>
        <w:rPr>
          <w:rFonts w:hint="eastAsia"/>
        </w:rPr>
        <w:t>1.严格保护耕地与生态用地。严格控制各类建设占用耕地，提高优质耕地面积与比重，至2035年，耕地保有量不低于209.19平方公里。基本稳定实有林地资源，限制林地转为建设用地，林地保有量稳定在95.08平方公里。加快湿地保护、修复与建设，湿地面积稳定在1.92平方公里。加强其他土地开发的生态影响评价，严禁在生态脆弱和环境敏感地区进行土地开发。</w:t>
      </w:r>
    </w:p>
    <w:p w14:paraId="5A1AC59E">
      <w:pPr>
        <w:ind w:firstLine="480"/>
      </w:pPr>
      <w:r>
        <w:rPr>
          <w:rFonts w:hint="eastAsia"/>
        </w:rPr>
        <w:t>2.控制建设用地总量与强度。以“控制总量、优化增量、盘活存量用好流量、提高质量”为原则，优化城乡建设用地内部结构，适度增加城镇建设用地规模，保障乡村振兴发展用地需求。</w:t>
      </w:r>
    </w:p>
    <w:p w14:paraId="501C12C4">
      <w:pPr>
        <w:ind w:firstLine="480"/>
      </w:pPr>
      <w:r>
        <w:rPr>
          <w:rFonts w:hint="eastAsia"/>
        </w:rPr>
        <w:t>3.优化城镇用地结构。以提升人口、经济和产业承载能力为目标，稳定工业与物流仓储等生产空间，进一步补齐民生设施短板，提高住宅用地、公共设施用地等比例，满足居民休闲游憩需求。</w:t>
      </w:r>
    </w:p>
    <w:p w14:paraId="6008D745">
      <w:pPr>
        <w:ind w:firstLine="480"/>
      </w:pPr>
      <w:r>
        <w:rPr>
          <w:rFonts w:hint="eastAsia"/>
        </w:rPr>
        <w:t>（2）相符性分析</w:t>
      </w:r>
    </w:p>
    <w:p w14:paraId="4E376BC0">
      <w:pPr>
        <w:ind w:firstLine="480"/>
      </w:pPr>
      <w:r>
        <w:rPr>
          <w:rFonts w:hint="eastAsia"/>
        </w:rPr>
        <w:t>本轮规划范围位于金坛区国土空间格局中的茅山生态旅游片区，区域规划重点发展旅游度假产业，配套设置相关基础设施，推动旅游与农业的融合发展，在生态保护红线内严格落实管控措施，严格禁止开发性、生产性建设活动，仅适度开展对生态功能不造成破坏的有限人为活动，符合《常州市金坛区国土空间总体规划（2021-2035年）》国土空间总体布局相关要求。</w:t>
      </w:r>
    </w:p>
    <w:p w14:paraId="3F2D7DFD">
      <w:pPr>
        <w:ind w:firstLine="480"/>
      </w:pPr>
      <w:r>
        <w:rPr>
          <w:rFonts w:hint="eastAsia"/>
        </w:rPr>
        <w:t>规划范围内涉及16739.88亩永久基本农田，度假区将严格落实永久基本农田的管控要求，做到不得占用、不得开发、永久性保护，保障永久基本农田面积不减、质量提升、布局稳定，同时完善永久基本农田保护措施，提高监管水平，构建保护有力、集约高效、监管严格的永久基本农田特殊保护新格局。适度规划增加商业及服务业设施用地，逐步优化度假区用地结构，完善旅游服务基础设施，满足游客和居民休闲游憩需求。根据本次用地规划及旅游项目规划布局，区域久基本农田范围不涉及旅游项目的入驻，规划用地类型仍为农林用地，保留其永久基本农田属性。茅山旅游度假区开发建设严禁占用永久基本农田，严禁一切破坏永久基本农田的行为；占用一般耕地的，严格落实耕地占补平衡，做好各项补偿措施。严禁发生向农用地排放可能造成土壤污染的尾矿、矿渣、不达标的清淤底泥等；新占用耕地建窑、建坟或者擅自在耕地上建房、挖砂、采石、采矿、取土等；占用永久基本农田发展林果业和挖塘养鱼的行为。本轮规划末期，区域农林用地保有量将实现增加，建设用地结构将进一步优化，符合国土空间用途管制和结构优化相关要求。</w:t>
      </w:r>
    </w:p>
    <w:p w14:paraId="4F473990">
      <w:pPr>
        <w:ind w:firstLine="480"/>
      </w:pPr>
      <w:r>
        <w:rPr>
          <w:rFonts w:hint="eastAsia"/>
        </w:rPr>
        <w:t>综上所述，度假区规划发展与《常州市金坛区国土空间总体规划（2021-2035年）》中提出的相关要求相协调。</w:t>
      </w:r>
    </w:p>
    <w:p w14:paraId="7A781D4E">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w:t>
      </w:r>
      <w:r>
        <w:rPr>
          <w:rFonts w:hint="eastAsia" w:eastAsia="方正楷体_GBK" w:cs="Times New Roman"/>
          <w:b/>
          <w:bCs/>
          <w:szCs w:val="28"/>
          <w14:ligatures w14:val="none"/>
        </w:rPr>
        <w:t>3</w:t>
      </w:r>
      <w:r>
        <w:rPr>
          <w:rFonts w:eastAsia="方正楷体_GBK" w:cs="Times New Roman"/>
          <w:b/>
          <w:bCs/>
          <w:szCs w:val="28"/>
          <w14:ligatures w14:val="none"/>
        </w:rPr>
        <w:t>.3</w:t>
      </w:r>
      <w:r>
        <w:rPr>
          <w:rFonts w:hint="eastAsia" w:eastAsia="方正楷体_GBK" w:cs="Times New Roman"/>
          <w:b/>
          <w:bCs/>
          <w:szCs w:val="28"/>
          <w14:ligatures w14:val="none"/>
        </w:rPr>
        <w:t>与产业发展相关政策和规划的相符性分析</w:t>
      </w:r>
    </w:p>
    <w:p w14:paraId="6D092AED">
      <w:pPr>
        <w:ind w:firstLine="0" w:firstLineChars="0"/>
        <w:outlineLvl w:val="3"/>
        <w:rPr>
          <w:b/>
          <w:bCs/>
        </w:rPr>
      </w:pPr>
      <w:r>
        <w:rPr>
          <w:rFonts w:hint="eastAsia"/>
          <w:b/>
          <w:bCs/>
        </w:rPr>
        <w:t>2</w:t>
      </w:r>
      <w:r>
        <w:rPr>
          <w:b/>
          <w:bCs/>
        </w:rPr>
        <w:t>.</w:t>
      </w:r>
      <w:r>
        <w:rPr>
          <w:rFonts w:hint="eastAsia"/>
          <w:b/>
          <w:bCs/>
        </w:rPr>
        <w:t>3</w:t>
      </w:r>
      <w:r>
        <w:rPr>
          <w:b/>
          <w:bCs/>
        </w:rPr>
        <w:t>.3.1</w:t>
      </w:r>
      <w:r>
        <w:rPr>
          <w:rFonts w:hint="eastAsia"/>
          <w:b/>
          <w:bCs/>
        </w:rPr>
        <w:t>与国家层面旅游相关政策的相符性分析</w:t>
      </w:r>
    </w:p>
    <w:p w14:paraId="13C0AE07">
      <w:pPr>
        <w:ind w:firstLine="480"/>
      </w:pPr>
      <w:r>
        <w:rPr>
          <w:rFonts w:hint="eastAsia"/>
        </w:rPr>
        <w:t>（1）相关要点</w:t>
      </w:r>
    </w:p>
    <w:p w14:paraId="61E0F39F">
      <w:pPr>
        <w:ind w:firstLine="480"/>
      </w:pPr>
      <w:r>
        <w:rPr>
          <w:rFonts w:hint="eastAsia"/>
        </w:rPr>
        <w:t>《国务院关于加快发展旅游业的意见》（国发〔2009〕41号）提出：（七）加快旅游基础设施建设。重点建设旅游道路、景区停车场、游客服务中心、旅游安全以及资源环境保护等基础设施。实施旅游厕所扩建工程，加强主要景区连接交通干线的旅游公路建设、规划建设水路客运码头要充分考虑旅游业发展需求；（八）推动旅游产品多样化发展。实施乡村旅游富民工程，开展各具特色的农业观光和体验性旅游活动。在妥善保护自然生态、原居环境和历史文化遗存的前提下，合理利用民族村寨、古村古镇，建设特色景观旅游村镇，规范发展“农家乐”、休闲农庄等旅游产品；（十一）丰富旅游文化内涵。把提升文化内涵贯穿到吃住行游购娱各环节和旅游业发展全过程。旅游开发建设要加强自然文化遗产保护，深挖文化内涵，普及科学知识。旅游商品要提高文化创意水平，旅游餐饮要突出文化特色，旅游经营服务要体现人文特质。</w:t>
      </w:r>
    </w:p>
    <w:p w14:paraId="0DEEF3A1">
      <w:pPr>
        <w:ind w:firstLine="480"/>
      </w:pPr>
      <w:r>
        <w:rPr>
          <w:rFonts w:hint="eastAsia"/>
        </w:rPr>
        <w:t>《国务院关于促进旅游业改革发展的若干意见》（国发〔2014〕31号）提出：（六）积极发展休闲度假旅游。在城乡规划中要统筹考虑国民休闲度假需求。加强设施建设，完善服务功能，合理优化布局，营造居民休闲度假空间；（七）大力发展乡村旅游。依托当地区位条件、资源特色和市场需求，挖掘文化内涵，发挥生态优势，突出乡村特点，开发一批形式多样、特色鲜明的乡村旅游产品；（八）创新文化旅游产品。鼓励专业艺术院团与重点旅游目的地合作，打造特色鲜明、艺术水准高的专场剧目。</w:t>
      </w:r>
    </w:p>
    <w:p w14:paraId="23052B4D">
      <w:pPr>
        <w:ind w:firstLine="480"/>
      </w:pPr>
      <w:r>
        <w:rPr>
          <w:rFonts w:hint="eastAsia"/>
        </w:rPr>
        <w:t>《国务院办公厅关于促进全域旅游发展的指导意见》（国办发〔2018〕15号）提出：（四）建设美丽宜居村庄、旅游小镇、风情县城以及城市绿道、慢行系统，支持旅游综合体、主题功能区、中央游憩区等建设。依托风景名胜区、历史文化名城名镇名村、特色景观旅游名镇、传统村落，探索名胜名城名镇名村“四名一体”全域旅游发展模式。（五）推动旅游与农业、林业、水利融合发展。大力发展观光农业、休闲农业、培育田园艺术景观、阳台农艺等创意农业……积极建设森林公园、湿地公园、沙漠公园、海洋公园，发展“森林人家”“森林小镇”。科学合理利用水域和水利工程，发展观光、游憩、休闲度假等水利旅游。（八）提升旅游产品品质。深入挖掘历史文化、地域特色文化、民族民俗文化、传统农耕文化等。</w:t>
      </w:r>
    </w:p>
    <w:p w14:paraId="185AEB36">
      <w:pPr>
        <w:ind w:firstLine="480"/>
      </w:pPr>
      <w:r>
        <w:rPr>
          <w:rFonts w:hint="eastAsia"/>
        </w:rPr>
        <w:t>（2）相符性分析</w:t>
      </w:r>
    </w:p>
    <w:p w14:paraId="72FE3FF8">
      <w:pPr>
        <w:ind w:firstLine="480"/>
      </w:pPr>
      <w:r>
        <w:rPr>
          <w:rFonts w:hint="eastAsia"/>
        </w:rPr>
        <w:t>度假区规划重点发展旅游度假产业，配套设置相关基础设施，推动旅游与农业的融合发展。度假区规划旅游产品体系包括田园主题产品、文化主题产品、康养主题产品、乐活主题产品、乡村主题产品和生态主题产品等多种旅游产品，丰富旅游文化内涵，度假区推进旅游与农业、文化产业融合发展，其中区域南侧规划构建农旅融合发展区，依托金坛现代农业产业示范园、黄金软米大农场建设，以推进茶、稻米产业转型升级为目标，以技术创新为驱动，有效推动茶叶、稻米一二三产业融合发展，打造集研发、培育、种植、加工、仓储、销售、物流、展示、观光、旅游于一体的全产业链发展模式。度假区以道文化为主导，以茶文化、盐文化、佛文化为补充，以保护历史遗存为主要内容，尊重历史，延续文脉，抓住特色，打出品牌，凸显文化底蕴，形成城镇的人文个性。因此，度假区本轮规划与《国务院关于加快发展旅游业的意见》（国发〔2009〕41号）、《国务院关于促进旅游业改革发展的若干意见》（国发〔2014〕31号）、《国务院办公厅关于促进全域旅游发展的指导意见》（国办发〔2018〕15号）中的相关要点相符合。</w:t>
      </w:r>
    </w:p>
    <w:p w14:paraId="1EE906A1">
      <w:pPr>
        <w:ind w:firstLine="0" w:firstLineChars="0"/>
        <w:outlineLvl w:val="3"/>
        <w:rPr>
          <w:b/>
          <w:bCs/>
        </w:rPr>
      </w:pPr>
      <w:r>
        <w:rPr>
          <w:rFonts w:hint="eastAsia"/>
          <w:b/>
          <w:bCs/>
        </w:rPr>
        <w:t>2</w:t>
      </w:r>
      <w:r>
        <w:rPr>
          <w:b/>
          <w:bCs/>
        </w:rPr>
        <w:t>.</w:t>
      </w:r>
      <w:r>
        <w:rPr>
          <w:rFonts w:hint="eastAsia"/>
          <w:b/>
          <w:bCs/>
        </w:rPr>
        <w:t>3</w:t>
      </w:r>
      <w:r>
        <w:rPr>
          <w:b/>
          <w:bCs/>
        </w:rPr>
        <w:t>.3.2</w:t>
      </w:r>
      <w:r>
        <w:rPr>
          <w:rFonts w:hint="eastAsia"/>
          <w:b/>
          <w:bCs/>
        </w:rPr>
        <w:t>与</w:t>
      </w:r>
      <w:bookmarkStart w:id="55" w:name="_Hlk161062285"/>
      <w:r>
        <w:rPr>
          <w:rFonts w:hint="eastAsia"/>
          <w:b/>
          <w:bCs/>
        </w:rPr>
        <w:t>《省政府关于推进旅游业供给侧结构性改革促进旅游投资和消费的意见》</w:t>
      </w:r>
      <w:bookmarkEnd w:id="55"/>
      <w:r>
        <w:rPr>
          <w:rFonts w:hint="eastAsia"/>
          <w:b/>
          <w:bCs/>
        </w:rPr>
        <w:t>相符性分析</w:t>
      </w:r>
    </w:p>
    <w:p w14:paraId="6CB019F0">
      <w:pPr>
        <w:ind w:firstLine="480"/>
      </w:pPr>
      <w:r>
        <w:rPr>
          <w:rFonts w:hint="eastAsia"/>
        </w:rPr>
        <w:t>（1）相关要点</w:t>
      </w:r>
    </w:p>
    <w:p w14:paraId="3AE00905">
      <w:pPr>
        <w:ind w:firstLine="480"/>
      </w:pPr>
      <w:r>
        <w:rPr>
          <w:rFonts w:hint="eastAsia"/>
        </w:rPr>
        <w:t>《省政府关于推进旅游业供给侧结构性改革促进旅游投资和消费的意见》（苏政发〔2016〕134号）提出：二、扩大旅游产品有效供给（一）大力开发休闲度假产品。培育新型休闲度假产品，大力开发康养型、休闲型、亲子型、运动型、研学型、文创型、娱乐型、体验型等度假产品；开发夜间休闲旅游产品。支持打造特色水上夜游项目。鼓励有条件的景区开发夜间游览项目，延长游客逗留时间。鼓励各地通过自主研发、品牌合作等方式开发旅游演艺产品。（二）深入推进“旅游+”融合发展。持续推进旅游业与相关产业融合发展，重点打造工业旅游、会奖旅游、体育休闲、康体养生、休闲农业、文化创意等新型旅游产品；推动乡村旅游提档升级。依托风情旅游小镇，加快乡村旅游产品从传统“农家乐”向乡村生活、休闲度假转型升级。培育建设一批乡村主题度假酒店、乡村精品民宿客栈、乡村度假庄园、研学旅行基地、乡村民俗体验馆等新产品，鼓励星级旅游饭店参与乡村旅游特色住宿业发展，提升乡村旅游文化创意水平。依托农业特色产业和农耕文化，打造一批休闲观光农业和创意农业精品。推广乡村旅游等级标准，完善乡村旅游服务设施，开展乡村旅游厨卫设施达标升级行动。推进乡村旅游和最美乡村、生态镇村建设和村庄环境改善提升等融合发展，开展特色景观旅游名镇名村创建工作。三、大力促进旅游投资（一）发挥旅游强企投资带动作用。推动旅游企业做大做强，打造一批有实力、善创意、会运作的旅游龙头企业。</w:t>
      </w:r>
    </w:p>
    <w:p w14:paraId="3FC6CFF8">
      <w:pPr>
        <w:ind w:firstLine="480"/>
      </w:pPr>
      <w:r>
        <w:rPr>
          <w:rFonts w:hint="eastAsia"/>
        </w:rPr>
        <w:t>（2）相符性分析</w:t>
      </w:r>
    </w:p>
    <w:p w14:paraId="49253E0D">
      <w:pPr>
        <w:ind w:firstLine="480"/>
      </w:pPr>
      <w:r>
        <w:rPr>
          <w:rFonts w:hint="eastAsia"/>
        </w:rPr>
        <w:t>度假区规划重点发展旅游度假产业，配套设置相关基础设施，推动旅游与农业的融合发展。度假区规划旅游产品体系包括游乐主题产品、道文化主题产品、康养主题产品、旅居主题产品、乡村主题产品和生态主题产品等多种旅游产品，丰富旅游文化内涵，度假区推进旅游与农业、文化产业融合发展，其中区域南侧规划构建农旅融合发展区，依托金坛现代农业产业示范园、黄金软米大农场建设，以推进茶、稻米产业转型升级为目标，以技术创新为驱动，有效推动茶叶、稻米一二三产业融合发展，打造集研发、培育、种植、加工、仓储、销售、物流、展示、观光、旅游于一体的全产业链发展模式。度假区规划在仙姑美丽乡村、上阮村、山蓬村等乡村建设特色“农家乐”、民宿等项目，不断完善乡村旅游服务设施，构建形成旅游服务中心一处、次级旅游服务中心三处、旅游服务点若干的“一主三次多点”旅游服务设施体系。综上所述，度假区本轮规划与《省政府关于推进旅游业供给侧结构性改革促进旅游投资和消费的意见》相符合。</w:t>
      </w:r>
    </w:p>
    <w:p w14:paraId="34CA5436">
      <w:pPr>
        <w:ind w:firstLine="0" w:firstLineChars="0"/>
        <w:outlineLvl w:val="3"/>
        <w:rPr>
          <w:b/>
          <w:bCs/>
        </w:rPr>
      </w:pPr>
      <w:r>
        <w:rPr>
          <w:rFonts w:hint="eastAsia"/>
          <w:b/>
          <w:bCs/>
        </w:rPr>
        <w:t>2</w:t>
      </w:r>
      <w:r>
        <w:rPr>
          <w:b/>
          <w:bCs/>
        </w:rPr>
        <w:t>.</w:t>
      </w:r>
      <w:r>
        <w:rPr>
          <w:rFonts w:hint="eastAsia"/>
          <w:b/>
          <w:bCs/>
        </w:rPr>
        <w:t>3</w:t>
      </w:r>
      <w:r>
        <w:rPr>
          <w:b/>
          <w:bCs/>
        </w:rPr>
        <w:t>.3.3</w:t>
      </w:r>
      <w:r>
        <w:rPr>
          <w:rFonts w:hint="eastAsia"/>
          <w:b/>
          <w:bCs/>
        </w:rPr>
        <w:t>与</w:t>
      </w:r>
      <w:bookmarkStart w:id="56" w:name="_Hlk161062301"/>
      <w:r>
        <w:rPr>
          <w:rFonts w:hint="eastAsia"/>
          <w:b/>
          <w:bCs/>
        </w:rPr>
        <w:t>《“十四五”文化和旅游发展规划》《江苏省“十四五”文化和旅游发展规划》</w:t>
      </w:r>
      <w:bookmarkEnd w:id="56"/>
      <w:r>
        <w:rPr>
          <w:rFonts w:hint="eastAsia"/>
          <w:b/>
          <w:bCs/>
        </w:rPr>
        <w:t>《常州市“十四五”文化和旅游融合发展规划》相符性分析</w:t>
      </w:r>
    </w:p>
    <w:p w14:paraId="510D6D23">
      <w:pPr>
        <w:ind w:firstLine="480"/>
      </w:pPr>
      <w:r>
        <w:rPr>
          <w:rFonts w:hint="eastAsia"/>
        </w:rPr>
        <w:t>（1）相关要点</w:t>
      </w:r>
    </w:p>
    <w:p w14:paraId="0B20C989">
      <w:pPr>
        <w:ind w:firstLine="480"/>
      </w:pPr>
      <w:r>
        <w:rPr>
          <w:rFonts w:hint="eastAsia"/>
        </w:rPr>
        <w:t>《“十四五”文化和旅游发展规划》针对旅游业提出“旅游业体系更加健全，旅游业对国民经济综合贡献度不断提高，大众旅游深入发展，旅游及相关产业增加值占GDP比重不断提高，国内旅游和入境旅游人次稳步增长，出境旅游健康规范发展。”的发展目标。</w:t>
      </w:r>
    </w:p>
    <w:p w14:paraId="03E03CE1">
      <w:pPr>
        <w:ind w:firstLine="480"/>
      </w:pPr>
      <w:r>
        <w:rPr>
          <w:rFonts w:hint="eastAsia"/>
        </w:rPr>
        <w:t>加强考古发掘和</w:t>
      </w:r>
      <w:r>
        <w:rPr>
          <w:rFonts w:hint="eastAsia"/>
          <w:b/>
          <w:bCs/>
        </w:rPr>
        <w:t>文物保护利用</w:t>
      </w:r>
      <w:r>
        <w:rPr>
          <w:rFonts w:hint="eastAsia"/>
        </w:rPr>
        <w:t>。全面加强考古发掘研究，做好考古成果的挖掘整理工作，深入阐释文物蕴含的中华文化精神和时代价值，努力建设中国特色、中国风格、中国气派的考古学。……健全不可移动文物保护机制，把文物保护管理纳入国土空间规划编制和实施。</w:t>
      </w:r>
    </w:p>
    <w:p w14:paraId="4C8C2861">
      <w:pPr>
        <w:ind w:firstLine="480"/>
      </w:pPr>
      <w:r>
        <w:rPr>
          <w:rFonts w:hint="eastAsia"/>
        </w:rPr>
        <w:t>完善现代旅游业体系。深化旅游业供给侧结构性改革，深入推进大众旅游、智慧旅游和“旅游+”“+旅游”，提供更多优质旅游产品和服务，加强区域旅游品牌和服务整合，完善综合效益高、带动能力强的现代旅游业体系，努力实现旅游业高质量发展。（二）积极发展智慧旅游。加强旅游信息基础设施建设，深化“互联网+旅游”，加快推进以数字化、网络化、智能化为特征的智慧旅游发展。……（五）</w:t>
      </w:r>
      <w:r>
        <w:rPr>
          <w:rFonts w:hint="eastAsia"/>
          <w:b/>
          <w:bCs/>
        </w:rPr>
        <w:t>完善旅游公共设施</w:t>
      </w:r>
      <w:r>
        <w:rPr>
          <w:rFonts w:hint="eastAsia"/>
        </w:rPr>
        <w:t>。优化旅游公共设施布局，增强旅游集散中心、游客服务中心、咨询中心的公共服务功能，完善旅游公共服务配套设施，推进旅游景区、度假区、休闲街区、游客服务中心等标识体系建设。……加强旅游交通设施建设，提高旅游目的地进入通达性和便捷性。完善旅游绿道体系。</w:t>
      </w:r>
    </w:p>
    <w:p w14:paraId="37F5E442">
      <w:pPr>
        <w:ind w:firstLine="480"/>
      </w:pPr>
      <w:r>
        <w:rPr>
          <w:rFonts w:hint="eastAsia"/>
        </w:rPr>
        <w:t>《江苏省“十四五”文化和旅游发展规划》中提出，到2025年，文化事业、文化产业和旅游业高质量发展取得重大进展，文化和旅游融合发展体制更加完善，……大众旅游、智慧旅游蓬勃发展，优质旅游产品成为“人们心目中最美的江苏”重要窗口，文化和旅游市场繁荣有序，形成更多主导性“江苏标准”的发展目标。</w:t>
      </w:r>
    </w:p>
    <w:p w14:paraId="6F429BB4">
      <w:pPr>
        <w:ind w:firstLine="480"/>
      </w:pPr>
      <w:r>
        <w:rPr>
          <w:rFonts w:hint="eastAsia"/>
        </w:rPr>
        <w:t>（七）加强文化遗产研究保护传承利用。发展考古遗址遗迹游，推动有条件的考古遗址在充分保护的前提下打造考古遗址公园、博物馆、景区景点等，成为满足大众探寻历史的重要载体和旅游名片</w:t>
      </w:r>
    </w:p>
    <w:p w14:paraId="695C3F86">
      <w:pPr>
        <w:ind w:firstLine="480"/>
      </w:pPr>
      <w:r>
        <w:rPr>
          <w:rFonts w:hint="eastAsia"/>
        </w:rPr>
        <w:t>（八）</w:t>
      </w:r>
      <w:r>
        <w:rPr>
          <w:rFonts w:hint="eastAsia"/>
          <w:b/>
          <w:bCs/>
        </w:rPr>
        <w:t>深化文化和旅游产业融合发展</w:t>
      </w:r>
      <w:r>
        <w:rPr>
          <w:rFonts w:hint="eastAsia"/>
        </w:rPr>
        <w:t>。迭代升级红色旅游、乡村旅游等已有融合业态。引导乡村旅游、旅游民宿连点串线成片发展，突出乡村风情特色，打造江南水乡为主题的乡村旅游集聚区。</w:t>
      </w:r>
    </w:p>
    <w:p w14:paraId="12FDF0B1">
      <w:pPr>
        <w:ind w:firstLine="480"/>
      </w:pPr>
      <w:r>
        <w:rPr>
          <w:rFonts w:hint="eastAsia"/>
        </w:rPr>
        <w:t>《常州市“十四五”文化和旅游融合发展规划》中提出，到2025年，文化强市建设取得重大进展，实现文旅中轴起和建成长三角休闲度假中心，常州文化和旅游融合发展进入新局面。……构建现代高效的产业供给体系、公共服务体系和市场体系形成“一核两带四极四片”文化和旅游发展格局……。其中茅山道养度假驱动级总体发展思路为：构建茅山“道养”产品体系。加快培育“茅山肴、茅山居、茅山趣、茅山道、茅山礼、茅山行、茅山养、茅山阑”八重道养产品体系，精细化开发主题产品，打造深度养生系统，塑造和彰显度假目的地主题和个性。丰富多元休闲度假产品。围绕游客多样化旅游需求，丰富康体疗养、夜游休闲、娱乐休闲度假产品，重视亲子家庭度假产品的打造，撬动周末经济，引领长三角家庭旅居消费潮流。推动国家级旅游度假区创建。精准对焦国家级旅游度假区创建的重点与难点，根据国家标准要求和度假区实际情况，重点推动度假产品吸引力提升、度假配套设施完善、度假旅游氛围营造、度假服务品质提高及品牌塑造与推广等工程的实施。</w:t>
      </w:r>
    </w:p>
    <w:p w14:paraId="33077731">
      <w:pPr>
        <w:ind w:firstLine="480"/>
      </w:pPr>
      <w:r>
        <w:rPr>
          <w:rFonts w:hint="eastAsia"/>
        </w:rPr>
        <w:t>（2）相符性分析</w:t>
      </w:r>
    </w:p>
    <w:p w14:paraId="407451D1">
      <w:pPr>
        <w:ind w:firstLine="480"/>
      </w:pPr>
      <w:r>
        <w:rPr>
          <w:rFonts w:hint="eastAsia"/>
        </w:rPr>
        <w:t>度假区规划重点发展旅游度假产业，配套设置相关基础设施，推动旅游与农业的融合发展。度假区规划旅游产品体系包括游乐主题产品、道文化主题产品、康养主题产品、旅居主题产品、乡村主题产品和生态主题产品等多种旅游产品，丰富旅游文化内涵，度假区推进旅游与农业、文化产业融合发展，其中区域南侧规划构建农旅融合发展区，依托金坛现代农业产业示范园、黄金软米大农场建设，以推进茶、稻米产业转型升级为目标，以技术创新为驱动，有效推动茶叶、稻米一二三产业融合发展，打造集研发、培育、种植、加工、仓储、销售、物流、展示、观光、旅游于一体的全产业链发展模式。北侧临茅山区域打造道文化体验区，加强道文化研究、传承与交流；进一步提升景观环境的美学水准，强化宗教空间的精神感召力；提升现有宗教祈福、道家早晚课、道乐赏析、道教养生讲堂、道茶夜话、体道班等体验活动，完善住宿、餐饮等配套设施，提升道文化氛围。核心区域打造盐之有道度假区，在现状开发建设基础上，通过道盐资源创新开发、在建项目持续推进、滨水公共空间打造等措施，将此区域建设为具有度假、游乐、休闲、康养、旅居、运动等功能的盐道主题旅游度假胜地。度假区以道文化为主导，以茶文化、盐文化、佛文化为补充，以保护历史遗存为主要内容，尊重历史，延续文脉，抓住特色，打出品牌，凸显文化底蕴，形成城镇的人文个性。综上所述，度假区本轮规划与《“十四五”文化和旅游发展规划》《江苏省“十四五”文化和旅游发展规划》《常州市“十四五”文化和旅游融合发展规划》相符合。</w:t>
      </w:r>
    </w:p>
    <w:p w14:paraId="49738F8C">
      <w:pPr>
        <w:ind w:firstLine="0" w:firstLineChars="0"/>
        <w:outlineLvl w:val="3"/>
        <w:rPr>
          <w:b/>
          <w:bCs/>
        </w:rPr>
      </w:pPr>
      <w:r>
        <w:rPr>
          <w:rFonts w:hint="eastAsia"/>
          <w:b/>
          <w:bCs/>
        </w:rPr>
        <w:t>2</w:t>
      </w:r>
      <w:r>
        <w:rPr>
          <w:b/>
          <w:bCs/>
        </w:rPr>
        <w:t>.</w:t>
      </w:r>
      <w:r>
        <w:rPr>
          <w:rFonts w:hint="eastAsia"/>
          <w:b/>
          <w:bCs/>
        </w:rPr>
        <w:t>3</w:t>
      </w:r>
      <w:r>
        <w:rPr>
          <w:b/>
          <w:bCs/>
        </w:rPr>
        <w:t>.3.4</w:t>
      </w:r>
      <w:r>
        <w:rPr>
          <w:rFonts w:hint="eastAsia"/>
          <w:b/>
          <w:bCs/>
        </w:rPr>
        <w:t>与</w:t>
      </w:r>
      <w:bookmarkStart w:id="57" w:name="_Hlk160178189"/>
      <w:r>
        <w:rPr>
          <w:rFonts w:hint="eastAsia"/>
          <w:b/>
          <w:bCs/>
        </w:rPr>
        <w:t>《长江经济带发展负面清单指南（试行，2022年版）》《长江经济带发展负面清单指南（试行 2022年版）－江苏省实施细则》</w:t>
      </w:r>
      <w:bookmarkEnd w:id="57"/>
      <w:r>
        <w:rPr>
          <w:rFonts w:hint="eastAsia"/>
          <w:b/>
          <w:bCs/>
        </w:rPr>
        <w:t>相符性分析</w:t>
      </w:r>
    </w:p>
    <w:p w14:paraId="7156D8C8">
      <w:pPr>
        <w:ind w:firstLine="480"/>
      </w:pPr>
      <w:r>
        <w:rPr>
          <w:rFonts w:hint="eastAsia"/>
        </w:rPr>
        <w:t>（1）相关要点</w:t>
      </w:r>
    </w:p>
    <w:p w14:paraId="2BC75237">
      <w:pPr>
        <w:ind w:firstLine="480"/>
      </w:pPr>
      <w:r>
        <w:rPr>
          <w:rFonts w:hint="eastAsia"/>
        </w:rPr>
        <w:t>《长江经济带发展负面清单指南（试行，2022年版）》提出……2.禁止在自然保护区核心区、缓冲区的岸线和河段范围内投资建设旅游和生产经营项目。禁止在风景名胜区核心景区的岸线和河段范围内投资建设与风景名胜资源保护无关的项目。</w:t>
      </w:r>
    </w:p>
    <w:p w14:paraId="18A9CEA4">
      <w:pPr>
        <w:ind w:firstLine="480"/>
      </w:pPr>
      <w:r>
        <w:rPr>
          <w:rFonts w:hint="eastAsia"/>
        </w:rPr>
        <w:t>《长江经济带发展负面清单指南（试行 2022年版）－江苏省实施细则》提出，……2.严格执行《中华人民共和国自然保护区条例》，禁止在自然保护区核心区、缓冲区的岸线和河段范围内投资建设旅游和生产经营项目。严格执行《风景名胜区条例》《江苏省风景名胜区管理条例》，禁止在国家级和省级风景名胜区核心景区的岸线和河段范围内投资建设与风景名胜资源保护无关的项目。……10.禁止在太湖流域一、二、三级保护区内开展《江苏省太湖水污染防治条例》禁止的投资建设活动。……18.禁止新建、扩建国家《产业结构调整指导目录》《江苏省产业结构调整限制、淘汰和禁止目录》明确的限制类、淘汰类禁止类项目，法律法规和相关政策明令禁止的落后产能项目，以及明令淘汰的安全生产落后工艺及装备项目</w:t>
      </w:r>
    </w:p>
    <w:p w14:paraId="45692811">
      <w:pPr>
        <w:ind w:firstLine="480"/>
      </w:pPr>
      <w:r>
        <w:rPr>
          <w:rFonts w:hint="eastAsia"/>
        </w:rPr>
        <w:t>（2）相符性分析</w:t>
      </w:r>
    </w:p>
    <w:p w14:paraId="6E3300BF">
      <w:pPr>
        <w:ind w:firstLine="480"/>
      </w:pPr>
      <w:r>
        <w:rPr>
          <w:rFonts w:hint="eastAsia"/>
        </w:rPr>
        <w:t>度假区位于江苏省常州市金坛区，属于省级旅游度假区，区内有江苏茅山风景名胜区（金坛一侧）并涉及茅东省级森林公园生态保护红线以及茅东山地水源涵养区、四棚洼生态公益林、方山（金坛区）森林公园、向阳水库水源涵养区4处生态空间管控区域，度假区在后续开发建设过程中将严格对照《省政府关于印发江苏省国家级生态保护红线规划的通知》（苏政发〔2018〕74号）、《省政府关于印发江苏省生态空间管控区域规划的通知》（苏政发〔2020〕1号）、《省政府办公厅关于印发江苏省生态空间管控区域监督管理办法的通知》（苏政办发〔2021〕20号）等文件，按要求分级分类管控，自然保护区核心区内不涉及投资建设旅游和生产经营项目。度假区本轮规划的实施不会对生态保护红线和生态空间管控区域产生不利影响。区域范围内无化工园区和化工项目，也涉及不新建、扩建化工园和化工项目。度假区重点发展旅游度假产业，不开展《江苏省太湖水污染防治条例》中禁止的投资建设活动，也不新建、扩建国家《产业结构调整指导目录》《江苏省产业结构调整限制、淘汰和禁止目录》中限制类、淘汰类和禁止类项目。综上所述，度假区本轮规划与《长江经济带发展负面清单指南（试行，2022年版）》《长江经济带发展负面清单指南（试行 2022年版）－江苏省实施细则》中相关要求相符合。</w:t>
      </w:r>
    </w:p>
    <w:p w14:paraId="35B080CB">
      <w:pPr>
        <w:ind w:firstLine="0" w:firstLineChars="0"/>
        <w:outlineLvl w:val="3"/>
        <w:rPr>
          <w:b/>
          <w:bCs/>
        </w:rPr>
      </w:pPr>
      <w:r>
        <w:rPr>
          <w:rFonts w:hint="eastAsia"/>
          <w:b/>
          <w:bCs/>
        </w:rPr>
        <w:t>2</w:t>
      </w:r>
      <w:r>
        <w:rPr>
          <w:b/>
          <w:bCs/>
        </w:rPr>
        <w:t>.</w:t>
      </w:r>
      <w:r>
        <w:rPr>
          <w:rFonts w:hint="eastAsia"/>
          <w:b/>
          <w:bCs/>
        </w:rPr>
        <w:t>3</w:t>
      </w:r>
      <w:r>
        <w:rPr>
          <w:b/>
          <w:bCs/>
        </w:rPr>
        <w:t>.3.</w:t>
      </w:r>
      <w:r>
        <w:rPr>
          <w:rFonts w:hint="eastAsia"/>
          <w:b/>
          <w:bCs/>
        </w:rPr>
        <w:t>5与《江苏省“十四五”乡村产业发展规划》《江苏省“十四五”全面推进乡村振兴加快农业农村现代化规划》《常州市“十四五”农业农村现代化规划》相符性分析</w:t>
      </w:r>
    </w:p>
    <w:p w14:paraId="4F49CAAE">
      <w:pPr>
        <w:ind w:firstLine="480"/>
        <w:rPr>
          <w:rFonts w:cs="Times New Roman"/>
        </w:rPr>
      </w:pPr>
      <w:r>
        <w:rPr>
          <w:rFonts w:hint="eastAsia" w:cs="Times New Roman"/>
        </w:rPr>
        <w:t>（1）规划要点</w:t>
      </w:r>
    </w:p>
    <w:p w14:paraId="5CF1545E">
      <w:pPr>
        <w:ind w:firstLine="480"/>
        <w:rPr>
          <w:rFonts w:cs="Times New Roman"/>
        </w:rPr>
      </w:pPr>
      <w:bookmarkStart w:id="58" w:name="_Hlk166588529"/>
      <w:r>
        <w:rPr>
          <w:rFonts w:hint="eastAsia" w:cs="Times New Roman"/>
        </w:rPr>
        <w:t>《江苏省“十四五”乡村产业发展规划》</w:t>
      </w:r>
      <w:bookmarkEnd w:id="58"/>
      <w:r>
        <w:rPr>
          <w:rFonts w:hint="eastAsia" w:cs="Times New Roman"/>
        </w:rPr>
        <w:t>提出……乡村新兴产业蓬勃发展，农业服务业多元拓展。乡村休闲旅游农业年综合收入超过1300亿元，江苏特色乡村休闲旅游农业品牌影响力持续提升，培育一批全域化精品农旅区。农产品网上销售额占农林牧渔总产值比重达到16%。乡村新型服务业内涵不断拓展，农林牧渔服务业增加值超过440亿元。乡村产业融合叠加深化，农村创业创新更加活跃。培育一批农村产业融合先导区，农村一二三产业深度融合，农业全产业链价值占县域生产总值的比重实现较大幅度提高。</w:t>
      </w:r>
    </w:p>
    <w:p w14:paraId="313E8E37">
      <w:pPr>
        <w:ind w:firstLine="480"/>
        <w:rPr>
          <w:rFonts w:cs="Times New Roman"/>
        </w:rPr>
      </w:pPr>
      <w:r>
        <w:rPr>
          <w:rFonts w:hint="eastAsia" w:cs="Times New Roman"/>
        </w:rPr>
        <w:t>《江苏省“十四五”全面推进乡村振兴加快农业农村现代化规划》提出全面推进乡村建设行动。加快农业农村现代基础设施建设，推动农村基础设施提档升级。强化乡村生态建设，苏南有条件地区自然村生活污水治理率达90%。深入推进特色田园乡村建设和美丽宜居乡村建设，建成1000个特色田园乡村，一万个美丽宜居乡村。</w:t>
      </w:r>
    </w:p>
    <w:p w14:paraId="47E29551">
      <w:pPr>
        <w:ind w:firstLine="480"/>
        <w:rPr>
          <w:rFonts w:cs="Times New Roman"/>
        </w:rPr>
      </w:pPr>
      <w:r>
        <w:rPr>
          <w:rFonts w:hint="eastAsia" w:cs="Times New Roman"/>
        </w:rPr>
        <w:t>《常州市“十四五”农业农村现代化规划》提出坚持个性化、特色化发展方向，以农耕文化为魂、美丽田园为韵、生态农业为基、古朴村落为形、创新创意为径，开发形式多样、独具特色、个性突出的乡村休闲旅游业态和产品。突出特色化，开发特色资源，发掘农业多种功能和乡村多重价值，发展特色突出、主题鲜明的乡村休闲旅游项目。</w:t>
      </w:r>
    </w:p>
    <w:p w14:paraId="5A872D40">
      <w:pPr>
        <w:ind w:firstLine="480"/>
        <w:rPr>
          <w:rFonts w:cs="Times New Roman"/>
        </w:rPr>
      </w:pPr>
      <w:r>
        <w:rPr>
          <w:rFonts w:hint="eastAsia" w:cs="Times New Roman"/>
        </w:rPr>
        <w:t>彰显功能差异，依据消费者在吃住行游购娱方面的不同需求，发展采摘园、垂钓园、农家宴、民俗村、风情街等乡村休闲旅游项目。突出多样化，推进业态多样化，统筹发展农家乐、休闲园区、生态园、乡村休闲旅游聚集村等业态。推进模式多样，跨界配置乡村休闲旅游与文化教育、健康养生、信息技术等产业要素，发展共享农庄、康体养老、线上云游等模式。</w:t>
      </w:r>
    </w:p>
    <w:p w14:paraId="0EDFCE83">
      <w:pPr>
        <w:ind w:firstLine="480"/>
        <w:rPr>
          <w:rFonts w:cs="Times New Roman"/>
        </w:rPr>
      </w:pPr>
      <w:r>
        <w:rPr>
          <w:rFonts w:hint="eastAsia" w:cs="Times New Roman"/>
        </w:rPr>
        <w:t>（2）相符性分析</w:t>
      </w:r>
    </w:p>
    <w:p w14:paraId="3B023E66">
      <w:pPr>
        <w:ind w:firstLine="480"/>
      </w:pPr>
      <w:r>
        <w:rPr>
          <w:rFonts w:hint="eastAsia"/>
        </w:rPr>
        <w:t>本次茅山旅游度假区规划产业引导涵盖农业，提出依托道茶、道药、水果、蔬菜等农业资源，在区域内增加农业科普教育类、休闲娱乐类旅游功能，引导茅山旅游度假区农业项目多功能发展；依托农业文化、民俗文化等，开发农艺博物馆、DIY手工坊、创意景观园、摄影驿站等旅游项目，在上阮村、山蓬村区域重点打造“农旅融合发展区”，实现农业的主题化、特色化发展的要求，这与《江苏省“十四五”乡村产业发展规划》中“</w:t>
      </w:r>
      <w:r>
        <w:rPr>
          <w:rFonts w:hint="eastAsia" w:cs="Times New Roman"/>
        </w:rPr>
        <w:t>乡村新兴产业蓬勃发展，农业服务业多元拓展</w:t>
      </w:r>
      <w:r>
        <w:rPr>
          <w:rFonts w:hint="eastAsia"/>
        </w:rPr>
        <w:t>”和《常州市“十四五”农业农村现代化规划》中“开发形式多样、独具特色、个性突出的乡村休闲旅游业态和产品……发展特色突出、主题鲜明的乡村休闲旅游项目”的相关要点相符合。</w:t>
      </w:r>
    </w:p>
    <w:p w14:paraId="60209B7B">
      <w:pPr>
        <w:ind w:firstLine="480"/>
      </w:pPr>
      <w:r>
        <w:rPr>
          <w:rFonts w:hint="eastAsia"/>
        </w:rPr>
        <w:t>规划涵盖基础设施、服务体系、综合交通规划内容，对旅游道路、停车场、服务中心等进行了详细规划，强化了农村基础设施的建设；在农村发展建设中加强农村人居环境综合整治，推进农村生活污水治理，2025年规划农村生活污水治理率达到100%，这与《江苏省“十四五”全面推进乡村振兴加快农业农村现代化规划》提出“全面推进乡村建设行动”相关要点相符合。</w:t>
      </w:r>
    </w:p>
    <w:p w14:paraId="5DF9A203">
      <w:pPr>
        <w:ind w:firstLine="480"/>
      </w:pPr>
      <w:r>
        <w:rPr>
          <w:rFonts w:hint="eastAsia"/>
        </w:rPr>
        <w:t>综上所述，本轮规划与《江苏省“十四五”乡村产业发展规划》《江苏省“十四五”全面推进乡村振兴加快农业农村现代化规划》《常州市“十四五”农业农村现代化规划》相关规划要求相符合。</w:t>
      </w:r>
    </w:p>
    <w:p w14:paraId="4CC92F3F">
      <w:pPr>
        <w:ind w:firstLine="0" w:firstLineChars="0"/>
        <w:outlineLvl w:val="3"/>
        <w:rPr>
          <w:b/>
          <w:bCs/>
        </w:rPr>
      </w:pPr>
      <w:r>
        <w:rPr>
          <w:rFonts w:hint="eastAsia"/>
          <w:b/>
          <w:bCs/>
        </w:rPr>
        <w:t>2</w:t>
      </w:r>
      <w:r>
        <w:rPr>
          <w:b/>
          <w:bCs/>
        </w:rPr>
        <w:t>.</w:t>
      </w:r>
      <w:r>
        <w:rPr>
          <w:rFonts w:hint="eastAsia"/>
          <w:b/>
          <w:bCs/>
        </w:rPr>
        <w:t>3</w:t>
      </w:r>
      <w:r>
        <w:rPr>
          <w:b/>
          <w:bCs/>
        </w:rPr>
        <w:t>.3.</w:t>
      </w:r>
      <w:r>
        <w:rPr>
          <w:rFonts w:hint="eastAsia"/>
          <w:b/>
          <w:bCs/>
        </w:rPr>
        <w:t>6与《江苏省持续推动文化旅游业高质量发展三年行动计划（2025－2027年）》相符性分析</w:t>
      </w:r>
    </w:p>
    <w:p w14:paraId="5D265BC7">
      <w:pPr>
        <w:ind w:firstLine="480"/>
      </w:pPr>
      <w:r>
        <w:rPr>
          <w:rFonts w:hint="eastAsia"/>
        </w:rPr>
        <w:t>（1）相关要点</w:t>
      </w:r>
    </w:p>
    <w:p w14:paraId="239BBD9B">
      <w:pPr>
        <w:ind w:firstLine="480"/>
      </w:pPr>
      <w:r>
        <w:rPr>
          <w:rFonts w:hint="eastAsia"/>
        </w:rPr>
        <w:t>（一）丰富文旅融合业态产品。创作推出一批接地气、有人气的优秀文艺作品，推动文学、艺术、影视、动漫等领域精品力作转化为优质旅游产品。迭代升级“演出＋旅游”“展览＋旅游”“影视＋旅游”“地名＋旅游”等业态，扩大高品质演唱会、音乐节、文化展览等文化供给……</w:t>
      </w:r>
    </w:p>
    <w:p w14:paraId="28C5B4C2">
      <w:pPr>
        <w:ind w:firstLine="480"/>
      </w:pPr>
      <w:r>
        <w:rPr>
          <w:rFonts w:hint="eastAsia"/>
        </w:rPr>
        <w:t>（二）深化拓展“文旅＋百业”“百业＋文旅”。促进文旅与农业、工业、交通、林业等领域有机融合……建好用好生态旅游区、工业旅游区，推出一批研学旅游营地基地和温泉、康养等度假旅游产品。加强规范管理，打造多样化、差异化低空旅游产品。</w:t>
      </w:r>
    </w:p>
    <w:p w14:paraId="43B43AF6">
      <w:pPr>
        <w:ind w:firstLine="480"/>
      </w:pPr>
      <w:r>
        <w:rPr>
          <w:rFonts w:hint="eastAsia"/>
        </w:rPr>
        <w:t>（四）推动城乡文旅全域提升。推进旅游景区提质升级和旅游度假区品牌提升，创新体验场景和管理服务，提高游客复游率……鼓励各地结合城市更新发展全域旅游，推动文化活动、旅游景点与商圈、街区、酒店、餐饮等有机融合，打造“沉浸城市”休闲空间。引导各地依托资源禀赋加快发展县域旅游，培育一批旅游名县。推动文化产业赋能乡村振兴，推出一批“微旅游”“旅居游”等线路产品，建设提升200个省级以上乡村旅游特色村镇，支持兴化东罗村等争创世界“最佳旅游乡村”。</w:t>
      </w:r>
    </w:p>
    <w:p w14:paraId="7446C9F4">
      <w:pPr>
        <w:ind w:firstLine="480"/>
      </w:pPr>
      <w:r>
        <w:rPr>
          <w:rFonts w:hint="eastAsia"/>
        </w:rPr>
        <w:t>（十二）突出重大项目牵引。……鼓励各地在保护文化遗产和生态资源的前提下，科学规划建设文旅增量项目，并推动高质高效运营。</w:t>
      </w:r>
    </w:p>
    <w:p w14:paraId="5ABE86A2">
      <w:pPr>
        <w:ind w:firstLine="480"/>
      </w:pPr>
      <w:r>
        <w:rPr>
          <w:rFonts w:hint="eastAsia"/>
        </w:rPr>
        <w:t>（2）相符性分析</w:t>
      </w:r>
    </w:p>
    <w:p w14:paraId="5A3FCB64">
      <w:pPr>
        <w:ind w:firstLine="480"/>
      </w:pPr>
      <w:r>
        <w:rPr>
          <w:rFonts w:hint="eastAsia"/>
        </w:rPr>
        <w:t>本次茅山旅游度假区规划以尊重自然基底条件，发挥资源特色，以山水风景为基，紧紧围绕“高标准、精品化、特色化”的发展要求，全面推动“文旅+”与“+文旅”产业，努力建设文旅产业融合发展集聚区、文旅产业创新发展先行区、文旅产业转型升级示范区，将茅山旅游度假区打造成为“长三角知名生态旅游休闲地”“长三角休闲度假中心最美窗口”和“全国知名的逍遥生活目的地”，结合区域美丽乡村特色建设，规划以文化产业赋能乡村振兴，打造特色乡村旅游产品，并配套相应餐饮、酒店设施。同时，规划产业囊括康养旅居产业，规划深入挖掘茅山文化、茶文化、民俗文化等本土文化中的养生元，融合区内优质自然环境，依托高品质酒店住宿设施、特色物产以及康体养生理疗项目，针对活力老人、亚健康、长三角大都市人群包装组合康养旅居产品，培育和集聚多元的康养、餐饮、娱乐业态。综上，本次规划与《江苏省持续推动文化旅游业高质量发展三年行动计划（2025－2027年）》中“丰富文旅融合业态产品”“推动文化产业赋能乡村振兴”“科学规划建设文旅增量”等要求相符合。</w:t>
      </w:r>
    </w:p>
    <w:p w14:paraId="5C6AB3A9">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w:t>
      </w:r>
      <w:r>
        <w:rPr>
          <w:rFonts w:hint="eastAsia" w:eastAsia="方正楷体_GBK" w:cs="Times New Roman"/>
          <w:b/>
          <w:bCs/>
          <w:szCs w:val="28"/>
          <w14:ligatures w14:val="none"/>
        </w:rPr>
        <w:t>3</w:t>
      </w:r>
      <w:r>
        <w:rPr>
          <w:rFonts w:eastAsia="方正楷体_GBK" w:cs="Times New Roman"/>
          <w:b/>
          <w:bCs/>
          <w:szCs w:val="28"/>
          <w14:ligatures w14:val="none"/>
        </w:rPr>
        <w:t>.4</w:t>
      </w:r>
      <w:r>
        <w:rPr>
          <w:rFonts w:hint="eastAsia" w:eastAsia="方正楷体_GBK" w:cs="Times New Roman"/>
          <w:b/>
          <w:bCs/>
          <w:szCs w:val="28"/>
          <w14:ligatures w14:val="none"/>
        </w:rPr>
        <w:t>与生态环境保护法规、政策及规划相符性分析</w:t>
      </w:r>
    </w:p>
    <w:p w14:paraId="047B4FA9">
      <w:pPr>
        <w:ind w:firstLine="0" w:firstLineChars="0"/>
        <w:outlineLvl w:val="3"/>
        <w:rPr>
          <w:b/>
          <w:bCs/>
        </w:rPr>
      </w:pPr>
      <w:r>
        <w:rPr>
          <w:rFonts w:hint="eastAsia"/>
          <w:b/>
          <w:bCs/>
        </w:rPr>
        <w:t>2</w:t>
      </w:r>
      <w:r>
        <w:rPr>
          <w:b/>
          <w:bCs/>
        </w:rPr>
        <w:t>.</w:t>
      </w:r>
      <w:r>
        <w:rPr>
          <w:rFonts w:hint="eastAsia"/>
          <w:b/>
          <w:bCs/>
        </w:rPr>
        <w:t>3</w:t>
      </w:r>
      <w:r>
        <w:rPr>
          <w:b/>
          <w:bCs/>
        </w:rPr>
        <w:t>.4</w:t>
      </w:r>
      <w:r>
        <w:rPr>
          <w:rFonts w:hint="eastAsia"/>
          <w:b/>
          <w:bCs/>
        </w:rPr>
        <w:t>.</w:t>
      </w:r>
      <w:r>
        <w:rPr>
          <w:b/>
          <w:bCs/>
        </w:rPr>
        <w:t>1</w:t>
      </w:r>
      <w:r>
        <w:rPr>
          <w:rFonts w:hint="eastAsia"/>
          <w:b/>
          <w:bCs/>
        </w:rPr>
        <w:t>与《太湖流域管理条例》相符性分析</w:t>
      </w:r>
    </w:p>
    <w:p w14:paraId="09ABC424">
      <w:pPr>
        <w:ind w:firstLine="480"/>
      </w:pPr>
      <w:r>
        <w:rPr>
          <w:rFonts w:hint="eastAsia"/>
        </w:rPr>
        <w:t>（1）相关要点</w:t>
      </w:r>
    </w:p>
    <w:p w14:paraId="1D903FF8">
      <w:pPr>
        <w:ind w:firstLine="480"/>
      </w:pPr>
      <w:r>
        <w:rPr>
          <w:rFonts w:hint="eastAsia"/>
        </w:rPr>
        <w:t>根据《太湖流域管理条例》（国务院令〔2011〕604号），太湖流域保护要求规定如下：</w:t>
      </w:r>
    </w:p>
    <w:p w14:paraId="41F2CAFC">
      <w:pPr>
        <w:ind w:firstLine="482"/>
      </w:pPr>
      <w:r>
        <w:rPr>
          <w:rFonts w:hint="eastAsia"/>
          <w:b/>
          <w:bCs/>
        </w:rPr>
        <w:t>第八条</w:t>
      </w:r>
      <w:r>
        <w:rPr>
          <w:rFonts w:hint="eastAsia"/>
        </w:rPr>
        <w:t xml:space="preserve"> </w:t>
      </w:r>
      <w:r>
        <w:t xml:space="preserve"> </w:t>
      </w:r>
      <w:r>
        <w:rPr>
          <w:rFonts w:hint="eastAsia"/>
        </w:rPr>
        <w:t>禁止在太湖流域饮用水水源保护区内设置排污口、有毒有害物品仓库以及垃圾场；已经设置的，当地县级人民政府应当责令拆除或者关闭。</w:t>
      </w:r>
    </w:p>
    <w:p w14:paraId="1A6200BD">
      <w:pPr>
        <w:ind w:firstLine="482"/>
      </w:pPr>
      <w:r>
        <w:rPr>
          <w:rFonts w:hint="eastAsia"/>
          <w:b/>
          <w:bCs/>
        </w:rPr>
        <w:t>第二十条</w:t>
      </w:r>
      <w:r>
        <w:rPr>
          <w:rFonts w:hint="eastAsia"/>
        </w:rPr>
        <w:t xml:space="preserve"> </w:t>
      </w:r>
      <w:r>
        <w:t xml:space="preserve"> </w:t>
      </w:r>
      <w:r>
        <w:rPr>
          <w:rFonts w:hint="eastAsia"/>
        </w:rPr>
        <w:t>太湖流域的养殖、航运、旅游等涉及水资源开发利用的规划，应当遵守经批准的水功能区划。</w:t>
      </w:r>
    </w:p>
    <w:p w14:paraId="3CC3084F">
      <w:pPr>
        <w:ind w:firstLine="482"/>
      </w:pPr>
      <w:r>
        <w:rPr>
          <w:rFonts w:hint="eastAsia"/>
          <w:b/>
          <w:bCs/>
        </w:rPr>
        <w:t>第二十八条</w:t>
      </w:r>
      <w:r>
        <w:rPr>
          <w:rFonts w:hint="eastAsia"/>
        </w:rPr>
        <w:t xml:space="preserve"> </w:t>
      </w:r>
      <w:r>
        <w:t xml:space="preserve"> </w:t>
      </w:r>
      <w:r>
        <w:rPr>
          <w:rFonts w:hint="eastAsia"/>
        </w:rPr>
        <w:t>排污单位排放水污染物，不得超过经核定的水污染物排放总量，并应当按照规定设置便于检查、采样的规范化排污口，悬挂标志牌；不得私设暗管或者采取其他规避监管的方式排放水污染物。</w:t>
      </w:r>
    </w:p>
    <w:p w14:paraId="21229AA3">
      <w:pPr>
        <w:ind w:firstLine="480"/>
      </w:pPr>
      <w:r>
        <w:rPr>
          <w:rFonts w:hint="eastAsia"/>
        </w:rPr>
        <w:t>禁止在太湖流域设置不符合国家产业政策和水环境综合治理要求的造纸、制革、酒精、淀粉、冶金、酿造、印染、电镀等排放水污染物的生产项目，现有的生产项目不能实现达标排放的，应当依法关闭。</w:t>
      </w:r>
    </w:p>
    <w:p w14:paraId="4793342F">
      <w:pPr>
        <w:ind w:firstLine="482"/>
      </w:pPr>
      <w:r>
        <w:rPr>
          <w:rFonts w:hint="eastAsia"/>
          <w:b/>
          <w:bCs/>
        </w:rPr>
        <w:t>第二十九条</w:t>
      </w:r>
      <w:r>
        <w:rPr>
          <w:rFonts w:hint="eastAsia"/>
        </w:rPr>
        <w:t xml:space="preserve"> </w:t>
      </w:r>
      <w:r>
        <w:t xml:space="preserve"> </w:t>
      </w:r>
      <w:r>
        <w:rPr>
          <w:rFonts w:hint="eastAsia"/>
        </w:rPr>
        <w:t>新孟河、望虞河以外的其他主要入太湖河道，自河口1万米上溯至5万米河道岸线内及其岸线两侧各1000米范围内，禁止下列行为：</w:t>
      </w:r>
    </w:p>
    <w:p w14:paraId="7545C829">
      <w:pPr>
        <w:ind w:firstLine="480"/>
      </w:pPr>
      <w:r>
        <w:rPr>
          <w:rFonts w:hint="eastAsia"/>
        </w:rPr>
        <w:t>（一）新建、扩建化工、医药生产项目；</w:t>
      </w:r>
    </w:p>
    <w:p w14:paraId="111CCBFA">
      <w:pPr>
        <w:ind w:firstLine="480"/>
      </w:pPr>
      <w:r>
        <w:rPr>
          <w:rFonts w:hint="eastAsia"/>
        </w:rPr>
        <w:t>（二）新建、扩建污水集中处理设施排污口以外的排污口；</w:t>
      </w:r>
    </w:p>
    <w:p w14:paraId="18C9EBB2">
      <w:pPr>
        <w:ind w:firstLine="480"/>
      </w:pPr>
      <w:r>
        <w:rPr>
          <w:rFonts w:hint="eastAsia"/>
        </w:rPr>
        <w:t>（三）扩大水产养殖规模。</w:t>
      </w:r>
    </w:p>
    <w:p w14:paraId="1563D625">
      <w:pPr>
        <w:ind w:firstLine="482"/>
      </w:pPr>
      <w:r>
        <w:rPr>
          <w:rFonts w:hint="eastAsia"/>
          <w:b/>
          <w:bCs/>
        </w:rPr>
        <w:t>第三十条</w:t>
      </w:r>
      <w:r>
        <w:rPr>
          <w:rFonts w:hint="eastAsia"/>
        </w:rPr>
        <w:t xml:space="preserve"> </w:t>
      </w:r>
      <w:r>
        <w:t xml:space="preserve"> </w:t>
      </w:r>
      <w:r>
        <w:rPr>
          <w:rFonts w:hint="eastAsia"/>
        </w:rPr>
        <w:t>太湖岸线内和岸线周边5000米范围内，淀山湖岸线内和岸线周边2000米范围内，太浦河、新孟河、望虞河岸线内和岸线两侧各1000米范围内，其他主要入太湖河道自河口上溯至1万米河道岸线内及其岸线两侧各1000米范围内，禁止下列行为：</w:t>
      </w:r>
    </w:p>
    <w:p w14:paraId="321B120C">
      <w:pPr>
        <w:ind w:firstLine="480"/>
      </w:pPr>
      <w:r>
        <w:rPr>
          <w:rFonts w:hint="eastAsia"/>
        </w:rPr>
        <w:t>（一）设置剧毒物质、危险化学品的贮存、输送设施和废物回收场、垃圾场；</w:t>
      </w:r>
    </w:p>
    <w:p w14:paraId="53903092">
      <w:pPr>
        <w:ind w:firstLine="480"/>
      </w:pPr>
      <w:r>
        <w:rPr>
          <w:rFonts w:hint="eastAsia"/>
        </w:rPr>
        <w:t>（二）设置水上餐饮经营设施；</w:t>
      </w:r>
    </w:p>
    <w:p w14:paraId="5DA4458D">
      <w:pPr>
        <w:ind w:firstLine="480"/>
      </w:pPr>
      <w:r>
        <w:rPr>
          <w:rFonts w:hint="eastAsia"/>
        </w:rPr>
        <w:t>（三）新建、搬迁扩建高尔夫球场；</w:t>
      </w:r>
    </w:p>
    <w:p w14:paraId="020D1D60">
      <w:pPr>
        <w:ind w:firstLine="480"/>
      </w:pPr>
      <w:r>
        <w:rPr>
          <w:rFonts w:hint="eastAsia"/>
        </w:rPr>
        <w:t>（四）新建、搬迁扩建畜禽养殖场；</w:t>
      </w:r>
    </w:p>
    <w:p w14:paraId="4C2C959C">
      <w:pPr>
        <w:ind w:firstLine="480"/>
      </w:pPr>
      <w:r>
        <w:rPr>
          <w:rFonts w:hint="eastAsia"/>
        </w:rPr>
        <w:t>（五）新建、搬迁扩建向水体排放污染物的建设项目；</w:t>
      </w:r>
    </w:p>
    <w:p w14:paraId="6574622E">
      <w:pPr>
        <w:ind w:firstLine="480"/>
      </w:pPr>
      <w:r>
        <w:rPr>
          <w:rFonts w:hint="eastAsia"/>
        </w:rPr>
        <w:t>（六）本条例第二十九条规定的行为。</w:t>
      </w:r>
    </w:p>
    <w:p w14:paraId="3CE76DC1">
      <w:pPr>
        <w:ind w:firstLine="482"/>
      </w:pPr>
      <w:r>
        <w:rPr>
          <w:rFonts w:hint="eastAsia"/>
          <w:b/>
          <w:bCs/>
        </w:rPr>
        <w:t>第三十一条</w:t>
      </w:r>
      <w:r>
        <w:rPr>
          <w:rFonts w:hint="eastAsia"/>
        </w:rPr>
        <w:t xml:space="preserve"> </w:t>
      </w:r>
      <w:r>
        <w:t xml:space="preserve"> </w:t>
      </w:r>
      <w:r>
        <w:rPr>
          <w:rFonts w:hint="eastAsia"/>
        </w:rPr>
        <w:t>太湖流域县级以上地方人民政府应当推广测土配方施肥、精准施肥、生物防治病虫害等先进适用的农业生产技术，实施农药、化肥减施工程，减少化肥、农药使用量，发展绿色生态农业，开展清洁小流域建设，有效控制农业面源污染。</w:t>
      </w:r>
    </w:p>
    <w:p w14:paraId="156A664C">
      <w:pPr>
        <w:ind w:firstLine="480"/>
      </w:pPr>
      <w:r>
        <w:rPr>
          <w:rFonts w:hint="eastAsia"/>
        </w:rPr>
        <w:t>（2）相符性分析</w:t>
      </w:r>
    </w:p>
    <w:p w14:paraId="2DE33BA4">
      <w:pPr>
        <w:ind w:firstLine="480"/>
      </w:pPr>
      <w:r>
        <w:rPr>
          <w:rFonts w:hint="eastAsia"/>
        </w:rPr>
        <w:t>度假区位于太湖流域三级保护区，区域内主要涉及薛埠河以及区内茅东水库、东进水库、海底水库、向阳水库、瓦沟水库、新浮（山）水库，不涉及主要入太湖河道，区域内水环境功能将严格按照《江苏省地表水（环境）功能区划（2021—2030年）》开展相关保护工作。度假区本轮规划重点发展旅游度假产业，规划建设不涉及造纸、制革、酒精、淀粉、冶金、酿造、电镀等排放水污染物的生产项目。区域南侧规划构建农旅融合发展区，依托金坛现代农业产业示范园、黄金软米大农场建设，以推进茶、稻米产业转型升级为目标，以技术创新为驱动，打造绿色生态农业和旅游观光融合发展。综上所述，度假区的开发建设和环境管理总体符合《太湖流域管理条例》要求。</w:t>
      </w:r>
    </w:p>
    <w:p w14:paraId="0173C7BE">
      <w:pPr>
        <w:ind w:firstLine="0" w:firstLineChars="0"/>
        <w:outlineLvl w:val="3"/>
        <w:rPr>
          <w:b/>
          <w:bCs/>
        </w:rPr>
      </w:pPr>
      <w:r>
        <w:rPr>
          <w:rFonts w:hint="eastAsia"/>
          <w:b/>
          <w:bCs/>
        </w:rPr>
        <w:t>2</w:t>
      </w:r>
      <w:r>
        <w:rPr>
          <w:b/>
          <w:bCs/>
        </w:rPr>
        <w:t>.</w:t>
      </w:r>
      <w:r>
        <w:rPr>
          <w:rFonts w:hint="eastAsia"/>
          <w:b/>
          <w:bCs/>
        </w:rPr>
        <w:t>3</w:t>
      </w:r>
      <w:r>
        <w:rPr>
          <w:b/>
          <w:bCs/>
        </w:rPr>
        <w:t>.4</w:t>
      </w:r>
      <w:r>
        <w:rPr>
          <w:rFonts w:hint="eastAsia"/>
          <w:b/>
          <w:bCs/>
        </w:rPr>
        <w:t>.</w:t>
      </w:r>
      <w:r>
        <w:rPr>
          <w:b/>
          <w:bCs/>
        </w:rPr>
        <w:t>2</w:t>
      </w:r>
      <w:r>
        <w:rPr>
          <w:rFonts w:hint="eastAsia"/>
          <w:b/>
          <w:bCs/>
        </w:rPr>
        <w:t>与《江苏省“十四五”生态环境保护规划》《常州市“十四五”生态环境保护规划》《常州市金坛区“十四五”生态环境保护规划》相符性分析</w:t>
      </w:r>
    </w:p>
    <w:p w14:paraId="51C26A3C">
      <w:pPr>
        <w:ind w:firstLine="480"/>
      </w:pPr>
      <w:r>
        <w:rPr>
          <w:rFonts w:hint="eastAsia"/>
        </w:rPr>
        <w:t>（1）相关要点</w:t>
      </w:r>
    </w:p>
    <w:p w14:paraId="2A727211">
      <w:pPr>
        <w:ind w:firstLine="480"/>
      </w:pPr>
      <w:r>
        <w:rPr>
          <w:rFonts w:hint="eastAsia"/>
        </w:rPr>
        <w:t>《江苏省“十四五”生态环境保护规划》提出强化生态空间监督管理……落实《江苏省生态空间管控区域监督管理办法》……强化生态保护红线、生态破坏问题监督管理，建立“监控发现一移交查处一督促整改”工作流程……深入推进“绿盾”自然保护地强化监督工作，加强自然生态执法能力建设，严格查处自然保护地内各类违法违规开发建设活动。深入推进农村环境综合整治……实施农村人居环境整治提升五年行动，采取污染治理与资源利用相结合、工程措施与生态措施相结合、集中与分散相结合，扎实推进农村生活污水治理。加强农村生活污水运营管理，开展农村生活污水社会化治理试点县建设，到2025年，苏南等有条件地区自然村生活污水治理率达到90%；苏中、苏北地区行政村生活污水治理率达到80%，自然村生活污水治理率大幅提高。</w:t>
      </w:r>
    </w:p>
    <w:p w14:paraId="038EB532">
      <w:pPr>
        <w:ind w:firstLine="480"/>
      </w:pPr>
      <w:r>
        <w:rPr>
          <w:rFonts w:hint="eastAsia"/>
        </w:rPr>
        <w:t>《常州市“十四五”生态环境保护规划》提出加强西部茅山山地和南部天目山地等太湖上游河源地区的原生森林生态系统维护……严格执行《江苏省生态空间管控区域监督管理办法》……严肃查处涉生态保护红线和生态空间管控区域各类违法违规行为，推进整改销号与损害赔偿。开展生态保护红线保护成效评估，定期形成生态保护红线监管工作报告。</w:t>
      </w:r>
    </w:p>
    <w:p w14:paraId="14C9E96D">
      <w:pPr>
        <w:ind w:firstLine="480"/>
      </w:pPr>
      <w:r>
        <w:rPr>
          <w:rFonts w:hint="eastAsia"/>
        </w:rPr>
        <w:t>《常州市金坛区“十四五”生态环境保护规划》提出开展生物多样性保护。做好长荡湖和茅山生物多样性保护和本底调查工作。……以生态保护为核心优化旅游资源。加强旅游环保监管，提高旅游治理现代化水平和公共服务效能，完善</w:t>
      </w:r>
      <w:bookmarkStart w:id="59" w:name="_Hlk160181006"/>
      <w:r>
        <w:rPr>
          <w:rFonts w:hint="eastAsia"/>
        </w:rPr>
        <w:t>旅游景区生态环境基础设施建设，加强景区污染防治和垃圾收集处理设施建设</w:t>
      </w:r>
      <w:bookmarkEnd w:id="59"/>
      <w:r>
        <w:rPr>
          <w:rFonts w:hint="eastAsia"/>
        </w:rPr>
        <w:t>，注重保留原生态景观，谋划绿水青山向金山银山的转化路径。坚持“文化+”“旅游+”发展战略，以创建国家全域旅游示范区为抓手，以茅山旅游度假区为重点，打造长三角休闲文化旅游目的地。</w:t>
      </w:r>
    </w:p>
    <w:p w14:paraId="210CBF29">
      <w:pPr>
        <w:ind w:firstLine="480"/>
      </w:pPr>
      <w:r>
        <w:rPr>
          <w:rFonts w:hint="eastAsia"/>
        </w:rPr>
        <w:t>（2）相符性分析</w:t>
      </w:r>
    </w:p>
    <w:p w14:paraId="010E4318">
      <w:pPr>
        <w:ind w:firstLine="480"/>
      </w:pPr>
      <w:r>
        <w:rPr>
          <w:rFonts w:hint="eastAsia"/>
        </w:rPr>
        <w:t>度假区内涉及茅东省级森林公园生态保护红线以及茅东山地水源涵养区、四棚洼生态公益林、方山（金坛区）森林公园、向阳水库水源涵养区4处生态空间管控区域，度假区在后续开发建设过程中将严格对照《省政府关于印发江苏省国家级生态保护红线规划的通知》（苏政发〔2018〕74号）、《省政府关于印发江苏省生态空间管控区域规划的通知》（苏政发〔2020〕1号）、《省政府办公厅关于印发江苏省生态空间管控区域监督管理办法的通知》（苏政办发〔2021〕20号）等文件，按要求分级分类管控。度假区内重点发展休闲度假产业，产业发展将坚持以生态保护为核心，注重保留原生态景观，不断完善区内旅游景区生态环境基础设施建设，加强景区污染防治和垃圾收集处理设施建设。在农村发展建设中加强农村人居环境综合整治，推进农村生活污水治理，2035年规划农村（农户）生活污水治理率达到100%。综上所述，度假区的发展总体符合《江苏省“十四五”生态环境保护规划》《常州市“十四五”生态环境保护规划》《常州市金坛区“十四五”生态环境保护规划》相关环境保护要求。</w:t>
      </w:r>
    </w:p>
    <w:p w14:paraId="1B308FDE">
      <w:pPr>
        <w:ind w:firstLine="0" w:firstLineChars="0"/>
        <w:outlineLvl w:val="3"/>
        <w:rPr>
          <w:b/>
          <w:bCs/>
        </w:rPr>
      </w:pPr>
      <w:r>
        <w:rPr>
          <w:rFonts w:hint="eastAsia"/>
          <w:b/>
          <w:bCs/>
        </w:rPr>
        <w:t>2</w:t>
      </w:r>
      <w:r>
        <w:rPr>
          <w:b/>
          <w:bCs/>
        </w:rPr>
        <w:t>.</w:t>
      </w:r>
      <w:r>
        <w:rPr>
          <w:rFonts w:hint="eastAsia"/>
          <w:b/>
          <w:bCs/>
        </w:rPr>
        <w:t>3</w:t>
      </w:r>
      <w:r>
        <w:rPr>
          <w:b/>
          <w:bCs/>
        </w:rPr>
        <w:t>.4</w:t>
      </w:r>
      <w:r>
        <w:rPr>
          <w:rFonts w:hint="eastAsia"/>
          <w:b/>
          <w:bCs/>
        </w:rPr>
        <w:t>.</w:t>
      </w:r>
      <w:r>
        <w:rPr>
          <w:b/>
          <w:bCs/>
        </w:rPr>
        <w:t>3</w:t>
      </w:r>
      <w:r>
        <w:rPr>
          <w:rFonts w:hint="eastAsia"/>
          <w:b/>
          <w:bCs/>
        </w:rPr>
        <w:t>与《江苏省太湖水污染防治条例》相符性分析</w:t>
      </w:r>
    </w:p>
    <w:p w14:paraId="310BE834">
      <w:pPr>
        <w:ind w:firstLine="480"/>
      </w:pPr>
      <w:r>
        <w:rPr>
          <w:rFonts w:hint="eastAsia"/>
        </w:rPr>
        <w:t>（1）相关要点</w:t>
      </w:r>
    </w:p>
    <w:p w14:paraId="30D7ECD8">
      <w:pPr>
        <w:ind w:firstLine="480"/>
      </w:pPr>
      <w:r>
        <w:rPr>
          <w:rFonts w:hint="eastAsia"/>
        </w:rPr>
        <w:t>太湖流域实行分级保护，划分为三级保护区：太湖湖体、沿湖岸5 km区域、入湖河道上溯10 km以及沿岸两侧各1 km范围为一级保护区；主要入湖河道上溯10 km至50 km以及沿岸两侧各1 km范围为二级保护区；其他地区为三级保护区。</w:t>
      </w:r>
    </w:p>
    <w:p w14:paraId="66A5E369">
      <w:pPr>
        <w:ind w:firstLine="480"/>
      </w:pPr>
      <w:r>
        <w:rPr>
          <w:rFonts w:hint="eastAsia"/>
        </w:rPr>
        <w:t>第三十七条  太湖流域各级地方人民政府及其有关部门应当加强农业环境保护和农村环境综合整治，加大河塘疏浚整治力度，指导农业生产者科学施肥，组织推广使用高效、低毒、低残留、生物农药，推行人畜粪便、秸秆等废弃物的资源化、无害化处理，减少对土壤、水体的污染和破坏，发展有机农业和生态农业，减轻农业面源污染。</w:t>
      </w:r>
    </w:p>
    <w:p w14:paraId="0512198A">
      <w:pPr>
        <w:ind w:firstLine="480"/>
      </w:pPr>
      <w:r>
        <w:rPr>
          <w:rFonts w:hint="eastAsia"/>
        </w:rPr>
        <w:t>太湖流域城镇污水收集管网应当逐步覆盖城镇周边村庄；规模较大的村庄应当建设生活污水处理设施；分散农户的生活污水应当采取措施收集，推广应用净化沼气池、人工湿地等生活污水处理适用技术进行处理。全面建立农村垃圾收集、处理机制。</w:t>
      </w:r>
    </w:p>
    <w:p w14:paraId="226A6B99">
      <w:pPr>
        <w:ind w:firstLine="482"/>
      </w:pPr>
      <w:r>
        <w:rPr>
          <w:rFonts w:hint="eastAsia"/>
          <w:b/>
          <w:bCs/>
        </w:rPr>
        <w:t>第四十三条</w:t>
      </w:r>
      <w:r>
        <w:rPr>
          <w:rFonts w:hint="eastAsia"/>
        </w:rPr>
        <w:t xml:space="preserve">  太湖流域一、二、三级保护区禁止下列行为：</w:t>
      </w:r>
    </w:p>
    <w:p w14:paraId="67AE835A">
      <w:pPr>
        <w:ind w:firstLine="480"/>
      </w:pPr>
      <w:r>
        <w:rPr>
          <w:rFonts w:hint="eastAsia"/>
        </w:rPr>
        <w:t>（一）新建、改建、扩建化学制浆造纸、制革、酿造、染料、印染、电镀以及其他排放含磷、氮等污染物的企业和项目，城镇污水集中处理等环境基础设施项目和第四十六条规定的情形除外；</w:t>
      </w:r>
    </w:p>
    <w:p w14:paraId="2CF20B6F">
      <w:pPr>
        <w:ind w:firstLine="480"/>
      </w:pPr>
      <w:r>
        <w:rPr>
          <w:rFonts w:hint="eastAsia"/>
        </w:rPr>
        <w:t>（二）销售、使用含磷洗涤用品；</w:t>
      </w:r>
    </w:p>
    <w:p w14:paraId="5CAD5ED7">
      <w:pPr>
        <w:ind w:firstLine="480"/>
      </w:pPr>
      <w:r>
        <w:rPr>
          <w:rFonts w:hint="eastAsia"/>
        </w:rPr>
        <w:t>（三）向水体排放或者倾倒油类、酸液、碱液、剧毒废渣废液、含放射性废渣废液、含病原体污水、工业废渣以及其他废弃物；</w:t>
      </w:r>
    </w:p>
    <w:p w14:paraId="021C3CD2">
      <w:pPr>
        <w:ind w:firstLine="480"/>
      </w:pPr>
      <w:r>
        <w:rPr>
          <w:rFonts w:hint="eastAsia"/>
        </w:rPr>
        <w:t>（四）在水体清洗装贮过油类或者有毒有害污染物的车辆、船舶和容器等；</w:t>
      </w:r>
    </w:p>
    <w:p w14:paraId="1055E82F">
      <w:pPr>
        <w:ind w:firstLine="480"/>
      </w:pPr>
      <w:r>
        <w:rPr>
          <w:rFonts w:hint="eastAsia"/>
        </w:rPr>
        <w:t>（五）使用农药等有毒物毒杀水生生物；</w:t>
      </w:r>
    </w:p>
    <w:p w14:paraId="4AB906C7">
      <w:pPr>
        <w:ind w:firstLine="480"/>
      </w:pPr>
      <w:r>
        <w:rPr>
          <w:rFonts w:hint="eastAsia"/>
        </w:rPr>
        <w:t>（六）向水体直接排放人畜粪便、倾倒垃圾；</w:t>
      </w:r>
    </w:p>
    <w:p w14:paraId="3745D783">
      <w:pPr>
        <w:ind w:firstLine="480"/>
      </w:pPr>
      <w:r>
        <w:rPr>
          <w:rFonts w:hint="eastAsia"/>
        </w:rPr>
        <w:t>（七）围湖造地；</w:t>
      </w:r>
    </w:p>
    <w:p w14:paraId="0D69808E">
      <w:pPr>
        <w:ind w:firstLine="480"/>
      </w:pPr>
      <w:r>
        <w:rPr>
          <w:rFonts w:hint="eastAsia"/>
        </w:rPr>
        <w:t>（八）违法开山采石，或者进行破坏林木、植被、水生生物的活动；</w:t>
      </w:r>
    </w:p>
    <w:p w14:paraId="23757166">
      <w:pPr>
        <w:ind w:firstLine="480"/>
      </w:pPr>
      <w:r>
        <w:rPr>
          <w:rFonts w:hint="eastAsia"/>
        </w:rPr>
        <w:t>（九）法律、法规禁止的其他行为。</w:t>
      </w:r>
    </w:p>
    <w:p w14:paraId="6B8C172A">
      <w:pPr>
        <w:ind w:firstLine="480"/>
      </w:pPr>
      <w:r>
        <w:rPr>
          <w:rFonts w:hint="eastAsia"/>
        </w:rPr>
        <w:t>（2）相符性分析</w:t>
      </w:r>
    </w:p>
    <w:p w14:paraId="7861A08A">
      <w:pPr>
        <w:ind w:firstLine="480"/>
      </w:pPr>
      <w:r>
        <w:rPr>
          <w:rFonts w:hint="eastAsia"/>
        </w:rPr>
        <w:t>根据《省政府办公厅关于公布江苏省太湖流域三级保护区范围的通知》（苏政办发〔2012〕221号）划定，度假区整体位于太湖三级保护区。区域内主要涉及薛埠河以及区内茅东水库、东进水库、海底水库、向阳水库、瓦沟水库、新浮（山）水库，不涉及主要入太湖河道，区域内水环境功能将严格按照《江苏省地表水（环境）功能区划（2021—2030年）》开展相关保护工作。度假区本轮规划重点发展旅游度假产业，不涉及新建、改建、扩建化学制浆造纸、制革、酿造、染料、印染、电镀以及其他排放含磷、氮等污染物的企业和项目，核心区内城镇生活污水均接管至茅东污水处理厂，度假区本轮规划不存在条例中规定太湖流域一、二、三级保护区禁止的行为。综上所述，度假区的开发建设和环境管理总体与《江苏省太湖水污染防治条例》要求相协调。</w:t>
      </w:r>
    </w:p>
    <w:p w14:paraId="5458B8C1">
      <w:pPr>
        <w:ind w:firstLine="0" w:firstLineChars="0"/>
        <w:outlineLvl w:val="3"/>
        <w:rPr>
          <w:b/>
          <w:bCs/>
        </w:rPr>
      </w:pPr>
      <w:r>
        <w:rPr>
          <w:rFonts w:hint="eastAsia"/>
          <w:b/>
          <w:bCs/>
        </w:rPr>
        <w:t>2</w:t>
      </w:r>
      <w:r>
        <w:rPr>
          <w:b/>
          <w:bCs/>
        </w:rPr>
        <w:t>.</w:t>
      </w:r>
      <w:r>
        <w:rPr>
          <w:rFonts w:hint="eastAsia"/>
          <w:b/>
          <w:bCs/>
        </w:rPr>
        <w:t>3</w:t>
      </w:r>
      <w:r>
        <w:rPr>
          <w:b/>
          <w:bCs/>
        </w:rPr>
        <w:t>.4</w:t>
      </w:r>
      <w:r>
        <w:rPr>
          <w:rFonts w:hint="eastAsia"/>
          <w:b/>
          <w:bCs/>
        </w:rPr>
        <w:t>.</w:t>
      </w:r>
      <w:r>
        <w:rPr>
          <w:b/>
          <w:bCs/>
        </w:rPr>
        <w:t>4</w:t>
      </w:r>
      <w:r>
        <w:rPr>
          <w:rFonts w:hint="eastAsia"/>
          <w:b/>
          <w:bCs/>
        </w:rPr>
        <w:t>与</w:t>
      </w:r>
      <w:bookmarkStart w:id="60" w:name="_Hlk160181741"/>
      <w:r>
        <w:rPr>
          <w:rFonts w:hint="eastAsia"/>
          <w:b/>
          <w:bCs/>
        </w:rPr>
        <w:t>《常州市水生态环境保护条例》</w:t>
      </w:r>
      <w:bookmarkEnd w:id="60"/>
      <w:r>
        <w:rPr>
          <w:rFonts w:hint="eastAsia"/>
          <w:b/>
          <w:bCs/>
        </w:rPr>
        <w:t>相符性分析</w:t>
      </w:r>
    </w:p>
    <w:p w14:paraId="6AB4B03C">
      <w:pPr>
        <w:ind w:firstLine="480"/>
      </w:pPr>
      <w:r>
        <w:rPr>
          <w:rFonts w:hint="eastAsia"/>
        </w:rPr>
        <w:t>（1）相关要点</w:t>
      </w:r>
    </w:p>
    <w:p w14:paraId="30D9CBC2">
      <w:pPr>
        <w:ind w:firstLine="480"/>
      </w:pPr>
      <w:r>
        <w:rPr>
          <w:rFonts w:hint="eastAsia"/>
        </w:rPr>
        <w:t>《常州市水生态环境保护条例》主要涉及以下内容：</w:t>
      </w:r>
    </w:p>
    <w:p w14:paraId="2E6AA2C6">
      <w:pPr>
        <w:ind w:firstLine="482"/>
      </w:pPr>
      <w:r>
        <w:rPr>
          <w:rFonts w:hint="eastAsia"/>
          <w:b/>
          <w:bCs/>
        </w:rPr>
        <w:t>第十一条</w:t>
      </w:r>
      <w:r>
        <w:rPr>
          <w:rFonts w:hint="eastAsia"/>
        </w:rPr>
        <w:t xml:space="preserve"> </w:t>
      </w:r>
      <w:r>
        <w:t xml:space="preserve"> </w:t>
      </w:r>
      <w:r>
        <w:rPr>
          <w:rFonts w:hint="eastAsia"/>
        </w:rPr>
        <w:t>下列区域为本市水生态环境重点保护区域：</w:t>
      </w:r>
    </w:p>
    <w:p w14:paraId="4BF362D7">
      <w:pPr>
        <w:ind w:firstLine="480"/>
      </w:pPr>
      <w:r>
        <w:rPr>
          <w:rFonts w:hint="eastAsia"/>
        </w:rPr>
        <w:t>（一）长江（常州段）、长江魏村饮用水水源地；</w:t>
      </w:r>
    </w:p>
    <w:p w14:paraId="5323B4EF">
      <w:pPr>
        <w:ind w:firstLine="480"/>
      </w:pPr>
      <w:r>
        <w:rPr>
          <w:rFonts w:hint="eastAsia"/>
        </w:rPr>
        <w:t>（二）本市域内太湖、</w:t>
      </w:r>
      <w:r>
        <w:rPr>
          <w:rFonts w:hint="eastAsia" w:ascii="微软雅黑" w:hAnsi="微软雅黑" w:eastAsia="微软雅黑" w:cs="微软雅黑"/>
        </w:rPr>
        <w:t>滆</w:t>
      </w:r>
      <w:r>
        <w:rPr>
          <w:rFonts w:hint="eastAsia" w:ascii="仿宋_GB2312" w:hAnsi="仿宋_GB2312" w:cs="仿宋_GB2312"/>
        </w:rPr>
        <w:t>湖，长荡湖；</w:t>
      </w:r>
    </w:p>
    <w:p w14:paraId="1BE12512">
      <w:pPr>
        <w:ind w:firstLine="480"/>
      </w:pPr>
      <w:r>
        <w:rPr>
          <w:rFonts w:hint="eastAsia"/>
        </w:rPr>
        <w:t>（三）溧阳南山水源涵养区、沙河水库水源涵养区、大溪水库水源涵养区、瓦屋山省级森林公园，</w:t>
      </w:r>
      <w:r>
        <w:rPr>
          <w:rFonts w:hint="eastAsia"/>
          <w:b/>
          <w:bCs/>
        </w:rPr>
        <w:t>金坛茅东山地水源涵养区、向阳水库水源涵养区、四棚洼生态公益林、方山森林公园</w:t>
      </w:r>
      <w:r>
        <w:rPr>
          <w:rFonts w:hint="eastAsia"/>
        </w:rPr>
        <w:t>；</w:t>
      </w:r>
    </w:p>
    <w:p w14:paraId="2757DAC3">
      <w:pPr>
        <w:ind w:firstLine="480"/>
      </w:pPr>
      <w:r>
        <w:rPr>
          <w:rFonts w:hint="eastAsia"/>
        </w:rPr>
        <w:t>（四）中国大运河（常州段）；</w:t>
      </w:r>
    </w:p>
    <w:p w14:paraId="70703FA8">
      <w:pPr>
        <w:ind w:firstLine="480"/>
      </w:pPr>
      <w:r>
        <w:rPr>
          <w:rFonts w:hint="eastAsia"/>
        </w:rPr>
        <w:t>（五）苏南运河（常州段）、新孟河（常州段）；</w:t>
      </w:r>
    </w:p>
    <w:p w14:paraId="1D47018D">
      <w:pPr>
        <w:ind w:firstLine="480"/>
      </w:pPr>
      <w:r>
        <w:rPr>
          <w:rFonts w:hint="eastAsia"/>
        </w:rPr>
        <w:t>（六）其他需要重点保护的区域。</w:t>
      </w:r>
    </w:p>
    <w:p w14:paraId="481338E4">
      <w:pPr>
        <w:ind w:firstLine="482"/>
      </w:pPr>
      <w:r>
        <w:rPr>
          <w:rFonts w:hint="eastAsia"/>
          <w:b/>
          <w:bCs/>
        </w:rPr>
        <w:t>第二十二条</w:t>
      </w:r>
      <w:r>
        <w:rPr>
          <w:rFonts w:hint="eastAsia"/>
        </w:rPr>
        <w:t xml:space="preserve"> </w:t>
      </w:r>
      <w:r>
        <w:t xml:space="preserve"> </w:t>
      </w:r>
      <w:r>
        <w:rPr>
          <w:rFonts w:hint="eastAsia"/>
        </w:rPr>
        <w:t>市、相关县级市（区）人民政府应当根据本条例第十一条所列重点保护区域的水生态环境保护规划，在重点保护区域内的重点湖泊、骨干河道等沿岸建设岸线植被缓冲带、隔离带、湖口人工湿地等生态安全缓冲区；在城市近郊、工业集聚区周边等区域，可以整合湿地、水网等自然要素，结合公园、生态林等建设，因地制宜建设人工湿地、水源涵养林等生态安全缓冲区。</w:t>
      </w:r>
    </w:p>
    <w:p w14:paraId="247A6549">
      <w:pPr>
        <w:ind w:firstLine="482"/>
      </w:pPr>
      <w:r>
        <w:rPr>
          <w:rFonts w:hint="eastAsia"/>
          <w:b/>
          <w:bCs/>
        </w:rPr>
        <w:t>第三十九条</w:t>
      </w:r>
      <w:r>
        <w:rPr>
          <w:rFonts w:hint="eastAsia"/>
        </w:rPr>
        <w:t xml:space="preserve"> </w:t>
      </w:r>
      <w:r>
        <w:t xml:space="preserve"> </w:t>
      </w:r>
      <w:r>
        <w:rPr>
          <w:rFonts w:hint="eastAsia"/>
        </w:rPr>
        <w:t>在城镇排水设施覆盖区域从事餐饮、娱乐、车辆维修清洗、洗衣洗浴、美容美发等经营活动所产生的污水，应当全部排入城镇污水管网，由城镇污水集中处理设施进行处理，不得将污水排入雨水管网。</w:t>
      </w:r>
    </w:p>
    <w:p w14:paraId="068C6EED">
      <w:pPr>
        <w:ind w:firstLine="482"/>
      </w:pPr>
      <w:r>
        <w:rPr>
          <w:rFonts w:hint="eastAsia"/>
          <w:b/>
          <w:bCs/>
        </w:rPr>
        <w:t>第四十条</w:t>
      </w:r>
      <w:r>
        <w:rPr>
          <w:rFonts w:hint="eastAsia"/>
        </w:rPr>
        <w:t xml:space="preserve"> </w:t>
      </w:r>
      <w:r>
        <w:t xml:space="preserve"> </w:t>
      </w:r>
      <w:r>
        <w:rPr>
          <w:rFonts w:hint="eastAsia"/>
        </w:rPr>
        <w:t>商业综合体、综合市场、农贸市场等集中管理的建筑或者单位内有多个排水户的，应当依法向城镇排水主管部门申请领取污水排入排水管网许可证。</w:t>
      </w:r>
    </w:p>
    <w:p w14:paraId="54881F90">
      <w:pPr>
        <w:ind w:firstLine="482"/>
      </w:pPr>
      <w:r>
        <w:rPr>
          <w:rFonts w:hint="eastAsia"/>
          <w:b/>
          <w:bCs/>
        </w:rPr>
        <w:t>第四十二条</w:t>
      </w:r>
      <w:r>
        <w:rPr>
          <w:rFonts w:hint="eastAsia"/>
        </w:rPr>
        <w:t xml:space="preserve"> </w:t>
      </w:r>
      <w:r>
        <w:t xml:space="preserve"> </w:t>
      </w:r>
      <w:r>
        <w:rPr>
          <w:rFonts w:hint="eastAsia"/>
        </w:rPr>
        <w:t>市、县级市（区）人民政府应当优化本区域乡村发展布局，推进农村生活污水治理，按照国家相关标准和省有关要求统筹规划、建设农村生活污水、垃圾收集处理设施并确保正常运行。</w:t>
      </w:r>
    </w:p>
    <w:p w14:paraId="052FAA43">
      <w:pPr>
        <w:ind w:firstLine="480"/>
      </w:pPr>
      <w:r>
        <w:rPr>
          <w:rFonts w:hint="eastAsia"/>
        </w:rPr>
        <w:t>市、县级市（区）人民政府应当根据乡村发展布局、农村不同区位条件、村庄人口聚集程度、污水产生规模等，科学确定农村生活污水处理模式。距离城镇污水管网较近的农村社区和城镇周边村庄，可以就近接入城镇污水集中处理设施；距离管网较远、人口密集的村庄，可以建设农村生活污水集中处理设施；居住偏远分散、人口较少的村庄，可以采取分散处理的方式，鼓励建设农村小型生活污水处理设施和开展农村厕所改造并有效衔接。</w:t>
      </w:r>
    </w:p>
    <w:p w14:paraId="10A382BE">
      <w:pPr>
        <w:ind w:firstLine="480"/>
      </w:pPr>
      <w:r>
        <w:rPr>
          <w:rFonts w:hint="eastAsia"/>
        </w:rPr>
        <w:t>位于农村地区的农家乐、旅游民宿，应当将其产生的污水就近接入城镇、农村生活污水集中处理设施，或者自行建设污水处理设施。自行建设污水处理设施的，应当确保设施正常运行并达标排放。</w:t>
      </w:r>
    </w:p>
    <w:p w14:paraId="6BDB618D">
      <w:pPr>
        <w:ind w:firstLine="482"/>
      </w:pPr>
      <w:r>
        <w:rPr>
          <w:rFonts w:hint="eastAsia"/>
          <w:b/>
          <w:bCs/>
        </w:rPr>
        <w:t>第四十三条</w:t>
      </w:r>
      <w:r>
        <w:rPr>
          <w:rFonts w:hint="eastAsia"/>
        </w:rPr>
        <w:t xml:space="preserve"> </w:t>
      </w:r>
      <w:r>
        <w:t xml:space="preserve"> </w:t>
      </w:r>
      <w:r>
        <w:rPr>
          <w:rFonts w:hint="eastAsia"/>
        </w:rPr>
        <w:t>市、县级市（区）人民政府应当合理规划本区域农业产业布局，支持高标准生态农田、水产养殖等基础设施建设，推进农业绿色发展，减少农业面源污染，转变农业发展方式。</w:t>
      </w:r>
    </w:p>
    <w:p w14:paraId="5A3A56B5">
      <w:pPr>
        <w:ind w:firstLine="480"/>
      </w:pPr>
      <w:r>
        <w:rPr>
          <w:rFonts w:hint="eastAsia"/>
        </w:rPr>
        <w:t>（2）相符性分析</w:t>
      </w:r>
    </w:p>
    <w:p w14:paraId="0B1D3A98">
      <w:pPr>
        <w:ind w:firstLine="480"/>
      </w:pPr>
      <w:r>
        <w:rPr>
          <w:rFonts w:hint="eastAsia"/>
        </w:rPr>
        <w:t>度假区内涉及茅东省级森林公园生态保护红线以及茅东山地水源涵养区、四棚洼生态公益林、方山（金坛区）森林公园、向阳水库水源涵养区4处生态空间管控区域，属于《常州市水生态环境保护条例》中规定的水生态环境重点保护区域，度假区将严格按照相关生态空间管控要求及重点保护区域的水生态环境保护规划目标，开展区域水环境、生态环境保护工作。度假区内规划开展的餐饮、旅游民宿、酒店住宿、农家乐等服务项目，将严格对照《常州市水生态环境保护条例》相关要求，妥善处理产生的各类污水。在打造农旅融合示范区的过程中，区域将重点推进农业绿色发展，减少农业面源污染。综上所述，度假区的开发建设和环境管理总体与《常州市水生态环境保护条例》要求相协调。</w:t>
      </w:r>
    </w:p>
    <w:p w14:paraId="7B5D8EB7">
      <w:pPr>
        <w:ind w:firstLine="0" w:firstLineChars="0"/>
        <w:outlineLvl w:val="3"/>
        <w:rPr>
          <w:b/>
          <w:bCs/>
        </w:rPr>
      </w:pPr>
      <w:r>
        <w:rPr>
          <w:rFonts w:hint="eastAsia"/>
          <w:b/>
          <w:bCs/>
        </w:rPr>
        <w:t>2</w:t>
      </w:r>
      <w:r>
        <w:rPr>
          <w:b/>
          <w:bCs/>
        </w:rPr>
        <w:t>.</w:t>
      </w:r>
      <w:r>
        <w:rPr>
          <w:rFonts w:hint="eastAsia"/>
          <w:b/>
          <w:bCs/>
        </w:rPr>
        <w:t>3</w:t>
      </w:r>
      <w:r>
        <w:rPr>
          <w:b/>
          <w:bCs/>
        </w:rPr>
        <w:t>.4</w:t>
      </w:r>
      <w:r>
        <w:rPr>
          <w:rFonts w:hint="eastAsia"/>
          <w:b/>
          <w:bCs/>
        </w:rPr>
        <w:t>.</w:t>
      </w:r>
      <w:r>
        <w:rPr>
          <w:b/>
          <w:bCs/>
        </w:rPr>
        <w:t>5</w:t>
      </w:r>
      <w:r>
        <w:rPr>
          <w:rFonts w:hint="eastAsia"/>
          <w:b/>
          <w:bCs/>
        </w:rPr>
        <w:t>与《关于进一步加强生物多样性保护的意见》相符性分析</w:t>
      </w:r>
    </w:p>
    <w:p w14:paraId="4F38F6D8">
      <w:pPr>
        <w:ind w:firstLine="480"/>
      </w:pPr>
      <w:r>
        <w:rPr>
          <w:rFonts w:hint="eastAsia"/>
        </w:rPr>
        <w:t>（1）相关要点</w:t>
      </w:r>
    </w:p>
    <w:p w14:paraId="576299C1">
      <w:pPr>
        <w:ind w:firstLine="480"/>
      </w:pPr>
      <w:r>
        <w:rPr>
          <w:rFonts w:hint="eastAsia"/>
        </w:rPr>
        <w:t>2021年10月，中共中央办公厅、国务院办公厅印发的《关于进一步加强生物多样性保护的意见》中提出要持续推进生物多样性调查监测。完善生物多样性调查监测技术标准体系，统筹衔接各类资源调查监测工作，全面推进生物多样性保护优先区域重点生物物种及重要生物遗传资源调查。开展外来入侵物种普查，加强农田、湿地等重点区域外来入侵物种的调查、监测、预警、控制、评估、清除、生态修复等工作。</w:t>
      </w:r>
    </w:p>
    <w:p w14:paraId="7CB1606B">
      <w:pPr>
        <w:ind w:firstLine="480"/>
      </w:pPr>
      <w:r>
        <w:rPr>
          <w:rFonts w:hint="eastAsia"/>
        </w:rPr>
        <w:t>（2）相符性分析</w:t>
      </w:r>
    </w:p>
    <w:p w14:paraId="3BCCEADF">
      <w:pPr>
        <w:ind w:firstLine="480"/>
      </w:pPr>
      <w:r>
        <w:rPr>
          <w:rFonts w:hint="eastAsia"/>
        </w:rPr>
        <w:t>度假区积极组织生物多样性调查监测，持续推进生物多样性保护工作。2</w:t>
      </w:r>
      <w:r>
        <w:t>019</w:t>
      </w:r>
      <w:r>
        <w:rPr>
          <w:rFonts w:hint="eastAsia"/>
        </w:rPr>
        <w:t>年，度假区范围内的向阳水库水源涵养区、茅东山地水源涵养区、四棚洼生态公益林、方山森林公园已开展生物多样性本地调查。为认真贯彻落实中共中央办公厅、国务院办公厅印发的《关于建立以国家公园为主体的自然保护地体系的指导意见》《关于进一步加强生物多样性保护的意见》要求，度假区将全面推进金坛区茅东省级森林公园开展生物多样性监测。另外度假区在注重保持乡土物种的生物多样性的同时，规划将合理控制外来物种，加强区内农田、湿地等重点区域外来入侵物种的调查、监测、预警、控制、评估、清除和生态修复工作。综上所述，度假区本轮规划与《关于进一步加强生物多样性保护的意见》中的要求相符合。</w:t>
      </w:r>
    </w:p>
    <w:p w14:paraId="3F5B4C8C">
      <w:pPr>
        <w:ind w:firstLine="0" w:firstLineChars="0"/>
        <w:outlineLvl w:val="3"/>
        <w:rPr>
          <w:b/>
          <w:bCs/>
        </w:rPr>
      </w:pPr>
      <w:r>
        <w:rPr>
          <w:rFonts w:hint="eastAsia"/>
          <w:b/>
          <w:bCs/>
        </w:rPr>
        <w:t>2</w:t>
      </w:r>
      <w:r>
        <w:rPr>
          <w:b/>
          <w:bCs/>
        </w:rPr>
        <w:t>.</w:t>
      </w:r>
      <w:r>
        <w:rPr>
          <w:rFonts w:hint="eastAsia"/>
          <w:b/>
          <w:bCs/>
        </w:rPr>
        <w:t>3</w:t>
      </w:r>
      <w:r>
        <w:rPr>
          <w:b/>
          <w:bCs/>
        </w:rPr>
        <w:t>.4</w:t>
      </w:r>
      <w:r>
        <w:rPr>
          <w:rFonts w:hint="eastAsia"/>
          <w:b/>
          <w:bCs/>
        </w:rPr>
        <w:t>.</w:t>
      </w:r>
      <w:r>
        <w:rPr>
          <w:b/>
          <w:bCs/>
        </w:rPr>
        <w:t>6</w:t>
      </w:r>
      <w:r>
        <w:rPr>
          <w:rFonts w:hint="eastAsia"/>
          <w:b/>
          <w:bCs/>
        </w:rPr>
        <w:t>与《江苏省国家级生态保护红线规划》《江苏省生态空间管控区域规划》</w:t>
      </w:r>
      <w:bookmarkStart w:id="61" w:name="_Hlk160199060"/>
      <w:r>
        <w:rPr>
          <w:rFonts w:hint="eastAsia"/>
          <w:b/>
          <w:bCs/>
        </w:rPr>
        <w:t>《关于加强生态保护红线管理的通知（试行）》</w:t>
      </w:r>
      <w:bookmarkStart w:id="62" w:name="_Hlk160438594"/>
      <w:r>
        <w:rPr>
          <w:rFonts w:hint="eastAsia"/>
          <w:b/>
          <w:bCs/>
        </w:rPr>
        <w:t>《关于进一步加强生态保护红线监督管理的通知》《江苏省生态空间管控区域监督管理办法》</w:t>
      </w:r>
      <w:bookmarkEnd w:id="61"/>
      <w:bookmarkEnd w:id="62"/>
      <w:r>
        <w:rPr>
          <w:rFonts w:hint="eastAsia"/>
          <w:b/>
          <w:bCs/>
        </w:rPr>
        <w:t>《常州市生态空间管控区域监督管理实施细则》相符性分析</w:t>
      </w:r>
    </w:p>
    <w:p w14:paraId="2C94610A">
      <w:pPr>
        <w:ind w:firstLine="480"/>
      </w:pPr>
      <w:r>
        <w:rPr>
          <w:rFonts w:hint="eastAsia"/>
        </w:rPr>
        <w:t>（1）相关要点</w:t>
      </w:r>
    </w:p>
    <w:p w14:paraId="535B8FBA">
      <w:pPr>
        <w:ind w:firstLine="480"/>
      </w:pPr>
      <w:r>
        <w:rPr>
          <w:rFonts w:hint="eastAsia"/>
        </w:rPr>
        <w:t>对照《江苏省国家级生态保护红线规划》《江苏省生态空间管控区域规划》，以及《江苏省自然资源厅关于常州市金坛区2023年度生态空间管控区域调整方案的复函》（苏自然资函〔2023〕209号），度假区范围内涉及</w:t>
      </w:r>
      <w:r>
        <w:rPr>
          <w:rFonts w:hint="eastAsia"/>
          <w:b/>
          <w:bCs/>
        </w:rPr>
        <w:t>江苏常州金坛茅东省级森林公园、四棚洼生态公益林、方山（金坛）森林公园、茅东山地水源涵养区、向阳水库水源涵养区</w:t>
      </w:r>
      <w:r>
        <w:rPr>
          <w:rFonts w:hint="eastAsia"/>
        </w:rPr>
        <w:t>等生态空间管控区域。</w:t>
      </w:r>
    </w:p>
    <w:p w14:paraId="7AA5BD44">
      <w:pPr>
        <w:ind w:firstLine="480"/>
      </w:pPr>
      <w:r>
        <w:rPr>
          <w:rFonts w:hint="eastAsia"/>
        </w:rPr>
        <w:t>《江苏省国家级生态保护红线规划》《江苏省生态空间管控区域规划》中提出以下管控措施：</w:t>
      </w:r>
    </w:p>
    <w:p w14:paraId="435ACCB8">
      <w:pPr>
        <w:ind w:firstLine="480"/>
      </w:pPr>
      <w:r>
        <w:rPr>
          <w:rFonts w:hint="eastAsia"/>
        </w:rPr>
        <w:t>1.自然保护区</w:t>
      </w:r>
    </w:p>
    <w:p w14:paraId="0D6C81CB">
      <w:pPr>
        <w:ind w:firstLine="480"/>
      </w:pPr>
      <w:r>
        <w:rPr>
          <w:rFonts w:hint="eastAsia"/>
        </w:rPr>
        <w:t>国家级生态保护红线内严禁不符合主体功能定位的各类开发活动。其中，核心区内禁止任何单位和个人进入。缓冲区内只准进入从事科学研究观测活动，严禁开展旅游和生产经营活动。实验区内禁止砍伐、放牧、狩猎、捕捞、采药、开垦、烧荒、开矿、采石、捞沙等活动（法律、行政法规另有规定的从其规定）；严禁开设与自然保护区保护方向不一致的参观、旅游项目；不得建设污染环境、破坏资源或者景观的生产设施；建设其他项目，其污染物排放不得超过国家和地方规定的污染物排放标准；已经建成的设施，其污染物排放超过国家和地方规定的排放标准的，应当限期治理；造成损害的，必须采取补救措施。未做总体规划或未进行功能分区的，依照有关核心区、缓冲区管理要求进行管理。</w:t>
      </w:r>
    </w:p>
    <w:p w14:paraId="16BBFF26">
      <w:pPr>
        <w:ind w:firstLine="480"/>
      </w:pPr>
      <w:r>
        <w:rPr>
          <w:rFonts w:hint="eastAsia"/>
        </w:rPr>
        <w:t>2.风景名胜区</w:t>
      </w:r>
    </w:p>
    <w:p w14:paraId="45380356">
      <w:pPr>
        <w:ind w:firstLine="480"/>
      </w:pPr>
      <w:r>
        <w:rPr>
          <w:rFonts w:hint="eastAsia"/>
        </w:rPr>
        <w:t>生态空间管控区域内禁止开山、采石、开矿、开荒、修坟立碑等破坏景观、植被和地形地貌的活动；禁止修建储存爆炸性、易燃性、放射性、毒害性、腐蚀性物品的设施；禁止在景物或者设施上刻划、涂污；禁止乱扔垃圾；不得建设破坏景观、污染环境、妨碍游览的设施；在珍贵景物周围和重要景点上，除必需的保护设施外，不得增建其他工程设施；风景名胜区内已建的设施，由当地人民政府进行清理，区别情况，分别对待；凡属污染环境，破坏景观和自然风貌，严重妨碍游览活动的，应当限期治理或者逐步迁出；迁出前，不得扩建、新建设施。</w:t>
      </w:r>
    </w:p>
    <w:p w14:paraId="10E4CC5E">
      <w:pPr>
        <w:ind w:firstLine="480"/>
      </w:pPr>
      <w:r>
        <w:rPr>
          <w:rFonts w:hint="eastAsia"/>
        </w:rPr>
        <w:t>3.森林公园</w:t>
      </w:r>
    </w:p>
    <w:p w14:paraId="3480E89F">
      <w:pPr>
        <w:ind w:firstLine="480"/>
      </w:pPr>
      <w:r>
        <w:rPr>
          <w:rFonts w:hint="eastAsia"/>
        </w:rPr>
        <w:t>生态空间管控区域内禁止毁林开垦和毁林采石、采砂、采土以及其他毁林行为；采伐森林公园的林木，必须遵守有关林业法规、经营方案和技术规程的规定；森林公园的设施和景点建设，必须按照总体规划设计进行；在珍贵景物、重要景点和核心景区，除必要的保护和附属设施外，不得建设宾馆、招待所、疗养院和其他工程设施。</w:t>
      </w:r>
    </w:p>
    <w:p w14:paraId="5068F7A0">
      <w:pPr>
        <w:ind w:firstLine="480"/>
      </w:pPr>
      <w:r>
        <w:rPr>
          <w:rFonts w:hint="eastAsia"/>
        </w:rPr>
        <w:t>9.重要水源涵养区</w:t>
      </w:r>
    </w:p>
    <w:p w14:paraId="65F08320">
      <w:pPr>
        <w:ind w:firstLine="480"/>
      </w:pPr>
      <w:r>
        <w:rPr>
          <w:rFonts w:hint="eastAsia"/>
        </w:rPr>
        <w:t>禁止在二十五度以上陡坡地开垦种植农作物，已经开垦种植农作物的，应当按照国家有关规定退耕，植树种草；禁止毁林、毁草开垦；禁止铲草皮、挖树兜；禁止倾倒砂、石、土、矸石、尾矿、废渣。</w:t>
      </w:r>
    </w:p>
    <w:p w14:paraId="56E33FD6">
      <w:pPr>
        <w:ind w:firstLine="480"/>
      </w:pPr>
      <w:r>
        <w:rPr>
          <w:rFonts w:hint="eastAsia"/>
        </w:rPr>
        <w:t>13.生态公益林</w:t>
      </w:r>
    </w:p>
    <w:p w14:paraId="6714CD15">
      <w:pPr>
        <w:ind w:firstLine="480"/>
      </w:pPr>
      <w:r>
        <w:rPr>
          <w:rFonts w:hint="eastAsia"/>
        </w:rPr>
        <w:t>禁止从事下列活动：砍柴、采石和狩猎；挖砂、取土和开山采石；野外用火；修建坟墓；排放污染物和堆放固体废物；其他破坏生态公益林资源的行为。</w:t>
      </w:r>
    </w:p>
    <w:p w14:paraId="240C7E64">
      <w:pPr>
        <w:ind w:firstLine="480"/>
      </w:pPr>
      <w:r>
        <w:rPr>
          <w:rFonts w:hint="eastAsia"/>
        </w:rPr>
        <w:t>2</w:t>
      </w:r>
      <w:r>
        <w:t>022</w:t>
      </w:r>
      <w:r>
        <w:rPr>
          <w:rFonts w:hint="eastAsia"/>
        </w:rPr>
        <w:t>年，自然资源部、生态环境部、国家林业和草原局联合发布《关于加强生态保护红线管理的通知（试行）》（自然资发〔2022〕142号）其中关于生态保护红线相关管控要求如下：</w:t>
      </w:r>
    </w:p>
    <w:p w14:paraId="0E597B0D">
      <w:pPr>
        <w:ind w:firstLine="482"/>
        <w:rPr>
          <w:b/>
          <w:bCs/>
        </w:rPr>
      </w:pPr>
      <w:r>
        <w:rPr>
          <w:rFonts w:hint="eastAsia"/>
          <w:b/>
          <w:bCs/>
        </w:rPr>
        <w:t>一、加强人为活动管控</w:t>
      </w:r>
    </w:p>
    <w:p w14:paraId="19D26875">
      <w:pPr>
        <w:ind w:firstLine="480"/>
      </w:pPr>
      <w:r>
        <w:rPr>
          <w:rFonts w:hint="eastAsia"/>
        </w:rPr>
        <w:t>（一）规范管控对生态功能不造成破坏的有限人为活动。生态保护红线是国土空间规划中的重要管控边界，生态保护红线内自然保护地核心保护区外，禁止开发性、生产性建设活动，在符合法律法规的前提下，</w:t>
      </w:r>
      <w:r>
        <w:rPr>
          <w:rFonts w:hint="eastAsia"/>
          <w:b/>
          <w:bCs/>
        </w:rPr>
        <w:t>仅允许以下对生态功能不造成破坏的有限人为活动。</w:t>
      </w:r>
      <w:r>
        <w:rPr>
          <w:rFonts w:hint="eastAsia"/>
        </w:rPr>
        <w:t>生态保护红线内自然保护区、风景名胜区、饮用水水源保护区等区域，依照法律法规执行。</w:t>
      </w:r>
    </w:p>
    <w:p w14:paraId="37FE15F7">
      <w:pPr>
        <w:ind w:firstLine="480"/>
      </w:pPr>
      <w:r>
        <w:rPr>
          <w:rFonts w:hint="eastAsia"/>
        </w:rPr>
        <w:t>1.管护巡护、保护执法、科学研究、调查监测、测绘导航、防灾减灾救灾、军事国防、疫情防控等活动及相关的必要设施修筑。</w:t>
      </w:r>
    </w:p>
    <w:p w14:paraId="299D66D2">
      <w:pPr>
        <w:ind w:firstLine="480"/>
      </w:pPr>
      <w:r>
        <w:rPr>
          <w:rFonts w:hint="eastAsia"/>
        </w:rPr>
        <w:t>2.原住居民和其他合法权益主体，允许在不扩大现有建设用地、用海用岛、耕地、水产养殖规模和放牧强度（符合草畜平衡管理规定）的前提下，开展种植、放牧、捕捞、养殖（不包括投礁型海洋牧场、围海养殖）等活动，修筑生产生活设施。</w:t>
      </w:r>
    </w:p>
    <w:p w14:paraId="167E41B6">
      <w:pPr>
        <w:ind w:firstLine="480"/>
      </w:pPr>
      <w:r>
        <w:rPr>
          <w:rFonts w:hint="eastAsia"/>
        </w:rPr>
        <w:t>3.经依法批准的考古调查发掘、古生物化石调查发掘、标本采集和文物保护活动。</w:t>
      </w:r>
    </w:p>
    <w:p w14:paraId="04AB982C">
      <w:pPr>
        <w:ind w:firstLine="480"/>
      </w:pPr>
      <w:r>
        <w:rPr>
          <w:rFonts w:hint="eastAsia"/>
        </w:rPr>
        <w:t>4.按规定对人工商品林进行抚育采伐，或以提升森林质量、优化栖息地、建设生物防火隔离带等为目的的树种更新，依法开展的竹林采伐经营。</w:t>
      </w:r>
    </w:p>
    <w:p w14:paraId="45F9742D">
      <w:pPr>
        <w:ind w:firstLine="480"/>
      </w:pPr>
      <w:r>
        <w:rPr>
          <w:rFonts w:hint="eastAsia"/>
        </w:rPr>
        <w:t>5.</w:t>
      </w:r>
      <w:r>
        <w:rPr>
          <w:rFonts w:hint="eastAsia"/>
          <w:b/>
          <w:bCs/>
        </w:rPr>
        <w:t>不破坏生态功能的适度参观旅游、科普宣教及符合相关规划的配套性服务设施和相关的必要公共设施建设及维护。</w:t>
      </w:r>
    </w:p>
    <w:p w14:paraId="0DEAB1ED">
      <w:pPr>
        <w:ind w:firstLine="480"/>
      </w:pPr>
      <w:r>
        <w:rPr>
          <w:rFonts w:hint="eastAsia"/>
        </w:rPr>
        <w:t>6.必须且无法避让、符合县级以上国土空间规划的线性基础设施、通讯和防洪、供水设施建设和船舶航行、航道疏浚清淤等活动；已有的合法水利、交通运输等设施运行维护改造。</w:t>
      </w:r>
    </w:p>
    <w:p w14:paraId="7FB880D3">
      <w:pPr>
        <w:ind w:firstLine="480"/>
      </w:pPr>
      <w:r>
        <w:rPr>
          <w:rFonts w:hint="eastAsia"/>
        </w:rPr>
        <w:t>7.地质调查与矿产资源勘查开采。包括：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或海域范围依照国家相关规定调出生态保护红线；已依法设立的油气采矿权不扩大用地用海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铬、铜、镍、锂、钴、锆、钾盐、（中）重稀土矿等战略性矿产探矿权开展勘查活动，可办理探矿权登记，因国家战略需要开展开采活动的，可办理采矿权登记。上述勘查开采活动，应落实减缓生态环境影响措施，严格执行绿色勘查、开采及矿山环境生态修复相关要求。</w:t>
      </w:r>
    </w:p>
    <w:p w14:paraId="6433138A">
      <w:pPr>
        <w:ind w:firstLine="480"/>
      </w:pPr>
      <w:r>
        <w:rPr>
          <w:rFonts w:hint="eastAsia"/>
        </w:rPr>
        <w:t>8.依据县级以上国土空间规划和生态保护修复专项规划开展的生态修复。</w:t>
      </w:r>
    </w:p>
    <w:p w14:paraId="16817CC3">
      <w:pPr>
        <w:ind w:firstLine="480"/>
      </w:pPr>
      <w:r>
        <w:rPr>
          <w:rFonts w:hint="eastAsia"/>
        </w:rPr>
        <w:t>9.根据我国相关法律法规和与邻国签署的国界管理制度协定（条约）开展的边界边境通道清理以及界务工程的修建、维护和拆除工作。</w:t>
      </w:r>
    </w:p>
    <w:p w14:paraId="009C0056">
      <w:pPr>
        <w:ind w:firstLine="480"/>
      </w:pPr>
      <w:r>
        <w:rPr>
          <w:rFonts w:hint="eastAsia"/>
        </w:rPr>
        <w:t>10.法律法规规定允许的其他人为活动。</w:t>
      </w:r>
    </w:p>
    <w:p w14:paraId="7BC59F42">
      <w:pPr>
        <w:ind w:firstLine="480"/>
      </w:pPr>
      <w:r>
        <w:rPr>
          <w:rFonts w:hint="eastAsia"/>
        </w:rPr>
        <w:t>2023年，江苏省自然资源厅发布《关于进一步加强生态保护红线监督管理的通知》（苏自然函〔2023〕880号），其中关于生态保护红线管控要求如下：</w:t>
      </w:r>
    </w:p>
    <w:p w14:paraId="677B93C6">
      <w:pPr>
        <w:ind w:firstLine="482"/>
        <w:rPr>
          <w:b/>
          <w:bCs/>
        </w:rPr>
      </w:pPr>
      <w:r>
        <w:rPr>
          <w:rFonts w:hint="eastAsia"/>
          <w:b/>
          <w:bCs/>
        </w:rPr>
        <w:t>一、严格涉及生态保护红线项目准入</w:t>
      </w:r>
    </w:p>
    <w:p w14:paraId="0AE0EE6C">
      <w:pPr>
        <w:ind w:firstLine="480"/>
      </w:pPr>
      <w:r>
        <w:rPr>
          <w:rFonts w:hint="eastAsia"/>
        </w:rPr>
        <w:t>（一）生态保护红线内，</w:t>
      </w:r>
      <w:r>
        <w:rPr>
          <w:rFonts w:hint="eastAsia"/>
          <w:b/>
          <w:bCs/>
        </w:rPr>
        <w:t>自然保护地核心保护区原则上禁止人为活动</w:t>
      </w:r>
      <w:r>
        <w:rPr>
          <w:rFonts w:hint="eastAsia"/>
        </w:rPr>
        <w:t>；自然保护地核心保护区外，禁止开发性、生产性建设活动，在符合法律法规的前提下，仅允许对生态功能不造成破坏的有限人为活动，生态保护红线内、自然保护地核心保护区外开展的有限人为活动，必须符合142号文规定的十类有限人为活动情形，禁止新增填海造地和新增围海，且不得破坏所涉及生态保护红线的生态功能。</w:t>
      </w:r>
    </w:p>
    <w:p w14:paraId="72275064">
      <w:pPr>
        <w:ind w:firstLine="480"/>
      </w:pPr>
      <w:r>
        <w:rPr>
          <w:rFonts w:hint="eastAsia"/>
        </w:rPr>
        <w:t>（二）生态保护红线内允许的有限人为活动之外，确需占用生态保护红线的国家重大项目类型、级别严格按142号文执行。</w:t>
      </w:r>
    </w:p>
    <w:p w14:paraId="6943FE24">
      <w:pPr>
        <w:ind w:firstLine="480"/>
      </w:pPr>
      <w:r>
        <w:rPr>
          <w:rFonts w:hint="eastAsia"/>
        </w:rPr>
        <w:t>（三）生态保护红线内自然保护地、风景名胜区、饮用水水源保护区、水产种质资源保护区、重要湖泊湿地、生态公益林等区域，依照法律法规执行。生态保护红线内人为活动涉及上述区域的，应当按规定征求相关主管部门意见。</w:t>
      </w:r>
    </w:p>
    <w:p w14:paraId="7079A7FB">
      <w:pPr>
        <w:ind w:firstLine="482"/>
        <w:rPr>
          <w:b/>
          <w:bCs/>
        </w:rPr>
      </w:pPr>
      <w:r>
        <w:rPr>
          <w:rFonts w:hint="eastAsia"/>
          <w:b/>
          <w:bCs/>
        </w:rPr>
        <w:t>二、规范涉及生态保护红线项目管控</w:t>
      </w:r>
    </w:p>
    <w:p w14:paraId="062E4086">
      <w:pPr>
        <w:ind w:firstLine="480"/>
      </w:pPr>
      <w:r>
        <w:rPr>
          <w:rFonts w:hint="eastAsia"/>
        </w:rPr>
        <w:t>（七）不涉及新增建设用地用海用岛，原住民和其他合法权益主体在不扩大现有建设用地、用海用岛、耕地、水产养殖规模的前提下，开展种植、捕捞、养殖（不包括投礁型海洋牧场、围海养殖）等活动，修筑生产生活设施、符合相应标准的直接为林业生产经营服务的工程设施，以及以穿跨越方式经过生态保护红线等不涉及新增建设用地用海用岛、属于对生态功能不造成破坏的有限人为活动或确需占用生态保护红线的国家重大项目，由设区市人民政府对项目进行论证。通过论证的，在办理相关行政审批手续时附设区市人民政府出具的符合生态保护红线内允许有限人为活动认定意见或不可避让论证意见。各设区市在开展审查论证工作时，可结合实际制定具体办理程序。无具体建设行为的有限人为活动，由该项活动的主管部门按规定做好管理。</w:t>
      </w:r>
    </w:p>
    <w:p w14:paraId="376DFD5E">
      <w:pPr>
        <w:ind w:firstLine="480"/>
      </w:pPr>
      <w:r>
        <w:rPr>
          <w:rFonts w:hint="eastAsia"/>
        </w:rPr>
        <w:t>（八）开展有限人为活动和国家重大项目所必须的临时用地，应优先避让生态保护红线，确实无法避让的，按照自然资源部、国家林业和草原局关于规范临时用地、用林管理的有关要求，参照临时占用永久基本农田等规定办理临时用地手续，在使用过程中严格落实生态环境保护措施，使用结束后严格落实恢复责任。</w:t>
      </w:r>
    </w:p>
    <w:p w14:paraId="119DCAD4">
      <w:pPr>
        <w:ind w:firstLine="482"/>
        <w:rPr>
          <w:b/>
          <w:bCs/>
        </w:rPr>
      </w:pPr>
      <w:r>
        <w:rPr>
          <w:rFonts w:hint="eastAsia"/>
          <w:b/>
          <w:bCs/>
        </w:rPr>
        <w:t>三、强化涉及生态保护红线项目监管</w:t>
      </w:r>
    </w:p>
    <w:p w14:paraId="6D7AEC06">
      <w:pPr>
        <w:ind w:firstLine="480"/>
      </w:pPr>
      <w:r>
        <w:rPr>
          <w:rFonts w:hint="eastAsia"/>
        </w:rPr>
        <w:t>（十）各级政府是生态保护红线管护的责任主体。各级政府及相关部门要加强生态保护红线日常监管和巡查检查，强化执法监管和保护修复，确保功能不降低、面积不减少、性质不改变；各级自然资源主管部门要严格国土空间用途管制实施监督，适时组织开展勘界定标工作；各级生态环境主管部门要做好生态环境监督工作；各级林业主管部门重点抓好自然保护地、重要湿地、生态公益林的监督管理。</w:t>
      </w:r>
    </w:p>
    <w:p w14:paraId="1FBD872F">
      <w:pPr>
        <w:ind w:firstLine="480"/>
      </w:pPr>
      <w:r>
        <w:rPr>
          <w:rFonts w:hint="eastAsia"/>
        </w:rPr>
        <w:t>2021年，省政府办公厅印发《江苏省生态空间管控区域监督管理办法的通知》，其中关于生态空间管控区域管理要求如下：</w:t>
      </w:r>
    </w:p>
    <w:p w14:paraId="44F7EA38">
      <w:pPr>
        <w:ind w:firstLine="482"/>
      </w:pPr>
      <w:r>
        <w:rPr>
          <w:rFonts w:hint="eastAsia"/>
          <w:b/>
          <w:bCs/>
        </w:rPr>
        <w:t>第三条</w:t>
      </w:r>
      <w:r>
        <w:rPr>
          <w:rFonts w:hint="eastAsia"/>
        </w:rPr>
        <w:t xml:space="preserve"> </w:t>
      </w:r>
      <w:r>
        <w:t xml:space="preserve"> </w:t>
      </w:r>
      <w:r>
        <w:rPr>
          <w:rFonts w:hint="eastAsia"/>
        </w:rPr>
        <w:t>生态空间管控区域以生态保护为重点，原则上不得开展有损主导生态功能的开发建设活动，不得随意占用和调整。对不同类型和保护对象，实行共同与差别化的管控措施；若同一生态空间兼具2种以上类别，按最严格的要求落实监管措施，确保生态空间管控区域“功能不降低、面积不减少、性质不改变”。</w:t>
      </w:r>
    </w:p>
    <w:p w14:paraId="75E13F81">
      <w:pPr>
        <w:ind w:firstLine="482"/>
      </w:pPr>
      <w:r>
        <w:rPr>
          <w:rFonts w:hint="eastAsia"/>
          <w:b/>
          <w:bCs/>
        </w:rPr>
        <w:t>第八条</w:t>
      </w:r>
      <w:r>
        <w:rPr>
          <w:rFonts w:hint="eastAsia"/>
        </w:rPr>
        <w:t xml:space="preserve">  生态空间管控区域内按照《江苏省生态空间管控区域调整管理办法》（苏政办发〔2021〕3号）有关要求进行管控。其中对生态功能不造成破坏的情形界定如下：</w:t>
      </w:r>
    </w:p>
    <w:p w14:paraId="5D4E3DE9">
      <w:pPr>
        <w:ind w:firstLine="480"/>
      </w:pPr>
      <w:r>
        <w:rPr>
          <w:rFonts w:hint="eastAsia"/>
        </w:rPr>
        <w:t>（一）种植、放牧、捕捞、养殖等农业活动不增加区域内污染物排放总量，不降低生态环境质量；</w:t>
      </w:r>
    </w:p>
    <w:p w14:paraId="1DA9EBD6">
      <w:pPr>
        <w:ind w:firstLine="480"/>
      </w:pPr>
      <w:r>
        <w:rPr>
          <w:rFonts w:hint="eastAsia"/>
        </w:rPr>
        <w:t>（二）确实无法退出的零星原住民居民点建设不改变用地性质，不超出原占地面积，不增加污染物排放总量；</w:t>
      </w:r>
    </w:p>
    <w:p w14:paraId="1AC94291">
      <w:pPr>
        <w:ind w:firstLine="480"/>
        <w:rPr>
          <w:b/>
          <w:bCs/>
        </w:rPr>
      </w:pPr>
      <w:r>
        <w:rPr>
          <w:rFonts w:hint="eastAsia"/>
        </w:rPr>
        <w:t>（三）</w:t>
      </w:r>
      <w:r>
        <w:rPr>
          <w:rFonts w:hint="eastAsia"/>
          <w:b/>
          <w:bCs/>
        </w:rPr>
        <w:t>现有且合法的农业、交通运输、水利、旅游、安全防护、生产生活等各类基础设施及配套设施运行和维护不扩大现有规模和占地面积，不降低生态环境质量；</w:t>
      </w:r>
    </w:p>
    <w:p w14:paraId="360B75A4">
      <w:pPr>
        <w:ind w:firstLine="480"/>
      </w:pPr>
      <w:r>
        <w:rPr>
          <w:rFonts w:hint="eastAsia"/>
        </w:rPr>
        <w:t>（四）必要且无法避让、依法允许开展的殡葬、</w:t>
      </w:r>
      <w:r>
        <w:rPr>
          <w:rFonts w:hint="eastAsia"/>
          <w:b/>
          <w:bCs/>
        </w:rPr>
        <w:t>宗教设施建设</w:t>
      </w:r>
      <w:r>
        <w:rPr>
          <w:rFonts w:hint="eastAsia"/>
        </w:rPr>
        <w:t>、运行和维护活动应当严格限制建设规模，不增加区域内污染物排放总量；</w:t>
      </w:r>
    </w:p>
    <w:p w14:paraId="70ACDA8F">
      <w:pPr>
        <w:ind w:firstLine="480"/>
      </w:pPr>
      <w:r>
        <w:rPr>
          <w:rFonts w:hint="eastAsia"/>
        </w:rPr>
        <w:t>（五）经依法批准的国土空间综合整治、生态修复活动应当充分遵循生态系统演替规律和内在机理，切实提升生态系统质量和稳定性；</w:t>
      </w:r>
    </w:p>
    <w:p w14:paraId="324992D1">
      <w:pPr>
        <w:ind w:firstLine="480"/>
      </w:pPr>
      <w:r>
        <w:rPr>
          <w:rFonts w:hint="eastAsia"/>
        </w:rPr>
        <w:t>（六）经依法批准的各类矿产资源开采活动不扩大生产区域范围和生产规模，不新增生产设施，开采活动结束后及时开展生态修复；</w:t>
      </w:r>
    </w:p>
    <w:p w14:paraId="4B9220EF">
      <w:pPr>
        <w:ind w:firstLine="480"/>
      </w:pPr>
      <w:r>
        <w:rPr>
          <w:rFonts w:hint="eastAsia"/>
        </w:rPr>
        <w:t>（七）适度的船舶航行、车辆通行等应当采取限流、限速、限航、低噪音、禁鸣、禁排管理，不影响区域生态系统稳定性；</w:t>
      </w:r>
    </w:p>
    <w:p w14:paraId="400655D4">
      <w:pPr>
        <w:ind w:firstLine="480"/>
      </w:pPr>
      <w:r>
        <w:rPr>
          <w:rFonts w:hint="eastAsia"/>
        </w:rPr>
        <w:t>（八）法律法规和国家另有规定的，从其规定。</w:t>
      </w:r>
    </w:p>
    <w:p w14:paraId="4E177A29">
      <w:pPr>
        <w:ind w:firstLine="480"/>
      </w:pPr>
      <w:r>
        <w:rPr>
          <w:rFonts w:hint="eastAsia"/>
        </w:rPr>
        <w:t>2023年，常州市政府根据中共中央办公厅、国务院办公厅《关于划定并严守生态保护红线的若干意见》（厅字〔2017〕2号）、《江苏省生态空间管控区域规划》（苏政发〔2020〕1号）、《江苏省生态空间管控区域调整管理办法》（苏政办发〔2021〕3号）、《江苏省生态空间管控区域监督管理办法》（苏政办发〔2021〕20号）、《江苏省生态空间管控区域监督管理评估细则》（苏环办〔2022〕283号）和相关法律法规规定制定《常州市生态空间管控区域监督管理实施细则》：</w:t>
      </w:r>
    </w:p>
    <w:p w14:paraId="75B6500E">
      <w:pPr>
        <w:ind w:firstLine="480"/>
      </w:pPr>
      <w:r>
        <w:rPr>
          <w:rFonts w:hint="eastAsia"/>
        </w:rPr>
        <w:t>第三条 生态空间管控区域以生态保护为重点，原则上不得开展有损主导生态功能的开发建设活动，不得随意占用和调整对不同类型和保护对象，实行共同与差别化的管控措施：若同一生态空间兼具2种以上类别，按最严格的要求落实监管措施，确保生态空间管控区域“功能不降低、面积不减少、性质不改变”。</w:t>
      </w:r>
    </w:p>
    <w:p w14:paraId="6E2A2F21">
      <w:pPr>
        <w:ind w:firstLine="480"/>
      </w:pPr>
      <w:r>
        <w:rPr>
          <w:rFonts w:hint="eastAsia"/>
        </w:rPr>
        <w:t>第五条 生态环境主管部门及其他相关主管部门应当健全生态空间管控区域监督管理的公众参与机制，利用听证、公示、信息公开、信访、举报热线等渠道，依法及时对涉及破坏、侵占生态空间管控区域的投诉、举报线索进行核实和处理。探索建立有奖举报制度，经核证属实的，给予举报人不同数额的奖励。</w:t>
      </w:r>
    </w:p>
    <w:p w14:paraId="635F038A">
      <w:pPr>
        <w:ind w:firstLine="480"/>
      </w:pPr>
      <w:r>
        <w:rPr>
          <w:rFonts w:hint="eastAsia"/>
        </w:rPr>
        <w:t>第八条 生态空间管控区域划定后，任何单位和个人不得擅自占用。除生态保护红线允许开展的人为活动外，在符合现行法律法规的前提下，生态空间管控区域按照《江苏省生态空间管控区域调整管理办法》（苏政办发〔2021〕3号）和《江苏省生态空间管控区域监督管理办法》（）苏政办发〔2021〕20号）要求进行管控。其中对生态功能不造成破坏的情形界定如下：</w:t>
      </w:r>
    </w:p>
    <w:p w14:paraId="4F17BD64">
      <w:pPr>
        <w:ind w:firstLine="480"/>
      </w:pPr>
      <w:r>
        <w:rPr>
          <w:rFonts w:hint="eastAsia"/>
        </w:rPr>
        <w:t>（一）种植、放牧、捕捞、养殖等农业活动不增加区域内污染物排放总量，不降低生态环境质量；</w:t>
      </w:r>
    </w:p>
    <w:p w14:paraId="5CC9939F">
      <w:pPr>
        <w:ind w:firstLine="480"/>
      </w:pPr>
      <w:r>
        <w:rPr>
          <w:rFonts w:hint="eastAsia"/>
        </w:rPr>
        <w:t>（二）确实无法退出的零星原住民居民点建设不改变用地性质，不超出原占地面积，不增加污染物排放总量；</w:t>
      </w:r>
    </w:p>
    <w:p w14:paraId="3C3122FD">
      <w:pPr>
        <w:ind w:firstLine="480"/>
      </w:pPr>
      <w:r>
        <w:rPr>
          <w:rFonts w:hint="eastAsia"/>
        </w:rPr>
        <w:t>（三）现有且合法的农业、交通运输、水利、旅游、安全防护、生产生活等各类基础设施及配套设施运行和维护不扩大现有规模和占地面积，不降低生态环境质量；</w:t>
      </w:r>
    </w:p>
    <w:p w14:paraId="441810C9">
      <w:pPr>
        <w:ind w:firstLine="480"/>
      </w:pPr>
      <w:r>
        <w:rPr>
          <w:rFonts w:hint="eastAsia"/>
        </w:rPr>
        <w:t>（四）必要且无法避让、依法允许开展的殡葬、宗教设施建设、运行和维护活动应当严格限制建设规模，不增加区域内污染物排放总量；</w:t>
      </w:r>
    </w:p>
    <w:p w14:paraId="6A48D6CB">
      <w:pPr>
        <w:ind w:firstLine="480"/>
      </w:pPr>
      <w:r>
        <w:rPr>
          <w:rFonts w:hint="eastAsia"/>
        </w:rPr>
        <w:t>（五）经依法批准的国土空间综合整治、生态修复活动应当充分遵循生态系统演替规律和内在机理，切实提升生态系统质量和稳定性；</w:t>
      </w:r>
    </w:p>
    <w:p w14:paraId="0765198B">
      <w:pPr>
        <w:ind w:firstLine="480"/>
      </w:pPr>
      <w:r>
        <w:rPr>
          <w:rFonts w:hint="eastAsia"/>
        </w:rPr>
        <w:t>（六）经依法批准的各类矿产资源开采活动不扩大生产区域范围和生产规模，不新增生产设施，开采活动结束后及时开展生态修复；</w:t>
      </w:r>
    </w:p>
    <w:p w14:paraId="4C919D45">
      <w:pPr>
        <w:ind w:firstLine="480"/>
      </w:pPr>
      <w:r>
        <w:rPr>
          <w:rFonts w:hint="eastAsia"/>
        </w:rPr>
        <w:t>（七）适度的船舶航行、车辆通行等应当采取限流、限速、限航、低噪音、禁鸣、禁排管理，不影响区域生态系统稳定性；</w:t>
      </w:r>
    </w:p>
    <w:p w14:paraId="094B4D9D">
      <w:pPr>
        <w:ind w:firstLine="480"/>
      </w:pPr>
      <w:r>
        <w:rPr>
          <w:rFonts w:hint="eastAsia"/>
        </w:rPr>
        <w:t>（八）法律法规规定允许的其他人为活动。</w:t>
      </w:r>
    </w:p>
    <w:p w14:paraId="28ED48F1">
      <w:pPr>
        <w:ind w:firstLine="480"/>
      </w:pPr>
      <w:r>
        <w:rPr>
          <w:rFonts w:hint="eastAsia"/>
        </w:rPr>
        <w:t>属于上述规定中（二）（三）（四）（六）（七）情形的项目建设，应由市人民政府按规定组织论证，出具论证意见。其中为维持防洪、除涝、灌溉、供水等公益性功能而定期实施的河道疏浚、堤防加固、病险水工建筑物除险加固等工程，可不再办理相关论证手续。</w:t>
      </w:r>
    </w:p>
    <w:p w14:paraId="32141547">
      <w:pPr>
        <w:ind w:firstLine="480"/>
      </w:pPr>
      <w:r>
        <w:rPr>
          <w:rFonts w:hint="eastAsia"/>
        </w:rPr>
        <w:t>（2）相符性分析</w:t>
      </w:r>
    </w:p>
    <w:p w14:paraId="47810275">
      <w:pPr>
        <w:ind w:firstLine="480"/>
      </w:pPr>
      <w:r>
        <w:rPr>
          <w:rFonts w:hint="eastAsia"/>
        </w:rPr>
        <w:t>度假区范围内规划建设旅游项目共计33个，其中16个项目规划建设位置不涉及生态保护红线及生态空间管控区，6个项目涉及生态保护红线（其中1个项目仅部分涉及），10个项目涉及生态空间管控区（其中2个项目仅部分涉及），1个项目同时涉及生态保护红线和生态空间管控区，各项目建设情况和位置如表2</w:t>
      </w:r>
      <w:r>
        <w:t>.</w:t>
      </w:r>
      <w:r>
        <w:rPr>
          <w:rFonts w:hint="eastAsia"/>
        </w:rPr>
        <w:t>3-2和附图28所示。</w:t>
      </w:r>
    </w:p>
    <w:p w14:paraId="3B482F27">
      <w:pPr>
        <w:ind w:firstLine="480"/>
      </w:pPr>
      <w:r>
        <w:rPr>
          <w:rFonts w:hint="eastAsia"/>
        </w:rPr>
        <w:t>从涉及生态保护红线及生态空间管控区的17个旅游项目建设内容和建设性质来看，其中茅山·乾元圣境、茅山观妙台、茅山飞渡·空中博物馆（缆车）、茅山金牛洞景区改造提升—福道茅山主题登山道、鸣玉径·妙音路、五斗米艺术谷、马术俱乐部、天心菜园、竹里·追光、果乡·拾忆等10个项目主要涉及现有建筑、设施、项目、村庄等改造提升等，根据生态保护红线和生态空间管控区域现行管理办法，在严格落实</w:t>
      </w:r>
      <w:r>
        <w:rPr>
          <w:rFonts w:hint="eastAsia"/>
          <w:b/>
          <w:bCs/>
        </w:rPr>
        <w:t>“现有且合法的农业、交通运输、水利、旅游、安全防护、生产生活等各类基础设施及配套设施运行和维护不扩大现有规模和占地面积，不降低生态环境质量”“不增加污染物总量”，</w:t>
      </w:r>
      <w:r>
        <w:rPr>
          <w:rFonts w:hint="eastAsia"/>
        </w:rPr>
        <w:t>仅开展</w:t>
      </w:r>
      <w:r>
        <w:rPr>
          <w:rFonts w:hint="eastAsia"/>
          <w:b/>
          <w:bCs/>
        </w:rPr>
        <w:t>“不破坏生态功能的适度参观旅游、科普宣教及符合相关规划的配套性服务设施和相关的必要公共设施建设及维护。”</w:t>
      </w:r>
      <w:r>
        <w:rPr>
          <w:rFonts w:hint="eastAsia"/>
        </w:rPr>
        <w:t>等</w:t>
      </w:r>
      <w:r>
        <w:rPr>
          <w:rFonts w:hint="eastAsia"/>
          <w:b/>
          <w:bCs/>
        </w:rPr>
        <w:t>“有限人类活动”</w:t>
      </w:r>
      <w:r>
        <w:rPr>
          <w:rFonts w:hint="eastAsia"/>
        </w:rPr>
        <w:t>基础上，认为该1</w:t>
      </w:r>
      <w:r>
        <w:t>0</w:t>
      </w:r>
      <w:r>
        <w:rPr>
          <w:rFonts w:hint="eastAsia"/>
        </w:rPr>
        <w:t>个项目可以符合《关于加强生态保护红线管理的通知（试行）》《省政府办公厅关于印发江苏省生态空间管控区域监督管理办法的通知》《关于加强生态保护红线管理的通知（试行）》中相关管理要求，在落实《关于进一步加强生态保护红线监督管理的通知》</w:t>
      </w:r>
      <w:r>
        <w:rPr>
          <w:rFonts w:hint="eastAsia"/>
          <w:szCs w:val="24"/>
        </w:rPr>
        <w:t>（苏自然函〔2023〕880号）、</w:t>
      </w:r>
      <w:r>
        <w:rPr>
          <w:rFonts w:hint="eastAsia"/>
        </w:rPr>
        <w:t>《生态空间管控区域调整管理办法》（苏政办发〔2021〕3号）中相关项目准入及管控要求后，属于可开展的项目建设。</w:t>
      </w:r>
    </w:p>
    <w:p w14:paraId="5B45AD2E">
      <w:pPr>
        <w:ind w:firstLine="480"/>
      </w:pPr>
      <w:r>
        <w:rPr>
          <w:rFonts w:hint="eastAsia"/>
        </w:rPr>
        <w:t>茅山森林世界度假目的地、茅山文创坊、隐·茅山规划、茅山观妙台、茅山飞渡·空中博物馆（缆车）、茅山金牛洞景区改造提升—福道茅山主题登山道、鸣玉径·妙音路7个项目规划内容涉及在生态保护红线范围内建设旅游、商业服务等设施，其中茅山森林世界度假目的涉及新增建设用地内容为索道上下站台建设，同时涉及现有设施改造提升；其余6个项目均为现有设施改造提升。根据《关于加强生态保护红线管理的通知（试行）》，生态保护红线内自然保护地核心保护区外，禁止开发性、生产性建设活动，允许开展“5.</w:t>
      </w:r>
      <w:r>
        <w:rPr>
          <w:rFonts w:hint="eastAsia"/>
          <w:b/>
          <w:bCs/>
        </w:rPr>
        <w:t>不破坏生态功能的适度参观旅游、科普宣教及符合相关规划的配套性服务设施和相关的必要公共设施建设及维护。</w:t>
      </w:r>
      <w:r>
        <w:rPr>
          <w:rFonts w:hint="eastAsia"/>
        </w:rPr>
        <w:t>”，以上7个项目涉及建设的旅游或服务设施，不属于开发性、生产性建设活动，对照现有生态保护红线管理办法中允许开展的有限人类活动中旅游或服务设施的建设要求，同时考虑到生态空间管控区域管理要求中提出的旅游、生活相关项目建设及运行维护限于</w:t>
      </w:r>
      <w:r>
        <w:rPr>
          <w:rFonts w:hint="eastAsia"/>
          <w:b/>
          <w:bCs/>
        </w:rPr>
        <w:t>“现有且合法”</w:t>
      </w:r>
      <w:r>
        <w:rPr>
          <w:rFonts w:hint="eastAsia"/>
        </w:rPr>
        <w:t>的规定范畴，生态保护红线范围内应考虑建议执行更严格管控要求，建议该7个项目建设内容需严格落实《关于加强生态保护红线管理的通知（试行）》（自然资发〔2022〕142号）、《关于进一步加强生态保护红线监督管理的通知》</w:t>
      </w:r>
      <w:r>
        <w:rPr>
          <w:rFonts w:hint="eastAsia"/>
          <w:szCs w:val="24"/>
        </w:rPr>
        <w:t>（苏自然函〔2023〕880号）</w:t>
      </w:r>
      <w:r>
        <w:rPr>
          <w:rFonts w:hint="eastAsia"/>
        </w:rPr>
        <w:t>中生态保护红线范围内项目准入及管控要求后方可开展。</w:t>
      </w:r>
    </w:p>
    <w:p w14:paraId="1B119887">
      <w:pPr>
        <w:ind w:firstLine="480"/>
      </w:pPr>
      <w:r>
        <w:rPr>
          <w:rFonts w:hint="eastAsia"/>
        </w:rPr>
        <w:t>春风一杯酒客栈、大地之野自然学校2个规划项目位于生态空间管控区——方山（金坛）森林公园，其中春风一杯酒客栈项目拟新建高端主题酒店，该地块在金坛区三调用地现状类型为采矿用地，对照《省政府办公厅关于印发江苏省生态空间管控区域监督管理办法的通知》中</w:t>
      </w:r>
      <w:r>
        <w:rPr>
          <w:rFonts w:hint="eastAsia"/>
          <w:b/>
          <w:bCs/>
        </w:rPr>
        <w:t>“现有且合法的农业、交通运输、水利、旅游、安全防护、生产生活等各类基础设施及配套设施运行和维护不扩大现有规模和占地面积，不降低生态环境质量”</w:t>
      </w:r>
      <w:r>
        <w:rPr>
          <w:rFonts w:hint="eastAsia"/>
        </w:rPr>
        <w:t>等对生态功能不造成破坏的情形界定，同时结合</w:t>
      </w:r>
      <w:r>
        <w:rPr>
          <w:rFonts w:hint="eastAsia"/>
          <w:b/>
          <w:bCs/>
        </w:rPr>
        <w:t>“矿产资源……开采活动结束后及时开展生态修复”</w:t>
      </w:r>
      <w:r>
        <w:rPr>
          <w:rFonts w:hint="eastAsia"/>
        </w:rPr>
        <w:t>的相关要求，考虑采矿地块开采结束后宜首先以生态修复为主，若规划开发建设，需落实《生态空间管控区域调整管理办法》（苏政办发〔2021〕3号）中项目准入和相关管控要求后方可开展。大地之野自然学校规划用地中部分涉及生态空间管控区，后续开发建设也需落实《生态空间管控区域调整管理办法》（苏政办发〔2021〕3号）中项目准入和相关管控要求后方可开展。</w:t>
      </w:r>
    </w:p>
    <w:p w14:paraId="0D152C37">
      <w:pPr>
        <w:ind w:firstLine="480"/>
      </w:pPr>
      <w:r>
        <w:rPr>
          <w:rFonts w:hint="eastAsia"/>
        </w:rPr>
        <w:t>茅山·乾元圣境1个项目位于生态空间管控区——茅东山地水源涵养区，项目主要内容为现有宗教设施提升改造，不涉及新增建设用地。对照《省政府办公厅关于印发江苏省生态空间管控区域监督管理办法的通知》中“现有且合法的农业、交通运输、水利、旅游、安全防护、生产生活等各类基础设施及配套设施运行和维护不扩大现有规模和占地面积，不降低生态环境质量”的对生态功能不造成破坏的情形界定，在落实相关项目准入及管控要求后，属于可开展的项目建设。</w:t>
      </w:r>
    </w:p>
    <w:p w14:paraId="004E042A">
      <w:pPr>
        <w:ind w:firstLine="480"/>
      </w:pPr>
      <w:r>
        <w:rPr>
          <w:rFonts w:hint="eastAsia"/>
        </w:rPr>
        <w:t>五斗米艺术、马术俱乐部、三生风味、秋的N次方、天心菜园、竹里·追光、果乡·拾忆7个项目位于生态空间管控区——向阳水库水源涵养区，五斗米艺术、马术俱乐部、天心菜园、竹里·追光、果乡·拾忆5个项目均为现有项目改造提升，不涉及新增建设用地，对照管理办法中对生态功能不造成破坏的情形界定，在落实相关项目准入及管控要求后，属于可开展的项目建设。三生风味、秋的N次方2个项目建设均规划重新利用原遗留建设用地，用于建造商业服务业设施，对照《省政府办公厅关于印发江苏省生态空间管控区域监督管理办法的通知》中</w:t>
      </w:r>
      <w:r>
        <w:rPr>
          <w:rFonts w:hint="eastAsia"/>
          <w:b/>
          <w:bCs/>
        </w:rPr>
        <w:t>“现有且合法的农业、交通运输、水利、旅游、安全防护、生产生活等各类基础设施及配套设施运行和维护不扩大现有规模和占地面积，不降低生态环境质量”</w:t>
      </w:r>
      <w:r>
        <w:rPr>
          <w:rFonts w:hint="eastAsia"/>
        </w:rPr>
        <w:t>的对生态功能不造成破坏的情形界定，两个项目属于原有地块重新改造利用，不涉及扩大建设用地面积，但项目建设性质本质上仍属于新建项目，若要规划开发建设，需进一步落实《生态空间管控区域调整管理办法》（苏政办发〔2021〕3号）中项目准入和相关管控要求后方可开展。</w:t>
      </w:r>
    </w:p>
    <w:p w14:paraId="4C026BFD">
      <w:pPr>
        <w:ind w:firstLine="480"/>
      </w:pPr>
      <w:r>
        <w:rPr>
          <w:rFonts w:hint="eastAsia"/>
        </w:rPr>
        <w:t>综上所述，本轮规划的旅游项目不涉及《关于加强生态保护红线管理的通知（试行）》《关于进一步加强生态保护红线监督管理的通知》中明确禁止的“自然保护地核心区内人为活动”和“开发性、生产性建设活动”，本轮规划旅游项目主要以人文旅游、商业服务配套设施建设等为主，在严格控制调整建设内容和建设范围，对照落实生态空间保护区域内项目准入要求后具有一定的可实施性，可以符合《江苏省国家级生态保护红线规划》《江苏省生态空间管控区域规划》《关于加强生态保护红线管理的通知（试行）》《关于进一步加强生态保护红线监督管理的通知》《江苏省生态空间管控区域监督管理办法》《常州市生态空间管控区域监督管理实施细则》等文件的管控要求。</w:t>
      </w:r>
    </w:p>
    <w:p w14:paraId="13F5B39D">
      <w:pPr>
        <w:ind w:firstLine="480"/>
        <w:sectPr>
          <w:pgSz w:w="11906" w:h="16838"/>
          <w:pgMar w:top="1440" w:right="1800" w:bottom="1440" w:left="1800" w:header="851" w:footer="992" w:gutter="0"/>
          <w:cols w:space="425" w:num="1"/>
          <w:docGrid w:type="lines" w:linePitch="312" w:charSpace="0"/>
        </w:sectPr>
      </w:pPr>
    </w:p>
    <w:p w14:paraId="53F842B5">
      <w:pPr>
        <w:pStyle w:val="45"/>
        <w:rPr>
          <w:rFonts w:cs="Times New Roman"/>
        </w:rPr>
      </w:pPr>
      <w:r>
        <w:rPr>
          <w:rFonts w:hint="eastAsia" w:cs="Times New Roman"/>
        </w:rPr>
        <w:t>表2</w:t>
      </w:r>
      <w:r>
        <w:rPr>
          <w:rFonts w:cs="Times New Roman"/>
        </w:rPr>
        <w:t>.</w:t>
      </w:r>
      <w:r>
        <w:rPr>
          <w:rFonts w:hint="eastAsia" w:cs="Times New Roman"/>
        </w:rPr>
        <w:t>3-2</w:t>
      </w:r>
      <w:r>
        <w:rPr>
          <w:rFonts w:cs="Times New Roman"/>
        </w:rPr>
        <w:t xml:space="preserve">  </w:t>
      </w:r>
      <w:r>
        <w:rPr>
          <w:rFonts w:hint="eastAsia" w:cs="Times New Roman"/>
        </w:rPr>
        <w:t>度假区范围内规划旅游项目统计表</w:t>
      </w:r>
    </w:p>
    <w:tbl>
      <w:tblPr>
        <w:tblStyle w:val="26"/>
        <w:tblW w:w="5171" w:type="pct"/>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1645"/>
        <w:gridCol w:w="2162"/>
        <w:gridCol w:w="5637"/>
        <w:gridCol w:w="1420"/>
        <w:gridCol w:w="1475"/>
        <w:gridCol w:w="1458"/>
      </w:tblGrid>
      <w:tr w14:paraId="26321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94" w:type="pct"/>
            <w:vAlign w:val="center"/>
          </w:tcPr>
          <w:p w14:paraId="76240E31">
            <w:pPr>
              <w:spacing w:line="240" w:lineRule="auto"/>
              <w:ind w:firstLine="0" w:firstLineChars="0"/>
              <w:jc w:val="center"/>
              <w:rPr>
                <w:b/>
                <w:bCs/>
                <w:sz w:val="21"/>
                <w:szCs w:val="21"/>
              </w:rPr>
            </w:pPr>
            <w:r>
              <w:rPr>
                <w:rFonts w:hint="eastAsia"/>
                <w:b/>
                <w:bCs/>
                <w:sz w:val="21"/>
                <w:szCs w:val="21"/>
              </w:rPr>
              <w:t>序号</w:t>
            </w:r>
          </w:p>
        </w:tc>
        <w:tc>
          <w:tcPr>
            <w:tcW w:w="561" w:type="pct"/>
            <w:vAlign w:val="center"/>
          </w:tcPr>
          <w:p w14:paraId="604151FA">
            <w:pPr>
              <w:spacing w:line="240" w:lineRule="auto"/>
              <w:ind w:firstLine="0" w:firstLineChars="0"/>
              <w:jc w:val="center"/>
              <w:rPr>
                <w:b/>
                <w:bCs/>
                <w:sz w:val="21"/>
                <w:szCs w:val="21"/>
              </w:rPr>
            </w:pPr>
            <w:r>
              <w:rPr>
                <w:rFonts w:hint="eastAsia"/>
                <w:b/>
                <w:bCs/>
                <w:sz w:val="21"/>
                <w:szCs w:val="21"/>
              </w:rPr>
              <w:t>项目名称</w:t>
            </w:r>
          </w:p>
        </w:tc>
        <w:tc>
          <w:tcPr>
            <w:tcW w:w="737" w:type="pct"/>
            <w:vAlign w:val="center"/>
          </w:tcPr>
          <w:p w14:paraId="44F2DE7A">
            <w:pPr>
              <w:spacing w:line="240" w:lineRule="auto"/>
              <w:ind w:firstLine="0" w:firstLineChars="0"/>
              <w:jc w:val="center"/>
              <w:rPr>
                <w:b/>
                <w:bCs/>
                <w:sz w:val="21"/>
                <w:szCs w:val="21"/>
              </w:rPr>
            </w:pPr>
            <w:r>
              <w:rPr>
                <w:rFonts w:hint="eastAsia"/>
                <w:b/>
                <w:bCs/>
                <w:sz w:val="21"/>
                <w:szCs w:val="21"/>
              </w:rPr>
              <w:t>占地面积</w:t>
            </w:r>
          </w:p>
        </w:tc>
        <w:tc>
          <w:tcPr>
            <w:tcW w:w="1922" w:type="pct"/>
            <w:vAlign w:val="center"/>
          </w:tcPr>
          <w:p w14:paraId="344DD56C">
            <w:pPr>
              <w:spacing w:line="240" w:lineRule="auto"/>
              <w:ind w:firstLine="0" w:firstLineChars="0"/>
              <w:jc w:val="center"/>
              <w:rPr>
                <w:b/>
                <w:bCs/>
                <w:sz w:val="21"/>
                <w:szCs w:val="21"/>
              </w:rPr>
            </w:pPr>
            <w:r>
              <w:rPr>
                <w:rFonts w:hint="eastAsia"/>
                <w:b/>
                <w:bCs/>
                <w:sz w:val="21"/>
                <w:szCs w:val="21"/>
              </w:rPr>
              <w:t>项目建设主要内容</w:t>
            </w:r>
          </w:p>
        </w:tc>
        <w:tc>
          <w:tcPr>
            <w:tcW w:w="484" w:type="pct"/>
            <w:vAlign w:val="center"/>
          </w:tcPr>
          <w:p w14:paraId="290167AD">
            <w:pPr>
              <w:spacing w:line="240" w:lineRule="auto"/>
              <w:ind w:firstLine="0" w:firstLineChars="0"/>
              <w:jc w:val="center"/>
              <w:rPr>
                <w:b/>
                <w:bCs/>
                <w:sz w:val="21"/>
                <w:szCs w:val="21"/>
              </w:rPr>
            </w:pPr>
            <w:r>
              <w:rPr>
                <w:rFonts w:hint="eastAsia"/>
                <w:b/>
                <w:bCs/>
                <w:sz w:val="21"/>
                <w:szCs w:val="21"/>
              </w:rPr>
              <w:t>建设项目性质</w:t>
            </w:r>
          </w:p>
        </w:tc>
        <w:tc>
          <w:tcPr>
            <w:tcW w:w="503" w:type="pct"/>
            <w:vAlign w:val="center"/>
          </w:tcPr>
          <w:p w14:paraId="35F330B7">
            <w:pPr>
              <w:spacing w:line="240" w:lineRule="auto"/>
              <w:ind w:firstLine="0" w:firstLineChars="0"/>
              <w:jc w:val="center"/>
              <w:rPr>
                <w:b/>
                <w:bCs/>
                <w:sz w:val="21"/>
                <w:szCs w:val="21"/>
              </w:rPr>
            </w:pPr>
            <w:r>
              <w:rPr>
                <w:rFonts w:hint="eastAsia"/>
                <w:b/>
                <w:bCs/>
                <w:sz w:val="21"/>
                <w:szCs w:val="21"/>
              </w:rPr>
              <w:t>建设项目位于生态管控区域类型</w:t>
            </w:r>
          </w:p>
        </w:tc>
        <w:tc>
          <w:tcPr>
            <w:tcW w:w="497" w:type="pct"/>
            <w:vAlign w:val="center"/>
          </w:tcPr>
          <w:p w14:paraId="4DA0A04A">
            <w:pPr>
              <w:spacing w:line="240" w:lineRule="auto"/>
              <w:ind w:firstLine="0" w:firstLineChars="0"/>
              <w:jc w:val="center"/>
              <w:rPr>
                <w:b/>
                <w:bCs/>
                <w:sz w:val="21"/>
                <w:szCs w:val="21"/>
              </w:rPr>
            </w:pPr>
            <w:r>
              <w:rPr>
                <w:rFonts w:hint="eastAsia"/>
                <w:b/>
                <w:bCs/>
                <w:sz w:val="21"/>
                <w:szCs w:val="21"/>
              </w:rPr>
              <w:t>项目涉及生态管控区域名称</w:t>
            </w:r>
          </w:p>
        </w:tc>
      </w:tr>
      <w:tr w14:paraId="393DB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1" w:hRule="atLeast"/>
        </w:trPr>
        <w:tc>
          <w:tcPr>
            <w:tcW w:w="294" w:type="pct"/>
            <w:vAlign w:val="center"/>
          </w:tcPr>
          <w:p w14:paraId="6BEEA166">
            <w:pPr>
              <w:pStyle w:val="39"/>
              <w:numPr>
                <w:ilvl w:val="0"/>
                <w:numId w:val="11"/>
              </w:numPr>
              <w:spacing w:line="240" w:lineRule="auto"/>
              <w:ind w:firstLineChars="0"/>
              <w:jc w:val="center"/>
              <w:rPr>
                <w:sz w:val="21"/>
                <w:szCs w:val="21"/>
              </w:rPr>
            </w:pPr>
          </w:p>
        </w:tc>
        <w:tc>
          <w:tcPr>
            <w:tcW w:w="561" w:type="pct"/>
            <w:vAlign w:val="center"/>
          </w:tcPr>
          <w:p w14:paraId="3CB2BF97">
            <w:pPr>
              <w:spacing w:line="240" w:lineRule="auto"/>
              <w:ind w:firstLine="0" w:firstLineChars="0"/>
              <w:jc w:val="center"/>
              <w:rPr>
                <w:sz w:val="21"/>
                <w:szCs w:val="21"/>
              </w:rPr>
            </w:pPr>
            <w:r>
              <w:rPr>
                <w:rFonts w:hint="eastAsia" w:ascii="仿宋_GB2312" w:hAnsi="等线"/>
                <w:color w:val="000000"/>
                <w:sz w:val="21"/>
                <w:szCs w:val="21"/>
              </w:rPr>
              <w:t>茅山</w:t>
            </w:r>
            <w:r>
              <w:rPr>
                <w:rFonts w:hint="eastAsia" w:cs="Times New Roman"/>
                <w:color w:val="000000"/>
                <w:sz w:val="21"/>
                <w:szCs w:val="21"/>
              </w:rPr>
              <w:t>·</w:t>
            </w:r>
            <w:r>
              <w:rPr>
                <w:rFonts w:hint="eastAsia" w:ascii="仿宋_GB2312" w:hAnsi="等线"/>
                <w:color w:val="000000"/>
                <w:sz w:val="21"/>
                <w:szCs w:val="21"/>
              </w:rPr>
              <w:t>乾元圣境</w:t>
            </w:r>
          </w:p>
        </w:tc>
        <w:tc>
          <w:tcPr>
            <w:tcW w:w="737" w:type="pct"/>
            <w:vAlign w:val="center"/>
          </w:tcPr>
          <w:p w14:paraId="306CCF4F">
            <w:pPr>
              <w:spacing w:line="240" w:lineRule="auto"/>
              <w:ind w:firstLine="0" w:firstLineChars="0"/>
              <w:jc w:val="center"/>
              <w:rPr>
                <w:sz w:val="21"/>
                <w:szCs w:val="21"/>
              </w:rPr>
            </w:pPr>
            <w:r>
              <w:rPr>
                <w:rFonts w:hint="eastAsia" w:ascii="仿宋_GB2312" w:hAnsi="等线"/>
                <w:color w:val="000000"/>
                <w:sz w:val="21"/>
                <w:szCs w:val="21"/>
              </w:rPr>
              <w:t>占地约</w:t>
            </w:r>
            <w:r>
              <w:rPr>
                <w:rFonts w:hint="eastAsia" w:cs="Times New Roman"/>
                <w:color w:val="000000"/>
                <w:sz w:val="21"/>
                <w:szCs w:val="21"/>
              </w:rPr>
              <w:t>348.50</w:t>
            </w:r>
            <w:r>
              <w:rPr>
                <w:rFonts w:hint="eastAsia" w:ascii="仿宋_GB2312" w:hAnsi="等线"/>
                <w:color w:val="000000"/>
                <w:sz w:val="21"/>
                <w:szCs w:val="21"/>
              </w:rPr>
              <w:t>亩，建设用地</w:t>
            </w:r>
            <w:r>
              <w:rPr>
                <w:rFonts w:hint="eastAsia" w:cs="Times New Roman"/>
                <w:color w:val="000000"/>
                <w:sz w:val="21"/>
                <w:szCs w:val="21"/>
              </w:rPr>
              <w:t>80.80</w:t>
            </w:r>
            <w:r>
              <w:rPr>
                <w:rFonts w:hint="eastAsia" w:ascii="仿宋_GB2312" w:hAnsi="等线"/>
                <w:color w:val="000000"/>
                <w:sz w:val="21"/>
                <w:szCs w:val="21"/>
              </w:rPr>
              <w:t>亩</w:t>
            </w:r>
          </w:p>
        </w:tc>
        <w:tc>
          <w:tcPr>
            <w:tcW w:w="1922" w:type="pct"/>
            <w:vAlign w:val="center"/>
          </w:tcPr>
          <w:p w14:paraId="5959E02A">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规划推进乾元观金顶建设，打造茅山道文化地标；建设江苏省道教学院，推进茅山道史修编等道文化研究与传承，开展音乐、书画、玄门讲经等道文化活动；利用白虎山采石场，以陈毅等新四军将领的诗文书法为主题打造新四军碑林，并结合周边显化碑（雷结碑）、洗心池、仙人桥、狗爬桥等古迹遗址，灵活运用园林造景手法，打造一处展示茅山历史的文化大观园</w:t>
            </w:r>
          </w:p>
        </w:tc>
        <w:tc>
          <w:tcPr>
            <w:tcW w:w="484" w:type="pct"/>
            <w:vAlign w:val="center"/>
          </w:tcPr>
          <w:p w14:paraId="67F99C9F">
            <w:pPr>
              <w:spacing w:line="240" w:lineRule="auto"/>
              <w:ind w:firstLine="0" w:firstLineChars="0"/>
              <w:jc w:val="center"/>
              <w:rPr>
                <w:sz w:val="21"/>
                <w:szCs w:val="21"/>
              </w:rPr>
            </w:pPr>
            <w:r>
              <w:rPr>
                <w:rFonts w:hint="eastAsia" w:ascii="仿宋_GB2312" w:hAnsi="等线"/>
                <w:color w:val="000000"/>
                <w:sz w:val="21"/>
                <w:szCs w:val="21"/>
              </w:rPr>
              <w:t>现有宗教设施提升改造</w:t>
            </w:r>
          </w:p>
        </w:tc>
        <w:tc>
          <w:tcPr>
            <w:tcW w:w="503" w:type="pct"/>
            <w:vAlign w:val="center"/>
          </w:tcPr>
          <w:p w14:paraId="6DFA7925">
            <w:pPr>
              <w:spacing w:line="240" w:lineRule="auto"/>
              <w:ind w:firstLine="0" w:firstLineChars="0"/>
              <w:jc w:val="center"/>
              <w:rPr>
                <w:sz w:val="21"/>
                <w:szCs w:val="21"/>
              </w:rPr>
            </w:pPr>
            <w:r>
              <w:rPr>
                <w:rFonts w:hint="eastAsia" w:ascii="仿宋_GB2312" w:hAnsi="等线"/>
                <w:color w:val="000000"/>
                <w:sz w:val="21"/>
                <w:szCs w:val="21"/>
              </w:rPr>
              <w:t>生态空间管控区</w:t>
            </w:r>
          </w:p>
        </w:tc>
        <w:tc>
          <w:tcPr>
            <w:tcW w:w="497" w:type="pct"/>
            <w:vAlign w:val="center"/>
          </w:tcPr>
          <w:p w14:paraId="3D06642C">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茅东山地水源涵养区</w:t>
            </w:r>
          </w:p>
        </w:tc>
      </w:tr>
      <w:tr w14:paraId="749D7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5" w:hRule="atLeast"/>
        </w:trPr>
        <w:tc>
          <w:tcPr>
            <w:tcW w:w="294" w:type="pct"/>
            <w:vAlign w:val="center"/>
          </w:tcPr>
          <w:p w14:paraId="108210D9">
            <w:pPr>
              <w:pStyle w:val="39"/>
              <w:numPr>
                <w:ilvl w:val="0"/>
                <w:numId w:val="11"/>
              </w:numPr>
              <w:spacing w:line="240" w:lineRule="auto"/>
              <w:ind w:firstLineChars="0"/>
              <w:jc w:val="center"/>
              <w:rPr>
                <w:sz w:val="21"/>
                <w:szCs w:val="21"/>
              </w:rPr>
            </w:pPr>
          </w:p>
        </w:tc>
        <w:tc>
          <w:tcPr>
            <w:tcW w:w="561" w:type="pct"/>
            <w:vAlign w:val="center"/>
          </w:tcPr>
          <w:p w14:paraId="68CD03A9">
            <w:pPr>
              <w:spacing w:line="240" w:lineRule="auto"/>
              <w:ind w:firstLine="0" w:firstLineChars="0"/>
              <w:jc w:val="center"/>
              <w:rPr>
                <w:sz w:val="21"/>
                <w:szCs w:val="21"/>
              </w:rPr>
            </w:pPr>
            <w:r>
              <w:rPr>
                <w:rFonts w:hint="eastAsia" w:ascii="仿宋_GB2312" w:hAnsi="等线"/>
                <w:color w:val="000000"/>
                <w:sz w:val="21"/>
                <w:szCs w:val="21"/>
              </w:rPr>
              <w:t>茅山森林世界度假目的地</w:t>
            </w:r>
          </w:p>
        </w:tc>
        <w:tc>
          <w:tcPr>
            <w:tcW w:w="737" w:type="pct"/>
            <w:vAlign w:val="center"/>
          </w:tcPr>
          <w:p w14:paraId="1C125864">
            <w:pPr>
              <w:spacing w:line="240" w:lineRule="auto"/>
              <w:ind w:firstLine="0" w:firstLineChars="0"/>
              <w:jc w:val="center"/>
              <w:rPr>
                <w:sz w:val="21"/>
                <w:szCs w:val="21"/>
              </w:rPr>
            </w:pPr>
            <w:r>
              <w:rPr>
                <w:rFonts w:cs="Times New Roman"/>
                <w:color w:val="000000"/>
                <w:sz w:val="21"/>
                <w:szCs w:val="21"/>
              </w:rPr>
              <w:t>规划建设用地304.8亩，其中新增建设用地78.63亩</w:t>
            </w:r>
          </w:p>
        </w:tc>
        <w:tc>
          <w:tcPr>
            <w:tcW w:w="1922" w:type="pct"/>
            <w:vAlign w:val="center"/>
          </w:tcPr>
          <w:p w14:paraId="06D5C0AF">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依托项目地优美的生态环境、优质的文化资源，遵循“山、湖、林、田、村”并举的发展思路，以绿色生态为基础，以景村共富为导向，全面推进全域旅游、生态文明、乡村振兴发展，努力将项目打造成为集文化体验、休闲娱乐、会议度假、山湖旅游、运动休闲、康体养生等功能于一体的全国首个一站式森活度假目的地。项目分两期建设，一期建设茅山森林冰雪世界、度假酒店、森林小镇、地面停车场等；二期建设茅山森林水世界、长颈鹿庄园等。</w:t>
            </w:r>
          </w:p>
        </w:tc>
        <w:tc>
          <w:tcPr>
            <w:tcW w:w="484" w:type="pct"/>
            <w:vAlign w:val="center"/>
          </w:tcPr>
          <w:p w14:paraId="514DB092">
            <w:pPr>
              <w:spacing w:line="240" w:lineRule="auto"/>
              <w:ind w:firstLine="0" w:firstLineChars="0"/>
              <w:jc w:val="center"/>
              <w:rPr>
                <w:sz w:val="21"/>
                <w:szCs w:val="21"/>
              </w:rPr>
            </w:pPr>
            <w:r>
              <w:rPr>
                <w:rFonts w:hint="eastAsia" w:ascii="仿宋_GB2312" w:hAnsi="等线"/>
                <w:color w:val="000000"/>
                <w:sz w:val="21"/>
                <w:szCs w:val="21"/>
              </w:rPr>
              <w:t>新建项目及现有项目改造提升</w:t>
            </w:r>
          </w:p>
        </w:tc>
        <w:tc>
          <w:tcPr>
            <w:tcW w:w="503" w:type="pct"/>
            <w:vAlign w:val="center"/>
          </w:tcPr>
          <w:p w14:paraId="2C7BB751">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生态保护红线、生态空间管控区</w:t>
            </w:r>
          </w:p>
        </w:tc>
        <w:tc>
          <w:tcPr>
            <w:tcW w:w="497" w:type="pct"/>
            <w:vAlign w:val="center"/>
          </w:tcPr>
          <w:p w14:paraId="213475F2">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江苏常州金坛茅东省级森林公园、茅东山地水源涵养区</w:t>
            </w:r>
          </w:p>
        </w:tc>
      </w:tr>
      <w:tr w14:paraId="2C9D2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1" w:hRule="atLeast"/>
        </w:trPr>
        <w:tc>
          <w:tcPr>
            <w:tcW w:w="294" w:type="pct"/>
            <w:vAlign w:val="center"/>
          </w:tcPr>
          <w:p w14:paraId="59065BA7">
            <w:pPr>
              <w:pStyle w:val="39"/>
              <w:numPr>
                <w:ilvl w:val="0"/>
                <w:numId w:val="11"/>
              </w:numPr>
              <w:spacing w:line="240" w:lineRule="auto"/>
              <w:ind w:firstLineChars="0"/>
              <w:jc w:val="center"/>
              <w:rPr>
                <w:sz w:val="21"/>
                <w:szCs w:val="21"/>
              </w:rPr>
            </w:pPr>
          </w:p>
        </w:tc>
        <w:tc>
          <w:tcPr>
            <w:tcW w:w="561" w:type="pct"/>
            <w:vAlign w:val="center"/>
          </w:tcPr>
          <w:p w14:paraId="63F6FECA">
            <w:pPr>
              <w:spacing w:line="240" w:lineRule="auto"/>
              <w:ind w:firstLine="0" w:firstLineChars="0"/>
              <w:jc w:val="center"/>
              <w:rPr>
                <w:sz w:val="21"/>
                <w:szCs w:val="21"/>
              </w:rPr>
            </w:pPr>
            <w:r>
              <w:rPr>
                <w:rFonts w:hint="eastAsia" w:ascii="仿宋_GB2312" w:hAnsi="等线"/>
                <w:color w:val="000000"/>
                <w:sz w:val="21"/>
                <w:szCs w:val="21"/>
              </w:rPr>
              <w:t>心白茶舍</w:t>
            </w:r>
          </w:p>
        </w:tc>
        <w:tc>
          <w:tcPr>
            <w:tcW w:w="737" w:type="pct"/>
            <w:vAlign w:val="center"/>
          </w:tcPr>
          <w:p w14:paraId="15998585">
            <w:pPr>
              <w:spacing w:line="240" w:lineRule="auto"/>
              <w:ind w:firstLine="0" w:firstLineChars="0"/>
              <w:jc w:val="center"/>
              <w:rPr>
                <w:sz w:val="21"/>
                <w:szCs w:val="21"/>
              </w:rPr>
            </w:pPr>
            <w:r>
              <w:rPr>
                <w:rFonts w:hint="eastAsia" w:ascii="仿宋_GB2312" w:hAnsi="等线"/>
                <w:color w:val="000000"/>
                <w:sz w:val="21"/>
                <w:szCs w:val="21"/>
              </w:rPr>
              <w:t>占地面积约</w:t>
            </w:r>
            <w:r>
              <w:rPr>
                <w:rFonts w:hint="eastAsia" w:cs="Times New Roman"/>
                <w:color w:val="000000"/>
                <w:sz w:val="21"/>
                <w:szCs w:val="21"/>
              </w:rPr>
              <w:t>278.00</w:t>
            </w:r>
            <w:r>
              <w:rPr>
                <w:rFonts w:hint="eastAsia" w:ascii="仿宋_GB2312" w:hAnsi="等线"/>
                <w:color w:val="000000"/>
                <w:sz w:val="21"/>
                <w:szCs w:val="21"/>
              </w:rPr>
              <w:t>亩，建设用地</w:t>
            </w:r>
            <w:r>
              <w:rPr>
                <w:rFonts w:hint="eastAsia" w:cs="Times New Roman"/>
                <w:color w:val="000000"/>
                <w:sz w:val="21"/>
                <w:szCs w:val="21"/>
              </w:rPr>
              <w:t>13.00</w:t>
            </w:r>
            <w:r>
              <w:rPr>
                <w:rFonts w:hint="eastAsia" w:ascii="仿宋_GB2312" w:hAnsi="等线"/>
                <w:color w:val="000000"/>
                <w:sz w:val="21"/>
                <w:szCs w:val="21"/>
              </w:rPr>
              <w:t>亩</w:t>
            </w:r>
          </w:p>
        </w:tc>
        <w:tc>
          <w:tcPr>
            <w:tcW w:w="1922" w:type="pct"/>
            <w:vAlign w:val="center"/>
          </w:tcPr>
          <w:p w14:paraId="3DA3F5A4">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规划利用已有建筑改造为高端道文化茶舍，根据品茗独坐、接友待客、长日清谈、小型雅集等不同需求，结合景观环境特点，设置不同规模、不同主题的茶空间</w:t>
            </w:r>
          </w:p>
        </w:tc>
        <w:tc>
          <w:tcPr>
            <w:tcW w:w="484" w:type="pct"/>
            <w:vAlign w:val="center"/>
          </w:tcPr>
          <w:p w14:paraId="56136281">
            <w:pPr>
              <w:spacing w:line="240" w:lineRule="auto"/>
              <w:ind w:firstLine="0" w:firstLineChars="0"/>
              <w:jc w:val="center"/>
              <w:rPr>
                <w:sz w:val="21"/>
                <w:szCs w:val="21"/>
              </w:rPr>
            </w:pPr>
            <w:r>
              <w:rPr>
                <w:rFonts w:hint="eastAsia" w:ascii="仿宋_GB2312" w:hAnsi="等线"/>
                <w:color w:val="000000"/>
                <w:sz w:val="21"/>
                <w:szCs w:val="21"/>
              </w:rPr>
              <w:t>现有建筑升级改造</w:t>
            </w:r>
          </w:p>
        </w:tc>
        <w:tc>
          <w:tcPr>
            <w:tcW w:w="503" w:type="pct"/>
            <w:vAlign w:val="center"/>
          </w:tcPr>
          <w:p w14:paraId="40B6C51B">
            <w:pPr>
              <w:spacing w:line="240" w:lineRule="auto"/>
              <w:ind w:firstLine="0" w:firstLineChars="0"/>
              <w:jc w:val="center"/>
              <w:rPr>
                <w:sz w:val="21"/>
                <w:szCs w:val="21"/>
              </w:rPr>
            </w:pPr>
            <w:r>
              <w:rPr>
                <w:rFonts w:hint="eastAsia" w:ascii="仿宋_GB2312" w:hAnsi="等线"/>
                <w:color w:val="000000"/>
                <w:sz w:val="21"/>
                <w:szCs w:val="21"/>
              </w:rPr>
              <w:t>不涉及</w:t>
            </w:r>
          </w:p>
        </w:tc>
        <w:tc>
          <w:tcPr>
            <w:tcW w:w="497" w:type="pct"/>
            <w:vAlign w:val="center"/>
          </w:tcPr>
          <w:p w14:paraId="3EB47945">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655DC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2498BD63">
            <w:pPr>
              <w:pStyle w:val="39"/>
              <w:numPr>
                <w:ilvl w:val="0"/>
                <w:numId w:val="11"/>
              </w:numPr>
              <w:spacing w:line="240" w:lineRule="auto"/>
              <w:ind w:firstLineChars="0"/>
              <w:jc w:val="center"/>
              <w:rPr>
                <w:rFonts w:cs="Times New Roman"/>
                <w:sz w:val="21"/>
                <w:szCs w:val="21"/>
              </w:rPr>
            </w:pPr>
          </w:p>
        </w:tc>
        <w:tc>
          <w:tcPr>
            <w:tcW w:w="561" w:type="pct"/>
            <w:vAlign w:val="center"/>
          </w:tcPr>
          <w:p w14:paraId="12A633F1">
            <w:pPr>
              <w:spacing w:line="240" w:lineRule="auto"/>
              <w:ind w:firstLine="0" w:firstLineChars="0"/>
              <w:jc w:val="center"/>
              <w:rPr>
                <w:rFonts w:cs="Times New Roman"/>
                <w:sz w:val="21"/>
                <w:szCs w:val="21"/>
              </w:rPr>
            </w:pPr>
            <w:r>
              <w:rPr>
                <w:rFonts w:hint="eastAsia" w:cs="Times New Roman"/>
                <w:color w:val="000000"/>
                <w:sz w:val="21"/>
                <w:szCs w:val="21"/>
              </w:rPr>
              <w:t>希言旅社</w:t>
            </w:r>
          </w:p>
        </w:tc>
        <w:tc>
          <w:tcPr>
            <w:tcW w:w="737" w:type="pct"/>
            <w:vAlign w:val="center"/>
          </w:tcPr>
          <w:p w14:paraId="0D236824">
            <w:pPr>
              <w:spacing w:line="240" w:lineRule="auto"/>
              <w:ind w:firstLine="0" w:firstLineChars="0"/>
              <w:jc w:val="center"/>
              <w:rPr>
                <w:rFonts w:cs="Times New Roman"/>
                <w:sz w:val="21"/>
                <w:szCs w:val="21"/>
              </w:rPr>
            </w:pPr>
            <w:r>
              <w:rPr>
                <w:rFonts w:hint="eastAsia" w:cs="Times New Roman"/>
                <w:color w:val="000000"/>
                <w:sz w:val="21"/>
                <w:szCs w:val="21"/>
              </w:rPr>
              <w:t>占地面积约60.0亩，建设用地15.90亩</w:t>
            </w:r>
          </w:p>
        </w:tc>
        <w:tc>
          <w:tcPr>
            <w:tcW w:w="1922" w:type="pct"/>
            <w:vAlign w:val="center"/>
          </w:tcPr>
          <w:p w14:paraId="225EDA69">
            <w:pPr>
              <w:spacing w:line="240" w:lineRule="auto"/>
              <w:ind w:firstLine="0" w:firstLineChars="0"/>
              <w:jc w:val="center"/>
              <w:rPr>
                <w:rFonts w:cs="Times New Roman"/>
                <w:color w:val="000000"/>
                <w:sz w:val="21"/>
                <w:szCs w:val="21"/>
              </w:rPr>
            </w:pPr>
            <w:r>
              <w:rPr>
                <w:rFonts w:hint="eastAsia" w:cs="Times New Roman"/>
                <w:color w:val="000000"/>
                <w:sz w:val="21"/>
                <w:szCs w:val="21"/>
              </w:rPr>
              <w:t>收购2个体量较小的山庄、茶社，以“小而美”为原则进行改造，定位为经济型酒店。可分别以“道藏” 、“道乐”“道绘”为主题，打造阅读室、音乐室、书画室等特色公共空间，提供道文化典籍阅读、音乐赏析、书画临摹等体验</w:t>
            </w:r>
          </w:p>
        </w:tc>
        <w:tc>
          <w:tcPr>
            <w:tcW w:w="484" w:type="pct"/>
            <w:vAlign w:val="center"/>
          </w:tcPr>
          <w:p w14:paraId="2BEDC3DD">
            <w:pPr>
              <w:spacing w:line="240" w:lineRule="auto"/>
              <w:ind w:firstLine="0" w:firstLineChars="0"/>
              <w:jc w:val="center"/>
              <w:rPr>
                <w:rFonts w:cs="Times New Roman"/>
                <w:sz w:val="21"/>
                <w:szCs w:val="21"/>
              </w:rPr>
            </w:pPr>
            <w:r>
              <w:rPr>
                <w:rFonts w:hint="eastAsia" w:cs="Times New Roman"/>
                <w:color w:val="000000"/>
                <w:sz w:val="21"/>
                <w:szCs w:val="21"/>
              </w:rPr>
              <w:t>现有建筑升级改造</w:t>
            </w:r>
          </w:p>
        </w:tc>
        <w:tc>
          <w:tcPr>
            <w:tcW w:w="503" w:type="pct"/>
            <w:vAlign w:val="center"/>
          </w:tcPr>
          <w:p w14:paraId="5B7FC755">
            <w:pPr>
              <w:spacing w:line="240" w:lineRule="auto"/>
              <w:ind w:firstLine="0" w:firstLineChars="0"/>
              <w:jc w:val="center"/>
              <w:rPr>
                <w:rFonts w:cs="Times New Roman"/>
                <w:sz w:val="21"/>
                <w:szCs w:val="21"/>
              </w:rPr>
            </w:pPr>
            <w:r>
              <w:rPr>
                <w:rFonts w:hint="eastAsia" w:cs="Times New Roman"/>
                <w:color w:val="000000"/>
                <w:sz w:val="21"/>
                <w:szCs w:val="21"/>
              </w:rPr>
              <w:t>不涉及</w:t>
            </w:r>
          </w:p>
        </w:tc>
        <w:tc>
          <w:tcPr>
            <w:tcW w:w="497" w:type="pct"/>
            <w:vAlign w:val="center"/>
          </w:tcPr>
          <w:p w14:paraId="500EDDBF">
            <w:pPr>
              <w:spacing w:line="240" w:lineRule="auto"/>
              <w:ind w:firstLine="0" w:firstLineChars="0"/>
              <w:jc w:val="center"/>
              <w:rPr>
                <w:rFonts w:cs="Times New Roman"/>
                <w:color w:val="000000"/>
                <w:sz w:val="21"/>
                <w:szCs w:val="21"/>
              </w:rPr>
            </w:pPr>
            <w:r>
              <w:rPr>
                <w:rFonts w:hint="eastAsia" w:cs="Times New Roman"/>
                <w:color w:val="000000"/>
                <w:sz w:val="21"/>
                <w:szCs w:val="21"/>
              </w:rPr>
              <w:t>/</w:t>
            </w:r>
          </w:p>
        </w:tc>
      </w:tr>
      <w:tr w14:paraId="18586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59DCB223">
            <w:pPr>
              <w:pStyle w:val="39"/>
              <w:numPr>
                <w:ilvl w:val="0"/>
                <w:numId w:val="11"/>
              </w:numPr>
              <w:spacing w:line="240" w:lineRule="auto"/>
              <w:ind w:firstLineChars="0"/>
              <w:jc w:val="center"/>
              <w:rPr>
                <w:rFonts w:cs="Times New Roman"/>
                <w:sz w:val="21"/>
                <w:szCs w:val="21"/>
              </w:rPr>
            </w:pPr>
          </w:p>
        </w:tc>
        <w:tc>
          <w:tcPr>
            <w:tcW w:w="561" w:type="pct"/>
            <w:vAlign w:val="center"/>
          </w:tcPr>
          <w:p w14:paraId="02AAC974">
            <w:pPr>
              <w:spacing w:line="240" w:lineRule="auto"/>
              <w:ind w:firstLine="0" w:firstLineChars="0"/>
              <w:jc w:val="center"/>
              <w:rPr>
                <w:rFonts w:cs="Times New Roman"/>
                <w:sz w:val="21"/>
                <w:szCs w:val="21"/>
              </w:rPr>
            </w:pPr>
            <w:r>
              <w:rPr>
                <w:rFonts w:hint="eastAsia" w:cs="Times New Roman"/>
                <w:color w:val="000000"/>
                <w:sz w:val="21"/>
                <w:szCs w:val="21"/>
              </w:rPr>
              <w:t>茅山观妙台</w:t>
            </w:r>
          </w:p>
        </w:tc>
        <w:tc>
          <w:tcPr>
            <w:tcW w:w="737" w:type="pct"/>
            <w:vAlign w:val="center"/>
          </w:tcPr>
          <w:p w14:paraId="6CFF075B">
            <w:pPr>
              <w:spacing w:line="240" w:lineRule="auto"/>
              <w:ind w:firstLine="0" w:firstLineChars="0"/>
              <w:jc w:val="center"/>
              <w:rPr>
                <w:rFonts w:cs="Times New Roman"/>
                <w:sz w:val="21"/>
                <w:szCs w:val="21"/>
              </w:rPr>
            </w:pPr>
            <w:r>
              <w:rPr>
                <w:rFonts w:hint="eastAsia" w:cs="Times New Roman"/>
                <w:color w:val="000000"/>
                <w:sz w:val="21"/>
                <w:szCs w:val="21"/>
              </w:rPr>
              <w:t>总面积195.40亩，建设用地面积45.00亩</w:t>
            </w:r>
          </w:p>
        </w:tc>
        <w:tc>
          <w:tcPr>
            <w:tcW w:w="1922" w:type="pct"/>
            <w:vAlign w:val="center"/>
          </w:tcPr>
          <w:p w14:paraId="0ECA3250">
            <w:pPr>
              <w:spacing w:line="240" w:lineRule="auto"/>
              <w:ind w:firstLine="0" w:firstLineChars="0"/>
              <w:jc w:val="center"/>
              <w:rPr>
                <w:rFonts w:cs="Times New Roman"/>
                <w:color w:val="000000"/>
                <w:sz w:val="21"/>
                <w:szCs w:val="21"/>
              </w:rPr>
            </w:pPr>
            <w:r>
              <w:rPr>
                <w:rFonts w:hint="eastAsia" w:cs="Times New Roman"/>
                <w:color w:val="000000"/>
                <w:sz w:val="21"/>
                <w:szCs w:val="21"/>
              </w:rPr>
              <w:t>江苏省气象实验基地已建成气象观测场，并计划建设金坛国家气候观象台。规划在条件允许前提下，依托气象实验基地，融入道文化中对宇宙奇妙的观测与思考，开展气象科普、天象观光活动。主要措施：增设观赏用天文望远镜，为游客提供观星体验、气象讲解项目；引进VR、全息投影等虚拟现实设备，营造人类在太空中的景象，使游客身临其境了解道家对气象天象的认知</w:t>
            </w:r>
          </w:p>
        </w:tc>
        <w:tc>
          <w:tcPr>
            <w:tcW w:w="484" w:type="pct"/>
            <w:vAlign w:val="center"/>
          </w:tcPr>
          <w:p w14:paraId="7DF8E207">
            <w:pPr>
              <w:spacing w:line="240" w:lineRule="auto"/>
              <w:ind w:firstLine="0" w:firstLineChars="0"/>
              <w:jc w:val="center"/>
              <w:rPr>
                <w:rFonts w:cs="Times New Roman"/>
                <w:sz w:val="21"/>
                <w:szCs w:val="21"/>
              </w:rPr>
            </w:pPr>
            <w:r>
              <w:rPr>
                <w:rFonts w:hint="eastAsia" w:cs="Times New Roman"/>
                <w:color w:val="000000"/>
                <w:sz w:val="21"/>
                <w:szCs w:val="21"/>
              </w:rPr>
              <w:t>现有建筑升级改造</w:t>
            </w:r>
          </w:p>
        </w:tc>
        <w:tc>
          <w:tcPr>
            <w:tcW w:w="503" w:type="pct"/>
            <w:vAlign w:val="center"/>
          </w:tcPr>
          <w:p w14:paraId="500424DF">
            <w:pPr>
              <w:spacing w:line="240" w:lineRule="auto"/>
              <w:ind w:firstLine="0" w:firstLineChars="0"/>
              <w:jc w:val="center"/>
              <w:rPr>
                <w:rFonts w:cs="Times New Roman"/>
                <w:sz w:val="21"/>
                <w:szCs w:val="21"/>
              </w:rPr>
            </w:pPr>
            <w:r>
              <w:rPr>
                <w:rFonts w:hint="eastAsia" w:cs="Times New Roman"/>
                <w:color w:val="000000"/>
                <w:sz w:val="21"/>
                <w:szCs w:val="21"/>
              </w:rPr>
              <w:t>生态保护红线（部分涉及）</w:t>
            </w:r>
          </w:p>
        </w:tc>
        <w:tc>
          <w:tcPr>
            <w:tcW w:w="497" w:type="pct"/>
            <w:vAlign w:val="center"/>
          </w:tcPr>
          <w:p w14:paraId="4A076271">
            <w:pPr>
              <w:spacing w:line="240" w:lineRule="auto"/>
              <w:ind w:firstLine="0" w:firstLineChars="0"/>
              <w:jc w:val="center"/>
              <w:rPr>
                <w:rFonts w:cs="Times New Roman"/>
                <w:color w:val="000000"/>
                <w:sz w:val="21"/>
                <w:szCs w:val="21"/>
              </w:rPr>
            </w:pPr>
            <w:r>
              <w:rPr>
                <w:rFonts w:hint="eastAsia" w:cs="Times New Roman"/>
                <w:color w:val="000000"/>
                <w:sz w:val="21"/>
                <w:szCs w:val="21"/>
              </w:rPr>
              <w:t>江苏常州金坛茅东省级森林公园</w:t>
            </w:r>
          </w:p>
        </w:tc>
      </w:tr>
      <w:tr w14:paraId="1D3A6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120D340C">
            <w:pPr>
              <w:pStyle w:val="39"/>
              <w:numPr>
                <w:ilvl w:val="0"/>
                <w:numId w:val="11"/>
              </w:numPr>
              <w:spacing w:line="240" w:lineRule="auto"/>
              <w:ind w:firstLineChars="0"/>
              <w:jc w:val="center"/>
              <w:rPr>
                <w:rFonts w:cs="Times New Roman"/>
                <w:sz w:val="21"/>
                <w:szCs w:val="21"/>
              </w:rPr>
            </w:pPr>
          </w:p>
        </w:tc>
        <w:tc>
          <w:tcPr>
            <w:tcW w:w="561" w:type="pct"/>
            <w:vAlign w:val="center"/>
          </w:tcPr>
          <w:p w14:paraId="1F9261D0">
            <w:pPr>
              <w:spacing w:line="240" w:lineRule="auto"/>
              <w:ind w:firstLine="0" w:firstLineChars="0"/>
              <w:jc w:val="center"/>
              <w:rPr>
                <w:rFonts w:cs="Times New Roman"/>
                <w:sz w:val="21"/>
                <w:szCs w:val="21"/>
              </w:rPr>
            </w:pPr>
            <w:r>
              <w:rPr>
                <w:rFonts w:hint="eastAsia" w:cs="Times New Roman"/>
                <w:color w:val="000000"/>
                <w:sz w:val="21"/>
                <w:szCs w:val="21"/>
              </w:rPr>
              <w:t>茅山文创坊</w:t>
            </w:r>
          </w:p>
        </w:tc>
        <w:tc>
          <w:tcPr>
            <w:tcW w:w="737" w:type="pct"/>
            <w:vAlign w:val="center"/>
          </w:tcPr>
          <w:p w14:paraId="4DBF3DE8">
            <w:pPr>
              <w:spacing w:line="240" w:lineRule="auto"/>
              <w:ind w:firstLine="0" w:firstLineChars="0"/>
              <w:jc w:val="center"/>
              <w:rPr>
                <w:rFonts w:cs="Times New Roman"/>
                <w:sz w:val="21"/>
                <w:szCs w:val="21"/>
              </w:rPr>
            </w:pPr>
            <w:r>
              <w:rPr>
                <w:rFonts w:hint="eastAsia" w:cs="Times New Roman"/>
                <w:color w:val="000000"/>
                <w:sz w:val="21"/>
                <w:szCs w:val="21"/>
              </w:rPr>
              <w:t>占地面积约283.80亩，建设用地33.60亩</w:t>
            </w:r>
          </w:p>
        </w:tc>
        <w:tc>
          <w:tcPr>
            <w:tcW w:w="1922" w:type="pct"/>
            <w:vAlign w:val="center"/>
          </w:tcPr>
          <w:p w14:paraId="3CB6C2DA">
            <w:pPr>
              <w:spacing w:line="240" w:lineRule="auto"/>
              <w:ind w:firstLine="0" w:firstLineChars="0"/>
              <w:jc w:val="center"/>
              <w:rPr>
                <w:rFonts w:cs="Times New Roman"/>
                <w:sz w:val="21"/>
                <w:szCs w:val="21"/>
              </w:rPr>
            </w:pPr>
            <w:r>
              <w:rPr>
                <w:rFonts w:hint="eastAsia" w:cs="Times New Roman"/>
                <w:sz w:val="21"/>
                <w:szCs w:val="21"/>
              </w:rPr>
              <w:t>规划将红山门整体打造为道主题文创基地，可邀请多位设计师共创，打造数个各具魅力、独立的非遗文创工作室，开展以茅山叫叫、茅山戒指、茅山香包三大茅山道文化吉祥用品为代表的茅山非遗文创产品开发及相关文化活动体验。打造一处集服务咨询、餐厅、水吧、阅读室、艺术展陈与文化聚会等于一体的多功能会客厅，作为公共中心</w:t>
            </w:r>
          </w:p>
        </w:tc>
        <w:tc>
          <w:tcPr>
            <w:tcW w:w="484" w:type="pct"/>
            <w:vAlign w:val="center"/>
          </w:tcPr>
          <w:p w14:paraId="4A5DE94E">
            <w:pPr>
              <w:spacing w:line="240" w:lineRule="auto"/>
              <w:ind w:firstLine="0" w:firstLineChars="0"/>
              <w:jc w:val="center"/>
              <w:rPr>
                <w:rFonts w:cs="Times New Roman"/>
                <w:sz w:val="21"/>
                <w:szCs w:val="21"/>
              </w:rPr>
            </w:pPr>
            <w:r>
              <w:rPr>
                <w:rFonts w:hint="eastAsia" w:cs="Times New Roman"/>
                <w:sz w:val="21"/>
                <w:szCs w:val="21"/>
              </w:rPr>
              <w:t>原村庄区域改建参观旅游配套服务设施</w:t>
            </w:r>
          </w:p>
        </w:tc>
        <w:tc>
          <w:tcPr>
            <w:tcW w:w="503" w:type="pct"/>
            <w:vAlign w:val="center"/>
          </w:tcPr>
          <w:p w14:paraId="0FCC3373">
            <w:pPr>
              <w:spacing w:line="240" w:lineRule="auto"/>
              <w:ind w:firstLine="0" w:firstLineChars="0"/>
              <w:jc w:val="center"/>
              <w:rPr>
                <w:rFonts w:cs="Times New Roman"/>
                <w:sz w:val="21"/>
                <w:szCs w:val="21"/>
              </w:rPr>
            </w:pPr>
            <w:r>
              <w:rPr>
                <w:rFonts w:hint="eastAsia" w:cs="Times New Roman"/>
                <w:sz w:val="21"/>
                <w:szCs w:val="21"/>
              </w:rPr>
              <w:t>生态保护红线</w:t>
            </w:r>
          </w:p>
        </w:tc>
        <w:tc>
          <w:tcPr>
            <w:tcW w:w="497" w:type="pct"/>
            <w:vAlign w:val="center"/>
          </w:tcPr>
          <w:p w14:paraId="27DE7BA6">
            <w:pPr>
              <w:spacing w:line="240" w:lineRule="auto"/>
              <w:ind w:firstLine="0" w:firstLineChars="0"/>
              <w:jc w:val="center"/>
              <w:rPr>
                <w:rFonts w:cs="Times New Roman"/>
                <w:sz w:val="21"/>
                <w:szCs w:val="21"/>
              </w:rPr>
            </w:pPr>
            <w:r>
              <w:rPr>
                <w:rFonts w:hint="eastAsia" w:cs="Times New Roman"/>
                <w:color w:val="000000"/>
                <w:sz w:val="21"/>
                <w:szCs w:val="21"/>
              </w:rPr>
              <w:t>江苏常州金坛茅东省级森林公园</w:t>
            </w:r>
          </w:p>
        </w:tc>
      </w:tr>
      <w:tr w14:paraId="10512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641A2B09">
            <w:pPr>
              <w:pStyle w:val="39"/>
              <w:numPr>
                <w:ilvl w:val="0"/>
                <w:numId w:val="11"/>
              </w:numPr>
              <w:spacing w:line="240" w:lineRule="auto"/>
              <w:ind w:firstLineChars="0"/>
              <w:jc w:val="center"/>
              <w:rPr>
                <w:rFonts w:cs="Times New Roman"/>
                <w:sz w:val="21"/>
                <w:szCs w:val="21"/>
              </w:rPr>
            </w:pPr>
          </w:p>
        </w:tc>
        <w:tc>
          <w:tcPr>
            <w:tcW w:w="561" w:type="pct"/>
            <w:vAlign w:val="center"/>
          </w:tcPr>
          <w:p w14:paraId="5AF1E178">
            <w:pPr>
              <w:spacing w:line="240" w:lineRule="auto"/>
              <w:ind w:firstLine="0" w:firstLineChars="0"/>
              <w:jc w:val="center"/>
              <w:rPr>
                <w:rFonts w:cs="Times New Roman"/>
                <w:color w:val="000000"/>
                <w:sz w:val="21"/>
                <w:szCs w:val="21"/>
              </w:rPr>
            </w:pPr>
            <w:r>
              <w:rPr>
                <w:rFonts w:hint="eastAsia" w:cs="Times New Roman"/>
                <w:color w:val="000000"/>
                <w:sz w:val="21"/>
                <w:szCs w:val="21"/>
              </w:rPr>
              <w:t>隐·茅山</w:t>
            </w:r>
          </w:p>
        </w:tc>
        <w:tc>
          <w:tcPr>
            <w:tcW w:w="737" w:type="pct"/>
            <w:vAlign w:val="center"/>
          </w:tcPr>
          <w:p w14:paraId="0C639356">
            <w:pPr>
              <w:spacing w:line="240" w:lineRule="auto"/>
              <w:ind w:firstLine="0" w:firstLineChars="0"/>
              <w:jc w:val="center"/>
              <w:rPr>
                <w:rFonts w:cs="Times New Roman"/>
                <w:color w:val="000000"/>
                <w:sz w:val="21"/>
                <w:szCs w:val="21"/>
              </w:rPr>
            </w:pPr>
            <w:r>
              <w:rPr>
                <w:rFonts w:hint="eastAsia" w:cs="Times New Roman"/>
                <w:color w:val="000000"/>
                <w:sz w:val="21"/>
                <w:szCs w:val="21"/>
              </w:rPr>
              <w:t>占地面积约877.2亩，建设用地68.4亩</w:t>
            </w:r>
          </w:p>
        </w:tc>
        <w:tc>
          <w:tcPr>
            <w:tcW w:w="1922" w:type="pct"/>
            <w:vAlign w:val="center"/>
          </w:tcPr>
          <w:p w14:paraId="6317FC71">
            <w:pPr>
              <w:spacing w:line="240" w:lineRule="auto"/>
              <w:ind w:firstLine="0" w:firstLineChars="0"/>
              <w:jc w:val="center"/>
              <w:rPr>
                <w:rFonts w:cs="Times New Roman"/>
                <w:sz w:val="21"/>
                <w:szCs w:val="21"/>
              </w:rPr>
            </w:pPr>
            <w:r>
              <w:rPr>
                <w:rFonts w:hint="eastAsia" w:cs="Times New Roman"/>
                <w:sz w:val="21"/>
                <w:szCs w:val="21"/>
              </w:rPr>
              <w:t>规划建设</w:t>
            </w:r>
            <w:r>
              <w:rPr>
                <w:rFonts w:hint="eastAsia" w:cs="Times New Roman"/>
                <w:color w:val="000000"/>
                <w:sz w:val="21"/>
                <w:szCs w:val="21"/>
              </w:rPr>
              <w:t>隐·茅山特色酒店休闲度假旅游产品</w:t>
            </w:r>
          </w:p>
        </w:tc>
        <w:tc>
          <w:tcPr>
            <w:tcW w:w="484" w:type="pct"/>
            <w:vAlign w:val="center"/>
          </w:tcPr>
          <w:p w14:paraId="2A3C6FB7">
            <w:pPr>
              <w:spacing w:line="240" w:lineRule="auto"/>
              <w:ind w:firstLine="0" w:firstLineChars="0"/>
              <w:jc w:val="center"/>
              <w:rPr>
                <w:rFonts w:cs="Times New Roman"/>
                <w:sz w:val="21"/>
                <w:szCs w:val="21"/>
              </w:rPr>
            </w:pPr>
            <w:r>
              <w:rPr>
                <w:rFonts w:hint="eastAsia" w:cs="Times New Roman"/>
                <w:sz w:val="21"/>
                <w:szCs w:val="21"/>
              </w:rPr>
              <w:t>原村庄区域改建参观旅游配套服务设施</w:t>
            </w:r>
          </w:p>
        </w:tc>
        <w:tc>
          <w:tcPr>
            <w:tcW w:w="503" w:type="pct"/>
            <w:vAlign w:val="center"/>
          </w:tcPr>
          <w:p w14:paraId="6B969233">
            <w:pPr>
              <w:spacing w:line="240" w:lineRule="auto"/>
              <w:ind w:firstLine="0" w:firstLineChars="0"/>
              <w:jc w:val="center"/>
              <w:rPr>
                <w:rFonts w:cs="Times New Roman"/>
                <w:sz w:val="21"/>
                <w:szCs w:val="21"/>
              </w:rPr>
            </w:pPr>
            <w:r>
              <w:rPr>
                <w:rFonts w:hint="eastAsia" w:cs="Times New Roman"/>
                <w:sz w:val="21"/>
                <w:szCs w:val="21"/>
              </w:rPr>
              <w:t>生态保护红线</w:t>
            </w:r>
          </w:p>
        </w:tc>
        <w:tc>
          <w:tcPr>
            <w:tcW w:w="497" w:type="pct"/>
            <w:vAlign w:val="center"/>
          </w:tcPr>
          <w:p w14:paraId="0A739CC0">
            <w:pPr>
              <w:spacing w:line="240" w:lineRule="auto"/>
              <w:ind w:firstLine="0" w:firstLineChars="0"/>
              <w:jc w:val="center"/>
              <w:rPr>
                <w:rFonts w:cs="Times New Roman"/>
                <w:color w:val="000000"/>
                <w:sz w:val="21"/>
                <w:szCs w:val="21"/>
              </w:rPr>
            </w:pPr>
            <w:r>
              <w:rPr>
                <w:rFonts w:hint="eastAsia" w:cs="Times New Roman"/>
                <w:color w:val="000000"/>
                <w:sz w:val="21"/>
                <w:szCs w:val="21"/>
              </w:rPr>
              <w:t>江苏常州金坛茅东省级森林公园</w:t>
            </w:r>
          </w:p>
        </w:tc>
      </w:tr>
      <w:tr w14:paraId="23EFE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152D66D0">
            <w:pPr>
              <w:pStyle w:val="39"/>
              <w:numPr>
                <w:ilvl w:val="0"/>
                <w:numId w:val="11"/>
              </w:numPr>
              <w:spacing w:line="240" w:lineRule="auto"/>
              <w:ind w:firstLineChars="0"/>
              <w:jc w:val="center"/>
              <w:rPr>
                <w:sz w:val="21"/>
                <w:szCs w:val="21"/>
              </w:rPr>
            </w:pPr>
          </w:p>
        </w:tc>
        <w:tc>
          <w:tcPr>
            <w:tcW w:w="561" w:type="pct"/>
            <w:vAlign w:val="center"/>
          </w:tcPr>
          <w:p w14:paraId="09CDF67C">
            <w:pPr>
              <w:spacing w:line="240" w:lineRule="auto"/>
              <w:ind w:firstLine="0" w:firstLineChars="0"/>
              <w:jc w:val="center"/>
              <w:rPr>
                <w:sz w:val="21"/>
                <w:szCs w:val="21"/>
              </w:rPr>
            </w:pPr>
            <w:r>
              <w:rPr>
                <w:rFonts w:hint="eastAsia" w:ascii="仿宋_GB2312" w:hAnsi="等线"/>
                <w:color w:val="000000"/>
                <w:sz w:val="21"/>
                <w:szCs w:val="21"/>
              </w:rPr>
              <w:t>茅山飞渡·空中博物馆（缆车）</w:t>
            </w:r>
          </w:p>
        </w:tc>
        <w:tc>
          <w:tcPr>
            <w:tcW w:w="737" w:type="pct"/>
            <w:vAlign w:val="center"/>
          </w:tcPr>
          <w:p w14:paraId="3D759A03">
            <w:pPr>
              <w:spacing w:line="240" w:lineRule="auto"/>
              <w:ind w:firstLine="0" w:firstLineChars="0"/>
              <w:jc w:val="center"/>
              <w:rPr>
                <w:sz w:val="21"/>
                <w:szCs w:val="21"/>
              </w:rPr>
            </w:pPr>
            <w:r>
              <w:rPr>
                <w:rFonts w:hint="eastAsia" w:ascii="仿宋_GB2312" w:hAnsi="等线"/>
                <w:color w:val="000000"/>
                <w:sz w:val="21"/>
                <w:szCs w:val="21"/>
              </w:rPr>
              <w:t>长度</w:t>
            </w:r>
            <w:r>
              <w:rPr>
                <w:rFonts w:hint="eastAsia" w:cs="Times New Roman"/>
                <w:color w:val="000000"/>
                <w:sz w:val="21"/>
                <w:szCs w:val="21"/>
              </w:rPr>
              <w:t>818</w:t>
            </w:r>
            <w:r>
              <w:rPr>
                <w:rFonts w:hint="eastAsia" w:ascii="仿宋_GB2312" w:hAnsi="等线"/>
                <w:color w:val="000000"/>
                <w:sz w:val="21"/>
                <w:szCs w:val="21"/>
              </w:rPr>
              <w:t>米</w:t>
            </w:r>
          </w:p>
        </w:tc>
        <w:tc>
          <w:tcPr>
            <w:tcW w:w="1922" w:type="pct"/>
            <w:vAlign w:val="center"/>
          </w:tcPr>
          <w:p w14:paraId="63A229F2">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近期以“每一个车厢就</w:t>
            </w:r>
            <w:r>
              <w:rPr>
                <w:rFonts w:hint="eastAsia" w:cs="Times New Roman"/>
                <w:color w:val="000000"/>
                <w:sz w:val="21"/>
                <w:szCs w:val="21"/>
              </w:rPr>
              <w:t>是一个mini展示厅”为理念对缆车进行改造提升，融入茅山道乐、道茶、道膳、武术、符画等道文化元素，对车厢外立面、地面、天花板等空间进行艺术化改造，植入展陈、互动设施</w:t>
            </w:r>
          </w:p>
        </w:tc>
        <w:tc>
          <w:tcPr>
            <w:tcW w:w="484" w:type="pct"/>
            <w:vAlign w:val="center"/>
          </w:tcPr>
          <w:p w14:paraId="5F302658">
            <w:pPr>
              <w:spacing w:line="240" w:lineRule="auto"/>
              <w:ind w:firstLine="0" w:firstLineChars="0"/>
              <w:jc w:val="center"/>
              <w:rPr>
                <w:sz w:val="21"/>
                <w:szCs w:val="21"/>
              </w:rPr>
            </w:pPr>
            <w:r>
              <w:rPr>
                <w:rFonts w:hint="eastAsia" w:ascii="仿宋_GB2312" w:hAnsi="等线"/>
                <w:color w:val="000000"/>
                <w:sz w:val="21"/>
                <w:szCs w:val="21"/>
              </w:rPr>
              <w:t>现有项目改造提升</w:t>
            </w:r>
          </w:p>
        </w:tc>
        <w:tc>
          <w:tcPr>
            <w:tcW w:w="503" w:type="pct"/>
            <w:vAlign w:val="center"/>
          </w:tcPr>
          <w:p w14:paraId="553BDA5B">
            <w:pPr>
              <w:spacing w:line="240" w:lineRule="auto"/>
              <w:ind w:firstLine="0" w:firstLineChars="0"/>
              <w:jc w:val="center"/>
              <w:rPr>
                <w:sz w:val="21"/>
                <w:szCs w:val="21"/>
              </w:rPr>
            </w:pPr>
            <w:r>
              <w:rPr>
                <w:rFonts w:hint="eastAsia" w:ascii="仿宋_GB2312" w:hAnsi="等线"/>
                <w:color w:val="000000"/>
                <w:sz w:val="21"/>
                <w:szCs w:val="21"/>
              </w:rPr>
              <w:t>生态保护红线</w:t>
            </w:r>
          </w:p>
        </w:tc>
        <w:tc>
          <w:tcPr>
            <w:tcW w:w="497" w:type="pct"/>
            <w:vAlign w:val="center"/>
          </w:tcPr>
          <w:p w14:paraId="7434AD79">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江苏常州金坛茅东省级森林公园</w:t>
            </w:r>
          </w:p>
        </w:tc>
      </w:tr>
      <w:tr w14:paraId="7319B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44B1D19D">
            <w:pPr>
              <w:pStyle w:val="39"/>
              <w:numPr>
                <w:ilvl w:val="0"/>
                <w:numId w:val="11"/>
              </w:numPr>
              <w:spacing w:line="240" w:lineRule="auto"/>
              <w:ind w:firstLineChars="0"/>
              <w:jc w:val="center"/>
              <w:rPr>
                <w:sz w:val="21"/>
                <w:szCs w:val="21"/>
              </w:rPr>
            </w:pPr>
          </w:p>
        </w:tc>
        <w:tc>
          <w:tcPr>
            <w:tcW w:w="561" w:type="pct"/>
            <w:vAlign w:val="center"/>
          </w:tcPr>
          <w:p w14:paraId="74C3421C">
            <w:pPr>
              <w:spacing w:line="240" w:lineRule="auto"/>
              <w:ind w:firstLine="0" w:firstLineChars="0"/>
              <w:jc w:val="center"/>
              <w:rPr>
                <w:sz w:val="21"/>
                <w:szCs w:val="21"/>
              </w:rPr>
            </w:pPr>
            <w:r>
              <w:rPr>
                <w:rFonts w:hint="eastAsia" w:ascii="仿宋_GB2312" w:hAnsi="等线"/>
                <w:color w:val="000000"/>
                <w:sz w:val="21"/>
                <w:szCs w:val="21"/>
              </w:rPr>
              <w:t>茅山金牛洞景区改造提升——福道茅山主题登山道</w:t>
            </w:r>
          </w:p>
        </w:tc>
        <w:tc>
          <w:tcPr>
            <w:tcW w:w="737" w:type="pct"/>
            <w:vAlign w:val="center"/>
          </w:tcPr>
          <w:p w14:paraId="01CC105B">
            <w:pPr>
              <w:spacing w:line="240" w:lineRule="auto"/>
              <w:ind w:firstLine="0" w:firstLineChars="0"/>
              <w:jc w:val="center"/>
              <w:rPr>
                <w:sz w:val="21"/>
                <w:szCs w:val="21"/>
              </w:rPr>
            </w:pPr>
            <w:r>
              <w:rPr>
                <w:rFonts w:hint="eastAsia" w:cs="Times New Roman"/>
                <w:sz w:val="21"/>
                <w:szCs w:val="21"/>
              </w:rPr>
              <w:t>长度约2320米</w:t>
            </w:r>
          </w:p>
        </w:tc>
        <w:tc>
          <w:tcPr>
            <w:tcW w:w="1922" w:type="pct"/>
            <w:vAlign w:val="center"/>
          </w:tcPr>
          <w:p w14:paraId="0C9C20FE">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对金牛洞景区改造提升的同时，结合茅山现有登山小路或森林防火通道，优化登山道路沿线景观，对登山步道赋予道文化主题灵魂，利用智能语音、重力感应、AR投影等现代科技，对沿途导览、路灯、座椅、亭子等进行智能化升级，构建全新的互动式道文化体验场景，打造满足游览、健身、亲近自然等需求的主题登山步道</w:t>
            </w:r>
          </w:p>
        </w:tc>
        <w:tc>
          <w:tcPr>
            <w:tcW w:w="484" w:type="pct"/>
            <w:vAlign w:val="center"/>
          </w:tcPr>
          <w:p w14:paraId="5CAA7103">
            <w:pPr>
              <w:spacing w:line="240" w:lineRule="auto"/>
              <w:ind w:firstLine="0" w:firstLineChars="0"/>
              <w:jc w:val="center"/>
              <w:rPr>
                <w:sz w:val="21"/>
                <w:szCs w:val="21"/>
              </w:rPr>
            </w:pPr>
            <w:r>
              <w:rPr>
                <w:rFonts w:hint="eastAsia" w:ascii="仿宋_GB2312" w:hAnsi="等线"/>
                <w:color w:val="000000"/>
                <w:sz w:val="21"/>
                <w:szCs w:val="21"/>
              </w:rPr>
              <w:t>现有项目改造提升</w:t>
            </w:r>
          </w:p>
        </w:tc>
        <w:tc>
          <w:tcPr>
            <w:tcW w:w="503" w:type="pct"/>
            <w:vAlign w:val="center"/>
          </w:tcPr>
          <w:p w14:paraId="11BE6E87">
            <w:pPr>
              <w:spacing w:line="240" w:lineRule="auto"/>
              <w:ind w:firstLine="0" w:firstLineChars="0"/>
              <w:jc w:val="center"/>
              <w:rPr>
                <w:sz w:val="21"/>
                <w:szCs w:val="21"/>
              </w:rPr>
            </w:pPr>
            <w:r>
              <w:rPr>
                <w:rFonts w:hint="eastAsia" w:ascii="仿宋_GB2312" w:hAnsi="等线"/>
                <w:color w:val="000000"/>
                <w:sz w:val="21"/>
                <w:szCs w:val="21"/>
              </w:rPr>
              <w:t>生态保护红线</w:t>
            </w:r>
          </w:p>
        </w:tc>
        <w:tc>
          <w:tcPr>
            <w:tcW w:w="497" w:type="pct"/>
            <w:vAlign w:val="center"/>
          </w:tcPr>
          <w:p w14:paraId="51A2F18E">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江苏常州金坛茅东省级森林公园</w:t>
            </w:r>
          </w:p>
        </w:tc>
      </w:tr>
      <w:tr w14:paraId="6F479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3D872347">
            <w:pPr>
              <w:pStyle w:val="39"/>
              <w:numPr>
                <w:ilvl w:val="0"/>
                <w:numId w:val="11"/>
              </w:numPr>
              <w:spacing w:line="240" w:lineRule="auto"/>
              <w:ind w:firstLineChars="0"/>
              <w:jc w:val="center"/>
              <w:rPr>
                <w:sz w:val="21"/>
                <w:szCs w:val="21"/>
              </w:rPr>
            </w:pPr>
          </w:p>
        </w:tc>
        <w:tc>
          <w:tcPr>
            <w:tcW w:w="561" w:type="pct"/>
            <w:vAlign w:val="center"/>
          </w:tcPr>
          <w:p w14:paraId="04611D8F">
            <w:pPr>
              <w:spacing w:line="240" w:lineRule="auto"/>
              <w:ind w:firstLine="0" w:firstLineChars="0"/>
              <w:jc w:val="center"/>
              <w:rPr>
                <w:sz w:val="21"/>
                <w:szCs w:val="21"/>
              </w:rPr>
            </w:pPr>
            <w:r>
              <w:rPr>
                <w:rFonts w:hint="eastAsia" w:ascii="仿宋_GB2312" w:hAnsi="等线"/>
                <w:color w:val="000000"/>
                <w:sz w:val="21"/>
                <w:szCs w:val="21"/>
              </w:rPr>
              <w:t>鸣玉径·妙音路</w:t>
            </w:r>
          </w:p>
        </w:tc>
        <w:tc>
          <w:tcPr>
            <w:tcW w:w="737" w:type="pct"/>
            <w:vAlign w:val="center"/>
          </w:tcPr>
          <w:p w14:paraId="1CB7A45C">
            <w:pPr>
              <w:spacing w:line="240" w:lineRule="auto"/>
              <w:ind w:firstLine="0" w:firstLineChars="0"/>
              <w:jc w:val="center"/>
              <w:rPr>
                <w:sz w:val="21"/>
                <w:szCs w:val="21"/>
              </w:rPr>
            </w:pPr>
            <w:r>
              <w:rPr>
                <w:rFonts w:hint="eastAsia" w:cs="Times New Roman"/>
                <w:sz w:val="21"/>
                <w:szCs w:val="21"/>
              </w:rPr>
              <w:t>占地面积约2.4亩</w:t>
            </w:r>
          </w:p>
        </w:tc>
        <w:tc>
          <w:tcPr>
            <w:tcW w:w="1922" w:type="pct"/>
            <w:vAlign w:val="center"/>
          </w:tcPr>
          <w:p w14:paraId="4C2913BF">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现有地质公园策划改造</w:t>
            </w:r>
          </w:p>
        </w:tc>
        <w:tc>
          <w:tcPr>
            <w:tcW w:w="484" w:type="pct"/>
            <w:vAlign w:val="center"/>
          </w:tcPr>
          <w:p w14:paraId="5EE75450">
            <w:pPr>
              <w:spacing w:line="240" w:lineRule="auto"/>
              <w:ind w:firstLine="0" w:firstLineChars="0"/>
              <w:jc w:val="center"/>
              <w:rPr>
                <w:sz w:val="21"/>
                <w:szCs w:val="21"/>
              </w:rPr>
            </w:pPr>
            <w:r>
              <w:rPr>
                <w:rFonts w:hint="eastAsia" w:ascii="仿宋_GB2312" w:hAnsi="等线"/>
                <w:color w:val="000000"/>
                <w:sz w:val="21"/>
                <w:szCs w:val="21"/>
              </w:rPr>
              <w:t>现有设施改造提升</w:t>
            </w:r>
          </w:p>
        </w:tc>
        <w:tc>
          <w:tcPr>
            <w:tcW w:w="503" w:type="pct"/>
            <w:vAlign w:val="center"/>
          </w:tcPr>
          <w:p w14:paraId="6B9A574D">
            <w:pPr>
              <w:spacing w:line="240" w:lineRule="auto"/>
              <w:ind w:firstLine="0" w:firstLineChars="0"/>
              <w:jc w:val="center"/>
              <w:rPr>
                <w:sz w:val="21"/>
                <w:szCs w:val="21"/>
              </w:rPr>
            </w:pPr>
            <w:r>
              <w:rPr>
                <w:rFonts w:hint="eastAsia" w:ascii="仿宋_GB2312" w:hAnsi="等线"/>
                <w:color w:val="000000"/>
                <w:sz w:val="21"/>
                <w:szCs w:val="21"/>
              </w:rPr>
              <w:t>生态保护红线</w:t>
            </w:r>
          </w:p>
        </w:tc>
        <w:tc>
          <w:tcPr>
            <w:tcW w:w="497" w:type="pct"/>
            <w:vAlign w:val="center"/>
          </w:tcPr>
          <w:p w14:paraId="1B1427CD">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江苏常州金坛茅东省级森林公园</w:t>
            </w:r>
          </w:p>
        </w:tc>
      </w:tr>
      <w:tr w14:paraId="6AA67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2951301F">
            <w:pPr>
              <w:pStyle w:val="39"/>
              <w:numPr>
                <w:ilvl w:val="0"/>
                <w:numId w:val="11"/>
              </w:numPr>
              <w:spacing w:line="240" w:lineRule="auto"/>
              <w:ind w:firstLineChars="0"/>
              <w:jc w:val="center"/>
              <w:rPr>
                <w:sz w:val="21"/>
                <w:szCs w:val="21"/>
              </w:rPr>
            </w:pPr>
          </w:p>
        </w:tc>
        <w:tc>
          <w:tcPr>
            <w:tcW w:w="561" w:type="pct"/>
            <w:vAlign w:val="center"/>
          </w:tcPr>
          <w:p w14:paraId="2AAFE882">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仙姑土墩墓遗址公园</w:t>
            </w:r>
          </w:p>
        </w:tc>
        <w:tc>
          <w:tcPr>
            <w:tcW w:w="737" w:type="pct"/>
            <w:vAlign w:val="center"/>
          </w:tcPr>
          <w:p w14:paraId="39779580">
            <w:pPr>
              <w:spacing w:line="240" w:lineRule="auto"/>
              <w:ind w:firstLine="0" w:firstLineChars="0"/>
              <w:jc w:val="center"/>
              <w:rPr>
                <w:rFonts w:eastAsia="等线" w:cs="Times New Roman"/>
                <w:color w:val="000000"/>
                <w:sz w:val="21"/>
                <w:szCs w:val="21"/>
              </w:rPr>
            </w:pPr>
            <w:r>
              <w:rPr>
                <w:rFonts w:cs="Times New Roman"/>
                <w:color w:val="000000"/>
                <w:sz w:val="21"/>
                <w:szCs w:val="21"/>
              </w:rPr>
              <w:t>占地面积约4220平方米</w:t>
            </w:r>
          </w:p>
        </w:tc>
        <w:tc>
          <w:tcPr>
            <w:tcW w:w="1922" w:type="pct"/>
            <w:vAlign w:val="center"/>
          </w:tcPr>
          <w:p w14:paraId="3BAF13E9">
            <w:pPr>
              <w:spacing w:line="240" w:lineRule="auto"/>
              <w:ind w:firstLine="0" w:firstLineChars="0"/>
              <w:jc w:val="center"/>
              <w:rPr>
                <w:rFonts w:eastAsia="等线" w:cs="Times New Roman"/>
                <w:color w:val="000000"/>
                <w:sz w:val="21"/>
                <w:szCs w:val="21"/>
              </w:rPr>
            </w:pPr>
            <w:r>
              <w:rPr>
                <w:rFonts w:hint="eastAsia" w:ascii="仿宋_GB2312" w:hAnsi="等线"/>
                <w:color w:val="000000"/>
                <w:sz w:val="21"/>
                <w:szCs w:val="21"/>
              </w:rPr>
              <w:t>位于庙西村委会北侧茶田及西南侧竹林内的土墩墓。本项目将建设集考古科普、亲子互动、文明探源、乡村振兴等于一体的综合性公园。</w:t>
            </w:r>
          </w:p>
        </w:tc>
        <w:tc>
          <w:tcPr>
            <w:tcW w:w="484" w:type="pct"/>
            <w:vAlign w:val="center"/>
          </w:tcPr>
          <w:p w14:paraId="469BA544">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新建项目</w:t>
            </w:r>
          </w:p>
        </w:tc>
        <w:tc>
          <w:tcPr>
            <w:tcW w:w="503" w:type="pct"/>
            <w:vAlign w:val="center"/>
          </w:tcPr>
          <w:p w14:paraId="5C1FF074">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不涉及</w:t>
            </w:r>
          </w:p>
        </w:tc>
        <w:tc>
          <w:tcPr>
            <w:tcW w:w="497" w:type="pct"/>
            <w:vAlign w:val="center"/>
          </w:tcPr>
          <w:p w14:paraId="5058684F">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0F5EF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294" w:type="pct"/>
            <w:vAlign w:val="center"/>
          </w:tcPr>
          <w:p w14:paraId="0EC45F4F">
            <w:pPr>
              <w:pStyle w:val="39"/>
              <w:numPr>
                <w:ilvl w:val="0"/>
                <w:numId w:val="11"/>
              </w:numPr>
              <w:spacing w:line="240" w:lineRule="auto"/>
              <w:ind w:firstLineChars="0"/>
              <w:jc w:val="center"/>
              <w:rPr>
                <w:sz w:val="21"/>
                <w:szCs w:val="21"/>
              </w:rPr>
            </w:pPr>
          </w:p>
        </w:tc>
        <w:tc>
          <w:tcPr>
            <w:tcW w:w="561" w:type="pct"/>
            <w:vAlign w:val="center"/>
          </w:tcPr>
          <w:p w14:paraId="1E891592">
            <w:pPr>
              <w:spacing w:line="240" w:lineRule="auto"/>
              <w:ind w:firstLine="0" w:firstLineChars="0"/>
              <w:jc w:val="center"/>
              <w:rPr>
                <w:sz w:val="21"/>
                <w:szCs w:val="21"/>
              </w:rPr>
            </w:pPr>
            <w:r>
              <w:rPr>
                <w:rFonts w:hint="eastAsia" w:ascii="仿宋_GB2312" w:hAnsi="等线"/>
                <w:color w:val="000000"/>
                <w:sz w:val="21"/>
                <w:szCs w:val="21"/>
              </w:rPr>
              <w:t>金牛湖公园</w:t>
            </w:r>
          </w:p>
        </w:tc>
        <w:tc>
          <w:tcPr>
            <w:tcW w:w="737" w:type="pct"/>
            <w:vAlign w:val="center"/>
          </w:tcPr>
          <w:p w14:paraId="0C0D3A8A">
            <w:pPr>
              <w:spacing w:line="240" w:lineRule="auto"/>
              <w:ind w:firstLine="0" w:firstLineChars="0"/>
              <w:jc w:val="center"/>
              <w:rPr>
                <w:sz w:val="21"/>
                <w:szCs w:val="21"/>
              </w:rPr>
            </w:pPr>
            <w:r>
              <w:rPr>
                <w:rFonts w:hint="eastAsia" w:ascii="仿宋_GB2312" w:hAnsi="等线"/>
                <w:color w:val="000000"/>
                <w:sz w:val="21"/>
                <w:szCs w:val="21"/>
              </w:rPr>
              <w:t>总面积约</w:t>
            </w:r>
            <w:r>
              <w:rPr>
                <w:rFonts w:hint="eastAsia" w:cs="Times New Roman"/>
                <w:color w:val="000000"/>
                <w:sz w:val="21"/>
                <w:szCs w:val="21"/>
              </w:rPr>
              <w:t>1348.90</w:t>
            </w:r>
            <w:r>
              <w:rPr>
                <w:rFonts w:hint="eastAsia" w:ascii="仿宋_GB2312" w:hAnsi="等线"/>
                <w:color w:val="000000"/>
                <w:sz w:val="21"/>
                <w:szCs w:val="21"/>
              </w:rPr>
              <w:t>亩</w:t>
            </w:r>
          </w:p>
        </w:tc>
        <w:tc>
          <w:tcPr>
            <w:tcW w:w="1922" w:type="pct"/>
            <w:vAlign w:val="center"/>
          </w:tcPr>
          <w:p w14:paraId="728B71F5">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依托东进水库滨水空间建设面向老年人群、康养人群的滨水健身公园</w:t>
            </w:r>
          </w:p>
        </w:tc>
        <w:tc>
          <w:tcPr>
            <w:tcW w:w="484" w:type="pct"/>
            <w:vAlign w:val="center"/>
          </w:tcPr>
          <w:p w14:paraId="6A9FBC30">
            <w:pPr>
              <w:spacing w:line="240" w:lineRule="auto"/>
              <w:ind w:firstLine="0" w:firstLineChars="0"/>
              <w:jc w:val="center"/>
              <w:rPr>
                <w:sz w:val="21"/>
                <w:szCs w:val="21"/>
              </w:rPr>
            </w:pPr>
            <w:r>
              <w:rPr>
                <w:rFonts w:hint="eastAsia" w:ascii="仿宋_GB2312" w:hAnsi="等线"/>
                <w:color w:val="000000"/>
                <w:sz w:val="21"/>
                <w:szCs w:val="21"/>
              </w:rPr>
              <w:t>新建项目</w:t>
            </w:r>
          </w:p>
        </w:tc>
        <w:tc>
          <w:tcPr>
            <w:tcW w:w="503" w:type="pct"/>
            <w:vAlign w:val="center"/>
          </w:tcPr>
          <w:p w14:paraId="0D0364C4">
            <w:pPr>
              <w:spacing w:line="240" w:lineRule="auto"/>
              <w:ind w:firstLine="0" w:firstLineChars="0"/>
              <w:jc w:val="center"/>
              <w:rPr>
                <w:sz w:val="21"/>
                <w:szCs w:val="21"/>
              </w:rPr>
            </w:pPr>
            <w:r>
              <w:rPr>
                <w:rFonts w:hint="eastAsia" w:ascii="仿宋_GB2312" w:hAnsi="等线"/>
                <w:color w:val="000000"/>
                <w:sz w:val="21"/>
                <w:szCs w:val="21"/>
              </w:rPr>
              <w:t>不涉及</w:t>
            </w:r>
          </w:p>
        </w:tc>
        <w:tc>
          <w:tcPr>
            <w:tcW w:w="497" w:type="pct"/>
            <w:vAlign w:val="center"/>
          </w:tcPr>
          <w:p w14:paraId="563D792F">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0F5EB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294" w:type="pct"/>
            <w:vAlign w:val="center"/>
          </w:tcPr>
          <w:p w14:paraId="489ACC7C">
            <w:pPr>
              <w:pStyle w:val="39"/>
              <w:numPr>
                <w:ilvl w:val="0"/>
                <w:numId w:val="11"/>
              </w:numPr>
              <w:spacing w:line="240" w:lineRule="auto"/>
              <w:ind w:firstLineChars="0"/>
              <w:jc w:val="center"/>
              <w:rPr>
                <w:sz w:val="21"/>
                <w:szCs w:val="21"/>
              </w:rPr>
            </w:pPr>
          </w:p>
        </w:tc>
        <w:tc>
          <w:tcPr>
            <w:tcW w:w="561" w:type="pct"/>
            <w:vAlign w:val="center"/>
          </w:tcPr>
          <w:p w14:paraId="75A38F14">
            <w:pPr>
              <w:spacing w:line="240" w:lineRule="auto"/>
              <w:ind w:firstLine="0" w:firstLineChars="0"/>
              <w:jc w:val="center"/>
              <w:rPr>
                <w:sz w:val="21"/>
                <w:szCs w:val="21"/>
              </w:rPr>
            </w:pPr>
            <w:r>
              <w:rPr>
                <w:rFonts w:hint="eastAsia" w:ascii="仿宋_GB2312" w:hAnsi="等线"/>
                <w:color w:val="000000"/>
                <w:sz w:val="21"/>
                <w:szCs w:val="21"/>
              </w:rPr>
              <w:t>陶隐居</w:t>
            </w:r>
          </w:p>
        </w:tc>
        <w:tc>
          <w:tcPr>
            <w:tcW w:w="737" w:type="pct"/>
            <w:vAlign w:val="center"/>
          </w:tcPr>
          <w:p w14:paraId="1EB4F0E6">
            <w:pPr>
              <w:spacing w:line="240" w:lineRule="auto"/>
              <w:ind w:firstLine="0" w:firstLineChars="0"/>
              <w:jc w:val="center"/>
              <w:rPr>
                <w:sz w:val="21"/>
                <w:szCs w:val="21"/>
              </w:rPr>
            </w:pPr>
            <w:r>
              <w:rPr>
                <w:rFonts w:hint="eastAsia" w:ascii="仿宋_GB2312" w:hAnsi="等线"/>
                <w:color w:val="000000"/>
                <w:sz w:val="21"/>
                <w:szCs w:val="21"/>
              </w:rPr>
              <w:t>总面积约</w:t>
            </w:r>
            <w:r>
              <w:rPr>
                <w:rFonts w:hint="eastAsia" w:cs="Times New Roman"/>
                <w:color w:val="000000"/>
                <w:sz w:val="21"/>
                <w:szCs w:val="21"/>
              </w:rPr>
              <w:t>50</w:t>
            </w:r>
            <w:r>
              <w:rPr>
                <w:rFonts w:hint="eastAsia" w:ascii="仿宋_GB2312" w:hAnsi="等线"/>
                <w:color w:val="000000"/>
                <w:sz w:val="21"/>
                <w:szCs w:val="21"/>
              </w:rPr>
              <w:t>亩</w:t>
            </w:r>
          </w:p>
        </w:tc>
        <w:tc>
          <w:tcPr>
            <w:tcW w:w="1922" w:type="pct"/>
            <w:vAlign w:val="center"/>
          </w:tcPr>
          <w:p w14:paraId="1E8A5A22">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以茅山高道陶弘景隐居山野为内涵，利用杭山村民宿与闲置民房，打造面向都市老年人群的乡村养老基地</w:t>
            </w:r>
          </w:p>
        </w:tc>
        <w:tc>
          <w:tcPr>
            <w:tcW w:w="484" w:type="pct"/>
            <w:vAlign w:val="center"/>
          </w:tcPr>
          <w:p w14:paraId="3CB09521">
            <w:pPr>
              <w:spacing w:line="240" w:lineRule="auto"/>
              <w:ind w:firstLine="0" w:firstLineChars="0"/>
              <w:jc w:val="center"/>
              <w:rPr>
                <w:sz w:val="21"/>
                <w:szCs w:val="21"/>
              </w:rPr>
            </w:pPr>
            <w:r>
              <w:rPr>
                <w:rFonts w:hint="eastAsia" w:ascii="仿宋_GB2312" w:hAnsi="等线"/>
                <w:color w:val="000000"/>
                <w:sz w:val="21"/>
                <w:szCs w:val="21"/>
              </w:rPr>
              <w:t>现有建筑升级改造</w:t>
            </w:r>
          </w:p>
        </w:tc>
        <w:tc>
          <w:tcPr>
            <w:tcW w:w="503" w:type="pct"/>
            <w:vAlign w:val="center"/>
          </w:tcPr>
          <w:p w14:paraId="5D55F777">
            <w:pPr>
              <w:spacing w:line="240" w:lineRule="auto"/>
              <w:ind w:firstLine="0" w:firstLineChars="0"/>
              <w:jc w:val="center"/>
              <w:rPr>
                <w:sz w:val="21"/>
                <w:szCs w:val="21"/>
              </w:rPr>
            </w:pPr>
            <w:r>
              <w:rPr>
                <w:rFonts w:hint="eastAsia" w:ascii="仿宋_GB2312" w:hAnsi="等线"/>
                <w:color w:val="000000"/>
                <w:sz w:val="21"/>
                <w:szCs w:val="21"/>
              </w:rPr>
              <w:t>不涉及</w:t>
            </w:r>
          </w:p>
        </w:tc>
        <w:tc>
          <w:tcPr>
            <w:tcW w:w="497" w:type="pct"/>
            <w:vAlign w:val="center"/>
          </w:tcPr>
          <w:p w14:paraId="46038053">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1D0A0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40F0F889">
            <w:pPr>
              <w:pStyle w:val="39"/>
              <w:numPr>
                <w:ilvl w:val="0"/>
                <w:numId w:val="11"/>
              </w:numPr>
              <w:spacing w:line="240" w:lineRule="auto"/>
              <w:ind w:firstLineChars="0"/>
              <w:jc w:val="center"/>
              <w:rPr>
                <w:sz w:val="21"/>
                <w:szCs w:val="21"/>
              </w:rPr>
            </w:pPr>
          </w:p>
        </w:tc>
        <w:tc>
          <w:tcPr>
            <w:tcW w:w="561" w:type="pct"/>
            <w:vAlign w:val="center"/>
          </w:tcPr>
          <w:p w14:paraId="777B6A2C">
            <w:pPr>
              <w:spacing w:line="240" w:lineRule="auto"/>
              <w:ind w:firstLine="0" w:firstLineChars="0"/>
              <w:jc w:val="center"/>
              <w:rPr>
                <w:sz w:val="21"/>
                <w:szCs w:val="21"/>
              </w:rPr>
            </w:pPr>
            <w:r>
              <w:rPr>
                <w:rFonts w:hint="eastAsia" w:ascii="仿宋_GB2312" w:hAnsi="等线"/>
                <w:color w:val="000000"/>
                <w:sz w:val="21"/>
                <w:szCs w:val="21"/>
              </w:rPr>
              <w:t>泥盆纪餐厅</w:t>
            </w:r>
          </w:p>
        </w:tc>
        <w:tc>
          <w:tcPr>
            <w:tcW w:w="737" w:type="pct"/>
            <w:vAlign w:val="center"/>
          </w:tcPr>
          <w:p w14:paraId="54A501FC">
            <w:pPr>
              <w:spacing w:line="240" w:lineRule="auto"/>
              <w:ind w:firstLine="0" w:firstLineChars="0"/>
              <w:jc w:val="center"/>
              <w:rPr>
                <w:sz w:val="21"/>
                <w:szCs w:val="21"/>
              </w:rPr>
            </w:pPr>
            <w:r>
              <w:rPr>
                <w:rFonts w:hint="eastAsia" w:ascii="仿宋_GB2312" w:hAnsi="等线"/>
                <w:color w:val="000000"/>
                <w:sz w:val="21"/>
                <w:szCs w:val="21"/>
              </w:rPr>
              <w:t>总面积</w:t>
            </w:r>
            <w:r>
              <w:rPr>
                <w:rFonts w:hint="eastAsia" w:cs="Times New Roman"/>
                <w:color w:val="000000"/>
                <w:sz w:val="21"/>
                <w:szCs w:val="21"/>
              </w:rPr>
              <w:t>72.00</w:t>
            </w:r>
            <w:r>
              <w:rPr>
                <w:rFonts w:hint="eastAsia" w:ascii="仿宋_GB2312" w:hAnsi="等线"/>
                <w:color w:val="000000"/>
                <w:sz w:val="21"/>
                <w:szCs w:val="21"/>
              </w:rPr>
              <w:t>亩，建设用地面积</w:t>
            </w:r>
            <w:r>
              <w:rPr>
                <w:rFonts w:hint="eastAsia" w:cs="Times New Roman"/>
                <w:color w:val="000000"/>
                <w:sz w:val="21"/>
                <w:szCs w:val="21"/>
              </w:rPr>
              <w:t>15.15</w:t>
            </w:r>
            <w:r>
              <w:rPr>
                <w:rFonts w:hint="eastAsia" w:ascii="仿宋_GB2312" w:hAnsi="等线"/>
                <w:color w:val="000000"/>
                <w:sz w:val="21"/>
                <w:szCs w:val="21"/>
              </w:rPr>
              <w:t>亩</w:t>
            </w:r>
          </w:p>
        </w:tc>
        <w:tc>
          <w:tcPr>
            <w:tcW w:w="1922" w:type="pct"/>
            <w:vAlign w:val="center"/>
          </w:tcPr>
          <w:p w14:paraId="5949FEE1">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娃娃鱼部落是江苏最大的娃娃鱼养殖基地，配套有娃娃鱼餐厅、泉水洞1号住宿等设施，现已闲置。规划对娃娃鱼部落进行整体改造，打造为古生物自然博物主题综合餐厅</w:t>
            </w:r>
          </w:p>
        </w:tc>
        <w:tc>
          <w:tcPr>
            <w:tcW w:w="484" w:type="pct"/>
            <w:vAlign w:val="center"/>
          </w:tcPr>
          <w:p w14:paraId="06C3F1E2">
            <w:pPr>
              <w:spacing w:line="240" w:lineRule="auto"/>
              <w:ind w:firstLine="0" w:firstLineChars="0"/>
              <w:jc w:val="center"/>
              <w:rPr>
                <w:sz w:val="21"/>
                <w:szCs w:val="21"/>
              </w:rPr>
            </w:pPr>
            <w:r>
              <w:rPr>
                <w:rFonts w:hint="eastAsia" w:ascii="仿宋_GB2312" w:hAnsi="等线"/>
                <w:color w:val="000000"/>
                <w:sz w:val="21"/>
                <w:szCs w:val="21"/>
              </w:rPr>
              <w:t>现有建筑升级改造</w:t>
            </w:r>
          </w:p>
        </w:tc>
        <w:tc>
          <w:tcPr>
            <w:tcW w:w="503" w:type="pct"/>
            <w:vAlign w:val="center"/>
          </w:tcPr>
          <w:p w14:paraId="26230D0C">
            <w:pPr>
              <w:spacing w:line="240" w:lineRule="auto"/>
              <w:ind w:firstLine="0" w:firstLineChars="0"/>
              <w:jc w:val="center"/>
              <w:rPr>
                <w:sz w:val="21"/>
                <w:szCs w:val="21"/>
              </w:rPr>
            </w:pPr>
            <w:r>
              <w:rPr>
                <w:rFonts w:hint="eastAsia" w:ascii="仿宋_GB2312" w:hAnsi="等线"/>
                <w:color w:val="000000"/>
                <w:sz w:val="21"/>
                <w:szCs w:val="21"/>
              </w:rPr>
              <w:t>不涉及</w:t>
            </w:r>
          </w:p>
        </w:tc>
        <w:tc>
          <w:tcPr>
            <w:tcW w:w="497" w:type="pct"/>
            <w:vAlign w:val="center"/>
          </w:tcPr>
          <w:p w14:paraId="29B843B4">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7601F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294" w:type="pct"/>
            <w:vAlign w:val="center"/>
          </w:tcPr>
          <w:p w14:paraId="24FB250C">
            <w:pPr>
              <w:pStyle w:val="39"/>
              <w:numPr>
                <w:ilvl w:val="0"/>
                <w:numId w:val="11"/>
              </w:numPr>
              <w:spacing w:line="240" w:lineRule="auto"/>
              <w:ind w:firstLineChars="0"/>
              <w:jc w:val="center"/>
              <w:rPr>
                <w:sz w:val="21"/>
                <w:szCs w:val="21"/>
              </w:rPr>
            </w:pPr>
          </w:p>
        </w:tc>
        <w:tc>
          <w:tcPr>
            <w:tcW w:w="561" w:type="pct"/>
            <w:vAlign w:val="center"/>
          </w:tcPr>
          <w:p w14:paraId="51C8F52E">
            <w:pPr>
              <w:spacing w:line="240" w:lineRule="auto"/>
              <w:ind w:firstLine="0" w:firstLineChars="0"/>
              <w:jc w:val="center"/>
              <w:rPr>
                <w:sz w:val="21"/>
                <w:szCs w:val="21"/>
              </w:rPr>
            </w:pPr>
            <w:r>
              <w:rPr>
                <w:rFonts w:hint="eastAsia" w:ascii="仿宋_GB2312" w:hAnsi="等线"/>
                <w:color w:val="000000"/>
                <w:sz w:val="21"/>
                <w:szCs w:val="21"/>
              </w:rPr>
              <w:t>白鹭湖公园</w:t>
            </w:r>
          </w:p>
        </w:tc>
        <w:tc>
          <w:tcPr>
            <w:tcW w:w="737" w:type="pct"/>
            <w:vAlign w:val="center"/>
          </w:tcPr>
          <w:p w14:paraId="2572CBEA">
            <w:pPr>
              <w:spacing w:line="240" w:lineRule="auto"/>
              <w:ind w:firstLine="0" w:firstLineChars="0"/>
              <w:jc w:val="center"/>
              <w:rPr>
                <w:sz w:val="21"/>
                <w:szCs w:val="21"/>
              </w:rPr>
            </w:pPr>
            <w:r>
              <w:rPr>
                <w:rFonts w:hint="eastAsia" w:ascii="仿宋_GB2312" w:hAnsi="等线"/>
                <w:color w:val="000000"/>
                <w:sz w:val="21"/>
                <w:szCs w:val="21"/>
              </w:rPr>
              <w:t>总面积</w:t>
            </w:r>
            <w:r>
              <w:rPr>
                <w:rFonts w:hint="eastAsia" w:cs="Times New Roman"/>
                <w:color w:val="000000"/>
                <w:sz w:val="21"/>
                <w:szCs w:val="21"/>
              </w:rPr>
              <w:t>3355</w:t>
            </w:r>
            <w:r>
              <w:rPr>
                <w:rFonts w:hint="eastAsia" w:ascii="仿宋_GB2312" w:hAnsi="等线"/>
                <w:color w:val="000000"/>
                <w:sz w:val="21"/>
                <w:szCs w:val="21"/>
              </w:rPr>
              <w:t>亩</w:t>
            </w:r>
          </w:p>
        </w:tc>
        <w:tc>
          <w:tcPr>
            <w:tcW w:w="1922" w:type="pct"/>
            <w:vAlign w:val="center"/>
          </w:tcPr>
          <w:p w14:paraId="4005A08E">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以“体育+科技+商业+旅居”模式打造茅东水库，形成面向高端旅居人群的公共休闲产品，公园内建设智慧步道</w:t>
            </w:r>
          </w:p>
        </w:tc>
        <w:tc>
          <w:tcPr>
            <w:tcW w:w="484" w:type="pct"/>
            <w:vAlign w:val="center"/>
          </w:tcPr>
          <w:p w14:paraId="32ED4B8B">
            <w:pPr>
              <w:spacing w:line="240" w:lineRule="auto"/>
              <w:ind w:firstLine="0" w:firstLineChars="0"/>
              <w:jc w:val="center"/>
              <w:rPr>
                <w:sz w:val="21"/>
                <w:szCs w:val="21"/>
              </w:rPr>
            </w:pPr>
            <w:r>
              <w:rPr>
                <w:rFonts w:hint="eastAsia" w:ascii="仿宋_GB2312" w:hAnsi="等线"/>
                <w:color w:val="000000"/>
                <w:sz w:val="21"/>
                <w:szCs w:val="21"/>
              </w:rPr>
              <w:t>新建项目</w:t>
            </w:r>
          </w:p>
        </w:tc>
        <w:tc>
          <w:tcPr>
            <w:tcW w:w="503" w:type="pct"/>
            <w:vAlign w:val="center"/>
          </w:tcPr>
          <w:p w14:paraId="5477D2CF">
            <w:pPr>
              <w:spacing w:line="240" w:lineRule="auto"/>
              <w:ind w:firstLine="0" w:firstLineChars="0"/>
              <w:jc w:val="center"/>
              <w:rPr>
                <w:sz w:val="21"/>
                <w:szCs w:val="21"/>
              </w:rPr>
            </w:pPr>
            <w:r>
              <w:rPr>
                <w:rFonts w:hint="eastAsia" w:ascii="仿宋_GB2312" w:hAnsi="等线"/>
                <w:color w:val="000000"/>
                <w:sz w:val="21"/>
                <w:szCs w:val="21"/>
              </w:rPr>
              <w:t>不涉及</w:t>
            </w:r>
          </w:p>
        </w:tc>
        <w:tc>
          <w:tcPr>
            <w:tcW w:w="497" w:type="pct"/>
            <w:vAlign w:val="center"/>
          </w:tcPr>
          <w:p w14:paraId="13DF3BB3">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7E579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294" w:type="pct"/>
            <w:vAlign w:val="center"/>
          </w:tcPr>
          <w:p w14:paraId="444B2680">
            <w:pPr>
              <w:pStyle w:val="39"/>
              <w:numPr>
                <w:ilvl w:val="0"/>
                <w:numId w:val="11"/>
              </w:numPr>
              <w:spacing w:line="240" w:lineRule="auto"/>
              <w:ind w:firstLineChars="0"/>
              <w:jc w:val="center"/>
              <w:rPr>
                <w:sz w:val="21"/>
                <w:szCs w:val="21"/>
              </w:rPr>
            </w:pPr>
          </w:p>
        </w:tc>
        <w:tc>
          <w:tcPr>
            <w:tcW w:w="561" w:type="pct"/>
            <w:vAlign w:val="center"/>
          </w:tcPr>
          <w:p w14:paraId="1210DB70">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茅山户外生活荟</w:t>
            </w:r>
          </w:p>
        </w:tc>
        <w:tc>
          <w:tcPr>
            <w:tcW w:w="737" w:type="pct"/>
            <w:vAlign w:val="center"/>
          </w:tcPr>
          <w:p w14:paraId="2BBF107C">
            <w:pPr>
              <w:spacing w:line="240" w:lineRule="auto"/>
              <w:ind w:firstLine="0" w:firstLineChars="0"/>
              <w:jc w:val="center"/>
              <w:rPr>
                <w:rFonts w:hint="eastAsia" w:ascii="仿宋_GB2312" w:hAnsi="等线"/>
                <w:color w:val="000000"/>
                <w:sz w:val="21"/>
                <w:szCs w:val="21"/>
              </w:rPr>
            </w:pPr>
            <w:r>
              <w:rPr>
                <w:rFonts w:hint="eastAsia" w:cs="Times New Roman"/>
                <w:sz w:val="21"/>
                <w:szCs w:val="21"/>
              </w:rPr>
              <w:t>面积约40亩</w:t>
            </w:r>
          </w:p>
        </w:tc>
        <w:tc>
          <w:tcPr>
            <w:tcW w:w="1922" w:type="pct"/>
            <w:vAlign w:val="center"/>
          </w:tcPr>
          <w:p w14:paraId="5BE832BF">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恒大售楼处将提升改造成集运动装备展示、餐饮轻食、各类运动体验、装备租赁和销售等于一体的综合性运动中心</w:t>
            </w:r>
          </w:p>
        </w:tc>
        <w:tc>
          <w:tcPr>
            <w:tcW w:w="484" w:type="pct"/>
            <w:vAlign w:val="center"/>
          </w:tcPr>
          <w:p w14:paraId="75EFB116">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现有建筑升级改造</w:t>
            </w:r>
          </w:p>
        </w:tc>
        <w:tc>
          <w:tcPr>
            <w:tcW w:w="503" w:type="pct"/>
            <w:vAlign w:val="center"/>
          </w:tcPr>
          <w:p w14:paraId="076981D2">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不涉及</w:t>
            </w:r>
          </w:p>
        </w:tc>
        <w:tc>
          <w:tcPr>
            <w:tcW w:w="497" w:type="pct"/>
            <w:vAlign w:val="center"/>
          </w:tcPr>
          <w:p w14:paraId="75A60D42">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6C19D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294" w:type="pct"/>
            <w:vAlign w:val="center"/>
          </w:tcPr>
          <w:p w14:paraId="0066F45C">
            <w:pPr>
              <w:pStyle w:val="39"/>
              <w:numPr>
                <w:ilvl w:val="0"/>
                <w:numId w:val="11"/>
              </w:numPr>
              <w:spacing w:line="240" w:lineRule="auto"/>
              <w:ind w:firstLineChars="0"/>
              <w:jc w:val="center"/>
              <w:rPr>
                <w:sz w:val="21"/>
                <w:szCs w:val="21"/>
              </w:rPr>
            </w:pPr>
          </w:p>
        </w:tc>
        <w:tc>
          <w:tcPr>
            <w:tcW w:w="561" w:type="pct"/>
            <w:vAlign w:val="center"/>
          </w:tcPr>
          <w:p w14:paraId="08B9136A">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金沙湾高尔夫球场</w:t>
            </w:r>
          </w:p>
        </w:tc>
        <w:tc>
          <w:tcPr>
            <w:tcW w:w="737" w:type="pct"/>
            <w:vAlign w:val="center"/>
          </w:tcPr>
          <w:p w14:paraId="3F2A8082">
            <w:pPr>
              <w:spacing w:line="240" w:lineRule="auto"/>
              <w:ind w:firstLine="0" w:firstLineChars="0"/>
              <w:jc w:val="center"/>
              <w:rPr>
                <w:rFonts w:cs="Times New Roman"/>
                <w:sz w:val="21"/>
                <w:szCs w:val="21"/>
              </w:rPr>
            </w:pPr>
            <w:r>
              <w:rPr>
                <w:rFonts w:hint="eastAsia" w:cs="Times New Roman"/>
                <w:sz w:val="21"/>
                <w:szCs w:val="21"/>
              </w:rPr>
              <w:t>总面积730亩</w:t>
            </w:r>
          </w:p>
        </w:tc>
        <w:tc>
          <w:tcPr>
            <w:tcW w:w="1922" w:type="pct"/>
            <w:vAlign w:val="center"/>
          </w:tcPr>
          <w:p w14:paraId="5C90C984">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拟于茅东水库北侧金沙湾区域新建高尔夫球场，建设内容包括球场发球台、球道、沙坑、果岭，以及球场配套会所、职工宿舍、维修用房等</w:t>
            </w:r>
          </w:p>
        </w:tc>
        <w:tc>
          <w:tcPr>
            <w:tcW w:w="484" w:type="pct"/>
            <w:vAlign w:val="center"/>
          </w:tcPr>
          <w:p w14:paraId="398FB6C1">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新建项目</w:t>
            </w:r>
          </w:p>
        </w:tc>
        <w:tc>
          <w:tcPr>
            <w:tcW w:w="503" w:type="pct"/>
            <w:vAlign w:val="center"/>
          </w:tcPr>
          <w:p w14:paraId="5962CFDF">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不涉及</w:t>
            </w:r>
          </w:p>
        </w:tc>
        <w:tc>
          <w:tcPr>
            <w:tcW w:w="497" w:type="pct"/>
            <w:vAlign w:val="center"/>
          </w:tcPr>
          <w:p w14:paraId="3ECD7BF9">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1FB23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356A5906">
            <w:pPr>
              <w:pStyle w:val="39"/>
              <w:numPr>
                <w:ilvl w:val="0"/>
                <w:numId w:val="11"/>
              </w:numPr>
              <w:spacing w:line="240" w:lineRule="auto"/>
              <w:ind w:firstLineChars="0"/>
              <w:jc w:val="center"/>
              <w:rPr>
                <w:sz w:val="21"/>
                <w:szCs w:val="21"/>
              </w:rPr>
            </w:pPr>
          </w:p>
        </w:tc>
        <w:tc>
          <w:tcPr>
            <w:tcW w:w="561" w:type="pct"/>
            <w:vAlign w:val="center"/>
          </w:tcPr>
          <w:p w14:paraId="4BE61E02">
            <w:pPr>
              <w:spacing w:line="240" w:lineRule="auto"/>
              <w:ind w:firstLine="0" w:firstLineChars="0"/>
              <w:jc w:val="center"/>
              <w:rPr>
                <w:sz w:val="21"/>
                <w:szCs w:val="21"/>
              </w:rPr>
            </w:pPr>
            <w:r>
              <w:rPr>
                <w:rFonts w:hint="eastAsia" w:ascii="仿宋_GB2312" w:hAnsi="等线"/>
                <w:color w:val="000000"/>
                <w:sz w:val="21"/>
                <w:szCs w:val="21"/>
              </w:rPr>
              <w:t>秀山丽水</w:t>
            </w:r>
          </w:p>
        </w:tc>
        <w:tc>
          <w:tcPr>
            <w:tcW w:w="737" w:type="pct"/>
            <w:vAlign w:val="center"/>
          </w:tcPr>
          <w:p w14:paraId="561A22F8">
            <w:pPr>
              <w:spacing w:line="240" w:lineRule="auto"/>
              <w:ind w:firstLine="0" w:firstLineChars="0"/>
              <w:jc w:val="center"/>
              <w:rPr>
                <w:sz w:val="21"/>
                <w:szCs w:val="21"/>
              </w:rPr>
            </w:pPr>
            <w:r>
              <w:rPr>
                <w:rFonts w:hint="eastAsia" w:ascii="仿宋_GB2312" w:hAnsi="等线"/>
                <w:color w:val="000000"/>
                <w:sz w:val="21"/>
                <w:szCs w:val="21"/>
              </w:rPr>
              <w:t>占地面积</w:t>
            </w:r>
            <w:r>
              <w:rPr>
                <w:rFonts w:hint="eastAsia" w:cs="Times New Roman"/>
                <w:color w:val="000000"/>
                <w:sz w:val="21"/>
                <w:szCs w:val="21"/>
              </w:rPr>
              <w:t>91.7</w:t>
            </w:r>
            <w:r>
              <w:rPr>
                <w:rFonts w:hint="eastAsia" w:ascii="仿宋_GB2312" w:hAnsi="等线"/>
                <w:color w:val="000000"/>
                <w:sz w:val="21"/>
                <w:szCs w:val="21"/>
              </w:rPr>
              <w:t>亩，建设用地面积</w:t>
            </w:r>
            <w:r>
              <w:rPr>
                <w:rFonts w:hint="eastAsia" w:cs="Times New Roman"/>
                <w:color w:val="000000"/>
                <w:sz w:val="21"/>
                <w:szCs w:val="21"/>
              </w:rPr>
              <w:t>24</w:t>
            </w:r>
            <w:r>
              <w:rPr>
                <w:rFonts w:hint="eastAsia" w:ascii="仿宋_GB2312" w:hAnsi="等线"/>
                <w:color w:val="000000"/>
                <w:sz w:val="21"/>
                <w:szCs w:val="21"/>
              </w:rPr>
              <w:t>亩</w:t>
            </w:r>
          </w:p>
        </w:tc>
        <w:tc>
          <w:tcPr>
            <w:tcW w:w="1922" w:type="pct"/>
            <w:vAlign w:val="center"/>
          </w:tcPr>
          <w:p w14:paraId="43BC61AE">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c>
          <w:tcPr>
            <w:tcW w:w="484" w:type="pct"/>
            <w:vAlign w:val="center"/>
          </w:tcPr>
          <w:p w14:paraId="2CFC2508">
            <w:pPr>
              <w:spacing w:line="240" w:lineRule="auto"/>
              <w:ind w:firstLine="0" w:firstLineChars="0"/>
              <w:jc w:val="center"/>
              <w:rPr>
                <w:sz w:val="21"/>
                <w:szCs w:val="21"/>
              </w:rPr>
            </w:pPr>
            <w:r>
              <w:rPr>
                <w:rFonts w:hint="eastAsia" w:ascii="仿宋_GB2312" w:hAnsi="等线"/>
                <w:color w:val="000000"/>
                <w:sz w:val="21"/>
                <w:szCs w:val="21"/>
              </w:rPr>
              <w:t>新建项目</w:t>
            </w:r>
          </w:p>
        </w:tc>
        <w:tc>
          <w:tcPr>
            <w:tcW w:w="503" w:type="pct"/>
            <w:vAlign w:val="center"/>
          </w:tcPr>
          <w:p w14:paraId="60256F0F">
            <w:pPr>
              <w:spacing w:line="240" w:lineRule="auto"/>
              <w:ind w:firstLine="0" w:firstLineChars="0"/>
              <w:jc w:val="center"/>
              <w:rPr>
                <w:sz w:val="21"/>
                <w:szCs w:val="21"/>
              </w:rPr>
            </w:pPr>
            <w:r>
              <w:rPr>
                <w:rFonts w:hint="eastAsia" w:ascii="仿宋_GB2312" w:hAnsi="等线"/>
                <w:color w:val="000000"/>
                <w:sz w:val="21"/>
                <w:szCs w:val="21"/>
              </w:rPr>
              <w:t>不涉及</w:t>
            </w:r>
          </w:p>
        </w:tc>
        <w:tc>
          <w:tcPr>
            <w:tcW w:w="497" w:type="pct"/>
            <w:vAlign w:val="center"/>
          </w:tcPr>
          <w:p w14:paraId="17227369">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14C45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13258097">
            <w:pPr>
              <w:pStyle w:val="39"/>
              <w:numPr>
                <w:ilvl w:val="0"/>
                <w:numId w:val="11"/>
              </w:numPr>
              <w:spacing w:line="240" w:lineRule="auto"/>
              <w:ind w:firstLineChars="0"/>
              <w:jc w:val="center"/>
              <w:rPr>
                <w:sz w:val="21"/>
                <w:szCs w:val="21"/>
              </w:rPr>
            </w:pPr>
          </w:p>
        </w:tc>
        <w:tc>
          <w:tcPr>
            <w:tcW w:w="561" w:type="pct"/>
            <w:vAlign w:val="center"/>
          </w:tcPr>
          <w:p w14:paraId="20C2EC4F">
            <w:pPr>
              <w:spacing w:line="240" w:lineRule="auto"/>
              <w:ind w:firstLine="0" w:firstLineChars="0"/>
              <w:jc w:val="center"/>
              <w:rPr>
                <w:sz w:val="21"/>
                <w:szCs w:val="21"/>
              </w:rPr>
            </w:pPr>
            <w:r>
              <w:rPr>
                <w:rFonts w:hint="eastAsia" w:ascii="仿宋_GB2312" w:hAnsi="等线"/>
                <w:color w:val="000000"/>
                <w:sz w:val="21"/>
                <w:szCs w:val="21"/>
              </w:rPr>
              <w:t>阅山湖</w:t>
            </w:r>
          </w:p>
        </w:tc>
        <w:tc>
          <w:tcPr>
            <w:tcW w:w="737" w:type="pct"/>
            <w:vAlign w:val="center"/>
          </w:tcPr>
          <w:p w14:paraId="70F0692A">
            <w:pPr>
              <w:spacing w:line="240" w:lineRule="auto"/>
              <w:ind w:firstLine="0" w:firstLineChars="0"/>
              <w:jc w:val="center"/>
              <w:rPr>
                <w:sz w:val="21"/>
                <w:szCs w:val="21"/>
              </w:rPr>
            </w:pPr>
            <w:r>
              <w:rPr>
                <w:rFonts w:hint="eastAsia" w:ascii="仿宋_GB2312" w:hAnsi="等线"/>
                <w:color w:val="000000"/>
                <w:sz w:val="21"/>
                <w:szCs w:val="21"/>
              </w:rPr>
              <w:t>占地面积</w:t>
            </w:r>
            <w:r>
              <w:rPr>
                <w:rFonts w:hint="eastAsia" w:cs="Times New Roman"/>
                <w:color w:val="000000"/>
                <w:sz w:val="21"/>
                <w:szCs w:val="21"/>
              </w:rPr>
              <w:t>218.6</w:t>
            </w:r>
            <w:r>
              <w:rPr>
                <w:rFonts w:hint="eastAsia" w:ascii="仿宋_GB2312" w:hAnsi="等线"/>
                <w:color w:val="000000"/>
                <w:sz w:val="21"/>
                <w:szCs w:val="21"/>
              </w:rPr>
              <w:t>亩，建设用地面积</w:t>
            </w:r>
            <w:r>
              <w:rPr>
                <w:rFonts w:hint="eastAsia" w:cs="Times New Roman"/>
                <w:color w:val="000000"/>
                <w:sz w:val="21"/>
                <w:szCs w:val="21"/>
              </w:rPr>
              <w:t>152</w:t>
            </w:r>
            <w:r>
              <w:rPr>
                <w:rFonts w:hint="eastAsia" w:ascii="仿宋_GB2312" w:hAnsi="等线"/>
                <w:color w:val="000000"/>
                <w:sz w:val="21"/>
                <w:szCs w:val="21"/>
              </w:rPr>
              <w:t>亩</w:t>
            </w:r>
          </w:p>
        </w:tc>
        <w:tc>
          <w:tcPr>
            <w:tcW w:w="1922" w:type="pct"/>
            <w:vAlign w:val="center"/>
          </w:tcPr>
          <w:p w14:paraId="51FF61A0">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c>
          <w:tcPr>
            <w:tcW w:w="484" w:type="pct"/>
            <w:vAlign w:val="center"/>
          </w:tcPr>
          <w:p w14:paraId="4D510A38">
            <w:pPr>
              <w:spacing w:line="240" w:lineRule="auto"/>
              <w:ind w:firstLine="0" w:firstLineChars="0"/>
              <w:jc w:val="center"/>
              <w:rPr>
                <w:sz w:val="21"/>
                <w:szCs w:val="21"/>
              </w:rPr>
            </w:pPr>
            <w:r>
              <w:rPr>
                <w:rFonts w:hint="eastAsia" w:ascii="仿宋_GB2312" w:hAnsi="等线"/>
                <w:color w:val="000000"/>
                <w:sz w:val="21"/>
                <w:szCs w:val="21"/>
              </w:rPr>
              <w:t>新建项目</w:t>
            </w:r>
          </w:p>
        </w:tc>
        <w:tc>
          <w:tcPr>
            <w:tcW w:w="503" w:type="pct"/>
            <w:vAlign w:val="center"/>
          </w:tcPr>
          <w:p w14:paraId="3901F10B">
            <w:pPr>
              <w:spacing w:line="240" w:lineRule="auto"/>
              <w:ind w:firstLine="0" w:firstLineChars="0"/>
              <w:jc w:val="center"/>
              <w:rPr>
                <w:sz w:val="21"/>
                <w:szCs w:val="21"/>
              </w:rPr>
            </w:pPr>
            <w:r>
              <w:rPr>
                <w:rFonts w:hint="eastAsia" w:ascii="仿宋_GB2312" w:hAnsi="等线"/>
                <w:color w:val="000000"/>
                <w:sz w:val="21"/>
                <w:szCs w:val="21"/>
              </w:rPr>
              <w:t>不涉及</w:t>
            </w:r>
          </w:p>
        </w:tc>
        <w:tc>
          <w:tcPr>
            <w:tcW w:w="497" w:type="pct"/>
            <w:vAlign w:val="center"/>
          </w:tcPr>
          <w:p w14:paraId="1A88FFA6">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35D6B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4B2AD224">
            <w:pPr>
              <w:pStyle w:val="39"/>
              <w:numPr>
                <w:ilvl w:val="0"/>
                <w:numId w:val="11"/>
              </w:numPr>
              <w:spacing w:line="240" w:lineRule="auto"/>
              <w:ind w:firstLineChars="0"/>
              <w:jc w:val="center"/>
              <w:rPr>
                <w:sz w:val="21"/>
                <w:szCs w:val="21"/>
              </w:rPr>
            </w:pPr>
          </w:p>
        </w:tc>
        <w:tc>
          <w:tcPr>
            <w:tcW w:w="561" w:type="pct"/>
            <w:vAlign w:val="center"/>
          </w:tcPr>
          <w:p w14:paraId="44CC8818">
            <w:pPr>
              <w:spacing w:line="240" w:lineRule="auto"/>
              <w:ind w:firstLine="0" w:firstLineChars="0"/>
              <w:jc w:val="center"/>
              <w:rPr>
                <w:sz w:val="21"/>
                <w:szCs w:val="21"/>
              </w:rPr>
            </w:pPr>
            <w:r>
              <w:rPr>
                <w:rFonts w:hint="eastAsia" w:ascii="仿宋_GB2312" w:hAnsi="等线"/>
                <w:color w:val="000000"/>
                <w:sz w:val="21"/>
                <w:szCs w:val="21"/>
              </w:rPr>
              <w:t>喵街（茅山高速服务区）</w:t>
            </w:r>
          </w:p>
        </w:tc>
        <w:tc>
          <w:tcPr>
            <w:tcW w:w="737" w:type="pct"/>
            <w:vAlign w:val="center"/>
          </w:tcPr>
          <w:p w14:paraId="758DD276">
            <w:pPr>
              <w:spacing w:line="240" w:lineRule="auto"/>
              <w:ind w:firstLine="0" w:firstLineChars="0"/>
              <w:jc w:val="center"/>
              <w:rPr>
                <w:sz w:val="21"/>
                <w:szCs w:val="21"/>
              </w:rPr>
            </w:pPr>
            <w:r>
              <w:rPr>
                <w:rFonts w:hint="eastAsia" w:ascii="仿宋_GB2312" w:hAnsi="等线"/>
                <w:color w:val="000000"/>
                <w:sz w:val="21"/>
                <w:szCs w:val="21"/>
              </w:rPr>
              <w:t>总面积</w:t>
            </w:r>
            <w:r>
              <w:rPr>
                <w:rFonts w:hint="eastAsia" w:cs="Times New Roman"/>
                <w:color w:val="000000"/>
                <w:sz w:val="21"/>
                <w:szCs w:val="21"/>
              </w:rPr>
              <w:t>317.80</w:t>
            </w:r>
            <w:r>
              <w:rPr>
                <w:rFonts w:hint="eastAsia" w:ascii="仿宋_GB2312" w:hAnsi="等线"/>
                <w:color w:val="000000"/>
                <w:sz w:val="21"/>
                <w:szCs w:val="21"/>
              </w:rPr>
              <w:t>亩，建设用地面积</w:t>
            </w:r>
            <w:r>
              <w:rPr>
                <w:rFonts w:hint="eastAsia" w:cs="Times New Roman"/>
                <w:color w:val="000000"/>
                <w:sz w:val="21"/>
                <w:szCs w:val="21"/>
              </w:rPr>
              <w:t>317.80</w:t>
            </w:r>
            <w:r>
              <w:rPr>
                <w:rFonts w:hint="eastAsia" w:ascii="仿宋_GB2312" w:hAnsi="等线"/>
                <w:color w:val="000000"/>
                <w:sz w:val="21"/>
                <w:szCs w:val="21"/>
              </w:rPr>
              <w:t>亩</w:t>
            </w:r>
          </w:p>
        </w:tc>
        <w:tc>
          <w:tcPr>
            <w:tcW w:w="1922" w:type="pct"/>
            <w:vAlign w:val="center"/>
          </w:tcPr>
          <w:p w14:paraId="5CCFFF96">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推进喵街、常合高速公路茅山服务区、城际铁路茅山站一体化建设，打造集高速公路服务区、城际铁路站、形象展示窗口、文旅特色街区于一体的综合型服务区</w:t>
            </w:r>
          </w:p>
        </w:tc>
        <w:tc>
          <w:tcPr>
            <w:tcW w:w="484" w:type="pct"/>
            <w:vAlign w:val="center"/>
          </w:tcPr>
          <w:p w14:paraId="328D0E1C">
            <w:pPr>
              <w:spacing w:line="240" w:lineRule="auto"/>
              <w:ind w:firstLine="0" w:firstLineChars="0"/>
              <w:jc w:val="center"/>
              <w:rPr>
                <w:sz w:val="21"/>
                <w:szCs w:val="21"/>
              </w:rPr>
            </w:pPr>
            <w:r>
              <w:rPr>
                <w:rFonts w:hint="eastAsia" w:ascii="仿宋_GB2312" w:hAnsi="等线"/>
                <w:color w:val="000000"/>
                <w:sz w:val="21"/>
                <w:szCs w:val="21"/>
              </w:rPr>
              <w:t>新建项目</w:t>
            </w:r>
          </w:p>
        </w:tc>
        <w:tc>
          <w:tcPr>
            <w:tcW w:w="503" w:type="pct"/>
            <w:vAlign w:val="center"/>
          </w:tcPr>
          <w:p w14:paraId="6863223C">
            <w:pPr>
              <w:spacing w:line="240" w:lineRule="auto"/>
              <w:ind w:firstLine="0" w:firstLineChars="0"/>
              <w:jc w:val="center"/>
              <w:rPr>
                <w:sz w:val="21"/>
                <w:szCs w:val="21"/>
              </w:rPr>
            </w:pPr>
            <w:r>
              <w:rPr>
                <w:rFonts w:hint="eastAsia" w:ascii="仿宋_GB2312" w:hAnsi="等线"/>
                <w:color w:val="000000"/>
                <w:sz w:val="21"/>
                <w:szCs w:val="21"/>
              </w:rPr>
              <w:t>不涉及</w:t>
            </w:r>
          </w:p>
        </w:tc>
        <w:tc>
          <w:tcPr>
            <w:tcW w:w="497" w:type="pct"/>
            <w:vAlign w:val="center"/>
          </w:tcPr>
          <w:p w14:paraId="3E253E60">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12F72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294" w:type="pct"/>
            <w:vAlign w:val="center"/>
          </w:tcPr>
          <w:p w14:paraId="090D2E45">
            <w:pPr>
              <w:pStyle w:val="39"/>
              <w:numPr>
                <w:ilvl w:val="0"/>
                <w:numId w:val="11"/>
              </w:numPr>
              <w:spacing w:line="240" w:lineRule="auto"/>
              <w:ind w:firstLineChars="0"/>
              <w:jc w:val="center"/>
              <w:rPr>
                <w:sz w:val="21"/>
                <w:szCs w:val="21"/>
              </w:rPr>
            </w:pPr>
          </w:p>
        </w:tc>
        <w:tc>
          <w:tcPr>
            <w:tcW w:w="561" w:type="pct"/>
            <w:vAlign w:val="center"/>
          </w:tcPr>
          <w:p w14:paraId="59B4CE41">
            <w:pPr>
              <w:spacing w:line="240" w:lineRule="auto"/>
              <w:ind w:firstLine="0" w:firstLineChars="0"/>
              <w:jc w:val="center"/>
              <w:rPr>
                <w:sz w:val="21"/>
                <w:szCs w:val="21"/>
              </w:rPr>
            </w:pPr>
            <w:r>
              <w:rPr>
                <w:rFonts w:hint="eastAsia" w:ascii="仿宋_GB2312" w:hAnsi="等线"/>
                <w:color w:val="000000"/>
                <w:sz w:val="21"/>
                <w:szCs w:val="21"/>
              </w:rPr>
              <w:t>猫山里总部基地</w:t>
            </w:r>
          </w:p>
        </w:tc>
        <w:tc>
          <w:tcPr>
            <w:tcW w:w="737" w:type="pct"/>
            <w:vAlign w:val="center"/>
          </w:tcPr>
          <w:p w14:paraId="08596E81">
            <w:pPr>
              <w:spacing w:line="240" w:lineRule="auto"/>
              <w:ind w:firstLine="0" w:firstLineChars="0"/>
              <w:jc w:val="center"/>
              <w:rPr>
                <w:sz w:val="21"/>
                <w:szCs w:val="21"/>
              </w:rPr>
            </w:pPr>
            <w:r>
              <w:rPr>
                <w:rFonts w:hint="eastAsia" w:ascii="仿宋_GB2312" w:hAnsi="等线"/>
                <w:color w:val="000000"/>
                <w:sz w:val="21"/>
                <w:szCs w:val="21"/>
              </w:rPr>
              <w:t>总面积</w:t>
            </w:r>
            <w:r>
              <w:rPr>
                <w:rFonts w:hint="eastAsia" w:cs="Times New Roman"/>
                <w:color w:val="000000"/>
                <w:sz w:val="21"/>
                <w:szCs w:val="21"/>
              </w:rPr>
              <w:t>158.50</w:t>
            </w:r>
            <w:r>
              <w:rPr>
                <w:rFonts w:hint="eastAsia" w:ascii="仿宋_GB2312" w:hAnsi="等线"/>
                <w:color w:val="000000"/>
                <w:sz w:val="21"/>
                <w:szCs w:val="21"/>
              </w:rPr>
              <w:t>亩</w:t>
            </w:r>
          </w:p>
        </w:tc>
        <w:tc>
          <w:tcPr>
            <w:tcW w:w="1922" w:type="pct"/>
            <w:vAlign w:val="center"/>
          </w:tcPr>
          <w:p w14:paraId="69F10B00">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规划依托金坛地处两大都市圈的区位优势，打造企业总部基地，吸引周边大型企业在此设立总部或地区总部，逐步实现创新资源要素集聚，进而推动地区经济社会发展。</w:t>
            </w:r>
          </w:p>
        </w:tc>
        <w:tc>
          <w:tcPr>
            <w:tcW w:w="484" w:type="pct"/>
            <w:vAlign w:val="center"/>
          </w:tcPr>
          <w:p w14:paraId="5F3FEB6B">
            <w:pPr>
              <w:spacing w:line="240" w:lineRule="auto"/>
              <w:ind w:firstLine="0" w:firstLineChars="0"/>
              <w:jc w:val="center"/>
              <w:rPr>
                <w:sz w:val="21"/>
                <w:szCs w:val="21"/>
              </w:rPr>
            </w:pPr>
            <w:r>
              <w:rPr>
                <w:rFonts w:hint="eastAsia" w:ascii="仿宋_GB2312" w:hAnsi="等线"/>
                <w:color w:val="000000"/>
                <w:sz w:val="21"/>
                <w:szCs w:val="21"/>
              </w:rPr>
              <w:t>新建项目</w:t>
            </w:r>
          </w:p>
        </w:tc>
        <w:tc>
          <w:tcPr>
            <w:tcW w:w="503" w:type="pct"/>
            <w:vAlign w:val="center"/>
          </w:tcPr>
          <w:p w14:paraId="323761B5">
            <w:pPr>
              <w:spacing w:line="240" w:lineRule="auto"/>
              <w:ind w:firstLine="0" w:firstLineChars="0"/>
              <w:jc w:val="center"/>
              <w:rPr>
                <w:sz w:val="21"/>
                <w:szCs w:val="21"/>
              </w:rPr>
            </w:pPr>
            <w:r>
              <w:rPr>
                <w:rFonts w:hint="eastAsia" w:ascii="仿宋_GB2312" w:hAnsi="等线"/>
                <w:color w:val="000000"/>
                <w:sz w:val="21"/>
                <w:szCs w:val="21"/>
              </w:rPr>
              <w:t>不涉及</w:t>
            </w:r>
          </w:p>
        </w:tc>
        <w:tc>
          <w:tcPr>
            <w:tcW w:w="497" w:type="pct"/>
            <w:vAlign w:val="center"/>
          </w:tcPr>
          <w:p w14:paraId="11AC1D92">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57A8D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2DE37ABD">
            <w:pPr>
              <w:pStyle w:val="39"/>
              <w:numPr>
                <w:ilvl w:val="0"/>
                <w:numId w:val="11"/>
              </w:numPr>
              <w:spacing w:line="240" w:lineRule="auto"/>
              <w:ind w:firstLineChars="0"/>
              <w:jc w:val="center"/>
              <w:rPr>
                <w:sz w:val="21"/>
                <w:szCs w:val="21"/>
              </w:rPr>
            </w:pPr>
          </w:p>
        </w:tc>
        <w:tc>
          <w:tcPr>
            <w:tcW w:w="561" w:type="pct"/>
            <w:vAlign w:val="center"/>
          </w:tcPr>
          <w:p w14:paraId="0AE868D9">
            <w:pPr>
              <w:spacing w:line="240" w:lineRule="auto"/>
              <w:ind w:firstLine="0" w:firstLineChars="0"/>
              <w:jc w:val="center"/>
              <w:rPr>
                <w:sz w:val="21"/>
                <w:szCs w:val="21"/>
              </w:rPr>
            </w:pPr>
            <w:r>
              <w:rPr>
                <w:rFonts w:hint="eastAsia" w:ascii="仿宋_GB2312" w:hAnsi="等线"/>
                <w:color w:val="000000"/>
                <w:sz w:val="21"/>
                <w:szCs w:val="21"/>
              </w:rPr>
              <w:t>配套精品酒店</w:t>
            </w:r>
          </w:p>
        </w:tc>
        <w:tc>
          <w:tcPr>
            <w:tcW w:w="737" w:type="pct"/>
            <w:vAlign w:val="center"/>
          </w:tcPr>
          <w:p w14:paraId="110B0B8D">
            <w:pPr>
              <w:spacing w:line="240" w:lineRule="auto"/>
              <w:ind w:firstLine="0" w:firstLineChars="0"/>
              <w:jc w:val="center"/>
              <w:rPr>
                <w:sz w:val="21"/>
                <w:szCs w:val="21"/>
              </w:rPr>
            </w:pPr>
            <w:r>
              <w:rPr>
                <w:rFonts w:hint="eastAsia" w:ascii="仿宋_GB2312" w:hAnsi="等线"/>
                <w:color w:val="000000"/>
                <w:sz w:val="21"/>
                <w:szCs w:val="21"/>
              </w:rPr>
              <w:t>总面积</w:t>
            </w:r>
            <w:r>
              <w:rPr>
                <w:rFonts w:hint="eastAsia" w:cs="Times New Roman"/>
                <w:color w:val="000000"/>
                <w:sz w:val="21"/>
                <w:szCs w:val="21"/>
              </w:rPr>
              <w:t>50</w:t>
            </w:r>
            <w:r>
              <w:rPr>
                <w:rFonts w:hint="eastAsia" w:ascii="仿宋_GB2312" w:hAnsi="等线"/>
                <w:color w:val="000000"/>
                <w:sz w:val="21"/>
                <w:szCs w:val="21"/>
              </w:rPr>
              <w:t>亩</w:t>
            </w:r>
          </w:p>
        </w:tc>
        <w:tc>
          <w:tcPr>
            <w:tcW w:w="1922" w:type="pct"/>
            <w:vAlign w:val="center"/>
          </w:tcPr>
          <w:p w14:paraId="6FC6D4F8">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在茅山游客中心，规划建设的茅山高速服务区周边配套建设旅游服务酒店住宿</w:t>
            </w:r>
          </w:p>
        </w:tc>
        <w:tc>
          <w:tcPr>
            <w:tcW w:w="484" w:type="pct"/>
            <w:vAlign w:val="center"/>
          </w:tcPr>
          <w:p w14:paraId="39E52980">
            <w:pPr>
              <w:spacing w:line="240" w:lineRule="auto"/>
              <w:ind w:firstLine="0" w:firstLineChars="0"/>
              <w:jc w:val="center"/>
              <w:rPr>
                <w:sz w:val="21"/>
                <w:szCs w:val="21"/>
              </w:rPr>
            </w:pPr>
            <w:r>
              <w:rPr>
                <w:rFonts w:hint="eastAsia" w:ascii="仿宋_GB2312" w:hAnsi="等线"/>
                <w:color w:val="000000"/>
                <w:sz w:val="21"/>
                <w:szCs w:val="21"/>
              </w:rPr>
              <w:t>新建项目</w:t>
            </w:r>
          </w:p>
        </w:tc>
        <w:tc>
          <w:tcPr>
            <w:tcW w:w="503" w:type="pct"/>
            <w:vAlign w:val="center"/>
          </w:tcPr>
          <w:p w14:paraId="2775F3A3">
            <w:pPr>
              <w:spacing w:line="240" w:lineRule="auto"/>
              <w:ind w:firstLine="0" w:firstLineChars="0"/>
              <w:jc w:val="center"/>
              <w:rPr>
                <w:sz w:val="21"/>
                <w:szCs w:val="21"/>
              </w:rPr>
            </w:pPr>
            <w:r>
              <w:rPr>
                <w:rFonts w:hint="eastAsia" w:ascii="仿宋_GB2312" w:hAnsi="等线"/>
                <w:color w:val="000000"/>
                <w:sz w:val="21"/>
                <w:szCs w:val="21"/>
              </w:rPr>
              <w:t>不涉及</w:t>
            </w:r>
          </w:p>
        </w:tc>
        <w:tc>
          <w:tcPr>
            <w:tcW w:w="497" w:type="pct"/>
            <w:vAlign w:val="center"/>
          </w:tcPr>
          <w:p w14:paraId="73106969">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477CF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2" w:hRule="atLeast"/>
        </w:trPr>
        <w:tc>
          <w:tcPr>
            <w:tcW w:w="294" w:type="pct"/>
            <w:vAlign w:val="center"/>
          </w:tcPr>
          <w:p w14:paraId="04A62769">
            <w:pPr>
              <w:pStyle w:val="39"/>
              <w:numPr>
                <w:ilvl w:val="0"/>
                <w:numId w:val="11"/>
              </w:numPr>
              <w:spacing w:line="240" w:lineRule="auto"/>
              <w:ind w:firstLineChars="0"/>
              <w:jc w:val="center"/>
              <w:rPr>
                <w:sz w:val="21"/>
                <w:szCs w:val="21"/>
              </w:rPr>
            </w:pPr>
          </w:p>
        </w:tc>
        <w:tc>
          <w:tcPr>
            <w:tcW w:w="561" w:type="pct"/>
            <w:vAlign w:val="center"/>
          </w:tcPr>
          <w:p w14:paraId="75429E97">
            <w:pPr>
              <w:spacing w:line="240" w:lineRule="auto"/>
              <w:ind w:firstLine="0" w:firstLineChars="0"/>
              <w:jc w:val="center"/>
              <w:rPr>
                <w:sz w:val="21"/>
                <w:szCs w:val="21"/>
              </w:rPr>
            </w:pPr>
            <w:r>
              <w:rPr>
                <w:rFonts w:hint="eastAsia" w:ascii="仿宋_GB2312" w:hAnsi="等线"/>
                <w:color w:val="000000"/>
                <w:sz w:val="21"/>
                <w:szCs w:val="21"/>
              </w:rPr>
              <w:t>大地之野自然学校</w:t>
            </w:r>
          </w:p>
        </w:tc>
        <w:tc>
          <w:tcPr>
            <w:tcW w:w="737" w:type="pct"/>
            <w:vAlign w:val="center"/>
          </w:tcPr>
          <w:p w14:paraId="17CAF095">
            <w:pPr>
              <w:spacing w:line="240" w:lineRule="auto"/>
              <w:ind w:firstLine="0" w:firstLineChars="0"/>
              <w:jc w:val="center"/>
              <w:rPr>
                <w:sz w:val="21"/>
                <w:szCs w:val="21"/>
              </w:rPr>
            </w:pPr>
            <w:r>
              <w:rPr>
                <w:rFonts w:hint="eastAsia" w:ascii="仿宋_GB2312" w:hAnsi="等线"/>
                <w:color w:val="000000"/>
                <w:sz w:val="21"/>
                <w:szCs w:val="21"/>
              </w:rPr>
              <w:t>占地面积约</w:t>
            </w:r>
            <w:r>
              <w:rPr>
                <w:rFonts w:hint="eastAsia" w:cs="Times New Roman"/>
                <w:color w:val="000000"/>
                <w:sz w:val="21"/>
                <w:szCs w:val="21"/>
              </w:rPr>
              <w:t>69</w:t>
            </w:r>
            <w:r>
              <w:rPr>
                <w:rFonts w:hint="eastAsia" w:ascii="仿宋_GB2312" w:hAnsi="等线"/>
                <w:color w:val="000000"/>
                <w:sz w:val="21"/>
                <w:szCs w:val="21"/>
              </w:rPr>
              <w:t>亩，建设用地</w:t>
            </w:r>
            <w:r>
              <w:rPr>
                <w:rFonts w:hint="eastAsia" w:cs="Times New Roman"/>
                <w:color w:val="000000"/>
                <w:sz w:val="21"/>
                <w:szCs w:val="21"/>
              </w:rPr>
              <w:t>15.3</w:t>
            </w:r>
            <w:r>
              <w:rPr>
                <w:rFonts w:hint="eastAsia" w:ascii="仿宋_GB2312" w:hAnsi="等线"/>
                <w:color w:val="000000"/>
                <w:sz w:val="21"/>
                <w:szCs w:val="21"/>
              </w:rPr>
              <w:t>亩</w:t>
            </w:r>
          </w:p>
        </w:tc>
        <w:tc>
          <w:tcPr>
            <w:tcW w:w="1922" w:type="pct"/>
            <w:vAlign w:val="center"/>
          </w:tcPr>
          <w:p w14:paraId="5F7C42FE">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严守生态保护要求，以“森林是最好的教室，自然是最好的老师”为理念，通过场景体验重塑“人与自然的联系”，传承敬畏自然、尊重自然的人生哲学，打造营地板块、森林探索（自然观测）、森林探索（丛林探险）版块</w:t>
            </w:r>
          </w:p>
        </w:tc>
        <w:tc>
          <w:tcPr>
            <w:tcW w:w="484" w:type="pct"/>
            <w:vAlign w:val="center"/>
          </w:tcPr>
          <w:p w14:paraId="3D22F353">
            <w:pPr>
              <w:spacing w:line="240" w:lineRule="auto"/>
              <w:ind w:firstLine="0" w:firstLineChars="0"/>
              <w:jc w:val="center"/>
              <w:rPr>
                <w:sz w:val="21"/>
                <w:szCs w:val="21"/>
              </w:rPr>
            </w:pPr>
            <w:r>
              <w:rPr>
                <w:rFonts w:hint="eastAsia" w:ascii="仿宋_GB2312" w:hAnsi="等线"/>
                <w:color w:val="000000"/>
                <w:sz w:val="21"/>
                <w:szCs w:val="21"/>
              </w:rPr>
              <w:t>新建项目</w:t>
            </w:r>
          </w:p>
        </w:tc>
        <w:tc>
          <w:tcPr>
            <w:tcW w:w="503" w:type="pct"/>
            <w:vAlign w:val="center"/>
          </w:tcPr>
          <w:p w14:paraId="00DD83F5">
            <w:pPr>
              <w:spacing w:line="240" w:lineRule="auto"/>
              <w:ind w:firstLine="0" w:firstLineChars="0"/>
              <w:jc w:val="center"/>
              <w:rPr>
                <w:sz w:val="21"/>
                <w:szCs w:val="21"/>
              </w:rPr>
            </w:pPr>
            <w:r>
              <w:rPr>
                <w:rFonts w:hint="eastAsia" w:ascii="仿宋_GB2312" w:hAnsi="等线"/>
                <w:color w:val="000000"/>
                <w:sz w:val="21"/>
                <w:szCs w:val="21"/>
              </w:rPr>
              <w:t>生态空间管控区（部分涉及）</w:t>
            </w:r>
          </w:p>
        </w:tc>
        <w:tc>
          <w:tcPr>
            <w:tcW w:w="497" w:type="pct"/>
            <w:vAlign w:val="center"/>
          </w:tcPr>
          <w:p w14:paraId="4D1C0873">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方山（金坛）森林公园</w:t>
            </w:r>
          </w:p>
        </w:tc>
      </w:tr>
      <w:tr w14:paraId="686CB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trPr>
        <w:tc>
          <w:tcPr>
            <w:tcW w:w="294" w:type="pct"/>
            <w:vAlign w:val="center"/>
          </w:tcPr>
          <w:p w14:paraId="1F4308BF">
            <w:pPr>
              <w:pStyle w:val="39"/>
              <w:numPr>
                <w:ilvl w:val="0"/>
                <w:numId w:val="11"/>
              </w:numPr>
              <w:spacing w:line="240" w:lineRule="auto"/>
              <w:ind w:firstLineChars="0"/>
              <w:jc w:val="center"/>
              <w:rPr>
                <w:sz w:val="21"/>
                <w:szCs w:val="21"/>
              </w:rPr>
            </w:pPr>
          </w:p>
        </w:tc>
        <w:tc>
          <w:tcPr>
            <w:tcW w:w="561" w:type="pct"/>
            <w:vAlign w:val="center"/>
          </w:tcPr>
          <w:p w14:paraId="69B34A12">
            <w:pPr>
              <w:spacing w:line="240" w:lineRule="auto"/>
              <w:ind w:firstLine="0" w:firstLineChars="0"/>
              <w:jc w:val="center"/>
              <w:rPr>
                <w:sz w:val="21"/>
                <w:szCs w:val="21"/>
              </w:rPr>
            </w:pPr>
            <w:r>
              <w:rPr>
                <w:rFonts w:hint="eastAsia" w:ascii="仿宋_GB2312" w:hAnsi="等线"/>
                <w:color w:val="000000"/>
                <w:sz w:val="21"/>
                <w:szCs w:val="21"/>
              </w:rPr>
              <w:t>方山房车营地</w:t>
            </w:r>
          </w:p>
        </w:tc>
        <w:tc>
          <w:tcPr>
            <w:tcW w:w="737" w:type="pct"/>
            <w:vAlign w:val="center"/>
          </w:tcPr>
          <w:p w14:paraId="1E2D87B5">
            <w:pPr>
              <w:spacing w:line="240" w:lineRule="auto"/>
              <w:ind w:firstLine="0" w:firstLineChars="0"/>
              <w:jc w:val="center"/>
              <w:rPr>
                <w:sz w:val="21"/>
                <w:szCs w:val="21"/>
              </w:rPr>
            </w:pPr>
            <w:r>
              <w:rPr>
                <w:rFonts w:hint="eastAsia" w:ascii="仿宋_GB2312" w:hAnsi="等线"/>
                <w:color w:val="000000"/>
                <w:sz w:val="21"/>
                <w:szCs w:val="21"/>
              </w:rPr>
              <w:t>占地面积约</w:t>
            </w:r>
            <w:r>
              <w:rPr>
                <w:rFonts w:hint="eastAsia" w:cs="Times New Roman"/>
                <w:color w:val="000000"/>
                <w:sz w:val="21"/>
                <w:szCs w:val="21"/>
              </w:rPr>
              <w:t>54.9</w:t>
            </w:r>
            <w:r>
              <w:rPr>
                <w:rFonts w:hint="eastAsia" w:ascii="仿宋_GB2312" w:hAnsi="等线"/>
                <w:color w:val="000000"/>
                <w:sz w:val="21"/>
                <w:szCs w:val="21"/>
              </w:rPr>
              <w:t>亩，建设用地</w:t>
            </w:r>
            <w:r>
              <w:rPr>
                <w:rFonts w:hint="eastAsia" w:cs="Times New Roman"/>
                <w:color w:val="000000"/>
                <w:sz w:val="21"/>
                <w:szCs w:val="21"/>
              </w:rPr>
              <w:t>54.9</w:t>
            </w:r>
            <w:r>
              <w:rPr>
                <w:rFonts w:hint="eastAsia" w:ascii="仿宋_GB2312" w:hAnsi="等线"/>
                <w:color w:val="000000"/>
                <w:sz w:val="21"/>
                <w:szCs w:val="21"/>
              </w:rPr>
              <w:t>亩</w:t>
            </w:r>
          </w:p>
        </w:tc>
        <w:tc>
          <w:tcPr>
            <w:tcW w:w="1922" w:type="pct"/>
            <w:vAlign w:val="center"/>
          </w:tcPr>
          <w:p w14:paraId="53BBE532">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利用水库西北侧用地，依托紧邻旅游公路环线的区位优势与山水环抱的环境优势，按四星级汽车营地标准配备相应设施</w:t>
            </w:r>
          </w:p>
        </w:tc>
        <w:tc>
          <w:tcPr>
            <w:tcW w:w="484" w:type="pct"/>
            <w:vAlign w:val="center"/>
          </w:tcPr>
          <w:p w14:paraId="6A54A313">
            <w:pPr>
              <w:spacing w:line="240" w:lineRule="auto"/>
              <w:ind w:firstLine="0" w:firstLineChars="0"/>
              <w:jc w:val="center"/>
              <w:rPr>
                <w:sz w:val="21"/>
                <w:szCs w:val="21"/>
              </w:rPr>
            </w:pPr>
            <w:r>
              <w:rPr>
                <w:rFonts w:hint="eastAsia" w:ascii="仿宋_GB2312" w:hAnsi="等线"/>
                <w:color w:val="000000"/>
                <w:sz w:val="21"/>
                <w:szCs w:val="21"/>
              </w:rPr>
              <w:t>新建项目</w:t>
            </w:r>
          </w:p>
        </w:tc>
        <w:tc>
          <w:tcPr>
            <w:tcW w:w="503" w:type="pct"/>
            <w:vAlign w:val="center"/>
          </w:tcPr>
          <w:p w14:paraId="4C011008">
            <w:pPr>
              <w:spacing w:line="240" w:lineRule="auto"/>
              <w:ind w:firstLine="0" w:firstLineChars="0"/>
              <w:jc w:val="center"/>
              <w:rPr>
                <w:sz w:val="21"/>
                <w:szCs w:val="21"/>
              </w:rPr>
            </w:pPr>
            <w:r>
              <w:rPr>
                <w:rFonts w:hint="eastAsia" w:ascii="仿宋_GB2312" w:hAnsi="等线"/>
                <w:color w:val="000000"/>
                <w:sz w:val="21"/>
                <w:szCs w:val="21"/>
              </w:rPr>
              <w:t>不涉及</w:t>
            </w:r>
          </w:p>
        </w:tc>
        <w:tc>
          <w:tcPr>
            <w:tcW w:w="497" w:type="pct"/>
            <w:vAlign w:val="center"/>
          </w:tcPr>
          <w:p w14:paraId="5FD0CD9C">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r w14:paraId="4136E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2DBC53ED">
            <w:pPr>
              <w:pStyle w:val="39"/>
              <w:numPr>
                <w:ilvl w:val="0"/>
                <w:numId w:val="11"/>
              </w:numPr>
              <w:spacing w:line="240" w:lineRule="auto"/>
              <w:ind w:firstLineChars="0"/>
              <w:jc w:val="center"/>
              <w:rPr>
                <w:sz w:val="21"/>
                <w:szCs w:val="21"/>
              </w:rPr>
            </w:pPr>
          </w:p>
        </w:tc>
        <w:tc>
          <w:tcPr>
            <w:tcW w:w="561" w:type="pct"/>
            <w:vAlign w:val="center"/>
          </w:tcPr>
          <w:p w14:paraId="2CEC7A60">
            <w:pPr>
              <w:spacing w:line="240" w:lineRule="auto"/>
              <w:ind w:firstLine="0" w:firstLineChars="0"/>
              <w:jc w:val="center"/>
              <w:rPr>
                <w:sz w:val="21"/>
                <w:szCs w:val="21"/>
              </w:rPr>
            </w:pPr>
            <w:r>
              <w:rPr>
                <w:rFonts w:hint="eastAsia" w:ascii="仿宋_GB2312" w:hAnsi="等线"/>
                <w:color w:val="000000"/>
                <w:sz w:val="21"/>
                <w:szCs w:val="21"/>
              </w:rPr>
              <w:t>春风一杯酒客栈</w:t>
            </w:r>
          </w:p>
        </w:tc>
        <w:tc>
          <w:tcPr>
            <w:tcW w:w="737" w:type="pct"/>
            <w:vAlign w:val="center"/>
          </w:tcPr>
          <w:p w14:paraId="071F6F19">
            <w:pPr>
              <w:spacing w:line="240" w:lineRule="auto"/>
              <w:ind w:firstLine="0" w:firstLineChars="0"/>
              <w:jc w:val="center"/>
              <w:rPr>
                <w:sz w:val="21"/>
                <w:szCs w:val="21"/>
              </w:rPr>
            </w:pPr>
            <w:r>
              <w:rPr>
                <w:rFonts w:hint="eastAsia" w:ascii="仿宋_GB2312" w:hAnsi="等线"/>
                <w:color w:val="000000"/>
                <w:sz w:val="21"/>
                <w:szCs w:val="21"/>
              </w:rPr>
              <w:t>占地面积约</w:t>
            </w:r>
            <w:r>
              <w:rPr>
                <w:rFonts w:hint="eastAsia" w:cs="Times New Roman"/>
                <w:color w:val="000000"/>
                <w:sz w:val="21"/>
                <w:szCs w:val="21"/>
              </w:rPr>
              <w:t>152.4</w:t>
            </w:r>
            <w:r>
              <w:rPr>
                <w:rFonts w:hint="eastAsia" w:ascii="仿宋_GB2312" w:hAnsi="等线"/>
                <w:color w:val="000000"/>
                <w:sz w:val="21"/>
                <w:szCs w:val="21"/>
              </w:rPr>
              <w:t>亩，建设用地</w:t>
            </w:r>
            <w:r>
              <w:rPr>
                <w:rFonts w:hint="eastAsia" w:cs="Times New Roman"/>
                <w:color w:val="000000"/>
                <w:sz w:val="21"/>
                <w:szCs w:val="21"/>
              </w:rPr>
              <w:t>59.6</w:t>
            </w:r>
            <w:r>
              <w:rPr>
                <w:rFonts w:hint="eastAsia" w:ascii="仿宋_GB2312" w:hAnsi="等线"/>
                <w:color w:val="000000"/>
                <w:sz w:val="21"/>
                <w:szCs w:val="21"/>
              </w:rPr>
              <w:t>亩</w:t>
            </w:r>
          </w:p>
        </w:tc>
        <w:tc>
          <w:tcPr>
            <w:tcW w:w="1922" w:type="pct"/>
            <w:vAlign w:val="center"/>
          </w:tcPr>
          <w:p w14:paraId="5BF5CABA">
            <w:pPr>
              <w:spacing w:line="240" w:lineRule="auto"/>
              <w:ind w:firstLine="0" w:firstLineChars="0"/>
              <w:jc w:val="center"/>
              <w:rPr>
                <w:rFonts w:hint="eastAsia" w:ascii="仿宋_GB2312" w:hAnsi="等线"/>
                <w:sz w:val="21"/>
                <w:szCs w:val="21"/>
              </w:rPr>
            </w:pPr>
            <w:r>
              <w:rPr>
                <w:rFonts w:hint="eastAsia" w:ascii="仿宋_GB2312" w:hAnsi="等线"/>
                <w:sz w:val="21"/>
                <w:szCs w:val="21"/>
              </w:rPr>
              <w:t>依托优越的外部环境，打造高端主题酒店。以“桃李春风一杯酒”的意境对酒店及周边景观进行一体化设计</w:t>
            </w:r>
          </w:p>
        </w:tc>
        <w:tc>
          <w:tcPr>
            <w:tcW w:w="484" w:type="pct"/>
            <w:vAlign w:val="center"/>
          </w:tcPr>
          <w:p w14:paraId="7F6F27B2">
            <w:pPr>
              <w:spacing w:line="240" w:lineRule="auto"/>
              <w:ind w:firstLine="0" w:firstLineChars="0"/>
              <w:jc w:val="center"/>
              <w:rPr>
                <w:sz w:val="21"/>
                <w:szCs w:val="21"/>
              </w:rPr>
            </w:pPr>
            <w:r>
              <w:rPr>
                <w:rFonts w:hint="eastAsia" w:ascii="仿宋_GB2312" w:hAnsi="等线"/>
                <w:sz w:val="21"/>
                <w:szCs w:val="21"/>
              </w:rPr>
              <w:t>新建项目</w:t>
            </w:r>
          </w:p>
        </w:tc>
        <w:tc>
          <w:tcPr>
            <w:tcW w:w="503" w:type="pct"/>
            <w:vAlign w:val="center"/>
          </w:tcPr>
          <w:p w14:paraId="6652C79B">
            <w:pPr>
              <w:spacing w:line="240" w:lineRule="auto"/>
              <w:ind w:firstLine="0" w:firstLineChars="0"/>
              <w:jc w:val="center"/>
              <w:rPr>
                <w:sz w:val="21"/>
                <w:szCs w:val="21"/>
              </w:rPr>
            </w:pPr>
            <w:r>
              <w:rPr>
                <w:rFonts w:hint="eastAsia" w:ascii="仿宋_GB2312" w:hAnsi="等线"/>
                <w:color w:val="000000"/>
                <w:sz w:val="21"/>
                <w:szCs w:val="21"/>
              </w:rPr>
              <w:t>生态空间管控区</w:t>
            </w:r>
          </w:p>
        </w:tc>
        <w:tc>
          <w:tcPr>
            <w:tcW w:w="497" w:type="pct"/>
            <w:vAlign w:val="center"/>
          </w:tcPr>
          <w:p w14:paraId="10C06D89">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方山（金坛）森林公园</w:t>
            </w:r>
          </w:p>
        </w:tc>
      </w:tr>
      <w:tr w14:paraId="6286B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5" w:hRule="atLeast"/>
        </w:trPr>
        <w:tc>
          <w:tcPr>
            <w:tcW w:w="294" w:type="pct"/>
            <w:vAlign w:val="center"/>
          </w:tcPr>
          <w:p w14:paraId="7347BAB7">
            <w:pPr>
              <w:pStyle w:val="39"/>
              <w:numPr>
                <w:ilvl w:val="0"/>
                <w:numId w:val="11"/>
              </w:numPr>
              <w:spacing w:line="240" w:lineRule="auto"/>
              <w:ind w:firstLineChars="0"/>
              <w:jc w:val="center"/>
              <w:rPr>
                <w:sz w:val="21"/>
                <w:szCs w:val="21"/>
              </w:rPr>
            </w:pPr>
          </w:p>
        </w:tc>
        <w:tc>
          <w:tcPr>
            <w:tcW w:w="561" w:type="pct"/>
            <w:vAlign w:val="center"/>
          </w:tcPr>
          <w:p w14:paraId="21D2EE47">
            <w:pPr>
              <w:spacing w:line="240" w:lineRule="auto"/>
              <w:ind w:firstLine="0" w:firstLineChars="0"/>
              <w:jc w:val="center"/>
              <w:rPr>
                <w:sz w:val="21"/>
                <w:szCs w:val="21"/>
              </w:rPr>
            </w:pPr>
            <w:r>
              <w:rPr>
                <w:rFonts w:hint="eastAsia" w:ascii="仿宋_GB2312" w:hAnsi="等线"/>
                <w:color w:val="000000"/>
                <w:sz w:val="21"/>
                <w:szCs w:val="21"/>
              </w:rPr>
              <w:t>五斗米艺术谷</w:t>
            </w:r>
          </w:p>
        </w:tc>
        <w:tc>
          <w:tcPr>
            <w:tcW w:w="737" w:type="pct"/>
            <w:vAlign w:val="center"/>
          </w:tcPr>
          <w:p w14:paraId="340BCD92">
            <w:pPr>
              <w:spacing w:line="240" w:lineRule="auto"/>
              <w:ind w:firstLine="0" w:firstLineChars="0"/>
              <w:jc w:val="center"/>
              <w:rPr>
                <w:sz w:val="21"/>
                <w:szCs w:val="21"/>
              </w:rPr>
            </w:pPr>
            <w:r>
              <w:rPr>
                <w:rFonts w:hint="eastAsia" w:ascii="仿宋_GB2312" w:hAnsi="等线"/>
                <w:color w:val="000000"/>
                <w:sz w:val="21"/>
                <w:szCs w:val="21"/>
              </w:rPr>
              <w:t>占地面积约</w:t>
            </w:r>
            <w:r>
              <w:rPr>
                <w:rFonts w:hint="eastAsia" w:cs="Times New Roman"/>
                <w:color w:val="000000"/>
                <w:sz w:val="21"/>
                <w:szCs w:val="21"/>
              </w:rPr>
              <w:t>5850</w:t>
            </w:r>
            <w:r>
              <w:rPr>
                <w:rFonts w:hint="eastAsia" w:ascii="仿宋_GB2312" w:hAnsi="等线"/>
                <w:color w:val="000000"/>
                <w:sz w:val="21"/>
                <w:szCs w:val="21"/>
              </w:rPr>
              <w:t>亩，建设用地</w:t>
            </w:r>
            <w:r>
              <w:rPr>
                <w:rFonts w:hint="eastAsia" w:cs="Times New Roman"/>
                <w:color w:val="000000"/>
                <w:sz w:val="21"/>
                <w:szCs w:val="21"/>
              </w:rPr>
              <w:t>166</w:t>
            </w:r>
            <w:r>
              <w:rPr>
                <w:rFonts w:hint="eastAsia" w:ascii="仿宋_GB2312" w:hAnsi="等线"/>
                <w:color w:val="000000"/>
                <w:sz w:val="21"/>
                <w:szCs w:val="21"/>
              </w:rPr>
              <w:t>亩</w:t>
            </w:r>
          </w:p>
        </w:tc>
        <w:tc>
          <w:tcPr>
            <w:tcW w:w="1922" w:type="pct"/>
            <w:vAlign w:val="center"/>
          </w:tcPr>
          <w:p w14:paraId="43DA2139">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以“五斗米”为名，对应御禾山庄、冠台农业、海棠园、翠竹山庄、紫薇山庄五大闲置农庄，同时也蕴含艺术家不为五斗米折腰的风骨、早期道教五斗米教等文化内涵。未来五大农庄可围绕“一庄一斗米”分主题打造。</w:t>
            </w:r>
          </w:p>
        </w:tc>
        <w:tc>
          <w:tcPr>
            <w:tcW w:w="484" w:type="pct"/>
            <w:vAlign w:val="center"/>
          </w:tcPr>
          <w:p w14:paraId="2239509D">
            <w:pPr>
              <w:spacing w:line="240" w:lineRule="auto"/>
              <w:ind w:firstLine="0" w:firstLineChars="0"/>
              <w:jc w:val="center"/>
              <w:rPr>
                <w:sz w:val="21"/>
                <w:szCs w:val="21"/>
              </w:rPr>
            </w:pPr>
            <w:r>
              <w:rPr>
                <w:rFonts w:hint="eastAsia" w:ascii="仿宋_GB2312" w:hAnsi="等线"/>
                <w:color w:val="000000"/>
                <w:sz w:val="21"/>
                <w:szCs w:val="21"/>
              </w:rPr>
              <w:t>现有农庄提升改造</w:t>
            </w:r>
          </w:p>
        </w:tc>
        <w:tc>
          <w:tcPr>
            <w:tcW w:w="503" w:type="pct"/>
            <w:vAlign w:val="center"/>
          </w:tcPr>
          <w:p w14:paraId="0BD666C3">
            <w:pPr>
              <w:spacing w:line="240" w:lineRule="auto"/>
              <w:ind w:firstLine="0" w:firstLineChars="0"/>
              <w:jc w:val="center"/>
              <w:rPr>
                <w:sz w:val="21"/>
                <w:szCs w:val="21"/>
              </w:rPr>
            </w:pPr>
            <w:r>
              <w:rPr>
                <w:rFonts w:hint="eastAsia" w:ascii="仿宋_GB2312" w:hAnsi="等线"/>
                <w:color w:val="000000"/>
                <w:sz w:val="21"/>
                <w:szCs w:val="21"/>
              </w:rPr>
              <w:t>生态空间管控区</w:t>
            </w:r>
          </w:p>
        </w:tc>
        <w:tc>
          <w:tcPr>
            <w:tcW w:w="497" w:type="pct"/>
            <w:vAlign w:val="center"/>
          </w:tcPr>
          <w:p w14:paraId="3B310482">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向阳水库水源涵养区</w:t>
            </w:r>
          </w:p>
        </w:tc>
      </w:tr>
      <w:tr w14:paraId="3DA84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6" w:hRule="atLeast"/>
        </w:trPr>
        <w:tc>
          <w:tcPr>
            <w:tcW w:w="294" w:type="pct"/>
            <w:vAlign w:val="center"/>
          </w:tcPr>
          <w:p w14:paraId="64EE249A">
            <w:pPr>
              <w:pStyle w:val="39"/>
              <w:numPr>
                <w:ilvl w:val="0"/>
                <w:numId w:val="11"/>
              </w:numPr>
              <w:spacing w:line="240" w:lineRule="auto"/>
              <w:ind w:firstLineChars="0"/>
              <w:jc w:val="center"/>
              <w:rPr>
                <w:sz w:val="21"/>
                <w:szCs w:val="21"/>
              </w:rPr>
            </w:pPr>
          </w:p>
        </w:tc>
        <w:tc>
          <w:tcPr>
            <w:tcW w:w="561" w:type="pct"/>
            <w:vAlign w:val="center"/>
          </w:tcPr>
          <w:p w14:paraId="1EFF02C3">
            <w:pPr>
              <w:spacing w:line="240" w:lineRule="auto"/>
              <w:ind w:firstLine="0" w:firstLineChars="0"/>
              <w:jc w:val="center"/>
              <w:rPr>
                <w:sz w:val="21"/>
                <w:szCs w:val="21"/>
              </w:rPr>
            </w:pPr>
            <w:r>
              <w:rPr>
                <w:rFonts w:hint="eastAsia" w:ascii="仿宋_GB2312" w:hAnsi="等线"/>
                <w:color w:val="000000"/>
                <w:sz w:val="21"/>
                <w:szCs w:val="21"/>
              </w:rPr>
              <w:t>马术俱乐部</w:t>
            </w:r>
          </w:p>
        </w:tc>
        <w:tc>
          <w:tcPr>
            <w:tcW w:w="737" w:type="pct"/>
            <w:vAlign w:val="center"/>
          </w:tcPr>
          <w:p w14:paraId="3819AC03">
            <w:pPr>
              <w:spacing w:line="240" w:lineRule="auto"/>
              <w:ind w:firstLine="0" w:firstLineChars="0"/>
              <w:jc w:val="center"/>
              <w:rPr>
                <w:sz w:val="21"/>
                <w:szCs w:val="21"/>
              </w:rPr>
            </w:pPr>
            <w:r>
              <w:rPr>
                <w:rFonts w:hint="eastAsia" w:ascii="仿宋_GB2312" w:hAnsi="等线"/>
                <w:color w:val="000000"/>
                <w:sz w:val="21"/>
                <w:szCs w:val="21"/>
              </w:rPr>
              <w:t>占地</w:t>
            </w:r>
            <w:r>
              <w:rPr>
                <w:rFonts w:hint="eastAsia" w:cs="Times New Roman"/>
                <w:color w:val="000000"/>
                <w:sz w:val="21"/>
                <w:szCs w:val="21"/>
              </w:rPr>
              <w:t>423</w:t>
            </w:r>
            <w:r>
              <w:rPr>
                <w:rFonts w:hint="eastAsia" w:ascii="仿宋_GB2312" w:hAnsi="等线"/>
                <w:color w:val="000000"/>
                <w:sz w:val="21"/>
                <w:szCs w:val="21"/>
              </w:rPr>
              <w:t>亩，建设用地</w:t>
            </w:r>
            <w:r>
              <w:rPr>
                <w:rFonts w:hint="eastAsia" w:cs="Times New Roman"/>
                <w:color w:val="000000"/>
                <w:sz w:val="21"/>
                <w:szCs w:val="21"/>
              </w:rPr>
              <w:t>55.3</w:t>
            </w:r>
            <w:r>
              <w:rPr>
                <w:rFonts w:hint="eastAsia" w:ascii="仿宋_GB2312" w:hAnsi="等线"/>
                <w:color w:val="000000"/>
                <w:sz w:val="21"/>
                <w:szCs w:val="21"/>
              </w:rPr>
              <w:t>亩</w:t>
            </w:r>
          </w:p>
        </w:tc>
        <w:tc>
          <w:tcPr>
            <w:tcW w:w="1922" w:type="pct"/>
            <w:vAlign w:val="center"/>
          </w:tcPr>
          <w:p w14:paraId="4BE8B945">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江南孔雀园为闲置农庄，建有孔雀养殖区、商务中心、高档宾馆楼、江南马会等设施。规划对其提档升级，全面提升园区景观环境，营造休闲度假氛围。将商务中心改造为会议中心；高档宾馆楼改造为马术文化博览主题度假酒店；依托江南马会，聘请专业团队，开展马术表演、马术体验、马术培训活动；建设马术主题餐厅</w:t>
            </w:r>
          </w:p>
        </w:tc>
        <w:tc>
          <w:tcPr>
            <w:tcW w:w="484" w:type="pct"/>
            <w:vAlign w:val="center"/>
          </w:tcPr>
          <w:p w14:paraId="3A185F2A">
            <w:pPr>
              <w:spacing w:line="240" w:lineRule="auto"/>
              <w:ind w:firstLine="0" w:firstLineChars="0"/>
              <w:jc w:val="center"/>
              <w:rPr>
                <w:sz w:val="21"/>
                <w:szCs w:val="21"/>
              </w:rPr>
            </w:pPr>
            <w:r>
              <w:rPr>
                <w:rFonts w:hint="eastAsia" w:ascii="仿宋_GB2312" w:hAnsi="等线"/>
                <w:color w:val="000000"/>
                <w:sz w:val="21"/>
                <w:szCs w:val="21"/>
              </w:rPr>
              <w:t>现有建筑升级改造</w:t>
            </w:r>
          </w:p>
        </w:tc>
        <w:tc>
          <w:tcPr>
            <w:tcW w:w="503" w:type="pct"/>
            <w:vAlign w:val="center"/>
          </w:tcPr>
          <w:p w14:paraId="54079297">
            <w:pPr>
              <w:spacing w:line="240" w:lineRule="auto"/>
              <w:ind w:firstLine="0" w:firstLineChars="0"/>
              <w:jc w:val="center"/>
              <w:rPr>
                <w:sz w:val="21"/>
                <w:szCs w:val="21"/>
              </w:rPr>
            </w:pPr>
            <w:r>
              <w:rPr>
                <w:rFonts w:hint="eastAsia" w:ascii="仿宋_GB2312" w:hAnsi="等线"/>
                <w:color w:val="000000"/>
                <w:sz w:val="21"/>
                <w:szCs w:val="21"/>
              </w:rPr>
              <w:t>生态空间管控区（部分涉及）</w:t>
            </w:r>
          </w:p>
        </w:tc>
        <w:tc>
          <w:tcPr>
            <w:tcW w:w="497" w:type="pct"/>
            <w:vAlign w:val="center"/>
          </w:tcPr>
          <w:p w14:paraId="418F9DDF">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向阳水库水源涵养区</w:t>
            </w:r>
          </w:p>
        </w:tc>
      </w:tr>
      <w:tr w14:paraId="539E4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7BB421E4">
            <w:pPr>
              <w:pStyle w:val="39"/>
              <w:numPr>
                <w:ilvl w:val="0"/>
                <w:numId w:val="11"/>
              </w:numPr>
              <w:spacing w:line="240" w:lineRule="auto"/>
              <w:ind w:firstLineChars="0"/>
              <w:jc w:val="center"/>
              <w:rPr>
                <w:sz w:val="21"/>
                <w:szCs w:val="21"/>
              </w:rPr>
            </w:pPr>
          </w:p>
        </w:tc>
        <w:tc>
          <w:tcPr>
            <w:tcW w:w="561" w:type="pct"/>
            <w:vAlign w:val="center"/>
          </w:tcPr>
          <w:p w14:paraId="48852735">
            <w:pPr>
              <w:spacing w:line="240" w:lineRule="auto"/>
              <w:ind w:firstLine="0" w:firstLineChars="0"/>
              <w:jc w:val="center"/>
              <w:rPr>
                <w:sz w:val="21"/>
                <w:szCs w:val="21"/>
              </w:rPr>
            </w:pPr>
            <w:r>
              <w:rPr>
                <w:rFonts w:hint="eastAsia" w:ascii="仿宋_GB2312" w:hAnsi="等线"/>
                <w:color w:val="000000"/>
                <w:sz w:val="21"/>
                <w:szCs w:val="21"/>
              </w:rPr>
              <w:t>三生风味</w:t>
            </w:r>
          </w:p>
        </w:tc>
        <w:tc>
          <w:tcPr>
            <w:tcW w:w="737" w:type="pct"/>
            <w:vAlign w:val="center"/>
          </w:tcPr>
          <w:p w14:paraId="373DEE00">
            <w:pPr>
              <w:spacing w:line="240" w:lineRule="auto"/>
              <w:ind w:firstLine="0" w:firstLineChars="0"/>
              <w:jc w:val="center"/>
              <w:rPr>
                <w:sz w:val="21"/>
                <w:szCs w:val="21"/>
              </w:rPr>
            </w:pPr>
            <w:r>
              <w:rPr>
                <w:rFonts w:hint="eastAsia" w:ascii="仿宋_GB2312" w:hAnsi="等线"/>
                <w:color w:val="000000"/>
                <w:sz w:val="21"/>
                <w:szCs w:val="21"/>
              </w:rPr>
              <w:t>占地面积约</w:t>
            </w:r>
            <w:r>
              <w:rPr>
                <w:rFonts w:hint="eastAsia" w:cs="Times New Roman"/>
                <w:color w:val="000000"/>
                <w:sz w:val="21"/>
                <w:szCs w:val="21"/>
              </w:rPr>
              <w:t>65.4</w:t>
            </w:r>
            <w:r>
              <w:rPr>
                <w:rFonts w:hint="eastAsia" w:ascii="仿宋_GB2312" w:hAnsi="等线"/>
                <w:color w:val="000000"/>
                <w:sz w:val="21"/>
                <w:szCs w:val="21"/>
              </w:rPr>
              <w:t>亩，建设用地</w:t>
            </w:r>
            <w:r>
              <w:rPr>
                <w:rFonts w:hint="eastAsia" w:cs="Times New Roman"/>
                <w:color w:val="000000"/>
                <w:sz w:val="21"/>
                <w:szCs w:val="21"/>
              </w:rPr>
              <w:t>17.7</w:t>
            </w:r>
            <w:r>
              <w:rPr>
                <w:rFonts w:hint="eastAsia" w:ascii="仿宋_GB2312" w:hAnsi="等线"/>
                <w:color w:val="000000"/>
                <w:sz w:val="21"/>
                <w:szCs w:val="21"/>
              </w:rPr>
              <w:t>亩</w:t>
            </w:r>
          </w:p>
        </w:tc>
        <w:tc>
          <w:tcPr>
            <w:tcW w:w="1922" w:type="pct"/>
            <w:vAlign w:val="center"/>
          </w:tcPr>
          <w:p w14:paraId="5DE0565B">
            <w:pPr>
              <w:spacing w:line="240" w:lineRule="auto"/>
              <w:ind w:firstLine="0" w:firstLineChars="0"/>
              <w:jc w:val="center"/>
              <w:rPr>
                <w:rFonts w:hint="eastAsia" w:ascii="仿宋_GB2312" w:hAnsi="等线"/>
                <w:color w:val="FF0000"/>
                <w:sz w:val="21"/>
                <w:szCs w:val="21"/>
              </w:rPr>
            </w:pPr>
            <w:r>
              <w:rPr>
                <w:rFonts w:hint="eastAsia" w:ascii="仿宋_GB2312" w:hAnsi="等线"/>
                <w:sz w:val="21"/>
                <w:szCs w:val="21"/>
              </w:rPr>
              <w:t>规划利用原粉丝厂地块，整体改造升级，以“美好生活”为设计理念，将其打造为连接社区生活与乡村旅游的纽带，重建人与土地、人与食物、人与人之间的链接，打造传承乡土记忆、最具烟火气的温情美食空间</w:t>
            </w:r>
          </w:p>
        </w:tc>
        <w:tc>
          <w:tcPr>
            <w:tcW w:w="484" w:type="pct"/>
            <w:vAlign w:val="center"/>
          </w:tcPr>
          <w:p w14:paraId="025DD188">
            <w:pPr>
              <w:spacing w:line="240" w:lineRule="auto"/>
              <w:ind w:firstLine="0" w:firstLineChars="0"/>
              <w:jc w:val="center"/>
              <w:rPr>
                <w:sz w:val="21"/>
                <w:szCs w:val="21"/>
              </w:rPr>
            </w:pPr>
            <w:r>
              <w:rPr>
                <w:rFonts w:hint="eastAsia" w:ascii="仿宋_GB2312" w:hAnsi="等线"/>
                <w:sz w:val="21"/>
                <w:szCs w:val="21"/>
              </w:rPr>
              <w:t>新建项目（地块重新利用）</w:t>
            </w:r>
          </w:p>
        </w:tc>
        <w:tc>
          <w:tcPr>
            <w:tcW w:w="503" w:type="pct"/>
            <w:vAlign w:val="center"/>
          </w:tcPr>
          <w:p w14:paraId="643BF42B">
            <w:pPr>
              <w:spacing w:line="240" w:lineRule="auto"/>
              <w:ind w:firstLine="0" w:firstLineChars="0"/>
              <w:jc w:val="center"/>
              <w:rPr>
                <w:sz w:val="21"/>
                <w:szCs w:val="21"/>
              </w:rPr>
            </w:pPr>
            <w:r>
              <w:rPr>
                <w:rFonts w:hint="eastAsia" w:ascii="仿宋_GB2312" w:hAnsi="等线"/>
                <w:color w:val="000000"/>
                <w:sz w:val="21"/>
                <w:szCs w:val="21"/>
              </w:rPr>
              <w:t>生态空间管控区</w:t>
            </w:r>
          </w:p>
        </w:tc>
        <w:tc>
          <w:tcPr>
            <w:tcW w:w="497" w:type="pct"/>
            <w:vAlign w:val="center"/>
          </w:tcPr>
          <w:p w14:paraId="6B130471">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向阳水库水源涵养区</w:t>
            </w:r>
          </w:p>
        </w:tc>
      </w:tr>
      <w:tr w14:paraId="1E9FE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79FCF847">
            <w:pPr>
              <w:pStyle w:val="39"/>
              <w:numPr>
                <w:ilvl w:val="0"/>
                <w:numId w:val="11"/>
              </w:numPr>
              <w:spacing w:line="240" w:lineRule="auto"/>
              <w:ind w:firstLineChars="0"/>
              <w:jc w:val="center"/>
              <w:rPr>
                <w:sz w:val="21"/>
                <w:szCs w:val="21"/>
              </w:rPr>
            </w:pPr>
          </w:p>
        </w:tc>
        <w:tc>
          <w:tcPr>
            <w:tcW w:w="561" w:type="pct"/>
            <w:vAlign w:val="center"/>
          </w:tcPr>
          <w:p w14:paraId="78CDADFB">
            <w:pPr>
              <w:spacing w:line="240" w:lineRule="auto"/>
              <w:ind w:firstLine="0" w:firstLineChars="0"/>
              <w:jc w:val="center"/>
              <w:rPr>
                <w:sz w:val="21"/>
                <w:szCs w:val="21"/>
              </w:rPr>
            </w:pPr>
            <w:r>
              <w:rPr>
                <w:rFonts w:hint="eastAsia" w:ascii="仿宋_GB2312" w:hAnsi="等线"/>
                <w:color w:val="000000"/>
                <w:sz w:val="21"/>
                <w:szCs w:val="21"/>
              </w:rPr>
              <w:t>秋的</w:t>
            </w:r>
            <w:r>
              <w:rPr>
                <w:rFonts w:hint="eastAsia" w:cs="Times New Roman"/>
                <w:color w:val="000000"/>
                <w:sz w:val="21"/>
                <w:szCs w:val="21"/>
              </w:rPr>
              <w:t>N</w:t>
            </w:r>
            <w:r>
              <w:rPr>
                <w:rFonts w:hint="eastAsia" w:ascii="仿宋_GB2312" w:hAnsi="等线"/>
                <w:color w:val="000000"/>
                <w:sz w:val="21"/>
                <w:szCs w:val="21"/>
              </w:rPr>
              <w:t>次方</w:t>
            </w:r>
          </w:p>
        </w:tc>
        <w:tc>
          <w:tcPr>
            <w:tcW w:w="737" w:type="pct"/>
            <w:vAlign w:val="center"/>
          </w:tcPr>
          <w:p w14:paraId="05986F7F">
            <w:pPr>
              <w:spacing w:line="240" w:lineRule="auto"/>
              <w:ind w:firstLine="0" w:firstLineChars="0"/>
              <w:jc w:val="center"/>
              <w:rPr>
                <w:sz w:val="21"/>
                <w:szCs w:val="21"/>
              </w:rPr>
            </w:pPr>
            <w:r>
              <w:rPr>
                <w:rFonts w:hint="eastAsia" w:ascii="仿宋_GB2312" w:hAnsi="等线"/>
                <w:color w:val="000000"/>
                <w:sz w:val="21"/>
                <w:szCs w:val="21"/>
              </w:rPr>
              <w:t>占地面积约</w:t>
            </w:r>
            <w:r>
              <w:rPr>
                <w:rFonts w:hint="eastAsia" w:cs="Times New Roman"/>
                <w:color w:val="000000"/>
                <w:sz w:val="21"/>
                <w:szCs w:val="21"/>
              </w:rPr>
              <w:t>80</w:t>
            </w:r>
            <w:r>
              <w:rPr>
                <w:rFonts w:hint="eastAsia" w:ascii="仿宋_GB2312" w:hAnsi="等线"/>
                <w:color w:val="000000"/>
                <w:sz w:val="21"/>
                <w:szCs w:val="21"/>
              </w:rPr>
              <w:t>亩，建设用地</w:t>
            </w:r>
            <w:r>
              <w:rPr>
                <w:rFonts w:hint="eastAsia" w:cs="Times New Roman"/>
                <w:color w:val="000000"/>
                <w:sz w:val="21"/>
                <w:szCs w:val="21"/>
              </w:rPr>
              <w:t>24.8</w:t>
            </w:r>
            <w:r>
              <w:rPr>
                <w:rFonts w:hint="eastAsia" w:ascii="仿宋_GB2312" w:hAnsi="等线"/>
                <w:color w:val="000000"/>
                <w:sz w:val="21"/>
                <w:szCs w:val="21"/>
              </w:rPr>
              <w:t>亩</w:t>
            </w:r>
          </w:p>
        </w:tc>
        <w:tc>
          <w:tcPr>
            <w:tcW w:w="1922" w:type="pct"/>
            <w:vAlign w:val="center"/>
          </w:tcPr>
          <w:p w14:paraId="43FA119C">
            <w:pPr>
              <w:spacing w:line="240" w:lineRule="auto"/>
              <w:ind w:firstLine="0" w:firstLineChars="0"/>
              <w:jc w:val="center"/>
              <w:rPr>
                <w:rFonts w:hint="eastAsia" w:ascii="仿宋_GB2312" w:hAnsi="等线"/>
                <w:color w:val="FF0000"/>
                <w:sz w:val="21"/>
                <w:szCs w:val="21"/>
              </w:rPr>
            </w:pPr>
            <w:r>
              <w:rPr>
                <w:rFonts w:hint="eastAsia" w:ascii="仿宋_GB2312" w:hAnsi="等线"/>
                <w:sz w:val="21"/>
                <w:szCs w:val="21"/>
              </w:rPr>
              <w:t>规划在化工厂地块，利用集装箱打造一处工业风创意酒店，并开辟一处作为多功能服务站，按一级驿站标准建设，配备咖啡厅、自行车租赁、旅游厕所、自驾车洗车、保养、维修等功能</w:t>
            </w:r>
          </w:p>
        </w:tc>
        <w:tc>
          <w:tcPr>
            <w:tcW w:w="484" w:type="pct"/>
            <w:vAlign w:val="center"/>
          </w:tcPr>
          <w:p w14:paraId="6B826988">
            <w:pPr>
              <w:spacing w:line="240" w:lineRule="auto"/>
              <w:ind w:firstLine="0" w:firstLineChars="0"/>
              <w:jc w:val="center"/>
              <w:rPr>
                <w:sz w:val="21"/>
                <w:szCs w:val="21"/>
              </w:rPr>
            </w:pPr>
            <w:r>
              <w:rPr>
                <w:rFonts w:hint="eastAsia" w:ascii="仿宋_GB2312" w:hAnsi="等线"/>
                <w:sz w:val="21"/>
                <w:szCs w:val="21"/>
              </w:rPr>
              <w:t>新建项目（地块重新利用）</w:t>
            </w:r>
          </w:p>
        </w:tc>
        <w:tc>
          <w:tcPr>
            <w:tcW w:w="503" w:type="pct"/>
            <w:vAlign w:val="center"/>
          </w:tcPr>
          <w:p w14:paraId="05177AC6">
            <w:pPr>
              <w:spacing w:line="240" w:lineRule="auto"/>
              <w:ind w:firstLine="0" w:firstLineChars="0"/>
              <w:jc w:val="center"/>
              <w:rPr>
                <w:sz w:val="21"/>
                <w:szCs w:val="21"/>
              </w:rPr>
            </w:pPr>
            <w:r>
              <w:rPr>
                <w:rFonts w:hint="eastAsia" w:ascii="仿宋_GB2312" w:hAnsi="等线"/>
                <w:color w:val="000000"/>
                <w:sz w:val="21"/>
                <w:szCs w:val="21"/>
              </w:rPr>
              <w:t>生态空间管控区</w:t>
            </w:r>
          </w:p>
        </w:tc>
        <w:tc>
          <w:tcPr>
            <w:tcW w:w="497" w:type="pct"/>
            <w:vAlign w:val="center"/>
          </w:tcPr>
          <w:p w14:paraId="70CDB4D9">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向阳水库水源涵养区</w:t>
            </w:r>
          </w:p>
        </w:tc>
      </w:tr>
      <w:tr w14:paraId="4247C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788DA67F">
            <w:pPr>
              <w:pStyle w:val="39"/>
              <w:numPr>
                <w:ilvl w:val="0"/>
                <w:numId w:val="11"/>
              </w:numPr>
              <w:spacing w:line="240" w:lineRule="auto"/>
              <w:ind w:firstLineChars="0"/>
              <w:jc w:val="center"/>
              <w:rPr>
                <w:sz w:val="21"/>
                <w:szCs w:val="21"/>
              </w:rPr>
            </w:pPr>
          </w:p>
        </w:tc>
        <w:tc>
          <w:tcPr>
            <w:tcW w:w="561" w:type="pct"/>
            <w:vAlign w:val="center"/>
          </w:tcPr>
          <w:p w14:paraId="6D395BF5">
            <w:pPr>
              <w:spacing w:line="240" w:lineRule="auto"/>
              <w:ind w:firstLine="0" w:firstLineChars="0"/>
              <w:jc w:val="center"/>
              <w:rPr>
                <w:sz w:val="21"/>
                <w:szCs w:val="21"/>
              </w:rPr>
            </w:pPr>
            <w:r>
              <w:rPr>
                <w:rFonts w:hint="eastAsia" w:ascii="仿宋_GB2312" w:hAnsi="等线"/>
                <w:color w:val="000000"/>
                <w:sz w:val="21"/>
                <w:szCs w:val="21"/>
              </w:rPr>
              <w:t>天心菜园</w:t>
            </w:r>
          </w:p>
        </w:tc>
        <w:tc>
          <w:tcPr>
            <w:tcW w:w="737" w:type="pct"/>
            <w:vAlign w:val="center"/>
          </w:tcPr>
          <w:p w14:paraId="4C89AFBA">
            <w:pPr>
              <w:spacing w:line="240" w:lineRule="auto"/>
              <w:ind w:firstLine="0" w:firstLineChars="0"/>
              <w:jc w:val="center"/>
              <w:rPr>
                <w:sz w:val="21"/>
                <w:szCs w:val="21"/>
              </w:rPr>
            </w:pPr>
            <w:r>
              <w:rPr>
                <w:rFonts w:hint="eastAsia" w:ascii="仿宋_GB2312" w:hAnsi="等线"/>
                <w:color w:val="000000"/>
                <w:sz w:val="21"/>
                <w:szCs w:val="21"/>
              </w:rPr>
              <w:t>占地面积约</w:t>
            </w:r>
            <w:r>
              <w:rPr>
                <w:rFonts w:hint="eastAsia" w:cs="Times New Roman"/>
                <w:color w:val="000000"/>
                <w:sz w:val="21"/>
                <w:szCs w:val="21"/>
              </w:rPr>
              <w:t>646</w:t>
            </w:r>
            <w:r>
              <w:rPr>
                <w:rFonts w:hint="eastAsia" w:ascii="仿宋_GB2312" w:hAnsi="等线"/>
                <w:color w:val="000000"/>
                <w:sz w:val="21"/>
                <w:szCs w:val="21"/>
              </w:rPr>
              <w:t>亩，建设用地</w:t>
            </w:r>
            <w:r>
              <w:rPr>
                <w:rFonts w:hint="eastAsia" w:cs="Times New Roman"/>
                <w:color w:val="000000"/>
                <w:sz w:val="21"/>
                <w:szCs w:val="21"/>
              </w:rPr>
              <w:t>23.9</w:t>
            </w:r>
            <w:r>
              <w:rPr>
                <w:rFonts w:hint="eastAsia" w:ascii="仿宋_GB2312" w:hAnsi="等线"/>
                <w:color w:val="000000"/>
                <w:sz w:val="21"/>
                <w:szCs w:val="21"/>
              </w:rPr>
              <w:t>亩</w:t>
            </w:r>
          </w:p>
        </w:tc>
        <w:tc>
          <w:tcPr>
            <w:tcW w:w="1922" w:type="pct"/>
            <w:vAlign w:val="center"/>
          </w:tcPr>
          <w:p w14:paraId="592757CC">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原华东风情玫瑰园是以玫瑰为主的花卉主题园区，建设有小型儿童游乐场、玫瑰花海长廊等设施，目前因经营问题闲置，规划对其重新利用</w:t>
            </w:r>
          </w:p>
        </w:tc>
        <w:tc>
          <w:tcPr>
            <w:tcW w:w="484" w:type="pct"/>
            <w:vAlign w:val="center"/>
          </w:tcPr>
          <w:p w14:paraId="55601628">
            <w:pPr>
              <w:spacing w:line="240" w:lineRule="auto"/>
              <w:ind w:firstLine="0" w:firstLineChars="0"/>
              <w:jc w:val="center"/>
              <w:rPr>
                <w:sz w:val="21"/>
                <w:szCs w:val="21"/>
              </w:rPr>
            </w:pPr>
            <w:r>
              <w:rPr>
                <w:rFonts w:hint="eastAsia" w:ascii="仿宋_GB2312" w:hAnsi="等线"/>
                <w:color w:val="000000"/>
                <w:sz w:val="21"/>
                <w:szCs w:val="21"/>
              </w:rPr>
              <w:t>现有区域及设施重新利用</w:t>
            </w:r>
          </w:p>
        </w:tc>
        <w:tc>
          <w:tcPr>
            <w:tcW w:w="503" w:type="pct"/>
            <w:vAlign w:val="center"/>
          </w:tcPr>
          <w:p w14:paraId="623EEFB2">
            <w:pPr>
              <w:spacing w:line="240" w:lineRule="auto"/>
              <w:ind w:firstLine="0" w:firstLineChars="0"/>
              <w:jc w:val="center"/>
              <w:rPr>
                <w:sz w:val="21"/>
                <w:szCs w:val="21"/>
              </w:rPr>
            </w:pPr>
            <w:r>
              <w:rPr>
                <w:rFonts w:hint="eastAsia" w:ascii="仿宋_GB2312" w:hAnsi="等线"/>
                <w:color w:val="000000"/>
                <w:sz w:val="21"/>
                <w:szCs w:val="21"/>
              </w:rPr>
              <w:t>生态空间管控区</w:t>
            </w:r>
          </w:p>
        </w:tc>
        <w:tc>
          <w:tcPr>
            <w:tcW w:w="497" w:type="pct"/>
            <w:vAlign w:val="center"/>
          </w:tcPr>
          <w:p w14:paraId="237E6079">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向阳水库水源涵养区</w:t>
            </w:r>
          </w:p>
        </w:tc>
      </w:tr>
      <w:tr w14:paraId="4118E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57F087FD">
            <w:pPr>
              <w:pStyle w:val="39"/>
              <w:numPr>
                <w:ilvl w:val="0"/>
                <w:numId w:val="11"/>
              </w:numPr>
              <w:spacing w:line="240" w:lineRule="auto"/>
              <w:ind w:firstLineChars="0"/>
              <w:jc w:val="center"/>
              <w:rPr>
                <w:sz w:val="21"/>
                <w:szCs w:val="21"/>
              </w:rPr>
            </w:pPr>
          </w:p>
        </w:tc>
        <w:tc>
          <w:tcPr>
            <w:tcW w:w="561" w:type="pct"/>
            <w:vAlign w:val="center"/>
          </w:tcPr>
          <w:p w14:paraId="419DE5FA">
            <w:pPr>
              <w:spacing w:line="240" w:lineRule="auto"/>
              <w:ind w:firstLine="0" w:firstLineChars="0"/>
              <w:jc w:val="center"/>
              <w:rPr>
                <w:sz w:val="21"/>
                <w:szCs w:val="21"/>
              </w:rPr>
            </w:pPr>
            <w:r>
              <w:rPr>
                <w:rFonts w:hint="eastAsia" w:ascii="仿宋_GB2312" w:hAnsi="等线"/>
                <w:color w:val="000000"/>
                <w:sz w:val="21"/>
                <w:szCs w:val="21"/>
              </w:rPr>
              <w:t>竹里·追光</w:t>
            </w:r>
          </w:p>
        </w:tc>
        <w:tc>
          <w:tcPr>
            <w:tcW w:w="737" w:type="pct"/>
            <w:vAlign w:val="center"/>
          </w:tcPr>
          <w:p w14:paraId="618C8554">
            <w:pPr>
              <w:spacing w:line="240" w:lineRule="auto"/>
              <w:ind w:firstLine="0" w:firstLineChars="0"/>
              <w:jc w:val="center"/>
              <w:rPr>
                <w:sz w:val="21"/>
                <w:szCs w:val="21"/>
              </w:rPr>
            </w:pPr>
            <w:r>
              <w:rPr>
                <w:rFonts w:hint="eastAsia" w:ascii="仿宋_GB2312" w:hAnsi="等线"/>
                <w:color w:val="000000"/>
                <w:sz w:val="21"/>
                <w:szCs w:val="21"/>
              </w:rPr>
              <w:t>占地面积约</w:t>
            </w:r>
            <w:r>
              <w:rPr>
                <w:rFonts w:hint="eastAsia" w:cs="Times New Roman"/>
                <w:color w:val="000000"/>
                <w:sz w:val="21"/>
                <w:szCs w:val="21"/>
              </w:rPr>
              <w:t>411</w:t>
            </w:r>
            <w:r>
              <w:rPr>
                <w:rFonts w:hint="eastAsia" w:ascii="仿宋_GB2312" w:hAnsi="等线"/>
                <w:color w:val="000000"/>
                <w:sz w:val="21"/>
                <w:szCs w:val="21"/>
              </w:rPr>
              <w:t>亩，建设用地</w:t>
            </w:r>
            <w:r>
              <w:rPr>
                <w:rFonts w:hint="eastAsia" w:cs="Times New Roman"/>
                <w:color w:val="000000"/>
                <w:sz w:val="21"/>
                <w:szCs w:val="21"/>
              </w:rPr>
              <w:t>59.4</w:t>
            </w:r>
            <w:r>
              <w:rPr>
                <w:rFonts w:hint="eastAsia" w:ascii="仿宋_GB2312" w:hAnsi="等线"/>
                <w:color w:val="000000"/>
                <w:sz w:val="21"/>
                <w:szCs w:val="21"/>
              </w:rPr>
              <w:t>亩</w:t>
            </w:r>
          </w:p>
        </w:tc>
        <w:tc>
          <w:tcPr>
            <w:tcW w:w="1922" w:type="pct"/>
            <w:vAlign w:val="center"/>
          </w:tcPr>
          <w:p w14:paraId="66E3DBBA">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规划依托村庄打造以竹为主题的特色旅游村</w:t>
            </w:r>
          </w:p>
        </w:tc>
        <w:tc>
          <w:tcPr>
            <w:tcW w:w="484" w:type="pct"/>
            <w:vAlign w:val="center"/>
          </w:tcPr>
          <w:p w14:paraId="4E716435">
            <w:pPr>
              <w:spacing w:line="240" w:lineRule="auto"/>
              <w:ind w:firstLine="0" w:firstLineChars="0"/>
              <w:jc w:val="center"/>
              <w:rPr>
                <w:sz w:val="21"/>
                <w:szCs w:val="21"/>
              </w:rPr>
            </w:pPr>
            <w:r>
              <w:rPr>
                <w:rFonts w:hint="eastAsia" w:ascii="仿宋_GB2312" w:hAnsi="等线"/>
                <w:color w:val="000000"/>
                <w:sz w:val="21"/>
                <w:szCs w:val="21"/>
              </w:rPr>
              <w:t>现有村庄改造升级</w:t>
            </w:r>
          </w:p>
        </w:tc>
        <w:tc>
          <w:tcPr>
            <w:tcW w:w="503" w:type="pct"/>
            <w:vAlign w:val="center"/>
          </w:tcPr>
          <w:p w14:paraId="6F1E25D5">
            <w:pPr>
              <w:spacing w:line="240" w:lineRule="auto"/>
              <w:ind w:firstLine="0" w:firstLineChars="0"/>
              <w:jc w:val="center"/>
              <w:rPr>
                <w:sz w:val="21"/>
                <w:szCs w:val="21"/>
              </w:rPr>
            </w:pPr>
            <w:r>
              <w:rPr>
                <w:rFonts w:hint="eastAsia" w:ascii="仿宋_GB2312" w:hAnsi="等线"/>
                <w:color w:val="000000"/>
                <w:sz w:val="21"/>
                <w:szCs w:val="21"/>
              </w:rPr>
              <w:t>生态空间管控区</w:t>
            </w:r>
          </w:p>
        </w:tc>
        <w:tc>
          <w:tcPr>
            <w:tcW w:w="497" w:type="pct"/>
            <w:vAlign w:val="center"/>
          </w:tcPr>
          <w:p w14:paraId="729E61C0">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向阳水库水源涵养区</w:t>
            </w:r>
          </w:p>
        </w:tc>
      </w:tr>
      <w:tr w14:paraId="539E3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73AAC964">
            <w:pPr>
              <w:pStyle w:val="39"/>
              <w:numPr>
                <w:ilvl w:val="0"/>
                <w:numId w:val="11"/>
              </w:numPr>
              <w:spacing w:line="240" w:lineRule="auto"/>
              <w:ind w:firstLineChars="0"/>
              <w:jc w:val="center"/>
              <w:rPr>
                <w:sz w:val="21"/>
                <w:szCs w:val="21"/>
              </w:rPr>
            </w:pPr>
          </w:p>
        </w:tc>
        <w:tc>
          <w:tcPr>
            <w:tcW w:w="561" w:type="pct"/>
            <w:vAlign w:val="center"/>
          </w:tcPr>
          <w:p w14:paraId="79FCF05E">
            <w:pPr>
              <w:spacing w:line="240" w:lineRule="auto"/>
              <w:ind w:firstLine="0" w:firstLineChars="0"/>
              <w:jc w:val="center"/>
              <w:rPr>
                <w:sz w:val="21"/>
                <w:szCs w:val="21"/>
              </w:rPr>
            </w:pPr>
            <w:r>
              <w:rPr>
                <w:rFonts w:hint="eastAsia" w:ascii="仿宋_GB2312" w:hAnsi="等线"/>
                <w:color w:val="000000"/>
                <w:sz w:val="21"/>
                <w:szCs w:val="21"/>
              </w:rPr>
              <w:t>果乡·拾忆</w:t>
            </w:r>
          </w:p>
        </w:tc>
        <w:tc>
          <w:tcPr>
            <w:tcW w:w="737" w:type="pct"/>
            <w:vAlign w:val="center"/>
          </w:tcPr>
          <w:p w14:paraId="779E4DD7">
            <w:pPr>
              <w:spacing w:line="240" w:lineRule="auto"/>
              <w:ind w:firstLine="0" w:firstLineChars="0"/>
              <w:jc w:val="center"/>
              <w:rPr>
                <w:sz w:val="21"/>
                <w:szCs w:val="21"/>
              </w:rPr>
            </w:pPr>
            <w:r>
              <w:rPr>
                <w:rFonts w:hint="eastAsia" w:ascii="仿宋_GB2312" w:hAnsi="等线"/>
                <w:color w:val="000000"/>
                <w:sz w:val="21"/>
                <w:szCs w:val="21"/>
              </w:rPr>
              <w:t>占地面积约</w:t>
            </w:r>
            <w:r>
              <w:rPr>
                <w:rFonts w:hint="eastAsia" w:cs="Times New Roman"/>
                <w:color w:val="000000"/>
                <w:sz w:val="21"/>
                <w:szCs w:val="21"/>
              </w:rPr>
              <w:t>576.2</w:t>
            </w:r>
            <w:r>
              <w:rPr>
                <w:rFonts w:hint="eastAsia" w:ascii="仿宋_GB2312" w:hAnsi="等线"/>
                <w:color w:val="000000"/>
                <w:sz w:val="21"/>
                <w:szCs w:val="21"/>
              </w:rPr>
              <w:t>亩，建设用地</w:t>
            </w:r>
            <w:r>
              <w:rPr>
                <w:rFonts w:hint="eastAsia" w:cs="Times New Roman"/>
                <w:color w:val="000000"/>
                <w:sz w:val="21"/>
                <w:szCs w:val="21"/>
              </w:rPr>
              <w:t>106.5</w:t>
            </w:r>
            <w:r>
              <w:rPr>
                <w:rFonts w:hint="eastAsia" w:ascii="仿宋_GB2312" w:hAnsi="等线"/>
                <w:color w:val="000000"/>
                <w:sz w:val="21"/>
                <w:szCs w:val="21"/>
              </w:rPr>
              <w:t>亩</w:t>
            </w:r>
          </w:p>
        </w:tc>
        <w:tc>
          <w:tcPr>
            <w:tcW w:w="1922" w:type="pct"/>
            <w:vAlign w:val="center"/>
          </w:tcPr>
          <w:p w14:paraId="0F1D2F83">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围绕上阮村游客服务中心，依托上阮村美丽乡村建设，进一步提升上阮村闲置民房与尚之源闲置农庄改造，打造乡村文化礼堂、驿站、餐厅、民宿等配套设施，服务于自然城南部区块</w:t>
            </w:r>
          </w:p>
        </w:tc>
        <w:tc>
          <w:tcPr>
            <w:tcW w:w="484" w:type="pct"/>
            <w:vAlign w:val="center"/>
          </w:tcPr>
          <w:p w14:paraId="6DB4788C">
            <w:pPr>
              <w:spacing w:line="240" w:lineRule="auto"/>
              <w:ind w:firstLine="0" w:firstLineChars="0"/>
              <w:jc w:val="center"/>
              <w:rPr>
                <w:sz w:val="21"/>
                <w:szCs w:val="21"/>
              </w:rPr>
            </w:pPr>
            <w:r>
              <w:rPr>
                <w:rFonts w:hint="eastAsia" w:ascii="仿宋_GB2312" w:hAnsi="等线"/>
                <w:color w:val="000000"/>
                <w:sz w:val="21"/>
                <w:szCs w:val="21"/>
              </w:rPr>
              <w:t>现有村庄改造升级</w:t>
            </w:r>
          </w:p>
        </w:tc>
        <w:tc>
          <w:tcPr>
            <w:tcW w:w="503" w:type="pct"/>
            <w:vAlign w:val="center"/>
          </w:tcPr>
          <w:p w14:paraId="3F818965">
            <w:pPr>
              <w:spacing w:line="240" w:lineRule="auto"/>
              <w:ind w:firstLine="0" w:firstLineChars="0"/>
              <w:jc w:val="center"/>
              <w:rPr>
                <w:sz w:val="21"/>
                <w:szCs w:val="21"/>
              </w:rPr>
            </w:pPr>
            <w:r>
              <w:rPr>
                <w:rFonts w:hint="eastAsia" w:ascii="仿宋_GB2312" w:hAnsi="等线"/>
                <w:color w:val="000000"/>
                <w:sz w:val="21"/>
                <w:szCs w:val="21"/>
              </w:rPr>
              <w:t>生态空间管控区</w:t>
            </w:r>
          </w:p>
        </w:tc>
        <w:tc>
          <w:tcPr>
            <w:tcW w:w="497" w:type="pct"/>
            <w:vAlign w:val="center"/>
          </w:tcPr>
          <w:p w14:paraId="6780CF51">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向阳水库水源涵养区</w:t>
            </w:r>
          </w:p>
        </w:tc>
      </w:tr>
      <w:tr w14:paraId="2FB88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14:paraId="77E20489">
            <w:pPr>
              <w:pStyle w:val="39"/>
              <w:numPr>
                <w:ilvl w:val="0"/>
                <w:numId w:val="11"/>
              </w:numPr>
              <w:spacing w:line="240" w:lineRule="auto"/>
              <w:ind w:firstLineChars="0"/>
              <w:jc w:val="center"/>
              <w:rPr>
                <w:sz w:val="21"/>
                <w:szCs w:val="21"/>
              </w:rPr>
            </w:pPr>
          </w:p>
        </w:tc>
        <w:tc>
          <w:tcPr>
            <w:tcW w:w="561" w:type="pct"/>
            <w:vAlign w:val="center"/>
          </w:tcPr>
          <w:p w14:paraId="34D4E891">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无为茶田度假村</w:t>
            </w:r>
          </w:p>
        </w:tc>
        <w:tc>
          <w:tcPr>
            <w:tcW w:w="737" w:type="pct"/>
            <w:vAlign w:val="center"/>
          </w:tcPr>
          <w:p w14:paraId="66EAD29F">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石马村西南侧</w:t>
            </w:r>
          </w:p>
        </w:tc>
        <w:tc>
          <w:tcPr>
            <w:tcW w:w="1922" w:type="pct"/>
            <w:vAlign w:val="center"/>
          </w:tcPr>
          <w:p w14:paraId="599F16B2">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打茶主题休闲度假基地，建设内容包括茶主题精品酒店、茶田帐篷客、三才杯广场、茶味斋、品闲茶社等</w:t>
            </w:r>
          </w:p>
        </w:tc>
        <w:tc>
          <w:tcPr>
            <w:tcW w:w="484" w:type="pct"/>
            <w:vAlign w:val="center"/>
          </w:tcPr>
          <w:p w14:paraId="47368AF2">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新建项目</w:t>
            </w:r>
          </w:p>
        </w:tc>
        <w:tc>
          <w:tcPr>
            <w:tcW w:w="503" w:type="pct"/>
            <w:vAlign w:val="center"/>
          </w:tcPr>
          <w:p w14:paraId="127D4F6B">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不涉及</w:t>
            </w:r>
          </w:p>
        </w:tc>
        <w:tc>
          <w:tcPr>
            <w:tcW w:w="497" w:type="pct"/>
            <w:vAlign w:val="center"/>
          </w:tcPr>
          <w:p w14:paraId="6C5C65C1">
            <w:pPr>
              <w:spacing w:line="240" w:lineRule="auto"/>
              <w:ind w:firstLine="0" w:firstLineChars="0"/>
              <w:jc w:val="center"/>
              <w:rPr>
                <w:rFonts w:hint="eastAsia" w:ascii="仿宋_GB2312" w:hAnsi="等线"/>
                <w:color w:val="000000"/>
                <w:sz w:val="21"/>
                <w:szCs w:val="21"/>
              </w:rPr>
            </w:pPr>
            <w:r>
              <w:rPr>
                <w:rFonts w:hint="eastAsia" w:ascii="仿宋_GB2312" w:hAnsi="等线"/>
                <w:color w:val="000000"/>
                <w:sz w:val="21"/>
                <w:szCs w:val="21"/>
              </w:rPr>
              <w:t>/</w:t>
            </w:r>
          </w:p>
        </w:tc>
      </w:tr>
    </w:tbl>
    <w:p w14:paraId="55CEBCE6">
      <w:pPr>
        <w:ind w:firstLine="480"/>
      </w:pPr>
    </w:p>
    <w:p w14:paraId="7731961F">
      <w:pPr>
        <w:spacing w:line="240" w:lineRule="auto"/>
        <w:ind w:firstLine="0" w:firstLineChars="0"/>
        <w:jc w:val="center"/>
        <w:sectPr>
          <w:pgSz w:w="16838" w:h="11906" w:orient="landscape"/>
          <w:pgMar w:top="1800" w:right="1440" w:bottom="1800" w:left="1440" w:header="851" w:footer="992" w:gutter="0"/>
          <w:cols w:space="425" w:num="1"/>
          <w:docGrid w:type="lines" w:linePitch="326" w:charSpace="0"/>
        </w:sectPr>
      </w:pPr>
    </w:p>
    <w:p w14:paraId="445929E8">
      <w:pPr>
        <w:ind w:firstLine="0" w:firstLineChars="0"/>
        <w:outlineLvl w:val="3"/>
        <w:rPr>
          <w:b/>
          <w:bCs/>
        </w:rPr>
      </w:pPr>
      <w:r>
        <w:rPr>
          <w:rFonts w:hint="eastAsia"/>
          <w:b/>
          <w:bCs/>
        </w:rPr>
        <w:t>2</w:t>
      </w:r>
      <w:r>
        <w:rPr>
          <w:b/>
          <w:bCs/>
        </w:rPr>
        <w:t>.</w:t>
      </w:r>
      <w:r>
        <w:rPr>
          <w:rFonts w:hint="eastAsia"/>
          <w:b/>
          <w:bCs/>
        </w:rPr>
        <w:t>3</w:t>
      </w:r>
      <w:r>
        <w:rPr>
          <w:b/>
          <w:bCs/>
        </w:rPr>
        <w:t>.4</w:t>
      </w:r>
      <w:r>
        <w:rPr>
          <w:rFonts w:hint="eastAsia"/>
          <w:b/>
          <w:bCs/>
        </w:rPr>
        <w:t>.7与《国家级自然公园管理办法（试行）》《江苏省省级自然公园管理办法（试行）》《金坛茅东省级森林公园总体规划》相符性分析</w:t>
      </w:r>
    </w:p>
    <w:p w14:paraId="2BA992DB">
      <w:pPr>
        <w:ind w:firstLine="480"/>
      </w:pPr>
      <w:r>
        <w:rPr>
          <w:rFonts w:hint="eastAsia"/>
        </w:rPr>
        <w:t>（1）相关要点</w:t>
      </w:r>
    </w:p>
    <w:p w14:paraId="2373B2C7">
      <w:pPr>
        <w:ind w:firstLine="482"/>
        <w:rPr>
          <w:b/>
          <w:bCs/>
        </w:rPr>
      </w:pPr>
      <w:r>
        <w:rPr>
          <w:rFonts w:hint="eastAsia"/>
          <w:b/>
          <w:bCs/>
        </w:rPr>
        <w:t>《国家级自然公园管理办法（试行）》：</w:t>
      </w:r>
    </w:p>
    <w:p w14:paraId="289E4041">
      <w:pPr>
        <w:ind w:firstLine="480"/>
      </w:pPr>
      <w:r>
        <w:rPr>
          <w:rFonts w:hint="eastAsia"/>
        </w:rPr>
        <w:t>第二条 本办法所称国家级自然公园，是指经国务院及其部门依法划定或者确认，对具有生态、观赏、文化和科学价值的自然生态系统、自然遗迹和自然景观，实施长期保护、可持续利用并纳入自然保护地体系管理的区域。</w:t>
      </w:r>
    </w:p>
    <w:p w14:paraId="5A13CDC9">
      <w:pPr>
        <w:ind w:firstLine="482"/>
      </w:pPr>
      <w:r>
        <w:rPr>
          <w:rFonts w:hint="eastAsia"/>
          <w:b/>
          <w:bCs/>
        </w:rPr>
        <w:t>国家级自然公园</w:t>
      </w:r>
      <w:r>
        <w:rPr>
          <w:rFonts w:hint="eastAsia"/>
        </w:rPr>
        <w:t>包括国家级风景名胜区、国家级森林公园、国家级地质公园、国家级海洋公园、国家级湿地公园、国家级沙漠（石漠）公园和国家级草原公园。</w:t>
      </w:r>
    </w:p>
    <w:p w14:paraId="44CA7F7F">
      <w:pPr>
        <w:ind w:firstLine="480"/>
      </w:pPr>
      <w:r>
        <w:rPr>
          <w:rFonts w:hint="eastAsia"/>
        </w:rPr>
        <w:t>第十八条 严格保护国家级自然公园内的森林、草原、湿地、荒漠、海洋、水域、生物等珍贵自然资源，以及自然遗迹、自然景观和文物古迹等人文景观。在国家级自然公园内开展相关活动和设施建设，不得擅自改变其自然状态和历史风貌。</w:t>
      </w:r>
    </w:p>
    <w:p w14:paraId="2789FF0F">
      <w:pPr>
        <w:ind w:firstLine="480"/>
      </w:pPr>
      <w:r>
        <w:rPr>
          <w:rFonts w:hint="eastAsia"/>
        </w:rPr>
        <w:t>禁止擅自在国家级自然公园内从事采矿、房地产、开发区、高尔夫球场、风力光伏电场等不符合管控要求的开发活动。禁止违规侵占国家级自然公园，排放不符合水污染物排放标准的工业废水、生活污水及其他废水、污水，倾倒、堆放、丢弃、遗撒固体废物等污染生态环境的行为。</w:t>
      </w:r>
    </w:p>
    <w:p w14:paraId="740AA6B5">
      <w:pPr>
        <w:ind w:firstLine="480"/>
      </w:pPr>
      <w:r>
        <w:rPr>
          <w:rFonts w:hint="eastAsia"/>
        </w:rPr>
        <w:t>第十九条 国家级自然公园范围内除国家重大项目外，仅允许对生态功能不造成破坏的有限人为活动：</w:t>
      </w:r>
    </w:p>
    <w:p w14:paraId="57AA59CD">
      <w:pPr>
        <w:ind w:firstLine="480"/>
      </w:pPr>
      <w:r>
        <w:rPr>
          <w:rFonts w:hint="eastAsia"/>
        </w:rPr>
        <w:t>（一）自然公园内居民和其他合法权益主体依法依规开展的生产生活及设施建设。</w:t>
      </w:r>
    </w:p>
    <w:p w14:paraId="3D43E49D">
      <w:pPr>
        <w:ind w:firstLine="480"/>
      </w:pPr>
      <w:r>
        <w:rPr>
          <w:rFonts w:hint="eastAsia"/>
        </w:rPr>
        <w:t>（二）符合自然公园保护管理要求的文化、体育活动和必要的配套设施建设。</w:t>
      </w:r>
    </w:p>
    <w:p w14:paraId="70A63E63">
      <w:pPr>
        <w:ind w:firstLine="480"/>
      </w:pPr>
      <w:r>
        <w:rPr>
          <w:rFonts w:hint="eastAsia"/>
        </w:rPr>
        <w:t>（三）符合生态保护红线管控要求的其他活动和设施建设。</w:t>
      </w:r>
    </w:p>
    <w:p w14:paraId="34B456A0">
      <w:pPr>
        <w:ind w:firstLine="480"/>
      </w:pPr>
      <w:r>
        <w:rPr>
          <w:rFonts w:hint="eastAsia"/>
        </w:rPr>
        <w:t>（四）法律法规和国家政策允许在自然公园内开展的其他活动。</w:t>
      </w:r>
    </w:p>
    <w:p w14:paraId="056BF8F1">
      <w:pPr>
        <w:ind w:firstLine="482"/>
        <w:rPr>
          <w:b/>
          <w:bCs/>
        </w:rPr>
      </w:pPr>
      <w:r>
        <w:rPr>
          <w:rFonts w:hint="eastAsia"/>
          <w:b/>
          <w:bCs/>
        </w:rPr>
        <w:t>《江苏省省级自然公园管理办法（试行）》：</w:t>
      </w:r>
    </w:p>
    <w:p w14:paraId="1A39ED9A">
      <w:pPr>
        <w:ind w:firstLine="480"/>
      </w:pPr>
      <w:r>
        <w:rPr>
          <w:rFonts w:hint="eastAsia"/>
        </w:rPr>
        <w:t>第十八条 生态保育区以承担生态系统保护和修复为主要功能，可以规划保护、培育、修复、管理活动和相关的必要设施建设，以及适度的观光游览活动。根据保护管理需要，可以在生态保育区内划定不对公众开放或者季节性开放区域。合理利用区以开展自然体验、科普教育、观光游览、休闲健身等旅游活动为主要功能，兼顾自然公园内居民和其他合法权益主体的正常生产生活和资源利用。严格控制索道、滑雪场、游乐场以及人造景观等对生态和景观影响。较大的建设项目，确需规划的，应当附专题论证报告。</w:t>
      </w:r>
    </w:p>
    <w:p w14:paraId="3B5CDB54">
      <w:pPr>
        <w:ind w:firstLine="480"/>
      </w:pPr>
      <w:r>
        <w:rPr>
          <w:rFonts w:hint="eastAsia"/>
        </w:rPr>
        <w:t>第十九条 严格保护省级自然公园内的森林、草地、湿地、海洋、水域、生物等珍贵自然资源，以及自然遗迹、自然景观、人文景观和文物古迹等。在省级自然公园内开展相关活动和设施建设，不得擅自改变其自然状态和历史风貌。禁止擅自进行下列活动：</w:t>
      </w:r>
    </w:p>
    <w:p w14:paraId="7456E9B3">
      <w:pPr>
        <w:ind w:firstLine="480"/>
      </w:pPr>
      <w:r>
        <w:rPr>
          <w:rFonts w:hint="eastAsia"/>
        </w:rPr>
        <w:t>（一）从事开垦、采矿、挖砂、会所、房地产、开发区、高尔夫球场、风力光伏电场等不符合管控要求的开发活动。</w:t>
      </w:r>
    </w:p>
    <w:p w14:paraId="45505D1B">
      <w:pPr>
        <w:ind w:firstLine="480"/>
      </w:pPr>
      <w:r>
        <w:rPr>
          <w:rFonts w:hint="eastAsia"/>
        </w:rPr>
        <w:t>（二）滥采野生植物以及猎捕野生动物、捡拾鸟卵等破坏野生动植物的行为。</w:t>
      </w:r>
    </w:p>
    <w:p w14:paraId="3710AFFF">
      <w:pPr>
        <w:ind w:firstLine="480"/>
      </w:pPr>
      <w:r>
        <w:rPr>
          <w:rFonts w:hint="eastAsia"/>
        </w:rPr>
        <w:t>（三）排放不符合水污染物排放标准的工业废水、生活污水及其他的废水、污水，倾倒、堆放、丢弃、遗撒固体废物等污染生态环境的行为。</w:t>
      </w:r>
    </w:p>
    <w:p w14:paraId="163CA5A7">
      <w:pPr>
        <w:ind w:firstLine="480"/>
      </w:pPr>
      <w:r>
        <w:rPr>
          <w:rFonts w:hint="eastAsia"/>
        </w:rPr>
        <w:t>（四）其他法律法规规定禁止的行为。</w:t>
      </w:r>
    </w:p>
    <w:p w14:paraId="2FABAD3E">
      <w:pPr>
        <w:ind w:firstLine="480"/>
      </w:pPr>
      <w:r>
        <w:rPr>
          <w:rFonts w:hint="eastAsia"/>
        </w:rPr>
        <w:t>第二十条 省级自然公园范围内除国家和省重大项目外，仅允许开展符合省级自然公园规划的建设活动以及对生态功能不造成破坏的有限人为活动：</w:t>
      </w:r>
    </w:p>
    <w:p w14:paraId="6821F87D">
      <w:pPr>
        <w:ind w:firstLine="480"/>
      </w:pPr>
      <w:r>
        <w:rPr>
          <w:rFonts w:hint="eastAsia"/>
        </w:rPr>
        <w:t>（一）自然公园内居民和其他合法权益主体依法依规开展的生产生活及设施建设。</w:t>
      </w:r>
    </w:p>
    <w:p w14:paraId="7A46D2DC">
      <w:pPr>
        <w:ind w:firstLine="480"/>
      </w:pPr>
      <w:r>
        <w:rPr>
          <w:rFonts w:hint="eastAsia"/>
        </w:rPr>
        <w:t>（二）符合自然公园保护管理要求的文化、体育活动和必要的配套设施建设。</w:t>
      </w:r>
    </w:p>
    <w:p w14:paraId="0A144101">
      <w:pPr>
        <w:ind w:firstLine="480"/>
      </w:pPr>
      <w:r>
        <w:rPr>
          <w:rFonts w:hint="eastAsia"/>
        </w:rPr>
        <w:t>（三）森林质量提升、栖息地优化、有害生物防治、森林防火等特殊情况，开展的人工干预活动以及直接为林业生产经营服务的设施建设。</w:t>
      </w:r>
    </w:p>
    <w:p w14:paraId="460E793D">
      <w:pPr>
        <w:ind w:firstLine="480"/>
      </w:pPr>
      <w:r>
        <w:rPr>
          <w:rFonts w:hint="eastAsia"/>
        </w:rPr>
        <w:t>（四）符合生态保护红线管控要求的其他活动和设施建设。</w:t>
      </w:r>
    </w:p>
    <w:p w14:paraId="344DE3A4">
      <w:pPr>
        <w:ind w:firstLine="480"/>
      </w:pPr>
      <w:r>
        <w:rPr>
          <w:rFonts w:hint="eastAsia"/>
        </w:rPr>
        <w:t>（五）法律法规和国家政策允许在自然公园内开展的其他活动。</w:t>
      </w:r>
    </w:p>
    <w:p w14:paraId="2B22D32F">
      <w:pPr>
        <w:ind w:firstLine="482"/>
        <w:rPr>
          <w:b/>
          <w:bCs/>
        </w:rPr>
      </w:pPr>
      <w:r>
        <w:rPr>
          <w:rFonts w:hint="eastAsia"/>
          <w:b/>
          <w:bCs/>
        </w:rPr>
        <w:t>《金坛茅东省级森林公园总体规划》：</w:t>
      </w:r>
    </w:p>
    <w:p w14:paraId="720C8C49">
      <w:pPr>
        <w:ind w:firstLine="480"/>
      </w:pPr>
      <w:r>
        <w:rPr>
          <w:rFonts w:hint="eastAsia"/>
        </w:rPr>
        <w:t>3.2功能分区。依据茅东森林公园森林景观资源的空间分布及景观价值，分别从景观资源的重要性、区域生态敏感性、用地适宜度和规划完整性等进行综合考虑，将茅东森林公园划分为生态保育区、合理利用区两大功能区，并在生态保育区下设立核心景观分区、生态恢复分区二级分区，在合理利用区下设立一般游憩分区、管理服务分区二级分区。此外，在森林公园外围规划一定面积的规划协调区。</w:t>
      </w:r>
    </w:p>
    <w:p w14:paraId="666EC108">
      <w:pPr>
        <w:ind w:firstLine="480"/>
      </w:pPr>
      <w:r>
        <w:rPr>
          <w:rFonts w:hint="eastAsia"/>
        </w:rPr>
        <w:t>3.2.1.2生态恢复分区。生态恢复分区是指在本规划期内以生态保护修复为主，基本不进行开发建设、不对游客开放的区域。生态恢复分区包括森林公园除核心景观分区、一般游憩分区和管理服务分区外的范围，规划面积371.14hm</w:t>
      </w:r>
      <w:r>
        <w:rPr>
          <w:rFonts w:hint="eastAsia"/>
          <w:vertAlign w:val="superscript"/>
        </w:rPr>
        <w:t>2</w:t>
      </w:r>
      <w:r>
        <w:rPr>
          <w:rFonts w:hint="eastAsia"/>
        </w:rPr>
        <w:t>。生态恢复分区是森林公园的重要绿色基底，主要开展森林资源保育，增加森林生态系统稳定性，丰富生物多样性，提高森林生态系统服务功能。</w:t>
      </w:r>
    </w:p>
    <w:p w14:paraId="41F03B21">
      <w:pPr>
        <w:ind w:firstLine="480"/>
      </w:pPr>
      <w:r>
        <w:rPr>
          <w:rFonts w:hint="eastAsia"/>
        </w:rPr>
        <w:t>（2）相符性分析</w:t>
      </w:r>
    </w:p>
    <w:p w14:paraId="3819380E">
      <w:pPr>
        <w:ind w:firstLine="480"/>
      </w:pPr>
      <w:r>
        <w:rPr>
          <w:rFonts w:hint="eastAsia"/>
        </w:rPr>
        <w:t>度假区范围内涉及江苏常州金坛茅东省级森林公园、四棚洼生态公益林、方山（金坛）森林公园、茅东山地水源涵养区、向阳水库水源涵养区等生态空间管控区域，</w:t>
      </w:r>
      <w:r>
        <w:rPr>
          <w:rFonts w:hint="eastAsia"/>
          <w:b/>
          <w:bCs/>
        </w:rPr>
        <w:t>不涉及国家级自然公园。</w:t>
      </w:r>
      <w:r>
        <w:rPr>
          <w:rFonts w:hint="eastAsia"/>
        </w:rPr>
        <w:t>度假区内相关项目的开发建设将严格落实生态空间管控区域相关管理条例，仅开展对生态功能不造成破坏的有限人为活动，同时加强林木资源保护，严格控制林木采伐行为，对度假区内涉及的省级森林公园、生态公益林等区域的林木资源，按照相关法律法规及管理要求，制定严格的保护措施，并严格落实《金坛茅东省级森林公园总体规划》中生态恢复分区建设要点，开展森林资源保育，增加森林生态系统稳定性，丰富生物多样性，提高森林生态系统服务功能。综上所述，本轮规划与《国家级自然公园管理办法（试行）》《江苏省省级自然公园管理办法（试行）》《金坛茅东省级森林公园总体规划》相符合。</w:t>
      </w:r>
    </w:p>
    <w:p w14:paraId="3A884D79">
      <w:pPr>
        <w:ind w:firstLine="0" w:firstLineChars="0"/>
        <w:outlineLvl w:val="3"/>
        <w:rPr>
          <w:b/>
          <w:bCs/>
        </w:rPr>
      </w:pPr>
      <w:r>
        <w:rPr>
          <w:rFonts w:hint="eastAsia"/>
          <w:b/>
          <w:bCs/>
        </w:rPr>
        <w:t>2</w:t>
      </w:r>
      <w:r>
        <w:rPr>
          <w:b/>
          <w:bCs/>
        </w:rPr>
        <w:t>.</w:t>
      </w:r>
      <w:r>
        <w:rPr>
          <w:rFonts w:hint="eastAsia"/>
          <w:b/>
          <w:bCs/>
        </w:rPr>
        <w:t>3</w:t>
      </w:r>
      <w:r>
        <w:rPr>
          <w:b/>
          <w:bCs/>
        </w:rPr>
        <w:t>.4</w:t>
      </w:r>
      <w:r>
        <w:rPr>
          <w:rFonts w:hint="eastAsia"/>
          <w:b/>
          <w:bCs/>
        </w:rPr>
        <w:t>.8与《江苏省风景名胜区管理条例》《江苏茅山风景名胜区总体规划（2017-2035年）》相符性分析</w:t>
      </w:r>
    </w:p>
    <w:p w14:paraId="1A10F360">
      <w:pPr>
        <w:ind w:firstLine="480"/>
      </w:pPr>
      <w:r>
        <w:rPr>
          <w:rFonts w:hint="eastAsia"/>
        </w:rPr>
        <w:t>（1）相关要点</w:t>
      </w:r>
    </w:p>
    <w:p w14:paraId="17556A3E">
      <w:pPr>
        <w:ind w:firstLine="482"/>
        <w:rPr>
          <w:b/>
          <w:bCs/>
        </w:rPr>
      </w:pPr>
      <w:r>
        <w:rPr>
          <w:rFonts w:hint="eastAsia"/>
          <w:b/>
          <w:bCs/>
        </w:rPr>
        <w:t>《江苏省风景名胜区管理条例》：</w:t>
      </w:r>
    </w:p>
    <w:p w14:paraId="42D98120">
      <w:pPr>
        <w:ind w:firstLine="480"/>
      </w:pPr>
      <w:r>
        <w:rPr>
          <w:rFonts w:hint="eastAsia"/>
        </w:rPr>
        <w:t>第二十条 风景名胜区的土地，任何单位和个人都不得侵占。</w:t>
      </w:r>
    </w:p>
    <w:p w14:paraId="2D3B6FBC">
      <w:pPr>
        <w:ind w:firstLine="480"/>
      </w:pPr>
      <w:r>
        <w:rPr>
          <w:rFonts w:hint="eastAsia"/>
        </w:rPr>
        <w:t>第二十一条 在风景名胜区和保护地带内，不得建设破坏景观、污染环境、妨碍游览的设施。</w:t>
      </w:r>
    </w:p>
    <w:p w14:paraId="5C3A413B">
      <w:pPr>
        <w:ind w:firstLine="480"/>
      </w:pPr>
      <w:r>
        <w:rPr>
          <w:rFonts w:hint="eastAsia"/>
        </w:rPr>
        <w:t>在风景名胜区的核心景区内，不得违反风景名胜区规划建设宾馆、招待所、度假村、疗养院、培训中心以及与风景名胜资源保护无关的其他建筑物。</w:t>
      </w:r>
    </w:p>
    <w:p w14:paraId="41E56EA4">
      <w:pPr>
        <w:ind w:firstLine="480"/>
      </w:pPr>
      <w:r>
        <w:rPr>
          <w:rFonts w:hint="eastAsia"/>
        </w:rPr>
        <w:t>在珍贵景物周围和重要景点上，除必须的保护设施外，不得增建其他工程设施。</w:t>
      </w:r>
    </w:p>
    <w:p w14:paraId="19D26D3C">
      <w:pPr>
        <w:ind w:firstLine="480"/>
      </w:pPr>
      <w:r>
        <w:rPr>
          <w:rFonts w:hint="eastAsia"/>
        </w:rPr>
        <w:t>风景名胜区内已建的设施，由当地人民政府进行清理，区别情况，分别对待。凡属污染环境，破坏景观和自然风貌，严重妨碍游览活动的，应当限期治理或者逐步迁出；迁出前，不得扩建、新建设施。</w:t>
      </w:r>
    </w:p>
    <w:p w14:paraId="38B5609A">
      <w:pPr>
        <w:ind w:firstLine="480"/>
      </w:pPr>
      <w:r>
        <w:rPr>
          <w:rFonts w:hint="eastAsia"/>
        </w:rPr>
        <w:t>规划确定修复开放的景点，原使用单位和个人在办理划拨、征用土地等手续后，必须在限期内迁出，并在迁出前负责保护。</w:t>
      </w:r>
    </w:p>
    <w:p w14:paraId="2147CA91">
      <w:pPr>
        <w:ind w:firstLine="480"/>
      </w:pPr>
      <w:r>
        <w:rPr>
          <w:rFonts w:hint="eastAsia"/>
        </w:rPr>
        <w:t>第二十二条 在风景名胜区内禁止进行下列活动：</w:t>
      </w:r>
    </w:p>
    <w:p w14:paraId="5A32CF40">
      <w:pPr>
        <w:ind w:firstLine="480"/>
      </w:pPr>
      <w:r>
        <w:rPr>
          <w:rFonts w:hint="eastAsia"/>
        </w:rPr>
        <w:t>（一）开山、采石、开矿、开荒、修坟立碑等破坏景观、植被和地形地貌的活动；</w:t>
      </w:r>
    </w:p>
    <w:p w14:paraId="6A45BB64">
      <w:pPr>
        <w:ind w:firstLine="480"/>
      </w:pPr>
      <w:r>
        <w:rPr>
          <w:rFonts w:hint="eastAsia"/>
        </w:rPr>
        <w:t>（二）修建储存爆炸性、易燃性、放射性、毒害性、腐蚀性物品的设施；</w:t>
      </w:r>
    </w:p>
    <w:p w14:paraId="1032CFCF">
      <w:pPr>
        <w:ind w:firstLine="480"/>
      </w:pPr>
      <w:r>
        <w:rPr>
          <w:rFonts w:hint="eastAsia"/>
        </w:rPr>
        <w:t>（三）在景物或者设施上刻划、涂污；</w:t>
      </w:r>
    </w:p>
    <w:p w14:paraId="085B01EF">
      <w:pPr>
        <w:ind w:firstLine="480"/>
      </w:pPr>
      <w:r>
        <w:rPr>
          <w:rFonts w:hint="eastAsia"/>
        </w:rPr>
        <w:t>（四）乱扔垃圾。</w:t>
      </w:r>
    </w:p>
    <w:p w14:paraId="2665D71D">
      <w:pPr>
        <w:ind w:firstLine="480"/>
      </w:pPr>
      <w:r>
        <w:rPr>
          <w:rFonts w:hint="eastAsia"/>
        </w:rPr>
        <w:t>第二十五条 严格保护古树名木、古建筑、革命遗址和文物古迹，并悬挂标志，建立档案，切实采取防腐、防震、防洪、避雷以及防治病虫害等保护措施，确保安全。</w:t>
      </w:r>
    </w:p>
    <w:p w14:paraId="2BFA2A3C">
      <w:pPr>
        <w:ind w:firstLine="482"/>
        <w:rPr>
          <w:b/>
          <w:bCs/>
        </w:rPr>
      </w:pPr>
      <w:r>
        <w:rPr>
          <w:rFonts w:hint="eastAsia"/>
          <w:b/>
          <w:bCs/>
        </w:rPr>
        <w:t>《江苏茅山风景名胜区总体规划（2017-2035年）》：</w:t>
      </w:r>
    </w:p>
    <w:p w14:paraId="37330A34">
      <w:pPr>
        <w:ind w:firstLine="480"/>
      </w:pPr>
      <w:r>
        <w:rPr>
          <w:rFonts w:hint="eastAsia"/>
        </w:rPr>
        <w:t>第五条 资源分级保护</w:t>
      </w:r>
    </w:p>
    <w:p w14:paraId="3C1B2E87">
      <w:pPr>
        <w:ind w:firstLine="480"/>
      </w:pPr>
      <w:r>
        <w:rPr>
          <w:rFonts w:hint="eastAsia"/>
        </w:rPr>
        <w:t>实施分级保护，划分为一级、二级、三级保护区3个层次，并对一级、二级保护区实施重点保护控制。</w:t>
      </w:r>
    </w:p>
    <w:p w14:paraId="79D4CF60">
      <w:pPr>
        <w:ind w:firstLine="480"/>
      </w:pPr>
      <w:r>
        <w:rPr>
          <w:rFonts w:hint="eastAsia"/>
        </w:rPr>
        <w:t>1．一级保护区（严格禁止建设范围）</w:t>
      </w:r>
    </w:p>
    <w:p w14:paraId="74248A03">
      <w:pPr>
        <w:ind w:firstLine="480"/>
      </w:pPr>
      <w:r>
        <w:rPr>
          <w:rFonts w:hint="eastAsia"/>
        </w:rPr>
        <w:t>一级保护区为核心景区（包含一级景群和一级景点），面积11.51平方公里。</w:t>
      </w:r>
    </w:p>
    <w:p w14:paraId="38CF83E9">
      <w:pPr>
        <w:ind w:firstLine="480"/>
      </w:pPr>
      <w:r>
        <w:rPr>
          <w:rFonts w:hint="eastAsia"/>
        </w:rPr>
        <w:t>以保护资源、维护和提升景观品质为主要目标。保护九霄万福宫等道教宫观建筑和苏南抗战胜利纪念碑等红色文化景观，保护大茅峰、二茅峰、三茅峰的自然山形地貌、山体植被以及句容东进水库、莽蛇洞水库、白云观水库等水体景观。</w:t>
      </w:r>
    </w:p>
    <w:p w14:paraId="0C044E00">
      <w:pPr>
        <w:ind w:firstLine="480"/>
      </w:pPr>
      <w:r>
        <w:rPr>
          <w:rFonts w:hint="eastAsia"/>
        </w:rPr>
        <w:t>适度开展观光游览、生态休闲、文化体验活动；适当设置文化展示、景观休憩、游览步道、生态厕所、游客安全等设施；除森林防火、应急救援等，控制外来机动交通进入保护区。</w:t>
      </w:r>
    </w:p>
    <w:p w14:paraId="1C310D00">
      <w:pPr>
        <w:ind w:firstLine="480"/>
      </w:pPr>
      <w:r>
        <w:rPr>
          <w:rFonts w:hint="eastAsia"/>
        </w:rPr>
        <w:t>严格禁止与资源保护、生态保育、风景游赏和防洪保安无关的各类工程建设；区内不得安排重大建设工程项目；对于符合规划要求的建设项目，严格按照规定程序进行报批；对现有不符合规划以及与资源保护无关的设施应逐步搬迁、拆除或改为风景游赏用途。</w:t>
      </w:r>
    </w:p>
    <w:p w14:paraId="20CC78EB">
      <w:pPr>
        <w:ind w:firstLine="480"/>
      </w:pPr>
      <w:r>
        <w:rPr>
          <w:rFonts w:hint="eastAsia"/>
        </w:rPr>
        <w:t>2．二级保护区（严格限制建设范围）</w:t>
      </w:r>
    </w:p>
    <w:p w14:paraId="5F478086">
      <w:pPr>
        <w:ind w:firstLine="480"/>
      </w:pPr>
      <w:r>
        <w:rPr>
          <w:rFonts w:hint="eastAsia"/>
        </w:rPr>
        <w:t>二级保护区为一级保护区周边具有典型景观和较高游赏价值的区域，是风景名胜区主要的游赏区域，面积14.29平方公里。</w:t>
      </w:r>
    </w:p>
    <w:p w14:paraId="551A7483">
      <w:pPr>
        <w:ind w:firstLine="480"/>
      </w:pPr>
      <w:r>
        <w:rPr>
          <w:rFonts w:hint="eastAsia"/>
        </w:rPr>
        <w:t>保护石龙山、长龙山、良常山等山体，严禁开山采石和砍伐林木，优化山体林相景观；提升海底水库、红旗水库、民兵水库、老虎洞水库等水体周边景观环境，严格禁止污水排入；结合林相改造和环境整治，拓展游赏空间；严格控制设施建设，现状游览设施加强风貌整治，建筑风貌要与景观环境相协调，新建游览设施项目须严格履行审批手续，不得安排与风景游览和游赏服务无关的设施；区内原则上不得安排本规划确定以外的重大建设工程项目。</w:t>
      </w:r>
    </w:p>
    <w:p w14:paraId="72F4ABA4">
      <w:pPr>
        <w:ind w:firstLine="480"/>
      </w:pPr>
      <w:r>
        <w:rPr>
          <w:rFonts w:hint="eastAsia"/>
        </w:rPr>
        <w:t>3．三级保护区（控制建设范围）</w:t>
      </w:r>
    </w:p>
    <w:p w14:paraId="2F699B8E">
      <w:pPr>
        <w:ind w:firstLine="480"/>
      </w:pPr>
      <w:r>
        <w:rPr>
          <w:rFonts w:hint="eastAsia"/>
        </w:rPr>
        <w:t>三级保护区为一级、二级保护区以外的区域，是风景区重要的设施建设区和环境背景区，面积10.43平方公里。</w:t>
      </w:r>
    </w:p>
    <w:p w14:paraId="01815C80">
      <w:pPr>
        <w:ind w:firstLine="480"/>
      </w:pPr>
      <w:r>
        <w:rPr>
          <w:rFonts w:hint="eastAsia"/>
        </w:rPr>
        <w:t>适度安排游览服务设施，各类设施建设应当以详细规划为依据，科学编制建设方案，严格履行审批手续；建设项目性质、功能、布局、规模、体量应符合所在区域的规划控制要求；集镇和居民点建设必须严格履行风景区和城乡规划建设等法定的审批程序，控制建设范围、强度和建筑风貌，与周边自然和文化景观风貌相协调。</w:t>
      </w:r>
    </w:p>
    <w:p w14:paraId="5AC639AB">
      <w:pPr>
        <w:ind w:firstLine="480"/>
      </w:pPr>
      <w:r>
        <w:rPr>
          <w:rFonts w:hint="eastAsia"/>
        </w:rPr>
        <w:t>（2）相符性分析</w:t>
      </w:r>
    </w:p>
    <w:p w14:paraId="019F448B">
      <w:pPr>
        <w:ind w:firstLine="480"/>
      </w:pPr>
      <w:r>
        <w:rPr>
          <w:rFonts w:hint="eastAsia"/>
        </w:rPr>
        <w:t>经叠图分析，本轮规划范围涵盖茅山风景名胜区（金坛片区），结合本次用地规划及旅游项目规划布局，茅山风景名胜区（金坛片区）核心区范围内不涉及新增建设用地，一级保护区（核心景区）内涉及的“茅山·乾元圣境”旅游项目为现有道教宫观建筑修缮改造，“茅山飞渡·空中博物馆”旅游项目为现有缆车设施改造，“福道茅山主题登山道”旅游项目均为现有登山步道改造，不属于《江苏省风景名胜区管理条例》《江苏茅山风景名胜区总体规划》中禁止的活动。二、三级保护区内涉及的“鸣玉径·妙音路”“希言旅社”“茅山森林世界度假目的地”“新白茶社”“茅山文创坊”“隐·茅山”等旅游项目属于观光游览、生态休闲、文化体验活动，后续项目的开发建设将严格履行审批手续，控制建设范围、强度和建筑风貌，满足生态空间保护相关规划的控制要求。综上所述，本轮规划与《江苏省风景名胜区管理条例》《江苏茅山风景名胜区总体规划》相符合。</w:t>
      </w:r>
    </w:p>
    <w:p w14:paraId="56154B42">
      <w:pPr>
        <w:ind w:firstLine="0" w:firstLineChars="0"/>
        <w:outlineLvl w:val="3"/>
        <w:rPr>
          <w:b/>
          <w:bCs/>
        </w:rPr>
      </w:pPr>
      <w:r>
        <w:rPr>
          <w:rFonts w:hint="eastAsia"/>
          <w:b/>
          <w:bCs/>
        </w:rPr>
        <w:t>2.3.4.9与《江苏省湿地保护条例》相符性分析</w:t>
      </w:r>
    </w:p>
    <w:p w14:paraId="09F4F6C0">
      <w:pPr>
        <w:ind w:firstLine="480"/>
      </w:pPr>
      <w:r>
        <w:rPr>
          <w:rFonts w:hint="eastAsia"/>
        </w:rPr>
        <w:t>（1）相关要点</w:t>
      </w:r>
    </w:p>
    <w:p w14:paraId="15AAE58A">
      <w:pPr>
        <w:ind w:firstLine="480"/>
      </w:pPr>
      <w:r>
        <w:rPr>
          <w:rFonts w:hint="eastAsia"/>
        </w:rPr>
        <w:t>第十九条  本省严格控制占用湿地。</w:t>
      </w:r>
    </w:p>
    <w:p w14:paraId="5834A50A">
      <w:pPr>
        <w:ind w:firstLine="480"/>
      </w:pPr>
      <w:r>
        <w:rPr>
          <w:rFonts w:hint="eastAsia"/>
        </w:rPr>
        <w:t>国家重要湿地的占用，按照国家有关规定执行。</w:t>
      </w:r>
    </w:p>
    <w:p w14:paraId="76AC5C87">
      <w:pPr>
        <w:ind w:firstLine="480"/>
      </w:pPr>
      <w:r>
        <w:rPr>
          <w:rFonts w:hint="eastAsia"/>
        </w:rPr>
        <w:t>禁止占用省级重要湿地，国家重大项目、防灾减灾项目、重要水利及保护设施项目、湿地保护项目、省重大项目以及无法避让且符合县级以上国土空间规划的线性基础设施除外。涉及自然保护区、风景名胜区、饮用水水源保护区等区域，有关法律法规和国务院另有规定的，从其规定。</w:t>
      </w:r>
    </w:p>
    <w:p w14:paraId="4D669676">
      <w:pPr>
        <w:ind w:firstLine="480"/>
      </w:pPr>
      <w:r>
        <w:rPr>
          <w:rFonts w:hint="eastAsia"/>
        </w:rPr>
        <w:t>建设项目规划选址、选线应当避让湿地，无法避让的应当尽量减少占用，并采取必要措施减轻对湿地生态功能的不利影响。</w:t>
      </w:r>
    </w:p>
    <w:p w14:paraId="73A70A9A">
      <w:pPr>
        <w:ind w:firstLine="480"/>
      </w:pPr>
      <w:r>
        <w:rPr>
          <w:rFonts w:hint="eastAsia"/>
        </w:rPr>
        <w:t>有关部门办理建设项目规划选址、选线审批或者核准手续时，涉及省级重要湿地的，应当征求省林业主管部门意见；涉及一般湿地的，应当按照管理权限征求设区的市、县级林业主管部门的意见。林业主管部门应当在十个工作日内出具相关意见。</w:t>
      </w:r>
    </w:p>
    <w:p w14:paraId="6A4E98B3">
      <w:pPr>
        <w:ind w:firstLine="480"/>
      </w:pPr>
      <w:r>
        <w:rPr>
          <w:rFonts w:hint="eastAsia"/>
        </w:rPr>
        <w:t>第二十五条  在确保湿地面积和生态功能稳定的前提下，湿地资源可以合理利用。</w:t>
      </w:r>
    </w:p>
    <w:p w14:paraId="6444F473">
      <w:pPr>
        <w:ind w:firstLine="480"/>
      </w:pPr>
      <w:r>
        <w:rPr>
          <w:rFonts w:hint="eastAsia"/>
        </w:rPr>
        <w:t>在湿地范围内从事旅游、种植、畜牧、水产养殖、航运等利用活动，应当充分考虑湿地资源承载能力，避免破坏湿地生态系统基本功能和野生动植物栖息环境，并采取措施减轻对湿地生态功能的不利影响。</w:t>
      </w:r>
    </w:p>
    <w:p w14:paraId="4462CF6C">
      <w:pPr>
        <w:ind w:firstLine="480"/>
      </w:pPr>
      <w:r>
        <w:rPr>
          <w:rFonts w:hint="eastAsia"/>
        </w:rPr>
        <w:t>第二十六条  鼓励单位和个人结合本地区人文元素、历史文化、自然景观等，开展符合湿地保护要求的生态旅游、生态农业、生态教育、自然体验等活动，拓展湿地生态产品价值实现路径。</w:t>
      </w:r>
    </w:p>
    <w:p w14:paraId="1DBC2E70">
      <w:pPr>
        <w:ind w:firstLine="480"/>
      </w:pPr>
      <w:r>
        <w:rPr>
          <w:rFonts w:hint="eastAsia"/>
        </w:rPr>
        <w:t>支持社会组织、企业事业单位、当地居民等，通过社区共建、协议保护、公益岗位等形式参与湿地管护。</w:t>
      </w:r>
    </w:p>
    <w:p w14:paraId="574E4E1C">
      <w:pPr>
        <w:ind w:firstLine="480"/>
      </w:pPr>
      <w:r>
        <w:rPr>
          <w:rFonts w:hint="eastAsia"/>
        </w:rPr>
        <w:t>第二十七条  禁止下列破坏湿地及其生态功能的行为：</w:t>
      </w:r>
    </w:p>
    <w:p w14:paraId="721776B0">
      <w:pPr>
        <w:ind w:firstLine="480"/>
      </w:pPr>
      <w:r>
        <w:rPr>
          <w:rFonts w:hint="eastAsia"/>
        </w:rPr>
        <w:t>（一）开（围）垦、排干自然湿地，永久性截断自然湿地水源；</w:t>
      </w:r>
    </w:p>
    <w:p w14:paraId="09313B12">
      <w:pPr>
        <w:ind w:firstLine="480"/>
      </w:pPr>
      <w:r>
        <w:rPr>
          <w:rFonts w:hint="eastAsia"/>
        </w:rPr>
        <w:t>（二）擅自填埋自然湿地，擅自采砂、采矿、取土；</w:t>
      </w:r>
    </w:p>
    <w:p w14:paraId="40B3E234">
      <w:pPr>
        <w:ind w:firstLine="480"/>
      </w:pPr>
      <w:r>
        <w:rPr>
          <w:rFonts w:hint="eastAsia"/>
        </w:rPr>
        <w:t>（三）排放不符合水污染物排放标准的工业废水、生活污水及其他污染湿地的废水、污水，倾倒、堆放、丢弃、遗撒固体废物；</w:t>
      </w:r>
    </w:p>
    <w:p w14:paraId="4FF9B55D">
      <w:pPr>
        <w:ind w:firstLine="480"/>
      </w:pPr>
      <w:r>
        <w:rPr>
          <w:rFonts w:hint="eastAsia"/>
        </w:rPr>
        <w:t>（四）过度放牧或者滥采野生植物，过度捕捞或者灭绝式捕捞，过度施肥、投药、投放饵料等污染湿地的种植养殖行为；</w:t>
      </w:r>
    </w:p>
    <w:p w14:paraId="39AF8DC6">
      <w:pPr>
        <w:ind w:firstLine="480"/>
      </w:pPr>
      <w:r>
        <w:rPr>
          <w:rFonts w:hint="eastAsia"/>
        </w:rPr>
        <w:t>（五）其他破坏湿地及其生态功能的行为。</w:t>
      </w:r>
    </w:p>
    <w:p w14:paraId="1EDEA85E">
      <w:pPr>
        <w:ind w:firstLine="480"/>
      </w:pPr>
      <w:r>
        <w:rPr>
          <w:rFonts w:hint="eastAsia"/>
        </w:rPr>
        <w:t>禁止破坏鸟类和水生生物的生存环境。禁止在以水鸟为保护对象的自然保护地及其他重要栖息地从事捕鱼、挖捕底栖生物、捡拾鸟蛋、破坏鸟巢等危及水鸟生存、繁衍的活动。</w:t>
      </w:r>
    </w:p>
    <w:p w14:paraId="5EEDE3E8">
      <w:pPr>
        <w:ind w:firstLine="480"/>
      </w:pPr>
      <w:r>
        <w:rPr>
          <w:rFonts w:hint="eastAsia"/>
        </w:rPr>
        <w:t>禁止向湿地引进和放生外来物种；确需引进的，应当进行科学评估，并依法取得批准。</w:t>
      </w:r>
    </w:p>
    <w:p w14:paraId="674D193D">
      <w:pPr>
        <w:ind w:firstLine="480"/>
      </w:pPr>
      <w:r>
        <w:rPr>
          <w:rFonts w:hint="eastAsia"/>
        </w:rPr>
        <w:t>（2）相符性分析</w:t>
      </w:r>
    </w:p>
    <w:p w14:paraId="13CE30D3">
      <w:pPr>
        <w:ind w:firstLine="480"/>
      </w:pPr>
      <w:r>
        <w:rPr>
          <w:rFonts w:hint="eastAsia"/>
        </w:rPr>
        <w:t>度假区内有数量众多的水库和坑塘，不涉及国家、省、市级重要湿地。本轮规划将湿地范围设置为生态保护区，采取绝对保护方针，除少数游览道和必要的管理设施外，原则上不允许进行任何建设活动，严格控制游客接待量及人工设施，严令禁止砍伐森林资源，一切保持其自然原始的风貌；规划区内居民及游客生活污水接管进入常州市金坛区茅东污水处理厂处理，尾水排入薛埠河，严禁生活污水直接排入湿地水体，对湿地的生态环境影响较小；依托金坛区山水林田湖草生态保护和修复工程建设，实施度假区生态景观提升工程，主要包括内部绿线景观工程、水面栽植水生植物等，注重与周围自然环境相协调。实施红线区林相改造工程，以进一步发挥江苏常州金坛茅东省级森林公园、茅东山地水源涵养区森林生态系统在自然与人文景观保护、保持水土以及涵养水源方面的作用。同时，茅山旅游度假区将大力开展湿地景点保护工作，采取多种保护措施，提升生态景观品质。严禁在湿地内挖砂、取土、倾倒、堆放固体废弃物等行为。加强对湿地野生动物的保护，旅游活动远离野生珍禽，防止破坏野生动物的栖息地。抓好植树绿化工作，禁止采伐林木。深化水资源保护和水土保持，保护好水体环境，并在施工期间加强对水库的保护，维持水质清洁良好。综上所述，本轮规划与《江苏省湿地保护条例》相符合。</w:t>
      </w:r>
    </w:p>
    <w:p w14:paraId="6833C533">
      <w:pPr>
        <w:ind w:firstLine="0" w:firstLineChars="0"/>
        <w:outlineLvl w:val="3"/>
        <w:rPr>
          <w:b/>
          <w:bCs/>
        </w:rPr>
      </w:pPr>
      <w:r>
        <w:rPr>
          <w:rFonts w:hint="eastAsia"/>
          <w:b/>
          <w:bCs/>
        </w:rPr>
        <w:t>2.3.4.10与《江苏省自然生态保护修复行为负面清单（2025年版）》相符性分析</w:t>
      </w:r>
    </w:p>
    <w:p w14:paraId="2521185C">
      <w:pPr>
        <w:ind w:firstLine="480"/>
      </w:pPr>
      <w:r>
        <w:rPr>
          <w:rFonts w:hint="eastAsia"/>
        </w:rPr>
        <w:t>（1）相关要点</w:t>
      </w:r>
    </w:p>
    <w:p w14:paraId="01B04B4E">
      <w:pPr>
        <w:ind w:firstLine="480"/>
      </w:pPr>
      <w:r>
        <w:rPr>
          <w:rFonts w:hint="eastAsia"/>
        </w:rPr>
        <w:t>一、重要生态空间保护修复。禁止在生态保护红线、生态空间管控区域、自然保护区内“开天窗”式开发。</w:t>
      </w:r>
    </w:p>
    <w:p w14:paraId="6345A68E">
      <w:pPr>
        <w:ind w:firstLine="480"/>
      </w:pPr>
      <w:r>
        <w:rPr>
          <w:rFonts w:hint="eastAsia"/>
        </w:rPr>
        <w:t>二、土壤利用和保护修复。禁止以“污染搬家”方式转移污染物。禁止向农用地排放可能造成土壤污染的尾矿、矿渣、不达标的清淤底泥等。禁止新占用耕地建窑、建坟或者擅自在耕地上建房、挖砂、采石、采矿、取土等。禁止占用永久基本农田发展林果业和挖塘养鱼。</w:t>
      </w:r>
    </w:p>
    <w:p w14:paraId="021390C6">
      <w:pPr>
        <w:ind w:firstLine="480"/>
      </w:pPr>
      <w:r>
        <w:rPr>
          <w:rFonts w:hint="eastAsia"/>
        </w:rPr>
        <w:t>三、矿山生态修复。禁止以实施矿山生态修复之名，违法开采矿产资源。自然保护区、风景名胜区、地质遗迹保护区、国家级森林公园等区域内，禁止实施有剩余土石料对外销售的生态修复项目，禁止实施未列入省级地质灾害治理或生态修复计划的废弃矿山、采石宕口等治理或修复工程项目。禁止采取不合理的开采顺序、开采方法和选矿工艺。禁止矿产资源无序开发、野蛮开采，禁止矿山一关了之，不履行生态修复治理主体责任。禁止越界开采、超经审查批准的安全设施设计确定的实际生产建设规模开采、超期开采，禁止违规矿业权停而不退。禁止营造矿山生态修复假象，不得采用“迷彩服”、绿色防尘网“遮羞”。禁止绿色矿山创建弄虚作假。</w:t>
      </w:r>
    </w:p>
    <w:p w14:paraId="43A5B7B9">
      <w:pPr>
        <w:ind w:firstLine="480"/>
      </w:pPr>
      <w:r>
        <w:rPr>
          <w:rFonts w:hint="eastAsia"/>
        </w:rPr>
        <w:t>四、河道湖塘生态管控。禁止非法侵占河湖水域和水库库容，禁止侵占河道、违法修建跨河临河建筑物构筑物、弃置或堆放阻碍行洪物体等妨碍河道行洪安全。禁止在有山体滑坡、崩岸、泥石流等自然灾害的河段，从事开山采石、采矿、开荒等危及山体稳定的活动。</w:t>
      </w:r>
    </w:p>
    <w:p w14:paraId="47860C1A">
      <w:pPr>
        <w:ind w:firstLine="480"/>
      </w:pPr>
      <w:r>
        <w:rPr>
          <w:rFonts w:hint="eastAsia"/>
        </w:rPr>
        <w:t>五、造林绿化活动。禁止占用永久基本农田种植用于绿化装饰的植物，禁止占用永久基本农田建设绿化带。禁止改变或破坏生态敏感和脆弱区沿线地形地貌。禁止在环境条件不适宜的情况下通过大面积开挖等人为干预措施，或以旅游开发为导向进行湿地公园建设。推行生态绿化，广植乡土树种，限制非适地、适生植物的栽植。严格限制用非乡土植物及人工化造景方式进行乡村绿化建设。</w:t>
      </w:r>
    </w:p>
    <w:p w14:paraId="7C8B0E65">
      <w:pPr>
        <w:ind w:firstLine="480"/>
      </w:pPr>
      <w:r>
        <w:rPr>
          <w:rFonts w:hint="eastAsia"/>
        </w:rPr>
        <w:t>七、水土流失防治。禁止在二十五度以上陡坡地开垦种植农作物。禁止在崩塌、滑坡危险区和泥石流易发区从事取土、挖砂、采石等可能造成水土流失的活动。在侵蚀沟的边坡和沟岸、河流的两岸以及湖泊和水库周边，土地所有权人、使用权人或有关管理单位应当营造植物保护带，禁止开垦、开发植物保护带。</w:t>
      </w:r>
    </w:p>
    <w:p w14:paraId="7DB4276F">
      <w:pPr>
        <w:ind w:firstLine="480"/>
      </w:pPr>
      <w:r>
        <w:rPr>
          <w:rFonts w:hint="eastAsia"/>
        </w:rPr>
        <w:t>（2）相符性分析</w:t>
      </w:r>
    </w:p>
    <w:p w14:paraId="0359B926">
      <w:pPr>
        <w:ind w:firstLine="480"/>
      </w:pPr>
      <w:r>
        <w:rPr>
          <w:rFonts w:hint="eastAsia"/>
        </w:rPr>
        <w:t>根据本次用地规划及旅游项目规划布局，涉永久基本农田范围不涉及旅游项目的入驻，相关项目的开发建设将严格落实生态空间管控区域相关管理条例，仅开展对生态功能不造成破坏的有限人为活动，不涉及开发性、生产性建设活动。度假区开发建设严禁占用永久基本农田，严禁一切破坏永久基本农田的行为；占用一般耕地的，严格落实耕地占补平衡，做好各项补偿措施。严禁发生向农用地排放可能造成土壤污染的尾矿、矿渣、不达标的清淤底泥等；新占用耕地建窑、建坟或者擅自在耕地上建房、挖砂、采石、采矿、取土等；占用永久基本农田发展林果业和挖塘养鱼的行为；加强林木资源保护，严格控制林木采伐行为，对度假区内涉及的省级森林公园、生态公益林等区域的林木资源，按照相关法律法规及管理要求，制定严格的保护措施。综上所述，度假区本轮规划不存在《江苏省自然生态保护修复行为负面清单（2025年版）》中的明确禁止行为。</w:t>
      </w:r>
    </w:p>
    <w:p w14:paraId="2420A8F8">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2.</w:t>
      </w:r>
      <w:r>
        <w:rPr>
          <w:rFonts w:hint="eastAsia" w:eastAsia="方正楷体_GBK" w:cs="Times New Roman"/>
          <w:b/>
          <w:bCs/>
          <w:szCs w:val="28"/>
          <w14:ligatures w14:val="none"/>
        </w:rPr>
        <w:t>3.5与生态环境分区管控要求的相符性分析</w:t>
      </w:r>
    </w:p>
    <w:p w14:paraId="13FEF47C">
      <w:pPr>
        <w:ind w:firstLine="0" w:firstLineChars="0"/>
        <w:outlineLvl w:val="3"/>
        <w:rPr>
          <w:b/>
          <w:bCs/>
        </w:rPr>
      </w:pPr>
      <w:r>
        <w:rPr>
          <w:b/>
          <w:bCs/>
        </w:rPr>
        <w:t>2.</w:t>
      </w:r>
      <w:r>
        <w:rPr>
          <w:rFonts w:hint="eastAsia"/>
          <w:b/>
          <w:bCs/>
        </w:rPr>
        <w:t>3</w:t>
      </w:r>
      <w:r>
        <w:rPr>
          <w:b/>
          <w:bCs/>
        </w:rPr>
        <w:t>.5.1</w:t>
      </w:r>
      <w:r>
        <w:rPr>
          <w:rFonts w:hint="eastAsia"/>
          <w:b/>
          <w:bCs/>
        </w:rPr>
        <w:t>与《江苏省“三线一单”生态环境分区管控方案》《江苏省2023年度生态环境分区管控动态更新成果》相符性分析</w:t>
      </w:r>
    </w:p>
    <w:p w14:paraId="36F5E9FA">
      <w:pPr>
        <w:ind w:firstLine="480"/>
      </w:pPr>
      <w:r>
        <w:rPr>
          <w:rFonts w:hint="eastAsia"/>
        </w:rPr>
        <w:t>（1）相关要点</w:t>
      </w:r>
    </w:p>
    <w:p w14:paraId="131DE6C0">
      <w:pPr>
        <w:ind w:firstLine="480"/>
      </w:pPr>
      <w:r>
        <w:rPr>
          <w:rFonts w:hint="eastAsia"/>
        </w:rPr>
        <w:t>2024年，江苏省生态环境厅开展了生态环境分区管控成果动态更新工作，更新重点衔接《江苏省国土空间规划（2021—2035年）》，依据最新法律法规和相关政策、规划，对生态保护红线、环境质量底线和资源利用上线，以及生态环境管控单元和准入清单进行更新。</w:t>
      </w:r>
    </w:p>
    <w:p w14:paraId="7D2A1FCC">
      <w:pPr>
        <w:ind w:firstLine="480"/>
      </w:pPr>
      <w:r>
        <w:rPr>
          <w:rFonts w:hint="eastAsia"/>
        </w:rPr>
        <w:t>全省更新后的陆域环境管控单元4258个，其中优先保护单元1297个，占全省陆域面积超过20%；重点管控单元1992个，一般管控单元969个。近岸海域生态环境管控单元更新为302个，其中优先保护单元100个，占全省海域面积近30%；重点管控单元152个，一般管控单元50个。优先保护单元严格按照国家生态保护红线和生态空间管控区域管理规定进行管控。依法禁止或限制开发建设活动，确保生态环境功能不降低、面积不减少、性质不改变；优先开展生态功能受损区域生态保护修复活动，恢复生态系统服务功能。重点管控单元主要推进产业布局优化、转型升级，不断提高资源利用效率，加强污染物排放控制和环境风险防控，解决突出生态环境问题。管控方案建立完善并落实省域、重点区域（流域）、市域及各类环境管控单元的“1+4+13+N”生态环境分区管控体系，包括全省“1”个总体管控要求，长江流域、太湖流域、淮河流域、沿海地区等“4”个重点区域（流域）管控要求，“13”个设区市管控要求，以及全省“N”个环境管控单元的生态环境准入清单，着重加强省级及以上产业园区、市县级及以下产业园区环境管理，严格落实生态环境准入清单要求。江苏省生态环境分区管控总体要求和江苏省重点区域（流域）生态环境分区管控要求见表</w:t>
      </w:r>
      <w:r>
        <w:t>2.</w:t>
      </w:r>
      <w:r>
        <w:rPr>
          <w:rFonts w:hint="eastAsia"/>
        </w:rPr>
        <w:t>3-3。</w:t>
      </w:r>
    </w:p>
    <w:p w14:paraId="5412E353">
      <w:pPr>
        <w:ind w:firstLine="480"/>
      </w:pPr>
      <w:r>
        <w:rPr>
          <w:rFonts w:hint="eastAsia"/>
        </w:rPr>
        <w:t>（2）相符性分析</w:t>
      </w:r>
    </w:p>
    <w:p w14:paraId="73A7B7B3">
      <w:pPr>
        <w:ind w:firstLine="480"/>
      </w:pPr>
      <w:r>
        <w:rPr>
          <w:rFonts w:hint="eastAsia"/>
        </w:rPr>
        <w:t>依据《省政府关于印发江苏省“三线一单”生态环境分区管控方案的通知》（苏政发〔2020〕49号）和《江苏省2023年度生态环境分区管控动态更新成果》，度假区规划范围内不涉及重点管控单元，区域内的茅东山地水源涵养区、向阳水库水源涵养区、方山（金坛区）森林公园、四棚洼生态公益林、江苏常州金坛茅东省级森林公园为优先保护单元，规划范围内其他区域为一般管控单元。另外度假区位于太湖流域三级保护区，需执行江苏省生态环境分区管控总体要求和江苏省太湖流域生态环境分区管控要求，其相符性见表</w:t>
      </w:r>
      <w:r>
        <w:t>2.</w:t>
      </w:r>
      <w:r>
        <w:rPr>
          <w:rFonts w:hint="eastAsia"/>
        </w:rPr>
        <w:t>3-3。</w:t>
      </w:r>
    </w:p>
    <w:p w14:paraId="043F31FC">
      <w:pPr>
        <w:ind w:firstLine="480"/>
      </w:pPr>
      <w:r>
        <w:rPr>
          <w:rFonts w:hint="eastAsia"/>
        </w:rPr>
        <w:t>对照生态环境准入要求，度假区本轮规划的产业发展规划、环境保护规划、污染物排放要求、环境风险管控等符合各项空间布局约束、污染排放管控、环境风险管控和资源开发效率要求，在规划实施过程中，污染物排放管控和资源开发效率要求不得超出环境管控单元的管控要求。</w:t>
      </w:r>
    </w:p>
    <w:p w14:paraId="076D5004">
      <w:pPr>
        <w:ind w:firstLine="480"/>
      </w:pPr>
      <w:r>
        <w:rPr>
          <w:rFonts w:hint="eastAsia"/>
        </w:rPr>
        <w:t>综上所述，本轮规划与《省政府关于印发江苏省“三线一单”生态环境分区管控方案的通知》（苏政发〔2020〕49号）和《江苏省2023年度生态环境分区管控动态更新成果》相符合。</w:t>
      </w:r>
    </w:p>
    <w:p w14:paraId="07A3572A">
      <w:pPr>
        <w:ind w:firstLine="480"/>
      </w:pPr>
    </w:p>
    <w:p w14:paraId="20539218">
      <w:pPr>
        <w:ind w:firstLine="480"/>
        <w:sectPr>
          <w:pgSz w:w="11906" w:h="16838"/>
          <w:pgMar w:top="1440" w:right="1800" w:bottom="1440" w:left="1800" w:header="851" w:footer="992" w:gutter="0"/>
          <w:cols w:space="425" w:num="1"/>
          <w:docGrid w:type="lines" w:linePitch="312" w:charSpace="0"/>
        </w:sectPr>
      </w:pPr>
    </w:p>
    <w:p w14:paraId="41186029">
      <w:pPr>
        <w:pStyle w:val="45"/>
        <w:rPr>
          <w:rFonts w:cs="Times New Roman"/>
        </w:rPr>
      </w:pPr>
      <w:r>
        <w:rPr>
          <w:rFonts w:hint="eastAsia" w:cs="Times New Roman"/>
        </w:rPr>
        <w:t>表</w:t>
      </w:r>
      <w:r>
        <w:rPr>
          <w:rFonts w:cs="Times New Roman"/>
        </w:rPr>
        <w:t>2.</w:t>
      </w:r>
      <w:r>
        <w:rPr>
          <w:rFonts w:hint="eastAsia" w:cs="Times New Roman"/>
        </w:rPr>
        <w:t xml:space="preserve">3-3 </w:t>
      </w:r>
      <w:r>
        <w:rPr>
          <w:rFonts w:cs="Times New Roman"/>
        </w:rPr>
        <w:t xml:space="preserve"> </w:t>
      </w:r>
      <w:r>
        <w:rPr>
          <w:rFonts w:hint="eastAsia" w:cs="Times New Roman"/>
        </w:rPr>
        <w:t>度假区与江苏省生态环境分区管控要求相符性分析表</w:t>
      </w:r>
    </w:p>
    <w:tbl>
      <w:tblPr>
        <w:tblStyle w:val="26"/>
        <w:tblW w:w="501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17"/>
        <w:gridCol w:w="1274"/>
        <w:gridCol w:w="6957"/>
        <w:gridCol w:w="3978"/>
        <w:gridCol w:w="1195"/>
      </w:tblGrid>
      <w:tr w14:paraId="4D445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220" w:type="pct"/>
            <w:vAlign w:val="center"/>
          </w:tcPr>
          <w:p w14:paraId="5F2DDCA2">
            <w:pPr>
              <w:snapToGrid w:val="0"/>
              <w:spacing w:line="240" w:lineRule="auto"/>
              <w:ind w:firstLine="0" w:firstLineChars="0"/>
              <w:jc w:val="center"/>
              <w:rPr>
                <w:rFonts w:cs="Times New Roman"/>
                <w:b/>
                <w:sz w:val="21"/>
                <w:szCs w:val="21"/>
              </w:rPr>
            </w:pPr>
            <w:r>
              <w:rPr>
                <w:rFonts w:hint="eastAsia" w:cs="Times New Roman"/>
                <w:b/>
                <w:sz w:val="21"/>
                <w:szCs w:val="21"/>
              </w:rPr>
              <w:t>区域</w:t>
            </w:r>
          </w:p>
        </w:tc>
        <w:tc>
          <w:tcPr>
            <w:tcW w:w="454" w:type="pct"/>
            <w:vAlign w:val="center"/>
          </w:tcPr>
          <w:p w14:paraId="7D762796">
            <w:pPr>
              <w:snapToGrid w:val="0"/>
              <w:spacing w:line="240" w:lineRule="auto"/>
              <w:ind w:firstLine="0" w:firstLineChars="0"/>
              <w:jc w:val="center"/>
              <w:rPr>
                <w:rFonts w:cs="Times New Roman"/>
                <w:b/>
                <w:sz w:val="21"/>
                <w:szCs w:val="21"/>
              </w:rPr>
            </w:pPr>
            <w:r>
              <w:rPr>
                <w:rFonts w:hint="eastAsia" w:cs="Times New Roman"/>
                <w:b/>
                <w:sz w:val="21"/>
                <w:szCs w:val="21"/>
              </w:rPr>
              <w:t>管控类别</w:t>
            </w:r>
          </w:p>
        </w:tc>
        <w:tc>
          <w:tcPr>
            <w:tcW w:w="2480" w:type="pct"/>
            <w:vAlign w:val="center"/>
          </w:tcPr>
          <w:p w14:paraId="38D9A58C">
            <w:pPr>
              <w:snapToGrid w:val="0"/>
              <w:spacing w:line="240" w:lineRule="auto"/>
              <w:ind w:firstLine="0" w:firstLineChars="0"/>
              <w:jc w:val="center"/>
              <w:rPr>
                <w:rFonts w:cs="Times New Roman"/>
                <w:b/>
                <w:sz w:val="21"/>
                <w:szCs w:val="21"/>
              </w:rPr>
            </w:pPr>
            <w:r>
              <w:rPr>
                <w:rFonts w:hint="eastAsia" w:cs="Times New Roman"/>
                <w:b/>
                <w:sz w:val="21"/>
                <w:szCs w:val="21"/>
              </w:rPr>
              <w:t>重点管控要求</w:t>
            </w:r>
          </w:p>
        </w:tc>
        <w:tc>
          <w:tcPr>
            <w:tcW w:w="1418" w:type="pct"/>
            <w:vAlign w:val="center"/>
          </w:tcPr>
          <w:p w14:paraId="10B0AFAC">
            <w:pPr>
              <w:snapToGrid w:val="0"/>
              <w:spacing w:line="240" w:lineRule="auto"/>
              <w:ind w:firstLine="0" w:firstLineChars="0"/>
              <w:jc w:val="center"/>
              <w:rPr>
                <w:rFonts w:cs="Times New Roman"/>
                <w:b/>
                <w:sz w:val="21"/>
                <w:szCs w:val="21"/>
              </w:rPr>
            </w:pPr>
            <w:r>
              <w:rPr>
                <w:rFonts w:hint="eastAsia" w:cs="Times New Roman"/>
                <w:b/>
                <w:sz w:val="21"/>
                <w:szCs w:val="21"/>
              </w:rPr>
              <w:t>相符性分析</w:t>
            </w:r>
          </w:p>
        </w:tc>
        <w:tc>
          <w:tcPr>
            <w:tcW w:w="426" w:type="pct"/>
            <w:vAlign w:val="center"/>
          </w:tcPr>
          <w:p w14:paraId="65501BB8">
            <w:pPr>
              <w:snapToGrid w:val="0"/>
              <w:spacing w:line="240" w:lineRule="auto"/>
              <w:ind w:firstLine="0" w:firstLineChars="0"/>
              <w:jc w:val="center"/>
              <w:rPr>
                <w:rFonts w:cs="Times New Roman"/>
                <w:b/>
                <w:sz w:val="21"/>
                <w:szCs w:val="21"/>
              </w:rPr>
            </w:pPr>
            <w:r>
              <w:rPr>
                <w:rFonts w:hint="eastAsia" w:cs="Times New Roman"/>
                <w:b/>
                <w:sz w:val="21"/>
                <w:szCs w:val="21"/>
              </w:rPr>
              <w:t>是否相符</w:t>
            </w:r>
          </w:p>
        </w:tc>
      </w:tr>
      <w:tr w14:paraId="23F24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0" w:type="pct"/>
            <w:vMerge w:val="restart"/>
            <w:vAlign w:val="center"/>
          </w:tcPr>
          <w:p w14:paraId="50F9D47B">
            <w:pPr>
              <w:snapToGrid w:val="0"/>
              <w:spacing w:line="240" w:lineRule="auto"/>
              <w:ind w:firstLine="0" w:firstLineChars="0"/>
              <w:jc w:val="center"/>
              <w:rPr>
                <w:rFonts w:cs="Times New Roman"/>
                <w:sz w:val="21"/>
                <w:szCs w:val="21"/>
              </w:rPr>
            </w:pPr>
            <w:r>
              <w:rPr>
                <w:rFonts w:hint="eastAsia" w:cs="Times New Roman"/>
                <w:sz w:val="21"/>
                <w:szCs w:val="21"/>
              </w:rPr>
              <w:t>江苏省省域生态环境管控要求（节选）</w:t>
            </w:r>
          </w:p>
        </w:tc>
        <w:tc>
          <w:tcPr>
            <w:tcW w:w="454" w:type="pct"/>
            <w:vAlign w:val="center"/>
          </w:tcPr>
          <w:p w14:paraId="1B59645A">
            <w:pPr>
              <w:snapToGrid w:val="0"/>
              <w:spacing w:line="240" w:lineRule="auto"/>
              <w:ind w:firstLine="0" w:firstLineChars="0"/>
              <w:jc w:val="center"/>
              <w:rPr>
                <w:rFonts w:cs="Times New Roman"/>
                <w:sz w:val="21"/>
                <w:szCs w:val="21"/>
              </w:rPr>
            </w:pPr>
            <w:r>
              <w:rPr>
                <w:rFonts w:hint="eastAsia" w:cs="Times New Roman"/>
                <w:sz w:val="21"/>
                <w:szCs w:val="21"/>
              </w:rPr>
              <w:t>空间布局约束</w:t>
            </w:r>
          </w:p>
        </w:tc>
        <w:tc>
          <w:tcPr>
            <w:tcW w:w="2480" w:type="pct"/>
            <w:vAlign w:val="center"/>
          </w:tcPr>
          <w:p w14:paraId="4F6B993A">
            <w:pPr>
              <w:snapToGrid w:val="0"/>
              <w:spacing w:line="240" w:lineRule="auto"/>
              <w:ind w:firstLine="0" w:firstLineChars="0"/>
              <w:jc w:val="left"/>
              <w:rPr>
                <w:rFonts w:cs="Times New Roman"/>
                <w:sz w:val="21"/>
                <w:szCs w:val="21"/>
              </w:rPr>
            </w:pPr>
            <w:r>
              <w:rPr>
                <w:rFonts w:hint="eastAsia" w:cs="Times New Roman"/>
                <w:sz w:val="21"/>
                <w:szCs w:val="21"/>
              </w:rPr>
              <w:t>1．按照《自然资源部 生态环境部 国家林业和草原局关于加强生态保护红线管理的通知（试行）》（自然资发〔2022〕142号）、《省政府关于印发江苏省生态空间管控区域规划的通知》（苏政发〔2020〕1号）、《关于进一步加强生态保护红线监督管理的通知》（苏自然函〔2023〕880号）、《江苏省国土空间规划（2021—2035年）》（国函〔2023〕69号），坚持节约优先、保护优先、自然恢复为主的方针，以改善生态环境质量为核心，以保障和维护生态功能为主线，统筹山水林田湖草一体化保护和修复，严守生态保护红线，实行最严格的生态空间管控制度，确保全省生态功能不降低、面积不减少、性质不改变，切实维护生态安全。生态保护红线不低于1.82万平方千米，其中海洋生态保护红线不低于0.95万平方千米。</w:t>
            </w:r>
          </w:p>
          <w:p w14:paraId="6DE21950">
            <w:pPr>
              <w:snapToGrid w:val="0"/>
              <w:spacing w:line="240" w:lineRule="auto"/>
              <w:ind w:firstLine="0" w:firstLineChars="0"/>
              <w:jc w:val="left"/>
              <w:rPr>
                <w:rFonts w:cs="Times New Roman"/>
                <w:sz w:val="21"/>
                <w:szCs w:val="21"/>
              </w:rPr>
            </w:pPr>
            <w:r>
              <w:rPr>
                <w:rFonts w:hint="eastAsia" w:cs="Times New Roman"/>
                <w:sz w:val="21"/>
                <w:szCs w:val="21"/>
              </w:rPr>
              <w:t>2．牢牢把握推动长江经济带发展“共抓大保护、不搞大开发”战略导向，对省域范围内需要重点保护的岸线、河段和区域实行严格管控，管住控好排放量大、耗能高、产能过剩的产业，推动长江经济带高质量发展。</w:t>
            </w:r>
          </w:p>
          <w:p w14:paraId="15F20AB3">
            <w:pPr>
              <w:snapToGrid w:val="0"/>
              <w:spacing w:line="240" w:lineRule="auto"/>
              <w:ind w:firstLine="0" w:firstLineChars="0"/>
              <w:jc w:val="left"/>
              <w:rPr>
                <w:rFonts w:cs="Times New Roman"/>
                <w:sz w:val="21"/>
                <w:szCs w:val="21"/>
              </w:rPr>
            </w:pPr>
            <w:r>
              <w:rPr>
                <w:rFonts w:hint="eastAsia" w:cs="Times New Roman"/>
                <w:sz w:val="21"/>
                <w:szCs w:val="21"/>
              </w:rPr>
              <w:t>3．对列入国家和省规划，涉及生态保护红线和相关法定保护区的重大民生项目、重大基础设施项目（交通基础设施项目等），应优化空间布局（选线）、主动避让；确实无法避让的，应采取无害化方式（如无害化穿、跨越方式等），依法依规履行行政审批手续，强化减缓生态环境影响和生态补偿措施。</w:t>
            </w:r>
          </w:p>
        </w:tc>
        <w:tc>
          <w:tcPr>
            <w:tcW w:w="1418" w:type="pct"/>
            <w:vAlign w:val="center"/>
          </w:tcPr>
          <w:p w14:paraId="01913997">
            <w:pPr>
              <w:snapToGrid w:val="0"/>
              <w:spacing w:line="240" w:lineRule="auto"/>
              <w:ind w:firstLine="0" w:firstLineChars="0"/>
              <w:rPr>
                <w:rFonts w:cs="Times New Roman"/>
                <w:sz w:val="21"/>
                <w:szCs w:val="21"/>
              </w:rPr>
            </w:pPr>
            <w:r>
              <w:rPr>
                <w:rFonts w:hint="eastAsia" w:cs="Times New Roman"/>
                <w:sz w:val="21"/>
                <w:szCs w:val="21"/>
              </w:rPr>
              <w:t>1</w:t>
            </w:r>
            <w:r>
              <w:rPr>
                <w:rFonts w:hint="eastAsia" w:ascii="仿宋_GB2312" w:hAnsi="仿宋_GB2312" w:cs="仿宋_GB2312"/>
                <w:sz w:val="21"/>
                <w:szCs w:val="21"/>
              </w:rPr>
              <w:t>.度假区本轮规划严格落实国家、省生态空间管控制度，在区域范围内仅开展对生态功能不造成破坏的适度参观旅游、科教宣普等有限人为活动，并加强国土空间布局和用地管控，依法依规履行行政审批手续，强化减缓生态环境影响和生态补偿措施。</w:t>
            </w:r>
          </w:p>
          <w:p w14:paraId="3B5B110D">
            <w:pPr>
              <w:snapToGrid w:val="0"/>
              <w:spacing w:line="240" w:lineRule="auto"/>
              <w:ind w:firstLine="0" w:firstLineChars="0"/>
              <w:rPr>
                <w:rFonts w:cs="Times New Roman"/>
                <w:sz w:val="21"/>
                <w:szCs w:val="21"/>
              </w:rPr>
            </w:pPr>
            <w:r>
              <w:rPr>
                <w:rFonts w:hint="eastAsia" w:cs="Times New Roman"/>
                <w:sz w:val="21"/>
                <w:szCs w:val="21"/>
              </w:rPr>
              <w:t>2</w:t>
            </w:r>
            <w:r>
              <w:rPr>
                <w:rFonts w:hint="eastAsia" w:ascii="仿宋_GB2312" w:hAnsi="仿宋_GB2312" w:cs="仿宋_GB2312"/>
                <w:sz w:val="21"/>
                <w:szCs w:val="21"/>
              </w:rPr>
              <w:t>.</w:t>
            </w:r>
            <w:r>
              <w:rPr>
                <w:rFonts w:hint="eastAsia" w:cs="Times New Roman"/>
                <w:sz w:val="21"/>
                <w:szCs w:val="21"/>
              </w:rPr>
              <w:t>度假区规划旅游产品体系包括田园主题产品、文化主题产品、康养主题产品、乐活主题产品、乡村主题产品和生态主题产品等多种旅游产品为主导，以茅山+田园为生态基底，以产业一体化发展、促进地区经济发展、推进地域现代化进程为导向，以道文化为文化底蕴和景观氛围营造指引，打造集文化创意、休闲度假、现代农业、康养居住等功能于一体的中国道意生活心灵度假旅游目的地，规划建设项目不涉及排放量大、耗能高、产能过剩的产业。</w:t>
            </w:r>
          </w:p>
        </w:tc>
        <w:tc>
          <w:tcPr>
            <w:tcW w:w="426" w:type="pct"/>
            <w:vAlign w:val="center"/>
          </w:tcPr>
          <w:p w14:paraId="2FA9E63C">
            <w:pPr>
              <w:snapToGrid w:val="0"/>
              <w:spacing w:line="240" w:lineRule="auto"/>
              <w:ind w:firstLine="0" w:firstLineChars="0"/>
              <w:jc w:val="center"/>
              <w:rPr>
                <w:rFonts w:cs="Times New Roman"/>
                <w:sz w:val="21"/>
                <w:szCs w:val="21"/>
              </w:rPr>
            </w:pPr>
            <w:r>
              <w:rPr>
                <w:rFonts w:hint="eastAsia" w:cs="Times New Roman"/>
                <w:sz w:val="21"/>
                <w:szCs w:val="21"/>
              </w:rPr>
              <w:t>相符</w:t>
            </w:r>
          </w:p>
        </w:tc>
      </w:tr>
      <w:tr w14:paraId="417BF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51" w:hRule="atLeast"/>
        </w:trPr>
        <w:tc>
          <w:tcPr>
            <w:tcW w:w="220" w:type="pct"/>
            <w:vMerge w:val="continue"/>
            <w:vAlign w:val="center"/>
          </w:tcPr>
          <w:p w14:paraId="20B9E35C">
            <w:pPr>
              <w:snapToGrid w:val="0"/>
              <w:spacing w:line="240" w:lineRule="auto"/>
              <w:ind w:firstLine="0" w:firstLineChars="0"/>
              <w:jc w:val="center"/>
              <w:rPr>
                <w:rFonts w:cs="Times New Roman"/>
                <w:sz w:val="21"/>
                <w:szCs w:val="21"/>
              </w:rPr>
            </w:pPr>
          </w:p>
        </w:tc>
        <w:tc>
          <w:tcPr>
            <w:tcW w:w="454" w:type="pct"/>
            <w:vAlign w:val="center"/>
          </w:tcPr>
          <w:p w14:paraId="16541060">
            <w:pPr>
              <w:snapToGrid w:val="0"/>
              <w:spacing w:line="240" w:lineRule="auto"/>
              <w:ind w:firstLine="0" w:firstLineChars="0"/>
              <w:jc w:val="center"/>
              <w:rPr>
                <w:rFonts w:cs="Times New Roman"/>
                <w:sz w:val="21"/>
                <w:szCs w:val="21"/>
              </w:rPr>
            </w:pPr>
            <w:r>
              <w:rPr>
                <w:rFonts w:hint="eastAsia" w:cs="Times New Roman"/>
                <w:sz w:val="21"/>
                <w:szCs w:val="21"/>
              </w:rPr>
              <w:t>污染物排放管控</w:t>
            </w:r>
          </w:p>
        </w:tc>
        <w:tc>
          <w:tcPr>
            <w:tcW w:w="2480" w:type="pct"/>
            <w:vAlign w:val="center"/>
          </w:tcPr>
          <w:p w14:paraId="3204DF15">
            <w:pPr>
              <w:snapToGrid w:val="0"/>
              <w:spacing w:line="240" w:lineRule="auto"/>
              <w:ind w:firstLine="0" w:firstLineChars="0"/>
              <w:jc w:val="left"/>
              <w:rPr>
                <w:rFonts w:cs="Times New Roman"/>
                <w:sz w:val="21"/>
                <w:szCs w:val="21"/>
              </w:rPr>
            </w:pPr>
            <w:r>
              <w:rPr>
                <w:rFonts w:hint="eastAsia" w:cs="Times New Roman"/>
                <w:sz w:val="21"/>
                <w:szCs w:val="21"/>
              </w:rPr>
              <w:t>1．坚持生态环境质量只能更好、不能变坏，实施污染物总量控制，以环境容量定产业、定项目、定规模，确保开发建设行为不突破生态环境承载力。</w:t>
            </w:r>
          </w:p>
          <w:p w14:paraId="7FEF08E8">
            <w:pPr>
              <w:snapToGrid w:val="0"/>
              <w:spacing w:line="240" w:lineRule="auto"/>
              <w:ind w:firstLine="0" w:firstLineChars="0"/>
              <w:jc w:val="left"/>
              <w:rPr>
                <w:rFonts w:cs="Times New Roman"/>
                <w:sz w:val="21"/>
                <w:szCs w:val="21"/>
              </w:rPr>
            </w:pPr>
            <w:r>
              <w:rPr>
                <w:rFonts w:hint="eastAsia" w:cs="Times New Roman"/>
                <w:sz w:val="21"/>
                <w:szCs w:val="21"/>
              </w:rPr>
              <w:t>2．2025年，主要污染物排放减排完成国家下达任务，单位工业增加值二氧化碳排放量下降20%，主要高耗能行业单位产品二氧化碳排放达到世界先进水平。实施氮氧化物（NOx）和VOCs协同减排，推进多污染物和关联区域联防联控。</w:t>
            </w:r>
          </w:p>
        </w:tc>
        <w:tc>
          <w:tcPr>
            <w:tcW w:w="1418" w:type="pct"/>
            <w:vAlign w:val="center"/>
          </w:tcPr>
          <w:p w14:paraId="1035BC26">
            <w:pPr>
              <w:snapToGrid w:val="0"/>
              <w:spacing w:line="240" w:lineRule="auto"/>
              <w:ind w:firstLine="0" w:firstLineChars="0"/>
              <w:rPr>
                <w:rFonts w:cs="Times New Roman"/>
                <w:sz w:val="21"/>
                <w:szCs w:val="21"/>
              </w:rPr>
            </w:pPr>
            <w:r>
              <w:rPr>
                <w:rFonts w:hint="eastAsia" w:cs="Times New Roman"/>
                <w:sz w:val="21"/>
                <w:szCs w:val="21"/>
              </w:rPr>
              <w:t>1</w:t>
            </w:r>
            <w:r>
              <w:rPr>
                <w:rFonts w:hint="eastAsia" w:ascii="仿宋_GB2312" w:hAnsi="仿宋_GB2312" w:cs="仿宋_GB2312"/>
                <w:sz w:val="21"/>
                <w:szCs w:val="21"/>
              </w:rPr>
              <w:t>.</w:t>
            </w:r>
            <w:r>
              <w:rPr>
                <w:rFonts w:hint="eastAsia" w:cs="Times New Roman"/>
                <w:sz w:val="21"/>
                <w:szCs w:val="21"/>
              </w:rPr>
              <w:t>度假区规划发展旅游业，污染物排放以居民生活使用天然气燃烧产生的大气污染物、区域交通的机动车尾气及居民、游客产生的生活污水为主。规划期末，水及大气污染物排放不会突破区域环境承载力。</w:t>
            </w:r>
          </w:p>
          <w:p w14:paraId="787FA7B0">
            <w:pPr>
              <w:snapToGrid w:val="0"/>
              <w:spacing w:line="240" w:lineRule="auto"/>
              <w:ind w:firstLine="0" w:firstLineChars="0"/>
              <w:rPr>
                <w:rFonts w:cs="Times New Roman"/>
                <w:sz w:val="21"/>
                <w:szCs w:val="21"/>
              </w:rPr>
            </w:pPr>
            <w:r>
              <w:rPr>
                <w:rFonts w:hint="eastAsia" w:cs="Times New Roman"/>
                <w:sz w:val="21"/>
                <w:szCs w:val="21"/>
              </w:rPr>
              <w:t>2</w:t>
            </w:r>
            <w:r>
              <w:rPr>
                <w:rFonts w:hint="eastAsia" w:ascii="仿宋_GB2312" w:hAnsi="仿宋_GB2312" w:cs="仿宋_GB2312"/>
                <w:sz w:val="21"/>
                <w:szCs w:val="21"/>
              </w:rPr>
              <w:t>.度假区规划发展旅游业，规划期限内将逐步引导范围内工业企业搬迁退出。</w:t>
            </w:r>
          </w:p>
        </w:tc>
        <w:tc>
          <w:tcPr>
            <w:tcW w:w="426" w:type="pct"/>
            <w:vAlign w:val="center"/>
          </w:tcPr>
          <w:p w14:paraId="5450F962">
            <w:pPr>
              <w:snapToGrid w:val="0"/>
              <w:spacing w:line="240" w:lineRule="auto"/>
              <w:ind w:firstLine="0" w:firstLineChars="0"/>
              <w:jc w:val="center"/>
              <w:rPr>
                <w:rFonts w:cs="Times New Roman"/>
                <w:sz w:val="21"/>
                <w:szCs w:val="21"/>
              </w:rPr>
            </w:pPr>
            <w:r>
              <w:rPr>
                <w:rFonts w:hint="eastAsia" w:cs="Times New Roman"/>
                <w:sz w:val="21"/>
                <w:szCs w:val="21"/>
              </w:rPr>
              <w:t>相符</w:t>
            </w:r>
          </w:p>
        </w:tc>
      </w:tr>
      <w:tr w14:paraId="78B4F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0" w:type="pct"/>
            <w:vMerge w:val="continue"/>
            <w:vAlign w:val="center"/>
          </w:tcPr>
          <w:p w14:paraId="4B6197CB">
            <w:pPr>
              <w:snapToGrid w:val="0"/>
              <w:spacing w:line="240" w:lineRule="auto"/>
              <w:ind w:firstLine="0" w:firstLineChars="0"/>
              <w:jc w:val="center"/>
              <w:rPr>
                <w:rFonts w:cs="Times New Roman"/>
                <w:sz w:val="21"/>
                <w:szCs w:val="21"/>
              </w:rPr>
            </w:pPr>
          </w:p>
        </w:tc>
        <w:tc>
          <w:tcPr>
            <w:tcW w:w="454" w:type="pct"/>
            <w:vAlign w:val="center"/>
          </w:tcPr>
          <w:p w14:paraId="7A092707">
            <w:pPr>
              <w:snapToGrid w:val="0"/>
              <w:spacing w:line="240" w:lineRule="auto"/>
              <w:ind w:firstLine="0" w:firstLineChars="0"/>
              <w:jc w:val="center"/>
              <w:rPr>
                <w:rFonts w:cs="Times New Roman"/>
                <w:sz w:val="21"/>
                <w:szCs w:val="21"/>
              </w:rPr>
            </w:pPr>
            <w:r>
              <w:rPr>
                <w:rFonts w:hint="eastAsia" w:cs="Times New Roman"/>
                <w:sz w:val="21"/>
                <w:szCs w:val="21"/>
              </w:rPr>
              <w:t>环境风险管控</w:t>
            </w:r>
          </w:p>
        </w:tc>
        <w:tc>
          <w:tcPr>
            <w:tcW w:w="2480" w:type="pct"/>
            <w:vAlign w:val="center"/>
          </w:tcPr>
          <w:p w14:paraId="4C2B210B">
            <w:pPr>
              <w:snapToGrid w:val="0"/>
              <w:spacing w:line="240" w:lineRule="auto"/>
              <w:ind w:firstLine="0" w:firstLineChars="0"/>
              <w:jc w:val="left"/>
              <w:rPr>
                <w:rFonts w:cs="Times New Roman"/>
                <w:sz w:val="21"/>
                <w:szCs w:val="21"/>
              </w:rPr>
            </w:pPr>
            <w:r>
              <w:rPr>
                <w:rFonts w:hint="eastAsia" w:cs="Times New Roman"/>
                <w:sz w:val="21"/>
                <w:szCs w:val="21"/>
              </w:rPr>
              <w:t>1．强化饮用水水源环境风险管控。县级以上城市全部建成应急水源或双源供水。</w:t>
            </w:r>
          </w:p>
          <w:p w14:paraId="2D9F733F">
            <w:pPr>
              <w:snapToGrid w:val="0"/>
              <w:spacing w:line="240" w:lineRule="auto"/>
              <w:ind w:firstLine="0" w:firstLineChars="0"/>
              <w:jc w:val="left"/>
              <w:rPr>
                <w:rFonts w:cs="Times New Roman"/>
                <w:sz w:val="21"/>
                <w:szCs w:val="21"/>
              </w:rPr>
            </w:pPr>
            <w:r>
              <w:rPr>
                <w:rFonts w:hint="eastAsia" w:cs="Times New Roman"/>
                <w:sz w:val="21"/>
                <w:szCs w:val="21"/>
              </w:rPr>
              <w:t>2．强化化工行业环境风险管控。重点加强化学工业园区、涉及大宗危化品使用企业、贮存和运输危化品的港口码头、尾矿库、集中式污水处理厂、危废处理企业的环境风险防控；严厉打击危险废物非法转移、处置和倾倒行为；加强关闭搬迁化工企业及遗留地块的调查评估、风险管控、治理修复。</w:t>
            </w:r>
          </w:p>
          <w:p w14:paraId="5914FFF7">
            <w:pPr>
              <w:snapToGrid w:val="0"/>
              <w:spacing w:line="240" w:lineRule="auto"/>
              <w:ind w:firstLine="0" w:firstLineChars="0"/>
              <w:jc w:val="left"/>
              <w:rPr>
                <w:rFonts w:cs="Times New Roman"/>
                <w:sz w:val="21"/>
                <w:szCs w:val="21"/>
              </w:rPr>
            </w:pPr>
            <w:r>
              <w:rPr>
                <w:rFonts w:hint="eastAsia" w:cs="Times New Roman"/>
                <w:sz w:val="21"/>
                <w:szCs w:val="21"/>
              </w:rPr>
              <w:t>……</w:t>
            </w:r>
          </w:p>
          <w:p w14:paraId="15AC9CE5">
            <w:pPr>
              <w:snapToGrid w:val="0"/>
              <w:spacing w:line="240" w:lineRule="auto"/>
              <w:ind w:firstLine="0" w:firstLineChars="0"/>
              <w:jc w:val="left"/>
              <w:rPr>
                <w:rFonts w:cs="Times New Roman"/>
                <w:sz w:val="21"/>
                <w:szCs w:val="21"/>
              </w:rPr>
            </w:pPr>
            <w:r>
              <w:rPr>
                <w:rFonts w:hint="eastAsia" w:cs="Times New Roman"/>
                <w:sz w:val="21"/>
                <w:szCs w:val="21"/>
              </w:rPr>
              <w:t>3．强化环境风险防控能力建设。按照统一信息平台、统一监管力度、统一应急等级、协同应急救援的思路，在沿江发展带、沿海发展带、环太湖等地区构建区域性环境风险预警应急响应机制，实施区域突发环境风险预警联防联控。</w:t>
            </w:r>
          </w:p>
        </w:tc>
        <w:tc>
          <w:tcPr>
            <w:tcW w:w="1418" w:type="pct"/>
            <w:vAlign w:val="center"/>
          </w:tcPr>
          <w:p w14:paraId="1A0BC1D4">
            <w:pPr>
              <w:snapToGrid w:val="0"/>
              <w:spacing w:line="240" w:lineRule="auto"/>
              <w:ind w:firstLine="0" w:firstLineChars="0"/>
              <w:rPr>
                <w:rFonts w:hint="eastAsia" w:ascii="仿宋_GB2312" w:hAnsi="仿宋_GB2312" w:cs="仿宋_GB2312"/>
                <w:sz w:val="21"/>
                <w:szCs w:val="21"/>
              </w:rPr>
            </w:pPr>
            <w:r>
              <w:rPr>
                <w:rFonts w:hint="eastAsia" w:cs="Times New Roman"/>
                <w:sz w:val="21"/>
                <w:szCs w:val="21"/>
              </w:rPr>
              <w:t>1</w:t>
            </w:r>
            <w:r>
              <w:rPr>
                <w:rFonts w:hint="eastAsia" w:ascii="仿宋_GB2312" w:hAnsi="仿宋_GB2312" w:cs="仿宋_GB2312"/>
                <w:sz w:val="21"/>
                <w:szCs w:val="21"/>
              </w:rPr>
              <w:t>.度假区范围内不涉及饮用水源地，区域供水依靠金坛区市政给水管网，水源主要取自长荡湖水源地，常金供水工程为应急备用水源，与长荡湖饮用水源互为备用，联网供水。</w:t>
            </w:r>
          </w:p>
          <w:p w14:paraId="5017A42D">
            <w:pPr>
              <w:snapToGrid w:val="0"/>
              <w:spacing w:line="240" w:lineRule="auto"/>
              <w:ind w:firstLine="0" w:firstLineChars="0"/>
              <w:rPr>
                <w:rFonts w:cs="Times New Roman"/>
                <w:sz w:val="21"/>
                <w:szCs w:val="21"/>
              </w:rPr>
            </w:pPr>
            <w:r>
              <w:rPr>
                <w:rFonts w:hint="eastAsia" w:cs="Times New Roman"/>
                <w:sz w:val="21"/>
                <w:szCs w:val="21"/>
              </w:rPr>
              <w:t>2</w:t>
            </w:r>
            <w:r>
              <w:rPr>
                <w:rFonts w:hint="eastAsia" w:ascii="仿宋_GB2312" w:hAnsi="仿宋_GB2312" w:cs="仿宋_GB2312"/>
                <w:sz w:val="21"/>
                <w:szCs w:val="21"/>
              </w:rPr>
              <w:t>.度假区规划发展旅游业，规划期限内将逐步引导范围内工业企业搬迁退出，</w:t>
            </w:r>
            <w:r>
              <w:rPr>
                <w:rFonts w:hint="eastAsia" w:cs="Times New Roman"/>
                <w:sz w:val="21"/>
                <w:szCs w:val="21"/>
              </w:rPr>
              <w:t>企业关停搬迁后，原场地再开发利用前，搬迁遗留场地应按要求开展场地环境调查和风险评估工作。</w:t>
            </w:r>
          </w:p>
          <w:p w14:paraId="36023B19">
            <w:pPr>
              <w:snapToGrid w:val="0"/>
              <w:spacing w:line="240" w:lineRule="auto"/>
              <w:ind w:firstLine="0" w:firstLineChars="0"/>
              <w:rPr>
                <w:rFonts w:cs="Times New Roman"/>
                <w:sz w:val="21"/>
                <w:szCs w:val="21"/>
              </w:rPr>
            </w:pPr>
            <w:r>
              <w:rPr>
                <w:rFonts w:hint="eastAsia" w:cs="Times New Roman"/>
                <w:sz w:val="21"/>
                <w:szCs w:val="21"/>
              </w:rPr>
              <w:t>3</w:t>
            </w:r>
            <w:r>
              <w:rPr>
                <w:rFonts w:hint="eastAsia" w:ascii="仿宋_GB2312" w:hAnsi="仿宋_GB2312" w:cs="仿宋_GB2312"/>
                <w:sz w:val="21"/>
                <w:szCs w:val="21"/>
              </w:rPr>
              <w:t>.</w:t>
            </w:r>
            <w:r>
              <w:rPr>
                <w:rFonts w:hint="eastAsia" w:cs="Times New Roman"/>
                <w:sz w:val="21"/>
                <w:szCs w:val="21"/>
              </w:rPr>
              <w:t>度假区已建立风险防控体系，对突发环境风险进行预警及防控。</w:t>
            </w:r>
          </w:p>
        </w:tc>
        <w:tc>
          <w:tcPr>
            <w:tcW w:w="426" w:type="pct"/>
            <w:vAlign w:val="center"/>
          </w:tcPr>
          <w:p w14:paraId="0EA20560">
            <w:pPr>
              <w:snapToGrid w:val="0"/>
              <w:spacing w:line="240" w:lineRule="auto"/>
              <w:ind w:firstLine="0" w:firstLineChars="0"/>
              <w:jc w:val="center"/>
              <w:rPr>
                <w:rFonts w:cs="Times New Roman"/>
                <w:sz w:val="21"/>
                <w:szCs w:val="21"/>
              </w:rPr>
            </w:pPr>
            <w:r>
              <w:rPr>
                <w:rFonts w:hint="eastAsia" w:cs="Times New Roman"/>
                <w:sz w:val="21"/>
                <w:szCs w:val="21"/>
              </w:rPr>
              <w:t>相符</w:t>
            </w:r>
          </w:p>
        </w:tc>
      </w:tr>
      <w:tr w14:paraId="186B9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0" w:type="pct"/>
            <w:vMerge w:val="continue"/>
            <w:vAlign w:val="center"/>
          </w:tcPr>
          <w:p w14:paraId="529FF0E3">
            <w:pPr>
              <w:snapToGrid w:val="0"/>
              <w:spacing w:line="240" w:lineRule="auto"/>
              <w:ind w:firstLine="0" w:firstLineChars="0"/>
              <w:jc w:val="center"/>
              <w:rPr>
                <w:rFonts w:cs="Times New Roman"/>
                <w:sz w:val="21"/>
                <w:szCs w:val="21"/>
              </w:rPr>
            </w:pPr>
          </w:p>
        </w:tc>
        <w:tc>
          <w:tcPr>
            <w:tcW w:w="454" w:type="pct"/>
            <w:vAlign w:val="center"/>
          </w:tcPr>
          <w:p w14:paraId="5CE91C64">
            <w:pPr>
              <w:snapToGrid w:val="0"/>
              <w:spacing w:line="240" w:lineRule="auto"/>
              <w:ind w:firstLine="0" w:firstLineChars="0"/>
              <w:jc w:val="center"/>
              <w:rPr>
                <w:rFonts w:cs="Times New Roman"/>
                <w:sz w:val="21"/>
                <w:szCs w:val="21"/>
              </w:rPr>
            </w:pPr>
            <w:r>
              <w:rPr>
                <w:rFonts w:hint="eastAsia" w:cs="Times New Roman"/>
                <w:sz w:val="21"/>
                <w:szCs w:val="21"/>
              </w:rPr>
              <w:t>资源利用效率要求</w:t>
            </w:r>
          </w:p>
        </w:tc>
        <w:tc>
          <w:tcPr>
            <w:tcW w:w="2480" w:type="pct"/>
            <w:vAlign w:val="center"/>
          </w:tcPr>
          <w:p w14:paraId="75F2FFB1">
            <w:pPr>
              <w:snapToGrid w:val="0"/>
              <w:spacing w:line="240" w:lineRule="auto"/>
              <w:ind w:firstLine="0" w:firstLineChars="0"/>
              <w:jc w:val="left"/>
              <w:rPr>
                <w:rFonts w:cs="Times New Roman"/>
                <w:sz w:val="21"/>
                <w:szCs w:val="21"/>
              </w:rPr>
            </w:pPr>
            <w:r>
              <w:rPr>
                <w:rFonts w:hint="eastAsia" w:cs="Times New Roman"/>
                <w:sz w:val="21"/>
                <w:szCs w:val="21"/>
              </w:rPr>
              <w:t>1．水资源利用总量及效率要求：到2025年，全省用水总量控制在525.9亿立方米以内，万元地区生产总值用水量、万元工业增加值用水量下降完成国家下达目标，农田灌溉水有效利用系数提高到0.625。</w:t>
            </w:r>
          </w:p>
          <w:p w14:paraId="06482191">
            <w:pPr>
              <w:snapToGrid w:val="0"/>
              <w:spacing w:line="240" w:lineRule="auto"/>
              <w:ind w:firstLine="0" w:firstLineChars="0"/>
              <w:jc w:val="left"/>
              <w:rPr>
                <w:rFonts w:cs="Times New Roman"/>
                <w:sz w:val="21"/>
                <w:szCs w:val="21"/>
              </w:rPr>
            </w:pPr>
            <w:r>
              <w:rPr>
                <w:rFonts w:hint="eastAsia" w:cs="Times New Roman"/>
                <w:sz w:val="21"/>
                <w:szCs w:val="21"/>
              </w:rPr>
              <w:t>2．土地资源总量要求：到2025年，江苏省耕地保有量不低于5977万亩，其中永久基本农田保护面积不低于5344万亩。</w:t>
            </w:r>
          </w:p>
          <w:p w14:paraId="183C5952">
            <w:pPr>
              <w:snapToGrid w:val="0"/>
              <w:spacing w:line="240" w:lineRule="auto"/>
              <w:ind w:firstLine="0" w:firstLineChars="0"/>
              <w:jc w:val="left"/>
              <w:rPr>
                <w:rFonts w:cs="Times New Roman"/>
                <w:sz w:val="21"/>
                <w:szCs w:val="21"/>
              </w:rPr>
            </w:pPr>
            <w:r>
              <w:rPr>
                <w:rFonts w:hint="eastAsia" w:cs="Times New Roman"/>
                <w:sz w:val="21"/>
                <w:szCs w:val="21"/>
              </w:rPr>
              <w:t>3．禁燃区要求：在禁燃区内，禁止销售、燃用高污染燃料；禁止新建、扩建燃用高污染燃料的设施，已建成的，应当在城市人民政府规定的期限内改用天然气、页岩气、液化石油气、电或者其他清洁能源。</w:t>
            </w:r>
          </w:p>
        </w:tc>
        <w:tc>
          <w:tcPr>
            <w:tcW w:w="1418" w:type="pct"/>
            <w:vAlign w:val="center"/>
          </w:tcPr>
          <w:p w14:paraId="5E3B679E">
            <w:pPr>
              <w:snapToGrid w:val="0"/>
              <w:spacing w:line="240" w:lineRule="auto"/>
              <w:ind w:firstLine="0" w:firstLineChars="0"/>
              <w:rPr>
                <w:rFonts w:cs="Times New Roman"/>
                <w:sz w:val="21"/>
                <w:szCs w:val="21"/>
              </w:rPr>
            </w:pPr>
            <w:r>
              <w:rPr>
                <w:rFonts w:hint="eastAsia" w:cs="Times New Roman"/>
                <w:sz w:val="21"/>
                <w:szCs w:val="21"/>
              </w:rPr>
              <w:t>1</w:t>
            </w:r>
            <w:r>
              <w:rPr>
                <w:rFonts w:hint="eastAsia" w:ascii="仿宋_GB2312" w:hAnsi="仿宋_GB2312" w:cs="仿宋_GB2312"/>
                <w:sz w:val="21"/>
                <w:szCs w:val="21"/>
              </w:rPr>
              <w:t>.</w:t>
            </w:r>
            <w:r>
              <w:rPr>
                <w:rFonts w:hint="eastAsia" w:cs="Times New Roman"/>
                <w:sz w:val="21"/>
                <w:szCs w:val="21"/>
              </w:rPr>
              <w:t>度假区主要发展旅游业，水资源主要用于居民生活、游客用水等，区域水源供应可满足区域水资源需求。</w:t>
            </w:r>
          </w:p>
          <w:p w14:paraId="28030785">
            <w:pPr>
              <w:snapToGrid w:val="0"/>
              <w:spacing w:line="240" w:lineRule="auto"/>
              <w:ind w:firstLine="0" w:firstLineChars="0"/>
              <w:rPr>
                <w:rFonts w:cs="Times New Roman"/>
                <w:sz w:val="21"/>
                <w:szCs w:val="21"/>
              </w:rPr>
            </w:pPr>
            <w:r>
              <w:rPr>
                <w:rFonts w:hint="eastAsia" w:cs="Times New Roman"/>
                <w:sz w:val="21"/>
                <w:szCs w:val="21"/>
              </w:rPr>
              <w:t>2</w:t>
            </w:r>
            <w:r>
              <w:rPr>
                <w:rFonts w:hint="eastAsia" w:ascii="仿宋_GB2312" w:hAnsi="仿宋_GB2312" w:cs="仿宋_GB2312"/>
                <w:sz w:val="21"/>
                <w:szCs w:val="21"/>
              </w:rPr>
              <w:t>.</w:t>
            </w:r>
            <w:r>
              <w:rPr>
                <w:rFonts w:hint="eastAsia" w:cs="Times New Roman"/>
                <w:sz w:val="21"/>
                <w:szCs w:val="21"/>
              </w:rPr>
              <w:t>度假区规划范围内涉及的基本农田严格执行保护要求，规划的新增建设用地已避开永久基本农田保护范围。</w:t>
            </w:r>
          </w:p>
          <w:p w14:paraId="17443B1B">
            <w:pPr>
              <w:snapToGrid w:val="0"/>
              <w:spacing w:line="240" w:lineRule="auto"/>
              <w:ind w:firstLine="0" w:firstLineChars="0"/>
              <w:rPr>
                <w:rFonts w:cs="Times New Roman"/>
                <w:sz w:val="21"/>
                <w:szCs w:val="21"/>
              </w:rPr>
            </w:pPr>
            <w:r>
              <w:rPr>
                <w:rFonts w:hint="eastAsia" w:cs="Times New Roman"/>
                <w:sz w:val="21"/>
                <w:szCs w:val="21"/>
              </w:rPr>
              <w:t>3</w:t>
            </w:r>
            <w:r>
              <w:rPr>
                <w:rFonts w:hint="eastAsia" w:ascii="仿宋_GB2312" w:hAnsi="仿宋_GB2312" w:cs="仿宋_GB2312"/>
                <w:sz w:val="21"/>
                <w:szCs w:val="21"/>
              </w:rPr>
              <w:t>.</w:t>
            </w:r>
            <w:r>
              <w:rPr>
                <w:rFonts w:hint="eastAsia" w:cs="Times New Roman"/>
                <w:sz w:val="21"/>
                <w:szCs w:val="21"/>
              </w:rPr>
              <w:t>度假区主要发展旅游业，区域内能源消耗主要为居民游客生产生活使用的天然气、液化石油气等清洁能源，不涉及新建、扩建高污染燃料设施。</w:t>
            </w:r>
          </w:p>
        </w:tc>
        <w:tc>
          <w:tcPr>
            <w:tcW w:w="426" w:type="pct"/>
            <w:vAlign w:val="center"/>
          </w:tcPr>
          <w:p w14:paraId="2F9C40B8">
            <w:pPr>
              <w:snapToGrid w:val="0"/>
              <w:spacing w:line="240" w:lineRule="auto"/>
              <w:ind w:firstLine="0" w:firstLineChars="0"/>
              <w:jc w:val="center"/>
              <w:rPr>
                <w:rFonts w:cs="Times New Roman"/>
                <w:sz w:val="21"/>
                <w:szCs w:val="21"/>
              </w:rPr>
            </w:pPr>
            <w:r>
              <w:rPr>
                <w:rFonts w:hint="eastAsia" w:cs="Times New Roman"/>
                <w:sz w:val="21"/>
                <w:szCs w:val="21"/>
              </w:rPr>
              <w:t>相符</w:t>
            </w:r>
          </w:p>
        </w:tc>
      </w:tr>
      <w:tr w14:paraId="71370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0" w:type="pct"/>
            <w:vMerge w:val="restart"/>
            <w:vAlign w:val="center"/>
          </w:tcPr>
          <w:p w14:paraId="72C18A4A">
            <w:pPr>
              <w:snapToGrid w:val="0"/>
              <w:spacing w:line="240" w:lineRule="auto"/>
              <w:ind w:firstLine="0" w:firstLineChars="0"/>
              <w:jc w:val="center"/>
              <w:rPr>
                <w:rFonts w:cs="Times New Roman"/>
                <w:sz w:val="21"/>
                <w:szCs w:val="21"/>
              </w:rPr>
            </w:pPr>
            <w:r>
              <w:rPr>
                <w:rFonts w:hint="eastAsia" w:cs="Times New Roman"/>
                <w:sz w:val="21"/>
                <w:szCs w:val="21"/>
              </w:rPr>
              <w:t>太湖流域（节选）</w:t>
            </w:r>
          </w:p>
        </w:tc>
        <w:tc>
          <w:tcPr>
            <w:tcW w:w="454" w:type="pct"/>
            <w:vAlign w:val="center"/>
          </w:tcPr>
          <w:p w14:paraId="05E33CE9">
            <w:pPr>
              <w:snapToGrid w:val="0"/>
              <w:spacing w:line="240" w:lineRule="auto"/>
              <w:ind w:firstLine="0" w:firstLineChars="0"/>
              <w:jc w:val="center"/>
              <w:rPr>
                <w:rFonts w:cs="Times New Roman"/>
                <w:sz w:val="21"/>
                <w:szCs w:val="21"/>
              </w:rPr>
            </w:pPr>
            <w:r>
              <w:rPr>
                <w:rFonts w:hint="eastAsia" w:cs="Times New Roman"/>
                <w:sz w:val="21"/>
                <w:szCs w:val="21"/>
              </w:rPr>
              <w:t>空间布局约束</w:t>
            </w:r>
          </w:p>
        </w:tc>
        <w:tc>
          <w:tcPr>
            <w:tcW w:w="2480" w:type="pct"/>
            <w:vAlign w:val="center"/>
          </w:tcPr>
          <w:p w14:paraId="79A46C37">
            <w:pPr>
              <w:snapToGrid w:val="0"/>
              <w:spacing w:line="240" w:lineRule="auto"/>
              <w:ind w:firstLine="0" w:firstLineChars="0"/>
              <w:jc w:val="left"/>
              <w:rPr>
                <w:rFonts w:cs="Times New Roman"/>
                <w:sz w:val="21"/>
                <w:szCs w:val="21"/>
              </w:rPr>
            </w:pPr>
            <w:r>
              <w:rPr>
                <w:rFonts w:hint="eastAsia" w:cs="Times New Roman"/>
                <w:sz w:val="21"/>
                <w:szCs w:val="21"/>
              </w:rPr>
              <w:t>在太湖流域一、二、三级保护区，禁止新建、改建、扩建化学制浆造纸、制革、酿造、染料、印染、电镀以及其他排放含磷、氮等污染物的企业和项目，城镇污水集中处理等环境基础设施项目和《江苏省太湖水污染防治条例》第四十六条规定的情形除外。</w:t>
            </w:r>
          </w:p>
        </w:tc>
        <w:tc>
          <w:tcPr>
            <w:tcW w:w="1418" w:type="pct"/>
            <w:vAlign w:val="center"/>
          </w:tcPr>
          <w:p w14:paraId="33D87550">
            <w:pPr>
              <w:snapToGrid w:val="0"/>
              <w:spacing w:line="240" w:lineRule="auto"/>
              <w:ind w:firstLine="0" w:firstLineChars="0"/>
              <w:rPr>
                <w:rFonts w:cs="Times New Roman"/>
                <w:sz w:val="21"/>
                <w:szCs w:val="21"/>
              </w:rPr>
            </w:pPr>
            <w:r>
              <w:rPr>
                <w:rFonts w:hint="eastAsia" w:cs="Times New Roman"/>
                <w:sz w:val="21"/>
                <w:szCs w:val="21"/>
              </w:rPr>
              <w:t>度假区规划范围整体位于太湖流域三级保护区，规划无工业项目，重点发展旅游度假区产业，不涉及《江苏省太湖水污染防治条例》中规定的排放含磷、氮等污染物的企业和项目。</w:t>
            </w:r>
          </w:p>
        </w:tc>
        <w:tc>
          <w:tcPr>
            <w:tcW w:w="426" w:type="pct"/>
            <w:vAlign w:val="center"/>
          </w:tcPr>
          <w:p w14:paraId="1219574E">
            <w:pPr>
              <w:snapToGrid w:val="0"/>
              <w:spacing w:line="240" w:lineRule="auto"/>
              <w:ind w:firstLine="0" w:firstLineChars="0"/>
              <w:jc w:val="center"/>
              <w:rPr>
                <w:rFonts w:cs="Times New Roman"/>
                <w:sz w:val="21"/>
                <w:szCs w:val="21"/>
              </w:rPr>
            </w:pPr>
            <w:r>
              <w:rPr>
                <w:rFonts w:hint="eastAsia" w:cs="Times New Roman"/>
                <w:sz w:val="21"/>
                <w:szCs w:val="21"/>
              </w:rPr>
              <w:t>相符</w:t>
            </w:r>
          </w:p>
        </w:tc>
      </w:tr>
      <w:tr w14:paraId="48CAF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0" w:type="pct"/>
            <w:vMerge w:val="continue"/>
            <w:vAlign w:val="center"/>
          </w:tcPr>
          <w:p w14:paraId="67C5CD1E">
            <w:pPr>
              <w:snapToGrid w:val="0"/>
              <w:spacing w:line="240" w:lineRule="auto"/>
              <w:ind w:firstLine="0" w:firstLineChars="0"/>
              <w:jc w:val="center"/>
              <w:rPr>
                <w:rFonts w:cs="Times New Roman"/>
                <w:sz w:val="21"/>
                <w:szCs w:val="21"/>
              </w:rPr>
            </w:pPr>
          </w:p>
        </w:tc>
        <w:tc>
          <w:tcPr>
            <w:tcW w:w="454" w:type="pct"/>
            <w:vAlign w:val="center"/>
          </w:tcPr>
          <w:p w14:paraId="2A5AE991">
            <w:pPr>
              <w:snapToGrid w:val="0"/>
              <w:spacing w:line="240" w:lineRule="auto"/>
              <w:ind w:firstLine="0" w:firstLineChars="0"/>
              <w:jc w:val="center"/>
              <w:rPr>
                <w:rFonts w:cs="Times New Roman"/>
                <w:sz w:val="21"/>
                <w:szCs w:val="21"/>
              </w:rPr>
            </w:pPr>
            <w:r>
              <w:rPr>
                <w:rFonts w:hint="eastAsia" w:cs="Times New Roman"/>
                <w:sz w:val="21"/>
                <w:szCs w:val="21"/>
              </w:rPr>
              <w:t>污染物排放管控</w:t>
            </w:r>
          </w:p>
        </w:tc>
        <w:tc>
          <w:tcPr>
            <w:tcW w:w="2480" w:type="pct"/>
            <w:vAlign w:val="center"/>
          </w:tcPr>
          <w:p w14:paraId="7CBF2834">
            <w:pPr>
              <w:snapToGrid w:val="0"/>
              <w:spacing w:line="240" w:lineRule="auto"/>
              <w:ind w:firstLine="0" w:firstLineChars="0"/>
              <w:jc w:val="left"/>
              <w:rPr>
                <w:rFonts w:cs="Times New Roman"/>
                <w:sz w:val="21"/>
                <w:szCs w:val="21"/>
              </w:rPr>
            </w:pPr>
            <w:r>
              <w:rPr>
                <w:rFonts w:hint="eastAsia" w:cs="Times New Roman"/>
                <w:sz w:val="21"/>
                <w:szCs w:val="21"/>
              </w:rPr>
              <w:t>城镇污水处理厂、纺织工业、化学工业、造纸工业、钢铁工业、电镀工业和食品工业的污水处理设施执行《太湖地区城镇污水处理厂及重点工业行业主要水污染物排放限值》。</w:t>
            </w:r>
          </w:p>
        </w:tc>
        <w:tc>
          <w:tcPr>
            <w:tcW w:w="1418" w:type="pct"/>
            <w:vAlign w:val="center"/>
          </w:tcPr>
          <w:p w14:paraId="4C764C80">
            <w:pPr>
              <w:snapToGrid w:val="0"/>
              <w:spacing w:line="240" w:lineRule="auto"/>
              <w:ind w:firstLine="0" w:firstLineChars="0"/>
              <w:rPr>
                <w:rFonts w:cs="Times New Roman"/>
                <w:sz w:val="21"/>
                <w:szCs w:val="21"/>
              </w:rPr>
            </w:pPr>
            <w:r>
              <w:rPr>
                <w:rFonts w:hint="eastAsia" w:cs="Times New Roman"/>
                <w:sz w:val="21"/>
                <w:szCs w:val="21"/>
              </w:rPr>
              <w:t>度假区范围内无排放废水的纺织工业、化学工业、造纸工业、钢铁工业、电镀工业和食品工业。度假区规划范围内生活污水排放至茅东污水处理厂，污水处理厂出水COD、TN、NH</w:t>
            </w:r>
            <w:r>
              <w:rPr>
                <w:rFonts w:hint="eastAsia" w:cs="Times New Roman"/>
                <w:sz w:val="21"/>
                <w:szCs w:val="21"/>
                <w:vertAlign w:val="subscript"/>
              </w:rPr>
              <w:t>3</w:t>
            </w:r>
            <w:r>
              <w:rPr>
                <w:rFonts w:hint="eastAsia" w:cs="Times New Roman"/>
                <w:sz w:val="21"/>
                <w:szCs w:val="21"/>
              </w:rPr>
              <w:t>-N、TP执行《太湖地区城镇污水处理厂及重点工业行业主要水污染物排放限值》（DB32/1072-2018）表2中排放限值。</w:t>
            </w:r>
          </w:p>
        </w:tc>
        <w:tc>
          <w:tcPr>
            <w:tcW w:w="426" w:type="pct"/>
            <w:vAlign w:val="center"/>
          </w:tcPr>
          <w:p w14:paraId="71619CD8">
            <w:pPr>
              <w:snapToGrid w:val="0"/>
              <w:spacing w:line="240" w:lineRule="auto"/>
              <w:ind w:firstLine="0" w:firstLineChars="0"/>
              <w:jc w:val="center"/>
              <w:rPr>
                <w:rFonts w:cs="Times New Roman"/>
                <w:sz w:val="21"/>
                <w:szCs w:val="21"/>
              </w:rPr>
            </w:pPr>
            <w:r>
              <w:rPr>
                <w:rFonts w:hint="eastAsia" w:cs="Times New Roman"/>
                <w:sz w:val="21"/>
                <w:szCs w:val="21"/>
              </w:rPr>
              <w:t>相符</w:t>
            </w:r>
          </w:p>
        </w:tc>
      </w:tr>
      <w:tr w14:paraId="489FB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0" w:type="pct"/>
            <w:vMerge w:val="continue"/>
            <w:vAlign w:val="center"/>
          </w:tcPr>
          <w:p w14:paraId="2E3A7344">
            <w:pPr>
              <w:snapToGrid w:val="0"/>
              <w:spacing w:line="240" w:lineRule="auto"/>
              <w:ind w:firstLine="0" w:firstLineChars="0"/>
              <w:jc w:val="center"/>
              <w:rPr>
                <w:rFonts w:cs="Times New Roman"/>
                <w:sz w:val="21"/>
                <w:szCs w:val="21"/>
              </w:rPr>
            </w:pPr>
          </w:p>
        </w:tc>
        <w:tc>
          <w:tcPr>
            <w:tcW w:w="454" w:type="pct"/>
            <w:vAlign w:val="center"/>
          </w:tcPr>
          <w:p w14:paraId="1364D4C4">
            <w:pPr>
              <w:snapToGrid w:val="0"/>
              <w:spacing w:line="240" w:lineRule="auto"/>
              <w:ind w:firstLine="0" w:firstLineChars="0"/>
              <w:jc w:val="center"/>
              <w:rPr>
                <w:rFonts w:cs="Times New Roman"/>
                <w:sz w:val="21"/>
                <w:szCs w:val="21"/>
              </w:rPr>
            </w:pPr>
            <w:r>
              <w:rPr>
                <w:rFonts w:hint="eastAsia" w:cs="Times New Roman"/>
                <w:sz w:val="21"/>
                <w:szCs w:val="21"/>
              </w:rPr>
              <w:t>环境风险防范</w:t>
            </w:r>
          </w:p>
        </w:tc>
        <w:tc>
          <w:tcPr>
            <w:tcW w:w="2480" w:type="pct"/>
            <w:vAlign w:val="center"/>
          </w:tcPr>
          <w:p w14:paraId="1E432D9C">
            <w:pPr>
              <w:snapToGrid w:val="0"/>
              <w:spacing w:line="240" w:lineRule="auto"/>
              <w:ind w:firstLine="0" w:firstLineChars="0"/>
              <w:jc w:val="left"/>
              <w:rPr>
                <w:rFonts w:cs="Times New Roman"/>
                <w:sz w:val="21"/>
                <w:szCs w:val="21"/>
              </w:rPr>
            </w:pPr>
            <w:r>
              <w:rPr>
                <w:rFonts w:hint="eastAsia" w:cs="Times New Roman"/>
                <w:sz w:val="21"/>
                <w:szCs w:val="21"/>
              </w:rPr>
              <w:t>1．运输剧毒物质、危险化学品的船舶不得进入太湖。</w:t>
            </w:r>
          </w:p>
          <w:p w14:paraId="12397B50">
            <w:pPr>
              <w:snapToGrid w:val="0"/>
              <w:spacing w:line="240" w:lineRule="auto"/>
              <w:ind w:firstLine="0" w:firstLineChars="0"/>
              <w:jc w:val="left"/>
              <w:rPr>
                <w:rFonts w:cs="Times New Roman"/>
                <w:sz w:val="21"/>
                <w:szCs w:val="21"/>
              </w:rPr>
            </w:pPr>
            <w:r>
              <w:rPr>
                <w:rFonts w:hint="eastAsia" w:cs="Times New Roman"/>
                <w:sz w:val="21"/>
                <w:szCs w:val="21"/>
              </w:rPr>
              <w:t>2．禁止向太湖流域水体排放或者倾倒油类、酸液、碱液、剧毒废渣废液、含放射性废渣废液、含病原体污水、工业废渣以及其他废弃物。</w:t>
            </w:r>
          </w:p>
          <w:p w14:paraId="423C6409">
            <w:pPr>
              <w:snapToGrid w:val="0"/>
              <w:spacing w:line="240" w:lineRule="auto"/>
              <w:ind w:firstLine="0" w:firstLineChars="0"/>
              <w:jc w:val="left"/>
              <w:rPr>
                <w:rFonts w:cs="Times New Roman"/>
                <w:sz w:val="21"/>
                <w:szCs w:val="21"/>
              </w:rPr>
            </w:pPr>
            <w:r>
              <w:rPr>
                <w:rFonts w:hint="eastAsia" w:cs="Times New Roman"/>
                <w:sz w:val="21"/>
                <w:szCs w:val="21"/>
              </w:rPr>
              <w:t>3．加强太湖流域生态环境风险应急管控，着力提高防控太湖蓝藻水华风险预警和应急处置能力。</w:t>
            </w:r>
          </w:p>
        </w:tc>
        <w:tc>
          <w:tcPr>
            <w:tcW w:w="1418" w:type="pct"/>
            <w:vAlign w:val="center"/>
          </w:tcPr>
          <w:p w14:paraId="21D67B0C">
            <w:pPr>
              <w:snapToGrid w:val="0"/>
              <w:spacing w:line="240" w:lineRule="auto"/>
              <w:ind w:firstLine="0" w:firstLineChars="0"/>
              <w:rPr>
                <w:rFonts w:cs="Times New Roman"/>
                <w:sz w:val="21"/>
                <w:szCs w:val="21"/>
              </w:rPr>
            </w:pPr>
            <w:r>
              <w:rPr>
                <w:rFonts w:hint="eastAsia" w:cs="Times New Roman"/>
                <w:sz w:val="21"/>
                <w:szCs w:val="21"/>
              </w:rPr>
              <w:t>度假区加强环境风险防范，严格落实太湖流域重点管控区域的环境风险防范要求。</w:t>
            </w:r>
          </w:p>
        </w:tc>
        <w:tc>
          <w:tcPr>
            <w:tcW w:w="426" w:type="pct"/>
            <w:vAlign w:val="center"/>
          </w:tcPr>
          <w:p w14:paraId="3C3B43AA">
            <w:pPr>
              <w:snapToGrid w:val="0"/>
              <w:spacing w:line="240" w:lineRule="auto"/>
              <w:ind w:firstLine="0" w:firstLineChars="0"/>
              <w:jc w:val="center"/>
              <w:rPr>
                <w:rFonts w:cs="Times New Roman"/>
                <w:sz w:val="21"/>
                <w:szCs w:val="21"/>
              </w:rPr>
            </w:pPr>
            <w:r>
              <w:rPr>
                <w:rFonts w:hint="eastAsia" w:cs="Times New Roman"/>
                <w:sz w:val="21"/>
                <w:szCs w:val="21"/>
              </w:rPr>
              <w:t>相符</w:t>
            </w:r>
          </w:p>
        </w:tc>
      </w:tr>
      <w:tr w14:paraId="695BA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0" w:type="pct"/>
            <w:vMerge w:val="continue"/>
            <w:vAlign w:val="center"/>
          </w:tcPr>
          <w:p w14:paraId="32014E81">
            <w:pPr>
              <w:snapToGrid w:val="0"/>
              <w:spacing w:line="240" w:lineRule="auto"/>
              <w:ind w:firstLine="0" w:firstLineChars="0"/>
              <w:jc w:val="center"/>
              <w:rPr>
                <w:rFonts w:cs="Times New Roman"/>
                <w:sz w:val="21"/>
                <w:szCs w:val="21"/>
              </w:rPr>
            </w:pPr>
          </w:p>
        </w:tc>
        <w:tc>
          <w:tcPr>
            <w:tcW w:w="454" w:type="pct"/>
            <w:vAlign w:val="center"/>
          </w:tcPr>
          <w:p w14:paraId="772D6E25">
            <w:pPr>
              <w:snapToGrid w:val="0"/>
              <w:spacing w:line="240" w:lineRule="auto"/>
              <w:ind w:firstLine="0" w:firstLineChars="0"/>
              <w:jc w:val="center"/>
              <w:rPr>
                <w:rFonts w:cs="Times New Roman"/>
                <w:sz w:val="21"/>
                <w:szCs w:val="21"/>
              </w:rPr>
            </w:pPr>
            <w:r>
              <w:rPr>
                <w:rFonts w:hint="eastAsia" w:cs="Times New Roman"/>
                <w:sz w:val="21"/>
                <w:szCs w:val="21"/>
              </w:rPr>
              <w:t>资源利用效率</w:t>
            </w:r>
          </w:p>
        </w:tc>
        <w:tc>
          <w:tcPr>
            <w:tcW w:w="2480" w:type="pct"/>
            <w:vAlign w:val="center"/>
          </w:tcPr>
          <w:p w14:paraId="24E785FE">
            <w:pPr>
              <w:snapToGrid w:val="0"/>
              <w:spacing w:line="240" w:lineRule="auto"/>
              <w:ind w:firstLine="0" w:firstLineChars="0"/>
              <w:jc w:val="left"/>
              <w:rPr>
                <w:rFonts w:cs="Times New Roman"/>
                <w:sz w:val="21"/>
                <w:szCs w:val="21"/>
              </w:rPr>
            </w:pPr>
            <w:r>
              <w:rPr>
                <w:rFonts w:hint="eastAsia" w:cs="Times New Roman"/>
                <w:sz w:val="21"/>
                <w:szCs w:val="21"/>
              </w:rPr>
              <w:t>1．严格用水定额管理制度，推进取用水规范化管理，科学制定用水定额并动态调整，对超过用水定额标准的企业分类分步先期实施节水改造，鼓励重点用水企业、园区建立智慧用水管理系统。</w:t>
            </w:r>
          </w:p>
          <w:p w14:paraId="610C2130">
            <w:pPr>
              <w:snapToGrid w:val="0"/>
              <w:spacing w:line="240" w:lineRule="auto"/>
              <w:ind w:firstLine="0" w:firstLineChars="0"/>
              <w:jc w:val="left"/>
              <w:rPr>
                <w:rFonts w:cs="Times New Roman"/>
                <w:sz w:val="21"/>
                <w:szCs w:val="21"/>
              </w:rPr>
            </w:pPr>
            <w:r>
              <w:rPr>
                <w:rFonts w:hint="eastAsia" w:cs="Times New Roman"/>
                <w:sz w:val="21"/>
                <w:szCs w:val="21"/>
              </w:rPr>
              <w:t>2．推进新孟河、新沟河、望虞河、走马塘等河道联合调度，科学调控太湖水位。</w:t>
            </w:r>
          </w:p>
        </w:tc>
        <w:tc>
          <w:tcPr>
            <w:tcW w:w="1418" w:type="pct"/>
            <w:vAlign w:val="center"/>
          </w:tcPr>
          <w:p w14:paraId="296205F5">
            <w:pPr>
              <w:snapToGrid w:val="0"/>
              <w:spacing w:line="240" w:lineRule="auto"/>
              <w:ind w:firstLine="0" w:firstLineChars="0"/>
              <w:rPr>
                <w:rFonts w:cs="Times New Roman"/>
                <w:sz w:val="21"/>
                <w:szCs w:val="21"/>
              </w:rPr>
            </w:pPr>
            <w:r>
              <w:rPr>
                <w:rFonts w:hint="eastAsia" w:cs="Times New Roman"/>
                <w:sz w:val="21"/>
                <w:szCs w:val="21"/>
              </w:rPr>
              <w:t>度假区主要发展旅游业，水资源主要用于居民生活、游客用水等，区域水源供应可满足区域水资源需求。</w:t>
            </w:r>
          </w:p>
        </w:tc>
        <w:tc>
          <w:tcPr>
            <w:tcW w:w="426" w:type="pct"/>
            <w:vAlign w:val="center"/>
          </w:tcPr>
          <w:p w14:paraId="308B417A">
            <w:pPr>
              <w:snapToGrid w:val="0"/>
              <w:spacing w:line="240" w:lineRule="auto"/>
              <w:ind w:firstLine="0" w:firstLineChars="0"/>
              <w:jc w:val="center"/>
              <w:rPr>
                <w:rFonts w:cs="Times New Roman"/>
                <w:sz w:val="21"/>
                <w:szCs w:val="21"/>
              </w:rPr>
            </w:pPr>
            <w:r>
              <w:rPr>
                <w:rFonts w:hint="eastAsia" w:cs="Times New Roman"/>
                <w:sz w:val="21"/>
                <w:szCs w:val="21"/>
              </w:rPr>
              <w:t>相符</w:t>
            </w:r>
          </w:p>
        </w:tc>
      </w:tr>
    </w:tbl>
    <w:p w14:paraId="7BD626B3">
      <w:pPr>
        <w:ind w:firstLine="0" w:firstLineChars="0"/>
      </w:pPr>
    </w:p>
    <w:p w14:paraId="61978D39">
      <w:pPr>
        <w:ind w:firstLine="0" w:firstLineChars="0"/>
      </w:pPr>
    </w:p>
    <w:p w14:paraId="0E11A8A4">
      <w:pPr>
        <w:ind w:firstLine="0" w:firstLineChars="0"/>
        <w:sectPr>
          <w:pgSz w:w="16838" w:h="11906" w:orient="landscape"/>
          <w:pgMar w:top="1800" w:right="1440" w:bottom="1800" w:left="1440" w:header="851" w:footer="992" w:gutter="0"/>
          <w:cols w:space="425" w:num="1"/>
          <w:docGrid w:type="lines" w:linePitch="326" w:charSpace="0"/>
        </w:sectPr>
      </w:pPr>
    </w:p>
    <w:p w14:paraId="567F4264">
      <w:pPr>
        <w:ind w:firstLine="0" w:firstLineChars="0"/>
        <w:outlineLvl w:val="3"/>
        <w:rPr>
          <w:b/>
          <w:bCs/>
        </w:rPr>
      </w:pPr>
      <w:r>
        <w:rPr>
          <w:rFonts w:hint="eastAsia"/>
          <w:b/>
          <w:bCs/>
        </w:rPr>
        <w:t>2</w:t>
      </w:r>
      <w:r>
        <w:rPr>
          <w:b/>
          <w:bCs/>
        </w:rPr>
        <w:t>.</w:t>
      </w:r>
      <w:r>
        <w:rPr>
          <w:rFonts w:hint="eastAsia"/>
          <w:b/>
          <w:bCs/>
        </w:rPr>
        <w:t>3</w:t>
      </w:r>
      <w:r>
        <w:rPr>
          <w:b/>
          <w:bCs/>
        </w:rPr>
        <w:t>.5.2</w:t>
      </w:r>
      <w:r>
        <w:rPr>
          <w:rFonts w:hint="eastAsia"/>
          <w:b/>
          <w:bCs/>
        </w:rPr>
        <w:t>与《常州市“三线一单”生态环境分区管控实施方案》（2023年动态更新）相符性分析</w:t>
      </w:r>
    </w:p>
    <w:p w14:paraId="6B22D39D">
      <w:pPr>
        <w:ind w:firstLine="480"/>
      </w:pPr>
      <w:r>
        <w:rPr>
          <w:rFonts w:hint="eastAsia"/>
        </w:rPr>
        <w:t>（1）相关要点</w:t>
      </w:r>
    </w:p>
    <w:p w14:paraId="321D0D58">
      <w:pPr>
        <w:ind w:firstLine="480"/>
      </w:pPr>
      <w:r>
        <w:rPr>
          <w:rFonts w:hint="eastAsia"/>
        </w:rPr>
        <w:t>全市生态环境管控单元动态更新后共180个，分为优先保护单元、重点管控单元和一般管控单元三类，实施分类管控。</w:t>
      </w:r>
    </w:p>
    <w:p w14:paraId="1F95C49C">
      <w:pPr>
        <w:ind w:firstLine="480"/>
      </w:pPr>
      <w:r>
        <w:rPr>
          <w:rFonts w:hint="eastAsia"/>
        </w:rPr>
        <w:t>优先保护单元，指以生态环境保护为主的区域，包括生态保护红线和生态空间管控区域。全市划分优先保护单元56个，占全市国土面积的22.31%。生态保护红线和生态空间管控区域涉及的优先保护单元按照国家和省最新批复动态调整。</w:t>
      </w:r>
    </w:p>
    <w:p w14:paraId="4FA44DC4">
      <w:pPr>
        <w:ind w:firstLine="480"/>
      </w:pPr>
      <w:r>
        <w:rPr>
          <w:rFonts w:hint="eastAsia"/>
        </w:rPr>
        <w:t>重点管控单元，指涉及水、大气、土壤、自然资源等资源环境要素重点管控的区域，主要包括人口密集的中心城区和各级各类产业集聚的工业园区（工业集中区）。根据全市各级各类产业园区更新情况，全市划分重点管控单元83个，占全市国土面积的27.76%。重点管控单元根据产业发展规划、国土空间规划及规划环评等动态调整。</w:t>
      </w:r>
    </w:p>
    <w:p w14:paraId="6D4841C6">
      <w:pPr>
        <w:ind w:firstLine="480"/>
      </w:pPr>
      <w:r>
        <w:rPr>
          <w:rFonts w:hint="eastAsia"/>
        </w:rPr>
        <w:t>一般管控单元，指除优先保护单元、重点管控单元以外的其他区域，衔接街道（乡镇）边界形成管控单元。根据各市（区）行政区划的变化做出相应更新，全市划分一般管控单元41个，占全市国土面积的49.93%。</w:t>
      </w:r>
    </w:p>
    <w:p w14:paraId="08104683">
      <w:pPr>
        <w:ind w:firstLine="480"/>
      </w:pPr>
      <w:r>
        <w:rPr>
          <w:rFonts w:hint="eastAsia"/>
        </w:rPr>
        <w:t>（2）相符性分析</w:t>
      </w:r>
    </w:p>
    <w:p w14:paraId="736DD38C">
      <w:pPr>
        <w:ind w:firstLine="480"/>
      </w:pPr>
      <w:r>
        <w:rPr>
          <w:rFonts w:hint="eastAsia"/>
        </w:rPr>
        <w:t>根据常州市“三线一单”生态环境分区管控动态更新成果，度假区内涉及的茅东省级森林公园与茅山省级风景名胜区依据《自然资源部办公厅关于北京等省（区、市）启用“三区三线”划定成果作为报批建设项目用地用海依据的函》（自然资办函〔2022〕2207号）在本次动态更新中进行整合优化生态保护红线江苏常州金坛茅东省级森林公园，其准入清单未发生变化。</w:t>
      </w:r>
    </w:p>
    <w:p w14:paraId="57599865">
      <w:pPr>
        <w:ind w:firstLine="480"/>
      </w:pPr>
      <w:r>
        <w:rPr>
          <w:rFonts w:hint="eastAsia"/>
        </w:rPr>
        <w:t>根据常州市生态环境分区管控要求，江苏常州金坛茅东省级森林公园（整合后）、茅东山地水源涵养区、四棚洼生态公益林、方山（金坛区）森林公园、向阳水库水源涵养区同为优先保护单元，其他区为一般管控单元，各管控单位的管控要求和准入清单如表2.3-4所示。对照生态环境准入要求，度假区本轮规划的产业发展规划、环境保护规划、污染物排放要求、环境风险管控等符合各项空间布局约束、污染排放管控、环境风险管控和资源开发效率要求，在规划实施过程中，污染物排放管控和资源开发效率要求不得超出环境管控单元的管控要求。综上所述，本轮规划与《常州市“三线一单”生态环境分区管控实施方案》相符合。</w:t>
      </w:r>
    </w:p>
    <w:p w14:paraId="23384252">
      <w:pPr>
        <w:widowControl/>
        <w:spacing w:line="240" w:lineRule="auto"/>
        <w:ind w:firstLine="0" w:firstLineChars="0"/>
        <w:jc w:val="left"/>
        <w:sectPr>
          <w:pgSz w:w="11906" w:h="16838"/>
          <w:pgMar w:top="1440" w:right="1800" w:bottom="1440" w:left="1800" w:header="851" w:footer="992" w:gutter="0"/>
          <w:cols w:space="425" w:num="1"/>
          <w:docGrid w:type="lines" w:linePitch="312" w:charSpace="0"/>
        </w:sectPr>
      </w:pPr>
    </w:p>
    <w:p w14:paraId="4054FF48">
      <w:pPr>
        <w:pStyle w:val="45"/>
        <w:rPr>
          <w:rFonts w:cs="Times New Roman"/>
        </w:rPr>
      </w:pPr>
      <w:r>
        <w:rPr>
          <w:rFonts w:hint="eastAsia" w:cs="Times New Roman"/>
        </w:rPr>
        <w:t>表</w:t>
      </w:r>
      <w:r>
        <w:rPr>
          <w:rFonts w:cs="Times New Roman"/>
        </w:rPr>
        <w:t>2.</w:t>
      </w:r>
      <w:r>
        <w:rPr>
          <w:rFonts w:hint="eastAsia" w:cs="Times New Roman"/>
        </w:rPr>
        <w:t xml:space="preserve">3-4 </w:t>
      </w:r>
      <w:r>
        <w:rPr>
          <w:rFonts w:cs="Times New Roman"/>
        </w:rPr>
        <w:t xml:space="preserve"> </w:t>
      </w:r>
      <w:r>
        <w:rPr>
          <w:rFonts w:hint="eastAsia" w:cs="Times New Roman"/>
        </w:rPr>
        <w:t>度假区与常州市生态环境准入清单符合性分析表</w:t>
      </w:r>
    </w:p>
    <w:tbl>
      <w:tblPr>
        <w:tblStyle w:val="44"/>
        <w:tblW w:w="52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42"/>
        <w:gridCol w:w="1760"/>
        <w:gridCol w:w="2325"/>
        <w:gridCol w:w="2081"/>
        <w:gridCol w:w="3073"/>
        <w:gridCol w:w="2222"/>
        <w:gridCol w:w="1829"/>
        <w:gridCol w:w="637"/>
      </w:tblGrid>
      <w:tr w14:paraId="034D2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253" w:type="pct"/>
            <w:vMerge w:val="restart"/>
            <w:vAlign w:val="center"/>
          </w:tcPr>
          <w:p w14:paraId="17D24F8A">
            <w:pPr>
              <w:snapToGrid w:val="0"/>
              <w:spacing w:line="240" w:lineRule="auto"/>
              <w:ind w:firstLine="0" w:firstLineChars="0"/>
              <w:jc w:val="center"/>
              <w:rPr>
                <w:b/>
                <w:kern w:val="0"/>
                <w:sz w:val="21"/>
                <w:szCs w:val="20"/>
                <w14:ligatures w14:val="none"/>
              </w:rPr>
            </w:pPr>
            <w:r>
              <w:rPr>
                <w:rFonts w:hint="eastAsia"/>
                <w:b/>
                <w:kern w:val="0"/>
                <w:sz w:val="21"/>
                <w:szCs w:val="20"/>
                <w14:ligatures w14:val="none"/>
              </w:rPr>
              <w:t>管控类别</w:t>
            </w:r>
          </w:p>
        </w:tc>
        <w:tc>
          <w:tcPr>
            <w:tcW w:w="3148" w:type="pct"/>
            <w:gridSpan w:val="4"/>
            <w:vAlign w:val="center"/>
          </w:tcPr>
          <w:p w14:paraId="7A422790">
            <w:pPr>
              <w:snapToGrid w:val="0"/>
              <w:spacing w:line="240" w:lineRule="auto"/>
              <w:ind w:firstLine="0" w:firstLineChars="0"/>
              <w:jc w:val="center"/>
              <w:rPr>
                <w:b/>
                <w:kern w:val="0"/>
                <w:sz w:val="21"/>
                <w:szCs w:val="20"/>
                <w14:ligatures w14:val="none"/>
              </w:rPr>
            </w:pPr>
            <w:r>
              <w:rPr>
                <w:rFonts w:hint="eastAsia"/>
                <w:b/>
                <w:kern w:val="0"/>
                <w:sz w:val="21"/>
                <w:szCs w:val="20"/>
                <w14:ligatures w14:val="none"/>
              </w:rPr>
              <w:t>优先管控单元要求</w:t>
            </w:r>
          </w:p>
        </w:tc>
        <w:tc>
          <w:tcPr>
            <w:tcW w:w="757" w:type="pct"/>
            <w:vMerge w:val="restart"/>
            <w:vAlign w:val="center"/>
          </w:tcPr>
          <w:p w14:paraId="56F4B5A0">
            <w:pPr>
              <w:snapToGrid w:val="0"/>
              <w:spacing w:line="240" w:lineRule="auto"/>
              <w:ind w:firstLine="0" w:firstLineChars="0"/>
              <w:jc w:val="center"/>
              <w:rPr>
                <w:b/>
                <w:kern w:val="0"/>
                <w:sz w:val="21"/>
                <w:szCs w:val="20"/>
                <w14:ligatures w14:val="none"/>
              </w:rPr>
            </w:pPr>
            <w:r>
              <w:rPr>
                <w:rFonts w:hint="eastAsia"/>
                <w:b/>
                <w:kern w:val="0"/>
                <w:sz w:val="21"/>
                <w:szCs w:val="20"/>
                <w14:ligatures w14:val="none"/>
              </w:rPr>
              <w:t>一般管控单元要求</w:t>
            </w:r>
          </w:p>
        </w:tc>
        <w:tc>
          <w:tcPr>
            <w:tcW w:w="623" w:type="pct"/>
            <w:vMerge w:val="restart"/>
            <w:vAlign w:val="center"/>
          </w:tcPr>
          <w:p w14:paraId="04E88DC6">
            <w:pPr>
              <w:snapToGrid w:val="0"/>
              <w:spacing w:line="240" w:lineRule="auto"/>
              <w:ind w:firstLine="0" w:firstLineChars="0"/>
              <w:jc w:val="center"/>
              <w:rPr>
                <w:b/>
                <w:kern w:val="0"/>
                <w:sz w:val="21"/>
                <w:szCs w:val="20"/>
                <w14:ligatures w14:val="none"/>
              </w:rPr>
            </w:pPr>
            <w:r>
              <w:rPr>
                <w:rFonts w:hint="eastAsia"/>
                <w:b/>
                <w:kern w:val="0"/>
                <w:sz w:val="21"/>
                <w:szCs w:val="20"/>
                <w14:ligatures w14:val="none"/>
              </w:rPr>
              <w:t>相符性分析</w:t>
            </w:r>
          </w:p>
        </w:tc>
        <w:tc>
          <w:tcPr>
            <w:tcW w:w="217" w:type="pct"/>
            <w:vMerge w:val="restart"/>
            <w:vAlign w:val="center"/>
          </w:tcPr>
          <w:p w14:paraId="6893A5D1">
            <w:pPr>
              <w:snapToGrid w:val="0"/>
              <w:spacing w:line="240" w:lineRule="auto"/>
              <w:ind w:firstLine="0" w:firstLineChars="0"/>
              <w:jc w:val="center"/>
              <w:rPr>
                <w:b/>
                <w:kern w:val="0"/>
                <w:sz w:val="21"/>
                <w:szCs w:val="20"/>
                <w14:ligatures w14:val="none"/>
              </w:rPr>
            </w:pPr>
            <w:r>
              <w:rPr>
                <w:rFonts w:hint="eastAsia"/>
                <w:b/>
                <w:kern w:val="0"/>
                <w:sz w:val="21"/>
                <w:szCs w:val="20"/>
                <w14:ligatures w14:val="none"/>
              </w:rPr>
              <w:t>是否相符</w:t>
            </w:r>
          </w:p>
        </w:tc>
      </w:tr>
      <w:tr w14:paraId="7BC77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253" w:type="pct"/>
            <w:vMerge w:val="continue"/>
            <w:vAlign w:val="center"/>
          </w:tcPr>
          <w:p w14:paraId="421008F5">
            <w:pPr>
              <w:snapToGrid w:val="0"/>
              <w:spacing w:line="240" w:lineRule="auto"/>
              <w:ind w:firstLine="0" w:firstLineChars="0"/>
              <w:jc w:val="center"/>
              <w:rPr>
                <w:b/>
                <w:kern w:val="0"/>
                <w:sz w:val="21"/>
                <w:szCs w:val="20"/>
                <w14:ligatures w14:val="none"/>
              </w:rPr>
            </w:pPr>
          </w:p>
        </w:tc>
        <w:tc>
          <w:tcPr>
            <w:tcW w:w="600" w:type="pct"/>
            <w:vAlign w:val="center"/>
          </w:tcPr>
          <w:p w14:paraId="7C3489ED">
            <w:pPr>
              <w:snapToGrid w:val="0"/>
              <w:spacing w:line="240" w:lineRule="auto"/>
              <w:ind w:firstLine="0" w:firstLineChars="0"/>
              <w:jc w:val="center"/>
              <w:rPr>
                <w:b/>
                <w:kern w:val="0"/>
                <w:sz w:val="21"/>
                <w:szCs w:val="20"/>
                <w14:ligatures w14:val="none"/>
              </w:rPr>
            </w:pPr>
            <w:r>
              <w:rPr>
                <w:rFonts w:hint="eastAsia"/>
                <w:b/>
                <w:kern w:val="0"/>
                <w:sz w:val="21"/>
                <w:szCs w:val="20"/>
                <w14:ligatures w14:val="none"/>
              </w:rPr>
              <w:t>茅山省级风景名胜区</w:t>
            </w:r>
          </w:p>
        </w:tc>
        <w:tc>
          <w:tcPr>
            <w:tcW w:w="792" w:type="pct"/>
            <w:vAlign w:val="center"/>
          </w:tcPr>
          <w:p w14:paraId="069C41A9">
            <w:pPr>
              <w:snapToGrid w:val="0"/>
              <w:spacing w:line="240" w:lineRule="auto"/>
              <w:ind w:firstLine="0" w:firstLineChars="0"/>
              <w:jc w:val="center"/>
              <w:rPr>
                <w:b/>
                <w:kern w:val="0"/>
                <w:sz w:val="21"/>
                <w:szCs w:val="20"/>
                <w14:ligatures w14:val="none"/>
              </w:rPr>
            </w:pPr>
            <w:r>
              <w:rPr>
                <w:rFonts w:hint="eastAsia"/>
                <w:b/>
                <w:kern w:val="0"/>
                <w:sz w:val="21"/>
                <w:szCs w:val="20"/>
                <w14:ligatures w14:val="none"/>
              </w:rPr>
              <w:t>茅东省级森林公园、方山（金坛区）森林公园</w:t>
            </w:r>
          </w:p>
        </w:tc>
        <w:tc>
          <w:tcPr>
            <w:tcW w:w="709" w:type="pct"/>
            <w:vAlign w:val="center"/>
          </w:tcPr>
          <w:p w14:paraId="338FADE9">
            <w:pPr>
              <w:snapToGrid w:val="0"/>
              <w:spacing w:line="240" w:lineRule="auto"/>
              <w:ind w:firstLine="0" w:firstLineChars="0"/>
              <w:jc w:val="center"/>
              <w:rPr>
                <w:b/>
                <w:kern w:val="0"/>
                <w:sz w:val="21"/>
                <w:szCs w:val="20"/>
                <w14:ligatures w14:val="none"/>
              </w:rPr>
            </w:pPr>
            <w:r>
              <w:rPr>
                <w:rFonts w:hint="eastAsia"/>
                <w:b/>
                <w:kern w:val="0"/>
                <w:sz w:val="21"/>
                <w:szCs w:val="20"/>
                <w14:ligatures w14:val="none"/>
              </w:rPr>
              <w:t>茅东山地水源涵养区、向阳水库水源涵养区</w:t>
            </w:r>
          </w:p>
        </w:tc>
        <w:tc>
          <w:tcPr>
            <w:tcW w:w="1045" w:type="pct"/>
            <w:vAlign w:val="center"/>
          </w:tcPr>
          <w:p w14:paraId="2A0FA25B">
            <w:pPr>
              <w:snapToGrid w:val="0"/>
              <w:spacing w:line="240" w:lineRule="auto"/>
              <w:ind w:firstLine="0" w:firstLineChars="0"/>
              <w:jc w:val="center"/>
              <w:rPr>
                <w:b/>
                <w:kern w:val="0"/>
                <w:sz w:val="21"/>
                <w:szCs w:val="20"/>
                <w14:ligatures w14:val="none"/>
              </w:rPr>
            </w:pPr>
            <w:r>
              <w:rPr>
                <w:rFonts w:hint="eastAsia"/>
                <w:b/>
                <w:kern w:val="0"/>
                <w:sz w:val="21"/>
                <w:szCs w:val="20"/>
                <w14:ligatures w14:val="none"/>
              </w:rPr>
              <w:t>四棚洼生态公益林</w:t>
            </w:r>
          </w:p>
        </w:tc>
        <w:tc>
          <w:tcPr>
            <w:tcW w:w="757" w:type="pct"/>
            <w:vMerge w:val="continue"/>
          </w:tcPr>
          <w:p w14:paraId="34D44750">
            <w:pPr>
              <w:snapToGrid w:val="0"/>
              <w:spacing w:line="240" w:lineRule="auto"/>
              <w:ind w:firstLine="0" w:firstLineChars="0"/>
              <w:jc w:val="center"/>
              <w:rPr>
                <w:b/>
                <w:kern w:val="0"/>
                <w:sz w:val="21"/>
                <w:szCs w:val="20"/>
                <w14:ligatures w14:val="none"/>
              </w:rPr>
            </w:pPr>
          </w:p>
        </w:tc>
        <w:tc>
          <w:tcPr>
            <w:tcW w:w="623" w:type="pct"/>
            <w:vMerge w:val="continue"/>
            <w:vAlign w:val="center"/>
          </w:tcPr>
          <w:p w14:paraId="4EC0A220">
            <w:pPr>
              <w:snapToGrid w:val="0"/>
              <w:spacing w:line="240" w:lineRule="auto"/>
              <w:ind w:firstLine="0" w:firstLineChars="0"/>
              <w:jc w:val="center"/>
              <w:rPr>
                <w:b/>
                <w:kern w:val="0"/>
                <w:sz w:val="21"/>
                <w:szCs w:val="20"/>
                <w14:ligatures w14:val="none"/>
              </w:rPr>
            </w:pPr>
          </w:p>
        </w:tc>
        <w:tc>
          <w:tcPr>
            <w:tcW w:w="217" w:type="pct"/>
            <w:vMerge w:val="continue"/>
            <w:vAlign w:val="center"/>
          </w:tcPr>
          <w:p w14:paraId="4F188C34">
            <w:pPr>
              <w:snapToGrid w:val="0"/>
              <w:spacing w:line="240" w:lineRule="auto"/>
              <w:ind w:firstLine="0" w:firstLineChars="0"/>
              <w:jc w:val="center"/>
              <w:rPr>
                <w:b/>
                <w:kern w:val="0"/>
                <w:sz w:val="21"/>
                <w:szCs w:val="20"/>
                <w14:ligatures w14:val="none"/>
              </w:rPr>
            </w:pPr>
          </w:p>
        </w:tc>
      </w:tr>
      <w:tr w14:paraId="55EBC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253" w:type="pct"/>
            <w:vAlign w:val="center"/>
          </w:tcPr>
          <w:p w14:paraId="2DB6CDB9">
            <w:pPr>
              <w:snapToGrid w:val="0"/>
              <w:spacing w:line="240" w:lineRule="auto"/>
              <w:ind w:firstLine="0" w:firstLineChars="0"/>
              <w:jc w:val="center"/>
              <w:rPr>
                <w:kern w:val="0"/>
                <w:sz w:val="21"/>
                <w:szCs w:val="20"/>
                <w14:ligatures w14:val="none"/>
              </w:rPr>
            </w:pPr>
            <w:r>
              <w:rPr>
                <w:rFonts w:hint="eastAsia"/>
                <w:kern w:val="0"/>
                <w:sz w:val="21"/>
                <w:szCs w:val="20"/>
                <w14:ligatures w14:val="none"/>
              </w:rPr>
              <w:t>空间布局约束</w:t>
            </w:r>
          </w:p>
        </w:tc>
        <w:tc>
          <w:tcPr>
            <w:tcW w:w="600" w:type="pct"/>
            <w:vAlign w:val="center"/>
          </w:tcPr>
          <w:p w14:paraId="58FEF378">
            <w:pPr>
              <w:snapToGrid w:val="0"/>
              <w:spacing w:line="240" w:lineRule="auto"/>
              <w:ind w:firstLine="0" w:firstLineChars="0"/>
              <w:rPr>
                <w:kern w:val="0"/>
                <w:sz w:val="21"/>
                <w:szCs w:val="20"/>
                <w14:ligatures w14:val="none"/>
              </w:rPr>
            </w:pPr>
            <w:r>
              <w:rPr>
                <w:rFonts w:hint="eastAsia"/>
                <w:kern w:val="0"/>
                <w:sz w:val="21"/>
                <w:szCs w:val="20"/>
                <w14:ligatures w14:val="none"/>
              </w:rPr>
              <w:t>（1）生态保护红线内严禁不符合主体功能定位的各类开发活动。</w:t>
            </w:r>
          </w:p>
          <w:p w14:paraId="47CF2473">
            <w:pPr>
              <w:snapToGrid w:val="0"/>
              <w:spacing w:line="240" w:lineRule="auto"/>
              <w:ind w:firstLine="0" w:firstLineChars="0"/>
              <w:rPr>
                <w:kern w:val="0"/>
                <w:sz w:val="21"/>
                <w:szCs w:val="20"/>
                <w14:ligatures w14:val="none"/>
              </w:rPr>
            </w:pPr>
            <w:r>
              <w:rPr>
                <w:rFonts w:hint="eastAsia"/>
                <w:kern w:val="0"/>
                <w:sz w:val="21"/>
                <w:szCs w:val="20"/>
                <w14:ligatures w14:val="none"/>
              </w:rPr>
              <w:t>（2）生态空间管控区域以生态保护为重点，原则上不得开展有损主导生态功能的开发建设活动，不得随意占用和调整。</w:t>
            </w:r>
          </w:p>
          <w:p w14:paraId="70B63228">
            <w:pPr>
              <w:snapToGrid w:val="0"/>
              <w:spacing w:line="240" w:lineRule="auto"/>
              <w:ind w:firstLine="0" w:firstLineChars="0"/>
              <w:rPr>
                <w:kern w:val="0"/>
                <w:sz w:val="21"/>
                <w:szCs w:val="20"/>
                <w14:ligatures w14:val="none"/>
              </w:rPr>
            </w:pPr>
            <w:r>
              <w:rPr>
                <w:rFonts w:hint="eastAsia"/>
                <w:kern w:val="0"/>
                <w:sz w:val="21"/>
                <w:szCs w:val="20"/>
                <w14:ligatures w14:val="none"/>
              </w:rPr>
              <w:t>（3）按照《湿地保护管理规定》《江苏省湿地保护条例》《江苏省生态空间管控区域规划》及相关法律法规实施保护管理。</w:t>
            </w:r>
          </w:p>
        </w:tc>
        <w:tc>
          <w:tcPr>
            <w:tcW w:w="792" w:type="pct"/>
            <w:vAlign w:val="center"/>
          </w:tcPr>
          <w:p w14:paraId="18AF1554">
            <w:pPr>
              <w:snapToGrid w:val="0"/>
              <w:spacing w:line="240" w:lineRule="auto"/>
              <w:ind w:firstLine="0" w:firstLineChars="0"/>
              <w:rPr>
                <w:kern w:val="0"/>
                <w:sz w:val="21"/>
                <w:szCs w:val="20"/>
                <w14:ligatures w14:val="none"/>
              </w:rPr>
            </w:pPr>
            <w:r>
              <w:rPr>
                <w:rFonts w:hint="eastAsia"/>
                <w:kern w:val="0"/>
                <w:sz w:val="21"/>
                <w:szCs w:val="20"/>
                <w14:ligatures w14:val="none"/>
              </w:rPr>
              <w:t>（1）生态保护红线内严禁不符合主体功能定位的各类开发活动。</w:t>
            </w:r>
          </w:p>
          <w:p w14:paraId="0FD20778">
            <w:pPr>
              <w:snapToGrid w:val="0"/>
              <w:spacing w:line="240" w:lineRule="auto"/>
              <w:ind w:firstLine="0" w:firstLineChars="0"/>
              <w:rPr>
                <w:kern w:val="0"/>
                <w:sz w:val="21"/>
                <w:szCs w:val="20"/>
                <w14:ligatures w14:val="none"/>
              </w:rPr>
            </w:pPr>
            <w:r>
              <w:rPr>
                <w:rFonts w:hint="eastAsia"/>
                <w:kern w:val="0"/>
                <w:sz w:val="21"/>
                <w:szCs w:val="20"/>
                <w14:ligatures w14:val="none"/>
              </w:rPr>
              <w:t>（2）生态空间管控区域以生态保护为重点，原则上不得开展有损主导生态功能的开发建设活动，不得随意占用和调整。</w:t>
            </w:r>
          </w:p>
          <w:p w14:paraId="077532CE">
            <w:pPr>
              <w:snapToGrid w:val="0"/>
              <w:spacing w:line="240" w:lineRule="auto"/>
              <w:ind w:firstLine="0" w:firstLineChars="0"/>
              <w:rPr>
                <w:kern w:val="0"/>
                <w:sz w:val="21"/>
                <w:szCs w:val="20"/>
                <w14:ligatures w14:val="none"/>
              </w:rPr>
            </w:pPr>
            <w:r>
              <w:rPr>
                <w:rFonts w:hint="eastAsia"/>
                <w:kern w:val="0"/>
                <w:sz w:val="21"/>
                <w:szCs w:val="20"/>
                <w14:ligatures w14:val="none"/>
              </w:rPr>
              <w:t>（3）按照《中华人民共和国森林法》《中华人民共和国森林法实施条例》《森林公园管理办法》《国家级森林公园管理办法》《江苏省省级森林公园管理办法》《江苏省生态空间管控区域规划》及相关法律法规实施保护管理。</w:t>
            </w:r>
          </w:p>
        </w:tc>
        <w:tc>
          <w:tcPr>
            <w:tcW w:w="709" w:type="pct"/>
            <w:vAlign w:val="center"/>
          </w:tcPr>
          <w:p w14:paraId="362AC2C2">
            <w:pPr>
              <w:snapToGrid w:val="0"/>
              <w:spacing w:line="240" w:lineRule="auto"/>
              <w:ind w:firstLine="0" w:firstLineChars="0"/>
              <w:rPr>
                <w:kern w:val="0"/>
                <w:sz w:val="21"/>
                <w:szCs w:val="20"/>
                <w14:ligatures w14:val="none"/>
              </w:rPr>
            </w:pPr>
            <w:r>
              <w:rPr>
                <w:rFonts w:hint="eastAsia"/>
                <w:kern w:val="0"/>
                <w:sz w:val="21"/>
                <w:szCs w:val="20"/>
                <w14:ligatures w14:val="none"/>
              </w:rPr>
              <w:t>（1）生态空间管控区域以生态保护为重点，原则上不得开展有损主导生态功能的开发建设活动，不得随意占用和调整。</w:t>
            </w:r>
          </w:p>
          <w:p w14:paraId="217E4F9D">
            <w:pPr>
              <w:snapToGrid w:val="0"/>
              <w:spacing w:line="240" w:lineRule="auto"/>
              <w:ind w:firstLine="0" w:firstLineChars="0"/>
              <w:rPr>
                <w:kern w:val="0"/>
                <w:sz w:val="21"/>
                <w:szCs w:val="20"/>
                <w14:ligatures w14:val="none"/>
              </w:rPr>
            </w:pPr>
            <w:r>
              <w:rPr>
                <w:rFonts w:hint="eastAsia"/>
                <w:kern w:val="0"/>
                <w:sz w:val="21"/>
                <w:szCs w:val="20"/>
                <w14:ligatures w14:val="none"/>
              </w:rPr>
              <w:t>（2）按照《中华人民共和国水土保持法》《江苏省水土保持条例》《江苏省生态空间管控区域规划》及相关法律法规实施保护管理。</w:t>
            </w:r>
          </w:p>
        </w:tc>
        <w:tc>
          <w:tcPr>
            <w:tcW w:w="1045" w:type="pct"/>
            <w:vAlign w:val="center"/>
          </w:tcPr>
          <w:p w14:paraId="05C10A4A">
            <w:pPr>
              <w:snapToGrid w:val="0"/>
              <w:spacing w:line="240" w:lineRule="auto"/>
              <w:ind w:firstLine="0" w:firstLineChars="0"/>
              <w:rPr>
                <w:kern w:val="0"/>
                <w:sz w:val="21"/>
                <w:szCs w:val="20"/>
                <w14:ligatures w14:val="none"/>
              </w:rPr>
            </w:pPr>
            <w:r>
              <w:rPr>
                <w:rFonts w:hint="eastAsia"/>
                <w:kern w:val="0"/>
                <w:sz w:val="21"/>
                <w:szCs w:val="20"/>
                <w14:ligatures w14:val="none"/>
              </w:rPr>
              <w:t>（1）生态空间管控区域以生态保护为重点，原则上不得开展有损主导生态功能的开发建设活动，不得随意占用和调整。</w:t>
            </w:r>
          </w:p>
          <w:p w14:paraId="59B45A99">
            <w:pPr>
              <w:snapToGrid w:val="0"/>
              <w:spacing w:line="240" w:lineRule="auto"/>
              <w:ind w:firstLine="0" w:firstLineChars="0"/>
              <w:rPr>
                <w:kern w:val="0"/>
                <w:sz w:val="21"/>
                <w:szCs w:val="20"/>
                <w14:ligatures w14:val="none"/>
              </w:rPr>
            </w:pPr>
            <w:r>
              <w:rPr>
                <w:rFonts w:hint="eastAsia"/>
                <w:kern w:val="0"/>
                <w:sz w:val="21"/>
                <w:szCs w:val="20"/>
                <w14:ligatures w14:val="none"/>
              </w:rPr>
              <w:t>（2）按照《中华人民共和国森林法》《</w:t>
            </w:r>
            <w:r>
              <w:rPr>
                <w:rFonts w:hint="eastAsia"/>
                <w:kern w:val="0"/>
                <w:sz w:val="21"/>
                <w:szCs w:val="20"/>
                <w:lang w:eastAsia="zh-CN"/>
                <w14:ligatures w14:val="none"/>
              </w:rPr>
              <w:t>国家级公益林管理办法</w:t>
            </w:r>
            <w:r>
              <w:rPr>
                <w:rFonts w:hint="eastAsia"/>
                <w:kern w:val="0"/>
                <w:sz w:val="21"/>
                <w:szCs w:val="20"/>
                <w14:ligatures w14:val="none"/>
              </w:rPr>
              <w:t>》《江苏省生态公益林条例》《江苏省生态空间管控区域规划》及相关法律法规实施保护管理。</w:t>
            </w:r>
          </w:p>
        </w:tc>
        <w:tc>
          <w:tcPr>
            <w:tcW w:w="757" w:type="pct"/>
            <w:vAlign w:val="center"/>
          </w:tcPr>
          <w:p w14:paraId="770495BE">
            <w:pPr>
              <w:snapToGrid w:val="0"/>
              <w:spacing w:line="240" w:lineRule="auto"/>
              <w:ind w:firstLine="0" w:firstLineChars="0"/>
              <w:rPr>
                <w:kern w:val="0"/>
                <w:sz w:val="21"/>
                <w:szCs w:val="20"/>
                <w14:ligatures w14:val="none"/>
              </w:rPr>
            </w:pPr>
            <w:r>
              <w:rPr>
                <w:rFonts w:hint="eastAsia"/>
                <w:kern w:val="0"/>
                <w:sz w:val="21"/>
                <w:szCs w:val="20"/>
                <w14:ligatures w14:val="none"/>
              </w:rPr>
              <w:t>（1）各类开发建设活动应符合常州市总体规划、控制性详细规划、土地利用规划等相关要求。</w:t>
            </w:r>
          </w:p>
          <w:p w14:paraId="05F18506">
            <w:pPr>
              <w:snapToGrid w:val="0"/>
              <w:spacing w:line="240" w:lineRule="auto"/>
              <w:ind w:firstLine="0" w:firstLineChars="0"/>
              <w:rPr>
                <w:kern w:val="0"/>
                <w:sz w:val="21"/>
                <w:szCs w:val="20"/>
                <w14:ligatures w14:val="none"/>
              </w:rPr>
            </w:pPr>
            <w:r>
              <w:rPr>
                <w:rFonts w:hint="eastAsia"/>
                <w:kern w:val="0"/>
                <w:sz w:val="21"/>
                <w:szCs w:val="20"/>
                <w14:ligatures w14:val="none"/>
              </w:rPr>
              <w:t>（2）禁止引入列入《产业结构调整指导目录（2019年本）》《江苏省产业结构调整限制、淘汰和禁止目录》《江苏省工业和信息产业结构调整、限制、淘汰目录及能耗限额》淘汰类的产业。</w:t>
            </w:r>
          </w:p>
          <w:p w14:paraId="1D88F958">
            <w:pPr>
              <w:snapToGrid w:val="0"/>
              <w:spacing w:line="240" w:lineRule="auto"/>
              <w:ind w:firstLine="0" w:firstLineChars="0"/>
              <w:rPr>
                <w:kern w:val="0"/>
                <w:sz w:val="21"/>
                <w:szCs w:val="20"/>
                <w14:ligatures w14:val="none"/>
              </w:rPr>
            </w:pPr>
            <w:r>
              <w:rPr>
                <w:rFonts w:hint="eastAsia"/>
                <w:kern w:val="0"/>
                <w:sz w:val="21"/>
                <w:szCs w:val="20"/>
                <w14:ligatures w14:val="none"/>
              </w:rPr>
              <w:t>（3）禁止引入不符合《江苏省太湖流域水污染防治条例》要求的项目。</w:t>
            </w:r>
          </w:p>
          <w:p w14:paraId="2AD2675B">
            <w:pPr>
              <w:snapToGrid w:val="0"/>
              <w:spacing w:line="240" w:lineRule="auto"/>
              <w:ind w:firstLine="0" w:firstLineChars="0"/>
              <w:rPr>
                <w:kern w:val="0"/>
                <w:sz w:val="21"/>
                <w:szCs w:val="20"/>
                <w14:ligatures w14:val="none"/>
              </w:rPr>
            </w:pPr>
            <w:r>
              <w:rPr>
                <w:rFonts w:hint="eastAsia"/>
                <w:kern w:val="0"/>
                <w:sz w:val="21"/>
                <w:szCs w:val="20"/>
                <w14:ligatures w14:val="none"/>
              </w:rPr>
              <w:t>（4）不得新建、改建、扩建印染项目。</w:t>
            </w:r>
          </w:p>
          <w:p w14:paraId="64D3E559">
            <w:pPr>
              <w:snapToGrid w:val="0"/>
              <w:spacing w:line="240" w:lineRule="auto"/>
              <w:ind w:firstLine="0" w:firstLineChars="0"/>
              <w:rPr>
                <w:kern w:val="0"/>
                <w:sz w:val="21"/>
                <w:szCs w:val="20"/>
                <w14:ligatures w14:val="none"/>
              </w:rPr>
            </w:pPr>
            <w:r>
              <w:rPr>
                <w:rFonts w:hint="eastAsia"/>
                <w:kern w:val="0"/>
                <w:sz w:val="21"/>
                <w:szCs w:val="20"/>
                <w14:ligatures w14:val="none"/>
              </w:rPr>
              <w:t>（5）禁养区范围内禁止建设畜禽养殖场、养殖小区。</w:t>
            </w:r>
          </w:p>
        </w:tc>
        <w:tc>
          <w:tcPr>
            <w:tcW w:w="623" w:type="pct"/>
            <w:vAlign w:val="center"/>
          </w:tcPr>
          <w:p w14:paraId="301278A0">
            <w:pPr>
              <w:snapToGrid w:val="0"/>
              <w:spacing w:line="240" w:lineRule="auto"/>
              <w:ind w:firstLine="0" w:firstLineChars="0"/>
              <w:jc w:val="left"/>
              <w:rPr>
                <w:kern w:val="0"/>
                <w:sz w:val="21"/>
                <w:szCs w:val="20"/>
                <w14:ligatures w14:val="none"/>
              </w:rPr>
            </w:pPr>
            <w:r>
              <w:rPr>
                <w:rFonts w:hint="eastAsia"/>
                <w:kern w:val="0"/>
                <w:sz w:val="21"/>
                <w:szCs w:val="20"/>
                <w14:ligatures w14:val="none"/>
              </w:rPr>
              <w:t>度假区重点发展旅游产业，不涉及《产业结构调整指导目录（2019年本）》《江苏省产业结构调整限制、淘汰和禁止目录》《江苏省工业和信息产业结构调整、限制、淘汰目录及能耗限额》禁止淘汰类产业。度假区开发建设严格落实生态保护红线和生态管控区域管理要求，不开展不符合主体功能定位的各类开发活动。</w:t>
            </w:r>
          </w:p>
        </w:tc>
        <w:tc>
          <w:tcPr>
            <w:tcW w:w="217" w:type="pct"/>
            <w:vAlign w:val="center"/>
          </w:tcPr>
          <w:p w14:paraId="4FAA5E2D">
            <w:pPr>
              <w:snapToGrid w:val="0"/>
              <w:spacing w:line="240" w:lineRule="auto"/>
              <w:ind w:firstLine="0" w:firstLineChars="0"/>
              <w:jc w:val="center"/>
              <w:rPr>
                <w:kern w:val="0"/>
                <w:sz w:val="21"/>
                <w:szCs w:val="20"/>
                <w14:ligatures w14:val="none"/>
              </w:rPr>
            </w:pPr>
            <w:r>
              <w:rPr>
                <w:rFonts w:hint="eastAsia"/>
                <w:kern w:val="0"/>
                <w:sz w:val="21"/>
                <w:szCs w:val="20"/>
                <w14:ligatures w14:val="none"/>
              </w:rPr>
              <w:t>相符</w:t>
            </w:r>
          </w:p>
        </w:tc>
      </w:tr>
      <w:tr w14:paraId="40E66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53" w:type="pct"/>
            <w:vAlign w:val="center"/>
          </w:tcPr>
          <w:p w14:paraId="520590ED">
            <w:pPr>
              <w:snapToGrid w:val="0"/>
              <w:spacing w:line="240" w:lineRule="auto"/>
              <w:ind w:firstLine="0" w:firstLineChars="0"/>
              <w:jc w:val="center"/>
              <w:rPr>
                <w:kern w:val="0"/>
                <w:sz w:val="21"/>
                <w:szCs w:val="20"/>
                <w14:ligatures w14:val="none"/>
              </w:rPr>
            </w:pPr>
            <w:r>
              <w:rPr>
                <w:rFonts w:hint="eastAsia"/>
                <w:kern w:val="0"/>
                <w:sz w:val="21"/>
                <w:szCs w:val="20"/>
                <w14:ligatures w14:val="none"/>
              </w:rPr>
              <w:t>污染物排放管控</w:t>
            </w:r>
          </w:p>
        </w:tc>
        <w:tc>
          <w:tcPr>
            <w:tcW w:w="600" w:type="pct"/>
            <w:vAlign w:val="center"/>
          </w:tcPr>
          <w:p w14:paraId="3A95AA1E">
            <w:pPr>
              <w:snapToGrid w:val="0"/>
              <w:spacing w:line="240" w:lineRule="auto"/>
              <w:ind w:firstLine="0" w:firstLineChars="0"/>
              <w:rPr>
                <w:kern w:val="0"/>
                <w:sz w:val="21"/>
                <w:szCs w:val="20"/>
                <w14:ligatures w14:val="none"/>
              </w:rPr>
            </w:pPr>
            <w:r>
              <w:rPr>
                <w:rFonts w:hint="eastAsia"/>
                <w:kern w:val="0"/>
                <w:sz w:val="21"/>
                <w:szCs w:val="20"/>
                <w14:ligatures w14:val="none"/>
              </w:rPr>
              <w:t>（1）根据《湿地保护管理规定》：除法律法规有特别规定的以外，在湿地内禁止：倾倒有毒有害物质、废弃物、垃圾，擅自放牧、捕捞、取土、取水、排污、放生。</w:t>
            </w:r>
          </w:p>
          <w:p w14:paraId="1AAC0875">
            <w:pPr>
              <w:snapToGrid w:val="0"/>
              <w:spacing w:line="240" w:lineRule="auto"/>
              <w:ind w:firstLine="0" w:firstLineChars="0"/>
              <w:rPr>
                <w:kern w:val="0"/>
                <w:sz w:val="21"/>
                <w:szCs w:val="20"/>
                <w14:ligatures w14:val="none"/>
              </w:rPr>
            </w:pPr>
            <w:r>
              <w:rPr>
                <w:rFonts w:hint="eastAsia"/>
                <w:kern w:val="0"/>
                <w:sz w:val="21"/>
                <w:szCs w:val="20"/>
                <w14:ligatures w14:val="none"/>
              </w:rPr>
              <w:t>（2）根据《江苏省湿地保护条例》：除法律、法规有特别规定外，禁止在重要湿地内倾倒、堆放固体废弃物、排放未经处理达标的污水以及其他有毒有害物质。</w:t>
            </w:r>
          </w:p>
        </w:tc>
        <w:tc>
          <w:tcPr>
            <w:tcW w:w="792" w:type="pct"/>
            <w:vAlign w:val="center"/>
          </w:tcPr>
          <w:p w14:paraId="54CD35E3">
            <w:pPr>
              <w:snapToGrid w:val="0"/>
              <w:spacing w:line="240" w:lineRule="auto"/>
              <w:ind w:firstLine="0" w:firstLineChars="0"/>
              <w:rPr>
                <w:kern w:val="0"/>
                <w:sz w:val="21"/>
                <w:szCs w:val="20"/>
                <w14:ligatures w14:val="none"/>
              </w:rPr>
            </w:pPr>
            <w:r>
              <w:rPr>
                <w:rFonts w:hint="eastAsia"/>
                <w:kern w:val="0"/>
                <w:sz w:val="21"/>
                <w:szCs w:val="20"/>
                <w14:ligatures w14:val="none"/>
              </w:rPr>
              <w:t>（1）根据《中华人民共和国森林法》：禁止向林地排放重金属或者其他有毒有害物质含量超标的污水、污泥，以及可能造成林地污染的清淤底泥、尾矿、矿渣等。</w:t>
            </w:r>
          </w:p>
          <w:p w14:paraId="5F9926F2">
            <w:pPr>
              <w:snapToGrid w:val="0"/>
              <w:spacing w:line="240" w:lineRule="auto"/>
              <w:ind w:firstLine="0" w:firstLineChars="0"/>
              <w:rPr>
                <w:kern w:val="0"/>
                <w:sz w:val="21"/>
                <w:szCs w:val="20"/>
                <w14:ligatures w14:val="none"/>
              </w:rPr>
            </w:pPr>
            <w:r>
              <w:rPr>
                <w:rFonts w:hint="eastAsia"/>
                <w:kern w:val="0"/>
                <w:sz w:val="21"/>
                <w:szCs w:val="20"/>
                <w14:ligatures w14:val="none"/>
              </w:rPr>
              <w:t>（2）国家级森林公园，根据《国家级森林公园管理办法》：在国家级森林公园内禁止未经处理直接排放生活污水和超标准的废水、废气，乱倒垃圾、废渣、废物及其他污染物。</w:t>
            </w:r>
          </w:p>
          <w:p w14:paraId="1177F7D2">
            <w:pPr>
              <w:snapToGrid w:val="0"/>
              <w:spacing w:line="240" w:lineRule="auto"/>
              <w:ind w:firstLine="0" w:firstLineChars="0"/>
              <w:rPr>
                <w:kern w:val="0"/>
                <w:sz w:val="21"/>
                <w:szCs w:val="20"/>
                <w14:ligatures w14:val="none"/>
              </w:rPr>
            </w:pPr>
            <w:r>
              <w:rPr>
                <w:rFonts w:hint="eastAsia"/>
                <w:kern w:val="0"/>
                <w:sz w:val="21"/>
                <w:szCs w:val="20"/>
                <w14:ligatures w14:val="none"/>
              </w:rPr>
              <w:t>（3）省级森林公园，根据《江苏省省级森林公园管理办法》：省级森林公园内禁止未经处理直接排放影响森林公园内植被生长和自然景观的污染物。</w:t>
            </w:r>
          </w:p>
        </w:tc>
        <w:tc>
          <w:tcPr>
            <w:tcW w:w="709" w:type="pct"/>
            <w:vAlign w:val="center"/>
          </w:tcPr>
          <w:p w14:paraId="426AE7F7">
            <w:pPr>
              <w:snapToGrid w:val="0"/>
              <w:spacing w:line="240" w:lineRule="auto"/>
              <w:ind w:firstLine="0" w:firstLineChars="0"/>
              <w:rPr>
                <w:kern w:val="0"/>
                <w:sz w:val="21"/>
                <w:szCs w:val="20"/>
                <w14:ligatures w14:val="none"/>
              </w:rPr>
            </w:pPr>
            <w:r>
              <w:rPr>
                <w:rFonts w:hint="eastAsia"/>
                <w:kern w:val="0"/>
                <w:sz w:val="21"/>
                <w:szCs w:val="20"/>
                <w14:ligatures w14:val="none"/>
              </w:rPr>
              <w:t>根据《江苏省生态空间管控区域规划》：禁止倾倒砂、石、土、矸石、尾矿、废渣。</w:t>
            </w:r>
          </w:p>
        </w:tc>
        <w:tc>
          <w:tcPr>
            <w:tcW w:w="1045" w:type="pct"/>
            <w:vAlign w:val="center"/>
          </w:tcPr>
          <w:p w14:paraId="1A51BCCF">
            <w:pPr>
              <w:snapToGrid w:val="0"/>
              <w:spacing w:line="240" w:lineRule="auto"/>
              <w:ind w:firstLine="0" w:firstLineChars="0"/>
              <w:rPr>
                <w:kern w:val="0"/>
                <w:sz w:val="21"/>
                <w:szCs w:val="20"/>
                <w14:ligatures w14:val="none"/>
              </w:rPr>
            </w:pPr>
            <w:r>
              <w:rPr>
                <w:rFonts w:hint="eastAsia"/>
                <w:kern w:val="0"/>
                <w:sz w:val="21"/>
                <w:szCs w:val="20"/>
                <w14:ligatures w14:val="none"/>
              </w:rPr>
              <w:t>根据《江苏省生态公益林条例》：禁止在生态公益林内排放污染物。</w:t>
            </w:r>
          </w:p>
        </w:tc>
        <w:tc>
          <w:tcPr>
            <w:tcW w:w="757" w:type="pct"/>
            <w:vAlign w:val="center"/>
          </w:tcPr>
          <w:p w14:paraId="4CC50F04">
            <w:pPr>
              <w:snapToGrid w:val="0"/>
              <w:spacing w:line="240" w:lineRule="auto"/>
              <w:ind w:firstLine="0" w:firstLineChars="0"/>
              <w:rPr>
                <w:kern w:val="0"/>
                <w:sz w:val="21"/>
                <w:szCs w:val="20"/>
                <w14:ligatures w14:val="none"/>
              </w:rPr>
            </w:pPr>
            <w:r>
              <w:rPr>
                <w:rFonts w:hint="eastAsia"/>
                <w:kern w:val="0"/>
                <w:sz w:val="21"/>
                <w:szCs w:val="20"/>
                <w14:ligatures w14:val="none"/>
              </w:rPr>
              <w:t>（1）落实污染物总量控制制度，根据区域环境质量改善目标，削减污染物排放总量。</w:t>
            </w:r>
          </w:p>
          <w:p w14:paraId="3EDDE0AC">
            <w:pPr>
              <w:snapToGrid w:val="0"/>
              <w:spacing w:line="240" w:lineRule="auto"/>
              <w:ind w:firstLine="0" w:firstLineChars="0"/>
              <w:rPr>
                <w:kern w:val="0"/>
                <w:sz w:val="21"/>
                <w:szCs w:val="20"/>
                <w14:ligatures w14:val="none"/>
              </w:rPr>
            </w:pPr>
            <w:r>
              <w:rPr>
                <w:rFonts w:hint="eastAsia"/>
                <w:kern w:val="0"/>
                <w:sz w:val="21"/>
                <w:szCs w:val="20"/>
                <w14:ligatures w14:val="none"/>
              </w:rPr>
              <w:t>（2）进一步开展管网排查，提升污水收集效率。强化餐饮油烟治理，加强噪声污染防治，严格施工扬尘监管，加强土壤和地下水污染防治与修复。</w:t>
            </w:r>
          </w:p>
          <w:p w14:paraId="6101069E">
            <w:pPr>
              <w:snapToGrid w:val="0"/>
              <w:spacing w:line="240" w:lineRule="auto"/>
              <w:ind w:firstLine="0" w:firstLineChars="0"/>
              <w:rPr>
                <w:kern w:val="0"/>
                <w:sz w:val="21"/>
                <w:szCs w:val="20"/>
                <w14:ligatures w14:val="none"/>
              </w:rPr>
            </w:pPr>
            <w:r>
              <w:rPr>
                <w:rFonts w:hint="eastAsia"/>
                <w:kern w:val="0"/>
                <w:sz w:val="21"/>
                <w:szCs w:val="20"/>
                <w14:ligatures w14:val="none"/>
              </w:rPr>
              <w:t>（3）加强农业面源污染治理，严格控制化肥农药施用量，合理水产养殖布局，控制水产养殖污染，逐步削减农业面源污染物排放量。</w:t>
            </w:r>
          </w:p>
        </w:tc>
        <w:tc>
          <w:tcPr>
            <w:tcW w:w="623" w:type="pct"/>
            <w:vAlign w:val="center"/>
          </w:tcPr>
          <w:p w14:paraId="7F67B6F5">
            <w:pPr>
              <w:snapToGrid w:val="0"/>
              <w:spacing w:line="240" w:lineRule="auto"/>
              <w:ind w:firstLine="0" w:firstLineChars="0"/>
              <w:jc w:val="left"/>
              <w:rPr>
                <w:kern w:val="0"/>
                <w:sz w:val="21"/>
                <w:szCs w:val="20"/>
                <w14:ligatures w14:val="none"/>
              </w:rPr>
            </w:pPr>
            <w:r>
              <w:rPr>
                <w:rFonts w:hint="eastAsia"/>
                <w:kern w:val="0"/>
                <w:sz w:val="21"/>
                <w:szCs w:val="20"/>
                <w14:ligatures w14:val="none"/>
              </w:rPr>
              <w:t>度假区规划重点发展旅游业，污染物排放以居民生活使用天然气燃烧产生的大气污染物及居民、游客产生的生活污水为主。落实区域污染物排放总量控制。度假区核心旅游区内污水均接管至茅东污水处理厂处理。餐饮单位均安装油烟净化设施；噪声源落实防治措施，有效削减噪声影响；加强施工期扬尘监管；落实土壤和地下水的防治、修复。度假区将从源头减少化肥投入，因地制宜推动秸秆离田高效综合利用，突出种植业栽培过程中科学用药、合理施肥。</w:t>
            </w:r>
          </w:p>
        </w:tc>
        <w:tc>
          <w:tcPr>
            <w:tcW w:w="217" w:type="pct"/>
            <w:vAlign w:val="center"/>
          </w:tcPr>
          <w:p w14:paraId="48E2D3DB">
            <w:pPr>
              <w:snapToGrid w:val="0"/>
              <w:spacing w:line="240" w:lineRule="auto"/>
              <w:ind w:firstLine="0" w:firstLineChars="0"/>
              <w:jc w:val="center"/>
              <w:rPr>
                <w:kern w:val="0"/>
                <w:sz w:val="21"/>
                <w:szCs w:val="20"/>
                <w14:ligatures w14:val="none"/>
              </w:rPr>
            </w:pPr>
            <w:r>
              <w:rPr>
                <w:rFonts w:hint="eastAsia"/>
                <w:kern w:val="0"/>
                <w:sz w:val="21"/>
                <w:szCs w:val="20"/>
                <w14:ligatures w14:val="none"/>
              </w:rPr>
              <w:t>相符</w:t>
            </w:r>
          </w:p>
        </w:tc>
      </w:tr>
      <w:tr w14:paraId="4FE01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253" w:type="pct"/>
            <w:vAlign w:val="center"/>
          </w:tcPr>
          <w:p w14:paraId="61F08253">
            <w:pPr>
              <w:snapToGrid w:val="0"/>
              <w:spacing w:line="240" w:lineRule="auto"/>
              <w:ind w:firstLine="0" w:firstLineChars="0"/>
              <w:jc w:val="center"/>
              <w:rPr>
                <w:kern w:val="0"/>
                <w:sz w:val="21"/>
                <w:szCs w:val="20"/>
                <w14:ligatures w14:val="none"/>
              </w:rPr>
            </w:pPr>
            <w:r>
              <w:rPr>
                <w:rFonts w:hint="eastAsia"/>
                <w:kern w:val="0"/>
                <w:sz w:val="21"/>
                <w:szCs w:val="20"/>
                <w14:ligatures w14:val="none"/>
              </w:rPr>
              <w:t>环境风险管控</w:t>
            </w:r>
          </w:p>
        </w:tc>
        <w:tc>
          <w:tcPr>
            <w:tcW w:w="600" w:type="pct"/>
            <w:vAlign w:val="center"/>
          </w:tcPr>
          <w:p w14:paraId="62C493E0">
            <w:pPr>
              <w:snapToGrid w:val="0"/>
              <w:spacing w:line="240" w:lineRule="auto"/>
              <w:ind w:firstLine="0" w:firstLineChars="0"/>
              <w:rPr>
                <w:kern w:val="0"/>
                <w:sz w:val="21"/>
                <w:szCs w:val="20"/>
                <w14:ligatures w14:val="none"/>
              </w:rPr>
            </w:pPr>
            <w:r>
              <w:rPr>
                <w:rFonts w:hint="eastAsia"/>
                <w:kern w:val="0"/>
                <w:sz w:val="21"/>
                <w:szCs w:val="20"/>
                <w14:ligatures w14:val="none"/>
              </w:rPr>
              <w:t>（1）根据《江苏省生态空间管控区域规划》：禁止修建储存爆炸性、易燃性、放射性、毒害性、腐蚀性物品的设施。</w:t>
            </w:r>
          </w:p>
          <w:p w14:paraId="2A69DD88">
            <w:pPr>
              <w:snapToGrid w:val="0"/>
              <w:spacing w:line="240" w:lineRule="auto"/>
              <w:ind w:firstLine="0" w:firstLineChars="0"/>
              <w:rPr>
                <w:kern w:val="0"/>
                <w:sz w:val="21"/>
                <w:szCs w:val="20"/>
                <w14:ligatures w14:val="none"/>
              </w:rPr>
            </w:pPr>
            <w:r>
              <w:rPr>
                <w:rFonts w:hint="eastAsia"/>
                <w:kern w:val="0"/>
                <w:sz w:val="21"/>
                <w:szCs w:val="20"/>
                <w14:ligatures w14:val="none"/>
              </w:rPr>
              <w:t>（2）根据《江苏省风景名胜区管理条例》：严禁在山林中进行燃放鞭炮、烟火等有碍安全的活动。</w:t>
            </w:r>
          </w:p>
        </w:tc>
        <w:tc>
          <w:tcPr>
            <w:tcW w:w="792" w:type="pct"/>
            <w:vAlign w:val="center"/>
          </w:tcPr>
          <w:p w14:paraId="3A646620">
            <w:pPr>
              <w:snapToGrid w:val="0"/>
              <w:spacing w:line="240" w:lineRule="auto"/>
              <w:ind w:firstLine="0" w:firstLineChars="0"/>
              <w:rPr>
                <w:kern w:val="0"/>
                <w:sz w:val="21"/>
                <w:szCs w:val="20"/>
                <w14:ligatures w14:val="none"/>
              </w:rPr>
            </w:pPr>
            <w:r>
              <w:rPr>
                <w:rFonts w:hint="eastAsia"/>
                <w:kern w:val="0"/>
                <w:sz w:val="21"/>
                <w:szCs w:val="20"/>
                <w14:ligatures w14:val="none"/>
              </w:rPr>
              <w:t>（1）国家级森林公园，根据《国家级森林公园管理办法》：国家级森林公园经营管理机构应当在危险地段设置安全防护设施和安全警示标识，制定突发事件应急预案。应当建立健全森林防火制度，落实防火责任制，加强防火宣传和用火管理，建立森林火灾扑救队伍，配备必要的防火设施与设备。</w:t>
            </w:r>
          </w:p>
          <w:p w14:paraId="38AEAA8C">
            <w:pPr>
              <w:snapToGrid w:val="0"/>
              <w:spacing w:line="240" w:lineRule="auto"/>
              <w:ind w:firstLine="0" w:firstLineChars="0"/>
              <w:rPr>
                <w:kern w:val="0"/>
                <w:sz w:val="21"/>
                <w:szCs w:val="20"/>
                <w14:ligatures w14:val="none"/>
              </w:rPr>
            </w:pPr>
            <w:r>
              <w:rPr>
                <w:rFonts w:hint="eastAsia"/>
                <w:kern w:val="0"/>
                <w:sz w:val="21"/>
                <w:szCs w:val="20"/>
                <w14:ligatures w14:val="none"/>
              </w:rPr>
              <w:t>（2）省级森林公园，根据《江苏省省级森林公园管理办法》：省级森林公园经营管理单位应当健全护林防火管理制度，建立森林防火监测和处置体系，制定防火应急预案，配备必要的防火人员、设施，加强防火宣传和用火管理。</w:t>
            </w:r>
          </w:p>
        </w:tc>
        <w:tc>
          <w:tcPr>
            <w:tcW w:w="709" w:type="pct"/>
            <w:vAlign w:val="center"/>
          </w:tcPr>
          <w:p w14:paraId="1FD19D4B">
            <w:pPr>
              <w:snapToGrid w:val="0"/>
              <w:spacing w:line="240" w:lineRule="auto"/>
              <w:ind w:firstLine="0" w:firstLineChars="0"/>
              <w:rPr>
                <w:kern w:val="0"/>
                <w:sz w:val="21"/>
                <w:szCs w:val="20"/>
                <w14:ligatures w14:val="none"/>
              </w:rPr>
            </w:pPr>
            <w:r>
              <w:rPr>
                <w:rFonts w:hint="eastAsia"/>
                <w:kern w:val="0"/>
                <w:sz w:val="21"/>
                <w:szCs w:val="20"/>
                <w14:ligatures w14:val="none"/>
              </w:rPr>
              <w:t>根据《江苏省水土保持条例》：不得违反法律、法规的规定从事取土、挖砂、采石等可能造成水土流失的活动。</w:t>
            </w:r>
          </w:p>
        </w:tc>
        <w:tc>
          <w:tcPr>
            <w:tcW w:w="1045" w:type="pct"/>
            <w:vAlign w:val="center"/>
          </w:tcPr>
          <w:p w14:paraId="478C1752">
            <w:pPr>
              <w:snapToGrid w:val="0"/>
              <w:spacing w:line="240" w:lineRule="auto"/>
              <w:ind w:firstLine="0" w:firstLineChars="0"/>
              <w:rPr>
                <w:kern w:val="0"/>
                <w:sz w:val="21"/>
                <w:szCs w:val="20"/>
                <w14:ligatures w14:val="none"/>
              </w:rPr>
            </w:pPr>
            <w:r>
              <w:rPr>
                <w:rFonts w:hint="eastAsia"/>
                <w:kern w:val="0"/>
                <w:sz w:val="21"/>
                <w:szCs w:val="20"/>
                <w14:ligatures w14:val="none"/>
              </w:rPr>
              <w:t>根据《江苏省生态公益林条例》：禁止在生态公益林内禁止堆放固体废物。</w:t>
            </w:r>
          </w:p>
        </w:tc>
        <w:tc>
          <w:tcPr>
            <w:tcW w:w="757" w:type="pct"/>
            <w:vAlign w:val="center"/>
          </w:tcPr>
          <w:p w14:paraId="64676CCB">
            <w:pPr>
              <w:snapToGrid w:val="0"/>
              <w:spacing w:line="240" w:lineRule="auto"/>
              <w:ind w:firstLine="0" w:firstLineChars="0"/>
              <w:rPr>
                <w:kern w:val="0"/>
                <w:sz w:val="21"/>
                <w:szCs w:val="20"/>
                <w14:ligatures w14:val="none"/>
              </w:rPr>
            </w:pPr>
            <w:r>
              <w:rPr>
                <w:rFonts w:hint="eastAsia"/>
                <w:kern w:val="0"/>
                <w:sz w:val="21"/>
                <w:szCs w:val="20"/>
                <w14:ligatures w14:val="none"/>
              </w:rPr>
              <w:t>（1）加强环境风险防范应急体系建设，加强环境应急预案管理，定期开展应急演练，持续开展环境安全隐患排查整治，提升应急监测能力，加强应急物资管理。</w:t>
            </w:r>
          </w:p>
          <w:p w14:paraId="6EC596F0">
            <w:pPr>
              <w:snapToGrid w:val="0"/>
              <w:spacing w:line="240" w:lineRule="auto"/>
              <w:ind w:firstLine="0" w:firstLineChars="0"/>
              <w:rPr>
                <w:kern w:val="0"/>
                <w:sz w:val="21"/>
                <w:szCs w:val="20"/>
                <w14:ligatures w14:val="none"/>
              </w:rPr>
            </w:pPr>
            <w:r>
              <w:rPr>
                <w:rFonts w:hint="eastAsia"/>
                <w:kern w:val="0"/>
                <w:sz w:val="21"/>
                <w:szCs w:val="20"/>
                <w14:ligatures w14:val="none"/>
              </w:rPr>
              <w:t>（2）合理布局商业、居住、科教等功能区块，严格控制噪声、恶臭、油烟等污染排放较大的建设项目布局。</w:t>
            </w:r>
          </w:p>
        </w:tc>
        <w:tc>
          <w:tcPr>
            <w:tcW w:w="623" w:type="pct"/>
            <w:vAlign w:val="center"/>
          </w:tcPr>
          <w:p w14:paraId="2D3C644F">
            <w:pPr>
              <w:snapToGrid w:val="0"/>
              <w:spacing w:line="240" w:lineRule="auto"/>
              <w:ind w:firstLine="0" w:firstLineChars="0"/>
              <w:jc w:val="left"/>
              <w:rPr>
                <w:kern w:val="0"/>
                <w:sz w:val="21"/>
                <w:szCs w:val="20"/>
                <w14:ligatures w14:val="none"/>
              </w:rPr>
            </w:pPr>
            <w:r>
              <w:rPr>
                <w:rFonts w:hint="eastAsia"/>
                <w:kern w:val="0"/>
                <w:sz w:val="21"/>
                <w:szCs w:val="20"/>
                <w14:ligatures w14:val="none"/>
              </w:rPr>
              <w:t>度假区加强环境风险防范，严格落实管控区域的环境风险防范要求。度假区严格控制噪声、油烟现有排放情况，度假区内铁路及高速公路在周边居民区段设置噪声隔离带，餐饮单位均安装油烟净化设施。度假区内茅东省级森林公园、方山（金坛区）森林公园严格落实防火管理制度要求。严格落实取土、挖砂、采石等可能造成水土流失的活动的合法合规性。</w:t>
            </w:r>
          </w:p>
        </w:tc>
        <w:tc>
          <w:tcPr>
            <w:tcW w:w="217" w:type="pct"/>
            <w:vAlign w:val="center"/>
          </w:tcPr>
          <w:p w14:paraId="00E0EC91">
            <w:pPr>
              <w:snapToGrid w:val="0"/>
              <w:spacing w:line="240" w:lineRule="auto"/>
              <w:ind w:firstLine="0" w:firstLineChars="0"/>
              <w:jc w:val="center"/>
              <w:rPr>
                <w:kern w:val="0"/>
                <w:sz w:val="21"/>
                <w:szCs w:val="20"/>
                <w14:ligatures w14:val="none"/>
              </w:rPr>
            </w:pPr>
            <w:r>
              <w:rPr>
                <w:rFonts w:hint="eastAsia"/>
                <w:kern w:val="0"/>
                <w:sz w:val="21"/>
                <w:szCs w:val="20"/>
                <w14:ligatures w14:val="none"/>
              </w:rPr>
              <w:t>相符</w:t>
            </w:r>
          </w:p>
        </w:tc>
      </w:tr>
      <w:tr w14:paraId="35CA7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253" w:type="pct"/>
            <w:vAlign w:val="center"/>
          </w:tcPr>
          <w:p w14:paraId="63CCA236">
            <w:pPr>
              <w:snapToGrid w:val="0"/>
              <w:spacing w:line="240" w:lineRule="auto"/>
              <w:ind w:firstLine="0" w:firstLineChars="0"/>
              <w:jc w:val="center"/>
              <w:rPr>
                <w:kern w:val="0"/>
                <w:sz w:val="21"/>
                <w:szCs w:val="20"/>
                <w14:ligatures w14:val="none"/>
              </w:rPr>
            </w:pPr>
            <w:r>
              <w:rPr>
                <w:rFonts w:hint="eastAsia"/>
                <w:kern w:val="0"/>
                <w:sz w:val="21"/>
                <w:szCs w:val="20"/>
                <w14:ligatures w14:val="none"/>
              </w:rPr>
              <w:t>资源开发效率要求</w:t>
            </w:r>
          </w:p>
        </w:tc>
        <w:tc>
          <w:tcPr>
            <w:tcW w:w="600" w:type="pct"/>
            <w:vAlign w:val="center"/>
          </w:tcPr>
          <w:p w14:paraId="3C77ECE0">
            <w:pPr>
              <w:snapToGrid w:val="0"/>
              <w:spacing w:line="240" w:lineRule="auto"/>
              <w:ind w:firstLine="0" w:firstLineChars="0"/>
              <w:jc w:val="center"/>
              <w:rPr>
                <w:kern w:val="0"/>
                <w:sz w:val="21"/>
                <w:szCs w:val="20"/>
                <w14:ligatures w14:val="none"/>
              </w:rPr>
            </w:pPr>
            <w:r>
              <w:rPr>
                <w:rFonts w:hint="eastAsia"/>
                <w:kern w:val="0"/>
                <w:sz w:val="21"/>
                <w:szCs w:val="20"/>
                <w14:ligatures w14:val="none"/>
              </w:rPr>
              <w:t>根据《风景名胜区条例》：风景名胜区内的景观和自然环境，应当根据可持续发展的原则，严格保护，不得破坏或者随意改变。</w:t>
            </w:r>
          </w:p>
        </w:tc>
        <w:tc>
          <w:tcPr>
            <w:tcW w:w="792" w:type="pct"/>
            <w:vAlign w:val="center"/>
          </w:tcPr>
          <w:p w14:paraId="5FC71F7F">
            <w:pPr>
              <w:snapToGrid w:val="0"/>
              <w:spacing w:line="240" w:lineRule="auto"/>
              <w:ind w:firstLine="0" w:firstLineChars="0"/>
              <w:rPr>
                <w:kern w:val="0"/>
                <w:sz w:val="21"/>
                <w:szCs w:val="20"/>
                <w14:ligatures w14:val="none"/>
              </w:rPr>
            </w:pPr>
            <w:r>
              <w:rPr>
                <w:rFonts w:hint="eastAsia"/>
                <w:kern w:val="0"/>
                <w:sz w:val="21"/>
                <w:szCs w:val="20"/>
                <w14:ligatures w14:val="none"/>
              </w:rPr>
              <w:t>（1）根据《中华人民共和国森林法》：森林、林木、林地的所有者和使用者应当依法保护和合理利用森林、林木、林地，不得非法改变林地用途和毁坏森林、林木、林地。</w:t>
            </w:r>
          </w:p>
          <w:p w14:paraId="751027F8">
            <w:pPr>
              <w:snapToGrid w:val="0"/>
              <w:spacing w:line="240" w:lineRule="auto"/>
              <w:ind w:firstLine="0" w:firstLineChars="0"/>
              <w:rPr>
                <w:kern w:val="0"/>
                <w:sz w:val="21"/>
                <w:szCs w:val="20"/>
                <w14:ligatures w14:val="none"/>
              </w:rPr>
            </w:pPr>
            <w:r>
              <w:rPr>
                <w:rFonts w:hint="eastAsia"/>
                <w:kern w:val="0"/>
                <w:sz w:val="21"/>
                <w:szCs w:val="20"/>
                <w14:ligatures w14:val="none"/>
              </w:rPr>
              <w:t>（2）根据《中华人民共和国森林法》：国家保护林地，严格控制林地转为非林地，实行占用林地总量控制，确保林地保有量不减少。各类建设项目占用林地不得超过本行政区域的占用林地总量控制指标。</w:t>
            </w:r>
          </w:p>
          <w:p w14:paraId="07DA5753">
            <w:pPr>
              <w:snapToGrid w:val="0"/>
              <w:spacing w:line="240" w:lineRule="auto"/>
              <w:ind w:firstLine="0" w:firstLineChars="0"/>
              <w:rPr>
                <w:kern w:val="0"/>
                <w:sz w:val="21"/>
                <w:szCs w:val="20"/>
                <w14:ligatures w14:val="none"/>
              </w:rPr>
            </w:pPr>
            <w:r>
              <w:rPr>
                <w:rFonts w:hint="eastAsia"/>
                <w:kern w:val="0"/>
                <w:sz w:val="21"/>
                <w:szCs w:val="20"/>
                <w14:ligatures w14:val="none"/>
              </w:rPr>
              <w:t>（3）根据《中华人民共和国森林法》：矿藏勘查、开采以及其他各类工程建设，应当不占或者少占林地；确需占用林地的，应当经县级以上人民政府林业主管部门审核同意，依法办理建设用地审批手续。</w:t>
            </w:r>
          </w:p>
        </w:tc>
        <w:tc>
          <w:tcPr>
            <w:tcW w:w="709" w:type="pct"/>
            <w:vAlign w:val="center"/>
          </w:tcPr>
          <w:p w14:paraId="5E54B2F0">
            <w:pPr>
              <w:snapToGrid w:val="0"/>
              <w:spacing w:line="240" w:lineRule="auto"/>
              <w:ind w:firstLine="0" w:firstLineChars="0"/>
              <w:rPr>
                <w:kern w:val="0"/>
                <w:sz w:val="21"/>
                <w:szCs w:val="20"/>
                <w14:ligatures w14:val="none"/>
              </w:rPr>
            </w:pPr>
            <w:r>
              <w:rPr>
                <w:rFonts w:hint="eastAsia"/>
                <w:kern w:val="0"/>
                <w:sz w:val="21"/>
                <w:szCs w:val="20"/>
                <w14:ligatures w14:val="none"/>
              </w:rPr>
              <w:t>根据《江苏省水土保持条例》：治理水土流失应当符合国家和省有关技术规范和要求，坚持开发利用水土资源与改善生态环境相结合，注重提高生态效益、社会效益和经济效益。</w:t>
            </w:r>
          </w:p>
        </w:tc>
        <w:tc>
          <w:tcPr>
            <w:tcW w:w="1045" w:type="pct"/>
            <w:vAlign w:val="center"/>
          </w:tcPr>
          <w:p w14:paraId="72618C55">
            <w:pPr>
              <w:snapToGrid w:val="0"/>
              <w:spacing w:line="240" w:lineRule="auto"/>
              <w:ind w:firstLine="0" w:firstLineChars="0"/>
              <w:rPr>
                <w:kern w:val="0"/>
                <w:sz w:val="21"/>
                <w:szCs w:val="20"/>
                <w14:ligatures w14:val="none"/>
              </w:rPr>
            </w:pPr>
            <w:r>
              <w:rPr>
                <w:rFonts w:hint="eastAsia"/>
                <w:kern w:val="0"/>
                <w:sz w:val="21"/>
                <w:szCs w:val="20"/>
                <w14:ligatures w14:val="none"/>
              </w:rPr>
              <w:t>（1）根据《</w:t>
            </w:r>
            <w:r>
              <w:rPr>
                <w:rFonts w:hint="eastAsia"/>
                <w:kern w:val="0"/>
                <w:sz w:val="21"/>
                <w:szCs w:val="20"/>
                <w:lang w:eastAsia="zh-CN"/>
                <w14:ligatures w14:val="none"/>
              </w:rPr>
              <w:t>国家级公益林管理办法</w:t>
            </w:r>
            <w:r>
              <w:rPr>
                <w:rFonts w:hint="eastAsia"/>
                <w:kern w:val="0"/>
                <w:sz w:val="21"/>
                <w:szCs w:val="20"/>
                <w14:ligatures w14:val="none"/>
              </w:rPr>
              <w:t>》：严格控制勘查、开采矿藏和工程建设使用国家级公益林地。确需使用的，严格按照《建设项目使用林地审核审批管理办法》有关规定办理使用林地手续。</w:t>
            </w:r>
          </w:p>
          <w:p w14:paraId="23518F58">
            <w:pPr>
              <w:snapToGrid w:val="0"/>
              <w:spacing w:line="240" w:lineRule="auto"/>
              <w:ind w:firstLine="0" w:firstLineChars="0"/>
              <w:rPr>
                <w:kern w:val="0"/>
                <w:sz w:val="21"/>
                <w:szCs w:val="20"/>
                <w14:ligatures w14:val="none"/>
              </w:rPr>
            </w:pPr>
            <w:r>
              <w:rPr>
                <w:rFonts w:hint="eastAsia"/>
                <w:kern w:val="0"/>
                <w:sz w:val="21"/>
                <w:szCs w:val="20"/>
                <w14:ligatures w14:val="none"/>
              </w:rPr>
              <w:t>（2）根据《江苏省生态公益林条例》：严格控制占用国家级、省级生态公益林林地。省级以上重点基础设施建设项目确需占用国家级、省级生态公益林林地的，省林业行政主管部门依法审核占用林地申请时，应当组织专家进行可行性论证。因占用减少的国家级、省级生态公益林的面积，由所在地县级林业行政主管部门按照“占一补一”的原则，在本行政区域内组织异地恢复，本行政区域内异地恢复困难的，应当向上一级林业行政主管部门提出申请，由上一级林业行政主管部门在本级行政区域内组织异地恢复，异地恢复所需费用由提出申请的县（市、区）人民政府承担。</w:t>
            </w:r>
          </w:p>
        </w:tc>
        <w:tc>
          <w:tcPr>
            <w:tcW w:w="757" w:type="pct"/>
            <w:vAlign w:val="center"/>
          </w:tcPr>
          <w:p w14:paraId="0AF4DD31">
            <w:pPr>
              <w:snapToGrid w:val="0"/>
              <w:spacing w:line="240" w:lineRule="auto"/>
              <w:ind w:firstLine="0" w:firstLineChars="0"/>
              <w:rPr>
                <w:kern w:val="0"/>
                <w:sz w:val="21"/>
                <w:szCs w:val="20"/>
                <w14:ligatures w14:val="none"/>
              </w:rPr>
            </w:pPr>
            <w:r>
              <w:rPr>
                <w:rFonts w:hint="eastAsia"/>
                <w:kern w:val="0"/>
                <w:sz w:val="21"/>
                <w:szCs w:val="20"/>
                <w14:ligatures w14:val="none"/>
              </w:rPr>
              <w:t>（1）优化能源结构，加强能源清洁利用。</w:t>
            </w:r>
          </w:p>
          <w:p w14:paraId="6ED65972">
            <w:pPr>
              <w:snapToGrid w:val="0"/>
              <w:spacing w:line="240" w:lineRule="auto"/>
              <w:ind w:firstLine="0" w:firstLineChars="0"/>
              <w:rPr>
                <w:kern w:val="0"/>
                <w:sz w:val="21"/>
                <w:szCs w:val="20"/>
                <w14:ligatures w14:val="none"/>
              </w:rPr>
            </w:pPr>
            <w:r>
              <w:rPr>
                <w:rFonts w:hint="eastAsia"/>
                <w:kern w:val="0"/>
                <w:sz w:val="21"/>
                <w:szCs w:val="20"/>
                <w14:ligatures w14:val="none"/>
              </w:rPr>
              <w:t>（2）万元GDP能耗、万元GDP用水量等指标达到市定目标。</w:t>
            </w:r>
          </w:p>
          <w:p w14:paraId="3032508B">
            <w:pPr>
              <w:snapToGrid w:val="0"/>
              <w:spacing w:line="240" w:lineRule="auto"/>
              <w:ind w:firstLine="0" w:firstLineChars="0"/>
              <w:rPr>
                <w:kern w:val="0"/>
                <w:sz w:val="21"/>
                <w:szCs w:val="20"/>
                <w14:ligatures w14:val="none"/>
              </w:rPr>
            </w:pPr>
            <w:r>
              <w:rPr>
                <w:rFonts w:hint="eastAsia"/>
                <w:kern w:val="0"/>
                <w:sz w:val="21"/>
                <w:szCs w:val="20"/>
                <w14:ligatures w14:val="none"/>
              </w:rPr>
              <w:t>（3）提高土地利用效率、节约集约利用土地资源。</w:t>
            </w:r>
          </w:p>
          <w:p w14:paraId="1548AE27">
            <w:pPr>
              <w:snapToGrid w:val="0"/>
              <w:spacing w:line="240" w:lineRule="auto"/>
              <w:ind w:firstLine="0" w:firstLineChars="0"/>
              <w:rPr>
                <w:kern w:val="0"/>
                <w:sz w:val="21"/>
                <w:szCs w:val="20"/>
                <w14:ligatures w14:val="none"/>
              </w:rPr>
            </w:pPr>
            <w:r>
              <w:rPr>
                <w:rFonts w:hint="eastAsia"/>
                <w:kern w:val="0"/>
                <w:sz w:val="21"/>
                <w:szCs w:val="20"/>
                <w14:ligatures w14:val="none"/>
              </w:rPr>
              <w:t>（4）严格按照《高污染燃料目录》要求，落实相应的禁燃区管控要求。</w:t>
            </w:r>
          </w:p>
        </w:tc>
        <w:tc>
          <w:tcPr>
            <w:tcW w:w="623" w:type="pct"/>
            <w:vAlign w:val="center"/>
          </w:tcPr>
          <w:p w14:paraId="204DD6DA">
            <w:pPr>
              <w:snapToGrid w:val="0"/>
              <w:spacing w:line="240" w:lineRule="auto"/>
              <w:ind w:firstLine="0" w:firstLineChars="0"/>
              <w:rPr>
                <w:kern w:val="0"/>
                <w:sz w:val="21"/>
                <w:szCs w:val="20"/>
                <w14:ligatures w14:val="none"/>
              </w:rPr>
            </w:pPr>
            <w:r>
              <w:rPr>
                <w:rFonts w:hint="eastAsia"/>
                <w:kern w:val="0"/>
                <w:sz w:val="21"/>
                <w:szCs w:val="20"/>
                <w14:ligatures w14:val="none"/>
              </w:rPr>
              <w:t>度假区严格落实林地相关保护要求，依法保护和合理利用森林、林木、林地，不得非法改变林地用途和毁坏森林、林木、林地。注重环境保护优先，有效保护区域林地及森林面貌。</w:t>
            </w:r>
          </w:p>
        </w:tc>
        <w:tc>
          <w:tcPr>
            <w:tcW w:w="217" w:type="pct"/>
            <w:vAlign w:val="center"/>
          </w:tcPr>
          <w:p w14:paraId="65382403">
            <w:pPr>
              <w:snapToGrid w:val="0"/>
              <w:spacing w:line="240" w:lineRule="auto"/>
              <w:ind w:firstLine="0" w:firstLineChars="0"/>
              <w:jc w:val="center"/>
              <w:rPr>
                <w:kern w:val="0"/>
                <w:sz w:val="21"/>
                <w:szCs w:val="20"/>
                <w14:ligatures w14:val="none"/>
              </w:rPr>
            </w:pPr>
            <w:r>
              <w:rPr>
                <w:rFonts w:hint="eastAsia"/>
                <w:kern w:val="0"/>
                <w:sz w:val="21"/>
                <w:szCs w:val="20"/>
                <w14:ligatures w14:val="none"/>
              </w:rPr>
              <w:t>相符</w:t>
            </w:r>
          </w:p>
        </w:tc>
      </w:tr>
    </w:tbl>
    <w:p w14:paraId="33569535">
      <w:pPr>
        <w:widowControl/>
        <w:spacing w:line="240" w:lineRule="auto"/>
        <w:ind w:firstLine="0" w:firstLineChars="0"/>
        <w:jc w:val="left"/>
      </w:pPr>
    </w:p>
    <w:p w14:paraId="1BA6DED5">
      <w:pPr>
        <w:widowControl/>
        <w:spacing w:line="240" w:lineRule="auto"/>
        <w:ind w:firstLine="0" w:firstLineChars="0"/>
        <w:jc w:val="left"/>
        <w:sectPr>
          <w:pgSz w:w="16838" w:h="11906" w:orient="landscape"/>
          <w:pgMar w:top="1800" w:right="1440" w:bottom="1800" w:left="1440" w:header="851" w:footer="992" w:gutter="0"/>
          <w:cols w:space="425" w:num="1"/>
          <w:docGrid w:type="lines" w:linePitch="326" w:charSpace="0"/>
        </w:sectPr>
      </w:pPr>
    </w:p>
    <w:p w14:paraId="6BBF5D47">
      <w:pPr>
        <w:pStyle w:val="2"/>
        <w:ind w:firstLine="0" w:firstLineChars="0"/>
      </w:pPr>
      <w:bookmarkStart w:id="63" w:name="_Toc217294040"/>
      <w:r>
        <w:t>3</w:t>
      </w:r>
      <w:r>
        <w:rPr>
          <w:rFonts w:hint="eastAsia"/>
        </w:rPr>
        <w:t>现状调查与评价</w:t>
      </w:r>
      <w:bookmarkEnd w:id="63"/>
    </w:p>
    <w:p w14:paraId="276A6D12">
      <w:pPr>
        <w:pStyle w:val="3"/>
        <w:ind w:firstLine="0" w:firstLineChars="0"/>
        <w:rPr>
          <w:rFonts w:cs="Times New Roman"/>
        </w:rPr>
      </w:pPr>
      <w:bookmarkStart w:id="64" w:name="_Toc217294041"/>
      <w:r>
        <w:rPr>
          <w:rFonts w:cs="Times New Roman"/>
        </w:rPr>
        <w:t>3.1</w:t>
      </w:r>
      <w:r>
        <w:rPr>
          <w:rFonts w:hint="eastAsia" w:cs="Times New Roman"/>
        </w:rPr>
        <w:t>自然环境概况</w:t>
      </w:r>
      <w:bookmarkEnd w:id="64"/>
    </w:p>
    <w:p w14:paraId="38E7242E">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3.1.1</w:t>
      </w:r>
      <w:r>
        <w:rPr>
          <w:rFonts w:hint="eastAsia" w:eastAsia="方正楷体_GBK" w:cs="Times New Roman"/>
          <w:b/>
          <w:bCs/>
          <w:szCs w:val="28"/>
          <w14:ligatures w14:val="none"/>
        </w:rPr>
        <w:t>地理位置</w:t>
      </w:r>
    </w:p>
    <w:p w14:paraId="1663CDFB">
      <w:pPr>
        <w:ind w:firstLine="480"/>
        <w:rPr>
          <w:rFonts w:cs="Times New Roman"/>
        </w:rPr>
      </w:pPr>
      <w:r>
        <w:rPr>
          <w:rFonts w:cs="Times New Roman"/>
        </w:rPr>
        <w:t>常州市位于长江下游平原，东经119°08’~120°12’，北纬31°09’</w:t>
      </w:r>
      <w:r>
        <w:rPr>
          <w:rFonts w:hint="eastAsia" w:cs="Times New Roman"/>
        </w:rPr>
        <w:t>~</w:t>
      </w:r>
      <w:r>
        <w:rPr>
          <w:rFonts w:cs="Times New Roman"/>
        </w:rPr>
        <w:t>32°04’之间，地处江苏省南部，沪宁线的中部，属长江三角洲沿海经济开发区。北临长江、南濒太湖，与上海、苏州、无锡相邻，西与南京、镇江接壤，南与安徽交界，共辖溧阳、金坛、武进、新北、天宁、钟楼。</w:t>
      </w:r>
    </w:p>
    <w:p w14:paraId="0DE1E4C9">
      <w:pPr>
        <w:ind w:firstLine="480"/>
        <w:rPr>
          <w:rFonts w:cs="Times New Roman"/>
        </w:rPr>
      </w:pPr>
      <w:r>
        <w:rPr>
          <w:rFonts w:cs="Times New Roman"/>
        </w:rPr>
        <w:t>金坛区地处常州市西部，东与常州市武进区相连，西与句容市接壤，南与溧阳市、宜兴市隔水相望，北与丹阳市、镇江市丹徒区毗邻。位于北纬31°33′42″～31°53′22″，东经119°17′45″～119°44′59″，</w:t>
      </w:r>
      <w:r>
        <w:rPr>
          <w:rFonts w:hint="eastAsia" w:cs="Times New Roman"/>
        </w:rPr>
        <w:t>下辖6个镇，3个街道，</w:t>
      </w:r>
      <w:r>
        <w:rPr>
          <w:rFonts w:cs="Times New Roman"/>
        </w:rPr>
        <w:t>为宁（南京）、沪（上海）、杭（杭州）地理中心</w:t>
      </w:r>
      <w:r>
        <w:rPr>
          <w:rFonts w:hint="eastAsia" w:cs="Times New Roman"/>
        </w:rPr>
        <w:t>，</w:t>
      </w:r>
      <w:r>
        <w:rPr>
          <w:rFonts w:cs="Times New Roman"/>
        </w:rPr>
        <w:t>境内水陆空交通便捷，公路东西横贯，镇江至广德公路南北穿越；京沪铁路、沪宁高速公路、常州港、镇江港、常州机场临近区境北侧。</w:t>
      </w:r>
    </w:p>
    <w:p w14:paraId="2E12BB40">
      <w:pPr>
        <w:ind w:firstLine="480"/>
        <w:rPr>
          <w:rFonts w:cs="Times New Roman"/>
        </w:rPr>
      </w:pPr>
      <w:r>
        <w:rPr>
          <w:rFonts w:hint="eastAsia" w:cs="Times New Roman"/>
        </w:rPr>
        <w:t>金坛茅山旅游度假区位于金坛区</w:t>
      </w:r>
      <w:r>
        <w:rPr>
          <w:rFonts w:cs="Times New Roman"/>
        </w:rPr>
        <w:t>薛埠镇</w:t>
      </w:r>
      <w:r>
        <w:rPr>
          <w:rFonts w:hint="eastAsia" w:cs="Times New Roman"/>
        </w:rPr>
        <w:t>西侧，区内有国家AAAA级旅游景区—东方盐湖城·道天下、茅山森林世界、花谷奇缘，国家AAA级旅游景区—茅山金牛洞旅游景区，中国最美乡村、首批全国乡村旅游重点村—仙姑村，江苏省乡村旅游重点村—上阮村、金牛村，农旅融合示范项目—一号农场·萌动乐园，园林养生养老医养小镇—茅山颐园等旅游景点景观。</w:t>
      </w:r>
    </w:p>
    <w:p w14:paraId="1FA663FD">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3.1.2</w:t>
      </w:r>
      <w:r>
        <w:rPr>
          <w:rFonts w:hint="eastAsia" w:eastAsia="方正楷体_GBK" w:cs="Times New Roman"/>
          <w:b/>
          <w:bCs/>
          <w:szCs w:val="28"/>
          <w14:ligatures w14:val="none"/>
        </w:rPr>
        <w:t>气象气候</w:t>
      </w:r>
    </w:p>
    <w:p w14:paraId="4D569D4D">
      <w:pPr>
        <w:ind w:firstLine="480"/>
        <w:rPr>
          <w:rFonts w:cs="Times New Roman"/>
        </w:rPr>
      </w:pPr>
      <w:r>
        <w:rPr>
          <w:rFonts w:cs="Times New Roman"/>
        </w:rPr>
        <w:t>金坛区属北亚热带季风气候。全年四季分明，春夏温暖潮湿，雨水充足，秋季凉爽，冬季较寒冷，有霜冻和降雪，年降水量1063.5毫米，无霜期228天，年平均湿度78%，年平均气温为15.7℃，以7、8月份最高（30℃左右），1月份温度最低（2℃左右）。全年平均日照1908h，日照时间长，日照率46%，日照充足，全年12个月中，月平均日照以9月为最多</w:t>
      </w:r>
      <w:r>
        <w:rPr>
          <w:rFonts w:hint="eastAsia" w:cs="Times New Roman"/>
        </w:rPr>
        <w:t>（</w:t>
      </w:r>
      <w:r>
        <w:rPr>
          <w:rFonts w:cs="Times New Roman"/>
        </w:rPr>
        <w:t>200小时左右</w:t>
      </w:r>
      <w:r>
        <w:rPr>
          <w:rFonts w:hint="eastAsia" w:cs="Times New Roman"/>
        </w:rPr>
        <w:t>）</w:t>
      </w:r>
      <w:r>
        <w:rPr>
          <w:rFonts w:cs="Times New Roman"/>
        </w:rPr>
        <w:t>，以2月最少</w:t>
      </w:r>
      <w:r>
        <w:rPr>
          <w:rFonts w:hint="eastAsia" w:cs="Times New Roman"/>
        </w:rPr>
        <w:t>（</w:t>
      </w:r>
      <w:r>
        <w:rPr>
          <w:rFonts w:cs="Times New Roman"/>
        </w:rPr>
        <w:t>120 小时左右</w:t>
      </w:r>
      <w:r>
        <w:rPr>
          <w:rFonts w:hint="eastAsia" w:cs="Times New Roman"/>
        </w:rPr>
        <w:t>）</w:t>
      </w:r>
      <w:r>
        <w:rPr>
          <w:rFonts w:cs="Times New Roman"/>
        </w:rPr>
        <w:t>。常年风向为东南风，在春、夏两季居多，秋季多东北风，冬季多西北风，常年风力一般3~4级或5~6级，偶有7~8级大风。季风环流是支配金坛区气候的主要因素。</w:t>
      </w:r>
    </w:p>
    <w:p w14:paraId="0EDD7C40">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3.1.3</w:t>
      </w:r>
      <w:r>
        <w:rPr>
          <w:rFonts w:hint="eastAsia" w:eastAsia="方正楷体_GBK" w:cs="Times New Roman"/>
          <w:b/>
          <w:bCs/>
          <w:szCs w:val="28"/>
          <w14:ligatures w14:val="none"/>
        </w:rPr>
        <w:t>地质地貌</w:t>
      </w:r>
    </w:p>
    <w:p w14:paraId="61F45E97">
      <w:pPr>
        <w:ind w:firstLine="480"/>
      </w:pPr>
      <w:r>
        <w:rPr>
          <w:rFonts w:hint="eastAsia" w:cs="Times New Roman"/>
        </w:rPr>
        <w:t>金坛区地势自西向东倾斜，常态地貌有基岩的低山丘陵、黄土岗地、冲积、湖积平原。度假区地处金坛区西缘，为南北走向的茅山低山丘陵主要为丘陵地形，地势呈西高东低，属宁镇山脉东缘的茅山山脉。金坛区地层分为古生界志留系、泥盆系、石炭系、二迭系，中生界三叠系、侏罗系，新生界第三系、第四系，形成于距今4.4亿至250万年间。构造属扬子古陆东端的下扬子台带。由于受中生代燕山期构造运动中的断裂作用的破坏，西部抬升为今所见的茅山山脉及其低山丘陵，其东为长江三角洲西部的冲积湖积平原区。</w:t>
      </w:r>
    </w:p>
    <w:p w14:paraId="76DDC1A9">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3.1.4</w:t>
      </w:r>
      <w:r>
        <w:rPr>
          <w:rFonts w:hint="eastAsia" w:eastAsia="方正楷体_GBK" w:cs="Times New Roman"/>
          <w:b/>
          <w:bCs/>
          <w:szCs w:val="28"/>
          <w14:ligatures w14:val="none"/>
        </w:rPr>
        <w:t>水文水系</w:t>
      </w:r>
    </w:p>
    <w:p w14:paraId="345B656F">
      <w:pPr>
        <w:ind w:firstLine="480"/>
        <w:rPr>
          <w:rFonts w:cs="Times New Roman"/>
        </w:rPr>
      </w:pPr>
      <w:r>
        <w:rPr>
          <w:rFonts w:hint="eastAsia" w:cs="Times New Roman"/>
        </w:rPr>
        <w:t>金坛水系属太湖流域上游的西北支，历史上北部句容、丹徒、丹阳的丘陵高田之水，从通济河、丹金溧漕河流入金坛后，汇集西部茅山东麓及东部高亢平原诸水，注入洮湖。后经过长期水利建设，金坛水系发生重大变化，丹金溧漕河经大运河北与长江相通，纵贯太湖湖西地区南北，成为该地区引水航运骨干河道。全区较大面积的湖泊有长荡湖、钱资荡、白龙荡。全区有大小河流216条，总长512公里。区内河道纵横，沟塘密布，属典型的“江南水乡”</w:t>
      </w:r>
    </w:p>
    <w:p w14:paraId="314F22AD">
      <w:pPr>
        <w:ind w:firstLine="480"/>
      </w:pPr>
      <w:r>
        <w:rPr>
          <w:rFonts w:hint="eastAsia" w:cs="Times New Roman"/>
        </w:rPr>
        <w:t>度假区位于金坛西部山区，薛埠河、海底溢洪河、东进溢洪河、新浮溢洪河、茅东溢洪河、青龙溢洪河、瓦沟溢洪河、山蓬河、赤岗河等河流穿境而过，坐拥茅东水库、新浮水库、东进水库、海底水库、接山墩水库、阴山坎水库、方山水库、建国水库、白石里水库等大大小小十余个水库，水资源较为丰富。</w:t>
      </w:r>
    </w:p>
    <w:p w14:paraId="43F20809">
      <w:pPr>
        <w:pStyle w:val="3"/>
        <w:ind w:firstLine="0" w:firstLineChars="0"/>
        <w:rPr>
          <w:rFonts w:cs="Times New Roman"/>
        </w:rPr>
      </w:pPr>
      <w:bookmarkStart w:id="65" w:name="_Toc217294042"/>
      <w:r>
        <w:rPr>
          <w:rFonts w:cs="Times New Roman"/>
        </w:rPr>
        <w:t>3.2</w:t>
      </w:r>
      <w:r>
        <w:rPr>
          <w:rFonts w:hint="eastAsia" w:cs="Times New Roman"/>
        </w:rPr>
        <w:t>社会经济概况</w:t>
      </w:r>
      <w:bookmarkEnd w:id="65"/>
    </w:p>
    <w:p w14:paraId="372B1C29">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3.2.1</w:t>
      </w:r>
      <w:r>
        <w:rPr>
          <w:rFonts w:hint="eastAsia" w:eastAsia="方正楷体_GBK" w:cs="Times New Roman"/>
          <w:b/>
          <w:bCs/>
          <w:szCs w:val="28"/>
          <w14:ligatures w14:val="none"/>
        </w:rPr>
        <w:t>社会情况</w:t>
      </w:r>
    </w:p>
    <w:p w14:paraId="0BE41109">
      <w:pPr>
        <w:ind w:firstLine="480"/>
        <w:rPr>
          <w:rFonts w:cs="Times New Roman"/>
        </w:rPr>
      </w:pPr>
      <w:r>
        <w:rPr>
          <w:rFonts w:hint="eastAsia" w:cs="Times New Roman"/>
        </w:rPr>
        <w:t>金坛区位于江苏南部，地处长三角区域一体化中心地带、上海都市圈和南京都市圈核心交汇处，总面积975.68平方公里。202</w:t>
      </w:r>
      <w:r>
        <w:rPr>
          <w:rFonts w:cs="Times New Roman"/>
        </w:rPr>
        <w:t>2</w:t>
      </w:r>
      <w:r>
        <w:rPr>
          <w:rFonts w:hint="eastAsia" w:cs="Times New Roman"/>
        </w:rPr>
        <w:t>年末，全区户籍总人口</w:t>
      </w:r>
      <w:r>
        <w:rPr>
          <w:rFonts w:cs="Times New Roman"/>
        </w:rPr>
        <w:t>53.96</w:t>
      </w:r>
      <w:r>
        <w:rPr>
          <w:rFonts w:hint="eastAsia" w:cs="Times New Roman"/>
        </w:rPr>
        <w:t>万人，全区常住人口</w:t>
      </w:r>
      <w:r>
        <w:rPr>
          <w:rFonts w:cs="Times New Roman"/>
        </w:rPr>
        <w:t>59.46</w:t>
      </w:r>
      <w:r>
        <w:rPr>
          <w:rFonts w:hint="eastAsia" w:cs="Times New Roman"/>
        </w:rPr>
        <w:t>万人，人口自然增长率为</w:t>
      </w:r>
      <w:r>
        <w:rPr>
          <w:rFonts w:cs="Times New Roman"/>
        </w:rPr>
        <w:t>-4.61</w:t>
      </w:r>
      <w:r>
        <w:rPr>
          <w:rFonts w:hint="eastAsia" w:cs="Times New Roman"/>
        </w:rPr>
        <w:t>‰。金坛区下辖东城街道、西城街道、尧塘街道</w:t>
      </w:r>
      <w:r>
        <w:rPr>
          <w:rFonts w:cs="Times New Roman"/>
        </w:rPr>
        <w:t>3</w:t>
      </w:r>
      <w:r>
        <w:rPr>
          <w:rFonts w:hint="eastAsia" w:cs="Times New Roman"/>
        </w:rPr>
        <w:t>个街道，金城镇、薛埠</w:t>
      </w:r>
      <w:r>
        <w:rPr>
          <w:rFonts w:hint="eastAsia" w:ascii="仿宋_GB2312" w:hAnsi="仿宋_GB2312" w:cs="仿宋_GB2312"/>
        </w:rPr>
        <w:t>镇、直溪镇、朱林镇、指前镇、儒林镇</w:t>
      </w:r>
      <w:r>
        <w:rPr>
          <w:rFonts w:hint="eastAsia" w:cs="Times New Roman"/>
        </w:rPr>
        <w:t>6个镇。</w:t>
      </w:r>
    </w:p>
    <w:p w14:paraId="476E4C54">
      <w:pPr>
        <w:ind w:firstLine="480"/>
        <w:rPr>
          <w:rFonts w:cs="Times New Roman"/>
        </w:rPr>
      </w:pPr>
      <w:r>
        <w:rPr>
          <w:rFonts w:hint="eastAsia" w:cs="Times New Roman"/>
        </w:rPr>
        <w:t>度假区</w:t>
      </w:r>
      <w:r>
        <w:rPr>
          <w:rFonts w:hint="eastAsia"/>
        </w:rPr>
        <w:t>位于</w:t>
      </w:r>
      <w:r>
        <w:rPr>
          <w:rFonts w:hint="eastAsia" w:cs="Times New Roman"/>
        </w:rPr>
        <w:t>薛埠</w:t>
      </w:r>
      <w:r>
        <w:rPr>
          <w:rFonts w:hint="eastAsia" w:ascii="仿宋_GB2312" w:hAnsi="仿宋_GB2312" w:cs="仿宋_GB2312"/>
        </w:rPr>
        <w:t>镇西侧，</w:t>
      </w:r>
      <w:r>
        <w:rPr>
          <w:rFonts w:hint="eastAsia" w:cs="Times New Roman"/>
        </w:rPr>
        <w:t>薛埠</w:t>
      </w:r>
      <w:r>
        <w:rPr>
          <w:rFonts w:hint="eastAsia" w:ascii="仿宋_GB2312" w:hAnsi="仿宋_GB2312" w:cs="仿宋_GB2312"/>
        </w:rPr>
        <w:t>镇是常州的西大门，也是苏锡常都市圈与南京都市圈交界处的节点区域，属茅山革命老区，全镇域</w:t>
      </w:r>
      <w:r>
        <w:rPr>
          <w:rFonts w:hint="eastAsia" w:cs="Times New Roman"/>
        </w:rPr>
        <w:t>面积</w:t>
      </w:r>
      <w:r>
        <w:rPr>
          <w:rFonts w:cs="Times New Roman"/>
        </w:rPr>
        <w:t>234.80</w:t>
      </w:r>
      <w:r>
        <w:rPr>
          <w:rFonts w:hint="eastAsia" w:cs="Times New Roman"/>
        </w:rPr>
        <w:t>平方公里，下辖东进、上阳、薛埠、连山、方麓、上阮、山蓬、长山、罗村、花山、东窑、茅庵、石马、泉江、下杖、致和、神亭、西</w:t>
      </w:r>
      <w:r>
        <w:rPr>
          <w:rFonts w:hint="eastAsia" w:ascii="仿宋" w:hAnsi="仿宋" w:eastAsia="仿宋" w:cs="微软雅黑"/>
        </w:rPr>
        <w:t>旸</w:t>
      </w:r>
      <w:r>
        <w:rPr>
          <w:rFonts w:hint="eastAsia" w:ascii="仿宋_GB2312" w:hAnsi="仿宋_GB2312" w:cs="仿宋_GB2312"/>
        </w:rPr>
        <w:t>、倪巷、茅东、仙姑</w:t>
      </w:r>
      <w:r>
        <w:rPr>
          <w:rFonts w:hint="eastAsia" w:cs="Times New Roman"/>
        </w:rPr>
        <w:t>21个行政村，茅东林场、茅麓茶场2个场圃，薛埠、绿化、西</w:t>
      </w:r>
      <w:r>
        <w:rPr>
          <w:rFonts w:hint="eastAsia" w:ascii="仿宋" w:hAnsi="仿宋" w:eastAsia="仿宋" w:cs="微软雅黑"/>
        </w:rPr>
        <w:t>旸</w:t>
      </w:r>
      <w:r>
        <w:rPr>
          <w:rFonts w:hint="eastAsia" w:cs="Times New Roman"/>
        </w:rPr>
        <w:t>3个社区，截至202</w:t>
      </w:r>
      <w:r>
        <w:rPr>
          <w:rFonts w:cs="Times New Roman"/>
        </w:rPr>
        <w:t>2</w:t>
      </w:r>
      <w:r>
        <w:rPr>
          <w:rFonts w:hint="eastAsia" w:cs="Times New Roman"/>
        </w:rPr>
        <w:t>年末，薛埠镇辖区户籍人口</w:t>
      </w:r>
      <w:r>
        <w:rPr>
          <w:rFonts w:cs="Times New Roman"/>
        </w:rPr>
        <w:t>64186</w:t>
      </w:r>
      <w:r>
        <w:rPr>
          <w:rFonts w:hint="eastAsia" w:cs="Times New Roman"/>
        </w:rPr>
        <w:t>人。</w:t>
      </w:r>
    </w:p>
    <w:p w14:paraId="6D7305FC">
      <w:pPr>
        <w:ind w:firstLine="480"/>
      </w:pPr>
      <w:r>
        <w:rPr>
          <w:rFonts w:cs="Times New Roman"/>
        </w:rPr>
        <w:t>从区位角度看，</w:t>
      </w:r>
      <w:r>
        <w:rPr>
          <w:rFonts w:hint="eastAsia" w:cs="Times New Roman"/>
        </w:rPr>
        <w:t>度假区</w:t>
      </w:r>
      <w:r>
        <w:rPr>
          <w:rFonts w:cs="Times New Roman"/>
        </w:rPr>
        <w:t>位于长三角中心</w:t>
      </w:r>
      <w:r>
        <w:rPr>
          <w:rFonts w:hint="eastAsia" w:cs="Times New Roman"/>
        </w:rPr>
        <w:t>、上海都市圈与南京都市圈交会点、宁杭生态经济带重要节点，</w:t>
      </w:r>
      <w:r>
        <w:rPr>
          <w:rFonts w:cs="Times New Roman"/>
        </w:rPr>
        <w:t>经济发达，人口密集，国际交流频繁，作为开展道文化交流的平台，具有显著的区位优势。</w:t>
      </w:r>
    </w:p>
    <w:p w14:paraId="70B97BB8">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3.2.2</w:t>
      </w:r>
      <w:r>
        <w:rPr>
          <w:rFonts w:hint="eastAsia" w:eastAsia="方正楷体_GBK" w:cs="Times New Roman"/>
          <w:b/>
          <w:bCs/>
          <w:szCs w:val="28"/>
          <w14:ligatures w14:val="none"/>
        </w:rPr>
        <w:t>经济情况</w:t>
      </w:r>
    </w:p>
    <w:p w14:paraId="16CC46B2">
      <w:pPr>
        <w:ind w:firstLine="480"/>
        <w:rPr>
          <w:rFonts w:cs="Times New Roman"/>
        </w:rPr>
      </w:pPr>
      <w:r>
        <w:rPr>
          <w:rFonts w:hint="eastAsia" w:cs="Times New Roman"/>
        </w:rPr>
        <w:t>202</w:t>
      </w:r>
      <w:r>
        <w:rPr>
          <w:rFonts w:cs="Times New Roman"/>
        </w:rPr>
        <w:t>3</w:t>
      </w:r>
      <w:r>
        <w:rPr>
          <w:rFonts w:hint="eastAsia" w:cs="Times New Roman"/>
        </w:rPr>
        <w:t>年，金坛区实现地区生产总值（GDP）</w:t>
      </w:r>
      <w:r>
        <w:rPr>
          <w:rFonts w:cs="Times New Roman"/>
        </w:rPr>
        <w:t>1302.92</w:t>
      </w:r>
      <w:r>
        <w:rPr>
          <w:rFonts w:hint="eastAsia" w:cs="Times New Roman"/>
        </w:rPr>
        <w:t>亿元，按可比价计算（下同），同比增长8.2%。分三次产业看，第一产业同比增长4.4%，第二产业同比增长9.7%，第三产业同比增长6.6%。2</w:t>
      </w:r>
      <w:r>
        <w:rPr>
          <w:rFonts w:cs="Times New Roman"/>
        </w:rPr>
        <w:t>023</w:t>
      </w:r>
      <w:r>
        <w:rPr>
          <w:rFonts w:hint="eastAsia" w:cs="Times New Roman"/>
        </w:rPr>
        <w:t>年，薛埠镇完成地区生产总值约85.7亿元，同比增长8.1%；一般公共预算收入2.84亿元，增长14.5%；旅游营业收入14.69亿元，增长5.7%。</w:t>
      </w:r>
    </w:p>
    <w:p w14:paraId="35C0D017">
      <w:pPr>
        <w:ind w:firstLine="480"/>
      </w:pPr>
      <w:r>
        <w:rPr>
          <w:rFonts w:hint="eastAsia" w:cs="Times New Roman"/>
        </w:rPr>
        <w:t>度假区立足长远，壮大特色产业，促进各类产业优化融合发展，不断提升经济增长内生动力和活力。近年来度假区旅游产业总收入稳步增长。2023年，度假区累计接待游客约546万人次，同比增长10.08%；实现旅游营收约14.8亿元；同比增长6.47%；完成纳入核算行业服务业营业收入约3.8亿元；完成限上贸易销售额约9亿元。</w:t>
      </w:r>
    </w:p>
    <w:p w14:paraId="40FBC963">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3.2.3</w:t>
      </w:r>
      <w:r>
        <w:rPr>
          <w:rFonts w:hint="eastAsia" w:eastAsia="方正楷体_GBK" w:cs="Times New Roman"/>
          <w:b/>
          <w:bCs/>
          <w:szCs w:val="28"/>
          <w14:ligatures w14:val="none"/>
        </w:rPr>
        <w:t>交通运输</w:t>
      </w:r>
    </w:p>
    <w:p w14:paraId="1669BC4D">
      <w:pPr>
        <w:ind w:firstLine="480"/>
        <w:rPr>
          <w:rFonts w:cs="Times New Roman"/>
        </w:rPr>
      </w:pPr>
      <w:r>
        <w:rPr>
          <w:rFonts w:hint="eastAsia" w:cs="Times New Roman"/>
        </w:rPr>
        <w:t>金坛区交通发达，区内公路东西横贯，镇江至广德公路南北穿越；京沪铁路、沪宁高速公路、常州港、镇江港、常州机场临近区境北侧。薛埠镇有宁常、扬溧高速公路过境，340省道、265省道、茅山旅游大道过境，有县乡级公路37条，总长240千米。境内通航河道5条，总长43.6千米，客运总量15.1万人次，货运总量15.6万吨，镇区道路总长度70.15千米；道路铺装面积61.97万平方米，桥梁18座，总长度540米，镇区开通公交线路5条，运营总里程26千米，年客运量10.2万人次。</w:t>
      </w:r>
    </w:p>
    <w:p w14:paraId="71698793">
      <w:pPr>
        <w:ind w:firstLine="480"/>
      </w:pPr>
      <w:r>
        <w:rPr>
          <w:rFonts w:hint="eastAsia" w:cs="Times New Roman"/>
        </w:rPr>
        <w:t>度假区内部拥有白乾公路、致和公路、直茅公路、薛茅公路、茅山旅游公路等公路交通路网；对外可通过沪武高速、宁常高速、扬溧高速、苏锡常南部高速、S340公路。苏锡常城际铁路沪武高速到达常州主城区及南京、苏州、无锡、扬州等周边城市；距南京禄口机场60公里，车程40分钟；距常州奔牛机场40公里，车程30分钟；距无锡硕放机场80公里，车程1小时；距上海虹桥机场220公里，车程2小时；距上海浦东国际机场250公里，车程2.5小时。</w:t>
      </w:r>
    </w:p>
    <w:p w14:paraId="7882F5AE">
      <w:pPr>
        <w:pStyle w:val="3"/>
        <w:ind w:firstLine="0" w:firstLineChars="0"/>
        <w:rPr>
          <w:rFonts w:cs="Times New Roman"/>
        </w:rPr>
      </w:pPr>
      <w:bookmarkStart w:id="66" w:name="_Toc217294043"/>
      <w:r>
        <w:rPr>
          <w:rFonts w:cs="Times New Roman"/>
        </w:rPr>
        <w:t>3.3</w:t>
      </w:r>
      <w:r>
        <w:rPr>
          <w:rFonts w:hint="eastAsia" w:cs="Times New Roman"/>
        </w:rPr>
        <w:t>资源开发利用现状调查</w:t>
      </w:r>
      <w:bookmarkEnd w:id="66"/>
    </w:p>
    <w:p w14:paraId="531807F9">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3.3.1</w:t>
      </w:r>
      <w:r>
        <w:rPr>
          <w:rFonts w:hint="eastAsia" w:eastAsia="方正楷体_GBK" w:cs="Times New Roman"/>
          <w:b/>
          <w:bCs/>
          <w:szCs w:val="28"/>
          <w14:ligatures w14:val="none"/>
        </w:rPr>
        <w:t>水资源</w:t>
      </w:r>
    </w:p>
    <w:p w14:paraId="5BF6CDB9">
      <w:pPr>
        <w:ind w:firstLine="480"/>
        <w:rPr>
          <w:color w:val="0070C0"/>
        </w:rPr>
      </w:pPr>
      <w:r>
        <w:rPr>
          <w:rFonts w:hint="eastAsia"/>
        </w:rPr>
        <w:t>根据《20</w:t>
      </w:r>
      <w:r>
        <w:t>2</w:t>
      </w:r>
      <w:r>
        <w:rPr>
          <w:rFonts w:hint="eastAsia"/>
        </w:rPr>
        <w:t>3年常州市水资源公报》，20</w:t>
      </w:r>
      <w:r>
        <w:t>2</w:t>
      </w:r>
      <w:r>
        <w:rPr>
          <w:rFonts w:hint="eastAsia"/>
        </w:rPr>
        <w:t>3年常州市全市水资源总量为24.17亿m</w:t>
      </w:r>
      <w:r>
        <w:rPr>
          <w:rFonts w:hint="eastAsia"/>
          <w:vertAlign w:val="superscript"/>
        </w:rPr>
        <w:t>3</w:t>
      </w:r>
      <w:r>
        <w:rPr>
          <w:rFonts w:hint="eastAsia"/>
        </w:rPr>
        <w:t>，地表水资源量23.18亿m</w:t>
      </w:r>
      <w:r>
        <w:rPr>
          <w:rFonts w:hint="eastAsia"/>
          <w:vertAlign w:val="superscript"/>
        </w:rPr>
        <w:t>3</w:t>
      </w:r>
      <w:r>
        <w:rPr>
          <w:rFonts w:hint="eastAsia"/>
        </w:rPr>
        <w:t>，地下水资源量4.23亿m</w:t>
      </w:r>
      <w:r>
        <w:rPr>
          <w:rFonts w:hint="eastAsia"/>
          <w:vertAlign w:val="superscript"/>
        </w:rPr>
        <w:t>3</w:t>
      </w:r>
      <w:r>
        <w:rPr>
          <w:rFonts w:hint="eastAsia"/>
        </w:rPr>
        <w:t>，重复计算量</w:t>
      </w:r>
      <w:r>
        <w:t>3.</w:t>
      </w:r>
      <w:r>
        <w:rPr>
          <w:rFonts w:hint="eastAsia"/>
        </w:rPr>
        <w:t>24亿m</w:t>
      </w:r>
      <w:r>
        <w:rPr>
          <w:rFonts w:hint="eastAsia"/>
          <w:vertAlign w:val="superscript"/>
        </w:rPr>
        <w:t>3</w:t>
      </w:r>
      <w:r>
        <w:rPr>
          <w:rFonts w:hint="eastAsia"/>
        </w:rPr>
        <w:t>，全市人均综合用水量461.98m</w:t>
      </w:r>
      <w:r>
        <w:rPr>
          <w:rFonts w:hint="eastAsia"/>
          <w:vertAlign w:val="superscript"/>
        </w:rPr>
        <w:t>3</w:t>
      </w:r>
      <w:r>
        <w:rPr>
          <w:rFonts w:hint="eastAsia"/>
        </w:rPr>
        <w:t>。其中金坛区水资源总量6.46亿m</w:t>
      </w:r>
      <w:r>
        <w:rPr>
          <w:rFonts w:hint="eastAsia"/>
          <w:vertAlign w:val="superscript"/>
        </w:rPr>
        <w:t>3</w:t>
      </w:r>
      <w:r>
        <w:rPr>
          <w:rFonts w:hint="eastAsia"/>
        </w:rPr>
        <w:t>，地表水资源量6.24亿m</w:t>
      </w:r>
      <w:r>
        <w:rPr>
          <w:rFonts w:hint="eastAsia"/>
          <w:vertAlign w:val="superscript"/>
        </w:rPr>
        <w:t>3</w:t>
      </w:r>
      <w:r>
        <w:rPr>
          <w:rFonts w:hint="eastAsia"/>
        </w:rPr>
        <w:t>，地下水资源量1.00亿m</w:t>
      </w:r>
      <w:r>
        <w:rPr>
          <w:rFonts w:hint="eastAsia"/>
          <w:vertAlign w:val="superscript"/>
        </w:rPr>
        <w:t>3</w:t>
      </w:r>
      <w:r>
        <w:rPr>
          <w:rFonts w:hint="eastAsia"/>
        </w:rPr>
        <w:t>，重复计算量</w:t>
      </w:r>
      <w:r>
        <w:t>0.</w:t>
      </w:r>
      <w:r>
        <w:rPr>
          <w:rFonts w:hint="eastAsia"/>
        </w:rPr>
        <w:t>78亿m</w:t>
      </w:r>
      <w:r>
        <w:rPr>
          <w:rFonts w:hint="eastAsia"/>
          <w:vertAlign w:val="superscript"/>
        </w:rPr>
        <w:t>3</w:t>
      </w:r>
      <w:r>
        <w:rPr>
          <w:rFonts w:hint="eastAsia"/>
        </w:rPr>
        <w:t>。</w:t>
      </w:r>
    </w:p>
    <w:p w14:paraId="263F0C1F">
      <w:pPr>
        <w:ind w:firstLine="480"/>
        <w:rPr>
          <w:rFonts w:hint="eastAsia" w:ascii="仿宋_GB2312" w:hAnsi="仿宋_GB2312" w:cs="仿宋_GB2312"/>
        </w:rPr>
      </w:pPr>
      <w:r>
        <w:rPr>
          <w:rFonts w:hint="eastAsia"/>
        </w:rPr>
        <w:t>2</w:t>
      </w:r>
      <w:r>
        <w:t>02</w:t>
      </w:r>
      <w:r>
        <w:rPr>
          <w:rFonts w:hint="eastAsia"/>
        </w:rPr>
        <w:t>3年，常州市全市主要河道入境总水量37.48亿m</w:t>
      </w:r>
      <w:r>
        <w:rPr>
          <w:rFonts w:hint="eastAsia"/>
          <w:vertAlign w:val="superscript"/>
        </w:rPr>
        <w:t>3</w:t>
      </w:r>
      <w:r>
        <w:rPr>
          <w:rFonts w:hint="eastAsia" w:ascii="仿宋_GB2312" w:hAnsi="仿宋_GB2312" w:cs="仿宋_GB2312"/>
        </w:rPr>
        <w:t>，其中，沿江五河（浦河、新孟河、剩银河、德</w:t>
      </w:r>
      <w:r>
        <w:rPr>
          <w:rFonts w:hint="eastAsia"/>
        </w:rPr>
        <w:t>胜河、澡港河）全年总引江水量8.85亿m3。全市主要河道出境总水量47.68亿m</w:t>
      </w:r>
      <w:r>
        <w:rPr>
          <w:rFonts w:hint="eastAsia"/>
          <w:vertAlign w:val="superscript"/>
        </w:rPr>
        <w:t>3</w:t>
      </w:r>
      <w:r>
        <w:rPr>
          <w:rFonts w:hint="eastAsia"/>
        </w:rPr>
        <w:t>，其中，沿江五河全年总排江水量12.84亿m</w:t>
      </w:r>
      <w:r>
        <w:rPr>
          <w:rFonts w:hint="eastAsia"/>
          <w:vertAlign w:val="superscript"/>
        </w:rPr>
        <w:t>3</w:t>
      </w:r>
      <w:r>
        <w:rPr>
          <w:rFonts w:hint="eastAsia"/>
        </w:rPr>
        <w:t>。</w:t>
      </w:r>
    </w:p>
    <w:p w14:paraId="5BC0D9E7">
      <w:pPr>
        <w:ind w:firstLine="480"/>
        <w:rPr>
          <w:rFonts w:hint="eastAsia" w:ascii="仿宋_GB2312" w:hAnsi="仿宋_GB2312" w:cs="仿宋_GB2312"/>
        </w:rPr>
      </w:pPr>
      <w:r>
        <w:rPr>
          <w:rFonts w:hint="eastAsia"/>
        </w:rPr>
        <w:t>2023年，常州市9座主要水库总库容28700万m</w:t>
      </w:r>
      <w:r>
        <w:rPr>
          <w:rFonts w:hint="eastAsia"/>
          <w:vertAlign w:val="superscript"/>
        </w:rPr>
        <w:t>3</w:t>
      </w:r>
      <w:r>
        <w:rPr>
          <w:rFonts w:hint="eastAsia"/>
        </w:rPr>
        <w:t>，年末蓄水量6685万m</w:t>
      </w:r>
      <w:r>
        <w:rPr>
          <w:rFonts w:hint="eastAsia"/>
          <w:vertAlign w:val="superscript"/>
        </w:rPr>
        <w:t>3</w:t>
      </w:r>
      <w:r>
        <w:rPr>
          <w:rFonts w:hint="eastAsia"/>
        </w:rPr>
        <w:t>，比年初增加1469万m</w:t>
      </w:r>
      <w:r>
        <w:rPr>
          <w:rFonts w:hint="eastAsia"/>
          <w:vertAlign w:val="superscript"/>
        </w:rPr>
        <w:t>3</w:t>
      </w:r>
      <w:r>
        <w:rPr>
          <w:rFonts w:hint="eastAsia" w:ascii="仿宋_GB2312" w:hAnsi="仿宋_GB2312" w:cs="仿宋_GB2312"/>
        </w:rPr>
        <w:t>。其中，</w:t>
      </w:r>
      <w:r>
        <w:rPr>
          <w:rFonts w:hint="eastAsia"/>
        </w:rPr>
        <w:t>度假区内茅东水库年末蓄水量1018万m</w:t>
      </w:r>
      <w:r>
        <w:rPr>
          <w:rFonts w:hint="eastAsia"/>
          <w:vertAlign w:val="superscript"/>
        </w:rPr>
        <w:t>3</w:t>
      </w:r>
      <w:r>
        <w:rPr>
          <w:rFonts w:hint="eastAsia"/>
        </w:rPr>
        <w:t>，比年初增加618万m</w:t>
      </w:r>
      <w:r>
        <w:rPr>
          <w:rFonts w:hint="eastAsia"/>
          <w:vertAlign w:val="superscript"/>
        </w:rPr>
        <w:t>3</w:t>
      </w:r>
      <w:r>
        <w:rPr>
          <w:rFonts w:hint="eastAsia" w:ascii="仿宋_GB2312" w:hAnsi="仿宋_GB2312" w:cs="仿宋_GB2312"/>
        </w:rPr>
        <w:t>；</w:t>
      </w:r>
      <w:r>
        <w:rPr>
          <w:rFonts w:hint="eastAsia"/>
        </w:rPr>
        <w:t>新浮水库年末蓄水量275万m</w:t>
      </w:r>
      <w:r>
        <w:rPr>
          <w:rFonts w:hint="eastAsia"/>
          <w:vertAlign w:val="superscript"/>
        </w:rPr>
        <w:t>3</w:t>
      </w:r>
      <w:r>
        <w:rPr>
          <w:rFonts w:hint="eastAsia"/>
        </w:rPr>
        <w:t>，比年初增加141万m</w:t>
      </w:r>
      <w:r>
        <w:rPr>
          <w:rFonts w:hint="eastAsia"/>
          <w:vertAlign w:val="superscript"/>
        </w:rPr>
        <w:t>3</w:t>
      </w:r>
      <w:r>
        <w:rPr>
          <w:rFonts w:hint="eastAsia" w:ascii="仿宋_GB2312" w:hAnsi="仿宋_GB2312" w:cs="仿宋_GB2312"/>
        </w:rPr>
        <w:t>；</w:t>
      </w:r>
      <w:r>
        <w:rPr>
          <w:rFonts w:hint="eastAsia"/>
        </w:rPr>
        <w:t>海底水库年末蓄水量</w:t>
      </w:r>
      <w:r>
        <w:t>2</w:t>
      </w:r>
      <w:r>
        <w:rPr>
          <w:rFonts w:hint="eastAsia"/>
        </w:rPr>
        <w:t>36万m</w:t>
      </w:r>
      <w:r>
        <w:rPr>
          <w:rFonts w:hint="eastAsia"/>
          <w:vertAlign w:val="superscript"/>
        </w:rPr>
        <w:t>3</w:t>
      </w:r>
      <w:r>
        <w:rPr>
          <w:rFonts w:hint="eastAsia"/>
        </w:rPr>
        <w:t>，比年初减少5万m</w:t>
      </w:r>
      <w:r>
        <w:rPr>
          <w:rFonts w:hint="eastAsia"/>
          <w:vertAlign w:val="superscript"/>
        </w:rPr>
        <w:t>3</w:t>
      </w:r>
      <w:r>
        <w:rPr>
          <w:rFonts w:hint="eastAsia" w:ascii="仿宋_GB2312" w:hAnsi="仿宋_GB2312" w:cs="仿宋_GB2312"/>
        </w:rPr>
        <w:t>。</w:t>
      </w:r>
    </w:p>
    <w:p w14:paraId="10744831">
      <w:pPr>
        <w:ind w:firstLine="480"/>
      </w:pPr>
      <w:r>
        <w:rPr>
          <w:rFonts w:hint="eastAsia"/>
        </w:rPr>
        <w:t>2</w:t>
      </w:r>
      <w:r>
        <w:t>02</w:t>
      </w:r>
      <w:r>
        <w:rPr>
          <w:rFonts w:hint="eastAsia"/>
        </w:rPr>
        <w:t>3年，常州市全市总供水量24.79亿m</w:t>
      </w:r>
      <w:r>
        <w:rPr>
          <w:rFonts w:hint="eastAsia"/>
          <w:vertAlign w:val="superscript"/>
        </w:rPr>
        <w:t>3</w:t>
      </w:r>
      <w:r>
        <w:rPr>
          <w:rFonts w:hint="eastAsia"/>
        </w:rPr>
        <w:t>，其中，地表水源供水量23.85亿m</w:t>
      </w:r>
      <w:r>
        <w:rPr>
          <w:rFonts w:hint="eastAsia"/>
          <w:vertAlign w:val="superscript"/>
        </w:rPr>
        <w:t>3</w:t>
      </w:r>
      <w:r>
        <w:rPr>
          <w:rFonts w:hint="eastAsia"/>
        </w:rPr>
        <w:t>，占比96.2%</w:t>
      </w:r>
      <w:r>
        <w:rPr>
          <w:rFonts w:hint="eastAsia" w:ascii="仿宋_GB2312" w:hAnsi="仿宋_GB2312" w:cs="仿宋_GB2312"/>
        </w:rPr>
        <w:t>；</w:t>
      </w:r>
      <w:r>
        <w:rPr>
          <w:rFonts w:hint="eastAsia"/>
        </w:rPr>
        <w:t>地下水源供水量42.58万m</w:t>
      </w:r>
      <w:r>
        <w:rPr>
          <w:rFonts w:hint="eastAsia"/>
          <w:vertAlign w:val="superscript"/>
        </w:rPr>
        <w:t>3</w:t>
      </w:r>
      <w:r>
        <w:rPr>
          <w:rFonts w:hint="eastAsia"/>
        </w:rPr>
        <w:t>，占比0.1%</w:t>
      </w:r>
      <w:r>
        <w:rPr>
          <w:rFonts w:hint="eastAsia" w:ascii="仿宋_GB2312" w:hAnsi="仿宋_GB2312" w:cs="仿宋_GB2312"/>
        </w:rPr>
        <w:t>；</w:t>
      </w:r>
      <w:r>
        <w:rPr>
          <w:rFonts w:hint="eastAsia"/>
        </w:rPr>
        <w:t>其他水源供水量0.94亿m</w:t>
      </w:r>
      <w:r>
        <w:rPr>
          <w:rFonts w:hint="eastAsia"/>
          <w:vertAlign w:val="superscript"/>
        </w:rPr>
        <w:t>3</w:t>
      </w:r>
      <w:r>
        <w:rPr>
          <w:rFonts w:hint="eastAsia"/>
        </w:rPr>
        <w:t>，占比3.7%。其中，金坛区全区总供水量3.66亿m</w:t>
      </w:r>
      <w:r>
        <w:rPr>
          <w:rFonts w:hint="eastAsia"/>
          <w:vertAlign w:val="superscript"/>
        </w:rPr>
        <w:t>3</w:t>
      </w:r>
      <w:r>
        <w:rPr>
          <w:rFonts w:hint="eastAsia"/>
        </w:rPr>
        <w:t>，包含地表水源供水量3.54亿m</w:t>
      </w:r>
      <w:r>
        <w:rPr>
          <w:rFonts w:hint="eastAsia"/>
          <w:vertAlign w:val="superscript"/>
        </w:rPr>
        <w:t>3</w:t>
      </w:r>
      <w:r>
        <w:rPr>
          <w:rFonts w:hint="eastAsia"/>
        </w:rPr>
        <w:t>，地下水源供水量3.</w:t>
      </w:r>
      <w:r>
        <w:t>4</w:t>
      </w:r>
      <w:r>
        <w:rPr>
          <w:rFonts w:hint="eastAsia"/>
        </w:rPr>
        <w:t>0万m</w:t>
      </w:r>
      <w:r>
        <w:rPr>
          <w:rFonts w:hint="eastAsia"/>
          <w:vertAlign w:val="superscript"/>
        </w:rPr>
        <w:t>3</w:t>
      </w:r>
      <w:r>
        <w:rPr>
          <w:rFonts w:hint="eastAsia"/>
        </w:rPr>
        <w:t>，其他水源供水量</w:t>
      </w:r>
      <w:r>
        <w:t>0.</w:t>
      </w:r>
      <w:r>
        <w:rPr>
          <w:rFonts w:hint="eastAsia"/>
        </w:rPr>
        <w:t>12亿m</w:t>
      </w:r>
      <w:r>
        <w:rPr>
          <w:rFonts w:hint="eastAsia"/>
          <w:vertAlign w:val="superscript"/>
        </w:rPr>
        <w:t>3</w:t>
      </w:r>
      <w:r>
        <w:rPr>
          <w:rFonts w:hint="eastAsia"/>
        </w:rPr>
        <w:t>。</w:t>
      </w:r>
    </w:p>
    <w:p w14:paraId="58022809">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3.3.2</w:t>
      </w:r>
      <w:r>
        <w:rPr>
          <w:rFonts w:hint="eastAsia" w:eastAsia="方正楷体_GBK" w:cs="Times New Roman"/>
          <w:b/>
          <w:bCs/>
          <w:szCs w:val="28"/>
          <w14:ligatures w14:val="none"/>
        </w:rPr>
        <w:t>土地资源</w:t>
      </w:r>
    </w:p>
    <w:p w14:paraId="65C6CFDD">
      <w:pPr>
        <w:ind w:firstLine="480"/>
      </w:pPr>
      <w:r>
        <w:rPr>
          <w:rFonts w:hint="eastAsia"/>
        </w:rPr>
        <w:t>区域土地总面积109.4平方公里，其中建设用地面积10.703平方公里，占区域土地总面积的9.78%，包含居住用地面积3.321平方公里，占总面积比例3.04</w:t>
      </w:r>
      <w:r>
        <w:t>%</w:t>
      </w:r>
      <w:r>
        <w:rPr>
          <w:rFonts w:hint="eastAsia"/>
        </w:rPr>
        <w:t>；公共管理与公共服务设施用地面积0.445平方公里，占总面积比例0.41</w:t>
      </w:r>
      <w:r>
        <w:t>%</w:t>
      </w:r>
      <w:r>
        <w:rPr>
          <w:rFonts w:hint="eastAsia"/>
        </w:rPr>
        <w:t>；工业用地面积0.549平方公里，占总面积比例0.50%；道路与交通设施用地面积2.522平方公里，占总面积比例</w:t>
      </w:r>
      <w:r>
        <w:rPr>
          <w:rFonts w:hint="eastAsia" w:eastAsia="宋体"/>
        </w:rPr>
        <w:t>2.33</w:t>
      </w:r>
      <w:r>
        <w:rPr>
          <w:rFonts w:hint="eastAsia"/>
        </w:rPr>
        <w:t>%；采矿用地面积1.880平方公里，占总面积比例</w:t>
      </w:r>
      <w:r>
        <w:rPr>
          <w:rFonts w:hint="eastAsia" w:eastAsia="宋体"/>
        </w:rPr>
        <w:t>1.72</w:t>
      </w:r>
      <w:r>
        <w:rPr>
          <w:rFonts w:hint="eastAsia"/>
        </w:rPr>
        <w:t>%。非建设用地面积98.696平方公里，占区域土地总面积的</w:t>
      </w:r>
      <w:r>
        <w:rPr>
          <w:rFonts w:hint="eastAsia" w:eastAsia="宋体"/>
        </w:rPr>
        <w:t>90.22</w:t>
      </w:r>
      <w:r>
        <w:rPr>
          <w:rFonts w:hint="eastAsia"/>
        </w:rPr>
        <w:t>%，包含水域11.790平方公里，占总面积比例</w:t>
      </w:r>
      <w:r>
        <w:rPr>
          <w:rFonts w:hint="eastAsia" w:eastAsia="宋体"/>
        </w:rPr>
        <w:t>10.78</w:t>
      </w:r>
      <w:r>
        <w:rPr>
          <w:rFonts w:hint="eastAsia"/>
        </w:rPr>
        <w:t>%；农林用地86.886平方公里，占总面积比例</w:t>
      </w:r>
      <w:r>
        <w:rPr>
          <w:rFonts w:hint="eastAsia" w:eastAsia="宋体"/>
        </w:rPr>
        <w:t>79.42</w:t>
      </w:r>
      <w:r>
        <w:rPr>
          <w:rFonts w:hint="eastAsia"/>
        </w:rPr>
        <w:t>%，其他非建设用地面积0.021平方公里，占总面积比例</w:t>
      </w:r>
      <w:r>
        <w:rPr>
          <w:rFonts w:hint="eastAsia" w:eastAsia="宋体"/>
        </w:rPr>
        <w:t>0.02</w:t>
      </w:r>
      <w:r>
        <w:rPr>
          <w:rFonts w:hint="eastAsia"/>
        </w:rPr>
        <w:t>%。</w:t>
      </w:r>
    </w:p>
    <w:p w14:paraId="17212F06">
      <w:pPr>
        <w:ind w:firstLine="480"/>
      </w:pPr>
      <w:r>
        <w:rPr>
          <w:rFonts w:hint="eastAsia"/>
        </w:rPr>
        <w:t>度假区土地利用现状情况见表3.3-1和附图32。</w:t>
      </w:r>
    </w:p>
    <w:p w14:paraId="6F15B592">
      <w:pPr>
        <w:widowControl/>
        <w:spacing w:line="240" w:lineRule="auto"/>
        <w:ind w:firstLine="0" w:firstLineChars="0"/>
        <w:jc w:val="left"/>
      </w:pPr>
      <w:r>
        <w:br w:type="page"/>
      </w:r>
    </w:p>
    <w:p w14:paraId="2EE38B51">
      <w:pPr>
        <w:pStyle w:val="45"/>
        <w:rPr>
          <w:rFonts w:cs="Times New Roman"/>
        </w:rPr>
      </w:pPr>
      <w:r>
        <w:rPr>
          <w:rFonts w:hint="eastAsia"/>
        </w:rPr>
        <w:t>表3.3-1  本轮规划范围内</w:t>
      </w:r>
      <w:r>
        <w:rPr>
          <w:rFonts w:hint="eastAsia" w:cs="Times New Roman"/>
        </w:rPr>
        <w:t>现状用地平衡</w:t>
      </w:r>
      <w:r>
        <w:rPr>
          <w:rFonts w:cs="Times New Roman"/>
        </w:rPr>
        <w:t>表</w:t>
      </w:r>
    </w:p>
    <w:tbl>
      <w:tblPr>
        <w:tblStyle w:val="25"/>
        <w:tblW w:w="4998" w:type="pct"/>
        <w:tblInd w:w="0" w:type="dxa"/>
        <w:tblLayout w:type="autofit"/>
        <w:tblCellMar>
          <w:top w:w="0" w:type="dxa"/>
          <w:left w:w="108" w:type="dxa"/>
          <w:bottom w:w="0" w:type="dxa"/>
          <w:right w:w="108" w:type="dxa"/>
        </w:tblCellMar>
      </w:tblPr>
      <w:tblGrid>
        <w:gridCol w:w="1057"/>
        <w:gridCol w:w="1247"/>
        <w:gridCol w:w="1184"/>
        <w:gridCol w:w="1834"/>
        <w:gridCol w:w="1508"/>
        <w:gridCol w:w="1689"/>
      </w:tblGrid>
      <w:tr w14:paraId="0FAED3F2">
        <w:tblPrEx>
          <w:tblCellMar>
            <w:top w:w="0" w:type="dxa"/>
            <w:left w:w="108" w:type="dxa"/>
            <w:bottom w:w="0" w:type="dxa"/>
            <w:right w:w="108" w:type="dxa"/>
          </w:tblCellMar>
        </w:tblPrEx>
        <w:trPr>
          <w:trHeight w:val="936" w:hRule="atLeast"/>
        </w:trPr>
        <w:tc>
          <w:tcPr>
            <w:tcW w:w="1352" w:type="pct"/>
            <w:gridSpan w:val="2"/>
            <w:tcBorders>
              <w:top w:val="single" w:color="auto" w:sz="4" w:space="0"/>
              <w:left w:val="single" w:color="auto" w:sz="4" w:space="0"/>
              <w:bottom w:val="single" w:color="auto" w:sz="4" w:space="0"/>
              <w:right w:val="single" w:color="auto" w:sz="4" w:space="0"/>
            </w:tcBorders>
            <w:noWrap/>
            <w:vAlign w:val="center"/>
          </w:tcPr>
          <w:p w14:paraId="6A645DD7">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用地代码</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277102E2">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用地性质</w:t>
            </w:r>
          </w:p>
        </w:tc>
        <w:tc>
          <w:tcPr>
            <w:tcW w:w="885" w:type="pct"/>
            <w:tcBorders>
              <w:top w:val="single" w:color="auto" w:sz="4" w:space="0"/>
              <w:left w:val="single" w:color="auto" w:sz="4" w:space="0"/>
              <w:bottom w:val="single" w:color="auto" w:sz="4" w:space="0"/>
              <w:right w:val="single" w:color="auto" w:sz="4" w:space="0"/>
            </w:tcBorders>
            <w:noWrap/>
            <w:vAlign w:val="center"/>
          </w:tcPr>
          <w:p w14:paraId="358862A8">
            <w:pPr>
              <w:widowControl/>
              <w:spacing w:line="240" w:lineRule="auto"/>
              <w:ind w:firstLine="0" w:firstLineChars="0"/>
              <w:jc w:val="center"/>
              <w:textAlignment w:val="center"/>
              <w:rPr>
                <w:rFonts w:cs="Times New Roman"/>
                <w:b/>
                <w:bCs/>
                <w:color w:val="000000"/>
                <w:kern w:val="0"/>
                <w:sz w:val="21"/>
                <w:szCs w:val="21"/>
                <w:lang w:bidi="ar"/>
              </w:rPr>
            </w:pPr>
            <w:r>
              <w:rPr>
                <w:rFonts w:cs="Times New Roman"/>
                <w:b/>
                <w:bCs/>
                <w:color w:val="000000"/>
                <w:kern w:val="0"/>
                <w:sz w:val="21"/>
                <w:szCs w:val="21"/>
                <w:lang w:bidi="ar"/>
              </w:rPr>
              <w:t>现状用地面积</w:t>
            </w:r>
          </w:p>
          <w:p w14:paraId="4C3D969B">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（平方</w:t>
            </w:r>
            <w:r>
              <w:rPr>
                <w:rFonts w:hint="eastAsia" w:cs="Times New Roman"/>
                <w:b/>
                <w:bCs/>
                <w:color w:val="000000"/>
                <w:kern w:val="0"/>
                <w:sz w:val="21"/>
                <w:szCs w:val="21"/>
                <w:lang w:bidi="ar"/>
              </w:rPr>
              <w:t>公里</w:t>
            </w:r>
            <w:r>
              <w:rPr>
                <w:rFonts w:cs="Times New Roman"/>
                <w:b/>
                <w:bCs/>
                <w:color w:val="000000"/>
                <w:kern w:val="0"/>
                <w:sz w:val="21"/>
                <w:szCs w:val="21"/>
                <w:lang w:bidi="ar"/>
              </w:rPr>
              <w:t>）</w:t>
            </w:r>
          </w:p>
        </w:tc>
        <w:tc>
          <w:tcPr>
            <w:tcW w:w="991" w:type="pct"/>
            <w:tcBorders>
              <w:top w:val="single" w:color="auto" w:sz="4" w:space="0"/>
              <w:left w:val="single" w:color="auto" w:sz="4" w:space="0"/>
              <w:bottom w:val="single" w:color="auto" w:sz="4" w:space="0"/>
              <w:right w:val="single" w:color="auto" w:sz="4" w:space="0"/>
            </w:tcBorders>
            <w:noWrap/>
            <w:vAlign w:val="center"/>
          </w:tcPr>
          <w:p w14:paraId="71C78E66">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百分比（%）</w:t>
            </w:r>
          </w:p>
        </w:tc>
      </w:tr>
      <w:tr w14:paraId="1ABFA63C">
        <w:tblPrEx>
          <w:tblCellMar>
            <w:top w:w="0" w:type="dxa"/>
            <w:left w:w="108" w:type="dxa"/>
            <w:bottom w:w="0" w:type="dxa"/>
            <w:right w:w="108" w:type="dxa"/>
          </w:tblCellMar>
        </w:tblPrEx>
        <w:trPr>
          <w:trHeight w:val="285" w:hRule="atLeast"/>
        </w:trPr>
        <w:tc>
          <w:tcPr>
            <w:tcW w:w="1352" w:type="pct"/>
            <w:gridSpan w:val="2"/>
            <w:tcBorders>
              <w:top w:val="single" w:color="auto" w:sz="4" w:space="0"/>
              <w:left w:val="single" w:color="auto" w:sz="4" w:space="0"/>
              <w:bottom w:val="single" w:color="auto" w:sz="4" w:space="0"/>
              <w:right w:val="single" w:color="auto" w:sz="4" w:space="0"/>
            </w:tcBorders>
            <w:noWrap/>
            <w:vAlign w:val="center"/>
          </w:tcPr>
          <w:p w14:paraId="4105AC2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R</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11AB1C3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居住用地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6C65D94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3.321</w:t>
            </w:r>
          </w:p>
        </w:tc>
        <w:tc>
          <w:tcPr>
            <w:tcW w:w="991" w:type="pct"/>
            <w:tcBorders>
              <w:top w:val="single" w:color="auto" w:sz="4" w:space="0"/>
              <w:left w:val="single" w:color="auto" w:sz="4" w:space="0"/>
              <w:bottom w:val="single" w:color="auto" w:sz="4" w:space="0"/>
              <w:right w:val="single" w:color="auto" w:sz="4" w:space="0"/>
            </w:tcBorders>
            <w:noWrap/>
            <w:vAlign w:val="center"/>
          </w:tcPr>
          <w:p w14:paraId="1A4D18D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3.04</w:t>
            </w:r>
          </w:p>
        </w:tc>
      </w:tr>
      <w:tr w14:paraId="672F02FA">
        <w:tblPrEx>
          <w:tblCellMar>
            <w:top w:w="0" w:type="dxa"/>
            <w:left w:w="108" w:type="dxa"/>
            <w:bottom w:w="0" w:type="dxa"/>
            <w:right w:w="108" w:type="dxa"/>
          </w:tblCellMar>
        </w:tblPrEx>
        <w:trPr>
          <w:trHeight w:val="285" w:hRule="atLeast"/>
        </w:trPr>
        <w:tc>
          <w:tcPr>
            <w:tcW w:w="1352" w:type="pct"/>
            <w:gridSpan w:val="2"/>
            <w:tcBorders>
              <w:top w:val="single" w:color="auto" w:sz="4" w:space="0"/>
              <w:left w:val="single" w:color="auto" w:sz="4" w:space="0"/>
              <w:bottom w:val="single" w:color="auto" w:sz="4" w:space="0"/>
              <w:right w:val="single" w:color="auto" w:sz="4" w:space="0"/>
            </w:tcBorders>
            <w:noWrap/>
            <w:vAlign w:val="center"/>
          </w:tcPr>
          <w:p w14:paraId="45591E5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06EEDC6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公共管理与公共服务设施用地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148B517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0.445</w:t>
            </w:r>
          </w:p>
        </w:tc>
        <w:tc>
          <w:tcPr>
            <w:tcW w:w="991" w:type="pct"/>
            <w:tcBorders>
              <w:top w:val="single" w:color="auto" w:sz="4" w:space="0"/>
              <w:left w:val="single" w:color="auto" w:sz="4" w:space="0"/>
              <w:bottom w:val="single" w:color="auto" w:sz="4" w:space="0"/>
              <w:right w:val="single" w:color="auto" w:sz="4" w:space="0"/>
            </w:tcBorders>
            <w:noWrap/>
            <w:vAlign w:val="center"/>
          </w:tcPr>
          <w:p w14:paraId="3FC0EC1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0.41</w:t>
            </w:r>
          </w:p>
        </w:tc>
      </w:tr>
      <w:tr w14:paraId="7040BA18">
        <w:tblPrEx>
          <w:tblCellMar>
            <w:top w:w="0" w:type="dxa"/>
            <w:left w:w="108" w:type="dxa"/>
            <w:bottom w:w="0" w:type="dxa"/>
            <w:right w:w="108" w:type="dxa"/>
          </w:tblCellMar>
        </w:tblPrEx>
        <w:trPr>
          <w:trHeight w:val="285" w:hRule="atLeast"/>
        </w:trPr>
        <w:tc>
          <w:tcPr>
            <w:tcW w:w="620" w:type="pct"/>
            <w:vMerge w:val="restart"/>
            <w:tcBorders>
              <w:top w:val="single" w:color="auto" w:sz="4" w:space="0"/>
              <w:left w:val="single" w:color="auto" w:sz="4" w:space="0"/>
              <w:bottom w:val="single" w:color="auto" w:sz="4" w:space="0"/>
              <w:right w:val="single" w:color="auto" w:sz="4" w:space="0"/>
            </w:tcBorders>
            <w:vAlign w:val="center"/>
          </w:tcPr>
          <w:p w14:paraId="119226F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731" w:type="pct"/>
            <w:tcBorders>
              <w:top w:val="single" w:color="auto" w:sz="4" w:space="0"/>
              <w:left w:val="single" w:color="auto" w:sz="4" w:space="0"/>
              <w:bottom w:val="single" w:color="auto" w:sz="4" w:space="0"/>
              <w:right w:val="single" w:color="auto" w:sz="4" w:space="0"/>
            </w:tcBorders>
            <w:noWrap/>
            <w:vAlign w:val="center"/>
          </w:tcPr>
          <w:p w14:paraId="2EEE562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A1</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086D0B3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行政办公用地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5A54E58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0.041</w:t>
            </w:r>
          </w:p>
        </w:tc>
        <w:tc>
          <w:tcPr>
            <w:tcW w:w="991" w:type="pct"/>
            <w:tcBorders>
              <w:top w:val="single" w:color="auto" w:sz="4" w:space="0"/>
              <w:left w:val="single" w:color="auto" w:sz="4" w:space="0"/>
              <w:bottom w:val="single" w:color="auto" w:sz="4" w:space="0"/>
              <w:right w:val="single" w:color="auto" w:sz="4" w:space="0"/>
            </w:tcBorders>
            <w:noWrap/>
            <w:vAlign w:val="center"/>
          </w:tcPr>
          <w:p w14:paraId="05F7032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0.04</w:t>
            </w:r>
          </w:p>
        </w:tc>
      </w:tr>
      <w:tr w14:paraId="284E125A">
        <w:tblPrEx>
          <w:tblCellMar>
            <w:top w:w="0" w:type="dxa"/>
            <w:left w:w="108" w:type="dxa"/>
            <w:bottom w:w="0" w:type="dxa"/>
            <w:right w:w="108" w:type="dxa"/>
          </w:tblCellMar>
        </w:tblPrEx>
        <w:trPr>
          <w:trHeight w:val="285" w:hRule="atLeast"/>
        </w:trPr>
        <w:tc>
          <w:tcPr>
            <w:tcW w:w="620" w:type="pct"/>
            <w:vMerge w:val="continue"/>
            <w:tcBorders>
              <w:top w:val="single" w:color="auto" w:sz="4" w:space="0"/>
              <w:left w:val="single" w:color="auto" w:sz="4" w:space="0"/>
              <w:bottom w:val="single" w:color="auto" w:sz="4" w:space="0"/>
              <w:right w:val="single" w:color="auto" w:sz="4" w:space="0"/>
            </w:tcBorders>
            <w:vAlign w:val="center"/>
          </w:tcPr>
          <w:p w14:paraId="7E301D21">
            <w:pPr>
              <w:ind w:firstLine="420"/>
              <w:jc w:val="center"/>
              <w:rPr>
                <w:rFonts w:cs="Times New Roman"/>
                <w:color w:val="000000"/>
                <w:sz w:val="21"/>
                <w:szCs w:val="21"/>
              </w:rPr>
            </w:pPr>
          </w:p>
        </w:tc>
        <w:tc>
          <w:tcPr>
            <w:tcW w:w="731" w:type="pct"/>
            <w:tcBorders>
              <w:top w:val="single" w:color="auto" w:sz="4" w:space="0"/>
              <w:left w:val="single" w:color="auto" w:sz="4" w:space="0"/>
              <w:bottom w:val="single" w:color="auto" w:sz="4" w:space="0"/>
              <w:right w:val="single" w:color="auto" w:sz="4" w:space="0"/>
            </w:tcBorders>
            <w:noWrap/>
            <w:vAlign w:val="center"/>
          </w:tcPr>
          <w:p w14:paraId="16DA8948">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A2</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58D1403C">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文化设施用地</w:t>
            </w:r>
          </w:p>
        </w:tc>
        <w:tc>
          <w:tcPr>
            <w:tcW w:w="885" w:type="pct"/>
            <w:vMerge w:val="restart"/>
            <w:tcBorders>
              <w:top w:val="single" w:color="auto" w:sz="4" w:space="0"/>
              <w:left w:val="single" w:color="auto" w:sz="4" w:space="0"/>
              <w:right w:val="single" w:color="auto" w:sz="4" w:space="0"/>
            </w:tcBorders>
            <w:noWrap/>
            <w:vAlign w:val="center"/>
          </w:tcPr>
          <w:p w14:paraId="6E9A16A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0.168</w:t>
            </w:r>
          </w:p>
        </w:tc>
        <w:tc>
          <w:tcPr>
            <w:tcW w:w="991" w:type="pct"/>
            <w:vMerge w:val="restart"/>
            <w:tcBorders>
              <w:top w:val="single" w:color="auto" w:sz="4" w:space="0"/>
              <w:left w:val="single" w:color="auto" w:sz="4" w:space="0"/>
              <w:right w:val="single" w:color="auto" w:sz="4" w:space="0"/>
            </w:tcBorders>
            <w:noWrap/>
            <w:vAlign w:val="center"/>
          </w:tcPr>
          <w:p w14:paraId="28643B9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0.15</w:t>
            </w:r>
          </w:p>
        </w:tc>
      </w:tr>
      <w:tr w14:paraId="33ED3EB8">
        <w:tblPrEx>
          <w:tblCellMar>
            <w:top w:w="0" w:type="dxa"/>
            <w:left w:w="108" w:type="dxa"/>
            <w:bottom w:w="0" w:type="dxa"/>
            <w:right w:w="108" w:type="dxa"/>
          </w:tblCellMar>
        </w:tblPrEx>
        <w:trPr>
          <w:trHeight w:val="285" w:hRule="atLeast"/>
        </w:trPr>
        <w:tc>
          <w:tcPr>
            <w:tcW w:w="620" w:type="pct"/>
            <w:vMerge w:val="continue"/>
            <w:tcBorders>
              <w:top w:val="single" w:color="auto" w:sz="4" w:space="0"/>
              <w:left w:val="single" w:color="auto" w:sz="4" w:space="0"/>
              <w:bottom w:val="single" w:color="auto" w:sz="4" w:space="0"/>
              <w:right w:val="single" w:color="auto" w:sz="4" w:space="0"/>
            </w:tcBorders>
            <w:vAlign w:val="center"/>
          </w:tcPr>
          <w:p w14:paraId="5622D704">
            <w:pPr>
              <w:ind w:firstLine="420"/>
              <w:jc w:val="center"/>
              <w:rPr>
                <w:rFonts w:cs="Times New Roman"/>
                <w:color w:val="000000"/>
                <w:sz w:val="21"/>
                <w:szCs w:val="21"/>
              </w:rPr>
            </w:pPr>
          </w:p>
        </w:tc>
        <w:tc>
          <w:tcPr>
            <w:tcW w:w="731" w:type="pct"/>
            <w:tcBorders>
              <w:top w:val="single" w:color="auto" w:sz="4" w:space="0"/>
              <w:left w:val="single" w:color="auto" w:sz="4" w:space="0"/>
              <w:bottom w:val="single" w:color="auto" w:sz="4" w:space="0"/>
              <w:right w:val="single" w:color="auto" w:sz="4" w:space="0"/>
            </w:tcBorders>
            <w:noWrap/>
            <w:vAlign w:val="center"/>
          </w:tcPr>
          <w:p w14:paraId="119FA9D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w:t>
            </w:r>
            <w:r>
              <w:rPr>
                <w:rFonts w:hint="eastAsia" w:eastAsia="宋体" w:cs="Times New Roman"/>
                <w:color w:val="000000"/>
                <w:kern w:val="0"/>
                <w:sz w:val="21"/>
                <w:szCs w:val="21"/>
                <w:lang w:bidi="ar"/>
              </w:rPr>
              <w:t>3</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35447554">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教育科研</w:t>
            </w:r>
            <w:r>
              <w:rPr>
                <w:rFonts w:cs="Times New Roman"/>
                <w:color w:val="000000"/>
                <w:kern w:val="0"/>
                <w:sz w:val="21"/>
                <w:szCs w:val="21"/>
                <w:lang w:bidi="ar"/>
              </w:rPr>
              <w:t>用地</w:t>
            </w:r>
          </w:p>
        </w:tc>
        <w:tc>
          <w:tcPr>
            <w:tcW w:w="885" w:type="pct"/>
            <w:vMerge w:val="continue"/>
            <w:tcBorders>
              <w:left w:val="single" w:color="auto" w:sz="4" w:space="0"/>
              <w:right w:val="single" w:color="auto" w:sz="4" w:space="0"/>
            </w:tcBorders>
            <w:noWrap/>
            <w:vAlign w:val="center"/>
          </w:tcPr>
          <w:p w14:paraId="1E55DC87">
            <w:pPr>
              <w:widowControl/>
              <w:spacing w:line="240" w:lineRule="auto"/>
              <w:ind w:firstLine="0" w:firstLineChars="0"/>
              <w:jc w:val="center"/>
              <w:textAlignment w:val="center"/>
              <w:rPr>
                <w:rFonts w:eastAsia="宋体" w:cs="Times New Roman"/>
                <w:color w:val="000000"/>
                <w:sz w:val="21"/>
                <w:szCs w:val="21"/>
              </w:rPr>
            </w:pPr>
          </w:p>
        </w:tc>
        <w:tc>
          <w:tcPr>
            <w:tcW w:w="991" w:type="pct"/>
            <w:vMerge w:val="continue"/>
            <w:tcBorders>
              <w:left w:val="single" w:color="auto" w:sz="4" w:space="0"/>
              <w:right w:val="single" w:color="auto" w:sz="4" w:space="0"/>
            </w:tcBorders>
            <w:noWrap/>
            <w:vAlign w:val="center"/>
          </w:tcPr>
          <w:p w14:paraId="5EF9E5AE">
            <w:pPr>
              <w:widowControl/>
              <w:spacing w:line="240" w:lineRule="auto"/>
              <w:ind w:firstLine="0" w:firstLineChars="0"/>
              <w:jc w:val="center"/>
              <w:textAlignment w:val="center"/>
              <w:rPr>
                <w:rFonts w:cs="Times New Roman"/>
                <w:color w:val="000000"/>
                <w:sz w:val="21"/>
                <w:szCs w:val="21"/>
              </w:rPr>
            </w:pPr>
          </w:p>
        </w:tc>
      </w:tr>
      <w:tr w14:paraId="7E7DCADB">
        <w:tblPrEx>
          <w:tblCellMar>
            <w:top w:w="0" w:type="dxa"/>
            <w:left w:w="108" w:type="dxa"/>
            <w:bottom w:w="0" w:type="dxa"/>
            <w:right w:w="108" w:type="dxa"/>
          </w:tblCellMar>
        </w:tblPrEx>
        <w:trPr>
          <w:trHeight w:val="285" w:hRule="atLeast"/>
        </w:trPr>
        <w:tc>
          <w:tcPr>
            <w:tcW w:w="620" w:type="pct"/>
            <w:vMerge w:val="continue"/>
            <w:tcBorders>
              <w:top w:val="single" w:color="auto" w:sz="4" w:space="0"/>
              <w:left w:val="single" w:color="auto" w:sz="4" w:space="0"/>
              <w:bottom w:val="single" w:color="auto" w:sz="4" w:space="0"/>
              <w:right w:val="single" w:color="auto" w:sz="4" w:space="0"/>
            </w:tcBorders>
            <w:vAlign w:val="center"/>
          </w:tcPr>
          <w:p w14:paraId="2F8BF202">
            <w:pPr>
              <w:ind w:firstLine="420"/>
              <w:jc w:val="center"/>
              <w:rPr>
                <w:rFonts w:cs="Times New Roman"/>
                <w:color w:val="000000"/>
                <w:sz w:val="21"/>
                <w:szCs w:val="21"/>
              </w:rPr>
            </w:pPr>
          </w:p>
        </w:tc>
        <w:tc>
          <w:tcPr>
            <w:tcW w:w="731" w:type="pct"/>
            <w:tcBorders>
              <w:top w:val="single" w:color="auto" w:sz="4" w:space="0"/>
              <w:left w:val="single" w:color="auto" w:sz="4" w:space="0"/>
              <w:bottom w:val="single" w:color="auto" w:sz="4" w:space="0"/>
              <w:right w:val="single" w:color="auto" w:sz="4" w:space="0"/>
            </w:tcBorders>
            <w:noWrap/>
            <w:vAlign w:val="center"/>
          </w:tcPr>
          <w:p w14:paraId="26D01669">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A5</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17F89243">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医疗卫生用地</w:t>
            </w:r>
          </w:p>
        </w:tc>
        <w:tc>
          <w:tcPr>
            <w:tcW w:w="885" w:type="pct"/>
            <w:vMerge w:val="continue"/>
            <w:tcBorders>
              <w:left w:val="single" w:color="auto" w:sz="4" w:space="0"/>
              <w:bottom w:val="single" w:color="auto" w:sz="4" w:space="0"/>
              <w:right w:val="single" w:color="auto" w:sz="4" w:space="0"/>
            </w:tcBorders>
            <w:noWrap/>
            <w:vAlign w:val="center"/>
          </w:tcPr>
          <w:p w14:paraId="360FDF32">
            <w:pPr>
              <w:widowControl/>
              <w:spacing w:line="240" w:lineRule="auto"/>
              <w:ind w:firstLine="0" w:firstLineChars="0"/>
              <w:jc w:val="center"/>
              <w:textAlignment w:val="center"/>
              <w:rPr>
                <w:rFonts w:eastAsia="宋体" w:cs="Times New Roman"/>
                <w:color w:val="000000"/>
                <w:kern w:val="0"/>
                <w:sz w:val="21"/>
                <w:szCs w:val="21"/>
                <w:lang w:bidi="ar"/>
              </w:rPr>
            </w:pPr>
          </w:p>
        </w:tc>
        <w:tc>
          <w:tcPr>
            <w:tcW w:w="991" w:type="pct"/>
            <w:vMerge w:val="continue"/>
            <w:tcBorders>
              <w:left w:val="single" w:color="auto" w:sz="4" w:space="0"/>
              <w:bottom w:val="single" w:color="auto" w:sz="4" w:space="0"/>
              <w:right w:val="single" w:color="auto" w:sz="4" w:space="0"/>
            </w:tcBorders>
            <w:noWrap/>
            <w:vAlign w:val="center"/>
          </w:tcPr>
          <w:p w14:paraId="19F24640">
            <w:pPr>
              <w:widowControl/>
              <w:spacing w:line="240" w:lineRule="auto"/>
              <w:ind w:firstLine="0" w:firstLineChars="0"/>
              <w:jc w:val="center"/>
              <w:textAlignment w:val="center"/>
              <w:rPr>
                <w:rFonts w:cs="Times New Roman"/>
                <w:color w:val="000000"/>
                <w:kern w:val="0"/>
                <w:sz w:val="21"/>
                <w:szCs w:val="21"/>
                <w:lang w:bidi="ar"/>
              </w:rPr>
            </w:pPr>
          </w:p>
        </w:tc>
      </w:tr>
      <w:tr w14:paraId="3670D7CA">
        <w:tblPrEx>
          <w:tblCellMar>
            <w:top w:w="0" w:type="dxa"/>
            <w:left w:w="108" w:type="dxa"/>
            <w:bottom w:w="0" w:type="dxa"/>
            <w:right w:w="108" w:type="dxa"/>
          </w:tblCellMar>
        </w:tblPrEx>
        <w:trPr>
          <w:trHeight w:val="285" w:hRule="atLeast"/>
        </w:trPr>
        <w:tc>
          <w:tcPr>
            <w:tcW w:w="620" w:type="pct"/>
            <w:vMerge w:val="continue"/>
            <w:tcBorders>
              <w:top w:val="single" w:color="auto" w:sz="4" w:space="0"/>
              <w:left w:val="single" w:color="auto" w:sz="4" w:space="0"/>
              <w:bottom w:val="single" w:color="auto" w:sz="4" w:space="0"/>
              <w:right w:val="single" w:color="auto" w:sz="4" w:space="0"/>
            </w:tcBorders>
            <w:vAlign w:val="center"/>
          </w:tcPr>
          <w:p w14:paraId="3ADC29F2">
            <w:pPr>
              <w:ind w:firstLine="420"/>
              <w:jc w:val="center"/>
              <w:rPr>
                <w:rFonts w:cs="Times New Roman"/>
                <w:color w:val="000000"/>
                <w:sz w:val="21"/>
                <w:szCs w:val="21"/>
              </w:rPr>
            </w:pPr>
          </w:p>
        </w:tc>
        <w:tc>
          <w:tcPr>
            <w:tcW w:w="731" w:type="pct"/>
            <w:tcBorders>
              <w:top w:val="single" w:color="auto" w:sz="4" w:space="0"/>
              <w:left w:val="single" w:color="auto" w:sz="4" w:space="0"/>
              <w:bottom w:val="single" w:color="auto" w:sz="4" w:space="0"/>
              <w:right w:val="single" w:color="auto" w:sz="4" w:space="0"/>
            </w:tcBorders>
            <w:noWrap/>
            <w:vAlign w:val="center"/>
          </w:tcPr>
          <w:p w14:paraId="2B42027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A9</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1E64F84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宗教设施用地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22968BD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0.236</w:t>
            </w:r>
          </w:p>
        </w:tc>
        <w:tc>
          <w:tcPr>
            <w:tcW w:w="991" w:type="pct"/>
            <w:tcBorders>
              <w:top w:val="single" w:color="auto" w:sz="4" w:space="0"/>
              <w:left w:val="single" w:color="auto" w:sz="4" w:space="0"/>
              <w:bottom w:val="single" w:color="auto" w:sz="4" w:space="0"/>
              <w:right w:val="single" w:color="auto" w:sz="4" w:space="0"/>
            </w:tcBorders>
            <w:noWrap/>
            <w:vAlign w:val="center"/>
          </w:tcPr>
          <w:p w14:paraId="047FD09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0.22</w:t>
            </w:r>
          </w:p>
        </w:tc>
      </w:tr>
      <w:tr w14:paraId="17981304">
        <w:tblPrEx>
          <w:tblCellMar>
            <w:top w:w="0" w:type="dxa"/>
            <w:left w:w="108" w:type="dxa"/>
            <w:bottom w:w="0" w:type="dxa"/>
            <w:right w:w="108" w:type="dxa"/>
          </w:tblCellMar>
        </w:tblPrEx>
        <w:trPr>
          <w:trHeight w:val="285" w:hRule="atLeast"/>
        </w:trPr>
        <w:tc>
          <w:tcPr>
            <w:tcW w:w="1352" w:type="pct"/>
            <w:gridSpan w:val="2"/>
            <w:tcBorders>
              <w:top w:val="single" w:color="auto" w:sz="4" w:space="0"/>
              <w:left w:val="single" w:color="auto" w:sz="4" w:space="0"/>
              <w:bottom w:val="single" w:color="auto" w:sz="4" w:space="0"/>
              <w:right w:val="single" w:color="auto" w:sz="4" w:space="0"/>
            </w:tcBorders>
            <w:noWrap/>
            <w:vAlign w:val="center"/>
          </w:tcPr>
          <w:p w14:paraId="2213320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B</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55741C7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商业服务业设施用地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6275428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1.234</w:t>
            </w:r>
          </w:p>
        </w:tc>
        <w:tc>
          <w:tcPr>
            <w:tcW w:w="991" w:type="pct"/>
            <w:tcBorders>
              <w:top w:val="single" w:color="auto" w:sz="4" w:space="0"/>
              <w:left w:val="single" w:color="auto" w:sz="4" w:space="0"/>
              <w:bottom w:val="single" w:color="auto" w:sz="4" w:space="0"/>
              <w:right w:val="single" w:color="auto" w:sz="4" w:space="0"/>
            </w:tcBorders>
            <w:noWrap/>
            <w:vAlign w:val="center"/>
          </w:tcPr>
          <w:p w14:paraId="4786C09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1.13</w:t>
            </w:r>
          </w:p>
        </w:tc>
      </w:tr>
      <w:tr w14:paraId="53B08AB0">
        <w:tblPrEx>
          <w:tblCellMar>
            <w:top w:w="0" w:type="dxa"/>
            <w:left w:w="108" w:type="dxa"/>
            <w:bottom w:w="0" w:type="dxa"/>
            <w:right w:w="108" w:type="dxa"/>
          </w:tblCellMar>
        </w:tblPrEx>
        <w:trPr>
          <w:trHeight w:val="285" w:hRule="atLeast"/>
        </w:trPr>
        <w:tc>
          <w:tcPr>
            <w:tcW w:w="1352" w:type="pct"/>
            <w:gridSpan w:val="2"/>
            <w:tcBorders>
              <w:top w:val="single" w:color="auto" w:sz="4" w:space="0"/>
              <w:left w:val="single" w:color="auto" w:sz="4" w:space="0"/>
              <w:bottom w:val="single" w:color="auto" w:sz="4" w:space="0"/>
              <w:right w:val="single" w:color="auto" w:sz="4" w:space="0"/>
            </w:tcBorders>
            <w:noWrap/>
            <w:vAlign w:val="center"/>
          </w:tcPr>
          <w:p w14:paraId="401E3AF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M</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62C936F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工业用地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5C4EEA7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0.549</w:t>
            </w:r>
          </w:p>
        </w:tc>
        <w:tc>
          <w:tcPr>
            <w:tcW w:w="991" w:type="pct"/>
            <w:tcBorders>
              <w:top w:val="single" w:color="auto" w:sz="4" w:space="0"/>
              <w:left w:val="single" w:color="auto" w:sz="4" w:space="0"/>
              <w:bottom w:val="single" w:color="auto" w:sz="4" w:space="0"/>
              <w:right w:val="single" w:color="auto" w:sz="4" w:space="0"/>
            </w:tcBorders>
            <w:noWrap/>
            <w:vAlign w:val="center"/>
          </w:tcPr>
          <w:p w14:paraId="5A85A24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0.50</w:t>
            </w:r>
          </w:p>
        </w:tc>
      </w:tr>
      <w:tr w14:paraId="42221493">
        <w:tblPrEx>
          <w:tblCellMar>
            <w:top w:w="0" w:type="dxa"/>
            <w:left w:w="108" w:type="dxa"/>
            <w:bottom w:w="0" w:type="dxa"/>
            <w:right w:w="108" w:type="dxa"/>
          </w:tblCellMar>
        </w:tblPrEx>
        <w:trPr>
          <w:trHeight w:val="285" w:hRule="atLeast"/>
        </w:trPr>
        <w:tc>
          <w:tcPr>
            <w:tcW w:w="1352" w:type="pct"/>
            <w:gridSpan w:val="2"/>
            <w:tcBorders>
              <w:top w:val="single" w:color="auto" w:sz="4" w:space="0"/>
              <w:left w:val="single" w:color="auto" w:sz="4" w:space="0"/>
              <w:bottom w:val="single" w:color="auto" w:sz="4" w:space="0"/>
              <w:right w:val="single" w:color="auto" w:sz="4" w:space="0"/>
            </w:tcBorders>
            <w:noWrap/>
            <w:vAlign w:val="center"/>
          </w:tcPr>
          <w:p w14:paraId="36C5618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4D3C090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物流仓储用地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133260B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0.004</w:t>
            </w:r>
          </w:p>
        </w:tc>
        <w:tc>
          <w:tcPr>
            <w:tcW w:w="991" w:type="pct"/>
            <w:tcBorders>
              <w:top w:val="single" w:color="auto" w:sz="4" w:space="0"/>
              <w:left w:val="single" w:color="auto" w:sz="4" w:space="0"/>
              <w:bottom w:val="single" w:color="auto" w:sz="4" w:space="0"/>
              <w:right w:val="single" w:color="auto" w:sz="4" w:space="0"/>
            </w:tcBorders>
            <w:noWrap/>
            <w:vAlign w:val="center"/>
          </w:tcPr>
          <w:p w14:paraId="0EB49E1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0.004</w:t>
            </w:r>
          </w:p>
        </w:tc>
      </w:tr>
      <w:tr w14:paraId="79E3CD72">
        <w:tblPrEx>
          <w:tblCellMar>
            <w:top w:w="0" w:type="dxa"/>
            <w:left w:w="108" w:type="dxa"/>
            <w:bottom w:w="0" w:type="dxa"/>
            <w:right w:w="108" w:type="dxa"/>
          </w:tblCellMar>
        </w:tblPrEx>
        <w:trPr>
          <w:trHeight w:val="285" w:hRule="atLeast"/>
        </w:trPr>
        <w:tc>
          <w:tcPr>
            <w:tcW w:w="1352" w:type="pct"/>
            <w:gridSpan w:val="2"/>
            <w:tcBorders>
              <w:top w:val="single" w:color="auto" w:sz="4" w:space="0"/>
              <w:left w:val="single" w:color="auto" w:sz="4" w:space="0"/>
              <w:bottom w:val="single" w:color="auto" w:sz="4" w:space="0"/>
              <w:right w:val="single" w:color="auto" w:sz="4" w:space="0"/>
            </w:tcBorders>
            <w:noWrap/>
            <w:vAlign w:val="center"/>
          </w:tcPr>
          <w:p w14:paraId="307C300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S</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274B7A9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道路与交通设施用地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15AA20D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2.552</w:t>
            </w:r>
          </w:p>
        </w:tc>
        <w:tc>
          <w:tcPr>
            <w:tcW w:w="991" w:type="pct"/>
            <w:tcBorders>
              <w:top w:val="single" w:color="auto" w:sz="4" w:space="0"/>
              <w:left w:val="single" w:color="auto" w:sz="4" w:space="0"/>
              <w:bottom w:val="single" w:color="auto" w:sz="4" w:space="0"/>
              <w:right w:val="single" w:color="auto" w:sz="4" w:space="0"/>
            </w:tcBorders>
            <w:noWrap/>
            <w:vAlign w:val="center"/>
          </w:tcPr>
          <w:p w14:paraId="3AB9830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2.33</w:t>
            </w:r>
          </w:p>
        </w:tc>
      </w:tr>
      <w:tr w14:paraId="193EF8D1">
        <w:tblPrEx>
          <w:tblCellMar>
            <w:top w:w="0" w:type="dxa"/>
            <w:left w:w="108" w:type="dxa"/>
            <w:bottom w:w="0" w:type="dxa"/>
            <w:right w:w="108" w:type="dxa"/>
          </w:tblCellMar>
        </w:tblPrEx>
        <w:trPr>
          <w:trHeight w:val="285" w:hRule="atLeast"/>
        </w:trPr>
        <w:tc>
          <w:tcPr>
            <w:tcW w:w="1352" w:type="pct"/>
            <w:gridSpan w:val="2"/>
            <w:tcBorders>
              <w:top w:val="single" w:color="auto" w:sz="4" w:space="0"/>
              <w:left w:val="single" w:color="auto" w:sz="4" w:space="0"/>
              <w:bottom w:val="single" w:color="auto" w:sz="4" w:space="0"/>
              <w:right w:val="single" w:color="auto" w:sz="4" w:space="0"/>
            </w:tcBorders>
            <w:noWrap/>
            <w:vAlign w:val="center"/>
          </w:tcPr>
          <w:p w14:paraId="334D99E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U</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431721B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公用设施用地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6974622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0.7</w:t>
            </w:r>
          </w:p>
        </w:tc>
        <w:tc>
          <w:tcPr>
            <w:tcW w:w="991" w:type="pct"/>
            <w:tcBorders>
              <w:top w:val="single" w:color="auto" w:sz="4" w:space="0"/>
              <w:left w:val="single" w:color="auto" w:sz="4" w:space="0"/>
              <w:bottom w:val="single" w:color="auto" w:sz="4" w:space="0"/>
              <w:right w:val="single" w:color="auto" w:sz="4" w:space="0"/>
            </w:tcBorders>
            <w:noWrap/>
            <w:vAlign w:val="center"/>
          </w:tcPr>
          <w:p w14:paraId="30E6971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0.64</w:t>
            </w:r>
          </w:p>
        </w:tc>
      </w:tr>
      <w:tr w14:paraId="64542F34">
        <w:tblPrEx>
          <w:tblCellMar>
            <w:top w:w="0" w:type="dxa"/>
            <w:left w:w="108" w:type="dxa"/>
            <w:bottom w:w="0" w:type="dxa"/>
            <w:right w:w="108" w:type="dxa"/>
          </w:tblCellMar>
        </w:tblPrEx>
        <w:trPr>
          <w:trHeight w:val="285" w:hRule="atLeast"/>
        </w:trPr>
        <w:tc>
          <w:tcPr>
            <w:tcW w:w="1352" w:type="pct"/>
            <w:gridSpan w:val="2"/>
            <w:tcBorders>
              <w:top w:val="single" w:color="auto" w:sz="4" w:space="0"/>
              <w:left w:val="single" w:color="auto" w:sz="4" w:space="0"/>
              <w:bottom w:val="single" w:color="auto" w:sz="4" w:space="0"/>
              <w:right w:val="single" w:color="auto" w:sz="4" w:space="0"/>
            </w:tcBorders>
            <w:noWrap/>
            <w:vAlign w:val="center"/>
          </w:tcPr>
          <w:p w14:paraId="1FDC2AE4">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G</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5C6632C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绿地与广场用地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57B8221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0.018</w:t>
            </w:r>
          </w:p>
        </w:tc>
        <w:tc>
          <w:tcPr>
            <w:tcW w:w="991" w:type="pct"/>
            <w:tcBorders>
              <w:top w:val="single" w:color="auto" w:sz="4" w:space="0"/>
              <w:left w:val="single" w:color="auto" w:sz="4" w:space="0"/>
              <w:bottom w:val="single" w:color="auto" w:sz="4" w:space="0"/>
              <w:right w:val="single" w:color="auto" w:sz="4" w:space="0"/>
            </w:tcBorders>
            <w:noWrap/>
            <w:vAlign w:val="center"/>
          </w:tcPr>
          <w:p w14:paraId="4DFFAB1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0.02</w:t>
            </w:r>
          </w:p>
        </w:tc>
      </w:tr>
      <w:tr w14:paraId="64469D8A">
        <w:tblPrEx>
          <w:tblCellMar>
            <w:top w:w="0" w:type="dxa"/>
            <w:left w:w="108" w:type="dxa"/>
            <w:bottom w:w="0" w:type="dxa"/>
            <w:right w:w="108" w:type="dxa"/>
          </w:tblCellMar>
        </w:tblPrEx>
        <w:trPr>
          <w:trHeight w:val="285" w:hRule="atLeast"/>
        </w:trPr>
        <w:tc>
          <w:tcPr>
            <w:tcW w:w="1352" w:type="pct"/>
            <w:gridSpan w:val="2"/>
            <w:tcBorders>
              <w:top w:val="single" w:color="auto" w:sz="4" w:space="0"/>
              <w:left w:val="single" w:color="auto" w:sz="4" w:space="0"/>
              <w:bottom w:val="single" w:color="auto" w:sz="4" w:space="0"/>
              <w:right w:val="single" w:color="auto" w:sz="4" w:space="0"/>
            </w:tcBorders>
            <w:noWrap/>
            <w:vAlign w:val="center"/>
          </w:tcPr>
          <w:p w14:paraId="0CA3DC8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H5</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054FB31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采矿用地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5D96F60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1.88</w:t>
            </w:r>
          </w:p>
        </w:tc>
        <w:tc>
          <w:tcPr>
            <w:tcW w:w="991" w:type="pct"/>
            <w:tcBorders>
              <w:top w:val="single" w:color="auto" w:sz="4" w:space="0"/>
              <w:left w:val="single" w:color="auto" w:sz="4" w:space="0"/>
              <w:bottom w:val="single" w:color="auto" w:sz="4" w:space="0"/>
              <w:right w:val="single" w:color="auto" w:sz="4" w:space="0"/>
            </w:tcBorders>
            <w:noWrap/>
            <w:vAlign w:val="center"/>
          </w:tcPr>
          <w:p w14:paraId="0368BDD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1.72</w:t>
            </w:r>
          </w:p>
        </w:tc>
      </w:tr>
      <w:tr w14:paraId="2A032049">
        <w:tblPrEx>
          <w:tblCellMar>
            <w:top w:w="0" w:type="dxa"/>
            <w:left w:w="108" w:type="dxa"/>
            <w:bottom w:w="0" w:type="dxa"/>
            <w:right w:w="108" w:type="dxa"/>
          </w:tblCellMar>
        </w:tblPrEx>
        <w:trPr>
          <w:trHeight w:val="285" w:hRule="atLeast"/>
        </w:trPr>
        <w:tc>
          <w:tcPr>
            <w:tcW w:w="1352" w:type="pct"/>
            <w:gridSpan w:val="2"/>
            <w:tcBorders>
              <w:top w:val="single" w:color="auto" w:sz="4" w:space="0"/>
              <w:left w:val="single" w:color="auto" w:sz="4" w:space="0"/>
              <w:bottom w:val="single" w:color="auto" w:sz="4" w:space="0"/>
              <w:right w:val="single" w:color="auto" w:sz="4" w:space="0"/>
            </w:tcBorders>
            <w:noWrap/>
            <w:vAlign w:val="center"/>
          </w:tcPr>
          <w:p w14:paraId="0416B43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760B755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非建设用地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30A19DF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98.696</w:t>
            </w:r>
          </w:p>
        </w:tc>
        <w:tc>
          <w:tcPr>
            <w:tcW w:w="991" w:type="pct"/>
            <w:tcBorders>
              <w:top w:val="single" w:color="auto" w:sz="4" w:space="0"/>
              <w:left w:val="single" w:color="auto" w:sz="4" w:space="0"/>
              <w:bottom w:val="single" w:color="auto" w:sz="4" w:space="0"/>
              <w:right w:val="single" w:color="auto" w:sz="4" w:space="0"/>
            </w:tcBorders>
            <w:noWrap/>
            <w:vAlign w:val="center"/>
          </w:tcPr>
          <w:p w14:paraId="4336D7D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90.22</w:t>
            </w:r>
          </w:p>
        </w:tc>
      </w:tr>
      <w:tr w14:paraId="4BAE31C6">
        <w:tblPrEx>
          <w:tblCellMar>
            <w:top w:w="0" w:type="dxa"/>
            <w:left w:w="108" w:type="dxa"/>
            <w:bottom w:w="0" w:type="dxa"/>
            <w:right w:w="108" w:type="dxa"/>
          </w:tblCellMar>
        </w:tblPrEx>
        <w:trPr>
          <w:trHeight w:val="285" w:hRule="atLeast"/>
        </w:trPr>
        <w:tc>
          <w:tcPr>
            <w:tcW w:w="620" w:type="pct"/>
            <w:vMerge w:val="restart"/>
            <w:tcBorders>
              <w:top w:val="single" w:color="auto" w:sz="4" w:space="0"/>
              <w:left w:val="single" w:color="auto" w:sz="4" w:space="0"/>
              <w:bottom w:val="single" w:color="auto" w:sz="4" w:space="0"/>
              <w:right w:val="single" w:color="auto" w:sz="4" w:space="0"/>
            </w:tcBorders>
            <w:noWrap/>
            <w:vAlign w:val="center"/>
          </w:tcPr>
          <w:p w14:paraId="54FA477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731" w:type="pct"/>
            <w:tcBorders>
              <w:top w:val="single" w:color="auto" w:sz="4" w:space="0"/>
              <w:left w:val="single" w:color="auto" w:sz="4" w:space="0"/>
              <w:bottom w:val="single" w:color="auto" w:sz="4" w:space="0"/>
              <w:right w:val="single" w:color="auto" w:sz="4" w:space="0"/>
            </w:tcBorders>
            <w:vAlign w:val="center"/>
          </w:tcPr>
          <w:p w14:paraId="2093995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E1</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596F3A0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水域</w:t>
            </w:r>
          </w:p>
        </w:tc>
        <w:tc>
          <w:tcPr>
            <w:tcW w:w="885" w:type="pct"/>
            <w:tcBorders>
              <w:top w:val="single" w:color="auto" w:sz="4" w:space="0"/>
              <w:left w:val="single" w:color="auto" w:sz="4" w:space="0"/>
              <w:bottom w:val="single" w:color="auto" w:sz="4" w:space="0"/>
              <w:right w:val="single" w:color="auto" w:sz="4" w:space="0"/>
            </w:tcBorders>
            <w:noWrap/>
            <w:vAlign w:val="center"/>
          </w:tcPr>
          <w:p w14:paraId="1B1330E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11.79</w:t>
            </w:r>
          </w:p>
        </w:tc>
        <w:tc>
          <w:tcPr>
            <w:tcW w:w="991" w:type="pct"/>
            <w:tcBorders>
              <w:top w:val="single" w:color="auto" w:sz="4" w:space="0"/>
              <w:left w:val="single" w:color="auto" w:sz="4" w:space="0"/>
              <w:bottom w:val="single" w:color="auto" w:sz="4" w:space="0"/>
              <w:right w:val="single" w:color="auto" w:sz="4" w:space="0"/>
            </w:tcBorders>
            <w:noWrap/>
            <w:vAlign w:val="center"/>
          </w:tcPr>
          <w:p w14:paraId="4A481DD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10.78</w:t>
            </w:r>
          </w:p>
        </w:tc>
      </w:tr>
      <w:tr w14:paraId="4E2F20F2">
        <w:tblPrEx>
          <w:tblCellMar>
            <w:top w:w="0" w:type="dxa"/>
            <w:left w:w="108" w:type="dxa"/>
            <w:bottom w:w="0" w:type="dxa"/>
            <w:right w:w="108" w:type="dxa"/>
          </w:tblCellMar>
        </w:tblPrEx>
        <w:trPr>
          <w:trHeight w:val="285" w:hRule="atLeast"/>
        </w:trPr>
        <w:tc>
          <w:tcPr>
            <w:tcW w:w="620" w:type="pct"/>
            <w:vMerge w:val="continue"/>
            <w:tcBorders>
              <w:top w:val="single" w:color="auto" w:sz="4" w:space="0"/>
              <w:left w:val="single" w:color="auto" w:sz="4" w:space="0"/>
              <w:bottom w:val="single" w:color="auto" w:sz="4" w:space="0"/>
              <w:right w:val="single" w:color="auto" w:sz="4" w:space="0"/>
            </w:tcBorders>
            <w:noWrap/>
            <w:vAlign w:val="center"/>
          </w:tcPr>
          <w:p w14:paraId="74B86340">
            <w:pPr>
              <w:ind w:firstLine="420"/>
              <w:jc w:val="center"/>
              <w:rPr>
                <w:rFonts w:cs="Times New Roman"/>
                <w:color w:val="000000"/>
                <w:sz w:val="21"/>
                <w:szCs w:val="21"/>
              </w:rPr>
            </w:pPr>
          </w:p>
        </w:tc>
        <w:tc>
          <w:tcPr>
            <w:tcW w:w="731" w:type="pct"/>
            <w:tcBorders>
              <w:top w:val="single" w:color="auto" w:sz="4" w:space="0"/>
              <w:left w:val="single" w:color="auto" w:sz="4" w:space="0"/>
              <w:bottom w:val="single" w:color="auto" w:sz="4" w:space="0"/>
              <w:right w:val="single" w:color="auto" w:sz="4" w:space="0"/>
            </w:tcBorders>
            <w:vAlign w:val="center"/>
          </w:tcPr>
          <w:p w14:paraId="60C484C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6E26FAA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农林用地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686A6DC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86.886</w:t>
            </w:r>
          </w:p>
        </w:tc>
        <w:tc>
          <w:tcPr>
            <w:tcW w:w="991" w:type="pct"/>
            <w:tcBorders>
              <w:top w:val="single" w:color="auto" w:sz="4" w:space="0"/>
              <w:left w:val="single" w:color="auto" w:sz="4" w:space="0"/>
              <w:bottom w:val="single" w:color="auto" w:sz="4" w:space="0"/>
              <w:right w:val="single" w:color="auto" w:sz="4" w:space="0"/>
            </w:tcBorders>
            <w:noWrap/>
            <w:vAlign w:val="center"/>
          </w:tcPr>
          <w:p w14:paraId="56030DA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79.42</w:t>
            </w:r>
          </w:p>
        </w:tc>
      </w:tr>
      <w:tr w14:paraId="289362B6">
        <w:tblPrEx>
          <w:tblCellMar>
            <w:top w:w="0" w:type="dxa"/>
            <w:left w:w="108" w:type="dxa"/>
            <w:bottom w:w="0" w:type="dxa"/>
            <w:right w:w="108" w:type="dxa"/>
          </w:tblCellMar>
        </w:tblPrEx>
        <w:trPr>
          <w:trHeight w:val="285" w:hRule="atLeast"/>
        </w:trPr>
        <w:tc>
          <w:tcPr>
            <w:tcW w:w="620" w:type="pct"/>
            <w:vMerge w:val="continue"/>
            <w:tcBorders>
              <w:top w:val="single" w:color="auto" w:sz="4" w:space="0"/>
              <w:left w:val="single" w:color="auto" w:sz="4" w:space="0"/>
              <w:bottom w:val="single" w:color="auto" w:sz="4" w:space="0"/>
              <w:right w:val="single" w:color="auto" w:sz="4" w:space="0"/>
            </w:tcBorders>
            <w:noWrap/>
            <w:vAlign w:val="center"/>
          </w:tcPr>
          <w:p w14:paraId="010FD1FD">
            <w:pPr>
              <w:ind w:firstLine="420"/>
              <w:jc w:val="center"/>
              <w:rPr>
                <w:rFonts w:cs="Times New Roman"/>
                <w:color w:val="000000"/>
                <w:sz w:val="21"/>
                <w:szCs w:val="21"/>
              </w:rPr>
            </w:pPr>
          </w:p>
        </w:tc>
        <w:tc>
          <w:tcPr>
            <w:tcW w:w="731" w:type="pct"/>
            <w:vMerge w:val="restart"/>
            <w:tcBorders>
              <w:top w:val="single" w:color="auto" w:sz="4" w:space="0"/>
              <w:left w:val="single" w:color="auto" w:sz="4" w:space="0"/>
              <w:bottom w:val="single" w:color="auto" w:sz="4" w:space="0"/>
              <w:right w:val="single" w:color="auto" w:sz="4" w:space="0"/>
            </w:tcBorders>
            <w:vAlign w:val="center"/>
          </w:tcPr>
          <w:p w14:paraId="56F783D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695" w:type="pct"/>
            <w:tcBorders>
              <w:top w:val="single" w:color="auto" w:sz="4" w:space="0"/>
              <w:left w:val="single" w:color="auto" w:sz="4" w:space="0"/>
              <w:bottom w:val="single" w:color="auto" w:sz="4" w:space="0"/>
              <w:right w:val="single" w:color="auto" w:sz="4" w:space="0"/>
            </w:tcBorders>
            <w:noWrap/>
            <w:vAlign w:val="center"/>
          </w:tcPr>
          <w:p w14:paraId="708AB4E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E2a</w:t>
            </w:r>
          </w:p>
        </w:tc>
        <w:tc>
          <w:tcPr>
            <w:tcW w:w="1075" w:type="pct"/>
            <w:tcBorders>
              <w:top w:val="single" w:color="auto" w:sz="4" w:space="0"/>
              <w:left w:val="single" w:color="auto" w:sz="4" w:space="0"/>
              <w:bottom w:val="single" w:color="auto" w:sz="4" w:space="0"/>
              <w:right w:val="single" w:color="auto" w:sz="4" w:space="0"/>
            </w:tcBorders>
            <w:vAlign w:val="center"/>
          </w:tcPr>
          <w:p w14:paraId="144A5A9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耕地</w:t>
            </w:r>
          </w:p>
        </w:tc>
        <w:tc>
          <w:tcPr>
            <w:tcW w:w="885" w:type="pct"/>
            <w:tcBorders>
              <w:top w:val="single" w:color="auto" w:sz="4" w:space="0"/>
              <w:left w:val="single" w:color="auto" w:sz="4" w:space="0"/>
              <w:bottom w:val="single" w:color="auto" w:sz="4" w:space="0"/>
              <w:right w:val="single" w:color="auto" w:sz="4" w:space="0"/>
            </w:tcBorders>
            <w:vAlign w:val="center"/>
          </w:tcPr>
          <w:p w14:paraId="0381D22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11.601</w:t>
            </w:r>
          </w:p>
        </w:tc>
        <w:tc>
          <w:tcPr>
            <w:tcW w:w="991" w:type="pct"/>
            <w:tcBorders>
              <w:top w:val="single" w:color="auto" w:sz="4" w:space="0"/>
              <w:left w:val="single" w:color="auto" w:sz="4" w:space="0"/>
              <w:bottom w:val="single" w:color="auto" w:sz="4" w:space="0"/>
              <w:right w:val="single" w:color="auto" w:sz="4" w:space="0"/>
            </w:tcBorders>
            <w:noWrap/>
            <w:vAlign w:val="center"/>
          </w:tcPr>
          <w:p w14:paraId="2669169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10.60</w:t>
            </w:r>
          </w:p>
        </w:tc>
      </w:tr>
      <w:tr w14:paraId="0D30F95F">
        <w:tblPrEx>
          <w:tblCellMar>
            <w:top w:w="0" w:type="dxa"/>
            <w:left w:w="108" w:type="dxa"/>
            <w:bottom w:w="0" w:type="dxa"/>
            <w:right w:w="108" w:type="dxa"/>
          </w:tblCellMar>
        </w:tblPrEx>
        <w:trPr>
          <w:trHeight w:val="285" w:hRule="atLeast"/>
        </w:trPr>
        <w:tc>
          <w:tcPr>
            <w:tcW w:w="620" w:type="pct"/>
            <w:vMerge w:val="continue"/>
            <w:tcBorders>
              <w:top w:val="single" w:color="auto" w:sz="4" w:space="0"/>
              <w:left w:val="single" w:color="auto" w:sz="4" w:space="0"/>
              <w:bottom w:val="single" w:color="auto" w:sz="4" w:space="0"/>
              <w:right w:val="single" w:color="auto" w:sz="4" w:space="0"/>
            </w:tcBorders>
            <w:noWrap/>
            <w:vAlign w:val="center"/>
          </w:tcPr>
          <w:p w14:paraId="393EB623">
            <w:pPr>
              <w:ind w:firstLine="420"/>
              <w:jc w:val="center"/>
              <w:rPr>
                <w:rFonts w:cs="Times New Roman"/>
                <w:color w:val="000000"/>
                <w:sz w:val="21"/>
                <w:szCs w:val="21"/>
              </w:rPr>
            </w:pPr>
          </w:p>
        </w:tc>
        <w:tc>
          <w:tcPr>
            <w:tcW w:w="731" w:type="pct"/>
            <w:vMerge w:val="continue"/>
            <w:tcBorders>
              <w:top w:val="single" w:color="auto" w:sz="4" w:space="0"/>
              <w:left w:val="single" w:color="auto" w:sz="4" w:space="0"/>
              <w:bottom w:val="single" w:color="auto" w:sz="4" w:space="0"/>
              <w:right w:val="single" w:color="auto" w:sz="4" w:space="0"/>
            </w:tcBorders>
            <w:vAlign w:val="center"/>
          </w:tcPr>
          <w:p w14:paraId="35DE2446">
            <w:pPr>
              <w:ind w:firstLine="420"/>
              <w:jc w:val="center"/>
              <w:rPr>
                <w:rFonts w:cs="Times New Roman"/>
                <w:color w:val="000000"/>
                <w:sz w:val="21"/>
                <w:szCs w:val="21"/>
              </w:rPr>
            </w:pPr>
          </w:p>
        </w:tc>
        <w:tc>
          <w:tcPr>
            <w:tcW w:w="695" w:type="pct"/>
            <w:tcBorders>
              <w:top w:val="single" w:color="auto" w:sz="4" w:space="0"/>
              <w:left w:val="single" w:color="auto" w:sz="4" w:space="0"/>
              <w:bottom w:val="single" w:color="auto" w:sz="4" w:space="0"/>
              <w:right w:val="single" w:color="auto" w:sz="4" w:space="0"/>
            </w:tcBorders>
            <w:noWrap/>
            <w:vAlign w:val="center"/>
          </w:tcPr>
          <w:p w14:paraId="262256D1">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E2b</w:t>
            </w:r>
          </w:p>
        </w:tc>
        <w:tc>
          <w:tcPr>
            <w:tcW w:w="1075" w:type="pct"/>
            <w:tcBorders>
              <w:top w:val="single" w:color="auto" w:sz="4" w:space="0"/>
              <w:left w:val="single" w:color="auto" w:sz="4" w:space="0"/>
              <w:bottom w:val="single" w:color="auto" w:sz="4" w:space="0"/>
              <w:right w:val="single" w:color="auto" w:sz="4" w:space="0"/>
            </w:tcBorders>
            <w:vAlign w:val="center"/>
          </w:tcPr>
          <w:p w14:paraId="0E694B0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园地</w:t>
            </w:r>
          </w:p>
        </w:tc>
        <w:tc>
          <w:tcPr>
            <w:tcW w:w="885" w:type="pct"/>
            <w:tcBorders>
              <w:top w:val="single" w:color="auto" w:sz="4" w:space="0"/>
              <w:left w:val="single" w:color="auto" w:sz="4" w:space="0"/>
              <w:bottom w:val="single" w:color="auto" w:sz="4" w:space="0"/>
              <w:right w:val="single" w:color="auto" w:sz="4" w:space="0"/>
            </w:tcBorders>
            <w:vAlign w:val="center"/>
          </w:tcPr>
          <w:p w14:paraId="7870CAE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9.289</w:t>
            </w:r>
          </w:p>
        </w:tc>
        <w:tc>
          <w:tcPr>
            <w:tcW w:w="991" w:type="pct"/>
            <w:tcBorders>
              <w:top w:val="single" w:color="auto" w:sz="4" w:space="0"/>
              <w:left w:val="single" w:color="auto" w:sz="4" w:space="0"/>
              <w:bottom w:val="single" w:color="auto" w:sz="4" w:space="0"/>
              <w:right w:val="single" w:color="auto" w:sz="4" w:space="0"/>
            </w:tcBorders>
            <w:noWrap/>
            <w:vAlign w:val="center"/>
          </w:tcPr>
          <w:p w14:paraId="1A24B49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8.49</w:t>
            </w:r>
          </w:p>
        </w:tc>
      </w:tr>
      <w:tr w14:paraId="4077D8A2">
        <w:tblPrEx>
          <w:tblCellMar>
            <w:top w:w="0" w:type="dxa"/>
            <w:left w:w="108" w:type="dxa"/>
            <w:bottom w:w="0" w:type="dxa"/>
            <w:right w:w="108" w:type="dxa"/>
          </w:tblCellMar>
        </w:tblPrEx>
        <w:trPr>
          <w:trHeight w:val="285" w:hRule="atLeast"/>
        </w:trPr>
        <w:tc>
          <w:tcPr>
            <w:tcW w:w="620" w:type="pct"/>
            <w:vMerge w:val="continue"/>
            <w:tcBorders>
              <w:top w:val="single" w:color="auto" w:sz="4" w:space="0"/>
              <w:left w:val="single" w:color="auto" w:sz="4" w:space="0"/>
              <w:bottom w:val="single" w:color="auto" w:sz="4" w:space="0"/>
              <w:right w:val="single" w:color="auto" w:sz="4" w:space="0"/>
            </w:tcBorders>
            <w:noWrap/>
            <w:vAlign w:val="center"/>
          </w:tcPr>
          <w:p w14:paraId="2ADB764C">
            <w:pPr>
              <w:ind w:firstLine="420"/>
              <w:jc w:val="center"/>
              <w:rPr>
                <w:rFonts w:cs="Times New Roman"/>
                <w:color w:val="000000"/>
                <w:sz w:val="21"/>
                <w:szCs w:val="21"/>
              </w:rPr>
            </w:pPr>
          </w:p>
        </w:tc>
        <w:tc>
          <w:tcPr>
            <w:tcW w:w="731" w:type="pct"/>
            <w:vMerge w:val="continue"/>
            <w:tcBorders>
              <w:top w:val="single" w:color="auto" w:sz="4" w:space="0"/>
              <w:left w:val="single" w:color="auto" w:sz="4" w:space="0"/>
              <w:bottom w:val="single" w:color="auto" w:sz="4" w:space="0"/>
              <w:right w:val="single" w:color="auto" w:sz="4" w:space="0"/>
            </w:tcBorders>
            <w:vAlign w:val="center"/>
          </w:tcPr>
          <w:p w14:paraId="405611B5">
            <w:pPr>
              <w:ind w:firstLine="420"/>
              <w:jc w:val="center"/>
              <w:rPr>
                <w:rFonts w:cs="Times New Roman"/>
                <w:color w:val="000000"/>
                <w:sz w:val="21"/>
                <w:szCs w:val="21"/>
              </w:rPr>
            </w:pPr>
          </w:p>
        </w:tc>
        <w:tc>
          <w:tcPr>
            <w:tcW w:w="695" w:type="pct"/>
            <w:tcBorders>
              <w:top w:val="single" w:color="auto" w:sz="4" w:space="0"/>
              <w:left w:val="single" w:color="auto" w:sz="4" w:space="0"/>
              <w:bottom w:val="single" w:color="auto" w:sz="4" w:space="0"/>
              <w:right w:val="single" w:color="auto" w:sz="4" w:space="0"/>
            </w:tcBorders>
            <w:noWrap/>
            <w:vAlign w:val="center"/>
          </w:tcPr>
          <w:p w14:paraId="40F22D4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E2c</w:t>
            </w:r>
          </w:p>
        </w:tc>
        <w:tc>
          <w:tcPr>
            <w:tcW w:w="1075" w:type="pct"/>
            <w:tcBorders>
              <w:top w:val="single" w:color="auto" w:sz="4" w:space="0"/>
              <w:left w:val="single" w:color="auto" w:sz="4" w:space="0"/>
              <w:bottom w:val="single" w:color="auto" w:sz="4" w:space="0"/>
              <w:right w:val="single" w:color="auto" w:sz="4" w:space="0"/>
            </w:tcBorders>
            <w:vAlign w:val="center"/>
          </w:tcPr>
          <w:p w14:paraId="25BF3B6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林地</w:t>
            </w:r>
          </w:p>
        </w:tc>
        <w:tc>
          <w:tcPr>
            <w:tcW w:w="885" w:type="pct"/>
            <w:tcBorders>
              <w:top w:val="single" w:color="auto" w:sz="4" w:space="0"/>
              <w:left w:val="single" w:color="auto" w:sz="4" w:space="0"/>
              <w:bottom w:val="single" w:color="auto" w:sz="4" w:space="0"/>
              <w:right w:val="single" w:color="auto" w:sz="4" w:space="0"/>
            </w:tcBorders>
            <w:vAlign w:val="center"/>
          </w:tcPr>
          <w:p w14:paraId="3455E27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61.25</w:t>
            </w:r>
          </w:p>
        </w:tc>
        <w:tc>
          <w:tcPr>
            <w:tcW w:w="991" w:type="pct"/>
            <w:tcBorders>
              <w:top w:val="single" w:color="auto" w:sz="4" w:space="0"/>
              <w:left w:val="single" w:color="auto" w:sz="4" w:space="0"/>
              <w:bottom w:val="single" w:color="auto" w:sz="4" w:space="0"/>
              <w:right w:val="single" w:color="auto" w:sz="4" w:space="0"/>
            </w:tcBorders>
            <w:noWrap/>
            <w:vAlign w:val="center"/>
          </w:tcPr>
          <w:p w14:paraId="5DDE9E9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55.99</w:t>
            </w:r>
          </w:p>
        </w:tc>
      </w:tr>
      <w:tr w14:paraId="67A5B48E">
        <w:tblPrEx>
          <w:tblCellMar>
            <w:top w:w="0" w:type="dxa"/>
            <w:left w:w="108" w:type="dxa"/>
            <w:bottom w:w="0" w:type="dxa"/>
            <w:right w:w="108" w:type="dxa"/>
          </w:tblCellMar>
        </w:tblPrEx>
        <w:trPr>
          <w:trHeight w:val="285" w:hRule="atLeast"/>
        </w:trPr>
        <w:tc>
          <w:tcPr>
            <w:tcW w:w="620" w:type="pct"/>
            <w:vMerge w:val="continue"/>
            <w:tcBorders>
              <w:top w:val="single" w:color="auto" w:sz="4" w:space="0"/>
              <w:left w:val="single" w:color="auto" w:sz="4" w:space="0"/>
              <w:bottom w:val="single" w:color="auto" w:sz="4" w:space="0"/>
              <w:right w:val="single" w:color="auto" w:sz="4" w:space="0"/>
            </w:tcBorders>
            <w:noWrap/>
            <w:vAlign w:val="center"/>
          </w:tcPr>
          <w:p w14:paraId="50BE9265">
            <w:pPr>
              <w:ind w:firstLine="420"/>
              <w:jc w:val="center"/>
              <w:rPr>
                <w:rFonts w:cs="Times New Roman"/>
                <w:color w:val="000000"/>
                <w:sz w:val="21"/>
                <w:szCs w:val="21"/>
              </w:rPr>
            </w:pPr>
          </w:p>
        </w:tc>
        <w:tc>
          <w:tcPr>
            <w:tcW w:w="731" w:type="pct"/>
            <w:vMerge w:val="continue"/>
            <w:tcBorders>
              <w:top w:val="single" w:color="auto" w:sz="4" w:space="0"/>
              <w:left w:val="single" w:color="auto" w:sz="4" w:space="0"/>
              <w:bottom w:val="single" w:color="auto" w:sz="4" w:space="0"/>
              <w:right w:val="single" w:color="auto" w:sz="4" w:space="0"/>
            </w:tcBorders>
            <w:vAlign w:val="center"/>
          </w:tcPr>
          <w:p w14:paraId="3A031AD6">
            <w:pPr>
              <w:ind w:firstLine="420"/>
              <w:jc w:val="center"/>
              <w:rPr>
                <w:rFonts w:cs="Times New Roman"/>
                <w:color w:val="000000"/>
                <w:sz w:val="21"/>
                <w:szCs w:val="21"/>
              </w:rPr>
            </w:pPr>
          </w:p>
        </w:tc>
        <w:tc>
          <w:tcPr>
            <w:tcW w:w="695" w:type="pct"/>
            <w:tcBorders>
              <w:top w:val="single" w:color="auto" w:sz="4" w:space="0"/>
              <w:left w:val="single" w:color="auto" w:sz="4" w:space="0"/>
              <w:bottom w:val="single" w:color="auto" w:sz="4" w:space="0"/>
              <w:right w:val="single" w:color="auto" w:sz="4" w:space="0"/>
            </w:tcBorders>
            <w:noWrap/>
            <w:vAlign w:val="center"/>
          </w:tcPr>
          <w:p w14:paraId="24295E0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E2d</w:t>
            </w:r>
          </w:p>
        </w:tc>
        <w:tc>
          <w:tcPr>
            <w:tcW w:w="1075" w:type="pct"/>
            <w:tcBorders>
              <w:top w:val="single" w:color="auto" w:sz="4" w:space="0"/>
              <w:left w:val="single" w:color="auto" w:sz="4" w:space="0"/>
              <w:bottom w:val="single" w:color="auto" w:sz="4" w:space="0"/>
              <w:right w:val="single" w:color="auto" w:sz="4" w:space="0"/>
            </w:tcBorders>
            <w:vAlign w:val="center"/>
          </w:tcPr>
          <w:p w14:paraId="62092E0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草地</w:t>
            </w:r>
          </w:p>
        </w:tc>
        <w:tc>
          <w:tcPr>
            <w:tcW w:w="885" w:type="pct"/>
            <w:tcBorders>
              <w:top w:val="single" w:color="auto" w:sz="4" w:space="0"/>
              <w:left w:val="single" w:color="auto" w:sz="4" w:space="0"/>
              <w:bottom w:val="single" w:color="auto" w:sz="4" w:space="0"/>
              <w:right w:val="single" w:color="auto" w:sz="4" w:space="0"/>
            </w:tcBorders>
            <w:vAlign w:val="center"/>
          </w:tcPr>
          <w:p w14:paraId="1537833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1.669</w:t>
            </w:r>
          </w:p>
        </w:tc>
        <w:tc>
          <w:tcPr>
            <w:tcW w:w="991" w:type="pct"/>
            <w:tcBorders>
              <w:top w:val="single" w:color="auto" w:sz="4" w:space="0"/>
              <w:left w:val="single" w:color="auto" w:sz="4" w:space="0"/>
              <w:bottom w:val="single" w:color="auto" w:sz="4" w:space="0"/>
              <w:right w:val="single" w:color="auto" w:sz="4" w:space="0"/>
            </w:tcBorders>
            <w:noWrap/>
            <w:vAlign w:val="center"/>
          </w:tcPr>
          <w:p w14:paraId="0DB158B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1.53</w:t>
            </w:r>
          </w:p>
        </w:tc>
      </w:tr>
      <w:tr w14:paraId="409FEAAE">
        <w:tblPrEx>
          <w:tblCellMar>
            <w:top w:w="0" w:type="dxa"/>
            <w:left w:w="108" w:type="dxa"/>
            <w:bottom w:w="0" w:type="dxa"/>
            <w:right w:w="108" w:type="dxa"/>
          </w:tblCellMar>
        </w:tblPrEx>
        <w:trPr>
          <w:trHeight w:val="285" w:hRule="atLeast"/>
        </w:trPr>
        <w:tc>
          <w:tcPr>
            <w:tcW w:w="620" w:type="pct"/>
            <w:vMerge w:val="continue"/>
            <w:tcBorders>
              <w:top w:val="single" w:color="auto" w:sz="4" w:space="0"/>
              <w:left w:val="single" w:color="auto" w:sz="4" w:space="0"/>
              <w:bottom w:val="single" w:color="auto" w:sz="4" w:space="0"/>
              <w:right w:val="single" w:color="auto" w:sz="4" w:space="0"/>
            </w:tcBorders>
            <w:noWrap/>
            <w:vAlign w:val="center"/>
          </w:tcPr>
          <w:p w14:paraId="5B0C9562">
            <w:pPr>
              <w:ind w:firstLine="420"/>
              <w:jc w:val="center"/>
              <w:rPr>
                <w:rFonts w:cs="Times New Roman"/>
                <w:color w:val="000000"/>
                <w:sz w:val="21"/>
                <w:szCs w:val="21"/>
              </w:rPr>
            </w:pPr>
          </w:p>
        </w:tc>
        <w:tc>
          <w:tcPr>
            <w:tcW w:w="731" w:type="pct"/>
            <w:vMerge w:val="continue"/>
            <w:tcBorders>
              <w:top w:val="single" w:color="auto" w:sz="4" w:space="0"/>
              <w:left w:val="single" w:color="auto" w:sz="4" w:space="0"/>
              <w:bottom w:val="single" w:color="auto" w:sz="4" w:space="0"/>
              <w:right w:val="single" w:color="auto" w:sz="4" w:space="0"/>
            </w:tcBorders>
            <w:vAlign w:val="center"/>
          </w:tcPr>
          <w:p w14:paraId="0CCBBCBA">
            <w:pPr>
              <w:ind w:firstLine="420"/>
              <w:jc w:val="center"/>
              <w:rPr>
                <w:rFonts w:cs="Times New Roman"/>
                <w:color w:val="000000"/>
                <w:sz w:val="21"/>
                <w:szCs w:val="21"/>
              </w:rPr>
            </w:pPr>
          </w:p>
        </w:tc>
        <w:tc>
          <w:tcPr>
            <w:tcW w:w="695" w:type="pct"/>
            <w:tcBorders>
              <w:top w:val="single" w:color="auto" w:sz="4" w:space="0"/>
              <w:left w:val="single" w:color="auto" w:sz="4" w:space="0"/>
              <w:bottom w:val="single" w:color="auto" w:sz="4" w:space="0"/>
              <w:right w:val="single" w:color="auto" w:sz="4" w:space="0"/>
            </w:tcBorders>
            <w:noWrap/>
            <w:vAlign w:val="center"/>
          </w:tcPr>
          <w:p w14:paraId="7F13E32A">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E2f</w:t>
            </w:r>
          </w:p>
        </w:tc>
        <w:tc>
          <w:tcPr>
            <w:tcW w:w="1075" w:type="pct"/>
            <w:tcBorders>
              <w:top w:val="single" w:color="auto" w:sz="4" w:space="0"/>
              <w:left w:val="single" w:color="auto" w:sz="4" w:space="0"/>
              <w:bottom w:val="single" w:color="auto" w:sz="4" w:space="0"/>
              <w:right w:val="single" w:color="auto" w:sz="4" w:space="0"/>
            </w:tcBorders>
            <w:noWrap/>
            <w:vAlign w:val="center"/>
          </w:tcPr>
          <w:p w14:paraId="38FEB9E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设施农用地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1F2F495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3.077</w:t>
            </w:r>
          </w:p>
        </w:tc>
        <w:tc>
          <w:tcPr>
            <w:tcW w:w="991" w:type="pct"/>
            <w:tcBorders>
              <w:top w:val="single" w:color="auto" w:sz="4" w:space="0"/>
              <w:left w:val="single" w:color="auto" w:sz="4" w:space="0"/>
              <w:bottom w:val="single" w:color="auto" w:sz="4" w:space="0"/>
              <w:right w:val="single" w:color="auto" w:sz="4" w:space="0"/>
            </w:tcBorders>
            <w:noWrap/>
            <w:vAlign w:val="center"/>
          </w:tcPr>
          <w:p w14:paraId="741E11D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2.81</w:t>
            </w:r>
          </w:p>
        </w:tc>
      </w:tr>
      <w:tr w14:paraId="286D72CD">
        <w:tblPrEx>
          <w:tblCellMar>
            <w:top w:w="0" w:type="dxa"/>
            <w:left w:w="108" w:type="dxa"/>
            <w:bottom w:w="0" w:type="dxa"/>
            <w:right w:w="108" w:type="dxa"/>
          </w:tblCellMar>
        </w:tblPrEx>
        <w:trPr>
          <w:trHeight w:val="285" w:hRule="atLeast"/>
        </w:trPr>
        <w:tc>
          <w:tcPr>
            <w:tcW w:w="620" w:type="pct"/>
            <w:vMerge w:val="continue"/>
            <w:tcBorders>
              <w:top w:val="single" w:color="auto" w:sz="4" w:space="0"/>
              <w:left w:val="single" w:color="auto" w:sz="4" w:space="0"/>
              <w:bottom w:val="single" w:color="auto" w:sz="4" w:space="0"/>
              <w:right w:val="single" w:color="auto" w:sz="4" w:space="0"/>
            </w:tcBorders>
            <w:noWrap/>
            <w:vAlign w:val="center"/>
          </w:tcPr>
          <w:p w14:paraId="51FAF33F">
            <w:pPr>
              <w:ind w:firstLine="420"/>
              <w:jc w:val="center"/>
              <w:rPr>
                <w:rFonts w:cs="Times New Roman"/>
                <w:color w:val="000000"/>
                <w:sz w:val="21"/>
                <w:szCs w:val="21"/>
              </w:rPr>
            </w:pPr>
          </w:p>
        </w:tc>
        <w:tc>
          <w:tcPr>
            <w:tcW w:w="731" w:type="pct"/>
            <w:tcBorders>
              <w:top w:val="single" w:color="auto" w:sz="4" w:space="0"/>
              <w:left w:val="single" w:color="auto" w:sz="4" w:space="0"/>
              <w:bottom w:val="single" w:color="auto" w:sz="4" w:space="0"/>
              <w:right w:val="single" w:color="auto" w:sz="4" w:space="0"/>
            </w:tcBorders>
            <w:vAlign w:val="center"/>
          </w:tcPr>
          <w:p w14:paraId="23529028">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E9</w:t>
            </w:r>
          </w:p>
        </w:tc>
        <w:tc>
          <w:tcPr>
            <w:tcW w:w="1770" w:type="pct"/>
            <w:gridSpan w:val="2"/>
            <w:tcBorders>
              <w:top w:val="single" w:color="auto" w:sz="4" w:space="0"/>
              <w:left w:val="single" w:color="auto" w:sz="4" w:space="0"/>
              <w:bottom w:val="single" w:color="auto" w:sz="4" w:space="0"/>
              <w:right w:val="single" w:color="auto" w:sz="4" w:space="0"/>
            </w:tcBorders>
            <w:noWrap/>
            <w:vAlign w:val="center"/>
          </w:tcPr>
          <w:p w14:paraId="317100F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其他非建设用地</w:t>
            </w:r>
          </w:p>
        </w:tc>
        <w:tc>
          <w:tcPr>
            <w:tcW w:w="885" w:type="pct"/>
            <w:tcBorders>
              <w:top w:val="single" w:color="auto" w:sz="4" w:space="0"/>
              <w:left w:val="single" w:color="auto" w:sz="4" w:space="0"/>
              <w:bottom w:val="single" w:color="auto" w:sz="4" w:space="0"/>
              <w:right w:val="single" w:color="auto" w:sz="4" w:space="0"/>
            </w:tcBorders>
            <w:noWrap/>
            <w:vAlign w:val="center"/>
          </w:tcPr>
          <w:p w14:paraId="573E9A35">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0.021</w:t>
            </w:r>
          </w:p>
        </w:tc>
        <w:tc>
          <w:tcPr>
            <w:tcW w:w="991" w:type="pct"/>
            <w:tcBorders>
              <w:top w:val="single" w:color="auto" w:sz="4" w:space="0"/>
              <w:left w:val="single" w:color="auto" w:sz="4" w:space="0"/>
              <w:bottom w:val="single" w:color="auto" w:sz="4" w:space="0"/>
              <w:right w:val="single" w:color="auto" w:sz="4" w:space="0"/>
            </w:tcBorders>
            <w:noWrap/>
            <w:vAlign w:val="center"/>
          </w:tcPr>
          <w:p w14:paraId="17AECFF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0.02</w:t>
            </w:r>
          </w:p>
        </w:tc>
      </w:tr>
      <w:tr w14:paraId="7FF880A5">
        <w:tblPrEx>
          <w:tblCellMar>
            <w:top w:w="0" w:type="dxa"/>
            <w:left w:w="108" w:type="dxa"/>
            <w:bottom w:w="0" w:type="dxa"/>
            <w:right w:w="108" w:type="dxa"/>
          </w:tblCellMar>
        </w:tblPrEx>
        <w:trPr>
          <w:trHeight w:val="285" w:hRule="atLeast"/>
        </w:trPr>
        <w:tc>
          <w:tcPr>
            <w:tcW w:w="3123" w:type="pct"/>
            <w:gridSpan w:val="4"/>
            <w:tcBorders>
              <w:top w:val="single" w:color="auto" w:sz="4" w:space="0"/>
              <w:left w:val="single" w:color="auto" w:sz="4" w:space="0"/>
              <w:bottom w:val="single" w:color="auto" w:sz="4" w:space="0"/>
              <w:right w:val="single" w:color="auto" w:sz="4" w:space="0"/>
            </w:tcBorders>
            <w:noWrap/>
            <w:vAlign w:val="center"/>
          </w:tcPr>
          <w:p w14:paraId="09D9F92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合计</w:t>
            </w:r>
          </w:p>
        </w:tc>
        <w:tc>
          <w:tcPr>
            <w:tcW w:w="885" w:type="pct"/>
            <w:tcBorders>
              <w:top w:val="single" w:color="auto" w:sz="4" w:space="0"/>
              <w:left w:val="single" w:color="auto" w:sz="4" w:space="0"/>
              <w:bottom w:val="single" w:color="auto" w:sz="4" w:space="0"/>
              <w:right w:val="single" w:color="auto" w:sz="4" w:space="0"/>
            </w:tcBorders>
            <w:noWrap/>
            <w:vAlign w:val="center"/>
          </w:tcPr>
          <w:p w14:paraId="0A38A02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109.4</w:t>
            </w:r>
          </w:p>
        </w:tc>
        <w:tc>
          <w:tcPr>
            <w:tcW w:w="991" w:type="pct"/>
            <w:tcBorders>
              <w:top w:val="single" w:color="auto" w:sz="4" w:space="0"/>
              <w:left w:val="single" w:color="auto" w:sz="4" w:space="0"/>
              <w:bottom w:val="single" w:color="auto" w:sz="4" w:space="0"/>
              <w:right w:val="single" w:color="auto" w:sz="4" w:space="0"/>
            </w:tcBorders>
            <w:noWrap/>
            <w:vAlign w:val="center"/>
          </w:tcPr>
          <w:p w14:paraId="3965584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100.00</w:t>
            </w:r>
          </w:p>
        </w:tc>
      </w:tr>
    </w:tbl>
    <w:p w14:paraId="7B6C2682">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3.3.4</w:t>
      </w:r>
      <w:r>
        <w:rPr>
          <w:rFonts w:hint="eastAsia" w:eastAsia="方正楷体_GBK" w:cs="Times New Roman"/>
          <w:b/>
          <w:bCs/>
          <w:szCs w:val="28"/>
          <w14:ligatures w14:val="none"/>
        </w:rPr>
        <w:t>旅游资源</w:t>
      </w:r>
    </w:p>
    <w:p w14:paraId="7F0E5111">
      <w:pPr>
        <w:ind w:firstLine="480"/>
      </w:pPr>
      <w:r>
        <w:rPr>
          <w:rFonts w:hint="eastAsia"/>
        </w:rPr>
        <w:t>依据《旅游资源分类、调查与评价》的指标体系，对茅山旅游度假区旅游资源进行统计分类，度假区的旅游资源包括</w:t>
      </w:r>
      <w:r>
        <w:t>7</w:t>
      </w:r>
      <w:r>
        <w:rPr>
          <w:rFonts w:hint="eastAsia"/>
        </w:rPr>
        <w:t>大类，</w:t>
      </w:r>
      <w:r>
        <w:t>10</w:t>
      </w:r>
      <w:r>
        <w:rPr>
          <w:rFonts w:hint="eastAsia"/>
        </w:rPr>
        <w:t>亚类，</w:t>
      </w:r>
      <w:r>
        <w:t>18</w:t>
      </w:r>
      <w:r>
        <w:rPr>
          <w:rFonts w:hint="eastAsia"/>
        </w:rPr>
        <w:t>个基本类型，共计</w:t>
      </w:r>
      <w:r>
        <w:t>45</w:t>
      </w:r>
      <w:r>
        <w:rPr>
          <w:rFonts w:hint="eastAsia"/>
        </w:rPr>
        <w:t>个资源，具体见表</w:t>
      </w:r>
      <w:r>
        <w:t>3.3-2</w:t>
      </w:r>
      <w:r>
        <w:rPr>
          <w:rFonts w:hint="eastAsia"/>
        </w:rPr>
        <w:t>，其中建筑与设施类占据绝大多数，其次为生物景观类和水域风光类，分别占资源总数的</w:t>
      </w:r>
      <w:r>
        <w:t>55.56</w:t>
      </w:r>
      <w:r>
        <w:rPr>
          <w:rFonts w:hint="eastAsia"/>
        </w:rPr>
        <w:t>%、</w:t>
      </w:r>
      <w:r>
        <w:t>13.34</w:t>
      </w:r>
      <w:r>
        <w:rPr>
          <w:rFonts w:hint="eastAsia"/>
        </w:rPr>
        <w:t>%和</w:t>
      </w:r>
      <w:r>
        <w:t>11.12</w:t>
      </w:r>
      <w:r>
        <w:rPr>
          <w:rFonts w:hint="eastAsia"/>
        </w:rPr>
        <w:t>%。建筑与设施类中，主要集中在宗教与祭祀活动场所、康体游乐休闲度假地、社会与商贸活动场所、园林游憩区域、文化活动场所等类型中，生物景观类主要集中在树木与花卉地两个基本类型中，水域风光类主要集中在观光游憩湖区这一基本类型。</w:t>
      </w:r>
    </w:p>
    <w:p w14:paraId="63490584">
      <w:pPr>
        <w:pStyle w:val="45"/>
        <w:rPr>
          <w:rFonts w:cs="Times New Roman"/>
        </w:rPr>
      </w:pPr>
      <w:r>
        <w:rPr>
          <w:rFonts w:hint="eastAsia" w:cs="Times New Roman"/>
        </w:rPr>
        <w:t>表3.3-</w:t>
      </w:r>
      <w:r>
        <w:rPr>
          <w:rFonts w:cs="Times New Roman"/>
        </w:rPr>
        <w:t>2</w:t>
      </w:r>
      <w:r>
        <w:rPr>
          <w:rFonts w:hint="eastAsia" w:cs="Times New Roman"/>
        </w:rPr>
        <w:t xml:space="preserve"> </w:t>
      </w:r>
      <w:r>
        <w:rPr>
          <w:rFonts w:cs="Times New Roman"/>
        </w:rPr>
        <w:t xml:space="preserve"> </w:t>
      </w:r>
      <w:r>
        <w:rPr>
          <w:rFonts w:hint="eastAsia" w:cs="Times New Roman"/>
        </w:rPr>
        <w:t>度假区旅游资源分类表</w:t>
      </w:r>
    </w:p>
    <w:tbl>
      <w:tblPr>
        <w:tblStyle w:val="25"/>
        <w:tblW w:w="5000" w:type="pct"/>
        <w:tblInd w:w="0" w:type="dxa"/>
        <w:tblLayout w:type="autofit"/>
        <w:tblCellMar>
          <w:top w:w="0" w:type="dxa"/>
          <w:left w:w="108" w:type="dxa"/>
          <w:bottom w:w="0" w:type="dxa"/>
          <w:right w:w="108" w:type="dxa"/>
        </w:tblCellMar>
      </w:tblPr>
      <w:tblGrid>
        <w:gridCol w:w="2309"/>
        <w:gridCol w:w="2110"/>
        <w:gridCol w:w="4103"/>
      </w:tblGrid>
      <w:tr w14:paraId="34F287DF">
        <w:tblPrEx>
          <w:tblCellMar>
            <w:top w:w="0" w:type="dxa"/>
            <w:left w:w="108" w:type="dxa"/>
            <w:bottom w:w="0" w:type="dxa"/>
            <w:right w:w="108" w:type="dxa"/>
          </w:tblCellMar>
        </w:tblPrEx>
        <w:trPr>
          <w:trHeight w:val="285" w:hRule="atLeast"/>
          <w:tblHeader/>
        </w:trPr>
        <w:tc>
          <w:tcPr>
            <w:tcW w:w="1355" w:type="pct"/>
            <w:tcBorders>
              <w:top w:val="single" w:color="auto" w:sz="4" w:space="0"/>
              <w:left w:val="single" w:color="auto" w:sz="4" w:space="0"/>
              <w:bottom w:val="single" w:color="auto" w:sz="4" w:space="0"/>
              <w:right w:val="single" w:color="auto" w:sz="4" w:space="0"/>
            </w:tcBorders>
            <w:vAlign w:val="center"/>
          </w:tcPr>
          <w:p w14:paraId="03657B0A">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亚类</w:t>
            </w:r>
          </w:p>
        </w:tc>
        <w:tc>
          <w:tcPr>
            <w:tcW w:w="1238" w:type="pct"/>
            <w:tcBorders>
              <w:top w:val="single" w:color="auto" w:sz="4" w:space="0"/>
              <w:left w:val="nil"/>
              <w:bottom w:val="single" w:color="auto" w:sz="4" w:space="0"/>
              <w:right w:val="single" w:color="auto" w:sz="4" w:space="0"/>
            </w:tcBorders>
            <w:vAlign w:val="center"/>
          </w:tcPr>
          <w:p w14:paraId="672DD931">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基本类型</w:t>
            </w:r>
          </w:p>
        </w:tc>
        <w:tc>
          <w:tcPr>
            <w:tcW w:w="2407" w:type="pct"/>
            <w:tcBorders>
              <w:top w:val="single" w:color="auto" w:sz="4" w:space="0"/>
              <w:left w:val="nil"/>
              <w:bottom w:val="single" w:color="auto" w:sz="4" w:space="0"/>
              <w:right w:val="single" w:color="auto" w:sz="4" w:space="0"/>
            </w:tcBorders>
            <w:vAlign w:val="center"/>
          </w:tcPr>
          <w:p w14:paraId="64F20D3B">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资源名称</w:t>
            </w:r>
          </w:p>
        </w:tc>
      </w:tr>
      <w:tr w14:paraId="18EB8A9A">
        <w:tblPrEx>
          <w:tblCellMar>
            <w:top w:w="0" w:type="dxa"/>
            <w:left w:w="108" w:type="dxa"/>
            <w:bottom w:w="0" w:type="dxa"/>
            <w:right w:w="108" w:type="dxa"/>
          </w:tblCellMar>
        </w:tblPrEx>
        <w:trPr>
          <w:trHeight w:val="540" w:hRule="atLeast"/>
        </w:trPr>
        <w:tc>
          <w:tcPr>
            <w:tcW w:w="1355" w:type="pct"/>
            <w:tcBorders>
              <w:top w:val="nil"/>
              <w:left w:val="single" w:color="auto" w:sz="4" w:space="0"/>
              <w:bottom w:val="single" w:color="auto" w:sz="4" w:space="0"/>
              <w:right w:val="single" w:color="auto" w:sz="4" w:space="0"/>
            </w:tcBorders>
            <w:vAlign w:val="center"/>
          </w:tcPr>
          <w:p w14:paraId="57533E0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AA综合自然旅游地</w:t>
            </w:r>
          </w:p>
        </w:tc>
        <w:tc>
          <w:tcPr>
            <w:tcW w:w="1238" w:type="pct"/>
            <w:tcBorders>
              <w:top w:val="nil"/>
              <w:left w:val="nil"/>
              <w:bottom w:val="single" w:color="auto" w:sz="4" w:space="0"/>
              <w:right w:val="single" w:color="auto" w:sz="4" w:space="0"/>
            </w:tcBorders>
            <w:vAlign w:val="center"/>
          </w:tcPr>
          <w:p w14:paraId="2F7F0EA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AAA山丘型旅游地</w:t>
            </w:r>
          </w:p>
        </w:tc>
        <w:tc>
          <w:tcPr>
            <w:tcW w:w="2407" w:type="pct"/>
            <w:tcBorders>
              <w:top w:val="nil"/>
              <w:left w:val="nil"/>
              <w:bottom w:val="single" w:color="auto" w:sz="4" w:space="0"/>
              <w:right w:val="single" w:color="auto" w:sz="4" w:space="0"/>
            </w:tcBorders>
            <w:vAlign w:val="center"/>
          </w:tcPr>
          <w:p w14:paraId="3861BF1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茅山风景名胜区、金牛洞、绿野踪风景道</w:t>
            </w:r>
          </w:p>
        </w:tc>
      </w:tr>
      <w:tr w14:paraId="47D73C97">
        <w:tblPrEx>
          <w:tblCellMar>
            <w:top w:w="0" w:type="dxa"/>
            <w:left w:w="108" w:type="dxa"/>
            <w:bottom w:w="0" w:type="dxa"/>
            <w:right w:w="108" w:type="dxa"/>
          </w:tblCellMar>
        </w:tblPrEx>
        <w:trPr>
          <w:trHeight w:val="540" w:hRule="atLeast"/>
        </w:trPr>
        <w:tc>
          <w:tcPr>
            <w:tcW w:w="1355" w:type="pct"/>
            <w:tcBorders>
              <w:top w:val="nil"/>
              <w:left w:val="single" w:color="auto" w:sz="4" w:space="0"/>
              <w:bottom w:val="single" w:color="auto" w:sz="4" w:space="0"/>
              <w:right w:val="single" w:color="auto" w:sz="4" w:space="0"/>
            </w:tcBorders>
            <w:vAlign w:val="center"/>
          </w:tcPr>
          <w:p w14:paraId="1F30FBD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BB天然湖泊与池沼</w:t>
            </w:r>
          </w:p>
        </w:tc>
        <w:tc>
          <w:tcPr>
            <w:tcW w:w="1238" w:type="pct"/>
            <w:tcBorders>
              <w:top w:val="nil"/>
              <w:left w:val="nil"/>
              <w:bottom w:val="single" w:color="auto" w:sz="4" w:space="0"/>
              <w:right w:val="single" w:color="auto" w:sz="4" w:space="0"/>
            </w:tcBorders>
            <w:vAlign w:val="center"/>
          </w:tcPr>
          <w:p w14:paraId="353AC61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BBA 观光游憩湖区</w:t>
            </w:r>
          </w:p>
        </w:tc>
        <w:tc>
          <w:tcPr>
            <w:tcW w:w="2407" w:type="pct"/>
            <w:tcBorders>
              <w:top w:val="nil"/>
              <w:left w:val="nil"/>
              <w:bottom w:val="single" w:color="auto" w:sz="4" w:space="0"/>
              <w:right w:val="single" w:color="auto" w:sz="4" w:space="0"/>
            </w:tcBorders>
            <w:vAlign w:val="center"/>
          </w:tcPr>
          <w:p w14:paraId="2ACE4FC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茅东水库、海底水库、东进水库、新浮水库、向阳水库</w:t>
            </w:r>
          </w:p>
        </w:tc>
      </w:tr>
      <w:tr w14:paraId="240BD25A">
        <w:tblPrEx>
          <w:tblCellMar>
            <w:top w:w="0" w:type="dxa"/>
            <w:left w:w="108" w:type="dxa"/>
            <w:bottom w:w="0" w:type="dxa"/>
            <w:right w:w="108" w:type="dxa"/>
          </w:tblCellMar>
        </w:tblPrEx>
        <w:trPr>
          <w:trHeight w:val="285" w:hRule="atLeast"/>
        </w:trPr>
        <w:tc>
          <w:tcPr>
            <w:tcW w:w="1355" w:type="pct"/>
            <w:tcBorders>
              <w:top w:val="nil"/>
              <w:left w:val="single" w:color="auto" w:sz="4" w:space="0"/>
              <w:bottom w:val="single" w:color="auto" w:sz="4" w:space="0"/>
              <w:right w:val="single" w:color="auto" w:sz="4" w:space="0"/>
            </w:tcBorders>
            <w:vAlign w:val="center"/>
          </w:tcPr>
          <w:p w14:paraId="273C48A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CA 树木</w:t>
            </w:r>
          </w:p>
        </w:tc>
        <w:tc>
          <w:tcPr>
            <w:tcW w:w="1238" w:type="pct"/>
            <w:tcBorders>
              <w:top w:val="nil"/>
              <w:left w:val="nil"/>
              <w:bottom w:val="single" w:color="auto" w:sz="4" w:space="0"/>
              <w:right w:val="single" w:color="auto" w:sz="4" w:space="0"/>
            </w:tcBorders>
            <w:vAlign w:val="center"/>
          </w:tcPr>
          <w:p w14:paraId="4EBBA8F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CAA林地</w:t>
            </w:r>
          </w:p>
        </w:tc>
        <w:tc>
          <w:tcPr>
            <w:tcW w:w="2407" w:type="pct"/>
            <w:tcBorders>
              <w:top w:val="nil"/>
              <w:left w:val="nil"/>
              <w:bottom w:val="single" w:color="auto" w:sz="4" w:space="0"/>
              <w:right w:val="single" w:color="auto" w:sz="4" w:space="0"/>
            </w:tcBorders>
            <w:vAlign w:val="center"/>
          </w:tcPr>
          <w:p w14:paraId="104E39C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茅东林场、方山森林公园</w:t>
            </w:r>
          </w:p>
        </w:tc>
      </w:tr>
      <w:tr w14:paraId="264A7803">
        <w:tblPrEx>
          <w:tblCellMar>
            <w:top w:w="0" w:type="dxa"/>
            <w:left w:w="108" w:type="dxa"/>
            <w:bottom w:w="0" w:type="dxa"/>
            <w:right w:w="108" w:type="dxa"/>
          </w:tblCellMar>
        </w:tblPrEx>
        <w:trPr>
          <w:trHeight w:val="510" w:hRule="atLeast"/>
        </w:trPr>
        <w:tc>
          <w:tcPr>
            <w:tcW w:w="1355" w:type="pct"/>
            <w:tcBorders>
              <w:top w:val="nil"/>
              <w:left w:val="single" w:color="auto" w:sz="4" w:space="0"/>
              <w:bottom w:val="single" w:color="auto" w:sz="4" w:space="0"/>
              <w:right w:val="single" w:color="auto" w:sz="4" w:space="0"/>
            </w:tcBorders>
            <w:vAlign w:val="center"/>
          </w:tcPr>
          <w:p w14:paraId="7491839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CC花卉地</w:t>
            </w:r>
          </w:p>
        </w:tc>
        <w:tc>
          <w:tcPr>
            <w:tcW w:w="1238" w:type="pct"/>
            <w:tcBorders>
              <w:top w:val="nil"/>
              <w:left w:val="nil"/>
              <w:bottom w:val="single" w:color="auto" w:sz="4" w:space="0"/>
              <w:right w:val="single" w:color="auto" w:sz="4" w:space="0"/>
            </w:tcBorders>
            <w:vAlign w:val="center"/>
          </w:tcPr>
          <w:p w14:paraId="0D72EB5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CCA 草场花卉地</w:t>
            </w:r>
          </w:p>
        </w:tc>
        <w:tc>
          <w:tcPr>
            <w:tcW w:w="2407" w:type="pct"/>
            <w:tcBorders>
              <w:top w:val="nil"/>
              <w:left w:val="nil"/>
              <w:bottom w:val="single" w:color="auto" w:sz="4" w:space="0"/>
              <w:right w:val="single" w:color="auto" w:sz="4" w:space="0"/>
            </w:tcBorders>
            <w:vAlign w:val="center"/>
          </w:tcPr>
          <w:p w14:paraId="0CBC13A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花谷奇缘、上阮花视界、山蓬樱花园、风情玫瑰园</w:t>
            </w:r>
          </w:p>
        </w:tc>
      </w:tr>
      <w:tr w14:paraId="6249E366">
        <w:tblPrEx>
          <w:tblCellMar>
            <w:top w:w="0" w:type="dxa"/>
            <w:left w:w="108" w:type="dxa"/>
            <w:bottom w:w="0" w:type="dxa"/>
            <w:right w:w="108" w:type="dxa"/>
          </w:tblCellMar>
        </w:tblPrEx>
        <w:trPr>
          <w:trHeight w:val="810" w:hRule="atLeast"/>
        </w:trPr>
        <w:tc>
          <w:tcPr>
            <w:tcW w:w="1355" w:type="pct"/>
            <w:tcBorders>
              <w:top w:val="nil"/>
              <w:left w:val="single" w:color="auto" w:sz="4" w:space="0"/>
              <w:bottom w:val="single" w:color="auto" w:sz="4" w:space="0"/>
              <w:right w:val="single" w:color="auto" w:sz="4" w:space="0"/>
            </w:tcBorders>
            <w:vAlign w:val="center"/>
          </w:tcPr>
          <w:p w14:paraId="11EAC11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EB社会经济文化活动遗址遗迹</w:t>
            </w:r>
          </w:p>
        </w:tc>
        <w:tc>
          <w:tcPr>
            <w:tcW w:w="1238" w:type="pct"/>
            <w:tcBorders>
              <w:top w:val="nil"/>
              <w:left w:val="nil"/>
              <w:bottom w:val="single" w:color="auto" w:sz="4" w:space="0"/>
              <w:right w:val="single" w:color="auto" w:sz="4" w:space="0"/>
            </w:tcBorders>
            <w:vAlign w:val="center"/>
          </w:tcPr>
          <w:p w14:paraId="75FF4DF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EBD 废弃生产地</w:t>
            </w:r>
          </w:p>
        </w:tc>
        <w:tc>
          <w:tcPr>
            <w:tcW w:w="2407" w:type="pct"/>
            <w:tcBorders>
              <w:top w:val="nil"/>
              <w:left w:val="nil"/>
              <w:bottom w:val="single" w:color="auto" w:sz="4" w:space="0"/>
              <w:right w:val="single" w:color="auto" w:sz="4" w:space="0"/>
            </w:tcBorders>
            <w:vAlign w:val="center"/>
          </w:tcPr>
          <w:p w14:paraId="5E5E4A01">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赤岗汉代窑址、接山墩宋元窑址</w:t>
            </w:r>
          </w:p>
        </w:tc>
      </w:tr>
      <w:tr w14:paraId="43365D0E">
        <w:tblPrEx>
          <w:tblCellMar>
            <w:top w:w="0" w:type="dxa"/>
            <w:left w:w="108" w:type="dxa"/>
            <w:bottom w:w="0" w:type="dxa"/>
            <w:right w:w="108" w:type="dxa"/>
          </w:tblCellMar>
        </w:tblPrEx>
        <w:trPr>
          <w:trHeight w:val="285" w:hRule="atLeast"/>
        </w:trPr>
        <w:tc>
          <w:tcPr>
            <w:tcW w:w="1355" w:type="pct"/>
            <w:vMerge w:val="restart"/>
            <w:tcBorders>
              <w:top w:val="nil"/>
              <w:left w:val="single" w:color="auto" w:sz="4" w:space="0"/>
              <w:bottom w:val="single" w:color="auto" w:sz="4" w:space="0"/>
              <w:right w:val="single" w:color="auto" w:sz="4" w:space="0"/>
            </w:tcBorders>
            <w:vAlign w:val="center"/>
          </w:tcPr>
          <w:p w14:paraId="47A5B47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FA 综合人文旅游地</w:t>
            </w:r>
          </w:p>
        </w:tc>
        <w:tc>
          <w:tcPr>
            <w:tcW w:w="1238" w:type="pct"/>
            <w:tcBorders>
              <w:top w:val="nil"/>
              <w:left w:val="nil"/>
              <w:bottom w:val="single" w:color="auto" w:sz="4" w:space="0"/>
              <w:right w:val="single" w:color="auto" w:sz="4" w:space="0"/>
            </w:tcBorders>
            <w:vAlign w:val="center"/>
          </w:tcPr>
          <w:p w14:paraId="3B0A29F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FAA 教学科研实验场所</w:t>
            </w:r>
          </w:p>
        </w:tc>
        <w:tc>
          <w:tcPr>
            <w:tcW w:w="2407" w:type="pct"/>
            <w:tcBorders>
              <w:top w:val="nil"/>
              <w:left w:val="nil"/>
              <w:bottom w:val="single" w:color="auto" w:sz="4" w:space="0"/>
              <w:right w:val="single" w:color="auto" w:sz="4" w:space="0"/>
            </w:tcBorders>
            <w:vAlign w:val="center"/>
          </w:tcPr>
          <w:p w14:paraId="0FF849D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气象实验基地</w:t>
            </w:r>
          </w:p>
        </w:tc>
      </w:tr>
      <w:tr w14:paraId="0B4043E5">
        <w:tblPrEx>
          <w:tblCellMar>
            <w:top w:w="0" w:type="dxa"/>
            <w:left w:w="108" w:type="dxa"/>
            <w:bottom w:w="0" w:type="dxa"/>
            <w:right w:w="108" w:type="dxa"/>
          </w:tblCellMar>
        </w:tblPrEx>
        <w:trPr>
          <w:trHeight w:val="540" w:hRule="atLeast"/>
        </w:trPr>
        <w:tc>
          <w:tcPr>
            <w:tcW w:w="1355" w:type="pct"/>
            <w:vMerge w:val="continue"/>
            <w:tcBorders>
              <w:top w:val="nil"/>
              <w:left w:val="single" w:color="auto" w:sz="4" w:space="0"/>
              <w:bottom w:val="single" w:color="auto" w:sz="4" w:space="0"/>
              <w:right w:val="single" w:color="auto" w:sz="4" w:space="0"/>
            </w:tcBorders>
            <w:vAlign w:val="center"/>
          </w:tcPr>
          <w:p w14:paraId="179CBDA7">
            <w:pPr>
              <w:widowControl/>
              <w:spacing w:line="240" w:lineRule="auto"/>
              <w:ind w:firstLine="0" w:firstLineChars="0"/>
              <w:jc w:val="left"/>
              <w:rPr>
                <w:rFonts w:cs="Times New Roman"/>
                <w:color w:val="000000"/>
                <w:kern w:val="0"/>
                <w:sz w:val="21"/>
                <w:szCs w:val="21"/>
                <w14:ligatures w14:val="none"/>
              </w:rPr>
            </w:pPr>
          </w:p>
        </w:tc>
        <w:tc>
          <w:tcPr>
            <w:tcW w:w="1238" w:type="pct"/>
            <w:tcBorders>
              <w:top w:val="nil"/>
              <w:left w:val="nil"/>
              <w:bottom w:val="single" w:color="auto" w:sz="4" w:space="0"/>
              <w:right w:val="single" w:color="auto" w:sz="4" w:space="0"/>
            </w:tcBorders>
            <w:vAlign w:val="center"/>
          </w:tcPr>
          <w:p w14:paraId="732461C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FAB 康体游乐休闲度假地</w:t>
            </w:r>
          </w:p>
        </w:tc>
        <w:tc>
          <w:tcPr>
            <w:tcW w:w="2407" w:type="pct"/>
            <w:tcBorders>
              <w:top w:val="nil"/>
              <w:left w:val="nil"/>
              <w:bottom w:val="single" w:color="auto" w:sz="4" w:space="0"/>
              <w:right w:val="single" w:color="auto" w:sz="4" w:space="0"/>
            </w:tcBorders>
            <w:vAlign w:val="center"/>
          </w:tcPr>
          <w:p w14:paraId="55C89671">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壹号农场、索普度假村、宝盛·生生谷、紫云湖</w:t>
            </w:r>
          </w:p>
        </w:tc>
      </w:tr>
      <w:tr w14:paraId="51B24414">
        <w:tblPrEx>
          <w:tblCellMar>
            <w:top w:w="0" w:type="dxa"/>
            <w:left w:w="108" w:type="dxa"/>
            <w:bottom w:w="0" w:type="dxa"/>
            <w:right w:w="108" w:type="dxa"/>
          </w:tblCellMar>
        </w:tblPrEx>
        <w:trPr>
          <w:trHeight w:val="525" w:hRule="atLeast"/>
        </w:trPr>
        <w:tc>
          <w:tcPr>
            <w:tcW w:w="1355" w:type="pct"/>
            <w:vMerge w:val="continue"/>
            <w:tcBorders>
              <w:top w:val="nil"/>
              <w:left w:val="single" w:color="auto" w:sz="4" w:space="0"/>
              <w:bottom w:val="single" w:color="auto" w:sz="4" w:space="0"/>
              <w:right w:val="single" w:color="auto" w:sz="4" w:space="0"/>
            </w:tcBorders>
            <w:vAlign w:val="center"/>
          </w:tcPr>
          <w:p w14:paraId="3B796FAC">
            <w:pPr>
              <w:widowControl/>
              <w:spacing w:line="240" w:lineRule="auto"/>
              <w:ind w:firstLine="0" w:firstLineChars="0"/>
              <w:jc w:val="left"/>
              <w:rPr>
                <w:rFonts w:cs="Times New Roman"/>
                <w:color w:val="000000"/>
                <w:kern w:val="0"/>
                <w:sz w:val="21"/>
                <w:szCs w:val="21"/>
                <w14:ligatures w14:val="none"/>
              </w:rPr>
            </w:pPr>
          </w:p>
        </w:tc>
        <w:tc>
          <w:tcPr>
            <w:tcW w:w="1238" w:type="pct"/>
            <w:tcBorders>
              <w:top w:val="nil"/>
              <w:left w:val="nil"/>
              <w:bottom w:val="single" w:color="auto" w:sz="4" w:space="0"/>
              <w:right w:val="single" w:color="auto" w:sz="4" w:space="0"/>
            </w:tcBorders>
            <w:vAlign w:val="center"/>
          </w:tcPr>
          <w:p w14:paraId="3CBDFE4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FAC 宗教与祭祀活动场所</w:t>
            </w:r>
          </w:p>
        </w:tc>
        <w:tc>
          <w:tcPr>
            <w:tcW w:w="2407" w:type="pct"/>
            <w:tcBorders>
              <w:top w:val="nil"/>
              <w:left w:val="nil"/>
              <w:bottom w:val="single" w:color="auto" w:sz="4" w:space="0"/>
              <w:right w:val="single" w:color="auto" w:sz="4" w:space="0"/>
            </w:tcBorders>
            <w:vAlign w:val="center"/>
          </w:tcPr>
          <w:p w14:paraId="5FD035F1">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乾元观、三清观、元阳观、崇寿观、九霄万福宫</w:t>
            </w:r>
          </w:p>
        </w:tc>
      </w:tr>
      <w:tr w14:paraId="3007D1E7">
        <w:tblPrEx>
          <w:tblCellMar>
            <w:top w:w="0" w:type="dxa"/>
            <w:left w:w="108" w:type="dxa"/>
            <w:bottom w:w="0" w:type="dxa"/>
            <w:right w:w="108" w:type="dxa"/>
          </w:tblCellMar>
        </w:tblPrEx>
        <w:trPr>
          <w:trHeight w:val="285" w:hRule="atLeast"/>
        </w:trPr>
        <w:tc>
          <w:tcPr>
            <w:tcW w:w="1355" w:type="pct"/>
            <w:vMerge w:val="continue"/>
            <w:tcBorders>
              <w:top w:val="nil"/>
              <w:left w:val="single" w:color="auto" w:sz="4" w:space="0"/>
              <w:bottom w:val="single" w:color="auto" w:sz="4" w:space="0"/>
              <w:right w:val="single" w:color="auto" w:sz="4" w:space="0"/>
            </w:tcBorders>
            <w:vAlign w:val="center"/>
          </w:tcPr>
          <w:p w14:paraId="3EEA91D3">
            <w:pPr>
              <w:widowControl/>
              <w:spacing w:line="240" w:lineRule="auto"/>
              <w:ind w:firstLine="0" w:firstLineChars="0"/>
              <w:jc w:val="left"/>
              <w:rPr>
                <w:rFonts w:cs="Times New Roman"/>
                <w:color w:val="000000"/>
                <w:kern w:val="0"/>
                <w:sz w:val="21"/>
                <w:szCs w:val="21"/>
                <w14:ligatures w14:val="none"/>
              </w:rPr>
            </w:pPr>
          </w:p>
        </w:tc>
        <w:tc>
          <w:tcPr>
            <w:tcW w:w="1238" w:type="pct"/>
            <w:tcBorders>
              <w:top w:val="nil"/>
              <w:left w:val="nil"/>
              <w:bottom w:val="single" w:color="auto" w:sz="4" w:space="0"/>
              <w:right w:val="single" w:color="auto" w:sz="4" w:space="0"/>
            </w:tcBorders>
            <w:vAlign w:val="center"/>
          </w:tcPr>
          <w:p w14:paraId="47E92E5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FAD 园林游憩区域</w:t>
            </w:r>
          </w:p>
        </w:tc>
        <w:tc>
          <w:tcPr>
            <w:tcW w:w="2407" w:type="pct"/>
            <w:tcBorders>
              <w:top w:val="nil"/>
              <w:left w:val="nil"/>
              <w:bottom w:val="single" w:color="auto" w:sz="4" w:space="0"/>
              <w:right w:val="single" w:color="auto" w:sz="4" w:space="0"/>
            </w:tcBorders>
            <w:vAlign w:val="center"/>
          </w:tcPr>
          <w:p w14:paraId="57A3552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宝盛园、根园、保朴园</w:t>
            </w:r>
          </w:p>
        </w:tc>
      </w:tr>
      <w:tr w14:paraId="3E14A3C7">
        <w:tblPrEx>
          <w:tblCellMar>
            <w:top w:w="0" w:type="dxa"/>
            <w:left w:w="108" w:type="dxa"/>
            <w:bottom w:w="0" w:type="dxa"/>
            <w:right w:w="108" w:type="dxa"/>
          </w:tblCellMar>
        </w:tblPrEx>
        <w:trPr>
          <w:trHeight w:val="285" w:hRule="atLeast"/>
        </w:trPr>
        <w:tc>
          <w:tcPr>
            <w:tcW w:w="1355" w:type="pct"/>
            <w:vMerge w:val="continue"/>
            <w:tcBorders>
              <w:top w:val="nil"/>
              <w:left w:val="single" w:color="auto" w:sz="4" w:space="0"/>
              <w:bottom w:val="single" w:color="auto" w:sz="4" w:space="0"/>
              <w:right w:val="single" w:color="auto" w:sz="4" w:space="0"/>
            </w:tcBorders>
            <w:vAlign w:val="center"/>
          </w:tcPr>
          <w:p w14:paraId="370C5EFD">
            <w:pPr>
              <w:widowControl/>
              <w:spacing w:line="240" w:lineRule="auto"/>
              <w:ind w:firstLine="0" w:firstLineChars="0"/>
              <w:jc w:val="left"/>
              <w:rPr>
                <w:rFonts w:cs="Times New Roman"/>
                <w:color w:val="000000"/>
                <w:kern w:val="0"/>
                <w:sz w:val="21"/>
                <w:szCs w:val="21"/>
                <w14:ligatures w14:val="none"/>
              </w:rPr>
            </w:pPr>
          </w:p>
        </w:tc>
        <w:tc>
          <w:tcPr>
            <w:tcW w:w="1238" w:type="pct"/>
            <w:tcBorders>
              <w:top w:val="nil"/>
              <w:left w:val="nil"/>
              <w:bottom w:val="single" w:color="auto" w:sz="4" w:space="0"/>
              <w:right w:val="single" w:color="auto" w:sz="4" w:space="0"/>
            </w:tcBorders>
            <w:vAlign w:val="center"/>
          </w:tcPr>
          <w:p w14:paraId="70A4E21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FAE 文化活动场所</w:t>
            </w:r>
          </w:p>
        </w:tc>
        <w:tc>
          <w:tcPr>
            <w:tcW w:w="2407" w:type="pct"/>
            <w:tcBorders>
              <w:top w:val="nil"/>
              <w:left w:val="nil"/>
              <w:bottom w:val="single" w:color="auto" w:sz="4" w:space="0"/>
              <w:right w:val="single" w:color="auto" w:sz="4" w:space="0"/>
            </w:tcBorders>
            <w:vAlign w:val="center"/>
          </w:tcPr>
          <w:p w14:paraId="0083099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东方盐湖城·道天下</w:t>
            </w:r>
          </w:p>
        </w:tc>
      </w:tr>
      <w:tr w14:paraId="786A9582">
        <w:tblPrEx>
          <w:tblCellMar>
            <w:top w:w="0" w:type="dxa"/>
            <w:left w:w="108" w:type="dxa"/>
            <w:bottom w:w="0" w:type="dxa"/>
            <w:right w:w="108" w:type="dxa"/>
          </w:tblCellMar>
        </w:tblPrEx>
        <w:trPr>
          <w:trHeight w:val="510" w:hRule="atLeast"/>
        </w:trPr>
        <w:tc>
          <w:tcPr>
            <w:tcW w:w="1355" w:type="pct"/>
            <w:vMerge w:val="continue"/>
            <w:tcBorders>
              <w:top w:val="nil"/>
              <w:left w:val="single" w:color="auto" w:sz="4" w:space="0"/>
              <w:bottom w:val="single" w:color="auto" w:sz="4" w:space="0"/>
              <w:right w:val="single" w:color="auto" w:sz="4" w:space="0"/>
            </w:tcBorders>
            <w:vAlign w:val="center"/>
          </w:tcPr>
          <w:p w14:paraId="38DBD7AB">
            <w:pPr>
              <w:widowControl/>
              <w:spacing w:line="240" w:lineRule="auto"/>
              <w:ind w:firstLine="0" w:firstLineChars="0"/>
              <w:jc w:val="left"/>
              <w:rPr>
                <w:rFonts w:cs="Times New Roman"/>
                <w:color w:val="000000"/>
                <w:kern w:val="0"/>
                <w:sz w:val="21"/>
                <w:szCs w:val="21"/>
                <w14:ligatures w14:val="none"/>
              </w:rPr>
            </w:pPr>
          </w:p>
        </w:tc>
        <w:tc>
          <w:tcPr>
            <w:tcW w:w="1238" w:type="pct"/>
            <w:tcBorders>
              <w:top w:val="nil"/>
              <w:left w:val="nil"/>
              <w:bottom w:val="single" w:color="auto" w:sz="4" w:space="0"/>
              <w:right w:val="single" w:color="auto" w:sz="4" w:space="0"/>
            </w:tcBorders>
            <w:vAlign w:val="center"/>
          </w:tcPr>
          <w:p w14:paraId="64EDA04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FAG社会与商贸活动场所</w:t>
            </w:r>
          </w:p>
        </w:tc>
        <w:tc>
          <w:tcPr>
            <w:tcW w:w="2407" w:type="pct"/>
            <w:tcBorders>
              <w:top w:val="nil"/>
              <w:left w:val="nil"/>
              <w:bottom w:val="single" w:color="auto" w:sz="4" w:space="0"/>
              <w:right w:val="single" w:color="auto" w:sz="4" w:space="0"/>
            </w:tcBorders>
            <w:vAlign w:val="center"/>
          </w:tcPr>
          <w:p w14:paraId="0B2A7F8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京东农业、后稷农业、茅麓茶场、上阮现代农业产业园区</w:t>
            </w:r>
          </w:p>
        </w:tc>
      </w:tr>
      <w:tr w14:paraId="0360357D">
        <w:tblPrEx>
          <w:tblCellMar>
            <w:top w:w="0" w:type="dxa"/>
            <w:left w:w="108" w:type="dxa"/>
            <w:bottom w:w="0" w:type="dxa"/>
            <w:right w:w="108" w:type="dxa"/>
          </w:tblCellMar>
        </w:tblPrEx>
        <w:trPr>
          <w:trHeight w:val="285" w:hRule="atLeast"/>
        </w:trPr>
        <w:tc>
          <w:tcPr>
            <w:tcW w:w="1355" w:type="pct"/>
            <w:vMerge w:val="continue"/>
            <w:tcBorders>
              <w:top w:val="nil"/>
              <w:left w:val="single" w:color="auto" w:sz="4" w:space="0"/>
              <w:bottom w:val="single" w:color="auto" w:sz="4" w:space="0"/>
              <w:right w:val="single" w:color="auto" w:sz="4" w:space="0"/>
            </w:tcBorders>
            <w:vAlign w:val="center"/>
          </w:tcPr>
          <w:p w14:paraId="2BF6A306">
            <w:pPr>
              <w:widowControl/>
              <w:spacing w:line="240" w:lineRule="auto"/>
              <w:ind w:firstLine="0" w:firstLineChars="0"/>
              <w:jc w:val="left"/>
              <w:rPr>
                <w:rFonts w:cs="Times New Roman"/>
                <w:color w:val="000000"/>
                <w:kern w:val="0"/>
                <w:sz w:val="21"/>
                <w:szCs w:val="21"/>
                <w14:ligatures w14:val="none"/>
              </w:rPr>
            </w:pPr>
          </w:p>
        </w:tc>
        <w:tc>
          <w:tcPr>
            <w:tcW w:w="1238" w:type="pct"/>
            <w:tcBorders>
              <w:top w:val="nil"/>
              <w:left w:val="nil"/>
              <w:bottom w:val="single" w:color="auto" w:sz="4" w:space="0"/>
              <w:right w:val="single" w:color="auto" w:sz="4" w:space="0"/>
            </w:tcBorders>
            <w:vAlign w:val="center"/>
          </w:tcPr>
          <w:p w14:paraId="2FD8EE5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FAH动物与植物展示地</w:t>
            </w:r>
          </w:p>
        </w:tc>
        <w:tc>
          <w:tcPr>
            <w:tcW w:w="2407" w:type="pct"/>
            <w:tcBorders>
              <w:top w:val="nil"/>
              <w:left w:val="nil"/>
              <w:bottom w:val="single" w:color="auto" w:sz="4" w:space="0"/>
              <w:right w:val="single" w:color="auto" w:sz="4" w:space="0"/>
            </w:tcBorders>
            <w:vAlign w:val="center"/>
          </w:tcPr>
          <w:p w14:paraId="303BDB7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江南孔雀园</w:t>
            </w:r>
          </w:p>
        </w:tc>
      </w:tr>
      <w:tr w14:paraId="2CE925D1">
        <w:tblPrEx>
          <w:tblCellMar>
            <w:top w:w="0" w:type="dxa"/>
            <w:left w:w="108" w:type="dxa"/>
            <w:bottom w:w="0" w:type="dxa"/>
            <w:right w:w="108" w:type="dxa"/>
          </w:tblCellMar>
        </w:tblPrEx>
        <w:trPr>
          <w:trHeight w:val="285" w:hRule="atLeast"/>
        </w:trPr>
        <w:tc>
          <w:tcPr>
            <w:tcW w:w="1355" w:type="pct"/>
            <w:vMerge w:val="continue"/>
            <w:tcBorders>
              <w:top w:val="nil"/>
              <w:left w:val="single" w:color="auto" w:sz="4" w:space="0"/>
              <w:bottom w:val="single" w:color="auto" w:sz="4" w:space="0"/>
              <w:right w:val="single" w:color="auto" w:sz="4" w:space="0"/>
            </w:tcBorders>
            <w:vAlign w:val="center"/>
          </w:tcPr>
          <w:p w14:paraId="1CF09F2E">
            <w:pPr>
              <w:widowControl/>
              <w:spacing w:line="240" w:lineRule="auto"/>
              <w:ind w:firstLine="0" w:firstLineChars="0"/>
              <w:jc w:val="left"/>
              <w:rPr>
                <w:rFonts w:cs="Times New Roman"/>
                <w:color w:val="000000"/>
                <w:kern w:val="0"/>
                <w:sz w:val="21"/>
                <w:szCs w:val="21"/>
                <w14:ligatures w14:val="none"/>
              </w:rPr>
            </w:pPr>
          </w:p>
        </w:tc>
        <w:tc>
          <w:tcPr>
            <w:tcW w:w="1238" w:type="pct"/>
            <w:tcBorders>
              <w:top w:val="nil"/>
              <w:left w:val="nil"/>
              <w:bottom w:val="single" w:color="auto" w:sz="4" w:space="0"/>
              <w:right w:val="single" w:color="auto" w:sz="4" w:space="0"/>
            </w:tcBorders>
            <w:vAlign w:val="center"/>
          </w:tcPr>
          <w:p w14:paraId="561765F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FAI 军事观光地</w:t>
            </w:r>
          </w:p>
        </w:tc>
        <w:tc>
          <w:tcPr>
            <w:tcW w:w="2407" w:type="pct"/>
            <w:tcBorders>
              <w:top w:val="nil"/>
              <w:left w:val="nil"/>
              <w:bottom w:val="single" w:color="auto" w:sz="4" w:space="0"/>
              <w:right w:val="single" w:color="auto" w:sz="4" w:space="0"/>
            </w:tcBorders>
            <w:vAlign w:val="center"/>
          </w:tcPr>
          <w:p w14:paraId="5AAFFF7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茅山飞行营地</w:t>
            </w:r>
          </w:p>
        </w:tc>
      </w:tr>
      <w:tr w14:paraId="69CE062C">
        <w:tblPrEx>
          <w:tblCellMar>
            <w:top w:w="0" w:type="dxa"/>
            <w:left w:w="108" w:type="dxa"/>
            <w:bottom w:w="0" w:type="dxa"/>
            <w:right w:w="108" w:type="dxa"/>
          </w:tblCellMar>
        </w:tblPrEx>
        <w:trPr>
          <w:trHeight w:val="525" w:hRule="atLeast"/>
        </w:trPr>
        <w:tc>
          <w:tcPr>
            <w:tcW w:w="1355" w:type="pct"/>
            <w:tcBorders>
              <w:top w:val="single" w:color="auto" w:sz="4" w:space="0"/>
              <w:left w:val="single" w:color="auto" w:sz="4" w:space="0"/>
              <w:bottom w:val="single" w:color="auto" w:sz="4" w:space="0"/>
              <w:right w:val="single" w:color="auto" w:sz="4" w:space="0"/>
            </w:tcBorders>
            <w:vAlign w:val="center"/>
          </w:tcPr>
          <w:p w14:paraId="075CA0B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FD 居住地与社区</w:t>
            </w:r>
          </w:p>
        </w:tc>
        <w:tc>
          <w:tcPr>
            <w:tcW w:w="1238" w:type="pct"/>
            <w:tcBorders>
              <w:top w:val="nil"/>
              <w:left w:val="nil"/>
              <w:bottom w:val="single" w:color="auto" w:sz="4" w:space="0"/>
              <w:right w:val="single" w:color="auto" w:sz="4" w:space="0"/>
            </w:tcBorders>
            <w:vAlign w:val="center"/>
          </w:tcPr>
          <w:p w14:paraId="078F360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FDC 特色社区</w:t>
            </w:r>
          </w:p>
        </w:tc>
        <w:tc>
          <w:tcPr>
            <w:tcW w:w="2407" w:type="pct"/>
            <w:tcBorders>
              <w:top w:val="nil"/>
              <w:left w:val="nil"/>
              <w:bottom w:val="single" w:color="auto" w:sz="4" w:space="0"/>
              <w:right w:val="single" w:color="auto" w:sz="4" w:space="0"/>
            </w:tcBorders>
            <w:vAlign w:val="center"/>
          </w:tcPr>
          <w:p w14:paraId="1C1842F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仙姑村、金沙湾乡村俱乐部</w:t>
            </w:r>
          </w:p>
        </w:tc>
      </w:tr>
      <w:tr w14:paraId="5928528F">
        <w:tblPrEx>
          <w:tblCellMar>
            <w:top w:w="0" w:type="dxa"/>
            <w:left w:w="108" w:type="dxa"/>
            <w:bottom w:w="0" w:type="dxa"/>
            <w:right w:w="108" w:type="dxa"/>
          </w:tblCellMar>
        </w:tblPrEx>
        <w:trPr>
          <w:trHeight w:val="285" w:hRule="atLeast"/>
        </w:trPr>
        <w:tc>
          <w:tcPr>
            <w:tcW w:w="1355" w:type="pct"/>
            <w:tcBorders>
              <w:top w:val="single" w:color="auto" w:sz="4" w:space="0"/>
              <w:left w:val="single" w:color="auto" w:sz="4" w:space="0"/>
              <w:bottom w:val="single" w:color="auto" w:sz="4" w:space="0"/>
              <w:right w:val="single" w:color="auto" w:sz="4" w:space="0"/>
            </w:tcBorders>
            <w:vAlign w:val="center"/>
          </w:tcPr>
          <w:p w14:paraId="1FCFBD4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FE归葬地</w:t>
            </w:r>
          </w:p>
        </w:tc>
        <w:tc>
          <w:tcPr>
            <w:tcW w:w="1238" w:type="pct"/>
            <w:tcBorders>
              <w:top w:val="nil"/>
              <w:left w:val="nil"/>
              <w:bottom w:val="single" w:color="auto" w:sz="4" w:space="0"/>
              <w:right w:val="single" w:color="auto" w:sz="4" w:space="0"/>
            </w:tcBorders>
            <w:vAlign w:val="center"/>
          </w:tcPr>
          <w:p w14:paraId="7F9CE07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FEB 墓（群）</w:t>
            </w:r>
          </w:p>
        </w:tc>
        <w:tc>
          <w:tcPr>
            <w:tcW w:w="2407" w:type="pct"/>
            <w:tcBorders>
              <w:top w:val="nil"/>
              <w:left w:val="nil"/>
              <w:bottom w:val="single" w:color="auto" w:sz="4" w:space="0"/>
              <w:right w:val="single" w:color="auto" w:sz="4" w:space="0"/>
            </w:tcBorders>
            <w:vAlign w:val="center"/>
          </w:tcPr>
          <w:p w14:paraId="405D5F9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金坛土墩墓群</w:t>
            </w:r>
          </w:p>
        </w:tc>
      </w:tr>
      <w:tr w14:paraId="051F6C2E">
        <w:tblPrEx>
          <w:tblCellMar>
            <w:top w:w="0" w:type="dxa"/>
            <w:left w:w="108" w:type="dxa"/>
            <w:bottom w:w="0" w:type="dxa"/>
            <w:right w:w="108" w:type="dxa"/>
          </w:tblCellMar>
        </w:tblPrEx>
        <w:trPr>
          <w:trHeight w:val="285" w:hRule="atLeast"/>
        </w:trPr>
        <w:tc>
          <w:tcPr>
            <w:tcW w:w="1355" w:type="pct"/>
            <w:tcBorders>
              <w:top w:val="nil"/>
              <w:left w:val="single" w:color="auto" w:sz="4" w:space="0"/>
              <w:bottom w:val="single" w:color="auto" w:sz="4" w:space="0"/>
              <w:right w:val="single" w:color="auto" w:sz="4" w:space="0"/>
            </w:tcBorders>
            <w:vAlign w:val="center"/>
          </w:tcPr>
          <w:p w14:paraId="7AF40EB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FF 交通建筑</w:t>
            </w:r>
          </w:p>
        </w:tc>
        <w:tc>
          <w:tcPr>
            <w:tcW w:w="1238" w:type="pct"/>
            <w:tcBorders>
              <w:top w:val="nil"/>
              <w:left w:val="nil"/>
              <w:bottom w:val="single" w:color="auto" w:sz="4" w:space="0"/>
              <w:right w:val="single" w:color="auto" w:sz="4" w:space="0"/>
            </w:tcBorders>
            <w:vAlign w:val="center"/>
          </w:tcPr>
          <w:p w14:paraId="7FE5695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FFB 车站</w:t>
            </w:r>
          </w:p>
        </w:tc>
        <w:tc>
          <w:tcPr>
            <w:tcW w:w="2407" w:type="pct"/>
            <w:tcBorders>
              <w:top w:val="nil"/>
              <w:left w:val="nil"/>
              <w:bottom w:val="single" w:color="auto" w:sz="4" w:space="0"/>
              <w:right w:val="single" w:color="auto" w:sz="4" w:space="0"/>
            </w:tcBorders>
            <w:vAlign w:val="center"/>
          </w:tcPr>
          <w:p w14:paraId="1F07B10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茅山旅游集散中心、茅山服务区</w:t>
            </w:r>
          </w:p>
        </w:tc>
      </w:tr>
      <w:tr w14:paraId="49F76167">
        <w:tblPrEx>
          <w:tblCellMar>
            <w:top w:w="0" w:type="dxa"/>
            <w:left w:w="108" w:type="dxa"/>
            <w:bottom w:w="0" w:type="dxa"/>
            <w:right w:w="108" w:type="dxa"/>
          </w:tblCellMar>
        </w:tblPrEx>
        <w:trPr>
          <w:trHeight w:val="525" w:hRule="atLeast"/>
        </w:trPr>
        <w:tc>
          <w:tcPr>
            <w:tcW w:w="1355" w:type="pct"/>
            <w:tcBorders>
              <w:top w:val="nil"/>
              <w:left w:val="single" w:color="auto" w:sz="4" w:space="0"/>
              <w:bottom w:val="single" w:color="auto" w:sz="4" w:space="0"/>
              <w:right w:val="single" w:color="auto" w:sz="4" w:space="0"/>
            </w:tcBorders>
            <w:vAlign w:val="center"/>
          </w:tcPr>
          <w:p w14:paraId="2185E63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GA 地方旅游商品</w:t>
            </w:r>
          </w:p>
        </w:tc>
        <w:tc>
          <w:tcPr>
            <w:tcW w:w="1238" w:type="pct"/>
            <w:tcBorders>
              <w:top w:val="nil"/>
              <w:left w:val="nil"/>
              <w:bottom w:val="single" w:color="auto" w:sz="4" w:space="0"/>
              <w:right w:val="single" w:color="auto" w:sz="4" w:space="0"/>
            </w:tcBorders>
            <w:vAlign w:val="center"/>
          </w:tcPr>
          <w:p w14:paraId="28DEC7F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GAB 农林畜产品与制品</w:t>
            </w:r>
          </w:p>
        </w:tc>
        <w:tc>
          <w:tcPr>
            <w:tcW w:w="2407" w:type="pct"/>
            <w:tcBorders>
              <w:top w:val="nil"/>
              <w:left w:val="nil"/>
              <w:bottom w:val="single" w:color="auto" w:sz="4" w:space="0"/>
              <w:right w:val="single" w:color="auto" w:sz="4" w:space="0"/>
            </w:tcBorders>
            <w:vAlign w:val="center"/>
          </w:tcPr>
          <w:p w14:paraId="05A9463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茅山青峰</w:t>
            </w:r>
          </w:p>
        </w:tc>
      </w:tr>
      <w:tr w14:paraId="58272FCF">
        <w:tblPrEx>
          <w:tblCellMar>
            <w:top w:w="0" w:type="dxa"/>
            <w:left w:w="108" w:type="dxa"/>
            <w:bottom w:w="0" w:type="dxa"/>
            <w:right w:w="108" w:type="dxa"/>
          </w:tblCellMar>
        </w:tblPrEx>
        <w:trPr>
          <w:trHeight w:val="510" w:hRule="atLeast"/>
        </w:trPr>
        <w:tc>
          <w:tcPr>
            <w:tcW w:w="1355" w:type="pct"/>
            <w:tcBorders>
              <w:top w:val="nil"/>
              <w:left w:val="single" w:color="auto" w:sz="4" w:space="0"/>
              <w:bottom w:val="single" w:color="auto" w:sz="4" w:space="0"/>
              <w:right w:val="single" w:color="auto" w:sz="4" w:space="0"/>
            </w:tcBorders>
            <w:vAlign w:val="center"/>
          </w:tcPr>
          <w:p w14:paraId="326099D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HA 人事记录</w:t>
            </w:r>
          </w:p>
        </w:tc>
        <w:tc>
          <w:tcPr>
            <w:tcW w:w="1238" w:type="pct"/>
            <w:tcBorders>
              <w:top w:val="nil"/>
              <w:left w:val="nil"/>
              <w:bottom w:val="single" w:color="auto" w:sz="4" w:space="0"/>
              <w:right w:val="single" w:color="auto" w:sz="4" w:space="0"/>
            </w:tcBorders>
            <w:vAlign w:val="center"/>
          </w:tcPr>
          <w:p w14:paraId="3EF9A1E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HAA 人物</w:t>
            </w:r>
          </w:p>
        </w:tc>
        <w:tc>
          <w:tcPr>
            <w:tcW w:w="2407" w:type="pct"/>
            <w:tcBorders>
              <w:top w:val="nil"/>
              <w:left w:val="nil"/>
              <w:bottom w:val="single" w:color="auto" w:sz="4" w:space="0"/>
              <w:right w:val="single" w:color="auto" w:sz="4" w:space="0"/>
            </w:tcBorders>
            <w:vAlign w:val="center"/>
          </w:tcPr>
          <w:p w14:paraId="09C4A62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三茅真君（茅盈、茅固、茅衷）、葛洪、陶弘景</w:t>
            </w:r>
          </w:p>
        </w:tc>
      </w:tr>
    </w:tbl>
    <w:p w14:paraId="72620BE3">
      <w:pPr>
        <w:ind w:firstLine="480"/>
      </w:pPr>
      <w:r>
        <w:rPr>
          <w:rFonts w:hint="eastAsia"/>
        </w:rPr>
        <w:t>度假区</w:t>
      </w:r>
      <w:r>
        <w:t>45</w:t>
      </w:r>
      <w:r>
        <w:rPr>
          <w:rFonts w:hint="eastAsia"/>
        </w:rPr>
        <w:t>个旅游资源中，三星级及以上旅游资源共2</w:t>
      </w:r>
      <w:r>
        <w:t>8</w:t>
      </w:r>
      <w:r>
        <w:rPr>
          <w:rFonts w:hint="eastAsia"/>
        </w:rPr>
        <w:t>个，占旅游资源总数的</w:t>
      </w:r>
      <w:r>
        <w:t>62.22%</w:t>
      </w:r>
      <w:r>
        <w:rPr>
          <w:rFonts w:hint="eastAsia"/>
        </w:rPr>
        <w:t>；其中三星级及以上自然类旅游资源1</w:t>
      </w:r>
      <w:r>
        <w:t>2</w:t>
      </w:r>
      <w:r>
        <w:rPr>
          <w:rFonts w:hint="eastAsia"/>
        </w:rPr>
        <w:t>个，占比4</w:t>
      </w:r>
      <w:r>
        <w:t>2.86%</w:t>
      </w:r>
      <w:r>
        <w:rPr>
          <w:rFonts w:hint="eastAsia"/>
        </w:rPr>
        <w:t>，包括茅山风景名胜区1个五级旅游资源；三星级及以上人文类旅游资源</w:t>
      </w:r>
      <w:r>
        <w:t>16</w:t>
      </w:r>
      <w:r>
        <w:rPr>
          <w:rFonts w:hint="eastAsia"/>
        </w:rPr>
        <w:t>个，占比</w:t>
      </w:r>
      <w:r>
        <w:t>57.17%</w:t>
      </w:r>
      <w:r>
        <w:rPr>
          <w:rFonts w:hint="eastAsia"/>
        </w:rPr>
        <w:t>，包括东方盐湖城、乾元观、九霄万福官3个五级旅游资源（附图33）。</w:t>
      </w:r>
    </w:p>
    <w:p w14:paraId="6A67D068">
      <w:pPr>
        <w:pStyle w:val="45"/>
        <w:rPr>
          <w:rFonts w:cs="Times New Roman"/>
        </w:rPr>
        <w:sectPr>
          <w:pgSz w:w="11906" w:h="16838"/>
          <w:pgMar w:top="1440" w:right="1800" w:bottom="1440" w:left="1800" w:header="851" w:footer="992" w:gutter="0"/>
          <w:cols w:space="425" w:num="1"/>
          <w:docGrid w:type="lines" w:linePitch="312" w:charSpace="0"/>
        </w:sectPr>
      </w:pPr>
    </w:p>
    <w:p w14:paraId="366EEEB0">
      <w:pPr>
        <w:pStyle w:val="45"/>
        <w:rPr>
          <w:rFonts w:cs="Times New Roman"/>
        </w:rPr>
      </w:pPr>
      <w:r>
        <w:rPr>
          <w:rFonts w:hint="eastAsia" w:cs="Times New Roman"/>
        </w:rPr>
        <w:t>表3.3-</w:t>
      </w:r>
      <w:r>
        <w:rPr>
          <w:rFonts w:cs="Times New Roman"/>
        </w:rPr>
        <w:t>3</w:t>
      </w:r>
      <w:r>
        <w:rPr>
          <w:rFonts w:hint="eastAsia" w:cs="Times New Roman"/>
        </w:rPr>
        <w:t xml:space="preserve"> </w:t>
      </w:r>
      <w:r>
        <w:rPr>
          <w:rFonts w:cs="Times New Roman"/>
        </w:rPr>
        <w:t xml:space="preserve"> </w:t>
      </w:r>
      <w:r>
        <w:rPr>
          <w:rFonts w:hint="eastAsia" w:cs="Times New Roman"/>
        </w:rPr>
        <w:t>度假区三星级及以上旅游资源</w:t>
      </w:r>
    </w:p>
    <w:tbl>
      <w:tblPr>
        <w:tblStyle w:val="25"/>
        <w:tblW w:w="5000" w:type="pct"/>
        <w:tblInd w:w="0" w:type="dxa"/>
        <w:tblLayout w:type="autofit"/>
        <w:tblCellMar>
          <w:top w:w="0" w:type="dxa"/>
          <w:left w:w="108" w:type="dxa"/>
          <w:bottom w:w="0" w:type="dxa"/>
          <w:right w:w="108" w:type="dxa"/>
        </w:tblCellMar>
      </w:tblPr>
      <w:tblGrid>
        <w:gridCol w:w="1285"/>
        <w:gridCol w:w="1856"/>
        <w:gridCol w:w="5381"/>
      </w:tblGrid>
      <w:tr w14:paraId="51B0DB43">
        <w:tblPrEx>
          <w:tblCellMar>
            <w:top w:w="0" w:type="dxa"/>
            <w:left w:w="108" w:type="dxa"/>
            <w:bottom w:w="0" w:type="dxa"/>
            <w:right w:w="108" w:type="dxa"/>
          </w:tblCellMar>
        </w:tblPrEx>
        <w:trPr>
          <w:trHeight w:val="285" w:hRule="atLeast"/>
          <w:tblHeader/>
        </w:trPr>
        <w:tc>
          <w:tcPr>
            <w:tcW w:w="754" w:type="pct"/>
            <w:tcBorders>
              <w:top w:val="single" w:color="auto" w:sz="4" w:space="0"/>
              <w:left w:val="single" w:color="auto" w:sz="4" w:space="0"/>
              <w:bottom w:val="single" w:color="auto" w:sz="4" w:space="0"/>
              <w:right w:val="single" w:color="auto" w:sz="4" w:space="0"/>
            </w:tcBorders>
            <w:vAlign w:val="center"/>
          </w:tcPr>
          <w:p w14:paraId="58C7AD14">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类别</w:t>
            </w:r>
          </w:p>
        </w:tc>
        <w:tc>
          <w:tcPr>
            <w:tcW w:w="1089" w:type="pct"/>
            <w:tcBorders>
              <w:top w:val="single" w:color="auto" w:sz="4" w:space="0"/>
              <w:left w:val="nil"/>
              <w:bottom w:val="single" w:color="auto" w:sz="4" w:space="0"/>
              <w:right w:val="single" w:color="auto" w:sz="4" w:space="0"/>
            </w:tcBorders>
            <w:vAlign w:val="center"/>
          </w:tcPr>
          <w:p w14:paraId="7F47BB9E">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级别</w:t>
            </w:r>
          </w:p>
        </w:tc>
        <w:tc>
          <w:tcPr>
            <w:tcW w:w="3157" w:type="pct"/>
            <w:tcBorders>
              <w:top w:val="single" w:color="auto" w:sz="4" w:space="0"/>
              <w:left w:val="nil"/>
              <w:bottom w:val="single" w:color="auto" w:sz="4" w:space="0"/>
              <w:right w:val="single" w:color="auto" w:sz="4" w:space="0"/>
            </w:tcBorders>
            <w:vAlign w:val="center"/>
          </w:tcPr>
          <w:p w14:paraId="7DF5970D">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旅游资源</w:t>
            </w:r>
          </w:p>
        </w:tc>
      </w:tr>
      <w:tr w14:paraId="7FC8D824">
        <w:tblPrEx>
          <w:tblCellMar>
            <w:top w:w="0" w:type="dxa"/>
            <w:left w:w="108" w:type="dxa"/>
            <w:bottom w:w="0" w:type="dxa"/>
            <w:right w:w="108" w:type="dxa"/>
          </w:tblCellMar>
        </w:tblPrEx>
        <w:trPr>
          <w:trHeight w:val="570" w:hRule="atLeast"/>
        </w:trPr>
        <w:tc>
          <w:tcPr>
            <w:tcW w:w="754" w:type="pct"/>
            <w:vMerge w:val="restart"/>
            <w:tcBorders>
              <w:top w:val="nil"/>
              <w:left w:val="single" w:color="auto" w:sz="4" w:space="0"/>
              <w:bottom w:val="single" w:color="auto" w:sz="4" w:space="0"/>
              <w:right w:val="single" w:color="auto" w:sz="4" w:space="0"/>
            </w:tcBorders>
            <w:vAlign w:val="center"/>
          </w:tcPr>
          <w:p w14:paraId="08D877D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自然类</w:t>
            </w:r>
          </w:p>
        </w:tc>
        <w:tc>
          <w:tcPr>
            <w:tcW w:w="1089" w:type="pct"/>
            <w:tcBorders>
              <w:top w:val="nil"/>
              <w:left w:val="nil"/>
              <w:bottom w:val="single" w:color="auto" w:sz="4" w:space="0"/>
              <w:right w:val="single" w:color="auto" w:sz="4" w:space="0"/>
            </w:tcBorders>
            <w:vAlign w:val="center"/>
          </w:tcPr>
          <w:p w14:paraId="7379B55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五级旅游资源</w:t>
            </w:r>
          </w:p>
        </w:tc>
        <w:tc>
          <w:tcPr>
            <w:tcW w:w="3157" w:type="pct"/>
            <w:tcBorders>
              <w:top w:val="nil"/>
              <w:left w:val="nil"/>
              <w:bottom w:val="single" w:color="auto" w:sz="4" w:space="0"/>
              <w:right w:val="single" w:color="auto" w:sz="4" w:space="0"/>
            </w:tcBorders>
            <w:vAlign w:val="center"/>
          </w:tcPr>
          <w:p w14:paraId="1F2F973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茅山风景名胜区</w:t>
            </w:r>
          </w:p>
        </w:tc>
      </w:tr>
      <w:tr w14:paraId="65365EB6">
        <w:tblPrEx>
          <w:tblCellMar>
            <w:top w:w="0" w:type="dxa"/>
            <w:left w:w="108" w:type="dxa"/>
            <w:bottom w:w="0" w:type="dxa"/>
            <w:right w:w="108" w:type="dxa"/>
          </w:tblCellMar>
        </w:tblPrEx>
        <w:trPr>
          <w:trHeight w:val="570" w:hRule="atLeast"/>
        </w:trPr>
        <w:tc>
          <w:tcPr>
            <w:tcW w:w="754" w:type="pct"/>
            <w:vMerge w:val="continue"/>
            <w:tcBorders>
              <w:top w:val="nil"/>
              <w:left w:val="single" w:color="auto" w:sz="4" w:space="0"/>
              <w:bottom w:val="single" w:color="auto" w:sz="4" w:space="0"/>
              <w:right w:val="single" w:color="auto" w:sz="4" w:space="0"/>
            </w:tcBorders>
            <w:vAlign w:val="center"/>
          </w:tcPr>
          <w:p w14:paraId="5718E200">
            <w:pPr>
              <w:widowControl/>
              <w:spacing w:line="240" w:lineRule="auto"/>
              <w:ind w:firstLine="0" w:firstLineChars="0"/>
              <w:jc w:val="left"/>
              <w:rPr>
                <w:rFonts w:cs="Times New Roman"/>
                <w:color w:val="000000"/>
                <w:kern w:val="0"/>
                <w:sz w:val="21"/>
                <w:szCs w:val="21"/>
                <w14:ligatures w14:val="none"/>
              </w:rPr>
            </w:pPr>
          </w:p>
        </w:tc>
        <w:tc>
          <w:tcPr>
            <w:tcW w:w="1089" w:type="pct"/>
            <w:tcBorders>
              <w:top w:val="nil"/>
              <w:left w:val="nil"/>
              <w:bottom w:val="single" w:color="auto" w:sz="4" w:space="0"/>
              <w:right w:val="single" w:color="auto" w:sz="4" w:space="0"/>
            </w:tcBorders>
            <w:vAlign w:val="center"/>
          </w:tcPr>
          <w:p w14:paraId="70A2FCD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四级旅游资源</w:t>
            </w:r>
          </w:p>
        </w:tc>
        <w:tc>
          <w:tcPr>
            <w:tcW w:w="3157" w:type="pct"/>
            <w:tcBorders>
              <w:top w:val="nil"/>
              <w:left w:val="nil"/>
              <w:bottom w:val="single" w:color="auto" w:sz="4" w:space="0"/>
              <w:right w:val="single" w:color="auto" w:sz="4" w:space="0"/>
            </w:tcBorders>
            <w:vAlign w:val="center"/>
          </w:tcPr>
          <w:p w14:paraId="37CA414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方山森林公园、茅麓茶场、金沙湾乡村俱乐部、上阮现代农业产业园区</w:t>
            </w:r>
          </w:p>
        </w:tc>
      </w:tr>
      <w:tr w14:paraId="538D2962">
        <w:tblPrEx>
          <w:tblCellMar>
            <w:top w:w="0" w:type="dxa"/>
            <w:left w:w="108" w:type="dxa"/>
            <w:bottom w:w="0" w:type="dxa"/>
            <w:right w:w="108" w:type="dxa"/>
          </w:tblCellMar>
        </w:tblPrEx>
        <w:trPr>
          <w:trHeight w:val="570" w:hRule="atLeast"/>
        </w:trPr>
        <w:tc>
          <w:tcPr>
            <w:tcW w:w="754" w:type="pct"/>
            <w:vMerge w:val="continue"/>
            <w:tcBorders>
              <w:top w:val="nil"/>
              <w:left w:val="single" w:color="auto" w:sz="4" w:space="0"/>
              <w:bottom w:val="single" w:color="auto" w:sz="4" w:space="0"/>
              <w:right w:val="single" w:color="auto" w:sz="4" w:space="0"/>
            </w:tcBorders>
            <w:vAlign w:val="center"/>
          </w:tcPr>
          <w:p w14:paraId="71DC4EDF">
            <w:pPr>
              <w:widowControl/>
              <w:spacing w:line="240" w:lineRule="auto"/>
              <w:ind w:firstLine="0" w:firstLineChars="0"/>
              <w:jc w:val="left"/>
              <w:rPr>
                <w:rFonts w:cs="Times New Roman"/>
                <w:color w:val="000000"/>
                <w:kern w:val="0"/>
                <w:sz w:val="21"/>
                <w:szCs w:val="21"/>
                <w14:ligatures w14:val="none"/>
              </w:rPr>
            </w:pPr>
          </w:p>
        </w:tc>
        <w:tc>
          <w:tcPr>
            <w:tcW w:w="1089" w:type="pct"/>
            <w:tcBorders>
              <w:top w:val="nil"/>
              <w:left w:val="nil"/>
              <w:bottom w:val="single" w:color="auto" w:sz="4" w:space="0"/>
              <w:right w:val="single" w:color="auto" w:sz="4" w:space="0"/>
            </w:tcBorders>
            <w:vAlign w:val="center"/>
          </w:tcPr>
          <w:p w14:paraId="2BCAAA4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三级旅游资源</w:t>
            </w:r>
          </w:p>
        </w:tc>
        <w:tc>
          <w:tcPr>
            <w:tcW w:w="3157" w:type="pct"/>
            <w:tcBorders>
              <w:top w:val="nil"/>
              <w:left w:val="nil"/>
              <w:bottom w:val="single" w:color="auto" w:sz="4" w:space="0"/>
              <w:right w:val="single" w:color="auto" w:sz="4" w:space="0"/>
            </w:tcBorders>
            <w:vAlign w:val="center"/>
          </w:tcPr>
          <w:p w14:paraId="18F3944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茅东水库、新浮水库、东进水库、海底水库、茅东林场、金牛洞、江南孔雀园</w:t>
            </w:r>
          </w:p>
        </w:tc>
      </w:tr>
      <w:tr w14:paraId="0EC82A56">
        <w:tblPrEx>
          <w:tblCellMar>
            <w:top w:w="0" w:type="dxa"/>
            <w:left w:w="108" w:type="dxa"/>
            <w:bottom w:w="0" w:type="dxa"/>
            <w:right w:w="108" w:type="dxa"/>
          </w:tblCellMar>
        </w:tblPrEx>
        <w:trPr>
          <w:trHeight w:val="285" w:hRule="atLeast"/>
        </w:trPr>
        <w:tc>
          <w:tcPr>
            <w:tcW w:w="754" w:type="pct"/>
            <w:vMerge w:val="restart"/>
            <w:tcBorders>
              <w:top w:val="nil"/>
              <w:left w:val="single" w:color="auto" w:sz="4" w:space="0"/>
              <w:bottom w:val="single" w:color="auto" w:sz="4" w:space="0"/>
              <w:right w:val="single" w:color="auto" w:sz="4" w:space="0"/>
            </w:tcBorders>
            <w:vAlign w:val="center"/>
          </w:tcPr>
          <w:p w14:paraId="6979858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人文类</w:t>
            </w:r>
          </w:p>
        </w:tc>
        <w:tc>
          <w:tcPr>
            <w:tcW w:w="1089" w:type="pct"/>
            <w:tcBorders>
              <w:top w:val="nil"/>
              <w:left w:val="nil"/>
              <w:bottom w:val="single" w:color="auto" w:sz="4" w:space="0"/>
              <w:right w:val="single" w:color="auto" w:sz="4" w:space="0"/>
            </w:tcBorders>
            <w:vAlign w:val="center"/>
          </w:tcPr>
          <w:p w14:paraId="76040EE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五级旅游资源</w:t>
            </w:r>
          </w:p>
        </w:tc>
        <w:tc>
          <w:tcPr>
            <w:tcW w:w="3157" w:type="pct"/>
            <w:tcBorders>
              <w:top w:val="nil"/>
              <w:left w:val="nil"/>
              <w:bottom w:val="single" w:color="auto" w:sz="4" w:space="0"/>
              <w:right w:val="single" w:color="auto" w:sz="4" w:space="0"/>
            </w:tcBorders>
            <w:vAlign w:val="center"/>
          </w:tcPr>
          <w:p w14:paraId="14BC16E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东方盐湖城、乾元观、九霄万福宫</w:t>
            </w:r>
          </w:p>
        </w:tc>
      </w:tr>
      <w:tr w14:paraId="20F7FF83">
        <w:tblPrEx>
          <w:tblCellMar>
            <w:top w:w="0" w:type="dxa"/>
            <w:left w:w="108" w:type="dxa"/>
            <w:bottom w:w="0" w:type="dxa"/>
            <w:right w:w="108" w:type="dxa"/>
          </w:tblCellMar>
        </w:tblPrEx>
        <w:trPr>
          <w:trHeight w:val="285" w:hRule="atLeast"/>
        </w:trPr>
        <w:tc>
          <w:tcPr>
            <w:tcW w:w="754" w:type="pct"/>
            <w:vMerge w:val="continue"/>
            <w:tcBorders>
              <w:top w:val="nil"/>
              <w:left w:val="single" w:color="auto" w:sz="4" w:space="0"/>
              <w:bottom w:val="single" w:color="auto" w:sz="4" w:space="0"/>
              <w:right w:val="single" w:color="auto" w:sz="4" w:space="0"/>
            </w:tcBorders>
            <w:vAlign w:val="center"/>
          </w:tcPr>
          <w:p w14:paraId="300CED79">
            <w:pPr>
              <w:widowControl/>
              <w:spacing w:line="240" w:lineRule="auto"/>
              <w:ind w:firstLine="0" w:firstLineChars="0"/>
              <w:jc w:val="left"/>
              <w:rPr>
                <w:rFonts w:cs="Times New Roman"/>
                <w:color w:val="000000"/>
                <w:kern w:val="0"/>
                <w:sz w:val="21"/>
                <w:szCs w:val="21"/>
                <w14:ligatures w14:val="none"/>
              </w:rPr>
            </w:pPr>
          </w:p>
        </w:tc>
        <w:tc>
          <w:tcPr>
            <w:tcW w:w="1089" w:type="pct"/>
            <w:tcBorders>
              <w:top w:val="nil"/>
              <w:left w:val="nil"/>
              <w:bottom w:val="single" w:color="auto" w:sz="4" w:space="0"/>
              <w:right w:val="single" w:color="auto" w:sz="4" w:space="0"/>
            </w:tcBorders>
            <w:vAlign w:val="center"/>
          </w:tcPr>
          <w:p w14:paraId="7AFF18B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四级旅游资源</w:t>
            </w:r>
          </w:p>
        </w:tc>
        <w:tc>
          <w:tcPr>
            <w:tcW w:w="3157" w:type="pct"/>
            <w:tcBorders>
              <w:top w:val="nil"/>
              <w:left w:val="nil"/>
              <w:bottom w:val="single" w:color="auto" w:sz="4" w:space="0"/>
              <w:right w:val="single" w:color="auto" w:sz="4" w:space="0"/>
            </w:tcBorders>
            <w:vAlign w:val="center"/>
          </w:tcPr>
          <w:p w14:paraId="2763210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花谷奇缘、</w:t>
            </w:r>
            <w:r>
              <w:rPr>
                <w:rFonts w:hint="eastAsia" w:cs="Times New Roman"/>
                <w:kern w:val="0"/>
                <w:sz w:val="21"/>
                <w:szCs w:val="21"/>
                <w14:ligatures w14:val="none"/>
              </w:rPr>
              <w:t>壹号农场、茅山森林世界（原宝盛园）</w:t>
            </w:r>
          </w:p>
        </w:tc>
      </w:tr>
      <w:tr w14:paraId="5B1686F0">
        <w:tblPrEx>
          <w:tblCellMar>
            <w:top w:w="0" w:type="dxa"/>
            <w:left w:w="108" w:type="dxa"/>
            <w:bottom w:w="0" w:type="dxa"/>
            <w:right w:w="108" w:type="dxa"/>
          </w:tblCellMar>
        </w:tblPrEx>
        <w:trPr>
          <w:trHeight w:val="855" w:hRule="atLeast"/>
        </w:trPr>
        <w:tc>
          <w:tcPr>
            <w:tcW w:w="754" w:type="pct"/>
            <w:vMerge w:val="continue"/>
            <w:tcBorders>
              <w:top w:val="nil"/>
              <w:left w:val="single" w:color="auto" w:sz="4" w:space="0"/>
              <w:bottom w:val="single" w:color="auto" w:sz="4" w:space="0"/>
              <w:right w:val="single" w:color="auto" w:sz="4" w:space="0"/>
            </w:tcBorders>
            <w:vAlign w:val="center"/>
          </w:tcPr>
          <w:p w14:paraId="65120DDE">
            <w:pPr>
              <w:widowControl/>
              <w:spacing w:line="240" w:lineRule="auto"/>
              <w:ind w:firstLine="0" w:firstLineChars="0"/>
              <w:jc w:val="left"/>
              <w:rPr>
                <w:rFonts w:cs="Times New Roman"/>
                <w:color w:val="000000"/>
                <w:kern w:val="0"/>
                <w:sz w:val="21"/>
                <w:szCs w:val="21"/>
                <w14:ligatures w14:val="none"/>
              </w:rPr>
            </w:pPr>
          </w:p>
        </w:tc>
        <w:tc>
          <w:tcPr>
            <w:tcW w:w="1089" w:type="pct"/>
            <w:tcBorders>
              <w:top w:val="nil"/>
              <w:left w:val="nil"/>
              <w:bottom w:val="single" w:color="auto" w:sz="4" w:space="0"/>
              <w:right w:val="single" w:color="auto" w:sz="4" w:space="0"/>
            </w:tcBorders>
            <w:vAlign w:val="center"/>
          </w:tcPr>
          <w:p w14:paraId="00AAF03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三级旅游资源</w:t>
            </w:r>
          </w:p>
        </w:tc>
        <w:tc>
          <w:tcPr>
            <w:tcW w:w="3157" w:type="pct"/>
            <w:tcBorders>
              <w:top w:val="nil"/>
              <w:left w:val="nil"/>
              <w:bottom w:val="single" w:color="auto" w:sz="4" w:space="0"/>
              <w:right w:val="single" w:color="auto" w:sz="4" w:space="0"/>
            </w:tcBorders>
            <w:vAlign w:val="center"/>
          </w:tcPr>
          <w:p w14:paraId="38CE3D6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索普度假村、仙姑特色旅游村、气象实验基地、三清观、元阳观、崇寿观、紫云湖、保朴园、茅山服务区、风情玫瑰园</w:t>
            </w:r>
          </w:p>
        </w:tc>
      </w:tr>
    </w:tbl>
    <w:p w14:paraId="0A43876C">
      <w:pPr>
        <w:ind w:firstLine="480"/>
      </w:pPr>
      <w:r>
        <w:rPr>
          <w:rFonts w:hint="eastAsia"/>
        </w:rPr>
        <w:t>东方盐湖城是国家4A级景区，景区以茅山特有的“山、水、茶、盐、药、泉”六大资源及道文化、金坛地缘文化为依托，策划“一观八院十家宿，廿馆百铺千间房”创意型旅游产品，打造集道文化圣地、酒店会议度假、休闲购物、美食餐饮、文化演艺、度假居养等功能于一体的复合型道文化项目，提出了国内首创的“宗教文化展示”“江南神奇山镇”“创意互动体验”三合一开发模式，开创了全新的旅游养生休闲度假模式，被原国家旅游局副局长誉为中国旅游4.0版本的代表性产品。2022年，实现营业收入13788万元。</w:t>
      </w:r>
    </w:p>
    <w:p w14:paraId="5BAEF2BB">
      <w:pPr>
        <w:ind w:firstLine="480"/>
      </w:pPr>
      <w:r>
        <w:rPr>
          <w:rFonts w:hint="eastAsia"/>
        </w:rPr>
        <w:t>花谷奇缘是国家4A级景区，华东地区“花”主题原创旅游目的地。景区以“中国传统花神文化”为主题，将花神文化与西方古典园艺完美结合，最终打造成集观光游览、亲子游乐、文化创意、休闲度假、健康养生等功能于一体，服务与设施一流、观赏性和体验性较高的综合性“花”主题休闲旅游目的地。景区包含花神园、法国花园、荷兰花园等十大特色精品花园及两大原生花海，每年举办春秋两季赏花节，绚丽多彩的花儿，吸引了一大波拍照打卡的游客，一年一度的新春花神庙会和圣诞花园节更是吸引了众多游客参与和体验，平时景区还会常态化组织一些亲子活动，如儿童手工活动、插花、郁金香种植、南瓜DIY等。花谷奇缘是中青年赏花、情侣约会、亲子研学的不二良选。2022年接待游客19.2万人次，实现营业收入948万元。</w:t>
      </w:r>
    </w:p>
    <w:p w14:paraId="61A2C81F">
      <w:pPr>
        <w:ind w:firstLine="480"/>
      </w:pPr>
      <w:r>
        <w:rPr>
          <w:rFonts w:hint="eastAsia"/>
        </w:rPr>
        <w:t>茅山森林世界（原宝盛园）是国家4A级景区，景区背倚江南道教名山茅山二茅峰，怀抱仙姑村海底水库，依托得天独厚的自然环境，围绕“野趣”主题，打造了极限滑草、网红秋千、高空挑战塔、玻璃滑道、天空步道、丛林漂流等近四十项山野游乐项目，艺术、盆景、赏石茶艺等三大博物馆，茅山肴、大灶台、野趣烧烤、石锅饭四大山野珍味，以及野趣度假别墅、星空球形帐篷酒店、茶田帐篷酒店、竹林山居、茶田山居五大山野美宿，整体形成了集“亲子趣玩、研学团建、网红打卡、美宿度假”等为一体的山野度假游玩胜地，被誉为“藏在山野里的度假乐园”。2</w:t>
      </w:r>
      <w:r>
        <w:t>022</w:t>
      </w:r>
      <w:r>
        <w:rPr>
          <w:rFonts w:hint="eastAsia"/>
        </w:rPr>
        <w:t>年接待游客29.7万人次，实现营业收入4670万元。</w:t>
      </w:r>
    </w:p>
    <w:p w14:paraId="3CE44572">
      <w:pPr>
        <w:ind w:firstLine="480"/>
      </w:pPr>
      <w:r>
        <w:rPr>
          <w:rFonts w:hint="eastAsia"/>
        </w:rPr>
        <w:t>金牛洞，又称金牛穴，位于大茅峰南陲金牛岭西坡半腰的密林翠竹之中。相传汉代时有人于洞内采金，曾掘得金牛一尊，此牛经丁角、上栏、下栏、奔牛等地而入东海，故得“金牛洞”之名。金牛洞为远岸大四层近岸小八层的立体空间结构，洞内建有洞中走廊，景区与景区之间有自生的地下通道。金牛河处在半山腰密林之间，山洞看起来很普通，但是非常传奇，有许多流传久远的传说故事。从金牛洞至茅山顶宫，你可以乘坐号称江南第一巨型吊篮式的索道，全长818米，这就是闻名大江南北的金牛岭索道，通达茅山之巅，拾级而上，风景独好。</w:t>
      </w:r>
    </w:p>
    <w:p w14:paraId="1C490DBE">
      <w:pPr>
        <w:ind w:firstLine="480"/>
      </w:pPr>
      <w:r>
        <w:rPr>
          <w:rFonts w:hint="eastAsia"/>
        </w:rPr>
        <w:t>壹号农场是华东地区大型集有机农业、萌宠互动、乡村休闲、农业科普、动物科普“五位一体”的创新型动物主题休闲度假田园综合体。景区以美丽乡村休闲度假旅游为主，以萌宠动物科普互动体验为辅，分为车行自驾区、原野运动拓展区、萌宠互动体验区三大板块，在这里不仅可以与性格温顺、互动性强的萌宠动物和牧场动物嬉戏玩耍，还能在明都庄园酒店享有机餐、住主题房。</w:t>
      </w:r>
    </w:p>
    <w:p w14:paraId="39A0F802">
      <w:pPr>
        <w:ind w:firstLine="480"/>
      </w:pPr>
      <w:r>
        <w:rPr>
          <w:rFonts w:hint="eastAsia"/>
        </w:rPr>
        <w:t>仙姑村是全国乡村旅游重点村，福地仙居，醉美仙姑。仙姑村拥有茅山森林世界、一号农场·萌动乐园、野松岭度假酒店等旅游项目，建有采摘园6个、垂钓中心3个、农家乐饭店23家、民宿16家、生态园3个。这里不仅有名扬方圆百里的仙姑农家菜，还有鹅货店、鹅村艺术馆、稻田咖啡、稻田小火车、ATV山地越野、星空流浪舱等特色体验，IP形象鹅小仙更是广受游客喜爱，是周末乡村微度假的不二之选。</w:t>
      </w:r>
    </w:p>
    <w:p w14:paraId="6F57313A">
      <w:pPr>
        <w:pStyle w:val="45"/>
        <w:rPr>
          <w:rFonts w:cs="Times New Roman"/>
        </w:rPr>
      </w:pPr>
      <w:r>
        <w:rPr>
          <w:rFonts w:cs="Times New Roman"/>
        </w:rPr>
        <w:drawing>
          <wp:anchor distT="0" distB="0" distL="114300" distR="114300" simplePos="0" relativeHeight="251659264" behindDoc="0" locked="0" layoutInCell="1" allowOverlap="1">
            <wp:simplePos x="0" y="0"/>
            <wp:positionH relativeFrom="column">
              <wp:posOffset>1905</wp:posOffset>
            </wp:positionH>
            <wp:positionV relativeFrom="paragraph">
              <wp:posOffset>0</wp:posOffset>
            </wp:positionV>
            <wp:extent cx="5274310" cy="6345555"/>
            <wp:effectExtent l="0" t="0" r="2540" b="0"/>
            <wp:wrapTopAndBottom/>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274310" cy="6345555"/>
                    </a:xfrm>
                    <a:prstGeom prst="rect">
                      <a:avLst/>
                    </a:prstGeom>
                  </pic:spPr>
                </pic:pic>
              </a:graphicData>
            </a:graphic>
          </wp:anchor>
        </w:drawing>
      </w:r>
      <w:r>
        <w:rPr>
          <w:rFonts w:hint="eastAsia" w:cs="Times New Roman"/>
        </w:rPr>
        <w:t>图3.3-</w:t>
      </w:r>
      <w:r>
        <w:rPr>
          <w:rFonts w:cs="Times New Roman"/>
        </w:rPr>
        <w:t>1</w:t>
      </w:r>
      <w:r>
        <w:rPr>
          <w:rFonts w:hint="eastAsia" w:cs="Times New Roman"/>
        </w:rPr>
        <w:t xml:space="preserve"> </w:t>
      </w:r>
      <w:r>
        <w:rPr>
          <w:rFonts w:cs="Times New Roman"/>
        </w:rPr>
        <w:t xml:space="preserve"> </w:t>
      </w:r>
      <w:r>
        <w:rPr>
          <w:rFonts w:hint="eastAsia" w:cs="Times New Roman"/>
        </w:rPr>
        <w:t>度假区重点旅游资源</w:t>
      </w:r>
    </w:p>
    <w:p w14:paraId="7F08695D">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3.3.</w:t>
      </w:r>
      <w:r>
        <w:rPr>
          <w:rFonts w:hint="eastAsia" w:eastAsia="方正楷体_GBK" w:cs="Times New Roman"/>
          <w:b/>
          <w:bCs/>
          <w:szCs w:val="28"/>
          <w14:ligatures w14:val="none"/>
        </w:rPr>
        <w:t>5人文资源</w:t>
      </w:r>
    </w:p>
    <w:p w14:paraId="00BF1930">
      <w:pPr>
        <w:ind w:firstLine="482"/>
        <w:rPr>
          <w:rFonts w:cs="Times New Roman"/>
        </w:rPr>
      </w:pPr>
      <w:r>
        <w:rPr>
          <w:rFonts w:hint="eastAsia" w:cs="Times New Roman"/>
          <w:b/>
          <w:bCs/>
        </w:rPr>
        <w:t>逍遥文化集聚。</w:t>
      </w:r>
      <w:r>
        <w:rPr>
          <w:rFonts w:hint="eastAsia" w:cs="Times New Roman"/>
        </w:rPr>
        <w:t>金坛茅山素有“秦汉神仙府、梁唐宰相家”之美誉，“山中宰相”南北朝文学家陶弘景、唐代诗人李白、顾况、金坛籍诗人储光羲、宋代诗人王安石等，都曾在金坛茅山寻访、探幽，书写了许多脍炙人口的美丽诗篇。唐代大诗人王勃更是留下了“金坛疏俗宇，玉洞侣仙群”“琴尊方待兴，竹树已迎曛”的千年邀约。自古以来，金坛茅山就不乏归隐于此的文人雅士，吟诗作赋、谈情会友，在金坛茅山探寻“逍遥之道”。金坛籍明代思想家、学者洪应明所编写的《菜根谭》的重要论述“自得之士，逍遥自适”，可以说是金坛茅山衍生的“逍遥”文化最重要表达之一。“逍遥”已成为金坛茅山“自由自在、天人合一”人文气质的高度凝练，区域属地文化的集中代表，也是金坛茅山对于中华优秀传统文化创造性转化和创新性发展的主要贡献。</w:t>
      </w:r>
    </w:p>
    <w:p w14:paraId="3E35F86A">
      <w:pPr>
        <w:ind w:firstLine="482"/>
        <w:rPr>
          <w:rFonts w:cs="Times New Roman"/>
        </w:rPr>
      </w:pPr>
      <w:r>
        <w:rPr>
          <w:rFonts w:hint="eastAsia" w:cs="Times New Roman"/>
          <w:b/>
          <w:bCs/>
        </w:rPr>
        <w:t>红色基因传承。</w:t>
      </w:r>
      <w:r>
        <w:rPr>
          <w:rFonts w:hint="eastAsia" w:cs="Times New Roman"/>
        </w:rPr>
        <w:t>金坛茅山曾是苏南抗日根据地，是我国六大山地抗日根据地之一，红色底蕴深厚，拥有映山红党建馆、茅山革命史纪念馆、新四军一支队司令部（政治部）旧址、金坛茅山人防教育体验馆、新四军临时指挥所遗址、茅山知青陈列馆等多处红色文化场馆。</w:t>
      </w:r>
    </w:p>
    <w:p w14:paraId="3787DA45">
      <w:pPr>
        <w:ind w:firstLine="482"/>
        <w:rPr>
          <w:rFonts w:cs="Times New Roman"/>
        </w:rPr>
      </w:pPr>
      <w:r>
        <w:rPr>
          <w:rFonts w:hint="eastAsia" w:cs="Times New Roman"/>
          <w:b/>
          <w:bCs/>
        </w:rPr>
        <w:t>非遗民俗众多。</w:t>
      </w:r>
      <w:r>
        <w:rPr>
          <w:rFonts w:hint="eastAsia" w:cs="Times New Roman"/>
        </w:rPr>
        <w:t>金坛刻纸是世界级非遗，金坛封缸酒酿造技艺、金坛龙舞、金坛抬阁是国家级非遗，另外有乾元音乐、老人山程氏骨科等2项省级非遗，金坛面塑、金坛蛋雕、上阮花鼓戏、茅麓旗枪茶炒制技艺、茅山甩石锁、茅山号子、茅山山芋粉丝制作技艺、金坛绿茶制作技艺（雀舌茶制作技艺）等10余项市、区级非遗。以传统节庆、美食、习俗等为主要内容的地域民俗富集，构筑富有生命力的生活图景。</w:t>
      </w:r>
    </w:p>
    <w:p w14:paraId="71CD4D40">
      <w:pPr>
        <w:ind w:firstLine="482"/>
        <w:rPr>
          <w:rFonts w:cs="Times New Roman"/>
        </w:rPr>
      </w:pPr>
      <w:r>
        <w:rPr>
          <w:rFonts w:hint="eastAsia" w:cs="Times New Roman"/>
          <w:b/>
          <w:bCs/>
        </w:rPr>
        <w:t>国保文物密集。</w:t>
      </w:r>
      <w:r>
        <w:rPr>
          <w:rFonts w:hint="eastAsia" w:cs="Times New Roman"/>
        </w:rPr>
        <w:t>2013年3月，国务院将金坛土墩墓群公布为第七批全国重点文物保护单位。土墩墓群以茅山东侧金坛西部地区分布最为密集，与江苏省金坛茅山旅游度假区高度重合，为度假区增加了深厚的文化底蕴。土墩墓是江南原生文化的代表，是中华文化多重因素、多元结构、多样内涵的特殊文化遗存。</w:t>
      </w:r>
    </w:p>
    <w:p w14:paraId="6C197553">
      <w:pPr>
        <w:pStyle w:val="3"/>
        <w:ind w:firstLine="0" w:firstLineChars="0"/>
        <w:rPr>
          <w:rFonts w:cs="Times New Roman"/>
        </w:rPr>
      </w:pPr>
      <w:bookmarkStart w:id="67" w:name="_Toc217294044"/>
      <w:r>
        <w:rPr>
          <w:rFonts w:hint="eastAsia" w:cs="Times New Roman"/>
        </w:rPr>
        <w:t>3</w:t>
      </w:r>
      <w:r>
        <w:rPr>
          <w:rFonts w:cs="Times New Roman"/>
        </w:rPr>
        <w:t>.4</w:t>
      </w:r>
      <w:r>
        <w:rPr>
          <w:rFonts w:hint="eastAsia" w:cs="Times New Roman"/>
        </w:rPr>
        <w:t>度假区开发现状调查</w:t>
      </w:r>
      <w:bookmarkEnd w:id="67"/>
    </w:p>
    <w:p w14:paraId="27B6F2B5">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3.4.1</w:t>
      </w:r>
      <w:r>
        <w:rPr>
          <w:rFonts w:hint="eastAsia" w:eastAsia="方正楷体_GBK" w:cs="Times New Roman"/>
          <w:b/>
          <w:bCs/>
          <w:szCs w:val="28"/>
          <w14:ligatures w14:val="none"/>
        </w:rPr>
        <w:t>人口规模及分布</w:t>
      </w:r>
    </w:p>
    <w:p w14:paraId="3089BF7B">
      <w:pPr>
        <w:ind w:firstLine="480"/>
      </w:pPr>
      <w:r>
        <w:rPr>
          <w:rFonts w:hint="eastAsia"/>
        </w:rPr>
        <w:t>薛埠镇现辖东进、上阳、薛埠、连山、方麓、上阮、山蓬、长山、罗村、花山、东窑、茅庵、石马、泉江、下杖、致和、神亭、西</w:t>
      </w:r>
      <w:r>
        <w:rPr>
          <w:rFonts w:hint="eastAsia" w:ascii="仿宋" w:hAnsi="仿宋" w:eastAsia="仿宋" w:cs="微软雅黑"/>
        </w:rPr>
        <w:t>旸</w:t>
      </w:r>
      <w:r>
        <w:rPr>
          <w:rFonts w:hint="eastAsia" w:ascii="仿宋_GB2312" w:hAnsi="仿宋_GB2312" w:cs="仿宋_GB2312"/>
        </w:rPr>
        <w:t>、倪巷、茅东、仙姑</w:t>
      </w:r>
      <w:r>
        <w:rPr>
          <w:rFonts w:hint="eastAsia"/>
        </w:rPr>
        <w:t>21个行政村，茅东林场、茅麓茶场2个场圃，薛埠、绿化、西</w:t>
      </w:r>
      <w:r>
        <w:rPr>
          <w:rFonts w:hint="eastAsia" w:ascii="仿宋" w:hAnsi="仿宋" w:eastAsia="仿宋" w:cs="微软雅黑"/>
        </w:rPr>
        <w:t>旸</w:t>
      </w:r>
      <w:r>
        <w:rPr>
          <w:rFonts w:hint="eastAsia"/>
        </w:rPr>
        <w:t>3个社区，下设272个村民小组。</w:t>
      </w:r>
      <w:r>
        <w:rPr>
          <w:rFonts w:hint="eastAsia" w:cs="Times New Roman"/>
        </w:rPr>
        <w:t>薛埠镇辖区户籍人口约</w:t>
      </w:r>
      <w:r>
        <w:rPr>
          <w:rFonts w:cs="Times New Roman"/>
        </w:rPr>
        <w:t>6</w:t>
      </w:r>
      <w:r>
        <w:rPr>
          <w:rFonts w:hint="eastAsia" w:cs="Times New Roman"/>
        </w:rPr>
        <w:t>.</w:t>
      </w:r>
      <w:r>
        <w:rPr>
          <w:rFonts w:cs="Times New Roman"/>
        </w:rPr>
        <w:t>4</w:t>
      </w:r>
      <w:r>
        <w:rPr>
          <w:rFonts w:hint="eastAsia" w:cs="Times New Roman"/>
        </w:rPr>
        <w:t>万人</w:t>
      </w:r>
      <w:r>
        <w:rPr>
          <w:rFonts w:hint="eastAsia"/>
        </w:rPr>
        <w:t>，户籍人口中，以汉族为主；有土家、苗、回、壮、布依等22个少数民族，人口密度为每平方公里282人。本轮规划范围内主要涉及仙姑村、西</w:t>
      </w:r>
      <w:r>
        <w:rPr>
          <w:rFonts w:hint="eastAsia" w:ascii="仿宋" w:hAnsi="仿宋" w:eastAsia="仿宋" w:cs="微软雅黑"/>
        </w:rPr>
        <w:t>旸</w:t>
      </w:r>
      <w:r>
        <w:rPr>
          <w:rFonts w:hint="eastAsia" w:ascii="仿宋_GB2312" w:hAnsi="仿宋_GB2312" w:cs="仿宋_GB2312"/>
        </w:rPr>
        <w:t>村、</w:t>
      </w:r>
      <w:r>
        <w:rPr>
          <w:rFonts w:hint="eastAsia"/>
        </w:rPr>
        <w:t>致和村、上阳村、东进村、连山村、方麓村、上阮村、山蓬村等行政村，以及茅东林场</w:t>
      </w:r>
      <w:r>
        <w:t>1</w:t>
      </w:r>
      <w:r>
        <w:rPr>
          <w:rFonts w:hint="eastAsia"/>
        </w:rPr>
        <w:t>个场圃，茅麓茶场和方麓茶场2个茶厂，现状常住居民约30117人，其中农村居住人口约21179人。</w:t>
      </w:r>
    </w:p>
    <w:p w14:paraId="2F838E3A">
      <w:pPr>
        <w:pStyle w:val="45"/>
        <w:rPr>
          <w:rFonts w:cs="Times New Roman"/>
        </w:rPr>
      </w:pPr>
      <w:r>
        <w:rPr>
          <w:rFonts w:hint="eastAsia" w:cs="Times New Roman"/>
        </w:rPr>
        <w:t>表3.4-1  区域现状村庄人口情况统计表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6"/>
        <w:gridCol w:w="1530"/>
        <w:gridCol w:w="2385"/>
        <w:gridCol w:w="1410"/>
        <w:gridCol w:w="1819"/>
      </w:tblGrid>
      <w:tr w14:paraId="366AA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blHeader/>
          <w:jc w:val="center"/>
        </w:trPr>
        <w:tc>
          <w:tcPr>
            <w:tcW w:w="1286" w:type="dxa"/>
            <w:vAlign w:val="center"/>
          </w:tcPr>
          <w:p w14:paraId="64F417EA">
            <w:pPr>
              <w:spacing w:line="240" w:lineRule="auto"/>
              <w:ind w:firstLine="0" w:firstLineChars="0"/>
              <w:jc w:val="center"/>
              <w:rPr>
                <w:rFonts w:cs="Times New Roman"/>
                <w:b/>
                <w:bCs/>
                <w:sz w:val="21"/>
                <w:szCs w:val="21"/>
              </w:rPr>
            </w:pPr>
            <w:r>
              <w:rPr>
                <w:rFonts w:hint="eastAsia" w:cs="Times New Roman"/>
                <w:b/>
                <w:bCs/>
                <w:sz w:val="21"/>
                <w:szCs w:val="21"/>
              </w:rPr>
              <w:t>乡镇名称</w:t>
            </w:r>
          </w:p>
        </w:tc>
        <w:tc>
          <w:tcPr>
            <w:tcW w:w="1530" w:type="dxa"/>
            <w:vAlign w:val="center"/>
          </w:tcPr>
          <w:p w14:paraId="03466BD7">
            <w:pPr>
              <w:spacing w:line="240" w:lineRule="auto"/>
              <w:ind w:firstLine="0" w:firstLineChars="0"/>
              <w:jc w:val="center"/>
              <w:rPr>
                <w:rFonts w:cs="Times New Roman"/>
                <w:b/>
                <w:bCs/>
                <w:sz w:val="21"/>
                <w:szCs w:val="21"/>
              </w:rPr>
            </w:pPr>
            <w:r>
              <w:rPr>
                <w:rFonts w:hint="eastAsia" w:cs="Times New Roman"/>
                <w:b/>
                <w:bCs/>
                <w:sz w:val="21"/>
                <w:szCs w:val="21"/>
              </w:rPr>
              <w:t>行政村名称</w:t>
            </w:r>
          </w:p>
        </w:tc>
        <w:tc>
          <w:tcPr>
            <w:tcW w:w="2385" w:type="dxa"/>
            <w:vAlign w:val="center"/>
          </w:tcPr>
          <w:p w14:paraId="3FA3C5F0">
            <w:pPr>
              <w:spacing w:line="240" w:lineRule="auto"/>
              <w:ind w:firstLine="0" w:firstLineChars="0"/>
              <w:jc w:val="center"/>
              <w:rPr>
                <w:rFonts w:cs="Times New Roman"/>
                <w:b/>
                <w:bCs/>
                <w:sz w:val="21"/>
                <w:szCs w:val="21"/>
              </w:rPr>
            </w:pPr>
            <w:r>
              <w:rPr>
                <w:rFonts w:hint="eastAsia" w:cs="Times New Roman"/>
                <w:b/>
                <w:bCs/>
                <w:sz w:val="21"/>
                <w:szCs w:val="21"/>
              </w:rPr>
              <w:t>自然村名称</w:t>
            </w:r>
          </w:p>
        </w:tc>
        <w:tc>
          <w:tcPr>
            <w:tcW w:w="1410" w:type="dxa"/>
            <w:vAlign w:val="center"/>
          </w:tcPr>
          <w:p w14:paraId="08ED4FD3">
            <w:pPr>
              <w:spacing w:line="240" w:lineRule="auto"/>
              <w:ind w:firstLine="0" w:firstLineChars="0"/>
              <w:jc w:val="center"/>
              <w:rPr>
                <w:rFonts w:cs="Times New Roman"/>
                <w:b/>
                <w:bCs/>
                <w:sz w:val="21"/>
                <w:szCs w:val="21"/>
              </w:rPr>
            </w:pPr>
            <w:r>
              <w:rPr>
                <w:rFonts w:cs="Times New Roman"/>
                <w:b/>
                <w:bCs/>
                <w:sz w:val="21"/>
                <w:szCs w:val="21"/>
              </w:rPr>
              <w:t>自然村人口</w:t>
            </w:r>
          </w:p>
        </w:tc>
        <w:tc>
          <w:tcPr>
            <w:tcW w:w="1819" w:type="dxa"/>
            <w:vAlign w:val="center"/>
          </w:tcPr>
          <w:p w14:paraId="131C0EA6">
            <w:pPr>
              <w:spacing w:line="240" w:lineRule="auto"/>
              <w:ind w:firstLine="0" w:firstLineChars="0"/>
              <w:jc w:val="center"/>
              <w:rPr>
                <w:rFonts w:cs="Times New Roman"/>
                <w:b/>
                <w:bCs/>
                <w:sz w:val="21"/>
                <w:szCs w:val="21"/>
              </w:rPr>
            </w:pPr>
            <w:r>
              <w:rPr>
                <w:rFonts w:hint="eastAsia" w:cs="Times New Roman"/>
                <w:b/>
                <w:bCs/>
                <w:sz w:val="21"/>
                <w:szCs w:val="21"/>
              </w:rPr>
              <w:t>村庄规划</w:t>
            </w:r>
            <w:r>
              <w:rPr>
                <w:rFonts w:cs="Times New Roman"/>
                <w:b/>
                <w:bCs/>
                <w:sz w:val="21"/>
                <w:szCs w:val="21"/>
              </w:rPr>
              <w:t>类型</w:t>
            </w:r>
          </w:p>
        </w:tc>
      </w:tr>
      <w:tr w14:paraId="2A8B0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42B78E6">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2C9E700">
            <w:pPr>
              <w:spacing w:line="240" w:lineRule="auto"/>
              <w:ind w:firstLine="0" w:firstLineChars="0"/>
              <w:jc w:val="center"/>
              <w:rPr>
                <w:rFonts w:cs="Times New Roman"/>
                <w:sz w:val="21"/>
                <w:szCs w:val="21"/>
              </w:rPr>
            </w:pPr>
            <w:r>
              <w:rPr>
                <w:rFonts w:cs="Times New Roman"/>
                <w:sz w:val="21"/>
                <w:szCs w:val="21"/>
              </w:rPr>
              <w:t>致和村</w:t>
            </w:r>
          </w:p>
        </w:tc>
        <w:tc>
          <w:tcPr>
            <w:tcW w:w="2385" w:type="dxa"/>
            <w:noWrap/>
            <w:vAlign w:val="center"/>
          </w:tcPr>
          <w:p w14:paraId="16AF9D81">
            <w:pPr>
              <w:spacing w:line="240" w:lineRule="auto"/>
              <w:ind w:firstLine="0" w:firstLineChars="0"/>
              <w:jc w:val="center"/>
              <w:rPr>
                <w:rFonts w:cs="Times New Roman"/>
                <w:sz w:val="21"/>
                <w:szCs w:val="21"/>
              </w:rPr>
            </w:pPr>
            <w:r>
              <w:rPr>
                <w:rFonts w:cs="Times New Roman"/>
                <w:sz w:val="21"/>
                <w:szCs w:val="21"/>
              </w:rPr>
              <w:t>杭山</w:t>
            </w:r>
          </w:p>
        </w:tc>
        <w:tc>
          <w:tcPr>
            <w:tcW w:w="1410" w:type="dxa"/>
            <w:noWrap/>
            <w:vAlign w:val="center"/>
          </w:tcPr>
          <w:p w14:paraId="6A3A21AC">
            <w:pPr>
              <w:spacing w:line="240" w:lineRule="auto"/>
              <w:ind w:firstLine="0" w:firstLineChars="0"/>
              <w:jc w:val="center"/>
              <w:rPr>
                <w:rFonts w:cs="Times New Roman"/>
                <w:sz w:val="21"/>
                <w:szCs w:val="21"/>
              </w:rPr>
            </w:pPr>
            <w:r>
              <w:rPr>
                <w:rFonts w:cs="Times New Roman"/>
                <w:sz w:val="21"/>
                <w:szCs w:val="21"/>
              </w:rPr>
              <w:t>375</w:t>
            </w:r>
          </w:p>
        </w:tc>
        <w:tc>
          <w:tcPr>
            <w:tcW w:w="1819" w:type="dxa"/>
            <w:noWrap/>
            <w:vAlign w:val="center"/>
          </w:tcPr>
          <w:p w14:paraId="532AC316">
            <w:pPr>
              <w:spacing w:line="240" w:lineRule="auto"/>
              <w:ind w:firstLine="0" w:firstLineChars="0"/>
              <w:jc w:val="center"/>
              <w:rPr>
                <w:rFonts w:cs="Times New Roman"/>
                <w:sz w:val="21"/>
                <w:szCs w:val="21"/>
              </w:rPr>
            </w:pPr>
            <w:r>
              <w:rPr>
                <w:rFonts w:cs="Times New Roman"/>
                <w:sz w:val="21"/>
                <w:szCs w:val="21"/>
              </w:rPr>
              <w:t>集聚提升</w:t>
            </w:r>
          </w:p>
        </w:tc>
      </w:tr>
      <w:tr w14:paraId="0E582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2FDD2F0">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E920C6A">
            <w:pPr>
              <w:spacing w:line="240" w:lineRule="auto"/>
              <w:ind w:firstLine="0" w:firstLineChars="0"/>
              <w:jc w:val="center"/>
              <w:rPr>
                <w:rFonts w:cs="Times New Roman"/>
                <w:sz w:val="21"/>
                <w:szCs w:val="21"/>
              </w:rPr>
            </w:pPr>
            <w:r>
              <w:rPr>
                <w:rFonts w:cs="Times New Roman"/>
                <w:sz w:val="21"/>
                <w:szCs w:val="21"/>
              </w:rPr>
              <w:t>致和村</w:t>
            </w:r>
          </w:p>
        </w:tc>
        <w:tc>
          <w:tcPr>
            <w:tcW w:w="2385" w:type="dxa"/>
            <w:noWrap/>
            <w:vAlign w:val="center"/>
          </w:tcPr>
          <w:p w14:paraId="53F3266F">
            <w:pPr>
              <w:spacing w:line="240" w:lineRule="auto"/>
              <w:ind w:firstLine="0" w:firstLineChars="0"/>
              <w:jc w:val="center"/>
              <w:rPr>
                <w:rFonts w:cs="Times New Roman"/>
                <w:sz w:val="21"/>
                <w:szCs w:val="21"/>
              </w:rPr>
            </w:pPr>
            <w:r>
              <w:rPr>
                <w:rFonts w:cs="Times New Roman"/>
                <w:sz w:val="21"/>
                <w:szCs w:val="21"/>
              </w:rPr>
              <w:t>滕甲棚</w:t>
            </w:r>
          </w:p>
        </w:tc>
        <w:tc>
          <w:tcPr>
            <w:tcW w:w="1410" w:type="dxa"/>
            <w:noWrap/>
            <w:vAlign w:val="center"/>
          </w:tcPr>
          <w:p w14:paraId="321647B1">
            <w:pPr>
              <w:spacing w:line="240" w:lineRule="auto"/>
              <w:ind w:firstLine="0" w:firstLineChars="0"/>
              <w:jc w:val="center"/>
              <w:rPr>
                <w:rFonts w:cs="Times New Roman"/>
                <w:sz w:val="21"/>
                <w:szCs w:val="21"/>
              </w:rPr>
            </w:pPr>
            <w:r>
              <w:rPr>
                <w:rFonts w:cs="Times New Roman"/>
                <w:sz w:val="21"/>
                <w:szCs w:val="21"/>
              </w:rPr>
              <w:t>238</w:t>
            </w:r>
          </w:p>
        </w:tc>
        <w:tc>
          <w:tcPr>
            <w:tcW w:w="1819" w:type="dxa"/>
            <w:noWrap/>
            <w:vAlign w:val="center"/>
          </w:tcPr>
          <w:p w14:paraId="1BC92333">
            <w:pPr>
              <w:spacing w:line="240" w:lineRule="auto"/>
              <w:ind w:firstLine="0" w:firstLineChars="0"/>
              <w:jc w:val="center"/>
              <w:rPr>
                <w:rFonts w:cs="Times New Roman"/>
                <w:sz w:val="21"/>
                <w:szCs w:val="21"/>
              </w:rPr>
            </w:pPr>
            <w:r>
              <w:rPr>
                <w:rFonts w:cs="Times New Roman"/>
                <w:sz w:val="21"/>
                <w:szCs w:val="21"/>
              </w:rPr>
              <w:t>其他一般</w:t>
            </w:r>
          </w:p>
        </w:tc>
      </w:tr>
      <w:tr w14:paraId="6589A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65527BA">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BE1FDCF">
            <w:pPr>
              <w:spacing w:line="240" w:lineRule="auto"/>
              <w:ind w:firstLine="0" w:firstLineChars="0"/>
              <w:jc w:val="center"/>
              <w:rPr>
                <w:rFonts w:cs="Times New Roman"/>
                <w:sz w:val="21"/>
                <w:szCs w:val="21"/>
              </w:rPr>
            </w:pPr>
            <w:r>
              <w:rPr>
                <w:rFonts w:cs="Times New Roman"/>
                <w:sz w:val="21"/>
                <w:szCs w:val="21"/>
              </w:rPr>
              <w:t>致和村</w:t>
            </w:r>
          </w:p>
        </w:tc>
        <w:tc>
          <w:tcPr>
            <w:tcW w:w="2385" w:type="dxa"/>
            <w:noWrap/>
            <w:vAlign w:val="center"/>
          </w:tcPr>
          <w:p w14:paraId="57D2D5F9">
            <w:pPr>
              <w:spacing w:line="240" w:lineRule="auto"/>
              <w:ind w:firstLine="0" w:firstLineChars="0"/>
              <w:jc w:val="center"/>
              <w:rPr>
                <w:rFonts w:cs="Times New Roman"/>
                <w:sz w:val="21"/>
                <w:szCs w:val="21"/>
              </w:rPr>
            </w:pPr>
            <w:r>
              <w:rPr>
                <w:rFonts w:cs="Times New Roman"/>
                <w:sz w:val="21"/>
                <w:szCs w:val="21"/>
              </w:rPr>
              <w:t>三棚</w:t>
            </w:r>
          </w:p>
        </w:tc>
        <w:tc>
          <w:tcPr>
            <w:tcW w:w="1410" w:type="dxa"/>
            <w:noWrap/>
            <w:vAlign w:val="center"/>
          </w:tcPr>
          <w:p w14:paraId="4E67A153">
            <w:pPr>
              <w:spacing w:line="240" w:lineRule="auto"/>
              <w:ind w:firstLine="0" w:firstLineChars="0"/>
              <w:jc w:val="center"/>
              <w:rPr>
                <w:rFonts w:cs="Times New Roman"/>
                <w:sz w:val="21"/>
                <w:szCs w:val="21"/>
              </w:rPr>
            </w:pPr>
            <w:r>
              <w:rPr>
                <w:rFonts w:cs="Times New Roman"/>
                <w:sz w:val="21"/>
                <w:szCs w:val="21"/>
              </w:rPr>
              <w:t>108</w:t>
            </w:r>
          </w:p>
        </w:tc>
        <w:tc>
          <w:tcPr>
            <w:tcW w:w="1819" w:type="dxa"/>
            <w:noWrap/>
            <w:vAlign w:val="center"/>
          </w:tcPr>
          <w:p w14:paraId="78A4CE42">
            <w:pPr>
              <w:spacing w:line="240" w:lineRule="auto"/>
              <w:ind w:firstLine="0" w:firstLineChars="0"/>
              <w:jc w:val="center"/>
              <w:rPr>
                <w:rFonts w:cs="Times New Roman"/>
                <w:sz w:val="21"/>
                <w:szCs w:val="21"/>
              </w:rPr>
            </w:pPr>
            <w:r>
              <w:rPr>
                <w:rFonts w:cs="Times New Roman"/>
                <w:sz w:val="21"/>
                <w:szCs w:val="21"/>
              </w:rPr>
              <w:t>搬迁撤并</w:t>
            </w:r>
          </w:p>
        </w:tc>
      </w:tr>
      <w:tr w14:paraId="05CC4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C4E6FC5">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822D21A">
            <w:pPr>
              <w:spacing w:line="240" w:lineRule="auto"/>
              <w:ind w:firstLine="0" w:firstLineChars="0"/>
              <w:jc w:val="center"/>
              <w:rPr>
                <w:rFonts w:cs="Times New Roman"/>
                <w:sz w:val="21"/>
                <w:szCs w:val="21"/>
              </w:rPr>
            </w:pPr>
            <w:r>
              <w:rPr>
                <w:rFonts w:cs="Times New Roman"/>
                <w:sz w:val="21"/>
                <w:szCs w:val="21"/>
              </w:rPr>
              <w:t>致和村</w:t>
            </w:r>
          </w:p>
        </w:tc>
        <w:tc>
          <w:tcPr>
            <w:tcW w:w="2385" w:type="dxa"/>
            <w:noWrap/>
            <w:vAlign w:val="center"/>
          </w:tcPr>
          <w:p w14:paraId="0AE2FAE7">
            <w:pPr>
              <w:spacing w:line="240" w:lineRule="auto"/>
              <w:ind w:firstLine="0" w:firstLineChars="0"/>
              <w:jc w:val="center"/>
              <w:rPr>
                <w:rFonts w:cs="Times New Roman"/>
                <w:sz w:val="21"/>
                <w:szCs w:val="21"/>
              </w:rPr>
            </w:pPr>
            <w:r>
              <w:rPr>
                <w:rFonts w:cs="Times New Roman"/>
                <w:sz w:val="21"/>
                <w:szCs w:val="21"/>
              </w:rPr>
              <w:t>东棚</w:t>
            </w:r>
          </w:p>
        </w:tc>
        <w:tc>
          <w:tcPr>
            <w:tcW w:w="1410" w:type="dxa"/>
            <w:noWrap/>
            <w:vAlign w:val="center"/>
          </w:tcPr>
          <w:p w14:paraId="40C02006">
            <w:pPr>
              <w:spacing w:line="240" w:lineRule="auto"/>
              <w:ind w:firstLine="0" w:firstLineChars="0"/>
              <w:jc w:val="center"/>
              <w:rPr>
                <w:rFonts w:cs="Times New Roman"/>
                <w:sz w:val="21"/>
                <w:szCs w:val="21"/>
              </w:rPr>
            </w:pPr>
            <w:r>
              <w:rPr>
                <w:rFonts w:cs="Times New Roman"/>
                <w:sz w:val="21"/>
                <w:szCs w:val="21"/>
              </w:rPr>
              <w:t>94</w:t>
            </w:r>
          </w:p>
        </w:tc>
        <w:tc>
          <w:tcPr>
            <w:tcW w:w="1819" w:type="dxa"/>
            <w:noWrap/>
            <w:vAlign w:val="center"/>
          </w:tcPr>
          <w:p w14:paraId="2599512F">
            <w:pPr>
              <w:spacing w:line="240" w:lineRule="auto"/>
              <w:ind w:firstLine="0" w:firstLineChars="0"/>
              <w:jc w:val="center"/>
              <w:rPr>
                <w:rFonts w:cs="Times New Roman"/>
                <w:sz w:val="21"/>
                <w:szCs w:val="21"/>
              </w:rPr>
            </w:pPr>
            <w:r>
              <w:rPr>
                <w:rFonts w:cs="Times New Roman"/>
                <w:sz w:val="21"/>
                <w:szCs w:val="21"/>
              </w:rPr>
              <w:t>搬迁撤并</w:t>
            </w:r>
          </w:p>
        </w:tc>
      </w:tr>
      <w:tr w14:paraId="0586D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0969BB74">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3848FB8D">
            <w:pPr>
              <w:spacing w:line="240" w:lineRule="auto"/>
              <w:ind w:firstLine="0" w:firstLineChars="0"/>
              <w:jc w:val="center"/>
              <w:rPr>
                <w:rFonts w:cs="Times New Roman"/>
                <w:sz w:val="21"/>
                <w:szCs w:val="21"/>
              </w:rPr>
            </w:pPr>
            <w:r>
              <w:rPr>
                <w:rFonts w:cs="Times New Roman"/>
                <w:sz w:val="21"/>
                <w:szCs w:val="21"/>
              </w:rPr>
              <w:t>致和村</w:t>
            </w:r>
          </w:p>
        </w:tc>
        <w:tc>
          <w:tcPr>
            <w:tcW w:w="2385" w:type="dxa"/>
            <w:noWrap/>
            <w:vAlign w:val="center"/>
          </w:tcPr>
          <w:p w14:paraId="62E722B8">
            <w:pPr>
              <w:spacing w:line="240" w:lineRule="auto"/>
              <w:ind w:firstLine="0" w:firstLineChars="0"/>
              <w:jc w:val="center"/>
              <w:rPr>
                <w:rFonts w:cs="Times New Roman"/>
                <w:sz w:val="21"/>
                <w:szCs w:val="21"/>
              </w:rPr>
            </w:pPr>
            <w:r>
              <w:rPr>
                <w:rFonts w:cs="Times New Roman"/>
                <w:sz w:val="21"/>
                <w:szCs w:val="21"/>
              </w:rPr>
              <w:t>藤甲</w:t>
            </w:r>
          </w:p>
        </w:tc>
        <w:tc>
          <w:tcPr>
            <w:tcW w:w="1410" w:type="dxa"/>
            <w:noWrap/>
            <w:vAlign w:val="center"/>
          </w:tcPr>
          <w:p w14:paraId="582BC628">
            <w:pPr>
              <w:spacing w:line="240" w:lineRule="auto"/>
              <w:ind w:firstLine="0" w:firstLineChars="0"/>
              <w:jc w:val="center"/>
              <w:rPr>
                <w:rFonts w:cs="Times New Roman"/>
                <w:sz w:val="21"/>
                <w:szCs w:val="21"/>
              </w:rPr>
            </w:pPr>
            <w:r>
              <w:rPr>
                <w:rFonts w:cs="Times New Roman"/>
                <w:sz w:val="21"/>
                <w:szCs w:val="21"/>
              </w:rPr>
              <w:t>129</w:t>
            </w:r>
          </w:p>
        </w:tc>
        <w:tc>
          <w:tcPr>
            <w:tcW w:w="1819" w:type="dxa"/>
            <w:noWrap/>
            <w:vAlign w:val="center"/>
          </w:tcPr>
          <w:p w14:paraId="225DDA27">
            <w:pPr>
              <w:spacing w:line="240" w:lineRule="auto"/>
              <w:ind w:firstLine="0" w:firstLineChars="0"/>
              <w:jc w:val="center"/>
              <w:rPr>
                <w:rFonts w:cs="Times New Roman"/>
                <w:sz w:val="21"/>
                <w:szCs w:val="21"/>
              </w:rPr>
            </w:pPr>
            <w:r>
              <w:rPr>
                <w:rFonts w:cs="Times New Roman"/>
                <w:sz w:val="21"/>
                <w:szCs w:val="21"/>
              </w:rPr>
              <w:t>其他一般</w:t>
            </w:r>
          </w:p>
        </w:tc>
      </w:tr>
      <w:tr w14:paraId="6A831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167A39A">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FFC08FD">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22F194AC">
            <w:pPr>
              <w:spacing w:line="240" w:lineRule="auto"/>
              <w:ind w:firstLine="0" w:firstLineChars="0"/>
              <w:jc w:val="center"/>
              <w:rPr>
                <w:rFonts w:cs="Times New Roman"/>
                <w:sz w:val="21"/>
                <w:szCs w:val="21"/>
              </w:rPr>
            </w:pPr>
            <w:r>
              <w:rPr>
                <w:rFonts w:cs="Times New Roman"/>
                <w:sz w:val="21"/>
                <w:szCs w:val="21"/>
              </w:rPr>
              <w:t>红山门</w:t>
            </w:r>
          </w:p>
        </w:tc>
        <w:tc>
          <w:tcPr>
            <w:tcW w:w="1410" w:type="dxa"/>
            <w:noWrap/>
            <w:vAlign w:val="center"/>
          </w:tcPr>
          <w:p w14:paraId="28E15E42">
            <w:pPr>
              <w:spacing w:line="240" w:lineRule="auto"/>
              <w:ind w:firstLine="0" w:firstLineChars="0"/>
              <w:jc w:val="center"/>
              <w:rPr>
                <w:rFonts w:cs="Times New Roman"/>
                <w:sz w:val="21"/>
                <w:szCs w:val="21"/>
              </w:rPr>
            </w:pPr>
            <w:r>
              <w:rPr>
                <w:rFonts w:cs="Times New Roman"/>
                <w:sz w:val="21"/>
                <w:szCs w:val="21"/>
              </w:rPr>
              <w:t>157</w:t>
            </w:r>
          </w:p>
        </w:tc>
        <w:tc>
          <w:tcPr>
            <w:tcW w:w="1819" w:type="dxa"/>
            <w:noWrap/>
            <w:vAlign w:val="center"/>
          </w:tcPr>
          <w:p w14:paraId="68E9C04C">
            <w:pPr>
              <w:spacing w:line="240" w:lineRule="auto"/>
              <w:ind w:firstLine="0" w:firstLineChars="0"/>
              <w:jc w:val="center"/>
              <w:rPr>
                <w:rFonts w:cs="Times New Roman"/>
                <w:sz w:val="21"/>
                <w:szCs w:val="21"/>
              </w:rPr>
            </w:pPr>
            <w:r>
              <w:rPr>
                <w:rFonts w:cs="Times New Roman"/>
                <w:sz w:val="21"/>
                <w:szCs w:val="21"/>
              </w:rPr>
              <w:t>其他一般</w:t>
            </w:r>
          </w:p>
        </w:tc>
      </w:tr>
      <w:tr w14:paraId="08E72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4238A8CC">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2B07693">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16C19E6D">
            <w:pPr>
              <w:spacing w:line="240" w:lineRule="auto"/>
              <w:ind w:firstLine="0" w:firstLineChars="0"/>
              <w:jc w:val="center"/>
              <w:rPr>
                <w:rFonts w:cs="Times New Roman"/>
                <w:sz w:val="21"/>
                <w:szCs w:val="21"/>
              </w:rPr>
            </w:pPr>
            <w:r>
              <w:rPr>
                <w:rFonts w:cs="Times New Roman"/>
                <w:sz w:val="21"/>
                <w:szCs w:val="21"/>
              </w:rPr>
              <w:t>仙姑</w:t>
            </w:r>
          </w:p>
        </w:tc>
        <w:tc>
          <w:tcPr>
            <w:tcW w:w="1410" w:type="dxa"/>
            <w:noWrap/>
            <w:vAlign w:val="center"/>
          </w:tcPr>
          <w:p w14:paraId="1CE777D8">
            <w:pPr>
              <w:spacing w:line="240" w:lineRule="auto"/>
              <w:ind w:firstLine="0" w:firstLineChars="0"/>
              <w:jc w:val="center"/>
              <w:rPr>
                <w:rFonts w:cs="Times New Roman"/>
                <w:sz w:val="21"/>
                <w:szCs w:val="21"/>
              </w:rPr>
            </w:pPr>
            <w:r>
              <w:rPr>
                <w:rFonts w:cs="Times New Roman"/>
                <w:sz w:val="21"/>
                <w:szCs w:val="21"/>
              </w:rPr>
              <w:t>673</w:t>
            </w:r>
          </w:p>
        </w:tc>
        <w:tc>
          <w:tcPr>
            <w:tcW w:w="1819" w:type="dxa"/>
            <w:noWrap/>
            <w:vAlign w:val="center"/>
          </w:tcPr>
          <w:p w14:paraId="76ED4E71">
            <w:pPr>
              <w:spacing w:line="240" w:lineRule="auto"/>
              <w:ind w:firstLine="0" w:firstLineChars="0"/>
              <w:jc w:val="center"/>
              <w:rPr>
                <w:rFonts w:cs="Times New Roman"/>
                <w:sz w:val="21"/>
                <w:szCs w:val="21"/>
              </w:rPr>
            </w:pPr>
            <w:r>
              <w:rPr>
                <w:rFonts w:cs="Times New Roman"/>
                <w:sz w:val="21"/>
                <w:szCs w:val="21"/>
              </w:rPr>
              <w:t>特色保护</w:t>
            </w:r>
          </w:p>
        </w:tc>
      </w:tr>
      <w:tr w14:paraId="7F2C3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802E6D9">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25ED020">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5A63256E">
            <w:pPr>
              <w:spacing w:line="240" w:lineRule="auto"/>
              <w:ind w:firstLine="0" w:firstLineChars="0"/>
              <w:jc w:val="center"/>
              <w:rPr>
                <w:rFonts w:cs="Times New Roman"/>
                <w:sz w:val="21"/>
                <w:szCs w:val="21"/>
              </w:rPr>
            </w:pPr>
            <w:r>
              <w:rPr>
                <w:rFonts w:cs="Times New Roman"/>
                <w:sz w:val="21"/>
                <w:szCs w:val="21"/>
              </w:rPr>
              <w:t>后山</w:t>
            </w:r>
          </w:p>
        </w:tc>
        <w:tc>
          <w:tcPr>
            <w:tcW w:w="1410" w:type="dxa"/>
            <w:noWrap/>
            <w:vAlign w:val="center"/>
          </w:tcPr>
          <w:p w14:paraId="289FC394">
            <w:pPr>
              <w:spacing w:line="240" w:lineRule="auto"/>
              <w:ind w:firstLine="0" w:firstLineChars="0"/>
              <w:jc w:val="center"/>
              <w:rPr>
                <w:rFonts w:cs="Times New Roman"/>
                <w:sz w:val="21"/>
                <w:szCs w:val="21"/>
              </w:rPr>
            </w:pPr>
            <w:r>
              <w:rPr>
                <w:rFonts w:cs="Times New Roman"/>
                <w:sz w:val="21"/>
                <w:szCs w:val="21"/>
              </w:rPr>
              <w:t>100</w:t>
            </w:r>
          </w:p>
        </w:tc>
        <w:tc>
          <w:tcPr>
            <w:tcW w:w="1819" w:type="dxa"/>
            <w:noWrap/>
            <w:vAlign w:val="center"/>
          </w:tcPr>
          <w:p w14:paraId="141EDDB5">
            <w:pPr>
              <w:spacing w:line="240" w:lineRule="auto"/>
              <w:ind w:firstLine="0" w:firstLineChars="0"/>
              <w:jc w:val="center"/>
              <w:rPr>
                <w:rFonts w:cs="Times New Roman"/>
                <w:sz w:val="21"/>
                <w:szCs w:val="21"/>
              </w:rPr>
            </w:pPr>
            <w:r>
              <w:rPr>
                <w:rFonts w:cs="Times New Roman"/>
                <w:sz w:val="21"/>
                <w:szCs w:val="21"/>
              </w:rPr>
              <w:t>其他一般</w:t>
            </w:r>
          </w:p>
        </w:tc>
      </w:tr>
      <w:tr w14:paraId="298F0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DC1CCE2">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EDDEA44">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52712FAF">
            <w:pPr>
              <w:spacing w:line="240" w:lineRule="auto"/>
              <w:ind w:firstLine="0" w:firstLineChars="0"/>
              <w:jc w:val="center"/>
              <w:rPr>
                <w:rFonts w:cs="Times New Roman"/>
                <w:sz w:val="21"/>
                <w:szCs w:val="21"/>
              </w:rPr>
            </w:pPr>
            <w:r>
              <w:rPr>
                <w:rFonts w:cs="Times New Roman"/>
                <w:sz w:val="21"/>
                <w:szCs w:val="21"/>
              </w:rPr>
              <w:t>下王岗</w:t>
            </w:r>
          </w:p>
        </w:tc>
        <w:tc>
          <w:tcPr>
            <w:tcW w:w="1410" w:type="dxa"/>
            <w:noWrap/>
            <w:vAlign w:val="center"/>
          </w:tcPr>
          <w:p w14:paraId="5B3F2583">
            <w:pPr>
              <w:spacing w:line="240" w:lineRule="auto"/>
              <w:ind w:firstLine="0" w:firstLineChars="0"/>
              <w:jc w:val="center"/>
              <w:rPr>
                <w:rFonts w:cs="Times New Roman"/>
                <w:sz w:val="21"/>
                <w:szCs w:val="21"/>
              </w:rPr>
            </w:pPr>
            <w:r>
              <w:rPr>
                <w:rFonts w:cs="Times New Roman"/>
                <w:sz w:val="21"/>
                <w:szCs w:val="21"/>
              </w:rPr>
              <w:t>211</w:t>
            </w:r>
          </w:p>
        </w:tc>
        <w:tc>
          <w:tcPr>
            <w:tcW w:w="1819" w:type="dxa"/>
            <w:noWrap/>
            <w:vAlign w:val="center"/>
          </w:tcPr>
          <w:p w14:paraId="208F03BC">
            <w:pPr>
              <w:spacing w:line="240" w:lineRule="auto"/>
              <w:ind w:firstLine="0" w:firstLineChars="0"/>
              <w:jc w:val="center"/>
              <w:rPr>
                <w:rFonts w:cs="Times New Roman"/>
                <w:sz w:val="21"/>
                <w:szCs w:val="21"/>
              </w:rPr>
            </w:pPr>
            <w:r>
              <w:rPr>
                <w:rFonts w:cs="Times New Roman"/>
                <w:sz w:val="21"/>
                <w:szCs w:val="21"/>
              </w:rPr>
              <w:t>其他一般</w:t>
            </w:r>
          </w:p>
        </w:tc>
      </w:tr>
      <w:tr w14:paraId="28F6E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E36093C">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2A0D38D0">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58493A55">
            <w:pPr>
              <w:spacing w:line="240" w:lineRule="auto"/>
              <w:ind w:firstLine="0" w:firstLineChars="0"/>
              <w:jc w:val="center"/>
              <w:rPr>
                <w:rFonts w:cs="Times New Roman"/>
                <w:sz w:val="21"/>
                <w:szCs w:val="21"/>
              </w:rPr>
            </w:pPr>
            <w:r>
              <w:rPr>
                <w:rFonts w:cs="Times New Roman"/>
                <w:sz w:val="21"/>
                <w:szCs w:val="21"/>
              </w:rPr>
              <w:t>宜庄</w:t>
            </w:r>
          </w:p>
        </w:tc>
        <w:tc>
          <w:tcPr>
            <w:tcW w:w="1410" w:type="dxa"/>
            <w:noWrap/>
            <w:vAlign w:val="center"/>
          </w:tcPr>
          <w:p w14:paraId="0C4FC69E">
            <w:pPr>
              <w:spacing w:line="240" w:lineRule="auto"/>
              <w:ind w:firstLine="0" w:firstLineChars="0"/>
              <w:jc w:val="center"/>
              <w:rPr>
                <w:rFonts w:cs="Times New Roman"/>
                <w:sz w:val="21"/>
                <w:szCs w:val="21"/>
              </w:rPr>
            </w:pPr>
            <w:r>
              <w:rPr>
                <w:rFonts w:cs="Times New Roman"/>
                <w:sz w:val="21"/>
                <w:szCs w:val="21"/>
              </w:rPr>
              <w:t>1002</w:t>
            </w:r>
          </w:p>
        </w:tc>
        <w:tc>
          <w:tcPr>
            <w:tcW w:w="1819" w:type="dxa"/>
            <w:noWrap/>
            <w:vAlign w:val="center"/>
          </w:tcPr>
          <w:p w14:paraId="6B8358EA">
            <w:pPr>
              <w:spacing w:line="240" w:lineRule="auto"/>
              <w:ind w:firstLine="0" w:firstLineChars="0"/>
              <w:jc w:val="center"/>
              <w:rPr>
                <w:rFonts w:cs="Times New Roman"/>
                <w:sz w:val="21"/>
                <w:szCs w:val="21"/>
              </w:rPr>
            </w:pPr>
            <w:r>
              <w:rPr>
                <w:rFonts w:cs="Times New Roman"/>
                <w:sz w:val="21"/>
                <w:szCs w:val="21"/>
              </w:rPr>
              <w:t>集聚提升</w:t>
            </w:r>
          </w:p>
        </w:tc>
      </w:tr>
      <w:tr w14:paraId="4B414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324481A">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1EEC125">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7F748F04">
            <w:pPr>
              <w:spacing w:line="240" w:lineRule="auto"/>
              <w:ind w:firstLine="0" w:firstLineChars="0"/>
              <w:jc w:val="center"/>
              <w:rPr>
                <w:rFonts w:cs="Times New Roman"/>
                <w:sz w:val="21"/>
                <w:szCs w:val="21"/>
              </w:rPr>
            </w:pPr>
            <w:r>
              <w:rPr>
                <w:rFonts w:cs="Times New Roman"/>
                <w:sz w:val="21"/>
                <w:szCs w:val="21"/>
              </w:rPr>
              <w:t>东石桥</w:t>
            </w:r>
          </w:p>
        </w:tc>
        <w:tc>
          <w:tcPr>
            <w:tcW w:w="1410" w:type="dxa"/>
            <w:noWrap/>
            <w:vAlign w:val="center"/>
          </w:tcPr>
          <w:p w14:paraId="359F7FD8">
            <w:pPr>
              <w:spacing w:line="240" w:lineRule="auto"/>
              <w:ind w:firstLine="0" w:firstLineChars="0"/>
              <w:jc w:val="center"/>
              <w:rPr>
                <w:rFonts w:cs="Times New Roman"/>
                <w:sz w:val="21"/>
                <w:szCs w:val="21"/>
              </w:rPr>
            </w:pPr>
            <w:r>
              <w:rPr>
                <w:rFonts w:cs="Times New Roman"/>
                <w:sz w:val="21"/>
                <w:szCs w:val="21"/>
              </w:rPr>
              <w:t>135</w:t>
            </w:r>
          </w:p>
        </w:tc>
        <w:tc>
          <w:tcPr>
            <w:tcW w:w="1819" w:type="dxa"/>
            <w:noWrap/>
            <w:vAlign w:val="center"/>
          </w:tcPr>
          <w:p w14:paraId="42F850D1">
            <w:pPr>
              <w:spacing w:line="240" w:lineRule="auto"/>
              <w:ind w:firstLine="0" w:firstLineChars="0"/>
              <w:jc w:val="center"/>
              <w:rPr>
                <w:rFonts w:cs="Times New Roman"/>
                <w:sz w:val="21"/>
                <w:szCs w:val="21"/>
              </w:rPr>
            </w:pPr>
            <w:r>
              <w:rPr>
                <w:rFonts w:cs="Times New Roman"/>
                <w:sz w:val="21"/>
                <w:szCs w:val="21"/>
              </w:rPr>
              <w:t>搬迁撤并</w:t>
            </w:r>
          </w:p>
        </w:tc>
      </w:tr>
      <w:tr w14:paraId="3E6A7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2ACA836">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54BDDFC1">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133DDB8A">
            <w:pPr>
              <w:spacing w:line="240" w:lineRule="auto"/>
              <w:ind w:firstLine="0" w:firstLineChars="0"/>
              <w:jc w:val="center"/>
              <w:rPr>
                <w:rFonts w:cs="Times New Roman"/>
                <w:sz w:val="21"/>
                <w:szCs w:val="21"/>
              </w:rPr>
            </w:pPr>
            <w:r>
              <w:rPr>
                <w:rFonts w:cs="Times New Roman"/>
                <w:sz w:val="21"/>
                <w:szCs w:val="21"/>
              </w:rPr>
              <w:t>窑岗背</w:t>
            </w:r>
          </w:p>
        </w:tc>
        <w:tc>
          <w:tcPr>
            <w:tcW w:w="1410" w:type="dxa"/>
            <w:noWrap/>
            <w:vAlign w:val="center"/>
          </w:tcPr>
          <w:p w14:paraId="471BEA3D">
            <w:pPr>
              <w:spacing w:line="240" w:lineRule="auto"/>
              <w:ind w:firstLine="0" w:firstLineChars="0"/>
              <w:jc w:val="center"/>
              <w:rPr>
                <w:rFonts w:cs="Times New Roman"/>
                <w:sz w:val="21"/>
                <w:szCs w:val="21"/>
              </w:rPr>
            </w:pPr>
            <w:r>
              <w:rPr>
                <w:rFonts w:cs="Times New Roman"/>
                <w:sz w:val="21"/>
                <w:szCs w:val="21"/>
              </w:rPr>
              <w:t>98</w:t>
            </w:r>
          </w:p>
        </w:tc>
        <w:tc>
          <w:tcPr>
            <w:tcW w:w="1819" w:type="dxa"/>
            <w:noWrap/>
            <w:vAlign w:val="center"/>
          </w:tcPr>
          <w:p w14:paraId="14F60D57">
            <w:pPr>
              <w:spacing w:line="240" w:lineRule="auto"/>
              <w:ind w:firstLine="0" w:firstLineChars="0"/>
              <w:jc w:val="center"/>
              <w:rPr>
                <w:rFonts w:cs="Times New Roman"/>
                <w:sz w:val="21"/>
                <w:szCs w:val="21"/>
              </w:rPr>
            </w:pPr>
            <w:r>
              <w:rPr>
                <w:rFonts w:cs="Times New Roman"/>
                <w:sz w:val="21"/>
                <w:szCs w:val="21"/>
              </w:rPr>
              <w:t>搬迁撤并</w:t>
            </w:r>
          </w:p>
        </w:tc>
      </w:tr>
      <w:tr w14:paraId="2D046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15F02D6A">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3A0AFFB1">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53000E61">
            <w:pPr>
              <w:spacing w:line="240" w:lineRule="auto"/>
              <w:ind w:firstLine="0" w:firstLineChars="0"/>
              <w:jc w:val="center"/>
              <w:rPr>
                <w:rFonts w:cs="Times New Roman"/>
                <w:sz w:val="21"/>
                <w:szCs w:val="21"/>
              </w:rPr>
            </w:pPr>
            <w:r>
              <w:rPr>
                <w:rFonts w:cs="Times New Roman"/>
                <w:sz w:val="21"/>
                <w:szCs w:val="21"/>
              </w:rPr>
              <w:t>庄上</w:t>
            </w:r>
          </w:p>
        </w:tc>
        <w:tc>
          <w:tcPr>
            <w:tcW w:w="1410" w:type="dxa"/>
            <w:noWrap/>
            <w:vAlign w:val="center"/>
          </w:tcPr>
          <w:p w14:paraId="44347A5A">
            <w:pPr>
              <w:spacing w:line="240" w:lineRule="auto"/>
              <w:ind w:firstLine="0" w:firstLineChars="0"/>
              <w:jc w:val="center"/>
              <w:rPr>
                <w:rFonts w:cs="Times New Roman"/>
                <w:sz w:val="21"/>
                <w:szCs w:val="21"/>
              </w:rPr>
            </w:pPr>
            <w:r>
              <w:rPr>
                <w:rFonts w:cs="Times New Roman"/>
                <w:sz w:val="21"/>
                <w:szCs w:val="21"/>
              </w:rPr>
              <w:t>59</w:t>
            </w:r>
          </w:p>
        </w:tc>
        <w:tc>
          <w:tcPr>
            <w:tcW w:w="1819" w:type="dxa"/>
            <w:noWrap/>
            <w:vAlign w:val="center"/>
          </w:tcPr>
          <w:p w14:paraId="2C46A3BE">
            <w:pPr>
              <w:spacing w:line="240" w:lineRule="auto"/>
              <w:ind w:firstLine="0" w:firstLineChars="0"/>
              <w:jc w:val="center"/>
              <w:rPr>
                <w:rFonts w:cs="Times New Roman"/>
                <w:sz w:val="21"/>
                <w:szCs w:val="21"/>
              </w:rPr>
            </w:pPr>
            <w:r>
              <w:rPr>
                <w:rFonts w:cs="Times New Roman"/>
                <w:sz w:val="21"/>
                <w:szCs w:val="21"/>
              </w:rPr>
              <w:t>搬迁撤并</w:t>
            </w:r>
          </w:p>
        </w:tc>
      </w:tr>
      <w:tr w14:paraId="3B530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1D588C71">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910814C">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393D2DEE">
            <w:pPr>
              <w:spacing w:line="240" w:lineRule="auto"/>
              <w:ind w:firstLine="0" w:firstLineChars="0"/>
              <w:jc w:val="center"/>
              <w:rPr>
                <w:rFonts w:cs="Times New Roman"/>
                <w:sz w:val="21"/>
                <w:szCs w:val="21"/>
              </w:rPr>
            </w:pPr>
            <w:r>
              <w:rPr>
                <w:rFonts w:cs="Times New Roman"/>
                <w:sz w:val="21"/>
                <w:szCs w:val="21"/>
              </w:rPr>
              <w:t>本达</w:t>
            </w:r>
          </w:p>
        </w:tc>
        <w:tc>
          <w:tcPr>
            <w:tcW w:w="1410" w:type="dxa"/>
            <w:noWrap/>
            <w:vAlign w:val="center"/>
          </w:tcPr>
          <w:p w14:paraId="7B17DDD2">
            <w:pPr>
              <w:spacing w:line="240" w:lineRule="auto"/>
              <w:ind w:firstLine="0" w:firstLineChars="0"/>
              <w:jc w:val="center"/>
              <w:rPr>
                <w:rFonts w:cs="Times New Roman"/>
                <w:sz w:val="21"/>
                <w:szCs w:val="21"/>
              </w:rPr>
            </w:pPr>
            <w:r>
              <w:rPr>
                <w:rFonts w:cs="Times New Roman"/>
                <w:sz w:val="21"/>
                <w:szCs w:val="21"/>
              </w:rPr>
              <w:t>483</w:t>
            </w:r>
          </w:p>
        </w:tc>
        <w:tc>
          <w:tcPr>
            <w:tcW w:w="1819" w:type="dxa"/>
            <w:noWrap/>
            <w:vAlign w:val="center"/>
          </w:tcPr>
          <w:p w14:paraId="5DA5C3BD">
            <w:pPr>
              <w:spacing w:line="240" w:lineRule="auto"/>
              <w:ind w:firstLine="0" w:firstLineChars="0"/>
              <w:jc w:val="center"/>
              <w:rPr>
                <w:rFonts w:cs="Times New Roman"/>
                <w:sz w:val="21"/>
                <w:szCs w:val="21"/>
              </w:rPr>
            </w:pPr>
            <w:r>
              <w:rPr>
                <w:rFonts w:cs="Times New Roman"/>
                <w:sz w:val="21"/>
                <w:szCs w:val="21"/>
              </w:rPr>
              <w:t>其他一般</w:t>
            </w:r>
          </w:p>
        </w:tc>
      </w:tr>
      <w:tr w14:paraId="66764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7C18C764">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5DA64309">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4E6685E9">
            <w:pPr>
              <w:spacing w:line="240" w:lineRule="auto"/>
              <w:ind w:firstLine="0" w:firstLineChars="0"/>
              <w:jc w:val="center"/>
              <w:rPr>
                <w:rFonts w:cs="Times New Roman"/>
                <w:sz w:val="21"/>
                <w:szCs w:val="21"/>
              </w:rPr>
            </w:pPr>
            <w:r>
              <w:rPr>
                <w:rFonts w:cs="Times New Roman"/>
                <w:sz w:val="21"/>
                <w:szCs w:val="21"/>
              </w:rPr>
              <w:t>接山墩</w:t>
            </w:r>
          </w:p>
        </w:tc>
        <w:tc>
          <w:tcPr>
            <w:tcW w:w="1410" w:type="dxa"/>
            <w:noWrap/>
            <w:vAlign w:val="center"/>
          </w:tcPr>
          <w:p w14:paraId="4E2C2D16">
            <w:pPr>
              <w:spacing w:line="240" w:lineRule="auto"/>
              <w:ind w:firstLine="0" w:firstLineChars="0"/>
              <w:jc w:val="center"/>
              <w:rPr>
                <w:rFonts w:cs="Times New Roman"/>
                <w:sz w:val="21"/>
                <w:szCs w:val="21"/>
              </w:rPr>
            </w:pPr>
            <w:r>
              <w:rPr>
                <w:rFonts w:cs="Times New Roman"/>
                <w:sz w:val="21"/>
                <w:szCs w:val="21"/>
              </w:rPr>
              <w:t>145</w:t>
            </w:r>
          </w:p>
        </w:tc>
        <w:tc>
          <w:tcPr>
            <w:tcW w:w="1819" w:type="dxa"/>
            <w:noWrap/>
            <w:vAlign w:val="center"/>
          </w:tcPr>
          <w:p w14:paraId="0FCA7EFC">
            <w:pPr>
              <w:spacing w:line="240" w:lineRule="auto"/>
              <w:ind w:firstLine="0" w:firstLineChars="0"/>
              <w:jc w:val="center"/>
              <w:rPr>
                <w:rFonts w:cs="Times New Roman"/>
                <w:sz w:val="21"/>
                <w:szCs w:val="21"/>
              </w:rPr>
            </w:pPr>
            <w:r>
              <w:rPr>
                <w:rFonts w:cs="Times New Roman"/>
                <w:sz w:val="21"/>
                <w:szCs w:val="21"/>
              </w:rPr>
              <w:t>搬迁撤并</w:t>
            </w:r>
          </w:p>
        </w:tc>
      </w:tr>
      <w:tr w14:paraId="404FA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1ED36E4">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45FBE2A">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480F3C55">
            <w:pPr>
              <w:spacing w:line="240" w:lineRule="auto"/>
              <w:ind w:firstLine="0" w:firstLineChars="0"/>
              <w:jc w:val="center"/>
              <w:rPr>
                <w:rFonts w:cs="Times New Roman"/>
                <w:sz w:val="21"/>
                <w:szCs w:val="21"/>
              </w:rPr>
            </w:pPr>
            <w:r>
              <w:rPr>
                <w:rFonts w:cs="Times New Roman"/>
                <w:sz w:val="21"/>
                <w:szCs w:val="21"/>
              </w:rPr>
              <w:t>对达</w:t>
            </w:r>
          </w:p>
        </w:tc>
        <w:tc>
          <w:tcPr>
            <w:tcW w:w="1410" w:type="dxa"/>
            <w:noWrap/>
            <w:vAlign w:val="center"/>
          </w:tcPr>
          <w:p w14:paraId="0B8A5203">
            <w:pPr>
              <w:spacing w:line="240" w:lineRule="auto"/>
              <w:ind w:firstLine="0" w:firstLineChars="0"/>
              <w:jc w:val="center"/>
              <w:rPr>
                <w:rFonts w:cs="Times New Roman"/>
                <w:sz w:val="21"/>
                <w:szCs w:val="21"/>
              </w:rPr>
            </w:pPr>
            <w:r>
              <w:rPr>
                <w:rFonts w:cs="Times New Roman"/>
                <w:sz w:val="21"/>
                <w:szCs w:val="21"/>
              </w:rPr>
              <w:t>552</w:t>
            </w:r>
          </w:p>
        </w:tc>
        <w:tc>
          <w:tcPr>
            <w:tcW w:w="1819" w:type="dxa"/>
            <w:noWrap/>
            <w:vAlign w:val="center"/>
          </w:tcPr>
          <w:p w14:paraId="5478FB5B">
            <w:pPr>
              <w:spacing w:line="240" w:lineRule="auto"/>
              <w:ind w:firstLine="0" w:firstLineChars="0"/>
              <w:jc w:val="center"/>
              <w:rPr>
                <w:rFonts w:cs="Times New Roman"/>
                <w:sz w:val="21"/>
                <w:szCs w:val="21"/>
              </w:rPr>
            </w:pPr>
            <w:r>
              <w:rPr>
                <w:rFonts w:cs="Times New Roman"/>
                <w:sz w:val="21"/>
                <w:szCs w:val="21"/>
              </w:rPr>
              <w:t>集聚提升</w:t>
            </w:r>
          </w:p>
        </w:tc>
      </w:tr>
      <w:tr w14:paraId="546FA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4B2F0BFA">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6EB53A1">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6CF43136">
            <w:pPr>
              <w:spacing w:line="240" w:lineRule="auto"/>
              <w:ind w:firstLine="0" w:firstLineChars="0"/>
              <w:jc w:val="center"/>
              <w:rPr>
                <w:rFonts w:cs="Times New Roman"/>
                <w:sz w:val="21"/>
                <w:szCs w:val="21"/>
              </w:rPr>
            </w:pPr>
            <w:r>
              <w:rPr>
                <w:rFonts w:cs="Times New Roman"/>
                <w:sz w:val="21"/>
                <w:szCs w:val="21"/>
              </w:rPr>
              <w:t>东边点</w:t>
            </w:r>
          </w:p>
        </w:tc>
        <w:tc>
          <w:tcPr>
            <w:tcW w:w="1410" w:type="dxa"/>
            <w:noWrap/>
            <w:vAlign w:val="center"/>
          </w:tcPr>
          <w:p w14:paraId="6F10C9C5">
            <w:pPr>
              <w:spacing w:line="240" w:lineRule="auto"/>
              <w:ind w:firstLine="0" w:firstLineChars="0"/>
              <w:jc w:val="center"/>
              <w:rPr>
                <w:rFonts w:cs="Times New Roman"/>
                <w:sz w:val="21"/>
                <w:szCs w:val="21"/>
              </w:rPr>
            </w:pPr>
            <w:r>
              <w:rPr>
                <w:rFonts w:cs="Times New Roman"/>
                <w:sz w:val="21"/>
                <w:szCs w:val="21"/>
              </w:rPr>
              <w:t>100</w:t>
            </w:r>
          </w:p>
        </w:tc>
        <w:tc>
          <w:tcPr>
            <w:tcW w:w="1819" w:type="dxa"/>
            <w:noWrap/>
            <w:vAlign w:val="center"/>
          </w:tcPr>
          <w:p w14:paraId="72196CCB">
            <w:pPr>
              <w:spacing w:line="240" w:lineRule="auto"/>
              <w:ind w:firstLine="0" w:firstLineChars="0"/>
              <w:jc w:val="center"/>
              <w:rPr>
                <w:rFonts w:cs="Times New Roman"/>
                <w:sz w:val="21"/>
                <w:szCs w:val="21"/>
              </w:rPr>
            </w:pPr>
            <w:r>
              <w:rPr>
                <w:rFonts w:cs="Times New Roman"/>
                <w:sz w:val="21"/>
                <w:szCs w:val="21"/>
              </w:rPr>
              <w:t>搬迁撤并</w:t>
            </w:r>
          </w:p>
        </w:tc>
      </w:tr>
      <w:tr w14:paraId="02582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B4E5E3B">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881D21A">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57661306">
            <w:pPr>
              <w:spacing w:line="240" w:lineRule="auto"/>
              <w:ind w:firstLine="0" w:firstLineChars="0"/>
              <w:jc w:val="center"/>
              <w:rPr>
                <w:rFonts w:cs="Times New Roman"/>
                <w:sz w:val="21"/>
                <w:szCs w:val="21"/>
              </w:rPr>
            </w:pPr>
            <w:r>
              <w:rPr>
                <w:rFonts w:cs="Times New Roman"/>
                <w:sz w:val="21"/>
                <w:szCs w:val="21"/>
              </w:rPr>
              <w:t>门楼下</w:t>
            </w:r>
          </w:p>
        </w:tc>
        <w:tc>
          <w:tcPr>
            <w:tcW w:w="1410" w:type="dxa"/>
            <w:noWrap/>
            <w:vAlign w:val="center"/>
          </w:tcPr>
          <w:p w14:paraId="01F4B662">
            <w:pPr>
              <w:spacing w:line="240" w:lineRule="auto"/>
              <w:ind w:firstLine="0" w:firstLineChars="0"/>
              <w:jc w:val="center"/>
              <w:rPr>
                <w:rFonts w:cs="Times New Roman"/>
                <w:sz w:val="21"/>
                <w:szCs w:val="21"/>
              </w:rPr>
            </w:pPr>
            <w:r>
              <w:rPr>
                <w:rFonts w:cs="Times New Roman"/>
                <w:sz w:val="21"/>
                <w:szCs w:val="21"/>
              </w:rPr>
              <w:t>378</w:t>
            </w:r>
          </w:p>
        </w:tc>
        <w:tc>
          <w:tcPr>
            <w:tcW w:w="1819" w:type="dxa"/>
            <w:noWrap/>
            <w:vAlign w:val="center"/>
          </w:tcPr>
          <w:p w14:paraId="240581FA">
            <w:pPr>
              <w:spacing w:line="240" w:lineRule="auto"/>
              <w:ind w:firstLine="0" w:firstLineChars="0"/>
              <w:jc w:val="center"/>
              <w:rPr>
                <w:rFonts w:cs="Times New Roman"/>
                <w:sz w:val="21"/>
                <w:szCs w:val="21"/>
              </w:rPr>
            </w:pPr>
            <w:r>
              <w:rPr>
                <w:rFonts w:cs="Times New Roman"/>
                <w:sz w:val="21"/>
                <w:szCs w:val="21"/>
              </w:rPr>
              <w:t>其他一般</w:t>
            </w:r>
          </w:p>
        </w:tc>
      </w:tr>
      <w:tr w14:paraId="11578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0BABB745">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55A29BB9">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5A3CE7E1">
            <w:pPr>
              <w:spacing w:line="240" w:lineRule="auto"/>
              <w:ind w:firstLine="0" w:firstLineChars="0"/>
              <w:jc w:val="center"/>
              <w:rPr>
                <w:rFonts w:cs="Times New Roman"/>
                <w:sz w:val="21"/>
                <w:szCs w:val="21"/>
              </w:rPr>
            </w:pPr>
            <w:r>
              <w:rPr>
                <w:rFonts w:cs="Times New Roman"/>
                <w:sz w:val="21"/>
                <w:szCs w:val="21"/>
              </w:rPr>
              <w:t>小庄山</w:t>
            </w:r>
          </w:p>
        </w:tc>
        <w:tc>
          <w:tcPr>
            <w:tcW w:w="1410" w:type="dxa"/>
            <w:noWrap/>
            <w:vAlign w:val="center"/>
          </w:tcPr>
          <w:p w14:paraId="6D9891EE">
            <w:pPr>
              <w:spacing w:line="240" w:lineRule="auto"/>
              <w:ind w:firstLine="0" w:firstLineChars="0"/>
              <w:jc w:val="center"/>
              <w:rPr>
                <w:rFonts w:cs="Times New Roman"/>
                <w:sz w:val="21"/>
                <w:szCs w:val="21"/>
              </w:rPr>
            </w:pPr>
            <w:r>
              <w:rPr>
                <w:rFonts w:cs="Times New Roman"/>
                <w:sz w:val="21"/>
                <w:szCs w:val="21"/>
              </w:rPr>
              <w:t>66</w:t>
            </w:r>
          </w:p>
        </w:tc>
        <w:tc>
          <w:tcPr>
            <w:tcW w:w="1819" w:type="dxa"/>
            <w:noWrap/>
            <w:vAlign w:val="center"/>
          </w:tcPr>
          <w:p w14:paraId="11234695">
            <w:pPr>
              <w:spacing w:line="240" w:lineRule="auto"/>
              <w:ind w:firstLine="0" w:firstLineChars="0"/>
              <w:jc w:val="center"/>
              <w:rPr>
                <w:rFonts w:cs="Times New Roman"/>
                <w:sz w:val="21"/>
                <w:szCs w:val="21"/>
              </w:rPr>
            </w:pPr>
            <w:r>
              <w:rPr>
                <w:rFonts w:cs="Times New Roman"/>
                <w:sz w:val="21"/>
                <w:szCs w:val="21"/>
              </w:rPr>
              <w:t>搬迁撤并</w:t>
            </w:r>
          </w:p>
        </w:tc>
      </w:tr>
      <w:tr w14:paraId="5A029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56F7426">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FC7BD94">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2CC0C68F">
            <w:pPr>
              <w:spacing w:line="240" w:lineRule="auto"/>
              <w:ind w:firstLine="0" w:firstLineChars="0"/>
              <w:jc w:val="center"/>
              <w:rPr>
                <w:rFonts w:cs="Times New Roman"/>
                <w:sz w:val="21"/>
                <w:szCs w:val="21"/>
              </w:rPr>
            </w:pPr>
            <w:r>
              <w:rPr>
                <w:rFonts w:cs="Times New Roman"/>
                <w:sz w:val="21"/>
                <w:szCs w:val="21"/>
              </w:rPr>
              <w:t>棠梨岗</w:t>
            </w:r>
          </w:p>
        </w:tc>
        <w:tc>
          <w:tcPr>
            <w:tcW w:w="1410" w:type="dxa"/>
            <w:noWrap/>
            <w:vAlign w:val="center"/>
          </w:tcPr>
          <w:p w14:paraId="7A8E3616">
            <w:pPr>
              <w:spacing w:line="240" w:lineRule="auto"/>
              <w:ind w:firstLine="0" w:firstLineChars="0"/>
              <w:jc w:val="center"/>
              <w:rPr>
                <w:rFonts w:cs="Times New Roman"/>
                <w:sz w:val="21"/>
                <w:szCs w:val="21"/>
              </w:rPr>
            </w:pPr>
            <w:r>
              <w:rPr>
                <w:rFonts w:cs="Times New Roman"/>
                <w:sz w:val="21"/>
                <w:szCs w:val="21"/>
              </w:rPr>
              <w:t>304</w:t>
            </w:r>
          </w:p>
        </w:tc>
        <w:tc>
          <w:tcPr>
            <w:tcW w:w="1819" w:type="dxa"/>
            <w:noWrap/>
            <w:vAlign w:val="center"/>
          </w:tcPr>
          <w:p w14:paraId="3CBDD78A">
            <w:pPr>
              <w:spacing w:line="240" w:lineRule="auto"/>
              <w:ind w:firstLine="0" w:firstLineChars="0"/>
              <w:jc w:val="center"/>
              <w:rPr>
                <w:rFonts w:cs="Times New Roman"/>
                <w:sz w:val="21"/>
                <w:szCs w:val="21"/>
              </w:rPr>
            </w:pPr>
            <w:r>
              <w:rPr>
                <w:rFonts w:cs="Times New Roman"/>
                <w:sz w:val="21"/>
                <w:szCs w:val="21"/>
              </w:rPr>
              <w:t>其他一般</w:t>
            </w:r>
          </w:p>
        </w:tc>
      </w:tr>
      <w:tr w14:paraId="7FB41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FAF1919">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B62AFDE">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4401C50B">
            <w:pPr>
              <w:spacing w:line="240" w:lineRule="auto"/>
              <w:ind w:firstLine="0" w:firstLineChars="0"/>
              <w:jc w:val="center"/>
              <w:rPr>
                <w:rFonts w:cs="Times New Roman"/>
                <w:sz w:val="21"/>
                <w:szCs w:val="21"/>
              </w:rPr>
            </w:pPr>
            <w:r>
              <w:rPr>
                <w:rFonts w:cs="Times New Roman"/>
                <w:sz w:val="21"/>
                <w:szCs w:val="21"/>
              </w:rPr>
              <w:t>阳山</w:t>
            </w:r>
          </w:p>
        </w:tc>
        <w:tc>
          <w:tcPr>
            <w:tcW w:w="1410" w:type="dxa"/>
            <w:noWrap/>
            <w:vAlign w:val="center"/>
          </w:tcPr>
          <w:p w14:paraId="12F11855">
            <w:pPr>
              <w:spacing w:line="240" w:lineRule="auto"/>
              <w:ind w:firstLine="0" w:firstLineChars="0"/>
              <w:jc w:val="center"/>
              <w:rPr>
                <w:rFonts w:cs="Times New Roman"/>
                <w:sz w:val="21"/>
                <w:szCs w:val="21"/>
              </w:rPr>
            </w:pPr>
            <w:r>
              <w:rPr>
                <w:rFonts w:cs="Times New Roman"/>
                <w:sz w:val="21"/>
                <w:szCs w:val="21"/>
              </w:rPr>
              <w:t>450</w:t>
            </w:r>
          </w:p>
        </w:tc>
        <w:tc>
          <w:tcPr>
            <w:tcW w:w="1819" w:type="dxa"/>
            <w:noWrap/>
            <w:vAlign w:val="center"/>
          </w:tcPr>
          <w:p w14:paraId="463F267B">
            <w:pPr>
              <w:spacing w:line="240" w:lineRule="auto"/>
              <w:ind w:firstLine="0" w:firstLineChars="0"/>
              <w:jc w:val="center"/>
              <w:rPr>
                <w:rFonts w:cs="Times New Roman"/>
                <w:sz w:val="21"/>
                <w:szCs w:val="21"/>
              </w:rPr>
            </w:pPr>
            <w:r>
              <w:rPr>
                <w:rFonts w:cs="Times New Roman"/>
                <w:sz w:val="21"/>
                <w:szCs w:val="21"/>
              </w:rPr>
              <w:t>特色保护</w:t>
            </w:r>
          </w:p>
        </w:tc>
      </w:tr>
      <w:tr w14:paraId="068D8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C3B140F">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17D484F">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7E4BD5C3">
            <w:pPr>
              <w:spacing w:line="240" w:lineRule="auto"/>
              <w:ind w:firstLine="0" w:firstLineChars="0"/>
              <w:jc w:val="center"/>
              <w:rPr>
                <w:rFonts w:cs="Times New Roman"/>
                <w:sz w:val="21"/>
                <w:szCs w:val="21"/>
              </w:rPr>
            </w:pPr>
            <w:r>
              <w:rPr>
                <w:rFonts w:cs="Times New Roman"/>
                <w:sz w:val="21"/>
                <w:szCs w:val="21"/>
              </w:rPr>
              <w:t>巨塘</w:t>
            </w:r>
          </w:p>
        </w:tc>
        <w:tc>
          <w:tcPr>
            <w:tcW w:w="1410" w:type="dxa"/>
            <w:noWrap/>
            <w:vAlign w:val="center"/>
          </w:tcPr>
          <w:p w14:paraId="3E549C97">
            <w:pPr>
              <w:spacing w:line="240" w:lineRule="auto"/>
              <w:ind w:firstLine="0" w:firstLineChars="0"/>
              <w:jc w:val="center"/>
              <w:rPr>
                <w:rFonts w:cs="Times New Roman"/>
                <w:sz w:val="21"/>
                <w:szCs w:val="21"/>
              </w:rPr>
            </w:pPr>
            <w:r>
              <w:rPr>
                <w:rFonts w:cs="Times New Roman"/>
                <w:sz w:val="21"/>
                <w:szCs w:val="21"/>
              </w:rPr>
              <w:t>238</w:t>
            </w:r>
          </w:p>
        </w:tc>
        <w:tc>
          <w:tcPr>
            <w:tcW w:w="1819" w:type="dxa"/>
            <w:noWrap/>
            <w:vAlign w:val="center"/>
          </w:tcPr>
          <w:p w14:paraId="4F082558">
            <w:pPr>
              <w:spacing w:line="240" w:lineRule="auto"/>
              <w:ind w:firstLine="0" w:firstLineChars="0"/>
              <w:jc w:val="center"/>
              <w:rPr>
                <w:rFonts w:cs="Times New Roman"/>
                <w:sz w:val="21"/>
                <w:szCs w:val="21"/>
              </w:rPr>
            </w:pPr>
            <w:r>
              <w:rPr>
                <w:rFonts w:cs="Times New Roman"/>
                <w:sz w:val="21"/>
                <w:szCs w:val="21"/>
              </w:rPr>
              <w:t>其他一般</w:t>
            </w:r>
          </w:p>
        </w:tc>
      </w:tr>
      <w:tr w14:paraId="740AB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7FA6E699">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0E9696D">
            <w:pPr>
              <w:spacing w:line="240" w:lineRule="auto"/>
              <w:ind w:firstLine="0" w:firstLineChars="0"/>
              <w:jc w:val="center"/>
              <w:rPr>
                <w:rFonts w:cs="Times New Roman"/>
                <w:sz w:val="21"/>
                <w:szCs w:val="21"/>
              </w:rPr>
            </w:pPr>
            <w:r>
              <w:rPr>
                <w:rFonts w:cs="Times New Roman"/>
                <w:sz w:val="21"/>
                <w:szCs w:val="21"/>
              </w:rPr>
              <w:t>仙姑村</w:t>
            </w:r>
          </w:p>
        </w:tc>
        <w:tc>
          <w:tcPr>
            <w:tcW w:w="2385" w:type="dxa"/>
            <w:noWrap/>
            <w:vAlign w:val="center"/>
          </w:tcPr>
          <w:p w14:paraId="557E5F86">
            <w:pPr>
              <w:spacing w:line="240" w:lineRule="auto"/>
              <w:ind w:firstLine="0" w:firstLineChars="0"/>
              <w:jc w:val="center"/>
              <w:rPr>
                <w:rFonts w:cs="Times New Roman"/>
                <w:sz w:val="21"/>
                <w:szCs w:val="21"/>
              </w:rPr>
            </w:pPr>
            <w:r>
              <w:rPr>
                <w:rFonts w:cs="Times New Roman"/>
                <w:sz w:val="21"/>
                <w:szCs w:val="21"/>
              </w:rPr>
              <w:t>石门塘</w:t>
            </w:r>
          </w:p>
        </w:tc>
        <w:tc>
          <w:tcPr>
            <w:tcW w:w="1410" w:type="dxa"/>
            <w:noWrap/>
            <w:vAlign w:val="center"/>
          </w:tcPr>
          <w:p w14:paraId="6C238B37">
            <w:pPr>
              <w:spacing w:line="240" w:lineRule="auto"/>
              <w:ind w:firstLine="0" w:firstLineChars="0"/>
              <w:jc w:val="center"/>
              <w:rPr>
                <w:rFonts w:cs="Times New Roman"/>
                <w:sz w:val="21"/>
                <w:szCs w:val="21"/>
              </w:rPr>
            </w:pPr>
            <w:r>
              <w:rPr>
                <w:rFonts w:cs="Times New Roman"/>
                <w:sz w:val="21"/>
                <w:szCs w:val="21"/>
              </w:rPr>
              <w:t>162</w:t>
            </w:r>
          </w:p>
        </w:tc>
        <w:tc>
          <w:tcPr>
            <w:tcW w:w="1819" w:type="dxa"/>
            <w:noWrap/>
            <w:vAlign w:val="center"/>
          </w:tcPr>
          <w:p w14:paraId="2AA0C0A2">
            <w:pPr>
              <w:spacing w:line="240" w:lineRule="auto"/>
              <w:ind w:firstLine="0" w:firstLineChars="0"/>
              <w:jc w:val="center"/>
              <w:rPr>
                <w:rFonts w:cs="Times New Roman"/>
                <w:sz w:val="21"/>
                <w:szCs w:val="21"/>
              </w:rPr>
            </w:pPr>
            <w:r>
              <w:rPr>
                <w:rFonts w:cs="Times New Roman"/>
                <w:sz w:val="21"/>
                <w:szCs w:val="21"/>
              </w:rPr>
              <w:t>搬迁撤并</w:t>
            </w:r>
          </w:p>
        </w:tc>
      </w:tr>
      <w:tr w14:paraId="09E9E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B6FB09E">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6D778BC">
            <w:pPr>
              <w:spacing w:line="240" w:lineRule="auto"/>
              <w:ind w:firstLine="0" w:firstLineChars="0"/>
              <w:jc w:val="center"/>
              <w:rPr>
                <w:rFonts w:cs="Times New Roman"/>
                <w:sz w:val="21"/>
                <w:szCs w:val="21"/>
              </w:rPr>
            </w:pPr>
            <w:r>
              <w:rPr>
                <w:rFonts w:cs="Times New Roman"/>
                <w:sz w:val="21"/>
                <w:szCs w:val="21"/>
              </w:rPr>
              <w:t>西旸村</w:t>
            </w:r>
          </w:p>
        </w:tc>
        <w:tc>
          <w:tcPr>
            <w:tcW w:w="2385" w:type="dxa"/>
            <w:noWrap/>
            <w:vAlign w:val="center"/>
          </w:tcPr>
          <w:p w14:paraId="733FAE3E">
            <w:pPr>
              <w:spacing w:line="240" w:lineRule="auto"/>
              <w:ind w:firstLine="0" w:firstLineChars="0"/>
              <w:jc w:val="center"/>
              <w:rPr>
                <w:rFonts w:cs="Times New Roman"/>
                <w:sz w:val="21"/>
                <w:szCs w:val="21"/>
              </w:rPr>
            </w:pPr>
            <w:r>
              <w:rPr>
                <w:rFonts w:cs="Times New Roman"/>
                <w:sz w:val="21"/>
                <w:szCs w:val="21"/>
              </w:rPr>
              <w:t>青龙埂</w:t>
            </w:r>
          </w:p>
        </w:tc>
        <w:tc>
          <w:tcPr>
            <w:tcW w:w="1410" w:type="dxa"/>
            <w:noWrap/>
            <w:vAlign w:val="center"/>
          </w:tcPr>
          <w:p w14:paraId="6D0C7A94">
            <w:pPr>
              <w:spacing w:line="240" w:lineRule="auto"/>
              <w:ind w:firstLine="0" w:firstLineChars="0"/>
              <w:jc w:val="center"/>
              <w:rPr>
                <w:rFonts w:cs="Times New Roman"/>
                <w:sz w:val="21"/>
                <w:szCs w:val="21"/>
              </w:rPr>
            </w:pPr>
            <w:r>
              <w:rPr>
                <w:rFonts w:cs="Times New Roman"/>
                <w:sz w:val="21"/>
                <w:szCs w:val="21"/>
              </w:rPr>
              <w:t>119</w:t>
            </w:r>
          </w:p>
        </w:tc>
        <w:tc>
          <w:tcPr>
            <w:tcW w:w="1819" w:type="dxa"/>
            <w:noWrap/>
            <w:vAlign w:val="center"/>
          </w:tcPr>
          <w:p w14:paraId="12C77BED">
            <w:pPr>
              <w:spacing w:line="240" w:lineRule="auto"/>
              <w:ind w:firstLine="0" w:firstLineChars="0"/>
              <w:jc w:val="center"/>
              <w:rPr>
                <w:rFonts w:cs="Times New Roman"/>
                <w:sz w:val="21"/>
                <w:szCs w:val="21"/>
              </w:rPr>
            </w:pPr>
            <w:r>
              <w:rPr>
                <w:rFonts w:cs="Times New Roman"/>
                <w:sz w:val="21"/>
                <w:szCs w:val="21"/>
              </w:rPr>
              <w:t>搬迁撤并</w:t>
            </w:r>
          </w:p>
        </w:tc>
      </w:tr>
      <w:tr w14:paraId="51DDC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D22A85D">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5A1FA62">
            <w:pPr>
              <w:spacing w:line="240" w:lineRule="auto"/>
              <w:ind w:firstLine="0" w:firstLineChars="0"/>
              <w:jc w:val="center"/>
              <w:rPr>
                <w:rFonts w:cs="Times New Roman"/>
                <w:sz w:val="21"/>
                <w:szCs w:val="21"/>
              </w:rPr>
            </w:pPr>
            <w:r>
              <w:rPr>
                <w:rFonts w:cs="Times New Roman"/>
                <w:sz w:val="21"/>
                <w:szCs w:val="21"/>
              </w:rPr>
              <w:t>西旸村</w:t>
            </w:r>
          </w:p>
        </w:tc>
        <w:tc>
          <w:tcPr>
            <w:tcW w:w="2385" w:type="dxa"/>
            <w:noWrap/>
            <w:vAlign w:val="center"/>
          </w:tcPr>
          <w:p w14:paraId="120F7286">
            <w:pPr>
              <w:spacing w:line="240" w:lineRule="auto"/>
              <w:ind w:firstLine="0" w:firstLineChars="0"/>
              <w:jc w:val="center"/>
              <w:rPr>
                <w:rFonts w:cs="Times New Roman"/>
                <w:sz w:val="21"/>
                <w:szCs w:val="21"/>
              </w:rPr>
            </w:pPr>
            <w:r>
              <w:rPr>
                <w:rFonts w:cs="Times New Roman"/>
                <w:sz w:val="21"/>
                <w:szCs w:val="21"/>
              </w:rPr>
              <w:t>周达</w:t>
            </w:r>
          </w:p>
        </w:tc>
        <w:tc>
          <w:tcPr>
            <w:tcW w:w="1410" w:type="dxa"/>
            <w:noWrap/>
            <w:vAlign w:val="center"/>
          </w:tcPr>
          <w:p w14:paraId="75A927E3">
            <w:pPr>
              <w:spacing w:line="240" w:lineRule="auto"/>
              <w:ind w:firstLine="0" w:firstLineChars="0"/>
              <w:jc w:val="center"/>
              <w:rPr>
                <w:rFonts w:cs="Times New Roman"/>
                <w:sz w:val="21"/>
                <w:szCs w:val="21"/>
              </w:rPr>
            </w:pPr>
            <w:r>
              <w:rPr>
                <w:rFonts w:cs="Times New Roman"/>
                <w:sz w:val="21"/>
                <w:szCs w:val="21"/>
              </w:rPr>
              <w:t>367</w:t>
            </w:r>
          </w:p>
        </w:tc>
        <w:tc>
          <w:tcPr>
            <w:tcW w:w="1819" w:type="dxa"/>
            <w:noWrap/>
            <w:vAlign w:val="center"/>
          </w:tcPr>
          <w:p w14:paraId="756C2BEB">
            <w:pPr>
              <w:spacing w:line="240" w:lineRule="auto"/>
              <w:ind w:firstLine="0" w:firstLineChars="0"/>
              <w:jc w:val="center"/>
              <w:rPr>
                <w:rFonts w:cs="Times New Roman"/>
                <w:sz w:val="21"/>
                <w:szCs w:val="21"/>
              </w:rPr>
            </w:pPr>
            <w:r>
              <w:rPr>
                <w:rFonts w:cs="Times New Roman"/>
                <w:sz w:val="21"/>
                <w:szCs w:val="21"/>
              </w:rPr>
              <w:t>集聚提升</w:t>
            </w:r>
          </w:p>
        </w:tc>
      </w:tr>
      <w:tr w14:paraId="3176D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44CE6A8C">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3DDA6190">
            <w:pPr>
              <w:spacing w:line="240" w:lineRule="auto"/>
              <w:ind w:firstLine="0" w:firstLineChars="0"/>
              <w:jc w:val="center"/>
              <w:rPr>
                <w:rFonts w:cs="Times New Roman"/>
                <w:sz w:val="21"/>
                <w:szCs w:val="21"/>
              </w:rPr>
            </w:pPr>
            <w:r>
              <w:rPr>
                <w:rFonts w:cs="Times New Roman"/>
                <w:sz w:val="21"/>
                <w:szCs w:val="21"/>
              </w:rPr>
              <w:t>西旸村</w:t>
            </w:r>
          </w:p>
        </w:tc>
        <w:tc>
          <w:tcPr>
            <w:tcW w:w="2385" w:type="dxa"/>
            <w:noWrap/>
            <w:vAlign w:val="center"/>
          </w:tcPr>
          <w:p w14:paraId="7DDDAFF2">
            <w:pPr>
              <w:spacing w:line="240" w:lineRule="auto"/>
              <w:ind w:firstLine="0" w:firstLineChars="0"/>
              <w:jc w:val="center"/>
              <w:rPr>
                <w:rFonts w:cs="Times New Roman"/>
                <w:sz w:val="21"/>
                <w:szCs w:val="21"/>
              </w:rPr>
            </w:pPr>
            <w:r>
              <w:rPr>
                <w:rFonts w:cs="Times New Roman"/>
                <w:sz w:val="21"/>
                <w:szCs w:val="21"/>
              </w:rPr>
              <w:t>任家棚</w:t>
            </w:r>
          </w:p>
        </w:tc>
        <w:tc>
          <w:tcPr>
            <w:tcW w:w="1410" w:type="dxa"/>
            <w:noWrap/>
            <w:vAlign w:val="center"/>
          </w:tcPr>
          <w:p w14:paraId="3CB3C090">
            <w:pPr>
              <w:spacing w:line="240" w:lineRule="auto"/>
              <w:ind w:firstLine="0" w:firstLineChars="0"/>
              <w:jc w:val="center"/>
              <w:rPr>
                <w:rFonts w:cs="Times New Roman"/>
                <w:sz w:val="21"/>
                <w:szCs w:val="21"/>
              </w:rPr>
            </w:pPr>
            <w:r>
              <w:rPr>
                <w:rFonts w:cs="Times New Roman"/>
                <w:sz w:val="21"/>
                <w:szCs w:val="21"/>
              </w:rPr>
              <w:t>70</w:t>
            </w:r>
          </w:p>
        </w:tc>
        <w:tc>
          <w:tcPr>
            <w:tcW w:w="1819" w:type="dxa"/>
            <w:noWrap/>
            <w:vAlign w:val="center"/>
          </w:tcPr>
          <w:p w14:paraId="56EF32A5">
            <w:pPr>
              <w:spacing w:line="240" w:lineRule="auto"/>
              <w:ind w:firstLine="0" w:firstLineChars="0"/>
              <w:jc w:val="center"/>
              <w:rPr>
                <w:rFonts w:cs="Times New Roman"/>
                <w:sz w:val="21"/>
                <w:szCs w:val="21"/>
              </w:rPr>
            </w:pPr>
            <w:r>
              <w:rPr>
                <w:rFonts w:cs="Times New Roman"/>
                <w:sz w:val="21"/>
                <w:szCs w:val="21"/>
              </w:rPr>
              <w:t>搬迁撤并</w:t>
            </w:r>
          </w:p>
        </w:tc>
      </w:tr>
      <w:tr w14:paraId="34F98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74C65F0">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8EF6688">
            <w:pPr>
              <w:spacing w:line="240" w:lineRule="auto"/>
              <w:ind w:firstLine="0" w:firstLineChars="0"/>
              <w:jc w:val="center"/>
              <w:rPr>
                <w:rFonts w:cs="Times New Roman"/>
                <w:sz w:val="21"/>
                <w:szCs w:val="21"/>
              </w:rPr>
            </w:pPr>
            <w:r>
              <w:rPr>
                <w:rFonts w:cs="Times New Roman"/>
                <w:sz w:val="21"/>
                <w:szCs w:val="21"/>
              </w:rPr>
              <w:t>西旸村</w:t>
            </w:r>
          </w:p>
        </w:tc>
        <w:tc>
          <w:tcPr>
            <w:tcW w:w="2385" w:type="dxa"/>
            <w:noWrap/>
            <w:vAlign w:val="center"/>
          </w:tcPr>
          <w:p w14:paraId="633D27AD">
            <w:pPr>
              <w:spacing w:line="240" w:lineRule="auto"/>
              <w:ind w:firstLine="0" w:firstLineChars="0"/>
              <w:jc w:val="center"/>
              <w:rPr>
                <w:rFonts w:cs="Times New Roman"/>
                <w:sz w:val="21"/>
                <w:szCs w:val="21"/>
              </w:rPr>
            </w:pPr>
            <w:r>
              <w:rPr>
                <w:rFonts w:cs="Times New Roman"/>
                <w:sz w:val="21"/>
                <w:szCs w:val="21"/>
              </w:rPr>
              <w:t>油炸头</w:t>
            </w:r>
          </w:p>
        </w:tc>
        <w:tc>
          <w:tcPr>
            <w:tcW w:w="1410" w:type="dxa"/>
            <w:noWrap/>
            <w:vAlign w:val="center"/>
          </w:tcPr>
          <w:p w14:paraId="3C28017F">
            <w:pPr>
              <w:spacing w:line="240" w:lineRule="auto"/>
              <w:ind w:firstLine="0" w:firstLineChars="0"/>
              <w:jc w:val="center"/>
              <w:rPr>
                <w:rFonts w:cs="Times New Roman"/>
                <w:sz w:val="21"/>
                <w:szCs w:val="21"/>
              </w:rPr>
            </w:pPr>
            <w:r>
              <w:rPr>
                <w:rFonts w:cs="Times New Roman"/>
                <w:sz w:val="21"/>
                <w:szCs w:val="21"/>
              </w:rPr>
              <w:t>393</w:t>
            </w:r>
          </w:p>
        </w:tc>
        <w:tc>
          <w:tcPr>
            <w:tcW w:w="1819" w:type="dxa"/>
            <w:noWrap/>
            <w:vAlign w:val="center"/>
          </w:tcPr>
          <w:p w14:paraId="65CE4352">
            <w:pPr>
              <w:spacing w:line="240" w:lineRule="auto"/>
              <w:ind w:firstLine="0" w:firstLineChars="0"/>
              <w:jc w:val="center"/>
              <w:rPr>
                <w:rFonts w:cs="Times New Roman"/>
                <w:sz w:val="21"/>
                <w:szCs w:val="21"/>
              </w:rPr>
            </w:pPr>
            <w:r>
              <w:rPr>
                <w:rFonts w:cs="Times New Roman"/>
                <w:sz w:val="21"/>
                <w:szCs w:val="21"/>
              </w:rPr>
              <w:t>集聚提升</w:t>
            </w:r>
          </w:p>
        </w:tc>
      </w:tr>
      <w:tr w14:paraId="61D7A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3BC8ED2">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53BFF23E">
            <w:pPr>
              <w:spacing w:line="240" w:lineRule="auto"/>
              <w:ind w:firstLine="0" w:firstLineChars="0"/>
              <w:jc w:val="center"/>
              <w:rPr>
                <w:rFonts w:cs="Times New Roman"/>
                <w:sz w:val="21"/>
                <w:szCs w:val="21"/>
              </w:rPr>
            </w:pPr>
            <w:r>
              <w:rPr>
                <w:rFonts w:cs="Times New Roman"/>
                <w:sz w:val="21"/>
                <w:szCs w:val="21"/>
              </w:rPr>
              <w:t>西旸村</w:t>
            </w:r>
          </w:p>
        </w:tc>
        <w:tc>
          <w:tcPr>
            <w:tcW w:w="2385" w:type="dxa"/>
            <w:noWrap/>
            <w:vAlign w:val="center"/>
          </w:tcPr>
          <w:p w14:paraId="05BD1A34">
            <w:pPr>
              <w:spacing w:line="240" w:lineRule="auto"/>
              <w:ind w:firstLine="0" w:firstLineChars="0"/>
              <w:jc w:val="center"/>
              <w:rPr>
                <w:rFonts w:cs="Times New Roman"/>
                <w:sz w:val="21"/>
                <w:szCs w:val="21"/>
              </w:rPr>
            </w:pPr>
            <w:r>
              <w:rPr>
                <w:rFonts w:cs="Times New Roman"/>
                <w:sz w:val="21"/>
                <w:szCs w:val="21"/>
              </w:rPr>
              <w:t>东园</w:t>
            </w:r>
          </w:p>
        </w:tc>
        <w:tc>
          <w:tcPr>
            <w:tcW w:w="1410" w:type="dxa"/>
            <w:noWrap/>
            <w:vAlign w:val="center"/>
          </w:tcPr>
          <w:p w14:paraId="42A30306">
            <w:pPr>
              <w:spacing w:line="240" w:lineRule="auto"/>
              <w:ind w:firstLine="0" w:firstLineChars="0"/>
              <w:jc w:val="center"/>
              <w:rPr>
                <w:rFonts w:cs="Times New Roman"/>
                <w:sz w:val="21"/>
                <w:szCs w:val="21"/>
              </w:rPr>
            </w:pPr>
            <w:r>
              <w:rPr>
                <w:rFonts w:cs="Times New Roman"/>
                <w:sz w:val="21"/>
                <w:szCs w:val="21"/>
              </w:rPr>
              <w:t>145</w:t>
            </w:r>
          </w:p>
        </w:tc>
        <w:tc>
          <w:tcPr>
            <w:tcW w:w="1819" w:type="dxa"/>
            <w:noWrap/>
            <w:vAlign w:val="center"/>
          </w:tcPr>
          <w:p w14:paraId="02B7D79F">
            <w:pPr>
              <w:spacing w:line="240" w:lineRule="auto"/>
              <w:ind w:firstLine="0" w:firstLineChars="0"/>
              <w:jc w:val="center"/>
              <w:rPr>
                <w:rFonts w:cs="Times New Roman"/>
                <w:sz w:val="21"/>
                <w:szCs w:val="21"/>
              </w:rPr>
            </w:pPr>
            <w:r>
              <w:rPr>
                <w:rFonts w:cs="Times New Roman"/>
                <w:sz w:val="21"/>
                <w:szCs w:val="21"/>
              </w:rPr>
              <w:t>其他一般</w:t>
            </w:r>
          </w:p>
        </w:tc>
      </w:tr>
      <w:tr w14:paraId="693F0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9D95FEE">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341EF53">
            <w:pPr>
              <w:spacing w:line="240" w:lineRule="auto"/>
              <w:ind w:firstLine="0" w:firstLineChars="0"/>
              <w:jc w:val="center"/>
              <w:rPr>
                <w:rFonts w:cs="Times New Roman"/>
                <w:sz w:val="21"/>
                <w:szCs w:val="21"/>
              </w:rPr>
            </w:pPr>
            <w:r>
              <w:rPr>
                <w:rFonts w:cs="Times New Roman"/>
                <w:sz w:val="21"/>
                <w:szCs w:val="21"/>
              </w:rPr>
              <w:t>西旸村</w:t>
            </w:r>
          </w:p>
        </w:tc>
        <w:tc>
          <w:tcPr>
            <w:tcW w:w="2385" w:type="dxa"/>
            <w:noWrap/>
            <w:vAlign w:val="center"/>
          </w:tcPr>
          <w:p w14:paraId="63871007">
            <w:pPr>
              <w:spacing w:line="240" w:lineRule="auto"/>
              <w:ind w:firstLine="0" w:firstLineChars="0"/>
              <w:jc w:val="center"/>
              <w:rPr>
                <w:rFonts w:cs="Times New Roman"/>
                <w:sz w:val="21"/>
                <w:szCs w:val="21"/>
              </w:rPr>
            </w:pPr>
            <w:r>
              <w:rPr>
                <w:rFonts w:cs="Times New Roman"/>
                <w:sz w:val="21"/>
                <w:szCs w:val="21"/>
              </w:rPr>
              <w:t>塔山</w:t>
            </w:r>
          </w:p>
        </w:tc>
        <w:tc>
          <w:tcPr>
            <w:tcW w:w="1410" w:type="dxa"/>
            <w:noWrap/>
            <w:vAlign w:val="center"/>
          </w:tcPr>
          <w:p w14:paraId="4F7EC451">
            <w:pPr>
              <w:spacing w:line="240" w:lineRule="auto"/>
              <w:ind w:firstLine="0" w:firstLineChars="0"/>
              <w:jc w:val="center"/>
              <w:rPr>
                <w:rFonts w:cs="Times New Roman"/>
                <w:sz w:val="21"/>
                <w:szCs w:val="21"/>
              </w:rPr>
            </w:pPr>
            <w:r>
              <w:rPr>
                <w:rFonts w:cs="Times New Roman"/>
                <w:sz w:val="21"/>
                <w:szCs w:val="21"/>
              </w:rPr>
              <w:t>607</w:t>
            </w:r>
          </w:p>
        </w:tc>
        <w:tc>
          <w:tcPr>
            <w:tcW w:w="1819" w:type="dxa"/>
            <w:noWrap/>
            <w:vAlign w:val="center"/>
          </w:tcPr>
          <w:p w14:paraId="4D3E4738">
            <w:pPr>
              <w:spacing w:line="240" w:lineRule="auto"/>
              <w:ind w:firstLine="0" w:firstLineChars="0"/>
              <w:jc w:val="center"/>
              <w:rPr>
                <w:rFonts w:cs="Times New Roman"/>
                <w:sz w:val="21"/>
                <w:szCs w:val="21"/>
              </w:rPr>
            </w:pPr>
            <w:r>
              <w:rPr>
                <w:rFonts w:cs="Times New Roman"/>
                <w:sz w:val="21"/>
                <w:szCs w:val="21"/>
              </w:rPr>
              <w:t>集聚提升</w:t>
            </w:r>
          </w:p>
        </w:tc>
      </w:tr>
      <w:tr w14:paraId="5259E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25BA13B">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0451D58">
            <w:pPr>
              <w:spacing w:line="240" w:lineRule="auto"/>
              <w:ind w:firstLine="0" w:firstLineChars="0"/>
              <w:jc w:val="center"/>
              <w:rPr>
                <w:rFonts w:cs="Times New Roman"/>
                <w:sz w:val="21"/>
                <w:szCs w:val="21"/>
              </w:rPr>
            </w:pPr>
            <w:r>
              <w:rPr>
                <w:rFonts w:cs="Times New Roman"/>
                <w:sz w:val="21"/>
                <w:szCs w:val="21"/>
              </w:rPr>
              <w:t>西旸村</w:t>
            </w:r>
          </w:p>
        </w:tc>
        <w:tc>
          <w:tcPr>
            <w:tcW w:w="2385" w:type="dxa"/>
            <w:noWrap/>
            <w:vAlign w:val="center"/>
          </w:tcPr>
          <w:p w14:paraId="76836253">
            <w:pPr>
              <w:spacing w:line="240" w:lineRule="auto"/>
              <w:ind w:firstLine="0" w:firstLineChars="0"/>
              <w:jc w:val="center"/>
              <w:rPr>
                <w:rFonts w:cs="Times New Roman"/>
                <w:sz w:val="21"/>
                <w:szCs w:val="21"/>
              </w:rPr>
            </w:pPr>
            <w:r>
              <w:rPr>
                <w:rFonts w:cs="Times New Roman"/>
                <w:sz w:val="21"/>
                <w:szCs w:val="21"/>
              </w:rPr>
              <w:t>东场</w:t>
            </w:r>
          </w:p>
        </w:tc>
        <w:tc>
          <w:tcPr>
            <w:tcW w:w="1410" w:type="dxa"/>
            <w:noWrap/>
            <w:vAlign w:val="center"/>
          </w:tcPr>
          <w:p w14:paraId="2960148C">
            <w:pPr>
              <w:spacing w:line="240" w:lineRule="auto"/>
              <w:ind w:firstLine="0" w:firstLineChars="0"/>
              <w:jc w:val="center"/>
              <w:rPr>
                <w:rFonts w:cs="Times New Roman"/>
                <w:sz w:val="21"/>
                <w:szCs w:val="21"/>
              </w:rPr>
            </w:pPr>
            <w:r>
              <w:rPr>
                <w:rFonts w:cs="Times New Roman"/>
                <w:sz w:val="21"/>
                <w:szCs w:val="21"/>
              </w:rPr>
              <w:t>78</w:t>
            </w:r>
          </w:p>
        </w:tc>
        <w:tc>
          <w:tcPr>
            <w:tcW w:w="1819" w:type="dxa"/>
            <w:noWrap/>
            <w:vAlign w:val="center"/>
          </w:tcPr>
          <w:p w14:paraId="6601139A">
            <w:pPr>
              <w:spacing w:line="240" w:lineRule="auto"/>
              <w:ind w:firstLine="0" w:firstLineChars="0"/>
              <w:jc w:val="center"/>
              <w:rPr>
                <w:rFonts w:cs="Times New Roman"/>
                <w:sz w:val="21"/>
                <w:szCs w:val="21"/>
              </w:rPr>
            </w:pPr>
            <w:r>
              <w:rPr>
                <w:rFonts w:cs="Times New Roman"/>
                <w:sz w:val="21"/>
                <w:szCs w:val="21"/>
              </w:rPr>
              <w:t>其他一般</w:t>
            </w:r>
          </w:p>
        </w:tc>
      </w:tr>
      <w:tr w14:paraId="22FC8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DC5F7DA">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EC24150">
            <w:pPr>
              <w:spacing w:line="240" w:lineRule="auto"/>
              <w:ind w:firstLine="0" w:firstLineChars="0"/>
              <w:jc w:val="center"/>
              <w:rPr>
                <w:rFonts w:cs="Times New Roman"/>
                <w:sz w:val="21"/>
                <w:szCs w:val="21"/>
              </w:rPr>
            </w:pPr>
            <w:r>
              <w:rPr>
                <w:rFonts w:cs="Times New Roman"/>
                <w:sz w:val="21"/>
                <w:szCs w:val="21"/>
              </w:rPr>
              <w:t>西旸村</w:t>
            </w:r>
          </w:p>
        </w:tc>
        <w:tc>
          <w:tcPr>
            <w:tcW w:w="2385" w:type="dxa"/>
            <w:noWrap/>
            <w:vAlign w:val="center"/>
          </w:tcPr>
          <w:p w14:paraId="4D5048BE">
            <w:pPr>
              <w:spacing w:line="240" w:lineRule="auto"/>
              <w:ind w:firstLine="0" w:firstLineChars="0"/>
              <w:jc w:val="center"/>
              <w:rPr>
                <w:rFonts w:cs="Times New Roman"/>
                <w:sz w:val="21"/>
                <w:szCs w:val="21"/>
              </w:rPr>
            </w:pPr>
            <w:r>
              <w:rPr>
                <w:rFonts w:cs="Times New Roman"/>
                <w:sz w:val="21"/>
                <w:szCs w:val="21"/>
              </w:rPr>
              <w:t>朝阳</w:t>
            </w:r>
          </w:p>
        </w:tc>
        <w:tc>
          <w:tcPr>
            <w:tcW w:w="1410" w:type="dxa"/>
            <w:noWrap/>
            <w:vAlign w:val="center"/>
          </w:tcPr>
          <w:p w14:paraId="1C038116">
            <w:pPr>
              <w:spacing w:line="240" w:lineRule="auto"/>
              <w:ind w:firstLine="0" w:firstLineChars="0"/>
              <w:jc w:val="center"/>
              <w:rPr>
                <w:rFonts w:cs="Times New Roman"/>
                <w:sz w:val="21"/>
                <w:szCs w:val="21"/>
              </w:rPr>
            </w:pPr>
            <w:r>
              <w:rPr>
                <w:rFonts w:cs="Times New Roman"/>
                <w:sz w:val="21"/>
                <w:szCs w:val="21"/>
              </w:rPr>
              <w:t>67</w:t>
            </w:r>
          </w:p>
        </w:tc>
        <w:tc>
          <w:tcPr>
            <w:tcW w:w="1819" w:type="dxa"/>
            <w:noWrap/>
            <w:vAlign w:val="center"/>
          </w:tcPr>
          <w:p w14:paraId="4D7BD739">
            <w:pPr>
              <w:spacing w:line="240" w:lineRule="auto"/>
              <w:ind w:firstLine="0" w:firstLineChars="0"/>
              <w:jc w:val="center"/>
              <w:rPr>
                <w:rFonts w:cs="Times New Roman"/>
                <w:sz w:val="21"/>
                <w:szCs w:val="21"/>
              </w:rPr>
            </w:pPr>
            <w:r>
              <w:rPr>
                <w:rFonts w:cs="Times New Roman"/>
                <w:sz w:val="21"/>
                <w:szCs w:val="21"/>
              </w:rPr>
              <w:t>搬迁撤并</w:t>
            </w:r>
          </w:p>
        </w:tc>
      </w:tr>
      <w:tr w14:paraId="5BD90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4C204ABF">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DE05BC1">
            <w:pPr>
              <w:spacing w:line="240" w:lineRule="auto"/>
              <w:ind w:firstLine="0" w:firstLineChars="0"/>
              <w:jc w:val="center"/>
              <w:rPr>
                <w:rFonts w:cs="Times New Roman"/>
                <w:sz w:val="21"/>
                <w:szCs w:val="21"/>
              </w:rPr>
            </w:pPr>
            <w:r>
              <w:rPr>
                <w:rFonts w:cs="Times New Roman"/>
                <w:sz w:val="21"/>
                <w:szCs w:val="21"/>
              </w:rPr>
              <w:t>西旸村</w:t>
            </w:r>
          </w:p>
        </w:tc>
        <w:tc>
          <w:tcPr>
            <w:tcW w:w="2385" w:type="dxa"/>
            <w:noWrap/>
            <w:vAlign w:val="center"/>
          </w:tcPr>
          <w:p w14:paraId="732CB0D6">
            <w:pPr>
              <w:spacing w:line="240" w:lineRule="auto"/>
              <w:ind w:firstLine="0" w:firstLineChars="0"/>
              <w:jc w:val="center"/>
              <w:rPr>
                <w:rFonts w:cs="Times New Roman"/>
                <w:sz w:val="21"/>
                <w:szCs w:val="21"/>
              </w:rPr>
            </w:pPr>
            <w:r>
              <w:rPr>
                <w:rFonts w:cs="Times New Roman"/>
                <w:sz w:val="21"/>
                <w:szCs w:val="21"/>
              </w:rPr>
              <w:t>东塔山</w:t>
            </w:r>
          </w:p>
        </w:tc>
        <w:tc>
          <w:tcPr>
            <w:tcW w:w="1410" w:type="dxa"/>
            <w:noWrap/>
            <w:vAlign w:val="center"/>
          </w:tcPr>
          <w:p w14:paraId="1488E4A7">
            <w:pPr>
              <w:spacing w:line="240" w:lineRule="auto"/>
              <w:ind w:firstLine="0" w:firstLineChars="0"/>
              <w:jc w:val="center"/>
              <w:rPr>
                <w:rFonts w:cs="Times New Roman"/>
                <w:sz w:val="21"/>
                <w:szCs w:val="21"/>
              </w:rPr>
            </w:pPr>
            <w:r>
              <w:rPr>
                <w:rFonts w:cs="Times New Roman"/>
                <w:sz w:val="21"/>
                <w:szCs w:val="21"/>
              </w:rPr>
              <w:t>312</w:t>
            </w:r>
          </w:p>
        </w:tc>
        <w:tc>
          <w:tcPr>
            <w:tcW w:w="1819" w:type="dxa"/>
            <w:noWrap/>
            <w:vAlign w:val="center"/>
          </w:tcPr>
          <w:p w14:paraId="62B88527">
            <w:pPr>
              <w:spacing w:line="240" w:lineRule="auto"/>
              <w:ind w:firstLine="0" w:firstLineChars="0"/>
              <w:jc w:val="center"/>
              <w:rPr>
                <w:rFonts w:cs="Times New Roman"/>
                <w:sz w:val="21"/>
                <w:szCs w:val="21"/>
              </w:rPr>
            </w:pPr>
            <w:r>
              <w:rPr>
                <w:rFonts w:cs="Times New Roman"/>
                <w:sz w:val="21"/>
                <w:szCs w:val="21"/>
              </w:rPr>
              <w:t>其他一般</w:t>
            </w:r>
          </w:p>
        </w:tc>
      </w:tr>
      <w:tr w14:paraId="37183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F46D60C">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B8E51FE">
            <w:pPr>
              <w:spacing w:line="240" w:lineRule="auto"/>
              <w:ind w:firstLine="0" w:firstLineChars="0"/>
              <w:jc w:val="center"/>
              <w:rPr>
                <w:rFonts w:cs="Times New Roman"/>
                <w:sz w:val="21"/>
                <w:szCs w:val="21"/>
              </w:rPr>
            </w:pPr>
            <w:r>
              <w:rPr>
                <w:rFonts w:cs="Times New Roman"/>
                <w:sz w:val="21"/>
                <w:szCs w:val="21"/>
              </w:rPr>
              <w:t>石马村</w:t>
            </w:r>
          </w:p>
        </w:tc>
        <w:tc>
          <w:tcPr>
            <w:tcW w:w="2385" w:type="dxa"/>
            <w:noWrap/>
            <w:vAlign w:val="center"/>
          </w:tcPr>
          <w:p w14:paraId="2DEC49A0">
            <w:pPr>
              <w:spacing w:line="240" w:lineRule="auto"/>
              <w:ind w:firstLine="0" w:firstLineChars="0"/>
              <w:jc w:val="center"/>
              <w:rPr>
                <w:rFonts w:cs="Times New Roman"/>
                <w:sz w:val="21"/>
                <w:szCs w:val="21"/>
              </w:rPr>
            </w:pPr>
            <w:r>
              <w:rPr>
                <w:rFonts w:cs="Times New Roman"/>
                <w:sz w:val="21"/>
                <w:szCs w:val="21"/>
              </w:rPr>
              <w:t>斜谷</w:t>
            </w:r>
          </w:p>
        </w:tc>
        <w:tc>
          <w:tcPr>
            <w:tcW w:w="1410" w:type="dxa"/>
            <w:noWrap/>
            <w:vAlign w:val="center"/>
          </w:tcPr>
          <w:p w14:paraId="5CD15C7C">
            <w:pPr>
              <w:spacing w:line="240" w:lineRule="auto"/>
              <w:ind w:firstLine="0" w:firstLineChars="0"/>
              <w:jc w:val="center"/>
              <w:rPr>
                <w:rFonts w:cs="Times New Roman"/>
                <w:sz w:val="21"/>
                <w:szCs w:val="21"/>
              </w:rPr>
            </w:pPr>
            <w:r>
              <w:rPr>
                <w:rFonts w:cs="Times New Roman"/>
                <w:sz w:val="21"/>
                <w:szCs w:val="21"/>
              </w:rPr>
              <w:t>92</w:t>
            </w:r>
          </w:p>
        </w:tc>
        <w:tc>
          <w:tcPr>
            <w:tcW w:w="1819" w:type="dxa"/>
            <w:noWrap/>
            <w:vAlign w:val="center"/>
          </w:tcPr>
          <w:p w14:paraId="66D5E752">
            <w:pPr>
              <w:spacing w:line="240" w:lineRule="auto"/>
              <w:ind w:firstLine="0" w:firstLineChars="0"/>
              <w:jc w:val="center"/>
              <w:rPr>
                <w:rFonts w:cs="Times New Roman"/>
                <w:sz w:val="21"/>
                <w:szCs w:val="21"/>
              </w:rPr>
            </w:pPr>
            <w:r>
              <w:rPr>
                <w:rFonts w:cs="Times New Roman"/>
                <w:sz w:val="21"/>
                <w:szCs w:val="21"/>
              </w:rPr>
              <w:t>搬迁撤并</w:t>
            </w:r>
          </w:p>
        </w:tc>
      </w:tr>
      <w:tr w14:paraId="40B16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65CA9F5">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BF0DBB2">
            <w:pPr>
              <w:spacing w:line="240" w:lineRule="auto"/>
              <w:ind w:firstLine="0" w:firstLineChars="0"/>
              <w:jc w:val="center"/>
              <w:rPr>
                <w:rFonts w:cs="Times New Roman"/>
                <w:sz w:val="21"/>
                <w:szCs w:val="21"/>
              </w:rPr>
            </w:pPr>
            <w:r>
              <w:rPr>
                <w:rFonts w:cs="Times New Roman"/>
                <w:sz w:val="21"/>
                <w:szCs w:val="21"/>
              </w:rPr>
              <w:t>石马村</w:t>
            </w:r>
          </w:p>
        </w:tc>
        <w:tc>
          <w:tcPr>
            <w:tcW w:w="2385" w:type="dxa"/>
            <w:noWrap/>
            <w:vAlign w:val="center"/>
          </w:tcPr>
          <w:p w14:paraId="0228FE48">
            <w:pPr>
              <w:spacing w:line="240" w:lineRule="auto"/>
              <w:ind w:firstLine="0" w:firstLineChars="0"/>
              <w:jc w:val="center"/>
              <w:rPr>
                <w:rFonts w:cs="Times New Roman"/>
                <w:sz w:val="21"/>
                <w:szCs w:val="21"/>
              </w:rPr>
            </w:pPr>
            <w:r>
              <w:rPr>
                <w:rFonts w:cs="Times New Roman"/>
                <w:sz w:val="21"/>
                <w:szCs w:val="21"/>
              </w:rPr>
              <w:t>河南</w:t>
            </w:r>
          </w:p>
        </w:tc>
        <w:tc>
          <w:tcPr>
            <w:tcW w:w="1410" w:type="dxa"/>
            <w:noWrap/>
            <w:vAlign w:val="center"/>
          </w:tcPr>
          <w:p w14:paraId="79AFAF9F">
            <w:pPr>
              <w:spacing w:line="240" w:lineRule="auto"/>
              <w:ind w:firstLine="0" w:firstLineChars="0"/>
              <w:jc w:val="center"/>
              <w:rPr>
                <w:rFonts w:cs="Times New Roman"/>
                <w:sz w:val="21"/>
                <w:szCs w:val="21"/>
              </w:rPr>
            </w:pPr>
            <w:r>
              <w:rPr>
                <w:rFonts w:cs="Times New Roman"/>
                <w:sz w:val="21"/>
                <w:szCs w:val="21"/>
              </w:rPr>
              <w:t>91</w:t>
            </w:r>
          </w:p>
        </w:tc>
        <w:tc>
          <w:tcPr>
            <w:tcW w:w="1819" w:type="dxa"/>
            <w:noWrap/>
            <w:vAlign w:val="center"/>
          </w:tcPr>
          <w:p w14:paraId="63F1720E">
            <w:pPr>
              <w:spacing w:line="240" w:lineRule="auto"/>
              <w:ind w:firstLine="0" w:firstLineChars="0"/>
              <w:jc w:val="center"/>
              <w:rPr>
                <w:rFonts w:cs="Times New Roman"/>
                <w:sz w:val="21"/>
                <w:szCs w:val="21"/>
              </w:rPr>
            </w:pPr>
            <w:r>
              <w:rPr>
                <w:rFonts w:cs="Times New Roman"/>
                <w:sz w:val="21"/>
                <w:szCs w:val="21"/>
              </w:rPr>
              <w:t>搬迁撤并</w:t>
            </w:r>
          </w:p>
        </w:tc>
      </w:tr>
      <w:tr w14:paraId="0688F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70D36FEB">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A7990DD">
            <w:pPr>
              <w:spacing w:line="240" w:lineRule="auto"/>
              <w:ind w:firstLine="0" w:firstLineChars="0"/>
              <w:jc w:val="center"/>
              <w:rPr>
                <w:rFonts w:cs="Times New Roman"/>
                <w:sz w:val="21"/>
                <w:szCs w:val="21"/>
              </w:rPr>
            </w:pPr>
            <w:r>
              <w:rPr>
                <w:rFonts w:cs="Times New Roman"/>
                <w:sz w:val="21"/>
                <w:szCs w:val="21"/>
              </w:rPr>
              <w:t>上阳村</w:t>
            </w:r>
          </w:p>
        </w:tc>
        <w:tc>
          <w:tcPr>
            <w:tcW w:w="2385" w:type="dxa"/>
            <w:noWrap/>
            <w:vAlign w:val="center"/>
          </w:tcPr>
          <w:p w14:paraId="24B7704A">
            <w:pPr>
              <w:spacing w:line="240" w:lineRule="auto"/>
              <w:ind w:firstLine="0" w:firstLineChars="0"/>
              <w:jc w:val="center"/>
              <w:rPr>
                <w:rFonts w:cs="Times New Roman"/>
                <w:sz w:val="21"/>
                <w:szCs w:val="21"/>
              </w:rPr>
            </w:pPr>
            <w:r>
              <w:rPr>
                <w:rFonts w:cs="Times New Roman"/>
                <w:sz w:val="21"/>
                <w:szCs w:val="21"/>
              </w:rPr>
              <w:t>涧滩</w:t>
            </w:r>
          </w:p>
        </w:tc>
        <w:tc>
          <w:tcPr>
            <w:tcW w:w="1410" w:type="dxa"/>
            <w:noWrap/>
            <w:vAlign w:val="center"/>
          </w:tcPr>
          <w:p w14:paraId="2C5B800E">
            <w:pPr>
              <w:spacing w:line="240" w:lineRule="auto"/>
              <w:ind w:firstLine="0" w:firstLineChars="0"/>
              <w:jc w:val="center"/>
              <w:rPr>
                <w:rFonts w:cs="Times New Roman"/>
                <w:sz w:val="21"/>
                <w:szCs w:val="21"/>
              </w:rPr>
            </w:pPr>
            <w:r>
              <w:rPr>
                <w:rFonts w:cs="Times New Roman"/>
                <w:sz w:val="21"/>
                <w:szCs w:val="21"/>
              </w:rPr>
              <w:t>154</w:t>
            </w:r>
          </w:p>
        </w:tc>
        <w:tc>
          <w:tcPr>
            <w:tcW w:w="1819" w:type="dxa"/>
            <w:noWrap/>
            <w:vAlign w:val="center"/>
          </w:tcPr>
          <w:p w14:paraId="4D4C6344">
            <w:pPr>
              <w:spacing w:line="240" w:lineRule="auto"/>
              <w:ind w:firstLine="0" w:firstLineChars="0"/>
              <w:jc w:val="center"/>
              <w:rPr>
                <w:rFonts w:cs="Times New Roman"/>
                <w:sz w:val="21"/>
                <w:szCs w:val="21"/>
              </w:rPr>
            </w:pPr>
            <w:r>
              <w:rPr>
                <w:rFonts w:cs="Times New Roman"/>
                <w:sz w:val="21"/>
                <w:szCs w:val="21"/>
              </w:rPr>
              <w:t>搬迁撤并</w:t>
            </w:r>
          </w:p>
        </w:tc>
      </w:tr>
      <w:tr w14:paraId="6C609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00A4ECE">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367E27DA">
            <w:pPr>
              <w:spacing w:line="240" w:lineRule="auto"/>
              <w:ind w:firstLine="0" w:firstLineChars="0"/>
              <w:jc w:val="center"/>
              <w:rPr>
                <w:rFonts w:cs="Times New Roman"/>
                <w:sz w:val="21"/>
                <w:szCs w:val="21"/>
              </w:rPr>
            </w:pPr>
            <w:r>
              <w:rPr>
                <w:rFonts w:cs="Times New Roman"/>
                <w:sz w:val="21"/>
                <w:szCs w:val="21"/>
              </w:rPr>
              <w:t>上阳村</w:t>
            </w:r>
          </w:p>
        </w:tc>
        <w:tc>
          <w:tcPr>
            <w:tcW w:w="2385" w:type="dxa"/>
            <w:noWrap/>
            <w:vAlign w:val="center"/>
          </w:tcPr>
          <w:p w14:paraId="20CBA911">
            <w:pPr>
              <w:spacing w:line="240" w:lineRule="auto"/>
              <w:ind w:firstLine="0" w:firstLineChars="0"/>
              <w:jc w:val="center"/>
              <w:rPr>
                <w:rFonts w:cs="Times New Roman"/>
                <w:sz w:val="21"/>
                <w:szCs w:val="21"/>
              </w:rPr>
            </w:pPr>
            <w:r>
              <w:rPr>
                <w:rFonts w:cs="Times New Roman"/>
                <w:sz w:val="21"/>
                <w:szCs w:val="21"/>
              </w:rPr>
              <w:t>石头路</w:t>
            </w:r>
          </w:p>
        </w:tc>
        <w:tc>
          <w:tcPr>
            <w:tcW w:w="1410" w:type="dxa"/>
            <w:noWrap/>
            <w:vAlign w:val="center"/>
          </w:tcPr>
          <w:p w14:paraId="4021C6F8">
            <w:pPr>
              <w:spacing w:line="240" w:lineRule="auto"/>
              <w:ind w:firstLine="0" w:firstLineChars="0"/>
              <w:jc w:val="center"/>
              <w:rPr>
                <w:rFonts w:cs="Times New Roman"/>
                <w:sz w:val="21"/>
                <w:szCs w:val="21"/>
              </w:rPr>
            </w:pPr>
            <w:r>
              <w:rPr>
                <w:rFonts w:cs="Times New Roman"/>
                <w:sz w:val="21"/>
                <w:szCs w:val="21"/>
              </w:rPr>
              <w:t>137</w:t>
            </w:r>
          </w:p>
        </w:tc>
        <w:tc>
          <w:tcPr>
            <w:tcW w:w="1819" w:type="dxa"/>
            <w:noWrap/>
            <w:vAlign w:val="center"/>
          </w:tcPr>
          <w:p w14:paraId="6ADAF11B">
            <w:pPr>
              <w:spacing w:line="240" w:lineRule="auto"/>
              <w:ind w:firstLine="0" w:firstLineChars="0"/>
              <w:jc w:val="center"/>
              <w:rPr>
                <w:rFonts w:cs="Times New Roman"/>
                <w:sz w:val="21"/>
                <w:szCs w:val="21"/>
              </w:rPr>
            </w:pPr>
            <w:r>
              <w:rPr>
                <w:rFonts w:cs="Times New Roman"/>
                <w:sz w:val="21"/>
                <w:szCs w:val="21"/>
              </w:rPr>
              <w:t>其他一般</w:t>
            </w:r>
          </w:p>
        </w:tc>
      </w:tr>
      <w:tr w14:paraId="5EF64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4FA467CE">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12F1AFB">
            <w:pPr>
              <w:spacing w:line="240" w:lineRule="auto"/>
              <w:ind w:firstLine="0" w:firstLineChars="0"/>
              <w:jc w:val="center"/>
              <w:rPr>
                <w:rFonts w:cs="Times New Roman"/>
                <w:sz w:val="21"/>
                <w:szCs w:val="21"/>
              </w:rPr>
            </w:pPr>
            <w:r>
              <w:rPr>
                <w:rFonts w:cs="Times New Roman"/>
                <w:sz w:val="21"/>
                <w:szCs w:val="21"/>
              </w:rPr>
              <w:t>上阳村</w:t>
            </w:r>
          </w:p>
        </w:tc>
        <w:tc>
          <w:tcPr>
            <w:tcW w:w="2385" w:type="dxa"/>
            <w:noWrap/>
            <w:vAlign w:val="center"/>
          </w:tcPr>
          <w:p w14:paraId="372B0486">
            <w:pPr>
              <w:spacing w:line="240" w:lineRule="auto"/>
              <w:ind w:firstLine="0" w:firstLineChars="0"/>
              <w:jc w:val="center"/>
              <w:rPr>
                <w:rFonts w:cs="Times New Roman"/>
                <w:sz w:val="21"/>
                <w:szCs w:val="21"/>
              </w:rPr>
            </w:pPr>
            <w:r>
              <w:rPr>
                <w:rFonts w:cs="Times New Roman"/>
                <w:sz w:val="21"/>
                <w:szCs w:val="21"/>
              </w:rPr>
              <w:t>郭笪</w:t>
            </w:r>
          </w:p>
        </w:tc>
        <w:tc>
          <w:tcPr>
            <w:tcW w:w="1410" w:type="dxa"/>
            <w:noWrap/>
            <w:vAlign w:val="center"/>
          </w:tcPr>
          <w:p w14:paraId="08594D8B">
            <w:pPr>
              <w:spacing w:line="240" w:lineRule="auto"/>
              <w:ind w:firstLine="0" w:firstLineChars="0"/>
              <w:jc w:val="center"/>
              <w:rPr>
                <w:rFonts w:cs="Times New Roman"/>
                <w:sz w:val="21"/>
                <w:szCs w:val="21"/>
              </w:rPr>
            </w:pPr>
            <w:r>
              <w:rPr>
                <w:rFonts w:cs="Times New Roman"/>
                <w:sz w:val="21"/>
                <w:szCs w:val="21"/>
              </w:rPr>
              <w:t>137</w:t>
            </w:r>
          </w:p>
        </w:tc>
        <w:tc>
          <w:tcPr>
            <w:tcW w:w="1819" w:type="dxa"/>
            <w:noWrap/>
            <w:vAlign w:val="center"/>
          </w:tcPr>
          <w:p w14:paraId="65007E33">
            <w:pPr>
              <w:spacing w:line="240" w:lineRule="auto"/>
              <w:ind w:firstLine="0" w:firstLineChars="0"/>
              <w:jc w:val="center"/>
              <w:rPr>
                <w:rFonts w:cs="Times New Roman"/>
                <w:sz w:val="21"/>
                <w:szCs w:val="21"/>
              </w:rPr>
            </w:pPr>
            <w:r>
              <w:rPr>
                <w:rFonts w:cs="Times New Roman"/>
                <w:sz w:val="21"/>
                <w:szCs w:val="21"/>
              </w:rPr>
              <w:t>其他一般</w:t>
            </w:r>
          </w:p>
        </w:tc>
      </w:tr>
      <w:tr w14:paraId="4F039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90B576D">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3325B0F6">
            <w:pPr>
              <w:spacing w:line="240" w:lineRule="auto"/>
              <w:ind w:firstLine="0" w:firstLineChars="0"/>
              <w:jc w:val="center"/>
              <w:rPr>
                <w:rFonts w:cs="Times New Roman"/>
                <w:sz w:val="21"/>
                <w:szCs w:val="21"/>
              </w:rPr>
            </w:pPr>
            <w:r>
              <w:rPr>
                <w:rFonts w:cs="Times New Roman"/>
                <w:sz w:val="21"/>
                <w:szCs w:val="21"/>
              </w:rPr>
              <w:t>上阳村</w:t>
            </w:r>
          </w:p>
        </w:tc>
        <w:tc>
          <w:tcPr>
            <w:tcW w:w="2385" w:type="dxa"/>
            <w:noWrap/>
            <w:vAlign w:val="center"/>
          </w:tcPr>
          <w:p w14:paraId="4802A854">
            <w:pPr>
              <w:spacing w:line="240" w:lineRule="auto"/>
              <w:ind w:firstLine="0" w:firstLineChars="0"/>
              <w:jc w:val="center"/>
              <w:rPr>
                <w:rFonts w:cs="Times New Roman"/>
                <w:sz w:val="21"/>
                <w:szCs w:val="21"/>
              </w:rPr>
            </w:pPr>
            <w:r>
              <w:rPr>
                <w:rFonts w:cs="Times New Roman"/>
                <w:sz w:val="21"/>
                <w:szCs w:val="21"/>
              </w:rPr>
              <w:t>蒋家</w:t>
            </w:r>
          </w:p>
        </w:tc>
        <w:tc>
          <w:tcPr>
            <w:tcW w:w="1410" w:type="dxa"/>
            <w:noWrap/>
            <w:vAlign w:val="center"/>
          </w:tcPr>
          <w:p w14:paraId="29008BFD">
            <w:pPr>
              <w:spacing w:line="240" w:lineRule="auto"/>
              <w:ind w:firstLine="0" w:firstLineChars="0"/>
              <w:jc w:val="center"/>
              <w:rPr>
                <w:rFonts w:cs="Times New Roman"/>
                <w:sz w:val="21"/>
                <w:szCs w:val="21"/>
              </w:rPr>
            </w:pPr>
            <w:r>
              <w:rPr>
                <w:rFonts w:cs="Times New Roman"/>
                <w:sz w:val="21"/>
                <w:szCs w:val="21"/>
              </w:rPr>
              <w:t>141</w:t>
            </w:r>
          </w:p>
        </w:tc>
        <w:tc>
          <w:tcPr>
            <w:tcW w:w="1819" w:type="dxa"/>
            <w:noWrap/>
            <w:vAlign w:val="center"/>
          </w:tcPr>
          <w:p w14:paraId="15072ADA">
            <w:pPr>
              <w:spacing w:line="240" w:lineRule="auto"/>
              <w:ind w:firstLine="0" w:firstLineChars="0"/>
              <w:jc w:val="center"/>
              <w:rPr>
                <w:rFonts w:cs="Times New Roman"/>
                <w:sz w:val="21"/>
                <w:szCs w:val="21"/>
              </w:rPr>
            </w:pPr>
            <w:r>
              <w:rPr>
                <w:rFonts w:cs="Times New Roman"/>
                <w:sz w:val="21"/>
                <w:szCs w:val="21"/>
              </w:rPr>
              <w:t>其他一般</w:t>
            </w:r>
          </w:p>
        </w:tc>
      </w:tr>
      <w:tr w14:paraId="68996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851C280">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539F98AB">
            <w:pPr>
              <w:spacing w:line="240" w:lineRule="auto"/>
              <w:ind w:firstLine="0" w:firstLineChars="0"/>
              <w:jc w:val="center"/>
              <w:rPr>
                <w:rFonts w:cs="Times New Roman"/>
                <w:sz w:val="21"/>
                <w:szCs w:val="21"/>
              </w:rPr>
            </w:pPr>
            <w:r>
              <w:rPr>
                <w:rFonts w:cs="Times New Roman"/>
                <w:sz w:val="21"/>
                <w:szCs w:val="21"/>
              </w:rPr>
              <w:t>上阳村</w:t>
            </w:r>
          </w:p>
        </w:tc>
        <w:tc>
          <w:tcPr>
            <w:tcW w:w="2385" w:type="dxa"/>
            <w:noWrap/>
            <w:vAlign w:val="center"/>
          </w:tcPr>
          <w:p w14:paraId="2CB0AEBD">
            <w:pPr>
              <w:spacing w:line="240" w:lineRule="auto"/>
              <w:ind w:firstLine="0" w:firstLineChars="0"/>
              <w:jc w:val="center"/>
              <w:rPr>
                <w:rFonts w:cs="Times New Roman"/>
                <w:sz w:val="21"/>
                <w:szCs w:val="21"/>
              </w:rPr>
            </w:pPr>
            <w:r>
              <w:rPr>
                <w:rFonts w:cs="Times New Roman"/>
                <w:sz w:val="21"/>
                <w:szCs w:val="21"/>
              </w:rPr>
              <w:t>西头舍</w:t>
            </w:r>
          </w:p>
        </w:tc>
        <w:tc>
          <w:tcPr>
            <w:tcW w:w="1410" w:type="dxa"/>
            <w:noWrap/>
            <w:vAlign w:val="center"/>
          </w:tcPr>
          <w:p w14:paraId="112C619A">
            <w:pPr>
              <w:spacing w:line="240" w:lineRule="auto"/>
              <w:ind w:firstLine="0" w:firstLineChars="0"/>
              <w:jc w:val="center"/>
              <w:rPr>
                <w:rFonts w:cs="Times New Roman"/>
                <w:sz w:val="21"/>
                <w:szCs w:val="21"/>
              </w:rPr>
            </w:pPr>
            <w:r>
              <w:rPr>
                <w:rFonts w:cs="Times New Roman"/>
                <w:sz w:val="21"/>
                <w:szCs w:val="21"/>
              </w:rPr>
              <w:t>156</w:t>
            </w:r>
          </w:p>
        </w:tc>
        <w:tc>
          <w:tcPr>
            <w:tcW w:w="1819" w:type="dxa"/>
            <w:noWrap/>
            <w:vAlign w:val="center"/>
          </w:tcPr>
          <w:p w14:paraId="6EA91BB9">
            <w:pPr>
              <w:spacing w:line="240" w:lineRule="auto"/>
              <w:ind w:firstLine="0" w:firstLineChars="0"/>
              <w:jc w:val="center"/>
              <w:rPr>
                <w:rFonts w:cs="Times New Roman"/>
                <w:sz w:val="21"/>
                <w:szCs w:val="21"/>
              </w:rPr>
            </w:pPr>
            <w:r>
              <w:rPr>
                <w:rFonts w:cs="Times New Roman"/>
                <w:sz w:val="21"/>
                <w:szCs w:val="21"/>
              </w:rPr>
              <w:t>其他一般</w:t>
            </w:r>
          </w:p>
        </w:tc>
      </w:tr>
      <w:tr w14:paraId="109C3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0EB65BD">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1AB00A4">
            <w:pPr>
              <w:spacing w:line="240" w:lineRule="auto"/>
              <w:ind w:firstLine="0" w:firstLineChars="0"/>
              <w:jc w:val="center"/>
              <w:rPr>
                <w:rFonts w:cs="Times New Roman"/>
                <w:sz w:val="21"/>
                <w:szCs w:val="21"/>
              </w:rPr>
            </w:pPr>
            <w:r>
              <w:rPr>
                <w:rFonts w:cs="Times New Roman"/>
                <w:sz w:val="21"/>
                <w:szCs w:val="21"/>
              </w:rPr>
              <w:t>上阳村</w:t>
            </w:r>
          </w:p>
        </w:tc>
        <w:tc>
          <w:tcPr>
            <w:tcW w:w="2385" w:type="dxa"/>
            <w:noWrap/>
            <w:vAlign w:val="center"/>
          </w:tcPr>
          <w:p w14:paraId="58446C84">
            <w:pPr>
              <w:spacing w:line="240" w:lineRule="auto"/>
              <w:ind w:firstLine="0" w:firstLineChars="0"/>
              <w:jc w:val="center"/>
              <w:rPr>
                <w:rFonts w:cs="Times New Roman"/>
                <w:sz w:val="21"/>
                <w:szCs w:val="21"/>
              </w:rPr>
            </w:pPr>
            <w:r>
              <w:rPr>
                <w:rFonts w:cs="Times New Roman"/>
                <w:sz w:val="21"/>
                <w:szCs w:val="21"/>
              </w:rPr>
              <w:t>窑塘凹</w:t>
            </w:r>
          </w:p>
        </w:tc>
        <w:tc>
          <w:tcPr>
            <w:tcW w:w="1410" w:type="dxa"/>
            <w:noWrap/>
            <w:vAlign w:val="center"/>
          </w:tcPr>
          <w:p w14:paraId="5403F518">
            <w:pPr>
              <w:spacing w:line="240" w:lineRule="auto"/>
              <w:ind w:firstLine="0" w:firstLineChars="0"/>
              <w:jc w:val="center"/>
              <w:rPr>
                <w:rFonts w:cs="Times New Roman"/>
                <w:sz w:val="21"/>
                <w:szCs w:val="21"/>
              </w:rPr>
            </w:pPr>
            <w:r>
              <w:rPr>
                <w:rFonts w:cs="Times New Roman"/>
                <w:sz w:val="21"/>
                <w:szCs w:val="21"/>
              </w:rPr>
              <w:t>82</w:t>
            </w:r>
          </w:p>
        </w:tc>
        <w:tc>
          <w:tcPr>
            <w:tcW w:w="1819" w:type="dxa"/>
            <w:noWrap/>
            <w:vAlign w:val="center"/>
          </w:tcPr>
          <w:p w14:paraId="36DE7E33">
            <w:pPr>
              <w:spacing w:line="240" w:lineRule="auto"/>
              <w:ind w:firstLine="0" w:firstLineChars="0"/>
              <w:jc w:val="center"/>
              <w:rPr>
                <w:rFonts w:cs="Times New Roman"/>
                <w:sz w:val="21"/>
                <w:szCs w:val="21"/>
              </w:rPr>
            </w:pPr>
            <w:r>
              <w:rPr>
                <w:rFonts w:cs="Times New Roman"/>
                <w:sz w:val="21"/>
                <w:szCs w:val="21"/>
              </w:rPr>
              <w:t>其他一般</w:t>
            </w:r>
          </w:p>
        </w:tc>
      </w:tr>
      <w:tr w14:paraId="3F511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38D97A0">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9FEB22F">
            <w:pPr>
              <w:spacing w:line="240" w:lineRule="auto"/>
              <w:ind w:firstLine="0" w:firstLineChars="0"/>
              <w:jc w:val="center"/>
              <w:rPr>
                <w:rFonts w:cs="Times New Roman"/>
                <w:sz w:val="21"/>
                <w:szCs w:val="21"/>
              </w:rPr>
            </w:pPr>
            <w:r>
              <w:rPr>
                <w:rFonts w:cs="Times New Roman"/>
                <w:sz w:val="21"/>
                <w:szCs w:val="21"/>
              </w:rPr>
              <w:t>上阳村</w:t>
            </w:r>
          </w:p>
        </w:tc>
        <w:tc>
          <w:tcPr>
            <w:tcW w:w="2385" w:type="dxa"/>
            <w:noWrap/>
            <w:vAlign w:val="center"/>
          </w:tcPr>
          <w:p w14:paraId="3B06A5D8">
            <w:pPr>
              <w:spacing w:line="240" w:lineRule="auto"/>
              <w:ind w:firstLine="0" w:firstLineChars="0"/>
              <w:jc w:val="center"/>
              <w:rPr>
                <w:rFonts w:cs="Times New Roman"/>
                <w:sz w:val="21"/>
                <w:szCs w:val="21"/>
              </w:rPr>
            </w:pPr>
            <w:r>
              <w:rPr>
                <w:rFonts w:cs="Times New Roman"/>
                <w:sz w:val="21"/>
                <w:szCs w:val="21"/>
              </w:rPr>
              <w:t>大凹</w:t>
            </w:r>
          </w:p>
        </w:tc>
        <w:tc>
          <w:tcPr>
            <w:tcW w:w="1410" w:type="dxa"/>
            <w:noWrap/>
            <w:vAlign w:val="center"/>
          </w:tcPr>
          <w:p w14:paraId="0915112F">
            <w:pPr>
              <w:spacing w:line="240" w:lineRule="auto"/>
              <w:ind w:firstLine="0" w:firstLineChars="0"/>
              <w:jc w:val="center"/>
              <w:rPr>
                <w:rFonts w:cs="Times New Roman"/>
                <w:sz w:val="21"/>
                <w:szCs w:val="21"/>
              </w:rPr>
            </w:pPr>
            <w:r>
              <w:rPr>
                <w:rFonts w:cs="Times New Roman"/>
                <w:sz w:val="21"/>
                <w:szCs w:val="21"/>
              </w:rPr>
              <w:t>133</w:t>
            </w:r>
          </w:p>
        </w:tc>
        <w:tc>
          <w:tcPr>
            <w:tcW w:w="1819" w:type="dxa"/>
            <w:noWrap/>
            <w:vAlign w:val="center"/>
          </w:tcPr>
          <w:p w14:paraId="0840F705">
            <w:pPr>
              <w:spacing w:line="240" w:lineRule="auto"/>
              <w:ind w:firstLine="0" w:firstLineChars="0"/>
              <w:jc w:val="center"/>
              <w:rPr>
                <w:rFonts w:cs="Times New Roman"/>
                <w:sz w:val="21"/>
                <w:szCs w:val="21"/>
              </w:rPr>
            </w:pPr>
            <w:r>
              <w:rPr>
                <w:rFonts w:cs="Times New Roman"/>
                <w:sz w:val="21"/>
                <w:szCs w:val="21"/>
              </w:rPr>
              <w:t>其他一般</w:t>
            </w:r>
          </w:p>
        </w:tc>
      </w:tr>
      <w:tr w14:paraId="47D25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5FCE0DB">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14AEC60">
            <w:pPr>
              <w:spacing w:line="240" w:lineRule="auto"/>
              <w:ind w:firstLine="0" w:firstLineChars="0"/>
              <w:jc w:val="center"/>
              <w:rPr>
                <w:rFonts w:cs="Times New Roman"/>
                <w:sz w:val="21"/>
                <w:szCs w:val="21"/>
              </w:rPr>
            </w:pPr>
            <w:r>
              <w:rPr>
                <w:rFonts w:cs="Times New Roman"/>
                <w:sz w:val="21"/>
                <w:szCs w:val="21"/>
              </w:rPr>
              <w:t>上阳村</w:t>
            </w:r>
          </w:p>
        </w:tc>
        <w:tc>
          <w:tcPr>
            <w:tcW w:w="2385" w:type="dxa"/>
            <w:noWrap/>
            <w:vAlign w:val="center"/>
          </w:tcPr>
          <w:p w14:paraId="625B0F44">
            <w:pPr>
              <w:spacing w:line="240" w:lineRule="auto"/>
              <w:ind w:firstLine="0" w:firstLineChars="0"/>
              <w:jc w:val="center"/>
              <w:rPr>
                <w:rFonts w:cs="Times New Roman"/>
                <w:sz w:val="21"/>
                <w:szCs w:val="21"/>
              </w:rPr>
            </w:pPr>
            <w:r>
              <w:rPr>
                <w:rFonts w:cs="Times New Roman"/>
                <w:sz w:val="21"/>
                <w:szCs w:val="21"/>
              </w:rPr>
              <w:t>青龙咀</w:t>
            </w:r>
          </w:p>
        </w:tc>
        <w:tc>
          <w:tcPr>
            <w:tcW w:w="1410" w:type="dxa"/>
            <w:noWrap/>
            <w:vAlign w:val="center"/>
          </w:tcPr>
          <w:p w14:paraId="5A658F39">
            <w:pPr>
              <w:spacing w:line="240" w:lineRule="auto"/>
              <w:ind w:firstLine="0" w:firstLineChars="0"/>
              <w:jc w:val="center"/>
              <w:rPr>
                <w:rFonts w:cs="Times New Roman"/>
                <w:sz w:val="21"/>
                <w:szCs w:val="21"/>
              </w:rPr>
            </w:pPr>
            <w:r>
              <w:rPr>
                <w:rFonts w:cs="Times New Roman"/>
                <w:sz w:val="21"/>
                <w:szCs w:val="21"/>
              </w:rPr>
              <w:t>112</w:t>
            </w:r>
          </w:p>
        </w:tc>
        <w:tc>
          <w:tcPr>
            <w:tcW w:w="1819" w:type="dxa"/>
            <w:noWrap/>
            <w:vAlign w:val="center"/>
          </w:tcPr>
          <w:p w14:paraId="053470A7">
            <w:pPr>
              <w:spacing w:line="240" w:lineRule="auto"/>
              <w:ind w:firstLine="0" w:firstLineChars="0"/>
              <w:jc w:val="center"/>
              <w:rPr>
                <w:rFonts w:cs="Times New Roman"/>
                <w:sz w:val="21"/>
                <w:szCs w:val="21"/>
              </w:rPr>
            </w:pPr>
            <w:r>
              <w:rPr>
                <w:rFonts w:cs="Times New Roman"/>
                <w:sz w:val="21"/>
                <w:szCs w:val="21"/>
              </w:rPr>
              <w:t>其他一般</w:t>
            </w:r>
          </w:p>
        </w:tc>
      </w:tr>
      <w:tr w14:paraId="5D14E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C28372A">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5DD94543">
            <w:pPr>
              <w:spacing w:line="240" w:lineRule="auto"/>
              <w:ind w:firstLine="0" w:firstLineChars="0"/>
              <w:jc w:val="center"/>
              <w:rPr>
                <w:rFonts w:cs="Times New Roman"/>
                <w:sz w:val="21"/>
                <w:szCs w:val="21"/>
              </w:rPr>
            </w:pPr>
            <w:r>
              <w:rPr>
                <w:rFonts w:cs="Times New Roman"/>
                <w:sz w:val="21"/>
                <w:szCs w:val="21"/>
              </w:rPr>
              <w:t>上阳村</w:t>
            </w:r>
          </w:p>
        </w:tc>
        <w:tc>
          <w:tcPr>
            <w:tcW w:w="2385" w:type="dxa"/>
            <w:noWrap/>
            <w:vAlign w:val="center"/>
          </w:tcPr>
          <w:p w14:paraId="7342F0AE">
            <w:pPr>
              <w:spacing w:line="240" w:lineRule="auto"/>
              <w:ind w:firstLine="0" w:firstLineChars="0"/>
              <w:jc w:val="center"/>
              <w:rPr>
                <w:rFonts w:cs="Times New Roman"/>
                <w:sz w:val="21"/>
                <w:szCs w:val="21"/>
              </w:rPr>
            </w:pPr>
            <w:r>
              <w:rPr>
                <w:rFonts w:cs="Times New Roman"/>
                <w:sz w:val="21"/>
                <w:szCs w:val="21"/>
              </w:rPr>
              <w:t>三棵大树</w:t>
            </w:r>
          </w:p>
        </w:tc>
        <w:tc>
          <w:tcPr>
            <w:tcW w:w="1410" w:type="dxa"/>
            <w:noWrap/>
            <w:vAlign w:val="center"/>
          </w:tcPr>
          <w:p w14:paraId="6A183F24">
            <w:pPr>
              <w:spacing w:line="240" w:lineRule="auto"/>
              <w:ind w:firstLine="0" w:firstLineChars="0"/>
              <w:jc w:val="center"/>
              <w:rPr>
                <w:rFonts w:cs="Times New Roman"/>
                <w:sz w:val="21"/>
                <w:szCs w:val="21"/>
              </w:rPr>
            </w:pPr>
            <w:r>
              <w:rPr>
                <w:rFonts w:cs="Times New Roman"/>
                <w:sz w:val="21"/>
                <w:szCs w:val="21"/>
              </w:rPr>
              <w:t>161</w:t>
            </w:r>
          </w:p>
        </w:tc>
        <w:tc>
          <w:tcPr>
            <w:tcW w:w="1819" w:type="dxa"/>
            <w:noWrap/>
            <w:vAlign w:val="center"/>
          </w:tcPr>
          <w:p w14:paraId="3F3B32B4">
            <w:pPr>
              <w:spacing w:line="240" w:lineRule="auto"/>
              <w:ind w:firstLine="0" w:firstLineChars="0"/>
              <w:jc w:val="center"/>
              <w:rPr>
                <w:rFonts w:cs="Times New Roman"/>
                <w:sz w:val="21"/>
                <w:szCs w:val="21"/>
              </w:rPr>
            </w:pPr>
            <w:r>
              <w:rPr>
                <w:rFonts w:cs="Times New Roman"/>
                <w:sz w:val="21"/>
                <w:szCs w:val="21"/>
              </w:rPr>
              <w:t>集聚提升</w:t>
            </w:r>
          </w:p>
        </w:tc>
      </w:tr>
      <w:tr w14:paraId="0F78C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063E54E6">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204BAA9D">
            <w:pPr>
              <w:spacing w:line="240" w:lineRule="auto"/>
              <w:ind w:firstLine="0" w:firstLineChars="0"/>
              <w:jc w:val="center"/>
              <w:rPr>
                <w:rFonts w:cs="Times New Roman"/>
                <w:sz w:val="21"/>
                <w:szCs w:val="21"/>
              </w:rPr>
            </w:pPr>
            <w:r>
              <w:rPr>
                <w:rFonts w:cs="Times New Roman"/>
                <w:sz w:val="21"/>
                <w:szCs w:val="21"/>
              </w:rPr>
              <w:t>上阳村</w:t>
            </w:r>
          </w:p>
        </w:tc>
        <w:tc>
          <w:tcPr>
            <w:tcW w:w="2385" w:type="dxa"/>
            <w:noWrap/>
            <w:vAlign w:val="center"/>
          </w:tcPr>
          <w:p w14:paraId="11DCFF36">
            <w:pPr>
              <w:spacing w:line="240" w:lineRule="auto"/>
              <w:ind w:firstLine="0" w:firstLineChars="0"/>
              <w:jc w:val="center"/>
              <w:rPr>
                <w:rFonts w:cs="Times New Roman"/>
                <w:sz w:val="21"/>
                <w:szCs w:val="21"/>
              </w:rPr>
            </w:pPr>
            <w:r>
              <w:rPr>
                <w:rFonts w:cs="Times New Roman"/>
                <w:sz w:val="21"/>
                <w:szCs w:val="21"/>
              </w:rPr>
              <w:t>黄庄</w:t>
            </w:r>
          </w:p>
        </w:tc>
        <w:tc>
          <w:tcPr>
            <w:tcW w:w="1410" w:type="dxa"/>
            <w:noWrap/>
            <w:vAlign w:val="center"/>
          </w:tcPr>
          <w:p w14:paraId="66377A9B">
            <w:pPr>
              <w:spacing w:line="240" w:lineRule="auto"/>
              <w:ind w:firstLine="0" w:firstLineChars="0"/>
              <w:jc w:val="center"/>
              <w:rPr>
                <w:rFonts w:cs="Times New Roman"/>
                <w:sz w:val="21"/>
                <w:szCs w:val="21"/>
              </w:rPr>
            </w:pPr>
            <w:r>
              <w:rPr>
                <w:rFonts w:cs="Times New Roman"/>
                <w:sz w:val="21"/>
                <w:szCs w:val="21"/>
              </w:rPr>
              <w:t>123</w:t>
            </w:r>
          </w:p>
        </w:tc>
        <w:tc>
          <w:tcPr>
            <w:tcW w:w="1819" w:type="dxa"/>
            <w:noWrap/>
            <w:vAlign w:val="center"/>
          </w:tcPr>
          <w:p w14:paraId="79676ACA">
            <w:pPr>
              <w:spacing w:line="240" w:lineRule="auto"/>
              <w:ind w:firstLine="0" w:firstLineChars="0"/>
              <w:jc w:val="center"/>
              <w:rPr>
                <w:rFonts w:cs="Times New Roman"/>
                <w:sz w:val="21"/>
                <w:szCs w:val="21"/>
              </w:rPr>
            </w:pPr>
            <w:r>
              <w:rPr>
                <w:rFonts w:cs="Times New Roman"/>
                <w:sz w:val="21"/>
                <w:szCs w:val="21"/>
              </w:rPr>
              <w:t>其他一般</w:t>
            </w:r>
          </w:p>
        </w:tc>
      </w:tr>
      <w:tr w14:paraId="0EBD2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7D573EF">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2CD56EA">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5A8C2699">
            <w:pPr>
              <w:spacing w:line="240" w:lineRule="auto"/>
              <w:ind w:firstLine="0" w:firstLineChars="0"/>
              <w:jc w:val="center"/>
              <w:rPr>
                <w:rFonts w:cs="Times New Roman"/>
                <w:sz w:val="21"/>
                <w:szCs w:val="21"/>
              </w:rPr>
            </w:pPr>
            <w:r>
              <w:rPr>
                <w:rFonts w:cs="Times New Roman"/>
                <w:sz w:val="21"/>
                <w:szCs w:val="21"/>
              </w:rPr>
              <w:t>下阮</w:t>
            </w:r>
          </w:p>
        </w:tc>
        <w:tc>
          <w:tcPr>
            <w:tcW w:w="1410" w:type="dxa"/>
            <w:noWrap/>
            <w:vAlign w:val="center"/>
          </w:tcPr>
          <w:p w14:paraId="4DB1A262">
            <w:pPr>
              <w:spacing w:line="240" w:lineRule="auto"/>
              <w:ind w:firstLine="0" w:firstLineChars="0"/>
              <w:jc w:val="center"/>
              <w:rPr>
                <w:rFonts w:cs="Times New Roman"/>
                <w:sz w:val="21"/>
                <w:szCs w:val="21"/>
              </w:rPr>
            </w:pPr>
            <w:r>
              <w:rPr>
                <w:rFonts w:cs="Times New Roman"/>
                <w:sz w:val="21"/>
                <w:szCs w:val="21"/>
              </w:rPr>
              <w:t>607</w:t>
            </w:r>
          </w:p>
        </w:tc>
        <w:tc>
          <w:tcPr>
            <w:tcW w:w="1819" w:type="dxa"/>
            <w:noWrap/>
            <w:vAlign w:val="center"/>
          </w:tcPr>
          <w:p w14:paraId="32AF6B89">
            <w:pPr>
              <w:spacing w:line="240" w:lineRule="auto"/>
              <w:ind w:firstLine="0" w:firstLineChars="0"/>
              <w:jc w:val="center"/>
              <w:rPr>
                <w:rFonts w:cs="Times New Roman"/>
                <w:sz w:val="21"/>
                <w:szCs w:val="21"/>
              </w:rPr>
            </w:pPr>
            <w:r>
              <w:rPr>
                <w:rFonts w:cs="Times New Roman"/>
                <w:sz w:val="21"/>
                <w:szCs w:val="21"/>
              </w:rPr>
              <w:t>集聚提升</w:t>
            </w:r>
          </w:p>
        </w:tc>
      </w:tr>
      <w:tr w14:paraId="0C669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09F7B9CB">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F9F4AB4">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1D01D0CE">
            <w:pPr>
              <w:spacing w:line="240" w:lineRule="auto"/>
              <w:ind w:firstLine="0" w:firstLineChars="0"/>
              <w:jc w:val="center"/>
              <w:rPr>
                <w:rFonts w:cs="Times New Roman"/>
                <w:sz w:val="21"/>
                <w:szCs w:val="21"/>
              </w:rPr>
            </w:pPr>
            <w:r>
              <w:rPr>
                <w:rFonts w:cs="Times New Roman"/>
                <w:sz w:val="21"/>
                <w:szCs w:val="21"/>
              </w:rPr>
              <w:t>大凹</w:t>
            </w:r>
          </w:p>
        </w:tc>
        <w:tc>
          <w:tcPr>
            <w:tcW w:w="1410" w:type="dxa"/>
            <w:noWrap/>
            <w:vAlign w:val="center"/>
          </w:tcPr>
          <w:p w14:paraId="69B43A96">
            <w:pPr>
              <w:spacing w:line="240" w:lineRule="auto"/>
              <w:ind w:firstLine="0" w:firstLineChars="0"/>
              <w:jc w:val="center"/>
              <w:rPr>
                <w:rFonts w:cs="Times New Roman"/>
                <w:sz w:val="21"/>
                <w:szCs w:val="21"/>
              </w:rPr>
            </w:pPr>
            <w:r>
              <w:rPr>
                <w:rFonts w:cs="Times New Roman"/>
                <w:sz w:val="21"/>
                <w:szCs w:val="21"/>
              </w:rPr>
              <w:t>51</w:t>
            </w:r>
          </w:p>
        </w:tc>
        <w:tc>
          <w:tcPr>
            <w:tcW w:w="1819" w:type="dxa"/>
            <w:noWrap/>
            <w:vAlign w:val="center"/>
          </w:tcPr>
          <w:p w14:paraId="42387ED5">
            <w:pPr>
              <w:spacing w:line="240" w:lineRule="auto"/>
              <w:ind w:firstLine="0" w:firstLineChars="0"/>
              <w:jc w:val="center"/>
              <w:rPr>
                <w:rFonts w:cs="Times New Roman"/>
                <w:sz w:val="21"/>
                <w:szCs w:val="21"/>
              </w:rPr>
            </w:pPr>
            <w:r>
              <w:rPr>
                <w:rFonts w:cs="Times New Roman"/>
                <w:sz w:val="21"/>
                <w:szCs w:val="21"/>
              </w:rPr>
              <w:t>搬迁撤并</w:t>
            </w:r>
          </w:p>
        </w:tc>
      </w:tr>
      <w:tr w14:paraId="58AAA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605E8DC">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3BC31591">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461F26C1">
            <w:pPr>
              <w:spacing w:line="240" w:lineRule="auto"/>
              <w:ind w:firstLine="0" w:firstLineChars="0"/>
              <w:jc w:val="center"/>
              <w:rPr>
                <w:rFonts w:cs="Times New Roman"/>
                <w:sz w:val="21"/>
                <w:szCs w:val="21"/>
              </w:rPr>
            </w:pPr>
            <w:r>
              <w:rPr>
                <w:rFonts w:cs="Times New Roman"/>
                <w:sz w:val="21"/>
                <w:szCs w:val="21"/>
              </w:rPr>
              <w:t>上阮</w:t>
            </w:r>
          </w:p>
        </w:tc>
        <w:tc>
          <w:tcPr>
            <w:tcW w:w="1410" w:type="dxa"/>
            <w:noWrap/>
            <w:vAlign w:val="center"/>
          </w:tcPr>
          <w:p w14:paraId="341E941A">
            <w:pPr>
              <w:spacing w:line="240" w:lineRule="auto"/>
              <w:ind w:firstLine="0" w:firstLineChars="0"/>
              <w:jc w:val="center"/>
              <w:rPr>
                <w:rFonts w:cs="Times New Roman"/>
                <w:sz w:val="21"/>
                <w:szCs w:val="21"/>
              </w:rPr>
            </w:pPr>
            <w:r>
              <w:rPr>
                <w:rFonts w:cs="Times New Roman"/>
                <w:sz w:val="21"/>
                <w:szCs w:val="21"/>
              </w:rPr>
              <w:t>379</w:t>
            </w:r>
          </w:p>
        </w:tc>
        <w:tc>
          <w:tcPr>
            <w:tcW w:w="1819" w:type="dxa"/>
            <w:noWrap/>
            <w:vAlign w:val="center"/>
          </w:tcPr>
          <w:p w14:paraId="1424890F">
            <w:pPr>
              <w:spacing w:line="240" w:lineRule="auto"/>
              <w:ind w:firstLine="0" w:firstLineChars="0"/>
              <w:jc w:val="center"/>
              <w:rPr>
                <w:rFonts w:cs="Times New Roman"/>
                <w:sz w:val="21"/>
                <w:szCs w:val="21"/>
              </w:rPr>
            </w:pPr>
            <w:r>
              <w:rPr>
                <w:rFonts w:cs="Times New Roman"/>
                <w:sz w:val="21"/>
                <w:szCs w:val="21"/>
              </w:rPr>
              <w:t>集聚提升</w:t>
            </w:r>
          </w:p>
        </w:tc>
      </w:tr>
      <w:tr w14:paraId="2EA97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7115FC6">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093F3A3">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26F6A3B6">
            <w:pPr>
              <w:spacing w:line="240" w:lineRule="auto"/>
              <w:ind w:firstLine="0" w:firstLineChars="0"/>
              <w:jc w:val="center"/>
              <w:rPr>
                <w:rFonts w:cs="Times New Roman"/>
                <w:sz w:val="21"/>
                <w:szCs w:val="21"/>
              </w:rPr>
            </w:pPr>
            <w:r>
              <w:rPr>
                <w:rFonts w:cs="Times New Roman"/>
                <w:sz w:val="21"/>
                <w:szCs w:val="21"/>
              </w:rPr>
              <w:t>龙家湾</w:t>
            </w:r>
          </w:p>
        </w:tc>
        <w:tc>
          <w:tcPr>
            <w:tcW w:w="1410" w:type="dxa"/>
            <w:noWrap/>
            <w:vAlign w:val="center"/>
          </w:tcPr>
          <w:p w14:paraId="5EF33B62">
            <w:pPr>
              <w:spacing w:line="240" w:lineRule="auto"/>
              <w:ind w:firstLine="0" w:firstLineChars="0"/>
              <w:jc w:val="center"/>
              <w:rPr>
                <w:rFonts w:cs="Times New Roman"/>
                <w:sz w:val="21"/>
                <w:szCs w:val="21"/>
              </w:rPr>
            </w:pPr>
            <w:r>
              <w:rPr>
                <w:rFonts w:cs="Times New Roman"/>
                <w:sz w:val="21"/>
                <w:szCs w:val="21"/>
              </w:rPr>
              <w:t>176</w:t>
            </w:r>
          </w:p>
        </w:tc>
        <w:tc>
          <w:tcPr>
            <w:tcW w:w="1819" w:type="dxa"/>
            <w:noWrap/>
            <w:vAlign w:val="center"/>
          </w:tcPr>
          <w:p w14:paraId="3439F645">
            <w:pPr>
              <w:spacing w:line="240" w:lineRule="auto"/>
              <w:ind w:firstLine="0" w:firstLineChars="0"/>
              <w:jc w:val="center"/>
              <w:rPr>
                <w:rFonts w:cs="Times New Roman"/>
                <w:sz w:val="21"/>
                <w:szCs w:val="21"/>
              </w:rPr>
            </w:pPr>
            <w:r>
              <w:rPr>
                <w:rFonts w:cs="Times New Roman"/>
                <w:sz w:val="21"/>
                <w:szCs w:val="21"/>
              </w:rPr>
              <w:t>搬迁撤并</w:t>
            </w:r>
          </w:p>
        </w:tc>
      </w:tr>
      <w:tr w14:paraId="5715D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7190BC5">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56E547ED">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35053440">
            <w:pPr>
              <w:spacing w:line="240" w:lineRule="auto"/>
              <w:ind w:firstLine="0" w:firstLineChars="0"/>
              <w:jc w:val="center"/>
              <w:rPr>
                <w:rFonts w:cs="Times New Roman"/>
                <w:sz w:val="21"/>
                <w:szCs w:val="21"/>
              </w:rPr>
            </w:pPr>
            <w:r>
              <w:rPr>
                <w:rFonts w:cs="Times New Roman"/>
                <w:sz w:val="21"/>
                <w:szCs w:val="21"/>
              </w:rPr>
              <w:t>涧西沟</w:t>
            </w:r>
          </w:p>
        </w:tc>
        <w:tc>
          <w:tcPr>
            <w:tcW w:w="1410" w:type="dxa"/>
            <w:noWrap/>
            <w:vAlign w:val="center"/>
          </w:tcPr>
          <w:p w14:paraId="23B25D55">
            <w:pPr>
              <w:spacing w:line="240" w:lineRule="auto"/>
              <w:ind w:firstLine="0" w:firstLineChars="0"/>
              <w:jc w:val="center"/>
              <w:rPr>
                <w:rFonts w:cs="Times New Roman"/>
                <w:sz w:val="21"/>
                <w:szCs w:val="21"/>
              </w:rPr>
            </w:pPr>
            <w:r>
              <w:rPr>
                <w:rFonts w:cs="Times New Roman"/>
                <w:sz w:val="21"/>
                <w:szCs w:val="21"/>
              </w:rPr>
              <w:t>193</w:t>
            </w:r>
          </w:p>
        </w:tc>
        <w:tc>
          <w:tcPr>
            <w:tcW w:w="1819" w:type="dxa"/>
            <w:noWrap/>
            <w:vAlign w:val="center"/>
          </w:tcPr>
          <w:p w14:paraId="0CB356CE">
            <w:pPr>
              <w:spacing w:line="240" w:lineRule="auto"/>
              <w:ind w:firstLine="0" w:firstLineChars="0"/>
              <w:jc w:val="center"/>
              <w:rPr>
                <w:rFonts w:cs="Times New Roman"/>
                <w:sz w:val="21"/>
                <w:szCs w:val="21"/>
              </w:rPr>
            </w:pPr>
            <w:r>
              <w:rPr>
                <w:rFonts w:cs="Times New Roman"/>
                <w:sz w:val="21"/>
                <w:szCs w:val="21"/>
              </w:rPr>
              <w:t>其他一般</w:t>
            </w:r>
          </w:p>
        </w:tc>
      </w:tr>
      <w:tr w14:paraId="3233B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7BE2535A">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34A49211">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28845F15">
            <w:pPr>
              <w:spacing w:line="240" w:lineRule="auto"/>
              <w:ind w:firstLine="0" w:firstLineChars="0"/>
              <w:jc w:val="center"/>
              <w:rPr>
                <w:rFonts w:cs="Times New Roman"/>
                <w:sz w:val="21"/>
                <w:szCs w:val="21"/>
              </w:rPr>
            </w:pPr>
            <w:r>
              <w:rPr>
                <w:rFonts w:cs="Times New Roman"/>
                <w:sz w:val="21"/>
                <w:szCs w:val="21"/>
              </w:rPr>
              <w:t>西格</w:t>
            </w:r>
          </w:p>
        </w:tc>
        <w:tc>
          <w:tcPr>
            <w:tcW w:w="1410" w:type="dxa"/>
            <w:noWrap/>
            <w:vAlign w:val="center"/>
          </w:tcPr>
          <w:p w14:paraId="79407859">
            <w:pPr>
              <w:spacing w:line="240" w:lineRule="auto"/>
              <w:ind w:firstLine="0" w:firstLineChars="0"/>
              <w:jc w:val="center"/>
              <w:rPr>
                <w:rFonts w:cs="Times New Roman"/>
                <w:sz w:val="21"/>
                <w:szCs w:val="21"/>
              </w:rPr>
            </w:pPr>
            <w:r>
              <w:rPr>
                <w:rFonts w:cs="Times New Roman"/>
                <w:sz w:val="21"/>
                <w:szCs w:val="21"/>
              </w:rPr>
              <w:t>199</w:t>
            </w:r>
          </w:p>
        </w:tc>
        <w:tc>
          <w:tcPr>
            <w:tcW w:w="1819" w:type="dxa"/>
            <w:noWrap/>
            <w:vAlign w:val="center"/>
          </w:tcPr>
          <w:p w14:paraId="3955F8BA">
            <w:pPr>
              <w:spacing w:line="240" w:lineRule="auto"/>
              <w:ind w:firstLine="0" w:firstLineChars="0"/>
              <w:jc w:val="center"/>
              <w:rPr>
                <w:rFonts w:cs="Times New Roman"/>
                <w:sz w:val="21"/>
                <w:szCs w:val="21"/>
              </w:rPr>
            </w:pPr>
            <w:r>
              <w:rPr>
                <w:rFonts w:cs="Times New Roman"/>
                <w:sz w:val="21"/>
                <w:szCs w:val="21"/>
              </w:rPr>
              <w:t>其他一般</w:t>
            </w:r>
          </w:p>
        </w:tc>
      </w:tr>
      <w:tr w14:paraId="23848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060A1C72">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CF1F1BE">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78D3E5EE">
            <w:pPr>
              <w:spacing w:line="240" w:lineRule="auto"/>
              <w:ind w:firstLine="0" w:firstLineChars="0"/>
              <w:jc w:val="center"/>
              <w:rPr>
                <w:rFonts w:cs="Times New Roman"/>
                <w:sz w:val="21"/>
                <w:szCs w:val="21"/>
              </w:rPr>
            </w:pPr>
            <w:r>
              <w:rPr>
                <w:rFonts w:cs="Times New Roman"/>
                <w:sz w:val="21"/>
                <w:szCs w:val="21"/>
              </w:rPr>
              <w:t>前塘</w:t>
            </w:r>
          </w:p>
        </w:tc>
        <w:tc>
          <w:tcPr>
            <w:tcW w:w="1410" w:type="dxa"/>
            <w:noWrap/>
            <w:vAlign w:val="center"/>
          </w:tcPr>
          <w:p w14:paraId="7428C87B">
            <w:pPr>
              <w:spacing w:line="240" w:lineRule="auto"/>
              <w:ind w:firstLine="0" w:firstLineChars="0"/>
              <w:jc w:val="center"/>
              <w:rPr>
                <w:rFonts w:cs="Times New Roman"/>
                <w:sz w:val="21"/>
                <w:szCs w:val="21"/>
              </w:rPr>
            </w:pPr>
            <w:r>
              <w:rPr>
                <w:rFonts w:cs="Times New Roman"/>
                <w:sz w:val="21"/>
                <w:szCs w:val="21"/>
              </w:rPr>
              <w:t>236</w:t>
            </w:r>
          </w:p>
        </w:tc>
        <w:tc>
          <w:tcPr>
            <w:tcW w:w="1819" w:type="dxa"/>
            <w:noWrap/>
            <w:vAlign w:val="center"/>
          </w:tcPr>
          <w:p w14:paraId="5B9FFB9C">
            <w:pPr>
              <w:spacing w:line="240" w:lineRule="auto"/>
              <w:ind w:firstLine="0" w:firstLineChars="0"/>
              <w:jc w:val="center"/>
              <w:rPr>
                <w:rFonts w:cs="Times New Roman"/>
                <w:sz w:val="21"/>
                <w:szCs w:val="21"/>
              </w:rPr>
            </w:pPr>
            <w:r>
              <w:rPr>
                <w:rFonts w:cs="Times New Roman"/>
                <w:sz w:val="21"/>
                <w:szCs w:val="21"/>
              </w:rPr>
              <w:t>其他一般</w:t>
            </w:r>
          </w:p>
        </w:tc>
      </w:tr>
      <w:tr w14:paraId="526CF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DAD6BC6">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10C661D">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03B668EA">
            <w:pPr>
              <w:spacing w:line="240" w:lineRule="auto"/>
              <w:ind w:firstLine="0" w:firstLineChars="0"/>
              <w:jc w:val="center"/>
              <w:rPr>
                <w:rFonts w:cs="Times New Roman"/>
                <w:sz w:val="21"/>
                <w:szCs w:val="21"/>
              </w:rPr>
            </w:pPr>
            <w:r>
              <w:rPr>
                <w:rFonts w:cs="Times New Roman"/>
                <w:sz w:val="21"/>
                <w:szCs w:val="21"/>
              </w:rPr>
              <w:t>许庄</w:t>
            </w:r>
          </w:p>
        </w:tc>
        <w:tc>
          <w:tcPr>
            <w:tcW w:w="1410" w:type="dxa"/>
            <w:noWrap/>
            <w:vAlign w:val="center"/>
          </w:tcPr>
          <w:p w14:paraId="07E38E96">
            <w:pPr>
              <w:spacing w:line="240" w:lineRule="auto"/>
              <w:ind w:firstLine="0" w:firstLineChars="0"/>
              <w:jc w:val="center"/>
              <w:rPr>
                <w:rFonts w:cs="Times New Roman"/>
                <w:sz w:val="21"/>
                <w:szCs w:val="21"/>
              </w:rPr>
            </w:pPr>
            <w:r>
              <w:rPr>
                <w:rFonts w:cs="Times New Roman"/>
                <w:sz w:val="21"/>
                <w:szCs w:val="21"/>
              </w:rPr>
              <w:t>374</w:t>
            </w:r>
          </w:p>
        </w:tc>
        <w:tc>
          <w:tcPr>
            <w:tcW w:w="1819" w:type="dxa"/>
            <w:noWrap/>
            <w:vAlign w:val="center"/>
          </w:tcPr>
          <w:p w14:paraId="3FE1BF19">
            <w:pPr>
              <w:spacing w:line="240" w:lineRule="auto"/>
              <w:ind w:firstLine="0" w:firstLineChars="0"/>
              <w:jc w:val="center"/>
              <w:rPr>
                <w:rFonts w:cs="Times New Roman"/>
                <w:sz w:val="21"/>
                <w:szCs w:val="21"/>
              </w:rPr>
            </w:pPr>
            <w:r>
              <w:rPr>
                <w:rFonts w:cs="Times New Roman"/>
                <w:sz w:val="21"/>
                <w:szCs w:val="21"/>
              </w:rPr>
              <w:t>集聚提升</w:t>
            </w:r>
          </w:p>
        </w:tc>
      </w:tr>
      <w:tr w14:paraId="67F3E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9EC9FB3">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5B77244">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29A7652F">
            <w:pPr>
              <w:spacing w:line="240" w:lineRule="auto"/>
              <w:ind w:firstLine="0" w:firstLineChars="0"/>
              <w:jc w:val="center"/>
              <w:rPr>
                <w:rFonts w:cs="Times New Roman"/>
                <w:sz w:val="21"/>
                <w:szCs w:val="21"/>
              </w:rPr>
            </w:pPr>
            <w:r>
              <w:rPr>
                <w:rFonts w:cs="Times New Roman"/>
                <w:sz w:val="21"/>
                <w:szCs w:val="21"/>
              </w:rPr>
              <w:t>杨庄（东杨庄、西杨庄、后杨庄）</w:t>
            </w:r>
          </w:p>
        </w:tc>
        <w:tc>
          <w:tcPr>
            <w:tcW w:w="1410" w:type="dxa"/>
            <w:noWrap/>
            <w:vAlign w:val="center"/>
          </w:tcPr>
          <w:p w14:paraId="15E184AF">
            <w:pPr>
              <w:spacing w:line="240" w:lineRule="auto"/>
              <w:ind w:firstLine="0" w:firstLineChars="0"/>
              <w:jc w:val="center"/>
              <w:rPr>
                <w:rFonts w:cs="Times New Roman"/>
                <w:sz w:val="21"/>
                <w:szCs w:val="21"/>
              </w:rPr>
            </w:pPr>
            <w:r>
              <w:rPr>
                <w:rFonts w:hint="eastAsia" w:cs="Times New Roman"/>
                <w:sz w:val="21"/>
                <w:szCs w:val="21"/>
              </w:rPr>
              <w:t>14</w:t>
            </w:r>
          </w:p>
        </w:tc>
        <w:tc>
          <w:tcPr>
            <w:tcW w:w="1819" w:type="dxa"/>
            <w:noWrap/>
            <w:vAlign w:val="center"/>
          </w:tcPr>
          <w:p w14:paraId="07ABE16E">
            <w:pPr>
              <w:spacing w:line="240" w:lineRule="auto"/>
              <w:ind w:firstLine="0" w:firstLineChars="0"/>
              <w:jc w:val="center"/>
              <w:rPr>
                <w:rFonts w:cs="Times New Roman"/>
                <w:sz w:val="21"/>
                <w:szCs w:val="21"/>
              </w:rPr>
            </w:pPr>
            <w:r>
              <w:rPr>
                <w:rFonts w:cs="Times New Roman"/>
                <w:sz w:val="21"/>
                <w:szCs w:val="21"/>
              </w:rPr>
              <w:t>集聚提升</w:t>
            </w:r>
          </w:p>
        </w:tc>
      </w:tr>
      <w:tr w14:paraId="184B0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1201EA8A">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E8F59DE">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0C777A29">
            <w:pPr>
              <w:spacing w:line="240" w:lineRule="auto"/>
              <w:ind w:firstLine="0" w:firstLineChars="0"/>
              <w:jc w:val="center"/>
              <w:rPr>
                <w:rFonts w:cs="Times New Roman"/>
                <w:sz w:val="21"/>
                <w:szCs w:val="21"/>
              </w:rPr>
            </w:pPr>
            <w:r>
              <w:rPr>
                <w:rFonts w:cs="Times New Roman"/>
                <w:sz w:val="21"/>
                <w:szCs w:val="21"/>
              </w:rPr>
              <w:t>李家山</w:t>
            </w:r>
          </w:p>
        </w:tc>
        <w:tc>
          <w:tcPr>
            <w:tcW w:w="1410" w:type="dxa"/>
            <w:noWrap/>
            <w:vAlign w:val="center"/>
          </w:tcPr>
          <w:p w14:paraId="5E962892">
            <w:pPr>
              <w:spacing w:line="240" w:lineRule="auto"/>
              <w:ind w:firstLine="0" w:firstLineChars="0"/>
              <w:jc w:val="center"/>
              <w:rPr>
                <w:rFonts w:cs="Times New Roman"/>
                <w:sz w:val="21"/>
                <w:szCs w:val="21"/>
              </w:rPr>
            </w:pPr>
            <w:r>
              <w:rPr>
                <w:rFonts w:cs="Times New Roman"/>
                <w:sz w:val="21"/>
                <w:szCs w:val="21"/>
              </w:rPr>
              <w:t>257</w:t>
            </w:r>
          </w:p>
        </w:tc>
        <w:tc>
          <w:tcPr>
            <w:tcW w:w="1819" w:type="dxa"/>
            <w:noWrap/>
            <w:vAlign w:val="center"/>
          </w:tcPr>
          <w:p w14:paraId="419F534A">
            <w:pPr>
              <w:spacing w:line="240" w:lineRule="auto"/>
              <w:ind w:firstLine="0" w:firstLineChars="0"/>
              <w:jc w:val="center"/>
              <w:rPr>
                <w:rFonts w:cs="Times New Roman"/>
                <w:sz w:val="21"/>
                <w:szCs w:val="21"/>
              </w:rPr>
            </w:pPr>
            <w:r>
              <w:rPr>
                <w:rFonts w:cs="Times New Roman"/>
                <w:sz w:val="21"/>
                <w:szCs w:val="21"/>
              </w:rPr>
              <w:t>集聚提升</w:t>
            </w:r>
          </w:p>
        </w:tc>
      </w:tr>
      <w:tr w14:paraId="118D0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115BC298">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844EE67">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577AAD33">
            <w:pPr>
              <w:spacing w:line="240" w:lineRule="auto"/>
              <w:ind w:firstLine="0" w:firstLineChars="0"/>
              <w:jc w:val="center"/>
              <w:rPr>
                <w:rFonts w:cs="Times New Roman"/>
                <w:sz w:val="21"/>
                <w:szCs w:val="21"/>
              </w:rPr>
            </w:pPr>
            <w:r>
              <w:rPr>
                <w:rFonts w:cs="Times New Roman"/>
                <w:sz w:val="21"/>
                <w:szCs w:val="21"/>
              </w:rPr>
              <w:t>扁墩头</w:t>
            </w:r>
          </w:p>
        </w:tc>
        <w:tc>
          <w:tcPr>
            <w:tcW w:w="1410" w:type="dxa"/>
            <w:noWrap/>
            <w:vAlign w:val="center"/>
          </w:tcPr>
          <w:p w14:paraId="185357D2">
            <w:pPr>
              <w:spacing w:line="240" w:lineRule="auto"/>
              <w:ind w:firstLine="0" w:firstLineChars="0"/>
              <w:jc w:val="center"/>
              <w:rPr>
                <w:rFonts w:cs="Times New Roman"/>
                <w:sz w:val="21"/>
                <w:szCs w:val="21"/>
              </w:rPr>
            </w:pPr>
            <w:r>
              <w:rPr>
                <w:rFonts w:cs="Times New Roman"/>
                <w:sz w:val="21"/>
                <w:szCs w:val="21"/>
              </w:rPr>
              <w:t>404</w:t>
            </w:r>
          </w:p>
        </w:tc>
        <w:tc>
          <w:tcPr>
            <w:tcW w:w="1819" w:type="dxa"/>
            <w:noWrap/>
            <w:vAlign w:val="center"/>
          </w:tcPr>
          <w:p w14:paraId="505CC20B">
            <w:pPr>
              <w:spacing w:line="240" w:lineRule="auto"/>
              <w:ind w:firstLine="0" w:firstLineChars="0"/>
              <w:jc w:val="center"/>
              <w:rPr>
                <w:rFonts w:cs="Times New Roman"/>
                <w:sz w:val="21"/>
                <w:szCs w:val="21"/>
              </w:rPr>
            </w:pPr>
            <w:r>
              <w:rPr>
                <w:rFonts w:cs="Times New Roman"/>
                <w:sz w:val="21"/>
                <w:szCs w:val="21"/>
              </w:rPr>
              <w:t>集聚提升</w:t>
            </w:r>
          </w:p>
        </w:tc>
      </w:tr>
      <w:tr w14:paraId="60076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A5341A7">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70A80A8">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08F67078">
            <w:pPr>
              <w:spacing w:line="240" w:lineRule="auto"/>
              <w:ind w:firstLine="0" w:firstLineChars="0"/>
              <w:jc w:val="center"/>
              <w:rPr>
                <w:rFonts w:cs="Times New Roman"/>
                <w:sz w:val="21"/>
                <w:szCs w:val="21"/>
              </w:rPr>
            </w:pPr>
            <w:r>
              <w:rPr>
                <w:rFonts w:cs="Times New Roman"/>
                <w:sz w:val="21"/>
                <w:szCs w:val="21"/>
              </w:rPr>
              <w:t>芝枝山</w:t>
            </w:r>
          </w:p>
        </w:tc>
        <w:tc>
          <w:tcPr>
            <w:tcW w:w="1410" w:type="dxa"/>
            <w:noWrap/>
            <w:vAlign w:val="center"/>
          </w:tcPr>
          <w:p w14:paraId="71457159">
            <w:pPr>
              <w:spacing w:line="240" w:lineRule="auto"/>
              <w:ind w:firstLine="0" w:firstLineChars="0"/>
              <w:jc w:val="center"/>
              <w:rPr>
                <w:rFonts w:cs="Times New Roman"/>
                <w:sz w:val="21"/>
                <w:szCs w:val="21"/>
              </w:rPr>
            </w:pPr>
            <w:r>
              <w:rPr>
                <w:rFonts w:cs="Times New Roman"/>
                <w:sz w:val="21"/>
                <w:szCs w:val="21"/>
              </w:rPr>
              <w:t>207</w:t>
            </w:r>
          </w:p>
        </w:tc>
        <w:tc>
          <w:tcPr>
            <w:tcW w:w="1819" w:type="dxa"/>
            <w:noWrap/>
            <w:vAlign w:val="center"/>
          </w:tcPr>
          <w:p w14:paraId="101A67A9">
            <w:pPr>
              <w:spacing w:line="240" w:lineRule="auto"/>
              <w:ind w:firstLine="0" w:firstLineChars="0"/>
              <w:jc w:val="center"/>
              <w:rPr>
                <w:rFonts w:cs="Times New Roman"/>
                <w:sz w:val="21"/>
                <w:szCs w:val="21"/>
              </w:rPr>
            </w:pPr>
            <w:r>
              <w:rPr>
                <w:rFonts w:cs="Times New Roman"/>
                <w:sz w:val="21"/>
                <w:szCs w:val="21"/>
              </w:rPr>
              <w:t>其他一般</w:t>
            </w:r>
          </w:p>
        </w:tc>
      </w:tr>
      <w:tr w14:paraId="1CD94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1766582C">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C514435">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64B2963E">
            <w:pPr>
              <w:spacing w:line="240" w:lineRule="auto"/>
              <w:ind w:firstLine="0" w:firstLineChars="0"/>
              <w:jc w:val="center"/>
              <w:rPr>
                <w:rFonts w:cs="Times New Roman"/>
                <w:sz w:val="21"/>
                <w:szCs w:val="21"/>
              </w:rPr>
            </w:pPr>
            <w:r>
              <w:rPr>
                <w:rFonts w:cs="Times New Roman"/>
                <w:sz w:val="21"/>
                <w:szCs w:val="21"/>
              </w:rPr>
              <w:t>下瓦沟</w:t>
            </w:r>
          </w:p>
        </w:tc>
        <w:tc>
          <w:tcPr>
            <w:tcW w:w="1410" w:type="dxa"/>
            <w:noWrap/>
            <w:vAlign w:val="center"/>
          </w:tcPr>
          <w:p w14:paraId="323AC56E">
            <w:pPr>
              <w:spacing w:line="240" w:lineRule="auto"/>
              <w:ind w:firstLine="0" w:firstLineChars="0"/>
              <w:jc w:val="center"/>
              <w:rPr>
                <w:rFonts w:cs="Times New Roman"/>
                <w:sz w:val="21"/>
                <w:szCs w:val="21"/>
              </w:rPr>
            </w:pPr>
            <w:r>
              <w:rPr>
                <w:rFonts w:cs="Times New Roman"/>
                <w:sz w:val="21"/>
                <w:szCs w:val="21"/>
              </w:rPr>
              <w:t>148</w:t>
            </w:r>
          </w:p>
        </w:tc>
        <w:tc>
          <w:tcPr>
            <w:tcW w:w="1819" w:type="dxa"/>
            <w:noWrap/>
            <w:vAlign w:val="center"/>
          </w:tcPr>
          <w:p w14:paraId="13B4DEEF">
            <w:pPr>
              <w:spacing w:line="240" w:lineRule="auto"/>
              <w:ind w:firstLine="0" w:firstLineChars="0"/>
              <w:jc w:val="center"/>
              <w:rPr>
                <w:rFonts w:cs="Times New Roman"/>
                <w:sz w:val="21"/>
                <w:szCs w:val="21"/>
              </w:rPr>
            </w:pPr>
            <w:r>
              <w:rPr>
                <w:rFonts w:cs="Times New Roman"/>
                <w:sz w:val="21"/>
                <w:szCs w:val="21"/>
              </w:rPr>
              <w:t>搬迁撤并</w:t>
            </w:r>
          </w:p>
        </w:tc>
      </w:tr>
      <w:tr w14:paraId="3D127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654AE4F">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9B00051">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4008E151">
            <w:pPr>
              <w:spacing w:line="240" w:lineRule="auto"/>
              <w:ind w:firstLine="0" w:firstLineChars="0"/>
              <w:jc w:val="center"/>
              <w:rPr>
                <w:rFonts w:cs="Times New Roman"/>
                <w:sz w:val="21"/>
                <w:szCs w:val="21"/>
              </w:rPr>
            </w:pPr>
            <w:r>
              <w:rPr>
                <w:rFonts w:cs="Times New Roman"/>
                <w:sz w:val="21"/>
                <w:szCs w:val="21"/>
              </w:rPr>
              <w:t>青龙洞</w:t>
            </w:r>
          </w:p>
        </w:tc>
        <w:tc>
          <w:tcPr>
            <w:tcW w:w="1410" w:type="dxa"/>
            <w:noWrap/>
            <w:vAlign w:val="center"/>
          </w:tcPr>
          <w:p w14:paraId="2FB8BB9D">
            <w:pPr>
              <w:spacing w:line="240" w:lineRule="auto"/>
              <w:ind w:firstLine="0" w:firstLineChars="0"/>
              <w:jc w:val="center"/>
              <w:rPr>
                <w:rFonts w:cs="Times New Roman"/>
                <w:sz w:val="21"/>
                <w:szCs w:val="21"/>
              </w:rPr>
            </w:pPr>
            <w:r>
              <w:rPr>
                <w:rFonts w:cs="Times New Roman"/>
                <w:sz w:val="21"/>
                <w:szCs w:val="21"/>
              </w:rPr>
              <w:t>210</w:t>
            </w:r>
          </w:p>
        </w:tc>
        <w:tc>
          <w:tcPr>
            <w:tcW w:w="1819" w:type="dxa"/>
            <w:noWrap/>
            <w:vAlign w:val="center"/>
          </w:tcPr>
          <w:p w14:paraId="5D02520C">
            <w:pPr>
              <w:spacing w:line="240" w:lineRule="auto"/>
              <w:ind w:firstLine="0" w:firstLineChars="0"/>
              <w:jc w:val="center"/>
              <w:rPr>
                <w:rFonts w:cs="Times New Roman"/>
                <w:sz w:val="21"/>
                <w:szCs w:val="21"/>
              </w:rPr>
            </w:pPr>
            <w:r>
              <w:rPr>
                <w:rFonts w:cs="Times New Roman"/>
                <w:sz w:val="21"/>
                <w:szCs w:val="21"/>
              </w:rPr>
              <w:t>集聚提升</w:t>
            </w:r>
          </w:p>
        </w:tc>
      </w:tr>
      <w:tr w14:paraId="028D7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07B7A295">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2AE4E0DB">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29930A46">
            <w:pPr>
              <w:spacing w:line="240" w:lineRule="auto"/>
              <w:ind w:firstLine="0" w:firstLineChars="0"/>
              <w:jc w:val="center"/>
              <w:rPr>
                <w:rFonts w:cs="Times New Roman"/>
                <w:sz w:val="21"/>
                <w:szCs w:val="21"/>
              </w:rPr>
            </w:pPr>
            <w:r>
              <w:rPr>
                <w:rFonts w:cs="Times New Roman"/>
                <w:sz w:val="21"/>
                <w:szCs w:val="21"/>
              </w:rPr>
              <w:t>赤岗</w:t>
            </w:r>
          </w:p>
        </w:tc>
        <w:tc>
          <w:tcPr>
            <w:tcW w:w="1410" w:type="dxa"/>
            <w:noWrap/>
            <w:vAlign w:val="center"/>
          </w:tcPr>
          <w:p w14:paraId="08FDFBAC">
            <w:pPr>
              <w:spacing w:line="240" w:lineRule="auto"/>
              <w:ind w:firstLine="0" w:firstLineChars="0"/>
              <w:jc w:val="center"/>
              <w:rPr>
                <w:rFonts w:cs="Times New Roman"/>
                <w:sz w:val="21"/>
                <w:szCs w:val="21"/>
              </w:rPr>
            </w:pPr>
            <w:r>
              <w:rPr>
                <w:rFonts w:cs="Times New Roman"/>
                <w:sz w:val="21"/>
                <w:szCs w:val="21"/>
              </w:rPr>
              <w:t>491</w:t>
            </w:r>
          </w:p>
        </w:tc>
        <w:tc>
          <w:tcPr>
            <w:tcW w:w="1819" w:type="dxa"/>
            <w:noWrap/>
            <w:vAlign w:val="center"/>
          </w:tcPr>
          <w:p w14:paraId="12AC999A">
            <w:pPr>
              <w:spacing w:line="240" w:lineRule="auto"/>
              <w:ind w:firstLine="0" w:firstLineChars="0"/>
              <w:jc w:val="center"/>
              <w:rPr>
                <w:rFonts w:cs="Times New Roman"/>
                <w:sz w:val="21"/>
                <w:szCs w:val="21"/>
              </w:rPr>
            </w:pPr>
            <w:r>
              <w:rPr>
                <w:rFonts w:cs="Times New Roman"/>
                <w:sz w:val="21"/>
                <w:szCs w:val="21"/>
              </w:rPr>
              <w:t>集聚提升</w:t>
            </w:r>
          </w:p>
        </w:tc>
      </w:tr>
      <w:tr w14:paraId="6A70B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074A0871">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3E327ED7">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3238D9E2">
            <w:pPr>
              <w:spacing w:line="240" w:lineRule="auto"/>
              <w:ind w:firstLine="0" w:firstLineChars="0"/>
              <w:jc w:val="center"/>
              <w:rPr>
                <w:rFonts w:cs="Times New Roman"/>
                <w:sz w:val="21"/>
                <w:szCs w:val="21"/>
              </w:rPr>
            </w:pPr>
            <w:r>
              <w:rPr>
                <w:rFonts w:cs="Times New Roman"/>
                <w:sz w:val="21"/>
                <w:szCs w:val="21"/>
              </w:rPr>
              <w:t>张笪里</w:t>
            </w:r>
          </w:p>
        </w:tc>
        <w:tc>
          <w:tcPr>
            <w:tcW w:w="1410" w:type="dxa"/>
            <w:noWrap/>
            <w:vAlign w:val="center"/>
          </w:tcPr>
          <w:p w14:paraId="4A0B9136">
            <w:pPr>
              <w:spacing w:line="240" w:lineRule="auto"/>
              <w:ind w:firstLine="0" w:firstLineChars="0"/>
              <w:jc w:val="center"/>
              <w:rPr>
                <w:rFonts w:cs="Times New Roman"/>
                <w:sz w:val="21"/>
                <w:szCs w:val="21"/>
              </w:rPr>
            </w:pPr>
            <w:r>
              <w:rPr>
                <w:rFonts w:cs="Times New Roman"/>
                <w:sz w:val="21"/>
                <w:szCs w:val="21"/>
              </w:rPr>
              <w:t>211</w:t>
            </w:r>
          </w:p>
        </w:tc>
        <w:tc>
          <w:tcPr>
            <w:tcW w:w="1819" w:type="dxa"/>
            <w:noWrap/>
            <w:vAlign w:val="center"/>
          </w:tcPr>
          <w:p w14:paraId="38CEA3DA">
            <w:pPr>
              <w:spacing w:line="240" w:lineRule="auto"/>
              <w:ind w:firstLine="0" w:firstLineChars="0"/>
              <w:jc w:val="center"/>
              <w:rPr>
                <w:rFonts w:cs="Times New Roman"/>
                <w:sz w:val="21"/>
                <w:szCs w:val="21"/>
              </w:rPr>
            </w:pPr>
            <w:r>
              <w:rPr>
                <w:rFonts w:cs="Times New Roman"/>
                <w:sz w:val="21"/>
                <w:szCs w:val="21"/>
              </w:rPr>
              <w:t>其他一般</w:t>
            </w:r>
          </w:p>
        </w:tc>
      </w:tr>
      <w:tr w14:paraId="41C73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01241FDE">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1E74A7C">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012151CA">
            <w:pPr>
              <w:spacing w:line="240" w:lineRule="auto"/>
              <w:ind w:firstLine="0" w:firstLineChars="0"/>
              <w:jc w:val="center"/>
              <w:rPr>
                <w:rFonts w:cs="Times New Roman"/>
                <w:sz w:val="21"/>
                <w:szCs w:val="21"/>
              </w:rPr>
            </w:pPr>
            <w:r>
              <w:rPr>
                <w:rFonts w:cs="Times New Roman"/>
                <w:sz w:val="21"/>
                <w:szCs w:val="21"/>
              </w:rPr>
              <w:t>小地馆</w:t>
            </w:r>
          </w:p>
        </w:tc>
        <w:tc>
          <w:tcPr>
            <w:tcW w:w="1410" w:type="dxa"/>
            <w:noWrap/>
            <w:vAlign w:val="center"/>
          </w:tcPr>
          <w:p w14:paraId="764B700C">
            <w:pPr>
              <w:spacing w:line="240" w:lineRule="auto"/>
              <w:ind w:firstLine="0" w:firstLineChars="0"/>
              <w:jc w:val="center"/>
              <w:rPr>
                <w:rFonts w:cs="Times New Roman"/>
                <w:sz w:val="21"/>
                <w:szCs w:val="21"/>
              </w:rPr>
            </w:pPr>
            <w:r>
              <w:rPr>
                <w:rFonts w:cs="Times New Roman"/>
                <w:sz w:val="21"/>
                <w:szCs w:val="21"/>
              </w:rPr>
              <w:t>119</w:t>
            </w:r>
          </w:p>
        </w:tc>
        <w:tc>
          <w:tcPr>
            <w:tcW w:w="1819" w:type="dxa"/>
            <w:noWrap/>
            <w:vAlign w:val="center"/>
          </w:tcPr>
          <w:p w14:paraId="47166902">
            <w:pPr>
              <w:spacing w:line="240" w:lineRule="auto"/>
              <w:ind w:firstLine="0" w:firstLineChars="0"/>
              <w:jc w:val="center"/>
              <w:rPr>
                <w:rFonts w:cs="Times New Roman"/>
                <w:sz w:val="21"/>
                <w:szCs w:val="21"/>
              </w:rPr>
            </w:pPr>
            <w:r>
              <w:rPr>
                <w:rFonts w:cs="Times New Roman"/>
                <w:sz w:val="21"/>
                <w:szCs w:val="21"/>
              </w:rPr>
              <w:t>其他一般</w:t>
            </w:r>
          </w:p>
        </w:tc>
      </w:tr>
      <w:tr w14:paraId="7AB92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13D3608F">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2F2C18A7">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49BA9C2E">
            <w:pPr>
              <w:spacing w:line="240" w:lineRule="auto"/>
              <w:ind w:firstLine="0" w:firstLineChars="0"/>
              <w:jc w:val="center"/>
              <w:rPr>
                <w:rFonts w:cs="Times New Roman"/>
                <w:sz w:val="21"/>
                <w:szCs w:val="21"/>
              </w:rPr>
            </w:pPr>
            <w:r>
              <w:rPr>
                <w:rFonts w:cs="Times New Roman"/>
                <w:sz w:val="21"/>
                <w:szCs w:val="21"/>
              </w:rPr>
              <w:t>瓦沟</w:t>
            </w:r>
          </w:p>
        </w:tc>
        <w:tc>
          <w:tcPr>
            <w:tcW w:w="1410" w:type="dxa"/>
            <w:noWrap/>
            <w:vAlign w:val="center"/>
          </w:tcPr>
          <w:p w14:paraId="17065E90">
            <w:pPr>
              <w:spacing w:line="240" w:lineRule="auto"/>
              <w:ind w:firstLine="0" w:firstLineChars="0"/>
              <w:jc w:val="center"/>
              <w:rPr>
                <w:rFonts w:cs="Times New Roman"/>
                <w:sz w:val="21"/>
                <w:szCs w:val="21"/>
              </w:rPr>
            </w:pPr>
            <w:r>
              <w:rPr>
                <w:rFonts w:cs="Times New Roman"/>
                <w:sz w:val="21"/>
                <w:szCs w:val="21"/>
              </w:rPr>
              <w:t>198</w:t>
            </w:r>
          </w:p>
        </w:tc>
        <w:tc>
          <w:tcPr>
            <w:tcW w:w="1819" w:type="dxa"/>
            <w:noWrap/>
            <w:vAlign w:val="center"/>
          </w:tcPr>
          <w:p w14:paraId="6A668996">
            <w:pPr>
              <w:spacing w:line="240" w:lineRule="auto"/>
              <w:ind w:firstLine="0" w:firstLineChars="0"/>
              <w:jc w:val="center"/>
              <w:rPr>
                <w:rFonts w:cs="Times New Roman"/>
                <w:sz w:val="21"/>
                <w:szCs w:val="21"/>
              </w:rPr>
            </w:pPr>
            <w:r>
              <w:rPr>
                <w:rFonts w:cs="Times New Roman"/>
                <w:sz w:val="21"/>
                <w:szCs w:val="21"/>
              </w:rPr>
              <w:t>其他一般</w:t>
            </w:r>
          </w:p>
        </w:tc>
      </w:tr>
      <w:tr w14:paraId="36F01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B1057EA">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2D096BC6">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5D785482">
            <w:pPr>
              <w:spacing w:line="240" w:lineRule="auto"/>
              <w:ind w:firstLine="0" w:firstLineChars="0"/>
              <w:jc w:val="center"/>
              <w:rPr>
                <w:rFonts w:cs="Times New Roman"/>
                <w:sz w:val="21"/>
                <w:szCs w:val="21"/>
              </w:rPr>
            </w:pPr>
            <w:r>
              <w:rPr>
                <w:rFonts w:cs="Times New Roman"/>
                <w:sz w:val="21"/>
                <w:szCs w:val="21"/>
              </w:rPr>
              <w:t>大地馆</w:t>
            </w:r>
          </w:p>
        </w:tc>
        <w:tc>
          <w:tcPr>
            <w:tcW w:w="1410" w:type="dxa"/>
            <w:noWrap/>
            <w:vAlign w:val="center"/>
          </w:tcPr>
          <w:p w14:paraId="6C4EE74D">
            <w:pPr>
              <w:spacing w:line="240" w:lineRule="auto"/>
              <w:ind w:firstLine="0" w:firstLineChars="0"/>
              <w:jc w:val="center"/>
              <w:rPr>
                <w:rFonts w:cs="Times New Roman"/>
                <w:sz w:val="21"/>
                <w:szCs w:val="21"/>
              </w:rPr>
            </w:pPr>
            <w:r>
              <w:rPr>
                <w:rFonts w:cs="Times New Roman"/>
                <w:sz w:val="21"/>
                <w:szCs w:val="21"/>
              </w:rPr>
              <w:t>231</w:t>
            </w:r>
          </w:p>
        </w:tc>
        <w:tc>
          <w:tcPr>
            <w:tcW w:w="1819" w:type="dxa"/>
            <w:noWrap/>
            <w:vAlign w:val="center"/>
          </w:tcPr>
          <w:p w14:paraId="2A0C5A47">
            <w:pPr>
              <w:spacing w:line="240" w:lineRule="auto"/>
              <w:ind w:firstLine="0" w:firstLineChars="0"/>
              <w:jc w:val="center"/>
              <w:rPr>
                <w:rFonts w:cs="Times New Roman"/>
                <w:sz w:val="21"/>
                <w:szCs w:val="21"/>
              </w:rPr>
            </w:pPr>
            <w:r>
              <w:rPr>
                <w:rFonts w:cs="Times New Roman"/>
                <w:sz w:val="21"/>
                <w:szCs w:val="21"/>
              </w:rPr>
              <w:t>搬迁撤并</w:t>
            </w:r>
          </w:p>
        </w:tc>
      </w:tr>
      <w:tr w14:paraId="2DA32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4F34775">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40934AF">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20370DF8">
            <w:pPr>
              <w:spacing w:line="240" w:lineRule="auto"/>
              <w:ind w:firstLine="0" w:firstLineChars="0"/>
              <w:jc w:val="center"/>
              <w:rPr>
                <w:rFonts w:cs="Times New Roman"/>
                <w:sz w:val="21"/>
                <w:szCs w:val="21"/>
              </w:rPr>
            </w:pPr>
            <w:r>
              <w:rPr>
                <w:rFonts w:cs="Times New Roman"/>
                <w:sz w:val="21"/>
                <w:szCs w:val="21"/>
              </w:rPr>
              <w:t>周家棚</w:t>
            </w:r>
          </w:p>
        </w:tc>
        <w:tc>
          <w:tcPr>
            <w:tcW w:w="1410" w:type="dxa"/>
            <w:noWrap/>
            <w:vAlign w:val="center"/>
          </w:tcPr>
          <w:p w14:paraId="7B1FA840">
            <w:pPr>
              <w:spacing w:line="240" w:lineRule="auto"/>
              <w:ind w:firstLine="0" w:firstLineChars="0"/>
              <w:jc w:val="center"/>
              <w:rPr>
                <w:rFonts w:cs="Times New Roman"/>
                <w:sz w:val="21"/>
                <w:szCs w:val="21"/>
              </w:rPr>
            </w:pPr>
            <w:r>
              <w:rPr>
                <w:rFonts w:cs="Times New Roman"/>
                <w:sz w:val="21"/>
                <w:szCs w:val="21"/>
              </w:rPr>
              <w:t>293</w:t>
            </w:r>
          </w:p>
        </w:tc>
        <w:tc>
          <w:tcPr>
            <w:tcW w:w="1819" w:type="dxa"/>
            <w:noWrap/>
            <w:vAlign w:val="center"/>
          </w:tcPr>
          <w:p w14:paraId="08869232">
            <w:pPr>
              <w:spacing w:line="240" w:lineRule="auto"/>
              <w:ind w:firstLine="0" w:firstLineChars="0"/>
              <w:jc w:val="center"/>
              <w:rPr>
                <w:rFonts w:cs="Times New Roman"/>
                <w:sz w:val="21"/>
                <w:szCs w:val="21"/>
              </w:rPr>
            </w:pPr>
            <w:r>
              <w:rPr>
                <w:rFonts w:cs="Times New Roman"/>
                <w:sz w:val="21"/>
                <w:szCs w:val="21"/>
              </w:rPr>
              <w:t>其他一般</w:t>
            </w:r>
          </w:p>
        </w:tc>
      </w:tr>
      <w:tr w14:paraId="7682F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822EC0B">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EC658C3">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3A47E07F">
            <w:pPr>
              <w:spacing w:line="240" w:lineRule="auto"/>
              <w:ind w:firstLine="0" w:firstLineChars="0"/>
              <w:jc w:val="center"/>
              <w:rPr>
                <w:rFonts w:cs="Times New Roman"/>
                <w:sz w:val="21"/>
                <w:szCs w:val="21"/>
              </w:rPr>
            </w:pPr>
            <w:r>
              <w:rPr>
                <w:rFonts w:cs="Times New Roman"/>
                <w:sz w:val="21"/>
                <w:szCs w:val="21"/>
              </w:rPr>
              <w:t>朱家坊</w:t>
            </w:r>
          </w:p>
        </w:tc>
        <w:tc>
          <w:tcPr>
            <w:tcW w:w="1410" w:type="dxa"/>
            <w:noWrap/>
            <w:vAlign w:val="center"/>
          </w:tcPr>
          <w:p w14:paraId="727C2FB1">
            <w:pPr>
              <w:spacing w:line="240" w:lineRule="auto"/>
              <w:ind w:firstLine="0" w:firstLineChars="0"/>
              <w:jc w:val="center"/>
              <w:rPr>
                <w:rFonts w:cs="Times New Roman"/>
                <w:sz w:val="21"/>
                <w:szCs w:val="21"/>
              </w:rPr>
            </w:pPr>
            <w:r>
              <w:rPr>
                <w:rFonts w:cs="Times New Roman"/>
                <w:sz w:val="21"/>
                <w:szCs w:val="21"/>
              </w:rPr>
              <w:t>145</w:t>
            </w:r>
          </w:p>
        </w:tc>
        <w:tc>
          <w:tcPr>
            <w:tcW w:w="1819" w:type="dxa"/>
            <w:noWrap/>
            <w:vAlign w:val="center"/>
          </w:tcPr>
          <w:p w14:paraId="213E850D">
            <w:pPr>
              <w:spacing w:line="240" w:lineRule="auto"/>
              <w:ind w:firstLine="0" w:firstLineChars="0"/>
              <w:jc w:val="center"/>
              <w:rPr>
                <w:rFonts w:cs="Times New Roman"/>
                <w:sz w:val="21"/>
                <w:szCs w:val="21"/>
              </w:rPr>
            </w:pPr>
            <w:r>
              <w:rPr>
                <w:rFonts w:cs="Times New Roman"/>
                <w:sz w:val="21"/>
                <w:szCs w:val="21"/>
              </w:rPr>
              <w:t>其他一般</w:t>
            </w:r>
          </w:p>
        </w:tc>
      </w:tr>
      <w:tr w14:paraId="46A83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1A7D23C0">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DD14FB2">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71EB3C6C">
            <w:pPr>
              <w:spacing w:line="240" w:lineRule="auto"/>
              <w:ind w:firstLine="0" w:firstLineChars="0"/>
              <w:jc w:val="center"/>
              <w:rPr>
                <w:rFonts w:cs="Times New Roman"/>
                <w:sz w:val="21"/>
                <w:szCs w:val="21"/>
              </w:rPr>
            </w:pPr>
            <w:r>
              <w:rPr>
                <w:rFonts w:cs="Times New Roman"/>
                <w:sz w:val="21"/>
                <w:szCs w:val="21"/>
              </w:rPr>
              <w:t>芝麻凹</w:t>
            </w:r>
          </w:p>
        </w:tc>
        <w:tc>
          <w:tcPr>
            <w:tcW w:w="1410" w:type="dxa"/>
            <w:noWrap/>
            <w:vAlign w:val="center"/>
          </w:tcPr>
          <w:p w14:paraId="6879F67D">
            <w:pPr>
              <w:spacing w:line="240" w:lineRule="auto"/>
              <w:ind w:firstLine="0" w:firstLineChars="0"/>
              <w:jc w:val="center"/>
              <w:rPr>
                <w:rFonts w:cs="Times New Roman"/>
                <w:sz w:val="21"/>
                <w:szCs w:val="21"/>
              </w:rPr>
            </w:pPr>
            <w:r>
              <w:rPr>
                <w:rFonts w:cs="Times New Roman"/>
                <w:sz w:val="21"/>
                <w:szCs w:val="21"/>
              </w:rPr>
              <w:t>164</w:t>
            </w:r>
          </w:p>
        </w:tc>
        <w:tc>
          <w:tcPr>
            <w:tcW w:w="1819" w:type="dxa"/>
            <w:noWrap/>
            <w:vAlign w:val="center"/>
          </w:tcPr>
          <w:p w14:paraId="29F211F9">
            <w:pPr>
              <w:spacing w:line="240" w:lineRule="auto"/>
              <w:ind w:firstLine="0" w:firstLineChars="0"/>
              <w:jc w:val="center"/>
              <w:rPr>
                <w:rFonts w:cs="Times New Roman"/>
                <w:sz w:val="21"/>
                <w:szCs w:val="21"/>
              </w:rPr>
            </w:pPr>
            <w:r>
              <w:rPr>
                <w:rFonts w:cs="Times New Roman"/>
                <w:sz w:val="21"/>
                <w:szCs w:val="21"/>
              </w:rPr>
              <w:t>其他一般</w:t>
            </w:r>
          </w:p>
        </w:tc>
      </w:tr>
      <w:tr w14:paraId="7A3B3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EE8614C">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3E96EFB">
            <w:pPr>
              <w:spacing w:line="240" w:lineRule="auto"/>
              <w:ind w:firstLine="0" w:firstLineChars="0"/>
              <w:jc w:val="center"/>
              <w:rPr>
                <w:rFonts w:cs="Times New Roman"/>
                <w:sz w:val="21"/>
                <w:szCs w:val="21"/>
              </w:rPr>
            </w:pPr>
            <w:r>
              <w:rPr>
                <w:rFonts w:cs="Times New Roman"/>
                <w:sz w:val="21"/>
                <w:szCs w:val="21"/>
              </w:rPr>
              <w:t>上阮村</w:t>
            </w:r>
          </w:p>
        </w:tc>
        <w:tc>
          <w:tcPr>
            <w:tcW w:w="2385" w:type="dxa"/>
            <w:noWrap/>
            <w:vAlign w:val="center"/>
          </w:tcPr>
          <w:p w14:paraId="5D53933C">
            <w:pPr>
              <w:spacing w:line="240" w:lineRule="auto"/>
              <w:ind w:firstLine="0" w:firstLineChars="0"/>
              <w:jc w:val="center"/>
              <w:rPr>
                <w:rFonts w:cs="Times New Roman"/>
                <w:sz w:val="21"/>
                <w:szCs w:val="21"/>
              </w:rPr>
            </w:pPr>
            <w:r>
              <w:rPr>
                <w:rFonts w:cs="Times New Roman"/>
                <w:sz w:val="21"/>
                <w:szCs w:val="21"/>
              </w:rPr>
              <w:t>长山凹</w:t>
            </w:r>
          </w:p>
        </w:tc>
        <w:tc>
          <w:tcPr>
            <w:tcW w:w="1410" w:type="dxa"/>
            <w:noWrap/>
            <w:vAlign w:val="center"/>
          </w:tcPr>
          <w:p w14:paraId="6A444EF8">
            <w:pPr>
              <w:spacing w:line="240" w:lineRule="auto"/>
              <w:ind w:firstLine="0" w:firstLineChars="0"/>
              <w:jc w:val="center"/>
              <w:rPr>
                <w:rFonts w:cs="Times New Roman"/>
                <w:sz w:val="21"/>
                <w:szCs w:val="21"/>
              </w:rPr>
            </w:pPr>
            <w:r>
              <w:rPr>
                <w:rFonts w:cs="Times New Roman"/>
                <w:sz w:val="21"/>
                <w:szCs w:val="21"/>
              </w:rPr>
              <w:t>127</w:t>
            </w:r>
          </w:p>
        </w:tc>
        <w:tc>
          <w:tcPr>
            <w:tcW w:w="1819" w:type="dxa"/>
            <w:noWrap/>
            <w:vAlign w:val="center"/>
          </w:tcPr>
          <w:p w14:paraId="599668B1">
            <w:pPr>
              <w:spacing w:line="240" w:lineRule="auto"/>
              <w:ind w:firstLine="0" w:firstLineChars="0"/>
              <w:jc w:val="center"/>
              <w:rPr>
                <w:rFonts w:cs="Times New Roman"/>
                <w:sz w:val="21"/>
                <w:szCs w:val="21"/>
              </w:rPr>
            </w:pPr>
            <w:r>
              <w:rPr>
                <w:rFonts w:cs="Times New Roman"/>
                <w:sz w:val="21"/>
                <w:szCs w:val="21"/>
              </w:rPr>
              <w:t>搬迁撤并</w:t>
            </w:r>
          </w:p>
        </w:tc>
      </w:tr>
      <w:tr w14:paraId="27DAE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4DC718FC">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A166D5C">
            <w:pPr>
              <w:spacing w:line="240" w:lineRule="auto"/>
              <w:ind w:firstLine="0" w:firstLineChars="0"/>
              <w:jc w:val="center"/>
              <w:rPr>
                <w:rFonts w:cs="Times New Roman"/>
                <w:sz w:val="21"/>
                <w:szCs w:val="21"/>
              </w:rPr>
            </w:pPr>
            <w:r>
              <w:rPr>
                <w:rFonts w:cs="Times New Roman"/>
                <w:sz w:val="21"/>
                <w:szCs w:val="21"/>
              </w:rPr>
              <w:t>山蓬村</w:t>
            </w:r>
          </w:p>
        </w:tc>
        <w:tc>
          <w:tcPr>
            <w:tcW w:w="2385" w:type="dxa"/>
            <w:noWrap/>
            <w:vAlign w:val="center"/>
          </w:tcPr>
          <w:p w14:paraId="796E5F40">
            <w:pPr>
              <w:spacing w:line="240" w:lineRule="auto"/>
              <w:ind w:firstLine="0" w:firstLineChars="0"/>
              <w:jc w:val="center"/>
              <w:rPr>
                <w:rFonts w:cs="Times New Roman"/>
                <w:sz w:val="21"/>
                <w:szCs w:val="21"/>
              </w:rPr>
            </w:pPr>
            <w:r>
              <w:rPr>
                <w:rFonts w:cs="Times New Roman"/>
                <w:sz w:val="21"/>
                <w:szCs w:val="21"/>
              </w:rPr>
              <w:t>余笪里</w:t>
            </w:r>
          </w:p>
        </w:tc>
        <w:tc>
          <w:tcPr>
            <w:tcW w:w="1410" w:type="dxa"/>
            <w:noWrap/>
            <w:vAlign w:val="center"/>
          </w:tcPr>
          <w:p w14:paraId="1A490B9E">
            <w:pPr>
              <w:spacing w:line="240" w:lineRule="auto"/>
              <w:ind w:firstLine="0" w:firstLineChars="0"/>
              <w:jc w:val="center"/>
              <w:rPr>
                <w:rFonts w:cs="Times New Roman"/>
                <w:sz w:val="21"/>
                <w:szCs w:val="21"/>
              </w:rPr>
            </w:pPr>
            <w:r>
              <w:rPr>
                <w:rFonts w:cs="Times New Roman"/>
                <w:sz w:val="21"/>
                <w:szCs w:val="21"/>
              </w:rPr>
              <w:t>279</w:t>
            </w:r>
          </w:p>
        </w:tc>
        <w:tc>
          <w:tcPr>
            <w:tcW w:w="1819" w:type="dxa"/>
            <w:noWrap/>
            <w:vAlign w:val="center"/>
          </w:tcPr>
          <w:p w14:paraId="7F4F7F7E">
            <w:pPr>
              <w:spacing w:line="240" w:lineRule="auto"/>
              <w:ind w:firstLine="0" w:firstLineChars="0"/>
              <w:jc w:val="center"/>
              <w:rPr>
                <w:rFonts w:cs="Times New Roman"/>
                <w:sz w:val="21"/>
                <w:szCs w:val="21"/>
              </w:rPr>
            </w:pPr>
            <w:r>
              <w:rPr>
                <w:rFonts w:cs="Times New Roman"/>
                <w:sz w:val="21"/>
                <w:szCs w:val="21"/>
              </w:rPr>
              <w:t>其他一般</w:t>
            </w:r>
          </w:p>
        </w:tc>
      </w:tr>
      <w:tr w14:paraId="55E03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1521C19D">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B0D508B">
            <w:pPr>
              <w:spacing w:line="240" w:lineRule="auto"/>
              <w:ind w:firstLine="0" w:firstLineChars="0"/>
              <w:jc w:val="center"/>
              <w:rPr>
                <w:rFonts w:cs="Times New Roman"/>
                <w:sz w:val="21"/>
                <w:szCs w:val="21"/>
              </w:rPr>
            </w:pPr>
            <w:r>
              <w:rPr>
                <w:rFonts w:cs="Times New Roman"/>
                <w:sz w:val="21"/>
                <w:szCs w:val="21"/>
              </w:rPr>
              <w:t>山蓬村</w:t>
            </w:r>
          </w:p>
        </w:tc>
        <w:tc>
          <w:tcPr>
            <w:tcW w:w="2385" w:type="dxa"/>
            <w:noWrap/>
            <w:vAlign w:val="center"/>
          </w:tcPr>
          <w:p w14:paraId="58D7BA4A">
            <w:pPr>
              <w:spacing w:line="240" w:lineRule="auto"/>
              <w:ind w:firstLine="0" w:firstLineChars="0"/>
              <w:jc w:val="center"/>
              <w:rPr>
                <w:rFonts w:cs="Times New Roman"/>
                <w:sz w:val="21"/>
                <w:szCs w:val="21"/>
              </w:rPr>
            </w:pPr>
            <w:r>
              <w:rPr>
                <w:rFonts w:cs="Times New Roman"/>
                <w:sz w:val="21"/>
                <w:szCs w:val="21"/>
              </w:rPr>
              <w:t>沈庄</w:t>
            </w:r>
          </w:p>
        </w:tc>
        <w:tc>
          <w:tcPr>
            <w:tcW w:w="1410" w:type="dxa"/>
            <w:noWrap/>
            <w:vAlign w:val="center"/>
          </w:tcPr>
          <w:p w14:paraId="671281E5">
            <w:pPr>
              <w:spacing w:line="240" w:lineRule="auto"/>
              <w:ind w:firstLine="0" w:firstLineChars="0"/>
              <w:jc w:val="center"/>
              <w:rPr>
                <w:rFonts w:cs="Times New Roman"/>
                <w:sz w:val="21"/>
                <w:szCs w:val="21"/>
              </w:rPr>
            </w:pPr>
            <w:r>
              <w:rPr>
                <w:rFonts w:cs="Times New Roman"/>
                <w:sz w:val="21"/>
                <w:szCs w:val="21"/>
              </w:rPr>
              <w:t>185</w:t>
            </w:r>
          </w:p>
        </w:tc>
        <w:tc>
          <w:tcPr>
            <w:tcW w:w="1819" w:type="dxa"/>
            <w:noWrap/>
            <w:vAlign w:val="center"/>
          </w:tcPr>
          <w:p w14:paraId="4C0E264D">
            <w:pPr>
              <w:spacing w:line="240" w:lineRule="auto"/>
              <w:ind w:firstLine="0" w:firstLineChars="0"/>
              <w:jc w:val="center"/>
              <w:rPr>
                <w:rFonts w:cs="Times New Roman"/>
                <w:sz w:val="21"/>
                <w:szCs w:val="21"/>
              </w:rPr>
            </w:pPr>
            <w:r>
              <w:rPr>
                <w:rFonts w:cs="Times New Roman"/>
                <w:sz w:val="21"/>
                <w:szCs w:val="21"/>
              </w:rPr>
              <w:t>集聚提升</w:t>
            </w:r>
          </w:p>
        </w:tc>
      </w:tr>
      <w:tr w14:paraId="1A949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15DDDEFC">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BC035AC">
            <w:pPr>
              <w:spacing w:line="240" w:lineRule="auto"/>
              <w:ind w:firstLine="0" w:firstLineChars="0"/>
              <w:jc w:val="center"/>
              <w:rPr>
                <w:rFonts w:cs="Times New Roman"/>
                <w:sz w:val="21"/>
                <w:szCs w:val="21"/>
              </w:rPr>
            </w:pPr>
            <w:r>
              <w:rPr>
                <w:rFonts w:cs="Times New Roman"/>
                <w:sz w:val="21"/>
                <w:szCs w:val="21"/>
              </w:rPr>
              <w:t>山蓬村</w:t>
            </w:r>
          </w:p>
        </w:tc>
        <w:tc>
          <w:tcPr>
            <w:tcW w:w="2385" w:type="dxa"/>
            <w:noWrap/>
            <w:vAlign w:val="center"/>
          </w:tcPr>
          <w:p w14:paraId="17D7F64E">
            <w:pPr>
              <w:spacing w:line="240" w:lineRule="auto"/>
              <w:ind w:firstLine="0" w:firstLineChars="0"/>
              <w:jc w:val="center"/>
              <w:rPr>
                <w:rFonts w:cs="Times New Roman"/>
                <w:sz w:val="21"/>
                <w:szCs w:val="21"/>
              </w:rPr>
            </w:pPr>
            <w:r>
              <w:rPr>
                <w:rFonts w:cs="Times New Roman"/>
                <w:sz w:val="21"/>
                <w:szCs w:val="21"/>
              </w:rPr>
              <w:t>金山后</w:t>
            </w:r>
          </w:p>
        </w:tc>
        <w:tc>
          <w:tcPr>
            <w:tcW w:w="1410" w:type="dxa"/>
            <w:noWrap/>
            <w:vAlign w:val="center"/>
          </w:tcPr>
          <w:p w14:paraId="5310DAB0">
            <w:pPr>
              <w:spacing w:line="240" w:lineRule="auto"/>
              <w:ind w:firstLine="0" w:firstLineChars="0"/>
              <w:jc w:val="center"/>
              <w:rPr>
                <w:rFonts w:cs="Times New Roman"/>
                <w:sz w:val="21"/>
                <w:szCs w:val="21"/>
              </w:rPr>
            </w:pPr>
            <w:r>
              <w:rPr>
                <w:rFonts w:cs="Times New Roman"/>
                <w:sz w:val="21"/>
                <w:szCs w:val="21"/>
              </w:rPr>
              <w:t>253</w:t>
            </w:r>
          </w:p>
        </w:tc>
        <w:tc>
          <w:tcPr>
            <w:tcW w:w="1819" w:type="dxa"/>
            <w:noWrap/>
            <w:vAlign w:val="center"/>
          </w:tcPr>
          <w:p w14:paraId="48A26F4C">
            <w:pPr>
              <w:spacing w:line="240" w:lineRule="auto"/>
              <w:ind w:firstLine="0" w:firstLineChars="0"/>
              <w:jc w:val="center"/>
              <w:rPr>
                <w:rFonts w:cs="Times New Roman"/>
                <w:sz w:val="21"/>
                <w:szCs w:val="21"/>
              </w:rPr>
            </w:pPr>
            <w:r>
              <w:rPr>
                <w:rFonts w:cs="Times New Roman"/>
                <w:sz w:val="21"/>
                <w:szCs w:val="21"/>
              </w:rPr>
              <w:t>其他一般</w:t>
            </w:r>
          </w:p>
        </w:tc>
      </w:tr>
      <w:tr w14:paraId="78E64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25387FB">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9948804">
            <w:pPr>
              <w:spacing w:line="240" w:lineRule="auto"/>
              <w:ind w:firstLine="0" w:firstLineChars="0"/>
              <w:jc w:val="center"/>
              <w:rPr>
                <w:rFonts w:cs="Times New Roman"/>
                <w:sz w:val="21"/>
                <w:szCs w:val="21"/>
              </w:rPr>
            </w:pPr>
            <w:r>
              <w:rPr>
                <w:rFonts w:cs="Times New Roman"/>
                <w:sz w:val="21"/>
                <w:szCs w:val="21"/>
              </w:rPr>
              <w:t>山蓬村</w:t>
            </w:r>
          </w:p>
        </w:tc>
        <w:tc>
          <w:tcPr>
            <w:tcW w:w="2385" w:type="dxa"/>
            <w:noWrap/>
            <w:vAlign w:val="center"/>
          </w:tcPr>
          <w:p w14:paraId="0232E782">
            <w:pPr>
              <w:spacing w:line="240" w:lineRule="auto"/>
              <w:ind w:firstLine="0" w:firstLineChars="0"/>
              <w:jc w:val="center"/>
              <w:rPr>
                <w:rFonts w:cs="Times New Roman"/>
                <w:sz w:val="21"/>
                <w:szCs w:val="21"/>
              </w:rPr>
            </w:pPr>
            <w:r>
              <w:rPr>
                <w:rFonts w:cs="Times New Roman"/>
                <w:sz w:val="21"/>
                <w:szCs w:val="21"/>
              </w:rPr>
              <w:t>山蓬</w:t>
            </w:r>
          </w:p>
        </w:tc>
        <w:tc>
          <w:tcPr>
            <w:tcW w:w="1410" w:type="dxa"/>
            <w:noWrap/>
            <w:vAlign w:val="center"/>
          </w:tcPr>
          <w:p w14:paraId="75E828D6">
            <w:pPr>
              <w:spacing w:line="240" w:lineRule="auto"/>
              <w:ind w:firstLine="0" w:firstLineChars="0"/>
              <w:jc w:val="center"/>
              <w:rPr>
                <w:rFonts w:cs="Times New Roman"/>
                <w:sz w:val="21"/>
                <w:szCs w:val="21"/>
              </w:rPr>
            </w:pPr>
            <w:r>
              <w:rPr>
                <w:rFonts w:cs="Times New Roman"/>
                <w:sz w:val="21"/>
                <w:szCs w:val="21"/>
              </w:rPr>
              <w:t>381</w:t>
            </w:r>
          </w:p>
        </w:tc>
        <w:tc>
          <w:tcPr>
            <w:tcW w:w="1819" w:type="dxa"/>
            <w:noWrap/>
            <w:vAlign w:val="center"/>
          </w:tcPr>
          <w:p w14:paraId="667385F0">
            <w:pPr>
              <w:spacing w:line="240" w:lineRule="auto"/>
              <w:ind w:firstLine="0" w:firstLineChars="0"/>
              <w:jc w:val="center"/>
              <w:rPr>
                <w:rFonts w:cs="Times New Roman"/>
                <w:sz w:val="21"/>
                <w:szCs w:val="21"/>
              </w:rPr>
            </w:pPr>
            <w:r>
              <w:rPr>
                <w:rFonts w:cs="Times New Roman"/>
                <w:sz w:val="21"/>
                <w:szCs w:val="21"/>
              </w:rPr>
              <w:t>集聚提升</w:t>
            </w:r>
          </w:p>
        </w:tc>
      </w:tr>
      <w:tr w14:paraId="01CD0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4D2FD3E">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D4A0DAA">
            <w:pPr>
              <w:spacing w:line="240" w:lineRule="auto"/>
              <w:ind w:firstLine="0" w:firstLineChars="0"/>
              <w:jc w:val="center"/>
              <w:rPr>
                <w:rFonts w:cs="Times New Roman"/>
                <w:sz w:val="21"/>
                <w:szCs w:val="21"/>
              </w:rPr>
            </w:pPr>
            <w:r>
              <w:rPr>
                <w:rFonts w:cs="Times New Roman"/>
                <w:sz w:val="21"/>
                <w:szCs w:val="21"/>
              </w:rPr>
              <w:t>山蓬村</w:t>
            </w:r>
          </w:p>
        </w:tc>
        <w:tc>
          <w:tcPr>
            <w:tcW w:w="2385" w:type="dxa"/>
            <w:noWrap/>
            <w:vAlign w:val="center"/>
          </w:tcPr>
          <w:p w14:paraId="3CFAF9F1">
            <w:pPr>
              <w:spacing w:line="240" w:lineRule="auto"/>
              <w:ind w:firstLine="0" w:firstLineChars="0"/>
              <w:jc w:val="center"/>
              <w:rPr>
                <w:rFonts w:cs="Times New Roman"/>
                <w:sz w:val="21"/>
                <w:szCs w:val="21"/>
              </w:rPr>
            </w:pPr>
            <w:r>
              <w:rPr>
                <w:rFonts w:cs="Times New Roman"/>
                <w:sz w:val="21"/>
                <w:szCs w:val="21"/>
              </w:rPr>
              <w:t>涧南</w:t>
            </w:r>
          </w:p>
        </w:tc>
        <w:tc>
          <w:tcPr>
            <w:tcW w:w="1410" w:type="dxa"/>
            <w:noWrap/>
            <w:vAlign w:val="center"/>
          </w:tcPr>
          <w:p w14:paraId="03535B76">
            <w:pPr>
              <w:spacing w:line="240" w:lineRule="auto"/>
              <w:ind w:firstLine="0" w:firstLineChars="0"/>
              <w:jc w:val="center"/>
              <w:rPr>
                <w:rFonts w:cs="Times New Roman"/>
                <w:sz w:val="21"/>
                <w:szCs w:val="21"/>
              </w:rPr>
            </w:pPr>
            <w:r>
              <w:rPr>
                <w:rFonts w:cs="Times New Roman"/>
                <w:sz w:val="21"/>
                <w:szCs w:val="21"/>
              </w:rPr>
              <w:t>244</w:t>
            </w:r>
          </w:p>
        </w:tc>
        <w:tc>
          <w:tcPr>
            <w:tcW w:w="1819" w:type="dxa"/>
            <w:noWrap/>
            <w:vAlign w:val="center"/>
          </w:tcPr>
          <w:p w14:paraId="2FE8673B">
            <w:pPr>
              <w:spacing w:line="240" w:lineRule="auto"/>
              <w:ind w:firstLine="0" w:firstLineChars="0"/>
              <w:jc w:val="center"/>
              <w:rPr>
                <w:rFonts w:cs="Times New Roman"/>
                <w:sz w:val="21"/>
                <w:szCs w:val="21"/>
              </w:rPr>
            </w:pPr>
            <w:r>
              <w:rPr>
                <w:rFonts w:cs="Times New Roman"/>
                <w:sz w:val="21"/>
                <w:szCs w:val="21"/>
              </w:rPr>
              <w:t>其他一般</w:t>
            </w:r>
          </w:p>
        </w:tc>
      </w:tr>
      <w:tr w14:paraId="78DDD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089C2BB">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30005F3F">
            <w:pPr>
              <w:spacing w:line="240" w:lineRule="auto"/>
              <w:ind w:firstLine="0" w:firstLineChars="0"/>
              <w:jc w:val="center"/>
              <w:rPr>
                <w:rFonts w:cs="Times New Roman"/>
                <w:sz w:val="21"/>
                <w:szCs w:val="21"/>
              </w:rPr>
            </w:pPr>
            <w:r>
              <w:rPr>
                <w:rFonts w:cs="Times New Roman"/>
                <w:sz w:val="21"/>
                <w:szCs w:val="21"/>
              </w:rPr>
              <w:t>山蓬村</w:t>
            </w:r>
          </w:p>
        </w:tc>
        <w:tc>
          <w:tcPr>
            <w:tcW w:w="2385" w:type="dxa"/>
            <w:noWrap/>
            <w:vAlign w:val="center"/>
          </w:tcPr>
          <w:p w14:paraId="1952C02B">
            <w:pPr>
              <w:spacing w:line="240" w:lineRule="auto"/>
              <w:ind w:firstLine="0" w:firstLineChars="0"/>
              <w:jc w:val="center"/>
              <w:rPr>
                <w:rFonts w:cs="Times New Roman"/>
                <w:sz w:val="21"/>
                <w:szCs w:val="21"/>
              </w:rPr>
            </w:pPr>
            <w:r>
              <w:rPr>
                <w:rFonts w:cs="Times New Roman"/>
                <w:sz w:val="21"/>
                <w:szCs w:val="21"/>
              </w:rPr>
              <w:t>小庄头</w:t>
            </w:r>
          </w:p>
        </w:tc>
        <w:tc>
          <w:tcPr>
            <w:tcW w:w="1410" w:type="dxa"/>
            <w:noWrap/>
            <w:vAlign w:val="center"/>
          </w:tcPr>
          <w:p w14:paraId="16A2E1A7">
            <w:pPr>
              <w:spacing w:line="240" w:lineRule="auto"/>
              <w:ind w:firstLine="0" w:firstLineChars="0"/>
              <w:jc w:val="center"/>
              <w:rPr>
                <w:rFonts w:cs="Times New Roman"/>
                <w:sz w:val="21"/>
                <w:szCs w:val="21"/>
              </w:rPr>
            </w:pPr>
            <w:r>
              <w:rPr>
                <w:rFonts w:cs="Times New Roman"/>
                <w:sz w:val="21"/>
                <w:szCs w:val="21"/>
              </w:rPr>
              <w:t>251</w:t>
            </w:r>
          </w:p>
        </w:tc>
        <w:tc>
          <w:tcPr>
            <w:tcW w:w="1819" w:type="dxa"/>
            <w:noWrap/>
            <w:vAlign w:val="center"/>
          </w:tcPr>
          <w:p w14:paraId="01B787B5">
            <w:pPr>
              <w:spacing w:line="240" w:lineRule="auto"/>
              <w:ind w:firstLine="0" w:firstLineChars="0"/>
              <w:jc w:val="center"/>
              <w:rPr>
                <w:rFonts w:cs="Times New Roman"/>
                <w:sz w:val="21"/>
                <w:szCs w:val="21"/>
              </w:rPr>
            </w:pPr>
            <w:r>
              <w:rPr>
                <w:rFonts w:cs="Times New Roman"/>
                <w:sz w:val="21"/>
                <w:szCs w:val="21"/>
              </w:rPr>
              <w:t>其他一般</w:t>
            </w:r>
          </w:p>
        </w:tc>
      </w:tr>
      <w:tr w14:paraId="52DF7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723BD3C3">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C37CB35">
            <w:pPr>
              <w:spacing w:line="240" w:lineRule="auto"/>
              <w:ind w:firstLine="0" w:firstLineChars="0"/>
              <w:jc w:val="center"/>
              <w:rPr>
                <w:rFonts w:cs="Times New Roman"/>
                <w:sz w:val="21"/>
                <w:szCs w:val="21"/>
              </w:rPr>
            </w:pPr>
            <w:r>
              <w:rPr>
                <w:rFonts w:cs="Times New Roman"/>
                <w:sz w:val="21"/>
                <w:szCs w:val="21"/>
              </w:rPr>
              <w:t>山蓬村</w:t>
            </w:r>
          </w:p>
        </w:tc>
        <w:tc>
          <w:tcPr>
            <w:tcW w:w="2385" w:type="dxa"/>
            <w:noWrap/>
            <w:vAlign w:val="center"/>
          </w:tcPr>
          <w:p w14:paraId="037BBBB3">
            <w:pPr>
              <w:spacing w:line="240" w:lineRule="auto"/>
              <w:ind w:firstLine="0" w:firstLineChars="0"/>
              <w:jc w:val="center"/>
              <w:rPr>
                <w:rFonts w:cs="Times New Roman"/>
                <w:sz w:val="21"/>
                <w:szCs w:val="21"/>
              </w:rPr>
            </w:pPr>
            <w:r>
              <w:rPr>
                <w:rFonts w:cs="Times New Roman"/>
                <w:sz w:val="21"/>
                <w:szCs w:val="21"/>
              </w:rPr>
              <w:t>云塘罐</w:t>
            </w:r>
          </w:p>
        </w:tc>
        <w:tc>
          <w:tcPr>
            <w:tcW w:w="1410" w:type="dxa"/>
            <w:noWrap/>
            <w:vAlign w:val="center"/>
          </w:tcPr>
          <w:p w14:paraId="3CDC76DA">
            <w:pPr>
              <w:spacing w:line="240" w:lineRule="auto"/>
              <w:ind w:firstLine="0" w:firstLineChars="0"/>
              <w:jc w:val="center"/>
              <w:rPr>
                <w:rFonts w:cs="Times New Roman"/>
                <w:sz w:val="21"/>
                <w:szCs w:val="21"/>
              </w:rPr>
            </w:pPr>
            <w:r>
              <w:rPr>
                <w:rFonts w:cs="Times New Roman"/>
                <w:sz w:val="21"/>
                <w:szCs w:val="21"/>
              </w:rPr>
              <w:t>34</w:t>
            </w:r>
          </w:p>
        </w:tc>
        <w:tc>
          <w:tcPr>
            <w:tcW w:w="1819" w:type="dxa"/>
            <w:noWrap/>
            <w:vAlign w:val="center"/>
          </w:tcPr>
          <w:p w14:paraId="70C86534">
            <w:pPr>
              <w:spacing w:line="240" w:lineRule="auto"/>
              <w:ind w:firstLine="0" w:firstLineChars="0"/>
              <w:jc w:val="center"/>
              <w:rPr>
                <w:rFonts w:cs="Times New Roman"/>
                <w:sz w:val="21"/>
                <w:szCs w:val="21"/>
              </w:rPr>
            </w:pPr>
            <w:r>
              <w:rPr>
                <w:rFonts w:cs="Times New Roman"/>
                <w:sz w:val="21"/>
                <w:szCs w:val="21"/>
              </w:rPr>
              <w:t>搬迁撤并</w:t>
            </w:r>
          </w:p>
        </w:tc>
      </w:tr>
      <w:tr w14:paraId="2F9CE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2F8F2D8">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3892888">
            <w:pPr>
              <w:spacing w:line="240" w:lineRule="auto"/>
              <w:ind w:firstLine="0" w:firstLineChars="0"/>
              <w:jc w:val="center"/>
              <w:rPr>
                <w:rFonts w:cs="Times New Roman"/>
                <w:sz w:val="21"/>
                <w:szCs w:val="21"/>
              </w:rPr>
            </w:pPr>
            <w:r>
              <w:rPr>
                <w:rFonts w:cs="Times New Roman"/>
                <w:sz w:val="21"/>
                <w:szCs w:val="21"/>
              </w:rPr>
              <w:t>山蓬村</w:t>
            </w:r>
          </w:p>
        </w:tc>
        <w:tc>
          <w:tcPr>
            <w:tcW w:w="2385" w:type="dxa"/>
            <w:noWrap/>
            <w:vAlign w:val="center"/>
          </w:tcPr>
          <w:p w14:paraId="3FE497A3">
            <w:pPr>
              <w:spacing w:line="240" w:lineRule="auto"/>
              <w:ind w:firstLine="0" w:firstLineChars="0"/>
              <w:jc w:val="center"/>
              <w:rPr>
                <w:rFonts w:cs="Times New Roman"/>
                <w:sz w:val="21"/>
                <w:szCs w:val="21"/>
              </w:rPr>
            </w:pPr>
            <w:r>
              <w:rPr>
                <w:rFonts w:cs="Times New Roman"/>
                <w:sz w:val="21"/>
                <w:szCs w:val="21"/>
              </w:rPr>
              <w:t>下庄</w:t>
            </w:r>
          </w:p>
        </w:tc>
        <w:tc>
          <w:tcPr>
            <w:tcW w:w="1410" w:type="dxa"/>
            <w:noWrap/>
            <w:vAlign w:val="center"/>
          </w:tcPr>
          <w:p w14:paraId="3F9A24D4">
            <w:pPr>
              <w:spacing w:line="240" w:lineRule="auto"/>
              <w:ind w:firstLine="0" w:firstLineChars="0"/>
              <w:jc w:val="center"/>
              <w:rPr>
                <w:rFonts w:cs="Times New Roman"/>
                <w:sz w:val="21"/>
                <w:szCs w:val="21"/>
              </w:rPr>
            </w:pPr>
            <w:r>
              <w:rPr>
                <w:rFonts w:cs="Times New Roman"/>
                <w:sz w:val="21"/>
                <w:szCs w:val="21"/>
              </w:rPr>
              <w:t>154</w:t>
            </w:r>
          </w:p>
        </w:tc>
        <w:tc>
          <w:tcPr>
            <w:tcW w:w="1819" w:type="dxa"/>
            <w:noWrap/>
            <w:vAlign w:val="center"/>
          </w:tcPr>
          <w:p w14:paraId="17839FFA">
            <w:pPr>
              <w:spacing w:line="240" w:lineRule="auto"/>
              <w:ind w:firstLine="0" w:firstLineChars="0"/>
              <w:jc w:val="center"/>
              <w:rPr>
                <w:rFonts w:cs="Times New Roman"/>
                <w:sz w:val="21"/>
                <w:szCs w:val="21"/>
              </w:rPr>
            </w:pPr>
            <w:r>
              <w:rPr>
                <w:rFonts w:cs="Times New Roman"/>
                <w:sz w:val="21"/>
                <w:szCs w:val="21"/>
              </w:rPr>
              <w:t>集聚提升</w:t>
            </w:r>
          </w:p>
        </w:tc>
      </w:tr>
      <w:tr w14:paraId="09013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25C6D61">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EDCDEC8">
            <w:pPr>
              <w:spacing w:line="240" w:lineRule="auto"/>
              <w:ind w:firstLine="0" w:firstLineChars="0"/>
              <w:jc w:val="center"/>
              <w:rPr>
                <w:rFonts w:cs="Times New Roman"/>
                <w:sz w:val="21"/>
                <w:szCs w:val="21"/>
              </w:rPr>
            </w:pPr>
            <w:r>
              <w:rPr>
                <w:rFonts w:cs="Times New Roman"/>
                <w:sz w:val="21"/>
                <w:szCs w:val="21"/>
              </w:rPr>
              <w:t>山蓬村</w:t>
            </w:r>
          </w:p>
        </w:tc>
        <w:tc>
          <w:tcPr>
            <w:tcW w:w="2385" w:type="dxa"/>
            <w:noWrap/>
            <w:vAlign w:val="center"/>
          </w:tcPr>
          <w:p w14:paraId="1A5B6F82">
            <w:pPr>
              <w:spacing w:line="240" w:lineRule="auto"/>
              <w:ind w:firstLine="0" w:firstLineChars="0"/>
              <w:jc w:val="center"/>
              <w:rPr>
                <w:rFonts w:cs="Times New Roman"/>
                <w:sz w:val="21"/>
                <w:szCs w:val="21"/>
              </w:rPr>
            </w:pPr>
            <w:r>
              <w:rPr>
                <w:rFonts w:cs="Times New Roman"/>
                <w:sz w:val="21"/>
                <w:szCs w:val="21"/>
              </w:rPr>
              <w:t>榨塘</w:t>
            </w:r>
          </w:p>
        </w:tc>
        <w:tc>
          <w:tcPr>
            <w:tcW w:w="1410" w:type="dxa"/>
            <w:noWrap/>
            <w:vAlign w:val="center"/>
          </w:tcPr>
          <w:p w14:paraId="40D18154">
            <w:pPr>
              <w:spacing w:line="240" w:lineRule="auto"/>
              <w:ind w:firstLine="0" w:firstLineChars="0"/>
              <w:jc w:val="center"/>
              <w:rPr>
                <w:rFonts w:cs="Times New Roman"/>
                <w:sz w:val="21"/>
                <w:szCs w:val="21"/>
              </w:rPr>
            </w:pPr>
            <w:r>
              <w:rPr>
                <w:rFonts w:cs="Times New Roman"/>
                <w:sz w:val="21"/>
                <w:szCs w:val="21"/>
              </w:rPr>
              <w:t>309</w:t>
            </w:r>
          </w:p>
        </w:tc>
        <w:tc>
          <w:tcPr>
            <w:tcW w:w="1819" w:type="dxa"/>
            <w:noWrap/>
            <w:vAlign w:val="center"/>
          </w:tcPr>
          <w:p w14:paraId="405B48B6">
            <w:pPr>
              <w:spacing w:line="240" w:lineRule="auto"/>
              <w:ind w:firstLine="0" w:firstLineChars="0"/>
              <w:jc w:val="center"/>
              <w:rPr>
                <w:rFonts w:cs="Times New Roman"/>
                <w:sz w:val="21"/>
                <w:szCs w:val="21"/>
              </w:rPr>
            </w:pPr>
            <w:r>
              <w:rPr>
                <w:rFonts w:cs="Times New Roman"/>
                <w:sz w:val="21"/>
                <w:szCs w:val="21"/>
              </w:rPr>
              <w:t>其他一般</w:t>
            </w:r>
          </w:p>
        </w:tc>
      </w:tr>
      <w:tr w14:paraId="6100B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0E77D31B">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25EA69CF">
            <w:pPr>
              <w:spacing w:line="240" w:lineRule="auto"/>
              <w:ind w:firstLine="0" w:firstLineChars="0"/>
              <w:jc w:val="center"/>
              <w:rPr>
                <w:rFonts w:cs="Times New Roman"/>
                <w:sz w:val="21"/>
                <w:szCs w:val="21"/>
              </w:rPr>
            </w:pPr>
            <w:r>
              <w:rPr>
                <w:rFonts w:cs="Times New Roman"/>
                <w:sz w:val="21"/>
                <w:szCs w:val="21"/>
              </w:rPr>
              <w:t>山蓬村</w:t>
            </w:r>
          </w:p>
        </w:tc>
        <w:tc>
          <w:tcPr>
            <w:tcW w:w="2385" w:type="dxa"/>
            <w:noWrap/>
            <w:vAlign w:val="center"/>
          </w:tcPr>
          <w:p w14:paraId="2CE9EA1D">
            <w:pPr>
              <w:spacing w:line="240" w:lineRule="auto"/>
              <w:ind w:firstLine="0" w:firstLineChars="0"/>
              <w:jc w:val="center"/>
              <w:rPr>
                <w:rFonts w:cs="Times New Roman"/>
                <w:sz w:val="21"/>
                <w:szCs w:val="21"/>
              </w:rPr>
            </w:pPr>
            <w:r>
              <w:rPr>
                <w:rFonts w:cs="Times New Roman"/>
                <w:sz w:val="21"/>
                <w:szCs w:val="21"/>
              </w:rPr>
              <w:t>花村</w:t>
            </w:r>
          </w:p>
        </w:tc>
        <w:tc>
          <w:tcPr>
            <w:tcW w:w="1410" w:type="dxa"/>
            <w:noWrap/>
            <w:vAlign w:val="center"/>
          </w:tcPr>
          <w:p w14:paraId="24C7320E">
            <w:pPr>
              <w:spacing w:line="240" w:lineRule="auto"/>
              <w:ind w:firstLine="0" w:firstLineChars="0"/>
              <w:jc w:val="center"/>
              <w:rPr>
                <w:rFonts w:cs="Times New Roman"/>
                <w:sz w:val="21"/>
                <w:szCs w:val="21"/>
              </w:rPr>
            </w:pPr>
            <w:r>
              <w:rPr>
                <w:rFonts w:cs="Times New Roman"/>
                <w:sz w:val="21"/>
                <w:szCs w:val="21"/>
              </w:rPr>
              <w:t>54</w:t>
            </w:r>
          </w:p>
        </w:tc>
        <w:tc>
          <w:tcPr>
            <w:tcW w:w="1819" w:type="dxa"/>
            <w:noWrap/>
            <w:vAlign w:val="center"/>
          </w:tcPr>
          <w:p w14:paraId="08D7FC8F">
            <w:pPr>
              <w:spacing w:line="240" w:lineRule="auto"/>
              <w:ind w:firstLine="0" w:firstLineChars="0"/>
              <w:jc w:val="center"/>
              <w:rPr>
                <w:rFonts w:cs="Times New Roman"/>
                <w:sz w:val="21"/>
                <w:szCs w:val="21"/>
              </w:rPr>
            </w:pPr>
            <w:r>
              <w:rPr>
                <w:rFonts w:cs="Times New Roman"/>
                <w:sz w:val="21"/>
                <w:szCs w:val="21"/>
              </w:rPr>
              <w:t>搬迁撤并</w:t>
            </w:r>
          </w:p>
        </w:tc>
      </w:tr>
      <w:tr w14:paraId="05A3E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73DE8B30">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3B8E9CA2">
            <w:pPr>
              <w:spacing w:line="240" w:lineRule="auto"/>
              <w:ind w:firstLine="0" w:firstLineChars="0"/>
              <w:jc w:val="center"/>
              <w:rPr>
                <w:rFonts w:cs="Times New Roman"/>
                <w:sz w:val="21"/>
                <w:szCs w:val="21"/>
              </w:rPr>
            </w:pPr>
            <w:r>
              <w:rPr>
                <w:rFonts w:cs="Times New Roman"/>
                <w:sz w:val="21"/>
                <w:szCs w:val="21"/>
              </w:rPr>
              <w:t>茅麓茶场</w:t>
            </w:r>
          </w:p>
        </w:tc>
        <w:tc>
          <w:tcPr>
            <w:tcW w:w="2385" w:type="dxa"/>
            <w:noWrap/>
            <w:vAlign w:val="center"/>
          </w:tcPr>
          <w:p w14:paraId="691BD7C7">
            <w:pPr>
              <w:spacing w:line="240" w:lineRule="auto"/>
              <w:ind w:firstLine="0" w:firstLineChars="0"/>
              <w:jc w:val="center"/>
              <w:rPr>
                <w:rFonts w:cs="Times New Roman"/>
                <w:sz w:val="21"/>
                <w:szCs w:val="21"/>
              </w:rPr>
            </w:pPr>
            <w:r>
              <w:rPr>
                <w:rFonts w:cs="Times New Roman"/>
                <w:sz w:val="21"/>
                <w:szCs w:val="21"/>
              </w:rPr>
              <w:t>茅麓茶场四工区</w:t>
            </w:r>
          </w:p>
        </w:tc>
        <w:tc>
          <w:tcPr>
            <w:tcW w:w="1410" w:type="dxa"/>
            <w:noWrap/>
            <w:vAlign w:val="center"/>
          </w:tcPr>
          <w:p w14:paraId="6C31E0D4">
            <w:pPr>
              <w:spacing w:line="240" w:lineRule="auto"/>
              <w:ind w:firstLine="0" w:firstLineChars="0"/>
              <w:jc w:val="center"/>
              <w:rPr>
                <w:rFonts w:cs="Times New Roman"/>
                <w:sz w:val="21"/>
                <w:szCs w:val="21"/>
              </w:rPr>
            </w:pPr>
            <w:r>
              <w:rPr>
                <w:rFonts w:cs="Times New Roman"/>
                <w:sz w:val="21"/>
                <w:szCs w:val="21"/>
              </w:rPr>
              <w:t>37</w:t>
            </w:r>
          </w:p>
        </w:tc>
        <w:tc>
          <w:tcPr>
            <w:tcW w:w="1819" w:type="dxa"/>
            <w:noWrap/>
            <w:vAlign w:val="center"/>
          </w:tcPr>
          <w:p w14:paraId="508B28AA">
            <w:pPr>
              <w:spacing w:line="240" w:lineRule="auto"/>
              <w:ind w:firstLine="0" w:firstLineChars="0"/>
              <w:jc w:val="center"/>
              <w:rPr>
                <w:rFonts w:cs="Times New Roman"/>
                <w:sz w:val="21"/>
                <w:szCs w:val="21"/>
              </w:rPr>
            </w:pPr>
            <w:r>
              <w:rPr>
                <w:rFonts w:cs="Times New Roman"/>
                <w:sz w:val="21"/>
                <w:szCs w:val="21"/>
              </w:rPr>
              <w:t>搬迁撤并</w:t>
            </w:r>
          </w:p>
        </w:tc>
      </w:tr>
      <w:tr w14:paraId="634F0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7B0104AE">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11D88E9">
            <w:pPr>
              <w:spacing w:line="240" w:lineRule="auto"/>
              <w:ind w:firstLine="0" w:firstLineChars="0"/>
              <w:jc w:val="center"/>
              <w:rPr>
                <w:rFonts w:cs="Times New Roman"/>
                <w:sz w:val="21"/>
                <w:szCs w:val="21"/>
              </w:rPr>
            </w:pPr>
            <w:r>
              <w:rPr>
                <w:rFonts w:cs="Times New Roman"/>
                <w:sz w:val="21"/>
                <w:szCs w:val="21"/>
              </w:rPr>
              <w:t>茅麓茶场</w:t>
            </w:r>
          </w:p>
        </w:tc>
        <w:tc>
          <w:tcPr>
            <w:tcW w:w="2385" w:type="dxa"/>
            <w:noWrap/>
            <w:vAlign w:val="center"/>
          </w:tcPr>
          <w:p w14:paraId="151A3CAC">
            <w:pPr>
              <w:spacing w:line="240" w:lineRule="auto"/>
              <w:ind w:firstLine="0" w:firstLineChars="0"/>
              <w:jc w:val="center"/>
              <w:rPr>
                <w:rFonts w:cs="Times New Roman"/>
                <w:sz w:val="21"/>
                <w:szCs w:val="21"/>
              </w:rPr>
            </w:pPr>
            <w:r>
              <w:rPr>
                <w:rFonts w:cs="Times New Roman"/>
                <w:sz w:val="21"/>
                <w:szCs w:val="21"/>
              </w:rPr>
              <w:t>茅麓茶场二工区</w:t>
            </w:r>
          </w:p>
        </w:tc>
        <w:tc>
          <w:tcPr>
            <w:tcW w:w="1410" w:type="dxa"/>
            <w:noWrap/>
            <w:vAlign w:val="center"/>
          </w:tcPr>
          <w:p w14:paraId="2A9646DC">
            <w:pPr>
              <w:spacing w:line="240" w:lineRule="auto"/>
              <w:ind w:firstLine="0" w:firstLineChars="0"/>
              <w:jc w:val="center"/>
              <w:rPr>
                <w:rFonts w:cs="Times New Roman"/>
                <w:sz w:val="21"/>
                <w:szCs w:val="21"/>
              </w:rPr>
            </w:pPr>
            <w:r>
              <w:rPr>
                <w:rFonts w:cs="Times New Roman"/>
                <w:sz w:val="21"/>
                <w:szCs w:val="21"/>
              </w:rPr>
              <w:t>24</w:t>
            </w:r>
          </w:p>
        </w:tc>
        <w:tc>
          <w:tcPr>
            <w:tcW w:w="1819" w:type="dxa"/>
            <w:noWrap/>
            <w:vAlign w:val="center"/>
          </w:tcPr>
          <w:p w14:paraId="62293E7C">
            <w:pPr>
              <w:spacing w:line="240" w:lineRule="auto"/>
              <w:ind w:firstLine="0" w:firstLineChars="0"/>
              <w:jc w:val="center"/>
              <w:rPr>
                <w:rFonts w:cs="Times New Roman"/>
                <w:sz w:val="21"/>
                <w:szCs w:val="21"/>
              </w:rPr>
            </w:pPr>
            <w:r>
              <w:rPr>
                <w:rFonts w:cs="Times New Roman"/>
                <w:sz w:val="21"/>
                <w:szCs w:val="21"/>
              </w:rPr>
              <w:t>搬迁撤并</w:t>
            </w:r>
          </w:p>
        </w:tc>
      </w:tr>
      <w:tr w14:paraId="3407D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B1A8BD6">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4737EF5">
            <w:pPr>
              <w:spacing w:line="240" w:lineRule="auto"/>
              <w:ind w:firstLine="0" w:firstLineChars="0"/>
              <w:jc w:val="center"/>
              <w:rPr>
                <w:rFonts w:cs="Times New Roman"/>
                <w:sz w:val="21"/>
                <w:szCs w:val="21"/>
              </w:rPr>
            </w:pPr>
            <w:r>
              <w:rPr>
                <w:rFonts w:cs="Times New Roman"/>
                <w:sz w:val="21"/>
                <w:szCs w:val="21"/>
              </w:rPr>
              <w:t>茅东林场</w:t>
            </w:r>
          </w:p>
        </w:tc>
        <w:tc>
          <w:tcPr>
            <w:tcW w:w="2385" w:type="dxa"/>
            <w:noWrap/>
            <w:vAlign w:val="center"/>
          </w:tcPr>
          <w:p w14:paraId="0DDA84B4">
            <w:pPr>
              <w:spacing w:line="240" w:lineRule="auto"/>
              <w:ind w:firstLine="0" w:firstLineChars="0"/>
              <w:jc w:val="center"/>
              <w:rPr>
                <w:rFonts w:cs="Times New Roman"/>
                <w:sz w:val="21"/>
                <w:szCs w:val="21"/>
              </w:rPr>
            </w:pPr>
            <w:r>
              <w:rPr>
                <w:rFonts w:cs="Times New Roman"/>
                <w:sz w:val="21"/>
                <w:szCs w:val="21"/>
              </w:rPr>
              <w:t>北山林场</w:t>
            </w:r>
          </w:p>
        </w:tc>
        <w:tc>
          <w:tcPr>
            <w:tcW w:w="1410" w:type="dxa"/>
            <w:noWrap/>
            <w:vAlign w:val="center"/>
          </w:tcPr>
          <w:p w14:paraId="13219F12">
            <w:pPr>
              <w:spacing w:line="240" w:lineRule="auto"/>
              <w:ind w:firstLine="0" w:firstLineChars="0"/>
              <w:jc w:val="center"/>
              <w:rPr>
                <w:rFonts w:cs="Times New Roman"/>
                <w:sz w:val="21"/>
                <w:szCs w:val="21"/>
              </w:rPr>
            </w:pPr>
            <w:r>
              <w:rPr>
                <w:rFonts w:cs="Times New Roman"/>
                <w:sz w:val="21"/>
                <w:szCs w:val="21"/>
              </w:rPr>
              <w:t>36</w:t>
            </w:r>
          </w:p>
        </w:tc>
        <w:tc>
          <w:tcPr>
            <w:tcW w:w="1819" w:type="dxa"/>
            <w:noWrap/>
            <w:vAlign w:val="center"/>
          </w:tcPr>
          <w:p w14:paraId="0BE0396D">
            <w:pPr>
              <w:spacing w:line="240" w:lineRule="auto"/>
              <w:ind w:firstLine="0" w:firstLineChars="0"/>
              <w:jc w:val="center"/>
              <w:rPr>
                <w:rFonts w:cs="Times New Roman"/>
                <w:sz w:val="21"/>
                <w:szCs w:val="21"/>
              </w:rPr>
            </w:pPr>
            <w:r>
              <w:rPr>
                <w:rFonts w:cs="Times New Roman"/>
                <w:sz w:val="21"/>
                <w:szCs w:val="21"/>
              </w:rPr>
              <w:t>其他一般</w:t>
            </w:r>
          </w:p>
        </w:tc>
      </w:tr>
      <w:tr w14:paraId="5FD72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B554B12">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22DC517">
            <w:pPr>
              <w:spacing w:line="240" w:lineRule="auto"/>
              <w:ind w:firstLine="0" w:firstLineChars="0"/>
              <w:jc w:val="center"/>
              <w:rPr>
                <w:rFonts w:cs="Times New Roman"/>
                <w:sz w:val="21"/>
                <w:szCs w:val="21"/>
              </w:rPr>
            </w:pPr>
            <w:r>
              <w:rPr>
                <w:rFonts w:cs="Times New Roman"/>
                <w:sz w:val="21"/>
                <w:szCs w:val="21"/>
              </w:rPr>
              <w:t>茅东林场</w:t>
            </w:r>
          </w:p>
        </w:tc>
        <w:tc>
          <w:tcPr>
            <w:tcW w:w="2385" w:type="dxa"/>
            <w:noWrap/>
            <w:vAlign w:val="center"/>
          </w:tcPr>
          <w:p w14:paraId="30EEA4C6">
            <w:pPr>
              <w:spacing w:line="240" w:lineRule="auto"/>
              <w:ind w:firstLine="0" w:firstLineChars="0"/>
              <w:jc w:val="center"/>
              <w:rPr>
                <w:rFonts w:cs="Times New Roman"/>
                <w:sz w:val="21"/>
                <w:szCs w:val="21"/>
              </w:rPr>
            </w:pPr>
            <w:r>
              <w:rPr>
                <w:rFonts w:cs="Times New Roman"/>
                <w:sz w:val="21"/>
                <w:szCs w:val="21"/>
              </w:rPr>
              <w:t>金牛山庄</w:t>
            </w:r>
          </w:p>
        </w:tc>
        <w:tc>
          <w:tcPr>
            <w:tcW w:w="1410" w:type="dxa"/>
            <w:noWrap/>
            <w:vAlign w:val="center"/>
          </w:tcPr>
          <w:p w14:paraId="4E341A38">
            <w:pPr>
              <w:spacing w:line="240" w:lineRule="auto"/>
              <w:ind w:firstLine="0" w:firstLineChars="0"/>
              <w:jc w:val="center"/>
              <w:rPr>
                <w:rFonts w:cs="Times New Roman"/>
                <w:sz w:val="21"/>
                <w:szCs w:val="21"/>
              </w:rPr>
            </w:pPr>
            <w:r>
              <w:rPr>
                <w:rFonts w:cs="Times New Roman"/>
                <w:sz w:val="21"/>
                <w:szCs w:val="21"/>
              </w:rPr>
              <w:t>482</w:t>
            </w:r>
          </w:p>
        </w:tc>
        <w:tc>
          <w:tcPr>
            <w:tcW w:w="1819" w:type="dxa"/>
            <w:noWrap/>
            <w:vAlign w:val="center"/>
          </w:tcPr>
          <w:p w14:paraId="3FDEC277">
            <w:pPr>
              <w:spacing w:line="240" w:lineRule="auto"/>
              <w:ind w:firstLine="0" w:firstLineChars="0"/>
              <w:jc w:val="center"/>
              <w:rPr>
                <w:rFonts w:cs="Times New Roman"/>
                <w:sz w:val="21"/>
                <w:szCs w:val="21"/>
              </w:rPr>
            </w:pPr>
            <w:r>
              <w:rPr>
                <w:rFonts w:cs="Times New Roman"/>
                <w:sz w:val="21"/>
                <w:szCs w:val="21"/>
              </w:rPr>
              <w:t>特色保护</w:t>
            </w:r>
          </w:p>
        </w:tc>
      </w:tr>
      <w:tr w14:paraId="7903F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CED8219">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EA4D5FF">
            <w:pPr>
              <w:spacing w:line="240" w:lineRule="auto"/>
              <w:ind w:firstLine="0" w:firstLineChars="0"/>
              <w:jc w:val="center"/>
              <w:rPr>
                <w:rFonts w:cs="Times New Roman"/>
                <w:sz w:val="21"/>
                <w:szCs w:val="21"/>
              </w:rPr>
            </w:pPr>
            <w:r>
              <w:rPr>
                <w:rFonts w:cs="Times New Roman"/>
                <w:sz w:val="21"/>
                <w:szCs w:val="21"/>
              </w:rPr>
              <w:t>茅庵村</w:t>
            </w:r>
          </w:p>
        </w:tc>
        <w:tc>
          <w:tcPr>
            <w:tcW w:w="2385" w:type="dxa"/>
            <w:noWrap/>
            <w:vAlign w:val="center"/>
          </w:tcPr>
          <w:p w14:paraId="34B2541B">
            <w:pPr>
              <w:spacing w:line="240" w:lineRule="auto"/>
              <w:ind w:firstLine="0" w:firstLineChars="0"/>
              <w:jc w:val="center"/>
              <w:rPr>
                <w:rFonts w:cs="Times New Roman"/>
                <w:sz w:val="21"/>
                <w:szCs w:val="21"/>
              </w:rPr>
            </w:pPr>
            <w:r>
              <w:rPr>
                <w:rFonts w:cs="Times New Roman"/>
                <w:sz w:val="21"/>
                <w:szCs w:val="21"/>
              </w:rPr>
              <w:t>高庄</w:t>
            </w:r>
          </w:p>
        </w:tc>
        <w:tc>
          <w:tcPr>
            <w:tcW w:w="1410" w:type="dxa"/>
            <w:noWrap/>
            <w:vAlign w:val="center"/>
          </w:tcPr>
          <w:p w14:paraId="385159B0">
            <w:pPr>
              <w:spacing w:line="240" w:lineRule="auto"/>
              <w:ind w:firstLine="0" w:firstLineChars="0"/>
              <w:jc w:val="center"/>
              <w:rPr>
                <w:rFonts w:cs="Times New Roman"/>
                <w:sz w:val="21"/>
                <w:szCs w:val="21"/>
              </w:rPr>
            </w:pPr>
            <w:r>
              <w:rPr>
                <w:rFonts w:cs="Times New Roman"/>
                <w:sz w:val="21"/>
                <w:szCs w:val="21"/>
              </w:rPr>
              <w:t>224</w:t>
            </w:r>
          </w:p>
        </w:tc>
        <w:tc>
          <w:tcPr>
            <w:tcW w:w="1819" w:type="dxa"/>
            <w:noWrap/>
            <w:vAlign w:val="center"/>
          </w:tcPr>
          <w:p w14:paraId="23EA9286">
            <w:pPr>
              <w:spacing w:line="240" w:lineRule="auto"/>
              <w:ind w:firstLine="0" w:firstLineChars="0"/>
              <w:jc w:val="center"/>
              <w:rPr>
                <w:rFonts w:cs="Times New Roman"/>
                <w:sz w:val="21"/>
                <w:szCs w:val="21"/>
              </w:rPr>
            </w:pPr>
            <w:r>
              <w:rPr>
                <w:rFonts w:cs="Times New Roman"/>
                <w:sz w:val="21"/>
                <w:szCs w:val="21"/>
              </w:rPr>
              <w:t>集聚提升</w:t>
            </w:r>
          </w:p>
        </w:tc>
      </w:tr>
      <w:tr w14:paraId="7CFAD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7A140A8">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703A27B3">
            <w:pPr>
              <w:spacing w:line="240" w:lineRule="auto"/>
              <w:ind w:firstLine="0" w:firstLineChars="0"/>
              <w:jc w:val="center"/>
              <w:rPr>
                <w:rFonts w:cs="Times New Roman"/>
                <w:sz w:val="21"/>
                <w:szCs w:val="21"/>
              </w:rPr>
            </w:pPr>
            <w:r>
              <w:rPr>
                <w:rFonts w:cs="Times New Roman"/>
                <w:sz w:val="21"/>
                <w:szCs w:val="21"/>
              </w:rPr>
              <w:t>连山村</w:t>
            </w:r>
          </w:p>
        </w:tc>
        <w:tc>
          <w:tcPr>
            <w:tcW w:w="2385" w:type="dxa"/>
            <w:noWrap/>
            <w:vAlign w:val="center"/>
          </w:tcPr>
          <w:p w14:paraId="0211E07D">
            <w:pPr>
              <w:spacing w:line="240" w:lineRule="auto"/>
              <w:ind w:firstLine="0" w:firstLineChars="0"/>
              <w:jc w:val="center"/>
              <w:rPr>
                <w:rFonts w:cs="Times New Roman"/>
                <w:sz w:val="21"/>
                <w:szCs w:val="21"/>
              </w:rPr>
            </w:pPr>
            <w:r>
              <w:rPr>
                <w:rFonts w:cs="Times New Roman"/>
                <w:sz w:val="21"/>
                <w:szCs w:val="21"/>
              </w:rPr>
              <w:t>上竹棵</w:t>
            </w:r>
          </w:p>
        </w:tc>
        <w:tc>
          <w:tcPr>
            <w:tcW w:w="1410" w:type="dxa"/>
            <w:noWrap/>
            <w:vAlign w:val="center"/>
          </w:tcPr>
          <w:p w14:paraId="02DDC29A">
            <w:pPr>
              <w:spacing w:line="240" w:lineRule="auto"/>
              <w:ind w:firstLine="0" w:firstLineChars="0"/>
              <w:jc w:val="center"/>
              <w:rPr>
                <w:rFonts w:cs="Times New Roman"/>
                <w:sz w:val="21"/>
                <w:szCs w:val="21"/>
              </w:rPr>
            </w:pPr>
            <w:r>
              <w:rPr>
                <w:rFonts w:cs="Times New Roman"/>
                <w:sz w:val="21"/>
                <w:szCs w:val="21"/>
              </w:rPr>
              <w:t>180</w:t>
            </w:r>
          </w:p>
        </w:tc>
        <w:tc>
          <w:tcPr>
            <w:tcW w:w="1819" w:type="dxa"/>
            <w:noWrap/>
            <w:vAlign w:val="center"/>
          </w:tcPr>
          <w:p w14:paraId="107F415A">
            <w:pPr>
              <w:spacing w:line="240" w:lineRule="auto"/>
              <w:ind w:firstLine="0" w:firstLineChars="0"/>
              <w:jc w:val="center"/>
              <w:rPr>
                <w:rFonts w:cs="Times New Roman"/>
                <w:sz w:val="21"/>
                <w:szCs w:val="21"/>
              </w:rPr>
            </w:pPr>
            <w:r>
              <w:rPr>
                <w:rFonts w:cs="Times New Roman"/>
                <w:sz w:val="21"/>
                <w:szCs w:val="21"/>
              </w:rPr>
              <w:t>集聚提升</w:t>
            </w:r>
          </w:p>
        </w:tc>
      </w:tr>
      <w:tr w14:paraId="42D23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DCB8717">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440A5672">
            <w:pPr>
              <w:spacing w:line="240" w:lineRule="auto"/>
              <w:ind w:firstLine="0" w:firstLineChars="0"/>
              <w:jc w:val="center"/>
              <w:rPr>
                <w:rFonts w:cs="Times New Roman"/>
                <w:sz w:val="21"/>
                <w:szCs w:val="21"/>
              </w:rPr>
            </w:pPr>
            <w:r>
              <w:rPr>
                <w:rFonts w:cs="Times New Roman"/>
                <w:sz w:val="21"/>
                <w:szCs w:val="21"/>
              </w:rPr>
              <w:t>方麓村</w:t>
            </w:r>
          </w:p>
        </w:tc>
        <w:tc>
          <w:tcPr>
            <w:tcW w:w="2385" w:type="dxa"/>
            <w:noWrap/>
            <w:vAlign w:val="center"/>
          </w:tcPr>
          <w:p w14:paraId="5BA32C21">
            <w:pPr>
              <w:spacing w:line="240" w:lineRule="auto"/>
              <w:ind w:firstLine="0" w:firstLineChars="0"/>
              <w:jc w:val="center"/>
              <w:rPr>
                <w:rFonts w:cs="Times New Roman"/>
                <w:sz w:val="21"/>
                <w:szCs w:val="21"/>
              </w:rPr>
            </w:pPr>
            <w:r>
              <w:rPr>
                <w:rFonts w:cs="Times New Roman"/>
                <w:sz w:val="21"/>
                <w:szCs w:val="21"/>
              </w:rPr>
              <w:t>百十里</w:t>
            </w:r>
          </w:p>
        </w:tc>
        <w:tc>
          <w:tcPr>
            <w:tcW w:w="1410" w:type="dxa"/>
            <w:noWrap/>
            <w:vAlign w:val="center"/>
          </w:tcPr>
          <w:p w14:paraId="1DE0CA3A">
            <w:pPr>
              <w:spacing w:line="240" w:lineRule="auto"/>
              <w:ind w:firstLine="0" w:firstLineChars="0"/>
              <w:jc w:val="center"/>
              <w:rPr>
                <w:rFonts w:cs="Times New Roman"/>
                <w:sz w:val="21"/>
                <w:szCs w:val="21"/>
              </w:rPr>
            </w:pPr>
            <w:r>
              <w:rPr>
                <w:rFonts w:cs="Times New Roman"/>
                <w:sz w:val="21"/>
                <w:szCs w:val="21"/>
              </w:rPr>
              <w:t>148</w:t>
            </w:r>
          </w:p>
        </w:tc>
        <w:tc>
          <w:tcPr>
            <w:tcW w:w="1819" w:type="dxa"/>
            <w:noWrap/>
            <w:vAlign w:val="center"/>
          </w:tcPr>
          <w:p w14:paraId="53BADD8C">
            <w:pPr>
              <w:spacing w:line="240" w:lineRule="auto"/>
              <w:ind w:firstLine="0" w:firstLineChars="0"/>
              <w:jc w:val="center"/>
              <w:rPr>
                <w:rFonts w:cs="Times New Roman"/>
                <w:sz w:val="21"/>
                <w:szCs w:val="21"/>
              </w:rPr>
            </w:pPr>
            <w:r>
              <w:rPr>
                <w:rFonts w:cs="Times New Roman"/>
                <w:sz w:val="21"/>
                <w:szCs w:val="21"/>
              </w:rPr>
              <w:t>其他一般</w:t>
            </w:r>
          </w:p>
        </w:tc>
      </w:tr>
      <w:tr w14:paraId="11540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14F4C93B">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DD8AA96">
            <w:pPr>
              <w:spacing w:line="240" w:lineRule="auto"/>
              <w:ind w:firstLine="0" w:firstLineChars="0"/>
              <w:jc w:val="center"/>
              <w:rPr>
                <w:rFonts w:cs="Times New Roman"/>
                <w:sz w:val="21"/>
                <w:szCs w:val="21"/>
              </w:rPr>
            </w:pPr>
            <w:r>
              <w:rPr>
                <w:rFonts w:cs="Times New Roman"/>
                <w:sz w:val="21"/>
                <w:szCs w:val="21"/>
              </w:rPr>
              <w:t>方麓村</w:t>
            </w:r>
          </w:p>
        </w:tc>
        <w:tc>
          <w:tcPr>
            <w:tcW w:w="2385" w:type="dxa"/>
            <w:noWrap/>
            <w:vAlign w:val="center"/>
          </w:tcPr>
          <w:p w14:paraId="4C150147">
            <w:pPr>
              <w:spacing w:line="240" w:lineRule="auto"/>
              <w:ind w:firstLine="0" w:firstLineChars="0"/>
              <w:jc w:val="center"/>
              <w:rPr>
                <w:rFonts w:cs="Times New Roman"/>
                <w:sz w:val="21"/>
                <w:szCs w:val="21"/>
              </w:rPr>
            </w:pPr>
            <w:r>
              <w:rPr>
                <w:rFonts w:cs="Times New Roman"/>
                <w:sz w:val="21"/>
                <w:szCs w:val="21"/>
              </w:rPr>
              <w:t>八里庙</w:t>
            </w:r>
          </w:p>
        </w:tc>
        <w:tc>
          <w:tcPr>
            <w:tcW w:w="1410" w:type="dxa"/>
            <w:noWrap/>
            <w:vAlign w:val="center"/>
          </w:tcPr>
          <w:p w14:paraId="5CDED0E4">
            <w:pPr>
              <w:spacing w:line="240" w:lineRule="auto"/>
              <w:ind w:firstLine="0" w:firstLineChars="0"/>
              <w:jc w:val="center"/>
              <w:rPr>
                <w:rFonts w:cs="Times New Roman"/>
                <w:sz w:val="21"/>
                <w:szCs w:val="21"/>
              </w:rPr>
            </w:pPr>
            <w:r>
              <w:rPr>
                <w:rFonts w:cs="Times New Roman"/>
                <w:sz w:val="21"/>
                <w:szCs w:val="21"/>
              </w:rPr>
              <w:t>149</w:t>
            </w:r>
          </w:p>
        </w:tc>
        <w:tc>
          <w:tcPr>
            <w:tcW w:w="1819" w:type="dxa"/>
            <w:noWrap/>
            <w:vAlign w:val="center"/>
          </w:tcPr>
          <w:p w14:paraId="6B009B55">
            <w:pPr>
              <w:spacing w:line="240" w:lineRule="auto"/>
              <w:ind w:firstLine="0" w:firstLineChars="0"/>
              <w:jc w:val="center"/>
              <w:rPr>
                <w:rFonts w:cs="Times New Roman"/>
                <w:sz w:val="21"/>
                <w:szCs w:val="21"/>
              </w:rPr>
            </w:pPr>
            <w:r>
              <w:rPr>
                <w:rFonts w:cs="Times New Roman"/>
                <w:sz w:val="21"/>
                <w:szCs w:val="21"/>
              </w:rPr>
              <w:t>其他一般</w:t>
            </w:r>
          </w:p>
        </w:tc>
      </w:tr>
      <w:tr w14:paraId="68368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01B567A">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3D17CDC">
            <w:pPr>
              <w:spacing w:line="240" w:lineRule="auto"/>
              <w:ind w:firstLine="0" w:firstLineChars="0"/>
              <w:jc w:val="center"/>
              <w:rPr>
                <w:rFonts w:cs="Times New Roman"/>
                <w:sz w:val="21"/>
                <w:szCs w:val="21"/>
              </w:rPr>
            </w:pPr>
            <w:r>
              <w:rPr>
                <w:rFonts w:cs="Times New Roman"/>
                <w:sz w:val="21"/>
                <w:szCs w:val="21"/>
              </w:rPr>
              <w:t>方麓村</w:t>
            </w:r>
          </w:p>
        </w:tc>
        <w:tc>
          <w:tcPr>
            <w:tcW w:w="2385" w:type="dxa"/>
            <w:noWrap/>
            <w:vAlign w:val="center"/>
          </w:tcPr>
          <w:p w14:paraId="66AFC508">
            <w:pPr>
              <w:spacing w:line="240" w:lineRule="auto"/>
              <w:ind w:firstLine="0" w:firstLineChars="0"/>
              <w:jc w:val="center"/>
              <w:rPr>
                <w:rFonts w:cs="Times New Roman"/>
                <w:sz w:val="21"/>
                <w:szCs w:val="21"/>
              </w:rPr>
            </w:pPr>
            <w:r>
              <w:rPr>
                <w:rFonts w:cs="Times New Roman"/>
                <w:sz w:val="21"/>
                <w:szCs w:val="21"/>
              </w:rPr>
              <w:t>唐家棚</w:t>
            </w:r>
          </w:p>
        </w:tc>
        <w:tc>
          <w:tcPr>
            <w:tcW w:w="1410" w:type="dxa"/>
            <w:noWrap/>
            <w:vAlign w:val="center"/>
          </w:tcPr>
          <w:p w14:paraId="0026BE32">
            <w:pPr>
              <w:spacing w:line="240" w:lineRule="auto"/>
              <w:ind w:firstLine="0" w:firstLineChars="0"/>
              <w:jc w:val="center"/>
              <w:rPr>
                <w:rFonts w:cs="Times New Roman"/>
                <w:sz w:val="21"/>
                <w:szCs w:val="21"/>
              </w:rPr>
            </w:pPr>
            <w:r>
              <w:rPr>
                <w:rFonts w:cs="Times New Roman"/>
                <w:sz w:val="21"/>
                <w:szCs w:val="21"/>
              </w:rPr>
              <w:t>166</w:t>
            </w:r>
          </w:p>
        </w:tc>
        <w:tc>
          <w:tcPr>
            <w:tcW w:w="1819" w:type="dxa"/>
            <w:noWrap/>
            <w:vAlign w:val="center"/>
          </w:tcPr>
          <w:p w14:paraId="695B220F">
            <w:pPr>
              <w:spacing w:line="240" w:lineRule="auto"/>
              <w:ind w:firstLine="0" w:firstLineChars="0"/>
              <w:jc w:val="center"/>
              <w:rPr>
                <w:rFonts w:cs="Times New Roman"/>
                <w:sz w:val="21"/>
                <w:szCs w:val="21"/>
              </w:rPr>
            </w:pPr>
            <w:r>
              <w:rPr>
                <w:rFonts w:cs="Times New Roman"/>
                <w:sz w:val="21"/>
                <w:szCs w:val="21"/>
              </w:rPr>
              <w:t>其他一般</w:t>
            </w:r>
          </w:p>
        </w:tc>
      </w:tr>
      <w:tr w14:paraId="175EC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0EAC3E85">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0E71E95">
            <w:pPr>
              <w:spacing w:line="240" w:lineRule="auto"/>
              <w:ind w:firstLine="0" w:firstLineChars="0"/>
              <w:jc w:val="center"/>
              <w:rPr>
                <w:rFonts w:cs="Times New Roman"/>
                <w:sz w:val="21"/>
                <w:szCs w:val="21"/>
              </w:rPr>
            </w:pPr>
            <w:r>
              <w:rPr>
                <w:rFonts w:cs="Times New Roman"/>
                <w:sz w:val="21"/>
                <w:szCs w:val="21"/>
              </w:rPr>
              <w:t>方麓村</w:t>
            </w:r>
          </w:p>
        </w:tc>
        <w:tc>
          <w:tcPr>
            <w:tcW w:w="2385" w:type="dxa"/>
            <w:noWrap/>
            <w:vAlign w:val="center"/>
          </w:tcPr>
          <w:p w14:paraId="3D8CD853">
            <w:pPr>
              <w:spacing w:line="240" w:lineRule="auto"/>
              <w:ind w:firstLine="0" w:firstLineChars="0"/>
              <w:jc w:val="center"/>
              <w:rPr>
                <w:rFonts w:cs="Times New Roman"/>
                <w:sz w:val="21"/>
                <w:szCs w:val="21"/>
              </w:rPr>
            </w:pPr>
            <w:r>
              <w:rPr>
                <w:rFonts w:cs="Times New Roman"/>
                <w:sz w:val="21"/>
                <w:szCs w:val="21"/>
              </w:rPr>
              <w:t>段家湾</w:t>
            </w:r>
          </w:p>
        </w:tc>
        <w:tc>
          <w:tcPr>
            <w:tcW w:w="1410" w:type="dxa"/>
            <w:noWrap/>
            <w:vAlign w:val="center"/>
          </w:tcPr>
          <w:p w14:paraId="5F53C9B5">
            <w:pPr>
              <w:spacing w:line="240" w:lineRule="auto"/>
              <w:ind w:firstLine="0" w:firstLineChars="0"/>
              <w:jc w:val="center"/>
              <w:rPr>
                <w:rFonts w:cs="Times New Roman"/>
                <w:sz w:val="21"/>
                <w:szCs w:val="21"/>
              </w:rPr>
            </w:pPr>
            <w:r>
              <w:rPr>
                <w:rFonts w:cs="Times New Roman"/>
                <w:sz w:val="21"/>
                <w:szCs w:val="21"/>
              </w:rPr>
              <w:t>199</w:t>
            </w:r>
          </w:p>
        </w:tc>
        <w:tc>
          <w:tcPr>
            <w:tcW w:w="1819" w:type="dxa"/>
            <w:noWrap/>
            <w:vAlign w:val="center"/>
          </w:tcPr>
          <w:p w14:paraId="2C6E1D17">
            <w:pPr>
              <w:spacing w:line="240" w:lineRule="auto"/>
              <w:ind w:firstLine="0" w:firstLineChars="0"/>
              <w:jc w:val="center"/>
              <w:rPr>
                <w:rFonts w:cs="Times New Roman"/>
                <w:sz w:val="21"/>
                <w:szCs w:val="21"/>
              </w:rPr>
            </w:pPr>
            <w:r>
              <w:rPr>
                <w:rFonts w:cs="Times New Roman"/>
                <w:sz w:val="21"/>
                <w:szCs w:val="21"/>
              </w:rPr>
              <w:t>其他一般</w:t>
            </w:r>
          </w:p>
        </w:tc>
      </w:tr>
      <w:tr w14:paraId="6A72E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A8203B8">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58D57718">
            <w:pPr>
              <w:spacing w:line="240" w:lineRule="auto"/>
              <w:ind w:firstLine="0" w:firstLineChars="0"/>
              <w:jc w:val="center"/>
              <w:rPr>
                <w:rFonts w:cs="Times New Roman"/>
                <w:sz w:val="21"/>
                <w:szCs w:val="21"/>
              </w:rPr>
            </w:pPr>
            <w:r>
              <w:rPr>
                <w:rFonts w:cs="Times New Roman"/>
                <w:sz w:val="21"/>
                <w:szCs w:val="21"/>
              </w:rPr>
              <w:t>方麓村</w:t>
            </w:r>
          </w:p>
        </w:tc>
        <w:tc>
          <w:tcPr>
            <w:tcW w:w="2385" w:type="dxa"/>
            <w:noWrap/>
            <w:vAlign w:val="center"/>
          </w:tcPr>
          <w:p w14:paraId="1046B7FA">
            <w:pPr>
              <w:spacing w:line="240" w:lineRule="auto"/>
              <w:ind w:firstLine="0" w:firstLineChars="0"/>
              <w:jc w:val="center"/>
              <w:rPr>
                <w:rFonts w:cs="Times New Roman"/>
                <w:sz w:val="21"/>
                <w:szCs w:val="21"/>
              </w:rPr>
            </w:pPr>
            <w:r>
              <w:rPr>
                <w:rFonts w:cs="Times New Roman"/>
                <w:sz w:val="21"/>
                <w:szCs w:val="21"/>
              </w:rPr>
              <w:t>太平庄</w:t>
            </w:r>
          </w:p>
        </w:tc>
        <w:tc>
          <w:tcPr>
            <w:tcW w:w="1410" w:type="dxa"/>
            <w:noWrap/>
            <w:vAlign w:val="center"/>
          </w:tcPr>
          <w:p w14:paraId="040CA6A6">
            <w:pPr>
              <w:spacing w:line="240" w:lineRule="auto"/>
              <w:ind w:firstLine="0" w:firstLineChars="0"/>
              <w:jc w:val="center"/>
              <w:rPr>
                <w:rFonts w:cs="Times New Roman"/>
                <w:sz w:val="21"/>
                <w:szCs w:val="21"/>
              </w:rPr>
            </w:pPr>
            <w:r>
              <w:rPr>
                <w:rFonts w:cs="Times New Roman"/>
                <w:sz w:val="21"/>
                <w:szCs w:val="21"/>
              </w:rPr>
              <w:t>239</w:t>
            </w:r>
          </w:p>
        </w:tc>
        <w:tc>
          <w:tcPr>
            <w:tcW w:w="1819" w:type="dxa"/>
            <w:noWrap/>
            <w:vAlign w:val="center"/>
          </w:tcPr>
          <w:p w14:paraId="7461E3F3">
            <w:pPr>
              <w:spacing w:line="240" w:lineRule="auto"/>
              <w:ind w:firstLine="0" w:firstLineChars="0"/>
              <w:jc w:val="center"/>
              <w:rPr>
                <w:rFonts w:cs="Times New Roman"/>
                <w:sz w:val="21"/>
                <w:szCs w:val="21"/>
              </w:rPr>
            </w:pPr>
            <w:r>
              <w:rPr>
                <w:rFonts w:cs="Times New Roman"/>
                <w:sz w:val="21"/>
                <w:szCs w:val="21"/>
              </w:rPr>
              <w:t>其他一般</w:t>
            </w:r>
          </w:p>
        </w:tc>
      </w:tr>
      <w:tr w14:paraId="3E17A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49179CF">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BFADA41">
            <w:pPr>
              <w:spacing w:line="240" w:lineRule="auto"/>
              <w:ind w:firstLine="0" w:firstLineChars="0"/>
              <w:jc w:val="center"/>
              <w:rPr>
                <w:rFonts w:cs="Times New Roman"/>
                <w:sz w:val="21"/>
                <w:szCs w:val="21"/>
              </w:rPr>
            </w:pPr>
            <w:r>
              <w:rPr>
                <w:rFonts w:cs="Times New Roman"/>
                <w:sz w:val="21"/>
                <w:szCs w:val="21"/>
              </w:rPr>
              <w:t>方麓村</w:t>
            </w:r>
          </w:p>
        </w:tc>
        <w:tc>
          <w:tcPr>
            <w:tcW w:w="2385" w:type="dxa"/>
            <w:noWrap/>
            <w:vAlign w:val="center"/>
          </w:tcPr>
          <w:p w14:paraId="1193EA93">
            <w:pPr>
              <w:spacing w:line="240" w:lineRule="auto"/>
              <w:ind w:firstLine="0" w:firstLineChars="0"/>
              <w:jc w:val="center"/>
              <w:rPr>
                <w:rFonts w:cs="Times New Roman"/>
                <w:sz w:val="21"/>
                <w:szCs w:val="21"/>
              </w:rPr>
            </w:pPr>
            <w:r>
              <w:rPr>
                <w:rFonts w:cs="Times New Roman"/>
                <w:sz w:val="21"/>
                <w:szCs w:val="21"/>
              </w:rPr>
              <w:t>陶家凹</w:t>
            </w:r>
          </w:p>
        </w:tc>
        <w:tc>
          <w:tcPr>
            <w:tcW w:w="1410" w:type="dxa"/>
            <w:noWrap/>
            <w:vAlign w:val="center"/>
          </w:tcPr>
          <w:p w14:paraId="729ABFB9">
            <w:pPr>
              <w:spacing w:line="240" w:lineRule="auto"/>
              <w:ind w:firstLine="0" w:firstLineChars="0"/>
              <w:jc w:val="center"/>
              <w:rPr>
                <w:rFonts w:cs="Times New Roman"/>
                <w:sz w:val="21"/>
                <w:szCs w:val="21"/>
              </w:rPr>
            </w:pPr>
            <w:r>
              <w:rPr>
                <w:rFonts w:cs="Times New Roman"/>
                <w:sz w:val="21"/>
                <w:szCs w:val="21"/>
              </w:rPr>
              <w:t>186</w:t>
            </w:r>
          </w:p>
        </w:tc>
        <w:tc>
          <w:tcPr>
            <w:tcW w:w="1819" w:type="dxa"/>
            <w:noWrap/>
            <w:vAlign w:val="center"/>
          </w:tcPr>
          <w:p w14:paraId="35BA107F">
            <w:pPr>
              <w:spacing w:line="240" w:lineRule="auto"/>
              <w:ind w:firstLine="0" w:firstLineChars="0"/>
              <w:jc w:val="center"/>
              <w:rPr>
                <w:rFonts w:cs="Times New Roman"/>
                <w:sz w:val="21"/>
                <w:szCs w:val="21"/>
              </w:rPr>
            </w:pPr>
            <w:r>
              <w:rPr>
                <w:rFonts w:cs="Times New Roman"/>
                <w:sz w:val="21"/>
                <w:szCs w:val="21"/>
              </w:rPr>
              <w:t>其他一般</w:t>
            </w:r>
          </w:p>
        </w:tc>
      </w:tr>
      <w:tr w14:paraId="17BC8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D899BB4">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327016A">
            <w:pPr>
              <w:spacing w:line="240" w:lineRule="auto"/>
              <w:ind w:firstLine="0" w:firstLineChars="0"/>
              <w:jc w:val="center"/>
              <w:rPr>
                <w:rFonts w:cs="Times New Roman"/>
                <w:sz w:val="21"/>
                <w:szCs w:val="21"/>
              </w:rPr>
            </w:pPr>
            <w:r>
              <w:rPr>
                <w:rFonts w:cs="Times New Roman"/>
                <w:sz w:val="21"/>
                <w:szCs w:val="21"/>
              </w:rPr>
              <w:t>方麓村</w:t>
            </w:r>
          </w:p>
        </w:tc>
        <w:tc>
          <w:tcPr>
            <w:tcW w:w="2385" w:type="dxa"/>
            <w:noWrap/>
            <w:vAlign w:val="center"/>
          </w:tcPr>
          <w:p w14:paraId="5A6DFBC0">
            <w:pPr>
              <w:spacing w:line="240" w:lineRule="auto"/>
              <w:ind w:firstLine="0" w:firstLineChars="0"/>
              <w:jc w:val="center"/>
              <w:rPr>
                <w:rFonts w:cs="Times New Roman"/>
                <w:sz w:val="21"/>
                <w:szCs w:val="21"/>
              </w:rPr>
            </w:pPr>
            <w:r>
              <w:rPr>
                <w:rFonts w:cs="Times New Roman"/>
                <w:sz w:val="21"/>
                <w:szCs w:val="21"/>
              </w:rPr>
              <w:t>老鸭墩</w:t>
            </w:r>
          </w:p>
        </w:tc>
        <w:tc>
          <w:tcPr>
            <w:tcW w:w="1410" w:type="dxa"/>
            <w:noWrap/>
            <w:vAlign w:val="center"/>
          </w:tcPr>
          <w:p w14:paraId="485FD016">
            <w:pPr>
              <w:spacing w:line="240" w:lineRule="auto"/>
              <w:ind w:firstLine="0" w:firstLineChars="0"/>
              <w:jc w:val="center"/>
              <w:rPr>
                <w:rFonts w:cs="Times New Roman"/>
                <w:sz w:val="21"/>
                <w:szCs w:val="21"/>
              </w:rPr>
            </w:pPr>
            <w:r>
              <w:rPr>
                <w:rFonts w:cs="Times New Roman"/>
                <w:sz w:val="21"/>
                <w:szCs w:val="21"/>
              </w:rPr>
              <w:t>209</w:t>
            </w:r>
          </w:p>
        </w:tc>
        <w:tc>
          <w:tcPr>
            <w:tcW w:w="1819" w:type="dxa"/>
            <w:noWrap/>
            <w:vAlign w:val="center"/>
          </w:tcPr>
          <w:p w14:paraId="1EBEC5F1">
            <w:pPr>
              <w:spacing w:line="240" w:lineRule="auto"/>
              <w:ind w:firstLine="0" w:firstLineChars="0"/>
              <w:jc w:val="center"/>
              <w:rPr>
                <w:rFonts w:cs="Times New Roman"/>
                <w:sz w:val="21"/>
                <w:szCs w:val="21"/>
              </w:rPr>
            </w:pPr>
            <w:r>
              <w:rPr>
                <w:rFonts w:cs="Times New Roman"/>
                <w:sz w:val="21"/>
                <w:szCs w:val="21"/>
              </w:rPr>
              <w:t>其他一般</w:t>
            </w:r>
          </w:p>
        </w:tc>
      </w:tr>
      <w:tr w14:paraId="4B5C0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5DD809B">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D9B8C5C">
            <w:pPr>
              <w:spacing w:line="240" w:lineRule="auto"/>
              <w:ind w:firstLine="0" w:firstLineChars="0"/>
              <w:jc w:val="center"/>
              <w:rPr>
                <w:rFonts w:cs="Times New Roman"/>
                <w:sz w:val="21"/>
                <w:szCs w:val="21"/>
              </w:rPr>
            </w:pPr>
            <w:r>
              <w:rPr>
                <w:rFonts w:cs="Times New Roman"/>
                <w:sz w:val="21"/>
                <w:szCs w:val="21"/>
              </w:rPr>
              <w:t>方麓村</w:t>
            </w:r>
          </w:p>
        </w:tc>
        <w:tc>
          <w:tcPr>
            <w:tcW w:w="2385" w:type="dxa"/>
            <w:noWrap/>
            <w:vAlign w:val="center"/>
          </w:tcPr>
          <w:p w14:paraId="236454EE">
            <w:pPr>
              <w:spacing w:line="240" w:lineRule="auto"/>
              <w:ind w:firstLine="0" w:firstLineChars="0"/>
              <w:jc w:val="center"/>
              <w:rPr>
                <w:rFonts w:cs="Times New Roman"/>
                <w:sz w:val="21"/>
                <w:szCs w:val="21"/>
              </w:rPr>
            </w:pPr>
            <w:r>
              <w:rPr>
                <w:rFonts w:cs="Times New Roman"/>
                <w:sz w:val="21"/>
                <w:szCs w:val="21"/>
              </w:rPr>
              <w:t>南涧滩</w:t>
            </w:r>
          </w:p>
        </w:tc>
        <w:tc>
          <w:tcPr>
            <w:tcW w:w="1410" w:type="dxa"/>
            <w:noWrap/>
            <w:vAlign w:val="center"/>
          </w:tcPr>
          <w:p w14:paraId="5B1AE814">
            <w:pPr>
              <w:spacing w:line="240" w:lineRule="auto"/>
              <w:ind w:firstLine="0" w:firstLineChars="0"/>
              <w:jc w:val="center"/>
              <w:rPr>
                <w:rFonts w:cs="Times New Roman"/>
                <w:sz w:val="21"/>
                <w:szCs w:val="21"/>
              </w:rPr>
            </w:pPr>
            <w:r>
              <w:rPr>
                <w:rFonts w:cs="Times New Roman"/>
                <w:sz w:val="21"/>
                <w:szCs w:val="21"/>
              </w:rPr>
              <w:t>157</w:t>
            </w:r>
          </w:p>
        </w:tc>
        <w:tc>
          <w:tcPr>
            <w:tcW w:w="1819" w:type="dxa"/>
            <w:noWrap/>
            <w:vAlign w:val="center"/>
          </w:tcPr>
          <w:p w14:paraId="32463B41">
            <w:pPr>
              <w:spacing w:line="240" w:lineRule="auto"/>
              <w:ind w:firstLine="0" w:firstLineChars="0"/>
              <w:jc w:val="center"/>
              <w:rPr>
                <w:rFonts w:cs="Times New Roman"/>
                <w:sz w:val="21"/>
                <w:szCs w:val="21"/>
              </w:rPr>
            </w:pPr>
            <w:r>
              <w:rPr>
                <w:rFonts w:cs="Times New Roman"/>
                <w:sz w:val="21"/>
                <w:szCs w:val="21"/>
              </w:rPr>
              <w:t>其他一般</w:t>
            </w:r>
          </w:p>
        </w:tc>
      </w:tr>
      <w:tr w14:paraId="52C6F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578D5EB">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27B34FE5">
            <w:pPr>
              <w:spacing w:line="240" w:lineRule="auto"/>
              <w:ind w:firstLine="0" w:firstLineChars="0"/>
              <w:jc w:val="center"/>
              <w:rPr>
                <w:rFonts w:cs="Times New Roman"/>
                <w:sz w:val="21"/>
                <w:szCs w:val="21"/>
              </w:rPr>
            </w:pPr>
            <w:r>
              <w:rPr>
                <w:rFonts w:cs="Times New Roman"/>
                <w:sz w:val="21"/>
                <w:szCs w:val="21"/>
              </w:rPr>
              <w:t>方麓茶场</w:t>
            </w:r>
          </w:p>
        </w:tc>
        <w:tc>
          <w:tcPr>
            <w:tcW w:w="2385" w:type="dxa"/>
            <w:noWrap/>
            <w:vAlign w:val="center"/>
          </w:tcPr>
          <w:p w14:paraId="250CCE86">
            <w:pPr>
              <w:spacing w:line="240" w:lineRule="auto"/>
              <w:ind w:firstLine="0" w:firstLineChars="0"/>
              <w:jc w:val="center"/>
              <w:rPr>
                <w:rFonts w:cs="Times New Roman"/>
                <w:sz w:val="21"/>
                <w:szCs w:val="21"/>
              </w:rPr>
            </w:pPr>
            <w:r>
              <w:rPr>
                <w:rFonts w:cs="Times New Roman"/>
                <w:sz w:val="21"/>
                <w:szCs w:val="21"/>
              </w:rPr>
              <w:t>方麓茶场六工区</w:t>
            </w:r>
          </w:p>
        </w:tc>
        <w:tc>
          <w:tcPr>
            <w:tcW w:w="1410" w:type="dxa"/>
            <w:noWrap/>
            <w:vAlign w:val="center"/>
          </w:tcPr>
          <w:p w14:paraId="775BA558">
            <w:pPr>
              <w:spacing w:line="240" w:lineRule="auto"/>
              <w:ind w:firstLine="0" w:firstLineChars="0"/>
              <w:jc w:val="center"/>
              <w:rPr>
                <w:rFonts w:cs="Times New Roman"/>
                <w:sz w:val="21"/>
                <w:szCs w:val="21"/>
              </w:rPr>
            </w:pPr>
            <w:r>
              <w:rPr>
                <w:rFonts w:cs="Times New Roman"/>
                <w:sz w:val="21"/>
                <w:szCs w:val="21"/>
              </w:rPr>
              <w:t>20</w:t>
            </w:r>
          </w:p>
        </w:tc>
        <w:tc>
          <w:tcPr>
            <w:tcW w:w="1819" w:type="dxa"/>
            <w:noWrap/>
            <w:vAlign w:val="center"/>
          </w:tcPr>
          <w:p w14:paraId="11E329CA">
            <w:pPr>
              <w:spacing w:line="240" w:lineRule="auto"/>
              <w:ind w:firstLine="0" w:firstLineChars="0"/>
              <w:jc w:val="center"/>
              <w:rPr>
                <w:rFonts w:cs="Times New Roman"/>
                <w:sz w:val="21"/>
                <w:szCs w:val="21"/>
              </w:rPr>
            </w:pPr>
            <w:r>
              <w:rPr>
                <w:rFonts w:cs="Times New Roman"/>
                <w:sz w:val="21"/>
                <w:szCs w:val="21"/>
              </w:rPr>
              <w:t>搬迁撤并</w:t>
            </w:r>
          </w:p>
        </w:tc>
      </w:tr>
      <w:tr w14:paraId="39058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36226597">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60A01C8F">
            <w:pPr>
              <w:spacing w:line="240" w:lineRule="auto"/>
              <w:ind w:firstLine="0" w:firstLineChars="0"/>
              <w:jc w:val="center"/>
              <w:rPr>
                <w:rFonts w:cs="Times New Roman"/>
                <w:sz w:val="21"/>
                <w:szCs w:val="21"/>
              </w:rPr>
            </w:pPr>
            <w:r>
              <w:rPr>
                <w:rFonts w:cs="Times New Roman"/>
                <w:sz w:val="21"/>
                <w:szCs w:val="21"/>
              </w:rPr>
              <w:t>方麓茶场</w:t>
            </w:r>
          </w:p>
        </w:tc>
        <w:tc>
          <w:tcPr>
            <w:tcW w:w="2385" w:type="dxa"/>
            <w:noWrap/>
            <w:vAlign w:val="center"/>
          </w:tcPr>
          <w:p w14:paraId="79747775">
            <w:pPr>
              <w:spacing w:line="240" w:lineRule="auto"/>
              <w:ind w:firstLine="0" w:firstLineChars="0"/>
              <w:jc w:val="center"/>
              <w:rPr>
                <w:rFonts w:cs="Times New Roman"/>
                <w:sz w:val="21"/>
                <w:szCs w:val="21"/>
              </w:rPr>
            </w:pPr>
            <w:r>
              <w:rPr>
                <w:rFonts w:cs="Times New Roman"/>
                <w:sz w:val="21"/>
                <w:szCs w:val="21"/>
              </w:rPr>
              <w:t>方麓茶场五工区</w:t>
            </w:r>
          </w:p>
        </w:tc>
        <w:tc>
          <w:tcPr>
            <w:tcW w:w="1410" w:type="dxa"/>
            <w:noWrap/>
            <w:vAlign w:val="center"/>
          </w:tcPr>
          <w:p w14:paraId="0417B7B9">
            <w:pPr>
              <w:spacing w:line="240" w:lineRule="auto"/>
              <w:ind w:firstLine="0" w:firstLineChars="0"/>
              <w:jc w:val="center"/>
              <w:rPr>
                <w:rFonts w:cs="Times New Roman"/>
                <w:sz w:val="21"/>
                <w:szCs w:val="21"/>
              </w:rPr>
            </w:pPr>
            <w:r>
              <w:rPr>
                <w:rFonts w:cs="Times New Roman"/>
                <w:sz w:val="21"/>
                <w:szCs w:val="21"/>
              </w:rPr>
              <w:t>319</w:t>
            </w:r>
          </w:p>
        </w:tc>
        <w:tc>
          <w:tcPr>
            <w:tcW w:w="1819" w:type="dxa"/>
            <w:noWrap/>
            <w:vAlign w:val="center"/>
          </w:tcPr>
          <w:p w14:paraId="1CEFDD32">
            <w:pPr>
              <w:spacing w:line="240" w:lineRule="auto"/>
              <w:ind w:firstLine="0" w:firstLineChars="0"/>
              <w:jc w:val="center"/>
              <w:rPr>
                <w:rFonts w:cs="Times New Roman"/>
                <w:sz w:val="21"/>
                <w:szCs w:val="21"/>
              </w:rPr>
            </w:pPr>
            <w:r>
              <w:rPr>
                <w:rFonts w:cs="Times New Roman"/>
                <w:sz w:val="21"/>
                <w:szCs w:val="21"/>
              </w:rPr>
              <w:t>其他一般</w:t>
            </w:r>
          </w:p>
        </w:tc>
      </w:tr>
      <w:tr w14:paraId="140A9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244CBF96">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2F5E9DA2">
            <w:pPr>
              <w:spacing w:line="240" w:lineRule="auto"/>
              <w:ind w:firstLine="0" w:firstLineChars="0"/>
              <w:jc w:val="center"/>
              <w:rPr>
                <w:rFonts w:cs="Times New Roman"/>
                <w:sz w:val="21"/>
                <w:szCs w:val="21"/>
              </w:rPr>
            </w:pPr>
            <w:r>
              <w:rPr>
                <w:rFonts w:cs="Times New Roman"/>
                <w:sz w:val="21"/>
                <w:szCs w:val="21"/>
              </w:rPr>
              <w:t>方麓茶场</w:t>
            </w:r>
          </w:p>
        </w:tc>
        <w:tc>
          <w:tcPr>
            <w:tcW w:w="2385" w:type="dxa"/>
            <w:noWrap/>
            <w:vAlign w:val="center"/>
          </w:tcPr>
          <w:p w14:paraId="5BD215E8">
            <w:pPr>
              <w:spacing w:line="240" w:lineRule="auto"/>
              <w:ind w:firstLine="0" w:firstLineChars="0"/>
              <w:jc w:val="center"/>
              <w:rPr>
                <w:rFonts w:cs="Times New Roman"/>
                <w:sz w:val="21"/>
                <w:szCs w:val="21"/>
              </w:rPr>
            </w:pPr>
            <w:r>
              <w:rPr>
                <w:rFonts w:cs="Times New Roman"/>
                <w:sz w:val="21"/>
                <w:szCs w:val="21"/>
              </w:rPr>
              <w:t>方麓茶场三工区</w:t>
            </w:r>
          </w:p>
        </w:tc>
        <w:tc>
          <w:tcPr>
            <w:tcW w:w="1410" w:type="dxa"/>
            <w:noWrap/>
            <w:vAlign w:val="center"/>
          </w:tcPr>
          <w:p w14:paraId="259F5F1E">
            <w:pPr>
              <w:spacing w:line="240" w:lineRule="auto"/>
              <w:ind w:firstLine="0" w:firstLineChars="0"/>
              <w:jc w:val="center"/>
              <w:rPr>
                <w:rFonts w:cs="Times New Roman"/>
                <w:sz w:val="21"/>
                <w:szCs w:val="21"/>
              </w:rPr>
            </w:pPr>
            <w:r>
              <w:rPr>
                <w:rFonts w:cs="Times New Roman"/>
                <w:sz w:val="21"/>
                <w:szCs w:val="21"/>
              </w:rPr>
              <w:t>17</w:t>
            </w:r>
          </w:p>
        </w:tc>
        <w:tc>
          <w:tcPr>
            <w:tcW w:w="1819" w:type="dxa"/>
            <w:noWrap/>
            <w:vAlign w:val="center"/>
          </w:tcPr>
          <w:p w14:paraId="6E10C2B5">
            <w:pPr>
              <w:spacing w:line="240" w:lineRule="auto"/>
              <w:ind w:firstLine="0" w:firstLineChars="0"/>
              <w:jc w:val="center"/>
              <w:rPr>
                <w:rFonts w:cs="Times New Roman"/>
                <w:sz w:val="21"/>
                <w:szCs w:val="21"/>
              </w:rPr>
            </w:pPr>
            <w:r>
              <w:rPr>
                <w:rFonts w:cs="Times New Roman"/>
                <w:sz w:val="21"/>
                <w:szCs w:val="21"/>
              </w:rPr>
              <w:t>搬迁撤并</w:t>
            </w:r>
          </w:p>
        </w:tc>
      </w:tr>
      <w:tr w14:paraId="50C68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767075C9">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53638A91">
            <w:pPr>
              <w:spacing w:line="240" w:lineRule="auto"/>
              <w:ind w:firstLine="0" w:firstLineChars="0"/>
              <w:jc w:val="center"/>
              <w:rPr>
                <w:rFonts w:cs="Times New Roman"/>
                <w:sz w:val="21"/>
                <w:szCs w:val="21"/>
              </w:rPr>
            </w:pPr>
            <w:r>
              <w:rPr>
                <w:rFonts w:cs="Times New Roman"/>
                <w:sz w:val="21"/>
                <w:szCs w:val="21"/>
              </w:rPr>
              <w:t>方麓茶场</w:t>
            </w:r>
          </w:p>
        </w:tc>
        <w:tc>
          <w:tcPr>
            <w:tcW w:w="2385" w:type="dxa"/>
            <w:noWrap/>
            <w:vAlign w:val="center"/>
          </w:tcPr>
          <w:p w14:paraId="2CC7C1E8">
            <w:pPr>
              <w:spacing w:line="240" w:lineRule="auto"/>
              <w:ind w:firstLine="0" w:firstLineChars="0"/>
              <w:jc w:val="center"/>
              <w:rPr>
                <w:rFonts w:cs="Times New Roman"/>
                <w:sz w:val="21"/>
                <w:szCs w:val="21"/>
              </w:rPr>
            </w:pPr>
            <w:r>
              <w:rPr>
                <w:rFonts w:cs="Times New Roman"/>
                <w:sz w:val="21"/>
                <w:szCs w:val="21"/>
              </w:rPr>
              <w:t>方麓茶场一工区</w:t>
            </w:r>
          </w:p>
        </w:tc>
        <w:tc>
          <w:tcPr>
            <w:tcW w:w="1410" w:type="dxa"/>
            <w:noWrap/>
            <w:vAlign w:val="center"/>
          </w:tcPr>
          <w:p w14:paraId="0666A3F9">
            <w:pPr>
              <w:spacing w:line="240" w:lineRule="auto"/>
              <w:ind w:firstLine="0" w:firstLineChars="0"/>
              <w:jc w:val="center"/>
              <w:rPr>
                <w:rFonts w:cs="Times New Roman"/>
                <w:sz w:val="21"/>
                <w:szCs w:val="21"/>
              </w:rPr>
            </w:pPr>
            <w:r>
              <w:rPr>
                <w:rFonts w:cs="Times New Roman"/>
                <w:sz w:val="21"/>
                <w:szCs w:val="21"/>
              </w:rPr>
              <w:t>186</w:t>
            </w:r>
          </w:p>
        </w:tc>
        <w:tc>
          <w:tcPr>
            <w:tcW w:w="1819" w:type="dxa"/>
            <w:noWrap/>
            <w:vAlign w:val="center"/>
          </w:tcPr>
          <w:p w14:paraId="2AAD2DE6">
            <w:pPr>
              <w:spacing w:line="240" w:lineRule="auto"/>
              <w:ind w:firstLine="0" w:firstLineChars="0"/>
              <w:jc w:val="center"/>
              <w:rPr>
                <w:rFonts w:cs="Times New Roman"/>
                <w:sz w:val="21"/>
                <w:szCs w:val="21"/>
              </w:rPr>
            </w:pPr>
            <w:r>
              <w:rPr>
                <w:rFonts w:cs="Times New Roman"/>
                <w:sz w:val="21"/>
                <w:szCs w:val="21"/>
              </w:rPr>
              <w:t>其他一般</w:t>
            </w:r>
          </w:p>
        </w:tc>
      </w:tr>
      <w:tr w14:paraId="0FC6D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6BCF4C8C">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AB896FE">
            <w:pPr>
              <w:spacing w:line="240" w:lineRule="auto"/>
              <w:ind w:firstLine="0" w:firstLineChars="0"/>
              <w:jc w:val="center"/>
              <w:rPr>
                <w:rFonts w:cs="Times New Roman"/>
                <w:sz w:val="21"/>
                <w:szCs w:val="21"/>
              </w:rPr>
            </w:pPr>
            <w:r>
              <w:rPr>
                <w:rFonts w:cs="Times New Roman"/>
                <w:sz w:val="21"/>
                <w:szCs w:val="21"/>
              </w:rPr>
              <w:t>方麓茶场</w:t>
            </w:r>
          </w:p>
        </w:tc>
        <w:tc>
          <w:tcPr>
            <w:tcW w:w="2385" w:type="dxa"/>
            <w:noWrap/>
            <w:vAlign w:val="center"/>
          </w:tcPr>
          <w:p w14:paraId="668532C3">
            <w:pPr>
              <w:spacing w:line="240" w:lineRule="auto"/>
              <w:ind w:firstLine="0" w:firstLineChars="0"/>
              <w:jc w:val="center"/>
              <w:rPr>
                <w:rFonts w:cs="Times New Roman"/>
                <w:sz w:val="21"/>
                <w:szCs w:val="21"/>
              </w:rPr>
            </w:pPr>
            <w:r>
              <w:rPr>
                <w:rFonts w:cs="Times New Roman"/>
                <w:sz w:val="21"/>
                <w:szCs w:val="21"/>
              </w:rPr>
              <w:t>方麓茶场二工区</w:t>
            </w:r>
          </w:p>
        </w:tc>
        <w:tc>
          <w:tcPr>
            <w:tcW w:w="1410" w:type="dxa"/>
            <w:noWrap/>
            <w:vAlign w:val="center"/>
          </w:tcPr>
          <w:p w14:paraId="1EF94E4A">
            <w:pPr>
              <w:spacing w:line="240" w:lineRule="auto"/>
              <w:ind w:firstLine="0" w:firstLineChars="0"/>
              <w:jc w:val="center"/>
              <w:rPr>
                <w:rFonts w:cs="Times New Roman"/>
                <w:sz w:val="21"/>
                <w:szCs w:val="21"/>
              </w:rPr>
            </w:pPr>
            <w:r>
              <w:rPr>
                <w:rFonts w:cs="Times New Roman"/>
                <w:sz w:val="21"/>
                <w:szCs w:val="21"/>
              </w:rPr>
              <w:t>77</w:t>
            </w:r>
          </w:p>
        </w:tc>
        <w:tc>
          <w:tcPr>
            <w:tcW w:w="1819" w:type="dxa"/>
            <w:noWrap/>
            <w:vAlign w:val="center"/>
          </w:tcPr>
          <w:p w14:paraId="5D3D327D">
            <w:pPr>
              <w:spacing w:line="240" w:lineRule="auto"/>
              <w:ind w:firstLine="0" w:firstLineChars="0"/>
              <w:jc w:val="center"/>
              <w:rPr>
                <w:rFonts w:cs="Times New Roman"/>
                <w:sz w:val="21"/>
                <w:szCs w:val="21"/>
              </w:rPr>
            </w:pPr>
            <w:r>
              <w:rPr>
                <w:rFonts w:cs="Times New Roman"/>
                <w:sz w:val="21"/>
                <w:szCs w:val="21"/>
              </w:rPr>
              <w:t>搬迁撤并</w:t>
            </w:r>
          </w:p>
        </w:tc>
      </w:tr>
      <w:tr w14:paraId="3BC1B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5AEAFAA6">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39E8E78">
            <w:pPr>
              <w:spacing w:line="240" w:lineRule="auto"/>
              <w:ind w:firstLine="0" w:firstLineChars="0"/>
              <w:jc w:val="center"/>
              <w:rPr>
                <w:rFonts w:cs="Times New Roman"/>
                <w:sz w:val="21"/>
                <w:szCs w:val="21"/>
              </w:rPr>
            </w:pPr>
            <w:r>
              <w:rPr>
                <w:rFonts w:cs="Times New Roman"/>
                <w:sz w:val="21"/>
                <w:szCs w:val="21"/>
              </w:rPr>
              <w:t>东进村</w:t>
            </w:r>
          </w:p>
        </w:tc>
        <w:tc>
          <w:tcPr>
            <w:tcW w:w="2385" w:type="dxa"/>
            <w:noWrap/>
            <w:vAlign w:val="center"/>
          </w:tcPr>
          <w:p w14:paraId="74CC551A">
            <w:pPr>
              <w:spacing w:line="240" w:lineRule="auto"/>
              <w:ind w:firstLine="0" w:firstLineChars="0"/>
              <w:jc w:val="center"/>
              <w:rPr>
                <w:rFonts w:cs="Times New Roman"/>
                <w:sz w:val="21"/>
                <w:szCs w:val="21"/>
              </w:rPr>
            </w:pPr>
            <w:r>
              <w:rPr>
                <w:rFonts w:cs="Times New Roman"/>
                <w:sz w:val="21"/>
                <w:szCs w:val="21"/>
              </w:rPr>
              <w:t>桃园</w:t>
            </w:r>
          </w:p>
        </w:tc>
        <w:tc>
          <w:tcPr>
            <w:tcW w:w="1410" w:type="dxa"/>
            <w:noWrap/>
            <w:vAlign w:val="center"/>
          </w:tcPr>
          <w:p w14:paraId="5DE9B989">
            <w:pPr>
              <w:spacing w:line="240" w:lineRule="auto"/>
              <w:ind w:firstLine="0" w:firstLineChars="0"/>
              <w:jc w:val="center"/>
              <w:rPr>
                <w:rFonts w:cs="Times New Roman"/>
                <w:sz w:val="21"/>
                <w:szCs w:val="21"/>
              </w:rPr>
            </w:pPr>
            <w:r>
              <w:rPr>
                <w:rFonts w:cs="Times New Roman"/>
                <w:sz w:val="21"/>
                <w:szCs w:val="21"/>
              </w:rPr>
              <w:t>242</w:t>
            </w:r>
          </w:p>
        </w:tc>
        <w:tc>
          <w:tcPr>
            <w:tcW w:w="1819" w:type="dxa"/>
            <w:noWrap/>
            <w:vAlign w:val="center"/>
          </w:tcPr>
          <w:p w14:paraId="6A7F969B">
            <w:pPr>
              <w:spacing w:line="240" w:lineRule="auto"/>
              <w:ind w:firstLine="0" w:firstLineChars="0"/>
              <w:jc w:val="center"/>
              <w:rPr>
                <w:rFonts w:cs="Times New Roman"/>
                <w:sz w:val="21"/>
                <w:szCs w:val="21"/>
              </w:rPr>
            </w:pPr>
            <w:r>
              <w:rPr>
                <w:rFonts w:cs="Times New Roman"/>
                <w:sz w:val="21"/>
                <w:szCs w:val="21"/>
              </w:rPr>
              <w:t>集聚提升</w:t>
            </w:r>
          </w:p>
        </w:tc>
      </w:tr>
      <w:tr w14:paraId="3FE1A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1096F95D">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0AE90CA7">
            <w:pPr>
              <w:spacing w:line="240" w:lineRule="auto"/>
              <w:ind w:firstLine="0" w:firstLineChars="0"/>
              <w:jc w:val="center"/>
              <w:rPr>
                <w:rFonts w:cs="Times New Roman"/>
                <w:sz w:val="21"/>
                <w:szCs w:val="21"/>
              </w:rPr>
            </w:pPr>
            <w:r>
              <w:rPr>
                <w:rFonts w:cs="Times New Roman"/>
                <w:sz w:val="21"/>
                <w:szCs w:val="21"/>
              </w:rPr>
              <w:t>东进村</w:t>
            </w:r>
          </w:p>
        </w:tc>
        <w:tc>
          <w:tcPr>
            <w:tcW w:w="2385" w:type="dxa"/>
            <w:noWrap/>
            <w:vAlign w:val="center"/>
          </w:tcPr>
          <w:p w14:paraId="2997080F">
            <w:pPr>
              <w:spacing w:line="240" w:lineRule="auto"/>
              <w:ind w:firstLine="0" w:firstLineChars="0"/>
              <w:jc w:val="center"/>
              <w:rPr>
                <w:rFonts w:cs="Times New Roman"/>
                <w:sz w:val="21"/>
                <w:szCs w:val="21"/>
              </w:rPr>
            </w:pPr>
            <w:r>
              <w:rPr>
                <w:rFonts w:cs="Times New Roman"/>
                <w:sz w:val="21"/>
                <w:szCs w:val="21"/>
              </w:rPr>
              <w:t>金牛洞</w:t>
            </w:r>
          </w:p>
        </w:tc>
        <w:tc>
          <w:tcPr>
            <w:tcW w:w="1410" w:type="dxa"/>
            <w:noWrap/>
            <w:vAlign w:val="center"/>
          </w:tcPr>
          <w:p w14:paraId="221CF36E">
            <w:pPr>
              <w:spacing w:line="240" w:lineRule="auto"/>
              <w:ind w:firstLine="0" w:firstLineChars="0"/>
              <w:jc w:val="center"/>
              <w:rPr>
                <w:rFonts w:cs="Times New Roman"/>
                <w:sz w:val="21"/>
                <w:szCs w:val="21"/>
              </w:rPr>
            </w:pPr>
            <w:r>
              <w:rPr>
                <w:rFonts w:cs="Times New Roman"/>
                <w:sz w:val="21"/>
                <w:szCs w:val="21"/>
              </w:rPr>
              <w:t>26</w:t>
            </w:r>
            <w:r>
              <w:rPr>
                <w:rFonts w:hint="eastAsia" w:cs="Times New Roman"/>
                <w:sz w:val="21"/>
                <w:szCs w:val="21"/>
              </w:rPr>
              <w:t>1</w:t>
            </w:r>
          </w:p>
        </w:tc>
        <w:tc>
          <w:tcPr>
            <w:tcW w:w="1819" w:type="dxa"/>
            <w:noWrap/>
            <w:vAlign w:val="center"/>
          </w:tcPr>
          <w:p w14:paraId="4BB37D7B">
            <w:pPr>
              <w:spacing w:line="240" w:lineRule="auto"/>
              <w:ind w:firstLine="0" w:firstLineChars="0"/>
              <w:jc w:val="center"/>
              <w:rPr>
                <w:rFonts w:cs="Times New Roman"/>
                <w:sz w:val="21"/>
                <w:szCs w:val="21"/>
              </w:rPr>
            </w:pPr>
            <w:r>
              <w:rPr>
                <w:rFonts w:cs="Times New Roman"/>
                <w:sz w:val="21"/>
                <w:szCs w:val="21"/>
              </w:rPr>
              <w:t>其他一般</w:t>
            </w:r>
          </w:p>
        </w:tc>
      </w:tr>
      <w:tr w14:paraId="28F6F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86" w:type="dxa"/>
            <w:noWrap/>
            <w:vAlign w:val="center"/>
          </w:tcPr>
          <w:p w14:paraId="4F981C88">
            <w:pPr>
              <w:spacing w:line="240" w:lineRule="auto"/>
              <w:ind w:firstLine="0" w:firstLineChars="0"/>
              <w:jc w:val="center"/>
              <w:rPr>
                <w:rFonts w:cs="Times New Roman"/>
                <w:sz w:val="21"/>
                <w:szCs w:val="21"/>
              </w:rPr>
            </w:pPr>
            <w:r>
              <w:rPr>
                <w:rFonts w:cs="Times New Roman"/>
                <w:sz w:val="21"/>
                <w:szCs w:val="21"/>
              </w:rPr>
              <w:t>薛埠镇</w:t>
            </w:r>
          </w:p>
        </w:tc>
        <w:tc>
          <w:tcPr>
            <w:tcW w:w="1530" w:type="dxa"/>
            <w:noWrap/>
            <w:vAlign w:val="center"/>
          </w:tcPr>
          <w:p w14:paraId="198B7EDA">
            <w:pPr>
              <w:spacing w:line="240" w:lineRule="auto"/>
              <w:ind w:firstLine="0" w:firstLineChars="0"/>
              <w:jc w:val="center"/>
              <w:rPr>
                <w:rFonts w:cs="Times New Roman"/>
                <w:sz w:val="21"/>
                <w:szCs w:val="21"/>
              </w:rPr>
            </w:pPr>
            <w:r>
              <w:rPr>
                <w:rFonts w:cs="Times New Roman"/>
                <w:sz w:val="21"/>
                <w:szCs w:val="21"/>
              </w:rPr>
              <w:t>东进村</w:t>
            </w:r>
          </w:p>
        </w:tc>
        <w:tc>
          <w:tcPr>
            <w:tcW w:w="2385" w:type="dxa"/>
            <w:noWrap/>
            <w:vAlign w:val="center"/>
          </w:tcPr>
          <w:p w14:paraId="178E24D3">
            <w:pPr>
              <w:spacing w:line="240" w:lineRule="auto"/>
              <w:ind w:firstLine="0" w:firstLineChars="0"/>
              <w:jc w:val="center"/>
              <w:rPr>
                <w:rFonts w:cs="Times New Roman"/>
                <w:sz w:val="21"/>
                <w:szCs w:val="21"/>
              </w:rPr>
            </w:pPr>
            <w:r>
              <w:rPr>
                <w:rFonts w:cs="Times New Roman"/>
                <w:sz w:val="21"/>
                <w:szCs w:val="21"/>
              </w:rPr>
              <w:t>石龙</w:t>
            </w:r>
          </w:p>
        </w:tc>
        <w:tc>
          <w:tcPr>
            <w:tcW w:w="1410" w:type="dxa"/>
            <w:noWrap/>
            <w:vAlign w:val="center"/>
          </w:tcPr>
          <w:p w14:paraId="43276BE6">
            <w:pPr>
              <w:spacing w:line="240" w:lineRule="auto"/>
              <w:ind w:firstLine="0" w:firstLineChars="0"/>
              <w:jc w:val="center"/>
              <w:rPr>
                <w:rFonts w:cs="Times New Roman"/>
                <w:sz w:val="21"/>
                <w:szCs w:val="21"/>
              </w:rPr>
            </w:pPr>
            <w:r>
              <w:rPr>
                <w:rFonts w:cs="Times New Roman"/>
                <w:sz w:val="21"/>
                <w:szCs w:val="21"/>
              </w:rPr>
              <w:t>107</w:t>
            </w:r>
          </w:p>
        </w:tc>
        <w:tc>
          <w:tcPr>
            <w:tcW w:w="1819" w:type="dxa"/>
            <w:noWrap/>
            <w:vAlign w:val="center"/>
          </w:tcPr>
          <w:p w14:paraId="5A6327B3">
            <w:pPr>
              <w:spacing w:line="240" w:lineRule="auto"/>
              <w:ind w:firstLine="0" w:firstLineChars="0"/>
              <w:jc w:val="center"/>
              <w:rPr>
                <w:rFonts w:cs="Times New Roman"/>
                <w:sz w:val="21"/>
                <w:szCs w:val="21"/>
              </w:rPr>
            </w:pPr>
            <w:r>
              <w:rPr>
                <w:rFonts w:cs="Times New Roman"/>
                <w:sz w:val="21"/>
                <w:szCs w:val="21"/>
              </w:rPr>
              <w:t>其他一般</w:t>
            </w:r>
          </w:p>
        </w:tc>
      </w:tr>
      <w:tr w14:paraId="1E099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5201" w:type="dxa"/>
            <w:gridSpan w:val="3"/>
            <w:noWrap/>
            <w:vAlign w:val="center"/>
          </w:tcPr>
          <w:p w14:paraId="24E321DC">
            <w:pPr>
              <w:spacing w:line="240" w:lineRule="auto"/>
              <w:ind w:firstLine="0" w:firstLineChars="0"/>
              <w:jc w:val="center"/>
              <w:rPr>
                <w:rFonts w:cs="Times New Roman"/>
                <w:b/>
                <w:bCs/>
                <w:sz w:val="21"/>
                <w:szCs w:val="21"/>
              </w:rPr>
            </w:pPr>
            <w:r>
              <w:rPr>
                <w:rFonts w:hint="eastAsia" w:cs="Times New Roman"/>
                <w:b/>
                <w:bCs/>
                <w:sz w:val="21"/>
                <w:szCs w:val="21"/>
              </w:rPr>
              <w:t>合计</w:t>
            </w:r>
          </w:p>
        </w:tc>
        <w:tc>
          <w:tcPr>
            <w:tcW w:w="1410" w:type="dxa"/>
            <w:noWrap/>
            <w:vAlign w:val="center"/>
          </w:tcPr>
          <w:p w14:paraId="3896BE0D">
            <w:pPr>
              <w:spacing w:line="240" w:lineRule="auto"/>
              <w:ind w:firstLine="0" w:firstLineChars="0"/>
              <w:jc w:val="center"/>
              <w:rPr>
                <w:rFonts w:cs="Times New Roman"/>
                <w:b/>
                <w:bCs/>
                <w:sz w:val="21"/>
                <w:szCs w:val="21"/>
              </w:rPr>
            </w:pPr>
            <w:r>
              <w:rPr>
                <w:rFonts w:cs="Times New Roman"/>
                <w:b/>
                <w:bCs/>
                <w:sz w:val="21"/>
                <w:szCs w:val="21"/>
              </w:rPr>
              <w:t>211</w:t>
            </w:r>
            <w:r>
              <w:rPr>
                <w:rFonts w:hint="eastAsia" w:cs="Times New Roman"/>
                <w:b/>
                <w:bCs/>
                <w:sz w:val="21"/>
                <w:szCs w:val="21"/>
              </w:rPr>
              <w:t>7</w:t>
            </w:r>
            <w:r>
              <w:rPr>
                <w:rFonts w:cs="Times New Roman"/>
                <w:b/>
                <w:bCs/>
                <w:sz w:val="21"/>
                <w:szCs w:val="21"/>
              </w:rPr>
              <w:t>9</w:t>
            </w:r>
          </w:p>
        </w:tc>
        <w:tc>
          <w:tcPr>
            <w:tcW w:w="1819" w:type="dxa"/>
            <w:noWrap/>
            <w:vAlign w:val="center"/>
          </w:tcPr>
          <w:p w14:paraId="0A05DD5B">
            <w:pPr>
              <w:spacing w:line="240" w:lineRule="auto"/>
              <w:ind w:firstLine="0" w:firstLineChars="0"/>
              <w:jc w:val="center"/>
              <w:rPr>
                <w:rFonts w:cs="Times New Roman"/>
                <w:b/>
                <w:bCs/>
                <w:sz w:val="21"/>
                <w:szCs w:val="21"/>
              </w:rPr>
            </w:pPr>
            <w:r>
              <w:rPr>
                <w:rFonts w:hint="eastAsia" w:cs="Times New Roman"/>
                <w:b/>
                <w:bCs/>
                <w:sz w:val="21"/>
                <w:szCs w:val="21"/>
              </w:rPr>
              <w:t>/</w:t>
            </w:r>
          </w:p>
        </w:tc>
      </w:tr>
    </w:tbl>
    <w:p w14:paraId="71E6C030">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3.4.2</w:t>
      </w:r>
      <w:r>
        <w:rPr>
          <w:rFonts w:hint="eastAsia" w:eastAsia="方正楷体_GBK" w:cs="Times New Roman"/>
          <w:b/>
          <w:bCs/>
          <w:szCs w:val="28"/>
          <w14:ligatures w14:val="none"/>
        </w:rPr>
        <w:t>基础设施建设现状</w:t>
      </w:r>
    </w:p>
    <w:p w14:paraId="3C67F59D">
      <w:pPr>
        <w:ind w:firstLine="480"/>
      </w:pPr>
      <w:r>
        <w:rPr>
          <w:rFonts w:hint="eastAsia"/>
        </w:rPr>
        <w:t>度假区现状基础设施主要包括给水、排水、供电、燃气、环卫等，具体见表3.4-2。</w:t>
      </w:r>
    </w:p>
    <w:p w14:paraId="7B464B64">
      <w:pPr>
        <w:pStyle w:val="45"/>
        <w:rPr>
          <w:rFonts w:cs="Times New Roman"/>
        </w:rPr>
      </w:pPr>
      <w:r>
        <w:rPr>
          <w:rFonts w:hint="eastAsia" w:cs="Times New Roman"/>
        </w:rPr>
        <w:t>表3.</w:t>
      </w:r>
      <w:r>
        <w:rPr>
          <w:rFonts w:cs="Times New Roman"/>
        </w:rPr>
        <w:t>4</w:t>
      </w:r>
      <w:r>
        <w:rPr>
          <w:rFonts w:hint="eastAsia" w:cs="Times New Roman"/>
        </w:rPr>
        <w:t xml:space="preserve">-2 </w:t>
      </w:r>
      <w:r>
        <w:rPr>
          <w:rFonts w:cs="Times New Roman"/>
        </w:rPr>
        <w:t xml:space="preserve"> </w:t>
      </w:r>
      <w:r>
        <w:rPr>
          <w:rFonts w:hint="eastAsia" w:cs="Times New Roman"/>
        </w:rPr>
        <w:t>度假区现状基础设施一览表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3204"/>
        <w:gridCol w:w="2410"/>
        <w:gridCol w:w="1672"/>
      </w:tblGrid>
      <w:tr w14:paraId="42674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25" w:type="pct"/>
            <w:vAlign w:val="center"/>
          </w:tcPr>
          <w:p w14:paraId="52C746D8">
            <w:pPr>
              <w:spacing w:line="240" w:lineRule="auto"/>
              <w:ind w:firstLine="0" w:firstLineChars="0"/>
              <w:jc w:val="center"/>
              <w:rPr>
                <w:rFonts w:cs="Times New Roman"/>
                <w:b/>
                <w:bCs/>
                <w:sz w:val="21"/>
              </w:rPr>
            </w:pPr>
            <w:r>
              <w:rPr>
                <w:rFonts w:hint="eastAsia" w:cs="Times New Roman"/>
                <w:b/>
                <w:bCs/>
                <w:sz w:val="21"/>
              </w:rPr>
              <w:t>项目</w:t>
            </w:r>
          </w:p>
        </w:tc>
        <w:tc>
          <w:tcPr>
            <w:tcW w:w="1879" w:type="pct"/>
            <w:vAlign w:val="center"/>
          </w:tcPr>
          <w:p w14:paraId="41F5AEB3">
            <w:pPr>
              <w:spacing w:line="240" w:lineRule="auto"/>
              <w:ind w:firstLine="0" w:firstLineChars="0"/>
              <w:jc w:val="center"/>
              <w:rPr>
                <w:rFonts w:cs="Times New Roman"/>
                <w:b/>
                <w:bCs/>
                <w:sz w:val="21"/>
              </w:rPr>
            </w:pPr>
            <w:r>
              <w:rPr>
                <w:rFonts w:hint="eastAsia" w:cs="Times New Roman"/>
                <w:b/>
                <w:bCs/>
                <w:sz w:val="21"/>
              </w:rPr>
              <w:t>设施名称</w:t>
            </w:r>
          </w:p>
        </w:tc>
        <w:tc>
          <w:tcPr>
            <w:tcW w:w="1413" w:type="pct"/>
            <w:vAlign w:val="center"/>
          </w:tcPr>
          <w:p w14:paraId="093BE7E4">
            <w:pPr>
              <w:spacing w:line="240" w:lineRule="auto"/>
              <w:ind w:firstLine="0" w:firstLineChars="0"/>
              <w:jc w:val="center"/>
              <w:rPr>
                <w:rFonts w:cs="Times New Roman"/>
                <w:b/>
                <w:bCs/>
                <w:sz w:val="21"/>
              </w:rPr>
            </w:pPr>
            <w:r>
              <w:rPr>
                <w:rFonts w:hint="eastAsia" w:cs="Times New Roman"/>
                <w:b/>
                <w:bCs/>
                <w:sz w:val="21"/>
              </w:rPr>
              <w:t>现有规模</w:t>
            </w:r>
          </w:p>
        </w:tc>
        <w:tc>
          <w:tcPr>
            <w:tcW w:w="980" w:type="pct"/>
            <w:vAlign w:val="center"/>
          </w:tcPr>
          <w:p w14:paraId="5A3BC7A7">
            <w:pPr>
              <w:spacing w:line="240" w:lineRule="auto"/>
              <w:ind w:firstLine="0" w:firstLineChars="0"/>
              <w:jc w:val="center"/>
              <w:rPr>
                <w:rFonts w:cs="Times New Roman"/>
                <w:b/>
                <w:bCs/>
                <w:sz w:val="21"/>
              </w:rPr>
            </w:pPr>
            <w:r>
              <w:rPr>
                <w:rFonts w:hint="eastAsia" w:cs="Times New Roman"/>
                <w:b/>
                <w:bCs/>
                <w:sz w:val="21"/>
              </w:rPr>
              <w:t>位置</w:t>
            </w:r>
          </w:p>
        </w:tc>
      </w:tr>
      <w:tr w14:paraId="38F68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Align w:val="center"/>
          </w:tcPr>
          <w:p w14:paraId="0F891786">
            <w:pPr>
              <w:spacing w:line="240" w:lineRule="auto"/>
              <w:ind w:firstLine="0" w:firstLineChars="0"/>
              <w:jc w:val="center"/>
              <w:rPr>
                <w:rFonts w:cs="Times New Roman"/>
                <w:sz w:val="21"/>
                <w:szCs w:val="21"/>
              </w:rPr>
            </w:pPr>
            <w:r>
              <w:rPr>
                <w:rFonts w:hint="eastAsia" w:cs="Times New Roman"/>
                <w:sz w:val="21"/>
                <w:szCs w:val="21"/>
              </w:rPr>
              <w:t>给水</w:t>
            </w:r>
          </w:p>
        </w:tc>
        <w:tc>
          <w:tcPr>
            <w:tcW w:w="1879" w:type="pct"/>
            <w:vAlign w:val="center"/>
          </w:tcPr>
          <w:p w14:paraId="195835AA">
            <w:pPr>
              <w:spacing w:line="240" w:lineRule="auto"/>
              <w:ind w:firstLine="0" w:firstLineChars="0"/>
              <w:jc w:val="center"/>
              <w:rPr>
                <w:rFonts w:cs="Times New Roman"/>
                <w:sz w:val="21"/>
                <w:szCs w:val="21"/>
              </w:rPr>
            </w:pPr>
            <w:r>
              <w:rPr>
                <w:rFonts w:hint="eastAsia" w:cs="Times New Roman"/>
                <w:sz w:val="21"/>
                <w:szCs w:val="21"/>
              </w:rPr>
              <w:t>长荡湖水厂</w:t>
            </w:r>
          </w:p>
        </w:tc>
        <w:tc>
          <w:tcPr>
            <w:tcW w:w="1413" w:type="pct"/>
            <w:vAlign w:val="center"/>
          </w:tcPr>
          <w:p w14:paraId="680F8742">
            <w:pPr>
              <w:spacing w:line="240" w:lineRule="auto"/>
              <w:ind w:firstLine="0" w:firstLineChars="0"/>
              <w:jc w:val="center"/>
              <w:rPr>
                <w:rFonts w:cs="Times New Roman"/>
                <w:sz w:val="21"/>
                <w:szCs w:val="21"/>
              </w:rPr>
            </w:pPr>
            <w:r>
              <w:rPr>
                <w:rFonts w:hint="eastAsia" w:cs="Times New Roman"/>
                <w:sz w:val="21"/>
                <w:szCs w:val="21"/>
              </w:rPr>
              <w:t>7300万m</w:t>
            </w:r>
            <w:r>
              <w:rPr>
                <w:rFonts w:hint="eastAsia" w:cs="Times New Roman"/>
                <w:sz w:val="21"/>
                <w:szCs w:val="21"/>
                <w:vertAlign w:val="superscript"/>
              </w:rPr>
              <w:t>3</w:t>
            </w:r>
            <w:r>
              <w:rPr>
                <w:rFonts w:hint="eastAsia" w:cs="Times New Roman"/>
                <w:sz w:val="21"/>
                <w:szCs w:val="21"/>
              </w:rPr>
              <w:t>/a</w:t>
            </w:r>
          </w:p>
        </w:tc>
        <w:tc>
          <w:tcPr>
            <w:tcW w:w="980" w:type="pct"/>
            <w:vAlign w:val="center"/>
          </w:tcPr>
          <w:p w14:paraId="36C4DA46">
            <w:pPr>
              <w:spacing w:line="240" w:lineRule="auto"/>
              <w:ind w:firstLine="0" w:firstLineChars="0"/>
              <w:jc w:val="center"/>
              <w:rPr>
                <w:rFonts w:cs="Times New Roman"/>
                <w:sz w:val="21"/>
                <w:szCs w:val="21"/>
              </w:rPr>
            </w:pPr>
            <w:r>
              <w:rPr>
                <w:rFonts w:hint="eastAsia" w:cs="Times New Roman"/>
                <w:color w:val="000000"/>
                <w:kern w:val="0"/>
                <w:sz w:val="21"/>
                <w:szCs w:val="21"/>
              </w:rPr>
              <w:t>区外</w:t>
            </w:r>
          </w:p>
        </w:tc>
      </w:tr>
      <w:tr w14:paraId="4EAC5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restart"/>
            <w:vAlign w:val="center"/>
          </w:tcPr>
          <w:p w14:paraId="659DE67E">
            <w:pPr>
              <w:spacing w:line="240" w:lineRule="auto"/>
              <w:ind w:firstLine="0" w:firstLineChars="0"/>
              <w:jc w:val="center"/>
              <w:rPr>
                <w:rFonts w:cs="Times New Roman"/>
                <w:sz w:val="21"/>
                <w:szCs w:val="21"/>
              </w:rPr>
            </w:pPr>
            <w:r>
              <w:rPr>
                <w:rFonts w:hint="eastAsia" w:cs="Times New Roman"/>
                <w:sz w:val="21"/>
                <w:szCs w:val="21"/>
              </w:rPr>
              <w:t>污水</w:t>
            </w:r>
          </w:p>
        </w:tc>
        <w:tc>
          <w:tcPr>
            <w:tcW w:w="1879" w:type="pct"/>
            <w:vAlign w:val="center"/>
          </w:tcPr>
          <w:p w14:paraId="75A06EEC">
            <w:pPr>
              <w:spacing w:line="240" w:lineRule="auto"/>
              <w:ind w:firstLine="0" w:firstLineChars="0"/>
              <w:jc w:val="center"/>
              <w:rPr>
                <w:rFonts w:cs="Times New Roman"/>
                <w:sz w:val="21"/>
                <w:szCs w:val="21"/>
              </w:rPr>
            </w:pPr>
            <w:r>
              <w:rPr>
                <w:rFonts w:hint="eastAsia" w:cs="Times New Roman"/>
                <w:sz w:val="21"/>
                <w:szCs w:val="21"/>
              </w:rPr>
              <w:t>茅东污水处理厂</w:t>
            </w:r>
          </w:p>
        </w:tc>
        <w:tc>
          <w:tcPr>
            <w:tcW w:w="1413" w:type="pct"/>
            <w:vAlign w:val="center"/>
          </w:tcPr>
          <w:p w14:paraId="26CC5D4E">
            <w:pPr>
              <w:spacing w:line="240" w:lineRule="auto"/>
              <w:ind w:firstLine="0" w:firstLineChars="0"/>
              <w:jc w:val="center"/>
              <w:rPr>
                <w:rFonts w:cs="Times New Roman"/>
                <w:sz w:val="21"/>
                <w:szCs w:val="21"/>
              </w:rPr>
            </w:pPr>
            <w:r>
              <w:rPr>
                <w:rFonts w:hint="eastAsia" w:cs="Times New Roman"/>
                <w:sz w:val="21"/>
                <w:szCs w:val="21"/>
              </w:rPr>
              <w:t>10000m</w:t>
            </w:r>
            <w:r>
              <w:rPr>
                <w:rFonts w:hint="eastAsia" w:cs="Times New Roman"/>
                <w:sz w:val="21"/>
                <w:szCs w:val="21"/>
                <w:vertAlign w:val="superscript"/>
              </w:rPr>
              <w:t>3</w:t>
            </w:r>
            <w:r>
              <w:rPr>
                <w:rFonts w:hint="eastAsia" w:cs="Times New Roman"/>
                <w:sz w:val="21"/>
                <w:szCs w:val="21"/>
              </w:rPr>
              <w:t>/d</w:t>
            </w:r>
          </w:p>
        </w:tc>
        <w:tc>
          <w:tcPr>
            <w:tcW w:w="980" w:type="pct"/>
            <w:vAlign w:val="center"/>
          </w:tcPr>
          <w:p w14:paraId="09243FB3">
            <w:pPr>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区外</w:t>
            </w:r>
          </w:p>
        </w:tc>
      </w:tr>
      <w:tr w14:paraId="25418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vAlign w:val="center"/>
          </w:tcPr>
          <w:p w14:paraId="44D188A2">
            <w:pPr>
              <w:spacing w:line="240" w:lineRule="auto"/>
              <w:ind w:firstLine="0" w:firstLineChars="0"/>
              <w:jc w:val="center"/>
              <w:rPr>
                <w:rFonts w:cs="Times New Roman"/>
                <w:sz w:val="21"/>
                <w:szCs w:val="21"/>
              </w:rPr>
            </w:pPr>
          </w:p>
        </w:tc>
        <w:tc>
          <w:tcPr>
            <w:tcW w:w="1879" w:type="pct"/>
            <w:vAlign w:val="center"/>
          </w:tcPr>
          <w:p w14:paraId="35738EC3">
            <w:pPr>
              <w:spacing w:line="240" w:lineRule="auto"/>
              <w:ind w:firstLine="0" w:firstLineChars="0"/>
              <w:jc w:val="center"/>
              <w:rPr>
                <w:rFonts w:cs="Times New Roman"/>
                <w:sz w:val="21"/>
                <w:szCs w:val="21"/>
              </w:rPr>
            </w:pPr>
            <w:r>
              <w:rPr>
                <w:rFonts w:hint="eastAsia" w:cs="Times New Roman"/>
                <w:sz w:val="21"/>
                <w:szCs w:val="21"/>
              </w:rPr>
              <w:t>农村分散式处理设施</w:t>
            </w:r>
          </w:p>
        </w:tc>
        <w:tc>
          <w:tcPr>
            <w:tcW w:w="1413" w:type="pct"/>
            <w:vAlign w:val="center"/>
          </w:tcPr>
          <w:p w14:paraId="2D389580">
            <w:pPr>
              <w:spacing w:line="240" w:lineRule="auto"/>
              <w:ind w:firstLine="0" w:firstLineChars="0"/>
              <w:jc w:val="center"/>
              <w:rPr>
                <w:rFonts w:cs="Times New Roman"/>
                <w:sz w:val="21"/>
                <w:szCs w:val="21"/>
              </w:rPr>
            </w:pPr>
            <w:r>
              <w:rPr>
                <w:rFonts w:hint="eastAsia" w:cs="Times New Roman"/>
                <w:sz w:val="21"/>
                <w:szCs w:val="21"/>
              </w:rPr>
              <w:t>986m</w:t>
            </w:r>
            <w:r>
              <w:rPr>
                <w:rFonts w:hint="eastAsia" w:cs="Times New Roman"/>
                <w:sz w:val="21"/>
                <w:szCs w:val="21"/>
                <w:vertAlign w:val="superscript"/>
              </w:rPr>
              <w:t>3</w:t>
            </w:r>
            <w:r>
              <w:rPr>
                <w:rFonts w:hint="eastAsia" w:cs="Times New Roman"/>
                <w:sz w:val="21"/>
                <w:szCs w:val="21"/>
              </w:rPr>
              <w:t>/d</w:t>
            </w:r>
          </w:p>
        </w:tc>
        <w:tc>
          <w:tcPr>
            <w:tcW w:w="980" w:type="pct"/>
            <w:vAlign w:val="center"/>
          </w:tcPr>
          <w:p w14:paraId="6ECC0DFD">
            <w:pPr>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区内</w:t>
            </w:r>
          </w:p>
        </w:tc>
      </w:tr>
      <w:tr w14:paraId="379A8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restart"/>
            <w:vAlign w:val="center"/>
          </w:tcPr>
          <w:p w14:paraId="5F2A432A">
            <w:pPr>
              <w:spacing w:line="240" w:lineRule="auto"/>
              <w:ind w:firstLine="0" w:firstLineChars="0"/>
              <w:jc w:val="center"/>
              <w:rPr>
                <w:rFonts w:cs="Times New Roman"/>
                <w:sz w:val="21"/>
                <w:szCs w:val="21"/>
              </w:rPr>
            </w:pPr>
            <w:r>
              <w:rPr>
                <w:rFonts w:hint="eastAsia" w:cs="Times New Roman"/>
                <w:sz w:val="21"/>
                <w:szCs w:val="21"/>
              </w:rPr>
              <w:t>环卫</w:t>
            </w:r>
          </w:p>
        </w:tc>
        <w:tc>
          <w:tcPr>
            <w:tcW w:w="1879" w:type="pct"/>
            <w:vAlign w:val="center"/>
          </w:tcPr>
          <w:p w14:paraId="735F8828">
            <w:pPr>
              <w:spacing w:line="240" w:lineRule="auto"/>
              <w:ind w:firstLine="0" w:firstLineChars="0"/>
              <w:jc w:val="center"/>
              <w:rPr>
                <w:rFonts w:cs="Times New Roman"/>
                <w:sz w:val="21"/>
                <w:szCs w:val="21"/>
              </w:rPr>
            </w:pPr>
            <w:r>
              <w:rPr>
                <w:rFonts w:hint="eastAsia" w:cs="Times New Roman"/>
                <w:sz w:val="21"/>
                <w:szCs w:val="21"/>
              </w:rPr>
              <w:t>罗村生活垃圾中转站</w:t>
            </w:r>
          </w:p>
        </w:tc>
        <w:tc>
          <w:tcPr>
            <w:tcW w:w="1413" w:type="pct"/>
            <w:vAlign w:val="center"/>
          </w:tcPr>
          <w:p w14:paraId="32F767EF">
            <w:pPr>
              <w:spacing w:line="240" w:lineRule="auto"/>
              <w:ind w:firstLine="0" w:firstLineChars="0"/>
              <w:jc w:val="center"/>
              <w:rPr>
                <w:rFonts w:cs="Times New Roman"/>
                <w:sz w:val="21"/>
                <w:szCs w:val="21"/>
              </w:rPr>
            </w:pPr>
            <w:r>
              <w:rPr>
                <w:rFonts w:hint="eastAsia" w:cs="Times New Roman"/>
                <w:sz w:val="21"/>
                <w:szCs w:val="21"/>
              </w:rPr>
              <w:t>日转运量12t/d</w:t>
            </w:r>
          </w:p>
        </w:tc>
        <w:tc>
          <w:tcPr>
            <w:tcW w:w="980" w:type="pct"/>
            <w:vAlign w:val="center"/>
          </w:tcPr>
          <w:p w14:paraId="585B09F9">
            <w:pPr>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区外</w:t>
            </w:r>
          </w:p>
        </w:tc>
      </w:tr>
      <w:tr w14:paraId="06FF2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vAlign w:val="center"/>
          </w:tcPr>
          <w:p w14:paraId="3D448A68">
            <w:pPr>
              <w:spacing w:line="240" w:lineRule="auto"/>
              <w:ind w:firstLine="0" w:firstLineChars="0"/>
              <w:jc w:val="center"/>
              <w:rPr>
                <w:rFonts w:cs="Times New Roman"/>
                <w:sz w:val="21"/>
                <w:szCs w:val="21"/>
              </w:rPr>
            </w:pPr>
          </w:p>
        </w:tc>
        <w:tc>
          <w:tcPr>
            <w:tcW w:w="1879" w:type="pct"/>
            <w:vAlign w:val="center"/>
          </w:tcPr>
          <w:p w14:paraId="097E984B">
            <w:pPr>
              <w:spacing w:line="240" w:lineRule="auto"/>
              <w:ind w:firstLine="0" w:firstLineChars="0"/>
              <w:jc w:val="center"/>
              <w:rPr>
                <w:rFonts w:cs="Times New Roman"/>
                <w:sz w:val="21"/>
                <w:szCs w:val="21"/>
              </w:rPr>
            </w:pPr>
            <w:r>
              <w:rPr>
                <w:rFonts w:hint="eastAsia" w:cs="Times New Roman"/>
                <w:sz w:val="21"/>
                <w:szCs w:val="21"/>
              </w:rPr>
              <w:t>石马生活垃圾中转站</w:t>
            </w:r>
          </w:p>
        </w:tc>
        <w:tc>
          <w:tcPr>
            <w:tcW w:w="1413" w:type="pct"/>
            <w:vAlign w:val="center"/>
          </w:tcPr>
          <w:p w14:paraId="58A526EC">
            <w:pPr>
              <w:spacing w:line="240" w:lineRule="auto"/>
              <w:ind w:firstLine="0" w:firstLineChars="0"/>
              <w:jc w:val="center"/>
              <w:rPr>
                <w:rFonts w:cs="Times New Roman"/>
                <w:sz w:val="21"/>
                <w:szCs w:val="21"/>
              </w:rPr>
            </w:pPr>
            <w:r>
              <w:rPr>
                <w:rFonts w:hint="eastAsia" w:cs="Times New Roman"/>
                <w:sz w:val="21"/>
                <w:szCs w:val="21"/>
              </w:rPr>
              <w:t>日转运量18t/d</w:t>
            </w:r>
          </w:p>
        </w:tc>
        <w:tc>
          <w:tcPr>
            <w:tcW w:w="980" w:type="pct"/>
            <w:vAlign w:val="center"/>
          </w:tcPr>
          <w:p w14:paraId="52D315FB">
            <w:pPr>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区外</w:t>
            </w:r>
          </w:p>
        </w:tc>
      </w:tr>
      <w:tr w14:paraId="0B156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vAlign w:val="center"/>
          </w:tcPr>
          <w:p w14:paraId="068B0A5A">
            <w:pPr>
              <w:spacing w:line="240" w:lineRule="auto"/>
              <w:ind w:firstLine="0" w:firstLineChars="0"/>
              <w:jc w:val="center"/>
              <w:rPr>
                <w:rFonts w:cs="Times New Roman"/>
                <w:sz w:val="21"/>
                <w:szCs w:val="21"/>
              </w:rPr>
            </w:pPr>
          </w:p>
        </w:tc>
        <w:tc>
          <w:tcPr>
            <w:tcW w:w="1879" w:type="pct"/>
            <w:vAlign w:val="center"/>
          </w:tcPr>
          <w:p w14:paraId="1F18CBE1">
            <w:pPr>
              <w:spacing w:line="240" w:lineRule="auto"/>
              <w:ind w:firstLine="0" w:firstLineChars="0"/>
              <w:jc w:val="center"/>
              <w:rPr>
                <w:rFonts w:cs="Times New Roman"/>
                <w:sz w:val="21"/>
                <w:szCs w:val="21"/>
              </w:rPr>
            </w:pPr>
            <w:r>
              <w:rPr>
                <w:rFonts w:hint="eastAsia" w:cs="Times New Roman"/>
                <w:sz w:val="21"/>
                <w:szCs w:val="21"/>
              </w:rPr>
              <w:t>花山生活垃圾中转站</w:t>
            </w:r>
          </w:p>
        </w:tc>
        <w:tc>
          <w:tcPr>
            <w:tcW w:w="1413" w:type="pct"/>
            <w:vAlign w:val="center"/>
          </w:tcPr>
          <w:p w14:paraId="15523E86">
            <w:pPr>
              <w:spacing w:line="240" w:lineRule="auto"/>
              <w:ind w:firstLine="0" w:firstLineChars="0"/>
              <w:jc w:val="center"/>
              <w:rPr>
                <w:rFonts w:cs="Times New Roman"/>
                <w:sz w:val="21"/>
                <w:szCs w:val="21"/>
              </w:rPr>
            </w:pPr>
            <w:r>
              <w:rPr>
                <w:rFonts w:hint="eastAsia" w:cs="Times New Roman"/>
                <w:sz w:val="21"/>
                <w:szCs w:val="21"/>
              </w:rPr>
              <w:t>日转运量12t/d</w:t>
            </w:r>
          </w:p>
        </w:tc>
        <w:tc>
          <w:tcPr>
            <w:tcW w:w="980" w:type="pct"/>
            <w:vAlign w:val="center"/>
          </w:tcPr>
          <w:p w14:paraId="0F354E9C">
            <w:pPr>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区外</w:t>
            </w:r>
          </w:p>
        </w:tc>
      </w:tr>
      <w:tr w14:paraId="54CCA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vAlign w:val="center"/>
          </w:tcPr>
          <w:p w14:paraId="4EE0EDA0">
            <w:pPr>
              <w:spacing w:line="240" w:lineRule="auto"/>
              <w:ind w:firstLine="0" w:firstLineChars="0"/>
              <w:jc w:val="center"/>
              <w:rPr>
                <w:rFonts w:cs="Times New Roman"/>
                <w:sz w:val="21"/>
                <w:szCs w:val="21"/>
              </w:rPr>
            </w:pPr>
          </w:p>
        </w:tc>
        <w:tc>
          <w:tcPr>
            <w:tcW w:w="1879" w:type="pct"/>
            <w:vAlign w:val="center"/>
          </w:tcPr>
          <w:p w14:paraId="2608E39A">
            <w:pPr>
              <w:spacing w:line="240" w:lineRule="auto"/>
              <w:ind w:firstLine="0" w:firstLineChars="0"/>
              <w:jc w:val="center"/>
              <w:rPr>
                <w:rFonts w:cs="Times New Roman"/>
                <w:sz w:val="21"/>
                <w:szCs w:val="21"/>
              </w:rPr>
            </w:pPr>
            <w:r>
              <w:rPr>
                <w:rFonts w:hint="eastAsia" w:cs="Times New Roman"/>
                <w:sz w:val="21"/>
                <w:szCs w:val="21"/>
              </w:rPr>
              <w:t>薛埠镇生活垃圾中转站</w:t>
            </w:r>
          </w:p>
        </w:tc>
        <w:tc>
          <w:tcPr>
            <w:tcW w:w="1413" w:type="pct"/>
            <w:vAlign w:val="center"/>
          </w:tcPr>
          <w:p w14:paraId="3E104192">
            <w:pPr>
              <w:spacing w:line="240" w:lineRule="auto"/>
              <w:ind w:firstLine="0" w:firstLineChars="0"/>
              <w:jc w:val="center"/>
              <w:rPr>
                <w:rFonts w:cs="Times New Roman"/>
                <w:sz w:val="21"/>
                <w:szCs w:val="21"/>
              </w:rPr>
            </w:pPr>
            <w:r>
              <w:rPr>
                <w:rFonts w:hint="eastAsia" w:cs="Times New Roman"/>
                <w:sz w:val="21"/>
                <w:szCs w:val="21"/>
              </w:rPr>
              <w:t>日转运量24t/d</w:t>
            </w:r>
          </w:p>
        </w:tc>
        <w:tc>
          <w:tcPr>
            <w:tcW w:w="980" w:type="pct"/>
            <w:vAlign w:val="center"/>
          </w:tcPr>
          <w:p w14:paraId="10B0417A">
            <w:pPr>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区外</w:t>
            </w:r>
          </w:p>
        </w:tc>
      </w:tr>
    </w:tbl>
    <w:p w14:paraId="4ACBFC3A">
      <w:pPr>
        <w:ind w:firstLine="0" w:firstLineChars="0"/>
        <w:outlineLvl w:val="3"/>
      </w:pPr>
      <w:r>
        <w:t>3</w:t>
      </w:r>
      <w:r>
        <w:rPr>
          <w:rFonts w:hint="eastAsia"/>
        </w:rPr>
        <w:t>.</w:t>
      </w:r>
      <w:r>
        <w:t>4</w:t>
      </w:r>
      <w:r>
        <w:rPr>
          <w:rFonts w:hint="eastAsia"/>
        </w:rPr>
        <w:t>.</w:t>
      </w:r>
      <w:r>
        <w:t>2</w:t>
      </w:r>
      <w:r>
        <w:rPr>
          <w:rFonts w:hint="eastAsia"/>
        </w:rPr>
        <w:t>.</w:t>
      </w:r>
      <w:r>
        <w:t>1</w:t>
      </w:r>
      <w:r>
        <w:rPr>
          <w:rFonts w:hint="eastAsia"/>
        </w:rPr>
        <w:t xml:space="preserve"> 给水工程</w:t>
      </w:r>
    </w:p>
    <w:p w14:paraId="0E980E5F">
      <w:pPr>
        <w:ind w:firstLine="480"/>
      </w:pPr>
      <w:r>
        <w:rPr>
          <w:rFonts w:hint="eastAsia"/>
        </w:rPr>
        <w:t>度假区供水依靠金坛区市政给水管网，水源主要取自长荡湖水源地，供水水厂为长荡湖水厂，年取水量为7300万m</w:t>
      </w:r>
      <w:r>
        <w:rPr>
          <w:rFonts w:hint="eastAsia"/>
          <w:vertAlign w:val="superscript"/>
        </w:rPr>
        <w:t>3</w:t>
      </w:r>
      <w:r>
        <w:rPr>
          <w:rFonts w:hint="eastAsia"/>
        </w:rPr>
        <w:t>，常金供水工程为应急备用水源，与长荡湖饮用水源互为备用，联网供水。</w:t>
      </w:r>
    </w:p>
    <w:p w14:paraId="7A6C090E">
      <w:pPr>
        <w:ind w:firstLine="480"/>
      </w:pPr>
      <w:r>
        <w:rPr>
          <w:rFonts w:hint="eastAsia"/>
        </w:rPr>
        <w:t>长荡湖水厂设计供水规模为30万吨m</w:t>
      </w:r>
      <w:r>
        <w:rPr>
          <w:rFonts w:hint="eastAsia"/>
          <w:vertAlign w:val="superscript"/>
        </w:rPr>
        <w:t>3</w:t>
      </w:r>
      <w:r>
        <w:rPr>
          <w:rFonts w:hint="eastAsia"/>
        </w:rPr>
        <w:t>/d，其中一期工程（供水规模20万m</w:t>
      </w:r>
      <w:r>
        <w:rPr>
          <w:rFonts w:hint="eastAsia"/>
          <w:vertAlign w:val="superscript"/>
        </w:rPr>
        <w:t>3</w:t>
      </w:r>
      <w:r>
        <w:rPr>
          <w:rFonts w:hint="eastAsia"/>
        </w:rPr>
        <w:t>/d）于2015年10月开工建设，2018年7月正式投运，采用“预处理+常规处理+深度处理”工艺；二期工程（供水规模10万m</w:t>
      </w:r>
      <w:r>
        <w:rPr>
          <w:rFonts w:hint="eastAsia"/>
          <w:vertAlign w:val="superscript"/>
        </w:rPr>
        <w:t>3</w:t>
      </w:r>
      <w:r>
        <w:rPr>
          <w:rFonts w:hint="eastAsia"/>
        </w:rPr>
        <w:t>/d）于2023年11月开工建设，2024年6月正式投运，采用“沉淀处理+消毒处理+消毒处理+水质检验”工艺。</w:t>
      </w:r>
    </w:p>
    <w:p w14:paraId="1DA46748">
      <w:pPr>
        <w:ind w:firstLine="480"/>
      </w:pPr>
      <w:r>
        <w:rPr>
          <w:rFonts w:hint="eastAsia"/>
        </w:rPr>
        <w:t>度假区内设有西阳增压站、茅鹿增压站、薛埠增压站、上阮增压站4个增压站，与区域供水管道连接。度假区内东西向沿340省道敷设DN</w:t>
      </w:r>
      <w:r>
        <w:t>5</w:t>
      </w:r>
      <w:r>
        <w:rPr>
          <w:rFonts w:hint="eastAsia"/>
        </w:rPr>
        <w:t>00，沿金茅公路敷设DN</w:t>
      </w:r>
      <w:r>
        <w:t>5</w:t>
      </w:r>
      <w:r>
        <w:rPr>
          <w:rFonts w:hint="eastAsia"/>
        </w:rPr>
        <w:t>00和DN</w:t>
      </w:r>
      <w:r>
        <w:t>2</w:t>
      </w:r>
      <w:r>
        <w:rPr>
          <w:rFonts w:hint="eastAsia"/>
        </w:rPr>
        <w:t>00给水管，沿白乾路和尚永路敷设DN</w:t>
      </w:r>
      <w:r>
        <w:t>4</w:t>
      </w:r>
      <w:r>
        <w:rPr>
          <w:rFonts w:hint="eastAsia"/>
        </w:rPr>
        <w:t>00给水管，沿仙姑路敷设DN300给水管；沿访仙路敷设DN</w:t>
      </w:r>
      <w:r>
        <w:t>4</w:t>
      </w:r>
      <w:r>
        <w:rPr>
          <w:rFonts w:hint="eastAsia"/>
        </w:rPr>
        <w:t>00和DN</w:t>
      </w:r>
      <w:r>
        <w:t>3</w:t>
      </w:r>
      <w:r>
        <w:rPr>
          <w:rFonts w:hint="eastAsia"/>
        </w:rPr>
        <w:t>00给水管，南北向沿茶海大道敷设DN</w:t>
      </w:r>
      <w:r>
        <w:t>3</w:t>
      </w:r>
      <w:r>
        <w:rPr>
          <w:rFonts w:hint="eastAsia"/>
        </w:rPr>
        <w:t>00和DN</w:t>
      </w:r>
      <w:r>
        <w:t>2</w:t>
      </w:r>
      <w:r>
        <w:rPr>
          <w:rFonts w:hint="eastAsia"/>
        </w:rPr>
        <w:t>00给水管，沿寻仙路敷设DN</w:t>
      </w:r>
      <w:r>
        <w:t>3</w:t>
      </w:r>
      <w:r>
        <w:rPr>
          <w:rFonts w:hint="eastAsia"/>
        </w:rPr>
        <w:t>00给水管，管网已覆盖全区域各乡村。</w:t>
      </w:r>
    </w:p>
    <w:p w14:paraId="471AFF1C">
      <w:pPr>
        <w:ind w:firstLine="0" w:firstLineChars="0"/>
        <w:outlineLvl w:val="3"/>
      </w:pPr>
      <w:r>
        <w:t>3</w:t>
      </w:r>
      <w:r>
        <w:rPr>
          <w:rFonts w:hint="eastAsia"/>
        </w:rPr>
        <w:t>.</w:t>
      </w:r>
      <w:r>
        <w:t>4</w:t>
      </w:r>
      <w:r>
        <w:rPr>
          <w:rFonts w:hint="eastAsia"/>
        </w:rPr>
        <w:t>.</w:t>
      </w:r>
      <w:r>
        <w:t>2</w:t>
      </w:r>
      <w:r>
        <w:rPr>
          <w:rFonts w:hint="eastAsia"/>
        </w:rPr>
        <w:t>.</w:t>
      </w:r>
      <w:r>
        <w:t xml:space="preserve">2 </w:t>
      </w:r>
      <w:r>
        <w:rPr>
          <w:rFonts w:hint="eastAsia"/>
        </w:rPr>
        <w:t>排水工程</w:t>
      </w:r>
    </w:p>
    <w:p w14:paraId="71B9B9B9">
      <w:pPr>
        <w:ind w:firstLine="480"/>
        <w:rPr>
          <w:rFonts w:cs="Times New Roman"/>
        </w:rPr>
      </w:pPr>
      <w:r>
        <w:rPr>
          <w:rFonts w:hint="eastAsia" w:cs="Times New Roman"/>
        </w:rPr>
        <w:t>（1）污水处理厂</w:t>
      </w:r>
    </w:p>
    <w:p w14:paraId="7D16E544">
      <w:pPr>
        <w:ind w:firstLine="480"/>
        <w:rPr>
          <w:rFonts w:cs="Times New Roman"/>
        </w:rPr>
      </w:pPr>
      <w:r>
        <w:rPr>
          <w:rFonts w:cs="Times New Roman"/>
        </w:rPr>
        <w:t>度假区</w:t>
      </w:r>
      <w:r>
        <w:rPr>
          <w:rFonts w:hint="eastAsia" w:cs="Times New Roman"/>
        </w:rPr>
        <w:t>范围内现</w:t>
      </w:r>
      <w:r>
        <w:rPr>
          <w:rFonts w:cs="Times New Roman"/>
        </w:rPr>
        <w:t>无集中式污水处理厂，度假区污水</w:t>
      </w:r>
      <w:r>
        <w:rPr>
          <w:rFonts w:hint="eastAsia" w:cs="Times New Roman"/>
        </w:rPr>
        <w:t>现状主要排入</w:t>
      </w:r>
      <w:r>
        <w:rPr>
          <w:rFonts w:cs="Times New Roman"/>
        </w:rPr>
        <w:t>茅东污水厂。</w:t>
      </w:r>
      <w:r>
        <w:rPr>
          <w:rFonts w:hint="eastAsia"/>
        </w:rPr>
        <w:t>常州市金坛区茅东污水处理厂成立于2008年，位于游仙大道与薛埠河交叉口西北角，现状占地13.9亩，为城镇污水处理厂，主要收集现状薛埠镇镇区（主要为百花路沿线）和茅山旅游度假区的生活污水，服务范围内现状污水管网约12.3公里，目前水处理规模达到</w:t>
      </w:r>
      <w:r>
        <w:t>1</w:t>
      </w:r>
      <w:r>
        <w:rPr>
          <w:rFonts w:hint="eastAsia"/>
        </w:rPr>
        <w:t>0</w:t>
      </w:r>
      <w:r>
        <w:t>000</w:t>
      </w:r>
      <w:r>
        <w:rPr>
          <w:rFonts w:hint="eastAsia"/>
        </w:rPr>
        <w:t>m</w:t>
      </w:r>
      <w:r>
        <w:rPr>
          <w:vertAlign w:val="superscript"/>
        </w:rPr>
        <w:t>3</w:t>
      </w:r>
      <w:r>
        <w:t>/d</w:t>
      </w:r>
      <w:r>
        <w:rPr>
          <w:rFonts w:hint="eastAsia"/>
        </w:rPr>
        <w:t>。茅东污水厂建设以来开展污水处理厂提标改造工程1次，新建和提标改造工程均完成环评手续和竣工环保验收工作；污水处理厂扩建项目1次，已完成环评手续和竣工环保验收工作（附件7—附件13）。</w:t>
      </w:r>
    </w:p>
    <w:p w14:paraId="726653AB">
      <w:pPr>
        <w:pStyle w:val="45"/>
        <w:rPr>
          <w:rFonts w:cs="Times New Roman"/>
        </w:rPr>
      </w:pPr>
      <w:r>
        <w:rPr>
          <w:rFonts w:hint="eastAsia" w:cs="Times New Roman"/>
        </w:rPr>
        <w:t>表3.</w:t>
      </w:r>
      <w:r>
        <w:rPr>
          <w:rFonts w:cs="Times New Roman"/>
        </w:rPr>
        <w:t>4</w:t>
      </w:r>
      <w:r>
        <w:rPr>
          <w:rFonts w:hint="eastAsia" w:cs="Times New Roman"/>
        </w:rPr>
        <w:t xml:space="preserve">-3 </w:t>
      </w:r>
      <w:r>
        <w:rPr>
          <w:rFonts w:cs="Times New Roman"/>
        </w:rPr>
        <w:t xml:space="preserve"> </w:t>
      </w:r>
      <w:r>
        <w:rPr>
          <w:rFonts w:hint="eastAsia" w:cs="Times New Roman"/>
        </w:rPr>
        <w:t>茅东水处理厂环保手续执行概况表</w:t>
      </w:r>
    </w:p>
    <w:tbl>
      <w:tblPr>
        <w:tblStyle w:val="25"/>
        <w:tblW w:w="5000" w:type="pct"/>
        <w:tblInd w:w="0" w:type="dxa"/>
        <w:tblLayout w:type="autofit"/>
        <w:tblCellMar>
          <w:top w:w="0" w:type="dxa"/>
          <w:left w:w="108" w:type="dxa"/>
          <w:bottom w:w="0" w:type="dxa"/>
          <w:right w:w="108" w:type="dxa"/>
        </w:tblCellMar>
      </w:tblPr>
      <w:tblGrid>
        <w:gridCol w:w="1616"/>
        <w:gridCol w:w="1667"/>
        <w:gridCol w:w="1333"/>
        <w:gridCol w:w="2127"/>
        <w:gridCol w:w="1779"/>
      </w:tblGrid>
      <w:tr w14:paraId="3A8794D5">
        <w:tblPrEx>
          <w:tblCellMar>
            <w:top w:w="0" w:type="dxa"/>
            <w:left w:w="108" w:type="dxa"/>
            <w:bottom w:w="0" w:type="dxa"/>
            <w:right w:w="108" w:type="dxa"/>
          </w:tblCellMar>
        </w:tblPrEx>
        <w:trPr>
          <w:trHeight w:val="255" w:hRule="atLeast"/>
          <w:tblHeader/>
        </w:trPr>
        <w:tc>
          <w:tcPr>
            <w:tcW w:w="948" w:type="pct"/>
            <w:tcBorders>
              <w:top w:val="single" w:color="auto" w:sz="4" w:space="0"/>
              <w:left w:val="single" w:color="auto" w:sz="4" w:space="0"/>
              <w:bottom w:val="single" w:color="auto" w:sz="4" w:space="0"/>
              <w:right w:val="single" w:color="auto" w:sz="4" w:space="0"/>
            </w:tcBorders>
            <w:vAlign w:val="center"/>
          </w:tcPr>
          <w:p w14:paraId="5AA4AB99">
            <w:pPr>
              <w:widowControl/>
              <w:spacing w:line="240" w:lineRule="auto"/>
              <w:ind w:firstLine="0" w:firstLineChars="0"/>
              <w:jc w:val="center"/>
              <w:rPr>
                <w:rFonts w:cs="Times New Roman"/>
                <w:b/>
                <w:color w:val="000000"/>
                <w:kern w:val="0"/>
                <w:sz w:val="21"/>
                <w:szCs w:val="21"/>
                <w14:ligatures w14:val="none"/>
              </w:rPr>
            </w:pPr>
            <w:r>
              <w:rPr>
                <w:rFonts w:hint="eastAsia" w:cs="Times New Roman"/>
                <w:b/>
                <w:color w:val="000000"/>
                <w:kern w:val="0"/>
                <w:sz w:val="21"/>
                <w:szCs w:val="21"/>
                <w14:ligatures w14:val="none"/>
              </w:rPr>
              <w:t>项目名称</w:t>
            </w:r>
          </w:p>
        </w:tc>
        <w:tc>
          <w:tcPr>
            <w:tcW w:w="978" w:type="pct"/>
            <w:tcBorders>
              <w:top w:val="single" w:color="auto" w:sz="4" w:space="0"/>
              <w:left w:val="nil"/>
              <w:bottom w:val="single" w:color="auto" w:sz="4" w:space="0"/>
              <w:right w:val="single" w:color="auto" w:sz="4" w:space="0"/>
            </w:tcBorders>
            <w:vAlign w:val="center"/>
          </w:tcPr>
          <w:p w14:paraId="7A57FCBF">
            <w:pPr>
              <w:widowControl/>
              <w:spacing w:line="240" w:lineRule="auto"/>
              <w:ind w:firstLine="0" w:firstLineChars="0"/>
              <w:jc w:val="center"/>
              <w:rPr>
                <w:rFonts w:cs="Times New Roman"/>
                <w:b/>
                <w:color w:val="000000"/>
                <w:kern w:val="0"/>
                <w:sz w:val="21"/>
                <w:szCs w:val="21"/>
                <w14:ligatures w14:val="none"/>
              </w:rPr>
            </w:pPr>
            <w:r>
              <w:rPr>
                <w:rFonts w:hint="eastAsia" w:cs="Times New Roman"/>
                <w:b/>
                <w:color w:val="000000"/>
                <w:kern w:val="0"/>
                <w:sz w:val="21"/>
                <w:szCs w:val="21"/>
                <w14:ligatures w14:val="none"/>
              </w:rPr>
              <w:t>环评手续类型</w:t>
            </w:r>
          </w:p>
        </w:tc>
        <w:tc>
          <w:tcPr>
            <w:tcW w:w="782" w:type="pct"/>
            <w:tcBorders>
              <w:top w:val="single" w:color="auto" w:sz="4" w:space="0"/>
              <w:left w:val="nil"/>
              <w:bottom w:val="single" w:color="auto" w:sz="4" w:space="0"/>
              <w:right w:val="single" w:color="auto" w:sz="4" w:space="0"/>
            </w:tcBorders>
            <w:vAlign w:val="center"/>
          </w:tcPr>
          <w:p w14:paraId="1C88285F">
            <w:pPr>
              <w:widowControl/>
              <w:spacing w:line="240" w:lineRule="auto"/>
              <w:ind w:firstLine="0" w:firstLineChars="0"/>
              <w:jc w:val="center"/>
              <w:rPr>
                <w:rFonts w:cs="Times New Roman"/>
                <w:b/>
                <w:color w:val="000000"/>
                <w:kern w:val="0"/>
                <w:sz w:val="21"/>
                <w:szCs w:val="21"/>
                <w14:ligatures w14:val="none"/>
              </w:rPr>
            </w:pPr>
            <w:r>
              <w:rPr>
                <w:rFonts w:hint="eastAsia" w:cs="Times New Roman"/>
                <w:b/>
                <w:color w:val="000000"/>
                <w:kern w:val="0"/>
                <w:sz w:val="21"/>
                <w:szCs w:val="21"/>
                <w14:ligatures w14:val="none"/>
              </w:rPr>
              <w:t>设计产能</w:t>
            </w:r>
          </w:p>
        </w:tc>
        <w:tc>
          <w:tcPr>
            <w:tcW w:w="1247" w:type="pct"/>
            <w:tcBorders>
              <w:top w:val="single" w:color="auto" w:sz="4" w:space="0"/>
              <w:left w:val="nil"/>
              <w:bottom w:val="single" w:color="auto" w:sz="4" w:space="0"/>
              <w:right w:val="single" w:color="auto" w:sz="4" w:space="0"/>
            </w:tcBorders>
            <w:vAlign w:val="center"/>
          </w:tcPr>
          <w:p w14:paraId="2E817717">
            <w:pPr>
              <w:widowControl/>
              <w:spacing w:line="240" w:lineRule="auto"/>
              <w:ind w:firstLine="0" w:firstLineChars="0"/>
              <w:jc w:val="center"/>
              <w:rPr>
                <w:rFonts w:cs="Times New Roman"/>
                <w:b/>
                <w:color w:val="000000"/>
                <w:kern w:val="0"/>
                <w:sz w:val="21"/>
                <w:szCs w:val="21"/>
                <w14:ligatures w14:val="none"/>
              </w:rPr>
            </w:pPr>
            <w:r>
              <w:rPr>
                <w:rFonts w:hint="eastAsia" w:cs="Times New Roman"/>
                <w:b/>
                <w:color w:val="000000"/>
                <w:kern w:val="0"/>
                <w:sz w:val="21"/>
                <w:szCs w:val="21"/>
                <w14:ligatures w14:val="none"/>
              </w:rPr>
              <w:t>批复情况</w:t>
            </w:r>
          </w:p>
        </w:tc>
        <w:tc>
          <w:tcPr>
            <w:tcW w:w="1043" w:type="pct"/>
            <w:tcBorders>
              <w:top w:val="single" w:color="auto" w:sz="4" w:space="0"/>
              <w:left w:val="nil"/>
              <w:bottom w:val="single" w:color="auto" w:sz="4" w:space="0"/>
              <w:right w:val="single" w:color="auto" w:sz="4" w:space="0"/>
            </w:tcBorders>
            <w:vAlign w:val="center"/>
          </w:tcPr>
          <w:p w14:paraId="37C27822">
            <w:pPr>
              <w:widowControl/>
              <w:spacing w:line="240" w:lineRule="auto"/>
              <w:ind w:firstLine="0" w:firstLineChars="0"/>
              <w:jc w:val="center"/>
              <w:rPr>
                <w:rFonts w:cs="Times New Roman"/>
                <w:b/>
                <w:color w:val="000000"/>
                <w:kern w:val="0"/>
                <w:sz w:val="21"/>
                <w:szCs w:val="21"/>
                <w14:ligatures w14:val="none"/>
              </w:rPr>
            </w:pPr>
            <w:r>
              <w:rPr>
                <w:rFonts w:hint="eastAsia" w:cs="Times New Roman"/>
                <w:b/>
                <w:color w:val="000000"/>
                <w:kern w:val="0"/>
                <w:sz w:val="21"/>
                <w:szCs w:val="21"/>
                <w14:ligatures w14:val="none"/>
              </w:rPr>
              <w:t>建设/验收情况</w:t>
            </w:r>
          </w:p>
        </w:tc>
      </w:tr>
      <w:tr w14:paraId="239B3D2B">
        <w:tblPrEx>
          <w:tblCellMar>
            <w:top w:w="0" w:type="dxa"/>
            <w:left w:w="108" w:type="dxa"/>
            <w:bottom w:w="0" w:type="dxa"/>
            <w:right w:w="108" w:type="dxa"/>
          </w:tblCellMar>
        </w:tblPrEx>
        <w:trPr>
          <w:trHeight w:val="765" w:hRule="atLeast"/>
        </w:trPr>
        <w:tc>
          <w:tcPr>
            <w:tcW w:w="948" w:type="pct"/>
            <w:tcBorders>
              <w:top w:val="nil"/>
              <w:left w:val="single" w:color="auto" w:sz="4" w:space="0"/>
              <w:bottom w:val="single" w:color="auto" w:sz="4" w:space="0"/>
              <w:right w:val="single" w:color="auto" w:sz="4" w:space="0"/>
            </w:tcBorders>
            <w:vAlign w:val="center"/>
          </w:tcPr>
          <w:p w14:paraId="7E65791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新建茅东污水处理厂</w:t>
            </w:r>
          </w:p>
        </w:tc>
        <w:tc>
          <w:tcPr>
            <w:tcW w:w="978" w:type="pct"/>
            <w:tcBorders>
              <w:top w:val="nil"/>
              <w:left w:val="nil"/>
              <w:bottom w:val="single" w:color="auto" w:sz="4" w:space="0"/>
              <w:right w:val="single" w:color="auto" w:sz="4" w:space="0"/>
            </w:tcBorders>
            <w:vAlign w:val="center"/>
          </w:tcPr>
          <w:p w14:paraId="15E3F6D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环境影响报告表</w:t>
            </w:r>
          </w:p>
        </w:tc>
        <w:tc>
          <w:tcPr>
            <w:tcW w:w="782" w:type="pct"/>
            <w:tcBorders>
              <w:top w:val="nil"/>
              <w:left w:val="nil"/>
              <w:bottom w:val="single" w:color="auto" w:sz="4" w:space="0"/>
              <w:right w:val="single" w:color="auto" w:sz="4" w:space="0"/>
            </w:tcBorders>
            <w:vAlign w:val="center"/>
          </w:tcPr>
          <w:p w14:paraId="6580B36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5000m</w:t>
            </w:r>
            <w:r>
              <w:rPr>
                <w:rFonts w:hint="eastAsia" w:cs="Times New Roman"/>
                <w:color w:val="000000"/>
                <w:kern w:val="0"/>
                <w:sz w:val="21"/>
                <w:szCs w:val="21"/>
                <w:vertAlign w:val="superscript"/>
                <w14:ligatures w14:val="none"/>
              </w:rPr>
              <w:t>3</w:t>
            </w:r>
            <w:r>
              <w:rPr>
                <w:rFonts w:hint="eastAsia" w:cs="Times New Roman"/>
                <w:color w:val="000000"/>
                <w:kern w:val="0"/>
                <w:sz w:val="21"/>
                <w:szCs w:val="21"/>
                <w14:ligatures w14:val="none"/>
              </w:rPr>
              <w:t>/d</w:t>
            </w:r>
          </w:p>
        </w:tc>
        <w:tc>
          <w:tcPr>
            <w:tcW w:w="1247" w:type="pct"/>
            <w:tcBorders>
              <w:top w:val="nil"/>
              <w:left w:val="nil"/>
              <w:bottom w:val="single" w:color="auto" w:sz="4" w:space="0"/>
              <w:right w:val="single" w:color="auto" w:sz="4" w:space="0"/>
            </w:tcBorders>
            <w:vAlign w:val="center"/>
          </w:tcPr>
          <w:p w14:paraId="15702DF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环评批复：2007年4月25日获金坛市环境保护局批复</w:t>
            </w:r>
          </w:p>
        </w:tc>
        <w:tc>
          <w:tcPr>
            <w:tcW w:w="1043" w:type="pct"/>
            <w:tcBorders>
              <w:top w:val="nil"/>
              <w:left w:val="nil"/>
              <w:bottom w:val="single" w:color="auto" w:sz="4" w:space="0"/>
              <w:right w:val="single" w:color="auto" w:sz="4" w:space="0"/>
            </w:tcBorders>
            <w:vAlign w:val="center"/>
          </w:tcPr>
          <w:p w14:paraId="0BA066F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w:t>
            </w:r>
          </w:p>
        </w:tc>
      </w:tr>
      <w:tr w14:paraId="537A11B5">
        <w:tblPrEx>
          <w:tblCellMar>
            <w:top w:w="0" w:type="dxa"/>
            <w:left w:w="108" w:type="dxa"/>
            <w:bottom w:w="0" w:type="dxa"/>
            <w:right w:w="108" w:type="dxa"/>
          </w:tblCellMar>
        </w:tblPrEx>
        <w:trPr>
          <w:trHeight w:val="1275" w:hRule="atLeast"/>
        </w:trPr>
        <w:tc>
          <w:tcPr>
            <w:tcW w:w="948" w:type="pct"/>
            <w:tcBorders>
              <w:top w:val="nil"/>
              <w:left w:val="single" w:color="auto" w:sz="4" w:space="0"/>
              <w:bottom w:val="single" w:color="auto" w:sz="4" w:space="0"/>
              <w:right w:val="single" w:color="auto" w:sz="4" w:space="0"/>
            </w:tcBorders>
            <w:vAlign w:val="center"/>
          </w:tcPr>
          <w:p w14:paraId="158664E1">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金坛市茅东污水处理厂提标改造工程</w:t>
            </w:r>
          </w:p>
        </w:tc>
        <w:tc>
          <w:tcPr>
            <w:tcW w:w="978" w:type="pct"/>
            <w:tcBorders>
              <w:top w:val="nil"/>
              <w:left w:val="nil"/>
              <w:bottom w:val="single" w:color="auto" w:sz="4" w:space="0"/>
              <w:right w:val="single" w:color="auto" w:sz="4" w:space="0"/>
            </w:tcBorders>
            <w:vAlign w:val="center"/>
          </w:tcPr>
          <w:p w14:paraId="5FD8BF7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环境影响报告表</w:t>
            </w:r>
          </w:p>
        </w:tc>
        <w:tc>
          <w:tcPr>
            <w:tcW w:w="782" w:type="pct"/>
            <w:tcBorders>
              <w:top w:val="nil"/>
              <w:left w:val="nil"/>
              <w:bottom w:val="single" w:color="auto" w:sz="4" w:space="0"/>
              <w:right w:val="single" w:color="auto" w:sz="4" w:space="0"/>
            </w:tcBorders>
            <w:vAlign w:val="center"/>
          </w:tcPr>
          <w:p w14:paraId="1935124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w:t>
            </w:r>
          </w:p>
        </w:tc>
        <w:tc>
          <w:tcPr>
            <w:tcW w:w="1247" w:type="pct"/>
            <w:tcBorders>
              <w:top w:val="nil"/>
              <w:left w:val="nil"/>
              <w:bottom w:val="single" w:color="auto" w:sz="4" w:space="0"/>
              <w:right w:val="single" w:color="auto" w:sz="4" w:space="0"/>
            </w:tcBorders>
            <w:vAlign w:val="center"/>
          </w:tcPr>
          <w:p w14:paraId="240A87B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环评批复：2010年9月8日获金坛市环境保护局批复（坛环审100175号）</w:t>
            </w:r>
          </w:p>
        </w:tc>
        <w:tc>
          <w:tcPr>
            <w:tcW w:w="1043" w:type="pct"/>
            <w:tcBorders>
              <w:top w:val="nil"/>
              <w:left w:val="nil"/>
              <w:bottom w:val="single" w:color="auto" w:sz="4" w:space="0"/>
              <w:right w:val="single" w:color="auto" w:sz="4" w:space="0"/>
            </w:tcBorders>
            <w:vAlign w:val="center"/>
          </w:tcPr>
          <w:p w14:paraId="4305E04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2011年8月30日通过金坛市环境保护局环境保护竣工验收（坛环验〔2011〕26号）</w:t>
            </w:r>
          </w:p>
        </w:tc>
      </w:tr>
      <w:tr w14:paraId="394CF86B">
        <w:tblPrEx>
          <w:tblCellMar>
            <w:top w:w="0" w:type="dxa"/>
            <w:left w:w="108" w:type="dxa"/>
            <w:bottom w:w="0" w:type="dxa"/>
            <w:right w:w="108" w:type="dxa"/>
          </w:tblCellMar>
        </w:tblPrEx>
        <w:trPr>
          <w:trHeight w:val="510" w:hRule="atLeast"/>
        </w:trPr>
        <w:tc>
          <w:tcPr>
            <w:tcW w:w="948" w:type="pct"/>
            <w:tcBorders>
              <w:top w:val="nil"/>
              <w:left w:val="single" w:color="auto" w:sz="4" w:space="0"/>
              <w:bottom w:val="single" w:color="auto" w:sz="4" w:space="0"/>
              <w:right w:val="single" w:color="auto" w:sz="4" w:space="0"/>
            </w:tcBorders>
            <w:vAlign w:val="center"/>
          </w:tcPr>
          <w:p w14:paraId="0D0627A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金坛区茅东污水处理扩建项目</w:t>
            </w:r>
          </w:p>
        </w:tc>
        <w:tc>
          <w:tcPr>
            <w:tcW w:w="978" w:type="pct"/>
            <w:tcBorders>
              <w:top w:val="nil"/>
              <w:left w:val="nil"/>
              <w:bottom w:val="single" w:color="auto" w:sz="4" w:space="0"/>
              <w:right w:val="single" w:color="auto" w:sz="4" w:space="0"/>
            </w:tcBorders>
            <w:vAlign w:val="center"/>
          </w:tcPr>
          <w:p w14:paraId="402BA51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环境影响报告表</w:t>
            </w:r>
          </w:p>
        </w:tc>
        <w:tc>
          <w:tcPr>
            <w:tcW w:w="782" w:type="pct"/>
            <w:tcBorders>
              <w:top w:val="nil"/>
              <w:left w:val="nil"/>
              <w:bottom w:val="single" w:color="auto" w:sz="4" w:space="0"/>
              <w:right w:val="single" w:color="auto" w:sz="4" w:space="0"/>
            </w:tcBorders>
            <w:vAlign w:val="center"/>
          </w:tcPr>
          <w:p w14:paraId="6568DCA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扩建后全厂10000m</w:t>
            </w:r>
            <w:r>
              <w:rPr>
                <w:rFonts w:hint="eastAsia" w:cs="Times New Roman"/>
                <w:color w:val="000000"/>
                <w:kern w:val="0"/>
                <w:sz w:val="21"/>
                <w:szCs w:val="21"/>
                <w:vertAlign w:val="superscript"/>
                <w14:ligatures w14:val="none"/>
              </w:rPr>
              <w:t>3</w:t>
            </w:r>
            <w:r>
              <w:rPr>
                <w:rFonts w:hint="eastAsia" w:cs="Times New Roman"/>
                <w:color w:val="000000"/>
                <w:kern w:val="0"/>
                <w:sz w:val="21"/>
                <w:szCs w:val="21"/>
                <w14:ligatures w14:val="none"/>
              </w:rPr>
              <w:t>/d</w:t>
            </w:r>
          </w:p>
        </w:tc>
        <w:tc>
          <w:tcPr>
            <w:tcW w:w="1247" w:type="pct"/>
            <w:tcBorders>
              <w:top w:val="nil"/>
              <w:left w:val="nil"/>
              <w:bottom w:val="single" w:color="auto" w:sz="4" w:space="0"/>
              <w:right w:val="single" w:color="auto" w:sz="4" w:space="0"/>
            </w:tcBorders>
            <w:vAlign w:val="center"/>
          </w:tcPr>
          <w:p w14:paraId="02E71F6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常金环审〔2019〕150号</w:t>
            </w:r>
          </w:p>
        </w:tc>
        <w:tc>
          <w:tcPr>
            <w:tcW w:w="1043" w:type="pct"/>
            <w:tcBorders>
              <w:top w:val="nil"/>
              <w:left w:val="nil"/>
              <w:bottom w:val="single" w:color="auto" w:sz="4" w:space="0"/>
              <w:right w:val="single" w:color="auto" w:sz="4" w:space="0"/>
            </w:tcBorders>
            <w:vAlign w:val="center"/>
          </w:tcPr>
          <w:p w14:paraId="77ACBFF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建设完成，已验收</w:t>
            </w:r>
          </w:p>
        </w:tc>
      </w:tr>
    </w:tbl>
    <w:p w14:paraId="58E2E654">
      <w:pPr>
        <w:spacing w:line="500" w:lineRule="exact"/>
        <w:ind w:firstLine="480"/>
        <w:rPr>
          <w:rFonts w:cs="Times New Roman"/>
          <w:szCs w:val="24"/>
        </w:rPr>
      </w:pPr>
      <w:r>
        <w:rPr>
          <w:rFonts w:hint="eastAsia"/>
          <w:szCs w:val="24"/>
        </w:rPr>
        <w:t>金坛茅东污水处理厂污水处理工艺采用“预处理</w:t>
      </w:r>
      <w:r>
        <w:rPr>
          <w:szCs w:val="24"/>
        </w:rPr>
        <w:t>+改良</w:t>
      </w:r>
      <w:r>
        <w:rPr>
          <w:rFonts w:cs="Times New Roman"/>
          <w:szCs w:val="24"/>
        </w:rPr>
        <w:t>A/A/O反</w:t>
      </w:r>
      <w:r>
        <w:rPr>
          <w:szCs w:val="24"/>
        </w:rPr>
        <w:t>应池+高效沉淀池+深床反硝化</w:t>
      </w:r>
      <w:r>
        <w:rPr>
          <w:rFonts w:hint="eastAsia"/>
          <w:szCs w:val="24"/>
        </w:rPr>
        <w:t>滤池</w:t>
      </w:r>
      <w:r>
        <w:rPr>
          <w:szCs w:val="24"/>
        </w:rPr>
        <w:t>+次氯酸钠消毒</w:t>
      </w:r>
      <w:r>
        <w:rPr>
          <w:rFonts w:hint="eastAsia"/>
          <w:szCs w:val="24"/>
        </w:rPr>
        <w:t>”</w:t>
      </w:r>
      <w:r>
        <w:rPr>
          <w:szCs w:val="24"/>
        </w:rPr>
        <w:t>，污泥处理采用机械浓缩脱水工艺</w:t>
      </w:r>
      <w:r>
        <w:rPr>
          <w:rFonts w:hint="eastAsia"/>
          <w:szCs w:val="24"/>
        </w:rPr>
        <w:t>。</w:t>
      </w:r>
      <w:r>
        <w:rPr>
          <w:rFonts w:hint="eastAsia" w:cs="Times New Roman"/>
          <w:szCs w:val="24"/>
        </w:rPr>
        <w:t>具体工艺流程见图3.4-1。</w:t>
      </w:r>
    </w:p>
    <w:p w14:paraId="13AB0CF8">
      <w:pPr>
        <w:spacing w:line="240" w:lineRule="auto"/>
        <w:ind w:firstLine="0" w:firstLineChars="0"/>
        <w:rPr>
          <w:rFonts w:cs="Times New Roman"/>
          <w:szCs w:val="24"/>
        </w:rPr>
      </w:pPr>
      <w:r>
        <w:rPr>
          <w:rFonts w:cs="Times New Roman"/>
          <w:szCs w:val="24"/>
        </w:rPr>
        <w:drawing>
          <wp:inline distT="0" distB="0" distL="0" distR="0">
            <wp:extent cx="5274310" cy="2301875"/>
            <wp:effectExtent l="0" t="0" r="2540" b="3175"/>
            <wp:docPr id="601918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918321" name="图片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4310" cy="2301875"/>
                    </a:xfrm>
                    <a:prstGeom prst="rect">
                      <a:avLst/>
                    </a:prstGeom>
                    <a:noFill/>
                    <a:ln>
                      <a:noFill/>
                    </a:ln>
                  </pic:spPr>
                </pic:pic>
              </a:graphicData>
            </a:graphic>
          </wp:inline>
        </w:drawing>
      </w:r>
    </w:p>
    <w:p w14:paraId="241D4184">
      <w:pPr>
        <w:pStyle w:val="45"/>
        <w:rPr>
          <w:rFonts w:cs="Times New Roman"/>
        </w:rPr>
      </w:pPr>
      <w:r>
        <w:rPr>
          <w:rFonts w:hint="eastAsia" w:cs="Times New Roman"/>
        </w:rPr>
        <w:t>图3.4-1  茅东污水处理厂处理工艺图</w:t>
      </w:r>
    </w:p>
    <w:p w14:paraId="11671A01">
      <w:pPr>
        <w:ind w:firstLine="480"/>
        <w:rPr>
          <w:szCs w:val="24"/>
        </w:rPr>
      </w:pPr>
      <w:r>
        <w:rPr>
          <w:szCs w:val="24"/>
        </w:rPr>
        <w:t>2023~2024</w:t>
      </w:r>
      <w:r>
        <w:rPr>
          <w:rFonts w:hint="eastAsia"/>
          <w:szCs w:val="24"/>
        </w:rPr>
        <w:t>年，常州市金坛区茅东污水处理厂实际处理污水量分别为</w:t>
      </w:r>
      <w:r>
        <w:rPr>
          <w:szCs w:val="24"/>
        </w:rPr>
        <w:t>4093.6m</w:t>
      </w:r>
      <w:r>
        <w:rPr>
          <w:szCs w:val="24"/>
          <w:vertAlign w:val="superscript"/>
        </w:rPr>
        <w:t>3</w:t>
      </w:r>
      <w:r>
        <w:rPr>
          <w:szCs w:val="24"/>
        </w:rPr>
        <w:t>/d</w:t>
      </w:r>
      <w:r>
        <w:rPr>
          <w:rFonts w:hint="eastAsia"/>
          <w:szCs w:val="24"/>
        </w:rPr>
        <w:t>和</w:t>
      </w:r>
      <w:r>
        <w:rPr>
          <w:szCs w:val="24"/>
        </w:rPr>
        <w:t>5933.1m</w:t>
      </w:r>
      <w:r>
        <w:rPr>
          <w:szCs w:val="24"/>
          <w:vertAlign w:val="superscript"/>
        </w:rPr>
        <w:t>3</w:t>
      </w:r>
      <w:r>
        <w:rPr>
          <w:szCs w:val="24"/>
        </w:rPr>
        <w:t>/d</w:t>
      </w:r>
      <w:r>
        <w:rPr>
          <w:rFonts w:hint="eastAsia"/>
          <w:szCs w:val="24"/>
        </w:rPr>
        <w:t>。</w:t>
      </w:r>
      <w:r>
        <w:rPr>
          <w:szCs w:val="24"/>
        </w:rPr>
        <w:t>2023~2024</w:t>
      </w:r>
      <w:r>
        <w:rPr>
          <w:rFonts w:hint="eastAsia"/>
          <w:szCs w:val="24"/>
        </w:rPr>
        <w:t>年污水处理厂出水水质年均在线监测数据显示，污水处理厂尾水排放满足《太湖地区城镇污水处理厂及重点工业行业主要水污染物排放限值》（DB32/1072-2018）表2中排放限值，污水处理厂尾水可稳定达标排放。</w:t>
      </w:r>
    </w:p>
    <w:p w14:paraId="3B5D62EB">
      <w:pPr>
        <w:ind w:firstLine="480"/>
        <w:rPr>
          <w:szCs w:val="24"/>
        </w:rPr>
      </w:pPr>
      <w:r>
        <w:rPr>
          <w:rFonts w:hint="eastAsia"/>
          <w:szCs w:val="24"/>
        </w:rPr>
        <w:t>2023~2024年常州市金坛区茅东污水处理厂产生污泥2372.5吨和3211.3吨，产生的污泥不属于危险固废，送往常州中晶自保温墙体材料有限公司进行综合利用，已得到安全处置。</w:t>
      </w:r>
    </w:p>
    <w:p w14:paraId="08A8A0F3">
      <w:pPr>
        <w:pStyle w:val="45"/>
        <w:rPr>
          <w:rFonts w:cs="Times New Roman"/>
        </w:rPr>
      </w:pPr>
      <w:r>
        <w:rPr>
          <w:rFonts w:cs="Times New Roman"/>
        </w:rPr>
        <w:t>表</w:t>
      </w:r>
      <w:r>
        <w:rPr>
          <w:rFonts w:hint="eastAsia" w:cs="Times New Roman"/>
        </w:rPr>
        <w:t>3</w:t>
      </w:r>
      <w:r>
        <w:rPr>
          <w:rFonts w:cs="Times New Roman"/>
        </w:rPr>
        <w:t>.4-</w:t>
      </w:r>
      <w:bookmarkStart w:id="68" w:name="_Hlk190848764"/>
      <w:r>
        <w:rPr>
          <w:rFonts w:hint="eastAsia" w:cs="Times New Roman"/>
        </w:rPr>
        <w:t>4</w:t>
      </w:r>
      <w:r>
        <w:rPr>
          <w:rFonts w:cs="Times New Roman"/>
        </w:rPr>
        <w:t xml:space="preserve"> </w:t>
      </w:r>
      <w:r>
        <w:rPr>
          <w:rFonts w:hint="eastAsia" w:cs="Times New Roman"/>
        </w:rPr>
        <w:t xml:space="preserve"> </w:t>
      </w:r>
      <w:r>
        <w:rPr>
          <w:rFonts w:cs="Times New Roman"/>
        </w:rPr>
        <w:t>2023年茅东污水厂进、出水在线监测数据</w:t>
      </w:r>
      <w:bookmarkEnd w:id="68"/>
      <w:r>
        <w:rPr>
          <w:rFonts w:cs="Times New Roman"/>
        </w:rPr>
        <w:t xml:space="preserve"> （单位：mg/L）</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4"/>
        <w:gridCol w:w="1303"/>
        <w:gridCol w:w="794"/>
        <w:gridCol w:w="689"/>
        <w:gridCol w:w="689"/>
        <w:gridCol w:w="689"/>
        <w:gridCol w:w="638"/>
        <w:gridCol w:w="689"/>
        <w:gridCol w:w="689"/>
        <w:gridCol w:w="638"/>
      </w:tblGrid>
      <w:tr w14:paraId="3584A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0" w:type="auto"/>
            <w:vMerge w:val="restart"/>
            <w:noWrap/>
            <w:vAlign w:val="center"/>
          </w:tcPr>
          <w:p w14:paraId="48333A02">
            <w:pPr>
              <w:snapToGrid w:val="0"/>
              <w:spacing w:line="240" w:lineRule="auto"/>
              <w:ind w:firstLine="0" w:firstLineChars="0"/>
              <w:jc w:val="center"/>
              <w:rPr>
                <w:b/>
                <w:bCs/>
                <w:sz w:val="21"/>
                <w:szCs w:val="21"/>
                <w14:ligatures w14:val="none"/>
              </w:rPr>
            </w:pPr>
            <w:bookmarkStart w:id="69" w:name="_Hlk190848798"/>
            <w:r>
              <w:rPr>
                <w:rFonts w:hint="eastAsia"/>
                <w:b/>
                <w:bCs/>
                <w:sz w:val="21"/>
                <w:szCs w:val="21"/>
                <w14:ligatures w14:val="none"/>
              </w:rPr>
              <w:t>时间</w:t>
            </w:r>
          </w:p>
        </w:tc>
        <w:tc>
          <w:tcPr>
            <w:tcW w:w="0" w:type="auto"/>
            <w:vMerge w:val="restart"/>
            <w:noWrap/>
            <w:vAlign w:val="center"/>
          </w:tcPr>
          <w:p w14:paraId="70452D40">
            <w:pPr>
              <w:snapToGrid w:val="0"/>
              <w:spacing w:line="240" w:lineRule="auto"/>
              <w:ind w:firstLine="0" w:firstLineChars="0"/>
              <w:jc w:val="center"/>
              <w:rPr>
                <w:b/>
                <w:bCs/>
                <w:sz w:val="21"/>
                <w:szCs w:val="21"/>
                <w14:ligatures w14:val="none"/>
              </w:rPr>
            </w:pPr>
            <w:r>
              <w:rPr>
                <w:rFonts w:hint="eastAsia"/>
                <w:b/>
                <w:bCs/>
                <w:sz w:val="21"/>
                <w:szCs w:val="21"/>
                <w14:ligatures w14:val="none"/>
              </w:rPr>
              <w:t>水量（m</w:t>
            </w:r>
            <w:r>
              <w:rPr>
                <w:rFonts w:hint="eastAsia"/>
                <w:b/>
                <w:bCs/>
                <w:sz w:val="21"/>
                <w:szCs w:val="21"/>
                <w:vertAlign w:val="superscript"/>
                <w14:ligatures w14:val="none"/>
              </w:rPr>
              <w:t>3</w:t>
            </w:r>
            <w:r>
              <w:rPr>
                <w:rFonts w:hint="eastAsia"/>
                <w:b/>
                <w:bCs/>
                <w:sz w:val="21"/>
                <w:szCs w:val="21"/>
                <w14:ligatures w14:val="none"/>
              </w:rPr>
              <w:t>）</w:t>
            </w:r>
          </w:p>
        </w:tc>
        <w:tc>
          <w:tcPr>
            <w:tcW w:w="0" w:type="auto"/>
            <w:gridSpan w:val="2"/>
            <w:noWrap/>
            <w:vAlign w:val="center"/>
          </w:tcPr>
          <w:p w14:paraId="28E5D7E1">
            <w:pPr>
              <w:snapToGrid w:val="0"/>
              <w:spacing w:line="240" w:lineRule="auto"/>
              <w:ind w:firstLine="0" w:firstLineChars="0"/>
              <w:jc w:val="center"/>
              <w:rPr>
                <w:b/>
                <w:bCs/>
                <w:sz w:val="21"/>
                <w:szCs w:val="21"/>
                <w14:ligatures w14:val="none"/>
              </w:rPr>
            </w:pPr>
            <w:r>
              <w:rPr>
                <w:rFonts w:hint="eastAsia"/>
                <w:b/>
                <w:bCs/>
                <w:sz w:val="21"/>
                <w:szCs w:val="21"/>
                <w14:ligatures w14:val="none"/>
              </w:rPr>
              <w:t>COD</w:t>
            </w:r>
          </w:p>
        </w:tc>
        <w:tc>
          <w:tcPr>
            <w:tcW w:w="0" w:type="auto"/>
            <w:gridSpan w:val="2"/>
            <w:noWrap/>
            <w:vAlign w:val="center"/>
          </w:tcPr>
          <w:p w14:paraId="14978E4F">
            <w:pPr>
              <w:snapToGrid w:val="0"/>
              <w:spacing w:line="240" w:lineRule="auto"/>
              <w:ind w:firstLine="0" w:firstLineChars="0"/>
              <w:jc w:val="center"/>
              <w:rPr>
                <w:b/>
                <w:bCs/>
                <w:sz w:val="21"/>
                <w:szCs w:val="21"/>
                <w14:ligatures w14:val="none"/>
              </w:rPr>
            </w:pPr>
            <w:r>
              <w:rPr>
                <w:rFonts w:hint="eastAsia"/>
                <w:b/>
                <w:bCs/>
                <w:sz w:val="21"/>
                <w:szCs w:val="21"/>
                <w14:ligatures w14:val="none"/>
              </w:rPr>
              <w:t>氨氮</w:t>
            </w:r>
          </w:p>
        </w:tc>
        <w:tc>
          <w:tcPr>
            <w:tcW w:w="0" w:type="auto"/>
            <w:gridSpan w:val="2"/>
            <w:noWrap/>
            <w:vAlign w:val="center"/>
          </w:tcPr>
          <w:p w14:paraId="153B2FB0">
            <w:pPr>
              <w:snapToGrid w:val="0"/>
              <w:spacing w:line="240" w:lineRule="auto"/>
              <w:ind w:firstLine="0" w:firstLineChars="0"/>
              <w:jc w:val="center"/>
              <w:rPr>
                <w:b/>
                <w:bCs/>
                <w:sz w:val="21"/>
                <w:szCs w:val="21"/>
                <w14:ligatures w14:val="none"/>
              </w:rPr>
            </w:pPr>
            <w:r>
              <w:rPr>
                <w:rFonts w:hint="eastAsia"/>
                <w:b/>
                <w:bCs/>
                <w:sz w:val="21"/>
                <w:szCs w:val="21"/>
                <w14:ligatures w14:val="none"/>
              </w:rPr>
              <w:t>总磷</w:t>
            </w:r>
          </w:p>
        </w:tc>
        <w:tc>
          <w:tcPr>
            <w:tcW w:w="0" w:type="auto"/>
            <w:gridSpan w:val="2"/>
            <w:noWrap/>
            <w:vAlign w:val="center"/>
          </w:tcPr>
          <w:p w14:paraId="1AA13540">
            <w:pPr>
              <w:snapToGrid w:val="0"/>
              <w:spacing w:line="240" w:lineRule="auto"/>
              <w:ind w:firstLine="0" w:firstLineChars="0"/>
              <w:jc w:val="center"/>
              <w:rPr>
                <w:b/>
                <w:bCs/>
                <w:sz w:val="21"/>
                <w:szCs w:val="21"/>
                <w14:ligatures w14:val="none"/>
              </w:rPr>
            </w:pPr>
            <w:r>
              <w:rPr>
                <w:rFonts w:hint="eastAsia"/>
                <w:b/>
                <w:bCs/>
                <w:sz w:val="21"/>
                <w:szCs w:val="21"/>
                <w14:ligatures w14:val="none"/>
              </w:rPr>
              <w:t>总氮</w:t>
            </w:r>
          </w:p>
        </w:tc>
      </w:tr>
      <w:tr w14:paraId="077A0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0" w:type="auto"/>
            <w:vMerge w:val="continue"/>
            <w:noWrap/>
            <w:vAlign w:val="center"/>
          </w:tcPr>
          <w:p w14:paraId="3D43DE74">
            <w:pPr>
              <w:snapToGrid w:val="0"/>
              <w:spacing w:line="240" w:lineRule="auto"/>
              <w:ind w:firstLine="0" w:firstLineChars="0"/>
              <w:jc w:val="center"/>
              <w:rPr>
                <w:b/>
                <w:bCs/>
                <w:sz w:val="21"/>
                <w:szCs w:val="21"/>
                <w14:ligatures w14:val="none"/>
              </w:rPr>
            </w:pPr>
          </w:p>
        </w:tc>
        <w:tc>
          <w:tcPr>
            <w:tcW w:w="0" w:type="auto"/>
            <w:vMerge w:val="continue"/>
            <w:noWrap/>
            <w:vAlign w:val="center"/>
          </w:tcPr>
          <w:p w14:paraId="6FB9D3D1">
            <w:pPr>
              <w:snapToGrid w:val="0"/>
              <w:spacing w:line="240" w:lineRule="auto"/>
              <w:ind w:firstLine="0" w:firstLineChars="0"/>
              <w:jc w:val="center"/>
              <w:rPr>
                <w:b/>
                <w:bCs/>
                <w:sz w:val="21"/>
                <w:szCs w:val="21"/>
                <w14:ligatures w14:val="none"/>
              </w:rPr>
            </w:pPr>
          </w:p>
        </w:tc>
        <w:tc>
          <w:tcPr>
            <w:tcW w:w="0" w:type="auto"/>
            <w:noWrap/>
            <w:vAlign w:val="center"/>
          </w:tcPr>
          <w:p w14:paraId="46FFE44C">
            <w:pPr>
              <w:snapToGrid w:val="0"/>
              <w:spacing w:line="240" w:lineRule="auto"/>
              <w:ind w:firstLine="0" w:firstLineChars="0"/>
              <w:jc w:val="center"/>
              <w:rPr>
                <w:b/>
                <w:bCs/>
                <w:sz w:val="21"/>
                <w:szCs w:val="21"/>
                <w14:ligatures w14:val="none"/>
              </w:rPr>
            </w:pPr>
            <w:r>
              <w:rPr>
                <w:rFonts w:hint="eastAsia"/>
                <w:b/>
                <w:bCs/>
                <w:sz w:val="21"/>
                <w:szCs w:val="21"/>
                <w14:ligatures w14:val="none"/>
              </w:rPr>
              <w:t>进水</w:t>
            </w:r>
          </w:p>
        </w:tc>
        <w:tc>
          <w:tcPr>
            <w:tcW w:w="0" w:type="auto"/>
            <w:noWrap/>
            <w:vAlign w:val="center"/>
          </w:tcPr>
          <w:p w14:paraId="61E61CB0">
            <w:pPr>
              <w:snapToGrid w:val="0"/>
              <w:spacing w:line="240" w:lineRule="auto"/>
              <w:ind w:firstLine="0" w:firstLineChars="0"/>
              <w:jc w:val="center"/>
              <w:rPr>
                <w:b/>
                <w:bCs/>
                <w:sz w:val="21"/>
                <w:szCs w:val="21"/>
                <w14:ligatures w14:val="none"/>
              </w:rPr>
            </w:pPr>
            <w:r>
              <w:rPr>
                <w:rFonts w:hint="eastAsia"/>
                <w:b/>
                <w:bCs/>
                <w:sz w:val="21"/>
                <w:szCs w:val="21"/>
                <w14:ligatures w14:val="none"/>
              </w:rPr>
              <w:t>出水</w:t>
            </w:r>
          </w:p>
        </w:tc>
        <w:tc>
          <w:tcPr>
            <w:tcW w:w="0" w:type="auto"/>
            <w:noWrap/>
            <w:vAlign w:val="center"/>
          </w:tcPr>
          <w:p w14:paraId="53E7670D">
            <w:pPr>
              <w:snapToGrid w:val="0"/>
              <w:spacing w:line="240" w:lineRule="auto"/>
              <w:ind w:firstLine="0" w:firstLineChars="0"/>
              <w:jc w:val="center"/>
              <w:rPr>
                <w:b/>
                <w:bCs/>
                <w:sz w:val="21"/>
                <w:szCs w:val="21"/>
                <w14:ligatures w14:val="none"/>
              </w:rPr>
            </w:pPr>
            <w:r>
              <w:rPr>
                <w:rFonts w:hint="eastAsia"/>
                <w:b/>
                <w:bCs/>
                <w:sz w:val="21"/>
                <w:szCs w:val="21"/>
                <w14:ligatures w14:val="none"/>
              </w:rPr>
              <w:t>进水</w:t>
            </w:r>
          </w:p>
        </w:tc>
        <w:tc>
          <w:tcPr>
            <w:tcW w:w="0" w:type="auto"/>
            <w:noWrap/>
            <w:vAlign w:val="center"/>
          </w:tcPr>
          <w:p w14:paraId="6F6932C4">
            <w:pPr>
              <w:snapToGrid w:val="0"/>
              <w:spacing w:line="240" w:lineRule="auto"/>
              <w:ind w:firstLine="0" w:firstLineChars="0"/>
              <w:jc w:val="center"/>
              <w:rPr>
                <w:b/>
                <w:bCs/>
                <w:sz w:val="21"/>
                <w:szCs w:val="21"/>
                <w14:ligatures w14:val="none"/>
              </w:rPr>
            </w:pPr>
            <w:r>
              <w:rPr>
                <w:rFonts w:hint="eastAsia"/>
                <w:b/>
                <w:bCs/>
                <w:sz w:val="21"/>
                <w:szCs w:val="21"/>
                <w14:ligatures w14:val="none"/>
              </w:rPr>
              <w:t>出水</w:t>
            </w:r>
          </w:p>
        </w:tc>
        <w:tc>
          <w:tcPr>
            <w:tcW w:w="0" w:type="auto"/>
            <w:noWrap/>
            <w:vAlign w:val="center"/>
          </w:tcPr>
          <w:p w14:paraId="31CD6943">
            <w:pPr>
              <w:snapToGrid w:val="0"/>
              <w:spacing w:line="240" w:lineRule="auto"/>
              <w:ind w:firstLine="0" w:firstLineChars="0"/>
              <w:jc w:val="center"/>
              <w:rPr>
                <w:b/>
                <w:bCs/>
                <w:sz w:val="21"/>
                <w:szCs w:val="21"/>
                <w14:ligatures w14:val="none"/>
              </w:rPr>
            </w:pPr>
            <w:r>
              <w:rPr>
                <w:rFonts w:hint="eastAsia"/>
                <w:b/>
                <w:bCs/>
                <w:sz w:val="21"/>
                <w:szCs w:val="21"/>
                <w14:ligatures w14:val="none"/>
              </w:rPr>
              <w:t>进水</w:t>
            </w:r>
          </w:p>
        </w:tc>
        <w:tc>
          <w:tcPr>
            <w:tcW w:w="0" w:type="auto"/>
            <w:noWrap/>
            <w:vAlign w:val="center"/>
          </w:tcPr>
          <w:p w14:paraId="304C0416">
            <w:pPr>
              <w:snapToGrid w:val="0"/>
              <w:spacing w:line="240" w:lineRule="auto"/>
              <w:ind w:firstLine="0" w:firstLineChars="0"/>
              <w:jc w:val="center"/>
              <w:rPr>
                <w:b/>
                <w:bCs/>
                <w:sz w:val="21"/>
                <w:szCs w:val="21"/>
                <w14:ligatures w14:val="none"/>
              </w:rPr>
            </w:pPr>
            <w:r>
              <w:rPr>
                <w:rFonts w:hint="eastAsia"/>
                <w:b/>
                <w:bCs/>
                <w:sz w:val="21"/>
                <w:szCs w:val="21"/>
                <w14:ligatures w14:val="none"/>
              </w:rPr>
              <w:t>出水</w:t>
            </w:r>
          </w:p>
        </w:tc>
        <w:tc>
          <w:tcPr>
            <w:tcW w:w="0" w:type="auto"/>
            <w:noWrap/>
            <w:vAlign w:val="center"/>
          </w:tcPr>
          <w:p w14:paraId="6F45842D">
            <w:pPr>
              <w:snapToGrid w:val="0"/>
              <w:spacing w:line="240" w:lineRule="auto"/>
              <w:ind w:firstLine="0" w:firstLineChars="0"/>
              <w:jc w:val="center"/>
              <w:rPr>
                <w:b/>
                <w:bCs/>
                <w:sz w:val="21"/>
                <w:szCs w:val="21"/>
                <w14:ligatures w14:val="none"/>
              </w:rPr>
            </w:pPr>
            <w:r>
              <w:rPr>
                <w:rFonts w:hint="eastAsia"/>
                <w:b/>
                <w:bCs/>
                <w:sz w:val="21"/>
                <w:szCs w:val="21"/>
                <w14:ligatures w14:val="none"/>
              </w:rPr>
              <w:t>进水</w:t>
            </w:r>
          </w:p>
        </w:tc>
        <w:tc>
          <w:tcPr>
            <w:tcW w:w="0" w:type="auto"/>
            <w:noWrap/>
            <w:vAlign w:val="center"/>
          </w:tcPr>
          <w:p w14:paraId="58EC976D">
            <w:pPr>
              <w:snapToGrid w:val="0"/>
              <w:spacing w:line="240" w:lineRule="auto"/>
              <w:ind w:firstLine="0" w:firstLineChars="0"/>
              <w:jc w:val="center"/>
              <w:rPr>
                <w:b/>
                <w:bCs/>
                <w:sz w:val="21"/>
                <w:szCs w:val="21"/>
                <w14:ligatures w14:val="none"/>
              </w:rPr>
            </w:pPr>
            <w:r>
              <w:rPr>
                <w:rFonts w:hint="eastAsia"/>
                <w:b/>
                <w:bCs/>
                <w:sz w:val="21"/>
                <w:szCs w:val="21"/>
                <w14:ligatures w14:val="none"/>
              </w:rPr>
              <w:t>出水</w:t>
            </w:r>
          </w:p>
        </w:tc>
      </w:tr>
      <w:tr w14:paraId="040EC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7022FA07">
            <w:pPr>
              <w:snapToGrid w:val="0"/>
              <w:spacing w:line="240" w:lineRule="auto"/>
              <w:ind w:firstLine="0" w:firstLineChars="0"/>
              <w:jc w:val="center"/>
              <w:rPr>
                <w:sz w:val="21"/>
                <w:szCs w:val="21"/>
                <w14:ligatures w14:val="none"/>
              </w:rPr>
            </w:pPr>
            <w:r>
              <w:rPr>
                <w:rFonts w:hint="eastAsia"/>
                <w:sz w:val="21"/>
                <w:szCs w:val="21"/>
                <w14:ligatures w14:val="none"/>
              </w:rPr>
              <w:t>2023年1月</w:t>
            </w:r>
          </w:p>
        </w:tc>
        <w:tc>
          <w:tcPr>
            <w:tcW w:w="0" w:type="auto"/>
            <w:noWrap/>
            <w:vAlign w:val="center"/>
          </w:tcPr>
          <w:p w14:paraId="08DEE0D9">
            <w:pPr>
              <w:snapToGrid w:val="0"/>
              <w:spacing w:line="240" w:lineRule="auto"/>
              <w:ind w:firstLine="0" w:firstLineChars="0"/>
              <w:jc w:val="center"/>
              <w:rPr>
                <w:sz w:val="21"/>
                <w:szCs w:val="21"/>
                <w14:ligatures w14:val="none"/>
              </w:rPr>
            </w:pPr>
            <w:r>
              <w:rPr>
                <w:rFonts w:hint="eastAsia"/>
                <w:sz w:val="21"/>
                <w:szCs w:val="21"/>
                <w14:ligatures w14:val="none"/>
              </w:rPr>
              <w:t>50400</w:t>
            </w:r>
          </w:p>
        </w:tc>
        <w:tc>
          <w:tcPr>
            <w:tcW w:w="0" w:type="auto"/>
            <w:noWrap/>
            <w:vAlign w:val="center"/>
          </w:tcPr>
          <w:p w14:paraId="69649383">
            <w:pPr>
              <w:snapToGrid w:val="0"/>
              <w:spacing w:line="240" w:lineRule="auto"/>
              <w:ind w:firstLine="0" w:firstLineChars="0"/>
              <w:jc w:val="center"/>
              <w:rPr>
                <w:sz w:val="21"/>
                <w:szCs w:val="21"/>
                <w14:ligatures w14:val="none"/>
              </w:rPr>
            </w:pPr>
            <w:r>
              <w:rPr>
                <w:rFonts w:hint="eastAsia"/>
                <w:sz w:val="21"/>
                <w:szCs w:val="21"/>
                <w14:ligatures w14:val="none"/>
              </w:rPr>
              <w:t>119</w:t>
            </w:r>
          </w:p>
        </w:tc>
        <w:tc>
          <w:tcPr>
            <w:tcW w:w="0" w:type="auto"/>
            <w:noWrap/>
            <w:vAlign w:val="center"/>
          </w:tcPr>
          <w:p w14:paraId="527BE8A6">
            <w:pPr>
              <w:snapToGrid w:val="0"/>
              <w:spacing w:line="240" w:lineRule="auto"/>
              <w:ind w:firstLine="0" w:firstLineChars="0"/>
              <w:jc w:val="center"/>
              <w:rPr>
                <w:sz w:val="21"/>
                <w:szCs w:val="21"/>
                <w14:ligatures w14:val="none"/>
              </w:rPr>
            </w:pPr>
            <w:r>
              <w:rPr>
                <w:rFonts w:hint="eastAsia"/>
                <w:sz w:val="21"/>
                <w:szCs w:val="21"/>
                <w14:ligatures w14:val="none"/>
              </w:rPr>
              <w:t>17.6</w:t>
            </w:r>
          </w:p>
        </w:tc>
        <w:tc>
          <w:tcPr>
            <w:tcW w:w="0" w:type="auto"/>
            <w:noWrap/>
            <w:vAlign w:val="center"/>
          </w:tcPr>
          <w:p w14:paraId="7698FCE5">
            <w:pPr>
              <w:snapToGrid w:val="0"/>
              <w:spacing w:line="240" w:lineRule="auto"/>
              <w:ind w:firstLine="0" w:firstLineChars="0"/>
              <w:jc w:val="center"/>
              <w:rPr>
                <w:sz w:val="21"/>
                <w:szCs w:val="21"/>
                <w14:ligatures w14:val="none"/>
              </w:rPr>
            </w:pPr>
            <w:r>
              <w:rPr>
                <w:rFonts w:hint="eastAsia"/>
                <w:sz w:val="21"/>
                <w:szCs w:val="21"/>
                <w14:ligatures w14:val="none"/>
              </w:rPr>
              <w:t>21.3</w:t>
            </w:r>
          </w:p>
        </w:tc>
        <w:tc>
          <w:tcPr>
            <w:tcW w:w="0" w:type="auto"/>
            <w:noWrap/>
            <w:vAlign w:val="center"/>
          </w:tcPr>
          <w:p w14:paraId="662AE02A">
            <w:pPr>
              <w:snapToGrid w:val="0"/>
              <w:spacing w:line="240" w:lineRule="auto"/>
              <w:ind w:firstLine="0" w:firstLineChars="0"/>
              <w:jc w:val="center"/>
              <w:rPr>
                <w:sz w:val="21"/>
                <w:szCs w:val="21"/>
                <w14:ligatures w14:val="none"/>
              </w:rPr>
            </w:pPr>
            <w:r>
              <w:rPr>
                <w:rFonts w:hint="eastAsia"/>
                <w:sz w:val="21"/>
                <w:szCs w:val="21"/>
                <w14:ligatures w14:val="none"/>
              </w:rPr>
              <w:t>0.885</w:t>
            </w:r>
          </w:p>
        </w:tc>
        <w:tc>
          <w:tcPr>
            <w:tcW w:w="0" w:type="auto"/>
            <w:noWrap/>
            <w:vAlign w:val="center"/>
          </w:tcPr>
          <w:p w14:paraId="15E69895">
            <w:pPr>
              <w:snapToGrid w:val="0"/>
              <w:spacing w:line="240" w:lineRule="auto"/>
              <w:ind w:firstLine="0" w:firstLineChars="0"/>
              <w:jc w:val="center"/>
              <w:rPr>
                <w:sz w:val="21"/>
                <w:szCs w:val="21"/>
                <w14:ligatures w14:val="none"/>
              </w:rPr>
            </w:pPr>
            <w:r>
              <w:rPr>
                <w:rFonts w:hint="eastAsia"/>
                <w:sz w:val="21"/>
                <w:szCs w:val="21"/>
                <w14:ligatures w14:val="none"/>
              </w:rPr>
              <w:t>2.28</w:t>
            </w:r>
          </w:p>
        </w:tc>
        <w:tc>
          <w:tcPr>
            <w:tcW w:w="0" w:type="auto"/>
            <w:noWrap/>
            <w:vAlign w:val="center"/>
          </w:tcPr>
          <w:p w14:paraId="4A784021">
            <w:pPr>
              <w:snapToGrid w:val="0"/>
              <w:spacing w:line="240" w:lineRule="auto"/>
              <w:ind w:firstLine="0" w:firstLineChars="0"/>
              <w:jc w:val="center"/>
              <w:rPr>
                <w:sz w:val="21"/>
                <w:szCs w:val="21"/>
                <w14:ligatures w14:val="none"/>
              </w:rPr>
            </w:pPr>
            <w:r>
              <w:rPr>
                <w:rFonts w:hint="eastAsia"/>
                <w:sz w:val="21"/>
                <w:szCs w:val="21"/>
                <w14:ligatures w14:val="none"/>
              </w:rPr>
              <w:t>0.054</w:t>
            </w:r>
          </w:p>
        </w:tc>
        <w:tc>
          <w:tcPr>
            <w:tcW w:w="0" w:type="auto"/>
            <w:noWrap/>
            <w:vAlign w:val="center"/>
          </w:tcPr>
          <w:p w14:paraId="02410E14">
            <w:pPr>
              <w:snapToGrid w:val="0"/>
              <w:spacing w:line="240" w:lineRule="auto"/>
              <w:ind w:firstLine="0" w:firstLineChars="0"/>
              <w:jc w:val="center"/>
              <w:rPr>
                <w:sz w:val="21"/>
                <w:szCs w:val="21"/>
                <w14:ligatures w14:val="none"/>
              </w:rPr>
            </w:pPr>
            <w:r>
              <w:rPr>
                <w:rFonts w:hint="eastAsia"/>
                <w:sz w:val="21"/>
                <w:szCs w:val="21"/>
                <w14:ligatures w14:val="none"/>
              </w:rPr>
              <w:t>29.7</w:t>
            </w:r>
          </w:p>
        </w:tc>
        <w:tc>
          <w:tcPr>
            <w:tcW w:w="0" w:type="auto"/>
            <w:noWrap/>
            <w:vAlign w:val="center"/>
          </w:tcPr>
          <w:p w14:paraId="14C5D1D0">
            <w:pPr>
              <w:snapToGrid w:val="0"/>
              <w:spacing w:line="240" w:lineRule="auto"/>
              <w:ind w:firstLine="0" w:firstLineChars="0"/>
              <w:jc w:val="center"/>
              <w:rPr>
                <w:sz w:val="21"/>
                <w:szCs w:val="21"/>
                <w14:ligatures w14:val="none"/>
              </w:rPr>
            </w:pPr>
            <w:r>
              <w:rPr>
                <w:rFonts w:hint="eastAsia"/>
                <w:sz w:val="21"/>
                <w:szCs w:val="21"/>
                <w14:ligatures w14:val="none"/>
              </w:rPr>
              <w:t>6.77</w:t>
            </w:r>
          </w:p>
        </w:tc>
      </w:tr>
      <w:tr w14:paraId="17AE0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455D93D4">
            <w:pPr>
              <w:snapToGrid w:val="0"/>
              <w:spacing w:line="240" w:lineRule="auto"/>
              <w:ind w:firstLine="0" w:firstLineChars="0"/>
              <w:jc w:val="center"/>
              <w:rPr>
                <w:sz w:val="21"/>
                <w:szCs w:val="21"/>
                <w14:ligatures w14:val="none"/>
              </w:rPr>
            </w:pPr>
            <w:r>
              <w:rPr>
                <w:rFonts w:hint="eastAsia"/>
                <w:sz w:val="21"/>
                <w:szCs w:val="21"/>
                <w14:ligatures w14:val="none"/>
              </w:rPr>
              <w:t>2023年2月</w:t>
            </w:r>
          </w:p>
        </w:tc>
        <w:tc>
          <w:tcPr>
            <w:tcW w:w="0" w:type="auto"/>
            <w:noWrap/>
            <w:vAlign w:val="center"/>
          </w:tcPr>
          <w:p w14:paraId="31FCF825">
            <w:pPr>
              <w:snapToGrid w:val="0"/>
              <w:spacing w:line="240" w:lineRule="auto"/>
              <w:ind w:firstLine="0" w:firstLineChars="0"/>
              <w:jc w:val="center"/>
              <w:rPr>
                <w:sz w:val="21"/>
                <w:szCs w:val="21"/>
                <w14:ligatures w14:val="none"/>
              </w:rPr>
            </w:pPr>
            <w:r>
              <w:rPr>
                <w:rFonts w:hint="eastAsia"/>
                <w:sz w:val="21"/>
                <w:szCs w:val="21"/>
                <w14:ligatures w14:val="none"/>
              </w:rPr>
              <w:t>116444</w:t>
            </w:r>
          </w:p>
        </w:tc>
        <w:tc>
          <w:tcPr>
            <w:tcW w:w="0" w:type="auto"/>
            <w:noWrap/>
            <w:vAlign w:val="center"/>
          </w:tcPr>
          <w:p w14:paraId="50C86BE5">
            <w:pPr>
              <w:snapToGrid w:val="0"/>
              <w:spacing w:line="240" w:lineRule="auto"/>
              <w:ind w:firstLine="0" w:firstLineChars="0"/>
              <w:jc w:val="center"/>
              <w:rPr>
                <w:sz w:val="21"/>
                <w:szCs w:val="21"/>
                <w14:ligatures w14:val="none"/>
              </w:rPr>
            </w:pPr>
            <w:r>
              <w:rPr>
                <w:rFonts w:hint="eastAsia"/>
                <w:sz w:val="21"/>
                <w:szCs w:val="21"/>
                <w14:ligatures w14:val="none"/>
              </w:rPr>
              <w:t>115</w:t>
            </w:r>
          </w:p>
        </w:tc>
        <w:tc>
          <w:tcPr>
            <w:tcW w:w="0" w:type="auto"/>
            <w:noWrap/>
            <w:vAlign w:val="center"/>
          </w:tcPr>
          <w:p w14:paraId="33E022D5">
            <w:pPr>
              <w:snapToGrid w:val="0"/>
              <w:spacing w:line="240" w:lineRule="auto"/>
              <w:ind w:firstLine="0" w:firstLineChars="0"/>
              <w:jc w:val="center"/>
              <w:rPr>
                <w:sz w:val="21"/>
                <w:szCs w:val="21"/>
                <w14:ligatures w14:val="none"/>
              </w:rPr>
            </w:pPr>
            <w:r>
              <w:rPr>
                <w:rFonts w:hint="eastAsia"/>
                <w:sz w:val="21"/>
                <w:szCs w:val="21"/>
                <w14:ligatures w14:val="none"/>
              </w:rPr>
              <w:t>21</w:t>
            </w:r>
          </w:p>
        </w:tc>
        <w:tc>
          <w:tcPr>
            <w:tcW w:w="0" w:type="auto"/>
            <w:noWrap/>
            <w:vAlign w:val="center"/>
          </w:tcPr>
          <w:p w14:paraId="38A51BC6">
            <w:pPr>
              <w:snapToGrid w:val="0"/>
              <w:spacing w:line="240" w:lineRule="auto"/>
              <w:ind w:firstLine="0" w:firstLineChars="0"/>
              <w:jc w:val="center"/>
              <w:rPr>
                <w:sz w:val="21"/>
                <w:szCs w:val="21"/>
                <w14:ligatures w14:val="none"/>
              </w:rPr>
            </w:pPr>
            <w:r>
              <w:rPr>
                <w:rFonts w:hint="eastAsia"/>
                <w:sz w:val="21"/>
                <w:szCs w:val="21"/>
                <w14:ligatures w14:val="none"/>
              </w:rPr>
              <w:t>14.5</w:t>
            </w:r>
          </w:p>
        </w:tc>
        <w:tc>
          <w:tcPr>
            <w:tcW w:w="0" w:type="auto"/>
            <w:noWrap/>
            <w:vAlign w:val="center"/>
          </w:tcPr>
          <w:p w14:paraId="31273EF7">
            <w:pPr>
              <w:snapToGrid w:val="0"/>
              <w:spacing w:line="240" w:lineRule="auto"/>
              <w:ind w:firstLine="0" w:firstLineChars="0"/>
              <w:jc w:val="center"/>
              <w:rPr>
                <w:sz w:val="21"/>
                <w:szCs w:val="21"/>
                <w14:ligatures w14:val="none"/>
              </w:rPr>
            </w:pPr>
            <w:r>
              <w:rPr>
                <w:rFonts w:hint="eastAsia"/>
                <w:sz w:val="21"/>
                <w:szCs w:val="21"/>
                <w14:ligatures w14:val="none"/>
              </w:rPr>
              <w:t>0.318</w:t>
            </w:r>
          </w:p>
        </w:tc>
        <w:tc>
          <w:tcPr>
            <w:tcW w:w="0" w:type="auto"/>
            <w:noWrap/>
            <w:vAlign w:val="center"/>
          </w:tcPr>
          <w:p w14:paraId="49A760DF">
            <w:pPr>
              <w:snapToGrid w:val="0"/>
              <w:spacing w:line="240" w:lineRule="auto"/>
              <w:ind w:firstLine="0" w:firstLineChars="0"/>
              <w:jc w:val="center"/>
              <w:rPr>
                <w:sz w:val="21"/>
                <w:szCs w:val="21"/>
                <w14:ligatures w14:val="none"/>
              </w:rPr>
            </w:pPr>
            <w:r>
              <w:rPr>
                <w:rFonts w:hint="eastAsia"/>
                <w:sz w:val="21"/>
                <w:szCs w:val="21"/>
                <w14:ligatures w14:val="none"/>
              </w:rPr>
              <w:t>1.72</w:t>
            </w:r>
          </w:p>
        </w:tc>
        <w:tc>
          <w:tcPr>
            <w:tcW w:w="0" w:type="auto"/>
            <w:noWrap/>
            <w:vAlign w:val="center"/>
          </w:tcPr>
          <w:p w14:paraId="353C2E5E">
            <w:pPr>
              <w:snapToGrid w:val="0"/>
              <w:spacing w:line="240" w:lineRule="auto"/>
              <w:ind w:firstLine="0" w:firstLineChars="0"/>
              <w:jc w:val="center"/>
              <w:rPr>
                <w:sz w:val="21"/>
                <w:szCs w:val="21"/>
                <w:highlight w:val="yellow"/>
                <w14:ligatures w14:val="none"/>
              </w:rPr>
            </w:pPr>
            <w:r>
              <w:rPr>
                <w:rFonts w:hint="eastAsia"/>
                <w:sz w:val="21"/>
                <w:szCs w:val="21"/>
                <w14:ligatures w14:val="none"/>
              </w:rPr>
              <w:t>0.116</w:t>
            </w:r>
          </w:p>
        </w:tc>
        <w:tc>
          <w:tcPr>
            <w:tcW w:w="0" w:type="auto"/>
            <w:noWrap/>
            <w:vAlign w:val="center"/>
          </w:tcPr>
          <w:p w14:paraId="60CBA071">
            <w:pPr>
              <w:snapToGrid w:val="0"/>
              <w:spacing w:line="240" w:lineRule="auto"/>
              <w:ind w:firstLine="0" w:firstLineChars="0"/>
              <w:jc w:val="center"/>
              <w:rPr>
                <w:sz w:val="21"/>
                <w:szCs w:val="21"/>
                <w14:ligatures w14:val="none"/>
              </w:rPr>
            </w:pPr>
            <w:r>
              <w:rPr>
                <w:rFonts w:hint="eastAsia"/>
                <w:sz w:val="21"/>
                <w:szCs w:val="21"/>
                <w14:ligatures w14:val="none"/>
              </w:rPr>
              <w:t>20.4</w:t>
            </w:r>
          </w:p>
        </w:tc>
        <w:tc>
          <w:tcPr>
            <w:tcW w:w="0" w:type="auto"/>
            <w:noWrap/>
            <w:vAlign w:val="center"/>
          </w:tcPr>
          <w:p w14:paraId="7ED6F626">
            <w:pPr>
              <w:snapToGrid w:val="0"/>
              <w:spacing w:line="240" w:lineRule="auto"/>
              <w:ind w:firstLine="0" w:firstLineChars="0"/>
              <w:jc w:val="center"/>
              <w:rPr>
                <w:sz w:val="21"/>
                <w:szCs w:val="21"/>
                <w14:ligatures w14:val="none"/>
              </w:rPr>
            </w:pPr>
            <w:r>
              <w:rPr>
                <w:rFonts w:hint="eastAsia"/>
                <w:sz w:val="21"/>
                <w:szCs w:val="21"/>
                <w14:ligatures w14:val="none"/>
              </w:rPr>
              <w:t>4.72</w:t>
            </w:r>
          </w:p>
        </w:tc>
      </w:tr>
      <w:tr w14:paraId="5886D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0B4CF29E">
            <w:pPr>
              <w:snapToGrid w:val="0"/>
              <w:spacing w:line="240" w:lineRule="auto"/>
              <w:ind w:firstLine="0" w:firstLineChars="0"/>
              <w:jc w:val="center"/>
              <w:rPr>
                <w:sz w:val="21"/>
                <w:szCs w:val="21"/>
                <w14:ligatures w14:val="none"/>
              </w:rPr>
            </w:pPr>
            <w:r>
              <w:rPr>
                <w:rFonts w:hint="eastAsia"/>
                <w:sz w:val="21"/>
                <w:szCs w:val="21"/>
                <w14:ligatures w14:val="none"/>
              </w:rPr>
              <w:t>2023年3月</w:t>
            </w:r>
          </w:p>
        </w:tc>
        <w:tc>
          <w:tcPr>
            <w:tcW w:w="0" w:type="auto"/>
            <w:noWrap/>
            <w:vAlign w:val="center"/>
          </w:tcPr>
          <w:p w14:paraId="22043BD1">
            <w:pPr>
              <w:snapToGrid w:val="0"/>
              <w:spacing w:line="240" w:lineRule="auto"/>
              <w:ind w:firstLine="0" w:firstLineChars="0"/>
              <w:jc w:val="center"/>
              <w:rPr>
                <w:sz w:val="21"/>
                <w:szCs w:val="21"/>
                <w14:ligatures w14:val="none"/>
              </w:rPr>
            </w:pPr>
            <w:r>
              <w:rPr>
                <w:rFonts w:hint="eastAsia"/>
                <w:sz w:val="21"/>
                <w:szCs w:val="21"/>
                <w14:ligatures w14:val="none"/>
              </w:rPr>
              <w:t>124373</w:t>
            </w:r>
          </w:p>
        </w:tc>
        <w:tc>
          <w:tcPr>
            <w:tcW w:w="0" w:type="auto"/>
            <w:noWrap/>
            <w:vAlign w:val="center"/>
          </w:tcPr>
          <w:p w14:paraId="17777F0B">
            <w:pPr>
              <w:snapToGrid w:val="0"/>
              <w:spacing w:line="240" w:lineRule="auto"/>
              <w:ind w:firstLine="0" w:firstLineChars="0"/>
              <w:jc w:val="center"/>
              <w:rPr>
                <w:sz w:val="21"/>
                <w:szCs w:val="21"/>
                <w14:ligatures w14:val="none"/>
              </w:rPr>
            </w:pPr>
            <w:r>
              <w:rPr>
                <w:rFonts w:hint="eastAsia"/>
                <w:sz w:val="21"/>
                <w:szCs w:val="21"/>
                <w14:ligatures w14:val="none"/>
              </w:rPr>
              <w:t>95</w:t>
            </w:r>
          </w:p>
        </w:tc>
        <w:tc>
          <w:tcPr>
            <w:tcW w:w="0" w:type="auto"/>
            <w:noWrap/>
            <w:vAlign w:val="center"/>
          </w:tcPr>
          <w:p w14:paraId="5E5192B9">
            <w:pPr>
              <w:snapToGrid w:val="0"/>
              <w:spacing w:line="240" w:lineRule="auto"/>
              <w:ind w:firstLine="0" w:firstLineChars="0"/>
              <w:jc w:val="center"/>
              <w:rPr>
                <w:sz w:val="21"/>
                <w:szCs w:val="21"/>
                <w14:ligatures w14:val="none"/>
              </w:rPr>
            </w:pPr>
            <w:r>
              <w:rPr>
                <w:rFonts w:hint="eastAsia"/>
                <w:sz w:val="21"/>
                <w:szCs w:val="21"/>
                <w14:ligatures w14:val="none"/>
              </w:rPr>
              <w:t>16.7</w:t>
            </w:r>
          </w:p>
        </w:tc>
        <w:tc>
          <w:tcPr>
            <w:tcW w:w="0" w:type="auto"/>
            <w:noWrap/>
            <w:vAlign w:val="center"/>
          </w:tcPr>
          <w:p w14:paraId="7A76B937">
            <w:pPr>
              <w:snapToGrid w:val="0"/>
              <w:spacing w:line="240" w:lineRule="auto"/>
              <w:ind w:firstLine="0" w:firstLineChars="0"/>
              <w:jc w:val="center"/>
              <w:rPr>
                <w:sz w:val="21"/>
                <w:szCs w:val="21"/>
                <w14:ligatures w14:val="none"/>
              </w:rPr>
            </w:pPr>
            <w:r>
              <w:rPr>
                <w:rFonts w:hint="eastAsia"/>
                <w:sz w:val="21"/>
                <w:szCs w:val="21"/>
                <w14:ligatures w14:val="none"/>
              </w:rPr>
              <w:t>16.3</w:t>
            </w:r>
          </w:p>
        </w:tc>
        <w:tc>
          <w:tcPr>
            <w:tcW w:w="0" w:type="auto"/>
            <w:noWrap/>
            <w:vAlign w:val="center"/>
          </w:tcPr>
          <w:p w14:paraId="37AC7668">
            <w:pPr>
              <w:snapToGrid w:val="0"/>
              <w:spacing w:line="240" w:lineRule="auto"/>
              <w:ind w:firstLine="0" w:firstLineChars="0"/>
              <w:jc w:val="center"/>
              <w:rPr>
                <w:sz w:val="21"/>
                <w:szCs w:val="21"/>
                <w14:ligatures w14:val="none"/>
              </w:rPr>
            </w:pPr>
            <w:r>
              <w:rPr>
                <w:rFonts w:hint="eastAsia"/>
                <w:sz w:val="21"/>
                <w:szCs w:val="21"/>
                <w14:ligatures w14:val="none"/>
              </w:rPr>
              <w:t>0.184</w:t>
            </w:r>
          </w:p>
        </w:tc>
        <w:tc>
          <w:tcPr>
            <w:tcW w:w="0" w:type="auto"/>
            <w:noWrap/>
            <w:vAlign w:val="center"/>
          </w:tcPr>
          <w:p w14:paraId="6E473E55">
            <w:pPr>
              <w:snapToGrid w:val="0"/>
              <w:spacing w:line="240" w:lineRule="auto"/>
              <w:ind w:firstLine="0" w:firstLineChars="0"/>
              <w:jc w:val="center"/>
              <w:rPr>
                <w:sz w:val="21"/>
                <w:szCs w:val="21"/>
                <w14:ligatures w14:val="none"/>
              </w:rPr>
            </w:pPr>
            <w:r>
              <w:rPr>
                <w:rFonts w:hint="eastAsia"/>
                <w:sz w:val="21"/>
                <w:szCs w:val="21"/>
                <w14:ligatures w14:val="none"/>
              </w:rPr>
              <w:t>1.78</w:t>
            </w:r>
          </w:p>
        </w:tc>
        <w:tc>
          <w:tcPr>
            <w:tcW w:w="0" w:type="auto"/>
            <w:noWrap/>
            <w:vAlign w:val="center"/>
          </w:tcPr>
          <w:p w14:paraId="3E2F38D1">
            <w:pPr>
              <w:snapToGrid w:val="0"/>
              <w:spacing w:line="240" w:lineRule="auto"/>
              <w:ind w:firstLine="0" w:firstLineChars="0"/>
              <w:jc w:val="center"/>
              <w:rPr>
                <w:sz w:val="21"/>
                <w:szCs w:val="21"/>
                <w14:ligatures w14:val="none"/>
              </w:rPr>
            </w:pPr>
            <w:r>
              <w:rPr>
                <w:rFonts w:hint="eastAsia"/>
                <w:sz w:val="21"/>
                <w:szCs w:val="21"/>
                <w14:ligatures w14:val="none"/>
              </w:rPr>
              <w:t>0.042</w:t>
            </w:r>
          </w:p>
        </w:tc>
        <w:tc>
          <w:tcPr>
            <w:tcW w:w="0" w:type="auto"/>
            <w:noWrap/>
            <w:vAlign w:val="center"/>
          </w:tcPr>
          <w:p w14:paraId="34A3802B">
            <w:pPr>
              <w:snapToGrid w:val="0"/>
              <w:spacing w:line="240" w:lineRule="auto"/>
              <w:ind w:firstLine="0" w:firstLineChars="0"/>
              <w:jc w:val="center"/>
              <w:rPr>
                <w:sz w:val="21"/>
                <w:szCs w:val="21"/>
                <w14:ligatures w14:val="none"/>
              </w:rPr>
            </w:pPr>
            <w:r>
              <w:rPr>
                <w:rFonts w:hint="eastAsia"/>
                <w:sz w:val="21"/>
                <w:szCs w:val="21"/>
                <w14:ligatures w14:val="none"/>
              </w:rPr>
              <w:t>20.4</w:t>
            </w:r>
          </w:p>
        </w:tc>
        <w:tc>
          <w:tcPr>
            <w:tcW w:w="0" w:type="auto"/>
            <w:noWrap/>
            <w:vAlign w:val="center"/>
          </w:tcPr>
          <w:p w14:paraId="7F78CE14">
            <w:pPr>
              <w:snapToGrid w:val="0"/>
              <w:spacing w:line="240" w:lineRule="auto"/>
              <w:ind w:firstLine="0" w:firstLineChars="0"/>
              <w:jc w:val="center"/>
              <w:rPr>
                <w:sz w:val="21"/>
                <w:szCs w:val="21"/>
                <w14:ligatures w14:val="none"/>
              </w:rPr>
            </w:pPr>
            <w:r>
              <w:rPr>
                <w:rFonts w:hint="eastAsia"/>
                <w:sz w:val="21"/>
                <w:szCs w:val="21"/>
                <w14:ligatures w14:val="none"/>
              </w:rPr>
              <w:t>4.72</w:t>
            </w:r>
          </w:p>
        </w:tc>
      </w:tr>
      <w:tr w14:paraId="1C2A5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488CE4C5">
            <w:pPr>
              <w:snapToGrid w:val="0"/>
              <w:spacing w:line="240" w:lineRule="auto"/>
              <w:ind w:firstLine="0" w:firstLineChars="0"/>
              <w:jc w:val="center"/>
              <w:rPr>
                <w:sz w:val="21"/>
                <w:szCs w:val="21"/>
                <w14:ligatures w14:val="none"/>
              </w:rPr>
            </w:pPr>
            <w:r>
              <w:rPr>
                <w:rFonts w:hint="eastAsia"/>
                <w:sz w:val="21"/>
                <w:szCs w:val="21"/>
                <w14:ligatures w14:val="none"/>
              </w:rPr>
              <w:t>2023年4月</w:t>
            </w:r>
          </w:p>
        </w:tc>
        <w:tc>
          <w:tcPr>
            <w:tcW w:w="0" w:type="auto"/>
            <w:noWrap/>
            <w:vAlign w:val="center"/>
          </w:tcPr>
          <w:p w14:paraId="60313BDF">
            <w:pPr>
              <w:snapToGrid w:val="0"/>
              <w:spacing w:line="240" w:lineRule="auto"/>
              <w:ind w:firstLine="0" w:firstLineChars="0"/>
              <w:jc w:val="center"/>
              <w:rPr>
                <w:sz w:val="21"/>
                <w:szCs w:val="21"/>
                <w14:ligatures w14:val="none"/>
              </w:rPr>
            </w:pPr>
            <w:r>
              <w:rPr>
                <w:rFonts w:hint="eastAsia"/>
                <w:sz w:val="21"/>
                <w:szCs w:val="21"/>
                <w14:ligatures w14:val="none"/>
              </w:rPr>
              <w:t>122595</w:t>
            </w:r>
          </w:p>
        </w:tc>
        <w:tc>
          <w:tcPr>
            <w:tcW w:w="0" w:type="auto"/>
            <w:noWrap/>
            <w:vAlign w:val="center"/>
          </w:tcPr>
          <w:p w14:paraId="5BD2BFD7">
            <w:pPr>
              <w:snapToGrid w:val="0"/>
              <w:spacing w:line="240" w:lineRule="auto"/>
              <w:ind w:firstLine="0" w:firstLineChars="0"/>
              <w:jc w:val="center"/>
              <w:rPr>
                <w:sz w:val="21"/>
                <w:szCs w:val="21"/>
                <w14:ligatures w14:val="none"/>
              </w:rPr>
            </w:pPr>
            <w:r>
              <w:rPr>
                <w:rFonts w:hint="eastAsia"/>
                <w:sz w:val="21"/>
                <w:szCs w:val="21"/>
                <w14:ligatures w14:val="none"/>
              </w:rPr>
              <w:t>108</w:t>
            </w:r>
          </w:p>
        </w:tc>
        <w:tc>
          <w:tcPr>
            <w:tcW w:w="0" w:type="auto"/>
            <w:noWrap/>
            <w:vAlign w:val="center"/>
          </w:tcPr>
          <w:p w14:paraId="3F166F2D">
            <w:pPr>
              <w:snapToGrid w:val="0"/>
              <w:spacing w:line="240" w:lineRule="auto"/>
              <w:ind w:firstLine="0" w:firstLineChars="0"/>
              <w:jc w:val="center"/>
              <w:rPr>
                <w:sz w:val="21"/>
                <w:szCs w:val="21"/>
                <w14:ligatures w14:val="none"/>
              </w:rPr>
            </w:pPr>
            <w:r>
              <w:rPr>
                <w:rFonts w:hint="eastAsia"/>
                <w:sz w:val="21"/>
                <w:szCs w:val="21"/>
                <w14:ligatures w14:val="none"/>
              </w:rPr>
              <w:t>17.1</w:t>
            </w:r>
          </w:p>
        </w:tc>
        <w:tc>
          <w:tcPr>
            <w:tcW w:w="0" w:type="auto"/>
            <w:noWrap/>
            <w:vAlign w:val="center"/>
          </w:tcPr>
          <w:p w14:paraId="5AB3E38B">
            <w:pPr>
              <w:snapToGrid w:val="0"/>
              <w:spacing w:line="240" w:lineRule="auto"/>
              <w:ind w:firstLine="0" w:firstLineChars="0"/>
              <w:jc w:val="center"/>
              <w:rPr>
                <w:sz w:val="21"/>
                <w:szCs w:val="21"/>
                <w14:ligatures w14:val="none"/>
              </w:rPr>
            </w:pPr>
            <w:r>
              <w:rPr>
                <w:rFonts w:hint="eastAsia"/>
                <w:sz w:val="21"/>
                <w:szCs w:val="21"/>
                <w14:ligatures w14:val="none"/>
              </w:rPr>
              <w:t>21.6</w:t>
            </w:r>
          </w:p>
        </w:tc>
        <w:tc>
          <w:tcPr>
            <w:tcW w:w="0" w:type="auto"/>
            <w:noWrap/>
            <w:vAlign w:val="center"/>
          </w:tcPr>
          <w:p w14:paraId="422D2F4D">
            <w:pPr>
              <w:snapToGrid w:val="0"/>
              <w:spacing w:line="240" w:lineRule="auto"/>
              <w:ind w:firstLine="0" w:firstLineChars="0"/>
              <w:jc w:val="center"/>
              <w:rPr>
                <w:sz w:val="21"/>
                <w:szCs w:val="21"/>
                <w14:ligatures w14:val="none"/>
              </w:rPr>
            </w:pPr>
            <w:r>
              <w:rPr>
                <w:rFonts w:hint="eastAsia"/>
                <w:sz w:val="21"/>
                <w:szCs w:val="21"/>
                <w14:ligatures w14:val="none"/>
              </w:rPr>
              <w:t>0.114</w:t>
            </w:r>
          </w:p>
        </w:tc>
        <w:tc>
          <w:tcPr>
            <w:tcW w:w="0" w:type="auto"/>
            <w:noWrap/>
            <w:vAlign w:val="center"/>
          </w:tcPr>
          <w:p w14:paraId="5A7C74B6">
            <w:pPr>
              <w:snapToGrid w:val="0"/>
              <w:spacing w:line="240" w:lineRule="auto"/>
              <w:ind w:firstLine="0" w:firstLineChars="0"/>
              <w:jc w:val="center"/>
              <w:rPr>
                <w:sz w:val="21"/>
                <w:szCs w:val="21"/>
                <w14:ligatures w14:val="none"/>
              </w:rPr>
            </w:pPr>
            <w:r>
              <w:rPr>
                <w:rFonts w:hint="eastAsia"/>
                <w:sz w:val="21"/>
                <w:szCs w:val="21"/>
                <w14:ligatures w14:val="none"/>
              </w:rPr>
              <w:t>2.01</w:t>
            </w:r>
          </w:p>
        </w:tc>
        <w:tc>
          <w:tcPr>
            <w:tcW w:w="0" w:type="auto"/>
            <w:noWrap/>
            <w:vAlign w:val="center"/>
          </w:tcPr>
          <w:p w14:paraId="73965EDA">
            <w:pPr>
              <w:snapToGrid w:val="0"/>
              <w:spacing w:line="240" w:lineRule="auto"/>
              <w:ind w:firstLine="0" w:firstLineChars="0"/>
              <w:jc w:val="center"/>
              <w:rPr>
                <w:sz w:val="21"/>
                <w:szCs w:val="21"/>
                <w14:ligatures w14:val="none"/>
              </w:rPr>
            </w:pPr>
            <w:r>
              <w:rPr>
                <w:rFonts w:hint="eastAsia"/>
                <w:sz w:val="21"/>
                <w:szCs w:val="21"/>
                <w14:ligatures w14:val="none"/>
              </w:rPr>
              <w:t>0.017</w:t>
            </w:r>
          </w:p>
        </w:tc>
        <w:tc>
          <w:tcPr>
            <w:tcW w:w="0" w:type="auto"/>
            <w:noWrap/>
            <w:vAlign w:val="center"/>
          </w:tcPr>
          <w:p w14:paraId="6AC1D13F">
            <w:pPr>
              <w:snapToGrid w:val="0"/>
              <w:spacing w:line="240" w:lineRule="auto"/>
              <w:ind w:firstLine="0" w:firstLineChars="0"/>
              <w:jc w:val="center"/>
              <w:rPr>
                <w:sz w:val="21"/>
                <w:szCs w:val="21"/>
                <w14:ligatures w14:val="none"/>
              </w:rPr>
            </w:pPr>
            <w:r>
              <w:rPr>
                <w:rFonts w:hint="eastAsia"/>
                <w:sz w:val="21"/>
                <w:szCs w:val="21"/>
                <w14:ligatures w14:val="none"/>
              </w:rPr>
              <w:t>25.3</w:t>
            </w:r>
          </w:p>
        </w:tc>
        <w:tc>
          <w:tcPr>
            <w:tcW w:w="0" w:type="auto"/>
            <w:noWrap/>
            <w:vAlign w:val="center"/>
          </w:tcPr>
          <w:p w14:paraId="28854810">
            <w:pPr>
              <w:snapToGrid w:val="0"/>
              <w:spacing w:line="240" w:lineRule="auto"/>
              <w:ind w:firstLine="0" w:firstLineChars="0"/>
              <w:jc w:val="center"/>
              <w:rPr>
                <w:sz w:val="21"/>
                <w:szCs w:val="21"/>
                <w14:ligatures w14:val="none"/>
              </w:rPr>
            </w:pPr>
            <w:r>
              <w:rPr>
                <w:rFonts w:hint="eastAsia"/>
                <w:sz w:val="21"/>
                <w:szCs w:val="21"/>
                <w14:ligatures w14:val="none"/>
              </w:rPr>
              <w:t>6.39</w:t>
            </w:r>
          </w:p>
        </w:tc>
      </w:tr>
      <w:tr w14:paraId="1EFBA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1E4DCC14">
            <w:pPr>
              <w:snapToGrid w:val="0"/>
              <w:spacing w:line="240" w:lineRule="auto"/>
              <w:ind w:firstLine="0" w:firstLineChars="0"/>
              <w:jc w:val="center"/>
              <w:rPr>
                <w:sz w:val="21"/>
                <w:szCs w:val="21"/>
                <w14:ligatures w14:val="none"/>
              </w:rPr>
            </w:pPr>
            <w:r>
              <w:rPr>
                <w:rFonts w:hint="eastAsia"/>
                <w:sz w:val="21"/>
                <w:szCs w:val="21"/>
                <w14:ligatures w14:val="none"/>
              </w:rPr>
              <w:t>2023年5月</w:t>
            </w:r>
          </w:p>
        </w:tc>
        <w:tc>
          <w:tcPr>
            <w:tcW w:w="0" w:type="auto"/>
            <w:noWrap/>
            <w:vAlign w:val="center"/>
          </w:tcPr>
          <w:p w14:paraId="299AEE70">
            <w:pPr>
              <w:snapToGrid w:val="0"/>
              <w:spacing w:line="240" w:lineRule="auto"/>
              <w:ind w:firstLine="0" w:firstLineChars="0"/>
              <w:jc w:val="center"/>
              <w:rPr>
                <w:sz w:val="21"/>
                <w:szCs w:val="21"/>
                <w14:ligatures w14:val="none"/>
              </w:rPr>
            </w:pPr>
            <w:r>
              <w:rPr>
                <w:rFonts w:hint="eastAsia"/>
                <w:sz w:val="21"/>
                <w:szCs w:val="21"/>
                <w14:ligatures w14:val="none"/>
              </w:rPr>
              <w:t>136713</w:t>
            </w:r>
          </w:p>
        </w:tc>
        <w:tc>
          <w:tcPr>
            <w:tcW w:w="0" w:type="auto"/>
            <w:noWrap/>
            <w:vAlign w:val="center"/>
          </w:tcPr>
          <w:p w14:paraId="37BA09FE">
            <w:pPr>
              <w:snapToGrid w:val="0"/>
              <w:spacing w:line="240" w:lineRule="auto"/>
              <w:ind w:firstLine="0" w:firstLineChars="0"/>
              <w:jc w:val="center"/>
              <w:rPr>
                <w:sz w:val="21"/>
                <w:szCs w:val="21"/>
                <w14:ligatures w14:val="none"/>
              </w:rPr>
            </w:pPr>
            <w:r>
              <w:rPr>
                <w:rFonts w:hint="eastAsia"/>
                <w:sz w:val="21"/>
                <w:szCs w:val="21"/>
                <w14:ligatures w14:val="none"/>
              </w:rPr>
              <w:t>101</w:t>
            </w:r>
          </w:p>
        </w:tc>
        <w:tc>
          <w:tcPr>
            <w:tcW w:w="0" w:type="auto"/>
            <w:noWrap/>
            <w:vAlign w:val="center"/>
          </w:tcPr>
          <w:p w14:paraId="771E1DCD">
            <w:pPr>
              <w:snapToGrid w:val="0"/>
              <w:spacing w:line="240" w:lineRule="auto"/>
              <w:ind w:firstLine="0" w:firstLineChars="0"/>
              <w:jc w:val="center"/>
              <w:rPr>
                <w:sz w:val="21"/>
                <w:szCs w:val="21"/>
                <w14:ligatures w14:val="none"/>
              </w:rPr>
            </w:pPr>
            <w:r>
              <w:rPr>
                <w:rFonts w:hint="eastAsia"/>
                <w:sz w:val="21"/>
                <w:szCs w:val="21"/>
                <w14:ligatures w14:val="none"/>
              </w:rPr>
              <w:t>24.8</w:t>
            </w:r>
          </w:p>
        </w:tc>
        <w:tc>
          <w:tcPr>
            <w:tcW w:w="0" w:type="auto"/>
            <w:noWrap/>
            <w:vAlign w:val="center"/>
          </w:tcPr>
          <w:p w14:paraId="596A3B14">
            <w:pPr>
              <w:snapToGrid w:val="0"/>
              <w:spacing w:line="240" w:lineRule="auto"/>
              <w:ind w:firstLine="0" w:firstLineChars="0"/>
              <w:jc w:val="center"/>
              <w:rPr>
                <w:sz w:val="21"/>
                <w:szCs w:val="21"/>
                <w14:ligatures w14:val="none"/>
              </w:rPr>
            </w:pPr>
            <w:r>
              <w:rPr>
                <w:rFonts w:hint="eastAsia"/>
                <w:sz w:val="21"/>
                <w:szCs w:val="21"/>
                <w14:ligatures w14:val="none"/>
              </w:rPr>
              <w:t>23.8</w:t>
            </w:r>
          </w:p>
        </w:tc>
        <w:tc>
          <w:tcPr>
            <w:tcW w:w="0" w:type="auto"/>
            <w:noWrap/>
            <w:vAlign w:val="center"/>
          </w:tcPr>
          <w:p w14:paraId="5B6966F9">
            <w:pPr>
              <w:snapToGrid w:val="0"/>
              <w:spacing w:line="240" w:lineRule="auto"/>
              <w:ind w:firstLine="0" w:firstLineChars="0"/>
              <w:jc w:val="center"/>
              <w:rPr>
                <w:sz w:val="21"/>
                <w:szCs w:val="21"/>
                <w14:ligatures w14:val="none"/>
              </w:rPr>
            </w:pPr>
            <w:r>
              <w:rPr>
                <w:rFonts w:hint="eastAsia"/>
                <w:sz w:val="21"/>
                <w:szCs w:val="21"/>
                <w14:ligatures w14:val="none"/>
              </w:rPr>
              <w:t>0.089</w:t>
            </w:r>
          </w:p>
        </w:tc>
        <w:tc>
          <w:tcPr>
            <w:tcW w:w="0" w:type="auto"/>
            <w:noWrap/>
            <w:vAlign w:val="center"/>
          </w:tcPr>
          <w:p w14:paraId="75A05032">
            <w:pPr>
              <w:snapToGrid w:val="0"/>
              <w:spacing w:line="240" w:lineRule="auto"/>
              <w:ind w:firstLine="0" w:firstLineChars="0"/>
              <w:jc w:val="center"/>
              <w:rPr>
                <w:sz w:val="21"/>
                <w:szCs w:val="21"/>
                <w14:ligatures w14:val="none"/>
              </w:rPr>
            </w:pPr>
            <w:r>
              <w:rPr>
                <w:rFonts w:hint="eastAsia"/>
                <w:sz w:val="21"/>
                <w:szCs w:val="21"/>
                <w14:ligatures w14:val="none"/>
              </w:rPr>
              <w:t>2.06</w:t>
            </w:r>
          </w:p>
        </w:tc>
        <w:tc>
          <w:tcPr>
            <w:tcW w:w="0" w:type="auto"/>
            <w:noWrap/>
            <w:vAlign w:val="center"/>
          </w:tcPr>
          <w:p w14:paraId="22318407">
            <w:pPr>
              <w:snapToGrid w:val="0"/>
              <w:spacing w:line="240" w:lineRule="auto"/>
              <w:ind w:firstLine="0" w:firstLineChars="0"/>
              <w:jc w:val="center"/>
              <w:rPr>
                <w:sz w:val="21"/>
                <w:szCs w:val="21"/>
                <w14:ligatures w14:val="none"/>
              </w:rPr>
            </w:pPr>
            <w:r>
              <w:rPr>
                <w:rFonts w:hint="eastAsia"/>
                <w:sz w:val="21"/>
                <w:szCs w:val="21"/>
                <w14:ligatures w14:val="none"/>
              </w:rPr>
              <w:t>0.017</w:t>
            </w:r>
          </w:p>
        </w:tc>
        <w:tc>
          <w:tcPr>
            <w:tcW w:w="0" w:type="auto"/>
            <w:noWrap/>
            <w:vAlign w:val="center"/>
          </w:tcPr>
          <w:p w14:paraId="60A2CFBE">
            <w:pPr>
              <w:snapToGrid w:val="0"/>
              <w:spacing w:line="240" w:lineRule="auto"/>
              <w:ind w:firstLine="0" w:firstLineChars="0"/>
              <w:jc w:val="center"/>
              <w:rPr>
                <w:sz w:val="21"/>
                <w:szCs w:val="21"/>
                <w14:ligatures w14:val="none"/>
              </w:rPr>
            </w:pPr>
            <w:r>
              <w:rPr>
                <w:rFonts w:hint="eastAsia"/>
                <w:sz w:val="21"/>
                <w:szCs w:val="21"/>
                <w14:ligatures w14:val="none"/>
              </w:rPr>
              <w:t>27.7</w:t>
            </w:r>
          </w:p>
        </w:tc>
        <w:tc>
          <w:tcPr>
            <w:tcW w:w="0" w:type="auto"/>
            <w:noWrap/>
            <w:vAlign w:val="center"/>
          </w:tcPr>
          <w:p w14:paraId="610885A3">
            <w:pPr>
              <w:snapToGrid w:val="0"/>
              <w:spacing w:line="240" w:lineRule="auto"/>
              <w:ind w:firstLine="0" w:firstLineChars="0"/>
              <w:jc w:val="center"/>
              <w:rPr>
                <w:sz w:val="21"/>
                <w:szCs w:val="21"/>
                <w14:ligatures w14:val="none"/>
              </w:rPr>
            </w:pPr>
            <w:r>
              <w:rPr>
                <w:rFonts w:hint="eastAsia"/>
                <w:sz w:val="21"/>
                <w:szCs w:val="21"/>
                <w14:ligatures w14:val="none"/>
              </w:rPr>
              <w:t>5.67</w:t>
            </w:r>
          </w:p>
        </w:tc>
      </w:tr>
      <w:tr w14:paraId="35AE5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366992B9">
            <w:pPr>
              <w:snapToGrid w:val="0"/>
              <w:spacing w:line="240" w:lineRule="auto"/>
              <w:ind w:firstLine="0" w:firstLineChars="0"/>
              <w:jc w:val="center"/>
              <w:rPr>
                <w:sz w:val="21"/>
                <w:szCs w:val="21"/>
                <w14:ligatures w14:val="none"/>
              </w:rPr>
            </w:pPr>
            <w:r>
              <w:rPr>
                <w:rFonts w:hint="eastAsia"/>
                <w:sz w:val="21"/>
                <w:szCs w:val="21"/>
                <w14:ligatures w14:val="none"/>
              </w:rPr>
              <w:t>2023年6月</w:t>
            </w:r>
          </w:p>
        </w:tc>
        <w:tc>
          <w:tcPr>
            <w:tcW w:w="0" w:type="auto"/>
            <w:noWrap/>
            <w:vAlign w:val="center"/>
          </w:tcPr>
          <w:p w14:paraId="0B2E9050">
            <w:pPr>
              <w:snapToGrid w:val="0"/>
              <w:spacing w:line="240" w:lineRule="auto"/>
              <w:ind w:firstLine="0" w:firstLineChars="0"/>
              <w:jc w:val="center"/>
              <w:rPr>
                <w:sz w:val="21"/>
                <w:szCs w:val="21"/>
                <w14:ligatures w14:val="none"/>
              </w:rPr>
            </w:pPr>
            <w:r>
              <w:rPr>
                <w:rFonts w:hint="eastAsia"/>
                <w:sz w:val="21"/>
                <w:szCs w:val="21"/>
                <w14:ligatures w14:val="none"/>
              </w:rPr>
              <w:t>141257</w:t>
            </w:r>
          </w:p>
        </w:tc>
        <w:tc>
          <w:tcPr>
            <w:tcW w:w="0" w:type="auto"/>
            <w:noWrap/>
            <w:vAlign w:val="center"/>
          </w:tcPr>
          <w:p w14:paraId="1462FD05">
            <w:pPr>
              <w:snapToGrid w:val="0"/>
              <w:spacing w:line="240" w:lineRule="auto"/>
              <w:ind w:firstLine="0" w:firstLineChars="0"/>
              <w:jc w:val="center"/>
              <w:rPr>
                <w:sz w:val="21"/>
                <w:szCs w:val="21"/>
                <w14:ligatures w14:val="none"/>
              </w:rPr>
            </w:pPr>
            <w:r>
              <w:rPr>
                <w:rFonts w:hint="eastAsia"/>
                <w:sz w:val="21"/>
                <w:szCs w:val="21"/>
                <w14:ligatures w14:val="none"/>
              </w:rPr>
              <w:t>83</w:t>
            </w:r>
          </w:p>
        </w:tc>
        <w:tc>
          <w:tcPr>
            <w:tcW w:w="0" w:type="auto"/>
            <w:noWrap/>
            <w:vAlign w:val="center"/>
          </w:tcPr>
          <w:p w14:paraId="349165E2">
            <w:pPr>
              <w:snapToGrid w:val="0"/>
              <w:spacing w:line="240" w:lineRule="auto"/>
              <w:ind w:firstLine="0" w:firstLineChars="0"/>
              <w:jc w:val="center"/>
              <w:rPr>
                <w:sz w:val="21"/>
                <w:szCs w:val="21"/>
                <w14:ligatures w14:val="none"/>
              </w:rPr>
            </w:pPr>
            <w:r>
              <w:rPr>
                <w:rFonts w:hint="eastAsia"/>
                <w:sz w:val="21"/>
                <w:szCs w:val="21"/>
                <w14:ligatures w14:val="none"/>
              </w:rPr>
              <w:t>20.7</w:t>
            </w:r>
          </w:p>
        </w:tc>
        <w:tc>
          <w:tcPr>
            <w:tcW w:w="0" w:type="auto"/>
            <w:noWrap/>
            <w:vAlign w:val="center"/>
          </w:tcPr>
          <w:p w14:paraId="48FE6A5D">
            <w:pPr>
              <w:snapToGrid w:val="0"/>
              <w:spacing w:line="240" w:lineRule="auto"/>
              <w:ind w:firstLine="0" w:firstLineChars="0"/>
              <w:jc w:val="center"/>
              <w:rPr>
                <w:sz w:val="21"/>
                <w:szCs w:val="21"/>
                <w14:ligatures w14:val="none"/>
              </w:rPr>
            </w:pPr>
            <w:r>
              <w:rPr>
                <w:rFonts w:hint="eastAsia"/>
                <w:sz w:val="21"/>
                <w:szCs w:val="21"/>
                <w14:ligatures w14:val="none"/>
              </w:rPr>
              <w:t>15.7</w:t>
            </w:r>
          </w:p>
        </w:tc>
        <w:tc>
          <w:tcPr>
            <w:tcW w:w="0" w:type="auto"/>
            <w:noWrap/>
            <w:vAlign w:val="center"/>
          </w:tcPr>
          <w:p w14:paraId="634354C3">
            <w:pPr>
              <w:snapToGrid w:val="0"/>
              <w:spacing w:line="240" w:lineRule="auto"/>
              <w:ind w:firstLine="0" w:firstLineChars="0"/>
              <w:jc w:val="center"/>
              <w:rPr>
                <w:sz w:val="21"/>
                <w:szCs w:val="21"/>
                <w14:ligatures w14:val="none"/>
              </w:rPr>
            </w:pPr>
            <w:r>
              <w:rPr>
                <w:rFonts w:hint="eastAsia"/>
                <w:sz w:val="21"/>
                <w:szCs w:val="21"/>
                <w14:ligatures w14:val="none"/>
              </w:rPr>
              <w:t>0.074</w:t>
            </w:r>
          </w:p>
        </w:tc>
        <w:tc>
          <w:tcPr>
            <w:tcW w:w="0" w:type="auto"/>
            <w:noWrap/>
            <w:vAlign w:val="center"/>
          </w:tcPr>
          <w:p w14:paraId="2917BB05">
            <w:pPr>
              <w:snapToGrid w:val="0"/>
              <w:spacing w:line="240" w:lineRule="auto"/>
              <w:ind w:firstLine="0" w:firstLineChars="0"/>
              <w:jc w:val="center"/>
              <w:rPr>
                <w:sz w:val="21"/>
                <w:szCs w:val="21"/>
                <w14:ligatures w14:val="none"/>
              </w:rPr>
            </w:pPr>
            <w:r>
              <w:rPr>
                <w:rFonts w:hint="eastAsia"/>
                <w:sz w:val="21"/>
                <w:szCs w:val="21"/>
                <w14:ligatures w14:val="none"/>
              </w:rPr>
              <w:t>1.36</w:t>
            </w:r>
          </w:p>
        </w:tc>
        <w:tc>
          <w:tcPr>
            <w:tcW w:w="0" w:type="auto"/>
            <w:noWrap/>
            <w:vAlign w:val="center"/>
          </w:tcPr>
          <w:p w14:paraId="0E6E842A">
            <w:pPr>
              <w:snapToGrid w:val="0"/>
              <w:spacing w:line="240" w:lineRule="auto"/>
              <w:ind w:firstLine="0" w:firstLineChars="0"/>
              <w:jc w:val="center"/>
              <w:rPr>
                <w:sz w:val="21"/>
                <w:szCs w:val="21"/>
                <w14:ligatures w14:val="none"/>
              </w:rPr>
            </w:pPr>
            <w:r>
              <w:rPr>
                <w:rFonts w:hint="eastAsia"/>
                <w:sz w:val="21"/>
                <w:szCs w:val="21"/>
                <w14:ligatures w14:val="none"/>
              </w:rPr>
              <w:t>0.025</w:t>
            </w:r>
          </w:p>
        </w:tc>
        <w:tc>
          <w:tcPr>
            <w:tcW w:w="0" w:type="auto"/>
            <w:noWrap/>
            <w:vAlign w:val="center"/>
          </w:tcPr>
          <w:p w14:paraId="40D0EE77">
            <w:pPr>
              <w:snapToGrid w:val="0"/>
              <w:spacing w:line="240" w:lineRule="auto"/>
              <w:ind w:firstLine="0" w:firstLineChars="0"/>
              <w:jc w:val="center"/>
              <w:rPr>
                <w:sz w:val="21"/>
                <w:szCs w:val="21"/>
                <w14:ligatures w14:val="none"/>
              </w:rPr>
            </w:pPr>
            <w:r>
              <w:rPr>
                <w:rFonts w:hint="eastAsia"/>
                <w:sz w:val="21"/>
                <w:szCs w:val="21"/>
                <w14:ligatures w14:val="none"/>
              </w:rPr>
              <w:t>17.8</w:t>
            </w:r>
          </w:p>
        </w:tc>
        <w:tc>
          <w:tcPr>
            <w:tcW w:w="0" w:type="auto"/>
            <w:noWrap/>
            <w:vAlign w:val="center"/>
          </w:tcPr>
          <w:p w14:paraId="2A590F58">
            <w:pPr>
              <w:snapToGrid w:val="0"/>
              <w:spacing w:line="240" w:lineRule="auto"/>
              <w:ind w:firstLine="0" w:firstLineChars="0"/>
              <w:jc w:val="center"/>
              <w:rPr>
                <w:sz w:val="21"/>
                <w:szCs w:val="21"/>
                <w14:ligatures w14:val="none"/>
              </w:rPr>
            </w:pPr>
            <w:r>
              <w:rPr>
                <w:rFonts w:hint="eastAsia"/>
                <w:sz w:val="21"/>
                <w:szCs w:val="21"/>
                <w14:ligatures w14:val="none"/>
              </w:rPr>
              <w:t>4.64</w:t>
            </w:r>
          </w:p>
        </w:tc>
      </w:tr>
      <w:tr w14:paraId="7D137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7CDAFDB6">
            <w:pPr>
              <w:snapToGrid w:val="0"/>
              <w:spacing w:line="240" w:lineRule="auto"/>
              <w:ind w:firstLine="0" w:firstLineChars="0"/>
              <w:jc w:val="center"/>
              <w:rPr>
                <w:sz w:val="21"/>
                <w:szCs w:val="21"/>
                <w14:ligatures w14:val="none"/>
              </w:rPr>
            </w:pPr>
            <w:r>
              <w:rPr>
                <w:rFonts w:hint="eastAsia"/>
                <w:sz w:val="21"/>
                <w:szCs w:val="21"/>
                <w14:ligatures w14:val="none"/>
              </w:rPr>
              <w:t>2023年7月</w:t>
            </w:r>
          </w:p>
        </w:tc>
        <w:tc>
          <w:tcPr>
            <w:tcW w:w="0" w:type="auto"/>
            <w:noWrap/>
            <w:vAlign w:val="center"/>
          </w:tcPr>
          <w:p w14:paraId="78442A25">
            <w:pPr>
              <w:snapToGrid w:val="0"/>
              <w:spacing w:line="240" w:lineRule="auto"/>
              <w:ind w:firstLine="0" w:firstLineChars="0"/>
              <w:jc w:val="center"/>
              <w:rPr>
                <w:sz w:val="21"/>
                <w:szCs w:val="21"/>
                <w14:ligatures w14:val="none"/>
              </w:rPr>
            </w:pPr>
            <w:r>
              <w:rPr>
                <w:rFonts w:hint="eastAsia"/>
                <w:sz w:val="21"/>
                <w:szCs w:val="21"/>
                <w14:ligatures w14:val="none"/>
              </w:rPr>
              <w:t>158291</w:t>
            </w:r>
          </w:p>
        </w:tc>
        <w:tc>
          <w:tcPr>
            <w:tcW w:w="0" w:type="auto"/>
            <w:noWrap/>
            <w:vAlign w:val="center"/>
          </w:tcPr>
          <w:p w14:paraId="6A11D788">
            <w:pPr>
              <w:snapToGrid w:val="0"/>
              <w:spacing w:line="240" w:lineRule="auto"/>
              <w:ind w:firstLine="0" w:firstLineChars="0"/>
              <w:jc w:val="center"/>
              <w:rPr>
                <w:sz w:val="21"/>
                <w:szCs w:val="21"/>
                <w14:ligatures w14:val="none"/>
              </w:rPr>
            </w:pPr>
            <w:r>
              <w:rPr>
                <w:rFonts w:hint="eastAsia"/>
                <w:sz w:val="21"/>
                <w:szCs w:val="21"/>
                <w14:ligatures w14:val="none"/>
              </w:rPr>
              <w:t>61</w:t>
            </w:r>
          </w:p>
        </w:tc>
        <w:tc>
          <w:tcPr>
            <w:tcW w:w="0" w:type="auto"/>
            <w:noWrap/>
            <w:vAlign w:val="center"/>
          </w:tcPr>
          <w:p w14:paraId="4986739E">
            <w:pPr>
              <w:snapToGrid w:val="0"/>
              <w:spacing w:line="240" w:lineRule="auto"/>
              <w:ind w:firstLine="0" w:firstLineChars="0"/>
              <w:jc w:val="center"/>
              <w:rPr>
                <w:sz w:val="21"/>
                <w:szCs w:val="21"/>
                <w14:ligatures w14:val="none"/>
              </w:rPr>
            </w:pPr>
            <w:r>
              <w:rPr>
                <w:rFonts w:hint="eastAsia"/>
                <w:sz w:val="21"/>
                <w:szCs w:val="21"/>
                <w14:ligatures w14:val="none"/>
              </w:rPr>
              <w:t>16.6</w:t>
            </w:r>
          </w:p>
        </w:tc>
        <w:tc>
          <w:tcPr>
            <w:tcW w:w="0" w:type="auto"/>
            <w:noWrap/>
            <w:vAlign w:val="center"/>
          </w:tcPr>
          <w:p w14:paraId="460E4DDD">
            <w:pPr>
              <w:snapToGrid w:val="0"/>
              <w:spacing w:line="240" w:lineRule="auto"/>
              <w:ind w:firstLine="0" w:firstLineChars="0"/>
              <w:jc w:val="center"/>
              <w:rPr>
                <w:sz w:val="21"/>
                <w:szCs w:val="21"/>
                <w14:ligatures w14:val="none"/>
              </w:rPr>
            </w:pPr>
            <w:r>
              <w:rPr>
                <w:rFonts w:hint="eastAsia"/>
                <w:sz w:val="21"/>
                <w:szCs w:val="21"/>
                <w14:ligatures w14:val="none"/>
              </w:rPr>
              <w:t>7.8</w:t>
            </w:r>
          </w:p>
        </w:tc>
        <w:tc>
          <w:tcPr>
            <w:tcW w:w="0" w:type="auto"/>
            <w:noWrap/>
            <w:vAlign w:val="center"/>
          </w:tcPr>
          <w:p w14:paraId="2DCDEC7B">
            <w:pPr>
              <w:snapToGrid w:val="0"/>
              <w:spacing w:line="240" w:lineRule="auto"/>
              <w:ind w:firstLine="0" w:firstLineChars="0"/>
              <w:jc w:val="center"/>
              <w:rPr>
                <w:sz w:val="21"/>
                <w:szCs w:val="21"/>
                <w14:ligatures w14:val="none"/>
              </w:rPr>
            </w:pPr>
            <w:r>
              <w:rPr>
                <w:rFonts w:hint="eastAsia"/>
                <w:sz w:val="21"/>
                <w:szCs w:val="21"/>
                <w14:ligatures w14:val="none"/>
              </w:rPr>
              <w:t>0.072</w:t>
            </w:r>
          </w:p>
        </w:tc>
        <w:tc>
          <w:tcPr>
            <w:tcW w:w="0" w:type="auto"/>
            <w:noWrap/>
            <w:vAlign w:val="center"/>
          </w:tcPr>
          <w:p w14:paraId="4FF5F250">
            <w:pPr>
              <w:snapToGrid w:val="0"/>
              <w:spacing w:line="240" w:lineRule="auto"/>
              <w:ind w:firstLine="0" w:firstLineChars="0"/>
              <w:jc w:val="center"/>
              <w:rPr>
                <w:sz w:val="21"/>
                <w:szCs w:val="21"/>
                <w14:ligatures w14:val="none"/>
              </w:rPr>
            </w:pPr>
            <w:r>
              <w:rPr>
                <w:rFonts w:hint="eastAsia"/>
                <w:sz w:val="21"/>
                <w:szCs w:val="21"/>
                <w14:ligatures w14:val="none"/>
              </w:rPr>
              <w:t>0.77</w:t>
            </w:r>
          </w:p>
        </w:tc>
        <w:tc>
          <w:tcPr>
            <w:tcW w:w="0" w:type="auto"/>
            <w:noWrap/>
            <w:vAlign w:val="center"/>
          </w:tcPr>
          <w:p w14:paraId="295DD9C8">
            <w:pPr>
              <w:snapToGrid w:val="0"/>
              <w:spacing w:line="240" w:lineRule="auto"/>
              <w:ind w:firstLine="0" w:firstLineChars="0"/>
              <w:jc w:val="center"/>
              <w:rPr>
                <w:sz w:val="21"/>
                <w:szCs w:val="21"/>
                <w14:ligatures w14:val="none"/>
              </w:rPr>
            </w:pPr>
            <w:r>
              <w:rPr>
                <w:rFonts w:hint="eastAsia"/>
                <w:sz w:val="21"/>
                <w:szCs w:val="21"/>
                <w14:ligatures w14:val="none"/>
              </w:rPr>
              <w:t>0.039</w:t>
            </w:r>
          </w:p>
        </w:tc>
        <w:tc>
          <w:tcPr>
            <w:tcW w:w="0" w:type="auto"/>
            <w:noWrap/>
            <w:vAlign w:val="center"/>
          </w:tcPr>
          <w:p w14:paraId="107884A8">
            <w:pPr>
              <w:snapToGrid w:val="0"/>
              <w:spacing w:line="240" w:lineRule="auto"/>
              <w:ind w:firstLine="0" w:firstLineChars="0"/>
              <w:jc w:val="center"/>
              <w:rPr>
                <w:sz w:val="21"/>
                <w:szCs w:val="21"/>
                <w14:ligatures w14:val="none"/>
              </w:rPr>
            </w:pPr>
            <w:r>
              <w:rPr>
                <w:rFonts w:hint="eastAsia"/>
                <w:sz w:val="21"/>
                <w:szCs w:val="21"/>
                <w14:ligatures w14:val="none"/>
              </w:rPr>
              <w:t>9.1</w:t>
            </w:r>
          </w:p>
        </w:tc>
        <w:tc>
          <w:tcPr>
            <w:tcW w:w="0" w:type="auto"/>
            <w:noWrap/>
            <w:vAlign w:val="center"/>
          </w:tcPr>
          <w:p w14:paraId="7A85E0F1">
            <w:pPr>
              <w:snapToGrid w:val="0"/>
              <w:spacing w:line="240" w:lineRule="auto"/>
              <w:ind w:firstLine="0" w:firstLineChars="0"/>
              <w:jc w:val="center"/>
              <w:rPr>
                <w:sz w:val="21"/>
                <w:szCs w:val="21"/>
                <w14:ligatures w14:val="none"/>
              </w:rPr>
            </w:pPr>
            <w:r>
              <w:rPr>
                <w:rFonts w:hint="eastAsia"/>
                <w:sz w:val="21"/>
                <w:szCs w:val="21"/>
                <w14:ligatures w14:val="none"/>
              </w:rPr>
              <w:t>3.63</w:t>
            </w:r>
          </w:p>
        </w:tc>
      </w:tr>
      <w:tr w14:paraId="24AD6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6F730ACB">
            <w:pPr>
              <w:snapToGrid w:val="0"/>
              <w:spacing w:line="240" w:lineRule="auto"/>
              <w:ind w:firstLine="0" w:firstLineChars="0"/>
              <w:jc w:val="center"/>
              <w:rPr>
                <w:sz w:val="21"/>
                <w:szCs w:val="21"/>
                <w14:ligatures w14:val="none"/>
              </w:rPr>
            </w:pPr>
            <w:r>
              <w:rPr>
                <w:rFonts w:hint="eastAsia"/>
                <w:sz w:val="21"/>
                <w:szCs w:val="21"/>
                <w14:ligatures w14:val="none"/>
              </w:rPr>
              <w:t>2023年8月</w:t>
            </w:r>
          </w:p>
        </w:tc>
        <w:tc>
          <w:tcPr>
            <w:tcW w:w="0" w:type="auto"/>
            <w:noWrap/>
            <w:vAlign w:val="center"/>
          </w:tcPr>
          <w:p w14:paraId="2B71F3E0">
            <w:pPr>
              <w:snapToGrid w:val="0"/>
              <w:spacing w:line="240" w:lineRule="auto"/>
              <w:ind w:firstLine="0" w:firstLineChars="0"/>
              <w:jc w:val="center"/>
              <w:rPr>
                <w:sz w:val="21"/>
                <w:szCs w:val="21"/>
                <w14:ligatures w14:val="none"/>
              </w:rPr>
            </w:pPr>
            <w:r>
              <w:rPr>
                <w:rFonts w:hint="eastAsia"/>
                <w:sz w:val="21"/>
                <w:szCs w:val="21"/>
                <w14:ligatures w14:val="none"/>
              </w:rPr>
              <w:t>147928</w:t>
            </w:r>
          </w:p>
        </w:tc>
        <w:tc>
          <w:tcPr>
            <w:tcW w:w="0" w:type="auto"/>
            <w:noWrap/>
            <w:vAlign w:val="center"/>
          </w:tcPr>
          <w:p w14:paraId="4DA5A207">
            <w:pPr>
              <w:snapToGrid w:val="0"/>
              <w:spacing w:line="240" w:lineRule="auto"/>
              <w:ind w:firstLine="0" w:firstLineChars="0"/>
              <w:jc w:val="center"/>
              <w:rPr>
                <w:sz w:val="21"/>
                <w:szCs w:val="21"/>
                <w14:ligatures w14:val="none"/>
              </w:rPr>
            </w:pPr>
            <w:r>
              <w:rPr>
                <w:rFonts w:hint="eastAsia"/>
                <w:sz w:val="21"/>
                <w:szCs w:val="21"/>
                <w14:ligatures w14:val="none"/>
              </w:rPr>
              <w:t>83</w:t>
            </w:r>
          </w:p>
        </w:tc>
        <w:tc>
          <w:tcPr>
            <w:tcW w:w="0" w:type="auto"/>
            <w:noWrap/>
            <w:vAlign w:val="center"/>
          </w:tcPr>
          <w:p w14:paraId="6645D596">
            <w:pPr>
              <w:snapToGrid w:val="0"/>
              <w:spacing w:line="240" w:lineRule="auto"/>
              <w:ind w:firstLine="0" w:firstLineChars="0"/>
              <w:jc w:val="center"/>
              <w:rPr>
                <w:sz w:val="21"/>
                <w:szCs w:val="21"/>
                <w14:ligatures w14:val="none"/>
              </w:rPr>
            </w:pPr>
            <w:r>
              <w:rPr>
                <w:rFonts w:hint="eastAsia"/>
                <w:sz w:val="21"/>
                <w:szCs w:val="21"/>
                <w14:ligatures w14:val="none"/>
              </w:rPr>
              <w:t>16.1</w:t>
            </w:r>
          </w:p>
        </w:tc>
        <w:tc>
          <w:tcPr>
            <w:tcW w:w="0" w:type="auto"/>
            <w:noWrap/>
            <w:vAlign w:val="center"/>
          </w:tcPr>
          <w:p w14:paraId="201FBCAD">
            <w:pPr>
              <w:snapToGrid w:val="0"/>
              <w:spacing w:line="240" w:lineRule="auto"/>
              <w:ind w:firstLine="0" w:firstLineChars="0"/>
              <w:jc w:val="center"/>
              <w:rPr>
                <w:sz w:val="21"/>
                <w:szCs w:val="21"/>
                <w14:ligatures w14:val="none"/>
              </w:rPr>
            </w:pPr>
            <w:r>
              <w:rPr>
                <w:rFonts w:hint="eastAsia"/>
                <w:sz w:val="21"/>
                <w:szCs w:val="21"/>
                <w14:ligatures w14:val="none"/>
              </w:rPr>
              <w:t>15.5</w:t>
            </w:r>
          </w:p>
        </w:tc>
        <w:tc>
          <w:tcPr>
            <w:tcW w:w="0" w:type="auto"/>
            <w:noWrap/>
            <w:vAlign w:val="center"/>
          </w:tcPr>
          <w:p w14:paraId="7C9602E0">
            <w:pPr>
              <w:snapToGrid w:val="0"/>
              <w:spacing w:line="240" w:lineRule="auto"/>
              <w:ind w:firstLine="0" w:firstLineChars="0"/>
              <w:jc w:val="center"/>
              <w:rPr>
                <w:sz w:val="21"/>
                <w:szCs w:val="21"/>
                <w14:ligatures w14:val="none"/>
              </w:rPr>
            </w:pPr>
            <w:r>
              <w:rPr>
                <w:rFonts w:hint="eastAsia"/>
                <w:sz w:val="21"/>
                <w:szCs w:val="21"/>
                <w14:ligatures w14:val="none"/>
              </w:rPr>
              <w:t>0.052</w:t>
            </w:r>
          </w:p>
        </w:tc>
        <w:tc>
          <w:tcPr>
            <w:tcW w:w="0" w:type="auto"/>
            <w:noWrap/>
            <w:vAlign w:val="center"/>
          </w:tcPr>
          <w:p w14:paraId="21F936E6">
            <w:pPr>
              <w:snapToGrid w:val="0"/>
              <w:spacing w:line="240" w:lineRule="auto"/>
              <w:ind w:firstLine="0" w:firstLineChars="0"/>
              <w:jc w:val="center"/>
              <w:rPr>
                <w:sz w:val="21"/>
                <w:szCs w:val="21"/>
                <w14:ligatures w14:val="none"/>
              </w:rPr>
            </w:pPr>
            <w:r>
              <w:rPr>
                <w:rFonts w:hint="eastAsia"/>
                <w:sz w:val="21"/>
                <w:szCs w:val="21"/>
                <w14:ligatures w14:val="none"/>
              </w:rPr>
              <w:t>1.52</w:t>
            </w:r>
          </w:p>
        </w:tc>
        <w:tc>
          <w:tcPr>
            <w:tcW w:w="0" w:type="auto"/>
            <w:noWrap/>
            <w:vAlign w:val="center"/>
          </w:tcPr>
          <w:p w14:paraId="70BBE234">
            <w:pPr>
              <w:snapToGrid w:val="0"/>
              <w:spacing w:line="240" w:lineRule="auto"/>
              <w:ind w:firstLine="0" w:firstLineChars="0"/>
              <w:jc w:val="center"/>
              <w:rPr>
                <w:sz w:val="21"/>
                <w:szCs w:val="21"/>
                <w14:ligatures w14:val="none"/>
              </w:rPr>
            </w:pPr>
            <w:r>
              <w:rPr>
                <w:rFonts w:hint="eastAsia"/>
                <w:sz w:val="21"/>
                <w:szCs w:val="21"/>
                <w14:ligatures w14:val="none"/>
              </w:rPr>
              <w:t>0.076</w:t>
            </w:r>
          </w:p>
        </w:tc>
        <w:tc>
          <w:tcPr>
            <w:tcW w:w="0" w:type="auto"/>
            <w:noWrap/>
            <w:vAlign w:val="center"/>
          </w:tcPr>
          <w:p w14:paraId="72E1DE1F">
            <w:pPr>
              <w:snapToGrid w:val="0"/>
              <w:spacing w:line="240" w:lineRule="auto"/>
              <w:ind w:firstLine="0" w:firstLineChars="0"/>
              <w:jc w:val="center"/>
              <w:rPr>
                <w:sz w:val="21"/>
                <w:szCs w:val="21"/>
                <w14:ligatures w14:val="none"/>
              </w:rPr>
            </w:pPr>
            <w:r>
              <w:rPr>
                <w:rFonts w:hint="eastAsia"/>
                <w:sz w:val="21"/>
                <w:szCs w:val="21"/>
                <w14:ligatures w14:val="none"/>
              </w:rPr>
              <w:t>17.5</w:t>
            </w:r>
          </w:p>
        </w:tc>
        <w:tc>
          <w:tcPr>
            <w:tcW w:w="0" w:type="auto"/>
            <w:noWrap/>
            <w:vAlign w:val="center"/>
          </w:tcPr>
          <w:p w14:paraId="5E134791">
            <w:pPr>
              <w:snapToGrid w:val="0"/>
              <w:spacing w:line="240" w:lineRule="auto"/>
              <w:ind w:firstLine="0" w:firstLineChars="0"/>
              <w:jc w:val="center"/>
              <w:rPr>
                <w:sz w:val="21"/>
                <w:szCs w:val="21"/>
                <w14:ligatures w14:val="none"/>
              </w:rPr>
            </w:pPr>
            <w:r>
              <w:rPr>
                <w:rFonts w:hint="eastAsia"/>
                <w:sz w:val="21"/>
                <w:szCs w:val="21"/>
                <w14:ligatures w14:val="none"/>
              </w:rPr>
              <w:t>5.36</w:t>
            </w:r>
          </w:p>
        </w:tc>
      </w:tr>
      <w:tr w14:paraId="3F909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2C3005DD">
            <w:pPr>
              <w:snapToGrid w:val="0"/>
              <w:spacing w:line="240" w:lineRule="auto"/>
              <w:ind w:firstLine="0" w:firstLineChars="0"/>
              <w:jc w:val="center"/>
              <w:rPr>
                <w:sz w:val="21"/>
                <w:szCs w:val="21"/>
                <w14:ligatures w14:val="none"/>
              </w:rPr>
            </w:pPr>
            <w:r>
              <w:rPr>
                <w:rFonts w:hint="eastAsia"/>
                <w:sz w:val="21"/>
                <w:szCs w:val="21"/>
                <w14:ligatures w14:val="none"/>
              </w:rPr>
              <w:t>2023年9月</w:t>
            </w:r>
          </w:p>
        </w:tc>
        <w:tc>
          <w:tcPr>
            <w:tcW w:w="0" w:type="auto"/>
            <w:noWrap/>
            <w:vAlign w:val="center"/>
          </w:tcPr>
          <w:p w14:paraId="495DCC45">
            <w:pPr>
              <w:snapToGrid w:val="0"/>
              <w:spacing w:line="240" w:lineRule="auto"/>
              <w:ind w:firstLine="0" w:firstLineChars="0"/>
              <w:jc w:val="center"/>
              <w:rPr>
                <w:sz w:val="21"/>
                <w:szCs w:val="21"/>
                <w14:ligatures w14:val="none"/>
              </w:rPr>
            </w:pPr>
            <w:r>
              <w:rPr>
                <w:rFonts w:hint="eastAsia"/>
                <w:sz w:val="21"/>
                <w:szCs w:val="21"/>
                <w14:ligatures w14:val="none"/>
              </w:rPr>
              <w:t>147582</w:t>
            </w:r>
          </w:p>
        </w:tc>
        <w:tc>
          <w:tcPr>
            <w:tcW w:w="0" w:type="auto"/>
            <w:noWrap/>
            <w:vAlign w:val="center"/>
          </w:tcPr>
          <w:p w14:paraId="2E725CDE">
            <w:pPr>
              <w:snapToGrid w:val="0"/>
              <w:spacing w:line="240" w:lineRule="auto"/>
              <w:ind w:firstLine="0" w:firstLineChars="0"/>
              <w:jc w:val="center"/>
              <w:rPr>
                <w:sz w:val="21"/>
                <w:szCs w:val="21"/>
                <w14:ligatures w14:val="none"/>
              </w:rPr>
            </w:pPr>
            <w:r>
              <w:rPr>
                <w:rFonts w:hint="eastAsia"/>
                <w:sz w:val="21"/>
                <w:szCs w:val="21"/>
                <w14:ligatures w14:val="none"/>
              </w:rPr>
              <w:t>86</w:t>
            </w:r>
          </w:p>
        </w:tc>
        <w:tc>
          <w:tcPr>
            <w:tcW w:w="0" w:type="auto"/>
            <w:noWrap/>
            <w:vAlign w:val="center"/>
          </w:tcPr>
          <w:p w14:paraId="74617667">
            <w:pPr>
              <w:snapToGrid w:val="0"/>
              <w:spacing w:line="240" w:lineRule="auto"/>
              <w:ind w:firstLine="0" w:firstLineChars="0"/>
              <w:jc w:val="center"/>
              <w:rPr>
                <w:sz w:val="21"/>
                <w:szCs w:val="21"/>
                <w14:ligatures w14:val="none"/>
              </w:rPr>
            </w:pPr>
            <w:r>
              <w:rPr>
                <w:rFonts w:hint="eastAsia"/>
                <w:sz w:val="21"/>
                <w:szCs w:val="21"/>
                <w14:ligatures w14:val="none"/>
              </w:rPr>
              <w:t>14.4</w:t>
            </w:r>
          </w:p>
        </w:tc>
        <w:tc>
          <w:tcPr>
            <w:tcW w:w="0" w:type="auto"/>
            <w:noWrap/>
            <w:vAlign w:val="center"/>
          </w:tcPr>
          <w:p w14:paraId="5A0851BD">
            <w:pPr>
              <w:snapToGrid w:val="0"/>
              <w:spacing w:line="240" w:lineRule="auto"/>
              <w:ind w:firstLine="0" w:firstLineChars="0"/>
              <w:jc w:val="center"/>
              <w:rPr>
                <w:sz w:val="21"/>
                <w:szCs w:val="21"/>
                <w14:ligatures w14:val="none"/>
              </w:rPr>
            </w:pPr>
            <w:r>
              <w:rPr>
                <w:rFonts w:hint="eastAsia"/>
                <w:sz w:val="21"/>
                <w:szCs w:val="21"/>
                <w14:ligatures w14:val="none"/>
              </w:rPr>
              <w:t>9.93</w:t>
            </w:r>
          </w:p>
        </w:tc>
        <w:tc>
          <w:tcPr>
            <w:tcW w:w="0" w:type="auto"/>
            <w:noWrap/>
            <w:vAlign w:val="center"/>
          </w:tcPr>
          <w:p w14:paraId="0C34B779">
            <w:pPr>
              <w:snapToGrid w:val="0"/>
              <w:spacing w:line="240" w:lineRule="auto"/>
              <w:ind w:firstLine="0" w:firstLineChars="0"/>
              <w:jc w:val="center"/>
              <w:rPr>
                <w:sz w:val="21"/>
                <w:szCs w:val="21"/>
                <w14:ligatures w14:val="none"/>
              </w:rPr>
            </w:pPr>
            <w:r>
              <w:rPr>
                <w:rFonts w:hint="eastAsia"/>
                <w:sz w:val="21"/>
                <w:szCs w:val="21"/>
                <w14:ligatures w14:val="none"/>
              </w:rPr>
              <w:t>0.056</w:t>
            </w:r>
          </w:p>
        </w:tc>
        <w:tc>
          <w:tcPr>
            <w:tcW w:w="0" w:type="auto"/>
            <w:noWrap/>
            <w:vAlign w:val="center"/>
          </w:tcPr>
          <w:p w14:paraId="5D6F6171">
            <w:pPr>
              <w:snapToGrid w:val="0"/>
              <w:spacing w:line="240" w:lineRule="auto"/>
              <w:ind w:firstLine="0" w:firstLineChars="0"/>
              <w:jc w:val="center"/>
              <w:rPr>
                <w:sz w:val="21"/>
                <w:szCs w:val="21"/>
                <w14:ligatures w14:val="none"/>
              </w:rPr>
            </w:pPr>
            <w:r>
              <w:rPr>
                <w:rFonts w:hint="eastAsia"/>
                <w:sz w:val="21"/>
                <w:szCs w:val="21"/>
                <w14:ligatures w14:val="none"/>
              </w:rPr>
              <w:t>0.94</w:t>
            </w:r>
          </w:p>
        </w:tc>
        <w:tc>
          <w:tcPr>
            <w:tcW w:w="0" w:type="auto"/>
            <w:noWrap/>
            <w:vAlign w:val="center"/>
          </w:tcPr>
          <w:p w14:paraId="14FA06A4">
            <w:pPr>
              <w:snapToGrid w:val="0"/>
              <w:spacing w:line="240" w:lineRule="auto"/>
              <w:ind w:firstLine="0" w:firstLineChars="0"/>
              <w:jc w:val="center"/>
              <w:rPr>
                <w:sz w:val="21"/>
                <w:szCs w:val="21"/>
                <w14:ligatures w14:val="none"/>
              </w:rPr>
            </w:pPr>
            <w:r>
              <w:rPr>
                <w:rFonts w:hint="eastAsia"/>
                <w:sz w:val="21"/>
                <w:szCs w:val="21"/>
                <w14:ligatures w14:val="none"/>
              </w:rPr>
              <w:t>0.039</w:t>
            </w:r>
          </w:p>
        </w:tc>
        <w:tc>
          <w:tcPr>
            <w:tcW w:w="0" w:type="auto"/>
            <w:noWrap/>
            <w:vAlign w:val="center"/>
          </w:tcPr>
          <w:p w14:paraId="56DD8C35">
            <w:pPr>
              <w:snapToGrid w:val="0"/>
              <w:spacing w:line="240" w:lineRule="auto"/>
              <w:ind w:firstLine="0" w:firstLineChars="0"/>
              <w:jc w:val="center"/>
              <w:rPr>
                <w:sz w:val="21"/>
                <w:szCs w:val="21"/>
                <w14:ligatures w14:val="none"/>
              </w:rPr>
            </w:pPr>
            <w:r>
              <w:rPr>
                <w:rFonts w:hint="eastAsia"/>
                <w:sz w:val="21"/>
                <w:szCs w:val="21"/>
                <w14:ligatures w14:val="none"/>
              </w:rPr>
              <w:t>11.5</w:t>
            </w:r>
          </w:p>
        </w:tc>
        <w:tc>
          <w:tcPr>
            <w:tcW w:w="0" w:type="auto"/>
            <w:noWrap/>
            <w:vAlign w:val="center"/>
          </w:tcPr>
          <w:p w14:paraId="0C58A3CD">
            <w:pPr>
              <w:snapToGrid w:val="0"/>
              <w:spacing w:line="240" w:lineRule="auto"/>
              <w:ind w:firstLine="0" w:firstLineChars="0"/>
              <w:jc w:val="center"/>
              <w:rPr>
                <w:sz w:val="21"/>
                <w:szCs w:val="21"/>
                <w14:ligatures w14:val="none"/>
              </w:rPr>
            </w:pPr>
            <w:r>
              <w:rPr>
                <w:rFonts w:hint="eastAsia"/>
                <w:sz w:val="21"/>
                <w:szCs w:val="21"/>
                <w14:ligatures w14:val="none"/>
              </w:rPr>
              <w:t>3.57</w:t>
            </w:r>
          </w:p>
        </w:tc>
      </w:tr>
      <w:tr w14:paraId="5F8A1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299A4388">
            <w:pPr>
              <w:snapToGrid w:val="0"/>
              <w:spacing w:line="240" w:lineRule="auto"/>
              <w:ind w:firstLine="0" w:firstLineChars="0"/>
              <w:jc w:val="center"/>
              <w:rPr>
                <w:sz w:val="21"/>
                <w:szCs w:val="21"/>
                <w14:ligatures w14:val="none"/>
              </w:rPr>
            </w:pPr>
            <w:r>
              <w:rPr>
                <w:rFonts w:hint="eastAsia"/>
                <w:sz w:val="21"/>
                <w:szCs w:val="21"/>
                <w14:ligatures w14:val="none"/>
              </w:rPr>
              <w:t>2023年10月</w:t>
            </w:r>
          </w:p>
        </w:tc>
        <w:tc>
          <w:tcPr>
            <w:tcW w:w="0" w:type="auto"/>
            <w:noWrap/>
            <w:vAlign w:val="center"/>
          </w:tcPr>
          <w:p w14:paraId="1E1D7626">
            <w:pPr>
              <w:snapToGrid w:val="0"/>
              <w:spacing w:line="240" w:lineRule="auto"/>
              <w:ind w:firstLine="0" w:firstLineChars="0"/>
              <w:jc w:val="center"/>
              <w:rPr>
                <w:sz w:val="21"/>
                <w:szCs w:val="21"/>
                <w14:ligatures w14:val="none"/>
              </w:rPr>
            </w:pPr>
            <w:r>
              <w:rPr>
                <w:rFonts w:hint="eastAsia"/>
                <w:sz w:val="21"/>
                <w:szCs w:val="21"/>
                <w14:ligatures w14:val="none"/>
              </w:rPr>
              <w:t>125757</w:t>
            </w:r>
          </w:p>
        </w:tc>
        <w:tc>
          <w:tcPr>
            <w:tcW w:w="0" w:type="auto"/>
            <w:noWrap/>
            <w:vAlign w:val="center"/>
          </w:tcPr>
          <w:p w14:paraId="6B4A5D0E">
            <w:pPr>
              <w:snapToGrid w:val="0"/>
              <w:spacing w:line="240" w:lineRule="auto"/>
              <w:ind w:firstLine="0" w:firstLineChars="0"/>
              <w:jc w:val="center"/>
              <w:rPr>
                <w:sz w:val="21"/>
                <w:szCs w:val="21"/>
                <w14:ligatures w14:val="none"/>
              </w:rPr>
            </w:pPr>
            <w:r>
              <w:rPr>
                <w:rFonts w:hint="eastAsia"/>
                <w:sz w:val="21"/>
                <w:szCs w:val="21"/>
                <w14:ligatures w14:val="none"/>
              </w:rPr>
              <w:t>111</w:t>
            </w:r>
          </w:p>
        </w:tc>
        <w:tc>
          <w:tcPr>
            <w:tcW w:w="0" w:type="auto"/>
            <w:noWrap/>
            <w:vAlign w:val="center"/>
          </w:tcPr>
          <w:p w14:paraId="1EE0C658">
            <w:pPr>
              <w:snapToGrid w:val="0"/>
              <w:spacing w:line="240" w:lineRule="auto"/>
              <w:ind w:firstLine="0" w:firstLineChars="0"/>
              <w:jc w:val="center"/>
              <w:rPr>
                <w:sz w:val="21"/>
                <w:szCs w:val="21"/>
                <w14:ligatures w14:val="none"/>
              </w:rPr>
            </w:pPr>
            <w:r>
              <w:rPr>
                <w:rFonts w:hint="eastAsia"/>
                <w:sz w:val="21"/>
                <w:szCs w:val="21"/>
                <w14:ligatures w14:val="none"/>
              </w:rPr>
              <w:t>16.6</w:t>
            </w:r>
          </w:p>
        </w:tc>
        <w:tc>
          <w:tcPr>
            <w:tcW w:w="0" w:type="auto"/>
            <w:noWrap/>
            <w:vAlign w:val="center"/>
          </w:tcPr>
          <w:p w14:paraId="3025D2F2">
            <w:pPr>
              <w:snapToGrid w:val="0"/>
              <w:spacing w:line="240" w:lineRule="auto"/>
              <w:ind w:firstLine="0" w:firstLineChars="0"/>
              <w:jc w:val="center"/>
              <w:rPr>
                <w:sz w:val="21"/>
                <w:szCs w:val="21"/>
                <w14:ligatures w14:val="none"/>
              </w:rPr>
            </w:pPr>
            <w:r>
              <w:rPr>
                <w:rFonts w:hint="eastAsia"/>
                <w:sz w:val="21"/>
                <w:szCs w:val="21"/>
                <w14:ligatures w14:val="none"/>
              </w:rPr>
              <w:t>20.4</w:t>
            </w:r>
          </w:p>
        </w:tc>
        <w:tc>
          <w:tcPr>
            <w:tcW w:w="0" w:type="auto"/>
            <w:noWrap/>
            <w:vAlign w:val="center"/>
          </w:tcPr>
          <w:p w14:paraId="361A5180">
            <w:pPr>
              <w:snapToGrid w:val="0"/>
              <w:spacing w:line="240" w:lineRule="auto"/>
              <w:ind w:firstLine="0" w:firstLineChars="0"/>
              <w:jc w:val="center"/>
              <w:rPr>
                <w:sz w:val="21"/>
                <w:szCs w:val="21"/>
                <w14:ligatures w14:val="none"/>
              </w:rPr>
            </w:pPr>
            <w:r>
              <w:rPr>
                <w:rFonts w:hint="eastAsia"/>
                <w:sz w:val="21"/>
                <w:szCs w:val="21"/>
                <w14:ligatures w14:val="none"/>
              </w:rPr>
              <w:t>0.06</w:t>
            </w:r>
          </w:p>
        </w:tc>
        <w:tc>
          <w:tcPr>
            <w:tcW w:w="0" w:type="auto"/>
            <w:noWrap/>
            <w:vAlign w:val="center"/>
          </w:tcPr>
          <w:p w14:paraId="2AB56F32">
            <w:pPr>
              <w:snapToGrid w:val="0"/>
              <w:spacing w:line="240" w:lineRule="auto"/>
              <w:ind w:firstLine="0" w:firstLineChars="0"/>
              <w:jc w:val="center"/>
              <w:rPr>
                <w:sz w:val="21"/>
                <w:szCs w:val="21"/>
                <w14:ligatures w14:val="none"/>
              </w:rPr>
            </w:pPr>
            <w:r>
              <w:rPr>
                <w:rFonts w:hint="eastAsia"/>
                <w:sz w:val="21"/>
                <w:szCs w:val="21"/>
                <w14:ligatures w14:val="none"/>
              </w:rPr>
              <w:t>1.66</w:t>
            </w:r>
          </w:p>
        </w:tc>
        <w:tc>
          <w:tcPr>
            <w:tcW w:w="0" w:type="auto"/>
            <w:noWrap/>
            <w:vAlign w:val="center"/>
          </w:tcPr>
          <w:p w14:paraId="0D77A6E3">
            <w:pPr>
              <w:snapToGrid w:val="0"/>
              <w:spacing w:line="240" w:lineRule="auto"/>
              <w:ind w:firstLine="0" w:firstLineChars="0"/>
              <w:jc w:val="center"/>
              <w:rPr>
                <w:sz w:val="21"/>
                <w:szCs w:val="21"/>
                <w14:ligatures w14:val="none"/>
              </w:rPr>
            </w:pPr>
            <w:r>
              <w:rPr>
                <w:rFonts w:hint="eastAsia"/>
                <w:sz w:val="21"/>
                <w:szCs w:val="21"/>
                <w14:ligatures w14:val="none"/>
              </w:rPr>
              <w:t>0.02</w:t>
            </w:r>
          </w:p>
        </w:tc>
        <w:tc>
          <w:tcPr>
            <w:tcW w:w="0" w:type="auto"/>
            <w:noWrap/>
            <w:vAlign w:val="center"/>
          </w:tcPr>
          <w:p w14:paraId="4249FE26">
            <w:pPr>
              <w:snapToGrid w:val="0"/>
              <w:spacing w:line="240" w:lineRule="auto"/>
              <w:ind w:firstLine="0" w:firstLineChars="0"/>
              <w:jc w:val="center"/>
              <w:rPr>
                <w:sz w:val="21"/>
                <w:szCs w:val="21"/>
                <w14:ligatures w14:val="none"/>
              </w:rPr>
            </w:pPr>
            <w:r>
              <w:rPr>
                <w:rFonts w:hint="eastAsia"/>
                <w:sz w:val="21"/>
                <w:szCs w:val="21"/>
                <w14:ligatures w14:val="none"/>
              </w:rPr>
              <w:t>23.4</w:t>
            </w:r>
          </w:p>
        </w:tc>
        <w:tc>
          <w:tcPr>
            <w:tcW w:w="0" w:type="auto"/>
            <w:noWrap/>
            <w:vAlign w:val="center"/>
          </w:tcPr>
          <w:p w14:paraId="2BA7CDAD">
            <w:pPr>
              <w:snapToGrid w:val="0"/>
              <w:spacing w:line="240" w:lineRule="auto"/>
              <w:ind w:firstLine="0" w:firstLineChars="0"/>
              <w:jc w:val="center"/>
              <w:rPr>
                <w:sz w:val="21"/>
                <w:szCs w:val="21"/>
                <w14:ligatures w14:val="none"/>
              </w:rPr>
            </w:pPr>
            <w:r>
              <w:rPr>
                <w:rFonts w:hint="eastAsia"/>
                <w:sz w:val="21"/>
                <w:szCs w:val="21"/>
                <w14:ligatures w14:val="none"/>
              </w:rPr>
              <w:t>5.7</w:t>
            </w:r>
          </w:p>
        </w:tc>
      </w:tr>
      <w:tr w14:paraId="6003A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50E60C38">
            <w:pPr>
              <w:snapToGrid w:val="0"/>
              <w:spacing w:line="240" w:lineRule="auto"/>
              <w:ind w:firstLine="0" w:firstLineChars="0"/>
              <w:jc w:val="center"/>
              <w:rPr>
                <w:sz w:val="21"/>
                <w:szCs w:val="21"/>
                <w14:ligatures w14:val="none"/>
              </w:rPr>
            </w:pPr>
            <w:r>
              <w:rPr>
                <w:rFonts w:hint="eastAsia"/>
                <w:sz w:val="21"/>
                <w:szCs w:val="21"/>
                <w14:ligatures w14:val="none"/>
              </w:rPr>
              <w:t>2023年11月</w:t>
            </w:r>
          </w:p>
        </w:tc>
        <w:tc>
          <w:tcPr>
            <w:tcW w:w="0" w:type="auto"/>
            <w:noWrap/>
            <w:vAlign w:val="center"/>
          </w:tcPr>
          <w:p w14:paraId="246FA114">
            <w:pPr>
              <w:snapToGrid w:val="0"/>
              <w:spacing w:line="240" w:lineRule="auto"/>
              <w:ind w:firstLine="0" w:firstLineChars="0"/>
              <w:jc w:val="center"/>
              <w:rPr>
                <w:sz w:val="21"/>
                <w:szCs w:val="21"/>
                <w14:ligatures w14:val="none"/>
              </w:rPr>
            </w:pPr>
            <w:r>
              <w:rPr>
                <w:rFonts w:hint="eastAsia"/>
                <w:sz w:val="21"/>
                <w:szCs w:val="21"/>
                <w14:ligatures w14:val="none"/>
              </w:rPr>
              <w:t>107880</w:t>
            </w:r>
          </w:p>
        </w:tc>
        <w:tc>
          <w:tcPr>
            <w:tcW w:w="0" w:type="auto"/>
            <w:noWrap/>
            <w:vAlign w:val="center"/>
          </w:tcPr>
          <w:p w14:paraId="698342D9">
            <w:pPr>
              <w:snapToGrid w:val="0"/>
              <w:spacing w:line="240" w:lineRule="auto"/>
              <w:ind w:firstLine="0" w:firstLineChars="0"/>
              <w:jc w:val="center"/>
              <w:rPr>
                <w:sz w:val="21"/>
                <w:szCs w:val="21"/>
                <w14:ligatures w14:val="none"/>
              </w:rPr>
            </w:pPr>
            <w:r>
              <w:rPr>
                <w:rFonts w:hint="eastAsia"/>
                <w:sz w:val="21"/>
                <w:szCs w:val="21"/>
                <w14:ligatures w14:val="none"/>
              </w:rPr>
              <w:t>124</w:t>
            </w:r>
          </w:p>
        </w:tc>
        <w:tc>
          <w:tcPr>
            <w:tcW w:w="0" w:type="auto"/>
            <w:noWrap/>
            <w:vAlign w:val="center"/>
          </w:tcPr>
          <w:p w14:paraId="6BA85CB7">
            <w:pPr>
              <w:snapToGrid w:val="0"/>
              <w:spacing w:line="240" w:lineRule="auto"/>
              <w:ind w:firstLine="0" w:firstLineChars="0"/>
              <w:jc w:val="center"/>
              <w:rPr>
                <w:sz w:val="21"/>
                <w:szCs w:val="21"/>
                <w14:ligatures w14:val="none"/>
              </w:rPr>
            </w:pPr>
            <w:r>
              <w:rPr>
                <w:rFonts w:hint="eastAsia"/>
                <w:sz w:val="21"/>
                <w:szCs w:val="21"/>
                <w14:ligatures w14:val="none"/>
              </w:rPr>
              <w:t>18.70</w:t>
            </w:r>
          </w:p>
        </w:tc>
        <w:tc>
          <w:tcPr>
            <w:tcW w:w="0" w:type="auto"/>
            <w:noWrap/>
            <w:vAlign w:val="center"/>
          </w:tcPr>
          <w:p w14:paraId="34F9C92C">
            <w:pPr>
              <w:snapToGrid w:val="0"/>
              <w:spacing w:line="240" w:lineRule="auto"/>
              <w:ind w:firstLine="0" w:firstLineChars="0"/>
              <w:jc w:val="center"/>
              <w:rPr>
                <w:sz w:val="21"/>
                <w:szCs w:val="21"/>
                <w14:ligatures w14:val="none"/>
              </w:rPr>
            </w:pPr>
            <w:r>
              <w:rPr>
                <w:rFonts w:hint="eastAsia"/>
                <w:sz w:val="21"/>
                <w:szCs w:val="21"/>
                <w14:ligatures w14:val="none"/>
              </w:rPr>
              <w:t>23.80</w:t>
            </w:r>
          </w:p>
        </w:tc>
        <w:tc>
          <w:tcPr>
            <w:tcW w:w="0" w:type="auto"/>
            <w:noWrap/>
            <w:vAlign w:val="center"/>
          </w:tcPr>
          <w:p w14:paraId="6DA77E04">
            <w:pPr>
              <w:snapToGrid w:val="0"/>
              <w:spacing w:line="240" w:lineRule="auto"/>
              <w:ind w:firstLine="0" w:firstLineChars="0"/>
              <w:jc w:val="center"/>
              <w:rPr>
                <w:sz w:val="21"/>
                <w:szCs w:val="21"/>
                <w14:ligatures w14:val="none"/>
              </w:rPr>
            </w:pPr>
            <w:r>
              <w:rPr>
                <w:rFonts w:hint="eastAsia"/>
                <w:sz w:val="21"/>
                <w:szCs w:val="21"/>
                <w14:ligatures w14:val="none"/>
              </w:rPr>
              <w:t>0.10</w:t>
            </w:r>
          </w:p>
        </w:tc>
        <w:tc>
          <w:tcPr>
            <w:tcW w:w="0" w:type="auto"/>
            <w:noWrap/>
            <w:vAlign w:val="center"/>
          </w:tcPr>
          <w:p w14:paraId="4D9A41E9">
            <w:pPr>
              <w:snapToGrid w:val="0"/>
              <w:spacing w:line="240" w:lineRule="auto"/>
              <w:ind w:firstLine="0" w:firstLineChars="0"/>
              <w:jc w:val="center"/>
              <w:rPr>
                <w:sz w:val="21"/>
                <w:szCs w:val="21"/>
                <w14:ligatures w14:val="none"/>
              </w:rPr>
            </w:pPr>
            <w:r>
              <w:rPr>
                <w:rFonts w:hint="eastAsia"/>
                <w:sz w:val="21"/>
                <w:szCs w:val="21"/>
                <w14:ligatures w14:val="none"/>
              </w:rPr>
              <w:t>2.12</w:t>
            </w:r>
          </w:p>
        </w:tc>
        <w:tc>
          <w:tcPr>
            <w:tcW w:w="0" w:type="auto"/>
            <w:noWrap/>
            <w:vAlign w:val="center"/>
          </w:tcPr>
          <w:p w14:paraId="31DF5532">
            <w:pPr>
              <w:snapToGrid w:val="0"/>
              <w:spacing w:line="240" w:lineRule="auto"/>
              <w:ind w:firstLine="0" w:firstLineChars="0"/>
              <w:jc w:val="center"/>
              <w:rPr>
                <w:sz w:val="21"/>
                <w:szCs w:val="21"/>
                <w14:ligatures w14:val="none"/>
              </w:rPr>
            </w:pPr>
            <w:r>
              <w:rPr>
                <w:rFonts w:hint="eastAsia"/>
                <w:sz w:val="21"/>
                <w:szCs w:val="21"/>
                <w14:ligatures w14:val="none"/>
              </w:rPr>
              <w:t>0.02</w:t>
            </w:r>
          </w:p>
        </w:tc>
        <w:tc>
          <w:tcPr>
            <w:tcW w:w="0" w:type="auto"/>
            <w:noWrap/>
            <w:vAlign w:val="center"/>
          </w:tcPr>
          <w:p w14:paraId="5FD438ED">
            <w:pPr>
              <w:snapToGrid w:val="0"/>
              <w:spacing w:line="240" w:lineRule="auto"/>
              <w:ind w:firstLine="0" w:firstLineChars="0"/>
              <w:jc w:val="center"/>
              <w:rPr>
                <w:sz w:val="21"/>
                <w:szCs w:val="21"/>
                <w14:ligatures w14:val="none"/>
              </w:rPr>
            </w:pPr>
            <w:r>
              <w:rPr>
                <w:rFonts w:hint="eastAsia"/>
                <w:sz w:val="21"/>
                <w:szCs w:val="21"/>
                <w14:ligatures w14:val="none"/>
              </w:rPr>
              <w:t>27.70</w:t>
            </w:r>
          </w:p>
        </w:tc>
        <w:tc>
          <w:tcPr>
            <w:tcW w:w="0" w:type="auto"/>
            <w:noWrap/>
            <w:vAlign w:val="center"/>
          </w:tcPr>
          <w:p w14:paraId="6B98CD2A">
            <w:pPr>
              <w:snapToGrid w:val="0"/>
              <w:spacing w:line="240" w:lineRule="auto"/>
              <w:ind w:firstLine="0" w:firstLineChars="0"/>
              <w:jc w:val="center"/>
              <w:rPr>
                <w:sz w:val="21"/>
                <w:szCs w:val="21"/>
                <w14:ligatures w14:val="none"/>
              </w:rPr>
            </w:pPr>
            <w:r>
              <w:rPr>
                <w:rFonts w:hint="eastAsia"/>
                <w:sz w:val="21"/>
                <w:szCs w:val="21"/>
                <w14:ligatures w14:val="none"/>
              </w:rPr>
              <w:t>5.96</w:t>
            </w:r>
          </w:p>
        </w:tc>
      </w:tr>
      <w:tr w14:paraId="5FB57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0661D06C">
            <w:pPr>
              <w:snapToGrid w:val="0"/>
              <w:spacing w:line="240" w:lineRule="auto"/>
              <w:ind w:firstLine="0" w:firstLineChars="0"/>
              <w:jc w:val="center"/>
              <w:rPr>
                <w:sz w:val="21"/>
                <w:szCs w:val="21"/>
                <w14:ligatures w14:val="none"/>
              </w:rPr>
            </w:pPr>
            <w:r>
              <w:rPr>
                <w:rFonts w:hint="eastAsia"/>
                <w:sz w:val="21"/>
                <w:szCs w:val="21"/>
                <w14:ligatures w14:val="none"/>
              </w:rPr>
              <w:t>2023年12月</w:t>
            </w:r>
          </w:p>
        </w:tc>
        <w:tc>
          <w:tcPr>
            <w:tcW w:w="0" w:type="auto"/>
            <w:tcBorders>
              <w:bottom w:val="single" w:color="auto" w:sz="4" w:space="0"/>
            </w:tcBorders>
            <w:noWrap/>
            <w:vAlign w:val="center"/>
          </w:tcPr>
          <w:p w14:paraId="71856824">
            <w:pPr>
              <w:snapToGrid w:val="0"/>
              <w:spacing w:line="240" w:lineRule="auto"/>
              <w:ind w:firstLine="0" w:firstLineChars="0"/>
              <w:jc w:val="center"/>
              <w:rPr>
                <w:sz w:val="21"/>
                <w:szCs w:val="21"/>
                <w14:ligatures w14:val="none"/>
              </w:rPr>
            </w:pPr>
            <w:r>
              <w:rPr>
                <w:rFonts w:hint="eastAsia"/>
                <w:sz w:val="21"/>
                <w:szCs w:val="21"/>
                <w14:ligatures w14:val="none"/>
              </w:rPr>
              <w:t>114959</w:t>
            </w:r>
          </w:p>
        </w:tc>
        <w:tc>
          <w:tcPr>
            <w:tcW w:w="0" w:type="auto"/>
            <w:tcBorders>
              <w:bottom w:val="single" w:color="auto" w:sz="4" w:space="0"/>
            </w:tcBorders>
            <w:noWrap/>
            <w:vAlign w:val="center"/>
          </w:tcPr>
          <w:p w14:paraId="25F93407">
            <w:pPr>
              <w:snapToGrid w:val="0"/>
              <w:spacing w:line="240" w:lineRule="auto"/>
              <w:ind w:firstLine="0" w:firstLineChars="0"/>
              <w:jc w:val="center"/>
              <w:rPr>
                <w:sz w:val="21"/>
                <w:szCs w:val="21"/>
                <w14:ligatures w14:val="none"/>
              </w:rPr>
            </w:pPr>
            <w:r>
              <w:rPr>
                <w:rFonts w:hint="eastAsia"/>
                <w:sz w:val="21"/>
                <w:szCs w:val="21"/>
                <w14:ligatures w14:val="none"/>
              </w:rPr>
              <w:t>118</w:t>
            </w:r>
          </w:p>
        </w:tc>
        <w:tc>
          <w:tcPr>
            <w:tcW w:w="0" w:type="auto"/>
            <w:tcBorders>
              <w:bottom w:val="single" w:color="auto" w:sz="4" w:space="0"/>
            </w:tcBorders>
            <w:noWrap/>
            <w:vAlign w:val="center"/>
          </w:tcPr>
          <w:p w14:paraId="644DA943">
            <w:pPr>
              <w:snapToGrid w:val="0"/>
              <w:spacing w:line="240" w:lineRule="auto"/>
              <w:ind w:firstLine="0" w:firstLineChars="0"/>
              <w:jc w:val="center"/>
              <w:rPr>
                <w:sz w:val="21"/>
                <w:szCs w:val="21"/>
                <w14:ligatures w14:val="none"/>
              </w:rPr>
            </w:pPr>
            <w:r>
              <w:rPr>
                <w:rFonts w:hint="eastAsia"/>
                <w:sz w:val="21"/>
                <w:szCs w:val="21"/>
                <w14:ligatures w14:val="none"/>
              </w:rPr>
              <w:t>18</w:t>
            </w:r>
          </w:p>
        </w:tc>
        <w:tc>
          <w:tcPr>
            <w:tcW w:w="0" w:type="auto"/>
            <w:tcBorders>
              <w:bottom w:val="single" w:color="auto" w:sz="4" w:space="0"/>
            </w:tcBorders>
            <w:noWrap/>
            <w:vAlign w:val="center"/>
          </w:tcPr>
          <w:p w14:paraId="12635C70">
            <w:pPr>
              <w:snapToGrid w:val="0"/>
              <w:spacing w:line="240" w:lineRule="auto"/>
              <w:ind w:firstLine="0" w:firstLineChars="0"/>
              <w:jc w:val="center"/>
              <w:rPr>
                <w:sz w:val="21"/>
                <w:szCs w:val="21"/>
                <w14:ligatures w14:val="none"/>
              </w:rPr>
            </w:pPr>
            <w:r>
              <w:rPr>
                <w:rFonts w:hint="eastAsia"/>
                <w:sz w:val="21"/>
                <w:szCs w:val="21"/>
                <w14:ligatures w14:val="none"/>
              </w:rPr>
              <w:t>24.3</w:t>
            </w:r>
          </w:p>
        </w:tc>
        <w:tc>
          <w:tcPr>
            <w:tcW w:w="0" w:type="auto"/>
            <w:tcBorders>
              <w:bottom w:val="single" w:color="auto" w:sz="4" w:space="0"/>
            </w:tcBorders>
            <w:noWrap/>
            <w:vAlign w:val="center"/>
          </w:tcPr>
          <w:p w14:paraId="08DDFA26">
            <w:pPr>
              <w:snapToGrid w:val="0"/>
              <w:spacing w:line="240" w:lineRule="auto"/>
              <w:ind w:firstLine="0" w:firstLineChars="0"/>
              <w:jc w:val="center"/>
              <w:rPr>
                <w:sz w:val="21"/>
                <w:szCs w:val="21"/>
                <w14:ligatures w14:val="none"/>
              </w:rPr>
            </w:pPr>
            <w:r>
              <w:rPr>
                <w:rFonts w:hint="eastAsia"/>
                <w:sz w:val="21"/>
                <w:szCs w:val="21"/>
                <w14:ligatures w14:val="none"/>
              </w:rPr>
              <w:t>0.058</w:t>
            </w:r>
          </w:p>
        </w:tc>
        <w:tc>
          <w:tcPr>
            <w:tcW w:w="0" w:type="auto"/>
            <w:tcBorders>
              <w:bottom w:val="single" w:color="auto" w:sz="4" w:space="0"/>
            </w:tcBorders>
            <w:noWrap/>
            <w:vAlign w:val="center"/>
          </w:tcPr>
          <w:p w14:paraId="46D245E4">
            <w:pPr>
              <w:snapToGrid w:val="0"/>
              <w:spacing w:line="240" w:lineRule="auto"/>
              <w:ind w:firstLine="0" w:firstLineChars="0"/>
              <w:jc w:val="center"/>
              <w:rPr>
                <w:sz w:val="21"/>
                <w:szCs w:val="21"/>
                <w14:ligatures w14:val="none"/>
              </w:rPr>
            </w:pPr>
            <w:r>
              <w:rPr>
                <w:rFonts w:hint="eastAsia"/>
                <w:sz w:val="21"/>
                <w:szCs w:val="21"/>
                <w14:ligatures w14:val="none"/>
              </w:rPr>
              <w:t>1.99</w:t>
            </w:r>
          </w:p>
        </w:tc>
        <w:tc>
          <w:tcPr>
            <w:tcW w:w="0" w:type="auto"/>
            <w:tcBorders>
              <w:bottom w:val="single" w:color="auto" w:sz="4" w:space="0"/>
            </w:tcBorders>
            <w:noWrap/>
            <w:vAlign w:val="center"/>
          </w:tcPr>
          <w:p w14:paraId="0BD01D9D">
            <w:pPr>
              <w:snapToGrid w:val="0"/>
              <w:spacing w:line="240" w:lineRule="auto"/>
              <w:ind w:firstLine="0" w:firstLineChars="0"/>
              <w:jc w:val="center"/>
              <w:rPr>
                <w:sz w:val="21"/>
                <w:szCs w:val="21"/>
                <w14:ligatures w14:val="none"/>
              </w:rPr>
            </w:pPr>
            <w:r>
              <w:rPr>
                <w:rFonts w:hint="eastAsia"/>
                <w:sz w:val="21"/>
                <w:szCs w:val="21"/>
                <w14:ligatures w14:val="none"/>
              </w:rPr>
              <w:t>0.01</w:t>
            </w:r>
          </w:p>
        </w:tc>
        <w:tc>
          <w:tcPr>
            <w:tcW w:w="0" w:type="auto"/>
            <w:tcBorders>
              <w:bottom w:val="single" w:color="auto" w:sz="4" w:space="0"/>
            </w:tcBorders>
            <w:noWrap/>
            <w:vAlign w:val="center"/>
          </w:tcPr>
          <w:p w14:paraId="4A0CC516">
            <w:pPr>
              <w:snapToGrid w:val="0"/>
              <w:spacing w:line="240" w:lineRule="auto"/>
              <w:ind w:firstLine="0" w:firstLineChars="0"/>
              <w:jc w:val="center"/>
              <w:rPr>
                <w:sz w:val="21"/>
                <w:szCs w:val="21"/>
                <w14:ligatures w14:val="none"/>
              </w:rPr>
            </w:pPr>
            <w:r>
              <w:rPr>
                <w:rFonts w:hint="eastAsia"/>
                <w:sz w:val="21"/>
                <w:szCs w:val="21"/>
                <w14:ligatures w14:val="none"/>
              </w:rPr>
              <w:t>28.4</w:t>
            </w:r>
          </w:p>
        </w:tc>
        <w:tc>
          <w:tcPr>
            <w:tcW w:w="0" w:type="auto"/>
            <w:tcBorders>
              <w:bottom w:val="single" w:color="auto" w:sz="4" w:space="0"/>
            </w:tcBorders>
            <w:noWrap/>
            <w:vAlign w:val="center"/>
          </w:tcPr>
          <w:p w14:paraId="66F1A78B">
            <w:pPr>
              <w:snapToGrid w:val="0"/>
              <w:spacing w:line="240" w:lineRule="auto"/>
              <w:ind w:firstLine="0" w:firstLineChars="0"/>
              <w:jc w:val="center"/>
              <w:rPr>
                <w:sz w:val="21"/>
                <w:szCs w:val="21"/>
                <w14:ligatures w14:val="none"/>
              </w:rPr>
            </w:pPr>
            <w:r>
              <w:rPr>
                <w:rFonts w:hint="eastAsia"/>
                <w:sz w:val="21"/>
                <w:szCs w:val="21"/>
                <w14:ligatures w14:val="none"/>
              </w:rPr>
              <w:t>6.38</w:t>
            </w:r>
          </w:p>
        </w:tc>
      </w:tr>
      <w:tr w14:paraId="5F189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noWrap/>
            <w:vAlign w:val="center"/>
          </w:tcPr>
          <w:p w14:paraId="4F66F96B">
            <w:pPr>
              <w:snapToGrid w:val="0"/>
              <w:spacing w:line="240" w:lineRule="auto"/>
              <w:ind w:firstLine="0" w:firstLineChars="0"/>
              <w:jc w:val="center"/>
              <w:rPr>
                <w:sz w:val="21"/>
                <w:szCs w:val="21"/>
                <w14:ligatures w14:val="none"/>
              </w:rPr>
            </w:pPr>
            <w:r>
              <w:rPr>
                <w:rFonts w:hint="eastAsia"/>
                <w:sz w:val="21"/>
                <w:szCs w:val="21"/>
                <w14:ligatures w14:val="none"/>
              </w:rPr>
              <w:t>均值</w:t>
            </w:r>
          </w:p>
        </w:tc>
        <w:tc>
          <w:tcPr>
            <w:tcW w:w="0" w:type="auto"/>
            <w:tcBorders>
              <w:top w:val="single" w:color="auto" w:sz="4" w:space="0"/>
              <w:left w:val="nil"/>
              <w:bottom w:val="single" w:color="auto" w:sz="4" w:space="0"/>
              <w:right w:val="single" w:color="auto" w:sz="4" w:space="0"/>
            </w:tcBorders>
            <w:noWrap/>
            <w:vAlign w:val="center"/>
          </w:tcPr>
          <w:p w14:paraId="3C7B4C66">
            <w:pPr>
              <w:snapToGrid w:val="0"/>
              <w:spacing w:line="240" w:lineRule="auto"/>
              <w:ind w:firstLine="0" w:firstLineChars="0"/>
              <w:jc w:val="center"/>
              <w:rPr>
                <w:sz w:val="21"/>
                <w:szCs w:val="21"/>
                <w14:ligatures w14:val="none"/>
              </w:rPr>
            </w:pPr>
            <w:r>
              <w:rPr>
                <w:rFonts w:hint="eastAsia"/>
                <w:sz w:val="21"/>
                <w:szCs w:val="21"/>
                <w14:ligatures w14:val="none"/>
              </w:rPr>
              <w:t>124514.9</w:t>
            </w:r>
          </w:p>
        </w:tc>
        <w:tc>
          <w:tcPr>
            <w:tcW w:w="0" w:type="auto"/>
            <w:tcBorders>
              <w:top w:val="single" w:color="auto" w:sz="4" w:space="0"/>
              <w:left w:val="single" w:color="auto" w:sz="4" w:space="0"/>
              <w:bottom w:val="single" w:color="auto" w:sz="4" w:space="0"/>
              <w:right w:val="single" w:color="auto" w:sz="4" w:space="0"/>
            </w:tcBorders>
            <w:noWrap/>
            <w:vAlign w:val="center"/>
          </w:tcPr>
          <w:p w14:paraId="612EA651">
            <w:pPr>
              <w:snapToGrid w:val="0"/>
              <w:spacing w:line="240" w:lineRule="auto"/>
              <w:ind w:firstLine="0" w:firstLineChars="0"/>
              <w:jc w:val="center"/>
              <w:rPr>
                <w:sz w:val="21"/>
                <w:szCs w:val="21"/>
                <w14:ligatures w14:val="none"/>
              </w:rPr>
            </w:pPr>
            <w:r>
              <w:rPr>
                <w:rFonts w:hint="eastAsia"/>
                <w:sz w:val="21"/>
                <w:szCs w:val="21"/>
                <w14:ligatures w14:val="none"/>
              </w:rPr>
              <w:t>100.33</w:t>
            </w:r>
          </w:p>
        </w:tc>
        <w:tc>
          <w:tcPr>
            <w:tcW w:w="0" w:type="auto"/>
            <w:tcBorders>
              <w:top w:val="single" w:color="auto" w:sz="4" w:space="0"/>
              <w:left w:val="single" w:color="auto" w:sz="4" w:space="0"/>
              <w:bottom w:val="single" w:color="auto" w:sz="4" w:space="0"/>
              <w:right w:val="single" w:color="auto" w:sz="4" w:space="0"/>
            </w:tcBorders>
            <w:noWrap/>
            <w:vAlign w:val="center"/>
          </w:tcPr>
          <w:p w14:paraId="55AF5348">
            <w:pPr>
              <w:snapToGrid w:val="0"/>
              <w:spacing w:line="240" w:lineRule="auto"/>
              <w:ind w:firstLine="0" w:firstLineChars="0"/>
              <w:jc w:val="center"/>
              <w:rPr>
                <w:sz w:val="21"/>
                <w:szCs w:val="21"/>
                <w14:ligatures w14:val="none"/>
              </w:rPr>
            </w:pPr>
            <w:r>
              <w:rPr>
                <w:rFonts w:hint="eastAsia"/>
                <w:sz w:val="21"/>
                <w:szCs w:val="21"/>
                <w14:ligatures w14:val="none"/>
              </w:rPr>
              <w:t>18.21</w:t>
            </w:r>
          </w:p>
        </w:tc>
        <w:tc>
          <w:tcPr>
            <w:tcW w:w="0" w:type="auto"/>
            <w:tcBorders>
              <w:top w:val="single" w:color="auto" w:sz="4" w:space="0"/>
              <w:left w:val="single" w:color="auto" w:sz="4" w:space="0"/>
              <w:bottom w:val="single" w:color="auto" w:sz="4" w:space="0"/>
              <w:right w:val="single" w:color="auto" w:sz="4" w:space="0"/>
            </w:tcBorders>
            <w:noWrap/>
            <w:vAlign w:val="center"/>
          </w:tcPr>
          <w:p w14:paraId="421AD38A">
            <w:pPr>
              <w:snapToGrid w:val="0"/>
              <w:spacing w:line="240" w:lineRule="auto"/>
              <w:ind w:firstLine="0" w:firstLineChars="0"/>
              <w:jc w:val="center"/>
              <w:rPr>
                <w:sz w:val="21"/>
                <w:szCs w:val="21"/>
                <w14:ligatures w14:val="none"/>
              </w:rPr>
            </w:pPr>
            <w:r>
              <w:rPr>
                <w:rFonts w:hint="eastAsia"/>
                <w:sz w:val="21"/>
                <w:szCs w:val="21"/>
                <w14:ligatures w14:val="none"/>
              </w:rPr>
              <w:t>17.91</w:t>
            </w:r>
          </w:p>
        </w:tc>
        <w:tc>
          <w:tcPr>
            <w:tcW w:w="0" w:type="auto"/>
            <w:tcBorders>
              <w:top w:val="single" w:color="auto" w:sz="4" w:space="0"/>
              <w:left w:val="single" w:color="auto" w:sz="4" w:space="0"/>
              <w:bottom w:val="single" w:color="auto" w:sz="4" w:space="0"/>
              <w:right w:val="single" w:color="auto" w:sz="4" w:space="0"/>
            </w:tcBorders>
            <w:noWrap/>
            <w:vAlign w:val="center"/>
          </w:tcPr>
          <w:p w14:paraId="1A321B91">
            <w:pPr>
              <w:snapToGrid w:val="0"/>
              <w:spacing w:line="240" w:lineRule="auto"/>
              <w:ind w:firstLine="0" w:firstLineChars="0"/>
              <w:jc w:val="center"/>
              <w:rPr>
                <w:sz w:val="21"/>
                <w:szCs w:val="21"/>
                <w14:ligatures w14:val="none"/>
              </w:rPr>
            </w:pPr>
            <w:r>
              <w:rPr>
                <w:rFonts w:hint="eastAsia"/>
                <w:sz w:val="21"/>
                <w:szCs w:val="21"/>
                <w14:ligatures w14:val="none"/>
              </w:rPr>
              <w:t>0.18</w:t>
            </w:r>
          </w:p>
        </w:tc>
        <w:tc>
          <w:tcPr>
            <w:tcW w:w="0" w:type="auto"/>
            <w:tcBorders>
              <w:top w:val="single" w:color="auto" w:sz="4" w:space="0"/>
              <w:left w:val="single" w:color="auto" w:sz="4" w:space="0"/>
              <w:bottom w:val="single" w:color="auto" w:sz="4" w:space="0"/>
              <w:right w:val="single" w:color="auto" w:sz="4" w:space="0"/>
            </w:tcBorders>
            <w:noWrap/>
            <w:vAlign w:val="center"/>
          </w:tcPr>
          <w:p w14:paraId="0F5859A1">
            <w:pPr>
              <w:snapToGrid w:val="0"/>
              <w:spacing w:line="240" w:lineRule="auto"/>
              <w:ind w:firstLine="0" w:firstLineChars="0"/>
              <w:jc w:val="center"/>
              <w:rPr>
                <w:sz w:val="21"/>
                <w:szCs w:val="21"/>
                <w14:ligatures w14:val="none"/>
              </w:rPr>
            </w:pPr>
            <w:r>
              <w:rPr>
                <w:rFonts w:hint="eastAsia"/>
                <w:sz w:val="21"/>
                <w:szCs w:val="21"/>
                <w14:ligatures w14:val="none"/>
              </w:rPr>
              <w:t>1.68</w:t>
            </w:r>
          </w:p>
        </w:tc>
        <w:tc>
          <w:tcPr>
            <w:tcW w:w="0" w:type="auto"/>
            <w:tcBorders>
              <w:top w:val="single" w:color="auto" w:sz="4" w:space="0"/>
              <w:left w:val="single" w:color="auto" w:sz="4" w:space="0"/>
              <w:bottom w:val="single" w:color="auto" w:sz="4" w:space="0"/>
              <w:right w:val="single" w:color="auto" w:sz="4" w:space="0"/>
            </w:tcBorders>
            <w:noWrap/>
            <w:vAlign w:val="center"/>
          </w:tcPr>
          <w:p w14:paraId="4B7321B2">
            <w:pPr>
              <w:snapToGrid w:val="0"/>
              <w:spacing w:line="240" w:lineRule="auto"/>
              <w:ind w:firstLine="0" w:firstLineChars="0"/>
              <w:jc w:val="center"/>
              <w:rPr>
                <w:sz w:val="21"/>
                <w:szCs w:val="21"/>
                <w14:ligatures w14:val="none"/>
              </w:rPr>
            </w:pPr>
            <w:r>
              <w:rPr>
                <w:rFonts w:hint="eastAsia"/>
                <w:sz w:val="21"/>
                <w:szCs w:val="21"/>
                <w14:ligatures w14:val="none"/>
              </w:rPr>
              <w:t>0.04</w:t>
            </w:r>
          </w:p>
        </w:tc>
        <w:tc>
          <w:tcPr>
            <w:tcW w:w="0" w:type="auto"/>
            <w:tcBorders>
              <w:top w:val="single" w:color="auto" w:sz="4" w:space="0"/>
              <w:left w:val="single" w:color="auto" w:sz="4" w:space="0"/>
              <w:bottom w:val="single" w:color="auto" w:sz="4" w:space="0"/>
              <w:right w:val="single" w:color="auto" w:sz="4" w:space="0"/>
            </w:tcBorders>
            <w:noWrap/>
            <w:vAlign w:val="center"/>
          </w:tcPr>
          <w:p w14:paraId="1AE089F3">
            <w:pPr>
              <w:snapToGrid w:val="0"/>
              <w:spacing w:line="240" w:lineRule="auto"/>
              <w:ind w:firstLine="0" w:firstLineChars="0"/>
              <w:jc w:val="center"/>
              <w:rPr>
                <w:sz w:val="21"/>
                <w:szCs w:val="21"/>
                <w14:ligatures w14:val="none"/>
              </w:rPr>
            </w:pPr>
            <w:r>
              <w:rPr>
                <w:rFonts w:hint="eastAsia"/>
                <w:sz w:val="21"/>
                <w:szCs w:val="21"/>
                <w14:ligatures w14:val="none"/>
              </w:rPr>
              <w:t>21.58</w:t>
            </w:r>
          </w:p>
        </w:tc>
        <w:tc>
          <w:tcPr>
            <w:tcW w:w="0" w:type="auto"/>
            <w:tcBorders>
              <w:top w:val="single" w:color="auto" w:sz="4" w:space="0"/>
              <w:left w:val="single" w:color="auto" w:sz="4" w:space="0"/>
              <w:bottom w:val="single" w:color="auto" w:sz="4" w:space="0"/>
              <w:right w:val="single" w:color="auto" w:sz="4" w:space="0"/>
            </w:tcBorders>
            <w:noWrap/>
            <w:vAlign w:val="center"/>
          </w:tcPr>
          <w:p w14:paraId="3318F26A">
            <w:pPr>
              <w:snapToGrid w:val="0"/>
              <w:spacing w:line="240" w:lineRule="auto"/>
              <w:ind w:firstLine="0" w:firstLineChars="0"/>
              <w:jc w:val="center"/>
              <w:rPr>
                <w:sz w:val="21"/>
                <w:szCs w:val="21"/>
                <w14:ligatures w14:val="none"/>
              </w:rPr>
            </w:pPr>
            <w:r>
              <w:rPr>
                <w:rFonts w:hint="eastAsia"/>
                <w:sz w:val="21"/>
                <w:szCs w:val="21"/>
                <w14:ligatures w14:val="none"/>
              </w:rPr>
              <w:t>5.19</w:t>
            </w:r>
          </w:p>
        </w:tc>
      </w:tr>
      <w:tr w14:paraId="111DC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gridSpan w:val="2"/>
            <w:noWrap/>
            <w:vAlign w:val="center"/>
          </w:tcPr>
          <w:p w14:paraId="4E42868F">
            <w:pPr>
              <w:snapToGrid w:val="0"/>
              <w:spacing w:line="240" w:lineRule="auto"/>
              <w:ind w:firstLine="0" w:firstLineChars="0"/>
              <w:jc w:val="center"/>
              <w:rPr>
                <w:sz w:val="21"/>
                <w:szCs w:val="21"/>
                <w14:ligatures w14:val="none"/>
              </w:rPr>
            </w:pPr>
            <w:r>
              <w:rPr>
                <w:rFonts w:hint="eastAsia"/>
                <w:sz w:val="21"/>
                <w:szCs w:val="21"/>
                <w14:ligatures w14:val="none"/>
              </w:rPr>
              <w:t>排放标准</w:t>
            </w:r>
          </w:p>
        </w:tc>
        <w:tc>
          <w:tcPr>
            <w:tcW w:w="0" w:type="auto"/>
            <w:noWrap/>
            <w:vAlign w:val="center"/>
          </w:tcPr>
          <w:p w14:paraId="6930EBBF">
            <w:pPr>
              <w:snapToGrid w:val="0"/>
              <w:spacing w:line="240" w:lineRule="auto"/>
              <w:ind w:firstLine="0" w:firstLineChars="0"/>
              <w:jc w:val="center"/>
              <w:rPr>
                <w:sz w:val="21"/>
                <w:szCs w:val="21"/>
                <w14:ligatures w14:val="none"/>
              </w:rPr>
            </w:pPr>
            <w:r>
              <w:rPr>
                <w:rFonts w:hint="eastAsia"/>
                <w:sz w:val="21"/>
                <w:szCs w:val="21"/>
                <w14:ligatures w14:val="none"/>
              </w:rPr>
              <w:t>500</w:t>
            </w:r>
          </w:p>
        </w:tc>
        <w:tc>
          <w:tcPr>
            <w:tcW w:w="0" w:type="auto"/>
            <w:noWrap/>
            <w:vAlign w:val="center"/>
          </w:tcPr>
          <w:p w14:paraId="14D0E963">
            <w:pPr>
              <w:snapToGrid w:val="0"/>
              <w:spacing w:line="240" w:lineRule="auto"/>
              <w:ind w:firstLine="0" w:firstLineChars="0"/>
              <w:jc w:val="center"/>
              <w:rPr>
                <w:sz w:val="21"/>
                <w:szCs w:val="21"/>
                <w14:ligatures w14:val="none"/>
              </w:rPr>
            </w:pPr>
            <w:r>
              <w:rPr>
                <w:rFonts w:hint="eastAsia"/>
                <w:sz w:val="21"/>
                <w:szCs w:val="21"/>
                <w14:ligatures w14:val="none"/>
              </w:rPr>
              <w:t>50</w:t>
            </w:r>
          </w:p>
        </w:tc>
        <w:tc>
          <w:tcPr>
            <w:tcW w:w="0" w:type="auto"/>
            <w:noWrap/>
            <w:vAlign w:val="center"/>
          </w:tcPr>
          <w:p w14:paraId="2D963D21">
            <w:pPr>
              <w:snapToGrid w:val="0"/>
              <w:spacing w:line="240" w:lineRule="auto"/>
              <w:ind w:firstLine="0" w:firstLineChars="0"/>
              <w:jc w:val="center"/>
              <w:rPr>
                <w:sz w:val="21"/>
                <w:szCs w:val="21"/>
                <w14:ligatures w14:val="none"/>
              </w:rPr>
            </w:pPr>
            <w:r>
              <w:rPr>
                <w:rFonts w:hint="eastAsia"/>
                <w:sz w:val="21"/>
                <w:szCs w:val="21"/>
                <w14:ligatures w14:val="none"/>
              </w:rPr>
              <w:t>45</w:t>
            </w:r>
          </w:p>
        </w:tc>
        <w:tc>
          <w:tcPr>
            <w:tcW w:w="0" w:type="auto"/>
            <w:noWrap/>
            <w:vAlign w:val="center"/>
          </w:tcPr>
          <w:p w14:paraId="77B3DD5F">
            <w:pPr>
              <w:snapToGrid w:val="0"/>
              <w:spacing w:line="240" w:lineRule="auto"/>
              <w:ind w:firstLine="0" w:firstLineChars="0"/>
              <w:jc w:val="center"/>
              <w:rPr>
                <w:sz w:val="21"/>
                <w:szCs w:val="21"/>
                <w14:ligatures w14:val="none"/>
              </w:rPr>
            </w:pPr>
            <w:r>
              <w:rPr>
                <w:rFonts w:hint="eastAsia"/>
                <w:sz w:val="21"/>
                <w:szCs w:val="21"/>
                <w14:ligatures w14:val="none"/>
              </w:rPr>
              <w:t>4</w:t>
            </w:r>
          </w:p>
        </w:tc>
        <w:tc>
          <w:tcPr>
            <w:tcW w:w="0" w:type="auto"/>
            <w:noWrap/>
            <w:vAlign w:val="center"/>
          </w:tcPr>
          <w:p w14:paraId="4A40832B">
            <w:pPr>
              <w:snapToGrid w:val="0"/>
              <w:spacing w:line="240" w:lineRule="auto"/>
              <w:ind w:firstLine="0" w:firstLineChars="0"/>
              <w:jc w:val="center"/>
              <w:rPr>
                <w:sz w:val="21"/>
                <w:szCs w:val="21"/>
                <w14:ligatures w14:val="none"/>
              </w:rPr>
            </w:pPr>
            <w:r>
              <w:rPr>
                <w:rFonts w:hint="eastAsia"/>
                <w:sz w:val="21"/>
                <w:szCs w:val="21"/>
                <w14:ligatures w14:val="none"/>
              </w:rPr>
              <w:t>8</w:t>
            </w:r>
          </w:p>
        </w:tc>
        <w:tc>
          <w:tcPr>
            <w:tcW w:w="0" w:type="auto"/>
            <w:noWrap/>
            <w:vAlign w:val="center"/>
          </w:tcPr>
          <w:p w14:paraId="27F4D3A0">
            <w:pPr>
              <w:snapToGrid w:val="0"/>
              <w:spacing w:line="240" w:lineRule="auto"/>
              <w:ind w:firstLine="0" w:firstLineChars="0"/>
              <w:jc w:val="center"/>
              <w:rPr>
                <w:sz w:val="21"/>
                <w:szCs w:val="21"/>
                <w14:ligatures w14:val="none"/>
              </w:rPr>
            </w:pPr>
            <w:r>
              <w:rPr>
                <w:rFonts w:hint="eastAsia"/>
                <w:sz w:val="21"/>
                <w:szCs w:val="21"/>
                <w14:ligatures w14:val="none"/>
              </w:rPr>
              <w:t>0.5</w:t>
            </w:r>
          </w:p>
        </w:tc>
        <w:tc>
          <w:tcPr>
            <w:tcW w:w="0" w:type="auto"/>
            <w:noWrap/>
            <w:vAlign w:val="center"/>
          </w:tcPr>
          <w:p w14:paraId="76677424">
            <w:pPr>
              <w:snapToGrid w:val="0"/>
              <w:spacing w:line="240" w:lineRule="auto"/>
              <w:ind w:firstLine="0" w:firstLineChars="0"/>
              <w:jc w:val="center"/>
              <w:rPr>
                <w:sz w:val="21"/>
                <w:szCs w:val="21"/>
                <w14:ligatures w14:val="none"/>
              </w:rPr>
            </w:pPr>
            <w:r>
              <w:rPr>
                <w:rFonts w:hint="eastAsia"/>
                <w:sz w:val="21"/>
                <w:szCs w:val="21"/>
                <w14:ligatures w14:val="none"/>
              </w:rPr>
              <w:t>70</w:t>
            </w:r>
          </w:p>
        </w:tc>
        <w:tc>
          <w:tcPr>
            <w:tcW w:w="0" w:type="auto"/>
            <w:noWrap/>
            <w:vAlign w:val="center"/>
          </w:tcPr>
          <w:p w14:paraId="79DF932B">
            <w:pPr>
              <w:snapToGrid w:val="0"/>
              <w:spacing w:line="240" w:lineRule="auto"/>
              <w:ind w:firstLine="0" w:firstLineChars="0"/>
              <w:jc w:val="center"/>
              <w:rPr>
                <w:sz w:val="21"/>
                <w:szCs w:val="21"/>
                <w14:ligatures w14:val="none"/>
              </w:rPr>
            </w:pPr>
            <w:r>
              <w:rPr>
                <w:rFonts w:hint="eastAsia"/>
                <w:sz w:val="21"/>
                <w:szCs w:val="21"/>
                <w14:ligatures w14:val="none"/>
              </w:rPr>
              <w:t>12</w:t>
            </w:r>
          </w:p>
        </w:tc>
      </w:tr>
      <w:bookmarkEnd w:id="69"/>
    </w:tbl>
    <w:p w14:paraId="3FBAF7EB">
      <w:pPr>
        <w:pStyle w:val="45"/>
        <w:rPr>
          <w:rFonts w:cs="Times New Roman"/>
        </w:rPr>
      </w:pPr>
      <w:r>
        <w:rPr>
          <w:rFonts w:cs="Times New Roman"/>
        </w:rPr>
        <w:t>表</w:t>
      </w:r>
      <w:r>
        <w:rPr>
          <w:rFonts w:hint="eastAsia" w:cs="Times New Roman"/>
        </w:rPr>
        <w:t>3</w:t>
      </w:r>
      <w:r>
        <w:rPr>
          <w:rFonts w:cs="Times New Roman"/>
        </w:rPr>
        <w:t>.4-</w:t>
      </w:r>
      <w:r>
        <w:rPr>
          <w:rFonts w:hint="eastAsia" w:cs="Times New Roman"/>
        </w:rPr>
        <w:t xml:space="preserve">5 </w:t>
      </w:r>
      <w:r>
        <w:rPr>
          <w:rFonts w:cs="Times New Roman"/>
        </w:rPr>
        <w:t xml:space="preserve"> 2024年茅东污水厂进、出水在线监测数据 （单位：mg/L）</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5"/>
        <w:gridCol w:w="1395"/>
        <w:gridCol w:w="687"/>
        <w:gridCol w:w="687"/>
        <w:gridCol w:w="687"/>
        <w:gridCol w:w="745"/>
        <w:gridCol w:w="687"/>
        <w:gridCol w:w="745"/>
        <w:gridCol w:w="687"/>
        <w:gridCol w:w="687"/>
      </w:tblGrid>
      <w:tr w14:paraId="26719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blHeader/>
        </w:trPr>
        <w:tc>
          <w:tcPr>
            <w:tcW w:w="889" w:type="pct"/>
            <w:vMerge w:val="restart"/>
            <w:tcBorders>
              <w:top w:val="single" w:color="auto" w:sz="4" w:space="0"/>
              <w:left w:val="single" w:color="auto" w:sz="4" w:space="0"/>
              <w:bottom w:val="single" w:color="auto" w:sz="4" w:space="0"/>
              <w:right w:val="single" w:color="auto" w:sz="4" w:space="0"/>
              <w:tl2br w:val="nil"/>
              <w:tr2bl w:val="nil"/>
            </w:tcBorders>
            <w:vAlign w:val="center"/>
          </w:tcPr>
          <w:p w14:paraId="02C5CE89">
            <w:pPr>
              <w:snapToGrid w:val="0"/>
              <w:spacing w:line="240" w:lineRule="auto"/>
              <w:ind w:firstLine="0" w:firstLineChars="0"/>
              <w:jc w:val="center"/>
              <w:rPr>
                <w:b/>
                <w:bCs/>
                <w:sz w:val="21"/>
                <w:szCs w:val="21"/>
              </w:rPr>
            </w:pPr>
            <w:r>
              <w:rPr>
                <w:rFonts w:hint="eastAsia"/>
                <w:b/>
                <w:bCs/>
                <w:sz w:val="21"/>
                <w:szCs w:val="21"/>
              </w:rPr>
              <w:t>时间</w:t>
            </w:r>
          </w:p>
        </w:tc>
        <w:tc>
          <w:tcPr>
            <w:tcW w:w="818" w:type="pct"/>
            <w:vMerge w:val="restart"/>
            <w:tcBorders>
              <w:top w:val="single" w:color="auto" w:sz="4" w:space="0"/>
              <w:left w:val="single" w:color="auto" w:sz="4" w:space="0"/>
              <w:bottom w:val="single" w:color="auto" w:sz="4" w:space="0"/>
              <w:right w:val="single" w:color="auto" w:sz="4" w:space="0"/>
              <w:tl2br w:val="nil"/>
              <w:tr2bl w:val="nil"/>
            </w:tcBorders>
            <w:vAlign w:val="center"/>
          </w:tcPr>
          <w:p w14:paraId="79912147">
            <w:pPr>
              <w:snapToGrid w:val="0"/>
              <w:spacing w:line="240" w:lineRule="auto"/>
              <w:ind w:firstLine="0" w:firstLineChars="0"/>
              <w:jc w:val="center"/>
              <w:rPr>
                <w:b/>
                <w:bCs/>
                <w:sz w:val="21"/>
                <w:szCs w:val="21"/>
              </w:rPr>
            </w:pPr>
            <w:r>
              <w:rPr>
                <w:rFonts w:hint="eastAsia"/>
                <w:b/>
                <w:bCs/>
                <w:sz w:val="21"/>
                <w:szCs w:val="21"/>
              </w:rPr>
              <w:t>水量（</w:t>
            </w:r>
            <w:r>
              <w:rPr>
                <w:b/>
                <w:bCs/>
                <w:sz w:val="21"/>
                <w:szCs w:val="21"/>
              </w:rPr>
              <w:t>m</w:t>
            </w:r>
            <w:r>
              <w:rPr>
                <w:b/>
                <w:bCs/>
                <w:sz w:val="21"/>
                <w:szCs w:val="21"/>
                <w:vertAlign w:val="superscript"/>
              </w:rPr>
              <w:t>3</w:t>
            </w:r>
            <w:r>
              <w:rPr>
                <w:rFonts w:hint="eastAsia"/>
                <w:b/>
                <w:bCs/>
                <w:sz w:val="21"/>
                <w:szCs w:val="21"/>
              </w:rPr>
              <w:t>）</w:t>
            </w:r>
          </w:p>
        </w:tc>
        <w:tc>
          <w:tcPr>
            <w:tcW w:w="806" w:type="pct"/>
            <w:gridSpan w:val="2"/>
            <w:tcBorders>
              <w:top w:val="single" w:color="auto" w:sz="4" w:space="0"/>
              <w:left w:val="single" w:color="auto" w:sz="4" w:space="0"/>
              <w:bottom w:val="single" w:color="auto" w:sz="4" w:space="0"/>
              <w:right w:val="single" w:color="auto" w:sz="4" w:space="0"/>
              <w:tl2br w:val="nil"/>
              <w:tr2bl w:val="nil"/>
            </w:tcBorders>
            <w:vAlign w:val="center"/>
          </w:tcPr>
          <w:p w14:paraId="4FB693E2">
            <w:pPr>
              <w:snapToGrid w:val="0"/>
              <w:spacing w:line="240" w:lineRule="auto"/>
              <w:ind w:firstLine="0" w:firstLineChars="0"/>
              <w:jc w:val="center"/>
              <w:rPr>
                <w:b/>
                <w:bCs/>
                <w:sz w:val="21"/>
                <w:szCs w:val="21"/>
              </w:rPr>
            </w:pPr>
            <w:r>
              <w:rPr>
                <w:rFonts w:hint="eastAsia"/>
                <w:b/>
                <w:bCs/>
                <w:sz w:val="21"/>
                <w:szCs w:val="21"/>
              </w:rPr>
              <w:t>COD</w:t>
            </w:r>
          </w:p>
        </w:tc>
        <w:tc>
          <w:tcPr>
            <w:tcW w:w="840" w:type="pct"/>
            <w:gridSpan w:val="2"/>
            <w:tcBorders>
              <w:top w:val="single" w:color="auto" w:sz="4" w:space="0"/>
              <w:left w:val="single" w:color="auto" w:sz="4" w:space="0"/>
              <w:bottom w:val="single" w:color="auto" w:sz="4" w:space="0"/>
              <w:right w:val="single" w:color="auto" w:sz="4" w:space="0"/>
              <w:tl2br w:val="nil"/>
              <w:tr2bl w:val="nil"/>
            </w:tcBorders>
            <w:vAlign w:val="center"/>
          </w:tcPr>
          <w:p w14:paraId="2A543605">
            <w:pPr>
              <w:snapToGrid w:val="0"/>
              <w:spacing w:line="240" w:lineRule="auto"/>
              <w:ind w:firstLine="0" w:firstLineChars="0"/>
              <w:jc w:val="center"/>
              <w:rPr>
                <w:b/>
                <w:bCs/>
                <w:sz w:val="21"/>
                <w:szCs w:val="21"/>
              </w:rPr>
            </w:pPr>
            <w:r>
              <w:rPr>
                <w:rFonts w:hint="eastAsia"/>
                <w:b/>
                <w:bCs/>
                <w:sz w:val="21"/>
                <w:szCs w:val="21"/>
              </w:rPr>
              <w:t>氨氮</w:t>
            </w:r>
          </w:p>
        </w:tc>
        <w:tc>
          <w:tcPr>
            <w:tcW w:w="840" w:type="pct"/>
            <w:gridSpan w:val="2"/>
            <w:tcBorders>
              <w:top w:val="single" w:color="auto" w:sz="4" w:space="0"/>
              <w:left w:val="single" w:color="auto" w:sz="4" w:space="0"/>
              <w:bottom w:val="single" w:color="auto" w:sz="4" w:space="0"/>
              <w:right w:val="single" w:color="auto" w:sz="4" w:space="0"/>
              <w:tl2br w:val="nil"/>
              <w:tr2bl w:val="nil"/>
            </w:tcBorders>
            <w:vAlign w:val="center"/>
          </w:tcPr>
          <w:p w14:paraId="7BA92D63">
            <w:pPr>
              <w:snapToGrid w:val="0"/>
              <w:spacing w:line="240" w:lineRule="auto"/>
              <w:ind w:firstLine="0" w:firstLineChars="0"/>
              <w:jc w:val="center"/>
              <w:rPr>
                <w:b/>
                <w:bCs/>
                <w:sz w:val="21"/>
                <w:szCs w:val="21"/>
              </w:rPr>
            </w:pPr>
            <w:r>
              <w:rPr>
                <w:rFonts w:hint="eastAsia"/>
                <w:b/>
                <w:bCs/>
                <w:sz w:val="21"/>
                <w:szCs w:val="21"/>
              </w:rPr>
              <w:t>总磷</w:t>
            </w:r>
          </w:p>
        </w:tc>
        <w:tc>
          <w:tcPr>
            <w:tcW w:w="806" w:type="pct"/>
            <w:gridSpan w:val="2"/>
            <w:tcBorders>
              <w:top w:val="single" w:color="auto" w:sz="4" w:space="0"/>
              <w:left w:val="single" w:color="auto" w:sz="4" w:space="0"/>
              <w:bottom w:val="single" w:color="auto" w:sz="4" w:space="0"/>
              <w:right w:val="single" w:color="auto" w:sz="4" w:space="0"/>
              <w:tl2br w:val="nil"/>
              <w:tr2bl w:val="nil"/>
            </w:tcBorders>
            <w:vAlign w:val="center"/>
          </w:tcPr>
          <w:p w14:paraId="243F2B6C">
            <w:pPr>
              <w:snapToGrid w:val="0"/>
              <w:spacing w:line="240" w:lineRule="auto"/>
              <w:ind w:firstLine="0" w:firstLineChars="0"/>
              <w:jc w:val="center"/>
              <w:rPr>
                <w:b/>
                <w:bCs/>
                <w:sz w:val="21"/>
                <w:szCs w:val="21"/>
              </w:rPr>
            </w:pPr>
            <w:r>
              <w:rPr>
                <w:rFonts w:hint="eastAsia"/>
                <w:b/>
                <w:bCs/>
                <w:sz w:val="21"/>
                <w:szCs w:val="21"/>
              </w:rPr>
              <w:t>总氮</w:t>
            </w:r>
          </w:p>
        </w:tc>
      </w:tr>
      <w:tr w14:paraId="00A01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889" w:type="pct"/>
            <w:vMerge w:val="continue"/>
            <w:tcBorders>
              <w:top w:val="single" w:color="auto" w:sz="4" w:space="0"/>
              <w:left w:val="single" w:color="auto" w:sz="4" w:space="0"/>
              <w:bottom w:val="single" w:color="auto" w:sz="4" w:space="0"/>
              <w:right w:val="single" w:color="auto" w:sz="4" w:space="0"/>
              <w:tl2br w:val="nil"/>
              <w:tr2bl w:val="nil"/>
            </w:tcBorders>
            <w:vAlign w:val="center"/>
          </w:tcPr>
          <w:p w14:paraId="6F9A85F8">
            <w:pPr>
              <w:snapToGrid w:val="0"/>
              <w:spacing w:line="240" w:lineRule="auto"/>
              <w:ind w:firstLine="0" w:firstLineChars="0"/>
              <w:jc w:val="center"/>
              <w:rPr>
                <w:b/>
                <w:bCs/>
                <w:sz w:val="21"/>
                <w:szCs w:val="21"/>
              </w:rPr>
            </w:pPr>
          </w:p>
        </w:tc>
        <w:tc>
          <w:tcPr>
            <w:tcW w:w="818" w:type="pct"/>
            <w:vMerge w:val="continue"/>
            <w:tcBorders>
              <w:top w:val="single" w:color="auto" w:sz="4" w:space="0"/>
              <w:left w:val="single" w:color="auto" w:sz="4" w:space="0"/>
              <w:bottom w:val="single" w:color="auto" w:sz="4" w:space="0"/>
              <w:right w:val="single" w:color="auto" w:sz="4" w:space="0"/>
              <w:tl2br w:val="nil"/>
              <w:tr2bl w:val="nil"/>
            </w:tcBorders>
            <w:vAlign w:val="center"/>
          </w:tcPr>
          <w:p w14:paraId="16127F32">
            <w:pPr>
              <w:snapToGrid w:val="0"/>
              <w:spacing w:line="240" w:lineRule="auto"/>
              <w:ind w:firstLine="0" w:firstLineChars="0"/>
              <w:jc w:val="center"/>
              <w:rPr>
                <w:b/>
                <w:bCs/>
                <w:sz w:val="21"/>
                <w:szCs w:val="21"/>
              </w:rPr>
            </w:pPr>
          </w:p>
        </w:tc>
        <w:tc>
          <w:tcPr>
            <w:tcW w:w="403" w:type="pct"/>
            <w:tcBorders>
              <w:top w:val="single" w:color="auto" w:sz="4" w:space="0"/>
              <w:left w:val="single" w:color="auto" w:sz="4" w:space="0"/>
              <w:bottom w:val="single" w:color="auto" w:sz="4" w:space="0"/>
              <w:right w:val="single" w:color="auto" w:sz="4" w:space="0"/>
              <w:tl2br w:val="nil"/>
              <w:tr2bl w:val="nil"/>
            </w:tcBorders>
            <w:vAlign w:val="center"/>
          </w:tcPr>
          <w:p w14:paraId="5EA65DA1">
            <w:pPr>
              <w:snapToGrid w:val="0"/>
              <w:spacing w:line="240" w:lineRule="auto"/>
              <w:ind w:firstLine="0" w:firstLineChars="0"/>
              <w:jc w:val="center"/>
              <w:rPr>
                <w:b/>
                <w:bCs/>
                <w:sz w:val="21"/>
                <w:szCs w:val="21"/>
              </w:rPr>
            </w:pPr>
            <w:r>
              <w:rPr>
                <w:rFonts w:hint="eastAsia"/>
                <w:b/>
                <w:bCs/>
                <w:sz w:val="21"/>
                <w:szCs w:val="21"/>
              </w:rPr>
              <w:t>进水</w:t>
            </w:r>
          </w:p>
        </w:tc>
        <w:tc>
          <w:tcPr>
            <w:tcW w:w="403" w:type="pct"/>
            <w:tcBorders>
              <w:top w:val="single" w:color="auto" w:sz="4" w:space="0"/>
              <w:left w:val="single" w:color="auto" w:sz="4" w:space="0"/>
              <w:bottom w:val="single" w:color="auto" w:sz="4" w:space="0"/>
              <w:right w:val="single" w:color="auto" w:sz="4" w:space="0"/>
              <w:tl2br w:val="nil"/>
              <w:tr2bl w:val="nil"/>
            </w:tcBorders>
            <w:vAlign w:val="center"/>
          </w:tcPr>
          <w:p w14:paraId="2F62D9BB">
            <w:pPr>
              <w:snapToGrid w:val="0"/>
              <w:spacing w:line="240" w:lineRule="auto"/>
              <w:ind w:firstLine="0" w:firstLineChars="0"/>
              <w:jc w:val="center"/>
              <w:rPr>
                <w:b/>
                <w:bCs/>
                <w:sz w:val="21"/>
                <w:szCs w:val="21"/>
              </w:rPr>
            </w:pPr>
            <w:r>
              <w:rPr>
                <w:rFonts w:hint="eastAsia"/>
                <w:b/>
                <w:bCs/>
                <w:sz w:val="21"/>
                <w:szCs w:val="21"/>
              </w:rPr>
              <w:t>出水</w:t>
            </w:r>
          </w:p>
        </w:tc>
        <w:tc>
          <w:tcPr>
            <w:tcW w:w="403" w:type="pct"/>
            <w:tcBorders>
              <w:top w:val="single" w:color="auto" w:sz="4" w:space="0"/>
              <w:left w:val="single" w:color="auto" w:sz="4" w:space="0"/>
              <w:bottom w:val="single" w:color="auto" w:sz="4" w:space="0"/>
              <w:right w:val="single" w:color="auto" w:sz="4" w:space="0"/>
              <w:tl2br w:val="nil"/>
              <w:tr2bl w:val="nil"/>
            </w:tcBorders>
            <w:vAlign w:val="center"/>
          </w:tcPr>
          <w:p w14:paraId="7E47B884">
            <w:pPr>
              <w:snapToGrid w:val="0"/>
              <w:spacing w:line="240" w:lineRule="auto"/>
              <w:ind w:firstLine="0" w:firstLineChars="0"/>
              <w:jc w:val="center"/>
              <w:rPr>
                <w:b/>
                <w:bCs/>
                <w:sz w:val="21"/>
                <w:szCs w:val="21"/>
              </w:rPr>
            </w:pPr>
            <w:r>
              <w:rPr>
                <w:rFonts w:hint="eastAsia"/>
                <w:b/>
                <w:bCs/>
                <w:sz w:val="21"/>
                <w:szCs w:val="21"/>
              </w:rPr>
              <w:t>进水</w:t>
            </w:r>
          </w:p>
        </w:tc>
        <w:tc>
          <w:tcPr>
            <w:tcW w:w="437" w:type="pct"/>
            <w:tcBorders>
              <w:top w:val="single" w:color="auto" w:sz="4" w:space="0"/>
              <w:left w:val="single" w:color="auto" w:sz="4" w:space="0"/>
              <w:bottom w:val="single" w:color="auto" w:sz="4" w:space="0"/>
              <w:right w:val="single" w:color="auto" w:sz="4" w:space="0"/>
              <w:tl2br w:val="nil"/>
              <w:tr2bl w:val="nil"/>
            </w:tcBorders>
            <w:vAlign w:val="center"/>
          </w:tcPr>
          <w:p w14:paraId="207E9B23">
            <w:pPr>
              <w:snapToGrid w:val="0"/>
              <w:spacing w:line="240" w:lineRule="auto"/>
              <w:ind w:firstLine="0" w:firstLineChars="0"/>
              <w:jc w:val="center"/>
              <w:rPr>
                <w:b/>
                <w:bCs/>
                <w:sz w:val="21"/>
                <w:szCs w:val="21"/>
              </w:rPr>
            </w:pPr>
            <w:r>
              <w:rPr>
                <w:rFonts w:hint="eastAsia"/>
                <w:b/>
                <w:bCs/>
                <w:sz w:val="21"/>
                <w:szCs w:val="21"/>
              </w:rPr>
              <w:t>出水</w:t>
            </w:r>
          </w:p>
        </w:tc>
        <w:tc>
          <w:tcPr>
            <w:tcW w:w="403" w:type="pct"/>
            <w:tcBorders>
              <w:top w:val="single" w:color="auto" w:sz="4" w:space="0"/>
              <w:left w:val="single" w:color="auto" w:sz="4" w:space="0"/>
              <w:bottom w:val="single" w:color="auto" w:sz="4" w:space="0"/>
              <w:right w:val="single" w:color="auto" w:sz="4" w:space="0"/>
              <w:tl2br w:val="nil"/>
              <w:tr2bl w:val="nil"/>
            </w:tcBorders>
            <w:vAlign w:val="center"/>
          </w:tcPr>
          <w:p w14:paraId="341258DE">
            <w:pPr>
              <w:snapToGrid w:val="0"/>
              <w:spacing w:line="240" w:lineRule="auto"/>
              <w:ind w:firstLine="0" w:firstLineChars="0"/>
              <w:jc w:val="center"/>
              <w:rPr>
                <w:b/>
                <w:bCs/>
                <w:sz w:val="21"/>
                <w:szCs w:val="21"/>
              </w:rPr>
            </w:pPr>
            <w:r>
              <w:rPr>
                <w:rFonts w:hint="eastAsia"/>
                <w:b/>
                <w:bCs/>
                <w:sz w:val="21"/>
                <w:szCs w:val="21"/>
              </w:rPr>
              <w:t>进水</w:t>
            </w:r>
          </w:p>
        </w:tc>
        <w:tc>
          <w:tcPr>
            <w:tcW w:w="437" w:type="pct"/>
            <w:tcBorders>
              <w:top w:val="single" w:color="auto" w:sz="4" w:space="0"/>
              <w:left w:val="single" w:color="auto" w:sz="4" w:space="0"/>
              <w:bottom w:val="single" w:color="auto" w:sz="4" w:space="0"/>
              <w:right w:val="single" w:color="auto" w:sz="4" w:space="0"/>
              <w:tl2br w:val="nil"/>
              <w:tr2bl w:val="nil"/>
            </w:tcBorders>
            <w:vAlign w:val="center"/>
          </w:tcPr>
          <w:p w14:paraId="3EE81D9B">
            <w:pPr>
              <w:snapToGrid w:val="0"/>
              <w:spacing w:line="240" w:lineRule="auto"/>
              <w:ind w:firstLine="0" w:firstLineChars="0"/>
              <w:jc w:val="center"/>
              <w:rPr>
                <w:b/>
                <w:bCs/>
                <w:sz w:val="21"/>
                <w:szCs w:val="21"/>
              </w:rPr>
            </w:pPr>
            <w:r>
              <w:rPr>
                <w:rFonts w:hint="eastAsia"/>
                <w:b/>
                <w:bCs/>
                <w:sz w:val="21"/>
                <w:szCs w:val="21"/>
              </w:rPr>
              <w:t>出水</w:t>
            </w:r>
          </w:p>
        </w:tc>
        <w:tc>
          <w:tcPr>
            <w:tcW w:w="403" w:type="pct"/>
            <w:tcBorders>
              <w:top w:val="single" w:color="auto" w:sz="4" w:space="0"/>
              <w:left w:val="single" w:color="auto" w:sz="4" w:space="0"/>
              <w:bottom w:val="single" w:color="auto" w:sz="4" w:space="0"/>
              <w:right w:val="single" w:color="auto" w:sz="4" w:space="0"/>
              <w:tl2br w:val="nil"/>
              <w:tr2bl w:val="nil"/>
            </w:tcBorders>
            <w:vAlign w:val="center"/>
          </w:tcPr>
          <w:p w14:paraId="69C49ECB">
            <w:pPr>
              <w:snapToGrid w:val="0"/>
              <w:spacing w:line="240" w:lineRule="auto"/>
              <w:ind w:firstLine="0" w:firstLineChars="0"/>
              <w:jc w:val="center"/>
              <w:rPr>
                <w:b/>
                <w:bCs/>
                <w:sz w:val="21"/>
                <w:szCs w:val="21"/>
              </w:rPr>
            </w:pPr>
            <w:r>
              <w:rPr>
                <w:rFonts w:hint="eastAsia"/>
                <w:b/>
                <w:bCs/>
                <w:sz w:val="21"/>
                <w:szCs w:val="21"/>
              </w:rPr>
              <w:t>进水</w:t>
            </w:r>
          </w:p>
        </w:tc>
        <w:tc>
          <w:tcPr>
            <w:tcW w:w="403" w:type="pct"/>
            <w:tcBorders>
              <w:top w:val="single" w:color="auto" w:sz="4" w:space="0"/>
              <w:left w:val="single" w:color="auto" w:sz="4" w:space="0"/>
              <w:bottom w:val="single" w:color="auto" w:sz="4" w:space="0"/>
              <w:right w:val="single" w:color="auto" w:sz="4" w:space="0"/>
              <w:tl2br w:val="nil"/>
              <w:tr2bl w:val="nil"/>
            </w:tcBorders>
            <w:vAlign w:val="center"/>
          </w:tcPr>
          <w:p w14:paraId="370CC9A2">
            <w:pPr>
              <w:widowControl/>
              <w:spacing w:line="240" w:lineRule="auto"/>
              <w:ind w:firstLine="0" w:firstLineChars="0"/>
              <w:jc w:val="center"/>
              <w:rPr>
                <w:b/>
                <w:bCs/>
                <w:sz w:val="21"/>
                <w:szCs w:val="21"/>
              </w:rPr>
            </w:pPr>
            <w:r>
              <w:rPr>
                <w:rFonts w:hint="eastAsia"/>
                <w:b/>
                <w:bCs/>
                <w:sz w:val="21"/>
                <w:szCs w:val="21"/>
              </w:rPr>
              <w:t>出水</w:t>
            </w:r>
          </w:p>
        </w:tc>
      </w:tr>
      <w:tr w14:paraId="13D2D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18AAE1CE">
            <w:pPr>
              <w:snapToGrid w:val="0"/>
              <w:spacing w:line="240" w:lineRule="auto"/>
              <w:ind w:firstLine="0" w:firstLineChars="0"/>
              <w:jc w:val="center"/>
              <w:rPr>
                <w:sz w:val="21"/>
                <w:szCs w:val="21"/>
              </w:rPr>
            </w:pPr>
            <w:r>
              <w:rPr>
                <w:rFonts w:hint="eastAsia"/>
                <w:sz w:val="21"/>
                <w:szCs w:val="21"/>
              </w:rPr>
              <w:t>2024年1月</w:t>
            </w:r>
          </w:p>
        </w:tc>
        <w:tc>
          <w:tcPr>
            <w:tcW w:w="818" w:type="pct"/>
            <w:tcBorders>
              <w:top w:val="single" w:color="auto" w:sz="4" w:space="0"/>
              <w:left w:val="single" w:color="auto" w:sz="4" w:space="0"/>
              <w:bottom w:val="single" w:color="auto" w:sz="4" w:space="0"/>
              <w:right w:val="single" w:color="auto" w:sz="4" w:space="0"/>
              <w:tl2br w:val="nil"/>
              <w:tr2bl w:val="nil"/>
            </w:tcBorders>
            <w:vAlign w:val="bottom"/>
          </w:tcPr>
          <w:p w14:paraId="6EA566D6">
            <w:pPr>
              <w:snapToGrid w:val="0"/>
              <w:spacing w:line="240" w:lineRule="auto"/>
              <w:ind w:firstLine="0" w:firstLineChars="0"/>
              <w:jc w:val="center"/>
              <w:rPr>
                <w:sz w:val="21"/>
                <w:szCs w:val="21"/>
              </w:rPr>
            </w:pPr>
            <w:r>
              <w:rPr>
                <w:rFonts w:hint="eastAsia"/>
                <w:sz w:val="21"/>
                <w:szCs w:val="21"/>
              </w:rPr>
              <w:t xml:space="preserve">105317 </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5A6724A0">
            <w:pPr>
              <w:snapToGrid w:val="0"/>
              <w:spacing w:line="240" w:lineRule="auto"/>
              <w:ind w:firstLine="0" w:firstLineChars="0"/>
              <w:jc w:val="center"/>
              <w:rPr>
                <w:sz w:val="21"/>
                <w:szCs w:val="21"/>
              </w:rPr>
            </w:pPr>
            <w:r>
              <w:rPr>
                <w:rFonts w:hint="eastAsia"/>
                <w:sz w:val="21"/>
                <w:szCs w:val="21"/>
              </w:rPr>
              <w:t>112</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41F5008A">
            <w:pPr>
              <w:snapToGrid w:val="0"/>
              <w:spacing w:line="240" w:lineRule="auto"/>
              <w:ind w:firstLine="0" w:firstLineChars="0"/>
              <w:jc w:val="center"/>
              <w:rPr>
                <w:sz w:val="21"/>
                <w:szCs w:val="21"/>
              </w:rPr>
            </w:pPr>
            <w:r>
              <w:rPr>
                <w:rFonts w:hint="eastAsia"/>
                <w:sz w:val="21"/>
                <w:szCs w:val="21"/>
              </w:rPr>
              <w:t>17</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6F2295FB">
            <w:pPr>
              <w:snapToGrid w:val="0"/>
              <w:spacing w:line="240" w:lineRule="auto"/>
              <w:ind w:firstLine="0" w:firstLineChars="0"/>
              <w:jc w:val="center"/>
              <w:rPr>
                <w:sz w:val="21"/>
                <w:szCs w:val="21"/>
              </w:rPr>
            </w:pPr>
            <w:r>
              <w:rPr>
                <w:rFonts w:hint="eastAsia"/>
                <w:sz w:val="21"/>
                <w:szCs w:val="21"/>
              </w:rPr>
              <w:t>20.8</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1CE0B4F3">
            <w:pPr>
              <w:snapToGrid w:val="0"/>
              <w:spacing w:line="240" w:lineRule="auto"/>
              <w:ind w:firstLine="0" w:firstLineChars="0"/>
              <w:jc w:val="center"/>
              <w:rPr>
                <w:sz w:val="21"/>
                <w:szCs w:val="21"/>
              </w:rPr>
            </w:pPr>
            <w:r>
              <w:rPr>
                <w:rFonts w:hint="eastAsia"/>
                <w:sz w:val="21"/>
                <w:szCs w:val="21"/>
              </w:rPr>
              <w:t>0.08</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38A7E01">
            <w:pPr>
              <w:snapToGrid w:val="0"/>
              <w:spacing w:line="240" w:lineRule="auto"/>
              <w:ind w:firstLine="0" w:firstLineChars="0"/>
              <w:jc w:val="center"/>
              <w:rPr>
                <w:sz w:val="21"/>
                <w:szCs w:val="21"/>
              </w:rPr>
            </w:pPr>
            <w:r>
              <w:rPr>
                <w:rFonts w:hint="eastAsia"/>
                <w:sz w:val="21"/>
                <w:szCs w:val="21"/>
              </w:rPr>
              <w:t>1.66</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2310E141">
            <w:pPr>
              <w:snapToGrid w:val="0"/>
              <w:spacing w:line="240" w:lineRule="auto"/>
              <w:ind w:firstLine="0" w:firstLineChars="0"/>
              <w:jc w:val="center"/>
              <w:rPr>
                <w:sz w:val="21"/>
                <w:szCs w:val="21"/>
              </w:rPr>
            </w:pPr>
            <w:r>
              <w:rPr>
                <w:rFonts w:hint="eastAsia"/>
                <w:sz w:val="21"/>
                <w:szCs w:val="21"/>
              </w:rPr>
              <w:t>0.01</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599E3BE0">
            <w:pPr>
              <w:snapToGrid w:val="0"/>
              <w:spacing w:line="240" w:lineRule="auto"/>
              <w:ind w:firstLine="0" w:firstLineChars="0"/>
              <w:jc w:val="center"/>
              <w:rPr>
                <w:sz w:val="21"/>
                <w:szCs w:val="21"/>
              </w:rPr>
            </w:pPr>
            <w:r>
              <w:rPr>
                <w:rFonts w:hint="eastAsia"/>
                <w:sz w:val="21"/>
                <w:szCs w:val="21"/>
              </w:rPr>
              <w:t>24.6</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266BE23C">
            <w:pPr>
              <w:widowControl/>
              <w:spacing w:line="240" w:lineRule="auto"/>
              <w:ind w:firstLine="0" w:firstLineChars="0"/>
              <w:jc w:val="center"/>
              <w:rPr>
                <w:sz w:val="21"/>
                <w:szCs w:val="21"/>
              </w:rPr>
            </w:pPr>
            <w:r>
              <w:rPr>
                <w:rFonts w:hint="eastAsia"/>
                <w:sz w:val="21"/>
                <w:szCs w:val="21"/>
              </w:rPr>
              <w:t>6.79</w:t>
            </w:r>
          </w:p>
        </w:tc>
      </w:tr>
      <w:tr w14:paraId="6AAAB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1A14BF5C">
            <w:pPr>
              <w:snapToGrid w:val="0"/>
              <w:spacing w:line="240" w:lineRule="auto"/>
              <w:ind w:firstLine="0" w:firstLineChars="0"/>
              <w:jc w:val="center"/>
              <w:rPr>
                <w:sz w:val="21"/>
                <w:szCs w:val="21"/>
              </w:rPr>
            </w:pPr>
            <w:r>
              <w:rPr>
                <w:rFonts w:hint="eastAsia"/>
                <w:sz w:val="21"/>
                <w:szCs w:val="21"/>
              </w:rPr>
              <w:t>2024年2月</w:t>
            </w:r>
          </w:p>
        </w:tc>
        <w:tc>
          <w:tcPr>
            <w:tcW w:w="818" w:type="pct"/>
            <w:tcBorders>
              <w:top w:val="single" w:color="auto" w:sz="4" w:space="0"/>
              <w:left w:val="single" w:color="auto" w:sz="4" w:space="0"/>
              <w:bottom w:val="single" w:color="auto" w:sz="4" w:space="0"/>
              <w:right w:val="single" w:color="auto" w:sz="4" w:space="0"/>
              <w:tl2br w:val="nil"/>
              <w:tr2bl w:val="nil"/>
            </w:tcBorders>
            <w:vAlign w:val="bottom"/>
          </w:tcPr>
          <w:p w14:paraId="28FDFC5F">
            <w:pPr>
              <w:snapToGrid w:val="0"/>
              <w:spacing w:line="240" w:lineRule="auto"/>
              <w:ind w:firstLine="0" w:firstLineChars="0"/>
              <w:jc w:val="center"/>
              <w:rPr>
                <w:sz w:val="21"/>
                <w:szCs w:val="21"/>
              </w:rPr>
            </w:pPr>
            <w:r>
              <w:rPr>
                <w:rFonts w:hint="eastAsia"/>
                <w:sz w:val="21"/>
                <w:szCs w:val="21"/>
              </w:rPr>
              <w:t xml:space="preserve">168599 </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32C79B15">
            <w:pPr>
              <w:snapToGrid w:val="0"/>
              <w:spacing w:line="240" w:lineRule="auto"/>
              <w:ind w:firstLine="0" w:firstLineChars="0"/>
              <w:jc w:val="center"/>
              <w:rPr>
                <w:sz w:val="21"/>
                <w:szCs w:val="21"/>
              </w:rPr>
            </w:pPr>
            <w:r>
              <w:rPr>
                <w:rFonts w:hint="eastAsia"/>
                <w:sz w:val="21"/>
                <w:szCs w:val="21"/>
              </w:rPr>
              <w:t>91</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2E9554EA">
            <w:pPr>
              <w:snapToGrid w:val="0"/>
              <w:spacing w:line="240" w:lineRule="auto"/>
              <w:ind w:firstLine="0" w:firstLineChars="0"/>
              <w:jc w:val="center"/>
              <w:rPr>
                <w:sz w:val="21"/>
                <w:szCs w:val="21"/>
              </w:rPr>
            </w:pPr>
            <w:r>
              <w:rPr>
                <w:rFonts w:hint="eastAsia"/>
                <w:sz w:val="21"/>
                <w:szCs w:val="21"/>
              </w:rPr>
              <w:t>13</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31E75825">
            <w:pPr>
              <w:snapToGrid w:val="0"/>
              <w:spacing w:line="240" w:lineRule="auto"/>
              <w:ind w:firstLine="0" w:firstLineChars="0"/>
              <w:jc w:val="center"/>
              <w:rPr>
                <w:sz w:val="21"/>
                <w:szCs w:val="21"/>
              </w:rPr>
            </w:pPr>
            <w:r>
              <w:rPr>
                <w:rFonts w:hint="eastAsia"/>
                <w:sz w:val="21"/>
                <w:szCs w:val="21"/>
              </w:rPr>
              <w:t>10.8</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132D53B1">
            <w:pPr>
              <w:snapToGrid w:val="0"/>
              <w:spacing w:line="240" w:lineRule="auto"/>
              <w:ind w:firstLine="0" w:firstLineChars="0"/>
              <w:jc w:val="center"/>
              <w:rPr>
                <w:sz w:val="21"/>
                <w:szCs w:val="21"/>
              </w:rPr>
            </w:pPr>
            <w:r>
              <w:rPr>
                <w:rFonts w:hint="eastAsia"/>
                <w:sz w:val="21"/>
                <w:szCs w:val="21"/>
              </w:rPr>
              <w:t>0.062</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4CF07562">
            <w:pPr>
              <w:snapToGrid w:val="0"/>
              <w:spacing w:line="240" w:lineRule="auto"/>
              <w:ind w:firstLine="0" w:firstLineChars="0"/>
              <w:jc w:val="center"/>
              <w:rPr>
                <w:sz w:val="21"/>
                <w:szCs w:val="21"/>
              </w:rPr>
            </w:pPr>
            <w:r>
              <w:rPr>
                <w:rFonts w:hint="eastAsia"/>
                <w:sz w:val="21"/>
                <w:szCs w:val="21"/>
              </w:rPr>
              <w:t>0.81</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3FD40067">
            <w:pPr>
              <w:snapToGrid w:val="0"/>
              <w:spacing w:line="240" w:lineRule="auto"/>
              <w:ind w:firstLine="0" w:firstLineChars="0"/>
              <w:jc w:val="center"/>
              <w:rPr>
                <w:sz w:val="21"/>
                <w:szCs w:val="21"/>
              </w:rPr>
            </w:pPr>
            <w:r>
              <w:rPr>
                <w:rFonts w:hint="eastAsia"/>
                <w:sz w:val="21"/>
                <w:szCs w:val="21"/>
              </w:rPr>
              <w:t>0.01</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4320340D">
            <w:pPr>
              <w:snapToGrid w:val="0"/>
              <w:spacing w:line="240" w:lineRule="auto"/>
              <w:ind w:firstLine="0" w:firstLineChars="0"/>
              <w:jc w:val="center"/>
              <w:rPr>
                <w:sz w:val="21"/>
                <w:szCs w:val="21"/>
              </w:rPr>
            </w:pPr>
            <w:r>
              <w:rPr>
                <w:rFonts w:hint="eastAsia"/>
                <w:sz w:val="21"/>
                <w:szCs w:val="21"/>
              </w:rPr>
              <w:t>14</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4579BF3F">
            <w:pPr>
              <w:widowControl/>
              <w:spacing w:line="240" w:lineRule="auto"/>
              <w:ind w:firstLine="0" w:firstLineChars="0"/>
              <w:jc w:val="center"/>
              <w:rPr>
                <w:sz w:val="21"/>
                <w:szCs w:val="21"/>
              </w:rPr>
            </w:pPr>
            <w:r>
              <w:rPr>
                <w:rFonts w:hint="eastAsia"/>
                <w:sz w:val="21"/>
                <w:szCs w:val="21"/>
              </w:rPr>
              <w:t>5.48</w:t>
            </w:r>
          </w:p>
        </w:tc>
      </w:tr>
      <w:tr w14:paraId="01BF1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33139082">
            <w:pPr>
              <w:snapToGrid w:val="0"/>
              <w:spacing w:line="240" w:lineRule="auto"/>
              <w:ind w:firstLine="0" w:firstLineChars="0"/>
              <w:jc w:val="center"/>
              <w:rPr>
                <w:sz w:val="21"/>
                <w:szCs w:val="21"/>
              </w:rPr>
            </w:pPr>
            <w:r>
              <w:rPr>
                <w:rFonts w:hint="eastAsia"/>
                <w:sz w:val="21"/>
                <w:szCs w:val="21"/>
              </w:rPr>
              <w:t>2024年3月</w:t>
            </w:r>
          </w:p>
        </w:tc>
        <w:tc>
          <w:tcPr>
            <w:tcW w:w="818" w:type="pct"/>
            <w:tcBorders>
              <w:top w:val="single" w:color="auto" w:sz="4" w:space="0"/>
              <w:left w:val="single" w:color="auto" w:sz="4" w:space="0"/>
              <w:bottom w:val="single" w:color="auto" w:sz="4" w:space="0"/>
              <w:right w:val="single" w:color="auto" w:sz="4" w:space="0"/>
              <w:tl2br w:val="nil"/>
              <w:tr2bl w:val="nil"/>
            </w:tcBorders>
            <w:vAlign w:val="bottom"/>
          </w:tcPr>
          <w:p w14:paraId="109B9628">
            <w:pPr>
              <w:snapToGrid w:val="0"/>
              <w:spacing w:line="240" w:lineRule="auto"/>
              <w:ind w:firstLine="0" w:firstLineChars="0"/>
              <w:jc w:val="center"/>
              <w:rPr>
                <w:sz w:val="21"/>
                <w:szCs w:val="21"/>
              </w:rPr>
            </w:pPr>
            <w:r>
              <w:rPr>
                <w:rFonts w:hint="eastAsia"/>
                <w:sz w:val="21"/>
                <w:szCs w:val="21"/>
              </w:rPr>
              <w:t xml:space="preserve">135006 </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3BDC4896">
            <w:pPr>
              <w:snapToGrid w:val="0"/>
              <w:spacing w:line="240" w:lineRule="auto"/>
              <w:ind w:firstLine="0" w:firstLineChars="0"/>
              <w:jc w:val="center"/>
              <w:rPr>
                <w:sz w:val="21"/>
                <w:szCs w:val="21"/>
              </w:rPr>
            </w:pPr>
            <w:r>
              <w:rPr>
                <w:rFonts w:hint="eastAsia"/>
                <w:sz w:val="21"/>
                <w:szCs w:val="21"/>
              </w:rPr>
              <w:t>112</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0CD963FC">
            <w:pPr>
              <w:snapToGrid w:val="0"/>
              <w:spacing w:line="240" w:lineRule="auto"/>
              <w:ind w:firstLine="0" w:firstLineChars="0"/>
              <w:jc w:val="center"/>
              <w:rPr>
                <w:sz w:val="21"/>
                <w:szCs w:val="21"/>
              </w:rPr>
            </w:pPr>
            <w:r>
              <w:rPr>
                <w:rFonts w:hint="eastAsia"/>
                <w:sz w:val="21"/>
                <w:szCs w:val="21"/>
              </w:rPr>
              <w:t>18</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0ADD6496">
            <w:pPr>
              <w:snapToGrid w:val="0"/>
              <w:spacing w:line="240" w:lineRule="auto"/>
              <w:ind w:firstLine="0" w:firstLineChars="0"/>
              <w:jc w:val="center"/>
              <w:rPr>
                <w:sz w:val="21"/>
                <w:szCs w:val="21"/>
              </w:rPr>
            </w:pPr>
            <w:r>
              <w:rPr>
                <w:rFonts w:hint="eastAsia"/>
                <w:sz w:val="21"/>
                <w:szCs w:val="21"/>
              </w:rPr>
              <w:t>15.8</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6A687E25">
            <w:pPr>
              <w:snapToGrid w:val="0"/>
              <w:spacing w:line="240" w:lineRule="auto"/>
              <w:ind w:firstLine="0" w:firstLineChars="0"/>
              <w:jc w:val="center"/>
              <w:rPr>
                <w:sz w:val="21"/>
                <w:szCs w:val="21"/>
              </w:rPr>
            </w:pPr>
            <w:r>
              <w:rPr>
                <w:rFonts w:hint="eastAsia"/>
                <w:sz w:val="21"/>
                <w:szCs w:val="21"/>
              </w:rPr>
              <w:t>0.09</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45BC3F5C">
            <w:pPr>
              <w:snapToGrid w:val="0"/>
              <w:spacing w:line="240" w:lineRule="auto"/>
              <w:ind w:firstLine="0" w:firstLineChars="0"/>
              <w:jc w:val="center"/>
              <w:rPr>
                <w:sz w:val="21"/>
                <w:szCs w:val="21"/>
              </w:rPr>
            </w:pPr>
            <w:r>
              <w:rPr>
                <w:rFonts w:hint="eastAsia"/>
                <w:sz w:val="21"/>
                <w:szCs w:val="21"/>
              </w:rPr>
              <w:t>1.32</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61D7982B">
            <w:pPr>
              <w:snapToGrid w:val="0"/>
              <w:spacing w:line="240" w:lineRule="auto"/>
              <w:ind w:firstLine="0" w:firstLineChars="0"/>
              <w:jc w:val="center"/>
              <w:rPr>
                <w:sz w:val="21"/>
                <w:szCs w:val="21"/>
              </w:rPr>
            </w:pPr>
            <w:r>
              <w:rPr>
                <w:rFonts w:hint="eastAsia"/>
                <w:sz w:val="21"/>
                <w:szCs w:val="21"/>
              </w:rPr>
              <w:t>0.01</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26F58B1B">
            <w:pPr>
              <w:snapToGrid w:val="0"/>
              <w:spacing w:line="240" w:lineRule="auto"/>
              <w:ind w:firstLine="0" w:firstLineChars="0"/>
              <w:jc w:val="center"/>
              <w:rPr>
                <w:sz w:val="21"/>
                <w:szCs w:val="21"/>
              </w:rPr>
            </w:pPr>
            <w:r>
              <w:rPr>
                <w:rFonts w:hint="eastAsia"/>
                <w:sz w:val="21"/>
                <w:szCs w:val="21"/>
              </w:rPr>
              <w:t>18.9</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34E64A59">
            <w:pPr>
              <w:widowControl/>
              <w:spacing w:line="240" w:lineRule="auto"/>
              <w:ind w:firstLine="0" w:firstLineChars="0"/>
              <w:jc w:val="center"/>
              <w:rPr>
                <w:sz w:val="21"/>
                <w:szCs w:val="21"/>
              </w:rPr>
            </w:pPr>
            <w:r>
              <w:rPr>
                <w:rFonts w:hint="eastAsia"/>
                <w:sz w:val="21"/>
                <w:szCs w:val="21"/>
              </w:rPr>
              <w:t>5.21</w:t>
            </w:r>
          </w:p>
        </w:tc>
      </w:tr>
      <w:tr w14:paraId="2D27A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1A56F197">
            <w:pPr>
              <w:snapToGrid w:val="0"/>
              <w:spacing w:line="240" w:lineRule="auto"/>
              <w:ind w:firstLine="0" w:firstLineChars="0"/>
              <w:jc w:val="center"/>
              <w:rPr>
                <w:sz w:val="21"/>
                <w:szCs w:val="21"/>
              </w:rPr>
            </w:pPr>
            <w:r>
              <w:rPr>
                <w:rFonts w:hint="eastAsia"/>
                <w:sz w:val="21"/>
                <w:szCs w:val="21"/>
              </w:rPr>
              <w:t>2024年4月</w:t>
            </w:r>
          </w:p>
        </w:tc>
        <w:tc>
          <w:tcPr>
            <w:tcW w:w="818" w:type="pct"/>
            <w:tcBorders>
              <w:top w:val="single" w:color="auto" w:sz="4" w:space="0"/>
              <w:left w:val="single" w:color="auto" w:sz="4" w:space="0"/>
              <w:bottom w:val="single" w:color="auto" w:sz="4" w:space="0"/>
              <w:right w:val="single" w:color="auto" w:sz="4" w:space="0"/>
              <w:tl2br w:val="nil"/>
              <w:tr2bl w:val="nil"/>
            </w:tcBorders>
            <w:vAlign w:val="bottom"/>
          </w:tcPr>
          <w:p w14:paraId="147EEBAD">
            <w:pPr>
              <w:snapToGrid w:val="0"/>
              <w:spacing w:line="240" w:lineRule="auto"/>
              <w:ind w:firstLine="0" w:firstLineChars="0"/>
              <w:jc w:val="center"/>
              <w:rPr>
                <w:sz w:val="21"/>
                <w:szCs w:val="21"/>
              </w:rPr>
            </w:pPr>
            <w:r>
              <w:rPr>
                <w:rFonts w:hint="eastAsia"/>
                <w:sz w:val="21"/>
                <w:szCs w:val="21"/>
              </w:rPr>
              <w:t xml:space="preserve">171264 </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642410B4">
            <w:pPr>
              <w:snapToGrid w:val="0"/>
              <w:spacing w:line="240" w:lineRule="auto"/>
              <w:ind w:firstLine="0" w:firstLineChars="0"/>
              <w:jc w:val="center"/>
              <w:rPr>
                <w:sz w:val="21"/>
                <w:szCs w:val="21"/>
              </w:rPr>
            </w:pPr>
            <w:r>
              <w:rPr>
                <w:rFonts w:hint="eastAsia"/>
                <w:sz w:val="21"/>
                <w:szCs w:val="21"/>
              </w:rPr>
              <w:t>108</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56A1C6D2">
            <w:pPr>
              <w:snapToGrid w:val="0"/>
              <w:spacing w:line="240" w:lineRule="auto"/>
              <w:ind w:firstLine="0" w:firstLineChars="0"/>
              <w:jc w:val="center"/>
              <w:rPr>
                <w:sz w:val="21"/>
                <w:szCs w:val="21"/>
              </w:rPr>
            </w:pPr>
            <w:r>
              <w:rPr>
                <w:rFonts w:hint="eastAsia"/>
                <w:sz w:val="21"/>
                <w:szCs w:val="21"/>
              </w:rPr>
              <w:t>15</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75542AE">
            <w:pPr>
              <w:snapToGrid w:val="0"/>
              <w:spacing w:line="240" w:lineRule="auto"/>
              <w:ind w:firstLine="0" w:firstLineChars="0"/>
              <w:jc w:val="center"/>
              <w:rPr>
                <w:sz w:val="21"/>
                <w:szCs w:val="21"/>
              </w:rPr>
            </w:pPr>
            <w:r>
              <w:rPr>
                <w:rFonts w:hint="eastAsia"/>
                <w:sz w:val="21"/>
                <w:szCs w:val="21"/>
              </w:rPr>
              <w:t>13.7</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3CEBBF43">
            <w:pPr>
              <w:snapToGrid w:val="0"/>
              <w:spacing w:line="240" w:lineRule="auto"/>
              <w:ind w:firstLine="0" w:firstLineChars="0"/>
              <w:jc w:val="center"/>
              <w:rPr>
                <w:sz w:val="21"/>
                <w:szCs w:val="21"/>
              </w:rPr>
            </w:pPr>
            <w:r>
              <w:rPr>
                <w:rFonts w:hint="eastAsia"/>
                <w:sz w:val="21"/>
                <w:szCs w:val="21"/>
              </w:rPr>
              <w:t>0.06</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3B155411">
            <w:pPr>
              <w:snapToGrid w:val="0"/>
              <w:spacing w:line="240" w:lineRule="auto"/>
              <w:ind w:firstLine="0" w:firstLineChars="0"/>
              <w:jc w:val="center"/>
              <w:rPr>
                <w:sz w:val="21"/>
                <w:szCs w:val="21"/>
              </w:rPr>
            </w:pPr>
            <w:r>
              <w:rPr>
                <w:rFonts w:hint="eastAsia"/>
                <w:sz w:val="21"/>
                <w:szCs w:val="21"/>
              </w:rPr>
              <w:t>1.32</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3C46EB24">
            <w:pPr>
              <w:snapToGrid w:val="0"/>
              <w:spacing w:line="240" w:lineRule="auto"/>
              <w:ind w:firstLine="0" w:firstLineChars="0"/>
              <w:jc w:val="center"/>
              <w:rPr>
                <w:sz w:val="21"/>
                <w:szCs w:val="21"/>
              </w:rPr>
            </w:pPr>
            <w:r>
              <w:rPr>
                <w:rFonts w:hint="eastAsia"/>
                <w:sz w:val="21"/>
                <w:szCs w:val="21"/>
              </w:rPr>
              <w:t>0.02</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07B78B30">
            <w:pPr>
              <w:snapToGrid w:val="0"/>
              <w:spacing w:line="240" w:lineRule="auto"/>
              <w:ind w:firstLine="0" w:firstLineChars="0"/>
              <w:jc w:val="center"/>
              <w:rPr>
                <w:sz w:val="21"/>
                <w:szCs w:val="21"/>
              </w:rPr>
            </w:pPr>
            <w:r>
              <w:rPr>
                <w:rFonts w:hint="eastAsia"/>
                <w:sz w:val="21"/>
                <w:szCs w:val="21"/>
              </w:rPr>
              <w:t>16.5</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27637260">
            <w:pPr>
              <w:widowControl/>
              <w:spacing w:line="240" w:lineRule="auto"/>
              <w:ind w:firstLine="0" w:firstLineChars="0"/>
              <w:jc w:val="center"/>
              <w:rPr>
                <w:sz w:val="21"/>
                <w:szCs w:val="21"/>
              </w:rPr>
            </w:pPr>
            <w:r>
              <w:rPr>
                <w:rFonts w:hint="eastAsia"/>
                <w:sz w:val="21"/>
                <w:szCs w:val="21"/>
              </w:rPr>
              <w:t>4.84</w:t>
            </w:r>
          </w:p>
        </w:tc>
      </w:tr>
      <w:tr w14:paraId="55F36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644D967F">
            <w:pPr>
              <w:snapToGrid w:val="0"/>
              <w:spacing w:line="240" w:lineRule="auto"/>
              <w:ind w:firstLine="0" w:firstLineChars="0"/>
              <w:jc w:val="center"/>
              <w:rPr>
                <w:sz w:val="21"/>
                <w:szCs w:val="21"/>
              </w:rPr>
            </w:pPr>
            <w:r>
              <w:rPr>
                <w:rFonts w:hint="eastAsia"/>
                <w:sz w:val="21"/>
                <w:szCs w:val="21"/>
              </w:rPr>
              <w:t>2024年5月</w:t>
            </w:r>
          </w:p>
        </w:tc>
        <w:tc>
          <w:tcPr>
            <w:tcW w:w="818" w:type="pct"/>
            <w:tcBorders>
              <w:top w:val="single" w:color="auto" w:sz="4" w:space="0"/>
              <w:left w:val="single" w:color="auto" w:sz="4" w:space="0"/>
              <w:bottom w:val="single" w:color="auto" w:sz="4" w:space="0"/>
              <w:right w:val="single" w:color="auto" w:sz="4" w:space="0"/>
              <w:tl2br w:val="nil"/>
              <w:tr2bl w:val="nil"/>
            </w:tcBorders>
            <w:vAlign w:val="bottom"/>
          </w:tcPr>
          <w:p w14:paraId="0F93764F">
            <w:pPr>
              <w:snapToGrid w:val="0"/>
              <w:spacing w:line="240" w:lineRule="auto"/>
              <w:ind w:firstLine="0" w:firstLineChars="0"/>
              <w:jc w:val="center"/>
              <w:rPr>
                <w:sz w:val="21"/>
                <w:szCs w:val="21"/>
              </w:rPr>
            </w:pPr>
            <w:r>
              <w:rPr>
                <w:rFonts w:hint="eastAsia"/>
                <w:sz w:val="21"/>
                <w:szCs w:val="21"/>
              </w:rPr>
              <w:t xml:space="preserve">132957 </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272E64F4">
            <w:pPr>
              <w:snapToGrid w:val="0"/>
              <w:spacing w:line="240" w:lineRule="auto"/>
              <w:ind w:firstLine="0" w:firstLineChars="0"/>
              <w:jc w:val="center"/>
              <w:rPr>
                <w:sz w:val="21"/>
                <w:szCs w:val="21"/>
              </w:rPr>
            </w:pPr>
            <w:r>
              <w:rPr>
                <w:rFonts w:hint="eastAsia"/>
                <w:sz w:val="21"/>
                <w:szCs w:val="21"/>
              </w:rPr>
              <w:t>95</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39E3BD95">
            <w:pPr>
              <w:snapToGrid w:val="0"/>
              <w:spacing w:line="240" w:lineRule="auto"/>
              <w:ind w:firstLine="0" w:firstLineChars="0"/>
              <w:jc w:val="center"/>
              <w:rPr>
                <w:sz w:val="21"/>
                <w:szCs w:val="21"/>
              </w:rPr>
            </w:pPr>
            <w:r>
              <w:rPr>
                <w:rFonts w:hint="eastAsia"/>
                <w:sz w:val="21"/>
                <w:szCs w:val="21"/>
              </w:rPr>
              <w:t>14</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0ECC7E8">
            <w:pPr>
              <w:snapToGrid w:val="0"/>
              <w:spacing w:line="240" w:lineRule="auto"/>
              <w:ind w:firstLine="0" w:firstLineChars="0"/>
              <w:jc w:val="center"/>
              <w:rPr>
                <w:sz w:val="21"/>
                <w:szCs w:val="21"/>
              </w:rPr>
            </w:pPr>
            <w:r>
              <w:rPr>
                <w:rFonts w:hint="eastAsia"/>
                <w:sz w:val="21"/>
                <w:szCs w:val="21"/>
              </w:rPr>
              <w:t>16.6</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46BDF3C3">
            <w:pPr>
              <w:snapToGrid w:val="0"/>
              <w:spacing w:line="240" w:lineRule="auto"/>
              <w:ind w:firstLine="0" w:firstLineChars="0"/>
              <w:jc w:val="center"/>
              <w:rPr>
                <w:sz w:val="21"/>
                <w:szCs w:val="21"/>
              </w:rPr>
            </w:pPr>
            <w:r>
              <w:rPr>
                <w:rFonts w:hint="eastAsia"/>
                <w:sz w:val="21"/>
                <w:szCs w:val="21"/>
              </w:rPr>
              <w:t>0.08</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003D49A6">
            <w:pPr>
              <w:snapToGrid w:val="0"/>
              <w:spacing w:line="240" w:lineRule="auto"/>
              <w:ind w:firstLine="0" w:firstLineChars="0"/>
              <w:jc w:val="center"/>
              <w:rPr>
                <w:sz w:val="21"/>
                <w:szCs w:val="21"/>
              </w:rPr>
            </w:pPr>
            <w:r>
              <w:rPr>
                <w:rFonts w:hint="eastAsia"/>
                <w:sz w:val="21"/>
                <w:szCs w:val="21"/>
              </w:rPr>
              <w:t>1.5</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4A3F158F">
            <w:pPr>
              <w:snapToGrid w:val="0"/>
              <w:spacing w:line="240" w:lineRule="auto"/>
              <w:ind w:firstLine="0" w:firstLineChars="0"/>
              <w:jc w:val="center"/>
              <w:rPr>
                <w:sz w:val="21"/>
                <w:szCs w:val="21"/>
              </w:rPr>
            </w:pPr>
            <w:r>
              <w:rPr>
                <w:rFonts w:hint="eastAsia"/>
                <w:sz w:val="21"/>
                <w:szCs w:val="21"/>
              </w:rPr>
              <w:t>0.01</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12AE7E3">
            <w:pPr>
              <w:snapToGrid w:val="0"/>
              <w:spacing w:line="240" w:lineRule="auto"/>
              <w:ind w:firstLine="0" w:firstLineChars="0"/>
              <w:jc w:val="center"/>
              <w:rPr>
                <w:sz w:val="21"/>
                <w:szCs w:val="21"/>
              </w:rPr>
            </w:pPr>
            <w:r>
              <w:rPr>
                <w:rFonts w:hint="eastAsia"/>
                <w:sz w:val="21"/>
                <w:szCs w:val="21"/>
              </w:rPr>
              <w:t>20</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60EEEFF">
            <w:pPr>
              <w:widowControl/>
              <w:spacing w:line="240" w:lineRule="auto"/>
              <w:ind w:firstLine="0" w:firstLineChars="0"/>
              <w:jc w:val="center"/>
              <w:rPr>
                <w:sz w:val="21"/>
                <w:szCs w:val="21"/>
              </w:rPr>
            </w:pPr>
            <w:r>
              <w:rPr>
                <w:rFonts w:hint="eastAsia"/>
                <w:sz w:val="21"/>
                <w:szCs w:val="21"/>
              </w:rPr>
              <w:t>4.65</w:t>
            </w:r>
          </w:p>
        </w:tc>
      </w:tr>
      <w:tr w14:paraId="458C5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75A0FFDC">
            <w:pPr>
              <w:snapToGrid w:val="0"/>
              <w:spacing w:line="240" w:lineRule="auto"/>
              <w:ind w:firstLine="0" w:firstLineChars="0"/>
              <w:jc w:val="center"/>
              <w:rPr>
                <w:sz w:val="21"/>
                <w:szCs w:val="21"/>
              </w:rPr>
            </w:pPr>
            <w:r>
              <w:rPr>
                <w:rFonts w:hint="eastAsia"/>
                <w:sz w:val="21"/>
                <w:szCs w:val="21"/>
              </w:rPr>
              <w:t>2024年6月</w:t>
            </w:r>
          </w:p>
        </w:tc>
        <w:tc>
          <w:tcPr>
            <w:tcW w:w="818" w:type="pct"/>
            <w:tcBorders>
              <w:top w:val="single" w:color="auto" w:sz="4" w:space="0"/>
              <w:left w:val="single" w:color="auto" w:sz="4" w:space="0"/>
              <w:bottom w:val="single" w:color="auto" w:sz="4" w:space="0"/>
              <w:right w:val="single" w:color="auto" w:sz="4" w:space="0"/>
              <w:tl2br w:val="nil"/>
              <w:tr2bl w:val="nil"/>
            </w:tcBorders>
            <w:vAlign w:val="bottom"/>
          </w:tcPr>
          <w:p w14:paraId="3C8483E6">
            <w:pPr>
              <w:snapToGrid w:val="0"/>
              <w:spacing w:line="240" w:lineRule="auto"/>
              <w:ind w:firstLine="0" w:firstLineChars="0"/>
              <w:jc w:val="center"/>
              <w:rPr>
                <w:sz w:val="21"/>
                <w:szCs w:val="21"/>
              </w:rPr>
            </w:pPr>
            <w:r>
              <w:rPr>
                <w:rFonts w:hint="eastAsia"/>
                <w:sz w:val="21"/>
                <w:szCs w:val="21"/>
              </w:rPr>
              <w:t xml:space="preserve">114690 </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42C4D477">
            <w:pPr>
              <w:snapToGrid w:val="0"/>
              <w:spacing w:line="240" w:lineRule="auto"/>
              <w:ind w:firstLine="0" w:firstLineChars="0"/>
              <w:jc w:val="center"/>
              <w:rPr>
                <w:sz w:val="21"/>
                <w:szCs w:val="21"/>
              </w:rPr>
            </w:pPr>
            <w:r>
              <w:rPr>
                <w:rFonts w:hint="eastAsia"/>
                <w:sz w:val="21"/>
                <w:szCs w:val="21"/>
              </w:rPr>
              <w:t>91</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4179EC4">
            <w:pPr>
              <w:snapToGrid w:val="0"/>
              <w:spacing w:line="240" w:lineRule="auto"/>
              <w:ind w:firstLine="0" w:firstLineChars="0"/>
              <w:jc w:val="center"/>
              <w:rPr>
                <w:sz w:val="21"/>
                <w:szCs w:val="21"/>
              </w:rPr>
            </w:pPr>
            <w:r>
              <w:rPr>
                <w:rFonts w:hint="eastAsia"/>
                <w:sz w:val="21"/>
                <w:szCs w:val="21"/>
              </w:rPr>
              <w:t>14</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69328E42">
            <w:pPr>
              <w:snapToGrid w:val="0"/>
              <w:spacing w:line="240" w:lineRule="auto"/>
              <w:ind w:firstLine="0" w:firstLineChars="0"/>
              <w:jc w:val="center"/>
              <w:rPr>
                <w:sz w:val="21"/>
                <w:szCs w:val="21"/>
              </w:rPr>
            </w:pPr>
            <w:r>
              <w:rPr>
                <w:rFonts w:hint="eastAsia"/>
                <w:sz w:val="21"/>
                <w:szCs w:val="21"/>
              </w:rPr>
              <w:t>12.7</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538857A3">
            <w:pPr>
              <w:snapToGrid w:val="0"/>
              <w:spacing w:line="240" w:lineRule="auto"/>
              <w:ind w:firstLine="0" w:firstLineChars="0"/>
              <w:jc w:val="center"/>
              <w:rPr>
                <w:sz w:val="21"/>
                <w:szCs w:val="21"/>
              </w:rPr>
            </w:pPr>
            <w:r>
              <w:rPr>
                <w:rFonts w:hint="eastAsia"/>
                <w:sz w:val="21"/>
                <w:szCs w:val="21"/>
              </w:rPr>
              <w:t>0.07</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3096E401">
            <w:pPr>
              <w:snapToGrid w:val="0"/>
              <w:spacing w:line="240" w:lineRule="auto"/>
              <w:ind w:firstLine="0" w:firstLineChars="0"/>
              <w:jc w:val="center"/>
              <w:rPr>
                <w:sz w:val="21"/>
                <w:szCs w:val="21"/>
              </w:rPr>
            </w:pPr>
            <w:r>
              <w:rPr>
                <w:rFonts w:hint="eastAsia"/>
                <w:sz w:val="21"/>
                <w:szCs w:val="21"/>
              </w:rPr>
              <w:t>1.25</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27B5C166">
            <w:pPr>
              <w:snapToGrid w:val="0"/>
              <w:spacing w:line="240" w:lineRule="auto"/>
              <w:ind w:firstLine="0" w:firstLineChars="0"/>
              <w:jc w:val="center"/>
              <w:rPr>
                <w:sz w:val="21"/>
                <w:szCs w:val="21"/>
              </w:rPr>
            </w:pPr>
            <w:r>
              <w:rPr>
                <w:rFonts w:hint="eastAsia"/>
                <w:sz w:val="21"/>
                <w:szCs w:val="21"/>
              </w:rPr>
              <w:t>0.07</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02C92107">
            <w:pPr>
              <w:snapToGrid w:val="0"/>
              <w:spacing w:line="240" w:lineRule="auto"/>
              <w:ind w:firstLine="0" w:firstLineChars="0"/>
              <w:jc w:val="center"/>
              <w:rPr>
                <w:sz w:val="21"/>
                <w:szCs w:val="21"/>
              </w:rPr>
            </w:pPr>
            <w:r>
              <w:rPr>
                <w:rFonts w:hint="eastAsia"/>
                <w:sz w:val="21"/>
                <w:szCs w:val="21"/>
              </w:rPr>
              <w:t>15.9</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904BB24">
            <w:pPr>
              <w:widowControl/>
              <w:spacing w:line="240" w:lineRule="auto"/>
              <w:ind w:firstLine="0" w:firstLineChars="0"/>
              <w:jc w:val="center"/>
              <w:rPr>
                <w:sz w:val="21"/>
                <w:szCs w:val="21"/>
              </w:rPr>
            </w:pPr>
            <w:r>
              <w:rPr>
                <w:rFonts w:hint="eastAsia"/>
                <w:sz w:val="21"/>
                <w:szCs w:val="21"/>
              </w:rPr>
              <w:t>4.34</w:t>
            </w:r>
          </w:p>
        </w:tc>
      </w:tr>
      <w:tr w14:paraId="2CF43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34F46689">
            <w:pPr>
              <w:snapToGrid w:val="0"/>
              <w:spacing w:line="240" w:lineRule="auto"/>
              <w:ind w:firstLine="0" w:firstLineChars="0"/>
              <w:jc w:val="center"/>
              <w:rPr>
                <w:sz w:val="21"/>
                <w:szCs w:val="21"/>
              </w:rPr>
            </w:pPr>
            <w:r>
              <w:rPr>
                <w:rFonts w:hint="eastAsia"/>
                <w:sz w:val="21"/>
                <w:szCs w:val="21"/>
              </w:rPr>
              <w:t>2024年7月</w:t>
            </w:r>
          </w:p>
        </w:tc>
        <w:tc>
          <w:tcPr>
            <w:tcW w:w="818" w:type="pct"/>
            <w:tcBorders>
              <w:top w:val="single" w:color="auto" w:sz="4" w:space="0"/>
              <w:left w:val="single" w:color="auto" w:sz="4" w:space="0"/>
              <w:bottom w:val="single" w:color="auto" w:sz="4" w:space="0"/>
              <w:right w:val="single" w:color="auto" w:sz="4" w:space="0"/>
              <w:tl2br w:val="nil"/>
              <w:tr2bl w:val="nil"/>
            </w:tcBorders>
            <w:vAlign w:val="bottom"/>
          </w:tcPr>
          <w:p w14:paraId="1F0E77EE">
            <w:pPr>
              <w:snapToGrid w:val="0"/>
              <w:spacing w:line="240" w:lineRule="auto"/>
              <w:ind w:firstLine="0" w:firstLineChars="0"/>
              <w:jc w:val="center"/>
              <w:rPr>
                <w:sz w:val="21"/>
                <w:szCs w:val="21"/>
              </w:rPr>
            </w:pPr>
            <w:r>
              <w:rPr>
                <w:rFonts w:hint="eastAsia"/>
                <w:sz w:val="21"/>
                <w:szCs w:val="21"/>
              </w:rPr>
              <w:t xml:space="preserve">111355 </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091B96FE">
            <w:pPr>
              <w:snapToGrid w:val="0"/>
              <w:spacing w:line="240" w:lineRule="auto"/>
              <w:ind w:firstLine="0" w:firstLineChars="0"/>
              <w:jc w:val="center"/>
              <w:rPr>
                <w:sz w:val="21"/>
                <w:szCs w:val="21"/>
              </w:rPr>
            </w:pPr>
            <w:r>
              <w:rPr>
                <w:rFonts w:hint="eastAsia"/>
                <w:sz w:val="21"/>
                <w:szCs w:val="21"/>
              </w:rPr>
              <w:t>74</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027C443A">
            <w:pPr>
              <w:snapToGrid w:val="0"/>
              <w:spacing w:line="240" w:lineRule="auto"/>
              <w:ind w:firstLine="0" w:firstLineChars="0"/>
              <w:jc w:val="center"/>
              <w:rPr>
                <w:sz w:val="21"/>
                <w:szCs w:val="21"/>
              </w:rPr>
            </w:pPr>
            <w:r>
              <w:rPr>
                <w:rFonts w:hint="eastAsia"/>
                <w:sz w:val="21"/>
                <w:szCs w:val="21"/>
              </w:rPr>
              <w:t>14</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4521027">
            <w:pPr>
              <w:snapToGrid w:val="0"/>
              <w:spacing w:line="240" w:lineRule="auto"/>
              <w:ind w:firstLine="0" w:firstLineChars="0"/>
              <w:jc w:val="center"/>
              <w:rPr>
                <w:sz w:val="21"/>
                <w:szCs w:val="21"/>
              </w:rPr>
            </w:pPr>
            <w:r>
              <w:rPr>
                <w:rFonts w:hint="eastAsia"/>
                <w:sz w:val="21"/>
                <w:szCs w:val="21"/>
              </w:rPr>
              <w:t>9.9</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0B429306">
            <w:pPr>
              <w:snapToGrid w:val="0"/>
              <w:spacing w:line="240" w:lineRule="auto"/>
              <w:ind w:firstLine="0" w:firstLineChars="0"/>
              <w:jc w:val="center"/>
              <w:rPr>
                <w:sz w:val="21"/>
                <w:szCs w:val="21"/>
              </w:rPr>
            </w:pPr>
            <w:r>
              <w:rPr>
                <w:rFonts w:hint="eastAsia"/>
                <w:sz w:val="21"/>
                <w:szCs w:val="21"/>
              </w:rPr>
              <w:t>0.07</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40EF21F">
            <w:pPr>
              <w:snapToGrid w:val="0"/>
              <w:spacing w:line="240" w:lineRule="auto"/>
              <w:ind w:firstLine="0" w:firstLineChars="0"/>
              <w:jc w:val="center"/>
              <w:rPr>
                <w:sz w:val="21"/>
                <w:szCs w:val="21"/>
              </w:rPr>
            </w:pPr>
            <w:r>
              <w:rPr>
                <w:rFonts w:hint="eastAsia"/>
                <w:sz w:val="21"/>
                <w:szCs w:val="21"/>
              </w:rPr>
              <w:t>1.2</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1C6B57CB">
            <w:pPr>
              <w:snapToGrid w:val="0"/>
              <w:spacing w:line="240" w:lineRule="auto"/>
              <w:ind w:firstLine="0" w:firstLineChars="0"/>
              <w:jc w:val="center"/>
              <w:rPr>
                <w:sz w:val="21"/>
                <w:szCs w:val="21"/>
              </w:rPr>
            </w:pPr>
            <w:r>
              <w:rPr>
                <w:rFonts w:hint="eastAsia"/>
                <w:sz w:val="21"/>
                <w:szCs w:val="21"/>
              </w:rPr>
              <w:t>0.15</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5D13D9FD">
            <w:pPr>
              <w:snapToGrid w:val="0"/>
              <w:spacing w:line="240" w:lineRule="auto"/>
              <w:ind w:firstLine="0" w:firstLineChars="0"/>
              <w:jc w:val="center"/>
              <w:rPr>
                <w:sz w:val="21"/>
                <w:szCs w:val="21"/>
              </w:rPr>
            </w:pPr>
            <w:r>
              <w:rPr>
                <w:rFonts w:hint="eastAsia"/>
                <w:sz w:val="21"/>
                <w:szCs w:val="21"/>
              </w:rPr>
              <w:t>12.8</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5D9EB78B">
            <w:pPr>
              <w:widowControl/>
              <w:spacing w:line="240" w:lineRule="auto"/>
              <w:ind w:firstLine="0" w:firstLineChars="0"/>
              <w:jc w:val="center"/>
              <w:rPr>
                <w:sz w:val="21"/>
                <w:szCs w:val="21"/>
              </w:rPr>
            </w:pPr>
            <w:r>
              <w:rPr>
                <w:rFonts w:hint="eastAsia"/>
                <w:sz w:val="21"/>
                <w:szCs w:val="21"/>
              </w:rPr>
              <w:t>4.43</w:t>
            </w:r>
          </w:p>
        </w:tc>
      </w:tr>
      <w:tr w14:paraId="53BBD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306C3CB0">
            <w:pPr>
              <w:snapToGrid w:val="0"/>
              <w:spacing w:line="240" w:lineRule="auto"/>
              <w:ind w:firstLine="0" w:firstLineChars="0"/>
              <w:jc w:val="center"/>
              <w:rPr>
                <w:sz w:val="21"/>
                <w:szCs w:val="21"/>
              </w:rPr>
            </w:pPr>
            <w:r>
              <w:rPr>
                <w:rFonts w:hint="eastAsia"/>
                <w:sz w:val="21"/>
                <w:szCs w:val="21"/>
              </w:rPr>
              <w:t>2024年8月</w:t>
            </w:r>
          </w:p>
        </w:tc>
        <w:tc>
          <w:tcPr>
            <w:tcW w:w="818" w:type="pct"/>
            <w:tcBorders>
              <w:top w:val="single" w:color="auto" w:sz="4" w:space="0"/>
              <w:left w:val="single" w:color="auto" w:sz="4" w:space="0"/>
              <w:bottom w:val="single" w:color="auto" w:sz="4" w:space="0"/>
              <w:right w:val="single" w:color="auto" w:sz="4" w:space="0"/>
              <w:tl2br w:val="nil"/>
              <w:tr2bl w:val="nil"/>
            </w:tcBorders>
            <w:vAlign w:val="bottom"/>
          </w:tcPr>
          <w:p w14:paraId="4360FAB0">
            <w:pPr>
              <w:snapToGrid w:val="0"/>
              <w:spacing w:line="240" w:lineRule="auto"/>
              <w:ind w:firstLine="0" w:firstLineChars="0"/>
              <w:jc w:val="center"/>
              <w:rPr>
                <w:sz w:val="21"/>
                <w:szCs w:val="21"/>
              </w:rPr>
            </w:pPr>
            <w:r>
              <w:rPr>
                <w:rFonts w:hint="eastAsia"/>
                <w:sz w:val="21"/>
                <w:szCs w:val="21"/>
              </w:rPr>
              <w:t xml:space="preserve">111165 </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A7E081A">
            <w:pPr>
              <w:snapToGrid w:val="0"/>
              <w:spacing w:line="240" w:lineRule="auto"/>
              <w:ind w:firstLine="0" w:firstLineChars="0"/>
              <w:jc w:val="center"/>
              <w:rPr>
                <w:sz w:val="21"/>
                <w:szCs w:val="21"/>
              </w:rPr>
            </w:pPr>
            <w:r>
              <w:rPr>
                <w:rFonts w:hint="eastAsia"/>
                <w:sz w:val="21"/>
                <w:szCs w:val="21"/>
              </w:rPr>
              <w:t>113</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5009C94D">
            <w:pPr>
              <w:snapToGrid w:val="0"/>
              <w:spacing w:line="240" w:lineRule="auto"/>
              <w:ind w:firstLine="0" w:firstLineChars="0"/>
              <w:jc w:val="center"/>
              <w:rPr>
                <w:sz w:val="21"/>
                <w:szCs w:val="21"/>
              </w:rPr>
            </w:pPr>
            <w:r>
              <w:rPr>
                <w:rFonts w:hint="eastAsia"/>
                <w:sz w:val="21"/>
                <w:szCs w:val="21"/>
              </w:rPr>
              <w:t>16</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227C728E">
            <w:pPr>
              <w:snapToGrid w:val="0"/>
              <w:spacing w:line="240" w:lineRule="auto"/>
              <w:ind w:firstLine="0" w:firstLineChars="0"/>
              <w:jc w:val="center"/>
              <w:rPr>
                <w:sz w:val="21"/>
                <w:szCs w:val="21"/>
              </w:rPr>
            </w:pPr>
            <w:r>
              <w:rPr>
                <w:rFonts w:hint="eastAsia"/>
                <w:sz w:val="21"/>
                <w:szCs w:val="21"/>
              </w:rPr>
              <w:t>17.2</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1B43746D">
            <w:pPr>
              <w:snapToGrid w:val="0"/>
              <w:spacing w:line="240" w:lineRule="auto"/>
              <w:ind w:firstLine="0" w:firstLineChars="0"/>
              <w:jc w:val="center"/>
              <w:rPr>
                <w:sz w:val="21"/>
                <w:szCs w:val="21"/>
              </w:rPr>
            </w:pPr>
            <w:r>
              <w:rPr>
                <w:rFonts w:hint="eastAsia"/>
                <w:sz w:val="21"/>
                <w:szCs w:val="21"/>
              </w:rPr>
              <w:t>0.06</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05D62DFA">
            <w:pPr>
              <w:snapToGrid w:val="0"/>
              <w:spacing w:line="240" w:lineRule="auto"/>
              <w:ind w:firstLine="0" w:firstLineChars="0"/>
              <w:jc w:val="center"/>
              <w:rPr>
                <w:sz w:val="21"/>
                <w:szCs w:val="21"/>
              </w:rPr>
            </w:pPr>
            <w:r>
              <w:rPr>
                <w:rFonts w:hint="eastAsia"/>
                <w:sz w:val="21"/>
                <w:szCs w:val="21"/>
              </w:rPr>
              <w:t>2.01</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04AE8207">
            <w:pPr>
              <w:snapToGrid w:val="0"/>
              <w:spacing w:line="240" w:lineRule="auto"/>
              <w:ind w:firstLine="0" w:firstLineChars="0"/>
              <w:jc w:val="center"/>
              <w:rPr>
                <w:sz w:val="21"/>
                <w:szCs w:val="21"/>
              </w:rPr>
            </w:pPr>
            <w:r>
              <w:rPr>
                <w:rFonts w:hint="eastAsia"/>
                <w:sz w:val="21"/>
                <w:szCs w:val="21"/>
              </w:rPr>
              <w:t>0.13</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35BEEE7B">
            <w:pPr>
              <w:snapToGrid w:val="0"/>
              <w:spacing w:line="240" w:lineRule="auto"/>
              <w:ind w:firstLine="0" w:firstLineChars="0"/>
              <w:jc w:val="center"/>
              <w:rPr>
                <w:sz w:val="21"/>
                <w:szCs w:val="21"/>
              </w:rPr>
            </w:pPr>
            <w:r>
              <w:rPr>
                <w:rFonts w:hint="eastAsia"/>
                <w:sz w:val="21"/>
                <w:szCs w:val="21"/>
              </w:rPr>
              <w:t>19.7</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8CFB767">
            <w:pPr>
              <w:widowControl/>
              <w:spacing w:line="240" w:lineRule="auto"/>
              <w:ind w:firstLine="0" w:firstLineChars="0"/>
              <w:jc w:val="center"/>
              <w:rPr>
                <w:sz w:val="21"/>
                <w:szCs w:val="21"/>
              </w:rPr>
            </w:pPr>
            <w:r>
              <w:rPr>
                <w:rFonts w:hint="eastAsia"/>
                <w:sz w:val="21"/>
                <w:szCs w:val="21"/>
              </w:rPr>
              <w:t>4.61</w:t>
            </w:r>
          </w:p>
        </w:tc>
      </w:tr>
      <w:tr w14:paraId="29D2F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6872C68B">
            <w:pPr>
              <w:snapToGrid w:val="0"/>
              <w:spacing w:line="240" w:lineRule="auto"/>
              <w:ind w:firstLine="0" w:firstLineChars="0"/>
              <w:jc w:val="center"/>
              <w:rPr>
                <w:sz w:val="21"/>
                <w:szCs w:val="21"/>
              </w:rPr>
            </w:pPr>
            <w:r>
              <w:rPr>
                <w:rFonts w:hint="eastAsia"/>
                <w:sz w:val="21"/>
                <w:szCs w:val="21"/>
              </w:rPr>
              <w:t>2024年9月</w:t>
            </w:r>
          </w:p>
        </w:tc>
        <w:tc>
          <w:tcPr>
            <w:tcW w:w="818" w:type="pct"/>
            <w:tcBorders>
              <w:top w:val="single" w:color="auto" w:sz="4" w:space="0"/>
              <w:left w:val="single" w:color="auto" w:sz="4" w:space="0"/>
              <w:bottom w:val="single" w:color="auto" w:sz="4" w:space="0"/>
              <w:right w:val="single" w:color="auto" w:sz="4" w:space="0"/>
              <w:tl2br w:val="nil"/>
              <w:tr2bl w:val="nil"/>
            </w:tcBorders>
            <w:vAlign w:val="bottom"/>
          </w:tcPr>
          <w:p w14:paraId="1637C0D4">
            <w:pPr>
              <w:snapToGrid w:val="0"/>
              <w:spacing w:line="240" w:lineRule="auto"/>
              <w:ind w:firstLine="0" w:firstLineChars="0"/>
              <w:jc w:val="center"/>
              <w:rPr>
                <w:sz w:val="21"/>
                <w:szCs w:val="21"/>
              </w:rPr>
            </w:pPr>
            <w:r>
              <w:rPr>
                <w:rFonts w:hint="eastAsia"/>
                <w:sz w:val="21"/>
                <w:szCs w:val="21"/>
              </w:rPr>
              <w:t xml:space="preserve">125214 </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3ED41EE">
            <w:pPr>
              <w:snapToGrid w:val="0"/>
              <w:spacing w:line="240" w:lineRule="auto"/>
              <w:ind w:firstLine="0" w:firstLineChars="0"/>
              <w:jc w:val="center"/>
              <w:rPr>
                <w:sz w:val="21"/>
                <w:szCs w:val="21"/>
              </w:rPr>
            </w:pPr>
            <w:r>
              <w:rPr>
                <w:rFonts w:hint="eastAsia"/>
                <w:sz w:val="21"/>
                <w:szCs w:val="21"/>
              </w:rPr>
              <w:t>86</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0073B26">
            <w:pPr>
              <w:snapToGrid w:val="0"/>
              <w:spacing w:line="240" w:lineRule="auto"/>
              <w:ind w:firstLine="0" w:firstLineChars="0"/>
              <w:jc w:val="center"/>
              <w:rPr>
                <w:sz w:val="21"/>
                <w:szCs w:val="21"/>
              </w:rPr>
            </w:pPr>
            <w:r>
              <w:rPr>
                <w:rFonts w:hint="eastAsia"/>
                <w:sz w:val="21"/>
                <w:szCs w:val="21"/>
              </w:rPr>
              <w:t>14</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60750C07">
            <w:pPr>
              <w:snapToGrid w:val="0"/>
              <w:spacing w:line="240" w:lineRule="auto"/>
              <w:ind w:firstLine="0" w:firstLineChars="0"/>
              <w:jc w:val="center"/>
              <w:rPr>
                <w:sz w:val="21"/>
                <w:szCs w:val="21"/>
              </w:rPr>
            </w:pPr>
            <w:r>
              <w:rPr>
                <w:rFonts w:hint="eastAsia"/>
                <w:sz w:val="21"/>
                <w:szCs w:val="21"/>
              </w:rPr>
              <w:t>9.9</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055B3FB0">
            <w:pPr>
              <w:snapToGrid w:val="0"/>
              <w:spacing w:line="240" w:lineRule="auto"/>
              <w:ind w:firstLine="0" w:firstLineChars="0"/>
              <w:jc w:val="center"/>
              <w:rPr>
                <w:sz w:val="21"/>
                <w:szCs w:val="21"/>
              </w:rPr>
            </w:pPr>
            <w:r>
              <w:rPr>
                <w:rFonts w:hint="eastAsia"/>
                <w:sz w:val="21"/>
                <w:szCs w:val="21"/>
              </w:rPr>
              <w:t>0.056</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8A6FFEF">
            <w:pPr>
              <w:snapToGrid w:val="0"/>
              <w:spacing w:line="240" w:lineRule="auto"/>
              <w:ind w:firstLine="0" w:firstLineChars="0"/>
              <w:jc w:val="center"/>
              <w:rPr>
                <w:sz w:val="21"/>
                <w:szCs w:val="21"/>
              </w:rPr>
            </w:pPr>
            <w:r>
              <w:rPr>
                <w:rFonts w:hint="eastAsia"/>
                <w:sz w:val="21"/>
                <w:szCs w:val="21"/>
              </w:rPr>
              <w:t>0.94</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59B521C1">
            <w:pPr>
              <w:snapToGrid w:val="0"/>
              <w:spacing w:line="240" w:lineRule="auto"/>
              <w:ind w:firstLine="0" w:firstLineChars="0"/>
              <w:jc w:val="center"/>
              <w:rPr>
                <w:sz w:val="21"/>
                <w:szCs w:val="21"/>
              </w:rPr>
            </w:pPr>
            <w:r>
              <w:rPr>
                <w:rFonts w:hint="eastAsia"/>
                <w:sz w:val="21"/>
                <w:szCs w:val="21"/>
              </w:rPr>
              <w:t>0.039</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4DCD038">
            <w:pPr>
              <w:snapToGrid w:val="0"/>
              <w:spacing w:line="240" w:lineRule="auto"/>
              <w:ind w:firstLine="0" w:firstLineChars="0"/>
              <w:jc w:val="center"/>
              <w:rPr>
                <w:sz w:val="21"/>
                <w:szCs w:val="21"/>
              </w:rPr>
            </w:pPr>
            <w:r>
              <w:rPr>
                <w:rFonts w:hint="eastAsia"/>
                <w:sz w:val="21"/>
                <w:szCs w:val="21"/>
              </w:rPr>
              <w:t>11.5</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62CA56B">
            <w:pPr>
              <w:widowControl/>
              <w:spacing w:line="240" w:lineRule="auto"/>
              <w:ind w:firstLine="0" w:firstLineChars="0"/>
              <w:jc w:val="center"/>
              <w:rPr>
                <w:sz w:val="21"/>
                <w:szCs w:val="21"/>
              </w:rPr>
            </w:pPr>
            <w:r>
              <w:rPr>
                <w:rFonts w:hint="eastAsia"/>
                <w:sz w:val="21"/>
                <w:szCs w:val="21"/>
              </w:rPr>
              <w:t>3.57</w:t>
            </w:r>
          </w:p>
        </w:tc>
      </w:tr>
      <w:tr w14:paraId="56A9C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1DAB1E68">
            <w:pPr>
              <w:snapToGrid w:val="0"/>
              <w:spacing w:line="240" w:lineRule="auto"/>
              <w:ind w:firstLine="0" w:firstLineChars="0"/>
              <w:jc w:val="center"/>
              <w:rPr>
                <w:sz w:val="21"/>
                <w:szCs w:val="21"/>
              </w:rPr>
            </w:pPr>
            <w:r>
              <w:rPr>
                <w:rFonts w:hint="eastAsia"/>
                <w:sz w:val="21"/>
                <w:szCs w:val="21"/>
              </w:rPr>
              <w:t>2024年10月</w:t>
            </w:r>
          </w:p>
        </w:tc>
        <w:tc>
          <w:tcPr>
            <w:tcW w:w="818" w:type="pct"/>
            <w:tcBorders>
              <w:top w:val="single" w:color="auto" w:sz="4" w:space="0"/>
              <w:left w:val="single" w:color="auto" w:sz="4" w:space="0"/>
              <w:bottom w:val="single" w:color="auto" w:sz="4" w:space="0"/>
              <w:right w:val="single" w:color="auto" w:sz="4" w:space="0"/>
              <w:tl2br w:val="nil"/>
              <w:tr2bl w:val="nil"/>
            </w:tcBorders>
            <w:vAlign w:val="bottom"/>
          </w:tcPr>
          <w:p w14:paraId="48BA4BF4">
            <w:pPr>
              <w:snapToGrid w:val="0"/>
              <w:spacing w:line="240" w:lineRule="auto"/>
              <w:ind w:firstLine="0" w:firstLineChars="0"/>
              <w:jc w:val="center"/>
              <w:rPr>
                <w:sz w:val="21"/>
                <w:szCs w:val="21"/>
              </w:rPr>
            </w:pPr>
            <w:r>
              <w:rPr>
                <w:rFonts w:hint="eastAsia"/>
                <w:sz w:val="21"/>
                <w:szCs w:val="21"/>
              </w:rPr>
              <w:t xml:space="preserve">136368 </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2E00B71E">
            <w:pPr>
              <w:snapToGrid w:val="0"/>
              <w:spacing w:line="240" w:lineRule="auto"/>
              <w:ind w:firstLine="0" w:firstLineChars="0"/>
              <w:jc w:val="center"/>
              <w:rPr>
                <w:sz w:val="21"/>
                <w:szCs w:val="21"/>
              </w:rPr>
            </w:pPr>
            <w:r>
              <w:rPr>
                <w:rFonts w:hint="eastAsia"/>
                <w:sz w:val="21"/>
                <w:szCs w:val="21"/>
              </w:rPr>
              <w:t>83</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6C7DCDD1">
            <w:pPr>
              <w:snapToGrid w:val="0"/>
              <w:spacing w:line="240" w:lineRule="auto"/>
              <w:ind w:firstLine="0" w:firstLineChars="0"/>
              <w:jc w:val="center"/>
              <w:rPr>
                <w:sz w:val="21"/>
                <w:szCs w:val="21"/>
              </w:rPr>
            </w:pPr>
            <w:r>
              <w:rPr>
                <w:rFonts w:hint="eastAsia"/>
                <w:sz w:val="21"/>
                <w:szCs w:val="21"/>
              </w:rPr>
              <w:t>15</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314DB58D">
            <w:pPr>
              <w:snapToGrid w:val="0"/>
              <w:spacing w:line="240" w:lineRule="auto"/>
              <w:ind w:firstLine="0" w:firstLineChars="0"/>
              <w:jc w:val="center"/>
              <w:rPr>
                <w:sz w:val="21"/>
                <w:szCs w:val="21"/>
              </w:rPr>
            </w:pPr>
            <w:r>
              <w:rPr>
                <w:rFonts w:hint="eastAsia"/>
                <w:sz w:val="21"/>
                <w:szCs w:val="21"/>
              </w:rPr>
              <w:t>16.7</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0D3AA7FC">
            <w:pPr>
              <w:snapToGrid w:val="0"/>
              <w:spacing w:line="240" w:lineRule="auto"/>
              <w:ind w:firstLine="0" w:firstLineChars="0"/>
              <w:jc w:val="center"/>
              <w:rPr>
                <w:sz w:val="21"/>
                <w:szCs w:val="21"/>
              </w:rPr>
            </w:pPr>
            <w:r>
              <w:rPr>
                <w:rFonts w:hint="eastAsia"/>
                <w:sz w:val="21"/>
                <w:szCs w:val="21"/>
              </w:rPr>
              <w:t>0.07</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E4B2625">
            <w:pPr>
              <w:snapToGrid w:val="0"/>
              <w:spacing w:line="240" w:lineRule="auto"/>
              <w:ind w:firstLine="0" w:firstLineChars="0"/>
              <w:jc w:val="center"/>
              <w:rPr>
                <w:sz w:val="21"/>
                <w:szCs w:val="21"/>
              </w:rPr>
            </w:pPr>
            <w:r>
              <w:rPr>
                <w:rFonts w:hint="eastAsia"/>
                <w:sz w:val="21"/>
                <w:szCs w:val="21"/>
              </w:rPr>
              <w:t>1.59</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44032ABD">
            <w:pPr>
              <w:snapToGrid w:val="0"/>
              <w:spacing w:line="240" w:lineRule="auto"/>
              <w:ind w:firstLine="0" w:firstLineChars="0"/>
              <w:jc w:val="center"/>
              <w:rPr>
                <w:sz w:val="21"/>
                <w:szCs w:val="21"/>
              </w:rPr>
            </w:pPr>
            <w:r>
              <w:rPr>
                <w:rFonts w:hint="eastAsia"/>
                <w:sz w:val="21"/>
                <w:szCs w:val="21"/>
              </w:rPr>
              <w:t>0.06</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488B7192">
            <w:pPr>
              <w:snapToGrid w:val="0"/>
              <w:spacing w:line="240" w:lineRule="auto"/>
              <w:ind w:firstLine="0" w:firstLineChars="0"/>
              <w:jc w:val="center"/>
              <w:rPr>
                <w:sz w:val="21"/>
                <w:szCs w:val="21"/>
              </w:rPr>
            </w:pPr>
            <w:r>
              <w:rPr>
                <w:rFonts w:hint="eastAsia"/>
                <w:sz w:val="21"/>
                <w:szCs w:val="21"/>
              </w:rPr>
              <w:t>19</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2890D0DF">
            <w:pPr>
              <w:widowControl/>
              <w:spacing w:line="240" w:lineRule="auto"/>
              <w:ind w:firstLine="0" w:firstLineChars="0"/>
              <w:jc w:val="center"/>
              <w:rPr>
                <w:sz w:val="21"/>
                <w:szCs w:val="21"/>
              </w:rPr>
            </w:pPr>
            <w:r>
              <w:rPr>
                <w:rFonts w:hint="eastAsia"/>
                <w:sz w:val="21"/>
                <w:szCs w:val="21"/>
              </w:rPr>
              <w:t>5.59</w:t>
            </w:r>
          </w:p>
        </w:tc>
      </w:tr>
      <w:tr w14:paraId="1ABF3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49F33C6A">
            <w:pPr>
              <w:snapToGrid w:val="0"/>
              <w:spacing w:line="240" w:lineRule="auto"/>
              <w:ind w:firstLine="0" w:firstLineChars="0"/>
              <w:jc w:val="center"/>
              <w:rPr>
                <w:sz w:val="21"/>
                <w:szCs w:val="21"/>
              </w:rPr>
            </w:pPr>
            <w:r>
              <w:rPr>
                <w:rFonts w:hint="eastAsia"/>
                <w:sz w:val="21"/>
                <w:szCs w:val="21"/>
              </w:rPr>
              <w:t>2024年11月</w:t>
            </w:r>
          </w:p>
        </w:tc>
        <w:tc>
          <w:tcPr>
            <w:tcW w:w="818" w:type="pct"/>
            <w:tcBorders>
              <w:top w:val="single" w:color="auto" w:sz="4" w:space="0"/>
              <w:left w:val="single" w:color="auto" w:sz="4" w:space="0"/>
              <w:bottom w:val="single" w:color="auto" w:sz="4" w:space="0"/>
              <w:right w:val="single" w:color="auto" w:sz="4" w:space="0"/>
              <w:tl2br w:val="nil"/>
              <w:tr2bl w:val="nil"/>
            </w:tcBorders>
            <w:vAlign w:val="bottom"/>
          </w:tcPr>
          <w:p w14:paraId="13618354">
            <w:pPr>
              <w:snapToGrid w:val="0"/>
              <w:spacing w:line="240" w:lineRule="auto"/>
              <w:ind w:firstLine="0" w:firstLineChars="0"/>
              <w:jc w:val="center"/>
              <w:rPr>
                <w:sz w:val="21"/>
                <w:szCs w:val="21"/>
              </w:rPr>
            </w:pPr>
            <w:r>
              <w:rPr>
                <w:rFonts w:hint="eastAsia"/>
                <w:sz w:val="21"/>
                <w:szCs w:val="21"/>
              </w:rPr>
              <w:t xml:space="preserve">125588 </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EF7F8AC">
            <w:pPr>
              <w:snapToGrid w:val="0"/>
              <w:spacing w:line="240" w:lineRule="auto"/>
              <w:ind w:firstLine="0" w:firstLineChars="0"/>
              <w:jc w:val="center"/>
              <w:rPr>
                <w:sz w:val="21"/>
                <w:szCs w:val="21"/>
              </w:rPr>
            </w:pPr>
            <w:r>
              <w:rPr>
                <w:rFonts w:hint="eastAsia"/>
                <w:sz w:val="21"/>
                <w:szCs w:val="21"/>
              </w:rPr>
              <w:t>102</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2A0B9914">
            <w:pPr>
              <w:snapToGrid w:val="0"/>
              <w:spacing w:line="240" w:lineRule="auto"/>
              <w:ind w:firstLine="0" w:firstLineChars="0"/>
              <w:jc w:val="center"/>
              <w:rPr>
                <w:sz w:val="21"/>
                <w:szCs w:val="21"/>
              </w:rPr>
            </w:pPr>
            <w:r>
              <w:rPr>
                <w:rFonts w:hint="eastAsia"/>
                <w:sz w:val="21"/>
                <w:szCs w:val="21"/>
              </w:rPr>
              <w:t>14</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9FC6FC1">
            <w:pPr>
              <w:snapToGrid w:val="0"/>
              <w:spacing w:line="240" w:lineRule="auto"/>
              <w:ind w:firstLine="0" w:firstLineChars="0"/>
              <w:jc w:val="center"/>
              <w:rPr>
                <w:sz w:val="21"/>
                <w:szCs w:val="21"/>
              </w:rPr>
            </w:pPr>
            <w:r>
              <w:rPr>
                <w:rFonts w:hint="eastAsia"/>
                <w:sz w:val="21"/>
                <w:szCs w:val="21"/>
              </w:rPr>
              <w:t>15.2</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045810A4">
            <w:pPr>
              <w:snapToGrid w:val="0"/>
              <w:spacing w:line="240" w:lineRule="auto"/>
              <w:ind w:firstLine="0" w:firstLineChars="0"/>
              <w:jc w:val="center"/>
              <w:rPr>
                <w:sz w:val="21"/>
                <w:szCs w:val="21"/>
              </w:rPr>
            </w:pPr>
            <w:r>
              <w:rPr>
                <w:rFonts w:hint="eastAsia"/>
                <w:sz w:val="21"/>
                <w:szCs w:val="21"/>
              </w:rPr>
              <w:t>0.08</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418308AB">
            <w:pPr>
              <w:snapToGrid w:val="0"/>
              <w:spacing w:line="240" w:lineRule="auto"/>
              <w:ind w:firstLine="0" w:firstLineChars="0"/>
              <w:jc w:val="center"/>
              <w:rPr>
                <w:sz w:val="21"/>
                <w:szCs w:val="21"/>
              </w:rPr>
            </w:pPr>
            <w:r>
              <w:rPr>
                <w:rFonts w:hint="eastAsia"/>
                <w:sz w:val="21"/>
                <w:szCs w:val="21"/>
              </w:rPr>
              <w:t>1.54</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5AF05E96">
            <w:pPr>
              <w:snapToGrid w:val="0"/>
              <w:spacing w:line="240" w:lineRule="auto"/>
              <w:ind w:firstLine="0" w:firstLineChars="0"/>
              <w:jc w:val="center"/>
              <w:rPr>
                <w:sz w:val="21"/>
                <w:szCs w:val="21"/>
              </w:rPr>
            </w:pPr>
            <w:r>
              <w:rPr>
                <w:rFonts w:hint="eastAsia"/>
                <w:sz w:val="21"/>
                <w:szCs w:val="21"/>
              </w:rPr>
              <w:t>0.04</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526991DC">
            <w:pPr>
              <w:snapToGrid w:val="0"/>
              <w:spacing w:line="240" w:lineRule="auto"/>
              <w:ind w:firstLine="0" w:firstLineChars="0"/>
              <w:jc w:val="center"/>
              <w:rPr>
                <w:sz w:val="21"/>
                <w:szCs w:val="21"/>
              </w:rPr>
            </w:pPr>
            <w:r>
              <w:rPr>
                <w:rFonts w:hint="eastAsia"/>
                <w:sz w:val="21"/>
                <w:szCs w:val="21"/>
              </w:rPr>
              <w:t>17.7</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370D77F1">
            <w:pPr>
              <w:widowControl/>
              <w:spacing w:line="240" w:lineRule="auto"/>
              <w:ind w:firstLine="0" w:firstLineChars="0"/>
              <w:jc w:val="center"/>
              <w:rPr>
                <w:sz w:val="21"/>
                <w:szCs w:val="21"/>
              </w:rPr>
            </w:pPr>
            <w:r>
              <w:rPr>
                <w:rFonts w:hint="eastAsia"/>
                <w:sz w:val="21"/>
                <w:szCs w:val="21"/>
              </w:rPr>
              <w:t>5.18</w:t>
            </w:r>
          </w:p>
        </w:tc>
      </w:tr>
      <w:tr w14:paraId="44921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357866EE">
            <w:pPr>
              <w:snapToGrid w:val="0"/>
              <w:spacing w:line="240" w:lineRule="auto"/>
              <w:ind w:firstLine="0" w:firstLineChars="0"/>
              <w:jc w:val="center"/>
              <w:rPr>
                <w:sz w:val="21"/>
                <w:szCs w:val="21"/>
              </w:rPr>
            </w:pPr>
            <w:r>
              <w:rPr>
                <w:rFonts w:hint="eastAsia"/>
                <w:sz w:val="21"/>
                <w:szCs w:val="21"/>
              </w:rPr>
              <w:t>2024年12月</w:t>
            </w:r>
          </w:p>
        </w:tc>
        <w:tc>
          <w:tcPr>
            <w:tcW w:w="818" w:type="pct"/>
            <w:tcBorders>
              <w:top w:val="single" w:color="auto" w:sz="4" w:space="0"/>
              <w:left w:val="single" w:color="auto" w:sz="4" w:space="0"/>
              <w:bottom w:val="single" w:color="auto" w:sz="4" w:space="0"/>
              <w:right w:val="single" w:color="auto" w:sz="4" w:space="0"/>
              <w:tl2br w:val="nil"/>
              <w:tr2bl w:val="nil"/>
            </w:tcBorders>
            <w:vAlign w:val="bottom"/>
          </w:tcPr>
          <w:p w14:paraId="67118AF4">
            <w:pPr>
              <w:snapToGrid w:val="0"/>
              <w:spacing w:line="240" w:lineRule="auto"/>
              <w:ind w:firstLine="0" w:firstLineChars="0"/>
              <w:jc w:val="center"/>
              <w:rPr>
                <w:sz w:val="21"/>
                <w:szCs w:val="21"/>
              </w:rPr>
            </w:pPr>
            <w:r>
              <w:rPr>
                <w:rFonts w:hint="eastAsia"/>
                <w:sz w:val="21"/>
                <w:szCs w:val="21"/>
              </w:rPr>
              <w:t xml:space="preserve">100033 </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270CB252">
            <w:pPr>
              <w:snapToGrid w:val="0"/>
              <w:spacing w:line="240" w:lineRule="auto"/>
              <w:ind w:firstLine="0" w:firstLineChars="0"/>
              <w:jc w:val="center"/>
              <w:rPr>
                <w:sz w:val="21"/>
                <w:szCs w:val="21"/>
              </w:rPr>
            </w:pPr>
            <w:r>
              <w:rPr>
                <w:rFonts w:hint="eastAsia"/>
                <w:sz w:val="21"/>
                <w:szCs w:val="21"/>
              </w:rPr>
              <w:t>130</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2D21BB0C">
            <w:pPr>
              <w:snapToGrid w:val="0"/>
              <w:spacing w:line="240" w:lineRule="auto"/>
              <w:ind w:firstLine="0" w:firstLineChars="0"/>
              <w:jc w:val="center"/>
              <w:rPr>
                <w:sz w:val="21"/>
                <w:szCs w:val="21"/>
              </w:rPr>
            </w:pPr>
            <w:r>
              <w:rPr>
                <w:rFonts w:hint="eastAsia"/>
                <w:sz w:val="21"/>
                <w:szCs w:val="21"/>
              </w:rPr>
              <w:t>16</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02118B3D">
            <w:pPr>
              <w:snapToGrid w:val="0"/>
              <w:spacing w:line="240" w:lineRule="auto"/>
              <w:ind w:firstLine="0" w:firstLineChars="0"/>
              <w:jc w:val="center"/>
              <w:rPr>
                <w:sz w:val="21"/>
                <w:szCs w:val="21"/>
              </w:rPr>
            </w:pPr>
            <w:r>
              <w:rPr>
                <w:rFonts w:hint="eastAsia"/>
                <w:sz w:val="21"/>
                <w:szCs w:val="21"/>
              </w:rPr>
              <w:t>23.8</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76174866">
            <w:pPr>
              <w:snapToGrid w:val="0"/>
              <w:spacing w:line="240" w:lineRule="auto"/>
              <w:ind w:firstLine="0" w:firstLineChars="0"/>
              <w:jc w:val="center"/>
              <w:rPr>
                <w:sz w:val="21"/>
                <w:szCs w:val="21"/>
              </w:rPr>
            </w:pPr>
            <w:r>
              <w:rPr>
                <w:rFonts w:hint="eastAsia"/>
                <w:sz w:val="21"/>
                <w:szCs w:val="21"/>
              </w:rPr>
              <w:t>0.09</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6415575">
            <w:pPr>
              <w:snapToGrid w:val="0"/>
              <w:spacing w:line="240" w:lineRule="auto"/>
              <w:ind w:firstLine="0" w:firstLineChars="0"/>
              <w:jc w:val="center"/>
              <w:rPr>
                <w:sz w:val="21"/>
                <w:szCs w:val="21"/>
              </w:rPr>
            </w:pPr>
            <w:r>
              <w:rPr>
                <w:rFonts w:hint="eastAsia"/>
                <w:sz w:val="21"/>
                <w:szCs w:val="21"/>
              </w:rPr>
              <w:t>2.18</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437869B5">
            <w:pPr>
              <w:snapToGrid w:val="0"/>
              <w:spacing w:line="240" w:lineRule="auto"/>
              <w:ind w:firstLine="0" w:firstLineChars="0"/>
              <w:jc w:val="center"/>
              <w:rPr>
                <w:sz w:val="21"/>
                <w:szCs w:val="21"/>
              </w:rPr>
            </w:pPr>
            <w:r>
              <w:rPr>
                <w:rFonts w:hint="eastAsia"/>
                <w:sz w:val="21"/>
                <w:szCs w:val="21"/>
              </w:rPr>
              <w:t>0.03</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D7C167F">
            <w:pPr>
              <w:snapToGrid w:val="0"/>
              <w:spacing w:line="240" w:lineRule="auto"/>
              <w:ind w:firstLine="0" w:firstLineChars="0"/>
              <w:jc w:val="center"/>
              <w:rPr>
                <w:sz w:val="21"/>
                <w:szCs w:val="21"/>
              </w:rPr>
            </w:pPr>
            <w:r>
              <w:rPr>
                <w:rFonts w:hint="eastAsia"/>
                <w:sz w:val="21"/>
                <w:szCs w:val="21"/>
              </w:rPr>
              <w:t>26.7</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C780CDC">
            <w:pPr>
              <w:widowControl/>
              <w:spacing w:line="240" w:lineRule="auto"/>
              <w:ind w:firstLine="0" w:firstLineChars="0"/>
              <w:jc w:val="center"/>
              <w:rPr>
                <w:sz w:val="21"/>
                <w:szCs w:val="21"/>
              </w:rPr>
            </w:pPr>
            <w:r>
              <w:rPr>
                <w:rFonts w:hint="eastAsia"/>
                <w:sz w:val="21"/>
                <w:szCs w:val="21"/>
              </w:rPr>
              <w:t>5.76</w:t>
            </w:r>
          </w:p>
        </w:tc>
      </w:tr>
      <w:tr w14:paraId="4624E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89" w:type="pct"/>
            <w:tcBorders>
              <w:top w:val="single" w:color="auto" w:sz="4" w:space="0"/>
              <w:left w:val="single" w:color="auto" w:sz="4" w:space="0"/>
              <w:bottom w:val="single" w:color="auto" w:sz="4" w:space="0"/>
              <w:right w:val="single" w:color="auto" w:sz="4" w:space="0"/>
              <w:tl2br w:val="nil"/>
              <w:tr2bl w:val="nil"/>
            </w:tcBorders>
            <w:vAlign w:val="center"/>
          </w:tcPr>
          <w:p w14:paraId="349C7E6A">
            <w:pPr>
              <w:snapToGrid w:val="0"/>
              <w:spacing w:line="240" w:lineRule="auto"/>
              <w:ind w:firstLine="0" w:firstLineChars="0"/>
              <w:jc w:val="center"/>
              <w:rPr>
                <w:sz w:val="21"/>
                <w:szCs w:val="21"/>
              </w:rPr>
            </w:pPr>
            <w:r>
              <w:rPr>
                <w:rFonts w:hint="eastAsia"/>
                <w:sz w:val="21"/>
                <w:szCs w:val="21"/>
              </w:rPr>
              <w:t>均值</w:t>
            </w:r>
          </w:p>
        </w:tc>
        <w:tc>
          <w:tcPr>
            <w:tcW w:w="818" w:type="pct"/>
            <w:tcBorders>
              <w:top w:val="single" w:color="auto" w:sz="4" w:space="0"/>
              <w:left w:val="single" w:color="auto" w:sz="4" w:space="0"/>
              <w:bottom w:val="single" w:color="auto" w:sz="4" w:space="0"/>
              <w:right w:val="single" w:color="auto" w:sz="4" w:space="0"/>
              <w:tl2br w:val="nil"/>
              <w:tr2bl w:val="nil"/>
            </w:tcBorders>
            <w:vAlign w:val="center"/>
          </w:tcPr>
          <w:p w14:paraId="72AA68B8">
            <w:pPr>
              <w:snapToGrid w:val="0"/>
              <w:spacing w:line="240" w:lineRule="auto"/>
              <w:ind w:firstLine="0" w:firstLineChars="0"/>
              <w:jc w:val="center"/>
              <w:rPr>
                <w:sz w:val="21"/>
                <w:szCs w:val="21"/>
              </w:rPr>
            </w:pPr>
            <w:r>
              <w:rPr>
                <w:rFonts w:hint="eastAsia"/>
                <w:sz w:val="21"/>
                <w:szCs w:val="21"/>
              </w:rPr>
              <w:t>128130</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0E804E3D">
            <w:pPr>
              <w:snapToGrid w:val="0"/>
              <w:spacing w:line="240" w:lineRule="auto"/>
              <w:ind w:firstLine="0" w:firstLineChars="0"/>
              <w:jc w:val="center"/>
              <w:rPr>
                <w:sz w:val="21"/>
                <w:szCs w:val="21"/>
              </w:rPr>
            </w:pPr>
            <w:r>
              <w:rPr>
                <w:rFonts w:hint="eastAsia"/>
                <w:sz w:val="21"/>
                <w:szCs w:val="21"/>
              </w:rPr>
              <w:t>99</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6B462325">
            <w:pPr>
              <w:snapToGrid w:val="0"/>
              <w:spacing w:line="240" w:lineRule="auto"/>
              <w:ind w:firstLine="0" w:firstLineChars="0"/>
              <w:jc w:val="center"/>
              <w:rPr>
                <w:sz w:val="21"/>
                <w:szCs w:val="21"/>
              </w:rPr>
            </w:pPr>
            <w:r>
              <w:rPr>
                <w:rFonts w:hint="eastAsia"/>
                <w:sz w:val="21"/>
                <w:szCs w:val="21"/>
              </w:rPr>
              <w:t>15</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CBF29FD">
            <w:pPr>
              <w:snapToGrid w:val="0"/>
              <w:spacing w:line="240" w:lineRule="auto"/>
              <w:ind w:firstLine="0" w:firstLineChars="0"/>
              <w:jc w:val="center"/>
              <w:rPr>
                <w:sz w:val="21"/>
                <w:szCs w:val="21"/>
              </w:rPr>
            </w:pPr>
            <w:r>
              <w:rPr>
                <w:rFonts w:hint="eastAsia"/>
                <w:sz w:val="21"/>
                <w:szCs w:val="21"/>
              </w:rPr>
              <w:t>14.9</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4CBAD050">
            <w:pPr>
              <w:snapToGrid w:val="0"/>
              <w:spacing w:line="240" w:lineRule="auto"/>
              <w:ind w:firstLine="0" w:firstLineChars="0"/>
              <w:jc w:val="center"/>
              <w:rPr>
                <w:sz w:val="21"/>
                <w:szCs w:val="21"/>
              </w:rPr>
            </w:pPr>
            <w:r>
              <w:rPr>
                <w:rFonts w:hint="eastAsia"/>
                <w:sz w:val="21"/>
                <w:szCs w:val="21"/>
              </w:rPr>
              <w:t>0.072</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35D65B37">
            <w:pPr>
              <w:snapToGrid w:val="0"/>
              <w:spacing w:line="240" w:lineRule="auto"/>
              <w:ind w:firstLine="0" w:firstLineChars="0"/>
              <w:jc w:val="center"/>
              <w:rPr>
                <w:sz w:val="21"/>
                <w:szCs w:val="21"/>
              </w:rPr>
            </w:pPr>
            <w:r>
              <w:rPr>
                <w:rFonts w:hint="eastAsia"/>
                <w:sz w:val="21"/>
                <w:szCs w:val="21"/>
              </w:rPr>
              <w:t>1.41</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7B7611C3">
            <w:pPr>
              <w:snapToGrid w:val="0"/>
              <w:spacing w:line="240" w:lineRule="auto"/>
              <w:ind w:firstLine="0" w:firstLineChars="0"/>
              <w:jc w:val="center"/>
              <w:rPr>
                <w:sz w:val="21"/>
                <w:szCs w:val="21"/>
              </w:rPr>
            </w:pPr>
            <w:r>
              <w:rPr>
                <w:rFonts w:hint="eastAsia"/>
                <w:sz w:val="21"/>
                <w:szCs w:val="21"/>
              </w:rPr>
              <w:t>0.045</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7B945C4C">
            <w:pPr>
              <w:snapToGrid w:val="0"/>
              <w:spacing w:line="240" w:lineRule="auto"/>
              <w:ind w:firstLine="0" w:firstLineChars="0"/>
              <w:jc w:val="center"/>
              <w:rPr>
                <w:sz w:val="21"/>
                <w:szCs w:val="21"/>
              </w:rPr>
            </w:pPr>
            <w:r>
              <w:rPr>
                <w:rFonts w:hint="eastAsia"/>
                <w:sz w:val="21"/>
                <w:szCs w:val="21"/>
              </w:rPr>
              <w:t>18</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05A5D68F">
            <w:pPr>
              <w:widowControl/>
              <w:spacing w:line="240" w:lineRule="auto"/>
              <w:ind w:firstLine="0" w:firstLineChars="0"/>
              <w:jc w:val="center"/>
              <w:rPr>
                <w:sz w:val="21"/>
                <w:szCs w:val="21"/>
              </w:rPr>
            </w:pPr>
            <w:r>
              <w:rPr>
                <w:rFonts w:hint="eastAsia"/>
                <w:sz w:val="21"/>
                <w:szCs w:val="21"/>
              </w:rPr>
              <w:t>5.03</w:t>
            </w:r>
          </w:p>
        </w:tc>
      </w:tr>
      <w:tr w14:paraId="6D99B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707" w:type="pct"/>
            <w:gridSpan w:val="2"/>
            <w:tcBorders>
              <w:top w:val="single" w:color="auto" w:sz="4" w:space="0"/>
              <w:left w:val="single" w:color="auto" w:sz="4" w:space="0"/>
              <w:bottom w:val="single" w:color="auto" w:sz="4" w:space="0"/>
              <w:right w:val="single" w:color="auto" w:sz="4" w:space="0"/>
              <w:tl2br w:val="nil"/>
              <w:tr2bl w:val="nil"/>
            </w:tcBorders>
            <w:vAlign w:val="center"/>
          </w:tcPr>
          <w:p w14:paraId="10656138">
            <w:pPr>
              <w:snapToGrid w:val="0"/>
              <w:spacing w:line="240" w:lineRule="auto"/>
              <w:ind w:firstLine="0" w:firstLineChars="0"/>
              <w:jc w:val="center"/>
              <w:rPr>
                <w:sz w:val="21"/>
                <w:szCs w:val="21"/>
              </w:rPr>
            </w:pPr>
            <w:r>
              <w:rPr>
                <w:rFonts w:hint="eastAsia"/>
                <w:sz w:val="21"/>
                <w:szCs w:val="21"/>
              </w:rPr>
              <w:t>排放标准</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C4F66CE">
            <w:pPr>
              <w:snapToGrid w:val="0"/>
              <w:spacing w:line="240" w:lineRule="auto"/>
              <w:ind w:firstLine="0" w:firstLineChars="0"/>
              <w:jc w:val="center"/>
              <w:rPr>
                <w:sz w:val="21"/>
                <w:szCs w:val="21"/>
              </w:rPr>
            </w:pPr>
            <w:r>
              <w:rPr>
                <w:sz w:val="21"/>
                <w:szCs w:val="21"/>
              </w:rPr>
              <w:t>500</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2D27AEED">
            <w:pPr>
              <w:snapToGrid w:val="0"/>
              <w:spacing w:line="240" w:lineRule="auto"/>
              <w:ind w:firstLine="0" w:firstLineChars="0"/>
              <w:jc w:val="center"/>
              <w:rPr>
                <w:sz w:val="21"/>
                <w:szCs w:val="21"/>
              </w:rPr>
            </w:pPr>
            <w:r>
              <w:rPr>
                <w:sz w:val="21"/>
                <w:szCs w:val="21"/>
              </w:rPr>
              <w:t>50</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666E7584">
            <w:pPr>
              <w:snapToGrid w:val="0"/>
              <w:spacing w:line="240" w:lineRule="auto"/>
              <w:ind w:firstLine="0" w:firstLineChars="0"/>
              <w:jc w:val="center"/>
              <w:rPr>
                <w:sz w:val="21"/>
                <w:szCs w:val="21"/>
              </w:rPr>
            </w:pPr>
            <w:r>
              <w:rPr>
                <w:sz w:val="21"/>
                <w:szCs w:val="21"/>
              </w:rPr>
              <w:t>45</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369F245E">
            <w:pPr>
              <w:snapToGrid w:val="0"/>
              <w:spacing w:line="240" w:lineRule="auto"/>
              <w:ind w:firstLine="0" w:firstLineChars="0"/>
              <w:jc w:val="center"/>
              <w:rPr>
                <w:sz w:val="21"/>
                <w:szCs w:val="21"/>
              </w:rPr>
            </w:pPr>
            <w:r>
              <w:rPr>
                <w:sz w:val="21"/>
                <w:szCs w:val="21"/>
              </w:rPr>
              <w:t>4</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242F4B5">
            <w:pPr>
              <w:snapToGrid w:val="0"/>
              <w:spacing w:line="240" w:lineRule="auto"/>
              <w:ind w:firstLine="0" w:firstLineChars="0"/>
              <w:jc w:val="center"/>
              <w:rPr>
                <w:sz w:val="21"/>
                <w:szCs w:val="21"/>
              </w:rPr>
            </w:pPr>
            <w:r>
              <w:rPr>
                <w:sz w:val="21"/>
                <w:szCs w:val="21"/>
              </w:rPr>
              <w:t>8</w:t>
            </w:r>
          </w:p>
        </w:tc>
        <w:tc>
          <w:tcPr>
            <w:tcW w:w="437" w:type="pct"/>
            <w:tcBorders>
              <w:top w:val="single" w:color="auto" w:sz="4" w:space="0"/>
              <w:left w:val="single" w:color="auto" w:sz="4" w:space="0"/>
              <w:bottom w:val="single" w:color="auto" w:sz="4" w:space="0"/>
              <w:right w:val="single" w:color="auto" w:sz="4" w:space="0"/>
              <w:tl2br w:val="nil"/>
              <w:tr2bl w:val="nil"/>
            </w:tcBorders>
            <w:noWrap/>
            <w:vAlign w:val="center"/>
          </w:tcPr>
          <w:p w14:paraId="2DB26CF7">
            <w:pPr>
              <w:snapToGrid w:val="0"/>
              <w:spacing w:line="240" w:lineRule="auto"/>
              <w:ind w:firstLine="0" w:firstLineChars="0"/>
              <w:jc w:val="center"/>
              <w:rPr>
                <w:sz w:val="21"/>
                <w:szCs w:val="21"/>
              </w:rPr>
            </w:pPr>
            <w:r>
              <w:rPr>
                <w:sz w:val="21"/>
                <w:szCs w:val="21"/>
              </w:rPr>
              <w:t>0.5</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310B15D3">
            <w:pPr>
              <w:snapToGrid w:val="0"/>
              <w:spacing w:line="240" w:lineRule="auto"/>
              <w:ind w:firstLine="0" w:firstLineChars="0"/>
              <w:jc w:val="center"/>
              <w:rPr>
                <w:sz w:val="21"/>
                <w:szCs w:val="21"/>
              </w:rPr>
            </w:pPr>
            <w:r>
              <w:rPr>
                <w:sz w:val="21"/>
                <w:szCs w:val="21"/>
              </w:rPr>
              <w:t>70</w:t>
            </w:r>
          </w:p>
        </w:tc>
        <w:tc>
          <w:tcPr>
            <w:tcW w:w="403" w:type="pct"/>
            <w:tcBorders>
              <w:top w:val="single" w:color="auto" w:sz="4" w:space="0"/>
              <w:left w:val="single" w:color="auto" w:sz="4" w:space="0"/>
              <w:bottom w:val="single" w:color="auto" w:sz="4" w:space="0"/>
              <w:right w:val="single" w:color="auto" w:sz="4" w:space="0"/>
              <w:tl2br w:val="nil"/>
              <w:tr2bl w:val="nil"/>
            </w:tcBorders>
            <w:noWrap/>
            <w:vAlign w:val="center"/>
          </w:tcPr>
          <w:p w14:paraId="11510E2E">
            <w:pPr>
              <w:widowControl/>
              <w:spacing w:line="240" w:lineRule="auto"/>
              <w:ind w:firstLine="0" w:firstLineChars="0"/>
              <w:jc w:val="center"/>
              <w:rPr>
                <w:sz w:val="21"/>
                <w:szCs w:val="21"/>
              </w:rPr>
            </w:pPr>
            <w:r>
              <w:rPr>
                <w:sz w:val="21"/>
                <w:szCs w:val="21"/>
              </w:rPr>
              <w:t>12</w:t>
            </w:r>
          </w:p>
        </w:tc>
      </w:tr>
    </w:tbl>
    <w:p w14:paraId="3DCD2150">
      <w:pPr>
        <w:ind w:firstLine="480"/>
        <w:rPr>
          <w:rFonts w:cs="Times New Roman"/>
        </w:rPr>
      </w:pPr>
      <w:r>
        <w:rPr>
          <w:rFonts w:hint="eastAsia" w:cs="Times New Roman"/>
        </w:rPr>
        <w:t>（2）分散式污水处理设施</w:t>
      </w:r>
    </w:p>
    <w:p w14:paraId="0183DC99">
      <w:pPr>
        <w:ind w:firstLine="480"/>
      </w:pPr>
      <w:r>
        <w:rPr>
          <w:rFonts w:hint="eastAsia"/>
        </w:rPr>
        <w:t>截至2024年底，区域内自然村农村生活污水均已得到治理或管控，区域农村生活污水治理情况及治理措施如下表所示。</w:t>
      </w:r>
    </w:p>
    <w:p w14:paraId="3AB28797">
      <w:pPr>
        <w:pStyle w:val="45"/>
        <w:rPr>
          <w:rFonts w:cs="Times New Roman"/>
        </w:rPr>
      </w:pPr>
      <w:r>
        <w:rPr>
          <w:rFonts w:hint="eastAsia" w:cs="Times New Roman"/>
        </w:rPr>
        <w:t>表3.4-6  区域内农村生活污水治理情况统计表</w:t>
      </w:r>
    </w:p>
    <w:tbl>
      <w:tblPr>
        <w:tblStyle w:val="25"/>
        <w:tblW w:w="4998" w:type="pct"/>
        <w:jc w:val="center"/>
        <w:tblLayout w:type="fixed"/>
        <w:tblCellMar>
          <w:top w:w="0" w:type="dxa"/>
          <w:left w:w="108" w:type="dxa"/>
          <w:bottom w:w="0" w:type="dxa"/>
          <w:right w:w="108" w:type="dxa"/>
        </w:tblCellMar>
      </w:tblPr>
      <w:tblGrid>
        <w:gridCol w:w="635"/>
        <w:gridCol w:w="1337"/>
        <w:gridCol w:w="1322"/>
        <w:gridCol w:w="1305"/>
        <w:gridCol w:w="1366"/>
        <w:gridCol w:w="1071"/>
        <w:gridCol w:w="1482"/>
      </w:tblGrid>
      <w:tr w14:paraId="7E51B296">
        <w:tblPrEx>
          <w:tblCellMar>
            <w:top w:w="0" w:type="dxa"/>
            <w:left w:w="108" w:type="dxa"/>
            <w:bottom w:w="0" w:type="dxa"/>
            <w:right w:w="108" w:type="dxa"/>
          </w:tblCellMar>
        </w:tblPrEx>
        <w:trPr>
          <w:trHeight w:val="285" w:hRule="atLeast"/>
          <w:tblHeader/>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6E08738F">
            <w:pPr>
              <w:spacing w:line="240" w:lineRule="auto"/>
              <w:ind w:firstLine="0" w:firstLineChars="0"/>
              <w:jc w:val="center"/>
              <w:rPr>
                <w:rFonts w:cs="Times New Roman"/>
                <w:b/>
                <w:bCs/>
                <w:sz w:val="21"/>
                <w:szCs w:val="21"/>
              </w:rPr>
            </w:pPr>
            <w:r>
              <w:rPr>
                <w:rFonts w:cs="Times New Roman"/>
                <w:b/>
                <w:bCs/>
                <w:sz w:val="21"/>
                <w:szCs w:val="21"/>
              </w:rPr>
              <w:t>序号</w:t>
            </w:r>
          </w:p>
        </w:tc>
        <w:tc>
          <w:tcPr>
            <w:tcW w:w="784" w:type="pct"/>
            <w:tcBorders>
              <w:top w:val="single" w:color="000000" w:sz="4" w:space="0"/>
              <w:left w:val="single" w:color="000000" w:sz="4" w:space="0"/>
              <w:bottom w:val="single" w:color="000000" w:sz="4" w:space="0"/>
              <w:right w:val="single" w:color="000000" w:sz="4" w:space="0"/>
            </w:tcBorders>
            <w:vAlign w:val="center"/>
          </w:tcPr>
          <w:p w14:paraId="55463A19">
            <w:pPr>
              <w:spacing w:line="240" w:lineRule="auto"/>
              <w:ind w:firstLine="0" w:firstLineChars="0"/>
              <w:jc w:val="center"/>
              <w:rPr>
                <w:rFonts w:cs="Times New Roman"/>
                <w:b/>
                <w:bCs/>
                <w:sz w:val="21"/>
                <w:szCs w:val="21"/>
              </w:rPr>
            </w:pPr>
            <w:r>
              <w:rPr>
                <w:rFonts w:cs="Times New Roman"/>
                <w:b/>
                <w:bCs/>
                <w:sz w:val="21"/>
                <w:szCs w:val="21"/>
              </w:rPr>
              <w:t>行政村名称</w:t>
            </w:r>
          </w:p>
        </w:tc>
        <w:tc>
          <w:tcPr>
            <w:tcW w:w="775" w:type="pct"/>
            <w:tcBorders>
              <w:top w:val="single" w:color="000000" w:sz="4" w:space="0"/>
              <w:left w:val="single" w:color="000000" w:sz="4" w:space="0"/>
              <w:bottom w:val="single" w:color="000000" w:sz="4" w:space="0"/>
              <w:right w:val="single" w:color="000000" w:sz="4" w:space="0"/>
            </w:tcBorders>
            <w:vAlign w:val="center"/>
          </w:tcPr>
          <w:p w14:paraId="022FA262">
            <w:pPr>
              <w:spacing w:line="240" w:lineRule="auto"/>
              <w:ind w:firstLine="0" w:firstLineChars="0"/>
              <w:jc w:val="center"/>
              <w:rPr>
                <w:rFonts w:cs="Times New Roman"/>
                <w:b/>
                <w:bCs/>
                <w:sz w:val="21"/>
                <w:szCs w:val="21"/>
              </w:rPr>
            </w:pPr>
            <w:r>
              <w:rPr>
                <w:rFonts w:cs="Times New Roman"/>
                <w:b/>
                <w:bCs/>
                <w:sz w:val="21"/>
                <w:szCs w:val="21"/>
              </w:rPr>
              <w:t>自然村名称</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78754025">
            <w:pPr>
              <w:spacing w:line="240" w:lineRule="auto"/>
              <w:ind w:firstLine="0" w:firstLineChars="0"/>
              <w:jc w:val="center"/>
              <w:rPr>
                <w:rFonts w:cs="Times New Roman"/>
                <w:b/>
                <w:bCs/>
                <w:sz w:val="21"/>
                <w:szCs w:val="21"/>
              </w:rPr>
            </w:pPr>
            <w:r>
              <w:rPr>
                <w:rFonts w:cs="Times New Roman"/>
                <w:b/>
                <w:bCs/>
                <w:sz w:val="21"/>
                <w:szCs w:val="21"/>
              </w:rPr>
              <w:t>是否已治理或管控</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52AD4A3">
            <w:pPr>
              <w:spacing w:line="240" w:lineRule="auto"/>
              <w:ind w:firstLine="0" w:firstLineChars="0"/>
              <w:jc w:val="center"/>
              <w:rPr>
                <w:rFonts w:cs="Times New Roman"/>
                <w:b/>
                <w:bCs/>
                <w:sz w:val="21"/>
                <w:szCs w:val="21"/>
              </w:rPr>
            </w:pPr>
            <w:r>
              <w:rPr>
                <w:rFonts w:cs="Times New Roman"/>
                <w:b/>
                <w:bCs/>
                <w:sz w:val="21"/>
                <w:szCs w:val="21"/>
              </w:rPr>
              <w:t>治理模式</w:t>
            </w:r>
          </w:p>
        </w:tc>
        <w:tc>
          <w:tcPr>
            <w:tcW w:w="628" w:type="pct"/>
            <w:tcBorders>
              <w:top w:val="single" w:color="000000" w:sz="4" w:space="0"/>
              <w:left w:val="single" w:color="000000" w:sz="4" w:space="0"/>
              <w:bottom w:val="single" w:color="000000" w:sz="4" w:space="0"/>
              <w:right w:val="single" w:color="000000" w:sz="4" w:space="0"/>
            </w:tcBorders>
            <w:vAlign w:val="center"/>
          </w:tcPr>
          <w:p w14:paraId="172C521A">
            <w:pPr>
              <w:spacing w:line="240" w:lineRule="auto"/>
              <w:ind w:firstLine="0" w:firstLineChars="0"/>
              <w:jc w:val="center"/>
              <w:rPr>
                <w:rFonts w:cs="Times New Roman"/>
                <w:b/>
                <w:bCs/>
                <w:sz w:val="21"/>
                <w:szCs w:val="21"/>
              </w:rPr>
            </w:pPr>
            <w:r>
              <w:rPr>
                <w:rFonts w:cs="Times New Roman"/>
                <w:b/>
                <w:bCs/>
                <w:sz w:val="21"/>
                <w:szCs w:val="21"/>
              </w:rPr>
              <w:t>农户数</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A565D9B">
            <w:pPr>
              <w:spacing w:line="240" w:lineRule="auto"/>
              <w:ind w:firstLine="0" w:firstLineChars="0"/>
              <w:jc w:val="center"/>
              <w:rPr>
                <w:rFonts w:cs="Times New Roman"/>
                <w:b/>
                <w:bCs/>
                <w:sz w:val="21"/>
                <w:szCs w:val="21"/>
              </w:rPr>
            </w:pPr>
            <w:r>
              <w:rPr>
                <w:rFonts w:cs="Times New Roman"/>
                <w:b/>
                <w:bCs/>
                <w:sz w:val="21"/>
                <w:szCs w:val="21"/>
              </w:rPr>
              <w:t>已治理农户数</w:t>
            </w:r>
          </w:p>
        </w:tc>
      </w:tr>
      <w:tr w14:paraId="59ACDCAB">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F3D15F0">
            <w:pPr>
              <w:spacing w:line="240" w:lineRule="auto"/>
              <w:ind w:firstLine="0" w:firstLineChars="0"/>
              <w:jc w:val="center"/>
              <w:rPr>
                <w:rFonts w:cs="Times New Roman"/>
                <w:sz w:val="21"/>
                <w:szCs w:val="21"/>
              </w:rPr>
            </w:pPr>
            <w:r>
              <w:rPr>
                <w:rFonts w:cs="Times New Roman"/>
                <w:sz w:val="21"/>
                <w:szCs w:val="21"/>
              </w:rPr>
              <w:t>1</w:t>
            </w:r>
          </w:p>
        </w:tc>
        <w:tc>
          <w:tcPr>
            <w:tcW w:w="784" w:type="pct"/>
            <w:tcBorders>
              <w:top w:val="single" w:color="000000" w:sz="4" w:space="0"/>
              <w:left w:val="single" w:color="000000" w:sz="4" w:space="0"/>
              <w:bottom w:val="single" w:color="000000" w:sz="4" w:space="0"/>
              <w:right w:val="single" w:color="000000" w:sz="4" w:space="0"/>
            </w:tcBorders>
            <w:vAlign w:val="center"/>
          </w:tcPr>
          <w:p w14:paraId="057F4BF8">
            <w:pPr>
              <w:spacing w:line="240" w:lineRule="auto"/>
              <w:ind w:firstLine="0" w:firstLineChars="0"/>
              <w:jc w:val="center"/>
              <w:rPr>
                <w:rFonts w:cs="Times New Roman"/>
                <w:sz w:val="21"/>
                <w:szCs w:val="21"/>
              </w:rPr>
            </w:pPr>
            <w:r>
              <w:rPr>
                <w:rFonts w:cs="Times New Roman"/>
                <w:sz w:val="21"/>
                <w:szCs w:val="21"/>
              </w:rPr>
              <w:t>东进村</w:t>
            </w:r>
          </w:p>
        </w:tc>
        <w:tc>
          <w:tcPr>
            <w:tcW w:w="775" w:type="pct"/>
            <w:tcBorders>
              <w:top w:val="single" w:color="000000" w:sz="4" w:space="0"/>
              <w:left w:val="single" w:color="000000" w:sz="4" w:space="0"/>
              <w:bottom w:val="single" w:color="000000" w:sz="4" w:space="0"/>
              <w:right w:val="single" w:color="000000" w:sz="4" w:space="0"/>
            </w:tcBorders>
            <w:vAlign w:val="center"/>
          </w:tcPr>
          <w:p w14:paraId="7F9209E9">
            <w:pPr>
              <w:spacing w:line="240" w:lineRule="auto"/>
              <w:ind w:firstLine="0" w:firstLineChars="0"/>
              <w:jc w:val="center"/>
              <w:rPr>
                <w:rFonts w:cs="Times New Roman"/>
                <w:sz w:val="21"/>
                <w:szCs w:val="21"/>
              </w:rPr>
            </w:pPr>
            <w:r>
              <w:rPr>
                <w:rFonts w:cs="Times New Roman"/>
                <w:sz w:val="21"/>
                <w:szCs w:val="21"/>
              </w:rPr>
              <w:t>金牛洞</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20931EEA">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715C6CE">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2978B7D6">
            <w:pPr>
              <w:spacing w:line="240" w:lineRule="auto"/>
              <w:ind w:firstLine="0" w:firstLineChars="0"/>
              <w:jc w:val="center"/>
              <w:rPr>
                <w:rFonts w:cs="Times New Roman"/>
                <w:sz w:val="21"/>
                <w:szCs w:val="21"/>
              </w:rPr>
            </w:pPr>
            <w:r>
              <w:rPr>
                <w:rFonts w:cs="Times New Roman"/>
                <w:sz w:val="21"/>
                <w:szCs w:val="21"/>
              </w:rPr>
              <w:t>67</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7314EE8">
            <w:pPr>
              <w:spacing w:line="240" w:lineRule="auto"/>
              <w:ind w:firstLine="0" w:firstLineChars="0"/>
              <w:jc w:val="center"/>
              <w:rPr>
                <w:rFonts w:cs="Times New Roman"/>
                <w:sz w:val="21"/>
                <w:szCs w:val="21"/>
              </w:rPr>
            </w:pPr>
            <w:r>
              <w:rPr>
                <w:rFonts w:cs="Times New Roman"/>
                <w:sz w:val="21"/>
                <w:szCs w:val="21"/>
              </w:rPr>
              <w:t>54</w:t>
            </w:r>
          </w:p>
        </w:tc>
      </w:tr>
      <w:tr w14:paraId="17FC7D47">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579A6369">
            <w:pPr>
              <w:spacing w:line="240" w:lineRule="auto"/>
              <w:ind w:firstLine="0" w:firstLineChars="0"/>
              <w:jc w:val="center"/>
              <w:rPr>
                <w:rFonts w:cs="Times New Roman"/>
                <w:sz w:val="21"/>
                <w:szCs w:val="21"/>
              </w:rPr>
            </w:pPr>
            <w:r>
              <w:rPr>
                <w:rFonts w:cs="Times New Roman"/>
                <w:sz w:val="21"/>
                <w:szCs w:val="21"/>
              </w:rPr>
              <w:t>2</w:t>
            </w:r>
          </w:p>
        </w:tc>
        <w:tc>
          <w:tcPr>
            <w:tcW w:w="784" w:type="pct"/>
            <w:tcBorders>
              <w:top w:val="single" w:color="000000" w:sz="4" w:space="0"/>
              <w:left w:val="single" w:color="000000" w:sz="4" w:space="0"/>
              <w:bottom w:val="single" w:color="000000" w:sz="4" w:space="0"/>
              <w:right w:val="single" w:color="000000" w:sz="4" w:space="0"/>
            </w:tcBorders>
            <w:vAlign w:val="center"/>
          </w:tcPr>
          <w:p w14:paraId="58E4A46F">
            <w:pPr>
              <w:spacing w:line="240" w:lineRule="auto"/>
              <w:ind w:firstLine="0" w:firstLineChars="0"/>
              <w:jc w:val="center"/>
              <w:rPr>
                <w:rFonts w:cs="Times New Roman"/>
                <w:sz w:val="21"/>
                <w:szCs w:val="21"/>
              </w:rPr>
            </w:pPr>
            <w:r>
              <w:rPr>
                <w:rFonts w:cs="Times New Roman"/>
                <w:sz w:val="21"/>
                <w:szCs w:val="21"/>
              </w:rPr>
              <w:t>东进村</w:t>
            </w:r>
          </w:p>
        </w:tc>
        <w:tc>
          <w:tcPr>
            <w:tcW w:w="775" w:type="pct"/>
            <w:tcBorders>
              <w:top w:val="single" w:color="000000" w:sz="4" w:space="0"/>
              <w:left w:val="single" w:color="000000" w:sz="4" w:space="0"/>
              <w:bottom w:val="single" w:color="000000" w:sz="4" w:space="0"/>
              <w:right w:val="single" w:color="000000" w:sz="4" w:space="0"/>
            </w:tcBorders>
            <w:vAlign w:val="center"/>
          </w:tcPr>
          <w:p w14:paraId="568528BD">
            <w:pPr>
              <w:spacing w:line="240" w:lineRule="auto"/>
              <w:ind w:firstLine="0" w:firstLineChars="0"/>
              <w:jc w:val="center"/>
              <w:rPr>
                <w:rFonts w:cs="Times New Roman"/>
                <w:sz w:val="21"/>
                <w:szCs w:val="21"/>
              </w:rPr>
            </w:pPr>
            <w:r>
              <w:rPr>
                <w:rFonts w:cs="Times New Roman"/>
                <w:sz w:val="21"/>
                <w:szCs w:val="21"/>
              </w:rPr>
              <w:t>石龙</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4D78C283">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CCAEBFD">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7FCC1EED">
            <w:pPr>
              <w:spacing w:line="240" w:lineRule="auto"/>
              <w:ind w:firstLine="0" w:firstLineChars="0"/>
              <w:jc w:val="center"/>
              <w:rPr>
                <w:rFonts w:cs="Times New Roman"/>
                <w:sz w:val="21"/>
                <w:szCs w:val="21"/>
              </w:rPr>
            </w:pPr>
            <w:r>
              <w:rPr>
                <w:rFonts w:cs="Times New Roman"/>
                <w:sz w:val="21"/>
                <w:szCs w:val="21"/>
              </w:rPr>
              <w:t>27</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54CB5804">
            <w:pPr>
              <w:spacing w:line="240" w:lineRule="auto"/>
              <w:ind w:firstLine="0" w:firstLineChars="0"/>
              <w:jc w:val="center"/>
              <w:rPr>
                <w:rFonts w:cs="Times New Roman"/>
                <w:sz w:val="21"/>
                <w:szCs w:val="21"/>
              </w:rPr>
            </w:pPr>
            <w:r>
              <w:rPr>
                <w:rFonts w:cs="Times New Roman"/>
                <w:sz w:val="21"/>
                <w:szCs w:val="21"/>
              </w:rPr>
              <w:t>27</w:t>
            </w:r>
          </w:p>
        </w:tc>
      </w:tr>
      <w:tr w14:paraId="377BF613">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4C5ECEE1">
            <w:pPr>
              <w:spacing w:line="240" w:lineRule="auto"/>
              <w:ind w:firstLine="0" w:firstLineChars="0"/>
              <w:jc w:val="center"/>
              <w:rPr>
                <w:rFonts w:cs="Times New Roman"/>
                <w:sz w:val="21"/>
                <w:szCs w:val="21"/>
              </w:rPr>
            </w:pPr>
            <w:r>
              <w:rPr>
                <w:rFonts w:cs="Times New Roman"/>
                <w:sz w:val="21"/>
                <w:szCs w:val="21"/>
              </w:rPr>
              <w:t>3</w:t>
            </w:r>
          </w:p>
        </w:tc>
        <w:tc>
          <w:tcPr>
            <w:tcW w:w="784" w:type="pct"/>
            <w:tcBorders>
              <w:top w:val="single" w:color="000000" w:sz="4" w:space="0"/>
              <w:left w:val="single" w:color="000000" w:sz="4" w:space="0"/>
              <w:bottom w:val="single" w:color="000000" w:sz="4" w:space="0"/>
              <w:right w:val="single" w:color="000000" w:sz="4" w:space="0"/>
            </w:tcBorders>
            <w:vAlign w:val="center"/>
          </w:tcPr>
          <w:p w14:paraId="6C336F84">
            <w:pPr>
              <w:spacing w:line="240" w:lineRule="auto"/>
              <w:ind w:firstLine="0" w:firstLineChars="0"/>
              <w:jc w:val="center"/>
              <w:rPr>
                <w:rFonts w:cs="Times New Roman"/>
                <w:sz w:val="21"/>
                <w:szCs w:val="21"/>
              </w:rPr>
            </w:pPr>
            <w:r>
              <w:rPr>
                <w:rFonts w:cs="Times New Roman"/>
                <w:sz w:val="21"/>
                <w:szCs w:val="21"/>
              </w:rPr>
              <w:t>东进村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C4A1CBB">
            <w:pPr>
              <w:spacing w:line="240" w:lineRule="auto"/>
              <w:ind w:firstLine="0" w:firstLineChars="0"/>
              <w:jc w:val="center"/>
              <w:rPr>
                <w:rFonts w:cs="Times New Roman"/>
                <w:sz w:val="21"/>
                <w:szCs w:val="21"/>
              </w:rPr>
            </w:pPr>
            <w:r>
              <w:rPr>
                <w:rFonts w:cs="Times New Roman"/>
                <w:sz w:val="21"/>
                <w:szCs w:val="21"/>
              </w:rPr>
              <w:t>桃园</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123CFC7E">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8AF16FC">
            <w:pPr>
              <w:spacing w:line="240" w:lineRule="auto"/>
              <w:ind w:firstLine="0" w:firstLineChars="0"/>
              <w:jc w:val="center"/>
              <w:rPr>
                <w:rFonts w:cs="Times New Roman"/>
                <w:sz w:val="21"/>
                <w:szCs w:val="21"/>
              </w:rPr>
            </w:pPr>
            <w:r>
              <w:rPr>
                <w:rFonts w:cs="Times New Roman"/>
                <w:sz w:val="21"/>
                <w:szCs w:val="21"/>
              </w:rPr>
              <w:t>接管</w:t>
            </w:r>
          </w:p>
        </w:tc>
        <w:tc>
          <w:tcPr>
            <w:tcW w:w="628" w:type="pct"/>
            <w:tcBorders>
              <w:top w:val="single" w:color="000000" w:sz="4" w:space="0"/>
              <w:left w:val="single" w:color="000000" w:sz="4" w:space="0"/>
              <w:bottom w:val="single" w:color="000000" w:sz="4" w:space="0"/>
              <w:right w:val="single" w:color="000000" w:sz="4" w:space="0"/>
            </w:tcBorders>
            <w:vAlign w:val="center"/>
          </w:tcPr>
          <w:p w14:paraId="001197A5">
            <w:pPr>
              <w:spacing w:line="240" w:lineRule="auto"/>
              <w:ind w:firstLine="0" w:firstLineChars="0"/>
              <w:jc w:val="center"/>
              <w:rPr>
                <w:rFonts w:cs="Times New Roman"/>
                <w:sz w:val="21"/>
                <w:szCs w:val="21"/>
              </w:rPr>
            </w:pPr>
            <w:r>
              <w:rPr>
                <w:rFonts w:cs="Times New Roman"/>
                <w:sz w:val="21"/>
                <w:szCs w:val="21"/>
              </w:rPr>
              <w:t>61</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3DF33D1A">
            <w:pPr>
              <w:spacing w:line="240" w:lineRule="auto"/>
              <w:ind w:firstLine="0" w:firstLineChars="0"/>
              <w:jc w:val="center"/>
              <w:rPr>
                <w:rFonts w:cs="Times New Roman"/>
                <w:sz w:val="21"/>
                <w:szCs w:val="21"/>
              </w:rPr>
            </w:pPr>
            <w:r>
              <w:rPr>
                <w:rFonts w:cs="Times New Roman"/>
                <w:sz w:val="21"/>
                <w:szCs w:val="21"/>
              </w:rPr>
              <w:t>55</w:t>
            </w:r>
          </w:p>
        </w:tc>
      </w:tr>
      <w:tr w14:paraId="57408D23">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99C0009">
            <w:pPr>
              <w:spacing w:line="240" w:lineRule="auto"/>
              <w:ind w:firstLine="0" w:firstLineChars="0"/>
              <w:jc w:val="center"/>
              <w:rPr>
                <w:rFonts w:cs="Times New Roman"/>
                <w:sz w:val="21"/>
                <w:szCs w:val="21"/>
              </w:rPr>
            </w:pPr>
            <w:r>
              <w:rPr>
                <w:rFonts w:cs="Times New Roman"/>
                <w:sz w:val="21"/>
                <w:szCs w:val="21"/>
              </w:rPr>
              <w:t>4</w:t>
            </w:r>
          </w:p>
        </w:tc>
        <w:tc>
          <w:tcPr>
            <w:tcW w:w="784" w:type="pct"/>
            <w:tcBorders>
              <w:top w:val="single" w:color="000000" w:sz="4" w:space="0"/>
              <w:left w:val="single" w:color="000000" w:sz="4" w:space="0"/>
              <w:bottom w:val="single" w:color="000000" w:sz="4" w:space="0"/>
              <w:right w:val="single" w:color="000000" w:sz="4" w:space="0"/>
            </w:tcBorders>
            <w:vAlign w:val="center"/>
          </w:tcPr>
          <w:p w14:paraId="60BA1789">
            <w:pPr>
              <w:spacing w:line="240" w:lineRule="auto"/>
              <w:ind w:firstLine="0" w:firstLineChars="0"/>
              <w:jc w:val="center"/>
              <w:rPr>
                <w:rFonts w:cs="Times New Roman"/>
                <w:sz w:val="21"/>
                <w:szCs w:val="21"/>
              </w:rPr>
            </w:pPr>
            <w:r>
              <w:rPr>
                <w:rFonts w:cs="Times New Roman"/>
                <w:sz w:val="21"/>
                <w:szCs w:val="21"/>
              </w:rPr>
              <w:t>方麓村</w:t>
            </w:r>
          </w:p>
        </w:tc>
        <w:tc>
          <w:tcPr>
            <w:tcW w:w="775" w:type="pct"/>
            <w:tcBorders>
              <w:top w:val="single" w:color="000000" w:sz="4" w:space="0"/>
              <w:left w:val="single" w:color="000000" w:sz="4" w:space="0"/>
              <w:bottom w:val="single" w:color="000000" w:sz="4" w:space="0"/>
              <w:right w:val="single" w:color="000000" w:sz="4" w:space="0"/>
            </w:tcBorders>
            <w:vAlign w:val="center"/>
          </w:tcPr>
          <w:p w14:paraId="5E25BA6F">
            <w:pPr>
              <w:spacing w:line="240" w:lineRule="auto"/>
              <w:ind w:firstLine="0" w:firstLineChars="0"/>
              <w:jc w:val="center"/>
              <w:rPr>
                <w:rFonts w:cs="Times New Roman"/>
                <w:sz w:val="21"/>
                <w:szCs w:val="21"/>
              </w:rPr>
            </w:pPr>
            <w:r>
              <w:rPr>
                <w:rFonts w:cs="Times New Roman"/>
                <w:sz w:val="21"/>
                <w:szCs w:val="21"/>
              </w:rPr>
              <w:t>八里庙</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686E2218">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641ED087">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0D32B4C5">
            <w:pPr>
              <w:spacing w:line="240" w:lineRule="auto"/>
              <w:ind w:firstLine="0" w:firstLineChars="0"/>
              <w:jc w:val="center"/>
              <w:rPr>
                <w:rFonts w:cs="Times New Roman"/>
                <w:sz w:val="21"/>
                <w:szCs w:val="21"/>
              </w:rPr>
            </w:pPr>
            <w:r>
              <w:rPr>
                <w:rFonts w:cs="Times New Roman"/>
                <w:sz w:val="21"/>
                <w:szCs w:val="21"/>
              </w:rPr>
              <w:t>43</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6D4DA85B">
            <w:pPr>
              <w:spacing w:line="240" w:lineRule="auto"/>
              <w:ind w:firstLine="0" w:firstLineChars="0"/>
              <w:jc w:val="center"/>
              <w:rPr>
                <w:rFonts w:cs="Times New Roman"/>
                <w:sz w:val="21"/>
                <w:szCs w:val="21"/>
              </w:rPr>
            </w:pPr>
            <w:r>
              <w:rPr>
                <w:rFonts w:cs="Times New Roman"/>
                <w:sz w:val="21"/>
                <w:szCs w:val="21"/>
              </w:rPr>
              <w:t>34</w:t>
            </w:r>
          </w:p>
        </w:tc>
      </w:tr>
      <w:tr w14:paraId="00161FD5">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62736F13">
            <w:pPr>
              <w:spacing w:line="240" w:lineRule="auto"/>
              <w:ind w:firstLine="0" w:firstLineChars="0"/>
              <w:jc w:val="center"/>
              <w:rPr>
                <w:rFonts w:cs="Times New Roman"/>
                <w:sz w:val="21"/>
                <w:szCs w:val="21"/>
              </w:rPr>
            </w:pPr>
            <w:r>
              <w:rPr>
                <w:rFonts w:cs="Times New Roman"/>
                <w:sz w:val="21"/>
                <w:szCs w:val="21"/>
              </w:rPr>
              <w:t>5</w:t>
            </w:r>
          </w:p>
        </w:tc>
        <w:tc>
          <w:tcPr>
            <w:tcW w:w="784" w:type="pct"/>
            <w:tcBorders>
              <w:top w:val="single" w:color="000000" w:sz="4" w:space="0"/>
              <w:left w:val="single" w:color="000000" w:sz="4" w:space="0"/>
              <w:bottom w:val="single" w:color="000000" w:sz="4" w:space="0"/>
              <w:right w:val="single" w:color="000000" w:sz="4" w:space="0"/>
            </w:tcBorders>
            <w:vAlign w:val="center"/>
          </w:tcPr>
          <w:p w14:paraId="0179134F">
            <w:pPr>
              <w:spacing w:line="240" w:lineRule="auto"/>
              <w:ind w:firstLine="0" w:firstLineChars="0"/>
              <w:jc w:val="center"/>
              <w:rPr>
                <w:rFonts w:cs="Times New Roman"/>
                <w:sz w:val="21"/>
                <w:szCs w:val="21"/>
              </w:rPr>
            </w:pPr>
            <w:r>
              <w:rPr>
                <w:rFonts w:cs="Times New Roman"/>
                <w:sz w:val="21"/>
                <w:szCs w:val="21"/>
              </w:rPr>
              <w:t>方麓村</w:t>
            </w:r>
          </w:p>
        </w:tc>
        <w:tc>
          <w:tcPr>
            <w:tcW w:w="775" w:type="pct"/>
            <w:tcBorders>
              <w:top w:val="single" w:color="000000" w:sz="4" w:space="0"/>
              <w:left w:val="single" w:color="000000" w:sz="4" w:space="0"/>
              <w:bottom w:val="single" w:color="000000" w:sz="4" w:space="0"/>
              <w:right w:val="single" w:color="000000" w:sz="4" w:space="0"/>
            </w:tcBorders>
            <w:vAlign w:val="center"/>
          </w:tcPr>
          <w:p w14:paraId="1CE6644A">
            <w:pPr>
              <w:spacing w:line="240" w:lineRule="auto"/>
              <w:ind w:firstLine="0" w:firstLineChars="0"/>
              <w:jc w:val="center"/>
              <w:rPr>
                <w:rFonts w:cs="Times New Roman"/>
                <w:sz w:val="21"/>
                <w:szCs w:val="21"/>
              </w:rPr>
            </w:pPr>
            <w:r>
              <w:rPr>
                <w:rFonts w:cs="Times New Roman"/>
                <w:sz w:val="21"/>
                <w:szCs w:val="21"/>
              </w:rPr>
              <w:t>百十里</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4DA23344">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62958883">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1DA2F2CB">
            <w:pPr>
              <w:spacing w:line="240" w:lineRule="auto"/>
              <w:ind w:firstLine="0" w:firstLineChars="0"/>
              <w:jc w:val="center"/>
              <w:rPr>
                <w:rFonts w:cs="Times New Roman"/>
                <w:sz w:val="21"/>
                <w:szCs w:val="21"/>
              </w:rPr>
            </w:pPr>
            <w:r>
              <w:rPr>
                <w:rFonts w:cs="Times New Roman"/>
                <w:sz w:val="21"/>
                <w:szCs w:val="21"/>
              </w:rPr>
              <w:t>56</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0F490A20">
            <w:pPr>
              <w:spacing w:line="240" w:lineRule="auto"/>
              <w:ind w:firstLine="0" w:firstLineChars="0"/>
              <w:jc w:val="center"/>
              <w:rPr>
                <w:rFonts w:cs="Times New Roman"/>
                <w:sz w:val="21"/>
                <w:szCs w:val="21"/>
              </w:rPr>
            </w:pPr>
            <w:r>
              <w:rPr>
                <w:rFonts w:cs="Times New Roman"/>
                <w:sz w:val="21"/>
                <w:szCs w:val="21"/>
              </w:rPr>
              <w:t>45</w:t>
            </w:r>
          </w:p>
        </w:tc>
      </w:tr>
      <w:tr w14:paraId="3B425A00">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6BCFD650">
            <w:pPr>
              <w:spacing w:line="240" w:lineRule="auto"/>
              <w:ind w:firstLine="0" w:firstLineChars="0"/>
              <w:jc w:val="center"/>
              <w:rPr>
                <w:rFonts w:cs="Times New Roman"/>
                <w:sz w:val="21"/>
                <w:szCs w:val="21"/>
              </w:rPr>
            </w:pPr>
            <w:r>
              <w:rPr>
                <w:rFonts w:cs="Times New Roman"/>
                <w:sz w:val="21"/>
                <w:szCs w:val="21"/>
              </w:rPr>
              <w:t>6</w:t>
            </w:r>
          </w:p>
        </w:tc>
        <w:tc>
          <w:tcPr>
            <w:tcW w:w="784" w:type="pct"/>
            <w:tcBorders>
              <w:top w:val="single" w:color="000000" w:sz="4" w:space="0"/>
              <w:left w:val="single" w:color="000000" w:sz="4" w:space="0"/>
              <w:bottom w:val="single" w:color="000000" w:sz="4" w:space="0"/>
              <w:right w:val="single" w:color="000000" w:sz="4" w:space="0"/>
            </w:tcBorders>
            <w:vAlign w:val="center"/>
          </w:tcPr>
          <w:p w14:paraId="1F5DB426">
            <w:pPr>
              <w:spacing w:line="240" w:lineRule="auto"/>
              <w:ind w:firstLine="0" w:firstLineChars="0"/>
              <w:jc w:val="center"/>
              <w:rPr>
                <w:rFonts w:cs="Times New Roman"/>
                <w:sz w:val="21"/>
                <w:szCs w:val="21"/>
              </w:rPr>
            </w:pPr>
            <w:r>
              <w:rPr>
                <w:rFonts w:cs="Times New Roman"/>
                <w:sz w:val="21"/>
                <w:szCs w:val="21"/>
              </w:rPr>
              <w:t>方麓村</w:t>
            </w:r>
          </w:p>
        </w:tc>
        <w:tc>
          <w:tcPr>
            <w:tcW w:w="775" w:type="pct"/>
            <w:tcBorders>
              <w:top w:val="single" w:color="000000" w:sz="4" w:space="0"/>
              <w:left w:val="single" w:color="000000" w:sz="4" w:space="0"/>
              <w:bottom w:val="single" w:color="000000" w:sz="4" w:space="0"/>
              <w:right w:val="single" w:color="000000" w:sz="4" w:space="0"/>
            </w:tcBorders>
            <w:vAlign w:val="center"/>
          </w:tcPr>
          <w:p w14:paraId="68D4EB72">
            <w:pPr>
              <w:spacing w:line="240" w:lineRule="auto"/>
              <w:ind w:firstLine="0" w:firstLineChars="0"/>
              <w:jc w:val="center"/>
              <w:rPr>
                <w:rFonts w:cs="Times New Roman"/>
                <w:sz w:val="21"/>
                <w:szCs w:val="21"/>
              </w:rPr>
            </w:pPr>
            <w:r>
              <w:rPr>
                <w:rFonts w:cs="Times New Roman"/>
                <w:sz w:val="21"/>
                <w:szCs w:val="21"/>
              </w:rPr>
              <w:t>段家湾</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4B5965DB">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FA55C8C">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45DC4678">
            <w:pPr>
              <w:spacing w:line="240" w:lineRule="auto"/>
              <w:ind w:firstLine="0" w:firstLineChars="0"/>
              <w:jc w:val="center"/>
              <w:rPr>
                <w:rFonts w:cs="Times New Roman"/>
                <w:sz w:val="21"/>
                <w:szCs w:val="21"/>
              </w:rPr>
            </w:pPr>
            <w:r>
              <w:rPr>
                <w:rFonts w:cs="Times New Roman"/>
                <w:sz w:val="21"/>
                <w:szCs w:val="21"/>
              </w:rPr>
              <w:t>42</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2E883ABE">
            <w:pPr>
              <w:spacing w:line="240" w:lineRule="auto"/>
              <w:ind w:firstLine="0" w:firstLineChars="0"/>
              <w:jc w:val="center"/>
              <w:rPr>
                <w:rFonts w:cs="Times New Roman"/>
                <w:sz w:val="21"/>
                <w:szCs w:val="21"/>
              </w:rPr>
            </w:pPr>
            <w:r>
              <w:rPr>
                <w:rFonts w:cs="Times New Roman"/>
                <w:sz w:val="21"/>
                <w:szCs w:val="21"/>
              </w:rPr>
              <w:t>42</w:t>
            </w:r>
          </w:p>
        </w:tc>
      </w:tr>
      <w:tr w14:paraId="490AAA4D">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B8376B5">
            <w:pPr>
              <w:spacing w:line="240" w:lineRule="auto"/>
              <w:ind w:firstLine="0" w:firstLineChars="0"/>
              <w:jc w:val="center"/>
              <w:rPr>
                <w:rFonts w:cs="Times New Roman"/>
                <w:sz w:val="21"/>
                <w:szCs w:val="21"/>
              </w:rPr>
            </w:pPr>
            <w:r>
              <w:rPr>
                <w:rFonts w:cs="Times New Roman"/>
                <w:sz w:val="21"/>
                <w:szCs w:val="21"/>
              </w:rPr>
              <w:t>7</w:t>
            </w:r>
          </w:p>
        </w:tc>
        <w:tc>
          <w:tcPr>
            <w:tcW w:w="784" w:type="pct"/>
            <w:tcBorders>
              <w:top w:val="single" w:color="000000" w:sz="4" w:space="0"/>
              <w:left w:val="single" w:color="000000" w:sz="4" w:space="0"/>
              <w:bottom w:val="single" w:color="000000" w:sz="4" w:space="0"/>
              <w:right w:val="single" w:color="000000" w:sz="4" w:space="0"/>
            </w:tcBorders>
            <w:vAlign w:val="center"/>
          </w:tcPr>
          <w:p w14:paraId="7D6DED3E">
            <w:pPr>
              <w:spacing w:line="240" w:lineRule="auto"/>
              <w:ind w:firstLine="0" w:firstLineChars="0"/>
              <w:jc w:val="center"/>
              <w:rPr>
                <w:rFonts w:cs="Times New Roman"/>
                <w:sz w:val="21"/>
                <w:szCs w:val="21"/>
              </w:rPr>
            </w:pPr>
            <w:r>
              <w:rPr>
                <w:rFonts w:cs="Times New Roman"/>
                <w:sz w:val="21"/>
                <w:szCs w:val="21"/>
              </w:rPr>
              <w:t>方麓村</w:t>
            </w:r>
          </w:p>
        </w:tc>
        <w:tc>
          <w:tcPr>
            <w:tcW w:w="775" w:type="pct"/>
            <w:tcBorders>
              <w:top w:val="single" w:color="000000" w:sz="4" w:space="0"/>
              <w:left w:val="single" w:color="000000" w:sz="4" w:space="0"/>
              <w:bottom w:val="single" w:color="000000" w:sz="4" w:space="0"/>
              <w:right w:val="single" w:color="000000" w:sz="4" w:space="0"/>
            </w:tcBorders>
            <w:vAlign w:val="center"/>
          </w:tcPr>
          <w:p w14:paraId="7D336E83">
            <w:pPr>
              <w:spacing w:line="240" w:lineRule="auto"/>
              <w:ind w:firstLine="0" w:firstLineChars="0"/>
              <w:jc w:val="center"/>
              <w:rPr>
                <w:rFonts w:cs="Times New Roman"/>
                <w:sz w:val="21"/>
                <w:szCs w:val="21"/>
              </w:rPr>
            </w:pPr>
            <w:r>
              <w:rPr>
                <w:rFonts w:cs="Times New Roman"/>
                <w:sz w:val="21"/>
                <w:szCs w:val="21"/>
              </w:rPr>
              <w:t>老鸭墩</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392395B2">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5329C1E">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219BE532">
            <w:pPr>
              <w:spacing w:line="240" w:lineRule="auto"/>
              <w:ind w:firstLine="0" w:firstLineChars="0"/>
              <w:jc w:val="center"/>
              <w:rPr>
                <w:rFonts w:cs="Times New Roman"/>
                <w:sz w:val="21"/>
                <w:szCs w:val="21"/>
              </w:rPr>
            </w:pPr>
            <w:r>
              <w:rPr>
                <w:rFonts w:cs="Times New Roman"/>
                <w:sz w:val="21"/>
                <w:szCs w:val="21"/>
              </w:rPr>
              <w:t>29</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74B46EC6">
            <w:pPr>
              <w:spacing w:line="240" w:lineRule="auto"/>
              <w:ind w:firstLine="0" w:firstLineChars="0"/>
              <w:jc w:val="center"/>
              <w:rPr>
                <w:rFonts w:cs="Times New Roman"/>
                <w:sz w:val="21"/>
                <w:szCs w:val="21"/>
              </w:rPr>
            </w:pPr>
            <w:r>
              <w:rPr>
                <w:rFonts w:cs="Times New Roman"/>
                <w:sz w:val="21"/>
                <w:szCs w:val="21"/>
              </w:rPr>
              <w:t>23</w:t>
            </w:r>
          </w:p>
        </w:tc>
      </w:tr>
      <w:tr w14:paraId="31ED0383">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93415ED">
            <w:pPr>
              <w:spacing w:line="240" w:lineRule="auto"/>
              <w:ind w:firstLine="0" w:firstLineChars="0"/>
              <w:jc w:val="center"/>
              <w:rPr>
                <w:rFonts w:cs="Times New Roman"/>
                <w:sz w:val="21"/>
                <w:szCs w:val="21"/>
              </w:rPr>
            </w:pPr>
            <w:r>
              <w:rPr>
                <w:rFonts w:cs="Times New Roman"/>
                <w:sz w:val="21"/>
                <w:szCs w:val="21"/>
              </w:rPr>
              <w:t>8</w:t>
            </w:r>
          </w:p>
        </w:tc>
        <w:tc>
          <w:tcPr>
            <w:tcW w:w="784" w:type="pct"/>
            <w:tcBorders>
              <w:top w:val="single" w:color="000000" w:sz="4" w:space="0"/>
              <w:left w:val="single" w:color="000000" w:sz="4" w:space="0"/>
              <w:bottom w:val="single" w:color="000000" w:sz="4" w:space="0"/>
              <w:right w:val="single" w:color="000000" w:sz="4" w:space="0"/>
            </w:tcBorders>
            <w:vAlign w:val="center"/>
          </w:tcPr>
          <w:p w14:paraId="1E3A09A7">
            <w:pPr>
              <w:spacing w:line="240" w:lineRule="auto"/>
              <w:ind w:firstLine="0" w:firstLineChars="0"/>
              <w:jc w:val="center"/>
              <w:rPr>
                <w:rFonts w:cs="Times New Roman"/>
                <w:sz w:val="21"/>
                <w:szCs w:val="21"/>
              </w:rPr>
            </w:pPr>
            <w:r>
              <w:rPr>
                <w:rFonts w:cs="Times New Roman"/>
                <w:sz w:val="21"/>
                <w:szCs w:val="21"/>
              </w:rPr>
              <w:t>方麓村</w:t>
            </w:r>
          </w:p>
        </w:tc>
        <w:tc>
          <w:tcPr>
            <w:tcW w:w="775" w:type="pct"/>
            <w:tcBorders>
              <w:top w:val="single" w:color="000000" w:sz="4" w:space="0"/>
              <w:left w:val="single" w:color="000000" w:sz="4" w:space="0"/>
              <w:bottom w:val="single" w:color="000000" w:sz="4" w:space="0"/>
              <w:right w:val="single" w:color="000000" w:sz="4" w:space="0"/>
            </w:tcBorders>
            <w:vAlign w:val="center"/>
          </w:tcPr>
          <w:p w14:paraId="33911C5E">
            <w:pPr>
              <w:spacing w:line="240" w:lineRule="auto"/>
              <w:ind w:firstLine="0" w:firstLineChars="0"/>
              <w:jc w:val="center"/>
              <w:rPr>
                <w:rFonts w:cs="Times New Roman"/>
                <w:sz w:val="21"/>
                <w:szCs w:val="21"/>
              </w:rPr>
            </w:pPr>
            <w:r>
              <w:rPr>
                <w:rFonts w:cs="Times New Roman"/>
                <w:sz w:val="21"/>
                <w:szCs w:val="21"/>
              </w:rPr>
              <w:t>南涧滩</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60FA0DAD">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3EB8348">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2D184E67">
            <w:pPr>
              <w:spacing w:line="240" w:lineRule="auto"/>
              <w:ind w:firstLine="0" w:firstLineChars="0"/>
              <w:jc w:val="center"/>
              <w:rPr>
                <w:rFonts w:cs="Times New Roman"/>
                <w:sz w:val="21"/>
                <w:szCs w:val="21"/>
              </w:rPr>
            </w:pPr>
            <w:r>
              <w:rPr>
                <w:rFonts w:cs="Times New Roman"/>
                <w:sz w:val="21"/>
                <w:szCs w:val="21"/>
              </w:rPr>
              <w:t>49</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88498F7">
            <w:pPr>
              <w:spacing w:line="240" w:lineRule="auto"/>
              <w:ind w:firstLine="0" w:firstLineChars="0"/>
              <w:jc w:val="center"/>
              <w:rPr>
                <w:rFonts w:cs="Times New Roman"/>
                <w:sz w:val="21"/>
                <w:szCs w:val="21"/>
              </w:rPr>
            </w:pPr>
            <w:r>
              <w:rPr>
                <w:rFonts w:cs="Times New Roman"/>
                <w:sz w:val="21"/>
                <w:szCs w:val="21"/>
              </w:rPr>
              <w:t>49</w:t>
            </w:r>
          </w:p>
        </w:tc>
      </w:tr>
      <w:tr w14:paraId="1CA62FF8">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6CAC92E0">
            <w:pPr>
              <w:spacing w:line="240" w:lineRule="auto"/>
              <w:ind w:firstLine="0" w:firstLineChars="0"/>
              <w:jc w:val="center"/>
              <w:rPr>
                <w:rFonts w:cs="Times New Roman"/>
                <w:sz w:val="21"/>
                <w:szCs w:val="21"/>
              </w:rPr>
            </w:pPr>
            <w:r>
              <w:rPr>
                <w:rFonts w:cs="Times New Roman"/>
                <w:sz w:val="21"/>
                <w:szCs w:val="21"/>
              </w:rPr>
              <w:t>9</w:t>
            </w:r>
          </w:p>
        </w:tc>
        <w:tc>
          <w:tcPr>
            <w:tcW w:w="784" w:type="pct"/>
            <w:tcBorders>
              <w:top w:val="single" w:color="000000" w:sz="4" w:space="0"/>
              <w:left w:val="single" w:color="000000" w:sz="4" w:space="0"/>
              <w:bottom w:val="single" w:color="000000" w:sz="4" w:space="0"/>
              <w:right w:val="single" w:color="000000" w:sz="4" w:space="0"/>
            </w:tcBorders>
            <w:vAlign w:val="center"/>
          </w:tcPr>
          <w:p w14:paraId="338B96DC">
            <w:pPr>
              <w:spacing w:line="240" w:lineRule="auto"/>
              <w:ind w:firstLine="0" w:firstLineChars="0"/>
              <w:jc w:val="center"/>
              <w:rPr>
                <w:rFonts w:cs="Times New Roman"/>
                <w:sz w:val="21"/>
                <w:szCs w:val="21"/>
              </w:rPr>
            </w:pPr>
            <w:r>
              <w:rPr>
                <w:rFonts w:cs="Times New Roman"/>
                <w:sz w:val="21"/>
                <w:szCs w:val="21"/>
              </w:rPr>
              <w:t>方麓村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D273697">
            <w:pPr>
              <w:spacing w:line="240" w:lineRule="auto"/>
              <w:ind w:firstLine="0" w:firstLineChars="0"/>
              <w:jc w:val="center"/>
              <w:rPr>
                <w:rFonts w:cs="Times New Roman"/>
                <w:sz w:val="21"/>
                <w:szCs w:val="21"/>
              </w:rPr>
            </w:pPr>
            <w:r>
              <w:rPr>
                <w:rFonts w:cs="Times New Roman"/>
                <w:sz w:val="21"/>
                <w:szCs w:val="21"/>
              </w:rPr>
              <w:t>太平庄</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3465E8F7">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4A728B7">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5BD1DE47">
            <w:pPr>
              <w:spacing w:line="240" w:lineRule="auto"/>
              <w:ind w:firstLine="0" w:firstLineChars="0"/>
              <w:jc w:val="center"/>
              <w:rPr>
                <w:rFonts w:cs="Times New Roman"/>
                <w:sz w:val="21"/>
                <w:szCs w:val="21"/>
              </w:rPr>
            </w:pPr>
            <w:r>
              <w:rPr>
                <w:rFonts w:cs="Times New Roman"/>
                <w:sz w:val="21"/>
                <w:szCs w:val="21"/>
              </w:rPr>
              <w:t>53</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D4935EB">
            <w:pPr>
              <w:spacing w:line="240" w:lineRule="auto"/>
              <w:ind w:firstLine="0" w:firstLineChars="0"/>
              <w:jc w:val="center"/>
              <w:rPr>
                <w:rFonts w:cs="Times New Roman"/>
                <w:sz w:val="21"/>
                <w:szCs w:val="21"/>
              </w:rPr>
            </w:pPr>
            <w:r>
              <w:rPr>
                <w:rFonts w:cs="Times New Roman"/>
                <w:sz w:val="21"/>
                <w:szCs w:val="21"/>
              </w:rPr>
              <w:t>42</w:t>
            </w:r>
          </w:p>
        </w:tc>
      </w:tr>
      <w:tr w14:paraId="68F1CEC6">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E8B0E64">
            <w:pPr>
              <w:spacing w:line="240" w:lineRule="auto"/>
              <w:ind w:firstLine="0" w:firstLineChars="0"/>
              <w:jc w:val="center"/>
              <w:rPr>
                <w:rFonts w:cs="Times New Roman"/>
                <w:sz w:val="21"/>
                <w:szCs w:val="21"/>
              </w:rPr>
            </w:pPr>
            <w:r>
              <w:rPr>
                <w:rFonts w:cs="Times New Roman"/>
                <w:sz w:val="21"/>
                <w:szCs w:val="21"/>
              </w:rPr>
              <w:t>10</w:t>
            </w:r>
          </w:p>
        </w:tc>
        <w:tc>
          <w:tcPr>
            <w:tcW w:w="784" w:type="pct"/>
            <w:tcBorders>
              <w:top w:val="single" w:color="000000" w:sz="4" w:space="0"/>
              <w:left w:val="single" w:color="000000" w:sz="4" w:space="0"/>
              <w:bottom w:val="single" w:color="000000" w:sz="4" w:space="0"/>
              <w:right w:val="single" w:color="000000" w:sz="4" w:space="0"/>
            </w:tcBorders>
            <w:vAlign w:val="center"/>
          </w:tcPr>
          <w:p w14:paraId="27B3EF3E">
            <w:pPr>
              <w:spacing w:line="240" w:lineRule="auto"/>
              <w:ind w:firstLine="0" w:firstLineChars="0"/>
              <w:jc w:val="center"/>
              <w:rPr>
                <w:rFonts w:cs="Times New Roman"/>
                <w:sz w:val="21"/>
                <w:szCs w:val="21"/>
              </w:rPr>
            </w:pPr>
            <w:r>
              <w:rPr>
                <w:rFonts w:cs="Times New Roman"/>
                <w:sz w:val="21"/>
                <w:szCs w:val="21"/>
              </w:rPr>
              <w:t>方麓村</w:t>
            </w:r>
          </w:p>
        </w:tc>
        <w:tc>
          <w:tcPr>
            <w:tcW w:w="775" w:type="pct"/>
            <w:tcBorders>
              <w:top w:val="single" w:color="000000" w:sz="4" w:space="0"/>
              <w:left w:val="single" w:color="000000" w:sz="4" w:space="0"/>
              <w:bottom w:val="single" w:color="000000" w:sz="4" w:space="0"/>
              <w:right w:val="single" w:color="000000" w:sz="4" w:space="0"/>
            </w:tcBorders>
            <w:vAlign w:val="center"/>
          </w:tcPr>
          <w:p w14:paraId="3CEDD9FE">
            <w:pPr>
              <w:spacing w:line="240" w:lineRule="auto"/>
              <w:ind w:firstLine="0" w:firstLineChars="0"/>
              <w:jc w:val="center"/>
              <w:rPr>
                <w:rFonts w:cs="Times New Roman"/>
                <w:sz w:val="21"/>
                <w:szCs w:val="21"/>
              </w:rPr>
            </w:pPr>
            <w:r>
              <w:rPr>
                <w:rFonts w:cs="Times New Roman"/>
                <w:sz w:val="21"/>
                <w:szCs w:val="21"/>
              </w:rPr>
              <w:t>唐家棚</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0BD0AF28">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5FDC48C0">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20DFE8EF">
            <w:pPr>
              <w:spacing w:line="240" w:lineRule="auto"/>
              <w:ind w:firstLine="0" w:firstLineChars="0"/>
              <w:jc w:val="center"/>
              <w:rPr>
                <w:rFonts w:cs="Times New Roman"/>
                <w:sz w:val="21"/>
                <w:szCs w:val="21"/>
              </w:rPr>
            </w:pPr>
            <w:r>
              <w:rPr>
                <w:rFonts w:cs="Times New Roman"/>
                <w:sz w:val="21"/>
                <w:szCs w:val="21"/>
              </w:rPr>
              <w:t>32</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48F7E3FA">
            <w:pPr>
              <w:spacing w:line="240" w:lineRule="auto"/>
              <w:ind w:firstLine="0" w:firstLineChars="0"/>
              <w:jc w:val="center"/>
              <w:rPr>
                <w:rFonts w:cs="Times New Roman"/>
                <w:sz w:val="21"/>
                <w:szCs w:val="21"/>
              </w:rPr>
            </w:pPr>
            <w:r>
              <w:rPr>
                <w:rFonts w:cs="Times New Roman"/>
                <w:sz w:val="21"/>
                <w:szCs w:val="21"/>
              </w:rPr>
              <w:t>32</w:t>
            </w:r>
          </w:p>
        </w:tc>
      </w:tr>
      <w:tr w14:paraId="63B75C13">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F9683C8">
            <w:pPr>
              <w:spacing w:line="240" w:lineRule="auto"/>
              <w:ind w:firstLine="0" w:firstLineChars="0"/>
              <w:jc w:val="center"/>
              <w:rPr>
                <w:rFonts w:cs="Times New Roman"/>
                <w:sz w:val="21"/>
                <w:szCs w:val="21"/>
              </w:rPr>
            </w:pPr>
            <w:r>
              <w:rPr>
                <w:rFonts w:cs="Times New Roman"/>
                <w:sz w:val="21"/>
                <w:szCs w:val="21"/>
              </w:rPr>
              <w:t>11</w:t>
            </w:r>
          </w:p>
        </w:tc>
        <w:tc>
          <w:tcPr>
            <w:tcW w:w="784" w:type="pct"/>
            <w:tcBorders>
              <w:top w:val="single" w:color="000000" w:sz="4" w:space="0"/>
              <w:left w:val="single" w:color="000000" w:sz="4" w:space="0"/>
              <w:bottom w:val="single" w:color="000000" w:sz="4" w:space="0"/>
              <w:right w:val="single" w:color="000000" w:sz="4" w:space="0"/>
            </w:tcBorders>
            <w:vAlign w:val="center"/>
          </w:tcPr>
          <w:p w14:paraId="6C4A612D">
            <w:pPr>
              <w:spacing w:line="240" w:lineRule="auto"/>
              <w:ind w:firstLine="0" w:firstLineChars="0"/>
              <w:jc w:val="center"/>
              <w:rPr>
                <w:rFonts w:cs="Times New Roman"/>
                <w:sz w:val="21"/>
                <w:szCs w:val="21"/>
              </w:rPr>
            </w:pPr>
            <w:r>
              <w:rPr>
                <w:rFonts w:cs="Times New Roman"/>
                <w:sz w:val="21"/>
                <w:szCs w:val="21"/>
              </w:rPr>
              <w:t>方麓村</w:t>
            </w:r>
          </w:p>
        </w:tc>
        <w:tc>
          <w:tcPr>
            <w:tcW w:w="775" w:type="pct"/>
            <w:tcBorders>
              <w:top w:val="single" w:color="000000" w:sz="4" w:space="0"/>
              <w:left w:val="single" w:color="000000" w:sz="4" w:space="0"/>
              <w:bottom w:val="single" w:color="000000" w:sz="4" w:space="0"/>
              <w:right w:val="single" w:color="000000" w:sz="4" w:space="0"/>
            </w:tcBorders>
            <w:vAlign w:val="center"/>
          </w:tcPr>
          <w:p w14:paraId="7C7EED29">
            <w:pPr>
              <w:spacing w:line="240" w:lineRule="auto"/>
              <w:ind w:firstLine="0" w:firstLineChars="0"/>
              <w:jc w:val="center"/>
              <w:rPr>
                <w:rFonts w:cs="Times New Roman"/>
                <w:sz w:val="21"/>
                <w:szCs w:val="21"/>
              </w:rPr>
            </w:pPr>
            <w:r>
              <w:rPr>
                <w:rFonts w:cs="Times New Roman"/>
                <w:sz w:val="21"/>
                <w:szCs w:val="21"/>
              </w:rPr>
              <w:t>陶家凹</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2C5D3ACD">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FA59C86">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5F72702F">
            <w:pPr>
              <w:spacing w:line="240" w:lineRule="auto"/>
              <w:ind w:firstLine="0" w:firstLineChars="0"/>
              <w:jc w:val="center"/>
              <w:rPr>
                <w:rFonts w:cs="Times New Roman"/>
                <w:sz w:val="21"/>
                <w:szCs w:val="21"/>
              </w:rPr>
            </w:pPr>
            <w:r>
              <w:rPr>
                <w:rFonts w:cs="Times New Roman"/>
                <w:sz w:val="21"/>
                <w:szCs w:val="21"/>
              </w:rPr>
              <w:t>43</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44469B0F">
            <w:pPr>
              <w:spacing w:line="240" w:lineRule="auto"/>
              <w:ind w:firstLine="0" w:firstLineChars="0"/>
              <w:jc w:val="center"/>
              <w:rPr>
                <w:rFonts w:cs="Times New Roman"/>
                <w:sz w:val="21"/>
                <w:szCs w:val="21"/>
              </w:rPr>
            </w:pPr>
            <w:r>
              <w:rPr>
                <w:rFonts w:cs="Times New Roman"/>
                <w:sz w:val="21"/>
                <w:szCs w:val="21"/>
              </w:rPr>
              <w:t>39</w:t>
            </w:r>
          </w:p>
        </w:tc>
      </w:tr>
      <w:tr w14:paraId="18FB39A9">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0C5425A3">
            <w:pPr>
              <w:spacing w:line="240" w:lineRule="auto"/>
              <w:ind w:firstLine="0" w:firstLineChars="0"/>
              <w:jc w:val="center"/>
              <w:rPr>
                <w:rFonts w:cs="Times New Roman"/>
                <w:sz w:val="21"/>
                <w:szCs w:val="21"/>
              </w:rPr>
            </w:pPr>
            <w:r>
              <w:rPr>
                <w:rFonts w:cs="Times New Roman"/>
                <w:sz w:val="21"/>
                <w:szCs w:val="21"/>
              </w:rPr>
              <w:t>12</w:t>
            </w:r>
          </w:p>
        </w:tc>
        <w:tc>
          <w:tcPr>
            <w:tcW w:w="784" w:type="pct"/>
            <w:tcBorders>
              <w:top w:val="single" w:color="000000" w:sz="4" w:space="0"/>
              <w:left w:val="single" w:color="000000" w:sz="4" w:space="0"/>
              <w:bottom w:val="single" w:color="000000" w:sz="4" w:space="0"/>
              <w:right w:val="single" w:color="000000" w:sz="4" w:space="0"/>
            </w:tcBorders>
            <w:vAlign w:val="center"/>
          </w:tcPr>
          <w:p w14:paraId="1334A4CD">
            <w:pPr>
              <w:spacing w:line="240" w:lineRule="auto"/>
              <w:ind w:firstLine="0" w:firstLineChars="0"/>
              <w:jc w:val="center"/>
              <w:rPr>
                <w:rFonts w:cs="Times New Roman"/>
                <w:sz w:val="21"/>
                <w:szCs w:val="21"/>
              </w:rPr>
            </w:pPr>
            <w:r>
              <w:rPr>
                <w:rFonts w:cs="Times New Roman"/>
                <w:sz w:val="21"/>
                <w:szCs w:val="21"/>
              </w:rPr>
              <w:t>连山村</w:t>
            </w:r>
          </w:p>
        </w:tc>
        <w:tc>
          <w:tcPr>
            <w:tcW w:w="775" w:type="pct"/>
            <w:tcBorders>
              <w:top w:val="single" w:color="000000" w:sz="4" w:space="0"/>
              <w:left w:val="single" w:color="000000" w:sz="4" w:space="0"/>
              <w:bottom w:val="single" w:color="000000" w:sz="4" w:space="0"/>
              <w:right w:val="single" w:color="000000" w:sz="4" w:space="0"/>
            </w:tcBorders>
            <w:vAlign w:val="center"/>
          </w:tcPr>
          <w:p w14:paraId="65A303FE">
            <w:pPr>
              <w:spacing w:line="240" w:lineRule="auto"/>
              <w:ind w:firstLine="0" w:firstLineChars="0"/>
              <w:jc w:val="center"/>
              <w:rPr>
                <w:rFonts w:cs="Times New Roman"/>
                <w:sz w:val="21"/>
                <w:szCs w:val="21"/>
              </w:rPr>
            </w:pPr>
            <w:r>
              <w:rPr>
                <w:rFonts w:cs="Times New Roman"/>
                <w:sz w:val="21"/>
                <w:szCs w:val="21"/>
              </w:rPr>
              <w:t>上竹棵</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39DD17F7">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1ED3FC3">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35B3FE4C">
            <w:pPr>
              <w:spacing w:line="240" w:lineRule="auto"/>
              <w:ind w:firstLine="0" w:firstLineChars="0"/>
              <w:jc w:val="center"/>
              <w:rPr>
                <w:rFonts w:cs="Times New Roman"/>
                <w:sz w:val="21"/>
                <w:szCs w:val="21"/>
              </w:rPr>
            </w:pPr>
            <w:r>
              <w:rPr>
                <w:rFonts w:cs="Times New Roman"/>
                <w:sz w:val="21"/>
                <w:szCs w:val="21"/>
              </w:rPr>
              <w:t>46</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552F7729">
            <w:pPr>
              <w:spacing w:line="240" w:lineRule="auto"/>
              <w:ind w:firstLine="0" w:firstLineChars="0"/>
              <w:jc w:val="center"/>
              <w:rPr>
                <w:rFonts w:cs="Times New Roman"/>
                <w:sz w:val="21"/>
                <w:szCs w:val="21"/>
              </w:rPr>
            </w:pPr>
            <w:r>
              <w:rPr>
                <w:rFonts w:cs="Times New Roman"/>
                <w:sz w:val="21"/>
                <w:szCs w:val="21"/>
              </w:rPr>
              <w:t>46</w:t>
            </w:r>
          </w:p>
        </w:tc>
      </w:tr>
      <w:tr w14:paraId="61586E44">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8DFD318">
            <w:pPr>
              <w:spacing w:line="240" w:lineRule="auto"/>
              <w:ind w:firstLine="0" w:firstLineChars="0"/>
              <w:jc w:val="center"/>
              <w:rPr>
                <w:rFonts w:cs="Times New Roman"/>
                <w:sz w:val="21"/>
                <w:szCs w:val="21"/>
              </w:rPr>
            </w:pPr>
            <w:r>
              <w:rPr>
                <w:rFonts w:cs="Times New Roman"/>
                <w:sz w:val="21"/>
                <w:szCs w:val="21"/>
              </w:rPr>
              <w:t>13</w:t>
            </w:r>
          </w:p>
        </w:tc>
        <w:tc>
          <w:tcPr>
            <w:tcW w:w="784" w:type="pct"/>
            <w:tcBorders>
              <w:top w:val="single" w:color="000000" w:sz="4" w:space="0"/>
              <w:left w:val="single" w:color="000000" w:sz="4" w:space="0"/>
              <w:bottom w:val="single" w:color="000000" w:sz="4" w:space="0"/>
              <w:right w:val="single" w:color="000000" w:sz="4" w:space="0"/>
            </w:tcBorders>
            <w:vAlign w:val="center"/>
          </w:tcPr>
          <w:p w14:paraId="3DB24398">
            <w:pPr>
              <w:spacing w:line="240" w:lineRule="auto"/>
              <w:ind w:firstLine="0" w:firstLineChars="0"/>
              <w:jc w:val="center"/>
              <w:rPr>
                <w:rFonts w:cs="Times New Roman"/>
                <w:sz w:val="21"/>
                <w:szCs w:val="21"/>
              </w:rPr>
            </w:pPr>
            <w:r>
              <w:rPr>
                <w:rFonts w:cs="Times New Roman"/>
                <w:sz w:val="21"/>
                <w:szCs w:val="21"/>
              </w:rPr>
              <w:t>罗村村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7AD7EC11">
            <w:pPr>
              <w:spacing w:line="240" w:lineRule="auto"/>
              <w:ind w:firstLine="0" w:firstLineChars="0"/>
              <w:jc w:val="center"/>
              <w:rPr>
                <w:rFonts w:cs="Times New Roman"/>
                <w:sz w:val="21"/>
                <w:szCs w:val="21"/>
              </w:rPr>
            </w:pPr>
            <w:r>
              <w:rPr>
                <w:rFonts w:cs="Times New Roman"/>
                <w:sz w:val="21"/>
                <w:szCs w:val="21"/>
              </w:rPr>
              <w:t>周家棚</w:t>
            </w:r>
          </w:p>
        </w:tc>
        <w:tc>
          <w:tcPr>
            <w:tcW w:w="765" w:type="pct"/>
            <w:tcBorders>
              <w:top w:val="single" w:color="000000" w:sz="4" w:space="0"/>
              <w:left w:val="single" w:color="000000" w:sz="4" w:space="0"/>
              <w:bottom w:val="single" w:color="000000" w:sz="4" w:space="0"/>
              <w:right w:val="single" w:color="000000" w:sz="4" w:space="0"/>
            </w:tcBorders>
            <w:vAlign w:val="center"/>
          </w:tcPr>
          <w:p w14:paraId="48883DD0">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DB8354C">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0EE16B32">
            <w:pPr>
              <w:spacing w:line="240" w:lineRule="auto"/>
              <w:ind w:firstLine="0" w:firstLineChars="0"/>
              <w:jc w:val="center"/>
              <w:rPr>
                <w:rFonts w:cs="Times New Roman"/>
                <w:sz w:val="21"/>
                <w:szCs w:val="21"/>
              </w:rPr>
            </w:pPr>
            <w:r>
              <w:rPr>
                <w:rFonts w:cs="Times New Roman"/>
                <w:sz w:val="21"/>
                <w:szCs w:val="21"/>
              </w:rPr>
              <w:t>23</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78DA14AF">
            <w:pPr>
              <w:spacing w:line="240" w:lineRule="auto"/>
              <w:ind w:firstLine="0" w:firstLineChars="0"/>
              <w:jc w:val="center"/>
              <w:rPr>
                <w:rFonts w:cs="Times New Roman"/>
                <w:sz w:val="21"/>
                <w:szCs w:val="21"/>
              </w:rPr>
            </w:pPr>
            <w:r>
              <w:rPr>
                <w:rFonts w:cs="Times New Roman"/>
                <w:sz w:val="21"/>
                <w:szCs w:val="21"/>
              </w:rPr>
              <w:t>18</w:t>
            </w:r>
          </w:p>
        </w:tc>
      </w:tr>
      <w:tr w14:paraId="70E8B63D">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88B07BD">
            <w:pPr>
              <w:spacing w:line="240" w:lineRule="auto"/>
              <w:ind w:firstLine="0" w:firstLineChars="0"/>
              <w:jc w:val="center"/>
              <w:rPr>
                <w:rFonts w:cs="Times New Roman"/>
                <w:sz w:val="21"/>
                <w:szCs w:val="21"/>
              </w:rPr>
            </w:pPr>
            <w:r>
              <w:rPr>
                <w:rFonts w:cs="Times New Roman"/>
                <w:sz w:val="21"/>
                <w:szCs w:val="21"/>
              </w:rPr>
              <w:t>14</w:t>
            </w:r>
          </w:p>
        </w:tc>
        <w:tc>
          <w:tcPr>
            <w:tcW w:w="784" w:type="pct"/>
            <w:tcBorders>
              <w:top w:val="single" w:color="000000" w:sz="4" w:space="0"/>
              <w:left w:val="single" w:color="000000" w:sz="4" w:space="0"/>
              <w:bottom w:val="single" w:color="000000" w:sz="4" w:space="0"/>
              <w:right w:val="single" w:color="000000" w:sz="4" w:space="0"/>
            </w:tcBorders>
            <w:vAlign w:val="center"/>
          </w:tcPr>
          <w:p w14:paraId="28B499C1">
            <w:pPr>
              <w:spacing w:line="240" w:lineRule="auto"/>
              <w:ind w:firstLine="0" w:firstLineChars="0"/>
              <w:jc w:val="center"/>
              <w:rPr>
                <w:rFonts w:cs="Times New Roman"/>
                <w:sz w:val="21"/>
                <w:szCs w:val="21"/>
              </w:rPr>
            </w:pPr>
            <w:r>
              <w:rPr>
                <w:rFonts w:cs="Times New Roman"/>
                <w:sz w:val="21"/>
                <w:szCs w:val="21"/>
              </w:rPr>
              <w:t>茅庵村</w:t>
            </w:r>
          </w:p>
        </w:tc>
        <w:tc>
          <w:tcPr>
            <w:tcW w:w="775" w:type="pct"/>
            <w:tcBorders>
              <w:top w:val="single" w:color="000000" w:sz="4" w:space="0"/>
              <w:left w:val="single" w:color="000000" w:sz="4" w:space="0"/>
              <w:bottom w:val="single" w:color="000000" w:sz="4" w:space="0"/>
              <w:right w:val="single" w:color="000000" w:sz="4" w:space="0"/>
            </w:tcBorders>
            <w:vAlign w:val="center"/>
          </w:tcPr>
          <w:p w14:paraId="337B4E84">
            <w:pPr>
              <w:spacing w:line="240" w:lineRule="auto"/>
              <w:ind w:firstLine="0" w:firstLineChars="0"/>
              <w:jc w:val="center"/>
              <w:rPr>
                <w:rFonts w:cs="Times New Roman"/>
                <w:sz w:val="21"/>
                <w:szCs w:val="21"/>
              </w:rPr>
            </w:pPr>
            <w:r>
              <w:rPr>
                <w:rFonts w:cs="Times New Roman"/>
                <w:sz w:val="21"/>
                <w:szCs w:val="21"/>
              </w:rPr>
              <w:t>高庄</w:t>
            </w:r>
          </w:p>
        </w:tc>
        <w:tc>
          <w:tcPr>
            <w:tcW w:w="765" w:type="pct"/>
            <w:tcBorders>
              <w:top w:val="single" w:color="000000" w:sz="4" w:space="0"/>
              <w:left w:val="single" w:color="000000" w:sz="4" w:space="0"/>
              <w:bottom w:val="single" w:color="000000" w:sz="4" w:space="0"/>
              <w:right w:val="single" w:color="000000" w:sz="4" w:space="0"/>
            </w:tcBorders>
            <w:vAlign w:val="center"/>
          </w:tcPr>
          <w:p w14:paraId="1C7FE9C8">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2387099">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7A44A0B4">
            <w:pPr>
              <w:spacing w:line="240" w:lineRule="auto"/>
              <w:ind w:firstLine="0" w:firstLineChars="0"/>
              <w:jc w:val="center"/>
              <w:rPr>
                <w:rFonts w:cs="Times New Roman"/>
                <w:sz w:val="21"/>
                <w:szCs w:val="21"/>
              </w:rPr>
            </w:pPr>
            <w:r>
              <w:rPr>
                <w:rFonts w:cs="Times New Roman"/>
                <w:sz w:val="21"/>
                <w:szCs w:val="21"/>
              </w:rPr>
              <w:t>50</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35D614CC">
            <w:pPr>
              <w:spacing w:line="240" w:lineRule="auto"/>
              <w:ind w:firstLine="0" w:firstLineChars="0"/>
              <w:jc w:val="center"/>
              <w:rPr>
                <w:rFonts w:cs="Times New Roman"/>
                <w:sz w:val="21"/>
                <w:szCs w:val="21"/>
              </w:rPr>
            </w:pPr>
            <w:r>
              <w:rPr>
                <w:rFonts w:cs="Times New Roman"/>
                <w:sz w:val="21"/>
                <w:szCs w:val="21"/>
              </w:rPr>
              <w:t>40</w:t>
            </w:r>
          </w:p>
        </w:tc>
      </w:tr>
      <w:tr w14:paraId="5F380A50">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AA44416">
            <w:pPr>
              <w:spacing w:line="240" w:lineRule="auto"/>
              <w:ind w:firstLine="0" w:firstLineChars="0"/>
              <w:jc w:val="center"/>
              <w:rPr>
                <w:rFonts w:cs="Times New Roman"/>
                <w:sz w:val="21"/>
                <w:szCs w:val="21"/>
              </w:rPr>
            </w:pPr>
            <w:r>
              <w:rPr>
                <w:rFonts w:cs="Times New Roman"/>
                <w:sz w:val="21"/>
                <w:szCs w:val="21"/>
              </w:rPr>
              <w:t>15</w:t>
            </w:r>
          </w:p>
        </w:tc>
        <w:tc>
          <w:tcPr>
            <w:tcW w:w="784" w:type="pct"/>
            <w:tcBorders>
              <w:top w:val="single" w:color="000000" w:sz="4" w:space="0"/>
              <w:left w:val="single" w:color="000000" w:sz="4" w:space="0"/>
              <w:bottom w:val="single" w:color="000000" w:sz="4" w:space="0"/>
              <w:right w:val="single" w:color="000000" w:sz="4" w:space="0"/>
            </w:tcBorders>
            <w:vAlign w:val="center"/>
          </w:tcPr>
          <w:p w14:paraId="7AD4D8A1">
            <w:pPr>
              <w:spacing w:line="240" w:lineRule="auto"/>
              <w:ind w:firstLine="0" w:firstLineChars="0"/>
              <w:jc w:val="center"/>
              <w:rPr>
                <w:rFonts w:cs="Times New Roman"/>
                <w:sz w:val="21"/>
                <w:szCs w:val="21"/>
              </w:rPr>
            </w:pPr>
            <w:r>
              <w:rPr>
                <w:rFonts w:cs="Times New Roman"/>
                <w:sz w:val="21"/>
                <w:szCs w:val="21"/>
              </w:rPr>
              <w:t>茅东村</w:t>
            </w:r>
          </w:p>
        </w:tc>
        <w:tc>
          <w:tcPr>
            <w:tcW w:w="775" w:type="pct"/>
            <w:tcBorders>
              <w:top w:val="single" w:color="000000" w:sz="4" w:space="0"/>
              <w:left w:val="single" w:color="000000" w:sz="4" w:space="0"/>
              <w:bottom w:val="single" w:color="000000" w:sz="4" w:space="0"/>
              <w:right w:val="single" w:color="000000" w:sz="4" w:space="0"/>
            </w:tcBorders>
            <w:vAlign w:val="center"/>
          </w:tcPr>
          <w:p w14:paraId="5287941F">
            <w:pPr>
              <w:spacing w:line="240" w:lineRule="auto"/>
              <w:ind w:firstLine="0" w:firstLineChars="0"/>
              <w:jc w:val="center"/>
              <w:rPr>
                <w:rFonts w:cs="Times New Roman"/>
                <w:sz w:val="21"/>
                <w:szCs w:val="21"/>
              </w:rPr>
            </w:pPr>
            <w:r>
              <w:rPr>
                <w:rFonts w:cs="Times New Roman"/>
                <w:sz w:val="21"/>
                <w:szCs w:val="21"/>
              </w:rPr>
              <w:t>下庄</w:t>
            </w:r>
          </w:p>
        </w:tc>
        <w:tc>
          <w:tcPr>
            <w:tcW w:w="765" w:type="pct"/>
            <w:tcBorders>
              <w:top w:val="single" w:color="000000" w:sz="4" w:space="0"/>
              <w:left w:val="single" w:color="000000" w:sz="4" w:space="0"/>
              <w:bottom w:val="single" w:color="000000" w:sz="4" w:space="0"/>
              <w:right w:val="single" w:color="000000" w:sz="4" w:space="0"/>
            </w:tcBorders>
            <w:vAlign w:val="center"/>
          </w:tcPr>
          <w:p w14:paraId="364A3803">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5853A142">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1B5E3679">
            <w:pPr>
              <w:spacing w:line="240" w:lineRule="auto"/>
              <w:ind w:firstLine="0" w:firstLineChars="0"/>
              <w:jc w:val="center"/>
              <w:rPr>
                <w:rFonts w:cs="Times New Roman"/>
                <w:sz w:val="21"/>
                <w:szCs w:val="21"/>
              </w:rPr>
            </w:pPr>
            <w:r>
              <w:rPr>
                <w:rFonts w:cs="Times New Roman"/>
                <w:sz w:val="21"/>
                <w:szCs w:val="21"/>
              </w:rPr>
              <w:t>113</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085C7D1A">
            <w:pPr>
              <w:spacing w:line="240" w:lineRule="auto"/>
              <w:ind w:firstLine="0" w:firstLineChars="0"/>
              <w:jc w:val="center"/>
              <w:rPr>
                <w:rFonts w:cs="Times New Roman"/>
                <w:sz w:val="21"/>
                <w:szCs w:val="21"/>
              </w:rPr>
            </w:pPr>
            <w:r>
              <w:rPr>
                <w:rFonts w:cs="Times New Roman"/>
                <w:sz w:val="21"/>
                <w:szCs w:val="21"/>
              </w:rPr>
              <w:t>102</w:t>
            </w:r>
          </w:p>
        </w:tc>
      </w:tr>
      <w:tr w14:paraId="7993A333">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03F07DED">
            <w:pPr>
              <w:spacing w:line="240" w:lineRule="auto"/>
              <w:ind w:firstLine="0" w:firstLineChars="0"/>
              <w:jc w:val="center"/>
              <w:rPr>
                <w:rFonts w:cs="Times New Roman"/>
                <w:sz w:val="21"/>
                <w:szCs w:val="21"/>
              </w:rPr>
            </w:pPr>
            <w:r>
              <w:rPr>
                <w:rFonts w:cs="Times New Roman"/>
                <w:sz w:val="21"/>
                <w:szCs w:val="21"/>
              </w:rPr>
              <w:t>16</w:t>
            </w:r>
          </w:p>
        </w:tc>
        <w:tc>
          <w:tcPr>
            <w:tcW w:w="784" w:type="pct"/>
            <w:tcBorders>
              <w:top w:val="single" w:color="000000" w:sz="4" w:space="0"/>
              <w:left w:val="single" w:color="000000" w:sz="4" w:space="0"/>
              <w:bottom w:val="single" w:color="000000" w:sz="4" w:space="0"/>
              <w:right w:val="single" w:color="000000" w:sz="4" w:space="0"/>
            </w:tcBorders>
            <w:vAlign w:val="center"/>
          </w:tcPr>
          <w:p w14:paraId="3C1B9EED">
            <w:pPr>
              <w:spacing w:line="240" w:lineRule="auto"/>
              <w:ind w:firstLine="0" w:firstLineChars="0"/>
              <w:jc w:val="center"/>
              <w:rPr>
                <w:rFonts w:cs="Times New Roman"/>
                <w:sz w:val="21"/>
                <w:szCs w:val="21"/>
              </w:rPr>
            </w:pPr>
            <w:r>
              <w:rPr>
                <w:rFonts w:cs="Times New Roman"/>
                <w:sz w:val="21"/>
                <w:szCs w:val="21"/>
              </w:rPr>
              <w:t>山蓬村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AACBBEC">
            <w:pPr>
              <w:spacing w:line="240" w:lineRule="auto"/>
              <w:ind w:firstLine="0" w:firstLineChars="0"/>
              <w:jc w:val="center"/>
              <w:rPr>
                <w:rFonts w:cs="Times New Roman"/>
                <w:sz w:val="21"/>
                <w:szCs w:val="21"/>
              </w:rPr>
            </w:pPr>
            <w:r>
              <w:rPr>
                <w:rFonts w:cs="Times New Roman"/>
                <w:sz w:val="21"/>
                <w:szCs w:val="21"/>
              </w:rPr>
              <w:t>花村</w:t>
            </w:r>
          </w:p>
        </w:tc>
        <w:tc>
          <w:tcPr>
            <w:tcW w:w="765" w:type="pct"/>
            <w:tcBorders>
              <w:top w:val="single" w:color="000000" w:sz="4" w:space="0"/>
              <w:left w:val="single" w:color="000000" w:sz="4" w:space="0"/>
              <w:bottom w:val="single" w:color="000000" w:sz="4" w:space="0"/>
              <w:right w:val="single" w:color="000000" w:sz="4" w:space="0"/>
            </w:tcBorders>
            <w:vAlign w:val="center"/>
          </w:tcPr>
          <w:p w14:paraId="1FB20DB3">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CC45204">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628B0997">
            <w:pPr>
              <w:spacing w:line="240" w:lineRule="auto"/>
              <w:ind w:firstLine="0" w:firstLineChars="0"/>
              <w:jc w:val="center"/>
              <w:rPr>
                <w:rFonts w:cs="Times New Roman"/>
                <w:sz w:val="21"/>
                <w:szCs w:val="21"/>
              </w:rPr>
            </w:pPr>
            <w:r>
              <w:rPr>
                <w:rFonts w:cs="Times New Roman"/>
                <w:sz w:val="21"/>
                <w:szCs w:val="21"/>
              </w:rPr>
              <w:t>11</w:t>
            </w:r>
          </w:p>
        </w:tc>
        <w:tc>
          <w:tcPr>
            <w:tcW w:w="869" w:type="pct"/>
            <w:tcBorders>
              <w:top w:val="single" w:color="000000" w:sz="4" w:space="0"/>
              <w:left w:val="single" w:color="000000" w:sz="4" w:space="0"/>
              <w:bottom w:val="single" w:color="000000" w:sz="4" w:space="0"/>
              <w:right w:val="single" w:color="000000" w:sz="4" w:space="0"/>
            </w:tcBorders>
            <w:vAlign w:val="center"/>
          </w:tcPr>
          <w:p w14:paraId="0AFBD128">
            <w:pPr>
              <w:spacing w:line="240" w:lineRule="auto"/>
              <w:ind w:firstLine="0" w:firstLineChars="0"/>
              <w:jc w:val="center"/>
              <w:rPr>
                <w:rFonts w:cs="Times New Roman"/>
                <w:sz w:val="21"/>
                <w:szCs w:val="21"/>
              </w:rPr>
            </w:pPr>
            <w:r>
              <w:rPr>
                <w:rFonts w:cs="Times New Roman"/>
                <w:sz w:val="21"/>
                <w:szCs w:val="21"/>
              </w:rPr>
              <w:t>11</w:t>
            </w:r>
          </w:p>
        </w:tc>
      </w:tr>
      <w:tr w14:paraId="423939AB">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FE8DA28">
            <w:pPr>
              <w:spacing w:line="240" w:lineRule="auto"/>
              <w:ind w:firstLine="0" w:firstLineChars="0"/>
              <w:jc w:val="center"/>
              <w:rPr>
                <w:rFonts w:cs="Times New Roman"/>
                <w:sz w:val="21"/>
                <w:szCs w:val="21"/>
              </w:rPr>
            </w:pPr>
            <w:r>
              <w:rPr>
                <w:rFonts w:cs="Times New Roman"/>
                <w:sz w:val="21"/>
                <w:szCs w:val="21"/>
              </w:rPr>
              <w:t>17</w:t>
            </w:r>
          </w:p>
        </w:tc>
        <w:tc>
          <w:tcPr>
            <w:tcW w:w="784" w:type="pct"/>
            <w:tcBorders>
              <w:top w:val="single" w:color="000000" w:sz="4" w:space="0"/>
              <w:left w:val="single" w:color="000000" w:sz="4" w:space="0"/>
              <w:bottom w:val="single" w:color="000000" w:sz="4" w:space="0"/>
              <w:right w:val="single" w:color="000000" w:sz="4" w:space="0"/>
            </w:tcBorders>
            <w:vAlign w:val="center"/>
          </w:tcPr>
          <w:p w14:paraId="13060979">
            <w:pPr>
              <w:spacing w:line="240" w:lineRule="auto"/>
              <w:ind w:firstLine="0" w:firstLineChars="0"/>
              <w:jc w:val="center"/>
              <w:rPr>
                <w:rFonts w:cs="Times New Roman"/>
                <w:sz w:val="21"/>
                <w:szCs w:val="21"/>
              </w:rPr>
            </w:pPr>
            <w:r>
              <w:rPr>
                <w:rFonts w:cs="Times New Roman"/>
                <w:sz w:val="21"/>
                <w:szCs w:val="21"/>
              </w:rPr>
              <w:t>山蓬村</w:t>
            </w:r>
          </w:p>
        </w:tc>
        <w:tc>
          <w:tcPr>
            <w:tcW w:w="775" w:type="pct"/>
            <w:tcBorders>
              <w:top w:val="single" w:color="000000" w:sz="4" w:space="0"/>
              <w:left w:val="single" w:color="000000" w:sz="4" w:space="0"/>
              <w:bottom w:val="single" w:color="000000" w:sz="4" w:space="0"/>
              <w:right w:val="single" w:color="000000" w:sz="4" w:space="0"/>
            </w:tcBorders>
            <w:vAlign w:val="center"/>
          </w:tcPr>
          <w:p w14:paraId="69A631BC">
            <w:pPr>
              <w:spacing w:line="240" w:lineRule="auto"/>
              <w:ind w:firstLine="0" w:firstLineChars="0"/>
              <w:jc w:val="center"/>
              <w:rPr>
                <w:rFonts w:cs="Times New Roman"/>
                <w:sz w:val="21"/>
                <w:szCs w:val="21"/>
              </w:rPr>
            </w:pPr>
            <w:r>
              <w:rPr>
                <w:rFonts w:cs="Times New Roman"/>
                <w:sz w:val="21"/>
                <w:szCs w:val="21"/>
              </w:rPr>
              <w:t>涧南</w:t>
            </w:r>
          </w:p>
        </w:tc>
        <w:tc>
          <w:tcPr>
            <w:tcW w:w="765" w:type="pct"/>
            <w:tcBorders>
              <w:top w:val="single" w:color="000000" w:sz="4" w:space="0"/>
              <w:left w:val="single" w:color="000000" w:sz="4" w:space="0"/>
              <w:bottom w:val="single" w:color="000000" w:sz="4" w:space="0"/>
              <w:right w:val="single" w:color="000000" w:sz="4" w:space="0"/>
            </w:tcBorders>
            <w:vAlign w:val="center"/>
          </w:tcPr>
          <w:p w14:paraId="27CEDDC7">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61EE506">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2A44E6D5">
            <w:pPr>
              <w:spacing w:line="240" w:lineRule="auto"/>
              <w:ind w:firstLine="0" w:firstLineChars="0"/>
              <w:jc w:val="center"/>
              <w:rPr>
                <w:rFonts w:cs="Times New Roman"/>
                <w:sz w:val="21"/>
                <w:szCs w:val="21"/>
              </w:rPr>
            </w:pPr>
            <w:r>
              <w:rPr>
                <w:rFonts w:cs="Times New Roman"/>
                <w:sz w:val="21"/>
                <w:szCs w:val="21"/>
              </w:rPr>
              <w:t>57</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30583014">
            <w:pPr>
              <w:spacing w:line="240" w:lineRule="auto"/>
              <w:ind w:firstLine="0" w:firstLineChars="0"/>
              <w:jc w:val="center"/>
              <w:rPr>
                <w:rFonts w:cs="Times New Roman"/>
                <w:sz w:val="21"/>
                <w:szCs w:val="21"/>
              </w:rPr>
            </w:pPr>
            <w:r>
              <w:rPr>
                <w:rFonts w:cs="Times New Roman"/>
                <w:sz w:val="21"/>
                <w:szCs w:val="21"/>
              </w:rPr>
              <w:t>51</w:t>
            </w:r>
          </w:p>
        </w:tc>
      </w:tr>
      <w:tr w14:paraId="0BA44ACB">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8663D20">
            <w:pPr>
              <w:spacing w:line="240" w:lineRule="auto"/>
              <w:ind w:firstLine="0" w:firstLineChars="0"/>
              <w:jc w:val="center"/>
              <w:rPr>
                <w:rFonts w:cs="Times New Roman"/>
                <w:sz w:val="21"/>
                <w:szCs w:val="21"/>
              </w:rPr>
            </w:pPr>
            <w:r>
              <w:rPr>
                <w:rFonts w:cs="Times New Roman"/>
                <w:sz w:val="21"/>
                <w:szCs w:val="21"/>
              </w:rPr>
              <w:t>18</w:t>
            </w:r>
          </w:p>
        </w:tc>
        <w:tc>
          <w:tcPr>
            <w:tcW w:w="784" w:type="pct"/>
            <w:tcBorders>
              <w:top w:val="single" w:color="000000" w:sz="4" w:space="0"/>
              <w:left w:val="single" w:color="000000" w:sz="4" w:space="0"/>
              <w:bottom w:val="single" w:color="000000" w:sz="4" w:space="0"/>
              <w:right w:val="single" w:color="000000" w:sz="4" w:space="0"/>
            </w:tcBorders>
            <w:vAlign w:val="center"/>
          </w:tcPr>
          <w:p w14:paraId="7543AC98">
            <w:pPr>
              <w:spacing w:line="240" w:lineRule="auto"/>
              <w:ind w:firstLine="0" w:firstLineChars="0"/>
              <w:jc w:val="center"/>
              <w:rPr>
                <w:rFonts w:cs="Times New Roman"/>
                <w:sz w:val="21"/>
                <w:szCs w:val="21"/>
              </w:rPr>
            </w:pPr>
            <w:r>
              <w:rPr>
                <w:rFonts w:cs="Times New Roman"/>
                <w:sz w:val="21"/>
                <w:szCs w:val="21"/>
              </w:rPr>
              <w:t>山蓬村</w:t>
            </w:r>
          </w:p>
        </w:tc>
        <w:tc>
          <w:tcPr>
            <w:tcW w:w="775" w:type="pct"/>
            <w:tcBorders>
              <w:top w:val="single" w:color="000000" w:sz="4" w:space="0"/>
              <w:left w:val="single" w:color="000000" w:sz="4" w:space="0"/>
              <w:bottom w:val="single" w:color="000000" w:sz="4" w:space="0"/>
              <w:right w:val="single" w:color="000000" w:sz="4" w:space="0"/>
            </w:tcBorders>
            <w:vAlign w:val="center"/>
          </w:tcPr>
          <w:p w14:paraId="4041375C">
            <w:pPr>
              <w:spacing w:line="240" w:lineRule="auto"/>
              <w:ind w:firstLine="0" w:firstLineChars="0"/>
              <w:jc w:val="center"/>
              <w:rPr>
                <w:rFonts w:cs="Times New Roman"/>
                <w:sz w:val="21"/>
                <w:szCs w:val="21"/>
              </w:rPr>
            </w:pPr>
            <w:r>
              <w:rPr>
                <w:rFonts w:cs="Times New Roman"/>
                <w:sz w:val="21"/>
                <w:szCs w:val="21"/>
              </w:rPr>
              <w:t>金山后</w:t>
            </w:r>
          </w:p>
        </w:tc>
        <w:tc>
          <w:tcPr>
            <w:tcW w:w="765" w:type="pct"/>
            <w:tcBorders>
              <w:top w:val="single" w:color="000000" w:sz="4" w:space="0"/>
              <w:left w:val="single" w:color="000000" w:sz="4" w:space="0"/>
              <w:bottom w:val="single" w:color="000000" w:sz="4" w:space="0"/>
              <w:right w:val="single" w:color="000000" w:sz="4" w:space="0"/>
            </w:tcBorders>
            <w:vAlign w:val="center"/>
          </w:tcPr>
          <w:p w14:paraId="20F58CE1">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72A6005">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7FB24FD8">
            <w:pPr>
              <w:spacing w:line="240" w:lineRule="auto"/>
              <w:ind w:firstLine="0" w:firstLineChars="0"/>
              <w:jc w:val="center"/>
              <w:rPr>
                <w:rFonts w:cs="Times New Roman"/>
                <w:sz w:val="21"/>
                <w:szCs w:val="21"/>
              </w:rPr>
            </w:pPr>
            <w:r>
              <w:rPr>
                <w:rFonts w:cs="Times New Roman"/>
                <w:sz w:val="21"/>
                <w:szCs w:val="21"/>
              </w:rPr>
              <w:t>71</w:t>
            </w:r>
          </w:p>
        </w:tc>
        <w:tc>
          <w:tcPr>
            <w:tcW w:w="869" w:type="pct"/>
            <w:tcBorders>
              <w:top w:val="single" w:color="000000" w:sz="4" w:space="0"/>
              <w:left w:val="single" w:color="000000" w:sz="4" w:space="0"/>
              <w:bottom w:val="single" w:color="000000" w:sz="4" w:space="0"/>
              <w:right w:val="single" w:color="000000" w:sz="4" w:space="0"/>
            </w:tcBorders>
            <w:vAlign w:val="center"/>
          </w:tcPr>
          <w:p w14:paraId="76ADFBDD">
            <w:pPr>
              <w:spacing w:line="240" w:lineRule="auto"/>
              <w:ind w:firstLine="0" w:firstLineChars="0"/>
              <w:jc w:val="center"/>
              <w:rPr>
                <w:rFonts w:cs="Times New Roman"/>
                <w:sz w:val="21"/>
                <w:szCs w:val="21"/>
              </w:rPr>
            </w:pPr>
            <w:r>
              <w:rPr>
                <w:rFonts w:cs="Times New Roman"/>
                <w:sz w:val="21"/>
                <w:szCs w:val="21"/>
              </w:rPr>
              <w:t>71</w:t>
            </w:r>
          </w:p>
        </w:tc>
      </w:tr>
      <w:tr w14:paraId="417BBE21">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8D60AD0">
            <w:pPr>
              <w:spacing w:line="240" w:lineRule="auto"/>
              <w:ind w:firstLine="0" w:firstLineChars="0"/>
              <w:jc w:val="center"/>
              <w:rPr>
                <w:rFonts w:cs="Times New Roman"/>
                <w:sz w:val="21"/>
                <w:szCs w:val="21"/>
              </w:rPr>
            </w:pPr>
            <w:r>
              <w:rPr>
                <w:rFonts w:cs="Times New Roman"/>
                <w:sz w:val="21"/>
                <w:szCs w:val="21"/>
              </w:rPr>
              <w:t>19</w:t>
            </w:r>
          </w:p>
        </w:tc>
        <w:tc>
          <w:tcPr>
            <w:tcW w:w="784" w:type="pct"/>
            <w:tcBorders>
              <w:top w:val="single" w:color="000000" w:sz="4" w:space="0"/>
              <w:left w:val="single" w:color="000000" w:sz="4" w:space="0"/>
              <w:bottom w:val="single" w:color="000000" w:sz="4" w:space="0"/>
              <w:right w:val="single" w:color="000000" w:sz="4" w:space="0"/>
            </w:tcBorders>
            <w:vAlign w:val="center"/>
          </w:tcPr>
          <w:p w14:paraId="0669A8D4">
            <w:pPr>
              <w:spacing w:line="240" w:lineRule="auto"/>
              <w:ind w:firstLine="0" w:firstLineChars="0"/>
              <w:jc w:val="center"/>
              <w:rPr>
                <w:rFonts w:cs="Times New Roman"/>
                <w:sz w:val="21"/>
                <w:szCs w:val="21"/>
              </w:rPr>
            </w:pPr>
            <w:r>
              <w:rPr>
                <w:rFonts w:cs="Times New Roman"/>
                <w:sz w:val="21"/>
                <w:szCs w:val="21"/>
              </w:rPr>
              <w:t>山蓬村</w:t>
            </w:r>
          </w:p>
        </w:tc>
        <w:tc>
          <w:tcPr>
            <w:tcW w:w="775" w:type="pct"/>
            <w:tcBorders>
              <w:top w:val="single" w:color="000000" w:sz="4" w:space="0"/>
              <w:left w:val="single" w:color="000000" w:sz="4" w:space="0"/>
              <w:bottom w:val="single" w:color="000000" w:sz="4" w:space="0"/>
              <w:right w:val="single" w:color="000000" w:sz="4" w:space="0"/>
            </w:tcBorders>
            <w:vAlign w:val="center"/>
          </w:tcPr>
          <w:p w14:paraId="1E7E89A3">
            <w:pPr>
              <w:spacing w:line="240" w:lineRule="auto"/>
              <w:ind w:firstLine="0" w:firstLineChars="0"/>
              <w:jc w:val="center"/>
              <w:rPr>
                <w:rFonts w:cs="Times New Roman"/>
                <w:sz w:val="21"/>
                <w:szCs w:val="21"/>
              </w:rPr>
            </w:pPr>
            <w:r>
              <w:rPr>
                <w:rFonts w:cs="Times New Roman"/>
                <w:sz w:val="21"/>
                <w:szCs w:val="21"/>
              </w:rPr>
              <w:t>沈庄</w:t>
            </w:r>
          </w:p>
        </w:tc>
        <w:tc>
          <w:tcPr>
            <w:tcW w:w="765" w:type="pct"/>
            <w:tcBorders>
              <w:top w:val="single" w:color="000000" w:sz="4" w:space="0"/>
              <w:left w:val="single" w:color="000000" w:sz="4" w:space="0"/>
              <w:bottom w:val="single" w:color="000000" w:sz="4" w:space="0"/>
              <w:right w:val="single" w:color="000000" w:sz="4" w:space="0"/>
            </w:tcBorders>
            <w:vAlign w:val="center"/>
          </w:tcPr>
          <w:p w14:paraId="7772E3AA">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D94EC78">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254066E0">
            <w:pPr>
              <w:spacing w:line="240" w:lineRule="auto"/>
              <w:ind w:firstLine="0" w:firstLineChars="0"/>
              <w:jc w:val="center"/>
              <w:rPr>
                <w:rFonts w:cs="Times New Roman"/>
                <w:sz w:val="21"/>
                <w:szCs w:val="21"/>
              </w:rPr>
            </w:pPr>
            <w:r>
              <w:rPr>
                <w:rFonts w:cs="Times New Roman"/>
                <w:sz w:val="21"/>
                <w:szCs w:val="21"/>
              </w:rPr>
              <w:t>65</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32B76A74">
            <w:pPr>
              <w:spacing w:line="240" w:lineRule="auto"/>
              <w:ind w:firstLine="0" w:firstLineChars="0"/>
              <w:jc w:val="center"/>
              <w:rPr>
                <w:rFonts w:cs="Times New Roman"/>
                <w:sz w:val="21"/>
                <w:szCs w:val="21"/>
              </w:rPr>
            </w:pPr>
            <w:r>
              <w:rPr>
                <w:rFonts w:cs="Times New Roman"/>
                <w:sz w:val="21"/>
                <w:szCs w:val="21"/>
              </w:rPr>
              <w:t>59</w:t>
            </w:r>
          </w:p>
        </w:tc>
      </w:tr>
      <w:tr w14:paraId="2725D2E1">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4339D799">
            <w:pPr>
              <w:spacing w:line="240" w:lineRule="auto"/>
              <w:ind w:firstLine="0" w:firstLineChars="0"/>
              <w:jc w:val="center"/>
              <w:rPr>
                <w:rFonts w:cs="Times New Roman"/>
                <w:sz w:val="21"/>
                <w:szCs w:val="21"/>
              </w:rPr>
            </w:pPr>
            <w:r>
              <w:rPr>
                <w:rFonts w:cs="Times New Roman"/>
                <w:sz w:val="21"/>
                <w:szCs w:val="21"/>
              </w:rPr>
              <w:t>20</w:t>
            </w:r>
          </w:p>
        </w:tc>
        <w:tc>
          <w:tcPr>
            <w:tcW w:w="784" w:type="pct"/>
            <w:tcBorders>
              <w:top w:val="single" w:color="000000" w:sz="4" w:space="0"/>
              <w:left w:val="single" w:color="000000" w:sz="4" w:space="0"/>
              <w:bottom w:val="single" w:color="000000" w:sz="4" w:space="0"/>
              <w:right w:val="single" w:color="000000" w:sz="4" w:space="0"/>
            </w:tcBorders>
            <w:vAlign w:val="center"/>
          </w:tcPr>
          <w:p w14:paraId="1D10D9BB">
            <w:pPr>
              <w:spacing w:line="240" w:lineRule="auto"/>
              <w:ind w:firstLine="0" w:firstLineChars="0"/>
              <w:jc w:val="center"/>
              <w:rPr>
                <w:rFonts w:cs="Times New Roman"/>
                <w:sz w:val="21"/>
                <w:szCs w:val="21"/>
              </w:rPr>
            </w:pPr>
            <w:r>
              <w:rPr>
                <w:rFonts w:cs="Times New Roman"/>
                <w:sz w:val="21"/>
                <w:szCs w:val="21"/>
              </w:rPr>
              <w:t>山蓬村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A7DA9E9">
            <w:pPr>
              <w:spacing w:line="240" w:lineRule="auto"/>
              <w:ind w:firstLine="0" w:firstLineChars="0"/>
              <w:jc w:val="center"/>
              <w:rPr>
                <w:rFonts w:cs="Times New Roman"/>
                <w:sz w:val="21"/>
                <w:szCs w:val="21"/>
              </w:rPr>
            </w:pPr>
            <w:r>
              <w:rPr>
                <w:rFonts w:cs="Times New Roman"/>
                <w:sz w:val="21"/>
                <w:szCs w:val="21"/>
              </w:rPr>
              <w:t>下庄</w:t>
            </w:r>
          </w:p>
        </w:tc>
        <w:tc>
          <w:tcPr>
            <w:tcW w:w="765" w:type="pct"/>
            <w:tcBorders>
              <w:top w:val="single" w:color="000000" w:sz="4" w:space="0"/>
              <w:left w:val="single" w:color="000000" w:sz="4" w:space="0"/>
              <w:bottom w:val="single" w:color="000000" w:sz="4" w:space="0"/>
              <w:right w:val="single" w:color="000000" w:sz="4" w:space="0"/>
            </w:tcBorders>
            <w:vAlign w:val="center"/>
          </w:tcPr>
          <w:p w14:paraId="31EC145B">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8D5B030">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48D50611">
            <w:pPr>
              <w:spacing w:line="240" w:lineRule="auto"/>
              <w:ind w:firstLine="0" w:firstLineChars="0"/>
              <w:jc w:val="center"/>
              <w:rPr>
                <w:rFonts w:cs="Times New Roman"/>
                <w:sz w:val="21"/>
                <w:szCs w:val="21"/>
              </w:rPr>
            </w:pPr>
            <w:r>
              <w:rPr>
                <w:rFonts w:cs="Times New Roman"/>
                <w:sz w:val="21"/>
                <w:szCs w:val="21"/>
              </w:rPr>
              <w:t>62</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2F5691D8">
            <w:pPr>
              <w:spacing w:line="240" w:lineRule="auto"/>
              <w:ind w:firstLine="0" w:firstLineChars="0"/>
              <w:jc w:val="center"/>
              <w:rPr>
                <w:rFonts w:cs="Times New Roman"/>
                <w:sz w:val="21"/>
                <w:szCs w:val="21"/>
              </w:rPr>
            </w:pPr>
            <w:r>
              <w:rPr>
                <w:rFonts w:cs="Times New Roman"/>
                <w:sz w:val="21"/>
                <w:szCs w:val="21"/>
              </w:rPr>
              <w:t>56</w:t>
            </w:r>
          </w:p>
        </w:tc>
      </w:tr>
      <w:tr w14:paraId="2EF313C0">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117B92F">
            <w:pPr>
              <w:spacing w:line="240" w:lineRule="auto"/>
              <w:ind w:firstLine="0" w:firstLineChars="0"/>
              <w:jc w:val="center"/>
              <w:rPr>
                <w:rFonts w:cs="Times New Roman"/>
                <w:sz w:val="21"/>
                <w:szCs w:val="21"/>
              </w:rPr>
            </w:pPr>
            <w:r>
              <w:rPr>
                <w:rFonts w:cs="Times New Roman"/>
                <w:sz w:val="21"/>
                <w:szCs w:val="21"/>
              </w:rPr>
              <w:t>21</w:t>
            </w:r>
          </w:p>
        </w:tc>
        <w:tc>
          <w:tcPr>
            <w:tcW w:w="784" w:type="pct"/>
            <w:tcBorders>
              <w:top w:val="single" w:color="000000" w:sz="4" w:space="0"/>
              <w:left w:val="single" w:color="000000" w:sz="4" w:space="0"/>
              <w:bottom w:val="single" w:color="000000" w:sz="4" w:space="0"/>
              <w:right w:val="single" w:color="000000" w:sz="4" w:space="0"/>
            </w:tcBorders>
            <w:vAlign w:val="center"/>
          </w:tcPr>
          <w:p w14:paraId="362829CD">
            <w:pPr>
              <w:spacing w:line="240" w:lineRule="auto"/>
              <w:ind w:firstLine="0" w:firstLineChars="0"/>
              <w:jc w:val="center"/>
              <w:rPr>
                <w:rFonts w:cs="Times New Roman"/>
                <w:sz w:val="21"/>
                <w:szCs w:val="21"/>
              </w:rPr>
            </w:pPr>
            <w:r>
              <w:rPr>
                <w:rFonts w:cs="Times New Roman"/>
                <w:sz w:val="21"/>
                <w:szCs w:val="21"/>
              </w:rPr>
              <w:t>山蓬村</w:t>
            </w:r>
          </w:p>
        </w:tc>
        <w:tc>
          <w:tcPr>
            <w:tcW w:w="775" w:type="pct"/>
            <w:tcBorders>
              <w:top w:val="single" w:color="000000" w:sz="4" w:space="0"/>
              <w:left w:val="single" w:color="000000" w:sz="4" w:space="0"/>
              <w:bottom w:val="single" w:color="000000" w:sz="4" w:space="0"/>
              <w:right w:val="single" w:color="000000" w:sz="4" w:space="0"/>
            </w:tcBorders>
            <w:vAlign w:val="center"/>
          </w:tcPr>
          <w:p w14:paraId="3DD85C57">
            <w:pPr>
              <w:spacing w:line="240" w:lineRule="auto"/>
              <w:ind w:firstLine="0" w:firstLineChars="0"/>
              <w:jc w:val="center"/>
              <w:rPr>
                <w:rFonts w:cs="Times New Roman"/>
                <w:sz w:val="21"/>
                <w:szCs w:val="21"/>
              </w:rPr>
            </w:pPr>
            <w:r>
              <w:rPr>
                <w:rFonts w:cs="Times New Roman"/>
                <w:sz w:val="21"/>
                <w:szCs w:val="21"/>
              </w:rPr>
              <w:t>小庄头</w:t>
            </w:r>
          </w:p>
        </w:tc>
        <w:tc>
          <w:tcPr>
            <w:tcW w:w="765" w:type="pct"/>
            <w:tcBorders>
              <w:top w:val="single" w:color="000000" w:sz="4" w:space="0"/>
              <w:left w:val="single" w:color="000000" w:sz="4" w:space="0"/>
              <w:bottom w:val="single" w:color="000000" w:sz="4" w:space="0"/>
              <w:right w:val="single" w:color="000000" w:sz="4" w:space="0"/>
            </w:tcBorders>
            <w:vAlign w:val="center"/>
          </w:tcPr>
          <w:p w14:paraId="305B384B">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68B620C">
            <w:pPr>
              <w:spacing w:line="240" w:lineRule="auto"/>
              <w:ind w:firstLine="0" w:firstLineChars="0"/>
              <w:jc w:val="center"/>
              <w:rPr>
                <w:rFonts w:cs="Times New Roman"/>
                <w:sz w:val="21"/>
                <w:szCs w:val="21"/>
              </w:rPr>
            </w:pPr>
            <w:r>
              <w:rPr>
                <w:rFonts w:cs="Times New Roman"/>
                <w:sz w:val="21"/>
                <w:szCs w:val="21"/>
              </w:rPr>
              <w:t>资源化利用</w:t>
            </w:r>
          </w:p>
        </w:tc>
        <w:tc>
          <w:tcPr>
            <w:tcW w:w="628" w:type="pct"/>
            <w:tcBorders>
              <w:top w:val="single" w:color="000000" w:sz="4" w:space="0"/>
              <w:left w:val="single" w:color="000000" w:sz="4" w:space="0"/>
              <w:bottom w:val="single" w:color="000000" w:sz="4" w:space="0"/>
              <w:right w:val="single" w:color="000000" w:sz="4" w:space="0"/>
            </w:tcBorders>
            <w:vAlign w:val="center"/>
          </w:tcPr>
          <w:p w14:paraId="1C3D472B">
            <w:pPr>
              <w:spacing w:line="240" w:lineRule="auto"/>
              <w:ind w:firstLine="0" w:firstLineChars="0"/>
              <w:jc w:val="center"/>
              <w:rPr>
                <w:rFonts w:cs="Times New Roman"/>
                <w:sz w:val="21"/>
                <w:szCs w:val="21"/>
              </w:rPr>
            </w:pPr>
            <w:r>
              <w:rPr>
                <w:rFonts w:cs="Times New Roman"/>
                <w:sz w:val="21"/>
                <w:szCs w:val="21"/>
              </w:rPr>
              <w:t>53</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75E00A2B">
            <w:pPr>
              <w:spacing w:line="240" w:lineRule="auto"/>
              <w:ind w:firstLine="0" w:firstLineChars="0"/>
              <w:jc w:val="center"/>
              <w:rPr>
                <w:rFonts w:cs="Times New Roman"/>
                <w:sz w:val="21"/>
                <w:szCs w:val="21"/>
              </w:rPr>
            </w:pPr>
            <w:r>
              <w:rPr>
                <w:rFonts w:cs="Times New Roman"/>
                <w:sz w:val="21"/>
                <w:szCs w:val="21"/>
              </w:rPr>
              <w:t>42</w:t>
            </w:r>
          </w:p>
        </w:tc>
      </w:tr>
      <w:tr w14:paraId="6B08220F">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E49779B">
            <w:pPr>
              <w:spacing w:line="240" w:lineRule="auto"/>
              <w:ind w:firstLine="0" w:firstLineChars="0"/>
              <w:jc w:val="center"/>
              <w:rPr>
                <w:rFonts w:cs="Times New Roman"/>
                <w:sz w:val="21"/>
                <w:szCs w:val="21"/>
              </w:rPr>
            </w:pPr>
            <w:r>
              <w:rPr>
                <w:rFonts w:cs="Times New Roman"/>
                <w:sz w:val="21"/>
                <w:szCs w:val="21"/>
              </w:rPr>
              <w:t>22</w:t>
            </w:r>
          </w:p>
        </w:tc>
        <w:tc>
          <w:tcPr>
            <w:tcW w:w="784" w:type="pct"/>
            <w:tcBorders>
              <w:top w:val="single" w:color="000000" w:sz="4" w:space="0"/>
              <w:left w:val="single" w:color="000000" w:sz="4" w:space="0"/>
              <w:bottom w:val="single" w:color="000000" w:sz="4" w:space="0"/>
              <w:right w:val="single" w:color="000000" w:sz="4" w:space="0"/>
            </w:tcBorders>
            <w:vAlign w:val="center"/>
          </w:tcPr>
          <w:p w14:paraId="237E3A65">
            <w:pPr>
              <w:spacing w:line="240" w:lineRule="auto"/>
              <w:ind w:firstLine="0" w:firstLineChars="0"/>
              <w:jc w:val="center"/>
              <w:rPr>
                <w:rFonts w:cs="Times New Roman"/>
                <w:sz w:val="21"/>
                <w:szCs w:val="21"/>
              </w:rPr>
            </w:pPr>
            <w:r>
              <w:rPr>
                <w:rFonts w:cs="Times New Roman"/>
                <w:sz w:val="21"/>
                <w:szCs w:val="21"/>
              </w:rPr>
              <w:t>山蓬村</w:t>
            </w:r>
          </w:p>
        </w:tc>
        <w:tc>
          <w:tcPr>
            <w:tcW w:w="775" w:type="pct"/>
            <w:tcBorders>
              <w:top w:val="single" w:color="000000" w:sz="4" w:space="0"/>
              <w:left w:val="single" w:color="000000" w:sz="4" w:space="0"/>
              <w:bottom w:val="single" w:color="000000" w:sz="4" w:space="0"/>
              <w:right w:val="single" w:color="000000" w:sz="4" w:space="0"/>
            </w:tcBorders>
            <w:vAlign w:val="center"/>
          </w:tcPr>
          <w:p w14:paraId="3C92FA4D">
            <w:pPr>
              <w:spacing w:line="240" w:lineRule="auto"/>
              <w:ind w:firstLine="0" w:firstLineChars="0"/>
              <w:jc w:val="center"/>
              <w:rPr>
                <w:rFonts w:cs="Times New Roman"/>
                <w:sz w:val="21"/>
                <w:szCs w:val="21"/>
              </w:rPr>
            </w:pPr>
            <w:r>
              <w:rPr>
                <w:rFonts w:cs="Times New Roman"/>
                <w:sz w:val="21"/>
                <w:szCs w:val="21"/>
              </w:rPr>
              <w:t>余笪里</w:t>
            </w:r>
          </w:p>
        </w:tc>
        <w:tc>
          <w:tcPr>
            <w:tcW w:w="765" w:type="pct"/>
            <w:tcBorders>
              <w:top w:val="single" w:color="000000" w:sz="4" w:space="0"/>
              <w:left w:val="single" w:color="000000" w:sz="4" w:space="0"/>
              <w:bottom w:val="single" w:color="000000" w:sz="4" w:space="0"/>
              <w:right w:val="single" w:color="000000" w:sz="4" w:space="0"/>
            </w:tcBorders>
            <w:vAlign w:val="center"/>
          </w:tcPr>
          <w:p w14:paraId="6D992BFE">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839AF2E">
            <w:pPr>
              <w:spacing w:line="240" w:lineRule="auto"/>
              <w:ind w:firstLine="0" w:firstLineChars="0"/>
              <w:jc w:val="center"/>
              <w:rPr>
                <w:rFonts w:cs="Times New Roman"/>
                <w:sz w:val="21"/>
                <w:szCs w:val="21"/>
              </w:rPr>
            </w:pPr>
            <w:r>
              <w:rPr>
                <w:rFonts w:cs="Times New Roman"/>
                <w:sz w:val="21"/>
                <w:szCs w:val="21"/>
              </w:rPr>
              <w:t>资源化利用</w:t>
            </w:r>
          </w:p>
        </w:tc>
        <w:tc>
          <w:tcPr>
            <w:tcW w:w="628" w:type="pct"/>
            <w:tcBorders>
              <w:top w:val="single" w:color="000000" w:sz="4" w:space="0"/>
              <w:left w:val="single" w:color="000000" w:sz="4" w:space="0"/>
              <w:bottom w:val="single" w:color="000000" w:sz="4" w:space="0"/>
              <w:right w:val="single" w:color="000000" w:sz="4" w:space="0"/>
            </w:tcBorders>
            <w:vAlign w:val="center"/>
          </w:tcPr>
          <w:p w14:paraId="48022D96">
            <w:pPr>
              <w:spacing w:line="240" w:lineRule="auto"/>
              <w:ind w:firstLine="0" w:firstLineChars="0"/>
              <w:jc w:val="center"/>
              <w:rPr>
                <w:rFonts w:cs="Times New Roman"/>
                <w:sz w:val="21"/>
                <w:szCs w:val="21"/>
              </w:rPr>
            </w:pPr>
            <w:r>
              <w:rPr>
                <w:rFonts w:cs="Times New Roman"/>
                <w:sz w:val="21"/>
                <w:szCs w:val="21"/>
              </w:rPr>
              <w:t>82</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69B9DF9">
            <w:pPr>
              <w:spacing w:line="240" w:lineRule="auto"/>
              <w:ind w:firstLine="0" w:firstLineChars="0"/>
              <w:jc w:val="center"/>
              <w:rPr>
                <w:rFonts w:cs="Times New Roman"/>
                <w:sz w:val="21"/>
                <w:szCs w:val="21"/>
              </w:rPr>
            </w:pPr>
            <w:r>
              <w:rPr>
                <w:rFonts w:cs="Times New Roman"/>
                <w:sz w:val="21"/>
                <w:szCs w:val="21"/>
              </w:rPr>
              <w:t>66</w:t>
            </w:r>
          </w:p>
        </w:tc>
      </w:tr>
      <w:tr w14:paraId="4F70B1DF">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20F9A07">
            <w:pPr>
              <w:spacing w:line="240" w:lineRule="auto"/>
              <w:ind w:firstLine="0" w:firstLineChars="0"/>
              <w:jc w:val="center"/>
              <w:rPr>
                <w:rFonts w:cs="Times New Roman"/>
                <w:sz w:val="21"/>
                <w:szCs w:val="21"/>
              </w:rPr>
            </w:pPr>
            <w:r>
              <w:rPr>
                <w:rFonts w:cs="Times New Roman"/>
                <w:sz w:val="21"/>
                <w:szCs w:val="21"/>
              </w:rPr>
              <w:t>23</w:t>
            </w:r>
          </w:p>
        </w:tc>
        <w:tc>
          <w:tcPr>
            <w:tcW w:w="784" w:type="pct"/>
            <w:tcBorders>
              <w:top w:val="single" w:color="000000" w:sz="4" w:space="0"/>
              <w:left w:val="single" w:color="000000" w:sz="4" w:space="0"/>
              <w:bottom w:val="single" w:color="000000" w:sz="4" w:space="0"/>
              <w:right w:val="single" w:color="000000" w:sz="4" w:space="0"/>
            </w:tcBorders>
            <w:vAlign w:val="center"/>
          </w:tcPr>
          <w:p w14:paraId="1B94CCB2">
            <w:pPr>
              <w:spacing w:line="240" w:lineRule="auto"/>
              <w:ind w:firstLine="0" w:firstLineChars="0"/>
              <w:jc w:val="center"/>
              <w:rPr>
                <w:rFonts w:cs="Times New Roman"/>
                <w:sz w:val="21"/>
                <w:szCs w:val="21"/>
              </w:rPr>
            </w:pPr>
            <w:r>
              <w:rPr>
                <w:rFonts w:cs="Times New Roman"/>
                <w:sz w:val="21"/>
                <w:szCs w:val="21"/>
              </w:rPr>
              <w:t>山蓬村</w:t>
            </w:r>
          </w:p>
        </w:tc>
        <w:tc>
          <w:tcPr>
            <w:tcW w:w="775" w:type="pct"/>
            <w:tcBorders>
              <w:top w:val="single" w:color="000000" w:sz="4" w:space="0"/>
              <w:left w:val="single" w:color="000000" w:sz="4" w:space="0"/>
              <w:bottom w:val="single" w:color="000000" w:sz="4" w:space="0"/>
              <w:right w:val="single" w:color="000000" w:sz="4" w:space="0"/>
            </w:tcBorders>
            <w:vAlign w:val="center"/>
          </w:tcPr>
          <w:p w14:paraId="367D8D73">
            <w:pPr>
              <w:spacing w:line="240" w:lineRule="auto"/>
              <w:ind w:firstLine="0" w:firstLineChars="0"/>
              <w:jc w:val="center"/>
              <w:rPr>
                <w:rFonts w:cs="Times New Roman"/>
                <w:sz w:val="21"/>
                <w:szCs w:val="21"/>
              </w:rPr>
            </w:pPr>
            <w:r>
              <w:rPr>
                <w:rFonts w:cs="Times New Roman"/>
                <w:sz w:val="21"/>
                <w:szCs w:val="21"/>
              </w:rPr>
              <w:t>云塘罐</w:t>
            </w:r>
          </w:p>
        </w:tc>
        <w:tc>
          <w:tcPr>
            <w:tcW w:w="765" w:type="pct"/>
            <w:tcBorders>
              <w:top w:val="single" w:color="000000" w:sz="4" w:space="0"/>
              <w:left w:val="single" w:color="000000" w:sz="4" w:space="0"/>
              <w:bottom w:val="single" w:color="000000" w:sz="4" w:space="0"/>
              <w:right w:val="single" w:color="000000" w:sz="4" w:space="0"/>
            </w:tcBorders>
            <w:vAlign w:val="center"/>
          </w:tcPr>
          <w:p w14:paraId="09A844E1">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176725E3">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6B252724">
            <w:pPr>
              <w:spacing w:line="240" w:lineRule="auto"/>
              <w:ind w:firstLine="0" w:firstLineChars="0"/>
              <w:jc w:val="center"/>
              <w:rPr>
                <w:rFonts w:cs="Times New Roman"/>
                <w:sz w:val="21"/>
                <w:szCs w:val="21"/>
              </w:rPr>
            </w:pPr>
            <w:r>
              <w:rPr>
                <w:rFonts w:cs="Times New Roman"/>
                <w:sz w:val="21"/>
                <w:szCs w:val="21"/>
              </w:rPr>
              <w:t>9</w:t>
            </w:r>
          </w:p>
        </w:tc>
        <w:tc>
          <w:tcPr>
            <w:tcW w:w="869" w:type="pct"/>
            <w:tcBorders>
              <w:top w:val="single" w:color="000000" w:sz="4" w:space="0"/>
              <w:left w:val="single" w:color="000000" w:sz="4" w:space="0"/>
              <w:bottom w:val="single" w:color="000000" w:sz="4" w:space="0"/>
              <w:right w:val="single" w:color="000000" w:sz="4" w:space="0"/>
            </w:tcBorders>
            <w:vAlign w:val="center"/>
          </w:tcPr>
          <w:p w14:paraId="0B5B7A54">
            <w:pPr>
              <w:spacing w:line="240" w:lineRule="auto"/>
              <w:ind w:firstLine="0" w:firstLineChars="0"/>
              <w:jc w:val="center"/>
              <w:rPr>
                <w:rFonts w:cs="Times New Roman"/>
                <w:sz w:val="21"/>
                <w:szCs w:val="21"/>
              </w:rPr>
            </w:pPr>
            <w:r>
              <w:rPr>
                <w:rFonts w:cs="Times New Roman"/>
                <w:sz w:val="21"/>
                <w:szCs w:val="21"/>
              </w:rPr>
              <w:t>9</w:t>
            </w:r>
          </w:p>
        </w:tc>
      </w:tr>
      <w:tr w14:paraId="2EBF4C22">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1648B2F">
            <w:pPr>
              <w:spacing w:line="240" w:lineRule="auto"/>
              <w:ind w:firstLine="0" w:firstLineChars="0"/>
              <w:jc w:val="center"/>
              <w:rPr>
                <w:rFonts w:cs="Times New Roman"/>
                <w:sz w:val="21"/>
                <w:szCs w:val="21"/>
              </w:rPr>
            </w:pPr>
            <w:r>
              <w:rPr>
                <w:rFonts w:cs="Times New Roman"/>
                <w:sz w:val="21"/>
                <w:szCs w:val="21"/>
              </w:rPr>
              <w:t>24</w:t>
            </w:r>
          </w:p>
        </w:tc>
        <w:tc>
          <w:tcPr>
            <w:tcW w:w="784" w:type="pct"/>
            <w:tcBorders>
              <w:top w:val="single" w:color="000000" w:sz="4" w:space="0"/>
              <w:left w:val="single" w:color="000000" w:sz="4" w:space="0"/>
              <w:bottom w:val="single" w:color="000000" w:sz="4" w:space="0"/>
              <w:right w:val="single" w:color="000000" w:sz="4" w:space="0"/>
            </w:tcBorders>
            <w:vAlign w:val="center"/>
          </w:tcPr>
          <w:p w14:paraId="793C5560">
            <w:pPr>
              <w:spacing w:line="240" w:lineRule="auto"/>
              <w:ind w:firstLine="0" w:firstLineChars="0"/>
              <w:jc w:val="center"/>
              <w:rPr>
                <w:rFonts w:cs="Times New Roman"/>
                <w:sz w:val="21"/>
                <w:szCs w:val="21"/>
              </w:rPr>
            </w:pPr>
            <w:r>
              <w:rPr>
                <w:rFonts w:cs="Times New Roman"/>
                <w:sz w:val="21"/>
                <w:szCs w:val="21"/>
              </w:rPr>
              <w:t>山蓬村</w:t>
            </w:r>
          </w:p>
        </w:tc>
        <w:tc>
          <w:tcPr>
            <w:tcW w:w="775" w:type="pct"/>
            <w:tcBorders>
              <w:top w:val="single" w:color="000000" w:sz="4" w:space="0"/>
              <w:left w:val="single" w:color="000000" w:sz="4" w:space="0"/>
              <w:bottom w:val="single" w:color="000000" w:sz="4" w:space="0"/>
              <w:right w:val="single" w:color="000000" w:sz="4" w:space="0"/>
            </w:tcBorders>
            <w:vAlign w:val="center"/>
          </w:tcPr>
          <w:p w14:paraId="1AA432C5">
            <w:pPr>
              <w:spacing w:line="240" w:lineRule="auto"/>
              <w:ind w:firstLine="0" w:firstLineChars="0"/>
              <w:jc w:val="center"/>
              <w:rPr>
                <w:rFonts w:cs="Times New Roman"/>
                <w:sz w:val="21"/>
                <w:szCs w:val="21"/>
              </w:rPr>
            </w:pPr>
            <w:r>
              <w:rPr>
                <w:rFonts w:cs="Times New Roman"/>
                <w:sz w:val="21"/>
                <w:szCs w:val="21"/>
              </w:rPr>
              <w:t>榨塘</w:t>
            </w:r>
          </w:p>
        </w:tc>
        <w:tc>
          <w:tcPr>
            <w:tcW w:w="765" w:type="pct"/>
            <w:tcBorders>
              <w:top w:val="single" w:color="000000" w:sz="4" w:space="0"/>
              <w:left w:val="single" w:color="000000" w:sz="4" w:space="0"/>
              <w:bottom w:val="single" w:color="000000" w:sz="4" w:space="0"/>
              <w:right w:val="single" w:color="000000" w:sz="4" w:space="0"/>
            </w:tcBorders>
            <w:vAlign w:val="center"/>
          </w:tcPr>
          <w:p w14:paraId="283C82D0">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47337D6">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4331D127">
            <w:pPr>
              <w:spacing w:line="240" w:lineRule="auto"/>
              <w:ind w:firstLine="0" w:firstLineChars="0"/>
              <w:jc w:val="center"/>
              <w:rPr>
                <w:rFonts w:cs="Times New Roman"/>
                <w:sz w:val="21"/>
                <w:szCs w:val="21"/>
              </w:rPr>
            </w:pPr>
            <w:r>
              <w:rPr>
                <w:rFonts w:cs="Times New Roman"/>
                <w:sz w:val="21"/>
                <w:szCs w:val="21"/>
              </w:rPr>
              <w:t>88</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693198C9">
            <w:pPr>
              <w:spacing w:line="240" w:lineRule="auto"/>
              <w:ind w:firstLine="0" w:firstLineChars="0"/>
              <w:jc w:val="center"/>
              <w:rPr>
                <w:rFonts w:cs="Times New Roman"/>
                <w:sz w:val="21"/>
                <w:szCs w:val="21"/>
              </w:rPr>
            </w:pPr>
            <w:r>
              <w:rPr>
                <w:rFonts w:cs="Times New Roman"/>
                <w:sz w:val="21"/>
                <w:szCs w:val="21"/>
              </w:rPr>
              <w:t>79</w:t>
            </w:r>
          </w:p>
        </w:tc>
      </w:tr>
      <w:tr w14:paraId="3280DFD8">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BD88A84">
            <w:pPr>
              <w:spacing w:line="240" w:lineRule="auto"/>
              <w:ind w:firstLine="0" w:firstLineChars="0"/>
              <w:jc w:val="center"/>
              <w:rPr>
                <w:rFonts w:cs="Times New Roman"/>
                <w:sz w:val="21"/>
                <w:szCs w:val="21"/>
              </w:rPr>
            </w:pPr>
            <w:r>
              <w:rPr>
                <w:rFonts w:cs="Times New Roman"/>
                <w:sz w:val="21"/>
                <w:szCs w:val="21"/>
              </w:rPr>
              <w:t>25</w:t>
            </w:r>
          </w:p>
        </w:tc>
        <w:tc>
          <w:tcPr>
            <w:tcW w:w="784" w:type="pct"/>
            <w:tcBorders>
              <w:top w:val="single" w:color="000000" w:sz="4" w:space="0"/>
              <w:left w:val="single" w:color="000000" w:sz="4" w:space="0"/>
              <w:bottom w:val="single" w:color="000000" w:sz="4" w:space="0"/>
              <w:right w:val="single" w:color="000000" w:sz="4" w:space="0"/>
            </w:tcBorders>
            <w:vAlign w:val="center"/>
          </w:tcPr>
          <w:p w14:paraId="3D46E5CF">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63EB19C7">
            <w:pPr>
              <w:spacing w:line="240" w:lineRule="auto"/>
              <w:ind w:firstLine="0" w:firstLineChars="0"/>
              <w:jc w:val="center"/>
              <w:rPr>
                <w:rFonts w:cs="Times New Roman"/>
                <w:sz w:val="21"/>
                <w:szCs w:val="21"/>
              </w:rPr>
            </w:pPr>
            <w:r>
              <w:rPr>
                <w:rFonts w:cs="Times New Roman"/>
                <w:sz w:val="21"/>
                <w:szCs w:val="21"/>
              </w:rPr>
              <w:t>扁墩头</w:t>
            </w:r>
          </w:p>
        </w:tc>
        <w:tc>
          <w:tcPr>
            <w:tcW w:w="765" w:type="pct"/>
            <w:tcBorders>
              <w:top w:val="single" w:color="000000" w:sz="4" w:space="0"/>
              <w:left w:val="single" w:color="000000" w:sz="4" w:space="0"/>
              <w:bottom w:val="single" w:color="000000" w:sz="4" w:space="0"/>
              <w:right w:val="single" w:color="000000" w:sz="4" w:space="0"/>
            </w:tcBorders>
            <w:vAlign w:val="center"/>
          </w:tcPr>
          <w:p w14:paraId="4D48D07E">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D734C82">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4B4B1628">
            <w:pPr>
              <w:spacing w:line="240" w:lineRule="auto"/>
              <w:ind w:firstLine="0" w:firstLineChars="0"/>
              <w:jc w:val="center"/>
              <w:rPr>
                <w:rFonts w:cs="Times New Roman"/>
                <w:sz w:val="21"/>
                <w:szCs w:val="21"/>
              </w:rPr>
            </w:pPr>
            <w:r>
              <w:rPr>
                <w:rFonts w:cs="Times New Roman"/>
                <w:sz w:val="21"/>
                <w:szCs w:val="21"/>
              </w:rPr>
              <w:t>103</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A9DCAFC">
            <w:pPr>
              <w:spacing w:line="240" w:lineRule="auto"/>
              <w:ind w:firstLine="0" w:firstLineChars="0"/>
              <w:jc w:val="center"/>
              <w:rPr>
                <w:rFonts w:cs="Times New Roman"/>
                <w:sz w:val="21"/>
                <w:szCs w:val="21"/>
              </w:rPr>
            </w:pPr>
            <w:r>
              <w:rPr>
                <w:rFonts w:cs="Times New Roman"/>
                <w:sz w:val="21"/>
                <w:szCs w:val="21"/>
              </w:rPr>
              <w:t>93</w:t>
            </w:r>
          </w:p>
        </w:tc>
      </w:tr>
      <w:tr w14:paraId="3E4C17CE">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5182116">
            <w:pPr>
              <w:spacing w:line="240" w:lineRule="auto"/>
              <w:ind w:firstLine="0" w:firstLineChars="0"/>
              <w:jc w:val="center"/>
              <w:rPr>
                <w:rFonts w:cs="Times New Roman"/>
                <w:sz w:val="21"/>
                <w:szCs w:val="21"/>
              </w:rPr>
            </w:pPr>
            <w:r>
              <w:rPr>
                <w:rFonts w:cs="Times New Roman"/>
                <w:sz w:val="21"/>
                <w:szCs w:val="21"/>
              </w:rPr>
              <w:t>26</w:t>
            </w:r>
          </w:p>
        </w:tc>
        <w:tc>
          <w:tcPr>
            <w:tcW w:w="784" w:type="pct"/>
            <w:tcBorders>
              <w:top w:val="single" w:color="000000" w:sz="4" w:space="0"/>
              <w:left w:val="single" w:color="000000" w:sz="4" w:space="0"/>
              <w:bottom w:val="single" w:color="000000" w:sz="4" w:space="0"/>
              <w:right w:val="single" w:color="000000" w:sz="4" w:space="0"/>
            </w:tcBorders>
            <w:vAlign w:val="center"/>
          </w:tcPr>
          <w:p w14:paraId="59BA04A2">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5050AB2B">
            <w:pPr>
              <w:spacing w:line="240" w:lineRule="auto"/>
              <w:ind w:firstLine="0" w:firstLineChars="0"/>
              <w:jc w:val="center"/>
              <w:rPr>
                <w:rFonts w:cs="Times New Roman"/>
                <w:sz w:val="21"/>
                <w:szCs w:val="21"/>
              </w:rPr>
            </w:pPr>
            <w:r>
              <w:rPr>
                <w:rFonts w:cs="Times New Roman"/>
                <w:sz w:val="21"/>
                <w:szCs w:val="21"/>
              </w:rPr>
              <w:t>赤岗</w:t>
            </w:r>
          </w:p>
        </w:tc>
        <w:tc>
          <w:tcPr>
            <w:tcW w:w="765" w:type="pct"/>
            <w:tcBorders>
              <w:top w:val="single" w:color="000000" w:sz="4" w:space="0"/>
              <w:left w:val="single" w:color="000000" w:sz="4" w:space="0"/>
              <w:bottom w:val="single" w:color="000000" w:sz="4" w:space="0"/>
              <w:right w:val="single" w:color="000000" w:sz="4" w:space="0"/>
            </w:tcBorders>
            <w:vAlign w:val="center"/>
          </w:tcPr>
          <w:p w14:paraId="41C3752D">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273100D">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133B67E4">
            <w:pPr>
              <w:spacing w:line="240" w:lineRule="auto"/>
              <w:ind w:firstLine="0" w:firstLineChars="0"/>
              <w:jc w:val="center"/>
              <w:rPr>
                <w:rFonts w:cs="Times New Roman"/>
                <w:sz w:val="21"/>
                <w:szCs w:val="21"/>
              </w:rPr>
            </w:pPr>
            <w:r>
              <w:rPr>
                <w:rFonts w:cs="Times New Roman"/>
                <w:sz w:val="21"/>
                <w:szCs w:val="21"/>
              </w:rPr>
              <w:t>134</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690D4CE7">
            <w:pPr>
              <w:spacing w:line="240" w:lineRule="auto"/>
              <w:ind w:firstLine="0" w:firstLineChars="0"/>
              <w:jc w:val="center"/>
              <w:rPr>
                <w:rFonts w:cs="Times New Roman"/>
                <w:sz w:val="21"/>
                <w:szCs w:val="21"/>
              </w:rPr>
            </w:pPr>
            <w:r>
              <w:rPr>
                <w:rFonts w:cs="Times New Roman"/>
                <w:sz w:val="21"/>
                <w:szCs w:val="21"/>
              </w:rPr>
              <w:t>121</w:t>
            </w:r>
          </w:p>
        </w:tc>
      </w:tr>
      <w:tr w14:paraId="4C995A84">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083A042B">
            <w:pPr>
              <w:spacing w:line="240" w:lineRule="auto"/>
              <w:ind w:firstLine="0" w:firstLineChars="0"/>
              <w:jc w:val="center"/>
              <w:rPr>
                <w:rFonts w:cs="Times New Roman"/>
                <w:sz w:val="21"/>
                <w:szCs w:val="21"/>
              </w:rPr>
            </w:pPr>
            <w:r>
              <w:rPr>
                <w:rFonts w:cs="Times New Roman"/>
                <w:sz w:val="21"/>
                <w:szCs w:val="21"/>
              </w:rPr>
              <w:t>27</w:t>
            </w:r>
          </w:p>
        </w:tc>
        <w:tc>
          <w:tcPr>
            <w:tcW w:w="784" w:type="pct"/>
            <w:tcBorders>
              <w:top w:val="single" w:color="000000" w:sz="4" w:space="0"/>
              <w:left w:val="single" w:color="000000" w:sz="4" w:space="0"/>
              <w:bottom w:val="single" w:color="000000" w:sz="4" w:space="0"/>
              <w:right w:val="single" w:color="000000" w:sz="4" w:space="0"/>
            </w:tcBorders>
            <w:vAlign w:val="center"/>
          </w:tcPr>
          <w:p w14:paraId="34BEA04A">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10181958">
            <w:pPr>
              <w:spacing w:line="240" w:lineRule="auto"/>
              <w:ind w:firstLine="0" w:firstLineChars="0"/>
              <w:jc w:val="center"/>
              <w:rPr>
                <w:rFonts w:cs="Times New Roman"/>
                <w:sz w:val="21"/>
                <w:szCs w:val="21"/>
              </w:rPr>
            </w:pPr>
            <w:r>
              <w:rPr>
                <w:rFonts w:cs="Times New Roman"/>
                <w:sz w:val="21"/>
                <w:szCs w:val="21"/>
              </w:rPr>
              <w:t>大凹</w:t>
            </w:r>
          </w:p>
        </w:tc>
        <w:tc>
          <w:tcPr>
            <w:tcW w:w="765" w:type="pct"/>
            <w:tcBorders>
              <w:top w:val="single" w:color="000000" w:sz="4" w:space="0"/>
              <w:left w:val="single" w:color="000000" w:sz="4" w:space="0"/>
              <w:bottom w:val="single" w:color="000000" w:sz="4" w:space="0"/>
              <w:right w:val="single" w:color="000000" w:sz="4" w:space="0"/>
            </w:tcBorders>
            <w:vAlign w:val="center"/>
          </w:tcPr>
          <w:p w14:paraId="0790EC03">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5DBAD48D">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63791E88">
            <w:pPr>
              <w:spacing w:line="240" w:lineRule="auto"/>
              <w:ind w:firstLine="0" w:firstLineChars="0"/>
              <w:jc w:val="center"/>
              <w:rPr>
                <w:rFonts w:cs="Times New Roman"/>
                <w:sz w:val="21"/>
                <w:szCs w:val="21"/>
              </w:rPr>
            </w:pPr>
            <w:r>
              <w:rPr>
                <w:rFonts w:cs="Times New Roman"/>
                <w:sz w:val="21"/>
                <w:szCs w:val="21"/>
              </w:rPr>
              <w:t>12</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3895242B">
            <w:pPr>
              <w:spacing w:line="240" w:lineRule="auto"/>
              <w:ind w:firstLine="0" w:firstLineChars="0"/>
              <w:jc w:val="center"/>
              <w:rPr>
                <w:rFonts w:cs="Times New Roman"/>
                <w:sz w:val="21"/>
                <w:szCs w:val="21"/>
              </w:rPr>
            </w:pPr>
            <w:r>
              <w:rPr>
                <w:rFonts w:cs="Times New Roman"/>
                <w:sz w:val="21"/>
                <w:szCs w:val="21"/>
              </w:rPr>
              <w:t>10</w:t>
            </w:r>
          </w:p>
        </w:tc>
      </w:tr>
      <w:tr w14:paraId="351E1EFB">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2324C13">
            <w:pPr>
              <w:spacing w:line="240" w:lineRule="auto"/>
              <w:ind w:firstLine="0" w:firstLineChars="0"/>
              <w:jc w:val="center"/>
              <w:rPr>
                <w:rFonts w:cs="Times New Roman"/>
                <w:sz w:val="21"/>
                <w:szCs w:val="21"/>
              </w:rPr>
            </w:pPr>
            <w:r>
              <w:rPr>
                <w:rFonts w:cs="Times New Roman"/>
                <w:sz w:val="21"/>
                <w:szCs w:val="21"/>
              </w:rPr>
              <w:t>28</w:t>
            </w:r>
          </w:p>
        </w:tc>
        <w:tc>
          <w:tcPr>
            <w:tcW w:w="784" w:type="pct"/>
            <w:tcBorders>
              <w:top w:val="single" w:color="000000" w:sz="4" w:space="0"/>
              <w:left w:val="single" w:color="000000" w:sz="4" w:space="0"/>
              <w:bottom w:val="single" w:color="000000" w:sz="4" w:space="0"/>
              <w:right w:val="single" w:color="000000" w:sz="4" w:space="0"/>
            </w:tcBorders>
            <w:vAlign w:val="center"/>
          </w:tcPr>
          <w:p w14:paraId="4E9D51BD">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4559B87">
            <w:pPr>
              <w:spacing w:line="240" w:lineRule="auto"/>
              <w:ind w:firstLine="0" w:firstLineChars="0"/>
              <w:jc w:val="center"/>
              <w:rPr>
                <w:rFonts w:cs="Times New Roman"/>
                <w:sz w:val="21"/>
                <w:szCs w:val="21"/>
              </w:rPr>
            </w:pPr>
            <w:r>
              <w:rPr>
                <w:rFonts w:cs="Times New Roman"/>
                <w:sz w:val="21"/>
                <w:szCs w:val="21"/>
              </w:rPr>
              <w:t>大地馆</w:t>
            </w:r>
          </w:p>
        </w:tc>
        <w:tc>
          <w:tcPr>
            <w:tcW w:w="765" w:type="pct"/>
            <w:tcBorders>
              <w:top w:val="single" w:color="000000" w:sz="4" w:space="0"/>
              <w:left w:val="single" w:color="000000" w:sz="4" w:space="0"/>
              <w:bottom w:val="single" w:color="000000" w:sz="4" w:space="0"/>
              <w:right w:val="single" w:color="000000" w:sz="4" w:space="0"/>
            </w:tcBorders>
            <w:vAlign w:val="center"/>
          </w:tcPr>
          <w:p w14:paraId="633C31AE">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174ABD6D">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2951B094">
            <w:pPr>
              <w:spacing w:line="240" w:lineRule="auto"/>
              <w:ind w:firstLine="0" w:firstLineChars="0"/>
              <w:jc w:val="center"/>
              <w:rPr>
                <w:rFonts w:cs="Times New Roman"/>
                <w:sz w:val="21"/>
                <w:szCs w:val="21"/>
              </w:rPr>
            </w:pPr>
            <w:r>
              <w:rPr>
                <w:rFonts w:cs="Times New Roman"/>
                <w:sz w:val="21"/>
                <w:szCs w:val="21"/>
              </w:rPr>
              <w:t>53</w:t>
            </w:r>
          </w:p>
        </w:tc>
        <w:tc>
          <w:tcPr>
            <w:tcW w:w="869" w:type="pct"/>
            <w:tcBorders>
              <w:top w:val="single" w:color="000000" w:sz="4" w:space="0"/>
              <w:left w:val="single" w:color="000000" w:sz="4" w:space="0"/>
              <w:bottom w:val="single" w:color="000000" w:sz="4" w:space="0"/>
              <w:right w:val="single" w:color="000000" w:sz="4" w:space="0"/>
            </w:tcBorders>
            <w:vAlign w:val="center"/>
          </w:tcPr>
          <w:p w14:paraId="3DEFD729">
            <w:pPr>
              <w:spacing w:line="240" w:lineRule="auto"/>
              <w:ind w:firstLine="0" w:firstLineChars="0"/>
              <w:jc w:val="center"/>
              <w:rPr>
                <w:rFonts w:cs="Times New Roman"/>
                <w:sz w:val="21"/>
                <w:szCs w:val="21"/>
              </w:rPr>
            </w:pPr>
            <w:r>
              <w:rPr>
                <w:rFonts w:cs="Times New Roman"/>
                <w:sz w:val="21"/>
                <w:szCs w:val="21"/>
              </w:rPr>
              <w:t>53</w:t>
            </w:r>
          </w:p>
        </w:tc>
      </w:tr>
      <w:tr w14:paraId="1B726982">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5F9749EA">
            <w:pPr>
              <w:spacing w:line="240" w:lineRule="auto"/>
              <w:ind w:firstLine="0" w:firstLineChars="0"/>
              <w:jc w:val="center"/>
              <w:rPr>
                <w:rFonts w:cs="Times New Roman"/>
                <w:sz w:val="21"/>
                <w:szCs w:val="21"/>
              </w:rPr>
            </w:pPr>
            <w:r>
              <w:rPr>
                <w:rFonts w:cs="Times New Roman"/>
                <w:sz w:val="21"/>
                <w:szCs w:val="21"/>
              </w:rPr>
              <w:t>29</w:t>
            </w:r>
          </w:p>
        </w:tc>
        <w:tc>
          <w:tcPr>
            <w:tcW w:w="784" w:type="pct"/>
            <w:tcBorders>
              <w:top w:val="single" w:color="000000" w:sz="4" w:space="0"/>
              <w:left w:val="single" w:color="000000" w:sz="4" w:space="0"/>
              <w:bottom w:val="single" w:color="000000" w:sz="4" w:space="0"/>
              <w:right w:val="single" w:color="000000" w:sz="4" w:space="0"/>
            </w:tcBorders>
            <w:vAlign w:val="center"/>
          </w:tcPr>
          <w:p w14:paraId="49FB81D4">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50B08A77">
            <w:pPr>
              <w:spacing w:line="240" w:lineRule="auto"/>
              <w:ind w:firstLine="0" w:firstLineChars="0"/>
              <w:jc w:val="center"/>
              <w:rPr>
                <w:rFonts w:cs="Times New Roman"/>
                <w:sz w:val="21"/>
                <w:szCs w:val="21"/>
              </w:rPr>
            </w:pPr>
            <w:r>
              <w:rPr>
                <w:rFonts w:cs="Times New Roman"/>
                <w:sz w:val="21"/>
                <w:szCs w:val="21"/>
              </w:rPr>
              <w:t>涧西沟</w:t>
            </w:r>
          </w:p>
        </w:tc>
        <w:tc>
          <w:tcPr>
            <w:tcW w:w="765" w:type="pct"/>
            <w:tcBorders>
              <w:top w:val="single" w:color="000000" w:sz="4" w:space="0"/>
              <w:left w:val="single" w:color="000000" w:sz="4" w:space="0"/>
              <w:bottom w:val="single" w:color="000000" w:sz="4" w:space="0"/>
              <w:right w:val="single" w:color="000000" w:sz="4" w:space="0"/>
            </w:tcBorders>
            <w:vAlign w:val="center"/>
          </w:tcPr>
          <w:p w14:paraId="1FBCD904">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ADE2381">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2704D66B">
            <w:pPr>
              <w:spacing w:line="240" w:lineRule="auto"/>
              <w:ind w:firstLine="0" w:firstLineChars="0"/>
              <w:jc w:val="center"/>
              <w:rPr>
                <w:rFonts w:cs="Times New Roman"/>
                <w:sz w:val="21"/>
                <w:szCs w:val="21"/>
              </w:rPr>
            </w:pPr>
            <w:r>
              <w:rPr>
                <w:rFonts w:cs="Times New Roman"/>
                <w:sz w:val="21"/>
                <w:szCs w:val="21"/>
              </w:rPr>
              <w:t>49</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7FA29671">
            <w:pPr>
              <w:spacing w:line="240" w:lineRule="auto"/>
              <w:ind w:firstLine="0" w:firstLineChars="0"/>
              <w:jc w:val="center"/>
              <w:rPr>
                <w:rFonts w:cs="Times New Roman"/>
                <w:sz w:val="21"/>
                <w:szCs w:val="21"/>
              </w:rPr>
            </w:pPr>
            <w:r>
              <w:rPr>
                <w:rFonts w:cs="Times New Roman"/>
                <w:sz w:val="21"/>
                <w:szCs w:val="21"/>
              </w:rPr>
              <w:t>44</w:t>
            </w:r>
          </w:p>
        </w:tc>
      </w:tr>
      <w:tr w14:paraId="20B41D56">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0F466ED4">
            <w:pPr>
              <w:spacing w:line="240" w:lineRule="auto"/>
              <w:ind w:firstLine="0" w:firstLineChars="0"/>
              <w:jc w:val="center"/>
              <w:rPr>
                <w:rFonts w:cs="Times New Roman"/>
                <w:sz w:val="21"/>
                <w:szCs w:val="21"/>
              </w:rPr>
            </w:pPr>
            <w:r>
              <w:rPr>
                <w:rFonts w:cs="Times New Roman"/>
                <w:sz w:val="21"/>
                <w:szCs w:val="21"/>
              </w:rPr>
              <w:t>30</w:t>
            </w:r>
          </w:p>
        </w:tc>
        <w:tc>
          <w:tcPr>
            <w:tcW w:w="784" w:type="pct"/>
            <w:tcBorders>
              <w:top w:val="single" w:color="000000" w:sz="4" w:space="0"/>
              <w:left w:val="single" w:color="000000" w:sz="4" w:space="0"/>
              <w:bottom w:val="single" w:color="000000" w:sz="4" w:space="0"/>
              <w:right w:val="single" w:color="000000" w:sz="4" w:space="0"/>
            </w:tcBorders>
            <w:vAlign w:val="center"/>
          </w:tcPr>
          <w:p w14:paraId="1C168340">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6B5E5A0">
            <w:pPr>
              <w:spacing w:line="240" w:lineRule="auto"/>
              <w:ind w:firstLine="0" w:firstLineChars="0"/>
              <w:jc w:val="center"/>
              <w:rPr>
                <w:rFonts w:cs="Times New Roman"/>
                <w:sz w:val="21"/>
                <w:szCs w:val="21"/>
              </w:rPr>
            </w:pPr>
            <w:r>
              <w:rPr>
                <w:rFonts w:cs="Times New Roman"/>
                <w:sz w:val="21"/>
                <w:szCs w:val="21"/>
              </w:rPr>
              <w:t>李家山</w:t>
            </w:r>
          </w:p>
        </w:tc>
        <w:tc>
          <w:tcPr>
            <w:tcW w:w="765" w:type="pct"/>
            <w:tcBorders>
              <w:top w:val="single" w:color="000000" w:sz="4" w:space="0"/>
              <w:left w:val="single" w:color="000000" w:sz="4" w:space="0"/>
              <w:bottom w:val="single" w:color="000000" w:sz="4" w:space="0"/>
              <w:right w:val="single" w:color="000000" w:sz="4" w:space="0"/>
            </w:tcBorders>
            <w:vAlign w:val="center"/>
          </w:tcPr>
          <w:p w14:paraId="2B36E785">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45C9C39">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1FE23EC7">
            <w:pPr>
              <w:spacing w:line="240" w:lineRule="auto"/>
              <w:ind w:firstLine="0" w:firstLineChars="0"/>
              <w:jc w:val="center"/>
              <w:rPr>
                <w:rFonts w:cs="Times New Roman"/>
                <w:sz w:val="21"/>
                <w:szCs w:val="21"/>
              </w:rPr>
            </w:pPr>
            <w:r>
              <w:rPr>
                <w:rFonts w:cs="Times New Roman"/>
                <w:sz w:val="21"/>
                <w:szCs w:val="21"/>
              </w:rPr>
              <w:t>62</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458F2CBD">
            <w:pPr>
              <w:spacing w:line="240" w:lineRule="auto"/>
              <w:ind w:firstLine="0" w:firstLineChars="0"/>
              <w:jc w:val="center"/>
              <w:rPr>
                <w:rFonts w:cs="Times New Roman"/>
                <w:sz w:val="21"/>
                <w:szCs w:val="21"/>
              </w:rPr>
            </w:pPr>
            <w:r>
              <w:rPr>
                <w:rFonts w:cs="Times New Roman"/>
                <w:sz w:val="21"/>
                <w:szCs w:val="21"/>
              </w:rPr>
              <w:t>56</w:t>
            </w:r>
          </w:p>
        </w:tc>
      </w:tr>
      <w:tr w14:paraId="67F27D0C">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8D63B71">
            <w:pPr>
              <w:spacing w:line="240" w:lineRule="auto"/>
              <w:ind w:firstLine="0" w:firstLineChars="0"/>
              <w:jc w:val="center"/>
              <w:rPr>
                <w:rFonts w:cs="Times New Roman"/>
                <w:sz w:val="21"/>
                <w:szCs w:val="21"/>
              </w:rPr>
            </w:pPr>
            <w:r>
              <w:rPr>
                <w:rFonts w:cs="Times New Roman"/>
                <w:sz w:val="21"/>
                <w:szCs w:val="21"/>
              </w:rPr>
              <w:t>31</w:t>
            </w:r>
          </w:p>
        </w:tc>
        <w:tc>
          <w:tcPr>
            <w:tcW w:w="784" w:type="pct"/>
            <w:tcBorders>
              <w:top w:val="single" w:color="000000" w:sz="4" w:space="0"/>
              <w:left w:val="single" w:color="000000" w:sz="4" w:space="0"/>
              <w:bottom w:val="single" w:color="000000" w:sz="4" w:space="0"/>
              <w:right w:val="single" w:color="000000" w:sz="4" w:space="0"/>
            </w:tcBorders>
            <w:vAlign w:val="center"/>
          </w:tcPr>
          <w:p w14:paraId="0DB337AB">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F6B57E4">
            <w:pPr>
              <w:spacing w:line="240" w:lineRule="auto"/>
              <w:ind w:firstLine="0" w:firstLineChars="0"/>
              <w:jc w:val="center"/>
              <w:rPr>
                <w:rFonts w:cs="Times New Roman"/>
                <w:sz w:val="21"/>
                <w:szCs w:val="21"/>
              </w:rPr>
            </w:pPr>
            <w:r>
              <w:rPr>
                <w:rFonts w:cs="Times New Roman"/>
                <w:sz w:val="21"/>
                <w:szCs w:val="21"/>
              </w:rPr>
              <w:t>龙家湾</w:t>
            </w:r>
          </w:p>
        </w:tc>
        <w:tc>
          <w:tcPr>
            <w:tcW w:w="765" w:type="pct"/>
            <w:tcBorders>
              <w:top w:val="single" w:color="000000" w:sz="4" w:space="0"/>
              <w:left w:val="single" w:color="000000" w:sz="4" w:space="0"/>
              <w:bottom w:val="single" w:color="000000" w:sz="4" w:space="0"/>
              <w:right w:val="single" w:color="000000" w:sz="4" w:space="0"/>
            </w:tcBorders>
            <w:vAlign w:val="center"/>
          </w:tcPr>
          <w:p w14:paraId="44178538">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555E8272">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25BF25BC">
            <w:pPr>
              <w:spacing w:line="240" w:lineRule="auto"/>
              <w:ind w:firstLine="0" w:firstLineChars="0"/>
              <w:jc w:val="center"/>
              <w:rPr>
                <w:rFonts w:cs="Times New Roman"/>
                <w:sz w:val="21"/>
                <w:szCs w:val="21"/>
              </w:rPr>
            </w:pPr>
            <w:r>
              <w:rPr>
                <w:rFonts w:cs="Times New Roman"/>
                <w:sz w:val="21"/>
                <w:szCs w:val="21"/>
              </w:rPr>
              <w:t>62</w:t>
            </w:r>
          </w:p>
        </w:tc>
        <w:tc>
          <w:tcPr>
            <w:tcW w:w="869" w:type="pct"/>
            <w:tcBorders>
              <w:top w:val="single" w:color="000000" w:sz="4" w:space="0"/>
              <w:left w:val="single" w:color="000000" w:sz="4" w:space="0"/>
              <w:bottom w:val="single" w:color="000000" w:sz="4" w:space="0"/>
              <w:right w:val="single" w:color="000000" w:sz="4" w:space="0"/>
            </w:tcBorders>
            <w:vAlign w:val="center"/>
          </w:tcPr>
          <w:p w14:paraId="31175A5D">
            <w:pPr>
              <w:spacing w:line="240" w:lineRule="auto"/>
              <w:ind w:firstLine="0" w:firstLineChars="0"/>
              <w:jc w:val="center"/>
              <w:rPr>
                <w:rFonts w:cs="Times New Roman"/>
                <w:sz w:val="21"/>
                <w:szCs w:val="21"/>
              </w:rPr>
            </w:pPr>
            <w:r>
              <w:rPr>
                <w:rFonts w:cs="Times New Roman"/>
                <w:sz w:val="21"/>
                <w:szCs w:val="21"/>
              </w:rPr>
              <w:t>62</w:t>
            </w:r>
          </w:p>
        </w:tc>
      </w:tr>
      <w:tr w14:paraId="15F7329E">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5CB41857">
            <w:pPr>
              <w:spacing w:line="240" w:lineRule="auto"/>
              <w:ind w:firstLine="0" w:firstLineChars="0"/>
              <w:jc w:val="center"/>
              <w:rPr>
                <w:rFonts w:cs="Times New Roman"/>
                <w:sz w:val="21"/>
                <w:szCs w:val="21"/>
              </w:rPr>
            </w:pPr>
            <w:r>
              <w:rPr>
                <w:rFonts w:cs="Times New Roman"/>
                <w:sz w:val="21"/>
                <w:szCs w:val="21"/>
              </w:rPr>
              <w:t>32</w:t>
            </w:r>
          </w:p>
        </w:tc>
        <w:tc>
          <w:tcPr>
            <w:tcW w:w="784" w:type="pct"/>
            <w:tcBorders>
              <w:top w:val="single" w:color="000000" w:sz="4" w:space="0"/>
              <w:left w:val="single" w:color="000000" w:sz="4" w:space="0"/>
              <w:bottom w:val="single" w:color="000000" w:sz="4" w:space="0"/>
              <w:right w:val="single" w:color="000000" w:sz="4" w:space="0"/>
            </w:tcBorders>
            <w:vAlign w:val="center"/>
          </w:tcPr>
          <w:p w14:paraId="0416996D">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72089993">
            <w:pPr>
              <w:spacing w:line="240" w:lineRule="auto"/>
              <w:ind w:firstLine="0" w:firstLineChars="0"/>
              <w:jc w:val="center"/>
              <w:rPr>
                <w:rFonts w:cs="Times New Roman"/>
                <w:sz w:val="21"/>
                <w:szCs w:val="21"/>
              </w:rPr>
            </w:pPr>
            <w:r>
              <w:rPr>
                <w:rFonts w:cs="Times New Roman"/>
                <w:sz w:val="21"/>
                <w:szCs w:val="21"/>
              </w:rPr>
              <w:t>前塘</w:t>
            </w:r>
          </w:p>
        </w:tc>
        <w:tc>
          <w:tcPr>
            <w:tcW w:w="765" w:type="pct"/>
            <w:tcBorders>
              <w:top w:val="single" w:color="000000" w:sz="4" w:space="0"/>
              <w:left w:val="single" w:color="000000" w:sz="4" w:space="0"/>
              <w:bottom w:val="single" w:color="000000" w:sz="4" w:space="0"/>
              <w:right w:val="single" w:color="000000" w:sz="4" w:space="0"/>
            </w:tcBorders>
            <w:vAlign w:val="center"/>
          </w:tcPr>
          <w:p w14:paraId="4EF89855">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1F8DF81">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33A31D8C">
            <w:pPr>
              <w:spacing w:line="240" w:lineRule="auto"/>
              <w:ind w:firstLine="0" w:firstLineChars="0"/>
              <w:jc w:val="center"/>
              <w:rPr>
                <w:rFonts w:cs="Times New Roman"/>
                <w:sz w:val="21"/>
                <w:szCs w:val="21"/>
              </w:rPr>
            </w:pPr>
            <w:r>
              <w:rPr>
                <w:rFonts w:cs="Times New Roman"/>
                <w:sz w:val="21"/>
                <w:szCs w:val="21"/>
              </w:rPr>
              <w:t>54</w:t>
            </w:r>
          </w:p>
        </w:tc>
        <w:tc>
          <w:tcPr>
            <w:tcW w:w="869" w:type="pct"/>
            <w:tcBorders>
              <w:top w:val="single" w:color="000000" w:sz="4" w:space="0"/>
              <w:left w:val="single" w:color="000000" w:sz="4" w:space="0"/>
              <w:bottom w:val="single" w:color="000000" w:sz="4" w:space="0"/>
              <w:right w:val="single" w:color="000000" w:sz="4" w:space="0"/>
            </w:tcBorders>
            <w:vAlign w:val="center"/>
          </w:tcPr>
          <w:p w14:paraId="13B15ADB">
            <w:pPr>
              <w:spacing w:line="240" w:lineRule="auto"/>
              <w:ind w:firstLine="0" w:firstLineChars="0"/>
              <w:jc w:val="center"/>
              <w:rPr>
                <w:rFonts w:cs="Times New Roman"/>
                <w:sz w:val="21"/>
                <w:szCs w:val="21"/>
              </w:rPr>
            </w:pPr>
            <w:r>
              <w:rPr>
                <w:rFonts w:cs="Times New Roman"/>
                <w:sz w:val="21"/>
                <w:szCs w:val="21"/>
              </w:rPr>
              <w:t>54</w:t>
            </w:r>
          </w:p>
        </w:tc>
      </w:tr>
      <w:tr w14:paraId="7A992A95">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475D8D92">
            <w:pPr>
              <w:spacing w:line="240" w:lineRule="auto"/>
              <w:ind w:firstLine="0" w:firstLineChars="0"/>
              <w:jc w:val="center"/>
              <w:rPr>
                <w:rFonts w:cs="Times New Roman"/>
                <w:sz w:val="21"/>
                <w:szCs w:val="21"/>
              </w:rPr>
            </w:pPr>
            <w:r>
              <w:rPr>
                <w:rFonts w:cs="Times New Roman"/>
                <w:sz w:val="21"/>
                <w:szCs w:val="21"/>
              </w:rPr>
              <w:t>33</w:t>
            </w:r>
          </w:p>
        </w:tc>
        <w:tc>
          <w:tcPr>
            <w:tcW w:w="784" w:type="pct"/>
            <w:tcBorders>
              <w:top w:val="single" w:color="000000" w:sz="4" w:space="0"/>
              <w:left w:val="single" w:color="000000" w:sz="4" w:space="0"/>
              <w:bottom w:val="single" w:color="000000" w:sz="4" w:space="0"/>
              <w:right w:val="single" w:color="000000" w:sz="4" w:space="0"/>
            </w:tcBorders>
            <w:vAlign w:val="center"/>
          </w:tcPr>
          <w:p w14:paraId="6B0D0064">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6CD4DACF">
            <w:pPr>
              <w:spacing w:line="240" w:lineRule="auto"/>
              <w:ind w:firstLine="0" w:firstLineChars="0"/>
              <w:jc w:val="center"/>
              <w:rPr>
                <w:rFonts w:cs="Times New Roman"/>
                <w:sz w:val="21"/>
                <w:szCs w:val="21"/>
              </w:rPr>
            </w:pPr>
            <w:r>
              <w:rPr>
                <w:rFonts w:cs="Times New Roman"/>
                <w:sz w:val="21"/>
                <w:szCs w:val="21"/>
              </w:rPr>
              <w:t>青龙洞</w:t>
            </w:r>
          </w:p>
        </w:tc>
        <w:tc>
          <w:tcPr>
            <w:tcW w:w="765" w:type="pct"/>
            <w:tcBorders>
              <w:top w:val="single" w:color="000000" w:sz="4" w:space="0"/>
              <w:left w:val="single" w:color="000000" w:sz="4" w:space="0"/>
              <w:bottom w:val="single" w:color="000000" w:sz="4" w:space="0"/>
              <w:right w:val="single" w:color="000000" w:sz="4" w:space="0"/>
            </w:tcBorders>
            <w:vAlign w:val="center"/>
          </w:tcPr>
          <w:p w14:paraId="3CDB395A">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133F8CD">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01DCB8C7">
            <w:pPr>
              <w:spacing w:line="240" w:lineRule="auto"/>
              <w:ind w:firstLine="0" w:firstLineChars="0"/>
              <w:jc w:val="center"/>
              <w:rPr>
                <w:rFonts w:cs="Times New Roman"/>
                <w:sz w:val="21"/>
                <w:szCs w:val="21"/>
              </w:rPr>
            </w:pPr>
            <w:r>
              <w:rPr>
                <w:rFonts w:cs="Times New Roman"/>
                <w:sz w:val="21"/>
                <w:szCs w:val="21"/>
              </w:rPr>
              <w:t>54</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0BA957C7">
            <w:pPr>
              <w:spacing w:line="240" w:lineRule="auto"/>
              <w:ind w:firstLine="0" w:firstLineChars="0"/>
              <w:jc w:val="center"/>
              <w:rPr>
                <w:rFonts w:cs="Times New Roman"/>
                <w:sz w:val="21"/>
                <w:szCs w:val="21"/>
              </w:rPr>
            </w:pPr>
            <w:r>
              <w:rPr>
                <w:rFonts w:cs="Times New Roman"/>
                <w:sz w:val="21"/>
                <w:szCs w:val="21"/>
              </w:rPr>
              <w:t>49</w:t>
            </w:r>
          </w:p>
        </w:tc>
      </w:tr>
      <w:tr w14:paraId="0C301A5E">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61039D4A">
            <w:pPr>
              <w:spacing w:line="240" w:lineRule="auto"/>
              <w:ind w:firstLine="0" w:firstLineChars="0"/>
              <w:jc w:val="center"/>
              <w:rPr>
                <w:rFonts w:cs="Times New Roman"/>
                <w:sz w:val="21"/>
                <w:szCs w:val="21"/>
              </w:rPr>
            </w:pPr>
            <w:r>
              <w:rPr>
                <w:rFonts w:cs="Times New Roman"/>
                <w:sz w:val="21"/>
                <w:szCs w:val="21"/>
              </w:rPr>
              <w:t>34</w:t>
            </w:r>
          </w:p>
        </w:tc>
        <w:tc>
          <w:tcPr>
            <w:tcW w:w="784" w:type="pct"/>
            <w:tcBorders>
              <w:top w:val="single" w:color="000000" w:sz="4" w:space="0"/>
              <w:left w:val="single" w:color="000000" w:sz="4" w:space="0"/>
              <w:bottom w:val="single" w:color="000000" w:sz="4" w:space="0"/>
              <w:right w:val="single" w:color="000000" w:sz="4" w:space="0"/>
            </w:tcBorders>
            <w:vAlign w:val="center"/>
          </w:tcPr>
          <w:p w14:paraId="62B604A9">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7BDDACFE">
            <w:pPr>
              <w:spacing w:line="240" w:lineRule="auto"/>
              <w:ind w:firstLine="0" w:firstLineChars="0"/>
              <w:jc w:val="center"/>
              <w:rPr>
                <w:rFonts w:cs="Times New Roman"/>
                <w:sz w:val="21"/>
                <w:szCs w:val="21"/>
              </w:rPr>
            </w:pPr>
            <w:r>
              <w:rPr>
                <w:rFonts w:cs="Times New Roman"/>
                <w:sz w:val="21"/>
                <w:szCs w:val="21"/>
              </w:rPr>
              <w:t>上阮</w:t>
            </w:r>
          </w:p>
        </w:tc>
        <w:tc>
          <w:tcPr>
            <w:tcW w:w="765" w:type="pct"/>
            <w:tcBorders>
              <w:top w:val="single" w:color="000000" w:sz="4" w:space="0"/>
              <w:left w:val="single" w:color="000000" w:sz="4" w:space="0"/>
              <w:bottom w:val="single" w:color="000000" w:sz="4" w:space="0"/>
              <w:right w:val="single" w:color="000000" w:sz="4" w:space="0"/>
            </w:tcBorders>
            <w:vAlign w:val="center"/>
          </w:tcPr>
          <w:p w14:paraId="0242982B">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FD461E4">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21BC517B">
            <w:pPr>
              <w:spacing w:line="240" w:lineRule="auto"/>
              <w:ind w:firstLine="0" w:firstLineChars="0"/>
              <w:jc w:val="center"/>
              <w:rPr>
                <w:rFonts w:cs="Times New Roman"/>
                <w:sz w:val="21"/>
                <w:szCs w:val="21"/>
              </w:rPr>
            </w:pPr>
            <w:r>
              <w:rPr>
                <w:rFonts w:cs="Times New Roman"/>
                <w:sz w:val="21"/>
                <w:szCs w:val="21"/>
              </w:rPr>
              <w:t>92</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508EAA82">
            <w:pPr>
              <w:spacing w:line="240" w:lineRule="auto"/>
              <w:ind w:firstLine="0" w:firstLineChars="0"/>
              <w:jc w:val="center"/>
              <w:rPr>
                <w:rFonts w:cs="Times New Roman"/>
                <w:sz w:val="21"/>
                <w:szCs w:val="21"/>
              </w:rPr>
            </w:pPr>
            <w:r>
              <w:rPr>
                <w:rFonts w:cs="Times New Roman"/>
                <w:sz w:val="21"/>
                <w:szCs w:val="21"/>
              </w:rPr>
              <w:t>83</w:t>
            </w:r>
          </w:p>
        </w:tc>
      </w:tr>
      <w:tr w14:paraId="6FA01D38">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C703329">
            <w:pPr>
              <w:spacing w:line="240" w:lineRule="auto"/>
              <w:ind w:firstLine="0" w:firstLineChars="0"/>
              <w:jc w:val="center"/>
              <w:rPr>
                <w:rFonts w:cs="Times New Roman"/>
                <w:sz w:val="21"/>
                <w:szCs w:val="21"/>
              </w:rPr>
            </w:pPr>
            <w:r>
              <w:rPr>
                <w:rFonts w:cs="Times New Roman"/>
                <w:sz w:val="21"/>
                <w:szCs w:val="21"/>
              </w:rPr>
              <w:t>35</w:t>
            </w:r>
          </w:p>
        </w:tc>
        <w:tc>
          <w:tcPr>
            <w:tcW w:w="784" w:type="pct"/>
            <w:tcBorders>
              <w:top w:val="single" w:color="000000" w:sz="4" w:space="0"/>
              <w:left w:val="single" w:color="000000" w:sz="4" w:space="0"/>
              <w:bottom w:val="single" w:color="000000" w:sz="4" w:space="0"/>
              <w:right w:val="single" w:color="000000" w:sz="4" w:space="0"/>
            </w:tcBorders>
            <w:vAlign w:val="center"/>
          </w:tcPr>
          <w:p w14:paraId="67676969">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543BFDC">
            <w:pPr>
              <w:spacing w:line="240" w:lineRule="auto"/>
              <w:ind w:firstLine="0" w:firstLineChars="0"/>
              <w:jc w:val="center"/>
              <w:rPr>
                <w:rFonts w:cs="Times New Roman"/>
                <w:sz w:val="21"/>
                <w:szCs w:val="21"/>
              </w:rPr>
            </w:pPr>
            <w:r>
              <w:rPr>
                <w:rFonts w:cs="Times New Roman"/>
                <w:sz w:val="21"/>
                <w:szCs w:val="21"/>
              </w:rPr>
              <w:t>瓦沟</w:t>
            </w:r>
          </w:p>
        </w:tc>
        <w:tc>
          <w:tcPr>
            <w:tcW w:w="765" w:type="pct"/>
            <w:tcBorders>
              <w:top w:val="single" w:color="000000" w:sz="4" w:space="0"/>
              <w:left w:val="single" w:color="000000" w:sz="4" w:space="0"/>
              <w:bottom w:val="single" w:color="000000" w:sz="4" w:space="0"/>
              <w:right w:val="single" w:color="000000" w:sz="4" w:space="0"/>
            </w:tcBorders>
            <w:vAlign w:val="center"/>
          </w:tcPr>
          <w:p w14:paraId="1323FED1">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66F34BA0">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1EA91FB4">
            <w:pPr>
              <w:spacing w:line="240" w:lineRule="auto"/>
              <w:ind w:firstLine="0" w:firstLineChars="0"/>
              <w:jc w:val="center"/>
              <w:rPr>
                <w:rFonts w:cs="Times New Roman"/>
                <w:sz w:val="21"/>
                <w:szCs w:val="21"/>
              </w:rPr>
            </w:pPr>
            <w:r>
              <w:rPr>
                <w:rFonts w:cs="Times New Roman"/>
                <w:sz w:val="21"/>
                <w:szCs w:val="21"/>
              </w:rPr>
              <w:t>82</w:t>
            </w:r>
          </w:p>
        </w:tc>
        <w:tc>
          <w:tcPr>
            <w:tcW w:w="869" w:type="pct"/>
            <w:tcBorders>
              <w:top w:val="single" w:color="000000" w:sz="4" w:space="0"/>
              <w:left w:val="single" w:color="000000" w:sz="4" w:space="0"/>
              <w:bottom w:val="single" w:color="000000" w:sz="4" w:space="0"/>
              <w:right w:val="single" w:color="000000" w:sz="4" w:space="0"/>
            </w:tcBorders>
            <w:vAlign w:val="center"/>
          </w:tcPr>
          <w:p w14:paraId="5932096A">
            <w:pPr>
              <w:spacing w:line="240" w:lineRule="auto"/>
              <w:ind w:firstLine="0" w:firstLineChars="0"/>
              <w:jc w:val="center"/>
              <w:rPr>
                <w:rFonts w:cs="Times New Roman"/>
                <w:sz w:val="21"/>
                <w:szCs w:val="21"/>
              </w:rPr>
            </w:pPr>
            <w:r>
              <w:rPr>
                <w:rFonts w:cs="Times New Roman"/>
                <w:sz w:val="21"/>
                <w:szCs w:val="21"/>
              </w:rPr>
              <w:t>82</w:t>
            </w:r>
          </w:p>
        </w:tc>
      </w:tr>
      <w:tr w14:paraId="074D6569">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6C8DD4E4">
            <w:pPr>
              <w:spacing w:line="240" w:lineRule="auto"/>
              <w:ind w:firstLine="0" w:firstLineChars="0"/>
              <w:jc w:val="center"/>
              <w:rPr>
                <w:rFonts w:cs="Times New Roman"/>
                <w:sz w:val="21"/>
                <w:szCs w:val="21"/>
              </w:rPr>
            </w:pPr>
            <w:r>
              <w:rPr>
                <w:rFonts w:cs="Times New Roman"/>
                <w:sz w:val="21"/>
                <w:szCs w:val="21"/>
              </w:rPr>
              <w:t>36</w:t>
            </w:r>
          </w:p>
        </w:tc>
        <w:tc>
          <w:tcPr>
            <w:tcW w:w="784" w:type="pct"/>
            <w:tcBorders>
              <w:top w:val="single" w:color="000000" w:sz="4" w:space="0"/>
              <w:left w:val="single" w:color="000000" w:sz="4" w:space="0"/>
              <w:bottom w:val="single" w:color="000000" w:sz="4" w:space="0"/>
              <w:right w:val="single" w:color="000000" w:sz="4" w:space="0"/>
            </w:tcBorders>
            <w:vAlign w:val="center"/>
          </w:tcPr>
          <w:p w14:paraId="182D303B">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18A01596">
            <w:pPr>
              <w:spacing w:line="240" w:lineRule="auto"/>
              <w:ind w:firstLine="0" w:firstLineChars="0"/>
              <w:jc w:val="center"/>
              <w:rPr>
                <w:rFonts w:cs="Times New Roman"/>
                <w:sz w:val="21"/>
                <w:szCs w:val="21"/>
              </w:rPr>
            </w:pPr>
            <w:r>
              <w:rPr>
                <w:rFonts w:cs="Times New Roman"/>
                <w:sz w:val="21"/>
                <w:szCs w:val="21"/>
              </w:rPr>
              <w:t>西格</w:t>
            </w:r>
          </w:p>
        </w:tc>
        <w:tc>
          <w:tcPr>
            <w:tcW w:w="765" w:type="pct"/>
            <w:tcBorders>
              <w:top w:val="single" w:color="000000" w:sz="4" w:space="0"/>
              <w:left w:val="single" w:color="000000" w:sz="4" w:space="0"/>
              <w:bottom w:val="single" w:color="000000" w:sz="4" w:space="0"/>
              <w:right w:val="single" w:color="000000" w:sz="4" w:space="0"/>
            </w:tcBorders>
            <w:vAlign w:val="center"/>
          </w:tcPr>
          <w:p w14:paraId="5068E047">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6270D3E4">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1D7DB257">
            <w:pPr>
              <w:spacing w:line="240" w:lineRule="auto"/>
              <w:ind w:firstLine="0" w:firstLineChars="0"/>
              <w:jc w:val="center"/>
              <w:rPr>
                <w:rFonts w:cs="Times New Roman"/>
                <w:sz w:val="21"/>
                <w:szCs w:val="21"/>
              </w:rPr>
            </w:pPr>
            <w:r>
              <w:rPr>
                <w:rFonts w:cs="Times New Roman"/>
                <w:sz w:val="21"/>
                <w:szCs w:val="21"/>
              </w:rPr>
              <w:t>50</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7A2F6548">
            <w:pPr>
              <w:spacing w:line="240" w:lineRule="auto"/>
              <w:ind w:firstLine="0" w:firstLineChars="0"/>
              <w:jc w:val="center"/>
              <w:rPr>
                <w:rFonts w:cs="Times New Roman"/>
                <w:sz w:val="21"/>
                <w:szCs w:val="21"/>
              </w:rPr>
            </w:pPr>
            <w:r>
              <w:rPr>
                <w:rFonts w:cs="Times New Roman"/>
                <w:sz w:val="21"/>
                <w:szCs w:val="21"/>
              </w:rPr>
              <w:t>45</w:t>
            </w:r>
          </w:p>
        </w:tc>
      </w:tr>
      <w:tr w14:paraId="0EEC9A35">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F381023">
            <w:pPr>
              <w:spacing w:line="240" w:lineRule="auto"/>
              <w:ind w:firstLine="0" w:firstLineChars="0"/>
              <w:jc w:val="center"/>
              <w:rPr>
                <w:rFonts w:cs="Times New Roman"/>
                <w:sz w:val="21"/>
                <w:szCs w:val="21"/>
              </w:rPr>
            </w:pPr>
            <w:r>
              <w:rPr>
                <w:rFonts w:cs="Times New Roman"/>
                <w:sz w:val="21"/>
                <w:szCs w:val="21"/>
              </w:rPr>
              <w:t>37</w:t>
            </w:r>
          </w:p>
        </w:tc>
        <w:tc>
          <w:tcPr>
            <w:tcW w:w="784" w:type="pct"/>
            <w:tcBorders>
              <w:top w:val="single" w:color="000000" w:sz="4" w:space="0"/>
              <w:left w:val="single" w:color="000000" w:sz="4" w:space="0"/>
              <w:bottom w:val="single" w:color="000000" w:sz="4" w:space="0"/>
              <w:right w:val="single" w:color="000000" w:sz="4" w:space="0"/>
            </w:tcBorders>
            <w:vAlign w:val="center"/>
          </w:tcPr>
          <w:p w14:paraId="64CFE1E2">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16198CC5">
            <w:pPr>
              <w:spacing w:line="240" w:lineRule="auto"/>
              <w:ind w:firstLine="0" w:firstLineChars="0"/>
              <w:jc w:val="center"/>
              <w:rPr>
                <w:rFonts w:cs="Times New Roman"/>
                <w:sz w:val="21"/>
                <w:szCs w:val="21"/>
              </w:rPr>
            </w:pPr>
            <w:r>
              <w:rPr>
                <w:rFonts w:cs="Times New Roman"/>
                <w:sz w:val="21"/>
                <w:szCs w:val="21"/>
              </w:rPr>
              <w:t>下阮</w:t>
            </w:r>
          </w:p>
        </w:tc>
        <w:tc>
          <w:tcPr>
            <w:tcW w:w="765" w:type="pct"/>
            <w:tcBorders>
              <w:top w:val="single" w:color="000000" w:sz="4" w:space="0"/>
              <w:left w:val="single" w:color="000000" w:sz="4" w:space="0"/>
              <w:bottom w:val="single" w:color="000000" w:sz="4" w:space="0"/>
              <w:right w:val="single" w:color="000000" w:sz="4" w:space="0"/>
            </w:tcBorders>
            <w:vAlign w:val="center"/>
          </w:tcPr>
          <w:p w14:paraId="6D3A2A18">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6B6DD453">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6F776CDC">
            <w:pPr>
              <w:spacing w:line="240" w:lineRule="auto"/>
              <w:ind w:firstLine="0" w:firstLineChars="0"/>
              <w:jc w:val="center"/>
              <w:rPr>
                <w:rFonts w:cs="Times New Roman"/>
                <w:sz w:val="21"/>
                <w:szCs w:val="21"/>
              </w:rPr>
            </w:pPr>
            <w:r>
              <w:rPr>
                <w:rFonts w:cs="Times New Roman"/>
                <w:sz w:val="21"/>
                <w:szCs w:val="21"/>
              </w:rPr>
              <w:t>85</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539825BD">
            <w:pPr>
              <w:spacing w:line="240" w:lineRule="auto"/>
              <w:ind w:firstLine="0" w:firstLineChars="0"/>
              <w:jc w:val="center"/>
              <w:rPr>
                <w:rFonts w:cs="Times New Roman"/>
                <w:sz w:val="21"/>
                <w:szCs w:val="21"/>
              </w:rPr>
            </w:pPr>
            <w:r>
              <w:rPr>
                <w:rFonts w:cs="Times New Roman"/>
                <w:sz w:val="21"/>
                <w:szCs w:val="21"/>
              </w:rPr>
              <w:t>77</w:t>
            </w:r>
          </w:p>
        </w:tc>
      </w:tr>
      <w:tr w14:paraId="074652D3">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5E48EDD">
            <w:pPr>
              <w:spacing w:line="240" w:lineRule="auto"/>
              <w:ind w:firstLine="0" w:firstLineChars="0"/>
              <w:jc w:val="center"/>
              <w:rPr>
                <w:rFonts w:cs="Times New Roman"/>
                <w:sz w:val="21"/>
                <w:szCs w:val="21"/>
              </w:rPr>
            </w:pPr>
            <w:r>
              <w:rPr>
                <w:rFonts w:cs="Times New Roman"/>
                <w:sz w:val="21"/>
                <w:szCs w:val="21"/>
              </w:rPr>
              <w:t>38</w:t>
            </w:r>
          </w:p>
        </w:tc>
        <w:tc>
          <w:tcPr>
            <w:tcW w:w="784" w:type="pct"/>
            <w:tcBorders>
              <w:top w:val="single" w:color="000000" w:sz="4" w:space="0"/>
              <w:left w:val="single" w:color="000000" w:sz="4" w:space="0"/>
              <w:bottom w:val="single" w:color="000000" w:sz="4" w:space="0"/>
              <w:right w:val="single" w:color="000000" w:sz="4" w:space="0"/>
            </w:tcBorders>
            <w:vAlign w:val="center"/>
          </w:tcPr>
          <w:p w14:paraId="4C49832F">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3B3A862E">
            <w:pPr>
              <w:spacing w:line="240" w:lineRule="auto"/>
              <w:ind w:firstLine="0" w:firstLineChars="0"/>
              <w:jc w:val="center"/>
              <w:rPr>
                <w:rFonts w:cs="Times New Roman"/>
                <w:sz w:val="21"/>
                <w:szCs w:val="21"/>
              </w:rPr>
            </w:pPr>
            <w:r>
              <w:rPr>
                <w:rFonts w:cs="Times New Roman"/>
                <w:sz w:val="21"/>
                <w:szCs w:val="21"/>
              </w:rPr>
              <w:t>下瓦沟</w:t>
            </w:r>
          </w:p>
        </w:tc>
        <w:tc>
          <w:tcPr>
            <w:tcW w:w="765" w:type="pct"/>
            <w:tcBorders>
              <w:top w:val="single" w:color="000000" w:sz="4" w:space="0"/>
              <w:left w:val="single" w:color="000000" w:sz="4" w:space="0"/>
              <w:bottom w:val="single" w:color="000000" w:sz="4" w:space="0"/>
              <w:right w:val="single" w:color="000000" w:sz="4" w:space="0"/>
            </w:tcBorders>
            <w:vAlign w:val="center"/>
          </w:tcPr>
          <w:p w14:paraId="4F3A5FF6">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D8044A0">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0CD562F4">
            <w:pPr>
              <w:spacing w:line="240" w:lineRule="auto"/>
              <w:ind w:firstLine="0" w:firstLineChars="0"/>
              <w:jc w:val="center"/>
              <w:rPr>
                <w:rFonts w:cs="Times New Roman"/>
                <w:sz w:val="21"/>
                <w:szCs w:val="21"/>
              </w:rPr>
            </w:pPr>
            <w:r>
              <w:rPr>
                <w:rFonts w:cs="Times New Roman"/>
                <w:sz w:val="21"/>
                <w:szCs w:val="21"/>
              </w:rPr>
              <w:t>34</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7141E049">
            <w:pPr>
              <w:spacing w:line="240" w:lineRule="auto"/>
              <w:ind w:firstLine="0" w:firstLineChars="0"/>
              <w:jc w:val="center"/>
              <w:rPr>
                <w:rFonts w:cs="Times New Roman"/>
                <w:sz w:val="21"/>
                <w:szCs w:val="21"/>
              </w:rPr>
            </w:pPr>
            <w:r>
              <w:rPr>
                <w:rFonts w:cs="Times New Roman"/>
                <w:sz w:val="21"/>
                <w:szCs w:val="21"/>
              </w:rPr>
              <w:t>27</w:t>
            </w:r>
          </w:p>
        </w:tc>
      </w:tr>
      <w:tr w14:paraId="41E97009">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FE41755">
            <w:pPr>
              <w:spacing w:line="240" w:lineRule="auto"/>
              <w:ind w:firstLine="0" w:firstLineChars="0"/>
              <w:jc w:val="center"/>
              <w:rPr>
                <w:rFonts w:cs="Times New Roman"/>
                <w:sz w:val="21"/>
                <w:szCs w:val="21"/>
              </w:rPr>
            </w:pPr>
            <w:r>
              <w:rPr>
                <w:rFonts w:cs="Times New Roman"/>
                <w:sz w:val="21"/>
                <w:szCs w:val="21"/>
              </w:rPr>
              <w:t>39</w:t>
            </w:r>
          </w:p>
        </w:tc>
        <w:tc>
          <w:tcPr>
            <w:tcW w:w="784" w:type="pct"/>
            <w:tcBorders>
              <w:top w:val="single" w:color="000000" w:sz="4" w:space="0"/>
              <w:left w:val="single" w:color="000000" w:sz="4" w:space="0"/>
              <w:bottom w:val="single" w:color="000000" w:sz="4" w:space="0"/>
              <w:right w:val="single" w:color="000000" w:sz="4" w:space="0"/>
            </w:tcBorders>
            <w:vAlign w:val="center"/>
          </w:tcPr>
          <w:p w14:paraId="5C5FF7F0">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68B786C8">
            <w:pPr>
              <w:spacing w:line="240" w:lineRule="auto"/>
              <w:ind w:firstLine="0" w:firstLineChars="0"/>
              <w:jc w:val="center"/>
              <w:rPr>
                <w:rFonts w:cs="Times New Roman"/>
                <w:sz w:val="21"/>
                <w:szCs w:val="21"/>
              </w:rPr>
            </w:pPr>
            <w:r>
              <w:rPr>
                <w:rFonts w:cs="Times New Roman"/>
                <w:sz w:val="21"/>
                <w:szCs w:val="21"/>
              </w:rPr>
              <w:t>小地馆</w:t>
            </w:r>
          </w:p>
        </w:tc>
        <w:tc>
          <w:tcPr>
            <w:tcW w:w="765" w:type="pct"/>
            <w:tcBorders>
              <w:top w:val="single" w:color="000000" w:sz="4" w:space="0"/>
              <w:left w:val="single" w:color="000000" w:sz="4" w:space="0"/>
              <w:bottom w:val="single" w:color="000000" w:sz="4" w:space="0"/>
              <w:right w:val="single" w:color="000000" w:sz="4" w:space="0"/>
            </w:tcBorders>
            <w:vAlign w:val="center"/>
          </w:tcPr>
          <w:p w14:paraId="63BA8344">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54AB507">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1E0F818C">
            <w:pPr>
              <w:spacing w:line="240" w:lineRule="auto"/>
              <w:ind w:firstLine="0" w:firstLineChars="0"/>
              <w:jc w:val="center"/>
              <w:rPr>
                <w:rFonts w:cs="Times New Roman"/>
                <w:sz w:val="21"/>
                <w:szCs w:val="21"/>
              </w:rPr>
            </w:pPr>
            <w:r>
              <w:rPr>
                <w:rFonts w:cs="Times New Roman"/>
                <w:sz w:val="21"/>
                <w:szCs w:val="21"/>
              </w:rPr>
              <w:t>33</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53E98D95">
            <w:pPr>
              <w:spacing w:line="240" w:lineRule="auto"/>
              <w:ind w:firstLine="0" w:firstLineChars="0"/>
              <w:jc w:val="center"/>
              <w:rPr>
                <w:rFonts w:cs="Times New Roman"/>
                <w:sz w:val="21"/>
                <w:szCs w:val="21"/>
              </w:rPr>
            </w:pPr>
            <w:r>
              <w:rPr>
                <w:rFonts w:cs="Times New Roman"/>
                <w:sz w:val="21"/>
                <w:szCs w:val="21"/>
              </w:rPr>
              <w:t>30</w:t>
            </w:r>
          </w:p>
        </w:tc>
      </w:tr>
      <w:tr w14:paraId="28DC23AC">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37BDA1E">
            <w:pPr>
              <w:spacing w:line="240" w:lineRule="auto"/>
              <w:ind w:firstLine="0" w:firstLineChars="0"/>
              <w:jc w:val="center"/>
              <w:rPr>
                <w:rFonts w:cs="Times New Roman"/>
                <w:sz w:val="21"/>
                <w:szCs w:val="21"/>
              </w:rPr>
            </w:pPr>
            <w:r>
              <w:rPr>
                <w:rFonts w:cs="Times New Roman"/>
                <w:sz w:val="21"/>
                <w:szCs w:val="21"/>
              </w:rPr>
              <w:t>40</w:t>
            </w:r>
          </w:p>
        </w:tc>
        <w:tc>
          <w:tcPr>
            <w:tcW w:w="784" w:type="pct"/>
            <w:tcBorders>
              <w:top w:val="single" w:color="000000" w:sz="4" w:space="0"/>
              <w:left w:val="single" w:color="000000" w:sz="4" w:space="0"/>
              <w:bottom w:val="single" w:color="000000" w:sz="4" w:space="0"/>
              <w:right w:val="single" w:color="000000" w:sz="4" w:space="0"/>
            </w:tcBorders>
            <w:vAlign w:val="center"/>
          </w:tcPr>
          <w:p w14:paraId="316B8A5D">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5A7E6FC">
            <w:pPr>
              <w:spacing w:line="240" w:lineRule="auto"/>
              <w:ind w:firstLine="0" w:firstLineChars="0"/>
              <w:jc w:val="center"/>
              <w:rPr>
                <w:rFonts w:cs="Times New Roman"/>
                <w:sz w:val="21"/>
                <w:szCs w:val="21"/>
              </w:rPr>
            </w:pPr>
            <w:r>
              <w:rPr>
                <w:rFonts w:cs="Times New Roman"/>
                <w:sz w:val="21"/>
                <w:szCs w:val="21"/>
              </w:rPr>
              <w:t>许庄</w:t>
            </w:r>
          </w:p>
        </w:tc>
        <w:tc>
          <w:tcPr>
            <w:tcW w:w="765" w:type="pct"/>
            <w:tcBorders>
              <w:top w:val="single" w:color="000000" w:sz="4" w:space="0"/>
              <w:left w:val="single" w:color="000000" w:sz="4" w:space="0"/>
              <w:bottom w:val="single" w:color="000000" w:sz="4" w:space="0"/>
              <w:right w:val="single" w:color="000000" w:sz="4" w:space="0"/>
            </w:tcBorders>
            <w:vAlign w:val="center"/>
          </w:tcPr>
          <w:p w14:paraId="1554F2D1">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6F40846">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0AEE6928">
            <w:pPr>
              <w:spacing w:line="240" w:lineRule="auto"/>
              <w:ind w:firstLine="0" w:firstLineChars="0"/>
              <w:jc w:val="center"/>
              <w:rPr>
                <w:rFonts w:cs="Times New Roman"/>
                <w:sz w:val="21"/>
                <w:szCs w:val="21"/>
              </w:rPr>
            </w:pPr>
            <w:r>
              <w:rPr>
                <w:rFonts w:cs="Times New Roman"/>
                <w:sz w:val="21"/>
                <w:szCs w:val="21"/>
              </w:rPr>
              <w:t>103</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7744E398">
            <w:pPr>
              <w:spacing w:line="240" w:lineRule="auto"/>
              <w:ind w:firstLine="0" w:firstLineChars="0"/>
              <w:jc w:val="center"/>
              <w:rPr>
                <w:rFonts w:cs="Times New Roman"/>
                <w:sz w:val="21"/>
                <w:szCs w:val="21"/>
              </w:rPr>
            </w:pPr>
            <w:r>
              <w:rPr>
                <w:rFonts w:cs="Times New Roman"/>
                <w:sz w:val="21"/>
                <w:szCs w:val="21"/>
              </w:rPr>
              <w:t>93</w:t>
            </w:r>
          </w:p>
        </w:tc>
      </w:tr>
      <w:tr w14:paraId="63453203">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051553A">
            <w:pPr>
              <w:spacing w:line="240" w:lineRule="auto"/>
              <w:ind w:firstLine="0" w:firstLineChars="0"/>
              <w:jc w:val="center"/>
              <w:rPr>
                <w:rFonts w:cs="Times New Roman"/>
                <w:sz w:val="21"/>
                <w:szCs w:val="21"/>
              </w:rPr>
            </w:pPr>
            <w:r>
              <w:rPr>
                <w:rFonts w:cs="Times New Roman"/>
                <w:sz w:val="21"/>
                <w:szCs w:val="21"/>
              </w:rPr>
              <w:t>41</w:t>
            </w:r>
          </w:p>
        </w:tc>
        <w:tc>
          <w:tcPr>
            <w:tcW w:w="784" w:type="pct"/>
            <w:tcBorders>
              <w:top w:val="single" w:color="000000" w:sz="4" w:space="0"/>
              <w:left w:val="single" w:color="000000" w:sz="4" w:space="0"/>
              <w:bottom w:val="single" w:color="000000" w:sz="4" w:space="0"/>
              <w:right w:val="single" w:color="000000" w:sz="4" w:space="0"/>
            </w:tcBorders>
            <w:vAlign w:val="center"/>
          </w:tcPr>
          <w:p w14:paraId="6B3F6071">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7963CF1A">
            <w:pPr>
              <w:spacing w:line="240" w:lineRule="auto"/>
              <w:ind w:firstLine="0" w:firstLineChars="0"/>
              <w:jc w:val="center"/>
              <w:rPr>
                <w:rFonts w:cs="Times New Roman"/>
                <w:sz w:val="21"/>
                <w:szCs w:val="21"/>
              </w:rPr>
            </w:pPr>
            <w:r>
              <w:rPr>
                <w:rFonts w:cs="Times New Roman"/>
                <w:sz w:val="21"/>
                <w:szCs w:val="21"/>
              </w:rPr>
              <w:t>张笪里</w:t>
            </w:r>
          </w:p>
        </w:tc>
        <w:tc>
          <w:tcPr>
            <w:tcW w:w="765" w:type="pct"/>
            <w:tcBorders>
              <w:top w:val="single" w:color="000000" w:sz="4" w:space="0"/>
              <w:left w:val="single" w:color="000000" w:sz="4" w:space="0"/>
              <w:bottom w:val="single" w:color="000000" w:sz="4" w:space="0"/>
              <w:right w:val="single" w:color="000000" w:sz="4" w:space="0"/>
            </w:tcBorders>
            <w:vAlign w:val="center"/>
          </w:tcPr>
          <w:p w14:paraId="050D029F">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5F2A5012">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754EB939">
            <w:pPr>
              <w:spacing w:line="240" w:lineRule="auto"/>
              <w:ind w:firstLine="0" w:firstLineChars="0"/>
              <w:jc w:val="center"/>
              <w:rPr>
                <w:rFonts w:cs="Times New Roman"/>
                <w:sz w:val="21"/>
                <w:szCs w:val="21"/>
              </w:rPr>
            </w:pPr>
            <w:r>
              <w:rPr>
                <w:rFonts w:cs="Times New Roman"/>
                <w:sz w:val="21"/>
                <w:szCs w:val="21"/>
              </w:rPr>
              <w:t>61</w:t>
            </w:r>
          </w:p>
        </w:tc>
        <w:tc>
          <w:tcPr>
            <w:tcW w:w="869" w:type="pct"/>
            <w:tcBorders>
              <w:top w:val="single" w:color="000000" w:sz="4" w:space="0"/>
              <w:left w:val="single" w:color="000000" w:sz="4" w:space="0"/>
              <w:bottom w:val="single" w:color="000000" w:sz="4" w:space="0"/>
              <w:right w:val="single" w:color="000000" w:sz="4" w:space="0"/>
            </w:tcBorders>
            <w:vAlign w:val="center"/>
          </w:tcPr>
          <w:p w14:paraId="6824B51E">
            <w:pPr>
              <w:spacing w:line="240" w:lineRule="auto"/>
              <w:ind w:firstLine="0" w:firstLineChars="0"/>
              <w:jc w:val="center"/>
              <w:rPr>
                <w:rFonts w:cs="Times New Roman"/>
                <w:sz w:val="21"/>
                <w:szCs w:val="21"/>
              </w:rPr>
            </w:pPr>
            <w:r>
              <w:rPr>
                <w:rFonts w:cs="Times New Roman"/>
                <w:sz w:val="21"/>
                <w:szCs w:val="21"/>
              </w:rPr>
              <w:t>61</w:t>
            </w:r>
          </w:p>
        </w:tc>
      </w:tr>
      <w:tr w14:paraId="5C56821F">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09C8F6E">
            <w:pPr>
              <w:spacing w:line="240" w:lineRule="auto"/>
              <w:ind w:firstLine="0" w:firstLineChars="0"/>
              <w:jc w:val="center"/>
              <w:rPr>
                <w:rFonts w:cs="Times New Roman"/>
                <w:sz w:val="21"/>
                <w:szCs w:val="21"/>
              </w:rPr>
            </w:pPr>
            <w:r>
              <w:rPr>
                <w:rFonts w:cs="Times New Roman"/>
                <w:sz w:val="21"/>
                <w:szCs w:val="21"/>
              </w:rPr>
              <w:t>42</w:t>
            </w:r>
          </w:p>
        </w:tc>
        <w:tc>
          <w:tcPr>
            <w:tcW w:w="784" w:type="pct"/>
            <w:tcBorders>
              <w:top w:val="single" w:color="000000" w:sz="4" w:space="0"/>
              <w:left w:val="single" w:color="000000" w:sz="4" w:space="0"/>
              <w:bottom w:val="single" w:color="000000" w:sz="4" w:space="0"/>
              <w:right w:val="single" w:color="000000" w:sz="4" w:space="0"/>
            </w:tcBorders>
            <w:vAlign w:val="center"/>
          </w:tcPr>
          <w:p w14:paraId="41374FD8">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1FEE611">
            <w:pPr>
              <w:spacing w:line="240" w:lineRule="auto"/>
              <w:ind w:firstLine="0" w:firstLineChars="0"/>
              <w:jc w:val="center"/>
              <w:rPr>
                <w:rFonts w:cs="Times New Roman"/>
                <w:sz w:val="21"/>
                <w:szCs w:val="21"/>
              </w:rPr>
            </w:pPr>
            <w:r>
              <w:rPr>
                <w:rFonts w:cs="Times New Roman"/>
                <w:sz w:val="21"/>
                <w:szCs w:val="21"/>
              </w:rPr>
              <w:t>长山凹</w:t>
            </w:r>
          </w:p>
        </w:tc>
        <w:tc>
          <w:tcPr>
            <w:tcW w:w="765" w:type="pct"/>
            <w:tcBorders>
              <w:top w:val="single" w:color="000000" w:sz="4" w:space="0"/>
              <w:left w:val="single" w:color="000000" w:sz="4" w:space="0"/>
              <w:bottom w:val="single" w:color="000000" w:sz="4" w:space="0"/>
              <w:right w:val="single" w:color="000000" w:sz="4" w:space="0"/>
            </w:tcBorders>
            <w:vAlign w:val="center"/>
          </w:tcPr>
          <w:p w14:paraId="2ACCD06D">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E64AC8F">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473CB4F4">
            <w:pPr>
              <w:spacing w:line="240" w:lineRule="auto"/>
              <w:ind w:firstLine="0" w:firstLineChars="0"/>
              <w:jc w:val="center"/>
              <w:rPr>
                <w:rFonts w:cs="Times New Roman"/>
                <w:sz w:val="21"/>
                <w:szCs w:val="21"/>
              </w:rPr>
            </w:pPr>
            <w:r>
              <w:rPr>
                <w:rFonts w:cs="Times New Roman"/>
                <w:sz w:val="21"/>
                <w:szCs w:val="21"/>
              </w:rPr>
              <w:t>31</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7EF6C7A8">
            <w:pPr>
              <w:spacing w:line="240" w:lineRule="auto"/>
              <w:ind w:firstLine="0" w:firstLineChars="0"/>
              <w:jc w:val="center"/>
              <w:rPr>
                <w:rFonts w:cs="Times New Roman"/>
                <w:sz w:val="21"/>
                <w:szCs w:val="21"/>
              </w:rPr>
            </w:pPr>
            <w:r>
              <w:rPr>
                <w:rFonts w:cs="Times New Roman"/>
                <w:sz w:val="21"/>
                <w:szCs w:val="21"/>
              </w:rPr>
              <w:t>25</w:t>
            </w:r>
          </w:p>
        </w:tc>
      </w:tr>
      <w:tr w14:paraId="7436C076">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DCAD678">
            <w:pPr>
              <w:spacing w:line="240" w:lineRule="auto"/>
              <w:ind w:firstLine="0" w:firstLineChars="0"/>
              <w:jc w:val="center"/>
              <w:rPr>
                <w:rFonts w:cs="Times New Roman"/>
                <w:sz w:val="21"/>
                <w:szCs w:val="21"/>
              </w:rPr>
            </w:pPr>
            <w:r>
              <w:rPr>
                <w:rFonts w:cs="Times New Roman"/>
                <w:sz w:val="21"/>
                <w:szCs w:val="21"/>
              </w:rPr>
              <w:t>43</w:t>
            </w:r>
          </w:p>
        </w:tc>
        <w:tc>
          <w:tcPr>
            <w:tcW w:w="784" w:type="pct"/>
            <w:tcBorders>
              <w:top w:val="single" w:color="000000" w:sz="4" w:space="0"/>
              <w:left w:val="single" w:color="000000" w:sz="4" w:space="0"/>
              <w:bottom w:val="single" w:color="000000" w:sz="4" w:space="0"/>
              <w:right w:val="single" w:color="000000" w:sz="4" w:space="0"/>
            </w:tcBorders>
            <w:vAlign w:val="center"/>
          </w:tcPr>
          <w:p w14:paraId="6992B96B">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3CE03994">
            <w:pPr>
              <w:spacing w:line="240" w:lineRule="auto"/>
              <w:ind w:firstLine="0" w:firstLineChars="0"/>
              <w:jc w:val="center"/>
              <w:rPr>
                <w:rFonts w:cs="Times New Roman"/>
                <w:sz w:val="21"/>
                <w:szCs w:val="21"/>
              </w:rPr>
            </w:pPr>
            <w:r>
              <w:rPr>
                <w:rFonts w:cs="Times New Roman"/>
                <w:sz w:val="21"/>
                <w:szCs w:val="21"/>
              </w:rPr>
              <w:t>芝麻凹</w:t>
            </w:r>
          </w:p>
        </w:tc>
        <w:tc>
          <w:tcPr>
            <w:tcW w:w="765" w:type="pct"/>
            <w:tcBorders>
              <w:top w:val="single" w:color="000000" w:sz="4" w:space="0"/>
              <w:left w:val="single" w:color="000000" w:sz="4" w:space="0"/>
              <w:bottom w:val="single" w:color="000000" w:sz="4" w:space="0"/>
              <w:right w:val="single" w:color="000000" w:sz="4" w:space="0"/>
            </w:tcBorders>
            <w:vAlign w:val="center"/>
          </w:tcPr>
          <w:p w14:paraId="010DB857">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6657F5B">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7ED37DCE">
            <w:pPr>
              <w:spacing w:line="240" w:lineRule="auto"/>
              <w:ind w:firstLine="0" w:firstLineChars="0"/>
              <w:jc w:val="center"/>
              <w:rPr>
                <w:rFonts w:cs="Times New Roman"/>
                <w:sz w:val="21"/>
                <w:szCs w:val="21"/>
              </w:rPr>
            </w:pPr>
            <w:r>
              <w:rPr>
                <w:rFonts w:cs="Times New Roman"/>
                <w:sz w:val="21"/>
                <w:szCs w:val="21"/>
              </w:rPr>
              <w:t>38</w:t>
            </w:r>
          </w:p>
        </w:tc>
        <w:tc>
          <w:tcPr>
            <w:tcW w:w="869" w:type="pct"/>
            <w:tcBorders>
              <w:top w:val="single" w:color="000000" w:sz="4" w:space="0"/>
              <w:left w:val="single" w:color="000000" w:sz="4" w:space="0"/>
              <w:bottom w:val="single" w:color="000000" w:sz="4" w:space="0"/>
              <w:right w:val="single" w:color="000000" w:sz="4" w:space="0"/>
            </w:tcBorders>
            <w:vAlign w:val="center"/>
          </w:tcPr>
          <w:p w14:paraId="128E3292">
            <w:pPr>
              <w:spacing w:line="240" w:lineRule="auto"/>
              <w:ind w:firstLine="0" w:firstLineChars="0"/>
              <w:jc w:val="center"/>
              <w:rPr>
                <w:rFonts w:cs="Times New Roman"/>
                <w:sz w:val="21"/>
                <w:szCs w:val="21"/>
              </w:rPr>
            </w:pPr>
            <w:r>
              <w:rPr>
                <w:rFonts w:cs="Times New Roman"/>
                <w:sz w:val="21"/>
                <w:szCs w:val="21"/>
              </w:rPr>
              <w:t>38</w:t>
            </w:r>
          </w:p>
        </w:tc>
      </w:tr>
      <w:tr w14:paraId="38E47667">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3825C42">
            <w:pPr>
              <w:spacing w:line="240" w:lineRule="auto"/>
              <w:ind w:firstLine="0" w:firstLineChars="0"/>
              <w:jc w:val="center"/>
              <w:rPr>
                <w:rFonts w:cs="Times New Roman"/>
                <w:sz w:val="21"/>
                <w:szCs w:val="21"/>
              </w:rPr>
            </w:pPr>
            <w:r>
              <w:rPr>
                <w:rFonts w:cs="Times New Roman"/>
                <w:sz w:val="21"/>
                <w:szCs w:val="21"/>
              </w:rPr>
              <w:t>44</w:t>
            </w:r>
          </w:p>
        </w:tc>
        <w:tc>
          <w:tcPr>
            <w:tcW w:w="784" w:type="pct"/>
            <w:tcBorders>
              <w:top w:val="single" w:color="000000" w:sz="4" w:space="0"/>
              <w:left w:val="single" w:color="000000" w:sz="4" w:space="0"/>
              <w:bottom w:val="single" w:color="000000" w:sz="4" w:space="0"/>
              <w:right w:val="single" w:color="000000" w:sz="4" w:space="0"/>
            </w:tcBorders>
            <w:vAlign w:val="center"/>
          </w:tcPr>
          <w:p w14:paraId="6B1A57AB">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6CA23986">
            <w:pPr>
              <w:spacing w:line="240" w:lineRule="auto"/>
              <w:ind w:firstLine="0" w:firstLineChars="0"/>
              <w:jc w:val="center"/>
              <w:rPr>
                <w:rFonts w:cs="Times New Roman"/>
                <w:sz w:val="21"/>
                <w:szCs w:val="21"/>
              </w:rPr>
            </w:pPr>
            <w:r>
              <w:rPr>
                <w:rFonts w:cs="Times New Roman"/>
                <w:sz w:val="21"/>
                <w:szCs w:val="21"/>
              </w:rPr>
              <w:t>芝枝山</w:t>
            </w:r>
          </w:p>
        </w:tc>
        <w:tc>
          <w:tcPr>
            <w:tcW w:w="765" w:type="pct"/>
            <w:tcBorders>
              <w:top w:val="single" w:color="000000" w:sz="4" w:space="0"/>
              <w:left w:val="single" w:color="000000" w:sz="4" w:space="0"/>
              <w:bottom w:val="single" w:color="000000" w:sz="4" w:space="0"/>
              <w:right w:val="single" w:color="000000" w:sz="4" w:space="0"/>
            </w:tcBorders>
            <w:vAlign w:val="center"/>
          </w:tcPr>
          <w:p w14:paraId="2685B401">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2575A9C">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1C3C011E">
            <w:pPr>
              <w:spacing w:line="240" w:lineRule="auto"/>
              <w:ind w:firstLine="0" w:firstLineChars="0"/>
              <w:jc w:val="center"/>
              <w:rPr>
                <w:rFonts w:cs="Times New Roman"/>
                <w:sz w:val="21"/>
                <w:szCs w:val="21"/>
              </w:rPr>
            </w:pPr>
            <w:r>
              <w:rPr>
                <w:rFonts w:cs="Times New Roman"/>
                <w:sz w:val="21"/>
                <w:szCs w:val="21"/>
              </w:rPr>
              <w:t>48</w:t>
            </w:r>
          </w:p>
        </w:tc>
        <w:tc>
          <w:tcPr>
            <w:tcW w:w="869" w:type="pct"/>
            <w:tcBorders>
              <w:top w:val="single" w:color="000000" w:sz="4" w:space="0"/>
              <w:left w:val="single" w:color="000000" w:sz="4" w:space="0"/>
              <w:bottom w:val="single" w:color="000000" w:sz="4" w:space="0"/>
              <w:right w:val="single" w:color="000000" w:sz="4" w:space="0"/>
            </w:tcBorders>
            <w:vAlign w:val="center"/>
          </w:tcPr>
          <w:p w14:paraId="4503ABD9">
            <w:pPr>
              <w:spacing w:line="240" w:lineRule="auto"/>
              <w:ind w:firstLine="0" w:firstLineChars="0"/>
              <w:jc w:val="center"/>
              <w:rPr>
                <w:rFonts w:cs="Times New Roman"/>
                <w:sz w:val="21"/>
                <w:szCs w:val="21"/>
              </w:rPr>
            </w:pPr>
            <w:r>
              <w:rPr>
                <w:rFonts w:cs="Times New Roman"/>
                <w:sz w:val="21"/>
                <w:szCs w:val="21"/>
              </w:rPr>
              <w:t>48</w:t>
            </w:r>
          </w:p>
        </w:tc>
      </w:tr>
      <w:tr w14:paraId="495FDB35">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F9F2DB4">
            <w:pPr>
              <w:spacing w:line="240" w:lineRule="auto"/>
              <w:ind w:firstLine="0" w:firstLineChars="0"/>
              <w:jc w:val="center"/>
              <w:rPr>
                <w:rFonts w:cs="Times New Roman"/>
                <w:sz w:val="21"/>
                <w:szCs w:val="21"/>
              </w:rPr>
            </w:pPr>
            <w:r>
              <w:rPr>
                <w:rFonts w:cs="Times New Roman"/>
                <w:sz w:val="21"/>
                <w:szCs w:val="21"/>
              </w:rPr>
              <w:t>45</w:t>
            </w:r>
          </w:p>
        </w:tc>
        <w:tc>
          <w:tcPr>
            <w:tcW w:w="784" w:type="pct"/>
            <w:tcBorders>
              <w:top w:val="single" w:color="000000" w:sz="4" w:space="0"/>
              <w:left w:val="single" w:color="000000" w:sz="4" w:space="0"/>
              <w:bottom w:val="single" w:color="000000" w:sz="4" w:space="0"/>
              <w:right w:val="single" w:color="000000" w:sz="4" w:space="0"/>
            </w:tcBorders>
            <w:vAlign w:val="center"/>
          </w:tcPr>
          <w:p w14:paraId="08A91588">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59ABAC4A">
            <w:pPr>
              <w:spacing w:line="240" w:lineRule="auto"/>
              <w:ind w:firstLine="0" w:firstLineChars="0"/>
              <w:jc w:val="center"/>
              <w:rPr>
                <w:rFonts w:cs="Times New Roman"/>
                <w:sz w:val="21"/>
                <w:szCs w:val="21"/>
              </w:rPr>
            </w:pPr>
            <w:r>
              <w:rPr>
                <w:rFonts w:cs="Times New Roman"/>
                <w:sz w:val="21"/>
                <w:szCs w:val="21"/>
              </w:rPr>
              <w:t>周家棚</w:t>
            </w:r>
          </w:p>
        </w:tc>
        <w:tc>
          <w:tcPr>
            <w:tcW w:w="765" w:type="pct"/>
            <w:tcBorders>
              <w:top w:val="single" w:color="000000" w:sz="4" w:space="0"/>
              <w:left w:val="single" w:color="000000" w:sz="4" w:space="0"/>
              <w:bottom w:val="single" w:color="000000" w:sz="4" w:space="0"/>
              <w:right w:val="single" w:color="000000" w:sz="4" w:space="0"/>
            </w:tcBorders>
            <w:vAlign w:val="center"/>
          </w:tcPr>
          <w:p w14:paraId="29FD8154">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D574350">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17BE3F10">
            <w:pPr>
              <w:spacing w:line="240" w:lineRule="auto"/>
              <w:ind w:firstLine="0" w:firstLineChars="0"/>
              <w:jc w:val="center"/>
              <w:rPr>
                <w:rFonts w:cs="Times New Roman"/>
                <w:sz w:val="21"/>
                <w:szCs w:val="21"/>
              </w:rPr>
            </w:pPr>
            <w:r>
              <w:rPr>
                <w:rFonts w:cs="Times New Roman"/>
                <w:sz w:val="21"/>
                <w:szCs w:val="21"/>
              </w:rPr>
              <w:t>76</w:t>
            </w:r>
          </w:p>
        </w:tc>
        <w:tc>
          <w:tcPr>
            <w:tcW w:w="869" w:type="pct"/>
            <w:tcBorders>
              <w:top w:val="single" w:color="000000" w:sz="4" w:space="0"/>
              <w:left w:val="single" w:color="000000" w:sz="4" w:space="0"/>
              <w:bottom w:val="single" w:color="000000" w:sz="4" w:space="0"/>
              <w:right w:val="single" w:color="000000" w:sz="4" w:space="0"/>
            </w:tcBorders>
            <w:vAlign w:val="center"/>
          </w:tcPr>
          <w:p w14:paraId="78860AF9">
            <w:pPr>
              <w:spacing w:line="240" w:lineRule="auto"/>
              <w:ind w:firstLine="0" w:firstLineChars="0"/>
              <w:jc w:val="center"/>
              <w:rPr>
                <w:rFonts w:cs="Times New Roman"/>
                <w:sz w:val="21"/>
                <w:szCs w:val="21"/>
              </w:rPr>
            </w:pPr>
            <w:r>
              <w:rPr>
                <w:rFonts w:cs="Times New Roman"/>
                <w:sz w:val="21"/>
                <w:szCs w:val="21"/>
              </w:rPr>
              <w:t>76</w:t>
            </w:r>
          </w:p>
        </w:tc>
      </w:tr>
      <w:tr w14:paraId="3FD741CC">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D6957B1">
            <w:pPr>
              <w:spacing w:line="240" w:lineRule="auto"/>
              <w:ind w:firstLine="0" w:firstLineChars="0"/>
              <w:jc w:val="center"/>
              <w:rPr>
                <w:rFonts w:cs="Times New Roman"/>
                <w:sz w:val="21"/>
                <w:szCs w:val="21"/>
              </w:rPr>
            </w:pPr>
            <w:r>
              <w:rPr>
                <w:rFonts w:cs="Times New Roman"/>
                <w:sz w:val="21"/>
                <w:szCs w:val="21"/>
              </w:rPr>
              <w:t>46</w:t>
            </w:r>
          </w:p>
        </w:tc>
        <w:tc>
          <w:tcPr>
            <w:tcW w:w="784" w:type="pct"/>
            <w:tcBorders>
              <w:top w:val="single" w:color="000000" w:sz="4" w:space="0"/>
              <w:left w:val="single" w:color="000000" w:sz="4" w:space="0"/>
              <w:bottom w:val="single" w:color="000000" w:sz="4" w:space="0"/>
              <w:right w:val="single" w:color="000000" w:sz="4" w:space="0"/>
            </w:tcBorders>
            <w:vAlign w:val="center"/>
          </w:tcPr>
          <w:p w14:paraId="4D562087">
            <w:pPr>
              <w:spacing w:line="240" w:lineRule="auto"/>
              <w:ind w:firstLine="0" w:firstLineChars="0"/>
              <w:jc w:val="center"/>
              <w:rPr>
                <w:rFonts w:cs="Times New Roman"/>
                <w:sz w:val="21"/>
                <w:szCs w:val="21"/>
              </w:rPr>
            </w:pPr>
            <w:r>
              <w:rPr>
                <w:rFonts w:cs="Times New Roman"/>
                <w:sz w:val="21"/>
                <w:szCs w:val="21"/>
              </w:rPr>
              <w:t>上阮村</w:t>
            </w:r>
          </w:p>
        </w:tc>
        <w:tc>
          <w:tcPr>
            <w:tcW w:w="775" w:type="pct"/>
            <w:tcBorders>
              <w:top w:val="single" w:color="000000" w:sz="4" w:space="0"/>
              <w:left w:val="single" w:color="000000" w:sz="4" w:space="0"/>
              <w:bottom w:val="single" w:color="000000" w:sz="4" w:space="0"/>
              <w:right w:val="single" w:color="000000" w:sz="4" w:space="0"/>
            </w:tcBorders>
            <w:vAlign w:val="center"/>
          </w:tcPr>
          <w:p w14:paraId="7C2AC55D">
            <w:pPr>
              <w:spacing w:line="240" w:lineRule="auto"/>
              <w:ind w:firstLine="0" w:firstLineChars="0"/>
              <w:jc w:val="center"/>
              <w:rPr>
                <w:rFonts w:cs="Times New Roman"/>
                <w:sz w:val="21"/>
                <w:szCs w:val="21"/>
              </w:rPr>
            </w:pPr>
            <w:r>
              <w:rPr>
                <w:rFonts w:cs="Times New Roman"/>
                <w:sz w:val="21"/>
                <w:szCs w:val="21"/>
              </w:rPr>
              <w:t>朱家坊</w:t>
            </w:r>
          </w:p>
        </w:tc>
        <w:tc>
          <w:tcPr>
            <w:tcW w:w="765" w:type="pct"/>
            <w:tcBorders>
              <w:top w:val="single" w:color="000000" w:sz="4" w:space="0"/>
              <w:left w:val="single" w:color="000000" w:sz="4" w:space="0"/>
              <w:bottom w:val="single" w:color="000000" w:sz="4" w:space="0"/>
              <w:right w:val="single" w:color="000000" w:sz="4" w:space="0"/>
            </w:tcBorders>
            <w:vAlign w:val="center"/>
          </w:tcPr>
          <w:p w14:paraId="0FE27753">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E086C69">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2434005E">
            <w:pPr>
              <w:spacing w:line="240" w:lineRule="auto"/>
              <w:ind w:firstLine="0" w:firstLineChars="0"/>
              <w:jc w:val="center"/>
              <w:rPr>
                <w:rFonts w:cs="Times New Roman"/>
                <w:sz w:val="21"/>
                <w:szCs w:val="21"/>
              </w:rPr>
            </w:pPr>
            <w:r>
              <w:rPr>
                <w:rFonts w:cs="Times New Roman"/>
                <w:sz w:val="21"/>
                <w:szCs w:val="21"/>
              </w:rPr>
              <w:t>34</w:t>
            </w:r>
          </w:p>
        </w:tc>
        <w:tc>
          <w:tcPr>
            <w:tcW w:w="869" w:type="pct"/>
            <w:tcBorders>
              <w:top w:val="single" w:color="000000" w:sz="4" w:space="0"/>
              <w:left w:val="single" w:color="000000" w:sz="4" w:space="0"/>
              <w:bottom w:val="single" w:color="000000" w:sz="4" w:space="0"/>
              <w:right w:val="single" w:color="000000" w:sz="4" w:space="0"/>
            </w:tcBorders>
            <w:vAlign w:val="center"/>
          </w:tcPr>
          <w:p w14:paraId="79FED250">
            <w:pPr>
              <w:spacing w:line="240" w:lineRule="auto"/>
              <w:ind w:firstLine="0" w:firstLineChars="0"/>
              <w:jc w:val="center"/>
              <w:rPr>
                <w:rFonts w:cs="Times New Roman"/>
                <w:sz w:val="21"/>
                <w:szCs w:val="21"/>
              </w:rPr>
            </w:pPr>
            <w:r>
              <w:rPr>
                <w:rFonts w:cs="Times New Roman"/>
                <w:sz w:val="21"/>
                <w:szCs w:val="21"/>
              </w:rPr>
              <w:t>34</w:t>
            </w:r>
          </w:p>
        </w:tc>
      </w:tr>
      <w:tr w14:paraId="6576A050">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4003F6F7">
            <w:pPr>
              <w:spacing w:line="240" w:lineRule="auto"/>
              <w:ind w:firstLine="0" w:firstLineChars="0"/>
              <w:jc w:val="center"/>
              <w:rPr>
                <w:rFonts w:cs="Times New Roman"/>
                <w:sz w:val="21"/>
                <w:szCs w:val="21"/>
              </w:rPr>
            </w:pPr>
            <w:r>
              <w:rPr>
                <w:rFonts w:cs="Times New Roman"/>
                <w:sz w:val="21"/>
                <w:szCs w:val="21"/>
              </w:rPr>
              <w:t>47</w:t>
            </w:r>
          </w:p>
        </w:tc>
        <w:tc>
          <w:tcPr>
            <w:tcW w:w="784" w:type="pct"/>
            <w:tcBorders>
              <w:top w:val="single" w:color="000000" w:sz="4" w:space="0"/>
              <w:left w:val="single" w:color="000000" w:sz="4" w:space="0"/>
              <w:bottom w:val="single" w:color="000000" w:sz="4" w:space="0"/>
              <w:right w:val="single" w:color="000000" w:sz="4" w:space="0"/>
            </w:tcBorders>
            <w:vAlign w:val="center"/>
          </w:tcPr>
          <w:p w14:paraId="732642FC">
            <w:pPr>
              <w:spacing w:line="240" w:lineRule="auto"/>
              <w:ind w:firstLine="0" w:firstLineChars="0"/>
              <w:jc w:val="center"/>
              <w:rPr>
                <w:rFonts w:cs="Times New Roman"/>
                <w:sz w:val="21"/>
                <w:szCs w:val="21"/>
              </w:rPr>
            </w:pPr>
            <w:r>
              <w:rPr>
                <w:rFonts w:cs="Times New Roman"/>
                <w:sz w:val="21"/>
                <w:szCs w:val="21"/>
              </w:rPr>
              <w:t>上阳村</w:t>
            </w:r>
          </w:p>
        </w:tc>
        <w:tc>
          <w:tcPr>
            <w:tcW w:w="775" w:type="pct"/>
            <w:tcBorders>
              <w:top w:val="single" w:color="000000" w:sz="4" w:space="0"/>
              <w:left w:val="single" w:color="000000" w:sz="4" w:space="0"/>
              <w:bottom w:val="single" w:color="000000" w:sz="4" w:space="0"/>
              <w:right w:val="single" w:color="000000" w:sz="4" w:space="0"/>
            </w:tcBorders>
            <w:vAlign w:val="center"/>
          </w:tcPr>
          <w:p w14:paraId="1DE4B4E9">
            <w:pPr>
              <w:spacing w:line="240" w:lineRule="auto"/>
              <w:ind w:firstLine="0" w:firstLineChars="0"/>
              <w:jc w:val="center"/>
              <w:rPr>
                <w:rFonts w:cs="Times New Roman"/>
                <w:sz w:val="21"/>
                <w:szCs w:val="21"/>
              </w:rPr>
            </w:pPr>
            <w:r>
              <w:rPr>
                <w:rFonts w:cs="Times New Roman"/>
                <w:sz w:val="21"/>
                <w:szCs w:val="21"/>
              </w:rPr>
              <w:t>大凹</w:t>
            </w:r>
          </w:p>
        </w:tc>
        <w:tc>
          <w:tcPr>
            <w:tcW w:w="765" w:type="pct"/>
            <w:tcBorders>
              <w:top w:val="single" w:color="000000" w:sz="4" w:space="0"/>
              <w:left w:val="single" w:color="000000" w:sz="4" w:space="0"/>
              <w:bottom w:val="single" w:color="000000" w:sz="4" w:space="0"/>
              <w:right w:val="single" w:color="000000" w:sz="4" w:space="0"/>
            </w:tcBorders>
            <w:vAlign w:val="center"/>
          </w:tcPr>
          <w:p w14:paraId="69FD0FC1">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C525966">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6E3C6250">
            <w:pPr>
              <w:spacing w:line="240" w:lineRule="auto"/>
              <w:ind w:firstLine="0" w:firstLineChars="0"/>
              <w:jc w:val="center"/>
              <w:rPr>
                <w:rFonts w:cs="Times New Roman"/>
                <w:sz w:val="21"/>
                <w:szCs w:val="21"/>
              </w:rPr>
            </w:pPr>
            <w:r>
              <w:rPr>
                <w:rFonts w:cs="Times New Roman"/>
                <w:sz w:val="21"/>
                <w:szCs w:val="21"/>
              </w:rPr>
              <w:t>42</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D94831D">
            <w:pPr>
              <w:spacing w:line="240" w:lineRule="auto"/>
              <w:ind w:firstLine="0" w:firstLineChars="0"/>
              <w:jc w:val="center"/>
              <w:rPr>
                <w:rFonts w:cs="Times New Roman"/>
                <w:sz w:val="21"/>
                <w:szCs w:val="21"/>
              </w:rPr>
            </w:pPr>
            <w:r>
              <w:rPr>
                <w:rFonts w:cs="Times New Roman"/>
                <w:sz w:val="21"/>
                <w:szCs w:val="21"/>
              </w:rPr>
              <w:t>34</w:t>
            </w:r>
          </w:p>
        </w:tc>
      </w:tr>
      <w:tr w14:paraId="4FB9545F">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2F1006C">
            <w:pPr>
              <w:spacing w:line="240" w:lineRule="auto"/>
              <w:ind w:firstLine="0" w:firstLineChars="0"/>
              <w:jc w:val="center"/>
              <w:rPr>
                <w:rFonts w:cs="Times New Roman"/>
                <w:sz w:val="21"/>
                <w:szCs w:val="21"/>
              </w:rPr>
            </w:pPr>
            <w:r>
              <w:rPr>
                <w:rFonts w:cs="Times New Roman"/>
                <w:sz w:val="21"/>
                <w:szCs w:val="21"/>
              </w:rPr>
              <w:t>48</w:t>
            </w:r>
          </w:p>
        </w:tc>
        <w:tc>
          <w:tcPr>
            <w:tcW w:w="784" w:type="pct"/>
            <w:tcBorders>
              <w:top w:val="single" w:color="000000" w:sz="4" w:space="0"/>
              <w:left w:val="single" w:color="000000" w:sz="4" w:space="0"/>
              <w:bottom w:val="single" w:color="000000" w:sz="4" w:space="0"/>
              <w:right w:val="single" w:color="000000" w:sz="4" w:space="0"/>
            </w:tcBorders>
            <w:vAlign w:val="center"/>
          </w:tcPr>
          <w:p w14:paraId="42A9DD2A">
            <w:pPr>
              <w:spacing w:line="240" w:lineRule="auto"/>
              <w:ind w:firstLine="0" w:firstLineChars="0"/>
              <w:jc w:val="center"/>
              <w:rPr>
                <w:rFonts w:cs="Times New Roman"/>
                <w:sz w:val="21"/>
                <w:szCs w:val="21"/>
              </w:rPr>
            </w:pPr>
            <w:r>
              <w:rPr>
                <w:rFonts w:cs="Times New Roman"/>
                <w:sz w:val="21"/>
                <w:szCs w:val="21"/>
              </w:rPr>
              <w:t>上阳村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9967B5D">
            <w:pPr>
              <w:spacing w:line="240" w:lineRule="auto"/>
              <w:ind w:firstLine="0" w:firstLineChars="0"/>
              <w:jc w:val="center"/>
              <w:rPr>
                <w:rFonts w:cs="Times New Roman"/>
                <w:sz w:val="21"/>
                <w:szCs w:val="21"/>
              </w:rPr>
            </w:pPr>
            <w:r>
              <w:rPr>
                <w:rFonts w:cs="Times New Roman"/>
                <w:sz w:val="21"/>
                <w:szCs w:val="21"/>
              </w:rPr>
              <w:t>郭笪</w:t>
            </w:r>
          </w:p>
        </w:tc>
        <w:tc>
          <w:tcPr>
            <w:tcW w:w="765" w:type="pct"/>
            <w:tcBorders>
              <w:top w:val="single" w:color="000000" w:sz="4" w:space="0"/>
              <w:left w:val="single" w:color="000000" w:sz="4" w:space="0"/>
              <w:bottom w:val="single" w:color="000000" w:sz="4" w:space="0"/>
              <w:right w:val="single" w:color="000000" w:sz="4" w:space="0"/>
            </w:tcBorders>
            <w:vAlign w:val="center"/>
          </w:tcPr>
          <w:p w14:paraId="6D074FDC">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C8FAA26">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3E7F5E21">
            <w:pPr>
              <w:spacing w:line="240" w:lineRule="auto"/>
              <w:ind w:firstLine="0" w:firstLineChars="0"/>
              <w:jc w:val="center"/>
              <w:rPr>
                <w:rFonts w:cs="Times New Roman"/>
                <w:sz w:val="21"/>
                <w:szCs w:val="21"/>
              </w:rPr>
            </w:pPr>
            <w:r>
              <w:rPr>
                <w:rFonts w:cs="Times New Roman"/>
                <w:sz w:val="21"/>
                <w:szCs w:val="21"/>
              </w:rPr>
              <w:t>32</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374AE82A">
            <w:pPr>
              <w:spacing w:line="240" w:lineRule="auto"/>
              <w:ind w:firstLine="0" w:firstLineChars="0"/>
              <w:jc w:val="center"/>
              <w:rPr>
                <w:rFonts w:cs="Times New Roman"/>
                <w:sz w:val="21"/>
                <w:szCs w:val="21"/>
              </w:rPr>
            </w:pPr>
            <w:r>
              <w:rPr>
                <w:rFonts w:cs="Times New Roman"/>
                <w:sz w:val="21"/>
                <w:szCs w:val="21"/>
              </w:rPr>
              <w:t>26</w:t>
            </w:r>
          </w:p>
        </w:tc>
      </w:tr>
      <w:tr w14:paraId="12A63FDE">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3E6946F">
            <w:pPr>
              <w:spacing w:line="240" w:lineRule="auto"/>
              <w:ind w:firstLine="0" w:firstLineChars="0"/>
              <w:jc w:val="center"/>
              <w:rPr>
                <w:rFonts w:cs="Times New Roman"/>
                <w:sz w:val="21"/>
                <w:szCs w:val="21"/>
              </w:rPr>
            </w:pPr>
            <w:r>
              <w:rPr>
                <w:rFonts w:cs="Times New Roman"/>
                <w:sz w:val="21"/>
                <w:szCs w:val="21"/>
              </w:rPr>
              <w:t>49</w:t>
            </w:r>
          </w:p>
        </w:tc>
        <w:tc>
          <w:tcPr>
            <w:tcW w:w="784" w:type="pct"/>
            <w:tcBorders>
              <w:top w:val="single" w:color="000000" w:sz="4" w:space="0"/>
              <w:left w:val="single" w:color="000000" w:sz="4" w:space="0"/>
              <w:bottom w:val="single" w:color="000000" w:sz="4" w:space="0"/>
              <w:right w:val="single" w:color="000000" w:sz="4" w:space="0"/>
            </w:tcBorders>
            <w:vAlign w:val="center"/>
          </w:tcPr>
          <w:p w14:paraId="0FD92A96">
            <w:pPr>
              <w:spacing w:line="240" w:lineRule="auto"/>
              <w:ind w:firstLine="0" w:firstLineChars="0"/>
              <w:jc w:val="center"/>
              <w:rPr>
                <w:rFonts w:cs="Times New Roman"/>
                <w:sz w:val="21"/>
                <w:szCs w:val="21"/>
              </w:rPr>
            </w:pPr>
            <w:r>
              <w:rPr>
                <w:rFonts w:cs="Times New Roman"/>
                <w:sz w:val="21"/>
                <w:szCs w:val="21"/>
              </w:rPr>
              <w:t>上阳村</w:t>
            </w:r>
          </w:p>
        </w:tc>
        <w:tc>
          <w:tcPr>
            <w:tcW w:w="775" w:type="pct"/>
            <w:tcBorders>
              <w:top w:val="single" w:color="000000" w:sz="4" w:space="0"/>
              <w:left w:val="single" w:color="000000" w:sz="4" w:space="0"/>
              <w:bottom w:val="single" w:color="000000" w:sz="4" w:space="0"/>
              <w:right w:val="single" w:color="000000" w:sz="4" w:space="0"/>
            </w:tcBorders>
            <w:vAlign w:val="center"/>
          </w:tcPr>
          <w:p w14:paraId="1943822E">
            <w:pPr>
              <w:spacing w:line="240" w:lineRule="auto"/>
              <w:ind w:firstLine="0" w:firstLineChars="0"/>
              <w:jc w:val="center"/>
              <w:rPr>
                <w:rFonts w:cs="Times New Roman"/>
                <w:sz w:val="21"/>
                <w:szCs w:val="21"/>
              </w:rPr>
            </w:pPr>
            <w:r>
              <w:rPr>
                <w:rFonts w:cs="Times New Roman"/>
                <w:sz w:val="21"/>
                <w:szCs w:val="21"/>
              </w:rPr>
              <w:t>黄庄</w:t>
            </w:r>
          </w:p>
        </w:tc>
        <w:tc>
          <w:tcPr>
            <w:tcW w:w="765" w:type="pct"/>
            <w:tcBorders>
              <w:top w:val="single" w:color="000000" w:sz="4" w:space="0"/>
              <w:left w:val="single" w:color="000000" w:sz="4" w:space="0"/>
              <w:bottom w:val="single" w:color="000000" w:sz="4" w:space="0"/>
              <w:right w:val="single" w:color="000000" w:sz="4" w:space="0"/>
            </w:tcBorders>
            <w:vAlign w:val="center"/>
          </w:tcPr>
          <w:p w14:paraId="4DE5CF57">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4501207">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0ED04CB8">
            <w:pPr>
              <w:spacing w:line="240" w:lineRule="auto"/>
              <w:ind w:firstLine="0" w:firstLineChars="0"/>
              <w:jc w:val="center"/>
              <w:rPr>
                <w:rFonts w:cs="Times New Roman"/>
                <w:sz w:val="21"/>
                <w:szCs w:val="21"/>
              </w:rPr>
            </w:pPr>
            <w:r>
              <w:rPr>
                <w:rFonts w:cs="Times New Roman"/>
                <w:sz w:val="21"/>
                <w:szCs w:val="21"/>
              </w:rPr>
              <w:t>28</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681BEED5">
            <w:pPr>
              <w:spacing w:line="240" w:lineRule="auto"/>
              <w:ind w:firstLine="0" w:firstLineChars="0"/>
              <w:jc w:val="center"/>
              <w:rPr>
                <w:rFonts w:cs="Times New Roman"/>
                <w:sz w:val="21"/>
                <w:szCs w:val="21"/>
              </w:rPr>
            </w:pPr>
            <w:r>
              <w:rPr>
                <w:rFonts w:cs="Times New Roman"/>
                <w:sz w:val="21"/>
                <w:szCs w:val="21"/>
              </w:rPr>
              <w:t>25</w:t>
            </w:r>
          </w:p>
        </w:tc>
      </w:tr>
      <w:tr w14:paraId="2F84EA1C">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0EECDD00">
            <w:pPr>
              <w:spacing w:line="240" w:lineRule="auto"/>
              <w:ind w:firstLine="0" w:firstLineChars="0"/>
              <w:jc w:val="center"/>
              <w:rPr>
                <w:rFonts w:cs="Times New Roman"/>
                <w:sz w:val="21"/>
                <w:szCs w:val="21"/>
              </w:rPr>
            </w:pPr>
            <w:r>
              <w:rPr>
                <w:rFonts w:cs="Times New Roman"/>
                <w:sz w:val="21"/>
                <w:szCs w:val="21"/>
              </w:rPr>
              <w:t>50</w:t>
            </w:r>
          </w:p>
        </w:tc>
        <w:tc>
          <w:tcPr>
            <w:tcW w:w="784" w:type="pct"/>
            <w:tcBorders>
              <w:top w:val="single" w:color="000000" w:sz="4" w:space="0"/>
              <w:left w:val="single" w:color="000000" w:sz="4" w:space="0"/>
              <w:bottom w:val="single" w:color="000000" w:sz="4" w:space="0"/>
              <w:right w:val="single" w:color="000000" w:sz="4" w:space="0"/>
            </w:tcBorders>
            <w:vAlign w:val="center"/>
          </w:tcPr>
          <w:p w14:paraId="2FE70911">
            <w:pPr>
              <w:spacing w:line="240" w:lineRule="auto"/>
              <w:ind w:firstLine="0" w:firstLineChars="0"/>
              <w:jc w:val="center"/>
              <w:rPr>
                <w:rFonts w:cs="Times New Roman"/>
                <w:sz w:val="21"/>
                <w:szCs w:val="21"/>
              </w:rPr>
            </w:pPr>
            <w:r>
              <w:rPr>
                <w:rFonts w:cs="Times New Roman"/>
                <w:sz w:val="21"/>
                <w:szCs w:val="21"/>
              </w:rPr>
              <w:t>上阳村</w:t>
            </w:r>
          </w:p>
        </w:tc>
        <w:tc>
          <w:tcPr>
            <w:tcW w:w="775" w:type="pct"/>
            <w:tcBorders>
              <w:top w:val="single" w:color="000000" w:sz="4" w:space="0"/>
              <w:left w:val="single" w:color="000000" w:sz="4" w:space="0"/>
              <w:bottom w:val="single" w:color="000000" w:sz="4" w:space="0"/>
              <w:right w:val="single" w:color="000000" w:sz="4" w:space="0"/>
            </w:tcBorders>
            <w:vAlign w:val="center"/>
          </w:tcPr>
          <w:p w14:paraId="4D539044">
            <w:pPr>
              <w:spacing w:line="240" w:lineRule="auto"/>
              <w:ind w:firstLine="0" w:firstLineChars="0"/>
              <w:jc w:val="center"/>
              <w:rPr>
                <w:rFonts w:cs="Times New Roman"/>
                <w:sz w:val="21"/>
                <w:szCs w:val="21"/>
              </w:rPr>
            </w:pPr>
            <w:r>
              <w:rPr>
                <w:rFonts w:cs="Times New Roman"/>
                <w:sz w:val="21"/>
                <w:szCs w:val="21"/>
              </w:rPr>
              <w:t>涧滩</w:t>
            </w:r>
          </w:p>
        </w:tc>
        <w:tc>
          <w:tcPr>
            <w:tcW w:w="765" w:type="pct"/>
            <w:tcBorders>
              <w:top w:val="single" w:color="000000" w:sz="4" w:space="0"/>
              <w:left w:val="single" w:color="000000" w:sz="4" w:space="0"/>
              <w:bottom w:val="single" w:color="000000" w:sz="4" w:space="0"/>
              <w:right w:val="single" w:color="000000" w:sz="4" w:space="0"/>
            </w:tcBorders>
            <w:vAlign w:val="center"/>
          </w:tcPr>
          <w:p w14:paraId="19D2584C">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5921C0C">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414ADA4A">
            <w:pPr>
              <w:spacing w:line="240" w:lineRule="auto"/>
              <w:ind w:firstLine="0" w:firstLineChars="0"/>
              <w:jc w:val="center"/>
              <w:rPr>
                <w:rFonts w:cs="Times New Roman"/>
                <w:sz w:val="21"/>
                <w:szCs w:val="21"/>
              </w:rPr>
            </w:pPr>
            <w:r>
              <w:rPr>
                <w:rFonts w:cs="Times New Roman"/>
                <w:sz w:val="21"/>
                <w:szCs w:val="21"/>
              </w:rPr>
              <w:t>41</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6FA5323B">
            <w:pPr>
              <w:spacing w:line="240" w:lineRule="auto"/>
              <w:ind w:firstLine="0" w:firstLineChars="0"/>
              <w:jc w:val="center"/>
              <w:rPr>
                <w:rFonts w:cs="Times New Roman"/>
                <w:sz w:val="21"/>
                <w:szCs w:val="21"/>
              </w:rPr>
            </w:pPr>
            <w:r>
              <w:rPr>
                <w:rFonts w:cs="Times New Roman"/>
                <w:sz w:val="21"/>
                <w:szCs w:val="21"/>
              </w:rPr>
              <w:t>33</w:t>
            </w:r>
          </w:p>
        </w:tc>
      </w:tr>
      <w:tr w14:paraId="487BFBB6">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9160493">
            <w:pPr>
              <w:spacing w:line="240" w:lineRule="auto"/>
              <w:ind w:firstLine="0" w:firstLineChars="0"/>
              <w:jc w:val="center"/>
              <w:rPr>
                <w:rFonts w:cs="Times New Roman"/>
                <w:sz w:val="21"/>
                <w:szCs w:val="21"/>
              </w:rPr>
            </w:pPr>
            <w:r>
              <w:rPr>
                <w:rFonts w:cs="Times New Roman"/>
                <w:sz w:val="21"/>
                <w:szCs w:val="21"/>
              </w:rPr>
              <w:t>51</w:t>
            </w:r>
          </w:p>
        </w:tc>
        <w:tc>
          <w:tcPr>
            <w:tcW w:w="784" w:type="pct"/>
            <w:tcBorders>
              <w:top w:val="single" w:color="000000" w:sz="4" w:space="0"/>
              <w:left w:val="single" w:color="000000" w:sz="4" w:space="0"/>
              <w:bottom w:val="single" w:color="000000" w:sz="4" w:space="0"/>
              <w:right w:val="single" w:color="000000" w:sz="4" w:space="0"/>
            </w:tcBorders>
            <w:vAlign w:val="center"/>
          </w:tcPr>
          <w:p w14:paraId="7CBA2B0E">
            <w:pPr>
              <w:spacing w:line="240" w:lineRule="auto"/>
              <w:ind w:firstLine="0" w:firstLineChars="0"/>
              <w:jc w:val="center"/>
              <w:rPr>
                <w:rFonts w:cs="Times New Roman"/>
                <w:sz w:val="21"/>
                <w:szCs w:val="21"/>
              </w:rPr>
            </w:pPr>
            <w:r>
              <w:rPr>
                <w:rFonts w:cs="Times New Roman"/>
                <w:sz w:val="21"/>
                <w:szCs w:val="21"/>
              </w:rPr>
              <w:t>上阳村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D12A602">
            <w:pPr>
              <w:spacing w:line="240" w:lineRule="auto"/>
              <w:ind w:firstLine="0" w:firstLineChars="0"/>
              <w:jc w:val="center"/>
              <w:rPr>
                <w:rFonts w:cs="Times New Roman"/>
                <w:sz w:val="21"/>
                <w:szCs w:val="21"/>
              </w:rPr>
            </w:pPr>
            <w:r>
              <w:rPr>
                <w:rFonts w:cs="Times New Roman"/>
                <w:sz w:val="21"/>
                <w:szCs w:val="21"/>
              </w:rPr>
              <w:t>蒋家</w:t>
            </w:r>
          </w:p>
        </w:tc>
        <w:tc>
          <w:tcPr>
            <w:tcW w:w="765" w:type="pct"/>
            <w:tcBorders>
              <w:top w:val="single" w:color="000000" w:sz="4" w:space="0"/>
              <w:left w:val="single" w:color="000000" w:sz="4" w:space="0"/>
              <w:bottom w:val="single" w:color="000000" w:sz="4" w:space="0"/>
              <w:right w:val="single" w:color="000000" w:sz="4" w:space="0"/>
            </w:tcBorders>
            <w:vAlign w:val="center"/>
          </w:tcPr>
          <w:p w14:paraId="1F776030">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1B1D386">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5E0C9D76">
            <w:pPr>
              <w:spacing w:line="240" w:lineRule="auto"/>
              <w:ind w:firstLine="0" w:firstLineChars="0"/>
              <w:jc w:val="center"/>
              <w:rPr>
                <w:rFonts w:cs="Times New Roman"/>
                <w:sz w:val="21"/>
                <w:szCs w:val="21"/>
              </w:rPr>
            </w:pPr>
            <w:r>
              <w:rPr>
                <w:rFonts w:cs="Times New Roman"/>
                <w:sz w:val="21"/>
                <w:szCs w:val="21"/>
              </w:rPr>
              <w:t>37</w:t>
            </w:r>
          </w:p>
        </w:tc>
        <w:tc>
          <w:tcPr>
            <w:tcW w:w="869" w:type="pct"/>
            <w:tcBorders>
              <w:top w:val="single" w:color="000000" w:sz="4" w:space="0"/>
              <w:left w:val="single" w:color="000000" w:sz="4" w:space="0"/>
              <w:bottom w:val="single" w:color="000000" w:sz="4" w:space="0"/>
              <w:right w:val="single" w:color="000000" w:sz="4" w:space="0"/>
            </w:tcBorders>
            <w:vAlign w:val="center"/>
          </w:tcPr>
          <w:p w14:paraId="25019348">
            <w:pPr>
              <w:spacing w:line="240" w:lineRule="auto"/>
              <w:ind w:firstLine="0" w:firstLineChars="0"/>
              <w:jc w:val="center"/>
              <w:rPr>
                <w:rFonts w:cs="Times New Roman"/>
                <w:sz w:val="21"/>
                <w:szCs w:val="21"/>
              </w:rPr>
            </w:pPr>
            <w:r>
              <w:rPr>
                <w:rFonts w:cs="Times New Roman"/>
                <w:sz w:val="21"/>
                <w:szCs w:val="21"/>
              </w:rPr>
              <w:t>37</w:t>
            </w:r>
          </w:p>
        </w:tc>
      </w:tr>
      <w:tr w14:paraId="76F4B809">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577444B1">
            <w:pPr>
              <w:spacing w:line="240" w:lineRule="auto"/>
              <w:ind w:firstLine="0" w:firstLineChars="0"/>
              <w:jc w:val="center"/>
              <w:rPr>
                <w:rFonts w:cs="Times New Roman"/>
                <w:sz w:val="21"/>
                <w:szCs w:val="21"/>
              </w:rPr>
            </w:pPr>
            <w:r>
              <w:rPr>
                <w:rFonts w:cs="Times New Roman"/>
                <w:sz w:val="21"/>
                <w:szCs w:val="21"/>
              </w:rPr>
              <w:t>52</w:t>
            </w:r>
          </w:p>
        </w:tc>
        <w:tc>
          <w:tcPr>
            <w:tcW w:w="784" w:type="pct"/>
            <w:tcBorders>
              <w:top w:val="single" w:color="000000" w:sz="4" w:space="0"/>
              <w:left w:val="single" w:color="000000" w:sz="4" w:space="0"/>
              <w:bottom w:val="single" w:color="000000" w:sz="4" w:space="0"/>
              <w:right w:val="single" w:color="000000" w:sz="4" w:space="0"/>
            </w:tcBorders>
            <w:vAlign w:val="center"/>
          </w:tcPr>
          <w:p w14:paraId="227C1065">
            <w:pPr>
              <w:spacing w:line="240" w:lineRule="auto"/>
              <w:ind w:firstLine="0" w:firstLineChars="0"/>
              <w:jc w:val="center"/>
              <w:rPr>
                <w:rFonts w:cs="Times New Roman"/>
                <w:sz w:val="21"/>
                <w:szCs w:val="21"/>
              </w:rPr>
            </w:pPr>
            <w:r>
              <w:rPr>
                <w:rFonts w:cs="Times New Roman"/>
                <w:sz w:val="21"/>
                <w:szCs w:val="21"/>
              </w:rPr>
              <w:t>上阳村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C8DC138">
            <w:pPr>
              <w:spacing w:line="240" w:lineRule="auto"/>
              <w:ind w:firstLine="0" w:firstLineChars="0"/>
              <w:jc w:val="center"/>
              <w:rPr>
                <w:rFonts w:cs="Times New Roman"/>
                <w:sz w:val="21"/>
                <w:szCs w:val="21"/>
              </w:rPr>
            </w:pPr>
            <w:r>
              <w:rPr>
                <w:rFonts w:cs="Times New Roman"/>
                <w:sz w:val="21"/>
                <w:szCs w:val="21"/>
              </w:rPr>
              <w:t>青龙咀</w:t>
            </w:r>
          </w:p>
        </w:tc>
        <w:tc>
          <w:tcPr>
            <w:tcW w:w="765" w:type="pct"/>
            <w:tcBorders>
              <w:top w:val="single" w:color="000000" w:sz="4" w:space="0"/>
              <w:left w:val="single" w:color="000000" w:sz="4" w:space="0"/>
              <w:bottom w:val="single" w:color="000000" w:sz="4" w:space="0"/>
              <w:right w:val="single" w:color="000000" w:sz="4" w:space="0"/>
            </w:tcBorders>
            <w:vAlign w:val="center"/>
          </w:tcPr>
          <w:p w14:paraId="353A429B">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171A162B">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5ED12BA3">
            <w:pPr>
              <w:spacing w:line="240" w:lineRule="auto"/>
              <w:ind w:firstLine="0" w:firstLineChars="0"/>
              <w:jc w:val="center"/>
              <w:rPr>
                <w:rFonts w:cs="Times New Roman"/>
                <w:sz w:val="21"/>
                <w:szCs w:val="21"/>
              </w:rPr>
            </w:pPr>
            <w:r>
              <w:rPr>
                <w:rFonts w:cs="Times New Roman"/>
                <w:sz w:val="21"/>
                <w:szCs w:val="21"/>
              </w:rPr>
              <w:t>32</w:t>
            </w:r>
          </w:p>
        </w:tc>
        <w:tc>
          <w:tcPr>
            <w:tcW w:w="869" w:type="pct"/>
            <w:tcBorders>
              <w:top w:val="single" w:color="000000" w:sz="4" w:space="0"/>
              <w:left w:val="single" w:color="000000" w:sz="4" w:space="0"/>
              <w:bottom w:val="single" w:color="000000" w:sz="4" w:space="0"/>
              <w:right w:val="single" w:color="000000" w:sz="4" w:space="0"/>
            </w:tcBorders>
            <w:vAlign w:val="center"/>
          </w:tcPr>
          <w:p w14:paraId="1983F903">
            <w:pPr>
              <w:spacing w:line="240" w:lineRule="auto"/>
              <w:ind w:firstLine="0" w:firstLineChars="0"/>
              <w:jc w:val="center"/>
              <w:rPr>
                <w:rFonts w:cs="Times New Roman"/>
                <w:sz w:val="21"/>
                <w:szCs w:val="21"/>
              </w:rPr>
            </w:pPr>
            <w:r>
              <w:rPr>
                <w:rFonts w:cs="Times New Roman"/>
                <w:sz w:val="21"/>
                <w:szCs w:val="21"/>
              </w:rPr>
              <w:t>32</w:t>
            </w:r>
          </w:p>
        </w:tc>
      </w:tr>
      <w:tr w14:paraId="659A8E19">
        <w:tblPrEx>
          <w:tblCellMar>
            <w:top w:w="0" w:type="dxa"/>
            <w:left w:w="108" w:type="dxa"/>
            <w:bottom w:w="0" w:type="dxa"/>
            <w:right w:w="108" w:type="dxa"/>
          </w:tblCellMar>
        </w:tblPrEx>
        <w:trPr>
          <w:trHeight w:val="540"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5452A35">
            <w:pPr>
              <w:spacing w:line="240" w:lineRule="auto"/>
              <w:ind w:firstLine="0" w:firstLineChars="0"/>
              <w:jc w:val="center"/>
              <w:rPr>
                <w:rFonts w:cs="Times New Roman"/>
                <w:sz w:val="21"/>
                <w:szCs w:val="21"/>
              </w:rPr>
            </w:pPr>
            <w:r>
              <w:rPr>
                <w:rFonts w:cs="Times New Roman"/>
                <w:sz w:val="21"/>
                <w:szCs w:val="21"/>
              </w:rPr>
              <w:t>53</w:t>
            </w:r>
          </w:p>
        </w:tc>
        <w:tc>
          <w:tcPr>
            <w:tcW w:w="784" w:type="pct"/>
            <w:tcBorders>
              <w:top w:val="single" w:color="000000" w:sz="4" w:space="0"/>
              <w:left w:val="single" w:color="000000" w:sz="4" w:space="0"/>
              <w:bottom w:val="single" w:color="000000" w:sz="4" w:space="0"/>
              <w:right w:val="single" w:color="000000" w:sz="4" w:space="0"/>
            </w:tcBorders>
            <w:vAlign w:val="center"/>
          </w:tcPr>
          <w:p w14:paraId="6970ED52">
            <w:pPr>
              <w:spacing w:line="240" w:lineRule="auto"/>
              <w:ind w:firstLine="0" w:firstLineChars="0"/>
              <w:jc w:val="center"/>
              <w:rPr>
                <w:rFonts w:cs="Times New Roman"/>
                <w:sz w:val="21"/>
                <w:szCs w:val="21"/>
              </w:rPr>
            </w:pPr>
            <w:r>
              <w:rPr>
                <w:rFonts w:cs="Times New Roman"/>
                <w:sz w:val="21"/>
                <w:szCs w:val="21"/>
              </w:rPr>
              <w:t>上阳村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C4D5A3A">
            <w:pPr>
              <w:spacing w:line="240" w:lineRule="auto"/>
              <w:ind w:firstLine="0" w:firstLineChars="0"/>
              <w:jc w:val="center"/>
              <w:rPr>
                <w:rFonts w:cs="Times New Roman"/>
                <w:sz w:val="21"/>
                <w:szCs w:val="21"/>
              </w:rPr>
            </w:pPr>
            <w:r>
              <w:rPr>
                <w:rFonts w:cs="Times New Roman"/>
                <w:sz w:val="21"/>
                <w:szCs w:val="21"/>
              </w:rPr>
              <w:t>三棵大树</w:t>
            </w:r>
          </w:p>
        </w:tc>
        <w:tc>
          <w:tcPr>
            <w:tcW w:w="765" w:type="pct"/>
            <w:tcBorders>
              <w:top w:val="single" w:color="000000" w:sz="4" w:space="0"/>
              <w:left w:val="single" w:color="000000" w:sz="4" w:space="0"/>
              <w:bottom w:val="single" w:color="000000" w:sz="4" w:space="0"/>
              <w:right w:val="single" w:color="000000" w:sz="4" w:space="0"/>
            </w:tcBorders>
            <w:vAlign w:val="center"/>
          </w:tcPr>
          <w:p w14:paraId="2E8B2B14">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C006719">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267FF2D7">
            <w:pPr>
              <w:spacing w:line="240" w:lineRule="auto"/>
              <w:ind w:firstLine="0" w:firstLineChars="0"/>
              <w:jc w:val="center"/>
              <w:rPr>
                <w:rFonts w:cs="Times New Roman"/>
                <w:sz w:val="21"/>
                <w:szCs w:val="21"/>
              </w:rPr>
            </w:pPr>
            <w:r>
              <w:rPr>
                <w:rFonts w:cs="Times New Roman"/>
                <w:sz w:val="21"/>
                <w:szCs w:val="21"/>
              </w:rPr>
              <w:t>40</w:t>
            </w:r>
          </w:p>
        </w:tc>
        <w:tc>
          <w:tcPr>
            <w:tcW w:w="869" w:type="pct"/>
            <w:tcBorders>
              <w:top w:val="single" w:color="000000" w:sz="4" w:space="0"/>
              <w:left w:val="single" w:color="000000" w:sz="4" w:space="0"/>
              <w:bottom w:val="single" w:color="000000" w:sz="4" w:space="0"/>
              <w:right w:val="single" w:color="000000" w:sz="4" w:space="0"/>
            </w:tcBorders>
            <w:vAlign w:val="center"/>
          </w:tcPr>
          <w:p w14:paraId="1593E3E5">
            <w:pPr>
              <w:spacing w:line="240" w:lineRule="auto"/>
              <w:ind w:firstLine="0" w:firstLineChars="0"/>
              <w:jc w:val="center"/>
              <w:rPr>
                <w:rFonts w:cs="Times New Roman"/>
                <w:sz w:val="21"/>
                <w:szCs w:val="21"/>
              </w:rPr>
            </w:pPr>
            <w:r>
              <w:rPr>
                <w:rFonts w:cs="Times New Roman"/>
                <w:sz w:val="21"/>
                <w:szCs w:val="21"/>
              </w:rPr>
              <w:t>40</w:t>
            </w:r>
          </w:p>
        </w:tc>
      </w:tr>
      <w:tr w14:paraId="7FEF5207">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54A40FA">
            <w:pPr>
              <w:spacing w:line="240" w:lineRule="auto"/>
              <w:ind w:firstLine="0" w:firstLineChars="0"/>
              <w:jc w:val="center"/>
              <w:rPr>
                <w:rFonts w:cs="Times New Roman"/>
                <w:sz w:val="21"/>
                <w:szCs w:val="21"/>
              </w:rPr>
            </w:pPr>
            <w:r>
              <w:rPr>
                <w:rFonts w:cs="Times New Roman"/>
                <w:sz w:val="21"/>
                <w:szCs w:val="21"/>
              </w:rPr>
              <w:t>54</w:t>
            </w:r>
          </w:p>
        </w:tc>
        <w:tc>
          <w:tcPr>
            <w:tcW w:w="784" w:type="pct"/>
            <w:tcBorders>
              <w:top w:val="single" w:color="000000" w:sz="4" w:space="0"/>
              <w:left w:val="single" w:color="000000" w:sz="4" w:space="0"/>
              <w:bottom w:val="single" w:color="000000" w:sz="4" w:space="0"/>
              <w:right w:val="single" w:color="000000" w:sz="4" w:space="0"/>
            </w:tcBorders>
            <w:vAlign w:val="center"/>
          </w:tcPr>
          <w:p w14:paraId="3CABA63D">
            <w:pPr>
              <w:spacing w:line="240" w:lineRule="auto"/>
              <w:ind w:firstLine="0" w:firstLineChars="0"/>
              <w:jc w:val="center"/>
              <w:rPr>
                <w:rFonts w:cs="Times New Roman"/>
                <w:sz w:val="21"/>
                <w:szCs w:val="21"/>
              </w:rPr>
            </w:pPr>
            <w:r>
              <w:rPr>
                <w:rFonts w:cs="Times New Roman"/>
                <w:sz w:val="21"/>
                <w:szCs w:val="21"/>
              </w:rPr>
              <w:t>上阳村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0154FE6">
            <w:pPr>
              <w:spacing w:line="240" w:lineRule="auto"/>
              <w:ind w:firstLine="0" w:firstLineChars="0"/>
              <w:jc w:val="center"/>
              <w:rPr>
                <w:rFonts w:cs="Times New Roman"/>
                <w:sz w:val="21"/>
                <w:szCs w:val="21"/>
              </w:rPr>
            </w:pPr>
            <w:r>
              <w:rPr>
                <w:rFonts w:cs="Times New Roman"/>
                <w:sz w:val="21"/>
                <w:szCs w:val="21"/>
              </w:rPr>
              <w:t>石头路</w:t>
            </w:r>
          </w:p>
        </w:tc>
        <w:tc>
          <w:tcPr>
            <w:tcW w:w="765" w:type="pct"/>
            <w:tcBorders>
              <w:top w:val="single" w:color="000000" w:sz="4" w:space="0"/>
              <w:left w:val="single" w:color="000000" w:sz="4" w:space="0"/>
              <w:bottom w:val="single" w:color="000000" w:sz="4" w:space="0"/>
              <w:right w:val="single" w:color="000000" w:sz="4" w:space="0"/>
            </w:tcBorders>
            <w:vAlign w:val="center"/>
          </w:tcPr>
          <w:p w14:paraId="6CA6E6F2">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59F6BB30">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69780237">
            <w:pPr>
              <w:spacing w:line="240" w:lineRule="auto"/>
              <w:ind w:firstLine="0" w:firstLineChars="0"/>
              <w:jc w:val="center"/>
              <w:rPr>
                <w:rFonts w:cs="Times New Roman"/>
                <w:sz w:val="21"/>
                <w:szCs w:val="21"/>
              </w:rPr>
            </w:pPr>
            <w:r>
              <w:rPr>
                <w:rFonts w:cs="Times New Roman"/>
                <w:sz w:val="21"/>
                <w:szCs w:val="21"/>
              </w:rPr>
              <w:t>33</w:t>
            </w:r>
          </w:p>
        </w:tc>
        <w:tc>
          <w:tcPr>
            <w:tcW w:w="869" w:type="pct"/>
            <w:tcBorders>
              <w:top w:val="single" w:color="000000" w:sz="4" w:space="0"/>
              <w:left w:val="single" w:color="000000" w:sz="4" w:space="0"/>
              <w:bottom w:val="single" w:color="000000" w:sz="4" w:space="0"/>
              <w:right w:val="single" w:color="000000" w:sz="4" w:space="0"/>
            </w:tcBorders>
            <w:vAlign w:val="center"/>
          </w:tcPr>
          <w:p w14:paraId="3BF9F9C2">
            <w:pPr>
              <w:spacing w:line="240" w:lineRule="auto"/>
              <w:ind w:firstLine="0" w:firstLineChars="0"/>
              <w:jc w:val="center"/>
              <w:rPr>
                <w:rFonts w:cs="Times New Roman"/>
                <w:sz w:val="21"/>
                <w:szCs w:val="21"/>
              </w:rPr>
            </w:pPr>
            <w:r>
              <w:rPr>
                <w:rFonts w:cs="Times New Roman"/>
                <w:sz w:val="21"/>
                <w:szCs w:val="21"/>
              </w:rPr>
              <w:t>33</w:t>
            </w:r>
          </w:p>
        </w:tc>
      </w:tr>
      <w:tr w14:paraId="0DFEB1EC">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B2ACC7C">
            <w:pPr>
              <w:spacing w:line="240" w:lineRule="auto"/>
              <w:ind w:firstLine="0" w:firstLineChars="0"/>
              <w:jc w:val="center"/>
              <w:rPr>
                <w:rFonts w:cs="Times New Roman"/>
                <w:sz w:val="21"/>
                <w:szCs w:val="21"/>
              </w:rPr>
            </w:pPr>
            <w:r>
              <w:rPr>
                <w:rFonts w:cs="Times New Roman"/>
                <w:sz w:val="21"/>
                <w:szCs w:val="21"/>
              </w:rPr>
              <w:t>55</w:t>
            </w:r>
          </w:p>
        </w:tc>
        <w:tc>
          <w:tcPr>
            <w:tcW w:w="784" w:type="pct"/>
            <w:tcBorders>
              <w:top w:val="single" w:color="000000" w:sz="4" w:space="0"/>
              <w:left w:val="single" w:color="000000" w:sz="4" w:space="0"/>
              <w:bottom w:val="single" w:color="000000" w:sz="4" w:space="0"/>
              <w:right w:val="single" w:color="000000" w:sz="4" w:space="0"/>
            </w:tcBorders>
            <w:vAlign w:val="center"/>
          </w:tcPr>
          <w:p w14:paraId="53F360ED">
            <w:pPr>
              <w:spacing w:line="240" w:lineRule="auto"/>
              <w:ind w:firstLine="0" w:firstLineChars="0"/>
              <w:jc w:val="center"/>
              <w:rPr>
                <w:rFonts w:cs="Times New Roman"/>
                <w:sz w:val="21"/>
                <w:szCs w:val="21"/>
              </w:rPr>
            </w:pPr>
            <w:r>
              <w:rPr>
                <w:rFonts w:cs="Times New Roman"/>
                <w:sz w:val="21"/>
                <w:szCs w:val="21"/>
              </w:rPr>
              <w:t>上阳村</w:t>
            </w:r>
          </w:p>
        </w:tc>
        <w:tc>
          <w:tcPr>
            <w:tcW w:w="775" w:type="pct"/>
            <w:tcBorders>
              <w:top w:val="single" w:color="000000" w:sz="4" w:space="0"/>
              <w:left w:val="single" w:color="000000" w:sz="4" w:space="0"/>
              <w:bottom w:val="single" w:color="000000" w:sz="4" w:space="0"/>
              <w:right w:val="single" w:color="000000" w:sz="4" w:space="0"/>
            </w:tcBorders>
            <w:vAlign w:val="center"/>
          </w:tcPr>
          <w:p w14:paraId="3ADA408F">
            <w:pPr>
              <w:spacing w:line="240" w:lineRule="auto"/>
              <w:ind w:firstLine="0" w:firstLineChars="0"/>
              <w:jc w:val="center"/>
              <w:rPr>
                <w:rFonts w:cs="Times New Roman"/>
                <w:sz w:val="21"/>
                <w:szCs w:val="21"/>
              </w:rPr>
            </w:pPr>
            <w:r>
              <w:rPr>
                <w:rFonts w:cs="Times New Roman"/>
                <w:sz w:val="21"/>
                <w:szCs w:val="21"/>
              </w:rPr>
              <w:t>西头舍</w:t>
            </w:r>
          </w:p>
        </w:tc>
        <w:tc>
          <w:tcPr>
            <w:tcW w:w="765" w:type="pct"/>
            <w:tcBorders>
              <w:top w:val="single" w:color="000000" w:sz="4" w:space="0"/>
              <w:left w:val="single" w:color="000000" w:sz="4" w:space="0"/>
              <w:bottom w:val="single" w:color="000000" w:sz="4" w:space="0"/>
              <w:right w:val="single" w:color="000000" w:sz="4" w:space="0"/>
            </w:tcBorders>
            <w:vAlign w:val="center"/>
          </w:tcPr>
          <w:p w14:paraId="61EB8D55">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499D87D">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3D12E863">
            <w:pPr>
              <w:spacing w:line="240" w:lineRule="auto"/>
              <w:ind w:firstLine="0" w:firstLineChars="0"/>
              <w:jc w:val="center"/>
              <w:rPr>
                <w:rFonts w:cs="Times New Roman"/>
                <w:sz w:val="21"/>
                <w:szCs w:val="21"/>
              </w:rPr>
            </w:pPr>
            <w:r>
              <w:rPr>
                <w:rFonts w:cs="Times New Roman"/>
                <w:sz w:val="21"/>
                <w:szCs w:val="21"/>
              </w:rPr>
              <w:t>40</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969E18E">
            <w:pPr>
              <w:spacing w:line="240" w:lineRule="auto"/>
              <w:ind w:firstLine="0" w:firstLineChars="0"/>
              <w:jc w:val="center"/>
              <w:rPr>
                <w:rFonts w:cs="Times New Roman"/>
                <w:sz w:val="21"/>
                <w:szCs w:val="21"/>
              </w:rPr>
            </w:pPr>
            <w:r>
              <w:rPr>
                <w:rFonts w:cs="Times New Roman"/>
                <w:sz w:val="21"/>
                <w:szCs w:val="21"/>
              </w:rPr>
              <w:t>32</w:t>
            </w:r>
          </w:p>
        </w:tc>
      </w:tr>
      <w:tr w14:paraId="4D2FAA8E">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EFC5A16">
            <w:pPr>
              <w:spacing w:line="240" w:lineRule="auto"/>
              <w:ind w:firstLine="0" w:firstLineChars="0"/>
              <w:jc w:val="center"/>
              <w:rPr>
                <w:rFonts w:cs="Times New Roman"/>
                <w:sz w:val="21"/>
                <w:szCs w:val="21"/>
              </w:rPr>
            </w:pPr>
            <w:r>
              <w:rPr>
                <w:rFonts w:cs="Times New Roman"/>
                <w:sz w:val="21"/>
                <w:szCs w:val="21"/>
              </w:rPr>
              <w:t>56</w:t>
            </w:r>
          </w:p>
        </w:tc>
        <w:tc>
          <w:tcPr>
            <w:tcW w:w="784" w:type="pct"/>
            <w:tcBorders>
              <w:top w:val="single" w:color="000000" w:sz="4" w:space="0"/>
              <w:left w:val="single" w:color="000000" w:sz="4" w:space="0"/>
              <w:bottom w:val="single" w:color="000000" w:sz="4" w:space="0"/>
              <w:right w:val="single" w:color="000000" w:sz="4" w:space="0"/>
            </w:tcBorders>
            <w:vAlign w:val="center"/>
          </w:tcPr>
          <w:p w14:paraId="3218F667">
            <w:pPr>
              <w:spacing w:line="240" w:lineRule="auto"/>
              <w:ind w:firstLine="0" w:firstLineChars="0"/>
              <w:jc w:val="center"/>
              <w:rPr>
                <w:rFonts w:cs="Times New Roman"/>
                <w:sz w:val="21"/>
                <w:szCs w:val="21"/>
              </w:rPr>
            </w:pPr>
            <w:r>
              <w:rPr>
                <w:rFonts w:cs="Times New Roman"/>
                <w:sz w:val="21"/>
                <w:szCs w:val="21"/>
              </w:rPr>
              <w:t>上阳村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2B1A35D">
            <w:pPr>
              <w:spacing w:line="240" w:lineRule="auto"/>
              <w:ind w:firstLine="0" w:firstLineChars="0"/>
              <w:jc w:val="center"/>
              <w:rPr>
                <w:rFonts w:cs="Times New Roman"/>
                <w:sz w:val="21"/>
                <w:szCs w:val="21"/>
              </w:rPr>
            </w:pPr>
            <w:r>
              <w:rPr>
                <w:rFonts w:cs="Times New Roman"/>
                <w:sz w:val="21"/>
                <w:szCs w:val="21"/>
              </w:rPr>
              <w:t>窑塘凹</w:t>
            </w:r>
          </w:p>
        </w:tc>
        <w:tc>
          <w:tcPr>
            <w:tcW w:w="765" w:type="pct"/>
            <w:tcBorders>
              <w:top w:val="single" w:color="000000" w:sz="4" w:space="0"/>
              <w:left w:val="single" w:color="000000" w:sz="4" w:space="0"/>
              <w:bottom w:val="single" w:color="000000" w:sz="4" w:space="0"/>
              <w:right w:val="single" w:color="000000" w:sz="4" w:space="0"/>
            </w:tcBorders>
            <w:vAlign w:val="center"/>
          </w:tcPr>
          <w:p w14:paraId="73D4E75F">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9BD1762">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7636DC58">
            <w:pPr>
              <w:spacing w:line="240" w:lineRule="auto"/>
              <w:ind w:firstLine="0" w:firstLineChars="0"/>
              <w:jc w:val="center"/>
              <w:rPr>
                <w:rFonts w:cs="Times New Roman"/>
                <w:sz w:val="21"/>
                <w:szCs w:val="21"/>
              </w:rPr>
            </w:pPr>
            <w:r>
              <w:rPr>
                <w:rFonts w:cs="Times New Roman"/>
                <w:sz w:val="21"/>
                <w:szCs w:val="21"/>
              </w:rPr>
              <w:t>27</w:t>
            </w:r>
          </w:p>
        </w:tc>
        <w:tc>
          <w:tcPr>
            <w:tcW w:w="869" w:type="pct"/>
            <w:tcBorders>
              <w:top w:val="single" w:color="000000" w:sz="4" w:space="0"/>
              <w:left w:val="single" w:color="000000" w:sz="4" w:space="0"/>
              <w:bottom w:val="single" w:color="000000" w:sz="4" w:space="0"/>
              <w:right w:val="single" w:color="000000" w:sz="4" w:space="0"/>
            </w:tcBorders>
            <w:vAlign w:val="center"/>
          </w:tcPr>
          <w:p w14:paraId="31B022B1">
            <w:pPr>
              <w:spacing w:line="240" w:lineRule="auto"/>
              <w:ind w:firstLine="0" w:firstLineChars="0"/>
              <w:jc w:val="center"/>
              <w:rPr>
                <w:rFonts w:cs="Times New Roman"/>
                <w:sz w:val="21"/>
                <w:szCs w:val="21"/>
              </w:rPr>
            </w:pPr>
            <w:r>
              <w:rPr>
                <w:rFonts w:cs="Times New Roman"/>
                <w:sz w:val="21"/>
                <w:szCs w:val="21"/>
              </w:rPr>
              <w:t>27</w:t>
            </w:r>
          </w:p>
        </w:tc>
      </w:tr>
      <w:tr w14:paraId="05267F1F">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8AEE3A7">
            <w:pPr>
              <w:spacing w:line="240" w:lineRule="auto"/>
              <w:ind w:firstLine="0" w:firstLineChars="0"/>
              <w:jc w:val="center"/>
              <w:rPr>
                <w:rFonts w:cs="Times New Roman"/>
                <w:sz w:val="21"/>
                <w:szCs w:val="21"/>
              </w:rPr>
            </w:pPr>
            <w:r>
              <w:rPr>
                <w:rFonts w:cs="Times New Roman"/>
                <w:sz w:val="21"/>
                <w:szCs w:val="21"/>
              </w:rPr>
              <w:t>57</w:t>
            </w:r>
          </w:p>
        </w:tc>
        <w:tc>
          <w:tcPr>
            <w:tcW w:w="784" w:type="pct"/>
            <w:tcBorders>
              <w:top w:val="single" w:color="000000" w:sz="4" w:space="0"/>
              <w:left w:val="single" w:color="000000" w:sz="4" w:space="0"/>
              <w:bottom w:val="single" w:color="000000" w:sz="4" w:space="0"/>
              <w:right w:val="single" w:color="000000" w:sz="4" w:space="0"/>
            </w:tcBorders>
            <w:vAlign w:val="center"/>
          </w:tcPr>
          <w:p w14:paraId="28603DE2">
            <w:pPr>
              <w:spacing w:line="240" w:lineRule="auto"/>
              <w:ind w:firstLine="0" w:firstLineChars="0"/>
              <w:jc w:val="center"/>
              <w:rPr>
                <w:rFonts w:cs="Times New Roman"/>
                <w:sz w:val="21"/>
                <w:szCs w:val="21"/>
              </w:rPr>
            </w:pPr>
            <w:r>
              <w:rPr>
                <w:rFonts w:cs="Times New Roman"/>
                <w:sz w:val="21"/>
                <w:szCs w:val="21"/>
              </w:rPr>
              <w:t>石马村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F32D422">
            <w:pPr>
              <w:spacing w:line="240" w:lineRule="auto"/>
              <w:ind w:firstLine="0" w:firstLineChars="0"/>
              <w:jc w:val="center"/>
              <w:rPr>
                <w:rFonts w:cs="Times New Roman"/>
                <w:sz w:val="21"/>
                <w:szCs w:val="21"/>
              </w:rPr>
            </w:pPr>
            <w:r>
              <w:rPr>
                <w:rFonts w:cs="Times New Roman"/>
                <w:sz w:val="21"/>
                <w:szCs w:val="21"/>
              </w:rPr>
              <w:t>河南</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2C00C557">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49F5BCB">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609155A2">
            <w:pPr>
              <w:spacing w:line="240" w:lineRule="auto"/>
              <w:ind w:firstLine="0" w:firstLineChars="0"/>
              <w:jc w:val="center"/>
              <w:rPr>
                <w:rFonts w:cs="Times New Roman"/>
                <w:sz w:val="21"/>
                <w:szCs w:val="21"/>
              </w:rPr>
            </w:pPr>
            <w:r>
              <w:rPr>
                <w:rFonts w:cs="Times New Roman"/>
                <w:sz w:val="21"/>
                <w:szCs w:val="21"/>
              </w:rPr>
              <w:t>48</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428F0E5B">
            <w:pPr>
              <w:spacing w:line="240" w:lineRule="auto"/>
              <w:ind w:firstLine="0" w:firstLineChars="0"/>
              <w:jc w:val="center"/>
              <w:rPr>
                <w:rFonts w:cs="Times New Roman"/>
                <w:sz w:val="21"/>
                <w:szCs w:val="21"/>
              </w:rPr>
            </w:pPr>
            <w:r>
              <w:rPr>
                <w:rFonts w:cs="Times New Roman"/>
                <w:sz w:val="21"/>
                <w:szCs w:val="21"/>
              </w:rPr>
              <w:t>48</w:t>
            </w:r>
          </w:p>
        </w:tc>
      </w:tr>
      <w:tr w14:paraId="03683C73">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0E7755F">
            <w:pPr>
              <w:spacing w:line="240" w:lineRule="auto"/>
              <w:ind w:firstLine="0" w:firstLineChars="0"/>
              <w:jc w:val="center"/>
              <w:rPr>
                <w:rFonts w:cs="Times New Roman"/>
                <w:sz w:val="21"/>
                <w:szCs w:val="21"/>
              </w:rPr>
            </w:pPr>
            <w:r>
              <w:rPr>
                <w:rFonts w:cs="Times New Roman"/>
                <w:sz w:val="21"/>
                <w:szCs w:val="21"/>
              </w:rPr>
              <w:t>58</w:t>
            </w:r>
          </w:p>
        </w:tc>
        <w:tc>
          <w:tcPr>
            <w:tcW w:w="784" w:type="pct"/>
            <w:tcBorders>
              <w:top w:val="single" w:color="000000" w:sz="4" w:space="0"/>
              <w:left w:val="single" w:color="000000" w:sz="4" w:space="0"/>
              <w:bottom w:val="single" w:color="000000" w:sz="4" w:space="0"/>
              <w:right w:val="single" w:color="000000" w:sz="4" w:space="0"/>
            </w:tcBorders>
            <w:vAlign w:val="center"/>
          </w:tcPr>
          <w:p w14:paraId="3A8E7E53">
            <w:pPr>
              <w:spacing w:line="240" w:lineRule="auto"/>
              <w:ind w:firstLine="0" w:firstLineChars="0"/>
              <w:jc w:val="center"/>
              <w:rPr>
                <w:rFonts w:cs="Times New Roman"/>
                <w:sz w:val="21"/>
                <w:szCs w:val="21"/>
              </w:rPr>
            </w:pPr>
            <w:r>
              <w:rPr>
                <w:rFonts w:cs="Times New Roman"/>
                <w:sz w:val="21"/>
                <w:szCs w:val="21"/>
              </w:rPr>
              <w:t>石马村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7911491">
            <w:pPr>
              <w:spacing w:line="240" w:lineRule="auto"/>
              <w:ind w:firstLine="0" w:firstLineChars="0"/>
              <w:jc w:val="center"/>
              <w:rPr>
                <w:rFonts w:cs="Times New Roman"/>
                <w:sz w:val="21"/>
                <w:szCs w:val="21"/>
              </w:rPr>
            </w:pPr>
            <w:r>
              <w:rPr>
                <w:rFonts w:cs="Times New Roman"/>
                <w:sz w:val="21"/>
                <w:szCs w:val="21"/>
              </w:rPr>
              <w:t>斜谷</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63CEAD0E">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AD1DCA3">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300A17EE">
            <w:pPr>
              <w:spacing w:line="240" w:lineRule="auto"/>
              <w:ind w:firstLine="0" w:firstLineChars="0"/>
              <w:jc w:val="center"/>
              <w:rPr>
                <w:rFonts w:cs="Times New Roman"/>
                <w:sz w:val="21"/>
                <w:szCs w:val="21"/>
              </w:rPr>
            </w:pPr>
            <w:r>
              <w:rPr>
                <w:rFonts w:cs="Times New Roman"/>
                <w:sz w:val="21"/>
                <w:szCs w:val="21"/>
              </w:rPr>
              <w:t>25</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0E44E094">
            <w:pPr>
              <w:spacing w:line="240" w:lineRule="auto"/>
              <w:ind w:firstLine="0" w:firstLineChars="0"/>
              <w:jc w:val="center"/>
              <w:rPr>
                <w:rFonts w:cs="Times New Roman"/>
                <w:sz w:val="21"/>
                <w:szCs w:val="21"/>
              </w:rPr>
            </w:pPr>
            <w:r>
              <w:rPr>
                <w:rFonts w:cs="Times New Roman"/>
                <w:sz w:val="21"/>
                <w:szCs w:val="21"/>
              </w:rPr>
              <w:t>25</w:t>
            </w:r>
          </w:p>
        </w:tc>
      </w:tr>
      <w:tr w14:paraId="22FCA95C">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50E3C179">
            <w:pPr>
              <w:spacing w:line="240" w:lineRule="auto"/>
              <w:ind w:firstLine="0" w:firstLineChars="0"/>
              <w:jc w:val="center"/>
              <w:rPr>
                <w:rFonts w:cs="Times New Roman"/>
                <w:sz w:val="21"/>
                <w:szCs w:val="21"/>
              </w:rPr>
            </w:pPr>
            <w:r>
              <w:rPr>
                <w:rFonts w:cs="Times New Roman"/>
                <w:sz w:val="21"/>
                <w:szCs w:val="21"/>
              </w:rPr>
              <w:t>59</w:t>
            </w:r>
          </w:p>
        </w:tc>
        <w:tc>
          <w:tcPr>
            <w:tcW w:w="784" w:type="pct"/>
            <w:tcBorders>
              <w:top w:val="single" w:color="000000" w:sz="4" w:space="0"/>
              <w:left w:val="single" w:color="000000" w:sz="4" w:space="0"/>
              <w:bottom w:val="single" w:color="000000" w:sz="4" w:space="0"/>
              <w:right w:val="single" w:color="000000" w:sz="4" w:space="0"/>
            </w:tcBorders>
            <w:vAlign w:val="center"/>
          </w:tcPr>
          <w:p w14:paraId="4C82138D">
            <w:pPr>
              <w:spacing w:line="240" w:lineRule="auto"/>
              <w:ind w:firstLine="0" w:firstLineChars="0"/>
              <w:jc w:val="center"/>
              <w:rPr>
                <w:rFonts w:cs="Times New Roman"/>
                <w:sz w:val="21"/>
                <w:szCs w:val="21"/>
              </w:rPr>
            </w:pPr>
            <w:r>
              <w:rPr>
                <w:rFonts w:cs="Times New Roman"/>
                <w:sz w:val="21"/>
                <w:szCs w:val="21"/>
              </w:rPr>
              <w:t>西旸村</w:t>
            </w:r>
          </w:p>
        </w:tc>
        <w:tc>
          <w:tcPr>
            <w:tcW w:w="775" w:type="pct"/>
            <w:tcBorders>
              <w:top w:val="single" w:color="000000" w:sz="4" w:space="0"/>
              <w:left w:val="single" w:color="000000" w:sz="4" w:space="0"/>
              <w:bottom w:val="single" w:color="000000" w:sz="4" w:space="0"/>
              <w:right w:val="single" w:color="000000" w:sz="4" w:space="0"/>
            </w:tcBorders>
            <w:vAlign w:val="center"/>
          </w:tcPr>
          <w:p w14:paraId="3534E4D6">
            <w:pPr>
              <w:spacing w:line="240" w:lineRule="auto"/>
              <w:ind w:firstLine="0" w:firstLineChars="0"/>
              <w:jc w:val="center"/>
              <w:rPr>
                <w:rFonts w:cs="Times New Roman"/>
                <w:sz w:val="21"/>
                <w:szCs w:val="21"/>
              </w:rPr>
            </w:pPr>
            <w:r>
              <w:rPr>
                <w:rFonts w:cs="Times New Roman"/>
                <w:sz w:val="21"/>
                <w:szCs w:val="21"/>
              </w:rPr>
              <w:t>朝阳</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493BACB3">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115D2965">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3E09BD6A">
            <w:pPr>
              <w:spacing w:line="240" w:lineRule="auto"/>
              <w:ind w:firstLine="0" w:firstLineChars="0"/>
              <w:jc w:val="center"/>
              <w:rPr>
                <w:rFonts w:cs="Times New Roman"/>
                <w:sz w:val="21"/>
                <w:szCs w:val="21"/>
              </w:rPr>
            </w:pPr>
            <w:r>
              <w:rPr>
                <w:rFonts w:cs="Times New Roman"/>
                <w:sz w:val="21"/>
                <w:szCs w:val="21"/>
              </w:rPr>
              <w:t>17</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6B46E6A">
            <w:pPr>
              <w:spacing w:line="240" w:lineRule="auto"/>
              <w:ind w:firstLine="0" w:firstLineChars="0"/>
              <w:jc w:val="center"/>
              <w:rPr>
                <w:rFonts w:cs="Times New Roman"/>
                <w:sz w:val="21"/>
                <w:szCs w:val="21"/>
              </w:rPr>
            </w:pPr>
            <w:r>
              <w:rPr>
                <w:rFonts w:cs="Times New Roman"/>
                <w:sz w:val="21"/>
                <w:szCs w:val="21"/>
              </w:rPr>
              <w:t>14</w:t>
            </w:r>
          </w:p>
        </w:tc>
      </w:tr>
      <w:tr w14:paraId="01D74EA9">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51F9E186">
            <w:pPr>
              <w:spacing w:line="240" w:lineRule="auto"/>
              <w:ind w:firstLine="0" w:firstLineChars="0"/>
              <w:jc w:val="center"/>
              <w:rPr>
                <w:rFonts w:cs="Times New Roman"/>
                <w:sz w:val="21"/>
                <w:szCs w:val="21"/>
              </w:rPr>
            </w:pPr>
            <w:r>
              <w:rPr>
                <w:rFonts w:cs="Times New Roman"/>
                <w:sz w:val="21"/>
                <w:szCs w:val="21"/>
              </w:rPr>
              <w:t>60</w:t>
            </w:r>
          </w:p>
        </w:tc>
        <w:tc>
          <w:tcPr>
            <w:tcW w:w="784" w:type="pct"/>
            <w:tcBorders>
              <w:top w:val="single" w:color="000000" w:sz="4" w:space="0"/>
              <w:left w:val="single" w:color="000000" w:sz="4" w:space="0"/>
              <w:bottom w:val="single" w:color="000000" w:sz="4" w:space="0"/>
              <w:right w:val="single" w:color="000000" w:sz="4" w:space="0"/>
            </w:tcBorders>
            <w:vAlign w:val="center"/>
          </w:tcPr>
          <w:p w14:paraId="7A4DA6DF">
            <w:pPr>
              <w:spacing w:line="240" w:lineRule="auto"/>
              <w:ind w:firstLine="0" w:firstLineChars="0"/>
              <w:jc w:val="center"/>
              <w:rPr>
                <w:rFonts w:cs="Times New Roman"/>
                <w:sz w:val="21"/>
                <w:szCs w:val="21"/>
              </w:rPr>
            </w:pPr>
            <w:r>
              <w:rPr>
                <w:rFonts w:cs="Times New Roman"/>
                <w:sz w:val="21"/>
                <w:szCs w:val="21"/>
              </w:rPr>
              <w:t>西旸村</w:t>
            </w:r>
          </w:p>
        </w:tc>
        <w:tc>
          <w:tcPr>
            <w:tcW w:w="775" w:type="pct"/>
            <w:tcBorders>
              <w:top w:val="single" w:color="000000" w:sz="4" w:space="0"/>
              <w:left w:val="single" w:color="000000" w:sz="4" w:space="0"/>
              <w:bottom w:val="single" w:color="000000" w:sz="4" w:space="0"/>
              <w:right w:val="single" w:color="000000" w:sz="4" w:space="0"/>
            </w:tcBorders>
            <w:vAlign w:val="center"/>
          </w:tcPr>
          <w:p w14:paraId="1007A702">
            <w:pPr>
              <w:spacing w:line="240" w:lineRule="auto"/>
              <w:ind w:firstLine="0" w:firstLineChars="0"/>
              <w:jc w:val="center"/>
              <w:rPr>
                <w:rFonts w:cs="Times New Roman"/>
                <w:sz w:val="21"/>
                <w:szCs w:val="21"/>
              </w:rPr>
            </w:pPr>
            <w:r>
              <w:rPr>
                <w:rFonts w:cs="Times New Roman"/>
                <w:sz w:val="21"/>
                <w:szCs w:val="21"/>
              </w:rPr>
              <w:t>东场</w:t>
            </w:r>
          </w:p>
        </w:tc>
        <w:tc>
          <w:tcPr>
            <w:tcW w:w="765" w:type="pct"/>
            <w:tcBorders>
              <w:top w:val="single" w:color="000000" w:sz="4" w:space="0"/>
              <w:left w:val="single" w:color="000000" w:sz="4" w:space="0"/>
              <w:bottom w:val="single" w:color="000000" w:sz="4" w:space="0"/>
              <w:right w:val="single" w:color="000000" w:sz="4" w:space="0"/>
            </w:tcBorders>
            <w:vAlign w:val="center"/>
          </w:tcPr>
          <w:p w14:paraId="109EC415">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5D510A1">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49EBB067">
            <w:pPr>
              <w:spacing w:line="240" w:lineRule="auto"/>
              <w:ind w:firstLine="0" w:firstLineChars="0"/>
              <w:jc w:val="center"/>
              <w:rPr>
                <w:rFonts w:cs="Times New Roman"/>
                <w:sz w:val="21"/>
                <w:szCs w:val="21"/>
              </w:rPr>
            </w:pPr>
            <w:r>
              <w:rPr>
                <w:rFonts w:cs="Times New Roman"/>
                <w:sz w:val="21"/>
                <w:szCs w:val="21"/>
              </w:rPr>
              <w:t>18</w:t>
            </w:r>
          </w:p>
        </w:tc>
        <w:tc>
          <w:tcPr>
            <w:tcW w:w="869" w:type="pct"/>
            <w:tcBorders>
              <w:top w:val="single" w:color="000000" w:sz="4" w:space="0"/>
              <w:left w:val="single" w:color="000000" w:sz="4" w:space="0"/>
              <w:bottom w:val="single" w:color="000000" w:sz="4" w:space="0"/>
              <w:right w:val="single" w:color="000000" w:sz="4" w:space="0"/>
            </w:tcBorders>
            <w:vAlign w:val="center"/>
          </w:tcPr>
          <w:p w14:paraId="71DB36EE">
            <w:pPr>
              <w:spacing w:line="240" w:lineRule="auto"/>
              <w:ind w:firstLine="0" w:firstLineChars="0"/>
              <w:jc w:val="center"/>
              <w:rPr>
                <w:rFonts w:cs="Times New Roman"/>
                <w:sz w:val="21"/>
                <w:szCs w:val="21"/>
              </w:rPr>
            </w:pPr>
            <w:r>
              <w:rPr>
                <w:rFonts w:cs="Times New Roman"/>
                <w:sz w:val="21"/>
                <w:szCs w:val="21"/>
              </w:rPr>
              <w:t>18</w:t>
            </w:r>
          </w:p>
        </w:tc>
      </w:tr>
      <w:tr w14:paraId="4F92A05D">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BF16929">
            <w:pPr>
              <w:spacing w:line="240" w:lineRule="auto"/>
              <w:ind w:firstLine="0" w:firstLineChars="0"/>
              <w:jc w:val="center"/>
              <w:rPr>
                <w:rFonts w:cs="Times New Roman"/>
                <w:sz w:val="21"/>
                <w:szCs w:val="21"/>
              </w:rPr>
            </w:pPr>
            <w:r>
              <w:rPr>
                <w:rFonts w:cs="Times New Roman"/>
                <w:sz w:val="21"/>
                <w:szCs w:val="21"/>
              </w:rPr>
              <w:t>61</w:t>
            </w:r>
          </w:p>
        </w:tc>
        <w:tc>
          <w:tcPr>
            <w:tcW w:w="784" w:type="pct"/>
            <w:tcBorders>
              <w:top w:val="single" w:color="000000" w:sz="4" w:space="0"/>
              <w:left w:val="single" w:color="000000" w:sz="4" w:space="0"/>
              <w:bottom w:val="single" w:color="000000" w:sz="4" w:space="0"/>
              <w:right w:val="single" w:color="000000" w:sz="4" w:space="0"/>
            </w:tcBorders>
            <w:vAlign w:val="center"/>
          </w:tcPr>
          <w:p w14:paraId="375C137A">
            <w:pPr>
              <w:spacing w:line="240" w:lineRule="auto"/>
              <w:ind w:firstLine="0" w:firstLineChars="0"/>
              <w:jc w:val="center"/>
              <w:rPr>
                <w:rFonts w:cs="Times New Roman"/>
                <w:sz w:val="21"/>
                <w:szCs w:val="21"/>
              </w:rPr>
            </w:pPr>
            <w:r>
              <w:rPr>
                <w:rFonts w:cs="Times New Roman"/>
                <w:sz w:val="21"/>
                <w:szCs w:val="21"/>
              </w:rPr>
              <w:t>西旸村</w:t>
            </w:r>
          </w:p>
        </w:tc>
        <w:tc>
          <w:tcPr>
            <w:tcW w:w="775" w:type="pct"/>
            <w:tcBorders>
              <w:top w:val="single" w:color="000000" w:sz="4" w:space="0"/>
              <w:left w:val="single" w:color="000000" w:sz="4" w:space="0"/>
              <w:bottom w:val="single" w:color="000000" w:sz="4" w:space="0"/>
              <w:right w:val="single" w:color="000000" w:sz="4" w:space="0"/>
            </w:tcBorders>
            <w:vAlign w:val="center"/>
          </w:tcPr>
          <w:p w14:paraId="62640809">
            <w:pPr>
              <w:spacing w:line="240" w:lineRule="auto"/>
              <w:ind w:firstLine="0" w:firstLineChars="0"/>
              <w:jc w:val="center"/>
              <w:rPr>
                <w:rFonts w:cs="Times New Roman"/>
                <w:sz w:val="21"/>
                <w:szCs w:val="21"/>
              </w:rPr>
            </w:pPr>
            <w:r>
              <w:rPr>
                <w:rFonts w:cs="Times New Roman"/>
                <w:sz w:val="21"/>
                <w:szCs w:val="21"/>
              </w:rPr>
              <w:t>东塔山</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32951D82">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1D99CEB5">
            <w:pPr>
              <w:spacing w:line="240" w:lineRule="auto"/>
              <w:ind w:firstLine="0" w:firstLineChars="0"/>
              <w:jc w:val="center"/>
              <w:rPr>
                <w:rFonts w:cs="Times New Roman"/>
                <w:sz w:val="21"/>
                <w:szCs w:val="21"/>
              </w:rPr>
            </w:pPr>
            <w:r>
              <w:rPr>
                <w:rFonts w:cs="Times New Roman"/>
                <w:sz w:val="21"/>
                <w:szCs w:val="21"/>
              </w:rPr>
              <w:t>资源化利用</w:t>
            </w:r>
          </w:p>
        </w:tc>
        <w:tc>
          <w:tcPr>
            <w:tcW w:w="628" w:type="pct"/>
            <w:tcBorders>
              <w:top w:val="single" w:color="000000" w:sz="4" w:space="0"/>
              <w:left w:val="single" w:color="000000" w:sz="4" w:space="0"/>
              <w:bottom w:val="single" w:color="000000" w:sz="4" w:space="0"/>
              <w:right w:val="single" w:color="000000" w:sz="4" w:space="0"/>
            </w:tcBorders>
            <w:vAlign w:val="center"/>
          </w:tcPr>
          <w:p w14:paraId="309BBE5C">
            <w:pPr>
              <w:spacing w:line="240" w:lineRule="auto"/>
              <w:ind w:firstLine="0" w:firstLineChars="0"/>
              <w:jc w:val="center"/>
              <w:rPr>
                <w:rFonts w:cs="Times New Roman"/>
                <w:sz w:val="21"/>
                <w:szCs w:val="21"/>
              </w:rPr>
            </w:pPr>
            <w:r>
              <w:rPr>
                <w:rFonts w:cs="Times New Roman"/>
                <w:sz w:val="21"/>
                <w:szCs w:val="21"/>
              </w:rPr>
              <w:t>80</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61E2A9A2">
            <w:pPr>
              <w:spacing w:line="240" w:lineRule="auto"/>
              <w:ind w:firstLine="0" w:firstLineChars="0"/>
              <w:jc w:val="center"/>
              <w:rPr>
                <w:rFonts w:cs="Times New Roman"/>
                <w:sz w:val="21"/>
                <w:szCs w:val="21"/>
              </w:rPr>
            </w:pPr>
            <w:r>
              <w:rPr>
                <w:rFonts w:cs="Times New Roman"/>
                <w:sz w:val="21"/>
                <w:szCs w:val="21"/>
              </w:rPr>
              <w:t>64</w:t>
            </w:r>
          </w:p>
        </w:tc>
      </w:tr>
      <w:tr w14:paraId="680310F8">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471EFAEF">
            <w:pPr>
              <w:spacing w:line="240" w:lineRule="auto"/>
              <w:ind w:firstLine="0" w:firstLineChars="0"/>
              <w:jc w:val="center"/>
              <w:rPr>
                <w:rFonts w:cs="Times New Roman"/>
                <w:sz w:val="21"/>
                <w:szCs w:val="21"/>
              </w:rPr>
            </w:pPr>
            <w:r>
              <w:rPr>
                <w:rFonts w:cs="Times New Roman"/>
                <w:sz w:val="21"/>
                <w:szCs w:val="21"/>
              </w:rPr>
              <w:t>62</w:t>
            </w:r>
          </w:p>
        </w:tc>
        <w:tc>
          <w:tcPr>
            <w:tcW w:w="784" w:type="pct"/>
            <w:tcBorders>
              <w:top w:val="single" w:color="000000" w:sz="4" w:space="0"/>
              <w:left w:val="single" w:color="000000" w:sz="4" w:space="0"/>
              <w:bottom w:val="single" w:color="000000" w:sz="4" w:space="0"/>
              <w:right w:val="single" w:color="000000" w:sz="4" w:space="0"/>
            </w:tcBorders>
            <w:vAlign w:val="center"/>
          </w:tcPr>
          <w:p w14:paraId="0A8D72ED">
            <w:pPr>
              <w:spacing w:line="240" w:lineRule="auto"/>
              <w:ind w:firstLine="0" w:firstLineChars="0"/>
              <w:jc w:val="center"/>
              <w:rPr>
                <w:rFonts w:cs="Times New Roman"/>
                <w:sz w:val="21"/>
                <w:szCs w:val="21"/>
              </w:rPr>
            </w:pPr>
            <w:r>
              <w:rPr>
                <w:rFonts w:cs="Times New Roman"/>
                <w:sz w:val="21"/>
                <w:szCs w:val="21"/>
              </w:rPr>
              <w:t>西旸村</w:t>
            </w:r>
          </w:p>
        </w:tc>
        <w:tc>
          <w:tcPr>
            <w:tcW w:w="775" w:type="pct"/>
            <w:tcBorders>
              <w:top w:val="single" w:color="000000" w:sz="4" w:space="0"/>
              <w:left w:val="single" w:color="000000" w:sz="4" w:space="0"/>
              <w:bottom w:val="single" w:color="000000" w:sz="4" w:space="0"/>
              <w:right w:val="single" w:color="000000" w:sz="4" w:space="0"/>
            </w:tcBorders>
            <w:vAlign w:val="center"/>
          </w:tcPr>
          <w:p w14:paraId="6F7EA83D">
            <w:pPr>
              <w:spacing w:line="240" w:lineRule="auto"/>
              <w:ind w:firstLine="0" w:firstLineChars="0"/>
              <w:jc w:val="center"/>
              <w:rPr>
                <w:rFonts w:cs="Times New Roman"/>
                <w:sz w:val="21"/>
                <w:szCs w:val="21"/>
              </w:rPr>
            </w:pPr>
            <w:r>
              <w:rPr>
                <w:rFonts w:cs="Times New Roman"/>
                <w:sz w:val="21"/>
                <w:szCs w:val="21"/>
              </w:rPr>
              <w:t>东园</w:t>
            </w:r>
          </w:p>
        </w:tc>
        <w:tc>
          <w:tcPr>
            <w:tcW w:w="765" w:type="pct"/>
            <w:tcBorders>
              <w:top w:val="single" w:color="000000" w:sz="4" w:space="0"/>
              <w:left w:val="single" w:color="000000" w:sz="4" w:space="0"/>
              <w:bottom w:val="single" w:color="000000" w:sz="4" w:space="0"/>
              <w:right w:val="single" w:color="000000" w:sz="4" w:space="0"/>
            </w:tcBorders>
            <w:vAlign w:val="center"/>
          </w:tcPr>
          <w:p w14:paraId="69092A90">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1FB2C0A3">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2794FD64">
            <w:pPr>
              <w:spacing w:line="240" w:lineRule="auto"/>
              <w:ind w:firstLine="0" w:firstLineChars="0"/>
              <w:jc w:val="center"/>
              <w:rPr>
                <w:rFonts w:cs="Times New Roman"/>
                <w:sz w:val="21"/>
                <w:szCs w:val="21"/>
              </w:rPr>
            </w:pPr>
            <w:r>
              <w:rPr>
                <w:rFonts w:cs="Times New Roman"/>
                <w:sz w:val="21"/>
                <w:szCs w:val="21"/>
              </w:rPr>
              <w:t>46</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9C9A672">
            <w:pPr>
              <w:spacing w:line="240" w:lineRule="auto"/>
              <w:ind w:firstLine="0" w:firstLineChars="0"/>
              <w:jc w:val="center"/>
              <w:rPr>
                <w:rFonts w:cs="Times New Roman"/>
                <w:sz w:val="21"/>
                <w:szCs w:val="21"/>
              </w:rPr>
            </w:pPr>
            <w:r>
              <w:rPr>
                <w:rFonts w:cs="Times New Roman"/>
                <w:sz w:val="21"/>
                <w:szCs w:val="21"/>
              </w:rPr>
              <w:t>41</w:t>
            </w:r>
          </w:p>
        </w:tc>
      </w:tr>
      <w:tr w14:paraId="6E2C09D3">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58AEE4B7">
            <w:pPr>
              <w:spacing w:line="240" w:lineRule="auto"/>
              <w:ind w:firstLine="0" w:firstLineChars="0"/>
              <w:jc w:val="center"/>
              <w:rPr>
                <w:rFonts w:cs="Times New Roman"/>
                <w:sz w:val="21"/>
                <w:szCs w:val="21"/>
              </w:rPr>
            </w:pPr>
            <w:r>
              <w:rPr>
                <w:rFonts w:cs="Times New Roman"/>
                <w:sz w:val="21"/>
                <w:szCs w:val="21"/>
              </w:rPr>
              <w:t>63</w:t>
            </w:r>
          </w:p>
        </w:tc>
        <w:tc>
          <w:tcPr>
            <w:tcW w:w="784" w:type="pct"/>
            <w:tcBorders>
              <w:top w:val="single" w:color="000000" w:sz="4" w:space="0"/>
              <w:left w:val="single" w:color="000000" w:sz="4" w:space="0"/>
              <w:bottom w:val="single" w:color="000000" w:sz="4" w:space="0"/>
              <w:right w:val="single" w:color="000000" w:sz="4" w:space="0"/>
            </w:tcBorders>
            <w:vAlign w:val="center"/>
          </w:tcPr>
          <w:p w14:paraId="48892C87">
            <w:pPr>
              <w:spacing w:line="240" w:lineRule="auto"/>
              <w:ind w:firstLine="0" w:firstLineChars="0"/>
              <w:jc w:val="center"/>
              <w:rPr>
                <w:rFonts w:cs="Times New Roman"/>
                <w:sz w:val="21"/>
                <w:szCs w:val="21"/>
              </w:rPr>
            </w:pPr>
            <w:r>
              <w:rPr>
                <w:rFonts w:cs="Times New Roman"/>
                <w:sz w:val="21"/>
                <w:szCs w:val="21"/>
              </w:rPr>
              <w:t>西旸村</w:t>
            </w:r>
          </w:p>
        </w:tc>
        <w:tc>
          <w:tcPr>
            <w:tcW w:w="775" w:type="pct"/>
            <w:tcBorders>
              <w:top w:val="single" w:color="000000" w:sz="4" w:space="0"/>
              <w:left w:val="single" w:color="000000" w:sz="4" w:space="0"/>
              <w:bottom w:val="single" w:color="000000" w:sz="4" w:space="0"/>
              <w:right w:val="single" w:color="000000" w:sz="4" w:space="0"/>
            </w:tcBorders>
            <w:vAlign w:val="center"/>
          </w:tcPr>
          <w:p w14:paraId="517E0E09">
            <w:pPr>
              <w:spacing w:line="240" w:lineRule="auto"/>
              <w:ind w:firstLine="0" w:firstLineChars="0"/>
              <w:jc w:val="center"/>
              <w:rPr>
                <w:rFonts w:cs="Times New Roman"/>
                <w:sz w:val="21"/>
                <w:szCs w:val="21"/>
              </w:rPr>
            </w:pPr>
            <w:r>
              <w:rPr>
                <w:rFonts w:cs="Times New Roman"/>
                <w:sz w:val="21"/>
                <w:szCs w:val="21"/>
              </w:rPr>
              <w:t>青龙埂</w:t>
            </w:r>
          </w:p>
        </w:tc>
        <w:tc>
          <w:tcPr>
            <w:tcW w:w="765" w:type="pct"/>
            <w:tcBorders>
              <w:top w:val="single" w:color="000000" w:sz="4" w:space="0"/>
              <w:left w:val="single" w:color="000000" w:sz="4" w:space="0"/>
              <w:bottom w:val="single" w:color="000000" w:sz="4" w:space="0"/>
              <w:right w:val="single" w:color="000000" w:sz="4" w:space="0"/>
            </w:tcBorders>
            <w:vAlign w:val="center"/>
          </w:tcPr>
          <w:p w14:paraId="6BED44AF">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870F07A">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6FC63862">
            <w:pPr>
              <w:spacing w:line="240" w:lineRule="auto"/>
              <w:ind w:firstLine="0" w:firstLineChars="0"/>
              <w:jc w:val="center"/>
              <w:rPr>
                <w:rFonts w:cs="Times New Roman"/>
                <w:sz w:val="21"/>
                <w:szCs w:val="21"/>
              </w:rPr>
            </w:pPr>
            <w:r>
              <w:rPr>
                <w:rFonts w:cs="Times New Roman"/>
                <w:sz w:val="21"/>
                <w:szCs w:val="21"/>
              </w:rPr>
              <w:t>30</w:t>
            </w:r>
          </w:p>
        </w:tc>
        <w:tc>
          <w:tcPr>
            <w:tcW w:w="869" w:type="pct"/>
            <w:tcBorders>
              <w:top w:val="single" w:color="000000" w:sz="4" w:space="0"/>
              <w:left w:val="single" w:color="000000" w:sz="4" w:space="0"/>
              <w:bottom w:val="single" w:color="000000" w:sz="4" w:space="0"/>
              <w:right w:val="single" w:color="000000" w:sz="4" w:space="0"/>
            </w:tcBorders>
            <w:vAlign w:val="center"/>
          </w:tcPr>
          <w:p w14:paraId="226DED0E">
            <w:pPr>
              <w:spacing w:line="240" w:lineRule="auto"/>
              <w:ind w:firstLine="0" w:firstLineChars="0"/>
              <w:jc w:val="center"/>
              <w:rPr>
                <w:rFonts w:cs="Times New Roman"/>
                <w:sz w:val="21"/>
                <w:szCs w:val="21"/>
              </w:rPr>
            </w:pPr>
            <w:r>
              <w:rPr>
                <w:rFonts w:cs="Times New Roman"/>
                <w:sz w:val="21"/>
                <w:szCs w:val="21"/>
              </w:rPr>
              <w:t>30</w:t>
            </w:r>
          </w:p>
        </w:tc>
      </w:tr>
      <w:tr w14:paraId="097FEAA7">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A81D864">
            <w:pPr>
              <w:spacing w:line="240" w:lineRule="auto"/>
              <w:ind w:firstLine="0" w:firstLineChars="0"/>
              <w:jc w:val="center"/>
              <w:rPr>
                <w:rFonts w:cs="Times New Roman"/>
                <w:sz w:val="21"/>
                <w:szCs w:val="21"/>
              </w:rPr>
            </w:pPr>
            <w:r>
              <w:rPr>
                <w:rFonts w:cs="Times New Roman"/>
                <w:sz w:val="21"/>
                <w:szCs w:val="21"/>
              </w:rPr>
              <w:t>64</w:t>
            </w:r>
          </w:p>
        </w:tc>
        <w:tc>
          <w:tcPr>
            <w:tcW w:w="784" w:type="pct"/>
            <w:tcBorders>
              <w:top w:val="single" w:color="000000" w:sz="4" w:space="0"/>
              <w:left w:val="single" w:color="000000" w:sz="4" w:space="0"/>
              <w:bottom w:val="single" w:color="000000" w:sz="4" w:space="0"/>
              <w:right w:val="single" w:color="000000" w:sz="4" w:space="0"/>
            </w:tcBorders>
            <w:vAlign w:val="center"/>
          </w:tcPr>
          <w:p w14:paraId="52574E2B">
            <w:pPr>
              <w:spacing w:line="240" w:lineRule="auto"/>
              <w:ind w:firstLine="0" w:firstLineChars="0"/>
              <w:jc w:val="center"/>
              <w:rPr>
                <w:rFonts w:cs="Times New Roman"/>
                <w:sz w:val="21"/>
                <w:szCs w:val="21"/>
              </w:rPr>
            </w:pPr>
            <w:r>
              <w:rPr>
                <w:rFonts w:cs="Times New Roman"/>
                <w:sz w:val="21"/>
                <w:szCs w:val="21"/>
              </w:rPr>
              <w:t>西旸村</w:t>
            </w:r>
          </w:p>
        </w:tc>
        <w:tc>
          <w:tcPr>
            <w:tcW w:w="775" w:type="pct"/>
            <w:tcBorders>
              <w:top w:val="single" w:color="000000" w:sz="4" w:space="0"/>
              <w:left w:val="single" w:color="000000" w:sz="4" w:space="0"/>
              <w:bottom w:val="single" w:color="000000" w:sz="4" w:space="0"/>
              <w:right w:val="single" w:color="000000" w:sz="4" w:space="0"/>
            </w:tcBorders>
            <w:vAlign w:val="center"/>
          </w:tcPr>
          <w:p w14:paraId="7A5E994A">
            <w:pPr>
              <w:spacing w:line="240" w:lineRule="auto"/>
              <w:ind w:firstLine="0" w:firstLineChars="0"/>
              <w:jc w:val="center"/>
              <w:rPr>
                <w:rFonts w:cs="Times New Roman"/>
                <w:sz w:val="21"/>
                <w:szCs w:val="21"/>
              </w:rPr>
            </w:pPr>
            <w:r>
              <w:rPr>
                <w:rFonts w:cs="Times New Roman"/>
                <w:sz w:val="21"/>
                <w:szCs w:val="21"/>
              </w:rPr>
              <w:t>任家棚</w:t>
            </w:r>
          </w:p>
        </w:tc>
        <w:tc>
          <w:tcPr>
            <w:tcW w:w="765" w:type="pct"/>
            <w:tcBorders>
              <w:top w:val="single" w:color="000000" w:sz="4" w:space="0"/>
              <w:left w:val="single" w:color="000000" w:sz="4" w:space="0"/>
              <w:bottom w:val="single" w:color="000000" w:sz="4" w:space="0"/>
              <w:right w:val="single" w:color="000000" w:sz="4" w:space="0"/>
            </w:tcBorders>
            <w:vAlign w:val="center"/>
          </w:tcPr>
          <w:p w14:paraId="1A2BABA3">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18645A85">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5CF14CAC">
            <w:pPr>
              <w:spacing w:line="240" w:lineRule="auto"/>
              <w:ind w:firstLine="0" w:firstLineChars="0"/>
              <w:jc w:val="center"/>
              <w:rPr>
                <w:rFonts w:cs="Times New Roman"/>
                <w:sz w:val="21"/>
                <w:szCs w:val="21"/>
              </w:rPr>
            </w:pPr>
            <w:r>
              <w:rPr>
                <w:rFonts w:cs="Times New Roman"/>
                <w:sz w:val="21"/>
                <w:szCs w:val="21"/>
              </w:rPr>
              <w:t>21</w:t>
            </w:r>
          </w:p>
        </w:tc>
        <w:tc>
          <w:tcPr>
            <w:tcW w:w="869" w:type="pct"/>
            <w:tcBorders>
              <w:top w:val="single" w:color="000000" w:sz="4" w:space="0"/>
              <w:left w:val="single" w:color="000000" w:sz="4" w:space="0"/>
              <w:bottom w:val="single" w:color="000000" w:sz="4" w:space="0"/>
              <w:right w:val="single" w:color="000000" w:sz="4" w:space="0"/>
            </w:tcBorders>
            <w:vAlign w:val="center"/>
          </w:tcPr>
          <w:p w14:paraId="301750B5">
            <w:pPr>
              <w:spacing w:line="240" w:lineRule="auto"/>
              <w:ind w:firstLine="0" w:firstLineChars="0"/>
              <w:jc w:val="center"/>
              <w:rPr>
                <w:rFonts w:cs="Times New Roman"/>
                <w:sz w:val="21"/>
                <w:szCs w:val="21"/>
              </w:rPr>
            </w:pPr>
            <w:r>
              <w:rPr>
                <w:rFonts w:cs="Times New Roman"/>
                <w:sz w:val="21"/>
                <w:szCs w:val="21"/>
              </w:rPr>
              <w:t>21</w:t>
            </w:r>
          </w:p>
        </w:tc>
      </w:tr>
      <w:tr w14:paraId="4DE8CACB">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0B59B34E">
            <w:pPr>
              <w:spacing w:line="240" w:lineRule="auto"/>
              <w:ind w:firstLine="0" w:firstLineChars="0"/>
              <w:jc w:val="center"/>
              <w:rPr>
                <w:rFonts w:cs="Times New Roman"/>
                <w:sz w:val="21"/>
                <w:szCs w:val="21"/>
              </w:rPr>
            </w:pPr>
            <w:r>
              <w:rPr>
                <w:rFonts w:cs="Times New Roman"/>
                <w:sz w:val="21"/>
                <w:szCs w:val="21"/>
              </w:rPr>
              <w:t>65</w:t>
            </w:r>
          </w:p>
        </w:tc>
        <w:tc>
          <w:tcPr>
            <w:tcW w:w="784" w:type="pct"/>
            <w:tcBorders>
              <w:top w:val="single" w:color="000000" w:sz="4" w:space="0"/>
              <w:left w:val="single" w:color="000000" w:sz="4" w:space="0"/>
              <w:bottom w:val="single" w:color="000000" w:sz="4" w:space="0"/>
              <w:right w:val="single" w:color="000000" w:sz="4" w:space="0"/>
            </w:tcBorders>
            <w:vAlign w:val="center"/>
          </w:tcPr>
          <w:p w14:paraId="0B407861">
            <w:pPr>
              <w:spacing w:line="240" w:lineRule="auto"/>
              <w:ind w:firstLine="0" w:firstLineChars="0"/>
              <w:jc w:val="center"/>
              <w:rPr>
                <w:rFonts w:cs="Times New Roman"/>
                <w:sz w:val="21"/>
                <w:szCs w:val="21"/>
              </w:rPr>
            </w:pPr>
            <w:r>
              <w:rPr>
                <w:rFonts w:cs="Times New Roman"/>
                <w:sz w:val="21"/>
                <w:szCs w:val="21"/>
              </w:rPr>
              <w:t>西旸村</w:t>
            </w:r>
          </w:p>
        </w:tc>
        <w:tc>
          <w:tcPr>
            <w:tcW w:w="775" w:type="pct"/>
            <w:tcBorders>
              <w:top w:val="single" w:color="000000" w:sz="4" w:space="0"/>
              <w:left w:val="single" w:color="000000" w:sz="4" w:space="0"/>
              <w:bottom w:val="single" w:color="000000" w:sz="4" w:space="0"/>
              <w:right w:val="single" w:color="000000" w:sz="4" w:space="0"/>
            </w:tcBorders>
            <w:vAlign w:val="center"/>
          </w:tcPr>
          <w:p w14:paraId="4356C7D4">
            <w:pPr>
              <w:spacing w:line="240" w:lineRule="auto"/>
              <w:ind w:firstLine="0" w:firstLineChars="0"/>
              <w:jc w:val="center"/>
              <w:rPr>
                <w:rFonts w:cs="Times New Roman"/>
                <w:sz w:val="21"/>
                <w:szCs w:val="21"/>
              </w:rPr>
            </w:pPr>
            <w:r>
              <w:rPr>
                <w:rFonts w:cs="Times New Roman"/>
                <w:sz w:val="21"/>
                <w:szCs w:val="21"/>
              </w:rPr>
              <w:t>塔山</w:t>
            </w:r>
          </w:p>
        </w:tc>
        <w:tc>
          <w:tcPr>
            <w:tcW w:w="765" w:type="pct"/>
            <w:tcBorders>
              <w:top w:val="single" w:color="000000" w:sz="4" w:space="0"/>
              <w:left w:val="single" w:color="000000" w:sz="4" w:space="0"/>
              <w:bottom w:val="single" w:color="000000" w:sz="4" w:space="0"/>
              <w:right w:val="single" w:color="000000" w:sz="4" w:space="0"/>
            </w:tcBorders>
            <w:vAlign w:val="center"/>
          </w:tcPr>
          <w:p w14:paraId="733CD865">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046865E">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2C9D7860">
            <w:pPr>
              <w:spacing w:line="240" w:lineRule="auto"/>
              <w:ind w:firstLine="0" w:firstLineChars="0"/>
              <w:jc w:val="center"/>
              <w:rPr>
                <w:rFonts w:cs="Times New Roman"/>
                <w:sz w:val="21"/>
                <w:szCs w:val="21"/>
              </w:rPr>
            </w:pPr>
            <w:r>
              <w:rPr>
                <w:rFonts w:cs="Times New Roman"/>
                <w:sz w:val="21"/>
                <w:szCs w:val="21"/>
              </w:rPr>
              <w:t>157</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301FC582">
            <w:pPr>
              <w:spacing w:line="240" w:lineRule="auto"/>
              <w:ind w:firstLine="0" w:firstLineChars="0"/>
              <w:jc w:val="center"/>
              <w:rPr>
                <w:rFonts w:cs="Times New Roman"/>
                <w:sz w:val="21"/>
                <w:szCs w:val="21"/>
              </w:rPr>
            </w:pPr>
            <w:r>
              <w:rPr>
                <w:rFonts w:cs="Times New Roman"/>
                <w:sz w:val="21"/>
                <w:szCs w:val="21"/>
              </w:rPr>
              <w:t>141</w:t>
            </w:r>
          </w:p>
        </w:tc>
      </w:tr>
      <w:tr w14:paraId="1EDA519D">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6B89AEB">
            <w:pPr>
              <w:spacing w:line="240" w:lineRule="auto"/>
              <w:ind w:firstLine="0" w:firstLineChars="0"/>
              <w:jc w:val="center"/>
              <w:rPr>
                <w:rFonts w:cs="Times New Roman"/>
                <w:sz w:val="21"/>
                <w:szCs w:val="21"/>
              </w:rPr>
            </w:pPr>
            <w:r>
              <w:rPr>
                <w:rFonts w:cs="Times New Roman"/>
                <w:sz w:val="21"/>
                <w:szCs w:val="21"/>
              </w:rPr>
              <w:t>66</w:t>
            </w:r>
          </w:p>
        </w:tc>
        <w:tc>
          <w:tcPr>
            <w:tcW w:w="784" w:type="pct"/>
            <w:tcBorders>
              <w:top w:val="single" w:color="000000" w:sz="4" w:space="0"/>
              <w:left w:val="single" w:color="000000" w:sz="4" w:space="0"/>
              <w:bottom w:val="single" w:color="000000" w:sz="4" w:space="0"/>
              <w:right w:val="single" w:color="000000" w:sz="4" w:space="0"/>
            </w:tcBorders>
            <w:vAlign w:val="center"/>
          </w:tcPr>
          <w:p w14:paraId="231C2D06">
            <w:pPr>
              <w:spacing w:line="240" w:lineRule="auto"/>
              <w:ind w:firstLine="0" w:firstLineChars="0"/>
              <w:jc w:val="center"/>
              <w:rPr>
                <w:rFonts w:cs="Times New Roman"/>
                <w:sz w:val="21"/>
                <w:szCs w:val="21"/>
              </w:rPr>
            </w:pPr>
            <w:r>
              <w:rPr>
                <w:rFonts w:cs="Times New Roman"/>
                <w:sz w:val="21"/>
                <w:szCs w:val="21"/>
              </w:rPr>
              <w:t>西旸村</w:t>
            </w:r>
          </w:p>
        </w:tc>
        <w:tc>
          <w:tcPr>
            <w:tcW w:w="775" w:type="pct"/>
            <w:tcBorders>
              <w:top w:val="single" w:color="000000" w:sz="4" w:space="0"/>
              <w:left w:val="single" w:color="000000" w:sz="4" w:space="0"/>
              <w:bottom w:val="single" w:color="000000" w:sz="4" w:space="0"/>
              <w:right w:val="single" w:color="000000" w:sz="4" w:space="0"/>
            </w:tcBorders>
            <w:vAlign w:val="center"/>
          </w:tcPr>
          <w:p w14:paraId="0AF7F834">
            <w:pPr>
              <w:spacing w:line="240" w:lineRule="auto"/>
              <w:ind w:firstLine="0" w:firstLineChars="0"/>
              <w:jc w:val="center"/>
              <w:rPr>
                <w:rFonts w:cs="Times New Roman"/>
                <w:sz w:val="21"/>
                <w:szCs w:val="21"/>
              </w:rPr>
            </w:pPr>
            <w:r>
              <w:rPr>
                <w:rFonts w:cs="Times New Roman"/>
                <w:sz w:val="21"/>
                <w:szCs w:val="21"/>
              </w:rPr>
              <w:t>油炸头</w:t>
            </w:r>
          </w:p>
        </w:tc>
        <w:tc>
          <w:tcPr>
            <w:tcW w:w="765" w:type="pct"/>
            <w:tcBorders>
              <w:top w:val="single" w:color="000000" w:sz="4" w:space="0"/>
              <w:left w:val="single" w:color="000000" w:sz="4" w:space="0"/>
              <w:bottom w:val="single" w:color="000000" w:sz="4" w:space="0"/>
              <w:right w:val="single" w:color="000000" w:sz="4" w:space="0"/>
            </w:tcBorders>
            <w:vAlign w:val="center"/>
          </w:tcPr>
          <w:p w14:paraId="65F99F22">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45AB6B1">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171F67E4">
            <w:pPr>
              <w:spacing w:line="240" w:lineRule="auto"/>
              <w:ind w:firstLine="0" w:firstLineChars="0"/>
              <w:jc w:val="center"/>
              <w:rPr>
                <w:rFonts w:cs="Times New Roman"/>
                <w:sz w:val="21"/>
                <w:szCs w:val="21"/>
              </w:rPr>
            </w:pPr>
            <w:r>
              <w:rPr>
                <w:rFonts w:cs="Times New Roman"/>
                <w:sz w:val="21"/>
                <w:szCs w:val="21"/>
              </w:rPr>
              <w:t>90</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2AE14329">
            <w:pPr>
              <w:spacing w:line="240" w:lineRule="auto"/>
              <w:ind w:firstLine="0" w:firstLineChars="0"/>
              <w:jc w:val="center"/>
              <w:rPr>
                <w:rFonts w:cs="Times New Roman"/>
                <w:sz w:val="21"/>
                <w:szCs w:val="21"/>
              </w:rPr>
            </w:pPr>
            <w:r>
              <w:rPr>
                <w:rFonts w:cs="Times New Roman"/>
                <w:sz w:val="21"/>
                <w:szCs w:val="21"/>
              </w:rPr>
              <w:t>81</w:t>
            </w:r>
          </w:p>
        </w:tc>
      </w:tr>
      <w:tr w14:paraId="525E5AD1">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879C615">
            <w:pPr>
              <w:spacing w:line="240" w:lineRule="auto"/>
              <w:ind w:firstLine="0" w:firstLineChars="0"/>
              <w:jc w:val="center"/>
              <w:rPr>
                <w:rFonts w:cs="Times New Roman"/>
                <w:sz w:val="21"/>
                <w:szCs w:val="21"/>
              </w:rPr>
            </w:pPr>
            <w:r>
              <w:rPr>
                <w:rFonts w:cs="Times New Roman"/>
                <w:sz w:val="21"/>
                <w:szCs w:val="21"/>
              </w:rPr>
              <w:t>67</w:t>
            </w:r>
          </w:p>
        </w:tc>
        <w:tc>
          <w:tcPr>
            <w:tcW w:w="784" w:type="pct"/>
            <w:tcBorders>
              <w:top w:val="single" w:color="000000" w:sz="4" w:space="0"/>
              <w:left w:val="single" w:color="000000" w:sz="4" w:space="0"/>
              <w:bottom w:val="single" w:color="000000" w:sz="4" w:space="0"/>
              <w:right w:val="single" w:color="000000" w:sz="4" w:space="0"/>
            </w:tcBorders>
            <w:vAlign w:val="center"/>
          </w:tcPr>
          <w:p w14:paraId="32B0E97F">
            <w:pPr>
              <w:spacing w:line="240" w:lineRule="auto"/>
              <w:ind w:firstLine="0" w:firstLineChars="0"/>
              <w:jc w:val="center"/>
              <w:rPr>
                <w:rFonts w:cs="Times New Roman"/>
                <w:sz w:val="21"/>
                <w:szCs w:val="21"/>
              </w:rPr>
            </w:pPr>
            <w:r>
              <w:rPr>
                <w:rFonts w:cs="Times New Roman"/>
                <w:sz w:val="21"/>
                <w:szCs w:val="21"/>
              </w:rPr>
              <w:t>西旸村</w:t>
            </w:r>
          </w:p>
        </w:tc>
        <w:tc>
          <w:tcPr>
            <w:tcW w:w="775" w:type="pct"/>
            <w:tcBorders>
              <w:top w:val="single" w:color="000000" w:sz="4" w:space="0"/>
              <w:left w:val="single" w:color="000000" w:sz="4" w:space="0"/>
              <w:bottom w:val="single" w:color="000000" w:sz="4" w:space="0"/>
              <w:right w:val="single" w:color="000000" w:sz="4" w:space="0"/>
            </w:tcBorders>
            <w:vAlign w:val="center"/>
          </w:tcPr>
          <w:p w14:paraId="47FA8D1F">
            <w:pPr>
              <w:spacing w:line="240" w:lineRule="auto"/>
              <w:ind w:firstLine="0" w:firstLineChars="0"/>
              <w:jc w:val="center"/>
              <w:rPr>
                <w:rFonts w:cs="Times New Roman"/>
                <w:sz w:val="21"/>
                <w:szCs w:val="21"/>
              </w:rPr>
            </w:pPr>
            <w:r>
              <w:rPr>
                <w:rFonts w:cs="Times New Roman"/>
                <w:sz w:val="21"/>
                <w:szCs w:val="21"/>
              </w:rPr>
              <w:t>周达</w:t>
            </w:r>
          </w:p>
        </w:tc>
        <w:tc>
          <w:tcPr>
            <w:tcW w:w="765" w:type="pct"/>
            <w:tcBorders>
              <w:top w:val="single" w:color="000000" w:sz="4" w:space="0"/>
              <w:left w:val="single" w:color="000000" w:sz="4" w:space="0"/>
              <w:bottom w:val="single" w:color="000000" w:sz="4" w:space="0"/>
              <w:right w:val="single" w:color="000000" w:sz="4" w:space="0"/>
            </w:tcBorders>
            <w:vAlign w:val="center"/>
          </w:tcPr>
          <w:p w14:paraId="7204ABE2">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8430433">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7E04DF2E">
            <w:pPr>
              <w:spacing w:line="240" w:lineRule="auto"/>
              <w:ind w:firstLine="0" w:firstLineChars="0"/>
              <w:jc w:val="center"/>
              <w:rPr>
                <w:rFonts w:cs="Times New Roman"/>
                <w:sz w:val="21"/>
                <w:szCs w:val="21"/>
              </w:rPr>
            </w:pPr>
            <w:r>
              <w:rPr>
                <w:rFonts w:cs="Times New Roman"/>
                <w:sz w:val="21"/>
                <w:szCs w:val="21"/>
              </w:rPr>
              <w:t>87</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BF2F2EE">
            <w:pPr>
              <w:spacing w:line="240" w:lineRule="auto"/>
              <w:ind w:firstLine="0" w:firstLineChars="0"/>
              <w:jc w:val="center"/>
              <w:rPr>
                <w:rFonts w:cs="Times New Roman"/>
                <w:sz w:val="21"/>
                <w:szCs w:val="21"/>
              </w:rPr>
            </w:pPr>
            <w:r>
              <w:rPr>
                <w:rFonts w:cs="Times New Roman"/>
                <w:sz w:val="21"/>
                <w:szCs w:val="21"/>
              </w:rPr>
              <w:t>78</w:t>
            </w:r>
          </w:p>
        </w:tc>
      </w:tr>
      <w:tr w14:paraId="55ED9749">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08CEF346">
            <w:pPr>
              <w:spacing w:line="240" w:lineRule="auto"/>
              <w:ind w:firstLine="0" w:firstLineChars="0"/>
              <w:jc w:val="center"/>
              <w:rPr>
                <w:rFonts w:cs="Times New Roman"/>
                <w:sz w:val="21"/>
                <w:szCs w:val="21"/>
              </w:rPr>
            </w:pPr>
            <w:r>
              <w:rPr>
                <w:rFonts w:cs="Times New Roman"/>
                <w:sz w:val="21"/>
                <w:szCs w:val="21"/>
              </w:rPr>
              <w:t>68</w:t>
            </w:r>
          </w:p>
        </w:tc>
        <w:tc>
          <w:tcPr>
            <w:tcW w:w="784" w:type="pct"/>
            <w:tcBorders>
              <w:top w:val="single" w:color="000000" w:sz="4" w:space="0"/>
              <w:left w:val="single" w:color="000000" w:sz="4" w:space="0"/>
              <w:bottom w:val="single" w:color="000000" w:sz="4" w:space="0"/>
              <w:right w:val="single" w:color="000000" w:sz="4" w:space="0"/>
            </w:tcBorders>
            <w:vAlign w:val="center"/>
          </w:tcPr>
          <w:p w14:paraId="065774C3">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64271662">
            <w:pPr>
              <w:spacing w:line="240" w:lineRule="auto"/>
              <w:ind w:firstLine="0" w:firstLineChars="0"/>
              <w:jc w:val="center"/>
              <w:rPr>
                <w:rFonts w:cs="Times New Roman"/>
                <w:sz w:val="21"/>
                <w:szCs w:val="21"/>
              </w:rPr>
            </w:pPr>
            <w:r>
              <w:rPr>
                <w:rFonts w:cs="Times New Roman"/>
                <w:sz w:val="21"/>
                <w:szCs w:val="21"/>
              </w:rPr>
              <w:t>本达</w:t>
            </w:r>
          </w:p>
        </w:tc>
        <w:tc>
          <w:tcPr>
            <w:tcW w:w="765" w:type="pct"/>
            <w:tcBorders>
              <w:top w:val="single" w:color="000000" w:sz="4" w:space="0"/>
              <w:left w:val="single" w:color="000000" w:sz="4" w:space="0"/>
              <w:bottom w:val="single" w:color="000000" w:sz="4" w:space="0"/>
              <w:right w:val="single" w:color="000000" w:sz="4" w:space="0"/>
            </w:tcBorders>
            <w:vAlign w:val="center"/>
          </w:tcPr>
          <w:p w14:paraId="4A929A9F">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542AA9D">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1998359C">
            <w:pPr>
              <w:spacing w:line="240" w:lineRule="auto"/>
              <w:ind w:firstLine="0" w:firstLineChars="0"/>
              <w:jc w:val="center"/>
              <w:rPr>
                <w:rFonts w:cs="Times New Roman"/>
                <w:sz w:val="21"/>
                <w:szCs w:val="21"/>
              </w:rPr>
            </w:pPr>
            <w:r>
              <w:rPr>
                <w:rFonts w:cs="Times New Roman"/>
                <w:sz w:val="21"/>
                <w:szCs w:val="21"/>
              </w:rPr>
              <w:t>100</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7F4D5CC9">
            <w:pPr>
              <w:spacing w:line="240" w:lineRule="auto"/>
              <w:ind w:firstLine="0" w:firstLineChars="0"/>
              <w:jc w:val="center"/>
              <w:rPr>
                <w:rFonts w:cs="Times New Roman"/>
                <w:sz w:val="21"/>
                <w:szCs w:val="21"/>
              </w:rPr>
            </w:pPr>
            <w:r>
              <w:rPr>
                <w:rFonts w:cs="Times New Roman"/>
                <w:sz w:val="21"/>
                <w:szCs w:val="21"/>
              </w:rPr>
              <w:t>100</w:t>
            </w:r>
          </w:p>
        </w:tc>
      </w:tr>
      <w:tr w14:paraId="062AB078">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6D1A68F">
            <w:pPr>
              <w:spacing w:line="240" w:lineRule="auto"/>
              <w:ind w:firstLine="0" w:firstLineChars="0"/>
              <w:jc w:val="center"/>
              <w:rPr>
                <w:rFonts w:cs="Times New Roman"/>
                <w:sz w:val="21"/>
                <w:szCs w:val="21"/>
              </w:rPr>
            </w:pPr>
            <w:r>
              <w:rPr>
                <w:rFonts w:cs="Times New Roman"/>
                <w:sz w:val="21"/>
                <w:szCs w:val="21"/>
              </w:rPr>
              <w:t>69</w:t>
            </w:r>
          </w:p>
        </w:tc>
        <w:tc>
          <w:tcPr>
            <w:tcW w:w="784" w:type="pct"/>
            <w:tcBorders>
              <w:top w:val="single" w:color="000000" w:sz="4" w:space="0"/>
              <w:left w:val="single" w:color="000000" w:sz="4" w:space="0"/>
              <w:bottom w:val="single" w:color="000000" w:sz="4" w:space="0"/>
              <w:right w:val="single" w:color="000000" w:sz="4" w:space="0"/>
            </w:tcBorders>
            <w:vAlign w:val="center"/>
          </w:tcPr>
          <w:p w14:paraId="03EF8A07">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178EEC5D">
            <w:pPr>
              <w:spacing w:line="240" w:lineRule="auto"/>
              <w:ind w:firstLine="0" w:firstLineChars="0"/>
              <w:jc w:val="center"/>
              <w:rPr>
                <w:rFonts w:cs="Times New Roman"/>
                <w:sz w:val="21"/>
                <w:szCs w:val="21"/>
              </w:rPr>
            </w:pPr>
            <w:r>
              <w:rPr>
                <w:rFonts w:cs="Times New Roman"/>
                <w:sz w:val="21"/>
                <w:szCs w:val="21"/>
              </w:rPr>
              <w:t>东边点</w:t>
            </w:r>
          </w:p>
        </w:tc>
        <w:tc>
          <w:tcPr>
            <w:tcW w:w="765" w:type="pct"/>
            <w:tcBorders>
              <w:top w:val="single" w:color="000000" w:sz="4" w:space="0"/>
              <w:left w:val="single" w:color="000000" w:sz="4" w:space="0"/>
              <w:bottom w:val="single" w:color="000000" w:sz="4" w:space="0"/>
              <w:right w:val="single" w:color="000000" w:sz="4" w:space="0"/>
            </w:tcBorders>
            <w:vAlign w:val="center"/>
          </w:tcPr>
          <w:p w14:paraId="610E59A4">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E91C8B5">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39CDC9AE">
            <w:pPr>
              <w:spacing w:line="240" w:lineRule="auto"/>
              <w:ind w:firstLine="0" w:firstLineChars="0"/>
              <w:jc w:val="center"/>
              <w:rPr>
                <w:rFonts w:cs="Times New Roman"/>
                <w:sz w:val="21"/>
                <w:szCs w:val="21"/>
              </w:rPr>
            </w:pPr>
            <w:r>
              <w:rPr>
                <w:rFonts w:cs="Times New Roman"/>
                <w:sz w:val="21"/>
                <w:szCs w:val="21"/>
              </w:rPr>
              <w:t>25</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26BEF0DA">
            <w:pPr>
              <w:spacing w:line="240" w:lineRule="auto"/>
              <w:ind w:firstLine="0" w:firstLineChars="0"/>
              <w:jc w:val="center"/>
              <w:rPr>
                <w:rFonts w:cs="Times New Roman"/>
                <w:sz w:val="21"/>
                <w:szCs w:val="21"/>
              </w:rPr>
            </w:pPr>
            <w:r>
              <w:rPr>
                <w:rFonts w:cs="Times New Roman"/>
                <w:sz w:val="21"/>
                <w:szCs w:val="21"/>
              </w:rPr>
              <w:t>25</w:t>
            </w:r>
          </w:p>
        </w:tc>
      </w:tr>
      <w:tr w14:paraId="10A4756C">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EC093D5">
            <w:pPr>
              <w:spacing w:line="240" w:lineRule="auto"/>
              <w:ind w:firstLine="0" w:firstLineChars="0"/>
              <w:jc w:val="center"/>
              <w:rPr>
                <w:rFonts w:cs="Times New Roman"/>
                <w:sz w:val="21"/>
                <w:szCs w:val="21"/>
              </w:rPr>
            </w:pPr>
            <w:r>
              <w:rPr>
                <w:rFonts w:cs="Times New Roman"/>
                <w:sz w:val="21"/>
                <w:szCs w:val="21"/>
              </w:rPr>
              <w:t>70</w:t>
            </w:r>
          </w:p>
        </w:tc>
        <w:tc>
          <w:tcPr>
            <w:tcW w:w="784" w:type="pct"/>
            <w:tcBorders>
              <w:top w:val="single" w:color="000000" w:sz="4" w:space="0"/>
              <w:left w:val="single" w:color="000000" w:sz="4" w:space="0"/>
              <w:bottom w:val="single" w:color="000000" w:sz="4" w:space="0"/>
              <w:right w:val="single" w:color="000000" w:sz="4" w:space="0"/>
            </w:tcBorders>
            <w:vAlign w:val="center"/>
          </w:tcPr>
          <w:p w14:paraId="2CF41A9C">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BADB069">
            <w:pPr>
              <w:spacing w:line="240" w:lineRule="auto"/>
              <w:ind w:firstLine="0" w:firstLineChars="0"/>
              <w:jc w:val="center"/>
              <w:rPr>
                <w:rFonts w:cs="Times New Roman"/>
                <w:sz w:val="21"/>
                <w:szCs w:val="21"/>
              </w:rPr>
            </w:pPr>
            <w:r>
              <w:rPr>
                <w:rFonts w:cs="Times New Roman"/>
                <w:sz w:val="21"/>
                <w:szCs w:val="21"/>
              </w:rPr>
              <w:t>东石桥</w:t>
            </w:r>
          </w:p>
        </w:tc>
        <w:tc>
          <w:tcPr>
            <w:tcW w:w="765" w:type="pct"/>
            <w:tcBorders>
              <w:top w:val="single" w:color="000000" w:sz="4" w:space="0"/>
              <w:left w:val="single" w:color="000000" w:sz="4" w:space="0"/>
              <w:bottom w:val="single" w:color="000000" w:sz="4" w:space="0"/>
              <w:right w:val="single" w:color="000000" w:sz="4" w:space="0"/>
            </w:tcBorders>
            <w:vAlign w:val="center"/>
          </w:tcPr>
          <w:p w14:paraId="41556889">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498390C">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5ED13CB3">
            <w:pPr>
              <w:spacing w:line="240" w:lineRule="auto"/>
              <w:ind w:firstLine="0" w:firstLineChars="0"/>
              <w:jc w:val="center"/>
              <w:rPr>
                <w:rFonts w:cs="Times New Roman"/>
                <w:sz w:val="21"/>
                <w:szCs w:val="21"/>
              </w:rPr>
            </w:pPr>
            <w:r>
              <w:rPr>
                <w:rFonts w:cs="Times New Roman"/>
                <w:sz w:val="21"/>
                <w:szCs w:val="21"/>
              </w:rPr>
              <w:t>36</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C1299D6">
            <w:pPr>
              <w:spacing w:line="240" w:lineRule="auto"/>
              <w:ind w:firstLine="0" w:firstLineChars="0"/>
              <w:jc w:val="center"/>
              <w:rPr>
                <w:rFonts w:cs="Times New Roman"/>
                <w:sz w:val="21"/>
                <w:szCs w:val="21"/>
              </w:rPr>
            </w:pPr>
            <w:r>
              <w:rPr>
                <w:rFonts w:cs="Times New Roman"/>
                <w:sz w:val="21"/>
                <w:szCs w:val="21"/>
              </w:rPr>
              <w:t>29</w:t>
            </w:r>
          </w:p>
        </w:tc>
      </w:tr>
      <w:tr w14:paraId="373CC881">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0395913">
            <w:pPr>
              <w:spacing w:line="240" w:lineRule="auto"/>
              <w:ind w:firstLine="0" w:firstLineChars="0"/>
              <w:jc w:val="center"/>
              <w:rPr>
                <w:rFonts w:cs="Times New Roman"/>
                <w:sz w:val="21"/>
                <w:szCs w:val="21"/>
              </w:rPr>
            </w:pPr>
            <w:r>
              <w:rPr>
                <w:rFonts w:cs="Times New Roman"/>
                <w:sz w:val="21"/>
                <w:szCs w:val="21"/>
              </w:rPr>
              <w:t>71</w:t>
            </w:r>
          </w:p>
        </w:tc>
        <w:tc>
          <w:tcPr>
            <w:tcW w:w="784" w:type="pct"/>
            <w:tcBorders>
              <w:top w:val="single" w:color="000000" w:sz="4" w:space="0"/>
              <w:left w:val="single" w:color="000000" w:sz="4" w:space="0"/>
              <w:bottom w:val="single" w:color="000000" w:sz="4" w:space="0"/>
              <w:right w:val="single" w:color="000000" w:sz="4" w:space="0"/>
            </w:tcBorders>
            <w:vAlign w:val="center"/>
          </w:tcPr>
          <w:p w14:paraId="031AE128">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393C784D">
            <w:pPr>
              <w:spacing w:line="240" w:lineRule="auto"/>
              <w:ind w:firstLine="0" w:firstLineChars="0"/>
              <w:jc w:val="center"/>
              <w:rPr>
                <w:rFonts w:cs="Times New Roman"/>
                <w:sz w:val="21"/>
                <w:szCs w:val="21"/>
              </w:rPr>
            </w:pPr>
            <w:r>
              <w:rPr>
                <w:rFonts w:cs="Times New Roman"/>
                <w:sz w:val="21"/>
                <w:szCs w:val="21"/>
              </w:rPr>
              <w:t>对达</w:t>
            </w:r>
          </w:p>
        </w:tc>
        <w:tc>
          <w:tcPr>
            <w:tcW w:w="765" w:type="pct"/>
            <w:tcBorders>
              <w:top w:val="single" w:color="000000" w:sz="4" w:space="0"/>
              <w:left w:val="single" w:color="000000" w:sz="4" w:space="0"/>
              <w:bottom w:val="single" w:color="000000" w:sz="4" w:space="0"/>
              <w:right w:val="single" w:color="000000" w:sz="4" w:space="0"/>
            </w:tcBorders>
            <w:vAlign w:val="center"/>
          </w:tcPr>
          <w:p w14:paraId="5FDFE15D">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AD590E4">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5E244814">
            <w:pPr>
              <w:spacing w:line="240" w:lineRule="auto"/>
              <w:ind w:firstLine="0" w:firstLineChars="0"/>
              <w:jc w:val="center"/>
              <w:rPr>
                <w:rFonts w:cs="Times New Roman"/>
                <w:sz w:val="21"/>
                <w:szCs w:val="21"/>
              </w:rPr>
            </w:pPr>
            <w:r>
              <w:rPr>
                <w:rFonts w:cs="Times New Roman"/>
                <w:sz w:val="21"/>
                <w:szCs w:val="21"/>
              </w:rPr>
              <w:t>154</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30EE0B85">
            <w:pPr>
              <w:spacing w:line="240" w:lineRule="auto"/>
              <w:ind w:firstLine="0" w:firstLineChars="0"/>
              <w:jc w:val="center"/>
              <w:rPr>
                <w:rFonts w:cs="Times New Roman"/>
                <w:sz w:val="21"/>
                <w:szCs w:val="21"/>
              </w:rPr>
            </w:pPr>
            <w:r>
              <w:rPr>
                <w:rFonts w:cs="Times New Roman"/>
                <w:sz w:val="21"/>
                <w:szCs w:val="21"/>
              </w:rPr>
              <w:t>139</w:t>
            </w:r>
          </w:p>
        </w:tc>
      </w:tr>
      <w:tr w14:paraId="3EBDED17">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1E4D8E0">
            <w:pPr>
              <w:spacing w:line="240" w:lineRule="auto"/>
              <w:ind w:firstLine="0" w:firstLineChars="0"/>
              <w:jc w:val="center"/>
              <w:rPr>
                <w:rFonts w:cs="Times New Roman"/>
                <w:sz w:val="21"/>
                <w:szCs w:val="21"/>
              </w:rPr>
            </w:pPr>
            <w:r>
              <w:rPr>
                <w:rFonts w:cs="Times New Roman"/>
                <w:sz w:val="21"/>
                <w:szCs w:val="21"/>
              </w:rPr>
              <w:t>72</w:t>
            </w:r>
          </w:p>
        </w:tc>
        <w:tc>
          <w:tcPr>
            <w:tcW w:w="784" w:type="pct"/>
            <w:tcBorders>
              <w:top w:val="single" w:color="000000" w:sz="4" w:space="0"/>
              <w:left w:val="single" w:color="000000" w:sz="4" w:space="0"/>
              <w:bottom w:val="single" w:color="000000" w:sz="4" w:space="0"/>
              <w:right w:val="single" w:color="000000" w:sz="4" w:space="0"/>
            </w:tcBorders>
            <w:vAlign w:val="center"/>
          </w:tcPr>
          <w:p w14:paraId="3360E550">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74A0308">
            <w:pPr>
              <w:spacing w:line="240" w:lineRule="auto"/>
              <w:ind w:firstLine="0" w:firstLineChars="0"/>
              <w:jc w:val="center"/>
              <w:rPr>
                <w:rFonts w:cs="Times New Roman"/>
                <w:sz w:val="21"/>
                <w:szCs w:val="21"/>
              </w:rPr>
            </w:pPr>
            <w:r>
              <w:rPr>
                <w:rFonts w:cs="Times New Roman"/>
                <w:sz w:val="21"/>
                <w:szCs w:val="21"/>
              </w:rPr>
              <w:t>红山门</w:t>
            </w:r>
          </w:p>
        </w:tc>
        <w:tc>
          <w:tcPr>
            <w:tcW w:w="765" w:type="pct"/>
            <w:tcBorders>
              <w:top w:val="single" w:color="000000" w:sz="4" w:space="0"/>
              <w:left w:val="single" w:color="000000" w:sz="4" w:space="0"/>
              <w:bottom w:val="single" w:color="000000" w:sz="4" w:space="0"/>
              <w:right w:val="single" w:color="000000" w:sz="4" w:space="0"/>
            </w:tcBorders>
            <w:vAlign w:val="center"/>
          </w:tcPr>
          <w:p w14:paraId="5D6322FF">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F42695A">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71D07DEE">
            <w:pPr>
              <w:spacing w:line="240" w:lineRule="auto"/>
              <w:ind w:firstLine="0" w:firstLineChars="0"/>
              <w:jc w:val="center"/>
              <w:rPr>
                <w:rFonts w:cs="Times New Roman"/>
                <w:sz w:val="21"/>
                <w:szCs w:val="21"/>
              </w:rPr>
            </w:pPr>
            <w:r>
              <w:rPr>
                <w:rFonts w:cs="Times New Roman"/>
                <w:sz w:val="21"/>
                <w:szCs w:val="21"/>
              </w:rPr>
              <w:t>37</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667C044D">
            <w:pPr>
              <w:spacing w:line="240" w:lineRule="auto"/>
              <w:ind w:firstLine="0" w:firstLineChars="0"/>
              <w:jc w:val="center"/>
              <w:rPr>
                <w:rFonts w:cs="Times New Roman"/>
                <w:sz w:val="21"/>
                <w:szCs w:val="21"/>
              </w:rPr>
            </w:pPr>
            <w:r>
              <w:rPr>
                <w:rFonts w:cs="Times New Roman"/>
                <w:sz w:val="21"/>
                <w:szCs w:val="21"/>
              </w:rPr>
              <w:t>30</w:t>
            </w:r>
          </w:p>
        </w:tc>
      </w:tr>
      <w:tr w14:paraId="2C72C0C1">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73D7382">
            <w:pPr>
              <w:spacing w:line="240" w:lineRule="auto"/>
              <w:ind w:firstLine="0" w:firstLineChars="0"/>
              <w:jc w:val="center"/>
              <w:rPr>
                <w:rFonts w:cs="Times New Roman"/>
                <w:sz w:val="21"/>
                <w:szCs w:val="21"/>
              </w:rPr>
            </w:pPr>
            <w:r>
              <w:rPr>
                <w:rFonts w:cs="Times New Roman"/>
                <w:sz w:val="21"/>
                <w:szCs w:val="21"/>
              </w:rPr>
              <w:t>73</w:t>
            </w:r>
          </w:p>
        </w:tc>
        <w:tc>
          <w:tcPr>
            <w:tcW w:w="784" w:type="pct"/>
            <w:tcBorders>
              <w:top w:val="single" w:color="000000" w:sz="4" w:space="0"/>
              <w:left w:val="single" w:color="000000" w:sz="4" w:space="0"/>
              <w:bottom w:val="single" w:color="000000" w:sz="4" w:space="0"/>
              <w:right w:val="single" w:color="000000" w:sz="4" w:space="0"/>
            </w:tcBorders>
            <w:vAlign w:val="center"/>
          </w:tcPr>
          <w:p w14:paraId="2B850823">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995EC40">
            <w:pPr>
              <w:spacing w:line="240" w:lineRule="auto"/>
              <w:ind w:firstLine="0" w:firstLineChars="0"/>
              <w:jc w:val="center"/>
              <w:rPr>
                <w:rFonts w:cs="Times New Roman"/>
                <w:sz w:val="21"/>
                <w:szCs w:val="21"/>
              </w:rPr>
            </w:pPr>
            <w:r>
              <w:rPr>
                <w:rFonts w:cs="Times New Roman"/>
                <w:sz w:val="21"/>
                <w:szCs w:val="21"/>
              </w:rPr>
              <w:t>后山</w:t>
            </w:r>
          </w:p>
        </w:tc>
        <w:tc>
          <w:tcPr>
            <w:tcW w:w="765" w:type="pct"/>
            <w:tcBorders>
              <w:top w:val="single" w:color="000000" w:sz="4" w:space="0"/>
              <w:left w:val="single" w:color="000000" w:sz="4" w:space="0"/>
              <w:bottom w:val="single" w:color="000000" w:sz="4" w:space="0"/>
              <w:right w:val="single" w:color="000000" w:sz="4" w:space="0"/>
            </w:tcBorders>
            <w:vAlign w:val="center"/>
          </w:tcPr>
          <w:p w14:paraId="77951C4D">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E6BB9FF">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75CB4792">
            <w:pPr>
              <w:spacing w:line="240" w:lineRule="auto"/>
              <w:ind w:firstLine="0" w:firstLineChars="0"/>
              <w:jc w:val="center"/>
              <w:rPr>
                <w:rFonts w:cs="Times New Roman"/>
                <w:sz w:val="21"/>
                <w:szCs w:val="21"/>
              </w:rPr>
            </w:pPr>
            <w:r>
              <w:rPr>
                <w:rFonts w:cs="Times New Roman"/>
                <w:sz w:val="21"/>
                <w:szCs w:val="21"/>
              </w:rPr>
              <w:t>30</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285A760">
            <w:pPr>
              <w:spacing w:line="240" w:lineRule="auto"/>
              <w:ind w:firstLine="0" w:firstLineChars="0"/>
              <w:jc w:val="center"/>
              <w:rPr>
                <w:rFonts w:cs="Times New Roman"/>
                <w:sz w:val="21"/>
                <w:szCs w:val="21"/>
              </w:rPr>
            </w:pPr>
            <w:r>
              <w:rPr>
                <w:rFonts w:cs="Times New Roman"/>
                <w:sz w:val="21"/>
                <w:szCs w:val="21"/>
              </w:rPr>
              <w:t>24</w:t>
            </w:r>
          </w:p>
        </w:tc>
      </w:tr>
      <w:tr w14:paraId="10BD1FA5">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49596C67">
            <w:pPr>
              <w:spacing w:line="240" w:lineRule="auto"/>
              <w:ind w:firstLine="0" w:firstLineChars="0"/>
              <w:jc w:val="center"/>
              <w:rPr>
                <w:rFonts w:cs="Times New Roman"/>
                <w:sz w:val="21"/>
                <w:szCs w:val="21"/>
              </w:rPr>
            </w:pPr>
            <w:r>
              <w:rPr>
                <w:rFonts w:cs="Times New Roman"/>
                <w:sz w:val="21"/>
                <w:szCs w:val="21"/>
              </w:rPr>
              <w:t>74</w:t>
            </w:r>
          </w:p>
        </w:tc>
        <w:tc>
          <w:tcPr>
            <w:tcW w:w="784" w:type="pct"/>
            <w:tcBorders>
              <w:top w:val="single" w:color="000000" w:sz="4" w:space="0"/>
              <w:left w:val="single" w:color="000000" w:sz="4" w:space="0"/>
              <w:bottom w:val="single" w:color="000000" w:sz="4" w:space="0"/>
              <w:right w:val="single" w:color="000000" w:sz="4" w:space="0"/>
            </w:tcBorders>
            <w:vAlign w:val="center"/>
          </w:tcPr>
          <w:p w14:paraId="06A07F6B">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5644D0BC">
            <w:pPr>
              <w:spacing w:line="240" w:lineRule="auto"/>
              <w:ind w:firstLine="0" w:firstLineChars="0"/>
              <w:jc w:val="center"/>
              <w:rPr>
                <w:rFonts w:cs="Times New Roman"/>
                <w:sz w:val="21"/>
                <w:szCs w:val="21"/>
              </w:rPr>
            </w:pPr>
            <w:r>
              <w:rPr>
                <w:rFonts w:cs="Times New Roman"/>
                <w:sz w:val="21"/>
                <w:szCs w:val="21"/>
              </w:rPr>
              <w:t>接山墩</w:t>
            </w:r>
          </w:p>
        </w:tc>
        <w:tc>
          <w:tcPr>
            <w:tcW w:w="765" w:type="pct"/>
            <w:tcBorders>
              <w:top w:val="single" w:color="000000" w:sz="4" w:space="0"/>
              <w:left w:val="single" w:color="000000" w:sz="4" w:space="0"/>
              <w:bottom w:val="single" w:color="000000" w:sz="4" w:space="0"/>
              <w:right w:val="single" w:color="000000" w:sz="4" w:space="0"/>
            </w:tcBorders>
            <w:vAlign w:val="center"/>
          </w:tcPr>
          <w:p w14:paraId="2908A439">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B90F613">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133D08CD">
            <w:pPr>
              <w:spacing w:line="240" w:lineRule="auto"/>
              <w:ind w:firstLine="0" w:firstLineChars="0"/>
              <w:jc w:val="center"/>
              <w:rPr>
                <w:rFonts w:cs="Times New Roman"/>
                <w:sz w:val="21"/>
                <w:szCs w:val="21"/>
              </w:rPr>
            </w:pPr>
            <w:r>
              <w:rPr>
                <w:rFonts w:cs="Times New Roman"/>
                <w:sz w:val="21"/>
                <w:szCs w:val="21"/>
              </w:rPr>
              <w:t>38</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27876868">
            <w:pPr>
              <w:spacing w:line="240" w:lineRule="auto"/>
              <w:ind w:firstLine="0" w:firstLineChars="0"/>
              <w:jc w:val="center"/>
              <w:rPr>
                <w:rFonts w:cs="Times New Roman"/>
                <w:sz w:val="21"/>
                <w:szCs w:val="21"/>
              </w:rPr>
            </w:pPr>
            <w:r>
              <w:rPr>
                <w:rFonts w:cs="Times New Roman"/>
                <w:sz w:val="21"/>
                <w:szCs w:val="21"/>
              </w:rPr>
              <w:t>30</w:t>
            </w:r>
          </w:p>
        </w:tc>
      </w:tr>
      <w:tr w14:paraId="3F2387FC">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4273C9D1">
            <w:pPr>
              <w:spacing w:line="240" w:lineRule="auto"/>
              <w:ind w:firstLine="0" w:firstLineChars="0"/>
              <w:jc w:val="center"/>
              <w:rPr>
                <w:rFonts w:cs="Times New Roman"/>
                <w:sz w:val="21"/>
                <w:szCs w:val="21"/>
              </w:rPr>
            </w:pPr>
            <w:r>
              <w:rPr>
                <w:rFonts w:cs="Times New Roman"/>
                <w:sz w:val="21"/>
                <w:szCs w:val="21"/>
              </w:rPr>
              <w:t>75</w:t>
            </w:r>
          </w:p>
        </w:tc>
        <w:tc>
          <w:tcPr>
            <w:tcW w:w="784" w:type="pct"/>
            <w:tcBorders>
              <w:top w:val="single" w:color="000000" w:sz="4" w:space="0"/>
              <w:left w:val="single" w:color="000000" w:sz="4" w:space="0"/>
              <w:bottom w:val="single" w:color="000000" w:sz="4" w:space="0"/>
              <w:right w:val="single" w:color="000000" w:sz="4" w:space="0"/>
            </w:tcBorders>
            <w:vAlign w:val="center"/>
          </w:tcPr>
          <w:p w14:paraId="6F123EB3">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9FC48D2">
            <w:pPr>
              <w:spacing w:line="240" w:lineRule="auto"/>
              <w:ind w:firstLine="0" w:firstLineChars="0"/>
              <w:jc w:val="center"/>
              <w:rPr>
                <w:rFonts w:cs="Times New Roman"/>
                <w:sz w:val="21"/>
                <w:szCs w:val="21"/>
              </w:rPr>
            </w:pPr>
            <w:r>
              <w:rPr>
                <w:rFonts w:cs="Times New Roman"/>
                <w:sz w:val="21"/>
                <w:szCs w:val="21"/>
              </w:rPr>
              <w:t>巨塘</w:t>
            </w:r>
          </w:p>
        </w:tc>
        <w:tc>
          <w:tcPr>
            <w:tcW w:w="765" w:type="pct"/>
            <w:tcBorders>
              <w:top w:val="single" w:color="000000" w:sz="4" w:space="0"/>
              <w:left w:val="single" w:color="000000" w:sz="4" w:space="0"/>
              <w:bottom w:val="single" w:color="000000" w:sz="4" w:space="0"/>
              <w:right w:val="single" w:color="000000" w:sz="4" w:space="0"/>
            </w:tcBorders>
            <w:vAlign w:val="center"/>
          </w:tcPr>
          <w:p w14:paraId="4E827A6D">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E9F9524">
            <w:pPr>
              <w:spacing w:line="240" w:lineRule="auto"/>
              <w:ind w:firstLine="0" w:firstLineChars="0"/>
              <w:jc w:val="center"/>
              <w:rPr>
                <w:rFonts w:cs="Times New Roman"/>
                <w:sz w:val="21"/>
                <w:szCs w:val="21"/>
              </w:rPr>
            </w:pPr>
            <w:r>
              <w:rPr>
                <w:rFonts w:cs="Times New Roman"/>
                <w:sz w:val="21"/>
                <w:szCs w:val="21"/>
              </w:rPr>
              <w:t>收集+托运</w:t>
            </w:r>
          </w:p>
        </w:tc>
        <w:tc>
          <w:tcPr>
            <w:tcW w:w="628" w:type="pct"/>
            <w:tcBorders>
              <w:top w:val="single" w:color="000000" w:sz="4" w:space="0"/>
              <w:left w:val="single" w:color="000000" w:sz="4" w:space="0"/>
              <w:bottom w:val="single" w:color="000000" w:sz="4" w:space="0"/>
              <w:right w:val="single" w:color="000000" w:sz="4" w:space="0"/>
            </w:tcBorders>
            <w:vAlign w:val="center"/>
          </w:tcPr>
          <w:p w14:paraId="4B297559">
            <w:pPr>
              <w:spacing w:line="240" w:lineRule="auto"/>
              <w:ind w:firstLine="0" w:firstLineChars="0"/>
              <w:jc w:val="center"/>
              <w:rPr>
                <w:rFonts w:cs="Times New Roman"/>
                <w:sz w:val="21"/>
                <w:szCs w:val="21"/>
              </w:rPr>
            </w:pPr>
            <w:r>
              <w:rPr>
                <w:rFonts w:cs="Times New Roman"/>
                <w:sz w:val="21"/>
                <w:szCs w:val="21"/>
              </w:rPr>
              <w:t>60</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087A722">
            <w:pPr>
              <w:spacing w:line="240" w:lineRule="auto"/>
              <w:ind w:firstLine="0" w:firstLineChars="0"/>
              <w:jc w:val="center"/>
              <w:rPr>
                <w:rFonts w:cs="Times New Roman"/>
                <w:sz w:val="21"/>
                <w:szCs w:val="21"/>
              </w:rPr>
            </w:pPr>
            <w:r>
              <w:rPr>
                <w:rFonts w:cs="Times New Roman"/>
                <w:sz w:val="21"/>
                <w:szCs w:val="21"/>
              </w:rPr>
              <w:t>48</w:t>
            </w:r>
          </w:p>
        </w:tc>
      </w:tr>
      <w:tr w14:paraId="5668EF87">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5124B712">
            <w:pPr>
              <w:spacing w:line="240" w:lineRule="auto"/>
              <w:ind w:firstLine="0" w:firstLineChars="0"/>
              <w:jc w:val="center"/>
              <w:rPr>
                <w:rFonts w:cs="Times New Roman"/>
                <w:sz w:val="21"/>
                <w:szCs w:val="21"/>
              </w:rPr>
            </w:pPr>
            <w:r>
              <w:rPr>
                <w:rFonts w:cs="Times New Roman"/>
                <w:sz w:val="21"/>
                <w:szCs w:val="21"/>
              </w:rPr>
              <w:t>76</w:t>
            </w:r>
          </w:p>
        </w:tc>
        <w:tc>
          <w:tcPr>
            <w:tcW w:w="784" w:type="pct"/>
            <w:tcBorders>
              <w:top w:val="single" w:color="000000" w:sz="4" w:space="0"/>
              <w:left w:val="single" w:color="000000" w:sz="4" w:space="0"/>
              <w:bottom w:val="single" w:color="000000" w:sz="4" w:space="0"/>
              <w:right w:val="single" w:color="000000" w:sz="4" w:space="0"/>
            </w:tcBorders>
            <w:vAlign w:val="center"/>
          </w:tcPr>
          <w:p w14:paraId="0890164B">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1AB3EC2D">
            <w:pPr>
              <w:spacing w:line="240" w:lineRule="auto"/>
              <w:ind w:firstLine="0" w:firstLineChars="0"/>
              <w:jc w:val="center"/>
              <w:rPr>
                <w:rFonts w:cs="Times New Roman"/>
                <w:sz w:val="21"/>
                <w:szCs w:val="21"/>
              </w:rPr>
            </w:pPr>
            <w:r>
              <w:rPr>
                <w:rFonts w:cs="Times New Roman"/>
                <w:sz w:val="21"/>
                <w:szCs w:val="21"/>
              </w:rPr>
              <w:t>门楼下</w:t>
            </w:r>
          </w:p>
        </w:tc>
        <w:tc>
          <w:tcPr>
            <w:tcW w:w="765" w:type="pct"/>
            <w:tcBorders>
              <w:top w:val="single" w:color="000000" w:sz="4" w:space="0"/>
              <w:left w:val="single" w:color="000000" w:sz="4" w:space="0"/>
              <w:bottom w:val="single" w:color="000000" w:sz="4" w:space="0"/>
              <w:right w:val="single" w:color="000000" w:sz="4" w:space="0"/>
            </w:tcBorders>
            <w:vAlign w:val="center"/>
          </w:tcPr>
          <w:p w14:paraId="03784548">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80680D9">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6C89C651">
            <w:pPr>
              <w:spacing w:line="240" w:lineRule="auto"/>
              <w:ind w:firstLine="0" w:firstLineChars="0"/>
              <w:jc w:val="center"/>
              <w:rPr>
                <w:rFonts w:cs="Times New Roman"/>
                <w:sz w:val="21"/>
                <w:szCs w:val="21"/>
              </w:rPr>
            </w:pPr>
            <w:r>
              <w:rPr>
                <w:rFonts w:cs="Times New Roman"/>
                <w:sz w:val="21"/>
                <w:szCs w:val="21"/>
              </w:rPr>
              <w:t>91</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7C8A082F">
            <w:pPr>
              <w:spacing w:line="240" w:lineRule="auto"/>
              <w:ind w:firstLine="0" w:firstLineChars="0"/>
              <w:jc w:val="center"/>
              <w:rPr>
                <w:rFonts w:cs="Times New Roman"/>
                <w:sz w:val="21"/>
                <w:szCs w:val="21"/>
              </w:rPr>
            </w:pPr>
            <w:r>
              <w:rPr>
                <w:rFonts w:cs="Times New Roman"/>
                <w:sz w:val="21"/>
                <w:szCs w:val="21"/>
              </w:rPr>
              <w:t>82</w:t>
            </w:r>
          </w:p>
        </w:tc>
      </w:tr>
      <w:tr w14:paraId="08E9771D">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2BA0302">
            <w:pPr>
              <w:spacing w:line="240" w:lineRule="auto"/>
              <w:ind w:firstLine="0" w:firstLineChars="0"/>
              <w:jc w:val="center"/>
              <w:rPr>
                <w:rFonts w:cs="Times New Roman"/>
                <w:sz w:val="21"/>
                <w:szCs w:val="21"/>
              </w:rPr>
            </w:pPr>
            <w:r>
              <w:rPr>
                <w:rFonts w:cs="Times New Roman"/>
                <w:sz w:val="21"/>
                <w:szCs w:val="21"/>
              </w:rPr>
              <w:t>77</w:t>
            </w:r>
          </w:p>
        </w:tc>
        <w:tc>
          <w:tcPr>
            <w:tcW w:w="784" w:type="pct"/>
            <w:tcBorders>
              <w:top w:val="single" w:color="000000" w:sz="4" w:space="0"/>
              <w:left w:val="single" w:color="000000" w:sz="4" w:space="0"/>
              <w:bottom w:val="single" w:color="000000" w:sz="4" w:space="0"/>
              <w:right w:val="single" w:color="000000" w:sz="4" w:space="0"/>
            </w:tcBorders>
            <w:vAlign w:val="center"/>
          </w:tcPr>
          <w:p w14:paraId="05122BF6">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52D33BE">
            <w:pPr>
              <w:spacing w:line="240" w:lineRule="auto"/>
              <w:ind w:firstLine="0" w:firstLineChars="0"/>
              <w:jc w:val="center"/>
              <w:rPr>
                <w:rFonts w:cs="Times New Roman"/>
                <w:sz w:val="21"/>
                <w:szCs w:val="21"/>
              </w:rPr>
            </w:pPr>
            <w:r>
              <w:rPr>
                <w:rFonts w:cs="Times New Roman"/>
                <w:sz w:val="21"/>
                <w:szCs w:val="21"/>
              </w:rPr>
              <w:t>石门塘</w:t>
            </w:r>
          </w:p>
        </w:tc>
        <w:tc>
          <w:tcPr>
            <w:tcW w:w="765" w:type="pct"/>
            <w:tcBorders>
              <w:top w:val="single" w:color="000000" w:sz="4" w:space="0"/>
              <w:left w:val="single" w:color="000000" w:sz="4" w:space="0"/>
              <w:bottom w:val="single" w:color="000000" w:sz="4" w:space="0"/>
              <w:right w:val="single" w:color="000000" w:sz="4" w:space="0"/>
            </w:tcBorders>
            <w:vAlign w:val="center"/>
          </w:tcPr>
          <w:p w14:paraId="5226BC6A">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31717C8">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17F8355E">
            <w:pPr>
              <w:spacing w:line="240" w:lineRule="auto"/>
              <w:ind w:firstLine="0" w:firstLineChars="0"/>
              <w:jc w:val="center"/>
              <w:rPr>
                <w:rFonts w:cs="Times New Roman"/>
                <w:sz w:val="21"/>
                <w:szCs w:val="21"/>
              </w:rPr>
            </w:pPr>
            <w:r>
              <w:rPr>
                <w:rFonts w:cs="Times New Roman"/>
                <w:sz w:val="21"/>
                <w:szCs w:val="21"/>
              </w:rPr>
              <w:t>35</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2824053B">
            <w:pPr>
              <w:spacing w:line="240" w:lineRule="auto"/>
              <w:ind w:firstLine="0" w:firstLineChars="0"/>
              <w:jc w:val="center"/>
              <w:rPr>
                <w:rFonts w:cs="Times New Roman"/>
                <w:sz w:val="21"/>
                <w:szCs w:val="21"/>
              </w:rPr>
            </w:pPr>
            <w:r>
              <w:rPr>
                <w:rFonts w:cs="Times New Roman"/>
                <w:sz w:val="21"/>
                <w:szCs w:val="21"/>
              </w:rPr>
              <w:t>35</w:t>
            </w:r>
          </w:p>
        </w:tc>
      </w:tr>
      <w:tr w14:paraId="135B6C77">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F8B3C5E">
            <w:pPr>
              <w:spacing w:line="240" w:lineRule="auto"/>
              <w:ind w:firstLine="0" w:firstLineChars="0"/>
              <w:jc w:val="center"/>
              <w:rPr>
                <w:rFonts w:cs="Times New Roman"/>
                <w:sz w:val="21"/>
                <w:szCs w:val="21"/>
              </w:rPr>
            </w:pPr>
            <w:r>
              <w:rPr>
                <w:rFonts w:cs="Times New Roman"/>
                <w:sz w:val="21"/>
                <w:szCs w:val="21"/>
              </w:rPr>
              <w:t>78</w:t>
            </w:r>
          </w:p>
        </w:tc>
        <w:tc>
          <w:tcPr>
            <w:tcW w:w="784" w:type="pct"/>
            <w:tcBorders>
              <w:top w:val="single" w:color="000000" w:sz="4" w:space="0"/>
              <w:left w:val="single" w:color="000000" w:sz="4" w:space="0"/>
              <w:bottom w:val="single" w:color="000000" w:sz="4" w:space="0"/>
              <w:right w:val="single" w:color="000000" w:sz="4" w:space="0"/>
            </w:tcBorders>
            <w:vAlign w:val="center"/>
          </w:tcPr>
          <w:p w14:paraId="1B97E221">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CCAC8C2">
            <w:pPr>
              <w:spacing w:line="240" w:lineRule="auto"/>
              <w:ind w:firstLine="0" w:firstLineChars="0"/>
              <w:jc w:val="center"/>
              <w:rPr>
                <w:rFonts w:cs="Times New Roman"/>
                <w:sz w:val="21"/>
                <w:szCs w:val="21"/>
              </w:rPr>
            </w:pPr>
            <w:r>
              <w:rPr>
                <w:rFonts w:cs="Times New Roman"/>
                <w:sz w:val="21"/>
                <w:szCs w:val="21"/>
              </w:rPr>
              <w:t>棠梨岗</w:t>
            </w:r>
          </w:p>
        </w:tc>
        <w:tc>
          <w:tcPr>
            <w:tcW w:w="765" w:type="pct"/>
            <w:tcBorders>
              <w:top w:val="single" w:color="000000" w:sz="4" w:space="0"/>
              <w:left w:val="single" w:color="000000" w:sz="4" w:space="0"/>
              <w:bottom w:val="single" w:color="000000" w:sz="4" w:space="0"/>
              <w:right w:val="single" w:color="000000" w:sz="4" w:space="0"/>
            </w:tcBorders>
            <w:vAlign w:val="center"/>
          </w:tcPr>
          <w:p w14:paraId="7A8479DD">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474406C0">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17C3CA25">
            <w:pPr>
              <w:spacing w:line="240" w:lineRule="auto"/>
              <w:ind w:firstLine="0" w:firstLineChars="0"/>
              <w:jc w:val="center"/>
              <w:rPr>
                <w:rFonts w:cs="Times New Roman"/>
                <w:sz w:val="21"/>
                <w:szCs w:val="21"/>
              </w:rPr>
            </w:pPr>
            <w:r>
              <w:rPr>
                <w:rFonts w:cs="Times New Roman"/>
                <w:sz w:val="21"/>
                <w:szCs w:val="21"/>
              </w:rPr>
              <w:t>80</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4D2EB17A">
            <w:pPr>
              <w:spacing w:line="240" w:lineRule="auto"/>
              <w:ind w:firstLine="0" w:firstLineChars="0"/>
              <w:jc w:val="center"/>
              <w:rPr>
                <w:rFonts w:cs="Times New Roman"/>
                <w:sz w:val="21"/>
                <w:szCs w:val="21"/>
              </w:rPr>
            </w:pPr>
            <w:r>
              <w:rPr>
                <w:rFonts w:cs="Times New Roman"/>
                <w:sz w:val="21"/>
                <w:szCs w:val="21"/>
              </w:rPr>
              <w:t>80</w:t>
            </w:r>
          </w:p>
        </w:tc>
      </w:tr>
      <w:tr w14:paraId="6F86F47C">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355CCE39">
            <w:pPr>
              <w:spacing w:line="240" w:lineRule="auto"/>
              <w:ind w:firstLine="0" w:firstLineChars="0"/>
              <w:jc w:val="center"/>
              <w:rPr>
                <w:rFonts w:cs="Times New Roman"/>
                <w:sz w:val="21"/>
                <w:szCs w:val="21"/>
              </w:rPr>
            </w:pPr>
            <w:r>
              <w:rPr>
                <w:rFonts w:cs="Times New Roman"/>
                <w:sz w:val="21"/>
                <w:szCs w:val="21"/>
              </w:rPr>
              <w:t>79</w:t>
            </w:r>
          </w:p>
        </w:tc>
        <w:tc>
          <w:tcPr>
            <w:tcW w:w="784" w:type="pct"/>
            <w:tcBorders>
              <w:top w:val="single" w:color="000000" w:sz="4" w:space="0"/>
              <w:left w:val="single" w:color="000000" w:sz="4" w:space="0"/>
              <w:bottom w:val="single" w:color="000000" w:sz="4" w:space="0"/>
              <w:right w:val="single" w:color="000000" w:sz="4" w:space="0"/>
            </w:tcBorders>
            <w:vAlign w:val="center"/>
          </w:tcPr>
          <w:p w14:paraId="44603500">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39DE281A">
            <w:pPr>
              <w:spacing w:line="240" w:lineRule="auto"/>
              <w:ind w:firstLine="0" w:firstLineChars="0"/>
              <w:jc w:val="center"/>
              <w:rPr>
                <w:rFonts w:cs="Times New Roman"/>
                <w:sz w:val="21"/>
                <w:szCs w:val="21"/>
              </w:rPr>
            </w:pPr>
            <w:r>
              <w:rPr>
                <w:rFonts w:cs="Times New Roman"/>
                <w:sz w:val="21"/>
                <w:szCs w:val="21"/>
              </w:rPr>
              <w:t>下王岗</w:t>
            </w:r>
          </w:p>
        </w:tc>
        <w:tc>
          <w:tcPr>
            <w:tcW w:w="765" w:type="pct"/>
            <w:tcBorders>
              <w:top w:val="single" w:color="000000" w:sz="4" w:space="0"/>
              <w:left w:val="single" w:color="000000" w:sz="4" w:space="0"/>
              <w:bottom w:val="single" w:color="000000" w:sz="4" w:space="0"/>
              <w:right w:val="single" w:color="000000" w:sz="4" w:space="0"/>
            </w:tcBorders>
            <w:vAlign w:val="center"/>
          </w:tcPr>
          <w:p w14:paraId="1AB544E4">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7209155">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77742DB0">
            <w:pPr>
              <w:spacing w:line="240" w:lineRule="auto"/>
              <w:ind w:firstLine="0" w:firstLineChars="0"/>
              <w:jc w:val="center"/>
              <w:rPr>
                <w:rFonts w:cs="Times New Roman"/>
                <w:sz w:val="21"/>
                <w:szCs w:val="21"/>
              </w:rPr>
            </w:pPr>
            <w:r>
              <w:rPr>
                <w:rFonts w:cs="Times New Roman"/>
                <w:sz w:val="21"/>
                <w:szCs w:val="21"/>
              </w:rPr>
              <w:t>56</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3F09A18A">
            <w:pPr>
              <w:spacing w:line="240" w:lineRule="auto"/>
              <w:ind w:firstLine="0" w:firstLineChars="0"/>
              <w:jc w:val="center"/>
              <w:rPr>
                <w:rFonts w:cs="Times New Roman"/>
                <w:sz w:val="21"/>
                <w:szCs w:val="21"/>
              </w:rPr>
            </w:pPr>
            <w:r>
              <w:rPr>
                <w:rFonts w:cs="Times New Roman"/>
                <w:sz w:val="21"/>
                <w:szCs w:val="21"/>
              </w:rPr>
              <w:t>50</w:t>
            </w:r>
          </w:p>
        </w:tc>
      </w:tr>
      <w:tr w14:paraId="69585202">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275E3295">
            <w:pPr>
              <w:spacing w:line="240" w:lineRule="auto"/>
              <w:ind w:firstLine="0" w:firstLineChars="0"/>
              <w:jc w:val="center"/>
              <w:rPr>
                <w:rFonts w:cs="Times New Roman"/>
                <w:sz w:val="21"/>
                <w:szCs w:val="21"/>
              </w:rPr>
            </w:pPr>
            <w:r>
              <w:rPr>
                <w:rFonts w:cs="Times New Roman"/>
                <w:sz w:val="21"/>
                <w:szCs w:val="21"/>
              </w:rPr>
              <w:t>80</w:t>
            </w:r>
          </w:p>
        </w:tc>
        <w:tc>
          <w:tcPr>
            <w:tcW w:w="784" w:type="pct"/>
            <w:tcBorders>
              <w:top w:val="single" w:color="000000" w:sz="4" w:space="0"/>
              <w:left w:val="single" w:color="000000" w:sz="4" w:space="0"/>
              <w:bottom w:val="single" w:color="000000" w:sz="4" w:space="0"/>
              <w:right w:val="single" w:color="000000" w:sz="4" w:space="0"/>
            </w:tcBorders>
            <w:vAlign w:val="center"/>
          </w:tcPr>
          <w:p w14:paraId="63C74994">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6F5EAF98">
            <w:pPr>
              <w:spacing w:line="240" w:lineRule="auto"/>
              <w:ind w:firstLine="0" w:firstLineChars="0"/>
              <w:jc w:val="center"/>
              <w:rPr>
                <w:rFonts w:cs="Times New Roman"/>
                <w:sz w:val="21"/>
                <w:szCs w:val="21"/>
              </w:rPr>
            </w:pPr>
            <w:r>
              <w:rPr>
                <w:rFonts w:cs="Times New Roman"/>
                <w:sz w:val="21"/>
                <w:szCs w:val="21"/>
              </w:rPr>
              <w:t>仙姑</w:t>
            </w:r>
          </w:p>
        </w:tc>
        <w:tc>
          <w:tcPr>
            <w:tcW w:w="765" w:type="pct"/>
            <w:tcBorders>
              <w:top w:val="single" w:color="000000" w:sz="4" w:space="0"/>
              <w:left w:val="single" w:color="000000" w:sz="4" w:space="0"/>
              <w:bottom w:val="single" w:color="000000" w:sz="4" w:space="0"/>
              <w:right w:val="single" w:color="000000" w:sz="4" w:space="0"/>
            </w:tcBorders>
            <w:vAlign w:val="center"/>
          </w:tcPr>
          <w:p w14:paraId="1E834B96">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DF78C97">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0CD94132">
            <w:pPr>
              <w:spacing w:line="240" w:lineRule="auto"/>
              <w:ind w:firstLine="0" w:firstLineChars="0"/>
              <w:jc w:val="center"/>
              <w:rPr>
                <w:rFonts w:cs="Times New Roman"/>
                <w:sz w:val="21"/>
                <w:szCs w:val="21"/>
              </w:rPr>
            </w:pPr>
            <w:r>
              <w:rPr>
                <w:rFonts w:cs="Times New Roman"/>
                <w:sz w:val="21"/>
                <w:szCs w:val="21"/>
              </w:rPr>
              <w:t>297</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05A6C175">
            <w:pPr>
              <w:spacing w:line="240" w:lineRule="auto"/>
              <w:ind w:firstLine="0" w:firstLineChars="0"/>
              <w:jc w:val="center"/>
              <w:rPr>
                <w:rFonts w:cs="Times New Roman"/>
                <w:sz w:val="21"/>
                <w:szCs w:val="21"/>
              </w:rPr>
            </w:pPr>
            <w:r>
              <w:rPr>
                <w:rFonts w:cs="Times New Roman"/>
                <w:sz w:val="21"/>
                <w:szCs w:val="21"/>
              </w:rPr>
              <w:t>267</w:t>
            </w:r>
          </w:p>
        </w:tc>
      </w:tr>
      <w:tr w14:paraId="2CCDF61B">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C4F12E1">
            <w:pPr>
              <w:spacing w:line="240" w:lineRule="auto"/>
              <w:ind w:firstLine="0" w:firstLineChars="0"/>
              <w:jc w:val="center"/>
              <w:rPr>
                <w:rFonts w:cs="Times New Roman"/>
                <w:sz w:val="21"/>
                <w:szCs w:val="21"/>
              </w:rPr>
            </w:pPr>
            <w:r>
              <w:rPr>
                <w:rFonts w:cs="Times New Roman"/>
                <w:sz w:val="21"/>
                <w:szCs w:val="21"/>
              </w:rPr>
              <w:t>81</w:t>
            </w:r>
          </w:p>
        </w:tc>
        <w:tc>
          <w:tcPr>
            <w:tcW w:w="784" w:type="pct"/>
            <w:tcBorders>
              <w:top w:val="single" w:color="000000" w:sz="4" w:space="0"/>
              <w:left w:val="single" w:color="000000" w:sz="4" w:space="0"/>
              <w:bottom w:val="single" w:color="000000" w:sz="4" w:space="0"/>
              <w:right w:val="single" w:color="000000" w:sz="4" w:space="0"/>
            </w:tcBorders>
            <w:vAlign w:val="center"/>
          </w:tcPr>
          <w:p w14:paraId="0094411F">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5292EDA5">
            <w:pPr>
              <w:spacing w:line="240" w:lineRule="auto"/>
              <w:ind w:firstLine="0" w:firstLineChars="0"/>
              <w:jc w:val="center"/>
              <w:rPr>
                <w:rFonts w:cs="Times New Roman"/>
                <w:sz w:val="21"/>
                <w:szCs w:val="21"/>
              </w:rPr>
            </w:pPr>
            <w:r>
              <w:rPr>
                <w:rFonts w:cs="Times New Roman"/>
                <w:sz w:val="21"/>
                <w:szCs w:val="21"/>
              </w:rPr>
              <w:t>小庄山</w:t>
            </w:r>
          </w:p>
        </w:tc>
        <w:tc>
          <w:tcPr>
            <w:tcW w:w="765" w:type="pct"/>
            <w:tcBorders>
              <w:top w:val="single" w:color="000000" w:sz="4" w:space="0"/>
              <w:left w:val="single" w:color="000000" w:sz="4" w:space="0"/>
              <w:bottom w:val="single" w:color="000000" w:sz="4" w:space="0"/>
              <w:right w:val="single" w:color="000000" w:sz="4" w:space="0"/>
            </w:tcBorders>
            <w:vAlign w:val="center"/>
          </w:tcPr>
          <w:p w14:paraId="69B3B34C">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DF2668B">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4754A69B">
            <w:pPr>
              <w:spacing w:line="240" w:lineRule="auto"/>
              <w:ind w:firstLine="0" w:firstLineChars="0"/>
              <w:jc w:val="center"/>
              <w:rPr>
                <w:rFonts w:cs="Times New Roman"/>
                <w:sz w:val="21"/>
                <w:szCs w:val="21"/>
              </w:rPr>
            </w:pPr>
            <w:r>
              <w:rPr>
                <w:rFonts w:cs="Times New Roman"/>
                <w:sz w:val="21"/>
                <w:szCs w:val="21"/>
              </w:rPr>
              <w:t>13</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588666C">
            <w:pPr>
              <w:spacing w:line="240" w:lineRule="auto"/>
              <w:ind w:firstLine="0" w:firstLineChars="0"/>
              <w:jc w:val="center"/>
              <w:rPr>
                <w:rFonts w:cs="Times New Roman"/>
                <w:sz w:val="21"/>
                <w:szCs w:val="21"/>
              </w:rPr>
            </w:pPr>
            <w:r>
              <w:rPr>
                <w:rFonts w:cs="Times New Roman"/>
                <w:sz w:val="21"/>
                <w:szCs w:val="21"/>
              </w:rPr>
              <w:t>13</w:t>
            </w:r>
          </w:p>
        </w:tc>
      </w:tr>
      <w:tr w14:paraId="28BC0521">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4673E7A">
            <w:pPr>
              <w:spacing w:line="240" w:lineRule="auto"/>
              <w:ind w:firstLine="0" w:firstLineChars="0"/>
              <w:jc w:val="center"/>
              <w:rPr>
                <w:rFonts w:cs="Times New Roman"/>
                <w:sz w:val="21"/>
                <w:szCs w:val="21"/>
              </w:rPr>
            </w:pPr>
            <w:r>
              <w:rPr>
                <w:rFonts w:cs="Times New Roman"/>
                <w:sz w:val="21"/>
                <w:szCs w:val="21"/>
              </w:rPr>
              <w:t>82</w:t>
            </w:r>
          </w:p>
        </w:tc>
        <w:tc>
          <w:tcPr>
            <w:tcW w:w="784" w:type="pct"/>
            <w:tcBorders>
              <w:top w:val="single" w:color="000000" w:sz="4" w:space="0"/>
              <w:left w:val="single" w:color="000000" w:sz="4" w:space="0"/>
              <w:bottom w:val="single" w:color="000000" w:sz="4" w:space="0"/>
              <w:right w:val="single" w:color="000000" w:sz="4" w:space="0"/>
            </w:tcBorders>
            <w:vAlign w:val="center"/>
          </w:tcPr>
          <w:p w14:paraId="37D4B1E7">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75B9ADD3">
            <w:pPr>
              <w:spacing w:line="240" w:lineRule="auto"/>
              <w:ind w:firstLine="0" w:firstLineChars="0"/>
              <w:jc w:val="center"/>
              <w:rPr>
                <w:rFonts w:cs="Times New Roman"/>
                <w:sz w:val="21"/>
                <w:szCs w:val="21"/>
              </w:rPr>
            </w:pPr>
            <w:r>
              <w:rPr>
                <w:rFonts w:cs="Times New Roman"/>
                <w:sz w:val="21"/>
                <w:szCs w:val="21"/>
              </w:rPr>
              <w:t>阳山</w:t>
            </w:r>
          </w:p>
        </w:tc>
        <w:tc>
          <w:tcPr>
            <w:tcW w:w="765" w:type="pct"/>
            <w:tcBorders>
              <w:top w:val="single" w:color="000000" w:sz="4" w:space="0"/>
              <w:left w:val="single" w:color="000000" w:sz="4" w:space="0"/>
              <w:bottom w:val="single" w:color="000000" w:sz="4" w:space="0"/>
              <w:right w:val="single" w:color="000000" w:sz="4" w:space="0"/>
            </w:tcBorders>
            <w:vAlign w:val="center"/>
          </w:tcPr>
          <w:p w14:paraId="6F4E7FB8">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3186B0A7">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1733C56C">
            <w:pPr>
              <w:spacing w:line="240" w:lineRule="auto"/>
              <w:ind w:firstLine="0" w:firstLineChars="0"/>
              <w:jc w:val="center"/>
              <w:rPr>
                <w:rFonts w:cs="Times New Roman"/>
                <w:sz w:val="21"/>
                <w:szCs w:val="21"/>
              </w:rPr>
            </w:pPr>
            <w:r>
              <w:rPr>
                <w:rFonts w:cs="Times New Roman"/>
                <w:sz w:val="21"/>
                <w:szCs w:val="21"/>
              </w:rPr>
              <w:t>126</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3829700A">
            <w:pPr>
              <w:spacing w:line="240" w:lineRule="auto"/>
              <w:ind w:firstLine="0" w:firstLineChars="0"/>
              <w:jc w:val="center"/>
              <w:rPr>
                <w:rFonts w:cs="Times New Roman"/>
                <w:sz w:val="21"/>
                <w:szCs w:val="21"/>
              </w:rPr>
            </w:pPr>
            <w:r>
              <w:rPr>
                <w:rFonts w:cs="Times New Roman"/>
                <w:sz w:val="21"/>
                <w:szCs w:val="21"/>
              </w:rPr>
              <w:t>113</w:t>
            </w:r>
          </w:p>
        </w:tc>
      </w:tr>
      <w:tr w14:paraId="2152A11F">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501D8021">
            <w:pPr>
              <w:spacing w:line="240" w:lineRule="auto"/>
              <w:ind w:firstLine="0" w:firstLineChars="0"/>
              <w:jc w:val="center"/>
              <w:rPr>
                <w:rFonts w:cs="Times New Roman"/>
                <w:sz w:val="21"/>
                <w:szCs w:val="21"/>
              </w:rPr>
            </w:pPr>
            <w:r>
              <w:rPr>
                <w:rFonts w:cs="Times New Roman"/>
                <w:sz w:val="21"/>
                <w:szCs w:val="21"/>
              </w:rPr>
              <w:t>83</w:t>
            </w:r>
          </w:p>
        </w:tc>
        <w:tc>
          <w:tcPr>
            <w:tcW w:w="784" w:type="pct"/>
            <w:tcBorders>
              <w:top w:val="single" w:color="000000" w:sz="4" w:space="0"/>
              <w:left w:val="single" w:color="000000" w:sz="4" w:space="0"/>
              <w:bottom w:val="single" w:color="000000" w:sz="4" w:space="0"/>
              <w:right w:val="single" w:color="000000" w:sz="4" w:space="0"/>
            </w:tcBorders>
            <w:vAlign w:val="center"/>
          </w:tcPr>
          <w:p w14:paraId="16C95439">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44B0C734">
            <w:pPr>
              <w:spacing w:line="240" w:lineRule="auto"/>
              <w:ind w:firstLine="0" w:firstLineChars="0"/>
              <w:jc w:val="center"/>
              <w:rPr>
                <w:rFonts w:cs="Times New Roman"/>
                <w:sz w:val="21"/>
                <w:szCs w:val="21"/>
              </w:rPr>
            </w:pPr>
            <w:r>
              <w:rPr>
                <w:rFonts w:cs="Times New Roman"/>
                <w:sz w:val="21"/>
                <w:szCs w:val="21"/>
              </w:rPr>
              <w:t>窑岗背</w:t>
            </w:r>
          </w:p>
        </w:tc>
        <w:tc>
          <w:tcPr>
            <w:tcW w:w="765" w:type="pct"/>
            <w:tcBorders>
              <w:top w:val="single" w:color="000000" w:sz="4" w:space="0"/>
              <w:left w:val="single" w:color="000000" w:sz="4" w:space="0"/>
              <w:bottom w:val="single" w:color="000000" w:sz="4" w:space="0"/>
              <w:right w:val="single" w:color="000000" w:sz="4" w:space="0"/>
            </w:tcBorders>
            <w:vAlign w:val="center"/>
          </w:tcPr>
          <w:p w14:paraId="4CD6EE15">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6C786D73">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630BBC1A">
            <w:pPr>
              <w:spacing w:line="240" w:lineRule="auto"/>
              <w:ind w:firstLine="0" w:firstLineChars="0"/>
              <w:jc w:val="center"/>
              <w:rPr>
                <w:rFonts w:cs="Times New Roman"/>
                <w:sz w:val="21"/>
                <w:szCs w:val="21"/>
              </w:rPr>
            </w:pPr>
            <w:r>
              <w:rPr>
                <w:rFonts w:cs="Times New Roman"/>
                <w:sz w:val="21"/>
                <w:szCs w:val="21"/>
              </w:rPr>
              <w:t>24</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543C1DDE">
            <w:pPr>
              <w:spacing w:line="240" w:lineRule="auto"/>
              <w:ind w:firstLine="0" w:firstLineChars="0"/>
              <w:jc w:val="center"/>
              <w:rPr>
                <w:rFonts w:cs="Times New Roman"/>
                <w:sz w:val="21"/>
                <w:szCs w:val="21"/>
              </w:rPr>
            </w:pPr>
            <w:r>
              <w:rPr>
                <w:rFonts w:cs="Times New Roman"/>
                <w:sz w:val="21"/>
                <w:szCs w:val="21"/>
              </w:rPr>
              <w:t>24</w:t>
            </w:r>
          </w:p>
        </w:tc>
      </w:tr>
      <w:tr w14:paraId="66F44538">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9FBE312">
            <w:pPr>
              <w:spacing w:line="240" w:lineRule="auto"/>
              <w:ind w:firstLine="0" w:firstLineChars="0"/>
              <w:jc w:val="center"/>
              <w:rPr>
                <w:rFonts w:cs="Times New Roman"/>
                <w:sz w:val="21"/>
                <w:szCs w:val="21"/>
              </w:rPr>
            </w:pPr>
            <w:r>
              <w:rPr>
                <w:rFonts w:cs="Times New Roman"/>
                <w:sz w:val="21"/>
                <w:szCs w:val="21"/>
              </w:rPr>
              <w:t>84</w:t>
            </w:r>
          </w:p>
        </w:tc>
        <w:tc>
          <w:tcPr>
            <w:tcW w:w="784" w:type="pct"/>
            <w:tcBorders>
              <w:top w:val="single" w:color="000000" w:sz="4" w:space="0"/>
              <w:left w:val="single" w:color="000000" w:sz="4" w:space="0"/>
              <w:bottom w:val="single" w:color="000000" w:sz="4" w:space="0"/>
              <w:right w:val="single" w:color="000000" w:sz="4" w:space="0"/>
            </w:tcBorders>
            <w:vAlign w:val="center"/>
          </w:tcPr>
          <w:p w14:paraId="4F432E50">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5F5487CE">
            <w:pPr>
              <w:spacing w:line="240" w:lineRule="auto"/>
              <w:ind w:firstLine="0" w:firstLineChars="0"/>
              <w:jc w:val="center"/>
              <w:rPr>
                <w:rFonts w:cs="Times New Roman"/>
                <w:sz w:val="21"/>
                <w:szCs w:val="21"/>
              </w:rPr>
            </w:pPr>
            <w:r>
              <w:rPr>
                <w:rFonts w:cs="Times New Roman"/>
                <w:sz w:val="21"/>
                <w:szCs w:val="21"/>
              </w:rPr>
              <w:t>宜庄</w:t>
            </w:r>
          </w:p>
        </w:tc>
        <w:tc>
          <w:tcPr>
            <w:tcW w:w="765" w:type="pct"/>
            <w:tcBorders>
              <w:top w:val="single" w:color="000000" w:sz="4" w:space="0"/>
              <w:left w:val="single" w:color="000000" w:sz="4" w:space="0"/>
              <w:bottom w:val="single" w:color="000000" w:sz="4" w:space="0"/>
              <w:right w:val="single" w:color="000000" w:sz="4" w:space="0"/>
            </w:tcBorders>
            <w:vAlign w:val="center"/>
          </w:tcPr>
          <w:p w14:paraId="48EAD462">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3E298AD">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57082653">
            <w:pPr>
              <w:spacing w:line="240" w:lineRule="auto"/>
              <w:ind w:firstLine="0" w:firstLineChars="0"/>
              <w:jc w:val="center"/>
              <w:rPr>
                <w:rFonts w:cs="Times New Roman"/>
                <w:sz w:val="21"/>
                <w:szCs w:val="21"/>
              </w:rPr>
            </w:pPr>
            <w:r>
              <w:rPr>
                <w:rFonts w:cs="Times New Roman"/>
                <w:sz w:val="21"/>
                <w:szCs w:val="21"/>
              </w:rPr>
              <w:t>243</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6EB31332">
            <w:pPr>
              <w:spacing w:line="240" w:lineRule="auto"/>
              <w:ind w:firstLine="0" w:firstLineChars="0"/>
              <w:jc w:val="center"/>
              <w:rPr>
                <w:rFonts w:cs="Times New Roman"/>
                <w:sz w:val="21"/>
                <w:szCs w:val="21"/>
              </w:rPr>
            </w:pPr>
            <w:r>
              <w:rPr>
                <w:rFonts w:cs="Times New Roman"/>
                <w:sz w:val="21"/>
                <w:szCs w:val="21"/>
              </w:rPr>
              <w:t>219</w:t>
            </w:r>
          </w:p>
        </w:tc>
      </w:tr>
      <w:tr w14:paraId="4566171F">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44107073">
            <w:pPr>
              <w:spacing w:line="240" w:lineRule="auto"/>
              <w:ind w:firstLine="0" w:firstLineChars="0"/>
              <w:jc w:val="center"/>
              <w:rPr>
                <w:rFonts w:cs="Times New Roman"/>
                <w:sz w:val="21"/>
                <w:szCs w:val="21"/>
              </w:rPr>
            </w:pPr>
            <w:r>
              <w:rPr>
                <w:rFonts w:cs="Times New Roman"/>
                <w:sz w:val="21"/>
                <w:szCs w:val="21"/>
              </w:rPr>
              <w:t>85</w:t>
            </w:r>
          </w:p>
        </w:tc>
        <w:tc>
          <w:tcPr>
            <w:tcW w:w="784" w:type="pct"/>
            <w:tcBorders>
              <w:top w:val="single" w:color="000000" w:sz="4" w:space="0"/>
              <w:left w:val="single" w:color="000000" w:sz="4" w:space="0"/>
              <w:bottom w:val="single" w:color="000000" w:sz="4" w:space="0"/>
              <w:right w:val="single" w:color="000000" w:sz="4" w:space="0"/>
            </w:tcBorders>
            <w:vAlign w:val="center"/>
          </w:tcPr>
          <w:p w14:paraId="45B6D653">
            <w:pPr>
              <w:spacing w:line="240" w:lineRule="auto"/>
              <w:ind w:firstLine="0" w:firstLineChars="0"/>
              <w:jc w:val="center"/>
              <w:rPr>
                <w:rFonts w:cs="Times New Roman"/>
                <w:sz w:val="21"/>
                <w:szCs w:val="21"/>
              </w:rPr>
            </w:pPr>
            <w:r>
              <w:rPr>
                <w:rFonts w:cs="Times New Roman"/>
                <w:sz w:val="21"/>
                <w:szCs w:val="21"/>
              </w:rPr>
              <w:t>仙姑村</w:t>
            </w:r>
          </w:p>
        </w:tc>
        <w:tc>
          <w:tcPr>
            <w:tcW w:w="775" w:type="pct"/>
            <w:tcBorders>
              <w:top w:val="single" w:color="000000" w:sz="4" w:space="0"/>
              <w:left w:val="single" w:color="000000" w:sz="4" w:space="0"/>
              <w:bottom w:val="single" w:color="000000" w:sz="4" w:space="0"/>
              <w:right w:val="single" w:color="000000" w:sz="4" w:space="0"/>
            </w:tcBorders>
            <w:vAlign w:val="center"/>
          </w:tcPr>
          <w:p w14:paraId="1249133C">
            <w:pPr>
              <w:spacing w:line="240" w:lineRule="auto"/>
              <w:ind w:firstLine="0" w:firstLineChars="0"/>
              <w:jc w:val="center"/>
              <w:rPr>
                <w:rFonts w:cs="Times New Roman"/>
                <w:sz w:val="21"/>
                <w:szCs w:val="21"/>
              </w:rPr>
            </w:pPr>
            <w:r>
              <w:rPr>
                <w:rFonts w:cs="Times New Roman"/>
                <w:sz w:val="21"/>
                <w:szCs w:val="21"/>
              </w:rPr>
              <w:t>庄上</w:t>
            </w:r>
          </w:p>
        </w:tc>
        <w:tc>
          <w:tcPr>
            <w:tcW w:w="765" w:type="pct"/>
            <w:tcBorders>
              <w:top w:val="single" w:color="000000" w:sz="4" w:space="0"/>
              <w:left w:val="single" w:color="000000" w:sz="4" w:space="0"/>
              <w:bottom w:val="single" w:color="000000" w:sz="4" w:space="0"/>
              <w:right w:val="single" w:color="000000" w:sz="4" w:space="0"/>
            </w:tcBorders>
            <w:vAlign w:val="center"/>
          </w:tcPr>
          <w:p w14:paraId="1873998D">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5D664E8">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2CE9D1FA">
            <w:pPr>
              <w:spacing w:line="240" w:lineRule="auto"/>
              <w:ind w:firstLine="0" w:firstLineChars="0"/>
              <w:jc w:val="center"/>
              <w:rPr>
                <w:rFonts w:cs="Times New Roman"/>
                <w:sz w:val="21"/>
                <w:szCs w:val="21"/>
              </w:rPr>
            </w:pPr>
            <w:r>
              <w:rPr>
                <w:rFonts w:cs="Times New Roman"/>
                <w:sz w:val="21"/>
                <w:szCs w:val="21"/>
              </w:rPr>
              <w:t>14</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2129386B">
            <w:pPr>
              <w:spacing w:line="240" w:lineRule="auto"/>
              <w:ind w:firstLine="0" w:firstLineChars="0"/>
              <w:jc w:val="center"/>
              <w:rPr>
                <w:rFonts w:cs="Times New Roman"/>
                <w:sz w:val="21"/>
                <w:szCs w:val="21"/>
              </w:rPr>
            </w:pPr>
            <w:r>
              <w:rPr>
                <w:rFonts w:cs="Times New Roman"/>
                <w:sz w:val="21"/>
                <w:szCs w:val="21"/>
              </w:rPr>
              <w:t>14</w:t>
            </w:r>
          </w:p>
        </w:tc>
      </w:tr>
      <w:tr w14:paraId="249364BB">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7891C737">
            <w:pPr>
              <w:spacing w:line="240" w:lineRule="auto"/>
              <w:ind w:firstLine="0" w:firstLineChars="0"/>
              <w:jc w:val="center"/>
              <w:rPr>
                <w:rFonts w:cs="Times New Roman"/>
                <w:sz w:val="21"/>
                <w:szCs w:val="21"/>
              </w:rPr>
            </w:pPr>
            <w:r>
              <w:rPr>
                <w:rFonts w:cs="Times New Roman"/>
                <w:sz w:val="21"/>
                <w:szCs w:val="21"/>
              </w:rPr>
              <w:t>86</w:t>
            </w:r>
          </w:p>
        </w:tc>
        <w:tc>
          <w:tcPr>
            <w:tcW w:w="784" w:type="pct"/>
            <w:tcBorders>
              <w:top w:val="single" w:color="000000" w:sz="4" w:space="0"/>
              <w:left w:val="single" w:color="000000" w:sz="4" w:space="0"/>
              <w:bottom w:val="single" w:color="000000" w:sz="4" w:space="0"/>
              <w:right w:val="single" w:color="000000" w:sz="4" w:space="0"/>
            </w:tcBorders>
            <w:vAlign w:val="center"/>
          </w:tcPr>
          <w:p w14:paraId="0B9489B6">
            <w:pPr>
              <w:spacing w:line="240" w:lineRule="auto"/>
              <w:ind w:firstLine="0" w:firstLineChars="0"/>
              <w:jc w:val="center"/>
              <w:rPr>
                <w:rFonts w:cs="Times New Roman"/>
                <w:sz w:val="21"/>
                <w:szCs w:val="21"/>
              </w:rPr>
            </w:pPr>
            <w:r>
              <w:rPr>
                <w:rFonts w:cs="Times New Roman"/>
                <w:sz w:val="21"/>
                <w:szCs w:val="21"/>
              </w:rPr>
              <w:t>长山村</w:t>
            </w:r>
          </w:p>
        </w:tc>
        <w:tc>
          <w:tcPr>
            <w:tcW w:w="775" w:type="pct"/>
            <w:tcBorders>
              <w:top w:val="single" w:color="000000" w:sz="4" w:space="0"/>
              <w:left w:val="single" w:color="000000" w:sz="4" w:space="0"/>
              <w:bottom w:val="single" w:color="000000" w:sz="4" w:space="0"/>
              <w:right w:val="single" w:color="000000" w:sz="4" w:space="0"/>
            </w:tcBorders>
            <w:vAlign w:val="center"/>
          </w:tcPr>
          <w:p w14:paraId="5C73C0FD">
            <w:pPr>
              <w:spacing w:line="240" w:lineRule="auto"/>
              <w:ind w:firstLine="0" w:firstLineChars="0"/>
              <w:jc w:val="center"/>
              <w:rPr>
                <w:rFonts w:cs="Times New Roman"/>
                <w:sz w:val="21"/>
                <w:szCs w:val="21"/>
              </w:rPr>
            </w:pPr>
            <w:r>
              <w:rPr>
                <w:rFonts w:cs="Times New Roman"/>
                <w:sz w:val="21"/>
                <w:szCs w:val="21"/>
              </w:rPr>
              <w:t>周家棚</w:t>
            </w:r>
          </w:p>
        </w:tc>
        <w:tc>
          <w:tcPr>
            <w:tcW w:w="765" w:type="pct"/>
            <w:tcBorders>
              <w:top w:val="single" w:color="000000" w:sz="4" w:space="0"/>
              <w:left w:val="single" w:color="000000" w:sz="4" w:space="0"/>
              <w:bottom w:val="single" w:color="000000" w:sz="4" w:space="0"/>
              <w:right w:val="single" w:color="000000" w:sz="4" w:space="0"/>
            </w:tcBorders>
            <w:vAlign w:val="center"/>
          </w:tcPr>
          <w:p w14:paraId="5FBF9AC0">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54A0A6B8">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3228BB0F">
            <w:pPr>
              <w:spacing w:line="240" w:lineRule="auto"/>
              <w:ind w:firstLine="0" w:firstLineChars="0"/>
              <w:jc w:val="center"/>
              <w:rPr>
                <w:rFonts w:cs="Times New Roman"/>
                <w:sz w:val="21"/>
                <w:szCs w:val="21"/>
              </w:rPr>
            </w:pPr>
            <w:r>
              <w:rPr>
                <w:rFonts w:cs="Times New Roman"/>
                <w:sz w:val="21"/>
                <w:szCs w:val="21"/>
              </w:rPr>
              <w:t>57</w:t>
            </w:r>
          </w:p>
        </w:tc>
        <w:tc>
          <w:tcPr>
            <w:tcW w:w="869" w:type="pct"/>
            <w:tcBorders>
              <w:top w:val="single" w:color="000000" w:sz="4" w:space="0"/>
              <w:left w:val="single" w:color="000000" w:sz="4" w:space="0"/>
              <w:bottom w:val="single" w:color="000000" w:sz="4" w:space="0"/>
              <w:right w:val="single" w:color="000000" w:sz="4" w:space="0"/>
            </w:tcBorders>
            <w:vAlign w:val="center"/>
          </w:tcPr>
          <w:p w14:paraId="5F9CFC99">
            <w:pPr>
              <w:spacing w:line="240" w:lineRule="auto"/>
              <w:ind w:firstLine="0" w:firstLineChars="0"/>
              <w:jc w:val="center"/>
              <w:rPr>
                <w:rFonts w:cs="Times New Roman"/>
                <w:sz w:val="21"/>
                <w:szCs w:val="21"/>
              </w:rPr>
            </w:pPr>
            <w:r>
              <w:rPr>
                <w:rFonts w:cs="Times New Roman"/>
                <w:sz w:val="21"/>
                <w:szCs w:val="21"/>
              </w:rPr>
              <w:t>57</w:t>
            </w:r>
          </w:p>
        </w:tc>
      </w:tr>
      <w:tr w14:paraId="577FCF59">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458C2A08">
            <w:pPr>
              <w:spacing w:line="240" w:lineRule="auto"/>
              <w:ind w:firstLine="0" w:firstLineChars="0"/>
              <w:jc w:val="center"/>
              <w:rPr>
                <w:rFonts w:cs="Times New Roman"/>
                <w:sz w:val="21"/>
                <w:szCs w:val="21"/>
              </w:rPr>
            </w:pPr>
            <w:r>
              <w:rPr>
                <w:rFonts w:cs="Times New Roman"/>
                <w:sz w:val="21"/>
                <w:szCs w:val="21"/>
              </w:rPr>
              <w:t>87</w:t>
            </w:r>
          </w:p>
        </w:tc>
        <w:tc>
          <w:tcPr>
            <w:tcW w:w="784" w:type="pct"/>
            <w:tcBorders>
              <w:top w:val="single" w:color="000000" w:sz="4" w:space="0"/>
              <w:left w:val="single" w:color="000000" w:sz="4" w:space="0"/>
              <w:bottom w:val="single" w:color="000000" w:sz="4" w:space="0"/>
              <w:right w:val="single" w:color="000000" w:sz="4" w:space="0"/>
            </w:tcBorders>
            <w:vAlign w:val="center"/>
          </w:tcPr>
          <w:p w14:paraId="2D35556A">
            <w:pPr>
              <w:spacing w:line="240" w:lineRule="auto"/>
              <w:ind w:firstLine="0" w:firstLineChars="0"/>
              <w:jc w:val="center"/>
              <w:rPr>
                <w:rFonts w:cs="Times New Roman"/>
                <w:sz w:val="21"/>
                <w:szCs w:val="21"/>
              </w:rPr>
            </w:pPr>
            <w:r>
              <w:rPr>
                <w:rFonts w:cs="Times New Roman"/>
                <w:sz w:val="21"/>
                <w:szCs w:val="21"/>
              </w:rPr>
              <w:t>致和村</w:t>
            </w:r>
          </w:p>
        </w:tc>
        <w:tc>
          <w:tcPr>
            <w:tcW w:w="775" w:type="pct"/>
            <w:tcBorders>
              <w:top w:val="single" w:color="000000" w:sz="4" w:space="0"/>
              <w:left w:val="single" w:color="000000" w:sz="4" w:space="0"/>
              <w:bottom w:val="single" w:color="000000" w:sz="4" w:space="0"/>
              <w:right w:val="single" w:color="000000" w:sz="4" w:space="0"/>
            </w:tcBorders>
            <w:vAlign w:val="center"/>
          </w:tcPr>
          <w:p w14:paraId="721A9B8C">
            <w:pPr>
              <w:spacing w:line="240" w:lineRule="auto"/>
              <w:ind w:firstLine="0" w:firstLineChars="0"/>
              <w:jc w:val="center"/>
              <w:rPr>
                <w:rFonts w:cs="Times New Roman"/>
                <w:sz w:val="21"/>
                <w:szCs w:val="21"/>
              </w:rPr>
            </w:pPr>
            <w:r>
              <w:rPr>
                <w:rFonts w:cs="Times New Roman"/>
                <w:sz w:val="21"/>
                <w:szCs w:val="21"/>
              </w:rPr>
              <w:t>东棚</w:t>
            </w:r>
          </w:p>
        </w:tc>
        <w:tc>
          <w:tcPr>
            <w:tcW w:w="765" w:type="pct"/>
            <w:tcBorders>
              <w:top w:val="single" w:color="000000" w:sz="4" w:space="0"/>
              <w:left w:val="single" w:color="000000" w:sz="4" w:space="0"/>
              <w:bottom w:val="single" w:color="000000" w:sz="4" w:space="0"/>
              <w:right w:val="single" w:color="000000" w:sz="4" w:space="0"/>
            </w:tcBorders>
            <w:vAlign w:val="center"/>
          </w:tcPr>
          <w:p w14:paraId="01CE341D">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5EB1DF86">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68D91137">
            <w:pPr>
              <w:spacing w:line="240" w:lineRule="auto"/>
              <w:ind w:firstLine="0" w:firstLineChars="0"/>
              <w:jc w:val="center"/>
              <w:rPr>
                <w:rFonts w:cs="Times New Roman"/>
                <w:sz w:val="21"/>
                <w:szCs w:val="21"/>
              </w:rPr>
            </w:pPr>
            <w:r>
              <w:rPr>
                <w:rFonts w:cs="Times New Roman"/>
                <w:sz w:val="21"/>
                <w:szCs w:val="21"/>
              </w:rPr>
              <w:t>23</w:t>
            </w:r>
          </w:p>
        </w:tc>
        <w:tc>
          <w:tcPr>
            <w:tcW w:w="869" w:type="pct"/>
            <w:tcBorders>
              <w:top w:val="single" w:color="000000" w:sz="4" w:space="0"/>
              <w:left w:val="single" w:color="000000" w:sz="4" w:space="0"/>
              <w:bottom w:val="single" w:color="000000" w:sz="4" w:space="0"/>
              <w:right w:val="single" w:color="000000" w:sz="4" w:space="0"/>
            </w:tcBorders>
            <w:vAlign w:val="center"/>
          </w:tcPr>
          <w:p w14:paraId="6A764D49">
            <w:pPr>
              <w:spacing w:line="240" w:lineRule="auto"/>
              <w:ind w:firstLine="0" w:firstLineChars="0"/>
              <w:jc w:val="center"/>
              <w:rPr>
                <w:rFonts w:cs="Times New Roman"/>
                <w:sz w:val="21"/>
                <w:szCs w:val="21"/>
              </w:rPr>
            </w:pPr>
            <w:r>
              <w:rPr>
                <w:rFonts w:cs="Times New Roman"/>
                <w:sz w:val="21"/>
                <w:szCs w:val="21"/>
              </w:rPr>
              <w:t>23</w:t>
            </w:r>
          </w:p>
        </w:tc>
      </w:tr>
      <w:tr w14:paraId="0B45E0F1">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5D425D66">
            <w:pPr>
              <w:spacing w:line="240" w:lineRule="auto"/>
              <w:ind w:firstLine="0" w:firstLineChars="0"/>
              <w:jc w:val="center"/>
              <w:rPr>
                <w:rFonts w:cs="Times New Roman"/>
                <w:sz w:val="21"/>
                <w:szCs w:val="21"/>
              </w:rPr>
            </w:pPr>
            <w:r>
              <w:rPr>
                <w:rFonts w:cs="Times New Roman"/>
                <w:sz w:val="21"/>
                <w:szCs w:val="21"/>
              </w:rPr>
              <w:t>88</w:t>
            </w:r>
          </w:p>
        </w:tc>
        <w:tc>
          <w:tcPr>
            <w:tcW w:w="784" w:type="pct"/>
            <w:tcBorders>
              <w:top w:val="single" w:color="000000" w:sz="4" w:space="0"/>
              <w:left w:val="single" w:color="000000" w:sz="4" w:space="0"/>
              <w:bottom w:val="single" w:color="000000" w:sz="4" w:space="0"/>
              <w:right w:val="single" w:color="000000" w:sz="4" w:space="0"/>
            </w:tcBorders>
            <w:vAlign w:val="center"/>
          </w:tcPr>
          <w:p w14:paraId="56060A9D">
            <w:pPr>
              <w:spacing w:line="240" w:lineRule="auto"/>
              <w:ind w:firstLine="0" w:firstLineChars="0"/>
              <w:jc w:val="center"/>
              <w:rPr>
                <w:rFonts w:cs="Times New Roman"/>
                <w:sz w:val="21"/>
                <w:szCs w:val="21"/>
              </w:rPr>
            </w:pPr>
            <w:r>
              <w:rPr>
                <w:rFonts w:cs="Times New Roman"/>
                <w:sz w:val="21"/>
                <w:szCs w:val="21"/>
              </w:rPr>
              <w:t>致和村</w:t>
            </w:r>
          </w:p>
        </w:tc>
        <w:tc>
          <w:tcPr>
            <w:tcW w:w="775" w:type="pct"/>
            <w:tcBorders>
              <w:top w:val="single" w:color="000000" w:sz="4" w:space="0"/>
              <w:left w:val="single" w:color="000000" w:sz="4" w:space="0"/>
              <w:bottom w:val="single" w:color="000000" w:sz="4" w:space="0"/>
              <w:right w:val="single" w:color="000000" w:sz="4" w:space="0"/>
            </w:tcBorders>
            <w:vAlign w:val="center"/>
          </w:tcPr>
          <w:p w14:paraId="40D20CD7">
            <w:pPr>
              <w:spacing w:line="240" w:lineRule="auto"/>
              <w:ind w:firstLine="0" w:firstLineChars="0"/>
              <w:jc w:val="center"/>
              <w:rPr>
                <w:rFonts w:cs="Times New Roman"/>
                <w:sz w:val="21"/>
                <w:szCs w:val="21"/>
              </w:rPr>
            </w:pPr>
            <w:r>
              <w:rPr>
                <w:rFonts w:cs="Times New Roman"/>
                <w:sz w:val="21"/>
                <w:szCs w:val="21"/>
              </w:rPr>
              <w:t>杭山</w:t>
            </w:r>
          </w:p>
        </w:tc>
        <w:tc>
          <w:tcPr>
            <w:tcW w:w="765" w:type="pct"/>
            <w:tcBorders>
              <w:top w:val="single" w:color="000000" w:sz="4" w:space="0"/>
              <w:left w:val="single" w:color="000000" w:sz="4" w:space="0"/>
              <w:bottom w:val="single" w:color="000000" w:sz="4" w:space="0"/>
              <w:right w:val="single" w:color="000000" w:sz="4" w:space="0"/>
            </w:tcBorders>
            <w:vAlign w:val="center"/>
          </w:tcPr>
          <w:p w14:paraId="55436BD8">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168D3236">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41CBF4F1">
            <w:pPr>
              <w:spacing w:line="240" w:lineRule="auto"/>
              <w:ind w:firstLine="0" w:firstLineChars="0"/>
              <w:jc w:val="center"/>
              <w:rPr>
                <w:rFonts w:cs="Times New Roman"/>
                <w:sz w:val="21"/>
                <w:szCs w:val="21"/>
              </w:rPr>
            </w:pPr>
            <w:r>
              <w:rPr>
                <w:rFonts w:cs="Times New Roman"/>
                <w:sz w:val="21"/>
                <w:szCs w:val="21"/>
              </w:rPr>
              <w:t>104</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4880ABA6">
            <w:pPr>
              <w:spacing w:line="240" w:lineRule="auto"/>
              <w:ind w:firstLine="0" w:firstLineChars="0"/>
              <w:jc w:val="center"/>
              <w:rPr>
                <w:rFonts w:cs="Times New Roman"/>
                <w:sz w:val="21"/>
                <w:szCs w:val="21"/>
              </w:rPr>
            </w:pPr>
            <w:r>
              <w:rPr>
                <w:rFonts w:cs="Times New Roman"/>
                <w:sz w:val="21"/>
                <w:szCs w:val="21"/>
              </w:rPr>
              <w:t>94</w:t>
            </w:r>
          </w:p>
        </w:tc>
      </w:tr>
      <w:tr w14:paraId="52CCC78A">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2D324AB">
            <w:pPr>
              <w:spacing w:line="240" w:lineRule="auto"/>
              <w:ind w:firstLine="0" w:firstLineChars="0"/>
              <w:jc w:val="center"/>
              <w:rPr>
                <w:rFonts w:cs="Times New Roman"/>
                <w:sz w:val="21"/>
                <w:szCs w:val="21"/>
              </w:rPr>
            </w:pPr>
            <w:r>
              <w:rPr>
                <w:rFonts w:cs="Times New Roman"/>
                <w:sz w:val="21"/>
                <w:szCs w:val="21"/>
              </w:rPr>
              <w:t>89</w:t>
            </w:r>
          </w:p>
        </w:tc>
        <w:tc>
          <w:tcPr>
            <w:tcW w:w="784" w:type="pct"/>
            <w:tcBorders>
              <w:top w:val="single" w:color="000000" w:sz="4" w:space="0"/>
              <w:left w:val="single" w:color="000000" w:sz="4" w:space="0"/>
              <w:bottom w:val="single" w:color="000000" w:sz="4" w:space="0"/>
              <w:right w:val="single" w:color="000000" w:sz="4" w:space="0"/>
            </w:tcBorders>
            <w:vAlign w:val="center"/>
          </w:tcPr>
          <w:p w14:paraId="4932608E">
            <w:pPr>
              <w:spacing w:line="240" w:lineRule="auto"/>
              <w:ind w:firstLine="0" w:firstLineChars="0"/>
              <w:jc w:val="center"/>
              <w:rPr>
                <w:rFonts w:cs="Times New Roman"/>
                <w:sz w:val="21"/>
                <w:szCs w:val="21"/>
              </w:rPr>
            </w:pPr>
            <w:r>
              <w:rPr>
                <w:rFonts w:cs="Times New Roman"/>
                <w:sz w:val="21"/>
                <w:szCs w:val="21"/>
              </w:rPr>
              <w:t>致和村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CAEF669">
            <w:pPr>
              <w:spacing w:line="240" w:lineRule="auto"/>
              <w:ind w:firstLine="0" w:firstLineChars="0"/>
              <w:jc w:val="center"/>
              <w:rPr>
                <w:rFonts w:cs="Times New Roman"/>
                <w:sz w:val="21"/>
                <w:szCs w:val="21"/>
              </w:rPr>
            </w:pPr>
            <w:r>
              <w:rPr>
                <w:rFonts w:cs="Times New Roman"/>
                <w:sz w:val="21"/>
                <w:szCs w:val="21"/>
              </w:rPr>
              <w:t>三棚</w:t>
            </w:r>
          </w:p>
        </w:tc>
        <w:tc>
          <w:tcPr>
            <w:tcW w:w="765" w:type="pct"/>
            <w:tcBorders>
              <w:top w:val="single" w:color="000000" w:sz="4" w:space="0"/>
              <w:left w:val="single" w:color="000000" w:sz="4" w:space="0"/>
              <w:bottom w:val="single" w:color="000000" w:sz="4" w:space="0"/>
              <w:right w:val="single" w:color="000000" w:sz="4" w:space="0"/>
            </w:tcBorders>
            <w:vAlign w:val="center"/>
          </w:tcPr>
          <w:p w14:paraId="4F2FF748">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7E2E5686">
            <w:pPr>
              <w:spacing w:line="240" w:lineRule="auto"/>
              <w:ind w:firstLine="0" w:firstLineChars="0"/>
              <w:jc w:val="center"/>
              <w:rPr>
                <w:rFonts w:cs="Times New Roman"/>
                <w:sz w:val="21"/>
                <w:szCs w:val="21"/>
              </w:rPr>
            </w:pPr>
            <w:r>
              <w:rPr>
                <w:rFonts w:cs="Times New Roman"/>
                <w:sz w:val="21"/>
                <w:szCs w:val="21"/>
              </w:rPr>
              <w:t>管控</w:t>
            </w:r>
          </w:p>
        </w:tc>
        <w:tc>
          <w:tcPr>
            <w:tcW w:w="628" w:type="pct"/>
            <w:tcBorders>
              <w:top w:val="single" w:color="000000" w:sz="4" w:space="0"/>
              <w:left w:val="single" w:color="000000" w:sz="4" w:space="0"/>
              <w:bottom w:val="single" w:color="000000" w:sz="4" w:space="0"/>
              <w:right w:val="single" w:color="000000" w:sz="4" w:space="0"/>
            </w:tcBorders>
            <w:vAlign w:val="center"/>
          </w:tcPr>
          <w:p w14:paraId="52BA5CEC">
            <w:pPr>
              <w:spacing w:line="240" w:lineRule="auto"/>
              <w:ind w:firstLine="0" w:firstLineChars="0"/>
              <w:jc w:val="center"/>
              <w:rPr>
                <w:rFonts w:cs="Times New Roman"/>
                <w:sz w:val="21"/>
                <w:szCs w:val="21"/>
              </w:rPr>
            </w:pPr>
            <w:r>
              <w:rPr>
                <w:rFonts w:cs="Times New Roman"/>
                <w:sz w:val="21"/>
                <w:szCs w:val="21"/>
              </w:rPr>
              <w:t>26</w:t>
            </w:r>
          </w:p>
        </w:tc>
        <w:tc>
          <w:tcPr>
            <w:tcW w:w="869" w:type="pct"/>
            <w:tcBorders>
              <w:top w:val="single" w:color="000000" w:sz="4" w:space="0"/>
              <w:left w:val="single" w:color="000000" w:sz="4" w:space="0"/>
              <w:bottom w:val="single" w:color="000000" w:sz="4" w:space="0"/>
              <w:right w:val="single" w:color="000000" w:sz="4" w:space="0"/>
            </w:tcBorders>
            <w:vAlign w:val="center"/>
          </w:tcPr>
          <w:p w14:paraId="528BA885">
            <w:pPr>
              <w:spacing w:line="240" w:lineRule="auto"/>
              <w:ind w:firstLine="0" w:firstLineChars="0"/>
              <w:jc w:val="center"/>
              <w:rPr>
                <w:rFonts w:cs="Times New Roman"/>
                <w:sz w:val="21"/>
                <w:szCs w:val="21"/>
              </w:rPr>
            </w:pPr>
            <w:r>
              <w:rPr>
                <w:rFonts w:cs="Times New Roman"/>
                <w:sz w:val="21"/>
                <w:szCs w:val="21"/>
              </w:rPr>
              <w:t>26</w:t>
            </w:r>
          </w:p>
        </w:tc>
      </w:tr>
      <w:tr w14:paraId="16B4133F">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50FCF14">
            <w:pPr>
              <w:spacing w:line="240" w:lineRule="auto"/>
              <w:ind w:firstLine="0" w:firstLineChars="0"/>
              <w:jc w:val="center"/>
              <w:rPr>
                <w:rFonts w:cs="Times New Roman"/>
                <w:sz w:val="21"/>
                <w:szCs w:val="21"/>
              </w:rPr>
            </w:pPr>
            <w:r>
              <w:rPr>
                <w:rFonts w:cs="Times New Roman"/>
                <w:sz w:val="21"/>
                <w:szCs w:val="21"/>
              </w:rPr>
              <w:t>90</w:t>
            </w:r>
          </w:p>
        </w:tc>
        <w:tc>
          <w:tcPr>
            <w:tcW w:w="784" w:type="pct"/>
            <w:tcBorders>
              <w:top w:val="single" w:color="000000" w:sz="4" w:space="0"/>
              <w:left w:val="single" w:color="000000" w:sz="4" w:space="0"/>
              <w:bottom w:val="single" w:color="000000" w:sz="4" w:space="0"/>
              <w:right w:val="single" w:color="000000" w:sz="4" w:space="0"/>
            </w:tcBorders>
            <w:vAlign w:val="center"/>
          </w:tcPr>
          <w:p w14:paraId="1A87F2DB">
            <w:pPr>
              <w:spacing w:line="240" w:lineRule="auto"/>
              <w:ind w:firstLine="0" w:firstLineChars="0"/>
              <w:jc w:val="center"/>
              <w:rPr>
                <w:rFonts w:cs="Times New Roman"/>
                <w:sz w:val="21"/>
                <w:szCs w:val="21"/>
              </w:rPr>
            </w:pPr>
            <w:r>
              <w:rPr>
                <w:rFonts w:cs="Times New Roman"/>
                <w:sz w:val="21"/>
                <w:szCs w:val="21"/>
              </w:rPr>
              <w:t>致和村</w:t>
            </w:r>
          </w:p>
        </w:tc>
        <w:tc>
          <w:tcPr>
            <w:tcW w:w="775" w:type="pct"/>
            <w:tcBorders>
              <w:top w:val="single" w:color="000000" w:sz="4" w:space="0"/>
              <w:left w:val="single" w:color="000000" w:sz="4" w:space="0"/>
              <w:bottom w:val="single" w:color="000000" w:sz="4" w:space="0"/>
              <w:right w:val="single" w:color="000000" w:sz="4" w:space="0"/>
            </w:tcBorders>
            <w:vAlign w:val="center"/>
          </w:tcPr>
          <w:p w14:paraId="6C7C8510">
            <w:pPr>
              <w:spacing w:line="240" w:lineRule="auto"/>
              <w:ind w:firstLine="0" w:firstLineChars="0"/>
              <w:jc w:val="center"/>
              <w:rPr>
                <w:rFonts w:cs="Times New Roman"/>
                <w:sz w:val="21"/>
                <w:szCs w:val="21"/>
              </w:rPr>
            </w:pPr>
            <w:r>
              <w:rPr>
                <w:rFonts w:cs="Times New Roman"/>
                <w:sz w:val="21"/>
                <w:szCs w:val="21"/>
              </w:rPr>
              <w:t>滕甲棚</w:t>
            </w:r>
          </w:p>
        </w:tc>
        <w:tc>
          <w:tcPr>
            <w:tcW w:w="765" w:type="pct"/>
            <w:tcBorders>
              <w:top w:val="single" w:color="000000" w:sz="4" w:space="0"/>
              <w:left w:val="single" w:color="000000" w:sz="4" w:space="0"/>
              <w:bottom w:val="single" w:color="000000" w:sz="4" w:space="0"/>
              <w:right w:val="single" w:color="000000" w:sz="4" w:space="0"/>
            </w:tcBorders>
            <w:vAlign w:val="center"/>
          </w:tcPr>
          <w:p w14:paraId="000997EC">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0B15FBCC">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65698A64">
            <w:pPr>
              <w:spacing w:line="240" w:lineRule="auto"/>
              <w:ind w:firstLine="0" w:firstLineChars="0"/>
              <w:jc w:val="center"/>
              <w:rPr>
                <w:rFonts w:cs="Times New Roman"/>
                <w:sz w:val="21"/>
                <w:szCs w:val="21"/>
              </w:rPr>
            </w:pPr>
            <w:r>
              <w:rPr>
                <w:rFonts w:cs="Times New Roman"/>
                <w:sz w:val="21"/>
                <w:szCs w:val="21"/>
              </w:rPr>
              <w:t>62</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CEEF830">
            <w:pPr>
              <w:spacing w:line="240" w:lineRule="auto"/>
              <w:ind w:firstLine="0" w:firstLineChars="0"/>
              <w:jc w:val="center"/>
              <w:rPr>
                <w:rFonts w:cs="Times New Roman"/>
                <w:sz w:val="21"/>
                <w:szCs w:val="21"/>
              </w:rPr>
            </w:pPr>
            <w:r>
              <w:rPr>
                <w:rFonts w:cs="Times New Roman"/>
                <w:sz w:val="21"/>
                <w:szCs w:val="21"/>
              </w:rPr>
              <w:t>56</w:t>
            </w:r>
          </w:p>
        </w:tc>
      </w:tr>
      <w:tr w14:paraId="321FC358">
        <w:tblPrEx>
          <w:tblCellMar>
            <w:top w:w="0" w:type="dxa"/>
            <w:left w:w="108" w:type="dxa"/>
            <w:bottom w:w="0" w:type="dxa"/>
            <w:right w:w="108" w:type="dxa"/>
          </w:tblCellMar>
        </w:tblPrEx>
        <w:trPr>
          <w:trHeight w:val="285" w:hRule="atLeast"/>
          <w:jc w:val="center"/>
        </w:trPr>
        <w:tc>
          <w:tcPr>
            <w:tcW w:w="373" w:type="pct"/>
            <w:tcBorders>
              <w:top w:val="single" w:color="000000" w:sz="4" w:space="0"/>
              <w:left w:val="single" w:color="000000" w:sz="4" w:space="0"/>
              <w:bottom w:val="single" w:color="000000" w:sz="4" w:space="0"/>
              <w:right w:val="single" w:color="000000" w:sz="4" w:space="0"/>
            </w:tcBorders>
            <w:noWrap/>
            <w:vAlign w:val="center"/>
          </w:tcPr>
          <w:p w14:paraId="15530825">
            <w:pPr>
              <w:spacing w:line="240" w:lineRule="auto"/>
              <w:ind w:firstLine="0" w:firstLineChars="0"/>
              <w:jc w:val="center"/>
              <w:rPr>
                <w:rFonts w:cs="Times New Roman"/>
                <w:sz w:val="21"/>
                <w:szCs w:val="21"/>
              </w:rPr>
            </w:pPr>
            <w:r>
              <w:rPr>
                <w:rFonts w:cs="Times New Roman"/>
                <w:sz w:val="21"/>
                <w:szCs w:val="21"/>
              </w:rPr>
              <w:t>91</w:t>
            </w:r>
          </w:p>
        </w:tc>
        <w:tc>
          <w:tcPr>
            <w:tcW w:w="784" w:type="pct"/>
            <w:tcBorders>
              <w:top w:val="single" w:color="000000" w:sz="4" w:space="0"/>
              <w:left w:val="single" w:color="000000" w:sz="4" w:space="0"/>
              <w:bottom w:val="single" w:color="000000" w:sz="4" w:space="0"/>
              <w:right w:val="single" w:color="000000" w:sz="4" w:space="0"/>
            </w:tcBorders>
            <w:vAlign w:val="center"/>
          </w:tcPr>
          <w:p w14:paraId="2D6C2605">
            <w:pPr>
              <w:spacing w:line="240" w:lineRule="auto"/>
              <w:ind w:firstLine="0" w:firstLineChars="0"/>
              <w:jc w:val="center"/>
              <w:rPr>
                <w:rFonts w:cs="Times New Roman"/>
                <w:sz w:val="21"/>
                <w:szCs w:val="21"/>
              </w:rPr>
            </w:pPr>
            <w:r>
              <w:rPr>
                <w:rFonts w:cs="Times New Roman"/>
                <w:sz w:val="21"/>
                <w:szCs w:val="21"/>
              </w:rPr>
              <w:t>致和村</w:t>
            </w:r>
          </w:p>
        </w:tc>
        <w:tc>
          <w:tcPr>
            <w:tcW w:w="775" w:type="pct"/>
            <w:tcBorders>
              <w:top w:val="single" w:color="000000" w:sz="4" w:space="0"/>
              <w:left w:val="single" w:color="000000" w:sz="4" w:space="0"/>
              <w:bottom w:val="single" w:color="000000" w:sz="4" w:space="0"/>
              <w:right w:val="single" w:color="000000" w:sz="4" w:space="0"/>
            </w:tcBorders>
            <w:vAlign w:val="center"/>
          </w:tcPr>
          <w:p w14:paraId="28FB5899">
            <w:pPr>
              <w:spacing w:line="240" w:lineRule="auto"/>
              <w:ind w:firstLine="0" w:firstLineChars="0"/>
              <w:jc w:val="center"/>
              <w:rPr>
                <w:rFonts w:cs="Times New Roman"/>
                <w:sz w:val="21"/>
                <w:szCs w:val="21"/>
              </w:rPr>
            </w:pPr>
            <w:r>
              <w:rPr>
                <w:rFonts w:cs="Times New Roman"/>
                <w:sz w:val="21"/>
                <w:szCs w:val="21"/>
              </w:rPr>
              <w:t>藤甲</w:t>
            </w:r>
          </w:p>
        </w:tc>
        <w:tc>
          <w:tcPr>
            <w:tcW w:w="765" w:type="pct"/>
            <w:tcBorders>
              <w:top w:val="single" w:color="000000" w:sz="4" w:space="0"/>
              <w:left w:val="single" w:color="000000" w:sz="4" w:space="0"/>
              <w:bottom w:val="single" w:color="000000" w:sz="4" w:space="0"/>
              <w:right w:val="single" w:color="000000" w:sz="4" w:space="0"/>
            </w:tcBorders>
            <w:vAlign w:val="center"/>
          </w:tcPr>
          <w:p w14:paraId="4D82A3B2">
            <w:pPr>
              <w:spacing w:line="240" w:lineRule="auto"/>
              <w:ind w:firstLine="0" w:firstLineChars="0"/>
              <w:jc w:val="center"/>
              <w:rPr>
                <w:rFonts w:cs="Times New Roman"/>
                <w:sz w:val="21"/>
                <w:szCs w:val="21"/>
              </w:rPr>
            </w:pPr>
            <w:r>
              <w:rPr>
                <w:rFonts w:cs="Times New Roman"/>
                <w:sz w:val="21"/>
                <w:szCs w:val="21"/>
              </w:rPr>
              <w:t>是</w:t>
            </w:r>
          </w:p>
        </w:tc>
        <w:tc>
          <w:tcPr>
            <w:tcW w:w="801" w:type="pct"/>
            <w:tcBorders>
              <w:top w:val="single" w:color="000000" w:sz="4" w:space="0"/>
              <w:left w:val="single" w:color="000000" w:sz="4" w:space="0"/>
              <w:bottom w:val="single" w:color="000000" w:sz="4" w:space="0"/>
              <w:right w:val="single" w:color="000000" w:sz="4" w:space="0"/>
            </w:tcBorders>
            <w:noWrap/>
            <w:vAlign w:val="center"/>
          </w:tcPr>
          <w:p w14:paraId="27CED3C2">
            <w:pPr>
              <w:spacing w:line="240" w:lineRule="auto"/>
              <w:ind w:firstLine="0" w:firstLineChars="0"/>
              <w:jc w:val="center"/>
              <w:rPr>
                <w:rFonts w:cs="Times New Roman"/>
                <w:sz w:val="21"/>
                <w:szCs w:val="21"/>
              </w:rPr>
            </w:pPr>
            <w:r>
              <w:rPr>
                <w:rFonts w:cs="Times New Roman"/>
                <w:sz w:val="21"/>
                <w:szCs w:val="21"/>
              </w:rPr>
              <w:t>设施</w:t>
            </w:r>
          </w:p>
        </w:tc>
        <w:tc>
          <w:tcPr>
            <w:tcW w:w="628" w:type="pct"/>
            <w:tcBorders>
              <w:top w:val="single" w:color="000000" w:sz="4" w:space="0"/>
              <w:left w:val="single" w:color="000000" w:sz="4" w:space="0"/>
              <w:bottom w:val="single" w:color="000000" w:sz="4" w:space="0"/>
              <w:right w:val="single" w:color="000000" w:sz="4" w:space="0"/>
            </w:tcBorders>
            <w:vAlign w:val="center"/>
          </w:tcPr>
          <w:p w14:paraId="449E8920">
            <w:pPr>
              <w:spacing w:line="240" w:lineRule="auto"/>
              <w:ind w:firstLine="0" w:firstLineChars="0"/>
              <w:jc w:val="center"/>
              <w:rPr>
                <w:rFonts w:cs="Times New Roman"/>
                <w:sz w:val="21"/>
                <w:szCs w:val="21"/>
              </w:rPr>
            </w:pPr>
            <w:r>
              <w:rPr>
                <w:rFonts w:cs="Times New Roman"/>
                <w:sz w:val="21"/>
                <w:szCs w:val="21"/>
              </w:rPr>
              <w:t>36</w:t>
            </w:r>
          </w:p>
        </w:tc>
        <w:tc>
          <w:tcPr>
            <w:tcW w:w="869" w:type="pct"/>
            <w:tcBorders>
              <w:top w:val="single" w:color="000000" w:sz="4" w:space="0"/>
              <w:left w:val="single" w:color="000000" w:sz="4" w:space="0"/>
              <w:bottom w:val="single" w:color="000000" w:sz="4" w:space="0"/>
              <w:right w:val="single" w:color="000000" w:sz="4" w:space="0"/>
            </w:tcBorders>
            <w:noWrap/>
            <w:vAlign w:val="center"/>
          </w:tcPr>
          <w:p w14:paraId="10FF6DB0">
            <w:pPr>
              <w:spacing w:line="240" w:lineRule="auto"/>
              <w:ind w:firstLine="0" w:firstLineChars="0"/>
              <w:jc w:val="center"/>
              <w:rPr>
                <w:rFonts w:cs="Times New Roman"/>
                <w:sz w:val="21"/>
                <w:szCs w:val="21"/>
              </w:rPr>
            </w:pPr>
            <w:r>
              <w:rPr>
                <w:rFonts w:cs="Times New Roman"/>
                <w:sz w:val="21"/>
                <w:szCs w:val="21"/>
              </w:rPr>
              <w:t>32</w:t>
            </w:r>
          </w:p>
        </w:tc>
      </w:tr>
    </w:tbl>
    <w:p w14:paraId="0795C89C">
      <w:pPr>
        <w:ind w:firstLine="480"/>
      </w:pPr>
      <w:r>
        <w:rPr>
          <w:rFonts w:hint="eastAsia"/>
        </w:rPr>
        <w:t>区域内共有农村分散处理设施34座，其中处理规模为20t/d以下的分散式污水处理设施8个，处理规模为20t/d及以上的集中式污水处理设施26个，总设计规模为986 t/d。具体见表3.4-7。</w:t>
      </w:r>
    </w:p>
    <w:p w14:paraId="183DC0A5">
      <w:pPr>
        <w:pStyle w:val="45"/>
        <w:rPr>
          <w:rFonts w:cs="Times New Roman"/>
        </w:rPr>
      </w:pPr>
      <w:r>
        <w:rPr>
          <w:rFonts w:cs="Times New Roman"/>
        </w:rPr>
        <w:t>表3.4-</w:t>
      </w:r>
      <w:r>
        <w:rPr>
          <w:rFonts w:hint="eastAsia" w:cs="Times New Roman"/>
        </w:rPr>
        <w:t>7</w:t>
      </w:r>
      <w:r>
        <w:rPr>
          <w:rFonts w:cs="Times New Roman"/>
        </w:rPr>
        <w:t xml:space="preserve">  </w:t>
      </w:r>
      <w:r>
        <w:rPr>
          <w:rFonts w:hint="eastAsia" w:cs="Times New Roman"/>
        </w:rPr>
        <w:t>农村</w:t>
      </w:r>
      <w:r>
        <w:rPr>
          <w:rFonts w:cs="Times New Roman"/>
        </w:rPr>
        <w:t>分散式污水收集处理规模统计表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1917"/>
        <w:gridCol w:w="1698"/>
        <w:gridCol w:w="1919"/>
        <w:gridCol w:w="1920"/>
      </w:tblGrid>
      <w:tr w14:paraId="13545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blHeader/>
        </w:trPr>
        <w:tc>
          <w:tcPr>
            <w:tcW w:w="625" w:type="pct"/>
            <w:noWrap/>
            <w:vAlign w:val="center"/>
          </w:tcPr>
          <w:p w14:paraId="141447B8">
            <w:pPr>
              <w:snapToGrid w:val="0"/>
              <w:spacing w:line="240" w:lineRule="auto"/>
              <w:ind w:firstLine="0" w:firstLineChars="0"/>
              <w:jc w:val="center"/>
              <w:rPr>
                <w:b/>
                <w:bCs/>
                <w:sz w:val="21"/>
                <w:szCs w:val="21"/>
              </w:rPr>
            </w:pPr>
            <w:r>
              <w:rPr>
                <w:rFonts w:hint="eastAsia"/>
                <w:b/>
                <w:bCs/>
                <w:sz w:val="21"/>
                <w:szCs w:val="21"/>
              </w:rPr>
              <w:t>序号</w:t>
            </w:r>
          </w:p>
        </w:tc>
        <w:tc>
          <w:tcPr>
            <w:tcW w:w="1125" w:type="pct"/>
            <w:noWrap/>
            <w:vAlign w:val="center"/>
          </w:tcPr>
          <w:p w14:paraId="69102626">
            <w:pPr>
              <w:snapToGrid w:val="0"/>
              <w:spacing w:line="240" w:lineRule="auto"/>
              <w:ind w:firstLine="0" w:firstLineChars="0"/>
              <w:jc w:val="center"/>
              <w:rPr>
                <w:b/>
                <w:bCs/>
                <w:sz w:val="21"/>
                <w:szCs w:val="21"/>
              </w:rPr>
            </w:pPr>
            <w:r>
              <w:rPr>
                <w:rFonts w:hint="eastAsia"/>
                <w:b/>
                <w:bCs/>
                <w:sz w:val="21"/>
                <w:szCs w:val="21"/>
              </w:rPr>
              <w:t>村庄名称</w:t>
            </w:r>
          </w:p>
        </w:tc>
        <w:tc>
          <w:tcPr>
            <w:tcW w:w="996" w:type="pct"/>
            <w:noWrap/>
            <w:vAlign w:val="center"/>
          </w:tcPr>
          <w:p w14:paraId="2B946483">
            <w:pPr>
              <w:snapToGrid w:val="0"/>
              <w:spacing w:line="240" w:lineRule="auto"/>
              <w:ind w:firstLine="0" w:firstLineChars="0"/>
              <w:jc w:val="center"/>
              <w:rPr>
                <w:b/>
                <w:bCs/>
                <w:sz w:val="21"/>
                <w:szCs w:val="21"/>
              </w:rPr>
            </w:pPr>
            <w:r>
              <w:rPr>
                <w:rFonts w:hint="eastAsia"/>
                <w:b/>
                <w:bCs/>
                <w:sz w:val="21"/>
                <w:szCs w:val="21"/>
              </w:rPr>
              <w:t>自然村名称</w:t>
            </w:r>
          </w:p>
        </w:tc>
        <w:tc>
          <w:tcPr>
            <w:tcW w:w="1126" w:type="pct"/>
            <w:noWrap/>
            <w:vAlign w:val="center"/>
          </w:tcPr>
          <w:p w14:paraId="76E0ADDC">
            <w:pPr>
              <w:snapToGrid w:val="0"/>
              <w:spacing w:line="240" w:lineRule="auto"/>
              <w:ind w:firstLine="0" w:firstLineChars="0"/>
              <w:jc w:val="center"/>
              <w:rPr>
                <w:b/>
                <w:bCs/>
                <w:sz w:val="21"/>
                <w:szCs w:val="21"/>
              </w:rPr>
            </w:pPr>
            <w:r>
              <w:rPr>
                <w:rFonts w:hint="eastAsia"/>
                <w:b/>
                <w:bCs/>
                <w:sz w:val="21"/>
                <w:szCs w:val="21"/>
              </w:rPr>
              <w:t>处理规模（t/d）</w:t>
            </w:r>
          </w:p>
        </w:tc>
        <w:tc>
          <w:tcPr>
            <w:tcW w:w="1126" w:type="pct"/>
            <w:noWrap/>
            <w:vAlign w:val="center"/>
          </w:tcPr>
          <w:p w14:paraId="247ABA93">
            <w:pPr>
              <w:snapToGrid w:val="0"/>
              <w:spacing w:line="240" w:lineRule="auto"/>
              <w:ind w:firstLine="0" w:firstLineChars="0"/>
              <w:jc w:val="center"/>
              <w:rPr>
                <w:b/>
                <w:bCs/>
                <w:sz w:val="21"/>
                <w:szCs w:val="21"/>
              </w:rPr>
            </w:pPr>
            <w:r>
              <w:rPr>
                <w:rFonts w:hint="eastAsia"/>
                <w:b/>
                <w:bCs/>
                <w:sz w:val="21"/>
                <w:szCs w:val="21"/>
              </w:rPr>
              <w:t>排放执行标准</w:t>
            </w:r>
          </w:p>
        </w:tc>
      </w:tr>
      <w:tr w14:paraId="23476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24C29DA7">
            <w:pPr>
              <w:snapToGrid w:val="0"/>
              <w:spacing w:line="240" w:lineRule="auto"/>
              <w:ind w:firstLine="0" w:firstLineChars="0"/>
              <w:jc w:val="center"/>
              <w:rPr>
                <w:sz w:val="21"/>
                <w:szCs w:val="21"/>
              </w:rPr>
            </w:pPr>
            <w:r>
              <w:rPr>
                <w:sz w:val="21"/>
                <w:szCs w:val="21"/>
              </w:rPr>
              <w:t>1</w:t>
            </w:r>
          </w:p>
        </w:tc>
        <w:tc>
          <w:tcPr>
            <w:tcW w:w="1125" w:type="pct"/>
            <w:noWrap/>
            <w:vAlign w:val="center"/>
          </w:tcPr>
          <w:p w14:paraId="5926D7F9">
            <w:pPr>
              <w:snapToGrid w:val="0"/>
              <w:spacing w:line="240" w:lineRule="auto"/>
              <w:ind w:firstLine="0" w:firstLineChars="0"/>
              <w:jc w:val="center"/>
              <w:rPr>
                <w:sz w:val="21"/>
                <w:szCs w:val="21"/>
              </w:rPr>
            </w:pPr>
            <w:r>
              <w:rPr>
                <w:sz w:val="21"/>
                <w:szCs w:val="21"/>
              </w:rPr>
              <w:t>方麓茶场</w:t>
            </w:r>
          </w:p>
        </w:tc>
        <w:tc>
          <w:tcPr>
            <w:tcW w:w="996" w:type="pct"/>
            <w:noWrap/>
            <w:vAlign w:val="center"/>
          </w:tcPr>
          <w:p w14:paraId="42385029">
            <w:pPr>
              <w:snapToGrid w:val="0"/>
              <w:spacing w:line="240" w:lineRule="auto"/>
              <w:ind w:firstLine="0" w:firstLineChars="0"/>
              <w:jc w:val="center"/>
              <w:rPr>
                <w:sz w:val="21"/>
                <w:szCs w:val="21"/>
              </w:rPr>
            </w:pPr>
            <w:r>
              <w:rPr>
                <w:sz w:val="21"/>
                <w:szCs w:val="21"/>
              </w:rPr>
              <w:t>方麓茶场五工区</w:t>
            </w:r>
          </w:p>
        </w:tc>
        <w:tc>
          <w:tcPr>
            <w:tcW w:w="1126" w:type="pct"/>
            <w:noWrap/>
            <w:vAlign w:val="center"/>
          </w:tcPr>
          <w:p w14:paraId="05681388">
            <w:pPr>
              <w:snapToGrid w:val="0"/>
              <w:spacing w:line="240" w:lineRule="auto"/>
              <w:ind w:firstLine="0" w:firstLineChars="0"/>
              <w:jc w:val="center"/>
              <w:rPr>
                <w:sz w:val="21"/>
                <w:szCs w:val="21"/>
              </w:rPr>
            </w:pPr>
            <w:r>
              <w:rPr>
                <w:sz w:val="21"/>
                <w:szCs w:val="21"/>
              </w:rPr>
              <w:t>30</w:t>
            </w:r>
          </w:p>
        </w:tc>
        <w:tc>
          <w:tcPr>
            <w:tcW w:w="1126" w:type="pct"/>
            <w:noWrap/>
            <w:vAlign w:val="center"/>
          </w:tcPr>
          <w:p w14:paraId="04C20BB2">
            <w:pPr>
              <w:snapToGrid w:val="0"/>
              <w:spacing w:line="240" w:lineRule="auto"/>
              <w:ind w:firstLine="0" w:firstLineChars="0"/>
              <w:jc w:val="center"/>
              <w:rPr>
                <w:sz w:val="21"/>
                <w:szCs w:val="21"/>
              </w:rPr>
            </w:pPr>
            <w:r>
              <w:rPr>
                <w:rFonts w:hint="eastAsia"/>
                <w:sz w:val="21"/>
                <w:szCs w:val="21"/>
              </w:rPr>
              <w:t>二级</w:t>
            </w:r>
          </w:p>
        </w:tc>
      </w:tr>
      <w:tr w14:paraId="1B801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04C07241">
            <w:pPr>
              <w:snapToGrid w:val="0"/>
              <w:spacing w:line="240" w:lineRule="auto"/>
              <w:ind w:firstLine="0" w:firstLineChars="0"/>
              <w:jc w:val="center"/>
              <w:rPr>
                <w:sz w:val="21"/>
                <w:szCs w:val="21"/>
              </w:rPr>
            </w:pPr>
            <w:r>
              <w:rPr>
                <w:sz w:val="21"/>
                <w:szCs w:val="21"/>
              </w:rPr>
              <w:t>2</w:t>
            </w:r>
          </w:p>
        </w:tc>
        <w:tc>
          <w:tcPr>
            <w:tcW w:w="1125" w:type="pct"/>
            <w:noWrap/>
            <w:vAlign w:val="center"/>
          </w:tcPr>
          <w:p w14:paraId="65EBD1CC">
            <w:pPr>
              <w:snapToGrid w:val="0"/>
              <w:spacing w:line="240" w:lineRule="auto"/>
              <w:ind w:firstLine="0" w:firstLineChars="0"/>
              <w:jc w:val="center"/>
              <w:rPr>
                <w:sz w:val="21"/>
                <w:szCs w:val="21"/>
              </w:rPr>
            </w:pPr>
            <w:r>
              <w:rPr>
                <w:sz w:val="21"/>
                <w:szCs w:val="21"/>
              </w:rPr>
              <w:t>方麓村</w:t>
            </w:r>
          </w:p>
        </w:tc>
        <w:tc>
          <w:tcPr>
            <w:tcW w:w="996" w:type="pct"/>
            <w:noWrap/>
            <w:vAlign w:val="center"/>
          </w:tcPr>
          <w:p w14:paraId="22DC6311">
            <w:pPr>
              <w:snapToGrid w:val="0"/>
              <w:spacing w:line="240" w:lineRule="auto"/>
              <w:ind w:firstLine="0" w:firstLineChars="0"/>
              <w:jc w:val="center"/>
              <w:rPr>
                <w:sz w:val="21"/>
                <w:szCs w:val="21"/>
              </w:rPr>
            </w:pPr>
            <w:r>
              <w:rPr>
                <w:sz w:val="21"/>
                <w:szCs w:val="21"/>
              </w:rPr>
              <w:t>陶家凹</w:t>
            </w:r>
          </w:p>
        </w:tc>
        <w:tc>
          <w:tcPr>
            <w:tcW w:w="1126" w:type="pct"/>
            <w:noWrap/>
            <w:vAlign w:val="center"/>
          </w:tcPr>
          <w:p w14:paraId="7BD1427D">
            <w:pPr>
              <w:snapToGrid w:val="0"/>
              <w:spacing w:line="240" w:lineRule="auto"/>
              <w:ind w:firstLine="0" w:firstLineChars="0"/>
              <w:jc w:val="center"/>
              <w:rPr>
                <w:sz w:val="21"/>
                <w:szCs w:val="21"/>
              </w:rPr>
            </w:pPr>
            <w:r>
              <w:rPr>
                <w:sz w:val="21"/>
                <w:szCs w:val="21"/>
              </w:rPr>
              <w:t>8</w:t>
            </w:r>
          </w:p>
        </w:tc>
        <w:tc>
          <w:tcPr>
            <w:tcW w:w="1126" w:type="pct"/>
            <w:noWrap/>
            <w:vAlign w:val="center"/>
          </w:tcPr>
          <w:p w14:paraId="25F0A1E9">
            <w:pPr>
              <w:snapToGrid w:val="0"/>
              <w:spacing w:line="240" w:lineRule="auto"/>
              <w:ind w:firstLine="0" w:firstLineChars="0"/>
              <w:jc w:val="center"/>
              <w:rPr>
                <w:sz w:val="21"/>
                <w:szCs w:val="21"/>
              </w:rPr>
            </w:pPr>
            <w:r>
              <w:rPr>
                <w:rFonts w:hint="eastAsia"/>
                <w:sz w:val="21"/>
                <w:szCs w:val="21"/>
              </w:rPr>
              <w:t>三级</w:t>
            </w:r>
          </w:p>
        </w:tc>
      </w:tr>
      <w:tr w14:paraId="151FD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1CB444E7">
            <w:pPr>
              <w:snapToGrid w:val="0"/>
              <w:spacing w:line="240" w:lineRule="auto"/>
              <w:ind w:firstLine="0" w:firstLineChars="0"/>
              <w:jc w:val="center"/>
              <w:rPr>
                <w:sz w:val="21"/>
                <w:szCs w:val="21"/>
              </w:rPr>
            </w:pPr>
            <w:r>
              <w:rPr>
                <w:sz w:val="21"/>
                <w:szCs w:val="21"/>
              </w:rPr>
              <w:t>3</w:t>
            </w:r>
          </w:p>
        </w:tc>
        <w:tc>
          <w:tcPr>
            <w:tcW w:w="1125" w:type="pct"/>
            <w:noWrap/>
            <w:vAlign w:val="center"/>
          </w:tcPr>
          <w:p w14:paraId="4AC40A57">
            <w:pPr>
              <w:snapToGrid w:val="0"/>
              <w:spacing w:line="240" w:lineRule="auto"/>
              <w:ind w:firstLine="0" w:firstLineChars="0"/>
              <w:jc w:val="center"/>
              <w:rPr>
                <w:sz w:val="21"/>
                <w:szCs w:val="21"/>
              </w:rPr>
            </w:pPr>
            <w:r>
              <w:rPr>
                <w:sz w:val="21"/>
                <w:szCs w:val="21"/>
              </w:rPr>
              <w:t>山蓬村</w:t>
            </w:r>
          </w:p>
        </w:tc>
        <w:tc>
          <w:tcPr>
            <w:tcW w:w="996" w:type="pct"/>
            <w:noWrap/>
            <w:vAlign w:val="center"/>
          </w:tcPr>
          <w:p w14:paraId="5DCD7CD4">
            <w:pPr>
              <w:snapToGrid w:val="0"/>
              <w:spacing w:line="240" w:lineRule="auto"/>
              <w:ind w:firstLine="0" w:firstLineChars="0"/>
              <w:jc w:val="center"/>
              <w:rPr>
                <w:sz w:val="21"/>
                <w:szCs w:val="21"/>
              </w:rPr>
            </w:pPr>
            <w:r>
              <w:rPr>
                <w:sz w:val="21"/>
                <w:szCs w:val="21"/>
              </w:rPr>
              <w:t>涧南</w:t>
            </w:r>
          </w:p>
        </w:tc>
        <w:tc>
          <w:tcPr>
            <w:tcW w:w="1126" w:type="pct"/>
            <w:noWrap/>
            <w:vAlign w:val="center"/>
          </w:tcPr>
          <w:p w14:paraId="2F3AA6F6">
            <w:pPr>
              <w:snapToGrid w:val="0"/>
              <w:spacing w:line="240" w:lineRule="auto"/>
              <w:ind w:firstLine="0" w:firstLineChars="0"/>
              <w:jc w:val="center"/>
              <w:rPr>
                <w:sz w:val="21"/>
                <w:szCs w:val="21"/>
              </w:rPr>
            </w:pPr>
            <w:r>
              <w:rPr>
                <w:sz w:val="21"/>
                <w:szCs w:val="21"/>
              </w:rPr>
              <w:t>30</w:t>
            </w:r>
          </w:p>
        </w:tc>
        <w:tc>
          <w:tcPr>
            <w:tcW w:w="1126" w:type="pct"/>
            <w:noWrap/>
            <w:vAlign w:val="center"/>
          </w:tcPr>
          <w:p w14:paraId="7823EBF4">
            <w:pPr>
              <w:snapToGrid w:val="0"/>
              <w:spacing w:line="240" w:lineRule="auto"/>
              <w:ind w:firstLine="0" w:firstLineChars="0"/>
              <w:jc w:val="center"/>
              <w:rPr>
                <w:sz w:val="21"/>
                <w:szCs w:val="21"/>
              </w:rPr>
            </w:pPr>
            <w:r>
              <w:rPr>
                <w:rFonts w:hint="eastAsia"/>
                <w:sz w:val="21"/>
                <w:szCs w:val="21"/>
              </w:rPr>
              <w:t>二级</w:t>
            </w:r>
          </w:p>
        </w:tc>
      </w:tr>
      <w:tr w14:paraId="21349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02CE5F6A">
            <w:pPr>
              <w:snapToGrid w:val="0"/>
              <w:spacing w:line="240" w:lineRule="auto"/>
              <w:ind w:firstLine="0" w:firstLineChars="0"/>
              <w:jc w:val="center"/>
              <w:rPr>
                <w:sz w:val="21"/>
                <w:szCs w:val="21"/>
              </w:rPr>
            </w:pPr>
            <w:r>
              <w:rPr>
                <w:sz w:val="21"/>
                <w:szCs w:val="21"/>
              </w:rPr>
              <w:t>4</w:t>
            </w:r>
          </w:p>
        </w:tc>
        <w:tc>
          <w:tcPr>
            <w:tcW w:w="1125" w:type="pct"/>
            <w:noWrap/>
            <w:vAlign w:val="center"/>
          </w:tcPr>
          <w:p w14:paraId="422F092D">
            <w:pPr>
              <w:snapToGrid w:val="0"/>
              <w:spacing w:line="240" w:lineRule="auto"/>
              <w:ind w:firstLine="0" w:firstLineChars="0"/>
              <w:jc w:val="center"/>
              <w:rPr>
                <w:sz w:val="21"/>
                <w:szCs w:val="21"/>
              </w:rPr>
            </w:pPr>
            <w:r>
              <w:rPr>
                <w:sz w:val="21"/>
                <w:szCs w:val="21"/>
              </w:rPr>
              <w:t>山蓬村</w:t>
            </w:r>
          </w:p>
        </w:tc>
        <w:tc>
          <w:tcPr>
            <w:tcW w:w="996" w:type="pct"/>
            <w:noWrap/>
            <w:vAlign w:val="center"/>
          </w:tcPr>
          <w:p w14:paraId="217FC883">
            <w:pPr>
              <w:snapToGrid w:val="0"/>
              <w:spacing w:line="240" w:lineRule="auto"/>
              <w:ind w:firstLine="0" w:firstLineChars="0"/>
              <w:jc w:val="center"/>
              <w:rPr>
                <w:sz w:val="21"/>
                <w:szCs w:val="21"/>
              </w:rPr>
            </w:pPr>
            <w:r>
              <w:rPr>
                <w:sz w:val="21"/>
                <w:szCs w:val="21"/>
              </w:rPr>
              <w:t>山棚</w:t>
            </w:r>
          </w:p>
        </w:tc>
        <w:tc>
          <w:tcPr>
            <w:tcW w:w="1126" w:type="pct"/>
            <w:noWrap/>
            <w:vAlign w:val="center"/>
          </w:tcPr>
          <w:p w14:paraId="3E3C06CF">
            <w:pPr>
              <w:snapToGrid w:val="0"/>
              <w:spacing w:line="240" w:lineRule="auto"/>
              <w:ind w:firstLine="0" w:firstLineChars="0"/>
              <w:jc w:val="center"/>
              <w:rPr>
                <w:sz w:val="21"/>
                <w:szCs w:val="21"/>
              </w:rPr>
            </w:pPr>
            <w:r>
              <w:rPr>
                <w:sz w:val="21"/>
                <w:szCs w:val="21"/>
              </w:rPr>
              <w:t>20</w:t>
            </w:r>
          </w:p>
        </w:tc>
        <w:tc>
          <w:tcPr>
            <w:tcW w:w="1126" w:type="pct"/>
            <w:noWrap/>
            <w:vAlign w:val="center"/>
          </w:tcPr>
          <w:p w14:paraId="1FDDF60A">
            <w:pPr>
              <w:snapToGrid w:val="0"/>
              <w:spacing w:line="240" w:lineRule="auto"/>
              <w:ind w:firstLine="0" w:firstLineChars="0"/>
              <w:jc w:val="center"/>
              <w:rPr>
                <w:sz w:val="21"/>
                <w:szCs w:val="21"/>
              </w:rPr>
            </w:pPr>
            <w:r>
              <w:rPr>
                <w:rFonts w:hint="eastAsia"/>
                <w:sz w:val="21"/>
                <w:szCs w:val="21"/>
              </w:rPr>
              <w:t>二级</w:t>
            </w:r>
          </w:p>
        </w:tc>
      </w:tr>
      <w:tr w14:paraId="1BAD4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78D22F4A">
            <w:pPr>
              <w:snapToGrid w:val="0"/>
              <w:spacing w:line="240" w:lineRule="auto"/>
              <w:ind w:firstLine="0" w:firstLineChars="0"/>
              <w:jc w:val="center"/>
              <w:rPr>
                <w:sz w:val="21"/>
                <w:szCs w:val="21"/>
              </w:rPr>
            </w:pPr>
            <w:r>
              <w:rPr>
                <w:sz w:val="21"/>
                <w:szCs w:val="21"/>
              </w:rPr>
              <w:t>5</w:t>
            </w:r>
          </w:p>
        </w:tc>
        <w:tc>
          <w:tcPr>
            <w:tcW w:w="1125" w:type="pct"/>
            <w:noWrap/>
            <w:vAlign w:val="center"/>
          </w:tcPr>
          <w:p w14:paraId="326D1E8C">
            <w:pPr>
              <w:snapToGrid w:val="0"/>
              <w:spacing w:line="240" w:lineRule="auto"/>
              <w:ind w:firstLine="0" w:firstLineChars="0"/>
              <w:jc w:val="center"/>
              <w:rPr>
                <w:sz w:val="21"/>
                <w:szCs w:val="21"/>
              </w:rPr>
            </w:pPr>
            <w:r>
              <w:rPr>
                <w:sz w:val="21"/>
                <w:szCs w:val="21"/>
              </w:rPr>
              <w:t>山蓬村</w:t>
            </w:r>
          </w:p>
        </w:tc>
        <w:tc>
          <w:tcPr>
            <w:tcW w:w="996" w:type="pct"/>
            <w:noWrap/>
            <w:vAlign w:val="center"/>
          </w:tcPr>
          <w:p w14:paraId="1F39B3A8">
            <w:pPr>
              <w:snapToGrid w:val="0"/>
              <w:spacing w:line="240" w:lineRule="auto"/>
              <w:ind w:firstLine="0" w:firstLineChars="0"/>
              <w:jc w:val="center"/>
              <w:rPr>
                <w:sz w:val="21"/>
                <w:szCs w:val="21"/>
              </w:rPr>
            </w:pPr>
            <w:r>
              <w:rPr>
                <w:sz w:val="21"/>
                <w:szCs w:val="21"/>
              </w:rPr>
              <w:t>沈庄</w:t>
            </w:r>
          </w:p>
        </w:tc>
        <w:tc>
          <w:tcPr>
            <w:tcW w:w="1126" w:type="pct"/>
            <w:noWrap/>
            <w:vAlign w:val="center"/>
          </w:tcPr>
          <w:p w14:paraId="03AE02DC">
            <w:pPr>
              <w:snapToGrid w:val="0"/>
              <w:spacing w:line="240" w:lineRule="auto"/>
              <w:ind w:firstLine="0" w:firstLineChars="0"/>
              <w:jc w:val="center"/>
              <w:rPr>
                <w:sz w:val="21"/>
                <w:szCs w:val="21"/>
              </w:rPr>
            </w:pPr>
            <w:r>
              <w:rPr>
                <w:sz w:val="21"/>
                <w:szCs w:val="21"/>
              </w:rPr>
              <w:t>30</w:t>
            </w:r>
          </w:p>
        </w:tc>
        <w:tc>
          <w:tcPr>
            <w:tcW w:w="1126" w:type="pct"/>
            <w:noWrap/>
            <w:vAlign w:val="center"/>
          </w:tcPr>
          <w:p w14:paraId="45B068B2">
            <w:pPr>
              <w:snapToGrid w:val="0"/>
              <w:spacing w:line="240" w:lineRule="auto"/>
              <w:ind w:firstLine="0" w:firstLineChars="0"/>
              <w:jc w:val="center"/>
              <w:rPr>
                <w:sz w:val="21"/>
                <w:szCs w:val="21"/>
              </w:rPr>
            </w:pPr>
            <w:r>
              <w:rPr>
                <w:rFonts w:hint="eastAsia"/>
                <w:sz w:val="21"/>
                <w:szCs w:val="21"/>
              </w:rPr>
              <w:t>二级</w:t>
            </w:r>
          </w:p>
        </w:tc>
      </w:tr>
      <w:tr w14:paraId="5EAB1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6164AB26">
            <w:pPr>
              <w:snapToGrid w:val="0"/>
              <w:spacing w:line="240" w:lineRule="auto"/>
              <w:ind w:firstLine="0" w:firstLineChars="0"/>
              <w:jc w:val="center"/>
              <w:rPr>
                <w:sz w:val="21"/>
                <w:szCs w:val="21"/>
              </w:rPr>
            </w:pPr>
            <w:r>
              <w:rPr>
                <w:sz w:val="21"/>
                <w:szCs w:val="21"/>
              </w:rPr>
              <w:t>6</w:t>
            </w:r>
          </w:p>
        </w:tc>
        <w:tc>
          <w:tcPr>
            <w:tcW w:w="1125" w:type="pct"/>
            <w:noWrap/>
            <w:vAlign w:val="center"/>
          </w:tcPr>
          <w:p w14:paraId="6E06AF83">
            <w:pPr>
              <w:snapToGrid w:val="0"/>
              <w:spacing w:line="240" w:lineRule="auto"/>
              <w:ind w:firstLine="0" w:firstLineChars="0"/>
              <w:jc w:val="center"/>
              <w:rPr>
                <w:sz w:val="21"/>
                <w:szCs w:val="21"/>
              </w:rPr>
            </w:pPr>
            <w:r>
              <w:rPr>
                <w:sz w:val="21"/>
                <w:szCs w:val="21"/>
              </w:rPr>
              <w:t>山蓬村</w:t>
            </w:r>
          </w:p>
        </w:tc>
        <w:tc>
          <w:tcPr>
            <w:tcW w:w="996" w:type="pct"/>
            <w:noWrap/>
            <w:vAlign w:val="center"/>
          </w:tcPr>
          <w:p w14:paraId="11882536">
            <w:pPr>
              <w:snapToGrid w:val="0"/>
              <w:spacing w:line="240" w:lineRule="auto"/>
              <w:ind w:firstLine="0" w:firstLineChars="0"/>
              <w:jc w:val="center"/>
              <w:rPr>
                <w:sz w:val="21"/>
                <w:szCs w:val="21"/>
              </w:rPr>
            </w:pPr>
            <w:r>
              <w:rPr>
                <w:sz w:val="21"/>
                <w:szCs w:val="21"/>
              </w:rPr>
              <w:t>下庄</w:t>
            </w:r>
          </w:p>
        </w:tc>
        <w:tc>
          <w:tcPr>
            <w:tcW w:w="1126" w:type="pct"/>
            <w:noWrap/>
            <w:vAlign w:val="center"/>
          </w:tcPr>
          <w:p w14:paraId="2F083C65">
            <w:pPr>
              <w:snapToGrid w:val="0"/>
              <w:spacing w:line="240" w:lineRule="auto"/>
              <w:ind w:firstLine="0" w:firstLineChars="0"/>
              <w:jc w:val="center"/>
              <w:rPr>
                <w:sz w:val="21"/>
                <w:szCs w:val="21"/>
              </w:rPr>
            </w:pPr>
            <w:r>
              <w:rPr>
                <w:sz w:val="21"/>
                <w:szCs w:val="21"/>
              </w:rPr>
              <w:t>40</w:t>
            </w:r>
          </w:p>
        </w:tc>
        <w:tc>
          <w:tcPr>
            <w:tcW w:w="1126" w:type="pct"/>
            <w:noWrap/>
            <w:vAlign w:val="center"/>
          </w:tcPr>
          <w:p w14:paraId="6A01B5DF">
            <w:pPr>
              <w:snapToGrid w:val="0"/>
              <w:spacing w:line="240" w:lineRule="auto"/>
              <w:ind w:firstLine="0" w:firstLineChars="0"/>
              <w:jc w:val="center"/>
              <w:rPr>
                <w:sz w:val="21"/>
                <w:szCs w:val="21"/>
              </w:rPr>
            </w:pPr>
            <w:r>
              <w:rPr>
                <w:rFonts w:hint="eastAsia"/>
                <w:sz w:val="21"/>
                <w:szCs w:val="21"/>
              </w:rPr>
              <w:t>二级</w:t>
            </w:r>
          </w:p>
        </w:tc>
      </w:tr>
      <w:tr w14:paraId="22B86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654268E1">
            <w:pPr>
              <w:snapToGrid w:val="0"/>
              <w:spacing w:line="240" w:lineRule="auto"/>
              <w:ind w:firstLine="0" w:firstLineChars="0"/>
              <w:jc w:val="center"/>
              <w:rPr>
                <w:sz w:val="21"/>
                <w:szCs w:val="21"/>
              </w:rPr>
            </w:pPr>
            <w:r>
              <w:rPr>
                <w:sz w:val="21"/>
                <w:szCs w:val="21"/>
              </w:rPr>
              <w:t>7</w:t>
            </w:r>
          </w:p>
        </w:tc>
        <w:tc>
          <w:tcPr>
            <w:tcW w:w="1125" w:type="pct"/>
            <w:noWrap/>
            <w:vAlign w:val="center"/>
          </w:tcPr>
          <w:p w14:paraId="3FBE63C5">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060642DA">
            <w:pPr>
              <w:snapToGrid w:val="0"/>
              <w:spacing w:line="240" w:lineRule="auto"/>
              <w:ind w:firstLine="0" w:firstLineChars="0"/>
              <w:jc w:val="center"/>
              <w:rPr>
                <w:sz w:val="21"/>
                <w:szCs w:val="21"/>
              </w:rPr>
            </w:pPr>
            <w:r>
              <w:rPr>
                <w:sz w:val="21"/>
                <w:szCs w:val="21"/>
              </w:rPr>
              <w:t>扁墩头</w:t>
            </w:r>
          </w:p>
        </w:tc>
        <w:tc>
          <w:tcPr>
            <w:tcW w:w="1126" w:type="pct"/>
            <w:noWrap/>
            <w:vAlign w:val="center"/>
          </w:tcPr>
          <w:p w14:paraId="393F6735">
            <w:pPr>
              <w:snapToGrid w:val="0"/>
              <w:spacing w:line="240" w:lineRule="auto"/>
              <w:ind w:firstLine="0" w:firstLineChars="0"/>
              <w:jc w:val="center"/>
              <w:rPr>
                <w:sz w:val="21"/>
                <w:szCs w:val="21"/>
              </w:rPr>
            </w:pPr>
            <w:r>
              <w:rPr>
                <w:sz w:val="21"/>
                <w:szCs w:val="21"/>
              </w:rPr>
              <w:t>40</w:t>
            </w:r>
          </w:p>
        </w:tc>
        <w:tc>
          <w:tcPr>
            <w:tcW w:w="1126" w:type="pct"/>
            <w:noWrap/>
            <w:vAlign w:val="center"/>
          </w:tcPr>
          <w:p w14:paraId="50673711">
            <w:pPr>
              <w:snapToGrid w:val="0"/>
              <w:spacing w:line="240" w:lineRule="auto"/>
              <w:ind w:firstLine="0" w:firstLineChars="0"/>
              <w:jc w:val="center"/>
              <w:rPr>
                <w:sz w:val="21"/>
                <w:szCs w:val="21"/>
              </w:rPr>
            </w:pPr>
            <w:r>
              <w:rPr>
                <w:rFonts w:hint="eastAsia"/>
                <w:sz w:val="21"/>
                <w:szCs w:val="21"/>
              </w:rPr>
              <w:t>二级</w:t>
            </w:r>
          </w:p>
        </w:tc>
      </w:tr>
      <w:tr w14:paraId="7FE4C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17491E4D">
            <w:pPr>
              <w:snapToGrid w:val="0"/>
              <w:spacing w:line="240" w:lineRule="auto"/>
              <w:ind w:firstLine="0" w:firstLineChars="0"/>
              <w:jc w:val="center"/>
              <w:rPr>
                <w:sz w:val="21"/>
                <w:szCs w:val="21"/>
              </w:rPr>
            </w:pPr>
            <w:r>
              <w:rPr>
                <w:sz w:val="21"/>
                <w:szCs w:val="21"/>
              </w:rPr>
              <w:t>8</w:t>
            </w:r>
          </w:p>
        </w:tc>
        <w:tc>
          <w:tcPr>
            <w:tcW w:w="1125" w:type="pct"/>
            <w:noWrap/>
            <w:vAlign w:val="center"/>
          </w:tcPr>
          <w:p w14:paraId="6B1C1CB4">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30861017">
            <w:pPr>
              <w:snapToGrid w:val="0"/>
              <w:spacing w:line="240" w:lineRule="auto"/>
              <w:ind w:firstLine="0" w:firstLineChars="0"/>
              <w:jc w:val="center"/>
              <w:rPr>
                <w:sz w:val="21"/>
                <w:szCs w:val="21"/>
              </w:rPr>
            </w:pPr>
            <w:r>
              <w:rPr>
                <w:sz w:val="21"/>
                <w:szCs w:val="21"/>
              </w:rPr>
              <w:t>赤岗</w:t>
            </w:r>
          </w:p>
        </w:tc>
        <w:tc>
          <w:tcPr>
            <w:tcW w:w="1126" w:type="pct"/>
            <w:noWrap/>
            <w:vAlign w:val="center"/>
          </w:tcPr>
          <w:p w14:paraId="22240F02">
            <w:pPr>
              <w:snapToGrid w:val="0"/>
              <w:spacing w:line="240" w:lineRule="auto"/>
              <w:ind w:firstLine="0" w:firstLineChars="0"/>
              <w:jc w:val="center"/>
              <w:rPr>
                <w:sz w:val="21"/>
                <w:szCs w:val="21"/>
              </w:rPr>
            </w:pPr>
            <w:r>
              <w:rPr>
                <w:sz w:val="21"/>
                <w:szCs w:val="21"/>
              </w:rPr>
              <w:t>20</w:t>
            </w:r>
          </w:p>
        </w:tc>
        <w:tc>
          <w:tcPr>
            <w:tcW w:w="1126" w:type="pct"/>
            <w:noWrap/>
            <w:vAlign w:val="center"/>
          </w:tcPr>
          <w:p w14:paraId="5C609299">
            <w:pPr>
              <w:snapToGrid w:val="0"/>
              <w:spacing w:line="240" w:lineRule="auto"/>
              <w:ind w:firstLine="0" w:firstLineChars="0"/>
              <w:jc w:val="center"/>
              <w:rPr>
                <w:sz w:val="21"/>
                <w:szCs w:val="21"/>
              </w:rPr>
            </w:pPr>
            <w:r>
              <w:rPr>
                <w:rFonts w:hint="eastAsia"/>
                <w:sz w:val="21"/>
                <w:szCs w:val="21"/>
              </w:rPr>
              <w:t>二级</w:t>
            </w:r>
          </w:p>
        </w:tc>
      </w:tr>
      <w:tr w14:paraId="7A0EB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07A7B4E5">
            <w:pPr>
              <w:snapToGrid w:val="0"/>
              <w:spacing w:line="240" w:lineRule="auto"/>
              <w:ind w:firstLine="0" w:firstLineChars="0"/>
              <w:jc w:val="center"/>
              <w:rPr>
                <w:sz w:val="21"/>
                <w:szCs w:val="21"/>
              </w:rPr>
            </w:pPr>
            <w:r>
              <w:rPr>
                <w:sz w:val="21"/>
                <w:szCs w:val="21"/>
              </w:rPr>
              <w:t>9</w:t>
            </w:r>
          </w:p>
        </w:tc>
        <w:tc>
          <w:tcPr>
            <w:tcW w:w="1125" w:type="pct"/>
            <w:noWrap/>
            <w:vAlign w:val="center"/>
          </w:tcPr>
          <w:p w14:paraId="47D36093">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132CC7C3">
            <w:pPr>
              <w:snapToGrid w:val="0"/>
              <w:spacing w:line="240" w:lineRule="auto"/>
              <w:ind w:firstLine="0" w:firstLineChars="0"/>
              <w:jc w:val="center"/>
              <w:rPr>
                <w:sz w:val="21"/>
                <w:szCs w:val="21"/>
              </w:rPr>
            </w:pPr>
            <w:r>
              <w:rPr>
                <w:sz w:val="21"/>
                <w:szCs w:val="21"/>
              </w:rPr>
              <w:t>赤岗</w:t>
            </w:r>
          </w:p>
        </w:tc>
        <w:tc>
          <w:tcPr>
            <w:tcW w:w="1126" w:type="pct"/>
            <w:noWrap/>
            <w:vAlign w:val="center"/>
          </w:tcPr>
          <w:p w14:paraId="37F84DF2">
            <w:pPr>
              <w:snapToGrid w:val="0"/>
              <w:spacing w:line="240" w:lineRule="auto"/>
              <w:ind w:firstLine="0" w:firstLineChars="0"/>
              <w:jc w:val="center"/>
              <w:rPr>
                <w:sz w:val="21"/>
                <w:szCs w:val="21"/>
              </w:rPr>
            </w:pPr>
            <w:r>
              <w:rPr>
                <w:sz w:val="21"/>
                <w:szCs w:val="21"/>
              </w:rPr>
              <w:t>50</w:t>
            </w:r>
          </w:p>
        </w:tc>
        <w:tc>
          <w:tcPr>
            <w:tcW w:w="1126" w:type="pct"/>
            <w:noWrap/>
            <w:vAlign w:val="center"/>
          </w:tcPr>
          <w:p w14:paraId="4BD3090A">
            <w:pPr>
              <w:snapToGrid w:val="0"/>
              <w:spacing w:line="240" w:lineRule="auto"/>
              <w:ind w:firstLine="0" w:firstLineChars="0"/>
              <w:jc w:val="center"/>
              <w:rPr>
                <w:sz w:val="21"/>
                <w:szCs w:val="21"/>
              </w:rPr>
            </w:pPr>
            <w:r>
              <w:rPr>
                <w:rFonts w:hint="eastAsia"/>
                <w:sz w:val="21"/>
                <w:szCs w:val="21"/>
              </w:rPr>
              <w:t>二级</w:t>
            </w:r>
          </w:p>
        </w:tc>
      </w:tr>
      <w:tr w14:paraId="64D3A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2107356B">
            <w:pPr>
              <w:snapToGrid w:val="0"/>
              <w:spacing w:line="240" w:lineRule="auto"/>
              <w:ind w:firstLine="0" w:firstLineChars="0"/>
              <w:jc w:val="center"/>
              <w:rPr>
                <w:sz w:val="21"/>
                <w:szCs w:val="21"/>
              </w:rPr>
            </w:pPr>
            <w:r>
              <w:rPr>
                <w:sz w:val="21"/>
                <w:szCs w:val="21"/>
              </w:rPr>
              <w:t>10</w:t>
            </w:r>
          </w:p>
        </w:tc>
        <w:tc>
          <w:tcPr>
            <w:tcW w:w="1125" w:type="pct"/>
            <w:noWrap/>
            <w:vAlign w:val="center"/>
          </w:tcPr>
          <w:p w14:paraId="2C99206A">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097D547C">
            <w:pPr>
              <w:snapToGrid w:val="0"/>
              <w:spacing w:line="240" w:lineRule="auto"/>
              <w:ind w:firstLine="0" w:firstLineChars="0"/>
              <w:jc w:val="center"/>
              <w:rPr>
                <w:sz w:val="21"/>
                <w:szCs w:val="21"/>
              </w:rPr>
            </w:pPr>
            <w:r>
              <w:rPr>
                <w:sz w:val="21"/>
                <w:szCs w:val="21"/>
              </w:rPr>
              <w:t>杨庄</w:t>
            </w:r>
          </w:p>
        </w:tc>
        <w:tc>
          <w:tcPr>
            <w:tcW w:w="1126" w:type="pct"/>
            <w:noWrap/>
            <w:vAlign w:val="center"/>
          </w:tcPr>
          <w:p w14:paraId="281EC196">
            <w:pPr>
              <w:snapToGrid w:val="0"/>
              <w:spacing w:line="240" w:lineRule="auto"/>
              <w:ind w:firstLine="0" w:firstLineChars="0"/>
              <w:jc w:val="center"/>
              <w:rPr>
                <w:sz w:val="21"/>
                <w:szCs w:val="21"/>
              </w:rPr>
            </w:pPr>
            <w:r>
              <w:rPr>
                <w:sz w:val="21"/>
                <w:szCs w:val="21"/>
              </w:rPr>
              <w:t>10</w:t>
            </w:r>
          </w:p>
        </w:tc>
        <w:tc>
          <w:tcPr>
            <w:tcW w:w="1126" w:type="pct"/>
            <w:noWrap/>
            <w:vAlign w:val="center"/>
          </w:tcPr>
          <w:p w14:paraId="3EF5553C">
            <w:pPr>
              <w:snapToGrid w:val="0"/>
              <w:spacing w:line="240" w:lineRule="auto"/>
              <w:ind w:firstLine="0" w:firstLineChars="0"/>
              <w:jc w:val="center"/>
              <w:rPr>
                <w:sz w:val="21"/>
                <w:szCs w:val="21"/>
              </w:rPr>
            </w:pPr>
            <w:r>
              <w:rPr>
                <w:rFonts w:hint="eastAsia"/>
                <w:sz w:val="21"/>
                <w:szCs w:val="21"/>
              </w:rPr>
              <w:t>三级</w:t>
            </w:r>
          </w:p>
        </w:tc>
      </w:tr>
      <w:tr w14:paraId="15956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277C2C9E">
            <w:pPr>
              <w:snapToGrid w:val="0"/>
              <w:spacing w:line="240" w:lineRule="auto"/>
              <w:ind w:firstLine="0" w:firstLineChars="0"/>
              <w:jc w:val="center"/>
              <w:rPr>
                <w:sz w:val="21"/>
                <w:szCs w:val="21"/>
              </w:rPr>
            </w:pPr>
            <w:r>
              <w:rPr>
                <w:sz w:val="21"/>
                <w:szCs w:val="21"/>
              </w:rPr>
              <w:t>11</w:t>
            </w:r>
          </w:p>
        </w:tc>
        <w:tc>
          <w:tcPr>
            <w:tcW w:w="1125" w:type="pct"/>
            <w:noWrap/>
            <w:vAlign w:val="center"/>
          </w:tcPr>
          <w:p w14:paraId="61C85E39">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5ED38CB8">
            <w:pPr>
              <w:snapToGrid w:val="0"/>
              <w:spacing w:line="240" w:lineRule="auto"/>
              <w:ind w:firstLine="0" w:firstLineChars="0"/>
              <w:jc w:val="center"/>
              <w:rPr>
                <w:sz w:val="21"/>
                <w:szCs w:val="21"/>
              </w:rPr>
            </w:pPr>
            <w:r>
              <w:rPr>
                <w:sz w:val="21"/>
                <w:szCs w:val="21"/>
              </w:rPr>
              <w:t>涧西沟</w:t>
            </w:r>
          </w:p>
        </w:tc>
        <w:tc>
          <w:tcPr>
            <w:tcW w:w="1126" w:type="pct"/>
            <w:noWrap/>
            <w:vAlign w:val="center"/>
          </w:tcPr>
          <w:p w14:paraId="74CA4AC7">
            <w:pPr>
              <w:snapToGrid w:val="0"/>
              <w:spacing w:line="240" w:lineRule="auto"/>
              <w:ind w:firstLine="0" w:firstLineChars="0"/>
              <w:jc w:val="center"/>
              <w:rPr>
                <w:sz w:val="21"/>
                <w:szCs w:val="21"/>
              </w:rPr>
            </w:pPr>
            <w:r>
              <w:rPr>
                <w:sz w:val="21"/>
                <w:szCs w:val="21"/>
              </w:rPr>
              <w:t>8</w:t>
            </w:r>
          </w:p>
        </w:tc>
        <w:tc>
          <w:tcPr>
            <w:tcW w:w="1126" w:type="pct"/>
            <w:noWrap/>
            <w:vAlign w:val="center"/>
          </w:tcPr>
          <w:p w14:paraId="0FA3AFA1">
            <w:pPr>
              <w:snapToGrid w:val="0"/>
              <w:spacing w:line="240" w:lineRule="auto"/>
              <w:ind w:firstLine="0" w:firstLineChars="0"/>
              <w:jc w:val="center"/>
              <w:rPr>
                <w:sz w:val="21"/>
                <w:szCs w:val="21"/>
              </w:rPr>
            </w:pPr>
            <w:r>
              <w:rPr>
                <w:rFonts w:hint="eastAsia"/>
                <w:sz w:val="21"/>
                <w:szCs w:val="21"/>
              </w:rPr>
              <w:t>三级</w:t>
            </w:r>
          </w:p>
        </w:tc>
      </w:tr>
      <w:tr w14:paraId="24BFC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1F84E470">
            <w:pPr>
              <w:snapToGrid w:val="0"/>
              <w:spacing w:line="240" w:lineRule="auto"/>
              <w:ind w:firstLine="0" w:firstLineChars="0"/>
              <w:jc w:val="center"/>
              <w:rPr>
                <w:sz w:val="21"/>
                <w:szCs w:val="21"/>
              </w:rPr>
            </w:pPr>
            <w:r>
              <w:rPr>
                <w:sz w:val="21"/>
                <w:szCs w:val="21"/>
              </w:rPr>
              <w:t>12</w:t>
            </w:r>
          </w:p>
        </w:tc>
        <w:tc>
          <w:tcPr>
            <w:tcW w:w="1125" w:type="pct"/>
            <w:noWrap/>
            <w:vAlign w:val="center"/>
          </w:tcPr>
          <w:p w14:paraId="483C70AF">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51BBB4CD">
            <w:pPr>
              <w:snapToGrid w:val="0"/>
              <w:spacing w:line="240" w:lineRule="auto"/>
              <w:ind w:firstLine="0" w:firstLineChars="0"/>
              <w:jc w:val="center"/>
              <w:rPr>
                <w:sz w:val="21"/>
                <w:szCs w:val="21"/>
              </w:rPr>
            </w:pPr>
            <w:r>
              <w:rPr>
                <w:sz w:val="21"/>
                <w:szCs w:val="21"/>
              </w:rPr>
              <w:t>李家山</w:t>
            </w:r>
          </w:p>
        </w:tc>
        <w:tc>
          <w:tcPr>
            <w:tcW w:w="1126" w:type="pct"/>
            <w:noWrap/>
            <w:vAlign w:val="center"/>
          </w:tcPr>
          <w:p w14:paraId="29140466">
            <w:pPr>
              <w:snapToGrid w:val="0"/>
              <w:spacing w:line="240" w:lineRule="auto"/>
              <w:ind w:firstLine="0" w:firstLineChars="0"/>
              <w:jc w:val="center"/>
              <w:rPr>
                <w:sz w:val="21"/>
                <w:szCs w:val="21"/>
              </w:rPr>
            </w:pPr>
            <w:r>
              <w:rPr>
                <w:sz w:val="21"/>
                <w:szCs w:val="21"/>
              </w:rPr>
              <w:t>20</w:t>
            </w:r>
          </w:p>
        </w:tc>
        <w:tc>
          <w:tcPr>
            <w:tcW w:w="1126" w:type="pct"/>
            <w:noWrap/>
            <w:vAlign w:val="center"/>
          </w:tcPr>
          <w:p w14:paraId="7FF9946B">
            <w:pPr>
              <w:snapToGrid w:val="0"/>
              <w:spacing w:line="240" w:lineRule="auto"/>
              <w:ind w:firstLine="0" w:firstLineChars="0"/>
              <w:jc w:val="center"/>
              <w:rPr>
                <w:sz w:val="21"/>
                <w:szCs w:val="21"/>
              </w:rPr>
            </w:pPr>
            <w:r>
              <w:rPr>
                <w:rFonts w:hint="eastAsia"/>
                <w:sz w:val="21"/>
                <w:szCs w:val="21"/>
              </w:rPr>
              <w:t>二级</w:t>
            </w:r>
          </w:p>
        </w:tc>
      </w:tr>
      <w:tr w14:paraId="1D4DA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6BFA715B">
            <w:pPr>
              <w:snapToGrid w:val="0"/>
              <w:spacing w:line="240" w:lineRule="auto"/>
              <w:ind w:firstLine="0" w:firstLineChars="0"/>
              <w:jc w:val="center"/>
              <w:rPr>
                <w:sz w:val="21"/>
                <w:szCs w:val="21"/>
              </w:rPr>
            </w:pPr>
            <w:r>
              <w:rPr>
                <w:sz w:val="21"/>
                <w:szCs w:val="21"/>
              </w:rPr>
              <w:t>13</w:t>
            </w:r>
          </w:p>
        </w:tc>
        <w:tc>
          <w:tcPr>
            <w:tcW w:w="1125" w:type="pct"/>
            <w:noWrap/>
            <w:vAlign w:val="center"/>
          </w:tcPr>
          <w:p w14:paraId="01DB9F42">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6179495E">
            <w:pPr>
              <w:snapToGrid w:val="0"/>
              <w:spacing w:line="240" w:lineRule="auto"/>
              <w:ind w:firstLine="0" w:firstLineChars="0"/>
              <w:jc w:val="center"/>
              <w:rPr>
                <w:sz w:val="21"/>
                <w:szCs w:val="21"/>
              </w:rPr>
            </w:pPr>
            <w:r>
              <w:rPr>
                <w:sz w:val="21"/>
                <w:szCs w:val="21"/>
              </w:rPr>
              <w:t>青龙洞</w:t>
            </w:r>
          </w:p>
        </w:tc>
        <w:tc>
          <w:tcPr>
            <w:tcW w:w="1126" w:type="pct"/>
            <w:noWrap/>
            <w:vAlign w:val="center"/>
          </w:tcPr>
          <w:p w14:paraId="0500834E">
            <w:pPr>
              <w:snapToGrid w:val="0"/>
              <w:spacing w:line="240" w:lineRule="auto"/>
              <w:ind w:firstLine="0" w:firstLineChars="0"/>
              <w:jc w:val="center"/>
              <w:rPr>
                <w:sz w:val="21"/>
                <w:szCs w:val="21"/>
              </w:rPr>
            </w:pPr>
            <w:r>
              <w:rPr>
                <w:sz w:val="21"/>
                <w:szCs w:val="21"/>
              </w:rPr>
              <w:t>5</w:t>
            </w:r>
          </w:p>
        </w:tc>
        <w:tc>
          <w:tcPr>
            <w:tcW w:w="1126" w:type="pct"/>
            <w:noWrap/>
            <w:vAlign w:val="center"/>
          </w:tcPr>
          <w:p w14:paraId="7FB9FDE1">
            <w:pPr>
              <w:snapToGrid w:val="0"/>
              <w:spacing w:line="240" w:lineRule="auto"/>
              <w:ind w:firstLine="0" w:firstLineChars="0"/>
              <w:jc w:val="center"/>
              <w:rPr>
                <w:sz w:val="21"/>
                <w:szCs w:val="21"/>
              </w:rPr>
            </w:pPr>
            <w:r>
              <w:rPr>
                <w:rFonts w:hint="eastAsia"/>
                <w:sz w:val="21"/>
                <w:szCs w:val="21"/>
              </w:rPr>
              <w:t>三级</w:t>
            </w:r>
          </w:p>
        </w:tc>
      </w:tr>
      <w:tr w14:paraId="3E80E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477CFFC7">
            <w:pPr>
              <w:snapToGrid w:val="0"/>
              <w:spacing w:line="240" w:lineRule="auto"/>
              <w:ind w:firstLine="0" w:firstLineChars="0"/>
              <w:jc w:val="center"/>
              <w:rPr>
                <w:sz w:val="21"/>
                <w:szCs w:val="21"/>
              </w:rPr>
            </w:pPr>
            <w:r>
              <w:rPr>
                <w:sz w:val="21"/>
                <w:szCs w:val="21"/>
              </w:rPr>
              <w:t>14</w:t>
            </w:r>
          </w:p>
        </w:tc>
        <w:tc>
          <w:tcPr>
            <w:tcW w:w="1125" w:type="pct"/>
            <w:noWrap/>
            <w:vAlign w:val="center"/>
          </w:tcPr>
          <w:p w14:paraId="216D59D9">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7B1CAA87">
            <w:pPr>
              <w:snapToGrid w:val="0"/>
              <w:spacing w:line="240" w:lineRule="auto"/>
              <w:ind w:firstLine="0" w:firstLineChars="0"/>
              <w:jc w:val="center"/>
              <w:rPr>
                <w:sz w:val="21"/>
                <w:szCs w:val="21"/>
              </w:rPr>
            </w:pPr>
            <w:r>
              <w:rPr>
                <w:sz w:val="21"/>
                <w:szCs w:val="21"/>
              </w:rPr>
              <w:t>上阮</w:t>
            </w:r>
          </w:p>
        </w:tc>
        <w:tc>
          <w:tcPr>
            <w:tcW w:w="1126" w:type="pct"/>
            <w:noWrap/>
            <w:vAlign w:val="center"/>
          </w:tcPr>
          <w:p w14:paraId="15C6EEF0">
            <w:pPr>
              <w:snapToGrid w:val="0"/>
              <w:spacing w:line="240" w:lineRule="auto"/>
              <w:ind w:firstLine="0" w:firstLineChars="0"/>
              <w:jc w:val="center"/>
              <w:rPr>
                <w:sz w:val="21"/>
                <w:szCs w:val="21"/>
              </w:rPr>
            </w:pPr>
            <w:r>
              <w:rPr>
                <w:sz w:val="21"/>
                <w:szCs w:val="21"/>
              </w:rPr>
              <w:t>15</w:t>
            </w:r>
          </w:p>
        </w:tc>
        <w:tc>
          <w:tcPr>
            <w:tcW w:w="1126" w:type="pct"/>
            <w:noWrap/>
            <w:vAlign w:val="center"/>
          </w:tcPr>
          <w:p w14:paraId="0BC92443">
            <w:pPr>
              <w:snapToGrid w:val="0"/>
              <w:spacing w:line="240" w:lineRule="auto"/>
              <w:ind w:firstLine="0" w:firstLineChars="0"/>
              <w:jc w:val="center"/>
              <w:rPr>
                <w:sz w:val="21"/>
                <w:szCs w:val="21"/>
              </w:rPr>
            </w:pPr>
            <w:r>
              <w:rPr>
                <w:rFonts w:hint="eastAsia"/>
                <w:sz w:val="21"/>
                <w:szCs w:val="21"/>
              </w:rPr>
              <w:t>二级</w:t>
            </w:r>
          </w:p>
        </w:tc>
      </w:tr>
      <w:tr w14:paraId="0474B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71E68F19">
            <w:pPr>
              <w:snapToGrid w:val="0"/>
              <w:spacing w:line="240" w:lineRule="auto"/>
              <w:ind w:firstLine="0" w:firstLineChars="0"/>
              <w:jc w:val="center"/>
              <w:rPr>
                <w:sz w:val="21"/>
                <w:szCs w:val="21"/>
              </w:rPr>
            </w:pPr>
            <w:r>
              <w:rPr>
                <w:sz w:val="21"/>
                <w:szCs w:val="21"/>
              </w:rPr>
              <w:t>15</w:t>
            </w:r>
          </w:p>
        </w:tc>
        <w:tc>
          <w:tcPr>
            <w:tcW w:w="1125" w:type="pct"/>
            <w:noWrap/>
            <w:vAlign w:val="center"/>
          </w:tcPr>
          <w:p w14:paraId="350CB8A7">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4414C133">
            <w:pPr>
              <w:snapToGrid w:val="0"/>
              <w:spacing w:line="240" w:lineRule="auto"/>
              <w:ind w:firstLine="0" w:firstLineChars="0"/>
              <w:jc w:val="center"/>
              <w:rPr>
                <w:sz w:val="21"/>
                <w:szCs w:val="21"/>
              </w:rPr>
            </w:pPr>
            <w:r>
              <w:rPr>
                <w:sz w:val="21"/>
                <w:szCs w:val="21"/>
              </w:rPr>
              <w:t>上阮</w:t>
            </w:r>
          </w:p>
        </w:tc>
        <w:tc>
          <w:tcPr>
            <w:tcW w:w="1126" w:type="pct"/>
            <w:noWrap/>
            <w:vAlign w:val="center"/>
          </w:tcPr>
          <w:p w14:paraId="6B4495E5">
            <w:pPr>
              <w:snapToGrid w:val="0"/>
              <w:spacing w:line="240" w:lineRule="auto"/>
              <w:ind w:firstLine="0" w:firstLineChars="0"/>
              <w:jc w:val="center"/>
              <w:rPr>
                <w:sz w:val="21"/>
                <w:szCs w:val="21"/>
              </w:rPr>
            </w:pPr>
            <w:r>
              <w:rPr>
                <w:sz w:val="21"/>
                <w:szCs w:val="21"/>
              </w:rPr>
              <w:t>20</w:t>
            </w:r>
          </w:p>
        </w:tc>
        <w:tc>
          <w:tcPr>
            <w:tcW w:w="1126" w:type="pct"/>
            <w:noWrap/>
            <w:vAlign w:val="center"/>
          </w:tcPr>
          <w:p w14:paraId="41376043">
            <w:pPr>
              <w:snapToGrid w:val="0"/>
              <w:spacing w:line="240" w:lineRule="auto"/>
              <w:ind w:firstLine="0" w:firstLineChars="0"/>
              <w:jc w:val="center"/>
              <w:rPr>
                <w:sz w:val="21"/>
                <w:szCs w:val="21"/>
              </w:rPr>
            </w:pPr>
            <w:r>
              <w:rPr>
                <w:rFonts w:hint="eastAsia"/>
                <w:sz w:val="21"/>
                <w:szCs w:val="21"/>
              </w:rPr>
              <w:t>二级</w:t>
            </w:r>
          </w:p>
        </w:tc>
      </w:tr>
      <w:tr w14:paraId="358D0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0D9FB582">
            <w:pPr>
              <w:snapToGrid w:val="0"/>
              <w:spacing w:line="240" w:lineRule="auto"/>
              <w:ind w:firstLine="0" w:firstLineChars="0"/>
              <w:jc w:val="center"/>
              <w:rPr>
                <w:sz w:val="21"/>
                <w:szCs w:val="21"/>
              </w:rPr>
            </w:pPr>
            <w:r>
              <w:rPr>
                <w:sz w:val="21"/>
                <w:szCs w:val="21"/>
              </w:rPr>
              <w:t>16</w:t>
            </w:r>
          </w:p>
        </w:tc>
        <w:tc>
          <w:tcPr>
            <w:tcW w:w="1125" w:type="pct"/>
            <w:noWrap/>
            <w:vAlign w:val="center"/>
          </w:tcPr>
          <w:p w14:paraId="4302F865">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64000F0F">
            <w:pPr>
              <w:snapToGrid w:val="0"/>
              <w:spacing w:line="240" w:lineRule="auto"/>
              <w:ind w:firstLine="0" w:firstLineChars="0"/>
              <w:jc w:val="center"/>
              <w:rPr>
                <w:sz w:val="21"/>
                <w:szCs w:val="21"/>
              </w:rPr>
            </w:pPr>
            <w:r>
              <w:rPr>
                <w:sz w:val="21"/>
                <w:szCs w:val="21"/>
              </w:rPr>
              <w:t>西格</w:t>
            </w:r>
          </w:p>
        </w:tc>
        <w:tc>
          <w:tcPr>
            <w:tcW w:w="1126" w:type="pct"/>
            <w:noWrap/>
            <w:vAlign w:val="center"/>
          </w:tcPr>
          <w:p w14:paraId="714EA084">
            <w:pPr>
              <w:snapToGrid w:val="0"/>
              <w:spacing w:line="240" w:lineRule="auto"/>
              <w:ind w:firstLine="0" w:firstLineChars="0"/>
              <w:jc w:val="center"/>
              <w:rPr>
                <w:sz w:val="21"/>
                <w:szCs w:val="21"/>
              </w:rPr>
            </w:pPr>
            <w:r>
              <w:rPr>
                <w:sz w:val="21"/>
                <w:szCs w:val="21"/>
              </w:rPr>
              <w:t>5</w:t>
            </w:r>
          </w:p>
        </w:tc>
        <w:tc>
          <w:tcPr>
            <w:tcW w:w="1126" w:type="pct"/>
            <w:noWrap/>
            <w:vAlign w:val="center"/>
          </w:tcPr>
          <w:p w14:paraId="7070E1A2">
            <w:pPr>
              <w:snapToGrid w:val="0"/>
              <w:spacing w:line="240" w:lineRule="auto"/>
              <w:ind w:firstLine="0" w:firstLineChars="0"/>
              <w:jc w:val="center"/>
              <w:rPr>
                <w:sz w:val="21"/>
                <w:szCs w:val="21"/>
              </w:rPr>
            </w:pPr>
            <w:r>
              <w:rPr>
                <w:rFonts w:hint="eastAsia"/>
                <w:sz w:val="21"/>
                <w:szCs w:val="21"/>
              </w:rPr>
              <w:t>三级</w:t>
            </w:r>
          </w:p>
        </w:tc>
      </w:tr>
      <w:tr w14:paraId="3382A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7DCA5FDD">
            <w:pPr>
              <w:snapToGrid w:val="0"/>
              <w:spacing w:line="240" w:lineRule="auto"/>
              <w:ind w:firstLine="0" w:firstLineChars="0"/>
              <w:jc w:val="center"/>
              <w:rPr>
                <w:sz w:val="21"/>
                <w:szCs w:val="21"/>
              </w:rPr>
            </w:pPr>
            <w:r>
              <w:rPr>
                <w:sz w:val="21"/>
                <w:szCs w:val="21"/>
              </w:rPr>
              <w:t>17</w:t>
            </w:r>
          </w:p>
        </w:tc>
        <w:tc>
          <w:tcPr>
            <w:tcW w:w="1125" w:type="pct"/>
            <w:noWrap/>
            <w:vAlign w:val="center"/>
          </w:tcPr>
          <w:p w14:paraId="57CCA29C">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6087284A">
            <w:pPr>
              <w:snapToGrid w:val="0"/>
              <w:spacing w:line="240" w:lineRule="auto"/>
              <w:ind w:firstLine="0" w:firstLineChars="0"/>
              <w:jc w:val="center"/>
              <w:rPr>
                <w:sz w:val="21"/>
                <w:szCs w:val="21"/>
              </w:rPr>
            </w:pPr>
            <w:r>
              <w:rPr>
                <w:sz w:val="21"/>
                <w:szCs w:val="21"/>
              </w:rPr>
              <w:t>下阮</w:t>
            </w:r>
          </w:p>
        </w:tc>
        <w:tc>
          <w:tcPr>
            <w:tcW w:w="1126" w:type="pct"/>
            <w:noWrap/>
            <w:vAlign w:val="center"/>
          </w:tcPr>
          <w:p w14:paraId="3C21951F">
            <w:pPr>
              <w:snapToGrid w:val="0"/>
              <w:spacing w:line="240" w:lineRule="auto"/>
              <w:ind w:firstLine="0" w:firstLineChars="0"/>
              <w:jc w:val="center"/>
              <w:rPr>
                <w:sz w:val="21"/>
                <w:szCs w:val="21"/>
              </w:rPr>
            </w:pPr>
            <w:r>
              <w:rPr>
                <w:sz w:val="21"/>
                <w:szCs w:val="21"/>
              </w:rPr>
              <w:t>20</w:t>
            </w:r>
          </w:p>
        </w:tc>
        <w:tc>
          <w:tcPr>
            <w:tcW w:w="1126" w:type="pct"/>
            <w:noWrap/>
            <w:vAlign w:val="center"/>
          </w:tcPr>
          <w:p w14:paraId="6F6291DD">
            <w:pPr>
              <w:snapToGrid w:val="0"/>
              <w:spacing w:line="240" w:lineRule="auto"/>
              <w:ind w:firstLine="0" w:firstLineChars="0"/>
              <w:jc w:val="center"/>
              <w:rPr>
                <w:sz w:val="21"/>
                <w:szCs w:val="21"/>
              </w:rPr>
            </w:pPr>
            <w:r>
              <w:rPr>
                <w:rFonts w:hint="eastAsia"/>
                <w:sz w:val="21"/>
                <w:szCs w:val="21"/>
              </w:rPr>
              <w:t>二级</w:t>
            </w:r>
          </w:p>
        </w:tc>
      </w:tr>
      <w:tr w14:paraId="6DCCF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379ADC10">
            <w:pPr>
              <w:snapToGrid w:val="0"/>
              <w:spacing w:line="240" w:lineRule="auto"/>
              <w:ind w:firstLine="0" w:firstLineChars="0"/>
              <w:jc w:val="center"/>
              <w:rPr>
                <w:sz w:val="21"/>
                <w:szCs w:val="21"/>
              </w:rPr>
            </w:pPr>
            <w:r>
              <w:rPr>
                <w:sz w:val="21"/>
                <w:szCs w:val="21"/>
              </w:rPr>
              <w:t>18</w:t>
            </w:r>
          </w:p>
        </w:tc>
        <w:tc>
          <w:tcPr>
            <w:tcW w:w="1125" w:type="pct"/>
            <w:noWrap/>
            <w:vAlign w:val="center"/>
          </w:tcPr>
          <w:p w14:paraId="4AF92595">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5323A1D0">
            <w:pPr>
              <w:snapToGrid w:val="0"/>
              <w:spacing w:line="240" w:lineRule="auto"/>
              <w:ind w:firstLine="0" w:firstLineChars="0"/>
              <w:jc w:val="center"/>
              <w:rPr>
                <w:sz w:val="21"/>
                <w:szCs w:val="21"/>
              </w:rPr>
            </w:pPr>
            <w:r>
              <w:rPr>
                <w:sz w:val="21"/>
                <w:szCs w:val="21"/>
              </w:rPr>
              <w:t>下阮</w:t>
            </w:r>
          </w:p>
        </w:tc>
        <w:tc>
          <w:tcPr>
            <w:tcW w:w="1126" w:type="pct"/>
            <w:noWrap/>
            <w:vAlign w:val="center"/>
          </w:tcPr>
          <w:p w14:paraId="19039CDB">
            <w:pPr>
              <w:snapToGrid w:val="0"/>
              <w:spacing w:line="240" w:lineRule="auto"/>
              <w:ind w:firstLine="0" w:firstLineChars="0"/>
              <w:jc w:val="center"/>
              <w:rPr>
                <w:sz w:val="21"/>
                <w:szCs w:val="21"/>
              </w:rPr>
            </w:pPr>
            <w:r>
              <w:rPr>
                <w:sz w:val="21"/>
                <w:szCs w:val="21"/>
              </w:rPr>
              <w:t>20</w:t>
            </w:r>
          </w:p>
        </w:tc>
        <w:tc>
          <w:tcPr>
            <w:tcW w:w="1126" w:type="pct"/>
            <w:noWrap/>
            <w:vAlign w:val="center"/>
          </w:tcPr>
          <w:p w14:paraId="3AA52D70">
            <w:pPr>
              <w:snapToGrid w:val="0"/>
              <w:spacing w:line="240" w:lineRule="auto"/>
              <w:ind w:firstLine="0" w:firstLineChars="0"/>
              <w:jc w:val="center"/>
              <w:rPr>
                <w:sz w:val="21"/>
                <w:szCs w:val="21"/>
              </w:rPr>
            </w:pPr>
            <w:r>
              <w:rPr>
                <w:rFonts w:hint="eastAsia"/>
                <w:sz w:val="21"/>
                <w:szCs w:val="21"/>
              </w:rPr>
              <w:t>二级</w:t>
            </w:r>
          </w:p>
        </w:tc>
      </w:tr>
      <w:tr w14:paraId="101BB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6C3ED730">
            <w:pPr>
              <w:snapToGrid w:val="0"/>
              <w:spacing w:line="240" w:lineRule="auto"/>
              <w:ind w:firstLine="0" w:firstLineChars="0"/>
              <w:jc w:val="center"/>
              <w:rPr>
                <w:sz w:val="21"/>
                <w:szCs w:val="21"/>
              </w:rPr>
            </w:pPr>
            <w:r>
              <w:rPr>
                <w:sz w:val="21"/>
                <w:szCs w:val="21"/>
              </w:rPr>
              <w:t>19</w:t>
            </w:r>
          </w:p>
        </w:tc>
        <w:tc>
          <w:tcPr>
            <w:tcW w:w="1125" w:type="pct"/>
            <w:noWrap/>
            <w:vAlign w:val="center"/>
          </w:tcPr>
          <w:p w14:paraId="41D22F1E">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37667448">
            <w:pPr>
              <w:snapToGrid w:val="0"/>
              <w:spacing w:line="240" w:lineRule="auto"/>
              <w:ind w:firstLine="0" w:firstLineChars="0"/>
              <w:jc w:val="center"/>
              <w:rPr>
                <w:sz w:val="21"/>
                <w:szCs w:val="21"/>
              </w:rPr>
            </w:pPr>
            <w:r>
              <w:rPr>
                <w:sz w:val="21"/>
                <w:szCs w:val="21"/>
              </w:rPr>
              <w:t>小地馆</w:t>
            </w:r>
          </w:p>
        </w:tc>
        <w:tc>
          <w:tcPr>
            <w:tcW w:w="1126" w:type="pct"/>
            <w:noWrap/>
            <w:vAlign w:val="center"/>
          </w:tcPr>
          <w:p w14:paraId="7087B496">
            <w:pPr>
              <w:snapToGrid w:val="0"/>
              <w:spacing w:line="240" w:lineRule="auto"/>
              <w:ind w:firstLine="0" w:firstLineChars="0"/>
              <w:jc w:val="center"/>
              <w:rPr>
                <w:sz w:val="21"/>
                <w:szCs w:val="21"/>
              </w:rPr>
            </w:pPr>
            <w:r>
              <w:rPr>
                <w:sz w:val="21"/>
                <w:szCs w:val="21"/>
              </w:rPr>
              <w:t>15</w:t>
            </w:r>
          </w:p>
        </w:tc>
        <w:tc>
          <w:tcPr>
            <w:tcW w:w="1126" w:type="pct"/>
            <w:noWrap/>
            <w:vAlign w:val="center"/>
          </w:tcPr>
          <w:p w14:paraId="2127D4CE">
            <w:pPr>
              <w:snapToGrid w:val="0"/>
              <w:spacing w:line="240" w:lineRule="auto"/>
              <w:ind w:firstLine="0" w:firstLineChars="0"/>
              <w:jc w:val="center"/>
              <w:rPr>
                <w:sz w:val="21"/>
                <w:szCs w:val="21"/>
              </w:rPr>
            </w:pPr>
            <w:r>
              <w:rPr>
                <w:rFonts w:hint="eastAsia"/>
                <w:sz w:val="21"/>
                <w:szCs w:val="21"/>
              </w:rPr>
              <w:t>三级</w:t>
            </w:r>
          </w:p>
        </w:tc>
      </w:tr>
      <w:tr w14:paraId="01EDF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120E16F0">
            <w:pPr>
              <w:snapToGrid w:val="0"/>
              <w:spacing w:line="240" w:lineRule="auto"/>
              <w:ind w:firstLine="0" w:firstLineChars="0"/>
              <w:jc w:val="center"/>
              <w:rPr>
                <w:sz w:val="21"/>
                <w:szCs w:val="21"/>
              </w:rPr>
            </w:pPr>
            <w:r>
              <w:rPr>
                <w:sz w:val="21"/>
                <w:szCs w:val="21"/>
              </w:rPr>
              <w:t>20</w:t>
            </w:r>
          </w:p>
        </w:tc>
        <w:tc>
          <w:tcPr>
            <w:tcW w:w="1125" w:type="pct"/>
            <w:noWrap/>
            <w:vAlign w:val="center"/>
          </w:tcPr>
          <w:p w14:paraId="4192B434">
            <w:pPr>
              <w:snapToGrid w:val="0"/>
              <w:spacing w:line="240" w:lineRule="auto"/>
              <w:ind w:firstLine="0" w:firstLineChars="0"/>
              <w:jc w:val="center"/>
              <w:rPr>
                <w:sz w:val="21"/>
                <w:szCs w:val="21"/>
              </w:rPr>
            </w:pPr>
            <w:r>
              <w:rPr>
                <w:sz w:val="21"/>
                <w:szCs w:val="21"/>
              </w:rPr>
              <w:t>上阮村</w:t>
            </w:r>
          </w:p>
        </w:tc>
        <w:tc>
          <w:tcPr>
            <w:tcW w:w="996" w:type="pct"/>
            <w:noWrap/>
            <w:vAlign w:val="center"/>
          </w:tcPr>
          <w:p w14:paraId="3417FF84">
            <w:pPr>
              <w:snapToGrid w:val="0"/>
              <w:spacing w:line="240" w:lineRule="auto"/>
              <w:ind w:firstLine="0" w:firstLineChars="0"/>
              <w:jc w:val="center"/>
              <w:rPr>
                <w:sz w:val="21"/>
                <w:szCs w:val="21"/>
              </w:rPr>
            </w:pPr>
            <w:r>
              <w:rPr>
                <w:sz w:val="21"/>
                <w:szCs w:val="21"/>
              </w:rPr>
              <w:t>许庄</w:t>
            </w:r>
          </w:p>
        </w:tc>
        <w:tc>
          <w:tcPr>
            <w:tcW w:w="1126" w:type="pct"/>
            <w:noWrap/>
            <w:vAlign w:val="center"/>
          </w:tcPr>
          <w:p w14:paraId="17B22F84">
            <w:pPr>
              <w:snapToGrid w:val="0"/>
              <w:spacing w:line="240" w:lineRule="auto"/>
              <w:ind w:firstLine="0" w:firstLineChars="0"/>
              <w:jc w:val="center"/>
              <w:rPr>
                <w:sz w:val="21"/>
                <w:szCs w:val="21"/>
              </w:rPr>
            </w:pPr>
            <w:r>
              <w:rPr>
                <w:sz w:val="21"/>
                <w:szCs w:val="21"/>
              </w:rPr>
              <w:t>30</w:t>
            </w:r>
          </w:p>
        </w:tc>
        <w:tc>
          <w:tcPr>
            <w:tcW w:w="1126" w:type="pct"/>
            <w:noWrap/>
            <w:vAlign w:val="center"/>
          </w:tcPr>
          <w:p w14:paraId="29D59626">
            <w:pPr>
              <w:snapToGrid w:val="0"/>
              <w:spacing w:line="240" w:lineRule="auto"/>
              <w:ind w:firstLine="0" w:firstLineChars="0"/>
              <w:jc w:val="center"/>
              <w:rPr>
                <w:sz w:val="21"/>
                <w:szCs w:val="21"/>
              </w:rPr>
            </w:pPr>
            <w:r>
              <w:rPr>
                <w:rFonts w:hint="eastAsia"/>
                <w:sz w:val="21"/>
                <w:szCs w:val="21"/>
              </w:rPr>
              <w:t>二级</w:t>
            </w:r>
          </w:p>
        </w:tc>
      </w:tr>
      <w:tr w14:paraId="2C3B8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210F31FB">
            <w:pPr>
              <w:snapToGrid w:val="0"/>
              <w:spacing w:line="240" w:lineRule="auto"/>
              <w:ind w:firstLine="0" w:firstLineChars="0"/>
              <w:jc w:val="center"/>
              <w:rPr>
                <w:sz w:val="21"/>
                <w:szCs w:val="21"/>
              </w:rPr>
            </w:pPr>
            <w:r>
              <w:rPr>
                <w:sz w:val="21"/>
                <w:szCs w:val="21"/>
              </w:rPr>
              <w:t>21</w:t>
            </w:r>
          </w:p>
        </w:tc>
        <w:tc>
          <w:tcPr>
            <w:tcW w:w="1125" w:type="pct"/>
            <w:noWrap/>
            <w:vAlign w:val="center"/>
          </w:tcPr>
          <w:p w14:paraId="5EFD38A2">
            <w:pPr>
              <w:snapToGrid w:val="0"/>
              <w:spacing w:line="240" w:lineRule="auto"/>
              <w:ind w:firstLine="0" w:firstLineChars="0"/>
              <w:jc w:val="center"/>
              <w:rPr>
                <w:sz w:val="21"/>
                <w:szCs w:val="21"/>
              </w:rPr>
            </w:pPr>
            <w:r>
              <w:rPr>
                <w:sz w:val="21"/>
                <w:szCs w:val="21"/>
              </w:rPr>
              <w:t>上阳村</w:t>
            </w:r>
          </w:p>
        </w:tc>
        <w:tc>
          <w:tcPr>
            <w:tcW w:w="996" w:type="pct"/>
            <w:noWrap/>
            <w:vAlign w:val="center"/>
          </w:tcPr>
          <w:p w14:paraId="33729683">
            <w:pPr>
              <w:snapToGrid w:val="0"/>
              <w:spacing w:line="240" w:lineRule="auto"/>
              <w:ind w:firstLine="0" w:firstLineChars="0"/>
              <w:jc w:val="center"/>
              <w:rPr>
                <w:sz w:val="21"/>
                <w:szCs w:val="21"/>
              </w:rPr>
            </w:pPr>
            <w:r>
              <w:rPr>
                <w:sz w:val="21"/>
                <w:szCs w:val="21"/>
              </w:rPr>
              <w:t>黄庄</w:t>
            </w:r>
          </w:p>
        </w:tc>
        <w:tc>
          <w:tcPr>
            <w:tcW w:w="1126" w:type="pct"/>
            <w:noWrap/>
            <w:vAlign w:val="center"/>
          </w:tcPr>
          <w:p w14:paraId="4E04FC80">
            <w:pPr>
              <w:snapToGrid w:val="0"/>
              <w:spacing w:line="240" w:lineRule="auto"/>
              <w:ind w:firstLine="0" w:firstLineChars="0"/>
              <w:jc w:val="center"/>
              <w:rPr>
                <w:sz w:val="21"/>
                <w:szCs w:val="21"/>
              </w:rPr>
            </w:pPr>
            <w:r>
              <w:rPr>
                <w:sz w:val="21"/>
                <w:szCs w:val="21"/>
              </w:rPr>
              <w:t>5</w:t>
            </w:r>
          </w:p>
        </w:tc>
        <w:tc>
          <w:tcPr>
            <w:tcW w:w="1126" w:type="pct"/>
            <w:noWrap/>
            <w:vAlign w:val="center"/>
          </w:tcPr>
          <w:p w14:paraId="30579D55">
            <w:pPr>
              <w:snapToGrid w:val="0"/>
              <w:spacing w:line="240" w:lineRule="auto"/>
              <w:ind w:firstLine="0" w:firstLineChars="0"/>
              <w:jc w:val="center"/>
              <w:rPr>
                <w:sz w:val="21"/>
                <w:szCs w:val="21"/>
              </w:rPr>
            </w:pPr>
            <w:r>
              <w:rPr>
                <w:rFonts w:hint="eastAsia"/>
                <w:sz w:val="21"/>
                <w:szCs w:val="21"/>
              </w:rPr>
              <w:t>三级</w:t>
            </w:r>
          </w:p>
        </w:tc>
      </w:tr>
      <w:tr w14:paraId="21BF4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0406E311">
            <w:pPr>
              <w:snapToGrid w:val="0"/>
              <w:spacing w:line="240" w:lineRule="auto"/>
              <w:ind w:firstLine="0" w:firstLineChars="0"/>
              <w:jc w:val="center"/>
              <w:rPr>
                <w:sz w:val="21"/>
                <w:szCs w:val="21"/>
              </w:rPr>
            </w:pPr>
            <w:r>
              <w:rPr>
                <w:sz w:val="21"/>
                <w:szCs w:val="21"/>
              </w:rPr>
              <w:t>22</w:t>
            </w:r>
          </w:p>
        </w:tc>
        <w:tc>
          <w:tcPr>
            <w:tcW w:w="1125" w:type="pct"/>
            <w:noWrap/>
            <w:vAlign w:val="center"/>
          </w:tcPr>
          <w:p w14:paraId="1741B1A2">
            <w:pPr>
              <w:snapToGrid w:val="0"/>
              <w:spacing w:line="240" w:lineRule="auto"/>
              <w:ind w:firstLine="0" w:firstLineChars="0"/>
              <w:jc w:val="center"/>
              <w:rPr>
                <w:sz w:val="21"/>
                <w:szCs w:val="21"/>
              </w:rPr>
            </w:pPr>
            <w:r>
              <w:rPr>
                <w:sz w:val="21"/>
                <w:szCs w:val="21"/>
              </w:rPr>
              <w:t>西旸村</w:t>
            </w:r>
          </w:p>
        </w:tc>
        <w:tc>
          <w:tcPr>
            <w:tcW w:w="996" w:type="pct"/>
            <w:noWrap/>
            <w:vAlign w:val="center"/>
          </w:tcPr>
          <w:p w14:paraId="4E485F01">
            <w:pPr>
              <w:snapToGrid w:val="0"/>
              <w:spacing w:line="240" w:lineRule="auto"/>
              <w:ind w:firstLine="0" w:firstLineChars="0"/>
              <w:jc w:val="center"/>
              <w:rPr>
                <w:sz w:val="21"/>
                <w:szCs w:val="21"/>
              </w:rPr>
            </w:pPr>
            <w:r>
              <w:rPr>
                <w:sz w:val="21"/>
                <w:szCs w:val="21"/>
              </w:rPr>
              <w:t>塔山</w:t>
            </w:r>
          </w:p>
        </w:tc>
        <w:tc>
          <w:tcPr>
            <w:tcW w:w="1126" w:type="pct"/>
            <w:noWrap/>
            <w:vAlign w:val="center"/>
          </w:tcPr>
          <w:p w14:paraId="49718A52">
            <w:pPr>
              <w:snapToGrid w:val="0"/>
              <w:spacing w:line="240" w:lineRule="auto"/>
              <w:ind w:firstLine="0" w:firstLineChars="0"/>
              <w:jc w:val="center"/>
              <w:rPr>
                <w:sz w:val="21"/>
                <w:szCs w:val="21"/>
              </w:rPr>
            </w:pPr>
            <w:r>
              <w:rPr>
                <w:sz w:val="21"/>
                <w:szCs w:val="21"/>
              </w:rPr>
              <w:t>35</w:t>
            </w:r>
          </w:p>
        </w:tc>
        <w:tc>
          <w:tcPr>
            <w:tcW w:w="1126" w:type="pct"/>
            <w:noWrap/>
            <w:vAlign w:val="center"/>
          </w:tcPr>
          <w:p w14:paraId="23D44747">
            <w:pPr>
              <w:snapToGrid w:val="0"/>
              <w:spacing w:line="240" w:lineRule="auto"/>
              <w:ind w:firstLine="0" w:firstLineChars="0"/>
              <w:jc w:val="center"/>
              <w:rPr>
                <w:sz w:val="21"/>
                <w:szCs w:val="21"/>
              </w:rPr>
            </w:pPr>
            <w:r>
              <w:rPr>
                <w:rFonts w:hint="eastAsia"/>
                <w:sz w:val="21"/>
                <w:szCs w:val="21"/>
              </w:rPr>
              <w:t>二级</w:t>
            </w:r>
          </w:p>
        </w:tc>
      </w:tr>
      <w:tr w14:paraId="58AF6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41132EE1">
            <w:pPr>
              <w:snapToGrid w:val="0"/>
              <w:spacing w:line="240" w:lineRule="auto"/>
              <w:ind w:firstLine="0" w:firstLineChars="0"/>
              <w:jc w:val="center"/>
              <w:rPr>
                <w:sz w:val="21"/>
                <w:szCs w:val="21"/>
              </w:rPr>
            </w:pPr>
            <w:r>
              <w:rPr>
                <w:sz w:val="21"/>
                <w:szCs w:val="21"/>
              </w:rPr>
              <w:t>23</w:t>
            </w:r>
          </w:p>
        </w:tc>
        <w:tc>
          <w:tcPr>
            <w:tcW w:w="1125" w:type="pct"/>
            <w:noWrap/>
            <w:vAlign w:val="center"/>
          </w:tcPr>
          <w:p w14:paraId="17FA4435">
            <w:pPr>
              <w:snapToGrid w:val="0"/>
              <w:spacing w:line="240" w:lineRule="auto"/>
              <w:ind w:firstLine="0" w:firstLineChars="0"/>
              <w:jc w:val="center"/>
              <w:rPr>
                <w:sz w:val="21"/>
                <w:szCs w:val="21"/>
              </w:rPr>
            </w:pPr>
            <w:r>
              <w:rPr>
                <w:sz w:val="21"/>
                <w:szCs w:val="21"/>
              </w:rPr>
              <w:t>西旸村</w:t>
            </w:r>
          </w:p>
        </w:tc>
        <w:tc>
          <w:tcPr>
            <w:tcW w:w="996" w:type="pct"/>
            <w:noWrap/>
            <w:vAlign w:val="center"/>
          </w:tcPr>
          <w:p w14:paraId="77177041">
            <w:pPr>
              <w:snapToGrid w:val="0"/>
              <w:spacing w:line="240" w:lineRule="auto"/>
              <w:ind w:firstLine="0" w:firstLineChars="0"/>
              <w:jc w:val="center"/>
              <w:rPr>
                <w:sz w:val="21"/>
                <w:szCs w:val="21"/>
              </w:rPr>
            </w:pPr>
            <w:r>
              <w:rPr>
                <w:rFonts w:hint="eastAsia"/>
                <w:sz w:val="21"/>
                <w:szCs w:val="21"/>
              </w:rPr>
              <w:t>东园</w:t>
            </w:r>
          </w:p>
        </w:tc>
        <w:tc>
          <w:tcPr>
            <w:tcW w:w="1126" w:type="pct"/>
            <w:noWrap/>
            <w:vAlign w:val="center"/>
          </w:tcPr>
          <w:p w14:paraId="593A66FF">
            <w:pPr>
              <w:snapToGrid w:val="0"/>
              <w:spacing w:line="240" w:lineRule="auto"/>
              <w:ind w:firstLine="0" w:firstLineChars="0"/>
              <w:jc w:val="center"/>
              <w:rPr>
                <w:sz w:val="21"/>
                <w:szCs w:val="21"/>
              </w:rPr>
            </w:pPr>
            <w:r>
              <w:rPr>
                <w:sz w:val="21"/>
                <w:szCs w:val="21"/>
              </w:rPr>
              <w:t>20</w:t>
            </w:r>
          </w:p>
        </w:tc>
        <w:tc>
          <w:tcPr>
            <w:tcW w:w="1126" w:type="pct"/>
            <w:noWrap/>
            <w:vAlign w:val="center"/>
          </w:tcPr>
          <w:p w14:paraId="308E285E">
            <w:pPr>
              <w:snapToGrid w:val="0"/>
              <w:spacing w:line="240" w:lineRule="auto"/>
              <w:ind w:firstLine="0" w:firstLineChars="0"/>
              <w:jc w:val="center"/>
              <w:rPr>
                <w:sz w:val="21"/>
                <w:szCs w:val="21"/>
              </w:rPr>
            </w:pPr>
            <w:r>
              <w:rPr>
                <w:rFonts w:hint="eastAsia"/>
                <w:sz w:val="21"/>
                <w:szCs w:val="21"/>
              </w:rPr>
              <w:t>二级</w:t>
            </w:r>
          </w:p>
        </w:tc>
      </w:tr>
      <w:tr w14:paraId="2C157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5D3F263B">
            <w:pPr>
              <w:snapToGrid w:val="0"/>
              <w:spacing w:line="240" w:lineRule="auto"/>
              <w:ind w:firstLine="0" w:firstLineChars="0"/>
              <w:jc w:val="center"/>
              <w:rPr>
                <w:sz w:val="21"/>
                <w:szCs w:val="21"/>
              </w:rPr>
            </w:pPr>
            <w:r>
              <w:rPr>
                <w:sz w:val="21"/>
                <w:szCs w:val="21"/>
              </w:rPr>
              <w:t>24</w:t>
            </w:r>
          </w:p>
        </w:tc>
        <w:tc>
          <w:tcPr>
            <w:tcW w:w="1125" w:type="pct"/>
            <w:noWrap/>
            <w:vAlign w:val="center"/>
          </w:tcPr>
          <w:p w14:paraId="5AAA7EBF">
            <w:pPr>
              <w:snapToGrid w:val="0"/>
              <w:spacing w:line="240" w:lineRule="auto"/>
              <w:ind w:firstLine="0" w:firstLineChars="0"/>
              <w:jc w:val="center"/>
              <w:rPr>
                <w:sz w:val="21"/>
                <w:szCs w:val="21"/>
              </w:rPr>
            </w:pPr>
            <w:r>
              <w:rPr>
                <w:sz w:val="21"/>
                <w:szCs w:val="21"/>
              </w:rPr>
              <w:t>西旸村</w:t>
            </w:r>
          </w:p>
        </w:tc>
        <w:tc>
          <w:tcPr>
            <w:tcW w:w="996" w:type="pct"/>
            <w:noWrap/>
            <w:vAlign w:val="center"/>
          </w:tcPr>
          <w:p w14:paraId="59CD5301">
            <w:pPr>
              <w:snapToGrid w:val="0"/>
              <w:spacing w:line="240" w:lineRule="auto"/>
              <w:ind w:firstLine="0" w:firstLineChars="0"/>
              <w:jc w:val="center"/>
              <w:rPr>
                <w:sz w:val="21"/>
                <w:szCs w:val="21"/>
              </w:rPr>
            </w:pPr>
            <w:r>
              <w:rPr>
                <w:sz w:val="21"/>
                <w:szCs w:val="21"/>
              </w:rPr>
              <w:t>油炸头</w:t>
            </w:r>
          </w:p>
        </w:tc>
        <w:tc>
          <w:tcPr>
            <w:tcW w:w="1126" w:type="pct"/>
            <w:noWrap/>
            <w:vAlign w:val="center"/>
          </w:tcPr>
          <w:p w14:paraId="34F6439A">
            <w:pPr>
              <w:snapToGrid w:val="0"/>
              <w:spacing w:line="240" w:lineRule="auto"/>
              <w:ind w:firstLine="0" w:firstLineChars="0"/>
              <w:jc w:val="center"/>
              <w:rPr>
                <w:sz w:val="21"/>
                <w:szCs w:val="21"/>
              </w:rPr>
            </w:pPr>
            <w:r>
              <w:rPr>
                <w:sz w:val="21"/>
                <w:szCs w:val="21"/>
              </w:rPr>
              <w:t>30</w:t>
            </w:r>
          </w:p>
        </w:tc>
        <w:tc>
          <w:tcPr>
            <w:tcW w:w="1126" w:type="pct"/>
            <w:noWrap/>
            <w:vAlign w:val="center"/>
          </w:tcPr>
          <w:p w14:paraId="668C368C">
            <w:pPr>
              <w:snapToGrid w:val="0"/>
              <w:spacing w:line="240" w:lineRule="auto"/>
              <w:ind w:firstLine="0" w:firstLineChars="0"/>
              <w:jc w:val="center"/>
              <w:rPr>
                <w:sz w:val="21"/>
                <w:szCs w:val="21"/>
              </w:rPr>
            </w:pPr>
            <w:r>
              <w:rPr>
                <w:rFonts w:hint="eastAsia"/>
                <w:sz w:val="21"/>
                <w:szCs w:val="21"/>
              </w:rPr>
              <w:t>二级</w:t>
            </w:r>
          </w:p>
        </w:tc>
      </w:tr>
      <w:tr w14:paraId="6C898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4F735C77">
            <w:pPr>
              <w:snapToGrid w:val="0"/>
              <w:spacing w:line="240" w:lineRule="auto"/>
              <w:ind w:firstLine="0" w:firstLineChars="0"/>
              <w:jc w:val="center"/>
              <w:rPr>
                <w:sz w:val="21"/>
                <w:szCs w:val="21"/>
              </w:rPr>
            </w:pPr>
            <w:r>
              <w:rPr>
                <w:sz w:val="21"/>
                <w:szCs w:val="21"/>
              </w:rPr>
              <w:t>25</w:t>
            </w:r>
          </w:p>
        </w:tc>
        <w:tc>
          <w:tcPr>
            <w:tcW w:w="1125" w:type="pct"/>
            <w:noWrap/>
            <w:vAlign w:val="center"/>
          </w:tcPr>
          <w:p w14:paraId="17AF1501">
            <w:pPr>
              <w:snapToGrid w:val="0"/>
              <w:spacing w:line="240" w:lineRule="auto"/>
              <w:ind w:firstLine="0" w:firstLineChars="0"/>
              <w:jc w:val="center"/>
              <w:rPr>
                <w:sz w:val="21"/>
                <w:szCs w:val="21"/>
              </w:rPr>
            </w:pPr>
            <w:r>
              <w:rPr>
                <w:sz w:val="21"/>
                <w:szCs w:val="21"/>
              </w:rPr>
              <w:t>西旸村</w:t>
            </w:r>
          </w:p>
        </w:tc>
        <w:tc>
          <w:tcPr>
            <w:tcW w:w="996" w:type="pct"/>
            <w:noWrap/>
            <w:vAlign w:val="center"/>
          </w:tcPr>
          <w:p w14:paraId="32C57DB0">
            <w:pPr>
              <w:snapToGrid w:val="0"/>
              <w:spacing w:line="240" w:lineRule="auto"/>
              <w:ind w:firstLine="0" w:firstLineChars="0"/>
              <w:jc w:val="center"/>
              <w:rPr>
                <w:sz w:val="21"/>
                <w:szCs w:val="21"/>
              </w:rPr>
            </w:pPr>
            <w:r>
              <w:rPr>
                <w:sz w:val="21"/>
                <w:szCs w:val="21"/>
              </w:rPr>
              <w:t>周达</w:t>
            </w:r>
          </w:p>
        </w:tc>
        <w:tc>
          <w:tcPr>
            <w:tcW w:w="1126" w:type="pct"/>
            <w:noWrap/>
            <w:vAlign w:val="center"/>
          </w:tcPr>
          <w:p w14:paraId="5D7396DD">
            <w:pPr>
              <w:snapToGrid w:val="0"/>
              <w:spacing w:line="240" w:lineRule="auto"/>
              <w:ind w:firstLine="0" w:firstLineChars="0"/>
              <w:jc w:val="center"/>
              <w:rPr>
                <w:sz w:val="21"/>
                <w:szCs w:val="21"/>
              </w:rPr>
            </w:pPr>
            <w:r>
              <w:rPr>
                <w:sz w:val="21"/>
                <w:szCs w:val="21"/>
              </w:rPr>
              <w:t>40</w:t>
            </w:r>
          </w:p>
        </w:tc>
        <w:tc>
          <w:tcPr>
            <w:tcW w:w="1126" w:type="pct"/>
            <w:noWrap/>
            <w:vAlign w:val="center"/>
          </w:tcPr>
          <w:p w14:paraId="366F7287">
            <w:pPr>
              <w:snapToGrid w:val="0"/>
              <w:spacing w:line="240" w:lineRule="auto"/>
              <w:ind w:firstLine="0" w:firstLineChars="0"/>
              <w:jc w:val="center"/>
              <w:rPr>
                <w:sz w:val="21"/>
                <w:szCs w:val="21"/>
              </w:rPr>
            </w:pPr>
            <w:r>
              <w:rPr>
                <w:rFonts w:hint="eastAsia"/>
                <w:sz w:val="21"/>
                <w:szCs w:val="21"/>
              </w:rPr>
              <w:t>二级</w:t>
            </w:r>
          </w:p>
        </w:tc>
      </w:tr>
      <w:tr w14:paraId="5D857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723A113F">
            <w:pPr>
              <w:snapToGrid w:val="0"/>
              <w:spacing w:line="240" w:lineRule="auto"/>
              <w:ind w:firstLine="0" w:firstLineChars="0"/>
              <w:jc w:val="center"/>
              <w:rPr>
                <w:sz w:val="21"/>
                <w:szCs w:val="21"/>
              </w:rPr>
            </w:pPr>
            <w:r>
              <w:rPr>
                <w:sz w:val="21"/>
                <w:szCs w:val="21"/>
              </w:rPr>
              <w:t>26</w:t>
            </w:r>
          </w:p>
        </w:tc>
        <w:tc>
          <w:tcPr>
            <w:tcW w:w="1125" w:type="pct"/>
            <w:noWrap/>
            <w:vAlign w:val="center"/>
          </w:tcPr>
          <w:p w14:paraId="38B48091">
            <w:pPr>
              <w:snapToGrid w:val="0"/>
              <w:spacing w:line="240" w:lineRule="auto"/>
              <w:ind w:firstLine="0" w:firstLineChars="0"/>
              <w:jc w:val="center"/>
              <w:rPr>
                <w:sz w:val="21"/>
                <w:szCs w:val="21"/>
              </w:rPr>
            </w:pPr>
            <w:r>
              <w:rPr>
                <w:sz w:val="21"/>
                <w:szCs w:val="21"/>
              </w:rPr>
              <w:t>仙姑村</w:t>
            </w:r>
          </w:p>
        </w:tc>
        <w:tc>
          <w:tcPr>
            <w:tcW w:w="996" w:type="pct"/>
            <w:noWrap/>
            <w:vAlign w:val="center"/>
          </w:tcPr>
          <w:p w14:paraId="7FB51D0E">
            <w:pPr>
              <w:snapToGrid w:val="0"/>
              <w:spacing w:line="240" w:lineRule="auto"/>
              <w:ind w:firstLine="0" w:firstLineChars="0"/>
              <w:jc w:val="center"/>
              <w:rPr>
                <w:sz w:val="21"/>
                <w:szCs w:val="21"/>
              </w:rPr>
            </w:pPr>
            <w:r>
              <w:rPr>
                <w:sz w:val="21"/>
                <w:szCs w:val="21"/>
              </w:rPr>
              <w:t>对达</w:t>
            </w:r>
          </w:p>
        </w:tc>
        <w:tc>
          <w:tcPr>
            <w:tcW w:w="1126" w:type="pct"/>
            <w:noWrap/>
            <w:vAlign w:val="center"/>
          </w:tcPr>
          <w:p w14:paraId="62288EE1">
            <w:pPr>
              <w:snapToGrid w:val="0"/>
              <w:spacing w:line="240" w:lineRule="auto"/>
              <w:ind w:firstLine="0" w:firstLineChars="0"/>
              <w:jc w:val="center"/>
              <w:rPr>
                <w:sz w:val="21"/>
                <w:szCs w:val="21"/>
              </w:rPr>
            </w:pPr>
            <w:r>
              <w:rPr>
                <w:sz w:val="21"/>
                <w:szCs w:val="21"/>
              </w:rPr>
              <w:t>50</w:t>
            </w:r>
          </w:p>
        </w:tc>
        <w:tc>
          <w:tcPr>
            <w:tcW w:w="1126" w:type="pct"/>
            <w:noWrap/>
            <w:vAlign w:val="center"/>
          </w:tcPr>
          <w:p w14:paraId="48FE440D">
            <w:pPr>
              <w:snapToGrid w:val="0"/>
              <w:spacing w:line="240" w:lineRule="auto"/>
              <w:ind w:firstLine="0" w:firstLineChars="0"/>
              <w:jc w:val="center"/>
              <w:rPr>
                <w:sz w:val="21"/>
                <w:szCs w:val="21"/>
              </w:rPr>
            </w:pPr>
            <w:r>
              <w:rPr>
                <w:rFonts w:hint="eastAsia"/>
                <w:sz w:val="21"/>
                <w:szCs w:val="21"/>
              </w:rPr>
              <w:t>二级</w:t>
            </w:r>
          </w:p>
        </w:tc>
      </w:tr>
      <w:tr w14:paraId="2E4A8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648B1287">
            <w:pPr>
              <w:snapToGrid w:val="0"/>
              <w:spacing w:line="240" w:lineRule="auto"/>
              <w:ind w:firstLine="0" w:firstLineChars="0"/>
              <w:jc w:val="center"/>
              <w:rPr>
                <w:sz w:val="21"/>
                <w:szCs w:val="21"/>
              </w:rPr>
            </w:pPr>
            <w:r>
              <w:rPr>
                <w:sz w:val="21"/>
                <w:szCs w:val="21"/>
              </w:rPr>
              <w:t>27</w:t>
            </w:r>
          </w:p>
        </w:tc>
        <w:tc>
          <w:tcPr>
            <w:tcW w:w="1125" w:type="pct"/>
            <w:noWrap/>
            <w:vAlign w:val="center"/>
          </w:tcPr>
          <w:p w14:paraId="4652AE8B">
            <w:pPr>
              <w:snapToGrid w:val="0"/>
              <w:spacing w:line="240" w:lineRule="auto"/>
              <w:ind w:firstLine="0" w:firstLineChars="0"/>
              <w:jc w:val="center"/>
              <w:rPr>
                <w:sz w:val="21"/>
                <w:szCs w:val="21"/>
              </w:rPr>
            </w:pPr>
            <w:r>
              <w:rPr>
                <w:sz w:val="21"/>
                <w:szCs w:val="21"/>
              </w:rPr>
              <w:t>仙姑村</w:t>
            </w:r>
          </w:p>
        </w:tc>
        <w:tc>
          <w:tcPr>
            <w:tcW w:w="996" w:type="pct"/>
            <w:noWrap/>
            <w:vAlign w:val="center"/>
          </w:tcPr>
          <w:p w14:paraId="6CFEDABE">
            <w:pPr>
              <w:snapToGrid w:val="0"/>
              <w:spacing w:line="240" w:lineRule="auto"/>
              <w:ind w:firstLine="0" w:firstLineChars="0"/>
              <w:jc w:val="center"/>
              <w:rPr>
                <w:sz w:val="21"/>
                <w:szCs w:val="21"/>
              </w:rPr>
            </w:pPr>
            <w:r>
              <w:rPr>
                <w:sz w:val="21"/>
                <w:szCs w:val="21"/>
              </w:rPr>
              <w:t>门楼下</w:t>
            </w:r>
          </w:p>
        </w:tc>
        <w:tc>
          <w:tcPr>
            <w:tcW w:w="1126" w:type="pct"/>
            <w:noWrap/>
            <w:vAlign w:val="center"/>
          </w:tcPr>
          <w:p w14:paraId="081A9979">
            <w:pPr>
              <w:snapToGrid w:val="0"/>
              <w:spacing w:line="240" w:lineRule="auto"/>
              <w:ind w:firstLine="0" w:firstLineChars="0"/>
              <w:jc w:val="center"/>
              <w:rPr>
                <w:sz w:val="21"/>
                <w:szCs w:val="21"/>
              </w:rPr>
            </w:pPr>
            <w:r>
              <w:rPr>
                <w:sz w:val="21"/>
                <w:szCs w:val="21"/>
              </w:rPr>
              <w:t>20</w:t>
            </w:r>
          </w:p>
        </w:tc>
        <w:tc>
          <w:tcPr>
            <w:tcW w:w="1126" w:type="pct"/>
            <w:noWrap/>
            <w:vAlign w:val="center"/>
          </w:tcPr>
          <w:p w14:paraId="7F7E608A">
            <w:pPr>
              <w:snapToGrid w:val="0"/>
              <w:spacing w:line="240" w:lineRule="auto"/>
              <w:ind w:firstLine="0" w:firstLineChars="0"/>
              <w:jc w:val="center"/>
              <w:rPr>
                <w:sz w:val="21"/>
                <w:szCs w:val="21"/>
              </w:rPr>
            </w:pPr>
            <w:r>
              <w:rPr>
                <w:rFonts w:hint="eastAsia"/>
                <w:sz w:val="21"/>
                <w:szCs w:val="21"/>
              </w:rPr>
              <w:t>二级</w:t>
            </w:r>
          </w:p>
        </w:tc>
      </w:tr>
      <w:tr w14:paraId="33FCE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7C2C779B">
            <w:pPr>
              <w:snapToGrid w:val="0"/>
              <w:spacing w:line="240" w:lineRule="auto"/>
              <w:ind w:firstLine="0" w:firstLineChars="0"/>
              <w:jc w:val="center"/>
              <w:rPr>
                <w:sz w:val="21"/>
                <w:szCs w:val="21"/>
              </w:rPr>
            </w:pPr>
            <w:r>
              <w:rPr>
                <w:sz w:val="21"/>
                <w:szCs w:val="21"/>
              </w:rPr>
              <w:t>28</w:t>
            </w:r>
          </w:p>
        </w:tc>
        <w:tc>
          <w:tcPr>
            <w:tcW w:w="1125" w:type="pct"/>
            <w:noWrap/>
            <w:vAlign w:val="center"/>
          </w:tcPr>
          <w:p w14:paraId="50F56CBE">
            <w:pPr>
              <w:snapToGrid w:val="0"/>
              <w:spacing w:line="240" w:lineRule="auto"/>
              <w:ind w:firstLine="0" w:firstLineChars="0"/>
              <w:jc w:val="center"/>
              <w:rPr>
                <w:sz w:val="21"/>
                <w:szCs w:val="21"/>
              </w:rPr>
            </w:pPr>
            <w:r>
              <w:rPr>
                <w:sz w:val="21"/>
                <w:szCs w:val="21"/>
              </w:rPr>
              <w:t>仙姑村</w:t>
            </w:r>
          </w:p>
        </w:tc>
        <w:tc>
          <w:tcPr>
            <w:tcW w:w="996" w:type="pct"/>
            <w:noWrap/>
            <w:vAlign w:val="center"/>
          </w:tcPr>
          <w:p w14:paraId="7259A38A">
            <w:pPr>
              <w:snapToGrid w:val="0"/>
              <w:spacing w:line="240" w:lineRule="auto"/>
              <w:ind w:firstLine="0" w:firstLineChars="0"/>
              <w:jc w:val="center"/>
              <w:rPr>
                <w:sz w:val="21"/>
                <w:szCs w:val="21"/>
              </w:rPr>
            </w:pPr>
            <w:r>
              <w:rPr>
                <w:sz w:val="21"/>
                <w:szCs w:val="21"/>
              </w:rPr>
              <w:t>下王岗</w:t>
            </w:r>
          </w:p>
        </w:tc>
        <w:tc>
          <w:tcPr>
            <w:tcW w:w="1126" w:type="pct"/>
            <w:noWrap/>
            <w:vAlign w:val="center"/>
          </w:tcPr>
          <w:p w14:paraId="73E3E243">
            <w:pPr>
              <w:snapToGrid w:val="0"/>
              <w:spacing w:line="240" w:lineRule="auto"/>
              <w:ind w:firstLine="0" w:firstLineChars="0"/>
              <w:jc w:val="center"/>
              <w:rPr>
                <w:sz w:val="21"/>
                <w:szCs w:val="21"/>
              </w:rPr>
            </w:pPr>
            <w:r>
              <w:rPr>
                <w:sz w:val="21"/>
                <w:szCs w:val="21"/>
              </w:rPr>
              <w:t>30</w:t>
            </w:r>
          </w:p>
        </w:tc>
        <w:tc>
          <w:tcPr>
            <w:tcW w:w="1126" w:type="pct"/>
            <w:noWrap/>
            <w:vAlign w:val="center"/>
          </w:tcPr>
          <w:p w14:paraId="086C0B5F">
            <w:pPr>
              <w:snapToGrid w:val="0"/>
              <w:spacing w:line="240" w:lineRule="auto"/>
              <w:ind w:firstLine="0" w:firstLineChars="0"/>
              <w:jc w:val="center"/>
              <w:rPr>
                <w:sz w:val="21"/>
                <w:szCs w:val="21"/>
              </w:rPr>
            </w:pPr>
            <w:r>
              <w:rPr>
                <w:rFonts w:hint="eastAsia"/>
                <w:sz w:val="21"/>
                <w:szCs w:val="21"/>
              </w:rPr>
              <w:t>二级</w:t>
            </w:r>
          </w:p>
        </w:tc>
      </w:tr>
      <w:tr w14:paraId="6917D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0804C19F">
            <w:pPr>
              <w:snapToGrid w:val="0"/>
              <w:spacing w:line="240" w:lineRule="auto"/>
              <w:ind w:firstLine="0" w:firstLineChars="0"/>
              <w:jc w:val="center"/>
              <w:rPr>
                <w:sz w:val="21"/>
                <w:szCs w:val="21"/>
              </w:rPr>
            </w:pPr>
            <w:r>
              <w:rPr>
                <w:sz w:val="21"/>
                <w:szCs w:val="21"/>
              </w:rPr>
              <w:t>29</w:t>
            </w:r>
          </w:p>
        </w:tc>
        <w:tc>
          <w:tcPr>
            <w:tcW w:w="1125" w:type="pct"/>
            <w:noWrap/>
            <w:vAlign w:val="center"/>
          </w:tcPr>
          <w:p w14:paraId="3984B014">
            <w:pPr>
              <w:snapToGrid w:val="0"/>
              <w:spacing w:line="240" w:lineRule="auto"/>
              <w:ind w:firstLine="0" w:firstLineChars="0"/>
              <w:jc w:val="center"/>
              <w:rPr>
                <w:sz w:val="21"/>
                <w:szCs w:val="21"/>
              </w:rPr>
            </w:pPr>
            <w:r>
              <w:rPr>
                <w:sz w:val="21"/>
                <w:szCs w:val="21"/>
              </w:rPr>
              <w:t>仙姑村</w:t>
            </w:r>
          </w:p>
        </w:tc>
        <w:tc>
          <w:tcPr>
            <w:tcW w:w="996" w:type="pct"/>
            <w:noWrap/>
            <w:vAlign w:val="center"/>
          </w:tcPr>
          <w:p w14:paraId="3263B566">
            <w:pPr>
              <w:snapToGrid w:val="0"/>
              <w:spacing w:line="240" w:lineRule="auto"/>
              <w:ind w:firstLine="0" w:firstLineChars="0"/>
              <w:jc w:val="center"/>
              <w:rPr>
                <w:sz w:val="21"/>
                <w:szCs w:val="21"/>
              </w:rPr>
            </w:pPr>
            <w:r>
              <w:rPr>
                <w:sz w:val="21"/>
                <w:szCs w:val="21"/>
              </w:rPr>
              <w:t>仙姑</w:t>
            </w:r>
          </w:p>
        </w:tc>
        <w:tc>
          <w:tcPr>
            <w:tcW w:w="1126" w:type="pct"/>
            <w:noWrap/>
            <w:vAlign w:val="center"/>
          </w:tcPr>
          <w:p w14:paraId="3632E47E">
            <w:pPr>
              <w:snapToGrid w:val="0"/>
              <w:spacing w:line="240" w:lineRule="auto"/>
              <w:ind w:firstLine="0" w:firstLineChars="0"/>
              <w:jc w:val="center"/>
              <w:rPr>
                <w:sz w:val="21"/>
                <w:szCs w:val="21"/>
              </w:rPr>
            </w:pPr>
            <w:r>
              <w:rPr>
                <w:rFonts w:hint="eastAsia"/>
                <w:sz w:val="21"/>
                <w:szCs w:val="21"/>
              </w:rPr>
              <w:t>200</w:t>
            </w:r>
          </w:p>
        </w:tc>
        <w:tc>
          <w:tcPr>
            <w:tcW w:w="1126" w:type="pct"/>
            <w:noWrap/>
            <w:vAlign w:val="center"/>
          </w:tcPr>
          <w:p w14:paraId="597498D4">
            <w:pPr>
              <w:snapToGrid w:val="0"/>
              <w:spacing w:line="240" w:lineRule="auto"/>
              <w:ind w:firstLine="0" w:firstLineChars="0"/>
              <w:jc w:val="center"/>
              <w:rPr>
                <w:sz w:val="21"/>
                <w:szCs w:val="21"/>
              </w:rPr>
            </w:pPr>
            <w:r>
              <w:rPr>
                <w:rFonts w:hint="eastAsia"/>
                <w:sz w:val="21"/>
                <w:szCs w:val="21"/>
              </w:rPr>
              <w:t>二级</w:t>
            </w:r>
          </w:p>
        </w:tc>
      </w:tr>
      <w:tr w14:paraId="09665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535818B2">
            <w:pPr>
              <w:snapToGrid w:val="0"/>
              <w:spacing w:line="240" w:lineRule="auto"/>
              <w:ind w:firstLine="0" w:firstLineChars="0"/>
              <w:jc w:val="center"/>
              <w:rPr>
                <w:sz w:val="21"/>
                <w:szCs w:val="21"/>
              </w:rPr>
            </w:pPr>
            <w:r>
              <w:rPr>
                <w:sz w:val="21"/>
                <w:szCs w:val="21"/>
              </w:rPr>
              <w:t>30</w:t>
            </w:r>
          </w:p>
        </w:tc>
        <w:tc>
          <w:tcPr>
            <w:tcW w:w="1125" w:type="pct"/>
            <w:noWrap/>
            <w:vAlign w:val="center"/>
          </w:tcPr>
          <w:p w14:paraId="75B83A9B">
            <w:pPr>
              <w:snapToGrid w:val="0"/>
              <w:spacing w:line="240" w:lineRule="auto"/>
              <w:ind w:firstLine="0" w:firstLineChars="0"/>
              <w:jc w:val="center"/>
              <w:rPr>
                <w:sz w:val="21"/>
                <w:szCs w:val="21"/>
              </w:rPr>
            </w:pPr>
            <w:r>
              <w:rPr>
                <w:sz w:val="21"/>
                <w:szCs w:val="21"/>
              </w:rPr>
              <w:t>仙姑村</w:t>
            </w:r>
          </w:p>
        </w:tc>
        <w:tc>
          <w:tcPr>
            <w:tcW w:w="996" w:type="pct"/>
            <w:noWrap/>
            <w:vAlign w:val="center"/>
          </w:tcPr>
          <w:p w14:paraId="37AD3343">
            <w:pPr>
              <w:snapToGrid w:val="0"/>
              <w:spacing w:line="240" w:lineRule="auto"/>
              <w:ind w:firstLine="0" w:firstLineChars="0"/>
              <w:jc w:val="center"/>
              <w:rPr>
                <w:sz w:val="21"/>
                <w:szCs w:val="21"/>
              </w:rPr>
            </w:pPr>
            <w:r>
              <w:rPr>
                <w:sz w:val="21"/>
                <w:szCs w:val="21"/>
              </w:rPr>
              <w:t>阳山</w:t>
            </w:r>
          </w:p>
        </w:tc>
        <w:tc>
          <w:tcPr>
            <w:tcW w:w="1126" w:type="pct"/>
            <w:noWrap/>
            <w:vAlign w:val="center"/>
          </w:tcPr>
          <w:p w14:paraId="0A945AFF">
            <w:pPr>
              <w:snapToGrid w:val="0"/>
              <w:spacing w:line="240" w:lineRule="auto"/>
              <w:ind w:firstLine="0" w:firstLineChars="0"/>
              <w:jc w:val="center"/>
              <w:rPr>
                <w:sz w:val="21"/>
                <w:szCs w:val="21"/>
              </w:rPr>
            </w:pPr>
            <w:r>
              <w:rPr>
                <w:sz w:val="21"/>
                <w:szCs w:val="21"/>
              </w:rPr>
              <w:t>20</w:t>
            </w:r>
          </w:p>
        </w:tc>
        <w:tc>
          <w:tcPr>
            <w:tcW w:w="1126" w:type="pct"/>
            <w:noWrap/>
            <w:vAlign w:val="center"/>
          </w:tcPr>
          <w:p w14:paraId="7873B150">
            <w:pPr>
              <w:snapToGrid w:val="0"/>
              <w:spacing w:line="240" w:lineRule="auto"/>
              <w:ind w:firstLine="0" w:firstLineChars="0"/>
              <w:jc w:val="center"/>
              <w:rPr>
                <w:sz w:val="21"/>
                <w:szCs w:val="21"/>
              </w:rPr>
            </w:pPr>
            <w:r>
              <w:rPr>
                <w:rFonts w:hint="eastAsia"/>
                <w:sz w:val="21"/>
                <w:szCs w:val="21"/>
              </w:rPr>
              <w:t>二级</w:t>
            </w:r>
          </w:p>
        </w:tc>
      </w:tr>
      <w:tr w14:paraId="5ED35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355597C7">
            <w:pPr>
              <w:snapToGrid w:val="0"/>
              <w:spacing w:line="240" w:lineRule="auto"/>
              <w:ind w:firstLine="0" w:firstLineChars="0"/>
              <w:jc w:val="center"/>
              <w:rPr>
                <w:sz w:val="21"/>
                <w:szCs w:val="21"/>
              </w:rPr>
            </w:pPr>
            <w:r>
              <w:rPr>
                <w:sz w:val="21"/>
                <w:szCs w:val="21"/>
              </w:rPr>
              <w:t>31</w:t>
            </w:r>
          </w:p>
        </w:tc>
        <w:tc>
          <w:tcPr>
            <w:tcW w:w="1125" w:type="pct"/>
            <w:noWrap/>
            <w:vAlign w:val="center"/>
          </w:tcPr>
          <w:p w14:paraId="2FAC796C">
            <w:pPr>
              <w:snapToGrid w:val="0"/>
              <w:spacing w:line="240" w:lineRule="auto"/>
              <w:ind w:firstLine="0" w:firstLineChars="0"/>
              <w:jc w:val="center"/>
              <w:rPr>
                <w:sz w:val="21"/>
                <w:szCs w:val="21"/>
              </w:rPr>
            </w:pPr>
            <w:r>
              <w:rPr>
                <w:sz w:val="21"/>
                <w:szCs w:val="21"/>
              </w:rPr>
              <w:t>仙姑村</w:t>
            </w:r>
          </w:p>
        </w:tc>
        <w:tc>
          <w:tcPr>
            <w:tcW w:w="996" w:type="pct"/>
            <w:noWrap/>
            <w:vAlign w:val="center"/>
          </w:tcPr>
          <w:p w14:paraId="06BAECB2">
            <w:pPr>
              <w:snapToGrid w:val="0"/>
              <w:spacing w:line="240" w:lineRule="auto"/>
              <w:ind w:firstLine="0" w:firstLineChars="0"/>
              <w:jc w:val="center"/>
              <w:rPr>
                <w:sz w:val="21"/>
                <w:szCs w:val="21"/>
              </w:rPr>
            </w:pPr>
            <w:r>
              <w:rPr>
                <w:sz w:val="21"/>
                <w:szCs w:val="21"/>
              </w:rPr>
              <w:t>宜庄</w:t>
            </w:r>
          </w:p>
        </w:tc>
        <w:tc>
          <w:tcPr>
            <w:tcW w:w="1126" w:type="pct"/>
            <w:noWrap/>
            <w:vAlign w:val="center"/>
          </w:tcPr>
          <w:p w14:paraId="4C170E94">
            <w:pPr>
              <w:snapToGrid w:val="0"/>
              <w:spacing w:line="240" w:lineRule="auto"/>
              <w:ind w:firstLine="0" w:firstLineChars="0"/>
              <w:jc w:val="center"/>
              <w:rPr>
                <w:sz w:val="21"/>
                <w:szCs w:val="21"/>
              </w:rPr>
            </w:pPr>
            <w:r>
              <w:rPr>
                <w:sz w:val="21"/>
                <w:szCs w:val="21"/>
              </w:rPr>
              <w:t>20</w:t>
            </w:r>
          </w:p>
        </w:tc>
        <w:tc>
          <w:tcPr>
            <w:tcW w:w="1126" w:type="pct"/>
            <w:noWrap/>
            <w:vAlign w:val="center"/>
          </w:tcPr>
          <w:p w14:paraId="2B971A29">
            <w:pPr>
              <w:snapToGrid w:val="0"/>
              <w:spacing w:line="240" w:lineRule="auto"/>
              <w:ind w:firstLine="0" w:firstLineChars="0"/>
              <w:jc w:val="center"/>
              <w:rPr>
                <w:sz w:val="21"/>
                <w:szCs w:val="21"/>
              </w:rPr>
            </w:pPr>
            <w:r>
              <w:rPr>
                <w:rFonts w:hint="eastAsia"/>
                <w:sz w:val="21"/>
                <w:szCs w:val="21"/>
              </w:rPr>
              <w:t>二级</w:t>
            </w:r>
          </w:p>
        </w:tc>
      </w:tr>
      <w:tr w14:paraId="39BFF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6D54339A">
            <w:pPr>
              <w:snapToGrid w:val="0"/>
              <w:spacing w:line="240" w:lineRule="auto"/>
              <w:ind w:firstLine="0" w:firstLineChars="0"/>
              <w:jc w:val="center"/>
              <w:rPr>
                <w:sz w:val="21"/>
                <w:szCs w:val="21"/>
              </w:rPr>
            </w:pPr>
            <w:r>
              <w:rPr>
                <w:sz w:val="21"/>
                <w:szCs w:val="21"/>
              </w:rPr>
              <w:t>32</w:t>
            </w:r>
          </w:p>
        </w:tc>
        <w:tc>
          <w:tcPr>
            <w:tcW w:w="1125" w:type="pct"/>
            <w:noWrap/>
            <w:vAlign w:val="center"/>
          </w:tcPr>
          <w:p w14:paraId="524C7E4D">
            <w:pPr>
              <w:snapToGrid w:val="0"/>
              <w:spacing w:line="240" w:lineRule="auto"/>
              <w:ind w:firstLine="0" w:firstLineChars="0"/>
              <w:jc w:val="center"/>
              <w:rPr>
                <w:sz w:val="21"/>
                <w:szCs w:val="21"/>
              </w:rPr>
            </w:pPr>
            <w:r>
              <w:rPr>
                <w:sz w:val="21"/>
                <w:szCs w:val="21"/>
              </w:rPr>
              <w:t>仙姑村</w:t>
            </w:r>
          </w:p>
        </w:tc>
        <w:tc>
          <w:tcPr>
            <w:tcW w:w="996" w:type="pct"/>
            <w:noWrap/>
            <w:vAlign w:val="center"/>
          </w:tcPr>
          <w:p w14:paraId="5B96246A">
            <w:pPr>
              <w:snapToGrid w:val="0"/>
              <w:spacing w:line="240" w:lineRule="auto"/>
              <w:ind w:firstLine="0" w:firstLineChars="0"/>
              <w:jc w:val="center"/>
              <w:rPr>
                <w:sz w:val="21"/>
                <w:szCs w:val="21"/>
              </w:rPr>
            </w:pPr>
            <w:r>
              <w:rPr>
                <w:sz w:val="21"/>
                <w:szCs w:val="21"/>
              </w:rPr>
              <w:t>宜庄</w:t>
            </w:r>
          </w:p>
        </w:tc>
        <w:tc>
          <w:tcPr>
            <w:tcW w:w="1126" w:type="pct"/>
            <w:noWrap/>
            <w:vAlign w:val="center"/>
          </w:tcPr>
          <w:p w14:paraId="29FFEB8C">
            <w:pPr>
              <w:snapToGrid w:val="0"/>
              <w:spacing w:line="240" w:lineRule="auto"/>
              <w:ind w:firstLine="0" w:firstLineChars="0"/>
              <w:jc w:val="center"/>
              <w:rPr>
                <w:sz w:val="21"/>
                <w:szCs w:val="21"/>
              </w:rPr>
            </w:pPr>
            <w:r>
              <w:rPr>
                <w:sz w:val="21"/>
                <w:szCs w:val="21"/>
              </w:rPr>
              <w:t>20</w:t>
            </w:r>
          </w:p>
        </w:tc>
        <w:tc>
          <w:tcPr>
            <w:tcW w:w="1126" w:type="pct"/>
            <w:noWrap/>
            <w:vAlign w:val="center"/>
          </w:tcPr>
          <w:p w14:paraId="59FC290F">
            <w:pPr>
              <w:snapToGrid w:val="0"/>
              <w:spacing w:line="240" w:lineRule="auto"/>
              <w:ind w:firstLine="0" w:firstLineChars="0"/>
              <w:jc w:val="center"/>
              <w:rPr>
                <w:sz w:val="21"/>
                <w:szCs w:val="21"/>
              </w:rPr>
            </w:pPr>
            <w:r>
              <w:rPr>
                <w:rFonts w:hint="eastAsia"/>
                <w:sz w:val="21"/>
                <w:szCs w:val="21"/>
              </w:rPr>
              <w:t>二级</w:t>
            </w:r>
          </w:p>
        </w:tc>
      </w:tr>
      <w:tr w14:paraId="7162B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15828EF2">
            <w:pPr>
              <w:snapToGrid w:val="0"/>
              <w:spacing w:line="240" w:lineRule="auto"/>
              <w:ind w:firstLine="0" w:firstLineChars="0"/>
              <w:jc w:val="center"/>
              <w:rPr>
                <w:sz w:val="21"/>
                <w:szCs w:val="21"/>
              </w:rPr>
            </w:pPr>
            <w:r>
              <w:rPr>
                <w:sz w:val="21"/>
                <w:szCs w:val="21"/>
              </w:rPr>
              <w:t>33</w:t>
            </w:r>
          </w:p>
        </w:tc>
        <w:tc>
          <w:tcPr>
            <w:tcW w:w="1125" w:type="pct"/>
            <w:noWrap/>
            <w:vAlign w:val="center"/>
          </w:tcPr>
          <w:p w14:paraId="4CB2994E">
            <w:pPr>
              <w:snapToGrid w:val="0"/>
              <w:spacing w:line="240" w:lineRule="auto"/>
              <w:ind w:firstLine="0" w:firstLineChars="0"/>
              <w:jc w:val="center"/>
              <w:rPr>
                <w:sz w:val="21"/>
                <w:szCs w:val="21"/>
              </w:rPr>
            </w:pPr>
            <w:r>
              <w:rPr>
                <w:sz w:val="21"/>
                <w:szCs w:val="21"/>
              </w:rPr>
              <w:t>致和村</w:t>
            </w:r>
          </w:p>
        </w:tc>
        <w:tc>
          <w:tcPr>
            <w:tcW w:w="996" w:type="pct"/>
            <w:noWrap/>
            <w:vAlign w:val="center"/>
          </w:tcPr>
          <w:p w14:paraId="7AB0126F">
            <w:pPr>
              <w:snapToGrid w:val="0"/>
              <w:spacing w:line="240" w:lineRule="auto"/>
              <w:ind w:firstLine="0" w:firstLineChars="0"/>
              <w:jc w:val="center"/>
              <w:rPr>
                <w:sz w:val="21"/>
                <w:szCs w:val="21"/>
              </w:rPr>
            </w:pPr>
            <w:r>
              <w:rPr>
                <w:sz w:val="21"/>
                <w:szCs w:val="21"/>
              </w:rPr>
              <w:t>杭山</w:t>
            </w:r>
          </w:p>
        </w:tc>
        <w:tc>
          <w:tcPr>
            <w:tcW w:w="1126" w:type="pct"/>
            <w:noWrap/>
            <w:vAlign w:val="center"/>
          </w:tcPr>
          <w:p w14:paraId="4FC02901">
            <w:pPr>
              <w:snapToGrid w:val="0"/>
              <w:spacing w:line="240" w:lineRule="auto"/>
              <w:ind w:firstLine="0" w:firstLineChars="0"/>
              <w:jc w:val="center"/>
              <w:rPr>
                <w:sz w:val="21"/>
                <w:szCs w:val="21"/>
              </w:rPr>
            </w:pPr>
            <w:r>
              <w:rPr>
                <w:sz w:val="21"/>
                <w:szCs w:val="21"/>
              </w:rPr>
              <w:t>30</w:t>
            </w:r>
          </w:p>
        </w:tc>
        <w:tc>
          <w:tcPr>
            <w:tcW w:w="1126" w:type="pct"/>
            <w:noWrap/>
            <w:vAlign w:val="center"/>
          </w:tcPr>
          <w:p w14:paraId="19F1EECC">
            <w:pPr>
              <w:snapToGrid w:val="0"/>
              <w:spacing w:line="240" w:lineRule="auto"/>
              <w:ind w:firstLine="0" w:firstLineChars="0"/>
              <w:jc w:val="center"/>
              <w:rPr>
                <w:sz w:val="21"/>
                <w:szCs w:val="21"/>
              </w:rPr>
            </w:pPr>
            <w:r>
              <w:rPr>
                <w:rFonts w:hint="eastAsia"/>
                <w:sz w:val="21"/>
                <w:szCs w:val="21"/>
              </w:rPr>
              <w:t>二级</w:t>
            </w:r>
          </w:p>
        </w:tc>
      </w:tr>
      <w:tr w14:paraId="2046A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noWrap/>
            <w:vAlign w:val="center"/>
          </w:tcPr>
          <w:p w14:paraId="73F9D8B4">
            <w:pPr>
              <w:snapToGrid w:val="0"/>
              <w:spacing w:line="240" w:lineRule="auto"/>
              <w:ind w:firstLine="0" w:firstLineChars="0"/>
              <w:jc w:val="center"/>
              <w:rPr>
                <w:sz w:val="21"/>
                <w:szCs w:val="21"/>
              </w:rPr>
            </w:pPr>
            <w:r>
              <w:rPr>
                <w:sz w:val="21"/>
                <w:szCs w:val="21"/>
              </w:rPr>
              <w:t>34</w:t>
            </w:r>
          </w:p>
        </w:tc>
        <w:tc>
          <w:tcPr>
            <w:tcW w:w="1125" w:type="pct"/>
            <w:noWrap/>
            <w:vAlign w:val="center"/>
          </w:tcPr>
          <w:p w14:paraId="52FB6FA5">
            <w:pPr>
              <w:snapToGrid w:val="0"/>
              <w:spacing w:line="240" w:lineRule="auto"/>
              <w:ind w:firstLine="0" w:firstLineChars="0"/>
              <w:jc w:val="center"/>
              <w:rPr>
                <w:sz w:val="21"/>
                <w:szCs w:val="21"/>
              </w:rPr>
            </w:pPr>
            <w:r>
              <w:rPr>
                <w:sz w:val="21"/>
                <w:szCs w:val="21"/>
              </w:rPr>
              <w:t>致和村</w:t>
            </w:r>
          </w:p>
        </w:tc>
        <w:tc>
          <w:tcPr>
            <w:tcW w:w="996" w:type="pct"/>
            <w:noWrap/>
            <w:vAlign w:val="center"/>
          </w:tcPr>
          <w:p w14:paraId="12F6E955">
            <w:pPr>
              <w:snapToGrid w:val="0"/>
              <w:spacing w:line="240" w:lineRule="auto"/>
              <w:ind w:firstLine="0" w:firstLineChars="0"/>
              <w:jc w:val="center"/>
              <w:rPr>
                <w:sz w:val="21"/>
                <w:szCs w:val="21"/>
              </w:rPr>
            </w:pPr>
            <w:r>
              <w:rPr>
                <w:sz w:val="21"/>
                <w:szCs w:val="21"/>
              </w:rPr>
              <w:t>藤甲</w:t>
            </w:r>
          </w:p>
        </w:tc>
        <w:tc>
          <w:tcPr>
            <w:tcW w:w="1126" w:type="pct"/>
            <w:noWrap/>
            <w:vAlign w:val="center"/>
          </w:tcPr>
          <w:p w14:paraId="256213EF">
            <w:pPr>
              <w:snapToGrid w:val="0"/>
              <w:spacing w:line="240" w:lineRule="auto"/>
              <w:ind w:firstLine="0" w:firstLineChars="0"/>
              <w:jc w:val="center"/>
              <w:rPr>
                <w:sz w:val="21"/>
                <w:szCs w:val="21"/>
              </w:rPr>
            </w:pPr>
            <w:r>
              <w:rPr>
                <w:sz w:val="21"/>
                <w:szCs w:val="21"/>
              </w:rPr>
              <w:t>30</w:t>
            </w:r>
          </w:p>
        </w:tc>
        <w:tc>
          <w:tcPr>
            <w:tcW w:w="1126" w:type="pct"/>
            <w:noWrap/>
            <w:vAlign w:val="center"/>
          </w:tcPr>
          <w:p w14:paraId="3EA37830">
            <w:pPr>
              <w:snapToGrid w:val="0"/>
              <w:spacing w:line="240" w:lineRule="auto"/>
              <w:ind w:firstLine="0" w:firstLineChars="0"/>
              <w:jc w:val="center"/>
              <w:rPr>
                <w:sz w:val="21"/>
                <w:szCs w:val="21"/>
              </w:rPr>
            </w:pPr>
            <w:r>
              <w:rPr>
                <w:rFonts w:hint="eastAsia"/>
                <w:sz w:val="21"/>
                <w:szCs w:val="21"/>
              </w:rPr>
              <w:t>二级</w:t>
            </w:r>
          </w:p>
        </w:tc>
      </w:tr>
      <w:tr w14:paraId="7D7DC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46" w:type="pct"/>
            <w:gridSpan w:val="3"/>
            <w:noWrap/>
            <w:vAlign w:val="center"/>
          </w:tcPr>
          <w:p w14:paraId="511DCA86">
            <w:pPr>
              <w:snapToGrid w:val="0"/>
              <w:spacing w:line="240" w:lineRule="auto"/>
              <w:ind w:firstLine="0" w:firstLineChars="0"/>
              <w:jc w:val="center"/>
              <w:rPr>
                <w:b/>
                <w:bCs/>
                <w:sz w:val="21"/>
                <w:szCs w:val="21"/>
              </w:rPr>
            </w:pPr>
            <w:r>
              <w:rPr>
                <w:rFonts w:hint="eastAsia"/>
                <w:b/>
                <w:bCs/>
                <w:sz w:val="21"/>
                <w:szCs w:val="21"/>
              </w:rPr>
              <w:t>合计</w:t>
            </w:r>
          </w:p>
        </w:tc>
        <w:tc>
          <w:tcPr>
            <w:tcW w:w="1126" w:type="pct"/>
            <w:noWrap/>
            <w:vAlign w:val="center"/>
          </w:tcPr>
          <w:p w14:paraId="7EEF5EFA">
            <w:pPr>
              <w:snapToGrid w:val="0"/>
              <w:spacing w:line="240" w:lineRule="auto"/>
              <w:ind w:firstLine="0" w:firstLineChars="0"/>
              <w:jc w:val="center"/>
              <w:rPr>
                <w:b/>
                <w:bCs/>
                <w:sz w:val="21"/>
                <w:szCs w:val="21"/>
              </w:rPr>
            </w:pPr>
            <w:r>
              <w:rPr>
                <w:rFonts w:hint="eastAsia"/>
                <w:b/>
                <w:bCs/>
                <w:sz w:val="21"/>
                <w:szCs w:val="21"/>
              </w:rPr>
              <w:t>986</w:t>
            </w:r>
          </w:p>
        </w:tc>
        <w:tc>
          <w:tcPr>
            <w:tcW w:w="1126" w:type="pct"/>
            <w:noWrap/>
            <w:vAlign w:val="center"/>
          </w:tcPr>
          <w:p w14:paraId="401B9707">
            <w:pPr>
              <w:snapToGrid w:val="0"/>
              <w:spacing w:line="240" w:lineRule="auto"/>
              <w:ind w:firstLine="0" w:firstLineChars="0"/>
              <w:jc w:val="center"/>
              <w:rPr>
                <w:b/>
                <w:bCs/>
                <w:sz w:val="21"/>
                <w:szCs w:val="21"/>
              </w:rPr>
            </w:pPr>
            <w:r>
              <w:rPr>
                <w:rFonts w:hint="eastAsia"/>
                <w:b/>
                <w:bCs/>
                <w:sz w:val="21"/>
                <w:szCs w:val="21"/>
              </w:rPr>
              <w:t>/</w:t>
            </w:r>
          </w:p>
        </w:tc>
      </w:tr>
    </w:tbl>
    <w:p w14:paraId="5DEC0D33">
      <w:pPr>
        <w:ind w:firstLine="480" w:firstLineChars="0"/>
      </w:pPr>
      <w:r>
        <w:rPr>
          <w:rFonts w:hint="eastAsia"/>
        </w:rPr>
        <w:t>2024年，薛埠镇人民政府对区域内部分农村分散式污水处理设施水质情况开展了委托检测，根据相关检测数据，现状农村分散式污水处理设施运行情况较好，出水水质均满足《农村生活污水处理设施水污染物排放标准》（DB32/3462-2020）表1二级标准要求。</w:t>
      </w:r>
    </w:p>
    <w:p w14:paraId="43C35689">
      <w:pPr>
        <w:pStyle w:val="45"/>
        <w:rPr>
          <w:rFonts w:cs="Times New Roman"/>
        </w:rPr>
      </w:pPr>
      <w:r>
        <w:rPr>
          <w:rFonts w:cs="Times New Roman"/>
        </w:rPr>
        <w:t>表3.4-</w:t>
      </w:r>
      <w:r>
        <w:rPr>
          <w:rFonts w:hint="eastAsia" w:cs="Times New Roman"/>
        </w:rPr>
        <w:t>8</w:t>
      </w:r>
      <w:r>
        <w:rPr>
          <w:rFonts w:cs="Times New Roman"/>
        </w:rPr>
        <w:t xml:space="preserve">  </w:t>
      </w:r>
      <w:r>
        <w:rPr>
          <w:rFonts w:hint="eastAsia" w:cs="Times New Roman"/>
        </w:rPr>
        <w:t>（部分）农村</w:t>
      </w:r>
      <w:r>
        <w:rPr>
          <w:rFonts w:cs="Times New Roman"/>
        </w:rPr>
        <w:t>分散式污水</w:t>
      </w:r>
      <w:r>
        <w:rPr>
          <w:rFonts w:hint="eastAsia" w:cs="Times New Roman"/>
        </w:rPr>
        <w:t>处理设施出水水质监测数据</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1218"/>
        <w:gridCol w:w="1452"/>
        <w:gridCol w:w="1171"/>
        <w:gridCol w:w="1171"/>
        <w:gridCol w:w="1171"/>
        <w:gridCol w:w="1173"/>
      </w:tblGrid>
      <w:tr w14:paraId="12BB1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1263" w:type="pct"/>
            <w:gridSpan w:val="2"/>
            <w:vMerge w:val="restart"/>
            <w:noWrap/>
            <w:vAlign w:val="center"/>
          </w:tcPr>
          <w:p w14:paraId="37DBAD06">
            <w:pPr>
              <w:widowControl/>
              <w:spacing w:line="240" w:lineRule="auto"/>
              <w:ind w:firstLine="0" w:firstLineChars="0"/>
              <w:jc w:val="center"/>
              <w:textAlignment w:val="bottom"/>
              <w:rPr>
                <w:rFonts w:ascii="仿宋_GB2312" w:hAnsi="Arial" w:cs="仿宋_GB2312"/>
                <w:b/>
                <w:bCs/>
                <w:color w:val="000000"/>
                <w:sz w:val="21"/>
                <w:szCs w:val="21"/>
              </w:rPr>
            </w:pPr>
            <w:r>
              <w:rPr>
                <w:rFonts w:hint="eastAsia" w:ascii="仿宋_GB2312" w:hAnsi="Arial" w:cs="仿宋_GB2312"/>
                <w:b/>
                <w:bCs/>
                <w:color w:val="000000"/>
                <w:sz w:val="21"/>
                <w:szCs w:val="21"/>
              </w:rPr>
              <w:t>设施名称</w:t>
            </w:r>
          </w:p>
        </w:tc>
        <w:tc>
          <w:tcPr>
            <w:tcW w:w="3736" w:type="pct"/>
            <w:gridSpan w:val="5"/>
            <w:vAlign w:val="center"/>
          </w:tcPr>
          <w:p w14:paraId="01897E33">
            <w:pPr>
              <w:widowControl/>
              <w:spacing w:line="240" w:lineRule="auto"/>
              <w:ind w:firstLine="0" w:firstLineChars="0"/>
              <w:jc w:val="center"/>
              <w:textAlignment w:val="bottom"/>
              <w:rPr>
                <w:rFonts w:ascii="仿宋_GB2312" w:hAnsi="Arial" w:cs="仿宋_GB2312"/>
                <w:b/>
                <w:bCs/>
                <w:color w:val="000000"/>
                <w:kern w:val="0"/>
                <w:sz w:val="21"/>
                <w:szCs w:val="21"/>
                <w:lang w:bidi="ar"/>
              </w:rPr>
            </w:pPr>
            <w:r>
              <w:rPr>
                <w:rFonts w:hint="eastAsia" w:ascii="仿宋_GB2312" w:hAnsi="Arial" w:cs="仿宋_GB2312"/>
                <w:b/>
                <w:bCs/>
                <w:color w:val="000000"/>
                <w:kern w:val="0"/>
                <w:sz w:val="21"/>
                <w:szCs w:val="21"/>
                <w:lang w:bidi="ar"/>
              </w:rPr>
              <w:t>污染物类型</w:t>
            </w:r>
          </w:p>
        </w:tc>
      </w:tr>
      <w:tr w14:paraId="23D94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63" w:type="pct"/>
            <w:gridSpan w:val="2"/>
            <w:vMerge w:val="continue"/>
            <w:noWrap/>
            <w:vAlign w:val="center"/>
          </w:tcPr>
          <w:p w14:paraId="2E194DF2">
            <w:pPr>
              <w:widowControl/>
              <w:spacing w:line="240" w:lineRule="auto"/>
              <w:ind w:firstLine="0" w:firstLineChars="0"/>
              <w:jc w:val="center"/>
              <w:textAlignment w:val="bottom"/>
              <w:rPr>
                <w:rFonts w:ascii="仿宋_GB2312" w:hAnsi="Arial" w:cs="仿宋_GB2312"/>
                <w:b/>
                <w:bCs/>
                <w:color w:val="000000"/>
                <w:sz w:val="21"/>
                <w:szCs w:val="21"/>
              </w:rPr>
            </w:pPr>
          </w:p>
        </w:tc>
        <w:tc>
          <w:tcPr>
            <w:tcW w:w="879" w:type="pct"/>
            <w:vAlign w:val="center"/>
          </w:tcPr>
          <w:p w14:paraId="1BD0039D">
            <w:pPr>
              <w:widowControl/>
              <w:spacing w:line="240" w:lineRule="auto"/>
              <w:ind w:firstLine="0" w:firstLineChars="0"/>
              <w:jc w:val="center"/>
              <w:textAlignment w:val="bottom"/>
              <w:rPr>
                <w:rFonts w:ascii="仿宋_GB2312" w:hAnsi="Arial" w:cs="仿宋_GB2312"/>
                <w:b/>
                <w:bCs/>
                <w:color w:val="000000"/>
                <w:kern w:val="0"/>
                <w:sz w:val="21"/>
                <w:szCs w:val="21"/>
                <w:lang w:bidi="ar"/>
              </w:rPr>
            </w:pPr>
            <w:r>
              <w:rPr>
                <w:rFonts w:ascii="仿宋_GB2312" w:hAnsi="Arial" w:cs="仿宋_GB2312"/>
                <w:b/>
                <w:bCs/>
                <w:color w:val="000000"/>
                <w:kern w:val="0"/>
                <w:sz w:val="21"/>
                <w:szCs w:val="21"/>
                <w:lang w:bidi="ar"/>
              </w:rPr>
              <w:t>化学需氧量</w:t>
            </w:r>
          </w:p>
        </w:tc>
        <w:tc>
          <w:tcPr>
            <w:tcW w:w="714" w:type="pct"/>
            <w:vAlign w:val="center"/>
          </w:tcPr>
          <w:p w14:paraId="16274CD5">
            <w:pPr>
              <w:widowControl/>
              <w:spacing w:line="240" w:lineRule="auto"/>
              <w:ind w:firstLine="0" w:firstLineChars="0"/>
              <w:jc w:val="center"/>
              <w:textAlignment w:val="bottom"/>
              <w:rPr>
                <w:rFonts w:ascii="仿宋_GB2312" w:hAnsi="Arial" w:cs="仿宋_GB2312"/>
                <w:b/>
                <w:bCs/>
                <w:color w:val="000000"/>
                <w:kern w:val="0"/>
                <w:sz w:val="21"/>
                <w:szCs w:val="21"/>
                <w:lang w:bidi="ar"/>
              </w:rPr>
            </w:pPr>
            <w:r>
              <w:rPr>
                <w:rFonts w:ascii="仿宋_GB2312" w:hAnsi="Arial" w:cs="仿宋_GB2312"/>
                <w:b/>
                <w:bCs/>
                <w:color w:val="000000"/>
                <w:kern w:val="0"/>
                <w:sz w:val="21"/>
                <w:szCs w:val="21"/>
                <w:lang w:bidi="ar"/>
              </w:rPr>
              <w:t>氨氮</w:t>
            </w:r>
          </w:p>
        </w:tc>
        <w:tc>
          <w:tcPr>
            <w:tcW w:w="714" w:type="pct"/>
            <w:vAlign w:val="center"/>
          </w:tcPr>
          <w:p w14:paraId="7CBB3857">
            <w:pPr>
              <w:widowControl/>
              <w:spacing w:line="240" w:lineRule="auto"/>
              <w:ind w:firstLine="0" w:firstLineChars="0"/>
              <w:jc w:val="center"/>
              <w:textAlignment w:val="bottom"/>
              <w:rPr>
                <w:rFonts w:ascii="仿宋_GB2312" w:hAnsi="Arial" w:cs="仿宋_GB2312"/>
                <w:b/>
                <w:bCs/>
                <w:color w:val="000000"/>
                <w:kern w:val="0"/>
                <w:sz w:val="21"/>
                <w:szCs w:val="21"/>
                <w:lang w:bidi="ar"/>
              </w:rPr>
            </w:pPr>
            <w:r>
              <w:rPr>
                <w:rFonts w:ascii="仿宋_GB2312" w:hAnsi="Arial" w:cs="仿宋_GB2312"/>
                <w:b/>
                <w:bCs/>
                <w:color w:val="000000"/>
                <w:kern w:val="0"/>
                <w:sz w:val="21"/>
                <w:szCs w:val="21"/>
                <w:lang w:bidi="ar"/>
              </w:rPr>
              <w:t>总氮</w:t>
            </w:r>
          </w:p>
        </w:tc>
        <w:tc>
          <w:tcPr>
            <w:tcW w:w="714" w:type="pct"/>
            <w:vAlign w:val="center"/>
          </w:tcPr>
          <w:p w14:paraId="356D6990">
            <w:pPr>
              <w:widowControl/>
              <w:spacing w:line="240" w:lineRule="auto"/>
              <w:ind w:firstLine="0" w:firstLineChars="0"/>
              <w:jc w:val="center"/>
              <w:textAlignment w:val="bottom"/>
              <w:rPr>
                <w:rFonts w:ascii="仿宋_GB2312" w:hAnsi="Arial" w:cs="仿宋_GB2312"/>
                <w:b/>
                <w:bCs/>
                <w:color w:val="000000"/>
                <w:kern w:val="0"/>
                <w:sz w:val="21"/>
                <w:szCs w:val="21"/>
                <w:lang w:bidi="ar"/>
              </w:rPr>
            </w:pPr>
            <w:r>
              <w:rPr>
                <w:rFonts w:ascii="仿宋_GB2312" w:hAnsi="Arial" w:cs="仿宋_GB2312"/>
                <w:b/>
                <w:bCs/>
                <w:color w:val="000000"/>
                <w:kern w:val="0"/>
                <w:sz w:val="21"/>
                <w:szCs w:val="21"/>
                <w:lang w:bidi="ar"/>
              </w:rPr>
              <w:t>总磷</w:t>
            </w:r>
          </w:p>
        </w:tc>
        <w:tc>
          <w:tcPr>
            <w:tcW w:w="714" w:type="pct"/>
            <w:vAlign w:val="center"/>
          </w:tcPr>
          <w:p w14:paraId="41779699">
            <w:pPr>
              <w:widowControl/>
              <w:spacing w:line="240" w:lineRule="auto"/>
              <w:ind w:firstLine="0" w:firstLineChars="0"/>
              <w:jc w:val="center"/>
              <w:textAlignment w:val="bottom"/>
              <w:rPr>
                <w:rFonts w:ascii="仿宋_GB2312" w:hAnsi="Arial" w:cs="仿宋_GB2312"/>
                <w:b/>
                <w:bCs/>
                <w:color w:val="000000"/>
                <w:kern w:val="0"/>
                <w:sz w:val="21"/>
                <w:szCs w:val="21"/>
                <w:lang w:bidi="ar"/>
              </w:rPr>
            </w:pPr>
            <w:r>
              <w:rPr>
                <w:rFonts w:ascii="仿宋_GB2312" w:hAnsi="Arial" w:cs="仿宋_GB2312"/>
                <w:b/>
                <w:bCs/>
                <w:color w:val="000000"/>
                <w:kern w:val="0"/>
                <w:sz w:val="21"/>
                <w:szCs w:val="21"/>
                <w:lang w:bidi="ar"/>
              </w:rPr>
              <w:t>悬浮物</w:t>
            </w:r>
          </w:p>
        </w:tc>
      </w:tr>
      <w:tr w14:paraId="5D615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17" w:type="pct"/>
            <w:noWrap/>
            <w:vAlign w:val="center"/>
          </w:tcPr>
          <w:p w14:paraId="621AE877">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山蓬村</w:t>
            </w:r>
          </w:p>
        </w:tc>
        <w:tc>
          <w:tcPr>
            <w:tcW w:w="645" w:type="pct"/>
            <w:noWrap/>
            <w:vAlign w:val="center"/>
          </w:tcPr>
          <w:p w14:paraId="3D54FCB1">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山棚</w:t>
            </w:r>
          </w:p>
        </w:tc>
        <w:tc>
          <w:tcPr>
            <w:tcW w:w="879" w:type="pct"/>
            <w:vAlign w:val="center"/>
          </w:tcPr>
          <w:p w14:paraId="006ED584">
            <w:pPr>
              <w:snapToGrid w:val="0"/>
              <w:spacing w:line="240" w:lineRule="auto"/>
              <w:ind w:firstLine="0" w:firstLineChars="0"/>
              <w:jc w:val="center"/>
              <w:rPr>
                <w:sz w:val="21"/>
                <w:szCs w:val="21"/>
              </w:rPr>
            </w:pPr>
            <w:r>
              <w:rPr>
                <w:sz w:val="21"/>
                <w:szCs w:val="21"/>
              </w:rPr>
              <w:t>12</w:t>
            </w:r>
          </w:p>
        </w:tc>
        <w:tc>
          <w:tcPr>
            <w:tcW w:w="714" w:type="pct"/>
            <w:vAlign w:val="center"/>
          </w:tcPr>
          <w:p w14:paraId="3701D9CF">
            <w:pPr>
              <w:snapToGrid w:val="0"/>
              <w:spacing w:line="240" w:lineRule="auto"/>
              <w:ind w:firstLine="0" w:firstLineChars="0"/>
              <w:jc w:val="center"/>
              <w:rPr>
                <w:sz w:val="21"/>
                <w:szCs w:val="21"/>
              </w:rPr>
            </w:pPr>
            <w:r>
              <w:rPr>
                <w:sz w:val="21"/>
                <w:szCs w:val="21"/>
              </w:rPr>
              <w:t>2.32</w:t>
            </w:r>
          </w:p>
        </w:tc>
        <w:tc>
          <w:tcPr>
            <w:tcW w:w="714" w:type="pct"/>
            <w:vAlign w:val="center"/>
          </w:tcPr>
          <w:p w14:paraId="5D0D9E29">
            <w:pPr>
              <w:snapToGrid w:val="0"/>
              <w:spacing w:line="240" w:lineRule="auto"/>
              <w:ind w:firstLine="0" w:firstLineChars="0"/>
              <w:jc w:val="center"/>
              <w:rPr>
                <w:sz w:val="21"/>
                <w:szCs w:val="21"/>
              </w:rPr>
            </w:pPr>
            <w:r>
              <w:rPr>
                <w:sz w:val="21"/>
                <w:szCs w:val="21"/>
              </w:rPr>
              <w:t>4.46</w:t>
            </w:r>
          </w:p>
        </w:tc>
        <w:tc>
          <w:tcPr>
            <w:tcW w:w="714" w:type="pct"/>
            <w:vAlign w:val="center"/>
          </w:tcPr>
          <w:p w14:paraId="6E796688">
            <w:pPr>
              <w:snapToGrid w:val="0"/>
              <w:spacing w:line="240" w:lineRule="auto"/>
              <w:ind w:firstLine="0" w:firstLineChars="0"/>
              <w:jc w:val="center"/>
              <w:rPr>
                <w:sz w:val="21"/>
                <w:szCs w:val="21"/>
              </w:rPr>
            </w:pPr>
            <w:r>
              <w:rPr>
                <w:sz w:val="21"/>
                <w:szCs w:val="21"/>
              </w:rPr>
              <w:t>0.67</w:t>
            </w:r>
          </w:p>
        </w:tc>
        <w:tc>
          <w:tcPr>
            <w:tcW w:w="714" w:type="pct"/>
            <w:vAlign w:val="center"/>
          </w:tcPr>
          <w:p w14:paraId="425F4EDD">
            <w:pPr>
              <w:snapToGrid w:val="0"/>
              <w:spacing w:line="240" w:lineRule="auto"/>
              <w:ind w:firstLine="0" w:firstLineChars="0"/>
              <w:jc w:val="center"/>
              <w:rPr>
                <w:sz w:val="21"/>
                <w:szCs w:val="21"/>
              </w:rPr>
            </w:pPr>
            <w:r>
              <w:rPr>
                <w:sz w:val="21"/>
                <w:szCs w:val="21"/>
              </w:rPr>
              <w:t>12</w:t>
            </w:r>
          </w:p>
        </w:tc>
      </w:tr>
      <w:tr w14:paraId="409C7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17" w:type="pct"/>
            <w:noWrap/>
            <w:vAlign w:val="center"/>
          </w:tcPr>
          <w:p w14:paraId="7B6057E0">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山蓬村</w:t>
            </w:r>
          </w:p>
        </w:tc>
        <w:tc>
          <w:tcPr>
            <w:tcW w:w="645" w:type="pct"/>
            <w:noWrap/>
            <w:vAlign w:val="center"/>
          </w:tcPr>
          <w:p w14:paraId="3A1834D2">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沈庄</w:t>
            </w:r>
          </w:p>
        </w:tc>
        <w:tc>
          <w:tcPr>
            <w:tcW w:w="879" w:type="pct"/>
            <w:vAlign w:val="center"/>
          </w:tcPr>
          <w:p w14:paraId="4DAF2D49">
            <w:pPr>
              <w:snapToGrid w:val="0"/>
              <w:spacing w:line="240" w:lineRule="auto"/>
              <w:ind w:firstLine="0" w:firstLineChars="0"/>
              <w:jc w:val="center"/>
              <w:rPr>
                <w:sz w:val="21"/>
                <w:szCs w:val="21"/>
              </w:rPr>
            </w:pPr>
            <w:r>
              <w:rPr>
                <w:sz w:val="21"/>
                <w:szCs w:val="21"/>
              </w:rPr>
              <w:t>11</w:t>
            </w:r>
          </w:p>
        </w:tc>
        <w:tc>
          <w:tcPr>
            <w:tcW w:w="714" w:type="pct"/>
            <w:vAlign w:val="center"/>
          </w:tcPr>
          <w:p w14:paraId="546930EB">
            <w:pPr>
              <w:snapToGrid w:val="0"/>
              <w:spacing w:line="240" w:lineRule="auto"/>
              <w:ind w:firstLine="0" w:firstLineChars="0"/>
              <w:jc w:val="center"/>
              <w:rPr>
                <w:sz w:val="21"/>
                <w:szCs w:val="21"/>
              </w:rPr>
            </w:pPr>
            <w:r>
              <w:rPr>
                <w:sz w:val="21"/>
                <w:szCs w:val="21"/>
              </w:rPr>
              <w:t>1.32</w:t>
            </w:r>
          </w:p>
        </w:tc>
        <w:tc>
          <w:tcPr>
            <w:tcW w:w="714" w:type="pct"/>
            <w:vAlign w:val="center"/>
          </w:tcPr>
          <w:p w14:paraId="62869AAF">
            <w:pPr>
              <w:snapToGrid w:val="0"/>
              <w:spacing w:line="240" w:lineRule="auto"/>
              <w:ind w:firstLine="0" w:firstLineChars="0"/>
              <w:jc w:val="center"/>
              <w:rPr>
                <w:sz w:val="21"/>
                <w:szCs w:val="21"/>
              </w:rPr>
            </w:pPr>
            <w:r>
              <w:rPr>
                <w:sz w:val="21"/>
                <w:szCs w:val="21"/>
              </w:rPr>
              <w:t>2.57</w:t>
            </w:r>
          </w:p>
        </w:tc>
        <w:tc>
          <w:tcPr>
            <w:tcW w:w="714" w:type="pct"/>
            <w:vAlign w:val="center"/>
          </w:tcPr>
          <w:p w14:paraId="60E91A51">
            <w:pPr>
              <w:snapToGrid w:val="0"/>
              <w:spacing w:line="240" w:lineRule="auto"/>
              <w:ind w:firstLine="0" w:firstLineChars="0"/>
              <w:jc w:val="center"/>
              <w:rPr>
                <w:sz w:val="21"/>
                <w:szCs w:val="21"/>
              </w:rPr>
            </w:pPr>
            <w:r>
              <w:rPr>
                <w:sz w:val="21"/>
                <w:szCs w:val="21"/>
              </w:rPr>
              <w:t>1.76</w:t>
            </w:r>
          </w:p>
        </w:tc>
        <w:tc>
          <w:tcPr>
            <w:tcW w:w="714" w:type="pct"/>
            <w:vAlign w:val="center"/>
          </w:tcPr>
          <w:p w14:paraId="69A38118">
            <w:pPr>
              <w:snapToGrid w:val="0"/>
              <w:spacing w:line="240" w:lineRule="auto"/>
              <w:ind w:firstLine="0" w:firstLineChars="0"/>
              <w:jc w:val="center"/>
              <w:rPr>
                <w:sz w:val="21"/>
                <w:szCs w:val="21"/>
              </w:rPr>
            </w:pPr>
            <w:r>
              <w:rPr>
                <w:sz w:val="21"/>
                <w:szCs w:val="21"/>
              </w:rPr>
              <w:t>12</w:t>
            </w:r>
          </w:p>
        </w:tc>
      </w:tr>
      <w:tr w14:paraId="02402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17" w:type="pct"/>
            <w:noWrap/>
            <w:vAlign w:val="center"/>
          </w:tcPr>
          <w:p w14:paraId="4D7E8F3E">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山蓬村</w:t>
            </w:r>
          </w:p>
        </w:tc>
        <w:tc>
          <w:tcPr>
            <w:tcW w:w="645" w:type="pct"/>
            <w:noWrap/>
            <w:vAlign w:val="center"/>
          </w:tcPr>
          <w:p w14:paraId="0B4A1831">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下庄</w:t>
            </w:r>
          </w:p>
        </w:tc>
        <w:tc>
          <w:tcPr>
            <w:tcW w:w="879" w:type="pct"/>
            <w:vAlign w:val="center"/>
          </w:tcPr>
          <w:p w14:paraId="348EBB09">
            <w:pPr>
              <w:snapToGrid w:val="0"/>
              <w:spacing w:line="240" w:lineRule="auto"/>
              <w:ind w:firstLine="0" w:firstLineChars="0"/>
              <w:jc w:val="center"/>
              <w:rPr>
                <w:sz w:val="21"/>
                <w:szCs w:val="21"/>
              </w:rPr>
            </w:pPr>
            <w:r>
              <w:rPr>
                <w:sz w:val="21"/>
                <w:szCs w:val="21"/>
              </w:rPr>
              <w:t>10</w:t>
            </w:r>
          </w:p>
        </w:tc>
        <w:tc>
          <w:tcPr>
            <w:tcW w:w="714" w:type="pct"/>
            <w:vAlign w:val="center"/>
          </w:tcPr>
          <w:p w14:paraId="62AA1AB0">
            <w:pPr>
              <w:snapToGrid w:val="0"/>
              <w:spacing w:line="240" w:lineRule="auto"/>
              <w:ind w:firstLine="0" w:firstLineChars="0"/>
              <w:jc w:val="center"/>
              <w:rPr>
                <w:sz w:val="21"/>
                <w:szCs w:val="21"/>
              </w:rPr>
            </w:pPr>
            <w:r>
              <w:rPr>
                <w:sz w:val="21"/>
                <w:szCs w:val="21"/>
              </w:rPr>
              <w:t>3.92</w:t>
            </w:r>
          </w:p>
        </w:tc>
        <w:tc>
          <w:tcPr>
            <w:tcW w:w="714" w:type="pct"/>
            <w:vAlign w:val="center"/>
          </w:tcPr>
          <w:p w14:paraId="32CECAA6">
            <w:pPr>
              <w:snapToGrid w:val="0"/>
              <w:spacing w:line="240" w:lineRule="auto"/>
              <w:ind w:firstLine="0" w:firstLineChars="0"/>
              <w:jc w:val="center"/>
              <w:rPr>
                <w:sz w:val="21"/>
                <w:szCs w:val="21"/>
              </w:rPr>
            </w:pPr>
            <w:r>
              <w:rPr>
                <w:sz w:val="21"/>
                <w:szCs w:val="21"/>
              </w:rPr>
              <w:t>7.6</w:t>
            </w:r>
          </w:p>
        </w:tc>
        <w:tc>
          <w:tcPr>
            <w:tcW w:w="714" w:type="pct"/>
            <w:vAlign w:val="center"/>
          </w:tcPr>
          <w:p w14:paraId="42410DAF">
            <w:pPr>
              <w:snapToGrid w:val="0"/>
              <w:spacing w:line="240" w:lineRule="auto"/>
              <w:ind w:firstLine="0" w:firstLineChars="0"/>
              <w:jc w:val="center"/>
              <w:rPr>
                <w:sz w:val="21"/>
                <w:szCs w:val="21"/>
              </w:rPr>
            </w:pPr>
            <w:r>
              <w:rPr>
                <w:sz w:val="21"/>
                <w:szCs w:val="21"/>
              </w:rPr>
              <w:t>0.58</w:t>
            </w:r>
          </w:p>
        </w:tc>
        <w:tc>
          <w:tcPr>
            <w:tcW w:w="714" w:type="pct"/>
            <w:vAlign w:val="center"/>
          </w:tcPr>
          <w:p w14:paraId="54B6C212">
            <w:pPr>
              <w:snapToGrid w:val="0"/>
              <w:spacing w:line="240" w:lineRule="auto"/>
              <w:ind w:firstLine="0" w:firstLineChars="0"/>
              <w:jc w:val="center"/>
              <w:rPr>
                <w:sz w:val="21"/>
                <w:szCs w:val="21"/>
              </w:rPr>
            </w:pPr>
            <w:r>
              <w:rPr>
                <w:sz w:val="21"/>
                <w:szCs w:val="21"/>
              </w:rPr>
              <w:t>12</w:t>
            </w:r>
          </w:p>
        </w:tc>
      </w:tr>
      <w:tr w14:paraId="17468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17" w:type="pct"/>
            <w:noWrap/>
            <w:vAlign w:val="center"/>
          </w:tcPr>
          <w:p w14:paraId="71663930">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上阮村</w:t>
            </w:r>
          </w:p>
        </w:tc>
        <w:tc>
          <w:tcPr>
            <w:tcW w:w="645" w:type="pct"/>
            <w:noWrap/>
            <w:vAlign w:val="center"/>
          </w:tcPr>
          <w:p w14:paraId="79ACCDB0">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赤岗</w:t>
            </w:r>
          </w:p>
        </w:tc>
        <w:tc>
          <w:tcPr>
            <w:tcW w:w="879" w:type="pct"/>
            <w:vAlign w:val="center"/>
          </w:tcPr>
          <w:p w14:paraId="755BD564">
            <w:pPr>
              <w:snapToGrid w:val="0"/>
              <w:spacing w:line="240" w:lineRule="auto"/>
              <w:ind w:firstLine="0" w:firstLineChars="0"/>
              <w:jc w:val="center"/>
              <w:rPr>
                <w:sz w:val="21"/>
                <w:szCs w:val="21"/>
              </w:rPr>
            </w:pPr>
            <w:r>
              <w:rPr>
                <w:sz w:val="21"/>
                <w:szCs w:val="21"/>
              </w:rPr>
              <w:t>10</w:t>
            </w:r>
          </w:p>
        </w:tc>
        <w:tc>
          <w:tcPr>
            <w:tcW w:w="714" w:type="pct"/>
            <w:vAlign w:val="center"/>
          </w:tcPr>
          <w:p w14:paraId="5F16524A">
            <w:pPr>
              <w:snapToGrid w:val="0"/>
              <w:spacing w:line="240" w:lineRule="auto"/>
              <w:ind w:firstLine="0" w:firstLineChars="0"/>
              <w:jc w:val="center"/>
              <w:rPr>
                <w:sz w:val="21"/>
                <w:szCs w:val="21"/>
              </w:rPr>
            </w:pPr>
            <w:r>
              <w:rPr>
                <w:sz w:val="21"/>
                <w:szCs w:val="21"/>
              </w:rPr>
              <w:t>1.51</w:t>
            </w:r>
          </w:p>
        </w:tc>
        <w:tc>
          <w:tcPr>
            <w:tcW w:w="714" w:type="pct"/>
            <w:vAlign w:val="center"/>
          </w:tcPr>
          <w:p w14:paraId="765FCF8D">
            <w:pPr>
              <w:snapToGrid w:val="0"/>
              <w:spacing w:line="240" w:lineRule="auto"/>
              <w:ind w:firstLine="0" w:firstLineChars="0"/>
              <w:jc w:val="center"/>
              <w:rPr>
                <w:sz w:val="21"/>
                <w:szCs w:val="21"/>
              </w:rPr>
            </w:pPr>
            <w:r>
              <w:rPr>
                <w:sz w:val="21"/>
                <w:szCs w:val="21"/>
              </w:rPr>
              <w:t>2.86</w:t>
            </w:r>
          </w:p>
        </w:tc>
        <w:tc>
          <w:tcPr>
            <w:tcW w:w="714" w:type="pct"/>
            <w:vAlign w:val="center"/>
          </w:tcPr>
          <w:p w14:paraId="54AA38ED">
            <w:pPr>
              <w:snapToGrid w:val="0"/>
              <w:spacing w:line="240" w:lineRule="auto"/>
              <w:ind w:firstLine="0" w:firstLineChars="0"/>
              <w:jc w:val="center"/>
              <w:rPr>
                <w:sz w:val="21"/>
                <w:szCs w:val="21"/>
              </w:rPr>
            </w:pPr>
            <w:r>
              <w:rPr>
                <w:sz w:val="21"/>
                <w:szCs w:val="21"/>
              </w:rPr>
              <w:t>0.4</w:t>
            </w:r>
          </w:p>
        </w:tc>
        <w:tc>
          <w:tcPr>
            <w:tcW w:w="714" w:type="pct"/>
            <w:vAlign w:val="center"/>
          </w:tcPr>
          <w:p w14:paraId="2156BABC">
            <w:pPr>
              <w:snapToGrid w:val="0"/>
              <w:spacing w:line="240" w:lineRule="auto"/>
              <w:ind w:firstLine="0" w:firstLineChars="0"/>
              <w:jc w:val="center"/>
              <w:rPr>
                <w:sz w:val="21"/>
                <w:szCs w:val="21"/>
              </w:rPr>
            </w:pPr>
            <w:r>
              <w:rPr>
                <w:sz w:val="21"/>
                <w:szCs w:val="21"/>
              </w:rPr>
              <w:t>9</w:t>
            </w:r>
          </w:p>
        </w:tc>
      </w:tr>
      <w:tr w14:paraId="1DBEC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17" w:type="pct"/>
            <w:noWrap/>
            <w:vAlign w:val="center"/>
          </w:tcPr>
          <w:p w14:paraId="06E60F51">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上阮村</w:t>
            </w:r>
          </w:p>
        </w:tc>
        <w:tc>
          <w:tcPr>
            <w:tcW w:w="645" w:type="pct"/>
            <w:noWrap/>
            <w:vAlign w:val="center"/>
          </w:tcPr>
          <w:p w14:paraId="42E65644">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赤岗</w:t>
            </w:r>
          </w:p>
        </w:tc>
        <w:tc>
          <w:tcPr>
            <w:tcW w:w="879" w:type="pct"/>
            <w:vAlign w:val="center"/>
          </w:tcPr>
          <w:p w14:paraId="19883F41">
            <w:pPr>
              <w:snapToGrid w:val="0"/>
              <w:spacing w:line="240" w:lineRule="auto"/>
              <w:ind w:firstLine="0" w:firstLineChars="0"/>
              <w:jc w:val="center"/>
              <w:rPr>
                <w:sz w:val="21"/>
                <w:szCs w:val="21"/>
              </w:rPr>
            </w:pPr>
            <w:r>
              <w:rPr>
                <w:sz w:val="21"/>
                <w:szCs w:val="21"/>
              </w:rPr>
              <w:t>10</w:t>
            </w:r>
          </w:p>
        </w:tc>
        <w:tc>
          <w:tcPr>
            <w:tcW w:w="714" w:type="pct"/>
            <w:vAlign w:val="center"/>
          </w:tcPr>
          <w:p w14:paraId="1AEF5E35">
            <w:pPr>
              <w:snapToGrid w:val="0"/>
              <w:spacing w:line="240" w:lineRule="auto"/>
              <w:ind w:firstLine="0" w:firstLineChars="0"/>
              <w:jc w:val="center"/>
              <w:rPr>
                <w:sz w:val="21"/>
                <w:szCs w:val="21"/>
              </w:rPr>
            </w:pPr>
            <w:r>
              <w:rPr>
                <w:sz w:val="21"/>
                <w:szCs w:val="21"/>
              </w:rPr>
              <w:t>3.02</w:t>
            </w:r>
          </w:p>
        </w:tc>
        <w:tc>
          <w:tcPr>
            <w:tcW w:w="714" w:type="pct"/>
            <w:vAlign w:val="center"/>
          </w:tcPr>
          <w:p w14:paraId="6BFDD691">
            <w:pPr>
              <w:snapToGrid w:val="0"/>
              <w:spacing w:line="240" w:lineRule="auto"/>
              <w:ind w:firstLine="0" w:firstLineChars="0"/>
              <w:jc w:val="center"/>
              <w:rPr>
                <w:sz w:val="21"/>
                <w:szCs w:val="21"/>
              </w:rPr>
            </w:pPr>
            <w:r>
              <w:rPr>
                <w:sz w:val="21"/>
                <w:szCs w:val="21"/>
              </w:rPr>
              <w:t>6.4</w:t>
            </w:r>
          </w:p>
        </w:tc>
        <w:tc>
          <w:tcPr>
            <w:tcW w:w="714" w:type="pct"/>
            <w:vAlign w:val="center"/>
          </w:tcPr>
          <w:p w14:paraId="041D652D">
            <w:pPr>
              <w:snapToGrid w:val="0"/>
              <w:spacing w:line="240" w:lineRule="auto"/>
              <w:ind w:firstLine="0" w:firstLineChars="0"/>
              <w:jc w:val="center"/>
              <w:rPr>
                <w:sz w:val="21"/>
                <w:szCs w:val="21"/>
              </w:rPr>
            </w:pPr>
            <w:r>
              <w:rPr>
                <w:sz w:val="21"/>
                <w:szCs w:val="21"/>
              </w:rPr>
              <w:t>1.91</w:t>
            </w:r>
          </w:p>
        </w:tc>
        <w:tc>
          <w:tcPr>
            <w:tcW w:w="714" w:type="pct"/>
            <w:vAlign w:val="center"/>
          </w:tcPr>
          <w:p w14:paraId="76BF236B">
            <w:pPr>
              <w:snapToGrid w:val="0"/>
              <w:spacing w:line="240" w:lineRule="auto"/>
              <w:ind w:firstLine="0" w:firstLineChars="0"/>
              <w:jc w:val="center"/>
              <w:rPr>
                <w:sz w:val="21"/>
                <w:szCs w:val="21"/>
              </w:rPr>
            </w:pPr>
            <w:r>
              <w:rPr>
                <w:sz w:val="21"/>
                <w:szCs w:val="21"/>
              </w:rPr>
              <w:t>10</w:t>
            </w:r>
          </w:p>
        </w:tc>
      </w:tr>
      <w:tr w14:paraId="736E5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17" w:type="pct"/>
            <w:noWrap/>
            <w:vAlign w:val="center"/>
          </w:tcPr>
          <w:p w14:paraId="3B3CFAD1">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上阮村</w:t>
            </w:r>
          </w:p>
        </w:tc>
        <w:tc>
          <w:tcPr>
            <w:tcW w:w="645" w:type="pct"/>
            <w:noWrap/>
            <w:vAlign w:val="center"/>
          </w:tcPr>
          <w:p w14:paraId="2D6F0316">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上阮</w:t>
            </w:r>
          </w:p>
        </w:tc>
        <w:tc>
          <w:tcPr>
            <w:tcW w:w="879" w:type="pct"/>
            <w:vAlign w:val="center"/>
          </w:tcPr>
          <w:p w14:paraId="16D630B2">
            <w:pPr>
              <w:snapToGrid w:val="0"/>
              <w:spacing w:line="240" w:lineRule="auto"/>
              <w:ind w:firstLine="0" w:firstLineChars="0"/>
              <w:jc w:val="center"/>
              <w:rPr>
                <w:sz w:val="21"/>
                <w:szCs w:val="21"/>
              </w:rPr>
            </w:pPr>
            <w:r>
              <w:rPr>
                <w:sz w:val="21"/>
                <w:szCs w:val="21"/>
              </w:rPr>
              <w:t>11</w:t>
            </w:r>
          </w:p>
        </w:tc>
        <w:tc>
          <w:tcPr>
            <w:tcW w:w="714" w:type="pct"/>
            <w:vAlign w:val="center"/>
          </w:tcPr>
          <w:p w14:paraId="3216DE01">
            <w:pPr>
              <w:snapToGrid w:val="0"/>
              <w:spacing w:line="240" w:lineRule="auto"/>
              <w:ind w:firstLine="0" w:firstLineChars="0"/>
              <w:jc w:val="center"/>
              <w:rPr>
                <w:sz w:val="21"/>
                <w:szCs w:val="21"/>
              </w:rPr>
            </w:pPr>
            <w:r>
              <w:rPr>
                <w:sz w:val="21"/>
                <w:szCs w:val="21"/>
              </w:rPr>
              <w:t>0.442</w:t>
            </w:r>
          </w:p>
        </w:tc>
        <w:tc>
          <w:tcPr>
            <w:tcW w:w="714" w:type="pct"/>
            <w:vAlign w:val="center"/>
          </w:tcPr>
          <w:p w14:paraId="324F8ED3">
            <w:pPr>
              <w:snapToGrid w:val="0"/>
              <w:spacing w:line="240" w:lineRule="auto"/>
              <w:ind w:firstLine="0" w:firstLineChars="0"/>
              <w:jc w:val="center"/>
              <w:rPr>
                <w:sz w:val="21"/>
                <w:szCs w:val="21"/>
              </w:rPr>
            </w:pPr>
            <w:r>
              <w:rPr>
                <w:sz w:val="21"/>
                <w:szCs w:val="21"/>
              </w:rPr>
              <w:t>0.85</w:t>
            </w:r>
          </w:p>
        </w:tc>
        <w:tc>
          <w:tcPr>
            <w:tcW w:w="714" w:type="pct"/>
            <w:vAlign w:val="center"/>
          </w:tcPr>
          <w:p w14:paraId="312712EA">
            <w:pPr>
              <w:snapToGrid w:val="0"/>
              <w:spacing w:line="240" w:lineRule="auto"/>
              <w:ind w:firstLine="0" w:firstLineChars="0"/>
              <w:jc w:val="center"/>
              <w:rPr>
                <w:sz w:val="21"/>
                <w:szCs w:val="21"/>
              </w:rPr>
            </w:pPr>
            <w:r>
              <w:rPr>
                <w:sz w:val="21"/>
                <w:szCs w:val="21"/>
              </w:rPr>
              <w:t>1.68</w:t>
            </w:r>
          </w:p>
        </w:tc>
        <w:tc>
          <w:tcPr>
            <w:tcW w:w="714" w:type="pct"/>
            <w:vAlign w:val="center"/>
          </w:tcPr>
          <w:p w14:paraId="430D61D1">
            <w:pPr>
              <w:snapToGrid w:val="0"/>
              <w:spacing w:line="240" w:lineRule="auto"/>
              <w:ind w:firstLine="0" w:firstLineChars="0"/>
              <w:jc w:val="center"/>
              <w:rPr>
                <w:sz w:val="21"/>
                <w:szCs w:val="21"/>
              </w:rPr>
            </w:pPr>
            <w:r>
              <w:rPr>
                <w:sz w:val="21"/>
                <w:szCs w:val="21"/>
              </w:rPr>
              <w:t>16</w:t>
            </w:r>
          </w:p>
        </w:tc>
      </w:tr>
      <w:tr w14:paraId="7FD0C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17" w:type="pct"/>
            <w:noWrap/>
            <w:vAlign w:val="center"/>
          </w:tcPr>
          <w:p w14:paraId="6BB37006">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上阮村</w:t>
            </w:r>
          </w:p>
        </w:tc>
        <w:tc>
          <w:tcPr>
            <w:tcW w:w="645" w:type="pct"/>
            <w:noWrap/>
            <w:vAlign w:val="center"/>
          </w:tcPr>
          <w:p w14:paraId="5DDD7869">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上阮</w:t>
            </w:r>
          </w:p>
        </w:tc>
        <w:tc>
          <w:tcPr>
            <w:tcW w:w="879" w:type="pct"/>
            <w:vAlign w:val="center"/>
          </w:tcPr>
          <w:p w14:paraId="14613315">
            <w:pPr>
              <w:snapToGrid w:val="0"/>
              <w:spacing w:line="240" w:lineRule="auto"/>
              <w:ind w:firstLine="0" w:firstLineChars="0"/>
              <w:jc w:val="center"/>
              <w:rPr>
                <w:sz w:val="21"/>
                <w:szCs w:val="21"/>
              </w:rPr>
            </w:pPr>
            <w:r>
              <w:rPr>
                <w:sz w:val="21"/>
                <w:szCs w:val="21"/>
              </w:rPr>
              <w:t>11</w:t>
            </w:r>
          </w:p>
        </w:tc>
        <w:tc>
          <w:tcPr>
            <w:tcW w:w="714" w:type="pct"/>
            <w:vAlign w:val="center"/>
          </w:tcPr>
          <w:p w14:paraId="6FF1656C">
            <w:pPr>
              <w:snapToGrid w:val="0"/>
              <w:spacing w:line="240" w:lineRule="auto"/>
              <w:ind w:firstLine="0" w:firstLineChars="0"/>
              <w:jc w:val="center"/>
              <w:rPr>
                <w:sz w:val="21"/>
                <w:szCs w:val="21"/>
              </w:rPr>
            </w:pPr>
            <w:r>
              <w:rPr>
                <w:sz w:val="21"/>
                <w:szCs w:val="21"/>
              </w:rPr>
              <w:t>3.87</w:t>
            </w:r>
          </w:p>
        </w:tc>
        <w:tc>
          <w:tcPr>
            <w:tcW w:w="714" w:type="pct"/>
            <w:vAlign w:val="center"/>
          </w:tcPr>
          <w:p w14:paraId="1ACCD44D">
            <w:pPr>
              <w:snapToGrid w:val="0"/>
              <w:spacing w:line="240" w:lineRule="auto"/>
              <w:ind w:firstLine="0" w:firstLineChars="0"/>
              <w:jc w:val="center"/>
              <w:rPr>
                <w:sz w:val="21"/>
                <w:szCs w:val="21"/>
              </w:rPr>
            </w:pPr>
            <w:r>
              <w:rPr>
                <w:sz w:val="21"/>
                <w:szCs w:val="21"/>
              </w:rPr>
              <w:t>8</w:t>
            </w:r>
          </w:p>
        </w:tc>
        <w:tc>
          <w:tcPr>
            <w:tcW w:w="714" w:type="pct"/>
            <w:vAlign w:val="center"/>
          </w:tcPr>
          <w:p w14:paraId="3EF94F63">
            <w:pPr>
              <w:snapToGrid w:val="0"/>
              <w:spacing w:line="240" w:lineRule="auto"/>
              <w:ind w:firstLine="0" w:firstLineChars="0"/>
              <w:jc w:val="center"/>
              <w:rPr>
                <w:sz w:val="21"/>
                <w:szCs w:val="21"/>
              </w:rPr>
            </w:pPr>
            <w:r>
              <w:rPr>
                <w:sz w:val="21"/>
                <w:szCs w:val="21"/>
              </w:rPr>
              <w:t>0.7</w:t>
            </w:r>
          </w:p>
        </w:tc>
        <w:tc>
          <w:tcPr>
            <w:tcW w:w="714" w:type="pct"/>
            <w:vAlign w:val="center"/>
          </w:tcPr>
          <w:p w14:paraId="7D675264">
            <w:pPr>
              <w:snapToGrid w:val="0"/>
              <w:spacing w:line="240" w:lineRule="auto"/>
              <w:ind w:firstLine="0" w:firstLineChars="0"/>
              <w:jc w:val="center"/>
              <w:rPr>
                <w:sz w:val="21"/>
                <w:szCs w:val="21"/>
              </w:rPr>
            </w:pPr>
            <w:r>
              <w:rPr>
                <w:sz w:val="21"/>
                <w:szCs w:val="21"/>
              </w:rPr>
              <w:t>12</w:t>
            </w:r>
          </w:p>
        </w:tc>
      </w:tr>
      <w:tr w14:paraId="2006B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17" w:type="pct"/>
            <w:noWrap/>
            <w:vAlign w:val="center"/>
          </w:tcPr>
          <w:p w14:paraId="0768A0A4">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上阮村</w:t>
            </w:r>
          </w:p>
        </w:tc>
        <w:tc>
          <w:tcPr>
            <w:tcW w:w="645" w:type="pct"/>
            <w:noWrap/>
            <w:vAlign w:val="center"/>
          </w:tcPr>
          <w:p w14:paraId="53E75D2A">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下阮</w:t>
            </w:r>
          </w:p>
        </w:tc>
        <w:tc>
          <w:tcPr>
            <w:tcW w:w="879" w:type="pct"/>
            <w:vAlign w:val="center"/>
          </w:tcPr>
          <w:p w14:paraId="6DEDE6D4">
            <w:pPr>
              <w:snapToGrid w:val="0"/>
              <w:spacing w:line="240" w:lineRule="auto"/>
              <w:ind w:firstLine="0" w:firstLineChars="0"/>
              <w:jc w:val="center"/>
              <w:rPr>
                <w:sz w:val="21"/>
                <w:szCs w:val="21"/>
              </w:rPr>
            </w:pPr>
            <w:r>
              <w:rPr>
                <w:sz w:val="21"/>
                <w:szCs w:val="21"/>
              </w:rPr>
              <w:t>9</w:t>
            </w:r>
          </w:p>
        </w:tc>
        <w:tc>
          <w:tcPr>
            <w:tcW w:w="714" w:type="pct"/>
            <w:vAlign w:val="center"/>
          </w:tcPr>
          <w:p w14:paraId="5ABD334C">
            <w:pPr>
              <w:snapToGrid w:val="0"/>
              <w:spacing w:line="240" w:lineRule="auto"/>
              <w:ind w:firstLine="0" w:firstLineChars="0"/>
              <w:jc w:val="center"/>
              <w:rPr>
                <w:sz w:val="21"/>
                <w:szCs w:val="21"/>
              </w:rPr>
            </w:pPr>
            <w:r>
              <w:rPr>
                <w:sz w:val="21"/>
                <w:szCs w:val="21"/>
              </w:rPr>
              <w:t>2.42</w:t>
            </w:r>
          </w:p>
        </w:tc>
        <w:tc>
          <w:tcPr>
            <w:tcW w:w="714" w:type="pct"/>
            <w:vAlign w:val="center"/>
          </w:tcPr>
          <w:p w14:paraId="2765D42F">
            <w:pPr>
              <w:snapToGrid w:val="0"/>
              <w:spacing w:line="240" w:lineRule="auto"/>
              <w:ind w:firstLine="0" w:firstLineChars="0"/>
              <w:jc w:val="center"/>
              <w:rPr>
                <w:sz w:val="21"/>
                <w:szCs w:val="21"/>
              </w:rPr>
            </w:pPr>
            <w:r>
              <w:rPr>
                <w:sz w:val="21"/>
                <w:szCs w:val="21"/>
              </w:rPr>
              <w:t>4.6</w:t>
            </w:r>
          </w:p>
        </w:tc>
        <w:tc>
          <w:tcPr>
            <w:tcW w:w="714" w:type="pct"/>
            <w:vAlign w:val="center"/>
          </w:tcPr>
          <w:p w14:paraId="0889E64B">
            <w:pPr>
              <w:snapToGrid w:val="0"/>
              <w:spacing w:line="240" w:lineRule="auto"/>
              <w:ind w:firstLine="0" w:firstLineChars="0"/>
              <w:jc w:val="center"/>
              <w:rPr>
                <w:sz w:val="21"/>
                <w:szCs w:val="21"/>
              </w:rPr>
            </w:pPr>
            <w:r>
              <w:rPr>
                <w:sz w:val="21"/>
                <w:szCs w:val="21"/>
              </w:rPr>
              <w:t>0.8</w:t>
            </w:r>
          </w:p>
        </w:tc>
        <w:tc>
          <w:tcPr>
            <w:tcW w:w="714" w:type="pct"/>
            <w:vAlign w:val="center"/>
          </w:tcPr>
          <w:p w14:paraId="2D548F35">
            <w:pPr>
              <w:snapToGrid w:val="0"/>
              <w:spacing w:line="240" w:lineRule="auto"/>
              <w:ind w:firstLine="0" w:firstLineChars="0"/>
              <w:jc w:val="center"/>
              <w:rPr>
                <w:sz w:val="21"/>
                <w:szCs w:val="21"/>
              </w:rPr>
            </w:pPr>
            <w:r>
              <w:rPr>
                <w:sz w:val="21"/>
                <w:szCs w:val="21"/>
              </w:rPr>
              <w:t>12</w:t>
            </w:r>
          </w:p>
        </w:tc>
      </w:tr>
      <w:tr w14:paraId="7A34C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17" w:type="pct"/>
            <w:noWrap/>
            <w:vAlign w:val="center"/>
          </w:tcPr>
          <w:p w14:paraId="3C44A113">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上阮村</w:t>
            </w:r>
          </w:p>
        </w:tc>
        <w:tc>
          <w:tcPr>
            <w:tcW w:w="645" w:type="pct"/>
            <w:noWrap/>
            <w:vAlign w:val="center"/>
          </w:tcPr>
          <w:p w14:paraId="2FE429D3">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下阮</w:t>
            </w:r>
          </w:p>
        </w:tc>
        <w:tc>
          <w:tcPr>
            <w:tcW w:w="879" w:type="pct"/>
            <w:vAlign w:val="center"/>
          </w:tcPr>
          <w:p w14:paraId="5F2547E9">
            <w:pPr>
              <w:snapToGrid w:val="0"/>
              <w:spacing w:line="240" w:lineRule="auto"/>
              <w:ind w:firstLine="0" w:firstLineChars="0"/>
              <w:jc w:val="center"/>
              <w:rPr>
                <w:sz w:val="21"/>
                <w:szCs w:val="21"/>
              </w:rPr>
            </w:pPr>
            <w:r>
              <w:rPr>
                <w:sz w:val="21"/>
                <w:szCs w:val="21"/>
              </w:rPr>
              <w:t>10</w:t>
            </w:r>
          </w:p>
        </w:tc>
        <w:tc>
          <w:tcPr>
            <w:tcW w:w="714" w:type="pct"/>
            <w:vAlign w:val="center"/>
          </w:tcPr>
          <w:p w14:paraId="3444A1B1">
            <w:pPr>
              <w:snapToGrid w:val="0"/>
              <w:spacing w:line="240" w:lineRule="auto"/>
              <w:ind w:firstLine="0" w:firstLineChars="0"/>
              <w:jc w:val="center"/>
              <w:rPr>
                <w:sz w:val="21"/>
                <w:szCs w:val="21"/>
              </w:rPr>
            </w:pPr>
            <w:r>
              <w:rPr>
                <w:sz w:val="21"/>
                <w:szCs w:val="21"/>
              </w:rPr>
              <w:t>0.095</w:t>
            </w:r>
          </w:p>
        </w:tc>
        <w:tc>
          <w:tcPr>
            <w:tcW w:w="714" w:type="pct"/>
            <w:vAlign w:val="center"/>
          </w:tcPr>
          <w:p w14:paraId="47FBDA4B">
            <w:pPr>
              <w:snapToGrid w:val="0"/>
              <w:spacing w:line="240" w:lineRule="auto"/>
              <w:ind w:firstLine="0" w:firstLineChars="0"/>
              <w:jc w:val="center"/>
              <w:rPr>
                <w:sz w:val="21"/>
                <w:szCs w:val="21"/>
              </w:rPr>
            </w:pPr>
            <w:r>
              <w:rPr>
                <w:sz w:val="21"/>
                <w:szCs w:val="21"/>
              </w:rPr>
              <w:t>7.54</w:t>
            </w:r>
          </w:p>
        </w:tc>
        <w:tc>
          <w:tcPr>
            <w:tcW w:w="714" w:type="pct"/>
            <w:vAlign w:val="center"/>
          </w:tcPr>
          <w:p w14:paraId="23F244AB">
            <w:pPr>
              <w:snapToGrid w:val="0"/>
              <w:spacing w:line="240" w:lineRule="auto"/>
              <w:ind w:firstLine="0" w:firstLineChars="0"/>
              <w:jc w:val="center"/>
              <w:rPr>
                <w:sz w:val="21"/>
                <w:szCs w:val="21"/>
              </w:rPr>
            </w:pPr>
            <w:r>
              <w:rPr>
                <w:sz w:val="21"/>
                <w:szCs w:val="21"/>
              </w:rPr>
              <w:t>1.35</w:t>
            </w:r>
          </w:p>
        </w:tc>
        <w:tc>
          <w:tcPr>
            <w:tcW w:w="714" w:type="pct"/>
            <w:vAlign w:val="center"/>
          </w:tcPr>
          <w:p w14:paraId="20410A4C">
            <w:pPr>
              <w:snapToGrid w:val="0"/>
              <w:spacing w:line="240" w:lineRule="auto"/>
              <w:ind w:firstLine="0" w:firstLineChars="0"/>
              <w:jc w:val="center"/>
              <w:rPr>
                <w:sz w:val="21"/>
                <w:szCs w:val="21"/>
              </w:rPr>
            </w:pPr>
            <w:r>
              <w:rPr>
                <w:sz w:val="21"/>
                <w:szCs w:val="21"/>
              </w:rPr>
              <w:t>14</w:t>
            </w:r>
          </w:p>
        </w:tc>
      </w:tr>
      <w:tr w14:paraId="27B26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17" w:type="pct"/>
            <w:noWrap/>
            <w:vAlign w:val="center"/>
          </w:tcPr>
          <w:p w14:paraId="558D5D11">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西旸村</w:t>
            </w:r>
          </w:p>
        </w:tc>
        <w:tc>
          <w:tcPr>
            <w:tcW w:w="645" w:type="pct"/>
            <w:noWrap/>
            <w:vAlign w:val="center"/>
          </w:tcPr>
          <w:p w14:paraId="2B3830F7">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周达</w:t>
            </w:r>
          </w:p>
        </w:tc>
        <w:tc>
          <w:tcPr>
            <w:tcW w:w="879" w:type="pct"/>
            <w:vAlign w:val="center"/>
          </w:tcPr>
          <w:p w14:paraId="25BB3AC4">
            <w:pPr>
              <w:snapToGrid w:val="0"/>
              <w:spacing w:line="240" w:lineRule="auto"/>
              <w:ind w:firstLine="0" w:firstLineChars="0"/>
              <w:jc w:val="center"/>
              <w:rPr>
                <w:sz w:val="21"/>
                <w:szCs w:val="21"/>
              </w:rPr>
            </w:pPr>
            <w:r>
              <w:rPr>
                <w:sz w:val="21"/>
                <w:szCs w:val="21"/>
              </w:rPr>
              <w:t>12</w:t>
            </w:r>
          </w:p>
        </w:tc>
        <w:tc>
          <w:tcPr>
            <w:tcW w:w="714" w:type="pct"/>
            <w:vAlign w:val="center"/>
          </w:tcPr>
          <w:p w14:paraId="1ACA2C2D">
            <w:pPr>
              <w:snapToGrid w:val="0"/>
              <w:spacing w:line="240" w:lineRule="auto"/>
              <w:ind w:firstLine="0" w:firstLineChars="0"/>
              <w:jc w:val="center"/>
              <w:rPr>
                <w:sz w:val="21"/>
                <w:szCs w:val="21"/>
              </w:rPr>
            </w:pPr>
            <w:r>
              <w:rPr>
                <w:sz w:val="21"/>
                <w:szCs w:val="21"/>
              </w:rPr>
              <w:t>2.1</w:t>
            </w:r>
          </w:p>
        </w:tc>
        <w:tc>
          <w:tcPr>
            <w:tcW w:w="714" w:type="pct"/>
            <w:vAlign w:val="center"/>
          </w:tcPr>
          <w:p w14:paraId="590D6BF3">
            <w:pPr>
              <w:snapToGrid w:val="0"/>
              <w:spacing w:line="240" w:lineRule="auto"/>
              <w:ind w:firstLine="0" w:firstLineChars="0"/>
              <w:jc w:val="center"/>
              <w:rPr>
                <w:sz w:val="21"/>
                <w:szCs w:val="21"/>
              </w:rPr>
            </w:pPr>
            <w:r>
              <w:rPr>
                <w:sz w:val="21"/>
                <w:szCs w:val="21"/>
              </w:rPr>
              <w:t>3.91</w:t>
            </w:r>
          </w:p>
        </w:tc>
        <w:tc>
          <w:tcPr>
            <w:tcW w:w="714" w:type="pct"/>
            <w:vAlign w:val="center"/>
          </w:tcPr>
          <w:p w14:paraId="72F32C8E">
            <w:pPr>
              <w:snapToGrid w:val="0"/>
              <w:spacing w:line="240" w:lineRule="auto"/>
              <w:ind w:firstLine="0" w:firstLineChars="0"/>
              <w:jc w:val="center"/>
              <w:rPr>
                <w:sz w:val="21"/>
                <w:szCs w:val="21"/>
              </w:rPr>
            </w:pPr>
            <w:r>
              <w:rPr>
                <w:sz w:val="21"/>
                <w:szCs w:val="21"/>
              </w:rPr>
              <w:t>0.92</w:t>
            </w:r>
          </w:p>
        </w:tc>
        <w:tc>
          <w:tcPr>
            <w:tcW w:w="714" w:type="pct"/>
            <w:vAlign w:val="center"/>
          </w:tcPr>
          <w:p w14:paraId="76013746">
            <w:pPr>
              <w:snapToGrid w:val="0"/>
              <w:spacing w:line="240" w:lineRule="auto"/>
              <w:ind w:firstLine="0" w:firstLineChars="0"/>
              <w:jc w:val="center"/>
              <w:rPr>
                <w:sz w:val="21"/>
                <w:szCs w:val="21"/>
              </w:rPr>
            </w:pPr>
            <w:r>
              <w:rPr>
                <w:sz w:val="21"/>
                <w:szCs w:val="21"/>
              </w:rPr>
              <w:t>10</w:t>
            </w:r>
          </w:p>
        </w:tc>
      </w:tr>
      <w:tr w14:paraId="24F85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17" w:type="pct"/>
            <w:noWrap/>
            <w:vAlign w:val="center"/>
          </w:tcPr>
          <w:p w14:paraId="01A5D4D0">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仙姑村</w:t>
            </w:r>
          </w:p>
        </w:tc>
        <w:tc>
          <w:tcPr>
            <w:tcW w:w="645" w:type="pct"/>
            <w:noWrap/>
            <w:vAlign w:val="center"/>
          </w:tcPr>
          <w:p w14:paraId="51E1EC8E">
            <w:pPr>
              <w:widowControl/>
              <w:spacing w:line="240" w:lineRule="auto"/>
              <w:ind w:firstLine="0" w:firstLineChars="0"/>
              <w:jc w:val="center"/>
              <w:textAlignment w:val="bottom"/>
              <w:rPr>
                <w:rFonts w:ascii="仿宋_GB2312" w:hAnsi="Arial" w:cs="仿宋_GB2312"/>
                <w:color w:val="000000"/>
                <w:sz w:val="21"/>
                <w:szCs w:val="21"/>
              </w:rPr>
            </w:pPr>
            <w:r>
              <w:rPr>
                <w:rFonts w:hint="eastAsia" w:ascii="仿宋_GB2312" w:hAnsi="Arial" w:cs="仿宋_GB2312"/>
                <w:color w:val="000000"/>
                <w:kern w:val="0"/>
                <w:sz w:val="21"/>
                <w:szCs w:val="21"/>
                <w:lang w:bidi="ar"/>
              </w:rPr>
              <w:t>仙姑</w:t>
            </w:r>
          </w:p>
        </w:tc>
        <w:tc>
          <w:tcPr>
            <w:tcW w:w="879" w:type="pct"/>
            <w:vAlign w:val="center"/>
          </w:tcPr>
          <w:p w14:paraId="633CD7E1">
            <w:pPr>
              <w:snapToGrid w:val="0"/>
              <w:spacing w:line="240" w:lineRule="auto"/>
              <w:ind w:firstLine="0" w:firstLineChars="0"/>
              <w:jc w:val="center"/>
              <w:rPr>
                <w:sz w:val="21"/>
                <w:szCs w:val="21"/>
              </w:rPr>
            </w:pPr>
            <w:r>
              <w:rPr>
                <w:sz w:val="21"/>
                <w:szCs w:val="21"/>
              </w:rPr>
              <w:t>11</w:t>
            </w:r>
          </w:p>
        </w:tc>
        <w:tc>
          <w:tcPr>
            <w:tcW w:w="714" w:type="pct"/>
            <w:vAlign w:val="center"/>
          </w:tcPr>
          <w:p w14:paraId="3032C54E">
            <w:pPr>
              <w:snapToGrid w:val="0"/>
              <w:spacing w:line="240" w:lineRule="auto"/>
              <w:ind w:firstLine="0" w:firstLineChars="0"/>
              <w:jc w:val="center"/>
              <w:rPr>
                <w:sz w:val="21"/>
                <w:szCs w:val="21"/>
              </w:rPr>
            </w:pPr>
            <w:r>
              <w:rPr>
                <w:sz w:val="21"/>
                <w:szCs w:val="21"/>
              </w:rPr>
              <w:t>4.24</w:t>
            </w:r>
          </w:p>
        </w:tc>
        <w:tc>
          <w:tcPr>
            <w:tcW w:w="714" w:type="pct"/>
            <w:vAlign w:val="center"/>
          </w:tcPr>
          <w:p w14:paraId="26C810C3">
            <w:pPr>
              <w:snapToGrid w:val="0"/>
              <w:spacing w:line="240" w:lineRule="auto"/>
              <w:ind w:firstLine="0" w:firstLineChars="0"/>
              <w:jc w:val="center"/>
              <w:rPr>
                <w:sz w:val="21"/>
                <w:szCs w:val="21"/>
              </w:rPr>
            </w:pPr>
            <w:r>
              <w:rPr>
                <w:sz w:val="21"/>
                <w:szCs w:val="21"/>
              </w:rPr>
              <w:t>7.08</w:t>
            </w:r>
          </w:p>
        </w:tc>
        <w:tc>
          <w:tcPr>
            <w:tcW w:w="714" w:type="pct"/>
            <w:vAlign w:val="center"/>
          </w:tcPr>
          <w:p w14:paraId="6437D0FE">
            <w:pPr>
              <w:snapToGrid w:val="0"/>
              <w:spacing w:line="240" w:lineRule="auto"/>
              <w:ind w:firstLine="0" w:firstLineChars="0"/>
              <w:jc w:val="center"/>
              <w:rPr>
                <w:sz w:val="21"/>
                <w:szCs w:val="21"/>
              </w:rPr>
            </w:pPr>
            <w:r>
              <w:rPr>
                <w:sz w:val="21"/>
                <w:szCs w:val="21"/>
              </w:rPr>
              <w:t>1.03</w:t>
            </w:r>
          </w:p>
        </w:tc>
        <w:tc>
          <w:tcPr>
            <w:tcW w:w="714" w:type="pct"/>
            <w:vAlign w:val="center"/>
          </w:tcPr>
          <w:p w14:paraId="4C599D67">
            <w:pPr>
              <w:snapToGrid w:val="0"/>
              <w:spacing w:line="240" w:lineRule="auto"/>
              <w:ind w:firstLine="0" w:firstLineChars="0"/>
              <w:jc w:val="center"/>
              <w:rPr>
                <w:sz w:val="21"/>
                <w:szCs w:val="21"/>
              </w:rPr>
            </w:pPr>
            <w:r>
              <w:rPr>
                <w:sz w:val="21"/>
                <w:szCs w:val="21"/>
              </w:rPr>
              <w:t>10</w:t>
            </w:r>
          </w:p>
        </w:tc>
      </w:tr>
      <w:tr w14:paraId="3B58D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63" w:type="pct"/>
            <w:gridSpan w:val="2"/>
            <w:noWrap/>
            <w:vAlign w:val="center"/>
          </w:tcPr>
          <w:p w14:paraId="676CA925">
            <w:pPr>
              <w:snapToGrid w:val="0"/>
              <w:spacing w:line="240" w:lineRule="auto"/>
              <w:ind w:firstLine="0" w:firstLineChars="0"/>
              <w:jc w:val="center"/>
              <w:rPr>
                <w:b/>
                <w:bCs/>
                <w:sz w:val="21"/>
                <w:szCs w:val="21"/>
              </w:rPr>
            </w:pPr>
            <w:r>
              <w:rPr>
                <w:rFonts w:hint="eastAsia"/>
                <w:b/>
                <w:bCs/>
                <w:sz w:val="21"/>
                <w:szCs w:val="21"/>
              </w:rPr>
              <w:t>二级标准限值（mg/L）</w:t>
            </w:r>
          </w:p>
        </w:tc>
        <w:tc>
          <w:tcPr>
            <w:tcW w:w="879" w:type="pct"/>
            <w:vAlign w:val="center"/>
          </w:tcPr>
          <w:p w14:paraId="4EA1D5AB">
            <w:pPr>
              <w:snapToGrid w:val="0"/>
              <w:spacing w:line="240" w:lineRule="auto"/>
              <w:ind w:firstLine="0" w:firstLineChars="0"/>
              <w:jc w:val="center"/>
              <w:rPr>
                <w:b/>
                <w:bCs/>
                <w:sz w:val="21"/>
                <w:szCs w:val="21"/>
              </w:rPr>
            </w:pPr>
            <w:r>
              <w:rPr>
                <w:b/>
                <w:bCs/>
                <w:sz w:val="21"/>
                <w:szCs w:val="21"/>
              </w:rPr>
              <w:t>100</w:t>
            </w:r>
          </w:p>
        </w:tc>
        <w:tc>
          <w:tcPr>
            <w:tcW w:w="714" w:type="pct"/>
            <w:vAlign w:val="center"/>
          </w:tcPr>
          <w:p w14:paraId="318EEA2C">
            <w:pPr>
              <w:snapToGrid w:val="0"/>
              <w:spacing w:line="240" w:lineRule="auto"/>
              <w:ind w:firstLine="0" w:firstLineChars="0"/>
              <w:jc w:val="center"/>
              <w:rPr>
                <w:b/>
                <w:bCs/>
                <w:sz w:val="21"/>
                <w:szCs w:val="21"/>
              </w:rPr>
            </w:pPr>
            <w:r>
              <w:rPr>
                <w:b/>
                <w:bCs/>
                <w:sz w:val="21"/>
                <w:szCs w:val="21"/>
              </w:rPr>
              <w:t>15</w:t>
            </w:r>
          </w:p>
        </w:tc>
        <w:tc>
          <w:tcPr>
            <w:tcW w:w="714" w:type="pct"/>
            <w:vAlign w:val="center"/>
          </w:tcPr>
          <w:p w14:paraId="52BA66C9">
            <w:pPr>
              <w:snapToGrid w:val="0"/>
              <w:spacing w:line="240" w:lineRule="auto"/>
              <w:ind w:firstLine="0" w:firstLineChars="0"/>
              <w:jc w:val="center"/>
              <w:rPr>
                <w:b/>
                <w:bCs/>
                <w:sz w:val="21"/>
                <w:szCs w:val="21"/>
              </w:rPr>
            </w:pPr>
            <w:r>
              <w:rPr>
                <w:b/>
                <w:bCs/>
                <w:sz w:val="21"/>
                <w:szCs w:val="21"/>
              </w:rPr>
              <w:t>30</w:t>
            </w:r>
          </w:p>
        </w:tc>
        <w:tc>
          <w:tcPr>
            <w:tcW w:w="714" w:type="pct"/>
            <w:vAlign w:val="center"/>
          </w:tcPr>
          <w:p w14:paraId="54060DD3">
            <w:pPr>
              <w:snapToGrid w:val="0"/>
              <w:spacing w:line="240" w:lineRule="auto"/>
              <w:ind w:firstLine="0" w:firstLineChars="0"/>
              <w:jc w:val="center"/>
              <w:rPr>
                <w:b/>
                <w:bCs/>
                <w:sz w:val="21"/>
                <w:szCs w:val="21"/>
              </w:rPr>
            </w:pPr>
            <w:r>
              <w:rPr>
                <w:b/>
                <w:bCs/>
                <w:sz w:val="21"/>
                <w:szCs w:val="21"/>
              </w:rPr>
              <w:t>3</w:t>
            </w:r>
          </w:p>
        </w:tc>
        <w:tc>
          <w:tcPr>
            <w:tcW w:w="714" w:type="pct"/>
            <w:vAlign w:val="center"/>
          </w:tcPr>
          <w:p w14:paraId="074D4B92">
            <w:pPr>
              <w:snapToGrid w:val="0"/>
              <w:spacing w:line="240" w:lineRule="auto"/>
              <w:ind w:firstLine="0" w:firstLineChars="0"/>
              <w:jc w:val="center"/>
              <w:rPr>
                <w:b/>
                <w:bCs/>
                <w:sz w:val="21"/>
                <w:szCs w:val="21"/>
              </w:rPr>
            </w:pPr>
            <w:r>
              <w:rPr>
                <w:b/>
                <w:bCs/>
                <w:sz w:val="21"/>
                <w:szCs w:val="21"/>
              </w:rPr>
              <w:t>30</w:t>
            </w:r>
          </w:p>
        </w:tc>
      </w:tr>
    </w:tbl>
    <w:p w14:paraId="59B460C1">
      <w:pPr>
        <w:ind w:firstLine="0" w:firstLineChars="0"/>
        <w:outlineLvl w:val="3"/>
      </w:pPr>
      <w:r>
        <w:t>3</w:t>
      </w:r>
      <w:r>
        <w:rPr>
          <w:rFonts w:hint="eastAsia"/>
        </w:rPr>
        <w:t>.</w:t>
      </w:r>
      <w:r>
        <w:t>4</w:t>
      </w:r>
      <w:r>
        <w:rPr>
          <w:rFonts w:hint="eastAsia"/>
        </w:rPr>
        <w:t>.</w:t>
      </w:r>
      <w:r>
        <w:t>2</w:t>
      </w:r>
      <w:r>
        <w:rPr>
          <w:rFonts w:hint="eastAsia"/>
        </w:rPr>
        <w:t>.</w:t>
      </w:r>
      <w:r>
        <w:t xml:space="preserve">3 </w:t>
      </w:r>
      <w:r>
        <w:rPr>
          <w:rFonts w:hint="eastAsia"/>
        </w:rPr>
        <w:t>供电工程</w:t>
      </w:r>
    </w:p>
    <w:p w14:paraId="77F0A99F">
      <w:pPr>
        <w:ind w:firstLine="480"/>
      </w:pPr>
      <w:r>
        <w:rPr>
          <w:rFonts w:hint="eastAsia"/>
        </w:rPr>
        <w:t>目前</w:t>
      </w:r>
      <w:r>
        <w:t>1</w:t>
      </w:r>
      <w:r>
        <w:rPr>
          <w:rFonts w:hint="eastAsia"/>
        </w:rPr>
        <w:t>条220 kV架空线穿过度假区南部，度假区核心区敷设5条1</w:t>
      </w:r>
      <w:r>
        <w:t>0</w:t>
      </w:r>
      <w:r>
        <w:rPr>
          <w:rFonts w:hint="eastAsia"/>
        </w:rPr>
        <w:t>kV电缆管孔，其中东西向2条，南北向1条。</w:t>
      </w:r>
    </w:p>
    <w:p w14:paraId="66A82CF9">
      <w:pPr>
        <w:ind w:firstLine="0" w:firstLineChars="0"/>
        <w:outlineLvl w:val="3"/>
      </w:pPr>
      <w:r>
        <w:t>3</w:t>
      </w:r>
      <w:r>
        <w:rPr>
          <w:rFonts w:hint="eastAsia"/>
        </w:rPr>
        <w:t>.</w:t>
      </w:r>
      <w:r>
        <w:t>4</w:t>
      </w:r>
      <w:r>
        <w:rPr>
          <w:rFonts w:hint="eastAsia"/>
        </w:rPr>
        <w:t>.</w:t>
      </w:r>
      <w:r>
        <w:t>2</w:t>
      </w:r>
      <w:r>
        <w:rPr>
          <w:rFonts w:hint="eastAsia"/>
        </w:rPr>
        <w:t>.</w:t>
      </w:r>
      <w:r>
        <w:t xml:space="preserve">4 </w:t>
      </w:r>
      <w:r>
        <w:rPr>
          <w:rFonts w:hint="eastAsia"/>
        </w:rPr>
        <w:t>燃气工程</w:t>
      </w:r>
    </w:p>
    <w:p w14:paraId="5CD2422B">
      <w:pPr>
        <w:ind w:firstLine="480"/>
      </w:pPr>
      <w:r>
        <w:rPr>
          <w:rFonts w:hint="eastAsia"/>
        </w:rPr>
        <w:t>目前1条长输管道（1</w:t>
      </w:r>
      <w:r>
        <w:t>0</w:t>
      </w:r>
      <w:r>
        <w:rPr>
          <w:rFonts w:hint="eastAsia"/>
        </w:rPr>
        <w:t>M</w:t>
      </w:r>
      <w:r>
        <w:t>p</w:t>
      </w:r>
      <w:r>
        <w:rPr>
          <w:rFonts w:hint="eastAsia"/>
        </w:rPr>
        <w:t>a）穿过度假区南部，度假区核心区设有纵横交错的</w:t>
      </w:r>
      <w:r>
        <w:t>6</w:t>
      </w:r>
      <w:r>
        <w:rPr>
          <w:rFonts w:hint="eastAsia"/>
        </w:rPr>
        <w:t>条中压管，其中东西向</w:t>
      </w:r>
      <w:r>
        <w:t>4</w:t>
      </w:r>
      <w:r>
        <w:rPr>
          <w:rFonts w:hint="eastAsia"/>
        </w:rPr>
        <w:t>条，南北向</w:t>
      </w:r>
      <w:r>
        <w:t>2</w:t>
      </w:r>
      <w:r>
        <w:rPr>
          <w:rFonts w:hint="eastAsia"/>
        </w:rPr>
        <w:t>条。度假区以管道天然气为主气源，分布较为分散的零星农村居住区域仍采用瓶装液化石油气作为气源。度假区内无供热锅炉，不实施集中供热，采用空调等制热设备供热，可满足区内居民及游客的用热需求。</w:t>
      </w:r>
    </w:p>
    <w:p w14:paraId="0941532D">
      <w:pPr>
        <w:ind w:firstLine="0" w:firstLineChars="0"/>
        <w:outlineLvl w:val="3"/>
      </w:pPr>
      <w:r>
        <w:t>3</w:t>
      </w:r>
      <w:r>
        <w:rPr>
          <w:rFonts w:hint="eastAsia"/>
        </w:rPr>
        <w:t>.</w:t>
      </w:r>
      <w:r>
        <w:t>4</w:t>
      </w:r>
      <w:r>
        <w:rPr>
          <w:rFonts w:hint="eastAsia"/>
        </w:rPr>
        <w:t>.</w:t>
      </w:r>
      <w:r>
        <w:t>2</w:t>
      </w:r>
      <w:r>
        <w:rPr>
          <w:rFonts w:hint="eastAsia"/>
        </w:rPr>
        <w:t>.</w:t>
      </w:r>
      <w:r>
        <w:t xml:space="preserve">5 </w:t>
      </w:r>
      <w:r>
        <w:rPr>
          <w:rFonts w:hint="eastAsia"/>
        </w:rPr>
        <w:t>环卫工程</w:t>
      </w:r>
    </w:p>
    <w:p w14:paraId="2A2099E0">
      <w:pPr>
        <w:ind w:firstLine="480"/>
      </w:pPr>
      <w:r>
        <w:rPr>
          <w:rFonts w:hint="eastAsia"/>
        </w:rPr>
        <w:t>度假区生活垃圾收集后经分别送至就近转运站，经压缩后送至终端处置设施集中处置。度假区南部地区生活垃圾主要送至罗村生活垃圾中转站（日转运量1</w:t>
      </w:r>
      <w:r>
        <w:t>2</w:t>
      </w:r>
      <w:r>
        <w:rPr>
          <w:rFonts w:hint="eastAsia"/>
        </w:rPr>
        <w:t>t/d）；度假区北部地区生活垃圾主要送至石马生活垃圾中转站（日转运量1</w:t>
      </w:r>
      <w:r>
        <w:t>8</w:t>
      </w:r>
      <w:r>
        <w:rPr>
          <w:rFonts w:hint="eastAsia"/>
        </w:rPr>
        <w:t>t/d）；度假区核心地区生活垃圾主要送至和薛埠镇生活垃圾中转站（日转运量2</w:t>
      </w:r>
      <w:r>
        <w:t>4</w:t>
      </w:r>
      <w:r>
        <w:rPr>
          <w:rFonts w:hint="eastAsia"/>
        </w:rPr>
        <w:t>t/d）；度假区部分单位送至花山生活垃圾中转站（日转运量1</w:t>
      </w:r>
      <w:r>
        <w:t>2</w:t>
      </w:r>
      <w:r>
        <w:rPr>
          <w:rFonts w:hint="eastAsia"/>
        </w:rPr>
        <w:t>t/d）。</w:t>
      </w:r>
    </w:p>
    <w:p w14:paraId="3FBBE684">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3.4.3</w:t>
      </w:r>
      <w:r>
        <w:rPr>
          <w:rFonts w:hint="eastAsia" w:eastAsia="方正楷体_GBK" w:cs="Times New Roman"/>
          <w:b/>
          <w:bCs/>
          <w:szCs w:val="28"/>
          <w14:ligatures w14:val="none"/>
        </w:rPr>
        <w:t>土地开发利用现状</w:t>
      </w:r>
    </w:p>
    <w:p w14:paraId="26871C03">
      <w:pPr>
        <w:ind w:firstLine="0" w:firstLineChars="0"/>
        <w:outlineLvl w:val="3"/>
      </w:pPr>
      <w:r>
        <w:rPr>
          <w:rFonts w:hint="eastAsia"/>
        </w:rPr>
        <w:t>3.4.3.1区域土地利用现状</w:t>
      </w:r>
    </w:p>
    <w:p w14:paraId="284A7290">
      <w:pPr>
        <w:ind w:firstLine="480"/>
      </w:pPr>
      <w:r>
        <w:rPr>
          <w:rFonts w:hint="eastAsia"/>
        </w:rPr>
        <w:t>区域土地总面积109.4平方公里，其中建设用地面积10.703平方公里，占区域土地总面积的9.78%，包含居住用地面积3.321平方公里，占总面积比例3.04</w:t>
      </w:r>
      <w:r>
        <w:t>%</w:t>
      </w:r>
      <w:r>
        <w:rPr>
          <w:rFonts w:hint="eastAsia"/>
        </w:rPr>
        <w:t>；公共管理与公共服务设施用地面积0.445平方公里，占总面积比例0.41</w:t>
      </w:r>
      <w:r>
        <w:t>%</w:t>
      </w:r>
      <w:r>
        <w:rPr>
          <w:rFonts w:hint="eastAsia"/>
        </w:rPr>
        <w:t>；工业用地面积0.549平方公里，占总面积比例0.50%；道路与交通设施用地面积2.522平方公里，占总面积比例</w:t>
      </w:r>
      <w:r>
        <w:rPr>
          <w:rFonts w:hint="eastAsia" w:eastAsia="宋体"/>
        </w:rPr>
        <w:t>2.33</w:t>
      </w:r>
      <w:r>
        <w:rPr>
          <w:rFonts w:hint="eastAsia"/>
        </w:rPr>
        <w:t>%；采矿用地面积1.880平方公里，占总面积比例</w:t>
      </w:r>
      <w:r>
        <w:rPr>
          <w:rFonts w:hint="eastAsia" w:eastAsia="宋体"/>
        </w:rPr>
        <w:t>1.72</w:t>
      </w:r>
      <w:r>
        <w:rPr>
          <w:rFonts w:hint="eastAsia"/>
        </w:rPr>
        <w:t>%。非建设用地面积98.696平方公里，占区域土地总面积的</w:t>
      </w:r>
      <w:r>
        <w:rPr>
          <w:rFonts w:hint="eastAsia" w:eastAsia="宋体"/>
        </w:rPr>
        <w:t>90.22</w:t>
      </w:r>
      <w:r>
        <w:rPr>
          <w:rFonts w:hint="eastAsia"/>
        </w:rPr>
        <w:t>%，包含水域11.790平方公里，占总面积比例</w:t>
      </w:r>
      <w:r>
        <w:rPr>
          <w:rFonts w:hint="eastAsia" w:eastAsia="宋体"/>
        </w:rPr>
        <w:t>10.78</w:t>
      </w:r>
      <w:r>
        <w:rPr>
          <w:rFonts w:hint="eastAsia"/>
        </w:rPr>
        <w:t>%；农林用地86.886平方公里，占总面积比例</w:t>
      </w:r>
      <w:r>
        <w:rPr>
          <w:rFonts w:hint="eastAsia" w:eastAsia="宋体"/>
        </w:rPr>
        <w:t>79.42</w:t>
      </w:r>
      <w:r>
        <w:rPr>
          <w:rFonts w:hint="eastAsia"/>
        </w:rPr>
        <w:t>%，其他非建设用地面积0.021平方公里，占总面积比例</w:t>
      </w:r>
      <w:r>
        <w:rPr>
          <w:rFonts w:hint="eastAsia" w:eastAsia="宋体"/>
        </w:rPr>
        <w:t>0.02</w:t>
      </w:r>
      <w:r>
        <w:rPr>
          <w:rFonts w:hint="eastAsia"/>
        </w:rPr>
        <w:t>%。</w:t>
      </w:r>
    </w:p>
    <w:p w14:paraId="4B19BF20">
      <w:pPr>
        <w:pStyle w:val="45"/>
        <w:rPr>
          <w:rFonts w:cs="Times New Roman"/>
        </w:rPr>
      </w:pPr>
      <w:r>
        <w:rPr>
          <w:rFonts w:hint="eastAsia"/>
        </w:rPr>
        <w:t>表3.4-9  本轮规划范围内</w:t>
      </w:r>
      <w:r>
        <w:rPr>
          <w:rFonts w:hint="eastAsia" w:cs="Times New Roman"/>
        </w:rPr>
        <w:t>现状用地平衡</w:t>
      </w:r>
      <w:r>
        <w:rPr>
          <w:rFonts w:cs="Times New Roman"/>
        </w:rPr>
        <w:t>表</w:t>
      </w:r>
    </w:p>
    <w:tbl>
      <w:tblPr>
        <w:tblStyle w:val="25"/>
        <w:tblW w:w="48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9"/>
        <w:gridCol w:w="865"/>
        <w:gridCol w:w="755"/>
        <w:gridCol w:w="2193"/>
        <w:gridCol w:w="1924"/>
        <w:gridCol w:w="1623"/>
      </w:tblGrid>
      <w:tr w14:paraId="4C292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1049" w:type="pct"/>
            <w:gridSpan w:val="2"/>
            <w:noWrap/>
            <w:vAlign w:val="center"/>
          </w:tcPr>
          <w:p w14:paraId="35C60D09">
            <w:pPr>
              <w:widowControl/>
              <w:spacing w:line="240" w:lineRule="auto"/>
              <w:ind w:firstLine="0" w:firstLineChars="0"/>
              <w:jc w:val="center"/>
              <w:textAlignment w:val="center"/>
              <w:rPr>
                <w:rFonts w:hint="eastAsia" w:ascii="仿宋_GB2312" w:hAnsi="宋体" w:cs="仿宋_GB2312"/>
                <w:b/>
                <w:bCs/>
                <w:color w:val="000000"/>
                <w:sz w:val="21"/>
                <w:szCs w:val="21"/>
              </w:rPr>
            </w:pPr>
            <w:r>
              <w:rPr>
                <w:rFonts w:hint="eastAsia" w:ascii="仿宋_GB2312" w:hAnsi="宋体" w:cs="仿宋_GB2312"/>
                <w:b/>
                <w:bCs/>
                <w:color w:val="000000"/>
                <w:kern w:val="0"/>
                <w:sz w:val="21"/>
                <w:szCs w:val="21"/>
                <w:lang w:bidi="ar"/>
              </w:rPr>
              <w:t>用地代码</w:t>
            </w:r>
          </w:p>
        </w:tc>
        <w:tc>
          <w:tcPr>
            <w:tcW w:w="1793" w:type="pct"/>
            <w:gridSpan w:val="2"/>
            <w:noWrap/>
            <w:vAlign w:val="center"/>
          </w:tcPr>
          <w:p w14:paraId="09EEE704">
            <w:pPr>
              <w:widowControl/>
              <w:spacing w:line="240" w:lineRule="auto"/>
              <w:ind w:firstLine="0" w:firstLineChars="0"/>
              <w:jc w:val="center"/>
              <w:textAlignment w:val="center"/>
              <w:rPr>
                <w:rFonts w:hint="eastAsia" w:ascii="仿宋_GB2312" w:hAnsi="宋体" w:cs="仿宋_GB2312"/>
                <w:b/>
                <w:bCs/>
                <w:color w:val="000000"/>
                <w:sz w:val="21"/>
                <w:szCs w:val="21"/>
              </w:rPr>
            </w:pPr>
            <w:r>
              <w:rPr>
                <w:rFonts w:hint="eastAsia" w:ascii="仿宋_GB2312" w:hAnsi="宋体" w:cs="仿宋_GB2312"/>
                <w:b/>
                <w:bCs/>
                <w:color w:val="000000"/>
                <w:kern w:val="0"/>
                <w:sz w:val="21"/>
                <w:szCs w:val="21"/>
                <w:lang w:bidi="ar"/>
              </w:rPr>
              <w:t>用地性质</w:t>
            </w:r>
          </w:p>
        </w:tc>
        <w:tc>
          <w:tcPr>
            <w:tcW w:w="1170" w:type="pct"/>
            <w:noWrap/>
            <w:vAlign w:val="center"/>
          </w:tcPr>
          <w:p w14:paraId="2D2148A4">
            <w:pPr>
              <w:widowControl/>
              <w:spacing w:line="240" w:lineRule="auto"/>
              <w:ind w:firstLine="0" w:firstLineChars="0"/>
              <w:jc w:val="center"/>
              <w:textAlignment w:val="center"/>
              <w:rPr>
                <w:rFonts w:cs="Times New Roman"/>
                <w:b/>
                <w:bCs/>
                <w:color w:val="000000"/>
                <w:kern w:val="0"/>
                <w:sz w:val="21"/>
                <w:szCs w:val="21"/>
                <w:lang w:bidi="ar"/>
              </w:rPr>
            </w:pPr>
            <w:r>
              <w:rPr>
                <w:rFonts w:cs="Times New Roman"/>
                <w:b/>
                <w:bCs/>
                <w:color w:val="000000"/>
                <w:kern w:val="0"/>
                <w:sz w:val="21"/>
                <w:szCs w:val="21"/>
                <w:lang w:bidi="ar"/>
              </w:rPr>
              <w:t>现状用地面积</w:t>
            </w:r>
          </w:p>
          <w:p w14:paraId="70EC7A4A">
            <w:pPr>
              <w:widowControl/>
              <w:spacing w:line="240" w:lineRule="auto"/>
              <w:ind w:firstLine="0" w:firstLineChars="0"/>
              <w:jc w:val="center"/>
              <w:textAlignment w:val="center"/>
              <w:rPr>
                <w:rFonts w:cs="Times New Roman"/>
                <w:b/>
                <w:bCs/>
                <w:color w:val="000000"/>
                <w:kern w:val="0"/>
                <w:sz w:val="21"/>
                <w:szCs w:val="21"/>
                <w:lang w:bidi="ar"/>
              </w:rPr>
            </w:pPr>
            <w:r>
              <w:rPr>
                <w:rFonts w:cs="Times New Roman"/>
                <w:b/>
                <w:bCs/>
                <w:color w:val="000000"/>
                <w:kern w:val="0"/>
                <w:sz w:val="21"/>
                <w:szCs w:val="21"/>
                <w:lang w:bidi="ar"/>
              </w:rPr>
              <w:t>（平方</w:t>
            </w:r>
            <w:r>
              <w:rPr>
                <w:rFonts w:hint="eastAsia" w:cs="Times New Roman"/>
                <w:b/>
                <w:bCs/>
                <w:color w:val="000000"/>
                <w:kern w:val="0"/>
                <w:sz w:val="21"/>
                <w:szCs w:val="21"/>
                <w:lang w:bidi="ar"/>
              </w:rPr>
              <w:t>公里</w:t>
            </w:r>
            <w:r>
              <w:rPr>
                <w:rFonts w:cs="Times New Roman"/>
                <w:b/>
                <w:bCs/>
                <w:color w:val="000000"/>
                <w:kern w:val="0"/>
                <w:sz w:val="21"/>
                <w:szCs w:val="21"/>
                <w:lang w:bidi="ar"/>
              </w:rPr>
              <w:t>）</w:t>
            </w:r>
          </w:p>
        </w:tc>
        <w:tc>
          <w:tcPr>
            <w:tcW w:w="987" w:type="pct"/>
            <w:noWrap/>
            <w:vAlign w:val="center"/>
          </w:tcPr>
          <w:p w14:paraId="3B1C6A5C">
            <w:pPr>
              <w:widowControl/>
              <w:spacing w:line="240" w:lineRule="auto"/>
              <w:ind w:firstLine="0" w:firstLineChars="0"/>
              <w:jc w:val="center"/>
              <w:textAlignment w:val="center"/>
              <w:rPr>
                <w:rFonts w:cs="Times New Roman"/>
                <w:b/>
                <w:bCs/>
                <w:color w:val="000000"/>
                <w:kern w:val="0"/>
                <w:sz w:val="21"/>
                <w:szCs w:val="21"/>
                <w:lang w:bidi="ar"/>
              </w:rPr>
            </w:pPr>
            <w:r>
              <w:rPr>
                <w:rFonts w:cs="Times New Roman"/>
                <w:b/>
                <w:bCs/>
                <w:color w:val="000000"/>
                <w:kern w:val="0"/>
                <w:sz w:val="21"/>
                <w:szCs w:val="21"/>
                <w:lang w:bidi="ar"/>
              </w:rPr>
              <w:t>百分比（%）</w:t>
            </w:r>
          </w:p>
        </w:tc>
      </w:tr>
      <w:tr w14:paraId="53C9E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9" w:type="pct"/>
            <w:gridSpan w:val="2"/>
            <w:noWrap/>
            <w:vAlign w:val="center"/>
          </w:tcPr>
          <w:p w14:paraId="60CF554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R</w:t>
            </w:r>
          </w:p>
        </w:tc>
        <w:tc>
          <w:tcPr>
            <w:tcW w:w="1793" w:type="pct"/>
            <w:gridSpan w:val="2"/>
            <w:noWrap/>
            <w:vAlign w:val="center"/>
          </w:tcPr>
          <w:p w14:paraId="0D07CC7B">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居住用地</w:t>
            </w:r>
          </w:p>
        </w:tc>
        <w:tc>
          <w:tcPr>
            <w:tcW w:w="1170" w:type="pct"/>
            <w:noWrap/>
            <w:vAlign w:val="center"/>
          </w:tcPr>
          <w:p w14:paraId="7F3C40EE">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3.321</w:t>
            </w:r>
          </w:p>
        </w:tc>
        <w:tc>
          <w:tcPr>
            <w:tcW w:w="987" w:type="pct"/>
            <w:noWrap/>
            <w:vAlign w:val="center"/>
          </w:tcPr>
          <w:p w14:paraId="4593D7C8">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3.04</w:t>
            </w:r>
          </w:p>
        </w:tc>
      </w:tr>
      <w:tr w14:paraId="283A2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9" w:type="pct"/>
            <w:gridSpan w:val="2"/>
            <w:noWrap/>
            <w:vAlign w:val="center"/>
          </w:tcPr>
          <w:p w14:paraId="04BFF1C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A</w:t>
            </w:r>
          </w:p>
        </w:tc>
        <w:tc>
          <w:tcPr>
            <w:tcW w:w="1793" w:type="pct"/>
            <w:gridSpan w:val="2"/>
            <w:noWrap/>
            <w:vAlign w:val="center"/>
          </w:tcPr>
          <w:p w14:paraId="52AB17B7">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公共管理与公共服务设施用地</w:t>
            </w:r>
          </w:p>
        </w:tc>
        <w:tc>
          <w:tcPr>
            <w:tcW w:w="1170" w:type="pct"/>
            <w:noWrap/>
            <w:vAlign w:val="center"/>
          </w:tcPr>
          <w:p w14:paraId="08B998B5">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0.445</w:t>
            </w:r>
          </w:p>
        </w:tc>
        <w:tc>
          <w:tcPr>
            <w:tcW w:w="987" w:type="pct"/>
            <w:noWrap/>
            <w:vAlign w:val="center"/>
          </w:tcPr>
          <w:p w14:paraId="53240755">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0.41</w:t>
            </w:r>
          </w:p>
        </w:tc>
      </w:tr>
      <w:tr w14:paraId="0AF39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restart"/>
            <w:noWrap/>
            <w:vAlign w:val="center"/>
          </w:tcPr>
          <w:p w14:paraId="5B236AE2">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ascii="仿宋_GB2312" w:hAnsi="宋体" w:cs="仿宋_GB2312"/>
                <w:color w:val="000000"/>
                <w:kern w:val="0"/>
                <w:sz w:val="21"/>
                <w:szCs w:val="21"/>
                <w:lang w:bidi="ar"/>
              </w:rPr>
              <w:t>其中</w:t>
            </w:r>
          </w:p>
        </w:tc>
        <w:tc>
          <w:tcPr>
            <w:tcW w:w="525" w:type="pct"/>
            <w:noWrap/>
            <w:vAlign w:val="center"/>
          </w:tcPr>
          <w:p w14:paraId="78C84135">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A1</w:t>
            </w:r>
          </w:p>
        </w:tc>
        <w:tc>
          <w:tcPr>
            <w:tcW w:w="1793" w:type="pct"/>
            <w:gridSpan w:val="2"/>
            <w:noWrap/>
            <w:vAlign w:val="center"/>
          </w:tcPr>
          <w:p w14:paraId="357A77AE">
            <w:pPr>
              <w:widowControl/>
              <w:spacing w:line="240" w:lineRule="auto"/>
              <w:ind w:firstLine="0" w:firstLineChars="0"/>
              <w:jc w:val="center"/>
              <w:textAlignment w:val="center"/>
              <w:rPr>
                <w:rFonts w:hint="eastAsia" w:ascii="仿宋_GB2312" w:hAnsi="宋体" w:cs="仿宋_GB2312"/>
                <w:color w:val="000000"/>
                <w:kern w:val="0"/>
                <w:sz w:val="21"/>
                <w:szCs w:val="21"/>
                <w:lang w:bidi="ar"/>
              </w:rPr>
            </w:pPr>
            <w:r>
              <w:rPr>
                <w:rFonts w:hint="eastAsia" w:ascii="仿宋_GB2312" w:hAnsi="宋体" w:cs="仿宋_GB2312"/>
                <w:color w:val="000000"/>
                <w:kern w:val="0"/>
                <w:sz w:val="21"/>
                <w:szCs w:val="21"/>
                <w:lang w:bidi="ar"/>
              </w:rPr>
              <w:t>行政办公用地</w:t>
            </w:r>
          </w:p>
        </w:tc>
        <w:tc>
          <w:tcPr>
            <w:tcW w:w="1170" w:type="pct"/>
            <w:noWrap/>
            <w:vAlign w:val="center"/>
          </w:tcPr>
          <w:p w14:paraId="364E1791">
            <w:pPr>
              <w:widowControl/>
              <w:spacing w:line="240" w:lineRule="auto"/>
              <w:ind w:firstLine="0" w:firstLineChars="0"/>
              <w:jc w:val="center"/>
              <w:textAlignment w:val="center"/>
              <w:rPr>
                <w:rFonts w:eastAsia="宋体" w:cs="Times New Roman"/>
                <w:color w:val="000000"/>
                <w:sz w:val="21"/>
                <w:szCs w:val="21"/>
                <w:lang w:bidi="ar"/>
              </w:rPr>
            </w:pPr>
            <w:r>
              <w:rPr>
                <w:rFonts w:hint="eastAsia" w:eastAsia="宋体" w:cs="Times New Roman"/>
                <w:color w:val="000000"/>
                <w:sz w:val="21"/>
                <w:szCs w:val="21"/>
                <w:lang w:bidi="ar"/>
              </w:rPr>
              <w:t>0.041</w:t>
            </w:r>
          </w:p>
        </w:tc>
        <w:tc>
          <w:tcPr>
            <w:tcW w:w="987" w:type="pct"/>
            <w:noWrap/>
            <w:vAlign w:val="center"/>
          </w:tcPr>
          <w:p w14:paraId="6CEAE8D8">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0.04</w:t>
            </w:r>
          </w:p>
        </w:tc>
      </w:tr>
      <w:tr w14:paraId="4D591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continue"/>
            <w:noWrap/>
            <w:vAlign w:val="center"/>
          </w:tcPr>
          <w:p w14:paraId="3E203F52">
            <w:pPr>
              <w:widowControl/>
              <w:spacing w:line="240" w:lineRule="auto"/>
              <w:ind w:firstLine="0" w:firstLineChars="0"/>
              <w:jc w:val="center"/>
              <w:textAlignment w:val="center"/>
              <w:rPr>
                <w:rFonts w:hint="eastAsia" w:ascii="仿宋_GB2312" w:hAnsi="宋体" w:cs="仿宋_GB2312"/>
                <w:color w:val="000000"/>
                <w:kern w:val="0"/>
                <w:sz w:val="21"/>
                <w:szCs w:val="21"/>
                <w:lang w:bidi="ar"/>
              </w:rPr>
            </w:pPr>
          </w:p>
        </w:tc>
        <w:tc>
          <w:tcPr>
            <w:tcW w:w="525" w:type="pct"/>
            <w:noWrap/>
            <w:vAlign w:val="center"/>
          </w:tcPr>
          <w:p w14:paraId="762A0700">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A2</w:t>
            </w:r>
          </w:p>
        </w:tc>
        <w:tc>
          <w:tcPr>
            <w:tcW w:w="1793" w:type="pct"/>
            <w:gridSpan w:val="2"/>
            <w:noWrap/>
            <w:vAlign w:val="center"/>
          </w:tcPr>
          <w:p w14:paraId="455B7F83">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文化设施用地</w:t>
            </w:r>
          </w:p>
        </w:tc>
        <w:tc>
          <w:tcPr>
            <w:tcW w:w="1170" w:type="pct"/>
            <w:vMerge w:val="restart"/>
            <w:noWrap/>
            <w:vAlign w:val="center"/>
          </w:tcPr>
          <w:p w14:paraId="6237AFCF">
            <w:pPr>
              <w:widowControl/>
              <w:spacing w:line="240" w:lineRule="auto"/>
              <w:ind w:firstLine="0" w:firstLineChars="0"/>
              <w:jc w:val="center"/>
              <w:textAlignment w:val="center"/>
              <w:rPr>
                <w:rFonts w:eastAsia="宋体" w:cs="Times New Roman"/>
                <w:color w:val="000000"/>
                <w:sz w:val="21"/>
                <w:szCs w:val="21"/>
                <w:lang w:bidi="ar"/>
              </w:rPr>
            </w:pPr>
            <w:r>
              <w:rPr>
                <w:rFonts w:hint="eastAsia" w:eastAsia="宋体" w:cs="Times New Roman"/>
                <w:color w:val="000000"/>
                <w:sz w:val="21"/>
                <w:szCs w:val="21"/>
                <w:lang w:bidi="ar"/>
              </w:rPr>
              <w:t>0.168</w:t>
            </w:r>
          </w:p>
        </w:tc>
        <w:tc>
          <w:tcPr>
            <w:tcW w:w="987" w:type="pct"/>
            <w:vMerge w:val="restart"/>
            <w:noWrap/>
            <w:vAlign w:val="center"/>
          </w:tcPr>
          <w:p w14:paraId="0D6095A2">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0.15</w:t>
            </w:r>
          </w:p>
        </w:tc>
      </w:tr>
      <w:tr w14:paraId="1E6CC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continue"/>
            <w:noWrap/>
            <w:vAlign w:val="center"/>
          </w:tcPr>
          <w:p w14:paraId="6EDBF2CA">
            <w:pPr>
              <w:widowControl/>
              <w:spacing w:line="240" w:lineRule="auto"/>
              <w:ind w:firstLine="0" w:firstLineChars="0"/>
              <w:jc w:val="center"/>
              <w:textAlignment w:val="center"/>
              <w:rPr>
                <w:rFonts w:eastAsia="宋体" w:cs="Times New Roman"/>
                <w:color w:val="000000"/>
                <w:kern w:val="0"/>
                <w:sz w:val="21"/>
                <w:szCs w:val="21"/>
                <w:lang w:bidi="ar"/>
              </w:rPr>
            </w:pPr>
          </w:p>
        </w:tc>
        <w:tc>
          <w:tcPr>
            <w:tcW w:w="525" w:type="pct"/>
            <w:noWrap/>
            <w:vAlign w:val="center"/>
          </w:tcPr>
          <w:p w14:paraId="06FE161D">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A3</w:t>
            </w:r>
          </w:p>
        </w:tc>
        <w:tc>
          <w:tcPr>
            <w:tcW w:w="1793" w:type="pct"/>
            <w:gridSpan w:val="2"/>
            <w:noWrap/>
            <w:vAlign w:val="center"/>
          </w:tcPr>
          <w:p w14:paraId="5CA30B35">
            <w:pPr>
              <w:widowControl/>
              <w:spacing w:line="240" w:lineRule="auto"/>
              <w:ind w:firstLine="0" w:firstLineChars="0"/>
              <w:jc w:val="center"/>
              <w:textAlignment w:val="center"/>
              <w:rPr>
                <w:rFonts w:hint="eastAsia" w:ascii="仿宋_GB2312" w:hAnsi="宋体" w:cs="仿宋_GB2312"/>
                <w:color w:val="000000"/>
                <w:kern w:val="0"/>
                <w:sz w:val="21"/>
                <w:szCs w:val="21"/>
                <w:lang w:bidi="ar"/>
              </w:rPr>
            </w:pPr>
            <w:r>
              <w:rPr>
                <w:rFonts w:hint="eastAsia" w:ascii="仿宋_GB2312" w:hAnsi="宋体" w:cs="仿宋_GB2312"/>
                <w:color w:val="000000"/>
                <w:kern w:val="0"/>
                <w:sz w:val="21"/>
                <w:szCs w:val="21"/>
                <w:lang w:bidi="ar"/>
              </w:rPr>
              <w:t>科研教育用地</w:t>
            </w:r>
          </w:p>
        </w:tc>
        <w:tc>
          <w:tcPr>
            <w:tcW w:w="1170" w:type="pct"/>
            <w:vMerge w:val="continue"/>
            <w:noWrap/>
            <w:vAlign w:val="center"/>
          </w:tcPr>
          <w:p w14:paraId="75F1E4B1">
            <w:pPr>
              <w:widowControl/>
              <w:spacing w:line="240" w:lineRule="auto"/>
              <w:ind w:firstLine="0" w:firstLineChars="0"/>
              <w:jc w:val="center"/>
              <w:textAlignment w:val="center"/>
              <w:rPr>
                <w:rFonts w:eastAsia="宋体" w:cs="Times New Roman"/>
                <w:color w:val="000000"/>
                <w:sz w:val="21"/>
                <w:szCs w:val="21"/>
                <w:lang w:bidi="ar"/>
              </w:rPr>
            </w:pPr>
          </w:p>
        </w:tc>
        <w:tc>
          <w:tcPr>
            <w:tcW w:w="987" w:type="pct"/>
            <w:vMerge w:val="continue"/>
            <w:noWrap/>
            <w:vAlign w:val="center"/>
          </w:tcPr>
          <w:p w14:paraId="5BDF3E7B">
            <w:pPr>
              <w:widowControl/>
              <w:spacing w:line="240" w:lineRule="auto"/>
              <w:ind w:firstLine="0" w:firstLineChars="0"/>
              <w:jc w:val="center"/>
              <w:textAlignment w:val="center"/>
              <w:rPr>
                <w:rFonts w:eastAsia="宋体" w:cs="Times New Roman"/>
                <w:color w:val="000000"/>
                <w:sz w:val="21"/>
                <w:szCs w:val="21"/>
                <w:lang w:bidi="ar"/>
              </w:rPr>
            </w:pPr>
          </w:p>
        </w:tc>
      </w:tr>
      <w:tr w14:paraId="0BE16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continue"/>
            <w:noWrap/>
            <w:vAlign w:val="center"/>
          </w:tcPr>
          <w:p w14:paraId="4E6705EC">
            <w:pPr>
              <w:widowControl/>
              <w:spacing w:line="240" w:lineRule="auto"/>
              <w:ind w:firstLine="0" w:firstLineChars="0"/>
              <w:jc w:val="center"/>
              <w:textAlignment w:val="center"/>
              <w:rPr>
                <w:rFonts w:eastAsia="宋体" w:cs="Times New Roman"/>
                <w:color w:val="000000"/>
                <w:kern w:val="0"/>
                <w:sz w:val="21"/>
                <w:szCs w:val="21"/>
                <w:lang w:bidi="ar"/>
              </w:rPr>
            </w:pPr>
          </w:p>
        </w:tc>
        <w:tc>
          <w:tcPr>
            <w:tcW w:w="525" w:type="pct"/>
            <w:noWrap/>
            <w:vAlign w:val="center"/>
          </w:tcPr>
          <w:p w14:paraId="615B062D">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A5</w:t>
            </w:r>
          </w:p>
        </w:tc>
        <w:tc>
          <w:tcPr>
            <w:tcW w:w="1793" w:type="pct"/>
            <w:gridSpan w:val="2"/>
            <w:noWrap/>
            <w:vAlign w:val="center"/>
          </w:tcPr>
          <w:p w14:paraId="7C08C536">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医疗卫生用地</w:t>
            </w:r>
          </w:p>
        </w:tc>
        <w:tc>
          <w:tcPr>
            <w:tcW w:w="1170" w:type="pct"/>
            <w:vMerge w:val="continue"/>
            <w:noWrap/>
            <w:vAlign w:val="center"/>
          </w:tcPr>
          <w:p w14:paraId="778292CA">
            <w:pPr>
              <w:widowControl/>
              <w:spacing w:line="240" w:lineRule="auto"/>
              <w:ind w:firstLine="0" w:firstLineChars="0"/>
              <w:jc w:val="center"/>
              <w:textAlignment w:val="center"/>
              <w:rPr>
                <w:rFonts w:eastAsia="宋体" w:cs="Times New Roman"/>
                <w:color w:val="000000"/>
                <w:sz w:val="21"/>
                <w:szCs w:val="21"/>
                <w:lang w:bidi="ar"/>
              </w:rPr>
            </w:pPr>
          </w:p>
        </w:tc>
        <w:tc>
          <w:tcPr>
            <w:tcW w:w="987" w:type="pct"/>
            <w:vMerge w:val="continue"/>
            <w:noWrap/>
            <w:vAlign w:val="center"/>
          </w:tcPr>
          <w:p w14:paraId="6746380E">
            <w:pPr>
              <w:widowControl/>
              <w:spacing w:line="240" w:lineRule="auto"/>
              <w:ind w:firstLine="0" w:firstLineChars="0"/>
              <w:jc w:val="center"/>
              <w:textAlignment w:val="center"/>
              <w:rPr>
                <w:rFonts w:eastAsia="宋体" w:cs="Times New Roman"/>
                <w:color w:val="000000"/>
                <w:sz w:val="21"/>
                <w:szCs w:val="21"/>
                <w:lang w:bidi="ar"/>
              </w:rPr>
            </w:pPr>
          </w:p>
        </w:tc>
      </w:tr>
      <w:tr w14:paraId="401EA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continue"/>
            <w:noWrap/>
            <w:vAlign w:val="center"/>
          </w:tcPr>
          <w:p w14:paraId="6159C5D9">
            <w:pPr>
              <w:widowControl/>
              <w:spacing w:line="240" w:lineRule="auto"/>
              <w:ind w:firstLine="0" w:firstLineChars="0"/>
              <w:jc w:val="center"/>
              <w:textAlignment w:val="center"/>
              <w:rPr>
                <w:rFonts w:eastAsia="宋体" w:cs="Times New Roman"/>
                <w:color w:val="000000"/>
                <w:kern w:val="0"/>
                <w:sz w:val="21"/>
                <w:szCs w:val="21"/>
                <w:lang w:bidi="ar"/>
              </w:rPr>
            </w:pPr>
          </w:p>
        </w:tc>
        <w:tc>
          <w:tcPr>
            <w:tcW w:w="525" w:type="pct"/>
            <w:noWrap/>
            <w:vAlign w:val="center"/>
          </w:tcPr>
          <w:p w14:paraId="4C0803C0">
            <w:pPr>
              <w:widowControl/>
              <w:spacing w:line="240" w:lineRule="auto"/>
              <w:ind w:firstLine="0" w:firstLineChars="0"/>
              <w:jc w:val="center"/>
              <w:textAlignment w:val="center"/>
              <w:rPr>
                <w:rFonts w:eastAsia="宋体" w:cs="Times New Roman"/>
                <w:color w:val="000000"/>
                <w:kern w:val="0"/>
                <w:sz w:val="21"/>
                <w:szCs w:val="21"/>
                <w:lang w:bidi="ar"/>
              </w:rPr>
            </w:pPr>
            <w:r>
              <w:rPr>
                <w:rFonts w:hint="eastAsia" w:eastAsia="宋体" w:cs="Times New Roman"/>
                <w:color w:val="000000"/>
                <w:kern w:val="0"/>
                <w:sz w:val="21"/>
                <w:szCs w:val="21"/>
                <w:lang w:bidi="ar"/>
              </w:rPr>
              <w:t>A9</w:t>
            </w:r>
          </w:p>
        </w:tc>
        <w:tc>
          <w:tcPr>
            <w:tcW w:w="1793" w:type="pct"/>
            <w:gridSpan w:val="2"/>
            <w:noWrap/>
            <w:vAlign w:val="center"/>
          </w:tcPr>
          <w:p w14:paraId="6A84C87F">
            <w:pPr>
              <w:widowControl/>
              <w:spacing w:line="240" w:lineRule="auto"/>
              <w:ind w:firstLine="0" w:firstLineChars="0"/>
              <w:jc w:val="center"/>
              <w:textAlignment w:val="center"/>
              <w:rPr>
                <w:rFonts w:hint="eastAsia" w:ascii="仿宋_GB2312" w:hAnsi="宋体" w:cs="仿宋_GB2312"/>
                <w:color w:val="000000"/>
                <w:kern w:val="0"/>
                <w:sz w:val="21"/>
                <w:szCs w:val="21"/>
                <w:lang w:bidi="ar"/>
              </w:rPr>
            </w:pPr>
            <w:r>
              <w:rPr>
                <w:rFonts w:hint="eastAsia" w:ascii="仿宋_GB2312" w:hAnsi="宋体" w:cs="仿宋_GB2312"/>
                <w:color w:val="000000"/>
                <w:kern w:val="0"/>
                <w:sz w:val="21"/>
                <w:szCs w:val="21"/>
                <w:lang w:bidi="ar"/>
              </w:rPr>
              <w:t>宗教设施用地</w:t>
            </w:r>
          </w:p>
        </w:tc>
        <w:tc>
          <w:tcPr>
            <w:tcW w:w="1170" w:type="pct"/>
            <w:noWrap/>
            <w:vAlign w:val="center"/>
          </w:tcPr>
          <w:p w14:paraId="030C919F">
            <w:pPr>
              <w:widowControl/>
              <w:spacing w:line="240" w:lineRule="auto"/>
              <w:ind w:firstLine="0" w:firstLineChars="0"/>
              <w:jc w:val="center"/>
              <w:textAlignment w:val="center"/>
              <w:rPr>
                <w:rFonts w:eastAsia="宋体" w:cs="Times New Roman"/>
                <w:color w:val="000000"/>
                <w:sz w:val="21"/>
                <w:szCs w:val="21"/>
                <w:lang w:bidi="ar"/>
              </w:rPr>
            </w:pPr>
            <w:r>
              <w:rPr>
                <w:rFonts w:hint="eastAsia" w:eastAsia="宋体" w:cs="Times New Roman"/>
                <w:color w:val="000000"/>
                <w:sz w:val="21"/>
                <w:szCs w:val="21"/>
                <w:lang w:bidi="ar"/>
              </w:rPr>
              <w:t>0.236</w:t>
            </w:r>
          </w:p>
        </w:tc>
        <w:tc>
          <w:tcPr>
            <w:tcW w:w="987" w:type="pct"/>
            <w:noWrap/>
            <w:vAlign w:val="center"/>
          </w:tcPr>
          <w:p w14:paraId="143B404E">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0.22</w:t>
            </w:r>
          </w:p>
        </w:tc>
      </w:tr>
      <w:tr w14:paraId="5AAFB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9" w:type="pct"/>
            <w:gridSpan w:val="2"/>
            <w:noWrap/>
            <w:vAlign w:val="center"/>
          </w:tcPr>
          <w:p w14:paraId="72AD492A">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B</w:t>
            </w:r>
          </w:p>
        </w:tc>
        <w:tc>
          <w:tcPr>
            <w:tcW w:w="1793" w:type="pct"/>
            <w:gridSpan w:val="2"/>
            <w:noWrap/>
            <w:vAlign w:val="center"/>
          </w:tcPr>
          <w:p w14:paraId="7CDCD1BB">
            <w:pPr>
              <w:widowControl/>
              <w:spacing w:line="240" w:lineRule="auto"/>
              <w:ind w:firstLine="0" w:firstLineChars="0"/>
              <w:jc w:val="center"/>
              <w:textAlignment w:val="center"/>
              <w:rPr>
                <w:rFonts w:hint="eastAsia" w:ascii="仿宋_GB2312" w:hAnsi="宋体" w:cs="仿宋_GB2312"/>
                <w:color w:val="000000"/>
                <w:kern w:val="0"/>
                <w:sz w:val="21"/>
                <w:szCs w:val="21"/>
                <w:lang w:bidi="ar"/>
              </w:rPr>
            </w:pPr>
            <w:r>
              <w:rPr>
                <w:rFonts w:hint="eastAsia" w:ascii="仿宋_GB2312" w:hAnsi="宋体" w:cs="仿宋_GB2312"/>
                <w:color w:val="000000"/>
                <w:kern w:val="0"/>
                <w:sz w:val="21"/>
                <w:szCs w:val="21"/>
                <w:lang w:bidi="ar"/>
              </w:rPr>
              <w:t>商业服务业设施用地</w:t>
            </w:r>
          </w:p>
        </w:tc>
        <w:tc>
          <w:tcPr>
            <w:tcW w:w="1170" w:type="pct"/>
            <w:noWrap/>
            <w:vAlign w:val="center"/>
          </w:tcPr>
          <w:p w14:paraId="3E66EE57">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1.234</w:t>
            </w:r>
          </w:p>
        </w:tc>
        <w:tc>
          <w:tcPr>
            <w:tcW w:w="987" w:type="pct"/>
            <w:noWrap/>
            <w:vAlign w:val="center"/>
          </w:tcPr>
          <w:p w14:paraId="0DD25FBE">
            <w:pPr>
              <w:widowControl/>
              <w:spacing w:line="240" w:lineRule="auto"/>
              <w:ind w:firstLine="0" w:firstLineChars="0"/>
              <w:jc w:val="center"/>
              <w:textAlignment w:val="center"/>
              <w:rPr>
                <w:rFonts w:eastAsia="宋体" w:cs="Times New Roman"/>
                <w:color w:val="000000"/>
                <w:sz w:val="21"/>
                <w:szCs w:val="21"/>
                <w:lang w:bidi="ar"/>
              </w:rPr>
            </w:pPr>
            <w:r>
              <w:rPr>
                <w:rFonts w:hint="eastAsia" w:eastAsia="宋体" w:cs="Times New Roman"/>
                <w:color w:val="000000"/>
                <w:sz w:val="21"/>
                <w:szCs w:val="21"/>
                <w:lang w:bidi="ar"/>
              </w:rPr>
              <w:t>1.13</w:t>
            </w:r>
          </w:p>
        </w:tc>
      </w:tr>
      <w:tr w14:paraId="21137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9" w:type="pct"/>
            <w:gridSpan w:val="2"/>
            <w:noWrap/>
            <w:vAlign w:val="center"/>
          </w:tcPr>
          <w:p w14:paraId="212EB03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M</w:t>
            </w:r>
          </w:p>
        </w:tc>
        <w:tc>
          <w:tcPr>
            <w:tcW w:w="1793" w:type="pct"/>
            <w:gridSpan w:val="2"/>
            <w:noWrap/>
            <w:vAlign w:val="center"/>
          </w:tcPr>
          <w:p w14:paraId="172A5BDD">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工业用地</w:t>
            </w:r>
          </w:p>
        </w:tc>
        <w:tc>
          <w:tcPr>
            <w:tcW w:w="1170" w:type="pct"/>
            <w:noWrap/>
            <w:vAlign w:val="center"/>
          </w:tcPr>
          <w:p w14:paraId="4F12DDC3">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0.549</w:t>
            </w:r>
          </w:p>
        </w:tc>
        <w:tc>
          <w:tcPr>
            <w:tcW w:w="987" w:type="pct"/>
            <w:noWrap/>
            <w:vAlign w:val="center"/>
          </w:tcPr>
          <w:p w14:paraId="21D26FB0">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0.50</w:t>
            </w:r>
          </w:p>
        </w:tc>
      </w:tr>
      <w:tr w14:paraId="0F5B1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9" w:type="pct"/>
            <w:gridSpan w:val="2"/>
            <w:noWrap/>
            <w:vAlign w:val="center"/>
          </w:tcPr>
          <w:p w14:paraId="01F06F4D">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W</w:t>
            </w:r>
          </w:p>
        </w:tc>
        <w:tc>
          <w:tcPr>
            <w:tcW w:w="1793" w:type="pct"/>
            <w:gridSpan w:val="2"/>
            <w:noWrap/>
            <w:vAlign w:val="center"/>
          </w:tcPr>
          <w:p w14:paraId="7FEA9C22">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物流仓储用地</w:t>
            </w:r>
          </w:p>
        </w:tc>
        <w:tc>
          <w:tcPr>
            <w:tcW w:w="1170" w:type="pct"/>
            <w:noWrap/>
            <w:vAlign w:val="center"/>
          </w:tcPr>
          <w:p w14:paraId="6674C946">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0.004</w:t>
            </w:r>
          </w:p>
        </w:tc>
        <w:tc>
          <w:tcPr>
            <w:tcW w:w="987" w:type="pct"/>
            <w:noWrap/>
            <w:vAlign w:val="center"/>
          </w:tcPr>
          <w:p w14:paraId="295A7C31">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0.00</w:t>
            </w:r>
            <w:r>
              <w:rPr>
                <w:rFonts w:hint="eastAsia" w:eastAsia="宋体" w:cs="Times New Roman"/>
                <w:color w:val="000000"/>
                <w:sz w:val="21"/>
                <w:szCs w:val="21"/>
                <w:lang w:bidi="ar"/>
              </w:rPr>
              <w:t>4</w:t>
            </w:r>
          </w:p>
        </w:tc>
      </w:tr>
      <w:tr w14:paraId="5CFEF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9" w:type="pct"/>
            <w:gridSpan w:val="2"/>
            <w:noWrap/>
            <w:vAlign w:val="center"/>
          </w:tcPr>
          <w:p w14:paraId="358D2579">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S</w:t>
            </w:r>
          </w:p>
        </w:tc>
        <w:tc>
          <w:tcPr>
            <w:tcW w:w="1793" w:type="pct"/>
            <w:gridSpan w:val="2"/>
            <w:noWrap/>
            <w:vAlign w:val="center"/>
          </w:tcPr>
          <w:p w14:paraId="02E36755">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道路与交通设施用地</w:t>
            </w:r>
          </w:p>
        </w:tc>
        <w:tc>
          <w:tcPr>
            <w:tcW w:w="1170" w:type="pct"/>
            <w:noWrap/>
            <w:vAlign w:val="center"/>
          </w:tcPr>
          <w:p w14:paraId="68FFC938">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2.552</w:t>
            </w:r>
          </w:p>
        </w:tc>
        <w:tc>
          <w:tcPr>
            <w:tcW w:w="987" w:type="pct"/>
            <w:noWrap/>
            <w:vAlign w:val="center"/>
          </w:tcPr>
          <w:p w14:paraId="37D76308">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2.33</w:t>
            </w:r>
          </w:p>
        </w:tc>
      </w:tr>
      <w:tr w14:paraId="09EF0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9" w:type="pct"/>
            <w:gridSpan w:val="2"/>
            <w:noWrap/>
            <w:vAlign w:val="center"/>
          </w:tcPr>
          <w:p w14:paraId="3BDB439B">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U</w:t>
            </w:r>
          </w:p>
        </w:tc>
        <w:tc>
          <w:tcPr>
            <w:tcW w:w="1793" w:type="pct"/>
            <w:gridSpan w:val="2"/>
            <w:noWrap/>
            <w:vAlign w:val="center"/>
          </w:tcPr>
          <w:p w14:paraId="65BD6620">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公用设施用地</w:t>
            </w:r>
          </w:p>
        </w:tc>
        <w:tc>
          <w:tcPr>
            <w:tcW w:w="1170" w:type="pct"/>
            <w:noWrap/>
            <w:vAlign w:val="center"/>
          </w:tcPr>
          <w:p w14:paraId="2E03CB25">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0.700</w:t>
            </w:r>
          </w:p>
        </w:tc>
        <w:tc>
          <w:tcPr>
            <w:tcW w:w="987" w:type="pct"/>
            <w:noWrap/>
            <w:vAlign w:val="center"/>
          </w:tcPr>
          <w:p w14:paraId="62950509">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0.64</w:t>
            </w:r>
          </w:p>
        </w:tc>
      </w:tr>
      <w:tr w14:paraId="36791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9" w:type="pct"/>
            <w:gridSpan w:val="2"/>
            <w:noWrap/>
            <w:vAlign w:val="center"/>
          </w:tcPr>
          <w:p w14:paraId="31BCB50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G</w:t>
            </w:r>
          </w:p>
        </w:tc>
        <w:tc>
          <w:tcPr>
            <w:tcW w:w="1793" w:type="pct"/>
            <w:gridSpan w:val="2"/>
            <w:noWrap/>
            <w:vAlign w:val="center"/>
          </w:tcPr>
          <w:p w14:paraId="2F788C74">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绿地与广场用地</w:t>
            </w:r>
          </w:p>
        </w:tc>
        <w:tc>
          <w:tcPr>
            <w:tcW w:w="1170" w:type="pct"/>
            <w:noWrap/>
            <w:vAlign w:val="center"/>
          </w:tcPr>
          <w:p w14:paraId="3EB1149C">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0.018</w:t>
            </w:r>
          </w:p>
        </w:tc>
        <w:tc>
          <w:tcPr>
            <w:tcW w:w="987" w:type="pct"/>
            <w:noWrap/>
            <w:vAlign w:val="center"/>
          </w:tcPr>
          <w:p w14:paraId="2A706FAD">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0.02</w:t>
            </w:r>
          </w:p>
        </w:tc>
      </w:tr>
      <w:tr w14:paraId="239C3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9" w:type="pct"/>
            <w:gridSpan w:val="2"/>
            <w:noWrap/>
            <w:vAlign w:val="center"/>
          </w:tcPr>
          <w:p w14:paraId="5DD5B260">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H5</w:t>
            </w:r>
          </w:p>
        </w:tc>
        <w:tc>
          <w:tcPr>
            <w:tcW w:w="1793" w:type="pct"/>
            <w:gridSpan w:val="2"/>
            <w:noWrap/>
            <w:vAlign w:val="center"/>
          </w:tcPr>
          <w:p w14:paraId="6A290402">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采矿用地</w:t>
            </w:r>
          </w:p>
        </w:tc>
        <w:tc>
          <w:tcPr>
            <w:tcW w:w="1170" w:type="pct"/>
            <w:noWrap/>
            <w:vAlign w:val="center"/>
          </w:tcPr>
          <w:p w14:paraId="428BB996">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1.880</w:t>
            </w:r>
          </w:p>
        </w:tc>
        <w:tc>
          <w:tcPr>
            <w:tcW w:w="987" w:type="pct"/>
            <w:noWrap/>
            <w:vAlign w:val="center"/>
          </w:tcPr>
          <w:p w14:paraId="055B88D0">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1.72</w:t>
            </w:r>
          </w:p>
        </w:tc>
      </w:tr>
      <w:tr w14:paraId="48F04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9" w:type="pct"/>
            <w:gridSpan w:val="2"/>
            <w:noWrap/>
            <w:vAlign w:val="center"/>
          </w:tcPr>
          <w:p w14:paraId="3A953C61">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E</w:t>
            </w:r>
          </w:p>
        </w:tc>
        <w:tc>
          <w:tcPr>
            <w:tcW w:w="1793" w:type="pct"/>
            <w:gridSpan w:val="2"/>
            <w:noWrap/>
            <w:vAlign w:val="center"/>
          </w:tcPr>
          <w:p w14:paraId="0A3A20D8">
            <w:pPr>
              <w:widowControl/>
              <w:spacing w:line="240" w:lineRule="auto"/>
              <w:ind w:firstLine="0" w:firstLineChars="0"/>
              <w:jc w:val="center"/>
              <w:textAlignment w:val="center"/>
              <w:rPr>
                <w:rFonts w:hint="eastAsia" w:ascii="仿宋_GB2312" w:hAnsi="宋体" w:cs="仿宋_GB2312"/>
                <w:color w:val="000000"/>
                <w:kern w:val="0"/>
                <w:sz w:val="21"/>
                <w:szCs w:val="21"/>
                <w:lang w:bidi="ar"/>
              </w:rPr>
            </w:pPr>
            <w:r>
              <w:rPr>
                <w:rFonts w:hint="eastAsia" w:ascii="仿宋_GB2312" w:hAnsi="宋体" w:cs="仿宋_GB2312"/>
                <w:color w:val="000000"/>
                <w:kern w:val="0"/>
                <w:sz w:val="21"/>
                <w:szCs w:val="21"/>
                <w:lang w:bidi="ar"/>
              </w:rPr>
              <w:t>非建设用地</w:t>
            </w:r>
          </w:p>
        </w:tc>
        <w:tc>
          <w:tcPr>
            <w:tcW w:w="1170" w:type="pct"/>
            <w:noWrap/>
            <w:vAlign w:val="center"/>
          </w:tcPr>
          <w:p w14:paraId="730ABC82">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98.696</w:t>
            </w:r>
          </w:p>
        </w:tc>
        <w:tc>
          <w:tcPr>
            <w:tcW w:w="987" w:type="pct"/>
            <w:noWrap/>
            <w:vAlign w:val="center"/>
          </w:tcPr>
          <w:p w14:paraId="7DEEB059">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90.22</w:t>
            </w:r>
          </w:p>
        </w:tc>
      </w:tr>
      <w:tr w14:paraId="27B07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restart"/>
            <w:noWrap/>
            <w:vAlign w:val="center"/>
          </w:tcPr>
          <w:p w14:paraId="43E8D1DD">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其中</w:t>
            </w:r>
          </w:p>
        </w:tc>
        <w:tc>
          <w:tcPr>
            <w:tcW w:w="525" w:type="pct"/>
            <w:vAlign w:val="center"/>
          </w:tcPr>
          <w:p w14:paraId="55C7DC0F">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E1</w:t>
            </w:r>
          </w:p>
        </w:tc>
        <w:tc>
          <w:tcPr>
            <w:tcW w:w="1793" w:type="pct"/>
            <w:gridSpan w:val="2"/>
            <w:noWrap/>
            <w:vAlign w:val="center"/>
          </w:tcPr>
          <w:p w14:paraId="6F51FDF1">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水域</w:t>
            </w:r>
          </w:p>
        </w:tc>
        <w:tc>
          <w:tcPr>
            <w:tcW w:w="1170" w:type="pct"/>
            <w:noWrap/>
            <w:vAlign w:val="center"/>
          </w:tcPr>
          <w:p w14:paraId="3788063B">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11.790</w:t>
            </w:r>
          </w:p>
        </w:tc>
        <w:tc>
          <w:tcPr>
            <w:tcW w:w="987" w:type="pct"/>
            <w:noWrap/>
            <w:vAlign w:val="center"/>
          </w:tcPr>
          <w:p w14:paraId="7863CCB0">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10.78</w:t>
            </w:r>
          </w:p>
        </w:tc>
      </w:tr>
      <w:tr w14:paraId="3EA51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continue"/>
            <w:noWrap/>
            <w:vAlign w:val="center"/>
          </w:tcPr>
          <w:p w14:paraId="3718F41A">
            <w:pPr>
              <w:ind w:firstLine="420"/>
              <w:jc w:val="center"/>
              <w:rPr>
                <w:rFonts w:hint="eastAsia" w:ascii="仿宋_GB2312" w:hAnsi="宋体" w:cs="仿宋_GB2312"/>
                <w:color w:val="000000"/>
                <w:sz w:val="21"/>
                <w:szCs w:val="21"/>
              </w:rPr>
            </w:pPr>
          </w:p>
        </w:tc>
        <w:tc>
          <w:tcPr>
            <w:tcW w:w="525" w:type="pct"/>
            <w:vAlign w:val="center"/>
          </w:tcPr>
          <w:p w14:paraId="5359556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w:t>
            </w:r>
          </w:p>
        </w:tc>
        <w:tc>
          <w:tcPr>
            <w:tcW w:w="1793" w:type="pct"/>
            <w:gridSpan w:val="2"/>
            <w:noWrap/>
            <w:vAlign w:val="center"/>
          </w:tcPr>
          <w:p w14:paraId="252EF11E">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农林用地</w:t>
            </w:r>
          </w:p>
        </w:tc>
        <w:tc>
          <w:tcPr>
            <w:tcW w:w="1170" w:type="pct"/>
            <w:noWrap/>
            <w:vAlign w:val="center"/>
          </w:tcPr>
          <w:p w14:paraId="14E4E06C">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86.886</w:t>
            </w:r>
          </w:p>
        </w:tc>
        <w:tc>
          <w:tcPr>
            <w:tcW w:w="987" w:type="pct"/>
            <w:noWrap/>
            <w:vAlign w:val="center"/>
          </w:tcPr>
          <w:p w14:paraId="2B823E84">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 xml:space="preserve">79.42 </w:t>
            </w:r>
          </w:p>
        </w:tc>
      </w:tr>
      <w:tr w14:paraId="1A340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continue"/>
            <w:noWrap/>
            <w:vAlign w:val="center"/>
          </w:tcPr>
          <w:p w14:paraId="5EBE21E5">
            <w:pPr>
              <w:ind w:firstLine="420"/>
              <w:jc w:val="center"/>
              <w:rPr>
                <w:rFonts w:hint="eastAsia" w:ascii="仿宋_GB2312" w:hAnsi="宋体" w:cs="仿宋_GB2312"/>
                <w:color w:val="000000"/>
                <w:sz w:val="21"/>
                <w:szCs w:val="21"/>
              </w:rPr>
            </w:pPr>
          </w:p>
        </w:tc>
        <w:tc>
          <w:tcPr>
            <w:tcW w:w="525" w:type="pct"/>
            <w:vMerge w:val="restart"/>
            <w:vAlign w:val="center"/>
          </w:tcPr>
          <w:p w14:paraId="3F272DCD">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其中</w:t>
            </w:r>
          </w:p>
        </w:tc>
        <w:tc>
          <w:tcPr>
            <w:tcW w:w="459" w:type="pct"/>
            <w:noWrap/>
            <w:vAlign w:val="center"/>
          </w:tcPr>
          <w:p w14:paraId="5D14E29E">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E2a</w:t>
            </w:r>
          </w:p>
        </w:tc>
        <w:tc>
          <w:tcPr>
            <w:tcW w:w="1333" w:type="pct"/>
            <w:vAlign w:val="center"/>
          </w:tcPr>
          <w:p w14:paraId="0546BCBD">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耕地</w:t>
            </w:r>
          </w:p>
        </w:tc>
        <w:tc>
          <w:tcPr>
            <w:tcW w:w="1170" w:type="pct"/>
            <w:vAlign w:val="center"/>
          </w:tcPr>
          <w:p w14:paraId="05C36360">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11.601</w:t>
            </w:r>
          </w:p>
        </w:tc>
        <w:tc>
          <w:tcPr>
            <w:tcW w:w="987" w:type="pct"/>
            <w:vAlign w:val="center"/>
          </w:tcPr>
          <w:p w14:paraId="33C7FCA5">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10.60</w:t>
            </w:r>
          </w:p>
        </w:tc>
      </w:tr>
      <w:tr w14:paraId="1B7CE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continue"/>
            <w:noWrap/>
            <w:vAlign w:val="center"/>
          </w:tcPr>
          <w:p w14:paraId="58923CEB">
            <w:pPr>
              <w:ind w:firstLine="420"/>
              <w:jc w:val="center"/>
              <w:rPr>
                <w:rFonts w:hint="eastAsia" w:ascii="仿宋_GB2312" w:hAnsi="宋体" w:cs="仿宋_GB2312"/>
                <w:color w:val="000000"/>
                <w:sz w:val="21"/>
                <w:szCs w:val="21"/>
              </w:rPr>
            </w:pPr>
          </w:p>
        </w:tc>
        <w:tc>
          <w:tcPr>
            <w:tcW w:w="525" w:type="pct"/>
            <w:vMerge w:val="continue"/>
            <w:vAlign w:val="center"/>
          </w:tcPr>
          <w:p w14:paraId="7D37F123">
            <w:pPr>
              <w:ind w:firstLine="420"/>
              <w:jc w:val="center"/>
              <w:rPr>
                <w:rFonts w:hint="eastAsia" w:ascii="仿宋_GB2312" w:hAnsi="宋体" w:cs="仿宋_GB2312"/>
                <w:color w:val="000000"/>
                <w:sz w:val="21"/>
                <w:szCs w:val="21"/>
              </w:rPr>
            </w:pPr>
          </w:p>
        </w:tc>
        <w:tc>
          <w:tcPr>
            <w:tcW w:w="459" w:type="pct"/>
            <w:noWrap/>
            <w:vAlign w:val="center"/>
          </w:tcPr>
          <w:p w14:paraId="662ACFE3">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E2b</w:t>
            </w:r>
          </w:p>
        </w:tc>
        <w:tc>
          <w:tcPr>
            <w:tcW w:w="1333" w:type="pct"/>
            <w:vAlign w:val="center"/>
          </w:tcPr>
          <w:p w14:paraId="13762131">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园地</w:t>
            </w:r>
          </w:p>
        </w:tc>
        <w:tc>
          <w:tcPr>
            <w:tcW w:w="1170" w:type="pct"/>
            <w:vAlign w:val="center"/>
          </w:tcPr>
          <w:p w14:paraId="35E41397">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9.289</w:t>
            </w:r>
          </w:p>
        </w:tc>
        <w:tc>
          <w:tcPr>
            <w:tcW w:w="987" w:type="pct"/>
            <w:vAlign w:val="center"/>
          </w:tcPr>
          <w:p w14:paraId="09D069F1">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8.49</w:t>
            </w:r>
          </w:p>
        </w:tc>
      </w:tr>
      <w:tr w14:paraId="69532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continue"/>
            <w:noWrap/>
            <w:vAlign w:val="center"/>
          </w:tcPr>
          <w:p w14:paraId="22A12B9B">
            <w:pPr>
              <w:ind w:firstLine="420"/>
              <w:jc w:val="center"/>
              <w:rPr>
                <w:rFonts w:hint="eastAsia" w:ascii="仿宋_GB2312" w:hAnsi="宋体" w:cs="仿宋_GB2312"/>
                <w:color w:val="000000"/>
                <w:sz w:val="21"/>
                <w:szCs w:val="21"/>
              </w:rPr>
            </w:pPr>
          </w:p>
        </w:tc>
        <w:tc>
          <w:tcPr>
            <w:tcW w:w="525" w:type="pct"/>
            <w:vMerge w:val="continue"/>
            <w:vAlign w:val="center"/>
          </w:tcPr>
          <w:p w14:paraId="1C12AA62">
            <w:pPr>
              <w:ind w:firstLine="420"/>
              <w:jc w:val="center"/>
              <w:rPr>
                <w:rFonts w:hint="eastAsia" w:ascii="仿宋_GB2312" w:hAnsi="宋体" w:cs="仿宋_GB2312"/>
                <w:color w:val="000000"/>
                <w:sz w:val="21"/>
                <w:szCs w:val="21"/>
              </w:rPr>
            </w:pPr>
          </w:p>
        </w:tc>
        <w:tc>
          <w:tcPr>
            <w:tcW w:w="459" w:type="pct"/>
            <w:noWrap/>
            <w:vAlign w:val="center"/>
          </w:tcPr>
          <w:p w14:paraId="131F399C">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E2c</w:t>
            </w:r>
          </w:p>
        </w:tc>
        <w:tc>
          <w:tcPr>
            <w:tcW w:w="1333" w:type="pct"/>
            <w:vAlign w:val="center"/>
          </w:tcPr>
          <w:p w14:paraId="2FF1DE81">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林地</w:t>
            </w:r>
          </w:p>
        </w:tc>
        <w:tc>
          <w:tcPr>
            <w:tcW w:w="1170" w:type="pct"/>
            <w:vAlign w:val="center"/>
          </w:tcPr>
          <w:p w14:paraId="6CF1C39E">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61.250</w:t>
            </w:r>
          </w:p>
        </w:tc>
        <w:tc>
          <w:tcPr>
            <w:tcW w:w="987" w:type="pct"/>
            <w:vAlign w:val="center"/>
          </w:tcPr>
          <w:p w14:paraId="11EA6C8D">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55.99</w:t>
            </w:r>
          </w:p>
        </w:tc>
      </w:tr>
      <w:tr w14:paraId="5B974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continue"/>
            <w:noWrap/>
            <w:vAlign w:val="center"/>
          </w:tcPr>
          <w:p w14:paraId="357D54A1">
            <w:pPr>
              <w:ind w:firstLine="420"/>
              <w:jc w:val="center"/>
              <w:rPr>
                <w:rFonts w:hint="eastAsia" w:ascii="仿宋_GB2312" w:hAnsi="宋体" w:cs="仿宋_GB2312"/>
                <w:color w:val="000000"/>
                <w:sz w:val="21"/>
                <w:szCs w:val="21"/>
              </w:rPr>
            </w:pPr>
          </w:p>
        </w:tc>
        <w:tc>
          <w:tcPr>
            <w:tcW w:w="525" w:type="pct"/>
            <w:vMerge w:val="continue"/>
            <w:vAlign w:val="center"/>
          </w:tcPr>
          <w:p w14:paraId="2424654E">
            <w:pPr>
              <w:ind w:firstLine="420"/>
              <w:jc w:val="center"/>
              <w:rPr>
                <w:rFonts w:hint="eastAsia" w:ascii="仿宋_GB2312" w:hAnsi="宋体" w:cs="仿宋_GB2312"/>
                <w:color w:val="000000"/>
                <w:sz w:val="21"/>
                <w:szCs w:val="21"/>
              </w:rPr>
            </w:pPr>
          </w:p>
        </w:tc>
        <w:tc>
          <w:tcPr>
            <w:tcW w:w="459" w:type="pct"/>
            <w:noWrap/>
            <w:vAlign w:val="center"/>
          </w:tcPr>
          <w:p w14:paraId="234F1962">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E2d</w:t>
            </w:r>
          </w:p>
        </w:tc>
        <w:tc>
          <w:tcPr>
            <w:tcW w:w="1333" w:type="pct"/>
            <w:vAlign w:val="center"/>
          </w:tcPr>
          <w:p w14:paraId="2C8D9959">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草地</w:t>
            </w:r>
          </w:p>
        </w:tc>
        <w:tc>
          <w:tcPr>
            <w:tcW w:w="1170" w:type="pct"/>
            <w:vAlign w:val="center"/>
          </w:tcPr>
          <w:p w14:paraId="4F40AF84">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1.669</w:t>
            </w:r>
          </w:p>
        </w:tc>
        <w:tc>
          <w:tcPr>
            <w:tcW w:w="987" w:type="pct"/>
            <w:vAlign w:val="center"/>
          </w:tcPr>
          <w:p w14:paraId="7F9A4007">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1.53</w:t>
            </w:r>
          </w:p>
        </w:tc>
      </w:tr>
      <w:tr w14:paraId="0092E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continue"/>
            <w:noWrap/>
            <w:vAlign w:val="center"/>
          </w:tcPr>
          <w:p w14:paraId="5698EADC">
            <w:pPr>
              <w:ind w:firstLine="420"/>
              <w:jc w:val="center"/>
              <w:rPr>
                <w:rFonts w:hint="eastAsia" w:ascii="仿宋_GB2312" w:hAnsi="宋体" w:cs="仿宋_GB2312"/>
                <w:color w:val="000000"/>
                <w:sz w:val="21"/>
                <w:szCs w:val="21"/>
              </w:rPr>
            </w:pPr>
          </w:p>
        </w:tc>
        <w:tc>
          <w:tcPr>
            <w:tcW w:w="525" w:type="pct"/>
            <w:vMerge w:val="continue"/>
            <w:vAlign w:val="center"/>
          </w:tcPr>
          <w:p w14:paraId="4376D9FB">
            <w:pPr>
              <w:ind w:firstLine="420"/>
              <w:jc w:val="center"/>
              <w:rPr>
                <w:rFonts w:eastAsia="宋体" w:cs="Times New Roman"/>
                <w:color w:val="000000"/>
                <w:sz w:val="21"/>
                <w:szCs w:val="21"/>
              </w:rPr>
            </w:pPr>
          </w:p>
        </w:tc>
        <w:tc>
          <w:tcPr>
            <w:tcW w:w="459" w:type="pct"/>
            <w:noWrap/>
            <w:vAlign w:val="center"/>
          </w:tcPr>
          <w:p w14:paraId="419546C7">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E2f</w:t>
            </w:r>
          </w:p>
        </w:tc>
        <w:tc>
          <w:tcPr>
            <w:tcW w:w="1333" w:type="pct"/>
            <w:noWrap/>
            <w:vAlign w:val="center"/>
          </w:tcPr>
          <w:p w14:paraId="16C91CE8">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设施农用地</w:t>
            </w:r>
          </w:p>
        </w:tc>
        <w:tc>
          <w:tcPr>
            <w:tcW w:w="1170" w:type="pct"/>
            <w:noWrap/>
            <w:vAlign w:val="center"/>
          </w:tcPr>
          <w:p w14:paraId="3C66B73D">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3.077</w:t>
            </w:r>
          </w:p>
        </w:tc>
        <w:tc>
          <w:tcPr>
            <w:tcW w:w="987" w:type="pct"/>
            <w:noWrap/>
            <w:vAlign w:val="center"/>
          </w:tcPr>
          <w:p w14:paraId="4B907986">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2.81</w:t>
            </w:r>
          </w:p>
        </w:tc>
      </w:tr>
      <w:tr w14:paraId="6B8A2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23" w:type="pct"/>
            <w:vMerge w:val="continue"/>
            <w:noWrap/>
            <w:vAlign w:val="center"/>
          </w:tcPr>
          <w:p w14:paraId="1E85731C">
            <w:pPr>
              <w:ind w:firstLine="420"/>
              <w:jc w:val="center"/>
              <w:rPr>
                <w:rFonts w:hint="eastAsia" w:ascii="仿宋_GB2312" w:hAnsi="宋体" w:cs="仿宋_GB2312"/>
                <w:color w:val="000000"/>
                <w:sz w:val="21"/>
                <w:szCs w:val="21"/>
              </w:rPr>
            </w:pPr>
          </w:p>
        </w:tc>
        <w:tc>
          <w:tcPr>
            <w:tcW w:w="525" w:type="pct"/>
            <w:vAlign w:val="center"/>
          </w:tcPr>
          <w:p w14:paraId="009DCA06">
            <w:pPr>
              <w:widowControl/>
              <w:spacing w:line="240" w:lineRule="auto"/>
              <w:ind w:firstLine="0" w:firstLineChars="0"/>
              <w:jc w:val="center"/>
              <w:textAlignment w:val="center"/>
              <w:rPr>
                <w:rFonts w:eastAsia="宋体" w:cs="Times New Roman"/>
                <w:color w:val="000000"/>
                <w:sz w:val="21"/>
                <w:szCs w:val="21"/>
              </w:rPr>
            </w:pPr>
            <w:r>
              <w:rPr>
                <w:rFonts w:eastAsia="宋体" w:cs="Times New Roman"/>
                <w:color w:val="000000"/>
                <w:kern w:val="0"/>
                <w:sz w:val="21"/>
                <w:szCs w:val="21"/>
                <w:lang w:bidi="ar"/>
              </w:rPr>
              <w:t>E9</w:t>
            </w:r>
          </w:p>
        </w:tc>
        <w:tc>
          <w:tcPr>
            <w:tcW w:w="1793" w:type="pct"/>
            <w:gridSpan w:val="2"/>
            <w:noWrap/>
            <w:vAlign w:val="center"/>
          </w:tcPr>
          <w:p w14:paraId="405C06C8">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其他非建设用地</w:t>
            </w:r>
          </w:p>
        </w:tc>
        <w:tc>
          <w:tcPr>
            <w:tcW w:w="1170" w:type="pct"/>
            <w:noWrap/>
            <w:vAlign w:val="center"/>
          </w:tcPr>
          <w:p w14:paraId="257D0A80">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0.021</w:t>
            </w:r>
          </w:p>
        </w:tc>
        <w:tc>
          <w:tcPr>
            <w:tcW w:w="987" w:type="pct"/>
            <w:noWrap/>
            <w:vAlign w:val="center"/>
          </w:tcPr>
          <w:p w14:paraId="4908A40B">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0.02</w:t>
            </w:r>
          </w:p>
        </w:tc>
      </w:tr>
      <w:tr w14:paraId="62540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842" w:type="pct"/>
            <w:gridSpan w:val="4"/>
            <w:noWrap/>
            <w:vAlign w:val="center"/>
          </w:tcPr>
          <w:p w14:paraId="2E32C75E">
            <w:pPr>
              <w:widowControl/>
              <w:spacing w:line="240" w:lineRule="auto"/>
              <w:ind w:firstLine="0" w:firstLineChars="0"/>
              <w:jc w:val="center"/>
              <w:textAlignment w:val="center"/>
              <w:rPr>
                <w:rFonts w:hint="eastAsia" w:ascii="仿宋_GB2312" w:hAnsi="宋体" w:cs="仿宋_GB2312"/>
                <w:color w:val="000000"/>
                <w:sz w:val="21"/>
                <w:szCs w:val="21"/>
              </w:rPr>
            </w:pPr>
            <w:r>
              <w:rPr>
                <w:rFonts w:hint="eastAsia" w:ascii="仿宋_GB2312" w:hAnsi="宋体" w:cs="仿宋_GB2312"/>
                <w:color w:val="000000"/>
                <w:kern w:val="0"/>
                <w:sz w:val="21"/>
                <w:szCs w:val="21"/>
                <w:lang w:bidi="ar"/>
              </w:rPr>
              <w:t>合计</w:t>
            </w:r>
          </w:p>
        </w:tc>
        <w:tc>
          <w:tcPr>
            <w:tcW w:w="1170" w:type="pct"/>
            <w:noWrap/>
            <w:vAlign w:val="center"/>
          </w:tcPr>
          <w:p w14:paraId="6D173657">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109.40</w:t>
            </w:r>
          </w:p>
        </w:tc>
        <w:tc>
          <w:tcPr>
            <w:tcW w:w="987" w:type="pct"/>
            <w:noWrap/>
            <w:vAlign w:val="center"/>
          </w:tcPr>
          <w:p w14:paraId="2E8C959A">
            <w:pPr>
              <w:widowControl/>
              <w:spacing w:line="240" w:lineRule="auto"/>
              <w:ind w:firstLine="0" w:firstLineChars="0"/>
              <w:jc w:val="center"/>
              <w:textAlignment w:val="center"/>
              <w:rPr>
                <w:rFonts w:eastAsia="宋体" w:cs="Times New Roman"/>
                <w:color w:val="000000"/>
                <w:sz w:val="21"/>
                <w:szCs w:val="21"/>
                <w:lang w:bidi="ar"/>
              </w:rPr>
            </w:pPr>
            <w:r>
              <w:rPr>
                <w:rFonts w:eastAsia="宋体" w:cs="Times New Roman"/>
                <w:color w:val="000000"/>
                <w:sz w:val="21"/>
                <w:szCs w:val="21"/>
                <w:lang w:bidi="ar"/>
              </w:rPr>
              <w:t>100.00</w:t>
            </w:r>
          </w:p>
        </w:tc>
      </w:tr>
    </w:tbl>
    <w:p w14:paraId="4BC29DF8">
      <w:pPr>
        <w:ind w:firstLine="0" w:firstLineChars="0"/>
        <w:outlineLvl w:val="3"/>
      </w:pPr>
      <w:r>
        <w:rPr>
          <w:rFonts w:hint="eastAsia"/>
        </w:rPr>
        <w:t>3.4.3.2生态保护区域土地利用现状</w:t>
      </w:r>
    </w:p>
    <w:p w14:paraId="04331960">
      <w:pPr>
        <w:numPr>
          <w:ilvl w:val="0"/>
          <w:numId w:val="12"/>
        </w:numPr>
        <w:ind w:firstLine="480"/>
      </w:pPr>
      <w:r>
        <w:rPr>
          <w:rFonts w:hint="eastAsia"/>
        </w:rPr>
        <w:t>生态保护红线</w:t>
      </w:r>
    </w:p>
    <w:p w14:paraId="37612907">
      <w:pPr>
        <w:ind w:firstLine="480"/>
      </w:pPr>
      <w:r>
        <w:rPr>
          <w:rFonts w:hint="eastAsia"/>
        </w:rPr>
        <w:t>本轮规划</w:t>
      </w:r>
      <w:r>
        <w:t>范围涉及</w:t>
      </w:r>
      <w:r>
        <w:rPr>
          <w:rFonts w:hint="eastAsia"/>
        </w:rPr>
        <w:t>生态保护红线—</w:t>
      </w:r>
      <w:r>
        <w:t>江苏常州金坛茅东省级森林公园</w:t>
      </w:r>
      <w:r>
        <w:rPr>
          <w:rFonts w:hint="eastAsia"/>
        </w:rPr>
        <w:t>，重叠面积15.958平方公里，生态保护红线范围内现状用地情况见下表。</w:t>
      </w:r>
    </w:p>
    <w:p w14:paraId="256FD161">
      <w:pPr>
        <w:pStyle w:val="45"/>
        <w:rPr>
          <w:rFonts w:cs="Times New Roman"/>
        </w:rPr>
      </w:pPr>
      <w:r>
        <w:rPr>
          <w:rFonts w:hint="eastAsia"/>
        </w:rPr>
        <w:t>表3.4-10  规划范围生态保护红线范围</w:t>
      </w:r>
      <w:r>
        <w:rPr>
          <w:rFonts w:hint="eastAsia" w:cs="Times New Roman"/>
        </w:rPr>
        <w:t>现状用地情况</w:t>
      </w:r>
      <w:r>
        <w:rPr>
          <w:rFonts w:cs="Times New Roman"/>
        </w:rPr>
        <w:t>表</w:t>
      </w:r>
    </w:p>
    <w:tbl>
      <w:tblPr>
        <w:tblStyle w:val="25"/>
        <w:tblW w:w="8104" w:type="dxa"/>
        <w:jc w:val="center"/>
        <w:tblLayout w:type="fixed"/>
        <w:tblCellMar>
          <w:top w:w="0" w:type="dxa"/>
          <w:left w:w="108" w:type="dxa"/>
          <w:bottom w:w="0" w:type="dxa"/>
          <w:right w:w="108" w:type="dxa"/>
        </w:tblCellMar>
      </w:tblPr>
      <w:tblGrid>
        <w:gridCol w:w="789"/>
        <w:gridCol w:w="840"/>
        <w:gridCol w:w="780"/>
        <w:gridCol w:w="2190"/>
        <w:gridCol w:w="1920"/>
        <w:gridCol w:w="1585"/>
      </w:tblGrid>
      <w:tr w14:paraId="6163912C">
        <w:tblPrEx>
          <w:tblCellMar>
            <w:top w:w="0" w:type="dxa"/>
            <w:left w:w="108" w:type="dxa"/>
            <w:bottom w:w="0" w:type="dxa"/>
            <w:right w:w="108" w:type="dxa"/>
          </w:tblCellMar>
        </w:tblPrEx>
        <w:trPr>
          <w:trHeight w:val="604" w:hRule="atLeast"/>
          <w:tblHeader/>
          <w:jc w:val="center"/>
        </w:trPr>
        <w:tc>
          <w:tcPr>
            <w:tcW w:w="1629" w:type="dxa"/>
            <w:gridSpan w:val="2"/>
            <w:tcBorders>
              <w:top w:val="single" w:color="000000" w:sz="4" w:space="0"/>
              <w:left w:val="single" w:color="000000" w:sz="4" w:space="0"/>
              <w:bottom w:val="single" w:color="000000" w:sz="4" w:space="0"/>
              <w:right w:val="single" w:color="000000" w:sz="4" w:space="0"/>
            </w:tcBorders>
            <w:noWrap/>
            <w:vAlign w:val="center"/>
          </w:tcPr>
          <w:p w14:paraId="4DC035ED">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用地代码</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61E1AE12">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用地性质</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29DFD4BD">
            <w:pPr>
              <w:widowControl/>
              <w:spacing w:line="240" w:lineRule="auto"/>
              <w:ind w:firstLine="0" w:firstLineChars="0"/>
              <w:jc w:val="center"/>
              <w:textAlignment w:val="center"/>
              <w:rPr>
                <w:rFonts w:cs="Times New Roman"/>
                <w:b/>
                <w:bCs/>
                <w:color w:val="000000"/>
                <w:kern w:val="0"/>
                <w:sz w:val="21"/>
                <w:szCs w:val="21"/>
                <w:lang w:bidi="ar"/>
              </w:rPr>
            </w:pPr>
            <w:r>
              <w:rPr>
                <w:rFonts w:cs="Times New Roman"/>
                <w:b/>
                <w:bCs/>
                <w:color w:val="000000"/>
                <w:kern w:val="0"/>
                <w:sz w:val="21"/>
                <w:szCs w:val="21"/>
                <w:lang w:bidi="ar"/>
              </w:rPr>
              <w:t>现状用地面积</w:t>
            </w:r>
          </w:p>
          <w:p w14:paraId="0AF1153B">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（平方千米）</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5DC81F3F">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百分比（%）</w:t>
            </w:r>
          </w:p>
        </w:tc>
      </w:tr>
      <w:tr w14:paraId="336C87A3">
        <w:tblPrEx>
          <w:tblCellMar>
            <w:top w:w="0" w:type="dxa"/>
            <w:left w:w="108" w:type="dxa"/>
            <w:bottom w:w="0" w:type="dxa"/>
            <w:right w:w="108" w:type="dxa"/>
          </w:tblCellMar>
        </w:tblPrEx>
        <w:trPr>
          <w:trHeight w:val="270" w:hRule="atLeast"/>
          <w:jc w:val="center"/>
        </w:trPr>
        <w:tc>
          <w:tcPr>
            <w:tcW w:w="1629" w:type="dxa"/>
            <w:gridSpan w:val="2"/>
            <w:tcBorders>
              <w:top w:val="single" w:color="000000" w:sz="4" w:space="0"/>
              <w:left w:val="single" w:color="000000" w:sz="4" w:space="0"/>
              <w:bottom w:val="single" w:color="000000" w:sz="4" w:space="0"/>
              <w:right w:val="single" w:color="000000" w:sz="4" w:space="0"/>
            </w:tcBorders>
            <w:noWrap/>
            <w:vAlign w:val="center"/>
          </w:tcPr>
          <w:p w14:paraId="43C5244B">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R</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7D0E2CE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居住用地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23DCB990">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0.127</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65C78CAC">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0.79</w:t>
            </w:r>
          </w:p>
        </w:tc>
      </w:tr>
      <w:tr w14:paraId="6BD378B7">
        <w:tblPrEx>
          <w:tblCellMar>
            <w:top w:w="0" w:type="dxa"/>
            <w:left w:w="108" w:type="dxa"/>
            <w:bottom w:w="0" w:type="dxa"/>
            <w:right w:w="108" w:type="dxa"/>
          </w:tblCellMar>
        </w:tblPrEx>
        <w:trPr>
          <w:trHeight w:val="270" w:hRule="atLeast"/>
          <w:jc w:val="center"/>
        </w:trPr>
        <w:tc>
          <w:tcPr>
            <w:tcW w:w="1629" w:type="dxa"/>
            <w:gridSpan w:val="2"/>
            <w:tcBorders>
              <w:top w:val="single" w:color="000000" w:sz="4" w:space="0"/>
              <w:left w:val="single" w:color="000000" w:sz="4" w:space="0"/>
              <w:bottom w:val="single" w:color="000000" w:sz="4" w:space="0"/>
              <w:right w:val="single" w:color="000000" w:sz="4" w:space="0"/>
            </w:tcBorders>
            <w:vAlign w:val="center"/>
          </w:tcPr>
          <w:p w14:paraId="659C5A4B">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A</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3A40E68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公共管理与公共服务设施用地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66D8CFD6">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0.058</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26AA3C2E">
            <w:pPr>
              <w:widowControl/>
              <w:spacing w:line="240" w:lineRule="auto"/>
              <w:ind w:firstLine="0" w:firstLineChars="0"/>
              <w:jc w:val="center"/>
              <w:textAlignment w:val="center"/>
              <w:rPr>
                <w:rFonts w:eastAsia="宋体" w:cs="Times New Roman"/>
                <w:color w:val="000000"/>
                <w:kern w:val="0"/>
                <w:sz w:val="21"/>
                <w:szCs w:val="21"/>
                <w:lang w:bidi="ar"/>
              </w:rPr>
            </w:pPr>
            <w:r>
              <w:rPr>
                <w:rFonts w:eastAsia="宋体" w:cs="Times New Roman"/>
                <w:color w:val="000000"/>
                <w:kern w:val="0"/>
                <w:sz w:val="21"/>
                <w:szCs w:val="21"/>
                <w:lang w:bidi="ar"/>
              </w:rPr>
              <w:t>0.36</w:t>
            </w:r>
          </w:p>
        </w:tc>
      </w:tr>
      <w:tr w14:paraId="7E075B32">
        <w:tblPrEx>
          <w:tblCellMar>
            <w:top w:w="0" w:type="dxa"/>
            <w:left w:w="108" w:type="dxa"/>
            <w:bottom w:w="0" w:type="dxa"/>
            <w:right w:w="108" w:type="dxa"/>
          </w:tblCellMar>
        </w:tblPrEx>
        <w:trPr>
          <w:trHeight w:val="270" w:hRule="atLeast"/>
          <w:jc w:val="center"/>
        </w:trPr>
        <w:tc>
          <w:tcPr>
            <w:tcW w:w="789" w:type="dxa"/>
            <w:vMerge w:val="restart"/>
            <w:tcBorders>
              <w:top w:val="single" w:color="000000" w:sz="4" w:space="0"/>
              <w:left w:val="single" w:color="000000" w:sz="4" w:space="0"/>
              <w:bottom w:val="single" w:color="000000" w:sz="4" w:space="0"/>
              <w:right w:val="single" w:color="000000" w:sz="4" w:space="0"/>
            </w:tcBorders>
            <w:vAlign w:val="center"/>
          </w:tcPr>
          <w:p w14:paraId="2ACAF3A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6F2FC9A">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A1</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72D1881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行政办公用地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6B5EECFD">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0.011</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33B691E2">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0.07</w:t>
            </w:r>
          </w:p>
        </w:tc>
      </w:tr>
      <w:tr w14:paraId="7C876FE7">
        <w:tblPrEx>
          <w:tblCellMar>
            <w:top w:w="0" w:type="dxa"/>
            <w:left w:w="108" w:type="dxa"/>
            <w:bottom w:w="0" w:type="dxa"/>
            <w:right w:w="108" w:type="dxa"/>
          </w:tblCellMar>
        </w:tblPrEx>
        <w:trPr>
          <w:trHeight w:val="270" w:hRule="atLeast"/>
          <w:jc w:val="center"/>
        </w:trPr>
        <w:tc>
          <w:tcPr>
            <w:tcW w:w="789" w:type="dxa"/>
            <w:vMerge w:val="continue"/>
            <w:tcBorders>
              <w:top w:val="single" w:color="000000" w:sz="4" w:space="0"/>
              <w:left w:val="single" w:color="000000" w:sz="4" w:space="0"/>
              <w:bottom w:val="single" w:color="000000" w:sz="4" w:space="0"/>
              <w:right w:val="single" w:color="000000" w:sz="4" w:space="0"/>
            </w:tcBorders>
            <w:vAlign w:val="center"/>
          </w:tcPr>
          <w:p w14:paraId="7B429408">
            <w:pPr>
              <w:widowControl/>
              <w:spacing w:line="240" w:lineRule="auto"/>
              <w:ind w:firstLine="0" w:firstLineChars="0"/>
              <w:jc w:val="center"/>
              <w:rPr>
                <w:rFonts w:cs="Times New Roman"/>
                <w:color w:val="000000"/>
                <w:sz w:val="21"/>
                <w:szCs w:val="21"/>
              </w:rPr>
            </w:pP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435F54F">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A9</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6510C20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宗教设施用地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4EF0305A">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0.047</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6F7BD42B">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0.29</w:t>
            </w:r>
          </w:p>
        </w:tc>
      </w:tr>
      <w:tr w14:paraId="63B911D4">
        <w:tblPrEx>
          <w:tblCellMar>
            <w:top w:w="0" w:type="dxa"/>
            <w:left w:w="108" w:type="dxa"/>
            <w:bottom w:w="0" w:type="dxa"/>
            <w:right w:w="108" w:type="dxa"/>
          </w:tblCellMar>
        </w:tblPrEx>
        <w:trPr>
          <w:trHeight w:val="270" w:hRule="atLeast"/>
          <w:jc w:val="center"/>
        </w:trPr>
        <w:tc>
          <w:tcPr>
            <w:tcW w:w="1629" w:type="dxa"/>
            <w:gridSpan w:val="2"/>
            <w:tcBorders>
              <w:top w:val="single" w:color="000000" w:sz="4" w:space="0"/>
              <w:left w:val="single" w:color="000000" w:sz="4" w:space="0"/>
              <w:bottom w:val="single" w:color="000000" w:sz="4" w:space="0"/>
              <w:right w:val="single" w:color="000000" w:sz="4" w:space="0"/>
            </w:tcBorders>
            <w:noWrap/>
            <w:vAlign w:val="center"/>
          </w:tcPr>
          <w:p w14:paraId="72DCDB8A">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M</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1DDF294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工业用地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153E80A7">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0.005</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19DA3893">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0.03</w:t>
            </w:r>
          </w:p>
        </w:tc>
      </w:tr>
      <w:tr w14:paraId="19E6029E">
        <w:tblPrEx>
          <w:tblCellMar>
            <w:top w:w="0" w:type="dxa"/>
            <w:left w:w="108" w:type="dxa"/>
            <w:bottom w:w="0" w:type="dxa"/>
            <w:right w:w="108" w:type="dxa"/>
          </w:tblCellMar>
        </w:tblPrEx>
        <w:trPr>
          <w:trHeight w:val="270" w:hRule="atLeast"/>
          <w:jc w:val="center"/>
        </w:trPr>
        <w:tc>
          <w:tcPr>
            <w:tcW w:w="1629" w:type="dxa"/>
            <w:gridSpan w:val="2"/>
            <w:tcBorders>
              <w:top w:val="single" w:color="000000" w:sz="4" w:space="0"/>
              <w:left w:val="single" w:color="000000" w:sz="4" w:space="0"/>
              <w:bottom w:val="single" w:color="000000" w:sz="4" w:space="0"/>
              <w:right w:val="single" w:color="000000" w:sz="4" w:space="0"/>
            </w:tcBorders>
            <w:noWrap/>
            <w:vAlign w:val="center"/>
          </w:tcPr>
          <w:p w14:paraId="4DEDD538">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S</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3819B21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道路与交通设施用地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4CD0FF28">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0.261</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08D9783A">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1.63</w:t>
            </w:r>
          </w:p>
        </w:tc>
      </w:tr>
      <w:tr w14:paraId="5840BE09">
        <w:tblPrEx>
          <w:tblCellMar>
            <w:top w:w="0" w:type="dxa"/>
            <w:left w:w="108" w:type="dxa"/>
            <w:bottom w:w="0" w:type="dxa"/>
            <w:right w:w="108" w:type="dxa"/>
          </w:tblCellMar>
        </w:tblPrEx>
        <w:trPr>
          <w:trHeight w:val="270" w:hRule="atLeast"/>
          <w:jc w:val="center"/>
        </w:trPr>
        <w:tc>
          <w:tcPr>
            <w:tcW w:w="1629" w:type="dxa"/>
            <w:gridSpan w:val="2"/>
            <w:tcBorders>
              <w:top w:val="single" w:color="000000" w:sz="4" w:space="0"/>
              <w:left w:val="single" w:color="000000" w:sz="4" w:space="0"/>
              <w:bottom w:val="single" w:color="000000" w:sz="4" w:space="0"/>
              <w:right w:val="single" w:color="000000" w:sz="4" w:space="0"/>
            </w:tcBorders>
            <w:noWrap/>
            <w:vAlign w:val="center"/>
          </w:tcPr>
          <w:p w14:paraId="27FF2E0F">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U</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0396B3F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公用设施用地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4781EAC2">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0.025</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5E17F5E2">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0.16</w:t>
            </w:r>
          </w:p>
        </w:tc>
      </w:tr>
      <w:tr w14:paraId="390FEDC2">
        <w:tblPrEx>
          <w:tblCellMar>
            <w:top w:w="0" w:type="dxa"/>
            <w:left w:w="108" w:type="dxa"/>
            <w:bottom w:w="0" w:type="dxa"/>
            <w:right w:w="108" w:type="dxa"/>
          </w:tblCellMar>
        </w:tblPrEx>
        <w:trPr>
          <w:trHeight w:val="270" w:hRule="atLeast"/>
          <w:jc w:val="center"/>
        </w:trPr>
        <w:tc>
          <w:tcPr>
            <w:tcW w:w="1629" w:type="dxa"/>
            <w:gridSpan w:val="2"/>
            <w:tcBorders>
              <w:top w:val="single" w:color="000000" w:sz="4" w:space="0"/>
              <w:left w:val="single" w:color="000000" w:sz="4" w:space="0"/>
              <w:bottom w:val="single" w:color="000000" w:sz="4" w:space="0"/>
              <w:right w:val="single" w:color="000000" w:sz="4" w:space="0"/>
            </w:tcBorders>
            <w:noWrap/>
            <w:vAlign w:val="center"/>
          </w:tcPr>
          <w:p w14:paraId="46C73E6E">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H5</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64B2CFA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采矿用地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3AD56E19">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0.024</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28ED778C">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0.15</w:t>
            </w:r>
          </w:p>
        </w:tc>
      </w:tr>
      <w:tr w14:paraId="7E778D40">
        <w:tblPrEx>
          <w:tblCellMar>
            <w:top w:w="0" w:type="dxa"/>
            <w:left w:w="108" w:type="dxa"/>
            <w:bottom w:w="0" w:type="dxa"/>
            <w:right w:w="108" w:type="dxa"/>
          </w:tblCellMar>
        </w:tblPrEx>
        <w:trPr>
          <w:trHeight w:val="270" w:hRule="atLeast"/>
          <w:jc w:val="center"/>
        </w:trPr>
        <w:tc>
          <w:tcPr>
            <w:tcW w:w="1629" w:type="dxa"/>
            <w:gridSpan w:val="2"/>
            <w:tcBorders>
              <w:top w:val="single" w:color="000000" w:sz="4" w:space="0"/>
              <w:left w:val="single" w:color="000000" w:sz="4" w:space="0"/>
              <w:bottom w:val="single" w:color="000000" w:sz="4" w:space="0"/>
              <w:right w:val="single" w:color="000000" w:sz="4" w:space="0"/>
            </w:tcBorders>
            <w:noWrap/>
            <w:vAlign w:val="center"/>
          </w:tcPr>
          <w:p w14:paraId="3320F249">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11FBA6F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非建设用地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7E40763D">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15.458</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0A050AAF">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96.86</w:t>
            </w:r>
          </w:p>
        </w:tc>
      </w:tr>
      <w:tr w14:paraId="5ACE1B6A">
        <w:tblPrEx>
          <w:tblCellMar>
            <w:top w:w="0" w:type="dxa"/>
            <w:left w:w="108" w:type="dxa"/>
            <w:bottom w:w="0" w:type="dxa"/>
            <w:right w:w="108" w:type="dxa"/>
          </w:tblCellMar>
        </w:tblPrEx>
        <w:trPr>
          <w:trHeight w:val="270" w:hRule="atLeast"/>
          <w:jc w:val="center"/>
        </w:trPr>
        <w:tc>
          <w:tcPr>
            <w:tcW w:w="789" w:type="dxa"/>
            <w:vMerge w:val="restart"/>
            <w:tcBorders>
              <w:top w:val="single" w:color="000000" w:sz="4" w:space="0"/>
              <w:left w:val="single" w:color="000000" w:sz="4" w:space="0"/>
              <w:bottom w:val="single" w:color="000000" w:sz="4" w:space="0"/>
              <w:right w:val="single" w:color="000000" w:sz="4" w:space="0"/>
            </w:tcBorders>
            <w:noWrap/>
            <w:vAlign w:val="center"/>
          </w:tcPr>
          <w:p w14:paraId="4B72BA7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840" w:type="dxa"/>
            <w:tcBorders>
              <w:top w:val="single" w:color="000000" w:sz="4" w:space="0"/>
              <w:left w:val="single" w:color="000000" w:sz="4" w:space="0"/>
              <w:bottom w:val="single" w:color="000000" w:sz="4" w:space="0"/>
              <w:right w:val="single" w:color="000000" w:sz="4" w:space="0"/>
            </w:tcBorders>
            <w:vAlign w:val="center"/>
          </w:tcPr>
          <w:p w14:paraId="0B6989DC">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E1</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6ADA69B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水域</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5816F63C">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1.111</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03F14AC5">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6.96</w:t>
            </w:r>
          </w:p>
        </w:tc>
      </w:tr>
      <w:tr w14:paraId="380B5D18">
        <w:tblPrEx>
          <w:tblCellMar>
            <w:top w:w="0" w:type="dxa"/>
            <w:left w:w="108" w:type="dxa"/>
            <w:bottom w:w="0" w:type="dxa"/>
            <w:right w:w="108" w:type="dxa"/>
          </w:tblCellMar>
        </w:tblPrEx>
        <w:trPr>
          <w:trHeight w:val="270" w:hRule="atLeast"/>
          <w:jc w:val="center"/>
        </w:trPr>
        <w:tc>
          <w:tcPr>
            <w:tcW w:w="789" w:type="dxa"/>
            <w:vMerge w:val="continue"/>
            <w:tcBorders>
              <w:top w:val="single" w:color="000000" w:sz="4" w:space="0"/>
              <w:left w:val="single" w:color="000000" w:sz="4" w:space="0"/>
              <w:bottom w:val="single" w:color="000000" w:sz="4" w:space="0"/>
              <w:right w:val="single" w:color="000000" w:sz="4" w:space="0"/>
            </w:tcBorders>
            <w:noWrap/>
            <w:vAlign w:val="center"/>
          </w:tcPr>
          <w:p w14:paraId="2FFEA606">
            <w:pPr>
              <w:widowControl/>
              <w:spacing w:line="240" w:lineRule="auto"/>
              <w:ind w:firstLine="0" w:firstLineChars="0"/>
              <w:jc w:val="center"/>
              <w:rPr>
                <w:rFonts w:cs="Times New Roman"/>
                <w:color w:val="000000"/>
                <w:sz w:val="21"/>
                <w:szCs w:val="21"/>
              </w:rPr>
            </w:pPr>
          </w:p>
        </w:tc>
        <w:tc>
          <w:tcPr>
            <w:tcW w:w="840" w:type="dxa"/>
            <w:tcBorders>
              <w:top w:val="single" w:color="000000" w:sz="4" w:space="0"/>
              <w:left w:val="single" w:color="000000" w:sz="4" w:space="0"/>
              <w:bottom w:val="single" w:color="000000" w:sz="4" w:space="0"/>
              <w:right w:val="single" w:color="000000" w:sz="4" w:space="0"/>
            </w:tcBorders>
            <w:vAlign w:val="center"/>
          </w:tcPr>
          <w:p w14:paraId="5733F8F6">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E2</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7FE2EBD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农林用地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3F7E0486">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14.340</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608060B8">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89.86</w:t>
            </w:r>
          </w:p>
        </w:tc>
      </w:tr>
      <w:tr w14:paraId="61001A92">
        <w:tblPrEx>
          <w:tblCellMar>
            <w:top w:w="0" w:type="dxa"/>
            <w:left w:w="108" w:type="dxa"/>
            <w:bottom w:w="0" w:type="dxa"/>
            <w:right w:w="108" w:type="dxa"/>
          </w:tblCellMar>
        </w:tblPrEx>
        <w:trPr>
          <w:trHeight w:val="270" w:hRule="atLeast"/>
          <w:jc w:val="center"/>
        </w:trPr>
        <w:tc>
          <w:tcPr>
            <w:tcW w:w="789" w:type="dxa"/>
            <w:vMerge w:val="continue"/>
            <w:tcBorders>
              <w:top w:val="single" w:color="000000" w:sz="4" w:space="0"/>
              <w:left w:val="single" w:color="000000" w:sz="4" w:space="0"/>
              <w:bottom w:val="single" w:color="000000" w:sz="4" w:space="0"/>
              <w:right w:val="single" w:color="000000" w:sz="4" w:space="0"/>
            </w:tcBorders>
            <w:noWrap/>
            <w:vAlign w:val="center"/>
          </w:tcPr>
          <w:p w14:paraId="26FF2AED">
            <w:pPr>
              <w:widowControl/>
              <w:spacing w:line="240" w:lineRule="auto"/>
              <w:ind w:firstLine="0" w:firstLineChars="0"/>
              <w:jc w:val="center"/>
              <w:rPr>
                <w:rFonts w:cs="Times New Roman"/>
                <w:color w:val="000000"/>
                <w:sz w:val="21"/>
                <w:szCs w:val="21"/>
              </w:rPr>
            </w:pPr>
          </w:p>
        </w:tc>
        <w:tc>
          <w:tcPr>
            <w:tcW w:w="840" w:type="dxa"/>
            <w:vMerge w:val="restart"/>
            <w:tcBorders>
              <w:top w:val="single" w:color="000000" w:sz="4" w:space="0"/>
              <w:left w:val="single" w:color="000000" w:sz="4" w:space="0"/>
              <w:bottom w:val="single" w:color="000000" w:sz="4" w:space="0"/>
              <w:right w:val="single" w:color="000000" w:sz="4" w:space="0"/>
            </w:tcBorders>
            <w:vAlign w:val="center"/>
          </w:tcPr>
          <w:p w14:paraId="261E8B5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780" w:type="dxa"/>
            <w:tcBorders>
              <w:top w:val="single" w:color="000000" w:sz="4" w:space="0"/>
              <w:left w:val="single" w:color="000000" w:sz="4" w:space="0"/>
              <w:bottom w:val="single" w:color="000000" w:sz="4" w:space="0"/>
              <w:right w:val="single" w:color="000000" w:sz="4" w:space="0"/>
            </w:tcBorders>
            <w:noWrap/>
            <w:vAlign w:val="center"/>
          </w:tcPr>
          <w:p w14:paraId="7CD40F6C">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E2a</w:t>
            </w:r>
          </w:p>
        </w:tc>
        <w:tc>
          <w:tcPr>
            <w:tcW w:w="2190" w:type="dxa"/>
            <w:tcBorders>
              <w:top w:val="single" w:color="000000" w:sz="4" w:space="0"/>
              <w:left w:val="single" w:color="000000" w:sz="4" w:space="0"/>
              <w:bottom w:val="single" w:color="000000" w:sz="4" w:space="0"/>
              <w:right w:val="single" w:color="000000" w:sz="4" w:space="0"/>
            </w:tcBorders>
            <w:vAlign w:val="center"/>
          </w:tcPr>
          <w:p w14:paraId="6E60906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耕地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098FB3AE">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0.318</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68ECD6FA">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2.00</w:t>
            </w:r>
          </w:p>
        </w:tc>
      </w:tr>
      <w:tr w14:paraId="57B6CEE9">
        <w:tblPrEx>
          <w:tblCellMar>
            <w:top w:w="0" w:type="dxa"/>
            <w:left w:w="108" w:type="dxa"/>
            <w:bottom w:w="0" w:type="dxa"/>
            <w:right w:w="108" w:type="dxa"/>
          </w:tblCellMar>
        </w:tblPrEx>
        <w:trPr>
          <w:trHeight w:val="270" w:hRule="atLeast"/>
          <w:jc w:val="center"/>
        </w:trPr>
        <w:tc>
          <w:tcPr>
            <w:tcW w:w="789" w:type="dxa"/>
            <w:vMerge w:val="continue"/>
            <w:tcBorders>
              <w:top w:val="single" w:color="000000" w:sz="4" w:space="0"/>
              <w:left w:val="single" w:color="000000" w:sz="4" w:space="0"/>
              <w:bottom w:val="single" w:color="000000" w:sz="4" w:space="0"/>
              <w:right w:val="single" w:color="000000" w:sz="4" w:space="0"/>
            </w:tcBorders>
            <w:noWrap/>
            <w:vAlign w:val="center"/>
          </w:tcPr>
          <w:p w14:paraId="5C084681">
            <w:pPr>
              <w:widowControl/>
              <w:spacing w:line="240" w:lineRule="auto"/>
              <w:ind w:firstLine="0" w:firstLineChars="0"/>
              <w:jc w:val="center"/>
              <w:rPr>
                <w:rFonts w:cs="Times New Roman"/>
                <w:color w:val="000000"/>
                <w:sz w:val="21"/>
                <w:szCs w:val="21"/>
              </w:rPr>
            </w:pPr>
          </w:p>
        </w:tc>
        <w:tc>
          <w:tcPr>
            <w:tcW w:w="840" w:type="dxa"/>
            <w:vMerge w:val="continue"/>
            <w:tcBorders>
              <w:top w:val="single" w:color="000000" w:sz="4" w:space="0"/>
              <w:left w:val="single" w:color="000000" w:sz="4" w:space="0"/>
              <w:bottom w:val="single" w:color="000000" w:sz="4" w:space="0"/>
              <w:right w:val="single" w:color="000000" w:sz="4" w:space="0"/>
            </w:tcBorders>
            <w:vAlign w:val="center"/>
          </w:tcPr>
          <w:p w14:paraId="4485992E">
            <w:pPr>
              <w:widowControl/>
              <w:spacing w:line="240" w:lineRule="auto"/>
              <w:ind w:firstLine="0" w:firstLineChars="0"/>
              <w:jc w:val="center"/>
              <w:rPr>
                <w:rFonts w:cs="Times New Roman"/>
                <w:color w:val="000000"/>
                <w:sz w:val="21"/>
                <w:szCs w:val="21"/>
              </w:rPr>
            </w:pPr>
          </w:p>
        </w:tc>
        <w:tc>
          <w:tcPr>
            <w:tcW w:w="780" w:type="dxa"/>
            <w:tcBorders>
              <w:top w:val="single" w:color="000000" w:sz="4" w:space="0"/>
              <w:left w:val="single" w:color="000000" w:sz="4" w:space="0"/>
              <w:bottom w:val="single" w:color="000000" w:sz="4" w:space="0"/>
              <w:right w:val="single" w:color="000000" w:sz="4" w:space="0"/>
            </w:tcBorders>
            <w:noWrap/>
            <w:vAlign w:val="center"/>
          </w:tcPr>
          <w:p w14:paraId="54525D24">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E2b</w:t>
            </w:r>
          </w:p>
        </w:tc>
        <w:tc>
          <w:tcPr>
            <w:tcW w:w="2190" w:type="dxa"/>
            <w:tcBorders>
              <w:top w:val="single" w:color="000000" w:sz="4" w:space="0"/>
              <w:left w:val="single" w:color="000000" w:sz="4" w:space="0"/>
              <w:bottom w:val="single" w:color="000000" w:sz="4" w:space="0"/>
              <w:right w:val="single" w:color="000000" w:sz="4" w:space="0"/>
            </w:tcBorders>
            <w:vAlign w:val="center"/>
          </w:tcPr>
          <w:p w14:paraId="76CC095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园地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0C8F3197">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0.334</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6C6E1F61">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2.09</w:t>
            </w:r>
          </w:p>
        </w:tc>
      </w:tr>
      <w:tr w14:paraId="738B3323">
        <w:tblPrEx>
          <w:tblCellMar>
            <w:top w:w="0" w:type="dxa"/>
            <w:left w:w="108" w:type="dxa"/>
            <w:bottom w:w="0" w:type="dxa"/>
            <w:right w:w="108" w:type="dxa"/>
          </w:tblCellMar>
        </w:tblPrEx>
        <w:trPr>
          <w:trHeight w:val="270" w:hRule="atLeast"/>
          <w:jc w:val="center"/>
        </w:trPr>
        <w:tc>
          <w:tcPr>
            <w:tcW w:w="789" w:type="dxa"/>
            <w:vMerge w:val="continue"/>
            <w:tcBorders>
              <w:top w:val="single" w:color="000000" w:sz="4" w:space="0"/>
              <w:left w:val="single" w:color="000000" w:sz="4" w:space="0"/>
              <w:bottom w:val="single" w:color="000000" w:sz="4" w:space="0"/>
              <w:right w:val="single" w:color="000000" w:sz="4" w:space="0"/>
            </w:tcBorders>
            <w:noWrap/>
            <w:vAlign w:val="center"/>
          </w:tcPr>
          <w:p w14:paraId="1B2CB875">
            <w:pPr>
              <w:widowControl/>
              <w:spacing w:line="240" w:lineRule="auto"/>
              <w:ind w:firstLine="0" w:firstLineChars="0"/>
              <w:jc w:val="center"/>
              <w:rPr>
                <w:rFonts w:cs="Times New Roman"/>
                <w:color w:val="000000"/>
                <w:sz w:val="21"/>
                <w:szCs w:val="21"/>
              </w:rPr>
            </w:pPr>
          </w:p>
        </w:tc>
        <w:tc>
          <w:tcPr>
            <w:tcW w:w="840" w:type="dxa"/>
            <w:vMerge w:val="continue"/>
            <w:tcBorders>
              <w:top w:val="single" w:color="000000" w:sz="4" w:space="0"/>
              <w:left w:val="single" w:color="000000" w:sz="4" w:space="0"/>
              <w:bottom w:val="single" w:color="000000" w:sz="4" w:space="0"/>
              <w:right w:val="single" w:color="000000" w:sz="4" w:space="0"/>
            </w:tcBorders>
            <w:vAlign w:val="center"/>
          </w:tcPr>
          <w:p w14:paraId="1DAD24FE">
            <w:pPr>
              <w:widowControl/>
              <w:spacing w:line="240" w:lineRule="auto"/>
              <w:ind w:firstLine="0" w:firstLineChars="0"/>
              <w:jc w:val="center"/>
              <w:rPr>
                <w:rFonts w:cs="Times New Roman"/>
                <w:color w:val="000000"/>
                <w:sz w:val="21"/>
                <w:szCs w:val="21"/>
              </w:rPr>
            </w:pPr>
          </w:p>
        </w:tc>
        <w:tc>
          <w:tcPr>
            <w:tcW w:w="780" w:type="dxa"/>
            <w:tcBorders>
              <w:top w:val="single" w:color="000000" w:sz="4" w:space="0"/>
              <w:left w:val="single" w:color="000000" w:sz="4" w:space="0"/>
              <w:bottom w:val="single" w:color="000000" w:sz="4" w:space="0"/>
              <w:right w:val="single" w:color="000000" w:sz="4" w:space="0"/>
            </w:tcBorders>
            <w:noWrap/>
            <w:vAlign w:val="center"/>
          </w:tcPr>
          <w:p w14:paraId="1670D880">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E2c</w:t>
            </w:r>
          </w:p>
        </w:tc>
        <w:tc>
          <w:tcPr>
            <w:tcW w:w="2190" w:type="dxa"/>
            <w:tcBorders>
              <w:top w:val="single" w:color="000000" w:sz="4" w:space="0"/>
              <w:left w:val="single" w:color="000000" w:sz="4" w:space="0"/>
              <w:bottom w:val="single" w:color="000000" w:sz="4" w:space="0"/>
              <w:right w:val="single" w:color="000000" w:sz="4" w:space="0"/>
            </w:tcBorders>
            <w:vAlign w:val="center"/>
          </w:tcPr>
          <w:p w14:paraId="022E712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林地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4AB6D588">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13.324</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632A9461">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83.49</w:t>
            </w:r>
          </w:p>
        </w:tc>
      </w:tr>
      <w:tr w14:paraId="00AB9194">
        <w:tblPrEx>
          <w:tblCellMar>
            <w:top w:w="0" w:type="dxa"/>
            <w:left w:w="108" w:type="dxa"/>
            <w:bottom w:w="0" w:type="dxa"/>
            <w:right w:w="108" w:type="dxa"/>
          </w:tblCellMar>
        </w:tblPrEx>
        <w:trPr>
          <w:trHeight w:val="270" w:hRule="atLeast"/>
          <w:jc w:val="center"/>
        </w:trPr>
        <w:tc>
          <w:tcPr>
            <w:tcW w:w="789" w:type="dxa"/>
            <w:vMerge w:val="continue"/>
            <w:tcBorders>
              <w:top w:val="single" w:color="000000" w:sz="4" w:space="0"/>
              <w:left w:val="single" w:color="000000" w:sz="4" w:space="0"/>
              <w:bottom w:val="single" w:color="000000" w:sz="4" w:space="0"/>
              <w:right w:val="single" w:color="000000" w:sz="4" w:space="0"/>
            </w:tcBorders>
            <w:noWrap/>
            <w:vAlign w:val="center"/>
          </w:tcPr>
          <w:p w14:paraId="3E35C71E">
            <w:pPr>
              <w:widowControl/>
              <w:spacing w:line="240" w:lineRule="auto"/>
              <w:ind w:firstLine="0" w:firstLineChars="0"/>
              <w:jc w:val="center"/>
              <w:rPr>
                <w:rFonts w:cs="Times New Roman"/>
                <w:color w:val="000000"/>
                <w:sz w:val="21"/>
                <w:szCs w:val="21"/>
              </w:rPr>
            </w:pPr>
          </w:p>
        </w:tc>
        <w:tc>
          <w:tcPr>
            <w:tcW w:w="840" w:type="dxa"/>
            <w:vMerge w:val="continue"/>
            <w:tcBorders>
              <w:top w:val="single" w:color="000000" w:sz="4" w:space="0"/>
              <w:left w:val="single" w:color="000000" w:sz="4" w:space="0"/>
              <w:bottom w:val="single" w:color="000000" w:sz="4" w:space="0"/>
              <w:right w:val="single" w:color="000000" w:sz="4" w:space="0"/>
            </w:tcBorders>
            <w:vAlign w:val="center"/>
          </w:tcPr>
          <w:p w14:paraId="3024980D">
            <w:pPr>
              <w:widowControl/>
              <w:spacing w:line="240" w:lineRule="auto"/>
              <w:ind w:firstLine="0" w:firstLineChars="0"/>
              <w:jc w:val="center"/>
              <w:rPr>
                <w:rFonts w:cs="Times New Roman"/>
                <w:color w:val="000000"/>
                <w:sz w:val="21"/>
                <w:szCs w:val="21"/>
              </w:rPr>
            </w:pPr>
          </w:p>
        </w:tc>
        <w:tc>
          <w:tcPr>
            <w:tcW w:w="780" w:type="dxa"/>
            <w:tcBorders>
              <w:top w:val="single" w:color="000000" w:sz="4" w:space="0"/>
              <w:left w:val="single" w:color="000000" w:sz="4" w:space="0"/>
              <w:bottom w:val="single" w:color="000000" w:sz="4" w:space="0"/>
              <w:right w:val="single" w:color="000000" w:sz="4" w:space="0"/>
            </w:tcBorders>
            <w:noWrap/>
            <w:vAlign w:val="center"/>
          </w:tcPr>
          <w:p w14:paraId="06E9EF83">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E2d</w:t>
            </w:r>
          </w:p>
        </w:tc>
        <w:tc>
          <w:tcPr>
            <w:tcW w:w="2190" w:type="dxa"/>
            <w:tcBorders>
              <w:top w:val="single" w:color="000000" w:sz="4" w:space="0"/>
              <w:left w:val="single" w:color="000000" w:sz="4" w:space="0"/>
              <w:bottom w:val="single" w:color="000000" w:sz="4" w:space="0"/>
              <w:right w:val="single" w:color="000000" w:sz="4" w:space="0"/>
            </w:tcBorders>
            <w:vAlign w:val="center"/>
          </w:tcPr>
          <w:p w14:paraId="57961E5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草地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351636A9">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0.140</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303BC970">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0.88</w:t>
            </w:r>
          </w:p>
        </w:tc>
      </w:tr>
      <w:tr w14:paraId="6F9FDFB8">
        <w:tblPrEx>
          <w:tblCellMar>
            <w:top w:w="0" w:type="dxa"/>
            <w:left w:w="108" w:type="dxa"/>
            <w:bottom w:w="0" w:type="dxa"/>
            <w:right w:w="108" w:type="dxa"/>
          </w:tblCellMar>
        </w:tblPrEx>
        <w:trPr>
          <w:trHeight w:val="270" w:hRule="atLeast"/>
          <w:jc w:val="center"/>
        </w:trPr>
        <w:tc>
          <w:tcPr>
            <w:tcW w:w="789" w:type="dxa"/>
            <w:vMerge w:val="continue"/>
            <w:tcBorders>
              <w:top w:val="single" w:color="000000" w:sz="4" w:space="0"/>
              <w:left w:val="single" w:color="000000" w:sz="4" w:space="0"/>
              <w:bottom w:val="single" w:color="000000" w:sz="4" w:space="0"/>
              <w:right w:val="single" w:color="000000" w:sz="4" w:space="0"/>
            </w:tcBorders>
            <w:noWrap/>
            <w:vAlign w:val="center"/>
          </w:tcPr>
          <w:p w14:paraId="50FC7D9B">
            <w:pPr>
              <w:widowControl/>
              <w:spacing w:line="240" w:lineRule="auto"/>
              <w:ind w:firstLine="0" w:firstLineChars="0"/>
              <w:jc w:val="center"/>
              <w:rPr>
                <w:rFonts w:cs="Times New Roman"/>
                <w:color w:val="000000"/>
                <w:sz w:val="21"/>
                <w:szCs w:val="21"/>
              </w:rPr>
            </w:pPr>
          </w:p>
        </w:tc>
        <w:tc>
          <w:tcPr>
            <w:tcW w:w="840" w:type="dxa"/>
            <w:vMerge w:val="continue"/>
            <w:tcBorders>
              <w:top w:val="single" w:color="000000" w:sz="4" w:space="0"/>
              <w:left w:val="single" w:color="000000" w:sz="4" w:space="0"/>
              <w:bottom w:val="single" w:color="000000" w:sz="4" w:space="0"/>
              <w:right w:val="single" w:color="000000" w:sz="4" w:space="0"/>
            </w:tcBorders>
            <w:vAlign w:val="center"/>
          </w:tcPr>
          <w:p w14:paraId="016B8EE9">
            <w:pPr>
              <w:widowControl/>
              <w:spacing w:line="240" w:lineRule="auto"/>
              <w:ind w:firstLine="0" w:firstLineChars="0"/>
              <w:jc w:val="center"/>
              <w:rPr>
                <w:rFonts w:cs="Times New Roman"/>
                <w:color w:val="000000"/>
                <w:sz w:val="21"/>
                <w:szCs w:val="21"/>
              </w:rPr>
            </w:pPr>
          </w:p>
        </w:tc>
        <w:tc>
          <w:tcPr>
            <w:tcW w:w="780" w:type="dxa"/>
            <w:tcBorders>
              <w:top w:val="single" w:color="000000" w:sz="4" w:space="0"/>
              <w:left w:val="single" w:color="000000" w:sz="4" w:space="0"/>
              <w:bottom w:val="single" w:color="000000" w:sz="4" w:space="0"/>
              <w:right w:val="single" w:color="000000" w:sz="4" w:space="0"/>
            </w:tcBorders>
            <w:noWrap/>
            <w:vAlign w:val="center"/>
          </w:tcPr>
          <w:p w14:paraId="1656394B">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E2f</w:t>
            </w:r>
          </w:p>
        </w:tc>
        <w:tc>
          <w:tcPr>
            <w:tcW w:w="2190" w:type="dxa"/>
            <w:tcBorders>
              <w:top w:val="single" w:color="000000" w:sz="4" w:space="0"/>
              <w:left w:val="single" w:color="000000" w:sz="4" w:space="0"/>
              <w:bottom w:val="single" w:color="000000" w:sz="4" w:space="0"/>
              <w:right w:val="single" w:color="000000" w:sz="4" w:space="0"/>
            </w:tcBorders>
            <w:noWrap/>
            <w:vAlign w:val="center"/>
          </w:tcPr>
          <w:p w14:paraId="04E0B20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设施农用地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3B19F22C">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0.224</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6D6C5258">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1.40</w:t>
            </w:r>
          </w:p>
        </w:tc>
      </w:tr>
      <w:tr w14:paraId="76629D33">
        <w:tblPrEx>
          <w:tblCellMar>
            <w:top w:w="0" w:type="dxa"/>
            <w:left w:w="108" w:type="dxa"/>
            <w:bottom w:w="0" w:type="dxa"/>
            <w:right w:w="108" w:type="dxa"/>
          </w:tblCellMar>
        </w:tblPrEx>
        <w:trPr>
          <w:trHeight w:val="270" w:hRule="atLeast"/>
          <w:jc w:val="center"/>
        </w:trPr>
        <w:tc>
          <w:tcPr>
            <w:tcW w:w="789" w:type="dxa"/>
            <w:vMerge w:val="continue"/>
            <w:tcBorders>
              <w:top w:val="single" w:color="000000" w:sz="4" w:space="0"/>
              <w:left w:val="single" w:color="000000" w:sz="4" w:space="0"/>
              <w:bottom w:val="single" w:color="000000" w:sz="4" w:space="0"/>
              <w:right w:val="single" w:color="000000" w:sz="4" w:space="0"/>
            </w:tcBorders>
            <w:noWrap/>
            <w:vAlign w:val="center"/>
          </w:tcPr>
          <w:p w14:paraId="63568975">
            <w:pPr>
              <w:widowControl/>
              <w:spacing w:line="240" w:lineRule="auto"/>
              <w:ind w:firstLine="0" w:firstLineChars="0"/>
              <w:jc w:val="center"/>
              <w:rPr>
                <w:rFonts w:cs="Times New Roman"/>
                <w:color w:val="000000"/>
                <w:sz w:val="21"/>
                <w:szCs w:val="21"/>
              </w:rPr>
            </w:pPr>
          </w:p>
        </w:tc>
        <w:tc>
          <w:tcPr>
            <w:tcW w:w="840" w:type="dxa"/>
            <w:tcBorders>
              <w:top w:val="single" w:color="000000" w:sz="4" w:space="0"/>
              <w:left w:val="single" w:color="000000" w:sz="4" w:space="0"/>
              <w:bottom w:val="single" w:color="000000" w:sz="4" w:space="0"/>
              <w:right w:val="single" w:color="000000" w:sz="4" w:space="0"/>
            </w:tcBorders>
            <w:vAlign w:val="center"/>
          </w:tcPr>
          <w:p w14:paraId="09E431D6">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E9</w:t>
            </w:r>
          </w:p>
        </w:tc>
        <w:tc>
          <w:tcPr>
            <w:tcW w:w="2970" w:type="dxa"/>
            <w:gridSpan w:val="2"/>
            <w:tcBorders>
              <w:top w:val="single" w:color="000000" w:sz="4" w:space="0"/>
              <w:left w:val="single" w:color="000000" w:sz="4" w:space="0"/>
              <w:bottom w:val="single" w:color="000000" w:sz="4" w:space="0"/>
              <w:right w:val="single" w:color="000000" w:sz="4" w:space="0"/>
            </w:tcBorders>
            <w:noWrap/>
            <w:vAlign w:val="center"/>
          </w:tcPr>
          <w:p w14:paraId="12589A8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其他非建设用地</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6C2D51A8">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0.006</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21A29CB5">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0.04</w:t>
            </w:r>
          </w:p>
        </w:tc>
      </w:tr>
      <w:tr w14:paraId="2CAC423F">
        <w:tblPrEx>
          <w:tblCellMar>
            <w:top w:w="0" w:type="dxa"/>
            <w:left w:w="108" w:type="dxa"/>
            <w:bottom w:w="0" w:type="dxa"/>
            <w:right w:w="108" w:type="dxa"/>
          </w:tblCellMar>
        </w:tblPrEx>
        <w:trPr>
          <w:trHeight w:val="270" w:hRule="atLeast"/>
          <w:jc w:val="center"/>
        </w:trPr>
        <w:tc>
          <w:tcPr>
            <w:tcW w:w="4599" w:type="dxa"/>
            <w:gridSpan w:val="4"/>
            <w:tcBorders>
              <w:top w:val="single" w:color="000000" w:sz="4" w:space="0"/>
              <w:left w:val="single" w:color="000000" w:sz="4" w:space="0"/>
              <w:bottom w:val="single" w:color="000000" w:sz="4" w:space="0"/>
              <w:right w:val="single" w:color="000000" w:sz="4" w:space="0"/>
            </w:tcBorders>
            <w:noWrap/>
            <w:vAlign w:val="center"/>
          </w:tcPr>
          <w:p w14:paraId="4035986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合计</w:t>
            </w:r>
          </w:p>
        </w:tc>
        <w:tc>
          <w:tcPr>
            <w:tcW w:w="1920" w:type="dxa"/>
            <w:tcBorders>
              <w:top w:val="single" w:color="000000" w:sz="4" w:space="0"/>
              <w:left w:val="single" w:color="000000" w:sz="4" w:space="0"/>
              <w:bottom w:val="single" w:color="000000" w:sz="4" w:space="0"/>
              <w:right w:val="single" w:color="000000" w:sz="4" w:space="0"/>
            </w:tcBorders>
            <w:noWrap/>
            <w:vAlign w:val="center"/>
          </w:tcPr>
          <w:p w14:paraId="6323759D">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15.958</w:t>
            </w:r>
          </w:p>
        </w:tc>
        <w:tc>
          <w:tcPr>
            <w:tcW w:w="1585" w:type="dxa"/>
            <w:tcBorders>
              <w:top w:val="single" w:color="000000" w:sz="4" w:space="0"/>
              <w:left w:val="single" w:color="000000" w:sz="4" w:space="0"/>
              <w:bottom w:val="single" w:color="000000" w:sz="4" w:space="0"/>
              <w:right w:val="single" w:color="000000" w:sz="4" w:space="0"/>
            </w:tcBorders>
            <w:noWrap/>
            <w:vAlign w:val="center"/>
          </w:tcPr>
          <w:p w14:paraId="6263E099">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100.00</w:t>
            </w:r>
          </w:p>
        </w:tc>
      </w:tr>
    </w:tbl>
    <w:p w14:paraId="67763D9B">
      <w:pPr>
        <w:ind w:firstLine="480"/>
      </w:pPr>
      <w:r>
        <w:rPr>
          <w:rFonts w:hint="eastAsia"/>
        </w:rPr>
        <w:t>（2）生态空间管控区</w:t>
      </w:r>
    </w:p>
    <w:p w14:paraId="3E265187">
      <w:pPr>
        <w:ind w:firstLine="480"/>
      </w:pPr>
      <w:r>
        <w:rPr>
          <w:rFonts w:hint="eastAsia"/>
        </w:rPr>
        <w:t>本轮规划</w:t>
      </w:r>
      <w:r>
        <w:t>范围涉及茅东山地水源涵养区、四棚洼生态公益林、方山（金坛区）森林公园、向阳水库水源涵养区</w:t>
      </w:r>
      <w:r>
        <w:rPr>
          <w:rFonts w:hint="eastAsia"/>
        </w:rPr>
        <w:t>4个生态空间管控</w:t>
      </w:r>
      <w:r>
        <w:t>区域</w:t>
      </w:r>
      <w:r>
        <w:rPr>
          <w:rFonts w:hint="eastAsia"/>
        </w:rPr>
        <w:t>，重叠面积55.78平方公里，生态空间管控区域范围内现状用地情况见下表。</w:t>
      </w:r>
    </w:p>
    <w:p w14:paraId="5F12894C">
      <w:pPr>
        <w:pStyle w:val="45"/>
        <w:rPr>
          <w:rFonts w:cs="Times New Roman"/>
        </w:rPr>
      </w:pPr>
      <w:r>
        <w:rPr>
          <w:rFonts w:hint="eastAsia"/>
        </w:rPr>
        <w:t>表3.4-11  规划范围生态空间管控区范围</w:t>
      </w:r>
      <w:r>
        <w:rPr>
          <w:rFonts w:hint="eastAsia" w:cs="Times New Roman"/>
        </w:rPr>
        <w:t>现状用地情况</w:t>
      </w:r>
      <w:r>
        <w:rPr>
          <w:rFonts w:cs="Times New Roman"/>
        </w:rPr>
        <w:t>表</w:t>
      </w:r>
    </w:p>
    <w:tbl>
      <w:tblPr>
        <w:tblStyle w:val="25"/>
        <w:tblW w:w="82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1"/>
        <w:gridCol w:w="795"/>
        <w:gridCol w:w="1222"/>
        <w:gridCol w:w="1781"/>
        <w:gridCol w:w="1935"/>
        <w:gridCol w:w="1693"/>
      </w:tblGrid>
      <w:tr w14:paraId="2999A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blHeader/>
          <w:jc w:val="center"/>
        </w:trPr>
        <w:tc>
          <w:tcPr>
            <w:tcW w:w="1596" w:type="dxa"/>
            <w:gridSpan w:val="2"/>
            <w:noWrap/>
            <w:vAlign w:val="center"/>
          </w:tcPr>
          <w:p w14:paraId="652A1FF8">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用地代码</w:t>
            </w:r>
          </w:p>
        </w:tc>
        <w:tc>
          <w:tcPr>
            <w:tcW w:w="3003" w:type="dxa"/>
            <w:gridSpan w:val="2"/>
            <w:noWrap/>
            <w:vAlign w:val="center"/>
          </w:tcPr>
          <w:p w14:paraId="1C19547F">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用地性质</w:t>
            </w:r>
          </w:p>
        </w:tc>
        <w:tc>
          <w:tcPr>
            <w:tcW w:w="1935" w:type="dxa"/>
            <w:noWrap/>
            <w:vAlign w:val="center"/>
          </w:tcPr>
          <w:p w14:paraId="12CB5917">
            <w:pPr>
              <w:widowControl/>
              <w:spacing w:line="240" w:lineRule="auto"/>
              <w:ind w:firstLine="0" w:firstLineChars="0"/>
              <w:jc w:val="center"/>
              <w:textAlignment w:val="center"/>
              <w:rPr>
                <w:rFonts w:cs="Times New Roman"/>
                <w:b/>
                <w:bCs/>
                <w:color w:val="000000"/>
                <w:kern w:val="0"/>
                <w:sz w:val="21"/>
                <w:szCs w:val="21"/>
                <w:lang w:bidi="ar"/>
              </w:rPr>
            </w:pPr>
            <w:r>
              <w:rPr>
                <w:rFonts w:cs="Times New Roman"/>
                <w:b/>
                <w:bCs/>
                <w:color w:val="000000"/>
                <w:kern w:val="0"/>
                <w:sz w:val="21"/>
                <w:szCs w:val="21"/>
                <w:lang w:bidi="ar"/>
              </w:rPr>
              <w:t>现状用地面积</w:t>
            </w:r>
          </w:p>
          <w:p w14:paraId="1E258FBD">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（平方千米）</w:t>
            </w:r>
          </w:p>
        </w:tc>
        <w:tc>
          <w:tcPr>
            <w:tcW w:w="1693" w:type="dxa"/>
            <w:noWrap/>
            <w:vAlign w:val="center"/>
          </w:tcPr>
          <w:p w14:paraId="22080AF9">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百分比（%）</w:t>
            </w:r>
          </w:p>
        </w:tc>
      </w:tr>
      <w:tr w14:paraId="39807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6" w:type="dxa"/>
            <w:gridSpan w:val="2"/>
            <w:noWrap/>
            <w:vAlign w:val="center"/>
          </w:tcPr>
          <w:p w14:paraId="06997256">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R</w:t>
            </w:r>
          </w:p>
        </w:tc>
        <w:tc>
          <w:tcPr>
            <w:tcW w:w="3003" w:type="dxa"/>
            <w:gridSpan w:val="2"/>
            <w:noWrap/>
            <w:vAlign w:val="center"/>
          </w:tcPr>
          <w:p w14:paraId="47C4018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居住用地</w:t>
            </w:r>
          </w:p>
        </w:tc>
        <w:tc>
          <w:tcPr>
            <w:tcW w:w="1935" w:type="dxa"/>
            <w:noWrap/>
            <w:vAlign w:val="center"/>
          </w:tcPr>
          <w:p w14:paraId="457C0318">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1.92</w:t>
            </w:r>
          </w:p>
        </w:tc>
        <w:tc>
          <w:tcPr>
            <w:tcW w:w="1693" w:type="dxa"/>
            <w:noWrap/>
            <w:vAlign w:val="center"/>
          </w:tcPr>
          <w:p w14:paraId="418F8224">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3.44</w:t>
            </w:r>
          </w:p>
        </w:tc>
      </w:tr>
      <w:tr w14:paraId="04E05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6" w:type="dxa"/>
            <w:gridSpan w:val="2"/>
            <w:noWrap/>
            <w:vAlign w:val="center"/>
          </w:tcPr>
          <w:p w14:paraId="0F8C2DFB">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A</w:t>
            </w:r>
          </w:p>
        </w:tc>
        <w:tc>
          <w:tcPr>
            <w:tcW w:w="3003" w:type="dxa"/>
            <w:gridSpan w:val="2"/>
            <w:noWrap/>
            <w:vAlign w:val="center"/>
          </w:tcPr>
          <w:p w14:paraId="0FCC9F5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公共管理与公共服务设施用地</w:t>
            </w:r>
          </w:p>
        </w:tc>
        <w:tc>
          <w:tcPr>
            <w:tcW w:w="1935" w:type="dxa"/>
            <w:noWrap/>
            <w:vAlign w:val="center"/>
          </w:tcPr>
          <w:p w14:paraId="3808DBEA">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0.12</w:t>
            </w:r>
          </w:p>
        </w:tc>
        <w:tc>
          <w:tcPr>
            <w:tcW w:w="1693" w:type="dxa"/>
            <w:noWrap/>
            <w:vAlign w:val="center"/>
          </w:tcPr>
          <w:p w14:paraId="46E972A7">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0.21</w:t>
            </w:r>
          </w:p>
        </w:tc>
      </w:tr>
      <w:tr w14:paraId="2D999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1" w:type="dxa"/>
            <w:vMerge w:val="restart"/>
            <w:vAlign w:val="center"/>
          </w:tcPr>
          <w:p w14:paraId="2D99B7C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795" w:type="dxa"/>
            <w:noWrap/>
            <w:vAlign w:val="center"/>
          </w:tcPr>
          <w:p w14:paraId="7D2B115F">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A1</w:t>
            </w:r>
          </w:p>
        </w:tc>
        <w:tc>
          <w:tcPr>
            <w:tcW w:w="3003" w:type="dxa"/>
            <w:gridSpan w:val="2"/>
            <w:noWrap/>
            <w:vAlign w:val="center"/>
          </w:tcPr>
          <w:p w14:paraId="7846546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行政办公用地</w:t>
            </w:r>
          </w:p>
        </w:tc>
        <w:tc>
          <w:tcPr>
            <w:tcW w:w="1935" w:type="dxa"/>
            <w:noWrap/>
            <w:vAlign w:val="center"/>
          </w:tcPr>
          <w:p w14:paraId="3D2207F5">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0.02</w:t>
            </w:r>
          </w:p>
        </w:tc>
        <w:tc>
          <w:tcPr>
            <w:tcW w:w="1693" w:type="dxa"/>
            <w:noWrap/>
            <w:vAlign w:val="center"/>
          </w:tcPr>
          <w:p w14:paraId="5D980F8E">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0.04</w:t>
            </w:r>
          </w:p>
        </w:tc>
      </w:tr>
      <w:tr w14:paraId="543DC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1" w:type="dxa"/>
            <w:vMerge w:val="continue"/>
            <w:vAlign w:val="center"/>
          </w:tcPr>
          <w:p w14:paraId="77DD0B65">
            <w:pPr>
              <w:widowControl/>
              <w:spacing w:line="240" w:lineRule="auto"/>
              <w:ind w:firstLine="0" w:firstLineChars="0"/>
              <w:jc w:val="center"/>
              <w:rPr>
                <w:rFonts w:cs="Times New Roman"/>
                <w:color w:val="000000"/>
                <w:sz w:val="21"/>
                <w:szCs w:val="21"/>
              </w:rPr>
            </w:pPr>
          </w:p>
        </w:tc>
        <w:tc>
          <w:tcPr>
            <w:tcW w:w="795" w:type="dxa"/>
            <w:noWrap/>
            <w:vAlign w:val="center"/>
          </w:tcPr>
          <w:p w14:paraId="760B2590">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A3</w:t>
            </w:r>
          </w:p>
        </w:tc>
        <w:tc>
          <w:tcPr>
            <w:tcW w:w="3003" w:type="dxa"/>
            <w:gridSpan w:val="2"/>
            <w:noWrap/>
            <w:vAlign w:val="center"/>
          </w:tcPr>
          <w:p w14:paraId="24ACF98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教育科研用地</w:t>
            </w:r>
          </w:p>
        </w:tc>
        <w:tc>
          <w:tcPr>
            <w:tcW w:w="1935" w:type="dxa"/>
            <w:noWrap/>
            <w:vAlign w:val="center"/>
          </w:tcPr>
          <w:p w14:paraId="1AED7F65">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0.01</w:t>
            </w:r>
          </w:p>
        </w:tc>
        <w:tc>
          <w:tcPr>
            <w:tcW w:w="1693" w:type="dxa"/>
            <w:noWrap/>
            <w:vAlign w:val="center"/>
          </w:tcPr>
          <w:p w14:paraId="243D06E2">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0.03</w:t>
            </w:r>
          </w:p>
        </w:tc>
      </w:tr>
      <w:tr w14:paraId="21165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1" w:type="dxa"/>
            <w:vMerge w:val="continue"/>
            <w:vAlign w:val="center"/>
          </w:tcPr>
          <w:p w14:paraId="6013A0A0">
            <w:pPr>
              <w:widowControl/>
              <w:spacing w:line="240" w:lineRule="auto"/>
              <w:ind w:firstLine="0" w:firstLineChars="0"/>
              <w:jc w:val="center"/>
              <w:rPr>
                <w:rFonts w:cs="Times New Roman"/>
                <w:color w:val="000000"/>
                <w:sz w:val="21"/>
                <w:szCs w:val="21"/>
              </w:rPr>
            </w:pPr>
          </w:p>
        </w:tc>
        <w:tc>
          <w:tcPr>
            <w:tcW w:w="795" w:type="dxa"/>
            <w:noWrap/>
            <w:vAlign w:val="center"/>
          </w:tcPr>
          <w:p w14:paraId="6C06068B">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A9</w:t>
            </w:r>
          </w:p>
        </w:tc>
        <w:tc>
          <w:tcPr>
            <w:tcW w:w="3003" w:type="dxa"/>
            <w:gridSpan w:val="2"/>
            <w:noWrap/>
            <w:vAlign w:val="center"/>
          </w:tcPr>
          <w:p w14:paraId="3E35FC5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宗教设施用地</w:t>
            </w:r>
          </w:p>
        </w:tc>
        <w:tc>
          <w:tcPr>
            <w:tcW w:w="1935" w:type="dxa"/>
            <w:noWrap/>
            <w:vAlign w:val="center"/>
          </w:tcPr>
          <w:p w14:paraId="381E09D8">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0.08</w:t>
            </w:r>
          </w:p>
        </w:tc>
        <w:tc>
          <w:tcPr>
            <w:tcW w:w="1693" w:type="dxa"/>
            <w:noWrap/>
            <w:vAlign w:val="center"/>
          </w:tcPr>
          <w:p w14:paraId="736C6973">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0.14</w:t>
            </w:r>
          </w:p>
        </w:tc>
      </w:tr>
      <w:tr w14:paraId="436F4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6" w:type="dxa"/>
            <w:gridSpan w:val="2"/>
            <w:noWrap/>
            <w:vAlign w:val="center"/>
          </w:tcPr>
          <w:p w14:paraId="7093A5F3">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M</w:t>
            </w:r>
          </w:p>
        </w:tc>
        <w:tc>
          <w:tcPr>
            <w:tcW w:w="3003" w:type="dxa"/>
            <w:gridSpan w:val="2"/>
            <w:noWrap/>
            <w:vAlign w:val="center"/>
          </w:tcPr>
          <w:p w14:paraId="6B52404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工业用地</w:t>
            </w:r>
          </w:p>
        </w:tc>
        <w:tc>
          <w:tcPr>
            <w:tcW w:w="1935" w:type="dxa"/>
            <w:noWrap/>
            <w:vAlign w:val="center"/>
          </w:tcPr>
          <w:p w14:paraId="4D78DE4D">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0.12</w:t>
            </w:r>
          </w:p>
        </w:tc>
        <w:tc>
          <w:tcPr>
            <w:tcW w:w="1693" w:type="dxa"/>
            <w:noWrap/>
            <w:vAlign w:val="center"/>
          </w:tcPr>
          <w:p w14:paraId="30F50937">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0.21</w:t>
            </w:r>
          </w:p>
        </w:tc>
      </w:tr>
      <w:tr w14:paraId="0C26D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6" w:type="dxa"/>
            <w:gridSpan w:val="2"/>
            <w:noWrap/>
            <w:vAlign w:val="center"/>
          </w:tcPr>
          <w:p w14:paraId="1E748210">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W</w:t>
            </w:r>
          </w:p>
        </w:tc>
        <w:tc>
          <w:tcPr>
            <w:tcW w:w="3003" w:type="dxa"/>
            <w:gridSpan w:val="2"/>
            <w:noWrap/>
            <w:vAlign w:val="center"/>
          </w:tcPr>
          <w:p w14:paraId="76AE6B0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物流仓储用地</w:t>
            </w:r>
          </w:p>
        </w:tc>
        <w:tc>
          <w:tcPr>
            <w:tcW w:w="1935" w:type="dxa"/>
            <w:noWrap/>
            <w:vAlign w:val="center"/>
          </w:tcPr>
          <w:p w14:paraId="1C4D4690">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0.0003</w:t>
            </w:r>
          </w:p>
        </w:tc>
        <w:tc>
          <w:tcPr>
            <w:tcW w:w="1693" w:type="dxa"/>
            <w:noWrap/>
            <w:vAlign w:val="center"/>
          </w:tcPr>
          <w:p w14:paraId="5B98B364">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0.000</w:t>
            </w:r>
          </w:p>
        </w:tc>
      </w:tr>
      <w:tr w14:paraId="38CAE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6" w:type="dxa"/>
            <w:gridSpan w:val="2"/>
            <w:noWrap/>
            <w:vAlign w:val="center"/>
          </w:tcPr>
          <w:p w14:paraId="49DA2DF9">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S</w:t>
            </w:r>
          </w:p>
        </w:tc>
        <w:tc>
          <w:tcPr>
            <w:tcW w:w="3003" w:type="dxa"/>
            <w:gridSpan w:val="2"/>
            <w:noWrap/>
            <w:vAlign w:val="center"/>
          </w:tcPr>
          <w:p w14:paraId="5222920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道路与交通设施用地</w:t>
            </w:r>
          </w:p>
        </w:tc>
        <w:tc>
          <w:tcPr>
            <w:tcW w:w="1935" w:type="dxa"/>
            <w:noWrap/>
            <w:vAlign w:val="center"/>
          </w:tcPr>
          <w:p w14:paraId="134A12CF">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1.07</w:t>
            </w:r>
          </w:p>
        </w:tc>
        <w:tc>
          <w:tcPr>
            <w:tcW w:w="1693" w:type="dxa"/>
            <w:noWrap/>
            <w:vAlign w:val="center"/>
          </w:tcPr>
          <w:p w14:paraId="1BC03C02">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1.92</w:t>
            </w:r>
          </w:p>
        </w:tc>
      </w:tr>
      <w:tr w14:paraId="4D705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6" w:type="dxa"/>
            <w:gridSpan w:val="2"/>
            <w:noWrap/>
            <w:vAlign w:val="center"/>
          </w:tcPr>
          <w:p w14:paraId="5A9ACF6F">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U</w:t>
            </w:r>
          </w:p>
        </w:tc>
        <w:tc>
          <w:tcPr>
            <w:tcW w:w="3003" w:type="dxa"/>
            <w:gridSpan w:val="2"/>
            <w:noWrap/>
            <w:vAlign w:val="center"/>
          </w:tcPr>
          <w:p w14:paraId="0014CEF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公用设施用地</w:t>
            </w:r>
          </w:p>
        </w:tc>
        <w:tc>
          <w:tcPr>
            <w:tcW w:w="1935" w:type="dxa"/>
            <w:noWrap/>
            <w:vAlign w:val="center"/>
          </w:tcPr>
          <w:p w14:paraId="39537919">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0.32</w:t>
            </w:r>
          </w:p>
        </w:tc>
        <w:tc>
          <w:tcPr>
            <w:tcW w:w="1693" w:type="dxa"/>
            <w:noWrap/>
            <w:vAlign w:val="center"/>
          </w:tcPr>
          <w:p w14:paraId="5259787E">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0.58</w:t>
            </w:r>
          </w:p>
        </w:tc>
      </w:tr>
      <w:tr w14:paraId="3D028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6" w:type="dxa"/>
            <w:gridSpan w:val="2"/>
            <w:noWrap/>
            <w:vAlign w:val="center"/>
          </w:tcPr>
          <w:p w14:paraId="6A6112E7">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G</w:t>
            </w:r>
          </w:p>
        </w:tc>
        <w:tc>
          <w:tcPr>
            <w:tcW w:w="3003" w:type="dxa"/>
            <w:gridSpan w:val="2"/>
            <w:noWrap/>
            <w:vAlign w:val="center"/>
          </w:tcPr>
          <w:p w14:paraId="291F0F5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绿地与广场用地</w:t>
            </w:r>
          </w:p>
        </w:tc>
        <w:tc>
          <w:tcPr>
            <w:tcW w:w="1935" w:type="dxa"/>
            <w:noWrap/>
            <w:vAlign w:val="center"/>
          </w:tcPr>
          <w:p w14:paraId="279B89BE">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0.001</w:t>
            </w:r>
          </w:p>
        </w:tc>
        <w:tc>
          <w:tcPr>
            <w:tcW w:w="1693" w:type="dxa"/>
            <w:noWrap/>
            <w:vAlign w:val="center"/>
          </w:tcPr>
          <w:p w14:paraId="15000668">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0.002</w:t>
            </w:r>
          </w:p>
        </w:tc>
      </w:tr>
      <w:tr w14:paraId="48270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6" w:type="dxa"/>
            <w:gridSpan w:val="2"/>
            <w:noWrap/>
            <w:vAlign w:val="center"/>
          </w:tcPr>
          <w:p w14:paraId="255211DF">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H5</w:t>
            </w:r>
          </w:p>
        </w:tc>
        <w:tc>
          <w:tcPr>
            <w:tcW w:w="3003" w:type="dxa"/>
            <w:gridSpan w:val="2"/>
            <w:noWrap/>
            <w:vAlign w:val="center"/>
          </w:tcPr>
          <w:p w14:paraId="58845BA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采矿用地</w:t>
            </w:r>
          </w:p>
        </w:tc>
        <w:tc>
          <w:tcPr>
            <w:tcW w:w="1935" w:type="dxa"/>
            <w:noWrap/>
            <w:vAlign w:val="center"/>
          </w:tcPr>
          <w:p w14:paraId="68BDB025">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0.46</w:t>
            </w:r>
          </w:p>
        </w:tc>
        <w:tc>
          <w:tcPr>
            <w:tcW w:w="1693" w:type="dxa"/>
            <w:noWrap/>
            <w:vAlign w:val="center"/>
          </w:tcPr>
          <w:p w14:paraId="501B7367">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0.82</w:t>
            </w:r>
          </w:p>
        </w:tc>
      </w:tr>
      <w:tr w14:paraId="28C69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6" w:type="dxa"/>
            <w:gridSpan w:val="2"/>
            <w:noWrap/>
            <w:vAlign w:val="center"/>
          </w:tcPr>
          <w:p w14:paraId="1C8AF274">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w:t>
            </w:r>
          </w:p>
        </w:tc>
        <w:tc>
          <w:tcPr>
            <w:tcW w:w="3003" w:type="dxa"/>
            <w:gridSpan w:val="2"/>
            <w:noWrap/>
            <w:vAlign w:val="center"/>
          </w:tcPr>
          <w:p w14:paraId="1984178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非建设用地</w:t>
            </w:r>
          </w:p>
        </w:tc>
        <w:tc>
          <w:tcPr>
            <w:tcW w:w="1935" w:type="dxa"/>
            <w:noWrap/>
            <w:vAlign w:val="center"/>
          </w:tcPr>
          <w:p w14:paraId="7B8718D0">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51.77</w:t>
            </w:r>
          </w:p>
        </w:tc>
        <w:tc>
          <w:tcPr>
            <w:tcW w:w="1693" w:type="dxa"/>
            <w:noWrap/>
            <w:vAlign w:val="center"/>
          </w:tcPr>
          <w:p w14:paraId="08CFD90E">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92.81</w:t>
            </w:r>
          </w:p>
        </w:tc>
      </w:tr>
      <w:tr w14:paraId="1288A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1" w:type="dxa"/>
            <w:vMerge w:val="restart"/>
            <w:noWrap/>
            <w:vAlign w:val="center"/>
          </w:tcPr>
          <w:p w14:paraId="661CEF6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795" w:type="dxa"/>
            <w:vAlign w:val="center"/>
          </w:tcPr>
          <w:p w14:paraId="7F19016E">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E1</w:t>
            </w:r>
          </w:p>
        </w:tc>
        <w:tc>
          <w:tcPr>
            <w:tcW w:w="3003" w:type="dxa"/>
            <w:gridSpan w:val="2"/>
            <w:noWrap/>
            <w:vAlign w:val="center"/>
          </w:tcPr>
          <w:p w14:paraId="7D58CFF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水域</w:t>
            </w:r>
          </w:p>
        </w:tc>
        <w:tc>
          <w:tcPr>
            <w:tcW w:w="1935" w:type="dxa"/>
            <w:noWrap/>
            <w:vAlign w:val="center"/>
          </w:tcPr>
          <w:p w14:paraId="532E61D6">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7.02</w:t>
            </w:r>
          </w:p>
        </w:tc>
        <w:tc>
          <w:tcPr>
            <w:tcW w:w="1693" w:type="dxa"/>
            <w:noWrap/>
            <w:vAlign w:val="center"/>
          </w:tcPr>
          <w:p w14:paraId="356C3060">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12.59</w:t>
            </w:r>
          </w:p>
        </w:tc>
      </w:tr>
      <w:tr w14:paraId="4233B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1" w:type="dxa"/>
            <w:vMerge w:val="continue"/>
            <w:noWrap/>
            <w:vAlign w:val="center"/>
          </w:tcPr>
          <w:p w14:paraId="1E7C6F7E">
            <w:pPr>
              <w:widowControl/>
              <w:spacing w:line="240" w:lineRule="auto"/>
              <w:ind w:firstLine="0" w:firstLineChars="0"/>
              <w:jc w:val="center"/>
              <w:rPr>
                <w:rFonts w:cs="Times New Roman"/>
                <w:color w:val="000000"/>
                <w:sz w:val="21"/>
                <w:szCs w:val="21"/>
              </w:rPr>
            </w:pPr>
          </w:p>
        </w:tc>
        <w:tc>
          <w:tcPr>
            <w:tcW w:w="795" w:type="dxa"/>
            <w:vAlign w:val="center"/>
          </w:tcPr>
          <w:p w14:paraId="26CE039A">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E2</w:t>
            </w:r>
          </w:p>
        </w:tc>
        <w:tc>
          <w:tcPr>
            <w:tcW w:w="3003" w:type="dxa"/>
            <w:gridSpan w:val="2"/>
            <w:noWrap/>
            <w:vAlign w:val="center"/>
          </w:tcPr>
          <w:p w14:paraId="486CE1B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农林用地</w:t>
            </w:r>
          </w:p>
        </w:tc>
        <w:tc>
          <w:tcPr>
            <w:tcW w:w="1935" w:type="dxa"/>
            <w:noWrap/>
            <w:vAlign w:val="center"/>
          </w:tcPr>
          <w:p w14:paraId="141C2138">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44.75</w:t>
            </w:r>
          </w:p>
        </w:tc>
        <w:tc>
          <w:tcPr>
            <w:tcW w:w="1693" w:type="dxa"/>
            <w:noWrap/>
            <w:vAlign w:val="center"/>
          </w:tcPr>
          <w:p w14:paraId="16331EDD">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80.22</w:t>
            </w:r>
          </w:p>
        </w:tc>
      </w:tr>
      <w:tr w14:paraId="695E5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1" w:type="dxa"/>
            <w:vMerge w:val="continue"/>
            <w:noWrap/>
            <w:vAlign w:val="center"/>
          </w:tcPr>
          <w:p w14:paraId="55D85D1B">
            <w:pPr>
              <w:widowControl/>
              <w:spacing w:line="240" w:lineRule="auto"/>
              <w:ind w:firstLine="0" w:firstLineChars="0"/>
              <w:jc w:val="center"/>
              <w:rPr>
                <w:rFonts w:cs="Times New Roman"/>
                <w:color w:val="000000"/>
                <w:sz w:val="21"/>
                <w:szCs w:val="21"/>
              </w:rPr>
            </w:pPr>
          </w:p>
        </w:tc>
        <w:tc>
          <w:tcPr>
            <w:tcW w:w="795" w:type="dxa"/>
            <w:vMerge w:val="restart"/>
            <w:vAlign w:val="center"/>
          </w:tcPr>
          <w:p w14:paraId="6878AED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其中</w:t>
            </w:r>
          </w:p>
        </w:tc>
        <w:tc>
          <w:tcPr>
            <w:tcW w:w="1222" w:type="dxa"/>
            <w:noWrap/>
            <w:vAlign w:val="center"/>
          </w:tcPr>
          <w:p w14:paraId="78D98796">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E2a</w:t>
            </w:r>
          </w:p>
        </w:tc>
        <w:tc>
          <w:tcPr>
            <w:tcW w:w="1781" w:type="dxa"/>
            <w:vAlign w:val="center"/>
          </w:tcPr>
          <w:p w14:paraId="4C3378E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耕地</w:t>
            </w:r>
          </w:p>
        </w:tc>
        <w:tc>
          <w:tcPr>
            <w:tcW w:w="1935" w:type="dxa"/>
            <w:noWrap/>
            <w:vAlign w:val="center"/>
          </w:tcPr>
          <w:p w14:paraId="6DB14573">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7.89</w:t>
            </w:r>
          </w:p>
        </w:tc>
        <w:tc>
          <w:tcPr>
            <w:tcW w:w="1693" w:type="dxa"/>
            <w:noWrap/>
            <w:vAlign w:val="center"/>
          </w:tcPr>
          <w:p w14:paraId="44C23454">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14.14</w:t>
            </w:r>
          </w:p>
        </w:tc>
      </w:tr>
      <w:tr w14:paraId="0C2FF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1" w:type="dxa"/>
            <w:vMerge w:val="continue"/>
            <w:noWrap/>
            <w:vAlign w:val="center"/>
          </w:tcPr>
          <w:p w14:paraId="6304F6A9">
            <w:pPr>
              <w:widowControl/>
              <w:spacing w:line="240" w:lineRule="auto"/>
              <w:ind w:firstLine="0" w:firstLineChars="0"/>
              <w:jc w:val="center"/>
              <w:rPr>
                <w:rFonts w:cs="Times New Roman"/>
                <w:color w:val="000000"/>
                <w:sz w:val="21"/>
                <w:szCs w:val="21"/>
              </w:rPr>
            </w:pPr>
          </w:p>
        </w:tc>
        <w:tc>
          <w:tcPr>
            <w:tcW w:w="795" w:type="dxa"/>
            <w:vMerge w:val="continue"/>
            <w:vAlign w:val="center"/>
          </w:tcPr>
          <w:p w14:paraId="50779593">
            <w:pPr>
              <w:widowControl/>
              <w:spacing w:line="240" w:lineRule="auto"/>
              <w:ind w:firstLine="0" w:firstLineChars="0"/>
              <w:jc w:val="center"/>
              <w:rPr>
                <w:rFonts w:cs="Times New Roman"/>
                <w:color w:val="000000"/>
                <w:sz w:val="21"/>
                <w:szCs w:val="21"/>
              </w:rPr>
            </w:pPr>
          </w:p>
        </w:tc>
        <w:tc>
          <w:tcPr>
            <w:tcW w:w="1222" w:type="dxa"/>
            <w:noWrap/>
            <w:vAlign w:val="center"/>
          </w:tcPr>
          <w:p w14:paraId="16B1FCA0">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E2b</w:t>
            </w:r>
          </w:p>
        </w:tc>
        <w:tc>
          <w:tcPr>
            <w:tcW w:w="1781" w:type="dxa"/>
            <w:vAlign w:val="center"/>
          </w:tcPr>
          <w:p w14:paraId="45353FE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园地</w:t>
            </w:r>
          </w:p>
        </w:tc>
        <w:tc>
          <w:tcPr>
            <w:tcW w:w="1935" w:type="dxa"/>
            <w:noWrap/>
            <w:vAlign w:val="center"/>
          </w:tcPr>
          <w:p w14:paraId="26E10FC1">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5.81</w:t>
            </w:r>
          </w:p>
        </w:tc>
        <w:tc>
          <w:tcPr>
            <w:tcW w:w="1693" w:type="dxa"/>
            <w:noWrap/>
            <w:vAlign w:val="center"/>
          </w:tcPr>
          <w:p w14:paraId="2326379B">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10.42</w:t>
            </w:r>
          </w:p>
        </w:tc>
      </w:tr>
      <w:tr w14:paraId="6B6E4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1" w:type="dxa"/>
            <w:vMerge w:val="continue"/>
            <w:noWrap/>
            <w:vAlign w:val="center"/>
          </w:tcPr>
          <w:p w14:paraId="27FBF66C">
            <w:pPr>
              <w:widowControl/>
              <w:spacing w:line="240" w:lineRule="auto"/>
              <w:ind w:firstLine="0" w:firstLineChars="0"/>
              <w:jc w:val="center"/>
              <w:rPr>
                <w:rFonts w:cs="Times New Roman"/>
                <w:color w:val="000000"/>
                <w:sz w:val="21"/>
                <w:szCs w:val="21"/>
              </w:rPr>
            </w:pPr>
          </w:p>
        </w:tc>
        <w:tc>
          <w:tcPr>
            <w:tcW w:w="795" w:type="dxa"/>
            <w:vMerge w:val="continue"/>
            <w:vAlign w:val="center"/>
          </w:tcPr>
          <w:p w14:paraId="082954B8">
            <w:pPr>
              <w:widowControl/>
              <w:spacing w:line="240" w:lineRule="auto"/>
              <w:ind w:firstLine="0" w:firstLineChars="0"/>
              <w:jc w:val="center"/>
              <w:rPr>
                <w:rFonts w:cs="Times New Roman"/>
                <w:color w:val="000000"/>
                <w:sz w:val="21"/>
                <w:szCs w:val="21"/>
              </w:rPr>
            </w:pPr>
          </w:p>
        </w:tc>
        <w:tc>
          <w:tcPr>
            <w:tcW w:w="1222" w:type="dxa"/>
            <w:noWrap/>
            <w:vAlign w:val="center"/>
          </w:tcPr>
          <w:p w14:paraId="34A3D543">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E2c</w:t>
            </w:r>
          </w:p>
        </w:tc>
        <w:tc>
          <w:tcPr>
            <w:tcW w:w="1781" w:type="dxa"/>
            <w:vAlign w:val="center"/>
          </w:tcPr>
          <w:p w14:paraId="0C392A9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林地</w:t>
            </w:r>
          </w:p>
        </w:tc>
        <w:tc>
          <w:tcPr>
            <w:tcW w:w="1935" w:type="dxa"/>
            <w:noWrap/>
            <w:vAlign w:val="center"/>
          </w:tcPr>
          <w:p w14:paraId="0823554C">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28.87</w:t>
            </w:r>
          </w:p>
        </w:tc>
        <w:tc>
          <w:tcPr>
            <w:tcW w:w="1693" w:type="dxa"/>
            <w:noWrap/>
            <w:vAlign w:val="center"/>
          </w:tcPr>
          <w:p w14:paraId="4E8BFCCE">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51.76</w:t>
            </w:r>
          </w:p>
        </w:tc>
      </w:tr>
      <w:tr w14:paraId="474C3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1" w:type="dxa"/>
            <w:vMerge w:val="continue"/>
            <w:noWrap/>
            <w:vAlign w:val="center"/>
          </w:tcPr>
          <w:p w14:paraId="01A0A343">
            <w:pPr>
              <w:widowControl/>
              <w:spacing w:line="240" w:lineRule="auto"/>
              <w:ind w:firstLine="0" w:firstLineChars="0"/>
              <w:jc w:val="center"/>
              <w:rPr>
                <w:rFonts w:cs="Times New Roman"/>
                <w:color w:val="000000"/>
                <w:sz w:val="21"/>
                <w:szCs w:val="21"/>
              </w:rPr>
            </w:pPr>
          </w:p>
        </w:tc>
        <w:tc>
          <w:tcPr>
            <w:tcW w:w="795" w:type="dxa"/>
            <w:vMerge w:val="continue"/>
            <w:vAlign w:val="center"/>
          </w:tcPr>
          <w:p w14:paraId="0AA400CF">
            <w:pPr>
              <w:widowControl/>
              <w:spacing w:line="240" w:lineRule="auto"/>
              <w:ind w:firstLine="0" w:firstLineChars="0"/>
              <w:jc w:val="center"/>
              <w:rPr>
                <w:rFonts w:cs="Times New Roman"/>
                <w:color w:val="000000"/>
                <w:sz w:val="21"/>
                <w:szCs w:val="21"/>
              </w:rPr>
            </w:pPr>
          </w:p>
        </w:tc>
        <w:tc>
          <w:tcPr>
            <w:tcW w:w="1222" w:type="dxa"/>
            <w:noWrap/>
            <w:vAlign w:val="center"/>
          </w:tcPr>
          <w:p w14:paraId="50BFB2E8">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E2d</w:t>
            </w:r>
          </w:p>
        </w:tc>
        <w:tc>
          <w:tcPr>
            <w:tcW w:w="1781" w:type="dxa"/>
            <w:vAlign w:val="center"/>
          </w:tcPr>
          <w:p w14:paraId="653F4BF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草地</w:t>
            </w:r>
          </w:p>
        </w:tc>
        <w:tc>
          <w:tcPr>
            <w:tcW w:w="1935" w:type="dxa"/>
            <w:noWrap/>
            <w:vAlign w:val="center"/>
          </w:tcPr>
          <w:p w14:paraId="4852A850">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0.67</w:t>
            </w:r>
          </w:p>
        </w:tc>
        <w:tc>
          <w:tcPr>
            <w:tcW w:w="1693" w:type="dxa"/>
            <w:noWrap/>
            <w:vAlign w:val="center"/>
          </w:tcPr>
          <w:p w14:paraId="260FCD85">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1.20</w:t>
            </w:r>
          </w:p>
        </w:tc>
      </w:tr>
      <w:tr w14:paraId="25379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1" w:type="dxa"/>
            <w:vMerge w:val="continue"/>
            <w:noWrap/>
            <w:vAlign w:val="center"/>
          </w:tcPr>
          <w:p w14:paraId="5164249C">
            <w:pPr>
              <w:widowControl/>
              <w:spacing w:line="240" w:lineRule="auto"/>
              <w:ind w:firstLine="0" w:firstLineChars="0"/>
              <w:jc w:val="center"/>
              <w:rPr>
                <w:rFonts w:cs="Times New Roman"/>
                <w:color w:val="000000"/>
                <w:sz w:val="21"/>
                <w:szCs w:val="21"/>
              </w:rPr>
            </w:pPr>
          </w:p>
        </w:tc>
        <w:tc>
          <w:tcPr>
            <w:tcW w:w="795" w:type="dxa"/>
            <w:vMerge w:val="continue"/>
            <w:vAlign w:val="center"/>
          </w:tcPr>
          <w:p w14:paraId="09DD5F13">
            <w:pPr>
              <w:widowControl/>
              <w:spacing w:line="240" w:lineRule="auto"/>
              <w:ind w:firstLine="0" w:firstLineChars="0"/>
              <w:jc w:val="center"/>
              <w:rPr>
                <w:rFonts w:cs="Times New Roman"/>
                <w:color w:val="000000"/>
                <w:sz w:val="21"/>
                <w:szCs w:val="21"/>
              </w:rPr>
            </w:pPr>
          </w:p>
        </w:tc>
        <w:tc>
          <w:tcPr>
            <w:tcW w:w="1222" w:type="dxa"/>
            <w:noWrap/>
            <w:vAlign w:val="center"/>
          </w:tcPr>
          <w:p w14:paraId="0C950CAF">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E2f</w:t>
            </w:r>
          </w:p>
        </w:tc>
        <w:tc>
          <w:tcPr>
            <w:tcW w:w="1781" w:type="dxa"/>
            <w:noWrap/>
            <w:vAlign w:val="center"/>
          </w:tcPr>
          <w:p w14:paraId="4D14529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设施农用地</w:t>
            </w:r>
          </w:p>
        </w:tc>
        <w:tc>
          <w:tcPr>
            <w:tcW w:w="1935" w:type="dxa"/>
            <w:noWrap/>
            <w:vAlign w:val="center"/>
          </w:tcPr>
          <w:p w14:paraId="1FB058F9">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1.50</w:t>
            </w:r>
          </w:p>
        </w:tc>
        <w:tc>
          <w:tcPr>
            <w:tcW w:w="1693" w:type="dxa"/>
            <w:noWrap/>
            <w:vAlign w:val="center"/>
          </w:tcPr>
          <w:p w14:paraId="4B520932">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2.70</w:t>
            </w:r>
          </w:p>
        </w:tc>
      </w:tr>
      <w:tr w14:paraId="78BF2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1" w:type="dxa"/>
            <w:vMerge w:val="continue"/>
            <w:noWrap/>
            <w:vAlign w:val="center"/>
          </w:tcPr>
          <w:p w14:paraId="6133052C">
            <w:pPr>
              <w:widowControl/>
              <w:spacing w:line="240" w:lineRule="auto"/>
              <w:ind w:firstLine="0" w:firstLineChars="0"/>
              <w:jc w:val="center"/>
              <w:rPr>
                <w:rFonts w:cs="Times New Roman"/>
                <w:color w:val="000000"/>
                <w:sz w:val="21"/>
                <w:szCs w:val="21"/>
              </w:rPr>
            </w:pPr>
          </w:p>
        </w:tc>
        <w:tc>
          <w:tcPr>
            <w:tcW w:w="795" w:type="dxa"/>
            <w:vAlign w:val="center"/>
          </w:tcPr>
          <w:p w14:paraId="7D5A5328">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E9</w:t>
            </w:r>
          </w:p>
        </w:tc>
        <w:tc>
          <w:tcPr>
            <w:tcW w:w="3003" w:type="dxa"/>
            <w:gridSpan w:val="2"/>
            <w:noWrap/>
            <w:vAlign w:val="center"/>
          </w:tcPr>
          <w:p w14:paraId="0D350E2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其他非建设用地</w:t>
            </w:r>
          </w:p>
        </w:tc>
        <w:tc>
          <w:tcPr>
            <w:tcW w:w="1935" w:type="dxa"/>
            <w:noWrap/>
            <w:vAlign w:val="center"/>
          </w:tcPr>
          <w:p w14:paraId="476BF7B5">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0.001</w:t>
            </w:r>
          </w:p>
        </w:tc>
        <w:tc>
          <w:tcPr>
            <w:tcW w:w="1693" w:type="dxa"/>
            <w:noWrap/>
            <w:vAlign w:val="center"/>
          </w:tcPr>
          <w:p w14:paraId="140AADED">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0.002</w:t>
            </w:r>
          </w:p>
        </w:tc>
      </w:tr>
      <w:tr w14:paraId="73A78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99" w:type="dxa"/>
            <w:gridSpan w:val="4"/>
            <w:noWrap/>
            <w:vAlign w:val="center"/>
          </w:tcPr>
          <w:p w14:paraId="587DBFF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合计</w:t>
            </w:r>
          </w:p>
        </w:tc>
        <w:tc>
          <w:tcPr>
            <w:tcW w:w="1935" w:type="dxa"/>
            <w:noWrap/>
            <w:vAlign w:val="center"/>
          </w:tcPr>
          <w:p w14:paraId="6B39A085">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55.78</w:t>
            </w:r>
          </w:p>
        </w:tc>
        <w:tc>
          <w:tcPr>
            <w:tcW w:w="1693" w:type="dxa"/>
            <w:noWrap/>
            <w:vAlign w:val="center"/>
          </w:tcPr>
          <w:p w14:paraId="1CD006F4">
            <w:pPr>
              <w:widowControl/>
              <w:spacing w:line="240" w:lineRule="auto"/>
              <w:ind w:firstLine="0" w:firstLineChars="0"/>
              <w:jc w:val="center"/>
              <w:textAlignment w:val="center"/>
              <w:rPr>
                <w:rFonts w:cs="Times New Roman"/>
                <w:color w:val="000000"/>
                <w:sz w:val="21"/>
                <w:szCs w:val="21"/>
              </w:rPr>
            </w:pPr>
            <w:r>
              <w:rPr>
                <w:rFonts w:eastAsia="宋体" w:cs="Times New Roman"/>
                <w:color w:val="000000"/>
                <w:kern w:val="0"/>
                <w:sz w:val="21"/>
                <w:szCs w:val="21"/>
                <w:lang w:bidi="ar"/>
              </w:rPr>
              <w:t>100.00</w:t>
            </w:r>
          </w:p>
        </w:tc>
      </w:tr>
    </w:tbl>
    <w:p w14:paraId="7C611D15">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3.4.4</w:t>
      </w:r>
      <w:r>
        <w:rPr>
          <w:rFonts w:hint="eastAsia" w:eastAsia="方正楷体_GBK" w:cs="Times New Roman"/>
          <w:b/>
          <w:bCs/>
          <w:szCs w:val="28"/>
          <w14:ligatures w14:val="none"/>
        </w:rPr>
        <w:t>区域企业和项目状况</w:t>
      </w:r>
    </w:p>
    <w:p w14:paraId="34A59BA7">
      <w:pPr>
        <w:ind w:firstLine="0" w:firstLineChars="0"/>
        <w:outlineLvl w:val="3"/>
      </w:pPr>
      <w:r>
        <w:t>3</w:t>
      </w:r>
      <w:r>
        <w:rPr>
          <w:rFonts w:hint="eastAsia"/>
        </w:rPr>
        <w:t>.</w:t>
      </w:r>
      <w:r>
        <w:t>4</w:t>
      </w:r>
      <w:r>
        <w:rPr>
          <w:rFonts w:hint="eastAsia"/>
        </w:rPr>
        <w:t>.</w:t>
      </w:r>
      <w:r>
        <w:t>4</w:t>
      </w:r>
      <w:r>
        <w:rPr>
          <w:rFonts w:hint="eastAsia"/>
        </w:rPr>
        <w:t>.</w:t>
      </w:r>
      <w:r>
        <w:t>1</w:t>
      </w:r>
      <w:r>
        <w:rPr>
          <w:rFonts w:hint="eastAsia"/>
        </w:rPr>
        <w:t>入区企业概况</w:t>
      </w:r>
    </w:p>
    <w:p w14:paraId="5051143C">
      <w:pPr>
        <w:ind w:firstLine="480"/>
      </w:pPr>
      <w:r>
        <w:rPr>
          <w:rFonts w:hint="eastAsia"/>
        </w:rPr>
        <w:t>规划范围内有8家现状工业企业，均为已建正常生产企业，企业位置分布如附图34所示。按行业类别来分，包括石灰和石膏制造业4家、专用设备制造业、酒、饮料和精制茶制造业、橡胶和塑料制品业、粘土砖瓦及建筑砌块制造各1家。</w:t>
      </w:r>
    </w:p>
    <w:p w14:paraId="51820EF9">
      <w:pPr>
        <w:pStyle w:val="45"/>
        <w:rPr>
          <w:rFonts w:cs="Times New Roman"/>
        </w:rPr>
      </w:pPr>
      <w:r>
        <w:rPr>
          <w:rFonts w:hint="eastAsia" w:cs="Times New Roman"/>
        </w:rPr>
        <w:t>表3.</w:t>
      </w:r>
      <w:r>
        <w:rPr>
          <w:rFonts w:cs="Times New Roman"/>
        </w:rPr>
        <w:t>4</w:t>
      </w:r>
      <w:r>
        <w:rPr>
          <w:rFonts w:hint="eastAsia" w:cs="Times New Roman"/>
        </w:rPr>
        <w:t xml:space="preserve">-12 </w:t>
      </w:r>
      <w:r>
        <w:rPr>
          <w:rFonts w:cs="Times New Roman"/>
        </w:rPr>
        <w:t xml:space="preserve"> </w:t>
      </w:r>
      <w:r>
        <w:rPr>
          <w:rFonts w:hint="eastAsia" w:cs="Times New Roman"/>
        </w:rPr>
        <w:t>度假区现状企业信息统计表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2064"/>
        <w:gridCol w:w="1446"/>
        <w:gridCol w:w="1284"/>
        <w:gridCol w:w="1516"/>
        <w:gridCol w:w="1782"/>
      </w:tblGrid>
      <w:tr w14:paraId="3B86F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50" w:type="pct"/>
            <w:vAlign w:val="center"/>
          </w:tcPr>
          <w:p w14:paraId="058543BF">
            <w:pPr>
              <w:spacing w:line="240" w:lineRule="auto"/>
              <w:ind w:firstLine="0" w:firstLineChars="0"/>
              <w:jc w:val="center"/>
              <w:rPr>
                <w:b/>
                <w:bCs/>
                <w:sz w:val="21"/>
                <w:szCs w:val="21"/>
              </w:rPr>
            </w:pPr>
            <w:r>
              <w:rPr>
                <w:rFonts w:hint="eastAsia"/>
                <w:b/>
                <w:bCs/>
                <w:sz w:val="21"/>
                <w:szCs w:val="21"/>
              </w:rPr>
              <w:t>序号</w:t>
            </w:r>
          </w:p>
        </w:tc>
        <w:tc>
          <w:tcPr>
            <w:tcW w:w="1211" w:type="pct"/>
            <w:vAlign w:val="center"/>
          </w:tcPr>
          <w:p w14:paraId="6484AF55">
            <w:pPr>
              <w:spacing w:line="240" w:lineRule="auto"/>
              <w:ind w:firstLine="0" w:firstLineChars="0"/>
              <w:jc w:val="center"/>
              <w:rPr>
                <w:b/>
                <w:bCs/>
                <w:sz w:val="21"/>
                <w:szCs w:val="21"/>
              </w:rPr>
            </w:pPr>
            <w:r>
              <w:rPr>
                <w:rFonts w:hint="eastAsia"/>
                <w:b/>
                <w:bCs/>
                <w:sz w:val="21"/>
                <w:szCs w:val="21"/>
              </w:rPr>
              <w:t>企业名称</w:t>
            </w:r>
          </w:p>
        </w:tc>
        <w:tc>
          <w:tcPr>
            <w:tcW w:w="848" w:type="pct"/>
            <w:vAlign w:val="center"/>
          </w:tcPr>
          <w:p w14:paraId="51472B84">
            <w:pPr>
              <w:spacing w:line="240" w:lineRule="auto"/>
              <w:ind w:firstLine="0" w:firstLineChars="0"/>
              <w:jc w:val="center"/>
              <w:rPr>
                <w:b/>
                <w:bCs/>
                <w:sz w:val="21"/>
                <w:szCs w:val="21"/>
              </w:rPr>
            </w:pPr>
            <w:r>
              <w:rPr>
                <w:rFonts w:hint="eastAsia"/>
                <w:b/>
                <w:bCs/>
                <w:sz w:val="21"/>
                <w:szCs w:val="21"/>
              </w:rPr>
              <w:t>行业类别</w:t>
            </w:r>
          </w:p>
        </w:tc>
        <w:tc>
          <w:tcPr>
            <w:tcW w:w="753" w:type="pct"/>
            <w:vAlign w:val="center"/>
          </w:tcPr>
          <w:p w14:paraId="325D466A">
            <w:pPr>
              <w:spacing w:line="240" w:lineRule="auto"/>
              <w:ind w:firstLine="0" w:firstLineChars="0"/>
              <w:jc w:val="center"/>
              <w:rPr>
                <w:b/>
                <w:bCs/>
                <w:sz w:val="21"/>
                <w:szCs w:val="21"/>
              </w:rPr>
            </w:pPr>
            <w:r>
              <w:rPr>
                <w:rFonts w:hint="eastAsia"/>
                <w:b/>
                <w:bCs/>
                <w:sz w:val="21"/>
                <w:szCs w:val="21"/>
              </w:rPr>
              <w:t>主要产品</w:t>
            </w:r>
          </w:p>
        </w:tc>
        <w:tc>
          <w:tcPr>
            <w:tcW w:w="889" w:type="pct"/>
            <w:vAlign w:val="center"/>
          </w:tcPr>
          <w:p w14:paraId="3F6313B8">
            <w:pPr>
              <w:spacing w:line="240" w:lineRule="auto"/>
              <w:ind w:firstLine="0" w:firstLineChars="0"/>
              <w:jc w:val="center"/>
              <w:rPr>
                <w:b/>
                <w:bCs/>
                <w:sz w:val="21"/>
                <w:szCs w:val="21"/>
              </w:rPr>
            </w:pPr>
            <w:r>
              <w:rPr>
                <w:rFonts w:hint="eastAsia"/>
                <w:b/>
                <w:bCs/>
                <w:sz w:val="21"/>
                <w:szCs w:val="21"/>
              </w:rPr>
              <w:t>占地面积</w:t>
            </w:r>
          </w:p>
          <w:p w14:paraId="56F8510F">
            <w:pPr>
              <w:spacing w:line="240" w:lineRule="auto"/>
              <w:ind w:firstLine="0" w:firstLineChars="0"/>
              <w:jc w:val="center"/>
              <w:rPr>
                <w:b/>
                <w:bCs/>
                <w:sz w:val="21"/>
                <w:szCs w:val="21"/>
              </w:rPr>
            </w:pPr>
            <w:r>
              <w:rPr>
                <w:rFonts w:hint="eastAsia"/>
                <w:b/>
                <w:bCs/>
                <w:sz w:val="21"/>
                <w:szCs w:val="21"/>
              </w:rPr>
              <w:t>（公顷）</w:t>
            </w:r>
          </w:p>
        </w:tc>
        <w:tc>
          <w:tcPr>
            <w:tcW w:w="1045" w:type="pct"/>
            <w:vAlign w:val="center"/>
          </w:tcPr>
          <w:p w14:paraId="0F4A96C7">
            <w:pPr>
              <w:spacing w:line="240" w:lineRule="auto"/>
              <w:ind w:firstLine="0" w:firstLineChars="0"/>
              <w:jc w:val="center"/>
              <w:rPr>
                <w:b/>
                <w:bCs/>
                <w:sz w:val="21"/>
                <w:szCs w:val="21"/>
              </w:rPr>
            </w:pPr>
            <w:r>
              <w:rPr>
                <w:rFonts w:hint="eastAsia"/>
                <w:b/>
                <w:bCs/>
                <w:sz w:val="21"/>
                <w:szCs w:val="21"/>
              </w:rPr>
              <w:t>涉及生态空间保护区域名称</w:t>
            </w:r>
          </w:p>
        </w:tc>
      </w:tr>
      <w:tr w14:paraId="02C72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Align w:val="center"/>
          </w:tcPr>
          <w:p w14:paraId="44359EEC">
            <w:pPr>
              <w:spacing w:line="240" w:lineRule="auto"/>
              <w:ind w:firstLine="0" w:firstLineChars="0"/>
              <w:jc w:val="center"/>
              <w:rPr>
                <w:sz w:val="21"/>
                <w:szCs w:val="21"/>
              </w:rPr>
            </w:pPr>
            <w:r>
              <w:rPr>
                <w:rFonts w:hint="eastAsia"/>
                <w:sz w:val="21"/>
                <w:szCs w:val="21"/>
              </w:rPr>
              <w:t>1</w:t>
            </w:r>
          </w:p>
        </w:tc>
        <w:tc>
          <w:tcPr>
            <w:tcW w:w="1211" w:type="pct"/>
            <w:vAlign w:val="center"/>
          </w:tcPr>
          <w:p w14:paraId="581E97A7">
            <w:pPr>
              <w:widowControl/>
              <w:spacing w:line="240" w:lineRule="auto"/>
              <w:ind w:firstLine="0" w:firstLineChars="0"/>
              <w:jc w:val="center"/>
              <w:rPr>
                <w:sz w:val="21"/>
                <w:szCs w:val="21"/>
              </w:rPr>
            </w:pPr>
            <w:r>
              <w:rPr>
                <w:rFonts w:hint="eastAsia" w:cs="Times New Roman"/>
                <w:color w:val="000000"/>
                <w:kern w:val="0"/>
                <w:sz w:val="21"/>
                <w:szCs w:val="21"/>
                <w14:ligatures w14:val="none"/>
              </w:rPr>
              <w:t>金坛市金星包装有限公司</w:t>
            </w:r>
          </w:p>
        </w:tc>
        <w:tc>
          <w:tcPr>
            <w:tcW w:w="848" w:type="pct"/>
            <w:vAlign w:val="center"/>
          </w:tcPr>
          <w:p w14:paraId="28ACCC4B">
            <w:pPr>
              <w:spacing w:line="240" w:lineRule="auto"/>
              <w:ind w:firstLine="0" w:firstLineChars="0"/>
              <w:jc w:val="center"/>
              <w:rPr>
                <w:sz w:val="21"/>
                <w:szCs w:val="21"/>
              </w:rPr>
            </w:pPr>
            <w:r>
              <w:rPr>
                <w:rFonts w:hint="eastAsia"/>
                <w:sz w:val="21"/>
                <w:szCs w:val="21"/>
              </w:rPr>
              <w:t>橡胶和塑料制品业</w:t>
            </w:r>
          </w:p>
        </w:tc>
        <w:tc>
          <w:tcPr>
            <w:tcW w:w="753" w:type="pct"/>
            <w:vAlign w:val="center"/>
          </w:tcPr>
          <w:p w14:paraId="08261EEF">
            <w:pPr>
              <w:spacing w:line="240" w:lineRule="auto"/>
              <w:ind w:firstLine="0" w:firstLineChars="0"/>
              <w:jc w:val="center"/>
              <w:rPr>
                <w:sz w:val="21"/>
                <w:szCs w:val="21"/>
              </w:rPr>
            </w:pPr>
            <w:r>
              <w:rPr>
                <w:rFonts w:hint="eastAsia"/>
                <w:sz w:val="21"/>
                <w:szCs w:val="21"/>
              </w:rPr>
              <w:t>塑料、纸质包装</w:t>
            </w:r>
          </w:p>
        </w:tc>
        <w:tc>
          <w:tcPr>
            <w:tcW w:w="889" w:type="pct"/>
            <w:vAlign w:val="center"/>
          </w:tcPr>
          <w:p w14:paraId="397D6774">
            <w:pPr>
              <w:spacing w:line="240" w:lineRule="auto"/>
              <w:ind w:firstLine="0" w:firstLineChars="0"/>
              <w:jc w:val="center"/>
              <w:rPr>
                <w:sz w:val="21"/>
                <w:szCs w:val="21"/>
              </w:rPr>
            </w:pPr>
            <w:r>
              <w:rPr>
                <w:rFonts w:hint="eastAsia"/>
                <w:sz w:val="21"/>
                <w:szCs w:val="21"/>
              </w:rPr>
              <w:t>0.947</w:t>
            </w:r>
          </w:p>
        </w:tc>
        <w:tc>
          <w:tcPr>
            <w:tcW w:w="1045" w:type="pct"/>
            <w:vAlign w:val="center"/>
          </w:tcPr>
          <w:p w14:paraId="1AF6A290">
            <w:pPr>
              <w:spacing w:line="240" w:lineRule="auto"/>
              <w:ind w:firstLine="0" w:firstLineChars="0"/>
              <w:jc w:val="center"/>
              <w:rPr>
                <w:sz w:val="21"/>
                <w:szCs w:val="21"/>
              </w:rPr>
            </w:pPr>
            <w:r>
              <w:rPr>
                <w:rFonts w:hint="eastAsia"/>
                <w:sz w:val="21"/>
                <w:szCs w:val="21"/>
              </w:rPr>
              <w:t>不涉及</w:t>
            </w:r>
          </w:p>
        </w:tc>
      </w:tr>
      <w:tr w14:paraId="47C9E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6" w:hRule="atLeast"/>
          <w:jc w:val="center"/>
        </w:trPr>
        <w:tc>
          <w:tcPr>
            <w:tcW w:w="250" w:type="pct"/>
            <w:vAlign w:val="center"/>
          </w:tcPr>
          <w:p w14:paraId="2CCF8F67">
            <w:pPr>
              <w:spacing w:line="240" w:lineRule="auto"/>
              <w:ind w:firstLine="0" w:firstLineChars="0"/>
              <w:jc w:val="center"/>
              <w:rPr>
                <w:sz w:val="21"/>
                <w:szCs w:val="21"/>
              </w:rPr>
            </w:pPr>
            <w:r>
              <w:rPr>
                <w:rFonts w:hint="eastAsia"/>
                <w:sz w:val="21"/>
                <w:szCs w:val="21"/>
              </w:rPr>
              <w:t>2</w:t>
            </w:r>
          </w:p>
        </w:tc>
        <w:tc>
          <w:tcPr>
            <w:tcW w:w="1211" w:type="pct"/>
            <w:vAlign w:val="center"/>
          </w:tcPr>
          <w:p w14:paraId="31BD1A8B">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常州市金坛麦宝食品有限公司</w:t>
            </w:r>
          </w:p>
        </w:tc>
        <w:tc>
          <w:tcPr>
            <w:tcW w:w="848" w:type="pct"/>
            <w:vAlign w:val="center"/>
          </w:tcPr>
          <w:p w14:paraId="3EB012D9">
            <w:pPr>
              <w:spacing w:line="240" w:lineRule="auto"/>
              <w:ind w:firstLine="0" w:firstLineChars="0"/>
              <w:jc w:val="center"/>
              <w:rPr>
                <w:sz w:val="21"/>
                <w:szCs w:val="21"/>
              </w:rPr>
            </w:pPr>
            <w:r>
              <w:rPr>
                <w:rFonts w:hint="eastAsia"/>
                <w:sz w:val="21"/>
                <w:szCs w:val="21"/>
              </w:rPr>
              <w:t>酒、饮料和精制茶制造业</w:t>
            </w:r>
          </w:p>
        </w:tc>
        <w:tc>
          <w:tcPr>
            <w:tcW w:w="753" w:type="pct"/>
            <w:vAlign w:val="center"/>
          </w:tcPr>
          <w:p w14:paraId="03CFEC32">
            <w:pPr>
              <w:spacing w:line="240" w:lineRule="auto"/>
              <w:ind w:firstLine="0" w:firstLineChars="0"/>
              <w:jc w:val="center"/>
              <w:rPr>
                <w:sz w:val="21"/>
                <w:szCs w:val="21"/>
              </w:rPr>
            </w:pPr>
            <w:r>
              <w:rPr>
                <w:rFonts w:hint="eastAsia"/>
                <w:sz w:val="21"/>
                <w:szCs w:val="21"/>
              </w:rPr>
              <w:t>谷物茶及茶制品</w:t>
            </w:r>
          </w:p>
        </w:tc>
        <w:tc>
          <w:tcPr>
            <w:tcW w:w="889" w:type="pct"/>
            <w:vAlign w:val="center"/>
          </w:tcPr>
          <w:p w14:paraId="5AA4FA14">
            <w:pPr>
              <w:spacing w:line="240" w:lineRule="auto"/>
              <w:ind w:firstLine="0" w:firstLineChars="0"/>
              <w:jc w:val="center"/>
              <w:rPr>
                <w:sz w:val="21"/>
                <w:szCs w:val="21"/>
              </w:rPr>
            </w:pPr>
            <w:r>
              <w:rPr>
                <w:rFonts w:hint="eastAsia"/>
                <w:sz w:val="21"/>
                <w:szCs w:val="21"/>
              </w:rPr>
              <w:t>0.944</w:t>
            </w:r>
          </w:p>
        </w:tc>
        <w:tc>
          <w:tcPr>
            <w:tcW w:w="1045" w:type="pct"/>
            <w:vAlign w:val="center"/>
          </w:tcPr>
          <w:p w14:paraId="061AA8C9">
            <w:pPr>
              <w:spacing w:line="240" w:lineRule="auto"/>
              <w:ind w:firstLine="0" w:firstLineChars="0"/>
              <w:jc w:val="center"/>
              <w:rPr>
                <w:sz w:val="21"/>
                <w:szCs w:val="21"/>
              </w:rPr>
            </w:pPr>
            <w:r>
              <w:rPr>
                <w:rFonts w:hint="eastAsia"/>
                <w:sz w:val="21"/>
                <w:szCs w:val="21"/>
              </w:rPr>
              <w:t>生态空间管控区-向阳水库水源涵养区</w:t>
            </w:r>
          </w:p>
        </w:tc>
      </w:tr>
      <w:tr w14:paraId="16C7A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250" w:type="pct"/>
            <w:vAlign w:val="center"/>
          </w:tcPr>
          <w:p w14:paraId="26B60177">
            <w:pPr>
              <w:spacing w:line="240" w:lineRule="auto"/>
              <w:ind w:firstLine="0" w:firstLineChars="0"/>
              <w:jc w:val="center"/>
              <w:rPr>
                <w:sz w:val="21"/>
                <w:szCs w:val="21"/>
              </w:rPr>
            </w:pPr>
            <w:r>
              <w:rPr>
                <w:rFonts w:hint="eastAsia"/>
                <w:sz w:val="21"/>
                <w:szCs w:val="21"/>
              </w:rPr>
              <w:t>3</w:t>
            </w:r>
          </w:p>
        </w:tc>
        <w:tc>
          <w:tcPr>
            <w:tcW w:w="1211" w:type="pct"/>
            <w:vAlign w:val="center"/>
          </w:tcPr>
          <w:p w14:paraId="2F62F4D8">
            <w:pPr>
              <w:widowControl/>
              <w:spacing w:line="240" w:lineRule="auto"/>
              <w:ind w:firstLine="0" w:firstLineChars="0"/>
              <w:jc w:val="center"/>
              <w:rPr>
                <w:sz w:val="21"/>
                <w:szCs w:val="21"/>
              </w:rPr>
            </w:pPr>
            <w:r>
              <w:rPr>
                <w:rFonts w:hint="eastAsia" w:cs="Times New Roman"/>
                <w:color w:val="000000"/>
                <w:kern w:val="0"/>
                <w:sz w:val="21"/>
                <w:szCs w:val="21"/>
                <w14:ligatures w14:val="none"/>
              </w:rPr>
              <w:t>金坛市金陶农配有限公司</w:t>
            </w:r>
          </w:p>
        </w:tc>
        <w:tc>
          <w:tcPr>
            <w:tcW w:w="848" w:type="pct"/>
            <w:vAlign w:val="center"/>
          </w:tcPr>
          <w:p w14:paraId="0257C84E">
            <w:pPr>
              <w:spacing w:line="240" w:lineRule="auto"/>
              <w:ind w:firstLine="0" w:firstLineChars="0"/>
              <w:jc w:val="center"/>
              <w:rPr>
                <w:sz w:val="21"/>
                <w:szCs w:val="21"/>
              </w:rPr>
            </w:pPr>
            <w:r>
              <w:rPr>
                <w:rFonts w:hint="eastAsia"/>
                <w:sz w:val="21"/>
                <w:szCs w:val="21"/>
              </w:rPr>
              <w:t>专用设备制造业</w:t>
            </w:r>
          </w:p>
        </w:tc>
        <w:tc>
          <w:tcPr>
            <w:tcW w:w="753" w:type="pct"/>
            <w:vAlign w:val="center"/>
          </w:tcPr>
          <w:p w14:paraId="7CAC16E6">
            <w:pPr>
              <w:spacing w:line="240" w:lineRule="auto"/>
              <w:ind w:firstLine="0" w:firstLineChars="0"/>
              <w:jc w:val="center"/>
              <w:rPr>
                <w:sz w:val="21"/>
                <w:szCs w:val="21"/>
              </w:rPr>
            </w:pPr>
            <w:r>
              <w:rPr>
                <w:rFonts w:hint="eastAsia"/>
                <w:sz w:val="21"/>
                <w:szCs w:val="21"/>
              </w:rPr>
              <w:t>木质包装制品、农机配件（犁刀）</w:t>
            </w:r>
          </w:p>
        </w:tc>
        <w:tc>
          <w:tcPr>
            <w:tcW w:w="889" w:type="pct"/>
            <w:vAlign w:val="center"/>
          </w:tcPr>
          <w:p w14:paraId="70F76918">
            <w:pPr>
              <w:spacing w:line="240" w:lineRule="auto"/>
              <w:ind w:firstLine="0" w:firstLineChars="0"/>
              <w:jc w:val="center"/>
              <w:rPr>
                <w:sz w:val="21"/>
                <w:szCs w:val="21"/>
              </w:rPr>
            </w:pPr>
            <w:r>
              <w:rPr>
                <w:rFonts w:hint="eastAsia"/>
                <w:sz w:val="21"/>
                <w:szCs w:val="21"/>
              </w:rPr>
              <w:t>1.728</w:t>
            </w:r>
          </w:p>
        </w:tc>
        <w:tc>
          <w:tcPr>
            <w:tcW w:w="1045" w:type="pct"/>
            <w:vAlign w:val="center"/>
          </w:tcPr>
          <w:p w14:paraId="5E87B215">
            <w:pPr>
              <w:spacing w:line="240" w:lineRule="auto"/>
              <w:ind w:firstLine="0" w:firstLineChars="0"/>
              <w:jc w:val="center"/>
              <w:rPr>
                <w:sz w:val="21"/>
                <w:szCs w:val="21"/>
              </w:rPr>
            </w:pPr>
            <w:r>
              <w:rPr>
                <w:rFonts w:hint="eastAsia"/>
                <w:sz w:val="21"/>
                <w:szCs w:val="21"/>
              </w:rPr>
              <w:t>不涉及</w:t>
            </w:r>
          </w:p>
        </w:tc>
      </w:tr>
      <w:tr w14:paraId="466E2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6" w:hRule="atLeast"/>
          <w:jc w:val="center"/>
        </w:trPr>
        <w:tc>
          <w:tcPr>
            <w:tcW w:w="250" w:type="pct"/>
            <w:vAlign w:val="center"/>
          </w:tcPr>
          <w:p w14:paraId="05416C52">
            <w:pPr>
              <w:spacing w:line="240" w:lineRule="auto"/>
              <w:ind w:firstLine="0" w:firstLineChars="0"/>
              <w:jc w:val="center"/>
              <w:rPr>
                <w:sz w:val="21"/>
                <w:szCs w:val="21"/>
              </w:rPr>
            </w:pPr>
            <w:r>
              <w:rPr>
                <w:rFonts w:hint="eastAsia"/>
                <w:sz w:val="21"/>
                <w:szCs w:val="21"/>
              </w:rPr>
              <w:t>4</w:t>
            </w:r>
          </w:p>
        </w:tc>
        <w:tc>
          <w:tcPr>
            <w:tcW w:w="1211" w:type="pct"/>
            <w:vAlign w:val="center"/>
          </w:tcPr>
          <w:p w14:paraId="39E53B10">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常州市金坛区新朋建筑材料厂（普通合伙）</w:t>
            </w:r>
          </w:p>
        </w:tc>
        <w:tc>
          <w:tcPr>
            <w:tcW w:w="848" w:type="pct"/>
            <w:vAlign w:val="center"/>
          </w:tcPr>
          <w:p w14:paraId="2A17B446">
            <w:pPr>
              <w:spacing w:line="240" w:lineRule="auto"/>
              <w:ind w:firstLine="0" w:firstLineChars="0"/>
              <w:jc w:val="center"/>
              <w:rPr>
                <w:sz w:val="21"/>
                <w:szCs w:val="21"/>
              </w:rPr>
            </w:pPr>
            <w:r>
              <w:rPr>
                <w:rFonts w:hint="eastAsia" w:cs="Times New Roman"/>
                <w:color w:val="000000"/>
                <w:kern w:val="0"/>
                <w:sz w:val="21"/>
                <w:szCs w:val="21"/>
                <w:lang w:bidi="ar"/>
                <w14:ligatures w14:val="none"/>
              </w:rPr>
              <w:t>粘土砖瓦及建筑砌块制造</w:t>
            </w:r>
          </w:p>
        </w:tc>
        <w:tc>
          <w:tcPr>
            <w:tcW w:w="753" w:type="pct"/>
            <w:vAlign w:val="center"/>
          </w:tcPr>
          <w:p w14:paraId="6A6BA4A3">
            <w:pPr>
              <w:spacing w:line="240" w:lineRule="auto"/>
              <w:ind w:firstLine="0" w:firstLineChars="0"/>
              <w:jc w:val="center"/>
              <w:rPr>
                <w:sz w:val="21"/>
                <w:szCs w:val="21"/>
              </w:rPr>
            </w:pPr>
            <w:r>
              <w:rPr>
                <w:rFonts w:hint="eastAsia"/>
                <w:sz w:val="21"/>
                <w:szCs w:val="21"/>
              </w:rPr>
              <w:t>煤矸石烧结砖</w:t>
            </w:r>
          </w:p>
        </w:tc>
        <w:tc>
          <w:tcPr>
            <w:tcW w:w="889" w:type="pct"/>
            <w:vAlign w:val="center"/>
          </w:tcPr>
          <w:p w14:paraId="3E97FECC">
            <w:pPr>
              <w:spacing w:line="240" w:lineRule="auto"/>
              <w:ind w:firstLine="0" w:firstLineChars="0"/>
              <w:jc w:val="center"/>
              <w:rPr>
                <w:sz w:val="21"/>
                <w:szCs w:val="21"/>
              </w:rPr>
            </w:pPr>
            <w:r>
              <w:rPr>
                <w:rFonts w:hint="eastAsia"/>
                <w:sz w:val="21"/>
                <w:szCs w:val="21"/>
              </w:rPr>
              <w:t>4.785</w:t>
            </w:r>
          </w:p>
        </w:tc>
        <w:tc>
          <w:tcPr>
            <w:tcW w:w="1045" w:type="pct"/>
            <w:vAlign w:val="center"/>
          </w:tcPr>
          <w:p w14:paraId="68169C11">
            <w:pPr>
              <w:spacing w:line="240" w:lineRule="auto"/>
              <w:ind w:firstLine="0" w:firstLineChars="0"/>
              <w:jc w:val="center"/>
              <w:rPr>
                <w:sz w:val="21"/>
                <w:szCs w:val="21"/>
              </w:rPr>
            </w:pPr>
            <w:r>
              <w:rPr>
                <w:rFonts w:hint="eastAsia"/>
                <w:sz w:val="21"/>
                <w:szCs w:val="21"/>
              </w:rPr>
              <w:t>生态空间管控区-向阳水库水源涵养区</w:t>
            </w:r>
          </w:p>
        </w:tc>
      </w:tr>
      <w:tr w14:paraId="0AFD7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Align w:val="center"/>
          </w:tcPr>
          <w:p w14:paraId="0C02E399">
            <w:pPr>
              <w:spacing w:line="240" w:lineRule="auto"/>
              <w:ind w:firstLine="0" w:firstLineChars="0"/>
              <w:jc w:val="center"/>
              <w:rPr>
                <w:sz w:val="21"/>
                <w:szCs w:val="21"/>
              </w:rPr>
            </w:pPr>
            <w:r>
              <w:rPr>
                <w:rFonts w:hint="eastAsia"/>
                <w:sz w:val="21"/>
                <w:szCs w:val="21"/>
              </w:rPr>
              <w:t>5</w:t>
            </w:r>
          </w:p>
        </w:tc>
        <w:tc>
          <w:tcPr>
            <w:tcW w:w="1211" w:type="pct"/>
            <w:vAlign w:val="center"/>
          </w:tcPr>
          <w:p w14:paraId="65E21223">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常州市金坛创新建材有限公司</w:t>
            </w:r>
          </w:p>
        </w:tc>
        <w:tc>
          <w:tcPr>
            <w:tcW w:w="848" w:type="pct"/>
            <w:vAlign w:val="center"/>
          </w:tcPr>
          <w:p w14:paraId="2CDEB357">
            <w:pPr>
              <w:spacing w:line="240" w:lineRule="auto"/>
              <w:ind w:firstLine="0" w:firstLineChars="0"/>
              <w:jc w:val="center"/>
              <w:rPr>
                <w:sz w:val="21"/>
                <w:szCs w:val="21"/>
              </w:rPr>
            </w:pPr>
            <w:r>
              <w:rPr>
                <w:rFonts w:hint="eastAsia"/>
                <w:sz w:val="21"/>
                <w:szCs w:val="21"/>
              </w:rPr>
              <w:t>石灰和石膏制造</w:t>
            </w:r>
          </w:p>
        </w:tc>
        <w:tc>
          <w:tcPr>
            <w:tcW w:w="753" w:type="pct"/>
            <w:vAlign w:val="center"/>
          </w:tcPr>
          <w:p w14:paraId="7692D649">
            <w:pPr>
              <w:spacing w:line="240" w:lineRule="auto"/>
              <w:ind w:firstLine="0" w:firstLineChars="0"/>
              <w:jc w:val="center"/>
              <w:rPr>
                <w:sz w:val="21"/>
                <w:szCs w:val="21"/>
              </w:rPr>
            </w:pPr>
            <w:r>
              <w:rPr>
                <w:rFonts w:hint="eastAsia"/>
                <w:sz w:val="21"/>
                <w:szCs w:val="21"/>
              </w:rPr>
              <w:t>生石灰、碳酸钙</w:t>
            </w:r>
          </w:p>
        </w:tc>
        <w:tc>
          <w:tcPr>
            <w:tcW w:w="889" w:type="pct"/>
            <w:vAlign w:val="center"/>
          </w:tcPr>
          <w:p w14:paraId="7A33ABDF">
            <w:pPr>
              <w:spacing w:line="240" w:lineRule="auto"/>
              <w:ind w:firstLine="0" w:firstLineChars="0"/>
              <w:jc w:val="center"/>
              <w:rPr>
                <w:sz w:val="21"/>
                <w:szCs w:val="21"/>
              </w:rPr>
            </w:pPr>
            <w:r>
              <w:rPr>
                <w:rFonts w:hint="eastAsia"/>
                <w:sz w:val="21"/>
                <w:szCs w:val="21"/>
              </w:rPr>
              <w:t>1.655</w:t>
            </w:r>
          </w:p>
        </w:tc>
        <w:tc>
          <w:tcPr>
            <w:tcW w:w="1045" w:type="pct"/>
            <w:vAlign w:val="center"/>
          </w:tcPr>
          <w:p w14:paraId="2B5585DF">
            <w:pPr>
              <w:spacing w:line="240" w:lineRule="auto"/>
              <w:ind w:firstLine="0" w:firstLineChars="0"/>
              <w:jc w:val="center"/>
              <w:rPr>
                <w:sz w:val="21"/>
                <w:szCs w:val="21"/>
              </w:rPr>
            </w:pPr>
            <w:r>
              <w:rPr>
                <w:rFonts w:hint="eastAsia"/>
                <w:sz w:val="21"/>
                <w:szCs w:val="21"/>
              </w:rPr>
              <w:t>不涉及</w:t>
            </w:r>
          </w:p>
        </w:tc>
      </w:tr>
      <w:tr w14:paraId="45DE1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Align w:val="center"/>
          </w:tcPr>
          <w:p w14:paraId="39208F45">
            <w:pPr>
              <w:spacing w:line="240" w:lineRule="auto"/>
              <w:ind w:firstLine="0" w:firstLineChars="0"/>
              <w:jc w:val="center"/>
              <w:rPr>
                <w:sz w:val="21"/>
                <w:szCs w:val="21"/>
              </w:rPr>
            </w:pPr>
            <w:r>
              <w:rPr>
                <w:rFonts w:hint="eastAsia"/>
                <w:sz w:val="21"/>
                <w:szCs w:val="21"/>
              </w:rPr>
              <w:t>6</w:t>
            </w:r>
          </w:p>
        </w:tc>
        <w:tc>
          <w:tcPr>
            <w:tcW w:w="1211" w:type="pct"/>
            <w:vAlign w:val="center"/>
          </w:tcPr>
          <w:p w14:paraId="312524CE">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常州市金坛鼎盛建材厂</w:t>
            </w:r>
          </w:p>
        </w:tc>
        <w:tc>
          <w:tcPr>
            <w:tcW w:w="848" w:type="pct"/>
            <w:vAlign w:val="center"/>
          </w:tcPr>
          <w:p w14:paraId="7901CB66">
            <w:pPr>
              <w:spacing w:line="240" w:lineRule="auto"/>
              <w:ind w:firstLine="0" w:firstLineChars="0"/>
              <w:jc w:val="center"/>
              <w:rPr>
                <w:sz w:val="21"/>
                <w:szCs w:val="21"/>
              </w:rPr>
            </w:pPr>
            <w:r>
              <w:rPr>
                <w:rFonts w:hint="eastAsia"/>
                <w:sz w:val="21"/>
                <w:szCs w:val="21"/>
              </w:rPr>
              <w:t>石灰和石膏制造</w:t>
            </w:r>
          </w:p>
        </w:tc>
        <w:tc>
          <w:tcPr>
            <w:tcW w:w="753" w:type="pct"/>
            <w:vAlign w:val="center"/>
          </w:tcPr>
          <w:p w14:paraId="54E4FCB8">
            <w:pPr>
              <w:spacing w:line="240" w:lineRule="auto"/>
              <w:ind w:firstLine="0" w:firstLineChars="0"/>
              <w:jc w:val="center"/>
              <w:rPr>
                <w:sz w:val="21"/>
                <w:szCs w:val="21"/>
              </w:rPr>
            </w:pPr>
            <w:r>
              <w:rPr>
                <w:rFonts w:hint="eastAsia"/>
                <w:sz w:val="21"/>
                <w:szCs w:val="21"/>
              </w:rPr>
              <w:t>生石灰、氢氧化钙</w:t>
            </w:r>
          </w:p>
        </w:tc>
        <w:tc>
          <w:tcPr>
            <w:tcW w:w="889" w:type="pct"/>
            <w:vAlign w:val="center"/>
          </w:tcPr>
          <w:p w14:paraId="6FBFF1A3">
            <w:pPr>
              <w:spacing w:line="240" w:lineRule="auto"/>
              <w:ind w:firstLine="0" w:firstLineChars="0"/>
              <w:jc w:val="center"/>
              <w:rPr>
                <w:sz w:val="21"/>
                <w:szCs w:val="21"/>
              </w:rPr>
            </w:pPr>
            <w:r>
              <w:rPr>
                <w:rFonts w:hint="eastAsia"/>
                <w:sz w:val="21"/>
                <w:szCs w:val="21"/>
              </w:rPr>
              <w:t>2.085</w:t>
            </w:r>
          </w:p>
        </w:tc>
        <w:tc>
          <w:tcPr>
            <w:tcW w:w="1045" w:type="pct"/>
            <w:vAlign w:val="center"/>
          </w:tcPr>
          <w:p w14:paraId="31A5EF67">
            <w:pPr>
              <w:spacing w:line="240" w:lineRule="auto"/>
              <w:ind w:firstLine="0" w:firstLineChars="0"/>
              <w:jc w:val="center"/>
              <w:rPr>
                <w:sz w:val="21"/>
                <w:szCs w:val="21"/>
              </w:rPr>
            </w:pPr>
            <w:r>
              <w:rPr>
                <w:rFonts w:hint="eastAsia"/>
                <w:sz w:val="21"/>
                <w:szCs w:val="21"/>
              </w:rPr>
              <w:t>不涉及</w:t>
            </w:r>
          </w:p>
        </w:tc>
      </w:tr>
      <w:tr w14:paraId="437FB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Align w:val="center"/>
          </w:tcPr>
          <w:p w14:paraId="756D5BF5">
            <w:pPr>
              <w:spacing w:line="240" w:lineRule="auto"/>
              <w:ind w:firstLine="0" w:firstLineChars="0"/>
              <w:jc w:val="center"/>
              <w:rPr>
                <w:sz w:val="21"/>
                <w:szCs w:val="21"/>
              </w:rPr>
            </w:pPr>
            <w:r>
              <w:rPr>
                <w:rFonts w:hint="eastAsia"/>
                <w:sz w:val="21"/>
                <w:szCs w:val="21"/>
              </w:rPr>
              <w:t>7</w:t>
            </w:r>
          </w:p>
        </w:tc>
        <w:tc>
          <w:tcPr>
            <w:tcW w:w="1211" w:type="pct"/>
            <w:vAlign w:val="center"/>
          </w:tcPr>
          <w:p w14:paraId="7F6DA9E1">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常州金坛江豚钙业有限公司</w:t>
            </w:r>
          </w:p>
        </w:tc>
        <w:tc>
          <w:tcPr>
            <w:tcW w:w="848" w:type="pct"/>
            <w:vAlign w:val="center"/>
          </w:tcPr>
          <w:p w14:paraId="2D1B21E3">
            <w:pPr>
              <w:spacing w:line="240" w:lineRule="auto"/>
              <w:ind w:firstLine="0" w:firstLineChars="0"/>
              <w:jc w:val="center"/>
              <w:rPr>
                <w:sz w:val="21"/>
                <w:szCs w:val="21"/>
              </w:rPr>
            </w:pPr>
            <w:r>
              <w:rPr>
                <w:rFonts w:hint="eastAsia"/>
                <w:sz w:val="21"/>
                <w:szCs w:val="21"/>
              </w:rPr>
              <w:t>石灰和石膏制造</w:t>
            </w:r>
          </w:p>
        </w:tc>
        <w:tc>
          <w:tcPr>
            <w:tcW w:w="753" w:type="pct"/>
            <w:vAlign w:val="center"/>
          </w:tcPr>
          <w:p w14:paraId="04EFD2C4">
            <w:pPr>
              <w:spacing w:line="240" w:lineRule="auto"/>
              <w:ind w:firstLine="0" w:firstLineChars="0"/>
              <w:jc w:val="center"/>
              <w:rPr>
                <w:sz w:val="21"/>
                <w:szCs w:val="21"/>
              </w:rPr>
            </w:pPr>
            <w:r>
              <w:rPr>
                <w:rFonts w:hint="eastAsia"/>
                <w:sz w:val="21"/>
                <w:szCs w:val="21"/>
              </w:rPr>
              <w:t>生石灰、氢氧化钙</w:t>
            </w:r>
          </w:p>
        </w:tc>
        <w:tc>
          <w:tcPr>
            <w:tcW w:w="889" w:type="pct"/>
            <w:vAlign w:val="center"/>
          </w:tcPr>
          <w:p w14:paraId="7F755FBF">
            <w:pPr>
              <w:spacing w:line="240" w:lineRule="auto"/>
              <w:ind w:firstLine="0" w:firstLineChars="0"/>
              <w:jc w:val="center"/>
              <w:rPr>
                <w:sz w:val="21"/>
                <w:szCs w:val="21"/>
              </w:rPr>
            </w:pPr>
            <w:r>
              <w:rPr>
                <w:rFonts w:hint="eastAsia"/>
                <w:sz w:val="21"/>
                <w:szCs w:val="21"/>
              </w:rPr>
              <w:t>1.706</w:t>
            </w:r>
          </w:p>
        </w:tc>
        <w:tc>
          <w:tcPr>
            <w:tcW w:w="1045" w:type="pct"/>
            <w:vAlign w:val="center"/>
          </w:tcPr>
          <w:p w14:paraId="54E72B94">
            <w:pPr>
              <w:spacing w:line="240" w:lineRule="auto"/>
              <w:ind w:firstLine="0" w:firstLineChars="0"/>
              <w:jc w:val="center"/>
              <w:rPr>
                <w:sz w:val="21"/>
                <w:szCs w:val="21"/>
              </w:rPr>
            </w:pPr>
            <w:r>
              <w:rPr>
                <w:rFonts w:hint="eastAsia"/>
                <w:sz w:val="21"/>
                <w:szCs w:val="21"/>
              </w:rPr>
              <w:t>不涉及</w:t>
            </w:r>
          </w:p>
        </w:tc>
      </w:tr>
      <w:tr w14:paraId="5EB15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Align w:val="center"/>
          </w:tcPr>
          <w:p w14:paraId="1685B32F">
            <w:pPr>
              <w:spacing w:line="240" w:lineRule="auto"/>
              <w:ind w:firstLine="0" w:firstLineChars="0"/>
              <w:jc w:val="center"/>
              <w:rPr>
                <w:sz w:val="21"/>
                <w:szCs w:val="21"/>
              </w:rPr>
            </w:pPr>
            <w:r>
              <w:rPr>
                <w:rFonts w:hint="eastAsia"/>
                <w:sz w:val="21"/>
                <w:szCs w:val="21"/>
              </w:rPr>
              <w:t>8</w:t>
            </w:r>
          </w:p>
        </w:tc>
        <w:tc>
          <w:tcPr>
            <w:tcW w:w="1211" w:type="pct"/>
            <w:vAlign w:val="center"/>
          </w:tcPr>
          <w:p w14:paraId="2237E2C6">
            <w:pPr>
              <w:widowControl/>
              <w:spacing w:line="240" w:lineRule="auto"/>
              <w:ind w:firstLine="0" w:firstLineChars="0"/>
              <w:jc w:val="center"/>
              <w:rPr>
                <w:sz w:val="21"/>
                <w:szCs w:val="21"/>
              </w:rPr>
            </w:pPr>
            <w:r>
              <w:rPr>
                <w:rFonts w:hint="eastAsia" w:cs="Times New Roman"/>
                <w:color w:val="000000"/>
                <w:kern w:val="0"/>
                <w:sz w:val="21"/>
                <w:szCs w:val="21"/>
                <w14:ligatures w14:val="none"/>
              </w:rPr>
              <w:t>金坛东运钙业有限公司</w:t>
            </w:r>
          </w:p>
        </w:tc>
        <w:tc>
          <w:tcPr>
            <w:tcW w:w="848" w:type="pct"/>
            <w:vAlign w:val="center"/>
          </w:tcPr>
          <w:p w14:paraId="55039175">
            <w:pPr>
              <w:spacing w:line="240" w:lineRule="auto"/>
              <w:ind w:firstLine="0" w:firstLineChars="0"/>
              <w:jc w:val="center"/>
              <w:rPr>
                <w:sz w:val="21"/>
                <w:szCs w:val="21"/>
              </w:rPr>
            </w:pPr>
            <w:r>
              <w:rPr>
                <w:rFonts w:hint="eastAsia"/>
                <w:sz w:val="21"/>
                <w:szCs w:val="21"/>
              </w:rPr>
              <w:t>石灰和石膏制造</w:t>
            </w:r>
          </w:p>
        </w:tc>
        <w:tc>
          <w:tcPr>
            <w:tcW w:w="753" w:type="pct"/>
            <w:vAlign w:val="center"/>
          </w:tcPr>
          <w:p w14:paraId="04F012F2">
            <w:pPr>
              <w:spacing w:line="240" w:lineRule="auto"/>
              <w:ind w:firstLine="0" w:firstLineChars="0"/>
              <w:jc w:val="center"/>
              <w:rPr>
                <w:sz w:val="21"/>
                <w:szCs w:val="21"/>
              </w:rPr>
            </w:pPr>
            <w:r>
              <w:rPr>
                <w:rFonts w:hint="eastAsia"/>
                <w:sz w:val="21"/>
                <w:szCs w:val="21"/>
              </w:rPr>
              <w:t>生石灰、碳酸钙</w:t>
            </w:r>
          </w:p>
        </w:tc>
        <w:tc>
          <w:tcPr>
            <w:tcW w:w="889" w:type="pct"/>
            <w:vAlign w:val="center"/>
          </w:tcPr>
          <w:p w14:paraId="09136E70">
            <w:pPr>
              <w:spacing w:line="240" w:lineRule="auto"/>
              <w:ind w:firstLine="0" w:firstLineChars="0"/>
              <w:jc w:val="center"/>
              <w:rPr>
                <w:sz w:val="21"/>
                <w:szCs w:val="21"/>
              </w:rPr>
            </w:pPr>
            <w:r>
              <w:rPr>
                <w:rFonts w:hint="eastAsia"/>
                <w:sz w:val="21"/>
                <w:szCs w:val="21"/>
              </w:rPr>
              <w:t>1.663</w:t>
            </w:r>
          </w:p>
        </w:tc>
        <w:tc>
          <w:tcPr>
            <w:tcW w:w="1045" w:type="pct"/>
            <w:vAlign w:val="center"/>
          </w:tcPr>
          <w:p w14:paraId="49806BB8">
            <w:pPr>
              <w:spacing w:line="240" w:lineRule="auto"/>
              <w:ind w:firstLine="0" w:firstLineChars="0"/>
              <w:jc w:val="center"/>
              <w:rPr>
                <w:sz w:val="21"/>
                <w:szCs w:val="21"/>
              </w:rPr>
            </w:pPr>
            <w:r>
              <w:rPr>
                <w:rFonts w:hint="eastAsia"/>
                <w:sz w:val="21"/>
                <w:szCs w:val="21"/>
              </w:rPr>
              <w:t>不涉及</w:t>
            </w:r>
          </w:p>
        </w:tc>
      </w:tr>
    </w:tbl>
    <w:p w14:paraId="53A59F41">
      <w:pPr>
        <w:ind w:firstLine="480" w:firstLineChars="0"/>
      </w:pPr>
      <w:r>
        <w:rPr>
          <w:rFonts w:hint="eastAsia"/>
        </w:rPr>
        <w:t>现状的8家工业企业中，4家石灰和石膏制造业企业和1家粘土砖瓦及建筑砌块制造企业生产工艺中涉及使用煅烧物料的工业窑炉，1家专用设备制造业企业涉及使用生物质的蒸汽锅炉，各企业窑炉、锅炉情况如下表所示。</w:t>
      </w:r>
    </w:p>
    <w:p w14:paraId="13DB54FC">
      <w:pPr>
        <w:pStyle w:val="45"/>
        <w:rPr>
          <w:rFonts w:cs="Times New Roman"/>
        </w:rPr>
      </w:pPr>
      <w:r>
        <w:rPr>
          <w:rFonts w:hint="eastAsia" w:cs="Times New Roman"/>
        </w:rPr>
        <w:t>表3.</w:t>
      </w:r>
      <w:r>
        <w:rPr>
          <w:rFonts w:cs="Times New Roman"/>
        </w:rPr>
        <w:t>4</w:t>
      </w:r>
      <w:r>
        <w:rPr>
          <w:rFonts w:hint="eastAsia" w:cs="Times New Roman"/>
        </w:rPr>
        <w:t xml:space="preserve">-13 </w:t>
      </w:r>
      <w:r>
        <w:rPr>
          <w:rFonts w:cs="Times New Roman"/>
        </w:rPr>
        <w:t xml:space="preserve"> </w:t>
      </w:r>
      <w:r>
        <w:rPr>
          <w:rFonts w:hint="eastAsia" w:cs="Times New Roman"/>
        </w:rPr>
        <w:t>度假区现状企业工业窑炉情况统计表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9"/>
        <w:gridCol w:w="1755"/>
        <w:gridCol w:w="953"/>
        <w:gridCol w:w="3189"/>
      </w:tblGrid>
      <w:tr w14:paraId="1F8AC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399" w:type="dxa"/>
            <w:vAlign w:val="center"/>
          </w:tcPr>
          <w:p w14:paraId="60580F40">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企业名称</w:t>
            </w:r>
          </w:p>
        </w:tc>
        <w:tc>
          <w:tcPr>
            <w:tcW w:w="1755" w:type="dxa"/>
            <w:vAlign w:val="center"/>
          </w:tcPr>
          <w:p w14:paraId="2D4E03EF">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设施类型</w:t>
            </w:r>
          </w:p>
        </w:tc>
        <w:tc>
          <w:tcPr>
            <w:tcW w:w="953" w:type="dxa"/>
            <w:vAlign w:val="center"/>
          </w:tcPr>
          <w:p w14:paraId="24F9C111">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数量</w:t>
            </w:r>
          </w:p>
        </w:tc>
        <w:tc>
          <w:tcPr>
            <w:tcW w:w="3189" w:type="dxa"/>
            <w:vAlign w:val="center"/>
          </w:tcPr>
          <w:p w14:paraId="1C706977">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设施参数</w:t>
            </w:r>
          </w:p>
        </w:tc>
      </w:tr>
      <w:tr w14:paraId="53FE7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Align w:val="center"/>
          </w:tcPr>
          <w:p w14:paraId="2B16524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常州市金坛区新朋建筑材料厂（普通合伙）</w:t>
            </w:r>
          </w:p>
        </w:tc>
        <w:tc>
          <w:tcPr>
            <w:tcW w:w="1755" w:type="dxa"/>
            <w:vAlign w:val="center"/>
          </w:tcPr>
          <w:p w14:paraId="1260158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隧道窑</w:t>
            </w:r>
          </w:p>
        </w:tc>
        <w:tc>
          <w:tcPr>
            <w:tcW w:w="953" w:type="dxa"/>
            <w:vAlign w:val="center"/>
          </w:tcPr>
          <w:p w14:paraId="0B27002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w:t>
            </w:r>
          </w:p>
        </w:tc>
        <w:tc>
          <w:tcPr>
            <w:tcW w:w="3189" w:type="dxa"/>
            <w:vAlign w:val="center"/>
          </w:tcPr>
          <w:p w14:paraId="723D109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窑面内高1.95米</w:t>
            </w:r>
          </w:p>
          <w:p w14:paraId="2BB31EF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窑面内宽</w:t>
            </w:r>
            <w:r>
              <w:rPr>
                <w:rFonts w:hint="eastAsia" w:cs="Times New Roman"/>
                <w:color w:val="000000"/>
                <w:kern w:val="0"/>
                <w:sz w:val="21"/>
                <w:szCs w:val="21"/>
                <w14:ligatures w14:val="none"/>
              </w:rPr>
              <w:t>120米</w:t>
            </w:r>
          </w:p>
          <w:p w14:paraId="11B7D1F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产能3000万块标砖/年</w:t>
            </w:r>
          </w:p>
        </w:tc>
      </w:tr>
      <w:tr w14:paraId="7A24B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Align w:val="center"/>
          </w:tcPr>
          <w:p w14:paraId="633D4F8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常州市金坛创新建材有限公司</w:t>
            </w:r>
          </w:p>
        </w:tc>
        <w:tc>
          <w:tcPr>
            <w:tcW w:w="1755" w:type="dxa"/>
            <w:vAlign w:val="center"/>
          </w:tcPr>
          <w:p w14:paraId="4220446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节能型机械竖窑</w:t>
            </w:r>
          </w:p>
        </w:tc>
        <w:tc>
          <w:tcPr>
            <w:tcW w:w="953" w:type="dxa"/>
            <w:vAlign w:val="center"/>
          </w:tcPr>
          <w:p w14:paraId="6AEC3DB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w:t>
            </w:r>
          </w:p>
        </w:tc>
        <w:tc>
          <w:tcPr>
            <w:tcW w:w="3189" w:type="dxa"/>
            <w:vAlign w:val="center"/>
          </w:tcPr>
          <w:p w14:paraId="0409693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筒体高度48米</w:t>
            </w:r>
          </w:p>
          <w:p w14:paraId="7815DF4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产能生石灰2.5万吨/年</w:t>
            </w:r>
          </w:p>
        </w:tc>
      </w:tr>
      <w:tr w14:paraId="381D0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Align w:val="center"/>
          </w:tcPr>
          <w:p w14:paraId="6D9B205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常州市金坛鼎盛建材厂</w:t>
            </w:r>
          </w:p>
        </w:tc>
        <w:tc>
          <w:tcPr>
            <w:tcW w:w="1755" w:type="dxa"/>
            <w:vAlign w:val="center"/>
          </w:tcPr>
          <w:p w14:paraId="73353E7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机械化竖窑</w:t>
            </w:r>
          </w:p>
        </w:tc>
        <w:tc>
          <w:tcPr>
            <w:tcW w:w="953" w:type="dxa"/>
            <w:vAlign w:val="center"/>
          </w:tcPr>
          <w:p w14:paraId="5CAA3B5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w:t>
            </w:r>
          </w:p>
        </w:tc>
        <w:tc>
          <w:tcPr>
            <w:tcW w:w="3189" w:type="dxa"/>
            <w:vAlign w:val="center"/>
          </w:tcPr>
          <w:p w14:paraId="09B43A6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筒体高度34米</w:t>
            </w:r>
          </w:p>
          <w:p w14:paraId="623220B1">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产能生石灰3万吨/年</w:t>
            </w:r>
          </w:p>
        </w:tc>
      </w:tr>
      <w:tr w14:paraId="707EE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Align w:val="center"/>
          </w:tcPr>
          <w:p w14:paraId="4DF6DB9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常州金坛江豚钙业有限公司</w:t>
            </w:r>
          </w:p>
        </w:tc>
        <w:tc>
          <w:tcPr>
            <w:tcW w:w="1755" w:type="dxa"/>
            <w:vAlign w:val="center"/>
          </w:tcPr>
          <w:p w14:paraId="12531A2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竖式节能环保窑</w:t>
            </w:r>
          </w:p>
        </w:tc>
        <w:tc>
          <w:tcPr>
            <w:tcW w:w="953" w:type="dxa"/>
            <w:vAlign w:val="center"/>
          </w:tcPr>
          <w:p w14:paraId="192026E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w:t>
            </w:r>
          </w:p>
        </w:tc>
        <w:tc>
          <w:tcPr>
            <w:tcW w:w="3189" w:type="dxa"/>
            <w:vAlign w:val="center"/>
          </w:tcPr>
          <w:p w14:paraId="0180939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筒体高度28米</w:t>
            </w:r>
          </w:p>
          <w:p w14:paraId="3CAA68B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产能生石灰2万吨/年</w:t>
            </w:r>
          </w:p>
        </w:tc>
      </w:tr>
      <w:tr w14:paraId="2E758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Align w:val="center"/>
          </w:tcPr>
          <w:p w14:paraId="503831A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金坛东运钙业有限公司</w:t>
            </w:r>
          </w:p>
        </w:tc>
        <w:tc>
          <w:tcPr>
            <w:tcW w:w="1755" w:type="dxa"/>
            <w:vAlign w:val="center"/>
          </w:tcPr>
          <w:p w14:paraId="16D688E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新型立式石灰窑</w:t>
            </w:r>
          </w:p>
        </w:tc>
        <w:tc>
          <w:tcPr>
            <w:tcW w:w="953" w:type="dxa"/>
            <w:vAlign w:val="center"/>
          </w:tcPr>
          <w:p w14:paraId="3F4EAB3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w:t>
            </w:r>
          </w:p>
        </w:tc>
        <w:tc>
          <w:tcPr>
            <w:tcW w:w="3189" w:type="dxa"/>
            <w:vAlign w:val="center"/>
          </w:tcPr>
          <w:p w14:paraId="480BE1C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筒体高度34米</w:t>
            </w:r>
          </w:p>
          <w:p w14:paraId="0AE280D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产能生石灰5万吨/年</w:t>
            </w:r>
          </w:p>
        </w:tc>
      </w:tr>
      <w:tr w14:paraId="4BCB3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Align w:val="center"/>
          </w:tcPr>
          <w:p w14:paraId="6E924C6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金坛市金陶农配有限公司</w:t>
            </w:r>
          </w:p>
        </w:tc>
        <w:tc>
          <w:tcPr>
            <w:tcW w:w="1755" w:type="dxa"/>
            <w:vAlign w:val="center"/>
          </w:tcPr>
          <w:p w14:paraId="7D8A5E3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立式蒸汽炉</w:t>
            </w:r>
          </w:p>
        </w:tc>
        <w:tc>
          <w:tcPr>
            <w:tcW w:w="953" w:type="dxa"/>
            <w:vAlign w:val="center"/>
          </w:tcPr>
          <w:p w14:paraId="404C55F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w:t>
            </w:r>
          </w:p>
        </w:tc>
        <w:tc>
          <w:tcPr>
            <w:tcW w:w="3189" w:type="dxa"/>
            <w:vAlign w:val="center"/>
          </w:tcPr>
          <w:p w14:paraId="4B8BC32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额定蒸发量1.5t</w:t>
            </w:r>
          </w:p>
        </w:tc>
      </w:tr>
    </w:tbl>
    <w:p w14:paraId="4E06973C">
      <w:pPr>
        <w:ind w:firstLine="480" w:firstLineChars="0"/>
      </w:pPr>
      <w:r>
        <w:rPr>
          <w:rFonts w:hint="eastAsia"/>
        </w:rPr>
        <w:t>本轮规划范围内4家石灰和石膏制造业企业均建有港口码头，主要从事干散货（石料、生石灰、碳酸钙、熟石灰等）的装卸作业，各码头均于2021年开展了码头环境提升项目环境影响报告表编制并获得常州市生态环境局批复，同步于2022年实施自主验收（企业环保手续情况见表3.4-16），各码头信息见下表。</w:t>
      </w:r>
    </w:p>
    <w:p w14:paraId="6DE4A5AC">
      <w:pPr>
        <w:pStyle w:val="45"/>
        <w:rPr>
          <w:rFonts w:cs="Times New Roman"/>
        </w:rPr>
      </w:pPr>
      <w:r>
        <w:rPr>
          <w:rFonts w:hint="eastAsia" w:cs="Times New Roman"/>
        </w:rPr>
        <w:t>表3.</w:t>
      </w:r>
      <w:r>
        <w:rPr>
          <w:rFonts w:cs="Times New Roman"/>
        </w:rPr>
        <w:t>4</w:t>
      </w:r>
      <w:r>
        <w:rPr>
          <w:rFonts w:hint="eastAsia" w:cs="Times New Roman"/>
        </w:rPr>
        <w:t xml:space="preserve">-14 </w:t>
      </w:r>
      <w:r>
        <w:rPr>
          <w:rFonts w:cs="Times New Roman"/>
        </w:rPr>
        <w:t xml:space="preserve"> </w:t>
      </w:r>
      <w:r>
        <w:rPr>
          <w:rFonts w:hint="eastAsia" w:cs="Times New Roman"/>
        </w:rPr>
        <w:t>度假区现状企业码头情况统计表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1950"/>
        <w:gridCol w:w="1867"/>
        <w:gridCol w:w="3918"/>
      </w:tblGrid>
      <w:tr w14:paraId="5F868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84" w:type="dxa"/>
            <w:vAlign w:val="center"/>
          </w:tcPr>
          <w:p w14:paraId="77B49F42">
            <w:pPr>
              <w:spacing w:line="240" w:lineRule="auto"/>
              <w:ind w:firstLine="0" w:firstLineChars="0"/>
              <w:jc w:val="center"/>
              <w:rPr>
                <w:sz w:val="21"/>
                <w:szCs w:val="21"/>
              </w:rPr>
            </w:pPr>
            <w:r>
              <w:rPr>
                <w:rFonts w:hint="eastAsia" w:cs="Times New Roman"/>
                <w:b/>
                <w:bCs/>
                <w:color w:val="000000"/>
                <w:kern w:val="0"/>
                <w:sz w:val="21"/>
                <w:szCs w:val="21"/>
                <w14:ligatures w14:val="none"/>
              </w:rPr>
              <w:t>企业名称</w:t>
            </w:r>
          </w:p>
        </w:tc>
        <w:tc>
          <w:tcPr>
            <w:tcW w:w="1950" w:type="dxa"/>
            <w:vAlign w:val="center"/>
          </w:tcPr>
          <w:p w14:paraId="674E96D8">
            <w:pPr>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码头建设内容</w:t>
            </w:r>
          </w:p>
        </w:tc>
        <w:tc>
          <w:tcPr>
            <w:tcW w:w="1867" w:type="dxa"/>
            <w:vAlign w:val="center"/>
          </w:tcPr>
          <w:p w14:paraId="4CFDBDA6">
            <w:pPr>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码头吞吐量</w:t>
            </w:r>
          </w:p>
        </w:tc>
        <w:tc>
          <w:tcPr>
            <w:tcW w:w="3918" w:type="dxa"/>
            <w:vAlign w:val="center"/>
          </w:tcPr>
          <w:p w14:paraId="3D6179B3">
            <w:pPr>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装卸工艺方案</w:t>
            </w:r>
          </w:p>
        </w:tc>
      </w:tr>
      <w:tr w14:paraId="31740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8" w:hRule="atLeast"/>
        </w:trPr>
        <w:tc>
          <w:tcPr>
            <w:tcW w:w="784" w:type="dxa"/>
            <w:vAlign w:val="center"/>
          </w:tcPr>
          <w:p w14:paraId="47E33704">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常州市金坛创新建材有限公司</w:t>
            </w:r>
          </w:p>
        </w:tc>
        <w:tc>
          <w:tcPr>
            <w:tcW w:w="1950" w:type="dxa"/>
            <w:vAlign w:val="center"/>
          </w:tcPr>
          <w:p w14:paraId="72C2605A">
            <w:pPr>
              <w:widowControl/>
              <w:spacing w:line="240" w:lineRule="auto"/>
              <w:ind w:firstLine="0" w:firstLineChars="0"/>
              <w:jc w:val="center"/>
              <w:rPr>
                <w:sz w:val="21"/>
                <w:szCs w:val="21"/>
              </w:rPr>
            </w:pPr>
            <w:r>
              <w:rPr>
                <w:rFonts w:hint="eastAsia" w:cs="Times New Roman"/>
                <w:color w:val="000000"/>
                <w:kern w:val="0"/>
                <w:sz w:val="21"/>
                <w:szCs w:val="21"/>
                <w:lang w:bidi="ar"/>
                <w14:ligatures w14:val="none"/>
              </w:rPr>
              <w:t>设码头泊位数1个，单个泊位为500吨级。码头占地800平方米，码头岸线长约120m。</w:t>
            </w:r>
          </w:p>
        </w:tc>
        <w:tc>
          <w:tcPr>
            <w:tcW w:w="1867" w:type="dxa"/>
            <w:vAlign w:val="center"/>
          </w:tcPr>
          <w:p w14:paraId="25F75CF9">
            <w:pPr>
              <w:spacing w:line="240" w:lineRule="auto"/>
              <w:ind w:firstLine="0" w:firstLineChars="0"/>
              <w:jc w:val="center"/>
              <w:rPr>
                <w:sz w:val="21"/>
                <w:szCs w:val="21"/>
              </w:rPr>
            </w:pPr>
            <w:r>
              <w:rPr>
                <w:rFonts w:hint="eastAsia"/>
                <w:sz w:val="21"/>
                <w:szCs w:val="21"/>
              </w:rPr>
              <w:t>主要从事干散货（石料、生石灰、碳酸钙）的装卸作业，码头年吞吐量10.325万吨。</w:t>
            </w:r>
          </w:p>
        </w:tc>
        <w:tc>
          <w:tcPr>
            <w:tcW w:w="3918" w:type="dxa"/>
            <w:vAlign w:val="center"/>
          </w:tcPr>
          <w:p w14:paraId="1DB6951A">
            <w:pPr>
              <w:spacing w:line="240" w:lineRule="auto"/>
              <w:ind w:firstLine="0" w:firstLineChars="0"/>
              <w:rPr>
                <w:sz w:val="21"/>
                <w:szCs w:val="21"/>
              </w:rPr>
            </w:pPr>
            <w:r>
              <w:rPr>
                <w:rFonts w:hint="eastAsia"/>
                <w:sz w:val="21"/>
                <w:szCs w:val="21"/>
              </w:rPr>
              <w:t>进港（石灰石、块石）：码头前沿卸船作业采用挖机，通过抓斗吊具、 料斗、输送带进行卸货作业，石料原料由输送带运至原料库内贮存，码头及厂区内不设露天堆场。</w:t>
            </w:r>
          </w:p>
          <w:p w14:paraId="0082B55B">
            <w:pPr>
              <w:spacing w:line="240" w:lineRule="auto"/>
              <w:ind w:firstLine="0" w:firstLineChars="0"/>
              <w:rPr>
                <w:sz w:val="21"/>
                <w:szCs w:val="21"/>
              </w:rPr>
            </w:pPr>
            <w:r>
              <w:rPr>
                <w:rFonts w:hint="eastAsia"/>
                <w:sz w:val="21"/>
                <w:szCs w:val="21"/>
              </w:rPr>
              <w:t>出港（生石灰、碳酸钙成品）：出港货物主要为生石灰、碳酸钙，由成品料仓通过密闭输送带运输至码头前沿，通过卸料口进行装船作业。</w:t>
            </w:r>
          </w:p>
        </w:tc>
      </w:tr>
      <w:tr w14:paraId="69444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14:paraId="4C0887D7">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常州市金坛鼎盛建材厂</w:t>
            </w:r>
          </w:p>
        </w:tc>
        <w:tc>
          <w:tcPr>
            <w:tcW w:w="1950" w:type="dxa"/>
            <w:vAlign w:val="center"/>
          </w:tcPr>
          <w:p w14:paraId="7E502C57">
            <w:pPr>
              <w:widowControl/>
              <w:spacing w:line="240" w:lineRule="auto"/>
              <w:ind w:firstLine="0" w:firstLineChars="0"/>
              <w:jc w:val="center"/>
              <w:rPr>
                <w:rFonts w:cs="Times New Roman"/>
                <w:color w:val="000000"/>
                <w:kern w:val="0"/>
                <w:sz w:val="21"/>
                <w:szCs w:val="21"/>
                <w:lang w:bidi="ar"/>
                <w14:ligatures w14:val="none"/>
              </w:rPr>
            </w:pPr>
            <w:r>
              <w:rPr>
                <w:rFonts w:hint="eastAsia" w:cs="Times New Roman"/>
                <w:color w:val="000000"/>
                <w:kern w:val="0"/>
                <w:sz w:val="21"/>
                <w:szCs w:val="21"/>
                <w:lang w:bidi="ar"/>
                <w14:ligatures w14:val="none"/>
              </w:rPr>
              <w:t>设码头泊位数1个，单个泊位为500吨级。码头占地800平方米，码头岸线长约100m。</w:t>
            </w:r>
          </w:p>
        </w:tc>
        <w:tc>
          <w:tcPr>
            <w:tcW w:w="1867" w:type="dxa"/>
            <w:vAlign w:val="center"/>
          </w:tcPr>
          <w:p w14:paraId="64C1F70C">
            <w:pPr>
              <w:widowControl/>
              <w:spacing w:line="240" w:lineRule="auto"/>
              <w:ind w:firstLine="0" w:firstLineChars="0"/>
              <w:jc w:val="center"/>
              <w:rPr>
                <w:rFonts w:cs="Times New Roman"/>
                <w:color w:val="000000"/>
                <w:kern w:val="0"/>
                <w:sz w:val="21"/>
                <w:szCs w:val="21"/>
                <w:lang w:bidi="ar"/>
                <w14:ligatures w14:val="none"/>
              </w:rPr>
            </w:pPr>
            <w:r>
              <w:rPr>
                <w:rFonts w:cs="Times New Roman"/>
                <w:color w:val="000000"/>
                <w:kern w:val="0"/>
                <w:sz w:val="21"/>
                <w:szCs w:val="21"/>
                <w:lang w:bidi="ar"/>
                <w14:ligatures w14:val="none"/>
              </w:rPr>
              <w:t>主要从事干散货（石料、煤、生石灰、熟石灰）的装卸作业，码头年吞吐量20万吨</w:t>
            </w:r>
          </w:p>
        </w:tc>
        <w:tc>
          <w:tcPr>
            <w:tcW w:w="3918" w:type="dxa"/>
            <w:vAlign w:val="center"/>
          </w:tcPr>
          <w:p w14:paraId="002F6181">
            <w:pPr>
              <w:widowControl/>
              <w:spacing w:line="240" w:lineRule="auto"/>
              <w:ind w:firstLine="0" w:firstLineChars="0"/>
              <w:rPr>
                <w:rFonts w:cs="Times New Roman"/>
                <w:color w:val="000000"/>
                <w:kern w:val="0"/>
                <w:sz w:val="21"/>
                <w:szCs w:val="21"/>
                <w:lang w:bidi="ar"/>
                <w14:ligatures w14:val="none"/>
              </w:rPr>
            </w:pPr>
            <w:r>
              <w:rPr>
                <w:rFonts w:cs="Times New Roman"/>
                <w:color w:val="000000"/>
                <w:kern w:val="0"/>
                <w:sz w:val="21"/>
                <w:szCs w:val="21"/>
                <w:lang w:bidi="ar"/>
                <w14:ligatures w14:val="none"/>
              </w:rPr>
              <w:t>进港（石料、煤）：码头前沿卸船作业采用1台挖机，1台吊机，通过抓斗吊具、料斗、输送带进行卸货作业，由输送带运输至原料库内贮存，码头及厂区</w:t>
            </w:r>
          </w:p>
          <w:p w14:paraId="34BC32AF">
            <w:pPr>
              <w:widowControl/>
              <w:spacing w:line="240" w:lineRule="auto"/>
              <w:ind w:firstLine="0" w:firstLineChars="0"/>
              <w:rPr>
                <w:rFonts w:cs="Times New Roman"/>
                <w:color w:val="000000"/>
                <w:kern w:val="0"/>
                <w:sz w:val="21"/>
                <w:szCs w:val="21"/>
                <w:lang w:bidi="ar"/>
                <w14:ligatures w14:val="none"/>
              </w:rPr>
            </w:pPr>
            <w:r>
              <w:rPr>
                <w:rFonts w:cs="Times New Roman"/>
                <w:color w:val="000000"/>
                <w:kern w:val="0"/>
                <w:sz w:val="21"/>
                <w:szCs w:val="21"/>
                <w:lang w:bidi="ar"/>
                <w14:ligatures w14:val="none"/>
              </w:rPr>
              <w:t>内不设露天堆场。</w:t>
            </w:r>
          </w:p>
          <w:p w14:paraId="32F12C7B">
            <w:pPr>
              <w:widowControl/>
              <w:spacing w:line="240" w:lineRule="auto"/>
              <w:ind w:firstLine="0" w:firstLineChars="0"/>
              <w:rPr>
                <w:rFonts w:cs="Times New Roman"/>
                <w:color w:val="000000"/>
                <w:kern w:val="0"/>
                <w:sz w:val="21"/>
                <w:szCs w:val="21"/>
                <w:lang w:bidi="ar"/>
                <w14:ligatures w14:val="none"/>
              </w:rPr>
            </w:pPr>
            <w:r>
              <w:rPr>
                <w:rFonts w:cs="Times New Roman"/>
                <w:color w:val="000000"/>
                <w:kern w:val="0"/>
                <w:sz w:val="21"/>
                <w:szCs w:val="21"/>
                <w:lang w:bidi="ar"/>
                <w14:ligatures w14:val="none"/>
              </w:rPr>
              <w:t>出港（生石灰、熟石灰成品）：出港货物主要为生石灰，由成品料仓通过密闭输送带运输至码头前沿，通过卸料口进行装船作业。</w:t>
            </w:r>
          </w:p>
        </w:tc>
      </w:tr>
      <w:tr w14:paraId="0A6E5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14:paraId="7BA972FA">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常州金坛江豚钙业有限公司</w:t>
            </w:r>
          </w:p>
        </w:tc>
        <w:tc>
          <w:tcPr>
            <w:tcW w:w="1950" w:type="dxa"/>
            <w:vAlign w:val="center"/>
          </w:tcPr>
          <w:p w14:paraId="2EACDBDB">
            <w:pPr>
              <w:widowControl/>
              <w:spacing w:line="240" w:lineRule="auto"/>
              <w:ind w:firstLine="0" w:firstLineChars="0"/>
              <w:jc w:val="center"/>
              <w:rPr>
                <w:rFonts w:cs="Times New Roman"/>
                <w:color w:val="000000"/>
                <w:kern w:val="0"/>
                <w:sz w:val="21"/>
                <w:szCs w:val="21"/>
                <w:lang w:bidi="ar"/>
                <w14:ligatures w14:val="none"/>
              </w:rPr>
            </w:pPr>
            <w:r>
              <w:rPr>
                <w:rFonts w:cs="Times New Roman"/>
                <w:color w:val="000000"/>
                <w:kern w:val="0"/>
                <w:sz w:val="21"/>
                <w:szCs w:val="21"/>
                <w:lang w:bidi="ar"/>
                <w14:ligatures w14:val="none"/>
              </w:rPr>
              <w:t>设码头泊位数1个，单个泊位为500吨级。码头占地800平方米，码头岸线长约120m。</w:t>
            </w:r>
          </w:p>
        </w:tc>
        <w:tc>
          <w:tcPr>
            <w:tcW w:w="1867" w:type="dxa"/>
            <w:vAlign w:val="center"/>
          </w:tcPr>
          <w:p w14:paraId="387B1DED">
            <w:pPr>
              <w:widowControl/>
              <w:spacing w:line="240" w:lineRule="auto"/>
              <w:ind w:firstLine="0" w:firstLineChars="0"/>
              <w:jc w:val="center"/>
              <w:rPr>
                <w:rFonts w:cs="Times New Roman"/>
                <w:color w:val="000000"/>
                <w:kern w:val="0"/>
                <w:sz w:val="21"/>
                <w:szCs w:val="21"/>
                <w:lang w:bidi="ar"/>
                <w14:ligatures w14:val="none"/>
              </w:rPr>
            </w:pPr>
            <w:r>
              <w:rPr>
                <w:rFonts w:cs="Times New Roman"/>
                <w:color w:val="000000"/>
                <w:kern w:val="0"/>
                <w:sz w:val="21"/>
                <w:szCs w:val="21"/>
                <w:lang w:bidi="ar"/>
                <w14:ligatures w14:val="none"/>
              </w:rPr>
              <w:t>主要从事干散货（石料、生石灰、碳酸钙）的装卸作业，码头年吞吐量32万吨</w:t>
            </w:r>
          </w:p>
        </w:tc>
        <w:tc>
          <w:tcPr>
            <w:tcW w:w="3918" w:type="dxa"/>
            <w:vAlign w:val="center"/>
          </w:tcPr>
          <w:p w14:paraId="6637DDDE">
            <w:pPr>
              <w:widowControl/>
              <w:spacing w:line="240" w:lineRule="auto"/>
              <w:ind w:firstLine="0" w:firstLineChars="0"/>
              <w:rPr>
                <w:rFonts w:cs="Times New Roman"/>
                <w:color w:val="000000"/>
                <w:kern w:val="0"/>
                <w:sz w:val="21"/>
                <w:szCs w:val="21"/>
                <w:lang w:bidi="ar"/>
                <w14:ligatures w14:val="none"/>
              </w:rPr>
            </w:pPr>
            <w:r>
              <w:rPr>
                <w:rFonts w:cs="Times New Roman"/>
                <w:color w:val="000000"/>
                <w:kern w:val="0"/>
                <w:sz w:val="21"/>
                <w:szCs w:val="21"/>
                <w:lang w:bidi="ar"/>
                <w14:ligatures w14:val="none"/>
              </w:rPr>
              <w:t>进港（石料）：码头前沿卸船作业采用挖机，通过抓斗吊具、料斗、输送带进行卸货作业，石料原料由输送带运至原料库内贮存，码头及厂区内不设露天堆</w:t>
            </w:r>
          </w:p>
          <w:p w14:paraId="08478683">
            <w:pPr>
              <w:widowControl/>
              <w:spacing w:line="240" w:lineRule="auto"/>
              <w:ind w:firstLine="0" w:firstLineChars="0"/>
              <w:rPr>
                <w:rFonts w:cs="Times New Roman"/>
                <w:color w:val="000000"/>
                <w:kern w:val="0"/>
                <w:sz w:val="21"/>
                <w:szCs w:val="21"/>
                <w:lang w:bidi="ar"/>
                <w14:ligatures w14:val="none"/>
              </w:rPr>
            </w:pPr>
            <w:r>
              <w:rPr>
                <w:rFonts w:cs="Times New Roman"/>
                <w:color w:val="000000"/>
                <w:kern w:val="0"/>
                <w:sz w:val="21"/>
                <w:szCs w:val="21"/>
                <w:lang w:bidi="ar"/>
                <w14:ligatures w14:val="none"/>
              </w:rPr>
              <w:t>场。</w:t>
            </w:r>
          </w:p>
          <w:p w14:paraId="3B00028B">
            <w:pPr>
              <w:widowControl/>
              <w:spacing w:line="240" w:lineRule="auto"/>
              <w:ind w:firstLine="0" w:firstLineChars="0"/>
              <w:rPr>
                <w:rFonts w:cs="Times New Roman"/>
                <w:color w:val="000000"/>
                <w:kern w:val="0"/>
                <w:sz w:val="21"/>
                <w:szCs w:val="21"/>
                <w:lang w:bidi="ar"/>
                <w14:ligatures w14:val="none"/>
              </w:rPr>
            </w:pPr>
            <w:r>
              <w:rPr>
                <w:rFonts w:cs="Times New Roman"/>
                <w:color w:val="000000"/>
                <w:kern w:val="0"/>
                <w:sz w:val="21"/>
                <w:szCs w:val="21"/>
                <w:lang w:bidi="ar"/>
                <w14:ligatures w14:val="none"/>
              </w:rPr>
              <w:t>出港（氧化钙成品）：出港货物主要为氧化钙，由成品料仓通过密闭输送带运输至码头前沿，通过卸料口进行装船作业。</w:t>
            </w:r>
          </w:p>
        </w:tc>
      </w:tr>
      <w:tr w14:paraId="65F4F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vAlign w:val="center"/>
          </w:tcPr>
          <w:p w14:paraId="45DC9CFD">
            <w:pPr>
              <w:widowControl/>
              <w:spacing w:line="240" w:lineRule="auto"/>
              <w:ind w:firstLine="0" w:firstLineChars="0"/>
              <w:jc w:val="center"/>
              <w:rPr>
                <w:sz w:val="21"/>
                <w:szCs w:val="21"/>
              </w:rPr>
            </w:pPr>
            <w:r>
              <w:rPr>
                <w:rFonts w:hint="eastAsia" w:cs="Times New Roman"/>
                <w:color w:val="000000"/>
                <w:kern w:val="0"/>
                <w:sz w:val="21"/>
                <w:szCs w:val="21"/>
                <w14:ligatures w14:val="none"/>
              </w:rPr>
              <w:t>金坛东运钙业有限公司</w:t>
            </w:r>
          </w:p>
        </w:tc>
        <w:tc>
          <w:tcPr>
            <w:tcW w:w="1950" w:type="dxa"/>
            <w:vAlign w:val="center"/>
          </w:tcPr>
          <w:p w14:paraId="3B7F6183">
            <w:pPr>
              <w:widowControl/>
              <w:spacing w:line="240" w:lineRule="auto"/>
              <w:ind w:firstLine="0" w:firstLineChars="0"/>
              <w:jc w:val="center"/>
              <w:rPr>
                <w:rFonts w:cs="Times New Roman"/>
                <w:color w:val="000000"/>
                <w:kern w:val="0"/>
                <w:sz w:val="21"/>
                <w:szCs w:val="21"/>
                <w:lang w:bidi="ar"/>
                <w14:ligatures w14:val="none"/>
              </w:rPr>
            </w:pPr>
            <w:r>
              <w:rPr>
                <w:rFonts w:cs="Times New Roman"/>
                <w:color w:val="000000"/>
                <w:kern w:val="0"/>
                <w:sz w:val="21"/>
                <w:szCs w:val="21"/>
                <w:lang w:bidi="ar"/>
                <w14:ligatures w14:val="none"/>
              </w:rPr>
              <w:t>设码头泊位数1个，单个泊位为500吨级。码头占地800平方米，码头岸线长约60m。</w:t>
            </w:r>
          </w:p>
        </w:tc>
        <w:tc>
          <w:tcPr>
            <w:tcW w:w="1867" w:type="dxa"/>
            <w:vAlign w:val="center"/>
          </w:tcPr>
          <w:p w14:paraId="20CCC2FF">
            <w:pPr>
              <w:widowControl/>
              <w:spacing w:line="240" w:lineRule="auto"/>
              <w:ind w:firstLine="0" w:firstLineChars="0"/>
              <w:jc w:val="center"/>
              <w:rPr>
                <w:rFonts w:cs="Times New Roman"/>
                <w:color w:val="000000"/>
                <w:kern w:val="0"/>
                <w:sz w:val="21"/>
                <w:szCs w:val="21"/>
                <w:lang w:bidi="ar"/>
                <w14:ligatures w14:val="none"/>
              </w:rPr>
            </w:pPr>
            <w:r>
              <w:rPr>
                <w:rFonts w:cs="Times New Roman"/>
                <w:color w:val="000000"/>
                <w:kern w:val="0"/>
                <w:sz w:val="21"/>
                <w:szCs w:val="21"/>
                <w:lang w:bidi="ar"/>
                <w14:ligatures w14:val="none"/>
              </w:rPr>
              <w:t>主要从事干散货（石料、生石灰）的装卸作业，码头年吞吐量18万吨</w:t>
            </w:r>
          </w:p>
        </w:tc>
        <w:tc>
          <w:tcPr>
            <w:tcW w:w="3918" w:type="dxa"/>
            <w:vAlign w:val="center"/>
          </w:tcPr>
          <w:p w14:paraId="6A617365">
            <w:pPr>
              <w:widowControl/>
              <w:spacing w:line="240" w:lineRule="auto"/>
              <w:ind w:firstLine="0" w:firstLineChars="0"/>
              <w:rPr>
                <w:rFonts w:cs="Times New Roman"/>
                <w:color w:val="000000"/>
                <w:kern w:val="0"/>
                <w:sz w:val="21"/>
                <w:szCs w:val="21"/>
                <w:lang w:bidi="ar"/>
                <w14:ligatures w14:val="none"/>
              </w:rPr>
            </w:pPr>
            <w:r>
              <w:rPr>
                <w:rFonts w:cs="Times New Roman"/>
                <w:color w:val="000000"/>
                <w:kern w:val="0"/>
                <w:sz w:val="21"/>
                <w:szCs w:val="21"/>
                <w:lang w:bidi="ar"/>
                <w14:ligatures w14:val="none"/>
              </w:rPr>
              <w:t>进港（石料）：码头前沿卸船作业采用1台挖机，通过抓斗吊具、料斗、输送带进行卸货作业，由输送带运输至原料库内贮存，码头及厂区内不设露天堆场。</w:t>
            </w:r>
          </w:p>
          <w:p w14:paraId="3794E3D3">
            <w:pPr>
              <w:widowControl/>
              <w:spacing w:line="240" w:lineRule="auto"/>
              <w:ind w:firstLine="0" w:firstLineChars="0"/>
              <w:rPr>
                <w:rFonts w:cs="Times New Roman"/>
                <w:color w:val="000000"/>
                <w:kern w:val="0"/>
                <w:sz w:val="21"/>
                <w:szCs w:val="21"/>
                <w:lang w:bidi="ar"/>
                <w14:ligatures w14:val="none"/>
              </w:rPr>
            </w:pPr>
            <w:r>
              <w:rPr>
                <w:rFonts w:cs="Times New Roman"/>
                <w:color w:val="000000"/>
                <w:kern w:val="0"/>
                <w:sz w:val="21"/>
                <w:szCs w:val="21"/>
                <w:lang w:bidi="ar"/>
                <w14:ligatures w14:val="none"/>
              </w:rPr>
              <w:t>出港（生石灰成品）：出港货物主要为生石灰，由成品料仓通过密闭输送带运输至码头前沿，通过卸料口进行装船作业。</w:t>
            </w:r>
          </w:p>
        </w:tc>
      </w:tr>
    </w:tbl>
    <w:p w14:paraId="0101C189">
      <w:pPr>
        <w:ind w:firstLine="0" w:firstLineChars="0"/>
        <w:outlineLvl w:val="3"/>
      </w:pPr>
      <w:r>
        <w:t>3</w:t>
      </w:r>
      <w:r>
        <w:rPr>
          <w:rFonts w:hint="eastAsia"/>
        </w:rPr>
        <w:t>.</w:t>
      </w:r>
      <w:r>
        <w:t>4</w:t>
      </w:r>
      <w:r>
        <w:rPr>
          <w:rFonts w:hint="eastAsia"/>
        </w:rPr>
        <w:t>.</w:t>
      </w:r>
      <w:r>
        <w:t>4</w:t>
      </w:r>
      <w:r>
        <w:rPr>
          <w:rFonts w:hint="eastAsia"/>
        </w:rPr>
        <w:t>.</w:t>
      </w:r>
      <w:r>
        <w:t>2</w:t>
      </w:r>
      <w:r>
        <w:rPr>
          <w:rFonts w:hint="eastAsia"/>
        </w:rPr>
        <w:t>规划区内工业企业停转迁方案</w:t>
      </w:r>
    </w:p>
    <w:p w14:paraId="3B6A54A6">
      <w:pPr>
        <w:ind w:firstLine="480"/>
      </w:pPr>
      <w:r>
        <w:rPr>
          <w:rFonts w:hint="eastAsia"/>
        </w:rPr>
        <w:t>度假区内现状工业企业共计8家，综合考虑企业环评手续、排污许可执行情况、环保综合整治企业名单、度假区本轮规划产业定位、薛埠镇人民政府和茅山旅游度假区管理办公室关于企业治理的工作思路等因素，有计划、分步骤对区内现有工业企业实施停转迁。</w:t>
      </w:r>
    </w:p>
    <w:p w14:paraId="793E40C4">
      <w:pPr>
        <w:ind w:firstLine="480"/>
      </w:pPr>
      <w:r>
        <w:rPr>
          <w:rFonts w:hint="eastAsia"/>
        </w:rPr>
        <w:t>常州市金坛创新建材有限公司、常州市金坛鼎盛建材厂、常州金坛江豚钙业有限公司、金坛东运钙业有限公司4家企业为石灰和石膏制造企业，已列入环保整治企业名单，短期内以整治提升为主，2030年底前完成关停或搬迁；常州市金坛区新朋建筑材料厂（普通合伙）为生产煤矸石烧结砖的建材企业，与区域4家石灰建材企业于2030年底前同步完成搬迁退出；金坛市金星包装有限公司、常州市金坛麦宝食品有限公司、金坛市金陶农配有限公司3家企业在2035年底前引导企业自主搬迁退出。</w:t>
      </w:r>
    </w:p>
    <w:p w14:paraId="64478A0D">
      <w:pPr>
        <w:pStyle w:val="45"/>
        <w:rPr>
          <w:rFonts w:cs="Times New Roman"/>
        </w:rPr>
      </w:pPr>
      <w:r>
        <w:rPr>
          <w:rFonts w:hint="eastAsia" w:cs="Times New Roman"/>
        </w:rPr>
        <w:t>表3.</w:t>
      </w:r>
      <w:r>
        <w:rPr>
          <w:rFonts w:cs="Times New Roman"/>
        </w:rPr>
        <w:t>4</w:t>
      </w:r>
      <w:r>
        <w:rPr>
          <w:rFonts w:hint="eastAsia" w:cs="Times New Roman"/>
        </w:rPr>
        <w:t xml:space="preserve">-15 </w:t>
      </w:r>
      <w:r>
        <w:rPr>
          <w:rFonts w:cs="Times New Roman"/>
        </w:rPr>
        <w:t xml:space="preserve"> </w:t>
      </w:r>
      <w:r>
        <w:rPr>
          <w:rFonts w:hint="eastAsia" w:cs="Times New Roman"/>
        </w:rPr>
        <w:t>度假区工业企业搬迁计划表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2769"/>
        <w:gridCol w:w="1311"/>
        <w:gridCol w:w="953"/>
        <w:gridCol w:w="2330"/>
      </w:tblGrid>
      <w:tr w14:paraId="6410B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blHeader/>
        </w:trPr>
        <w:tc>
          <w:tcPr>
            <w:tcW w:w="680" w:type="pct"/>
            <w:vAlign w:val="center"/>
          </w:tcPr>
          <w:p w14:paraId="2787EF76">
            <w:pPr>
              <w:widowControl/>
              <w:spacing w:line="240" w:lineRule="auto"/>
              <w:ind w:firstLine="0" w:firstLineChars="0"/>
              <w:jc w:val="center"/>
              <w:rPr>
                <w:rFonts w:cs="Times New Roman"/>
                <w:b/>
                <w:color w:val="000000"/>
                <w:kern w:val="0"/>
                <w:sz w:val="21"/>
                <w:szCs w:val="21"/>
                <w14:ligatures w14:val="none"/>
              </w:rPr>
            </w:pPr>
            <w:r>
              <w:rPr>
                <w:rFonts w:hint="eastAsia" w:cs="Times New Roman"/>
                <w:b/>
                <w:color w:val="000000"/>
                <w:kern w:val="0"/>
                <w:sz w:val="21"/>
                <w:szCs w:val="21"/>
                <w14:ligatures w14:val="none"/>
              </w:rPr>
              <w:t>搬迁时序</w:t>
            </w:r>
          </w:p>
        </w:tc>
        <w:tc>
          <w:tcPr>
            <w:tcW w:w="1624" w:type="pct"/>
            <w:vAlign w:val="center"/>
          </w:tcPr>
          <w:p w14:paraId="24FA5A6F">
            <w:pPr>
              <w:widowControl/>
              <w:spacing w:line="240" w:lineRule="auto"/>
              <w:ind w:firstLine="0" w:firstLineChars="0"/>
              <w:jc w:val="center"/>
              <w:rPr>
                <w:rFonts w:cs="Times New Roman"/>
                <w:b/>
                <w:color w:val="000000"/>
                <w:kern w:val="0"/>
                <w:sz w:val="21"/>
                <w:szCs w:val="21"/>
                <w14:ligatures w14:val="none"/>
              </w:rPr>
            </w:pPr>
            <w:r>
              <w:rPr>
                <w:rFonts w:hint="eastAsia" w:cs="Times New Roman"/>
                <w:b/>
                <w:color w:val="000000"/>
                <w:kern w:val="0"/>
                <w:sz w:val="21"/>
                <w:szCs w:val="21"/>
                <w14:ligatures w14:val="none"/>
              </w:rPr>
              <w:t>名称</w:t>
            </w:r>
          </w:p>
        </w:tc>
        <w:tc>
          <w:tcPr>
            <w:tcW w:w="769" w:type="pct"/>
            <w:vAlign w:val="center"/>
          </w:tcPr>
          <w:p w14:paraId="336C22A0">
            <w:pPr>
              <w:widowControl/>
              <w:spacing w:line="240" w:lineRule="auto"/>
              <w:ind w:firstLine="0" w:firstLineChars="0"/>
              <w:jc w:val="center"/>
              <w:rPr>
                <w:rFonts w:cs="Times New Roman"/>
                <w:b/>
                <w:color w:val="000000"/>
                <w:kern w:val="0"/>
                <w:sz w:val="21"/>
                <w:szCs w:val="21"/>
                <w14:ligatures w14:val="none"/>
              </w:rPr>
            </w:pPr>
            <w:r>
              <w:rPr>
                <w:rFonts w:hint="eastAsia" w:cs="Times New Roman"/>
                <w:b/>
                <w:color w:val="000000"/>
                <w:kern w:val="0"/>
                <w:sz w:val="21"/>
                <w:szCs w:val="21"/>
                <w14:ligatures w14:val="none"/>
              </w:rPr>
              <w:t>是否有排污许可</w:t>
            </w:r>
          </w:p>
        </w:tc>
        <w:tc>
          <w:tcPr>
            <w:tcW w:w="559" w:type="pct"/>
            <w:vAlign w:val="center"/>
          </w:tcPr>
          <w:p w14:paraId="567926D8">
            <w:pPr>
              <w:widowControl/>
              <w:spacing w:line="240" w:lineRule="auto"/>
              <w:ind w:firstLine="0" w:firstLineChars="0"/>
              <w:jc w:val="center"/>
              <w:rPr>
                <w:rFonts w:cs="Times New Roman"/>
                <w:b/>
                <w:color w:val="000000"/>
                <w:kern w:val="0"/>
                <w:sz w:val="21"/>
                <w:szCs w:val="21"/>
                <w14:ligatures w14:val="none"/>
              </w:rPr>
            </w:pPr>
            <w:r>
              <w:rPr>
                <w:rFonts w:hint="eastAsia" w:cs="Times New Roman"/>
                <w:b/>
                <w:color w:val="000000"/>
                <w:kern w:val="0"/>
                <w:sz w:val="21"/>
                <w:szCs w:val="21"/>
                <w14:ligatures w14:val="none"/>
              </w:rPr>
              <w:t>是否有环评</w:t>
            </w:r>
          </w:p>
        </w:tc>
        <w:tc>
          <w:tcPr>
            <w:tcW w:w="1367" w:type="pct"/>
            <w:vAlign w:val="center"/>
          </w:tcPr>
          <w:p w14:paraId="00D41AB1">
            <w:pPr>
              <w:widowControl/>
              <w:spacing w:line="240" w:lineRule="auto"/>
              <w:ind w:firstLine="0" w:firstLineChars="0"/>
              <w:jc w:val="center"/>
              <w:rPr>
                <w:rFonts w:cs="Times New Roman"/>
                <w:b/>
                <w:color w:val="000000"/>
                <w:kern w:val="0"/>
                <w:sz w:val="21"/>
                <w:szCs w:val="21"/>
                <w14:ligatures w14:val="none"/>
              </w:rPr>
            </w:pPr>
            <w:r>
              <w:rPr>
                <w:rFonts w:hint="eastAsia" w:cs="Times New Roman"/>
                <w:b/>
                <w:color w:val="000000"/>
                <w:kern w:val="0"/>
                <w:sz w:val="21"/>
                <w:szCs w:val="21"/>
                <w14:ligatures w14:val="none"/>
              </w:rPr>
              <w:t>退出原则</w:t>
            </w:r>
          </w:p>
        </w:tc>
      </w:tr>
      <w:tr w14:paraId="61DBE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restart"/>
            <w:vAlign w:val="center"/>
          </w:tcPr>
          <w:p w14:paraId="6FB7562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2030年底前</w:t>
            </w:r>
          </w:p>
        </w:tc>
        <w:tc>
          <w:tcPr>
            <w:tcW w:w="1624" w:type="pct"/>
            <w:vAlign w:val="center"/>
          </w:tcPr>
          <w:p w14:paraId="677155C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常州市金坛创新建材有限公司</w:t>
            </w:r>
          </w:p>
        </w:tc>
        <w:tc>
          <w:tcPr>
            <w:tcW w:w="769" w:type="pct"/>
            <w:vAlign w:val="center"/>
          </w:tcPr>
          <w:p w14:paraId="01F3DED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是</w:t>
            </w:r>
          </w:p>
        </w:tc>
        <w:tc>
          <w:tcPr>
            <w:tcW w:w="559" w:type="pct"/>
            <w:vAlign w:val="center"/>
          </w:tcPr>
          <w:p w14:paraId="03B90FD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是</w:t>
            </w:r>
          </w:p>
        </w:tc>
        <w:tc>
          <w:tcPr>
            <w:tcW w:w="1367" w:type="pct"/>
            <w:vMerge w:val="restart"/>
            <w:vAlign w:val="center"/>
          </w:tcPr>
          <w:p w14:paraId="6DA158E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短期内以整治提升为主，长期关停/搬迁</w:t>
            </w:r>
          </w:p>
        </w:tc>
      </w:tr>
      <w:tr w14:paraId="1AF55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4D117D88">
            <w:pPr>
              <w:widowControl/>
              <w:spacing w:line="240" w:lineRule="auto"/>
              <w:ind w:firstLine="0" w:firstLineChars="0"/>
              <w:jc w:val="center"/>
              <w:rPr>
                <w:rFonts w:cs="Times New Roman"/>
                <w:color w:val="000000"/>
                <w:kern w:val="0"/>
                <w:sz w:val="21"/>
                <w:szCs w:val="21"/>
                <w14:ligatures w14:val="none"/>
              </w:rPr>
            </w:pPr>
          </w:p>
        </w:tc>
        <w:tc>
          <w:tcPr>
            <w:tcW w:w="1624" w:type="pct"/>
            <w:vAlign w:val="center"/>
          </w:tcPr>
          <w:p w14:paraId="3309A83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常州市金坛鼎盛建材厂</w:t>
            </w:r>
          </w:p>
        </w:tc>
        <w:tc>
          <w:tcPr>
            <w:tcW w:w="769" w:type="pct"/>
            <w:vAlign w:val="center"/>
          </w:tcPr>
          <w:p w14:paraId="14872FB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是</w:t>
            </w:r>
          </w:p>
        </w:tc>
        <w:tc>
          <w:tcPr>
            <w:tcW w:w="559" w:type="pct"/>
            <w:vAlign w:val="center"/>
          </w:tcPr>
          <w:p w14:paraId="213DF18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是</w:t>
            </w:r>
          </w:p>
        </w:tc>
        <w:tc>
          <w:tcPr>
            <w:tcW w:w="1367" w:type="pct"/>
            <w:vMerge w:val="continue"/>
            <w:vAlign w:val="center"/>
          </w:tcPr>
          <w:p w14:paraId="60684393">
            <w:pPr>
              <w:widowControl/>
              <w:spacing w:line="240" w:lineRule="auto"/>
              <w:ind w:firstLine="0" w:firstLineChars="0"/>
              <w:jc w:val="center"/>
              <w:rPr>
                <w:rFonts w:cs="Times New Roman"/>
                <w:color w:val="000000"/>
                <w:kern w:val="0"/>
                <w:sz w:val="21"/>
                <w:szCs w:val="21"/>
                <w14:ligatures w14:val="none"/>
              </w:rPr>
            </w:pPr>
          </w:p>
        </w:tc>
      </w:tr>
      <w:tr w14:paraId="2040A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50E5215F">
            <w:pPr>
              <w:widowControl/>
              <w:spacing w:line="240" w:lineRule="auto"/>
              <w:ind w:firstLine="0" w:firstLineChars="0"/>
              <w:jc w:val="center"/>
              <w:rPr>
                <w:rFonts w:cs="Times New Roman"/>
                <w:color w:val="000000"/>
                <w:kern w:val="0"/>
                <w:sz w:val="21"/>
                <w:szCs w:val="21"/>
                <w14:ligatures w14:val="none"/>
              </w:rPr>
            </w:pPr>
          </w:p>
        </w:tc>
        <w:tc>
          <w:tcPr>
            <w:tcW w:w="1624" w:type="pct"/>
            <w:vAlign w:val="center"/>
          </w:tcPr>
          <w:p w14:paraId="013E0A9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常州金坛江豚钙业有限公司</w:t>
            </w:r>
          </w:p>
        </w:tc>
        <w:tc>
          <w:tcPr>
            <w:tcW w:w="769" w:type="pct"/>
            <w:vAlign w:val="center"/>
          </w:tcPr>
          <w:p w14:paraId="4428E48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是</w:t>
            </w:r>
          </w:p>
        </w:tc>
        <w:tc>
          <w:tcPr>
            <w:tcW w:w="559" w:type="pct"/>
            <w:vAlign w:val="center"/>
          </w:tcPr>
          <w:p w14:paraId="6FD2CB5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是</w:t>
            </w:r>
          </w:p>
        </w:tc>
        <w:tc>
          <w:tcPr>
            <w:tcW w:w="1367" w:type="pct"/>
            <w:vMerge w:val="continue"/>
            <w:vAlign w:val="center"/>
          </w:tcPr>
          <w:p w14:paraId="04CF501A">
            <w:pPr>
              <w:widowControl/>
              <w:spacing w:line="240" w:lineRule="auto"/>
              <w:ind w:firstLine="0" w:firstLineChars="0"/>
              <w:jc w:val="center"/>
              <w:rPr>
                <w:rFonts w:cs="Times New Roman"/>
                <w:color w:val="000000"/>
                <w:kern w:val="0"/>
                <w:sz w:val="21"/>
                <w:szCs w:val="21"/>
                <w14:ligatures w14:val="none"/>
              </w:rPr>
            </w:pPr>
          </w:p>
        </w:tc>
      </w:tr>
      <w:tr w14:paraId="141AA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680" w:type="pct"/>
            <w:vMerge w:val="continue"/>
            <w:vAlign w:val="center"/>
          </w:tcPr>
          <w:p w14:paraId="6C8EAC8A">
            <w:pPr>
              <w:widowControl/>
              <w:spacing w:line="240" w:lineRule="auto"/>
              <w:ind w:firstLine="0" w:firstLineChars="0"/>
              <w:jc w:val="center"/>
              <w:rPr>
                <w:rFonts w:cs="Times New Roman"/>
                <w:color w:val="000000"/>
                <w:kern w:val="0"/>
                <w:sz w:val="21"/>
                <w:szCs w:val="21"/>
                <w14:ligatures w14:val="none"/>
              </w:rPr>
            </w:pPr>
          </w:p>
        </w:tc>
        <w:tc>
          <w:tcPr>
            <w:tcW w:w="1624" w:type="pct"/>
            <w:vAlign w:val="center"/>
          </w:tcPr>
          <w:p w14:paraId="387E28F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金坛东运钙业有限公司</w:t>
            </w:r>
          </w:p>
        </w:tc>
        <w:tc>
          <w:tcPr>
            <w:tcW w:w="769" w:type="pct"/>
            <w:vAlign w:val="center"/>
          </w:tcPr>
          <w:p w14:paraId="5AF73951">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是</w:t>
            </w:r>
          </w:p>
        </w:tc>
        <w:tc>
          <w:tcPr>
            <w:tcW w:w="559" w:type="pct"/>
            <w:vAlign w:val="center"/>
          </w:tcPr>
          <w:p w14:paraId="595EB63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是</w:t>
            </w:r>
          </w:p>
        </w:tc>
        <w:tc>
          <w:tcPr>
            <w:tcW w:w="1367" w:type="pct"/>
            <w:vMerge w:val="continue"/>
            <w:vAlign w:val="center"/>
          </w:tcPr>
          <w:p w14:paraId="21820586">
            <w:pPr>
              <w:widowControl/>
              <w:spacing w:line="240" w:lineRule="auto"/>
              <w:ind w:firstLine="0" w:firstLineChars="0"/>
              <w:jc w:val="center"/>
              <w:rPr>
                <w:rFonts w:cs="Times New Roman"/>
                <w:color w:val="000000"/>
                <w:kern w:val="0"/>
                <w:sz w:val="21"/>
                <w:szCs w:val="21"/>
                <w14:ligatures w14:val="none"/>
              </w:rPr>
            </w:pPr>
          </w:p>
        </w:tc>
      </w:tr>
      <w:tr w14:paraId="49E1D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680" w:type="pct"/>
            <w:vMerge w:val="continue"/>
            <w:vAlign w:val="center"/>
          </w:tcPr>
          <w:p w14:paraId="5D2471AC">
            <w:pPr>
              <w:widowControl/>
              <w:spacing w:line="240" w:lineRule="auto"/>
              <w:ind w:firstLine="0" w:firstLineChars="0"/>
              <w:jc w:val="center"/>
              <w:rPr>
                <w:rFonts w:cs="Times New Roman"/>
                <w:color w:val="000000"/>
                <w:kern w:val="0"/>
                <w:sz w:val="21"/>
                <w:szCs w:val="21"/>
                <w14:ligatures w14:val="none"/>
              </w:rPr>
            </w:pPr>
          </w:p>
        </w:tc>
        <w:tc>
          <w:tcPr>
            <w:tcW w:w="1624" w:type="pct"/>
            <w:vAlign w:val="center"/>
          </w:tcPr>
          <w:p w14:paraId="5A29CAC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常州市金坛区新朋建筑材料厂（普通合伙）</w:t>
            </w:r>
          </w:p>
        </w:tc>
        <w:tc>
          <w:tcPr>
            <w:tcW w:w="769" w:type="pct"/>
            <w:vAlign w:val="center"/>
          </w:tcPr>
          <w:p w14:paraId="1054C801">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是</w:t>
            </w:r>
          </w:p>
        </w:tc>
        <w:tc>
          <w:tcPr>
            <w:tcW w:w="559" w:type="pct"/>
            <w:vAlign w:val="center"/>
          </w:tcPr>
          <w:p w14:paraId="1F89791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是</w:t>
            </w:r>
          </w:p>
        </w:tc>
        <w:tc>
          <w:tcPr>
            <w:tcW w:w="1367" w:type="pct"/>
            <w:vAlign w:val="center"/>
          </w:tcPr>
          <w:p w14:paraId="77F695E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w:t>
            </w:r>
          </w:p>
        </w:tc>
      </w:tr>
      <w:tr w14:paraId="483BD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restart"/>
            <w:vAlign w:val="center"/>
          </w:tcPr>
          <w:p w14:paraId="77A1151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2035年底前</w:t>
            </w:r>
          </w:p>
        </w:tc>
        <w:tc>
          <w:tcPr>
            <w:tcW w:w="1624" w:type="pct"/>
            <w:vAlign w:val="center"/>
          </w:tcPr>
          <w:p w14:paraId="79B2620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金坛市金星包装有限公司</w:t>
            </w:r>
          </w:p>
        </w:tc>
        <w:tc>
          <w:tcPr>
            <w:tcW w:w="769" w:type="pct"/>
            <w:vAlign w:val="center"/>
          </w:tcPr>
          <w:p w14:paraId="4B68792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否</w:t>
            </w:r>
          </w:p>
        </w:tc>
        <w:tc>
          <w:tcPr>
            <w:tcW w:w="559" w:type="pct"/>
            <w:vAlign w:val="center"/>
          </w:tcPr>
          <w:p w14:paraId="01FC53F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否</w:t>
            </w:r>
          </w:p>
        </w:tc>
        <w:tc>
          <w:tcPr>
            <w:tcW w:w="1367" w:type="pct"/>
            <w:vMerge w:val="restart"/>
            <w:vAlign w:val="center"/>
          </w:tcPr>
          <w:p w14:paraId="482ED8B1">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根据企业自身经营状况引导其自主搬迁退出</w:t>
            </w:r>
          </w:p>
        </w:tc>
      </w:tr>
      <w:tr w14:paraId="091B2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3AF104FA">
            <w:pPr>
              <w:widowControl/>
              <w:spacing w:line="240" w:lineRule="auto"/>
              <w:ind w:firstLine="0" w:firstLineChars="0"/>
              <w:jc w:val="center"/>
              <w:rPr>
                <w:rFonts w:cs="Times New Roman"/>
                <w:color w:val="000000"/>
                <w:kern w:val="0"/>
                <w:sz w:val="21"/>
                <w:szCs w:val="21"/>
                <w14:ligatures w14:val="none"/>
              </w:rPr>
            </w:pPr>
          </w:p>
        </w:tc>
        <w:tc>
          <w:tcPr>
            <w:tcW w:w="1624" w:type="pct"/>
            <w:vAlign w:val="center"/>
          </w:tcPr>
          <w:p w14:paraId="4B58C8C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常州市金坛麦宝食品有限公司</w:t>
            </w:r>
          </w:p>
        </w:tc>
        <w:tc>
          <w:tcPr>
            <w:tcW w:w="769" w:type="pct"/>
            <w:vAlign w:val="center"/>
          </w:tcPr>
          <w:p w14:paraId="281B71F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否</w:t>
            </w:r>
          </w:p>
        </w:tc>
        <w:tc>
          <w:tcPr>
            <w:tcW w:w="559" w:type="pct"/>
            <w:vAlign w:val="center"/>
          </w:tcPr>
          <w:p w14:paraId="3FEF7A8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是</w:t>
            </w:r>
          </w:p>
        </w:tc>
        <w:tc>
          <w:tcPr>
            <w:tcW w:w="1367" w:type="pct"/>
            <w:vMerge w:val="continue"/>
            <w:vAlign w:val="center"/>
          </w:tcPr>
          <w:p w14:paraId="613D560D">
            <w:pPr>
              <w:widowControl/>
              <w:spacing w:line="240" w:lineRule="auto"/>
              <w:ind w:firstLine="0" w:firstLineChars="0"/>
              <w:jc w:val="center"/>
              <w:rPr>
                <w:rFonts w:cs="Times New Roman"/>
                <w:color w:val="000000"/>
                <w:kern w:val="0"/>
                <w:sz w:val="21"/>
                <w:szCs w:val="21"/>
                <w14:ligatures w14:val="none"/>
              </w:rPr>
            </w:pPr>
          </w:p>
        </w:tc>
      </w:tr>
      <w:tr w14:paraId="7461C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70CC8150">
            <w:pPr>
              <w:widowControl/>
              <w:spacing w:line="240" w:lineRule="auto"/>
              <w:ind w:firstLine="0" w:firstLineChars="0"/>
              <w:jc w:val="center"/>
              <w:rPr>
                <w:rFonts w:cs="Times New Roman"/>
                <w:color w:val="000000"/>
                <w:kern w:val="0"/>
                <w:sz w:val="21"/>
                <w:szCs w:val="21"/>
                <w14:ligatures w14:val="none"/>
              </w:rPr>
            </w:pPr>
          </w:p>
        </w:tc>
        <w:tc>
          <w:tcPr>
            <w:tcW w:w="1624" w:type="pct"/>
            <w:vAlign w:val="center"/>
          </w:tcPr>
          <w:p w14:paraId="7089D53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金坛市金陶农配有限公司</w:t>
            </w:r>
          </w:p>
        </w:tc>
        <w:tc>
          <w:tcPr>
            <w:tcW w:w="769" w:type="pct"/>
            <w:vAlign w:val="center"/>
          </w:tcPr>
          <w:p w14:paraId="72C69D0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否</w:t>
            </w:r>
          </w:p>
        </w:tc>
        <w:tc>
          <w:tcPr>
            <w:tcW w:w="559" w:type="pct"/>
            <w:vAlign w:val="center"/>
          </w:tcPr>
          <w:p w14:paraId="488369A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是</w:t>
            </w:r>
          </w:p>
        </w:tc>
        <w:tc>
          <w:tcPr>
            <w:tcW w:w="1367" w:type="pct"/>
            <w:vMerge w:val="continue"/>
            <w:vAlign w:val="center"/>
          </w:tcPr>
          <w:p w14:paraId="74798149">
            <w:pPr>
              <w:widowControl/>
              <w:spacing w:line="240" w:lineRule="auto"/>
              <w:ind w:firstLine="0" w:firstLineChars="0"/>
              <w:jc w:val="center"/>
              <w:rPr>
                <w:rFonts w:cs="Times New Roman"/>
                <w:color w:val="000000"/>
                <w:kern w:val="0"/>
                <w:sz w:val="21"/>
                <w:szCs w:val="21"/>
                <w14:ligatures w14:val="none"/>
              </w:rPr>
            </w:pPr>
          </w:p>
        </w:tc>
      </w:tr>
    </w:tbl>
    <w:p w14:paraId="664C2D78">
      <w:pPr>
        <w:ind w:firstLine="0" w:firstLineChars="0"/>
        <w:outlineLvl w:val="3"/>
      </w:pPr>
      <w:r>
        <w:t>3</w:t>
      </w:r>
      <w:r>
        <w:rPr>
          <w:rFonts w:hint="eastAsia"/>
        </w:rPr>
        <w:t>.</w:t>
      </w:r>
      <w:r>
        <w:t>4</w:t>
      </w:r>
      <w:r>
        <w:rPr>
          <w:rFonts w:hint="eastAsia"/>
        </w:rPr>
        <w:t>.</w:t>
      </w:r>
      <w:r>
        <w:t>4</w:t>
      </w:r>
      <w:r>
        <w:rPr>
          <w:rFonts w:hint="eastAsia"/>
        </w:rPr>
        <w:t>.</w:t>
      </w:r>
      <w:r>
        <w:t>3</w:t>
      </w:r>
      <w:r>
        <w:rPr>
          <w:rFonts w:hint="eastAsia"/>
        </w:rPr>
        <w:t>企业项目环保要求执行情况</w:t>
      </w:r>
    </w:p>
    <w:p w14:paraId="137935EE">
      <w:pPr>
        <w:ind w:firstLine="480"/>
        <w:sectPr>
          <w:pgSz w:w="11906" w:h="16838"/>
          <w:pgMar w:top="1440" w:right="1800" w:bottom="1440" w:left="1800" w:header="851" w:footer="992" w:gutter="0"/>
          <w:cols w:space="425" w:num="1"/>
          <w:docGrid w:type="lines" w:linePitch="312" w:charSpace="0"/>
        </w:sectPr>
      </w:pPr>
      <w:r>
        <w:rPr>
          <w:rFonts w:hint="eastAsia"/>
        </w:rPr>
        <w:t>根据度假区提供的资料，结合企业现场调查，目前度假区内现状工业企业项目共8个，其中金坛市金星包装有限公司主要生产塑料、纸质包装，不涉及建设项目环境影响评价分类管理名录中需开展环境影响评价的生产原料及工艺，无需开展环境影响评价；其余企业项目均已履行环评手续，环评执行率为100%。目前已有6个项目完成“三同时”验收，其中金坛东运钙业有限公司仅完成部分验收；5家建材企业均已申领排污许可证，并按照排污许可管理要求开展规范化管理。</w:t>
      </w:r>
    </w:p>
    <w:p w14:paraId="2C169D11">
      <w:pPr>
        <w:pStyle w:val="45"/>
        <w:rPr>
          <w:rFonts w:cs="Times New Roman"/>
        </w:rPr>
      </w:pPr>
      <w:r>
        <w:rPr>
          <w:rFonts w:hint="eastAsia" w:cs="Times New Roman"/>
        </w:rPr>
        <w:t>表3.</w:t>
      </w:r>
      <w:r>
        <w:rPr>
          <w:rFonts w:cs="Times New Roman"/>
        </w:rPr>
        <w:t>4</w:t>
      </w:r>
      <w:r>
        <w:rPr>
          <w:rFonts w:hint="eastAsia" w:cs="Times New Roman"/>
        </w:rPr>
        <w:t xml:space="preserve">-16 </w:t>
      </w:r>
      <w:r>
        <w:rPr>
          <w:rFonts w:cs="Times New Roman"/>
        </w:rPr>
        <w:t xml:space="preserve"> </w:t>
      </w:r>
      <w:r>
        <w:rPr>
          <w:rFonts w:hint="eastAsia" w:cs="Times New Roman"/>
        </w:rPr>
        <w:t>度假区内现状企业环保手续一览表</w:t>
      </w:r>
    </w:p>
    <w:tbl>
      <w:tblPr>
        <w:tblStyle w:val="25"/>
        <w:tblW w:w="5271" w:type="pct"/>
        <w:tblInd w:w="-431" w:type="dxa"/>
        <w:tblLayout w:type="fixed"/>
        <w:tblCellMar>
          <w:top w:w="0" w:type="dxa"/>
          <w:left w:w="108" w:type="dxa"/>
          <w:bottom w:w="0" w:type="dxa"/>
          <w:right w:w="108" w:type="dxa"/>
        </w:tblCellMar>
      </w:tblPr>
      <w:tblGrid>
        <w:gridCol w:w="452"/>
        <w:gridCol w:w="1857"/>
        <w:gridCol w:w="1148"/>
        <w:gridCol w:w="1728"/>
        <w:gridCol w:w="893"/>
        <w:gridCol w:w="3557"/>
        <w:gridCol w:w="2860"/>
        <w:gridCol w:w="2448"/>
      </w:tblGrid>
      <w:tr w14:paraId="1B6177FB">
        <w:tblPrEx>
          <w:tblCellMar>
            <w:top w:w="0" w:type="dxa"/>
            <w:left w:w="108" w:type="dxa"/>
            <w:bottom w:w="0" w:type="dxa"/>
            <w:right w:w="108" w:type="dxa"/>
          </w:tblCellMar>
        </w:tblPrEx>
        <w:trPr>
          <w:trHeight w:val="570" w:hRule="atLeast"/>
          <w:tblHeader/>
        </w:trPr>
        <w:tc>
          <w:tcPr>
            <w:tcW w:w="151" w:type="pct"/>
            <w:tcBorders>
              <w:top w:val="single" w:color="auto" w:sz="4" w:space="0"/>
              <w:left w:val="single" w:color="auto" w:sz="4" w:space="0"/>
              <w:bottom w:val="single" w:color="auto" w:sz="4" w:space="0"/>
              <w:right w:val="single" w:color="auto" w:sz="4" w:space="0"/>
            </w:tcBorders>
            <w:vAlign w:val="center"/>
          </w:tcPr>
          <w:p w14:paraId="7A945217">
            <w:pPr>
              <w:widowControl/>
              <w:spacing w:line="240" w:lineRule="auto"/>
              <w:ind w:firstLine="0" w:firstLineChars="0"/>
              <w:jc w:val="center"/>
              <w:rPr>
                <w:rFonts w:cs="Times New Roman"/>
                <w:b/>
                <w:bCs/>
                <w:color w:val="000000"/>
                <w:kern w:val="0"/>
                <w:sz w:val="22"/>
                <w14:ligatures w14:val="none"/>
              </w:rPr>
            </w:pPr>
            <w:bookmarkStart w:id="70" w:name="_Hlk166677549"/>
            <w:r>
              <w:rPr>
                <w:rFonts w:hint="eastAsia" w:cs="Times New Roman"/>
                <w:b/>
                <w:bCs/>
                <w:color w:val="000000"/>
                <w:kern w:val="0"/>
                <w:sz w:val="22"/>
                <w14:ligatures w14:val="none"/>
              </w:rPr>
              <w:t>序号</w:t>
            </w:r>
          </w:p>
        </w:tc>
        <w:tc>
          <w:tcPr>
            <w:tcW w:w="621" w:type="pct"/>
            <w:tcBorders>
              <w:top w:val="single" w:color="auto" w:sz="4" w:space="0"/>
              <w:left w:val="nil"/>
              <w:bottom w:val="single" w:color="auto" w:sz="4" w:space="0"/>
              <w:right w:val="single" w:color="auto" w:sz="4" w:space="0"/>
            </w:tcBorders>
            <w:vAlign w:val="center"/>
          </w:tcPr>
          <w:p w14:paraId="271E300C">
            <w:pPr>
              <w:widowControl/>
              <w:spacing w:line="240" w:lineRule="auto"/>
              <w:ind w:firstLine="0" w:firstLineChars="0"/>
              <w:jc w:val="center"/>
              <w:rPr>
                <w:rFonts w:cs="Times New Roman"/>
                <w:b/>
                <w:bCs/>
                <w:color w:val="000000"/>
                <w:kern w:val="0"/>
                <w:sz w:val="22"/>
                <w14:ligatures w14:val="none"/>
              </w:rPr>
            </w:pPr>
            <w:r>
              <w:rPr>
                <w:rFonts w:hint="eastAsia" w:cs="Times New Roman"/>
                <w:b/>
                <w:bCs/>
                <w:color w:val="000000"/>
                <w:kern w:val="0"/>
                <w:sz w:val="22"/>
                <w14:ligatures w14:val="none"/>
              </w:rPr>
              <w:t>名称</w:t>
            </w:r>
          </w:p>
        </w:tc>
        <w:tc>
          <w:tcPr>
            <w:tcW w:w="384" w:type="pct"/>
            <w:tcBorders>
              <w:top w:val="single" w:color="auto" w:sz="4" w:space="0"/>
              <w:left w:val="nil"/>
              <w:bottom w:val="single" w:color="auto" w:sz="4" w:space="0"/>
              <w:right w:val="single" w:color="auto" w:sz="4" w:space="0"/>
            </w:tcBorders>
            <w:vAlign w:val="center"/>
          </w:tcPr>
          <w:p w14:paraId="4C260138">
            <w:pPr>
              <w:widowControl/>
              <w:spacing w:line="240" w:lineRule="auto"/>
              <w:ind w:firstLine="0" w:firstLineChars="0"/>
              <w:jc w:val="center"/>
              <w:rPr>
                <w:rFonts w:cs="Times New Roman"/>
                <w:b/>
                <w:bCs/>
                <w:color w:val="000000"/>
                <w:kern w:val="0"/>
                <w:sz w:val="22"/>
                <w14:ligatures w14:val="none"/>
              </w:rPr>
            </w:pPr>
            <w:r>
              <w:rPr>
                <w:rFonts w:hint="eastAsia" w:cs="Times New Roman"/>
                <w:b/>
                <w:bCs/>
                <w:color w:val="000000"/>
                <w:kern w:val="0"/>
                <w:sz w:val="22"/>
                <w14:ligatures w14:val="none"/>
              </w:rPr>
              <w:t>是否有排污许可</w:t>
            </w:r>
          </w:p>
        </w:tc>
        <w:tc>
          <w:tcPr>
            <w:tcW w:w="578" w:type="pct"/>
            <w:tcBorders>
              <w:top w:val="single" w:color="auto" w:sz="4" w:space="0"/>
              <w:left w:val="nil"/>
              <w:bottom w:val="single" w:color="auto" w:sz="4" w:space="0"/>
              <w:right w:val="single" w:color="auto" w:sz="4" w:space="0"/>
            </w:tcBorders>
            <w:vAlign w:val="center"/>
          </w:tcPr>
          <w:p w14:paraId="69099869">
            <w:pPr>
              <w:widowControl/>
              <w:spacing w:line="240" w:lineRule="auto"/>
              <w:ind w:firstLine="0" w:firstLineChars="0"/>
              <w:jc w:val="center"/>
              <w:rPr>
                <w:rFonts w:cs="Times New Roman"/>
                <w:b/>
                <w:bCs/>
                <w:color w:val="000000"/>
                <w:kern w:val="0"/>
                <w:sz w:val="22"/>
                <w14:ligatures w14:val="none"/>
              </w:rPr>
            </w:pPr>
            <w:r>
              <w:rPr>
                <w:rFonts w:hint="eastAsia" w:cs="Times New Roman"/>
                <w:b/>
                <w:bCs/>
                <w:color w:val="000000"/>
                <w:kern w:val="0"/>
                <w:sz w:val="22"/>
                <w14:ligatures w14:val="none"/>
              </w:rPr>
              <w:t>排污许可编号</w:t>
            </w:r>
          </w:p>
        </w:tc>
        <w:tc>
          <w:tcPr>
            <w:tcW w:w="299" w:type="pct"/>
            <w:tcBorders>
              <w:top w:val="single" w:color="auto" w:sz="4" w:space="0"/>
              <w:left w:val="nil"/>
              <w:bottom w:val="single" w:color="auto" w:sz="4" w:space="0"/>
              <w:right w:val="single" w:color="auto" w:sz="4" w:space="0"/>
            </w:tcBorders>
            <w:vAlign w:val="center"/>
          </w:tcPr>
          <w:p w14:paraId="3028D088">
            <w:pPr>
              <w:widowControl/>
              <w:spacing w:line="240" w:lineRule="auto"/>
              <w:ind w:firstLine="0" w:firstLineChars="0"/>
              <w:jc w:val="center"/>
              <w:rPr>
                <w:rFonts w:cs="Times New Roman"/>
                <w:b/>
                <w:bCs/>
                <w:color w:val="000000"/>
                <w:kern w:val="0"/>
                <w:sz w:val="22"/>
                <w14:ligatures w14:val="none"/>
              </w:rPr>
            </w:pPr>
            <w:r>
              <w:rPr>
                <w:rFonts w:hint="eastAsia" w:cs="Times New Roman"/>
                <w:b/>
                <w:bCs/>
                <w:color w:val="000000"/>
                <w:kern w:val="0"/>
                <w:sz w:val="22"/>
                <w14:ligatures w14:val="none"/>
              </w:rPr>
              <w:t>是否有环评</w:t>
            </w:r>
          </w:p>
        </w:tc>
        <w:tc>
          <w:tcPr>
            <w:tcW w:w="1189" w:type="pct"/>
            <w:tcBorders>
              <w:top w:val="single" w:color="auto" w:sz="4" w:space="0"/>
              <w:left w:val="nil"/>
              <w:bottom w:val="single" w:color="auto" w:sz="4" w:space="0"/>
              <w:right w:val="single" w:color="auto" w:sz="4" w:space="0"/>
            </w:tcBorders>
            <w:vAlign w:val="center"/>
          </w:tcPr>
          <w:p w14:paraId="28D4C9D3">
            <w:pPr>
              <w:widowControl/>
              <w:spacing w:line="240" w:lineRule="auto"/>
              <w:ind w:firstLine="0" w:firstLineChars="0"/>
              <w:jc w:val="center"/>
              <w:rPr>
                <w:rFonts w:cs="Times New Roman"/>
                <w:b/>
                <w:bCs/>
                <w:color w:val="000000"/>
                <w:kern w:val="0"/>
                <w:sz w:val="22"/>
                <w14:ligatures w14:val="none"/>
              </w:rPr>
            </w:pPr>
            <w:r>
              <w:rPr>
                <w:rFonts w:hint="eastAsia" w:cs="Times New Roman"/>
                <w:b/>
                <w:bCs/>
                <w:color w:val="000000"/>
                <w:kern w:val="0"/>
                <w:sz w:val="22"/>
                <w14:ligatures w14:val="none"/>
              </w:rPr>
              <w:t>环评项目名称</w:t>
            </w:r>
          </w:p>
        </w:tc>
        <w:tc>
          <w:tcPr>
            <w:tcW w:w="956" w:type="pct"/>
            <w:tcBorders>
              <w:top w:val="single" w:color="auto" w:sz="4" w:space="0"/>
              <w:left w:val="nil"/>
              <w:bottom w:val="single" w:color="auto" w:sz="4" w:space="0"/>
              <w:right w:val="single" w:color="auto" w:sz="4" w:space="0"/>
            </w:tcBorders>
            <w:vAlign w:val="center"/>
          </w:tcPr>
          <w:p w14:paraId="064F6405">
            <w:pPr>
              <w:widowControl/>
              <w:spacing w:line="240" w:lineRule="auto"/>
              <w:ind w:firstLine="0" w:firstLineChars="0"/>
              <w:jc w:val="center"/>
              <w:rPr>
                <w:rFonts w:cs="Times New Roman"/>
                <w:b/>
                <w:bCs/>
                <w:color w:val="000000"/>
                <w:kern w:val="0"/>
                <w:sz w:val="22"/>
                <w14:ligatures w14:val="none"/>
              </w:rPr>
            </w:pPr>
            <w:r>
              <w:rPr>
                <w:rFonts w:hint="eastAsia" w:cs="Times New Roman"/>
                <w:b/>
                <w:bCs/>
                <w:color w:val="000000"/>
                <w:kern w:val="0"/>
                <w:sz w:val="22"/>
                <w14:ligatures w14:val="none"/>
              </w:rPr>
              <w:t>环评批复文号和时间</w:t>
            </w:r>
          </w:p>
        </w:tc>
        <w:tc>
          <w:tcPr>
            <w:tcW w:w="818" w:type="pct"/>
            <w:tcBorders>
              <w:top w:val="single" w:color="auto" w:sz="4" w:space="0"/>
              <w:left w:val="nil"/>
              <w:bottom w:val="single" w:color="auto" w:sz="4" w:space="0"/>
              <w:right w:val="single" w:color="auto" w:sz="4" w:space="0"/>
            </w:tcBorders>
            <w:vAlign w:val="center"/>
          </w:tcPr>
          <w:p w14:paraId="2EBCC86B">
            <w:pPr>
              <w:widowControl/>
              <w:spacing w:line="240" w:lineRule="auto"/>
              <w:ind w:firstLine="0" w:firstLineChars="0"/>
              <w:jc w:val="center"/>
              <w:rPr>
                <w:rFonts w:cs="Times New Roman"/>
                <w:b/>
                <w:bCs/>
                <w:color w:val="000000"/>
                <w:kern w:val="0"/>
                <w:sz w:val="22"/>
                <w14:ligatures w14:val="none"/>
              </w:rPr>
            </w:pPr>
            <w:r>
              <w:rPr>
                <w:rFonts w:hint="eastAsia" w:cs="Times New Roman"/>
                <w:b/>
                <w:bCs/>
                <w:color w:val="000000"/>
                <w:kern w:val="0"/>
                <w:sz w:val="22"/>
                <w14:ligatures w14:val="none"/>
              </w:rPr>
              <w:t>“三同时”验收文号及时间</w:t>
            </w:r>
          </w:p>
        </w:tc>
      </w:tr>
      <w:tr w14:paraId="353B4CFF">
        <w:tblPrEx>
          <w:tblCellMar>
            <w:top w:w="0" w:type="dxa"/>
            <w:left w:w="108" w:type="dxa"/>
            <w:bottom w:w="0" w:type="dxa"/>
            <w:right w:w="108" w:type="dxa"/>
          </w:tblCellMar>
        </w:tblPrEx>
        <w:trPr>
          <w:trHeight w:val="285" w:hRule="atLeast"/>
        </w:trPr>
        <w:tc>
          <w:tcPr>
            <w:tcW w:w="151" w:type="pct"/>
            <w:tcBorders>
              <w:top w:val="nil"/>
              <w:left w:val="single" w:color="auto" w:sz="4" w:space="0"/>
              <w:bottom w:val="single" w:color="auto" w:sz="4" w:space="0"/>
              <w:right w:val="single" w:color="auto" w:sz="4" w:space="0"/>
            </w:tcBorders>
            <w:vAlign w:val="center"/>
          </w:tcPr>
          <w:p w14:paraId="05449A20">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1</w:t>
            </w:r>
          </w:p>
        </w:tc>
        <w:tc>
          <w:tcPr>
            <w:tcW w:w="621" w:type="pct"/>
            <w:tcBorders>
              <w:top w:val="nil"/>
              <w:left w:val="nil"/>
              <w:bottom w:val="single" w:color="auto" w:sz="4" w:space="0"/>
              <w:right w:val="single" w:color="auto" w:sz="4" w:space="0"/>
            </w:tcBorders>
            <w:vAlign w:val="center"/>
          </w:tcPr>
          <w:p w14:paraId="33D96B1C">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金坛市金星包装有限公司</w:t>
            </w:r>
          </w:p>
        </w:tc>
        <w:tc>
          <w:tcPr>
            <w:tcW w:w="384" w:type="pct"/>
            <w:tcBorders>
              <w:top w:val="nil"/>
              <w:left w:val="nil"/>
              <w:bottom w:val="single" w:color="auto" w:sz="4" w:space="0"/>
              <w:right w:val="single" w:color="auto" w:sz="4" w:space="0"/>
            </w:tcBorders>
            <w:vAlign w:val="center"/>
          </w:tcPr>
          <w:p w14:paraId="36EECE77">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否</w:t>
            </w:r>
          </w:p>
        </w:tc>
        <w:tc>
          <w:tcPr>
            <w:tcW w:w="578" w:type="pct"/>
            <w:tcBorders>
              <w:top w:val="nil"/>
              <w:left w:val="nil"/>
              <w:bottom w:val="single" w:color="auto" w:sz="4" w:space="0"/>
              <w:right w:val="single" w:color="auto" w:sz="4" w:space="0"/>
            </w:tcBorders>
            <w:vAlign w:val="center"/>
          </w:tcPr>
          <w:p w14:paraId="0273750A">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w:t>
            </w:r>
          </w:p>
        </w:tc>
        <w:tc>
          <w:tcPr>
            <w:tcW w:w="299" w:type="pct"/>
            <w:tcBorders>
              <w:top w:val="nil"/>
              <w:left w:val="nil"/>
              <w:bottom w:val="single" w:color="auto" w:sz="4" w:space="0"/>
              <w:right w:val="single" w:color="auto" w:sz="4" w:space="0"/>
            </w:tcBorders>
            <w:vAlign w:val="center"/>
          </w:tcPr>
          <w:p w14:paraId="225DB0E4">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否</w:t>
            </w:r>
          </w:p>
        </w:tc>
        <w:tc>
          <w:tcPr>
            <w:tcW w:w="1189" w:type="pct"/>
            <w:tcBorders>
              <w:top w:val="nil"/>
              <w:left w:val="nil"/>
              <w:bottom w:val="single" w:color="auto" w:sz="4" w:space="0"/>
              <w:right w:val="single" w:color="auto" w:sz="4" w:space="0"/>
            </w:tcBorders>
            <w:vAlign w:val="center"/>
          </w:tcPr>
          <w:p w14:paraId="7F57CD67">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w:t>
            </w:r>
          </w:p>
        </w:tc>
        <w:tc>
          <w:tcPr>
            <w:tcW w:w="956" w:type="pct"/>
            <w:tcBorders>
              <w:top w:val="nil"/>
              <w:left w:val="nil"/>
              <w:bottom w:val="single" w:color="auto" w:sz="4" w:space="0"/>
              <w:right w:val="single" w:color="auto" w:sz="4" w:space="0"/>
            </w:tcBorders>
            <w:vAlign w:val="center"/>
          </w:tcPr>
          <w:p w14:paraId="666FF090">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w:t>
            </w:r>
          </w:p>
        </w:tc>
        <w:tc>
          <w:tcPr>
            <w:tcW w:w="818" w:type="pct"/>
            <w:tcBorders>
              <w:top w:val="nil"/>
              <w:left w:val="nil"/>
              <w:bottom w:val="single" w:color="auto" w:sz="4" w:space="0"/>
              <w:right w:val="single" w:color="auto" w:sz="4" w:space="0"/>
            </w:tcBorders>
            <w:vAlign w:val="center"/>
          </w:tcPr>
          <w:p w14:paraId="6F6C9FCC">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w:t>
            </w:r>
          </w:p>
        </w:tc>
      </w:tr>
      <w:tr w14:paraId="50E0D3F8">
        <w:tblPrEx>
          <w:tblCellMar>
            <w:top w:w="0" w:type="dxa"/>
            <w:left w:w="108" w:type="dxa"/>
            <w:bottom w:w="0" w:type="dxa"/>
            <w:right w:w="108" w:type="dxa"/>
          </w:tblCellMar>
        </w:tblPrEx>
        <w:trPr>
          <w:trHeight w:val="570" w:hRule="atLeast"/>
        </w:trPr>
        <w:tc>
          <w:tcPr>
            <w:tcW w:w="151" w:type="pct"/>
            <w:tcBorders>
              <w:top w:val="nil"/>
              <w:left w:val="single" w:color="auto" w:sz="4" w:space="0"/>
              <w:bottom w:val="single" w:color="auto" w:sz="4" w:space="0"/>
              <w:right w:val="single" w:color="auto" w:sz="4" w:space="0"/>
            </w:tcBorders>
            <w:vAlign w:val="center"/>
          </w:tcPr>
          <w:p w14:paraId="3F059E17">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2</w:t>
            </w:r>
          </w:p>
        </w:tc>
        <w:tc>
          <w:tcPr>
            <w:tcW w:w="621" w:type="pct"/>
            <w:tcBorders>
              <w:top w:val="nil"/>
              <w:left w:val="nil"/>
              <w:bottom w:val="single" w:color="auto" w:sz="4" w:space="0"/>
              <w:right w:val="single" w:color="auto" w:sz="4" w:space="0"/>
            </w:tcBorders>
            <w:vAlign w:val="center"/>
          </w:tcPr>
          <w:p w14:paraId="558EAED2">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常州市金坛麦宝食品有限公司</w:t>
            </w:r>
          </w:p>
        </w:tc>
        <w:tc>
          <w:tcPr>
            <w:tcW w:w="384" w:type="pct"/>
            <w:tcBorders>
              <w:top w:val="nil"/>
              <w:left w:val="nil"/>
              <w:bottom w:val="single" w:color="auto" w:sz="4" w:space="0"/>
              <w:right w:val="single" w:color="auto" w:sz="4" w:space="0"/>
            </w:tcBorders>
            <w:vAlign w:val="center"/>
          </w:tcPr>
          <w:p w14:paraId="5DD59FA7">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否</w:t>
            </w:r>
          </w:p>
        </w:tc>
        <w:tc>
          <w:tcPr>
            <w:tcW w:w="578" w:type="pct"/>
            <w:tcBorders>
              <w:top w:val="nil"/>
              <w:left w:val="nil"/>
              <w:bottom w:val="single" w:color="auto" w:sz="4" w:space="0"/>
              <w:right w:val="single" w:color="auto" w:sz="4" w:space="0"/>
            </w:tcBorders>
            <w:vAlign w:val="center"/>
          </w:tcPr>
          <w:p w14:paraId="675AC30D">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w:t>
            </w:r>
          </w:p>
        </w:tc>
        <w:tc>
          <w:tcPr>
            <w:tcW w:w="299" w:type="pct"/>
            <w:tcBorders>
              <w:top w:val="nil"/>
              <w:left w:val="nil"/>
              <w:bottom w:val="single" w:color="auto" w:sz="4" w:space="0"/>
              <w:right w:val="single" w:color="auto" w:sz="4" w:space="0"/>
            </w:tcBorders>
            <w:vAlign w:val="center"/>
          </w:tcPr>
          <w:p w14:paraId="1FF9AD74">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是</w:t>
            </w:r>
          </w:p>
        </w:tc>
        <w:tc>
          <w:tcPr>
            <w:tcW w:w="1189" w:type="pct"/>
            <w:tcBorders>
              <w:top w:val="nil"/>
              <w:left w:val="nil"/>
              <w:bottom w:val="single" w:color="auto" w:sz="4" w:space="0"/>
              <w:right w:val="single" w:color="auto" w:sz="4" w:space="0"/>
            </w:tcBorders>
            <w:vAlign w:val="center"/>
          </w:tcPr>
          <w:p w14:paraId="48800BEA">
            <w:pPr>
              <w:widowControl/>
              <w:spacing w:line="240" w:lineRule="auto"/>
              <w:ind w:firstLine="0" w:firstLineChars="0"/>
              <w:jc w:val="left"/>
              <w:rPr>
                <w:rFonts w:cs="Times New Roman"/>
                <w:color w:val="000000"/>
                <w:kern w:val="0"/>
                <w:sz w:val="22"/>
                <w14:ligatures w14:val="none"/>
              </w:rPr>
            </w:pPr>
            <w:r>
              <w:rPr>
                <w:rFonts w:hint="eastAsia" w:cs="Times New Roman"/>
                <w:color w:val="000000"/>
                <w:kern w:val="0"/>
                <w:sz w:val="22"/>
                <w14:ligatures w14:val="none"/>
              </w:rPr>
              <w:t>《年产谷物茶系列产品茶叶制品1000吨》</w:t>
            </w:r>
          </w:p>
        </w:tc>
        <w:tc>
          <w:tcPr>
            <w:tcW w:w="956" w:type="pct"/>
            <w:tcBorders>
              <w:top w:val="nil"/>
              <w:left w:val="nil"/>
              <w:bottom w:val="single" w:color="auto" w:sz="4" w:space="0"/>
              <w:right w:val="single" w:color="auto" w:sz="4" w:space="0"/>
            </w:tcBorders>
            <w:vAlign w:val="center"/>
          </w:tcPr>
          <w:p w14:paraId="7355E280">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2008年8月18日</w:t>
            </w:r>
          </w:p>
        </w:tc>
        <w:tc>
          <w:tcPr>
            <w:tcW w:w="818" w:type="pct"/>
            <w:tcBorders>
              <w:top w:val="nil"/>
              <w:left w:val="nil"/>
              <w:bottom w:val="single" w:color="auto" w:sz="4" w:space="0"/>
              <w:right w:val="single" w:color="auto" w:sz="4" w:space="0"/>
            </w:tcBorders>
            <w:vAlign w:val="center"/>
          </w:tcPr>
          <w:p w14:paraId="40DF482E">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2008年12月2日</w:t>
            </w:r>
          </w:p>
        </w:tc>
      </w:tr>
      <w:tr w14:paraId="2EB389A0">
        <w:tblPrEx>
          <w:tblCellMar>
            <w:top w:w="0" w:type="dxa"/>
            <w:left w:w="108" w:type="dxa"/>
            <w:bottom w:w="0" w:type="dxa"/>
            <w:right w:w="108" w:type="dxa"/>
          </w:tblCellMar>
        </w:tblPrEx>
        <w:trPr>
          <w:trHeight w:val="570" w:hRule="atLeast"/>
        </w:trPr>
        <w:tc>
          <w:tcPr>
            <w:tcW w:w="151" w:type="pct"/>
            <w:tcBorders>
              <w:top w:val="nil"/>
              <w:left w:val="single" w:color="auto" w:sz="4" w:space="0"/>
              <w:bottom w:val="single" w:color="auto" w:sz="4" w:space="0"/>
              <w:right w:val="single" w:color="auto" w:sz="4" w:space="0"/>
            </w:tcBorders>
            <w:vAlign w:val="center"/>
          </w:tcPr>
          <w:p w14:paraId="5C30A0F7">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3</w:t>
            </w:r>
          </w:p>
        </w:tc>
        <w:tc>
          <w:tcPr>
            <w:tcW w:w="621" w:type="pct"/>
            <w:tcBorders>
              <w:top w:val="nil"/>
              <w:left w:val="nil"/>
              <w:bottom w:val="single" w:color="auto" w:sz="4" w:space="0"/>
              <w:right w:val="single" w:color="auto" w:sz="4" w:space="0"/>
            </w:tcBorders>
            <w:vAlign w:val="center"/>
          </w:tcPr>
          <w:p w14:paraId="509C15B2">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金坛市金陶农配有限公司</w:t>
            </w:r>
          </w:p>
        </w:tc>
        <w:tc>
          <w:tcPr>
            <w:tcW w:w="384" w:type="pct"/>
            <w:tcBorders>
              <w:top w:val="nil"/>
              <w:left w:val="nil"/>
              <w:bottom w:val="single" w:color="auto" w:sz="4" w:space="0"/>
              <w:right w:val="single" w:color="auto" w:sz="4" w:space="0"/>
            </w:tcBorders>
            <w:vAlign w:val="center"/>
          </w:tcPr>
          <w:p w14:paraId="0EF93212">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否</w:t>
            </w:r>
          </w:p>
        </w:tc>
        <w:tc>
          <w:tcPr>
            <w:tcW w:w="578" w:type="pct"/>
            <w:tcBorders>
              <w:top w:val="nil"/>
              <w:left w:val="nil"/>
              <w:bottom w:val="single" w:color="auto" w:sz="4" w:space="0"/>
              <w:right w:val="single" w:color="auto" w:sz="4" w:space="0"/>
            </w:tcBorders>
            <w:vAlign w:val="center"/>
          </w:tcPr>
          <w:p w14:paraId="09029F4E">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w:t>
            </w:r>
          </w:p>
        </w:tc>
        <w:tc>
          <w:tcPr>
            <w:tcW w:w="299" w:type="pct"/>
            <w:tcBorders>
              <w:top w:val="nil"/>
              <w:left w:val="nil"/>
              <w:bottom w:val="single" w:color="auto" w:sz="4" w:space="0"/>
              <w:right w:val="single" w:color="auto" w:sz="4" w:space="0"/>
            </w:tcBorders>
            <w:vAlign w:val="center"/>
          </w:tcPr>
          <w:p w14:paraId="44A620BE">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是</w:t>
            </w:r>
          </w:p>
        </w:tc>
        <w:tc>
          <w:tcPr>
            <w:tcW w:w="1189" w:type="pct"/>
            <w:tcBorders>
              <w:top w:val="nil"/>
              <w:left w:val="nil"/>
              <w:bottom w:val="single" w:color="auto" w:sz="4" w:space="0"/>
              <w:right w:val="single" w:color="auto" w:sz="4" w:space="0"/>
            </w:tcBorders>
            <w:vAlign w:val="center"/>
          </w:tcPr>
          <w:p w14:paraId="3442F5B6">
            <w:pPr>
              <w:widowControl/>
              <w:spacing w:line="240" w:lineRule="auto"/>
              <w:ind w:firstLine="0" w:firstLineChars="0"/>
              <w:jc w:val="left"/>
              <w:rPr>
                <w:rFonts w:cs="Times New Roman"/>
                <w:color w:val="000000"/>
                <w:kern w:val="0"/>
                <w:sz w:val="22"/>
                <w14:ligatures w14:val="none"/>
              </w:rPr>
            </w:pPr>
            <w:r>
              <w:rPr>
                <w:rFonts w:hint="eastAsia" w:cs="Times New Roman"/>
                <w:color w:val="000000"/>
                <w:kern w:val="0"/>
                <w:sz w:val="22"/>
                <w14:ligatures w14:val="none"/>
              </w:rPr>
              <w:t>《新增立式蒸汽炉项目环境影响报告表》</w:t>
            </w:r>
          </w:p>
        </w:tc>
        <w:tc>
          <w:tcPr>
            <w:tcW w:w="956" w:type="pct"/>
            <w:tcBorders>
              <w:top w:val="nil"/>
              <w:left w:val="nil"/>
              <w:bottom w:val="single" w:color="auto" w:sz="4" w:space="0"/>
              <w:right w:val="single" w:color="auto" w:sz="4" w:space="0"/>
            </w:tcBorders>
            <w:vAlign w:val="center"/>
          </w:tcPr>
          <w:p w14:paraId="07D9150C">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2011年1月24日</w:t>
            </w:r>
          </w:p>
        </w:tc>
        <w:tc>
          <w:tcPr>
            <w:tcW w:w="818" w:type="pct"/>
            <w:tcBorders>
              <w:top w:val="nil"/>
              <w:left w:val="nil"/>
              <w:bottom w:val="single" w:color="auto" w:sz="4" w:space="0"/>
              <w:right w:val="single" w:color="auto" w:sz="4" w:space="0"/>
            </w:tcBorders>
            <w:vAlign w:val="center"/>
          </w:tcPr>
          <w:p w14:paraId="2E091D3D">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2013年10月</w:t>
            </w:r>
          </w:p>
        </w:tc>
      </w:tr>
      <w:tr w14:paraId="07FC3452">
        <w:tblPrEx>
          <w:tblCellMar>
            <w:top w:w="0" w:type="dxa"/>
            <w:left w:w="108" w:type="dxa"/>
            <w:bottom w:w="0" w:type="dxa"/>
            <w:right w:w="108" w:type="dxa"/>
          </w:tblCellMar>
        </w:tblPrEx>
        <w:trPr>
          <w:trHeight w:val="570" w:hRule="atLeast"/>
        </w:trPr>
        <w:tc>
          <w:tcPr>
            <w:tcW w:w="151" w:type="pct"/>
            <w:tcBorders>
              <w:top w:val="nil"/>
              <w:left w:val="single" w:color="auto" w:sz="4" w:space="0"/>
              <w:bottom w:val="single" w:color="auto" w:sz="4" w:space="0"/>
              <w:right w:val="single" w:color="auto" w:sz="4" w:space="0"/>
            </w:tcBorders>
            <w:vAlign w:val="center"/>
          </w:tcPr>
          <w:p w14:paraId="38B37825">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4</w:t>
            </w:r>
          </w:p>
        </w:tc>
        <w:tc>
          <w:tcPr>
            <w:tcW w:w="621" w:type="pct"/>
            <w:tcBorders>
              <w:top w:val="nil"/>
              <w:left w:val="nil"/>
              <w:bottom w:val="single" w:color="auto" w:sz="4" w:space="0"/>
              <w:right w:val="single" w:color="auto" w:sz="4" w:space="0"/>
            </w:tcBorders>
            <w:vAlign w:val="center"/>
          </w:tcPr>
          <w:p w14:paraId="5815060C">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常州市金坛区新朋建筑材料厂（普通合伙）</w:t>
            </w:r>
          </w:p>
        </w:tc>
        <w:tc>
          <w:tcPr>
            <w:tcW w:w="384" w:type="pct"/>
            <w:tcBorders>
              <w:top w:val="nil"/>
              <w:left w:val="nil"/>
              <w:bottom w:val="single" w:color="auto" w:sz="4" w:space="0"/>
              <w:right w:val="single" w:color="auto" w:sz="4" w:space="0"/>
            </w:tcBorders>
            <w:vAlign w:val="center"/>
          </w:tcPr>
          <w:p w14:paraId="3995D5B3">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是</w:t>
            </w:r>
          </w:p>
        </w:tc>
        <w:tc>
          <w:tcPr>
            <w:tcW w:w="578" w:type="pct"/>
            <w:tcBorders>
              <w:top w:val="nil"/>
              <w:left w:val="nil"/>
              <w:bottom w:val="single" w:color="auto" w:sz="4" w:space="0"/>
              <w:right w:val="single" w:color="auto" w:sz="4" w:space="0"/>
            </w:tcBorders>
            <w:vAlign w:val="center"/>
          </w:tcPr>
          <w:p w14:paraId="4433F79D">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9132041375509261X9001V</w:t>
            </w:r>
          </w:p>
        </w:tc>
        <w:tc>
          <w:tcPr>
            <w:tcW w:w="299" w:type="pct"/>
            <w:tcBorders>
              <w:top w:val="nil"/>
              <w:left w:val="nil"/>
              <w:bottom w:val="single" w:color="auto" w:sz="4" w:space="0"/>
              <w:right w:val="single" w:color="auto" w:sz="4" w:space="0"/>
            </w:tcBorders>
            <w:vAlign w:val="center"/>
          </w:tcPr>
          <w:p w14:paraId="18AF15BC">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是</w:t>
            </w:r>
          </w:p>
        </w:tc>
        <w:tc>
          <w:tcPr>
            <w:tcW w:w="1189" w:type="pct"/>
            <w:tcBorders>
              <w:top w:val="nil"/>
              <w:left w:val="nil"/>
              <w:bottom w:val="single" w:color="auto" w:sz="4" w:space="0"/>
              <w:right w:val="single" w:color="auto" w:sz="4" w:space="0"/>
            </w:tcBorders>
            <w:vAlign w:val="center"/>
          </w:tcPr>
          <w:p w14:paraId="0FE17CA8">
            <w:pPr>
              <w:widowControl/>
              <w:spacing w:line="240" w:lineRule="auto"/>
              <w:ind w:firstLine="0" w:firstLineChars="0"/>
              <w:jc w:val="left"/>
              <w:rPr>
                <w:rFonts w:cs="Times New Roman"/>
                <w:color w:val="000000"/>
                <w:kern w:val="0"/>
                <w:sz w:val="22"/>
                <w14:ligatures w14:val="none"/>
              </w:rPr>
            </w:pPr>
            <w:r>
              <w:rPr>
                <w:rFonts w:hint="eastAsia" w:cs="Times New Roman"/>
                <w:color w:val="000000"/>
                <w:kern w:val="0"/>
                <w:sz w:val="22"/>
                <w14:ligatures w14:val="none"/>
              </w:rPr>
              <w:t>《利用煤矸生产新型墙材节能技改项目》</w:t>
            </w:r>
          </w:p>
        </w:tc>
        <w:tc>
          <w:tcPr>
            <w:tcW w:w="956" w:type="pct"/>
            <w:tcBorders>
              <w:top w:val="nil"/>
              <w:left w:val="nil"/>
              <w:bottom w:val="single" w:color="auto" w:sz="4" w:space="0"/>
              <w:right w:val="single" w:color="auto" w:sz="4" w:space="0"/>
            </w:tcBorders>
            <w:vAlign w:val="center"/>
          </w:tcPr>
          <w:p w14:paraId="5877E4B7">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坛环服复〔2013〕24号—2013年7月2日</w:t>
            </w:r>
          </w:p>
        </w:tc>
        <w:tc>
          <w:tcPr>
            <w:tcW w:w="818" w:type="pct"/>
            <w:tcBorders>
              <w:top w:val="nil"/>
              <w:left w:val="nil"/>
              <w:bottom w:val="single" w:color="auto" w:sz="4" w:space="0"/>
              <w:right w:val="single" w:color="auto" w:sz="4" w:space="0"/>
            </w:tcBorders>
            <w:vAlign w:val="center"/>
          </w:tcPr>
          <w:p w14:paraId="0A8E165A">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坛环验〔2017〕63号-2017年10月23日</w:t>
            </w:r>
          </w:p>
        </w:tc>
      </w:tr>
      <w:tr w14:paraId="300B3F4D">
        <w:tblPrEx>
          <w:tblCellMar>
            <w:top w:w="0" w:type="dxa"/>
            <w:left w:w="108" w:type="dxa"/>
            <w:bottom w:w="0" w:type="dxa"/>
            <w:right w:w="108" w:type="dxa"/>
          </w:tblCellMar>
        </w:tblPrEx>
        <w:trPr>
          <w:trHeight w:val="2280" w:hRule="atLeast"/>
        </w:trPr>
        <w:tc>
          <w:tcPr>
            <w:tcW w:w="151" w:type="pct"/>
            <w:tcBorders>
              <w:top w:val="nil"/>
              <w:left w:val="single" w:color="auto" w:sz="4" w:space="0"/>
              <w:bottom w:val="single" w:color="auto" w:sz="4" w:space="0"/>
              <w:right w:val="single" w:color="auto" w:sz="4" w:space="0"/>
            </w:tcBorders>
            <w:vAlign w:val="center"/>
          </w:tcPr>
          <w:p w14:paraId="716FD50C">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5</w:t>
            </w:r>
          </w:p>
        </w:tc>
        <w:tc>
          <w:tcPr>
            <w:tcW w:w="621" w:type="pct"/>
            <w:tcBorders>
              <w:top w:val="nil"/>
              <w:left w:val="nil"/>
              <w:bottom w:val="single" w:color="auto" w:sz="4" w:space="0"/>
              <w:right w:val="single" w:color="auto" w:sz="4" w:space="0"/>
            </w:tcBorders>
            <w:vAlign w:val="center"/>
          </w:tcPr>
          <w:p w14:paraId="6A4D3474">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常州市金坛创新建材有限公司</w:t>
            </w:r>
          </w:p>
        </w:tc>
        <w:tc>
          <w:tcPr>
            <w:tcW w:w="384" w:type="pct"/>
            <w:tcBorders>
              <w:top w:val="nil"/>
              <w:left w:val="nil"/>
              <w:bottom w:val="single" w:color="auto" w:sz="4" w:space="0"/>
              <w:right w:val="single" w:color="auto" w:sz="4" w:space="0"/>
            </w:tcBorders>
            <w:vAlign w:val="center"/>
          </w:tcPr>
          <w:p w14:paraId="2EE2332A">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是</w:t>
            </w:r>
          </w:p>
        </w:tc>
        <w:tc>
          <w:tcPr>
            <w:tcW w:w="578" w:type="pct"/>
            <w:tcBorders>
              <w:top w:val="nil"/>
              <w:left w:val="nil"/>
              <w:bottom w:val="single" w:color="auto" w:sz="4" w:space="0"/>
              <w:right w:val="single" w:color="auto" w:sz="4" w:space="0"/>
            </w:tcBorders>
            <w:vAlign w:val="center"/>
          </w:tcPr>
          <w:p w14:paraId="36D190C0">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91320413687841227D001R</w:t>
            </w:r>
          </w:p>
        </w:tc>
        <w:tc>
          <w:tcPr>
            <w:tcW w:w="299" w:type="pct"/>
            <w:tcBorders>
              <w:top w:val="nil"/>
              <w:left w:val="nil"/>
              <w:bottom w:val="single" w:color="auto" w:sz="4" w:space="0"/>
              <w:right w:val="single" w:color="auto" w:sz="4" w:space="0"/>
            </w:tcBorders>
            <w:vAlign w:val="center"/>
          </w:tcPr>
          <w:p w14:paraId="20AADBF6">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是</w:t>
            </w:r>
          </w:p>
        </w:tc>
        <w:tc>
          <w:tcPr>
            <w:tcW w:w="1189" w:type="pct"/>
            <w:tcBorders>
              <w:top w:val="nil"/>
              <w:left w:val="nil"/>
              <w:bottom w:val="single" w:color="auto" w:sz="4" w:space="0"/>
              <w:right w:val="single" w:color="auto" w:sz="4" w:space="0"/>
            </w:tcBorders>
            <w:vAlign w:val="center"/>
          </w:tcPr>
          <w:p w14:paraId="55C52769">
            <w:pPr>
              <w:widowControl/>
              <w:spacing w:line="240" w:lineRule="auto"/>
              <w:ind w:firstLine="0" w:firstLineChars="0"/>
              <w:jc w:val="left"/>
              <w:rPr>
                <w:rFonts w:cs="Times New Roman"/>
                <w:color w:val="000000"/>
                <w:kern w:val="0"/>
                <w:sz w:val="22"/>
                <w14:ligatures w14:val="none"/>
              </w:rPr>
            </w:pPr>
            <w:r>
              <w:rPr>
                <w:rFonts w:hint="eastAsia" w:cs="Times New Roman"/>
                <w:color w:val="000000"/>
                <w:kern w:val="0"/>
                <w:sz w:val="22"/>
                <w14:ligatures w14:val="none"/>
              </w:rPr>
              <w:t>1、《金坛市创新建材有限公司年产5万吨石灰生产线环境影响登记表》</w:t>
            </w:r>
            <w:r>
              <w:rPr>
                <w:rFonts w:hint="eastAsia" w:cs="Times New Roman"/>
                <w:color w:val="000000"/>
                <w:kern w:val="0"/>
                <w:sz w:val="22"/>
                <w14:ligatures w14:val="none"/>
              </w:rPr>
              <w:br w:type="textWrapping"/>
            </w:r>
            <w:r>
              <w:rPr>
                <w:rFonts w:hint="eastAsia" w:cs="Times New Roman"/>
                <w:color w:val="000000"/>
                <w:kern w:val="0"/>
                <w:sz w:val="22"/>
                <w14:ligatures w14:val="none"/>
              </w:rPr>
              <w:t>2、《金坛市创新建材有限公司改建年产5万吨生石灰等项目环境影响报告表》</w:t>
            </w:r>
            <w:r>
              <w:rPr>
                <w:rFonts w:hint="eastAsia" w:cs="Times New Roman"/>
                <w:color w:val="000000"/>
                <w:kern w:val="0"/>
                <w:sz w:val="22"/>
                <w14:ligatures w14:val="none"/>
              </w:rPr>
              <w:br w:type="textWrapping"/>
            </w:r>
            <w:r>
              <w:rPr>
                <w:rFonts w:hint="eastAsia" w:cs="Times New Roman"/>
                <w:color w:val="000000"/>
                <w:kern w:val="0"/>
                <w:sz w:val="22"/>
                <w14:ligatures w14:val="none"/>
              </w:rPr>
              <w:t>3、《常州市金坛创新建材有限公司码头环境提升项目》</w:t>
            </w:r>
          </w:p>
        </w:tc>
        <w:tc>
          <w:tcPr>
            <w:tcW w:w="956" w:type="pct"/>
            <w:tcBorders>
              <w:top w:val="nil"/>
              <w:left w:val="nil"/>
              <w:bottom w:val="single" w:color="auto" w:sz="4" w:space="0"/>
              <w:right w:val="single" w:color="auto" w:sz="4" w:space="0"/>
            </w:tcBorders>
            <w:vAlign w:val="center"/>
          </w:tcPr>
          <w:p w14:paraId="0785C615">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1、坛环审090055-2009年4月3日</w:t>
            </w:r>
            <w:r>
              <w:rPr>
                <w:rFonts w:hint="eastAsia" w:cs="Times New Roman"/>
                <w:color w:val="000000"/>
                <w:kern w:val="0"/>
                <w:sz w:val="22"/>
                <w14:ligatures w14:val="none"/>
              </w:rPr>
              <w:br w:type="textWrapping"/>
            </w:r>
            <w:r>
              <w:rPr>
                <w:rFonts w:hint="eastAsia" w:cs="Times New Roman"/>
                <w:color w:val="000000"/>
                <w:kern w:val="0"/>
                <w:sz w:val="22"/>
                <w14:ligatures w14:val="none"/>
              </w:rPr>
              <w:t>2、坛环服复〔2016〕11号—2016年3月7日</w:t>
            </w:r>
            <w:r>
              <w:rPr>
                <w:rFonts w:hint="eastAsia" w:cs="Times New Roman"/>
                <w:color w:val="000000"/>
                <w:kern w:val="0"/>
                <w:sz w:val="22"/>
                <w14:ligatures w14:val="none"/>
              </w:rPr>
              <w:br w:type="textWrapping"/>
            </w:r>
            <w:r>
              <w:rPr>
                <w:rFonts w:hint="eastAsia" w:cs="Times New Roman"/>
                <w:color w:val="000000"/>
                <w:kern w:val="0"/>
                <w:sz w:val="22"/>
                <w14:ligatures w14:val="none"/>
              </w:rPr>
              <w:t>3、常金环审〔2021〕204号—2021年12月31日</w:t>
            </w:r>
          </w:p>
        </w:tc>
        <w:tc>
          <w:tcPr>
            <w:tcW w:w="818" w:type="pct"/>
            <w:tcBorders>
              <w:top w:val="nil"/>
              <w:left w:val="nil"/>
              <w:bottom w:val="single" w:color="auto" w:sz="4" w:space="0"/>
              <w:right w:val="single" w:color="auto" w:sz="4" w:space="0"/>
            </w:tcBorders>
            <w:vAlign w:val="center"/>
          </w:tcPr>
          <w:p w14:paraId="4D002EE3">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1、2017年9月30日通过常州市金坛区环保局组织的建设项目</w:t>
            </w:r>
            <w:r>
              <w:rPr>
                <w:rFonts w:hint="eastAsia" w:cs="Times New Roman"/>
                <w:color w:val="000000"/>
                <w:kern w:val="0"/>
                <w:sz w:val="22"/>
                <w14:ligatures w14:val="none"/>
              </w:rPr>
              <w:br w:type="textWrapping"/>
            </w:r>
            <w:r>
              <w:rPr>
                <w:rFonts w:hint="eastAsia" w:cs="Times New Roman"/>
                <w:color w:val="000000"/>
                <w:kern w:val="0"/>
                <w:sz w:val="22"/>
                <w14:ligatures w14:val="none"/>
              </w:rPr>
              <w:t>（部分验收：年产生石灰2.5万吨）竣工验收——坛环验〔2017〕40号；</w:t>
            </w:r>
          </w:p>
          <w:p w14:paraId="320CCC6D">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2、2022年2月15日</w:t>
            </w:r>
          </w:p>
        </w:tc>
      </w:tr>
      <w:tr w14:paraId="6FC61CB7">
        <w:tblPrEx>
          <w:tblCellMar>
            <w:top w:w="0" w:type="dxa"/>
            <w:left w:w="108" w:type="dxa"/>
            <w:bottom w:w="0" w:type="dxa"/>
            <w:right w:w="108" w:type="dxa"/>
          </w:tblCellMar>
        </w:tblPrEx>
        <w:trPr>
          <w:trHeight w:val="2280" w:hRule="atLeast"/>
        </w:trPr>
        <w:tc>
          <w:tcPr>
            <w:tcW w:w="151" w:type="pct"/>
            <w:tcBorders>
              <w:top w:val="nil"/>
              <w:left w:val="single" w:color="auto" w:sz="4" w:space="0"/>
              <w:bottom w:val="single" w:color="auto" w:sz="4" w:space="0"/>
              <w:right w:val="single" w:color="auto" w:sz="4" w:space="0"/>
            </w:tcBorders>
            <w:vAlign w:val="center"/>
          </w:tcPr>
          <w:p w14:paraId="3A882E50">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6</w:t>
            </w:r>
          </w:p>
        </w:tc>
        <w:tc>
          <w:tcPr>
            <w:tcW w:w="621" w:type="pct"/>
            <w:tcBorders>
              <w:top w:val="nil"/>
              <w:left w:val="nil"/>
              <w:bottom w:val="single" w:color="auto" w:sz="4" w:space="0"/>
              <w:right w:val="single" w:color="auto" w:sz="4" w:space="0"/>
            </w:tcBorders>
            <w:vAlign w:val="center"/>
          </w:tcPr>
          <w:p w14:paraId="15657587">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常州市金坛鼎盛建材厂</w:t>
            </w:r>
          </w:p>
        </w:tc>
        <w:tc>
          <w:tcPr>
            <w:tcW w:w="384" w:type="pct"/>
            <w:tcBorders>
              <w:top w:val="nil"/>
              <w:left w:val="nil"/>
              <w:bottom w:val="single" w:color="auto" w:sz="4" w:space="0"/>
              <w:right w:val="single" w:color="auto" w:sz="4" w:space="0"/>
            </w:tcBorders>
            <w:vAlign w:val="center"/>
          </w:tcPr>
          <w:p w14:paraId="705A73F0">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是</w:t>
            </w:r>
          </w:p>
        </w:tc>
        <w:tc>
          <w:tcPr>
            <w:tcW w:w="578" w:type="pct"/>
            <w:tcBorders>
              <w:top w:val="nil"/>
              <w:left w:val="nil"/>
              <w:bottom w:val="single" w:color="auto" w:sz="4" w:space="0"/>
              <w:right w:val="single" w:color="auto" w:sz="4" w:space="0"/>
            </w:tcBorders>
            <w:vAlign w:val="center"/>
          </w:tcPr>
          <w:p w14:paraId="591EAB5B">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91320413753901671N001R</w:t>
            </w:r>
          </w:p>
        </w:tc>
        <w:tc>
          <w:tcPr>
            <w:tcW w:w="299" w:type="pct"/>
            <w:tcBorders>
              <w:top w:val="nil"/>
              <w:left w:val="nil"/>
              <w:bottom w:val="single" w:color="auto" w:sz="4" w:space="0"/>
              <w:right w:val="single" w:color="auto" w:sz="4" w:space="0"/>
            </w:tcBorders>
            <w:vAlign w:val="center"/>
          </w:tcPr>
          <w:p w14:paraId="08A0B4ED">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是</w:t>
            </w:r>
          </w:p>
        </w:tc>
        <w:tc>
          <w:tcPr>
            <w:tcW w:w="1189" w:type="pct"/>
            <w:tcBorders>
              <w:top w:val="nil"/>
              <w:left w:val="nil"/>
              <w:bottom w:val="single" w:color="auto" w:sz="4" w:space="0"/>
              <w:right w:val="single" w:color="auto" w:sz="4" w:space="0"/>
            </w:tcBorders>
            <w:vAlign w:val="center"/>
          </w:tcPr>
          <w:p w14:paraId="1849AD09">
            <w:pPr>
              <w:widowControl/>
              <w:spacing w:line="240" w:lineRule="auto"/>
              <w:ind w:firstLine="0" w:firstLineChars="0"/>
              <w:jc w:val="left"/>
              <w:rPr>
                <w:rFonts w:cs="Times New Roman"/>
                <w:color w:val="000000"/>
                <w:kern w:val="0"/>
                <w:sz w:val="22"/>
                <w14:ligatures w14:val="none"/>
              </w:rPr>
            </w:pPr>
            <w:r>
              <w:rPr>
                <w:rFonts w:hint="eastAsia" w:cs="Times New Roman"/>
                <w:color w:val="000000"/>
                <w:kern w:val="0"/>
                <w:sz w:val="22"/>
                <w14:ligatures w14:val="none"/>
              </w:rPr>
              <w:t>1、《金坛市鼎盛建材厂年产3万吨生石灰生产线项目环境影响报告表》</w:t>
            </w:r>
            <w:r>
              <w:rPr>
                <w:rFonts w:hint="eastAsia" w:cs="Times New Roman"/>
                <w:color w:val="000000"/>
                <w:kern w:val="0"/>
                <w:sz w:val="22"/>
                <w14:ligatures w14:val="none"/>
              </w:rPr>
              <w:br w:type="textWrapping"/>
            </w:r>
            <w:r>
              <w:rPr>
                <w:rFonts w:hint="eastAsia" w:cs="Times New Roman"/>
                <w:color w:val="000000"/>
                <w:kern w:val="0"/>
                <w:sz w:val="22"/>
                <w14:ligatures w14:val="none"/>
              </w:rPr>
              <w:t>2、《金坛市鼎盛建材厂改建年产5万吨生石灰等项目环境影响报告表》</w:t>
            </w:r>
            <w:r>
              <w:rPr>
                <w:rFonts w:hint="eastAsia" w:cs="Times New Roman"/>
                <w:color w:val="000000"/>
                <w:kern w:val="0"/>
                <w:sz w:val="22"/>
                <w14:ligatures w14:val="none"/>
              </w:rPr>
              <w:br w:type="textWrapping"/>
            </w:r>
            <w:r>
              <w:rPr>
                <w:rFonts w:hint="eastAsia" w:cs="Times New Roman"/>
                <w:color w:val="000000"/>
                <w:kern w:val="0"/>
                <w:sz w:val="22"/>
                <w14:ligatures w14:val="none"/>
              </w:rPr>
              <w:t>3、《常州市金坛鼎盛建材厂码头环境提升项目》</w:t>
            </w:r>
          </w:p>
        </w:tc>
        <w:tc>
          <w:tcPr>
            <w:tcW w:w="956" w:type="pct"/>
            <w:tcBorders>
              <w:top w:val="nil"/>
              <w:left w:val="nil"/>
              <w:bottom w:val="single" w:color="auto" w:sz="4" w:space="0"/>
              <w:right w:val="single" w:color="auto" w:sz="4" w:space="0"/>
            </w:tcBorders>
            <w:vAlign w:val="center"/>
          </w:tcPr>
          <w:p w14:paraId="5D7FE9F1">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1、金坛市行政服务审批中心200369—2003年6月9日</w:t>
            </w:r>
            <w:r>
              <w:rPr>
                <w:rFonts w:hint="eastAsia" w:cs="Times New Roman"/>
                <w:color w:val="000000"/>
                <w:kern w:val="0"/>
                <w:sz w:val="22"/>
                <w14:ligatures w14:val="none"/>
              </w:rPr>
              <w:br w:type="textWrapping"/>
            </w:r>
            <w:r>
              <w:rPr>
                <w:rFonts w:hint="eastAsia" w:cs="Times New Roman"/>
                <w:color w:val="000000"/>
                <w:kern w:val="0"/>
                <w:sz w:val="22"/>
                <w14:ligatures w14:val="none"/>
              </w:rPr>
              <w:t>2、坛环服复〔2016〕17号—2016年2月5日</w:t>
            </w:r>
            <w:r>
              <w:rPr>
                <w:rFonts w:hint="eastAsia" w:cs="Times New Roman"/>
                <w:color w:val="000000"/>
                <w:kern w:val="0"/>
                <w:sz w:val="22"/>
                <w14:ligatures w14:val="none"/>
              </w:rPr>
              <w:br w:type="textWrapping"/>
            </w:r>
            <w:r>
              <w:rPr>
                <w:rFonts w:hint="eastAsia" w:cs="Times New Roman"/>
                <w:color w:val="000000"/>
                <w:kern w:val="0"/>
                <w:sz w:val="22"/>
                <w14:ligatures w14:val="none"/>
              </w:rPr>
              <w:t>3、常金环审〔2021〕207号—2021年12月31日</w:t>
            </w:r>
          </w:p>
        </w:tc>
        <w:tc>
          <w:tcPr>
            <w:tcW w:w="818" w:type="pct"/>
            <w:tcBorders>
              <w:top w:val="nil"/>
              <w:left w:val="nil"/>
              <w:bottom w:val="single" w:color="auto" w:sz="4" w:space="0"/>
              <w:right w:val="single" w:color="auto" w:sz="4" w:space="0"/>
            </w:tcBorders>
            <w:vAlign w:val="center"/>
          </w:tcPr>
          <w:p w14:paraId="2F0FA036">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1、2006年1月17日</w:t>
            </w:r>
            <w:r>
              <w:rPr>
                <w:rFonts w:hint="eastAsia" w:cs="Times New Roman"/>
                <w:color w:val="000000"/>
                <w:kern w:val="0"/>
                <w:sz w:val="22"/>
                <w14:ligatures w14:val="none"/>
              </w:rPr>
              <w:br w:type="textWrapping"/>
            </w:r>
            <w:r>
              <w:rPr>
                <w:rFonts w:hint="eastAsia" w:cs="Times New Roman"/>
                <w:color w:val="000000"/>
                <w:kern w:val="0"/>
                <w:sz w:val="22"/>
                <w14:ligatures w14:val="none"/>
              </w:rPr>
              <w:t>2、2017年9月30日</w:t>
            </w:r>
          </w:p>
          <w:p w14:paraId="0F3E9AD2">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3、2022年2月18日</w:t>
            </w:r>
          </w:p>
        </w:tc>
      </w:tr>
      <w:tr w14:paraId="2BF3CE77">
        <w:tblPrEx>
          <w:tblCellMar>
            <w:top w:w="0" w:type="dxa"/>
            <w:left w:w="108" w:type="dxa"/>
            <w:bottom w:w="0" w:type="dxa"/>
            <w:right w:w="108" w:type="dxa"/>
          </w:tblCellMar>
        </w:tblPrEx>
        <w:trPr>
          <w:trHeight w:val="2280" w:hRule="atLeast"/>
        </w:trPr>
        <w:tc>
          <w:tcPr>
            <w:tcW w:w="151" w:type="pct"/>
            <w:tcBorders>
              <w:top w:val="nil"/>
              <w:left w:val="single" w:color="auto" w:sz="4" w:space="0"/>
              <w:bottom w:val="single" w:color="auto" w:sz="4" w:space="0"/>
              <w:right w:val="single" w:color="auto" w:sz="4" w:space="0"/>
            </w:tcBorders>
            <w:vAlign w:val="center"/>
          </w:tcPr>
          <w:p w14:paraId="1E487BB0">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7</w:t>
            </w:r>
          </w:p>
        </w:tc>
        <w:tc>
          <w:tcPr>
            <w:tcW w:w="621" w:type="pct"/>
            <w:tcBorders>
              <w:top w:val="nil"/>
              <w:left w:val="nil"/>
              <w:bottom w:val="single" w:color="auto" w:sz="4" w:space="0"/>
              <w:right w:val="single" w:color="auto" w:sz="4" w:space="0"/>
            </w:tcBorders>
            <w:vAlign w:val="center"/>
          </w:tcPr>
          <w:p w14:paraId="5DBDD54B">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常州金坛江豚钙业有限公司</w:t>
            </w:r>
          </w:p>
        </w:tc>
        <w:tc>
          <w:tcPr>
            <w:tcW w:w="384" w:type="pct"/>
            <w:tcBorders>
              <w:top w:val="nil"/>
              <w:left w:val="nil"/>
              <w:bottom w:val="single" w:color="auto" w:sz="4" w:space="0"/>
              <w:right w:val="single" w:color="auto" w:sz="4" w:space="0"/>
            </w:tcBorders>
            <w:vAlign w:val="center"/>
          </w:tcPr>
          <w:p w14:paraId="56AC8D97">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是</w:t>
            </w:r>
          </w:p>
        </w:tc>
        <w:tc>
          <w:tcPr>
            <w:tcW w:w="578" w:type="pct"/>
            <w:tcBorders>
              <w:top w:val="nil"/>
              <w:left w:val="nil"/>
              <w:bottom w:val="single" w:color="auto" w:sz="4" w:space="0"/>
              <w:right w:val="single" w:color="auto" w:sz="4" w:space="0"/>
            </w:tcBorders>
            <w:vAlign w:val="center"/>
          </w:tcPr>
          <w:p w14:paraId="34C0B08C">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913204137953523087001T</w:t>
            </w:r>
          </w:p>
        </w:tc>
        <w:tc>
          <w:tcPr>
            <w:tcW w:w="299" w:type="pct"/>
            <w:tcBorders>
              <w:top w:val="nil"/>
              <w:left w:val="nil"/>
              <w:bottom w:val="single" w:color="auto" w:sz="4" w:space="0"/>
              <w:right w:val="single" w:color="auto" w:sz="4" w:space="0"/>
            </w:tcBorders>
            <w:vAlign w:val="center"/>
          </w:tcPr>
          <w:p w14:paraId="5F41CAC4">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是</w:t>
            </w:r>
          </w:p>
        </w:tc>
        <w:tc>
          <w:tcPr>
            <w:tcW w:w="1189" w:type="pct"/>
            <w:tcBorders>
              <w:top w:val="nil"/>
              <w:left w:val="nil"/>
              <w:bottom w:val="single" w:color="auto" w:sz="4" w:space="0"/>
              <w:right w:val="single" w:color="auto" w:sz="4" w:space="0"/>
            </w:tcBorders>
            <w:vAlign w:val="center"/>
          </w:tcPr>
          <w:p w14:paraId="7A0CAE38">
            <w:pPr>
              <w:widowControl/>
              <w:spacing w:line="240" w:lineRule="auto"/>
              <w:ind w:firstLine="0" w:firstLineChars="0"/>
              <w:jc w:val="left"/>
              <w:rPr>
                <w:rFonts w:cs="Times New Roman"/>
                <w:color w:val="000000"/>
                <w:kern w:val="0"/>
                <w:sz w:val="22"/>
                <w14:ligatures w14:val="none"/>
              </w:rPr>
            </w:pPr>
            <w:r>
              <w:rPr>
                <w:rFonts w:hint="eastAsia" w:cs="Times New Roman"/>
                <w:color w:val="000000"/>
                <w:kern w:val="0"/>
                <w:sz w:val="22"/>
                <w14:ligatures w14:val="none"/>
              </w:rPr>
              <w:t>1、《金坛市西阳建材厂年产5万吨石灰项目环境影响报告表》</w:t>
            </w:r>
            <w:r>
              <w:rPr>
                <w:rFonts w:hint="eastAsia" w:cs="Times New Roman"/>
                <w:color w:val="000000"/>
                <w:kern w:val="0"/>
                <w:sz w:val="22"/>
                <w14:ligatures w14:val="none"/>
              </w:rPr>
              <w:br w:type="textWrapping"/>
            </w:r>
            <w:r>
              <w:rPr>
                <w:rFonts w:hint="eastAsia" w:cs="Times New Roman"/>
                <w:color w:val="000000"/>
                <w:kern w:val="0"/>
                <w:sz w:val="22"/>
                <w14:ligatures w14:val="none"/>
              </w:rPr>
              <w:t>2、《金坛市江豚钙业有限公司年产30万吨氧化钙项目环境影响报告表》</w:t>
            </w:r>
            <w:r>
              <w:rPr>
                <w:rFonts w:hint="eastAsia" w:cs="Times New Roman"/>
                <w:color w:val="000000"/>
                <w:kern w:val="0"/>
                <w:sz w:val="22"/>
                <w14:ligatures w14:val="none"/>
              </w:rPr>
              <w:br w:type="textWrapping"/>
            </w:r>
            <w:r>
              <w:rPr>
                <w:rFonts w:hint="eastAsia" w:cs="Times New Roman"/>
                <w:color w:val="000000"/>
                <w:kern w:val="0"/>
                <w:sz w:val="22"/>
                <w14:ligatures w14:val="none"/>
              </w:rPr>
              <w:t>3、《常州金坛江豚钙业有限公司码头环境提升项目》</w:t>
            </w:r>
          </w:p>
        </w:tc>
        <w:tc>
          <w:tcPr>
            <w:tcW w:w="956" w:type="pct"/>
            <w:tcBorders>
              <w:top w:val="nil"/>
              <w:left w:val="nil"/>
              <w:bottom w:val="single" w:color="auto" w:sz="4" w:space="0"/>
              <w:right w:val="single" w:color="auto" w:sz="4" w:space="0"/>
            </w:tcBorders>
            <w:vAlign w:val="center"/>
          </w:tcPr>
          <w:p w14:paraId="5384A58F">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1、金坛市行政审批服务中心20021023—2022年10月23日</w:t>
            </w:r>
            <w:r>
              <w:rPr>
                <w:rFonts w:hint="eastAsia" w:cs="Times New Roman"/>
                <w:color w:val="000000"/>
                <w:kern w:val="0"/>
                <w:sz w:val="22"/>
                <w14:ligatures w14:val="none"/>
              </w:rPr>
              <w:br w:type="textWrapping"/>
            </w:r>
            <w:r>
              <w:rPr>
                <w:rFonts w:hint="eastAsia" w:cs="Times New Roman"/>
                <w:color w:val="000000"/>
                <w:kern w:val="0"/>
                <w:sz w:val="22"/>
                <w14:ligatures w14:val="none"/>
              </w:rPr>
              <w:t>2、坛环审〔2014〕52号-2014年9月19日</w:t>
            </w:r>
            <w:r>
              <w:rPr>
                <w:rFonts w:hint="eastAsia" w:cs="Times New Roman"/>
                <w:color w:val="000000"/>
                <w:kern w:val="0"/>
                <w:sz w:val="22"/>
                <w14:ligatures w14:val="none"/>
              </w:rPr>
              <w:br w:type="textWrapping"/>
            </w:r>
            <w:r>
              <w:rPr>
                <w:rFonts w:hint="eastAsia" w:cs="Times New Roman"/>
                <w:color w:val="000000"/>
                <w:kern w:val="0"/>
                <w:sz w:val="22"/>
                <w14:ligatures w14:val="none"/>
              </w:rPr>
              <w:t>3、常金环审〔2021〕203号—2021年12月31日</w:t>
            </w:r>
          </w:p>
        </w:tc>
        <w:tc>
          <w:tcPr>
            <w:tcW w:w="818" w:type="pct"/>
            <w:tcBorders>
              <w:top w:val="nil"/>
              <w:left w:val="nil"/>
              <w:bottom w:val="single" w:color="auto" w:sz="4" w:space="0"/>
              <w:right w:val="single" w:color="auto" w:sz="4" w:space="0"/>
            </w:tcBorders>
            <w:vAlign w:val="center"/>
          </w:tcPr>
          <w:p w14:paraId="4FE9565F">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1、2006年10月11日</w:t>
            </w:r>
            <w:r>
              <w:rPr>
                <w:rFonts w:hint="eastAsia" w:cs="Times New Roman"/>
                <w:color w:val="000000"/>
                <w:kern w:val="0"/>
                <w:sz w:val="22"/>
                <w14:ligatures w14:val="none"/>
              </w:rPr>
              <w:br w:type="textWrapping"/>
            </w:r>
            <w:r>
              <w:rPr>
                <w:rFonts w:hint="eastAsia" w:cs="Times New Roman"/>
                <w:color w:val="000000"/>
                <w:kern w:val="0"/>
                <w:sz w:val="22"/>
                <w14:ligatures w14:val="none"/>
              </w:rPr>
              <w:t>2、2015年10月22日</w:t>
            </w:r>
          </w:p>
          <w:p w14:paraId="22D04BAC">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3、2022年2月18日</w:t>
            </w:r>
          </w:p>
        </w:tc>
      </w:tr>
      <w:tr w14:paraId="7E6DF13B">
        <w:tblPrEx>
          <w:tblCellMar>
            <w:top w:w="0" w:type="dxa"/>
            <w:left w:w="108" w:type="dxa"/>
            <w:bottom w:w="0" w:type="dxa"/>
            <w:right w:w="108" w:type="dxa"/>
          </w:tblCellMar>
        </w:tblPrEx>
        <w:trPr>
          <w:trHeight w:val="2565" w:hRule="atLeast"/>
        </w:trPr>
        <w:tc>
          <w:tcPr>
            <w:tcW w:w="151" w:type="pct"/>
            <w:tcBorders>
              <w:top w:val="nil"/>
              <w:left w:val="single" w:color="auto" w:sz="4" w:space="0"/>
              <w:bottom w:val="single" w:color="auto" w:sz="4" w:space="0"/>
              <w:right w:val="single" w:color="auto" w:sz="4" w:space="0"/>
            </w:tcBorders>
            <w:vAlign w:val="center"/>
          </w:tcPr>
          <w:p w14:paraId="434481EC">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8</w:t>
            </w:r>
          </w:p>
        </w:tc>
        <w:tc>
          <w:tcPr>
            <w:tcW w:w="621" w:type="pct"/>
            <w:tcBorders>
              <w:top w:val="nil"/>
              <w:left w:val="nil"/>
              <w:bottom w:val="single" w:color="auto" w:sz="4" w:space="0"/>
              <w:right w:val="single" w:color="auto" w:sz="4" w:space="0"/>
            </w:tcBorders>
            <w:vAlign w:val="center"/>
          </w:tcPr>
          <w:p w14:paraId="36391AA5">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金坛东运钙业有限公司</w:t>
            </w:r>
          </w:p>
        </w:tc>
        <w:tc>
          <w:tcPr>
            <w:tcW w:w="384" w:type="pct"/>
            <w:tcBorders>
              <w:top w:val="nil"/>
              <w:left w:val="nil"/>
              <w:bottom w:val="single" w:color="auto" w:sz="4" w:space="0"/>
              <w:right w:val="single" w:color="auto" w:sz="4" w:space="0"/>
            </w:tcBorders>
            <w:vAlign w:val="center"/>
          </w:tcPr>
          <w:p w14:paraId="47BFF299">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是</w:t>
            </w:r>
          </w:p>
        </w:tc>
        <w:tc>
          <w:tcPr>
            <w:tcW w:w="578" w:type="pct"/>
            <w:tcBorders>
              <w:top w:val="nil"/>
              <w:left w:val="nil"/>
              <w:bottom w:val="single" w:color="auto" w:sz="4" w:space="0"/>
              <w:right w:val="single" w:color="auto" w:sz="4" w:space="0"/>
            </w:tcBorders>
            <w:vAlign w:val="center"/>
          </w:tcPr>
          <w:p w14:paraId="29CABC70">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91320413MA1MF82J0T001R</w:t>
            </w:r>
          </w:p>
        </w:tc>
        <w:tc>
          <w:tcPr>
            <w:tcW w:w="299" w:type="pct"/>
            <w:tcBorders>
              <w:top w:val="nil"/>
              <w:left w:val="nil"/>
              <w:bottom w:val="single" w:color="auto" w:sz="4" w:space="0"/>
              <w:right w:val="single" w:color="auto" w:sz="4" w:space="0"/>
            </w:tcBorders>
            <w:vAlign w:val="center"/>
          </w:tcPr>
          <w:p w14:paraId="61ABDAE5">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是</w:t>
            </w:r>
          </w:p>
        </w:tc>
        <w:tc>
          <w:tcPr>
            <w:tcW w:w="1189" w:type="pct"/>
            <w:tcBorders>
              <w:top w:val="nil"/>
              <w:left w:val="nil"/>
              <w:bottom w:val="single" w:color="auto" w:sz="4" w:space="0"/>
              <w:right w:val="single" w:color="auto" w:sz="4" w:space="0"/>
            </w:tcBorders>
            <w:vAlign w:val="center"/>
          </w:tcPr>
          <w:p w14:paraId="18F9649A">
            <w:pPr>
              <w:widowControl/>
              <w:spacing w:line="240" w:lineRule="auto"/>
              <w:ind w:firstLine="0" w:firstLineChars="0"/>
              <w:jc w:val="left"/>
              <w:rPr>
                <w:rFonts w:cs="Times New Roman"/>
                <w:color w:val="000000"/>
                <w:kern w:val="0"/>
                <w:sz w:val="22"/>
                <w14:ligatures w14:val="none"/>
              </w:rPr>
            </w:pPr>
            <w:r>
              <w:rPr>
                <w:rFonts w:hint="eastAsia" w:cs="Times New Roman"/>
                <w:color w:val="000000"/>
                <w:kern w:val="0"/>
                <w:sz w:val="22"/>
                <w14:ligatures w14:val="none"/>
              </w:rPr>
              <w:t>1、《金坛市西阳华林石灰厂年产15000吨石灰项目环境影响报告表》</w:t>
            </w:r>
            <w:r>
              <w:rPr>
                <w:rFonts w:hint="eastAsia" w:cs="Times New Roman"/>
                <w:color w:val="000000"/>
                <w:kern w:val="0"/>
                <w:sz w:val="22"/>
                <w14:ligatures w14:val="none"/>
              </w:rPr>
              <w:br w:type="textWrapping"/>
            </w:r>
            <w:r>
              <w:rPr>
                <w:rFonts w:hint="eastAsia" w:cs="Times New Roman"/>
                <w:color w:val="000000"/>
                <w:kern w:val="0"/>
                <w:sz w:val="22"/>
                <w14:ligatures w14:val="none"/>
              </w:rPr>
              <w:t>2、《常州市金坛东运钙业有限公司改建年产生石灰5万吨、碳酸钙3万吨项目环境影响报告表》</w:t>
            </w:r>
            <w:r>
              <w:rPr>
                <w:rFonts w:hint="eastAsia" w:cs="Times New Roman"/>
                <w:color w:val="000000"/>
                <w:kern w:val="0"/>
                <w:sz w:val="22"/>
                <w14:ligatures w14:val="none"/>
              </w:rPr>
              <w:br w:type="textWrapping"/>
            </w:r>
            <w:r>
              <w:rPr>
                <w:rFonts w:hint="eastAsia" w:cs="Times New Roman"/>
                <w:color w:val="000000"/>
                <w:kern w:val="0"/>
                <w:sz w:val="22"/>
                <w14:ligatures w14:val="none"/>
              </w:rPr>
              <w:t>3、《常州市金坛东运钙业有限公司码头环境提升项目》</w:t>
            </w:r>
          </w:p>
        </w:tc>
        <w:tc>
          <w:tcPr>
            <w:tcW w:w="956" w:type="pct"/>
            <w:tcBorders>
              <w:top w:val="nil"/>
              <w:left w:val="nil"/>
              <w:bottom w:val="single" w:color="auto" w:sz="4" w:space="0"/>
              <w:right w:val="single" w:color="auto" w:sz="4" w:space="0"/>
            </w:tcBorders>
            <w:vAlign w:val="center"/>
          </w:tcPr>
          <w:p w14:paraId="32952084">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1、金坛市行政审批服务中心20221218—2002年12月18日</w:t>
            </w:r>
            <w:r>
              <w:rPr>
                <w:rFonts w:hint="eastAsia" w:cs="Times New Roman"/>
                <w:color w:val="000000"/>
                <w:kern w:val="0"/>
                <w:sz w:val="22"/>
                <w14:ligatures w14:val="none"/>
              </w:rPr>
              <w:br w:type="textWrapping"/>
            </w:r>
            <w:r>
              <w:rPr>
                <w:rFonts w:hint="eastAsia" w:cs="Times New Roman"/>
                <w:color w:val="000000"/>
                <w:kern w:val="0"/>
                <w:sz w:val="22"/>
                <w14:ligatures w14:val="none"/>
              </w:rPr>
              <w:t>2、坛环服复〔2016〕41号—2016年9月30日</w:t>
            </w:r>
            <w:r>
              <w:rPr>
                <w:rFonts w:hint="eastAsia" w:cs="Times New Roman"/>
                <w:color w:val="000000"/>
                <w:kern w:val="0"/>
                <w:sz w:val="22"/>
                <w14:ligatures w14:val="none"/>
              </w:rPr>
              <w:br w:type="textWrapping"/>
            </w:r>
            <w:r>
              <w:rPr>
                <w:rFonts w:hint="eastAsia" w:cs="Times New Roman"/>
                <w:color w:val="000000"/>
                <w:kern w:val="0"/>
                <w:sz w:val="22"/>
                <w14:ligatures w14:val="none"/>
              </w:rPr>
              <w:t>3、常金环审〔2021〕208号—2021年12月31日</w:t>
            </w:r>
          </w:p>
        </w:tc>
        <w:tc>
          <w:tcPr>
            <w:tcW w:w="818" w:type="pct"/>
            <w:tcBorders>
              <w:top w:val="nil"/>
              <w:left w:val="nil"/>
              <w:bottom w:val="single" w:color="auto" w:sz="4" w:space="0"/>
              <w:right w:val="single" w:color="auto" w:sz="4" w:space="0"/>
            </w:tcBorders>
            <w:vAlign w:val="center"/>
          </w:tcPr>
          <w:p w14:paraId="71214E79">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1、2017年9月30日（部分验收）</w:t>
            </w:r>
          </w:p>
          <w:p w14:paraId="1E0D471D">
            <w:pPr>
              <w:widowControl/>
              <w:spacing w:line="240" w:lineRule="auto"/>
              <w:ind w:firstLine="0" w:firstLineChars="0"/>
              <w:rPr>
                <w:rFonts w:cs="Times New Roman"/>
                <w:color w:val="000000"/>
                <w:kern w:val="0"/>
                <w:sz w:val="22"/>
                <w14:ligatures w14:val="none"/>
              </w:rPr>
            </w:pPr>
            <w:r>
              <w:rPr>
                <w:rFonts w:hint="eastAsia" w:cs="Times New Roman"/>
                <w:color w:val="000000"/>
                <w:kern w:val="0"/>
                <w:sz w:val="22"/>
                <w14:ligatures w14:val="none"/>
              </w:rPr>
              <w:t>2、2022年2月22日</w:t>
            </w:r>
          </w:p>
        </w:tc>
      </w:tr>
      <w:bookmarkEnd w:id="70"/>
    </w:tbl>
    <w:p w14:paraId="5ACC727F">
      <w:pPr>
        <w:ind w:firstLine="0" w:firstLineChars="0"/>
        <w:sectPr>
          <w:pgSz w:w="16838" w:h="11906" w:orient="landscape"/>
          <w:pgMar w:top="1417" w:right="1440" w:bottom="1417" w:left="1440" w:header="851" w:footer="992" w:gutter="0"/>
          <w:cols w:space="425" w:num="1"/>
          <w:docGrid w:type="lines" w:linePitch="326" w:charSpace="0"/>
        </w:sectPr>
      </w:pPr>
    </w:p>
    <w:p w14:paraId="38505C47">
      <w:pPr>
        <w:ind w:firstLine="0" w:firstLineChars="0"/>
        <w:outlineLvl w:val="3"/>
        <w:rPr>
          <w:b/>
          <w:bCs/>
        </w:rPr>
      </w:pPr>
      <w:r>
        <w:rPr>
          <w:b/>
          <w:bCs/>
        </w:rPr>
        <w:t>3</w:t>
      </w:r>
      <w:r>
        <w:rPr>
          <w:rFonts w:hint="eastAsia"/>
          <w:b/>
          <w:bCs/>
        </w:rPr>
        <w:t>.4.4.4企业大气污染物自行监测情况</w:t>
      </w:r>
    </w:p>
    <w:p w14:paraId="3E32ACDA">
      <w:pPr>
        <w:ind w:firstLine="480" w:firstLineChars="0"/>
        <w:jc w:val="left"/>
        <w:rPr>
          <w:rFonts w:cs="Times New Roman"/>
        </w:rPr>
      </w:pPr>
      <w:r>
        <w:rPr>
          <w:rFonts w:hint="eastAsia" w:cs="Times New Roman"/>
        </w:rPr>
        <w:t>根据度假区现状企业调查情况，</w:t>
      </w:r>
      <w:r>
        <w:rPr>
          <w:rFonts w:cs="Times New Roman"/>
        </w:rPr>
        <w:t>常州市金坛创新建材有限公司、常州市金坛鼎盛建材厂、常州金坛江豚钙业有限公司、金坛东运钙业有限公司</w:t>
      </w:r>
      <w:r>
        <w:rPr>
          <w:rFonts w:hint="eastAsia" w:cs="Times New Roman"/>
        </w:rPr>
        <w:t>、</w:t>
      </w:r>
      <w:r>
        <w:rPr>
          <w:rFonts w:cs="Times New Roman"/>
        </w:rPr>
        <w:t>常州市金坛区新朋建筑材料厂（普通合伙）</w:t>
      </w:r>
      <w:r>
        <w:rPr>
          <w:rFonts w:hint="eastAsia" w:cs="Times New Roman"/>
        </w:rPr>
        <w:t>5家企业均已申请排污许可证，并按照排污许可证规定和有关标准规范，依法开展自行监测。根据企业2023—2024年排污许执行情况报告，现状企业大气污染物均按排污许可要求进行达标排放，各企业大气污染物自行监测情况见下表。</w:t>
      </w:r>
    </w:p>
    <w:p w14:paraId="380F577A">
      <w:pPr>
        <w:pStyle w:val="45"/>
        <w:rPr>
          <w:rFonts w:cs="Times New Roman"/>
        </w:rPr>
      </w:pPr>
      <w:r>
        <w:rPr>
          <w:rFonts w:cs="Times New Roman"/>
        </w:rPr>
        <w:t>表</w:t>
      </w:r>
      <w:r>
        <w:rPr>
          <w:rFonts w:hint="eastAsia" w:cs="Times New Roman"/>
        </w:rPr>
        <w:t xml:space="preserve">3.4-17 </w:t>
      </w:r>
      <w:r>
        <w:rPr>
          <w:rFonts w:cs="Times New Roman"/>
        </w:rPr>
        <w:t xml:space="preserve"> </w:t>
      </w:r>
      <w:r>
        <w:rPr>
          <w:rFonts w:hint="eastAsia" w:cs="Times New Roman"/>
        </w:rPr>
        <w:t>企业大气污染物自行监测数据统计表</w:t>
      </w:r>
    </w:p>
    <w:tbl>
      <w:tblPr>
        <w:tblStyle w:val="25"/>
        <w:tblW w:w="5000" w:type="pct"/>
        <w:tblInd w:w="0" w:type="dxa"/>
        <w:tblLayout w:type="fixed"/>
        <w:tblCellMar>
          <w:top w:w="0" w:type="dxa"/>
          <w:left w:w="108" w:type="dxa"/>
          <w:bottom w:w="0" w:type="dxa"/>
          <w:right w:w="108" w:type="dxa"/>
        </w:tblCellMar>
      </w:tblPr>
      <w:tblGrid>
        <w:gridCol w:w="1454"/>
        <w:gridCol w:w="1418"/>
        <w:gridCol w:w="768"/>
        <w:gridCol w:w="1383"/>
        <w:gridCol w:w="874"/>
        <w:gridCol w:w="874"/>
        <w:gridCol w:w="874"/>
        <w:gridCol w:w="877"/>
      </w:tblGrid>
      <w:tr w14:paraId="0F5E2190">
        <w:tblPrEx>
          <w:tblCellMar>
            <w:top w:w="0" w:type="dxa"/>
            <w:left w:w="108" w:type="dxa"/>
            <w:bottom w:w="0" w:type="dxa"/>
            <w:right w:w="108" w:type="dxa"/>
          </w:tblCellMar>
        </w:tblPrEx>
        <w:trPr>
          <w:trHeight w:val="270" w:hRule="atLeast"/>
          <w:tblHeader/>
        </w:trPr>
        <w:tc>
          <w:tcPr>
            <w:tcW w:w="852" w:type="pct"/>
            <w:vMerge w:val="restart"/>
            <w:tcBorders>
              <w:top w:val="single" w:color="000000" w:sz="4" w:space="0"/>
              <w:left w:val="single" w:color="000000" w:sz="4" w:space="0"/>
              <w:right w:val="single" w:color="000000" w:sz="4" w:space="0"/>
            </w:tcBorders>
            <w:vAlign w:val="center"/>
          </w:tcPr>
          <w:p w14:paraId="2F672202">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企业名称</w:t>
            </w:r>
          </w:p>
        </w:tc>
        <w:tc>
          <w:tcPr>
            <w:tcW w:w="831" w:type="pct"/>
            <w:vMerge w:val="restart"/>
            <w:tcBorders>
              <w:top w:val="single" w:color="000000" w:sz="4" w:space="0"/>
              <w:left w:val="single" w:color="000000" w:sz="4" w:space="0"/>
              <w:right w:val="single" w:color="000000" w:sz="4" w:space="0"/>
            </w:tcBorders>
            <w:noWrap/>
            <w:vAlign w:val="center"/>
          </w:tcPr>
          <w:p w14:paraId="7C089FB3">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污染物</w:t>
            </w:r>
          </w:p>
        </w:tc>
        <w:tc>
          <w:tcPr>
            <w:tcW w:w="450" w:type="pct"/>
            <w:vMerge w:val="restart"/>
            <w:tcBorders>
              <w:top w:val="single" w:color="000000" w:sz="4" w:space="0"/>
              <w:left w:val="single" w:color="000000" w:sz="4" w:space="0"/>
              <w:right w:val="single" w:color="000000" w:sz="4" w:space="0"/>
            </w:tcBorders>
            <w:noWrap/>
            <w:vAlign w:val="center"/>
          </w:tcPr>
          <w:p w14:paraId="370DCBA6">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监测方式</w:t>
            </w:r>
          </w:p>
        </w:tc>
        <w:tc>
          <w:tcPr>
            <w:tcW w:w="811" w:type="pct"/>
            <w:vMerge w:val="restart"/>
            <w:tcBorders>
              <w:top w:val="single" w:color="000000" w:sz="4" w:space="0"/>
              <w:left w:val="single" w:color="000000" w:sz="4" w:space="0"/>
              <w:right w:val="single" w:color="000000" w:sz="4" w:space="0"/>
            </w:tcBorders>
            <w:noWrap/>
            <w:vAlign w:val="center"/>
          </w:tcPr>
          <w:p w14:paraId="1ED04271">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许可排放浓度限值（mg/m</w:t>
            </w:r>
            <w:r>
              <w:rPr>
                <w:rFonts w:cs="Times New Roman"/>
                <w:b/>
                <w:bCs/>
                <w:color w:val="000000"/>
                <w:kern w:val="0"/>
                <w:sz w:val="21"/>
                <w:szCs w:val="21"/>
                <w:vertAlign w:val="superscript"/>
                <w:lang w:bidi="ar"/>
              </w:rPr>
              <w:t>3</w:t>
            </w:r>
            <w:r>
              <w:rPr>
                <w:rFonts w:cs="Times New Roman"/>
                <w:b/>
                <w:bCs/>
                <w:color w:val="000000"/>
                <w:kern w:val="0"/>
                <w:sz w:val="21"/>
                <w:szCs w:val="21"/>
                <w:lang w:bidi="ar"/>
              </w:rPr>
              <w:t>)</w:t>
            </w:r>
          </w:p>
        </w:tc>
        <w:tc>
          <w:tcPr>
            <w:tcW w:w="2054" w:type="pct"/>
            <w:gridSpan w:val="4"/>
            <w:tcBorders>
              <w:top w:val="single" w:color="000000" w:sz="4" w:space="0"/>
              <w:left w:val="single" w:color="000000" w:sz="4" w:space="0"/>
              <w:bottom w:val="single" w:color="000000" w:sz="4" w:space="0"/>
              <w:right w:val="single" w:color="000000" w:sz="4" w:space="0"/>
            </w:tcBorders>
            <w:noWrap/>
            <w:vAlign w:val="center"/>
          </w:tcPr>
          <w:p w14:paraId="3A2F238B">
            <w:pPr>
              <w:widowControl/>
              <w:spacing w:line="240" w:lineRule="auto"/>
              <w:ind w:firstLine="0" w:firstLineChars="0"/>
              <w:jc w:val="center"/>
              <w:rPr>
                <w:rFonts w:cs="Times New Roman"/>
                <w:b/>
                <w:bCs/>
                <w:color w:val="000000"/>
                <w:sz w:val="21"/>
                <w:szCs w:val="21"/>
              </w:rPr>
            </w:pPr>
            <w:r>
              <w:rPr>
                <w:rFonts w:cs="Times New Roman"/>
                <w:b/>
                <w:bCs/>
                <w:color w:val="000000"/>
                <w:kern w:val="0"/>
                <w:sz w:val="21"/>
                <w:szCs w:val="21"/>
                <w:lang w:bidi="ar"/>
              </w:rPr>
              <w:t>监测结果</w:t>
            </w:r>
          </w:p>
        </w:tc>
      </w:tr>
      <w:tr w14:paraId="7358FC2F">
        <w:tblPrEx>
          <w:tblCellMar>
            <w:top w:w="0" w:type="dxa"/>
            <w:left w:w="108" w:type="dxa"/>
            <w:bottom w:w="0" w:type="dxa"/>
            <w:right w:w="108" w:type="dxa"/>
          </w:tblCellMar>
        </w:tblPrEx>
        <w:trPr>
          <w:trHeight w:val="810" w:hRule="atLeast"/>
          <w:tblHeader/>
        </w:trPr>
        <w:tc>
          <w:tcPr>
            <w:tcW w:w="852" w:type="pct"/>
            <w:vMerge w:val="continue"/>
            <w:tcBorders>
              <w:left w:val="single" w:color="000000" w:sz="4" w:space="0"/>
              <w:bottom w:val="single" w:color="000000" w:sz="4" w:space="0"/>
              <w:right w:val="single" w:color="000000" w:sz="4" w:space="0"/>
            </w:tcBorders>
            <w:vAlign w:val="center"/>
          </w:tcPr>
          <w:p w14:paraId="06B53A0F">
            <w:pPr>
              <w:widowControl/>
              <w:spacing w:line="240" w:lineRule="auto"/>
              <w:ind w:firstLine="0" w:firstLineChars="0"/>
              <w:jc w:val="center"/>
              <w:textAlignment w:val="center"/>
              <w:rPr>
                <w:rFonts w:cs="Times New Roman"/>
                <w:b/>
                <w:bCs/>
                <w:color w:val="000000"/>
                <w:sz w:val="21"/>
                <w:szCs w:val="21"/>
              </w:rPr>
            </w:pPr>
          </w:p>
        </w:tc>
        <w:tc>
          <w:tcPr>
            <w:tcW w:w="831" w:type="pct"/>
            <w:vMerge w:val="continue"/>
            <w:tcBorders>
              <w:left w:val="single" w:color="000000" w:sz="4" w:space="0"/>
              <w:bottom w:val="single" w:color="000000" w:sz="4" w:space="0"/>
              <w:right w:val="single" w:color="000000" w:sz="4" w:space="0"/>
            </w:tcBorders>
            <w:noWrap/>
            <w:vAlign w:val="center"/>
          </w:tcPr>
          <w:p w14:paraId="0EFAFC96">
            <w:pPr>
              <w:widowControl/>
              <w:spacing w:line="240" w:lineRule="auto"/>
              <w:ind w:firstLine="0" w:firstLineChars="0"/>
              <w:jc w:val="center"/>
              <w:textAlignment w:val="center"/>
              <w:rPr>
                <w:rFonts w:cs="Times New Roman"/>
                <w:b/>
                <w:bCs/>
                <w:color w:val="000000"/>
                <w:sz w:val="21"/>
                <w:szCs w:val="21"/>
              </w:rPr>
            </w:pPr>
          </w:p>
        </w:tc>
        <w:tc>
          <w:tcPr>
            <w:tcW w:w="450" w:type="pct"/>
            <w:vMerge w:val="continue"/>
            <w:tcBorders>
              <w:left w:val="single" w:color="000000" w:sz="4" w:space="0"/>
              <w:bottom w:val="single" w:color="000000" w:sz="4" w:space="0"/>
              <w:right w:val="single" w:color="000000" w:sz="4" w:space="0"/>
            </w:tcBorders>
            <w:noWrap/>
            <w:vAlign w:val="center"/>
          </w:tcPr>
          <w:p w14:paraId="148E121B">
            <w:pPr>
              <w:widowControl/>
              <w:spacing w:line="240" w:lineRule="auto"/>
              <w:ind w:firstLine="0" w:firstLineChars="0"/>
              <w:jc w:val="center"/>
              <w:textAlignment w:val="center"/>
              <w:rPr>
                <w:rFonts w:cs="Times New Roman"/>
                <w:b/>
                <w:bCs/>
                <w:color w:val="000000"/>
                <w:sz w:val="21"/>
                <w:szCs w:val="21"/>
              </w:rPr>
            </w:pPr>
          </w:p>
        </w:tc>
        <w:tc>
          <w:tcPr>
            <w:tcW w:w="811" w:type="pct"/>
            <w:vMerge w:val="continue"/>
            <w:tcBorders>
              <w:left w:val="single" w:color="000000" w:sz="4" w:space="0"/>
              <w:bottom w:val="single" w:color="000000" w:sz="4" w:space="0"/>
              <w:right w:val="single" w:color="000000" w:sz="4" w:space="0"/>
            </w:tcBorders>
            <w:vAlign w:val="center"/>
          </w:tcPr>
          <w:p w14:paraId="6689B0DD">
            <w:pPr>
              <w:widowControl/>
              <w:spacing w:line="240" w:lineRule="auto"/>
              <w:ind w:firstLine="0" w:firstLineChars="0"/>
              <w:jc w:val="center"/>
              <w:textAlignment w:val="center"/>
              <w:rPr>
                <w:rFonts w:cs="Times New Roman"/>
                <w:b/>
                <w:bCs/>
                <w:color w:val="000000"/>
                <w:sz w:val="21"/>
                <w:szCs w:val="21"/>
              </w:rPr>
            </w:pP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180D53E6">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最小值</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572518B9">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最大值</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66B53B7E">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平均值</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2BA30D2E">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超标率(%)</w:t>
            </w:r>
          </w:p>
        </w:tc>
      </w:tr>
      <w:tr w14:paraId="5D959F83">
        <w:tblPrEx>
          <w:tblCellMar>
            <w:top w:w="0" w:type="dxa"/>
            <w:left w:w="108" w:type="dxa"/>
            <w:bottom w:w="0" w:type="dxa"/>
            <w:right w:w="108" w:type="dxa"/>
          </w:tblCellMar>
        </w:tblPrEx>
        <w:trPr>
          <w:trHeight w:val="270" w:hRule="atLeast"/>
        </w:trPr>
        <w:tc>
          <w:tcPr>
            <w:tcW w:w="852" w:type="pct"/>
            <w:vMerge w:val="restart"/>
            <w:tcBorders>
              <w:top w:val="single" w:color="000000" w:sz="4" w:space="0"/>
              <w:left w:val="single" w:color="000000" w:sz="4" w:space="0"/>
              <w:bottom w:val="single" w:color="000000" w:sz="4" w:space="0"/>
              <w:right w:val="single" w:color="000000" w:sz="4" w:space="0"/>
            </w:tcBorders>
            <w:vAlign w:val="center"/>
          </w:tcPr>
          <w:p w14:paraId="5047B81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常州市金坛区新朋建筑材料厂（普通合伙）</w:t>
            </w: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390C268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二氧化硫</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7EEB496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自动</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6C82989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150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620CA91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0.44</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7779B3D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101.10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484093C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50.77</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26F3451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15804E05">
        <w:tblPrEx>
          <w:tblCellMar>
            <w:top w:w="0" w:type="dxa"/>
            <w:left w:w="108" w:type="dxa"/>
            <w:bottom w:w="0" w:type="dxa"/>
            <w:right w:w="108" w:type="dxa"/>
          </w:tblCellMar>
        </w:tblPrEx>
        <w:trPr>
          <w:trHeight w:val="270" w:hRule="atLeast"/>
        </w:trPr>
        <w:tc>
          <w:tcPr>
            <w:tcW w:w="852" w:type="pct"/>
            <w:vMerge w:val="continue"/>
            <w:tcBorders>
              <w:top w:val="single" w:color="000000" w:sz="4" w:space="0"/>
              <w:left w:val="single" w:color="000000" w:sz="4" w:space="0"/>
              <w:bottom w:val="single" w:color="000000" w:sz="4" w:space="0"/>
              <w:right w:val="single" w:color="000000" w:sz="4" w:space="0"/>
            </w:tcBorders>
            <w:vAlign w:val="center"/>
          </w:tcPr>
          <w:p w14:paraId="1F467542">
            <w:pPr>
              <w:widowControl/>
              <w:spacing w:line="240" w:lineRule="auto"/>
              <w:ind w:firstLine="0" w:firstLineChars="0"/>
              <w:jc w:val="center"/>
              <w:rPr>
                <w:rFonts w:cs="Times New Roman"/>
                <w:color w:val="000000"/>
                <w:sz w:val="21"/>
                <w:szCs w:val="21"/>
              </w:rPr>
            </w:pP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07FDC72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氮氧化物</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5F9C2F3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自动</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0CCF9CA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413F040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0.561</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1DCA9F8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34.849</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032C72E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17.705</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03381A0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2E61CAF6">
        <w:tblPrEx>
          <w:tblCellMar>
            <w:top w:w="0" w:type="dxa"/>
            <w:left w:w="108" w:type="dxa"/>
            <w:bottom w:w="0" w:type="dxa"/>
            <w:right w:w="108" w:type="dxa"/>
          </w:tblCellMar>
        </w:tblPrEx>
        <w:trPr>
          <w:trHeight w:val="270" w:hRule="atLeast"/>
        </w:trPr>
        <w:tc>
          <w:tcPr>
            <w:tcW w:w="852" w:type="pct"/>
            <w:vMerge w:val="continue"/>
            <w:tcBorders>
              <w:top w:val="single" w:color="000000" w:sz="4" w:space="0"/>
              <w:left w:val="single" w:color="000000" w:sz="4" w:space="0"/>
              <w:bottom w:val="single" w:color="000000" w:sz="4" w:space="0"/>
              <w:right w:val="single" w:color="000000" w:sz="4" w:space="0"/>
            </w:tcBorders>
            <w:vAlign w:val="center"/>
          </w:tcPr>
          <w:p w14:paraId="26ECE70E">
            <w:pPr>
              <w:widowControl/>
              <w:spacing w:line="240" w:lineRule="auto"/>
              <w:ind w:firstLine="0" w:firstLineChars="0"/>
              <w:jc w:val="center"/>
              <w:rPr>
                <w:rFonts w:cs="Times New Roman"/>
                <w:color w:val="000000"/>
                <w:sz w:val="21"/>
                <w:szCs w:val="21"/>
              </w:rPr>
            </w:pP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0328854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颗粒物</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2F8A0DE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自动</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159BE15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411D639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0.03</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54CA245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28.98</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5BFC18A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14.505</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156A3D6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44CB5789">
        <w:tblPrEx>
          <w:tblCellMar>
            <w:top w:w="0" w:type="dxa"/>
            <w:left w:w="108" w:type="dxa"/>
            <w:bottom w:w="0" w:type="dxa"/>
            <w:right w:w="108" w:type="dxa"/>
          </w:tblCellMar>
        </w:tblPrEx>
        <w:trPr>
          <w:trHeight w:val="270" w:hRule="atLeast"/>
        </w:trPr>
        <w:tc>
          <w:tcPr>
            <w:tcW w:w="852" w:type="pct"/>
            <w:vMerge w:val="restart"/>
            <w:tcBorders>
              <w:top w:val="single" w:color="000000" w:sz="4" w:space="0"/>
              <w:left w:val="single" w:color="000000" w:sz="4" w:space="0"/>
              <w:bottom w:val="single" w:color="000000" w:sz="4" w:space="0"/>
              <w:right w:val="single" w:color="000000" w:sz="4" w:space="0"/>
            </w:tcBorders>
            <w:vAlign w:val="center"/>
          </w:tcPr>
          <w:p w14:paraId="707B521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常州市金坛创新建材有限公司</w:t>
            </w: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610163E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二氧化硫</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44AB799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手工</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33987A7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80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2AF6F8A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ND</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6ED0351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ND</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69DEE5C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ND</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568EF3F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1F58FF72">
        <w:tblPrEx>
          <w:tblCellMar>
            <w:top w:w="0" w:type="dxa"/>
            <w:left w:w="108" w:type="dxa"/>
            <w:bottom w:w="0" w:type="dxa"/>
            <w:right w:w="108" w:type="dxa"/>
          </w:tblCellMar>
        </w:tblPrEx>
        <w:trPr>
          <w:trHeight w:val="270" w:hRule="atLeast"/>
        </w:trPr>
        <w:tc>
          <w:tcPr>
            <w:tcW w:w="852" w:type="pct"/>
            <w:vMerge w:val="continue"/>
            <w:tcBorders>
              <w:top w:val="single" w:color="000000" w:sz="4" w:space="0"/>
              <w:left w:val="single" w:color="000000" w:sz="4" w:space="0"/>
              <w:bottom w:val="single" w:color="000000" w:sz="4" w:space="0"/>
              <w:right w:val="single" w:color="000000" w:sz="4" w:space="0"/>
            </w:tcBorders>
            <w:vAlign w:val="center"/>
          </w:tcPr>
          <w:p w14:paraId="79A99996">
            <w:pPr>
              <w:widowControl/>
              <w:spacing w:line="240" w:lineRule="auto"/>
              <w:ind w:firstLine="0" w:firstLineChars="0"/>
              <w:jc w:val="center"/>
              <w:rPr>
                <w:rFonts w:cs="Times New Roman"/>
                <w:color w:val="000000"/>
                <w:sz w:val="21"/>
                <w:szCs w:val="21"/>
              </w:rPr>
            </w:pP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451C42B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氮氧化物</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784C06E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手工</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4E6B819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180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7BAD770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9</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540800B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53</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242FCAD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31</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39CCA14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44AFD734">
        <w:tblPrEx>
          <w:tblCellMar>
            <w:top w:w="0" w:type="dxa"/>
            <w:left w:w="108" w:type="dxa"/>
            <w:bottom w:w="0" w:type="dxa"/>
            <w:right w:w="108" w:type="dxa"/>
          </w:tblCellMar>
        </w:tblPrEx>
        <w:trPr>
          <w:trHeight w:val="270" w:hRule="atLeast"/>
        </w:trPr>
        <w:tc>
          <w:tcPr>
            <w:tcW w:w="852" w:type="pct"/>
            <w:vMerge w:val="continue"/>
            <w:tcBorders>
              <w:top w:val="single" w:color="000000" w:sz="4" w:space="0"/>
              <w:left w:val="single" w:color="000000" w:sz="4" w:space="0"/>
              <w:bottom w:val="single" w:color="000000" w:sz="4" w:space="0"/>
              <w:right w:val="single" w:color="000000" w:sz="4" w:space="0"/>
            </w:tcBorders>
            <w:vAlign w:val="center"/>
          </w:tcPr>
          <w:p w14:paraId="6037B2D8">
            <w:pPr>
              <w:widowControl/>
              <w:spacing w:line="240" w:lineRule="auto"/>
              <w:ind w:firstLine="0" w:firstLineChars="0"/>
              <w:jc w:val="center"/>
              <w:rPr>
                <w:rFonts w:cs="Times New Roman"/>
                <w:color w:val="000000"/>
                <w:sz w:val="21"/>
                <w:szCs w:val="21"/>
              </w:rPr>
            </w:pP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6C18058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颗粒物</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3B2DB2C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手工</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6D626C2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241727F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2.9</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006339C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3.8</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775A96C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3.35</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3492357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37E40765">
        <w:tblPrEx>
          <w:tblCellMar>
            <w:top w:w="0" w:type="dxa"/>
            <w:left w:w="108" w:type="dxa"/>
            <w:bottom w:w="0" w:type="dxa"/>
            <w:right w:w="108" w:type="dxa"/>
          </w:tblCellMar>
        </w:tblPrEx>
        <w:trPr>
          <w:trHeight w:val="270" w:hRule="atLeast"/>
        </w:trPr>
        <w:tc>
          <w:tcPr>
            <w:tcW w:w="852" w:type="pct"/>
            <w:vMerge w:val="restart"/>
            <w:tcBorders>
              <w:top w:val="single" w:color="000000" w:sz="4" w:space="0"/>
              <w:left w:val="single" w:color="000000" w:sz="4" w:space="0"/>
              <w:right w:val="single" w:color="000000" w:sz="4" w:space="0"/>
            </w:tcBorders>
            <w:noWrap/>
            <w:vAlign w:val="center"/>
          </w:tcPr>
          <w:p w14:paraId="578F637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常州市金坛鼎盛建材厂</w:t>
            </w: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3AFCDEA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二氧化硫</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79D7869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手工</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4AD7624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80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57B9EAB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ND</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47C7B7F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35.3</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14782DB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17.65</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3086102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1DF0CE7E">
        <w:tblPrEx>
          <w:tblCellMar>
            <w:top w:w="0" w:type="dxa"/>
            <w:left w:w="108" w:type="dxa"/>
            <w:bottom w:w="0" w:type="dxa"/>
            <w:right w:w="108" w:type="dxa"/>
          </w:tblCellMar>
        </w:tblPrEx>
        <w:trPr>
          <w:trHeight w:val="270" w:hRule="atLeast"/>
        </w:trPr>
        <w:tc>
          <w:tcPr>
            <w:tcW w:w="852" w:type="pct"/>
            <w:vMerge w:val="continue"/>
            <w:tcBorders>
              <w:left w:val="single" w:color="000000" w:sz="4" w:space="0"/>
              <w:right w:val="single" w:color="000000" w:sz="4" w:space="0"/>
            </w:tcBorders>
            <w:vAlign w:val="center"/>
          </w:tcPr>
          <w:p w14:paraId="5D5D3E03">
            <w:pPr>
              <w:widowControl/>
              <w:spacing w:line="240" w:lineRule="auto"/>
              <w:ind w:firstLine="0" w:firstLineChars="0"/>
              <w:jc w:val="center"/>
              <w:rPr>
                <w:rFonts w:cs="Times New Roman"/>
                <w:color w:val="000000"/>
                <w:sz w:val="21"/>
                <w:szCs w:val="21"/>
              </w:rPr>
            </w:pP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62104BF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氮氧化物</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3B05C8D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手工</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6AABEE8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180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789B613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22.3</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3E386E3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30.3</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754CDA4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26.3</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381CB1C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3E586076">
        <w:tblPrEx>
          <w:tblCellMar>
            <w:top w:w="0" w:type="dxa"/>
            <w:left w:w="108" w:type="dxa"/>
            <w:bottom w:w="0" w:type="dxa"/>
            <w:right w:w="108" w:type="dxa"/>
          </w:tblCellMar>
        </w:tblPrEx>
        <w:trPr>
          <w:trHeight w:val="270" w:hRule="atLeast"/>
        </w:trPr>
        <w:tc>
          <w:tcPr>
            <w:tcW w:w="852" w:type="pct"/>
            <w:vMerge w:val="continue"/>
            <w:tcBorders>
              <w:left w:val="single" w:color="000000" w:sz="4" w:space="0"/>
              <w:bottom w:val="single" w:color="000000" w:sz="4" w:space="0"/>
              <w:right w:val="single" w:color="000000" w:sz="4" w:space="0"/>
            </w:tcBorders>
            <w:vAlign w:val="center"/>
          </w:tcPr>
          <w:p w14:paraId="137BB132">
            <w:pPr>
              <w:widowControl/>
              <w:spacing w:line="240" w:lineRule="auto"/>
              <w:ind w:firstLine="0" w:firstLineChars="0"/>
              <w:jc w:val="center"/>
              <w:rPr>
                <w:rFonts w:cs="Times New Roman"/>
                <w:color w:val="000000"/>
                <w:sz w:val="21"/>
                <w:szCs w:val="21"/>
              </w:rPr>
            </w:pP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6FF51B1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颗粒物</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278999B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手工</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53327C8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0A7759E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1.4</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2106ABE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1.5</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7D5CA94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1.45</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02F2CB0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0582470A">
        <w:tblPrEx>
          <w:tblCellMar>
            <w:top w:w="0" w:type="dxa"/>
            <w:left w:w="108" w:type="dxa"/>
            <w:bottom w:w="0" w:type="dxa"/>
            <w:right w:w="108" w:type="dxa"/>
          </w:tblCellMar>
        </w:tblPrEx>
        <w:trPr>
          <w:trHeight w:val="270" w:hRule="atLeast"/>
        </w:trPr>
        <w:tc>
          <w:tcPr>
            <w:tcW w:w="852" w:type="pct"/>
            <w:vMerge w:val="restart"/>
            <w:tcBorders>
              <w:top w:val="single" w:color="000000" w:sz="4" w:space="0"/>
              <w:left w:val="single" w:color="000000" w:sz="4" w:space="0"/>
              <w:right w:val="single" w:color="000000" w:sz="4" w:space="0"/>
            </w:tcBorders>
            <w:noWrap/>
            <w:vAlign w:val="center"/>
          </w:tcPr>
          <w:p w14:paraId="5B7FD55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常州金坛江豚钙业有限公司</w:t>
            </w: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71D1E0E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二氧化硫</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625D68A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手工</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784D53A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80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39EC0C8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ND</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5ED3BEF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ND</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187EFEA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ND</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0E458AF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50C295F2">
        <w:tblPrEx>
          <w:tblCellMar>
            <w:top w:w="0" w:type="dxa"/>
            <w:left w:w="108" w:type="dxa"/>
            <w:bottom w:w="0" w:type="dxa"/>
            <w:right w:w="108" w:type="dxa"/>
          </w:tblCellMar>
        </w:tblPrEx>
        <w:trPr>
          <w:trHeight w:val="270" w:hRule="atLeast"/>
        </w:trPr>
        <w:tc>
          <w:tcPr>
            <w:tcW w:w="852" w:type="pct"/>
            <w:vMerge w:val="continue"/>
            <w:tcBorders>
              <w:left w:val="single" w:color="000000" w:sz="4" w:space="0"/>
              <w:right w:val="single" w:color="000000" w:sz="4" w:space="0"/>
            </w:tcBorders>
            <w:vAlign w:val="center"/>
          </w:tcPr>
          <w:p w14:paraId="44E80320">
            <w:pPr>
              <w:widowControl/>
              <w:spacing w:line="240" w:lineRule="auto"/>
              <w:ind w:firstLine="0" w:firstLineChars="0"/>
              <w:jc w:val="center"/>
              <w:rPr>
                <w:rFonts w:cs="Times New Roman"/>
                <w:color w:val="000000"/>
                <w:sz w:val="21"/>
                <w:szCs w:val="21"/>
              </w:rPr>
            </w:pP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1D750E0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氮氧化物</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748B452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手工</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253D005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180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0A8D2D6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44</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6BF3914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109</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0A1190C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76.5</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599D0A4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3B960D79">
        <w:tblPrEx>
          <w:tblCellMar>
            <w:top w:w="0" w:type="dxa"/>
            <w:left w:w="108" w:type="dxa"/>
            <w:bottom w:w="0" w:type="dxa"/>
            <w:right w:w="108" w:type="dxa"/>
          </w:tblCellMar>
        </w:tblPrEx>
        <w:trPr>
          <w:trHeight w:val="270" w:hRule="atLeast"/>
        </w:trPr>
        <w:tc>
          <w:tcPr>
            <w:tcW w:w="852" w:type="pct"/>
            <w:vMerge w:val="continue"/>
            <w:tcBorders>
              <w:left w:val="single" w:color="000000" w:sz="4" w:space="0"/>
              <w:bottom w:val="single" w:color="000000" w:sz="4" w:space="0"/>
              <w:right w:val="single" w:color="000000" w:sz="4" w:space="0"/>
            </w:tcBorders>
            <w:vAlign w:val="center"/>
          </w:tcPr>
          <w:p w14:paraId="1D304FAA">
            <w:pPr>
              <w:widowControl/>
              <w:spacing w:line="240" w:lineRule="auto"/>
              <w:ind w:firstLine="0" w:firstLineChars="0"/>
              <w:jc w:val="center"/>
              <w:rPr>
                <w:rFonts w:cs="Times New Roman"/>
                <w:color w:val="000000"/>
                <w:sz w:val="21"/>
                <w:szCs w:val="21"/>
              </w:rPr>
            </w:pP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2A0A407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颗粒物</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2082A59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手工</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33A9E21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50744B0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2.2</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571612A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5.4</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2B5FC2B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3.8</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6B5295C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0F66B1C0">
        <w:tblPrEx>
          <w:tblCellMar>
            <w:top w:w="0" w:type="dxa"/>
            <w:left w:w="108" w:type="dxa"/>
            <w:bottom w:w="0" w:type="dxa"/>
            <w:right w:w="108" w:type="dxa"/>
          </w:tblCellMar>
        </w:tblPrEx>
        <w:trPr>
          <w:trHeight w:val="270" w:hRule="atLeast"/>
        </w:trPr>
        <w:tc>
          <w:tcPr>
            <w:tcW w:w="852" w:type="pct"/>
            <w:vMerge w:val="restart"/>
            <w:tcBorders>
              <w:top w:val="single" w:color="000000" w:sz="4" w:space="0"/>
              <w:left w:val="single" w:color="000000" w:sz="4" w:space="0"/>
              <w:right w:val="single" w:color="000000" w:sz="4" w:space="0"/>
            </w:tcBorders>
            <w:noWrap/>
            <w:vAlign w:val="center"/>
          </w:tcPr>
          <w:p w14:paraId="07A55D0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金坛东运钙业有限公司</w:t>
            </w: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10DD1BE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二氧化硫</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6AA6F8E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手工</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169A603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80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7EF967B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ND</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2162EFD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ND</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2A7355F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ND</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60630B9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74E33E6D">
        <w:tblPrEx>
          <w:tblCellMar>
            <w:top w:w="0" w:type="dxa"/>
            <w:left w:w="108" w:type="dxa"/>
            <w:bottom w:w="0" w:type="dxa"/>
            <w:right w:w="108" w:type="dxa"/>
          </w:tblCellMar>
        </w:tblPrEx>
        <w:trPr>
          <w:trHeight w:val="270" w:hRule="atLeast"/>
        </w:trPr>
        <w:tc>
          <w:tcPr>
            <w:tcW w:w="852" w:type="pct"/>
            <w:vMerge w:val="continue"/>
            <w:tcBorders>
              <w:left w:val="single" w:color="000000" w:sz="4" w:space="0"/>
              <w:right w:val="single" w:color="000000" w:sz="4" w:space="0"/>
            </w:tcBorders>
            <w:vAlign w:val="center"/>
          </w:tcPr>
          <w:p w14:paraId="2E621C7B">
            <w:pPr>
              <w:widowControl/>
              <w:spacing w:line="240" w:lineRule="auto"/>
              <w:ind w:firstLine="0" w:firstLineChars="0"/>
              <w:jc w:val="center"/>
              <w:rPr>
                <w:rFonts w:cs="Times New Roman"/>
                <w:color w:val="000000"/>
                <w:sz w:val="21"/>
                <w:szCs w:val="21"/>
              </w:rPr>
            </w:pP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2D84446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氮氧化物</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19DCAD2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手工</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59897D3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180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0AC6657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146</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7AC9D82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161</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364EE0E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153.5</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478B022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r w14:paraId="55D124F5">
        <w:tblPrEx>
          <w:tblCellMar>
            <w:top w:w="0" w:type="dxa"/>
            <w:left w:w="108" w:type="dxa"/>
            <w:bottom w:w="0" w:type="dxa"/>
            <w:right w:w="108" w:type="dxa"/>
          </w:tblCellMar>
        </w:tblPrEx>
        <w:trPr>
          <w:trHeight w:val="270" w:hRule="atLeast"/>
        </w:trPr>
        <w:tc>
          <w:tcPr>
            <w:tcW w:w="852" w:type="pct"/>
            <w:vMerge w:val="continue"/>
            <w:tcBorders>
              <w:left w:val="single" w:color="000000" w:sz="4" w:space="0"/>
              <w:bottom w:val="single" w:color="000000" w:sz="4" w:space="0"/>
              <w:right w:val="single" w:color="000000" w:sz="4" w:space="0"/>
            </w:tcBorders>
            <w:vAlign w:val="center"/>
          </w:tcPr>
          <w:p w14:paraId="435C6D7F">
            <w:pPr>
              <w:widowControl/>
              <w:spacing w:line="240" w:lineRule="auto"/>
              <w:ind w:firstLine="0" w:firstLineChars="0"/>
              <w:jc w:val="center"/>
              <w:rPr>
                <w:rFonts w:cs="Times New Roman"/>
                <w:color w:val="000000"/>
                <w:sz w:val="21"/>
                <w:szCs w:val="21"/>
              </w:rPr>
            </w:pP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42BCA5E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颗粒物</w:t>
            </w:r>
          </w:p>
        </w:tc>
        <w:tc>
          <w:tcPr>
            <w:tcW w:w="450" w:type="pct"/>
            <w:tcBorders>
              <w:top w:val="single" w:color="000000" w:sz="4" w:space="0"/>
              <w:left w:val="single" w:color="000000" w:sz="4" w:space="0"/>
              <w:bottom w:val="single" w:color="000000" w:sz="4" w:space="0"/>
              <w:right w:val="single" w:color="000000" w:sz="4" w:space="0"/>
            </w:tcBorders>
            <w:noWrap/>
            <w:vAlign w:val="center"/>
          </w:tcPr>
          <w:p w14:paraId="482C707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手工</w:t>
            </w:r>
          </w:p>
        </w:tc>
        <w:tc>
          <w:tcPr>
            <w:tcW w:w="811" w:type="pct"/>
            <w:tcBorders>
              <w:top w:val="single" w:color="000000" w:sz="4" w:space="0"/>
              <w:left w:val="single" w:color="000000" w:sz="4" w:space="0"/>
              <w:bottom w:val="single" w:color="000000" w:sz="4" w:space="0"/>
              <w:right w:val="single" w:color="000000" w:sz="4" w:space="0"/>
            </w:tcBorders>
            <w:noWrap/>
            <w:vAlign w:val="center"/>
          </w:tcPr>
          <w:p w14:paraId="6ADBBCE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7DDD4B8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1.7</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27BD203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2.3</w:t>
            </w:r>
          </w:p>
        </w:tc>
        <w:tc>
          <w:tcPr>
            <w:tcW w:w="513" w:type="pct"/>
            <w:tcBorders>
              <w:top w:val="single" w:color="000000" w:sz="4" w:space="0"/>
              <w:left w:val="single" w:color="000000" w:sz="4" w:space="0"/>
              <w:bottom w:val="single" w:color="000000" w:sz="4" w:space="0"/>
              <w:right w:val="single" w:color="000000" w:sz="4" w:space="0"/>
            </w:tcBorders>
            <w:noWrap/>
            <w:vAlign w:val="center"/>
          </w:tcPr>
          <w:p w14:paraId="617A329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w:t>
            </w:r>
          </w:p>
        </w:tc>
        <w:tc>
          <w:tcPr>
            <w:tcW w:w="514" w:type="pct"/>
            <w:tcBorders>
              <w:top w:val="single" w:color="000000" w:sz="4" w:space="0"/>
              <w:left w:val="single" w:color="000000" w:sz="4" w:space="0"/>
              <w:bottom w:val="single" w:color="000000" w:sz="4" w:space="0"/>
              <w:right w:val="single" w:color="000000" w:sz="4" w:space="0"/>
            </w:tcBorders>
            <w:noWrap/>
            <w:vAlign w:val="center"/>
          </w:tcPr>
          <w:p w14:paraId="5B0F79A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w:t>
            </w:r>
          </w:p>
        </w:tc>
      </w:tr>
    </w:tbl>
    <w:p w14:paraId="70515AF5">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3.4.</w:t>
      </w:r>
      <w:r>
        <w:rPr>
          <w:rFonts w:hint="eastAsia" w:eastAsia="方正楷体_GBK" w:cs="Times New Roman"/>
          <w:b/>
          <w:bCs/>
          <w:szCs w:val="28"/>
          <w14:ligatures w14:val="none"/>
        </w:rPr>
        <w:t>5现状污染源调查评价</w:t>
      </w:r>
    </w:p>
    <w:p w14:paraId="7C1B6DA0">
      <w:pPr>
        <w:ind w:firstLine="0" w:firstLineChars="0"/>
        <w:outlineLvl w:val="3"/>
      </w:pPr>
      <w:r>
        <w:t>3</w:t>
      </w:r>
      <w:r>
        <w:rPr>
          <w:rFonts w:hint="eastAsia"/>
        </w:rPr>
        <w:t>.</w:t>
      </w:r>
      <w:r>
        <w:t>4</w:t>
      </w:r>
      <w:r>
        <w:rPr>
          <w:rFonts w:hint="eastAsia"/>
        </w:rPr>
        <w:t>.</w:t>
      </w:r>
      <w:r>
        <w:t>5</w:t>
      </w:r>
      <w:r>
        <w:rPr>
          <w:rFonts w:hint="eastAsia"/>
        </w:rPr>
        <w:t>.</w:t>
      </w:r>
      <w:r>
        <w:t>1</w:t>
      </w:r>
      <w:r>
        <w:rPr>
          <w:rFonts w:hint="eastAsia"/>
        </w:rPr>
        <w:t>废气污染源</w:t>
      </w:r>
    </w:p>
    <w:p w14:paraId="43498072">
      <w:pPr>
        <w:ind w:firstLine="480"/>
      </w:pPr>
      <w:r>
        <w:rPr>
          <w:rFonts w:hint="eastAsia"/>
        </w:rPr>
        <w:t>（1）工业污染源</w:t>
      </w:r>
    </w:p>
    <w:p w14:paraId="75D16FD9">
      <w:pPr>
        <w:ind w:firstLine="480"/>
      </w:pPr>
      <w:r>
        <w:rPr>
          <w:rFonts w:hint="eastAsia"/>
        </w:rPr>
        <w:t>度假区现状企业废气污染物主要来自区内企业工艺生产过程中产生的粉尘、挥发性有机物等。根据茅山旅游度假区管理办公室提供的资料，结合现场调查，度假区内除常州市金坛麦宝食品有限公司、金坛市金星包装有限公司不涉及大气污染物排放，其余</w:t>
      </w:r>
      <w:r>
        <w:t>6</w:t>
      </w:r>
      <w:r>
        <w:rPr>
          <w:rFonts w:hint="eastAsia"/>
        </w:rPr>
        <w:t>家企业涉及废气污染物排放。根据企业环评及其批复等资料，度假区工业企业各主要废气污染物排放量分别为颗粒物2</w:t>
      </w:r>
      <w:r>
        <w:t>2.13</w:t>
      </w:r>
      <w:r>
        <w:rPr>
          <w:rFonts w:hint="eastAsia"/>
        </w:rPr>
        <w:t>t/a、粉尘</w:t>
      </w:r>
      <w:r>
        <w:t>20.</w:t>
      </w:r>
      <w:r>
        <w:rPr>
          <w:rFonts w:hint="eastAsia"/>
        </w:rPr>
        <w:t>79t/a、氮氧化物1</w:t>
      </w:r>
      <w:r>
        <w:t>26.49</w:t>
      </w:r>
      <w:r>
        <w:rPr>
          <w:rFonts w:hint="eastAsia"/>
        </w:rPr>
        <w:t>t/a、二氧化硫2</w:t>
      </w:r>
      <w:r>
        <w:t>5.84</w:t>
      </w:r>
      <w:r>
        <w:rPr>
          <w:rFonts w:hint="eastAsia"/>
        </w:rPr>
        <w:t>t/a。</w:t>
      </w:r>
    </w:p>
    <w:p w14:paraId="7EBCE13F">
      <w:pPr>
        <w:pStyle w:val="45"/>
        <w:rPr>
          <w:rFonts w:cs="Times New Roman"/>
        </w:rPr>
      </w:pPr>
      <w:r>
        <w:rPr>
          <w:rFonts w:hint="eastAsia" w:cs="Times New Roman"/>
        </w:rPr>
        <w:t>表3.</w:t>
      </w:r>
      <w:r>
        <w:rPr>
          <w:rFonts w:cs="Times New Roman"/>
        </w:rPr>
        <w:t>4</w:t>
      </w:r>
      <w:r>
        <w:rPr>
          <w:rFonts w:hint="eastAsia" w:cs="Times New Roman"/>
        </w:rPr>
        <w:t xml:space="preserve">-18 </w:t>
      </w:r>
      <w:r>
        <w:rPr>
          <w:rFonts w:cs="Times New Roman"/>
        </w:rPr>
        <w:t xml:space="preserve"> </w:t>
      </w:r>
      <w:r>
        <w:rPr>
          <w:rFonts w:hint="eastAsia" w:cs="Times New Roman"/>
        </w:rPr>
        <w:t>度假区现在企业大气污染物排放统计</w:t>
      </w:r>
    </w:p>
    <w:tbl>
      <w:tblPr>
        <w:tblStyle w:val="25"/>
        <w:tblW w:w="4998" w:type="pct"/>
        <w:jc w:val="center"/>
        <w:tblLayout w:type="autofit"/>
        <w:tblCellMar>
          <w:top w:w="0" w:type="dxa"/>
          <w:left w:w="108" w:type="dxa"/>
          <w:bottom w:w="0" w:type="dxa"/>
          <w:right w:w="108" w:type="dxa"/>
        </w:tblCellMar>
      </w:tblPr>
      <w:tblGrid>
        <w:gridCol w:w="782"/>
        <w:gridCol w:w="2982"/>
        <w:gridCol w:w="1188"/>
        <w:gridCol w:w="1188"/>
        <w:gridCol w:w="1188"/>
        <w:gridCol w:w="1191"/>
      </w:tblGrid>
      <w:tr w14:paraId="59A4B5C5">
        <w:tblPrEx>
          <w:tblCellMar>
            <w:top w:w="0" w:type="dxa"/>
            <w:left w:w="108" w:type="dxa"/>
            <w:bottom w:w="0" w:type="dxa"/>
            <w:right w:w="108" w:type="dxa"/>
          </w:tblCellMar>
        </w:tblPrEx>
        <w:trPr>
          <w:trHeight w:val="585" w:hRule="atLeast"/>
          <w:jc w:val="center"/>
        </w:trPr>
        <w:tc>
          <w:tcPr>
            <w:tcW w:w="459" w:type="pct"/>
            <w:vMerge w:val="restart"/>
            <w:tcBorders>
              <w:top w:val="single" w:color="000000" w:sz="4" w:space="0"/>
              <w:left w:val="single" w:color="000000" w:sz="4" w:space="0"/>
              <w:bottom w:val="single" w:color="000000" w:sz="4" w:space="0"/>
              <w:right w:val="single" w:color="000000" w:sz="4" w:space="0"/>
            </w:tcBorders>
            <w:vAlign w:val="center"/>
          </w:tcPr>
          <w:p w14:paraId="2F1A332F">
            <w:pPr>
              <w:widowControl/>
              <w:spacing w:line="240" w:lineRule="auto"/>
              <w:ind w:firstLine="0" w:firstLineChars="0"/>
              <w:jc w:val="center"/>
              <w:textAlignment w:val="center"/>
              <w:rPr>
                <w:rFonts w:cs="Times New Roman"/>
                <w:b/>
                <w:bCs/>
                <w:color w:val="000000"/>
                <w:sz w:val="21"/>
                <w:szCs w:val="21"/>
              </w:rPr>
            </w:pPr>
            <w:r>
              <w:rPr>
                <w:rStyle w:val="109"/>
                <w:rFonts w:hint="default" w:ascii="Times New Roman" w:hAnsi="Times New Roman" w:eastAsia="仿宋_GB2312" w:cs="Times New Roman"/>
                <w:sz w:val="21"/>
                <w:szCs w:val="21"/>
                <w:lang w:bidi="ar"/>
              </w:rPr>
              <w:t>序号</w:t>
            </w:r>
          </w:p>
        </w:tc>
        <w:tc>
          <w:tcPr>
            <w:tcW w:w="1749" w:type="pct"/>
            <w:vMerge w:val="restart"/>
            <w:tcBorders>
              <w:top w:val="single" w:color="000000" w:sz="4" w:space="0"/>
              <w:left w:val="single" w:color="000000" w:sz="4" w:space="0"/>
              <w:bottom w:val="single" w:color="000000" w:sz="4" w:space="0"/>
              <w:right w:val="single" w:color="000000" w:sz="4" w:space="0"/>
            </w:tcBorders>
            <w:vAlign w:val="center"/>
          </w:tcPr>
          <w:p w14:paraId="1B2A7150">
            <w:pPr>
              <w:widowControl/>
              <w:spacing w:line="240" w:lineRule="auto"/>
              <w:ind w:firstLine="0" w:firstLineChars="0"/>
              <w:jc w:val="center"/>
              <w:textAlignment w:val="center"/>
              <w:rPr>
                <w:rFonts w:cs="Times New Roman"/>
                <w:b/>
                <w:bCs/>
                <w:color w:val="000000"/>
                <w:sz w:val="21"/>
                <w:szCs w:val="21"/>
              </w:rPr>
            </w:pPr>
            <w:r>
              <w:rPr>
                <w:rStyle w:val="109"/>
                <w:rFonts w:hint="default" w:ascii="Times New Roman" w:hAnsi="Times New Roman" w:eastAsia="仿宋_GB2312" w:cs="Times New Roman"/>
                <w:sz w:val="21"/>
                <w:szCs w:val="21"/>
                <w:lang w:bidi="ar"/>
              </w:rPr>
              <w:t>企业名称</w:t>
            </w:r>
          </w:p>
        </w:tc>
        <w:tc>
          <w:tcPr>
            <w:tcW w:w="2790" w:type="pct"/>
            <w:gridSpan w:val="4"/>
            <w:tcBorders>
              <w:top w:val="single" w:color="000000" w:sz="4" w:space="0"/>
              <w:left w:val="single" w:color="000000" w:sz="4" w:space="0"/>
              <w:bottom w:val="single" w:color="000000" w:sz="4" w:space="0"/>
              <w:right w:val="single" w:color="000000" w:sz="4" w:space="0"/>
            </w:tcBorders>
            <w:vAlign w:val="center"/>
          </w:tcPr>
          <w:p w14:paraId="4649B85E">
            <w:pPr>
              <w:widowControl/>
              <w:spacing w:line="240" w:lineRule="auto"/>
              <w:ind w:firstLine="0" w:firstLineChars="0"/>
              <w:jc w:val="center"/>
              <w:textAlignment w:val="center"/>
              <w:rPr>
                <w:rStyle w:val="109"/>
                <w:rFonts w:hint="default" w:ascii="Times New Roman" w:hAnsi="Times New Roman" w:eastAsia="仿宋_GB2312" w:cs="Times New Roman"/>
                <w:sz w:val="21"/>
                <w:szCs w:val="21"/>
                <w:lang w:bidi="ar"/>
              </w:rPr>
            </w:pPr>
            <w:r>
              <w:rPr>
                <w:rStyle w:val="109"/>
                <w:rFonts w:hint="default" w:ascii="Times New Roman" w:hAnsi="Times New Roman" w:eastAsia="仿宋_GB2312" w:cs="Times New Roman"/>
                <w:sz w:val="21"/>
                <w:szCs w:val="21"/>
                <w:lang w:bidi="ar"/>
              </w:rPr>
              <w:t>废气主要总量控制因子及控制总量</w:t>
            </w:r>
          </w:p>
          <w:p w14:paraId="1532D1BB">
            <w:pPr>
              <w:widowControl/>
              <w:spacing w:line="240" w:lineRule="auto"/>
              <w:ind w:firstLine="0" w:firstLineChars="0"/>
              <w:jc w:val="center"/>
              <w:textAlignment w:val="center"/>
              <w:rPr>
                <w:rStyle w:val="109"/>
                <w:rFonts w:hint="default" w:ascii="Times New Roman" w:hAnsi="Times New Roman" w:eastAsia="仿宋_GB2312" w:cs="Times New Roman"/>
                <w:sz w:val="21"/>
                <w:szCs w:val="21"/>
                <w:lang w:bidi="ar"/>
              </w:rPr>
            </w:pPr>
            <w:r>
              <w:rPr>
                <w:rStyle w:val="109"/>
                <w:rFonts w:hint="default" w:ascii="Times New Roman" w:hAnsi="Times New Roman" w:eastAsia="仿宋_GB2312" w:cs="Times New Roman"/>
                <w:sz w:val="21"/>
                <w:szCs w:val="21"/>
                <w:lang w:bidi="ar"/>
              </w:rPr>
              <w:t>（环评批复）</w:t>
            </w:r>
            <w:r>
              <w:rPr>
                <w:rStyle w:val="110"/>
                <w:rFonts w:ascii="Times New Roman" w:hAnsi="Times New Roman" w:eastAsia="仿宋_GB2312" w:cs="Times New Roman"/>
                <w:sz w:val="21"/>
                <w:szCs w:val="21"/>
                <w:lang w:bidi="ar"/>
              </w:rPr>
              <w:t>（</w:t>
            </w:r>
            <w:r>
              <w:rPr>
                <w:rFonts w:cs="Times New Roman"/>
                <w:b/>
                <w:bCs/>
                <w:color w:val="000000"/>
                <w:kern w:val="0"/>
                <w:sz w:val="21"/>
                <w:szCs w:val="21"/>
                <w:lang w:bidi="ar"/>
              </w:rPr>
              <w:t>t/a</w:t>
            </w:r>
            <w:r>
              <w:rPr>
                <w:rStyle w:val="110"/>
                <w:rFonts w:ascii="Times New Roman" w:hAnsi="Times New Roman" w:eastAsia="仿宋_GB2312" w:cs="Times New Roman"/>
                <w:sz w:val="21"/>
                <w:szCs w:val="21"/>
                <w:lang w:bidi="ar"/>
              </w:rPr>
              <w:t>）</w:t>
            </w:r>
          </w:p>
        </w:tc>
      </w:tr>
      <w:tr w14:paraId="24D9B442">
        <w:tblPrEx>
          <w:tblCellMar>
            <w:top w:w="0" w:type="dxa"/>
            <w:left w:w="108" w:type="dxa"/>
            <w:bottom w:w="0" w:type="dxa"/>
            <w:right w:w="108" w:type="dxa"/>
          </w:tblCellMar>
        </w:tblPrEx>
        <w:trPr>
          <w:trHeight w:val="480" w:hRule="atLeast"/>
          <w:jc w:val="center"/>
        </w:trPr>
        <w:tc>
          <w:tcPr>
            <w:tcW w:w="459" w:type="pct"/>
            <w:vMerge w:val="continue"/>
            <w:tcBorders>
              <w:top w:val="single" w:color="000000" w:sz="4" w:space="0"/>
              <w:left w:val="single" w:color="000000" w:sz="4" w:space="0"/>
              <w:bottom w:val="single" w:color="000000" w:sz="4" w:space="0"/>
              <w:right w:val="single" w:color="000000" w:sz="4" w:space="0"/>
            </w:tcBorders>
            <w:vAlign w:val="center"/>
          </w:tcPr>
          <w:p w14:paraId="1EDE214F">
            <w:pPr>
              <w:widowControl/>
              <w:spacing w:line="240" w:lineRule="auto"/>
              <w:ind w:firstLine="0" w:firstLineChars="0"/>
              <w:jc w:val="center"/>
              <w:rPr>
                <w:rFonts w:cs="Times New Roman"/>
                <w:b/>
                <w:bCs/>
                <w:color w:val="000000"/>
                <w:sz w:val="21"/>
                <w:szCs w:val="21"/>
              </w:rPr>
            </w:pPr>
          </w:p>
        </w:tc>
        <w:tc>
          <w:tcPr>
            <w:tcW w:w="1749" w:type="pct"/>
            <w:vMerge w:val="continue"/>
            <w:tcBorders>
              <w:top w:val="single" w:color="000000" w:sz="4" w:space="0"/>
              <w:left w:val="single" w:color="000000" w:sz="4" w:space="0"/>
              <w:bottom w:val="single" w:color="000000" w:sz="4" w:space="0"/>
              <w:right w:val="single" w:color="000000" w:sz="4" w:space="0"/>
            </w:tcBorders>
            <w:vAlign w:val="center"/>
          </w:tcPr>
          <w:p w14:paraId="4AB085E7">
            <w:pPr>
              <w:widowControl/>
              <w:spacing w:line="240" w:lineRule="auto"/>
              <w:ind w:firstLine="0" w:firstLineChars="0"/>
              <w:jc w:val="center"/>
              <w:rPr>
                <w:rFonts w:cs="Times New Roman"/>
                <w:b/>
                <w:bCs/>
                <w:color w:val="000000"/>
                <w:sz w:val="21"/>
                <w:szCs w:val="21"/>
              </w:rPr>
            </w:pPr>
          </w:p>
        </w:tc>
        <w:tc>
          <w:tcPr>
            <w:tcW w:w="697" w:type="pct"/>
            <w:tcBorders>
              <w:top w:val="nil"/>
              <w:left w:val="single" w:color="000000" w:sz="4" w:space="0"/>
              <w:bottom w:val="nil"/>
              <w:right w:val="single" w:color="000000" w:sz="4" w:space="0"/>
            </w:tcBorders>
            <w:vAlign w:val="center"/>
          </w:tcPr>
          <w:p w14:paraId="710DBD37">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颗粒物</w:t>
            </w:r>
          </w:p>
        </w:tc>
        <w:tc>
          <w:tcPr>
            <w:tcW w:w="697" w:type="pct"/>
            <w:tcBorders>
              <w:top w:val="nil"/>
              <w:left w:val="single" w:color="000000" w:sz="4" w:space="0"/>
              <w:bottom w:val="nil"/>
              <w:right w:val="single" w:color="000000" w:sz="4" w:space="0"/>
            </w:tcBorders>
            <w:vAlign w:val="center"/>
          </w:tcPr>
          <w:p w14:paraId="3720E011">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粉尘</w:t>
            </w:r>
          </w:p>
        </w:tc>
        <w:tc>
          <w:tcPr>
            <w:tcW w:w="697" w:type="pct"/>
            <w:tcBorders>
              <w:top w:val="nil"/>
              <w:left w:val="single" w:color="000000" w:sz="4" w:space="0"/>
              <w:bottom w:val="nil"/>
              <w:right w:val="single" w:color="000000" w:sz="4" w:space="0"/>
            </w:tcBorders>
            <w:vAlign w:val="center"/>
          </w:tcPr>
          <w:p w14:paraId="0340B409">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氮氧化物</w:t>
            </w:r>
          </w:p>
        </w:tc>
        <w:tc>
          <w:tcPr>
            <w:tcW w:w="699" w:type="pct"/>
            <w:tcBorders>
              <w:top w:val="nil"/>
              <w:left w:val="single" w:color="000000" w:sz="4" w:space="0"/>
              <w:bottom w:val="nil"/>
              <w:right w:val="single" w:color="000000" w:sz="4" w:space="0"/>
            </w:tcBorders>
            <w:vAlign w:val="center"/>
          </w:tcPr>
          <w:p w14:paraId="64477829">
            <w:pPr>
              <w:widowControl/>
              <w:spacing w:line="240" w:lineRule="auto"/>
              <w:ind w:firstLine="0" w:firstLineChars="0"/>
              <w:jc w:val="center"/>
              <w:textAlignment w:val="center"/>
              <w:rPr>
                <w:rFonts w:cs="Times New Roman"/>
                <w:b/>
                <w:bCs/>
                <w:color w:val="000000"/>
                <w:sz w:val="21"/>
                <w:szCs w:val="21"/>
              </w:rPr>
            </w:pPr>
            <w:r>
              <w:rPr>
                <w:rFonts w:cs="Times New Roman"/>
                <w:b/>
                <w:bCs/>
                <w:color w:val="000000"/>
                <w:kern w:val="0"/>
                <w:sz w:val="21"/>
                <w:szCs w:val="21"/>
                <w:lang w:bidi="ar"/>
              </w:rPr>
              <w:t>二氧化硫</w:t>
            </w:r>
          </w:p>
        </w:tc>
      </w:tr>
      <w:tr w14:paraId="1F5021F3">
        <w:tblPrEx>
          <w:tblCellMar>
            <w:top w:w="0" w:type="dxa"/>
            <w:left w:w="108" w:type="dxa"/>
            <w:bottom w:w="0" w:type="dxa"/>
            <w:right w:w="108" w:type="dxa"/>
          </w:tblCellMar>
        </w:tblPrEx>
        <w:trPr>
          <w:trHeight w:val="285" w:hRule="atLeast"/>
          <w:jc w:val="center"/>
        </w:trPr>
        <w:tc>
          <w:tcPr>
            <w:tcW w:w="459" w:type="pct"/>
            <w:tcBorders>
              <w:top w:val="single" w:color="000000" w:sz="4" w:space="0"/>
              <w:left w:val="single" w:color="000000" w:sz="4" w:space="0"/>
              <w:bottom w:val="single" w:color="000000" w:sz="4" w:space="0"/>
              <w:right w:val="single" w:color="000000" w:sz="4" w:space="0"/>
            </w:tcBorders>
            <w:vAlign w:val="center"/>
          </w:tcPr>
          <w:p w14:paraId="4EE52004">
            <w:pPr>
              <w:widowControl/>
              <w:spacing w:line="240" w:lineRule="auto"/>
              <w:ind w:firstLine="0" w:firstLineChars="0"/>
              <w:jc w:val="center"/>
              <w:textAlignment w:val="center"/>
              <w:rPr>
                <w:rFonts w:cs="Times New Roman"/>
                <w:color w:val="000000"/>
                <w:sz w:val="21"/>
                <w:szCs w:val="21"/>
              </w:rPr>
            </w:pPr>
            <w:r>
              <w:rPr>
                <w:rFonts w:hint="eastAsia" w:cs="Times New Roman"/>
                <w:color w:val="000000"/>
                <w:sz w:val="21"/>
                <w:szCs w:val="21"/>
              </w:rPr>
              <w:t>1</w:t>
            </w:r>
          </w:p>
        </w:tc>
        <w:tc>
          <w:tcPr>
            <w:tcW w:w="1749" w:type="pct"/>
            <w:tcBorders>
              <w:top w:val="single" w:color="000000" w:sz="4" w:space="0"/>
              <w:left w:val="single" w:color="000000" w:sz="4" w:space="0"/>
              <w:bottom w:val="single" w:color="000000" w:sz="4" w:space="0"/>
              <w:right w:val="single" w:color="000000" w:sz="4" w:space="0"/>
            </w:tcBorders>
            <w:vAlign w:val="center"/>
          </w:tcPr>
          <w:p w14:paraId="470A23B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常州市金坛创新建材有限公司</w:t>
            </w:r>
          </w:p>
        </w:tc>
        <w:tc>
          <w:tcPr>
            <w:tcW w:w="697" w:type="pct"/>
            <w:tcBorders>
              <w:top w:val="single" w:color="000000" w:sz="4" w:space="0"/>
              <w:left w:val="single" w:color="000000" w:sz="4" w:space="0"/>
              <w:bottom w:val="single" w:color="000000" w:sz="4" w:space="0"/>
              <w:right w:val="single" w:color="000000" w:sz="4" w:space="0"/>
            </w:tcBorders>
            <w:vAlign w:val="center"/>
          </w:tcPr>
          <w:p w14:paraId="6B08799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w:t>
            </w:r>
          </w:p>
        </w:tc>
        <w:tc>
          <w:tcPr>
            <w:tcW w:w="697" w:type="pct"/>
            <w:tcBorders>
              <w:top w:val="single" w:color="000000" w:sz="4" w:space="0"/>
              <w:left w:val="single" w:color="000000" w:sz="4" w:space="0"/>
              <w:bottom w:val="single" w:color="000000" w:sz="4" w:space="0"/>
              <w:right w:val="single" w:color="000000" w:sz="4" w:space="0"/>
            </w:tcBorders>
            <w:vAlign w:val="center"/>
          </w:tcPr>
          <w:p w14:paraId="3F2DA7D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14.632</w:t>
            </w:r>
          </w:p>
        </w:tc>
        <w:tc>
          <w:tcPr>
            <w:tcW w:w="697" w:type="pct"/>
            <w:tcBorders>
              <w:top w:val="single" w:color="000000" w:sz="4" w:space="0"/>
              <w:left w:val="single" w:color="000000" w:sz="4" w:space="0"/>
              <w:bottom w:val="single" w:color="000000" w:sz="4" w:space="0"/>
              <w:right w:val="single" w:color="000000" w:sz="4" w:space="0"/>
            </w:tcBorders>
            <w:vAlign w:val="center"/>
          </w:tcPr>
          <w:p w14:paraId="558BD07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10.28</w:t>
            </w:r>
          </w:p>
        </w:tc>
        <w:tc>
          <w:tcPr>
            <w:tcW w:w="699" w:type="pct"/>
            <w:tcBorders>
              <w:top w:val="single" w:color="000000" w:sz="4" w:space="0"/>
              <w:left w:val="single" w:color="000000" w:sz="4" w:space="0"/>
              <w:bottom w:val="single" w:color="000000" w:sz="4" w:space="0"/>
              <w:right w:val="single" w:color="000000" w:sz="4" w:space="0"/>
            </w:tcBorders>
            <w:vAlign w:val="center"/>
          </w:tcPr>
          <w:p w14:paraId="6FC979B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3.084</w:t>
            </w:r>
          </w:p>
        </w:tc>
      </w:tr>
      <w:tr w14:paraId="234C3A9A">
        <w:tblPrEx>
          <w:tblCellMar>
            <w:top w:w="0" w:type="dxa"/>
            <w:left w:w="108" w:type="dxa"/>
            <w:bottom w:w="0" w:type="dxa"/>
            <w:right w:w="108" w:type="dxa"/>
          </w:tblCellMar>
        </w:tblPrEx>
        <w:trPr>
          <w:trHeight w:val="285" w:hRule="atLeast"/>
          <w:jc w:val="center"/>
        </w:trPr>
        <w:tc>
          <w:tcPr>
            <w:tcW w:w="459" w:type="pct"/>
            <w:tcBorders>
              <w:top w:val="single" w:color="000000" w:sz="4" w:space="0"/>
              <w:left w:val="single" w:color="000000" w:sz="4" w:space="0"/>
              <w:bottom w:val="single" w:color="000000" w:sz="4" w:space="0"/>
              <w:right w:val="single" w:color="000000" w:sz="4" w:space="0"/>
            </w:tcBorders>
            <w:vAlign w:val="center"/>
          </w:tcPr>
          <w:p w14:paraId="60333C78">
            <w:pPr>
              <w:widowControl/>
              <w:spacing w:line="240" w:lineRule="auto"/>
              <w:ind w:firstLine="0" w:firstLineChars="0"/>
              <w:jc w:val="center"/>
              <w:textAlignment w:val="center"/>
              <w:rPr>
                <w:rFonts w:cs="Times New Roman"/>
                <w:color w:val="000000"/>
                <w:sz w:val="21"/>
                <w:szCs w:val="21"/>
              </w:rPr>
            </w:pPr>
            <w:r>
              <w:rPr>
                <w:rFonts w:hint="eastAsia" w:cs="Times New Roman"/>
                <w:color w:val="000000"/>
                <w:sz w:val="21"/>
                <w:szCs w:val="21"/>
              </w:rPr>
              <w:t>2</w:t>
            </w:r>
          </w:p>
        </w:tc>
        <w:tc>
          <w:tcPr>
            <w:tcW w:w="1749" w:type="pct"/>
            <w:tcBorders>
              <w:top w:val="single" w:color="000000" w:sz="4" w:space="0"/>
              <w:left w:val="single" w:color="000000" w:sz="4" w:space="0"/>
              <w:bottom w:val="single" w:color="000000" w:sz="4" w:space="0"/>
              <w:right w:val="single" w:color="000000" w:sz="4" w:space="0"/>
            </w:tcBorders>
            <w:vAlign w:val="center"/>
          </w:tcPr>
          <w:p w14:paraId="28A3B59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常州市金坛鼎盛建材厂</w:t>
            </w:r>
          </w:p>
        </w:tc>
        <w:tc>
          <w:tcPr>
            <w:tcW w:w="697" w:type="pct"/>
            <w:tcBorders>
              <w:top w:val="single" w:color="000000" w:sz="4" w:space="0"/>
              <w:left w:val="single" w:color="000000" w:sz="4" w:space="0"/>
              <w:bottom w:val="single" w:color="000000" w:sz="4" w:space="0"/>
              <w:right w:val="single" w:color="000000" w:sz="4" w:space="0"/>
            </w:tcBorders>
            <w:vAlign w:val="center"/>
          </w:tcPr>
          <w:p w14:paraId="2B7A2E3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1.875</w:t>
            </w:r>
          </w:p>
        </w:tc>
        <w:tc>
          <w:tcPr>
            <w:tcW w:w="697" w:type="pct"/>
            <w:tcBorders>
              <w:top w:val="single" w:color="000000" w:sz="4" w:space="0"/>
              <w:left w:val="single" w:color="000000" w:sz="4" w:space="0"/>
              <w:bottom w:val="single" w:color="000000" w:sz="4" w:space="0"/>
              <w:right w:val="single" w:color="000000" w:sz="4" w:space="0"/>
            </w:tcBorders>
            <w:vAlign w:val="center"/>
          </w:tcPr>
          <w:p w14:paraId="094B849E">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c>
          <w:tcPr>
            <w:tcW w:w="697" w:type="pct"/>
            <w:tcBorders>
              <w:top w:val="single" w:color="000000" w:sz="4" w:space="0"/>
              <w:left w:val="single" w:color="000000" w:sz="4" w:space="0"/>
              <w:bottom w:val="single" w:color="000000" w:sz="4" w:space="0"/>
              <w:right w:val="single" w:color="000000" w:sz="4" w:space="0"/>
            </w:tcBorders>
            <w:vAlign w:val="center"/>
          </w:tcPr>
          <w:p w14:paraId="312B615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20.43</w:t>
            </w:r>
          </w:p>
        </w:tc>
        <w:tc>
          <w:tcPr>
            <w:tcW w:w="699" w:type="pct"/>
            <w:tcBorders>
              <w:top w:val="single" w:color="000000" w:sz="4" w:space="0"/>
              <w:left w:val="single" w:color="000000" w:sz="4" w:space="0"/>
              <w:bottom w:val="single" w:color="000000" w:sz="4" w:space="0"/>
              <w:right w:val="single" w:color="000000" w:sz="4" w:space="0"/>
            </w:tcBorders>
            <w:vAlign w:val="center"/>
          </w:tcPr>
          <w:p w14:paraId="6841119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1.982</w:t>
            </w:r>
          </w:p>
        </w:tc>
      </w:tr>
      <w:tr w14:paraId="58D25CF8">
        <w:tblPrEx>
          <w:tblCellMar>
            <w:top w:w="0" w:type="dxa"/>
            <w:left w:w="108" w:type="dxa"/>
            <w:bottom w:w="0" w:type="dxa"/>
            <w:right w:w="108" w:type="dxa"/>
          </w:tblCellMar>
        </w:tblPrEx>
        <w:trPr>
          <w:trHeight w:val="855" w:hRule="atLeast"/>
          <w:jc w:val="center"/>
        </w:trPr>
        <w:tc>
          <w:tcPr>
            <w:tcW w:w="459" w:type="pct"/>
            <w:tcBorders>
              <w:top w:val="single" w:color="000000" w:sz="4" w:space="0"/>
              <w:left w:val="single" w:color="000000" w:sz="4" w:space="0"/>
              <w:bottom w:val="single" w:color="000000" w:sz="4" w:space="0"/>
              <w:right w:val="single" w:color="000000" w:sz="4" w:space="0"/>
            </w:tcBorders>
            <w:vAlign w:val="center"/>
          </w:tcPr>
          <w:p w14:paraId="3E70E5A3">
            <w:pPr>
              <w:widowControl/>
              <w:spacing w:line="240" w:lineRule="auto"/>
              <w:ind w:firstLine="0" w:firstLineChars="0"/>
              <w:jc w:val="center"/>
              <w:textAlignment w:val="center"/>
              <w:rPr>
                <w:rFonts w:cs="Times New Roman"/>
                <w:color w:val="000000"/>
                <w:sz w:val="21"/>
                <w:szCs w:val="21"/>
              </w:rPr>
            </w:pPr>
            <w:r>
              <w:rPr>
                <w:rFonts w:hint="eastAsia" w:cs="Times New Roman"/>
                <w:color w:val="000000"/>
                <w:sz w:val="21"/>
                <w:szCs w:val="21"/>
              </w:rPr>
              <w:t>3</w:t>
            </w:r>
          </w:p>
        </w:tc>
        <w:tc>
          <w:tcPr>
            <w:tcW w:w="1749" w:type="pct"/>
            <w:tcBorders>
              <w:top w:val="single" w:color="000000" w:sz="4" w:space="0"/>
              <w:left w:val="single" w:color="000000" w:sz="4" w:space="0"/>
              <w:bottom w:val="single" w:color="000000" w:sz="4" w:space="0"/>
              <w:right w:val="single" w:color="000000" w:sz="4" w:space="0"/>
            </w:tcBorders>
            <w:vAlign w:val="center"/>
          </w:tcPr>
          <w:p w14:paraId="0C2660D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常州市金坛区新朋建筑材料厂（普通合伙）</w:t>
            </w:r>
          </w:p>
        </w:tc>
        <w:tc>
          <w:tcPr>
            <w:tcW w:w="697" w:type="pct"/>
            <w:tcBorders>
              <w:top w:val="single" w:color="000000" w:sz="4" w:space="0"/>
              <w:left w:val="single" w:color="000000" w:sz="4" w:space="0"/>
              <w:bottom w:val="single" w:color="000000" w:sz="4" w:space="0"/>
              <w:right w:val="single" w:color="000000" w:sz="4" w:space="0"/>
            </w:tcBorders>
            <w:vAlign w:val="center"/>
          </w:tcPr>
          <w:p w14:paraId="375D6ADA">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c>
          <w:tcPr>
            <w:tcW w:w="697" w:type="pct"/>
            <w:tcBorders>
              <w:top w:val="single" w:color="000000" w:sz="4" w:space="0"/>
              <w:left w:val="single" w:color="000000" w:sz="4" w:space="0"/>
              <w:bottom w:val="single" w:color="000000" w:sz="4" w:space="0"/>
              <w:right w:val="single" w:color="000000" w:sz="4" w:space="0"/>
            </w:tcBorders>
            <w:vAlign w:val="center"/>
          </w:tcPr>
          <w:p w14:paraId="15D8EBC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3.15</w:t>
            </w:r>
          </w:p>
        </w:tc>
        <w:tc>
          <w:tcPr>
            <w:tcW w:w="697" w:type="pct"/>
            <w:tcBorders>
              <w:top w:val="single" w:color="000000" w:sz="4" w:space="0"/>
              <w:left w:val="single" w:color="000000" w:sz="4" w:space="0"/>
              <w:bottom w:val="single" w:color="000000" w:sz="4" w:space="0"/>
              <w:right w:val="single" w:color="000000" w:sz="4" w:space="0"/>
            </w:tcBorders>
            <w:vAlign w:val="center"/>
          </w:tcPr>
          <w:p w14:paraId="3DD9650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13.3</w:t>
            </w:r>
          </w:p>
        </w:tc>
        <w:tc>
          <w:tcPr>
            <w:tcW w:w="699" w:type="pct"/>
            <w:tcBorders>
              <w:top w:val="single" w:color="000000" w:sz="4" w:space="0"/>
              <w:left w:val="single" w:color="000000" w:sz="4" w:space="0"/>
              <w:bottom w:val="single" w:color="000000" w:sz="4" w:space="0"/>
              <w:right w:val="single" w:color="000000" w:sz="4" w:space="0"/>
            </w:tcBorders>
            <w:vAlign w:val="center"/>
          </w:tcPr>
          <w:p w14:paraId="580527B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6.44</w:t>
            </w:r>
          </w:p>
        </w:tc>
      </w:tr>
      <w:tr w14:paraId="33AA2A4B">
        <w:tblPrEx>
          <w:tblCellMar>
            <w:top w:w="0" w:type="dxa"/>
            <w:left w:w="108" w:type="dxa"/>
            <w:bottom w:w="0" w:type="dxa"/>
            <w:right w:w="108" w:type="dxa"/>
          </w:tblCellMar>
        </w:tblPrEx>
        <w:trPr>
          <w:trHeight w:val="285" w:hRule="atLeast"/>
          <w:jc w:val="center"/>
        </w:trPr>
        <w:tc>
          <w:tcPr>
            <w:tcW w:w="459" w:type="pct"/>
            <w:tcBorders>
              <w:top w:val="single" w:color="000000" w:sz="4" w:space="0"/>
              <w:left w:val="single" w:color="000000" w:sz="4" w:space="0"/>
              <w:bottom w:val="single" w:color="000000" w:sz="4" w:space="0"/>
              <w:right w:val="single" w:color="000000" w:sz="4" w:space="0"/>
            </w:tcBorders>
            <w:vAlign w:val="center"/>
          </w:tcPr>
          <w:p w14:paraId="194571BC">
            <w:pPr>
              <w:widowControl/>
              <w:spacing w:line="240" w:lineRule="auto"/>
              <w:ind w:firstLine="0" w:firstLineChars="0"/>
              <w:jc w:val="center"/>
              <w:textAlignment w:val="center"/>
              <w:rPr>
                <w:rFonts w:cs="Times New Roman"/>
                <w:color w:val="000000"/>
                <w:sz w:val="21"/>
                <w:szCs w:val="21"/>
              </w:rPr>
            </w:pPr>
            <w:r>
              <w:rPr>
                <w:rFonts w:hint="eastAsia" w:cs="Times New Roman"/>
                <w:color w:val="000000"/>
                <w:sz w:val="21"/>
                <w:szCs w:val="21"/>
              </w:rPr>
              <w:t>4</w:t>
            </w:r>
          </w:p>
        </w:tc>
        <w:tc>
          <w:tcPr>
            <w:tcW w:w="1749" w:type="pct"/>
            <w:tcBorders>
              <w:top w:val="single" w:color="000000" w:sz="4" w:space="0"/>
              <w:left w:val="single" w:color="000000" w:sz="4" w:space="0"/>
              <w:bottom w:val="single" w:color="000000" w:sz="4" w:space="0"/>
              <w:right w:val="single" w:color="000000" w:sz="4" w:space="0"/>
            </w:tcBorders>
            <w:vAlign w:val="center"/>
          </w:tcPr>
          <w:p w14:paraId="1828F26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常州市金坛麦宝食品有限公司</w:t>
            </w:r>
          </w:p>
        </w:tc>
        <w:tc>
          <w:tcPr>
            <w:tcW w:w="697" w:type="pct"/>
            <w:tcBorders>
              <w:top w:val="single" w:color="000000" w:sz="4" w:space="0"/>
              <w:left w:val="single" w:color="000000" w:sz="4" w:space="0"/>
              <w:bottom w:val="single" w:color="000000" w:sz="4" w:space="0"/>
              <w:right w:val="single" w:color="000000" w:sz="4" w:space="0"/>
            </w:tcBorders>
            <w:vAlign w:val="center"/>
          </w:tcPr>
          <w:p w14:paraId="75E7CFE6">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c>
          <w:tcPr>
            <w:tcW w:w="697" w:type="pct"/>
            <w:tcBorders>
              <w:top w:val="single" w:color="000000" w:sz="4" w:space="0"/>
              <w:left w:val="single" w:color="000000" w:sz="4" w:space="0"/>
              <w:bottom w:val="single" w:color="000000" w:sz="4" w:space="0"/>
              <w:right w:val="single" w:color="000000" w:sz="4" w:space="0"/>
            </w:tcBorders>
            <w:vAlign w:val="center"/>
          </w:tcPr>
          <w:p w14:paraId="591FA822">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c>
          <w:tcPr>
            <w:tcW w:w="697" w:type="pct"/>
            <w:tcBorders>
              <w:top w:val="single" w:color="000000" w:sz="4" w:space="0"/>
              <w:left w:val="single" w:color="000000" w:sz="4" w:space="0"/>
              <w:bottom w:val="single" w:color="000000" w:sz="4" w:space="0"/>
              <w:right w:val="single" w:color="000000" w:sz="4" w:space="0"/>
            </w:tcBorders>
            <w:vAlign w:val="center"/>
          </w:tcPr>
          <w:p w14:paraId="2E820AAD">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c>
          <w:tcPr>
            <w:tcW w:w="699" w:type="pct"/>
            <w:tcBorders>
              <w:top w:val="single" w:color="000000" w:sz="4" w:space="0"/>
              <w:left w:val="single" w:color="000000" w:sz="4" w:space="0"/>
              <w:bottom w:val="single" w:color="000000" w:sz="4" w:space="0"/>
              <w:right w:val="single" w:color="000000" w:sz="4" w:space="0"/>
            </w:tcBorders>
            <w:vAlign w:val="center"/>
          </w:tcPr>
          <w:p w14:paraId="4DE05F05">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r>
      <w:tr w14:paraId="2EE14F31">
        <w:tblPrEx>
          <w:tblCellMar>
            <w:top w:w="0" w:type="dxa"/>
            <w:left w:w="108" w:type="dxa"/>
            <w:bottom w:w="0" w:type="dxa"/>
            <w:right w:w="108" w:type="dxa"/>
          </w:tblCellMar>
        </w:tblPrEx>
        <w:trPr>
          <w:trHeight w:val="285" w:hRule="atLeast"/>
          <w:jc w:val="center"/>
        </w:trPr>
        <w:tc>
          <w:tcPr>
            <w:tcW w:w="459" w:type="pct"/>
            <w:tcBorders>
              <w:top w:val="single" w:color="000000" w:sz="4" w:space="0"/>
              <w:left w:val="single" w:color="000000" w:sz="4" w:space="0"/>
              <w:bottom w:val="single" w:color="000000" w:sz="4" w:space="0"/>
              <w:right w:val="single" w:color="000000" w:sz="4" w:space="0"/>
            </w:tcBorders>
            <w:vAlign w:val="center"/>
          </w:tcPr>
          <w:p w14:paraId="2225532B">
            <w:pPr>
              <w:widowControl/>
              <w:spacing w:line="240" w:lineRule="auto"/>
              <w:ind w:firstLine="0" w:firstLineChars="0"/>
              <w:jc w:val="center"/>
              <w:textAlignment w:val="center"/>
              <w:rPr>
                <w:rFonts w:cs="Times New Roman"/>
                <w:color w:val="000000"/>
                <w:sz w:val="21"/>
                <w:szCs w:val="21"/>
              </w:rPr>
            </w:pPr>
            <w:r>
              <w:rPr>
                <w:rFonts w:hint="eastAsia" w:cs="Times New Roman"/>
                <w:color w:val="000000"/>
                <w:sz w:val="21"/>
                <w:szCs w:val="21"/>
              </w:rPr>
              <w:t>5</w:t>
            </w:r>
          </w:p>
        </w:tc>
        <w:tc>
          <w:tcPr>
            <w:tcW w:w="1749" w:type="pct"/>
            <w:tcBorders>
              <w:top w:val="single" w:color="000000" w:sz="4" w:space="0"/>
              <w:left w:val="single" w:color="000000" w:sz="4" w:space="0"/>
              <w:bottom w:val="single" w:color="000000" w:sz="4" w:space="0"/>
              <w:right w:val="single" w:color="000000" w:sz="4" w:space="0"/>
            </w:tcBorders>
            <w:vAlign w:val="center"/>
          </w:tcPr>
          <w:p w14:paraId="0CF45CE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常州金坛江豚钙业有限公司</w:t>
            </w:r>
          </w:p>
        </w:tc>
        <w:tc>
          <w:tcPr>
            <w:tcW w:w="697" w:type="pct"/>
            <w:tcBorders>
              <w:top w:val="single" w:color="000000" w:sz="4" w:space="0"/>
              <w:left w:val="single" w:color="000000" w:sz="4" w:space="0"/>
              <w:bottom w:val="single" w:color="000000" w:sz="4" w:space="0"/>
              <w:right w:val="single" w:color="000000" w:sz="4" w:space="0"/>
            </w:tcBorders>
            <w:vAlign w:val="center"/>
          </w:tcPr>
          <w:p w14:paraId="159C0FC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11.25</w:t>
            </w:r>
          </w:p>
        </w:tc>
        <w:tc>
          <w:tcPr>
            <w:tcW w:w="697" w:type="pct"/>
            <w:tcBorders>
              <w:top w:val="single" w:color="000000" w:sz="4" w:space="0"/>
              <w:left w:val="single" w:color="000000" w:sz="4" w:space="0"/>
              <w:bottom w:val="single" w:color="000000" w:sz="4" w:space="0"/>
              <w:right w:val="single" w:color="000000" w:sz="4" w:space="0"/>
            </w:tcBorders>
            <w:vAlign w:val="center"/>
          </w:tcPr>
          <w:p w14:paraId="1F166903">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c>
          <w:tcPr>
            <w:tcW w:w="697" w:type="pct"/>
            <w:tcBorders>
              <w:top w:val="single" w:color="000000" w:sz="4" w:space="0"/>
              <w:left w:val="single" w:color="000000" w:sz="4" w:space="0"/>
              <w:bottom w:val="single" w:color="000000" w:sz="4" w:space="0"/>
              <w:right w:val="single" w:color="000000" w:sz="4" w:space="0"/>
            </w:tcBorders>
            <w:vAlign w:val="center"/>
          </w:tcPr>
          <w:p w14:paraId="39C76D8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70.8</w:t>
            </w:r>
          </w:p>
        </w:tc>
        <w:tc>
          <w:tcPr>
            <w:tcW w:w="699" w:type="pct"/>
            <w:tcBorders>
              <w:top w:val="single" w:color="000000" w:sz="4" w:space="0"/>
              <w:left w:val="single" w:color="000000" w:sz="4" w:space="0"/>
              <w:bottom w:val="single" w:color="000000" w:sz="4" w:space="0"/>
              <w:right w:val="single" w:color="000000" w:sz="4" w:space="0"/>
            </w:tcBorders>
            <w:vAlign w:val="center"/>
          </w:tcPr>
          <w:p w14:paraId="32C0F0C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11.6</w:t>
            </w:r>
          </w:p>
        </w:tc>
      </w:tr>
      <w:tr w14:paraId="63EFF220">
        <w:tblPrEx>
          <w:tblCellMar>
            <w:top w:w="0" w:type="dxa"/>
            <w:left w:w="108" w:type="dxa"/>
            <w:bottom w:w="0" w:type="dxa"/>
            <w:right w:w="108" w:type="dxa"/>
          </w:tblCellMar>
        </w:tblPrEx>
        <w:trPr>
          <w:trHeight w:val="285" w:hRule="atLeast"/>
          <w:jc w:val="center"/>
        </w:trPr>
        <w:tc>
          <w:tcPr>
            <w:tcW w:w="459" w:type="pct"/>
            <w:tcBorders>
              <w:top w:val="single" w:color="000000" w:sz="4" w:space="0"/>
              <w:left w:val="single" w:color="000000" w:sz="4" w:space="0"/>
              <w:bottom w:val="single" w:color="000000" w:sz="4" w:space="0"/>
              <w:right w:val="single" w:color="000000" w:sz="4" w:space="0"/>
            </w:tcBorders>
            <w:vAlign w:val="center"/>
          </w:tcPr>
          <w:p w14:paraId="14A7E94A">
            <w:pPr>
              <w:widowControl/>
              <w:spacing w:line="240" w:lineRule="auto"/>
              <w:ind w:firstLine="0" w:firstLineChars="0"/>
              <w:jc w:val="center"/>
              <w:textAlignment w:val="center"/>
              <w:rPr>
                <w:rFonts w:cs="Times New Roman"/>
                <w:color w:val="000000"/>
                <w:sz w:val="21"/>
                <w:szCs w:val="21"/>
              </w:rPr>
            </w:pPr>
            <w:r>
              <w:rPr>
                <w:rFonts w:hint="eastAsia" w:cs="Times New Roman"/>
                <w:color w:val="000000"/>
                <w:sz w:val="21"/>
                <w:szCs w:val="21"/>
              </w:rPr>
              <w:t>6</w:t>
            </w:r>
          </w:p>
        </w:tc>
        <w:tc>
          <w:tcPr>
            <w:tcW w:w="1749" w:type="pct"/>
            <w:tcBorders>
              <w:top w:val="single" w:color="000000" w:sz="4" w:space="0"/>
              <w:left w:val="single" w:color="000000" w:sz="4" w:space="0"/>
              <w:bottom w:val="single" w:color="000000" w:sz="4" w:space="0"/>
              <w:right w:val="single" w:color="000000" w:sz="4" w:space="0"/>
            </w:tcBorders>
            <w:vAlign w:val="center"/>
          </w:tcPr>
          <w:p w14:paraId="08AD713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金坛市金星包装有限公司</w:t>
            </w:r>
          </w:p>
        </w:tc>
        <w:tc>
          <w:tcPr>
            <w:tcW w:w="697" w:type="pct"/>
            <w:tcBorders>
              <w:top w:val="single" w:color="000000" w:sz="4" w:space="0"/>
              <w:left w:val="single" w:color="000000" w:sz="4" w:space="0"/>
              <w:bottom w:val="single" w:color="000000" w:sz="4" w:space="0"/>
              <w:right w:val="single" w:color="000000" w:sz="4" w:space="0"/>
            </w:tcBorders>
            <w:vAlign w:val="center"/>
          </w:tcPr>
          <w:p w14:paraId="00DDCADD">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c>
          <w:tcPr>
            <w:tcW w:w="697" w:type="pct"/>
            <w:tcBorders>
              <w:top w:val="single" w:color="000000" w:sz="4" w:space="0"/>
              <w:left w:val="single" w:color="000000" w:sz="4" w:space="0"/>
              <w:bottom w:val="single" w:color="000000" w:sz="4" w:space="0"/>
              <w:right w:val="single" w:color="000000" w:sz="4" w:space="0"/>
            </w:tcBorders>
            <w:vAlign w:val="center"/>
          </w:tcPr>
          <w:p w14:paraId="57BC3F60">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c>
          <w:tcPr>
            <w:tcW w:w="697" w:type="pct"/>
            <w:tcBorders>
              <w:top w:val="single" w:color="000000" w:sz="4" w:space="0"/>
              <w:left w:val="single" w:color="000000" w:sz="4" w:space="0"/>
              <w:bottom w:val="single" w:color="000000" w:sz="4" w:space="0"/>
              <w:right w:val="single" w:color="000000" w:sz="4" w:space="0"/>
            </w:tcBorders>
            <w:vAlign w:val="center"/>
          </w:tcPr>
          <w:p w14:paraId="6BD81D77">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c>
          <w:tcPr>
            <w:tcW w:w="699" w:type="pct"/>
            <w:tcBorders>
              <w:top w:val="single" w:color="000000" w:sz="4" w:space="0"/>
              <w:left w:val="single" w:color="000000" w:sz="4" w:space="0"/>
              <w:bottom w:val="single" w:color="000000" w:sz="4" w:space="0"/>
              <w:right w:val="single" w:color="000000" w:sz="4" w:space="0"/>
            </w:tcBorders>
            <w:vAlign w:val="center"/>
          </w:tcPr>
          <w:p w14:paraId="5CEF507F">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r>
      <w:tr w14:paraId="23B3D086">
        <w:tblPrEx>
          <w:tblCellMar>
            <w:top w:w="0" w:type="dxa"/>
            <w:left w:w="108" w:type="dxa"/>
            <w:bottom w:w="0" w:type="dxa"/>
            <w:right w:w="108" w:type="dxa"/>
          </w:tblCellMar>
        </w:tblPrEx>
        <w:trPr>
          <w:trHeight w:val="285" w:hRule="atLeast"/>
          <w:jc w:val="center"/>
        </w:trPr>
        <w:tc>
          <w:tcPr>
            <w:tcW w:w="459" w:type="pct"/>
            <w:tcBorders>
              <w:top w:val="single" w:color="000000" w:sz="4" w:space="0"/>
              <w:left w:val="single" w:color="000000" w:sz="4" w:space="0"/>
              <w:bottom w:val="single" w:color="000000" w:sz="4" w:space="0"/>
              <w:right w:val="single" w:color="000000" w:sz="4" w:space="0"/>
            </w:tcBorders>
            <w:vAlign w:val="center"/>
          </w:tcPr>
          <w:p w14:paraId="0728953D">
            <w:pPr>
              <w:widowControl/>
              <w:spacing w:line="240" w:lineRule="auto"/>
              <w:ind w:firstLine="0" w:firstLineChars="0"/>
              <w:jc w:val="center"/>
              <w:textAlignment w:val="center"/>
              <w:rPr>
                <w:rFonts w:cs="Times New Roman"/>
                <w:color w:val="000000"/>
                <w:sz w:val="21"/>
                <w:szCs w:val="21"/>
              </w:rPr>
            </w:pPr>
            <w:r>
              <w:rPr>
                <w:rFonts w:hint="eastAsia" w:cs="Times New Roman"/>
                <w:color w:val="000000"/>
                <w:sz w:val="21"/>
                <w:szCs w:val="21"/>
              </w:rPr>
              <w:t>7</w:t>
            </w:r>
          </w:p>
        </w:tc>
        <w:tc>
          <w:tcPr>
            <w:tcW w:w="1749" w:type="pct"/>
            <w:tcBorders>
              <w:top w:val="single" w:color="000000" w:sz="4" w:space="0"/>
              <w:left w:val="single" w:color="000000" w:sz="4" w:space="0"/>
              <w:bottom w:val="single" w:color="000000" w:sz="4" w:space="0"/>
              <w:right w:val="single" w:color="000000" w:sz="4" w:space="0"/>
            </w:tcBorders>
            <w:vAlign w:val="center"/>
          </w:tcPr>
          <w:p w14:paraId="3AF1EFF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金坛市金陶农配有限公司</w:t>
            </w:r>
          </w:p>
        </w:tc>
        <w:tc>
          <w:tcPr>
            <w:tcW w:w="697" w:type="pct"/>
            <w:tcBorders>
              <w:top w:val="single" w:color="000000" w:sz="4" w:space="0"/>
              <w:left w:val="single" w:color="000000" w:sz="4" w:space="0"/>
              <w:bottom w:val="single" w:color="000000" w:sz="4" w:space="0"/>
              <w:right w:val="single" w:color="000000" w:sz="4" w:space="0"/>
            </w:tcBorders>
            <w:vAlign w:val="center"/>
          </w:tcPr>
          <w:p w14:paraId="6E8EE5E3">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c>
          <w:tcPr>
            <w:tcW w:w="697" w:type="pct"/>
            <w:tcBorders>
              <w:top w:val="single" w:color="000000" w:sz="4" w:space="0"/>
              <w:left w:val="single" w:color="000000" w:sz="4" w:space="0"/>
              <w:bottom w:val="single" w:color="000000" w:sz="4" w:space="0"/>
              <w:right w:val="single" w:color="000000" w:sz="4" w:space="0"/>
            </w:tcBorders>
            <w:vAlign w:val="center"/>
          </w:tcPr>
          <w:p w14:paraId="7B16208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3.008</w:t>
            </w:r>
          </w:p>
        </w:tc>
        <w:tc>
          <w:tcPr>
            <w:tcW w:w="697" w:type="pct"/>
            <w:tcBorders>
              <w:top w:val="single" w:color="000000" w:sz="4" w:space="0"/>
              <w:left w:val="single" w:color="000000" w:sz="4" w:space="0"/>
              <w:bottom w:val="single" w:color="000000" w:sz="4" w:space="0"/>
              <w:right w:val="single" w:color="000000" w:sz="4" w:space="0"/>
            </w:tcBorders>
            <w:vAlign w:val="center"/>
          </w:tcPr>
          <w:p w14:paraId="1AEB175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0.0816</w:t>
            </w:r>
          </w:p>
        </w:tc>
        <w:tc>
          <w:tcPr>
            <w:tcW w:w="699" w:type="pct"/>
            <w:tcBorders>
              <w:top w:val="single" w:color="000000" w:sz="4" w:space="0"/>
              <w:left w:val="single" w:color="000000" w:sz="4" w:space="0"/>
              <w:bottom w:val="single" w:color="000000" w:sz="4" w:space="0"/>
              <w:right w:val="single" w:color="000000" w:sz="4" w:space="0"/>
            </w:tcBorders>
            <w:vAlign w:val="center"/>
          </w:tcPr>
          <w:p w14:paraId="47EB29E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0.136</w:t>
            </w:r>
          </w:p>
        </w:tc>
      </w:tr>
      <w:tr w14:paraId="15E14584">
        <w:tblPrEx>
          <w:tblCellMar>
            <w:top w:w="0" w:type="dxa"/>
            <w:left w:w="108" w:type="dxa"/>
            <w:bottom w:w="0" w:type="dxa"/>
            <w:right w:w="108" w:type="dxa"/>
          </w:tblCellMar>
        </w:tblPrEx>
        <w:trPr>
          <w:trHeight w:val="285" w:hRule="atLeast"/>
          <w:jc w:val="center"/>
        </w:trPr>
        <w:tc>
          <w:tcPr>
            <w:tcW w:w="459" w:type="pct"/>
            <w:tcBorders>
              <w:top w:val="single" w:color="000000" w:sz="4" w:space="0"/>
              <w:left w:val="single" w:color="000000" w:sz="4" w:space="0"/>
              <w:bottom w:val="single" w:color="000000" w:sz="4" w:space="0"/>
              <w:right w:val="single" w:color="000000" w:sz="4" w:space="0"/>
            </w:tcBorders>
            <w:vAlign w:val="center"/>
          </w:tcPr>
          <w:p w14:paraId="44536857">
            <w:pPr>
              <w:widowControl/>
              <w:spacing w:line="240" w:lineRule="auto"/>
              <w:ind w:firstLine="0" w:firstLineChars="0"/>
              <w:jc w:val="center"/>
              <w:textAlignment w:val="center"/>
              <w:rPr>
                <w:rFonts w:cs="Times New Roman"/>
                <w:color w:val="000000"/>
                <w:sz w:val="21"/>
                <w:szCs w:val="21"/>
              </w:rPr>
            </w:pPr>
            <w:r>
              <w:rPr>
                <w:rFonts w:hint="eastAsia" w:cs="Times New Roman"/>
                <w:color w:val="000000"/>
                <w:sz w:val="21"/>
                <w:szCs w:val="21"/>
              </w:rPr>
              <w:t>8</w:t>
            </w:r>
          </w:p>
        </w:tc>
        <w:tc>
          <w:tcPr>
            <w:tcW w:w="1749" w:type="pct"/>
            <w:tcBorders>
              <w:top w:val="single" w:color="000000" w:sz="4" w:space="0"/>
              <w:left w:val="single" w:color="000000" w:sz="4" w:space="0"/>
              <w:bottom w:val="single" w:color="000000" w:sz="4" w:space="0"/>
              <w:right w:val="single" w:color="000000" w:sz="4" w:space="0"/>
            </w:tcBorders>
            <w:vAlign w:val="center"/>
          </w:tcPr>
          <w:p w14:paraId="4ED6AC4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金坛东运钙业有限公司</w:t>
            </w:r>
          </w:p>
        </w:tc>
        <w:tc>
          <w:tcPr>
            <w:tcW w:w="697" w:type="pct"/>
            <w:tcBorders>
              <w:top w:val="single" w:color="000000" w:sz="4" w:space="0"/>
              <w:left w:val="single" w:color="000000" w:sz="4" w:space="0"/>
              <w:bottom w:val="single" w:color="000000" w:sz="4" w:space="0"/>
              <w:right w:val="single" w:color="000000" w:sz="4" w:space="0"/>
            </w:tcBorders>
            <w:vAlign w:val="center"/>
          </w:tcPr>
          <w:p w14:paraId="1C9BA4A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6</w:t>
            </w:r>
          </w:p>
        </w:tc>
        <w:tc>
          <w:tcPr>
            <w:tcW w:w="697" w:type="pct"/>
            <w:tcBorders>
              <w:top w:val="single" w:color="000000" w:sz="4" w:space="0"/>
              <w:left w:val="single" w:color="000000" w:sz="4" w:space="0"/>
              <w:bottom w:val="single" w:color="000000" w:sz="4" w:space="0"/>
              <w:right w:val="single" w:color="000000" w:sz="4" w:space="0"/>
            </w:tcBorders>
            <w:vAlign w:val="center"/>
          </w:tcPr>
          <w:p w14:paraId="1A08E02E">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w:t>
            </w:r>
          </w:p>
        </w:tc>
        <w:tc>
          <w:tcPr>
            <w:tcW w:w="697" w:type="pct"/>
            <w:tcBorders>
              <w:top w:val="single" w:color="000000" w:sz="4" w:space="0"/>
              <w:left w:val="single" w:color="000000" w:sz="4" w:space="0"/>
              <w:bottom w:val="single" w:color="000000" w:sz="4" w:space="0"/>
              <w:right w:val="single" w:color="000000" w:sz="4" w:space="0"/>
            </w:tcBorders>
            <w:vAlign w:val="center"/>
          </w:tcPr>
          <w:p w14:paraId="618D170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11.6</w:t>
            </w:r>
          </w:p>
        </w:tc>
        <w:tc>
          <w:tcPr>
            <w:tcW w:w="699" w:type="pct"/>
            <w:tcBorders>
              <w:top w:val="single" w:color="000000" w:sz="4" w:space="0"/>
              <w:left w:val="single" w:color="000000" w:sz="4" w:space="0"/>
              <w:bottom w:val="single" w:color="000000" w:sz="4" w:space="0"/>
              <w:right w:val="single" w:color="000000" w:sz="4" w:space="0"/>
            </w:tcBorders>
            <w:vAlign w:val="center"/>
          </w:tcPr>
          <w:p w14:paraId="7CBA65D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2.6</w:t>
            </w:r>
          </w:p>
        </w:tc>
      </w:tr>
      <w:tr w14:paraId="4FB37239">
        <w:tblPrEx>
          <w:tblCellMar>
            <w:top w:w="0" w:type="dxa"/>
            <w:left w:w="108" w:type="dxa"/>
            <w:bottom w:w="0" w:type="dxa"/>
            <w:right w:w="108" w:type="dxa"/>
          </w:tblCellMar>
        </w:tblPrEx>
        <w:trPr>
          <w:trHeight w:val="285" w:hRule="atLeast"/>
          <w:jc w:val="center"/>
        </w:trPr>
        <w:tc>
          <w:tcPr>
            <w:tcW w:w="2209" w:type="pct"/>
            <w:gridSpan w:val="2"/>
            <w:tcBorders>
              <w:top w:val="single" w:color="000000" w:sz="4" w:space="0"/>
              <w:left w:val="single" w:color="000000" w:sz="4" w:space="0"/>
              <w:bottom w:val="single" w:color="000000" w:sz="4" w:space="0"/>
              <w:right w:val="single" w:color="000000" w:sz="4" w:space="0"/>
            </w:tcBorders>
            <w:vAlign w:val="center"/>
          </w:tcPr>
          <w:p w14:paraId="7E34A826">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合计</w:t>
            </w:r>
          </w:p>
        </w:tc>
        <w:tc>
          <w:tcPr>
            <w:tcW w:w="697" w:type="pct"/>
            <w:tcBorders>
              <w:top w:val="single" w:color="000000" w:sz="4" w:space="0"/>
              <w:left w:val="single" w:color="000000" w:sz="4" w:space="0"/>
              <w:bottom w:val="single" w:color="000000" w:sz="4" w:space="0"/>
              <w:right w:val="single" w:color="000000" w:sz="4" w:space="0"/>
            </w:tcBorders>
            <w:vAlign w:val="center"/>
          </w:tcPr>
          <w:p w14:paraId="4523B9C8">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22.13</w:t>
            </w:r>
          </w:p>
        </w:tc>
        <w:tc>
          <w:tcPr>
            <w:tcW w:w="697" w:type="pct"/>
            <w:tcBorders>
              <w:top w:val="single" w:color="000000" w:sz="4" w:space="0"/>
              <w:left w:val="single" w:color="000000" w:sz="4" w:space="0"/>
              <w:bottom w:val="single" w:color="000000" w:sz="4" w:space="0"/>
              <w:right w:val="single" w:color="000000" w:sz="4" w:space="0"/>
            </w:tcBorders>
            <w:vAlign w:val="center"/>
          </w:tcPr>
          <w:p w14:paraId="069B10CA">
            <w:pPr>
              <w:widowControl/>
              <w:spacing w:line="240" w:lineRule="auto"/>
              <w:ind w:firstLine="0" w:firstLineChars="0"/>
              <w:jc w:val="center"/>
              <w:rPr>
                <w:rFonts w:cs="Times New Roman"/>
                <w:color w:val="000000"/>
                <w:sz w:val="21"/>
                <w:szCs w:val="21"/>
              </w:rPr>
            </w:pPr>
            <w:r>
              <w:rPr>
                <w:rFonts w:hint="eastAsia" w:cs="Times New Roman"/>
                <w:color w:val="000000"/>
                <w:sz w:val="21"/>
                <w:szCs w:val="21"/>
              </w:rPr>
              <w:t>20.79</w:t>
            </w:r>
          </w:p>
        </w:tc>
        <w:tc>
          <w:tcPr>
            <w:tcW w:w="697" w:type="pct"/>
            <w:tcBorders>
              <w:top w:val="single" w:color="000000" w:sz="4" w:space="0"/>
              <w:left w:val="single" w:color="000000" w:sz="4" w:space="0"/>
              <w:bottom w:val="single" w:color="000000" w:sz="4" w:space="0"/>
              <w:right w:val="single" w:color="000000" w:sz="4" w:space="0"/>
            </w:tcBorders>
            <w:vAlign w:val="center"/>
          </w:tcPr>
          <w:p w14:paraId="05DFD4C7">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126.49</w:t>
            </w:r>
          </w:p>
        </w:tc>
        <w:tc>
          <w:tcPr>
            <w:tcW w:w="699" w:type="pct"/>
            <w:tcBorders>
              <w:top w:val="single" w:color="000000" w:sz="4" w:space="0"/>
              <w:left w:val="single" w:color="000000" w:sz="4" w:space="0"/>
              <w:bottom w:val="single" w:color="000000" w:sz="4" w:space="0"/>
              <w:right w:val="single" w:color="000000" w:sz="4" w:space="0"/>
            </w:tcBorders>
            <w:vAlign w:val="center"/>
          </w:tcPr>
          <w:p w14:paraId="76F27D07">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25.84</w:t>
            </w:r>
          </w:p>
        </w:tc>
      </w:tr>
    </w:tbl>
    <w:p w14:paraId="3231D823">
      <w:pPr>
        <w:ind w:firstLine="480"/>
      </w:pPr>
      <w:r>
        <w:rPr>
          <w:rFonts w:hint="eastAsia"/>
        </w:rPr>
        <w:t>（</w:t>
      </w:r>
      <w:r>
        <w:t>2</w:t>
      </w:r>
      <w:r>
        <w:rPr>
          <w:rFonts w:hint="eastAsia"/>
        </w:rPr>
        <w:t>）生活污染源</w:t>
      </w:r>
    </w:p>
    <w:p w14:paraId="3D3D91FA">
      <w:pPr>
        <w:ind w:firstLine="482"/>
        <w:rPr>
          <w:b/>
        </w:rPr>
      </w:pPr>
      <w:r>
        <w:rPr>
          <w:rFonts w:hint="eastAsia"/>
          <w:b/>
        </w:rPr>
        <w:t>①居民生活燃烧废气</w:t>
      </w:r>
    </w:p>
    <w:p w14:paraId="7E1606CC">
      <w:pPr>
        <w:ind w:firstLine="480"/>
      </w:pPr>
      <w:r>
        <w:rPr>
          <w:rFonts w:hint="eastAsia"/>
        </w:rPr>
        <w:t>根据现状调研，度假区内现有常住居民约30117人，年游客总数约210万人次。区内现有生活用气以天然气和液化石油气为主，按照系数法计算燃料使用量及大气污染物排放量，2023年度假区内常住居民天然气总用气量约为82.75万m</w:t>
      </w:r>
      <w:r>
        <w:rPr>
          <w:rFonts w:hint="eastAsia"/>
          <w:vertAlign w:val="superscript"/>
        </w:rPr>
        <w:t>3</w:t>
      </w:r>
      <w:r>
        <w:rPr>
          <w:rFonts w:hint="eastAsia"/>
        </w:rPr>
        <w:t>，液化石油气用量约为731.4t，游客天然气用量约为217.68万m</w:t>
      </w:r>
      <w:r>
        <w:rPr>
          <w:rFonts w:hint="eastAsia"/>
          <w:vertAlign w:val="superscript"/>
        </w:rPr>
        <w:t>3</w:t>
      </w:r>
      <w:r>
        <w:rPr>
          <w:rFonts w:hint="eastAsia"/>
        </w:rPr>
        <w:t>。</w:t>
      </w:r>
    </w:p>
    <w:p w14:paraId="2E0FBE4A">
      <w:pPr>
        <w:ind w:firstLine="480"/>
      </w:pPr>
      <w:r>
        <w:rPr>
          <w:rFonts w:hint="eastAsia"/>
        </w:rPr>
        <w:t>根据《第二次全国污染源普查 生活污染源产排污系数手册》，每燃烧一万立方米天然气，产生SO</w:t>
      </w:r>
      <w:r>
        <w:rPr>
          <w:rFonts w:hint="eastAsia"/>
          <w:vertAlign w:val="subscript"/>
        </w:rPr>
        <w:t>2</w:t>
      </w:r>
      <w:r>
        <w:rPr>
          <w:rFonts w:hint="eastAsia"/>
        </w:rPr>
        <w:t xml:space="preserve"> 0.005 kg、NO</w:t>
      </w:r>
      <w:r>
        <w:rPr>
          <w:rFonts w:hint="eastAsia"/>
          <w:vertAlign w:val="subscript"/>
        </w:rPr>
        <w:t>X</w:t>
      </w:r>
      <w:r>
        <w:rPr>
          <w:rFonts w:hint="eastAsia"/>
        </w:rPr>
        <w:t xml:space="preserve"> 12.48 kg、颗粒物1.14 kg、挥发性有机物0.92kg；每燃烧1吨液化石油气，所产生污染物的量分别为SO</w:t>
      </w:r>
      <w:r>
        <w:rPr>
          <w:rFonts w:hint="eastAsia"/>
          <w:vertAlign w:val="subscript"/>
        </w:rPr>
        <w:t xml:space="preserve">2 </w:t>
      </w:r>
      <w:r>
        <w:rPr>
          <w:rFonts w:hint="eastAsia"/>
        </w:rPr>
        <w:t>0.001kg，NOx 1.08 kg，颗粒物0.039kg，挥发性有机物3.77 kg。</w:t>
      </w:r>
    </w:p>
    <w:p w14:paraId="2D03F23A">
      <w:pPr>
        <w:ind w:firstLine="480"/>
      </w:pPr>
      <w:r>
        <w:rPr>
          <w:rFonts w:hint="eastAsia"/>
        </w:rPr>
        <w:t>通过系数核算，居民生活燃烧废气现状产生污染物的量分别为SO</w:t>
      </w:r>
      <w:r>
        <w:rPr>
          <w:rFonts w:hint="eastAsia"/>
          <w:vertAlign w:val="subscript"/>
        </w:rPr>
        <w:t xml:space="preserve">2 </w:t>
      </w:r>
      <w:r>
        <w:rPr>
          <w:rFonts w:hint="eastAsia"/>
        </w:rPr>
        <w:t>0.0021kg/a，NOx 4.44 kg/a，颗粒物0.036 kg/a，挥发性有机物3.03 kg/a。度假区居民生活所产生的废气污染物现状排放情况如下表所示。</w:t>
      </w:r>
    </w:p>
    <w:p w14:paraId="0B7070A4">
      <w:pPr>
        <w:pStyle w:val="45"/>
        <w:rPr>
          <w:rFonts w:cs="Times New Roman"/>
        </w:rPr>
      </w:pPr>
      <w:r>
        <w:rPr>
          <w:rFonts w:hint="eastAsia" w:cs="Times New Roman"/>
        </w:rPr>
        <w:t>表3.</w:t>
      </w:r>
      <w:r>
        <w:rPr>
          <w:rFonts w:cs="Times New Roman"/>
        </w:rPr>
        <w:t>4</w:t>
      </w:r>
      <w:r>
        <w:rPr>
          <w:rFonts w:hint="eastAsia" w:cs="Times New Roman"/>
        </w:rPr>
        <w:t xml:space="preserve">-19 </w:t>
      </w:r>
      <w:r>
        <w:rPr>
          <w:rFonts w:cs="Times New Roman"/>
        </w:rPr>
        <w:t xml:space="preserve"> </w:t>
      </w:r>
      <w:r>
        <w:rPr>
          <w:rFonts w:hint="eastAsia" w:cs="Times New Roman"/>
        </w:rPr>
        <w:t>度假区生活燃烧废气现状排放情况表</w:t>
      </w:r>
    </w:p>
    <w:tbl>
      <w:tblPr>
        <w:tblStyle w:val="25"/>
        <w:tblW w:w="496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3663"/>
        <w:gridCol w:w="1009"/>
        <w:gridCol w:w="1014"/>
        <w:gridCol w:w="1014"/>
        <w:gridCol w:w="1027"/>
      </w:tblGrid>
      <w:tr w14:paraId="69CCF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34" w:type="pct"/>
            <w:vAlign w:val="center"/>
          </w:tcPr>
          <w:p w14:paraId="739E07AF">
            <w:pPr>
              <w:tabs>
                <w:tab w:val="left" w:pos="8789"/>
              </w:tabs>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能源类型</w:t>
            </w:r>
          </w:p>
        </w:tc>
        <w:tc>
          <w:tcPr>
            <w:tcW w:w="2164" w:type="pct"/>
            <w:vAlign w:val="center"/>
          </w:tcPr>
          <w:p w14:paraId="1099C90D">
            <w:pPr>
              <w:tabs>
                <w:tab w:val="left" w:pos="8789"/>
              </w:tabs>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项目</w:t>
            </w:r>
          </w:p>
        </w:tc>
        <w:tc>
          <w:tcPr>
            <w:tcW w:w="596" w:type="pct"/>
            <w:vAlign w:val="center"/>
          </w:tcPr>
          <w:p w14:paraId="76C2B097">
            <w:pPr>
              <w:tabs>
                <w:tab w:val="left" w:pos="8789"/>
              </w:tabs>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SO</w:t>
            </w:r>
            <w:r>
              <w:rPr>
                <w:rFonts w:hint="eastAsia" w:cs="Times New Roman"/>
                <w:b/>
                <w:sz w:val="21"/>
                <w:szCs w:val="21"/>
                <w:vertAlign w:val="subscript"/>
                <w14:ligatures w14:val="none"/>
              </w:rPr>
              <w:t>2</w:t>
            </w:r>
          </w:p>
        </w:tc>
        <w:tc>
          <w:tcPr>
            <w:tcW w:w="599" w:type="pct"/>
            <w:vAlign w:val="center"/>
          </w:tcPr>
          <w:p w14:paraId="25FD8BE4">
            <w:pPr>
              <w:tabs>
                <w:tab w:val="left" w:pos="8789"/>
              </w:tabs>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NO</w:t>
            </w:r>
            <w:r>
              <w:rPr>
                <w:rFonts w:hint="eastAsia" w:cs="Times New Roman"/>
                <w:b/>
                <w:sz w:val="21"/>
                <w:szCs w:val="21"/>
                <w:vertAlign w:val="subscript"/>
                <w14:ligatures w14:val="none"/>
              </w:rPr>
              <w:t>X</w:t>
            </w:r>
          </w:p>
        </w:tc>
        <w:tc>
          <w:tcPr>
            <w:tcW w:w="599" w:type="pct"/>
            <w:vAlign w:val="center"/>
          </w:tcPr>
          <w:p w14:paraId="0AEC6733">
            <w:pPr>
              <w:tabs>
                <w:tab w:val="left" w:pos="8789"/>
              </w:tabs>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颗粒物</w:t>
            </w:r>
          </w:p>
        </w:tc>
        <w:tc>
          <w:tcPr>
            <w:tcW w:w="606" w:type="pct"/>
            <w:vAlign w:val="center"/>
          </w:tcPr>
          <w:p w14:paraId="2A3FB9F0">
            <w:pPr>
              <w:tabs>
                <w:tab w:val="left" w:pos="8789"/>
              </w:tabs>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挥发性有机物</w:t>
            </w:r>
          </w:p>
        </w:tc>
      </w:tr>
      <w:tr w14:paraId="39BE7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34" w:type="pct"/>
            <w:vMerge w:val="restart"/>
            <w:vAlign w:val="center"/>
          </w:tcPr>
          <w:p w14:paraId="785358E3">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天然气</w:t>
            </w:r>
          </w:p>
        </w:tc>
        <w:tc>
          <w:tcPr>
            <w:tcW w:w="2164" w:type="pct"/>
            <w:vAlign w:val="center"/>
          </w:tcPr>
          <w:p w14:paraId="3085EA16">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产排污系数（kg/万</w:t>
            </w:r>
            <w:r>
              <w:rPr>
                <w:rFonts w:hint="eastAsia"/>
                <w:szCs w:val="21"/>
              </w:rPr>
              <w:t>m</w:t>
            </w:r>
            <w:r>
              <w:rPr>
                <w:rFonts w:hint="eastAsia"/>
                <w:szCs w:val="21"/>
                <w:vertAlign w:val="superscript"/>
              </w:rPr>
              <w:t>3</w:t>
            </w:r>
            <w:r>
              <w:rPr>
                <w:rFonts w:hint="eastAsia" w:cs="Times New Roman"/>
                <w:sz w:val="21"/>
                <w:szCs w:val="21"/>
                <w14:ligatures w14:val="none"/>
              </w:rPr>
              <w:t>）</w:t>
            </w:r>
          </w:p>
        </w:tc>
        <w:tc>
          <w:tcPr>
            <w:tcW w:w="596" w:type="pct"/>
            <w:vAlign w:val="center"/>
          </w:tcPr>
          <w:p w14:paraId="1C721DF1">
            <w:pPr>
              <w:tabs>
                <w:tab w:val="left" w:pos="8789"/>
              </w:tabs>
              <w:spacing w:line="240" w:lineRule="auto"/>
              <w:ind w:firstLine="0" w:firstLineChars="0"/>
              <w:jc w:val="center"/>
              <w:rPr>
                <w:rFonts w:cs="Times New Roman"/>
                <w:sz w:val="21"/>
                <w:szCs w:val="21"/>
                <w14:ligatures w14:val="none"/>
              </w:rPr>
            </w:pPr>
            <w:r>
              <w:rPr>
                <w:rFonts w:hint="eastAsia" w:eastAsia="等线" w:cs="Times New Roman"/>
                <w:sz w:val="21"/>
                <w:szCs w:val="21"/>
                <w14:ligatures w14:val="none"/>
              </w:rPr>
              <w:t>0.005</w:t>
            </w:r>
          </w:p>
        </w:tc>
        <w:tc>
          <w:tcPr>
            <w:tcW w:w="599" w:type="pct"/>
            <w:vAlign w:val="center"/>
          </w:tcPr>
          <w:p w14:paraId="60F3791F">
            <w:pPr>
              <w:tabs>
                <w:tab w:val="left" w:pos="8789"/>
              </w:tabs>
              <w:spacing w:line="240" w:lineRule="auto"/>
              <w:ind w:firstLine="0" w:firstLineChars="0"/>
              <w:jc w:val="center"/>
              <w:rPr>
                <w:rFonts w:cs="Times New Roman"/>
                <w:sz w:val="21"/>
                <w:szCs w:val="21"/>
                <w14:ligatures w14:val="none"/>
              </w:rPr>
            </w:pPr>
            <w:r>
              <w:rPr>
                <w:rFonts w:hint="eastAsia" w:eastAsia="等线" w:cs="Times New Roman"/>
                <w:sz w:val="21"/>
                <w:szCs w:val="21"/>
                <w14:ligatures w14:val="none"/>
              </w:rPr>
              <w:t>12.48</w:t>
            </w:r>
          </w:p>
        </w:tc>
        <w:tc>
          <w:tcPr>
            <w:tcW w:w="599" w:type="pct"/>
            <w:vAlign w:val="center"/>
          </w:tcPr>
          <w:p w14:paraId="777A7A8B">
            <w:pPr>
              <w:tabs>
                <w:tab w:val="left" w:pos="8789"/>
              </w:tabs>
              <w:spacing w:line="240" w:lineRule="auto"/>
              <w:ind w:firstLine="0" w:firstLineChars="0"/>
              <w:jc w:val="center"/>
              <w:rPr>
                <w:rFonts w:cs="Times New Roman"/>
                <w:sz w:val="21"/>
                <w:szCs w:val="21"/>
                <w14:ligatures w14:val="none"/>
              </w:rPr>
            </w:pPr>
            <w:r>
              <w:rPr>
                <w:rFonts w:hint="eastAsia" w:eastAsia="等线" w:cs="Times New Roman"/>
                <w:sz w:val="21"/>
                <w:szCs w:val="21"/>
                <w14:ligatures w14:val="none"/>
              </w:rPr>
              <w:t>1.14</w:t>
            </w:r>
          </w:p>
        </w:tc>
        <w:tc>
          <w:tcPr>
            <w:tcW w:w="606" w:type="pct"/>
            <w:vAlign w:val="center"/>
          </w:tcPr>
          <w:p w14:paraId="30BC0FFF">
            <w:pPr>
              <w:tabs>
                <w:tab w:val="left" w:pos="8789"/>
              </w:tabs>
              <w:spacing w:line="240" w:lineRule="auto"/>
              <w:ind w:firstLine="0" w:firstLineChars="0"/>
              <w:jc w:val="center"/>
              <w:rPr>
                <w:rFonts w:cs="Times New Roman"/>
                <w:sz w:val="21"/>
                <w:szCs w:val="21"/>
                <w14:ligatures w14:val="none"/>
              </w:rPr>
            </w:pPr>
            <w:r>
              <w:rPr>
                <w:rFonts w:hint="eastAsia" w:eastAsia="等线" w:cs="Times New Roman"/>
                <w:sz w:val="21"/>
                <w:szCs w:val="21"/>
                <w14:ligatures w14:val="none"/>
              </w:rPr>
              <w:t>0.92</w:t>
            </w:r>
          </w:p>
        </w:tc>
      </w:tr>
      <w:tr w14:paraId="37980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34" w:type="pct"/>
            <w:vMerge w:val="continue"/>
            <w:vAlign w:val="center"/>
          </w:tcPr>
          <w:p w14:paraId="5B56C18B">
            <w:pPr>
              <w:tabs>
                <w:tab w:val="left" w:pos="8789"/>
              </w:tabs>
              <w:spacing w:line="240" w:lineRule="auto"/>
              <w:ind w:firstLine="0" w:firstLineChars="0"/>
              <w:jc w:val="center"/>
              <w:rPr>
                <w:rFonts w:cs="Times New Roman"/>
                <w:sz w:val="21"/>
                <w:szCs w:val="21"/>
                <w14:ligatures w14:val="none"/>
              </w:rPr>
            </w:pPr>
          </w:p>
        </w:tc>
        <w:tc>
          <w:tcPr>
            <w:tcW w:w="2164" w:type="pct"/>
            <w:vAlign w:val="center"/>
          </w:tcPr>
          <w:p w14:paraId="2A4BE7A9">
            <w:pPr>
              <w:tabs>
                <w:tab w:val="left" w:pos="8789"/>
              </w:tabs>
              <w:spacing w:line="240" w:lineRule="auto"/>
              <w:ind w:firstLine="0" w:firstLineChars="0"/>
              <w:jc w:val="center"/>
              <w:rPr>
                <w:rFonts w:cs="Times New Roman"/>
                <w:sz w:val="21"/>
                <w:szCs w:val="21"/>
                <w14:ligatures w14:val="none"/>
              </w:rPr>
            </w:pPr>
            <w:r>
              <w:rPr>
                <w:rFonts w:hint="eastAsia"/>
                <w:szCs w:val="21"/>
              </w:rPr>
              <w:t>常住居民天然气使用量（万m</w:t>
            </w:r>
            <w:r>
              <w:rPr>
                <w:rFonts w:hint="eastAsia"/>
                <w:szCs w:val="21"/>
                <w:vertAlign w:val="superscript"/>
              </w:rPr>
              <w:t>3</w:t>
            </w:r>
            <w:r>
              <w:rPr>
                <w:rFonts w:hint="eastAsia"/>
                <w:szCs w:val="21"/>
              </w:rPr>
              <w:t>/a）</w:t>
            </w:r>
          </w:p>
        </w:tc>
        <w:tc>
          <w:tcPr>
            <w:tcW w:w="2401" w:type="pct"/>
            <w:gridSpan w:val="4"/>
            <w:vAlign w:val="center"/>
          </w:tcPr>
          <w:p w14:paraId="3D030308">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82.75</w:t>
            </w:r>
          </w:p>
        </w:tc>
      </w:tr>
      <w:tr w14:paraId="2B999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34" w:type="pct"/>
            <w:vMerge w:val="continue"/>
            <w:vAlign w:val="center"/>
          </w:tcPr>
          <w:p w14:paraId="5F13D0ED">
            <w:pPr>
              <w:tabs>
                <w:tab w:val="left" w:pos="8789"/>
              </w:tabs>
              <w:spacing w:line="240" w:lineRule="auto"/>
              <w:ind w:firstLine="0" w:firstLineChars="0"/>
              <w:jc w:val="center"/>
              <w:rPr>
                <w:rFonts w:cs="Times New Roman"/>
                <w:sz w:val="21"/>
                <w:szCs w:val="21"/>
                <w14:ligatures w14:val="none"/>
              </w:rPr>
            </w:pPr>
          </w:p>
        </w:tc>
        <w:tc>
          <w:tcPr>
            <w:tcW w:w="2164" w:type="pct"/>
            <w:vAlign w:val="center"/>
          </w:tcPr>
          <w:p w14:paraId="1642EB64">
            <w:pPr>
              <w:tabs>
                <w:tab w:val="left" w:pos="8789"/>
              </w:tabs>
              <w:spacing w:line="240" w:lineRule="auto"/>
              <w:ind w:firstLine="0" w:firstLineChars="0"/>
              <w:jc w:val="center"/>
              <w:rPr>
                <w:rFonts w:cs="Times New Roman"/>
                <w:b/>
                <w:sz w:val="21"/>
                <w:szCs w:val="21"/>
                <w14:ligatures w14:val="none"/>
              </w:rPr>
            </w:pPr>
            <w:r>
              <w:rPr>
                <w:rFonts w:hint="eastAsia" w:cs="Times New Roman"/>
                <w:sz w:val="21"/>
                <w:szCs w:val="21"/>
                <w14:ligatures w14:val="none"/>
              </w:rPr>
              <w:t>常住居民污染物产生及排放量（t/a）</w:t>
            </w:r>
          </w:p>
        </w:tc>
        <w:tc>
          <w:tcPr>
            <w:tcW w:w="1009" w:type="dxa"/>
            <w:vAlign w:val="center"/>
          </w:tcPr>
          <w:p w14:paraId="204D2642">
            <w:pPr>
              <w:tabs>
                <w:tab w:val="left" w:pos="8789"/>
              </w:tabs>
              <w:spacing w:line="240" w:lineRule="auto"/>
              <w:ind w:firstLine="0" w:firstLineChars="0"/>
              <w:jc w:val="center"/>
              <w:rPr>
                <w:rFonts w:eastAsia="等线" w:cs="Times New Roman"/>
                <w:sz w:val="21"/>
                <w:szCs w:val="21"/>
                <w14:ligatures w14:val="none"/>
              </w:rPr>
            </w:pPr>
            <w:r>
              <w:rPr>
                <w:rFonts w:eastAsia="等线" w:cs="Times New Roman"/>
                <w:sz w:val="21"/>
                <w:szCs w:val="21"/>
                <w14:ligatures w14:val="none"/>
              </w:rPr>
              <w:t>0.0004</w:t>
            </w:r>
          </w:p>
        </w:tc>
        <w:tc>
          <w:tcPr>
            <w:tcW w:w="1014" w:type="dxa"/>
            <w:vAlign w:val="center"/>
          </w:tcPr>
          <w:p w14:paraId="4AC17E07">
            <w:pPr>
              <w:tabs>
                <w:tab w:val="left" w:pos="8789"/>
              </w:tabs>
              <w:spacing w:line="240" w:lineRule="auto"/>
              <w:ind w:firstLine="0" w:firstLineChars="0"/>
              <w:jc w:val="center"/>
              <w:rPr>
                <w:rFonts w:eastAsia="等线" w:cs="Times New Roman"/>
                <w:sz w:val="21"/>
                <w:szCs w:val="21"/>
                <w14:ligatures w14:val="none"/>
              </w:rPr>
            </w:pPr>
            <w:r>
              <w:rPr>
                <w:rFonts w:eastAsia="等线" w:cs="Times New Roman"/>
                <w:sz w:val="21"/>
                <w:szCs w:val="21"/>
                <w14:ligatures w14:val="none"/>
              </w:rPr>
              <w:t>1.03</w:t>
            </w:r>
          </w:p>
        </w:tc>
        <w:tc>
          <w:tcPr>
            <w:tcW w:w="1014" w:type="dxa"/>
            <w:vAlign w:val="center"/>
          </w:tcPr>
          <w:p w14:paraId="7C0CBA64">
            <w:pPr>
              <w:tabs>
                <w:tab w:val="left" w:pos="8789"/>
              </w:tabs>
              <w:spacing w:line="240" w:lineRule="auto"/>
              <w:ind w:firstLine="0" w:firstLineChars="0"/>
              <w:jc w:val="center"/>
              <w:rPr>
                <w:rFonts w:eastAsia="等线" w:cs="Times New Roman"/>
                <w:sz w:val="21"/>
                <w:szCs w:val="21"/>
                <w14:ligatures w14:val="none"/>
              </w:rPr>
            </w:pPr>
            <w:r>
              <w:rPr>
                <w:rFonts w:eastAsia="等线" w:cs="Times New Roman"/>
                <w:sz w:val="21"/>
                <w:szCs w:val="21"/>
                <w14:ligatures w14:val="none"/>
              </w:rPr>
              <w:t>0.09</w:t>
            </w:r>
          </w:p>
        </w:tc>
        <w:tc>
          <w:tcPr>
            <w:tcW w:w="1027" w:type="dxa"/>
            <w:vAlign w:val="center"/>
          </w:tcPr>
          <w:p w14:paraId="0F578518">
            <w:pPr>
              <w:tabs>
                <w:tab w:val="left" w:pos="8789"/>
              </w:tabs>
              <w:spacing w:line="240" w:lineRule="auto"/>
              <w:ind w:firstLine="0" w:firstLineChars="0"/>
              <w:jc w:val="center"/>
              <w:rPr>
                <w:rFonts w:eastAsia="等线" w:cs="Times New Roman"/>
                <w:sz w:val="21"/>
                <w:szCs w:val="21"/>
                <w14:ligatures w14:val="none"/>
              </w:rPr>
            </w:pPr>
            <w:r>
              <w:rPr>
                <w:rFonts w:eastAsia="等线" w:cs="Times New Roman"/>
                <w:sz w:val="21"/>
                <w:szCs w:val="21"/>
                <w14:ligatures w14:val="none"/>
              </w:rPr>
              <w:t>0.08</w:t>
            </w:r>
          </w:p>
        </w:tc>
      </w:tr>
      <w:tr w14:paraId="2AD2B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34" w:type="pct"/>
            <w:vMerge w:val="continue"/>
            <w:vAlign w:val="center"/>
          </w:tcPr>
          <w:p w14:paraId="3EA09F4D">
            <w:pPr>
              <w:tabs>
                <w:tab w:val="left" w:pos="8789"/>
              </w:tabs>
              <w:spacing w:line="240" w:lineRule="auto"/>
              <w:ind w:firstLine="0" w:firstLineChars="0"/>
              <w:jc w:val="center"/>
              <w:rPr>
                <w:rFonts w:cs="Times New Roman"/>
                <w:sz w:val="21"/>
                <w:szCs w:val="21"/>
                <w14:ligatures w14:val="none"/>
              </w:rPr>
            </w:pPr>
          </w:p>
        </w:tc>
        <w:tc>
          <w:tcPr>
            <w:tcW w:w="2164" w:type="pct"/>
            <w:vAlign w:val="center"/>
          </w:tcPr>
          <w:p w14:paraId="330C3499">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游客天然气使用量（万</w:t>
            </w:r>
            <w:r>
              <w:rPr>
                <w:rFonts w:hint="eastAsia"/>
                <w:szCs w:val="21"/>
              </w:rPr>
              <w:t>m</w:t>
            </w:r>
            <w:r>
              <w:rPr>
                <w:rFonts w:hint="eastAsia"/>
                <w:szCs w:val="21"/>
                <w:vertAlign w:val="superscript"/>
              </w:rPr>
              <w:t>3</w:t>
            </w:r>
            <w:r>
              <w:rPr>
                <w:rFonts w:hint="eastAsia" w:cs="Times New Roman"/>
                <w:sz w:val="21"/>
                <w:szCs w:val="21"/>
                <w14:ligatures w14:val="none"/>
              </w:rPr>
              <w:t>/a）</w:t>
            </w:r>
          </w:p>
        </w:tc>
        <w:tc>
          <w:tcPr>
            <w:tcW w:w="2401" w:type="pct"/>
            <w:gridSpan w:val="4"/>
            <w:vAlign w:val="center"/>
          </w:tcPr>
          <w:p w14:paraId="764AB36F">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217.68</w:t>
            </w:r>
          </w:p>
        </w:tc>
      </w:tr>
      <w:tr w14:paraId="2A1B5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34" w:type="pct"/>
            <w:vMerge w:val="continue"/>
            <w:vAlign w:val="center"/>
          </w:tcPr>
          <w:p w14:paraId="7006230B">
            <w:pPr>
              <w:tabs>
                <w:tab w:val="left" w:pos="8789"/>
              </w:tabs>
              <w:spacing w:line="240" w:lineRule="auto"/>
              <w:ind w:firstLine="0" w:firstLineChars="0"/>
              <w:jc w:val="center"/>
              <w:rPr>
                <w:rFonts w:cs="Times New Roman"/>
                <w:sz w:val="21"/>
                <w:szCs w:val="21"/>
                <w14:ligatures w14:val="none"/>
              </w:rPr>
            </w:pPr>
          </w:p>
        </w:tc>
        <w:tc>
          <w:tcPr>
            <w:tcW w:w="2164" w:type="pct"/>
            <w:vAlign w:val="center"/>
          </w:tcPr>
          <w:p w14:paraId="367B5A47">
            <w:pPr>
              <w:tabs>
                <w:tab w:val="left" w:pos="8789"/>
              </w:tabs>
              <w:spacing w:line="240" w:lineRule="auto"/>
              <w:ind w:firstLine="0" w:firstLineChars="0"/>
              <w:jc w:val="center"/>
              <w:rPr>
                <w:rFonts w:cs="Times New Roman"/>
                <w:b/>
                <w:sz w:val="21"/>
                <w:szCs w:val="21"/>
                <w14:ligatures w14:val="none"/>
              </w:rPr>
            </w:pPr>
            <w:r>
              <w:rPr>
                <w:rFonts w:hint="eastAsia" w:cs="Times New Roman"/>
                <w:sz w:val="21"/>
                <w:szCs w:val="21"/>
                <w14:ligatures w14:val="none"/>
              </w:rPr>
              <w:t>游客污染物产生及排放量（t/a）</w:t>
            </w:r>
          </w:p>
        </w:tc>
        <w:tc>
          <w:tcPr>
            <w:tcW w:w="1009" w:type="dxa"/>
            <w:vAlign w:val="center"/>
          </w:tcPr>
          <w:p w14:paraId="3543243E">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0.001</w:t>
            </w:r>
          </w:p>
        </w:tc>
        <w:tc>
          <w:tcPr>
            <w:tcW w:w="1014" w:type="dxa"/>
            <w:vAlign w:val="center"/>
          </w:tcPr>
          <w:p w14:paraId="6BD23F2E">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2.62</w:t>
            </w:r>
          </w:p>
        </w:tc>
        <w:tc>
          <w:tcPr>
            <w:tcW w:w="1014" w:type="dxa"/>
            <w:vAlign w:val="center"/>
          </w:tcPr>
          <w:p w14:paraId="7BCEADAF">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0.24</w:t>
            </w:r>
          </w:p>
        </w:tc>
        <w:tc>
          <w:tcPr>
            <w:tcW w:w="1027" w:type="dxa"/>
            <w:vAlign w:val="center"/>
          </w:tcPr>
          <w:p w14:paraId="42EA1B05">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0.19</w:t>
            </w:r>
          </w:p>
        </w:tc>
      </w:tr>
      <w:tr w14:paraId="6CE2B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34" w:type="pct"/>
            <w:vMerge w:val="continue"/>
            <w:vAlign w:val="center"/>
          </w:tcPr>
          <w:p w14:paraId="773795F6">
            <w:pPr>
              <w:tabs>
                <w:tab w:val="left" w:pos="8789"/>
              </w:tabs>
              <w:spacing w:line="240" w:lineRule="auto"/>
              <w:ind w:firstLine="0" w:firstLineChars="0"/>
              <w:jc w:val="center"/>
              <w:rPr>
                <w:rFonts w:cs="Times New Roman"/>
                <w:sz w:val="21"/>
                <w:szCs w:val="21"/>
                <w14:ligatures w14:val="none"/>
              </w:rPr>
            </w:pPr>
          </w:p>
        </w:tc>
        <w:tc>
          <w:tcPr>
            <w:tcW w:w="2164" w:type="pct"/>
            <w:vAlign w:val="center"/>
          </w:tcPr>
          <w:p w14:paraId="2A80F1AF">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小计</w:t>
            </w:r>
          </w:p>
        </w:tc>
        <w:tc>
          <w:tcPr>
            <w:tcW w:w="1009" w:type="dxa"/>
            <w:vAlign w:val="center"/>
          </w:tcPr>
          <w:p w14:paraId="2FC48F08">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0.0014</w:t>
            </w:r>
          </w:p>
        </w:tc>
        <w:tc>
          <w:tcPr>
            <w:tcW w:w="1014" w:type="dxa"/>
            <w:vAlign w:val="center"/>
          </w:tcPr>
          <w:p w14:paraId="22AFF22F">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3.65</w:t>
            </w:r>
          </w:p>
        </w:tc>
        <w:tc>
          <w:tcPr>
            <w:tcW w:w="1014" w:type="dxa"/>
            <w:vAlign w:val="center"/>
          </w:tcPr>
          <w:p w14:paraId="52EACB77">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0.33</w:t>
            </w:r>
          </w:p>
        </w:tc>
        <w:tc>
          <w:tcPr>
            <w:tcW w:w="1027" w:type="dxa"/>
            <w:vAlign w:val="center"/>
          </w:tcPr>
          <w:p w14:paraId="148C7EA2">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0.27</w:t>
            </w:r>
          </w:p>
        </w:tc>
      </w:tr>
      <w:tr w14:paraId="627C1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4" w:type="pct"/>
            <w:vMerge w:val="restart"/>
            <w:vAlign w:val="center"/>
          </w:tcPr>
          <w:p w14:paraId="5191ACD8">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液化石油气</w:t>
            </w:r>
          </w:p>
        </w:tc>
        <w:tc>
          <w:tcPr>
            <w:tcW w:w="2164" w:type="pct"/>
            <w:vAlign w:val="center"/>
          </w:tcPr>
          <w:p w14:paraId="5CA0AEE9">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产排污系数（kg/t）</w:t>
            </w:r>
          </w:p>
        </w:tc>
        <w:tc>
          <w:tcPr>
            <w:tcW w:w="596" w:type="pct"/>
            <w:vAlign w:val="center"/>
          </w:tcPr>
          <w:p w14:paraId="1B6315AF">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0.001</w:t>
            </w:r>
          </w:p>
        </w:tc>
        <w:tc>
          <w:tcPr>
            <w:tcW w:w="599" w:type="pct"/>
            <w:vAlign w:val="center"/>
          </w:tcPr>
          <w:p w14:paraId="4343A9C6">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1.08</w:t>
            </w:r>
          </w:p>
        </w:tc>
        <w:tc>
          <w:tcPr>
            <w:tcW w:w="599" w:type="pct"/>
            <w:vAlign w:val="center"/>
          </w:tcPr>
          <w:p w14:paraId="15D4EA8C">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0.039</w:t>
            </w:r>
          </w:p>
        </w:tc>
        <w:tc>
          <w:tcPr>
            <w:tcW w:w="606" w:type="pct"/>
            <w:vAlign w:val="center"/>
          </w:tcPr>
          <w:p w14:paraId="2436B9A1">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3.77</w:t>
            </w:r>
          </w:p>
        </w:tc>
      </w:tr>
      <w:tr w14:paraId="4F78C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4" w:type="pct"/>
            <w:vMerge w:val="continue"/>
            <w:vAlign w:val="center"/>
          </w:tcPr>
          <w:p w14:paraId="4D39C8D7">
            <w:pPr>
              <w:tabs>
                <w:tab w:val="left" w:pos="8789"/>
              </w:tabs>
              <w:spacing w:line="240" w:lineRule="auto"/>
              <w:ind w:firstLine="0" w:firstLineChars="0"/>
              <w:jc w:val="center"/>
              <w:rPr>
                <w:rFonts w:cs="Times New Roman"/>
                <w:sz w:val="21"/>
                <w:szCs w:val="21"/>
                <w14:ligatures w14:val="none"/>
              </w:rPr>
            </w:pPr>
          </w:p>
        </w:tc>
        <w:tc>
          <w:tcPr>
            <w:tcW w:w="2164" w:type="pct"/>
            <w:vAlign w:val="center"/>
          </w:tcPr>
          <w:p w14:paraId="3CDAB66C">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液化石油气使用量（t/a）</w:t>
            </w:r>
          </w:p>
        </w:tc>
        <w:tc>
          <w:tcPr>
            <w:tcW w:w="2401" w:type="pct"/>
            <w:gridSpan w:val="4"/>
            <w:vAlign w:val="center"/>
          </w:tcPr>
          <w:p w14:paraId="2D9530AA">
            <w:pPr>
              <w:tabs>
                <w:tab w:val="left" w:pos="8789"/>
              </w:tabs>
              <w:spacing w:line="240" w:lineRule="auto"/>
              <w:ind w:firstLine="0" w:firstLineChars="0"/>
              <w:jc w:val="center"/>
              <w:rPr>
                <w:rFonts w:cs="Times New Roman"/>
                <w:sz w:val="21"/>
                <w:szCs w:val="21"/>
                <w14:ligatures w14:val="none"/>
              </w:rPr>
            </w:pPr>
            <w:r>
              <w:rPr>
                <w:rFonts w:hint="eastAsia" w:cs="Times New Roman"/>
                <w:sz w:val="21"/>
                <w:szCs w:val="21"/>
                <w14:ligatures w14:val="none"/>
              </w:rPr>
              <w:t>731.4</w:t>
            </w:r>
          </w:p>
        </w:tc>
      </w:tr>
      <w:tr w14:paraId="062A9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4" w:type="pct"/>
            <w:vMerge w:val="continue"/>
            <w:vAlign w:val="center"/>
          </w:tcPr>
          <w:p w14:paraId="672B33CB">
            <w:pPr>
              <w:widowControl/>
              <w:spacing w:line="240" w:lineRule="auto"/>
              <w:ind w:firstLine="0" w:firstLineChars="0"/>
              <w:jc w:val="center"/>
              <w:rPr>
                <w:rFonts w:cs="Times New Roman"/>
                <w:sz w:val="21"/>
                <w:szCs w:val="21"/>
                <w14:ligatures w14:val="none"/>
              </w:rPr>
            </w:pPr>
          </w:p>
        </w:tc>
        <w:tc>
          <w:tcPr>
            <w:tcW w:w="2164" w:type="pct"/>
            <w:vAlign w:val="center"/>
          </w:tcPr>
          <w:p w14:paraId="7F6EF0EC">
            <w:pPr>
              <w:widowControl/>
              <w:spacing w:line="240" w:lineRule="auto"/>
              <w:ind w:firstLine="0" w:firstLineChars="0"/>
              <w:jc w:val="center"/>
              <w:rPr>
                <w:rFonts w:eastAsia="宋体" w:cs="Times New Roman"/>
                <w:sz w:val="21"/>
                <w:szCs w:val="21"/>
                <w14:ligatures w14:val="none"/>
              </w:rPr>
            </w:pPr>
            <w:r>
              <w:rPr>
                <w:rFonts w:hint="eastAsia" w:cs="Times New Roman"/>
                <w:sz w:val="21"/>
                <w:szCs w:val="21"/>
                <w14:ligatures w14:val="none"/>
              </w:rPr>
              <w:t>常住居民污染物产生及排放量（t/a）</w:t>
            </w:r>
          </w:p>
        </w:tc>
        <w:tc>
          <w:tcPr>
            <w:tcW w:w="1009" w:type="dxa"/>
            <w:vAlign w:val="center"/>
          </w:tcPr>
          <w:p w14:paraId="5E1D8971">
            <w:pPr>
              <w:tabs>
                <w:tab w:val="left" w:pos="8789"/>
              </w:tabs>
              <w:spacing w:line="240" w:lineRule="auto"/>
              <w:ind w:firstLine="0" w:firstLineChars="0"/>
              <w:jc w:val="center"/>
              <w:rPr>
                <w:rFonts w:eastAsia="等线" w:cs="Times New Roman"/>
                <w:sz w:val="21"/>
                <w:szCs w:val="21"/>
                <w14:ligatures w14:val="none"/>
              </w:rPr>
            </w:pPr>
            <w:r>
              <w:rPr>
                <w:rFonts w:eastAsia="等线" w:cs="Times New Roman"/>
                <w:sz w:val="21"/>
                <w:szCs w:val="21"/>
                <w14:ligatures w14:val="none"/>
              </w:rPr>
              <w:t>0.0007</w:t>
            </w:r>
          </w:p>
        </w:tc>
        <w:tc>
          <w:tcPr>
            <w:tcW w:w="1014" w:type="dxa"/>
            <w:vAlign w:val="center"/>
          </w:tcPr>
          <w:p w14:paraId="2E2E89B2">
            <w:pPr>
              <w:tabs>
                <w:tab w:val="left" w:pos="8789"/>
              </w:tabs>
              <w:spacing w:line="240" w:lineRule="auto"/>
              <w:ind w:firstLine="0" w:firstLineChars="0"/>
              <w:jc w:val="center"/>
              <w:rPr>
                <w:rFonts w:eastAsia="等线" w:cs="Times New Roman"/>
                <w:sz w:val="21"/>
                <w:szCs w:val="21"/>
                <w14:ligatures w14:val="none"/>
              </w:rPr>
            </w:pPr>
            <w:r>
              <w:rPr>
                <w:rFonts w:eastAsia="等线" w:cs="Times New Roman"/>
                <w:sz w:val="21"/>
                <w:szCs w:val="21"/>
                <w14:ligatures w14:val="none"/>
              </w:rPr>
              <w:t>0.79</w:t>
            </w:r>
          </w:p>
        </w:tc>
        <w:tc>
          <w:tcPr>
            <w:tcW w:w="1014" w:type="dxa"/>
            <w:vAlign w:val="center"/>
          </w:tcPr>
          <w:p w14:paraId="4A653CBE">
            <w:pPr>
              <w:tabs>
                <w:tab w:val="left" w:pos="8789"/>
              </w:tabs>
              <w:spacing w:line="240" w:lineRule="auto"/>
              <w:ind w:firstLine="0" w:firstLineChars="0"/>
              <w:jc w:val="center"/>
              <w:rPr>
                <w:rFonts w:eastAsia="等线" w:cs="Times New Roman"/>
                <w:sz w:val="21"/>
                <w:szCs w:val="21"/>
                <w14:ligatures w14:val="none"/>
              </w:rPr>
            </w:pPr>
            <w:r>
              <w:rPr>
                <w:rFonts w:eastAsia="等线" w:cs="Times New Roman"/>
                <w:sz w:val="21"/>
                <w:szCs w:val="21"/>
                <w14:ligatures w14:val="none"/>
              </w:rPr>
              <w:t>0.03</w:t>
            </w:r>
          </w:p>
        </w:tc>
        <w:tc>
          <w:tcPr>
            <w:tcW w:w="1027" w:type="dxa"/>
            <w:vAlign w:val="center"/>
          </w:tcPr>
          <w:p w14:paraId="28D81F04">
            <w:pPr>
              <w:tabs>
                <w:tab w:val="left" w:pos="8789"/>
              </w:tabs>
              <w:spacing w:line="240" w:lineRule="auto"/>
              <w:ind w:firstLine="0" w:firstLineChars="0"/>
              <w:jc w:val="center"/>
              <w:rPr>
                <w:rFonts w:eastAsia="等线" w:cs="Times New Roman"/>
                <w:sz w:val="21"/>
                <w:szCs w:val="21"/>
                <w14:ligatures w14:val="none"/>
              </w:rPr>
            </w:pPr>
            <w:r>
              <w:rPr>
                <w:rFonts w:eastAsia="等线" w:cs="Times New Roman"/>
                <w:sz w:val="21"/>
                <w:szCs w:val="21"/>
                <w14:ligatures w14:val="none"/>
              </w:rPr>
              <w:t>2.76</w:t>
            </w:r>
          </w:p>
        </w:tc>
      </w:tr>
      <w:tr w14:paraId="4ED04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98" w:type="pct"/>
            <w:gridSpan w:val="2"/>
            <w:vAlign w:val="center"/>
          </w:tcPr>
          <w:p w14:paraId="2ABDC52D">
            <w:pPr>
              <w:widowControl/>
              <w:spacing w:line="240" w:lineRule="auto"/>
              <w:ind w:firstLine="0" w:firstLineChars="0"/>
              <w:jc w:val="center"/>
              <w:rPr>
                <w:rFonts w:cs="Times New Roman"/>
                <w:sz w:val="21"/>
                <w:szCs w:val="21"/>
                <w14:ligatures w14:val="none"/>
              </w:rPr>
            </w:pPr>
            <w:r>
              <w:rPr>
                <w:rFonts w:hint="eastAsia" w:cs="Times New Roman"/>
                <w:sz w:val="21"/>
                <w:szCs w:val="21"/>
                <w14:ligatures w14:val="none"/>
              </w:rPr>
              <w:t>总计</w:t>
            </w:r>
          </w:p>
        </w:tc>
        <w:tc>
          <w:tcPr>
            <w:tcW w:w="1009" w:type="dxa"/>
            <w:vAlign w:val="center"/>
          </w:tcPr>
          <w:p w14:paraId="4D421E52">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0.0021</w:t>
            </w:r>
          </w:p>
        </w:tc>
        <w:tc>
          <w:tcPr>
            <w:tcW w:w="1014" w:type="dxa"/>
            <w:vAlign w:val="center"/>
          </w:tcPr>
          <w:p w14:paraId="7C921ADC">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4.44</w:t>
            </w:r>
          </w:p>
        </w:tc>
        <w:tc>
          <w:tcPr>
            <w:tcW w:w="1014" w:type="dxa"/>
            <w:vAlign w:val="center"/>
          </w:tcPr>
          <w:p w14:paraId="0C1D596B">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0.36</w:t>
            </w:r>
          </w:p>
        </w:tc>
        <w:tc>
          <w:tcPr>
            <w:tcW w:w="1027" w:type="dxa"/>
            <w:vAlign w:val="center"/>
          </w:tcPr>
          <w:p w14:paraId="5CFC1C23">
            <w:pPr>
              <w:tabs>
                <w:tab w:val="left" w:pos="8789"/>
              </w:tabs>
              <w:spacing w:line="240" w:lineRule="auto"/>
              <w:ind w:firstLine="0" w:firstLineChars="0"/>
              <w:jc w:val="center"/>
              <w:rPr>
                <w:rFonts w:eastAsia="等线" w:cs="Times New Roman"/>
                <w:sz w:val="21"/>
                <w:szCs w:val="21"/>
                <w14:ligatures w14:val="none"/>
              </w:rPr>
            </w:pPr>
            <w:r>
              <w:rPr>
                <w:rFonts w:hint="eastAsia" w:eastAsia="等线" w:cs="Times New Roman"/>
                <w:sz w:val="21"/>
                <w:szCs w:val="21"/>
                <w14:ligatures w14:val="none"/>
              </w:rPr>
              <w:t>3.03</w:t>
            </w:r>
          </w:p>
        </w:tc>
      </w:tr>
    </w:tbl>
    <w:p w14:paraId="268F7103">
      <w:pPr>
        <w:ind w:firstLine="482"/>
        <w:rPr>
          <w:rFonts w:cs="Times New Roman"/>
          <w:b/>
        </w:rPr>
      </w:pPr>
      <w:r>
        <w:rPr>
          <w:rFonts w:hint="eastAsia" w:ascii="宋体" w:hAnsi="宋体" w:eastAsia="宋体" w:cs="宋体"/>
          <w:b/>
        </w:rPr>
        <w:t>②</w:t>
      </w:r>
      <w:r>
        <w:rPr>
          <w:rFonts w:cs="Times New Roman"/>
          <w:b/>
        </w:rPr>
        <w:t>餐饮油烟</w:t>
      </w:r>
    </w:p>
    <w:p w14:paraId="67EF3789">
      <w:pPr>
        <w:ind w:firstLine="480"/>
        <w:rPr>
          <w:rFonts w:cs="Times New Roman"/>
        </w:rPr>
      </w:pPr>
      <w:r>
        <w:rPr>
          <w:rFonts w:cs="Times New Roman"/>
        </w:rPr>
        <w:t>度假区居民在食品烹饪过程中会产生少量油烟废气，一般居民食用耗油系数为30g/（人·d），对餐饮企业的类比调查可知一般油烟挥发量占总耗油量的2%</w:t>
      </w:r>
      <w:r>
        <w:rPr>
          <w:rFonts w:hint="eastAsia" w:cs="Times New Roman"/>
        </w:rPr>
        <w:t>～</w:t>
      </w:r>
      <w:r>
        <w:rPr>
          <w:rFonts w:cs="Times New Roman"/>
        </w:rPr>
        <w:t>4%，平均为2.83%。但住宅与餐饮企业相比，食用油耗量和炒、炸、煎等烹调工序均较少，因此居民住宅油烟挥发率取3.0%。油烟废气均经过油烟机脱油烟处理，餐饮业油烟去除效率可按60%计，区内现有居民油烟排放量为</w:t>
      </w:r>
      <w:r>
        <w:rPr>
          <w:rFonts w:hint="eastAsia" w:cs="Times New Roman"/>
        </w:rPr>
        <w:t>3.94</w:t>
      </w:r>
      <w:r>
        <w:rPr>
          <w:rFonts w:cs="Times New Roman"/>
        </w:rPr>
        <w:t>t/a</w:t>
      </w:r>
      <w:r>
        <w:rPr>
          <w:rFonts w:hint="eastAsia" w:cs="Times New Roman"/>
        </w:rPr>
        <w:t>。</w:t>
      </w:r>
    </w:p>
    <w:p w14:paraId="2C7902EE">
      <w:pPr>
        <w:pStyle w:val="45"/>
        <w:rPr>
          <w:rFonts w:cs="Times New Roman"/>
        </w:rPr>
      </w:pPr>
      <w:r>
        <w:rPr>
          <w:rFonts w:hint="eastAsia" w:cs="Times New Roman"/>
        </w:rPr>
        <w:t>表3.</w:t>
      </w:r>
      <w:r>
        <w:rPr>
          <w:rFonts w:cs="Times New Roman"/>
        </w:rPr>
        <w:t>4</w:t>
      </w:r>
      <w:r>
        <w:rPr>
          <w:rFonts w:hint="eastAsia" w:cs="Times New Roman"/>
        </w:rPr>
        <w:t xml:space="preserve">-20 </w:t>
      </w:r>
      <w:r>
        <w:rPr>
          <w:rFonts w:cs="Times New Roman"/>
        </w:rPr>
        <w:t xml:space="preserve"> </w:t>
      </w:r>
      <w:r>
        <w:rPr>
          <w:rFonts w:hint="eastAsia" w:cs="Times New Roman"/>
        </w:rPr>
        <w:t>度假区居民生活燃烧废气现状排放情况表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176"/>
        <w:gridCol w:w="1387"/>
        <w:gridCol w:w="1267"/>
        <w:gridCol w:w="1268"/>
        <w:gridCol w:w="1268"/>
        <w:gridCol w:w="890"/>
      </w:tblGrid>
      <w:tr w14:paraId="30A56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pct"/>
            <w:vAlign w:val="center"/>
          </w:tcPr>
          <w:p w14:paraId="3972202E">
            <w:pPr>
              <w:pStyle w:val="47"/>
              <w:rPr>
                <w:b/>
                <w:bCs/>
                <w:sz w:val="21"/>
                <w:szCs w:val="21"/>
              </w:rPr>
            </w:pPr>
            <w:r>
              <w:rPr>
                <w:rFonts w:hint="eastAsia"/>
                <w:b/>
                <w:bCs/>
                <w:sz w:val="21"/>
                <w:szCs w:val="21"/>
              </w:rPr>
              <w:t>规模</w:t>
            </w:r>
          </w:p>
          <w:p w14:paraId="6A4955A2">
            <w:pPr>
              <w:pStyle w:val="47"/>
              <w:rPr>
                <w:b/>
                <w:bCs/>
                <w:sz w:val="21"/>
                <w:szCs w:val="21"/>
              </w:rPr>
            </w:pPr>
            <w:r>
              <w:rPr>
                <w:rFonts w:hint="eastAsia"/>
                <w:b/>
                <w:bCs/>
                <w:sz w:val="21"/>
                <w:szCs w:val="21"/>
              </w:rPr>
              <w:t>（人/d）</w:t>
            </w:r>
          </w:p>
        </w:tc>
        <w:tc>
          <w:tcPr>
            <w:tcW w:w="692" w:type="pct"/>
            <w:vAlign w:val="center"/>
          </w:tcPr>
          <w:p w14:paraId="1A670849">
            <w:pPr>
              <w:pStyle w:val="47"/>
              <w:rPr>
                <w:b/>
                <w:bCs/>
                <w:sz w:val="21"/>
                <w:szCs w:val="21"/>
                <w:shd w:val="pct10" w:color="auto" w:fill="FFFFFF"/>
              </w:rPr>
            </w:pPr>
            <w:r>
              <w:rPr>
                <w:rFonts w:hint="eastAsia"/>
                <w:b/>
                <w:bCs/>
                <w:sz w:val="21"/>
                <w:szCs w:val="21"/>
              </w:rPr>
              <w:t>天数（d）</w:t>
            </w:r>
          </w:p>
        </w:tc>
        <w:tc>
          <w:tcPr>
            <w:tcW w:w="799" w:type="pct"/>
            <w:vAlign w:val="center"/>
          </w:tcPr>
          <w:p w14:paraId="7DB5A997">
            <w:pPr>
              <w:pStyle w:val="47"/>
              <w:rPr>
                <w:b/>
                <w:bCs/>
                <w:sz w:val="21"/>
                <w:szCs w:val="21"/>
              </w:rPr>
            </w:pPr>
            <w:r>
              <w:rPr>
                <w:rFonts w:hint="eastAsia"/>
                <w:b/>
                <w:bCs/>
                <w:sz w:val="21"/>
                <w:szCs w:val="21"/>
              </w:rPr>
              <w:t>核算指标（g/（人·d））</w:t>
            </w:r>
          </w:p>
        </w:tc>
        <w:tc>
          <w:tcPr>
            <w:tcW w:w="745" w:type="pct"/>
            <w:vAlign w:val="center"/>
          </w:tcPr>
          <w:p w14:paraId="3D37F43A">
            <w:pPr>
              <w:pStyle w:val="47"/>
              <w:rPr>
                <w:b/>
                <w:bCs/>
                <w:sz w:val="21"/>
                <w:szCs w:val="21"/>
              </w:rPr>
            </w:pPr>
            <w:r>
              <w:rPr>
                <w:rFonts w:hint="eastAsia"/>
                <w:b/>
                <w:bCs/>
                <w:sz w:val="21"/>
                <w:szCs w:val="21"/>
              </w:rPr>
              <w:t>食用油用量（t/a）</w:t>
            </w:r>
          </w:p>
        </w:tc>
        <w:tc>
          <w:tcPr>
            <w:tcW w:w="746" w:type="pct"/>
            <w:vAlign w:val="center"/>
          </w:tcPr>
          <w:p w14:paraId="26A11DFA">
            <w:pPr>
              <w:pStyle w:val="47"/>
              <w:rPr>
                <w:b/>
                <w:bCs/>
                <w:sz w:val="21"/>
                <w:szCs w:val="21"/>
              </w:rPr>
            </w:pPr>
            <w:r>
              <w:rPr>
                <w:rFonts w:hint="eastAsia"/>
                <w:b/>
                <w:bCs/>
                <w:sz w:val="21"/>
                <w:szCs w:val="21"/>
              </w:rPr>
              <w:t>油烟挥发率（%）</w:t>
            </w:r>
          </w:p>
        </w:tc>
        <w:tc>
          <w:tcPr>
            <w:tcW w:w="746" w:type="pct"/>
            <w:vAlign w:val="center"/>
          </w:tcPr>
          <w:p w14:paraId="0E07CF8C">
            <w:pPr>
              <w:pStyle w:val="47"/>
              <w:rPr>
                <w:b/>
                <w:bCs/>
                <w:sz w:val="21"/>
                <w:szCs w:val="21"/>
              </w:rPr>
            </w:pPr>
            <w:r>
              <w:rPr>
                <w:rFonts w:hint="eastAsia"/>
                <w:b/>
                <w:bCs/>
                <w:sz w:val="21"/>
                <w:szCs w:val="21"/>
              </w:rPr>
              <w:t>油烟去除效率（%）</w:t>
            </w:r>
          </w:p>
        </w:tc>
        <w:tc>
          <w:tcPr>
            <w:tcW w:w="524" w:type="pct"/>
            <w:vAlign w:val="center"/>
          </w:tcPr>
          <w:p w14:paraId="5CB1EB86">
            <w:pPr>
              <w:pStyle w:val="47"/>
              <w:rPr>
                <w:b/>
                <w:bCs/>
                <w:sz w:val="21"/>
                <w:szCs w:val="21"/>
              </w:rPr>
            </w:pPr>
            <w:r>
              <w:rPr>
                <w:rFonts w:hint="eastAsia"/>
                <w:b/>
                <w:bCs/>
                <w:sz w:val="21"/>
                <w:szCs w:val="21"/>
              </w:rPr>
              <w:t>排放量（t/a）</w:t>
            </w:r>
          </w:p>
        </w:tc>
      </w:tr>
      <w:tr w14:paraId="70BB0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pct"/>
            <w:vAlign w:val="center"/>
          </w:tcPr>
          <w:p w14:paraId="536D3887">
            <w:pPr>
              <w:pStyle w:val="47"/>
              <w:rPr>
                <w:sz w:val="21"/>
                <w:szCs w:val="21"/>
              </w:rPr>
            </w:pPr>
            <w:r>
              <w:rPr>
                <w:rFonts w:hint="eastAsia"/>
                <w:sz w:val="21"/>
                <w:szCs w:val="21"/>
              </w:rPr>
              <w:t>30000</w:t>
            </w:r>
          </w:p>
        </w:tc>
        <w:tc>
          <w:tcPr>
            <w:tcW w:w="692" w:type="pct"/>
            <w:vAlign w:val="center"/>
          </w:tcPr>
          <w:p w14:paraId="201E6DDC">
            <w:pPr>
              <w:pStyle w:val="47"/>
              <w:rPr>
                <w:sz w:val="21"/>
                <w:szCs w:val="21"/>
              </w:rPr>
            </w:pPr>
            <w:r>
              <w:rPr>
                <w:rFonts w:hint="eastAsia"/>
                <w:sz w:val="21"/>
                <w:szCs w:val="21"/>
              </w:rPr>
              <w:t>365</w:t>
            </w:r>
          </w:p>
        </w:tc>
        <w:tc>
          <w:tcPr>
            <w:tcW w:w="799" w:type="pct"/>
            <w:vAlign w:val="center"/>
          </w:tcPr>
          <w:p w14:paraId="4A694A18">
            <w:pPr>
              <w:pStyle w:val="47"/>
              <w:rPr>
                <w:sz w:val="21"/>
                <w:szCs w:val="21"/>
              </w:rPr>
            </w:pPr>
            <w:r>
              <w:rPr>
                <w:rFonts w:hint="eastAsia"/>
                <w:sz w:val="21"/>
                <w:szCs w:val="21"/>
              </w:rPr>
              <w:t>30</w:t>
            </w:r>
          </w:p>
        </w:tc>
        <w:tc>
          <w:tcPr>
            <w:tcW w:w="745" w:type="pct"/>
            <w:vAlign w:val="center"/>
          </w:tcPr>
          <w:p w14:paraId="444C44E6">
            <w:pPr>
              <w:pStyle w:val="47"/>
              <w:rPr>
                <w:sz w:val="21"/>
                <w:szCs w:val="21"/>
              </w:rPr>
            </w:pPr>
            <w:r>
              <w:rPr>
                <w:rFonts w:hint="eastAsia"/>
                <w:sz w:val="21"/>
                <w:szCs w:val="21"/>
              </w:rPr>
              <w:t>383.25</w:t>
            </w:r>
          </w:p>
        </w:tc>
        <w:tc>
          <w:tcPr>
            <w:tcW w:w="746" w:type="pct"/>
            <w:vAlign w:val="center"/>
          </w:tcPr>
          <w:p w14:paraId="3CFBFEA7">
            <w:pPr>
              <w:pStyle w:val="47"/>
              <w:rPr>
                <w:sz w:val="21"/>
                <w:szCs w:val="21"/>
              </w:rPr>
            </w:pPr>
            <w:r>
              <w:rPr>
                <w:rFonts w:hint="eastAsia"/>
                <w:sz w:val="21"/>
                <w:szCs w:val="21"/>
              </w:rPr>
              <w:t>3.0</w:t>
            </w:r>
          </w:p>
        </w:tc>
        <w:tc>
          <w:tcPr>
            <w:tcW w:w="746" w:type="pct"/>
            <w:vAlign w:val="center"/>
          </w:tcPr>
          <w:p w14:paraId="2A651101">
            <w:pPr>
              <w:pStyle w:val="47"/>
              <w:rPr>
                <w:sz w:val="21"/>
                <w:szCs w:val="21"/>
              </w:rPr>
            </w:pPr>
            <w:r>
              <w:rPr>
                <w:rFonts w:hint="eastAsia"/>
                <w:sz w:val="21"/>
                <w:szCs w:val="21"/>
              </w:rPr>
              <w:t>60</w:t>
            </w:r>
          </w:p>
        </w:tc>
        <w:tc>
          <w:tcPr>
            <w:tcW w:w="524" w:type="pct"/>
            <w:vAlign w:val="center"/>
          </w:tcPr>
          <w:p w14:paraId="024A2005">
            <w:pPr>
              <w:pStyle w:val="47"/>
              <w:rPr>
                <w:sz w:val="21"/>
                <w:szCs w:val="21"/>
              </w:rPr>
            </w:pPr>
            <w:r>
              <w:rPr>
                <w:rFonts w:hint="eastAsia"/>
                <w:sz w:val="21"/>
                <w:szCs w:val="21"/>
              </w:rPr>
              <w:t>3.94</w:t>
            </w:r>
          </w:p>
        </w:tc>
      </w:tr>
    </w:tbl>
    <w:p w14:paraId="52D4A1F2">
      <w:pPr>
        <w:ind w:firstLine="480"/>
      </w:pPr>
      <w:r>
        <w:rPr>
          <w:rFonts w:hint="eastAsia"/>
        </w:rPr>
        <w:t>（3）机动车尾气</w:t>
      </w:r>
    </w:p>
    <w:p w14:paraId="4255B0EF">
      <w:pPr>
        <w:ind w:firstLine="480"/>
      </w:pPr>
      <w:r>
        <w:rPr>
          <w:rFonts w:hint="eastAsia"/>
        </w:rPr>
        <w:t>2023年，区域接待游客约210万人次，根据外部到达交通到达度假区的方式及年游客数量估算得到，自驾车（含出租车）40万辆，公共交通（常规公共交通、旅游客运专线、旅游巴士）2.5万辆，参考《轻型汽车污染物排放限值及测量方法（中国第六阶段）》（GB 18352.6-2016）的试验计算结果，取试验排放限值（6a阶段）作为度假区内各类旅游汽车的主要污染物排放因子，如下表所示。</w:t>
      </w:r>
    </w:p>
    <w:p w14:paraId="6C718981">
      <w:pPr>
        <w:pStyle w:val="45"/>
        <w:rPr>
          <w:rFonts w:cs="Times New Roman"/>
        </w:rPr>
      </w:pPr>
      <w:r>
        <w:rPr>
          <w:rFonts w:hint="eastAsia" w:cs="Times New Roman"/>
        </w:rPr>
        <w:t>表3.</w:t>
      </w:r>
      <w:r>
        <w:rPr>
          <w:rFonts w:cs="Times New Roman"/>
        </w:rPr>
        <w:t>4</w:t>
      </w:r>
      <w:r>
        <w:rPr>
          <w:rFonts w:hint="eastAsia" w:cs="Times New Roman"/>
        </w:rPr>
        <w:t xml:space="preserve">-21 </w:t>
      </w:r>
      <w:r>
        <w:rPr>
          <w:rFonts w:cs="Times New Roman"/>
        </w:rPr>
        <w:t xml:space="preserve"> </w:t>
      </w:r>
      <w:r>
        <w:rPr>
          <w:rFonts w:hint="eastAsia" w:cs="Times New Roman"/>
        </w:rPr>
        <w:t>旅游车辆主要污染物排放因子一览表（mg/km）</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8"/>
        <w:gridCol w:w="1089"/>
        <w:gridCol w:w="1089"/>
        <w:gridCol w:w="1089"/>
        <w:gridCol w:w="1089"/>
        <w:gridCol w:w="1088"/>
      </w:tblGrid>
      <w:tr w14:paraId="0062A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6" w:type="pct"/>
            <w:vAlign w:val="center"/>
          </w:tcPr>
          <w:p w14:paraId="5AB4FB0B">
            <w:pPr>
              <w:widowControl/>
              <w:spacing w:line="240" w:lineRule="auto"/>
              <w:ind w:firstLine="0" w:firstLineChars="0"/>
              <w:jc w:val="center"/>
              <w:rPr>
                <w:rFonts w:cs="Times New Roman"/>
                <w:b/>
                <w:kern w:val="0"/>
                <w:sz w:val="21"/>
                <w:szCs w:val="21"/>
              </w:rPr>
            </w:pPr>
            <w:r>
              <w:rPr>
                <w:rFonts w:hint="eastAsia" w:cs="Times New Roman"/>
                <w:b/>
                <w:kern w:val="0"/>
                <w:sz w:val="21"/>
                <w:szCs w:val="21"/>
              </w:rPr>
              <w:t>车辆类别</w:t>
            </w:r>
          </w:p>
        </w:tc>
        <w:tc>
          <w:tcPr>
            <w:tcW w:w="639" w:type="pct"/>
            <w:vAlign w:val="center"/>
          </w:tcPr>
          <w:p w14:paraId="6C0FC576">
            <w:pPr>
              <w:widowControl/>
              <w:spacing w:line="240" w:lineRule="auto"/>
              <w:ind w:firstLine="0" w:firstLineChars="0"/>
              <w:jc w:val="center"/>
              <w:rPr>
                <w:rFonts w:cs="Times New Roman"/>
                <w:b/>
                <w:kern w:val="0"/>
                <w:sz w:val="21"/>
                <w:szCs w:val="21"/>
              </w:rPr>
            </w:pPr>
            <w:r>
              <w:rPr>
                <w:rFonts w:hint="eastAsia" w:cs="Times New Roman"/>
                <w:b/>
                <w:kern w:val="0"/>
                <w:sz w:val="21"/>
                <w:szCs w:val="21"/>
              </w:rPr>
              <w:t>CO</w:t>
            </w:r>
          </w:p>
        </w:tc>
        <w:tc>
          <w:tcPr>
            <w:tcW w:w="639" w:type="pct"/>
            <w:vAlign w:val="center"/>
          </w:tcPr>
          <w:p w14:paraId="3417325C">
            <w:pPr>
              <w:widowControl/>
              <w:spacing w:line="240" w:lineRule="auto"/>
              <w:ind w:firstLine="0" w:firstLineChars="0"/>
              <w:jc w:val="center"/>
              <w:rPr>
                <w:rFonts w:cs="Times New Roman"/>
                <w:b/>
                <w:kern w:val="0"/>
                <w:sz w:val="21"/>
                <w:szCs w:val="21"/>
              </w:rPr>
            </w:pPr>
            <w:r>
              <w:rPr>
                <w:rFonts w:hint="eastAsia" w:cs="Times New Roman"/>
                <w:b/>
                <w:kern w:val="0"/>
                <w:sz w:val="21"/>
                <w:szCs w:val="21"/>
              </w:rPr>
              <w:t>NOx</w:t>
            </w:r>
          </w:p>
        </w:tc>
        <w:tc>
          <w:tcPr>
            <w:tcW w:w="639" w:type="pct"/>
            <w:vAlign w:val="center"/>
          </w:tcPr>
          <w:p w14:paraId="78F3BBE0">
            <w:pPr>
              <w:widowControl/>
              <w:spacing w:line="240" w:lineRule="auto"/>
              <w:ind w:firstLine="0" w:firstLineChars="0"/>
              <w:jc w:val="center"/>
              <w:rPr>
                <w:rFonts w:cs="Times New Roman"/>
                <w:b/>
                <w:kern w:val="0"/>
                <w:sz w:val="21"/>
                <w:szCs w:val="21"/>
              </w:rPr>
            </w:pPr>
            <w:r>
              <w:rPr>
                <w:rFonts w:hint="eastAsia" w:cs="Times New Roman"/>
                <w:b/>
                <w:kern w:val="0"/>
                <w:sz w:val="21"/>
                <w:szCs w:val="21"/>
              </w:rPr>
              <w:t>HC</w:t>
            </w:r>
          </w:p>
        </w:tc>
        <w:tc>
          <w:tcPr>
            <w:tcW w:w="639" w:type="pct"/>
            <w:vAlign w:val="center"/>
          </w:tcPr>
          <w:p w14:paraId="397B7304">
            <w:pPr>
              <w:widowControl/>
              <w:spacing w:line="240" w:lineRule="auto"/>
              <w:ind w:firstLine="0" w:firstLineChars="0"/>
              <w:jc w:val="center"/>
              <w:rPr>
                <w:rFonts w:cs="Times New Roman"/>
                <w:b/>
                <w:kern w:val="0"/>
                <w:sz w:val="21"/>
                <w:szCs w:val="21"/>
              </w:rPr>
            </w:pPr>
            <w:r>
              <w:rPr>
                <w:rFonts w:hint="eastAsia" w:cs="Times New Roman"/>
                <w:b/>
                <w:kern w:val="0"/>
                <w:sz w:val="21"/>
                <w:szCs w:val="21"/>
              </w:rPr>
              <w:t>PM</w:t>
            </w:r>
          </w:p>
        </w:tc>
        <w:tc>
          <w:tcPr>
            <w:tcW w:w="638" w:type="pct"/>
            <w:vAlign w:val="center"/>
          </w:tcPr>
          <w:p w14:paraId="4FF836FF">
            <w:pPr>
              <w:widowControl/>
              <w:spacing w:line="240" w:lineRule="auto"/>
              <w:ind w:firstLine="0" w:firstLineChars="0"/>
              <w:jc w:val="center"/>
              <w:rPr>
                <w:rFonts w:cs="Times New Roman"/>
                <w:b/>
                <w:kern w:val="0"/>
                <w:sz w:val="21"/>
                <w:szCs w:val="21"/>
              </w:rPr>
            </w:pPr>
            <w:r>
              <w:rPr>
                <w:rFonts w:hint="eastAsia" w:cs="Times New Roman"/>
                <w:b/>
                <w:kern w:val="0"/>
                <w:sz w:val="21"/>
                <w:szCs w:val="21"/>
              </w:rPr>
              <w:t>NMHC</w:t>
            </w:r>
          </w:p>
        </w:tc>
      </w:tr>
      <w:tr w14:paraId="4C169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6" w:type="pct"/>
            <w:vAlign w:val="center"/>
          </w:tcPr>
          <w:p w14:paraId="639E7D92">
            <w:pPr>
              <w:widowControl/>
              <w:spacing w:line="240" w:lineRule="auto"/>
              <w:ind w:firstLine="0" w:firstLineChars="0"/>
              <w:jc w:val="center"/>
              <w:rPr>
                <w:rFonts w:cs="Times New Roman"/>
                <w:kern w:val="0"/>
                <w:sz w:val="21"/>
                <w:szCs w:val="21"/>
              </w:rPr>
            </w:pPr>
            <w:r>
              <w:rPr>
                <w:rFonts w:hint="eastAsia" w:cs="Times New Roman"/>
                <w:kern w:val="0"/>
                <w:sz w:val="21"/>
                <w:szCs w:val="21"/>
              </w:rPr>
              <w:t>自驾车（1305~1760 kg）</w:t>
            </w:r>
          </w:p>
        </w:tc>
        <w:tc>
          <w:tcPr>
            <w:tcW w:w="639" w:type="pct"/>
            <w:vAlign w:val="center"/>
          </w:tcPr>
          <w:p w14:paraId="52442E25">
            <w:pPr>
              <w:widowControl/>
              <w:spacing w:line="240" w:lineRule="auto"/>
              <w:ind w:firstLine="0" w:firstLineChars="0"/>
              <w:jc w:val="center"/>
              <w:rPr>
                <w:rFonts w:cs="Times New Roman"/>
                <w:kern w:val="0"/>
                <w:sz w:val="21"/>
                <w:szCs w:val="21"/>
              </w:rPr>
            </w:pPr>
            <w:r>
              <w:rPr>
                <w:rFonts w:hint="eastAsia" w:cs="Times New Roman"/>
                <w:kern w:val="0"/>
                <w:sz w:val="21"/>
                <w:szCs w:val="21"/>
              </w:rPr>
              <w:t>880</w:t>
            </w:r>
          </w:p>
        </w:tc>
        <w:tc>
          <w:tcPr>
            <w:tcW w:w="639" w:type="pct"/>
            <w:vAlign w:val="center"/>
          </w:tcPr>
          <w:p w14:paraId="1CAB1D15">
            <w:pPr>
              <w:widowControl/>
              <w:spacing w:line="240" w:lineRule="auto"/>
              <w:ind w:firstLine="0" w:firstLineChars="0"/>
              <w:jc w:val="center"/>
              <w:rPr>
                <w:rFonts w:cs="Times New Roman"/>
                <w:kern w:val="0"/>
                <w:sz w:val="21"/>
                <w:szCs w:val="21"/>
              </w:rPr>
            </w:pPr>
            <w:r>
              <w:rPr>
                <w:rFonts w:hint="eastAsia" w:cs="Times New Roman"/>
                <w:kern w:val="0"/>
                <w:sz w:val="21"/>
                <w:szCs w:val="21"/>
              </w:rPr>
              <w:t>75</w:t>
            </w:r>
          </w:p>
        </w:tc>
        <w:tc>
          <w:tcPr>
            <w:tcW w:w="639" w:type="pct"/>
            <w:vAlign w:val="center"/>
          </w:tcPr>
          <w:p w14:paraId="6B8767B9">
            <w:pPr>
              <w:widowControl/>
              <w:spacing w:line="240" w:lineRule="auto"/>
              <w:ind w:firstLine="0" w:firstLineChars="0"/>
              <w:jc w:val="center"/>
              <w:rPr>
                <w:rFonts w:cs="Times New Roman"/>
                <w:kern w:val="0"/>
                <w:sz w:val="21"/>
                <w:szCs w:val="21"/>
              </w:rPr>
            </w:pPr>
            <w:r>
              <w:rPr>
                <w:rFonts w:hint="eastAsia" w:cs="Times New Roman"/>
                <w:kern w:val="0"/>
                <w:sz w:val="21"/>
                <w:szCs w:val="21"/>
              </w:rPr>
              <w:t>130</w:t>
            </w:r>
          </w:p>
        </w:tc>
        <w:tc>
          <w:tcPr>
            <w:tcW w:w="639" w:type="pct"/>
            <w:vAlign w:val="center"/>
          </w:tcPr>
          <w:p w14:paraId="44A30DC8">
            <w:pPr>
              <w:widowControl/>
              <w:spacing w:line="240" w:lineRule="auto"/>
              <w:ind w:firstLine="0" w:firstLineChars="0"/>
              <w:jc w:val="center"/>
              <w:rPr>
                <w:rFonts w:cs="Times New Roman"/>
                <w:kern w:val="0"/>
                <w:sz w:val="21"/>
                <w:szCs w:val="21"/>
              </w:rPr>
            </w:pPr>
            <w:r>
              <w:rPr>
                <w:rFonts w:hint="eastAsia" w:cs="Times New Roman"/>
                <w:kern w:val="0"/>
                <w:sz w:val="21"/>
                <w:szCs w:val="21"/>
              </w:rPr>
              <w:t>4.5</w:t>
            </w:r>
          </w:p>
        </w:tc>
        <w:tc>
          <w:tcPr>
            <w:tcW w:w="638" w:type="pct"/>
            <w:vAlign w:val="center"/>
          </w:tcPr>
          <w:p w14:paraId="3E5488F3">
            <w:pPr>
              <w:widowControl/>
              <w:spacing w:line="240" w:lineRule="auto"/>
              <w:ind w:firstLine="0" w:firstLineChars="0"/>
              <w:jc w:val="center"/>
              <w:rPr>
                <w:rFonts w:cs="Times New Roman"/>
                <w:kern w:val="0"/>
                <w:sz w:val="21"/>
                <w:szCs w:val="21"/>
              </w:rPr>
            </w:pPr>
            <w:r>
              <w:rPr>
                <w:rFonts w:hint="eastAsia" w:cs="Times New Roman"/>
                <w:kern w:val="0"/>
                <w:sz w:val="21"/>
                <w:szCs w:val="21"/>
              </w:rPr>
              <w:t>90</w:t>
            </w:r>
          </w:p>
        </w:tc>
      </w:tr>
      <w:tr w14:paraId="1ABA2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6" w:type="pct"/>
            <w:vAlign w:val="center"/>
          </w:tcPr>
          <w:p w14:paraId="1A99C64F">
            <w:pPr>
              <w:widowControl/>
              <w:spacing w:line="240" w:lineRule="auto"/>
              <w:ind w:firstLine="0" w:firstLineChars="0"/>
              <w:jc w:val="center"/>
              <w:rPr>
                <w:rFonts w:cs="Times New Roman"/>
                <w:kern w:val="0"/>
                <w:sz w:val="21"/>
                <w:szCs w:val="21"/>
              </w:rPr>
            </w:pPr>
            <w:r>
              <w:rPr>
                <w:rFonts w:hint="eastAsia" w:cs="Times New Roman"/>
                <w:kern w:val="0"/>
                <w:sz w:val="21"/>
                <w:szCs w:val="21"/>
              </w:rPr>
              <w:t>公共交通客车（＞1760 kg）</w:t>
            </w:r>
          </w:p>
        </w:tc>
        <w:tc>
          <w:tcPr>
            <w:tcW w:w="639" w:type="pct"/>
            <w:vAlign w:val="center"/>
          </w:tcPr>
          <w:p w14:paraId="18598630">
            <w:pPr>
              <w:widowControl/>
              <w:spacing w:line="240" w:lineRule="auto"/>
              <w:ind w:firstLine="0" w:firstLineChars="0"/>
              <w:jc w:val="center"/>
              <w:rPr>
                <w:rFonts w:cs="Times New Roman"/>
                <w:kern w:val="0"/>
                <w:sz w:val="21"/>
                <w:szCs w:val="21"/>
              </w:rPr>
            </w:pPr>
            <w:r>
              <w:rPr>
                <w:rFonts w:hint="eastAsia" w:cs="Times New Roman"/>
                <w:kern w:val="0"/>
                <w:sz w:val="21"/>
                <w:szCs w:val="21"/>
              </w:rPr>
              <w:t>1000</w:t>
            </w:r>
          </w:p>
        </w:tc>
        <w:tc>
          <w:tcPr>
            <w:tcW w:w="639" w:type="pct"/>
            <w:vAlign w:val="center"/>
          </w:tcPr>
          <w:p w14:paraId="3D7DAFD6">
            <w:pPr>
              <w:widowControl/>
              <w:spacing w:line="240" w:lineRule="auto"/>
              <w:ind w:firstLine="0" w:firstLineChars="0"/>
              <w:jc w:val="center"/>
              <w:rPr>
                <w:rFonts w:cs="Times New Roman"/>
                <w:kern w:val="0"/>
                <w:sz w:val="21"/>
                <w:szCs w:val="21"/>
              </w:rPr>
            </w:pPr>
            <w:r>
              <w:rPr>
                <w:rFonts w:hint="eastAsia" w:cs="Times New Roman"/>
                <w:kern w:val="0"/>
                <w:sz w:val="21"/>
                <w:szCs w:val="21"/>
              </w:rPr>
              <w:t>82</w:t>
            </w:r>
          </w:p>
        </w:tc>
        <w:tc>
          <w:tcPr>
            <w:tcW w:w="639" w:type="pct"/>
            <w:vAlign w:val="center"/>
          </w:tcPr>
          <w:p w14:paraId="19CF7AC3">
            <w:pPr>
              <w:widowControl/>
              <w:spacing w:line="240" w:lineRule="auto"/>
              <w:ind w:firstLine="0" w:firstLineChars="0"/>
              <w:jc w:val="center"/>
              <w:rPr>
                <w:rFonts w:cs="Times New Roman"/>
                <w:kern w:val="0"/>
                <w:sz w:val="21"/>
                <w:szCs w:val="21"/>
              </w:rPr>
            </w:pPr>
            <w:r>
              <w:rPr>
                <w:rFonts w:hint="eastAsia" w:cs="Times New Roman"/>
                <w:kern w:val="0"/>
                <w:sz w:val="21"/>
                <w:szCs w:val="21"/>
              </w:rPr>
              <w:t>160</w:t>
            </w:r>
          </w:p>
        </w:tc>
        <w:tc>
          <w:tcPr>
            <w:tcW w:w="639" w:type="pct"/>
            <w:vAlign w:val="center"/>
          </w:tcPr>
          <w:p w14:paraId="47A55265">
            <w:pPr>
              <w:widowControl/>
              <w:spacing w:line="240" w:lineRule="auto"/>
              <w:ind w:firstLine="0" w:firstLineChars="0"/>
              <w:jc w:val="center"/>
              <w:rPr>
                <w:rFonts w:cs="Times New Roman"/>
                <w:kern w:val="0"/>
                <w:sz w:val="21"/>
                <w:szCs w:val="21"/>
              </w:rPr>
            </w:pPr>
            <w:r>
              <w:rPr>
                <w:rFonts w:hint="eastAsia" w:cs="Times New Roman"/>
                <w:kern w:val="0"/>
                <w:sz w:val="21"/>
                <w:szCs w:val="21"/>
              </w:rPr>
              <w:t>4.5</w:t>
            </w:r>
          </w:p>
        </w:tc>
        <w:tc>
          <w:tcPr>
            <w:tcW w:w="638" w:type="pct"/>
            <w:vAlign w:val="center"/>
          </w:tcPr>
          <w:p w14:paraId="2C56D871">
            <w:pPr>
              <w:widowControl/>
              <w:spacing w:line="240" w:lineRule="auto"/>
              <w:ind w:firstLine="0" w:firstLineChars="0"/>
              <w:jc w:val="center"/>
              <w:rPr>
                <w:rFonts w:cs="Times New Roman"/>
                <w:kern w:val="0"/>
                <w:sz w:val="21"/>
                <w:szCs w:val="21"/>
              </w:rPr>
            </w:pPr>
            <w:r>
              <w:rPr>
                <w:rFonts w:hint="eastAsia" w:cs="Times New Roman"/>
                <w:kern w:val="0"/>
                <w:sz w:val="21"/>
                <w:szCs w:val="21"/>
              </w:rPr>
              <w:t>108</w:t>
            </w:r>
          </w:p>
        </w:tc>
      </w:tr>
    </w:tbl>
    <w:p w14:paraId="71BDB185">
      <w:pPr>
        <w:ind w:firstLine="480"/>
      </w:pPr>
      <w:r>
        <w:rPr>
          <w:rFonts w:hint="eastAsia"/>
        </w:rPr>
        <w:t>各类旅游车辆进出度假区按一次计，则旅游车辆在度假区内平均行驶距离取</w:t>
      </w:r>
      <w:r>
        <w:t>50</w:t>
      </w:r>
      <w:r>
        <w:rPr>
          <w:rFonts w:hint="eastAsia"/>
        </w:rPr>
        <w:t>公里，则机动车主要污染物排放量如下表所示。</w:t>
      </w:r>
    </w:p>
    <w:p w14:paraId="15503CB8">
      <w:pPr>
        <w:pStyle w:val="45"/>
        <w:rPr>
          <w:rFonts w:cs="Times New Roman"/>
        </w:rPr>
      </w:pPr>
      <w:r>
        <w:rPr>
          <w:rFonts w:hint="eastAsia" w:cs="Times New Roman"/>
        </w:rPr>
        <w:t>表3.</w:t>
      </w:r>
      <w:r>
        <w:rPr>
          <w:rFonts w:cs="Times New Roman"/>
        </w:rPr>
        <w:t>4</w:t>
      </w:r>
      <w:r>
        <w:rPr>
          <w:rFonts w:hint="eastAsia" w:cs="Times New Roman"/>
        </w:rPr>
        <w:t xml:space="preserve">-22 </w:t>
      </w:r>
      <w:r>
        <w:rPr>
          <w:rFonts w:cs="Times New Roman"/>
        </w:rPr>
        <w:t xml:space="preserve"> </w:t>
      </w:r>
      <w:r>
        <w:rPr>
          <w:rFonts w:hint="eastAsia" w:cs="Times New Roman"/>
        </w:rPr>
        <w:t>旅游车辆尾气主要污染物年排放量估算表（t/a）</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9"/>
        <w:gridCol w:w="1483"/>
        <w:gridCol w:w="1343"/>
        <w:gridCol w:w="1256"/>
        <w:gridCol w:w="1571"/>
        <w:gridCol w:w="1270"/>
      </w:tblGrid>
      <w:tr w14:paraId="1772A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8" w:type="pct"/>
            <w:vAlign w:val="center"/>
          </w:tcPr>
          <w:p w14:paraId="42362CFF">
            <w:pPr>
              <w:widowControl/>
              <w:spacing w:line="240" w:lineRule="auto"/>
              <w:ind w:firstLine="0" w:firstLineChars="0"/>
              <w:jc w:val="center"/>
              <w:rPr>
                <w:rFonts w:cs="Times New Roman"/>
                <w:b/>
                <w:kern w:val="0"/>
                <w:sz w:val="21"/>
                <w:szCs w:val="21"/>
              </w:rPr>
            </w:pPr>
            <w:r>
              <w:rPr>
                <w:rFonts w:hint="eastAsia" w:cs="Times New Roman"/>
                <w:b/>
                <w:kern w:val="0"/>
                <w:sz w:val="21"/>
                <w:szCs w:val="21"/>
              </w:rPr>
              <w:t>车辆类型</w:t>
            </w:r>
          </w:p>
        </w:tc>
        <w:tc>
          <w:tcPr>
            <w:tcW w:w="870" w:type="pct"/>
            <w:vAlign w:val="center"/>
          </w:tcPr>
          <w:p w14:paraId="3368F76C">
            <w:pPr>
              <w:widowControl/>
              <w:spacing w:line="240" w:lineRule="auto"/>
              <w:ind w:firstLine="0" w:firstLineChars="0"/>
              <w:jc w:val="center"/>
              <w:rPr>
                <w:rFonts w:cs="Times New Roman"/>
                <w:b/>
                <w:kern w:val="0"/>
                <w:sz w:val="21"/>
                <w:szCs w:val="21"/>
              </w:rPr>
            </w:pPr>
            <w:r>
              <w:rPr>
                <w:rFonts w:hint="eastAsia" w:cs="Times New Roman"/>
                <w:b/>
                <w:kern w:val="0"/>
                <w:sz w:val="21"/>
                <w:szCs w:val="21"/>
              </w:rPr>
              <w:t>CO</w:t>
            </w:r>
          </w:p>
        </w:tc>
        <w:tc>
          <w:tcPr>
            <w:tcW w:w="788" w:type="pct"/>
            <w:vAlign w:val="center"/>
          </w:tcPr>
          <w:p w14:paraId="5CE8BA55">
            <w:pPr>
              <w:widowControl/>
              <w:spacing w:line="240" w:lineRule="auto"/>
              <w:ind w:firstLine="0" w:firstLineChars="0"/>
              <w:jc w:val="center"/>
              <w:rPr>
                <w:rFonts w:cs="Times New Roman"/>
                <w:b/>
                <w:kern w:val="0"/>
                <w:sz w:val="21"/>
                <w:szCs w:val="21"/>
              </w:rPr>
            </w:pPr>
            <w:r>
              <w:rPr>
                <w:rFonts w:hint="eastAsia" w:cs="Times New Roman"/>
                <w:b/>
                <w:kern w:val="0"/>
                <w:sz w:val="21"/>
                <w:szCs w:val="21"/>
              </w:rPr>
              <w:t>NOx</w:t>
            </w:r>
          </w:p>
        </w:tc>
        <w:tc>
          <w:tcPr>
            <w:tcW w:w="737" w:type="pct"/>
            <w:vAlign w:val="center"/>
          </w:tcPr>
          <w:p w14:paraId="67412F62">
            <w:pPr>
              <w:widowControl/>
              <w:spacing w:line="240" w:lineRule="auto"/>
              <w:ind w:firstLine="0" w:firstLineChars="0"/>
              <w:jc w:val="center"/>
              <w:rPr>
                <w:rFonts w:cs="Times New Roman"/>
                <w:b/>
                <w:kern w:val="0"/>
                <w:sz w:val="21"/>
                <w:szCs w:val="21"/>
              </w:rPr>
            </w:pPr>
            <w:r>
              <w:rPr>
                <w:rFonts w:hint="eastAsia" w:cs="Times New Roman"/>
                <w:b/>
                <w:kern w:val="0"/>
                <w:sz w:val="21"/>
                <w:szCs w:val="21"/>
              </w:rPr>
              <w:t>HC</w:t>
            </w:r>
          </w:p>
        </w:tc>
        <w:tc>
          <w:tcPr>
            <w:tcW w:w="922" w:type="pct"/>
            <w:vAlign w:val="center"/>
          </w:tcPr>
          <w:p w14:paraId="4AC3C101">
            <w:pPr>
              <w:widowControl/>
              <w:spacing w:line="240" w:lineRule="auto"/>
              <w:ind w:firstLine="0" w:firstLineChars="0"/>
              <w:jc w:val="center"/>
              <w:rPr>
                <w:rFonts w:cs="Times New Roman"/>
                <w:b/>
                <w:kern w:val="0"/>
                <w:sz w:val="21"/>
                <w:szCs w:val="21"/>
              </w:rPr>
            </w:pPr>
            <w:r>
              <w:rPr>
                <w:rFonts w:hint="eastAsia" w:cs="Times New Roman"/>
                <w:b/>
                <w:kern w:val="0"/>
                <w:sz w:val="21"/>
                <w:szCs w:val="21"/>
              </w:rPr>
              <w:t>PM</w:t>
            </w:r>
          </w:p>
        </w:tc>
        <w:tc>
          <w:tcPr>
            <w:tcW w:w="745" w:type="pct"/>
            <w:vAlign w:val="center"/>
          </w:tcPr>
          <w:p w14:paraId="52D02D9C">
            <w:pPr>
              <w:widowControl/>
              <w:spacing w:line="240" w:lineRule="auto"/>
              <w:ind w:firstLine="0" w:firstLineChars="0"/>
              <w:jc w:val="center"/>
              <w:rPr>
                <w:rFonts w:cs="Times New Roman"/>
                <w:b/>
                <w:kern w:val="0"/>
                <w:sz w:val="21"/>
                <w:szCs w:val="21"/>
              </w:rPr>
            </w:pPr>
            <w:r>
              <w:rPr>
                <w:rFonts w:hint="eastAsia" w:cs="Times New Roman"/>
                <w:b/>
                <w:kern w:val="0"/>
                <w:sz w:val="21"/>
                <w:szCs w:val="21"/>
              </w:rPr>
              <w:t>NMHC</w:t>
            </w:r>
          </w:p>
        </w:tc>
      </w:tr>
      <w:tr w14:paraId="661D9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8" w:type="pct"/>
            <w:vAlign w:val="center"/>
          </w:tcPr>
          <w:p w14:paraId="24D374C2">
            <w:pPr>
              <w:widowControl/>
              <w:spacing w:line="240" w:lineRule="auto"/>
              <w:ind w:firstLine="0" w:firstLineChars="0"/>
              <w:jc w:val="center"/>
              <w:rPr>
                <w:rFonts w:cs="Times New Roman"/>
                <w:kern w:val="0"/>
                <w:sz w:val="21"/>
                <w:szCs w:val="21"/>
              </w:rPr>
            </w:pPr>
            <w:r>
              <w:rPr>
                <w:rFonts w:hint="eastAsia" w:cs="Times New Roman"/>
                <w:kern w:val="0"/>
                <w:sz w:val="21"/>
                <w:szCs w:val="21"/>
              </w:rPr>
              <w:t>自驾车</w:t>
            </w:r>
          </w:p>
        </w:tc>
        <w:tc>
          <w:tcPr>
            <w:tcW w:w="1483" w:type="dxa"/>
            <w:vAlign w:val="center"/>
          </w:tcPr>
          <w:p w14:paraId="5F330A05">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2"/>
                <w:lang w:bidi="ar"/>
              </w:rPr>
              <w:t>17.56</w:t>
            </w:r>
          </w:p>
        </w:tc>
        <w:tc>
          <w:tcPr>
            <w:tcW w:w="1343" w:type="dxa"/>
            <w:vAlign w:val="center"/>
          </w:tcPr>
          <w:p w14:paraId="44144FF6">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2"/>
                <w:lang w:bidi="ar"/>
              </w:rPr>
              <w:t>1.51</w:t>
            </w:r>
          </w:p>
        </w:tc>
        <w:tc>
          <w:tcPr>
            <w:tcW w:w="1256" w:type="dxa"/>
            <w:vAlign w:val="center"/>
          </w:tcPr>
          <w:p w14:paraId="5A4C6AA8">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2"/>
                <w:lang w:bidi="ar"/>
              </w:rPr>
              <w:t>2.67</w:t>
            </w:r>
          </w:p>
        </w:tc>
        <w:tc>
          <w:tcPr>
            <w:tcW w:w="1571" w:type="dxa"/>
            <w:vAlign w:val="center"/>
          </w:tcPr>
          <w:p w14:paraId="40A48426">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2"/>
                <w:lang w:bidi="ar"/>
              </w:rPr>
              <w:t>0.09</w:t>
            </w:r>
          </w:p>
        </w:tc>
        <w:tc>
          <w:tcPr>
            <w:tcW w:w="1270" w:type="dxa"/>
            <w:vAlign w:val="center"/>
          </w:tcPr>
          <w:p w14:paraId="026E8CD6">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2"/>
                <w:lang w:bidi="ar"/>
              </w:rPr>
              <w:t>1.80</w:t>
            </w:r>
          </w:p>
        </w:tc>
      </w:tr>
      <w:tr w14:paraId="25B7D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8" w:type="pct"/>
            <w:vAlign w:val="center"/>
          </w:tcPr>
          <w:p w14:paraId="18576330">
            <w:pPr>
              <w:widowControl/>
              <w:spacing w:line="240" w:lineRule="auto"/>
              <w:ind w:firstLine="0" w:firstLineChars="0"/>
              <w:jc w:val="center"/>
              <w:rPr>
                <w:rFonts w:cs="Times New Roman"/>
                <w:kern w:val="0"/>
                <w:sz w:val="21"/>
                <w:szCs w:val="21"/>
              </w:rPr>
            </w:pPr>
            <w:r>
              <w:rPr>
                <w:rFonts w:hint="eastAsia" w:cs="Times New Roman"/>
                <w:kern w:val="0"/>
                <w:sz w:val="21"/>
                <w:szCs w:val="21"/>
              </w:rPr>
              <w:t>公共交通客车</w:t>
            </w:r>
          </w:p>
        </w:tc>
        <w:tc>
          <w:tcPr>
            <w:tcW w:w="1483" w:type="dxa"/>
            <w:vAlign w:val="center"/>
          </w:tcPr>
          <w:p w14:paraId="6B84DC83">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2"/>
                <w:lang w:bidi="ar"/>
              </w:rPr>
              <w:t>0.12</w:t>
            </w:r>
          </w:p>
        </w:tc>
        <w:tc>
          <w:tcPr>
            <w:tcW w:w="1343" w:type="dxa"/>
            <w:vAlign w:val="center"/>
          </w:tcPr>
          <w:p w14:paraId="630C70A5">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2"/>
                <w:lang w:bidi="ar"/>
              </w:rPr>
              <w:t>0.08</w:t>
            </w:r>
          </w:p>
        </w:tc>
        <w:tc>
          <w:tcPr>
            <w:tcW w:w="1256" w:type="dxa"/>
            <w:vAlign w:val="center"/>
          </w:tcPr>
          <w:p w14:paraId="6F4A48DF">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2"/>
                <w:lang w:bidi="ar"/>
              </w:rPr>
              <w:t>0.02</w:t>
            </w:r>
          </w:p>
        </w:tc>
        <w:tc>
          <w:tcPr>
            <w:tcW w:w="1571" w:type="dxa"/>
            <w:vAlign w:val="center"/>
          </w:tcPr>
          <w:p w14:paraId="0FDA988A">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2"/>
                <w:lang w:bidi="ar"/>
              </w:rPr>
              <w:t>0.00</w:t>
            </w:r>
          </w:p>
        </w:tc>
        <w:tc>
          <w:tcPr>
            <w:tcW w:w="1270" w:type="dxa"/>
            <w:vAlign w:val="center"/>
          </w:tcPr>
          <w:p w14:paraId="501A8D9F">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2"/>
                <w:lang w:bidi="ar"/>
              </w:rPr>
              <w:t>0.02</w:t>
            </w:r>
          </w:p>
        </w:tc>
      </w:tr>
      <w:tr w14:paraId="518D5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8" w:type="pct"/>
            <w:vAlign w:val="center"/>
          </w:tcPr>
          <w:p w14:paraId="198125DB">
            <w:pPr>
              <w:widowControl/>
              <w:spacing w:line="240" w:lineRule="auto"/>
              <w:ind w:firstLine="0" w:firstLineChars="0"/>
              <w:jc w:val="center"/>
              <w:rPr>
                <w:rFonts w:cs="Times New Roman"/>
                <w:b/>
                <w:kern w:val="0"/>
                <w:sz w:val="21"/>
                <w:szCs w:val="21"/>
              </w:rPr>
            </w:pPr>
            <w:r>
              <w:rPr>
                <w:rFonts w:hint="eastAsia" w:cs="Times New Roman"/>
                <w:b/>
                <w:kern w:val="0"/>
                <w:sz w:val="21"/>
                <w:szCs w:val="21"/>
              </w:rPr>
              <w:t>合计</w:t>
            </w:r>
          </w:p>
        </w:tc>
        <w:tc>
          <w:tcPr>
            <w:tcW w:w="1483" w:type="dxa"/>
            <w:vAlign w:val="center"/>
          </w:tcPr>
          <w:p w14:paraId="0A95FB35">
            <w:pPr>
              <w:widowControl/>
              <w:spacing w:line="240" w:lineRule="auto"/>
              <w:ind w:firstLine="0" w:firstLineChars="0"/>
              <w:jc w:val="center"/>
              <w:textAlignment w:val="center"/>
              <w:rPr>
                <w:rFonts w:cs="Times New Roman"/>
                <w:b/>
                <w:kern w:val="0"/>
                <w:sz w:val="21"/>
                <w:szCs w:val="21"/>
              </w:rPr>
            </w:pPr>
            <w:r>
              <w:rPr>
                <w:rFonts w:eastAsia="宋体" w:cs="Times New Roman"/>
                <w:color w:val="000000"/>
                <w:kern w:val="0"/>
                <w:sz w:val="22"/>
                <w:lang w:bidi="ar"/>
              </w:rPr>
              <w:t>17.68</w:t>
            </w:r>
          </w:p>
        </w:tc>
        <w:tc>
          <w:tcPr>
            <w:tcW w:w="1343" w:type="dxa"/>
            <w:vAlign w:val="center"/>
          </w:tcPr>
          <w:p w14:paraId="36D2E005">
            <w:pPr>
              <w:widowControl/>
              <w:spacing w:line="240" w:lineRule="auto"/>
              <w:ind w:firstLine="0" w:firstLineChars="0"/>
              <w:jc w:val="center"/>
              <w:textAlignment w:val="center"/>
              <w:rPr>
                <w:rFonts w:cs="Times New Roman"/>
                <w:b/>
                <w:kern w:val="0"/>
                <w:sz w:val="21"/>
                <w:szCs w:val="21"/>
              </w:rPr>
            </w:pPr>
            <w:r>
              <w:rPr>
                <w:rFonts w:eastAsia="宋体" w:cs="Times New Roman"/>
                <w:color w:val="000000"/>
                <w:kern w:val="0"/>
                <w:sz w:val="22"/>
                <w:lang w:bidi="ar"/>
              </w:rPr>
              <w:t>1.60</w:t>
            </w:r>
          </w:p>
        </w:tc>
        <w:tc>
          <w:tcPr>
            <w:tcW w:w="1256" w:type="dxa"/>
            <w:vAlign w:val="center"/>
          </w:tcPr>
          <w:p w14:paraId="52E8E965">
            <w:pPr>
              <w:widowControl/>
              <w:spacing w:line="240" w:lineRule="auto"/>
              <w:ind w:firstLine="0" w:firstLineChars="0"/>
              <w:jc w:val="center"/>
              <w:textAlignment w:val="center"/>
              <w:rPr>
                <w:rFonts w:cs="Times New Roman"/>
                <w:b/>
                <w:kern w:val="0"/>
                <w:sz w:val="21"/>
                <w:szCs w:val="21"/>
              </w:rPr>
            </w:pPr>
            <w:r>
              <w:rPr>
                <w:rFonts w:eastAsia="宋体" w:cs="Times New Roman"/>
                <w:color w:val="000000"/>
                <w:kern w:val="0"/>
                <w:sz w:val="22"/>
                <w:lang w:bidi="ar"/>
              </w:rPr>
              <w:t>2.69</w:t>
            </w:r>
          </w:p>
        </w:tc>
        <w:tc>
          <w:tcPr>
            <w:tcW w:w="1571" w:type="dxa"/>
            <w:vAlign w:val="center"/>
          </w:tcPr>
          <w:p w14:paraId="4C4EAFC4">
            <w:pPr>
              <w:widowControl/>
              <w:spacing w:line="240" w:lineRule="auto"/>
              <w:ind w:firstLine="0" w:firstLineChars="0"/>
              <w:jc w:val="center"/>
              <w:textAlignment w:val="center"/>
              <w:rPr>
                <w:rFonts w:cs="Times New Roman"/>
                <w:b/>
                <w:kern w:val="0"/>
                <w:sz w:val="21"/>
                <w:szCs w:val="21"/>
              </w:rPr>
            </w:pPr>
            <w:r>
              <w:rPr>
                <w:rFonts w:eastAsia="宋体" w:cs="Times New Roman"/>
                <w:color w:val="000000"/>
                <w:kern w:val="0"/>
                <w:sz w:val="22"/>
                <w:lang w:bidi="ar"/>
              </w:rPr>
              <w:t>0.09</w:t>
            </w:r>
          </w:p>
        </w:tc>
        <w:tc>
          <w:tcPr>
            <w:tcW w:w="1270" w:type="dxa"/>
            <w:vAlign w:val="center"/>
          </w:tcPr>
          <w:p w14:paraId="01B9D783">
            <w:pPr>
              <w:widowControl/>
              <w:spacing w:line="240" w:lineRule="auto"/>
              <w:ind w:firstLine="0" w:firstLineChars="0"/>
              <w:jc w:val="center"/>
              <w:textAlignment w:val="center"/>
              <w:rPr>
                <w:rFonts w:cs="Times New Roman"/>
                <w:b/>
                <w:kern w:val="0"/>
                <w:sz w:val="21"/>
                <w:szCs w:val="21"/>
              </w:rPr>
            </w:pPr>
            <w:r>
              <w:rPr>
                <w:rFonts w:eastAsia="宋体" w:cs="Times New Roman"/>
                <w:color w:val="000000"/>
                <w:kern w:val="0"/>
                <w:sz w:val="22"/>
                <w:lang w:bidi="ar"/>
              </w:rPr>
              <w:t>1.82</w:t>
            </w:r>
          </w:p>
        </w:tc>
      </w:tr>
    </w:tbl>
    <w:p w14:paraId="37A429C9">
      <w:pPr>
        <w:ind w:firstLine="480"/>
      </w:pPr>
      <w:r>
        <w:rPr>
          <w:rFonts w:hint="eastAsia"/>
        </w:rPr>
        <w:t>（4）废气污染源汇总</w:t>
      </w:r>
    </w:p>
    <w:p w14:paraId="2FE3D5D8">
      <w:pPr>
        <w:ind w:firstLine="480"/>
        <w:rPr>
          <w:rFonts w:cs="Times New Roman"/>
          <w:szCs w:val="24"/>
        </w:rPr>
      </w:pPr>
      <w:r>
        <w:rPr>
          <w:rFonts w:hint="eastAsia" w:cs="Times New Roman"/>
          <w:szCs w:val="24"/>
        </w:rPr>
        <w:t>度假区现状废气污染物排放量汇总见表3</w:t>
      </w:r>
      <w:r>
        <w:rPr>
          <w:rFonts w:cs="Times New Roman"/>
          <w:szCs w:val="24"/>
        </w:rPr>
        <w:t>.</w:t>
      </w:r>
      <w:r>
        <w:rPr>
          <w:rFonts w:hint="eastAsia" w:cs="Times New Roman"/>
          <w:szCs w:val="24"/>
        </w:rPr>
        <w:t>4</w:t>
      </w:r>
      <w:r>
        <w:rPr>
          <w:rFonts w:cs="Times New Roman"/>
          <w:szCs w:val="24"/>
        </w:rPr>
        <w:t>-</w:t>
      </w:r>
      <w:r>
        <w:rPr>
          <w:rFonts w:hint="eastAsia" w:cs="Times New Roman"/>
          <w:szCs w:val="24"/>
        </w:rPr>
        <w:t>23。</w:t>
      </w:r>
    </w:p>
    <w:p w14:paraId="528F806E">
      <w:pPr>
        <w:pStyle w:val="45"/>
        <w:rPr>
          <w:rFonts w:cs="Times New Roman"/>
        </w:rPr>
      </w:pPr>
      <w:r>
        <w:rPr>
          <w:rFonts w:cs="Times New Roman"/>
        </w:rPr>
        <w:t>表</w:t>
      </w:r>
      <w:r>
        <w:rPr>
          <w:rFonts w:hint="eastAsia" w:cs="Times New Roman"/>
        </w:rPr>
        <w:t>3.4</w:t>
      </w:r>
      <w:r>
        <w:rPr>
          <w:rFonts w:cs="Times New Roman"/>
        </w:rPr>
        <w:t>-</w:t>
      </w:r>
      <w:r>
        <w:rPr>
          <w:rFonts w:hint="eastAsia" w:cs="Times New Roman"/>
        </w:rPr>
        <w:t>23</w:t>
      </w:r>
      <w:r>
        <w:rPr>
          <w:rFonts w:cs="Times New Roman"/>
        </w:rPr>
        <w:t xml:space="preserve">  </w:t>
      </w:r>
      <w:r>
        <w:rPr>
          <w:rFonts w:hint="eastAsia" w:cs="Times New Roman"/>
        </w:rPr>
        <w:t>度假</w:t>
      </w:r>
      <w:r>
        <w:rPr>
          <w:rFonts w:cs="Times New Roman"/>
        </w:rPr>
        <w:t>区</w:t>
      </w:r>
      <w:r>
        <w:rPr>
          <w:rFonts w:hint="eastAsia" w:cs="Times New Roman"/>
        </w:rPr>
        <w:t>现状</w:t>
      </w:r>
      <w:r>
        <w:rPr>
          <w:rFonts w:cs="Times New Roman"/>
        </w:rPr>
        <w:t>废气污染物排放量</w:t>
      </w:r>
      <w:r>
        <w:rPr>
          <w:rFonts w:hint="eastAsia" w:cs="Times New Roman"/>
        </w:rPr>
        <w:t>汇总</w:t>
      </w:r>
      <w:r>
        <w:rPr>
          <w:rFonts w:cs="Times New Roman"/>
        </w:rPr>
        <w:t>表（t/a）</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1767"/>
        <w:gridCol w:w="1767"/>
        <w:gridCol w:w="1689"/>
        <w:gridCol w:w="1687"/>
      </w:tblGrid>
      <w:tr w14:paraId="638DD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46" w:type="pct"/>
            <w:vAlign w:val="center"/>
          </w:tcPr>
          <w:p w14:paraId="663EE84E">
            <w:pPr>
              <w:spacing w:line="240" w:lineRule="auto"/>
              <w:ind w:firstLine="0" w:firstLineChars="0"/>
              <w:jc w:val="center"/>
              <w:rPr>
                <w:rFonts w:cs="Times New Roman"/>
                <w:b/>
                <w:kern w:val="0"/>
                <w:sz w:val="21"/>
                <w:szCs w:val="21"/>
              </w:rPr>
            </w:pPr>
            <w:r>
              <w:rPr>
                <w:rFonts w:hint="eastAsia" w:cs="Times New Roman"/>
                <w:b/>
                <w:kern w:val="0"/>
                <w:sz w:val="21"/>
                <w:szCs w:val="21"/>
              </w:rPr>
              <w:t>污染物</w:t>
            </w:r>
          </w:p>
        </w:tc>
        <w:tc>
          <w:tcPr>
            <w:tcW w:w="1037" w:type="pct"/>
            <w:vAlign w:val="center"/>
          </w:tcPr>
          <w:p w14:paraId="1662EB34">
            <w:pPr>
              <w:spacing w:line="240" w:lineRule="auto"/>
              <w:ind w:firstLine="0" w:firstLineChars="0"/>
              <w:jc w:val="center"/>
              <w:rPr>
                <w:rFonts w:cs="Times New Roman"/>
                <w:b/>
                <w:kern w:val="0"/>
                <w:sz w:val="21"/>
                <w:szCs w:val="21"/>
              </w:rPr>
            </w:pPr>
            <w:r>
              <w:rPr>
                <w:rFonts w:hint="eastAsia" w:cs="Times New Roman"/>
                <w:b/>
                <w:kern w:val="0"/>
                <w:sz w:val="21"/>
                <w:szCs w:val="21"/>
              </w:rPr>
              <w:t>工业企业源</w:t>
            </w:r>
          </w:p>
        </w:tc>
        <w:tc>
          <w:tcPr>
            <w:tcW w:w="1037" w:type="pct"/>
            <w:vAlign w:val="center"/>
          </w:tcPr>
          <w:p w14:paraId="6BE5EED3">
            <w:pPr>
              <w:spacing w:line="240" w:lineRule="auto"/>
              <w:ind w:firstLine="0" w:firstLineChars="0"/>
              <w:jc w:val="center"/>
              <w:rPr>
                <w:rFonts w:cs="Times New Roman"/>
                <w:b/>
                <w:kern w:val="0"/>
                <w:sz w:val="21"/>
                <w:szCs w:val="21"/>
              </w:rPr>
            </w:pPr>
            <w:r>
              <w:rPr>
                <w:rFonts w:hint="eastAsia" w:cs="Times New Roman"/>
                <w:b/>
                <w:kern w:val="0"/>
                <w:sz w:val="21"/>
                <w:szCs w:val="21"/>
              </w:rPr>
              <w:t>居民与游客生活废气</w:t>
            </w:r>
          </w:p>
        </w:tc>
        <w:tc>
          <w:tcPr>
            <w:tcW w:w="991" w:type="pct"/>
            <w:vAlign w:val="center"/>
          </w:tcPr>
          <w:p w14:paraId="6F07F2AF">
            <w:pPr>
              <w:spacing w:line="240" w:lineRule="auto"/>
              <w:ind w:firstLine="0" w:firstLineChars="0"/>
              <w:jc w:val="center"/>
              <w:rPr>
                <w:rFonts w:cs="Times New Roman"/>
                <w:b/>
                <w:kern w:val="0"/>
                <w:sz w:val="21"/>
                <w:szCs w:val="21"/>
              </w:rPr>
            </w:pPr>
            <w:r>
              <w:rPr>
                <w:rFonts w:hint="eastAsia" w:cs="Times New Roman"/>
                <w:b/>
                <w:kern w:val="0"/>
                <w:sz w:val="21"/>
                <w:szCs w:val="21"/>
              </w:rPr>
              <w:t>机动车尾气</w:t>
            </w:r>
          </w:p>
        </w:tc>
        <w:tc>
          <w:tcPr>
            <w:tcW w:w="989" w:type="pct"/>
            <w:vAlign w:val="center"/>
          </w:tcPr>
          <w:p w14:paraId="1EF62248">
            <w:pPr>
              <w:spacing w:line="240" w:lineRule="auto"/>
              <w:ind w:firstLine="0" w:firstLineChars="0"/>
              <w:jc w:val="center"/>
              <w:rPr>
                <w:rFonts w:cs="Times New Roman"/>
                <w:b/>
                <w:kern w:val="0"/>
                <w:sz w:val="21"/>
                <w:szCs w:val="21"/>
              </w:rPr>
            </w:pPr>
            <w:r>
              <w:rPr>
                <w:rFonts w:hint="eastAsia" w:cs="Times New Roman"/>
                <w:b/>
                <w:kern w:val="0"/>
                <w:sz w:val="21"/>
                <w:szCs w:val="21"/>
              </w:rPr>
              <w:t>总计</w:t>
            </w:r>
          </w:p>
        </w:tc>
      </w:tr>
      <w:tr w14:paraId="3989A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6" w:type="pct"/>
            <w:vAlign w:val="center"/>
          </w:tcPr>
          <w:p w14:paraId="547C292D">
            <w:pPr>
              <w:spacing w:line="240" w:lineRule="auto"/>
              <w:ind w:firstLine="0" w:firstLineChars="0"/>
              <w:jc w:val="center"/>
              <w:rPr>
                <w:rFonts w:cs="Times New Roman"/>
                <w:kern w:val="0"/>
                <w:sz w:val="21"/>
                <w:szCs w:val="21"/>
              </w:rPr>
            </w:pPr>
            <w:r>
              <w:rPr>
                <w:rFonts w:hint="eastAsia" w:cs="Times New Roman"/>
                <w:kern w:val="0"/>
                <w:sz w:val="21"/>
                <w:szCs w:val="21"/>
              </w:rPr>
              <w:t>CO</w:t>
            </w:r>
          </w:p>
        </w:tc>
        <w:tc>
          <w:tcPr>
            <w:tcW w:w="1037" w:type="pct"/>
            <w:vAlign w:val="center"/>
          </w:tcPr>
          <w:p w14:paraId="3A448C53">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1037" w:type="pct"/>
            <w:vAlign w:val="center"/>
          </w:tcPr>
          <w:p w14:paraId="72C811FC">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991" w:type="pct"/>
            <w:vAlign w:val="center"/>
          </w:tcPr>
          <w:p w14:paraId="0066D57B">
            <w:pPr>
              <w:spacing w:line="240" w:lineRule="auto"/>
              <w:ind w:firstLine="0" w:firstLineChars="0"/>
              <w:jc w:val="center"/>
              <w:rPr>
                <w:rFonts w:cs="Times New Roman"/>
                <w:kern w:val="0"/>
                <w:sz w:val="21"/>
                <w:szCs w:val="21"/>
              </w:rPr>
            </w:pPr>
            <w:r>
              <w:rPr>
                <w:rFonts w:hint="eastAsia" w:cs="Times New Roman"/>
                <w:kern w:val="0"/>
                <w:sz w:val="21"/>
                <w:szCs w:val="21"/>
              </w:rPr>
              <w:t>17.68</w:t>
            </w:r>
          </w:p>
        </w:tc>
        <w:tc>
          <w:tcPr>
            <w:tcW w:w="1687" w:type="dxa"/>
            <w:vAlign w:val="center"/>
          </w:tcPr>
          <w:p w14:paraId="04187693">
            <w:pPr>
              <w:spacing w:line="240" w:lineRule="auto"/>
              <w:ind w:firstLine="0" w:firstLineChars="0"/>
              <w:jc w:val="center"/>
              <w:rPr>
                <w:rFonts w:cs="Times New Roman"/>
                <w:bCs/>
                <w:kern w:val="0"/>
                <w:sz w:val="21"/>
                <w:szCs w:val="21"/>
              </w:rPr>
            </w:pPr>
            <w:r>
              <w:rPr>
                <w:rFonts w:hint="eastAsia" w:cs="Times New Roman"/>
                <w:kern w:val="0"/>
                <w:sz w:val="21"/>
                <w:szCs w:val="21"/>
              </w:rPr>
              <w:t>17.68</w:t>
            </w:r>
          </w:p>
        </w:tc>
      </w:tr>
      <w:tr w14:paraId="373E1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6" w:type="pct"/>
            <w:vAlign w:val="center"/>
          </w:tcPr>
          <w:p w14:paraId="704A5DCE">
            <w:pPr>
              <w:spacing w:line="240" w:lineRule="auto"/>
              <w:ind w:firstLine="0" w:firstLineChars="0"/>
              <w:jc w:val="center"/>
              <w:rPr>
                <w:rFonts w:cs="Times New Roman"/>
                <w:kern w:val="0"/>
                <w:sz w:val="21"/>
                <w:szCs w:val="21"/>
              </w:rPr>
            </w:pPr>
            <w:r>
              <w:rPr>
                <w:rFonts w:hint="eastAsia" w:cs="Times New Roman"/>
                <w:kern w:val="0"/>
                <w:sz w:val="21"/>
                <w:szCs w:val="21"/>
              </w:rPr>
              <w:t>HC</w:t>
            </w:r>
          </w:p>
        </w:tc>
        <w:tc>
          <w:tcPr>
            <w:tcW w:w="1037" w:type="pct"/>
            <w:vAlign w:val="center"/>
          </w:tcPr>
          <w:p w14:paraId="6FFD8E8F">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1037" w:type="pct"/>
            <w:vAlign w:val="center"/>
          </w:tcPr>
          <w:p w14:paraId="6D530559">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991" w:type="pct"/>
            <w:vAlign w:val="center"/>
          </w:tcPr>
          <w:p w14:paraId="25011BD9">
            <w:pPr>
              <w:spacing w:line="240" w:lineRule="auto"/>
              <w:ind w:firstLine="0" w:firstLineChars="0"/>
              <w:jc w:val="center"/>
              <w:rPr>
                <w:rFonts w:cs="Times New Roman"/>
                <w:kern w:val="0"/>
                <w:sz w:val="21"/>
                <w:szCs w:val="21"/>
              </w:rPr>
            </w:pPr>
            <w:r>
              <w:rPr>
                <w:rFonts w:hint="eastAsia" w:cs="Times New Roman"/>
                <w:kern w:val="0"/>
                <w:sz w:val="21"/>
                <w:szCs w:val="21"/>
              </w:rPr>
              <w:t>2.69</w:t>
            </w:r>
          </w:p>
        </w:tc>
        <w:tc>
          <w:tcPr>
            <w:tcW w:w="1687" w:type="dxa"/>
            <w:vAlign w:val="center"/>
          </w:tcPr>
          <w:p w14:paraId="369618B1">
            <w:pPr>
              <w:spacing w:line="240" w:lineRule="auto"/>
              <w:ind w:firstLine="0" w:firstLineChars="0"/>
              <w:jc w:val="center"/>
              <w:rPr>
                <w:rFonts w:cs="Times New Roman"/>
                <w:bCs/>
                <w:kern w:val="0"/>
                <w:sz w:val="21"/>
                <w:szCs w:val="21"/>
              </w:rPr>
            </w:pPr>
            <w:r>
              <w:rPr>
                <w:rFonts w:hint="eastAsia" w:cs="Times New Roman"/>
                <w:kern w:val="0"/>
                <w:sz w:val="21"/>
                <w:szCs w:val="21"/>
              </w:rPr>
              <w:t>2.69</w:t>
            </w:r>
          </w:p>
        </w:tc>
      </w:tr>
      <w:tr w14:paraId="7534D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6" w:type="pct"/>
            <w:vAlign w:val="center"/>
          </w:tcPr>
          <w:p w14:paraId="63C69388">
            <w:pPr>
              <w:spacing w:line="240" w:lineRule="auto"/>
              <w:ind w:firstLine="0" w:firstLineChars="0"/>
              <w:jc w:val="center"/>
              <w:rPr>
                <w:rFonts w:cs="Times New Roman"/>
                <w:kern w:val="0"/>
                <w:sz w:val="21"/>
                <w:szCs w:val="21"/>
              </w:rPr>
            </w:pPr>
            <w:r>
              <w:rPr>
                <w:rFonts w:hint="eastAsia" w:cs="Times New Roman"/>
                <w:bCs/>
                <w:kern w:val="0"/>
                <w:sz w:val="21"/>
                <w:szCs w:val="21"/>
              </w:rPr>
              <w:t>SO</w:t>
            </w:r>
            <w:r>
              <w:rPr>
                <w:rFonts w:hint="eastAsia" w:cs="Times New Roman"/>
                <w:bCs/>
                <w:kern w:val="0"/>
                <w:sz w:val="21"/>
                <w:szCs w:val="21"/>
                <w:vertAlign w:val="subscript"/>
              </w:rPr>
              <w:t>2</w:t>
            </w:r>
          </w:p>
        </w:tc>
        <w:tc>
          <w:tcPr>
            <w:tcW w:w="1037" w:type="pct"/>
            <w:vAlign w:val="center"/>
          </w:tcPr>
          <w:p w14:paraId="5416C72F">
            <w:pPr>
              <w:spacing w:line="240" w:lineRule="auto"/>
              <w:ind w:firstLine="0" w:firstLineChars="0"/>
              <w:jc w:val="center"/>
              <w:rPr>
                <w:rFonts w:cs="Times New Roman"/>
                <w:bCs/>
                <w:kern w:val="0"/>
                <w:sz w:val="21"/>
                <w:szCs w:val="21"/>
              </w:rPr>
            </w:pPr>
            <w:r>
              <w:rPr>
                <w:rFonts w:hint="eastAsia"/>
                <w:sz w:val="21"/>
                <w:szCs w:val="21"/>
              </w:rPr>
              <w:t>25.84</w:t>
            </w:r>
          </w:p>
        </w:tc>
        <w:tc>
          <w:tcPr>
            <w:tcW w:w="1037" w:type="pct"/>
            <w:vAlign w:val="center"/>
          </w:tcPr>
          <w:p w14:paraId="08E43CCE">
            <w:pPr>
              <w:spacing w:line="240" w:lineRule="auto"/>
              <w:ind w:firstLine="0" w:firstLineChars="0"/>
              <w:jc w:val="center"/>
              <w:rPr>
                <w:rFonts w:cs="Times New Roman"/>
                <w:bCs/>
                <w:kern w:val="0"/>
                <w:sz w:val="21"/>
                <w:szCs w:val="21"/>
              </w:rPr>
            </w:pPr>
            <w:r>
              <w:rPr>
                <w:rFonts w:hint="eastAsia" w:cs="Times New Roman"/>
                <w:bCs/>
                <w:kern w:val="0"/>
                <w:sz w:val="21"/>
                <w:szCs w:val="21"/>
              </w:rPr>
              <w:t>0.0021</w:t>
            </w:r>
          </w:p>
        </w:tc>
        <w:tc>
          <w:tcPr>
            <w:tcW w:w="991" w:type="pct"/>
            <w:vAlign w:val="center"/>
          </w:tcPr>
          <w:p w14:paraId="36FD5F70">
            <w:pPr>
              <w:spacing w:line="240" w:lineRule="auto"/>
              <w:ind w:firstLine="0" w:firstLineChars="0"/>
              <w:jc w:val="center"/>
              <w:rPr>
                <w:rFonts w:cs="Times New Roman"/>
                <w:bCs/>
                <w:kern w:val="0"/>
                <w:sz w:val="21"/>
                <w:szCs w:val="21"/>
              </w:rPr>
            </w:pPr>
            <w:r>
              <w:rPr>
                <w:rFonts w:hint="eastAsia" w:cs="Times New Roman"/>
                <w:bCs/>
                <w:kern w:val="0"/>
                <w:sz w:val="21"/>
                <w:szCs w:val="21"/>
              </w:rPr>
              <w:t>/</w:t>
            </w:r>
          </w:p>
        </w:tc>
        <w:tc>
          <w:tcPr>
            <w:tcW w:w="1687" w:type="dxa"/>
            <w:vAlign w:val="center"/>
          </w:tcPr>
          <w:p w14:paraId="314312CC">
            <w:pPr>
              <w:spacing w:line="240" w:lineRule="auto"/>
              <w:ind w:firstLine="0" w:firstLineChars="0"/>
              <w:jc w:val="center"/>
              <w:rPr>
                <w:rFonts w:cs="Times New Roman"/>
                <w:kern w:val="0"/>
                <w:sz w:val="21"/>
                <w:szCs w:val="21"/>
              </w:rPr>
            </w:pPr>
            <w:r>
              <w:rPr>
                <w:rFonts w:hint="eastAsia" w:cs="Times New Roman"/>
                <w:kern w:val="0"/>
                <w:sz w:val="21"/>
                <w:szCs w:val="21"/>
              </w:rPr>
              <w:t>25.8421</w:t>
            </w:r>
          </w:p>
        </w:tc>
      </w:tr>
      <w:tr w14:paraId="38DBC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6" w:type="pct"/>
            <w:vAlign w:val="center"/>
          </w:tcPr>
          <w:p w14:paraId="08374635">
            <w:pPr>
              <w:spacing w:line="240" w:lineRule="auto"/>
              <w:ind w:firstLine="0" w:firstLineChars="0"/>
              <w:jc w:val="center"/>
              <w:rPr>
                <w:rFonts w:cs="Times New Roman"/>
                <w:kern w:val="0"/>
                <w:sz w:val="21"/>
                <w:szCs w:val="21"/>
              </w:rPr>
            </w:pPr>
            <w:r>
              <w:rPr>
                <w:rFonts w:hint="eastAsia" w:cs="Times New Roman"/>
                <w:bCs/>
                <w:kern w:val="0"/>
                <w:sz w:val="21"/>
                <w:szCs w:val="21"/>
              </w:rPr>
              <w:t>NOx</w:t>
            </w:r>
          </w:p>
        </w:tc>
        <w:tc>
          <w:tcPr>
            <w:tcW w:w="1037" w:type="pct"/>
            <w:vAlign w:val="center"/>
          </w:tcPr>
          <w:p w14:paraId="4B8D1C9F">
            <w:pPr>
              <w:spacing w:line="240" w:lineRule="auto"/>
              <w:ind w:firstLine="0" w:firstLineChars="0"/>
              <w:jc w:val="center"/>
              <w:rPr>
                <w:rFonts w:cs="Times New Roman"/>
                <w:bCs/>
                <w:kern w:val="0"/>
                <w:sz w:val="21"/>
                <w:szCs w:val="21"/>
              </w:rPr>
            </w:pPr>
            <w:r>
              <w:rPr>
                <w:rFonts w:hint="eastAsia" w:cs="Times New Roman"/>
                <w:bCs/>
                <w:kern w:val="0"/>
                <w:sz w:val="21"/>
                <w:szCs w:val="21"/>
              </w:rPr>
              <w:t>126.49</w:t>
            </w:r>
          </w:p>
        </w:tc>
        <w:tc>
          <w:tcPr>
            <w:tcW w:w="1037" w:type="pct"/>
            <w:vAlign w:val="center"/>
          </w:tcPr>
          <w:p w14:paraId="7F8FD088">
            <w:pPr>
              <w:spacing w:line="240" w:lineRule="auto"/>
              <w:ind w:firstLine="0" w:firstLineChars="0"/>
              <w:jc w:val="center"/>
              <w:rPr>
                <w:rFonts w:cs="Times New Roman"/>
                <w:bCs/>
                <w:kern w:val="0"/>
                <w:sz w:val="21"/>
                <w:szCs w:val="21"/>
              </w:rPr>
            </w:pPr>
            <w:r>
              <w:rPr>
                <w:rFonts w:hint="eastAsia" w:cs="Times New Roman"/>
                <w:bCs/>
                <w:kern w:val="0"/>
                <w:sz w:val="21"/>
                <w:szCs w:val="21"/>
              </w:rPr>
              <w:t>4.44</w:t>
            </w:r>
          </w:p>
        </w:tc>
        <w:tc>
          <w:tcPr>
            <w:tcW w:w="991" w:type="pct"/>
            <w:vAlign w:val="center"/>
          </w:tcPr>
          <w:p w14:paraId="4B3FEA44">
            <w:pPr>
              <w:spacing w:line="240" w:lineRule="auto"/>
              <w:ind w:firstLine="0" w:firstLineChars="0"/>
              <w:jc w:val="center"/>
              <w:rPr>
                <w:rFonts w:cs="Times New Roman"/>
                <w:bCs/>
                <w:kern w:val="0"/>
                <w:sz w:val="21"/>
                <w:szCs w:val="21"/>
              </w:rPr>
            </w:pPr>
            <w:r>
              <w:rPr>
                <w:rFonts w:hint="eastAsia" w:cs="Times New Roman"/>
                <w:bCs/>
                <w:kern w:val="0"/>
                <w:sz w:val="21"/>
                <w:szCs w:val="21"/>
              </w:rPr>
              <w:t>1.60</w:t>
            </w:r>
          </w:p>
        </w:tc>
        <w:tc>
          <w:tcPr>
            <w:tcW w:w="1687" w:type="dxa"/>
            <w:vAlign w:val="center"/>
          </w:tcPr>
          <w:p w14:paraId="6E0B0C17">
            <w:pPr>
              <w:spacing w:line="240" w:lineRule="auto"/>
              <w:ind w:firstLine="0" w:firstLineChars="0"/>
              <w:jc w:val="center"/>
              <w:rPr>
                <w:rFonts w:cs="Times New Roman"/>
                <w:kern w:val="0"/>
                <w:sz w:val="21"/>
                <w:szCs w:val="21"/>
              </w:rPr>
            </w:pPr>
            <w:r>
              <w:rPr>
                <w:rFonts w:hint="eastAsia" w:cs="Times New Roman"/>
                <w:kern w:val="0"/>
                <w:sz w:val="21"/>
                <w:szCs w:val="21"/>
              </w:rPr>
              <w:t>132.53</w:t>
            </w:r>
          </w:p>
        </w:tc>
      </w:tr>
      <w:tr w14:paraId="0FD90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6" w:type="pct"/>
            <w:vAlign w:val="center"/>
          </w:tcPr>
          <w:p w14:paraId="61D289AA">
            <w:pPr>
              <w:spacing w:line="240" w:lineRule="auto"/>
              <w:ind w:firstLine="0" w:firstLineChars="0"/>
              <w:jc w:val="center"/>
              <w:rPr>
                <w:rFonts w:cs="Times New Roman"/>
                <w:kern w:val="0"/>
                <w:sz w:val="21"/>
                <w:szCs w:val="21"/>
              </w:rPr>
            </w:pPr>
            <w:r>
              <w:rPr>
                <w:rFonts w:hint="eastAsia" w:cs="Times New Roman"/>
                <w:bCs/>
                <w:kern w:val="0"/>
                <w:sz w:val="21"/>
                <w:szCs w:val="21"/>
              </w:rPr>
              <w:t>VOCs</w:t>
            </w:r>
          </w:p>
        </w:tc>
        <w:tc>
          <w:tcPr>
            <w:tcW w:w="1037" w:type="pct"/>
            <w:vAlign w:val="center"/>
          </w:tcPr>
          <w:p w14:paraId="64F83119">
            <w:pPr>
              <w:spacing w:line="240" w:lineRule="auto"/>
              <w:ind w:firstLine="0" w:firstLineChars="0"/>
              <w:jc w:val="center"/>
              <w:rPr>
                <w:rFonts w:cs="Times New Roman"/>
                <w:bCs/>
                <w:kern w:val="0"/>
                <w:sz w:val="21"/>
                <w:szCs w:val="21"/>
              </w:rPr>
            </w:pPr>
            <w:r>
              <w:rPr>
                <w:rFonts w:hint="eastAsia" w:cs="Times New Roman"/>
                <w:kern w:val="0"/>
                <w:sz w:val="21"/>
                <w:szCs w:val="21"/>
              </w:rPr>
              <w:t>/</w:t>
            </w:r>
          </w:p>
        </w:tc>
        <w:tc>
          <w:tcPr>
            <w:tcW w:w="1037" w:type="pct"/>
            <w:vAlign w:val="center"/>
          </w:tcPr>
          <w:p w14:paraId="20806CF7">
            <w:pPr>
              <w:spacing w:line="240" w:lineRule="auto"/>
              <w:ind w:firstLine="0" w:firstLineChars="0"/>
              <w:jc w:val="center"/>
              <w:rPr>
                <w:rFonts w:cs="Times New Roman"/>
                <w:bCs/>
                <w:kern w:val="0"/>
                <w:sz w:val="21"/>
                <w:szCs w:val="21"/>
              </w:rPr>
            </w:pPr>
            <w:r>
              <w:rPr>
                <w:rFonts w:hint="eastAsia" w:cs="Times New Roman"/>
                <w:bCs/>
                <w:kern w:val="0"/>
                <w:sz w:val="21"/>
                <w:szCs w:val="21"/>
              </w:rPr>
              <w:t>3.03</w:t>
            </w:r>
          </w:p>
        </w:tc>
        <w:tc>
          <w:tcPr>
            <w:tcW w:w="991" w:type="pct"/>
            <w:vAlign w:val="center"/>
          </w:tcPr>
          <w:p w14:paraId="79E1143F">
            <w:pPr>
              <w:spacing w:line="240" w:lineRule="auto"/>
              <w:ind w:firstLine="0" w:firstLineChars="0"/>
              <w:jc w:val="center"/>
              <w:rPr>
                <w:rFonts w:cs="Times New Roman"/>
                <w:bCs/>
                <w:kern w:val="0"/>
                <w:sz w:val="21"/>
                <w:szCs w:val="21"/>
              </w:rPr>
            </w:pPr>
            <w:r>
              <w:rPr>
                <w:rFonts w:hint="eastAsia" w:cs="Times New Roman"/>
                <w:bCs/>
                <w:kern w:val="0"/>
                <w:sz w:val="21"/>
                <w:szCs w:val="21"/>
              </w:rPr>
              <w:t>1.82</w:t>
            </w:r>
          </w:p>
        </w:tc>
        <w:tc>
          <w:tcPr>
            <w:tcW w:w="1687" w:type="dxa"/>
            <w:vAlign w:val="center"/>
          </w:tcPr>
          <w:p w14:paraId="4AD2B0E5">
            <w:pPr>
              <w:spacing w:line="240" w:lineRule="auto"/>
              <w:ind w:firstLine="0" w:firstLineChars="0"/>
              <w:jc w:val="center"/>
              <w:rPr>
                <w:rFonts w:cs="Times New Roman"/>
                <w:kern w:val="0"/>
                <w:sz w:val="21"/>
                <w:szCs w:val="21"/>
              </w:rPr>
            </w:pPr>
            <w:r>
              <w:rPr>
                <w:rFonts w:hint="eastAsia" w:cs="Times New Roman"/>
                <w:kern w:val="0"/>
                <w:sz w:val="21"/>
                <w:szCs w:val="21"/>
              </w:rPr>
              <w:t>4.85</w:t>
            </w:r>
          </w:p>
        </w:tc>
      </w:tr>
      <w:tr w14:paraId="4D420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6" w:type="pct"/>
            <w:vAlign w:val="center"/>
          </w:tcPr>
          <w:p w14:paraId="14BB6CEE">
            <w:pPr>
              <w:spacing w:line="240" w:lineRule="auto"/>
              <w:ind w:firstLine="0" w:firstLineChars="0"/>
              <w:jc w:val="center"/>
              <w:rPr>
                <w:rFonts w:cs="Times New Roman"/>
                <w:kern w:val="0"/>
                <w:sz w:val="21"/>
                <w:szCs w:val="21"/>
              </w:rPr>
            </w:pPr>
            <w:r>
              <w:rPr>
                <w:rFonts w:hint="eastAsia" w:cs="Times New Roman"/>
                <w:kern w:val="0"/>
                <w:sz w:val="21"/>
                <w:szCs w:val="21"/>
              </w:rPr>
              <w:t>颗粒物</w:t>
            </w:r>
          </w:p>
        </w:tc>
        <w:tc>
          <w:tcPr>
            <w:tcW w:w="1037" w:type="pct"/>
            <w:vAlign w:val="center"/>
          </w:tcPr>
          <w:p w14:paraId="754E9B95">
            <w:pPr>
              <w:spacing w:line="240" w:lineRule="auto"/>
              <w:ind w:firstLine="0" w:firstLineChars="0"/>
              <w:jc w:val="center"/>
              <w:rPr>
                <w:rFonts w:cs="Times New Roman"/>
                <w:bCs/>
                <w:kern w:val="0"/>
                <w:sz w:val="21"/>
                <w:szCs w:val="21"/>
              </w:rPr>
            </w:pPr>
            <w:r>
              <w:rPr>
                <w:rFonts w:hint="eastAsia" w:cs="Times New Roman"/>
                <w:bCs/>
                <w:kern w:val="0"/>
                <w:sz w:val="21"/>
                <w:szCs w:val="21"/>
              </w:rPr>
              <w:t>22.13</w:t>
            </w:r>
          </w:p>
        </w:tc>
        <w:tc>
          <w:tcPr>
            <w:tcW w:w="1037" w:type="pct"/>
            <w:vAlign w:val="center"/>
          </w:tcPr>
          <w:p w14:paraId="63B39B03">
            <w:pPr>
              <w:spacing w:line="240" w:lineRule="auto"/>
              <w:ind w:firstLine="0" w:firstLineChars="0"/>
              <w:jc w:val="center"/>
              <w:rPr>
                <w:rFonts w:cs="Times New Roman"/>
                <w:bCs/>
                <w:kern w:val="0"/>
                <w:sz w:val="21"/>
                <w:szCs w:val="21"/>
              </w:rPr>
            </w:pPr>
            <w:r>
              <w:rPr>
                <w:rFonts w:hint="eastAsia" w:cs="Times New Roman"/>
                <w:bCs/>
                <w:kern w:val="0"/>
                <w:sz w:val="21"/>
                <w:szCs w:val="21"/>
              </w:rPr>
              <w:t>0.36</w:t>
            </w:r>
          </w:p>
        </w:tc>
        <w:tc>
          <w:tcPr>
            <w:tcW w:w="991" w:type="pct"/>
            <w:vAlign w:val="center"/>
          </w:tcPr>
          <w:p w14:paraId="7C4EB3E7">
            <w:pPr>
              <w:spacing w:line="240" w:lineRule="auto"/>
              <w:ind w:firstLine="0" w:firstLineChars="0"/>
              <w:jc w:val="center"/>
              <w:rPr>
                <w:rFonts w:cs="Times New Roman"/>
                <w:bCs/>
                <w:kern w:val="0"/>
                <w:sz w:val="21"/>
                <w:szCs w:val="21"/>
              </w:rPr>
            </w:pPr>
            <w:r>
              <w:rPr>
                <w:rFonts w:hint="eastAsia" w:cs="Times New Roman"/>
                <w:bCs/>
                <w:kern w:val="0"/>
                <w:sz w:val="21"/>
                <w:szCs w:val="21"/>
              </w:rPr>
              <w:t>0.09</w:t>
            </w:r>
          </w:p>
        </w:tc>
        <w:tc>
          <w:tcPr>
            <w:tcW w:w="1687" w:type="dxa"/>
            <w:vAlign w:val="center"/>
          </w:tcPr>
          <w:p w14:paraId="7258A1BF">
            <w:pPr>
              <w:spacing w:line="240" w:lineRule="auto"/>
              <w:ind w:firstLine="0" w:firstLineChars="0"/>
              <w:jc w:val="center"/>
              <w:rPr>
                <w:rFonts w:cs="Times New Roman"/>
                <w:kern w:val="0"/>
                <w:sz w:val="21"/>
                <w:szCs w:val="21"/>
              </w:rPr>
            </w:pPr>
            <w:r>
              <w:rPr>
                <w:rFonts w:hint="eastAsia" w:cs="Times New Roman"/>
                <w:kern w:val="0"/>
                <w:sz w:val="21"/>
                <w:szCs w:val="21"/>
              </w:rPr>
              <w:t>22.58</w:t>
            </w:r>
          </w:p>
        </w:tc>
      </w:tr>
      <w:tr w14:paraId="30114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6" w:type="pct"/>
            <w:vAlign w:val="center"/>
          </w:tcPr>
          <w:p w14:paraId="7A1C37F2">
            <w:pPr>
              <w:spacing w:line="240" w:lineRule="auto"/>
              <w:ind w:firstLine="0" w:firstLineChars="0"/>
              <w:jc w:val="center"/>
              <w:rPr>
                <w:rFonts w:cs="Times New Roman"/>
                <w:kern w:val="0"/>
                <w:sz w:val="21"/>
                <w:szCs w:val="21"/>
              </w:rPr>
            </w:pPr>
            <w:r>
              <w:rPr>
                <w:rFonts w:hint="eastAsia" w:cs="Times New Roman"/>
                <w:kern w:val="0"/>
                <w:sz w:val="21"/>
                <w:szCs w:val="21"/>
              </w:rPr>
              <w:t>油烟</w:t>
            </w:r>
          </w:p>
        </w:tc>
        <w:tc>
          <w:tcPr>
            <w:tcW w:w="1037" w:type="pct"/>
            <w:vAlign w:val="center"/>
          </w:tcPr>
          <w:p w14:paraId="279B47BC">
            <w:pPr>
              <w:spacing w:line="240" w:lineRule="auto"/>
              <w:ind w:firstLine="0" w:firstLineChars="0"/>
              <w:jc w:val="center"/>
              <w:rPr>
                <w:rFonts w:cs="Times New Roman"/>
                <w:bCs/>
                <w:kern w:val="0"/>
                <w:sz w:val="21"/>
                <w:szCs w:val="21"/>
              </w:rPr>
            </w:pPr>
            <w:r>
              <w:rPr>
                <w:rFonts w:hint="eastAsia" w:cs="Times New Roman"/>
                <w:bCs/>
                <w:kern w:val="0"/>
                <w:sz w:val="21"/>
                <w:szCs w:val="21"/>
              </w:rPr>
              <w:t>/</w:t>
            </w:r>
          </w:p>
        </w:tc>
        <w:tc>
          <w:tcPr>
            <w:tcW w:w="1037" w:type="pct"/>
            <w:vAlign w:val="center"/>
          </w:tcPr>
          <w:p w14:paraId="0B1BC4DA">
            <w:pPr>
              <w:spacing w:line="240" w:lineRule="auto"/>
              <w:ind w:firstLine="0" w:firstLineChars="0"/>
              <w:jc w:val="center"/>
              <w:rPr>
                <w:rFonts w:cs="Times New Roman"/>
                <w:bCs/>
                <w:kern w:val="0"/>
                <w:sz w:val="21"/>
                <w:szCs w:val="21"/>
              </w:rPr>
            </w:pPr>
            <w:r>
              <w:rPr>
                <w:rFonts w:hint="eastAsia" w:cs="Times New Roman"/>
                <w:bCs/>
                <w:kern w:val="0"/>
                <w:sz w:val="21"/>
                <w:szCs w:val="21"/>
              </w:rPr>
              <w:t>3.94</w:t>
            </w:r>
          </w:p>
        </w:tc>
        <w:tc>
          <w:tcPr>
            <w:tcW w:w="991" w:type="pct"/>
            <w:vAlign w:val="center"/>
          </w:tcPr>
          <w:p w14:paraId="435B9299">
            <w:pPr>
              <w:spacing w:line="240" w:lineRule="auto"/>
              <w:ind w:firstLine="0" w:firstLineChars="0"/>
              <w:jc w:val="center"/>
              <w:rPr>
                <w:rFonts w:cs="Times New Roman"/>
                <w:bCs/>
                <w:kern w:val="0"/>
                <w:sz w:val="21"/>
                <w:szCs w:val="21"/>
              </w:rPr>
            </w:pPr>
            <w:r>
              <w:rPr>
                <w:rFonts w:hint="eastAsia" w:cs="Times New Roman"/>
                <w:bCs/>
                <w:kern w:val="0"/>
                <w:sz w:val="21"/>
                <w:szCs w:val="21"/>
              </w:rPr>
              <w:t>/</w:t>
            </w:r>
          </w:p>
        </w:tc>
        <w:tc>
          <w:tcPr>
            <w:tcW w:w="989" w:type="pct"/>
            <w:vAlign w:val="center"/>
          </w:tcPr>
          <w:p w14:paraId="2B13C24A">
            <w:pPr>
              <w:spacing w:line="240" w:lineRule="auto"/>
              <w:ind w:firstLine="0" w:firstLineChars="0"/>
              <w:jc w:val="center"/>
              <w:rPr>
                <w:rFonts w:cs="Times New Roman"/>
                <w:bCs/>
                <w:kern w:val="0"/>
                <w:sz w:val="21"/>
                <w:szCs w:val="21"/>
              </w:rPr>
            </w:pPr>
            <w:r>
              <w:rPr>
                <w:rFonts w:hint="eastAsia" w:cs="Times New Roman"/>
                <w:bCs/>
                <w:kern w:val="0"/>
                <w:sz w:val="21"/>
                <w:szCs w:val="21"/>
              </w:rPr>
              <w:t>3.94</w:t>
            </w:r>
          </w:p>
        </w:tc>
      </w:tr>
    </w:tbl>
    <w:p w14:paraId="220528C2">
      <w:pPr>
        <w:ind w:firstLine="0" w:firstLineChars="0"/>
        <w:outlineLvl w:val="3"/>
      </w:pPr>
      <w:r>
        <w:t>3</w:t>
      </w:r>
      <w:r>
        <w:rPr>
          <w:rFonts w:hint="eastAsia"/>
        </w:rPr>
        <w:t>.</w:t>
      </w:r>
      <w:r>
        <w:t>4</w:t>
      </w:r>
      <w:r>
        <w:rPr>
          <w:rFonts w:hint="eastAsia"/>
        </w:rPr>
        <w:t>.</w:t>
      </w:r>
      <w:r>
        <w:t>5</w:t>
      </w:r>
      <w:r>
        <w:rPr>
          <w:rFonts w:hint="eastAsia"/>
        </w:rPr>
        <w:t>.</w:t>
      </w:r>
      <w:r>
        <w:t>2</w:t>
      </w:r>
      <w:r>
        <w:rPr>
          <w:rFonts w:hint="eastAsia"/>
        </w:rPr>
        <w:t>废水污染源</w:t>
      </w:r>
    </w:p>
    <w:p w14:paraId="3AF969C0">
      <w:pPr>
        <w:ind w:firstLine="480"/>
      </w:pPr>
      <w:r>
        <w:rPr>
          <w:rFonts w:hint="eastAsia"/>
        </w:rPr>
        <w:t>根据现状企业调查情况，区内现状企业无工业废水排放。度假区内现状废水污染源主要为现状工业企业、企事业单位和居民生活污水。</w:t>
      </w:r>
    </w:p>
    <w:p w14:paraId="0D5ACB56">
      <w:pPr>
        <w:ind w:firstLine="480"/>
      </w:pPr>
      <w:r>
        <w:rPr>
          <w:rFonts w:hint="eastAsia"/>
        </w:rPr>
        <w:t>（1）工业企业生活污水</w:t>
      </w:r>
    </w:p>
    <w:p w14:paraId="6F375AE3">
      <w:pPr>
        <w:ind w:firstLine="480"/>
        <w:rPr>
          <w:rFonts w:cs="Times New Roman"/>
        </w:rPr>
      </w:pPr>
      <w:r>
        <w:rPr>
          <w:rFonts w:cs="Times New Roman"/>
        </w:rPr>
        <w:t>根据度假区内现场工业企业现场走访和茅山旅游度假区管理</w:t>
      </w:r>
      <w:r>
        <w:rPr>
          <w:rFonts w:hint="eastAsia" w:cs="Times New Roman"/>
        </w:rPr>
        <w:t>办公室</w:t>
      </w:r>
      <w:r>
        <w:rPr>
          <w:rFonts w:cs="Times New Roman"/>
        </w:rPr>
        <w:t>提供的相关资料，度假区内现有工业企业均无工业废水排放，仅有职工生活污水产生。度假区内工业企业职工总数约为500人，工业企业</w:t>
      </w:r>
      <w:r>
        <w:rPr>
          <w:rFonts w:hint="eastAsia" w:cs="Times New Roman"/>
        </w:rPr>
        <w:t>员工</w:t>
      </w:r>
      <w:r>
        <w:rPr>
          <w:rFonts w:cs="Times New Roman"/>
        </w:rPr>
        <w:t>生活污水</w:t>
      </w:r>
      <w:r>
        <w:rPr>
          <w:rFonts w:hint="eastAsia" w:cs="Times New Roman"/>
        </w:rPr>
        <w:t>污染物排放纳入区域居民生活污水污染物排放计算</w:t>
      </w:r>
      <w:r>
        <w:rPr>
          <w:rFonts w:cs="Times New Roman"/>
        </w:rPr>
        <w:t>。</w:t>
      </w:r>
    </w:p>
    <w:p w14:paraId="39A69C98">
      <w:pPr>
        <w:pStyle w:val="39"/>
        <w:ind w:left="1200" w:hanging="720" w:firstLineChars="0"/>
      </w:pPr>
      <w:r>
        <w:rPr>
          <w:rFonts w:cs="Times New Roman"/>
          <w:bCs/>
        </w:rPr>
        <w:t>（</w:t>
      </w:r>
      <w:r>
        <w:rPr>
          <w:rFonts w:hint="eastAsia" w:cs="Times New Roman"/>
          <w:bCs/>
        </w:rPr>
        <w:t>2</w:t>
      </w:r>
      <w:r>
        <w:rPr>
          <w:rFonts w:cs="Times New Roman"/>
          <w:bCs/>
        </w:rPr>
        <w:t>）</w:t>
      </w:r>
      <w:r>
        <w:rPr>
          <w:rFonts w:hint="eastAsia"/>
        </w:rPr>
        <w:t>居民和游客生活污水</w:t>
      </w:r>
    </w:p>
    <w:p w14:paraId="47D23CE0">
      <w:pPr>
        <w:ind w:firstLine="480"/>
      </w:pPr>
      <w:r>
        <w:rPr>
          <w:rFonts w:hint="eastAsia"/>
        </w:rPr>
        <w:t>根据现状调查，度假区现状生活污染源主要为区内居民（含企业员工）和游客的生活污水。度假区内现有常住居民约30177人，年游客总数约210万人次。本次根据《江苏省服务业和生活用水定额》（2019年修订），度假区内居民人口用水量按100 L/（人·d）计，游客用水量按60 L/人次计，产污系数按0.8，对生活污水量进行核算，则度假区现状生活污水排放总量为97.32万t/a。</w:t>
      </w:r>
    </w:p>
    <w:p w14:paraId="6776260E">
      <w:pPr>
        <w:ind w:firstLine="480"/>
      </w:pPr>
      <w:r>
        <w:rPr>
          <w:rFonts w:hint="eastAsia"/>
        </w:rPr>
        <w:t>根据区域实际废水排放情况，游客和城镇居民生活污水进入茅东污水处理厂进行处理，处于未接管区域的农村居民主要依托农村分散式处理设施处置。根据处置方式的不同，茅东污水处理厂根据2023-2024年出水水质情况，COD、氨氮、总磷、总氮排放浓度取均值</w:t>
      </w:r>
      <w:r>
        <w:t>18.21</w:t>
      </w:r>
      <w:r>
        <w:rPr>
          <w:rFonts w:hint="eastAsia"/>
        </w:rPr>
        <w:t>mg/L、</w:t>
      </w:r>
      <w:r>
        <w:t>0.18</w:t>
      </w:r>
      <w:r>
        <w:rPr>
          <w:rFonts w:hint="eastAsia"/>
        </w:rPr>
        <w:t>mg/L、</w:t>
      </w:r>
      <w:r>
        <w:t>0.04</w:t>
      </w:r>
      <w:r>
        <w:rPr>
          <w:rFonts w:hint="eastAsia"/>
        </w:rPr>
        <w:t>mg/L和</w:t>
      </w:r>
      <w:r>
        <w:t>5.19</w:t>
      </w:r>
      <w:r>
        <w:rPr>
          <w:rFonts w:hint="eastAsia"/>
        </w:rPr>
        <w:t>mg/L，农村分散式处理设施COD、氨氮、总磷、总氮排放浓度取75mg/L、</w:t>
      </w:r>
      <w:r>
        <w:t>8</w:t>
      </w:r>
      <w:r>
        <w:rPr>
          <w:rFonts w:hint="eastAsia"/>
        </w:rPr>
        <w:t>mg/L、1mg/L和15mg/L，计算得到度假区主要水污染物COD、氨氮、总磷总氮排放量分别为</w:t>
      </w:r>
      <w:r>
        <w:t>20.72</w:t>
      </w:r>
      <w:r>
        <w:rPr>
          <w:rFonts w:hint="eastAsia"/>
        </w:rPr>
        <w:t>t/a、0.</w:t>
      </w:r>
      <w:r>
        <w:t>20</w:t>
      </w:r>
      <w:r>
        <w:rPr>
          <w:rFonts w:hint="eastAsia"/>
        </w:rPr>
        <w:t xml:space="preserve"> t/a、</w:t>
      </w:r>
      <w:r>
        <w:t>0.045</w:t>
      </w:r>
      <w:r>
        <w:rPr>
          <w:rFonts w:hint="eastAsia"/>
        </w:rPr>
        <w:t xml:space="preserve"> t/a和</w:t>
      </w:r>
      <w:r>
        <w:t>5.91</w:t>
      </w:r>
      <w:r>
        <w:rPr>
          <w:rFonts w:hint="eastAsia"/>
        </w:rPr>
        <w:t xml:space="preserve"> t/a。</w:t>
      </w:r>
    </w:p>
    <w:p w14:paraId="3A9EC845">
      <w:pPr>
        <w:pStyle w:val="45"/>
        <w:rPr>
          <w:rFonts w:cs="Times New Roman"/>
        </w:rPr>
      </w:pPr>
      <w:r>
        <w:rPr>
          <w:rFonts w:hint="eastAsia" w:cs="Times New Roman"/>
        </w:rPr>
        <w:t>表3.</w:t>
      </w:r>
      <w:r>
        <w:rPr>
          <w:rFonts w:cs="Times New Roman"/>
        </w:rPr>
        <w:t>4</w:t>
      </w:r>
      <w:r>
        <w:rPr>
          <w:rFonts w:hint="eastAsia" w:cs="Times New Roman"/>
        </w:rPr>
        <w:t xml:space="preserve">-24 </w:t>
      </w:r>
      <w:r>
        <w:rPr>
          <w:rFonts w:cs="Times New Roman"/>
        </w:rPr>
        <w:t xml:space="preserve"> </w:t>
      </w:r>
      <w:r>
        <w:rPr>
          <w:rFonts w:hint="eastAsia" w:cs="Times New Roman"/>
        </w:rPr>
        <w:t>度假区生活污水产生量表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71"/>
        <w:gridCol w:w="1473"/>
        <w:gridCol w:w="1717"/>
        <w:gridCol w:w="1533"/>
        <w:gridCol w:w="1528"/>
      </w:tblGrid>
      <w:tr w14:paraId="1A734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33" w:type="pct"/>
            <w:vAlign w:val="center"/>
          </w:tcPr>
          <w:p w14:paraId="7875C918">
            <w:pPr>
              <w:pStyle w:val="47"/>
              <w:rPr>
                <w:b/>
                <w:sz w:val="21"/>
                <w:szCs w:val="21"/>
              </w:rPr>
            </w:pPr>
            <w:r>
              <w:rPr>
                <w:rFonts w:hint="eastAsia"/>
                <w:b/>
                <w:sz w:val="21"/>
                <w:szCs w:val="21"/>
              </w:rPr>
              <w:t>项目</w:t>
            </w:r>
          </w:p>
        </w:tc>
        <w:tc>
          <w:tcPr>
            <w:tcW w:w="864" w:type="pct"/>
            <w:vAlign w:val="center"/>
          </w:tcPr>
          <w:p w14:paraId="59B0893D">
            <w:pPr>
              <w:pStyle w:val="47"/>
              <w:rPr>
                <w:b/>
                <w:sz w:val="21"/>
                <w:szCs w:val="21"/>
              </w:rPr>
            </w:pPr>
            <w:r>
              <w:rPr>
                <w:rFonts w:hint="eastAsia"/>
                <w:b/>
                <w:sz w:val="21"/>
                <w:szCs w:val="21"/>
              </w:rPr>
              <w:t>人口/人</w:t>
            </w:r>
          </w:p>
        </w:tc>
        <w:tc>
          <w:tcPr>
            <w:tcW w:w="1007" w:type="pct"/>
            <w:vAlign w:val="center"/>
          </w:tcPr>
          <w:p w14:paraId="648DDC2C">
            <w:pPr>
              <w:pStyle w:val="47"/>
              <w:rPr>
                <w:b/>
                <w:sz w:val="21"/>
                <w:szCs w:val="21"/>
              </w:rPr>
            </w:pPr>
            <w:r>
              <w:rPr>
                <w:rFonts w:hint="eastAsia"/>
                <w:b/>
                <w:sz w:val="21"/>
                <w:szCs w:val="21"/>
              </w:rPr>
              <w:t>用水量指标</w:t>
            </w:r>
          </w:p>
        </w:tc>
        <w:tc>
          <w:tcPr>
            <w:tcW w:w="899" w:type="pct"/>
            <w:vAlign w:val="center"/>
          </w:tcPr>
          <w:p w14:paraId="31447D38">
            <w:pPr>
              <w:pStyle w:val="47"/>
              <w:rPr>
                <w:b/>
                <w:sz w:val="21"/>
                <w:szCs w:val="21"/>
              </w:rPr>
            </w:pPr>
            <w:r>
              <w:rPr>
                <w:rFonts w:hint="eastAsia"/>
                <w:b/>
                <w:sz w:val="21"/>
                <w:szCs w:val="21"/>
              </w:rPr>
              <w:t>排水系数</w:t>
            </w:r>
          </w:p>
        </w:tc>
        <w:tc>
          <w:tcPr>
            <w:tcW w:w="896" w:type="pct"/>
            <w:vAlign w:val="center"/>
          </w:tcPr>
          <w:p w14:paraId="2B84A323">
            <w:pPr>
              <w:pStyle w:val="47"/>
              <w:rPr>
                <w:b/>
                <w:sz w:val="21"/>
                <w:szCs w:val="21"/>
              </w:rPr>
            </w:pPr>
            <w:r>
              <w:rPr>
                <w:rFonts w:hint="eastAsia"/>
                <w:b/>
                <w:sz w:val="21"/>
                <w:szCs w:val="21"/>
              </w:rPr>
              <w:t>废水量</w:t>
            </w:r>
          </w:p>
        </w:tc>
      </w:tr>
      <w:tr w14:paraId="66461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33" w:type="pct"/>
            <w:vAlign w:val="center"/>
          </w:tcPr>
          <w:p w14:paraId="54A02DAE">
            <w:pPr>
              <w:pStyle w:val="47"/>
              <w:rPr>
                <w:sz w:val="21"/>
                <w:szCs w:val="21"/>
              </w:rPr>
            </w:pPr>
            <w:r>
              <w:rPr>
                <w:rFonts w:hint="eastAsia"/>
                <w:sz w:val="21"/>
                <w:szCs w:val="21"/>
              </w:rPr>
              <w:t>居民人口</w:t>
            </w:r>
          </w:p>
          <w:p w14:paraId="20054C92">
            <w:pPr>
              <w:pStyle w:val="47"/>
              <w:rPr>
                <w:sz w:val="21"/>
                <w:szCs w:val="21"/>
              </w:rPr>
            </w:pPr>
            <w:r>
              <w:rPr>
                <w:rFonts w:hint="eastAsia"/>
              </w:rPr>
              <w:t>（含企业员工）</w:t>
            </w:r>
          </w:p>
        </w:tc>
        <w:tc>
          <w:tcPr>
            <w:tcW w:w="864" w:type="pct"/>
            <w:vAlign w:val="center"/>
          </w:tcPr>
          <w:p w14:paraId="06574726">
            <w:pPr>
              <w:pStyle w:val="47"/>
              <w:rPr>
                <w:sz w:val="21"/>
                <w:szCs w:val="21"/>
              </w:rPr>
            </w:pPr>
            <w:r>
              <w:rPr>
                <w:rFonts w:hint="eastAsia"/>
                <w:sz w:val="21"/>
                <w:szCs w:val="21"/>
              </w:rPr>
              <w:t>30117</w:t>
            </w:r>
          </w:p>
        </w:tc>
        <w:tc>
          <w:tcPr>
            <w:tcW w:w="1007" w:type="pct"/>
            <w:vAlign w:val="center"/>
          </w:tcPr>
          <w:p w14:paraId="5D512291">
            <w:pPr>
              <w:pStyle w:val="47"/>
              <w:rPr>
                <w:sz w:val="21"/>
                <w:szCs w:val="21"/>
              </w:rPr>
            </w:pPr>
            <w:r>
              <w:rPr>
                <w:rFonts w:hint="eastAsia"/>
                <w:sz w:val="21"/>
                <w:szCs w:val="21"/>
              </w:rPr>
              <w:t>100 L/（人</w:t>
            </w:r>
            <w:r>
              <w:rPr>
                <w:rFonts w:hint="eastAsia" w:cs="Times New Roman"/>
                <w:sz w:val="21"/>
                <w:szCs w:val="21"/>
              </w:rPr>
              <w:t>·</w:t>
            </w:r>
            <w:r>
              <w:rPr>
                <w:rFonts w:hint="eastAsia"/>
                <w:sz w:val="21"/>
                <w:szCs w:val="21"/>
              </w:rPr>
              <w:t>d）</w:t>
            </w:r>
          </w:p>
        </w:tc>
        <w:tc>
          <w:tcPr>
            <w:tcW w:w="899" w:type="pct"/>
            <w:vAlign w:val="center"/>
          </w:tcPr>
          <w:p w14:paraId="0CA80380">
            <w:pPr>
              <w:pStyle w:val="47"/>
              <w:rPr>
                <w:sz w:val="21"/>
                <w:szCs w:val="21"/>
              </w:rPr>
            </w:pPr>
            <w:r>
              <w:rPr>
                <w:rFonts w:hint="eastAsia"/>
                <w:sz w:val="21"/>
                <w:szCs w:val="21"/>
              </w:rPr>
              <w:t>0.8</w:t>
            </w:r>
          </w:p>
        </w:tc>
        <w:tc>
          <w:tcPr>
            <w:tcW w:w="896" w:type="pct"/>
            <w:vAlign w:val="center"/>
          </w:tcPr>
          <w:p w14:paraId="249AEB6A">
            <w:pPr>
              <w:pStyle w:val="47"/>
              <w:rPr>
                <w:sz w:val="21"/>
                <w:szCs w:val="21"/>
              </w:rPr>
            </w:pPr>
            <w:r>
              <w:rPr>
                <w:rFonts w:hint="eastAsia"/>
                <w:sz w:val="21"/>
                <w:szCs w:val="21"/>
              </w:rPr>
              <w:t>87.60万t/a</w:t>
            </w:r>
          </w:p>
        </w:tc>
      </w:tr>
      <w:tr w14:paraId="22667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3" w:type="pct"/>
            <w:vAlign w:val="center"/>
          </w:tcPr>
          <w:p w14:paraId="2A0FBCF4">
            <w:pPr>
              <w:pStyle w:val="47"/>
              <w:rPr>
                <w:sz w:val="21"/>
                <w:szCs w:val="21"/>
              </w:rPr>
            </w:pPr>
            <w:r>
              <w:rPr>
                <w:rFonts w:hint="eastAsia"/>
                <w:sz w:val="21"/>
                <w:szCs w:val="21"/>
              </w:rPr>
              <w:t>游客人数</w:t>
            </w:r>
          </w:p>
        </w:tc>
        <w:tc>
          <w:tcPr>
            <w:tcW w:w="864" w:type="pct"/>
            <w:vAlign w:val="center"/>
          </w:tcPr>
          <w:p w14:paraId="38D0B3C8">
            <w:pPr>
              <w:pStyle w:val="47"/>
              <w:rPr>
                <w:sz w:val="21"/>
                <w:szCs w:val="21"/>
              </w:rPr>
            </w:pPr>
            <w:r>
              <w:rPr>
                <w:rFonts w:hint="eastAsia"/>
                <w:sz w:val="21"/>
                <w:szCs w:val="21"/>
              </w:rPr>
              <w:t>210万</w:t>
            </w:r>
          </w:p>
        </w:tc>
        <w:tc>
          <w:tcPr>
            <w:tcW w:w="1007" w:type="pct"/>
            <w:vAlign w:val="center"/>
          </w:tcPr>
          <w:p w14:paraId="398DE303">
            <w:pPr>
              <w:pStyle w:val="47"/>
              <w:rPr>
                <w:sz w:val="21"/>
                <w:szCs w:val="21"/>
              </w:rPr>
            </w:pPr>
            <w:r>
              <w:rPr>
                <w:rFonts w:hint="eastAsia"/>
                <w:sz w:val="21"/>
                <w:szCs w:val="21"/>
              </w:rPr>
              <w:t>60 L/人次</w:t>
            </w:r>
          </w:p>
        </w:tc>
        <w:tc>
          <w:tcPr>
            <w:tcW w:w="899" w:type="pct"/>
            <w:vAlign w:val="center"/>
          </w:tcPr>
          <w:p w14:paraId="134ABE63">
            <w:pPr>
              <w:pStyle w:val="47"/>
              <w:rPr>
                <w:sz w:val="21"/>
                <w:szCs w:val="21"/>
              </w:rPr>
            </w:pPr>
            <w:r>
              <w:rPr>
                <w:rFonts w:hint="eastAsia"/>
                <w:sz w:val="21"/>
                <w:szCs w:val="21"/>
              </w:rPr>
              <w:t>0.8</w:t>
            </w:r>
          </w:p>
        </w:tc>
        <w:tc>
          <w:tcPr>
            <w:tcW w:w="896" w:type="pct"/>
            <w:vAlign w:val="center"/>
          </w:tcPr>
          <w:p w14:paraId="35769CB4">
            <w:pPr>
              <w:pStyle w:val="47"/>
              <w:rPr>
                <w:sz w:val="21"/>
                <w:szCs w:val="21"/>
              </w:rPr>
            </w:pPr>
            <w:r>
              <w:rPr>
                <w:rFonts w:hint="eastAsia"/>
                <w:sz w:val="21"/>
                <w:szCs w:val="21"/>
              </w:rPr>
              <w:t>9.72万t/a</w:t>
            </w:r>
          </w:p>
        </w:tc>
      </w:tr>
      <w:tr w14:paraId="0A446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3" w:type="pct"/>
            <w:vAlign w:val="center"/>
          </w:tcPr>
          <w:p w14:paraId="50CFD03E">
            <w:pPr>
              <w:pStyle w:val="47"/>
              <w:rPr>
                <w:sz w:val="21"/>
                <w:szCs w:val="21"/>
              </w:rPr>
            </w:pPr>
            <w:r>
              <w:rPr>
                <w:rFonts w:hint="eastAsia"/>
                <w:sz w:val="21"/>
                <w:szCs w:val="21"/>
              </w:rPr>
              <w:t>合计</w:t>
            </w:r>
          </w:p>
        </w:tc>
        <w:tc>
          <w:tcPr>
            <w:tcW w:w="864" w:type="pct"/>
            <w:vAlign w:val="center"/>
          </w:tcPr>
          <w:p w14:paraId="4F74C4B2">
            <w:pPr>
              <w:pStyle w:val="47"/>
              <w:rPr>
                <w:sz w:val="21"/>
                <w:szCs w:val="21"/>
              </w:rPr>
            </w:pPr>
            <w:r>
              <w:rPr>
                <w:rFonts w:hint="eastAsia"/>
                <w:sz w:val="21"/>
                <w:szCs w:val="21"/>
              </w:rPr>
              <w:t>/</w:t>
            </w:r>
          </w:p>
        </w:tc>
        <w:tc>
          <w:tcPr>
            <w:tcW w:w="1007" w:type="pct"/>
            <w:vAlign w:val="center"/>
          </w:tcPr>
          <w:p w14:paraId="4DAAC943">
            <w:pPr>
              <w:pStyle w:val="47"/>
              <w:rPr>
                <w:sz w:val="21"/>
                <w:szCs w:val="21"/>
              </w:rPr>
            </w:pPr>
            <w:r>
              <w:rPr>
                <w:rFonts w:hint="eastAsia"/>
                <w:sz w:val="21"/>
                <w:szCs w:val="21"/>
              </w:rPr>
              <w:t>/</w:t>
            </w:r>
          </w:p>
        </w:tc>
        <w:tc>
          <w:tcPr>
            <w:tcW w:w="899" w:type="pct"/>
            <w:vAlign w:val="center"/>
          </w:tcPr>
          <w:p w14:paraId="2BF7FF0F">
            <w:pPr>
              <w:pStyle w:val="47"/>
              <w:rPr>
                <w:sz w:val="21"/>
                <w:szCs w:val="21"/>
              </w:rPr>
            </w:pPr>
            <w:r>
              <w:rPr>
                <w:rFonts w:hint="eastAsia"/>
                <w:sz w:val="21"/>
                <w:szCs w:val="21"/>
              </w:rPr>
              <w:t>/</w:t>
            </w:r>
          </w:p>
        </w:tc>
        <w:tc>
          <w:tcPr>
            <w:tcW w:w="896" w:type="pct"/>
            <w:vAlign w:val="center"/>
          </w:tcPr>
          <w:p w14:paraId="6400B59E">
            <w:pPr>
              <w:pStyle w:val="47"/>
              <w:rPr>
                <w:sz w:val="21"/>
                <w:szCs w:val="21"/>
              </w:rPr>
            </w:pPr>
            <w:r>
              <w:rPr>
                <w:rFonts w:hint="eastAsia"/>
                <w:sz w:val="21"/>
                <w:szCs w:val="21"/>
              </w:rPr>
              <w:t>97.32万t/a</w:t>
            </w:r>
          </w:p>
        </w:tc>
      </w:tr>
    </w:tbl>
    <w:p w14:paraId="7C2634B4">
      <w:pPr>
        <w:ind w:firstLine="480"/>
      </w:pPr>
      <w:r>
        <w:rPr>
          <w:rFonts w:hint="eastAsia"/>
        </w:rPr>
        <w:t>（3）农业面源</w:t>
      </w:r>
    </w:p>
    <w:p w14:paraId="60C0D6FF">
      <w:pPr>
        <w:ind w:firstLine="482"/>
        <w:rPr>
          <w:rFonts w:cs="Times New Roman"/>
        </w:rPr>
      </w:pPr>
      <w:r>
        <w:rPr>
          <w:rFonts w:hint="eastAsia"/>
          <w:b/>
        </w:rPr>
        <w:t>①种植业氮磷排放</w:t>
      </w:r>
    </w:p>
    <w:p w14:paraId="6104ED58">
      <w:pPr>
        <w:ind w:firstLine="480"/>
        <w:rPr>
          <w:rFonts w:cs="Times New Roman"/>
        </w:rPr>
      </w:pPr>
      <w:r>
        <w:rPr>
          <w:rFonts w:hint="eastAsia" w:cs="Times New Roman"/>
        </w:rPr>
        <w:t>度假区的农业面源污染主要来自区内果园和农田，根据用地类型统计结果，度假区农田面积1160.1公顷，园地面积928.9公顷。参考第二次全国污染源普查《排放源统计调查产排污核算方法和系数手册》附表1农业污染源产排污系数手册中的江苏省种植业氮磷排放（流失）系数，农作物播种过程排放（流失）系数氨氮0.928 kg/（公顷·a）、总氮6.484 kg/（公顷·a）、总磷0.701 kg/（公顷·a）；园地排放（流失）系数氨氮</w:t>
      </w:r>
      <w:r>
        <w:rPr>
          <w:rFonts w:cs="Times New Roman"/>
        </w:rPr>
        <w:t>0.325</w:t>
      </w:r>
      <w:r>
        <w:rPr>
          <w:rFonts w:hint="eastAsia" w:cs="Times New Roman"/>
        </w:rPr>
        <w:t xml:space="preserve"> kg/（公顷·a）、总氮</w:t>
      </w:r>
      <w:r>
        <w:rPr>
          <w:rFonts w:cs="Times New Roman"/>
        </w:rPr>
        <w:t>6.679</w:t>
      </w:r>
      <w:r>
        <w:rPr>
          <w:rFonts w:hint="eastAsia" w:cs="Times New Roman"/>
        </w:rPr>
        <w:t>kg/（公顷·a）、总磷0.</w:t>
      </w:r>
      <w:r>
        <w:rPr>
          <w:rFonts w:cs="Times New Roman"/>
        </w:rPr>
        <w:t>171</w:t>
      </w:r>
      <w:r>
        <w:rPr>
          <w:rFonts w:hint="eastAsia" w:cs="Times New Roman"/>
        </w:rPr>
        <w:t xml:space="preserve"> kg/（公顷·a）。计算得到度假区农业面源污染物排放量分别为氨氮1.38</w:t>
      </w:r>
      <w:r>
        <w:rPr>
          <w:rFonts w:cs="Times New Roman"/>
        </w:rPr>
        <w:t>t/a</w:t>
      </w:r>
      <w:r>
        <w:rPr>
          <w:rFonts w:hint="eastAsia" w:cs="Times New Roman"/>
        </w:rPr>
        <w:t>、总氮13.72</w:t>
      </w:r>
      <w:r>
        <w:rPr>
          <w:rFonts w:cs="Times New Roman"/>
        </w:rPr>
        <w:t>t/a</w:t>
      </w:r>
      <w:r>
        <w:rPr>
          <w:rFonts w:hint="eastAsia" w:cs="Times New Roman"/>
        </w:rPr>
        <w:t>、总磷0.97</w:t>
      </w:r>
      <w:r>
        <w:rPr>
          <w:rFonts w:cs="Times New Roman"/>
        </w:rPr>
        <w:t>t/a</w:t>
      </w:r>
      <w:r>
        <w:rPr>
          <w:rFonts w:hint="eastAsia" w:cs="Times New Roman"/>
        </w:rPr>
        <w:t>。</w:t>
      </w:r>
    </w:p>
    <w:p w14:paraId="15123AB6">
      <w:pPr>
        <w:pStyle w:val="45"/>
        <w:rPr>
          <w:rFonts w:cs="Times New Roman"/>
        </w:rPr>
      </w:pPr>
      <w:r>
        <w:rPr>
          <w:rFonts w:hint="eastAsia" w:cs="Times New Roman"/>
        </w:rPr>
        <w:t>表3.</w:t>
      </w:r>
      <w:r>
        <w:rPr>
          <w:rFonts w:cs="Times New Roman"/>
        </w:rPr>
        <w:t>4</w:t>
      </w:r>
      <w:r>
        <w:rPr>
          <w:rFonts w:hint="eastAsia" w:cs="Times New Roman"/>
        </w:rPr>
        <w:t xml:space="preserve">-25 </w:t>
      </w:r>
      <w:r>
        <w:rPr>
          <w:rFonts w:cs="Times New Roman"/>
        </w:rPr>
        <w:t xml:space="preserve"> </w:t>
      </w:r>
      <w:r>
        <w:rPr>
          <w:rFonts w:hint="eastAsia" w:cs="Times New Roman"/>
        </w:rPr>
        <w:t>度假区农田污染物排放量</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3"/>
        <w:gridCol w:w="2705"/>
        <w:gridCol w:w="1711"/>
        <w:gridCol w:w="2393"/>
      </w:tblGrid>
      <w:tr w14:paraId="5F4CC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05" w:type="pct"/>
            <w:vAlign w:val="center"/>
          </w:tcPr>
          <w:p w14:paraId="7763279D">
            <w:pPr>
              <w:spacing w:line="240" w:lineRule="auto"/>
              <w:ind w:firstLine="0" w:firstLineChars="0"/>
              <w:jc w:val="center"/>
              <w:rPr>
                <w:b/>
                <w:sz w:val="21"/>
              </w:rPr>
            </w:pPr>
            <w:r>
              <w:rPr>
                <w:rFonts w:hint="eastAsia"/>
                <w:b/>
                <w:sz w:val="21"/>
              </w:rPr>
              <w:t>污染物</w:t>
            </w:r>
          </w:p>
        </w:tc>
        <w:tc>
          <w:tcPr>
            <w:tcW w:w="1587" w:type="pct"/>
            <w:vAlign w:val="center"/>
          </w:tcPr>
          <w:p w14:paraId="31F3A786">
            <w:pPr>
              <w:spacing w:line="240" w:lineRule="auto"/>
              <w:ind w:firstLine="0" w:firstLineChars="0"/>
              <w:jc w:val="center"/>
              <w:rPr>
                <w:b/>
                <w:sz w:val="21"/>
              </w:rPr>
            </w:pPr>
            <w:r>
              <w:rPr>
                <w:rFonts w:hint="eastAsia"/>
                <w:b/>
                <w:sz w:val="21"/>
              </w:rPr>
              <w:t>排放（流失）系数kg/（公顷·a）</w:t>
            </w:r>
          </w:p>
        </w:tc>
        <w:tc>
          <w:tcPr>
            <w:tcW w:w="1004" w:type="pct"/>
            <w:vAlign w:val="center"/>
          </w:tcPr>
          <w:p w14:paraId="6B6E9253">
            <w:pPr>
              <w:spacing w:line="240" w:lineRule="auto"/>
              <w:ind w:firstLine="0" w:firstLineChars="0"/>
              <w:jc w:val="center"/>
              <w:rPr>
                <w:b/>
                <w:sz w:val="21"/>
              </w:rPr>
            </w:pPr>
            <w:r>
              <w:rPr>
                <w:rFonts w:hint="eastAsia"/>
                <w:b/>
                <w:sz w:val="21"/>
              </w:rPr>
              <w:t>农田面积</w:t>
            </w:r>
          </w:p>
          <w:p w14:paraId="0BF06168">
            <w:pPr>
              <w:spacing w:line="240" w:lineRule="auto"/>
              <w:ind w:firstLine="0" w:firstLineChars="0"/>
              <w:jc w:val="center"/>
              <w:rPr>
                <w:b/>
                <w:sz w:val="21"/>
              </w:rPr>
            </w:pPr>
            <w:r>
              <w:rPr>
                <w:rFonts w:hint="eastAsia"/>
                <w:b/>
                <w:sz w:val="21"/>
              </w:rPr>
              <w:t>（公顷）</w:t>
            </w:r>
          </w:p>
        </w:tc>
        <w:tc>
          <w:tcPr>
            <w:tcW w:w="1404" w:type="pct"/>
            <w:vAlign w:val="center"/>
          </w:tcPr>
          <w:p w14:paraId="1FD591F3">
            <w:pPr>
              <w:spacing w:line="240" w:lineRule="auto"/>
              <w:ind w:firstLine="0" w:firstLineChars="0"/>
              <w:jc w:val="center"/>
              <w:rPr>
                <w:b/>
                <w:sz w:val="21"/>
              </w:rPr>
            </w:pPr>
            <w:r>
              <w:rPr>
                <w:rFonts w:hint="eastAsia"/>
                <w:b/>
                <w:sz w:val="21"/>
              </w:rPr>
              <w:t>农田污染物排放量（t/a）</w:t>
            </w:r>
          </w:p>
        </w:tc>
      </w:tr>
      <w:tr w14:paraId="1DB1D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5" w:type="pct"/>
            <w:vAlign w:val="center"/>
          </w:tcPr>
          <w:p w14:paraId="20C037A4">
            <w:pPr>
              <w:spacing w:line="240" w:lineRule="auto"/>
              <w:ind w:firstLine="0" w:firstLineChars="0"/>
              <w:jc w:val="center"/>
              <w:rPr>
                <w:sz w:val="21"/>
              </w:rPr>
            </w:pPr>
            <w:r>
              <w:rPr>
                <w:rFonts w:hint="eastAsia"/>
                <w:sz w:val="21"/>
              </w:rPr>
              <w:t>氨氮</w:t>
            </w:r>
          </w:p>
        </w:tc>
        <w:tc>
          <w:tcPr>
            <w:tcW w:w="1587" w:type="pct"/>
            <w:vAlign w:val="center"/>
          </w:tcPr>
          <w:p w14:paraId="09234A86">
            <w:pPr>
              <w:spacing w:line="240" w:lineRule="auto"/>
              <w:ind w:firstLine="0" w:firstLineChars="0"/>
              <w:jc w:val="center"/>
              <w:rPr>
                <w:sz w:val="21"/>
              </w:rPr>
            </w:pPr>
            <w:r>
              <w:rPr>
                <w:rFonts w:hint="eastAsia"/>
                <w:sz w:val="21"/>
              </w:rPr>
              <w:t>0.928</w:t>
            </w:r>
          </w:p>
        </w:tc>
        <w:tc>
          <w:tcPr>
            <w:tcW w:w="1004" w:type="pct"/>
          </w:tcPr>
          <w:p w14:paraId="29EEB625">
            <w:pPr>
              <w:spacing w:line="240" w:lineRule="auto"/>
              <w:ind w:firstLine="0" w:firstLineChars="0"/>
              <w:jc w:val="center"/>
              <w:rPr>
                <w:sz w:val="21"/>
                <w:szCs w:val="21"/>
              </w:rPr>
            </w:pPr>
            <w:r>
              <w:rPr>
                <w:rFonts w:hint="eastAsia" w:cs="Times New Roman"/>
                <w:sz w:val="21"/>
                <w:szCs w:val="21"/>
              </w:rPr>
              <w:t>1160.1</w:t>
            </w:r>
          </w:p>
        </w:tc>
        <w:tc>
          <w:tcPr>
            <w:tcW w:w="1404" w:type="pct"/>
          </w:tcPr>
          <w:p w14:paraId="45CE7D83">
            <w:pPr>
              <w:spacing w:line="240" w:lineRule="auto"/>
              <w:ind w:firstLine="0" w:firstLineChars="0"/>
              <w:jc w:val="center"/>
              <w:rPr>
                <w:rFonts w:cs="Times New Roman"/>
                <w:sz w:val="21"/>
                <w:szCs w:val="21"/>
              </w:rPr>
            </w:pPr>
            <w:r>
              <w:rPr>
                <w:rFonts w:hint="eastAsia" w:cs="Times New Roman"/>
                <w:sz w:val="21"/>
                <w:szCs w:val="21"/>
              </w:rPr>
              <w:t>1.08</w:t>
            </w:r>
          </w:p>
        </w:tc>
      </w:tr>
      <w:tr w14:paraId="56D28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5" w:type="pct"/>
            <w:vAlign w:val="center"/>
          </w:tcPr>
          <w:p w14:paraId="4B6FEED3">
            <w:pPr>
              <w:spacing w:line="240" w:lineRule="auto"/>
              <w:ind w:firstLine="0" w:firstLineChars="0"/>
              <w:jc w:val="center"/>
              <w:rPr>
                <w:sz w:val="21"/>
              </w:rPr>
            </w:pPr>
            <w:r>
              <w:rPr>
                <w:rFonts w:hint="eastAsia"/>
                <w:sz w:val="21"/>
              </w:rPr>
              <w:t>总氮</w:t>
            </w:r>
          </w:p>
        </w:tc>
        <w:tc>
          <w:tcPr>
            <w:tcW w:w="1587" w:type="pct"/>
            <w:vAlign w:val="center"/>
          </w:tcPr>
          <w:p w14:paraId="2029EC65">
            <w:pPr>
              <w:spacing w:line="240" w:lineRule="auto"/>
              <w:ind w:firstLine="0" w:firstLineChars="0"/>
              <w:jc w:val="center"/>
              <w:rPr>
                <w:sz w:val="21"/>
              </w:rPr>
            </w:pPr>
            <w:r>
              <w:rPr>
                <w:rFonts w:hint="eastAsia"/>
                <w:sz w:val="21"/>
              </w:rPr>
              <w:t>6.484</w:t>
            </w:r>
          </w:p>
        </w:tc>
        <w:tc>
          <w:tcPr>
            <w:tcW w:w="1004" w:type="pct"/>
          </w:tcPr>
          <w:p w14:paraId="035EAD12">
            <w:pPr>
              <w:spacing w:line="240" w:lineRule="auto"/>
              <w:ind w:firstLine="0" w:firstLineChars="0"/>
              <w:jc w:val="center"/>
              <w:rPr>
                <w:sz w:val="21"/>
                <w:szCs w:val="21"/>
              </w:rPr>
            </w:pPr>
            <w:r>
              <w:rPr>
                <w:rFonts w:hint="eastAsia" w:cs="Times New Roman"/>
                <w:sz w:val="21"/>
                <w:szCs w:val="21"/>
              </w:rPr>
              <w:t>1160.1</w:t>
            </w:r>
          </w:p>
        </w:tc>
        <w:tc>
          <w:tcPr>
            <w:tcW w:w="1404" w:type="pct"/>
          </w:tcPr>
          <w:p w14:paraId="62223EDD">
            <w:pPr>
              <w:spacing w:line="240" w:lineRule="auto"/>
              <w:ind w:firstLine="0" w:firstLineChars="0"/>
              <w:jc w:val="center"/>
              <w:rPr>
                <w:rFonts w:cs="Times New Roman"/>
                <w:sz w:val="21"/>
                <w:szCs w:val="21"/>
              </w:rPr>
            </w:pPr>
            <w:r>
              <w:rPr>
                <w:rFonts w:hint="eastAsia" w:cs="Times New Roman"/>
                <w:sz w:val="21"/>
                <w:szCs w:val="21"/>
              </w:rPr>
              <w:t>7.52</w:t>
            </w:r>
          </w:p>
        </w:tc>
      </w:tr>
      <w:tr w14:paraId="0B48E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5" w:type="pct"/>
            <w:vAlign w:val="center"/>
          </w:tcPr>
          <w:p w14:paraId="66AD273B">
            <w:pPr>
              <w:spacing w:line="240" w:lineRule="auto"/>
              <w:ind w:firstLine="0" w:firstLineChars="0"/>
              <w:jc w:val="center"/>
              <w:rPr>
                <w:sz w:val="21"/>
              </w:rPr>
            </w:pPr>
            <w:r>
              <w:rPr>
                <w:rFonts w:hint="eastAsia"/>
                <w:sz w:val="21"/>
              </w:rPr>
              <w:t>总磷</w:t>
            </w:r>
          </w:p>
        </w:tc>
        <w:tc>
          <w:tcPr>
            <w:tcW w:w="1587" w:type="pct"/>
            <w:vAlign w:val="center"/>
          </w:tcPr>
          <w:p w14:paraId="1BC6F646">
            <w:pPr>
              <w:spacing w:line="240" w:lineRule="auto"/>
              <w:ind w:firstLine="0" w:firstLineChars="0"/>
              <w:jc w:val="center"/>
              <w:rPr>
                <w:sz w:val="21"/>
              </w:rPr>
            </w:pPr>
            <w:r>
              <w:rPr>
                <w:rFonts w:hint="eastAsia"/>
                <w:sz w:val="21"/>
              </w:rPr>
              <w:t>0.701</w:t>
            </w:r>
          </w:p>
        </w:tc>
        <w:tc>
          <w:tcPr>
            <w:tcW w:w="1004" w:type="pct"/>
          </w:tcPr>
          <w:p w14:paraId="3AE2AE3A">
            <w:pPr>
              <w:spacing w:line="240" w:lineRule="auto"/>
              <w:ind w:firstLine="0" w:firstLineChars="0"/>
              <w:jc w:val="center"/>
              <w:rPr>
                <w:sz w:val="21"/>
                <w:szCs w:val="21"/>
              </w:rPr>
            </w:pPr>
            <w:r>
              <w:rPr>
                <w:rFonts w:hint="eastAsia" w:cs="Times New Roman"/>
                <w:sz w:val="21"/>
                <w:szCs w:val="21"/>
              </w:rPr>
              <w:t>1160.1</w:t>
            </w:r>
          </w:p>
        </w:tc>
        <w:tc>
          <w:tcPr>
            <w:tcW w:w="1404" w:type="pct"/>
          </w:tcPr>
          <w:p w14:paraId="2542B5E6">
            <w:pPr>
              <w:spacing w:line="240" w:lineRule="auto"/>
              <w:ind w:firstLine="0" w:firstLineChars="0"/>
              <w:jc w:val="center"/>
              <w:rPr>
                <w:rFonts w:cs="Times New Roman"/>
                <w:sz w:val="21"/>
                <w:szCs w:val="21"/>
              </w:rPr>
            </w:pPr>
            <w:r>
              <w:rPr>
                <w:rFonts w:hint="eastAsia" w:cs="Times New Roman"/>
                <w:sz w:val="21"/>
                <w:szCs w:val="21"/>
              </w:rPr>
              <w:t>0.81</w:t>
            </w:r>
          </w:p>
        </w:tc>
      </w:tr>
    </w:tbl>
    <w:p w14:paraId="08123AE4">
      <w:pPr>
        <w:pStyle w:val="45"/>
        <w:rPr>
          <w:rFonts w:cs="Times New Roman"/>
        </w:rPr>
      </w:pPr>
      <w:r>
        <w:rPr>
          <w:rFonts w:hint="eastAsia" w:cs="Times New Roman"/>
        </w:rPr>
        <w:t>表3.</w:t>
      </w:r>
      <w:r>
        <w:rPr>
          <w:rFonts w:cs="Times New Roman"/>
        </w:rPr>
        <w:t>4</w:t>
      </w:r>
      <w:r>
        <w:rPr>
          <w:rFonts w:hint="eastAsia" w:cs="Times New Roman"/>
        </w:rPr>
        <w:t xml:space="preserve">-26 </w:t>
      </w:r>
      <w:r>
        <w:rPr>
          <w:rFonts w:cs="Times New Roman"/>
        </w:rPr>
        <w:t xml:space="preserve"> </w:t>
      </w:r>
      <w:r>
        <w:rPr>
          <w:rFonts w:hint="eastAsia" w:cs="Times New Roman"/>
        </w:rPr>
        <w:t>度假区园地污染物排放量</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3"/>
        <w:gridCol w:w="2705"/>
        <w:gridCol w:w="1711"/>
        <w:gridCol w:w="2393"/>
      </w:tblGrid>
      <w:tr w14:paraId="7DE63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05" w:type="pct"/>
            <w:vAlign w:val="center"/>
          </w:tcPr>
          <w:p w14:paraId="3E69FA58">
            <w:pPr>
              <w:spacing w:line="240" w:lineRule="auto"/>
              <w:ind w:firstLine="0" w:firstLineChars="0"/>
              <w:jc w:val="center"/>
              <w:rPr>
                <w:b/>
                <w:sz w:val="21"/>
              </w:rPr>
            </w:pPr>
            <w:r>
              <w:rPr>
                <w:rFonts w:hint="eastAsia"/>
                <w:b/>
                <w:sz w:val="21"/>
              </w:rPr>
              <w:t>污染物</w:t>
            </w:r>
          </w:p>
        </w:tc>
        <w:tc>
          <w:tcPr>
            <w:tcW w:w="1587" w:type="pct"/>
            <w:vAlign w:val="center"/>
          </w:tcPr>
          <w:p w14:paraId="02B5E0AF">
            <w:pPr>
              <w:spacing w:line="240" w:lineRule="auto"/>
              <w:ind w:firstLine="0" w:firstLineChars="0"/>
              <w:jc w:val="center"/>
              <w:rPr>
                <w:b/>
                <w:sz w:val="21"/>
              </w:rPr>
            </w:pPr>
            <w:r>
              <w:rPr>
                <w:rFonts w:hint="eastAsia"/>
                <w:b/>
                <w:sz w:val="21"/>
              </w:rPr>
              <w:t>排放（流失）系数kg/（公顷·a）</w:t>
            </w:r>
          </w:p>
        </w:tc>
        <w:tc>
          <w:tcPr>
            <w:tcW w:w="1004" w:type="pct"/>
            <w:vAlign w:val="center"/>
          </w:tcPr>
          <w:p w14:paraId="16793D78">
            <w:pPr>
              <w:spacing w:line="240" w:lineRule="auto"/>
              <w:ind w:firstLine="0" w:firstLineChars="0"/>
              <w:jc w:val="center"/>
              <w:rPr>
                <w:b/>
                <w:sz w:val="21"/>
              </w:rPr>
            </w:pPr>
            <w:r>
              <w:rPr>
                <w:rFonts w:hint="eastAsia"/>
                <w:b/>
                <w:sz w:val="21"/>
              </w:rPr>
              <w:t>园地面积</w:t>
            </w:r>
          </w:p>
          <w:p w14:paraId="4437D84C">
            <w:pPr>
              <w:spacing w:line="240" w:lineRule="auto"/>
              <w:ind w:firstLine="0" w:firstLineChars="0"/>
              <w:jc w:val="center"/>
              <w:rPr>
                <w:b/>
                <w:sz w:val="21"/>
              </w:rPr>
            </w:pPr>
            <w:r>
              <w:rPr>
                <w:rFonts w:hint="eastAsia"/>
                <w:b/>
                <w:sz w:val="21"/>
              </w:rPr>
              <w:t>（公顷）</w:t>
            </w:r>
          </w:p>
        </w:tc>
        <w:tc>
          <w:tcPr>
            <w:tcW w:w="1404" w:type="pct"/>
            <w:vAlign w:val="center"/>
          </w:tcPr>
          <w:p w14:paraId="2D71B2D4">
            <w:pPr>
              <w:spacing w:line="240" w:lineRule="auto"/>
              <w:ind w:firstLine="0" w:firstLineChars="0"/>
              <w:jc w:val="center"/>
              <w:rPr>
                <w:b/>
                <w:sz w:val="21"/>
              </w:rPr>
            </w:pPr>
            <w:r>
              <w:rPr>
                <w:rFonts w:hint="eastAsia"/>
                <w:b/>
                <w:sz w:val="21"/>
              </w:rPr>
              <w:t>园地污染物排放量（t/a）</w:t>
            </w:r>
          </w:p>
        </w:tc>
      </w:tr>
      <w:tr w14:paraId="1E4F0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5" w:type="pct"/>
            <w:vAlign w:val="center"/>
          </w:tcPr>
          <w:p w14:paraId="033E70FF">
            <w:pPr>
              <w:spacing w:line="240" w:lineRule="auto"/>
              <w:ind w:firstLine="0" w:firstLineChars="0"/>
              <w:jc w:val="center"/>
              <w:rPr>
                <w:sz w:val="21"/>
              </w:rPr>
            </w:pPr>
            <w:r>
              <w:rPr>
                <w:rFonts w:hint="eastAsia"/>
                <w:sz w:val="21"/>
              </w:rPr>
              <w:t>氨氮</w:t>
            </w:r>
          </w:p>
        </w:tc>
        <w:tc>
          <w:tcPr>
            <w:tcW w:w="1587" w:type="pct"/>
            <w:vAlign w:val="center"/>
          </w:tcPr>
          <w:p w14:paraId="0D81A7E7">
            <w:pPr>
              <w:spacing w:line="240" w:lineRule="auto"/>
              <w:ind w:firstLine="0" w:firstLineChars="0"/>
              <w:jc w:val="center"/>
              <w:rPr>
                <w:sz w:val="21"/>
              </w:rPr>
            </w:pPr>
            <w:r>
              <w:rPr>
                <w:rFonts w:hint="eastAsia"/>
                <w:sz w:val="21"/>
              </w:rPr>
              <w:t>0.325</w:t>
            </w:r>
          </w:p>
        </w:tc>
        <w:tc>
          <w:tcPr>
            <w:tcW w:w="1004" w:type="pct"/>
          </w:tcPr>
          <w:p w14:paraId="4213046A">
            <w:pPr>
              <w:spacing w:line="240" w:lineRule="auto"/>
              <w:ind w:firstLine="0" w:firstLineChars="0"/>
              <w:jc w:val="center"/>
              <w:rPr>
                <w:sz w:val="21"/>
                <w:szCs w:val="21"/>
              </w:rPr>
            </w:pPr>
            <w:r>
              <w:rPr>
                <w:rFonts w:hint="eastAsia" w:cs="Times New Roman"/>
                <w:sz w:val="21"/>
                <w:szCs w:val="21"/>
              </w:rPr>
              <w:t>928.9</w:t>
            </w:r>
          </w:p>
        </w:tc>
        <w:tc>
          <w:tcPr>
            <w:tcW w:w="1404" w:type="pct"/>
          </w:tcPr>
          <w:p w14:paraId="6E9D2987">
            <w:pPr>
              <w:spacing w:line="240" w:lineRule="auto"/>
              <w:ind w:firstLine="0" w:firstLineChars="0"/>
              <w:jc w:val="center"/>
              <w:rPr>
                <w:rFonts w:cs="Times New Roman"/>
                <w:sz w:val="21"/>
                <w:szCs w:val="21"/>
              </w:rPr>
            </w:pPr>
            <w:r>
              <w:rPr>
                <w:rFonts w:hint="eastAsia" w:cs="Times New Roman"/>
                <w:sz w:val="21"/>
                <w:szCs w:val="21"/>
              </w:rPr>
              <w:t>0.30</w:t>
            </w:r>
          </w:p>
        </w:tc>
      </w:tr>
      <w:tr w14:paraId="00F29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5" w:type="pct"/>
            <w:vAlign w:val="center"/>
          </w:tcPr>
          <w:p w14:paraId="585093C7">
            <w:pPr>
              <w:spacing w:line="240" w:lineRule="auto"/>
              <w:ind w:firstLine="0" w:firstLineChars="0"/>
              <w:jc w:val="center"/>
              <w:rPr>
                <w:sz w:val="21"/>
              </w:rPr>
            </w:pPr>
            <w:r>
              <w:rPr>
                <w:rFonts w:hint="eastAsia"/>
                <w:sz w:val="21"/>
              </w:rPr>
              <w:t>总氮</w:t>
            </w:r>
          </w:p>
        </w:tc>
        <w:tc>
          <w:tcPr>
            <w:tcW w:w="1587" w:type="pct"/>
            <w:vAlign w:val="center"/>
          </w:tcPr>
          <w:p w14:paraId="264212C2">
            <w:pPr>
              <w:spacing w:line="240" w:lineRule="auto"/>
              <w:ind w:firstLine="0" w:firstLineChars="0"/>
              <w:jc w:val="center"/>
              <w:rPr>
                <w:sz w:val="21"/>
              </w:rPr>
            </w:pPr>
            <w:r>
              <w:rPr>
                <w:rFonts w:hint="eastAsia"/>
                <w:sz w:val="21"/>
              </w:rPr>
              <w:t>6.679</w:t>
            </w:r>
          </w:p>
        </w:tc>
        <w:tc>
          <w:tcPr>
            <w:tcW w:w="1004" w:type="pct"/>
          </w:tcPr>
          <w:p w14:paraId="4FD671AB">
            <w:pPr>
              <w:spacing w:line="240" w:lineRule="auto"/>
              <w:ind w:firstLine="0" w:firstLineChars="0"/>
              <w:jc w:val="center"/>
              <w:rPr>
                <w:sz w:val="21"/>
                <w:szCs w:val="21"/>
              </w:rPr>
            </w:pPr>
            <w:r>
              <w:rPr>
                <w:rFonts w:hint="eastAsia" w:cs="Times New Roman"/>
                <w:sz w:val="21"/>
                <w:szCs w:val="21"/>
              </w:rPr>
              <w:t>928.9</w:t>
            </w:r>
          </w:p>
        </w:tc>
        <w:tc>
          <w:tcPr>
            <w:tcW w:w="1404" w:type="pct"/>
          </w:tcPr>
          <w:p w14:paraId="70D39B1D">
            <w:pPr>
              <w:spacing w:line="240" w:lineRule="auto"/>
              <w:ind w:firstLine="0" w:firstLineChars="0"/>
              <w:jc w:val="center"/>
              <w:rPr>
                <w:rFonts w:cs="Times New Roman"/>
                <w:sz w:val="21"/>
                <w:szCs w:val="21"/>
              </w:rPr>
            </w:pPr>
            <w:r>
              <w:rPr>
                <w:rFonts w:hint="eastAsia" w:cs="Times New Roman"/>
                <w:sz w:val="21"/>
                <w:szCs w:val="21"/>
              </w:rPr>
              <w:t>6.20</w:t>
            </w:r>
          </w:p>
        </w:tc>
      </w:tr>
      <w:tr w14:paraId="65BB8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5" w:type="pct"/>
            <w:vAlign w:val="center"/>
          </w:tcPr>
          <w:p w14:paraId="761466AF">
            <w:pPr>
              <w:spacing w:line="240" w:lineRule="auto"/>
              <w:ind w:firstLine="0" w:firstLineChars="0"/>
              <w:jc w:val="center"/>
              <w:rPr>
                <w:sz w:val="21"/>
              </w:rPr>
            </w:pPr>
            <w:r>
              <w:rPr>
                <w:rFonts w:hint="eastAsia"/>
                <w:sz w:val="21"/>
              </w:rPr>
              <w:t>总磷</w:t>
            </w:r>
          </w:p>
        </w:tc>
        <w:tc>
          <w:tcPr>
            <w:tcW w:w="1587" w:type="pct"/>
            <w:vAlign w:val="center"/>
          </w:tcPr>
          <w:p w14:paraId="07B434D3">
            <w:pPr>
              <w:spacing w:line="240" w:lineRule="auto"/>
              <w:ind w:firstLine="0" w:firstLineChars="0"/>
              <w:jc w:val="center"/>
              <w:rPr>
                <w:sz w:val="21"/>
              </w:rPr>
            </w:pPr>
            <w:r>
              <w:rPr>
                <w:rFonts w:hint="eastAsia"/>
                <w:sz w:val="21"/>
              </w:rPr>
              <w:t>0.171</w:t>
            </w:r>
          </w:p>
        </w:tc>
        <w:tc>
          <w:tcPr>
            <w:tcW w:w="1004" w:type="pct"/>
          </w:tcPr>
          <w:p w14:paraId="275B3B3A">
            <w:pPr>
              <w:spacing w:line="240" w:lineRule="auto"/>
              <w:ind w:firstLine="0" w:firstLineChars="0"/>
              <w:jc w:val="center"/>
              <w:rPr>
                <w:rFonts w:cs="Times New Roman"/>
                <w:sz w:val="21"/>
                <w:szCs w:val="21"/>
              </w:rPr>
            </w:pPr>
            <w:r>
              <w:rPr>
                <w:rFonts w:hint="eastAsia" w:cs="Times New Roman"/>
                <w:sz w:val="21"/>
                <w:szCs w:val="21"/>
              </w:rPr>
              <w:t>928.9</w:t>
            </w:r>
          </w:p>
        </w:tc>
        <w:tc>
          <w:tcPr>
            <w:tcW w:w="1404" w:type="pct"/>
          </w:tcPr>
          <w:p w14:paraId="71FBD8DD">
            <w:pPr>
              <w:spacing w:line="240" w:lineRule="auto"/>
              <w:ind w:firstLine="0" w:firstLineChars="0"/>
              <w:jc w:val="center"/>
              <w:rPr>
                <w:rFonts w:cs="Times New Roman"/>
                <w:sz w:val="21"/>
                <w:szCs w:val="21"/>
              </w:rPr>
            </w:pPr>
            <w:r>
              <w:rPr>
                <w:rFonts w:hint="eastAsia" w:cs="Times New Roman"/>
                <w:sz w:val="21"/>
                <w:szCs w:val="21"/>
              </w:rPr>
              <w:t>0.16</w:t>
            </w:r>
          </w:p>
        </w:tc>
      </w:tr>
    </w:tbl>
    <w:p w14:paraId="66B7601B">
      <w:pPr>
        <w:pStyle w:val="45"/>
        <w:rPr>
          <w:rFonts w:cs="Times New Roman"/>
        </w:rPr>
      </w:pPr>
      <w:r>
        <w:rPr>
          <w:rFonts w:hint="eastAsia" w:cs="Times New Roman"/>
        </w:rPr>
        <w:t>表3.</w:t>
      </w:r>
      <w:r>
        <w:rPr>
          <w:rFonts w:cs="Times New Roman"/>
        </w:rPr>
        <w:t>4</w:t>
      </w:r>
      <w:r>
        <w:rPr>
          <w:rFonts w:hint="eastAsia" w:cs="Times New Roman"/>
        </w:rPr>
        <w:t xml:space="preserve">-27 </w:t>
      </w:r>
      <w:r>
        <w:rPr>
          <w:rFonts w:cs="Times New Roman"/>
        </w:rPr>
        <w:t xml:space="preserve"> </w:t>
      </w:r>
      <w:r>
        <w:rPr>
          <w:rFonts w:hint="eastAsia" w:cs="Times New Roman"/>
        </w:rPr>
        <w:t>度假区农业面源污染物排放量</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2"/>
        <w:gridCol w:w="2620"/>
        <w:gridCol w:w="2477"/>
        <w:gridCol w:w="1683"/>
      </w:tblGrid>
      <w:tr w14:paraId="4D758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22" w:type="pct"/>
            <w:vAlign w:val="center"/>
          </w:tcPr>
          <w:p w14:paraId="23EEDB9B">
            <w:pPr>
              <w:spacing w:line="240" w:lineRule="auto"/>
              <w:ind w:firstLine="0" w:firstLineChars="0"/>
              <w:jc w:val="center"/>
              <w:rPr>
                <w:b/>
                <w:sz w:val="21"/>
              </w:rPr>
            </w:pPr>
            <w:r>
              <w:rPr>
                <w:rFonts w:hint="eastAsia"/>
                <w:b/>
                <w:sz w:val="21"/>
              </w:rPr>
              <w:t>污染物</w:t>
            </w:r>
          </w:p>
        </w:tc>
        <w:tc>
          <w:tcPr>
            <w:tcW w:w="1537" w:type="pct"/>
          </w:tcPr>
          <w:p w14:paraId="1D6B7D16">
            <w:pPr>
              <w:spacing w:line="240" w:lineRule="auto"/>
              <w:ind w:firstLine="0" w:firstLineChars="0"/>
              <w:jc w:val="center"/>
              <w:rPr>
                <w:b/>
                <w:sz w:val="21"/>
              </w:rPr>
            </w:pPr>
            <w:r>
              <w:rPr>
                <w:rFonts w:hint="eastAsia"/>
                <w:b/>
                <w:sz w:val="21"/>
              </w:rPr>
              <w:t>农田污染物排放量</w:t>
            </w:r>
          </w:p>
          <w:p w14:paraId="3FAA7C2D">
            <w:pPr>
              <w:spacing w:line="240" w:lineRule="auto"/>
              <w:ind w:firstLine="0" w:firstLineChars="0"/>
              <w:jc w:val="center"/>
              <w:rPr>
                <w:b/>
                <w:sz w:val="21"/>
              </w:rPr>
            </w:pPr>
            <w:r>
              <w:rPr>
                <w:rFonts w:hint="eastAsia"/>
                <w:b/>
                <w:sz w:val="21"/>
              </w:rPr>
              <w:t>（t/a）</w:t>
            </w:r>
          </w:p>
        </w:tc>
        <w:tc>
          <w:tcPr>
            <w:tcW w:w="1453" w:type="pct"/>
          </w:tcPr>
          <w:p w14:paraId="0A6A9342">
            <w:pPr>
              <w:spacing w:line="240" w:lineRule="auto"/>
              <w:ind w:firstLine="0" w:firstLineChars="0"/>
              <w:jc w:val="center"/>
              <w:rPr>
                <w:b/>
                <w:sz w:val="21"/>
              </w:rPr>
            </w:pPr>
            <w:r>
              <w:rPr>
                <w:rFonts w:hint="eastAsia"/>
                <w:b/>
                <w:sz w:val="21"/>
              </w:rPr>
              <w:t>园地污染物排放量</w:t>
            </w:r>
          </w:p>
          <w:p w14:paraId="359FF457">
            <w:pPr>
              <w:spacing w:line="240" w:lineRule="auto"/>
              <w:ind w:firstLine="0" w:firstLineChars="0"/>
              <w:jc w:val="center"/>
              <w:rPr>
                <w:b/>
                <w:sz w:val="21"/>
              </w:rPr>
            </w:pPr>
            <w:r>
              <w:rPr>
                <w:rFonts w:hint="eastAsia"/>
                <w:b/>
                <w:sz w:val="21"/>
              </w:rPr>
              <w:t>（t/a）</w:t>
            </w:r>
          </w:p>
        </w:tc>
        <w:tc>
          <w:tcPr>
            <w:tcW w:w="987" w:type="pct"/>
            <w:vAlign w:val="center"/>
          </w:tcPr>
          <w:p w14:paraId="546D6B45">
            <w:pPr>
              <w:spacing w:line="240" w:lineRule="auto"/>
              <w:ind w:firstLine="0" w:firstLineChars="0"/>
              <w:jc w:val="center"/>
              <w:rPr>
                <w:b/>
                <w:sz w:val="21"/>
              </w:rPr>
            </w:pPr>
            <w:r>
              <w:rPr>
                <w:rFonts w:hint="eastAsia"/>
                <w:b/>
                <w:sz w:val="21"/>
              </w:rPr>
              <w:t>总排放量</w:t>
            </w:r>
          </w:p>
          <w:p w14:paraId="04B922B7">
            <w:pPr>
              <w:spacing w:line="240" w:lineRule="auto"/>
              <w:ind w:firstLine="0" w:firstLineChars="0"/>
              <w:jc w:val="center"/>
              <w:rPr>
                <w:b/>
                <w:sz w:val="21"/>
              </w:rPr>
            </w:pPr>
            <w:r>
              <w:rPr>
                <w:rFonts w:hint="eastAsia"/>
                <w:b/>
                <w:sz w:val="21"/>
              </w:rPr>
              <w:t>（t/a）</w:t>
            </w:r>
          </w:p>
        </w:tc>
      </w:tr>
      <w:tr w14:paraId="4FB27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2" w:type="pct"/>
            <w:vAlign w:val="center"/>
          </w:tcPr>
          <w:p w14:paraId="31022496">
            <w:pPr>
              <w:spacing w:line="240" w:lineRule="auto"/>
              <w:ind w:firstLine="0" w:firstLineChars="0"/>
              <w:jc w:val="center"/>
              <w:rPr>
                <w:sz w:val="21"/>
              </w:rPr>
            </w:pPr>
            <w:r>
              <w:rPr>
                <w:rFonts w:hint="eastAsia"/>
                <w:sz w:val="21"/>
              </w:rPr>
              <w:t>氨氮</w:t>
            </w:r>
          </w:p>
        </w:tc>
        <w:tc>
          <w:tcPr>
            <w:tcW w:w="2620" w:type="dxa"/>
          </w:tcPr>
          <w:p w14:paraId="3A426E07">
            <w:pPr>
              <w:spacing w:line="240" w:lineRule="auto"/>
              <w:ind w:firstLine="0" w:firstLineChars="0"/>
              <w:jc w:val="center"/>
              <w:rPr>
                <w:sz w:val="21"/>
              </w:rPr>
            </w:pPr>
            <w:r>
              <w:rPr>
                <w:rFonts w:hint="eastAsia" w:cs="Times New Roman"/>
                <w:sz w:val="21"/>
                <w:szCs w:val="21"/>
              </w:rPr>
              <w:t>1.08</w:t>
            </w:r>
          </w:p>
        </w:tc>
        <w:tc>
          <w:tcPr>
            <w:tcW w:w="2477" w:type="dxa"/>
          </w:tcPr>
          <w:p w14:paraId="2183CCB9">
            <w:pPr>
              <w:spacing w:line="240" w:lineRule="auto"/>
              <w:ind w:firstLine="0" w:firstLineChars="0"/>
              <w:jc w:val="center"/>
              <w:rPr>
                <w:sz w:val="21"/>
              </w:rPr>
            </w:pPr>
            <w:r>
              <w:rPr>
                <w:rFonts w:hint="eastAsia" w:cs="Times New Roman"/>
                <w:sz w:val="21"/>
                <w:szCs w:val="21"/>
              </w:rPr>
              <w:t>0.30</w:t>
            </w:r>
          </w:p>
        </w:tc>
        <w:tc>
          <w:tcPr>
            <w:tcW w:w="987" w:type="pct"/>
            <w:vAlign w:val="center"/>
          </w:tcPr>
          <w:p w14:paraId="5851A84D">
            <w:pPr>
              <w:spacing w:line="240" w:lineRule="auto"/>
              <w:ind w:firstLine="0" w:firstLineChars="0"/>
              <w:jc w:val="center"/>
              <w:rPr>
                <w:sz w:val="21"/>
              </w:rPr>
            </w:pPr>
            <w:r>
              <w:rPr>
                <w:rFonts w:hint="eastAsia"/>
                <w:sz w:val="21"/>
              </w:rPr>
              <w:t>1.38</w:t>
            </w:r>
          </w:p>
        </w:tc>
      </w:tr>
      <w:tr w14:paraId="65F75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2" w:type="pct"/>
            <w:vAlign w:val="center"/>
          </w:tcPr>
          <w:p w14:paraId="0D659F24">
            <w:pPr>
              <w:spacing w:line="240" w:lineRule="auto"/>
              <w:ind w:firstLine="0" w:firstLineChars="0"/>
              <w:jc w:val="center"/>
              <w:rPr>
                <w:sz w:val="21"/>
              </w:rPr>
            </w:pPr>
            <w:r>
              <w:rPr>
                <w:rFonts w:hint="eastAsia"/>
                <w:sz w:val="21"/>
              </w:rPr>
              <w:t>总氮</w:t>
            </w:r>
          </w:p>
        </w:tc>
        <w:tc>
          <w:tcPr>
            <w:tcW w:w="2620" w:type="dxa"/>
          </w:tcPr>
          <w:p w14:paraId="0E96D497">
            <w:pPr>
              <w:spacing w:line="240" w:lineRule="auto"/>
              <w:ind w:firstLine="0" w:firstLineChars="0"/>
              <w:jc w:val="center"/>
              <w:rPr>
                <w:sz w:val="21"/>
              </w:rPr>
            </w:pPr>
            <w:r>
              <w:rPr>
                <w:rFonts w:hint="eastAsia" w:cs="Times New Roman"/>
                <w:sz w:val="21"/>
                <w:szCs w:val="21"/>
              </w:rPr>
              <w:t>7.52</w:t>
            </w:r>
          </w:p>
        </w:tc>
        <w:tc>
          <w:tcPr>
            <w:tcW w:w="2477" w:type="dxa"/>
          </w:tcPr>
          <w:p w14:paraId="4B665449">
            <w:pPr>
              <w:spacing w:line="240" w:lineRule="auto"/>
              <w:ind w:firstLine="0" w:firstLineChars="0"/>
              <w:jc w:val="center"/>
              <w:rPr>
                <w:sz w:val="21"/>
              </w:rPr>
            </w:pPr>
            <w:r>
              <w:rPr>
                <w:rFonts w:hint="eastAsia" w:cs="Times New Roman"/>
                <w:sz w:val="21"/>
                <w:szCs w:val="21"/>
              </w:rPr>
              <w:t>6.20</w:t>
            </w:r>
          </w:p>
        </w:tc>
        <w:tc>
          <w:tcPr>
            <w:tcW w:w="987" w:type="pct"/>
            <w:vAlign w:val="center"/>
          </w:tcPr>
          <w:p w14:paraId="2FBC4D89">
            <w:pPr>
              <w:spacing w:line="240" w:lineRule="auto"/>
              <w:ind w:firstLine="0" w:firstLineChars="0"/>
              <w:jc w:val="center"/>
              <w:rPr>
                <w:sz w:val="21"/>
              </w:rPr>
            </w:pPr>
            <w:r>
              <w:rPr>
                <w:rFonts w:hint="eastAsia"/>
                <w:sz w:val="21"/>
              </w:rPr>
              <w:t>13.72</w:t>
            </w:r>
          </w:p>
        </w:tc>
      </w:tr>
      <w:tr w14:paraId="10C92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2" w:type="pct"/>
            <w:vAlign w:val="center"/>
          </w:tcPr>
          <w:p w14:paraId="5C25724F">
            <w:pPr>
              <w:spacing w:line="240" w:lineRule="auto"/>
              <w:ind w:firstLine="0" w:firstLineChars="0"/>
              <w:jc w:val="center"/>
              <w:rPr>
                <w:sz w:val="21"/>
              </w:rPr>
            </w:pPr>
            <w:r>
              <w:rPr>
                <w:rFonts w:hint="eastAsia"/>
                <w:sz w:val="21"/>
              </w:rPr>
              <w:t>总磷</w:t>
            </w:r>
          </w:p>
        </w:tc>
        <w:tc>
          <w:tcPr>
            <w:tcW w:w="2620" w:type="dxa"/>
          </w:tcPr>
          <w:p w14:paraId="239F312B">
            <w:pPr>
              <w:spacing w:line="240" w:lineRule="auto"/>
              <w:ind w:firstLine="0" w:firstLineChars="0"/>
              <w:jc w:val="center"/>
              <w:rPr>
                <w:sz w:val="21"/>
              </w:rPr>
            </w:pPr>
            <w:r>
              <w:rPr>
                <w:rFonts w:hint="eastAsia" w:cs="Times New Roman"/>
                <w:sz w:val="21"/>
                <w:szCs w:val="21"/>
              </w:rPr>
              <w:t>0.81</w:t>
            </w:r>
          </w:p>
        </w:tc>
        <w:tc>
          <w:tcPr>
            <w:tcW w:w="2477" w:type="dxa"/>
          </w:tcPr>
          <w:p w14:paraId="2D2E0AC0">
            <w:pPr>
              <w:spacing w:line="240" w:lineRule="auto"/>
              <w:ind w:firstLine="0" w:firstLineChars="0"/>
              <w:jc w:val="center"/>
              <w:rPr>
                <w:sz w:val="21"/>
              </w:rPr>
            </w:pPr>
            <w:r>
              <w:rPr>
                <w:rFonts w:hint="eastAsia" w:cs="Times New Roman"/>
                <w:sz w:val="21"/>
                <w:szCs w:val="21"/>
              </w:rPr>
              <w:t>0.16</w:t>
            </w:r>
          </w:p>
        </w:tc>
        <w:tc>
          <w:tcPr>
            <w:tcW w:w="987" w:type="pct"/>
            <w:vAlign w:val="center"/>
          </w:tcPr>
          <w:p w14:paraId="5A5F3034">
            <w:pPr>
              <w:spacing w:line="240" w:lineRule="auto"/>
              <w:ind w:firstLine="0" w:firstLineChars="0"/>
              <w:jc w:val="center"/>
              <w:rPr>
                <w:sz w:val="21"/>
              </w:rPr>
            </w:pPr>
            <w:r>
              <w:rPr>
                <w:rFonts w:hint="eastAsia"/>
                <w:sz w:val="21"/>
              </w:rPr>
              <w:t>0.97</w:t>
            </w:r>
          </w:p>
        </w:tc>
      </w:tr>
    </w:tbl>
    <w:p w14:paraId="10E490CD">
      <w:pPr>
        <w:ind w:firstLine="482"/>
        <w:rPr>
          <w:rFonts w:cs="Times New Roman"/>
        </w:rPr>
      </w:pPr>
      <w:r>
        <w:rPr>
          <w:rFonts w:hint="eastAsia"/>
          <w:b/>
        </w:rPr>
        <w:t>②畜禽养殖污染排放</w:t>
      </w:r>
    </w:p>
    <w:p w14:paraId="2B93CC82">
      <w:pPr>
        <w:ind w:firstLine="480"/>
        <w:rPr>
          <w:rFonts w:cs="Times New Roman"/>
        </w:rPr>
        <w:sectPr>
          <w:pgSz w:w="11906" w:h="16838"/>
          <w:pgMar w:top="1440" w:right="1800" w:bottom="1440" w:left="1800" w:header="851" w:footer="992" w:gutter="0"/>
          <w:cols w:space="425" w:num="1"/>
          <w:docGrid w:type="lines" w:linePitch="312" w:charSpace="0"/>
        </w:sectPr>
      </w:pPr>
      <w:r>
        <w:rPr>
          <w:rFonts w:hint="eastAsia" w:cs="Times New Roman"/>
        </w:rPr>
        <w:t>度假区内现状共有27家畜禽养殖场/户，养殖产品包括生猪、肉鸡、蛋鸡，2024年出栏量约1013994头/羽，存栏量约533617头/羽。经调查统计，度假区畜禽养殖污染防治水平相对较好，规模养殖场处理设施装备配套率达到100%，区域内27家畜禽养殖场/户清粪方式采用干清粪工艺为7家，采用垫料工艺20家。畜禽养殖粪污处置方式均为还田利用，根据养殖规模的不同，大型养殖场主要通过建设一定容量的粪水贮存池，对养殖粪水集中发酵处理后作为有机肥料用于还田还地进行种植施肥使用；规模较小的养殖户主要通过</w:t>
      </w:r>
      <w:r>
        <w:rPr>
          <w:rFonts w:cs="Times New Roman"/>
        </w:rPr>
        <w:t>实行种养结合、粪肥还田，</w:t>
      </w:r>
      <w:r>
        <w:rPr>
          <w:rFonts w:hint="eastAsia" w:cs="Times New Roman"/>
        </w:rPr>
        <w:t>利用</w:t>
      </w:r>
      <w:r>
        <w:rPr>
          <w:rFonts w:cs="Times New Roman"/>
        </w:rPr>
        <w:t>畜禽养殖场自有土地种植面积消纳养殖粪污，进行还田利用</w:t>
      </w:r>
      <w:r>
        <w:rPr>
          <w:rFonts w:hint="eastAsia" w:cs="Times New Roman"/>
        </w:rPr>
        <w:t>。度假区范围内现状畜禽养殖场/户情况见表3.4-26，畜禽养殖场/户位置见附图35。</w:t>
      </w:r>
    </w:p>
    <w:p w14:paraId="60196E5E">
      <w:pPr>
        <w:pStyle w:val="45"/>
        <w:keepNext/>
        <w:rPr>
          <w:rFonts w:cs="Times New Roman"/>
        </w:rPr>
      </w:pPr>
      <w:r>
        <w:rPr>
          <w:rFonts w:hint="eastAsia" w:cs="Times New Roman"/>
        </w:rPr>
        <w:t>表3.</w:t>
      </w:r>
      <w:r>
        <w:rPr>
          <w:rFonts w:cs="Times New Roman"/>
        </w:rPr>
        <w:t>4</w:t>
      </w:r>
      <w:r>
        <w:rPr>
          <w:rFonts w:hint="eastAsia" w:cs="Times New Roman"/>
        </w:rPr>
        <w:t xml:space="preserve">-28 </w:t>
      </w:r>
      <w:r>
        <w:rPr>
          <w:rFonts w:cs="Times New Roman"/>
        </w:rPr>
        <w:t xml:space="preserve"> </w:t>
      </w:r>
      <w:r>
        <w:rPr>
          <w:rFonts w:hint="eastAsia" w:cs="Times New Roman"/>
        </w:rPr>
        <w:t>度假区现状畜禽养殖场/户情况统计表</w:t>
      </w:r>
    </w:p>
    <w:tbl>
      <w:tblPr>
        <w:tblStyle w:val="25"/>
        <w:tblW w:w="4996" w:type="pct"/>
        <w:tblInd w:w="0" w:type="dxa"/>
        <w:shd w:val="clear" w:color="auto" w:fill="FFFFFF" w:themeFill="background1"/>
        <w:tblLayout w:type="fixed"/>
        <w:tblCellMar>
          <w:top w:w="0" w:type="dxa"/>
          <w:left w:w="108" w:type="dxa"/>
          <w:bottom w:w="0" w:type="dxa"/>
          <w:right w:w="108" w:type="dxa"/>
        </w:tblCellMar>
      </w:tblPr>
      <w:tblGrid>
        <w:gridCol w:w="565"/>
        <w:gridCol w:w="1284"/>
        <w:gridCol w:w="1337"/>
        <w:gridCol w:w="2838"/>
        <w:gridCol w:w="978"/>
        <w:gridCol w:w="1788"/>
        <w:gridCol w:w="2141"/>
        <w:gridCol w:w="1144"/>
        <w:gridCol w:w="1037"/>
        <w:gridCol w:w="1051"/>
      </w:tblGrid>
      <w:tr w14:paraId="7D611550">
        <w:tblPrEx>
          <w:shd w:val="clear" w:color="auto" w:fill="FFFFFF" w:themeFill="background1"/>
          <w:tblCellMar>
            <w:top w:w="0" w:type="dxa"/>
            <w:left w:w="108" w:type="dxa"/>
            <w:bottom w:w="0" w:type="dxa"/>
            <w:right w:w="108" w:type="dxa"/>
          </w:tblCellMar>
        </w:tblPrEx>
        <w:trPr>
          <w:trHeight w:val="1350" w:hRule="atLeast"/>
          <w:tblHeader/>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AABEF81">
            <w:pPr>
              <w:widowControl/>
              <w:spacing w:line="240" w:lineRule="auto"/>
              <w:ind w:firstLine="0" w:firstLineChars="0"/>
              <w:jc w:val="center"/>
              <w:textAlignment w:val="center"/>
              <w:rPr>
                <w:rFonts w:cs="Times New Roman"/>
                <w:b/>
                <w:bCs/>
                <w:sz w:val="21"/>
                <w:szCs w:val="21"/>
              </w:rPr>
            </w:pPr>
            <w:r>
              <w:rPr>
                <w:rFonts w:cs="Times New Roman"/>
                <w:b/>
                <w:bCs/>
                <w:kern w:val="0"/>
                <w:sz w:val="21"/>
                <w:szCs w:val="21"/>
                <w:lang w:bidi="ar"/>
              </w:rPr>
              <w:t>序号</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10FFC28">
            <w:pPr>
              <w:widowControl/>
              <w:spacing w:line="240" w:lineRule="auto"/>
              <w:ind w:firstLine="0" w:firstLineChars="0"/>
              <w:jc w:val="center"/>
              <w:textAlignment w:val="center"/>
              <w:rPr>
                <w:rFonts w:cs="Times New Roman"/>
                <w:b/>
                <w:bCs/>
                <w:sz w:val="21"/>
                <w:szCs w:val="21"/>
              </w:rPr>
            </w:pPr>
            <w:r>
              <w:rPr>
                <w:rFonts w:cs="Times New Roman"/>
                <w:b/>
                <w:bCs/>
                <w:kern w:val="0"/>
                <w:sz w:val="21"/>
                <w:szCs w:val="21"/>
                <w:lang w:bidi="ar"/>
              </w:rPr>
              <w:t>经度</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D4971A3">
            <w:pPr>
              <w:widowControl/>
              <w:spacing w:line="240" w:lineRule="auto"/>
              <w:ind w:firstLine="0" w:firstLineChars="0"/>
              <w:jc w:val="center"/>
              <w:textAlignment w:val="center"/>
              <w:rPr>
                <w:rFonts w:cs="Times New Roman"/>
                <w:b/>
                <w:bCs/>
                <w:sz w:val="21"/>
                <w:szCs w:val="21"/>
              </w:rPr>
            </w:pPr>
            <w:r>
              <w:rPr>
                <w:rFonts w:cs="Times New Roman"/>
                <w:b/>
                <w:bCs/>
                <w:kern w:val="0"/>
                <w:sz w:val="21"/>
                <w:szCs w:val="21"/>
                <w:lang w:bidi="ar"/>
              </w:rPr>
              <w:t>纬度</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5992B4B">
            <w:pPr>
              <w:widowControl/>
              <w:spacing w:line="240" w:lineRule="auto"/>
              <w:ind w:firstLine="0" w:firstLineChars="0"/>
              <w:jc w:val="center"/>
              <w:textAlignment w:val="center"/>
              <w:rPr>
                <w:rFonts w:cs="Times New Roman"/>
                <w:b/>
                <w:bCs/>
                <w:sz w:val="21"/>
                <w:szCs w:val="21"/>
              </w:rPr>
            </w:pPr>
            <w:r>
              <w:rPr>
                <w:rFonts w:cs="Times New Roman"/>
                <w:b/>
                <w:bCs/>
                <w:kern w:val="0"/>
                <w:sz w:val="21"/>
                <w:szCs w:val="21"/>
                <w:lang w:bidi="ar"/>
              </w:rPr>
              <w:t>养殖场名称</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01EB51E">
            <w:pPr>
              <w:widowControl/>
              <w:spacing w:line="240" w:lineRule="auto"/>
              <w:ind w:firstLine="0" w:firstLineChars="0"/>
              <w:jc w:val="center"/>
              <w:textAlignment w:val="center"/>
              <w:rPr>
                <w:rFonts w:cs="Times New Roman"/>
                <w:b/>
                <w:bCs/>
                <w:sz w:val="21"/>
                <w:szCs w:val="21"/>
              </w:rPr>
            </w:pPr>
            <w:r>
              <w:rPr>
                <w:rFonts w:cs="Times New Roman"/>
                <w:b/>
                <w:bCs/>
                <w:kern w:val="0"/>
                <w:sz w:val="21"/>
                <w:szCs w:val="21"/>
                <w:lang w:bidi="ar"/>
              </w:rPr>
              <w:t>粪污治理模式</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516DD59">
            <w:pPr>
              <w:widowControl/>
              <w:spacing w:line="240" w:lineRule="auto"/>
              <w:ind w:firstLine="0" w:firstLineChars="0"/>
              <w:jc w:val="center"/>
              <w:textAlignment w:val="center"/>
              <w:rPr>
                <w:rFonts w:cs="Times New Roman"/>
                <w:b/>
                <w:bCs/>
                <w:sz w:val="21"/>
                <w:szCs w:val="21"/>
              </w:rPr>
            </w:pPr>
            <w:r>
              <w:rPr>
                <w:rFonts w:cs="Times New Roman"/>
                <w:b/>
                <w:bCs/>
                <w:kern w:val="0"/>
                <w:sz w:val="21"/>
                <w:szCs w:val="21"/>
                <w:lang w:bidi="ar"/>
              </w:rPr>
              <w:t>粪污处理利用情况</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9366192">
            <w:pPr>
              <w:widowControl/>
              <w:spacing w:line="240" w:lineRule="auto"/>
              <w:ind w:firstLine="0" w:firstLineChars="0"/>
              <w:jc w:val="center"/>
              <w:textAlignment w:val="center"/>
              <w:rPr>
                <w:rFonts w:cs="Times New Roman"/>
                <w:b/>
                <w:bCs/>
                <w:sz w:val="21"/>
                <w:szCs w:val="21"/>
              </w:rPr>
            </w:pPr>
            <w:r>
              <w:rPr>
                <w:rFonts w:hint="eastAsia" w:cs="Times New Roman"/>
                <w:b/>
                <w:bCs/>
                <w:kern w:val="0"/>
                <w:sz w:val="21"/>
                <w:szCs w:val="21"/>
                <w:lang w:bidi="ar"/>
              </w:rPr>
              <w:t>具体位置</w:t>
            </w:r>
            <w:r>
              <w:rPr>
                <w:rFonts w:cs="Times New Roman"/>
                <w:b/>
                <w:bCs/>
                <w:kern w:val="0"/>
                <w:sz w:val="21"/>
                <w:szCs w:val="21"/>
                <w:lang w:bidi="ar"/>
              </w:rPr>
              <w:t>地点</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649F5C8">
            <w:pPr>
              <w:widowControl/>
              <w:spacing w:line="240" w:lineRule="auto"/>
              <w:ind w:firstLine="0" w:firstLineChars="0"/>
              <w:jc w:val="center"/>
              <w:textAlignment w:val="center"/>
              <w:rPr>
                <w:rFonts w:cs="Times New Roman"/>
                <w:b/>
                <w:bCs/>
                <w:sz w:val="21"/>
                <w:szCs w:val="21"/>
              </w:rPr>
            </w:pPr>
            <w:r>
              <w:rPr>
                <w:rFonts w:cs="Times New Roman"/>
                <w:b/>
                <w:bCs/>
                <w:kern w:val="0"/>
                <w:sz w:val="21"/>
                <w:szCs w:val="21"/>
                <w:lang w:bidi="ar"/>
              </w:rPr>
              <w:t>养殖类型</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E66C809">
            <w:pPr>
              <w:widowControl/>
              <w:spacing w:line="240" w:lineRule="auto"/>
              <w:ind w:firstLine="0" w:firstLineChars="0"/>
              <w:jc w:val="center"/>
              <w:textAlignment w:val="center"/>
              <w:rPr>
                <w:rFonts w:cs="Times New Roman"/>
                <w:b/>
                <w:bCs/>
                <w:sz w:val="21"/>
                <w:szCs w:val="21"/>
              </w:rPr>
            </w:pPr>
            <w:r>
              <w:rPr>
                <w:rFonts w:cs="Times New Roman"/>
                <w:b/>
                <w:bCs/>
                <w:kern w:val="0"/>
                <w:sz w:val="21"/>
                <w:szCs w:val="21"/>
                <w:lang w:bidi="ar"/>
              </w:rPr>
              <w:t>2024年出栏</w:t>
            </w:r>
            <w:r>
              <w:rPr>
                <w:rFonts w:hint="eastAsia" w:cs="Times New Roman"/>
                <w:b/>
                <w:bCs/>
                <w:kern w:val="0"/>
                <w:sz w:val="21"/>
                <w:szCs w:val="21"/>
                <w:lang w:bidi="ar"/>
              </w:rPr>
              <w:t>量</w:t>
            </w:r>
          </w:p>
        </w:tc>
        <w:tc>
          <w:tcPr>
            <w:tcW w:w="371" w:type="pct"/>
            <w:tcBorders>
              <w:top w:val="single" w:color="000000" w:sz="4" w:space="0"/>
              <w:left w:val="nil"/>
              <w:bottom w:val="single" w:color="000000" w:sz="4" w:space="0"/>
              <w:right w:val="single" w:color="000000" w:sz="4" w:space="0"/>
            </w:tcBorders>
            <w:shd w:val="clear" w:color="auto" w:fill="FFFFFF" w:themeFill="background1"/>
            <w:noWrap/>
            <w:vAlign w:val="center"/>
          </w:tcPr>
          <w:p w14:paraId="6814B498">
            <w:pPr>
              <w:widowControl/>
              <w:spacing w:line="240" w:lineRule="auto"/>
              <w:ind w:firstLine="0" w:firstLineChars="0"/>
              <w:jc w:val="center"/>
              <w:textAlignment w:val="center"/>
              <w:rPr>
                <w:rFonts w:cs="Times New Roman"/>
                <w:b/>
                <w:bCs/>
                <w:sz w:val="21"/>
                <w:szCs w:val="21"/>
              </w:rPr>
            </w:pPr>
            <w:r>
              <w:rPr>
                <w:rFonts w:cs="Times New Roman"/>
                <w:b/>
                <w:bCs/>
                <w:kern w:val="0"/>
                <w:sz w:val="21"/>
                <w:szCs w:val="21"/>
                <w:lang w:bidi="ar"/>
              </w:rPr>
              <w:t>2024年存栏</w:t>
            </w:r>
            <w:r>
              <w:rPr>
                <w:rFonts w:hint="eastAsia" w:cs="Times New Roman"/>
                <w:b/>
                <w:bCs/>
                <w:kern w:val="0"/>
                <w:sz w:val="21"/>
                <w:szCs w:val="21"/>
                <w:lang w:bidi="ar"/>
              </w:rPr>
              <w:t>量</w:t>
            </w:r>
          </w:p>
        </w:tc>
      </w:tr>
      <w:tr w14:paraId="200F7995">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07BA61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29E5AFF">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119.369069</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015E8C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31.687639</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38F720F">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江苏和佑瑞安农业发展有限公司常州金坛分公司</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1176E8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干清粪</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AF84362">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13DB042">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薛埠镇方麓村唐庄</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69FD3E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生猪</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C903AF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1837</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433534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1837</w:t>
            </w:r>
          </w:p>
        </w:tc>
      </w:tr>
      <w:tr w14:paraId="45E9C471">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CB7FCF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970F75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119.344649</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DCD630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31.827158</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B5CD3A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常州茅山牧业有限公司</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3301B1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干清粪</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78BF30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EF7642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薛埠镇仙姑村阳山</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3CA1BB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生猪</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B96E6E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471</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724B2B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912</w:t>
            </w:r>
          </w:p>
        </w:tc>
      </w:tr>
      <w:tr w14:paraId="10348664">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421FD5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700C7B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119.349083</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3FAEB3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31.840583</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C1F2D4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华粉红鸡场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3188D0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FE8158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58E7B7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薛埠镇仙姑村巨塘村</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62255A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E3C929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20000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4D0FAD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7500</w:t>
            </w:r>
          </w:p>
        </w:tc>
      </w:tr>
      <w:tr w14:paraId="6D08CA6B">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A14744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4</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DBDD2B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119.344669</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64960D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31.681956</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813FD7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付德庆鸡场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1EF289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EF47CA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45EBFB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薛埠镇方麓村百十里</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1ED2D3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2ED56A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61150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6210D5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27180</w:t>
            </w:r>
          </w:p>
        </w:tc>
      </w:tr>
      <w:tr w14:paraId="6E764D5E">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54A5D9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5</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0F520E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119.342424</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6FD115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31.681498</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58F305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陈锁洪鸡场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13F3FF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286D5C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9C5144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薛埠镇方麓村百十里</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8A7DCD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ACFA69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38400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B36556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9350</w:t>
            </w:r>
          </w:p>
        </w:tc>
      </w:tr>
      <w:tr w14:paraId="4DE3A357">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B82F4F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6</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9FCEEF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119.356777</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76852E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31.688491</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840FB0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张国俊鸡场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FEAFB4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4B7CF5B">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A9A9ED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薛埠镇方麓村百十里</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8CB79B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109276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69930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738ECD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36740</w:t>
            </w:r>
          </w:p>
        </w:tc>
      </w:tr>
      <w:tr w14:paraId="28E114FC">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0FE1E4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7</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FDBF27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119.355277</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3F292C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31.687583</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BF6CA2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张国兵鸡场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5B6AB9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BE17CC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47C8542">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薛埠镇方麓村百十里</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810F9D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E4D5DC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62990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914AA9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33290</w:t>
            </w:r>
          </w:p>
        </w:tc>
      </w:tr>
      <w:tr w14:paraId="4E702A70">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DEECEF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8</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D86447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119.355601</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2FCD98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31.687936</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930E8A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陈桂同鸡场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45A30C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30D06A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5C5D4EB">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薛埠镇方麓村百十里</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1860C72">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E98506B">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94120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452255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30120</w:t>
            </w:r>
          </w:p>
        </w:tc>
      </w:tr>
      <w:tr w14:paraId="4EB09005">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018F9BB">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9</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9315C1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119.356454</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5A7B4E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31.688259</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DD4D39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张喜怀鸡场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8C7475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008A083">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602752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薛埠镇方麓村百十里</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754BEB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9256E1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85800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BFE1D23">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34600</w:t>
            </w:r>
          </w:p>
        </w:tc>
      </w:tr>
      <w:tr w14:paraId="7DB4A31C">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691F48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10</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85E70F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119.354825</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A2003E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31.687571</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943794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胡盼盼鸡场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C90A55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4248AF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8F4300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薛埠镇方麓村太平庙</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AE4223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D005F8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94700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25CD06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31280</w:t>
            </w:r>
          </w:p>
        </w:tc>
      </w:tr>
      <w:tr w14:paraId="65903C9C">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5E26E3F">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AAC312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119.358919</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AE60C2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31.686455</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66CA7A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韩永昌鸡场</w:t>
            </w:r>
            <w:r>
              <w:rPr>
                <w:rFonts w:hint="eastAsia" w:cs="Times New Roman"/>
                <w:kern w:val="0"/>
                <w:sz w:val="21"/>
                <w:szCs w:val="21"/>
                <w:lang w:bidi="ar"/>
              </w:rPr>
              <w:t>（</w:t>
            </w:r>
            <w:r>
              <w:rPr>
                <w:rFonts w:cs="Times New Roman"/>
                <w:kern w:val="0"/>
                <w:sz w:val="21"/>
                <w:szCs w:val="21"/>
                <w:lang w:bidi="ar"/>
              </w:rPr>
              <w:t>欧学平</w:t>
            </w:r>
            <w:r>
              <w:rPr>
                <w:rFonts w:hint="eastAsia" w:cs="Times New Roman"/>
                <w:kern w:val="0"/>
                <w:sz w:val="21"/>
                <w:szCs w:val="21"/>
                <w:lang w:bidi="ar"/>
              </w:rPr>
              <w:t>）</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168A50F">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690FFC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3B21CA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薛埠镇方麓村太平庄</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3025A4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C4E62A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51800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62BB37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23800</w:t>
            </w:r>
          </w:p>
        </w:tc>
      </w:tr>
      <w:tr w14:paraId="799F0670">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97213D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12</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8704A3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119.358267</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6DD014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31.689068</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786784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屠可红鸡场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CC0145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FD8B5A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7BCB68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薛埠镇方麓村太平庄</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DB35F7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5622CF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79900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2643702">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28700</w:t>
            </w:r>
          </w:p>
        </w:tc>
      </w:tr>
      <w:tr w14:paraId="3C61E375">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4C6F82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13</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02B384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119.347861</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51BC20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31.683148</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4EF818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屠可军鸡场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347E81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8A0677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CAF2723">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薛埠镇方麓村百十里</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67D45C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EEBAC6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55270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240D61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27190</w:t>
            </w:r>
          </w:p>
        </w:tc>
      </w:tr>
      <w:tr w14:paraId="6F19E795">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25FD4D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14</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1755E6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119.347555</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EB3598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31.690625</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17E6E2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张卫鸡场</w:t>
            </w:r>
            <w:r>
              <w:rPr>
                <w:rFonts w:hint="eastAsia" w:cs="Times New Roman"/>
                <w:kern w:val="0"/>
                <w:sz w:val="21"/>
                <w:szCs w:val="21"/>
                <w:lang w:bidi="ar"/>
              </w:rPr>
              <w:t>（</w:t>
            </w:r>
            <w:r>
              <w:rPr>
                <w:rFonts w:cs="Times New Roman"/>
                <w:kern w:val="0"/>
                <w:sz w:val="21"/>
                <w:szCs w:val="21"/>
                <w:lang w:bidi="ar"/>
              </w:rPr>
              <w:t>周汉军</w:t>
            </w:r>
            <w:r>
              <w:rPr>
                <w:rFonts w:hint="eastAsia" w:cs="Times New Roman"/>
                <w:kern w:val="0"/>
                <w:sz w:val="21"/>
                <w:szCs w:val="21"/>
                <w:lang w:bidi="ar"/>
              </w:rPr>
              <w:t>）</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A54B8E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F46593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8DA36C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薛埠镇方麓村八里庙</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673496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FD4C71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33580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0E6BE2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16700</w:t>
            </w:r>
          </w:p>
        </w:tc>
      </w:tr>
      <w:tr w14:paraId="1631B295">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FD6444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15</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A06291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119.351725</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963344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31.839746</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DD8F78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李同胜鸡场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79D0CA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EFB19E3">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21D14A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薛埠镇仙姑村巨塘村</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0ADEF7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BC83C7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10500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BC4565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10500</w:t>
            </w:r>
          </w:p>
        </w:tc>
      </w:tr>
      <w:tr w14:paraId="2AF7351E">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B9CC99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16</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8EE2F9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119.359147</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4A4CB9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31.844753</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1230C83">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张连方鸡场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8A3E15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207D79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1E581F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薛埠镇西阳村建设连</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CB77B42">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60051F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28980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5564DE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15000</w:t>
            </w:r>
          </w:p>
        </w:tc>
      </w:tr>
      <w:tr w14:paraId="0D848CD9">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8BD7B1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17</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8280E3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119.367619</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3B69DF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31.756639</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FD7C15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江苏广大畜禽有限公司5厂</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321C71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干清粪</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1DF303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A4A9C8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薛埠镇上阳村黄庄</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B63D75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049C8FA">
            <w:pPr>
              <w:widowControl/>
              <w:spacing w:line="240" w:lineRule="auto"/>
              <w:ind w:firstLine="0" w:firstLineChars="0"/>
              <w:jc w:val="center"/>
              <w:textAlignment w:val="center"/>
              <w:rPr>
                <w:rFonts w:cs="Times New Roman"/>
                <w:sz w:val="21"/>
                <w:szCs w:val="21"/>
              </w:rPr>
            </w:pPr>
            <w:r>
              <w:rPr>
                <w:rFonts w:hint="eastAsia" w:cs="Times New Roman"/>
                <w:kern w:val="0"/>
                <w:sz w:val="21"/>
                <w:szCs w:val="21"/>
                <w:lang w:bidi="ar"/>
              </w:rPr>
              <w:t>15000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9AFEF85">
            <w:pPr>
              <w:widowControl/>
              <w:spacing w:line="240" w:lineRule="auto"/>
              <w:ind w:firstLine="0" w:firstLineChars="0"/>
              <w:jc w:val="center"/>
              <w:textAlignment w:val="center"/>
              <w:rPr>
                <w:rFonts w:cs="Times New Roman"/>
                <w:sz w:val="21"/>
                <w:szCs w:val="21"/>
              </w:rPr>
            </w:pPr>
            <w:r>
              <w:rPr>
                <w:rFonts w:hint="eastAsia" w:cs="Times New Roman"/>
                <w:kern w:val="0"/>
                <w:sz w:val="21"/>
                <w:szCs w:val="21"/>
                <w:lang w:bidi="ar"/>
              </w:rPr>
              <w:t>15000</w:t>
            </w:r>
          </w:p>
        </w:tc>
      </w:tr>
      <w:tr w14:paraId="09FA2C68">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11C17E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18</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DCDE62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119.355169</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F03ACA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31.657123</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B0362E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陶金鸡场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BF50DE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32351A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D003B5F">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薛埠镇上阮村中瓦沟</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CF2A53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3B8486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22150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FBE7E2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22150</w:t>
            </w:r>
          </w:p>
        </w:tc>
      </w:tr>
      <w:tr w14:paraId="09C60A7C">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D8658E3">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19</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60CE4C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119.376111</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7B1070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31.640528</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D683B0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江苏广大畜禽有限公司9厂</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2ACD242">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干清粪</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B0B049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0BC142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薛埠镇上阮村苗圃</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A5E33BF">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AF411E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30300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05FE44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44000</w:t>
            </w:r>
          </w:p>
        </w:tc>
      </w:tr>
      <w:tr w14:paraId="3DD79464">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D8CE67B">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20</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172AF5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119.375029</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7BD47F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31.638483</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37F955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常州后稷农业发展有限公司</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091220B">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干清粪</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AD3C80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9AC9732">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薛埠镇上阮村下阮村</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D3121EB">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生猪</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0EF1C8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712</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026069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250</w:t>
            </w:r>
          </w:p>
        </w:tc>
      </w:tr>
      <w:tr w14:paraId="283DB901">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2648963">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21</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5F75243">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119.342767</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C1BB02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31.838969</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D40A90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欧伙庚鸡场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4A1062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干清粪</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075B7D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F1AC3B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薛埠镇仙姑村巨塘</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0D3330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蛋鸡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15A3EF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E2E108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16000</w:t>
            </w:r>
          </w:p>
        </w:tc>
      </w:tr>
      <w:tr w14:paraId="2E576F13">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2EF35A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22</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DEA1CC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119.349749</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95F320B">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31.843956</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40FC6D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徐建忠鸡场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C4BB65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F9FF79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6E9FB4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薛埠镇西阳村西塔山</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958A43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8A07CE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34800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FE4F9FF">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11900</w:t>
            </w:r>
          </w:p>
        </w:tc>
      </w:tr>
      <w:tr w14:paraId="4EFAA112">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B4CF1A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23</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1DFBE5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119.403601</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F967A81">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31.640363</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AE691B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屠恩田鸡场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A70E4C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805BB8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EF8E37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薛埠镇山蓬村山蓬村</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D3B44D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5CDBD3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42000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0E07BCF">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25000</w:t>
            </w:r>
          </w:p>
        </w:tc>
      </w:tr>
      <w:tr w14:paraId="70A31E76">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002067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24</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8BE84F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119.340638</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FFF654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31.682736</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3DE0873">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苑纪彬鸡场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7F6F6B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863F3F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D9345F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薛埠镇方麓村百十里</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5F0CD0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1F688B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48000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9E8BCE2">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29800</w:t>
            </w:r>
          </w:p>
        </w:tc>
      </w:tr>
      <w:tr w14:paraId="242F1022">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CD4988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25</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2EBDF56">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119.349334</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DE3C8D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31.684153</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69D082B">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杨洪孝鸡场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14F43A5">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8E2EB9B">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4756AE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薛埠镇方麓村百十里</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79318B4">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12783BD">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21480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3F5B50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11000</w:t>
            </w:r>
          </w:p>
        </w:tc>
      </w:tr>
      <w:tr w14:paraId="59BD3480">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C8AB77A">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26</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0AD95F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119.369889</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E5F0BF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31.838194</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F5B818F">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李霞鸡场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48641F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垫料</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D9C58BF">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20578F3">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薛埠镇西阳村周达村</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6FDA26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肉鸡</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B4CE027">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25000</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F401D9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8000</w:t>
            </w:r>
          </w:p>
        </w:tc>
      </w:tr>
      <w:tr w14:paraId="0182F9BC">
        <w:tblPrEx>
          <w:tblCellMar>
            <w:top w:w="0" w:type="dxa"/>
            <w:left w:w="108" w:type="dxa"/>
            <w:bottom w:w="0" w:type="dxa"/>
            <w:right w:w="108" w:type="dxa"/>
          </w:tblCellMar>
        </w:tblPrEx>
        <w:trPr>
          <w:trHeight w:val="480" w:hRule="atLeast"/>
        </w:trPr>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A94075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27</w:t>
            </w:r>
          </w:p>
        </w:tc>
        <w:tc>
          <w:tcPr>
            <w:tcW w:w="45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BE968B9">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119.364333</w:t>
            </w:r>
          </w:p>
        </w:tc>
        <w:tc>
          <w:tcPr>
            <w:tcW w:w="47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46340D2">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31.783439</w:t>
            </w:r>
          </w:p>
        </w:tc>
        <w:tc>
          <w:tcPr>
            <w:tcW w:w="100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EBA9A4B">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常州市金坛区高新养殖场</w:t>
            </w:r>
          </w:p>
        </w:tc>
        <w:tc>
          <w:tcPr>
            <w:tcW w:w="345"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7BE1F90">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干清粪</w:t>
            </w:r>
          </w:p>
        </w:tc>
        <w:tc>
          <w:tcPr>
            <w:tcW w:w="6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3CDBBDF">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处理后还田利用</w:t>
            </w:r>
          </w:p>
        </w:tc>
        <w:tc>
          <w:tcPr>
            <w:tcW w:w="75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6AD0458">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薛埠镇神亭村大树下</w:t>
            </w:r>
          </w:p>
        </w:tc>
        <w:tc>
          <w:tcPr>
            <w:tcW w:w="40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68C95D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生猪</w:t>
            </w:r>
          </w:p>
        </w:tc>
        <w:tc>
          <w:tcPr>
            <w:tcW w:w="36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A5DF65C">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124</w:t>
            </w:r>
          </w:p>
        </w:tc>
        <w:tc>
          <w:tcPr>
            <w:tcW w:w="37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1C0EE4E">
            <w:pPr>
              <w:widowControl/>
              <w:spacing w:line="240" w:lineRule="auto"/>
              <w:ind w:firstLine="0" w:firstLineChars="0"/>
              <w:jc w:val="center"/>
              <w:textAlignment w:val="center"/>
              <w:rPr>
                <w:rFonts w:cs="Times New Roman"/>
                <w:sz w:val="21"/>
                <w:szCs w:val="21"/>
              </w:rPr>
            </w:pPr>
            <w:r>
              <w:rPr>
                <w:rFonts w:cs="Times New Roman"/>
                <w:kern w:val="0"/>
                <w:sz w:val="21"/>
                <w:szCs w:val="21"/>
                <w:lang w:bidi="ar"/>
              </w:rPr>
              <w:t>818</w:t>
            </w:r>
          </w:p>
        </w:tc>
      </w:tr>
    </w:tbl>
    <w:p w14:paraId="18B35B25">
      <w:pPr>
        <w:ind w:firstLine="0" w:firstLineChars="0"/>
        <w:rPr>
          <w:rFonts w:cs="Times New Roman"/>
        </w:rPr>
      </w:pPr>
    </w:p>
    <w:p w14:paraId="33BC569C">
      <w:pPr>
        <w:ind w:firstLine="0" w:firstLineChars="0"/>
        <w:rPr>
          <w:rFonts w:cs="Times New Roman"/>
        </w:rPr>
      </w:pPr>
    </w:p>
    <w:p w14:paraId="5B537E8B">
      <w:pPr>
        <w:ind w:firstLine="0" w:firstLineChars="0"/>
        <w:rPr>
          <w:rFonts w:cs="Times New Roman"/>
        </w:rPr>
        <w:sectPr>
          <w:pgSz w:w="16838" w:h="11906" w:orient="landscape"/>
          <w:pgMar w:top="1800" w:right="1440" w:bottom="1800" w:left="1440" w:header="851" w:footer="992" w:gutter="0"/>
          <w:cols w:space="425" w:num="1"/>
          <w:docGrid w:type="lines" w:linePitch="312" w:charSpace="0"/>
        </w:sectPr>
      </w:pPr>
    </w:p>
    <w:p w14:paraId="2D2A70DA">
      <w:pPr>
        <w:ind w:firstLine="480"/>
        <w:rPr>
          <w:rFonts w:cs="Times New Roman"/>
        </w:rPr>
      </w:pPr>
      <w:r>
        <w:rPr>
          <w:rFonts w:hint="eastAsia" w:cs="Times New Roman"/>
        </w:rPr>
        <w:t>参考第二次全国污染源普查《排放源统计调查产排污核算方法和系数手册》附表中江苏省畜禽养殖产污系数和排污系数，计算得到度假区畜禽养殖污染物排放量分别为化学需氧量263.30t/a、总氮12.73t/a、氨氮3.69t/a、总磷2.66t/a。</w:t>
      </w:r>
    </w:p>
    <w:p w14:paraId="50382EF7">
      <w:pPr>
        <w:pStyle w:val="45"/>
        <w:rPr>
          <w:rFonts w:cs="Times New Roman"/>
        </w:rPr>
      </w:pPr>
      <w:r>
        <w:rPr>
          <w:rFonts w:hint="eastAsia" w:cs="Times New Roman"/>
        </w:rPr>
        <w:t>表3.</w:t>
      </w:r>
      <w:r>
        <w:rPr>
          <w:rFonts w:cs="Times New Roman"/>
        </w:rPr>
        <w:t>4</w:t>
      </w:r>
      <w:r>
        <w:rPr>
          <w:rFonts w:hint="eastAsia" w:cs="Times New Roman"/>
        </w:rPr>
        <w:t xml:space="preserve">-29 </w:t>
      </w:r>
      <w:r>
        <w:rPr>
          <w:rFonts w:cs="Times New Roman"/>
        </w:rPr>
        <w:t xml:space="preserve"> </w:t>
      </w:r>
      <w:r>
        <w:rPr>
          <w:rFonts w:hint="eastAsia" w:cs="Times New Roman"/>
        </w:rPr>
        <w:t>江苏省畜禽规模化养殖产污系数</w:t>
      </w:r>
    </w:p>
    <w:tbl>
      <w:tblPr>
        <w:tblStyle w:val="25"/>
        <w:tblW w:w="5000" w:type="pct"/>
        <w:tblInd w:w="0" w:type="dxa"/>
        <w:tblLayout w:type="autofit"/>
        <w:tblCellMar>
          <w:top w:w="0" w:type="dxa"/>
          <w:left w:w="108" w:type="dxa"/>
          <w:bottom w:w="0" w:type="dxa"/>
          <w:right w:w="108" w:type="dxa"/>
        </w:tblCellMar>
      </w:tblPr>
      <w:tblGrid>
        <w:gridCol w:w="1226"/>
        <w:gridCol w:w="1772"/>
        <w:gridCol w:w="1629"/>
        <w:gridCol w:w="1392"/>
        <w:gridCol w:w="1250"/>
        <w:gridCol w:w="1253"/>
      </w:tblGrid>
      <w:tr w14:paraId="7C74975F">
        <w:tblPrEx>
          <w:tblCellMar>
            <w:top w:w="0" w:type="dxa"/>
            <w:left w:w="108" w:type="dxa"/>
            <w:bottom w:w="0" w:type="dxa"/>
            <w:right w:w="108" w:type="dxa"/>
          </w:tblCellMar>
        </w:tblPrEx>
        <w:trPr>
          <w:trHeight w:val="255" w:hRule="atLeast"/>
        </w:trPr>
        <w:tc>
          <w:tcPr>
            <w:tcW w:w="719" w:type="pct"/>
            <w:tcBorders>
              <w:top w:val="single" w:color="auto" w:sz="4" w:space="0"/>
              <w:left w:val="single" w:color="auto" w:sz="4" w:space="0"/>
              <w:bottom w:val="single" w:color="auto" w:sz="4" w:space="0"/>
              <w:right w:val="single" w:color="auto" w:sz="4" w:space="0"/>
            </w:tcBorders>
            <w:vAlign w:val="center"/>
          </w:tcPr>
          <w:p w14:paraId="166E966B">
            <w:pPr>
              <w:spacing w:line="240" w:lineRule="auto"/>
              <w:ind w:firstLine="0" w:firstLineChars="0"/>
              <w:jc w:val="center"/>
              <w:rPr>
                <w:b/>
                <w:sz w:val="21"/>
              </w:rPr>
            </w:pPr>
            <w:r>
              <w:rPr>
                <w:rFonts w:hint="eastAsia"/>
                <w:b/>
                <w:sz w:val="21"/>
              </w:rPr>
              <w:t>地区</w:t>
            </w:r>
          </w:p>
        </w:tc>
        <w:tc>
          <w:tcPr>
            <w:tcW w:w="1039" w:type="pct"/>
            <w:tcBorders>
              <w:top w:val="single" w:color="auto" w:sz="4" w:space="0"/>
              <w:left w:val="nil"/>
              <w:bottom w:val="single" w:color="auto" w:sz="4" w:space="0"/>
              <w:right w:val="single" w:color="auto" w:sz="4" w:space="0"/>
            </w:tcBorders>
            <w:vAlign w:val="center"/>
          </w:tcPr>
          <w:p w14:paraId="2B8D54CC">
            <w:pPr>
              <w:spacing w:line="240" w:lineRule="auto"/>
              <w:ind w:firstLine="0" w:firstLineChars="0"/>
              <w:jc w:val="center"/>
              <w:rPr>
                <w:b/>
                <w:sz w:val="21"/>
              </w:rPr>
            </w:pPr>
            <w:r>
              <w:rPr>
                <w:rFonts w:hint="eastAsia"/>
                <w:b/>
                <w:sz w:val="21"/>
              </w:rPr>
              <w:t>畜禽种类</w:t>
            </w:r>
          </w:p>
        </w:tc>
        <w:tc>
          <w:tcPr>
            <w:tcW w:w="955" w:type="pct"/>
            <w:tcBorders>
              <w:top w:val="single" w:color="auto" w:sz="4" w:space="0"/>
              <w:left w:val="nil"/>
              <w:bottom w:val="single" w:color="auto" w:sz="4" w:space="0"/>
              <w:right w:val="single" w:color="auto" w:sz="4" w:space="0"/>
            </w:tcBorders>
            <w:vAlign w:val="center"/>
          </w:tcPr>
          <w:p w14:paraId="67FAEC5A">
            <w:pPr>
              <w:spacing w:line="240" w:lineRule="auto"/>
              <w:ind w:firstLine="0" w:firstLineChars="0"/>
              <w:jc w:val="center"/>
              <w:rPr>
                <w:b/>
                <w:sz w:val="21"/>
              </w:rPr>
            </w:pPr>
            <w:r>
              <w:rPr>
                <w:rFonts w:hint="eastAsia"/>
                <w:b/>
                <w:sz w:val="21"/>
              </w:rPr>
              <w:t>化学需氧量</w:t>
            </w:r>
          </w:p>
        </w:tc>
        <w:tc>
          <w:tcPr>
            <w:tcW w:w="816" w:type="pct"/>
            <w:tcBorders>
              <w:top w:val="single" w:color="auto" w:sz="4" w:space="0"/>
              <w:left w:val="nil"/>
              <w:bottom w:val="single" w:color="auto" w:sz="4" w:space="0"/>
              <w:right w:val="single" w:color="auto" w:sz="4" w:space="0"/>
            </w:tcBorders>
            <w:vAlign w:val="center"/>
          </w:tcPr>
          <w:p w14:paraId="204A1529">
            <w:pPr>
              <w:spacing w:line="240" w:lineRule="auto"/>
              <w:ind w:firstLine="0" w:firstLineChars="0"/>
              <w:jc w:val="center"/>
              <w:rPr>
                <w:b/>
                <w:sz w:val="21"/>
              </w:rPr>
            </w:pPr>
            <w:r>
              <w:rPr>
                <w:rFonts w:hint="eastAsia"/>
                <w:b/>
                <w:sz w:val="21"/>
              </w:rPr>
              <w:t>总氮</w:t>
            </w:r>
          </w:p>
        </w:tc>
        <w:tc>
          <w:tcPr>
            <w:tcW w:w="733" w:type="pct"/>
            <w:tcBorders>
              <w:top w:val="single" w:color="auto" w:sz="4" w:space="0"/>
              <w:left w:val="nil"/>
              <w:bottom w:val="single" w:color="auto" w:sz="4" w:space="0"/>
              <w:right w:val="single" w:color="auto" w:sz="4" w:space="0"/>
            </w:tcBorders>
            <w:vAlign w:val="center"/>
          </w:tcPr>
          <w:p w14:paraId="551A7EEA">
            <w:pPr>
              <w:spacing w:line="240" w:lineRule="auto"/>
              <w:ind w:firstLine="0" w:firstLineChars="0"/>
              <w:jc w:val="center"/>
              <w:rPr>
                <w:b/>
                <w:sz w:val="21"/>
              </w:rPr>
            </w:pPr>
            <w:r>
              <w:rPr>
                <w:rFonts w:hint="eastAsia"/>
                <w:b/>
                <w:sz w:val="21"/>
              </w:rPr>
              <w:t>氨氮</w:t>
            </w:r>
          </w:p>
        </w:tc>
        <w:tc>
          <w:tcPr>
            <w:tcW w:w="734" w:type="pct"/>
            <w:tcBorders>
              <w:top w:val="single" w:color="auto" w:sz="4" w:space="0"/>
              <w:left w:val="nil"/>
              <w:bottom w:val="single" w:color="auto" w:sz="4" w:space="0"/>
              <w:right w:val="single" w:color="auto" w:sz="4" w:space="0"/>
            </w:tcBorders>
            <w:vAlign w:val="center"/>
          </w:tcPr>
          <w:p w14:paraId="7483B99C">
            <w:pPr>
              <w:spacing w:line="240" w:lineRule="auto"/>
              <w:ind w:firstLine="0" w:firstLineChars="0"/>
              <w:jc w:val="center"/>
              <w:rPr>
                <w:b/>
                <w:sz w:val="21"/>
              </w:rPr>
            </w:pPr>
            <w:r>
              <w:rPr>
                <w:rFonts w:hint="eastAsia"/>
                <w:b/>
                <w:sz w:val="21"/>
              </w:rPr>
              <w:t>总磷</w:t>
            </w:r>
          </w:p>
        </w:tc>
      </w:tr>
      <w:tr w14:paraId="010DBEB7">
        <w:tblPrEx>
          <w:tblCellMar>
            <w:top w:w="0" w:type="dxa"/>
            <w:left w:w="108" w:type="dxa"/>
            <w:bottom w:w="0" w:type="dxa"/>
            <w:right w:w="108" w:type="dxa"/>
          </w:tblCellMar>
        </w:tblPrEx>
        <w:trPr>
          <w:trHeight w:val="255" w:hRule="atLeast"/>
        </w:trPr>
        <w:tc>
          <w:tcPr>
            <w:tcW w:w="719" w:type="pct"/>
            <w:vMerge w:val="restart"/>
            <w:tcBorders>
              <w:top w:val="nil"/>
              <w:left w:val="single" w:color="auto" w:sz="4" w:space="0"/>
              <w:bottom w:val="single" w:color="auto" w:sz="4" w:space="0"/>
              <w:right w:val="single" w:color="auto" w:sz="4" w:space="0"/>
            </w:tcBorders>
            <w:vAlign w:val="center"/>
          </w:tcPr>
          <w:p w14:paraId="1FE0018A">
            <w:pPr>
              <w:spacing w:line="240" w:lineRule="auto"/>
              <w:ind w:firstLine="0" w:firstLineChars="0"/>
              <w:jc w:val="center"/>
              <w:rPr>
                <w:sz w:val="21"/>
              </w:rPr>
            </w:pPr>
            <w:r>
              <w:rPr>
                <w:rFonts w:hint="eastAsia"/>
                <w:sz w:val="21"/>
              </w:rPr>
              <w:t>江苏省</w:t>
            </w:r>
          </w:p>
        </w:tc>
        <w:tc>
          <w:tcPr>
            <w:tcW w:w="1039" w:type="pct"/>
            <w:tcBorders>
              <w:top w:val="nil"/>
              <w:left w:val="nil"/>
              <w:bottom w:val="single" w:color="auto" w:sz="4" w:space="0"/>
              <w:right w:val="single" w:color="auto" w:sz="4" w:space="0"/>
            </w:tcBorders>
            <w:vAlign w:val="center"/>
          </w:tcPr>
          <w:p w14:paraId="6FA7BF81">
            <w:pPr>
              <w:spacing w:line="240" w:lineRule="auto"/>
              <w:ind w:firstLine="0" w:firstLineChars="0"/>
              <w:jc w:val="center"/>
              <w:rPr>
                <w:sz w:val="21"/>
              </w:rPr>
            </w:pPr>
            <w:r>
              <w:rPr>
                <w:rFonts w:hint="eastAsia"/>
                <w:sz w:val="21"/>
              </w:rPr>
              <w:t>生猪（千克/头）</w:t>
            </w:r>
          </w:p>
        </w:tc>
        <w:tc>
          <w:tcPr>
            <w:tcW w:w="955" w:type="pct"/>
            <w:tcBorders>
              <w:top w:val="nil"/>
              <w:left w:val="nil"/>
              <w:bottom w:val="single" w:color="auto" w:sz="4" w:space="0"/>
              <w:right w:val="single" w:color="auto" w:sz="4" w:space="0"/>
            </w:tcBorders>
            <w:vAlign w:val="center"/>
          </w:tcPr>
          <w:p w14:paraId="116AB6CC">
            <w:pPr>
              <w:spacing w:line="240" w:lineRule="auto"/>
              <w:ind w:firstLine="0" w:firstLineChars="0"/>
              <w:jc w:val="center"/>
              <w:rPr>
                <w:sz w:val="21"/>
              </w:rPr>
            </w:pPr>
            <w:r>
              <w:rPr>
                <w:rFonts w:hint="eastAsia"/>
                <w:sz w:val="21"/>
              </w:rPr>
              <w:t>69.111</w:t>
            </w:r>
          </w:p>
        </w:tc>
        <w:tc>
          <w:tcPr>
            <w:tcW w:w="816" w:type="pct"/>
            <w:tcBorders>
              <w:top w:val="nil"/>
              <w:left w:val="nil"/>
              <w:bottom w:val="single" w:color="auto" w:sz="4" w:space="0"/>
              <w:right w:val="single" w:color="auto" w:sz="4" w:space="0"/>
            </w:tcBorders>
            <w:vAlign w:val="center"/>
          </w:tcPr>
          <w:p w14:paraId="45F35832">
            <w:pPr>
              <w:spacing w:line="240" w:lineRule="auto"/>
              <w:ind w:firstLine="0" w:firstLineChars="0"/>
              <w:jc w:val="center"/>
              <w:rPr>
                <w:sz w:val="21"/>
              </w:rPr>
            </w:pPr>
            <w:r>
              <w:rPr>
                <w:rFonts w:hint="eastAsia"/>
                <w:sz w:val="21"/>
              </w:rPr>
              <w:t>5.551</w:t>
            </w:r>
          </w:p>
        </w:tc>
        <w:tc>
          <w:tcPr>
            <w:tcW w:w="733" w:type="pct"/>
            <w:tcBorders>
              <w:top w:val="nil"/>
              <w:left w:val="nil"/>
              <w:bottom w:val="single" w:color="auto" w:sz="4" w:space="0"/>
              <w:right w:val="single" w:color="auto" w:sz="4" w:space="0"/>
            </w:tcBorders>
            <w:vAlign w:val="center"/>
          </w:tcPr>
          <w:p w14:paraId="238B56D3">
            <w:pPr>
              <w:spacing w:line="240" w:lineRule="auto"/>
              <w:ind w:firstLine="0" w:firstLineChars="0"/>
              <w:jc w:val="center"/>
              <w:rPr>
                <w:sz w:val="21"/>
              </w:rPr>
            </w:pPr>
            <w:r>
              <w:rPr>
                <w:rFonts w:hint="eastAsia"/>
                <w:sz w:val="21"/>
              </w:rPr>
              <w:t>1.542</w:t>
            </w:r>
          </w:p>
        </w:tc>
        <w:tc>
          <w:tcPr>
            <w:tcW w:w="734" w:type="pct"/>
            <w:tcBorders>
              <w:top w:val="nil"/>
              <w:left w:val="nil"/>
              <w:bottom w:val="single" w:color="auto" w:sz="4" w:space="0"/>
              <w:right w:val="single" w:color="auto" w:sz="4" w:space="0"/>
            </w:tcBorders>
            <w:vAlign w:val="center"/>
          </w:tcPr>
          <w:p w14:paraId="338E9C44">
            <w:pPr>
              <w:spacing w:line="240" w:lineRule="auto"/>
              <w:ind w:firstLine="0" w:firstLineChars="0"/>
              <w:jc w:val="center"/>
              <w:rPr>
                <w:sz w:val="21"/>
              </w:rPr>
            </w:pPr>
            <w:r>
              <w:rPr>
                <w:rFonts w:hint="eastAsia"/>
                <w:sz w:val="21"/>
              </w:rPr>
              <w:t>1.327</w:t>
            </w:r>
          </w:p>
        </w:tc>
      </w:tr>
      <w:tr w14:paraId="5A28E462">
        <w:tblPrEx>
          <w:tblCellMar>
            <w:top w:w="0" w:type="dxa"/>
            <w:left w:w="108" w:type="dxa"/>
            <w:bottom w:w="0" w:type="dxa"/>
            <w:right w:w="108" w:type="dxa"/>
          </w:tblCellMar>
        </w:tblPrEx>
        <w:trPr>
          <w:trHeight w:val="255" w:hRule="atLeast"/>
        </w:trPr>
        <w:tc>
          <w:tcPr>
            <w:tcW w:w="719" w:type="pct"/>
            <w:vMerge w:val="continue"/>
            <w:tcBorders>
              <w:top w:val="nil"/>
              <w:left w:val="single" w:color="auto" w:sz="4" w:space="0"/>
              <w:bottom w:val="single" w:color="auto" w:sz="4" w:space="0"/>
              <w:right w:val="single" w:color="auto" w:sz="4" w:space="0"/>
            </w:tcBorders>
            <w:vAlign w:val="center"/>
          </w:tcPr>
          <w:p w14:paraId="075A1613">
            <w:pPr>
              <w:spacing w:line="240" w:lineRule="auto"/>
              <w:ind w:firstLine="0" w:firstLineChars="0"/>
              <w:jc w:val="center"/>
              <w:rPr>
                <w:sz w:val="21"/>
              </w:rPr>
            </w:pPr>
          </w:p>
        </w:tc>
        <w:tc>
          <w:tcPr>
            <w:tcW w:w="1039" w:type="pct"/>
            <w:tcBorders>
              <w:top w:val="nil"/>
              <w:left w:val="nil"/>
              <w:bottom w:val="single" w:color="auto" w:sz="4" w:space="0"/>
              <w:right w:val="single" w:color="auto" w:sz="4" w:space="0"/>
            </w:tcBorders>
            <w:vAlign w:val="center"/>
          </w:tcPr>
          <w:p w14:paraId="260D9519">
            <w:pPr>
              <w:spacing w:line="240" w:lineRule="auto"/>
              <w:ind w:firstLine="0" w:firstLineChars="0"/>
              <w:jc w:val="center"/>
              <w:rPr>
                <w:sz w:val="21"/>
              </w:rPr>
            </w:pPr>
            <w:r>
              <w:rPr>
                <w:rFonts w:hint="eastAsia"/>
                <w:sz w:val="21"/>
              </w:rPr>
              <w:t>奶牛（千克/头）</w:t>
            </w:r>
          </w:p>
        </w:tc>
        <w:tc>
          <w:tcPr>
            <w:tcW w:w="955" w:type="pct"/>
            <w:tcBorders>
              <w:top w:val="nil"/>
              <w:left w:val="nil"/>
              <w:bottom w:val="single" w:color="auto" w:sz="4" w:space="0"/>
              <w:right w:val="single" w:color="auto" w:sz="4" w:space="0"/>
            </w:tcBorders>
            <w:vAlign w:val="center"/>
          </w:tcPr>
          <w:p w14:paraId="721D95EA">
            <w:pPr>
              <w:spacing w:line="240" w:lineRule="auto"/>
              <w:ind w:firstLine="0" w:firstLineChars="0"/>
              <w:jc w:val="center"/>
              <w:rPr>
                <w:sz w:val="21"/>
              </w:rPr>
            </w:pPr>
            <w:r>
              <w:rPr>
                <w:rFonts w:hint="eastAsia"/>
                <w:sz w:val="21"/>
              </w:rPr>
              <w:t>1696.002</w:t>
            </w:r>
          </w:p>
        </w:tc>
        <w:tc>
          <w:tcPr>
            <w:tcW w:w="816" w:type="pct"/>
            <w:tcBorders>
              <w:top w:val="nil"/>
              <w:left w:val="nil"/>
              <w:bottom w:val="single" w:color="auto" w:sz="4" w:space="0"/>
              <w:right w:val="single" w:color="auto" w:sz="4" w:space="0"/>
            </w:tcBorders>
            <w:vAlign w:val="center"/>
          </w:tcPr>
          <w:p w14:paraId="740D328B">
            <w:pPr>
              <w:spacing w:line="240" w:lineRule="auto"/>
              <w:ind w:firstLine="0" w:firstLineChars="0"/>
              <w:jc w:val="center"/>
              <w:rPr>
                <w:sz w:val="21"/>
              </w:rPr>
            </w:pPr>
            <w:r>
              <w:rPr>
                <w:rFonts w:hint="eastAsia"/>
                <w:sz w:val="21"/>
              </w:rPr>
              <w:t>62.468</w:t>
            </w:r>
          </w:p>
        </w:tc>
        <w:tc>
          <w:tcPr>
            <w:tcW w:w="733" w:type="pct"/>
            <w:tcBorders>
              <w:top w:val="nil"/>
              <w:left w:val="nil"/>
              <w:bottom w:val="single" w:color="auto" w:sz="4" w:space="0"/>
              <w:right w:val="single" w:color="auto" w:sz="4" w:space="0"/>
            </w:tcBorders>
            <w:vAlign w:val="center"/>
          </w:tcPr>
          <w:p w14:paraId="395902BF">
            <w:pPr>
              <w:spacing w:line="240" w:lineRule="auto"/>
              <w:ind w:firstLine="0" w:firstLineChars="0"/>
              <w:jc w:val="center"/>
              <w:rPr>
                <w:sz w:val="21"/>
              </w:rPr>
            </w:pPr>
            <w:r>
              <w:rPr>
                <w:rFonts w:hint="eastAsia"/>
                <w:sz w:val="21"/>
              </w:rPr>
              <w:t>4.060</w:t>
            </w:r>
          </w:p>
        </w:tc>
        <w:tc>
          <w:tcPr>
            <w:tcW w:w="734" w:type="pct"/>
            <w:tcBorders>
              <w:top w:val="nil"/>
              <w:left w:val="nil"/>
              <w:bottom w:val="single" w:color="auto" w:sz="4" w:space="0"/>
              <w:right w:val="single" w:color="auto" w:sz="4" w:space="0"/>
            </w:tcBorders>
            <w:vAlign w:val="center"/>
          </w:tcPr>
          <w:p w14:paraId="26CB23CB">
            <w:pPr>
              <w:spacing w:line="240" w:lineRule="auto"/>
              <w:ind w:firstLine="0" w:firstLineChars="0"/>
              <w:jc w:val="center"/>
              <w:rPr>
                <w:sz w:val="21"/>
              </w:rPr>
            </w:pPr>
            <w:r>
              <w:rPr>
                <w:rFonts w:hint="eastAsia"/>
                <w:sz w:val="21"/>
              </w:rPr>
              <w:t>9.407</w:t>
            </w:r>
          </w:p>
        </w:tc>
      </w:tr>
      <w:tr w14:paraId="0EB9B04A">
        <w:tblPrEx>
          <w:tblCellMar>
            <w:top w:w="0" w:type="dxa"/>
            <w:left w:w="108" w:type="dxa"/>
            <w:bottom w:w="0" w:type="dxa"/>
            <w:right w:w="108" w:type="dxa"/>
          </w:tblCellMar>
        </w:tblPrEx>
        <w:trPr>
          <w:trHeight w:val="255" w:hRule="atLeast"/>
        </w:trPr>
        <w:tc>
          <w:tcPr>
            <w:tcW w:w="719" w:type="pct"/>
            <w:vMerge w:val="continue"/>
            <w:tcBorders>
              <w:top w:val="nil"/>
              <w:left w:val="single" w:color="auto" w:sz="4" w:space="0"/>
              <w:bottom w:val="single" w:color="auto" w:sz="4" w:space="0"/>
              <w:right w:val="single" w:color="auto" w:sz="4" w:space="0"/>
            </w:tcBorders>
            <w:vAlign w:val="center"/>
          </w:tcPr>
          <w:p w14:paraId="6DCE61EF">
            <w:pPr>
              <w:spacing w:line="240" w:lineRule="auto"/>
              <w:ind w:firstLine="0" w:firstLineChars="0"/>
              <w:jc w:val="center"/>
              <w:rPr>
                <w:sz w:val="21"/>
              </w:rPr>
            </w:pPr>
          </w:p>
        </w:tc>
        <w:tc>
          <w:tcPr>
            <w:tcW w:w="1039" w:type="pct"/>
            <w:tcBorders>
              <w:top w:val="nil"/>
              <w:left w:val="nil"/>
              <w:bottom w:val="single" w:color="auto" w:sz="4" w:space="0"/>
              <w:right w:val="single" w:color="auto" w:sz="4" w:space="0"/>
            </w:tcBorders>
            <w:vAlign w:val="center"/>
          </w:tcPr>
          <w:p w14:paraId="219001F7">
            <w:pPr>
              <w:spacing w:line="240" w:lineRule="auto"/>
              <w:ind w:firstLine="0" w:firstLineChars="0"/>
              <w:jc w:val="center"/>
              <w:rPr>
                <w:sz w:val="21"/>
              </w:rPr>
            </w:pPr>
            <w:r>
              <w:rPr>
                <w:rFonts w:hint="eastAsia"/>
                <w:sz w:val="21"/>
              </w:rPr>
              <w:t>蛋鸡（千克/羽）</w:t>
            </w:r>
          </w:p>
        </w:tc>
        <w:tc>
          <w:tcPr>
            <w:tcW w:w="955" w:type="pct"/>
            <w:tcBorders>
              <w:top w:val="nil"/>
              <w:left w:val="nil"/>
              <w:bottom w:val="single" w:color="auto" w:sz="4" w:space="0"/>
              <w:right w:val="single" w:color="auto" w:sz="4" w:space="0"/>
            </w:tcBorders>
            <w:vAlign w:val="center"/>
          </w:tcPr>
          <w:p w14:paraId="2CA82930">
            <w:pPr>
              <w:spacing w:line="240" w:lineRule="auto"/>
              <w:ind w:firstLine="0" w:firstLineChars="0"/>
              <w:jc w:val="center"/>
              <w:rPr>
                <w:sz w:val="21"/>
              </w:rPr>
            </w:pPr>
            <w:r>
              <w:rPr>
                <w:rFonts w:hint="eastAsia"/>
                <w:sz w:val="21"/>
              </w:rPr>
              <w:t>12.400</w:t>
            </w:r>
          </w:p>
        </w:tc>
        <w:tc>
          <w:tcPr>
            <w:tcW w:w="816" w:type="pct"/>
            <w:tcBorders>
              <w:top w:val="nil"/>
              <w:left w:val="nil"/>
              <w:bottom w:val="single" w:color="auto" w:sz="4" w:space="0"/>
              <w:right w:val="single" w:color="auto" w:sz="4" w:space="0"/>
            </w:tcBorders>
            <w:vAlign w:val="center"/>
          </w:tcPr>
          <w:p w14:paraId="4A40E2B7">
            <w:pPr>
              <w:spacing w:line="240" w:lineRule="auto"/>
              <w:ind w:firstLine="0" w:firstLineChars="0"/>
              <w:jc w:val="center"/>
              <w:rPr>
                <w:sz w:val="21"/>
              </w:rPr>
            </w:pPr>
            <w:r>
              <w:rPr>
                <w:rFonts w:hint="eastAsia"/>
                <w:sz w:val="21"/>
              </w:rPr>
              <w:t>0.613</w:t>
            </w:r>
          </w:p>
        </w:tc>
        <w:tc>
          <w:tcPr>
            <w:tcW w:w="733" w:type="pct"/>
            <w:tcBorders>
              <w:top w:val="nil"/>
              <w:left w:val="nil"/>
              <w:bottom w:val="single" w:color="auto" w:sz="4" w:space="0"/>
              <w:right w:val="single" w:color="auto" w:sz="4" w:space="0"/>
            </w:tcBorders>
            <w:vAlign w:val="center"/>
          </w:tcPr>
          <w:p w14:paraId="36465CE0">
            <w:pPr>
              <w:spacing w:line="240" w:lineRule="auto"/>
              <w:ind w:firstLine="0" w:firstLineChars="0"/>
              <w:jc w:val="center"/>
              <w:rPr>
                <w:sz w:val="21"/>
              </w:rPr>
            </w:pPr>
            <w:r>
              <w:rPr>
                <w:rFonts w:hint="eastAsia"/>
                <w:sz w:val="21"/>
              </w:rPr>
              <w:t>0.048</w:t>
            </w:r>
          </w:p>
        </w:tc>
        <w:tc>
          <w:tcPr>
            <w:tcW w:w="734" w:type="pct"/>
            <w:tcBorders>
              <w:top w:val="nil"/>
              <w:left w:val="nil"/>
              <w:bottom w:val="single" w:color="auto" w:sz="4" w:space="0"/>
              <w:right w:val="single" w:color="auto" w:sz="4" w:space="0"/>
            </w:tcBorders>
            <w:vAlign w:val="center"/>
          </w:tcPr>
          <w:p w14:paraId="4465C169">
            <w:pPr>
              <w:spacing w:line="240" w:lineRule="auto"/>
              <w:ind w:firstLine="0" w:firstLineChars="0"/>
              <w:jc w:val="center"/>
              <w:rPr>
                <w:sz w:val="21"/>
              </w:rPr>
            </w:pPr>
            <w:r>
              <w:rPr>
                <w:rFonts w:hint="eastAsia"/>
                <w:sz w:val="21"/>
              </w:rPr>
              <w:t>0.174</w:t>
            </w:r>
          </w:p>
        </w:tc>
      </w:tr>
      <w:tr w14:paraId="29390E97">
        <w:tblPrEx>
          <w:tblCellMar>
            <w:top w:w="0" w:type="dxa"/>
            <w:left w:w="108" w:type="dxa"/>
            <w:bottom w:w="0" w:type="dxa"/>
            <w:right w:w="108" w:type="dxa"/>
          </w:tblCellMar>
        </w:tblPrEx>
        <w:trPr>
          <w:trHeight w:val="255" w:hRule="atLeast"/>
        </w:trPr>
        <w:tc>
          <w:tcPr>
            <w:tcW w:w="719" w:type="pct"/>
            <w:vMerge w:val="continue"/>
            <w:tcBorders>
              <w:top w:val="nil"/>
              <w:left w:val="single" w:color="auto" w:sz="4" w:space="0"/>
              <w:bottom w:val="single" w:color="auto" w:sz="4" w:space="0"/>
              <w:right w:val="single" w:color="auto" w:sz="4" w:space="0"/>
            </w:tcBorders>
            <w:vAlign w:val="center"/>
          </w:tcPr>
          <w:p w14:paraId="04ACC3E1">
            <w:pPr>
              <w:spacing w:line="240" w:lineRule="auto"/>
              <w:ind w:firstLine="0" w:firstLineChars="0"/>
              <w:jc w:val="center"/>
              <w:rPr>
                <w:sz w:val="21"/>
              </w:rPr>
            </w:pPr>
          </w:p>
        </w:tc>
        <w:tc>
          <w:tcPr>
            <w:tcW w:w="1039" w:type="pct"/>
            <w:tcBorders>
              <w:top w:val="nil"/>
              <w:left w:val="nil"/>
              <w:bottom w:val="single" w:color="auto" w:sz="4" w:space="0"/>
              <w:right w:val="single" w:color="auto" w:sz="4" w:space="0"/>
            </w:tcBorders>
            <w:vAlign w:val="center"/>
          </w:tcPr>
          <w:p w14:paraId="72E33CAB">
            <w:pPr>
              <w:spacing w:line="240" w:lineRule="auto"/>
              <w:ind w:firstLine="0" w:firstLineChars="0"/>
              <w:jc w:val="center"/>
              <w:rPr>
                <w:sz w:val="21"/>
              </w:rPr>
            </w:pPr>
            <w:r>
              <w:rPr>
                <w:rFonts w:hint="eastAsia"/>
                <w:sz w:val="21"/>
              </w:rPr>
              <w:t>肉鸡（千克/羽）</w:t>
            </w:r>
          </w:p>
        </w:tc>
        <w:tc>
          <w:tcPr>
            <w:tcW w:w="955" w:type="pct"/>
            <w:tcBorders>
              <w:top w:val="nil"/>
              <w:left w:val="nil"/>
              <w:bottom w:val="single" w:color="auto" w:sz="4" w:space="0"/>
              <w:right w:val="single" w:color="auto" w:sz="4" w:space="0"/>
            </w:tcBorders>
            <w:vAlign w:val="center"/>
          </w:tcPr>
          <w:p w14:paraId="129B533A">
            <w:pPr>
              <w:spacing w:line="240" w:lineRule="auto"/>
              <w:ind w:firstLine="0" w:firstLineChars="0"/>
              <w:jc w:val="center"/>
              <w:rPr>
                <w:sz w:val="21"/>
              </w:rPr>
            </w:pPr>
            <w:r>
              <w:rPr>
                <w:rFonts w:hint="eastAsia"/>
                <w:sz w:val="21"/>
              </w:rPr>
              <w:t>2.696</w:t>
            </w:r>
          </w:p>
        </w:tc>
        <w:tc>
          <w:tcPr>
            <w:tcW w:w="816" w:type="pct"/>
            <w:tcBorders>
              <w:top w:val="nil"/>
              <w:left w:val="nil"/>
              <w:bottom w:val="single" w:color="auto" w:sz="4" w:space="0"/>
              <w:right w:val="single" w:color="auto" w:sz="4" w:space="0"/>
            </w:tcBorders>
            <w:vAlign w:val="center"/>
          </w:tcPr>
          <w:p w14:paraId="6BD48925">
            <w:pPr>
              <w:spacing w:line="240" w:lineRule="auto"/>
              <w:ind w:firstLine="0" w:firstLineChars="0"/>
              <w:jc w:val="center"/>
              <w:rPr>
                <w:sz w:val="21"/>
              </w:rPr>
            </w:pPr>
            <w:r>
              <w:rPr>
                <w:rFonts w:hint="eastAsia"/>
                <w:sz w:val="21"/>
              </w:rPr>
              <w:t>0.100</w:t>
            </w:r>
          </w:p>
        </w:tc>
        <w:tc>
          <w:tcPr>
            <w:tcW w:w="733" w:type="pct"/>
            <w:tcBorders>
              <w:top w:val="nil"/>
              <w:left w:val="nil"/>
              <w:bottom w:val="single" w:color="auto" w:sz="4" w:space="0"/>
              <w:right w:val="single" w:color="auto" w:sz="4" w:space="0"/>
            </w:tcBorders>
            <w:vAlign w:val="center"/>
          </w:tcPr>
          <w:p w14:paraId="539E4FAB">
            <w:pPr>
              <w:spacing w:line="240" w:lineRule="auto"/>
              <w:ind w:firstLine="0" w:firstLineChars="0"/>
              <w:jc w:val="center"/>
              <w:rPr>
                <w:sz w:val="21"/>
              </w:rPr>
            </w:pPr>
            <w:r>
              <w:rPr>
                <w:rFonts w:hint="eastAsia"/>
                <w:sz w:val="21"/>
              </w:rPr>
              <w:t>0.037</w:t>
            </w:r>
          </w:p>
        </w:tc>
        <w:tc>
          <w:tcPr>
            <w:tcW w:w="734" w:type="pct"/>
            <w:tcBorders>
              <w:top w:val="nil"/>
              <w:left w:val="nil"/>
              <w:bottom w:val="single" w:color="auto" w:sz="4" w:space="0"/>
              <w:right w:val="single" w:color="auto" w:sz="4" w:space="0"/>
            </w:tcBorders>
            <w:vAlign w:val="center"/>
          </w:tcPr>
          <w:p w14:paraId="7B633D71">
            <w:pPr>
              <w:spacing w:line="240" w:lineRule="auto"/>
              <w:ind w:firstLine="0" w:firstLineChars="0"/>
              <w:jc w:val="center"/>
              <w:rPr>
                <w:sz w:val="21"/>
              </w:rPr>
            </w:pPr>
            <w:r>
              <w:rPr>
                <w:rFonts w:hint="eastAsia"/>
                <w:sz w:val="21"/>
              </w:rPr>
              <w:t>0.022</w:t>
            </w:r>
          </w:p>
        </w:tc>
      </w:tr>
    </w:tbl>
    <w:p w14:paraId="0CF1781F">
      <w:pPr>
        <w:pStyle w:val="45"/>
        <w:rPr>
          <w:rFonts w:cs="Times New Roman"/>
        </w:rPr>
      </w:pPr>
      <w:r>
        <w:rPr>
          <w:rFonts w:hint="eastAsia" w:cs="Times New Roman"/>
        </w:rPr>
        <w:t>表3.4-30  江苏省畜禽养殖户产污系数表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1614"/>
        <w:gridCol w:w="1614"/>
        <w:gridCol w:w="1614"/>
        <w:gridCol w:w="1616"/>
      </w:tblGrid>
      <w:tr w14:paraId="06DE9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838" w:type="dxa"/>
            <w:vAlign w:val="center"/>
          </w:tcPr>
          <w:p w14:paraId="2699F8C2">
            <w:pPr>
              <w:spacing w:line="240" w:lineRule="auto"/>
              <w:ind w:firstLine="0" w:firstLineChars="0"/>
              <w:jc w:val="center"/>
              <w:rPr>
                <w:rFonts w:cs="Times New Roman"/>
                <w:b/>
                <w:sz w:val="21"/>
              </w:rPr>
            </w:pPr>
            <w:r>
              <w:rPr>
                <w:rFonts w:hint="eastAsia" w:cs="Times New Roman"/>
                <w:b/>
                <w:sz w:val="21"/>
              </w:rPr>
              <w:t>畜禽种类</w:t>
            </w:r>
          </w:p>
        </w:tc>
        <w:tc>
          <w:tcPr>
            <w:tcW w:w="1614" w:type="dxa"/>
            <w:vAlign w:val="center"/>
          </w:tcPr>
          <w:p w14:paraId="7BE8E67E">
            <w:pPr>
              <w:spacing w:line="240" w:lineRule="auto"/>
              <w:ind w:firstLine="0" w:firstLineChars="0"/>
              <w:jc w:val="center"/>
              <w:rPr>
                <w:rFonts w:cs="Times New Roman"/>
                <w:b/>
                <w:sz w:val="21"/>
              </w:rPr>
            </w:pPr>
            <w:r>
              <w:rPr>
                <w:rFonts w:hint="eastAsia" w:cs="Times New Roman"/>
                <w:b/>
                <w:sz w:val="21"/>
              </w:rPr>
              <w:t>化学需氧量</w:t>
            </w:r>
          </w:p>
        </w:tc>
        <w:tc>
          <w:tcPr>
            <w:tcW w:w="1614" w:type="dxa"/>
            <w:vAlign w:val="center"/>
          </w:tcPr>
          <w:p w14:paraId="30DF5C92">
            <w:pPr>
              <w:spacing w:line="240" w:lineRule="auto"/>
              <w:ind w:firstLine="0" w:firstLineChars="0"/>
              <w:jc w:val="center"/>
              <w:rPr>
                <w:rFonts w:cs="Times New Roman"/>
                <w:b/>
                <w:sz w:val="21"/>
              </w:rPr>
            </w:pPr>
            <w:r>
              <w:rPr>
                <w:rFonts w:hint="eastAsia" w:cs="Times New Roman"/>
                <w:b/>
                <w:sz w:val="21"/>
              </w:rPr>
              <w:t>总氮</w:t>
            </w:r>
          </w:p>
        </w:tc>
        <w:tc>
          <w:tcPr>
            <w:tcW w:w="1614" w:type="dxa"/>
            <w:vAlign w:val="center"/>
          </w:tcPr>
          <w:p w14:paraId="03EF1CFE">
            <w:pPr>
              <w:spacing w:line="240" w:lineRule="auto"/>
              <w:ind w:firstLine="0" w:firstLineChars="0"/>
              <w:jc w:val="center"/>
              <w:rPr>
                <w:rFonts w:cs="Times New Roman"/>
                <w:b/>
                <w:sz w:val="21"/>
              </w:rPr>
            </w:pPr>
            <w:r>
              <w:rPr>
                <w:rFonts w:hint="eastAsia" w:cs="Times New Roman"/>
                <w:b/>
                <w:sz w:val="21"/>
              </w:rPr>
              <w:t>氨氮</w:t>
            </w:r>
          </w:p>
        </w:tc>
        <w:tc>
          <w:tcPr>
            <w:tcW w:w="1616" w:type="dxa"/>
            <w:vAlign w:val="center"/>
          </w:tcPr>
          <w:p w14:paraId="0737E87C">
            <w:pPr>
              <w:spacing w:line="240" w:lineRule="auto"/>
              <w:ind w:firstLine="0" w:firstLineChars="0"/>
              <w:jc w:val="center"/>
              <w:rPr>
                <w:rFonts w:cs="Times New Roman"/>
                <w:b/>
                <w:sz w:val="21"/>
              </w:rPr>
            </w:pPr>
            <w:r>
              <w:rPr>
                <w:rFonts w:hint="eastAsia" w:cs="Times New Roman"/>
                <w:b/>
                <w:sz w:val="21"/>
              </w:rPr>
              <w:t>总磷</w:t>
            </w:r>
          </w:p>
        </w:tc>
      </w:tr>
      <w:tr w14:paraId="63929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838" w:type="dxa"/>
            <w:vAlign w:val="center"/>
          </w:tcPr>
          <w:p w14:paraId="24526B3B">
            <w:pPr>
              <w:spacing w:line="240" w:lineRule="auto"/>
              <w:ind w:firstLine="0" w:firstLineChars="0"/>
              <w:jc w:val="center"/>
              <w:rPr>
                <w:rFonts w:cs="Times New Roman"/>
                <w:sz w:val="21"/>
              </w:rPr>
            </w:pPr>
            <w:r>
              <w:rPr>
                <w:rFonts w:hint="eastAsia" w:cs="Times New Roman"/>
                <w:sz w:val="21"/>
              </w:rPr>
              <w:t>生猪（千克/头）</w:t>
            </w:r>
          </w:p>
        </w:tc>
        <w:tc>
          <w:tcPr>
            <w:tcW w:w="1614" w:type="dxa"/>
            <w:vAlign w:val="center"/>
          </w:tcPr>
          <w:p w14:paraId="08E886AF">
            <w:pPr>
              <w:spacing w:line="240" w:lineRule="auto"/>
              <w:ind w:firstLine="0" w:firstLineChars="0"/>
              <w:jc w:val="center"/>
              <w:rPr>
                <w:rFonts w:cs="Times New Roman"/>
                <w:sz w:val="21"/>
              </w:rPr>
            </w:pPr>
            <w:r>
              <w:rPr>
                <w:rFonts w:hint="eastAsia" w:cs="Times New Roman"/>
                <w:sz w:val="21"/>
              </w:rPr>
              <w:t>75.5</w:t>
            </w:r>
          </w:p>
        </w:tc>
        <w:tc>
          <w:tcPr>
            <w:tcW w:w="1614" w:type="dxa"/>
            <w:vAlign w:val="center"/>
          </w:tcPr>
          <w:p w14:paraId="5B83AFA7">
            <w:pPr>
              <w:spacing w:line="240" w:lineRule="auto"/>
              <w:ind w:firstLine="0" w:firstLineChars="0"/>
              <w:jc w:val="center"/>
              <w:rPr>
                <w:rFonts w:cs="Times New Roman"/>
                <w:sz w:val="21"/>
              </w:rPr>
            </w:pPr>
            <w:r>
              <w:rPr>
                <w:rFonts w:hint="eastAsia" w:cs="Times New Roman"/>
                <w:sz w:val="21"/>
              </w:rPr>
              <w:t>3.5</w:t>
            </w:r>
          </w:p>
        </w:tc>
        <w:tc>
          <w:tcPr>
            <w:tcW w:w="1614" w:type="dxa"/>
            <w:vAlign w:val="center"/>
          </w:tcPr>
          <w:p w14:paraId="65F68FD4">
            <w:pPr>
              <w:spacing w:line="240" w:lineRule="auto"/>
              <w:ind w:firstLine="0" w:firstLineChars="0"/>
              <w:jc w:val="center"/>
              <w:rPr>
                <w:rFonts w:cs="Times New Roman"/>
                <w:sz w:val="21"/>
              </w:rPr>
            </w:pPr>
            <w:r>
              <w:rPr>
                <w:rFonts w:hint="eastAsia" w:cs="Times New Roman"/>
                <w:sz w:val="21"/>
              </w:rPr>
              <w:t>0.4</w:t>
            </w:r>
          </w:p>
        </w:tc>
        <w:tc>
          <w:tcPr>
            <w:tcW w:w="1616" w:type="dxa"/>
            <w:vAlign w:val="center"/>
          </w:tcPr>
          <w:p w14:paraId="3EF8A303">
            <w:pPr>
              <w:spacing w:line="240" w:lineRule="auto"/>
              <w:ind w:firstLine="0" w:firstLineChars="0"/>
              <w:jc w:val="center"/>
              <w:rPr>
                <w:rFonts w:cs="Times New Roman"/>
                <w:sz w:val="21"/>
              </w:rPr>
            </w:pPr>
            <w:r>
              <w:rPr>
                <w:rFonts w:hint="eastAsia" w:cs="Times New Roman"/>
                <w:sz w:val="21"/>
              </w:rPr>
              <w:t>1.2</w:t>
            </w:r>
          </w:p>
        </w:tc>
      </w:tr>
      <w:tr w14:paraId="5EDC6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838" w:type="dxa"/>
            <w:vAlign w:val="center"/>
          </w:tcPr>
          <w:p w14:paraId="090F79CA">
            <w:pPr>
              <w:spacing w:line="240" w:lineRule="auto"/>
              <w:ind w:firstLine="0" w:firstLineChars="0"/>
              <w:jc w:val="center"/>
              <w:rPr>
                <w:rFonts w:cs="Times New Roman"/>
                <w:sz w:val="21"/>
              </w:rPr>
            </w:pPr>
            <w:r>
              <w:rPr>
                <w:rFonts w:hint="eastAsia" w:cs="Times New Roman"/>
                <w:sz w:val="21"/>
              </w:rPr>
              <w:t>蛋鸡（千克/羽）</w:t>
            </w:r>
          </w:p>
        </w:tc>
        <w:tc>
          <w:tcPr>
            <w:tcW w:w="1614" w:type="dxa"/>
            <w:vAlign w:val="center"/>
          </w:tcPr>
          <w:p w14:paraId="31BFEB50">
            <w:pPr>
              <w:spacing w:line="240" w:lineRule="auto"/>
              <w:ind w:firstLine="0" w:firstLineChars="0"/>
              <w:jc w:val="center"/>
              <w:rPr>
                <w:rFonts w:cs="Times New Roman"/>
                <w:sz w:val="21"/>
              </w:rPr>
            </w:pPr>
            <w:r>
              <w:rPr>
                <w:rFonts w:hint="eastAsia" w:cs="Times New Roman"/>
                <w:sz w:val="21"/>
              </w:rPr>
              <w:t>10.4</w:t>
            </w:r>
          </w:p>
        </w:tc>
        <w:tc>
          <w:tcPr>
            <w:tcW w:w="1614" w:type="dxa"/>
            <w:vAlign w:val="center"/>
          </w:tcPr>
          <w:p w14:paraId="2AB326FE">
            <w:pPr>
              <w:spacing w:line="240" w:lineRule="auto"/>
              <w:ind w:firstLine="0" w:firstLineChars="0"/>
              <w:jc w:val="center"/>
              <w:rPr>
                <w:rFonts w:cs="Times New Roman"/>
                <w:sz w:val="21"/>
              </w:rPr>
            </w:pPr>
            <w:r>
              <w:rPr>
                <w:rFonts w:hint="eastAsia" w:cs="Times New Roman"/>
                <w:sz w:val="21"/>
              </w:rPr>
              <w:t>0.7</w:t>
            </w:r>
          </w:p>
        </w:tc>
        <w:tc>
          <w:tcPr>
            <w:tcW w:w="1614" w:type="dxa"/>
            <w:vAlign w:val="center"/>
          </w:tcPr>
          <w:p w14:paraId="35EBAA54">
            <w:pPr>
              <w:spacing w:line="240" w:lineRule="auto"/>
              <w:ind w:firstLine="0" w:firstLineChars="0"/>
              <w:jc w:val="center"/>
              <w:rPr>
                <w:rFonts w:cs="Times New Roman"/>
                <w:sz w:val="21"/>
              </w:rPr>
            </w:pPr>
            <w:r>
              <w:rPr>
                <w:rFonts w:hint="eastAsia" w:cs="Times New Roman"/>
                <w:sz w:val="21"/>
              </w:rPr>
              <w:t>0.1</w:t>
            </w:r>
          </w:p>
        </w:tc>
        <w:tc>
          <w:tcPr>
            <w:tcW w:w="1616" w:type="dxa"/>
            <w:vAlign w:val="center"/>
          </w:tcPr>
          <w:p w14:paraId="2CF21A01">
            <w:pPr>
              <w:spacing w:line="240" w:lineRule="auto"/>
              <w:ind w:firstLine="0" w:firstLineChars="0"/>
              <w:jc w:val="center"/>
              <w:rPr>
                <w:rFonts w:cs="Times New Roman"/>
                <w:sz w:val="21"/>
              </w:rPr>
            </w:pPr>
            <w:r>
              <w:rPr>
                <w:rFonts w:hint="eastAsia" w:cs="Times New Roman"/>
                <w:sz w:val="21"/>
              </w:rPr>
              <w:t>0.2</w:t>
            </w:r>
          </w:p>
        </w:tc>
      </w:tr>
      <w:tr w14:paraId="3CF1D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838" w:type="dxa"/>
            <w:vAlign w:val="center"/>
          </w:tcPr>
          <w:p w14:paraId="48ABD6DB">
            <w:pPr>
              <w:spacing w:line="240" w:lineRule="auto"/>
              <w:ind w:firstLine="0" w:firstLineChars="0"/>
              <w:jc w:val="center"/>
              <w:rPr>
                <w:rFonts w:cs="Times New Roman"/>
                <w:sz w:val="21"/>
              </w:rPr>
            </w:pPr>
            <w:r>
              <w:rPr>
                <w:rFonts w:hint="eastAsia" w:cs="Times New Roman"/>
                <w:sz w:val="21"/>
              </w:rPr>
              <w:t>肉鸡（千克/羽）</w:t>
            </w:r>
          </w:p>
        </w:tc>
        <w:tc>
          <w:tcPr>
            <w:tcW w:w="1614" w:type="dxa"/>
            <w:vAlign w:val="center"/>
          </w:tcPr>
          <w:p w14:paraId="035E7D7C">
            <w:pPr>
              <w:spacing w:line="240" w:lineRule="auto"/>
              <w:ind w:firstLine="0" w:firstLineChars="0"/>
              <w:jc w:val="center"/>
              <w:rPr>
                <w:rFonts w:cs="Times New Roman"/>
                <w:sz w:val="21"/>
              </w:rPr>
            </w:pPr>
            <w:r>
              <w:rPr>
                <w:rFonts w:hint="eastAsia" w:cs="Times New Roman"/>
                <w:sz w:val="21"/>
              </w:rPr>
              <w:t>2.2</w:t>
            </w:r>
          </w:p>
        </w:tc>
        <w:tc>
          <w:tcPr>
            <w:tcW w:w="1614" w:type="dxa"/>
            <w:vAlign w:val="center"/>
          </w:tcPr>
          <w:p w14:paraId="5B009D11">
            <w:pPr>
              <w:spacing w:line="240" w:lineRule="auto"/>
              <w:ind w:firstLine="0" w:firstLineChars="0"/>
              <w:jc w:val="center"/>
              <w:rPr>
                <w:rFonts w:cs="Times New Roman"/>
                <w:sz w:val="21"/>
              </w:rPr>
            </w:pPr>
            <w:r>
              <w:rPr>
                <w:rFonts w:hint="eastAsia" w:cs="Times New Roman"/>
                <w:sz w:val="21"/>
              </w:rPr>
              <w:t>0.1</w:t>
            </w:r>
          </w:p>
        </w:tc>
        <w:tc>
          <w:tcPr>
            <w:tcW w:w="1614" w:type="dxa"/>
            <w:vAlign w:val="center"/>
          </w:tcPr>
          <w:p w14:paraId="419676A8">
            <w:pPr>
              <w:spacing w:line="240" w:lineRule="auto"/>
              <w:ind w:firstLine="0" w:firstLineChars="0"/>
              <w:jc w:val="center"/>
              <w:rPr>
                <w:rFonts w:cs="Times New Roman"/>
                <w:sz w:val="21"/>
              </w:rPr>
            </w:pPr>
            <w:r>
              <w:rPr>
                <w:rFonts w:hint="eastAsia" w:cs="Times New Roman"/>
                <w:sz w:val="21"/>
              </w:rPr>
              <w:t>0.010</w:t>
            </w:r>
          </w:p>
        </w:tc>
        <w:tc>
          <w:tcPr>
            <w:tcW w:w="1616" w:type="dxa"/>
            <w:vAlign w:val="center"/>
          </w:tcPr>
          <w:p w14:paraId="4452F0EF">
            <w:pPr>
              <w:spacing w:line="240" w:lineRule="auto"/>
              <w:ind w:firstLine="0" w:firstLineChars="0"/>
              <w:jc w:val="center"/>
              <w:rPr>
                <w:rFonts w:cs="Times New Roman"/>
                <w:sz w:val="21"/>
              </w:rPr>
            </w:pPr>
            <w:r>
              <w:rPr>
                <w:rFonts w:hint="eastAsia" w:cs="Times New Roman"/>
                <w:sz w:val="21"/>
              </w:rPr>
              <w:t>0.020</w:t>
            </w:r>
          </w:p>
        </w:tc>
      </w:tr>
      <w:tr w14:paraId="64B98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838" w:type="dxa"/>
            <w:vAlign w:val="center"/>
          </w:tcPr>
          <w:p w14:paraId="258C7B5D">
            <w:pPr>
              <w:spacing w:line="240" w:lineRule="auto"/>
              <w:ind w:firstLine="0" w:firstLineChars="0"/>
              <w:jc w:val="center"/>
              <w:rPr>
                <w:rFonts w:cs="Times New Roman"/>
                <w:sz w:val="21"/>
              </w:rPr>
            </w:pPr>
            <w:r>
              <w:rPr>
                <w:rFonts w:hint="eastAsia" w:cs="Times New Roman"/>
                <w:sz w:val="21"/>
              </w:rPr>
              <w:t>奶牛（千克/头）</w:t>
            </w:r>
          </w:p>
        </w:tc>
        <w:tc>
          <w:tcPr>
            <w:tcW w:w="1614" w:type="dxa"/>
            <w:vAlign w:val="center"/>
          </w:tcPr>
          <w:p w14:paraId="19655C9B">
            <w:pPr>
              <w:spacing w:line="240" w:lineRule="auto"/>
              <w:ind w:firstLine="0" w:firstLineChars="0"/>
              <w:jc w:val="center"/>
              <w:rPr>
                <w:rFonts w:cs="Times New Roman"/>
                <w:sz w:val="21"/>
              </w:rPr>
            </w:pPr>
            <w:r>
              <w:rPr>
                <w:rFonts w:hint="eastAsia" w:cs="Times New Roman"/>
                <w:sz w:val="21"/>
              </w:rPr>
              <w:t>2170.9</w:t>
            </w:r>
          </w:p>
        </w:tc>
        <w:tc>
          <w:tcPr>
            <w:tcW w:w="1614" w:type="dxa"/>
            <w:vAlign w:val="center"/>
          </w:tcPr>
          <w:p w14:paraId="609E542A">
            <w:pPr>
              <w:spacing w:line="240" w:lineRule="auto"/>
              <w:ind w:firstLine="0" w:firstLineChars="0"/>
              <w:jc w:val="center"/>
              <w:rPr>
                <w:rFonts w:cs="Times New Roman"/>
                <w:sz w:val="21"/>
              </w:rPr>
            </w:pPr>
            <w:r>
              <w:rPr>
                <w:rFonts w:hint="eastAsia" w:cs="Times New Roman"/>
                <w:sz w:val="21"/>
              </w:rPr>
              <w:t>72.4</w:t>
            </w:r>
          </w:p>
        </w:tc>
        <w:tc>
          <w:tcPr>
            <w:tcW w:w="1614" w:type="dxa"/>
            <w:vAlign w:val="center"/>
          </w:tcPr>
          <w:p w14:paraId="350FAF64">
            <w:pPr>
              <w:spacing w:line="240" w:lineRule="auto"/>
              <w:ind w:firstLine="0" w:firstLineChars="0"/>
              <w:jc w:val="center"/>
              <w:rPr>
                <w:rFonts w:cs="Times New Roman"/>
                <w:sz w:val="21"/>
              </w:rPr>
            </w:pPr>
            <w:r>
              <w:rPr>
                <w:rFonts w:hint="eastAsia" w:cs="Times New Roman"/>
                <w:sz w:val="21"/>
              </w:rPr>
              <w:t>3.3</w:t>
            </w:r>
          </w:p>
        </w:tc>
        <w:tc>
          <w:tcPr>
            <w:tcW w:w="1616" w:type="dxa"/>
            <w:vAlign w:val="center"/>
          </w:tcPr>
          <w:p w14:paraId="35C86AE4">
            <w:pPr>
              <w:spacing w:line="240" w:lineRule="auto"/>
              <w:ind w:firstLine="0" w:firstLineChars="0"/>
              <w:jc w:val="center"/>
              <w:rPr>
                <w:rFonts w:cs="Times New Roman"/>
                <w:sz w:val="21"/>
              </w:rPr>
            </w:pPr>
            <w:r>
              <w:rPr>
                <w:rFonts w:hint="eastAsia" w:cs="Times New Roman"/>
                <w:sz w:val="21"/>
              </w:rPr>
              <w:t>8.3</w:t>
            </w:r>
          </w:p>
        </w:tc>
      </w:tr>
    </w:tbl>
    <w:p w14:paraId="3C3C621F">
      <w:pPr>
        <w:pStyle w:val="45"/>
        <w:rPr>
          <w:rFonts w:cs="Times New Roman"/>
        </w:rPr>
      </w:pPr>
      <w:r>
        <w:rPr>
          <w:rFonts w:hint="eastAsia" w:cs="Times New Roman"/>
        </w:rPr>
        <w:t xml:space="preserve">表3.4-31 </w:t>
      </w:r>
      <w:r>
        <w:rPr>
          <w:rFonts w:cs="Times New Roman"/>
        </w:rPr>
        <w:t xml:space="preserve"> </w:t>
      </w:r>
      <w:r>
        <w:rPr>
          <w:rFonts w:hint="eastAsia" w:cs="Times New Roman"/>
        </w:rPr>
        <w:t>江苏省畜禽规模化养殖排污系数</w:t>
      </w:r>
    </w:p>
    <w:tbl>
      <w:tblPr>
        <w:tblStyle w:val="25"/>
        <w:tblW w:w="5000" w:type="pct"/>
        <w:tblInd w:w="0" w:type="dxa"/>
        <w:tblLayout w:type="autofit"/>
        <w:tblCellMar>
          <w:top w:w="0" w:type="dxa"/>
          <w:left w:w="108" w:type="dxa"/>
          <w:bottom w:w="0" w:type="dxa"/>
          <w:right w:w="108" w:type="dxa"/>
        </w:tblCellMar>
      </w:tblPr>
      <w:tblGrid>
        <w:gridCol w:w="1227"/>
        <w:gridCol w:w="1771"/>
        <w:gridCol w:w="1629"/>
        <w:gridCol w:w="1392"/>
        <w:gridCol w:w="1251"/>
        <w:gridCol w:w="1252"/>
      </w:tblGrid>
      <w:tr w14:paraId="2D854459">
        <w:tblPrEx>
          <w:tblCellMar>
            <w:top w:w="0" w:type="dxa"/>
            <w:left w:w="108" w:type="dxa"/>
            <w:bottom w:w="0" w:type="dxa"/>
            <w:right w:w="108" w:type="dxa"/>
          </w:tblCellMar>
        </w:tblPrEx>
        <w:trPr>
          <w:trHeight w:val="255" w:hRule="atLeast"/>
        </w:trPr>
        <w:tc>
          <w:tcPr>
            <w:tcW w:w="720" w:type="pct"/>
            <w:tcBorders>
              <w:top w:val="single" w:color="auto" w:sz="4" w:space="0"/>
              <w:left w:val="single" w:color="auto" w:sz="4" w:space="0"/>
              <w:bottom w:val="single" w:color="auto" w:sz="4" w:space="0"/>
              <w:right w:val="single" w:color="auto" w:sz="4" w:space="0"/>
            </w:tcBorders>
            <w:vAlign w:val="center"/>
          </w:tcPr>
          <w:p w14:paraId="738D161A">
            <w:pPr>
              <w:spacing w:line="240" w:lineRule="auto"/>
              <w:ind w:firstLine="0" w:firstLineChars="0"/>
              <w:jc w:val="center"/>
              <w:rPr>
                <w:b/>
                <w:sz w:val="21"/>
              </w:rPr>
            </w:pPr>
            <w:r>
              <w:rPr>
                <w:rFonts w:hint="eastAsia"/>
                <w:b/>
                <w:sz w:val="21"/>
              </w:rPr>
              <w:t>地区</w:t>
            </w:r>
          </w:p>
        </w:tc>
        <w:tc>
          <w:tcPr>
            <w:tcW w:w="1039" w:type="pct"/>
            <w:tcBorders>
              <w:top w:val="single" w:color="auto" w:sz="4" w:space="0"/>
              <w:left w:val="nil"/>
              <w:bottom w:val="single" w:color="auto" w:sz="4" w:space="0"/>
              <w:right w:val="single" w:color="auto" w:sz="4" w:space="0"/>
            </w:tcBorders>
            <w:vAlign w:val="center"/>
          </w:tcPr>
          <w:p w14:paraId="0695D14B">
            <w:pPr>
              <w:spacing w:line="240" w:lineRule="auto"/>
              <w:ind w:firstLine="0" w:firstLineChars="0"/>
              <w:jc w:val="center"/>
              <w:rPr>
                <w:b/>
                <w:sz w:val="21"/>
              </w:rPr>
            </w:pPr>
            <w:r>
              <w:rPr>
                <w:rFonts w:hint="eastAsia"/>
                <w:b/>
                <w:sz w:val="21"/>
              </w:rPr>
              <w:t>畜禽种类</w:t>
            </w:r>
          </w:p>
        </w:tc>
        <w:tc>
          <w:tcPr>
            <w:tcW w:w="956" w:type="pct"/>
            <w:tcBorders>
              <w:top w:val="single" w:color="auto" w:sz="4" w:space="0"/>
              <w:left w:val="nil"/>
              <w:bottom w:val="single" w:color="auto" w:sz="4" w:space="0"/>
              <w:right w:val="single" w:color="auto" w:sz="4" w:space="0"/>
            </w:tcBorders>
            <w:vAlign w:val="center"/>
          </w:tcPr>
          <w:p w14:paraId="3C8AE8D0">
            <w:pPr>
              <w:spacing w:line="240" w:lineRule="auto"/>
              <w:ind w:firstLine="0" w:firstLineChars="0"/>
              <w:jc w:val="center"/>
              <w:rPr>
                <w:b/>
                <w:sz w:val="21"/>
              </w:rPr>
            </w:pPr>
            <w:r>
              <w:rPr>
                <w:rFonts w:hint="eastAsia"/>
                <w:b/>
                <w:sz w:val="21"/>
              </w:rPr>
              <w:t>化学需氧量</w:t>
            </w:r>
          </w:p>
        </w:tc>
        <w:tc>
          <w:tcPr>
            <w:tcW w:w="817" w:type="pct"/>
            <w:tcBorders>
              <w:top w:val="single" w:color="auto" w:sz="4" w:space="0"/>
              <w:left w:val="nil"/>
              <w:bottom w:val="single" w:color="auto" w:sz="4" w:space="0"/>
              <w:right w:val="single" w:color="auto" w:sz="4" w:space="0"/>
            </w:tcBorders>
            <w:vAlign w:val="center"/>
          </w:tcPr>
          <w:p w14:paraId="381240BD">
            <w:pPr>
              <w:spacing w:line="240" w:lineRule="auto"/>
              <w:ind w:firstLine="0" w:firstLineChars="0"/>
              <w:jc w:val="center"/>
              <w:rPr>
                <w:b/>
                <w:sz w:val="21"/>
              </w:rPr>
            </w:pPr>
            <w:r>
              <w:rPr>
                <w:rFonts w:hint="eastAsia"/>
                <w:b/>
                <w:sz w:val="21"/>
              </w:rPr>
              <w:t>总氮</w:t>
            </w:r>
          </w:p>
        </w:tc>
        <w:tc>
          <w:tcPr>
            <w:tcW w:w="734" w:type="pct"/>
            <w:tcBorders>
              <w:top w:val="single" w:color="auto" w:sz="4" w:space="0"/>
              <w:left w:val="nil"/>
              <w:bottom w:val="single" w:color="auto" w:sz="4" w:space="0"/>
              <w:right w:val="single" w:color="auto" w:sz="4" w:space="0"/>
            </w:tcBorders>
            <w:vAlign w:val="center"/>
          </w:tcPr>
          <w:p w14:paraId="2F4A6FF2">
            <w:pPr>
              <w:spacing w:line="240" w:lineRule="auto"/>
              <w:ind w:firstLine="0" w:firstLineChars="0"/>
              <w:jc w:val="center"/>
              <w:rPr>
                <w:b/>
                <w:sz w:val="21"/>
              </w:rPr>
            </w:pPr>
            <w:r>
              <w:rPr>
                <w:rFonts w:hint="eastAsia"/>
                <w:b/>
                <w:sz w:val="21"/>
              </w:rPr>
              <w:t>氨氮</w:t>
            </w:r>
          </w:p>
        </w:tc>
        <w:tc>
          <w:tcPr>
            <w:tcW w:w="734" w:type="pct"/>
            <w:tcBorders>
              <w:top w:val="single" w:color="auto" w:sz="4" w:space="0"/>
              <w:left w:val="nil"/>
              <w:bottom w:val="single" w:color="auto" w:sz="4" w:space="0"/>
              <w:right w:val="single" w:color="auto" w:sz="4" w:space="0"/>
            </w:tcBorders>
            <w:vAlign w:val="center"/>
          </w:tcPr>
          <w:p w14:paraId="55B57639">
            <w:pPr>
              <w:spacing w:line="240" w:lineRule="auto"/>
              <w:ind w:firstLine="0" w:firstLineChars="0"/>
              <w:jc w:val="center"/>
              <w:rPr>
                <w:b/>
                <w:sz w:val="21"/>
              </w:rPr>
            </w:pPr>
            <w:r>
              <w:rPr>
                <w:rFonts w:hint="eastAsia"/>
                <w:b/>
                <w:sz w:val="21"/>
              </w:rPr>
              <w:t>总磷</w:t>
            </w:r>
          </w:p>
        </w:tc>
      </w:tr>
      <w:tr w14:paraId="7780E469">
        <w:tblPrEx>
          <w:tblCellMar>
            <w:top w:w="0" w:type="dxa"/>
            <w:left w:w="108" w:type="dxa"/>
            <w:bottom w:w="0" w:type="dxa"/>
            <w:right w:w="108" w:type="dxa"/>
          </w:tblCellMar>
        </w:tblPrEx>
        <w:trPr>
          <w:trHeight w:val="255" w:hRule="atLeast"/>
        </w:trPr>
        <w:tc>
          <w:tcPr>
            <w:tcW w:w="720" w:type="pct"/>
            <w:vMerge w:val="restart"/>
            <w:tcBorders>
              <w:top w:val="nil"/>
              <w:left w:val="single" w:color="auto" w:sz="4" w:space="0"/>
              <w:bottom w:val="single" w:color="auto" w:sz="4" w:space="0"/>
              <w:right w:val="single" w:color="auto" w:sz="4" w:space="0"/>
            </w:tcBorders>
            <w:vAlign w:val="center"/>
          </w:tcPr>
          <w:p w14:paraId="6C9BC36D">
            <w:pPr>
              <w:spacing w:line="240" w:lineRule="auto"/>
              <w:ind w:firstLine="0" w:firstLineChars="0"/>
              <w:jc w:val="center"/>
              <w:rPr>
                <w:sz w:val="21"/>
              </w:rPr>
            </w:pPr>
            <w:r>
              <w:rPr>
                <w:rFonts w:hint="eastAsia"/>
                <w:sz w:val="21"/>
              </w:rPr>
              <w:t>江苏省</w:t>
            </w:r>
          </w:p>
        </w:tc>
        <w:tc>
          <w:tcPr>
            <w:tcW w:w="1039" w:type="pct"/>
            <w:tcBorders>
              <w:top w:val="nil"/>
              <w:left w:val="nil"/>
              <w:bottom w:val="single" w:color="auto" w:sz="4" w:space="0"/>
              <w:right w:val="single" w:color="auto" w:sz="4" w:space="0"/>
            </w:tcBorders>
            <w:vAlign w:val="center"/>
          </w:tcPr>
          <w:p w14:paraId="2EA5162C">
            <w:pPr>
              <w:spacing w:line="240" w:lineRule="auto"/>
              <w:ind w:firstLine="0" w:firstLineChars="0"/>
              <w:jc w:val="center"/>
              <w:rPr>
                <w:sz w:val="21"/>
              </w:rPr>
            </w:pPr>
            <w:r>
              <w:rPr>
                <w:rFonts w:hint="eastAsia"/>
                <w:sz w:val="21"/>
              </w:rPr>
              <w:t>生猪（千克/头）</w:t>
            </w:r>
          </w:p>
        </w:tc>
        <w:tc>
          <w:tcPr>
            <w:tcW w:w="956" w:type="pct"/>
            <w:tcBorders>
              <w:top w:val="nil"/>
              <w:left w:val="nil"/>
              <w:bottom w:val="single" w:color="auto" w:sz="4" w:space="0"/>
              <w:right w:val="single" w:color="auto" w:sz="4" w:space="0"/>
            </w:tcBorders>
            <w:vAlign w:val="center"/>
          </w:tcPr>
          <w:p w14:paraId="0E506D47">
            <w:pPr>
              <w:spacing w:line="240" w:lineRule="auto"/>
              <w:ind w:firstLine="0" w:firstLineChars="0"/>
              <w:jc w:val="center"/>
              <w:rPr>
                <w:sz w:val="21"/>
              </w:rPr>
            </w:pPr>
            <w:r>
              <w:rPr>
                <w:rFonts w:hint="eastAsia"/>
                <w:sz w:val="21"/>
              </w:rPr>
              <w:t>8.8285</w:t>
            </w:r>
          </w:p>
        </w:tc>
        <w:tc>
          <w:tcPr>
            <w:tcW w:w="817" w:type="pct"/>
            <w:tcBorders>
              <w:top w:val="nil"/>
              <w:left w:val="nil"/>
              <w:bottom w:val="single" w:color="auto" w:sz="4" w:space="0"/>
              <w:right w:val="single" w:color="auto" w:sz="4" w:space="0"/>
            </w:tcBorders>
            <w:vAlign w:val="center"/>
          </w:tcPr>
          <w:p w14:paraId="3E7D07B9">
            <w:pPr>
              <w:spacing w:line="240" w:lineRule="auto"/>
              <w:ind w:firstLine="0" w:firstLineChars="0"/>
              <w:jc w:val="center"/>
              <w:rPr>
                <w:sz w:val="21"/>
              </w:rPr>
            </w:pPr>
            <w:r>
              <w:rPr>
                <w:rFonts w:hint="eastAsia"/>
                <w:sz w:val="21"/>
              </w:rPr>
              <w:t>0.9487</w:t>
            </w:r>
          </w:p>
        </w:tc>
        <w:tc>
          <w:tcPr>
            <w:tcW w:w="734" w:type="pct"/>
            <w:tcBorders>
              <w:top w:val="nil"/>
              <w:left w:val="nil"/>
              <w:bottom w:val="single" w:color="auto" w:sz="4" w:space="0"/>
              <w:right w:val="single" w:color="auto" w:sz="4" w:space="0"/>
            </w:tcBorders>
            <w:vAlign w:val="center"/>
          </w:tcPr>
          <w:p w14:paraId="5D9E1042">
            <w:pPr>
              <w:spacing w:line="240" w:lineRule="auto"/>
              <w:ind w:firstLine="0" w:firstLineChars="0"/>
              <w:jc w:val="center"/>
              <w:rPr>
                <w:sz w:val="21"/>
              </w:rPr>
            </w:pPr>
            <w:r>
              <w:rPr>
                <w:rFonts w:hint="eastAsia"/>
                <w:sz w:val="21"/>
              </w:rPr>
              <w:t>0.2761</w:t>
            </w:r>
          </w:p>
        </w:tc>
        <w:tc>
          <w:tcPr>
            <w:tcW w:w="734" w:type="pct"/>
            <w:tcBorders>
              <w:top w:val="nil"/>
              <w:left w:val="nil"/>
              <w:bottom w:val="single" w:color="auto" w:sz="4" w:space="0"/>
              <w:right w:val="single" w:color="auto" w:sz="4" w:space="0"/>
            </w:tcBorders>
            <w:vAlign w:val="center"/>
          </w:tcPr>
          <w:p w14:paraId="13E29BD5">
            <w:pPr>
              <w:spacing w:line="240" w:lineRule="auto"/>
              <w:ind w:firstLine="0" w:firstLineChars="0"/>
              <w:jc w:val="center"/>
              <w:rPr>
                <w:sz w:val="21"/>
              </w:rPr>
            </w:pPr>
            <w:r>
              <w:rPr>
                <w:rFonts w:hint="eastAsia"/>
                <w:sz w:val="21"/>
              </w:rPr>
              <w:t>0.1764</w:t>
            </w:r>
          </w:p>
        </w:tc>
      </w:tr>
      <w:tr w14:paraId="7FB3290E">
        <w:tblPrEx>
          <w:tblCellMar>
            <w:top w:w="0" w:type="dxa"/>
            <w:left w:w="108" w:type="dxa"/>
            <w:bottom w:w="0" w:type="dxa"/>
            <w:right w:w="108" w:type="dxa"/>
          </w:tblCellMar>
        </w:tblPrEx>
        <w:trPr>
          <w:trHeight w:val="255" w:hRule="atLeast"/>
        </w:trPr>
        <w:tc>
          <w:tcPr>
            <w:tcW w:w="720" w:type="pct"/>
            <w:vMerge w:val="continue"/>
            <w:tcBorders>
              <w:top w:val="nil"/>
              <w:left w:val="single" w:color="auto" w:sz="4" w:space="0"/>
              <w:bottom w:val="single" w:color="auto" w:sz="4" w:space="0"/>
              <w:right w:val="single" w:color="auto" w:sz="4" w:space="0"/>
            </w:tcBorders>
            <w:vAlign w:val="center"/>
          </w:tcPr>
          <w:p w14:paraId="26C78C87">
            <w:pPr>
              <w:spacing w:line="240" w:lineRule="auto"/>
              <w:ind w:firstLine="0" w:firstLineChars="0"/>
              <w:jc w:val="center"/>
              <w:rPr>
                <w:sz w:val="21"/>
              </w:rPr>
            </w:pPr>
          </w:p>
        </w:tc>
        <w:tc>
          <w:tcPr>
            <w:tcW w:w="1039" w:type="pct"/>
            <w:tcBorders>
              <w:top w:val="nil"/>
              <w:left w:val="nil"/>
              <w:bottom w:val="single" w:color="auto" w:sz="4" w:space="0"/>
              <w:right w:val="single" w:color="auto" w:sz="4" w:space="0"/>
            </w:tcBorders>
            <w:vAlign w:val="center"/>
          </w:tcPr>
          <w:p w14:paraId="5066DE99">
            <w:pPr>
              <w:spacing w:line="240" w:lineRule="auto"/>
              <w:ind w:firstLine="0" w:firstLineChars="0"/>
              <w:jc w:val="center"/>
              <w:rPr>
                <w:sz w:val="21"/>
              </w:rPr>
            </w:pPr>
            <w:r>
              <w:rPr>
                <w:rFonts w:hint="eastAsia"/>
                <w:sz w:val="21"/>
              </w:rPr>
              <w:t>奶牛（千克/头）</w:t>
            </w:r>
          </w:p>
        </w:tc>
        <w:tc>
          <w:tcPr>
            <w:tcW w:w="956" w:type="pct"/>
            <w:tcBorders>
              <w:top w:val="nil"/>
              <w:left w:val="nil"/>
              <w:bottom w:val="single" w:color="auto" w:sz="4" w:space="0"/>
              <w:right w:val="single" w:color="auto" w:sz="4" w:space="0"/>
            </w:tcBorders>
            <w:vAlign w:val="center"/>
          </w:tcPr>
          <w:p w14:paraId="15767F55">
            <w:pPr>
              <w:spacing w:line="240" w:lineRule="auto"/>
              <w:ind w:firstLine="0" w:firstLineChars="0"/>
              <w:jc w:val="center"/>
              <w:rPr>
                <w:sz w:val="21"/>
              </w:rPr>
            </w:pPr>
            <w:r>
              <w:rPr>
                <w:rFonts w:hint="eastAsia"/>
                <w:sz w:val="21"/>
              </w:rPr>
              <w:t>150.5777</w:t>
            </w:r>
          </w:p>
        </w:tc>
        <w:tc>
          <w:tcPr>
            <w:tcW w:w="817" w:type="pct"/>
            <w:tcBorders>
              <w:top w:val="nil"/>
              <w:left w:val="nil"/>
              <w:bottom w:val="single" w:color="auto" w:sz="4" w:space="0"/>
              <w:right w:val="single" w:color="auto" w:sz="4" w:space="0"/>
            </w:tcBorders>
            <w:vAlign w:val="center"/>
          </w:tcPr>
          <w:p w14:paraId="7DFF9AFE">
            <w:pPr>
              <w:spacing w:line="240" w:lineRule="auto"/>
              <w:ind w:firstLine="0" w:firstLineChars="0"/>
              <w:jc w:val="center"/>
              <w:rPr>
                <w:sz w:val="21"/>
              </w:rPr>
            </w:pPr>
            <w:r>
              <w:rPr>
                <w:rFonts w:hint="eastAsia"/>
                <w:sz w:val="21"/>
              </w:rPr>
              <w:t>7.6971</w:t>
            </w:r>
          </w:p>
        </w:tc>
        <w:tc>
          <w:tcPr>
            <w:tcW w:w="734" w:type="pct"/>
            <w:tcBorders>
              <w:top w:val="nil"/>
              <w:left w:val="nil"/>
              <w:bottom w:val="single" w:color="auto" w:sz="4" w:space="0"/>
              <w:right w:val="single" w:color="auto" w:sz="4" w:space="0"/>
            </w:tcBorders>
            <w:vAlign w:val="center"/>
          </w:tcPr>
          <w:p w14:paraId="51EA0E8A">
            <w:pPr>
              <w:spacing w:line="240" w:lineRule="auto"/>
              <w:ind w:firstLine="0" w:firstLineChars="0"/>
              <w:jc w:val="center"/>
              <w:rPr>
                <w:sz w:val="21"/>
              </w:rPr>
            </w:pPr>
            <w:r>
              <w:rPr>
                <w:rFonts w:hint="eastAsia"/>
                <w:sz w:val="21"/>
              </w:rPr>
              <w:t>0.5341</w:t>
            </w:r>
          </w:p>
        </w:tc>
        <w:tc>
          <w:tcPr>
            <w:tcW w:w="734" w:type="pct"/>
            <w:tcBorders>
              <w:top w:val="nil"/>
              <w:left w:val="nil"/>
              <w:bottom w:val="single" w:color="auto" w:sz="4" w:space="0"/>
              <w:right w:val="single" w:color="auto" w:sz="4" w:space="0"/>
            </w:tcBorders>
            <w:vAlign w:val="center"/>
          </w:tcPr>
          <w:p w14:paraId="1B3C9F2C">
            <w:pPr>
              <w:spacing w:line="240" w:lineRule="auto"/>
              <w:ind w:firstLine="0" w:firstLineChars="0"/>
              <w:jc w:val="center"/>
              <w:rPr>
                <w:sz w:val="21"/>
              </w:rPr>
            </w:pPr>
            <w:r>
              <w:rPr>
                <w:rFonts w:hint="eastAsia"/>
                <w:sz w:val="21"/>
              </w:rPr>
              <w:t>0.8523</w:t>
            </w:r>
          </w:p>
        </w:tc>
      </w:tr>
      <w:tr w14:paraId="1539D5B2">
        <w:tblPrEx>
          <w:tblCellMar>
            <w:top w:w="0" w:type="dxa"/>
            <w:left w:w="108" w:type="dxa"/>
            <w:bottom w:w="0" w:type="dxa"/>
            <w:right w:w="108" w:type="dxa"/>
          </w:tblCellMar>
        </w:tblPrEx>
        <w:trPr>
          <w:trHeight w:val="255" w:hRule="atLeast"/>
        </w:trPr>
        <w:tc>
          <w:tcPr>
            <w:tcW w:w="720" w:type="pct"/>
            <w:vMerge w:val="continue"/>
            <w:tcBorders>
              <w:top w:val="nil"/>
              <w:left w:val="single" w:color="auto" w:sz="4" w:space="0"/>
              <w:bottom w:val="single" w:color="auto" w:sz="4" w:space="0"/>
              <w:right w:val="single" w:color="auto" w:sz="4" w:space="0"/>
            </w:tcBorders>
            <w:vAlign w:val="center"/>
          </w:tcPr>
          <w:p w14:paraId="173B08A2">
            <w:pPr>
              <w:spacing w:line="240" w:lineRule="auto"/>
              <w:ind w:firstLine="0" w:firstLineChars="0"/>
              <w:jc w:val="center"/>
              <w:rPr>
                <w:sz w:val="21"/>
              </w:rPr>
            </w:pPr>
          </w:p>
        </w:tc>
        <w:tc>
          <w:tcPr>
            <w:tcW w:w="1039" w:type="pct"/>
            <w:tcBorders>
              <w:top w:val="nil"/>
              <w:left w:val="nil"/>
              <w:bottom w:val="single" w:color="auto" w:sz="4" w:space="0"/>
              <w:right w:val="single" w:color="auto" w:sz="4" w:space="0"/>
            </w:tcBorders>
            <w:vAlign w:val="center"/>
          </w:tcPr>
          <w:p w14:paraId="4EC6DCC8">
            <w:pPr>
              <w:spacing w:line="240" w:lineRule="auto"/>
              <w:ind w:firstLine="0" w:firstLineChars="0"/>
              <w:jc w:val="center"/>
              <w:rPr>
                <w:sz w:val="21"/>
              </w:rPr>
            </w:pPr>
            <w:r>
              <w:rPr>
                <w:rFonts w:hint="eastAsia"/>
                <w:sz w:val="21"/>
              </w:rPr>
              <w:t>肉牛（千克/头）</w:t>
            </w:r>
          </w:p>
        </w:tc>
        <w:tc>
          <w:tcPr>
            <w:tcW w:w="956" w:type="pct"/>
            <w:tcBorders>
              <w:top w:val="nil"/>
              <w:left w:val="nil"/>
              <w:bottom w:val="single" w:color="auto" w:sz="4" w:space="0"/>
              <w:right w:val="single" w:color="auto" w:sz="4" w:space="0"/>
            </w:tcBorders>
            <w:vAlign w:val="center"/>
          </w:tcPr>
          <w:p w14:paraId="3E10CBC2">
            <w:pPr>
              <w:spacing w:line="240" w:lineRule="auto"/>
              <w:ind w:firstLine="0" w:firstLineChars="0"/>
              <w:jc w:val="center"/>
              <w:rPr>
                <w:sz w:val="21"/>
              </w:rPr>
            </w:pPr>
            <w:r>
              <w:rPr>
                <w:rFonts w:hint="eastAsia"/>
                <w:sz w:val="21"/>
              </w:rPr>
              <w:t>132.9017</w:t>
            </w:r>
          </w:p>
        </w:tc>
        <w:tc>
          <w:tcPr>
            <w:tcW w:w="817" w:type="pct"/>
            <w:tcBorders>
              <w:top w:val="nil"/>
              <w:left w:val="nil"/>
              <w:bottom w:val="single" w:color="auto" w:sz="4" w:space="0"/>
              <w:right w:val="single" w:color="auto" w:sz="4" w:space="0"/>
            </w:tcBorders>
            <w:vAlign w:val="center"/>
          </w:tcPr>
          <w:p w14:paraId="2565A8EB">
            <w:pPr>
              <w:spacing w:line="240" w:lineRule="auto"/>
              <w:ind w:firstLine="0" w:firstLineChars="0"/>
              <w:jc w:val="center"/>
              <w:rPr>
                <w:sz w:val="21"/>
              </w:rPr>
            </w:pPr>
            <w:r>
              <w:rPr>
                <w:rFonts w:hint="eastAsia"/>
                <w:sz w:val="21"/>
              </w:rPr>
              <w:t>4.4942</w:t>
            </w:r>
          </w:p>
        </w:tc>
        <w:tc>
          <w:tcPr>
            <w:tcW w:w="734" w:type="pct"/>
            <w:tcBorders>
              <w:top w:val="nil"/>
              <w:left w:val="nil"/>
              <w:bottom w:val="single" w:color="auto" w:sz="4" w:space="0"/>
              <w:right w:val="single" w:color="auto" w:sz="4" w:space="0"/>
            </w:tcBorders>
            <w:vAlign w:val="center"/>
          </w:tcPr>
          <w:p w14:paraId="480E183C">
            <w:pPr>
              <w:spacing w:line="240" w:lineRule="auto"/>
              <w:ind w:firstLine="0" w:firstLineChars="0"/>
              <w:jc w:val="center"/>
              <w:rPr>
                <w:sz w:val="21"/>
              </w:rPr>
            </w:pPr>
            <w:r>
              <w:rPr>
                <w:rFonts w:hint="eastAsia"/>
                <w:sz w:val="21"/>
              </w:rPr>
              <w:t>1.2285</w:t>
            </w:r>
          </w:p>
        </w:tc>
        <w:tc>
          <w:tcPr>
            <w:tcW w:w="734" w:type="pct"/>
            <w:tcBorders>
              <w:top w:val="nil"/>
              <w:left w:val="nil"/>
              <w:bottom w:val="single" w:color="auto" w:sz="4" w:space="0"/>
              <w:right w:val="single" w:color="auto" w:sz="4" w:space="0"/>
            </w:tcBorders>
            <w:vAlign w:val="center"/>
          </w:tcPr>
          <w:p w14:paraId="5FC49FF8">
            <w:pPr>
              <w:spacing w:line="240" w:lineRule="auto"/>
              <w:ind w:firstLine="0" w:firstLineChars="0"/>
              <w:jc w:val="center"/>
              <w:rPr>
                <w:sz w:val="21"/>
              </w:rPr>
            </w:pPr>
            <w:r>
              <w:rPr>
                <w:rFonts w:hint="eastAsia"/>
                <w:sz w:val="21"/>
              </w:rPr>
              <w:t>0.6094</w:t>
            </w:r>
          </w:p>
        </w:tc>
      </w:tr>
      <w:tr w14:paraId="6DA151DC">
        <w:tblPrEx>
          <w:tblCellMar>
            <w:top w:w="0" w:type="dxa"/>
            <w:left w:w="108" w:type="dxa"/>
            <w:bottom w:w="0" w:type="dxa"/>
            <w:right w:w="108" w:type="dxa"/>
          </w:tblCellMar>
        </w:tblPrEx>
        <w:trPr>
          <w:trHeight w:val="255" w:hRule="atLeast"/>
        </w:trPr>
        <w:tc>
          <w:tcPr>
            <w:tcW w:w="720" w:type="pct"/>
            <w:vMerge w:val="continue"/>
            <w:tcBorders>
              <w:top w:val="nil"/>
              <w:left w:val="single" w:color="auto" w:sz="4" w:space="0"/>
              <w:bottom w:val="single" w:color="auto" w:sz="4" w:space="0"/>
              <w:right w:val="single" w:color="auto" w:sz="4" w:space="0"/>
            </w:tcBorders>
            <w:vAlign w:val="center"/>
          </w:tcPr>
          <w:p w14:paraId="66C7D704">
            <w:pPr>
              <w:spacing w:line="240" w:lineRule="auto"/>
              <w:ind w:firstLine="0" w:firstLineChars="0"/>
              <w:jc w:val="center"/>
              <w:rPr>
                <w:sz w:val="21"/>
              </w:rPr>
            </w:pPr>
          </w:p>
        </w:tc>
        <w:tc>
          <w:tcPr>
            <w:tcW w:w="1039" w:type="pct"/>
            <w:tcBorders>
              <w:top w:val="nil"/>
              <w:left w:val="nil"/>
              <w:bottom w:val="single" w:color="auto" w:sz="4" w:space="0"/>
              <w:right w:val="single" w:color="auto" w:sz="4" w:space="0"/>
            </w:tcBorders>
            <w:vAlign w:val="center"/>
          </w:tcPr>
          <w:p w14:paraId="1B90ADFD">
            <w:pPr>
              <w:spacing w:line="240" w:lineRule="auto"/>
              <w:ind w:firstLine="0" w:firstLineChars="0"/>
              <w:jc w:val="center"/>
              <w:rPr>
                <w:sz w:val="21"/>
              </w:rPr>
            </w:pPr>
            <w:r>
              <w:rPr>
                <w:rFonts w:hint="eastAsia"/>
                <w:sz w:val="21"/>
              </w:rPr>
              <w:t>蛋鸡（千克/羽）</w:t>
            </w:r>
          </w:p>
        </w:tc>
        <w:tc>
          <w:tcPr>
            <w:tcW w:w="956" w:type="pct"/>
            <w:tcBorders>
              <w:top w:val="nil"/>
              <w:left w:val="nil"/>
              <w:bottom w:val="single" w:color="auto" w:sz="4" w:space="0"/>
              <w:right w:val="single" w:color="auto" w:sz="4" w:space="0"/>
            </w:tcBorders>
            <w:vAlign w:val="center"/>
          </w:tcPr>
          <w:p w14:paraId="186F8E37">
            <w:pPr>
              <w:spacing w:line="240" w:lineRule="auto"/>
              <w:ind w:firstLine="0" w:firstLineChars="0"/>
              <w:jc w:val="center"/>
              <w:rPr>
                <w:sz w:val="21"/>
              </w:rPr>
            </w:pPr>
            <w:r>
              <w:rPr>
                <w:rFonts w:hint="eastAsia"/>
                <w:sz w:val="21"/>
              </w:rPr>
              <w:t>1.2484</w:t>
            </w:r>
          </w:p>
        </w:tc>
        <w:tc>
          <w:tcPr>
            <w:tcW w:w="817" w:type="pct"/>
            <w:tcBorders>
              <w:top w:val="nil"/>
              <w:left w:val="nil"/>
              <w:bottom w:val="single" w:color="auto" w:sz="4" w:space="0"/>
              <w:right w:val="single" w:color="auto" w:sz="4" w:space="0"/>
            </w:tcBorders>
            <w:vAlign w:val="center"/>
          </w:tcPr>
          <w:p w14:paraId="0AAF9C84">
            <w:pPr>
              <w:spacing w:line="240" w:lineRule="auto"/>
              <w:ind w:firstLine="0" w:firstLineChars="0"/>
              <w:jc w:val="center"/>
              <w:rPr>
                <w:sz w:val="21"/>
              </w:rPr>
            </w:pPr>
            <w:r>
              <w:rPr>
                <w:rFonts w:hint="eastAsia"/>
                <w:sz w:val="21"/>
              </w:rPr>
              <w:t>0.0647</w:t>
            </w:r>
          </w:p>
        </w:tc>
        <w:tc>
          <w:tcPr>
            <w:tcW w:w="734" w:type="pct"/>
            <w:tcBorders>
              <w:top w:val="nil"/>
              <w:left w:val="nil"/>
              <w:bottom w:val="single" w:color="auto" w:sz="4" w:space="0"/>
              <w:right w:val="single" w:color="auto" w:sz="4" w:space="0"/>
            </w:tcBorders>
            <w:vAlign w:val="center"/>
          </w:tcPr>
          <w:p w14:paraId="0E1420D7">
            <w:pPr>
              <w:spacing w:line="240" w:lineRule="auto"/>
              <w:ind w:firstLine="0" w:firstLineChars="0"/>
              <w:jc w:val="center"/>
              <w:rPr>
                <w:sz w:val="21"/>
              </w:rPr>
            </w:pPr>
            <w:r>
              <w:rPr>
                <w:rFonts w:hint="eastAsia"/>
                <w:sz w:val="21"/>
              </w:rPr>
              <w:t>0.0051</w:t>
            </w:r>
          </w:p>
        </w:tc>
        <w:tc>
          <w:tcPr>
            <w:tcW w:w="734" w:type="pct"/>
            <w:tcBorders>
              <w:top w:val="nil"/>
              <w:left w:val="nil"/>
              <w:bottom w:val="single" w:color="auto" w:sz="4" w:space="0"/>
              <w:right w:val="single" w:color="auto" w:sz="4" w:space="0"/>
            </w:tcBorders>
            <w:vAlign w:val="center"/>
          </w:tcPr>
          <w:p w14:paraId="353C8404">
            <w:pPr>
              <w:spacing w:line="240" w:lineRule="auto"/>
              <w:ind w:firstLine="0" w:firstLineChars="0"/>
              <w:jc w:val="center"/>
              <w:rPr>
                <w:sz w:val="21"/>
              </w:rPr>
            </w:pPr>
            <w:r>
              <w:rPr>
                <w:rFonts w:hint="eastAsia"/>
                <w:sz w:val="21"/>
              </w:rPr>
              <w:t>0.018</w:t>
            </w:r>
          </w:p>
        </w:tc>
      </w:tr>
      <w:tr w14:paraId="740A9B8C">
        <w:tblPrEx>
          <w:tblCellMar>
            <w:top w:w="0" w:type="dxa"/>
            <w:left w:w="108" w:type="dxa"/>
            <w:bottom w:w="0" w:type="dxa"/>
            <w:right w:w="108" w:type="dxa"/>
          </w:tblCellMar>
        </w:tblPrEx>
        <w:trPr>
          <w:trHeight w:val="255" w:hRule="atLeast"/>
        </w:trPr>
        <w:tc>
          <w:tcPr>
            <w:tcW w:w="720" w:type="pct"/>
            <w:vMerge w:val="continue"/>
            <w:tcBorders>
              <w:top w:val="nil"/>
              <w:left w:val="single" w:color="auto" w:sz="4" w:space="0"/>
              <w:bottom w:val="single" w:color="auto" w:sz="4" w:space="0"/>
              <w:right w:val="single" w:color="auto" w:sz="4" w:space="0"/>
            </w:tcBorders>
            <w:vAlign w:val="center"/>
          </w:tcPr>
          <w:p w14:paraId="60CE5EE7">
            <w:pPr>
              <w:spacing w:line="240" w:lineRule="auto"/>
              <w:ind w:firstLine="0" w:firstLineChars="0"/>
              <w:jc w:val="center"/>
              <w:rPr>
                <w:sz w:val="21"/>
              </w:rPr>
            </w:pPr>
          </w:p>
        </w:tc>
        <w:tc>
          <w:tcPr>
            <w:tcW w:w="1039" w:type="pct"/>
            <w:tcBorders>
              <w:top w:val="nil"/>
              <w:left w:val="nil"/>
              <w:bottom w:val="single" w:color="auto" w:sz="4" w:space="0"/>
              <w:right w:val="single" w:color="auto" w:sz="4" w:space="0"/>
            </w:tcBorders>
            <w:vAlign w:val="center"/>
          </w:tcPr>
          <w:p w14:paraId="681BB907">
            <w:pPr>
              <w:spacing w:line="240" w:lineRule="auto"/>
              <w:ind w:firstLine="0" w:firstLineChars="0"/>
              <w:jc w:val="center"/>
              <w:rPr>
                <w:sz w:val="21"/>
              </w:rPr>
            </w:pPr>
            <w:r>
              <w:rPr>
                <w:rFonts w:hint="eastAsia"/>
                <w:sz w:val="21"/>
              </w:rPr>
              <w:t>肉鸡（千克/羽）</w:t>
            </w:r>
          </w:p>
        </w:tc>
        <w:tc>
          <w:tcPr>
            <w:tcW w:w="956" w:type="pct"/>
            <w:tcBorders>
              <w:top w:val="nil"/>
              <w:left w:val="nil"/>
              <w:bottom w:val="single" w:color="auto" w:sz="4" w:space="0"/>
              <w:right w:val="single" w:color="auto" w:sz="4" w:space="0"/>
            </w:tcBorders>
            <w:vAlign w:val="center"/>
          </w:tcPr>
          <w:p w14:paraId="0A963E14">
            <w:pPr>
              <w:spacing w:line="240" w:lineRule="auto"/>
              <w:ind w:firstLine="0" w:firstLineChars="0"/>
              <w:jc w:val="center"/>
              <w:rPr>
                <w:sz w:val="21"/>
              </w:rPr>
            </w:pPr>
            <w:r>
              <w:rPr>
                <w:rFonts w:hint="eastAsia"/>
                <w:sz w:val="21"/>
              </w:rPr>
              <w:t>0.2486</w:t>
            </w:r>
          </w:p>
        </w:tc>
        <w:tc>
          <w:tcPr>
            <w:tcW w:w="817" w:type="pct"/>
            <w:tcBorders>
              <w:top w:val="nil"/>
              <w:left w:val="nil"/>
              <w:bottom w:val="single" w:color="auto" w:sz="4" w:space="0"/>
              <w:right w:val="single" w:color="auto" w:sz="4" w:space="0"/>
            </w:tcBorders>
            <w:vAlign w:val="center"/>
          </w:tcPr>
          <w:p w14:paraId="40D83465">
            <w:pPr>
              <w:spacing w:line="240" w:lineRule="auto"/>
              <w:ind w:firstLine="0" w:firstLineChars="0"/>
              <w:jc w:val="center"/>
              <w:rPr>
                <w:sz w:val="21"/>
              </w:rPr>
            </w:pPr>
            <w:r>
              <w:rPr>
                <w:rFonts w:hint="eastAsia"/>
                <w:sz w:val="21"/>
              </w:rPr>
              <w:t>0.0097</w:t>
            </w:r>
          </w:p>
        </w:tc>
        <w:tc>
          <w:tcPr>
            <w:tcW w:w="734" w:type="pct"/>
            <w:tcBorders>
              <w:top w:val="nil"/>
              <w:left w:val="nil"/>
              <w:bottom w:val="single" w:color="auto" w:sz="4" w:space="0"/>
              <w:right w:val="single" w:color="auto" w:sz="4" w:space="0"/>
            </w:tcBorders>
            <w:vAlign w:val="center"/>
          </w:tcPr>
          <w:p w14:paraId="415EEA32">
            <w:pPr>
              <w:spacing w:line="240" w:lineRule="auto"/>
              <w:ind w:firstLine="0" w:firstLineChars="0"/>
              <w:jc w:val="center"/>
              <w:rPr>
                <w:sz w:val="21"/>
              </w:rPr>
            </w:pPr>
            <w:r>
              <w:rPr>
                <w:rFonts w:hint="eastAsia"/>
                <w:sz w:val="21"/>
              </w:rPr>
              <w:t>0.0036</w:t>
            </w:r>
          </w:p>
        </w:tc>
        <w:tc>
          <w:tcPr>
            <w:tcW w:w="734" w:type="pct"/>
            <w:tcBorders>
              <w:top w:val="nil"/>
              <w:left w:val="nil"/>
              <w:bottom w:val="single" w:color="auto" w:sz="4" w:space="0"/>
              <w:right w:val="single" w:color="auto" w:sz="4" w:space="0"/>
            </w:tcBorders>
            <w:vAlign w:val="center"/>
          </w:tcPr>
          <w:p w14:paraId="714B6264">
            <w:pPr>
              <w:spacing w:line="240" w:lineRule="auto"/>
              <w:ind w:firstLine="0" w:firstLineChars="0"/>
              <w:jc w:val="center"/>
              <w:rPr>
                <w:sz w:val="21"/>
              </w:rPr>
            </w:pPr>
            <w:r>
              <w:rPr>
                <w:rFonts w:hint="eastAsia"/>
                <w:sz w:val="21"/>
              </w:rPr>
              <w:t>0.0021</w:t>
            </w:r>
          </w:p>
        </w:tc>
      </w:tr>
    </w:tbl>
    <w:p w14:paraId="55FE4890">
      <w:pPr>
        <w:pStyle w:val="45"/>
        <w:rPr>
          <w:rFonts w:cs="Times New Roman"/>
        </w:rPr>
      </w:pPr>
      <w:r>
        <w:rPr>
          <w:rFonts w:hint="eastAsia" w:cs="Times New Roman"/>
        </w:rPr>
        <w:t>表3.4-32  江苏省畜禽养殖户排污系数表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1614"/>
        <w:gridCol w:w="1614"/>
        <w:gridCol w:w="1614"/>
        <w:gridCol w:w="1616"/>
      </w:tblGrid>
      <w:tr w14:paraId="12EC8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838" w:type="dxa"/>
            <w:vAlign w:val="center"/>
          </w:tcPr>
          <w:p w14:paraId="17329C26">
            <w:pPr>
              <w:spacing w:line="240" w:lineRule="auto"/>
              <w:ind w:firstLine="0" w:firstLineChars="0"/>
              <w:jc w:val="center"/>
              <w:rPr>
                <w:rFonts w:cs="Times New Roman"/>
                <w:b/>
                <w:sz w:val="21"/>
              </w:rPr>
            </w:pPr>
            <w:r>
              <w:rPr>
                <w:rFonts w:hint="eastAsia" w:cs="Times New Roman"/>
                <w:b/>
                <w:sz w:val="21"/>
              </w:rPr>
              <w:t>畜禽种类</w:t>
            </w:r>
          </w:p>
        </w:tc>
        <w:tc>
          <w:tcPr>
            <w:tcW w:w="1614" w:type="dxa"/>
            <w:vAlign w:val="center"/>
          </w:tcPr>
          <w:p w14:paraId="0B9D1D7F">
            <w:pPr>
              <w:spacing w:line="240" w:lineRule="auto"/>
              <w:ind w:firstLine="0" w:firstLineChars="0"/>
              <w:jc w:val="center"/>
              <w:rPr>
                <w:rFonts w:cs="Times New Roman"/>
                <w:b/>
                <w:sz w:val="21"/>
              </w:rPr>
            </w:pPr>
            <w:r>
              <w:rPr>
                <w:rFonts w:hint="eastAsia" w:cs="Times New Roman"/>
                <w:b/>
                <w:sz w:val="21"/>
              </w:rPr>
              <w:t>化学需氧量</w:t>
            </w:r>
          </w:p>
        </w:tc>
        <w:tc>
          <w:tcPr>
            <w:tcW w:w="1614" w:type="dxa"/>
            <w:vAlign w:val="center"/>
          </w:tcPr>
          <w:p w14:paraId="258153C0">
            <w:pPr>
              <w:spacing w:line="240" w:lineRule="auto"/>
              <w:ind w:firstLine="0" w:firstLineChars="0"/>
              <w:jc w:val="center"/>
              <w:rPr>
                <w:rFonts w:cs="Times New Roman"/>
                <w:b/>
                <w:sz w:val="21"/>
              </w:rPr>
            </w:pPr>
            <w:r>
              <w:rPr>
                <w:rFonts w:hint="eastAsia" w:cs="Times New Roman"/>
                <w:b/>
                <w:sz w:val="21"/>
              </w:rPr>
              <w:t>总氮</w:t>
            </w:r>
          </w:p>
        </w:tc>
        <w:tc>
          <w:tcPr>
            <w:tcW w:w="1614" w:type="dxa"/>
            <w:vAlign w:val="center"/>
          </w:tcPr>
          <w:p w14:paraId="6D76B295">
            <w:pPr>
              <w:spacing w:line="240" w:lineRule="auto"/>
              <w:ind w:firstLine="0" w:firstLineChars="0"/>
              <w:jc w:val="center"/>
              <w:rPr>
                <w:rFonts w:cs="Times New Roman"/>
                <w:b/>
                <w:sz w:val="21"/>
              </w:rPr>
            </w:pPr>
            <w:r>
              <w:rPr>
                <w:rFonts w:hint="eastAsia" w:cs="Times New Roman"/>
                <w:b/>
                <w:sz w:val="21"/>
              </w:rPr>
              <w:t>氨氮</w:t>
            </w:r>
          </w:p>
        </w:tc>
        <w:tc>
          <w:tcPr>
            <w:tcW w:w="1616" w:type="dxa"/>
            <w:vAlign w:val="center"/>
          </w:tcPr>
          <w:p w14:paraId="7DADE30E">
            <w:pPr>
              <w:spacing w:line="240" w:lineRule="auto"/>
              <w:ind w:firstLine="0" w:firstLineChars="0"/>
              <w:jc w:val="center"/>
              <w:rPr>
                <w:rFonts w:cs="Times New Roman"/>
                <w:b/>
                <w:sz w:val="21"/>
              </w:rPr>
            </w:pPr>
            <w:r>
              <w:rPr>
                <w:rFonts w:hint="eastAsia" w:cs="Times New Roman"/>
                <w:b/>
                <w:sz w:val="21"/>
              </w:rPr>
              <w:t>总磷</w:t>
            </w:r>
          </w:p>
        </w:tc>
      </w:tr>
      <w:tr w14:paraId="2B636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838" w:type="dxa"/>
            <w:vAlign w:val="center"/>
          </w:tcPr>
          <w:p w14:paraId="16854E5C">
            <w:pPr>
              <w:spacing w:line="240" w:lineRule="auto"/>
              <w:ind w:firstLine="0" w:firstLineChars="0"/>
              <w:jc w:val="center"/>
              <w:rPr>
                <w:rFonts w:cs="Times New Roman"/>
                <w:sz w:val="21"/>
              </w:rPr>
            </w:pPr>
            <w:r>
              <w:rPr>
                <w:rFonts w:hint="eastAsia" w:cs="Times New Roman"/>
                <w:sz w:val="21"/>
              </w:rPr>
              <w:t>生猪（千克/头）</w:t>
            </w:r>
          </w:p>
        </w:tc>
        <w:tc>
          <w:tcPr>
            <w:tcW w:w="1614" w:type="dxa"/>
            <w:vAlign w:val="center"/>
          </w:tcPr>
          <w:p w14:paraId="131BDB38">
            <w:pPr>
              <w:spacing w:line="240" w:lineRule="auto"/>
              <w:ind w:firstLine="0" w:firstLineChars="0"/>
              <w:jc w:val="center"/>
              <w:rPr>
                <w:rFonts w:cs="Times New Roman"/>
                <w:sz w:val="21"/>
              </w:rPr>
            </w:pPr>
            <w:r>
              <w:rPr>
                <w:rFonts w:hint="eastAsia" w:cs="Times New Roman"/>
                <w:sz w:val="21"/>
              </w:rPr>
              <w:t>6.8737</w:t>
            </w:r>
          </w:p>
        </w:tc>
        <w:tc>
          <w:tcPr>
            <w:tcW w:w="1614" w:type="dxa"/>
            <w:vAlign w:val="center"/>
          </w:tcPr>
          <w:p w14:paraId="2EB5A4DF">
            <w:pPr>
              <w:spacing w:line="240" w:lineRule="auto"/>
              <w:ind w:firstLine="0" w:firstLineChars="0"/>
              <w:jc w:val="center"/>
              <w:rPr>
                <w:rFonts w:cs="Times New Roman"/>
                <w:sz w:val="21"/>
              </w:rPr>
            </w:pPr>
            <w:r>
              <w:rPr>
                <w:rFonts w:hint="eastAsia" w:cs="Times New Roman"/>
                <w:sz w:val="21"/>
              </w:rPr>
              <w:t>0.3721</w:t>
            </w:r>
          </w:p>
        </w:tc>
        <w:tc>
          <w:tcPr>
            <w:tcW w:w="1614" w:type="dxa"/>
            <w:vAlign w:val="center"/>
          </w:tcPr>
          <w:p w14:paraId="0982DB54">
            <w:pPr>
              <w:spacing w:line="240" w:lineRule="auto"/>
              <w:ind w:firstLine="0" w:firstLineChars="0"/>
              <w:jc w:val="center"/>
              <w:rPr>
                <w:rFonts w:cs="Times New Roman"/>
                <w:sz w:val="21"/>
              </w:rPr>
            </w:pPr>
            <w:r>
              <w:rPr>
                <w:rFonts w:hint="eastAsia" w:cs="Times New Roman"/>
                <w:sz w:val="21"/>
              </w:rPr>
              <w:t>0.0408</w:t>
            </w:r>
          </w:p>
        </w:tc>
        <w:tc>
          <w:tcPr>
            <w:tcW w:w="1616" w:type="dxa"/>
            <w:vAlign w:val="center"/>
          </w:tcPr>
          <w:p w14:paraId="7C24D099">
            <w:pPr>
              <w:spacing w:line="240" w:lineRule="auto"/>
              <w:ind w:firstLine="0" w:firstLineChars="0"/>
              <w:jc w:val="center"/>
              <w:rPr>
                <w:rFonts w:cs="Times New Roman"/>
                <w:sz w:val="21"/>
              </w:rPr>
            </w:pPr>
            <w:r>
              <w:rPr>
                <w:rFonts w:hint="eastAsia" w:cs="Times New Roman"/>
                <w:sz w:val="21"/>
              </w:rPr>
              <w:t>0.1055</w:t>
            </w:r>
          </w:p>
        </w:tc>
      </w:tr>
      <w:tr w14:paraId="4EDD3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838" w:type="dxa"/>
            <w:vAlign w:val="center"/>
          </w:tcPr>
          <w:p w14:paraId="1FAA1EB4">
            <w:pPr>
              <w:spacing w:line="240" w:lineRule="auto"/>
              <w:ind w:firstLine="0" w:firstLineChars="0"/>
              <w:jc w:val="center"/>
              <w:rPr>
                <w:rFonts w:cs="Times New Roman"/>
                <w:sz w:val="21"/>
              </w:rPr>
            </w:pPr>
            <w:r>
              <w:rPr>
                <w:rFonts w:hint="eastAsia" w:cs="Times New Roman"/>
                <w:sz w:val="21"/>
              </w:rPr>
              <w:t>蛋鸡（千克/羽）</w:t>
            </w:r>
          </w:p>
        </w:tc>
        <w:tc>
          <w:tcPr>
            <w:tcW w:w="1614" w:type="dxa"/>
            <w:vAlign w:val="center"/>
          </w:tcPr>
          <w:p w14:paraId="5C689197">
            <w:pPr>
              <w:spacing w:line="240" w:lineRule="auto"/>
              <w:ind w:firstLine="0" w:firstLineChars="0"/>
              <w:jc w:val="center"/>
              <w:rPr>
                <w:rFonts w:cs="Times New Roman"/>
                <w:sz w:val="21"/>
              </w:rPr>
            </w:pPr>
            <w:r>
              <w:rPr>
                <w:rFonts w:hint="eastAsia" w:cs="Times New Roman"/>
                <w:sz w:val="21"/>
              </w:rPr>
              <w:t>0.5570</w:t>
            </w:r>
          </w:p>
        </w:tc>
        <w:tc>
          <w:tcPr>
            <w:tcW w:w="1614" w:type="dxa"/>
            <w:vAlign w:val="center"/>
          </w:tcPr>
          <w:p w14:paraId="32A64285">
            <w:pPr>
              <w:spacing w:line="240" w:lineRule="auto"/>
              <w:ind w:firstLine="0" w:firstLineChars="0"/>
              <w:jc w:val="center"/>
              <w:rPr>
                <w:rFonts w:cs="Times New Roman"/>
                <w:sz w:val="21"/>
              </w:rPr>
            </w:pPr>
            <w:r>
              <w:rPr>
                <w:rFonts w:hint="eastAsia" w:cs="Times New Roman"/>
                <w:sz w:val="21"/>
              </w:rPr>
              <w:t>0.0240</w:t>
            </w:r>
          </w:p>
        </w:tc>
        <w:tc>
          <w:tcPr>
            <w:tcW w:w="1614" w:type="dxa"/>
            <w:vAlign w:val="center"/>
          </w:tcPr>
          <w:p w14:paraId="2F52BB0A">
            <w:pPr>
              <w:spacing w:line="240" w:lineRule="auto"/>
              <w:ind w:firstLine="0" w:firstLineChars="0"/>
              <w:jc w:val="center"/>
              <w:rPr>
                <w:rFonts w:cs="Times New Roman"/>
                <w:sz w:val="21"/>
              </w:rPr>
            </w:pPr>
            <w:r>
              <w:rPr>
                <w:rFonts w:hint="eastAsia" w:cs="Times New Roman"/>
                <w:sz w:val="21"/>
              </w:rPr>
              <w:t>0.0024</w:t>
            </w:r>
          </w:p>
        </w:tc>
        <w:tc>
          <w:tcPr>
            <w:tcW w:w="1616" w:type="dxa"/>
            <w:vAlign w:val="center"/>
          </w:tcPr>
          <w:p w14:paraId="13DE367E">
            <w:pPr>
              <w:spacing w:line="240" w:lineRule="auto"/>
              <w:ind w:firstLine="0" w:firstLineChars="0"/>
              <w:jc w:val="center"/>
              <w:rPr>
                <w:rFonts w:cs="Times New Roman"/>
                <w:sz w:val="21"/>
              </w:rPr>
            </w:pPr>
            <w:r>
              <w:rPr>
                <w:rFonts w:hint="eastAsia" w:cs="Times New Roman"/>
                <w:sz w:val="21"/>
              </w:rPr>
              <w:t>0.0074</w:t>
            </w:r>
          </w:p>
        </w:tc>
      </w:tr>
      <w:tr w14:paraId="52575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838" w:type="dxa"/>
            <w:vAlign w:val="center"/>
          </w:tcPr>
          <w:p w14:paraId="1820831F">
            <w:pPr>
              <w:spacing w:line="240" w:lineRule="auto"/>
              <w:ind w:firstLine="0" w:firstLineChars="0"/>
              <w:jc w:val="center"/>
              <w:rPr>
                <w:rFonts w:cs="Times New Roman"/>
                <w:sz w:val="21"/>
              </w:rPr>
            </w:pPr>
            <w:r>
              <w:rPr>
                <w:rFonts w:hint="eastAsia" w:cs="Times New Roman"/>
                <w:sz w:val="21"/>
              </w:rPr>
              <w:t>肉鸡（千克/羽）</w:t>
            </w:r>
          </w:p>
        </w:tc>
        <w:tc>
          <w:tcPr>
            <w:tcW w:w="1614" w:type="dxa"/>
            <w:vAlign w:val="center"/>
          </w:tcPr>
          <w:p w14:paraId="3252FD4D">
            <w:pPr>
              <w:spacing w:line="240" w:lineRule="auto"/>
              <w:ind w:firstLine="0" w:firstLineChars="0"/>
              <w:jc w:val="center"/>
              <w:rPr>
                <w:rFonts w:cs="Times New Roman"/>
                <w:sz w:val="21"/>
              </w:rPr>
            </w:pPr>
            <w:r>
              <w:rPr>
                <w:rFonts w:hint="eastAsia" w:cs="Times New Roman"/>
                <w:sz w:val="21"/>
              </w:rPr>
              <w:t>0.1612</w:t>
            </w:r>
          </w:p>
        </w:tc>
        <w:tc>
          <w:tcPr>
            <w:tcW w:w="1614" w:type="dxa"/>
            <w:vAlign w:val="center"/>
          </w:tcPr>
          <w:p w14:paraId="34CC3FED">
            <w:pPr>
              <w:spacing w:line="240" w:lineRule="auto"/>
              <w:ind w:firstLine="0" w:firstLineChars="0"/>
              <w:jc w:val="center"/>
              <w:rPr>
                <w:rFonts w:cs="Times New Roman"/>
                <w:sz w:val="21"/>
              </w:rPr>
            </w:pPr>
            <w:r>
              <w:rPr>
                <w:rFonts w:hint="eastAsia" w:cs="Times New Roman"/>
                <w:sz w:val="21"/>
              </w:rPr>
              <w:t>0.0079</w:t>
            </w:r>
          </w:p>
        </w:tc>
        <w:tc>
          <w:tcPr>
            <w:tcW w:w="1614" w:type="dxa"/>
            <w:vAlign w:val="center"/>
          </w:tcPr>
          <w:p w14:paraId="1ABD2F7B">
            <w:pPr>
              <w:spacing w:line="240" w:lineRule="auto"/>
              <w:ind w:firstLine="0" w:firstLineChars="0"/>
              <w:jc w:val="center"/>
              <w:rPr>
                <w:rFonts w:cs="Times New Roman"/>
                <w:sz w:val="21"/>
              </w:rPr>
            </w:pPr>
            <w:r>
              <w:rPr>
                <w:rFonts w:hint="eastAsia" w:cs="Times New Roman"/>
                <w:sz w:val="21"/>
              </w:rPr>
              <w:t>0.0008</w:t>
            </w:r>
          </w:p>
        </w:tc>
        <w:tc>
          <w:tcPr>
            <w:tcW w:w="1616" w:type="dxa"/>
            <w:vAlign w:val="center"/>
          </w:tcPr>
          <w:p w14:paraId="66D346FD">
            <w:pPr>
              <w:spacing w:line="240" w:lineRule="auto"/>
              <w:ind w:firstLine="0" w:firstLineChars="0"/>
              <w:jc w:val="center"/>
              <w:rPr>
                <w:rFonts w:cs="Times New Roman"/>
                <w:sz w:val="21"/>
              </w:rPr>
            </w:pPr>
            <w:r>
              <w:rPr>
                <w:rFonts w:hint="eastAsia" w:cs="Times New Roman"/>
                <w:sz w:val="21"/>
              </w:rPr>
              <w:t>0.0016</w:t>
            </w:r>
          </w:p>
        </w:tc>
      </w:tr>
      <w:tr w14:paraId="6B569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838" w:type="dxa"/>
            <w:vAlign w:val="center"/>
          </w:tcPr>
          <w:p w14:paraId="7BF6010A">
            <w:pPr>
              <w:spacing w:line="240" w:lineRule="auto"/>
              <w:ind w:firstLine="0" w:firstLineChars="0"/>
              <w:jc w:val="center"/>
              <w:rPr>
                <w:rFonts w:cs="Times New Roman"/>
                <w:sz w:val="21"/>
              </w:rPr>
            </w:pPr>
            <w:r>
              <w:rPr>
                <w:rFonts w:hint="eastAsia" w:cs="Times New Roman"/>
                <w:sz w:val="21"/>
              </w:rPr>
              <w:t>奶牛（千克/头）</w:t>
            </w:r>
          </w:p>
        </w:tc>
        <w:tc>
          <w:tcPr>
            <w:tcW w:w="1614" w:type="dxa"/>
            <w:vAlign w:val="center"/>
          </w:tcPr>
          <w:p w14:paraId="2792DDA9">
            <w:pPr>
              <w:spacing w:line="240" w:lineRule="auto"/>
              <w:ind w:firstLine="0" w:firstLineChars="0"/>
              <w:jc w:val="center"/>
              <w:rPr>
                <w:rFonts w:cs="Times New Roman"/>
                <w:sz w:val="21"/>
              </w:rPr>
            </w:pPr>
            <w:r>
              <w:rPr>
                <w:rFonts w:hint="eastAsia" w:cs="Times New Roman"/>
                <w:sz w:val="21"/>
              </w:rPr>
              <w:t>228.9157</w:t>
            </w:r>
          </w:p>
        </w:tc>
        <w:tc>
          <w:tcPr>
            <w:tcW w:w="1614" w:type="dxa"/>
            <w:vAlign w:val="center"/>
          </w:tcPr>
          <w:p w14:paraId="484E6E24">
            <w:pPr>
              <w:spacing w:line="240" w:lineRule="auto"/>
              <w:ind w:firstLine="0" w:firstLineChars="0"/>
              <w:jc w:val="center"/>
              <w:rPr>
                <w:rFonts w:cs="Times New Roman"/>
                <w:sz w:val="21"/>
              </w:rPr>
            </w:pPr>
            <w:r>
              <w:rPr>
                <w:rFonts w:hint="eastAsia" w:cs="Times New Roman"/>
                <w:sz w:val="21"/>
              </w:rPr>
              <w:t>6.9219</w:t>
            </w:r>
          </w:p>
        </w:tc>
        <w:tc>
          <w:tcPr>
            <w:tcW w:w="1614" w:type="dxa"/>
            <w:vAlign w:val="center"/>
          </w:tcPr>
          <w:p w14:paraId="03E43B71">
            <w:pPr>
              <w:spacing w:line="240" w:lineRule="auto"/>
              <w:ind w:firstLine="0" w:firstLineChars="0"/>
              <w:jc w:val="center"/>
              <w:rPr>
                <w:rFonts w:cs="Times New Roman"/>
                <w:sz w:val="21"/>
              </w:rPr>
            </w:pPr>
            <w:r>
              <w:rPr>
                <w:rFonts w:hint="eastAsia" w:cs="Times New Roman"/>
                <w:sz w:val="21"/>
              </w:rPr>
              <w:t>0.2965</w:t>
            </w:r>
          </w:p>
        </w:tc>
        <w:tc>
          <w:tcPr>
            <w:tcW w:w="1616" w:type="dxa"/>
            <w:vAlign w:val="center"/>
          </w:tcPr>
          <w:p w14:paraId="65C901CA">
            <w:pPr>
              <w:spacing w:line="240" w:lineRule="auto"/>
              <w:ind w:firstLine="0" w:firstLineChars="0"/>
              <w:jc w:val="center"/>
              <w:rPr>
                <w:rFonts w:cs="Times New Roman"/>
                <w:sz w:val="21"/>
              </w:rPr>
            </w:pPr>
            <w:r>
              <w:rPr>
                <w:rFonts w:hint="eastAsia" w:cs="Times New Roman"/>
                <w:sz w:val="21"/>
              </w:rPr>
              <w:t>1.0488</w:t>
            </w:r>
          </w:p>
        </w:tc>
      </w:tr>
    </w:tbl>
    <w:p w14:paraId="224A3011">
      <w:pPr>
        <w:ind w:firstLine="480"/>
        <w:rPr>
          <w:rFonts w:cs="Times New Roman"/>
        </w:rPr>
      </w:pPr>
    </w:p>
    <w:p w14:paraId="7A7740BA">
      <w:pPr>
        <w:pStyle w:val="45"/>
        <w:rPr>
          <w:rFonts w:cs="Times New Roman"/>
        </w:rPr>
      </w:pPr>
      <w:r>
        <w:rPr>
          <w:rFonts w:hint="eastAsia" w:cs="Times New Roman"/>
        </w:rPr>
        <w:t>表3.</w:t>
      </w:r>
      <w:r>
        <w:rPr>
          <w:rFonts w:cs="Times New Roman"/>
        </w:rPr>
        <w:t>4</w:t>
      </w:r>
      <w:r>
        <w:rPr>
          <w:rFonts w:hint="eastAsia" w:cs="Times New Roman"/>
        </w:rPr>
        <w:t xml:space="preserve">-33 </w:t>
      </w:r>
      <w:r>
        <w:rPr>
          <w:rFonts w:cs="Times New Roman"/>
        </w:rPr>
        <w:t xml:space="preserve"> </w:t>
      </w:r>
      <w:r>
        <w:rPr>
          <w:rFonts w:hint="eastAsia" w:cs="Times New Roman"/>
        </w:rPr>
        <w:t>度假区畜禽养殖污染物排放量</w:t>
      </w:r>
    </w:p>
    <w:tbl>
      <w:tblPr>
        <w:tblStyle w:val="25"/>
        <w:tblW w:w="5000" w:type="pct"/>
        <w:tblInd w:w="0" w:type="dxa"/>
        <w:tblLayout w:type="autofit"/>
        <w:tblCellMar>
          <w:top w:w="0" w:type="dxa"/>
          <w:left w:w="108" w:type="dxa"/>
          <w:bottom w:w="0" w:type="dxa"/>
          <w:right w:w="108" w:type="dxa"/>
        </w:tblCellMar>
      </w:tblPr>
      <w:tblGrid>
        <w:gridCol w:w="478"/>
        <w:gridCol w:w="2706"/>
        <w:gridCol w:w="742"/>
        <w:gridCol w:w="1444"/>
        <w:gridCol w:w="1050"/>
        <w:gridCol w:w="1050"/>
        <w:gridCol w:w="1052"/>
      </w:tblGrid>
      <w:tr w14:paraId="5F5C5B00">
        <w:tblPrEx>
          <w:tblCellMar>
            <w:top w:w="0" w:type="dxa"/>
            <w:left w:w="108" w:type="dxa"/>
            <w:bottom w:w="0" w:type="dxa"/>
            <w:right w:w="108" w:type="dxa"/>
          </w:tblCellMar>
        </w:tblPrEx>
        <w:trPr>
          <w:trHeight w:val="285" w:hRule="atLeast"/>
          <w:tblHeader/>
        </w:trPr>
        <w:tc>
          <w:tcPr>
            <w:tcW w:w="281" w:type="pct"/>
            <w:vMerge w:val="restart"/>
            <w:tcBorders>
              <w:top w:val="single" w:color="auto" w:sz="4" w:space="0"/>
              <w:left w:val="single" w:color="auto" w:sz="4" w:space="0"/>
              <w:bottom w:val="single" w:color="auto" w:sz="4" w:space="0"/>
              <w:right w:val="single" w:color="auto" w:sz="4" w:space="0"/>
            </w:tcBorders>
            <w:vAlign w:val="center"/>
          </w:tcPr>
          <w:p w14:paraId="4BFB235E">
            <w:pPr>
              <w:spacing w:line="240" w:lineRule="auto"/>
              <w:ind w:firstLine="0" w:firstLineChars="0"/>
              <w:jc w:val="center"/>
              <w:rPr>
                <w:b/>
                <w:sz w:val="21"/>
              </w:rPr>
            </w:pPr>
            <w:r>
              <w:rPr>
                <w:rFonts w:hint="eastAsia"/>
                <w:b/>
                <w:sz w:val="21"/>
              </w:rPr>
              <w:t>序号</w:t>
            </w:r>
          </w:p>
        </w:tc>
        <w:tc>
          <w:tcPr>
            <w:tcW w:w="1587" w:type="pct"/>
            <w:vMerge w:val="restart"/>
            <w:tcBorders>
              <w:top w:val="single" w:color="auto" w:sz="4" w:space="0"/>
              <w:left w:val="single" w:color="auto" w:sz="4" w:space="0"/>
              <w:bottom w:val="single" w:color="auto" w:sz="4" w:space="0"/>
              <w:right w:val="single" w:color="auto" w:sz="4" w:space="0"/>
            </w:tcBorders>
            <w:vAlign w:val="center"/>
          </w:tcPr>
          <w:p w14:paraId="7C88BA77">
            <w:pPr>
              <w:spacing w:line="240" w:lineRule="auto"/>
              <w:ind w:firstLine="0" w:firstLineChars="0"/>
              <w:jc w:val="center"/>
              <w:rPr>
                <w:b/>
                <w:sz w:val="21"/>
              </w:rPr>
            </w:pPr>
            <w:r>
              <w:rPr>
                <w:rFonts w:hint="eastAsia"/>
                <w:b/>
                <w:sz w:val="21"/>
              </w:rPr>
              <w:t>名称</w:t>
            </w:r>
          </w:p>
        </w:tc>
        <w:tc>
          <w:tcPr>
            <w:tcW w:w="435" w:type="pct"/>
            <w:vMerge w:val="restart"/>
            <w:tcBorders>
              <w:top w:val="single" w:color="auto" w:sz="4" w:space="0"/>
              <w:left w:val="single" w:color="auto" w:sz="4" w:space="0"/>
              <w:bottom w:val="single" w:color="auto" w:sz="4" w:space="0"/>
              <w:right w:val="single" w:color="auto" w:sz="4" w:space="0"/>
            </w:tcBorders>
            <w:vAlign w:val="center"/>
          </w:tcPr>
          <w:p w14:paraId="246667F6">
            <w:pPr>
              <w:spacing w:line="240" w:lineRule="auto"/>
              <w:ind w:firstLine="0" w:firstLineChars="0"/>
              <w:jc w:val="center"/>
              <w:rPr>
                <w:b/>
                <w:sz w:val="21"/>
              </w:rPr>
            </w:pPr>
            <w:r>
              <w:rPr>
                <w:rFonts w:hint="eastAsia"/>
                <w:b/>
                <w:sz w:val="21"/>
              </w:rPr>
              <w:t>养殖类型</w:t>
            </w:r>
          </w:p>
        </w:tc>
        <w:tc>
          <w:tcPr>
            <w:tcW w:w="2696" w:type="pct"/>
            <w:gridSpan w:val="4"/>
            <w:tcBorders>
              <w:top w:val="single" w:color="auto" w:sz="4" w:space="0"/>
              <w:left w:val="nil"/>
              <w:bottom w:val="single" w:color="auto" w:sz="4" w:space="0"/>
              <w:right w:val="single" w:color="auto" w:sz="4" w:space="0"/>
            </w:tcBorders>
            <w:vAlign w:val="center"/>
          </w:tcPr>
          <w:p w14:paraId="07AEFE3F">
            <w:pPr>
              <w:spacing w:line="240" w:lineRule="auto"/>
              <w:ind w:firstLine="0" w:firstLineChars="0"/>
              <w:jc w:val="center"/>
              <w:rPr>
                <w:b/>
                <w:sz w:val="21"/>
              </w:rPr>
            </w:pPr>
            <w:r>
              <w:rPr>
                <w:rFonts w:hint="eastAsia"/>
                <w:b/>
                <w:sz w:val="21"/>
              </w:rPr>
              <w:t>污染物产生量（t/a）</w:t>
            </w:r>
          </w:p>
        </w:tc>
      </w:tr>
      <w:tr w14:paraId="1BD91C5C">
        <w:tblPrEx>
          <w:tblCellMar>
            <w:top w:w="0" w:type="dxa"/>
            <w:left w:w="108" w:type="dxa"/>
            <w:bottom w:w="0" w:type="dxa"/>
            <w:right w:w="108" w:type="dxa"/>
          </w:tblCellMar>
        </w:tblPrEx>
        <w:trPr>
          <w:trHeight w:val="285" w:hRule="atLeast"/>
          <w:tblHeader/>
        </w:trPr>
        <w:tc>
          <w:tcPr>
            <w:tcW w:w="281" w:type="pct"/>
            <w:vMerge w:val="continue"/>
            <w:tcBorders>
              <w:top w:val="single" w:color="auto" w:sz="4" w:space="0"/>
              <w:left w:val="single" w:color="auto" w:sz="4" w:space="0"/>
              <w:bottom w:val="single" w:color="auto" w:sz="4" w:space="0"/>
              <w:right w:val="single" w:color="auto" w:sz="4" w:space="0"/>
            </w:tcBorders>
            <w:vAlign w:val="center"/>
          </w:tcPr>
          <w:p w14:paraId="751BFDF7">
            <w:pPr>
              <w:spacing w:line="240" w:lineRule="auto"/>
              <w:ind w:firstLine="0" w:firstLineChars="0"/>
              <w:jc w:val="center"/>
              <w:rPr>
                <w:b/>
                <w:sz w:val="21"/>
              </w:rPr>
            </w:pPr>
          </w:p>
        </w:tc>
        <w:tc>
          <w:tcPr>
            <w:tcW w:w="1587" w:type="pct"/>
            <w:vMerge w:val="continue"/>
            <w:tcBorders>
              <w:top w:val="single" w:color="auto" w:sz="4" w:space="0"/>
              <w:left w:val="single" w:color="auto" w:sz="4" w:space="0"/>
              <w:bottom w:val="single" w:color="auto" w:sz="4" w:space="0"/>
              <w:right w:val="single" w:color="auto" w:sz="4" w:space="0"/>
            </w:tcBorders>
            <w:vAlign w:val="center"/>
          </w:tcPr>
          <w:p w14:paraId="4DEAED4F">
            <w:pPr>
              <w:spacing w:line="240" w:lineRule="auto"/>
              <w:ind w:firstLine="0" w:firstLineChars="0"/>
              <w:jc w:val="center"/>
              <w:rPr>
                <w:b/>
                <w:sz w:val="21"/>
              </w:rPr>
            </w:pPr>
          </w:p>
        </w:tc>
        <w:tc>
          <w:tcPr>
            <w:tcW w:w="435" w:type="pct"/>
            <w:vMerge w:val="continue"/>
            <w:tcBorders>
              <w:top w:val="single" w:color="auto" w:sz="4" w:space="0"/>
              <w:left w:val="single" w:color="auto" w:sz="4" w:space="0"/>
              <w:bottom w:val="single" w:color="auto" w:sz="4" w:space="0"/>
              <w:right w:val="single" w:color="auto" w:sz="4" w:space="0"/>
            </w:tcBorders>
            <w:vAlign w:val="center"/>
          </w:tcPr>
          <w:p w14:paraId="489EBDD9">
            <w:pPr>
              <w:spacing w:line="240" w:lineRule="auto"/>
              <w:ind w:firstLine="0" w:firstLineChars="0"/>
              <w:jc w:val="center"/>
              <w:rPr>
                <w:b/>
                <w:sz w:val="21"/>
              </w:rPr>
            </w:pPr>
          </w:p>
        </w:tc>
        <w:tc>
          <w:tcPr>
            <w:tcW w:w="847" w:type="pct"/>
            <w:tcBorders>
              <w:top w:val="nil"/>
              <w:left w:val="nil"/>
              <w:bottom w:val="single" w:color="auto" w:sz="4" w:space="0"/>
              <w:right w:val="single" w:color="auto" w:sz="4" w:space="0"/>
            </w:tcBorders>
            <w:vAlign w:val="center"/>
          </w:tcPr>
          <w:p w14:paraId="0CE618FC">
            <w:pPr>
              <w:spacing w:line="240" w:lineRule="auto"/>
              <w:ind w:firstLine="0" w:firstLineChars="0"/>
              <w:jc w:val="center"/>
              <w:rPr>
                <w:b/>
                <w:sz w:val="21"/>
              </w:rPr>
            </w:pPr>
            <w:r>
              <w:rPr>
                <w:rFonts w:hint="eastAsia"/>
                <w:b/>
                <w:sz w:val="21"/>
              </w:rPr>
              <w:t>化学需氧量</w:t>
            </w:r>
          </w:p>
        </w:tc>
        <w:tc>
          <w:tcPr>
            <w:tcW w:w="616" w:type="pct"/>
            <w:tcBorders>
              <w:top w:val="nil"/>
              <w:left w:val="nil"/>
              <w:bottom w:val="single" w:color="auto" w:sz="4" w:space="0"/>
              <w:right w:val="single" w:color="auto" w:sz="4" w:space="0"/>
            </w:tcBorders>
            <w:vAlign w:val="center"/>
          </w:tcPr>
          <w:p w14:paraId="72592547">
            <w:pPr>
              <w:spacing w:line="240" w:lineRule="auto"/>
              <w:ind w:firstLine="0" w:firstLineChars="0"/>
              <w:jc w:val="center"/>
              <w:rPr>
                <w:b/>
                <w:sz w:val="21"/>
              </w:rPr>
            </w:pPr>
            <w:r>
              <w:rPr>
                <w:rFonts w:hint="eastAsia"/>
                <w:b/>
                <w:sz w:val="21"/>
              </w:rPr>
              <w:t>总氮</w:t>
            </w:r>
          </w:p>
        </w:tc>
        <w:tc>
          <w:tcPr>
            <w:tcW w:w="616" w:type="pct"/>
            <w:tcBorders>
              <w:top w:val="nil"/>
              <w:left w:val="nil"/>
              <w:bottom w:val="single" w:color="auto" w:sz="4" w:space="0"/>
              <w:right w:val="single" w:color="auto" w:sz="4" w:space="0"/>
            </w:tcBorders>
            <w:vAlign w:val="center"/>
          </w:tcPr>
          <w:p w14:paraId="60F81BAA">
            <w:pPr>
              <w:spacing w:line="240" w:lineRule="auto"/>
              <w:ind w:firstLine="0" w:firstLineChars="0"/>
              <w:jc w:val="center"/>
              <w:rPr>
                <w:b/>
                <w:sz w:val="21"/>
              </w:rPr>
            </w:pPr>
            <w:r>
              <w:rPr>
                <w:rFonts w:hint="eastAsia"/>
                <w:b/>
                <w:sz w:val="21"/>
              </w:rPr>
              <w:t>氨氮</w:t>
            </w:r>
          </w:p>
        </w:tc>
        <w:tc>
          <w:tcPr>
            <w:tcW w:w="617" w:type="pct"/>
            <w:tcBorders>
              <w:top w:val="nil"/>
              <w:left w:val="nil"/>
              <w:bottom w:val="single" w:color="auto" w:sz="4" w:space="0"/>
              <w:right w:val="single" w:color="auto" w:sz="4" w:space="0"/>
            </w:tcBorders>
            <w:vAlign w:val="center"/>
          </w:tcPr>
          <w:p w14:paraId="294A20CD">
            <w:pPr>
              <w:spacing w:line="240" w:lineRule="auto"/>
              <w:ind w:firstLine="0" w:firstLineChars="0"/>
              <w:jc w:val="center"/>
              <w:rPr>
                <w:b/>
                <w:sz w:val="21"/>
              </w:rPr>
            </w:pPr>
            <w:r>
              <w:rPr>
                <w:rFonts w:hint="eastAsia"/>
                <w:b/>
                <w:sz w:val="21"/>
              </w:rPr>
              <w:t>总磷</w:t>
            </w:r>
          </w:p>
        </w:tc>
      </w:tr>
      <w:tr w14:paraId="44A5B9C7">
        <w:tblPrEx>
          <w:tblCellMar>
            <w:top w:w="0" w:type="dxa"/>
            <w:left w:w="108" w:type="dxa"/>
            <w:bottom w:w="0" w:type="dxa"/>
            <w:right w:w="108" w:type="dxa"/>
          </w:tblCellMar>
        </w:tblPrEx>
        <w:trPr>
          <w:trHeight w:val="570" w:hRule="atLeast"/>
        </w:trPr>
        <w:tc>
          <w:tcPr>
            <w:tcW w:w="281" w:type="pct"/>
            <w:tcBorders>
              <w:top w:val="nil"/>
              <w:left w:val="single" w:color="auto" w:sz="4" w:space="0"/>
              <w:bottom w:val="single" w:color="auto" w:sz="4" w:space="0"/>
              <w:right w:val="single" w:color="auto" w:sz="4" w:space="0"/>
            </w:tcBorders>
            <w:vAlign w:val="center"/>
          </w:tcPr>
          <w:p w14:paraId="7321BEA0">
            <w:pPr>
              <w:spacing w:line="240" w:lineRule="auto"/>
              <w:ind w:firstLine="0" w:firstLineChars="0"/>
              <w:jc w:val="center"/>
              <w:rPr>
                <w:sz w:val="21"/>
              </w:rPr>
            </w:pPr>
            <w:r>
              <w:rPr>
                <w:rFonts w:hint="eastAsia"/>
                <w:sz w:val="21"/>
              </w:rPr>
              <w:t>1</w:t>
            </w:r>
          </w:p>
        </w:tc>
        <w:tc>
          <w:tcPr>
            <w:tcW w:w="1587" w:type="pct"/>
            <w:tcBorders>
              <w:top w:val="nil"/>
              <w:left w:val="nil"/>
              <w:bottom w:val="single" w:color="auto" w:sz="4" w:space="0"/>
              <w:right w:val="single" w:color="auto" w:sz="4" w:space="0"/>
            </w:tcBorders>
            <w:vAlign w:val="center"/>
          </w:tcPr>
          <w:p w14:paraId="709AEBB8">
            <w:pPr>
              <w:spacing w:line="240" w:lineRule="auto"/>
              <w:ind w:firstLine="0" w:firstLineChars="0"/>
              <w:jc w:val="center"/>
              <w:rPr>
                <w:sz w:val="21"/>
              </w:rPr>
            </w:pPr>
            <w:r>
              <w:rPr>
                <w:rFonts w:hint="eastAsia"/>
                <w:sz w:val="21"/>
              </w:rPr>
              <w:t>江苏和佑瑞安农业发展有限公司常州金坛分公司</w:t>
            </w:r>
          </w:p>
        </w:tc>
        <w:tc>
          <w:tcPr>
            <w:tcW w:w="742" w:type="dxa"/>
            <w:tcBorders>
              <w:top w:val="nil"/>
              <w:left w:val="nil"/>
              <w:bottom w:val="single" w:color="auto" w:sz="4" w:space="0"/>
              <w:right w:val="single" w:color="auto" w:sz="4" w:space="0"/>
            </w:tcBorders>
            <w:vAlign w:val="center"/>
          </w:tcPr>
          <w:p w14:paraId="0251EBC2">
            <w:pPr>
              <w:spacing w:line="240" w:lineRule="auto"/>
              <w:ind w:firstLine="0" w:firstLineChars="0"/>
              <w:jc w:val="center"/>
              <w:rPr>
                <w:sz w:val="21"/>
              </w:rPr>
            </w:pPr>
            <w:r>
              <w:rPr>
                <w:rFonts w:hint="eastAsia"/>
                <w:sz w:val="21"/>
              </w:rPr>
              <w:t>生猪</w:t>
            </w:r>
          </w:p>
        </w:tc>
        <w:tc>
          <w:tcPr>
            <w:tcW w:w="1444" w:type="dxa"/>
            <w:tcBorders>
              <w:top w:val="nil"/>
              <w:left w:val="nil"/>
              <w:bottom w:val="single" w:color="auto" w:sz="4" w:space="0"/>
              <w:right w:val="single" w:color="auto" w:sz="4" w:space="0"/>
            </w:tcBorders>
            <w:vAlign w:val="center"/>
          </w:tcPr>
          <w:p w14:paraId="1BCE12F9">
            <w:pPr>
              <w:spacing w:line="240" w:lineRule="auto"/>
              <w:ind w:firstLine="0" w:firstLineChars="0"/>
              <w:jc w:val="center"/>
              <w:rPr>
                <w:sz w:val="21"/>
              </w:rPr>
            </w:pPr>
            <w:r>
              <w:rPr>
                <w:rFonts w:hint="eastAsia"/>
                <w:sz w:val="21"/>
              </w:rPr>
              <w:t>16.22</w:t>
            </w:r>
          </w:p>
        </w:tc>
        <w:tc>
          <w:tcPr>
            <w:tcW w:w="1050" w:type="dxa"/>
            <w:tcBorders>
              <w:top w:val="nil"/>
              <w:left w:val="nil"/>
              <w:bottom w:val="single" w:color="auto" w:sz="4" w:space="0"/>
              <w:right w:val="single" w:color="auto" w:sz="4" w:space="0"/>
            </w:tcBorders>
            <w:vAlign w:val="center"/>
          </w:tcPr>
          <w:p w14:paraId="4BBA955A">
            <w:pPr>
              <w:spacing w:line="240" w:lineRule="auto"/>
              <w:ind w:firstLine="0" w:firstLineChars="0"/>
              <w:jc w:val="center"/>
              <w:rPr>
                <w:sz w:val="21"/>
              </w:rPr>
            </w:pPr>
            <w:r>
              <w:rPr>
                <w:rFonts w:hint="eastAsia"/>
                <w:sz w:val="21"/>
              </w:rPr>
              <w:t>1.74</w:t>
            </w:r>
          </w:p>
        </w:tc>
        <w:tc>
          <w:tcPr>
            <w:tcW w:w="1050" w:type="dxa"/>
            <w:tcBorders>
              <w:top w:val="nil"/>
              <w:left w:val="nil"/>
              <w:bottom w:val="single" w:color="auto" w:sz="4" w:space="0"/>
              <w:right w:val="single" w:color="auto" w:sz="4" w:space="0"/>
            </w:tcBorders>
            <w:vAlign w:val="center"/>
          </w:tcPr>
          <w:p w14:paraId="500085B2">
            <w:pPr>
              <w:spacing w:line="240" w:lineRule="auto"/>
              <w:ind w:firstLine="0" w:firstLineChars="0"/>
              <w:jc w:val="center"/>
              <w:rPr>
                <w:sz w:val="21"/>
              </w:rPr>
            </w:pPr>
            <w:r>
              <w:rPr>
                <w:rFonts w:hint="eastAsia"/>
                <w:sz w:val="21"/>
              </w:rPr>
              <w:t>0.51</w:t>
            </w:r>
          </w:p>
        </w:tc>
        <w:tc>
          <w:tcPr>
            <w:tcW w:w="1052" w:type="dxa"/>
            <w:tcBorders>
              <w:top w:val="nil"/>
              <w:left w:val="nil"/>
              <w:bottom w:val="single" w:color="auto" w:sz="4" w:space="0"/>
              <w:right w:val="single" w:color="auto" w:sz="4" w:space="0"/>
            </w:tcBorders>
            <w:vAlign w:val="center"/>
          </w:tcPr>
          <w:p w14:paraId="3F15DC00">
            <w:pPr>
              <w:spacing w:line="240" w:lineRule="auto"/>
              <w:ind w:firstLine="0" w:firstLineChars="0"/>
              <w:jc w:val="center"/>
              <w:rPr>
                <w:sz w:val="21"/>
              </w:rPr>
            </w:pPr>
            <w:r>
              <w:rPr>
                <w:rFonts w:hint="eastAsia"/>
                <w:sz w:val="21"/>
              </w:rPr>
              <w:t>0.32</w:t>
            </w:r>
          </w:p>
        </w:tc>
      </w:tr>
      <w:tr w14:paraId="79454F5F">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24D4CF9A">
            <w:pPr>
              <w:spacing w:line="240" w:lineRule="auto"/>
              <w:ind w:firstLine="0" w:firstLineChars="0"/>
              <w:jc w:val="center"/>
              <w:rPr>
                <w:sz w:val="21"/>
              </w:rPr>
            </w:pPr>
            <w:r>
              <w:rPr>
                <w:rFonts w:hint="eastAsia"/>
                <w:sz w:val="21"/>
              </w:rPr>
              <w:t>2</w:t>
            </w:r>
          </w:p>
        </w:tc>
        <w:tc>
          <w:tcPr>
            <w:tcW w:w="1587" w:type="pct"/>
            <w:tcBorders>
              <w:top w:val="nil"/>
              <w:left w:val="nil"/>
              <w:bottom w:val="single" w:color="auto" w:sz="4" w:space="0"/>
              <w:right w:val="single" w:color="auto" w:sz="4" w:space="0"/>
            </w:tcBorders>
            <w:vAlign w:val="center"/>
          </w:tcPr>
          <w:p w14:paraId="132D054A">
            <w:pPr>
              <w:spacing w:line="240" w:lineRule="auto"/>
              <w:ind w:firstLine="0" w:firstLineChars="0"/>
              <w:jc w:val="center"/>
              <w:rPr>
                <w:sz w:val="21"/>
              </w:rPr>
            </w:pPr>
            <w:r>
              <w:rPr>
                <w:rFonts w:hint="eastAsia"/>
                <w:sz w:val="21"/>
              </w:rPr>
              <w:t>常州茅山牧业有限公司</w:t>
            </w:r>
          </w:p>
        </w:tc>
        <w:tc>
          <w:tcPr>
            <w:tcW w:w="742" w:type="dxa"/>
            <w:tcBorders>
              <w:top w:val="nil"/>
              <w:left w:val="nil"/>
              <w:bottom w:val="single" w:color="auto" w:sz="4" w:space="0"/>
              <w:right w:val="single" w:color="auto" w:sz="4" w:space="0"/>
            </w:tcBorders>
            <w:vAlign w:val="center"/>
          </w:tcPr>
          <w:p w14:paraId="4130A027">
            <w:pPr>
              <w:spacing w:line="240" w:lineRule="auto"/>
              <w:ind w:firstLine="0" w:firstLineChars="0"/>
              <w:jc w:val="center"/>
              <w:rPr>
                <w:sz w:val="21"/>
              </w:rPr>
            </w:pPr>
            <w:r>
              <w:rPr>
                <w:rFonts w:hint="eastAsia"/>
                <w:sz w:val="21"/>
              </w:rPr>
              <w:t>生猪</w:t>
            </w:r>
          </w:p>
        </w:tc>
        <w:tc>
          <w:tcPr>
            <w:tcW w:w="1444" w:type="dxa"/>
            <w:tcBorders>
              <w:top w:val="nil"/>
              <w:left w:val="nil"/>
              <w:bottom w:val="single" w:color="auto" w:sz="4" w:space="0"/>
              <w:right w:val="single" w:color="auto" w:sz="4" w:space="0"/>
            </w:tcBorders>
            <w:vAlign w:val="center"/>
          </w:tcPr>
          <w:p w14:paraId="017CE1D2">
            <w:pPr>
              <w:spacing w:line="240" w:lineRule="auto"/>
              <w:ind w:firstLine="0" w:firstLineChars="0"/>
              <w:jc w:val="center"/>
              <w:rPr>
                <w:sz w:val="21"/>
              </w:rPr>
            </w:pPr>
            <w:r>
              <w:rPr>
                <w:rFonts w:hint="eastAsia"/>
                <w:sz w:val="21"/>
              </w:rPr>
              <w:t>4.16</w:t>
            </w:r>
          </w:p>
        </w:tc>
        <w:tc>
          <w:tcPr>
            <w:tcW w:w="1050" w:type="dxa"/>
            <w:tcBorders>
              <w:top w:val="nil"/>
              <w:left w:val="nil"/>
              <w:bottom w:val="single" w:color="auto" w:sz="4" w:space="0"/>
              <w:right w:val="single" w:color="auto" w:sz="4" w:space="0"/>
            </w:tcBorders>
            <w:vAlign w:val="center"/>
          </w:tcPr>
          <w:p w14:paraId="2EEFED1D">
            <w:pPr>
              <w:spacing w:line="240" w:lineRule="auto"/>
              <w:ind w:firstLine="0" w:firstLineChars="0"/>
              <w:jc w:val="center"/>
              <w:rPr>
                <w:sz w:val="21"/>
              </w:rPr>
            </w:pPr>
            <w:r>
              <w:rPr>
                <w:rFonts w:hint="eastAsia"/>
                <w:sz w:val="21"/>
              </w:rPr>
              <w:t>0.45</w:t>
            </w:r>
          </w:p>
        </w:tc>
        <w:tc>
          <w:tcPr>
            <w:tcW w:w="1050" w:type="dxa"/>
            <w:tcBorders>
              <w:top w:val="nil"/>
              <w:left w:val="nil"/>
              <w:bottom w:val="single" w:color="auto" w:sz="4" w:space="0"/>
              <w:right w:val="single" w:color="auto" w:sz="4" w:space="0"/>
            </w:tcBorders>
            <w:vAlign w:val="center"/>
          </w:tcPr>
          <w:p w14:paraId="45683160">
            <w:pPr>
              <w:spacing w:line="240" w:lineRule="auto"/>
              <w:ind w:firstLine="0" w:firstLineChars="0"/>
              <w:jc w:val="center"/>
              <w:rPr>
                <w:sz w:val="21"/>
              </w:rPr>
            </w:pPr>
            <w:r>
              <w:rPr>
                <w:rFonts w:hint="eastAsia"/>
                <w:sz w:val="21"/>
              </w:rPr>
              <w:t>0.13</w:t>
            </w:r>
          </w:p>
        </w:tc>
        <w:tc>
          <w:tcPr>
            <w:tcW w:w="1052" w:type="dxa"/>
            <w:tcBorders>
              <w:top w:val="nil"/>
              <w:left w:val="nil"/>
              <w:bottom w:val="single" w:color="auto" w:sz="4" w:space="0"/>
              <w:right w:val="single" w:color="auto" w:sz="4" w:space="0"/>
            </w:tcBorders>
            <w:vAlign w:val="center"/>
          </w:tcPr>
          <w:p w14:paraId="493B0BED">
            <w:pPr>
              <w:spacing w:line="240" w:lineRule="auto"/>
              <w:ind w:firstLine="0" w:firstLineChars="0"/>
              <w:jc w:val="center"/>
              <w:rPr>
                <w:sz w:val="21"/>
              </w:rPr>
            </w:pPr>
            <w:r>
              <w:rPr>
                <w:rFonts w:hint="eastAsia"/>
                <w:sz w:val="21"/>
              </w:rPr>
              <w:t>0.08</w:t>
            </w:r>
          </w:p>
        </w:tc>
      </w:tr>
      <w:tr w14:paraId="225700D6">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7302EC44">
            <w:pPr>
              <w:spacing w:line="240" w:lineRule="auto"/>
              <w:ind w:firstLine="0" w:firstLineChars="0"/>
              <w:jc w:val="center"/>
              <w:rPr>
                <w:sz w:val="21"/>
              </w:rPr>
            </w:pPr>
            <w:r>
              <w:rPr>
                <w:rFonts w:hint="eastAsia"/>
                <w:sz w:val="21"/>
              </w:rPr>
              <w:t>3</w:t>
            </w:r>
          </w:p>
        </w:tc>
        <w:tc>
          <w:tcPr>
            <w:tcW w:w="1587" w:type="pct"/>
            <w:tcBorders>
              <w:top w:val="nil"/>
              <w:left w:val="nil"/>
              <w:bottom w:val="single" w:color="auto" w:sz="4" w:space="0"/>
              <w:right w:val="single" w:color="auto" w:sz="4" w:space="0"/>
            </w:tcBorders>
            <w:vAlign w:val="center"/>
          </w:tcPr>
          <w:p w14:paraId="522ED72D">
            <w:pPr>
              <w:spacing w:line="240" w:lineRule="auto"/>
              <w:ind w:firstLine="0" w:firstLineChars="0"/>
              <w:jc w:val="center"/>
              <w:rPr>
                <w:sz w:val="21"/>
              </w:rPr>
            </w:pPr>
            <w:r>
              <w:rPr>
                <w:rFonts w:hint="eastAsia"/>
                <w:sz w:val="21"/>
              </w:rPr>
              <w:t>华粉红鸡场</w:t>
            </w:r>
          </w:p>
        </w:tc>
        <w:tc>
          <w:tcPr>
            <w:tcW w:w="742" w:type="dxa"/>
            <w:tcBorders>
              <w:top w:val="nil"/>
              <w:left w:val="nil"/>
              <w:bottom w:val="single" w:color="auto" w:sz="4" w:space="0"/>
              <w:right w:val="single" w:color="auto" w:sz="4" w:space="0"/>
            </w:tcBorders>
            <w:vAlign w:val="center"/>
          </w:tcPr>
          <w:p w14:paraId="6A01B788">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5EEAC29B">
            <w:pPr>
              <w:spacing w:line="240" w:lineRule="auto"/>
              <w:ind w:firstLine="0" w:firstLineChars="0"/>
              <w:jc w:val="center"/>
              <w:rPr>
                <w:sz w:val="21"/>
              </w:rPr>
            </w:pPr>
            <w:r>
              <w:rPr>
                <w:rFonts w:hint="eastAsia"/>
                <w:sz w:val="21"/>
              </w:rPr>
              <w:t>3.22</w:t>
            </w:r>
          </w:p>
        </w:tc>
        <w:tc>
          <w:tcPr>
            <w:tcW w:w="1050" w:type="dxa"/>
            <w:tcBorders>
              <w:top w:val="nil"/>
              <w:left w:val="nil"/>
              <w:bottom w:val="single" w:color="auto" w:sz="4" w:space="0"/>
              <w:right w:val="single" w:color="auto" w:sz="4" w:space="0"/>
            </w:tcBorders>
            <w:vAlign w:val="center"/>
          </w:tcPr>
          <w:p w14:paraId="6F38AB38">
            <w:pPr>
              <w:spacing w:line="240" w:lineRule="auto"/>
              <w:ind w:firstLine="0" w:firstLineChars="0"/>
              <w:jc w:val="center"/>
              <w:rPr>
                <w:sz w:val="21"/>
              </w:rPr>
            </w:pPr>
            <w:r>
              <w:rPr>
                <w:rFonts w:hint="eastAsia"/>
                <w:sz w:val="21"/>
              </w:rPr>
              <w:t>0.16</w:t>
            </w:r>
          </w:p>
        </w:tc>
        <w:tc>
          <w:tcPr>
            <w:tcW w:w="1050" w:type="dxa"/>
            <w:tcBorders>
              <w:top w:val="nil"/>
              <w:left w:val="nil"/>
              <w:bottom w:val="single" w:color="auto" w:sz="4" w:space="0"/>
              <w:right w:val="single" w:color="auto" w:sz="4" w:space="0"/>
            </w:tcBorders>
            <w:vAlign w:val="center"/>
          </w:tcPr>
          <w:p w14:paraId="6C0D674C">
            <w:pPr>
              <w:spacing w:line="240" w:lineRule="auto"/>
              <w:ind w:firstLine="0" w:firstLineChars="0"/>
              <w:jc w:val="center"/>
              <w:rPr>
                <w:sz w:val="21"/>
              </w:rPr>
            </w:pPr>
            <w:r>
              <w:rPr>
                <w:rFonts w:hint="eastAsia"/>
                <w:sz w:val="21"/>
              </w:rPr>
              <w:t>0.02</w:t>
            </w:r>
          </w:p>
        </w:tc>
        <w:tc>
          <w:tcPr>
            <w:tcW w:w="1052" w:type="dxa"/>
            <w:tcBorders>
              <w:top w:val="nil"/>
              <w:left w:val="nil"/>
              <w:bottom w:val="single" w:color="auto" w:sz="4" w:space="0"/>
              <w:right w:val="single" w:color="auto" w:sz="4" w:space="0"/>
            </w:tcBorders>
            <w:vAlign w:val="center"/>
          </w:tcPr>
          <w:p w14:paraId="5940B470">
            <w:pPr>
              <w:spacing w:line="240" w:lineRule="auto"/>
              <w:ind w:firstLine="0" w:firstLineChars="0"/>
              <w:jc w:val="center"/>
              <w:rPr>
                <w:sz w:val="21"/>
              </w:rPr>
            </w:pPr>
            <w:r>
              <w:rPr>
                <w:rFonts w:hint="eastAsia"/>
                <w:sz w:val="21"/>
              </w:rPr>
              <w:t>0.03</w:t>
            </w:r>
          </w:p>
        </w:tc>
      </w:tr>
      <w:tr w14:paraId="0D4F3B7E">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7EC7C48A">
            <w:pPr>
              <w:spacing w:line="240" w:lineRule="auto"/>
              <w:ind w:firstLine="0" w:firstLineChars="0"/>
              <w:jc w:val="center"/>
              <w:rPr>
                <w:sz w:val="21"/>
              </w:rPr>
            </w:pPr>
            <w:r>
              <w:rPr>
                <w:rFonts w:hint="eastAsia"/>
                <w:sz w:val="21"/>
              </w:rPr>
              <w:t>4</w:t>
            </w:r>
          </w:p>
        </w:tc>
        <w:tc>
          <w:tcPr>
            <w:tcW w:w="1587" w:type="pct"/>
            <w:tcBorders>
              <w:top w:val="nil"/>
              <w:left w:val="nil"/>
              <w:bottom w:val="single" w:color="auto" w:sz="4" w:space="0"/>
              <w:right w:val="single" w:color="auto" w:sz="4" w:space="0"/>
            </w:tcBorders>
            <w:vAlign w:val="center"/>
          </w:tcPr>
          <w:p w14:paraId="50CBE82E">
            <w:pPr>
              <w:spacing w:line="240" w:lineRule="auto"/>
              <w:ind w:firstLine="0" w:firstLineChars="0"/>
              <w:jc w:val="center"/>
              <w:rPr>
                <w:sz w:val="21"/>
              </w:rPr>
            </w:pPr>
            <w:r>
              <w:rPr>
                <w:rFonts w:hint="eastAsia"/>
                <w:sz w:val="21"/>
              </w:rPr>
              <w:t>付德庆鸡场</w:t>
            </w:r>
          </w:p>
        </w:tc>
        <w:tc>
          <w:tcPr>
            <w:tcW w:w="742" w:type="dxa"/>
            <w:tcBorders>
              <w:top w:val="nil"/>
              <w:left w:val="nil"/>
              <w:bottom w:val="single" w:color="auto" w:sz="4" w:space="0"/>
              <w:right w:val="single" w:color="auto" w:sz="4" w:space="0"/>
            </w:tcBorders>
            <w:vAlign w:val="center"/>
          </w:tcPr>
          <w:p w14:paraId="399704E7">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71A3E3BD">
            <w:pPr>
              <w:spacing w:line="240" w:lineRule="auto"/>
              <w:ind w:firstLine="0" w:firstLineChars="0"/>
              <w:jc w:val="center"/>
              <w:rPr>
                <w:sz w:val="21"/>
              </w:rPr>
            </w:pPr>
            <w:r>
              <w:rPr>
                <w:rFonts w:hint="eastAsia"/>
                <w:sz w:val="21"/>
              </w:rPr>
              <w:t>15.20</w:t>
            </w:r>
          </w:p>
        </w:tc>
        <w:tc>
          <w:tcPr>
            <w:tcW w:w="1050" w:type="dxa"/>
            <w:tcBorders>
              <w:top w:val="nil"/>
              <w:left w:val="nil"/>
              <w:bottom w:val="single" w:color="auto" w:sz="4" w:space="0"/>
              <w:right w:val="single" w:color="auto" w:sz="4" w:space="0"/>
            </w:tcBorders>
            <w:vAlign w:val="center"/>
          </w:tcPr>
          <w:p w14:paraId="3764B0FD">
            <w:pPr>
              <w:spacing w:line="240" w:lineRule="auto"/>
              <w:ind w:firstLine="0" w:firstLineChars="0"/>
              <w:jc w:val="center"/>
              <w:rPr>
                <w:sz w:val="21"/>
              </w:rPr>
            </w:pPr>
            <w:r>
              <w:rPr>
                <w:rFonts w:hint="eastAsia"/>
                <w:sz w:val="21"/>
              </w:rPr>
              <w:t>0.59</w:t>
            </w:r>
          </w:p>
        </w:tc>
        <w:tc>
          <w:tcPr>
            <w:tcW w:w="1050" w:type="dxa"/>
            <w:tcBorders>
              <w:top w:val="nil"/>
              <w:left w:val="nil"/>
              <w:bottom w:val="single" w:color="auto" w:sz="4" w:space="0"/>
              <w:right w:val="single" w:color="auto" w:sz="4" w:space="0"/>
            </w:tcBorders>
            <w:vAlign w:val="center"/>
          </w:tcPr>
          <w:p w14:paraId="2CE69FF8">
            <w:pPr>
              <w:spacing w:line="240" w:lineRule="auto"/>
              <w:ind w:firstLine="0" w:firstLineChars="0"/>
              <w:jc w:val="center"/>
              <w:rPr>
                <w:sz w:val="21"/>
              </w:rPr>
            </w:pPr>
            <w:r>
              <w:rPr>
                <w:rFonts w:hint="eastAsia"/>
                <w:sz w:val="21"/>
              </w:rPr>
              <w:t>0.22</w:t>
            </w:r>
          </w:p>
        </w:tc>
        <w:tc>
          <w:tcPr>
            <w:tcW w:w="1052" w:type="dxa"/>
            <w:tcBorders>
              <w:top w:val="nil"/>
              <w:left w:val="nil"/>
              <w:bottom w:val="single" w:color="auto" w:sz="4" w:space="0"/>
              <w:right w:val="single" w:color="auto" w:sz="4" w:space="0"/>
            </w:tcBorders>
            <w:vAlign w:val="center"/>
          </w:tcPr>
          <w:p w14:paraId="2693C091">
            <w:pPr>
              <w:spacing w:line="240" w:lineRule="auto"/>
              <w:ind w:firstLine="0" w:firstLineChars="0"/>
              <w:jc w:val="center"/>
              <w:rPr>
                <w:sz w:val="21"/>
              </w:rPr>
            </w:pPr>
            <w:r>
              <w:rPr>
                <w:rFonts w:hint="eastAsia"/>
                <w:sz w:val="21"/>
              </w:rPr>
              <w:t>0.13</w:t>
            </w:r>
          </w:p>
        </w:tc>
      </w:tr>
      <w:tr w14:paraId="50F15AE9">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33AA08D2">
            <w:pPr>
              <w:spacing w:line="240" w:lineRule="auto"/>
              <w:ind w:firstLine="0" w:firstLineChars="0"/>
              <w:jc w:val="center"/>
              <w:rPr>
                <w:sz w:val="21"/>
              </w:rPr>
            </w:pPr>
            <w:r>
              <w:rPr>
                <w:rFonts w:hint="eastAsia"/>
                <w:sz w:val="21"/>
              </w:rPr>
              <w:t>5</w:t>
            </w:r>
          </w:p>
        </w:tc>
        <w:tc>
          <w:tcPr>
            <w:tcW w:w="1587" w:type="pct"/>
            <w:tcBorders>
              <w:top w:val="nil"/>
              <w:left w:val="nil"/>
              <w:bottom w:val="single" w:color="auto" w:sz="4" w:space="0"/>
              <w:right w:val="single" w:color="auto" w:sz="4" w:space="0"/>
            </w:tcBorders>
            <w:vAlign w:val="center"/>
          </w:tcPr>
          <w:p w14:paraId="1D213509">
            <w:pPr>
              <w:spacing w:line="240" w:lineRule="auto"/>
              <w:ind w:firstLine="0" w:firstLineChars="0"/>
              <w:jc w:val="center"/>
              <w:rPr>
                <w:sz w:val="21"/>
              </w:rPr>
            </w:pPr>
            <w:r>
              <w:rPr>
                <w:rFonts w:hint="eastAsia"/>
                <w:sz w:val="21"/>
              </w:rPr>
              <w:t>陈锁洪鸡场</w:t>
            </w:r>
          </w:p>
        </w:tc>
        <w:tc>
          <w:tcPr>
            <w:tcW w:w="742" w:type="dxa"/>
            <w:tcBorders>
              <w:top w:val="nil"/>
              <w:left w:val="nil"/>
              <w:bottom w:val="single" w:color="auto" w:sz="4" w:space="0"/>
              <w:right w:val="single" w:color="auto" w:sz="4" w:space="0"/>
            </w:tcBorders>
            <w:vAlign w:val="center"/>
          </w:tcPr>
          <w:p w14:paraId="1DFC5E75">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75C06D37">
            <w:pPr>
              <w:spacing w:line="240" w:lineRule="auto"/>
              <w:ind w:firstLine="0" w:firstLineChars="0"/>
              <w:jc w:val="center"/>
              <w:rPr>
                <w:sz w:val="21"/>
              </w:rPr>
            </w:pPr>
            <w:r>
              <w:rPr>
                <w:rFonts w:hint="eastAsia"/>
                <w:sz w:val="21"/>
              </w:rPr>
              <w:t>6.19</w:t>
            </w:r>
          </w:p>
        </w:tc>
        <w:tc>
          <w:tcPr>
            <w:tcW w:w="1050" w:type="dxa"/>
            <w:tcBorders>
              <w:top w:val="nil"/>
              <w:left w:val="nil"/>
              <w:bottom w:val="single" w:color="auto" w:sz="4" w:space="0"/>
              <w:right w:val="single" w:color="auto" w:sz="4" w:space="0"/>
            </w:tcBorders>
            <w:vAlign w:val="center"/>
          </w:tcPr>
          <w:p w14:paraId="722AD874">
            <w:pPr>
              <w:spacing w:line="240" w:lineRule="auto"/>
              <w:ind w:firstLine="0" w:firstLineChars="0"/>
              <w:jc w:val="center"/>
              <w:rPr>
                <w:sz w:val="21"/>
              </w:rPr>
            </w:pPr>
            <w:r>
              <w:rPr>
                <w:rFonts w:hint="eastAsia"/>
                <w:sz w:val="21"/>
              </w:rPr>
              <w:t>0.30</w:t>
            </w:r>
          </w:p>
        </w:tc>
        <w:tc>
          <w:tcPr>
            <w:tcW w:w="1050" w:type="dxa"/>
            <w:tcBorders>
              <w:top w:val="nil"/>
              <w:left w:val="nil"/>
              <w:bottom w:val="single" w:color="auto" w:sz="4" w:space="0"/>
              <w:right w:val="single" w:color="auto" w:sz="4" w:space="0"/>
            </w:tcBorders>
            <w:vAlign w:val="center"/>
          </w:tcPr>
          <w:p w14:paraId="70BED58B">
            <w:pPr>
              <w:spacing w:line="240" w:lineRule="auto"/>
              <w:ind w:firstLine="0" w:firstLineChars="0"/>
              <w:jc w:val="center"/>
              <w:rPr>
                <w:sz w:val="21"/>
              </w:rPr>
            </w:pPr>
            <w:r>
              <w:rPr>
                <w:rFonts w:hint="eastAsia"/>
                <w:sz w:val="21"/>
              </w:rPr>
              <w:t>0.03</w:t>
            </w:r>
          </w:p>
        </w:tc>
        <w:tc>
          <w:tcPr>
            <w:tcW w:w="1052" w:type="dxa"/>
            <w:tcBorders>
              <w:top w:val="nil"/>
              <w:left w:val="nil"/>
              <w:bottom w:val="single" w:color="auto" w:sz="4" w:space="0"/>
              <w:right w:val="single" w:color="auto" w:sz="4" w:space="0"/>
            </w:tcBorders>
            <w:vAlign w:val="center"/>
          </w:tcPr>
          <w:p w14:paraId="64133BFE">
            <w:pPr>
              <w:spacing w:line="240" w:lineRule="auto"/>
              <w:ind w:firstLine="0" w:firstLineChars="0"/>
              <w:jc w:val="center"/>
              <w:rPr>
                <w:sz w:val="21"/>
              </w:rPr>
            </w:pPr>
            <w:r>
              <w:rPr>
                <w:rFonts w:hint="eastAsia"/>
                <w:sz w:val="21"/>
              </w:rPr>
              <w:t>0.06</w:t>
            </w:r>
          </w:p>
        </w:tc>
      </w:tr>
      <w:tr w14:paraId="3FCED2D0">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56397C1A">
            <w:pPr>
              <w:spacing w:line="240" w:lineRule="auto"/>
              <w:ind w:firstLine="0" w:firstLineChars="0"/>
              <w:jc w:val="center"/>
              <w:rPr>
                <w:sz w:val="21"/>
              </w:rPr>
            </w:pPr>
            <w:r>
              <w:rPr>
                <w:rFonts w:hint="eastAsia"/>
                <w:sz w:val="21"/>
              </w:rPr>
              <w:t>6</w:t>
            </w:r>
          </w:p>
        </w:tc>
        <w:tc>
          <w:tcPr>
            <w:tcW w:w="1587" w:type="pct"/>
            <w:tcBorders>
              <w:top w:val="nil"/>
              <w:left w:val="nil"/>
              <w:bottom w:val="single" w:color="auto" w:sz="4" w:space="0"/>
              <w:right w:val="single" w:color="auto" w:sz="4" w:space="0"/>
            </w:tcBorders>
            <w:vAlign w:val="center"/>
          </w:tcPr>
          <w:p w14:paraId="765ADB04">
            <w:pPr>
              <w:spacing w:line="240" w:lineRule="auto"/>
              <w:ind w:firstLine="0" w:firstLineChars="0"/>
              <w:jc w:val="center"/>
              <w:rPr>
                <w:sz w:val="21"/>
              </w:rPr>
            </w:pPr>
            <w:r>
              <w:rPr>
                <w:rFonts w:hint="eastAsia"/>
                <w:sz w:val="21"/>
              </w:rPr>
              <w:t>张国俊鸡场</w:t>
            </w:r>
          </w:p>
        </w:tc>
        <w:tc>
          <w:tcPr>
            <w:tcW w:w="742" w:type="dxa"/>
            <w:tcBorders>
              <w:top w:val="nil"/>
              <w:left w:val="nil"/>
              <w:bottom w:val="single" w:color="auto" w:sz="4" w:space="0"/>
              <w:right w:val="single" w:color="auto" w:sz="4" w:space="0"/>
            </w:tcBorders>
            <w:vAlign w:val="center"/>
          </w:tcPr>
          <w:p w14:paraId="16912609">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596CEB3A">
            <w:pPr>
              <w:spacing w:line="240" w:lineRule="auto"/>
              <w:ind w:firstLine="0" w:firstLineChars="0"/>
              <w:jc w:val="center"/>
              <w:rPr>
                <w:sz w:val="21"/>
              </w:rPr>
            </w:pPr>
            <w:r>
              <w:rPr>
                <w:rFonts w:hint="eastAsia"/>
                <w:sz w:val="21"/>
              </w:rPr>
              <w:t>17.38</w:t>
            </w:r>
          </w:p>
        </w:tc>
        <w:tc>
          <w:tcPr>
            <w:tcW w:w="1050" w:type="dxa"/>
            <w:tcBorders>
              <w:top w:val="nil"/>
              <w:left w:val="nil"/>
              <w:bottom w:val="single" w:color="auto" w:sz="4" w:space="0"/>
              <w:right w:val="single" w:color="auto" w:sz="4" w:space="0"/>
            </w:tcBorders>
            <w:vAlign w:val="center"/>
          </w:tcPr>
          <w:p w14:paraId="4289069B">
            <w:pPr>
              <w:spacing w:line="240" w:lineRule="auto"/>
              <w:ind w:firstLine="0" w:firstLineChars="0"/>
              <w:jc w:val="center"/>
              <w:rPr>
                <w:sz w:val="21"/>
              </w:rPr>
            </w:pPr>
            <w:r>
              <w:rPr>
                <w:rFonts w:hint="eastAsia"/>
                <w:sz w:val="21"/>
              </w:rPr>
              <w:t>0.68</w:t>
            </w:r>
          </w:p>
        </w:tc>
        <w:tc>
          <w:tcPr>
            <w:tcW w:w="1050" w:type="dxa"/>
            <w:tcBorders>
              <w:top w:val="nil"/>
              <w:left w:val="nil"/>
              <w:bottom w:val="single" w:color="auto" w:sz="4" w:space="0"/>
              <w:right w:val="single" w:color="auto" w:sz="4" w:space="0"/>
            </w:tcBorders>
            <w:vAlign w:val="center"/>
          </w:tcPr>
          <w:p w14:paraId="1DCF4FC9">
            <w:pPr>
              <w:spacing w:line="240" w:lineRule="auto"/>
              <w:ind w:firstLine="0" w:firstLineChars="0"/>
              <w:jc w:val="center"/>
              <w:rPr>
                <w:sz w:val="21"/>
              </w:rPr>
            </w:pPr>
            <w:r>
              <w:rPr>
                <w:rFonts w:hint="eastAsia"/>
                <w:sz w:val="21"/>
              </w:rPr>
              <w:t>0.25</w:t>
            </w:r>
          </w:p>
        </w:tc>
        <w:tc>
          <w:tcPr>
            <w:tcW w:w="1052" w:type="dxa"/>
            <w:tcBorders>
              <w:top w:val="nil"/>
              <w:left w:val="nil"/>
              <w:bottom w:val="single" w:color="auto" w:sz="4" w:space="0"/>
              <w:right w:val="single" w:color="auto" w:sz="4" w:space="0"/>
            </w:tcBorders>
            <w:vAlign w:val="center"/>
          </w:tcPr>
          <w:p w14:paraId="3534A5F1">
            <w:pPr>
              <w:spacing w:line="240" w:lineRule="auto"/>
              <w:ind w:firstLine="0" w:firstLineChars="0"/>
              <w:jc w:val="center"/>
              <w:rPr>
                <w:sz w:val="21"/>
              </w:rPr>
            </w:pPr>
            <w:r>
              <w:rPr>
                <w:rFonts w:hint="eastAsia"/>
                <w:sz w:val="21"/>
              </w:rPr>
              <w:t>0.15</w:t>
            </w:r>
          </w:p>
        </w:tc>
      </w:tr>
      <w:tr w14:paraId="7087DFD0">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7C7A3B3E">
            <w:pPr>
              <w:spacing w:line="240" w:lineRule="auto"/>
              <w:ind w:firstLine="0" w:firstLineChars="0"/>
              <w:jc w:val="center"/>
              <w:rPr>
                <w:sz w:val="21"/>
              </w:rPr>
            </w:pPr>
            <w:r>
              <w:rPr>
                <w:rFonts w:hint="eastAsia"/>
                <w:sz w:val="21"/>
              </w:rPr>
              <w:t>7</w:t>
            </w:r>
          </w:p>
        </w:tc>
        <w:tc>
          <w:tcPr>
            <w:tcW w:w="1587" w:type="pct"/>
            <w:tcBorders>
              <w:top w:val="nil"/>
              <w:left w:val="nil"/>
              <w:bottom w:val="single" w:color="auto" w:sz="4" w:space="0"/>
              <w:right w:val="single" w:color="auto" w:sz="4" w:space="0"/>
            </w:tcBorders>
            <w:vAlign w:val="center"/>
          </w:tcPr>
          <w:p w14:paraId="783FB6E0">
            <w:pPr>
              <w:spacing w:line="240" w:lineRule="auto"/>
              <w:ind w:firstLine="0" w:firstLineChars="0"/>
              <w:jc w:val="center"/>
              <w:rPr>
                <w:sz w:val="21"/>
              </w:rPr>
            </w:pPr>
            <w:r>
              <w:rPr>
                <w:rFonts w:hint="eastAsia"/>
                <w:sz w:val="21"/>
              </w:rPr>
              <w:t>张国兵鸡场</w:t>
            </w:r>
          </w:p>
        </w:tc>
        <w:tc>
          <w:tcPr>
            <w:tcW w:w="742" w:type="dxa"/>
            <w:tcBorders>
              <w:top w:val="nil"/>
              <w:left w:val="nil"/>
              <w:bottom w:val="single" w:color="auto" w:sz="4" w:space="0"/>
              <w:right w:val="single" w:color="auto" w:sz="4" w:space="0"/>
            </w:tcBorders>
            <w:vAlign w:val="center"/>
          </w:tcPr>
          <w:p w14:paraId="3F57AB3B">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2150DA04">
            <w:pPr>
              <w:spacing w:line="240" w:lineRule="auto"/>
              <w:ind w:firstLine="0" w:firstLineChars="0"/>
              <w:jc w:val="center"/>
              <w:rPr>
                <w:sz w:val="21"/>
              </w:rPr>
            </w:pPr>
            <w:r>
              <w:rPr>
                <w:rFonts w:hint="eastAsia"/>
                <w:sz w:val="21"/>
              </w:rPr>
              <w:t>15.66</w:t>
            </w:r>
          </w:p>
        </w:tc>
        <w:tc>
          <w:tcPr>
            <w:tcW w:w="1050" w:type="dxa"/>
            <w:tcBorders>
              <w:top w:val="nil"/>
              <w:left w:val="nil"/>
              <w:bottom w:val="single" w:color="auto" w:sz="4" w:space="0"/>
              <w:right w:val="single" w:color="auto" w:sz="4" w:space="0"/>
            </w:tcBorders>
            <w:vAlign w:val="center"/>
          </w:tcPr>
          <w:p w14:paraId="35C88E4A">
            <w:pPr>
              <w:spacing w:line="240" w:lineRule="auto"/>
              <w:ind w:firstLine="0" w:firstLineChars="0"/>
              <w:jc w:val="center"/>
              <w:rPr>
                <w:sz w:val="21"/>
              </w:rPr>
            </w:pPr>
            <w:r>
              <w:rPr>
                <w:rFonts w:hint="eastAsia"/>
                <w:sz w:val="21"/>
              </w:rPr>
              <w:t>0.61</w:t>
            </w:r>
          </w:p>
        </w:tc>
        <w:tc>
          <w:tcPr>
            <w:tcW w:w="1050" w:type="dxa"/>
            <w:tcBorders>
              <w:top w:val="nil"/>
              <w:left w:val="nil"/>
              <w:bottom w:val="single" w:color="auto" w:sz="4" w:space="0"/>
              <w:right w:val="single" w:color="auto" w:sz="4" w:space="0"/>
            </w:tcBorders>
            <w:vAlign w:val="center"/>
          </w:tcPr>
          <w:p w14:paraId="6A07879E">
            <w:pPr>
              <w:spacing w:line="240" w:lineRule="auto"/>
              <w:ind w:firstLine="0" w:firstLineChars="0"/>
              <w:jc w:val="center"/>
              <w:rPr>
                <w:sz w:val="21"/>
              </w:rPr>
            </w:pPr>
            <w:r>
              <w:rPr>
                <w:rFonts w:hint="eastAsia"/>
                <w:sz w:val="21"/>
              </w:rPr>
              <w:t>0.23</w:t>
            </w:r>
          </w:p>
        </w:tc>
        <w:tc>
          <w:tcPr>
            <w:tcW w:w="1052" w:type="dxa"/>
            <w:tcBorders>
              <w:top w:val="nil"/>
              <w:left w:val="nil"/>
              <w:bottom w:val="single" w:color="auto" w:sz="4" w:space="0"/>
              <w:right w:val="single" w:color="auto" w:sz="4" w:space="0"/>
            </w:tcBorders>
            <w:vAlign w:val="center"/>
          </w:tcPr>
          <w:p w14:paraId="3DEAB754">
            <w:pPr>
              <w:spacing w:line="240" w:lineRule="auto"/>
              <w:ind w:firstLine="0" w:firstLineChars="0"/>
              <w:jc w:val="center"/>
              <w:rPr>
                <w:sz w:val="21"/>
              </w:rPr>
            </w:pPr>
            <w:r>
              <w:rPr>
                <w:rFonts w:hint="eastAsia"/>
                <w:sz w:val="21"/>
              </w:rPr>
              <w:t>0.13</w:t>
            </w:r>
          </w:p>
        </w:tc>
      </w:tr>
      <w:tr w14:paraId="1527A3FF">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27A227A6">
            <w:pPr>
              <w:spacing w:line="240" w:lineRule="auto"/>
              <w:ind w:firstLine="0" w:firstLineChars="0"/>
              <w:jc w:val="center"/>
              <w:rPr>
                <w:sz w:val="21"/>
              </w:rPr>
            </w:pPr>
            <w:r>
              <w:rPr>
                <w:rFonts w:hint="eastAsia"/>
                <w:sz w:val="21"/>
              </w:rPr>
              <w:t>8</w:t>
            </w:r>
          </w:p>
        </w:tc>
        <w:tc>
          <w:tcPr>
            <w:tcW w:w="1587" w:type="pct"/>
            <w:tcBorders>
              <w:top w:val="nil"/>
              <w:left w:val="nil"/>
              <w:bottom w:val="single" w:color="auto" w:sz="4" w:space="0"/>
              <w:right w:val="single" w:color="auto" w:sz="4" w:space="0"/>
            </w:tcBorders>
            <w:vAlign w:val="center"/>
          </w:tcPr>
          <w:p w14:paraId="12D7D32A">
            <w:pPr>
              <w:spacing w:line="240" w:lineRule="auto"/>
              <w:ind w:firstLine="0" w:firstLineChars="0"/>
              <w:jc w:val="center"/>
              <w:rPr>
                <w:sz w:val="21"/>
              </w:rPr>
            </w:pPr>
            <w:r>
              <w:rPr>
                <w:rFonts w:hint="eastAsia"/>
                <w:sz w:val="21"/>
              </w:rPr>
              <w:t>陈桂同鸡场</w:t>
            </w:r>
          </w:p>
        </w:tc>
        <w:tc>
          <w:tcPr>
            <w:tcW w:w="742" w:type="dxa"/>
            <w:tcBorders>
              <w:top w:val="nil"/>
              <w:left w:val="nil"/>
              <w:bottom w:val="single" w:color="auto" w:sz="4" w:space="0"/>
              <w:right w:val="single" w:color="auto" w:sz="4" w:space="0"/>
            </w:tcBorders>
            <w:vAlign w:val="center"/>
          </w:tcPr>
          <w:p w14:paraId="7CCCAD26">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531B822A">
            <w:pPr>
              <w:spacing w:line="240" w:lineRule="auto"/>
              <w:ind w:firstLine="0" w:firstLineChars="0"/>
              <w:jc w:val="center"/>
              <w:rPr>
                <w:sz w:val="21"/>
              </w:rPr>
            </w:pPr>
            <w:r>
              <w:rPr>
                <w:rFonts w:hint="eastAsia"/>
                <w:sz w:val="21"/>
              </w:rPr>
              <w:t>23.40</w:t>
            </w:r>
          </w:p>
        </w:tc>
        <w:tc>
          <w:tcPr>
            <w:tcW w:w="1050" w:type="dxa"/>
            <w:tcBorders>
              <w:top w:val="nil"/>
              <w:left w:val="nil"/>
              <w:bottom w:val="single" w:color="auto" w:sz="4" w:space="0"/>
              <w:right w:val="single" w:color="auto" w:sz="4" w:space="0"/>
            </w:tcBorders>
            <w:vAlign w:val="center"/>
          </w:tcPr>
          <w:p w14:paraId="615D6CBB">
            <w:pPr>
              <w:spacing w:line="240" w:lineRule="auto"/>
              <w:ind w:firstLine="0" w:firstLineChars="0"/>
              <w:jc w:val="center"/>
              <w:rPr>
                <w:sz w:val="21"/>
              </w:rPr>
            </w:pPr>
            <w:r>
              <w:rPr>
                <w:rFonts w:hint="eastAsia"/>
                <w:sz w:val="21"/>
              </w:rPr>
              <w:t>0.91</w:t>
            </w:r>
          </w:p>
        </w:tc>
        <w:tc>
          <w:tcPr>
            <w:tcW w:w="1050" w:type="dxa"/>
            <w:tcBorders>
              <w:top w:val="nil"/>
              <w:left w:val="nil"/>
              <w:bottom w:val="single" w:color="auto" w:sz="4" w:space="0"/>
              <w:right w:val="single" w:color="auto" w:sz="4" w:space="0"/>
            </w:tcBorders>
            <w:vAlign w:val="center"/>
          </w:tcPr>
          <w:p w14:paraId="58213C37">
            <w:pPr>
              <w:spacing w:line="240" w:lineRule="auto"/>
              <w:ind w:firstLine="0" w:firstLineChars="0"/>
              <w:jc w:val="center"/>
              <w:rPr>
                <w:sz w:val="21"/>
              </w:rPr>
            </w:pPr>
            <w:r>
              <w:rPr>
                <w:rFonts w:hint="eastAsia"/>
                <w:sz w:val="21"/>
              </w:rPr>
              <w:t>0.34</w:t>
            </w:r>
          </w:p>
        </w:tc>
        <w:tc>
          <w:tcPr>
            <w:tcW w:w="1052" w:type="dxa"/>
            <w:tcBorders>
              <w:top w:val="nil"/>
              <w:left w:val="nil"/>
              <w:bottom w:val="single" w:color="auto" w:sz="4" w:space="0"/>
              <w:right w:val="single" w:color="auto" w:sz="4" w:space="0"/>
            </w:tcBorders>
            <w:vAlign w:val="center"/>
          </w:tcPr>
          <w:p w14:paraId="0E0FF49B">
            <w:pPr>
              <w:spacing w:line="240" w:lineRule="auto"/>
              <w:ind w:firstLine="0" w:firstLineChars="0"/>
              <w:jc w:val="center"/>
              <w:rPr>
                <w:sz w:val="21"/>
              </w:rPr>
            </w:pPr>
            <w:r>
              <w:rPr>
                <w:rFonts w:hint="eastAsia"/>
                <w:sz w:val="21"/>
              </w:rPr>
              <w:t>0.20</w:t>
            </w:r>
          </w:p>
        </w:tc>
      </w:tr>
      <w:tr w14:paraId="44FE2CB5">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2CCB1E44">
            <w:pPr>
              <w:spacing w:line="240" w:lineRule="auto"/>
              <w:ind w:firstLine="0" w:firstLineChars="0"/>
              <w:jc w:val="center"/>
              <w:rPr>
                <w:sz w:val="21"/>
              </w:rPr>
            </w:pPr>
            <w:r>
              <w:rPr>
                <w:rFonts w:hint="eastAsia"/>
                <w:sz w:val="21"/>
              </w:rPr>
              <w:t>9</w:t>
            </w:r>
          </w:p>
        </w:tc>
        <w:tc>
          <w:tcPr>
            <w:tcW w:w="1587" w:type="pct"/>
            <w:tcBorders>
              <w:top w:val="nil"/>
              <w:left w:val="nil"/>
              <w:bottom w:val="single" w:color="auto" w:sz="4" w:space="0"/>
              <w:right w:val="single" w:color="auto" w:sz="4" w:space="0"/>
            </w:tcBorders>
            <w:vAlign w:val="center"/>
          </w:tcPr>
          <w:p w14:paraId="0754EC20">
            <w:pPr>
              <w:spacing w:line="240" w:lineRule="auto"/>
              <w:ind w:firstLine="0" w:firstLineChars="0"/>
              <w:jc w:val="center"/>
              <w:rPr>
                <w:sz w:val="21"/>
              </w:rPr>
            </w:pPr>
            <w:r>
              <w:rPr>
                <w:rFonts w:hint="eastAsia"/>
                <w:sz w:val="21"/>
              </w:rPr>
              <w:t>张喜怀鸡场</w:t>
            </w:r>
          </w:p>
        </w:tc>
        <w:tc>
          <w:tcPr>
            <w:tcW w:w="742" w:type="dxa"/>
            <w:tcBorders>
              <w:top w:val="nil"/>
              <w:left w:val="nil"/>
              <w:bottom w:val="single" w:color="auto" w:sz="4" w:space="0"/>
              <w:right w:val="single" w:color="auto" w:sz="4" w:space="0"/>
            </w:tcBorders>
            <w:vAlign w:val="center"/>
          </w:tcPr>
          <w:p w14:paraId="5FF33DCC">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1196A177">
            <w:pPr>
              <w:spacing w:line="240" w:lineRule="auto"/>
              <w:ind w:firstLine="0" w:firstLineChars="0"/>
              <w:jc w:val="center"/>
              <w:rPr>
                <w:sz w:val="21"/>
              </w:rPr>
            </w:pPr>
            <w:r>
              <w:rPr>
                <w:rFonts w:hint="eastAsia"/>
                <w:sz w:val="21"/>
              </w:rPr>
              <w:t>21.33</w:t>
            </w:r>
          </w:p>
        </w:tc>
        <w:tc>
          <w:tcPr>
            <w:tcW w:w="1050" w:type="dxa"/>
            <w:tcBorders>
              <w:top w:val="nil"/>
              <w:left w:val="nil"/>
              <w:bottom w:val="single" w:color="auto" w:sz="4" w:space="0"/>
              <w:right w:val="single" w:color="auto" w:sz="4" w:space="0"/>
            </w:tcBorders>
            <w:vAlign w:val="center"/>
          </w:tcPr>
          <w:p w14:paraId="5ABD0A5A">
            <w:pPr>
              <w:spacing w:line="240" w:lineRule="auto"/>
              <w:ind w:firstLine="0" w:firstLineChars="0"/>
              <w:jc w:val="center"/>
              <w:rPr>
                <w:sz w:val="21"/>
              </w:rPr>
            </w:pPr>
            <w:r>
              <w:rPr>
                <w:rFonts w:hint="eastAsia"/>
                <w:sz w:val="21"/>
              </w:rPr>
              <w:t>0.83</w:t>
            </w:r>
          </w:p>
        </w:tc>
        <w:tc>
          <w:tcPr>
            <w:tcW w:w="1050" w:type="dxa"/>
            <w:tcBorders>
              <w:top w:val="nil"/>
              <w:left w:val="nil"/>
              <w:bottom w:val="single" w:color="auto" w:sz="4" w:space="0"/>
              <w:right w:val="single" w:color="auto" w:sz="4" w:space="0"/>
            </w:tcBorders>
            <w:vAlign w:val="center"/>
          </w:tcPr>
          <w:p w14:paraId="2142FA69">
            <w:pPr>
              <w:spacing w:line="240" w:lineRule="auto"/>
              <w:ind w:firstLine="0" w:firstLineChars="0"/>
              <w:jc w:val="center"/>
              <w:rPr>
                <w:sz w:val="21"/>
              </w:rPr>
            </w:pPr>
            <w:r>
              <w:rPr>
                <w:rFonts w:hint="eastAsia"/>
                <w:sz w:val="21"/>
              </w:rPr>
              <w:t>0.31</w:t>
            </w:r>
          </w:p>
        </w:tc>
        <w:tc>
          <w:tcPr>
            <w:tcW w:w="1052" w:type="dxa"/>
            <w:tcBorders>
              <w:top w:val="nil"/>
              <w:left w:val="nil"/>
              <w:bottom w:val="single" w:color="auto" w:sz="4" w:space="0"/>
              <w:right w:val="single" w:color="auto" w:sz="4" w:space="0"/>
            </w:tcBorders>
            <w:vAlign w:val="center"/>
          </w:tcPr>
          <w:p w14:paraId="218D4E36">
            <w:pPr>
              <w:spacing w:line="240" w:lineRule="auto"/>
              <w:ind w:firstLine="0" w:firstLineChars="0"/>
              <w:jc w:val="center"/>
              <w:rPr>
                <w:sz w:val="21"/>
              </w:rPr>
            </w:pPr>
            <w:r>
              <w:rPr>
                <w:rFonts w:hint="eastAsia"/>
                <w:sz w:val="21"/>
              </w:rPr>
              <w:t>0.18</w:t>
            </w:r>
          </w:p>
        </w:tc>
      </w:tr>
      <w:tr w14:paraId="6760F72E">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6605F358">
            <w:pPr>
              <w:spacing w:line="240" w:lineRule="auto"/>
              <w:ind w:firstLine="0" w:firstLineChars="0"/>
              <w:jc w:val="center"/>
              <w:rPr>
                <w:sz w:val="21"/>
              </w:rPr>
            </w:pPr>
            <w:r>
              <w:rPr>
                <w:rFonts w:hint="eastAsia"/>
                <w:sz w:val="21"/>
              </w:rPr>
              <w:t>10</w:t>
            </w:r>
          </w:p>
        </w:tc>
        <w:tc>
          <w:tcPr>
            <w:tcW w:w="1587" w:type="pct"/>
            <w:tcBorders>
              <w:top w:val="nil"/>
              <w:left w:val="nil"/>
              <w:bottom w:val="single" w:color="auto" w:sz="4" w:space="0"/>
              <w:right w:val="single" w:color="auto" w:sz="4" w:space="0"/>
            </w:tcBorders>
            <w:vAlign w:val="center"/>
          </w:tcPr>
          <w:p w14:paraId="0D555DC6">
            <w:pPr>
              <w:spacing w:line="240" w:lineRule="auto"/>
              <w:ind w:firstLine="0" w:firstLineChars="0"/>
              <w:jc w:val="center"/>
              <w:rPr>
                <w:sz w:val="21"/>
              </w:rPr>
            </w:pPr>
            <w:r>
              <w:rPr>
                <w:rFonts w:hint="eastAsia"/>
                <w:sz w:val="21"/>
              </w:rPr>
              <w:t>胡盼盼鸡场</w:t>
            </w:r>
          </w:p>
        </w:tc>
        <w:tc>
          <w:tcPr>
            <w:tcW w:w="742" w:type="dxa"/>
            <w:tcBorders>
              <w:top w:val="nil"/>
              <w:left w:val="nil"/>
              <w:bottom w:val="single" w:color="auto" w:sz="4" w:space="0"/>
              <w:right w:val="single" w:color="auto" w:sz="4" w:space="0"/>
            </w:tcBorders>
            <w:vAlign w:val="center"/>
          </w:tcPr>
          <w:p w14:paraId="1EFB3080">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2580617D">
            <w:pPr>
              <w:spacing w:line="240" w:lineRule="auto"/>
              <w:ind w:firstLine="0" w:firstLineChars="0"/>
              <w:jc w:val="center"/>
              <w:rPr>
                <w:sz w:val="21"/>
              </w:rPr>
            </w:pPr>
            <w:r>
              <w:rPr>
                <w:rFonts w:hint="eastAsia"/>
                <w:sz w:val="21"/>
              </w:rPr>
              <w:t>23.54</w:t>
            </w:r>
          </w:p>
        </w:tc>
        <w:tc>
          <w:tcPr>
            <w:tcW w:w="1050" w:type="dxa"/>
            <w:tcBorders>
              <w:top w:val="nil"/>
              <w:left w:val="nil"/>
              <w:bottom w:val="single" w:color="auto" w:sz="4" w:space="0"/>
              <w:right w:val="single" w:color="auto" w:sz="4" w:space="0"/>
            </w:tcBorders>
            <w:vAlign w:val="center"/>
          </w:tcPr>
          <w:p w14:paraId="4928BAB9">
            <w:pPr>
              <w:spacing w:line="240" w:lineRule="auto"/>
              <w:ind w:firstLine="0" w:firstLineChars="0"/>
              <w:jc w:val="center"/>
              <w:rPr>
                <w:sz w:val="21"/>
              </w:rPr>
            </w:pPr>
            <w:r>
              <w:rPr>
                <w:rFonts w:hint="eastAsia"/>
                <w:sz w:val="21"/>
              </w:rPr>
              <w:t>0.92</w:t>
            </w:r>
          </w:p>
        </w:tc>
        <w:tc>
          <w:tcPr>
            <w:tcW w:w="1050" w:type="dxa"/>
            <w:tcBorders>
              <w:top w:val="nil"/>
              <w:left w:val="nil"/>
              <w:bottom w:val="single" w:color="auto" w:sz="4" w:space="0"/>
              <w:right w:val="single" w:color="auto" w:sz="4" w:space="0"/>
            </w:tcBorders>
            <w:vAlign w:val="center"/>
          </w:tcPr>
          <w:p w14:paraId="3A901B88">
            <w:pPr>
              <w:spacing w:line="240" w:lineRule="auto"/>
              <w:ind w:firstLine="0" w:firstLineChars="0"/>
              <w:jc w:val="center"/>
              <w:rPr>
                <w:sz w:val="21"/>
              </w:rPr>
            </w:pPr>
            <w:r>
              <w:rPr>
                <w:rFonts w:hint="eastAsia"/>
                <w:sz w:val="21"/>
              </w:rPr>
              <w:t>0.34</w:t>
            </w:r>
          </w:p>
        </w:tc>
        <w:tc>
          <w:tcPr>
            <w:tcW w:w="1052" w:type="dxa"/>
            <w:tcBorders>
              <w:top w:val="nil"/>
              <w:left w:val="nil"/>
              <w:bottom w:val="single" w:color="auto" w:sz="4" w:space="0"/>
              <w:right w:val="single" w:color="auto" w:sz="4" w:space="0"/>
            </w:tcBorders>
            <w:vAlign w:val="center"/>
          </w:tcPr>
          <w:p w14:paraId="457CFF75">
            <w:pPr>
              <w:spacing w:line="240" w:lineRule="auto"/>
              <w:ind w:firstLine="0" w:firstLineChars="0"/>
              <w:jc w:val="center"/>
              <w:rPr>
                <w:sz w:val="21"/>
              </w:rPr>
            </w:pPr>
            <w:r>
              <w:rPr>
                <w:rFonts w:hint="eastAsia"/>
                <w:sz w:val="21"/>
              </w:rPr>
              <w:t>0.20</w:t>
            </w:r>
          </w:p>
        </w:tc>
      </w:tr>
      <w:tr w14:paraId="5C349059">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0DF78B16">
            <w:pPr>
              <w:spacing w:line="240" w:lineRule="auto"/>
              <w:ind w:firstLine="0" w:firstLineChars="0"/>
              <w:jc w:val="center"/>
              <w:rPr>
                <w:sz w:val="21"/>
              </w:rPr>
            </w:pPr>
            <w:r>
              <w:rPr>
                <w:rFonts w:hint="eastAsia"/>
                <w:sz w:val="21"/>
              </w:rPr>
              <w:t>11</w:t>
            </w:r>
          </w:p>
        </w:tc>
        <w:tc>
          <w:tcPr>
            <w:tcW w:w="1587" w:type="pct"/>
            <w:tcBorders>
              <w:top w:val="nil"/>
              <w:left w:val="nil"/>
              <w:bottom w:val="single" w:color="auto" w:sz="4" w:space="0"/>
              <w:right w:val="single" w:color="auto" w:sz="4" w:space="0"/>
            </w:tcBorders>
            <w:vAlign w:val="center"/>
          </w:tcPr>
          <w:p w14:paraId="6C9F89A1">
            <w:pPr>
              <w:spacing w:line="240" w:lineRule="auto"/>
              <w:ind w:firstLine="0" w:firstLineChars="0"/>
              <w:jc w:val="center"/>
              <w:rPr>
                <w:sz w:val="21"/>
              </w:rPr>
            </w:pPr>
            <w:r>
              <w:rPr>
                <w:rFonts w:hint="eastAsia"/>
                <w:sz w:val="21"/>
              </w:rPr>
              <w:t>韩永昌鸡场(欧学平)</w:t>
            </w:r>
          </w:p>
        </w:tc>
        <w:tc>
          <w:tcPr>
            <w:tcW w:w="742" w:type="dxa"/>
            <w:tcBorders>
              <w:top w:val="nil"/>
              <w:left w:val="nil"/>
              <w:bottom w:val="single" w:color="auto" w:sz="4" w:space="0"/>
              <w:right w:val="single" w:color="auto" w:sz="4" w:space="0"/>
            </w:tcBorders>
            <w:vAlign w:val="center"/>
          </w:tcPr>
          <w:p w14:paraId="3F6FDFFF">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41F112E0">
            <w:pPr>
              <w:spacing w:line="240" w:lineRule="auto"/>
              <w:ind w:firstLine="0" w:firstLineChars="0"/>
              <w:jc w:val="center"/>
              <w:rPr>
                <w:sz w:val="21"/>
              </w:rPr>
            </w:pPr>
            <w:r>
              <w:rPr>
                <w:rFonts w:hint="eastAsia"/>
                <w:sz w:val="21"/>
              </w:rPr>
              <w:t>12.88</w:t>
            </w:r>
          </w:p>
        </w:tc>
        <w:tc>
          <w:tcPr>
            <w:tcW w:w="1050" w:type="dxa"/>
            <w:tcBorders>
              <w:top w:val="nil"/>
              <w:left w:val="nil"/>
              <w:bottom w:val="single" w:color="auto" w:sz="4" w:space="0"/>
              <w:right w:val="single" w:color="auto" w:sz="4" w:space="0"/>
            </w:tcBorders>
            <w:vAlign w:val="center"/>
          </w:tcPr>
          <w:p w14:paraId="586E0207">
            <w:pPr>
              <w:spacing w:line="240" w:lineRule="auto"/>
              <w:ind w:firstLine="0" w:firstLineChars="0"/>
              <w:jc w:val="center"/>
              <w:rPr>
                <w:sz w:val="21"/>
              </w:rPr>
            </w:pPr>
            <w:r>
              <w:rPr>
                <w:rFonts w:hint="eastAsia"/>
                <w:sz w:val="21"/>
              </w:rPr>
              <w:t>0.50</w:t>
            </w:r>
          </w:p>
        </w:tc>
        <w:tc>
          <w:tcPr>
            <w:tcW w:w="1050" w:type="dxa"/>
            <w:tcBorders>
              <w:top w:val="nil"/>
              <w:left w:val="nil"/>
              <w:bottom w:val="single" w:color="auto" w:sz="4" w:space="0"/>
              <w:right w:val="single" w:color="auto" w:sz="4" w:space="0"/>
            </w:tcBorders>
            <w:vAlign w:val="center"/>
          </w:tcPr>
          <w:p w14:paraId="0F509A8A">
            <w:pPr>
              <w:spacing w:line="240" w:lineRule="auto"/>
              <w:ind w:firstLine="0" w:firstLineChars="0"/>
              <w:jc w:val="center"/>
              <w:rPr>
                <w:sz w:val="21"/>
              </w:rPr>
            </w:pPr>
            <w:r>
              <w:rPr>
                <w:rFonts w:hint="eastAsia"/>
                <w:sz w:val="21"/>
              </w:rPr>
              <w:t>0.19</w:t>
            </w:r>
          </w:p>
        </w:tc>
        <w:tc>
          <w:tcPr>
            <w:tcW w:w="1052" w:type="dxa"/>
            <w:tcBorders>
              <w:top w:val="nil"/>
              <w:left w:val="nil"/>
              <w:bottom w:val="single" w:color="auto" w:sz="4" w:space="0"/>
              <w:right w:val="single" w:color="auto" w:sz="4" w:space="0"/>
            </w:tcBorders>
            <w:vAlign w:val="center"/>
          </w:tcPr>
          <w:p w14:paraId="22456B5D">
            <w:pPr>
              <w:spacing w:line="240" w:lineRule="auto"/>
              <w:ind w:firstLine="0" w:firstLineChars="0"/>
              <w:jc w:val="center"/>
              <w:rPr>
                <w:sz w:val="21"/>
              </w:rPr>
            </w:pPr>
            <w:r>
              <w:rPr>
                <w:rFonts w:hint="eastAsia"/>
                <w:sz w:val="21"/>
              </w:rPr>
              <w:t>0.11</w:t>
            </w:r>
          </w:p>
        </w:tc>
      </w:tr>
      <w:tr w14:paraId="037D0605">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67927DB2">
            <w:pPr>
              <w:spacing w:line="240" w:lineRule="auto"/>
              <w:ind w:firstLine="0" w:firstLineChars="0"/>
              <w:jc w:val="center"/>
              <w:rPr>
                <w:sz w:val="21"/>
              </w:rPr>
            </w:pPr>
            <w:r>
              <w:rPr>
                <w:rFonts w:hint="eastAsia"/>
                <w:sz w:val="21"/>
              </w:rPr>
              <w:t>12</w:t>
            </w:r>
          </w:p>
        </w:tc>
        <w:tc>
          <w:tcPr>
            <w:tcW w:w="1587" w:type="pct"/>
            <w:tcBorders>
              <w:top w:val="nil"/>
              <w:left w:val="nil"/>
              <w:bottom w:val="single" w:color="auto" w:sz="4" w:space="0"/>
              <w:right w:val="single" w:color="auto" w:sz="4" w:space="0"/>
            </w:tcBorders>
            <w:vAlign w:val="center"/>
          </w:tcPr>
          <w:p w14:paraId="79ED0DEC">
            <w:pPr>
              <w:spacing w:line="240" w:lineRule="auto"/>
              <w:ind w:firstLine="0" w:firstLineChars="0"/>
              <w:jc w:val="center"/>
              <w:rPr>
                <w:sz w:val="21"/>
              </w:rPr>
            </w:pPr>
            <w:r>
              <w:rPr>
                <w:rFonts w:hint="eastAsia"/>
                <w:sz w:val="21"/>
              </w:rPr>
              <w:t>屠可红鸡场</w:t>
            </w:r>
          </w:p>
        </w:tc>
        <w:tc>
          <w:tcPr>
            <w:tcW w:w="742" w:type="dxa"/>
            <w:tcBorders>
              <w:top w:val="nil"/>
              <w:left w:val="nil"/>
              <w:bottom w:val="single" w:color="auto" w:sz="4" w:space="0"/>
              <w:right w:val="single" w:color="auto" w:sz="4" w:space="0"/>
            </w:tcBorders>
            <w:vAlign w:val="center"/>
          </w:tcPr>
          <w:p w14:paraId="163C0508">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1799C5C5">
            <w:pPr>
              <w:spacing w:line="240" w:lineRule="auto"/>
              <w:ind w:firstLine="0" w:firstLineChars="0"/>
              <w:jc w:val="center"/>
              <w:rPr>
                <w:sz w:val="21"/>
              </w:rPr>
            </w:pPr>
            <w:r>
              <w:rPr>
                <w:rFonts w:hint="eastAsia"/>
                <w:sz w:val="21"/>
              </w:rPr>
              <w:t>19.86</w:t>
            </w:r>
          </w:p>
        </w:tc>
        <w:tc>
          <w:tcPr>
            <w:tcW w:w="1050" w:type="dxa"/>
            <w:tcBorders>
              <w:top w:val="nil"/>
              <w:left w:val="nil"/>
              <w:bottom w:val="single" w:color="auto" w:sz="4" w:space="0"/>
              <w:right w:val="single" w:color="auto" w:sz="4" w:space="0"/>
            </w:tcBorders>
            <w:vAlign w:val="center"/>
          </w:tcPr>
          <w:p w14:paraId="0144E372">
            <w:pPr>
              <w:spacing w:line="240" w:lineRule="auto"/>
              <w:ind w:firstLine="0" w:firstLineChars="0"/>
              <w:jc w:val="center"/>
              <w:rPr>
                <w:sz w:val="21"/>
              </w:rPr>
            </w:pPr>
            <w:r>
              <w:rPr>
                <w:rFonts w:hint="eastAsia"/>
                <w:sz w:val="21"/>
              </w:rPr>
              <w:t>0.78</w:t>
            </w:r>
          </w:p>
        </w:tc>
        <w:tc>
          <w:tcPr>
            <w:tcW w:w="1050" w:type="dxa"/>
            <w:tcBorders>
              <w:top w:val="nil"/>
              <w:left w:val="nil"/>
              <w:bottom w:val="single" w:color="auto" w:sz="4" w:space="0"/>
              <w:right w:val="single" w:color="auto" w:sz="4" w:space="0"/>
            </w:tcBorders>
            <w:vAlign w:val="center"/>
          </w:tcPr>
          <w:p w14:paraId="4AD64DD3">
            <w:pPr>
              <w:spacing w:line="240" w:lineRule="auto"/>
              <w:ind w:firstLine="0" w:firstLineChars="0"/>
              <w:jc w:val="center"/>
              <w:rPr>
                <w:sz w:val="21"/>
              </w:rPr>
            </w:pPr>
            <w:r>
              <w:rPr>
                <w:rFonts w:hint="eastAsia"/>
                <w:sz w:val="21"/>
              </w:rPr>
              <w:t>0.29</w:t>
            </w:r>
          </w:p>
        </w:tc>
        <w:tc>
          <w:tcPr>
            <w:tcW w:w="1052" w:type="dxa"/>
            <w:tcBorders>
              <w:top w:val="nil"/>
              <w:left w:val="nil"/>
              <w:bottom w:val="single" w:color="auto" w:sz="4" w:space="0"/>
              <w:right w:val="single" w:color="auto" w:sz="4" w:space="0"/>
            </w:tcBorders>
            <w:vAlign w:val="center"/>
          </w:tcPr>
          <w:p w14:paraId="1A748773">
            <w:pPr>
              <w:spacing w:line="240" w:lineRule="auto"/>
              <w:ind w:firstLine="0" w:firstLineChars="0"/>
              <w:jc w:val="center"/>
              <w:rPr>
                <w:sz w:val="21"/>
              </w:rPr>
            </w:pPr>
            <w:r>
              <w:rPr>
                <w:rFonts w:hint="eastAsia"/>
                <w:sz w:val="21"/>
              </w:rPr>
              <w:t>0.17</w:t>
            </w:r>
          </w:p>
        </w:tc>
      </w:tr>
      <w:tr w14:paraId="7ACA4ABE">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6E5CACFA">
            <w:pPr>
              <w:spacing w:line="240" w:lineRule="auto"/>
              <w:ind w:firstLine="0" w:firstLineChars="0"/>
              <w:jc w:val="center"/>
              <w:rPr>
                <w:sz w:val="21"/>
              </w:rPr>
            </w:pPr>
            <w:r>
              <w:rPr>
                <w:rFonts w:hint="eastAsia"/>
                <w:sz w:val="21"/>
              </w:rPr>
              <w:t>13</w:t>
            </w:r>
          </w:p>
        </w:tc>
        <w:tc>
          <w:tcPr>
            <w:tcW w:w="1587" w:type="pct"/>
            <w:tcBorders>
              <w:top w:val="nil"/>
              <w:left w:val="nil"/>
              <w:bottom w:val="single" w:color="auto" w:sz="4" w:space="0"/>
              <w:right w:val="single" w:color="auto" w:sz="4" w:space="0"/>
            </w:tcBorders>
            <w:vAlign w:val="center"/>
          </w:tcPr>
          <w:p w14:paraId="7464F7BE">
            <w:pPr>
              <w:spacing w:line="240" w:lineRule="auto"/>
              <w:ind w:firstLine="0" w:firstLineChars="0"/>
              <w:jc w:val="center"/>
              <w:rPr>
                <w:sz w:val="21"/>
              </w:rPr>
            </w:pPr>
            <w:r>
              <w:rPr>
                <w:rFonts w:hint="eastAsia"/>
                <w:sz w:val="21"/>
              </w:rPr>
              <w:t>屠可军鸡场</w:t>
            </w:r>
          </w:p>
        </w:tc>
        <w:tc>
          <w:tcPr>
            <w:tcW w:w="742" w:type="dxa"/>
            <w:tcBorders>
              <w:top w:val="nil"/>
              <w:left w:val="nil"/>
              <w:bottom w:val="single" w:color="auto" w:sz="4" w:space="0"/>
              <w:right w:val="single" w:color="auto" w:sz="4" w:space="0"/>
            </w:tcBorders>
            <w:vAlign w:val="center"/>
          </w:tcPr>
          <w:p w14:paraId="608116DA">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53569983">
            <w:pPr>
              <w:spacing w:line="240" w:lineRule="auto"/>
              <w:ind w:firstLine="0" w:firstLineChars="0"/>
              <w:jc w:val="center"/>
              <w:rPr>
                <w:sz w:val="21"/>
              </w:rPr>
            </w:pPr>
            <w:r>
              <w:rPr>
                <w:rFonts w:hint="eastAsia"/>
                <w:sz w:val="21"/>
              </w:rPr>
              <w:t>13.74</w:t>
            </w:r>
          </w:p>
        </w:tc>
        <w:tc>
          <w:tcPr>
            <w:tcW w:w="1050" w:type="dxa"/>
            <w:tcBorders>
              <w:top w:val="nil"/>
              <w:left w:val="nil"/>
              <w:bottom w:val="single" w:color="auto" w:sz="4" w:space="0"/>
              <w:right w:val="single" w:color="auto" w:sz="4" w:space="0"/>
            </w:tcBorders>
            <w:vAlign w:val="center"/>
          </w:tcPr>
          <w:p w14:paraId="3C4C1B25">
            <w:pPr>
              <w:spacing w:line="240" w:lineRule="auto"/>
              <w:ind w:firstLine="0" w:firstLineChars="0"/>
              <w:jc w:val="center"/>
              <w:rPr>
                <w:sz w:val="21"/>
              </w:rPr>
            </w:pPr>
            <w:r>
              <w:rPr>
                <w:rFonts w:hint="eastAsia"/>
                <w:sz w:val="21"/>
              </w:rPr>
              <w:t>0.54</w:t>
            </w:r>
          </w:p>
        </w:tc>
        <w:tc>
          <w:tcPr>
            <w:tcW w:w="1050" w:type="dxa"/>
            <w:tcBorders>
              <w:top w:val="nil"/>
              <w:left w:val="nil"/>
              <w:bottom w:val="single" w:color="auto" w:sz="4" w:space="0"/>
              <w:right w:val="single" w:color="auto" w:sz="4" w:space="0"/>
            </w:tcBorders>
            <w:vAlign w:val="center"/>
          </w:tcPr>
          <w:p w14:paraId="4EBA2B23">
            <w:pPr>
              <w:spacing w:line="240" w:lineRule="auto"/>
              <w:ind w:firstLine="0" w:firstLineChars="0"/>
              <w:jc w:val="center"/>
              <w:rPr>
                <w:sz w:val="21"/>
              </w:rPr>
            </w:pPr>
            <w:r>
              <w:rPr>
                <w:rFonts w:hint="eastAsia"/>
                <w:sz w:val="21"/>
              </w:rPr>
              <w:t>0.20</w:t>
            </w:r>
          </w:p>
        </w:tc>
        <w:tc>
          <w:tcPr>
            <w:tcW w:w="1052" w:type="dxa"/>
            <w:tcBorders>
              <w:top w:val="nil"/>
              <w:left w:val="nil"/>
              <w:bottom w:val="single" w:color="auto" w:sz="4" w:space="0"/>
              <w:right w:val="single" w:color="auto" w:sz="4" w:space="0"/>
            </w:tcBorders>
            <w:vAlign w:val="center"/>
          </w:tcPr>
          <w:p w14:paraId="5715CF9B">
            <w:pPr>
              <w:spacing w:line="240" w:lineRule="auto"/>
              <w:ind w:firstLine="0" w:firstLineChars="0"/>
              <w:jc w:val="center"/>
              <w:rPr>
                <w:sz w:val="21"/>
              </w:rPr>
            </w:pPr>
            <w:r>
              <w:rPr>
                <w:rFonts w:hint="eastAsia"/>
                <w:sz w:val="21"/>
              </w:rPr>
              <w:t>0.12</w:t>
            </w:r>
          </w:p>
        </w:tc>
      </w:tr>
      <w:tr w14:paraId="311429EE">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3DA24845">
            <w:pPr>
              <w:spacing w:line="240" w:lineRule="auto"/>
              <w:ind w:firstLine="0" w:firstLineChars="0"/>
              <w:jc w:val="center"/>
              <w:rPr>
                <w:sz w:val="21"/>
              </w:rPr>
            </w:pPr>
            <w:r>
              <w:rPr>
                <w:rFonts w:hint="eastAsia"/>
                <w:sz w:val="21"/>
              </w:rPr>
              <w:t>14</w:t>
            </w:r>
          </w:p>
        </w:tc>
        <w:tc>
          <w:tcPr>
            <w:tcW w:w="1587" w:type="pct"/>
            <w:tcBorders>
              <w:top w:val="nil"/>
              <w:left w:val="nil"/>
              <w:bottom w:val="single" w:color="auto" w:sz="4" w:space="0"/>
              <w:right w:val="single" w:color="auto" w:sz="4" w:space="0"/>
            </w:tcBorders>
            <w:vAlign w:val="center"/>
          </w:tcPr>
          <w:p w14:paraId="15BB529D">
            <w:pPr>
              <w:spacing w:line="240" w:lineRule="auto"/>
              <w:ind w:firstLine="0" w:firstLineChars="0"/>
              <w:jc w:val="center"/>
              <w:rPr>
                <w:sz w:val="21"/>
              </w:rPr>
            </w:pPr>
            <w:r>
              <w:rPr>
                <w:rFonts w:hint="eastAsia"/>
                <w:sz w:val="21"/>
              </w:rPr>
              <w:t>张卫鸡场(周汉军)</w:t>
            </w:r>
          </w:p>
        </w:tc>
        <w:tc>
          <w:tcPr>
            <w:tcW w:w="742" w:type="dxa"/>
            <w:tcBorders>
              <w:top w:val="nil"/>
              <w:left w:val="nil"/>
              <w:bottom w:val="single" w:color="auto" w:sz="4" w:space="0"/>
              <w:right w:val="single" w:color="auto" w:sz="4" w:space="0"/>
            </w:tcBorders>
            <w:vAlign w:val="center"/>
          </w:tcPr>
          <w:p w14:paraId="4E5D18D1">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648DE436">
            <w:pPr>
              <w:spacing w:line="240" w:lineRule="auto"/>
              <w:ind w:firstLine="0" w:firstLineChars="0"/>
              <w:jc w:val="center"/>
              <w:rPr>
                <w:sz w:val="21"/>
              </w:rPr>
            </w:pPr>
            <w:r>
              <w:rPr>
                <w:rFonts w:hint="eastAsia"/>
                <w:sz w:val="21"/>
              </w:rPr>
              <w:t>5.41</w:t>
            </w:r>
          </w:p>
        </w:tc>
        <w:tc>
          <w:tcPr>
            <w:tcW w:w="1050" w:type="dxa"/>
            <w:tcBorders>
              <w:top w:val="nil"/>
              <w:left w:val="nil"/>
              <w:bottom w:val="single" w:color="auto" w:sz="4" w:space="0"/>
              <w:right w:val="single" w:color="auto" w:sz="4" w:space="0"/>
            </w:tcBorders>
            <w:vAlign w:val="center"/>
          </w:tcPr>
          <w:p w14:paraId="3278E71A">
            <w:pPr>
              <w:spacing w:line="240" w:lineRule="auto"/>
              <w:ind w:firstLine="0" w:firstLineChars="0"/>
              <w:jc w:val="center"/>
              <w:rPr>
                <w:sz w:val="21"/>
              </w:rPr>
            </w:pPr>
            <w:r>
              <w:rPr>
                <w:rFonts w:hint="eastAsia"/>
                <w:sz w:val="21"/>
              </w:rPr>
              <w:t>0.27</w:t>
            </w:r>
          </w:p>
        </w:tc>
        <w:tc>
          <w:tcPr>
            <w:tcW w:w="1050" w:type="dxa"/>
            <w:tcBorders>
              <w:top w:val="nil"/>
              <w:left w:val="nil"/>
              <w:bottom w:val="single" w:color="auto" w:sz="4" w:space="0"/>
              <w:right w:val="single" w:color="auto" w:sz="4" w:space="0"/>
            </w:tcBorders>
            <w:vAlign w:val="center"/>
          </w:tcPr>
          <w:p w14:paraId="6346911B">
            <w:pPr>
              <w:spacing w:line="240" w:lineRule="auto"/>
              <w:ind w:firstLine="0" w:firstLineChars="0"/>
              <w:jc w:val="center"/>
              <w:rPr>
                <w:sz w:val="21"/>
              </w:rPr>
            </w:pPr>
            <w:r>
              <w:rPr>
                <w:rFonts w:hint="eastAsia"/>
                <w:sz w:val="21"/>
              </w:rPr>
              <w:t>0.03</w:t>
            </w:r>
          </w:p>
        </w:tc>
        <w:tc>
          <w:tcPr>
            <w:tcW w:w="1052" w:type="dxa"/>
            <w:tcBorders>
              <w:top w:val="nil"/>
              <w:left w:val="nil"/>
              <w:bottom w:val="single" w:color="auto" w:sz="4" w:space="0"/>
              <w:right w:val="single" w:color="auto" w:sz="4" w:space="0"/>
            </w:tcBorders>
            <w:vAlign w:val="center"/>
          </w:tcPr>
          <w:p w14:paraId="2539AFA6">
            <w:pPr>
              <w:spacing w:line="240" w:lineRule="auto"/>
              <w:ind w:firstLine="0" w:firstLineChars="0"/>
              <w:jc w:val="center"/>
              <w:rPr>
                <w:sz w:val="21"/>
              </w:rPr>
            </w:pPr>
            <w:r>
              <w:rPr>
                <w:rFonts w:hint="eastAsia"/>
                <w:sz w:val="21"/>
              </w:rPr>
              <w:t>0.05</w:t>
            </w:r>
          </w:p>
        </w:tc>
      </w:tr>
      <w:tr w14:paraId="4E347F07">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6D9952E5">
            <w:pPr>
              <w:spacing w:line="240" w:lineRule="auto"/>
              <w:ind w:firstLine="0" w:firstLineChars="0"/>
              <w:jc w:val="center"/>
              <w:rPr>
                <w:sz w:val="21"/>
              </w:rPr>
            </w:pPr>
            <w:r>
              <w:rPr>
                <w:rFonts w:hint="eastAsia"/>
                <w:sz w:val="21"/>
              </w:rPr>
              <w:t>15</w:t>
            </w:r>
          </w:p>
        </w:tc>
        <w:tc>
          <w:tcPr>
            <w:tcW w:w="1587" w:type="pct"/>
            <w:tcBorders>
              <w:top w:val="nil"/>
              <w:left w:val="nil"/>
              <w:bottom w:val="single" w:color="auto" w:sz="4" w:space="0"/>
              <w:right w:val="single" w:color="auto" w:sz="4" w:space="0"/>
            </w:tcBorders>
            <w:vAlign w:val="center"/>
          </w:tcPr>
          <w:p w14:paraId="2E0E0750">
            <w:pPr>
              <w:spacing w:line="240" w:lineRule="auto"/>
              <w:ind w:firstLine="0" w:firstLineChars="0"/>
              <w:jc w:val="center"/>
              <w:rPr>
                <w:sz w:val="21"/>
              </w:rPr>
            </w:pPr>
            <w:r>
              <w:rPr>
                <w:rFonts w:hint="eastAsia"/>
                <w:sz w:val="21"/>
              </w:rPr>
              <w:t>李同胜鸡场</w:t>
            </w:r>
          </w:p>
        </w:tc>
        <w:tc>
          <w:tcPr>
            <w:tcW w:w="742" w:type="dxa"/>
            <w:tcBorders>
              <w:top w:val="nil"/>
              <w:left w:val="nil"/>
              <w:bottom w:val="single" w:color="auto" w:sz="4" w:space="0"/>
              <w:right w:val="single" w:color="auto" w:sz="4" w:space="0"/>
            </w:tcBorders>
            <w:vAlign w:val="center"/>
          </w:tcPr>
          <w:p w14:paraId="6B3B6618">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60C8A559">
            <w:pPr>
              <w:spacing w:line="240" w:lineRule="auto"/>
              <w:ind w:firstLine="0" w:firstLineChars="0"/>
              <w:jc w:val="center"/>
              <w:rPr>
                <w:sz w:val="21"/>
              </w:rPr>
            </w:pPr>
            <w:r>
              <w:rPr>
                <w:rFonts w:hint="eastAsia"/>
                <w:sz w:val="21"/>
              </w:rPr>
              <w:t>1.69</w:t>
            </w:r>
          </w:p>
        </w:tc>
        <w:tc>
          <w:tcPr>
            <w:tcW w:w="1050" w:type="dxa"/>
            <w:tcBorders>
              <w:top w:val="nil"/>
              <w:left w:val="nil"/>
              <w:bottom w:val="single" w:color="auto" w:sz="4" w:space="0"/>
              <w:right w:val="single" w:color="auto" w:sz="4" w:space="0"/>
            </w:tcBorders>
            <w:vAlign w:val="center"/>
          </w:tcPr>
          <w:p w14:paraId="0C7C2046">
            <w:pPr>
              <w:spacing w:line="240" w:lineRule="auto"/>
              <w:ind w:firstLine="0" w:firstLineChars="0"/>
              <w:jc w:val="center"/>
              <w:rPr>
                <w:sz w:val="21"/>
              </w:rPr>
            </w:pPr>
            <w:r>
              <w:rPr>
                <w:rFonts w:hint="eastAsia"/>
                <w:sz w:val="21"/>
              </w:rPr>
              <w:t>0.08</w:t>
            </w:r>
          </w:p>
        </w:tc>
        <w:tc>
          <w:tcPr>
            <w:tcW w:w="1050" w:type="dxa"/>
            <w:tcBorders>
              <w:top w:val="nil"/>
              <w:left w:val="nil"/>
              <w:bottom w:val="single" w:color="auto" w:sz="4" w:space="0"/>
              <w:right w:val="single" w:color="auto" w:sz="4" w:space="0"/>
            </w:tcBorders>
            <w:vAlign w:val="center"/>
          </w:tcPr>
          <w:p w14:paraId="10EEE836">
            <w:pPr>
              <w:spacing w:line="240" w:lineRule="auto"/>
              <w:ind w:firstLine="0" w:firstLineChars="0"/>
              <w:jc w:val="center"/>
              <w:rPr>
                <w:sz w:val="21"/>
              </w:rPr>
            </w:pPr>
            <w:r>
              <w:rPr>
                <w:rFonts w:hint="eastAsia"/>
                <w:sz w:val="21"/>
              </w:rPr>
              <w:t>0.01</w:t>
            </w:r>
          </w:p>
        </w:tc>
        <w:tc>
          <w:tcPr>
            <w:tcW w:w="1052" w:type="dxa"/>
            <w:tcBorders>
              <w:top w:val="nil"/>
              <w:left w:val="nil"/>
              <w:bottom w:val="single" w:color="auto" w:sz="4" w:space="0"/>
              <w:right w:val="single" w:color="auto" w:sz="4" w:space="0"/>
            </w:tcBorders>
            <w:vAlign w:val="center"/>
          </w:tcPr>
          <w:p w14:paraId="384F1DBC">
            <w:pPr>
              <w:spacing w:line="240" w:lineRule="auto"/>
              <w:ind w:firstLine="0" w:firstLineChars="0"/>
              <w:jc w:val="center"/>
              <w:rPr>
                <w:sz w:val="21"/>
              </w:rPr>
            </w:pPr>
            <w:r>
              <w:rPr>
                <w:rFonts w:hint="eastAsia"/>
                <w:sz w:val="21"/>
              </w:rPr>
              <w:t>0.02</w:t>
            </w:r>
          </w:p>
        </w:tc>
      </w:tr>
      <w:tr w14:paraId="000452E8">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4EF9FF31">
            <w:pPr>
              <w:spacing w:line="240" w:lineRule="auto"/>
              <w:ind w:firstLine="0" w:firstLineChars="0"/>
              <w:jc w:val="center"/>
              <w:rPr>
                <w:sz w:val="21"/>
              </w:rPr>
            </w:pPr>
            <w:r>
              <w:rPr>
                <w:rFonts w:hint="eastAsia"/>
                <w:sz w:val="21"/>
              </w:rPr>
              <w:t>16</w:t>
            </w:r>
          </w:p>
        </w:tc>
        <w:tc>
          <w:tcPr>
            <w:tcW w:w="1587" w:type="pct"/>
            <w:tcBorders>
              <w:top w:val="nil"/>
              <w:left w:val="nil"/>
              <w:bottom w:val="single" w:color="auto" w:sz="4" w:space="0"/>
              <w:right w:val="single" w:color="auto" w:sz="4" w:space="0"/>
            </w:tcBorders>
            <w:vAlign w:val="center"/>
          </w:tcPr>
          <w:p w14:paraId="67BFD7DC">
            <w:pPr>
              <w:spacing w:line="240" w:lineRule="auto"/>
              <w:ind w:firstLine="0" w:firstLineChars="0"/>
              <w:jc w:val="center"/>
              <w:rPr>
                <w:sz w:val="21"/>
              </w:rPr>
            </w:pPr>
            <w:r>
              <w:rPr>
                <w:rFonts w:hint="eastAsia"/>
                <w:sz w:val="21"/>
              </w:rPr>
              <w:t>张连方鸡场</w:t>
            </w:r>
          </w:p>
        </w:tc>
        <w:tc>
          <w:tcPr>
            <w:tcW w:w="742" w:type="dxa"/>
            <w:tcBorders>
              <w:top w:val="nil"/>
              <w:left w:val="nil"/>
              <w:bottom w:val="single" w:color="auto" w:sz="4" w:space="0"/>
              <w:right w:val="single" w:color="auto" w:sz="4" w:space="0"/>
            </w:tcBorders>
            <w:vAlign w:val="center"/>
          </w:tcPr>
          <w:p w14:paraId="45C903B0">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4B9F5EF0">
            <w:pPr>
              <w:spacing w:line="240" w:lineRule="auto"/>
              <w:ind w:firstLine="0" w:firstLineChars="0"/>
              <w:jc w:val="center"/>
              <w:rPr>
                <w:sz w:val="21"/>
              </w:rPr>
            </w:pPr>
            <w:r>
              <w:rPr>
                <w:rFonts w:hint="eastAsia"/>
                <w:sz w:val="21"/>
              </w:rPr>
              <w:t>4.67</w:t>
            </w:r>
          </w:p>
        </w:tc>
        <w:tc>
          <w:tcPr>
            <w:tcW w:w="1050" w:type="dxa"/>
            <w:tcBorders>
              <w:top w:val="nil"/>
              <w:left w:val="nil"/>
              <w:bottom w:val="single" w:color="auto" w:sz="4" w:space="0"/>
              <w:right w:val="single" w:color="auto" w:sz="4" w:space="0"/>
            </w:tcBorders>
            <w:vAlign w:val="center"/>
          </w:tcPr>
          <w:p w14:paraId="3C09FB86">
            <w:pPr>
              <w:spacing w:line="240" w:lineRule="auto"/>
              <w:ind w:firstLine="0" w:firstLineChars="0"/>
              <w:jc w:val="center"/>
              <w:rPr>
                <w:sz w:val="21"/>
              </w:rPr>
            </w:pPr>
            <w:r>
              <w:rPr>
                <w:rFonts w:hint="eastAsia"/>
                <w:sz w:val="21"/>
              </w:rPr>
              <w:t>0.23</w:t>
            </w:r>
          </w:p>
        </w:tc>
        <w:tc>
          <w:tcPr>
            <w:tcW w:w="1050" w:type="dxa"/>
            <w:tcBorders>
              <w:top w:val="nil"/>
              <w:left w:val="nil"/>
              <w:bottom w:val="single" w:color="auto" w:sz="4" w:space="0"/>
              <w:right w:val="single" w:color="auto" w:sz="4" w:space="0"/>
            </w:tcBorders>
            <w:vAlign w:val="center"/>
          </w:tcPr>
          <w:p w14:paraId="66031174">
            <w:pPr>
              <w:spacing w:line="240" w:lineRule="auto"/>
              <w:ind w:firstLine="0" w:firstLineChars="0"/>
              <w:jc w:val="center"/>
              <w:rPr>
                <w:sz w:val="21"/>
              </w:rPr>
            </w:pPr>
            <w:r>
              <w:rPr>
                <w:rFonts w:hint="eastAsia"/>
                <w:sz w:val="21"/>
              </w:rPr>
              <w:t>0.02</w:t>
            </w:r>
          </w:p>
        </w:tc>
        <w:tc>
          <w:tcPr>
            <w:tcW w:w="1052" w:type="dxa"/>
            <w:tcBorders>
              <w:top w:val="nil"/>
              <w:left w:val="nil"/>
              <w:bottom w:val="single" w:color="auto" w:sz="4" w:space="0"/>
              <w:right w:val="single" w:color="auto" w:sz="4" w:space="0"/>
            </w:tcBorders>
            <w:vAlign w:val="center"/>
          </w:tcPr>
          <w:p w14:paraId="1EC17DD0">
            <w:pPr>
              <w:spacing w:line="240" w:lineRule="auto"/>
              <w:ind w:firstLine="0" w:firstLineChars="0"/>
              <w:jc w:val="center"/>
              <w:rPr>
                <w:sz w:val="21"/>
              </w:rPr>
            </w:pPr>
            <w:r>
              <w:rPr>
                <w:rFonts w:hint="eastAsia"/>
                <w:sz w:val="21"/>
              </w:rPr>
              <w:t>0.05</w:t>
            </w:r>
          </w:p>
        </w:tc>
      </w:tr>
      <w:tr w14:paraId="6D830516">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40ED468D">
            <w:pPr>
              <w:spacing w:line="240" w:lineRule="auto"/>
              <w:ind w:firstLine="0" w:firstLineChars="0"/>
              <w:jc w:val="center"/>
              <w:rPr>
                <w:sz w:val="21"/>
              </w:rPr>
            </w:pPr>
            <w:r>
              <w:rPr>
                <w:rFonts w:hint="eastAsia"/>
                <w:sz w:val="21"/>
              </w:rPr>
              <w:t>17</w:t>
            </w:r>
          </w:p>
        </w:tc>
        <w:tc>
          <w:tcPr>
            <w:tcW w:w="1587" w:type="pct"/>
            <w:tcBorders>
              <w:top w:val="nil"/>
              <w:left w:val="nil"/>
              <w:bottom w:val="single" w:color="auto" w:sz="4" w:space="0"/>
              <w:right w:val="single" w:color="auto" w:sz="4" w:space="0"/>
            </w:tcBorders>
            <w:vAlign w:val="center"/>
          </w:tcPr>
          <w:p w14:paraId="69B878DF">
            <w:pPr>
              <w:spacing w:line="240" w:lineRule="auto"/>
              <w:ind w:firstLine="0" w:firstLineChars="0"/>
              <w:jc w:val="center"/>
              <w:rPr>
                <w:sz w:val="21"/>
              </w:rPr>
            </w:pPr>
            <w:r>
              <w:rPr>
                <w:rFonts w:hint="eastAsia"/>
                <w:sz w:val="21"/>
              </w:rPr>
              <w:t>江苏广大畜禽有限公司</w:t>
            </w:r>
            <w:r>
              <w:rPr>
                <w:sz w:val="21"/>
              </w:rPr>
              <w:t>5</w:t>
            </w:r>
            <w:r>
              <w:rPr>
                <w:rFonts w:hint="eastAsia"/>
                <w:sz w:val="21"/>
              </w:rPr>
              <w:t>厂</w:t>
            </w:r>
          </w:p>
        </w:tc>
        <w:tc>
          <w:tcPr>
            <w:tcW w:w="742" w:type="dxa"/>
            <w:tcBorders>
              <w:top w:val="nil"/>
              <w:left w:val="nil"/>
              <w:bottom w:val="single" w:color="auto" w:sz="4" w:space="0"/>
              <w:right w:val="single" w:color="auto" w:sz="4" w:space="0"/>
            </w:tcBorders>
            <w:vAlign w:val="center"/>
          </w:tcPr>
          <w:p w14:paraId="6501EF0E">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163CE972">
            <w:pPr>
              <w:spacing w:line="240" w:lineRule="auto"/>
              <w:ind w:firstLine="0" w:firstLineChars="0"/>
              <w:jc w:val="center"/>
              <w:rPr>
                <w:sz w:val="21"/>
              </w:rPr>
            </w:pPr>
            <w:r>
              <w:rPr>
                <w:rFonts w:hint="eastAsia"/>
                <w:sz w:val="21"/>
              </w:rPr>
              <w:t>3.73</w:t>
            </w:r>
          </w:p>
        </w:tc>
        <w:tc>
          <w:tcPr>
            <w:tcW w:w="1050" w:type="dxa"/>
            <w:tcBorders>
              <w:top w:val="nil"/>
              <w:left w:val="nil"/>
              <w:bottom w:val="single" w:color="auto" w:sz="4" w:space="0"/>
              <w:right w:val="single" w:color="auto" w:sz="4" w:space="0"/>
            </w:tcBorders>
            <w:vAlign w:val="center"/>
          </w:tcPr>
          <w:p w14:paraId="39D46978">
            <w:pPr>
              <w:spacing w:line="240" w:lineRule="auto"/>
              <w:ind w:firstLine="0" w:firstLineChars="0"/>
              <w:jc w:val="center"/>
              <w:rPr>
                <w:sz w:val="21"/>
              </w:rPr>
            </w:pPr>
            <w:r>
              <w:rPr>
                <w:rFonts w:hint="eastAsia"/>
                <w:sz w:val="21"/>
              </w:rPr>
              <w:t>0.15</w:t>
            </w:r>
          </w:p>
        </w:tc>
        <w:tc>
          <w:tcPr>
            <w:tcW w:w="1050" w:type="dxa"/>
            <w:tcBorders>
              <w:top w:val="nil"/>
              <w:left w:val="nil"/>
              <w:bottom w:val="single" w:color="auto" w:sz="4" w:space="0"/>
              <w:right w:val="single" w:color="auto" w:sz="4" w:space="0"/>
            </w:tcBorders>
            <w:vAlign w:val="center"/>
          </w:tcPr>
          <w:p w14:paraId="24DEFD22">
            <w:pPr>
              <w:spacing w:line="240" w:lineRule="auto"/>
              <w:ind w:firstLine="0" w:firstLineChars="0"/>
              <w:jc w:val="center"/>
              <w:rPr>
                <w:sz w:val="21"/>
              </w:rPr>
            </w:pPr>
            <w:r>
              <w:rPr>
                <w:rFonts w:hint="eastAsia"/>
                <w:sz w:val="21"/>
              </w:rPr>
              <w:t>0.05</w:t>
            </w:r>
          </w:p>
        </w:tc>
        <w:tc>
          <w:tcPr>
            <w:tcW w:w="1052" w:type="dxa"/>
            <w:tcBorders>
              <w:top w:val="nil"/>
              <w:left w:val="nil"/>
              <w:bottom w:val="single" w:color="auto" w:sz="4" w:space="0"/>
              <w:right w:val="single" w:color="auto" w:sz="4" w:space="0"/>
            </w:tcBorders>
            <w:vAlign w:val="center"/>
          </w:tcPr>
          <w:p w14:paraId="19A1C158">
            <w:pPr>
              <w:spacing w:line="240" w:lineRule="auto"/>
              <w:ind w:firstLine="0" w:firstLineChars="0"/>
              <w:jc w:val="center"/>
              <w:rPr>
                <w:sz w:val="21"/>
              </w:rPr>
            </w:pPr>
            <w:r>
              <w:rPr>
                <w:rFonts w:hint="eastAsia"/>
                <w:sz w:val="21"/>
              </w:rPr>
              <w:t>0.03</w:t>
            </w:r>
          </w:p>
        </w:tc>
      </w:tr>
      <w:tr w14:paraId="31EFE396">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56671F11">
            <w:pPr>
              <w:spacing w:line="240" w:lineRule="auto"/>
              <w:ind w:firstLine="0" w:firstLineChars="0"/>
              <w:jc w:val="center"/>
              <w:rPr>
                <w:sz w:val="21"/>
              </w:rPr>
            </w:pPr>
            <w:r>
              <w:rPr>
                <w:rFonts w:hint="eastAsia"/>
                <w:sz w:val="21"/>
              </w:rPr>
              <w:t>18</w:t>
            </w:r>
          </w:p>
        </w:tc>
        <w:tc>
          <w:tcPr>
            <w:tcW w:w="1587" w:type="pct"/>
            <w:tcBorders>
              <w:top w:val="nil"/>
              <w:left w:val="nil"/>
              <w:bottom w:val="single" w:color="auto" w:sz="4" w:space="0"/>
              <w:right w:val="single" w:color="auto" w:sz="4" w:space="0"/>
            </w:tcBorders>
            <w:vAlign w:val="center"/>
          </w:tcPr>
          <w:p w14:paraId="4D1FB59A">
            <w:pPr>
              <w:spacing w:line="240" w:lineRule="auto"/>
              <w:ind w:firstLine="0" w:firstLineChars="0"/>
              <w:jc w:val="center"/>
              <w:rPr>
                <w:sz w:val="21"/>
              </w:rPr>
            </w:pPr>
            <w:r>
              <w:rPr>
                <w:rFonts w:hint="eastAsia"/>
                <w:sz w:val="21"/>
              </w:rPr>
              <w:t>陶金鸡场</w:t>
            </w:r>
          </w:p>
        </w:tc>
        <w:tc>
          <w:tcPr>
            <w:tcW w:w="742" w:type="dxa"/>
            <w:tcBorders>
              <w:top w:val="nil"/>
              <w:left w:val="nil"/>
              <w:bottom w:val="single" w:color="auto" w:sz="4" w:space="0"/>
              <w:right w:val="single" w:color="auto" w:sz="4" w:space="0"/>
            </w:tcBorders>
            <w:vAlign w:val="center"/>
          </w:tcPr>
          <w:p w14:paraId="5486BA66">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4FA9B2A5">
            <w:pPr>
              <w:spacing w:line="240" w:lineRule="auto"/>
              <w:ind w:firstLine="0" w:firstLineChars="0"/>
              <w:jc w:val="center"/>
              <w:rPr>
                <w:sz w:val="21"/>
              </w:rPr>
            </w:pPr>
            <w:r>
              <w:rPr>
                <w:rFonts w:hint="eastAsia"/>
                <w:sz w:val="21"/>
              </w:rPr>
              <w:t>3.57</w:t>
            </w:r>
          </w:p>
        </w:tc>
        <w:tc>
          <w:tcPr>
            <w:tcW w:w="1050" w:type="dxa"/>
            <w:tcBorders>
              <w:top w:val="nil"/>
              <w:left w:val="nil"/>
              <w:bottom w:val="single" w:color="auto" w:sz="4" w:space="0"/>
              <w:right w:val="single" w:color="auto" w:sz="4" w:space="0"/>
            </w:tcBorders>
            <w:vAlign w:val="center"/>
          </w:tcPr>
          <w:p w14:paraId="3C374ABE">
            <w:pPr>
              <w:spacing w:line="240" w:lineRule="auto"/>
              <w:ind w:firstLine="0" w:firstLineChars="0"/>
              <w:jc w:val="center"/>
              <w:rPr>
                <w:sz w:val="21"/>
              </w:rPr>
            </w:pPr>
            <w:r>
              <w:rPr>
                <w:rFonts w:hint="eastAsia"/>
                <w:sz w:val="21"/>
              </w:rPr>
              <w:t>0.17</w:t>
            </w:r>
          </w:p>
        </w:tc>
        <w:tc>
          <w:tcPr>
            <w:tcW w:w="1050" w:type="dxa"/>
            <w:tcBorders>
              <w:top w:val="nil"/>
              <w:left w:val="nil"/>
              <w:bottom w:val="single" w:color="auto" w:sz="4" w:space="0"/>
              <w:right w:val="single" w:color="auto" w:sz="4" w:space="0"/>
            </w:tcBorders>
            <w:vAlign w:val="center"/>
          </w:tcPr>
          <w:p w14:paraId="303B3CF5">
            <w:pPr>
              <w:spacing w:line="240" w:lineRule="auto"/>
              <w:ind w:firstLine="0" w:firstLineChars="0"/>
              <w:jc w:val="center"/>
              <w:rPr>
                <w:sz w:val="21"/>
              </w:rPr>
            </w:pPr>
            <w:r>
              <w:rPr>
                <w:rFonts w:hint="eastAsia"/>
                <w:sz w:val="21"/>
              </w:rPr>
              <w:t>0.02</w:t>
            </w:r>
          </w:p>
        </w:tc>
        <w:tc>
          <w:tcPr>
            <w:tcW w:w="1052" w:type="dxa"/>
            <w:tcBorders>
              <w:top w:val="nil"/>
              <w:left w:val="nil"/>
              <w:bottom w:val="single" w:color="auto" w:sz="4" w:space="0"/>
              <w:right w:val="single" w:color="auto" w:sz="4" w:space="0"/>
            </w:tcBorders>
            <w:vAlign w:val="center"/>
          </w:tcPr>
          <w:p w14:paraId="6B9E45FD">
            <w:pPr>
              <w:spacing w:line="240" w:lineRule="auto"/>
              <w:ind w:firstLine="0" w:firstLineChars="0"/>
              <w:jc w:val="center"/>
              <w:rPr>
                <w:sz w:val="21"/>
              </w:rPr>
            </w:pPr>
            <w:r>
              <w:rPr>
                <w:rFonts w:hint="eastAsia"/>
                <w:sz w:val="21"/>
              </w:rPr>
              <w:t>0.04</w:t>
            </w:r>
          </w:p>
        </w:tc>
      </w:tr>
      <w:tr w14:paraId="795163F4">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5AFAC1E4">
            <w:pPr>
              <w:spacing w:line="240" w:lineRule="auto"/>
              <w:ind w:firstLine="0" w:firstLineChars="0"/>
              <w:jc w:val="center"/>
              <w:rPr>
                <w:sz w:val="21"/>
              </w:rPr>
            </w:pPr>
            <w:r>
              <w:rPr>
                <w:rFonts w:hint="eastAsia"/>
                <w:sz w:val="21"/>
              </w:rPr>
              <w:t>19</w:t>
            </w:r>
          </w:p>
        </w:tc>
        <w:tc>
          <w:tcPr>
            <w:tcW w:w="1587" w:type="pct"/>
            <w:tcBorders>
              <w:top w:val="nil"/>
              <w:left w:val="nil"/>
              <w:bottom w:val="single" w:color="auto" w:sz="4" w:space="0"/>
              <w:right w:val="single" w:color="auto" w:sz="4" w:space="0"/>
            </w:tcBorders>
            <w:vAlign w:val="center"/>
          </w:tcPr>
          <w:p w14:paraId="60ED1DD8">
            <w:pPr>
              <w:spacing w:line="240" w:lineRule="auto"/>
              <w:ind w:firstLine="0" w:firstLineChars="0"/>
              <w:jc w:val="center"/>
              <w:rPr>
                <w:sz w:val="21"/>
              </w:rPr>
            </w:pPr>
            <w:r>
              <w:rPr>
                <w:rFonts w:hint="eastAsia"/>
                <w:sz w:val="21"/>
              </w:rPr>
              <w:t>江苏广大畜禽有限公司9厂</w:t>
            </w:r>
          </w:p>
        </w:tc>
        <w:tc>
          <w:tcPr>
            <w:tcW w:w="742" w:type="dxa"/>
            <w:tcBorders>
              <w:top w:val="nil"/>
              <w:left w:val="nil"/>
              <w:bottom w:val="single" w:color="auto" w:sz="4" w:space="0"/>
              <w:right w:val="single" w:color="auto" w:sz="4" w:space="0"/>
            </w:tcBorders>
            <w:vAlign w:val="center"/>
          </w:tcPr>
          <w:p w14:paraId="039ED564">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7F6D22B5">
            <w:pPr>
              <w:spacing w:line="240" w:lineRule="auto"/>
              <w:ind w:firstLine="0" w:firstLineChars="0"/>
              <w:jc w:val="center"/>
              <w:rPr>
                <w:sz w:val="21"/>
              </w:rPr>
            </w:pPr>
            <w:r>
              <w:rPr>
                <w:rFonts w:hint="eastAsia"/>
                <w:sz w:val="21"/>
              </w:rPr>
              <w:t>7.53</w:t>
            </w:r>
          </w:p>
        </w:tc>
        <w:tc>
          <w:tcPr>
            <w:tcW w:w="1050" w:type="dxa"/>
            <w:tcBorders>
              <w:top w:val="nil"/>
              <w:left w:val="nil"/>
              <w:bottom w:val="single" w:color="auto" w:sz="4" w:space="0"/>
              <w:right w:val="single" w:color="auto" w:sz="4" w:space="0"/>
            </w:tcBorders>
            <w:vAlign w:val="center"/>
          </w:tcPr>
          <w:p w14:paraId="18D9819A">
            <w:pPr>
              <w:spacing w:line="240" w:lineRule="auto"/>
              <w:ind w:firstLine="0" w:firstLineChars="0"/>
              <w:jc w:val="center"/>
              <w:rPr>
                <w:sz w:val="21"/>
              </w:rPr>
            </w:pPr>
            <w:r>
              <w:rPr>
                <w:rFonts w:hint="eastAsia"/>
                <w:sz w:val="21"/>
              </w:rPr>
              <w:t>0.29</w:t>
            </w:r>
          </w:p>
        </w:tc>
        <w:tc>
          <w:tcPr>
            <w:tcW w:w="1050" w:type="dxa"/>
            <w:tcBorders>
              <w:top w:val="nil"/>
              <w:left w:val="nil"/>
              <w:bottom w:val="single" w:color="auto" w:sz="4" w:space="0"/>
              <w:right w:val="single" w:color="auto" w:sz="4" w:space="0"/>
            </w:tcBorders>
            <w:vAlign w:val="center"/>
          </w:tcPr>
          <w:p w14:paraId="6B4DB08F">
            <w:pPr>
              <w:spacing w:line="240" w:lineRule="auto"/>
              <w:ind w:firstLine="0" w:firstLineChars="0"/>
              <w:jc w:val="center"/>
              <w:rPr>
                <w:sz w:val="21"/>
              </w:rPr>
            </w:pPr>
            <w:r>
              <w:rPr>
                <w:rFonts w:hint="eastAsia"/>
                <w:sz w:val="21"/>
              </w:rPr>
              <w:t>0.11</w:t>
            </w:r>
          </w:p>
        </w:tc>
        <w:tc>
          <w:tcPr>
            <w:tcW w:w="1052" w:type="dxa"/>
            <w:tcBorders>
              <w:top w:val="nil"/>
              <w:left w:val="nil"/>
              <w:bottom w:val="single" w:color="auto" w:sz="4" w:space="0"/>
              <w:right w:val="single" w:color="auto" w:sz="4" w:space="0"/>
            </w:tcBorders>
            <w:vAlign w:val="center"/>
          </w:tcPr>
          <w:p w14:paraId="1E7B3FF5">
            <w:pPr>
              <w:spacing w:line="240" w:lineRule="auto"/>
              <w:ind w:firstLine="0" w:firstLineChars="0"/>
              <w:jc w:val="center"/>
              <w:rPr>
                <w:sz w:val="21"/>
              </w:rPr>
            </w:pPr>
            <w:r>
              <w:rPr>
                <w:rFonts w:hint="eastAsia"/>
                <w:sz w:val="21"/>
              </w:rPr>
              <w:t>0.06</w:t>
            </w:r>
          </w:p>
        </w:tc>
      </w:tr>
      <w:tr w14:paraId="2B561270">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4274928F">
            <w:pPr>
              <w:spacing w:line="240" w:lineRule="auto"/>
              <w:ind w:firstLine="0" w:firstLineChars="0"/>
              <w:jc w:val="center"/>
              <w:rPr>
                <w:sz w:val="21"/>
              </w:rPr>
            </w:pPr>
            <w:r>
              <w:rPr>
                <w:rFonts w:hint="eastAsia"/>
                <w:sz w:val="21"/>
              </w:rPr>
              <w:t>20</w:t>
            </w:r>
          </w:p>
        </w:tc>
        <w:tc>
          <w:tcPr>
            <w:tcW w:w="1587" w:type="pct"/>
            <w:tcBorders>
              <w:top w:val="nil"/>
              <w:left w:val="nil"/>
              <w:bottom w:val="single" w:color="auto" w:sz="4" w:space="0"/>
              <w:right w:val="single" w:color="auto" w:sz="4" w:space="0"/>
            </w:tcBorders>
            <w:vAlign w:val="center"/>
          </w:tcPr>
          <w:p w14:paraId="0D2748CD">
            <w:pPr>
              <w:spacing w:line="240" w:lineRule="auto"/>
              <w:ind w:firstLine="0" w:firstLineChars="0"/>
              <w:jc w:val="center"/>
              <w:rPr>
                <w:sz w:val="21"/>
              </w:rPr>
            </w:pPr>
            <w:r>
              <w:rPr>
                <w:rFonts w:hint="eastAsia"/>
                <w:sz w:val="21"/>
              </w:rPr>
              <w:t>常州后稷农业发展有限公司</w:t>
            </w:r>
          </w:p>
        </w:tc>
        <w:tc>
          <w:tcPr>
            <w:tcW w:w="742" w:type="dxa"/>
            <w:tcBorders>
              <w:top w:val="nil"/>
              <w:left w:val="nil"/>
              <w:bottom w:val="single" w:color="auto" w:sz="4" w:space="0"/>
              <w:right w:val="single" w:color="auto" w:sz="4" w:space="0"/>
            </w:tcBorders>
            <w:vAlign w:val="center"/>
          </w:tcPr>
          <w:p w14:paraId="37209393">
            <w:pPr>
              <w:spacing w:line="240" w:lineRule="auto"/>
              <w:ind w:firstLine="0" w:firstLineChars="0"/>
              <w:jc w:val="center"/>
              <w:rPr>
                <w:sz w:val="21"/>
              </w:rPr>
            </w:pPr>
            <w:r>
              <w:rPr>
                <w:rFonts w:hint="eastAsia"/>
                <w:sz w:val="21"/>
              </w:rPr>
              <w:t>生猪</w:t>
            </w:r>
          </w:p>
        </w:tc>
        <w:tc>
          <w:tcPr>
            <w:tcW w:w="1444" w:type="dxa"/>
            <w:tcBorders>
              <w:top w:val="nil"/>
              <w:left w:val="nil"/>
              <w:bottom w:val="single" w:color="auto" w:sz="4" w:space="0"/>
              <w:right w:val="single" w:color="auto" w:sz="4" w:space="0"/>
            </w:tcBorders>
            <w:vAlign w:val="center"/>
          </w:tcPr>
          <w:p w14:paraId="77CA4398">
            <w:pPr>
              <w:spacing w:line="240" w:lineRule="auto"/>
              <w:ind w:firstLine="0" w:firstLineChars="0"/>
              <w:jc w:val="center"/>
              <w:rPr>
                <w:sz w:val="21"/>
              </w:rPr>
            </w:pPr>
            <w:r>
              <w:rPr>
                <w:rFonts w:hint="eastAsia"/>
                <w:sz w:val="21"/>
              </w:rPr>
              <w:t>6.29</w:t>
            </w:r>
          </w:p>
        </w:tc>
        <w:tc>
          <w:tcPr>
            <w:tcW w:w="1050" w:type="dxa"/>
            <w:tcBorders>
              <w:top w:val="nil"/>
              <w:left w:val="nil"/>
              <w:bottom w:val="single" w:color="auto" w:sz="4" w:space="0"/>
              <w:right w:val="single" w:color="auto" w:sz="4" w:space="0"/>
            </w:tcBorders>
            <w:vAlign w:val="center"/>
          </w:tcPr>
          <w:p w14:paraId="25900C37">
            <w:pPr>
              <w:spacing w:line="240" w:lineRule="auto"/>
              <w:ind w:firstLine="0" w:firstLineChars="0"/>
              <w:jc w:val="center"/>
              <w:rPr>
                <w:sz w:val="21"/>
              </w:rPr>
            </w:pPr>
            <w:r>
              <w:rPr>
                <w:rFonts w:hint="eastAsia"/>
                <w:sz w:val="21"/>
              </w:rPr>
              <w:t>0.68</w:t>
            </w:r>
          </w:p>
        </w:tc>
        <w:tc>
          <w:tcPr>
            <w:tcW w:w="1050" w:type="dxa"/>
            <w:tcBorders>
              <w:top w:val="nil"/>
              <w:left w:val="nil"/>
              <w:bottom w:val="single" w:color="auto" w:sz="4" w:space="0"/>
              <w:right w:val="single" w:color="auto" w:sz="4" w:space="0"/>
            </w:tcBorders>
            <w:vAlign w:val="center"/>
          </w:tcPr>
          <w:p w14:paraId="22316656">
            <w:pPr>
              <w:spacing w:line="240" w:lineRule="auto"/>
              <w:ind w:firstLine="0" w:firstLineChars="0"/>
              <w:jc w:val="center"/>
              <w:rPr>
                <w:sz w:val="21"/>
              </w:rPr>
            </w:pPr>
            <w:r>
              <w:rPr>
                <w:rFonts w:hint="eastAsia"/>
                <w:sz w:val="21"/>
              </w:rPr>
              <w:t>0.20</w:t>
            </w:r>
          </w:p>
        </w:tc>
        <w:tc>
          <w:tcPr>
            <w:tcW w:w="1052" w:type="dxa"/>
            <w:tcBorders>
              <w:top w:val="nil"/>
              <w:left w:val="nil"/>
              <w:bottom w:val="single" w:color="auto" w:sz="4" w:space="0"/>
              <w:right w:val="single" w:color="auto" w:sz="4" w:space="0"/>
            </w:tcBorders>
            <w:vAlign w:val="center"/>
          </w:tcPr>
          <w:p w14:paraId="5C2FA83D">
            <w:pPr>
              <w:spacing w:line="240" w:lineRule="auto"/>
              <w:ind w:firstLine="0" w:firstLineChars="0"/>
              <w:jc w:val="center"/>
              <w:rPr>
                <w:sz w:val="21"/>
              </w:rPr>
            </w:pPr>
            <w:r>
              <w:rPr>
                <w:rFonts w:hint="eastAsia"/>
                <w:sz w:val="21"/>
              </w:rPr>
              <w:t>0.13</w:t>
            </w:r>
          </w:p>
        </w:tc>
      </w:tr>
      <w:tr w14:paraId="29BDDD11">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200E2A35">
            <w:pPr>
              <w:spacing w:line="240" w:lineRule="auto"/>
              <w:ind w:firstLine="0" w:firstLineChars="0"/>
              <w:jc w:val="center"/>
              <w:rPr>
                <w:sz w:val="21"/>
              </w:rPr>
            </w:pPr>
            <w:r>
              <w:rPr>
                <w:rFonts w:hint="eastAsia"/>
                <w:sz w:val="21"/>
              </w:rPr>
              <w:t>21</w:t>
            </w:r>
          </w:p>
        </w:tc>
        <w:tc>
          <w:tcPr>
            <w:tcW w:w="1587" w:type="pct"/>
            <w:tcBorders>
              <w:top w:val="nil"/>
              <w:left w:val="nil"/>
              <w:bottom w:val="single" w:color="auto" w:sz="4" w:space="0"/>
              <w:right w:val="single" w:color="auto" w:sz="4" w:space="0"/>
            </w:tcBorders>
            <w:vAlign w:val="center"/>
          </w:tcPr>
          <w:p w14:paraId="5A75ECB9">
            <w:pPr>
              <w:spacing w:line="240" w:lineRule="auto"/>
              <w:ind w:firstLine="0" w:firstLineChars="0"/>
              <w:jc w:val="center"/>
              <w:rPr>
                <w:sz w:val="21"/>
              </w:rPr>
            </w:pPr>
            <w:r>
              <w:rPr>
                <w:rFonts w:hint="eastAsia"/>
                <w:sz w:val="21"/>
              </w:rPr>
              <w:t>欧伙庚鸡场</w:t>
            </w:r>
          </w:p>
        </w:tc>
        <w:tc>
          <w:tcPr>
            <w:tcW w:w="742" w:type="dxa"/>
            <w:tcBorders>
              <w:top w:val="nil"/>
              <w:left w:val="nil"/>
              <w:bottom w:val="single" w:color="auto" w:sz="4" w:space="0"/>
              <w:right w:val="single" w:color="auto" w:sz="4" w:space="0"/>
            </w:tcBorders>
            <w:vAlign w:val="center"/>
          </w:tcPr>
          <w:p w14:paraId="79075B42">
            <w:pPr>
              <w:spacing w:line="240" w:lineRule="auto"/>
              <w:ind w:firstLine="0" w:firstLineChars="0"/>
              <w:jc w:val="center"/>
              <w:rPr>
                <w:sz w:val="21"/>
              </w:rPr>
            </w:pPr>
            <w:r>
              <w:rPr>
                <w:rFonts w:hint="eastAsia"/>
                <w:sz w:val="21"/>
              </w:rPr>
              <w:t>蛋鸡</w:t>
            </w:r>
          </w:p>
        </w:tc>
        <w:tc>
          <w:tcPr>
            <w:tcW w:w="1444" w:type="dxa"/>
            <w:tcBorders>
              <w:top w:val="nil"/>
              <w:left w:val="nil"/>
              <w:bottom w:val="single" w:color="auto" w:sz="4" w:space="0"/>
              <w:right w:val="single" w:color="auto" w:sz="4" w:space="0"/>
            </w:tcBorders>
            <w:vAlign w:val="center"/>
          </w:tcPr>
          <w:p w14:paraId="2A44DBF4">
            <w:pPr>
              <w:spacing w:line="240" w:lineRule="auto"/>
              <w:ind w:firstLine="0" w:firstLineChars="0"/>
              <w:jc w:val="center"/>
              <w:rPr>
                <w:sz w:val="21"/>
              </w:rPr>
            </w:pPr>
            <w:r>
              <w:rPr>
                <w:rFonts w:hint="eastAsia"/>
                <w:sz w:val="21"/>
              </w:rPr>
              <w:t>8.91</w:t>
            </w:r>
          </w:p>
        </w:tc>
        <w:tc>
          <w:tcPr>
            <w:tcW w:w="1050" w:type="dxa"/>
            <w:tcBorders>
              <w:top w:val="nil"/>
              <w:left w:val="nil"/>
              <w:bottom w:val="single" w:color="auto" w:sz="4" w:space="0"/>
              <w:right w:val="single" w:color="auto" w:sz="4" w:space="0"/>
            </w:tcBorders>
            <w:vAlign w:val="center"/>
          </w:tcPr>
          <w:p w14:paraId="2EB6E58D">
            <w:pPr>
              <w:spacing w:line="240" w:lineRule="auto"/>
              <w:ind w:firstLine="0" w:firstLineChars="0"/>
              <w:jc w:val="center"/>
              <w:rPr>
                <w:sz w:val="21"/>
              </w:rPr>
            </w:pPr>
            <w:r>
              <w:rPr>
                <w:rFonts w:hint="eastAsia"/>
                <w:sz w:val="21"/>
              </w:rPr>
              <w:t>0.38</w:t>
            </w:r>
          </w:p>
        </w:tc>
        <w:tc>
          <w:tcPr>
            <w:tcW w:w="1050" w:type="dxa"/>
            <w:tcBorders>
              <w:top w:val="nil"/>
              <w:left w:val="nil"/>
              <w:bottom w:val="single" w:color="auto" w:sz="4" w:space="0"/>
              <w:right w:val="single" w:color="auto" w:sz="4" w:space="0"/>
            </w:tcBorders>
            <w:vAlign w:val="center"/>
          </w:tcPr>
          <w:p w14:paraId="399117C2">
            <w:pPr>
              <w:spacing w:line="240" w:lineRule="auto"/>
              <w:ind w:firstLine="0" w:firstLineChars="0"/>
              <w:jc w:val="center"/>
              <w:rPr>
                <w:sz w:val="21"/>
              </w:rPr>
            </w:pPr>
            <w:r>
              <w:rPr>
                <w:rFonts w:hint="eastAsia"/>
                <w:sz w:val="21"/>
              </w:rPr>
              <w:t>0.04</w:t>
            </w:r>
          </w:p>
        </w:tc>
        <w:tc>
          <w:tcPr>
            <w:tcW w:w="1052" w:type="dxa"/>
            <w:tcBorders>
              <w:top w:val="nil"/>
              <w:left w:val="nil"/>
              <w:bottom w:val="single" w:color="auto" w:sz="4" w:space="0"/>
              <w:right w:val="single" w:color="auto" w:sz="4" w:space="0"/>
            </w:tcBorders>
            <w:vAlign w:val="center"/>
          </w:tcPr>
          <w:p w14:paraId="0E493689">
            <w:pPr>
              <w:spacing w:line="240" w:lineRule="auto"/>
              <w:ind w:firstLine="0" w:firstLineChars="0"/>
              <w:jc w:val="center"/>
              <w:rPr>
                <w:sz w:val="21"/>
              </w:rPr>
            </w:pPr>
            <w:r>
              <w:rPr>
                <w:rFonts w:hint="eastAsia"/>
                <w:sz w:val="21"/>
              </w:rPr>
              <w:t>0.12</w:t>
            </w:r>
          </w:p>
        </w:tc>
      </w:tr>
      <w:tr w14:paraId="60266BBC">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73D6B0F6">
            <w:pPr>
              <w:spacing w:line="240" w:lineRule="auto"/>
              <w:ind w:firstLine="0" w:firstLineChars="0"/>
              <w:jc w:val="center"/>
              <w:rPr>
                <w:sz w:val="21"/>
              </w:rPr>
            </w:pPr>
            <w:r>
              <w:rPr>
                <w:rFonts w:hint="eastAsia"/>
                <w:sz w:val="21"/>
              </w:rPr>
              <w:t>22</w:t>
            </w:r>
          </w:p>
        </w:tc>
        <w:tc>
          <w:tcPr>
            <w:tcW w:w="1587" w:type="pct"/>
            <w:tcBorders>
              <w:top w:val="nil"/>
              <w:left w:val="nil"/>
              <w:bottom w:val="single" w:color="auto" w:sz="4" w:space="0"/>
              <w:right w:val="single" w:color="auto" w:sz="4" w:space="0"/>
            </w:tcBorders>
            <w:vAlign w:val="center"/>
          </w:tcPr>
          <w:p w14:paraId="0E4FBAC4">
            <w:pPr>
              <w:spacing w:line="240" w:lineRule="auto"/>
              <w:ind w:firstLine="0" w:firstLineChars="0"/>
              <w:jc w:val="center"/>
              <w:rPr>
                <w:sz w:val="21"/>
              </w:rPr>
            </w:pPr>
            <w:r>
              <w:rPr>
                <w:rFonts w:hint="eastAsia"/>
                <w:sz w:val="21"/>
              </w:rPr>
              <w:t>徐建忠鸡场</w:t>
            </w:r>
          </w:p>
        </w:tc>
        <w:tc>
          <w:tcPr>
            <w:tcW w:w="742" w:type="dxa"/>
            <w:tcBorders>
              <w:top w:val="nil"/>
              <w:left w:val="nil"/>
              <w:bottom w:val="single" w:color="auto" w:sz="4" w:space="0"/>
              <w:right w:val="single" w:color="auto" w:sz="4" w:space="0"/>
            </w:tcBorders>
            <w:vAlign w:val="center"/>
          </w:tcPr>
          <w:p w14:paraId="23BCAC2C">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1825EBF4">
            <w:pPr>
              <w:spacing w:line="240" w:lineRule="auto"/>
              <w:ind w:firstLine="0" w:firstLineChars="0"/>
              <w:jc w:val="center"/>
              <w:rPr>
                <w:sz w:val="21"/>
              </w:rPr>
            </w:pPr>
            <w:r>
              <w:rPr>
                <w:rFonts w:hint="eastAsia"/>
                <w:sz w:val="21"/>
              </w:rPr>
              <w:t>5.61</w:t>
            </w:r>
          </w:p>
        </w:tc>
        <w:tc>
          <w:tcPr>
            <w:tcW w:w="1050" w:type="dxa"/>
            <w:tcBorders>
              <w:top w:val="nil"/>
              <w:left w:val="nil"/>
              <w:bottom w:val="single" w:color="auto" w:sz="4" w:space="0"/>
              <w:right w:val="single" w:color="auto" w:sz="4" w:space="0"/>
            </w:tcBorders>
            <w:vAlign w:val="center"/>
          </w:tcPr>
          <w:p w14:paraId="01D9AC90">
            <w:pPr>
              <w:spacing w:line="240" w:lineRule="auto"/>
              <w:ind w:firstLine="0" w:firstLineChars="0"/>
              <w:jc w:val="center"/>
              <w:rPr>
                <w:sz w:val="21"/>
              </w:rPr>
            </w:pPr>
            <w:r>
              <w:rPr>
                <w:rFonts w:hint="eastAsia"/>
                <w:sz w:val="21"/>
              </w:rPr>
              <w:t>0.27</w:t>
            </w:r>
          </w:p>
        </w:tc>
        <w:tc>
          <w:tcPr>
            <w:tcW w:w="1050" w:type="dxa"/>
            <w:tcBorders>
              <w:top w:val="nil"/>
              <w:left w:val="nil"/>
              <w:bottom w:val="single" w:color="auto" w:sz="4" w:space="0"/>
              <w:right w:val="single" w:color="auto" w:sz="4" w:space="0"/>
            </w:tcBorders>
            <w:vAlign w:val="center"/>
          </w:tcPr>
          <w:p w14:paraId="16BDB747">
            <w:pPr>
              <w:spacing w:line="240" w:lineRule="auto"/>
              <w:ind w:firstLine="0" w:firstLineChars="0"/>
              <w:jc w:val="center"/>
              <w:rPr>
                <w:sz w:val="21"/>
              </w:rPr>
            </w:pPr>
            <w:r>
              <w:rPr>
                <w:rFonts w:hint="eastAsia"/>
                <w:sz w:val="21"/>
              </w:rPr>
              <w:t>0.03</w:t>
            </w:r>
          </w:p>
        </w:tc>
        <w:tc>
          <w:tcPr>
            <w:tcW w:w="1052" w:type="dxa"/>
            <w:tcBorders>
              <w:top w:val="nil"/>
              <w:left w:val="nil"/>
              <w:bottom w:val="single" w:color="auto" w:sz="4" w:space="0"/>
              <w:right w:val="single" w:color="auto" w:sz="4" w:space="0"/>
            </w:tcBorders>
            <w:vAlign w:val="center"/>
          </w:tcPr>
          <w:p w14:paraId="072CE3A9">
            <w:pPr>
              <w:spacing w:line="240" w:lineRule="auto"/>
              <w:ind w:firstLine="0" w:firstLineChars="0"/>
              <w:jc w:val="center"/>
              <w:rPr>
                <w:sz w:val="21"/>
              </w:rPr>
            </w:pPr>
            <w:r>
              <w:rPr>
                <w:rFonts w:hint="eastAsia"/>
                <w:sz w:val="21"/>
              </w:rPr>
              <w:t>0.06</w:t>
            </w:r>
          </w:p>
        </w:tc>
      </w:tr>
      <w:tr w14:paraId="1C29DA99">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3D0004FB">
            <w:pPr>
              <w:spacing w:line="240" w:lineRule="auto"/>
              <w:ind w:firstLine="0" w:firstLineChars="0"/>
              <w:jc w:val="center"/>
              <w:rPr>
                <w:sz w:val="21"/>
              </w:rPr>
            </w:pPr>
            <w:r>
              <w:rPr>
                <w:rFonts w:hint="eastAsia"/>
                <w:sz w:val="21"/>
              </w:rPr>
              <w:t>23</w:t>
            </w:r>
          </w:p>
        </w:tc>
        <w:tc>
          <w:tcPr>
            <w:tcW w:w="1587" w:type="pct"/>
            <w:tcBorders>
              <w:top w:val="nil"/>
              <w:left w:val="nil"/>
              <w:bottom w:val="single" w:color="auto" w:sz="4" w:space="0"/>
              <w:right w:val="single" w:color="auto" w:sz="4" w:space="0"/>
            </w:tcBorders>
            <w:vAlign w:val="center"/>
          </w:tcPr>
          <w:p w14:paraId="44CBEA6C">
            <w:pPr>
              <w:spacing w:line="240" w:lineRule="auto"/>
              <w:ind w:firstLine="0" w:firstLineChars="0"/>
              <w:jc w:val="center"/>
              <w:rPr>
                <w:sz w:val="21"/>
              </w:rPr>
            </w:pPr>
            <w:r>
              <w:rPr>
                <w:rFonts w:hint="eastAsia"/>
                <w:sz w:val="21"/>
              </w:rPr>
              <w:t>屠恩田鸡场</w:t>
            </w:r>
          </w:p>
        </w:tc>
        <w:tc>
          <w:tcPr>
            <w:tcW w:w="742" w:type="dxa"/>
            <w:tcBorders>
              <w:top w:val="nil"/>
              <w:left w:val="nil"/>
              <w:bottom w:val="single" w:color="auto" w:sz="4" w:space="0"/>
              <w:right w:val="single" w:color="auto" w:sz="4" w:space="0"/>
            </w:tcBorders>
            <w:vAlign w:val="center"/>
          </w:tcPr>
          <w:p w14:paraId="5DED17E2">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6BBA3375">
            <w:pPr>
              <w:spacing w:line="240" w:lineRule="auto"/>
              <w:ind w:firstLine="0" w:firstLineChars="0"/>
              <w:jc w:val="center"/>
              <w:rPr>
                <w:sz w:val="21"/>
              </w:rPr>
            </w:pPr>
            <w:r>
              <w:rPr>
                <w:rFonts w:hint="eastAsia"/>
                <w:sz w:val="21"/>
              </w:rPr>
              <w:t>6.77</w:t>
            </w:r>
          </w:p>
        </w:tc>
        <w:tc>
          <w:tcPr>
            <w:tcW w:w="1050" w:type="dxa"/>
            <w:tcBorders>
              <w:top w:val="nil"/>
              <w:left w:val="nil"/>
              <w:bottom w:val="single" w:color="auto" w:sz="4" w:space="0"/>
              <w:right w:val="single" w:color="auto" w:sz="4" w:space="0"/>
            </w:tcBorders>
            <w:vAlign w:val="center"/>
          </w:tcPr>
          <w:p w14:paraId="61550118">
            <w:pPr>
              <w:spacing w:line="240" w:lineRule="auto"/>
              <w:ind w:firstLine="0" w:firstLineChars="0"/>
              <w:jc w:val="center"/>
              <w:rPr>
                <w:sz w:val="21"/>
              </w:rPr>
            </w:pPr>
            <w:r>
              <w:rPr>
                <w:rFonts w:hint="eastAsia"/>
                <w:sz w:val="21"/>
              </w:rPr>
              <w:t>0.33</w:t>
            </w:r>
          </w:p>
        </w:tc>
        <w:tc>
          <w:tcPr>
            <w:tcW w:w="1050" w:type="dxa"/>
            <w:tcBorders>
              <w:top w:val="nil"/>
              <w:left w:val="nil"/>
              <w:bottom w:val="single" w:color="auto" w:sz="4" w:space="0"/>
              <w:right w:val="single" w:color="auto" w:sz="4" w:space="0"/>
            </w:tcBorders>
            <w:vAlign w:val="center"/>
          </w:tcPr>
          <w:p w14:paraId="1517DDA6">
            <w:pPr>
              <w:spacing w:line="240" w:lineRule="auto"/>
              <w:ind w:firstLine="0" w:firstLineChars="0"/>
              <w:jc w:val="center"/>
              <w:rPr>
                <w:sz w:val="21"/>
              </w:rPr>
            </w:pPr>
            <w:r>
              <w:rPr>
                <w:rFonts w:hint="eastAsia"/>
                <w:sz w:val="21"/>
              </w:rPr>
              <w:t>0.03</w:t>
            </w:r>
          </w:p>
        </w:tc>
        <w:tc>
          <w:tcPr>
            <w:tcW w:w="1052" w:type="dxa"/>
            <w:tcBorders>
              <w:top w:val="nil"/>
              <w:left w:val="nil"/>
              <w:bottom w:val="single" w:color="auto" w:sz="4" w:space="0"/>
              <w:right w:val="single" w:color="auto" w:sz="4" w:space="0"/>
            </w:tcBorders>
            <w:vAlign w:val="center"/>
          </w:tcPr>
          <w:p w14:paraId="4F9EDA4F">
            <w:pPr>
              <w:spacing w:line="240" w:lineRule="auto"/>
              <w:ind w:firstLine="0" w:firstLineChars="0"/>
              <w:jc w:val="center"/>
              <w:rPr>
                <w:sz w:val="21"/>
              </w:rPr>
            </w:pPr>
            <w:r>
              <w:rPr>
                <w:rFonts w:hint="eastAsia"/>
                <w:sz w:val="21"/>
              </w:rPr>
              <w:t>0.07</w:t>
            </w:r>
          </w:p>
        </w:tc>
      </w:tr>
      <w:tr w14:paraId="6D978595">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0CB3E784">
            <w:pPr>
              <w:spacing w:line="240" w:lineRule="auto"/>
              <w:ind w:firstLine="0" w:firstLineChars="0"/>
              <w:jc w:val="center"/>
              <w:rPr>
                <w:sz w:val="21"/>
              </w:rPr>
            </w:pPr>
            <w:r>
              <w:rPr>
                <w:rFonts w:hint="eastAsia"/>
                <w:sz w:val="21"/>
              </w:rPr>
              <w:t>24</w:t>
            </w:r>
          </w:p>
        </w:tc>
        <w:tc>
          <w:tcPr>
            <w:tcW w:w="1587" w:type="pct"/>
            <w:tcBorders>
              <w:top w:val="nil"/>
              <w:left w:val="nil"/>
              <w:bottom w:val="single" w:color="auto" w:sz="4" w:space="0"/>
              <w:right w:val="single" w:color="auto" w:sz="4" w:space="0"/>
            </w:tcBorders>
            <w:vAlign w:val="center"/>
          </w:tcPr>
          <w:p w14:paraId="6CC574D0">
            <w:pPr>
              <w:spacing w:line="240" w:lineRule="auto"/>
              <w:ind w:firstLine="0" w:firstLineChars="0"/>
              <w:jc w:val="center"/>
              <w:rPr>
                <w:sz w:val="21"/>
              </w:rPr>
            </w:pPr>
            <w:r>
              <w:rPr>
                <w:rFonts w:hint="eastAsia"/>
                <w:sz w:val="21"/>
              </w:rPr>
              <w:t>苑纪彬鸡场</w:t>
            </w:r>
          </w:p>
        </w:tc>
        <w:tc>
          <w:tcPr>
            <w:tcW w:w="742" w:type="dxa"/>
            <w:tcBorders>
              <w:top w:val="nil"/>
              <w:left w:val="nil"/>
              <w:bottom w:val="single" w:color="auto" w:sz="4" w:space="0"/>
              <w:right w:val="single" w:color="auto" w:sz="4" w:space="0"/>
            </w:tcBorders>
            <w:vAlign w:val="center"/>
          </w:tcPr>
          <w:p w14:paraId="6E1F42CD">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40529A66">
            <w:pPr>
              <w:spacing w:line="240" w:lineRule="auto"/>
              <w:ind w:firstLine="0" w:firstLineChars="0"/>
              <w:jc w:val="center"/>
              <w:rPr>
                <w:sz w:val="21"/>
              </w:rPr>
            </w:pPr>
            <w:r>
              <w:rPr>
                <w:rFonts w:hint="eastAsia"/>
                <w:sz w:val="21"/>
              </w:rPr>
              <w:t>7.74</w:t>
            </w:r>
          </w:p>
        </w:tc>
        <w:tc>
          <w:tcPr>
            <w:tcW w:w="1050" w:type="dxa"/>
            <w:tcBorders>
              <w:top w:val="nil"/>
              <w:left w:val="nil"/>
              <w:bottom w:val="single" w:color="auto" w:sz="4" w:space="0"/>
              <w:right w:val="single" w:color="auto" w:sz="4" w:space="0"/>
            </w:tcBorders>
            <w:vAlign w:val="center"/>
          </w:tcPr>
          <w:p w14:paraId="3BFA127F">
            <w:pPr>
              <w:spacing w:line="240" w:lineRule="auto"/>
              <w:ind w:firstLine="0" w:firstLineChars="0"/>
              <w:jc w:val="center"/>
              <w:rPr>
                <w:sz w:val="21"/>
              </w:rPr>
            </w:pPr>
            <w:r>
              <w:rPr>
                <w:rFonts w:hint="eastAsia"/>
                <w:sz w:val="21"/>
              </w:rPr>
              <w:t>0.38</w:t>
            </w:r>
          </w:p>
        </w:tc>
        <w:tc>
          <w:tcPr>
            <w:tcW w:w="1050" w:type="dxa"/>
            <w:tcBorders>
              <w:top w:val="nil"/>
              <w:left w:val="nil"/>
              <w:bottom w:val="single" w:color="auto" w:sz="4" w:space="0"/>
              <w:right w:val="single" w:color="auto" w:sz="4" w:space="0"/>
            </w:tcBorders>
            <w:vAlign w:val="center"/>
          </w:tcPr>
          <w:p w14:paraId="03A46B01">
            <w:pPr>
              <w:spacing w:line="240" w:lineRule="auto"/>
              <w:ind w:firstLine="0" w:firstLineChars="0"/>
              <w:jc w:val="center"/>
              <w:rPr>
                <w:sz w:val="21"/>
              </w:rPr>
            </w:pPr>
            <w:r>
              <w:rPr>
                <w:rFonts w:hint="eastAsia"/>
                <w:sz w:val="21"/>
              </w:rPr>
              <w:t>0.04</w:t>
            </w:r>
          </w:p>
        </w:tc>
        <w:tc>
          <w:tcPr>
            <w:tcW w:w="1052" w:type="dxa"/>
            <w:tcBorders>
              <w:top w:val="nil"/>
              <w:left w:val="nil"/>
              <w:bottom w:val="single" w:color="auto" w:sz="4" w:space="0"/>
              <w:right w:val="single" w:color="auto" w:sz="4" w:space="0"/>
            </w:tcBorders>
            <w:vAlign w:val="center"/>
          </w:tcPr>
          <w:p w14:paraId="55A9C92C">
            <w:pPr>
              <w:spacing w:line="240" w:lineRule="auto"/>
              <w:ind w:firstLine="0" w:firstLineChars="0"/>
              <w:jc w:val="center"/>
              <w:rPr>
                <w:sz w:val="21"/>
              </w:rPr>
            </w:pPr>
            <w:r>
              <w:rPr>
                <w:rFonts w:hint="eastAsia"/>
                <w:sz w:val="21"/>
              </w:rPr>
              <w:t>0.08</w:t>
            </w:r>
          </w:p>
        </w:tc>
      </w:tr>
      <w:tr w14:paraId="3D7B1D73">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68EC94D8">
            <w:pPr>
              <w:spacing w:line="240" w:lineRule="auto"/>
              <w:ind w:firstLine="0" w:firstLineChars="0"/>
              <w:jc w:val="center"/>
              <w:rPr>
                <w:sz w:val="21"/>
              </w:rPr>
            </w:pPr>
            <w:r>
              <w:rPr>
                <w:rFonts w:hint="eastAsia"/>
                <w:sz w:val="21"/>
              </w:rPr>
              <w:t>25</w:t>
            </w:r>
          </w:p>
        </w:tc>
        <w:tc>
          <w:tcPr>
            <w:tcW w:w="1587" w:type="pct"/>
            <w:tcBorders>
              <w:top w:val="nil"/>
              <w:left w:val="nil"/>
              <w:bottom w:val="single" w:color="auto" w:sz="4" w:space="0"/>
              <w:right w:val="single" w:color="auto" w:sz="4" w:space="0"/>
            </w:tcBorders>
            <w:vAlign w:val="center"/>
          </w:tcPr>
          <w:p w14:paraId="57171C14">
            <w:pPr>
              <w:spacing w:line="240" w:lineRule="auto"/>
              <w:ind w:firstLine="0" w:firstLineChars="0"/>
              <w:jc w:val="center"/>
              <w:rPr>
                <w:sz w:val="21"/>
              </w:rPr>
            </w:pPr>
            <w:r>
              <w:rPr>
                <w:rFonts w:hint="eastAsia"/>
                <w:sz w:val="21"/>
              </w:rPr>
              <w:t>杨洪孝鸡场</w:t>
            </w:r>
          </w:p>
        </w:tc>
        <w:tc>
          <w:tcPr>
            <w:tcW w:w="742" w:type="dxa"/>
            <w:tcBorders>
              <w:top w:val="nil"/>
              <w:left w:val="nil"/>
              <w:bottom w:val="single" w:color="auto" w:sz="4" w:space="0"/>
              <w:right w:val="single" w:color="auto" w:sz="4" w:space="0"/>
            </w:tcBorders>
            <w:vAlign w:val="center"/>
          </w:tcPr>
          <w:p w14:paraId="2C9CFD8A">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1DB75B8B">
            <w:pPr>
              <w:spacing w:line="240" w:lineRule="auto"/>
              <w:ind w:firstLine="0" w:firstLineChars="0"/>
              <w:jc w:val="center"/>
              <w:rPr>
                <w:sz w:val="21"/>
              </w:rPr>
            </w:pPr>
            <w:r>
              <w:rPr>
                <w:rFonts w:hint="eastAsia"/>
                <w:sz w:val="21"/>
              </w:rPr>
              <w:t>3.46</w:t>
            </w:r>
          </w:p>
        </w:tc>
        <w:tc>
          <w:tcPr>
            <w:tcW w:w="1050" w:type="dxa"/>
            <w:tcBorders>
              <w:top w:val="nil"/>
              <w:left w:val="nil"/>
              <w:bottom w:val="single" w:color="auto" w:sz="4" w:space="0"/>
              <w:right w:val="single" w:color="auto" w:sz="4" w:space="0"/>
            </w:tcBorders>
            <w:vAlign w:val="center"/>
          </w:tcPr>
          <w:p w14:paraId="1E3FB71E">
            <w:pPr>
              <w:spacing w:line="240" w:lineRule="auto"/>
              <w:ind w:firstLine="0" w:firstLineChars="0"/>
              <w:jc w:val="center"/>
              <w:rPr>
                <w:sz w:val="21"/>
              </w:rPr>
            </w:pPr>
            <w:r>
              <w:rPr>
                <w:rFonts w:hint="eastAsia"/>
                <w:sz w:val="21"/>
              </w:rPr>
              <w:t>0.17</w:t>
            </w:r>
          </w:p>
        </w:tc>
        <w:tc>
          <w:tcPr>
            <w:tcW w:w="1050" w:type="dxa"/>
            <w:tcBorders>
              <w:top w:val="nil"/>
              <w:left w:val="nil"/>
              <w:bottom w:val="single" w:color="auto" w:sz="4" w:space="0"/>
              <w:right w:val="single" w:color="auto" w:sz="4" w:space="0"/>
            </w:tcBorders>
            <w:vAlign w:val="center"/>
          </w:tcPr>
          <w:p w14:paraId="0D60C8A7">
            <w:pPr>
              <w:spacing w:line="240" w:lineRule="auto"/>
              <w:ind w:firstLine="0" w:firstLineChars="0"/>
              <w:jc w:val="center"/>
              <w:rPr>
                <w:sz w:val="21"/>
              </w:rPr>
            </w:pPr>
            <w:r>
              <w:rPr>
                <w:rFonts w:hint="eastAsia"/>
                <w:sz w:val="21"/>
              </w:rPr>
              <w:t>0.02</w:t>
            </w:r>
          </w:p>
        </w:tc>
        <w:tc>
          <w:tcPr>
            <w:tcW w:w="1052" w:type="dxa"/>
            <w:tcBorders>
              <w:top w:val="nil"/>
              <w:left w:val="nil"/>
              <w:bottom w:val="single" w:color="auto" w:sz="4" w:space="0"/>
              <w:right w:val="single" w:color="auto" w:sz="4" w:space="0"/>
            </w:tcBorders>
            <w:vAlign w:val="center"/>
          </w:tcPr>
          <w:p w14:paraId="54FE5E79">
            <w:pPr>
              <w:spacing w:line="240" w:lineRule="auto"/>
              <w:ind w:firstLine="0" w:firstLineChars="0"/>
              <w:jc w:val="center"/>
              <w:rPr>
                <w:sz w:val="21"/>
              </w:rPr>
            </w:pPr>
            <w:r>
              <w:rPr>
                <w:rFonts w:hint="eastAsia"/>
                <w:sz w:val="21"/>
              </w:rPr>
              <w:t>0.03</w:t>
            </w:r>
          </w:p>
        </w:tc>
      </w:tr>
      <w:tr w14:paraId="6BDF1598">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3725A848">
            <w:pPr>
              <w:spacing w:line="240" w:lineRule="auto"/>
              <w:ind w:firstLine="0" w:firstLineChars="0"/>
              <w:jc w:val="center"/>
              <w:rPr>
                <w:sz w:val="21"/>
              </w:rPr>
            </w:pPr>
            <w:r>
              <w:rPr>
                <w:rFonts w:hint="eastAsia"/>
                <w:sz w:val="21"/>
              </w:rPr>
              <w:t>26</w:t>
            </w:r>
          </w:p>
        </w:tc>
        <w:tc>
          <w:tcPr>
            <w:tcW w:w="1587" w:type="pct"/>
            <w:tcBorders>
              <w:top w:val="nil"/>
              <w:left w:val="nil"/>
              <w:bottom w:val="single" w:color="auto" w:sz="4" w:space="0"/>
              <w:right w:val="single" w:color="auto" w:sz="4" w:space="0"/>
            </w:tcBorders>
            <w:vAlign w:val="center"/>
          </w:tcPr>
          <w:p w14:paraId="3AB5B463">
            <w:pPr>
              <w:spacing w:line="240" w:lineRule="auto"/>
              <w:ind w:firstLine="0" w:firstLineChars="0"/>
              <w:jc w:val="center"/>
              <w:rPr>
                <w:sz w:val="21"/>
              </w:rPr>
            </w:pPr>
            <w:r>
              <w:rPr>
                <w:rFonts w:hint="eastAsia"/>
                <w:sz w:val="21"/>
              </w:rPr>
              <w:t>李霞鸡场</w:t>
            </w:r>
          </w:p>
        </w:tc>
        <w:tc>
          <w:tcPr>
            <w:tcW w:w="742" w:type="dxa"/>
            <w:tcBorders>
              <w:top w:val="nil"/>
              <w:left w:val="nil"/>
              <w:bottom w:val="single" w:color="auto" w:sz="4" w:space="0"/>
              <w:right w:val="single" w:color="auto" w:sz="4" w:space="0"/>
            </w:tcBorders>
            <w:vAlign w:val="center"/>
          </w:tcPr>
          <w:p w14:paraId="67D618D2">
            <w:pPr>
              <w:spacing w:line="240" w:lineRule="auto"/>
              <w:ind w:firstLine="0" w:firstLineChars="0"/>
              <w:jc w:val="center"/>
              <w:rPr>
                <w:sz w:val="21"/>
              </w:rPr>
            </w:pPr>
            <w:r>
              <w:rPr>
                <w:rFonts w:hint="eastAsia"/>
                <w:sz w:val="21"/>
              </w:rPr>
              <w:t>肉鸡</w:t>
            </w:r>
          </w:p>
        </w:tc>
        <w:tc>
          <w:tcPr>
            <w:tcW w:w="1444" w:type="dxa"/>
            <w:tcBorders>
              <w:top w:val="nil"/>
              <w:left w:val="nil"/>
              <w:bottom w:val="single" w:color="auto" w:sz="4" w:space="0"/>
              <w:right w:val="single" w:color="auto" w:sz="4" w:space="0"/>
            </w:tcBorders>
            <w:vAlign w:val="center"/>
          </w:tcPr>
          <w:p w14:paraId="1B832ED8">
            <w:pPr>
              <w:spacing w:line="240" w:lineRule="auto"/>
              <w:ind w:firstLine="0" w:firstLineChars="0"/>
              <w:jc w:val="center"/>
              <w:rPr>
                <w:sz w:val="21"/>
              </w:rPr>
            </w:pPr>
            <w:r>
              <w:rPr>
                <w:rFonts w:hint="eastAsia"/>
                <w:sz w:val="21"/>
              </w:rPr>
              <w:t>4.03</w:t>
            </w:r>
          </w:p>
        </w:tc>
        <w:tc>
          <w:tcPr>
            <w:tcW w:w="1050" w:type="dxa"/>
            <w:tcBorders>
              <w:top w:val="nil"/>
              <w:left w:val="nil"/>
              <w:bottom w:val="single" w:color="auto" w:sz="4" w:space="0"/>
              <w:right w:val="single" w:color="auto" w:sz="4" w:space="0"/>
            </w:tcBorders>
            <w:vAlign w:val="center"/>
          </w:tcPr>
          <w:p w14:paraId="12A8E64B">
            <w:pPr>
              <w:spacing w:line="240" w:lineRule="auto"/>
              <w:ind w:firstLine="0" w:firstLineChars="0"/>
              <w:jc w:val="center"/>
              <w:rPr>
                <w:sz w:val="21"/>
              </w:rPr>
            </w:pPr>
            <w:r>
              <w:rPr>
                <w:rFonts w:hint="eastAsia"/>
                <w:sz w:val="21"/>
              </w:rPr>
              <w:t>0.20</w:t>
            </w:r>
          </w:p>
        </w:tc>
        <w:tc>
          <w:tcPr>
            <w:tcW w:w="1050" w:type="dxa"/>
            <w:tcBorders>
              <w:top w:val="nil"/>
              <w:left w:val="nil"/>
              <w:bottom w:val="single" w:color="auto" w:sz="4" w:space="0"/>
              <w:right w:val="single" w:color="auto" w:sz="4" w:space="0"/>
            </w:tcBorders>
            <w:vAlign w:val="center"/>
          </w:tcPr>
          <w:p w14:paraId="74978C35">
            <w:pPr>
              <w:spacing w:line="240" w:lineRule="auto"/>
              <w:ind w:firstLine="0" w:firstLineChars="0"/>
              <w:jc w:val="center"/>
              <w:rPr>
                <w:sz w:val="21"/>
              </w:rPr>
            </w:pPr>
            <w:r>
              <w:rPr>
                <w:rFonts w:hint="eastAsia"/>
                <w:sz w:val="21"/>
              </w:rPr>
              <w:t>0.02</w:t>
            </w:r>
          </w:p>
        </w:tc>
        <w:tc>
          <w:tcPr>
            <w:tcW w:w="1052" w:type="dxa"/>
            <w:tcBorders>
              <w:top w:val="nil"/>
              <w:left w:val="nil"/>
              <w:bottom w:val="single" w:color="auto" w:sz="4" w:space="0"/>
              <w:right w:val="single" w:color="auto" w:sz="4" w:space="0"/>
            </w:tcBorders>
            <w:vAlign w:val="center"/>
          </w:tcPr>
          <w:p w14:paraId="74EAB999">
            <w:pPr>
              <w:spacing w:line="240" w:lineRule="auto"/>
              <w:ind w:firstLine="0" w:firstLineChars="0"/>
              <w:jc w:val="center"/>
              <w:rPr>
                <w:sz w:val="21"/>
              </w:rPr>
            </w:pPr>
            <w:r>
              <w:rPr>
                <w:rFonts w:hint="eastAsia"/>
                <w:sz w:val="21"/>
              </w:rPr>
              <w:t>0.04</w:t>
            </w:r>
          </w:p>
        </w:tc>
      </w:tr>
      <w:tr w14:paraId="7FE0ADA4">
        <w:tblPrEx>
          <w:tblCellMar>
            <w:top w:w="0" w:type="dxa"/>
            <w:left w:w="108" w:type="dxa"/>
            <w:bottom w:w="0" w:type="dxa"/>
            <w:right w:w="108" w:type="dxa"/>
          </w:tblCellMar>
        </w:tblPrEx>
        <w:trPr>
          <w:trHeight w:val="285" w:hRule="atLeast"/>
        </w:trPr>
        <w:tc>
          <w:tcPr>
            <w:tcW w:w="281" w:type="pct"/>
            <w:tcBorders>
              <w:top w:val="nil"/>
              <w:left w:val="single" w:color="auto" w:sz="4" w:space="0"/>
              <w:bottom w:val="single" w:color="auto" w:sz="4" w:space="0"/>
              <w:right w:val="single" w:color="auto" w:sz="4" w:space="0"/>
            </w:tcBorders>
            <w:vAlign w:val="center"/>
          </w:tcPr>
          <w:p w14:paraId="684C6187">
            <w:pPr>
              <w:spacing w:line="240" w:lineRule="auto"/>
              <w:ind w:firstLine="0" w:firstLineChars="0"/>
              <w:jc w:val="center"/>
              <w:rPr>
                <w:sz w:val="21"/>
              </w:rPr>
            </w:pPr>
            <w:r>
              <w:rPr>
                <w:rFonts w:hint="eastAsia"/>
                <w:sz w:val="21"/>
              </w:rPr>
              <w:t>27</w:t>
            </w:r>
          </w:p>
        </w:tc>
        <w:tc>
          <w:tcPr>
            <w:tcW w:w="1587" w:type="pct"/>
            <w:tcBorders>
              <w:top w:val="nil"/>
              <w:left w:val="nil"/>
              <w:bottom w:val="single" w:color="auto" w:sz="4" w:space="0"/>
              <w:right w:val="single" w:color="auto" w:sz="4" w:space="0"/>
            </w:tcBorders>
            <w:vAlign w:val="center"/>
          </w:tcPr>
          <w:p w14:paraId="554654E1">
            <w:pPr>
              <w:spacing w:line="240" w:lineRule="auto"/>
              <w:ind w:firstLine="0" w:firstLineChars="0"/>
              <w:jc w:val="center"/>
              <w:rPr>
                <w:sz w:val="21"/>
              </w:rPr>
            </w:pPr>
            <w:r>
              <w:rPr>
                <w:rFonts w:hint="eastAsia"/>
                <w:sz w:val="21"/>
              </w:rPr>
              <w:t>常州市金坛区高新养殖场</w:t>
            </w:r>
          </w:p>
        </w:tc>
        <w:tc>
          <w:tcPr>
            <w:tcW w:w="742" w:type="dxa"/>
            <w:tcBorders>
              <w:top w:val="nil"/>
              <w:left w:val="nil"/>
              <w:bottom w:val="single" w:color="auto" w:sz="4" w:space="0"/>
              <w:right w:val="single" w:color="auto" w:sz="4" w:space="0"/>
            </w:tcBorders>
            <w:vAlign w:val="center"/>
          </w:tcPr>
          <w:p w14:paraId="0633179B">
            <w:pPr>
              <w:spacing w:line="240" w:lineRule="auto"/>
              <w:ind w:firstLine="0" w:firstLineChars="0"/>
              <w:jc w:val="center"/>
              <w:rPr>
                <w:sz w:val="21"/>
              </w:rPr>
            </w:pPr>
            <w:r>
              <w:rPr>
                <w:rFonts w:hint="eastAsia"/>
                <w:sz w:val="21"/>
              </w:rPr>
              <w:t>生猪</w:t>
            </w:r>
          </w:p>
        </w:tc>
        <w:tc>
          <w:tcPr>
            <w:tcW w:w="1444" w:type="dxa"/>
            <w:tcBorders>
              <w:top w:val="nil"/>
              <w:left w:val="nil"/>
              <w:bottom w:val="single" w:color="auto" w:sz="4" w:space="0"/>
              <w:right w:val="single" w:color="auto" w:sz="4" w:space="0"/>
            </w:tcBorders>
            <w:vAlign w:val="center"/>
          </w:tcPr>
          <w:p w14:paraId="711D3CF1">
            <w:pPr>
              <w:spacing w:line="240" w:lineRule="auto"/>
              <w:ind w:firstLine="0" w:firstLineChars="0"/>
              <w:jc w:val="center"/>
              <w:rPr>
                <w:sz w:val="21"/>
              </w:rPr>
            </w:pPr>
            <w:r>
              <w:rPr>
                <w:rFonts w:hint="eastAsia"/>
                <w:sz w:val="21"/>
              </w:rPr>
              <w:t>1.09</w:t>
            </w:r>
          </w:p>
        </w:tc>
        <w:tc>
          <w:tcPr>
            <w:tcW w:w="1050" w:type="dxa"/>
            <w:tcBorders>
              <w:top w:val="nil"/>
              <w:left w:val="nil"/>
              <w:bottom w:val="single" w:color="auto" w:sz="4" w:space="0"/>
              <w:right w:val="single" w:color="auto" w:sz="4" w:space="0"/>
            </w:tcBorders>
            <w:vAlign w:val="center"/>
          </w:tcPr>
          <w:p w14:paraId="09B7ED21">
            <w:pPr>
              <w:spacing w:line="240" w:lineRule="auto"/>
              <w:ind w:firstLine="0" w:firstLineChars="0"/>
              <w:jc w:val="center"/>
              <w:rPr>
                <w:sz w:val="21"/>
              </w:rPr>
            </w:pPr>
            <w:r>
              <w:rPr>
                <w:rFonts w:hint="eastAsia"/>
                <w:sz w:val="21"/>
              </w:rPr>
              <w:t>0.12</w:t>
            </w:r>
          </w:p>
        </w:tc>
        <w:tc>
          <w:tcPr>
            <w:tcW w:w="1050" w:type="dxa"/>
            <w:tcBorders>
              <w:top w:val="nil"/>
              <w:left w:val="nil"/>
              <w:bottom w:val="single" w:color="auto" w:sz="4" w:space="0"/>
              <w:right w:val="single" w:color="auto" w:sz="4" w:space="0"/>
            </w:tcBorders>
            <w:vAlign w:val="center"/>
          </w:tcPr>
          <w:p w14:paraId="7010BCF6">
            <w:pPr>
              <w:spacing w:line="240" w:lineRule="auto"/>
              <w:ind w:firstLine="0" w:firstLineChars="0"/>
              <w:jc w:val="center"/>
              <w:rPr>
                <w:sz w:val="21"/>
              </w:rPr>
            </w:pPr>
            <w:r>
              <w:rPr>
                <w:rFonts w:hint="eastAsia"/>
                <w:sz w:val="21"/>
              </w:rPr>
              <w:t>0.03</w:t>
            </w:r>
          </w:p>
        </w:tc>
        <w:tc>
          <w:tcPr>
            <w:tcW w:w="1052" w:type="dxa"/>
            <w:tcBorders>
              <w:top w:val="nil"/>
              <w:left w:val="nil"/>
              <w:bottom w:val="single" w:color="auto" w:sz="4" w:space="0"/>
              <w:right w:val="single" w:color="auto" w:sz="4" w:space="0"/>
            </w:tcBorders>
            <w:vAlign w:val="center"/>
          </w:tcPr>
          <w:p w14:paraId="4D2E2F7D">
            <w:pPr>
              <w:spacing w:line="240" w:lineRule="auto"/>
              <w:ind w:firstLine="0" w:firstLineChars="0"/>
              <w:jc w:val="center"/>
              <w:rPr>
                <w:sz w:val="21"/>
              </w:rPr>
            </w:pPr>
            <w:r>
              <w:rPr>
                <w:rFonts w:hint="eastAsia"/>
                <w:sz w:val="21"/>
              </w:rPr>
              <w:t>0.02</w:t>
            </w:r>
          </w:p>
        </w:tc>
      </w:tr>
      <w:tr w14:paraId="45D2103A">
        <w:tblPrEx>
          <w:tblCellMar>
            <w:top w:w="0" w:type="dxa"/>
            <w:left w:w="108" w:type="dxa"/>
            <w:bottom w:w="0" w:type="dxa"/>
            <w:right w:w="108" w:type="dxa"/>
          </w:tblCellMar>
        </w:tblPrEx>
        <w:trPr>
          <w:trHeight w:val="285" w:hRule="atLeast"/>
        </w:trPr>
        <w:tc>
          <w:tcPr>
            <w:tcW w:w="2303" w:type="pct"/>
            <w:gridSpan w:val="3"/>
            <w:tcBorders>
              <w:top w:val="single" w:color="auto" w:sz="4" w:space="0"/>
              <w:left w:val="single" w:color="auto" w:sz="4" w:space="0"/>
              <w:bottom w:val="single" w:color="auto" w:sz="4" w:space="0"/>
              <w:right w:val="single" w:color="000000" w:sz="4" w:space="0"/>
            </w:tcBorders>
            <w:vAlign w:val="center"/>
          </w:tcPr>
          <w:p w14:paraId="6972679C">
            <w:pPr>
              <w:spacing w:line="240" w:lineRule="auto"/>
              <w:ind w:firstLine="0" w:firstLineChars="0"/>
              <w:jc w:val="center"/>
              <w:rPr>
                <w:sz w:val="21"/>
              </w:rPr>
            </w:pPr>
            <w:r>
              <w:rPr>
                <w:rFonts w:hint="eastAsia"/>
                <w:sz w:val="21"/>
              </w:rPr>
              <w:t>合计</w:t>
            </w:r>
          </w:p>
        </w:tc>
        <w:tc>
          <w:tcPr>
            <w:tcW w:w="847" w:type="pct"/>
            <w:tcBorders>
              <w:top w:val="nil"/>
              <w:left w:val="nil"/>
              <w:bottom w:val="single" w:color="auto" w:sz="4" w:space="0"/>
              <w:right w:val="single" w:color="auto" w:sz="4" w:space="0"/>
            </w:tcBorders>
            <w:vAlign w:val="center"/>
          </w:tcPr>
          <w:p w14:paraId="64FDAF66">
            <w:pPr>
              <w:spacing w:line="240" w:lineRule="auto"/>
              <w:ind w:firstLine="0" w:firstLineChars="0"/>
              <w:jc w:val="center"/>
              <w:rPr>
                <w:rFonts w:cs="Times New Roman"/>
                <w:color w:val="000000"/>
                <w:sz w:val="21"/>
                <w:szCs w:val="21"/>
              </w:rPr>
            </w:pPr>
            <w:r>
              <w:rPr>
                <w:rFonts w:hint="eastAsia" w:cs="Times New Roman"/>
                <w:color w:val="000000"/>
                <w:sz w:val="21"/>
                <w:szCs w:val="21"/>
              </w:rPr>
              <w:t>263.30</w:t>
            </w:r>
          </w:p>
        </w:tc>
        <w:tc>
          <w:tcPr>
            <w:tcW w:w="616" w:type="pct"/>
            <w:tcBorders>
              <w:top w:val="nil"/>
              <w:left w:val="nil"/>
              <w:bottom w:val="single" w:color="auto" w:sz="4" w:space="0"/>
              <w:right w:val="single" w:color="auto" w:sz="4" w:space="0"/>
            </w:tcBorders>
            <w:vAlign w:val="center"/>
          </w:tcPr>
          <w:p w14:paraId="733ED330">
            <w:pPr>
              <w:spacing w:line="240" w:lineRule="auto"/>
              <w:ind w:firstLine="0" w:firstLineChars="0"/>
              <w:jc w:val="center"/>
              <w:rPr>
                <w:rFonts w:cs="Times New Roman"/>
                <w:color w:val="000000"/>
                <w:sz w:val="21"/>
                <w:szCs w:val="21"/>
              </w:rPr>
            </w:pPr>
            <w:r>
              <w:rPr>
                <w:rFonts w:hint="eastAsia" w:cs="Times New Roman"/>
                <w:color w:val="000000"/>
                <w:sz w:val="21"/>
                <w:szCs w:val="21"/>
              </w:rPr>
              <w:t>12.73</w:t>
            </w:r>
          </w:p>
        </w:tc>
        <w:tc>
          <w:tcPr>
            <w:tcW w:w="616" w:type="pct"/>
            <w:tcBorders>
              <w:top w:val="nil"/>
              <w:left w:val="nil"/>
              <w:bottom w:val="single" w:color="auto" w:sz="4" w:space="0"/>
              <w:right w:val="single" w:color="auto" w:sz="4" w:space="0"/>
            </w:tcBorders>
            <w:vAlign w:val="center"/>
          </w:tcPr>
          <w:p w14:paraId="4C38D14C">
            <w:pPr>
              <w:spacing w:line="240" w:lineRule="auto"/>
              <w:ind w:firstLine="0" w:firstLineChars="0"/>
              <w:jc w:val="center"/>
              <w:rPr>
                <w:rFonts w:cs="Times New Roman"/>
                <w:color w:val="000000"/>
                <w:sz w:val="21"/>
                <w:szCs w:val="21"/>
              </w:rPr>
            </w:pPr>
            <w:r>
              <w:rPr>
                <w:rFonts w:cs="Times New Roman"/>
                <w:color w:val="000000"/>
                <w:sz w:val="21"/>
                <w:szCs w:val="21"/>
              </w:rPr>
              <w:t>3.6</w:t>
            </w:r>
            <w:r>
              <w:rPr>
                <w:rFonts w:hint="eastAsia" w:cs="Times New Roman"/>
                <w:color w:val="000000"/>
                <w:sz w:val="21"/>
                <w:szCs w:val="21"/>
              </w:rPr>
              <w:t>9</w:t>
            </w:r>
          </w:p>
        </w:tc>
        <w:tc>
          <w:tcPr>
            <w:tcW w:w="617" w:type="pct"/>
            <w:tcBorders>
              <w:top w:val="nil"/>
              <w:left w:val="nil"/>
              <w:bottom w:val="single" w:color="auto" w:sz="4" w:space="0"/>
              <w:right w:val="single" w:color="auto" w:sz="4" w:space="0"/>
            </w:tcBorders>
            <w:vAlign w:val="center"/>
          </w:tcPr>
          <w:p w14:paraId="3AC22A00">
            <w:pPr>
              <w:spacing w:line="240" w:lineRule="auto"/>
              <w:ind w:firstLine="0" w:firstLineChars="0"/>
              <w:jc w:val="center"/>
              <w:rPr>
                <w:rFonts w:cs="Times New Roman"/>
                <w:color w:val="000000"/>
                <w:sz w:val="21"/>
                <w:szCs w:val="21"/>
              </w:rPr>
            </w:pPr>
            <w:r>
              <w:rPr>
                <w:rFonts w:cs="Times New Roman"/>
                <w:color w:val="000000"/>
                <w:sz w:val="21"/>
                <w:szCs w:val="21"/>
              </w:rPr>
              <w:t>2.66</w:t>
            </w:r>
          </w:p>
        </w:tc>
      </w:tr>
    </w:tbl>
    <w:p w14:paraId="7A2106A0">
      <w:pPr>
        <w:ind w:firstLine="0" w:firstLineChars="0"/>
        <w:outlineLvl w:val="3"/>
      </w:pPr>
      <w:r>
        <w:t>3</w:t>
      </w:r>
      <w:r>
        <w:rPr>
          <w:rFonts w:hint="eastAsia"/>
        </w:rPr>
        <w:t>.</w:t>
      </w:r>
      <w:r>
        <w:t>4</w:t>
      </w:r>
      <w:r>
        <w:rPr>
          <w:rFonts w:hint="eastAsia"/>
        </w:rPr>
        <w:t>.</w:t>
      </w:r>
      <w:r>
        <w:t>5</w:t>
      </w:r>
      <w:r>
        <w:rPr>
          <w:rFonts w:hint="eastAsia"/>
        </w:rPr>
        <w:t>.</w:t>
      </w:r>
      <w:r>
        <w:t>3</w:t>
      </w:r>
      <w:r>
        <w:rPr>
          <w:rFonts w:hint="eastAsia"/>
        </w:rPr>
        <w:t>固废污染源</w:t>
      </w:r>
    </w:p>
    <w:p w14:paraId="60082F5E">
      <w:pPr>
        <w:ind w:firstLine="480"/>
      </w:pPr>
      <w:r>
        <w:rPr>
          <w:rFonts w:hint="eastAsia"/>
        </w:rPr>
        <w:t>（1）一般工业固废</w:t>
      </w:r>
    </w:p>
    <w:p w14:paraId="350E241B">
      <w:pPr>
        <w:ind w:firstLine="480"/>
        <w:rPr>
          <w:rFonts w:cs="Times New Roman"/>
        </w:rPr>
      </w:pPr>
      <w:r>
        <w:rPr>
          <w:rFonts w:hint="eastAsia" w:cs="Times New Roman"/>
        </w:rPr>
        <w:t>度假区一般工业固废主要来自区内现状企业产生的沉淀污泥、除尘器收尘、废布袋、除尘废渣、燃料废渣、废砖、锅炉灰渣等，经统计，度假区内主要工业企业一般工业固废产生量约为</w:t>
      </w:r>
      <w:r>
        <w:rPr>
          <w:rFonts w:cs="Times New Roman"/>
        </w:rPr>
        <w:t>520.42</w:t>
      </w:r>
      <w:r>
        <w:rPr>
          <w:rFonts w:hint="eastAsia" w:cs="Times New Roman"/>
        </w:rPr>
        <w:t xml:space="preserve"> t/a，均由企业自行或委托进行综合利用。</w:t>
      </w:r>
    </w:p>
    <w:p w14:paraId="7A8BFC6B">
      <w:pPr>
        <w:ind w:firstLine="480"/>
      </w:pPr>
      <w:r>
        <w:rPr>
          <w:rFonts w:hint="eastAsia"/>
        </w:rPr>
        <w:t>（</w:t>
      </w:r>
      <w:r>
        <w:t>2</w:t>
      </w:r>
      <w:r>
        <w:rPr>
          <w:rFonts w:hint="eastAsia"/>
        </w:rPr>
        <w:t>）危险废物</w:t>
      </w:r>
    </w:p>
    <w:p w14:paraId="675F8230">
      <w:pPr>
        <w:ind w:firstLine="480"/>
        <w:rPr>
          <w:rFonts w:cs="Times New Roman"/>
        </w:rPr>
      </w:pPr>
      <w:r>
        <w:rPr>
          <w:rFonts w:hint="eastAsia" w:cs="Times New Roman"/>
        </w:rPr>
        <w:t>度假区现状重点工业企业危险废物产生量为</w:t>
      </w:r>
      <w:r>
        <w:rPr>
          <w:rFonts w:cs="Times New Roman"/>
        </w:rPr>
        <w:t>0.5</w:t>
      </w:r>
      <w:r>
        <w:rPr>
          <w:rFonts w:hint="eastAsia" w:cs="Times New Roman"/>
        </w:rPr>
        <w:t xml:space="preserve"> t/a，产生的危险废物主要包括船舶含油废水和废润滑油，均由企业根据危险废物所属类别，委托有资质单位进行安全处置。</w:t>
      </w:r>
    </w:p>
    <w:p w14:paraId="56126C3D">
      <w:pPr>
        <w:ind w:firstLine="480"/>
      </w:pPr>
      <w:r>
        <w:rPr>
          <w:rFonts w:hint="eastAsia"/>
        </w:rPr>
        <w:t>（</w:t>
      </w:r>
      <w:r>
        <w:t>3</w:t>
      </w:r>
      <w:r>
        <w:rPr>
          <w:rFonts w:hint="eastAsia"/>
        </w:rPr>
        <w:t>）生活垃圾</w:t>
      </w:r>
    </w:p>
    <w:p w14:paraId="1BCF4338">
      <w:pPr>
        <w:ind w:firstLine="480"/>
        <w:rPr>
          <w:rFonts w:cs="Times New Roman"/>
        </w:rPr>
      </w:pPr>
      <w:r>
        <w:rPr>
          <w:rFonts w:cs="Times New Roman"/>
        </w:rPr>
        <w:t>度假区内现有常住居民约</w:t>
      </w:r>
      <w:r>
        <w:rPr>
          <w:rFonts w:hint="eastAsia" w:cs="Times New Roman"/>
        </w:rPr>
        <w:t>30177</w:t>
      </w:r>
      <w:r>
        <w:rPr>
          <w:rFonts w:cs="Times New Roman"/>
        </w:rPr>
        <w:t>人，</w:t>
      </w:r>
      <w:r>
        <w:rPr>
          <w:rFonts w:hint="eastAsia" w:cs="Times New Roman"/>
        </w:rPr>
        <w:t>年</w:t>
      </w:r>
      <w:r>
        <w:rPr>
          <w:rFonts w:cs="Times New Roman"/>
        </w:rPr>
        <w:t>游客总数约</w:t>
      </w:r>
      <w:r>
        <w:rPr>
          <w:rFonts w:hint="eastAsia" w:cs="Times New Roman"/>
        </w:rPr>
        <w:t>210</w:t>
      </w:r>
      <w:r>
        <w:rPr>
          <w:rFonts w:cs="Times New Roman"/>
        </w:rPr>
        <w:t>万人次。度假区常住居民生活垃圾产生量按1.0 kg/（人·d）估算，游客垃圾产生量按0.5 kg/人次计，则区内常住居民现状生活垃圾产生量约为1.10t/a，区内游客年垃圾产生量约为0.27万t/a，区内每年生活垃圾产生量为</w:t>
      </w:r>
      <w:r>
        <w:rPr>
          <w:rFonts w:hint="eastAsia" w:cs="Times New Roman"/>
        </w:rPr>
        <w:t>1.21</w:t>
      </w:r>
      <w:r>
        <w:rPr>
          <w:rFonts w:cs="Times New Roman"/>
        </w:rPr>
        <w:t>万t/a。区内现状生活垃圾由当地环卫部门收集后，统一处理。</w:t>
      </w:r>
    </w:p>
    <w:p w14:paraId="795273C3">
      <w:pPr>
        <w:pStyle w:val="45"/>
        <w:rPr>
          <w:rFonts w:cs="Times New Roman"/>
        </w:rPr>
      </w:pPr>
      <w:r>
        <w:rPr>
          <w:rFonts w:hint="eastAsia" w:cs="Times New Roman"/>
        </w:rPr>
        <w:t>表3.</w:t>
      </w:r>
      <w:r>
        <w:rPr>
          <w:rFonts w:cs="Times New Roman"/>
        </w:rPr>
        <w:t>4</w:t>
      </w:r>
      <w:r>
        <w:rPr>
          <w:rFonts w:hint="eastAsia" w:cs="Times New Roman"/>
        </w:rPr>
        <w:t xml:space="preserve">-34 </w:t>
      </w:r>
      <w:r>
        <w:rPr>
          <w:rFonts w:cs="Times New Roman"/>
        </w:rPr>
        <w:t xml:space="preserve"> </w:t>
      </w:r>
      <w:r>
        <w:rPr>
          <w:rFonts w:hint="eastAsia" w:cs="Times New Roman"/>
        </w:rPr>
        <w:t>度假区生活垃圾产生量表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0"/>
        <w:gridCol w:w="1892"/>
        <w:gridCol w:w="2589"/>
        <w:gridCol w:w="1861"/>
      </w:tblGrid>
      <w:tr w14:paraId="756E6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79" w:type="pct"/>
            <w:vAlign w:val="center"/>
          </w:tcPr>
          <w:p w14:paraId="6B2FF76C">
            <w:pPr>
              <w:pStyle w:val="47"/>
              <w:rPr>
                <w:b/>
                <w:sz w:val="21"/>
                <w:szCs w:val="21"/>
              </w:rPr>
            </w:pPr>
            <w:r>
              <w:rPr>
                <w:rFonts w:hint="eastAsia"/>
                <w:b/>
                <w:sz w:val="21"/>
                <w:szCs w:val="21"/>
              </w:rPr>
              <w:t>项目</w:t>
            </w:r>
          </w:p>
        </w:tc>
        <w:tc>
          <w:tcPr>
            <w:tcW w:w="1110" w:type="pct"/>
            <w:vAlign w:val="center"/>
          </w:tcPr>
          <w:p w14:paraId="2A33E68B">
            <w:pPr>
              <w:pStyle w:val="47"/>
              <w:rPr>
                <w:b/>
                <w:sz w:val="21"/>
                <w:szCs w:val="21"/>
              </w:rPr>
            </w:pPr>
            <w:r>
              <w:rPr>
                <w:rFonts w:hint="eastAsia"/>
                <w:b/>
                <w:sz w:val="21"/>
                <w:szCs w:val="21"/>
              </w:rPr>
              <w:t>人口/人</w:t>
            </w:r>
          </w:p>
        </w:tc>
        <w:tc>
          <w:tcPr>
            <w:tcW w:w="1519" w:type="pct"/>
            <w:vAlign w:val="center"/>
          </w:tcPr>
          <w:p w14:paraId="24202329">
            <w:pPr>
              <w:pStyle w:val="47"/>
              <w:rPr>
                <w:b/>
                <w:sz w:val="21"/>
                <w:szCs w:val="21"/>
              </w:rPr>
            </w:pPr>
            <w:r>
              <w:rPr>
                <w:rFonts w:hint="eastAsia"/>
                <w:b/>
                <w:sz w:val="21"/>
                <w:szCs w:val="21"/>
              </w:rPr>
              <w:t>生活垃圾产生量指标</w:t>
            </w:r>
          </w:p>
        </w:tc>
        <w:tc>
          <w:tcPr>
            <w:tcW w:w="1092" w:type="pct"/>
            <w:vAlign w:val="center"/>
          </w:tcPr>
          <w:p w14:paraId="7FF1AC5D">
            <w:pPr>
              <w:pStyle w:val="47"/>
              <w:rPr>
                <w:b/>
                <w:sz w:val="21"/>
                <w:szCs w:val="21"/>
              </w:rPr>
            </w:pPr>
            <w:r>
              <w:rPr>
                <w:rFonts w:hint="eastAsia"/>
                <w:b/>
                <w:sz w:val="21"/>
                <w:szCs w:val="21"/>
              </w:rPr>
              <w:t>生活垃圾产生量</w:t>
            </w:r>
          </w:p>
        </w:tc>
      </w:tr>
      <w:tr w14:paraId="398DD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79" w:type="pct"/>
            <w:vAlign w:val="center"/>
          </w:tcPr>
          <w:p w14:paraId="28AA553A">
            <w:pPr>
              <w:pStyle w:val="47"/>
              <w:rPr>
                <w:sz w:val="21"/>
                <w:szCs w:val="21"/>
              </w:rPr>
            </w:pPr>
            <w:r>
              <w:rPr>
                <w:rFonts w:hint="eastAsia"/>
                <w:sz w:val="21"/>
                <w:szCs w:val="21"/>
              </w:rPr>
              <w:t>常住人口</w:t>
            </w:r>
          </w:p>
        </w:tc>
        <w:tc>
          <w:tcPr>
            <w:tcW w:w="1110" w:type="pct"/>
            <w:vAlign w:val="center"/>
          </w:tcPr>
          <w:p w14:paraId="29945EE0">
            <w:pPr>
              <w:pStyle w:val="47"/>
              <w:rPr>
                <w:sz w:val="21"/>
                <w:szCs w:val="21"/>
              </w:rPr>
            </w:pPr>
            <w:r>
              <w:rPr>
                <w:rFonts w:hint="eastAsia"/>
                <w:sz w:val="21"/>
                <w:szCs w:val="21"/>
              </w:rPr>
              <w:t>30177</w:t>
            </w:r>
          </w:p>
        </w:tc>
        <w:tc>
          <w:tcPr>
            <w:tcW w:w="1519" w:type="pct"/>
            <w:vAlign w:val="center"/>
          </w:tcPr>
          <w:p w14:paraId="3C0871D2">
            <w:pPr>
              <w:pStyle w:val="47"/>
              <w:rPr>
                <w:sz w:val="21"/>
                <w:szCs w:val="21"/>
              </w:rPr>
            </w:pPr>
            <w:r>
              <w:rPr>
                <w:rFonts w:hint="eastAsia"/>
                <w:sz w:val="21"/>
                <w:szCs w:val="21"/>
              </w:rPr>
              <w:t>1.0 kg/（人·d）</w:t>
            </w:r>
          </w:p>
        </w:tc>
        <w:tc>
          <w:tcPr>
            <w:tcW w:w="1092" w:type="pct"/>
            <w:vAlign w:val="center"/>
          </w:tcPr>
          <w:p w14:paraId="2B0352D7">
            <w:pPr>
              <w:pStyle w:val="47"/>
              <w:rPr>
                <w:sz w:val="21"/>
                <w:szCs w:val="21"/>
              </w:rPr>
            </w:pPr>
            <w:r>
              <w:rPr>
                <w:rFonts w:hint="eastAsia"/>
                <w:sz w:val="21"/>
                <w:szCs w:val="21"/>
              </w:rPr>
              <w:t>1.10万t/a</w:t>
            </w:r>
          </w:p>
        </w:tc>
      </w:tr>
      <w:tr w14:paraId="7B4C0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9" w:type="pct"/>
            <w:vAlign w:val="center"/>
          </w:tcPr>
          <w:p w14:paraId="1238C4B8">
            <w:pPr>
              <w:pStyle w:val="47"/>
              <w:rPr>
                <w:sz w:val="21"/>
                <w:szCs w:val="21"/>
              </w:rPr>
            </w:pPr>
            <w:r>
              <w:rPr>
                <w:rFonts w:hint="eastAsia"/>
                <w:sz w:val="21"/>
                <w:szCs w:val="21"/>
              </w:rPr>
              <w:t>游客人数</w:t>
            </w:r>
          </w:p>
        </w:tc>
        <w:tc>
          <w:tcPr>
            <w:tcW w:w="1110" w:type="pct"/>
            <w:vAlign w:val="center"/>
          </w:tcPr>
          <w:p w14:paraId="26DF7DFE">
            <w:pPr>
              <w:pStyle w:val="47"/>
              <w:rPr>
                <w:sz w:val="21"/>
                <w:szCs w:val="21"/>
              </w:rPr>
            </w:pPr>
            <w:r>
              <w:rPr>
                <w:rFonts w:hint="eastAsia"/>
                <w:sz w:val="21"/>
                <w:szCs w:val="21"/>
              </w:rPr>
              <w:t>210万</w:t>
            </w:r>
          </w:p>
        </w:tc>
        <w:tc>
          <w:tcPr>
            <w:tcW w:w="1519" w:type="pct"/>
            <w:vAlign w:val="center"/>
          </w:tcPr>
          <w:p w14:paraId="66F1471F">
            <w:pPr>
              <w:pStyle w:val="47"/>
              <w:rPr>
                <w:sz w:val="21"/>
                <w:szCs w:val="21"/>
              </w:rPr>
            </w:pPr>
            <w:r>
              <w:rPr>
                <w:rFonts w:hint="eastAsia"/>
                <w:sz w:val="21"/>
                <w:szCs w:val="21"/>
              </w:rPr>
              <w:t>0.5 kg/人次</w:t>
            </w:r>
          </w:p>
        </w:tc>
        <w:tc>
          <w:tcPr>
            <w:tcW w:w="1092" w:type="pct"/>
            <w:vAlign w:val="center"/>
          </w:tcPr>
          <w:p w14:paraId="514265E6">
            <w:pPr>
              <w:pStyle w:val="47"/>
              <w:rPr>
                <w:sz w:val="21"/>
                <w:szCs w:val="21"/>
              </w:rPr>
            </w:pPr>
            <w:r>
              <w:rPr>
                <w:rFonts w:hint="eastAsia"/>
                <w:sz w:val="21"/>
                <w:szCs w:val="21"/>
              </w:rPr>
              <w:t>0.11万t/a</w:t>
            </w:r>
          </w:p>
        </w:tc>
      </w:tr>
      <w:tr w14:paraId="0E15D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9" w:type="pct"/>
            <w:vAlign w:val="center"/>
          </w:tcPr>
          <w:p w14:paraId="2F0762BA">
            <w:pPr>
              <w:pStyle w:val="47"/>
              <w:rPr>
                <w:sz w:val="21"/>
                <w:szCs w:val="21"/>
              </w:rPr>
            </w:pPr>
            <w:r>
              <w:rPr>
                <w:rFonts w:hint="eastAsia"/>
                <w:sz w:val="21"/>
                <w:szCs w:val="21"/>
              </w:rPr>
              <w:t>合计</w:t>
            </w:r>
          </w:p>
        </w:tc>
        <w:tc>
          <w:tcPr>
            <w:tcW w:w="1110" w:type="pct"/>
            <w:vAlign w:val="center"/>
          </w:tcPr>
          <w:p w14:paraId="49633956">
            <w:pPr>
              <w:pStyle w:val="47"/>
              <w:rPr>
                <w:sz w:val="21"/>
                <w:szCs w:val="21"/>
              </w:rPr>
            </w:pPr>
            <w:r>
              <w:rPr>
                <w:rFonts w:hint="eastAsia"/>
                <w:sz w:val="21"/>
                <w:szCs w:val="21"/>
              </w:rPr>
              <w:t>/</w:t>
            </w:r>
          </w:p>
        </w:tc>
        <w:tc>
          <w:tcPr>
            <w:tcW w:w="1519" w:type="pct"/>
            <w:vAlign w:val="center"/>
          </w:tcPr>
          <w:p w14:paraId="7E9B61D1">
            <w:pPr>
              <w:pStyle w:val="47"/>
              <w:rPr>
                <w:sz w:val="21"/>
                <w:szCs w:val="21"/>
              </w:rPr>
            </w:pPr>
            <w:r>
              <w:rPr>
                <w:rFonts w:hint="eastAsia"/>
                <w:sz w:val="21"/>
                <w:szCs w:val="21"/>
              </w:rPr>
              <w:t>/</w:t>
            </w:r>
          </w:p>
        </w:tc>
        <w:tc>
          <w:tcPr>
            <w:tcW w:w="1092" w:type="pct"/>
            <w:vAlign w:val="center"/>
          </w:tcPr>
          <w:p w14:paraId="2A049D5E">
            <w:pPr>
              <w:pStyle w:val="47"/>
              <w:rPr>
                <w:sz w:val="21"/>
                <w:szCs w:val="21"/>
              </w:rPr>
            </w:pPr>
            <w:r>
              <w:rPr>
                <w:rFonts w:hint="eastAsia"/>
                <w:sz w:val="21"/>
                <w:szCs w:val="21"/>
              </w:rPr>
              <w:t>1.21万t/a</w:t>
            </w:r>
          </w:p>
        </w:tc>
      </w:tr>
    </w:tbl>
    <w:p w14:paraId="77F8C1E1">
      <w:pPr>
        <w:ind w:firstLine="0" w:firstLineChars="0"/>
        <w:outlineLvl w:val="3"/>
      </w:pPr>
      <w:r>
        <w:rPr>
          <w:rFonts w:hint="eastAsia"/>
        </w:rPr>
        <w:t>3.4.5.4污染物排放量汇总</w:t>
      </w:r>
    </w:p>
    <w:p w14:paraId="1D32BFAA">
      <w:pPr>
        <w:spacing w:line="500" w:lineRule="exact"/>
        <w:ind w:firstLine="480"/>
        <w:rPr>
          <w:rFonts w:cs="Times New Roman"/>
          <w:szCs w:val="24"/>
        </w:rPr>
      </w:pPr>
      <w:r>
        <w:rPr>
          <w:rFonts w:hint="eastAsia" w:cs="Times New Roman"/>
          <w:szCs w:val="24"/>
        </w:rPr>
        <w:t>度假区现状污染物排放情况汇总见表3.4-35</w:t>
      </w:r>
      <w:r>
        <w:rPr>
          <w:rFonts w:cs="Times New Roman"/>
          <w:szCs w:val="24"/>
        </w:rPr>
        <w:t>。</w:t>
      </w:r>
    </w:p>
    <w:p w14:paraId="3EEF9807">
      <w:pPr>
        <w:pStyle w:val="45"/>
        <w:rPr>
          <w:rFonts w:cs="Times New Roman"/>
        </w:rPr>
      </w:pPr>
      <w:r>
        <w:rPr>
          <w:rFonts w:cs="Times New Roman"/>
        </w:rPr>
        <w:t>表</w:t>
      </w:r>
      <w:r>
        <w:rPr>
          <w:rFonts w:hint="eastAsia" w:cs="Times New Roman"/>
        </w:rPr>
        <w:t>3</w:t>
      </w:r>
      <w:r>
        <w:rPr>
          <w:rFonts w:cs="Times New Roman"/>
        </w:rPr>
        <w:t>.</w:t>
      </w:r>
      <w:r>
        <w:rPr>
          <w:rFonts w:hint="eastAsia" w:cs="Times New Roman"/>
        </w:rPr>
        <w:t>4</w:t>
      </w:r>
      <w:r>
        <w:rPr>
          <w:rFonts w:cs="Times New Roman"/>
        </w:rPr>
        <w:t>-</w:t>
      </w:r>
      <w:r>
        <w:rPr>
          <w:rFonts w:hint="eastAsia" w:cs="Times New Roman"/>
        </w:rPr>
        <w:t>35</w:t>
      </w:r>
      <w:r>
        <w:rPr>
          <w:rFonts w:cs="Times New Roman"/>
        </w:rPr>
        <w:t xml:space="preserve"> </w:t>
      </w:r>
      <w:r>
        <w:rPr>
          <w:rFonts w:hint="eastAsia" w:cs="Times New Roman"/>
        </w:rPr>
        <w:t xml:space="preserve"> </w:t>
      </w:r>
      <w:r>
        <w:rPr>
          <w:rFonts w:cs="Times New Roman"/>
        </w:rPr>
        <w:t>度假区现状污染物排放情况汇总表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42"/>
        <w:gridCol w:w="3042"/>
        <w:gridCol w:w="2438"/>
      </w:tblGrid>
      <w:tr w14:paraId="5BC8B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tblHeader/>
        </w:trPr>
        <w:tc>
          <w:tcPr>
            <w:tcW w:w="1784" w:type="pct"/>
            <w:vAlign w:val="center"/>
          </w:tcPr>
          <w:p w14:paraId="08A81206">
            <w:pPr>
              <w:snapToGrid w:val="0"/>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污染种类</w:t>
            </w:r>
          </w:p>
        </w:tc>
        <w:tc>
          <w:tcPr>
            <w:tcW w:w="1784" w:type="pct"/>
            <w:vAlign w:val="center"/>
          </w:tcPr>
          <w:p w14:paraId="32C81C9D">
            <w:pPr>
              <w:snapToGrid w:val="0"/>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污染物</w:t>
            </w:r>
          </w:p>
        </w:tc>
        <w:tc>
          <w:tcPr>
            <w:tcW w:w="1430" w:type="pct"/>
            <w:vAlign w:val="center"/>
          </w:tcPr>
          <w:p w14:paraId="41FE81DC">
            <w:pPr>
              <w:snapToGrid w:val="0"/>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排放量（t/a）</w:t>
            </w:r>
          </w:p>
        </w:tc>
      </w:tr>
      <w:tr w14:paraId="73007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restart"/>
            <w:vAlign w:val="center"/>
          </w:tcPr>
          <w:p w14:paraId="3D63BAD2">
            <w:pPr>
              <w:snapToGrid w:val="0"/>
              <w:spacing w:line="240" w:lineRule="auto"/>
              <w:ind w:firstLine="0" w:firstLineChars="0"/>
              <w:jc w:val="center"/>
              <w:rPr>
                <w:rFonts w:cs="Times New Roman"/>
                <w:sz w:val="21"/>
                <w:szCs w:val="21"/>
                <w14:ligatures w14:val="none"/>
              </w:rPr>
            </w:pPr>
            <w:r>
              <w:rPr>
                <w:rFonts w:hint="eastAsia"/>
                <w:sz w:val="21"/>
                <w:szCs w:val="21"/>
                <w14:ligatures w14:val="none"/>
              </w:rPr>
              <w:t>废气污染物</w:t>
            </w:r>
          </w:p>
        </w:tc>
        <w:tc>
          <w:tcPr>
            <w:tcW w:w="3042" w:type="dxa"/>
            <w:vAlign w:val="center"/>
          </w:tcPr>
          <w:p w14:paraId="3602EE2B">
            <w:pPr>
              <w:spacing w:line="240" w:lineRule="auto"/>
              <w:ind w:firstLine="0" w:firstLineChars="0"/>
              <w:jc w:val="center"/>
              <w:rPr>
                <w:rFonts w:cs="Times New Roman"/>
                <w:sz w:val="21"/>
                <w:szCs w:val="21"/>
                <w14:ligatures w14:val="none"/>
              </w:rPr>
            </w:pPr>
            <w:r>
              <w:rPr>
                <w:rFonts w:hint="eastAsia" w:cs="Times New Roman"/>
                <w:kern w:val="0"/>
                <w:sz w:val="21"/>
                <w:szCs w:val="21"/>
              </w:rPr>
              <w:t>CO</w:t>
            </w:r>
          </w:p>
        </w:tc>
        <w:tc>
          <w:tcPr>
            <w:tcW w:w="2438" w:type="dxa"/>
            <w:vAlign w:val="center"/>
          </w:tcPr>
          <w:p w14:paraId="2977C655">
            <w:pPr>
              <w:spacing w:line="240" w:lineRule="auto"/>
              <w:ind w:firstLine="0" w:firstLineChars="0"/>
              <w:jc w:val="center"/>
              <w:rPr>
                <w:rFonts w:cs="Times New Roman"/>
                <w:sz w:val="21"/>
                <w:szCs w:val="21"/>
                <w14:ligatures w14:val="none"/>
              </w:rPr>
            </w:pPr>
            <w:r>
              <w:rPr>
                <w:rFonts w:hint="eastAsia" w:cs="Times New Roman"/>
                <w:kern w:val="0"/>
                <w:sz w:val="21"/>
                <w:szCs w:val="21"/>
              </w:rPr>
              <w:t>17.68</w:t>
            </w:r>
          </w:p>
        </w:tc>
      </w:tr>
      <w:tr w14:paraId="66076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continue"/>
            <w:vAlign w:val="center"/>
          </w:tcPr>
          <w:p w14:paraId="739A736A">
            <w:pPr>
              <w:snapToGrid w:val="0"/>
              <w:spacing w:line="240" w:lineRule="auto"/>
              <w:ind w:firstLine="0" w:firstLineChars="0"/>
              <w:jc w:val="center"/>
              <w:rPr>
                <w:rFonts w:cs="Times New Roman"/>
                <w:sz w:val="21"/>
                <w:szCs w:val="21"/>
                <w14:ligatures w14:val="none"/>
              </w:rPr>
            </w:pPr>
          </w:p>
        </w:tc>
        <w:tc>
          <w:tcPr>
            <w:tcW w:w="3042" w:type="dxa"/>
            <w:vAlign w:val="center"/>
          </w:tcPr>
          <w:p w14:paraId="074A903D">
            <w:pPr>
              <w:spacing w:line="240" w:lineRule="auto"/>
              <w:ind w:firstLine="0" w:firstLineChars="0"/>
              <w:jc w:val="center"/>
              <w:rPr>
                <w:rFonts w:cs="Times New Roman"/>
                <w:sz w:val="21"/>
                <w:szCs w:val="21"/>
                <w14:ligatures w14:val="none"/>
              </w:rPr>
            </w:pPr>
            <w:r>
              <w:rPr>
                <w:rFonts w:hint="eastAsia" w:cs="Times New Roman"/>
                <w:kern w:val="0"/>
                <w:sz w:val="21"/>
                <w:szCs w:val="21"/>
              </w:rPr>
              <w:t>HC</w:t>
            </w:r>
          </w:p>
        </w:tc>
        <w:tc>
          <w:tcPr>
            <w:tcW w:w="2438" w:type="dxa"/>
            <w:vAlign w:val="center"/>
          </w:tcPr>
          <w:p w14:paraId="528C28D5">
            <w:pPr>
              <w:spacing w:line="240" w:lineRule="auto"/>
              <w:ind w:firstLine="0" w:firstLineChars="0"/>
              <w:jc w:val="center"/>
              <w:rPr>
                <w:rFonts w:cs="Times New Roman"/>
                <w:sz w:val="21"/>
                <w:szCs w:val="21"/>
                <w14:ligatures w14:val="none"/>
              </w:rPr>
            </w:pPr>
            <w:r>
              <w:rPr>
                <w:rFonts w:hint="eastAsia" w:cs="Times New Roman"/>
                <w:kern w:val="0"/>
                <w:sz w:val="21"/>
                <w:szCs w:val="21"/>
              </w:rPr>
              <w:t>2.69</w:t>
            </w:r>
          </w:p>
        </w:tc>
      </w:tr>
      <w:tr w14:paraId="10668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continue"/>
            <w:vAlign w:val="center"/>
          </w:tcPr>
          <w:p w14:paraId="4526A11B">
            <w:pPr>
              <w:snapToGrid w:val="0"/>
              <w:spacing w:line="240" w:lineRule="auto"/>
              <w:ind w:firstLine="0" w:firstLineChars="0"/>
              <w:jc w:val="center"/>
              <w:rPr>
                <w:rFonts w:cs="Times New Roman"/>
                <w:sz w:val="21"/>
                <w:szCs w:val="21"/>
                <w14:ligatures w14:val="none"/>
              </w:rPr>
            </w:pPr>
          </w:p>
        </w:tc>
        <w:tc>
          <w:tcPr>
            <w:tcW w:w="3042" w:type="dxa"/>
            <w:vAlign w:val="center"/>
          </w:tcPr>
          <w:p w14:paraId="75FF5D06">
            <w:pPr>
              <w:spacing w:line="240" w:lineRule="auto"/>
              <w:ind w:firstLine="0" w:firstLineChars="0"/>
              <w:jc w:val="center"/>
              <w:rPr>
                <w:rFonts w:cs="Times New Roman"/>
                <w:sz w:val="21"/>
                <w:szCs w:val="21"/>
                <w14:ligatures w14:val="none"/>
              </w:rPr>
            </w:pPr>
            <w:r>
              <w:rPr>
                <w:rFonts w:hint="eastAsia" w:cs="Times New Roman"/>
                <w:bCs/>
                <w:kern w:val="0"/>
                <w:sz w:val="21"/>
                <w:szCs w:val="21"/>
              </w:rPr>
              <w:t>SO</w:t>
            </w:r>
            <w:r>
              <w:rPr>
                <w:rFonts w:hint="eastAsia" w:cs="Times New Roman"/>
                <w:bCs/>
                <w:kern w:val="0"/>
                <w:sz w:val="21"/>
                <w:szCs w:val="21"/>
                <w:vertAlign w:val="subscript"/>
              </w:rPr>
              <w:t>2</w:t>
            </w:r>
          </w:p>
        </w:tc>
        <w:tc>
          <w:tcPr>
            <w:tcW w:w="2438" w:type="dxa"/>
            <w:vAlign w:val="center"/>
          </w:tcPr>
          <w:p w14:paraId="60A0B5AD">
            <w:pPr>
              <w:spacing w:line="240" w:lineRule="auto"/>
              <w:ind w:firstLine="0" w:firstLineChars="0"/>
              <w:jc w:val="center"/>
              <w:rPr>
                <w:rFonts w:cs="Times New Roman"/>
                <w:sz w:val="21"/>
                <w:szCs w:val="21"/>
                <w14:ligatures w14:val="none"/>
              </w:rPr>
            </w:pPr>
            <w:r>
              <w:rPr>
                <w:rFonts w:hint="eastAsia" w:cs="Times New Roman"/>
                <w:kern w:val="0"/>
                <w:sz w:val="21"/>
                <w:szCs w:val="21"/>
              </w:rPr>
              <w:t>25.8421</w:t>
            </w:r>
          </w:p>
        </w:tc>
      </w:tr>
      <w:tr w14:paraId="31B51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continue"/>
            <w:vAlign w:val="center"/>
          </w:tcPr>
          <w:p w14:paraId="48B53981">
            <w:pPr>
              <w:snapToGrid w:val="0"/>
              <w:spacing w:line="240" w:lineRule="auto"/>
              <w:ind w:firstLine="0" w:firstLineChars="0"/>
              <w:jc w:val="center"/>
              <w:rPr>
                <w:rFonts w:cs="Times New Roman"/>
                <w:sz w:val="21"/>
                <w:szCs w:val="21"/>
                <w14:ligatures w14:val="none"/>
              </w:rPr>
            </w:pPr>
          </w:p>
        </w:tc>
        <w:tc>
          <w:tcPr>
            <w:tcW w:w="3042" w:type="dxa"/>
            <w:vAlign w:val="center"/>
          </w:tcPr>
          <w:p w14:paraId="6B6BF36F">
            <w:pPr>
              <w:spacing w:line="240" w:lineRule="auto"/>
              <w:ind w:firstLine="0" w:firstLineChars="0"/>
              <w:jc w:val="center"/>
              <w:rPr>
                <w:rFonts w:cs="Times New Roman"/>
                <w:sz w:val="21"/>
                <w:szCs w:val="21"/>
                <w14:ligatures w14:val="none"/>
              </w:rPr>
            </w:pPr>
            <w:r>
              <w:rPr>
                <w:rFonts w:hint="eastAsia" w:cs="Times New Roman"/>
                <w:bCs/>
                <w:kern w:val="0"/>
                <w:sz w:val="21"/>
                <w:szCs w:val="21"/>
              </w:rPr>
              <w:t>N</w:t>
            </w:r>
            <w:r>
              <w:rPr>
                <w:rFonts w:hint="eastAsia" w:cs="Times New Roman"/>
                <w:b/>
                <w:kern w:val="0"/>
                <w:sz w:val="21"/>
                <w:szCs w:val="21"/>
              </w:rPr>
              <w:t>O</w:t>
            </w:r>
            <w:r>
              <w:rPr>
                <w:rFonts w:hint="eastAsia" w:cs="Times New Roman"/>
                <w:bCs/>
                <w:kern w:val="0"/>
                <w:sz w:val="21"/>
                <w:szCs w:val="21"/>
              </w:rPr>
              <w:t>x</w:t>
            </w:r>
          </w:p>
        </w:tc>
        <w:tc>
          <w:tcPr>
            <w:tcW w:w="2438" w:type="dxa"/>
            <w:vAlign w:val="center"/>
          </w:tcPr>
          <w:p w14:paraId="2766E6E8">
            <w:pPr>
              <w:spacing w:line="240" w:lineRule="auto"/>
              <w:ind w:firstLine="0" w:firstLineChars="0"/>
              <w:jc w:val="center"/>
              <w:rPr>
                <w:rFonts w:cs="Times New Roman"/>
                <w:sz w:val="21"/>
                <w:szCs w:val="21"/>
                <w14:ligatures w14:val="none"/>
              </w:rPr>
            </w:pPr>
            <w:r>
              <w:rPr>
                <w:rFonts w:hint="eastAsia" w:cs="Times New Roman"/>
                <w:kern w:val="0"/>
                <w:sz w:val="21"/>
                <w:szCs w:val="21"/>
              </w:rPr>
              <w:t>132.53</w:t>
            </w:r>
          </w:p>
        </w:tc>
      </w:tr>
      <w:tr w14:paraId="05E82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continue"/>
            <w:vAlign w:val="center"/>
          </w:tcPr>
          <w:p w14:paraId="0B2318B3">
            <w:pPr>
              <w:snapToGrid w:val="0"/>
              <w:spacing w:line="240" w:lineRule="auto"/>
              <w:ind w:firstLine="0" w:firstLineChars="0"/>
              <w:jc w:val="center"/>
              <w:rPr>
                <w:rFonts w:cs="Times New Roman"/>
                <w:sz w:val="21"/>
                <w:szCs w:val="21"/>
                <w14:ligatures w14:val="none"/>
              </w:rPr>
            </w:pPr>
          </w:p>
        </w:tc>
        <w:tc>
          <w:tcPr>
            <w:tcW w:w="3042" w:type="dxa"/>
            <w:vAlign w:val="center"/>
          </w:tcPr>
          <w:p w14:paraId="5C774C23">
            <w:pPr>
              <w:spacing w:line="240" w:lineRule="auto"/>
              <w:ind w:firstLine="0" w:firstLineChars="0"/>
              <w:jc w:val="center"/>
              <w:rPr>
                <w:rFonts w:cs="Times New Roman"/>
                <w:sz w:val="21"/>
                <w:szCs w:val="21"/>
                <w14:ligatures w14:val="none"/>
              </w:rPr>
            </w:pPr>
            <w:r>
              <w:rPr>
                <w:rFonts w:hint="eastAsia" w:cs="Times New Roman"/>
                <w:bCs/>
                <w:kern w:val="0"/>
                <w:sz w:val="21"/>
                <w:szCs w:val="21"/>
              </w:rPr>
              <w:t>VOCs</w:t>
            </w:r>
          </w:p>
        </w:tc>
        <w:tc>
          <w:tcPr>
            <w:tcW w:w="2438" w:type="dxa"/>
            <w:vAlign w:val="center"/>
          </w:tcPr>
          <w:p w14:paraId="67B0D4FF">
            <w:pPr>
              <w:spacing w:line="240" w:lineRule="auto"/>
              <w:ind w:firstLine="0" w:firstLineChars="0"/>
              <w:jc w:val="center"/>
              <w:rPr>
                <w:rFonts w:cs="Times New Roman"/>
                <w:sz w:val="21"/>
                <w:szCs w:val="21"/>
                <w14:ligatures w14:val="none"/>
              </w:rPr>
            </w:pPr>
            <w:r>
              <w:rPr>
                <w:rFonts w:hint="eastAsia" w:cs="Times New Roman"/>
                <w:kern w:val="0"/>
                <w:sz w:val="21"/>
                <w:szCs w:val="21"/>
              </w:rPr>
              <w:t>4.85</w:t>
            </w:r>
          </w:p>
        </w:tc>
      </w:tr>
      <w:tr w14:paraId="5C068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continue"/>
            <w:vAlign w:val="center"/>
          </w:tcPr>
          <w:p w14:paraId="35EA4106">
            <w:pPr>
              <w:snapToGrid w:val="0"/>
              <w:spacing w:line="240" w:lineRule="auto"/>
              <w:ind w:firstLine="0" w:firstLineChars="0"/>
              <w:jc w:val="center"/>
              <w:rPr>
                <w:rFonts w:cs="Times New Roman"/>
                <w:sz w:val="21"/>
                <w:szCs w:val="21"/>
                <w14:ligatures w14:val="none"/>
              </w:rPr>
            </w:pPr>
          </w:p>
        </w:tc>
        <w:tc>
          <w:tcPr>
            <w:tcW w:w="3042" w:type="dxa"/>
            <w:vAlign w:val="center"/>
          </w:tcPr>
          <w:p w14:paraId="76CD5A2B">
            <w:pPr>
              <w:spacing w:line="240" w:lineRule="auto"/>
              <w:ind w:firstLine="0" w:firstLineChars="0"/>
              <w:jc w:val="center"/>
              <w:rPr>
                <w:rFonts w:cs="Times New Roman"/>
                <w:sz w:val="21"/>
                <w:szCs w:val="21"/>
                <w14:ligatures w14:val="none"/>
              </w:rPr>
            </w:pPr>
            <w:r>
              <w:rPr>
                <w:rFonts w:hint="eastAsia" w:cs="Times New Roman"/>
                <w:kern w:val="0"/>
                <w:sz w:val="21"/>
                <w:szCs w:val="21"/>
              </w:rPr>
              <w:t>颗粒物</w:t>
            </w:r>
          </w:p>
        </w:tc>
        <w:tc>
          <w:tcPr>
            <w:tcW w:w="2438" w:type="dxa"/>
            <w:vAlign w:val="center"/>
          </w:tcPr>
          <w:p w14:paraId="3F091F67">
            <w:pPr>
              <w:spacing w:line="240" w:lineRule="auto"/>
              <w:ind w:firstLine="0" w:firstLineChars="0"/>
              <w:jc w:val="center"/>
              <w:rPr>
                <w:rFonts w:cs="Times New Roman"/>
                <w:sz w:val="21"/>
                <w:szCs w:val="21"/>
                <w14:ligatures w14:val="none"/>
              </w:rPr>
            </w:pPr>
            <w:r>
              <w:rPr>
                <w:rFonts w:hint="eastAsia" w:cs="Times New Roman"/>
                <w:kern w:val="0"/>
                <w:sz w:val="21"/>
                <w:szCs w:val="21"/>
              </w:rPr>
              <w:t>22.58</w:t>
            </w:r>
          </w:p>
        </w:tc>
      </w:tr>
      <w:tr w14:paraId="2BF9B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continue"/>
            <w:vAlign w:val="center"/>
          </w:tcPr>
          <w:p w14:paraId="02A70CFF">
            <w:pPr>
              <w:snapToGrid w:val="0"/>
              <w:spacing w:line="240" w:lineRule="auto"/>
              <w:ind w:firstLine="0" w:firstLineChars="0"/>
              <w:jc w:val="center"/>
              <w:rPr>
                <w:rFonts w:cs="Times New Roman"/>
                <w:sz w:val="21"/>
                <w:szCs w:val="21"/>
                <w14:ligatures w14:val="none"/>
              </w:rPr>
            </w:pPr>
          </w:p>
        </w:tc>
        <w:tc>
          <w:tcPr>
            <w:tcW w:w="3042" w:type="dxa"/>
            <w:vAlign w:val="center"/>
          </w:tcPr>
          <w:p w14:paraId="5DAA4AC2">
            <w:pPr>
              <w:spacing w:line="240" w:lineRule="auto"/>
              <w:ind w:firstLine="0" w:firstLineChars="0"/>
              <w:jc w:val="center"/>
              <w:rPr>
                <w:rFonts w:cs="Times New Roman"/>
                <w:sz w:val="21"/>
                <w:szCs w:val="21"/>
                <w14:ligatures w14:val="none"/>
              </w:rPr>
            </w:pPr>
            <w:r>
              <w:rPr>
                <w:rFonts w:hint="eastAsia" w:cs="Times New Roman"/>
                <w:kern w:val="0"/>
                <w:sz w:val="21"/>
                <w:szCs w:val="21"/>
              </w:rPr>
              <w:t>油烟</w:t>
            </w:r>
          </w:p>
        </w:tc>
        <w:tc>
          <w:tcPr>
            <w:tcW w:w="2438" w:type="dxa"/>
            <w:vAlign w:val="center"/>
          </w:tcPr>
          <w:p w14:paraId="6902D030">
            <w:pPr>
              <w:spacing w:line="240" w:lineRule="auto"/>
              <w:ind w:firstLine="0" w:firstLineChars="0"/>
              <w:jc w:val="center"/>
              <w:rPr>
                <w:rFonts w:cs="Times New Roman"/>
                <w:sz w:val="21"/>
                <w:szCs w:val="21"/>
                <w14:ligatures w14:val="none"/>
              </w:rPr>
            </w:pPr>
            <w:r>
              <w:rPr>
                <w:rFonts w:hint="eastAsia" w:cs="Times New Roman"/>
                <w:bCs/>
                <w:kern w:val="0"/>
                <w:sz w:val="21"/>
                <w:szCs w:val="21"/>
              </w:rPr>
              <w:t>3.94</w:t>
            </w:r>
          </w:p>
        </w:tc>
      </w:tr>
      <w:tr w14:paraId="75654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restart"/>
            <w:vAlign w:val="center"/>
          </w:tcPr>
          <w:p w14:paraId="271C2709">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废水</w:t>
            </w:r>
            <w:r>
              <w:rPr>
                <w:rFonts w:hint="eastAsia"/>
                <w:sz w:val="21"/>
                <w:szCs w:val="21"/>
                <w14:ligatures w14:val="none"/>
              </w:rPr>
              <w:t>污染物</w:t>
            </w:r>
            <w:r>
              <w:rPr>
                <w:rFonts w:hint="eastAsia" w:cs="Times New Roman"/>
                <w:sz w:val="21"/>
                <w:szCs w:val="21"/>
                <w14:ligatures w14:val="none"/>
              </w:rPr>
              <w:t>*</w:t>
            </w:r>
          </w:p>
        </w:tc>
        <w:tc>
          <w:tcPr>
            <w:tcW w:w="1784" w:type="pct"/>
            <w:vAlign w:val="center"/>
          </w:tcPr>
          <w:p w14:paraId="7E125CAE">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废水量</w:t>
            </w:r>
          </w:p>
        </w:tc>
        <w:tc>
          <w:tcPr>
            <w:tcW w:w="1430" w:type="pct"/>
            <w:vAlign w:val="center"/>
          </w:tcPr>
          <w:p w14:paraId="217A8C4E">
            <w:pPr>
              <w:snapToGrid w:val="0"/>
              <w:spacing w:line="240" w:lineRule="auto"/>
              <w:ind w:firstLine="0" w:firstLineChars="0"/>
              <w:jc w:val="center"/>
              <w:rPr>
                <w:rFonts w:cs="Times New Roman"/>
                <w:sz w:val="21"/>
                <w:szCs w:val="21"/>
                <w14:ligatures w14:val="none"/>
              </w:rPr>
            </w:pPr>
            <w:r>
              <w:rPr>
                <w:rFonts w:hint="eastAsia"/>
                <w:sz w:val="21"/>
                <w:szCs w:val="21"/>
              </w:rPr>
              <w:t>97.32万</w:t>
            </w:r>
          </w:p>
        </w:tc>
      </w:tr>
      <w:tr w14:paraId="5D446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continue"/>
            <w:vAlign w:val="center"/>
          </w:tcPr>
          <w:p w14:paraId="487BDE2A">
            <w:pPr>
              <w:snapToGrid w:val="0"/>
              <w:spacing w:line="240" w:lineRule="auto"/>
              <w:ind w:firstLine="0" w:firstLineChars="0"/>
              <w:jc w:val="center"/>
              <w:rPr>
                <w:rFonts w:cs="Times New Roman"/>
                <w:sz w:val="21"/>
                <w:szCs w:val="21"/>
                <w14:ligatures w14:val="none"/>
              </w:rPr>
            </w:pPr>
          </w:p>
        </w:tc>
        <w:tc>
          <w:tcPr>
            <w:tcW w:w="1784" w:type="pct"/>
            <w:vAlign w:val="center"/>
          </w:tcPr>
          <w:p w14:paraId="5306D596">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COD</w:t>
            </w:r>
          </w:p>
        </w:tc>
        <w:tc>
          <w:tcPr>
            <w:tcW w:w="1430" w:type="pct"/>
            <w:vAlign w:val="center"/>
          </w:tcPr>
          <w:p w14:paraId="483CBDA6">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20.72</w:t>
            </w:r>
          </w:p>
        </w:tc>
      </w:tr>
      <w:tr w14:paraId="0BD74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continue"/>
            <w:vAlign w:val="center"/>
          </w:tcPr>
          <w:p w14:paraId="2351977A">
            <w:pPr>
              <w:snapToGrid w:val="0"/>
              <w:spacing w:line="240" w:lineRule="auto"/>
              <w:ind w:firstLine="0" w:firstLineChars="0"/>
              <w:jc w:val="center"/>
              <w:rPr>
                <w:rFonts w:cs="Times New Roman"/>
                <w:sz w:val="21"/>
                <w:szCs w:val="21"/>
                <w14:ligatures w14:val="none"/>
              </w:rPr>
            </w:pPr>
          </w:p>
        </w:tc>
        <w:tc>
          <w:tcPr>
            <w:tcW w:w="1784" w:type="pct"/>
            <w:vAlign w:val="center"/>
          </w:tcPr>
          <w:p w14:paraId="0C2CF4C5">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氨氮</w:t>
            </w:r>
          </w:p>
        </w:tc>
        <w:tc>
          <w:tcPr>
            <w:tcW w:w="1430" w:type="pct"/>
            <w:vAlign w:val="center"/>
          </w:tcPr>
          <w:p w14:paraId="33B6EE0D">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0.20</w:t>
            </w:r>
          </w:p>
        </w:tc>
      </w:tr>
      <w:tr w14:paraId="4321F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continue"/>
            <w:vAlign w:val="center"/>
          </w:tcPr>
          <w:p w14:paraId="5C3E1EB1">
            <w:pPr>
              <w:snapToGrid w:val="0"/>
              <w:spacing w:line="240" w:lineRule="auto"/>
              <w:ind w:firstLine="0" w:firstLineChars="0"/>
              <w:jc w:val="center"/>
              <w:rPr>
                <w:rFonts w:cs="Times New Roman"/>
                <w:sz w:val="21"/>
                <w:szCs w:val="21"/>
                <w14:ligatures w14:val="none"/>
              </w:rPr>
            </w:pPr>
          </w:p>
        </w:tc>
        <w:tc>
          <w:tcPr>
            <w:tcW w:w="1784" w:type="pct"/>
            <w:vAlign w:val="center"/>
          </w:tcPr>
          <w:p w14:paraId="562C42D8">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总磷</w:t>
            </w:r>
          </w:p>
        </w:tc>
        <w:tc>
          <w:tcPr>
            <w:tcW w:w="1430" w:type="pct"/>
            <w:vAlign w:val="center"/>
          </w:tcPr>
          <w:p w14:paraId="7B0D2A70">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0.045</w:t>
            </w:r>
          </w:p>
        </w:tc>
      </w:tr>
      <w:tr w14:paraId="0B926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continue"/>
            <w:vAlign w:val="center"/>
          </w:tcPr>
          <w:p w14:paraId="0A64F176">
            <w:pPr>
              <w:snapToGrid w:val="0"/>
              <w:spacing w:line="240" w:lineRule="auto"/>
              <w:ind w:firstLine="0" w:firstLineChars="0"/>
              <w:jc w:val="center"/>
              <w:rPr>
                <w:rFonts w:cs="Times New Roman"/>
                <w:sz w:val="21"/>
                <w:szCs w:val="21"/>
                <w14:ligatures w14:val="none"/>
              </w:rPr>
            </w:pPr>
          </w:p>
        </w:tc>
        <w:tc>
          <w:tcPr>
            <w:tcW w:w="1784" w:type="pct"/>
            <w:vAlign w:val="center"/>
          </w:tcPr>
          <w:p w14:paraId="5D8FE9B9">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总氮</w:t>
            </w:r>
          </w:p>
        </w:tc>
        <w:tc>
          <w:tcPr>
            <w:tcW w:w="1430" w:type="pct"/>
            <w:vAlign w:val="center"/>
          </w:tcPr>
          <w:p w14:paraId="75063E56">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5.91</w:t>
            </w:r>
          </w:p>
        </w:tc>
      </w:tr>
      <w:tr w14:paraId="31953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84" w:type="pct"/>
            <w:vMerge w:val="restart"/>
            <w:vAlign w:val="center"/>
          </w:tcPr>
          <w:p w14:paraId="0B262944">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固废</w:t>
            </w:r>
            <w:r>
              <w:rPr>
                <w:rFonts w:hint="eastAsia"/>
                <w:sz w:val="21"/>
                <w:szCs w:val="21"/>
                <w14:ligatures w14:val="none"/>
              </w:rPr>
              <w:t>污染物</w:t>
            </w:r>
          </w:p>
        </w:tc>
        <w:tc>
          <w:tcPr>
            <w:tcW w:w="1784" w:type="pct"/>
            <w:vAlign w:val="center"/>
          </w:tcPr>
          <w:p w14:paraId="5209C49C">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一般工业固废</w:t>
            </w:r>
          </w:p>
        </w:tc>
        <w:tc>
          <w:tcPr>
            <w:tcW w:w="1430" w:type="pct"/>
            <w:vAlign w:val="center"/>
          </w:tcPr>
          <w:p w14:paraId="5BC86345">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520.42</w:t>
            </w:r>
          </w:p>
        </w:tc>
      </w:tr>
      <w:tr w14:paraId="7B314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continue"/>
            <w:vAlign w:val="center"/>
          </w:tcPr>
          <w:p w14:paraId="4544FD21">
            <w:pPr>
              <w:snapToGrid w:val="0"/>
              <w:spacing w:line="240" w:lineRule="auto"/>
              <w:ind w:firstLine="0" w:firstLineChars="0"/>
              <w:jc w:val="center"/>
              <w:rPr>
                <w:rFonts w:cs="Times New Roman"/>
                <w:sz w:val="21"/>
                <w:szCs w:val="21"/>
                <w14:ligatures w14:val="none"/>
              </w:rPr>
            </w:pPr>
          </w:p>
        </w:tc>
        <w:tc>
          <w:tcPr>
            <w:tcW w:w="1784" w:type="pct"/>
            <w:vAlign w:val="center"/>
          </w:tcPr>
          <w:p w14:paraId="02AFBDBF">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危险废物</w:t>
            </w:r>
          </w:p>
        </w:tc>
        <w:tc>
          <w:tcPr>
            <w:tcW w:w="1430" w:type="pct"/>
            <w:vAlign w:val="center"/>
          </w:tcPr>
          <w:p w14:paraId="2B0F0B4D">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0.5</w:t>
            </w:r>
          </w:p>
        </w:tc>
      </w:tr>
      <w:tr w14:paraId="1BC24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pct"/>
            <w:vMerge w:val="continue"/>
            <w:vAlign w:val="center"/>
          </w:tcPr>
          <w:p w14:paraId="2C16C2E0">
            <w:pPr>
              <w:snapToGrid w:val="0"/>
              <w:spacing w:line="240" w:lineRule="auto"/>
              <w:ind w:firstLine="0" w:firstLineChars="0"/>
              <w:jc w:val="center"/>
              <w:rPr>
                <w:rFonts w:cs="Times New Roman"/>
                <w:sz w:val="21"/>
                <w:szCs w:val="21"/>
                <w14:ligatures w14:val="none"/>
              </w:rPr>
            </w:pPr>
          </w:p>
        </w:tc>
        <w:tc>
          <w:tcPr>
            <w:tcW w:w="1784" w:type="pct"/>
            <w:vAlign w:val="center"/>
          </w:tcPr>
          <w:p w14:paraId="003ED123">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生活垃圾</w:t>
            </w:r>
          </w:p>
        </w:tc>
        <w:tc>
          <w:tcPr>
            <w:tcW w:w="1430" w:type="pct"/>
            <w:vAlign w:val="center"/>
          </w:tcPr>
          <w:p w14:paraId="04E9E351">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1.21万</w:t>
            </w:r>
          </w:p>
        </w:tc>
      </w:tr>
    </w:tbl>
    <w:p w14:paraId="06EBC5B5">
      <w:pPr>
        <w:snapToGrid w:val="0"/>
        <w:spacing w:line="240" w:lineRule="auto"/>
        <w:ind w:firstLine="0" w:firstLineChars="0"/>
        <w:rPr>
          <w:rFonts w:cs="Times New Roman"/>
          <w:sz w:val="21"/>
          <w:szCs w:val="21"/>
          <w14:ligatures w14:val="none"/>
        </w:rPr>
      </w:pPr>
      <w:r>
        <w:rPr>
          <w:rFonts w:hint="eastAsia" w:cs="Times New Roman"/>
          <w:sz w:val="21"/>
          <w:szCs w:val="21"/>
          <w14:ligatures w14:val="none"/>
        </w:rPr>
        <w:t>注：废水污染物不包含农业面源水污染物。</w:t>
      </w:r>
    </w:p>
    <w:p w14:paraId="1E0C77E7">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3.4.</w:t>
      </w:r>
      <w:r>
        <w:rPr>
          <w:rFonts w:hint="eastAsia" w:eastAsia="方正楷体_GBK" w:cs="Times New Roman"/>
          <w:b/>
          <w:bCs/>
          <w:szCs w:val="28"/>
          <w14:ligatures w14:val="none"/>
        </w:rPr>
        <w:t>6能源消耗和碳排放现状</w:t>
      </w:r>
    </w:p>
    <w:p w14:paraId="5F608B28">
      <w:pPr>
        <w:ind w:firstLine="0" w:firstLineChars="0"/>
        <w:outlineLvl w:val="3"/>
        <w:rPr>
          <w:b/>
          <w:bCs/>
        </w:rPr>
      </w:pPr>
      <w:r>
        <w:rPr>
          <w:b/>
          <w:bCs/>
        </w:rPr>
        <w:t>3</w:t>
      </w:r>
      <w:r>
        <w:rPr>
          <w:rFonts w:hint="eastAsia"/>
          <w:b/>
          <w:bCs/>
        </w:rPr>
        <w:t>.</w:t>
      </w:r>
      <w:r>
        <w:rPr>
          <w:b/>
          <w:bCs/>
        </w:rPr>
        <w:t>4</w:t>
      </w:r>
      <w:r>
        <w:rPr>
          <w:rFonts w:hint="eastAsia"/>
          <w:b/>
          <w:bCs/>
        </w:rPr>
        <w:t>.6.1能源消耗现状</w:t>
      </w:r>
    </w:p>
    <w:p w14:paraId="15C76280">
      <w:pPr>
        <w:ind w:firstLine="480"/>
      </w:pPr>
      <w:r>
        <w:rPr>
          <w:rFonts w:hint="eastAsia"/>
        </w:rPr>
        <w:t>（1）企业能源消耗情况</w:t>
      </w:r>
    </w:p>
    <w:p w14:paraId="1D1A85F2">
      <w:pPr>
        <w:ind w:firstLine="480"/>
      </w:pPr>
      <w:r>
        <w:rPr>
          <w:rFonts w:hint="eastAsia"/>
        </w:rPr>
        <w:t>度假区内</w:t>
      </w:r>
      <w:r>
        <w:t>现状</w:t>
      </w:r>
      <w:r>
        <w:rPr>
          <w:rFonts w:hint="eastAsia"/>
        </w:rPr>
        <w:t>企业</w:t>
      </w:r>
      <w:r>
        <w:t>能源主要</w:t>
      </w:r>
      <w:r>
        <w:rPr>
          <w:rFonts w:hint="eastAsia"/>
        </w:rPr>
        <w:t>包括</w:t>
      </w:r>
      <w:r>
        <w:t>电力、天然气、生物质</w:t>
      </w:r>
      <w:r>
        <w:rPr>
          <w:rFonts w:hint="eastAsia"/>
        </w:rPr>
        <w:t>燃料、燃煤</w:t>
      </w:r>
      <w:r>
        <w:t>。2023年，</w:t>
      </w:r>
      <w:r>
        <w:rPr>
          <w:rFonts w:hint="eastAsia"/>
        </w:rPr>
        <w:t>度假区内</w:t>
      </w:r>
      <w:r>
        <w:t>企业用于工业生产的天然气消耗量为3.9万m</w:t>
      </w:r>
      <w:r>
        <w:rPr>
          <w:vertAlign w:val="superscript"/>
        </w:rPr>
        <w:t>3</w:t>
      </w:r>
      <w:r>
        <w:t>、生物质</w:t>
      </w:r>
      <w:r>
        <w:rPr>
          <w:rFonts w:hint="eastAsia"/>
        </w:rPr>
        <w:t>燃料</w:t>
      </w:r>
      <w:r>
        <w:t>消耗量为</w:t>
      </w:r>
      <w:r>
        <w:rPr>
          <w:rFonts w:hint="eastAsia"/>
        </w:rPr>
        <w:t>1.024</w:t>
      </w:r>
      <w:r>
        <w:t>万</w:t>
      </w:r>
      <w:r>
        <w:rPr>
          <w:rFonts w:hint="eastAsia"/>
        </w:rPr>
        <w:t>t</w:t>
      </w:r>
      <w:r>
        <w:t>、</w:t>
      </w:r>
      <w:r>
        <w:rPr>
          <w:rFonts w:hint="eastAsia"/>
        </w:rPr>
        <w:t>燃煤</w:t>
      </w:r>
      <w:r>
        <w:t>消耗量为</w:t>
      </w:r>
      <w:r>
        <w:rPr>
          <w:rFonts w:hint="eastAsia"/>
        </w:rPr>
        <w:t>1.856</w:t>
      </w:r>
      <w:r>
        <w:t>万</w:t>
      </w:r>
      <w:r>
        <w:rPr>
          <w:rFonts w:hint="eastAsia"/>
        </w:rPr>
        <w:t>t</w:t>
      </w:r>
      <w:r>
        <w:t>，区内企业净调入电力消耗量为203.6万kWh。</w:t>
      </w:r>
    </w:p>
    <w:p w14:paraId="26738748">
      <w:pPr>
        <w:pStyle w:val="45"/>
        <w:rPr>
          <w:rFonts w:cs="Times New Roman"/>
        </w:rPr>
      </w:pPr>
      <w:r>
        <w:rPr>
          <w:rFonts w:cs="Times New Roman"/>
        </w:rPr>
        <w:t>表</w:t>
      </w:r>
      <w:r>
        <w:rPr>
          <w:rFonts w:hint="eastAsia" w:cs="Times New Roman"/>
        </w:rPr>
        <w:t>3</w:t>
      </w:r>
      <w:r>
        <w:rPr>
          <w:rFonts w:cs="Times New Roman"/>
        </w:rPr>
        <w:t>.</w:t>
      </w:r>
      <w:r>
        <w:rPr>
          <w:rFonts w:hint="eastAsia" w:cs="Times New Roman"/>
        </w:rPr>
        <w:t>4</w:t>
      </w:r>
      <w:r>
        <w:rPr>
          <w:rFonts w:cs="Times New Roman"/>
        </w:rPr>
        <w:t>-</w:t>
      </w:r>
      <w:r>
        <w:rPr>
          <w:rFonts w:hint="eastAsia" w:cs="Times New Roman"/>
        </w:rPr>
        <w:t>36</w:t>
      </w:r>
      <w:r>
        <w:rPr>
          <w:rFonts w:cs="Times New Roman"/>
        </w:rPr>
        <w:t xml:space="preserve"> </w:t>
      </w:r>
      <w:r>
        <w:rPr>
          <w:rFonts w:hint="eastAsia" w:cs="Times New Roman"/>
        </w:rPr>
        <w:t xml:space="preserve"> 企业能源消耗</w:t>
      </w:r>
      <w:r>
        <w:rPr>
          <w:rFonts w:cs="Times New Roman"/>
        </w:rPr>
        <w:t>情况表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0"/>
        <w:gridCol w:w="1808"/>
        <w:gridCol w:w="1533"/>
        <w:gridCol w:w="1467"/>
        <w:gridCol w:w="1300"/>
        <w:gridCol w:w="1708"/>
      </w:tblGrid>
      <w:tr w14:paraId="06B7E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Merge w:val="restart"/>
            <w:vAlign w:val="center"/>
          </w:tcPr>
          <w:p w14:paraId="760E9390">
            <w:pPr>
              <w:spacing w:line="240" w:lineRule="auto"/>
              <w:ind w:firstLine="0" w:firstLineChars="0"/>
              <w:jc w:val="center"/>
              <w:rPr>
                <w:b/>
                <w:bCs/>
                <w:sz w:val="21"/>
                <w:szCs w:val="21"/>
              </w:rPr>
            </w:pPr>
            <w:r>
              <w:rPr>
                <w:rFonts w:hint="eastAsia"/>
                <w:b/>
                <w:bCs/>
                <w:sz w:val="21"/>
                <w:szCs w:val="21"/>
              </w:rPr>
              <w:t>序号</w:t>
            </w:r>
          </w:p>
        </w:tc>
        <w:tc>
          <w:tcPr>
            <w:tcW w:w="1808" w:type="dxa"/>
            <w:vMerge w:val="restart"/>
            <w:vAlign w:val="center"/>
          </w:tcPr>
          <w:p w14:paraId="69126D38">
            <w:pPr>
              <w:spacing w:line="240" w:lineRule="auto"/>
              <w:ind w:firstLine="0" w:firstLineChars="0"/>
              <w:jc w:val="center"/>
              <w:rPr>
                <w:b/>
                <w:bCs/>
                <w:sz w:val="21"/>
                <w:szCs w:val="21"/>
              </w:rPr>
            </w:pPr>
            <w:r>
              <w:rPr>
                <w:rFonts w:hint="eastAsia"/>
                <w:b/>
                <w:bCs/>
                <w:sz w:val="21"/>
                <w:szCs w:val="21"/>
              </w:rPr>
              <w:t>企业名称</w:t>
            </w:r>
          </w:p>
        </w:tc>
        <w:tc>
          <w:tcPr>
            <w:tcW w:w="6008" w:type="dxa"/>
            <w:gridSpan w:val="4"/>
            <w:vAlign w:val="center"/>
          </w:tcPr>
          <w:p w14:paraId="26CC81B8">
            <w:pPr>
              <w:spacing w:line="240" w:lineRule="auto"/>
              <w:ind w:firstLine="0" w:firstLineChars="0"/>
              <w:jc w:val="center"/>
              <w:rPr>
                <w:b/>
                <w:bCs/>
                <w:sz w:val="21"/>
                <w:szCs w:val="21"/>
              </w:rPr>
            </w:pPr>
            <w:r>
              <w:rPr>
                <w:rFonts w:hint="eastAsia"/>
                <w:b/>
                <w:bCs/>
                <w:sz w:val="21"/>
                <w:szCs w:val="21"/>
              </w:rPr>
              <w:t>能源消耗情况</w:t>
            </w:r>
          </w:p>
        </w:tc>
      </w:tr>
      <w:tr w14:paraId="7D258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Merge w:val="continue"/>
            <w:vAlign w:val="center"/>
          </w:tcPr>
          <w:p w14:paraId="26854A8F">
            <w:pPr>
              <w:spacing w:line="240" w:lineRule="auto"/>
              <w:ind w:firstLine="0" w:firstLineChars="0"/>
              <w:jc w:val="center"/>
              <w:rPr>
                <w:b/>
                <w:bCs/>
                <w:sz w:val="21"/>
                <w:szCs w:val="21"/>
              </w:rPr>
            </w:pPr>
          </w:p>
        </w:tc>
        <w:tc>
          <w:tcPr>
            <w:tcW w:w="1808" w:type="dxa"/>
            <w:vMerge w:val="continue"/>
            <w:vAlign w:val="center"/>
          </w:tcPr>
          <w:p w14:paraId="11E4D0DB">
            <w:pPr>
              <w:spacing w:line="240" w:lineRule="auto"/>
              <w:ind w:firstLine="0" w:firstLineChars="0"/>
              <w:jc w:val="center"/>
              <w:rPr>
                <w:b/>
                <w:bCs/>
                <w:sz w:val="21"/>
                <w:szCs w:val="21"/>
              </w:rPr>
            </w:pPr>
          </w:p>
        </w:tc>
        <w:tc>
          <w:tcPr>
            <w:tcW w:w="1533" w:type="dxa"/>
            <w:vAlign w:val="center"/>
          </w:tcPr>
          <w:p w14:paraId="2BAC34C8">
            <w:pPr>
              <w:spacing w:line="240" w:lineRule="auto"/>
              <w:ind w:firstLine="0" w:firstLineChars="0"/>
              <w:jc w:val="center"/>
              <w:rPr>
                <w:b/>
                <w:bCs/>
                <w:sz w:val="21"/>
                <w:szCs w:val="21"/>
              </w:rPr>
            </w:pPr>
            <w:r>
              <w:rPr>
                <w:rFonts w:hint="eastAsia"/>
                <w:b/>
                <w:bCs/>
                <w:sz w:val="21"/>
                <w:szCs w:val="21"/>
              </w:rPr>
              <w:t>天然气</w:t>
            </w:r>
          </w:p>
          <w:p w14:paraId="739F7B62">
            <w:pPr>
              <w:spacing w:line="240" w:lineRule="auto"/>
              <w:ind w:firstLine="0" w:firstLineChars="0"/>
              <w:jc w:val="center"/>
              <w:rPr>
                <w:b/>
                <w:bCs/>
                <w:sz w:val="21"/>
                <w:szCs w:val="21"/>
              </w:rPr>
            </w:pPr>
            <w:r>
              <w:rPr>
                <w:rFonts w:hint="eastAsia"/>
                <w:b/>
                <w:bCs/>
                <w:sz w:val="21"/>
                <w:szCs w:val="21"/>
              </w:rPr>
              <w:t>（万m</w:t>
            </w:r>
            <w:r>
              <w:rPr>
                <w:rFonts w:hint="eastAsia"/>
                <w:b/>
                <w:bCs/>
                <w:sz w:val="21"/>
                <w:szCs w:val="21"/>
                <w:vertAlign w:val="superscript"/>
              </w:rPr>
              <w:t>3</w:t>
            </w:r>
            <w:r>
              <w:rPr>
                <w:rFonts w:hint="eastAsia"/>
                <w:b/>
                <w:bCs/>
                <w:sz w:val="21"/>
                <w:szCs w:val="21"/>
              </w:rPr>
              <w:t>/a）</w:t>
            </w:r>
          </w:p>
        </w:tc>
        <w:tc>
          <w:tcPr>
            <w:tcW w:w="1467" w:type="dxa"/>
            <w:vAlign w:val="center"/>
          </w:tcPr>
          <w:p w14:paraId="3CCB97E4">
            <w:pPr>
              <w:spacing w:line="240" w:lineRule="auto"/>
              <w:ind w:firstLine="0" w:firstLineChars="0"/>
              <w:jc w:val="center"/>
              <w:rPr>
                <w:b/>
                <w:bCs/>
                <w:sz w:val="21"/>
                <w:szCs w:val="21"/>
              </w:rPr>
            </w:pPr>
            <w:r>
              <w:rPr>
                <w:rFonts w:hint="eastAsia"/>
                <w:b/>
                <w:bCs/>
                <w:sz w:val="21"/>
                <w:szCs w:val="21"/>
              </w:rPr>
              <w:t>生物质燃料</w:t>
            </w:r>
          </w:p>
          <w:p w14:paraId="1FCF0386">
            <w:pPr>
              <w:spacing w:line="240" w:lineRule="auto"/>
              <w:ind w:firstLine="0" w:firstLineChars="0"/>
              <w:jc w:val="center"/>
              <w:rPr>
                <w:b/>
                <w:bCs/>
                <w:sz w:val="21"/>
                <w:szCs w:val="21"/>
              </w:rPr>
            </w:pPr>
            <w:r>
              <w:rPr>
                <w:rFonts w:hint="eastAsia"/>
                <w:b/>
                <w:bCs/>
                <w:sz w:val="21"/>
                <w:szCs w:val="21"/>
              </w:rPr>
              <w:t>（万t/a）</w:t>
            </w:r>
          </w:p>
        </w:tc>
        <w:tc>
          <w:tcPr>
            <w:tcW w:w="1300" w:type="dxa"/>
            <w:vAlign w:val="center"/>
          </w:tcPr>
          <w:p w14:paraId="4E9B11B9">
            <w:pPr>
              <w:spacing w:line="240" w:lineRule="auto"/>
              <w:ind w:firstLine="0" w:firstLineChars="0"/>
              <w:jc w:val="center"/>
              <w:rPr>
                <w:b/>
                <w:bCs/>
                <w:sz w:val="21"/>
                <w:szCs w:val="21"/>
              </w:rPr>
            </w:pPr>
            <w:r>
              <w:rPr>
                <w:rFonts w:hint="eastAsia"/>
                <w:b/>
                <w:bCs/>
                <w:sz w:val="21"/>
                <w:szCs w:val="21"/>
              </w:rPr>
              <w:t>燃料煤</w:t>
            </w:r>
          </w:p>
          <w:p w14:paraId="4602339F">
            <w:pPr>
              <w:spacing w:line="240" w:lineRule="auto"/>
              <w:ind w:firstLine="0" w:firstLineChars="0"/>
              <w:jc w:val="center"/>
              <w:rPr>
                <w:b/>
                <w:bCs/>
                <w:sz w:val="21"/>
                <w:szCs w:val="21"/>
              </w:rPr>
            </w:pPr>
            <w:r>
              <w:rPr>
                <w:rFonts w:hint="eastAsia"/>
                <w:b/>
                <w:bCs/>
                <w:sz w:val="21"/>
                <w:szCs w:val="21"/>
              </w:rPr>
              <w:t>（万t/a）</w:t>
            </w:r>
          </w:p>
        </w:tc>
        <w:tc>
          <w:tcPr>
            <w:tcW w:w="1708" w:type="dxa"/>
            <w:vAlign w:val="center"/>
          </w:tcPr>
          <w:p w14:paraId="5BEB7B8A">
            <w:pPr>
              <w:spacing w:line="240" w:lineRule="auto"/>
              <w:ind w:firstLine="0" w:firstLineChars="0"/>
              <w:jc w:val="center"/>
              <w:rPr>
                <w:b/>
                <w:bCs/>
                <w:sz w:val="21"/>
                <w:szCs w:val="21"/>
              </w:rPr>
            </w:pPr>
            <w:r>
              <w:rPr>
                <w:rFonts w:hint="eastAsia"/>
                <w:b/>
                <w:bCs/>
                <w:sz w:val="21"/>
                <w:szCs w:val="21"/>
              </w:rPr>
              <w:t>电力</w:t>
            </w:r>
          </w:p>
          <w:p w14:paraId="3F85E3EF">
            <w:pPr>
              <w:spacing w:line="240" w:lineRule="auto"/>
              <w:ind w:firstLine="0" w:firstLineChars="0"/>
              <w:jc w:val="center"/>
              <w:rPr>
                <w:b/>
                <w:bCs/>
                <w:sz w:val="21"/>
                <w:szCs w:val="21"/>
              </w:rPr>
            </w:pPr>
            <w:r>
              <w:rPr>
                <w:rFonts w:hint="eastAsia"/>
                <w:b/>
                <w:bCs/>
                <w:sz w:val="21"/>
                <w:szCs w:val="21"/>
              </w:rPr>
              <w:t>（</w:t>
            </w:r>
            <w:r>
              <w:rPr>
                <w:b/>
                <w:bCs/>
                <w:sz w:val="21"/>
                <w:szCs w:val="21"/>
              </w:rPr>
              <w:t>万kWh</w:t>
            </w:r>
            <w:r>
              <w:rPr>
                <w:rFonts w:hint="eastAsia"/>
                <w:b/>
                <w:bCs/>
                <w:sz w:val="21"/>
                <w:szCs w:val="21"/>
              </w:rPr>
              <w:t>/a）</w:t>
            </w:r>
          </w:p>
        </w:tc>
      </w:tr>
      <w:tr w14:paraId="2312B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Align w:val="center"/>
          </w:tcPr>
          <w:p w14:paraId="1BDC23C4">
            <w:pPr>
              <w:spacing w:line="240" w:lineRule="auto"/>
              <w:ind w:firstLine="0" w:firstLineChars="0"/>
              <w:jc w:val="center"/>
              <w:rPr>
                <w:sz w:val="21"/>
                <w:szCs w:val="21"/>
              </w:rPr>
            </w:pPr>
            <w:r>
              <w:rPr>
                <w:rFonts w:hint="eastAsia"/>
                <w:sz w:val="21"/>
                <w:szCs w:val="21"/>
              </w:rPr>
              <w:t>1</w:t>
            </w:r>
          </w:p>
        </w:tc>
        <w:tc>
          <w:tcPr>
            <w:tcW w:w="1808" w:type="dxa"/>
            <w:vAlign w:val="center"/>
          </w:tcPr>
          <w:p w14:paraId="690541D6">
            <w:pPr>
              <w:widowControl/>
              <w:spacing w:line="240" w:lineRule="auto"/>
              <w:ind w:firstLine="0" w:firstLineChars="0"/>
              <w:jc w:val="center"/>
              <w:rPr>
                <w:sz w:val="21"/>
                <w:szCs w:val="21"/>
              </w:rPr>
            </w:pPr>
            <w:r>
              <w:rPr>
                <w:rFonts w:hint="eastAsia" w:cs="Times New Roman"/>
                <w:color w:val="000000"/>
                <w:kern w:val="0"/>
                <w:sz w:val="21"/>
                <w:szCs w:val="21"/>
                <w14:ligatures w14:val="none"/>
              </w:rPr>
              <w:t>金坛市金星包装有限公司</w:t>
            </w:r>
          </w:p>
        </w:tc>
        <w:tc>
          <w:tcPr>
            <w:tcW w:w="1533" w:type="dxa"/>
            <w:vAlign w:val="center"/>
          </w:tcPr>
          <w:p w14:paraId="5E5015EC">
            <w:pPr>
              <w:spacing w:line="240" w:lineRule="auto"/>
              <w:ind w:firstLine="0" w:firstLineChars="0"/>
              <w:jc w:val="center"/>
              <w:rPr>
                <w:sz w:val="21"/>
                <w:szCs w:val="21"/>
              </w:rPr>
            </w:pPr>
            <w:r>
              <w:rPr>
                <w:rFonts w:hint="eastAsia"/>
                <w:sz w:val="21"/>
                <w:szCs w:val="21"/>
              </w:rPr>
              <w:t>0.1</w:t>
            </w:r>
          </w:p>
        </w:tc>
        <w:tc>
          <w:tcPr>
            <w:tcW w:w="1467" w:type="dxa"/>
            <w:vAlign w:val="center"/>
          </w:tcPr>
          <w:p w14:paraId="7C14AE79">
            <w:pPr>
              <w:spacing w:line="240" w:lineRule="auto"/>
              <w:ind w:firstLine="0" w:firstLineChars="0"/>
              <w:jc w:val="center"/>
              <w:rPr>
                <w:sz w:val="21"/>
                <w:szCs w:val="21"/>
              </w:rPr>
            </w:pPr>
            <w:r>
              <w:rPr>
                <w:rFonts w:hint="eastAsia"/>
                <w:sz w:val="21"/>
                <w:szCs w:val="21"/>
              </w:rPr>
              <w:t>/</w:t>
            </w:r>
          </w:p>
        </w:tc>
        <w:tc>
          <w:tcPr>
            <w:tcW w:w="1300" w:type="dxa"/>
            <w:vAlign w:val="center"/>
          </w:tcPr>
          <w:p w14:paraId="7BA5D2F7">
            <w:pPr>
              <w:spacing w:line="240" w:lineRule="auto"/>
              <w:ind w:firstLine="0" w:firstLineChars="0"/>
              <w:jc w:val="center"/>
              <w:rPr>
                <w:sz w:val="21"/>
                <w:szCs w:val="21"/>
              </w:rPr>
            </w:pPr>
            <w:r>
              <w:rPr>
                <w:rFonts w:hint="eastAsia"/>
                <w:sz w:val="21"/>
                <w:szCs w:val="21"/>
              </w:rPr>
              <w:t>/</w:t>
            </w:r>
          </w:p>
        </w:tc>
        <w:tc>
          <w:tcPr>
            <w:tcW w:w="1708" w:type="dxa"/>
            <w:vAlign w:val="center"/>
          </w:tcPr>
          <w:p w14:paraId="51E6BBC7">
            <w:pPr>
              <w:spacing w:line="240" w:lineRule="auto"/>
              <w:ind w:firstLine="0" w:firstLineChars="0"/>
              <w:jc w:val="center"/>
              <w:rPr>
                <w:sz w:val="21"/>
                <w:szCs w:val="21"/>
              </w:rPr>
            </w:pPr>
            <w:r>
              <w:rPr>
                <w:sz w:val="21"/>
                <w:szCs w:val="21"/>
              </w:rPr>
              <w:t>1.3</w:t>
            </w:r>
          </w:p>
        </w:tc>
      </w:tr>
      <w:tr w14:paraId="07767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Align w:val="center"/>
          </w:tcPr>
          <w:p w14:paraId="14BBA1EE">
            <w:pPr>
              <w:spacing w:line="240" w:lineRule="auto"/>
              <w:ind w:firstLine="0" w:firstLineChars="0"/>
              <w:jc w:val="center"/>
              <w:rPr>
                <w:sz w:val="21"/>
                <w:szCs w:val="21"/>
              </w:rPr>
            </w:pPr>
            <w:r>
              <w:rPr>
                <w:rFonts w:hint="eastAsia"/>
                <w:sz w:val="21"/>
                <w:szCs w:val="21"/>
              </w:rPr>
              <w:t>2</w:t>
            </w:r>
          </w:p>
        </w:tc>
        <w:tc>
          <w:tcPr>
            <w:tcW w:w="1808" w:type="dxa"/>
            <w:vAlign w:val="center"/>
          </w:tcPr>
          <w:p w14:paraId="1258E735">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常州市金坛麦宝食品有限公司</w:t>
            </w:r>
          </w:p>
        </w:tc>
        <w:tc>
          <w:tcPr>
            <w:tcW w:w="1533" w:type="dxa"/>
            <w:vAlign w:val="center"/>
          </w:tcPr>
          <w:p w14:paraId="756C2837">
            <w:pPr>
              <w:spacing w:line="240" w:lineRule="auto"/>
              <w:ind w:firstLine="0" w:firstLineChars="0"/>
              <w:jc w:val="center"/>
              <w:rPr>
                <w:sz w:val="21"/>
                <w:szCs w:val="21"/>
              </w:rPr>
            </w:pPr>
            <w:r>
              <w:rPr>
                <w:rFonts w:hint="eastAsia"/>
                <w:sz w:val="21"/>
                <w:szCs w:val="21"/>
              </w:rPr>
              <w:t>0.5</w:t>
            </w:r>
          </w:p>
        </w:tc>
        <w:tc>
          <w:tcPr>
            <w:tcW w:w="1467" w:type="dxa"/>
            <w:vAlign w:val="center"/>
          </w:tcPr>
          <w:p w14:paraId="59366F87">
            <w:pPr>
              <w:spacing w:line="240" w:lineRule="auto"/>
              <w:ind w:firstLine="0" w:firstLineChars="0"/>
              <w:jc w:val="center"/>
              <w:rPr>
                <w:sz w:val="21"/>
                <w:szCs w:val="21"/>
              </w:rPr>
            </w:pPr>
            <w:r>
              <w:rPr>
                <w:rFonts w:hint="eastAsia"/>
                <w:sz w:val="21"/>
                <w:szCs w:val="21"/>
              </w:rPr>
              <w:t>/</w:t>
            </w:r>
          </w:p>
        </w:tc>
        <w:tc>
          <w:tcPr>
            <w:tcW w:w="1300" w:type="dxa"/>
            <w:vAlign w:val="center"/>
          </w:tcPr>
          <w:p w14:paraId="539D439C">
            <w:pPr>
              <w:spacing w:line="240" w:lineRule="auto"/>
              <w:ind w:firstLine="0" w:firstLineChars="0"/>
              <w:jc w:val="center"/>
              <w:rPr>
                <w:sz w:val="21"/>
                <w:szCs w:val="21"/>
              </w:rPr>
            </w:pPr>
            <w:r>
              <w:rPr>
                <w:rFonts w:hint="eastAsia"/>
                <w:sz w:val="21"/>
                <w:szCs w:val="21"/>
              </w:rPr>
              <w:t>/</w:t>
            </w:r>
          </w:p>
        </w:tc>
        <w:tc>
          <w:tcPr>
            <w:tcW w:w="1708" w:type="dxa"/>
            <w:vAlign w:val="center"/>
          </w:tcPr>
          <w:p w14:paraId="028DFF30">
            <w:pPr>
              <w:spacing w:line="240" w:lineRule="auto"/>
              <w:ind w:firstLine="0" w:firstLineChars="0"/>
              <w:jc w:val="center"/>
              <w:rPr>
                <w:sz w:val="21"/>
                <w:szCs w:val="21"/>
              </w:rPr>
            </w:pPr>
            <w:r>
              <w:rPr>
                <w:rFonts w:hint="eastAsia"/>
                <w:sz w:val="21"/>
                <w:szCs w:val="21"/>
              </w:rPr>
              <w:t>3</w:t>
            </w:r>
            <w:r>
              <w:rPr>
                <w:sz w:val="21"/>
                <w:szCs w:val="21"/>
              </w:rPr>
              <w:t>.9</w:t>
            </w:r>
          </w:p>
        </w:tc>
      </w:tr>
      <w:tr w14:paraId="11742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Align w:val="center"/>
          </w:tcPr>
          <w:p w14:paraId="5D2CF491">
            <w:pPr>
              <w:spacing w:line="240" w:lineRule="auto"/>
              <w:ind w:firstLine="0" w:firstLineChars="0"/>
              <w:jc w:val="center"/>
              <w:rPr>
                <w:sz w:val="21"/>
                <w:szCs w:val="21"/>
              </w:rPr>
            </w:pPr>
            <w:r>
              <w:rPr>
                <w:rFonts w:hint="eastAsia"/>
                <w:sz w:val="21"/>
                <w:szCs w:val="21"/>
              </w:rPr>
              <w:t>3</w:t>
            </w:r>
          </w:p>
        </w:tc>
        <w:tc>
          <w:tcPr>
            <w:tcW w:w="1808" w:type="dxa"/>
            <w:vAlign w:val="center"/>
          </w:tcPr>
          <w:p w14:paraId="3678B36E">
            <w:pPr>
              <w:widowControl/>
              <w:spacing w:line="240" w:lineRule="auto"/>
              <w:ind w:firstLine="0" w:firstLineChars="0"/>
              <w:jc w:val="center"/>
              <w:rPr>
                <w:sz w:val="21"/>
                <w:szCs w:val="21"/>
              </w:rPr>
            </w:pPr>
            <w:r>
              <w:rPr>
                <w:rFonts w:hint="eastAsia" w:cs="Times New Roman"/>
                <w:color w:val="000000"/>
                <w:kern w:val="0"/>
                <w:sz w:val="21"/>
                <w:szCs w:val="21"/>
                <w14:ligatures w14:val="none"/>
              </w:rPr>
              <w:t>金坛市金陶农配有限公司</w:t>
            </w:r>
          </w:p>
        </w:tc>
        <w:tc>
          <w:tcPr>
            <w:tcW w:w="1533" w:type="dxa"/>
            <w:vAlign w:val="center"/>
          </w:tcPr>
          <w:p w14:paraId="4F9DA0D4">
            <w:pPr>
              <w:spacing w:line="240" w:lineRule="auto"/>
              <w:ind w:firstLine="0" w:firstLineChars="0"/>
              <w:jc w:val="center"/>
              <w:rPr>
                <w:sz w:val="21"/>
                <w:szCs w:val="21"/>
              </w:rPr>
            </w:pPr>
            <w:r>
              <w:rPr>
                <w:rFonts w:hint="eastAsia"/>
                <w:sz w:val="21"/>
                <w:szCs w:val="21"/>
              </w:rPr>
              <w:t>/</w:t>
            </w:r>
          </w:p>
        </w:tc>
        <w:tc>
          <w:tcPr>
            <w:tcW w:w="1467" w:type="dxa"/>
            <w:vAlign w:val="center"/>
          </w:tcPr>
          <w:p w14:paraId="1E269E9D">
            <w:pPr>
              <w:spacing w:line="240" w:lineRule="auto"/>
              <w:ind w:firstLine="0" w:firstLineChars="0"/>
              <w:jc w:val="center"/>
              <w:rPr>
                <w:sz w:val="21"/>
                <w:szCs w:val="21"/>
              </w:rPr>
            </w:pPr>
            <w:r>
              <w:rPr>
                <w:rFonts w:hint="eastAsia"/>
                <w:sz w:val="21"/>
                <w:szCs w:val="21"/>
              </w:rPr>
              <w:t>1</w:t>
            </w:r>
          </w:p>
        </w:tc>
        <w:tc>
          <w:tcPr>
            <w:tcW w:w="1300" w:type="dxa"/>
            <w:vAlign w:val="center"/>
          </w:tcPr>
          <w:p w14:paraId="53A1DF53">
            <w:pPr>
              <w:spacing w:line="240" w:lineRule="auto"/>
              <w:ind w:firstLine="0" w:firstLineChars="0"/>
              <w:jc w:val="center"/>
              <w:rPr>
                <w:sz w:val="21"/>
                <w:szCs w:val="21"/>
              </w:rPr>
            </w:pPr>
            <w:r>
              <w:rPr>
                <w:rFonts w:hint="eastAsia"/>
                <w:sz w:val="21"/>
                <w:szCs w:val="21"/>
              </w:rPr>
              <w:t>0.006</w:t>
            </w:r>
          </w:p>
        </w:tc>
        <w:tc>
          <w:tcPr>
            <w:tcW w:w="1708" w:type="dxa"/>
            <w:vAlign w:val="center"/>
          </w:tcPr>
          <w:p w14:paraId="3F946E64">
            <w:pPr>
              <w:spacing w:line="240" w:lineRule="auto"/>
              <w:ind w:firstLine="0" w:firstLineChars="0"/>
              <w:jc w:val="center"/>
              <w:rPr>
                <w:sz w:val="21"/>
                <w:szCs w:val="21"/>
              </w:rPr>
            </w:pPr>
            <w:r>
              <w:rPr>
                <w:rFonts w:hint="eastAsia"/>
                <w:sz w:val="21"/>
                <w:szCs w:val="21"/>
              </w:rPr>
              <w:t>1</w:t>
            </w:r>
            <w:r>
              <w:rPr>
                <w:sz w:val="21"/>
                <w:szCs w:val="21"/>
              </w:rPr>
              <w:t>.7</w:t>
            </w:r>
          </w:p>
        </w:tc>
      </w:tr>
      <w:tr w14:paraId="4E59A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Align w:val="center"/>
          </w:tcPr>
          <w:p w14:paraId="2EABA96E">
            <w:pPr>
              <w:spacing w:line="240" w:lineRule="auto"/>
              <w:ind w:firstLine="0" w:firstLineChars="0"/>
              <w:jc w:val="center"/>
              <w:rPr>
                <w:sz w:val="21"/>
                <w:szCs w:val="21"/>
              </w:rPr>
            </w:pPr>
            <w:r>
              <w:rPr>
                <w:rFonts w:hint="eastAsia"/>
                <w:sz w:val="21"/>
                <w:szCs w:val="21"/>
              </w:rPr>
              <w:t>4</w:t>
            </w:r>
          </w:p>
        </w:tc>
        <w:tc>
          <w:tcPr>
            <w:tcW w:w="1808" w:type="dxa"/>
            <w:vAlign w:val="center"/>
          </w:tcPr>
          <w:p w14:paraId="0A48B050">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常州市金坛区新朋建筑材料厂</w:t>
            </w:r>
          </w:p>
        </w:tc>
        <w:tc>
          <w:tcPr>
            <w:tcW w:w="1533" w:type="dxa"/>
            <w:vAlign w:val="center"/>
          </w:tcPr>
          <w:p w14:paraId="04B45BEC">
            <w:pPr>
              <w:spacing w:line="240" w:lineRule="auto"/>
              <w:ind w:firstLine="0" w:firstLineChars="0"/>
              <w:jc w:val="center"/>
              <w:rPr>
                <w:sz w:val="21"/>
                <w:szCs w:val="21"/>
              </w:rPr>
            </w:pPr>
            <w:r>
              <w:rPr>
                <w:rFonts w:hint="eastAsia"/>
                <w:sz w:val="21"/>
                <w:szCs w:val="21"/>
              </w:rPr>
              <w:t>/</w:t>
            </w:r>
          </w:p>
        </w:tc>
        <w:tc>
          <w:tcPr>
            <w:tcW w:w="1467" w:type="dxa"/>
            <w:vAlign w:val="center"/>
          </w:tcPr>
          <w:p w14:paraId="04B80EB3">
            <w:pPr>
              <w:spacing w:line="240" w:lineRule="auto"/>
              <w:ind w:firstLine="0" w:firstLineChars="0"/>
              <w:jc w:val="center"/>
              <w:rPr>
                <w:sz w:val="21"/>
                <w:szCs w:val="21"/>
              </w:rPr>
            </w:pPr>
            <w:r>
              <w:rPr>
                <w:rFonts w:hint="eastAsia"/>
                <w:sz w:val="21"/>
                <w:szCs w:val="21"/>
              </w:rPr>
              <w:t>0.024</w:t>
            </w:r>
          </w:p>
        </w:tc>
        <w:tc>
          <w:tcPr>
            <w:tcW w:w="1300" w:type="dxa"/>
            <w:vAlign w:val="center"/>
          </w:tcPr>
          <w:p w14:paraId="3A140A99">
            <w:pPr>
              <w:spacing w:line="240" w:lineRule="auto"/>
              <w:ind w:firstLine="0" w:firstLineChars="0"/>
              <w:jc w:val="center"/>
              <w:rPr>
                <w:sz w:val="21"/>
                <w:szCs w:val="21"/>
              </w:rPr>
            </w:pPr>
            <w:r>
              <w:rPr>
                <w:rFonts w:hint="eastAsia"/>
                <w:sz w:val="21"/>
                <w:szCs w:val="21"/>
              </w:rPr>
              <w:t>/</w:t>
            </w:r>
          </w:p>
        </w:tc>
        <w:tc>
          <w:tcPr>
            <w:tcW w:w="1708" w:type="dxa"/>
            <w:vAlign w:val="center"/>
          </w:tcPr>
          <w:p w14:paraId="2C815C4E">
            <w:pPr>
              <w:spacing w:line="240" w:lineRule="auto"/>
              <w:ind w:firstLine="0" w:firstLineChars="0"/>
              <w:jc w:val="center"/>
              <w:rPr>
                <w:sz w:val="21"/>
                <w:szCs w:val="21"/>
              </w:rPr>
            </w:pPr>
            <w:r>
              <w:rPr>
                <w:rFonts w:hint="eastAsia"/>
                <w:sz w:val="21"/>
                <w:szCs w:val="21"/>
              </w:rPr>
              <w:t>19</w:t>
            </w:r>
            <w:r>
              <w:rPr>
                <w:sz w:val="21"/>
                <w:szCs w:val="21"/>
              </w:rPr>
              <w:t>.4</w:t>
            </w:r>
          </w:p>
        </w:tc>
      </w:tr>
      <w:tr w14:paraId="23662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Align w:val="center"/>
          </w:tcPr>
          <w:p w14:paraId="789631B1">
            <w:pPr>
              <w:spacing w:line="240" w:lineRule="auto"/>
              <w:ind w:firstLine="0" w:firstLineChars="0"/>
              <w:jc w:val="center"/>
              <w:rPr>
                <w:sz w:val="21"/>
                <w:szCs w:val="21"/>
              </w:rPr>
            </w:pPr>
            <w:r>
              <w:rPr>
                <w:rFonts w:hint="eastAsia"/>
                <w:sz w:val="21"/>
                <w:szCs w:val="21"/>
              </w:rPr>
              <w:t>5</w:t>
            </w:r>
          </w:p>
        </w:tc>
        <w:tc>
          <w:tcPr>
            <w:tcW w:w="1808" w:type="dxa"/>
            <w:vAlign w:val="center"/>
          </w:tcPr>
          <w:p w14:paraId="7801E6A4">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常州市金坛创新建材有限公司</w:t>
            </w:r>
          </w:p>
        </w:tc>
        <w:tc>
          <w:tcPr>
            <w:tcW w:w="1533" w:type="dxa"/>
            <w:vAlign w:val="center"/>
          </w:tcPr>
          <w:p w14:paraId="55B830BA">
            <w:pPr>
              <w:spacing w:line="240" w:lineRule="auto"/>
              <w:ind w:firstLine="0" w:firstLineChars="0"/>
              <w:jc w:val="center"/>
              <w:rPr>
                <w:sz w:val="21"/>
                <w:szCs w:val="21"/>
              </w:rPr>
            </w:pPr>
            <w:r>
              <w:rPr>
                <w:rFonts w:hint="eastAsia"/>
                <w:sz w:val="21"/>
                <w:szCs w:val="21"/>
              </w:rPr>
              <w:t>1.0</w:t>
            </w:r>
          </w:p>
        </w:tc>
        <w:tc>
          <w:tcPr>
            <w:tcW w:w="1467" w:type="dxa"/>
            <w:vAlign w:val="center"/>
          </w:tcPr>
          <w:p w14:paraId="41E1EBEF">
            <w:pPr>
              <w:spacing w:line="240" w:lineRule="auto"/>
              <w:ind w:firstLine="0" w:firstLineChars="0"/>
              <w:jc w:val="center"/>
              <w:rPr>
                <w:sz w:val="21"/>
                <w:szCs w:val="21"/>
              </w:rPr>
            </w:pPr>
            <w:r>
              <w:rPr>
                <w:rFonts w:hint="eastAsia"/>
                <w:sz w:val="21"/>
                <w:szCs w:val="21"/>
              </w:rPr>
              <w:t>/</w:t>
            </w:r>
          </w:p>
        </w:tc>
        <w:tc>
          <w:tcPr>
            <w:tcW w:w="1300" w:type="dxa"/>
            <w:vAlign w:val="center"/>
          </w:tcPr>
          <w:p w14:paraId="45DC1E91">
            <w:pPr>
              <w:spacing w:line="240" w:lineRule="auto"/>
              <w:ind w:firstLine="0" w:firstLineChars="0"/>
              <w:jc w:val="center"/>
              <w:rPr>
                <w:sz w:val="21"/>
                <w:szCs w:val="21"/>
              </w:rPr>
            </w:pPr>
            <w:r>
              <w:rPr>
                <w:rFonts w:hint="eastAsia"/>
                <w:sz w:val="21"/>
                <w:szCs w:val="21"/>
              </w:rPr>
              <w:t>0.4</w:t>
            </w:r>
          </w:p>
        </w:tc>
        <w:tc>
          <w:tcPr>
            <w:tcW w:w="1708" w:type="dxa"/>
            <w:vAlign w:val="center"/>
          </w:tcPr>
          <w:p w14:paraId="3F79E528">
            <w:pPr>
              <w:spacing w:line="240" w:lineRule="auto"/>
              <w:ind w:firstLine="0" w:firstLineChars="0"/>
              <w:jc w:val="center"/>
              <w:rPr>
                <w:sz w:val="21"/>
                <w:szCs w:val="21"/>
              </w:rPr>
            </w:pPr>
            <w:r>
              <w:rPr>
                <w:sz w:val="21"/>
                <w:szCs w:val="21"/>
              </w:rPr>
              <w:t>2.8</w:t>
            </w:r>
          </w:p>
        </w:tc>
      </w:tr>
      <w:tr w14:paraId="30C01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Align w:val="center"/>
          </w:tcPr>
          <w:p w14:paraId="5C19D430">
            <w:pPr>
              <w:spacing w:line="240" w:lineRule="auto"/>
              <w:ind w:firstLine="0" w:firstLineChars="0"/>
              <w:jc w:val="center"/>
              <w:rPr>
                <w:sz w:val="21"/>
                <w:szCs w:val="21"/>
              </w:rPr>
            </w:pPr>
            <w:r>
              <w:rPr>
                <w:rFonts w:hint="eastAsia"/>
                <w:sz w:val="21"/>
                <w:szCs w:val="21"/>
              </w:rPr>
              <w:t>6</w:t>
            </w:r>
          </w:p>
        </w:tc>
        <w:tc>
          <w:tcPr>
            <w:tcW w:w="1808" w:type="dxa"/>
            <w:vAlign w:val="center"/>
          </w:tcPr>
          <w:p w14:paraId="7FCAFFF7">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常州市金坛鼎盛建材厂</w:t>
            </w:r>
          </w:p>
        </w:tc>
        <w:tc>
          <w:tcPr>
            <w:tcW w:w="1533" w:type="dxa"/>
            <w:vAlign w:val="center"/>
          </w:tcPr>
          <w:p w14:paraId="56DD09F0">
            <w:pPr>
              <w:spacing w:line="240" w:lineRule="auto"/>
              <w:ind w:firstLine="0" w:firstLineChars="0"/>
              <w:jc w:val="center"/>
              <w:rPr>
                <w:sz w:val="21"/>
                <w:szCs w:val="21"/>
              </w:rPr>
            </w:pPr>
            <w:r>
              <w:rPr>
                <w:rFonts w:hint="eastAsia"/>
                <w:sz w:val="21"/>
                <w:szCs w:val="21"/>
              </w:rPr>
              <w:t>0.8</w:t>
            </w:r>
          </w:p>
        </w:tc>
        <w:tc>
          <w:tcPr>
            <w:tcW w:w="1467" w:type="dxa"/>
            <w:vAlign w:val="center"/>
          </w:tcPr>
          <w:p w14:paraId="4A9C8EC8">
            <w:pPr>
              <w:spacing w:line="240" w:lineRule="auto"/>
              <w:ind w:firstLine="0" w:firstLineChars="0"/>
              <w:jc w:val="center"/>
              <w:rPr>
                <w:sz w:val="21"/>
                <w:szCs w:val="21"/>
              </w:rPr>
            </w:pPr>
            <w:r>
              <w:rPr>
                <w:rFonts w:hint="eastAsia"/>
                <w:sz w:val="21"/>
                <w:szCs w:val="21"/>
              </w:rPr>
              <w:t>/</w:t>
            </w:r>
          </w:p>
        </w:tc>
        <w:tc>
          <w:tcPr>
            <w:tcW w:w="1300" w:type="dxa"/>
            <w:vAlign w:val="center"/>
          </w:tcPr>
          <w:p w14:paraId="6A151CB8">
            <w:pPr>
              <w:spacing w:line="240" w:lineRule="auto"/>
              <w:ind w:firstLine="0" w:firstLineChars="0"/>
              <w:jc w:val="center"/>
              <w:rPr>
                <w:sz w:val="21"/>
                <w:szCs w:val="21"/>
              </w:rPr>
            </w:pPr>
            <w:r>
              <w:rPr>
                <w:rFonts w:hint="eastAsia"/>
                <w:sz w:val="21"/>
                <w:szCs w:val="21"/>
              </w:rPr>
              <w:t>0.25</w:t>
            </w:r>
          </w:p>
        </w:tc>
        <w:tc>
          <w:tcPr>
            <w:tcW w:w="1708" w:type="dxa"/>
            <w:vAlign w:val="center"/>
          </w:tcPr>
          <w:p w14:paraId="37A4AD50">
            <w:pPr>
              <w:spacing w:line="240" w:lineRule="auto"/>
              <w:ind w:firstLine="0" w:firstLineChars="0"/>
              <w:jc w:val="center"/>
              <w:rPr>
                <w:sz w:val="21"/>
                <w:szCs w:val="21"/>
              </w:rPr>
            </w:pPr>
            <w:r>
              <w:rPr>
                <w:sz w:val="21"/>
                <w:szCs w:val="21"/>
              </w:rPr>
              <w:t>6</w:t>
            </w:r>
            <w:r>
              <w:rPr>
                <w:rFonts w:hint="eastAsia"/>
                <w:sz w:val="21"/>
                <w:szCs w:val="21"/>
              </w:rPr>
              <w:t>0</w:t>
            </w:r>
            <w:r>
              <w:rPr>
                <w:sz w:val="21"/>
                <w:szCs w:val="21"/>
              </w:rPr>
              <w:t>.8</w:t>
            </w:r>
          </w:p>
        </w:tc>
      </w:tr>
      <w:tr w14:paraId="36149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Align w:val="center"/>
          </w:tcPr>
          <w:p w14:paraId="3E5A9E9C">
            <w:pPr>
              <w:spacing w:line="240" w:lineRule="auto"/>
              <w:ind w:firstLine="0" w:firstLineChars="0"/>
              <w:jc w:val="center"/>
              <w:rPr>
                <w:sz w:val="21"/>
                <w:szCs w:val="21"/>
              </w:rPr>
            </w:pPr>
            <w:r>
              <w:rPr>
                <w:rFonts w:hint="eastAsia"/>
                <w:sz w:val="21"/>
                <w:szCs w:val="21"/>
              </w:rPr>
              <w:t>7</w:t>
            </w:r>
          </w:p>
        </w:tc>
        <w:tc>
          <w:tcPr>
            <w:tcW w:w="1808" w:type="dxa"/>
            <w:vAlign w:val="center"/>
          </w:tcPr>
          <w:p w14:paraId="12F793BA">
            <w:pPr>
              <w:widowControl/>
              <w:spacing w:line="240" w:lineRule="auto"/>
              <w:ind w:firstLine="0" w:firstLineChars="0"/>
              <w:jc w:val="center"/>
              <w:rPr>
                <w:sz w:val="21"/>
                <w:szCs w:val="21"/>
              </w:rPr>
            </w:pPr>
            <w:r>
              <w:rPr>
                <w:rFonts w:hint="eastAsia" w:cs="Times New Roman"/>
                <w:color w:val="000000"/>
                <w:kern w:val="0"/>
                <w:sz w:val="21"/>
                <w:szCs w:val="21"/>
                <w14:ligatures w14:val="none"/>
              </w:rPr>
              <w:t>常州金坛江豚钙业有限公司</w:t>
            </w:r>
          </w:p>
        </w:tc>
        <w:tc>
          <w:tcPr>
            <w:tcW w:w="1533" w:type="dxa"/>
            <w:vAlign w:val="center"/>
          </w:tcPr>
          <w:p w14:paraId="02A9F3DF">
            <w:pPr>
              <w:spacing w:line="240" w:lineRule="auto"/>
              <w:ind w:firstLine="0" w:firstLineChars="0"/>
              <w:jc w:val="center"/>
              <w:rPr>
                <w:sz w:val="21"/>
                <w:szCs w:val="21"/>
              </w:rPr>
            </w:pPr>
            <w:r>
              <w:rPr>
                <w:rFonts w:hint="eastAsia"/>
                <w:sz w:val="21"/>
                <w:szCs w:val="21"/>
              </w:rPr>
              <w:t>0.9</w:t>
            </w:r>
          </w:p>
        </w:tc>
        <w:tc>
          <w:tcPr>
            <w:tcW w:w="1467" w:type="dxa"/>
            <w:vAlign w:val="center"/>
          </w:tcPr>
          <w:p w14:paraId="5B40A5A8">
            <w:pPr>
              <w:spacing w:line="240" w:lineRule="auto"/>
              <w:ind w:firstLine="0" w:firstLineChars="0"/>
              <w:jc w:val="center"/>
              <w:rPr>
                <w:sz w:val="21"/>
                <w:szCs w:val="21"/>
              </w:rPr>
            </w:pPr>
            <w:r>
              <w:rPr>
                <w:rFonts w:hint="eastAsia"/>
                <w:sz w:val="21"/>
                <w:szCs w:val="21"/>
              </w:rPr>
              <w:t>/</w:t>
            </w:r>
          </w:p>
        </w:tc>
        <w:tc>
          <w:tcPr>
            <w:tcW w:w="1300" w:type="dxa"/>
            <w:vAlign w:val="center"/>
          </w:tcPr>
          <w:p w14:paraId="4B8EF170">
            <w:pPr>
              <w:spacing w:line="240" w:lineRule="auto"/>
              <w:ind w:firstLine="0" w:firstLineChars="0"/>
              <w:jc w:val="center"/>
              <w:rPr>
                <w:sz w:val="21"/>
                <w:szCs w:val="21"/>
              </w:rPr>
            </w:pPr>
            <w:r>
              <w:rPr>
                <w:rFonts w:hint="eastAsia"/>
                <w:sz w:val="21"/>
                <w:szCs w:val="21"/>
              </w:rPr>
              <w:t>0.2</w:t>
            </w:r>
          </w:p>
        </w:tc>
        <w:tc>
          <w:tcPr>
            <w:tcW w:w="1708" w:type="dxa"/>
            <w:vAlign w:val="center"/>
          </w:tcPr>
          <w:p w14:paraId="2FD5EAA9">
            <w:pPr>
              <w:spacing w:line="240" w:lineRule="auto"/>
              <w:ind w:firstLine="0" w:firstLineChars="0"/>
              <w:jc w:val="center"/>
              <w:rPr>
                <w:sz w:val="21"/>
                <w:szCs w:val="21"/>
              </w:rPr>
            </w:pPr>
            <w:r>
              <w:rPr>
                <w:sz w:val="21"/>
                <w:szCs w:val="21"/>
              </w:rPr>
              <w:t>61.4</w:t>
            </w:r>
          </w:p>
        </w:tc>
      </w:tr>
      <w:tr w14:paraId="2F51E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Align w:val="center"/>
          </w:tcPr>
          <w:p w14:paraId="6DD2A9CE">
            <w:pPr>
              <w:spacing w:line="240" w:lineRule="auto"/>
              <w:ind w:firstLine="0" w:firstLineChars="0"/>
              <w:jc w:val="center"/>
              <w:rPr>
                <w:sz w:val="21"/>
                <w:szCs w:val="21"/>
              </w:rPr>
            </w:pPr>
            <w:r>
              <w:rPr>
                <w:rFonts w:hint="eastAsia"/>
                <w:sz w:val="21"/>
                <w:szCs w:val="21"/>
              </w:rPr>
              <w:t>8</w:t>
            </w:r>
          </w:p>
        </w:tc>
        <w:tc>
          <w:tcPr>
            <w:tcW w:w="1808" w:type="dxa"/>
            <w:vAlign w:val="center"/>
          </w:tcPr>
          <w:p w14:paraId="7411F72B">
            <w:pPr>
              <w:widowControl/>
              <w:spacing w:line="240" w:lineRule="auto"/>
              <w:ind w:firstLine="0" w:firstLineChars="0"/>
              <w:jc w:val="center"/>
              <w:rPr>
                <w:sz w:val="21"/>
                <w:szCs w:val="21"/>
              </w:rPr>
            </w:pPr>
            <w:r>
              <w:rPr>
                <w:rFonts w:hint="eastAsia" w:cs="Times New Roman"/>
                <w:color w:val="000000"/>
                <w:kern w:val="0"/>
                <w:sz w:val="21"/>
                <w:szCs w:val="21"/>
                <w14:ligatures w14:val="none"/>
              </w:rPr>
              <w:t>金坛东运钙业有限公司</w:t>
            </w:r>
          </w:p>
        </w:tc>
        <w:tc>
          <w:tcPr>
            <w:tcW w:w="1533" w:type="dxa"/>
            <w:vAlign w:val="center"/>
          </w:tcPr>
          <w:p w14:paraId="78785470">
            <w:pPr>
              <w:spacing w:line="240" w:lineRule="auto"/>
              <w:ind w:firstLine="0" w:firstLineChars="0"/>
              <w:jc w:val="center"/>
              <w:rPr>
                <w:sz w:val="21"/>
                <w:szCs w:val="21"/>
              </w:rPr>
            </w:pPr>
            <w:r>
              <w:rPr>
                <w:rFonts w:hint="eastAsia"/>
                <w:sz w:val="21"/>
                <w:szCs w:val="21"/>
              </w:rPr>
              <w:t>0.6</w:t>
            </w:r>
          </w:p>
        </w:tc>
        <w:tc>
          <w:tcPr>
            <w:tcW w:w="1467" w:type="dxa"/>
            <w:vAlign w:val="center"/>
          </w:tcPr>
          <w:p w14:paraId="060600A4">
            <w:pPr>
              <w:spacing w:line="240" w:lineRule="auto"/>
              <w:ind w:firstLine="0" w:firstLineChars="0"/>
              <w:jc w:val="center"/>
              <w:rPr>
                <w:sz w:val="21"/>
                <w:szCs w:val="21"/>
              </w:rPr>
            </w:pPr>
            <w:r>
              <w:rPr>
                <w:rFonts w:hint="eastAsia"/>
                <w:sz w:val="21"/>
                <w:szCs w:val="21"/>
              </w:rPr>
              <w:t>/</w:t>
            </w:r>
          </w:p>
        </w:tc>
        <w:tc>
          <w:tcPr>
            <w:tcW w:w="1300" w:type="dxa"/>
            <w:vAlign w:val="center"/>
          </w:tcPr>
          <w:p w14:paraId="7F74B9A3">
            <w:pPr>
              <w:spacing w:line="240" w:lineRule="auto"/>
              <w:ind w:firstLine="0" w:firstLineChars="0"/>
              <w:jc w:val="center"/>
              <w:rPr>
                <w:sz w:val="21"/>
                <w:szCs w:val="21"/>
              </w:rPr>
            </w:pPr>
            <w:r>
              <w:rPr>
                <w:rFonts w:hint="eastAsia"/>
                <w:sz w:val="21"/>
                <w:szCs w:val="21"/>
              </w:rPr>
              <w:t>1</w:t>
            </w:r>
          </w:p>
        </w:tc>
        <w:tc>
          <w:tcPr>
            <w:tcW w:w="1708" w:type="dxa"/>
            <w:vAlign w:val="center"/>
          </w:tcPr>
          <w:p w14:paraId="16194E5E">
            <w:pPr>
              <w:spacing w:line="240" w:lineRule="auto"/>
              <w:ind w:firstLine="0" w:firstLineChars="0"/>
              <w:jc w:val="center"/>
              <w:rPr>
                <w:sz w:val="21"/>
                <w:szCs w:val="21"/>
              </w:rPr>
            </w:pPr>
            <w:r>
              <w:rPr>
                <w:sz w:val="21"/>
                <w:szCs w:val="21"/>
              </w:rPr>
              <w:t>52.3</w:t>
            </w:r>
          </w:p>
        </w:tc>
      </w:tr>
      <w:tr w14:paraId="677ED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88" w:type="dxa"/>
            <w:gridSpan w:val="2"/>
            <w:vAlign w:val="center"/>
          </w:tcPr>
          <w:p w14:paraId="008E9409">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合计</w:t>
            </w:r>
          </w:p>
        </w:tc>
        <w:tc>
          <w:tcPr>
            <w:tcW w:w="1533" w:type="dxa"/>
            <w:vAlign w:val="center"/>
          </w:tcPr>
          <w:p w14:paraId="5C44132A">
            <w:pPr>
              <w:spacing w:line="240" w:lineRule="auto"/>
              <w:ind w:firstLine="0" w:firstLineChars="0"/>
              <w:jc w:val="center"/>
              <w:rPr>
                <w:b/>
                <w:bCs/>
                <w:sz w:val="21"/>
                <w:szCs w:val="21"/>
              </w:rPr>
            </w:pPr>
            <w:r>
              <w:rPr>
                <w:rFonts w:hint="eastAsia"/>
                <w:b/>
                <w:bCs/>
                <w:sz w:val="21"/>
                <w:szCs w:val="21"/>
              </w:rPr>
              <w:t>3.9</w:t>
            </w:r>
          </w:p>
        </w:tc>
        <w:tc>
          <w:tcPr>
            <w:tcW w:w="1467" w:type="dxa"/>
            <w:vAlign w:val="center"/>
          </w:tcPr>
          <w:p w14:paraId="25C8C232">
            <w:pPr>
              <w:spacing w:line="240" w:lineRule="auto"/>
              <w:ind w:firstLine="0" w:firstLineChars="0"/>
              <w:jc w:val="center"/>
              <w:rPr>
                <w:b/>
                <w:bCs/>
                <w:sz w:val="21"/>
                <w:szCs w:val="21"/>
              </w:rPr>
            </w:pPr>
            <w:r>
              <w:rPr>
                <w:rFonts w:hint="eastAsia"/>
                <w:b/>
                <w:bCs/>
                <w:sz w:val="21"/>
                <w:szCs w:val="21"/>
              </w:rPr>
              <w:t>1.024</w:t>
            </w:r>
          </w:p>
        </w:tc>
        <w:tc>
          <w:tcPr>
            <w:tcW w:w="1300" w:type="dxa"/>
            <w:vAlign w:val="center"/>
          </w:tcPr>
          <w:p w14:paraId="2468FB9E">
            <w:pPr>
              <w:spacing w:line="240" w:lineRule="auto"/>
              <w:ind w:firstLine="0" w:firstLineChars="0"/>
              <w:jc w:val="center"/>
              <w:rPr>
                <w:b/>
                <w:bCs/>
                <w:sz w:val="21"/>
                <w:szCs w:val="21"/>
              </w:rPr>
            </w:pPr>
            <w:r>
              <w:rPr>
                <w:rFonts w:hint="eastAsia"/>
                <w:b/>
                <w:bCs/>
                <w:sz w:val="21"/>
                <w:szCs w:val="21"/>
              </w:rPr>
              <w:t>1.856</w:t>
            </w:r>
          </w:p>
        </w:tc>
        <w:tc>
          <w:tcPr>
            <w:tcW w:w="1708" w:type="dxa"/>
            <w:vAlign w:val="center"/>
          </w:tcPr>
          <w:p w14:paraId="58C70272">
            <w:pPr>
              <w:spacing w:line="240" w:lineRule="auto"/>
              <w:ind w:firstLine="0" w:firstLineChars="0"/>
              <w:jc w:val="center"/>
              <w:rPr>
                <w:b/>
                <w:bCs/>
                <w:sz w:val="21"/>
                <w:szCs w:val="21"/>
              </w:rPr>
            </w:pPr>
            <w:r>
              <w:rPr>
                <w:rFonts w:hint="eastAsia"/>
                <w:b/>
                <w:bCs/>
                <w:sz w:val="21"/>
                <w:szCs w:val="21"/>
              </w:rPr>
              <w:t>203.6</w:t>
            </w:r>
          </w:p>
        </w:tc>
      </w:tr>
    </w:tbl>
    <w:p w14:paraId="1D91464B">
      <w:pPr>
        <w:ind w:firstLine="480"/>
      </w:pPr>
      <w:r>
        <w:rPr>
          <w:rFonts w:hint="eastAsia"/>
        </w:rPr>
        <w:t>（2）生活能源消耗情况</w:t>
      </w:r>
    </w:p>
    <w:p w14:paraId="6942799E">
      <w:pPr>
        <w:ind w:firstLine="480"/>
      </w:pPr>
      <w:r>
        <w:t>度假区内现有常住居民约</w:t>
      </w:r>
      <w:r>
        <w:rPr>
          <w:rFonts w:hint="eastAsia"/>
        </w:rPr>
        <w:t>30117</w:t>
      </w:r>
      <w:r>
        <w:t>人，</w:t>
      </w:r>
      <w:r>
        <w:rPr>
          <w:rFonts w:hint="eastAsia"/>
        </w:rPr>
        <w:t>年</w:t>
      </w:r>
      <w:r>
        <w:t>游客总数约</w:t>
      </w:r>
      <w:r>
        <w:rPr>
          <w:rFonts w:hint="eastAsia"/>
        </w:rPr>
        <w:t>210</w:t>
      </w:r>
      <w:r>
        <w:t>万人次。</w:t>
      </w:r>
      <w:r>
        <w:rPr>
          <w:rFonts w:hint="eastAsia"/>
        </w:rPr>
        <w:t>按照系数法计算燃料使用量，2023年度假区内常住居民天然气总用气量约为82.75万m</w:t>
      </w:r>
      <w:r>
        <w:rPr>
          <w:rFonts w:hint="eastAsia"/>
          <w:vertAlign w:val="superscript"/>
        </w:rPr>
        <w:t>3</w:t>
      </w:r>
      <w:r>
        <w:rPr>
          <w:rFonts w:hint="eastAsia"/>
        </w:rPr>
        <w:t>，液化石油气用量约为731.4t，游客天然气用量约为217.68万m</w:t>
      </w:r>
      <w:r>
        <w:rPr>
          <w:rFonts w:hint="eastAsia"/>
          <w:vertAlign w:val="superscript"/>
        </w:rPr>
        <w:t>3</w:t>
      </w:r>
      <w:r>
        <w:rPr>
          <w:rFonts w:hint="eastAsia"/>
        </w:rPr>
        <w:t>。</w:t>
      </w:r>
    </w:p>
    <w:p w14:paraId="3640A274">
      <w:pPr>
        <w:ind w:firstLine="480"/>
      </w:pPr>
      <w:r>
        <w:rPr>
          <w:rFonts w:hint="eastAsia"/>
        </w:rPr>
        <w:t>根据《城市电力规划规范》（GB/T50293-2014），居民人均生活用电量取800kWh/（人•a），游客生活、游览活动等人均用电量取60kWh/（人•a），计算得度假区生活净调入电力消耗量为35160万kWh。</w:t>
      </w:r>
    </w:p>
    <w:p w14:paraId="68A4FFE0">
      <w:pPr>
        <w:ind w:firstLine="0" w:firstLineChars="0"/>
        <w:outlineLvl w:val="3"/>
        <w:rPr>
          <w:b/>
          <w:bCs/>
        </w:rPr>
      </w:pPr>
      <w:r>
        <w:rPr>
          <w:b/>
          <w:bCs/>
        </w:rPr>
        <w:t>3</w:t>
      </w:r>
      <w:r>
        <w:rPr>
          <w:rFonts w:hint="eastAsia"/>
          <w:b/>
          <w:bCs/>
        </w:rPr>
        <w:t>.</w:t>
      </w:r>
      <w:r>
        <w:rPr>
          <w:b/>
          <w:bCs/>
        </w:rPr>
        <w:t>4</w:t>
      </w:r>
      <w:r>
        <w:rPr>
          <w:rFonts w:hint="eastAsia"/>
          <w:b/>
          <w:bCs/>
        </w:rPr>
        <w:t>.6.2碳排放现状</w:t>
      </w:r>
    </w:p>
    <w:p w14:paraId="1CF91602">
      <w:pPr>
        <w:ind w:firstLine="482"/>
        <w:rPr>
          <w:b/>
          <w:bCs/>
        </w:rPr>
      </w:pPr>
      <w:r>
        <w:rPr>
          <w:rFonts w:hint="eastAsia"/>
          <w:b/>
          <w:bCs/>
        </w:rPr>
        <w:t>①计算方法</w:t>
      </w:r>
    </w:p>
    <w:p w14:paraId="1ACE1834">
      <w:pPr>
        <w:ind w:firstLine="480"/>
        <w:rPr>
          <w:szCs w:val="24"/>
        </w:rPr>
      </w:pPr>
      <w:r>
        <w:rPr>
          <w:szCs w:val="24"/>
        </w:rPr>
        <w:t>碳排放计算采用排放因子法，即选择相应活动水平数据并根据相应的排放因子和全球变暖潜势计算碳排放量，根据调查结果，分别计算能源活动排放、净调入的电力和热力排放，具体计算公式见3.</w:t>
      </w:r>
      <w:r>
        <w:rPr>
          <w:rFonts w:hint="eastAsia"/>
          <w:szCs w:val="24"/>
        </w:rPr>
        <w:t>4.6</w:t>
      </w:r>
      <w:r>
        <w:rPr>
          <w:szCs w:val="24"/>
        </w:rPr>
        <w:t>-1~3.</w:t>
      </w:r>
      <w:r>
        <w:rPr>
          <w:rFonts w:hint="eastAsia"/>
          <w:szCs w:val="24"/>
        </w:rPr>
        <w:t>4.6</w:t>
      </w:r>
      <w:r>
        <w:rPr>
          <w:szCs w:val="24"/>
        </w:rPr>
        <w:t>-</w:t>
      </w:r>
      <w:r>
        <w:rPr>
          <w:rFonts w:hint="eastAsia"/>
          <w:szCs w:val="24"/>
        </w:rPr>
        <w:t>4</w:t>
      </w:r>
      <w:r>
        <w:rPr>
          <w:szCs w:val="24"/>
        </w:rPr>
        <w:t>。</w:t>
      </w:r>
    </w:p>
    <w:p w14:paraId="6F8355AF">
      <w:pPr>
        <w:ind w:firstLine="480"/>
        <w:rPr>
          <w:szCs w:val="24"/>
        </w:rPr>
      </w:pPr>
      <w:r>
        <w:rPr>
          <w:szCs w:val="24"/>
        </w:rPr>
        <w:t>碳排放总量计算见公式（3.2-1）：</w:t>
      </w:r>
    </w:p>
    <w:p w14:paraId="1C7B0FC4">
      <w:pPr>
        <w:ind w:firstLine="480"/>
        <w:jc w:val="right"/>
        <w:rPr>
          <w:sz w:val="32"/>
          <w:szCs w:val="32"/>
        </w:rPr>
      </w:pPr>
      <w:r>
        <w:rPr>
          <w:i/>
          <w:iCs/>
          <w:szCs w:val="24"/>
        </w:rPr>
        <w:t>AE</w:t>
      </w:r>
      <w:r>
        <w:rPr>
          <w:szCs w:val="24"/>
          <w:vertAlign w:val="subscript"/>
        </w:rPr>
        <w:t>总</w:t>
      </w:r>
      <w:r>
        <w:rPr>
          <w:szCs w:val="24"/>
        </w:rPr>
        <w:t xml:space="preserve">= </w:t>
      </w:r>
      <w:r>
        <w:rPr>
          <w:i/>
          <w:iCs/>
          <w:szCs w:val="24"/>
        </w:rPr>
        <w:t>AE</w:t>
      </w:r>
      <w:r>
        <w:rPr>
          <w:szCs w:val="24"/>
          <w:vertAlign w:val="subscript"/>
        </w:rPr>
        <w:t>燃料燃烧</w:t>
      </w:r>
      <w:r>
        <w:rPr>
          <w:szCs w:val="24"/>
        </w:rPr>
        <w:t xml:space="preserve">+ </w:t>
      </w:r>
      <w:r>
        <w:rPr>
          <w:i/>
          <w:iCs/>
          <w:szCs w:val="24"/>
        </w:rPr>
        <w:t>AE</w:t>
      </w:r>
      <w:r>
        <w:rPr>
          <w:szCs w:val="24"/>
          <w:vertAlign w:val="subscript"/>
        </w:rPr>
        <w:t xml:space="preserve">净调入电力和热力                 </w:t>
      </w:r>
      <w:r>
        <w:rPr>
          <w:szCs w:val="24"/>
        </w:rPr>
        <w:t>（3.</w:t>
      </w:r>
      <w:r>
        <w:rPr>
          <w:rFonts w:hint="eastAsia"/>
          <w:szCs w:val="24"/>
        </w:rPr>
        <w:t>4.6</w:t>
      </w:r>
      <w:r>
        <w:rPr>
          <w:szCs w:val="24"/>
        </w:rPr>
        <w:t>-1）</w:t>
      </w:r>
    </w:p>
    <w:p w14:paraId="381888FA">
      <w:pPr>
        <w:ind w:firstLine="480"/>
        <w:rPr>
          <w:szCs w:val="24"/>
        </w:rPr>
      </w:pPr>
      <w:r>
        <w:rPr>
          <w:szCs w:val="24"/>
        </w:rPr>
        <w:t>式中：</w:t>
      </w:r>
      <w:r>
        <w:rPr>
          <w:i/>
          <w:iCs/>
          <w:szCs w:val="24"/>
        </w:rPr>
        <w:t>AE</w:t>
      </w:r>
      <w:r>
        <w:rPr>
          <w:szCs w:val="24"/>
          <w:vertAlign w:val="subscript"/>
        </w:rPr>
        <w:t>总</w:t>
      </w:r>
      <w:r>
        <w:rPr>
          <w:szCs w:val="24"/>
        </w:rPr>
        <w:t>—碳排放总量（tCO</w:t>
      </w:r>
      <w:r>
        <w:rPr>
          <w:szCs w:val="24"/>
          <w:vertAlign w:val="subscript"/>
        </w:rPr>
        <w:t>2</w:t>
      </w:r>
      <w:r>
        <w:rPr>
          <w:szCs w:val="24"/>
        </w:rPr>
        <w:t>e）；</w:t>
      </w:r>
      <w:r>
        <w:rPr>
          <w:i/>
          <w:iCs/>
          <w:szCs w:val="24"/>
        </w:rPr>
        <w:t>AE</w:t>
      </w:r>
      <w:r>
        <w:rPr>
          <w:szCs w:val="24"/>
          <w:vertAlign w:val="subscript"/>
        </w:rPr>
        <w:t>燃料燃烧</w:t>
      </w:r>
      <w:r>
        <w:rPr>
          <w:szCs w:val="24"/>
        </w:rPr>
        <w:t>—燃料燃烧碳排放量（tCO</w:t>
      </w:r>
      <w:r>
        <w:rPr>
          <w:szCs w:val="24"/>
          <w:vertAlign w:val="subscript"/>
        </w:rPr>
        <w:t>2</w:t>
      </w:r>
      <w:r>
        <w:rPr>
          <w:szCs w:val="24"/>
        </w:rPr>
        <w:t>e）；</w:t>
      </w:r>
      <w:r>
        <w:rPr>
          <w:i/>
          <w:iCs/>
          <w:szCs w:val="24"/>
        </w:rPr>
        <w:t xml:space="preserve"> AE</w:t>
      </w:r>
      <w:r>
        <w:rPr>
          <w:szCs w:val="24"/>
          <w:vertAlign w:val="subscript"/>
        </w:rPr>
        <w:t>净调入电力和热力</w:t>
      </w:r>
      <w:r>
        <w:rPr>
          <w:szCs w:val="24"/>
        </w:rPr>
        <w:t>—净调入电力和热力消耗碳排放总量（tCO</w:t>
      </w:r>
      <w:r>
        <w:rPr>
          <w:szCs w:val="24"/>
          <w:vertAlign w:val="subscript"/>
        </w:rPr>
        <w:t>2</w:t>
      </w:r>
      <w:r>
        <w:rPr>
          <w:szCs w:val="24"/>
        </w:rPr>
        <w:t>e）。</w:t>
      </w:r>
    </w:p>
    <w:p w14:paraId="204BB032">
      <w:pPr>
        <w:ind w:firstLine="480"/>
        <w:jc w:val="left"/>
        <w:rPr>
          <w:szCs w:val="24"/>
        </w:rPr>
      </w:pPr>
      <w:r>
        <w:rPr>
          <w:szCs w:val="24"/>
        </w:rPr>
        <w:t>根据燃料用于电力生产还是用于其他工业生产情况不同，燃料燃烧碳排放量也不同。度假区无用于电力生产的燃料使用。用于电力生产之外的其他工业生产的燃料燃烧产生的排放量（</w:t>
      </w:r>
      <w:r>
        <w:rPr>
          <w:i/>
          <w:iCs/>
          <w:szCs w:val="24"/>
        </w:rPr>
        <w:t>AE</w:t>
      </w:r>
      <w:r>
        <w:rPr>
          <w:szCs w:val="24"/>
          <w:vertAlign w:val="subscript"/>
        </w:rPr>
        <w:t>工燃</w:t>
      </w:r>
      <w:r>
        <w:rPr>
          <w:szCs w:val="24"/>
        </w:rPr>
        <w:t>）计算方法见公式（3.2-2）：</w:t>
      </w:r>
    </w:p>
    <w:p w14:paraId="12B32BAF">
      <w:pPr>
        <w:ind w:firstLine="480"/>
        <w:jc w:val="right"/>
        <w:rPr>
          <w:szCs w:val="24"/>
        </w:rPr>
      </w:pPr>
      <w:r>
        <w:rPr>
          <w:i/>
          <w:iCs/>
          <w:szCs w:val="24"/>
        </w:rPr>
        <w:t>AE</w:t>
      </w:r>
      <w:r>
        <w:rPr>
          <w:szCs w:val="24"/>
          <w:vertAlign w:val="subscript"/>
        </w:rPr>
        <w:t xml:space="preserve">工燃 </w:t>
      </w:r>
      <w:r>
        <w:rPr>
          <w:szCs w:val="24"/>
        </w:rPr>
        <w:t>=∑（</w:t>
      </w:r>
      <w:r>
        <w:rPr>
          <w:i/>
          <w:iCs/>
          <w:szCs w:val="24"/>
        </w:rPr>
        <w:t>AD</w:t>
      </w:r>
      <w:r>
        <w:rPr>
          <w:i/>
          <w:iCs/>
          <w:szCs w:val="24"/>
          <w:vertAlign w:val="subscript"/>
        </w:rPr>
        <w:t>i</w:t>
      </w:r>
      <w:r>
        <w:rPr>
          <w:szCs w:val="24"/>
          <w:vertAlign w:val="subscript"/>
        </w:rPr>
        <w:t>燃料</w:t>
      </w:r>
      <w:r>
        <w:rPr>
          <w:szCs w:val="24"/>
        </w:rPr>
        <w:t>×</w:t>
      </w:r>
      <w:r>
        <w:rPr>
          <w:i/>
          <w:iCs/>
          <w:szCs w:val="24"/>
        </w:rPr>
        <w:t>EF</w:t>
      </w:r>
      <w:r>
        <w:rPr>
          <w:i/>
          <w:iCs/>
          <w:szCs w:val="24"/>
          <w:vertAlign w:val="subscript"/>
        </w:rPr>
        <w:t>i</w:t>
      </w:r>
      <w:r>
        <w:rPr>
          <w:szCs w:val="24"/>
          <w:vertAlign w:val="subscript"/>
        </w:rPr>
        <w:t>燃料</w:t>
      </w:r>
      <w:r>
        <w:rPr>
          <w:szCs w:val="24"/>
        </w:rPr>
        <w:t>）                （3.</w:t>
      </w:r>
      <w:r>
        <w:rPr>
          <w:rFonts w:hint="eastAsia"/>
          <w:szCs w:val="24"/>
        </w:rPr>
        <w:t>4.6</w:t>
      </w:r>
      <w:r>
        <w:rPr>
          <w:szCs w:val="24"/>
        </w:rPr>
        <w:t>-2）</w:t>
      </w:r>
    </w:p>
    <w:p w14:paraId="7E9F90EB">
      <w:pPr>
        <w:ind w:firstLine="480"/>
        <w:jc w:val="left"/>
        <w:rPr>
          <w:szCs w:val="24"/>
        </w:rPr>
      </w:pPr>
      <w:r>
        <w:rPr>
          <w:szCs w:val="24"/>
        </w:rPr>
        <w:t>式中：</w:t>
      </w:r>
      <w:r>
        <w:rPr>
          <w:i/>
          <w:iCs/>
          <w:szCs w:val="24"/>
        </w:rPr>
        <w:t>i</w:t>
      </w:r>
      <w:r>
        <w:rPr>
          <w:szCs w:val="24"/>
        </w:rPr>
        <w:t>———燃料种类；</w:t>
      </w:r>
      <w:r>
        <w:rPr>
          <w:i/>
          <w:iCs/>
          <w:szCs w:val="24"/>
        </w:rPr>
        <w:t>AD</w:t>
      </w:r>
      <w:r>
        <w:rPr>
          <w:i/>
          <w:iCs/>
          <w:szCs w:val="24"/>
          <w:vertAlign w:val="subscript"/>
        </w:rPr>
        <w:t>i</w:t>
      </w:r>
      <w:r>
        <w:rPr>
          <w:szCs w:val="24"/>
          <w:vertAlign w:val="subscript"/>
        </w:rPr>
        <w:t>燃料</w:t>
      </w:r>
      <w:r>
        <w:rPr>
          <w:szCs w:val="24"/>
        </w:rPr>
        <w:t>—</w:t>
      </w:r>
      <w:r>
        <w:rPr>
          <w:i/>
          <w:iCs/>
          <w:szCs w:val="24"/>
        </w:rPr>
        <w:t>i</w:t>
      </w:r>
      <w:r>
        <w:rPr>
          <w:szCs w:val="24"/>
        </w:rPr>
        <w:t>燃料燃烧消耗量（t或kNm</w:t>
      </w:r>
      <w:r>
        <w:rPr>
          <w:szCs w:val="24"/>
          <w:vertAlign w:val="superscript"/>
        </w:rPr>
        <w:t>3</w:t>
      </w:r>
      <w:r>
        <w:rPr>
          <w:szCs w:val="24"/>
        </w:rPr>
        <w:t>）；</w:t>
      </w:r>
      <w:r>
        <w:rPr>
          <w:i/>
          <w:iCs/>
          <w:szCs w:val="24"/>
        </w:rPr>
        <w:t>EF</w:t>
      </w:r>
      <w:r>
        <w:rPr>
          <w:i/>
          <w:iCs/>
          <w:szCs w:val="24"/>
          <w:vertAlign w:val="subscript"/>
        </w:rPr>
        <w:t>i</w:t>
      </w:r>
      <w:r>
        <w:rPr>
          <w:szCs w:val="24"/>
          <w:vertAlign w:val="subscript"/>
        </w:rPr>
        <w:t>燃料</w:t>
      </w:r>
      <w:r>
        <w:rPr>
          <w:szCs w:val="24"/>
        </w:rPr>
        <w:t>—</w:t>
      </w:r>
      <w:r>
        <w:rPr>
          <w:i/>
          <w:iCs/>
          <w:szCs w:val="24"/>
        </w:rPr>
        <w:t>i</w:t>
      </w:r>
      <w:r>
        <w:rPr>
          <w:szCs w:val="24"/>
        </w:rPr>
        <w:t>燃料燃烧二氧化碳排放因子（tCO</w:t>
      </w:r>
      <w:r>
        <w:rPr>
          <w:szCs w:val="24"/>
          <w:vertAlign w:val="subscript"/>
        </w:rPr>
        <w:t>2</w:t>
      </w:r>
      <w:r>
        <w:rPr>
          <w:szCs w:val="24"/>
        </w:rPr>
        <w:t>e/kg或tCO</w:t>
      </w:r>
      <w:r>
        <w:rPr>
          <w:szCs w:val="24"/>
          <w:vertAlign w:val="subscript"/>
        </w:rPr>
        <w:t>2</w:t>
      </w:r>
      <w:r>
        <w:rPr>
          <w:szCs w:val="24"/>
        </w:rPr>
        <w:t>e/kNm</w:t>
      </w:r>
      <w:r>
        <w:rPr>
          <w:szCs w:val="24"/>
          <w:vertAlign w:val="superscript"/>
        </w:rPr>
        <w:t>3</w:t>
      </w:r>
      <w:r>
        <w:rPr>
          <w:szCs w:val="24"/>
        </w:rPr>
        <w:t>），按照指南附表D.2选取。</w:t>
      </w:r>
    </w:p>
    <w:p w14:paraId="4A8777FD">
      <w:pPr>
        <w:ind w:firstLine="480"/>
        <w:jc w:val="left"/>
        <w:rPr>
          <w:szCs w:val="24"/>
        </w:rPr>
      </w:pPr>
      <w:r>
        <w:rPr>
          <w:szCs w:val="24"/>
        </w:rPr>
        <w:t>根据现状调查结果，度假区涉及的燃料种类及排放因子见下表：</w:t>
      </w:r>
    </w:p>
    <w:p w14:paraId="4A12FF0C">
      <w:pPr>
        <w:pStyle w:val="45"/>
        <w:rPr>
          <w:rFonts w:cs="Times New Roman"/>
        </w:rPr>
      </w:pPr>
      <w:r>
        <w:rPr>
          <w:rFonts w:hint="eastAsia" w:cs="Times New Roman"/>
        </w:rPr>
        <w:t>表3.4-37  度假区涉及燃料排放因子一览表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9"/>
        <w:gridCol w:w="5323"/>
      </w:tblGrid>
      <w:tr w14:paraId="25037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877" w:type="pct"/>
            <w:tcBorders>
              <w:top w:val="single" w:color="auto" w:sz="4" w:space="0"/>
              <w:left w:val="single" w:color="auto" w:sz="4" w:space="0"/>
              <w:bottom w:val="single" w:color="auto" w:sz="4" w:space="0"/>
              <w:right w:val="single" w:color="auto" w:sz="4" w:space="0"/>
            </w:tcBorders>
            <w:vAlign w:val="center"/>
          </w:tcPr>
          <w:p w14:paraId="55CF5CE7">
            <w:pPr>
              <w:spacing w:line="240" w:lineRule="auto"/>
              <w:ind w:firstLine="0" w:firstLineChars="0"/>
              <w:jc w:val="center"/>
              <w:rPr>
                <w:b/>
                <w:bCs/>
                <w:sz w:val="21"/>
                <w:szCs w:val="21"/>
              </w:rPr>
            </w:pPr>
            <w:r>
              <w:rPr>
                <w:rFonts w:hint="eastAsia"/>
                <w:b/>
                <w:bCs/>
                <w:sz w:val="21"/>
                <w:szCs w:val="21"/>
              </w:rPr>
              <w:t>燃料种类</w:t>
            </w:r>
          </w:p>
        </w:tc>
        <w:tc>
          <w:tcPr>
            <w:tcW w:w="3123" w:type="pct"/>
            <w:tcBorders>
              <w:top w:val="single" w:color="auto" w:sz="4" w:space="0"/>
              <w:left w:val="single" w:color="auto" w:sz="4" w:space="0"/>
              <w:bottom w:val="single" w:color="auto" w:sz="4" w:space="0"/>
              <w:right w:val="single" w:color="auto" w:sz="4" w:space="0"/>
            </w:tcBorders>
            <w:vAlign w:val="center"/>
          </w:tcPr>
          <w:p w14:paraId="0F2BF931">
            <w:pPr>
              <w:spacing w:line="240" w:lineRule="auto"/>
              <w:ind w:firstLine="0" w:firstLineChars="0"/>
              <w:jc w:val="center"/>
              <w:rPr>
                <w:b/>
                <w:bCs/>
                <w:sz w:val="21"/>
                <w:szCs w:val="21"/>
              </w:rPr>
            </w:pPr>
            <w:r>
              <w:rPr>
                <w:rFonts w:hint="eastAsia"/>
                <w:b/>
                <w:bCs/>
                <w:sz w:val="21"/>
                <w:szCs w:val="21"/>
              </w:rPr>
              <w:t>排放因子</w:t>
            </w:r>
          </w:p>
        </w:tc>
      </w:tr>
      <w:tr w14:paraId="1CBCE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7" w:type="pct"/>
            <w:tcBorders>
              <w:top w:val="single" w:color="auto" w:sz="4" w:space="0"/>
              <w:left w:val="single" w:color="auto" w:sz="4" w:space="0"/>
              <w:bottom w:val="single" w:color="auto" w:sz="4" w:space="0"/>
              <w:right w:val="single" w:color="auto" w:sz="4" w:space="0"/>
            </w:tcBorders>
            <w:vAlign w:val="center"/>
          </w:tcPr>
          <w:p w14:paraId="10D8E6ED">
            <w:pPr>
              <w:spacing w:line="240" w:lineRule="auto"/>
              <w:ind w:firstLine="0" w:firstLineChars="0"/>
              <w:jc w:val="center"/>
              <w:rPr>
                <w:sz w:val="21"/>
                <w:szCs w:val="21"/>
              </w:rPr>
            </w:pPr>
            <w:r>
              <w:rPr>
                <w:rFonts w:hint="eastAsia"/>
                <w:sz w:val="21"/>
                <w:szCs w:val="21"/>
              </w:rPr>
              <w:t>天然气</w:t>
            </w:r>
          </w:p>
        </w:tc>
        <w:tc>
          <w:tcPr>
            <w:tcW w:w="3123" w:type="pct"/>
            <w:tcBorders>
              <w:top w:val="single" w:color="auto" w:sz="4" w:space="0"/>
              <w:left w:val="single" w:color="auto" w:sz="4" w:space="0"/>
              <w:bottom w:val="single" w:color="auto" w:sz="4" w:space="0"/>
              <w:right w:val="single" w:color="auto" w:sz="4" w:space="0"/>
            </w:tcBorders>
            <w:vAlign w:val="center"/>
          </w:tcPr>
          <w:p w14:paraId="6C1FD861">
            <w:pPr>
              <w:spacing w:line="240" w:lineRule="auto"/>
              <w:ind w:firstLine="0" w:firstLineChars="0"/>
              <w:jc w:val="center"/>
              <w:rPr>
                <w:sz w:val="21"/>
                <w:szCs w:val="21"/>
              </w:rPr>
            </w:pPr>
            <w:r>
              <w:rPr>
                <w:rFonts w:hint="eastAsia"/>
                <w:kern w:val="0"/>
                <w:sz w:val="21"/>
                <w:szCs w:val="21"/>
                <w:lang w:val="zh-CN" w:eastAsia="en-US" w:bidi="zh-CN"/>
              </w:rPr>
              <w:t>2.16</w:t>
            </w:r>
            <w:r>
              <w:rPr>
                <w:rFonts w:hint="eastAsia"/>
                <w:kern w:val="0"/>
                <w:position w:val="1"/>
                <w:sz w:val="21"/>
                <w:szCs w:val="21"/>
                <w:lang w:eastAsia="en-US" w:bidi="zh-CN"/>
              </w:rPr>
              <w:t xml:space="preserve"> tCO</w:t>
            </w:r>
            <w:r>
              <w:rPr>
                <w:rFonts w:hint="eastAsia"/>
                <w:kern w:val="0"/>
                <w:sz w:val="21"/>
                <w:szCs w:val="21"/>
                <w:vertAlign w:val="subscript"/>
                <w:lang w:eastAsia="en-US" w:bidi="zh-CN"/>
              </w:rPr>
              <w:t>2</w:t>
            </w:r>
            <w:r>
              <w:rPr>
                <w:rFonts w:hint="eastAsia"/>
                <w:kern w:val="0"/>
                <w:position w:val="1"/>
                <w:sz w:val="21"/>
                <w:szCs w:val="21"/>
                <w:lang w:eastAsia="en-US" w:bidi="zh-CN"/>
              </w:rPr>
              <w:t>/KN</w:t>
            </w:r>
            <w:r>
              <w:rPr>
                <w:rFonts w:hint="eastAsia"/>
                <w:kern w:val="0"/>
                <w:position w:val="1"/>
                <w:sz w:val="21"/>
                <w:szCs w:val="21"/>
                <w:lang w:bidi="zh-CN"/>
              </w:rPr>
              <w:t>m</w:t>
            </w:r>
            <w:r>
              <w:rPr>
                <w:rFonts w:hint="eastAsia"/>
                <w:kern w:val="0"/>
                <w:position w:val="1"/>
                <w:sz w:val="21"/>
                <w:szCs w:val="21"/>
                <w:vertAlign w:val="superscript"/>
                <w:lang w:eastAsia="en-US" w:bidi="zh-CN"/>
              </w:rPr>
              <w:t>3</w:t>
            </w:r>
          </w:p>
        </w:tc>
      </w:tr>
      <w:tr w14:paraId="609C5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7" w:type="pct"/>
            <w:tcBorders>
              <w:top w:val="single" w:color="auto" w:sz="4" w:space="0"/>
              <w:left w:val="single" w:color="auto" w:sz="4" w:space="0"/>
              <w:bottom w:val="single" w:color="auto" w:sz="4" w:space="0"/>
              <w:right w:val="single" w:color="auto" w:sz="4" w:space="0"/>
            </w:tcBorders>
            <w:vAlign w:val="center"/>
          </w:tcPr>
          <w:p w14:paraId="165B06ED">
            <w:pPr>
              <w:spacing w:line="240" w:lineRule="auto"/>
              <w:ind w:firstLine="0" w:firstLineChars="0"/>
              <w:jc w:val="center"/>
              <w:rPr>
                <w:sz w:val="21"/>
                <w:szCs w:val="21"/>
              </w:rPr>
            </w:pPr>
            <w:r>
              <w:rPr>
                <w:rFonts w:hint="eastAsia"/>
                <w:sz w:val="21"/>
                <w:szCs w:val="21"/>
              </w:rPr>
              <w:t>液化石油气</w:t>
            </w:r>
          </w:p>
        </w:tc>
        <w:tc>
          <w:tcPr>
            <w:tcW w:w="3123" w:type="pct"/>
            <w:tcBorders>
              <w:top w:val="single" w:color="auto" w:sz="4" w:space="0"/>
              <w:left w:val="single" w:color="auto" w:sz="4" w:space="0"/>
              <w:bottom w:val="single" w:color="auto" w:sz="4" w:space="0"/>
              <w:right w:val="single" w:color="auto" w:sz="4" w:space="0"/>
            </w:tcBorders>
            <w:vAlign w:val="center"/>
          </w:tcPr>
          <w:p w14:paraId="3D25723D">
            <w:pPr>
              <w:spacing w:line="240" w:lineRule="auto"/>
              <w:ind w:firstLine="0" w:firstLineChars="0"/>
              <w:jc w:val="center"/>
              <w:rPr>
                <w:kern w:val="0"/>
                <w:sz w:val="21"/>
                <w:szCs w:val="21"/>
                <w:lang w:eastAsia="en-US" w:bidi="zh-CN"/>
              </w:rPr>
            </w:pPr>
            <w:r>
              <w:rPr>
                <w:rFonts w:hint="eastAsia"/>
                <w:kern w:val="0"/>
                <w:sz w:val="21"/>
                <w:szCs w:val="21"/>
                <w:lang w:eastAsia="en-US" w:bidi="zh-CN"/>
              </w:rPr>
              <w:t>3.101</w:t>
            </w:r>
            <w:r>
              <w:rPr>
                <w:rFonts w:hint="eastAsia" w:cs="Times New Roman"/>
                <w:kern w:val="0"/>
                <w:sz w:val="21"/>
                <w:szCs w:val="21"/>
              </w:rPr>
              <w:t xml:space="preserve"> tCO</w:t>
            </w:r>
            <w:r>
              <w:rPr>
                <w:rFonts w:hint="eastAsia" w:cs="Times New Roman"/>
                <w:kern w:val="0"/>
                <w:sz w:val="21"/>
                <w:szCs w:val="21"/>
                <w:vertAlign w:val="subscript"/>
              </w:rPr>
              <w:t>2</w:t>
            </w:r>
            <w:r>
              <w:rPr>
                <w:rFonts w:hint="eastAsia" w:cs="Times New Roman"/>
                <w:kern w:val="0"/>
                <w:sz w:val="21"/>
                <w:szCs w:val="21"/>
              </w:rPr>
              <w:t>/t</w:t>
            </w:r>
          </w:p>
        </w:tc>
      </w:tr>
      <w:tr w14:paraId="3BC88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7" w:type="pct"/>
            <w:tcBorders>
              <w:top w:val="single" w:color="auto" w:sz="4" w:space="0"/>
              <w:left w:val="single" w:color="auto" w:sz="4" w:space="0"/>
              <w:bottom w:val="single" w:color="auto" w:sz="4" w:space="0"/>
              <w:right w:val="single" w:color="auto" w:sz="4" w:space="0"/>
            </w:tcBorders>
            <w:vAlign w:val="center"/>
          </w:tcPr>
          <w:p w14:paraId="6857BBD0">
            <w:pPr>
              <w:spacing w:line="240" w:lineRule="auto"/>
              <w:ind w:firstLine="0" w:firstLineChars="0"/>
              <w:jc w:val="center"/>
              <w:rPr>
                <w:sz w:val="21"/>
                <w:szCs w:val="21"/>
              </w:rPr>
            </w:pPr>
            <w:r>
              <w:rPr>
                <w:rFonts w:hint="eastAsia"/>
                <w:sz w:val="21"/>
                <w:szCs w:val="21"/>
              </w:rPr>
              <w:t>生物质燃料</w:t>
            </w:r>
          </w:p>
        </w:tc>
        <w:tc>
          <w:tcPr>
            <w:tcW w:w="3123" w:type="pct"/>
            <w:tcBorders>
              <w:top w:val="single" w:color="auto" w:sz="4" w:space="0"/>
              <w:left w:val="single" w:color="auto" w:sz="4" w:space="0"/>
              <w:bottom w:val="single" w:color="auto" w:sz="4" w:space="0"/>
              <w:right w:val="single" w:color="auto" w:sz="4" w:space="0"/>
            </w:tcBorders>
            <w:vAlign w:val="center"/>
          </w:tcPr>
          <w:p w14:paraId="08CD01BE">
            <w:pPr>
              <w:spacing w:line="240" w:lineRule="auto"/>
              <w:ind w:firstLine="0" w:firstLineChars="0"/>
              <w:jc w:val="center"/>
              <w:rPr>
                <w:kern w:val="0"/>
                <w:sz w:val="21"/>
                <w:szCs w:val="21"/>
                <w:lang w:val="zh-CN" w:eastAsia="en-US" w:bidi="zh-CN"/>
              </w:rPr>
            </w:pPr>
            <w:r>
              <w:rPr>
                <w:rFonts w:hint="eastAsia" w:cs="Times New Roman"/>
                <w:kern w:val="0"/>
                <w:sz w:val="21"/>
                <w:szCs w:val="21"/>
              </w:rPr>
              <w:t>2.143 tCO</w:t>
            </w:r>
            <w:r>
              <w:rPr>
                <w:rFonts w:hint="eastAsia" w:cs="Times New Roman"/>
                <w:kern w:val="0"/>
                <w:sz w:val="21"/>
                <w:szCs w:val="21"/>
                <w:vertAlign w:val="subscript"/>
              </w:rPr>
              <w:t>2</w:t>
            </w:r>
            <w:r>
              <w:rPr>
                <w:rFonts w:hint="eastAsia" w:cs="Times New Roman"/>
                <w:kern w:val="0"/>
                <w:sz w:val="21"/>
                <w:szCs w:val="21"/>
              </w:rPr>
              <w:t>/t</w:t>
            </w:r>
          </w:p>
        </w:tc>
      </w:tr>
      <w:tr w14:paraId="4A330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7" w:type="pct"/>
            <w:tcBorders>
              <w:top w:val="single" w:color="auto" w:sz="4" w:space="0"/>
              <w:left w:val="single" w:color="auto" w:sz="4" w:space="0"/>
              <w:bottom w:val="single" w:color="auto" w:sz="4" w:space="0"/>
              <w:right w:val="single" w:color="auto" w:sz="4" w:space="0"/>
            </w:tcBorders>
            <w:vAlign w:val="center"/>
          </w:tcPr>
          <w:p w14:paraId="17FF1D49">
            <w:pPr>
              <w:spacing w:line="240" w:lineRule="auto"/>
              <w:ind w:firstLine="0" w:firstLineChars="0"/>
              <w:jc w:val="center"/>
              <w:rPr>
                <w:sz w:val="21"/>
                <w:szCs w:val="21"/>
              </w:rPr>
            </w:pPr>
            <w:r>
              <w:rPr>
                <w:rFonts w:hint="eastAsia"/>
                <w:sz w:val="21"/>
                <w:szCs w:val="21"/>
              </w:rPr>
              <w:t>烟煤</w:t>
            </w:r>
          </w:p>
        </w:tc>
        <w:tc>
          <w:tcPr>
            <w:tcW w:w="3123" w:type="pct"/>
            <w:tcBorders>
              <w:top w:val="single" w:color="auto" w:sz="4" w:space="0"/>
              <w:left w:val="single" w:color="auto" w:sz="4" w:space="0"/>
              <w:bottom w:val="single" w:color="auto" w:sz="4" w:space="0"/>
              <w:right w:val="single" w:color="auto" w:sz="4" w:space="0"/>
            </w:tcBorders>
            <w:vAlign w:val="center"/>
          </w:tcPr>
          <w:p w14:paraId="31133DB5">
            <w:pPr>
              <w:spacing w:line="240" w:lineRule="auto"/>
              <w:ind w:firstLine="0" w:firstLineChars="0"/>
              <w:jc w:val="center"/>
              <w:rPr>
                <w:kern w:val="0"/>
                <w:sz w:val="21"/>
                <w:szCs w:val="21"/>
                <w:lang w:val="zh-CN" w:eastAsia="en-US" w:bidi="zh-CN"/>
              </w:rPr>
            </w:pPr>
            <w:r>
              <w:rPr>
                <w:rFonts w:hint="eastAsia" w:cs="Times New Roman"/>
                <w:kern w:val="0"/>
                <w:sz w:val="21"/>
                <w:szCs w:val="21"/>
              </w:rPr>
              <w:t>1.810 tCO</w:t>
            </w:r>
            <w:r>
              <w:rPr>
                <w:rFonts w:hint="eastAsia" w:cs="Times New Roman"/>
                <w:kern w:val="0"/>
                <w:sz w:val="21"/>
                <w:szCs w:val="21"/>
                <w:vertAlign w:val="subscript"/>
              </w:rPr>
              <w:t>2</w:t>
            </w:r>
            <w:r>
              <w:rPr>
                <w:rFonts w:hint="eastAsia" w:cs="Times New Roman"/>
                <w:kern w:val="0"/>
                <w:sz w:val="21"/>
                <w:szCs w:val="21"/>
              </w:rPr>
              <w:t>/t</w:t>
            </w:r>
          </w:p>
        </w:tc>
      </w:tr>
    </w:tbl>
    <w:p w14:paraId="22B261B5">
      <w:pPr>
        <w:ind w:firstLine="480"/>
        <w:jc w:val="left"/>
        <w:rPr>
          <w:szCs w:val="24"/>
        </w:rPr>
      </w:pPr>
      <w:r>
        <w:rPr>
          <w:szCs w:val="24"/>
        </w:rPr>
        <w:t>净调入电力和热力消耗碳排放总量（</w:t>
      </w:r>
      <w:r>
        <w:rPr>
          <w:i/>
          <w:iCs/>
          <w:szCs w:val="24"/>
        </w:rPr>
        <w:t>AE</w:t>
      </w:r>
      <w:r>
        <w:rPr>
          <w:szCs w:val="24"/>
          <w:vertAlign w:val="subscript"/>
        </w:rPr>
        <w:t>净调入电力和热力</w:t>
      </w:r>
      <w:r>
        <w:rPr>
          <w:szCs w:val="24"/>
        </w:rPr>
        <w:t>）计算方法见公式（3.</w:t>
      </w:r>
      <w:r>
        <w:rPr>
          <w:rFonts w:hint="eastAsia"/>
          <w:szCs w:val="24"/>
        </w:rPr>
        <w:t>4.6</w:t>
      </w:r>
      <w:r>
        <w:rPr>
          <w:szCs w:val="24"/>
        </w:rPr>
        <w:t>-3）：</w:t>
      </w:r>
    </w:p>
    <w:p w14:paraId="305B31CC">
      <w:pPr>
        <w:ind w:firstLine="480"/>
        <w:jc w:val="right"/>
        <w:rPr>
          <w:szCs w:val="24"/>
        </w:rPr>
      </w:pPr>
      <w:r>
        <w:rPr>
          <w:i/>
          <w:iCs/>
          <w:szCs w:val="24"/>
        </w:rPr>
        <w:t>AE</w:t>
      </w:r>
      <w:r>
        <w:rPr>
          <w:szCs w:val="24"/>
          <w:vertAlign w:val="subscript"/>
        </w:rPr>
        <w:t>净调入电力和热力</w:t>
      </w:r>
      <w:r>
        <w:rPr>
          <w:szCs w:val="24"/>
        </w:rPr>
        <w:t>=</w:t>
      </w:r>
      <w:r>
        <w:rPr>
          <w:i/>
          <w:iCs/>
          <w:szCs w:val="24"/>
        </w:rPr>
        <w:t xml:space="preserve"> AE</w:t>
      </w:r>
      <w:r>
        <w:rPr>
          <w:szCs w:val="24"/>
          <w:vertAlign w:val="subscript"/>
        </w:rPr>
        <w:t>净调入电力</w:t>
      </w:r>
      <w:r>
        <w:rPr>
          <w:szCs w:val="24"/>
        </w:rPr>
        <w:t>+</w:t>
      </w:r>
      <w:r>
        <w:rPr>
          <w:i/>
          <w:iCs/>
          <w:szCs w:val="24"/>
        </w:rPr>
        <w:t xml:space="preserve"> AE</w:t>
      </w:r>
      <w:r>
        <w:rPr>
          <w:szCs w:val="24"/>
          <w:vertAlign w:val="subscript"/>
        </w:rPr>
        <w:t xml:space="preserve">净调入热力                </w:t>
      </w:r>
      <w:r>
        <w:rPr>
          <w:szCs w:val="24"/>
        </w:rPr>
        <w:t>（3.</w:t>
      </w:r>
      <w:r>
        <w:rPr>
          <w:rFonts w:hint="eastAsia"/>
          <w:szCs w:val="24"/>
        </w:rPr>
        <w:t>4.6</w:t>
      </w:r>
      <w:r>
        <w:rPr>
          <w:szCs w:val="24"/>
        </w:rPr>
        <w:t>-3）</w:t>
      </w:r>
    </w:p>
    <w:p w14:paraId="35923F2B">
      <w:pPr>
        <w:ind w:firstLine="480"/>
        <w:jc w:val="left"/>
        <w:rPr>
          <w:szCs w:val="24"/>
        </w:rPr>
      </w:pPr>
      <w:r>
        <w:rPr>
          <w:szCs w:val="24"/>
        </w:rPr>
        <w:t>式中：</w:t>
      </w:r>
      <w:r>
        <w:rPr>
          <w:i/>
          <w:iCs/>
          <w:szCs w:val="24"/>
        </w:rPr>
        <w:t>AE</w:t>
      </w:r>
      <w:r>
        <w:rPr>
          <w:szCs w:val="24"/>
          <w:vertAlign w:val="subscript"/>
        </w:rPr>
        <w:t>净调入电力</w:t>
      </w:r>
      <w:r>
        <w:rPr>
          <w:szCs w:val="24"/>
        </w:rPr>
        <w:t>—净调入电力消耗碳排放量（tCO</w:t>
      </w:r>
      <w:r>
        <w:rPr>
          <w:szCs w:val="24"/>
          <w:vertAlign w:val="subscript"/>
        </w:rPr>
        <w:t>2</w:t>
      </w:r>
      <w:r>
        <w:rPr>
          <w:szCs w:val="24"/>
        </w:rPr>
        <w:t>e）；</w:t>
      </w:r>
      <w:r>
        <w:rPr>
          <w:i/>
          <w:iCs/>
          <w:szCs w:val="24"/>
        </w:rPr>
        <w:t>AE</w:t>
      </w:r>
      <w:r>
        <w:rPr>
          <w:szCs w:val="24"/>
          <w:vertAlign w:val="subscript"/>
        </w:rPr>
        <w:t>净调入热力</w:t>
      </w:r>
      <w:r>
        <w:rPr>
          <w:szCs w:val="24"/>
        </w:rPr>
        <w:t>—净调入热力消耗碳排放量（tCO</w:t>
      </w:r>
      <w:r>
        <w:rPr>
          <w:szCs w:val="24"/>
          <w:vertAlign w:val="subscript"/>
        </w:rPr>
        <w:t>2</w:t>
      </w:r>
      <w:r>
        <w:rPr>
          <w:szCs w:val="24"/>
        </w:rPr>
        <w:t>e）。度假区无净调入热力值。</w:t>
      </w:r>
    </w:p>
    <w:p w14:paraId="468E2937">
      <w:pPr>
        <w:ind w:firstLine="480"/>
        <w:jc w:val="left"/>
        <w:rPr>
          <w:szCs w:val="24"/>
        </w:rPr>
      </w:pPr>
      <w:r>
        <w:rPr>
          <w:szCs w:val="24"/>
        </w:rPr>
        <w:t>其中，净调入电力消耗碳排放量（</w:t>
      </w:r>
      <w:r>
        <w:rPr>
          <w:i/>
          <w:iCs/>
          <w:szCs w:val="24"/>
        </w:rPr>
        <w:t>AE</w:t>
      </w:r>
      <w:r>
        <w:rPr>
          <w:szCs w:val="24"/>
          <w:vertAlign w:val="subscript"/>
        </w:rPr>
        <w:t>净调入电力</w:t>
      </w:r>
      <w:r>
        <w:rPr>
          <w:szCs w:val="24"/>
        </w:rPr>
        <w:t>）计算方法见公式（3.</w:t>
      </w:r>
      <w:r>
        <w:rPr>
          <w:rFonts w:hint="eastAsia"/>
          <w:szCs w:val="24"/>
        </w:rPr>
        <w:t>4.6</w:t>
      </w:r>
      <w:r>
        <w:rPr>
          <w:szCs w:val="24"/>
        </w:rPr>
        <w:t>-4）：</w:t>
      </w:r>
    </w:p>
    <w:p w14:paraId="56CFFF97">
      <w:pPr>
        <w:ind w:firstLine="480"/>
        <w:jc w:val="right"/>
        <w:rPr>
          <w:szCs w:val="24"/>
        </w:rPr>
      </w:pPr>
      <w:r>
        <w:rPr>
          <w:i/>
          <w:iCs/>
          <w:szCs w:val="24"/>
        </w:rPr>
        <w:t>AE</w:t>
      </w:r>
      <w:r>
        <w:rPr>
          <w:szCs w:val="24"/>
          <w:vertAlign w:val="subscript"/>
        </w:rPr>
        <w:t>净调入电力</w:t>
      </w:r>
      <w:r>
        <w:rPr>
          <w:i/>
          <w:iCs/>
          <w:szCs w:val="24"/>
        </w:rPr>
        <w:t>=AD</w:t>
      </w:r>
      <w:r>
        <w:rPr>
          <w:szCs w:val="24"/>
          <w:vertAlign w:val="subscript"/>
        </w:rPr>
        <w:t>净调入电量</w:t>
      </w:r>
      <w:r>
        <w:rPr>
          <w:szCs w:val="24"/>
        </w:rPr>
        <w:t>×</w:t>
      </w:r>
      <w:r>
        <w:rPr>
          <w:i/>
          <w:iCs/>
          <w:szCs w:val="24"/>
        </w:rPr>
        <w:t>EF</w:t>
      </w:r>
      <w:r>
        <w:rPr>
          <w:szCs w:val="24"/>
          <w:vertAlign w:val="subscript"/>
        </w:rPr>
        <w:t xml:space="preserve">电力                        </w:t>
      </w:r>
      <w:r>
        <w:rPr>
          <w:szCs w:val="24"/>
        </w:rPr>
        <w:t>（3.</w:t>
      </w:r>
      <w:r>
        <w:rPr>
          <w:rFonts w:hint="eastAsia"/>
          <w:szCs w:val="24"/>
        </w:rPr>
        <w:t>4.6</w:t>
      </w:r>
      <w:r>
        <w:rPr>
          <w:szCs w:val="24"/>
        </w:rPr>
        <w:t>-4）</w:t>
      </w:r>
    </w:p>
    <w:p w14:paraId="048D312E">
      <w:pPr>
        <w:ind w:firstLine="480"/>
        <w:rPr>
          <w:szCs w:val="24"/>
        </w:rPr>
      </w:pPr>
      <w:r>
        <w:rPr>
          <w:szCs w:val="24"/>
        </w:rPr>
        <w:t>式中：</w:t>
      </w:r>
      <w:r>
        <w:rPr>
          <w:i/>
          <w:iCs/>
          <w:szCs w:val="24"/>
        </w:rPr>
        <w:t>AD</w:t>
      </w:r>
      <w:r>
        <w:rPr>
          <w:szCs w:val="24"/>
          <w:vertAlign w:val="subscript"/>
        </w:rPr>
        <w:t>净调入电量</w:t>
      </w:r>
      <w:r>
        <w:rPr>
          <w:szCs w:val="24"/>
        </w:rPr>
        <w:t>—净调入电力消耗量（</w:t>
      </w:r>
      <w:r>
        <w:rPr>
          <w:szCs w:val="24"/>
          <w:lang w:bidi="zh-CN"/>
        </w:rPr>
        <w:t>MWh</w:t>
      </w:r>
      <w:r>
        <w:rPr>
          <w:szCs w:val="24"/>
        </w:rPr>
        <w:t>）；</w:t>
      </w:r>
      <w:r>
        <w:rPr>
          <w:i/>
          <w:iCs/>
          <w:szCs w:val="24"/>
        </w:rPr>
        <w:t>EF</w:t>
      </w:r>
      <w:r>
        <w:rPr>
          <w:szCs w:val="24"/>
          <w:vertAlign w:val="subscript"/>
        </w:rPr>
        <w:t>电力</w:t>
      </w:r>
      <w:r>
        <w:rPr>
          <w:szCs w:val="24"/>
        </w:rPr>
        <w:t>—</w:t>
      </w:r>
      <w:r>
        <w:rPr>
          <w:szCs w:val="24"/>
          <w:lang w:bidi="zh-CN"/>
        </w:rPr>
        <w:t>电力排放因子（tCO</w:t>
      </w:r>
      <w:r>
        <w:rPr>
          <w:szCs w:val="24"/>
          <w:vertAlign w:val="subscript"/>
          <w:lang w:bidi="zh-CN"/>
        </w:rPr>
        <w:t>2</w:t>
      </w:r>
      <w:r>
        <w:rPr>
          <w:szCs w:val="24"/>
          <w:lang w:bidi="zh-CN"/>
        </w:rPr>
        <w:t>e/MWh），根据《省级人民政府控制温室气体排放目标责任自评报告编制指南》，江苏CO</w:t>
      </w:r>
      <w:r>
        <w:rPr>
          <w:szCs w:val="24"/>
          <w:vertAlign w:val="subscript"/>
          <w:lang w:bidi="zh-CN"/>
        </w:rPr>
        <w:t>2</w:t>
      </w:r>
      <w:r>
        <w:rPr>
          <w:szCs w:val="24"/>
          <w:lang w:bidi="zh-CN"/>
        </w:rPr>
        <w:t xml:space="preserve">排放因子为0.6829 </w:t>
      </w:r>
      <w:r>
        <w:rPr>
          <w:rFonts w:hint="eastAsia"/>
          <w:szCs w:val="24"/>
          <w:lang w:bidi="zh-CN"/>
        </w:rPr>
        <w:t>t</w:t>
      </w:r>
      <w:r>
        <w:rPr>
          <w:szCs w:val="24"/>
          <w:lang w:bidi="zh-CN"/>
        </w:rPr>
        <w:t>CO</w:t>
      </w:r>
      <w:r>
        <w:rPr>
          <w:szCs w:val="24"/>
          <w:vertAlign w:val="subscript"/>
          <w:lang w:bidi="zh-CN"/>
        </w:rPr>
        <w:t>2</w:t>
      </w:r>
      <w:r>
        <w:rPr>
          <w:szCs w:val="24"/>
          <w:lang w:bidi="zh-CN"/>
        </w:rPr>
        <w:t>/</w:t>
      </w:r>
      <w:r>
        <w:rPr>
          <w:rFonts w:hint="eastAsia"/>
          <w:szCs w:val="24"/>
          <w:lang w:bidi="zh-CN"/>
        </w:rPr>
        <w:t>M</w:t>
      </w:r>
      <w:r>
        <w:rPr>
          <w:szCs w:val="24"/>
          <w:lang w:bidi="zh-CN"/>
        </w:rPr>
        <w:t>Wh</w:t>
      </w:r>
      <w:r>
        <w:rPr>
          <w:szCs w:val="24"/>
        </w:rPr>
        <w:t>。</w:t>
      </w:r>
    </w:p>
    <w:p w14:paraId="37A465B6">
      <w:pPr>
        <w:ind w:firstLine="482"/>
        <w:rPr>
          <w:b/>
          <w:bCs/>
        </w:rPr>
      </w:pPr>
      <w:r>
        <w:rPr>
          <w:rFonts w:hint="eastAsia"/>
          <w:b/>
          <w:bCs/>
        </w:rPr>
        <w:t>②计算结果</w:t>
      </w:r>
    </w:p>
    <w:p w14:paraId="38DED334">
      <w:pPr>
        <w:spacing w:line="500" w:lineRule="exact"/>
        <w:ind w:firstLine="480"/>
      </w:pPr>
      <w:r>
        <w:t>根据计算，度假区内现状碳排放量汇总见下表。</w:t>
      </w:r>
    </w:p>
    <w:p w14:paraId="575954CB">
      <w:pPr>
        <w:pStyle w:val="45"/>
        <w:rPr>
          <w:rFonts w:cs="Times New Roman"/>
        </w:rPr>
      </w:pPr>
      <w:r>
        <w:rPr>
          <w:rFonts w:hint="eastAsia" w:cs="Times New Roman"/>
        </w:rPr>
        <w:t>表3.4-38  度假区现状能源活动碳排放量汇总</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0"/>
        <w:gridCol w:w="2768"/>
        <w:gridCol w:w="2453"/>
        <w:gridCol w:w="1871"/>
      </w:tblGrid>
      <w:tr w14:paraId="1EA71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noWrap/>
            <w:vAlign w:val="center"/>
          </w:tcPr>
          <w:p w14:paraId="1916E6F6">
            <w:pPr>
              <w:spacing w:line="240" w:lineRule="auto"/>
              <w:ind w:firstLine="0" w:firstLineChars="0"/>
              <w:jc w:val="center"/>
              <w:rPr>
                <w:b/>
                <w:snapToGrid w:val="0"/>
                <w:sz w:val="21"/>
                <w:szCs w:val="21"/>
              </w:rPr>
            </w:pPr>
            <w:r>
              <w:rPr>
                <w:rFonts w:hint="eastAsia"/>
                <w:b/>
                <w:snapToGrid w:val="0"/>
                <w:sz w:val="21"/>
                <w:szCs w:val="21"/>
              </w:rPr>
              <w:t>碳排放量（t/a）</w:t>
            </w:r>
          </w:p>
        </w:tc>
      </w:tr>
      <w:tr w14:paraId="5D8AD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pct"/>
            <w:noWrap/>
            <w:vAlign w:val="center"/>
          </w:tcPr>
          <w:p w14:paraId="0C48B6CA">
            <w:pPr>
              <w:spacing w:line="240" w:lineRule="auto"/>
              <w:ind w:firstLine="0" w:firstLineChars="0"/>
              <w:jc w:val="center"/>
              <w:rPr>
                <w:b/>
                <w:snapToGrid w:val="0"/>
                <w:sz w:val="21"/>
                <w:szCs w:val="21"/>
              </w:rPr>
            </w:pPr>
            <w:r>
              <w:rPr>
                <w:rFonts w:hint="eastAsia"/>
                <w:b/>
                <w:snapToGrid w:val="0"/>
                <w:sz w:val="21"/>
                <w:szCs w:val="21"/>
              </w:rPr>
              <w:t>类别</w:t>
            </w:r>
          </w:p>
        </w:tc>
        <w:tc>
          <w:tcPr>
            <w:tcW w:w="1624" w:type="pct"/>
            <w:noWrap/>
            <w:vAlign w:val="center"/>
          </w:tcPr>
          <w:p w14:paraId="5C992B03">
            <w:pPr>
              <w:spacing w:line="240" w:lineRule="auto"/>
              <w:ind w:firstLine="0" w:firstLineChars="0"/>
              <w:jc w:val="center"/>
              <w:rPr>
                <w:b/>
                <w:snapToGrid w:val="0"/>
                <w:sz w:val="21"/>
                <w:szCs w:val="21"/>
              </w:rPr>
            </w:pPr>
            <w:r>
              <w:rPr>
                <w:rFonts w:hint="eastAsia"/>
                <w:b/>
                <w:snapToGrid w:val="0"/>
                <w:sz w:val="21"/>
                <w:szCs w:val="21"/>
              </w:rPr>
              <w:t>燃料消耗排放</w:t>
            </w:r>
          </w:p>
        </w:tc>
        <w:tc>
          <w:tcPr>
            <w:tcW w:w="1439" w:type="pct"/>
            <w:vAlign w:val="center"/>
          </w:tcPr>
          <w:p w14:paraId="7B1404CD">
            <w:pPr>
              <w:spacing w:line="240" w:lineRule="auto"/>
              <w:ind w:firstLine="0" w:firstLineChars="0"/>
              <w:jc w:val="center"/>
              <w:rPr>
                <w:b/>
                <w:snapToGrid w:val="0"/>
                <w:sz w:val="21"/>
                <w:szCs w:val="21"/>
              </w:rPr>
            </w:pPr>
            <w:r>
              <w:rPr>
                <w:rFonts w:hint="eastAsia"/>
                <w:b/>
                <w:snapToGrid w:val="0"/>
                <w:sz w:val="21"/>
                <w:szCs w:val="21"/>
              </w:rPr>
              <w:t>净调入电力排放</w:t>
            </w:r>
          </w:p>
        </w:tc>
        <w:tc>
          <w:tcPr>
            <w:tcW w:w="1097" w:type="pct"/>
            <w:noWrap/>
            <w:vAlign w:val="center"/>
          </w:tcPr>
          <w:p w14:paraId="4A093032">
            <w:pPr>
              <w:spacing w:line="240" w:lineRule="auto"/>
              <w:ind w:firstLine="0" w:firstLineChars="0"/>
              <w:jc w:val="center"/>
              <w:rPr>
                <w:b/>
                <w:snapToGrid w:val="0"/>
                <w:sz w:val="21"/>
                <w:szCs w:val="21"/>
              </w:rPr>
            </w:pPr>
            <w:r>
              <w:rPr>
                <w:rFonts w:hint="eastAsia"/>
                <w:b/>
                <w:snapToGrid w:val="0"/>
                <w:sz w:val="21"/>
                <w:szCs w:val="21"/>
              </w:rPr>
              <w:t>合计</w:t>
            </w:r>
          </w:p>
        </w:tc>
      </w:tr>
      <w:tr w14:paraId="1681C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pct"/>
            <w:noWrap/>
            <w:vAlign w:val="center"/>
          </w:tcPr>
          <w:p w14:paraId="320A8A4F">
            <w:pPr>
              <w:spacing w:line="240" w:lineRule="auto"/>
              <w:ind w:firstLine="0" w:firstLineChars="0"/>
              <w:jc w:val="center"/>
              <w:rPr>
                <w:snapToGrid w:val="0"/>
                <w:sz w:val="21"/>
                <w:szCs w:val="21"/>
              </w:rPr>
            </w:pPr>
            <w:r>
              <w:rPr>
                <w:rFonts w:hint="eastAsia"/>
                <w:snapToGrid w:val="0"/>
                <w:sz w:val="21"/>
                <w:szCs w:val="21"/>
              </w:rPr>
              <w:t>工业源</w:t>
            </w:r>
          </w:p>
        </w:tc>
        <w:tc>
          <w:tcPr>
            <w:tcW w:w="1624" w:type="pct"/>
            <w:noWrap/>
            <w:vAlign w:val="center"/>
          </w:tcPr>
          <w:p w14:paraId="5968D04A">
            <w:pPr>
              <w:spacing w:line="240" w:lineRule="auto"/>
              <w:ind w:firstLine="0" w:firstLineChars="0"/>
              <w:jc w:val="center"/>
              <w:rPr>
                <w:snapToGrid w:val="0"/>
                <w:sz w:val="21"/>
                <w:szCs w:val="21"/>
              </w:rPr>
            </w:pPr>
            <w:r>
              <w:rPr>
                <w:rFonts w:hint="eastAsia"/>
                <w:snapToGrid w:val="0"/>
                <w:sz w:val="21"/>
                <w:szCs w:val="21"/>
              </w:rPr>
              <w:t>55622.16</w:t>
            </w:r>
          </w:p>
        </w:tc>
        <w:tc>
          <w:tcPr>
            <w:tcW w:w="1439" w:type="pct"/>
            <w:noWrap/>
            <w:vAlign w:val="center"/>
          </w:tcPr>
          <w:p w14:paraId="250B8DB0">
            <w:pPr>
              <w:spacing w:line="240" w:lineRule="auto"/>
              <w:ind w:firstLine="0" w:firstLineChars="0"/>
              <w:jc w:val="center"/>
              <w:rPr>
                <w:snapToGrid w:val="0"/>
                <w:sz w:val="21"/>
                <w:szCs w:val="21"/>
              </w:rPr>
            </w:pPr>
            <w:r>
              <w:rPr>
                <w:rFonts w:hint="eastAsia"/>
                <w:snapToGrid w:val="0"/>
                <w:sz w:val="21"/>
                <w:szCs w:val="21"/>
              </w:rPr>
              <w:t>1390.38</w:t>
            </w:r>
          </w:p>
        </w:tc>
        <w:tc>
          <w:tcPr>
            <w:tcW w:w="1871" w:type="dxa"/>
            <w:noWrap/>
            <w:vAlign w:val="center"/>
          </w:tcPr>
          <w:p w14:paraId="47475481">
            <w:pPr>
              <w:spacing w:line="240" w:lineRule="auto"/>
              <w:ind w:firstLine="0" w:firstLineChars="0"/>
              <w:jc w:val="center"/>
              <w:rPr>
                <w:snapToGrid w:val="0"/>
                <w:sz w:val="21"/>
                <w:szCs w:val="21"/>
              </w:rPr>
            </w:pPr>
            <w:r>
              <w:rPr>
                <w:snapToGrid w:val="0"/>
                <w:sz w:val="21"/>
                <w:szCs w:val="21"/>
              </w:rPr>
              <w:t>57012.54</w:t>
            </w:r>
          </w:p>
        </w:tc>
      </w:tr>
      <w:tr w14:paraId="27B2A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pct"/>
            <w:noWrap/>
            <w:vAlign w:val="center"/>
          </w:tcPr>
          <w:p w14:paraId="0B047A4C">
            <w:pPr>
              <w:spacing w:line="240" w:lineRule="auto"/>
              <w:ind w:firstLine="0" w:firstLineChars="0"/>
              <w:jc w:val="center"/>
              <w:rPr>
                <w:snapToGrid w:val="0"/>
                <w:sz w:val="21"/>
                <w:szCs w:val="21"/>
              </w:rPr>
            </w:pPr>
            <w:r>
              <w:rPr>
                <w:rFonts w:hint="eastAsia"/>
                <w:snapToGrid w:val="0"/>
                <w:sz w:val="21"/>
                <w:szCs w:val="21"/>
              </w:rPr>
              <w:t>生活源</w:t>
            </w:r>
          </w:p>
        </w:tc>
        <w:tc>
          <w:tcPr>
            <w:tcW w:w="1624" w:type="pct"/>
            <w:noWrap/>
            <w:vAlign w:val="center"/>
          </w:tcPr>
          <w:p w14:paraId="45D45F92">
            <w:pPr>
              <w:spacing w:line="240" w:lineRule="auto"/>
              <w:ind w:firstLine="0" w:firstLineChars="0"/>
              <w:jc w:val="center"/>
              <w:rPr>
                <w:snapToGrid w:val="0"/>
                <w:sz w:val="21"/>
                <w:szCs w:val="21"/>
              </w:rPr>
            </w:pPr>
            <w:r>
              <w:rPr>
                <w:rFonts w:hint="eastAsia"/>
                <w:snapToGrid w:val="0"/>
                <w:sz w:val="21"/>
                <w:szCs w:val="21"/>
              </w:rPr>
              <w:t>16280.42</w:t>
            </w:r>
          </w:p>
        </w:tc>
        <w:tc>
          <w:tcPr>
            <w:tcW w:w="1439" w:type="pct"/>
            <w:noWrap/>
            <w:vAlign w:val="center"/>
          </w:tcPr>
          <w:p w14:paraId="7F633316">
            <w:pPr>
              <w:spacing w:line="240" w:lineRule="auto"/>
              <w:ind w:firstLine="0" w:firstLineChars="0"/>
              <w:jc w:val="center"/>
              <w:rPr>
                <w:snapToGrid w:val="0"/>
                <w:sz w:val="21"/>
                <w:szCs w:val="21"/>
              </w:rPr>
            </w:pPr>
            <w:r>
              <w:rPr>
                <w:rFonts w:hint="eastAsia"/>
                <w:snapToGrid w:val="0"/>
                <w:sz w:val="21"/>
                <w:szCs w:val="21"/>
              </w:rPr>
              <w:t>240107.64</w:t>
            </w:r>
          </w:p>
        </w:tc>
        <w:tc>
          <w:tcPr>
            <w:tcW w:w="1871" w:type="dxa"/>
            <w:noWrap/>
            <w:vAlign w:val="center"/>
          </w:tcPr>
          <w:p w14:paraId="1BABC509">
            <w:pPr>
              <w:spacing w:line="240" w:lineRule="auto"/>
              <w:ind w:firstLine="0" w:firstLineChars="0"/>
              <w:jc w:val="center"/>
              <w:rPr>
                <w:snapToGrid w:val="0"/>
                <w:sz w:val="21"/>
                <w:szCs w:val="21"/>
              </w:rPr>
            </w:pPr>
            <w:r>
              <w:rPr>
                <w:snapToGrid w:val="0"/>
                <w:sz w:val="21"/>
                <w:szCs w:val="21"/>
              </w:rPr>
              <w:t>256388.06</w:t>
            </w:r>
          </w:p>
        </w:tc>
      </w:tr>
      <w:tr w14:paraId="2AAE7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2" w:type="pct"/>
            <w:gridSpan w:val="3"/>
            <w:noWrap/>
            <w:vAlign w:val="center"/>
          </w:tcPr>
          <w:p w14:paraId="0D00DB8B">
            <w:pPr>
              <w:spacing w:line="240" w:lineRule="auto"/>
              <w:ind w:firstLine="0" w:firstLineChars="0"/>
              <w:jc w:val="center"/>
              <w:rPr>
                <w:snapToGrid w:val="0"/>
                <w:sz w:val="21"/>
                <w:szCs w:val="21"/>
              </w:rPr>
            </w:pPr>
            <w:r>
              <w:rPr>
                <w:rFonts w:hint="eastAsia"/>
                <w:b/>
                <w:bCs/>
                <w:snapToGrid w:val="0"/>
                <w:sz w:val="21"/>
                <w:szCs w:val="21"/>
              </w:rPr>
              <w:t>总计</w:t>
            </w:r>
          </w:p>
        </w:tc>
        <w:tc>
          <w:tcPr>
            <w:tcW w:w="1871" w:type="dxa"/>
            <w:noWrap/>
            <w:vAlign w:val="center"/>
          </w:tcPr>
          <w:p w14:paraId="74F30908">
            <w:pPr>
              <w:spacing w:line="240" w:lineRule="auto"/>
              <w:ind w:firstLine="0" w:firstLineChars="0"/>
              <w:jc w:val="center"/>
              <w:rPr>
                <w:snapToGrid w:val="0"/>
                <w:sz w:val="21"/>
                <w:szCs w:val="21"/>
              </w:rPr>
            </w:pPr>
            <w:r>
              <w:rPr>
                <w:rFonts w:hint="eastAsia"/>
                <w:snapToGrid w:val="0"/>
                <w:sz w:val="21"/>
                <w:szCs w:val="21"/>
              </w:rPr>
              <w:t>313400.60</w:t>
            </w:r>
          </w:p>
        </w:tc>
      </w:tr>
    </w:tbl>
    <w:p w14:paraId="02457BB8">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3.4.7环境管理状况</w:t>
      </w:r>
    </w:p>
    <w:p w14:paraId="3EA7F0C0">
      <w:pPr>
        <w:ind w:firstLine="0" w:firstLineChars="0"/>
        <w:outlineLvl w:val="3"/>
        <w:rPr>
          <w:b/>
          <w:bCs/>
        </w:rPr>
      </w:pPr>
      <w:r>
        <w:rPr>
          <w:b/>
          <w:bCs/>
        </w:rPr>
        <w:t>3</w:t>
      </w:r>
      <w:r>
        <w:rPr>
          <w:rFonts w:hint="eastAsia"/>
          <w:b/>
          <w:bCs/>
        </w:rPr>
        <w:t>.</w:t>
      </w:r>
      <w:r>
        <w:rPr>
          <w:b/>
          <w:bCs/>
        </w:rPr>
        <w:t>4</w:t>
      </w:r>
      <w:r>
        <w:rPr>
          <w:rFonts w:hint="eastAsia"/>
          <w:b/>
          <w:bCs/>
        </w:rPr>
        <w:t>.7.</w:t>
      </w:r>
      <w:r>
        <w:rPr>
          <w:b/>
          <w:bCs/>
        </w:rPr>
        <w:t>1</w:t>
      </w:r>
      <w:r>
        <w:rPr>
          <w:rFonts w:hint="eastAsia"/>
          <w:b/>
          <w:bCs/>
        </w:rPr>
        <w:t>区域环境监管、监测能力状况</w:t>
      </w:r>
    </w:p>
    <w:p w14:paraId="4BCBC45A">
      <w:pPr>
        <w:ind w:firstLine="480"/>
      </w:pPr>
      <w:r>
        <w:rPr>
          <w:rFonts w:hint="eastAsia"/>
        </w:rPr>
        <w:t>度假区持续加强环境监管和监测能力建设，在大气环境质量监测方面，度假区内设有茅管会大气监测站1个大气自动监测站，每日对区域大气环境6项常规项目开展连续监测；在水环境质量监测方面，区内设有茅东水库库心1个省控考核断面，海底水库、东进水库等5个市控考核断面，按月开展水环境质量监测；在生态监测方面，2</w:t>
      </w:r>
      <w:r>
        <w:t>022</w:t>
      </w:r>
      <w:r>
        <w:rPr>
          <w:rFonts w:hint="eastAsia"/>
        </w:rPr>
        <w:t>年开展了金坛区自然保护地生物多样性监测项目，对茅东省级森林公园内生物多样性开展进一步调查研究，区域生物监测能力不断加强。</w:t>
      </w:r>
    </w:p>
    <w:p w14:paraId="63388FED">
      <w:pPr>
        <w:ind w:firstLine="0" w:firstLineChars="0"/>
        <w:outlineLvl w:val="3"/>
        <w:rPr>
          <w:b/>
          <w:bCs/>
        </w:rPr>
      </w:pPr>
      <w:r>
        <w:rPr>
          <w:b/>
          <w:bCs/>
        </w:rPr>
        <w:t>3</w:t>
      </w:r>
      <w:r>
        <w:rPr>
          <w:rFonts w:hint="eastAsia"/>
          <w:b/>
          <w:bCs/>
        </w:rPr>
        <w:t>.</w:t>
      </w:r>
      <w:r>
        <w:rPr>
          <w:b/>
          <w:bCs/>
        </w:rPr>
        <w:t>4</w:t>
      </w:r>
      <w:r>
        <w:rPr>
          <w:rFonts w:hint="eastAsia"/>
          <w:b/>
          <w:bCs/>
        </w:rPr>
        <w:t>.7.</w:t>
      </w:r>
      <w:r>
        <w:rPr>
          <w:b/>
          <w:bCs/>
        </w:rPr>
        <w:t>2</w:t>
      </w:r>
      <w:r>
        <w:rPr>
          <w:rFonts w:hint="eastAsia"/>
          <w:b/>
          <w:bCs/>
        </w:rPr>
        <w:t>环境风险防控与应急体系建设状况</w:t>
      </w:r>
    </w:p>
    <w:p w14:paraId="0BF67222">
      <w:pPr>
        <w:ind w:firstLine="482"/>
        <w:rPr>
          <w:rFonts w:cs="Times New Roman"/>
          <w:b/>
          <w:bCs/>
          <w:szCs w:val="24"/>
          <w14:ligatures w14:val="none"/>
        </w:rPr>
      </w:pPr>
      <w:r>
        <w:rPr>
          <w:rFonts w:hint="eastAsia" w:cs="Times New Roman"/>
          <w:b/>
          <w:bCs/>
          <w:szCs w:val="24"/>
          <w14:ligatures w14:val="none"/>
        </w:rPr>
        <w:t>（1）应急体系建设情况</w:t>
      </w:r>
    </w:p>
    <w:p w14:paraId="08853F92">
      <w:pPr>
        <w:ind w:firstLine="480"/>
        <w:rPr>
          <w:rFonts w:cs="Times New Roman"/>
          <w:szCs w:val="24"/>
          <w14:ligatures w14:val="none"/>
        </w:rPr>
      </w:pPr>
      <w:r>
        <w:rPr>
          <w:rFonts w:hint="eastAsia" w:cs="Times New Roman"/>
          <w:szCs w:val="24"/>
          <w:u w:val="single"/>
          <w14:ligatures w14:val="none"/>
        </w:rPr>
        <w:t>基本应急。</w:t>
      </w:r>
      <w:r>
        <w:rPr>
          <w:rFonts w:hint="eastAsia" w:cs="Times New Roman"/>
          <w:szCs w:val="24"/>
          <w14:ligatures w14:val="none"/>
        </w:rPr>
        <w:t>发生灾害或事件，经度假区应急指挥部领导批准，启动相应应急预案。相关职能部门、生产经营单位要先期启动本级预案，组织实施抢险救灾，采取措施控制事态发展。度假区应急指挥部要及时组织人员赶赴现场，开展应急处置工作，并向区人民政府。区相关职能部门报告相关信息。</w:t>
      </w:r>
    </w:p>
    <w:p w14:paraId="7AE486DF">
      <w:pPr>
        <w:ind w:firstLine="480"/>
        <w:rPr>
          <w:rFonts w:cs="Times New Roman"/>
          <w:szCs w:val="24"/>
          <w14:ligatures w14:val="none"/>
        </w:rPr>
      </w:pPr>
      <w:r>
        <w:rPr>
          <w:rFonts w:hint="eastAsia" w:cs="Times New Roman"/>
          <w:szCs w:val="24"/>
          <w:u w:val="single"/>
          <w14:ligatures w14:val="none"/>
        </w:rPr>
        <w:t>扩大应急。</w:t>
      </w:r>
      <w:r>
        <w:rPr>
          <w:rFonts w:hint="eastAsia" w:cs="Times New Roman"/>
          <w:szCs w:val="24"/>
          <w14:ligatures w14:val="none"/>
        </w:rPr>
        <w:t>当事态超出度假区应急指挥部的有效控制和能力范围，有扩大、发展趋势时，度假区应急指挥部提请区应急指挥部作出提高预警级别的决定，报请区人民政府采取措施予以处置。</w:t>
      </w:r>
    </w:p>
    <w:p w14:paraId="2C171A1D">
      <w:pPr>
        <w:ind w:firstLine="480"/>
        <w:rPr>
          <w:rFonts w:cs="Times New Roman"/>
          <w:szCs w:val="24"/>
          <w14:ligatures w14:val="none"/>
        </w:rPr>
      </w:pPr>
      <w:r>
        <w:rPr>
          <w:rFonts w:hint="eastAsia" w:cs="Times New Roman"/>
          <w:szCs w:val="24"/>
          <w:u w:val="single"/>
          <w14:ligatures w14:val="none"/>
        </w:rPr>
        <w:t>应急处置。</w:t>
      </w:r>
      <w:r>
        <w:rPr>
          <w:rFonts w:hint="eastAsia" w:cs="Times New Roman"/>
          <w:szCs w:val="24"/>
          <w14:ligatures w14:val="none"/>
        </w:rPr>
        <w:t>环境污染事件发生后，有关主要负责人、相关人员应及时赶赴现场，并迅速组织力量、装备，按照相关预案、职责实施应急处置工作。同时将现场及处置情况及时报告指挥部；度假区应急指挥部接到相关信息后，即按照应急处置程序，启动相关预案，组织人员赶赴现场，会同事发地有关负责人成立现场指挥部，统一指挥、协调、组织开展现场应急处置工作。同时将现场及处置情况及时报告区应急指挥部；应急处置结束后，度假区现场指挥部向度假区应急指挥部提出应急结束建议，由度假区应急指挥部宣布终止应急状态。相关人员、装备等撤离现场，转入善后处置阶段。严重、特别严重的灾害或事件的应急结束，由区应急指挥部决定。</w:t>
      </w:r>
    </w:p>
    <w:p w14:paraId="0D51A32E">
      <w:pPr>
        <w:ind w:firstLine="480"/>
        <w:rPr>
          <w:rFonts w:cs="Times New Roman"/>
          <w:szCs w:val="24"/>
          <w14:ligatures w14:val="none"/>
        </w:rPr>
      </w:pPr>
      <w:r>
        <w:rPr>
          <w:rFonts w:hint="eastAsia" w:cs="Times New Roman"/>
          <w:szCs w:val="24"/>
          <w:u w:val="single"/>
          <w14:ligatures w14:val="none"/>
        </w:rPr>
        <w:t>后期处置。</w:t>
      </w:r>
      <w:r>
        <w:rPr>
          <w:rFonts w:hint="eastAsia" w:cs="Times New Roman"/>
          <w:szCs w:val="24"/>
          <w14:ligatures w14:val="none"/>
        </w:rPr>
        <w:t>善后处置，包括做好现场清理处理和污染物收集，灾民安置，恢复生产、生活、社会秩序，表彰奖励、抚恤，紧急征用物资、劳力的清算、补偿；调查与总结，根据灾害、事件类别，由相关部门、单位牵头，组织开展或协助上级开展相关原因调查、损失评估、经验教训总结，提出责任处理、表彰奖励意见，并向相关部门、单位通报情况，形成总结报告上报区安委办。</w:t>
      </w:r>
    </w:p>
    <w:p w14:paraId="0FEDCA9F">
      <w:pPr>
        <w:spacing w:line="240" w:lineRule="auto"/>
        <w:ind w:firstLine="0" w:firstLineChars="0"/>
        <w:jc w:val="center"/>
        <w:rPr>
          <w:rFonts w:cs="Times New Roman"/>
          <w:szCs w:val="24"/>
          <w14:ligatures w14:val="none"/>
        </w:rPr>
      </w:pPr>
      <w:r>
        <w:rPr>
          <w:rFonts w:hint="eastAsia" w:asciiTheme="minorHAnsi" w:hAnsiTheme="minorHAnsi" w:eastAsiaTheme="minorEastAsia"/>
          <w:sz w:val="21"/>
          <w14:ligatures w14:val="none"/>
        </w:rPr>
        <w:drawing>
          <wp:inline distT="0" distB="0" distL="0" distR="0">
            <wp:extent cx="3152140" cy="3542665"/>
            <wp:effectExtent l="0" t="0" r="10160" b="635"/>
            <wp:docPr id="14733226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322635" name="图片 1"/>
                    <pic:cNvPicPr>
                      <a:picLocks noChangeAspect="1"/>
                    </pic:cNvPicPr>
                  </pic:nvPicPr>
                  <pic:blipFill>
                    <a:blip r:embed="rId17"/>
                    <a:stretch>
                      <a:fillRect/>
                    </a:stretch>
                  </pic:blipFill>
                  <pic:spPr>
                    <a:xfrm>
                      <a:off x="0" y="0"/>
                      <a:ext cx="3152140" cy="3542665"/>
                    </a:xfrm>
                    <a:prstGeom prst="rect">
                      <a:avLst/>
                    </a:prstGeom>
                  </pic:spPr>
                </pic:pic>
              </a:graphicData>
            </a:graphic>
          </wp:inline>
        </w:drawing>
      </w:r>
    </w:p>
    <w:p w14:paraId="3082DE00">
      <w:pPr>
        <w:pStyle w:val="45"/>
        <w:rPr>
          <w:rFonts w:cs="Times New Roman"/>
        </w:rPr>
      </w:pPr>
      <w:r>
        <w:rPr>
          <w:rFonts w:hint="eastAsia" w:cs="Times New Roman"/>
        </w:rPr>
        <w:t>图3.4-2 茅山旅游度假区环境突发事件应急处置流程图</w:t>
      </w:r>
    </w:p>
    <w:p w14:paraId="278B6E3C">
      <w:pPr>
        <w:ind w:firstLine="482"/>
        <w:rPr>
          <w:rFonts w:cs="Times New Roman"/>
          <w:b/>
          <w:bCs/>
          <w:szCs w:val="24"/>
          <w14:ligatures w14:val="none"/>
        </w:rPr>
      </w:pPr>
      <w:r>
        <w:rPr>
          <w:rFonts w:hint="eastAsia" w:cs="Times New Roman"/>
          <w:b/>
          <w:bCs/>
          <w:szCs w:val="24"/>
          <w14:ligatures w14:val="none"/>
        </w:rPr>
        <w:t>（2）应急物资建设情况</w:t>
      </w:r>
    </w:p>
    <w:p w14:paraId="2B10AB2C">
      <w:pPr>
        <w:ind w:firstLine="480"/>
        <w:rPr>
          <w:rFonts w:cs="Times New Roman"/>
          <w:szCs w:val="24"/>
          <w14:ligatures w14:val="none"/>
        </w:rPr>
      </w:pPr>
      <w:r>
        <w:rPr>
          <w:rFonts w:hint="eastAsia" w:cs="Times New Roman"/>
          <w:szCs w:val="24"/>
          <w14:ligatures w14:val="none"/>
        </w:rPr>
        <w:t>茅山旅游度假区应急物资依托所在薛埠镇应急物资库，包括吸油棉、围油栏、易燃易爆报警装置、有毒有害报警装置、救生衣、面罩、铁锹等。同时，茅山旅游度假区内重点游乐场所均备有应急物资，如遇突发事故，可互相调用应急物资库应急物资。</w:t>
      </w:r>
    </w:p>
    <w:p w14:paraId="39837361">
      <w:pPr>
        <w:pStyle w:val="45"/>
        <w:rPr>
          <w:rFonts w:cs="Times New Roman"/>
        </w:rPr>
      </w:pPr>
      <w:r>
        <w:rPr>
          <w:rFonts w:cs="Times New Roman"/>
        </w:rPr>
        <w:t>表</w:t>
      </w:r>
      <w:r>
        <w:rPr>
          <w:rFonts w:hint="eastAsia" w:cs="Times New Roman"/>
        </w:rPr>
        <w:t>3.4-39</w:t>
      </w:r>
      <w:r>
        <w:rPr>
          <w:rFonts w:cs="Times New Roman"/>
        </w:rPr>
        <w:t xml:space="preserve"> 薛埠镇应急物资库储备物资清单</w:t>
      </w:r>
    </w:p>
    <w:tbl>
      <w:tblPr>
        <w:tblStyle w:val="25"/>
        <w:tblW w:w="50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99"/>
        <w:gridCol w:w="4950"/>
        <w:gridCol w:w="1291"/>
        <w:gridCol w:w="1288"/>
      </w:tblGrid>
      <w:tr w14:paraId="1B639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480" w:type="pct"/>
            <w:vAlign w:val="center"/>
          </w:tcPr>
          <w:p w14:paraId="02EE1327">
            <w:pPr>
              <w:widowControl/>
              <w:spacing w:line="240" w:lineRule="auto"/>
              <w:ind w:firstLine="0" w:firstLineChars="0"/>
              <w:jc w:val="center"/>
              <w:textAlignment w:val="center"/>
              <w:rPr>
                <w:b/>
                <w:bCs/>
                <w:kern w:val="0"/>
                <w:sz w:val="21"/>
                <w:szCs w:val="21"/>
                <w:lang w:bidi="ar"/>
                <w14:ligatures w14:val="none"/>
              </w:rPr>
            </w:pPr>
            <w:r>
              <w:rPr>
                <w:rFonts w:hint="eastAsia"/>
                <w:b/>
                <w:bCs/>
                <w:kern w:val="0"/>
                <w:sz w:val="21"/>
                <w:szCs w:val="21"/>
                <w:lang w:bidi="ar"/>
                <w14:ligatures w14:val="none"/>
              </w:rPr>
              <w:t>序号</w:t>
            </w:r>
          </w:p>
        </w:tc>
        <w:tc>
          <w:tcPr>
            <w:tcW w:w="2972" w:type="pct"/>
            <w:vAlign w:val="center"/>
          </w:tcPr>
          <w:p w14:paraId="02617A84">
            <w:pPr>
              <w:widowControl/>
              <w:spacing w:line="240" w:lineRule="auto"/>
              <w:ind w:firstLine="0" w:firstLineChars="0"/>
              <w:jc w:val="center"/>
              <w:textAlignment w:val="center"/>
              <w:rPr>
                <w:b/>
                <w:bCs/>
                <w:kern w:val="0"/>
                <w:sz w:val="21"/>
                <w:szCs w:val="21"/>
                <w:lang w:bidi="ar"/>
                <w14:ligatures w14:val="none"/>
              </w:rPr>
            </w:pPr>
            <w:r>
              <w:rPr>
                <w:rFonts w:hint="eastAsia"/>
                <w:b/>
                <w:bCs/>
                <w:kern w:val="0"/>
                <w:sz w:val="21"/>
                <w:szCs w:val="21"/>
                <w:lang w:bidi="ar"/>
                <w14:ligatures w14:val="none"/>
              </w:rPr>
              <w:t>应急物资种类</w:t>
            </w:r>
          </w:p>
        </w:tc>
        <w:tc>
          <w:tcPr>
            <w:tcW w:w="775" w:type="pct"/>
            <w:vAlign w:val="center"/>
          </w:tcPr>
          <w:p w14:paraId="70A5C809">
            <w:pPr>
              <w:widowControl/>
              <w:spacing w:line="240" w:lineRule="auto"/>
              <w:ind w:firstLine="0" w:firstLineChars="0"/>
              <w:jc w:val="center"/>
              <w:textAlignment w:val="center"/>
              <w:rPr>
                <w:b/>
                <w:bCs/>
                <w:kern w:val="0"/>
                <w:sz w:val="21"/>
                <w:szCs w:val="21"/>
                <w:lang w:bidi="ar"/>
                <w14:ligatures w14:val="none"/>
              </w:rPr>
            </w:pPr>
            <w:r>
              <w:rPr>
                <w:rFonts w:hint="eastAsia"/>
                <w:b/>
                <w:bCs/>
                <w:kern w:val="0"/>
                <w:sz w:val="21"/>
                <w:szCs w:val="21"/>
                <w:lang w:bidi="ar"/>
                <w14:ligatures w14:val="none"/>
              </w:rPr>
              <w:t>目前数量</w:t>
            </w:r>
          </w:p>
        </w:tc>
        <w:tc>
          <w:tcPr>
            <w:tcW w:w="773" w:type="pct"/>
            <w:vAlign w:val="center"/>
          </w:tcPr>
          <w:p w14:paraId="22F7E6F2">
            <w:pPr>
              <w:widowControl/>
              <w:spacing w:line="240" w:lineRule="auto"/>
              <w:ind w:firstLine="0" w:firstLineChars="0"/>
              <w:jc w:val="center"/>
              <w:textAlignment w:val="center"/>
              <w:rPr>
                <w:b/>
                <w:bCs/>
                <w:kern w:val="0"/>
                <w:sz w:val="21"/>
                <w:szCs w:val="21"/>
                <w:lang w:bidi="ar"/>
                <w14:ligatures w14:val="none"/>
              </w:rPr>
            </w:pPr>
            <w:r>
              <w:rPr>
                <w:rFonts w:hint="eastAsia"/>
                <w:b/>
                <w:bCs/>
                <w:kern w:val="0"/>
                <w:sz w:val="21"/>
                <w:szCs w:val="21"/>
                <w:lang w:bidi="ar"/>
                <w14:ligatures w14:val="none"/>
              </w:rPr>
              <w:t>单位</w:t>
            </w:r>
          </w:p>
        </w:tc>
      </w:tr>
      <w:tr w14:paraId="378A9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55AA8BDC">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w:t>
            </w:r>
          </w:p>
        </w:tc>
        <w:tc>
          <w:tcPr>
            <w:tcW w:w="2972" w:type="pct"/>
            <w:shd w:val="clear" w:color="000000" w:fill="FFFFFF"/>
            <w:vAlign w:val="center"/>
          </w:tcPr>
          <w:p w14:paraId="0AC45436">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易燃易爆气体报警装置</w:t>
            </w:r>
          </w:p>
        </w:tc>
        <w:tc>
          <w:tcPr>
            <w:tcW w:w="775" w:type="pct"/>
            <w:shd w:val="clear" w:color="000000" w:fill="FFFFFF"/>
            <w:vAlign w:val="center"/>
          </w:tcPr>
          <w:p w14:paraId="28DF5490">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2</w:t>
            </w:r>
          </w:p>
        </w:tc>
        <w:tc>
          <w:tcPr>
            <w:tcW w:w="773" w:type="pct"/>
            <w:shd w:val="clear" w:color="000000" w:fill="FFFFFF"/>
            <w:vAlign w:val="center"/>
          </w:tcPr>
          <w:p w14:paraId="1ABBF3F4">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套</w:t>
            </w:r>
          </w:p>
        </w:tc>
      </w:tr>
      <w:tr w14:paraId="69226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59DF65DF">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2</w:t>
            </w:r>
          </w:p>
        </w:tc>
        <w:tc>
          <w:tcPr>
            <w:tcW w:w="2972" w:type="pct"/>
            <w:shd w:val="clear" w:color="000000" w:fill="FFFFFF"/>
            <w:vAlign w:val="center"/>
          </w:tcPr>
          <w:p w14:paraId="6A53F33A">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有毒有害气体检测报警装置</w:t>
            </w:r>
          </w:p>
        </w:tc>
        <w:tc>
          <w:tcPr>
            <w:tcW w:w="775" w:type="pct"/>
            <w:shd w:val="clear" w:color="000000" w:fill="FFFFFF"/>
            <w:vAlign w:val="center"/>
          </w:tcPr>
          <w:p w14:paraId="31A6E265">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2</w:t>
            </w:r>
          </w:p>
        </w:tc>
        <w:tc>
          <w:tcPr>
            <w:tcW w:w="773" w:type="pct"/>
            <w:shd w:val="clear" w:color="000000" w:fill="FFFFFF"/>
            <w:vAlign w:val="center"/>
          </w:tcPr>
          <w:p w14:paraId="6A480CDD">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套</w:t>
            </w:r>
          </w:p>
        </w:tc>
      </w:tr>
      <w:tr w14:paraId="2E5EE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670D49C2">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3</w:t>
            </w:r>
          </w:p>
        </w:tc>
        <w:tc>
          <w:tcPr>
            <w:tcW w:w="2972" w:type="pct"/>
            <w:shd w:val="clear" w:color="000000" w:fill="FFFFFF"/>
            <w:vAlign w:val="center"/>
          </w:tcPr>
          <w:p w14:paraId="03D3821B">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辐射报警装置</w:t>
            </w:r>
          </w:p>
        </w:tc>
        <w:tc>
          <w:tcPr>
            <w:tcW w:w="775" w:type="pct"/>
            <w:shd w:val="clear" w:color="000000" w:fill="FFFFFF"/>
            <w:vAlign w:val="center"/>
          </w:tcPr>
          <w:p w14:paraId="6432E520">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2</w:t>
            </w:r>
          </w:p>
        </w:tc>
        <w:tc>
          <w:tcPr>
            <w:tcW w:w="773" w:type="pct"/>
            <w:shd w:val="clear" w:color="000000" w:fill="FFFFFF"/>
            <w:vAlign w:val="center"/>
          </w:tcPr>
          <w:p w14:paraId="0F8CF9FC">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套</w:t>
            </w:r>
          </w:p>
        </w:tc>
      </w:tr>
      <w:tr w14:paraId="43137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09E7DB7C">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4</w:t>
            </w:r>
          </w:p>
        </w:tc>
        <w:tc>
          <w:tcPr>
            <w:tcW w:w="2972" w:type="pct"/>
            <w:shd w:val="clear" w:color="000000" w:fill="FFFFFF"/>
            <w:vAlign w:val="center"/>
          </w:tcPr>
          <w:p w14:paraId="1EDBE40A">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防爆对讲机</w:t>
            </w:r>
          </w:p>
        </w:tc>
        <w:tc>
          <w:tcPr>
            <w:tcW w:w="775" w:type="pct"/>
            <w:shd w:val="clear" w:color="000000" w:fill="FFFFFF"/>
            <w:vAlign w:val="center"/>
          </w:tcPr>
          <w:p w14:paraId="74C80BC0">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2</w:t>
            </w:r>
          </w:p>
        </w:tc>
        <w:tc>
          <w:tcPr>
            <w:tcW w:w="773" w:type="pct"/>
            <w:shd w:val="clear" w:color="000000" w:fill="FFFFFF"/>
            <w:vAlign w:val="center"/>
          </w:tcPr>
          <w:p w14:paraId="3977C6D4">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台</w:t>
            </w:r>
          </w:p>
        </w:tc>
      </w:tr>
      <w:tr w14:paraId="60564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5C32ABB8">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5</w:t>
            </w:r>
          </w:p>
        </w:tc>
        <w:tc>
          <w:tcPr>
            <w:tcW w:w="2972" w:type="pct"/>
            <w:shd w:val="clear" w:color="000000" w:fill="FFFFFF"/>
            <w:vAlign w:val="center"/>
          </w:tcPr>
          <w:p w14:paraId="1EF28970">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医用急救箱</w:t>
            </w:r>
          </w:p>
        </w:tc>
        <w:tc>
          <w:tcPr>
            <w:tcW w:w="775" w:type="pct"/>
            <w:shd w:val="clear" w:color="000000" w:fill="FFFFFF"/>
            <w:vAlign w:val="center"/>
          </w:tcPr>
          <w:p w14:paraId="598F4E20">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w:t>
            </w:r>
          </w:p>
        </w:tc>
        <w:tc>
          <w:tcPr>
            <w:tcW w:w="773" w:type="pct"/>
            <w:shd w:val="clear" w:color="000000" w:fill="FFFFFF"/>
            <w:vAlign w:val="center"/>
          </w:tcPr>
          <w:p w14:paraId="69B5038E">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套</w:t>
            </w:r>
          </w:p>
        </w:tc>
      </w:tr>
      <w:tr w14:paraId="70645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6912847F">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6</w:t>
            </w:r>
          </w:p>
        </w:tc>
        <w:tc>
          <w:tcPr>
            <w:tcW w:w="2972" w:type="pct"/>
            <w:shd w:val="clear" w:color="000000" w:fill="FFFFFF"/>
            <w:vAlign w:val="center"/>
          </w:tcPr>
          <w:p w14:paraId="0671F2D4">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液体致密型或粉尘致密型化学防护服</w:t>
            </w:r>
          </w:p>
        </w:tc>
        <w:tc>
          <w:tcPr>
            <w:tcW w:w="775" w:type="pct"/>
            <w:shd w:val="clear" w:color="000000" w:fill="FFFFFF"/>
            <w:vAlign w:val="center"/>
          </w:tcPr>
          <w:p w14:paraId="5C7D57B3">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w:t>
            </w:r>
          </w:p>
        </w:tc>
        <w:tc>
          <w:tcPr>
            <w:tcW w:w="773" w:type="pct"/>
            <w:shd w:val="clear" w:color="000000" w:fill="FFFFFF"/>
            <w:vAlign w:val="center"/>
          </w:tcPr>
          <w:p w14:paraId="4F9A6011">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套</w:t>
            </w:r>
          </w:p>
        </w:tc>
      </w:tr>
      <w:tr w14:paraId="55CCD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547F7ADD">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7</w:t>
            </w:r>
          </w:p>
        </w:tc>
        <w:tc>
          <w:tcPr>
            <w:tcW w:w="2972" w:type="pct"/>
            <w:shd w:val="clear" w:color="000000" w:fill="FFFFFF"/>
            <w:vAlign w:val="center"/>
          </w:tcPr>
          <w:p w14:paraId="3999446E">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应急现场工作服</w:t>
            </w:r>
          </w:p>
        </w:tc>
        <w:tc>
          <w:tcPr>
            <w:tcW w:w="775" w:type="pct"/>
            <w:shd w:val="clear" w:color="000000" w:fill="FFFFFF"/>
            <w:vAlign w:val="center"/>
          </w:tcPr>
          <w:p w14:paraId="47E30920">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5</w:t>
            </w:r>
          </w:p>
        </w:tc>
        <w:tc>
          <w:tcPr>
            <w:tcW w:w="773" w:type="pct"/>
            <w:shd w:val="clear" w:color="000000" w:fill="FFFFFF"/>
            <w:vAlign w:val="center"/>
          </w:tcPr>
          <w:p w14:paraId="6BE1F04E">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套</w:t>
            </w:r>
          </w:p>
        </w:tc>
      </w:tr>
      <w:tr w14:paraId="67892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2F8CC2C8">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8</w:t>
            </w:r>
          </w:p>
        </w:tc>
        <w:tc>
          <w:tcPr>
            <w:tcW w:w="2972" w:type="pct"/>
            <w:shd w:val="clear" w:color="000000" w:fill="FFFFFF"/>
            <w:vAlign w:val="center"/>
          </w:tcPr>
          <w:p w14:paraId="461937BD">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烟幕弹</w:t>
            </w:r>
          </w:p>
        </w:tc>
        <w:tc>
          <w:tcPr>
            <w:tcW w:w="775" w:type="pct"/>
            <w:shd w:val="clear" w:color="000000" w:fill="FFFFFF"/>
            <w:vAlign w:val="center"/>
          </w:tcPr>
          <w:p w14:paraId="507C39A2">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5</w:t>
            </w:r>
          </w:p>
        </w:tc>
        <w:tc>
          <w:tcPr>
            <w:tcW w:w="773" w:type="pct"/>
            <w:shd w:val="clear" w:color="000000" w:fill="FFFFFF"/>
            <w:vAlign w:val="center"/>
          </w:tcPr>
          <w:p w14:paraId="48BBCBE0">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个</w:t>
            </w:r>
          </w:p>
        </w:tc>
      </w:tr>
      <w:tr w14:paraId="79216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1419D22C">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9</w:t>
            </w:r>
          </w:p>
        </w:tc>
        <w:tc>
          <w:tcPr>
            <w:tcW w:w="2972" w:type="pct"/>
            <w:shd w:val="clear" w:color="000000" w:fill="FFFFFF"/>
            <w:vAlign w:val="center"/>
          </w:tcPr>
          <w:p w14:paraId="3DA0A57F">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多功能铁锹</w:t>
            </w:r>
          </w:p>
        </w:tc>
        <w:tc>
          <w:tcPr>
            <w:tcW w:w="775" w:type="pct"/>
            <w:shd w:val="clear" w:color="000000" w:fill="FFFFFF"/>
            <w:vAlign w:val="center"/>
          </w:tcPr>
          <w:p w14:paraId="56F9C5DD">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12</w:t>
            </w:r>
          </w:p>
        </w:tc>
        <w:tc>
          <w:tcPr>
            <w:tcW w:w="773" w:type="pct"/>
            <w:shd w:val="clear" w:color="000000" w:fill="FFFFFF"/>
            <w:vAlign w:val="center"/>
          </w:tcPr>
          <w:p w14:paraId="47288920">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把</w:t>
            </w:r>
          </w:p>
        </w:tc>
      </w:tr>
      <w:tr w14:paraId="4F1EB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10C4D701">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10</w:t>
            </w:r>
          </w:p>
        </w:tc>
        <w:tc>
          <w:tcPr>
            <w:tcW w:w="2972" w:type="pct"/>
            <w:shd w:val="clear" w:color="000000" w:fill="FFFFFF"/>
            <w:vAlign w:val="center"/>
          </w:tcPr>
          <w:p w14:paraId="6A78E94C">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救生衣</w:t>
            </w:r>
          </w:p>
        </w:tc>
        <w:tc>
          <w:tcPr>
            <w:tcW w:w="775" w:type="pct"/>
            <w:shd w:val="clear" w:color="000000" w:fill="FFFFFF"/>
            <w:vAlign w:val="center"/>
          </w:tcPr>
          <w:p w14:paraId="3B9B01B2">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10</w:t>
            </w:r>
          </w:p>
        </w:tc>
        <w:tc>
          <w:tcPr>
            <w:tcW w:w="773" w:type="pct"/>
            <w:shd w:val="clear" w:color="000000" w:fill="FFFFFF"/>
            <w:vAlign w:val="center"/>
          </w:tcPr>
          <w:p w14:paraId="449CD185">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套</w:t>
            </w:r>
          </w:p>
        </w:tc>
      </w:tr>
      <w:tr w14:paraId="728EE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69352466">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11</w:t>
            </w:r>
          </w:p>
        </w:tc>
        <w:tc>
          <w:tcPr>
            <w:tcW w:w="2972" w:type="pct"/>
            <w:shd w:val="clear" w:color="000000" w:fill="FFFFFF"/>
            <w:vAlign w:val="center"/>
          </w:tcPr>
          <w:p w14:paraId="36C24475">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防护头盔</w:t>
            </w:r>
          </w:p>
        </w:tc>
        <w:tc>
          <w:tcPr>
            <w:tcW w:w="775" w:type="pct"/>
            <w:shd w:val="clear" w:color="000000" w:fill="FFFFFF"/>
            <w:vAlign w:val="center"/>
          </w:tcPr>
          <w:p w14:paraId="55C90974">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10</w:t>
            </w:r>
          </w:p>
        </w:tc>
        <w:tc>
          <w:tcPr>
            <w:tcW w:w="773" w:type="pct"/>
            <w:shd w:val="clear" w:color="000000" w:fill="FFFFFF"/>
            <w:vAlign w:val="center"/>
          </w:tcPr>
          <w:p w14:paraId="1C7C95E3">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只</w:t>
            </w:r>
          </w:p>
        </w:tc>
      </w:tr>
      <w:tr w14:paraId="35126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6FD18871">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12</w:t>
            </w:r>
          </w:p>
        </w:tc>
        <w:tc>
          <w:tcPr>
            <w:tcW w:w="2972" w:type="pct"/>
            <w:shd w:val="clear" w:color="000000" w:fill="FFFFFF"/>
            <w:vAlign w:val="center"/>
          </w:tcPr>
          <w:p w14:paraId="546C4113">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防护眼镜套装</w:t>
            </w:r>
          </w:p>
        </w:tc>
        <w:tc>
          <w:tcPr>
            <w:tcW w:w="775" w:type="pct"/>
            <w:shd w:val="clear" w:color="000000" w:fill="FFFFFF"/>
            <w:vAlign w:val="center"/>
          </w:tcPr>
          <w:p w14:paraId="580950A4">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15</w:t>
            </w:r>
          </w:p>
        </w:tc>
        <w:tc>
          <w:tcPr>
            <w:tcW w:w="773" w:type="pct"/>
            <w:shd w:val="clear" w:color="000000" w:fill="FFFFFF"/>
            <w:vAlign w:val="center"/>
          </w:tcPr>
          <w:p w14:paraId="78677C24">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件</w:t>
            </w:r>
          </w:p>
        </w:tc>
      </w:tr>
      <w:tr w14:paraId="4AAC4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1DD5FCD2">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13</w:t>
            </w:r>
          </w:p>
        </w:tc>
        <w:tc>
          <w:tcPr>
            <w:tcW w:w="2972" w:type="pct"/>
            <w:shd w:val="clear" w:color="000000" w:fill="FFFFFF"/>
            <w:vAlign w:val="center"/>
          </w:tcPr>
          <w:p w14:paraId="3550D31D">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3M双滤盒半面罩</w:t>
            </w:r>
          </w:p>
        </w:tc>
        <w:tc>
          <w:tcPr>
            <w:tcW w:w="775" w:type="pct"/>
            <w:shd w:val="clear" w:color="000000" w:fill="FFFFFF"/>
            <w:vAlign w:val="center"/>
          </w:tcPr>
          <w:p w14:paraId="78BFDCAB">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8</w:t>
            </w:r>
          </w:p>
        </w:tc>
        <w:tc>
          <w:tcPr>
            <w:tcW w:w="773" w:type="pct"/>
            <w:shd w:val="clear" w:color="000000" w:fill="FFFFFF"/>
            <w:vAlign w:val="center"/>
          </w:tcPr>
          <w:p w14:paraId="738183DB">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件</w:t>
            </w:r>
          </w:p>
        </w:tc>
      </w:tr>
      <w:tr w14:paraId="03E0B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4F030336">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14</w:t>
            </w:r>
          </w:p>
        </w:tc>
        <w:tc>
          <w:tcPr>
            <w:tcW w:w="2972" w:type="pct"/>
            <w:shd w:val="clear" w:color="000000" w:fill="FFFFFF"/>
            <w:vAlign w:val="center"/>
          </w:tcPr>
          <w:p w14:paraId="419F1DF6">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3M多功能滤盒</w:t>
            </w:r>
          </w:p>
        </w:tc>
        <w:tc>
          <w:tcPr>
            <w:tcW w:w="775" w:type="pct"/>
            <w:shd w:val="clear" w:color="000000" w:fill="FFFFFF"/>
            <w:vAlign w:val="center"/>
          </w:tcPr>
          <w:p w14:paraId="104D3D10">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10</w:t>
            </w:r>
          </w:p>
        </w:tc>
        <w:tc>
          <w:tcPr>
            <w:tcW w:w="773" w:type="pct"/>
            <w:shd w:val="clear" w:color="000000" w:fill="FFFFFF"/>
            <w:vAlign w:val="center"/>
          </w:tcPr>
          <w:p w14:paraId="7E2C485B">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个</w:t>
            </w:r>
          </w:p>
        </w:tc>
      </w:tr>
      <w:tr w14:paraId="54A54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5F02BC31">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15</w:t>
            </w:r>
          </w:p>
        </w:tc>
        <w:tc>
          <w:tcPr>
            <w:tcW w:w="2972" w:type="pct"/>
            <w:shd w:val="clear" w:color="000000" w:fill="FFFFFF"/>
            <w:vAlign w:val="center"/>
          </w:tcPr>
          <w:p w14:paraId="06FA9758">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N95防尘口罩</w:t>
            </w:r>
          </w:p>
        </w:tc>
        <w:tc>
          <w:tcPr>
            <w:tcW w:w="775" w:type="pct"/>
            <w:shd w:val="clear" w:color="000000" w:fill="FFFFFF"/>
            <w:vAlign w:val="center"/>
          </w:tcPr>
          <w:p w14:paraId="568CC1E4">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3</w:t>
            </w:r>
          </w:p>
        </w:tc>
        <w:tc>
          <w:tcPr>
            <w:tcW w:w="773" w:type="pct"/>
            <w:shd w:val="clear" w:color="000000" w:fill="FFFFFF"/>
            <w:vAlign w:val="center"/>
          </w:tcPr>
          <w:p w14:paraId="70F72722">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只</w:t>
            </w:r>
          </w:p>
        </w:tc>
      </w:tr>
      <w:tr w14:paraId="60B2E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63626D3A">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15</w:t>
            </w:r>
          </w:p>
        </w:tc>
        <w:tc>
          <w:tcPr>
            <w:tcW w:w="2972" w:type="pct"/>
            <w:shd w:val="clear" w:color="000000" w:fill="FFFFFF"/>
            <w:vAlign w:val="center"/>
          </w:tcPr>
          <w:p w14:paraId="52053A9D">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橡胶耐酸耐碱手套</w:t>
            </w:r>
          </w:p>
        </w:tc>
        <w:tc>
          <w:tcPr>
            <w:tcW w:w="775" w:type="pct"/>
            <w:shd w:val="clear" w:color="000000" w:fill="FFFFFF"/>
            <w:vAlign w:val="center"/>
          </w:tcPr>
          <w:p w14:paraId="2DA66C22">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25</w:t>
            </w:r>
          </w:p>
        </w:tc>
        <w:tc>
          <w:tcPr>
            <w:tcW w:w="773" w:type="pct"/>
            <w:shd w:val="clear" w:color="000000" w:fill="FFFFFF"/>
            <w:vAlign w:val="center"/>
          </w:tcPr>
          <w:p w14:paraId="648F18AF">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副</w:t>
            </w:r>
          </w:p>
        </w:tc>
      </w:tr>
      <w:tr w14:paraId="6287E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49F847BA">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16</w:t>
            </w:r>
          </w:p>
        </w:tc>
        <w:tc>
          <w:tcPr>
            <w:tcW w:w="2972" w:type="pct"/>
            <w:shd w:val="clear" w:color="000000" w:fill="FFFFFF"/>
            <w:vAlign w:val="center"/>
          </w:tcPr>
          <w:p w14:paraId="54E4805D">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一次性工作手套</w:t>
            </w:r>
          </w:p>
        </w:tc>
        <w:tc>
          <w:tcPr>
            <w:tcW w:w="775" w:type="pct"/>
            <w:shd w:val="clear" w:color="000000" w:fill="FFFFFF"/>
            <w:vAlign w:val="center"/>
          </w:tcPr>
          <w:p w14:paraId="5D1D48CC">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3</w:t>
            </w:r>
          </w:p>
        </w:tc>
        <w:tc>
          <w:tcPr>
            <w:tcW w:w="773" w:type="pct"/>
            <w:shd w:val="clear" w:color="000000" w:fill="FFFFFF"/>
            <w:vAlign w:val="center"/>
          </w:tcPr>
          <w:p w14:paraId="477EB238">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打</w:t>
            </w:r>
          </w:p>
        </w:tc>
      </w:tr>
      <w:tr w14:paraId="3D632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13DD397F">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18</w:t>
            </w:r>
          </w:p>
        </w:tc>
        <w:tc>
          <w:tcPr>
            <w:tcW w:w="2972" w:type="pct"/>
            <w:shd w:val="clear" w:color="000000" w:fill="FFFFFF"/>
            <w:vAlign w:val="center"/>
          </w:tcPr>
          <w:p w14:paraId="28F38944">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纱手套</w:t>
            </w:r>
          </w:p>
        </w:tc>
        <w:tc>
          <w:tcPr>
            <w:tcW w:w="775" w:type="pct"/>
            <w:shd w:val="clear" w:color="000000" w:fill="FFFFFF"/>
            <w:vAlign w:val="center"/>
          </w:tcPr>
          <w:p w14:paraId="21E5BE29">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3</w:t>
            </w:r>
          </w:p>
        </w:tc>
        <w:tc>
          <w:tcPr>
            <w:tcW w:w="773" w:type="pct"/>
            <w:shd w:val="clear" w:color="000000" w:fill="FFFFFF"/>
            <w:vAlign w:val="center"/>
          </w:tcPr>
          <w:p w14:paraId="05BCF72D">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包</w:t>
            </w:r>
          </w:p>
        </w:tc>
      </w:tr>
      <w:tr w14:paraId="0F216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20373247">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19</w:t>
            </w:r>
          </w:p>
        </w:tc>
        <w:tc>
          <w:tcPr>
            <w:tcW w:w="2972" w:type="pct"/>
            <w:shd w:val="clear" w:color="000000" w:fill="FFFFFF"/>
            <w:vAlign w:val="center"/>
          </w:tcPr>
          <w:p w14:paraId="00907E93">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方锹</w:t>
            </w:r>
          </w:p>
        </w:tc>
        <w:tc>
          <w:tcPr>
            <w:tcW w:w="775" w:type="pct"/>
            <w:shd w:val="clear" w:color="000000" w:fill="FFFFFF"/>
            <w:vAlign w:val="center"/>
          </w:tcPr>
          <w:p w14:paraId="42548A65">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18</w:t>
            </w:r>
          </w:p>
        </w:tc>
        <w:tc>
          <w:tcPr>
            <w:tcW w:w="773" w:type="pct"/>
            <w:shd w:val="clear" w:color="000000" w:fill="FFFFFF"/>
            <w:vAlign w:val="center"/>
          </w:tcPr>
          <w:p w14:paraId="404E18FD">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套</w:t>
            </w:r>
          </w:p>
        </w:tc>
      </w:tr>
      <w:tr w14:paraId="5A08F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108A1DF6">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20</w:t>
            </w:r>
          </w:p>
        </w:tc>
        <w:tc>
          <w:tcPr>
            <w:tcW w:w="2972" w:type="pct"/>
            <w:shd w:val="clear" w:color="000000" w:fill="FFFFFF"/>
            <w:vAlign w:val="center"/>
          </w:tcPr>
          <w:p w14:paraId="1DAC2E87">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储物货架</w:t>
            </w:r>
          </w:p>
        </w:tc>
        <w:tc>
          <w:tcPr>
            <w:tcW w:w="775" w:type="pct"/>
            <w:shd w:val="clear" w:color="000000" w:fill="FFFFFF"/>
            <w:vAlign w:val="center"/>
          </w:tcPr>
          <w:p w14:paraId="7181A172">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4</w:t>
            </w:r>
          </w:p>
        </w:tc>
        <w:tc>
          <w:tcPr>
            <w:tcW w:w="773" w:type="pct"/>
            <w:shd w:val="clear" w:color="000000" w:fill="FFFFFF"/>
            <w:vAlign w:val="center"/>
          </w:tcPr>
          <w:p w14:paraId="151B794B">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套</w:t>
            </w:r>
          </w:p>
        </w:tc>
      </w:tr>
      <w:tr w14:paraId="7DBB4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24A661C2">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21</w:t>
            </w:r>
          </w:p>
        </w:tc>
        <w:tc>
          <w:tcPr>
            <w:tcW w:w="2972" w:type="pct"/>
            <w:shd w:val="clear" w:color="000000" w:fill="FFFFFF"/>
            <w:vAlign w:val="center"/>
          </w:tcPr>
          <w:p w14:paraId="1E010E0B">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吸油棉</w:t>
            </w:r>
          </w:p>
        </w:tc>
        <w:tc>
          <w:tcPr>
            <w:tcW w:w="775" w:type="pct"/>
            <w:shd w:val="clear" w:color="000000" w:fill="FFFFFF"/>
            <w:vAlign w:val="center"/>
          </w:tcPr>
          <w:p w14:paraId="2984892D">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9</w:t>
            </w:r>
          </w:p>
        </w:tc>
        <w:tc>
          <w:tcPr>
            <w:tcW w:w="773" w:type="pct"/>
            <w:shd w:val="clear" w:color="000000" w:fill="FFFFFF"/>
            <w:vAlign w:val="center"/>
          </w:tcPr>
          <w:p w14:paraId="5C8F3A45">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箱</w:t>
            </w:r>
          </w:p>
        </w:tc>
      </w:tr>
      <w:tr w14:paraId="5300A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pct"/>
            <w:shd w:val="clear" w:color="000000" w:fill="FFFFFF"/>
            <w:vAlign w:val="center"/>
          </w:tcPr>
          <w:p w14:paraId="14D46684">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22</w:t>
            </w:r>
          </w:p>
        </w:tc>
        <w:tc>
          <w:tcPr>
            <w:tcW w:w="2972" w:type="pct"/>
            <w:shd w:val="clear" w:color="000000" w:fill="FFFFFF"/>
            <w:vAlign w:val="center"/>
          </w:tcPr>
          <w:p w14:paraId="336D8F20">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围油栏</w:t>
            </w:r>
          </w:p>
        </w:tc>
        <w:tc>
          <w:tcPr>
            <w:tcW w:w="775" w:type="pct"/>
            <w:shd w:val="clear" w:color="000000" w:fill="FFFFFF"/>
            <w:vAlign w:val="center"/>
          </w:tcPr>
          <w:p w14:paraId="0D1888CF">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7</w:t>
            </w:r>
          </w:p>
        </w:tc>
        <w:tc>
          <w:tcPr>
            <w:tcW w:w="773" w:type="pct"/>
            <w:shd w:val="clear" w:color="000000" w:fill="FFFFFF"/>
            <w:vAlign w:val="center"/>
          </w:tcPr>
          <w:p w14:paraId="014519F0">
            <w:pPr>
              <w:widowControl/>
              <w:spacing w:line="240" w:lineRule="auto"/>
              <w:ind w:firstLine="0" w:firstLineChars="0"/>
              <w:jc w:val="center"/>
              <w:textAlignment w:val="center"/>
              <w:rPr>
                <w:kern w:val="0"/>
                <w:sz w:val="21"/>
                <w:szCs w:val="21"/>
                <w:lang w:bidi="ar"/>
                <w14:ligatures w14:val="none"/>
              </w:rPr>
            </w:pPr>
            <w:r>
              <w:rPr>
                <w:rFonts w:hint="eastAsia"/>
                <w:kern w:val="0"/>
                <w:sz w:val="21"/>
                <w:szCs w:val="21"/>
                <w:lang w:bidi="ar"/>
                <w14:ligatures w14:val="none"/>
              </w:rPr>
              <w:t>包</w:t>
            </w:r>
          </w:p>
        </w:tc>
      </w:tr>
    </w:tbl>
    <w:p w14:paraId="5B8CB38C">
      <w:pPr>
        <w:spacing w:line="500" w:lineRule="exact"/>
        <w:ind w:firstLine="482"/>
        <w:rPr>
          <w:rFonts w:cs="Times New Roman"/>
          <w:szCs w:val="24"/>
          <w14:ligatures w14:val="none"/>
        </w:rPr>
      </w:pPr>
      <w:bookmarkStart w:id="71" w:name="_Hlk192171321"/>
      <w:r>
        <w:rPr>
          <w:rFonts w:hint="eastAsia" w:cs="Times New Roman"/>
          <w:b/>
          <w:bCs/>
          <w:szCs w:val="24"/>
          <w14:ligatures w14:val="none"/>
        </w:rPr>
        <w:t>（3）与苏环办〔2022〕338号文差距分析</w:t>
      </w:r>
      <w:bookmarkEnd w:id="71"/>
    </w:p>
    <w:p w14:paraId="3FD0E032">
      <w:pPr>
        <w:spacing w:line="500" w:lineRule="exact"/>
        <w:ind w:firstLine="480"/>
        <w:rPr>
          <w:rFonts w:cs="Times New Roman"/>
          <w:szCs w:val="24"/>
          <w14:ligatures w14:val="none"/>
        </w:rPr>
      </w:pPr>
      <w:r>
        <w:rPr>
          <w:rFonts w:hint="eastAsia" w:cs="Times New Roman"/>
          <w:szCs w:val="24"/>
          <w14:ligatures w14:val="none"/>
        </w:rPr>
        <w:t>鉴于茅山旅游度假区功能定位为休闲度假，区内现状工业企业较少且分布分散程度较高，不涉及较大及以上环境风险企业。因此，本次评价从风险防范措施及应急管理制度等方面开展差距分析：</w:t>
      </w:r>
    </w:p>
    <w:p w14:paraId="4B35ABF0">
      <w:pPr>
        <w:spacing w:line="500" w:lineRule="exact"/>
        <w:ind w:firstLine="480"/>
        <w:rPr>
          <w:rFonts w:cs="Times New Roman"/>
          <w:szCs w:val="24"/>
          <w14:ligatures w14:val="none"/>
        </w:rPr>
      </w:pPr>
      <w:r>
        <w:rPr>
          <w:rFonts w:hint="eastAsia" w:cs="Times New Roman"/>
          <w:szCs w:val="24"/>
          <w14:ligatures w14:val="none"/>
        </w:rPr>
        <w:t>应急管理制度方面，茅山旅游度假区尚未编制突发环境事件应急预案，不满足相关备案要求；环境应急物资装备配备已有部署，但总体种类、数量较少，且未实现全区分布；暂未开展突发环境事件隐患排查及环境应急培训和演练；环境应急管理人员和应急救援队伍配备总体不强。</w:t>
      </w:r>
    </w:p>
    <w:p w14:paraId="651204DB">
      <w:pPr>
        <w:ind w:firstLine="0" w:firstLineChars="0"/>
        <w:outlineLvl w:val="3"/>
        <w:rPr>
          <w:b/>
          <w:bCs/>
        </w:rPr>
      </w:pPr>
      <w:r>
        <w:rPr>
          <w:b/>
          <w:bCs/>
        </w:rPr>
        <w:t>3</w:t>
      </w:r>
      <w:r>
        <w:rPr>
          <w:rFonts w:hint="eastAsia"/>
          <w:b/>
          <w:bCs/>
        </w:rPr>
        <w:t>.</w:t>
      </w:r>
      <w:r>
        <w:rPr>
          <w:b/>
          <w:bCs/>
        </w:rPr>
        <w:t>4</w:t>
      </w:r>
      <w:r>
        <w:rPr>
          <w:rFonts w:hint="eastAsia"/>
          <w:b/>
          <w:bCs/>
        </w:rPr>
        <w:t>.7.</w:t>
      </w:r>
      <w:r>
        <w:rPr>
          <w:b/>
          <w:bCs/>
        </w:rPr>
        <w:t>3</w:t>
      </w:r>
      <w:r>
        <w:rPr>
          <w:rFonts w:hint="eastAsia"/>
          <w:b/>
          <w:bCs/>
        </w:rPr>
        <w:t>污水处理提质增效精准攻坚“333”行动落实情况</w:t>
      </w:r>
    </w:p>
    <w:p w14:paraId="7F512A42">
      <w:pPr>
        <w:ind w:firstLine="482"/>
        <w:rPr>
          <w:b/>
          <w:bCs/>
        </w:rPr>
      </w:pPr>
      <w:r>
        <w:rPr>
          <w:rFonts w:hint="eastAsia"/>
          <w:b/>
          <w:bCs/>
        </w:rPr>
        <w:t>（1）排水管网排查与更新修复</w:t>
      </w:r>
    </w:p>
    <w:p w14:paraId="67CF2AF9">
      <w:pPr>
        <w:ind w:firstLine="480"/>
      </w:pPr>
      <w:r>
        <w:rPr>
          <w:rFonts w:hint="eastAsia"/>
        </w:rPr>
        <w:t>茅管办积极参与城镇污水处理提质增效精准攻坚“333”行动的统筹推进，通过针对性开展排查茅山旅游度假区内10.3公里混错接、漏接以及老旧破损雨污管网，制定更新修复计划。同步积极推进雨污分流改造工程，将其与度假区的基础设施建设、环境提升项目相结合。</w:t>
      </w:r>
    </w:p>
    <w:p w14:paraId="11B07C2F">
      <w:pPr>
        <w:ind w:firstLine="482"/>
        <w:rPr>
          <w:b/>
          <w:bCs/>
        </w:rPr>
      </w:pPr>
      <w:r>
        <w:rPr>
          <w:rFonts w:hint="eastAsia"/>
          <w:b/>
          <w:bCs/>
        </w:rPr>
        <w:t>（2）污水处理设施建设与完善</w:t>
      </w:r>
    </w:p>
    <w:p w14:paraId="3A98D5DD">
      <w:pPr>
        <w:ind w:firstLine="480"/>
      </w:pPr>
      <w:r>
        <w:rPr>
          <w:rFonts w:hint="eastAsia"/>
        </w:rPr>
        <w:t>为妥善处理不断增长的生活污水，茅山旅游度假区加快推进污水处理设施建设。积极推进“厂、网、站”一体化工作，持续提升的运行效率与管理水平，通过对常州市金坛区茅东污水处理厂落实“一厂一策”方案，通过优化处理工艺、更新设备等措施，有效提升了进水浓度，增强了污水处理能力。同时，在度假区内旅游设施通过新建污水处理设施、三格式化粪池等方式，完善污水收集系统，确保污水得到有效处理。</w:t>
      </w:r>
    </w:p>
    <w:p w14:paraId="1451615F">
      <w:pPr>
        <w:ind w:firstLine="482"/>
        <w:rPr>
          <w:b/>
          <w:bCs/>
        </w:rPr>
      </w:pPr>
      <w:r>
        <w:rPr>
          <w:rFonts w:hint="eastAsia"/>
          <w:b/>
          <w:bCs/>
        </w:rPr>
        <w:t>（3）新建项目规划与实施</w:t>
      </w:r>
    </w:p>
    <w:p w14:paraId="11112413">
      <w:pPr>
        <w:ind w:firstLine="480"/>
      </w:pPr>
      <w:r>
        <w:rPr>
          <w:rFonts w:hint="eastAsia"/>
        </w:rPr>
        <w:t>立足“智慧+生态”建设理念，规划并实施一系列与污水处理提质增效项目。如金坛区薛埠污水管网及配套工程项目（二期），项目沿游仙路等建设污水管网、自来水管网及管网沿线道路修复工程，通过实施新建污水管道、增设泵站、污水处理设施等工程，以解决区内污水规模增加导致的排水管网超负荷运行、老旧泵站设备智能化水平不足、局部区域污水溢流等问题，有效改善茅山旅游度假区水环境质量，为创建国家级旅游度假区奠定生态基础。</w:t>
      </w:r>
    </w:p>
    <w:p w14:paraId="59A1A6F8">
      <w:pPr>
        <w:ind w:firstLine="0" w:firstLineChars="0"/>
        <w:outlineLvl w:val="3"/>
        <w:rPr>
          <w:b/>
          <w:bCs/>
        </w:rPr>
      </w:pPr>
      <w:r>
        <w:rPr>
          <w:b/>
          <w:bCs/>
        </w:rPr>
        <w:t>3</w:t>
      </w:r>
      <w:r>
        <w:rPr>
          <w:rFonts w:hint="eastAsia"/>
          <w:b/>
          <w:bCs/>
        </w:rPr>
        <w:t>.</w:t>
      </w:r>
      <w:r>
        <w:rPr>
          <w:b/>
          <w:bCs/>
        </w:rPr>
        <w:t>4</w:t>
      </w:r>
      <w:r>
        <w:rPr>
          <w:rFonts w:hint="eastAsia"/>
          <w:b/>
          <w:bCs/>
        </w:rPr>
        <w:t>.</w:t>
      </w:r>
      <w:r>
        <w:rPr>
          <w:b/>
          <w:bCs/>
        </w:rPr>
        <w:t>6</w:t>
      </w:r>
      <w:r>
        <w:rPr>
          <w:rFonts w:hint="eastAsia"/>
          <w:b/>
          <w:bCs/>
        </w:rPr>
        <w:t>.</w:t>
      </w:r>
      <w:r>
        <w:rPr>
          <w:b/>
          <w:bCs/>
        </w:rPr>
        <w:t>4</w:t>
      </w:r>
      <w:r>
        <w:rPr>
          <w:rFonts w:hint="eastAsia"/>
          <w:b/>
          <w:bCs/>
        </w:rPr>
        <w:t>环保督察和环境信访投诉及其整改情况</w:t>
      </w:r>
    </w:p>
    <w:p w14:paraId="298F6F88">
      <w:pPr>
        <w:ind w:firstLine="480"/>
      </w:pPr>
      <w:r>
        <w:rPr>
          <w:rFonts w:hint="eastAsia"/>
        </w:rPr>
        <w:t>度假区内中央环保督察反馈的茅山森林世界问题和紫瑞谷违规开发问题已整改完成并销号；茅庐山庄项目违规建设问题正加快推进整改进度，目前项目已停工，后续结合相关用地规划编制进一步推进问题整改，暂未销号。省突出生态环境问题专项督察反馈问题已整改。关于茅山泉水厂违规建设房屋，破坏地表植被的交办问题、茅东林场小石塘信访问题、半边山无味餐厅信访投诉（噪音问题）、姑村贝霸农场生态红线范围内违规建设信访问题、一号农场水污染信访问题、白鹭湖环境信访问题、江苏广大畜禽公司养殖异味信访问题、鼎盛建材厂粉尘和噪声信访问题等8个环保投诉和信访问题，做到立行立改，时序推进。另外，金坛区深入打好污染防治攻坚战指挥部办公室交办的茅东水库总磷偏高问题、茅山泉水厂疑似生态破坏问题均已整改到位。</w:t>
      </w:r>
    </w:p>
    <w:p w14:paraId="7EB67C69">
      <w:pPr>
        <w:ind w:firstLine="480"/>
      </w:pPr>
      <w:r>
        <w:rPr>
          <w:rFonts w:hint="eastAsia"/>
        </w:rPr>
        <w:br w:type="page"/>
      </w:r>
    </w:p>
    <w:p w14:paraId="39CFB757">
      <w:pPr>
        <w:pStyle w:val="45"/>
        <w:rPr>
          <w:rFonts w:cs="Times New Roman"/>
        </w:rPr>
      </w:pPr>
      <w:r>
        <w:rPr>
          <w:rFonts w:hint="eastAsia" w:cs="Times New Roman"/>
        </w:rPr>
        <w:t>表3.</w:t>
      </w:r>
      <w:r>
        <w:rPr>
          <w:rFonts w:cs="Times New Roman"/>
        </w:rPr>
        <w:t>4</w:t>
      </w:r>
      <w:r>
        <w:rPr>
          <w:rFonts w:hint="eastAsia" w:cs="Times New Roman"/>
        </w:rPr>
        <w:t xml:space="preserve">-40 </w:t>
      </w:r>
      <w:r>
        <w:rPr>
          <w:rFonts w:cs="Times New Roman"/>
        </w:rPr>
        <w:t xml:space="preserve"> </w:t>
      </w:r>
      <w:r>
        <w:rPr>
          <w:rFonts w:hint="eastAsia" w:cs="Times New Roman"/>
        </w:rPr>
        <w:t>度假区环保督察和环境信访投诉及其整改情况表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7"/>
        <w:gridCol w:w="1506"/>
        <w:gridCol w:w="2748"/>
        <w:gridCol w:w="3121"/>
      </w:tblGrid>
      <w:tr w14:paraId="69374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73" w:type="pct"/>
            <w:vAlign w:val="center"/>
          </w:tcPr>
          <w:p w14:paraId="70B94D5C">
            <w:pPr>
              <w:spacing w:line="240" w:lineRule="auto"/>
              <w:ind w:firstLine="0" w:firstLineChars="0"/>
              <w:jc w:val="center"/>
              <w:rPr>
                <w:b/>
                <w:sz w:val="21"/>
                <w:szCs w:val="21"/>
              </w:rPr>
            </w:pPr>
            <w:r>
              <w:rPr>
                <w:rFonts w:hint="eastAsia"/>
                <w:b/>
                <w:sz w:val="21"/>
                <w:szCs w:val="21"/>
              </w:rPr>
              <w:t>类型</w:t>
            </w:r>
          </w:p>
        </w:tc>
        <w:tc>
          <w:tcPr>
            <w:tcW w:w="883" w:type="pct"/>
            <w:vAlign w:val="center"/>
          </w:tcPr>
          <w:p w14:paraId="0FD9AA93">
            <w:pPr>
              <w:spacing w:line="240" w:lineRule="auto"/>
              <w:ind w:firstLine="0" w:firstLineChars="0"/>
              <w:jc w:val="center"/>
              <w:rPr>
                <w:b/>
                <w:sz w:val="21"/>
                <w:szCs w:val="21"/>
              </w:rPr>
            </w:pPr>
            <w:r>
              <w:rPr>
                <w:rFonts w:hint="eastAsia"/>
                <w:b/>
                <w:sz w:val="21"/>
                <w:szCs w:val="21"/>
              </w:rPr>
              <w:t>日期</w:t>
            </w:r>
          </w:p>
        </w:tc>
        <w:tc>
          <w:tcPr>
            <w:tcW w:w="1612" w:type="pct"/>
            <w:vAlign w:val="center"/>
          </w:tcPr>
          <w:p w14:paraId="2C718F76">
            <w:pPr>
              <w:spacing w:line="240" w:lineRule="auto"/>
              <w:ind w:firstLine="0" w:firstLineChars="0"/>
              <w:jc w:val="center"/>
              <w:rPr>
                <w:b/>
                <w:sz w:val="21"/>
                <w:szCs w:val="21"/>
              </w:rPr>
            </w:pPr>
            <w:r>
              <w:rPr>
                <w:rFonts w:hint="eastAsia"/>
                <w:b/>
                <w:sz w:val="21"/>
                <w:szCs w:val="21"/>
              </w:rPr>
              <w:t>问题</w:t>
            </w:r>
          </w:p>
        </w:tc>
        <w:tc>
          <w:tcPr>
            <w:tcW w:w="1830" w:type="pct"/>
            <w:vAlign w:val="center"/>
          </w:tcPr>
          <w:p w14:paraId="1B997557">
            <w:pPr>
              <w:spacing w:line="240" w:lineRule="auto"/>
              <w:ind w:firstLine="0" w:firstLineChars="0"/>
              <w:jc w:val="center"/>
              <w:rPr>
                <w:b/>
                <w:sz w:val="21"/>
                <w:szCs w:val="21"/>
              </w:rPr>
            </w:pPr>
            <w:r>
              <w:rPr>
                <w:rFonts w:hint="eastAsia"/>
                <w:b/>
                <w:sz w:val="21"/>
                <w:szCs w:val="21"/>
              </w:rPr>
              <w:t>整改情况</w:t>
            </w:r>
          </w:p>
        </w:tc>
      </w:tr>
      <w:tr w14:paraId="35785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restart"/>
            <w:vAlign w:val="center"/>
          </w:tcPr>
          <w:p w14:paraId="09552649">
            <w:pPr>
              <w:spacing w:line="240" w:lineRule="auto"/>
              <w:ind w:firstLine="0" w:firstLineChars="0"/>
              <w:jc w:val="center"/>
              <w:rPr>
                <w:sz w:val="21"/>
                <w:szCs w:val="21"/>
              </w:rPr>
            </w:pPr>
            <w:r>
              <w:rPr>
                <w:rFonts w:hint="eastAsia"/>
                <w:sz w:val="21"/>
                <w:szCs w:val="21"/>
              </w:rPr>
              <w:t>中央环保督察问题</w:t>
            </w:r>
          </w:p>
        </w:tc>
        <w:tc>
          <w:tcPr>
            <w:tcW w:w="883" w:type="pct"/>
            <w:vAlign w:val="center"/>
          </w:tcPr>
          <w:p w14:paraId="22AA6CE7">
            <w:pPr>
              <w:spacing w:line="240" w:lineRule="auto"/>
              <w:ind w:firstLine="0" w:firstLineChars="0"/>
              <w:jc w:val="center"/>
              <w:rPr>
                <w:sz w:val="21"/>
                <w:szCs w:val="21"/>
              </w:rPr>
            </w:pPr>
            <w:r>
              <w:rPr>
                <w:rFonts w:hint="eastAsia"/>
                <w:sz w:val="21"/>
                <w:szCs w:val="21"/>
              </w:rPr>
              <w:t>/</w:t>
            </w:r>
          </w:p>
        </w:tc>
        <w:tc>
          <w:tcPr>
            <w:tcW w:w="1612" w:type="pct"/>
            <w:vAlign w:val="center"/>
          </w:tcPr>
          <w:p w14:paraId="7F209E19">
            <w:pPr>
              <w:spacing w:line="240" w:lineRule="auto"/>
              <w:ind w:firstLine="0" w:firstLineChars="0"/>
              <w:jc w:val="center"/>
              <w:rPr>
                <w:sz w:val="21"/>
                <w:szCs w:val="21"/>
              </w:rPr>
            </w:pPr>
            <w:r>
              <w:rPr>
                <w:rFonts w:hint="eastAsia"/>
                <w:sz w:val="21"/>
                <w:szCs w:val="21"/>
              </w:rPr>
              <w:t>茅山森林世界问题</w:t>
            </w:r>
          </w:p>
        </w:tc>
        <w:tc>
          <w:tcPr>
            <w:tcW w:w="1830" w:type="pct"/>
            <w:vAlign w:val="center"/>
          </w:tcPr>
          <w:p w14:paraId="215E3087">
            <w:pPr>
              <w:spacing w:line="240" w:lineRule="auto"/>
              <w:ind w:firstLine="0" w:firstLineChars="0"/>
              <w:jc w:val="center"/>
              <w:rPr>
                <w:sz w:val="21"/>
                <w:szCs w:val="21"/>
              </w:rPr>
            </w:pPr>
            <w:r>
              <w:rPr>
                <w:rFonts w:hint="eastAsia"/>
                <w:sz w:val="21"/>
                <w:szCs w:val="21"/>
              </w:rPr>
              <w:t>正式完成销号</w:t>
            </w:r>
          </w:p>
        </w:tc>
      </w:tr>
      <w:tr w14:paraId="5DCBD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vAlign w:val="center"/>
          </w:tcPr>
          <w:p w14:paraId="6602A3A9">
            <w:pPr>
              <w:spacing w:line="240" w:lineRule="auto"/>
              <w:ind w:firstLine="0" w:firstLineChars="0"/>
              <w:jc w:val="center"/>
              <w:rPr>
                <w:sz w:val="21"/>
                <w:szCs w:val="21"/>
              </w:rPr>
            </w:pPr>
          </w:p>
        </w:tc>
        <w:tc>
          <w:tcPr>
            <w:tcW w:w="883" w:type="pct"/>
            <w:vAlign w:val="center"/>
          </w:tcPr>
          <w:p w14:paraId="0E4D6656">
            <w:pPr>
              <w:spacing w:line="240" w:lineRule="auto"/>
              <w:ind w:firstLine="0" w:firstLineChars="0"/>
              <w:jc w:val="center"/>
              <w:rPr>
                <w:sz w:val="21"/>
                <w:szCs w:val="21"/>
              </w:rPr>
            </w:pPr>
            <w:r>
              <w:rPr>
                <w:rFonts w:hint="eastAsia"/>
                <w:sz w:val="21"/>
                <w:szCs w:val="21"/>
              </w:rPr>
              <w:t>2024年10月</w:t>
            </w:r>
          </w:p>
        </w:tc>
        <w:tc>
          <w:tcPr>
            <w:tcW w:w="1612" w:type="pct"/>
            <w:vAlign w:val="center"/>
          </w:tcPr>
          <w:p w14:paraId="4A5B9FD9">
            <w:pPr>
              <w:spacing w:line="240" w:lineRule="auto"/>
              <w:ind w:firstLine="0" w:firstLineChars="0"/>
              <w:jc w:val="center"/>
              <w:rPr>
                <w:sz w:val="21"/>
                <w:szCs w:val="21"/>
              </w:rPr>
            </w:pPr>
            <w:r>
              <w:rPr>
                <w:rFonts w:hint="eastAsia"/>
                <w:sz w:val="21"/>
                <w:szCs w:val="21"/>
              </w:rPr>
              <w:t>紫瑞谷非法建设道路、客房、大棚，非法开垦林地问题</w:t>
            </w:r>
          </w:p>
        </w:tc>
        <w:tc>
          <w:tcPr>
            <w:tcW w:w="1830" w:type="pct"/>
            <w:vAlign w:val="center"/>
          </w:tcPr>
          <w:p w14:paraId="381020EC">
            <w:pPr>
              <w:spacing w:line="240" w:lineRule="auto"/>
              <w:ind w:firstLine="0" w:firstLineChars="0"/>
              <w:jc w:val="center"/>
              <w:rPr>
                <w:sz w:val="21"/>
                <w:szCs w:val="21"/>
              </w:rPr>
            </w:pPr>
            <w:r>
              <w:rPr>
                <w:rFonts w:hint="eastAsia"/>
                <w:sz w:val="21"/>
                <w:szCs w:val="21"/>
              </w:rPr>
              <w:t>对企业违法行为立案查处，违建已拆除，林地已恢复种植，整改已完成，已销号</w:t>
            </w:r>
          </w:p>
        </w:tc>
      </w:tr>
      <w:tr w14:paraId="5CDB6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vAlign w:val="center"/>
          </w:tcPr>
          <w:p w14:paraId="6FEED603">
            <w:pPr>
              <w:spacing w:line="240" w:lineRule="auto"/>
              <w:ind w:firstLine="0" w:firstLineChars="0"/>
              <w:jc w:val="center"/>
              <w:rPr>
                <w:sz w:val="21"/>
                <w:szCs w:val="21"/>
              </w:rPr>
            </w:pPr>
          </w:p>
        </w:tc>
        <w:tc>
          <w:tcPr>
            <w:tcW w:w="883" w:type="pct"/>
            <w:vAlign w:val="center"/>
          </w:tcPr>
          <w:p w14:paraId="389521EF">
            <w:pPr>
              <w:spacing w:line="240" w:lineRule="auto"/>
              <w:ind w:firstLine="0" w:firstLineChars="0"/>
              <w:jc w:val="center"/>
              <w:rPr>
                <w:sz w:val="21"/>
                <w:szCs w:val="21"/>
              </w:rPr>
            </w:pPr>
            <w:r>
              <w:rPr>
                <w:rFonts w:hint="eastAsia"/>
                <w:sz w:val="21"/>
                <w:szCs w:val="21"/>
              </w:rPr>
              <w:t>2024年10月</w:t>
            </w:r>
          </w:p>
        </w:tc>
        <w:tc>
          <w:tcPr>
            <w:tcW w:w="1612" w:type="pct"/>
            <w:vAlign w:val="center"/>
          </w:tcPr>
          <w:p w14:paraId="4C439694">
            <w:pPr>
              <w:spacing w:line="240" w:lineRule="auto"/>
              <w:ind w:firstLine="0" w:firstLineChars="0"/>
              <w:jc w:val="center"/>
              <w:rPr>
                <w:sz w:val="21"/>
                <w:szCs w:val="21"/>
              </w:rPr>
            </w:pPr>
            <w:r>
              <w:rPr>
                <w:rFonts w:hint="eastAsia"/>
                <w:sz w:val="21"/>
                <w:szCs w:val="21"/>
              </w:rPr>
              <w:t>茅庐山庄项目违规翻建房屋，非法开垦林地问题</w:t>
            </w:r>
          </w:p>
        </w:tc>
        <w:tc>
          <w:tcPr>
            <w:tcW w:w="1830" w:type="pct"/>
            <w:vAlign w:val="center"/>
          </w:tcPr>
          <w:p w14:paraId="57F493EA">
            <w:pPr>
              <w:spacing w:line="240" w:lineRule="auto"/>
              <w:ind w:firstLine="0" w:firstLineChars="0"/>
              <w:jc w:val="center"/>
              <w:rPr>
                <w:sz w:val="21"/>
                <w:szCs w:val="21"/>
              </w:rPr>
            </w:pPr>
            <w:r>
              <w:rPr>
                <w:rFonts w:hint="eastAsia"/>
                <w:sz w:val="21"/>
                <w:szCs w:val="21"/>
              </w:rPr>
              <w:t>对企业违法行为立案查处，违建停车场和部分道路拆除，违法加建二层房屋已拆除，林地已恢复种植，目前整改进行中，尚未销号</w:t>
            </w:r>
          </w:p>
        </w:tc>
      </w:tr>
      <w:tr w14:paraId="314A2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3" w:type="pct"/>
            <w:vMerge w:val="restart"/>
            <w:vAlign w:val="center"/>
          </w:tcPr>
          <w:p w14:paraId="67A2E3B0">
            <w:pPr>
              <w:spacing w:line="240" w:lineRule="auto"/>
              <w:ind w:firstLine="0" w:firstLineChars="0"/>
              <w:jc w:val="center"/>
              <w:rPr>
                <w:sz w:val="21"/>
                <w:szCs w:val="21"/>
              </w:rPr>
            </w:pPr>
            <w:r>
              <w:rPr>
                <w:rFonts w:hint="eastAsia"/>
                <w:sz w:val="21"/>
                <w:szCs w:val="21"/>
              </w:rPr>
              <w:t>省突出生态环境问题专项督察反馈问题</w:t>
            </w:r>
          </w:p>
        </w:tc>
        <w:tc>
          <w:tcPr>
            <w:tcW w:w="883" w:type="pct"/>
            <w:vMerge w:val="restart"/>
            <w:vAlign w:val="center"/>
          </w:tcPr>
          <w:p w14:paraId="6F05C65A">
            <w:pPr>
              <w:spacing w:line="240" w:lineRule="auto"/>
              <w:ind w:firstLine="0" w:firstLineChars="0"/>
              <w:jc w:val="center"/>
              <w:rPr>
                <w:sz w:val="21"/>
                <w:szCs w:val="21"/>
              </w:rPr>
            </w:pPr>
            <w:r>
              <w:rPr>
                <w:rFonts w:hint="eastAsia"/>
                <w:sz w:val="21"/>
                <w:szCs w:val="21"/>
              </w:rPr>
              <w:t>2022年1月</w:t>
            </w:r>
          </w:p>
        </w:tc>
        <w:tc>
          <w:tcPr>
            <w:tcW w:w="1612" w:type="pct"/>
            <w:vAlign w:val="center"/>
          </w:tcPr>
          <w:p w14:paraId="4B976EB8">
            <w:pPr>
              <w:spacing w:line="240" w:lineRule="auto"/>
              <w:ind w:firstLine="0" w:firstLineChars="0"/>
              <w:jc w:val="center"/>
              <w:rPr>
                <w:sz w:val="21"/>
                <w:szCs w:val="21"/>
              </w:rPr>
            </w:pPr>
            <w:r>
              <w:rPr>
                <w:rFonts w:hint="eastAsia"/>
                <w:sz w:val="21"/>
                <w:szCs w:val="21"/>
              </w:rPr>
              <w:t>金坛区新朋建筑材料厂问题整改不到位</w:t>
            </w:r>
          </w:p>
        </w:tc>
        <w:tc>
          <w:tcPr>
            <w:tcW w:w="1830" w:type="pct"/>
            <w:vAlign w:val="center"/>
          </w:tcPr>
          <w:p w14:paraId="0B7F64C9">
            <w:pPr>
              <w:spacing w:line="240" w:lineRule="auto"/>
              <w:ind w:firstLine="0" w:firstLineChars="0"/>
              <w:jc w:val="center"/>
              <w:rPr>
                <w:sz w:val="21"/>
                <w:szCs w:val="21"/>
              </w:rPr>
            </w:pPr>
            <w:r>
              <w:rPr>
                <w:rFonts w:hint="eastAsia"/>
                <w:sz w:val="21"/>
                <w:szCs w:val="21"/>
              </w:rPr>
              <w:t>已整改，已开展企业环保整治提升</w:t>
            </w:r>
          </w:p>
        </w:tc>
      </w:tr>
      <w:tr w14:paraId="7AA4B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vAlign w:val="center"/>
          </w:tcPr>
          <w:p w14:paraId="03F8D038">
            <w:pPr>
              <w:spacing w:line="240" w:lineRule="auto"/>
              <w:ind w:firstLine="0" w:firstLineChars="0"/>
              <w:jc w:val="center"/>
              <w:rPr>
                <w:sz w:val="21"/>
                <w:szCs w:val="21"/>
              </w:rPr>
            </w:pPr>
          </w:p>
        </w:tc>
        <w:tc>
          <w:tcPr>
            <w:tcW w:w="883" w:type="pct"/>
            <w:vMerge w:val="continue"/>
            <w:vAlign w:val="center"/>
          </w:tcPr>
          <w:p w14:paraId="7B58A6B1">
            <w:pPr>
              <w:spacing w:line="240" w:lineRule="auto"/>
              <w:ind w:firstLine="0" w:firstLineChars="0"/>
              <w:jc w:val="center"/>
              <w:rPr>
                <w:sz w:val="21"/>
                <w:szCs w:val="21"/>
              </w:rPr>
            </w:pPr>
          </w:p>
        </w:tc>
        <w:tc>
          <w:tcPr>
            <w:tcW w:w="1612" w:type="pct"/>
            <w:vAlign w:val="center"/>
          </w:tcPr>
          <w:p w14:paraId="12FFD6E7">
            <w:pPr>
              <w:spacing w:line="240" w:lineRule="auto"/>
              <w:ind w:firstLine="0" w:firstLineChars="0"/>
              <w:jc w:val="center"/>
              <w:rPr>
                <w:sz w:val="21"/>
                <w:szCs w:val="21"/>
              </w:rPr>
            </w:pPr>
            <w:r>
              <w:rPr>
                <w:rFonts w:hint="eastAsia"/>
                <w:sz w:val="21"/>
                <w:szCs w:val="21"/>
              </w:rPr>
              <w:t>大石包矿山、朝阳洞矿山扬尘防控不到位和环境保护与恢复治理滞后</w:t>
            </w:r>
          </w:p>
        </w:tc>
        <w:tc>
          <w:tcPr>
            <w:tcW w:w="1830" w:type="pct"/>
            <w:vAlign w:val="center"/>
          </w:tcPr>
          <w:p w14:paraId="7BE42678">
            <w:pPr>
              <w:spacing w:line="240" w:lineRule="auto"/>
              <w:ind w:firstLine="0" w:firstLineChars="0"/>
              <w:jc w:val="center"/>
              <w:rPr>
                <w:sz w:val="21"/>
                <w:szCs w:val="21"/>
              </w:rPr>
            </w:pPr>
            <w:r>
              <w:rPr>
                <w:rFonts w:hint="eastAsia"/>
                <w:sz w:val="21"/>
                <w:szCs w:val="21"/>
              </w:rPr>
              <w:t>已整改，已推进大石包矿山、朝阳洞矿山扬尘治理和生态修复工作</w:t>
            </w:r>
          </w:p>
        </w:tc>
      </w:tr>
      <w:tr w14:paraId="3298C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restart"/>
            <w:vAlign w:val="center"/>
          </w:tcPr>
          <w:p w14:paraId="1D549AA7">
            <w:pPr>
              <w:spacing w:line="240" w:lineRule="auto"/>
              <w:ind w:firstLine="0" w:firstLineChars="0"/>
              <w:jc w:val="center"/>
              <w:rPr>
                <w:sz w:val="21"/>
                <w:szCs w:val="21"/>
              </w:rPr>
            </w:pPr>
            <w:r>
              <w:rPr>
                <w:rFonts w:hint="eastAsia"/>
                <w:sz w:val="21"/>
                <w:szCs w:val="21"/>
              </w:rPr>
              <w:t>环境投诉和信访问题</w:t>
            </w:r>
          </w:p>
        </w:tc>
        <w:tc>
          <w:tcPr>
            <w:tcW w:w="883" w:type="pct"/>
            <w:vAlign w:val="center"/>
          </w:tcPr>
          <w:p w14:paraId="51BDAED7">
            <w:pPr>
              <w:spacing w:line="240" w:lineRule="auto"/>
              <w:ind w:firstLine="0" w:firstLineChars="0"/>
              <w:jc w:val="center"/>
              <w:rPr>
                <w:sz w:val="21"/>
                <w:szCs w:val="21"/>
              </w:rPr>
            </w:pPr>
            <w:r>
              <w:rPr>
                <w:rFonts w:hint="eastAsia"/>
                <w:sz w:val="21"/>
                <w:szCs w:val="21"/>
              </w:rPr>
              <w:t>2022年11月</w:t>
            </w:r>
          </w:p>
        </w:tc>
        <w:tc>
          <w:tcPr>
            <w:tcW w:w="1612" w:type="pct"/>
            <w:vAlign w:val="center"/>
          </w:tcPr>
          <w:p w14:paraId="74E95474">
            <w:pPr>
              <w:spacing w:line="240" w:lineRule="auto"/>
              <w:ind w:firstLine="0" w:firstLineChars="0"/>
              <w:jc w:val="center"/>
              <w:rPr>
                <w:sz w:val="21"/>
                <w:szCs w:val="21"/>
              </w:rPr>
            </w:pPr>
            <w:r>
              <w:rPr>
                <w:rFonts w:hint="eastAsia"/>
                <w:sz w:val="21"/>
                <w:szCs w:val="21"/>
              </w:rPr>
              <w:t>关于茅山泉水厂违规建设房屋，破坏地表植被的交办问题</w:t>
            </w:r>
          </w:p>
        </w:tc>
        <w:tc>
          <w:tcPr>
            <w:tcW w:w="1830" w:type="pct"/>
            <w:vAlign w:val="center"/>
          </w:tcPr>
          <w:p w14:paraId="3659EAFD">
            <w:pPr>
              <w:spacing w:line="240" w:lineRule="auto"/>
              <w:ind w:firstLine="0" w:firstLineChars="0"/>
              <w:jc w:val="center"/>
              <w:rPr>
                <w:sz w:val="21"/>
                <w:szCs w:val="21"/>
              </w:rPr>
            </w:pPr>
            <w:r>
              <w:rPr>
                <w:rFonts w:hint="eastAsia"/>
                <w:sz w:val="21"/>
                <w:szCs w:val="21"/>
              </w:rPr>
              <w:t>现场调查处理</w:t>
            </w:r>
            <w:r>
              <w:rPr>
                <w:rFonts w:hint="eastAsia" w:eastAsia="宋体"/>
                <w:sz w:val="21"/>
                <w:szCs w:val="21"/>
              </w:rPr>
              <w:t>，</w:t>
            </w:r>
            <w:r>
              <w:rPr>
                <w:rFonts w:hint="eastAsia"/>
                <w:sz w:val="21"/>
                <w:szCs w:val="21"/>
              </w:rPr>
              <w:t>已妥善处置信访案件</w:t>
            </w:r>
          </w:p>
        </w:tc>
      </w:tr>
      <w:tr w14:paraId="68E6D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vAlign w:val="center"/>
          </w:tcPr>
          <w:p w14:paraId="2A31E510">
            <w:pPr>
              <w:spacing w:line="240" w:lineRule="auto"/>
              <w:ind w:firstLine="0" w:firstLineChars="0"/>
              <w:jc w:val="center"/>
              <w:rPr>
                <w:sz w:val="21"/>
                <w:szCs w:val="21"/>
              </w:rPr>
            </w:pPr>
          </w:p>
        </w:tc>
        <w:tc>
          <w:tcPr>
            <w:tcW w:w="883" w:type="pct"/>
            <w:vAlign w:val="center"/>
          </w:tcPr>
          <w:p w14:paraId="572D51C8">
            <w:pPr>
              <w:spacing w:line="240" w:lineRule="auto"/>
              <w:ind w:firstLine="0" w:firstLineChars="0"/>
              <w:jc w:val="center"/>
              <w:rPr>
                <w:sz w:val="21"/>
                <w:szCs w:val="21"/>
              </w:rPr>
            </w:pPr>
            <w:r>
              <w:rPr>
                <w:rFonts w:hint="eastAsia"/>
                <w:sz w:val="21"/>
                <w:szCs w:val="21"/>
              </w:rPr>
              <w:t>2022年8月</w:t>
            </w:r>
          </w:p>
        </w:tc>
        <w:tc>
          <w:tcPr>
            <w:tcW w:w="1612" w:type="pct"/>
            <w:vAlign w:val="center"/>
          </w:tcPr>
          <w:p w14:paraId="00A73DA0">
            <w:pPr>
              <w:spacing w:line="240" w:lineRule="auto"/>
              <w:ind w:firstLine="0" w:firstLineChars="0"/>
              <w:jc w:val="center"/>
              <w:rPr>
                <w:sz w:val="21"/>
                <w:szCs w:val="21"/>
              </w:rPr>
            </w:pPr>
            <w:r>
              <w:rPr>
                <w:rFonts w:hint="eastAsia"/>
                <w:sz w:val="21"/>
                <w:szCs w:val="21"/>
              </w:rPr>
              <w:t>茅东林场小石塘信访问题</w:t>
            </w:r>
          </w:p>
        </w:tc>
        <w:tc>
          <w:tcPr>
            <w:tcW w:w="1830" w:type="pct"/>
            <w:vAlign w:val="center"/>
          </w:tcPr>
          <w:p w14:paraId="2AF3E00B">
            <w:pPr>
              <w:spacing w:line="240" w:lineRule="auto"/>
              <w:ind w:firstLine="0" w:firstLineChars="0"/>
              <w:jc w:val="center"/>
              <w:rPr>
                <w:sz w:val="21"/>
                <w:szCs w:val="21"/>
              </w:rPr>
            </w:pPr>
            <w:r>
              <w:rPr>
                <w:rFonts w:hint="eastAsia"/>
                <w:sz w:val="21"/>
                <w:szCs w:val="21"/>
              </w:rPr>
              <w:t>配合区生态环境执法局、句容公安、环保局现场调查处理，已妥善处置信访案件</w:t>
            </w:r>
          </w:p>
        </w:tc>
      </w:tr>
      <w:tr w14:paraId="5DDCC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vAlign w:val="center"/>
          </w:tcPr>
          <w:p w14:paraId="7A45E782">
            <w:pPr>
              <w:spacing w:line="240" w:lineRule="auto"/>
              <w:ind w:firstLine="0" w:firstLineChars="0"/>
              <w:jc w:val="center"/>
              <w:rPr>
                <w:sz w:val="21"/>
                <w:szCs w:val="21"/>
              </w:rPr>
            </w:pPr>
          </w:p>
        </w:tc>
        <w:tc>
          <w:tcPr>
            <w:tcW w:w="883" w:type="pct"/>
            <w:vAlign w:val="center"/>
          </w:tcPr>
          <w:p w14:paraId="66CF7257">
            <w:pPr>
              <w:spacing w:line="240" w:lineRule="auto"/>
              <w:ind w:firstLine="0" w:firstLineChars="0"/>
              <w:jc w:val="center"/>
              <w:rPr>
                <w:sz w:val="21"/>
                <w:szCs w:val="21"/>
              </w:rPr>
            </w:pPr>
            <w:r>
              <w:rPr>
                <w:rFonts w:hint="eastAsia"/>
                <w:sz w:val="21"/>
                <w:szCs w:val="21"/>
              </w:rPr>
              <w:t>2022年9月</w:t>
            </w:r>
          </w:p>
        </w:tc>
        <w:tc>
          <w:tcPr>
            <w:tcW w:w="1612" w:type="pct"/>
            <w:vAlign w:val="center"/>
          </w:tcPr>
          <w:p w14:paraId="3F626738">
            <w:pPr>
              <w:spacing w:line="240" w:lineRule="auto"/>
              <w:ind w:firstLine="0" w:firstLineChars="0"/>
              <w:jc w:val="center"/>
              <w:rPr>
                <w:sz w:val="21"/>
                <w:szCs w:val="21"/>
              </w:rPr>
            </w:pPr>
            <w:r>
              <w:rPr>
                <w:rFonts w:hint="eastAsia"/>
                <w:sz w:val="21"/>
                <w:szCs w:val="21"/>
              </w:rPr>
              <w:t>半边山无味餐厅信访投诉（噪音问题）</w:t>
            </w:r>
          </w:p>
        </w:tc>
        <w:tc>
          <w:tcPr>
            <w:tcW w:w="1830" w:type="pct"/>
            <w:vAlign w:val="center"/>
          </w:tcPr>
          <w:p w14:paraId="3D1EB399">
            <w:pPr>
              <w:spacing w:line="240" w:lineRule="auto"/>
              <w:ind w:firstLine="0" w:firstLineChars="0"/>
              <w:jc w:val="center"/>
              <w:rPr>
                <w:sz w:val="21"/>
                <w:szCs w:val="21"/>
              </w:rPr>
            </w:pPr>
            <w:r>
              <w:rPr>
                <w:rFonts w:hint="eastAsia"/>
                <w:sz w:val="21"/>
                <w:szCs w:val="21"/>
              </w:rPr>
              <w:t>现场调查处理</w:t>
            </w:r>
            <w:r>
              <w:rPr>
                <w:rFonts w:hint="eastAsia" w:eastAsia="宋体"/>
                <w:sz w:val="21"/>
                <w:szCs w:val="21"/>
              </w:rPr>
              <w:t>，</w:t>
            </w:r>
            <w:r>
              <w:rPr>
                <w:rFonts w:hint="eastAsia"/>
                <w:sz w:val="21"/>
                <w:szCs w:val="21"/>
              </w:rPr>
              <w:t>已妥善处置信访案件</w:t>
            </w:r>
          </w:p>
        </w:tc>
      </w:tr>
      <w:tr w14:paraId="29405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vAlign w:val="center"/>
          </w:tcPr>
          <w:p w14:paraId="7B1B9493">
            <w:pPr>
              <w:spacing w:line="240" w:lineRule="auto"/>
              <w:ind w:firstLine="0" w:firstLineChars="0"/>
              <w:jc w:val="center"/>
              <w:rPr>
                <w:sz w:val="21"/>
                <w:szCs w:val="21"/>
              </w:rPr>
            </w:pPr>
          </w:p>
        </w:tc>
        <w:tc>
          <w:tcPr>
            <w:tcW w:w="883" w:type="pct"/>
            <w:vAlign w:val="center"/>
          </w:tcPr>
          <w:p w14:paraId="6C1FCDB3">
            <w:pPr>
              <w:spacing w:line="240" w:lineRule="auto"/>
              <w:ind w:firstLine="0" w:firstLineChars="0"/>
              <w:jc w:val="center"/>
              <w:rPr>
                <w:sz w:val="21"/>
                <w:szCs w:val="21"/>
              </w:rPr>
            </w:pPr>
            <w:r>
              <w:rPr>
                <w:rFonts w:hint="eastAsia"/>
                <w:sz w:val="21"/>
                <w:szCs w:val="21"/>
              </w:rPr>
              <w:t>2023年4月</w:t>
            </w:r>
          </w:p>
        </w:tc>
        <w:tc>
          <w:tcPr>
            <w:tcW w:w="1612" w:type="pct"/>
            <w:vAlign w:val="center"/>
          </w:tcPr>
          <w:p w14:paraId="1B234770">
            <w:pPr>
              <w:spacing w:line="240" w:lineRule="auto"/>
              <w:ind w:firstLine="0" w:firstLineChars="0"/>
              <w:jc w:val="center"/>
              <w:rPr>
                <w:sz w:val="21"/>
                <w:szCs w:val="21"/>
              </w:rPr>
            </w:pPr>
            <w:r>
              <w:rPr>
                <w:rFonts w:hint="eastAsia"/>
                <w:sz w:val="21"/>
                <w:szCs w:val="21"/>
              </w:rPr>
              <w:t>仙姑村贝霸农场生态红线范围内违规建设信访问题</w:t>
            </w:r>
          </w:p>
        </w:tc>
        <w:tc>
          <w:tcPr>
            <w:tcW w:w="1830" w:type="pct"/>
            <w:vAlign w:val="center"/>
          </w:tcPr>
          <w:p w14:paraId="33784D75">
            <w:pPr>
              <w:spacing w:line="240" w:lineRule="auto"/>
              <w:ind w:firstLine="0" w:firstLineChars="0"/>
              <w:jc w:val="center"/>
              <w:rPr>
                <w:sz w:val="21"/>
                <w:szCs w:val="21"/>
              </w:rPr>
            </w:pPr>
            <w:r>
              <w:rPr>
                <w:rFonts w:hint="eastAsia"/>
                <w:sz w:val="21"/>
                <w:szCs w:val="21"/>
              </w:rPr>
              <w:t>现场调查处理</w:t>
            </w:r>
            <w:r>
              <w:rPr>
                <w:rFonts w:hint="eastAsia" w:eastAsia="宋体"/>
                <w:sz w:val="21"/>
                <w:szCs w:val="21"/>
              </w:rPr>
              <w:t>，</w:t>
            </w:r>
            <w:r>
              <w:rPr>
                <w:rFonts w:hint="eastAsia"/>
                <w:sz w:val="21"/>
                <w:szCs w:val="21"/>
              </w:rPr>
              <w:t>已妥善处置信访案件</w:t>
            </w:r>
          </w:p>
        </w:tc>
      </w:tr>
      <w:tr w14:paraId="40052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vAlign w:val="center"/>
          </w:tcPr>
          <w:p w14:paraId="253F2DAB">
            <w:pPr>
              <w:spacing w:line="240" w:lineRule="auto"/>
              <w:ind w:firstLine="0" w:firstLineChars="0"/>
              <w:jc w:val="center"/>
              <w:rPr>
                <w:sz w:val="21"/>
                <w:szCs w:val="21"/>
              </w:rPr>
            </w:pPr>
          </w:p>
        </w:tc>
        <w:tc>
          <w:tcPr>
            <w:tcW w:w="883" w:type="pct"/>
            <w:vAlign w:val="center"/>
          </w:tcPr>
          <w:p w14:paraId="03C7C075">
            <w:pPr>
              <w:spacing w:line="240" w:lineRule="auto"/>
              <w:ind w:firstLine="0" w:firstLineChars="0"/>
              <w:jc w:val="center"/>
              <w:rPr>
                <w:sz w:val="21"/>
                <w:szCs w:val="21"/>
              </w:rPr>
            </w:pPr>
            <w:r>
              <w:rPr>
                <w:rFonts w:hint="eastAsia"/>
                <w:sz w:val="21"/>
                <w:szCs w:val="21"/>
              </w:rPr>
              <w:t>2023年4月</w:t>
            </w:r>
          </w:p>
        </w:tc>
        <w:tc>
          <w:tcPr>
            <w:tcW w:w="1612" w:type="pct"/>
            <w:vAlign w:val="center"/>
          </w:tcPr>
          <w:p w14:paraId="212EF8FC">
            <w:pPr>
              <w:spacing w:line="240" w:lineRule="auto"/>
              <w:ind w:firstLine="0" w:firstLineChars="0"/>
              <w:jc w:val="center"/>
              <w:rPr>
                <w:sz w:val="21"/>
                <w:szCs w:val="21"/>
              </w:rPr>
            </w:pPr>
            <w:r>
              <w:rPr>
                <w:rFonts w:hint="eastAsia"/>
                <w:sz w:val="21"/>
                <w:szCs w:val="21"/>
              </w:rPr>
              <w:t>一号农场水污染信访问题</w:t>
            </w:r>
          </w:p>
        </w:tc>
        <w:tc>
          <w:tcPr>
            <w:tcW w:w="1830" w:type="pct"/>
            <w:vAlign w:val="center"/>
          </w:tcPr>
          <w:p w14:paraId="2212A308">
            <w:pPr>
              <w:spacing w:line="240" w:lineRule="auto"/>
              <w:ind w:firstLine="0" w:firstLineChars="0"/>
              <w:jc w:val="center"/>
              <w:rPr>
                <w:sz w:val="21"/>
                <w:szCs w:val="21"/>
              </w:rPr>
            </w:pPr>
            <w:r>
              <w:rPr>
                <w:rFonts w:hint="eastAsia"/>
                <w:sz w:val="21"/>
                <w:szCs w:val="21"/>
              </w:rPr>
              <w:t>配合镇环保所现场调查处理</w:t>
            </w:r>
            <w:r>
              <w:rPr>
                <w:rFonts w:hint="eastAsia" w:eastAsia="宋体"/>
                <w:sz w:val="21"/>
                <w:szCs w:val="21"/>
              </w:rPr>
              <w:t>，</w:t>
            </w:r>
            <w:r>
              <w:rPr>
                <w:rFonts w:hint="eastAsia"/>
                <w:sz w:val="21"/>
                <w:szCs w:val="21"/>
              </w:rPr>
              <w:t>已妥善处置信访案件</w:t>
            </w:r>
          </w:p>
        </w:tc>
      </w:tr>
      <w:tr w14:paraId="089A4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vAlign w:val="center"/>
          </w:tcPr>
          <w:p w14:paraId="20E8B765">
            <w:pPr>
              <w:spacing w:line="240" w:lineRule="auto"/>
              <w:ind w:firstLine="0" w:firstLineChars="0"/>
              <w:jc w:val="center"/>
              <w:rPr>
                <w:sz w:val="21"/>
                <w:szCs w:val="21"/>
              </w:rPr>
            </w:pPr>
          </w:p>
        </w:tc>
        <w:tc>
          <w:tcPr>
            <w:tcW w:w="883" w:type="pct"/>
            <w:vAlign w:val="center"/>
          </w:tcPr>
          <w:p w14:paraId="1AD05CDC">
            <w:pPr>
              <w:spacing w:line="240" w:lineRule="auto"/>
              <w:ind w:firstLine="0" w:firstLineChars="0"/>
              <w:jc w:val="center"/>
              <w:rPr>
                <w:sz w:val="21"/>
                <w:szCs w:val="21"/>
              </w:rPr>
            </w:pPr>
            <w:r>
              <w:rPr>
                <w:rFonts w:hint="eastAsia"/>
                <w:sz w:val="21"/>
                <w:szCs w:val="21"/>
              </w:rPr>
              <w:t>2023年3月</w:t>
            </w:r>
          </w:p>
        </w:tc>
        <w:tc>
          <w:tcPr>
            <w:tcW w:w="1612" w:type="pct"/>
            <w:vAlign w:val="center"/>
          </w:tcPr>
          <w:p w14:paraId="46871C1E">
            <w:pPr>
              <w:spacing w:line="240" w:lineRule="auto"/>
              <w:ind w:firstLine="0" w:firstLineChars="0"/>
              <w:jc w:val="center"/>
              <w:rPr>
                <w:sz w:val="21"/>
                <w:szCs w:val="21"/>
              </w:rPr>
            </w:pPr>
            <w:r>
              <w:rPr>
                <w:rFonts w:hint="eastAsia"/>
                <w:sz w:val="21"/>
                <w:szCs w:val="21"/>
              </w:rPr>
              <w:t>白鹭湖环境信访问题</w:t>
            </w:r>
          </w:p>
        </w:tc>
        <w:tc>
          <w:tcPr>
            <w:tcW w:w="1830" w:type="pct"/>
            <w:vAlign w:val="center"/>
          </w:tcPr>
          <w:p w14:paraId="484E8D94">
            <w:pPr>
              <w:spacing w:line="240" w:lineRule="auto"/>
              <w:ind w:firstLine="0" w:firstLineChars="0"/>
              <w:jc w:val="center"/>
              <w:rPr>
                <w:sz w:val="21"/>
                <w:szCs w:val="21"/>
              </w:rPr>
            </w:pPr>
            <w:r>
              <w:rPr>
                <w:rFonts w:hint="eastAsia"/>
                <w:sz w:val="21"/>
                <w:szCs w:val="21"/>
              </w:rPr>
              <w:t>现场调查处理，已妥善处置信访案件</w:t>
            </w:r>
          </w:p>
        </w:tc>
      </w:tr>
      <w:tr w14:paraId="55192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vAlign w:val="center"/>
          </w:tcPr>
          <w:p w14:paraId="21F21D5E">
            <w:pPr>
              <w:spacing w:line="240" w:lineRule="auto"/>
              <w:ind w:firstLine="0" w:firstLineChars="0"/>
              <w:jc w:val="center"/>
              <w:rPr>
                <w:sz w:val="21"/>
                <w:szCs w:val="21"/>
              </w:rPr>
            </w:pPr>
          </w:p>
        </w:tc>
        <w:tc>
          <w:tcPr>
            <w:tcW w:w="883" w:type="pct"/>
            <w:vAlign w:val="center"/>
          </w:tcPr>
          <w:p w14:paraId="605D7337">
            <w:pPr>
              <w:spacing w:line="240" w:lineRule="auto"/>
              <w:ind w:firstLine="0" w:firstLineChars="0"/>
              <w:jc w:val="center"/>
              <w:rPr>
                <w:sz w:val="21"/>
                <w:szCs w:val="21"/>
              </w:rPr>
            </w:pPr>
            <w:r>
              <w:rPr>
                <w:rFonts w:hint="eastAsia"/>
                <w:sz w:val="21"/>
                <w:szCs w:val="21"/>
              </w:rPr>
              <w:t>2024年7月</w:t>
            </w:r>
          </w:p>
        </w:tc>
        <w:tc>
          <w:tcPr>
            <w:tcW w:w="1612" w:type="pct"/>
            <w:vAlign w:val="center"/>
          </w:tcPr>
          <w:p w14:paraId="7C19FD89">
            <w:pPr>
              <w:spacing w:line="240" w:lineRule="auto"/>
              <w:ind w:firstLine="0" w:firstLineChars="0"/>
              <w:jc w:val="center"/>
              <w:rPr>
                <w:sz w:val="21"/>
                <w:szCs w:val="21"/>
              </w:rPr>
            </w:pPr>
            <w:r>
              <w:rPr>
                <w:rFonts w:hint="eastAsia"/>
                <w:sz w:val="21"/>
                <w:szCs w:val="21"/>
              </w:rPr>
              <w:t>江苏广大畜禽公司养殖异味信访问题</w:t>
            </w:r>
          </w:p>
        </w:tc>
        <w:tc>
          <w:tcPr>
            <w:tcW w:w="1830" w:type="pct"/>
            <w:vAlign w:val="center"/>
          </w:tcPr>
          <w:p w14:paraId="0C207AF1">
            <w:pPr>
              <w:spacing w:line="240" w:lineRule="auto"/>
              <w:ind w:firstLine="0" w:firstLineChars="0"/>
              <w:jc w:val="center"/>
              <w:rPr>
                <w:sz w:val="21"/>
                <w:szCs w:val="21"/>
              </w:rPr>
            </w:pPr>
            <w:r>
              <w:rPr>
                <w:rFonts w:hint="eastAsia"/>
                <w:sz w:val="21"/>
                <w:szCs w:val="21"/>
              </w:rPr>
              <w:t>现场调查处理，督促养鸡场处理卫生，加强保洁和灭蝇</w:t>
            </w:r>
          </w:p>
        </w:tc>
      </w:tr>
      <w:tr w14:paraId="45ED3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vAlign w:val="center"/>
          </w:tcPr>
          <w:p w14:paraId="401118D6">
            <w:pPr>
              <w:spacing w:line="240" w:lineRule="auto"/>
              <w:ind w:firstLine="0" w:firstLineChars="0"/>
              <w:jc w:val="center"/>
              <w:rPr>
                <w:sz w:val="21"/>
                <w:szCs w:val="21"/>
              </w:rPr>
            </w:pPr>
          </w:p>
        </w:tc>
        <w:tc>
          <w:tcPr>
            <w:tcW w:w="883" w:type="pct"/>
            <w:vAlign w:val="center"/>
          </w:tcPr>
          <w:p w14:paraId="6AF2A36E">
            <w:pPr>
              <w:spacing w:line="240" w:lineRule="auto"/>
              <w:ind w:firstLine="0" w:firstLineChars="0"/>
              <w:jc w:val="center"/>
              <w:rPr>
                <w:sz w:val="21"/>
                <w:szCs w:val="21"/>
              </w:rPr>
            </w:pPr>
            <w:r>
              <w:rPr>
                <w:rFonts w:hint="eastAsia"/>
                <w:sz w:val="21"/>
                <w:szCs w:val="21"/>
              </w:rPr>
              <w:t>2024年10月</w:t>
            </w:r>
          </w:p>
        </w:tc>
        <w:tc>
          <w:tcPr>
            <w:tcW w:w="1612" w:type="pct"/>
            <w:vAlign w:val="center"/>
          </w:tcPr>
          <w:p w14:paraId="79749D0E">
            <w:pPr>
              <w:spacing w:line="240" w:lineRule="auto"/>
              <w:ind w:firstLine="0" w:firstLineChars="0"/>
              <w:jc w:val="center"/>
              <w:rPr>
                <w:sz w:val="21"/>
                <w:szCs w:val="21"/>
              </w:rPr>
            </w:pPr>
            <w:r>
              <w:rPr>
                <w:rFonts w:hint="eastAsia"/>
                <w:sz w:val="21"/>
                <w:szCs w:val="21"/>
              </w:rPr>
              <w:t>鼎盛建材厂粉尘、噪声信访问题</w:t>
            </w:r>
          </w:p>
        </w:tc>
        <w:tc>
          <w:tcPr>
            <w:tcW w:w="1830" w:type="pct"/>
            <w:vAlign w:val="center"/>
          </w:tcPr>
          <w:p w14:paraId="09BA2A16">
            <w:pPr>
              <w:spacing w:line="240" w:lineRule="auto"/>
              <w:ind w:firstLine="0" w:firstLineChars="0"/>
              <w:jc w:val="center"/>
              <w:rPr>
                <w:sz w:val="21"/>
                <w:szCs w:val="21"/>
              </w:rPr>
            </w:pPr>
            <w:r>
              <w:rPr>
                <w:rFonts w:hint="eastAsia"/>
                <w:sz w:val="21"/>
                <w:szCs w:val="21"/>
              </w:rPr>
              <w:t>现场调查处理，要求企业加强环境管理，合理安排生产时间，落实各项环保措施，杜绝扰民</w:t>
            </w:r>
          </w:p>
        </w:tc>
      </w:tr>
      <w:tr w14:paraId="6C22D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restart"/>
            <w:vAlign w:val="center"/>
          </w:tcPr>
          <w:p w14:paraId="381DFF7A">
            <w:pPr>
              <w:spacing w:line="240" w:lineRule="auto"/>
              <w:ind w:firstLine="0" w:firstLineChars="0"/>
              <w:jc w:val="center"/>
              <w:rPr>
                <w:sz w:val="21"/>
                <w:szCs w:val="21"/>
              </w:rPr>
            </w:pPr>
            <w:r>
              <w:rPr>
                <w:rFonts w:hint="eastAsia"/>
                <w:sz w:val="21"/>
                <w:szCs w:val="21"/>
              </w:rPr>
              <w:t>区攻坚办督办问题</w:t>
            </w:r>
          </w:p>
        </w:tc>
        <w:tc>
          <w:tcPr>
            <w:tcW w:w="883" w:type="pct"/>
            <w:vAlign w:val="center"/>
          </w:tcPr>
          <w:p w14:paraId="71DEB605">
            <w:pPr>
              <w:spacing w:line="240" w:lineRule="auto"/>
              <w:ind w:firstLine="0" w:firstLineChars="0"/>
              <w:jc w:val="center"/>
              <w:rPr>
                <w:sz w:val="21"/>
                <w:szCs w:val="21"/>
              </w:rPr>
            </w:pPr>
            <w:r>
              <w:rPr>
                <w:rFonts w:hint="eastAsia"/>
                <w:sz w:val="21"/>
                <w:szCs w:val="21"/>
              </w:rPr>
              <w:t>2021年4月</w:t>
            </w:r>
          </w:p>
        </w:tc>
        <w:tc>
          <w:tcPr>
            <w:tcW w:w="1612" w:type="pct"/>
            <w:vAlign w:val="center"/>
          </w:tcPr>
          <w:p w14:paraId="07F9E1B2">
            <w:pPr>
              <w:spacing w:line="240" w:lineRule="auto"/>
              <w:ind w:firstLine="0" w:firstLineChars="0"/>
              <w:jc w:val="center"/>
              <w:rPr>
                <w:sz w:val="21"/>
                <w:szCs w:val="21"/>
              </w:rPr>
            </w:pPr>
            <w:r>
              <w:rPr>
                <w:rFonts w:hint="eastAsia"/>
                <w:sz w:val="21"/>
                <w:szCs w:val="21"/>
              </w:rPr>
              <w:t>茅东水库总磷偏高问题</w:t>
            </w:r>
          </w:p>
        </w:tc>
        <w:tc>
          <w:tcPr>
            <w:tcW w:w="1830" w:type="pct"/>
            <w:vAlign w:val="center"/>
          </w:tcPr>
          <w:p w14:paraId="18541127">
            <w:pPr>
              <w:spacing w:line="240" w:lineRule="auto"/>
              <w:ind w:firstLine="0" w:firstLineChars="0"/>
              <w:jc w:val="center"/>
              <w:rPr>
                <w:sz w:val="21"/>
                <w:szCs w:val="21"/>
              </w:rPr>
            </w:pPr>
            <w:r>
              <w:rPr>
                <w:rFonts w:hint="eastAsia"/>
                <w:sz w:val="21"/>
                <w:szCs w:val="21"/>
              </w:rPr>
              <w:t>已编制整改报告，对堵塞污水管道进行维修，目前已整改完成</w:t>
            </w:r>
          </w:p>
        </w:tc>
      </w:tr>
      <w:tr w14:paraId="4DBF5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vAlign w:val="center"/>
          </w:tcPr>
          <w:p w14:paraId="0F3CD3A3">
            <w:pPr>
              <w:spacing w:line="240" w:lineRule="auto"/>
              <w:ind w:firstLine="0" w:firstLineChars="0"/>
              <w:jc w:val="center"/>
              <w:rPr>
                <w:sz w:val="21"/>
                <w:szCs w:val="21"/>
              </w:rPr>
            </w:pPr>
          </w:p>
        </w:tc>
        <w:tc>
          <w:tcPr>
            <w:tcW w:w="883" w:type="pct"/>
            <w:vAlign w:val="center"/>
          </w:tcPr>
          <w:p w14:paraId="2B8FCCF0">
            <w:pPr>
              <w:spacing w:line="240" w:lineRule="auto"/>
              <w:ind w:firstLine="0" w:firstLineChars="0"/>
              <w:jc w:val="center"/>
              <w:rPr>
                <w:sz w:val="21"/>
                <w:szCs w:val="21"/>
              </w:rPr>
            </w:pPr>
            <w:r>
              <w:rPr>
                <w:rFonts w:hint="eastAsia"/>
                <w:sz w:val="21"/>
                <w:szCs w:val="21"/>
              </w:rPr>
              <w:t>2022年11月</w:t>
            </w:r>
          </w:p>
        </w:tc>
        <w:tc>
          <w:tcPr>
            <w:tcW w:w="1612" w:type="pct"/>
            <w:vAlign w:val="center"/>
          </w:tcPr>
          <w:p w14:paraId="46B5D9EB">
            <w:pPr>
              <w:spacing w:line="240" w:lineRule="auto"/>
              <w:ind w:firstLine="0" w:firstLineChars="0"/>
              <w:jc w:val="center"/>
              <w:rPr>
                <w:sz w:val="21"/>
                <w:szCs w:val="21"/>
              </w:rPr>
            </w:pPr>
            <w:r>
              <w:rPr>
                <w:rFonts w:hint="eastAsia"/>
                <w:sz w:val="21"/>
                <w:szCs w:val="21"/>
              </w:rPr>
              <w:t>茅山泉水厂疑似生态破坏问题</w:t>
            </w:r>
          </w:p>
        </w:tc>
        <w:tc>
          <w:tcPr>
            <w:tcW w:w="1830" w:type="pct"/>
            <w:vAlign w:val="center"/>
          </w:tcPr>
          <w:p w14:paraId="4975F831">
            <w:pPr>
              <w:spacing w:line="240" w:lineRule="auto"/>
              <w:ind w:firstLine="0" w:firstLineChars="0"/>
              <w:jc w:val="center"/>
              <w:rPr>
                <w:sz w:val="21"/>
                <w:szCs w:val="21"/>
              </w:rPr>
            </w:pPr>
            <w:r>
              <w:rPr>
                <w:rFonts w:hint="eastAsia"/>
                <w:sz w:val="21"/>
                <w:szCs w:val="21"/>
              </w:rPr>
              <w:t>对茅山泉水厂违规建设建筑和破坏地表植被的行为进行查处，恢复区域原貌，目前已整改完成</w:t>
            </w:r>
          </w:p>
        </w:tc>
      </w:tr>
    </w:tbl>
    <w:p w14:paraId="40A97108">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3.4.8矿区治理与恢复情况</w:t>
      </w:r>
    </w:p>
    <w:p w14:paraId="3F621B52">
      <w:pPr>
        <w:ind w:firstLine="480"/>
        <w:rPr>
          <w:rFonts w:cs="Times New Roman"/>
        </w:rPr>
      </w:pPr>
      <w:r>
        <w:rPr>
          <w:rFonts w:hint="eastAsia" w:cs="Times New Roman"/>
        </w:rPr>
        <w:t>本轮规划范围内涉及渚山矿、双山矿、营盘山矿、石家山矿、大石包、朝阳洞共计6个矿区，其中仅大石包、朝阳洞2个矿区仍在开采，其余矿区均已完成生态修复，各矿区治理与恢复情况如下。</w:t>
      </w:r>
    </w:p>
    <w:p w14:paraId="31BEE358">
      <w:pPr>
        <w:ind w:firstLine="482"/>
        <w:rPr>
          <w:rFonts w:cs="Times New Roman"/>
          <w:b/>
          <w:bCs/>
        </w:rPr>
      </w:pPr>
      <w:r>
        <w:rPr>
          <w:rFonts w:hint="eastAsia" w:cs="Times New Roman"/>
          <w:b/>
          <w:bCs/>
        </w:rPr>
        <w:t>（1）渚山矿</w:t>
      </w:r>
    </w:p>
    <w:p w14:paraId="0324768C">
      <w:pPr>
        <w:ind w:firstLine="480"/>
        <w:rPr>
          <w:rFonts w:cs="Times New Roman"/>
        </w:rPr>
      </w:pPr>
      <w:r>
        <w:rPr>
          <w:rFonts w:hint="eastAsia" w:cs="Times New Roman"/>
        </w:rPr>
        <w:t>渚山矿位于金坛区薛埠镇上阮村青龙洞水库南侧，2019年8月金坛区薛埠镇人民政府开展了渚山矿地综合整治项目建设，并于2020年10月通过工程竣工验收，主要工程量包括：石方爆破、破碎570122m</w:t>
      </w:r>
      <w:r>
        <w:rPr>
          <w:rFonts w:hint="eastAsia" w:cs="Times New Roman"/>
          <w:vertAlign w:val="superscript"/>
        </w:rPr>
        <w:t>3</w:t>
      </w:r>
      <w:r>
        <w:rPr>
          <w:rFonts w:hint="eastAsia" w:cs="Times New Roman"/>
        </w:rPr>
        <w:t>；挖石方1361850.03m</w:t>
      </w:r>
      <w:r>
        <w:rPr>
          <w:rFonts w:hint="eastAsia" w:cs="Times New Roman"/>
          <w:vertAlign w:val="superscript"/>
        </w:rPr>
        <w:t>3</w:t>
      </w:r>
      <w:r>
        <w:rPr>
          <w:rFonts w:hint="eastAsia" w:cs="Times New Roman"/>
        </w:rPr>
        <w:t>；填土方1356936.2m</w:t>
      </w:r>
      <w:r>
        <w:rPr>
          <w:rFonts w:hint="eastAsia" w:cs="Times New Roman"/>
          <w:vertAlign w:val="superscript"/>
        </w:rPr>
        <w:t>3</w:t>
      </w:r>
      <w:r>
        <w:rPr>
          <w:rFonts w:hint="eastAsia" w:cs="Times New Roman"/>
        </w:rPr>
        <w:t>；外购土方67997.9m</w:t>
      </w:r>
      <w:r>
        <w:rPr>
          <w:rFonts w:hint="eastAsia" w:cs="Times New Roman"/>
          <w:vertAlign w:val="superscript"/>
        </w:rPr>
        <w:t>3</w:t>
      </w:r>
      <w:r>
        <w:rPr>
          <w:rFonts w:hint="eastAsia" w:cs="Times New Roman"/>
        </w:rPr>
        <w:t>；外购回填土42210.87m</w:t>
      </w:r>
      <w:r>
        <w:rPr>
          <w:rFonts w:hint="eastAsia" w:cs="Times New Roman"/>
          <w:vertAlign w:val="superscript"/>
        </w:rPr>
        <w:t>3</w:t>
      </w:r>
      <w:r>
        <w:rPr>
          <w:rFonts w:hint="eastAsia" w:cs="Times New Roman"/>
        </w:rPr>
        <w:t>；削坡34841m</w:t>
      </w:r>
      <w:r>
        <w:rPr>
          <w:rFonts w:hint="eastAsia" w:cs="Times New Roman"/>
          <w:vertAlign w:val="superscript"/>
        </w:rPr>
        <w:t>3</w:t>
      </w:r>
      <w:r>
        <w:rPr>
          <w:rFonts w:hint="eastAsia" w:cs="Times New Roman"/>
        </w:rPr>
        <w:t>；边坡复绿植草35181.82m</w:t>
      </w:r>
      <w:r>
        <w:rPr>
          <w:rFonts w:hint="eastAsia" w:cs="Times New Roman"/>
          <w:vertAlign w:val="superscript"/>
        </w:rPr>
        <w:t>2</w:t>
      </w:r>
      <w:r>
        <w:rPr>
          <w:rFonts w:hint="eastAsia" w:cs="Times New Roman"/>
        </w:rPr>
        <w:t>；安全防护栏杆817.33m；矿坑排水280000m</w:t>
      </w:r>
      <w:r>
        <w:rPr>
          <w:rFonts w:hint="eastAsia" w:cs="Times New Roman"/>
          <w:vertAlign w:val="superscript"/>
        </w:rPr>
        <w:t>3</w:t>
      </w:r>
      <w:r>
        <w:rPr>
          <w:rFonts w:hint="eastAsia" w:cs="Times New Roman"/>
        </w:rPr>
        <w:t>；土壤培肥111744.83m</w:t>
      </w:r>
      <w:r>
        <w:rPr>
          <w:rFonts w:hint="eastAsia" w:cs="Times New Roman"/>
          <w:vertAlign w:val="superscript"/>
        </w:rPr>
        <w:t>2</w:t>
      </w:r>
      <w:r>
        <w:rPr>
          <w:rFonts w:hint="eastAsia" w:cs="Times New Roman"/>
        </w:rPr>
        <w:t>；生产路3170m；灌溉泵站1座；节制闸11座；涵洞11座；涵管2座；涵闸7座；下田便函12座；土质斗渠348m；土质农渠680m；土质农沟2186m。</w:t>
      </w:r>
    </w:p>
    <w:p w14:paraId="28E48897">
      <w:pPr>
        <w:spacing w:line="240" w:lineRule="auto"/>
        <w:ind w:firstLine="0" w:firstLineChars="0"/>
        <w:jc w:val="center"/>
        <w:rPr>
          <w:sz w:val="32"/>
          <w:szCs w:val="36"/>
        </w:rPr>
      </w:pPr>
      <w:r>
        <w:rPr>
          <w:sz w:val="32"/>
          <w:szCs w:val="36"/>
        </w:rPr>
        <w:drawing>
          <wp:inline distT="0" distB="0" distL="0" distR="0">
            <wp:extent cx="3843655" cy="3239770"/>
            <wp:effectExtent l="0" t="0" r="4445" b="17780"/>
            <wp:docPr id="16200100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10042" name="图片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3843655" cy="3239770"/>
                    </a:xfrm>
                    <a:prstGeom prst="rect">
                      <a:avLst/>
                    </a:prstGeom>
                    <a:noFill/>
                    <a:ln>
                      <a:noFill/>
                    </a:ln>
                  </pic:spPr>
                </pic:pic>
              </a:graphicData>
            </a:graphic>
          </wp:inline>
        </w:drawing>
      </w:r>
    </w:p>
    <w:p w14:paraId="6258D762">
      <w:pPr>
        <w:pStyle w:val="45"/>
        <w:rPr>
          <w:rFonts w:cs="Times New Roman"/>
        </w:rPr>
      </w:pPr>
      <w:r>
        <w:rPr>
          <w:rFonts w:hint="eastAsia" w:cs="Times New Roman"/>
        </w:rPr>
        <w:t>图3.4-3  渚山矿范围（红色区域）</w:t>
      </w:r>
    </w:p>
    <w:p w14:paraId="054BA2DF">
      <w:pPr>
        <w:ind w:firstLine="480"/>
        <w:rPr>
          <w:rFonts w:cs="Times New Roman"/>
        </w:rPr>
      </w:pPr>
      <w:r>
        <w:rPr>
          <w:rFonts w:hint="eastAsia" w:cs="Times New Roman"/>
        </w:rPr>
        <w:t>（2）双山矿、营盘山矿</w:t>
      </w:r>
    </w:p>
    <w:p w14:paraId="41B3F770">
      <w:pPr>
        <w:ind w:firstLine="480"/>
        <w:rPr>
          <w:rFonts w:cs="Times New Roman"/>
        </w:rPr>
      </w:pPr>
      <w:r>
        <w:rPr>
          <w:rFonts w:hint="eastAsia" w:cs="Times New Roman"/>
        </w:rPr>
        <w:t>渚山矿位于金坛区薛埠镇茅东林场社区，为了消除地质灾害隐患，美化关闭矿山环境，提升双山、营盘山整体形象，金坛区自然资源局、江苏省金坛茅山旅游度假区管理委员会于2020年6月开展了双山、营盘山关闭矿山生态环境修复。2020年11月完成工程竣工验收，完成了削坡、清坡、挂网客土喷播、绿化等主要工程量。</w:t>
      </w:r>
    </w:p>
    <w:p w14:paraId="302866E5">
      <w:pPr>
        <w:spacing w:line="240" w:lineRule="auto"/>
        <w:ind w:firstLine="0" w:firstLineChars="0"/>
        <w:jc w:val="center"/>
        <w:rPr>
          <w:sz w:val="32"/>
          <w:szCs w:val="36"/>
        </w:rPr>
      </w:pPr>
      <w:r>
        <w:rPr>
          <w:sz w:val="32"/>
          <w:szCs w:val="36"/>
        </w:rPr>
        <w:drawing>
          <wp:inline distT="0" distB="0" distL="0" distR="0">
            <wp:extent cx="3929380" cy="3239770"/>
            <wp:effectExtent l="0" t="0" r="0" b="0"/>
            <wp:docPr id="8870803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80375" name="图片 3"/>
                    <pic:cNvPicPr>
                      <a:picLocks noChangeAspect="1" noChangeArrowheads="1"/>
                    </pic:cNvPicPr>
                  </pic:nvPicPr>
                  <pic:blipFill>
                    <a:blip r:embed="rId19">
                      <a:extLst>
                        <a:ext uri="{28A0092B-C50C-407E-A947-70E740481C1C}">
                          <a14:useLocalDpi xmlns:a14="http://schemas.microsoft.com/office/drawing/2010/main" val="0"/>
                        </a:ext>
                      </a:extLst>
                    </a:blip>
                    <a:srcRect l="7658" r="2427"/>
                    <a:stretch>
                      <a:fillRect/>
                    </a:stretch>
                  </pic:blipFill>
                  <pic:spPr>
                    <a:xfrm>
                      <a:off x="0" y="0"/>
                      <a:ext cx="3929380" cy="3239770"/>
                    </a:xfrm>
                    <a:prstGeom prst="rect">
                      <a:avLst/>
                    </a:prstGeom>
                    <a:noFill/>
                    <a:ln>
                      <a:noFill/>
                    </a:ln>
                  </pic:spPr>
                </pic:pic>
              </a:graphicData>
            </a:graphic>
          </wp:inline>
        </w:drawing>
      </w:r>
    </w:p>
    <w:p w14:paraId="1900258D">
      <w:pPr>
        <w:pStyle w:val="45"/>
        <w:rPr>
          <w:rFonts w:cs="Times New Roman"/>
        </w:rPr>
      </w:pPr>
      <w:r>
        <w:rPr>
          <w:rFonts w:hint="eastAsia" w:cs="Times New Roman"/>
        </w:rPr>
        <w:t>图3.4-4  双山矿（上）、营盘山矿（下）范围</w:t>
      </w:r>
    </w:p>
    <w:p w14:paraId="35AD5B34">
      <w:pPr>
        <w:ind w:firstLine="482"/>
        <w:rPr>
          <w:rFonts w:cs="Times New Roman"/>
          <w:b/>
          <w:bCs/>
        </w:rPr>
      </w:pPr>
      <w:r>
        <w:rPr>
          <w:rFonts w:hint="eastAsia" w:cs="Times New Roman"/>
          <w:b/>
          <w:bCs/>
        </w:rPr>
        <w:t>（3）石家山矿</w:t>
      </w:r>
    </w:p>
    <w:p w14:paraId="5690B095">
      <w:pPr>
        <w:ind w:firstLine="480"/>
        <w:rPr>
          <w:rFonts w:cs="Times New Roman"/>
        </w:rPr>
      </w:pPr>
      <w:r>
        <w:rPr>
          <w:rFonts w:hint="eastAsia" w:cs="Times New Roman"/>
        </w:rPr>
        <w:t>石家山矿位于金坛区薛埠镇薛埠社区，西侧临近仍在开采的朝阳洞矿区，该矿区生态修复方式采用自然修复。2020年11月，常州市自然资源和规划局组织有关专家对“常州市金坛区石家山废弃矿山生态修复项目”进行验收，项目采取了铁丝网栅栏和砖砌挡墙隔离措施，经江苏省有色金属华东地质勘查局地球化学勘查与海洋地质调查研究院开展的地质灾害稳定性评价及生态恢复评估，基本达到生态修复要求。</w:t>
      </w:r>
    </w:p>
    <w:p w14:paraId="07D3240A">
      <w:pPr>
        <w:spacing w:line="240" w:lineRule="auto"/>
        <w:ind w:firstLine="0" w:firstLineChars="0"/>
        <w:jc w:val="center"/>
        <w:rPr>
          <w:sz w:val="32"/>
          <w:szCs w:val="36"/>
        </w:rPr>
      </w:pPr>
      <w:r>
        <w:rPr>
          <w:sz w:val="32"/>
          <w:szCs w:val="36"/>
        </w:rPr>
        <w:drawing>
          <wp:inline distT="0" distB="0" distL="0" distR="0">
            <wp:extent cx="3670935" cy="3119755"/>
            <wp:effectExtent l="0" t="0" r="5715" b="4445"/>
            <wp:docPr id="15882840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84086" name="图片 4"/>
                    <pic:cNvPicPr>
                      <a:picLocks noChangeAspect="1" noChangeArrowheads="1"/>
                    </pic:cNvPicPr>
                  </pic:nvPicPr>
                  <pic:blipFill>
                    <a:blip r:embed="rId20" cstate="print">
                      <a:extLst>
                        <a:ext uri="{28A0092B-C50C-407E-A947-70E740481C1C}">
                          <a14:useLocalDpi xmlns:a14="http://schemas.microsoft.com/office/drawing/2010/main" val="0"/>
                        </a:ext>
                      </a:extLst>
                    </a:blip>
                    <a:srcRect l="11149" r="7927"/>
                    <a:stretch>
                      <a:fillRect/>
                    </a:stretch>
                  </pic:blipFill>
                  <pic:spPr>
                    <a:xfrm>
                      <a:off x="0" y="0"/>
                      <a:ext cx="3675205" cy="3123588"/>
                    </a:xfrm>
                    <a:prstGeom prst="rect">
                      <a:avLst/>
                    </a:prstGeom>
                    <a:noFill/>
                    <a:ln>
                      <a:noFill/>
                    </a:ln>
                  </pic:spPr>
                </pic:pic>
              </a:graphicData>
            </a:graphic>
          </wp:inline>
        </w:drawing>
      </w:r>
    </w:p>
    <w:p w14:paraId="4A1A5A4A">
      <w:pPr>
        <w:pStyle w:val="45"/>
        <w:rPr>
          <w:rFonts w:cs="Times New Roman"/>
        </w:rPr>
      </w:pPr>
      <w:r>
        <w:rPr>
          <w:rFonts w:hint="eastAsia" w:cs="Times New Roman"/>
        </w:rPr>
        <w:t>图3.4-5  石家山矿（左）范围</w:t>
      </w:r>
    </w:p>
    <w:p w14:paraId="7006ADBC">
      <w:pPr>
        <w:ind w:firstLine="482"/>
        <w:rPr>
          <w:rFonts w:cs="Times New Roman"/>
          <w:b/>
          <w:bCs/>
        </w:rPr>
      </w:pPr>
      <w:r>
        <w:rPr>
          <w:rFonts w:hint="eastAsia" w:cs="Times New Roman"/>
          <w:b/>
          <w:bCs/>
        </w:rPr>
        <w:t>（4）大石包</w:t>
      </w:r>
    </w:p>
    <w:p w14:paraId="4B43F1DE">
      <w:pPr>
        <w:ind w:firstLine="480"/>
        <w:rPr>
          <w:rFonts w:cs="Times New Roman"/>
        </w:rPr>
      </w:pPr>
      <w:r>
        <w:rPr>
          <w:rFonts w:hint="eastAsia" w:cs="Times New Roman"/>
        </w:rPr>
        <w:t>大石包地块位于方麓村，原大石包矿区，地块选址范围面积210亩，属于存量用地，区域位于在城镇开发边界外，不涉及永久基本农田、生态保护红线，不涉及生态空间管控区、水库和复垦地块等限制性因素，主要开采水泥用灰岩矿，现已列入省级绿色矿山试点单位，预计2027年完成关停。</w:t>
      </w:r>
    </w:p>
    <w:p w14:paraId="08A2B322">
      <w:pPr>
        <w:spacing w:line="240" w:lineRule="auto"/>
        <w:ind w:firstLine="0" w:firstLineChars="0"/>
        <w:jc w:val="center"/>
        <w:rPr>
          <w:rFonts w:cs="Times New Roman"/>
        </w:rPr>
      </w:pPr>
      <w:r>
        <w:rPr>
          <w:sz w:val="32"/>
          <w:szCs w:val="36"/>
        </w:rPr>
        <w:drawing>
          <wp:inline distT="0" distB="0" distL="0" distR="0">
            <wp:extent cx="3766185" cy="3088005"/>
            <wp:effectExtent l="0" t="0" r="5715" b="0"/>
            <wp:docPr id="5603465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46550" name="图片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768956" cy="3090023"/>
                    </a:xfrm>
                    <a:prstGeom prst="rect">
                      <a:avLst/>
                    </a:prstGeom>
                    <a:noFill/>
                    <a:ln>
                      <a:noFill/>
                    </a:ln>
                  </pic:spPr>
                </pic:pic>
              </a:graphicData>
            </a:graphic>
          </wp:inline>
        </w:drawing>
      </w:r>
    </w:p>
    <w:p w14:paraId="64BEDEE4">
      <w:pPr>
        <w:pStyle w:val="45"/>
        <w:rPr>
          <w:rFonts w:cs="Times New Roman"/>
        </w:rPr>
      </w:pPr>
      <w:r>
        <w:rPr>
          <w:rFonts w:hint="eastAsia" w:cs="Times New Roman"/>
        </w:rPr>
        <w:t>图3.4-6  大石包地块范围</w:t>
      </w:r>
    </w:p>
    <w:p w14:paraId="0979ABDF">
      <w:pPr>
        <w:ind w:firstLine="482"/>
        <w:rPr>
          <w:rFonts w:cs="Times New Roman"/>
          <w:b/>
          <w:bCs/>
        </w:rPr>
      </w:pPr>
      <w:r>
        <w:rPr>
          <w:rFonts w:hint="eastAsia" w:cs="Times New Roman"/>
          <w:b/>
          <w:bCs/>
        </w:rPr>
        <w:t>（5）朝阳洞</w:t>
      </w:r>
    </w:p>
    <w:p w14:paraId="1BC331BA">
      <w:pPr>
        <w:ind w:firstLine="480"/>
        <w:rPr>
          <w:rFonts w:cs="Times New Roman"/>
        </w:rPr>
      </w:pPr>
      <w:r>
        <w:rPr>
          <w:rFonts w:cs="Times New Roman"/>
        </w:rPr>
        <w:t>朝阳洞地块位于薛埠村，原朝阳洞矿区</w:t>
      </w:r>
      <w:r>
        <w:rPr>
          <w:rFonts w:hint="eastAsia" w:cs="Times New Roman"/>
        </w:rPr>
        <w:t>，</w:t>
      </w:r>
      <w:r>
        <w:rPr>
          <w:rFonts w:cs="Times New Roman"/>
        </w:rPr>
        <w:t>地块选址范围面积203亩</w:t>
      </w:r>
      <w:r>
        <w:rPr>
          <w:rFonts w:hint="eastAsia" w:cs="Times New Roman"/>
        </w:rPr>
        <w:t>，</w:t>
      </w:r>
      <w:r>
        <w:rPr>
          <w:rFonts w:cs="Times New Roman"/>
        </w:rPr>
        <w:t>属于存量用地</w:t>
      </w:r>
      <w:r>
        <w:rPr>
          <w:rFonts w:hint="eastAsia" w:cs="Times New Roman"/>
        </w:rPr>
        <w:t>，区域位于在城镇开发边界外，不涉及永久基本农田、生态保护红线，不涉及生态空间管控区、水库和复垦地块等限制性因素，主要开采水泥用灰岩矿，现已列入省级绿色矿山试点单位，后续有序关停。</w:t>
      </w:r>
    </w:p>
    <w:p w14:paraId="2A576A63">
      <w:pPr>
        <w:spacing w:line="240" w:lineRule="auto"/>
        <w:ind w:firstLine="0" w:firstLineChars="0"/>
        <w:jc w:val="center"/>
        <w:rPr>
          <w:rFonts w:cs="Times New Roman"/>
        </w:rPr>
      </w:pPr>
      <w:r>
        <w:rPr>
          <w:sz w:val="32"/>
          <w:szCs w:val="36"/>
        </w:rPr>
        <w:drawing>
          <wp:inline distT="0" distB="0" distL="0" distR="0">
            <wp:extent cx="3808095" cy="3239770"/>
            <wp:effectExtent l="0" t="0" r="6350" b="0"/>
            <wp:docPr id="20423401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40153" name="图片 7"/>
                    <pic:cNvPicPr>
                      <a:picLocks noChangeAspect="1" noChangeArrowheads="1"/>
                    </pic:cNvPicPr>
                  </pic:nvPicPr>
                  <pic:blipFill>
                    <a:blip r:embed="rId22">
                      <a:extLst>
                        <a:ext uri="{28A0092B-C50C-407E-A947-70E740481C1C}">
                          <a14:useLocalDpi xmlns:a14="http://schemas.microsoft.com/office/drawing/2010/main" val="0"/>
                        </a:ext>
                      </a:extLst>
                    </a:blip>
                    <a:srcRect r="12860"/>
                    <a:stretch>
                      <a:fillRect/>
                    </a:stretch>
                  </pic:blipFill>
                  <pic:spPr>
                    <a:xfrm>
                      <a:off x="0" y="0"/>
                      <a:ext cx="3808095" cy="3239770"/>
                    </a:xfrm>
                    <a:prstGeom prst="rect">
                      <a:avLst/>
                    </a:prstGeom>
                    <a:noFill/>
                    <a:ln>
                      <a:noFill/>
                    </a:ln>
                  </pic:spPr>
                </pic:pic>
              </a:graphicData>
            </a:graphic>
          </wp:inline>
        </w:drawing>
      </w:r>
    </w:p>
    <w:p w14:paraId="76992C2E">
      <w:pPr>
        <w:pStyle w:val="45"/>
        <w:rPr>
          <w:rFonts w:cs="Times New Roman"/>
        </w:rPr>
      </w:pPr>
      <w:r>
        <w:rPr>
          <w:rFonts w:hint="eastAsia" w:cs="Times New Roman"/>
        </w:rPr>
        <w:t>图3.4-7  朝阳洞地块范围</w:t>
      </w:r>
    </w:p>
    <w:p w14:paraId="6D40E734">
      <w:pPr>
        <w:pStyle w:val="3"/>
        <w:ind w:firstLine="0" w:firstLineChars="0"/>
        <w:rPr>
          <w:rFonts w:cs="Times New Roman"/>
        </w:rPr>
      </w:pPr>
      <w:bookmarkStart w:id="72" w:name="_Toc217294045"/>
      <w:r>
        <w:rPr>
          <w:rFonts w:cs="Times New Roman"/>
        </w:rPr>
        <w:t>3.5</w:t>
      </w:r>
      <w:r>
        <w:rPr>
          <w:rFonts w:hint="eastAsia" w:cs="Times New Roman"/>
        </w:rPr>
        <w:t>环境质量现状调查与评价</w:t>
      </w:r>
      <w:bookmarkEnd w:id="72"/>
    </w:p>
    <w:p w14:paraId="6DF2B7E4">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3.5.1</w:t>
      </w:r>
      <w:r>
        <w:rPr>
          <w:rFonts w:hint="eastAsia" w:eastAsia="方正楷体_GBK" w:cs="Times New Roman"/>
          <w:b/>
          <w:bCs/>
          <w:szCs w:val="28"/>
          <w14:ligatures w14:val="none"/>
        </w:rPr>
        <w:t>大气环境质量现状监测与评价</w:t>
      </w:r>
    </w:p>
    <w:p w14:paraId="1385855D">
      <w:pPr>
        <w:ind w:firstLine="0" w:firstLineChars="0"/>
        <w:outlineLvl w:val="3"/>
        <w:rPr>
          <w:b/>
          <w:bCs/>
        </w:rPr>
      </w:pPr>
      <w:r>
        <w:rPr>
          <w:b/>
          <w:bCs/>
        </w:rPr>
        <w:t>3</w:t>
      </w:r>
      <w:r>
        <w:rPr>
          <w:rFonts w:hint="eastAsia"/>
          <w:b/>
          <w:bCs/>
        </w:rPr>
        <w:t>.</w:t>
      </w:r>
      <w:r>
        <w:rPr>
          <w:b/>
          <w:bCs/>
        </w:rPr>
        <w:t>5</w:t>
      </w:r>
      <w:r>
        <w:rPr>
          <w:rFonts w:hint="eastAsia"/>
          <w:b/>
          <w:bCs/>
        </w:rPr>
        <w:t>.</w:t>
      </w:r>
      <w:r>
        <w:rPr>
          <w:b/>
          <w:bCs/>
        </w:rPr>
        <w:t>1</w:t>
      </w:r>
      <w:r>
        <w:rPr>
          <w:rFonts w:hint="eastAsia"/>
          <w:b/>
          <w:bCs/>
        </w:rPr>
        <w:t>.</w:t>
      </w:r>
      <w:r>
        <w:rPr>
          <w:b/>
          <w:bCs/>
        </w:rPr>
        <w:t>1</w:t>
      </w:r>
      <w:r>
        <w:rPr>
          <w:rFonts w:hint="eastAsia"/>
          <w:b/>
          <w:bCs/>
        </w:rPr>
        <w:t>区域环境空气质量达标判定</w:t>
      </w:r>
    </w:p>
    <w:p w14:paraId="045A0B0B">
      <w:pPr>
        <w:ind w:firstLine="480"/>
        <w:rPr>
          <w:rFonts w:cs="Times New Roman"/>
          <w:szCs w:val="28"/>
        </w:rPr>
      </w:pPr>
      <w:r>
        <w:rPr>
          <w:rFonts w:hint="eastAsia" w:cs="Times New Roman"/>
          <w:szCs w:val="28"/>
        </w:rPr>
        <w:t>根据《</w:t>
      </w:r>
      <w:r>
        <w:rPr>
          <w:rFonts w:cs="Times New Roman"/>
          <w:szCs w:val="28"/>
        </w:rPr>
        <w:t>202</w:t>
      </w:r>
      <w:r>
        <w:rPr>
          <w:rFonts w:hint="eastAsia" w:cs="Times New Roman"/>
          <w:szCs w:val="28"/>
        </w:rPr>
        <w:t>3年常州市生态环境状况公报》，茅山旅游度假区所在常州市属不达标区，</w:t>
      </w:r>
      <w:r>
        <w:rPr>
          <w:rFonts w:cs="Times New Roman"/>
          <w:szCs w:val="28"/>
        </w:rPr>
        <w:t>SO</w:t>
      </w:r>
      <w:r>
        <w:rPr>
          <w:rFonts w:cs="Times New Roman"/>
          <w:szCs w:val="28"/>
          <w:vertAlign w:val="subscript"/>
        </w:rPr>
        <w:t>2</w:t>
      </w:r>
      <w:r>
        <w:rPr>
          <w:rFonts w:hint="eastAsia" w:cs="Times New Roman"/>
          <w:szCs w:val="28"/>
        </w:rPr>
        <w:t>浓度年均值、日均值第</w:t>
      </w:r>
      <w:r>
        <w:rPr>
          <w:rFonts w:cs="Times New Roman"/>
          <w:szCs w:val="28"/>
        </w:rPr>
        <w:t>98</w:t>
      </w:r>
      <w:r>
        <w:rPr>
          <w:rFonts w:hint="eastAsia" w:cs="Times New Roman"/>
          <w:szCs w:val="28"/>
        </w:rPr>
        <w:t>百分位数，</w:t>
      </w:r>
      <w:r>
        <w:rPr>
          <w:rFonts w:cs="Times New Roman"/>
          <w:szCs w:val="28"/>
        </w:rPr>
        <w:t>NO</w:t>
      </w:r>
      <w:r>
        <w:rPr>
          <w:rFonts w:cs="Times New Roman"/>
          <w:szCs w:val="28"/>
          <w:vertAlign w:val="subscript"/>
        </w:rPr>
        <w:t>2</w:t>
      </w:r>
      <w:r>
        <w:rPr>
          <w:rFonts w:hint="eastAsia" w:cs="Times New Roman"/>
          <w:szCs w:val="28"/>
        </w:rPr>
        <w:t>浓度年均值、日均值第</w:t>
      </w:r>
      <w:r>
        <w:rPr>
          <w:rFonts w:cs="Times New Roman"/>
          <w:szCs w:val="28"/>
        </w:rPr>
        <w:t>98</w:t>
      </w:r>
      <w:r>
        <w:rPr>
          <w:rFonts w:hint="eastAsia" w:cs="Times New Roman"/>
          <w:szCs w:val="28"/>
        </w:rPr>
        <w:t>百分位数、</w:t>
      </w:r>
      <w:r>
        <w:rPr>
          <w:rFonts w:cs="Times New Roman"/>
          <w:szCs w:val="28"/>
        </w:rPr>
        <w:t>PM</w:t>
      </w:r>
      <w:r>
        <w:rPr>
          <w:rFonts w:cs="Times New Roman"/>
          <w:szCs w:val="28"/>
          <w:vertAlign w:val="subscript"/>
        </w:rPr>
        <w:t>10</w:t>
      </w:r>
      <w:r>
        <w:rPr>
          <w:rFonts w:hint="eastAsia" w:cs="Times New Roman"/>
          <w:szCs w:val="28"/>
        </w:rPr>
        <w:t>浓度年均值、日均值第</w:t>
      </w:r>
      <w:r>
        <w:rPr>
          <w:rFonts w:cs="Times New Roman"/>
          <w:szCs w:val="28"/>
        </w:rPr>
        <w:t>95</w:t>
      </w:r>
      <w:r>
        <w:rPr>
          <w:rFonts w:hint="eastAsia" w:cs="Times New Roman"/>
          <w:szCs w:val="28"/>
        </w:rPr>
        <w:t>百分位数、</w:t>
      </w:r>
      <w:r>
        <w:rPr>
          <w:rFonts w:cs="Times New Roman"/>
          <w:szCs w:val="28"/>
        </w:rPr>
        <w:t>PM</w:t>
      </w:r>
      <w:r>
        <w:rPr>
          <w:rFonts w:cs="Times New Roman"/>
          <w:szCs w:val="28"/>
          <w:vertAlign w:val="subscript"/>
        </w:rPr>
        <w:t>2.5</w:t>
      </w:r>
      <w:r>
        <w:rPr>
          <w:rFonts w:hint="eastAsia" w:cs="Times New Roman"/>
          <w:szCs w:val="28"/>
        </w:rPr>
        <w:t>浓度年均值、</w:t>
      </w:r>
      <w:r>
        <w:rPr>
          <w:rFonts w:cs="Times New Roman"/>
          <w:szCs w:val="28"/>
        </w:rPr>
        <w:t>CO</w:t>
      </w:r>
      <w:r>
        <w:rPr>
          <w:rFonts w:hint="eastAsia" w:cs="Times New Roman"/>
          <w:szCs w:val="28"/>
        </w:rPr>
        <w:t>日均值第</w:t>
      </w:r>
      <w:r>
        <w:rPr>
          <w:rFonts w:cs="Times New Roman"/>
          <w:szCs w:val="28"/>
        </w:rPr>
        <w:t>95</w:t>
      </w:r>
      <w:r>
        <w:rPr>
          <w:rFonts w:hint="eastAsia" w:cs="Times New Roman"/>
          <w:szCs w:val="28"/>
        </w:rPr>
        <w:t>百分位数均满足《环境空气质量标准》（</w:t>
      </w:r>
      <w:r>
        <w:rPr>
          <w:rFonts w:cs="Times New Roman"/>
          <w:szCs w:val="28"/>
        </w:rPr>
        <w:t>GB3095-2012</w:t>
      </w:r>
      <w:r>
        <w:rPr>
          <w:rFonts w:hint="eastAsia" w:cs="Times New Roman"/>
          <w:szCs w:val="28"/>
        </w:rPr>
        <w:t>）二级标准；</w:t>
      </w:r>
      <w:r>
        <w:rPr>
          <w:rFonts w:cs="Times New Roman"/>
          <w:szCs w:val="28"/>
        </w:rPr>
        <w:t>PM</w:t>
      </w:r>
      <w:r>
        <w:rPr>
          <w:rFonts w:cs="Times New Roman"/>
          <w:szCs w:val="28"/>
          <w:vertAlign w:val="subscript"/>
        </w:rPr>
        <w:t>2.5</w:t>
      </w:r>
      <w:r>
        <w:rPr>
          <w:rFonts w:hint="eastAsia" w:cs="Times New Roman"/>
          <w:szCs w:val="28"/>
        </w:rPr>
        <w:t>日均值第</w:t>
      </w:r>
      <w:r>
        <w:rPr>
          <w:rFonts w:cs="Times New Roman"/>
          <w:szCs w:val="28"/>
        </w:rPr>
        <w:t>95</w:t>
      </w:r>
      <w:r>
        <w:rPr>
          <w:rFonts w:hint="eastAsia" w:cs="Times New Roman"/>
          <w:szCs w:val="28"/>
        </w:rPr>
        <w:t>百分位数、</w:t>
      </w:r>
      <w:r>
        <w:rPr>
          <w:rFonts w:cs="Times New Roman"/>
          <w:szCs w:val="28"/>
        </w:rPr>
        <w:t>O</w:t>
      </w:r>
      <w:r>
        <w:rPr>
          <w:rFonts w:cs="Times New Roman"/>
          <w:szCs w:val="28"/>
          <w:vertAlign w:val="subscript"/>
        </w:rPr>
        <w:t>3</w:t>
      </w:r>
      <w:r>
        <w:rPr>
          <w:rFonts w:hint="eastAsia" w:cs="Times New Roman"/>
          <w:szCs w:val="28"/>
        </w:rPr>
        <w:t>浓度日最大</w:t>
      </w:r>
      <w:r>
        <w:rPr>
          <w:rFonts w:cs="Times New Roman"/>
          <w:szCs w:val="28"/>
        </w:rPr>
        <w:t>8</w:t>
      </w:r>
      <w:r>
        <w:rPr>
          <w:rFonts w:hint="eastAsia" w:cs="Times New Roman"/>
          <w:szCs w:val="28"/>
        </w:rPr>
        <w:t>小时滑动平均值第</w:t>
      </w:r>
      <w:r>
        <w:rPr>
          <w:rFonts w:cs="Times New Roman"/>
          <w:szCs w:val="28"/>
        </w:rPr>
        <w:t>90</w:t>
      </w:r>
      <w:r>
        <w:rPr>
          <w:rFonts w:hint="eastAsia" w:cs="Times New Roman"/>
          <w:szCs w:val="28"/>
        </w:rPr>
        <w:t>百分位数均超出二级标准要求，区域重点大气污染物为</w:t>
      </w:r>
      <w:r>
        <w:rPr>
          <w:rFonts w:cs="Times New Roman"/>
          <w:szCs w:val="28"/>
        </w:rPr>
        <w:t>PM</w:t>
      </w:r>
      <w:r>
        <w:rPr>
          <w:rFonts w:cs="Times New Roman"/>
          <w:szCs w:val="28"/>
          <w:vertAlign w:val="subscript"/>
        </w:rPr>
        <w:t>2.5</w:t>
      </w:r>
      <w:r>
        <w:rPr>
          <w:rFonts w:hint="eastAsia" w:cs="Times New Roman"/>
          <w:szCs w:val="28"/>
        </w:rPr>
        <w:t>和</w:t>
      </w:r>
      <w:r>
        <w:rPr>
          <w:rFonts w:cs="Times New Roman"/>
          <w:szCs w:val="28"/>
        </w:rPr>
        <w:t>O</w:t>
      </w:r>
      <w:r>
        <w:rPr>
          <w:rFonts w:cs="Times New Roman"/>
          <w:szCs w:val="28"/>
          <w:vertAlign w:val="subscript"/>
        </w:rPr>
        <w:t>3</w:t>
      </w:r>
      <w:r>
        <w:rPr>
          <w:rFonts w:hint="eastAsia" w:cs="Times New Roman"/>
          <w:szCs w:val="28"/>
        </w:rPr>
        <w:t>。</w:t>
      </w:r>
    </w:p>
    <w:p w14:paraId="0D6658B3">
      <w:pPr>
        <w:ind w:firstLine="480"/>
        <w:rPr>
          <w:rFonts w:cs="Times New Roman"/>
          <w:szCs w:val="28"/>
        </w:rPr>
      </w:pPr>
      <w:r>
        <w:rPr>
          <w:rFonts w:hint="eastAsia" w:cs="Times New Roman"/>
          <w:szCs w:val="28"/>
        </w:rPr>
        <w:t>具体判定结果见表</w:t>
      </w:r>
      <w:r>
        <w:rPr>
          <w:rFonts w:cs="Times New Roman"/>
          <w:szCs w:val="28"/>
        </w:rPr>
        <w:t>3.</w:t>
      </w:r>
      <w:r>
        <w:rPr>
          <w:rFonts w:hint="eastAsia" w:cs="Times New Roman"/>
          <w:szCs w:val="28"/>
        </w:rPr>
        <w:t>5.1</w:t>
      </w:r>
      <w:r>
        <w:rPr>
          <w:rFonts w:cs="Times New Roman"/>
          <w:szCs w:val="28"/>
        </w:rPr>
        <w:t>-1</w:t>
      </w:r>
      <w:r>
        <w:rPr>
          <w:rFonts w:hint="eastAsia" w:cs="Times New Roman"/>
          <w:szCs w:val="28"/>
        </w:rPr>
        <w:t>。</w:t>
      </w:r>
    </w:p>
    <w:p w14:paraId="149B968D">
      <w:pPr>
        <w:pStyle w:val="45"/>
        <w:spacing w:line="240" w:lineRule="auto"/>
        <w:rPr>
          <w:rFonts w:cs="Times New Roman"/>
        </w:rPr>
      </w:pPr>
      <w:r>
        <w:rPr>
          <w:rFonts w:hint="eastAsia" w:cs="Times New Roman"/>
        </w:rPr>
        <w:t>表3.5.1-1  2023年常州市空气环境现状评价表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9"/>
        <w:gridCol w:w="2335"/>
        <w:gridCol w:w="1243"/>
        <w:gridCol w:w="1168"/>
        <w:gridCol w:w="975"/>
        <w:gridCol w:w="959"/>
        <w:gridCol w:w="1063"/>
      </w:tblGrid>
      <w:tr w14:paraId="528AD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57" w:type="pct"/>
            <w:vAlign w:val="center"/>
          </w:tcPr>
          <w:p w14:paraId="2FEB6E93">
            <w:pPr>
              <w:widowControl/>
              <w:spacing w:line="240" w:lineRule="auto"/>
              <w:ind w:firstLine="0" w:firstLineChars="0"/>
              <w:jc w:val="center"/>
              <w:rPr>
                <w:rFonts w:cs="Times New Roman"/>
                <w:b/>
                <w:bCs/>
                <w:kern w:val="0"/>
                <w:sz w:val="21"/>
                <w:szCs w:val="21"/>
              </w:rPr>
            </w:pPr>
            <w:bookmarkStart w:id="73" w:name="_Hlk173414384"/>
            <w:r>
              <w:rPr>
                <w:rFonts w:hint="eastAsia" w:cs="Times New Roman"/>
                <w:b/>
                <w:bCs/>
                <w:kern w:val="0"/>
                <w:sz w:val="21"/>
                <w:szCs w:val="21"/>
              </w:rPr>
              <w:t>污染物</w:t>
            </w:r>
          </w:p>
        </w:tc>
        <w:tc>
          <w:tcPr>
            <w:tcW w:w="1369" w:type="pct"/>
            <w:vAlign w:val="center"/>
          </w:tcPr>
          <w:p w14:paraId="75FDBE96">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年评价指标</w:t>
            </w:r>
          </w:p>
        </w:tc>
        <w:tc>
          <w:tcPr>
            <w:tcW w:w="729" w:type="pct"/>
            <w:vAlign w:val="center"/>
          </w:tcPr>
          <w:p w14:paraId="228581BF">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现状浓度</w:t>
            </w:r>
          </w:p>
          <w:p w14:paraId="76CF3C99">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（μg/m</w:t>
            </w:r>
            <w:r>
              <w:rPr>
                <w:rFonts w:hint="eastAsia" w:cs="Times New Roman"/>
                <w:b/>
                <w:bCs/>
                <w:kern w:val="0"/>
                <w:sz w:val="21"/>
                <w:szCs w:val="21"/>
                <w:vertAlign w:val="superscript"/>
              </w:rPr>
              <w:t>3</w:t>
            </w:r>
            <w:r>
              <w:rPr>
                <w:rFonts w:hint="eastAsia" w:cs="Times New Roman"/>
                <w:b/>
                <w:bCs/>
                <w:kern w:val="0"/>
                <w:sz w:val="21"/>
                <w:szCs w:val="21"/>
              </w:rPr>
              <w:t>）</w:t>
            </w:r>
          </w:p>
        </w:tc>
        <w:tc>
          <w:tcPr>
            <w:tcW w:w="685" w:type="pct"/>
            <w:vAlign w:val="center"/>
          </w:tcPr>
          <w:p w14:paraId="0754ACFA">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标准值</w:t>
            </w:r>
          </w:p>
          <w:p w14:paraId="567C9BCE">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（μg/m</w:t>
            </w:r>
            <w:r>
              <w:rPr>
                <w:rFonts w:hint="eastAsia" w:cs="Times New Roman"/>
                <w:b/>
                <w:bCs/>
                <w:kern w:val="0"/>
                <w:sz w:val="21"/>
                <w:szCs w:val="21"/>
                <w:vertAlign w:val="superscript"/>
              </w:rPr>
              <w:t>3</w:t>
            </w:r>
            <w:r>
              <w:rPr>
                <w:rFonts w:hint="eastAsia" w:cs="Times New Roman"/>
                <w:b/>
                <w:bCs/>
                <w:kern w:val="0"/>
                <w:sz w:val="21"/>
                <w:szCs w:val="21"/>
              </w:rPr>
              <w:t>）</w:t>
            </w:r>
          </w:p>
        </w:tc>
        <w:tc>
          <w:tcPr>
            <w:tcW w:w="572" w:type="pct"/>
            <w:vAlign w:val="center"/>
          </w:tcPr>
          <w:p w14:paraId="05721564">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占标率（%）</w:t>
            </w:r>
          </w:p>
        </w:tc>
        <w:tc>
          <w:tcPr>
            <w:tcW w:w="562" w:type="pct"/>
            <w:vAlign w:val="center"/>
          </w:tcPr>
          <w:p w14:paraId="04AB51DB">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达标率（%）</w:t>
            </w:r>
          </w:p>
        </w:tc>
        <w:tc>
          <w:tcPr>
            <w:tcW w:w="623" w:type="pct"/>
            <w:vAlign w:val="center"/>
          </w:tcPr>
          <w:p w14:paraId="3B6FFEB3">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达标情况</w:t>
            </w:r>
          </w:p>
        </w:tc>
      </w:tr>
      <w:tr w14:paraId="45B9D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vMerge w:val="restart"/>
            <w:vAlign w:val="center"/>
          </w:tcPr>
          <w:p w14:paraId="349D2277">
            <w:pPr>
              <w:widowControl/>
              <w:spacing w:line="240" w:lineRule="auto"/>
              <w:ind w:firstLine="0" w:firstLineChars="0"/>
              <w:jc w:val="center"/>
              <w:rPr>
                <w:rFonts w:cs="Times New Roman"/>
                <w:kern w:val="0"/>
                <w:sz w:val="21"/>
                <w:szCs w:val="21"/>
              </w:rPr>
            </w:pPr>
            <w:r>
              <w:rPr>
                <w:rFonts w:hint="eastAsia" w:cs="Times New Roman"/>
                <w:kern w:val="0"/>
                <w:sz w:val="21"/>
                <w:szCs w:val="21"/>
              </w:rPr>
              <w:t>SO</w:t>
            </w:r>
            <w:r>
              <w:rPr>
                <w:rFonts w:hint="eastAsia" w:cs="Times New Roman"/>
                <w:kern w:val="0"/>
                <w:sz w:val="21"/>
                <w:szCs w:val="21"/>
                <w:vertAlign w:val="subscript"/>
              </w:rPr>
              <w:t>2</w:t>
            </w:r>
          </w:p>
        </w:tc>
        <w:tc>
          <w:tcPr>
            <w:tcW w:w="1369" w:type="pct"/>
            <w:vAlign w:val="center"/>
          </w:tcPr>
          <w:p w14:paraId="0B3FF00C">
            <w:pPr>
              <w:widowControl/>
              <w:spacing w:line="240" w:lineRule="auto"/>
              <w:ind w:firstLine="0" w:firstLineChars="0"/>
              <w:jc w:val="center"/>
              <w:rPr>
                <w:rFonts w:cs="Times New Roman"/>
                <w:kern w:val="0"/>
                <w:sz w:val="21"/>
                <w:szCs w:val="21"/>
              </w:rPr>
            </w:pPr>
            <w:r>
              <w:rPr>
                <w:rFonts w:hint="eastAsia" w:cs="Times New Roman"/>
                <w:kern w:val="0"/>
                <w:sz w:val="21"/>
                <w:szCs w:val="21"/>
              </w:rPr>
              <w:t>年平均质量浓度</w:t>
            </w:r>
          </w:p>
        </w:tc>
        <w:tc>
          <w:tcPr>
            <w:tcW w:w="729" w:type="pct"/>
            <w:vAlign w:val="center"/>
          </w:tcPr>
          <w:p w14:paraId="2EE8B468">
            <w:pPr>
              <w:widowControl/>
              <w:spacing w:line="240" w:lineRule="auto"/>
              <w:ind w:firstLine="0" w:firstLineChars="0"/>
              <w:jc w:val="center"/>
              <w:rPr>
                <w:rFonts w:cs="Times New Roman"/>
                <w:kern w:val="0"/>
                <w:sz w:val="21"/>
                <w:szCs w:val="21"/>
              </w:rPr>
            </w:pPr>
            <w:r>
              <w:rPr>
                <w:rFonts w:hint="eastAsia" w:cs="Times New Roman"/>
                <w:kern w:val="0"/>
                <w:sz w:val="21"/>
                <w:szCs w:val="21"/>
              </w:rPr>
              <w:t>8</w:t>
            </w:r>
          </w:p>
        </w:tc>
        <w:tc>
          <w:tcPr>
            <w:tcW w:w="685" w:type="pct"/>
            <w:vAlign w:val="center"/>
          </w:tcPr>
          <w:p w14:paraId="305DCE87">
            <w:pPr>
              <w:widowControl/>
              <w:spacing w:line="240" w:lineRule="auto"/>
              <w:ind w:firstLine="0" w:firstLineChars="0"/>
              <w:jc w:val="center"/>
              <w:rPr>
                <w:rFonts w:cs="Times New Roman"/>
                <w:kern w:val="0"/>
                <w:sz w:val="21"/>
                <w:szCs w:val="21"/>
              </w:rPr>
            </w:pPr>
            <w:r>
              <w:rPr>
                <w:rFonts w:hint="eastAsia" w:cs="Times New Roman"/>
                <w:kern w:val="0"/>
                <w:sz w:val="21"/>
                <w:szCs w:val="21"/>
              </w:rPr>
              <w:t>60</w:t>
            </w:r>
          </w:p>
        </w:tc>
        <w:tc>
          <w:tcPr>
            <w:tcW w:w="572" w:type="pct"/>
            <w:vAlign w:val="center"/>
          </w:tcPr>
          <w:p w14:paraId="19C8D53B">
            <w:pPr>
              <w:widowControl/>
              <w:spacing w:line="240" w:lineRule="auto"/>
              <w:ind w:firstLine="0" w:firstLineChars="0"/>
              <w:jc w:val="center"/>
              <w:rPr>
                <w:rFonts w:cs="Times New Roman"/>
                <w:kern w:val="0"/>
                <w:sz w:val="21"/>
                <w:szCs w:val="21"/>
              </w:rPr>
            </w:pPr>
            <w:r>
              <w:rPr>
                <w:rFonts w:hint="eastAsia" w:cs="Times New Roman"/>
                <w:kern w:val="0"/>
                <w:sz w:val="21"/>
                <w:szCs w:val="21"/>
              </w:rPr>
              <w:t>13.3</w:t>
            </w:r>
          </w:p>
        </w:tc>
        <w:tc>
          <w:tcPr>
            <w:tcW w:w="562" w:type="pct"/>
            <w:vAlign w:val="center"/>
          </w:tcPr>
          <w:p w14:paraId="48A8F726">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23" w:type="pct"/>
            <w:vAlign w:val="center"/>
          </w:tcPr>
          <w:p w14:paraId="151E47EC">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1B485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vMerge w:val="continue"/>
            <w:vAlign w:val="center"/>
          </w:tcPr>
          <w:p w14:paraId="0589DD92">
            <w:pPr>
              <w:widowControl/>
              <w:spacing w:line="240" w:lineRule="auto"/>
              <w:ind w:firstLine="0" w:firstLineChars="0"/>
              <w:jc w:val="center"/>
              <w:rPr>
                <w:rFonts w:cs="Times New Roman"/>
                <w:kern w:val="0"/>
                <w:sz w:val="21"/>
                <w:szCs w:val="21"/>
              </w:rPr>
            </w:pPr>
          </w:p>
        </w:tc>
        <w:tc>
          <w:tcPr>
            <w:tcW w:w="1369" w:type="pct"/>
            <w:vAlign w:val="center"/>
          </w:tcPr>
          <w:p w14:paraId="1505D846">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24小时平均质量浓度</w:t>
            </w:r>
          </w:p>
        </w:tc>
        <w:tc>
          <w:tcPr>
            <w:tcW w:w="729" w:type="pct"/>
            <w:vAlign w:val="center"/>
          </w:tcPr>
          <w:p w14:paraId="1C46ABAE">
            <w:pPr>
              <w:widowControl/>
              <w:spacing w:line="240" w:lineRule="auto"/>
              <w:ind w:firstLine="0" w:firstLineChars="0"/>
              <w:jc w:val="center"/>
              <w:rPr>
                <w:rFonts w:cs="Times New Roman"/>
                <w:kern w:val="0"/>
                <w:sz w:val="21"/>
                <w:szCs w:val="21"/>
              </w:rPr>
            </w:pPr>
            <w:r>
              <w:rPr>
                <w:rFonts w:hint="eastAsia" w:cs="Times New Roman"/>
                <w:kern w:val="0"/>
                <w:sz w:val="21"/>
                <w:szCs w:val="21"/>
              </w:rPr>
              <w:t>4~17</w:t>
            </w:r>
          </w:p>
        </w:tc>
        <w:tc>
          <w:tcPr>
            <w:tcW w:w="685" w:type="pct"/>
            <w:vAlign w:val="center"/>
          </w:tcPr>
          <w:p w14:paraId="5E34F92B">
            <w:pPr>
              <w:widowControl/>
              <w:spacing w:line="240" w:lineRule="auto"/>
              <w:ind w:firstLine="0" w:firstLineChars="0"/>
              <w:jc w:val="center"/>
              <w:rPr>
                <w:rFonts w:cs="Times New Roman"/>
                <w:kern w:val="0"/>
                <w:sz w:val="21"/>
                <w:szCs w:val="21"/>
              </w:rPr>
            </w:pPr>
            <w:r>
              <w:rPr>
                <w:rFonts w:hint="eastAsia" w:cs="Times New Roman"/>
                <w:kern w:val="0"/>
                <w:sz w:val="21"/>
                <w:szCs w:val="21"/>
              </w:rPr>
              <w:t>150</w:t>
            </w:r>
          </w:p>
        </w:tc>
        <w:tc>
          <w:tcPr>
            <w:tcW w:w="572" w:type="pct"/>
            <w:vAlign w:val="center"/>
          </w:tcPr>
          <w:p w14:paraId="3147C0FC">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562" w:type="pct"/>
            <w:vAlign w:val="center"/>
          </w:tcPr>
          <w:p w14:paraId="28C35FA3">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623" w:type="pct"/>
            <w:vAlign w:val="center"/>
          </w:tcPr>
          <w:p w14:paraId="6A38ACC1">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5635F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vMerge w:val="restart"/>
            <w:vAlign w:val="center"/>
          </w:tcPr>
          <w:p w14:paraId="427DCC9E">
            <w:pPr>
              <w:widowControl/>
              <w:spacing w:line="240" w:lineRule="auto"/>
              <w:ind w:firstLine="0" w:firstLineChars="0"/>
              <w:jc w:val="center"/>
              <w:rPr>
                <w:rFonts w:cs="Times New Roman"/>
                <w:kern w:val="0"/>
                <w:sz w:val="21"/>
                <w:szCs w:val="21"/>
              </w:rPr>
            </w:pPr>
            <w:r>
              <w:rPr>
                <w:rFonts w:hint="eastAsia" w:cs="Times New Roman"/>
                <w:kern w:val="0"/>
                <w:sz w:val="21"/>
                <w:szCs w:val="21"/>
              </w:rPr>
              <w:t>NO</w:t>
            </w:r>
            <w:r>
              <w:rPr>
                <w:rFonts w:hint="eastAsia" w:cs="Times New Roman"/>
                <w:kern w:val="0"/>
                <w:sz w:val="21"/>
                <w:szCs w:val="21"/>
                <w:vertAlign w:val="subscript"/>
              </w:rPr>
              <w:t>2</w:t>
            </w:r>
          </w:p>
        </w:tc>
        <w:tc>
          <w:tcPr>
            <w:tcW w:w="1369" w:type="pct"/>
            <w:vAlign w:val="center"/>
          </w:tcPr>
          <w:p w14:paraId="6F1F9E97">
            <w:pPr>
              <w:widowControl/>
              <w:spacing w:line="240" w:lineRule="auto"/>
              <w:ind w:firstLine="0" w:firstLineChars="0"/>
              <w:jc w:val="center"/>
              <w:rPr>
                <w:rFonts w:cs="Times New Roman"/>
                <w:kern w:val="0"/>
                <w:sz w:val="21"/>
                <w:szCs w:val="21"/>
              </w:rPr>
            </w:pPr>
            <w:r>
              <w:rPr>
                <w:rFonts w:hint="eastAsia" w:cs="Times New Roman"/>
                <w:kern w:val="0"/>
                <w:sz w:val="21"/>
                <w:szCs w:val="21"/>
              </w:rPr>
              <w:t>年平均质量浓度</w:t>
            </w:r>
          </w:p>
        </w:tc>
        <w:tc>
          <w:tcPr>
            <w:tcW w:w="729" w:type="pct"/>
            <w:vAlign w:val="center"/>
          </w:tcPr>
          <w:p w14:paraId="2B13F4DA">
            <w:pPr>
              <w:widowControl/>
              <w:spacing w:line="240" w:lineRule="auto"/>
              <w:ind w:firstLine="0" w:firstLineChars="0"/>
              <w:jc w:val="center"/>
              <w:rPr>
                <w:rFonts w:cs="Times New Roman"/>
                <w:kern w:val="0"/>
                <w:sz w:val="21"/>
                <w:szCs w:val="21"/>
              </w:rPr>
            </w:pPr>
            <w:r>
              <w:rPr>
                <w:rFonts w:hint="eastAsia" w:cs="Times New Roman"/>
                <w:kern w:val="0"/>
                <w:sz w:val="21"/>
                <w:szCs w:val="21"/>
              </w:rPr>
              <w:t>30</w:t>
            </w:r>
          </w:p>
        </w:tc>
        <w:tc>
          <w:tcPr>
            <w:tcW w:w="685" w:type="pct"/>
            <w:vAlign w:val="center"/>
          </w:tcPr>
          <w:p w14:paraId="37A51B8C">
            <w:pPr>
              <w:widowControl/>
              <w:spacing w:line="240" w:lineRule="auto"/>
              <w:ind w:firstLine="0" w:firstLineChars="0"/>
              <w:jc w:val="center"/>
              <w:rPr>
                <w:rFonts w:cs="Times New Roman"/>
                <w:kern w:val="0"/>
                <w:sz w:val="21"/>
                <w:szCs w:val="21"/>
              </w:rPr>
            </w:pPr>
            <w:r>
              <w:rPr>
                <w:rFonts w:hint="eastAsia" w:cs="Times New Roman"/>
                <w:kern w:val="0"/>
                <w:sz w:val="21"/>
                <w:szCs w:val="21"/>
              </w:rPr>
              <w:t>40</w:t>
            </w:r>
          </w:p>
        </w:tc>
        <w:tc>
          <w:tcPr>
            <w:tcW w:w="572" w:type="pct"/>
            <w:vAlign w:val="center"/>
          </w:tcPr>
          <w:p w14:paraId="541EA738">
            <w:pPr>
              <w:widowControl/>
              <w:spacing w:line="240" w:lineRule="auto"/>
              <w:ind w:firstLine="0" w:firstLineChars="0"/>
              <w:jc w:val="center"/>
              <w:rPr>
                <w:rFonts w:cs="Times New Roman"/>
                <w:kern w:val="0"/>
                <w:sz w:val="21"/>
                <w:szCs w:val="21"/>
              </w:rPr>
            </w:pPr>
            <w:r>
              <w:rPr>
                <w:rFonts w:hint="eastAsia" w:cs="Times New Roman"/>
                <w:kern w:val="0"/>
                <w:sz w:val="21"/>
                <w:szCs w:val="21"/>
              </w:rPr>
              <w:t>75.0</w:t>
            </w:r>
          </w:p>
        </w:tc>
        <w:tc>
          <w:tcPr>
            <w:tcW w:w="562" w:type="pct"/>
            <w:vAlign w:val="center"/>
          </w:tcPr>
          <w:p w14:paraId="3701F59F">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23" w:type="pct"/>
            <w:vAlign w:val="center"/>
          </w:tcPr>
          <w:p w14:paraId="6138AC47">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7F16C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vMerge w:val="continue"/>
            <w:vAlign w:val="center"/>
          </w:tcPr>
          <w:p w14:paraId="709C832D">
            <w:pPr>
              <w:widowControl/>
              <w:spacing w:line="240" w:lineRule="auto"/>
              <w:ind w:firstLine="0" w:firstLineChars="0"/>
              <w:jc w:val="center"/>
              <w:rPr>
                <w:rFonts w:cs="Times New Roman"/>
                <w:kern w:val="0"/>
                <w:sz w:val="21"/>
                <w:szCs w:val="21"/>
              </w:rPr>
            </w:pPr>
          </w:p>
        </w:tc>
        <w:tc>
          <w:tcPr>
            <w:tcW w:w="1369" w:type="pct"/>
            <w:vAlign w:val="center"/>
          </w:tcPr>
          <w:p w14:paraId="3F613E53">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24小时平均质量浓度</w:t>
            </w:r>
          </w:p>
        </w:tc>
        <w:tc>
          <w:tcPr>
            <w:tcW w:w="729" w:type="pct"/>
            <w:vAlign w:val="center"/>
          </w:tcPr>
          <w:p w14:paraId="10A0BC10">
            <w:pPr>
              <w:widowControl/>
              <w:spacing w:line="240" w:lineRule="auto"/>
              <w:ind w:firstLine="0" w:firstLineChars="0"/>
              <w:jc w:val="center"/>
              <w:rPr>
                <w:rFonts w:cs="Times New Roman"/>
                <w:kern w:val="0"/>
                <w:sz w:val="21"/>
                <w:szCs w:val="21"/>
              </w:rPr>
            </w:pPr>
            <w:r>
              <w:rPr>
                <w:rFonts w:hint="eastAsia" w:cs="Times New Roman"/>
                <w:kern w:val="0"/>
                <w:sz w:val="21"/>
                <w:szCs w:val="21"/>
              </w:rPr>
              <w:t>6~106</w:t>
            </w:r>
          </w:p>
        </w:tc>
        <w:tc>
          <w:tcPr>
            <w:tcW w:w="685" w:type="pct"/>
            <w:vAlign w:val="center"/>
          </w:tcPr>
          <w:p w14:paraId="015B775A">
            <w:pPr>
              <w:widowControl/>
              <w:spacing w:line="240" w:lineRule="auto"/>
              <w:ind w:firstLine="0" w:firstLineChars="0"/>
              <w:jc w:val="center"/>
              <w:rPr>
                <w:rFonts w:cs="Times New Roman"/>
                <w:kern w:val="0"/>
                <w:sz w:val="21"/>
                <w:szCs w:val="21"/>
              </w:rPr>
            </w:pPr>
            <w:r>
              <w:rPr>
                <w:rFonts w:hint="eastAsia" w:cs="Times New Roman"/>
                <w:kern w:val="0"/>
                <w:sz w:val="21"/>
                <w:szCs w:val="21"/>
              </w:rPr>
              <w:t>80</w:t>
            </w:r>
          </w:p>
        </w:tc>
        <w:tc>
          <w:tcPr>
            <w:tcW w:w="572" w:type="pct"/>
            <w:vAlign w:val="center"/>
          </w:tcPr>
          <w:p w14:paraId="2CFE5A63">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562" w:type="pct"/>
            <w:vAlign w:val="center"/>
          </w:tcPr>
          <w:p w14:paraId="34DE65A1">
            <w:pPr>
              <w:widowControl/>
              <w:spacing w:line="240" w:lineRule="auto"/>
              <w:ind w:firstLine="0" w:firstLineChars="0"/>
              <w:jc w:val="center"/>
              <w:rPr>
                <w:rFonts w:cs="Times New Roman"/>
                <w:kern w:val="0"/>
                <w:sz w:val="21"/>
                <w:szCs w:val="21"/>
              </w:rPr>
            </w:pPr>
            <w:r>
              <w:rPr>
                <w:rFonts w:hint="eastAsia" w:cs="Times New Roman"/>
                <w:kern w:val="0"/>
                <w:sz w:val="21"/>
                <w:szCs w:val="21"/>
              </w:rPr>
              <w:t>98.1</w:t>
            </w:r>
          </w:p>
        </w:tc>
        <w:tc>
          <w:tcPr>
            <w:tcW w:w="623" w:type="pct"/>
            <w:vAlign w:val="center"/>
          </w:tcPr>
          <w:p w14:paraId="52ED926A">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r>
              <w:rPr>
                <w:rFonts w:hint="eastAsia" w:ascii="Cambria Math" w:hAnsi="Cambria Math" w:cs="Cambria Math"/>
                <w:bCs/>
                <w:kern w:val="0"/>
                <w:sz w:val="21"/>
                <w:szCs w:val="21"/>
                <w:vertAlign w:val="superscript"/>
              </w:rPr>
              <w:t>①</w:t>
            </w:r>
          </w:p>
        </w:tc>
      </w:tr>
      <w:tr w14:paraId="2100D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vMerge w:val="restart"/>
            <w:vAlign w:val="center"/>
          </w:tcPr>
          <w:p w14:paraId="27248D25">
            <w:pPr>
              <w:widowControl/>
              <w:spacing w:line="240" w:lineRule="auto"/>
              <w:ind w:firstLine="0" w:firstLineChars="0"/>
              <w:jc w:val="center"/>
              <w:rPr>
                <w:rFonts w:cs="Times New Roman"/>
                <w:kern w:val="0"/>
                <w:sz w:val="21"/>
                <w:szCs w:val="21"/>
              </w:rPr>
            </w:pPr>
            <w:r>
              <w:rPr>
                <w:rFonts w:hint="eastAsia" w:cs="Times New Roman"/>
                <w:kern w:val="0"/>
                <w:sz w:val="21"/>
                <w:szCs w:val="21"/>
              </w:rPr>
              <w:t>PM</w:t>
            </w:r>
            <w:r>
              <w:rPr>
                <w:rFonts w:hint="eastAsia" w:cs="Times New Roman"/>
                <w:kern w:val="0"/>
                <w:sz w:val="21"/>
                <w:szCs w:val="21"/>
                <w:vertAlign w:val="subscript"/>
              </w:rPr>
              <w:t>10</w:t>
            </w:r>
          </w:p>
        </w:tc>
        <w:tc>
          <w:tcPr>
            <w:tcW w:w="1369" w:type="pct"/>
            <w:vAlign w:val="center"/>
          </w:tcPr>
          <w:p w14:paraId="404798E3">
            <w:pPr>
              <w:widowControl/>
              <w:spacing w:line="240" w:lineRule="auto"/>
              <w:ind w:firstLine="0" w:firstLineChars="0"/>
              <w:jc w:val="center"/>
              <w:rPr>
                <w:rFonts w:cs="Times New Roman"/>
                <w:kern w:val="0"/>
                <w:sz w:val="21"/>
                <w:szCs w:val="21"/>
              </w:rPr>
            </w:pPr>
            <w:r>
              <w:rPr>
                <w:rFonts w:hint="eastAsia" w:cs="Times New Roman"/>
                <w:kern w:val="0"/>
                <w:sz w:val="21"/>
                <w:szCs w:val="21"/>
              </w:rPr>
              <w:t>年平均质量浓度</w:t>
            </w:r>
          </w:p>
        </w:tc>
        <w:tc>
          <w:tcPr>
            <w:tcW w:w="729" w:type="pct"/>
            <w:vAlign w:val="center"/>
          </w:tcPr>
          <w:p w14:paraId="15C10B24">
            <w:pPr>
              <w:widowControl/>
              <w:spacing w:line="240" w:lineRule="auto"/>
              <w:ind w:firstLine="0" w:firstLineChars="0"/>
              <w:jc w:val="center"/>
              <w:rPr>
                <w:rFonts w:cs="Times New Roman"/>
                <w:kern w:val="0"/>
                <w:sz w:val="21"/>
                <w:szCs w:val="21"/>
              </w:rPr>
            </w:pPr>
            <w:r>
              <w:rPr>
                <w:rFonts w:hint="eastAsia" w:cs="Times New Roman"/>
                <w:kern w:val="0"/>
                <w:sz w:val="21"/>
                <w:szCs w:val="21"/>
              </w:rPr>
              <w:t>57</w:t>
            </w:r>
          </w:p>
        </w:tc>
        <w:tc>
          <w:tcPr>
            <w:tcW w:w="685" w:type="pct"/>
            <w:vAlign w:val="center"/>
          </w:tcPr>
          <w:p w14:paraId="29D53347">
            <w:pPr>
              <w:widowControl/>
              <w:spacing w:line="240" w:lineRule="auto"/>
              <w:ind w:firstLine="0" w:firstLineChars="0"/>
              <w:jc w:val="center"/>
              <w:rPr>
                <w:rFonts w:cs="Times New Roman"/>
                <w:kern w:val="0"/>
                <w:sz w:val="21"/>
                <w:szCs w:val="21"/>
              </w:rPr>
            </w:pPr>
            <w:r>
              <w:rPr>
                <w:rFonts w:hint="eastAsia" w:cs="Times New Roman"/>
                <w:kern w:val="0"/>
                <w:sz w:val="21"/>
                <w:szCs w:val="21"/>
              </w:rPr>
              <w:t>70</w:t>
            </w:r>
          </w:p>
        </w:tc>
        <w:tc>
          <w:tcPr>
            <w:tcW w:w="572" w:type="pct"/>
            <w:vAlign w:val="center"/>
          </w:tcPr>
          <w:p w14:paraId="731D0468">
            <w:pPr>
              <w:widowControl/>
              <w:spacing w:line="240" w:lineRule="auto"/>
              <w:ind w:firstLine="0" w:firstLineChars="0"/>
              <w:jc w:val="center"/>
              <w:rPr>
                <w:rFonts w:cs="Times New Roman"/>
                <w:kern w:val="0"/>
                <w:sz w:val="21"/>
                <w:szCs w:val="21"/>
              </w:rPr>
            </w:pPr>
            <w:r>
              <w:rPr>
                <w:rFonts w:hint="eastAsia" w:cs="Times New Roman"/>
                <w:kern w:val="0"/>
                <w:sz w:val="21"/>
                <w:szCs w:val="21"/>
              </w:rPr>
              <w:t>81.4</w:t>
            </w:r>
          </w:p>
        </w:tc>
        <w:tc>
          <w:tcPr>
            <w:tcW w:w="562" w:type="pct"/>
            <w:vAlign w:val="center"/>
          </w:tcPr>
          <w:p w14:paraId="3B3EECE9">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23" w:type="pct"/>
            <w:vAlign w:val="center"/>
          </w:tcPr>
          <w:p w14:paraId="78138C78">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50074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vMerge w:val="continue"/>
            <w:vAlign w:val="center"/>
          </w:tcPr>
          <w:p w14:paraId="378628E4">
            <w:pPr>
              <w:widowControl/>
              <w:spacing w:line="240" w:lineRule="auto"/>
              <w:ind w:firstLine="0" w:firstLineChars="0"/>
              <w:jc w:val="center"/>
              <w:rPr>
                <w:rFonts w:cs="Times New Roman"/>
                <w:kern w:val="0"/>
                <w:sz w:val="21"/>
                <w:szCs w:val="21"/>
              </w:rPr>
            </w:pPr>
          </w:p>
        </w:tc>
        <w:tc>
          <w:tcPr>
            <w:tcW w:w="1369" w:type="pct"/>
            <w:vAlign w:val="center"/>
          </w:tcPr>
          <w:p w14:paraId="30DB7E35">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24小时平均质量浓度</w:t>
            </w:r>
          </w:p>
        </w:tc>
        <w:tc>
          <w:tcPr>
            <w:tcW w:w="729" w:type="pct"/>
            <w:vAlign w:val="center"/>
          </w:tcPr>
          <w:p w14:paraId="6F8586C0">
            <w:pPr>
              <w:widowControl/>
              <w:spacing w:line="240" w:lineRule="auto"/>
              <w:ind w:firstLine="0" w:firstLineChars="0"/>
              <w:jc w:val="center"/>
              <w:rPr>
                <w:rFonts w:cs="Times New Roman"/>
                <w:kern w:val="0"/>
                <w:sz w:val="21"/>
                <w:szCs w:val="21"/>
              </w:rPr>
            </w:pPr>
            <w:r>
              <w:rPr>
                <w:rFonts w:hint="eastAsia" w:cs="Times New Roman"/>
                <w:kern w:val="0"/>
                <w:sz w:val="21"/>
                <w:szCs w:val="21"/>
              </w:rPr>
              <w:t>12~188</w:t>
            </w:r>
          </w:p>
        </w:tc>
        <w:tc>
          <w:tcPr>
            <w:tcW w:w="685" w:type="pct"/>
            <w:vAlign w:val="center"/>
          </w:tcPr>
          <w:p w14:paraId="708F693C">
            <w:pPr>
              <w:widowControl/>
              <w:spacing w:line="240" w:lineRule="auto"/>
              <w:ind w:firstLine="0" w:firstLineChars="0"/>
              <w:jc w:val="center"/>
              <w:rPr>
                <w:rFonts w:cs="Times New Roman"/>
                <w:kern w:val="0"/>
                <w:sz w:val="21"/>
                <w:szCs w:val="21"/>
              </w:rPr>
            </w:pPr>
            <w:r>
              <w:rPr>
                <w:rFonts w:hint="eastAsia" w:cs="Times New Roman"/>
                <w:kern w:val="0"/>
                <w:sz w:val="21"/>
                <w:szCs w:val="21"/>
              </w:rPr>
              <w:t>150</w:t>
            </w:r>
          </w:p>
        </w:tc>
        <w:tc>
          <w:tcPr>
            <w:tcW w:w="572" w:type="pct"/>
            <w:vAlign w:val="center"/>
          </w:tcPr>
          <w:p w14:paraId="48C51BCE">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562" w:type="pct"/>
            <w:vAlign w:val="center"/>
          </w:tcPr>
          <w:p w14:paraId="4CC89529">
            <w:pPr>
              <w:widowControl/>
              <w:spacing w:line="240" w:lineRule="auto"/>
              <w:ind w:firstLine="0" w:firstLineChars="0"/>
              <w:jc w:val="center"/>
              <w:rPr>
                <w:rFonts w:cs="Times New Roman"/>
                <w:kern w:val="0"/>
                <w:sz w:val="21"/>
                <w:szCs w:val="21"/>
              </w:rPr>
            </w:pPr>
            <w:r>
              <w:rPr>
                <w:rFonts w:hint="eastAsia" w:cs="Times New Roman"/>
                <w:kern w:val="0"/>
                <w:sz w:val="21"/>
                <w:szCs w:val="21"/>
              </w:rPr>
              <w:t>98.8</w:t>
            </w:r>
          </w:p>
        </w:tc>
        <w:tc>
          <w:tcPr>
            <w:tcW w:w="623" w:type="pct"/>
            <w:vAlign w:val="center"/>
          </w:tcPr>
          <w:p w14:paraId="460F323E">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r>
              <w:rPr>
                <w:rFonts w:hint="eastAsia" w:ascii="Cambria Math" w:hAnsi="Cambria Math" w:cs="Cambria Math"/>
                <w:bCs/>
                <w:kern w:val="0"/>
                <w:sz w:val="21"/>
                <w:szCs w:val="21"/>
                <w:vertAlign w:val="superscript"/>
              </w:rPr>
              <w:t>②</w:t>
            </w:r>
          </w:p>
        </w:tc>
      </w:tr>
      <w:tr w14:paraId="7D7EB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vMerge w:val="restart"/>
            <w:vAlign w:val="center"/>
          </w:tcPr>
          <w:p w14:paraId="41566E7A">
            <w:pPr>
              <w:widowControl/>
              <w:spacing w:line="240" w:lineRule="auto"/>
              <w:ind w:firstLine="0" w:firstLineChars="0"/>
              <w:jc w:val="center"/>
              <w:rPr>
                <w:rFonts w:cs="Times New Roman"/>
                <w:kern w:val="0"/>
                <w:sz w:val="21"/>
                <w:szCs w:val="21"/>
              </w:rPr>
            </w:pPr>
            <w:r>
              <w:rPr>
                <w:rFonts w:hint="eastAsia" w:cs="Times New Roman"/>
                <w:kern w:val="0"/>
                <w:sz w:val="21"/>
                <w:szCs w:val="21"/>
              </w:rPr>
              <w:t>PM</w:t>
            </w:r>
            <w:r>
              <w:rPr>
                <w:rFonts w:hint="eastAsia" w:cs="Times New Roman"/>
                <w:kern w:val="0"/>
                <w:sz w:val="21"/>
                <w:szCs w:val="21"/>
                <w:vertAlign w:val="subscript"/>
              </w:rPr>
              <w:t>2.5</w:t>
            </w:r>
          </w:p>
        </w:tc>
        <w:tc>
          <w:tcPr>
            <w:tcW w:w="1369" w:type="pct"/>
            <w:vAlign w:val="center"/>
          </w:tcPr>
          <w:p w14:paraId="2BD91C5B">
            <w:pPr>
              <w:widowControl/>
              <w:spacing w:line="240" w:lineRule="auto"/>
              <w:ind w:firstLine="0" w:firstLineChars="0"/>
              <w:jc w:val="center"/>
              <w:rPr>
                <w:rFonts w:cs="Times New Roman"/>
                <w:kern w:val="0"/>
                <w:sz w:val="21"/>
                <w:szCs w:val="21"/>
              </w:rPr>
            </w:pPr>
            <w:r>
              <w:rPr>
                <w:rFonts w:hint="eastAsia" w:cs="Times New Roman"/>
                <w:kern w:val="0"/>
                <w:sz w:val="21"/>
                <w:szCs w:val="21"/>
              </w:rPr>
              <w:t>年平均质量浓度</w:t>
            </w:r>
          </w:p>
        </w:tc>
        <w:tc>
          <w:tcPr>
            <w:tcW w:w="729" w:type="pct"/>
            <w:vAlign w:val="center"/>
          </w:tcPr>
          <w:p w14:paraId="4321A753">
            <w:pPr>
              <w:widowControl/>
              <w:spacing w:line="240" w:lineRule="auto"/>
              <w:ind w:firstLine="0" w:firstLineChars="0"/>
              <w:jc w:val="center"/>
              <w:rPr>
                <w:rFonts w:cs="Times New Roman"/>
                <w:kern w:val="0"/>
                <w:sz w:val="21"/>
                <w:szCs w:val="21"/>
              </w:rPr>
            </w:pPr>
            <w:r>
              <w:rPr>
                <w:rFonts w:hint="eastAsia" w:cs="Times New Roman"/>
                <w:kern w:val="0"/>
                <w:sz w:val="21"/>
                <w:szCs w:val="21"/>
              </w:rPr>
              <w:t>34</w:t>
            </w:r>
          </w:p>
        </w:tc>
        <w:tc>
          <w:tcPr>
            <w:tcW w:w="685" w:type="pct"/>
            <w:vAlign w:val="center"/>
          </w:tcPr>
          <w:p w14:paraId="7D1CF3F0">
            <w:pPr>
              <w:widowControl/>
              <w:spacing w:line="240" w:lineRule="auto"/>
              <w:ind w:firstLine="0" w:firstLineChars="0"/>
              <w:jc w:val="center"/>
              <w:rPr>
                <w:rFonts w:cs="Times New Roman"/>
                <w:kern w:val="0"/>
                <w:sz w:val="21"/>
                <w:szCs w:val="21"/>
              </w:rPr>
            </w:pPr>
            <w:r>
              <w:rPr>
                <w:rFonts w:hint="eastAsia" w:cs="Times New Roman"/>
                <w:kern w:val="0"/>
                <w:sz w:val="21"/>
                <w:szCs w:val="21"/>
              </w:rPr>
              <w:t>35</w:t>
            </w:r>
          </w:p>
        </w:tc>
        <w:tc>
          <w:tcPr>
            <w:tcW w:w="572" w:type="pct"/>
            <w:vAlign w:val="center"/>
          </w:tcPr>
          <w:p w14:paraId="5AC747C1">
            <w:pPr>
              <w:widowControl/>
              <w:spacing w:line="240" w:lineRule="auto"/>
              <w:ind w:firstLine="0" w:firstLineChars="0"/>
              <w:jc w:val="center"/>
              <w:rPr>
                <w:rFonts w:cs="Times New Roman"/>
                <w:kern w:val="0"/>
                <w:sz w:val="21"/>
                <w:szCs w:val="21"/>
              </w:rPr>
            </w:pPr>
            <w:r>
              <w:rPr>
                <w:rFonts w:hint="eastAsia" w:cs="Times New Roman"/>
                <w:kern w:val="0"/>
                <w:sz w:val="21"/>
                <w:szCs w:val="21"/>
              </w:rPr>
              <w:t>97.1</w:t>
            </w:r>
          </w:p>
        </w:tc>
        <w:tc>
          <w:tcPr>
            <w:tcW w:w="562" w:type="pct"/>
            <w:vAlign w:val="center"/>
          </w:tcPr>
          <w:p w14:paraId="2A18A3D6">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23" w:type="pct"/>
            <w:vAlign w:val="center"/>
          </w:tcPr>
          <w:p w14:paraId="0E5211BA">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789C3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vMerge w:val="continue"/>
            <w:vAlign w:val="center"/>
          </w:tcPr>
          <w:p w14:paraId="0221A378">
            <w:pPr>
              <w:widowControl/>
              <w:spacing w:line="240" w:lineRule="auto"/>
              <w:ind w:firstLine="0" w:firstLineChars="0"/>
              <w:jc w:val="center"/>
              <w:rPr>
                <w:rFonts w:cs="Times New Roman"/>
                <w:kern w:val="0"/>
                <w:sz w:val="21"/>
                <w:szCs w:val="21"/>
              </w:rPr>
            </w:pPr>
          </w:p>
        </w:tc>
        <w:tc>
          <w:tcPr>
            <w:tcW w:w="1369" w:type="pct"/>
            <w:vAlign w:val="center"/>
          </w:tcPr>
          <w:p w14:paraId="5F88D2E3">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24小时平均质量浓度</w:t>
            </w:r>
          </w:p>
        </w:tc>
        <w:tc>
          <w:tcPr>
            <w:tcW w:w="729" w:type="pct"/>
            <w:vAlign w:val="center"/>
          </w:tcPr>
          <w:p w14:paraId="1F0F3353">
            <w:pPr>
              <w:widowControl/>
              <w:spacing w:line="240" w:lineRule="auto"/>
              <w:ind w:firstLine="0" w:firstLineChars="0"/>
              <w:jc w:val="center"/>
              <w:rPr>
                <w:rFonts w:cs="Times New Roman"/>
                <w:kern w:val="0"/>
                <w:sz w:val="21"/>
                <w:szCs w:val="21"/>
              </w:rPr>
            </w:pPr>
            <w:r>
              <w:rPr>
                <w:rFonts w:hint="eastAsia" w:cs="Times New Roman"/>
                <w:kern w:val="0"/>
                <w:sz w:val="21"/>
                <w:szCs w:val="21"/>
              </w:rPr>
              <w:t>6~151</w:t>
            </w:r>
          </w:p>
        </w:tc>
        <w:tc>
          <w:tcPr>
            <w:tcW w:w="685" w:type="pct"/>
            <w:vAlign w:val="center"/>
          </w:tcPr>
          <w:p w14:paraId="2530AE00">
            <w:pPr>
              <w:widowControl/>
              <w:spacing w:line="240" w:lineRule="auto"/>
              <w:ind w:firstLine="0" w:firstLineChars="0"/>
              <w:jc w:val="center"/>
              <w:rPr>
                <w:rFonts w:cs="Times New Roman"/>
                <w:kern w:val="0"/>
                <w:sz w:val="21"/>
                <w:szCs w:val="21"/>
              </w:rPr>
            </w:pPr>
            <w:r>
              <w:rPr>
                <w:rFonts w:hint="eastAsia" w:cs="Times New Roman"/>
                <w:kern w:val="0"/>
                <w:sz w:val="21"/>
                <w:szCs w:val="21"/>
              </w:rPr>
              <w:t>75</w:t>
            </w:r>
          </w:p>
        </w:tc>
        <w:tc>
          <w:tcPr>
            <w:tcW w:w="572" w:type="pct"/>
            <w:vAlign w:val="center"/>
          </w:tcPr>
          <w:p w14:paraId="57900E57">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562" w:type="pct"/>
            <w:vAlign w:val="center"/>
          </w:tcPr>
          <w:p w14:paraId="4C82FF5D">
            <w:pPr>
              <w:widowControl/>
              <w:spacing w:line="240" w:lineRule="auto"/>
              <w:ind w:firstLine="0" w:firstLineChars="0"/>
              <w:jc w:val="center"/>
              <w:rPr>
                <w:rFonts w:cs="Times New Roman"/>
                <w:kern w:val="0"/>
                <w:sz w:val="21"/>
                <w:szCs w:val="21"/>
              </w:rPr>
            </w:pPr>
            <w:r>
              <w:rPr>
                <w:rFonts w:hint="eastAsia" w:cs="Times New Roman"/>
                <w:kern w:val="0"/>
                <w:sz w:val="21"/>
                <w:szCs w:val="21"/>
              </w:rPr>
              <w:t>93.6</w:t>
            </w:r>
          </w:p>
        </w:tc>
        <w:tc>
          <w:tcPr>
            <w:tcW w:w="623" w:type="pct"/>
            <w:vAlign w:val="center"/>
          </w:tcPr>
          <w:p w14:paraId="588B71DE">
            <w:pPr>
              <w:widowControl/>
              <w:spacing w:line="240" w:lineRule="auto"/>
              <w:ind w:firstLine="0" w:firstLineChars="0"/>
              <w:jc w:val="center"/>
              <w:rPr>
                <w:rFonts w:cs="Times New Roman"/>
                <w:kern w:val="0"/>
                <w:sz w:val="21"/>
                <w:szCs w:val="21"/>
              </w:rPr>
            </w:pPr>
            <w:r>
              <w:rPr>
                <w:rFonts w:hint="eastAsia" w:cs="Times New Roman"/>
                <w:kern w:val="0"/>
                <w:sz w:val="21"/>
                <w:szCs w:val="21"/>
              </w:rPr>
              <w:t>超标</w:t>
            </w:r>
            <w:r>
              <w:rPr>
                <w:rFonts w:hint="eastAsia" w:ascii="Cambria Math" w:hAnsi="Cambria Math" w:cs="Cambria Math"/>
                <w:bCs/>
                <w:kern w:val="0"/>
                <w:sz w:val="21"/>
                <w:szCs w:val="21"/>
                <w:vertAlign w:val="superscript"/>
              </w:rPr>
              <w:t>③</w:t>
            </w:r>
          </w:p>
        </w:tc>
      </w:tr>
      <w:tr w14:paraId="4C01B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vAlign w:val="center"/>
          </w:tcPr>
          <w:p w14:paraId="1D1FEAD9">
            <w:pPr>
              <w:widowControl/>
              <w:spacing w:line="240" w:lineRule="auto"/>
              <w:ind w:firstLine="0" w:firstLineChars="0"/>
              <w:jc w:val="center"/>
              <w:rPr>
                <w:rFonts w:cs="Times New Roman"/>
                <w:kern w:val="0"/>
                <w:sz w:val="21"/>
                <w:szCs w:val="21"/>
              </w:rPr>
            </w:pPr>
            <w:r>
              <w:rPr>
                <w:rFonts w:hint="eastAsia" w:cs="Times New Roman"/>
                <w:kern w:val="0"/>
                <w:sz w:val="21"/>
                <w:szCs w:val="21"/>
              </w:rPr>
              <w:t>CO</w:t>
            </w:r>
          </w:p>
        </w:tc>
        <w:tc>
          <w:tcPr>
            <w:tcW w:w="1369" w:type="pct"/>
            <w:vAlign w:val="center"/>
          </w:tcPr>
          <w:p w14:paraId="6C8148FE">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24小时平均第95百分位数</w:t>
            </w:r>
          </w:p>
        </w:tc>
        <w:tc>
          <w:tcPr>
            <w:tcW w:w="729" w:type="pct"/>
            <w:vAlign w:val="center"/>
          </w:tcPr>
          <w:p w14:paraId="36DA2106">
            <w:pPr>
              <w:widowControl/>
              <w:spacing w:line="240" w:lineRule="auto"/>
              <w:ind w:firstLine="0" w:firstLineChars="0"/>
              <w:jc w:val="center"/>
              <w:rPr>
                <w:rFonts w:cs="Times New Roman"/>
                <w:kern w:val="0"/>
                <w:sz w:val="21"/>
                <w:szCs w:val="21"/>
              </w:rPr>
            </w:pPr>
            <w:r>
              <w:rPr>
                <w:rFonts w:hint="eastAsia" w:cs="Times New Roman"/>
                <w:kern w:val="0"/>
                <w:sz w:val="21"/>
                <w:szCs w:val="21"/>
              </w:rPr>
              <w:t>1100</w:t>
            </w:r>
          </w:p>
        </w:tc>
        <w:tc>
          <w:tcPr>
            <w:tcW w:w="685" w:type="pct"/>
            <w:vAlign w:val="center"/>
          </w:tcPr>
          <w:p w14:paraId="6931BA9E">
            <w:pPr>
              <w:widowControl/>
              <w:spacing w:line="240" w:lineRule="auto"/>
              <w:ind w:firstLine="0" w:firstLineChars="0"/>
              <w:jc w:val="center"/>
              <w:rPr>
                <w:rFonts w:cs="Times New Roman"/>
                <w:kern w:val="0"/>
                <w:sz w:val="21"/>
                <w:szCs w:val="21"/>
              </w:rPr>
            </w:pPr>
            <w:r>
              <w:rPr>
                <w:rFonts w:hint="eastAsia" w:cs="Times New Roman"/>
                <w:kern w:val="0"/>
                <w:sz w:val="21"/>
                <w:szCs w:val="21"/>
              </w:rPr>
              <w:t>4000</w:t>
            </w:r>
          </w:p>
        </w:tc>
        <w:tc>
          <w:tcPr>
            <w:tcW w:w="572" w:type="pct"/>
            <w:vAlign w:val="center"/>
          </w:tcPr>
          <w:p w14:paraId="33D13EA1">
            <w:pPr>
              <w:widowControl/>
              <w:spacing w:line="240" w:lineRule="auto"/>
              <w:ind w:firstLine="0" w:firstLineChars="0"/>
              <w:jc w:val="center"/>
              <w:rPr>
                <w:rFonts w:cs="Times New Roman"/>
                <w:kern w:val="0"/>
                <w:sz w:val="21"/>
                <w:szCs w:val="21"/>
              </w:rPr>
            </w:pPr>
            <w:r>
              <w:rPr>
                <w:rFonts w:hint="eastAsia" w:cs="Times New Roman"/>
                <w:kern w:val="0"/>
                <w:sz w:val="21"/>
                <w:szCs w:val="21"/>
              </w:rPr>
              <w:t>27.5</w:t>
            </w:r>
          </w:p>
        </w:tc>
        <w:tc>
          <w:tcPr>
            <w:tcW w:w="562" w:type="pct"/>
            <w:vAlign w:val="center"/>
          </w:tcPr>
          <w:p w14:paraId="7D5C6A4C">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623" w:type="pct"/>
            <w:vAlign w:val="center"/>
          </w:tcPr>
          <w:p w14:paraId="5D66CE35">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16B1B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vAlign w:val="center"/>
          </w:tcPr>
          <w:p w14:paraId="78D541A0">
            <w:pPr>
              <w:widowControl/>
              <w:spacing w:line="240" w:lineRule="auto"/>
              <w:ind w:firstLine="0" w:firstLineChars="0"/>
              <w:jc w:val="center"/>
              <w:rPr>
                <w:rFonts w:cs="Times New Roman"/>
                <w:kern w:val="0"/>
                <w:sz w:val="21"/>
                <w:szCs w:val="21"/>
              </w:rPr>
            </w:pPr>
            <w:r>
              <w:rPr>
                <w:rFonts w:hint="eastAsia" w:cs="Times New Roman"/>
                <w:kern w:val="0"/>
                <w:sz w:val="21"/>
                <w:szCs w:val="21"/>
              </w:rPr>
              <w:t>O</w:t>
            </w:r>
            <w:r>
              <w:rPr>
                <w:rFonts w:hint="eastAsia" w:cs="Times New Roman"/>
                <w:kern w:val="0"/>
                <w:sz w:val="21"/>
                <w:szCs w:val="21"/>
                <w:vertAlign w:val="subscript"/>
              </w:rPr>
              <w:t>3</w:t>
            </w:r>
          </w:p>
        </w:tc>
        <w:tc>
          <w:tcPr>
            <w:tcW w:w="1369" w:type="pct"/>
            <w:vAlign w:val="center"/>
          </w:tcPr>
          <w:p w14:paraId="284388CB">
            <w:pPr>
              <w:widowControl/>
              <w:spacing w:line="240" w:lineRule="auto"/>
              <w:ind w:firstLine="0" w:firstLineChars="0"/>
              <w:jc w:val="center"/>
              <w:rPr>
                <w:rFonts w:cs="Times New Roman"/>
                <w:kern w:val="0"/>
                <w:sz w:val="21"/>
                <w:szCs w:val="21"/>
              </w:rPr>
            </w:pPr>
            <w:r>
              <w:rPr>
                <w:rFonts w:hint="eastAsia" w:cs="Times New Roman"/>
                <w:kern w:val="0"/>
                <w:sz w:val="21"/>
                <w:szCs w:val="21"/>
              </w:rPr>
              <w:t>日最大8小时滑动平均第90百分位数</w:t>
            </w:r>
          </w:p>
        </w:tc>
        <w:tc>
          <w:tcPr>
            <w:tcW w:w="729" w:type="pct"/>
            <w:vAlign w:val="center"/>
          </w:tcPr>
          <w:p w14:paraId="41E39C5A">
            <w:pPr>
              <w:widowControl/>
              <w:spacing w:line="240" w:lineRule="auto"/>
              <w:ind w:firstLine="0" w:firstLineChars="0"/>
              <w:jc w:val="center"/>
              <w:rPr>
                <w:rFonts w:cs="Times New Roman"/>
                <w:kern w:val="0"/>
                <w:sz w:val="21"/>
                <w:szCs w:val="21"/>
              </w:rPr>
            </w:pPr>
            <w:r>
              <w:rPr>
                <w:rFonts w:hint="eastAsia" w:cs="Times New Roman"/>
                <w:kern w:val="0"/>
                <w:sz w:val="21"/>
                <w:szCs w:val="21"/>
              </w:rPr>
              <w:t>174</w:t>
            </w:r>
          </w:p>
        </w:tc>
        <w:tc>
          <w:tcPr>
            <w:tcW w:w="685" w:type="pct"/>
            <w:vAlign w:val="center"/>
          </w:tcPr>
          <w:p w14:paraId="53F202E8">
            <w:pPr>
              <w:widowControl/>
              <w:spacing w:line="240" w:lineRule="auto"/>
              <w:ind w:firstLine="0" w:firstLineChars="0"/>
              <w:jc w:val="center"/>
              <w:rPr>
                <w:rFonts w:cs="Times New Roman"/>
                <w:kern w:val="0"/>
                <w:sz w:val="21"/>
                <w:szCs w:val="21"/>
              </w:rPr>
            </w:pPr>
            <w:r>
              <w:rPr>
                <w:rFonts w:hint="eastAsia" w:cs="Times New Roman"/>
                <w:kern w:val="0"/>
                <w:sz w:val="21"/>
                <w:szCs w:val="21"/>
              </w:rPr>
              <w:t>160</w:t>
            </w:r>
          </w:p>
        </w:tc>
        <w:tc>
          <w:tcPr>
            <w:tcW w:w="572" w:type="pct"/>
            <w:vAlign w:val="center"/>
          </w:tcPr>
          <w:p w14:paraId="066672CC">
            <w:pPr>
              <w:widowControl/>
              <w:spacing w:line="240" w:lineRule="auto"/>
              <w:ind w:firstLine="0" w:firstLineChars="0"/>
              <w:jc w:val="center"/>
              <w:rPr>
                <w:rFonts w:cs="Times New Roman"/>
                <w:kern w:val="0"/>
                <w:sz w:val="21"/>
                <w:szCs w:val="21"/>
              </w:rPr>
            </w:pPr>
            <w:r>
              <w:rPr>
                <w:rFonts w:hint="eastAsia" w:cs="Times New Roman"/>
                <w:kern w:val="0"/>
                <w:sz w:val="21"/>
                <w:szCs w:val="21"/>
              </w:rPr>
              <w:t>108.8</w:t>
            </w:r>
          </w:p>
        </w:tc>
        <w:tc>
          <w:tcPr>
            <w:tcW w:w="562" w:type="pct"/>
            <w:vAlign w:val="center"/>
          </w:tcPr>
          <w:p w14:paraId="234EC0E5">
            <w:pPr>
              <w:widowControl/>
              <w:spacing w:line="240" w:lineRule="auto"/>
              <w:ind w:firstLine="0" w:firstLineChars="0"/>
              <w:jc w:val="center"/>
              <w:rPr>
                <w:rFonts w:cs="Times New Roman"/>
                <w:kern w:val="0"/>
                <w:sz w:val="21"/>
                <w:szCs w:val="21"/>
              </w:rPr>
            </w:pPr>
            <w:r>
              <w:rPr>
                <w:rFonts w:hint="eastAsia" w:cs="Times New Roman"/>
                <w:kern w:val="0"/>
                <w:sz w:val="21"/>
                <w:szCs w:val="21"/>
              </w:rPr>
              <w:t>85.5</w:t>
            </w:r>
          </w:p>
        </w:tc>
        <w:tc>
          <w:tcPr>
            <w:tcW w:w="623" w:type="pct"/>
            <w:vAlign w:val="center"/>
          </w:tcPr>
          <w:p w14:paraId="1F4AE14B">
            <w:pPr>
              <w:widowControl/>
              <w:spacing w:line="240" w:lineRule="auto"/>
              <w:ind w:firstLine="0" w:firstLineChars="0"/>
              <w:jc w:val="center"/>
              <w:rPr>
                <w:rFonts w:cs="Times New Roman"/>
                <w:kern w:val="0"/>
                <w:sz w:val="21"/>
                <w:szCs w:val="21"/>
              </w:rPr>
            </w:pPr>
            <w:r>
              <w:rPr>
                <w:rFonts w:hint="eastAsia" w:cs="Times New Roman"/>
                <w:kern w:val="0"/>
                <w:sz w:val="21"/>
                <w:szCs w:val="21"/>
              </w:rPr>
              <w:t>超标</w:t>
            </w:r>
          </w:p>
        </w:tc>
      </w:tr>
      <w:bookmarkEnd w:id="73"/>
    </w:tbl>
    <w:p w14:paraId="3A62385F">
      <w:pPr>
        <w:spacing w:line="240" w:lineRule="auto"/>
        <w:ind w:firstLine="420"/>
        <w:rPr>
          <w:rFonts w:cs="Times New Roman"/>
          <w:sz w:val="21"/>
          <w:szCs w:val="18"/>
        </w:rPr>
      </w:pPr>
      <w:r>
        <w:rPr>
          <w:rFonts w:hint="eastAsia" w:cs="Times New Roman"/>
          <w:sz w:val="21"/>
          <w:szCs w:val="18"/>
        </w:rPr>
        <w:t>注：</w:t>
      </w:r>
      <w:r>
        <w:rPr>
          <w:rFonts w:ascii="Cambria Math" w:hAnsi="Cambria Math" w:cs="Cambria Math"/>
          <w:bCs/>
          <w:sz w:val="21"/>
          <w:szCs w:val="18"/>
        </w:rPr>
        <w:t>①</w:t>
      </w:r>
      <w:r>
        <w:rPr>
          <w:rFonts w:hint="eastAsia" w:cs="Times New Roman"/>
          <w:sz w:val="21"/>
          <w:szCs w:val="18"/>
        </w:rPr>
        <w:t>SO</w:t>
      </w:r>
      <w:r>
        <w:rPr>
          <w:rFonts w:hint="eastAsia" w:cs="Times New Roman"/>
          <w:sz w:val="21"/>
          <w:szCs w:val="18"/>
          <w:vertAlign w:val="subscript"/>
        </w:rPr>
        <w:t>2</w:t>
      </w:r>
      <w:r>
        <w:rPr>
          <w:rFonts w:hint="eastAsia" w:cs="Times New Roman"/>
          <w:sz w:val="21"/>
          <w:szCs w:val="18"/>
        </w:rPr>
        <w:t>、</w:t>
      </w:r>
      <w:r>
        <w:rPr>
          <w:rFonts w:cs="Times New Roman"/>
          <w:sz w:val="21"/>
          <w:szCs w:val="18"/>
        </w:rPr>
        <w:t>NO</w:t>
      </w:r>
      <w:r>
        <w:rPr>
          <w:rFonts w:cs="Times New Roman"/>
          <w:sz w:val="21"/>
          <w:szCs w:val="18"/>
          <w:vertAlign w:val="subscript"/>
        </w:rPr>
        <w:t>2</w:t>
      </w:r>
      <w:r>
        <w:rPr>
          <w:rFonts w:cs="Times New Roman"/>
          <w:sz w:val="21"/>
          <w:szCs w:val="18"/>
        </w:rPr>
        <w:t>24小时平均第98百分位数达标；</w:t>
      </w:r>
      <w:r>
        <w:rPr>
          <w:rFonts w:ascii="Cambria Math" w:hAnsi="Cambria Math" w:cs="Cambria Math"/>
          <w:bCs/>
          <w:kern w:val="0"/>
          <w:sz w:val="21"/>
          <w:szCs w:val="18"/>
        </w:rPr>
        <w:t>②</w:t>
      </w:r>
      <w:r>
        <w:rPr>
          <w:rFonts w:cs="Times New Roman"/>
          <w:sz w:val="21"/>
          <w:szCs w:val="18"/>
        </w:rPr>
        <w:t>PM</w:t>
      </w:r>
      <w:r>
        <w:rPr>
          <w:rFonts w:cs="Times New Roman"/>
          <w:sz w:val="21"/>
          <w:szCs w:val="18"/>
          <w:vertAlign w:val="subscript"/>
        </w:rPr>
        <w:t>10</w:t>
      </w:r>
      <w:r>
        <w:rPr>
          <w:rFonts w:cs="Times New Roman"/>
          <w:sz w:val="21"/>
          <w:szCs w:val="18"/>
        </w:rPr>
        <w:t>24小时平均第95百分位数达标；</w:t>
      </w:r>
      <w:r>
        <w:rPr>
          <w:rFonts w:ascii="Cambria Math" w:hAnsi="Cambria Math" w:cs="Cambria Math"/>
          <w:bCs/>
          <w:kern w:val="0"/>
          <w:sz w:val="21"/>
          <w:szCs w:val="18"/>
        </w:rPr>
        <w:t>③</w:t>
      </w:r>
      <w:r>
        <w:rPr>
          <w:rFonts w:cs="Times New Roman"/>
          <w:sz w:val="21"/>
          <w:szCs w:val="18"/>
        </w:rPr>
        <w:t>PM</w:t>
      </w:r>
      <w:r>
        <w:rPr>
          <w:rFonts w:cs="Times New Roman"/>
          <w:sz w:val="21"/>
          <w:szCs w:val="18"/>
          <w:vertAlign w:val="subscript"/>
        </w:rPr>
        <w:t>2.5</w:t>
      </w:r>
      <w:r>
        <w:rPr>
          <w:rFonts w:cs="Times New Roman"/>
          <w:sz w:val="21"/>
          <w:szCs w:val="18"/>
        </w:rPr>
        <w:t>24小时平均第95百分位数超标。</w:t>
      </w:r>
    </w:p>
    <w:p w14:paraId="65195865">
      <w:pPr>
        <w:ind w:firstLine="480"/>
        <w:rPr>
          <w:rFonts w:cs="Times New Roman"/>
          <w:szCs w:val="28"/>
        </w:rPr>
      </w:pPr>
      <w:r>
        <w:rPr>
          <w:rFonts w:hint="eastAsia" w:cs="Times New Roman"/>
          <w:szCs w:val="28"/>
        </w:rPr>
        <w:t>根据《</w:t>
      </w:r>
      <w:r>
        <w:rPr>
          <w:rFonts w:cs="Times New Roman"/>
          <w:szCs w:val="28"/>
        </w:rPr>
        <w:t>202</w:t>
      </w:r>
      <w:r>
        <w:rPr>
          <w:rFonts w:hint="eastAsia" w:cs="Times New Roman"/>
          <w:szCs w:val="28"/>
        </w:rPr>
        <w:t>4年常州市生态环境状况公报》，茅山旅游度假区所在常州市属不达标区，</w:t>
      </w:r>
      <w:r>
        <w:rPr>
          <w:rFonts w:cs="Times New Roman"/>
          <w:szCs w:val="28"/>
        </w:rPr>
        <w:t>SO</w:t>
      </w:r>
      <w:r>
        <w:rPr>
          <w:rFonts w:cs="Times New Roman"/>
          <w:szCs w:val="28"/>
          <w:vertAlign w:val="subscript"/>
        </w:rPr>
        <w:t>2</w:t>
      </w:r>
      <w:r>
        <w:rPr>
          <w:rFonts w:hint="eastAsia" w:cs="Times New Roman"/>
          <w:szCs w:val="28"/>
        </w:rPr>
        <w:t>浓度年均值、日均值第</w:t>
      </w:r>
      <w:r>
        <w:rPr>
          <w:rFonts w:cs="Times New Roman"/>
          <w:szCs w:val="28"/>
        </w:rPr>
        <w:t>98</w:t>
      </w:r>
      <w:r>
        <w:rPr>
          <w:rFonts w:hint="eastAsia" w:cs="Times New Roman"/>
          <w:szCs w:val="28"/>
        </w:rPr>
        <w:t>百分位数，</w:t>
      </w:r>
      <w:r>
        <w:rPr>
          <w:rFonts w:cs="Times New Roman"/>
          <w:szCs w:val="28"/>
        </w:rPr>
        <w:t>NO</w:t>
      </w:r>
      <w:r>
        <w:rPr>
          <w:rFonts w:cs="Times New Roman"/>
          <w:szCs w:val="28"/>
          <w:vertAlign w:val="subscript"/>
        </w:rPr>
        <w:t>2</w:t>
      </w:r>
      <w:r>
        <w:rPr>
          <w:rFonts w:hint="eastAsia" w:cs="Times New Roman"/>
          <w:szCs w:val="28"/>
        </w:rPr>
        <w:t>浓度年均值、日均值第</w:t>
      </w:r>
      <w:r>
        <w:rPr>
          <w:rFonts w:cs="Times New Roman"/>
          <w:szCs w:val="28"/>
        </w:rPr>
        <w:t>98</w:t>
      </w:r>
      <w:r>
        <w:rPr>
          <w:rFonts w:hint="eastAsia" w:cs="Times New Roman"/>
          <w:szCs w:val="28"/>
        </w:rPr>
        <w:t>百分位数、</w:t>
      </w:r>
      <w:r>
        <w:rPr>
          <w:rFonts w:cs="Times New Roman"/>
          <w:szCs w:val="28"/>
        </w:rPr>
        <w:t>PM</w:t>
      </w:r>
      <w:r>
        <w:rPr>
          <w:rFonts w:cs="Times New Roman"/>
          <w:szCs w:val="28"/>
          <w:vertAlign w:val="subscript"/>
        </w:rPr>
        <w:t>10</w:t>
      </w:r>
      <w:r>
        <w:rPr>
          <w:rFonts w:hint="eastAsia" w:cs="Times New Roman"/>
          <w:szCs w:val="28"/>
        </w:rPr>
        <w:t>浓度年均值、日均值第</w:t>
      </w:r>
      <w:r>
        <w:rPr>
          <w:rFonts w:cs="Times New Roman"/>
          <w:szCs w:val="28"/>
        </w:rPr>
        <w:t>95</w:t>
      </w:r>
      <w:r>
        <w:rPr>
          <w:rFonts w:hint="eastAsia" w:cs="Times New Roman"/>
          <w:szCs w:val="28"/>
        </w:rPr>
        <w:t>百分位数、</w:t>
      </w:r>
      <w:r>
        <w:rPr>
          <w:rFonts w:cs="Times New Roman"/>
          <w:szCs w:val="28"/>
        </w:rPr>
        <w:t>PM</w:t>
      </w:r>
      <w:r>
        <w:rPr>
          <w:rFonts w:cs="Times New Roman"/>
          <w:szCs w:val="28"/>
          <w:vertAlign w:val="subscript"/>
        </w:rPr>
        <w:t>2.5</w:t>
      </w:r>
      <w:r>
        <w:rPr>
          <w:rFonts w:hint="eastAsia" w:cs="Times New Roman"/>
          <w:szCs w:val="28"/>
        </w:rPr>
        <w:t>浓度年均值、</w:t>
      </w:r>
      <w:r>
        <w:rPr>
          <w:rFonts w:cs="Times New Roman"/>
          <w:szCs w:val="28"/>
        </w:rPr>
        <w:t>CO</w:t>
      </w:r>
      <w:r>
        <w:rPr>
          <w:rFonts w:hint="eastAsia" w:cs="Times New Roman"/>
          <w:szCs w:val="28"/>
        </w:rPr>
        <w:t>日均值第</w:t>
      </w:r>
      <w:r>
        <w:rPr>
          <w:rFonts w:cs="Times New Roman"/>
          <w:szCs w:val="28"/>
        </w:rPr>
        <w:t>95</w:t>
      </w:r>
      <w:r>
        <w:rPr>
          <w:rFonts w:hint="eastAsia" w:cs="Times New Roman"/>
          <w:szCs w:val="28"/>
        </w:rPr>
        <w:t>百分位数均满足《环境空气质量标准》（</w:t>
      </w:r>
      <w:r>
        <w:rPr>
          <w:rFonts w:cs="Times New Roman"/>
          <w:szCs w:val="28"/>
        </w:rPr>
        <w:t>GB3095-2012</w:t>
      </w:r>
      <w:r>
        <w:rPr>
          <w:rFonts w:hint="eastAsia" w:cs="Times New Roman"/>
          <w:szCs w:val="28"/>
        </w:rPr>
        <w:t>）二级标准；</w:t>
      </w:r>
      <w:r>
        <w:rPr>
          <w:rFonts w:cs="Times New Roman"/>
          <w:szCs w:val="28"/>
        </w:rPr>
        <w:t>PM</w:t>
      </w:r>
      <w:r>
        <w:rPr>
          <w:rFonts w:cs="Times New Roman"/>
          <w:szCs w:val="28"/>
          <w:vertAlign w:val="subscript"/>
        </w:rPr>
        <w:t>2.5</w:t>
      </w:r>
      <w:r>
        <w:rPr>
          <w:rFonts w:hint="eastAsia" w:cs="Times New Roman"/>
          <w:szCs w:val="28"/>
        </w:rPr>
        <w:t>日均值第</w:t>
      </w:r>
      <w:r>
        <w:rPr>
          <w:rFonts w:cs="Times New Roman"/>
          <w:szCs w:val="28"/>
        </w:rPr>
        <w:t>95</w:t>
      </w:r>
      <w:r>
        <w:rPr>
          <w:rFonts w:hint="eastAsia" w:cs="Times New Roman"/>
          <w:szCs w:val="28"/>
        </w:rPr>
        <w:t>百分位数、</w:t>
      </w:r>
      <w:r>
        <w:rPr>
          <w:rFonts w:cs="Times New Roman"/>
          <w:szCs w:val="28"/>
        </w:rPr>
        <w:t>O</w:t>
      </w:r>
      <w:r>
        <w:rPr>
          <w:rFonts w:cs="Times New Roman"/>
          <w:szCs w:val="28"/>
          <w:vertAlign w:val="subscript"/>
        </w:rPr>
        <w:t>3</w:t>
      </w:r>
      <w:r>
        <w:rPr>
          <w:rFonts w:hint="eastAsia" w:cs="Times New Roman"/>
          <w:szCs w:val="28"/>
        </w:rPr>
        <w:t>浓度日最大</w:t>
      </w:r>
      <w:r>
        <w:rPr>
          <w:rFonts w:cs="Times New Roman"/>
          <w:szCs w:val="28"/>
        </w:rPr>
        <w:t>8</w:t>
      </w:r>
      <w:r>
        <w:rPr>
          <w:rFonts w:hint="eastAsia" w:cs="Times New Roman"/>
          <w:szCs w:val="28"/>
        </w:rPr>
        <w:t>小时滑动平均值第</w:t>
      </w:r>
      <w:r>
        <w:rPr>
          <w:rFonts w:cs="Times New Roman"/>
          <w:szCs w:val="28"/>
        </w:rPr>
        <w:t>90</w:t>
      </w:r>
      <w:r>
        <w:rPr>
          <w:rFonts w:hint="eastAsia" w:cs="Times New Roman"/>
          <w:szCs w:val="28"/>
        </w:rPr>
        <w:t>百分位数均超出二级标准要求，区域重点大气污染物为</w:t>
      </w:r>
      <w:r>
        <w:rPr>
          <w:rFonts w:cs="Times New Roman"/>
          <w:szCs w:val="28"/>
        </w:rPr>
        <w:t>PM</w:t>
      </w:r>
      <w:r>
        <w:rPr>
          <w:rFonts w:cs="Times New Roman"/>
          <w:szCs w:val="28"/>
          <w:vertAlign w:val="subscript"/>
        </w:rPr>
        <w:t>2.5</w:t>
      </w:r>
      <w:r>
        <w:rPr>
          <w:rFonts w:hint="eastAsia" w:cs="Times New Roman"/>
          <w:szCs w:val="28"/>
        </w:rPr>
        <w:t>和</w:t>
      </w:r>
      <w:r>
        <w:rPr>
          <w:rFonts w:cs="Times New Roman"/>
          <w:szCs w:val="28"/>
        </w:rPr>
        <w:t>O</w:t>
      </w:r>
      <w:r>
        <w:rPr>
          <w:rFonts w:cs="Times New Roman"/>
          <w:szCs w:val="28"/>
          <w:vertAlign w:val="subscript"/>
        </w:rPr>
        <w:t>3</w:t>
      </w:r>
      <w:r>
        <w:rPr>
          <w:rFonts w:hint="eastAsia" w:cs="Times New Roman"/>
          <w:szCs w:val="28"/>
        </w:rPr>
        <w:t>。</w:t>
      </w:r>
    </w:p>
    <w:p w14:paraId="18610A43">
      <w:pPr>
        <w:ind w:firstLine="480"/>
        <w:rPr>
          <w:rFonts w:cs="Times New Roman"/>
          <w:szCs w:val="28"/>
        </w:rPr>
      </w:pPr>
      <w:r>
        <w:rPr>
          <w:rFonts w:hint="eastAsia" w:cs="Times New Roman"/>
          <w:szCs w:val="28"/>
        </w:rPr>
        <w:t>具体判定结果见表</w:t>
      </w:r>
      <w:r>
        <w:rPr>
          <w:rFonts w:cs="Times New Roman"/>
          <w:szCs w:val="28"/>
        </w:rPr>
        <w:t>3.</w:t>
      </w:r>
      <w:r>
        <w:rPr>
          <w:rFonts w:hint="eastAsia" w:cs="Times New Roman"/>
          <w:szCs w:val="28"/>
        </w:rPr>
        <w:t>5.1</w:t>
      </w:r>
      <w:r>
        <w:rPr>
          <w:rFonts w:cs="Times New Roman"/>
          <w:szCs w:val="28"/>
        </w:rPr>
        <w:t>-</w:t>
      </w:r>
      <w:r>
        <w:rPr>
          <w:rFonts w:hint="eastAsia" w:cs="Times New Roman"/>
          <w:szCs w:val="28"/>
        </w:rPr>
        <w:t>2。</w:t>
      </w:r>
    </w:p>
    <w:p w14:paraId="5DD37192">
      <w:pPr>
        <w:pStyle w:val="45"/>
        <w:spacing w:line="240" w:lineRule="auto"/>
        <w:rPr>
          <w:rFonts w:cs="Times New Roman"/>
        </w:rPr>
      </w:pPr>
      <w:r>
        <w:rPr>
          <w:rFonts w:hint="eastAsia" w:cs="Times New Roman"/>
        </w:rPr>
        <w:t>表3.5.1-2  2024年常州市空气环境现状评价表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46"/>
        <w:gridCol w:w="2498"/>
        <w:gridCol w:w="1046"/>
        <w:gridCol w:w="1116"/>
        <w:gridCol w:w="849"/>
        <w:gridCol w:w="1074"/>
        <w:gridCol w:w="864"/>
      </w:tblGrid>
      <w:tr w14:paraId="679B8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846" w:type="dxa"/>
            <w:vAlign w:val="center"/>
          </w:tcPr>
          <w:p w14:paraId="13B8E7F3">
            <w:pPr>
              <w:adjustRightInd w:val="0"/>
              <w:snapToGrid w:val="0"/>
              <w:spacing w:line="240" w:lineRule="auto"/>
              <w:ind w:firstLine="0" w:firstLineChars="0"/>
              <w:jc w:val="center"/>
              <w:rPr>
                <w:rFonts w:cs="Times New Roman"/>
                <w:b/>
                <w:kern w:val="0"/>
                <w:sz w:val="21"/>
                <w:szCs w:val="21"/>
              </w:rPr>
            </w:pPr>
            <w:r>
              <w:rPr>
                <w:rFonts w:hint="eastAsia" w:cs="Times New Roman"/>
                <w:b/>
                <w:kern w:val="0"/>
                <w:sz w:val="21"/>
                <w:szCs w:val="21"/>
              </w:rPr>
              <w:t>污染物</w:t>
            </w:r>
          </w:p>
        </w:tc>
        <w:tc>
          <w:tcPr>
            <w:tcW w:w="2498" w:type="dxa"/>
            <w:vAlign w:val="center"/>
          </w:tcPr>
          <w:p w14:paraId="37A71D0F">
            <w:pPr>
              <w:adjustRightInd w:val="0"/>
              <w:snapToGrid w:val="0"/>
              <w:spacing w:line="240" w:lineRule="auto"/>
              <w:ind w:firstLine="0" w:firstLineChars="0"/>
              <w:jc w:val="center"/>
              <w:rPr>
                <w:rFonts w:cs="Times New Roman"/>
                <w:b/>
                <w:kern w:val="0"/>
                <w:sz w:val="21"/>
                <w:szCs w:val="21"/>
              </w:rPr>
            </w:pPr>
            <w:r>
              <w:rPr>
                <w:rFonts w:hint="eastAsia" w:cs="Times New Roman"/>
                <w:b/>
                <w:kern w:val="0"/>
                <w:sz w:val="21"/>
                <w:szCs w:val="21"/>
              </w:rPr>
              <w:t>年评价指标</w:t>
            </w:r>
          </w:p>
        </w:tc>
        <w:tc>
          <w:tcPr>
            <w:tcW w:w="1046" w:type="dxa"/>
            <w:vAlign w:val="center"/>
          </w:tcPr>
          <w:p w14:paraId="2112A2BD">
            <w:pPr>
              <w:adjustRightInd w:val="0"/>
              <w:snapToGrid w:val="0"/>
              <w:spacing w:line="240" w:lineRule="auto"/>
              <w:ind w:firstLine="0" w:firstLineChars="0"/>
              <w:jc w:val="center"/>
              <w:rPr>
                <w:rFonts w:cs="Times New Roman"/>
                <w:b/>
                <w:kern w:val="0"/>
                <w:sz w:val="21"/>
                <w:szCs w:val="21"/>
              </w:rPr>
            </w:pPr>
            <w:r>
              <w:rPr>
                <w:rFonts w:hint="eastAsia" w:cs="Times New Roman"/>
                <w:b/>
                <w:kern w:val="0"/>
                <w:sz w:val="21"/>
                <w:szCs w:val="21"/>
              </w:rPr>
              <w:t>现状浓度（μg/m</w:t>
            </w:r>
            <w:r>
              <w:rPr>
                <w:rFonts w:hint="eastAsia" w:cs="Times New Roman"/>
                <w:b/>
                <w:kern w:val="0"/>
                <w:sz w:val="21"/>
                <w:szCs w:val="21"/>
                <w:vertAlign w:val="superscript"/>
              </w:rPr>
              <w:t>3</w:t>
            </w:r>
            <w:r>
              <w:rPr>
                <w:rFonts w:hint="eastAsia" w:cs="Times New Roman"/>
                <w:b/>
                <w:kern w:val="0"/>
                <w:sz w:val="21"/>
                <w:szCs w:val="21"/>
              </w:rPr>
              <w:t>）</w:t>
            </w:r>
          </w:p>
        </w:tc>
        <w:tc>
          <w:tcPr>
            <w:tcW w:w="1116" w:type="dxa"/>
            <w:vAlign w:val="center"/>
          </w:tcPr>
          <w:p w14:paraId="62FA01C7">
            <w:pPr>
              <w:adjustRightInd w:val="0"/>
              <w:snapToGrid w:val="0"/>
              <w:spacing w:line="240" w:lineRule="auto"/>
              <w:ind w:firstLine="0" w:firstLineChars="0"/>
              <w:jc w:val="center"/>
              <w:rPr>
                <w:rFonts w:cs="Times New Roman"/>
                <w:b/>
                <w:kern w:val="0"/>
                <w:sz w:val="21"/>
                <w:szCs w:val="21"/>
              </w:rPr>
            </w:pPr>
            <w:r>
              <w:rPr>
                <w:rFonts w:hint="eastAsia" w:cs="Times New Roman"/>
                <w:b/>
                <w:kern w:val="0"/>
                <w:sz w:val="21"/>
                <w:szCs w:val="21"/>
              </w:rPr>
              <w:t>标准值</w:t>
            </w:r>
          </w:p>
          <w:p w14:paraId="2C231652">
            <w:pPr>
              <w:adjustRightInd w:val="0"/>
              <w:snapToGrid w:val="0"/>
              <w:spacing w:line="240" w:lineRule="auto"/>
              <w:ind w:firstLine="0" w:firstLineChars="0"/>
              <w:jc w:val="center"/>
              <w:rPr>
                <w:rFonts w:cs="Times New Roman"/>
                <w:b/>
                <w:kern w:val="0"/>
                <w:sz w:val="21"/>
                <w:szCs w:val="21"/>
              </w:rPr>
            </w:pPr>
            <w:r>
              <w:rPr>
                <w:rFonts w:hint="eastAsia" w:cs="Times New Roman"/>
                <w:b/>
                <w:kern w:val="0"/>
                <w:sz w:val="21"/>
                <w:szCs w:val="21"/>
              </w:rPr>
              <w:t>（μg/m</w:t>
            </w:r>
            <w:r>
              <w:rPr>
                <w:rFonts w:hint="eastAsia" w:cs="Times New Roman"/>
                <w:b/>
                <w:kern w:val="0"/>
                <w:sz w:val="21"/>
                <w:szCs w:val="21"/>
                <w:vertAlign w:val="superscript"/>
              </w:rPr>
              <w:t>3</w:t>
            </w:r>
            <w:r>
              <w:rPr>
                <w:rFonts w:hint="eastAsia" w:cs="Times New Roman"/>
                <w:b/>
                <w:kern w:val="0"/>
                <w:sz w:val="21"/>
                <w:szCs w:val="21"/>
              </w:rPr>
              <w:t>）</w:t>
            </w:r>
          </w:p>
        </w:tc>
        <w:tc>
          <w:tcPr>
            <w:tcW w:w="849" w:type="dxa"/>
            <w:vAlign w:val="center"/>
          </w:tcPr>
          <w:p w14:paraId="591C1843">
            <w:pPr>
              <w:adjustRightInd w:val="0"/>
              <w:snapToGrid w:val="0"/>
              <w:spacing w:line="240" w:lineRule="auto"/>
              <w:ind w:firstLine="0" w:firstLineChars="0"/>
              <w:jc w:val="center"/>
              <w:rPr>
                <w:rFonts w:cs="Times New Roman"/>
                <w:b/>
                <w:kern w:val="0"/>
                <w:sz w:val="21"/>
                <w:szCs w:val="21"/>
              </w:rPr>
            </w:pPr>
            <w:r>
              <w:rPr>
                <w:rFonts w:hint="eastAsia" w:cs="Times New Roman"/>
                <w:b/>
                <w:kern w:val="0"/>
                <w:sz w:val="21"/>
                <w:szCs w:val="21"/>
              </w:rPr>
              <w:t>占标率</w:t>
            </w:r>
          </w:p>
          <w:p w14:paraId="25DB9F54">
            <w:pPr>
              <w:adjustRightInd w:val="0"/>
              <w:snapToGrid w:val="0"/>
              <w:spacing w:line="240" w:lineRule="auto"/>
              <w:ind w:firstLine="0" w:firstLineChars="0"/>
              <w:jc w:val="center"/>
              <w:rPr>
                <w:rFonts w:cs="Times New Roman"/>
                <w:b/>
                <w:kern w:val="0"/>
                <w:sz w:val="21"/>
                <w:szCs w:val="21"/>
              </w:rPr>
            </w:pPr>
            <w:r>
              <w:rPr>
                <w:rFonts w:hint="eastAsia" w:cs="Times New Roman"/>
                <w:b/>
                <w:kern w:val="0"/>
                <w:sz w:val="21"/>
                <w:szCs w:val="21"/>
              </w:rPr>
              <w:t>（%）</w:t>
            </w:r>
          </w:p>
        </w:tc>
        <w:tc>
          <w:tcPr>
            <w:tcW w:w="1074" w:type="dxa"/>
            <w:vAlign w:val="center"/>
          </w:tcPr>
          <w:p w14:paraId="757C1CF3">
            <w:pPr>
              <w:adjustRightInd w:val="0"/>
              <w:snapToGrid w:val="0"/>
              <w:spacing w:line="240" w:lineRule="auto"/>
              <w:ind w:firstLine="0" w:firstLineChars="0"/>
              <w:jc w:val="center"/>
              <w:rPr>
                <w:rFonts w:cs="Times New Roman"/>
                <w:b/>
                <w:kern w:val="0"/>
                <w:sz w:val="21"/>
                <w:szCs w:val="21"/>
              </w:rPr>
            </w:pPr>
            <w:r>
              <w:rPr>
                <w:rFonts w:hint="eastAsia" w:cs="Times New Roman"/>
                <w:b/>
                <w:kern w:val="0"/>
                <w:sz w:val="21"/>
                <w:szCs w:val="21"/>
              </w:rPr>
              <w:t>达标率</w:t>
            </w:r>
          </w:p>
          <w:p w14:paraId="356F8266">
            <w:pPr>
              <w:adjustRightInd w:val="0"/>
              <w:snapToGrid w:val="0"/>
              <w:spacing w:line="240" w:lineRule="auto"/>
              <w:ind w:firstLine="0" w:firstLineChars="0"/>
              <w:jc w:val="center"/>
              <w:rPr>
                <w:rFonts w:cs="Times New Roman"/>
                <w:b/>
                <w:kern w:val="0"/>
                <w:sz w:val="21"/>
                <w:szCs w:val="21"/>
              </w:rPr>
            </w:pPr>
            <w:r>
              <w:rPr>
                <w:rFonts w:hint="eastAsia" w:cs="Times New Roman"/>
                <w:b/>
                <w:kern w:val="0"/>
                <w:sz w:val="21"/>
                <w:szCs w:val="21"/>
              </w:rPr>
              <w:t>（%）</w:t>
            </w:r>
          </w:p>
        </w:tc>
        <w:tc>
          <w:tcPr>
            <w:tcW w:w="864" w:type="dxa"/>
            <w:vAlign w:val="center"/>
          </w:tcPr>
          <w:p w14:paraId="11EA6118">
            <w:pPr>
              <w:adjustRightInd w:val="0"/>
              <w:snapToGrid w:val="0"/>
              <w:spacing w:line="240" w:lineRule="auto"/>
              <w:ind w:firstLine="0" w:firstLineChars="0"/>
              <w:jc w:val="center"/>
              <w:rPr>
                <w:rFonts w:cs="Times New Roman"/>
                <w:b/>
                <w:kern w:val="0"/>
                <w:sz w:val="21"/>
                <w:szCs w:val="21"/>
              </w:rPr>
            </w:pPr>
            <w:r>
              <w:rPr>
                <w:rFonts w:hint="eastAsia" w:cs="Times New Roman"/>
                <w:b/>
                <w:kern w:val="0"/>
                <w:sz w:val="21"/>
                <w:szCs w:val="21"/>
              </w:rPr>
              <w:t>达标情况</w:t>
            </w:r>
          </w:p>
        </w:tc>
      </w:tr>
      <w:tr w14:paraId="13617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6" w:type="dxa"/>
            <w:vMerge w:val="restart"/>
            <w:vAlign w:val="center"/>
          </w:tcPr>
          <w:p w14:paraId="54AEB78D">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SO</w:t>
            </w:r>
            <w:r>
              <w:rPr>
                <w:rFonts w:hint="eastAsia" w:cs="Times New Roman"/>
                <w:bCs/>
                <w:kern w:val="0"/>
                <w:sz w:val="21"/>
                <w:szCs w:val="21"/>
                <w:vertAlign w:val="subscript"/>
              </w:rPr>
              <w:t>2</w:t>
            </w:r>
          </w:p>
        </w:tc>
        <w:tc>
          <w:tcPr>
            <w:tcW w:w="2498" w:type="dxa"/>
            <w:vAlign w:val="center"/>
          </w:tcPr>
          <w:p w14:paraId="4DC47F6D">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年平均质量浓度</w:t>
            </w:r>
          </w:p>
        </w:tc>
        <w:tc>
          <w:tcPr>
            <w:tcW w:w="1046" w:type="dxa"/>
            <w:vAlign w:val="center"/>
          </w:tcPr>
          <w:p w14:paraId="06596553">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8</w:t>
            </w:r>
          </w:p>
        </w:tc>
        <w:tc>
          <w:tcPr>
            <w:tcW w:w="1116" w:type="dxa"/>
            <w:vAlign w:val="center"/>
          </w:tcPr>
          <w:p w14:paraId="2E90C3C5">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60</w:t>
            </w:r>
          </w:p>
        </w:tc>
        <w:tc>
          <w:tcPr>
            <w:tcW w:w="849" w:type="dxa"/>
            <w:vAlign w:val="center"/>
          </w:tcPr>
          <w:p w14:paraId="02B33343">
            <w:pPr>
              <w:spacing w:line="240" w:lineRule="auto"/>
              <w:ind w:firstLine="0" w:firstLineChars="0"/>
              <w:jc w:val="center"/>
              <w:rPr>
                <w:rFonts w:cs="Times New Roman"/>
                <w:bCs/>
                <w:sz w:val="21"/>
                <w:szCs w:val="21"/>
              </w:rPr>
            </w:pPr>
            <w:r>
              <w:rPr>
                <w:rFonts w:hint="eastAsia" w:cs="Times New Roman"/>
                <w:bCs/>
                <w:sz w:val="21"/>
                <w:szCs w:val="21"/>
              </w:rPr>
              <w:t>13.3</w:t>
            </w:r>
          </w:p>
        </w:tc>
        <w:tc>
          <w:tcPr>
            <w:tcW w:w="1074" w:type="dxa"/>
            <w:vAlign w:val="center"/>
          </w:tcPr>
          <w:p w14:paraId="2FC24AE3">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w:t>
            </w:r>
          </w:p>
        </w:tc>
        <w:tc>
          <w:tcPr>
            <w:tcW w:w="864" w:type="dxa"/>
            <w:vAlign w:val="center"/>
          </w:tcPr>
          <w:p w14:paraId="4BBFAD20">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达标</w:t>
            </w:r>
          </w:p>
        </w:tc>
      </w:tr>
      <w:tr w14:paraId="3FAEF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46" w:type="dxa"/>
            <w:vMerge w:val="continue"/>
            <w:vAlign w:val="center"/>
          </w:tcPr>
          <w:p w14:paraId="1D96B468">
            <w:pPr>
              <w:adjustRightInd w:val="0"/>
              <w:snapToGrid w:val="0"/>
              <w:spacing w:line="240" w:lineRule="auto"/>
              <w:ind w:firstLine="0" w:firstLineChars="0"/>
              <w:jc w:val="center"/>
              <w:rPr>
                <w:rFonts w:cs="Times New Roman"/>
                <w:bCs/>
                <w:kern w:val="0"/>
                <w:sz w:val="21"/>
                <w:szCs w:val="21"/>
              </w:rPr>
            </w:pPr>
          </w:p>
        </w:tc>
        <w:tc>
          <w:tcPr>
            <w:tcW w:w="2498" w:type="dxa"/>
            <w:vAlign w:val="center"/>
          </w:tcPr>
          <w:p w14:paraId="3993B5A6">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24小时平均质量浓度</w:t>
            </w:r>
          </w:p>
        </w:tc>
        <w:tc>
          <w:tcPr>
            <w:tcW w:w="1046" w:type="dxa"/>
            <w:vAlign w:val="center"/>
          </w:tcPr>
          <w:p w14:paraId="72AC8029">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5~15</w:t>
            </w:r>
          </w:p>
        </w:tc>
        <w:tc>
          <w:tcPr>
            <w:tcW w:w="1116" w:type="dxa"/>
            <w:vAlign w:val="center"/>
          </w:tcPr>
          <w:p w14:paraId="5EBDA372">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150</w:t>
            </w:r>
          </w:p>
        </w:tc>
        <w:tc>
          <w:tcPr>
            <w:tcW w:w="849" w:type="dxa"/>
            <w:vAlign w:val="center"/>
          </w:tcPr>
          <w:p w14:paraId="2C3444AD">
            <w:pPr>
              <w:spacing w:line="240" w:lineRule="auto"/>
              <w:ind w:firstLine="0" w:firstLineChars="0"/>
              <w:jc w:val="center"/>
              <w:rPr>
                <w:rFonts w:cs="Times New Roman"/>
                <w:bCs/>
                <w:sz w:val="21"/>
                <w:szCs w:val="21"/>
              </w:rPr>
            </w:pPr>
            <w:r>
              <w:rPr>
                <w:rFonts w:hint="eastAsia" w:cs="Times New Roman"/>
                <w:bCs/>
                <w:sz w:val="21"/>
                <w:szCs w:val="21"/>
              </w:rPr>
              <w:t>/</w:t>
            </w:r>
          </w:p>
        </w:tc>
        <w:tc>
          <w:tcPr>
            <w:tcW w:w="1074" w:type="dxa"/>
            <w:vAlign w:val="center"/>
          </w:tcPr>
          <w:p w14:paraId="6C3B68C7">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100</w:t>
            </w:r>
          </w:p>
        </w:tc>
        <w:tc>
          <w:tcPr>
            <w:tcW w:w="864" w:type="dxa"/>
            <w:vAlign w:val="center"/>
          </w:tcPr>
          <w:p w14:paraId="3E2F8285">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达标</w:t>
            </w:r>
            <w:r>
              <w:rPr>
                <w:rFonts w:hint="eastAsia" w:ascii="Cambria Math" w:hAnsi="Cambria Math" w:cs="Cambria Math"/>
                <w:bCs/>
                <w:kern w:val="0"/>
                <w:sz w:val="21"/>
                <w:szCs w:val="21"/>
                <w:vertAlign w:val="superscript"/>
              </w:rPr>
              <w:t>①</w:t>
            </w:r>
          </w:p>
        </w:tc>
      </w:tr>
      <w:tr w14:paraId="5E6A7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46" w:type="dxa"/>
            <w:vMerge w:val="restart"/>
            <w:vAlign w:val="center"/>
          </w:tcPr>
          <w:p w14:paraId="36042073">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NO</w:t>
            </w:r>
            <w:r>
              <w:rPr>
                <w:rFonts w:hint="eastAsia" w:cs="Times New Roman"/>
                <w:bCs/>
                <w:kern w:val="0"/>
                <w:sz w:val="21"/>
                <w:szCs w:val="21"/>
                <w:vertAlign w:val="subscript"/>
              </w:rPr>
              <w:t>2</w:t>
            </w:r>
          </w:p>
        </w:tc>
        <w:tc>
          <w:tcPr>
            <w:tcW w:w="2498" w:type="dxa"/>
            <w:vAlign w:val="center"/>
          </w:tcPr>
          <w:p w14:paraId="575DA116">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年平均质量浓度</w:t>
            </w:r>
          </w:p>
        </w:tc>
        <w:tc>
          <w:tcPr>
            <w:tcW w:w="1046" w:type="dxa"/>
            <w:vAlign w:val="center"/>
          </w:tcPr>
          <w:p w14:paraId="3DF9A382">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26</w:t>
            </w:r>
          </w:p>
        </w:tc>
        <w:tc>
          <w:tcPr>
            <w:tcW w:w="1116" w:type="dxa"/>
            <w:vAlign w:val="center"/>
          </w:tcPr>
          <w:p w14:paraId="2D0275E3">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40</w:t>
            </w:r>
          </w:p>
        </w:tc>
        <w:tc>
          <w:tcPr>
            <w:tcW w:w="849" w:type="dxa"/>
            <w:vAlign w:val="center"/>
          </w:tcPr>
          <w:p w14:paraId="52716021">
            <w:pPr>
              <w:spacing w:line="240" w:lineRule="auto"/>
              <w:ind w:firstLine="0" w:firstLineChars="0"/>
              <w:jc w:val="center"/>
              <w:rPr>
                <w:rFonts w:cs="Times New Roman"/>
                <w:bCs/>
                <w:sz w:val="21"/>
                <w:szCs w:val="21"/>
              </w:rPr>
            </w:pPr>
            <w:r>
              <w:rPr>
                <w:rFonts w:hint="eastAsia" w:cs="Times New Roman"/>
                <w:bCs/>
                <w:sz w:val="21"/>
                <w:szCs w:val="21"/>
              </w:rPr>
              <w:t>65</w:t>
            </w:r>
          </w:p>
        </w:tc>
        <w:tc>
          <w:tcPr>
            <w:tcW w:w="1074" w:type="dxa"/>
            <w:vAlign w:val="center"/>
          </w:tcPr>
          <w:p w14:paraId="6281A395">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w:t>
            </w:r>
          </w:p>
        </w:tc>
        <w:tc>
          <w:tcPr>
            <w:tcW w:w="864" w:type="dxa"/>
            <w:vAlign w:val="center"/>
          </w:tcPr>
          <w:p w14:paraId="226D83EA">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达标</w:t>
            </w:r>
          </w:p>
        </w:tc>
      </w:tr>
      <w:tr w14:paraId="70499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46" w:type="dxa"/>
            <w:vMerge w:val="continue"/>
            <w:vAlign w:val="center"/>
          </w:tcPr>
          <w:p w14:paraId="35E4C070">
            <w:pPr>
              <w:adjustRightInd w:val="0"/>
              <w:snapToGrid w:val="0"/>
              <w:spacing w:line="240" w:lineRule="auto"/>
              <w:ind w:firstLine="0" w:firstLineChars="0"/>
              <w:jc w:val="center"/>
              <w:rPr>
                <w:rFonts w:cs="Times New Roman"/>
                <w:bCs/>
                <w:kern w:val="0"/>
                <w:sz w:val="21"/>
                <w:szCs w:val="21"/>
              </w:rPr>
            </w:pPr>
          </w:p>
        </w:tc>
        <w:tc>
          <w:tcPr>
            <w:tcW w:w="2498" w:type="dxa"/>
            <w:vAlign w:val="center"/>
          </w:tcPr>
          <w:p w14:paraId="23B75830">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24小时平均质量浓度</w:t>
            </w:r>
          </w:p>
        </w:tc>
        <w:tc>
          <w:tcPr>
            <w:tcW w:w="1046" w:type="dxa"/>
            <w:vAlign w:val="center"/>
          </w:tcPr>
          <w:p w14:paraId="4BBEF890">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5~92</w:t>
            </w:r>
          </w:p>
        </w:tc>
        <w:tc>
          <w:tcPr>
            <w:tcW w:w="1116" w:type="dxa"/>
            <w:vAlign w:val="center"/>
          </w:tcPr>
          <w:p w14:paraId="78527EF5">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80</w:t>
            </w:r>
          </w:p>
        </w:tc>
        <w:tc>
          <w:tcPr>
            <w:tcW w:w="849" w:type="dxa"/>
            <w:vAlign w:val="center"/>
          </w:tcPr>
          <w:p w14:paraId="0FDD6442">
            <w:pPr>
              <w:spacing w:line="240" w:lineRule="auto"/>
              <w:ind w:firstLine="0" w:firstLineChars="0"/>
              <w:jc w:val="center"/>
              <w:rPr>
                <w:rFonts w:cs="Times New Roman"/>
                <w:bCs/>
                <w:sz w:val="21"/>
                <w:szCs w:val="21"/>
              </w:rPr>
            </w:pPr>
            <w:r>
              <w:rPr>
                <w:rFonts w:hint="eastAsia" w:cs="Times New Roman"/>
                <w:bCs/>
                <w:sz w:val="21"/>
                <w:szCs w:val="21"/>
              </w:rPr>
              <w:t>/</w:t>
            </w:r>
          </w:p>
        </w:tc>
        <w:tc>
          <w:tcPr>
            <w:tcW w:w="1074" w:type="dxa"/>
            <w:vAlign w:val="center"/>
          </w:tcPr>
          <w:p w14:paraId="3B5BF724">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99.2</w:t>
            </w:r>
          </w:p>
        </w:tc>
        <w:tc>
          <w:tcPr>
            <w:tcW w:w="864" w:type="dxa"/>
            <w:vAlign w:val="center"/>
          </w:tcPr>
          <w:p w14:paraId="5224FEA3">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达标</w:t>
            </w:r>
            <w:r>
              <w:rPr>
                <w:rFonts w:hint="eastAsia" w:ascii="Cambria Math" w:hAnsi="Cambria Math" w:cs="Cambria Math"/>
                <w:bCs/>
                <w:kern w:val="0"/>
                <w:sz w:val="21"/>
                <w:szCs w:val="21"/>
                <w:vertAlign w:val="superscript"/>
              </w:rPr>
              <w:t>①</w:t>
            </w:r>
          </w:p>
        </w:tc>
      </w:tr>
      <w:tr w14:paraId="0392F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46" w:type="dxa"/>
            <w:vMerge w:val="restart"/>
            <w:vAlign w:val="center"/>
          </w:tcPr>
          <w:p w14:paraId="5208547F">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PM</w:t>
            </w:r>
            <w:r>
              <w:rPr>
                <w:rFonts w:hint="eastAsia" w:cs="Times New Roman"/>
                <w:bCs/>
                <w:kern w:val="0"/>
                <w:sz w:val="21"/>
                <w:szCs w:val="21"/>
                <w:vertAlign w:val="subscript"/>
              </w:rPr>
              <w:t>10</w:t>
            </w:r>
          </w:p>
        </w:tc>
        <w:tc>
          <w:tcPr>
            <w:tcW w:w="2498" w:type="dxa"/>
            <w:vAlign w:val="center"/>
          </w:tcPr>
          <w:p w14:paraId="249E71F7">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年平均质量浓度</w:t>
            </w:r>
          </w:p>
        </w:tc>
        <w:tc>
          <w:tcPr>
            <w:tcW w:w="1046" w:type="dxa"/>
            <w:vAlign w:val="center"/>
          </w:tcPr>
          <w:p w14:paraId="6D86E4CC">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52</w:t>
            </w:r>
          </w:p>
        </w:tc>
        <w:tc>
          <w:tcPr>
            <w:tcW w:w="1116" w:type="dxa"/>
            <w:vAlign w:val="center"/>
          </w:tcPr>
          <w:p w14:paraId="6B045EAB">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70</w:t>
            </w:r>
          </w:p>
        </w:tc>
        <w:tc>
          <w:tcPr>
            <w:tcW w:w="849" w:type="dxa"/>
            <w:vAlign w:val="center"/>
          </w:tcPr>
          <w:p w14:paraId="21B0AA01">
            <w:pPr>
              <w:spacing w:line="240" w:lineRule="auto"/>
              <w:ind w:firstLine="0" w:firstLineChars="0"/>
              <w:jc w:val="center"/>
              <w:rPr>
                <w:rFonts w:cs="Times New Roman"/>
                <w:bCs/>
                <w:sz w:val="21"/>
                <w:szCs w:val="21"/>
              </w:rPr>
            </w:pPr>
            <w:r>
              <w:rPr>
                <w:rFonts w:hint="eastAsia" w:cs="Times New Roman"/>
                <w:bCs/>
                <w:sz w:val="21"/>
                <w:szCs w:val="21"/>
              </w:rPr>
              <w:t>74.3</w:t>
            </w:r>
          </w:p>
        </w:tc>
        <w:tc>
          <w:tcPr>
            <w:tcW w:w="1074" w:type="dxa"/>
            <w:vAlign w:val="center"/>
          </w:tcPr>
          <w:p w14:paraId="1176A0CA">
            <w:pPr>
              <w:adjustRightInd w:val="0"/>
              <w:snapToGrid w:val="0"/>
              <w:spacing w:line="240" w:lineRule="auto"/>
              <w:ind w:firstLine="0" w:firstLineChars="0"/>
              <w:jc w:val="center"/>
              <w:rPr>
                <w:rFonts w:cs="Times New Roman"/>
                <w:bCs/>
                <w:kern w:val="0"/>
                <w:sz w:val="21"/>
                <w:szCs w:val="21"/>
              </w:rPr>
            </w:pPr>
            <w:r>
              <w:rPr>
                <w:rFonts w:hint="eastAsia" w:cs="Times New Roman"/>
                <w:bCs/>
                <w:sz w:val="21"/>
                <w:szCs w:val="21"/>
              </w:rPr>
              <w:t>/</w:t>
            </w:r>
          </w:p>
        </w:tc>
        <w:tc>
          <w:tcPr>
            <w:tcW w:w="864" w:type="dxa"/>
            <w:vAlign w:val="center"/>
          </w:tcPr>
          <w:p w14:paraId="0F03103F">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达标</w:t>
            </w:r>
          </w:p>
        </w:tc>
      </w:tr>
      <w:tr w14:paraId="701B3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46" w:type="dxa"/>
            <w:vMerge w:val="continue"/>
            <w:vAlign w:val="center"/>
          </w:tcPr>
          <w:p w14:paraId="371FEC2F">
            <w:pPr>
              <w:adjustRightInd w:val="0"/>
              <w:snapToGrid w:val="0"/>
              <w:spacing w:line="240" w:lineRule="auto"/>
              <w:ind w:firstLine="0" w:firstLineChars="0"/>
              <w:jc w:val="center"/>
              <w:rPr>
                <w:rFonts w:cs="Times New Roman"/>
                <w:bCs/>
                <w:kern w:val="0"/>
                <w:sz w:val="21"/>
                <w:szCs w:val="21"/>
              </w:rPr>
            </w:pPr>
          </w:p>
        </w:tc>
        <w:tc>
          <w:tcPr>
            <w:tcW w:w="2498" w:type="dxa"/>
            <w:vAlign w:val="center"/>
          </w:tcPr>
          <w:p w14:paraId="5EB49094">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24小时平均质量浓度</w:t>
            </w:r>
          </w:p>
        </w:tc>
        <w:tc>
          <w:tcPr>
            <w:tcW w:w="1046" w:type="dxa"/>
            <w:vAlign w:val="center"/>
          </w:tcPr>
          <w:p w14:paraId="501B5EDF">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9~206</w:t>
            </w:r>
          </w:p>
        </w:tc>
        <w:tc>
          <w:tcPr>
            <w:tcW w:w="1116" w:type="dxa"/>
            <w:vAlign w:val="center"/>
          </w:tcPr>
          <w:p w14:paraId="45137A70">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150</w:t>
            </w:r>
          </w:p>
        </w:tc>
        <w:tc>
          <w:tcPr>
            <w:tcW w:w="849" w:type="dxa"/>
            <w:vAlign w:val="center"/>
          </w:tcPr>
          <w:p w14:paraId="174CE3F8">
            <w:pPr>
              <w:spacing w:line="240" w:lineRule="auto"/>
              <w:ind w:firstLine="0" w:firstLineChars="0"/>
              <w:jc w:val="center"/>
              <w:rPr>
                <w:rFonts w:cs="Times New Roman"/>
                <w:bCs/>
                <w:sz w:val="21"/>
                <w:szCs w:val="21"/>
              </w:rPr>
            </w:pPr>
            <w:r>
              <w:rPr>
                <w:rFonts w:hint="eastAsia" w:cs="Times New Roman"/>
                <w:bCs/>
                <w:sz w:val="21"/>
                <w:szCs w:val="21"/>
              </w:rPr>
              <w:t>/</w:t>
            </w:r>
          </w:p>
        </w:tc>
        <w:tc>
          <w:tcPr>
            <w:tcW w:w="1074" w:type="dxa"/>
            <w:vAlign w:val="center"/>
          </w:tcPr>
          <w:p w14:paraId="7BD26D4B">
            <w:pPr>
              <w:adjustRightInd w:val="0"/>
              <w:snapToGrid w:val="0"/>
              <w:spacing w:line="240" w:lineRule="auto"/>
              <w:ind w:firstLine="0" w:firstLineChars="0"/>
              <w:jc w:val="center"/>
              <w:rPr>
                <w:rFonts w:cs="Times New Roman"/>
                <w:bCs/>
                <w:kern w:val="0"/>
                <w:sz w:val="21"/>
                <w:szCs w:val="21"/>
              </w:rPr>
            </w:pPr>
            <w:r>
              <w:rPr>
                <w:rFonts w:hint="eastAsia" w:cs="Times New Roman"/>
                <w:bCs/>
                <w:sz w:val="21"/>
                <w:szCs w:val="21"/>
              </w:rPr>
              <w:t>98.3</w:t>
            </w:r>
          </w:p>
        </w:tc>
        <w:tc>
          <w:tcPr>
            <w:tcW w:w="864" w:type="dxa"/>
            <w:vAlign w:val="center"/>
          </w:tcPr>
          <w:p w14:paraId="52B7CC08">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达标</w:t>
            </w:r>
            <w:r>
              <w:rPr>
                <w:rFonts w:hint="eastAsia" w:ascii="Cambria Math" w:hAnsi="Cambria Math" w:cs="Cambria Math"/>
                <w:bCs/>
                <w:kern w:val="0"/>
                <w:sz w:val="21"/>
                <w:szCs w:val="21"/>
                <w:vertAlign w:val="superscript"/>
              </w:rPr>
              <w:t>②</w:t>
            </w:r>
          </w:p>
        </w:tc>
      </w:tr>
      <w:tr w14:paraId="49074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46" w:type="dxa"/>
            <w:vMerge w:val="restart"/>
            <w:vAlign w:val="center"/>
          </w:tcPr>
          <w:p w14:paraId="6010555D">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PM</w:t>
            </w:r>
            <w:r>
              <w:rPr>
                <w:rFonts w:hint="eastAsia" w:cs="Times New Roman"/>
                <w:bCs/>
                <w:kern w:val="0"/>
                <w:sz w:val="21"/>
                <w:szCs w:val="21"/>
                <w:vertAlign w:val="subscript"/>
              </w:rPr>
              <w:t>2.5</w:t>
            </w:r>
          </w:p>
        </w:tc>
        <w:tc>
          <w:tcPr>
            <w:tcW w:w="2498" w:type="dxa"/>
            <w:vAlign w:val="center"/>
          </w:tcPr>
          <w:p w14:paraId="6DA7B7CF">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年平均质量浓度</w:t>
            </w:r>
          </w:p>
        </w:tc>
        <w:tc>
          <w:tcPr>
            <w:tcW w:w="1046" w:type="dxa"/>
            <w:vAlign w:val="center"/>
          </w:tcPr>
          <w:p w14:paraId="56437709">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32</w:t>
            </w:r>
          </w:p>
        </w:tc>
        <w:tc>
          <w:tcPr>
            <w:tcW w:w="1116" w:type="dxa"/>
            <w:vAlign w:val="center"/>
          </w:tcPr>
          <w:p w14:paraId="753A7167">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35</w:t>
            </w:r>
          </w:p>
        </w:tc>
        <w:tc>
          <w:tcPr>
            <w:tcW w:w="849" w:type="dxa"/>
            <w:vAlign w:val="center"/>
          </w:tcPr>
          <w:p w14:paraId="5E1D7427">
            <w:pPr>
              <w:spacing w:line="240" w:lineRule="auto"/>
              <w:ind w:firstLine="0" w:firstLineChars="0"/>
              <w:jc w:val="center"/>
              <w:rPr>
                <w:rFonts w:cs="Times New Roman"/>
                <w:bCs/>
                <w:sz w:val="21"/>
                <w:szCs w:val="21"/>
              </w:rPr>
            </w:pPr>
            <w:r>
              <w:rPr>
                <w:rFonts w:hint="eastAsia" w:cs="Times New Roman"/>
                <w:bCs/>
                <w:sz w:val="21"/>
                <w:szCs w:val="21"/>
              </w:rPr>
              <w:t>91.4</w:t>
            </w:r>
          </w:p>
        </w:tc>
        <w:tc>
          <w:tcPr>
            <w:tcW w:w="1074" w:type="dxa"/>
            <w:vAlign w:val="center"/>
          </w:tcPr>
          <w:p w14:paraId="2AFDE033">
            <w:pPr>
              <w:adjustRightInd w:val="0"/>
              <w:snapToGrid w:val="0"/>
              <w:spacing w:line="240" w:lineRule="auto"/>
              <w:ind w:firstLine="0" w:firstLineChars="0"/>
              <w:jc w:val="center"/>
              <w:rPr>
                <w:rFonts w:cs="Times New Roman"/>
                <w:bCs/>
                <w:kern w:val="0"/>
                <w:sz w:val="21"/>
                <w:szCs w:val="21"/>
              </w:rPr>
            </w:pPr>
            <w:r>
              <w:rPr>
                <w:rFonts w:hint="eastAsia" w:cs="Times New Roman"/>
                <w:bCs/>
                <w:sz w:val="21"/>
                <w:szCs w:val="21"/>
              </w:rPr>
              <w:t>/</w:t>
            </w:r>
          </w:p>
        </w:tc>
        <w:tc>
          <w:tcPr>
            <w:tcW w:w="864" w:type="dxa"/>
            <w:vAlign w:val="center"/>
          </w:tcPr>
          <w:p w14:paraId="688ECACF">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达标</w:t>
            </w:r>
          </w:p>
        </w:tc>
      </w:tr>
      <w:tr w14:paraId="2B708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46" w:type="dxa"/>
            <w:vMerge w:val="continue"/>
            <w:vAlign w:val="center"/>
          </w:tcPr>
          <w:p w14:paraId="38849537">
            <w:pPr>
              <w:adjustRightInd w:val="0"/>
              <w:snapToGrid w:val="0"/>
              <w:spacing w:line="240" w:lineRule="auto"/>
              <w:ind w:firstLine="0" w:firstLineChars="0"/>
              <w:jc w:val="center"/>
              <w:rPr>
                <w:rFonts w:cs="Times New Roman"/>
                <w:bCs/>
                <w:kern w:val="0"/>
                <w:sz w:val="21"/>
                <w:szCs w:val="21"/>
              </w:rPr>
            </w:pPr>
          </w:p>
        </w:tc>
        <w:tc>
          <w:tcPr>
            <w:tcW w:w="2498" w:type="dxa"/>
            <w:vAlign w:val="center"/>
          </w:tcPr>
          <w:p w14:paraId="515D3E83">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24小时平均质量浓度</w:t>
            </w:r>
          </w:p>
        </w:tc>
        <w:tc>
          <w:tcPr>
            <w:tcW w:w="1046" w:type="dxa"/>
            <w:vAlign w:val="center"/>
          </w:tcPr>
          <w:p w14:paraId="01341823">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5~157</w:t>
            </w:r>
          </w:p>
        </w:tc>
        <w:tc>
          <w:tcPr>
            <w:tcW w:w="1116" w:type="dxa"/>
            <w:vAlign w:val="center"/>
          </w:tcPr>
          <w:p w14:paraId="468EA372">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75</w:t>
            </w:r>
          </w:p>
        </w:tc>
        <w:tc>
          <w:tcPr>
            <w:tcW w:w="849" w:type="dxa"/>
            <w:vAlign w:val="center"/>
          </w:tcPr>
          <w:p w14:paraId="6921371C">
            <w:pPr>
              <w:spacing w:line="240" w:lineRule="auto"/>
              <w:ind w:firstLine="0" w:firstLineChars="0"/>
              <w:jc w:val="center"/>
              <w:rPr>
                <w:rFonts w:cs="Times New Roman"/>
                <w:bCs/>
                <w:sz w:val="21"/>
                <w:szCs w:val="21"/>
              </w:rPr>
            </w:pPr>
            <w:r>
              <w:rPr>
                <w:rFonts w:hint="eastAsia" w:cs="Times New Roman"/>
                <w:bCs/>
                <w:sz w:val="21"/>
                <w:szCs w:val="21"/>
              </w:rPr>
              <w:t>/</w:t>
            </w:r>
          </w:p>
        </w:tc>
        <w:tc>
          <w:tcPr>
            <w:tcW w:w="1074" w:type="dxa"/>
            <w:vAlign w:val="center"/>
          </w:tcPr>
          <w:p w14:paraId="3A4C2BA7">
            <w:pPr>
              <w:adjustRightInd w:val="0"/>
              <w:snapToGrid w:val="0"/>
              <w:spacing w:line="240" w:lineRule="auto"/>
              <w:ind w:firstLine="0" w:firstLineChars="0"/>
              <w:jc w:val="center"/>
              <w:rPr>
                <w:rFonts w:cs="Times New Roman"/>
                <w:bCs/>
                <w:kern w:val="0"/>
                <w:sz w:val="21"/>
                <w:szCs w:val="21"/>
              </w:rPr>
            </w:pPr>
            <w:r>
              <w:rPr>
                <w:rFonts w:hint="eastAsia" w:cs="Times New Roman"/>
                <w:bCs/>
                <w:sz w:val="21"/>
                <w:szCs w:val="21"/>
              </w:rPr>
              <w:t>93.2</w:t>
            </w:r>
          </w:p>
        </w:tc>
        <w:tc>
          <w:tcPr>
            <w:tcW w:w="864" w:type="dxa"/>
            <w:vAlign w:val="center"/>
          </w:tcPr>
          <w:p w14:paraId="17337086">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超标</w:t>
            </w:r>
            <w:r>
              <w:rPr>
                <w:rFonts w:hint="eastAsia" w:ascii="Cambria Math" w:hAnsi="Cambria Math" w:cs="Cambria Math"/>
                <w:bCs/>
                <w:kern w:val="0"/>
                <w:sz w:val="21"/>
                <w:szCs w:val="21"/>
                <w:vertAlign w:val="superscript"/>
              </w:rPr>
              <w:t>③</w:t>
            </w:r>
          </w:p>
        </w:tc>
      </w:tr>
      <w:tr w14:paraId="26F56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46" w:type="dxa"/>
            <w:vAlign w:val="center"/>
          </w:tcPr>
          <w:p w14:paraId="1761E9D0">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CO</w:t>
            </w:r>
          </w:p>
        </w:tc>
        <w:tc>
          <w:tcPr>
            <w:tcW w:w="2498" w:type="dxa"/>
            <w:vAlign w:val="center"/>
          </w:tcPr>
          <w:p w14:paraId="2253A097">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24小时平均第95百分位数</w:t>
            </w:r>
          </w:p>
        </w:tc>
        <w:tc>
          <w:tcPr>
            <w:tcW w:w="1046" w:type="dxa"/>
            <w:vAlign w:val="center"/>
          </w:tcPr>
          <w:p w14:paraId="7D447407">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1100</w:t>
            </w:r>
          </w:p>
        </w:tc>
        <w:tc>
          <w:tcPr>
            <w:tcW w:w="1116" w:type="dxa"/>
            <w:vAlign w:val="center"/>
          </w:tcPr>
          <w:p w14:paraId="46243311">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4000</w:t>
            </w:r>
          </w:p>
        </w:tc>
        <w:tc>
          <w:tcPr>
            <w:tcW w:w="849" w:type="dxa"/>
            <w:vAlign w:val="center"/>
          </w:tcPr>
          <w:p w14:paraId="75C7FD32">
            <w:pPr>
              <w:spacing w:line="240" w:lineRule="auto"/>
              <w:ind w:firstLine="0" w:firstLineChars="0"/>
              <w:jc w:val="center"/>
              <w:rPr>
                <w:rFonts w:cs="Times New Roman"/>
                <w:bCs/>
                <w:sz w:val="21"/>
                <w:szCs w:val="21"/>
              </w:rPr>
            </w:pPr>
            <w:r>
              <w:rPr>
                <w:rFonts w:hint="eastAsia" w:cs="Times New Roman"/>
                <w:bCs/>
                <w:sz w:val="21"/>
                <w:szCs w:val="21"/>
              </w:rPr>
              <w:t>27.5</w:t>
            </w:r>
          </w:p>
        </w:tc>
        <w:tc>
          <w:tcPr>
            <w:tcW w:w="1074" w:type="dxa"/>
            <w:vAlign w:val="center"/>
          </w:tcPr>
          <w:p w14:paraId="14496832">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100</w:t>
            </w:r>
          </w:p>
        </w:tc>
        <w:tc>
          <w:tcPr>
            <w:tcW w:w="864" w:type="dxa"/>
            <w:vAlign w:val="center"/>
          </w:tcPr>
          <w:p w14:paraId="5F2EF18C">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达标</w:t>
            </w:r>
          </w:p>
        </w:tc>
      </w:tr>
      <w:tr w14:paraId="6B3A2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46" w:type="dxa"/>
            <w:vAlign w:val="center"/>
          </w:tcPr>
          <w:p w14:paraId="2FABF673">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O</w:t>
            </w:r>
            <w:r>
              <w:rPr>
                <w:rFonts w:hint="eastAsia" w:cs="Times New Roman"/>
                <w:bCs/>
                <w:kern w:val="0"/>
                <w:sz w:val="21"/>
                <w:szCs w:val="21"/>
                <w:vertAlign w:val="subscript"/>
              </w:rPr>
              <w:t>3</w:t>
            </w:r>
          </w:p>
        </w:tc>
        <w:tc>
          <w:tcPr>
            <w:tcW w:w="2498" w:type="dxa"/>
            <w:vAlign w:val="center"/>
          </w:tcPr>
          <w:p w14:paraId="731A65E7">
            <w:pPr>
              <w:adjustRightInd w:val="0"/>
              <w:snapToGrid w:val="0"/>
              <w:spacing w:line="240" w:lineRule="auto"/>
              <w:ind w:firstLine="0" w:firstLineChars="0"/>
              <w:jc w:val="center"/>
              <w:rPr>
                <w:rFonts w:cs="Times New Roman"/>
                <w:bCs/>
                <w:spacing w:val="-6"/>
                <w:kern w:val="0"/>
                <w:sz w:val="21"/>
                <w:szCs w:val="21"/>
              </w:rPr>
            </w:pPr>
            <w:r>
              <w:rPr>
                <w:rFonts w:hint="eastAsia" w:cs="Times New Roman"/>
                <w:bCs/>
                <w:spacing w:val="-6"/>
                <w:kern w:val="0"/>
                <w:sz w:val="21"/>
                <w:szCs w:val="21"/>
              </w:rPr>
              <w:t>日最大8小时滑动平均第90百分位数</w:t>
            </w:r>
          </w:p>
        </w:tc>
        <w:tc>
          <w:tcPr>
            <w:tcW w:w="1046" w:type="dxa"/>
            <w:vAlign w:val="center"/>
          </w:tcPr>
          <w:p w14:paraId="56C43DBC">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168</w:t>
            </w:r>
          </w:p>
        </w:tc>
        <w:tc>
          <w:tcPr>
            <w:tcW w:w="1116" w:type="dxa"/>
            <w:vAlign w:val="center"/>
          </w:tcPr>
          <w:p w14:paraId="41814803">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160</w:t>
            </w:r>
          </w:p>
        </w:tc>
        <w:tc>
          <w:tcPr>
            <w:tcW w:w="849" w:type="dxa"/>
            <w:vAlign w:val="center"/>
          </w:tcPr>
          <w:p w14:paraId="17B47874">
            <w:pPr>
              <w:spacing w:line="240" w:lineRule="auto"/>
              <w:ind w:firstLine="0" w:firstLineChars="0"/>
              <w:jc w:val="center"/>
              <w:rPr>
                <w:rFonts w:cs="Times New Roman"/>
                <w:bCs/>
                <w:sz w:val="21"/>
                <w:szCs w:val="21"/>
              </w:rPr>
            </w:pPr>
            <w:r>
              <w:rPr>
                <w:rFonts w:hint="eastAsia" w:cs="Times New Roman"/>
                <w:bCs/>
                <w:sz w:val="21"/>
                <w:szCs w:val="21"/>
              </w:rPr>
              <w:t>105</w:t>
            </w:r>
          </w:p>
        </w:tc>
        <w:tc>
          <w:tcPr>
            <w:tcW w:w="1074" w:type="dxa"/>
            <w:vAlign w:val="center"/>
          </w:tcPr>
          <w:p w14:paraId="017DBA0F">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86.3</w:t>
            </w:r>
          </w:p>
        </w:tc>
        <w:tc>
          <w:tcPr>
            <w:tcW w:w="864" w:type="dxa"/>
            <w:vAlign w:val="center"/>
          </w:tcPr>
          <w:p w14:paraId="4F57829A">
            <w:pPr>
              <w:adjustRightInd w:val="0"/>
              <w:snapToGrid w:val="0"/>
              <w:spacing w:line="240" w:lineRule="auto"/>
              <w:ind w:firstLine="0" w:firstLineChars="0"/>
              <w:jc w:val="center"/>
              <w:rPr>
                <w:rFonts w:cs="Times New Roman"/>
                <w:bCs/>
                <w:kern w:val="0"/>
                <w:sz w:val="21"/>
                <w:szCs w:val="21"/>
              </w:rPr>
            </w:pPr>
            <w:r>
              <w:rPr>
                <w:rFonts w:hint="eastAsia" w:cs="Times New Roman"/>
                <w:bCs/>
                <w:kern w:val="0"/>
                <w:sz w:val="21"/>
                <w:szCs w:val="21"/>
              </w:rPr>
              <w:t>超标</w:t>
            </w:r>
          </w:p>
        </w:tc>
      </w:tr>
    </w:tbl>
    <w:p w14:paraId="31FB1CCF">
      <w:pPr>
        <w:spacing w:line="240" w:lineRule="auto"/>
        <w:ind w:firstLine="420"/>
        <w:rPr>
          <w:rFonts w:cs="Times New Roman"/>
          <w:sz w:val="21"/>
          <w:szCs w:val="18"/>
        </w:rPr>
      </w:pPr>
      <w:r>
        <w:rPr>
          <w:rFonts w:hint="eastAsia" w:cs="Times New Roman"/>
          <w:sz w:val="21"/>
          <w:szCs w:val="18"/>
        </w:rPr>
        <w:t>注：①SO2、NO224小时平均第98百分位数达标；②PM1024小时平均第95百分位数达标；③PM2.524小时平均第95百分位数超标。</w:t>
      </w:r>
    </w:p>
    <w:p w14:paraId="098D123C">
      <w:pPr>
        <w:ind w:firstLine="480"/>
        <w:rPr>
          <w:rFonts w:cs="Times New Roman"/>
          <w:szCs w:val="24"/>
        </w:rPr>
      </w:pPr>
      <w:r>
        <w:rPr>
          <w:rFonts w:hint="eastAsia" w:cs="Times New Roman"/>
          <w:szCs w:val="24"/>
        </w:rPr>
        <w:t>茅山旅游度假区范围内现有</w:t>
      </w:r>
      <w:r>
        <w:rPr>
          <w:rFonts w:cs="Times New Roman"/>
          <w:szCs w:val="24"/>
        </w:rPr>
        <w:t>1</w:t>
      </w:r>
      <w:r>
        <w:rPr>
          <w:rFonts w:hint="eastAsia" w:cs="Times New Roman"/>
          <w:szCs w:val="24"/>
        </w:rPr>
        <w:t>个大气自动监测区控站点（茅管会大气监测站），站点位于东进水库西侧，养心园东侧，属于大气二类环境功能区。根据</w:t>
      </w:r>
      <w:r>
        <w:rPr>
          <w:rFonts w:cs="Times New Roman"/>
          <w:szCs w:val="24"/>
        </w:rPr>
        <w:t>2023</w:t>
      </w:r>
      <w:r>
        <w:rPr>
          <w:rFonts w:hint="eastAsia" w:cs="Times New Roman"/>
          <w:szCs w:val="24"/>
        </w:rPr>
        <w:t>年、</w:t>
      </w:r>
      <w:r>
        <w:rPr>
          <w:rFonts w:cs="Times New Roman"/>
          <w:szCs w:val="24"/>
        </w:rPr>
        <w:t>2024</w:t>
      </w:r>
      <w:r>
        <w:rPr>
          <w:rFonts w:hint="eastAsia" w:cs="Times New Roman"/>
          <w:szCs w:val="24"/>
        </w:rPr>
        <w:t>年大气自动监测站监测数据，茅管会大气监测站的基本污染物结果见表</w:t>
      </w:r>
      <w:r>
        <w:rPr>
          <w:rFonts w:cs="Times New Roman"/>
          <w:szCs w:val="24"/>
        </w:rPr>
        <w:t>3.</w:t>
      </w:r>
      <w:r>
        <w:rPr>
          <w:rFonts w:hint="eastAsia" w:cs="Times New Roman"/>
          <w:szCs w:val="24"/>
        </w:rPr>
        <w:t>5.1</w:t>
      </w:r>
      <w:r>
        <w:rPr>
          <w:rFonts w:cs="Times New Roman"/>
          <w:szCs w:val="24"/>
        </w:rPr>
        <w:t>-</w:t>
      </w:r>
      <w:r>
        <w:rPr>
          <w:rFonts w:hint="eastAsia" w:cs="Times New Roman"/>
          <w:szCs w:val="24"/>
        </w:rPr>
        <w:t>3</w:t>
      </w:r>
      <w:r>
        <w:rPr>
          <w:rFonts w:cs="Times New Roman"/>
          <w:szCs w:val="24"/>
        </w:rPr>
        <w:t>~3.</w:t>
      </w:r>
      <w:r>
        <w:rPr>
          <w:rFonts w:hint="eastAsia" w:cs="Times New Roman"/>
          <w:szCs w:val="24"/>
        </w:rPr>
        <w:t>5.1</w:t>
      </w:r>
      <w:r>
        <w:rPr>
          <w:rFonts w:cs="Times New Roman"/>
          <w:szCs w:val="24"/>
        </w:rPr>
        <w:t>-</w:t>
      </w:r>
      <w:r>
        <w:rPr>
          <w:rFonts w:hint="eastAsia" w:cs="Times New Roman"/>
          <w:szCs w:val="24"/>
        </w:rPr>
        <w:t>4。</w:t>
      </w:r>
    </w:p>
    <w:p w14:paraId="040143E5">
      <w:pPr>
        <w:pStyle w:val="45"/>
        <w:spacing w:line="240" w:lineRule="auto"/>
        <w:rPr>
          <w:rFonts w:cs="Times New Roman"/>
        </w:rPr>
      </w:pPr>
      <w:r>
        <w:rPr>
          <w:rFonts w:hint="eastAsia" w:cs="Times New Roman"/>
        </w:rPr>
        <w:t>表3.5.1-3  2023年</w:t>
      </w:r>
      <w:bookmarkStart w:id="74" w:name="_Hlk190848377"/>
      <w:r>
        <w:rPr>
          <w:rFonts w:hint="eastAsia" w:cs="Times New Roman"/>
        </w:rPr>
        <w:t>茅管会大气监测站</w:t>
      </w:r>
      <w:bookmarkEnd w:id="74"/>
      <w:r>
        <w:rPr>
          <w:rFonts w:hint="eastAsia" w:cs="Times New Roman"/>
        </w:rPr>
        <w:t>基本污染物现状监测结果评价表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
        <w:gridCol w:w="2125"/>
        <w:gridCol w:w="1326"/>
        <w:gridCol w:w="1326"/>
        <w:gridCol w:w="1031"/>
        <w:gridCol w:w="1004"/>
        <w:gridCol w:w="818"/>
      </w:tblGrid>
      <w:tr w14:paraId="78061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523" w:type="pct"/>
            <w:vAlign w:val="center"/>
          </w:tcPr>
          <w:p w14:paraId="3F964F3B">
            <w:pPr>
              <w:widowControl/>
              <w:spacing w:line="240" w:lineRule="auto"/>
              <w:ind w:firstLine="0" w:firstLineChars="0"/>
              <w:jc w:val="center"/>
              <w:rPr>
                <w:rFonts w:cs="Times New Roman"/>
                <w:b/>
                <w:bCs/>
                <w:kern w:val="0"/>
                <w:sz w:val="21"/>
                <w:szCs w:val="21"/>
              </w:rPr>
            </w:pPr>
            <w:bookmarkStart w:id="75" w:name="_Hlk190848888"/>
            <w:r>
              <w:rPr>
                <w:rFonts w:hint="eastAsia" w:cs="Times New Roman"/>
                <w:b/>
                <w:bCs/>
                <w:kern w:val="0"/>
                <w:sz w:val="21"/>
                <w:szCs w:val="21"/>
              </w:rPr>
              <w:t>污染物</w:t>
            </w:r>
          </w:p>
        </w:tc>
        <w:tc>
          <w:tcPr>
            <w:tcW w:w="1246" w:type="pct"/>
            <w:vAlign w:val="center"/>
          </w:tcPr>
          <w:p w14:paraId="046A5644">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年评价指标</w:t>
            </w:r>
          </w:p>
        </w:tc>
        <w:tc>
          <w:tcPr>
            <w:tcW w:w="777" w:type="pct"/>
            <w:vAlign w:val="center"/>
          </w:tcPr>
          <w:p w14:paraId="7E7C1B48">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现状浓度</w:t>
            </w:r>
          </w:p>
          <w:p w14:paraId="7A2F9C47">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（μg/m</w:t>
            </w:r>
            <w:r>
              <w:rPr>
                <w:rFonts w:hint="eastAsia" w:cs="Times New Roman"/>
                <w:b/>
                <w:bCs/>
                <w:kern w:val="0"/>
                <w:sz w:val="21"/>
                <w:szCs w:val="21"/>
                <w:vertAlign w:val="superscript"/>
              </w:rPr>
              <w:t>3</w:t>
            </w:r>
            <w:r>
              <w:rPr>
                <w:rFonts w:hint="eastAsia" w:cs="Times New Roman"/>
                <w:b/>
                <w:bCs/>
                <w:kern w:val="0"/>
                <w:sz w:val="21"/>
                <w:szCs w:val="21"/>
              </w:rPr>
              <w:t>）</w:t>
            </w:r>
          </w:p>
        </w:tc>
        <w:tc>
          <w:tcPr>
            <w:tcW w:w="777" w:type="pct"/>
            <w:vAlign w:val="center"/>
          </w:tcPr>
          <w:p w14:paraId="0F8B4B34">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标准值</w:t>
            </w:r>
          </w:p>
          <w:p w14:paraId="6DD0C3A8">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（μg/m</w:t>
            </w:r>
            <w:r>
              <w:rPr>
                <w:rFonts w:hint="eastAsia" w:cs="Times New Roman"/>
                <w:b/>
                <w:bCs/>
                <w:kern w:val="0"/>
                <w:sz w:val="21"/>
                <w:szCs w:val="21"/>
                <w:vertAlign w:val="superscript"/>
              </w:rPr>
              <w:t>3</w:t>
            </w:r>
            <w:r>
              <w:rPr>
                <w:rFonts w:hint="eastAsia" w:cs="Times New Roman"/>
                <w:b/>
                <w:bCs/>
                <w:kern w:val="0"/>
                <w:sz w:val="21"/>
                <w:szCs w:val="21"/>
              </w:rPr>
              <w:t>）</w:t>
            </w:r>
          </w:p>
        </w:tc>
        <w:tc>
          <w:tcPr>
            <w:tcW w:w="604" w:type="pct"/>
            <w:vAlign w:val="center"/>
          </w:tcPr>
          <w:p w14:paraId="7CEF05F4">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占标率（%）</w:t>
            </w:r>
          </w:p>
        </w:tc>
        <w:tc>
          <w:tcPr>
            <w:tcW w:w="588" w:type="pct"/>
            <w:vAlign w:val="center"/>
          </w:tcPr>
          <w:p w14:paraId="78C460A4">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达标率（%）</w:t>
            </w:r>
          </w:p>
        </w:tc>
        <w:tc>
          <w:tcPr>
            <w:tcW w:w="479" w:type="pct"/>
            <w:vAlign w:val="center"/>
          </w:tcPr>
          <w:p w14:paraId="20BC6F49">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达标情况</w:t>
            </w:r>
          </w:p>
        </w:tc>
      </w:tr>
      <w:tr w14:paraId="0D7EF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restart"/>
            <w:vAlign w:val="center"/>
          </w:tcPr>
          <w:p w14:paraId="1D002B57">
            <w:pPr>
              <w:widowControl/>
              <w:spacing w:line="240" w:lineRule="auto"/>
              <w:ind w:firstLine="0" w:firstLineChars="0"/>
              <w:jc w:val="center"/>
              <w:rPr>
                <w:rFonts w:cs="Times New Roman"/>
                <w:kern w:val="0"/>
                <w:sz w:val="21"/>
                <w:szCs w:val="21"/>
              </w:rPr>
            </w:pPr>
            <w:bookmarkStart w:id="76" w:name="_Hlk190848469"/>
            <w:r>
              <w:rPr>
                <w:rFonts w:hint="eastAsia" w:cs="Times New Roman"/>
                <w:kern w:val="0"/>
                <w:sz w:val="21"/>
                <w:szCs w:val="21"/>
              </w:rPr>
              <w:t>SO</w:t>
            </w:r>
            <w:r>
              <w:rPr>
                <w:rFonts w:hint="eastAsia" w:cs="Times New Roman"/>
                <w:kern w:val="0"/>
                <w:sz w:val="21"/>
                <w:szCs w:val="21"/>
                <w:vertAlign w:val="subscript"/>
              </w:rPr>
              <w:t>2</w:t>
            </w:r>
          </w:p>
        </w:tc>
        <w:tc>
          <w:tcPr>
            <w:tcW w:w="1246" w:type="pct"/>
            <w:vAlign w:val="center"/>
          </w:tcPr>
          <w:p w14:paraId="2A8B5C62">
            <w:pPr>
              <w:widowControl/>
              <w:spacing w:line="240" w:lineRule="auto"/>
              <w:ind w:firstLine="0" w:firstLineChars="0"/>
              <w:jc w:val="center"/>
              <w:rPr>
                <w:rFonts w:cs="Times New Roman"/>
                <w:kern w:val="0"/>
                <w:sz w:val="21"/>
                <w:szCs w:val="21"/>
              </w:rPr>
            </w:pPr>
            <w:r>
              <w:rPr>
                <w:rFonts w:hint="eastAsia" w:cs="Times New Roman"/>
                <w:kern w:val="0"/>
                <w:sz w:val="21"/>
                <w:szCs w:val="21"/>
              </w:rPr>
              <w:t>年平均质量浓度</w:t>
            </w:r>
          </w:p>
        </w:tc>
        <w:tc>
          <w:tcPr>
            <w:tcW w:w="777" w:type="pct"/>
            <w:vAlign w:val="center"/>
          </w:tcPr>
          <w:p w14:paraId="3F63E2C9">
            <w:pPr>
              <w:widowControl/>
              <w:spacing w:line="240" w:lineRule="auto"/>
              <w:ind w:firstLine="0" w:firstLineChars="0"/>
              <w:jc w:val="center"/>
              <w:rPr>
                <w:rFonts w:cs="Times New Roman"/>
                <w:kern w:val="0"/>
                <w:sz w:val="21"/>
                <w:szCs w:val="21"/>
              </w:rPr>
            </w:pPr>
            <w:r>
              <w:rPr>
                <w:rFonts w:hint="eastAsia" w:cs="Times New Roman"/>
                <w:kern w:val="0"/>
                <w:sz w:val="21"/>
                <w:szCs w:val="21"/>
              </w:rPr>
              <w:t>7.6</w:t>
            </w:r>
          </w:p>
        </w:tc>
        <w:tc>
          <w:tcPr>
            <w:tcW w:w="777" w:type="pct"/>
            <w:vAlign w:val="center"/>
          </w:tcPr>
          <w:p w14:paraId="760001EC">
            <w:pPr>
              <w:widowControl/>
              <w:spacing w:line="240" w:lineRule="auto"/>
              <w:ind w:firstLine="0" w:firstLineChars="0"/>
              <w:jc w:val="center"/>
              <w:rPr>
                <w:rFonts w:cs="Times New Roman"/>
                <w:kern w:val="0"/>
                <w:sz w:val="21"/>
                <w:szCs w:val="21"/>
              </w:rPr>
            </w:pPr>
            <w:r>
              <w:rPr>
                <w:rFonts w:hint="eastAsia" w:cs="Times New Roman"/>
                <w:kern w:val="0"/>
                <w:sz w:val="21"/>
                <w:szCs w:val="21"/>
              </w:rPr>
              <w:t>60</w:t>
            </w:r>
          </w:p>
        </w:tc>
        <w:tc>
          <w:tcPr>
            <w:tcW w:w="604" w:type="pct"/>
            <w:vAlign w:val="center"/>
          </w:tcPr>
          <w:p w14:paraId="7956B0D1">
            <w:pPr>
              <w:widowControl/>
              <w:spacing w:line="240" w:lineRule="auto"/>
              <w:ind w:firstLine="0" w:firstLineChars="0"/>
              <w:jc w:val="center"/>
              <w:rPr>
                <w:rFonts w:cs="Times New Roman"/>
                <w:kern w:val="0"/>
                <w:sz w:val="21"/>
                <w:szCs w:val="21"/>
              </w:rPr>
            </w:pPr>
            <w:r>
              <w:rPr>
                <w:rFonts w:hint="eastAsia" w:cs="Times New Roman"/>
                <w:kern w:val="0"/>
                <w:sz w:val="21"/>
                <w:szCs w:val="21"/>
              </w:rPr>
              <w:t>12.7</w:t>
            </w:r>
          </w:p>
        </w:tc>
        <w:tc>
          <w:tcPr>
            <w:tcW w:w="588" w:type="pct"/>
            <w:vAlign w:val="center"/>
          </w:tcPr>
          <w:p w14:paraId="0DCA4C52">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79" w:type="pct"/>
            <w:vAlign w:val="center"/>
          </w:tcPr>
          <w:p w14:paraId="24DEAC26">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59B17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14:paraId="5ACE53B6">
            <w:pPr>
              <w:widowControl/>
              <w:spacing w:line="240" w:lineRule="auto"/>
              <w:ind w:firstLine="0" w:firstLineChars="0"/>
              <w:jc w:val="center"/>
              <w:rPr>
                <w:rFonts w:cs="Times New Roman"/>
                <w:kern w:val="0"/>
                <w:sz w:val="21"/>
                <w:szCs w:val="21"/>
              </w:rPr>
            </w:pPr>
          </w:p>
        </w:tc>
        <w:tc>
          <w:tcPr>
            <w:tcW w:w="1246" w:type="pct"/>
            <w:vAlign w:val="center"/>
          </w:tcPr>
          <w:p w14:paraId="386E4D07">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24小时平均第98百分位数质量浓度</w:t>
            </w:r>
          </w:p>
        </w:tc>
        <w:tc>
          <w:tcPr>
            <w:tcW w:w="777" w:type="pct"/>
            <w:vAlign w:val="center"/>
          </w:tcPr>
          <w:p w14:paraId="7A8DCC32">
            <w:pPr>
              <w:widowControl/>
              <w:spacing w:line="240" w:lineRule="auto"/>
              <w:ind w:firstLine="0" w:firstLineChars="0"/>
              <w:jc w:val="center"/>
              <w:rPr>
                <w:rFonts w:cs="Times New Roman"/>
                <w:kern w:val="0"/>
                <w:sz w:val="21"/>
                <w:szCs w:val="21"/>
              </w:rPr>
            </w:pPr>
            <w:r>
              <w:rPr>
                <w:rFonts w:hint="eastAsia" w:cs="Times New Roman"/>
                <w:kern w:val="0"/>
                <w:sz w:val="21"/>
                <w:szCs w:val="21"/>
              </w:rPr>
              <w:t>13</w:t>
            </w:r>
          </w:p>
        </w:tc>
        <w:tc>
          <w:tcPr>
            <w:tcW w:w="777" w:type="pct"/>
            <w:vAlign w:val="center"/>
          </w:tcPr>
          <w:p w14:paraId="2CDFA562">
            <w:pPr>
              <w:widowControl/>
              <w:spacing w:line="240" w:lineRule="auto"/>
              <w:ind w:firstLine="0" w:firstLineChars="0"/>
              <w:jc w:val="center"/>
              <w:rPr>
                <w:rFonts w:cs="Times New Roman"/>
                <w:kern w:val="0"/>
                <w:sz w:val="21"/>
                <w:szCs w:val="21"/>
              </w:rPr>
            </w:pPr>
            <w:r>
              <w:rPr>
                <w:rFonts w:hint="eastAsia" w:cs="Times New Roman"/>
                <w:kern w:val="0"/>
                <w:sz w:val="21"/>
                <w:szCs w:val="21"/>
              </w:rPr>
              <w:t>150</w:t>
            </w:r>
          </w:p>
        </w:tc>
        <w:tc>
          <w:tcPr>
            <w:tcW w:w="604" w:type="pct"/>
            <w:vAlign w:val="center"/>
          </w:tcPr>
          <w:p w14:paraId="1AD866F6">
            <w:pPr>
              <w:widowControl/>
              <w:spacing w:line="240" w:lineRule="auto"/>
              <w:ind w:firstLine="0" w:firstLineChars="0"/>
              <w:jc w:val="center"/>
              <w:rPr>
                <w:rFonts w:cs="Times New Roman"/>
                <w:kern w:val="0"/>
                <w:sz w:val="21"/>
                <w:szCs w:val="21"/>
              </w:rPr>
            </w:pPr>
            <w:r>
              <w:rPr>
                <w:rFonts w:hint="eastAsia" w:cs="Times New Roman"/>
                <w:kern w:val="0"/>
                <w:sz w:val="21"/>
                <w:szCs w:val="21"/>
              </w:rPr>
              <w:t>8.67</w:t>
            </w:r>
          </w:p>
        </w:tc>
        <w:tc>
          <w:tcPr>
            <w:tcW w:w="588" w:type="pct"/>
            <w:vAlign w:val="center"/>
          </w:tcPr>
          <w:p w14:paraId="7AF2B458">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479" w:type="pct"/>
            <w:vAlign w:val="center"/>
          </w:tcPr>
          <w:p w14:paraId="4BFD9106">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3CE5C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restart"/>
            <w:vAlign w:val="center"/>
          </w:tcPr>
          <w:p w14:paraId="079BDFE3">
            <w:pPr>
              <w:widowControl/>
              <w:spacing w:line="240" w:lineRule="auto"/>
              <w:ind w:firstLine="0" w:firstLineChars="0"/>
              <w:jc w:val="center"/>
              <w:rPr>
                <w:rFonts w:cs="Times New Roman"/>
                <w:kern w:val="0"/>
                <w:sz w:val="21"/>
                <w:szCs w:val="21"/>
              </w:rPr>
            </w:pPr>
            <w:r>
              <w:rPr>
                <w:rFonts w:hint="eastAsia" w:cs="Times New Roman"/>
                <w:kern w:val="0"/>
                <w:sz w:val="21"/>
                <w:szCs w:val="21"/>
              </w:rPr>
              <w:t>NO</w:t>
            </w:r>
            <w:r>
              <w:rPr>
                <w:rFonts w:hint="eastAsia" w:cs="Times New Roman"/>
                <w:kern w:val="0"/>
                <w:sz w:val="21"/>
                <w:szCs w:val="21"/>
                <w:vertAlign w:val="subscript"/>
              </w:rPr>
              <w:t>2</w:t>
            </w:r>
          </w:p>
        </w:tc>
        <w:tc>
          <w:tcPr>
            <w:tcW w:w="1246" w:type="pct"/>
            <w:vAlign w:val="center"/>
          </w:tcPr>
          <w:p w14:paraId="01E8C1D7">
            <w:pPr>
              <w:widowControl/>
              <w:spacing w:line="240" w:lineRule="auto"/>
              <w:ind w:firstLine="0" w:firstLineChars="0"/>
              <w:jc w:val="center"/>
              <w:rPr>
                <w:rFonts w:cs="Times New Roman"/>
                <w:kern w:val="0"/>
                <w:sz w:val="21"/>
                <w:szCs w:val="21"/>
              </w:rPr>
            </w:pPr>
            <w:r>
              <w:rPr>
                <w:rFonts w:hint="eastAsia" w:cs="Times New Roman"/>
                <w:kern w:val="0"/>
                <w:sz w:val="21"/>
                <w:szCs w:val="21"/>
              </w:rPr>
              <w:t>年平均质量浓度</w:t>
            </w:r>
          </w:p>
        </w:tc>
        <w:tc>
          <w:tcPr>
            <w:tcW w:w="777" w:type="pct"/>
            <w:vAlign w:val="center"/>
          </w:tcPr>
          <w:p w14:paraId="5960F553">
            <w:pPr>
              <w:widowControl/>
              <w:spacing w:line="240" w:lineRule="auto"/>
              <w:ind w:firstLine="0" w:firstLineChars="0"/>
              <w:jc w:val="center"/>
              <w:rPr>
                <w:rFonts w:cs="Times New Roman"/>
                <w:kern w:val="0"/>
                <w:sz w:val="21"/>
                <w:szCs w:val="21"/>
              </w:rPr>
            </w:pPr>
            <w:r>
              <w:rPr>
                <w:rFonts w:hint="eastAsia" w:cs="Times New Roman"/>
                <w:kern w:val="0"/>
                <w:sz w:val="21"/>
                <w:szCs w:val="21"/>
              </w:rPr>
              <w:t>19</w:t>
            </w:r>
          </w:p>
        </w:tc>
        <w:tc>
          <w:tcPr>
            <w:tcW w:w="777" w:type="pct"/>
            <w:vAlign w:val="center"/>
          </w:tcPr>
          <w:p w14:paraId="77B04F09">
            <w:pPr>
              <w:widowControl/>
              <w:spacing w:line="240" w:lineRule="auto"/>
              <w:ind w:firstLine="0" w:firstLineChars="0"/>
              <w:jc w:val="center"/>
              <w:rPr>
                <w:rFonts w:cs="Times New Roman"/>
                <w:kern w:val="0"/>
                <w:sz w:val="21"/>
                <w:szCs w:val="21"/>
              </w:rPr>
            </w:pPr>
            <w:r>
              <w:rPr>
                <w:rFonts w:hint="eastAsia" w:cs="Times New Roman"/>
                <w:kern w:val="0"/>
                <w:sz w:val="21"/>
                <w:szCs w:val="21"/>
              </w:rPr>
              <w:t>40</w:t>
            </w:r>
          </w:p>
        </w:tc>
        <w:tc>
          <w:tcPr>
            <w:tcW w:w="604" w:type="pct"/>
            <w:vAlign w:val="center"/>
          </w:tcPr>
          <w:p w14:paraId="41D513F7">
            <w:pPr>
              <w:widowControl/>
              <w:spacing w:line="240" w:lineRule="auto"/>
              <w:ind w:firstLine="0" w:firstLineChars="0"/>
              <w:jc w:val="center"/>
              <w:rPr>
                <w:rFonts w:cs="Times New Roman"/>
                <w:kern w:val="0"/>
                <w:sz w:val="21"/>
                <w:szCs w:val="21"/>
              </w:rPr>
            </w:pPr>
            <w:r>
              <w:rPr>
                <w:rFonts w:hint="eastAsia" w:cs="Times New Roman"/>
                <w:kern w:val="0"/>
                <w:sz w:val="21"/>
                <w:szCs w:val="21"/>
              </w:rPr>
              <w:t>47.5</w:t>
            </w:r>
          </w:p>
        </w:tc>
        <w:tc>
          <w:tcPr>
            <w:tcW w:w="588" w:type="pct"/>
            <w:vAlign w:val="center"/>
          </w:tcPr>
          <w:p w14:paraId="266BC2C6">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79" w:type="pct"/>
            <w:vAlign w:val="center"/>
          </w:tcPr>
          <w:p w14:paraId="0F1BE9D1">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55997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14:paraId="55089D96">
            <w:pPr>
              <w:widowControl/>
              <w:spacing w:line="240" w:lineRule="auto"/>
              <w:ind w:firstLine="0" w:firstLineChars="0"/>
              <w:jc w:val="center"/>
              <w:rPr>
                <w:rFonts w:cs="Times New Roman"/>
                <w:kern w:val="0"/>
                <w:sz w:val="21"/>
                <w:szCs w:val="21"/>
              </w:rPr>
            </w:pPr>
          </w:p>
        </w:tc>
        <w:tc>
          <w:tcPr>
            <w:tcW w:w="1246" w:type="pct"/>
            <w:vAlign w:val="center"/>
          </w:tcPr>
          <w:p w14:paraId="4692570A">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24小时平均第98百分位数质量浓度</w:t>
            </w:r>
          </w:p>
        </w:tc>
        <w:tc>
          <w:tcPr>
            <w:tcW w:w="777" w:type="pct"/>
            <w:vAlign w:val="center"/>
          </w:tcPr>
          <w:p w14:paraId="7721E269">
            <w:pPr>
              <w:widowControl/>
              <w:spacing w:line="240" w:lineRule="auto"/>
              <w:ind w:firstLine="0" w:firstLineChars="0"/>
              <w:jc w:val="center"/>
              <w:rPr>
                <w:rFonts w:cs="Times New Roman"/>
                <w:kern w:val="0"/>
                <w:sz w:val="21"/>
                <w:szCs w:val="21"/>
              </w:rPr>
            </w:pPr>
            <w:r>
              <w:rPr>
                <w:rFonts w:hint="eastAsia" w:cs="Times New Roman"/>
                <w:kern w:val="0"/>
                <w:sz w:val="21"/>
                <w:szCs w:val="21"/>
              </w:rPr>
              <w:t>51</w:t>
            </w:r>
          </w:p>
        </w:tc>
        <w:tc>
          <w:tcPr>
            <w:tcW w:w="777" w:type="pct"/>
            <w:vAlign w:val="center"/>
          </w:tcPr>
          <w:p w14:paraId="69F7D6CB">
            <w:pPr>
              <w:widowControl/>
              <w:spacing w:line="240" w:lineRule="auto"/>
              <w:ind w:firstLine="0" w:firstLineChars="0"/>
              <w:jc w:val="center"/>
              <w:rPr>
                <w:rFonts w:cs="Times New Roman"/>
                <w:kern w:val="0"/>
                <w:sz w:val="21"/>
                <w:szCs w:val="21"/>
              </w:rPr>
            </w:pPr>
            <w:r>
              <w:rPr>
                <w:rFonts w:hint="eastAsia" w:cs="Times New Roman"/>
                <w:kern w:val="0"/>
                <w:sz w:val="21"/>
                <w:szCs w:val="21"/>
              </w:rPr>
              <w:t>80</w:t>
            </w:r>
          </w:p>
        </w:tc>
        <w:tc>
          <w:tcPr>
            <w:tcW w:w="604" w:type="pct"/>
            <w:vAlign w:val="center"/>
          </w:tcPr>
          <w:p w14:paraId="63F8254D">
            <w:pPr>
              <w:widowControl/>
              <w:spacing w:line="240" w:lineRule="auto"/>
              <w:ind w:firstLine="0" w:firstLineChars="0"/>
              <w:jc w:val="center"/>
              <w:rPr>
                <w:rFonts w:cs="Times New Roman"/>
                <w:kern w:val="0"/>
                <w:sz w:val="21"/>
                <w:szCs w:val="21"/>
              </w:rPr>
            </w:pPr>
            <w:r>
              <w:rPr>
                <w:rFonts w:hint="eastAsia" w:cs="Times New Roman"/>
                <w:kern w:val="0"/>
                <w:sz w:val="21"/>
                <w:szCs w:val="21"/>
              </w:rPr>
              <w:t>63.75</w:t>
            </w:r>
          </w:p>
        </w:tc>
        <w:tc>
          <w:tcPr>
            <w:tcW w:w="588" w:type="pct"/>
            <w:vAlign w:val="center"/>
          </w:tcPr>
          <w:p w14:paraId="41BBE8F8">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479" w:type="pct"/>
            <w:vAlign w:val="center"/>
          </w:tcPr>
          <w:p w14:paraId="60E53E72">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5A238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restart"/>
            <w:vAlign w:val="center"/>
          </w:tcPr>
          <w:p w14:paraId="7BBB2A34">
            <w:pPr>
              <w:widowControl/>
              <w:spacing w:line="240" w:lineRule="auto"/>
              <w:ind w:firstLine="0" w:firstLineChars="0"/>
              <w:jc w:val="center"/>
              <w:rPr>
                <w:rFonts w:cs="Times New Roman"/>
                <w:kern w:val="0"/>
                <w:sz w:val="21"/>
                <w:szCs w:val="21"/>
              </w:rPr>
            </w:pPr>
            <w:r>
              <w:rPr>
                <w:rFonts w:hint="eastAsia" w:cs="Times New Roman"/>
                <w:kern w:val="0"/>
                <w:sz w:val="21"/>
                <w:szCs w:val="21"/>
              </w:rPr>
              <w:t>PM</w:t>
            </w:r>
            <w:r>
              <w:rPr>
                <w:rFonts w:hint="eastAsia" w:cs="Times New Roman"/>
                <w:kern w:val="0"/>
                <w:sz w:val="21"/>
                <w:szCs w:val="21"/>
                <w:vertAlign w:val="subscript"/>
              </w:rPr>
              <w:t>10</w:t>
            </w:r>
          </w:p>
        </w:tc>
        <w:tc>
          <w:tcPr>
            <w:tcW w:w="1246" w:type="pct"/>
            <w:vAlign w:val="center"/>
          </w:tcPr>
          <w:p w14:paraId="564F0AC5">
            <w:pPr>
              <w:widowControl/>
              <w:spacing w:line="240" w:lineRule="auto"/>
              <w:ind w:firstLine="0" w:firstLineChars="0"/>
              <w:jc w:val="center"/>
              <w:rPr>
                <w:rFonts w:cs="Times New Roman"/>
                <w:kern w:val="0"/>
                <w:sz w:val="21"/>
                <w:szCs w:val="21"/>
              </w:rPr>
            </w:pPr>
            <w:r>
              <w:rPr>
                <w:rFonts w:hint="eastAsia" w:cs="Times New Roman"/>
                <w:kern w:val="0"/>
                <w:sz w:val="21"/>
                <w:szCs w:val="21"/>
              </w:rPr>
              <w:t>年平均质量浓度</w:t>
            </w:r>
          </w:p>
        </w:tc>
        <w:tc>
          <w:tcPr>
            <w:tcW w:w="777" w:type="pct"/>
            <w:vAlign w:val="center"/>
          </w:tcPr>
          <w:p w14:paraId="315D0767">
            <w:pPr>
              <w:widowControl/>
              <w:spacing w:line="240" w:lineRule="auto"/>
              <w:ind w:firstLine="0" w:firstLineChars="0"/>
              <w:jc w:val="center"/>
              <w:rPr>
                <w:rFonts w:cs="Times New Roman"/>
                <w:kern w:val="0"/>
                <w:sz w:val="21"/>
                <w:szCs w:val="21"/>
              </w:rPr>
            </w:pPr>
            <w:r>
              <w:rPr>
                <w:rFonts w:hint="eastAsia" w:cs="Times New Roman"/>
                <w:kern w:val="0"/>
                <w:sz w:val="21"/>
                <w:szCs w:val="21"/>
              </w:rPr>
              <w:t>54.7</w:t>
            </w:r>
          </w:p>
        </w:tc>
        <w:tc>
          <w:tcPr>
            <w:tcW w:w="777" w:type="pct"/>
            <w:vAlign w:val="center"/>
          </w:tcPr>
          <w:p w14:paraId="58F1BA1B">
            <w:pPr>
              <w:widowControl/>
              <w:spacing w:line="240" w:lineRule="auto"/>
              <w:ind w:firstLine="0" w:firstLineChars="0"/>
              <w:jc w:val="center"/>
              <w:rPr>
                <w:rFonts w:cs="Times New Roman"/>
                <w:kern w:val="0"/>
                <w:sz w:val="21"/>
                <w:szCs w:val="21"/>
              </w:rPr>
            </w:pPr>
            <w:r>
              <w:rPr>
                <w:rFonts w:hint="eastAsia" w:cs="Times New Roman"/>
                <w:kern w:val="0"/>
                <w:sz w:val="21"/>
                <w:szCs w:val="21"/>
              </w:rPr>
              <w:t>70</w:t>
            </w:r>
          </w:p>
        </w:tc>
        <w:tc>
          <w:tcPr>
            <w:tcW w:w="604" w:type="pct"/>
            <w:vAlign w:val="center"/>
          </w:tcPr>
          <w:p w14:paraId="4C7D86C8">
            <w:pPr>
              <w:widowControl/>
              <w:spacing w:line="240" w:lineRule="auto"/>
              <w:ind w:firstLine="0" w:firstLineChars="0"/>
              <w:jc w:val="center"/>
              <w:rPr>
                <w:rFonts w:cs="Times New Roman"/>
                <w:kern w:val="0"/>
                <w:sz w:val="21"/>
                <w:szCs w:val="21"/>
              </w:rPr>
            </w:pPr>
            <w:r>
              <w:rPr>
                <w:rFonts w:hint="eastAsia" w:cs="Times New Roman"/>
                <w:kern w:val="0"/>
                <w:sz w:val="21"/>
                <w:szCs w:val="21"/>
              </w:rPr>
              <w:t>78.1</w:t>
            </w:r>
          </w:p>
        </w:tc>
        <w:tc>
          <w:tcPr>
            <w:tcW w:w="588" w:type="pct"/>
            <w:vAlign w:val="center"/>
          </w:tcPr>
          <w:p w14:paraId="06A892DB">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79" w:type="pct"/>
            <w:vAlign w:val="center"/>
          </w:tcPr>
          <w:p w14:paraId="0C169A21">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05726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14:paraId="2090B7C3">
            <w:pPr>
              <w:widowControl/>
              <w:spacing w:line="240" w:lineRule="auto"/>
              <w:ind w:firstLine="0" w:firstLineChars="0"/>
              <w:jc w:val="center"/>
              <w:rPr>
                <w:rFonts w:cs="Times New Roman"/>
                <w:kern w:val="0"/>
                <w:sz w:val="21"/>
                <w:szCs w:val="21"/>
              </w:rPr>
            </w:pPr>
          </w:p>
        </w:tc>
        <w:tc>
          <w:tcPr>
            <w:tcW w:w="1246" w:type="pct"/>
            <w:vAlign w:val="center"/>
          </w:tcPr>
          <w:p w14:paraId="6AE66CC8">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24小时平均第95百分位数质量浓度</w:t>
            </w:r>
          </w:p>
        </w:tc>
        <w:tc>
          <w:tcPr>
            <w:tcW w:w="777" w:type="pct"/>
            <w:vAlign w:val="center"/>
          </w:tcPr>
          <w:p w14:paraId="24E836A9">
            <w:pPr>
              <w:widowControl/>
              <w:spacing w:line="240" w:lineRule="auto"/>
              <w:ind w:firstLine="0" w:firstLineChars="0"/>
              <w:jc w:val="center"/>
              <w:rPr>
                <w:rFonts w:cs="Times New Roman"/>
                <w:kern w:val="0"/>
                <w:sz w:val="21"/>
                <w:szCs w:val="21"/>
              </w:rPr>
            </w:pPr>
            <w:r>
              <w:rPr>
                <w:rFonts w:hint="eastAsia" w:cs="Times New Roman"/>
                <w:kern w:val="0"/>
                <w:sz w:val="21"/>
                <w:szCs w:val="21"/>
              </w:rPr>
              <w:t>126.9</w:t>
            </w:r>
          </w:p>
        </w:tc>
        <w:tc>
          <w:tcPr>
            <w:tcW w:w="777" w:type="pct"/>
            <w:vAlign w:val="center"/>
          </w:tcPr>
          <w:p w14:paraId="7B85AA90">
            <w:pPr>
              <w:widowControl/>
              <w:spacing w:line="240" w:lineRule="auto"/>
              <w:ind w:firstLine="0" w:firstLineChars="0"/>
              <w:jc w:val="center"/>
              <w:rPr>
                <w:rFonts w:cs="Times New Roman"/>
                <w:kern w:val="0"/>
                <w:sz w:val="21"/>
                <w:szCs w:val="21"/>
              </w:rPr>
            </w:pPr>
            <w:r>
              <w:rPr>
                <w:rFonts w:hint="eastAsia" w:cs="Times New Roman"/>
                <w:kern w:val="0"/>
                <w:sz w:val="21"/>
                <w:szCs w:val="21"/>
              </w:rPr>
              <w:t>150</w:t>
            </w:r>
          </w:p>
        </w:tc>
        <w:tc>
          <w:tcPr>
            <w:tcW w:w="604" w:type="pct"/>
            <w:vAlign w:val="center"/>
          </w:tcPr>
          <w:p w14:paraId="51ED46DB">
            <w:pPr>
              <w:widowControl/>
              <w:spacing w:line="240" w:lineRule="auto"/>
              <w:ind w:firstLine="0" w:firstLineChars="0"/>
              <w:jc w:val="center"/>
              <w:rPr>
                <w:rFonts w:cs="Times New Roman"/>
                <w:kern w:val="0"/>
                <w:sz w:val="21"/>
                <w:szCs w:val="21"/>
              </w:rPr>
            </w:pPr>
            <w:r>
              <w:rPr>
                <w:rFonts w:hint="eastAsia" w:cs="Times New Roman"/>
                <w:kern w:val="0"/>
                <w:sz w:val="21"/>
                <w:szCs w:val="21"/>
              </w:rPr>
              <w:t>84.6</w:t>
            </w:r>
          </w:p>
        </w:tc>
        <w:tc>
          <w:tcPr>
            <w:tcW w:w="588" w:type="pct"/>
            <w:vAlign w:val="center"/>
          </w:tcPr>
          <w:p w14:paraId="16C412CF">
            <w:pPr>
              <w:widowControl/>
              <w:spacing w:line="240" w:lineRule="auto"/>
              <w:ind w:firstLine="0" w:firstLineChars="0"/>
              <w:jc w:val="center"/>
              <w:rPr>
                <w:rFonts w:cs="Times New Roman"/>
                <w:kern w:val="0"/>
                <w:sz w:val="21"/>
                <w:szCs w:val="21"/>
              </w:rPr>
            </w:pPr>
            <w:r>
              <w:rPr>
                <w:rFonts w:hint="eastAsia" w:cs="Times New Roman"/>
                <w:kern w:val="0"/>
                <w:sz w:val="21"/>
                <w:szCs w:val="21"/>
              </w:rPr>
              <w:t>98.1</w:t>
            </w:r>
          </w:p>
        </w:tc>
        <w:tc>
          <w:tcPr>
            <w:tcW w:w="479" w:type="pct"/>
            <w:vAlign w:val="center"/>
          </w:tcPr>
          <w:p w14:paraId="7B123B1B">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27269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restart"/>
            <w:vAlign w:val="center"/>
          </w:tcPr>
          <w:p w14:paraId="10AFD8D4">
            <w:pPr>
              <w:widowControl/>
              <w:spacing w:line="240" w:lineRule="auto"/>
              <w:ind w:firstLine="0" w:firstLineChars="0"/>
              <w:jc w:val="center"/>
              <w:rPr>
                <w:rFonts w:cs="Times New Roman"/>
                <w:kern w:val="0"/>
                <w:sz w:val="21"/>
                <w:szCs w:val="21"/>
              </w:rPr>
            </w:pPr>
            <w:r>
              <w:rPr>
                <w:rFonts w:hint="eastAsia" w:cs="Times New Roman"/>
                <w:kern w:val="0"/>
                <w:sz w:val="21"/>
                <w:szCs w:val="21"/>
              </w:rPr>
              <w:t>PM</w:t>
            </w:r>
            <w:r>
              <w:rPr>
                <w:rFonts w:hint="eastAsia" w:cs="Times New Roman"/>
                <w:kern w:val="0"/>
                <w:sz w:val="21"/>
                <w:szCs w:val="21"/>
                <w:vertAlign w:val="subscript"/>
              </w:rPr>
              <w:t>2.5</w:t>
            </w:r>
          </w:p>
        </w:tc>
        <w:tc>
          <w:tcPr>
            <w:tcW w:w="1246" w:type="pct"/>
            <w:vAlign w:val="center"/>
          </w:tcPr>
          <w:p w14:paraId="451DEC5F">
            <w:pPr>
              <w:widowControl/>
              <w:spacing w:line="240" w:lineRule="auto"/>
              <w:ind w:firstLine="0" w:firstLineChars="0"/>
              <w:jc w:val="center"/>
              <w:rPr>
                <w:rFonts w:cs="Times New Roman"/>
                <w:kern w:val="0"/>
                <w:sz w:val="21"/>
                <w:szCs w:val="21"/>
              </w:rPr>
            </w:pPr>
            <w:r>
              <w:rPr>
                <w:rFonts w:hint="eastAsia" w:cs="Times New Roman"/>
                <w:kern w:val="0"/>
                <w:sz w:val="21"/>
                <w:szCs w:val="21"/>
              </w:rPr>
              <w:t>年平均质量浓度</w:t>
            </w:r>
          </w:p>
        </w:tc>
        <w:tc>
          <w:tcPr>
            <w:tcW w:w="777" w:type="pct"/>
            <w:vAlign w:val="center"/>
          </w:tcPr>
          <w:p w14:paraId="2801CA8F">
            <w:pPr>
              <w:widowControl/>
              <w:spacing w:line="240" w:lineRule="auto"/>
              <w:ind w:firstLine="0" w:firstLineChars="0"/>
              <w:jc w:val="center"/>
              <w:rPr>
                <w:rFonts w:cs="Times New Roman"/>
                <w:kern w:val="0"/>
                <w:sz w:val="21"/>
                <w:szCs w:val="21"/>
              </w:rPr>
            </w:pPr>
            <w:r>
              <w:rPr>
                <w:rFonts w:hint="eastAsia" w:cs="Times New Roman"/>
                <w:kern w:val="0"/>
                <w:sz w:val="21"/>
                <w:szCs w:val="21"/>
              </w:rPr>
              <w:t>32.7</w:t>
            </w:r>
          </w:p>
        </w:tc>
        <w:tc>
          <w:tcPr>
            <w:tcW w:w="777" w:type="pct"/>
            <w:vAlign w:val="center"/>
          </w:tcPr>
          <w:p w14:paraId="67C4A5D1">
            <w:pPr>
              <w:widowControl/>
              <w:spacing w:line="240" w:lineRule="auto"/>
              <w:ind w:firstLine="0" w:firstLineChars="0"/>
              <w:jc w:val="center"/>
              <w:rPr>
                <w:rFonts w:cs="Times New Roman"/>
                <w:kern w:val="0"/>
                <w:sz w:val="21"/>
                <w:szCs w:val="21"/>
              </w:rPr>
            </w:pPr>
            <w:r>
              <w:rPr>
                <w:rFonts w:hint="eastAsia" w:cs="Times New Roman"/>
                <w:kern w:val="0"/>
                <w:sz w:val="21"/>
                <w:szCs w:val="21"/>
              </w:rPr>
              <w:t>35</w:t>
            </w:r>
          </w:p>
        </w:tc>
        <w:tc>
          <w:tcPr>
            <w:tcW w:w="604" w:type="pct"/>
            <w:vAlign w:val="center"/>
          </w:tcPr>
          <w:p w14:paraId="7E1A22E8">
            <w:pPr>
              <w:widowControl/>
              <w:spacing w:line="240" w:lineRule="auto"/>
              <w:ind w:firstLine="0" w:firstLineChars="0"/>
              <w:jc w:val="center"/>
              <w:rPr>
                <w:rFonts w:cs="Times New Roman"/>
                <w:kern w:val="0"/>
                <w:sz w:val="21"/>
                <w:szCs w:val="21"/>
              </w:rPr>
            </w:pPr>
            <w:r>
              <w:rPr>
                <w:rFonts w:hint="eastAsia" w:cs="Times New Roman"/>
                <w:kern w:val="0"/>
                <w:sz w:val="21"/>
                <w:szCs w:val="21"/>
              </w:rPr>
              <w:t>93.4</w:t>
            </w:r>
          </w:p>
        </w:tc>
        <w:tc>
          <w:tcPr>
            <w:tcW w:w="588" w:type="pct"/>
            <w:vAlign w:val="center"/>
          </w:tcPr>
          <w:p w14:paraId="4BBA1245">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79" w:type="pct"/>
            <w:vAlign w:val="center"/>
          </w:tcPr>
          <w:p w14:paraId="3C5BC1CD">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5ED7D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Merge w:val="continue"/>
            <w:vAlign w:val="center"/>
          </w:tcPr>
          <w:p w14:paraId="0F3DA2F9">
            <w:pPr>
              <w:widowControl/>
              <w:spacing w:line="240" w:lineRule="auto"/>
              <w:ind w:firstLine="0" w:firstLineChars="0"/>
              <w:jc w:val="center"/>
              <w:rPr>
                <w:rFonts w:cs="Times New Roman"/>
                <w:kern w:val="0"/>
                <w:sz w:val="21"/>
                <w:szCs w:val="21"/>
              </w:rPr>
            </w:pPr>
          </w:p>
        </w:tc>
        <w:tc>
          <w:tcPr>
            <w:tcW w:w="1246" w:type="pct"/>
            <w:vAlign w:val="center"/>
          </w:tcPr>
          <w:p w14:paraId="4AA1F4C9">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24小时平均第95百分位数质量浓度</w:t>
            </w:r>
          </w:p>
        </w:tc>
        <w:tc>
          <w:tcPr>
            <w:tcW w:w="777" w:type="pct"/>
            <w:vAlign w:val="center"/>
          </w:tcPr>
          <w:p w14:paraId="4238A40D">
            <w:pPr>
              <w:widowControl/>
              <w:spacing w:line="240" w:lineRule="auto"/>
              <w:ind w:firstLine="0" w:firstLineChars="0"/>
              <w:jc w:val="center"/>
              <w:rPr>
                <w:rFonts w:cs="Times New Roman"/>
                <w:kern w:val="0"/>
                <w:sz w:val="21"/>
                <w:szCs w:val="21"/>
              </w:rPr>
            </w:pPr>
            <w:r>
              <w:rPr>
                <w:rFonts w:hint="eastAsia" w:cs="Times New Roman"/>
                <w:kern w:val="0"/>
                <w:sz w:val="21"/>
                <w:szCs w:val="21"/>
              </w:rPr>
              <w:t>80.7</w:t>
            </w:r>
          </w:p>
        </w:tc>
        <w:tc>
          <w:tcPr>
            <w:tcW w:w="777" w:type="pct"/>
            <w:vAlign w:val="center"/>
          </w:tcPr>
          <w:p w14:paraId="11FA692E">
            <w:pPr>
              <w:widowControl/>
              <w:spacing w:line="240" w:lineRule="auto"/>
              <w:ind w:firstLine="0" w:firstLineChars="0"/>
              <w:jc w:val="center"/>
              <w:rPr>
                <w:rFonts w:cs="Times New Roman"/>
                <w:kern w:val="0"/>
                <w:sz w:val="21"/>
                <w:szCs w:val="21"/>
              </w:rPr>
            </w:pPr>
            <w:r>
              <w:rPr>
                <w:rFonts w:hint="eastAsia" w:cs="Times New Roman"/>
                <w:kern w:val="0"/>
                <w:sz w:val="21"/>
                <w:szCs w:val="21"/>
              </w:rPr>
              <w:t>75</w:t>
            </w:r>
          </w:p>
        </w:tc>
        <w:tc>
          <w:tcPr>
            <w:tcW w:w="604" w:type="pct"/>
            <w:vAlign w:val="center"/>
          </w:tcPr>
          <w:p w14:paraId="4EA1D71C">
            <w:pPr>
              <w:widowControl/>
              <w:spacing w:line="240" w:lineRule="auto"/>
              <w:ind w:firstLine="0" w:firstLineChars="0"/>
              <w:jc w:val="center"/>
              <w:rPr>
                <w:rFonts w:cs="Times New Roman"/>
                <w:kern w:val="0"/>
                <w:sz w:val="21"/>
                <w:szCs w:val="21"/>
              </w:rPr>
            </w:pPr>
            <w:r>
              <w:rPr>
                <w:rFonts w:hint="eastAsia" w:cs="Times New Roman"/>
                <w:kern w:val="0"/>
                <w:sz w:val="21"/>
                <w:szCs w:val="21"/>
              </w:rPr>
              <w:t>107.6</w:t>
            </w:r>
          </w:p>
        </w:tc>
        <w:tc>
          <w:tcPr>
            <w:tcW w:w="588" w:type="pct"/>
            <w:vAlign w:val="center"/>
          </w:tcPr>
          <w:p w14:paraId="31C63F5D">
            <w:pPr>
              <w:widowControl/>
              <w:spacing w:line="240" w:lineRule="auto"/>
              <w:ind w:firstLine="0" w:firstLineChars="0"/>
              <w:jc w:val="center"/>
              <w:rPr>
                <w:rFonts w:cs="Times New Roman"/>
                <w:kern w:val="0"/>
                <w:sz w:val="21"/>
                <w:szCs w:val="21"/>
              </w:rPr>
            </w:pPr>
            <w:r>
              <w:rPr>
                <w:rFonts w:hint="eastAsia" w:cs="Times New Roman"/>
                <w:kern w:val="0"/>
                <w:sz w:val="21"/>
                <w:szCs w:val="21"/>
              </w:rPr>
              <w:t>94.0</w:t>
            </w:r>
          </w:p>
        </w:tc>
        <w:tc>
          <w:tcPr>
            <w:tcW w:w="479" w:type="pct"/>
            <w:vAlign w:val="center"/>
          </w:tcPr>
          <w:p w14:paraId="1D79A5BC">
            <w:pPr>
              <w:widowControl/>
              <w:spacing w:line="240" w:lineRule="auto"/>
              <w:ind w:firstLine="0" w:firstLineChars="0"/>
              <w:jc w:val="center"/>
              <w:rPr>
                <w:rFonts w:cs="Times New Roman"/>
                <w:kern w:val="0"/>
                <w:sz w:val="21"/>
                <w:szCs w:val="21"/>
              </w:rPr>
            </w:pPr>
            <w:r>
              <w:rPr>
                <w:rFonts w:hint="eastAsia" w:cs="Times New Roman"/>
                <w:b/>
                <w:bCs/>
                <w:kern w:val="0"/>
                <w:sz w:val="21"/>
                <w:szCs w:val="21"/>
              </w:rPr>
              <w:t>超标</w:t>
            </w:r>
          </w:p>
        </w:tc>
      </w:tr>
      <w:tr w14:paraId="5F2F8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Align w:val="center"/>
          </w:tcPr>
          <w:p w14:paraId="18E1288F">
            <w:pPr>
              <w:widowControl/>
              <w:spacing w:line="240" w:lineRule="auto"/>
              <w:ind w:firstLine="0" w:firstLineChars="0"/>
              <w:jc w:val="center"/>
              <w:rPr>
                <w:rFonts w:cs="Times New Roman"/>
                <w:kern w:val="0"/>
                <w:sz w:val="21"/>
                <w:szCs w:val="21"/>
              </w:rPr>
            </w:pPr>
            <w:r>
              <w:rPr>
                <w:rFonts w:hint="eastAsia" w:cs="Times New Roman"/>
                <w:kern w:val="0"/>
                <w:sz w:val="21"/>
                <w:szCs w:val="21"/>
              </w:rPr>
              <w:t>CO</w:t>
            </w:r>
          </w:p>
        </w:tc>
        <w:tc>
          <w:tcPr>
            <w:tcW w:w="1246" w:type="pct"/>
            <w:vAlign w:val="center"/>
          </w:tcPr>
          <w:p w14:paraId="10DDC813">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24小时平均第95百分位数质量浓度</w:t>
            </w:r>
          </w:p>
        </w:tc>
        <w:tc>
          <w:tcPr>
            <w:tcW w:w="777" w:type="pct"/>
            <w:vAlign w:val="center"/>
          </w:tcPr>
          <w:p w14:paraId="27513761">
            <w:pPr>
              <w:widowControl/>
              <w:spacing w:line="240" w:lineRule="auto"/>
              <w:ind w:firstLine="0" w:firstLineChars="0"/>
              <w:jc w:val="center"/>
              <w:rPr>
                <w:rFonts w:cs="Times New Roman"/>
                <w:kern w:val="0"/>
                <w:sz w:val="21"/>
                <w:szCs w:val="21"/>
              </w:rPr>
            </w:pPr>
            <w:r>
              <w:rPr>
                <w:rFonts w:hint="eastAsia" w:cs="Times New Roman"/>
                <w:kern w:val="0"/>
                <w:sz w:val="21"/>
                <w:szCs w:val="21"/>
              </w:rPr>
              <w:t>1200</w:t>
            </w:r>
          </w:p>
        </w:tc>
        <w:tc>
          <w:tcPr>
            <w:tcW w:w="777" w:type="pct"/>
            <w:vAlign w:val="center"/>
          </w:tcPr>
          <w:p w14:paraId="71C639BC">
            <w:pPr>
              <w:widowControl/>
              <w:spacing w:line="240" w:lineRule="auto"/>
              <w:ind w:firstLine="0" w:firstLineChars="0"/>
              <w:jc w:val="center"/>
              <w:rPr>
                <w:rFonts w:cs="Times New Roman"/>
                <w:kern w:val="0"/>
                <w:sz w:val="21"/>
                <w:szCs w:val="21"/>
              </w:rPr>
            </w:pPr>
            <w:r>
              <w:rPr>
                <w:rFonts w:hint="eastAsia" w:cs="Times New Roman"/>
                <w:kern w:val="0"/>
                <w:sz w:val="21"/>
                <w:szCs w:val="21"/>
              </w:rPr>
              <w:t>4000</w:t>
            </w:r>
          </w:p>
        </w:tc>
        <w:tc>
          <w:tcPr>
            <w:tcW w:w="604" w:type="pct"/>
            <w:vAlign w:val="center"/>
          </w:tcPr>
          <w:p w14:paraId="5CA1D5A9">
            <w:pPr>
              <w:widowControl/>
              <w:spacing w:line="240" w:lineRule="auto"/>
              <w:ind w:firstLine="0" w:firstLineChars="0"/>
              <w:jc w:val="center"/>
              <w:rPr>
                <w:rFonts w:cs="Times New Roman"/>
                <w:kern w:val="0"/>
                <w:sz w:val="21"/>
                <w:szCs w:val="21"/>
              </w:rPr>
            </w:pPr>
            <w:r>
              <w:rPr>
                <w:rFonts w:hint="eastAsia" w:cs="Times New Roman"/>
                <w:kern w:val="0"/>
                <w:sz w:val="21"/>
                <w:szCs w:val="21"/>
              </w:rPr>
              <w:t>30</w:t>
            </w:r>
          </w:p>
        </w:tc>
        <w:tc>
          <w:tcPr>
            <w:tcW w:w="588" w:type="pct"/>
            <w:vAlign w:val="center"/>
          </w:tcPr>
          <w:p w14:paraId="478E91AE">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479" w:type="pct"/>
            <w:vAlign w:val="center"/>
          </w:tcPr>
          <w:p w14:paraId="43779F85">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69FB7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pct"/>
            <w:vAlign w:val="center"/>
          </w:tcPr>
          <w:p w14:paraId="3E3F4C1A">
            <w:pPr>
              <w:widowControl/>
              <w:spacing w:line="240" w:lineRule="auto"/>
              <w:ind w:firstLine="0" w:firstLineChars="0"/>
              <w:jc w:val="center"/>
              <w:rPr>
                <w:rFonts w:cs="Times New Roman"/>
                <w:kern w:val="0"/>
                <w:sz w:val="21"/>
                <w:szCs w:val="21"/>
              </w:rPr>
            </w:pPr>
            <w:r>
              <w:rPr>
                <w:rFonts w:hint="eastAsia" w:cs="Times New Roman"/>
                <w:kern w:val="0"/>
                <w:sz w:val="21"/>
                <w:szCs w:val="21"/>
              </w:rPr>
              <w:t>O</w:t>
            </w:r>
            <w:r>
              <w:rPr>
                <w:rFonts w:hint="eastAsia" w:cs="Times New Roman"/>
                <w:kern w:val="0"/>
                <w:sz w:val="21"/>
                <w:szCs w:val="21"/>
                <w:vertAlign w:val="subscript"/>
              </w:rPr>
              <w:t>3</w:t>
            </w:r>
          </w:p>
        </w:tc>
        <w:tc>
          <w:tcPr>
            <w:tcW w:w="1246" w:type="pct"/>
            <w:vAlign w:val="center"/>
          </w:tcPr>
          <w:p w14:paraId="1D5744A9">
            <w:pPr>
              <w:widowControl/>
              <w:spacing w:line="240" w:lineRule="auto"/>
              <w:ind w:firstLine="0" w:firstLineChars="0"/>
              <w:jc w:val="center"/>
              <w:rPr>
                <w:rFonts w:cs="Times New Roman"/>
                <w:kern w:val="0"/>
                <w:sz w:val="21"/>
                <w:szCs w:val="21"/>
              </w:rPr>
            </w:pPr>
            <w:r>
              <w:rPr>
                <w:rFonts w:hint="eastAsia" w:cs="Times New Roman"/>
                <w:kern w:val="0"/>
                <w:sz w:val="21"/>
                <w:szCs w:val="21"/>
              </w:rPr>
              <w:t>日最大8小时滑动平均第90百分位数质量浓度</w:t>
            </w:r>
          </w:p>
        </w:tc>
        <w:tc>
          <w:tcPr>
            <w:tcW w:w="777" w:type="pct"/>
            <w:vAlign w:val="center"/>
          </w:tcPr>
          <w:p w14:paraId="37F1B840">
            <w:pPr>
              <w:widowControl/>
              <w:spacing w:line="240" w:lineRule="auto"/>
              <w:ind w:firstLine="0" w:firstLineChars="0"/>
              <w:jc w:val="center"/>
              <w:rPr>
                <w:rFonts w:cs="Times New Roman"/>
                <w:kern w:val="0"/>
                <w:sz w:val="21"/>
                <w:szCs w:val="21"/>
              </w:rPr>
            </w:pPr>
            <w:r>
              <w:rPr>
                <w:rFonts w:hint="eastAsia" w:cs="Times New Roman"/>
                <w:kern w:val="0"/>
                <w:sz w:val="21"/>
                <w:szCs w:val="21"/>
              </w:rPr>
              <w:t>170.7</w:t>
            </w:r>
          </w:p>
        </w:tc>
        <w:tc>
          <w:tcPr>
            <w:tcW w:w="777" w:type="pct"/>
            <w:vAlign w:val="center"/>
          </w:tcPr>
          <w:p w14:paraId="4F363336">
            <w:pPr>
              <w:widowControl/>
              <w:spacing w:line="240" w:lineRule="auto"/>
              <w:ind w:firstLine="0" w:firstLineChars="0"/>
              <w:jc w:val="center"/>
              <w:rPr>
                <w:rFonts w:cs="Times New Roman"/>
                <w:kern w:val="0"/>
                <w:sz w:val="21"/>
                <w:szCs w:val="21"/>
              </w:rPr>
            </w:pPr>
            <w:r>
              <w:rPr>
                <w:rFonts w:hint="eastAsia" w:cs="Times New Roman"/>
                <w:kern w:val="0"/>
                <w:sz w:val="21"/>
                <w:szCs w:val="21"/>
              </w:rPr>
              <w:t>160</w:t>
            </w:r>
          </w:p>
        </w:tc>
        <w:tc>
          <w:tcPr>
            <w:tcW w:w="604" w:type="pct"/>
            <w:vAlign w:val="center"/>
          </w:tcPr>
          <w:p w14:paraId="6D576ECA">
            <w:pPr>
              <w:widowControl/>
              <w:spacing w:line="240" w:lineRule="auto"/>
              <w:ind w:firstLine="0" w:firstLineChars="0"/>
              <w:jc w:val="center"/>
              <w:rPr>
                <w:rFonts w:cs="Times New Roman"/>
                <w:kern w:val="0"/>
                <w:sz w:val="21"/>
                <w:szCs w:val="21"/>
              </w:rPr>
            </w:pPr>
            <w:r>
              <w:rPr>
                <w:rFonts w:hint="eastAsia" w:cs="Times New Roman"/>
                <w:kern w:val="0"/>
                <w:sz w:val="21"/>
                <w:szCs w:val="21"/>
              </w:rPr>
              <w:t>106.7</w:t>
            </w:r>
          </w:p>
        </w:tc>
        <w:tc>
          <w:tcPr>
            <w:tcW w:w="588" w:type="pct"/>
            <w:vAlign w:val="center"/>
          </w:tcPr>
          <w:p w14:paraId="4E4222DC">
            <w:pPr>
              <w:widowControl/>
              <w:spacing w:line="240" w:lineRule="auto"/>
              <w:ind w:firstLine="0" w:firstLineChars="0"/>
              <w:jc w:val="center"/>
              <w:rPr>
                <w:rFonts w:cs="Times New Roman"/>
                <w:kern w:val="0"/>
                <w:sz w:val="21"/>
                <w:szCs w:val="21"/>
              </w:rPr>
            </w:pPr>
            <w:r>
              <w:rPr>
                <w:rFonts w:hint="eastAsia" w:cs="Times New Roman"/>
                <w:kern w:val="0"/>
                <w:sz w:val="21"/>
                <w:szCs w:val="21"/>
              </w:rPr>
              <w:t>84.9</w:t>
            </w:r>
          </w:p>
        </w:tc>
        <w:tc>
          <w:tcPr>
            <w:tcW w:w="479" w:type="pct"/>
            <w:vAlign w:val="center"/>
          </w:tcPr>
          <w:p w14:paraId="5A4025EA">
            <w:pPr>
              <w:widowControl/>
              <w:spacing w:line="240" w:lineRule="auto"/>
              <w:ind w:firstLine="0" w:firstLineChars="0"/>
              <w:jc w:val="center"/>
              <w:rPr>
                <w:rFonts w:cs="Times New Roman"/>
                <w:kern w:val="0"/>
                <w:sz w:val="21"/>
                <w:szCs w:val="21"/>
              </w:rPr>
            </w:pPr>
            <w:r>
              <w:rPr>
                <w:rFonts w:hint="eastAsia" w:cs="Times New Roman"/>
                <w:b/>
                <w:bCs/>
                <w:kern w:val="0"/>
                <w:sz w:val="21"/>
                <w:szCs w:val="21"/>
              </w:rPr>
              <w:t>超标</w:t>
            </w:r>
          </w:p>
        </w:tc>
      </w:tr>
      <w:bookmarkEnd w:id="75"/>
      <w:bookmarkEnd w:id="76"/>
    </w:tbl>
    <w:p w14:paraId="6E8E9C81">
      <w:pPr>
        <w:pStyle w:val="45"/>
        <w:spacing w:line="240" w:lineRule="auto"/>
        <w:rPr>
          <w:rFonts w:cs="Times New Roman"/>
        </w:rPr>
      </w:pPr>
      <w:r>
        <w:rPr>
          <w:rFonts w:hint="eastAsia" w:cs="Times New Roman"/>
        </w:rPr>
        <w:t>表3.5.1-4  2024年茅管会大气监测站基本污染物现状监测结果评价表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9"/>
        <w:gridCol w:w="2108"/>
        <w:gridCol w:w="1326"/>
        <w:gridCol w:w="1326"/>
        <w:gridCol w:w="1031"/>
        <w:gridCol w:w="1004"/>
        <w:gridCol w:w="818"/>
      </w:tblGrid>
      <w:tr w14:paraId="0FEB0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533" w:type="pct"/>
            <w:vAlign w:val="center"/>
          </w:tcPr>
          <w:p w14:paraId="7016FE97">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污染物</w:t>
            </w:r>
          </w:p>
        </w:tc>
        <w:tc>
          <w:tcPr>
            <w:tcW w:w="1236" w:type="pct"/>
            <w:vAlign w:val="center"/>
          </w:tcPr>
          <w:p w14:paraId="3D31DF44">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年评价指标</w:t>
            </w:r>
          </w:p>
        </w:tc>
        <w:tc>
          <w:tcPr>
            <w:tcW w:w="777" w:type="pct"/>
            <w:vAlign w:val="center"/>
          </w:tcPr>
          <w:p w14:paraId="3D4F09A5">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现状浓度</w:t>
            </w:r>
          </w:p>
          <w:p w14:paraId="1C31E5E5">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（μg/m</w:t>
            </w:r>
            <w:r>
              <w:rPr>
                <w:rFonts w:hint="eastAsia" w:cs="Times New Roman"/>
                <w:b/>
                <w:bCs/>
                <w:kern w:val="0"/>
                <w:sz w:val="21"/>
                <w:szCs w:val="21"/>
                <w:vertAlign w:val="superscript"/>
              </w:rPr>
              <w:t>3</w:t>
            </w:r>
            <w:r>
              <w:rPr>
                <w:rFonts w:hint="eastAsia" w:cs="Times New Roman"/>
                <w:b/>
                <w:bCs/>
                <w:kern w:val="0"/>
                <w:sz w:val="21"/>
                <w:szCs w:val="21"/>
              </w:rPr>
              <w:t>）</w:t>
            </w:r>
          </w:p>
        </w:tc>
        <w:tc>
          <w:tcPr>
            <w:tcW w:w="777" w:type="pct"/>
            <w:vAlign w:val="center"/>
          </w:tcPr>
          <w:p w14:paraId="414D4BB2">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标准值</w:t>
            </w:r>
          </w:p>
          <w:p w14:paraId="4D5DCCC5">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（μg/m</w:t>
            </w:r>
            <w:r>
              <w:rPr>
                <w:rFonts w:hint="eastAsia" w:cs="Times New Roman"/>
                <w:b/>
                <w:bCs/>
                <w:kern w:val="0"/>
                <w:sz w:val="21"/>
                <w:szCs w:val="21"/>
                <w:vertAlign w:val="superscript"/>
              </w:rPr>
              <w:t>3</w:t>
            </w:r>
            <w:r>
              <w:rPr>
                <w:rFonts w:hint="eastAsia" w:cs="Times New Roman"/>
                <w:b/>
                <w:bCs/>
                <w:kern w:val="0"/>
                <w:sz w:val="21"/>
                <w:szCs w:val="21"/>
              </w:rPr>
              <w:t>）</w:t>
            </w:r>
          </w:p>
        </w:tc>
        <w:tc>
          <w:tcPr>
            <w:tcW w:w="604" w:type="pct"/>
            <w:vAlign w:val="center"/>
          </w:tcPr>
          <w:p w14:paraId="22858AFE">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占标率（%）</w:t>
            </w:r>
          </w:p>
        </w:tc>
        <w:tc>
          <w:tcPr>
            <w:tcW w:w="588" w:type="pct"/>
            <w:vAlign w:val="center"/>
          </w:tcPr>
          <w:p w14:paraId="7831FB8D">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达标率（%）</w:t>
            </w:r>
          </w:p>
        </w:tc>
        <w:tc>
          <w:tcPr>
            <w:tcW w:w="479" w:type="pct"/>
            <w:vAlign w:val="center"/>
          </w:tcPr>
          <w:p w14:paraId="308C42CA">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达标情况</w:t>
            </w:r>
          </w:p>
        </w:tc>
      </w:tr>
      <w:tr w14:paraId="0CBA4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pct"/>
            <w:vMerge w:val="restart"/>
            <w:vAlign w:val="center"/>
          </w:tcPr>
          <w:p w14:paraId="47A6C33A">
            <w:pPr>
              <w:widowControl/>
              <w:spacing w:line="240" w:lineRule="auto"/>
              <w:ind w:firstLine="0" w:firstLineChars="0"/>
              <w:jc w:val="center"/>
              <w:rPr>
                <w:rFonts w:cs="Times New Roman"/>
                <w:kern w:val="0"/>
                <w:sz w:val="21"/>
                <w:szCs w:val="21"/>
              </w:rPr>
            </w:pPr>
            <w:r>
              <w:rPr>
                <w:rFonts w:hint="eastAsia" w:cs="Times New Roman"/>
                <w:kern w:val="0"/>
                <w:sz w:val="21"/>
                <w:szCs w:val="21"/>
              </w:rPr>
              <w:t>SO</w:t>
            </w:r>
            <w:r>
              <w:rPr>
                <w:rFonts w:hint="eastAsia" w:cs="Times New Roman"/>
                <w:kern w:val="0"/>
                <w:sz w:val="21"/>
                <w:szCs w:val="21"/>
                <w:vertAlign w:val="subscript"/>
              </w:rPr>
              <w:t>2</w:t>
            </w:r>
          </w:p>
        </w:tc>
        <w:tc>
          <w:tcPr>
            <w:tcW w:w="1236" w:type="pct"/>
            <w:vAlign w:val="center"/>
          </w:tcPr>
          <w:p w14:paraId="639C5AB7">
            <w:pPr>
              <w:widowControl/>
              <w:spacing w:line="240" w:lineRule="auto"/>
              <w:ind w:firstLine="0" w:firstLineChars="0"/>
              <w:jc w:val="center"/>
              <w:rPr>
                <w:rFonts w:cs="Times New Roman"/>
                <w:kern w:val="0"/>
                <w:sz w:val="21"/>
                <w:szCs w:val="21"/>
              </w:rPr>
            </w:pPr>
            <w:r>
              <w:rPr>
                <w:rFonts w:hint="eastAsia" w:cs="Times New Roman"/>
                <w:kern w:val="0"/>
                <w:sz w:val="21"/>
                <w:szCs w:val="21"/>
              </w:rPr>
              <w:t>年平均质量浓度</w:t>
            </w:r>
          </w:p>
        </w:tc>
        <w:tc>
          <w:tcPr>
            <w:tcW w:w="777" w:type="pct"/>
            <w:vAlign w:val="center"/>
          </w:tcPr>
          <w:p w14:paraId="005105BC">
            <w:pPr>
              <w:widowControl/>
              <w:spacing w:line="240" w:lineRule="auto"/>
              <w:ind w:firstLine="0" w:firstLineChars="0"/>
              <w:jc w:val="center"/>
              <w:rPr>
                <w:rFonts w:cs="Times New Roman"/>
                <w:kern w:val="0"/>
                <w:sz w:val="21"/>
                <w:szCs w:val="21"/>
              </w:rPr>
            </w:pPr>
            <w:r>
              <w:rPr>
                <w:rFonts w:hint="eastAsia" w:cs="Times New Roman"/>
                <w:kern w:val="0"/>
                <w:sz w:val="21"/>
                <w:szCs w:val="21"/>
              </w:rPr>
              <w:t>8.3</w:t>
            </w:r>
          </w:p>
        </w:tc>
        <w:tc>
          <w:tcPr>
            <w:tcW w:w="777" w:type="pct"/>
            <w:vAlign w:val="center"/>
          </w:tcPr>
          <w:p w14:paraId="3F55BC50">
            <w:pPr>
              <w:widowControl/>
              <w:spacing w:line="240" w:lineRule="auto"/>
              <w:ind w:firstLine="0" w:firstLineChars="0"/>
              <w:jc w:val="center"/>
              <w:rPr>
                <w:rFonts w:cs="Times New Roman"/>
                <w:kern w:val="0"/>
                <w:sz w:val="21"/>
                <w:szCs w:val="21"/>
              </w:rPr>
            </w:pPr>
            <w:r>
              <w:rPr>
                <w:rFonts w:hint="eastAsia" w:cs="Times New Roman"/>
                <w:kern w:val="0"/>
                <w:sz w:val="21"/>
                <w:szCs w:val="21"/>
              </w:rPr>
              <w:t>60</w:t>
            </w:r>
          </w:p>
        </w:tc>
        <w:tc>
          <w:tcPr>
            <w:tcW w:w="604" w:type="pct"/>
            <w:vAlign w:val="center"/>
          </w:tcPr>
          <w:p w14:paraId="572619B0">
            <w:pPr>
              <w:widowControl/>
              <w:spacing w:line="240" w:lineRule="auto"/>
              <w:ind w:firstLine="0" w:firstLineChars="0"/>
              <w:jc w:val="center"/>
              <w:rPr>
                <w:rFonts w:cs="Times New Roman"/>
                <w:kern w:val="0"/>
                <w:sz w:val="21"/>
                <w:szCs w:val="21"/>
              </w:rPr>
            </w:pPr>
            <w:r>
              <w:rPr>
                <w:rFonts w:hint="eastAsia" w:cs="Times New Roman"/>
                <w:kern w:val="0"/>
                <w:sz w:val="21"/>
                <w:szCs w:val="21"/>
              </w:rPr>
              <w:t xml:space="preserve">12.3 </w:t>
            </w:r>
          </w:p>
        </w:tc>
        <w:tc>
          <w:tcPr>
            <w:tcW w:w="588" w:type="pct"/>
            <w:vAlign w:val="center"/>
          </w:tcPr>
          <w:p w14:paraId="6BB447E1">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79" w:type="pct"/>
            <w:vAlign w:val="center"/>
          </w:tcPr>
          <w:p w14:paraId="7E3685DC">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26C92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pct"/>
            <w:vMerge w:val="continue"/>
            <w:vAlign w:val="center"/>
          </w:tcPr>
          <w:p w14:paraId="60DC2AA6">
            <w:pPr>
              <w:widowControl/>
              <w:spacing w:line="240" w:lineRule="auto"/>
              <w:ind w:firstLine="0" w:firstLineChars="0"/>
              <w:jc w:val="center"/>
              <w:rPr>
                <w:rFonts w:cs="Times New Roman"/>
                <w:kern w:val="0"/>
                <w:sz w:val="21"/>
                <w:szCs w:val="21"/>
              </w:rPr>
            </w:pPr>
          </w:p>
        </w:tc>
        <w:tc>
          <w:tcPr>
            <w:tcW w:w="1236" w:type="pct"/>
            <w:vAlign w:val="center"/>
          </w:tcPr>
          <w:p w14:paraId="795CFDDD">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24小时平均第98百分位数质量浓度</w:t>
            </w:r>
          </w:p>
        </w:tc>
        <w:tc>
          <w:tcPr>
            <w:tcW w:w="777" w:type="pct"/>
            <w:vAlign w:val="center"/>
          </w:tcPr>
          <w:p w14:paraId="7F840623">
            <w:pPr>
              <w:widowControl/>
              <w:spacing w:line="240" w:lineRule="auto"/>
              <w:ind w:firstLine="0" w:firstLineChars="0"/>
              <w:jc w:val="center"/>
              <w:rPr>
                <w:rFonts w:cs="Times New Roman"/>
                <w:kern w:val="0"/>
                <w:sz w:val="21"/>
                <w:szCs w:val="21"/>
              </w:rPr>
            </w:pPr>
            <w:r>
              <w:rPr>
                <w:rFonts w:hint="eastAsia" w:cs="Times New Roman"/>
                <w:kern w:val="0"/>
                <w:sz w:val="21"/>
                <w:szCs w:val="21"/>
              </w:rPr>
              <w:t>13</w:t>
            </w:r>
          </w:p>
        </w:tc>
        <w:tc>
          <w:tcPr>
            <w:tcW w:w="777" w:type="pct"/>
            <w:vAlign w:val="center"/>
          </w:tcPr>
          <w:p w14:paraId="06EC5A7D">
            <w:pPr>
              <w:widowControl/>
              <w:spacing w:line="240" w:lineRule="auto"/>
              <w:ind w:firstLine="0" w:firstLineChars="0"/>
              <w:jc w:val="center"/>
              <w:rPr>
                <w:rFonts w:cs="Times New Roman"/>
                <w:kern w:val="0"/>
                <w:sz w:val="21"/>
                <w:szCs w:val="21"/>
              </w:rPr>
            </w:pPr>
            <w:r>
              <w:rPr>
                <w:rFonts w:hint="eastAsia" w:cs="Times New Roman"/>
                <w:kern w:val="0"/>
                <w:sz w:val="21"/>
                <w:szCs w:val="21"/>
              </w:rPr>
              <w:t>150</w:t>
            </w:r>
          </w:p>
        </w:tc>
        <w:tc>
          <w:tcPr>
            <w:tcW w:w="604" w:type="pct"/>
            <w:vAlign w:val="center"/>
          </w:tcPr>
          <w:p w14:paraId="345824EF">
            <w:pPr>
              <w:widowControl/>
              <w:spacing w:line="240" w:lineRule="auto"/>
              <w:ind w:firstLine="0" w:firstLineChars="0"/>
              <w:jc w:val="center"/>
              <w:rPr>
                <w:rFonts w:cs="Times New Roman"/>
                <w:kern w:val="0"/>
                <w:sz w:val="21"/>
                <w:szCs w:val="21"/>
              </w:rPr>
            </w:pPr>
            <w:r>
              <w:rPr>
                <w:rFonts w:hint="eastAsia" w:cs="Times New Roman"/>
                <w:kern w:val="0"/>
                <w:sz w:val="21"/>
                <w:szCs w:val="21"/>
              </w:rPr>
              <w:t>8.7</w:t>
            </w:r>
          </w:p>
        </w:tc>
        <w:tc>
          <w:tcPr>
            <w:tcW w:w="588" w:type="pct"/>
            <w:vAlign w:val="center"/>
          </w:tcPr>
          <w:p w14:paraId="348DAF27">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479" w:type="pct"/>
            <w:vAlign w:val="center"/>
          </w:tcPr>
          <w:p w14:paraId="3A854C33">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6D734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pct"/>
            <w:vMerge w:val="restart"/>
            <w:vAlign w:val="center"/>
          </w:tcPr>
          <w:p w14:paraId="0D4FEAF4">
            <w:pPr>
              <w:widowControl/>
              <w:spacing w:line="240" w:lineRule="auto"/>
              <w:ind w:firstLine="0" w:firstLineChars="0"/>
              <w:jc w:val="center"/>
              <w:rPr>
                <w:rFonts w:cs="Times New Roman"/>
                <w:kern w:val="0"/>
                <w:sz w:val="21"/>
                <w:szCs w:val="21"/>
              </w:rPr>
            </w:pPr>
            <w:r>
              <w:rPr>
                <w:rFonts w:hint="eastAsia" w:cs="Times New Roman"/>
                <w:kern w:val="0"/>
                <w:sz w:val="21"/>
                <w:szCs w:val="21"/>
              </w:rPr>
              <w:t>NO</w:t>
            </w:r>
            <w:r>
              <w:rPr>
                <w:rFonts w:hint="eastAsia" w:cs="Times New Roman"/>
                <w:kern w:val="0"/>
                <w:sz w:val="21"/>
                <w:szCs w:val="21"/>
                <w:vertAlign w:val="subscript"/>
              </w:rPr>
              <w:t>2</w:t>
            </w:r>
          </w:p>
        </w:tc>
        <w:tc>
          <w:tcPr>
            <w:tcW w:w="1236" w:type="pct"/>
            <w:vAlign w:val="center"/>
          </w:tcPr>
          <w:p w14:paraId="4DF5381B">
            <w:pPr>
              <w:widowControl/>
              <w:spacing w:line="240" w:lineRule="auto"/>
              <w:ind w:firstLine="0" w:firstLineChars="0"/>
              <w:jc w:val="center"/>
              <w:rPr>
                <w:rFonts w:cs="Times New Roman"/>
                <w:kern w:val="0"/>
                <w:sz w:val="21"/>
                <w:szCs w:val="21"/>
              </w:rPr>
            </w:pPr>
            <w:r>
              <w:rPr>
                <w:rFonts w:hint="eastAsia" w:cs="Times New Roman"/>
                <w:kern w:val="0"/>
                <w:sz w:val="21"/>
                <w:szCs w:val="21"/>
              </w:rPr>
              <w:t>年平均质量浓度</w:t>
            </w:r>
          </w:p>
        </w:tc>
        <w:tc>
          <w:tcPr>
            <w:tcW w:w="777" w:type="pct"/>
            <w:vAlign w:val="center"/>
          </w:tcPr>
          <w:p w14:paraId="537636C1">
            <w:pPr>
              <w:widowControl/>
              <w:spacing w:line="240" w:lineRule="auto"/>
              <w:ind w:firstLine="0" w:firstLineChars="0"/>
              <w:jc w:val="center"/>
              <w:rPr>
                <w:rFonts w:cs="Times New Roman"/>
                <w:kern w:val="0"/>
                <w:sz w:val="21"/>
                <w:szCs w:val="21"/>
              </w:rPr>
            </w:pPr>
            <w:r>
              <w:rPr>
                <w:rFonts w:hint="eastAsia" w:cs="Times New Roman"/>
                <w:kern w:val="0"/>
                <w:sz w:val="21"/>
                <w:szCs w:val="21"/>
              </w:rPr>
              <w:t>19.1</w:t>
            </w:r>
          </w:p>
        </w:tc>
        <w:tc>
          <w:tcPr>
            <w:tcW w:w="777" w:type="pct"/>
            <w:vAlign w:val="center"/>
          </w:tcPr>
          <w:p w14:paraId="791F66DF">
            <w:pPr>
              <w:widowControl/>
              <w:spacing w:line="240" w:lineRule="auto"/>
              <w:ind w:firstLine="0" w:firstLineChars="0"/>
              <w:jc w:val="center"/>
              <w:rPr>
                <w:rFonts w:cs="Times New Roman"/>
                <w:kern w:val="0"/>
                <w:sz w:val="21"/>
                <w:szCs w:val="21"/>
              </w:rPr>
            </w:pPr>
            <w:r>
              <w:rPr>
                <w:rFonts w:hint="eastAsia" w:cs="Times New Roman"/>
                <w:kern w:val="0"/>
                <w:sz w:val="21"/>
                <w:szCs w:val="21"/>
              </w:rPr>
              <w:t>40</w:t>
            </w:r>
          </w:p>
        </w:tc>
        <w:tc>
          <w:tcPr>
            <w:tcW w:w="604" w:type="pct"/>
            <w:vAlign w:val="center"/>
          </w:tcPr>
          <w:p w14:paraId="44BA7445">
            <w:pPr>
              <w:widowControl/>
              <w:spacing w:line="240" w:lineRule="auto"/>
              <w:ind w:firstLine="0" w:firstLineChars="0"/>
              <w:jc w:val="center"/>
              <w:rPr>
                <w:rFonts w:cs="Times New Roman"/>
                <w:kern w:val="0"/>
                <w:sz w:val="21"/>
                <w:szCs w:val="21"/>
              </w:rPr>
            </w:pPr>
            <w:r>
              <w:rPr>
                <w:rFonts w:hint="eastAsia" w:cs="Times New Roman"/>
                <w:kern w:val="0"/>
                <w:sz w:val="21"/>
                <w:szCs w:val="21"/>
              </w:rPr>
              <w:t xml:space="preserve">47.5 </w:t>
            </w:r>
          </w:p>
        </w:tc>
        <w:tc>
          <w:tcPr>
            <w:tcW w:w="588" w:type="pct"/>
            <w:vAlign w:val="center"/>
          </w:tcPr>
          <w:p w14:paraId="400B4D43">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79" w:type="pct"/>
            <w:vAlign w:val="center"/>
          </w:tcPr>
          <w:p w14:paraId="0C9FE726">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33020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pct"/>
            <w:vMerge w:val="continue"/>
            <w:vAlign w:val="center"/>
          </w:tcPr>
          <w:p w14:paraId="7B8B2F72">
            <w:pPr>
              <w:widowControl/>
              <w:spacing w:line="240" w:lineRule="auto"/>
              <w:ind w:firstLine="0" w:firstLineChars="0"/>
              <w:jc w:val="center"/>
              <w:rPr>
                <w:rFonts w:cs="Times New Roman"/>
                <w:kern w:val="0"/>
                <w:sz w:val="21"/>
                <w:szCs w:val="21"/>
              </w:rPr>
            </w:pPr>
          </w:p>
        </w:tc>
        <w:tc>
          <w:tcPr>
            <w:tcW w:w="1236" w:type="pct"/>
            <w:vAlign w:val="center"/>
          </w:tcPr>
          <w:p w14:paraId="25A8289E">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24小时平均第98百分位数质量浓度</w:t>
            </w:r>
          </w:p>
        </w:tc>
        <w:tc>
          <w:tcPr>
            <w:tcW w:w="777" w:type="pct"/>
            <w:vAlign w:val="center"/>
          </w:tcPr>
          <w:p w14:paraId="3F2B0725">
            <w:pPr>
              <w:widowControl/>
              <w:spacing w:line="240" w:lineRule="auto"/>
              <w:ind w:firstLine="0" w:firstLineChars="0"/>
              <w:jc w:val="center"/>
              <w:rPr>
                <w:rFonts w:cs="Times New Roman"/>
                <w:kern w:val="0"/>
                <w:sz w:val="21"/>
                <w:szCs w:val="21"/>
              </w:rPr>
            </w:pPr>
            <w:r>
              <w:rPr>
                <w:rFonts w:hint="eastAsia" w:cs="Times New Roman"/>
                <w:kern w:val="0"/>
                <w:sz w:val="21"/>
                <w:szCs w:val="21"/>
              </w:rPr>
              <w:t>52</w:t>
            </w:r>
          </w:p>
        </w:tc>
        <w:tc>
          <w:tcPr>
            <w:tcW w:w="777" w:type="pct"/>
            <w:vAlign w:val="center"/>
          </w:tcPr>
          <w:p w14:paraId="70BDF6CC">
            <w:pPr>
              <w:widowControl/>
              <w:spacing w:line="240" w:lineRule="auto"/>
              <w:ind w:firstLine="0" w:firstLineChars="0"/>
              <w:jc w:val="center"/>
              <w:rPr>
                <w:rFonts w:cs="Times New Roman"/>
                <w:kern w:val="0"/>
                <w:sz w:val="21"/>
                <w:szCs w:val="21"/>
              </w:rPr>
            </w:pPr>
            <w:r>
              <w:rPr>
                <w:rFonts w:hint="eastAsia" w:cs="Times New Roman"/>
                <w:kern w:val="0"/>
                <w:sz w:val="21"/>
                <w:szCs w:val="21"/>
              </w:rPr>
              <w:t>80</w:t>
            </w:r>
          </w:p>
        </w:tc>
        <w:tc>
          <w:tcPr>
            <w:tcW w:w="604" w:type="pct"/>
            <w:vAlign w:val="center"/>
          </w:tcPr>
          <w:p w14:paraId="42B1E094">
            <w:pPr>
              <w:widowControl/>
              <w:spacing w:line="240" w:lineRule="auto"/>
              <w:ind w:firstLine="0" w:firstLineChars="0"/>
              <w:jc w:val="center"/>
              <w:rPr>
                <w:rFonts w:cs="Times New Roman"/>
                <w:kern w:val="0"/>
                <w:sz w:val="21"/>
                <w:szCs w:val="21"/>
              </w:rPr>
            </w:pPr>
            <w:r>
              <w:rPr>
                <w:rFonts w:hint="eastAsia" w:cs="Times New Roman"/>
                <w:kern w:val="0"/>
                <w:sz w:val="21"/>
                <w:szCs w:val="21"/>
              </w:rPr>
              <w:t xml:space="preserve">65 </w:t>
            </w:r>
          </w:p>
        </w:tc>
        <w:tc>
          <w:tcPr>
            <w:tcW w:w="588" w:type="pct"/>
            <w:vAlign w:val="center"/>
          </w:tcPr>
          <w:p w14:paraId="3D0159F8">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479" w:type="pct"/>
            <w:vAlign w:val="center"/>
          </w:tcPr>
          <w:p w14:paraId="77E54E84">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05F1D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pct"/>
            <w:vMerge w:val="restart"/>
            <w:vAlign w:val="center"/>
          </w:tcPr>
          <w:p w14:paraId="70A554CC">
            <w:pPr>
              <w:widowControl/>
              <w:spacing w:line="240" w:lineRule="auto"/>
              <w:ind w:firstLine="0" w:firstLineChars="0"/>
              <w:jc w:val="center"/>
              <w:rPr>
                <w:rFonts w:cs="Times New Roman"/>
                <w:kern w:val="0"/>
                <w:sz w:val="21"/>
                <w:szCs w:val="21"/>
              </w:rPr>
            </w:pPr>
            <w:r>
              <w:rPr>
                <w:rFonts w:hint="eastAsia" w:cs="Times New Roman"/>
                <w:kern w:val="0"/>
                <w:sz w:val="21"/>
                <w:szCs w:val="21"/>
              </w:rPr>
              <w:t>PM</w:t>
            </w:r>
            <w:r>
              <w:rPr>
                <w:rFonts w:hint="eastAsia" w:cs="Times New Roman"/>
                <w:kern w:val="0"/>
                <w:sz w:val="21"/>
                <w:szCs w:val="21"/>
                <w:vertAlign w:val="subscript"/>
              </w:rPr>
              <w:t>10</w:t>
            </w:r>
          </w:p>
        </w:tc>
        <w:tc>
          <w:tcPr>
            <w:tcW w:w="1236" w:type="pct"/>
            <w:vAlign w:val="center"/>
          </w:tcPr>
          <w:p w14:paraId="11B303F5">
            <w:pPr>
              <w:widowControl/>
              <w:spacing w:line="240" w:lineRule="auto"/>
              <w:ind w:firstLine="0" w:firstLineChars="0"/>
              <w:jc w:val="center"/>
              <w:rPr>
                <w:rFonts w:cs="Times New Roman"/>
                <w:kern w:val="0"/>
                <w:sz w:val="21"/>
                <w:szCs w:val="21"/>
              </w:rPr>
            </w:pPr>
            <w:r>
              <w:rPr>
                <w:rFonts w:hint="eastAsia" w:cs="Times New Roman"/>
                <w:kern w:val="0"/>
                <w:sz w:val="21"/>
                <w:szCs w:val="21"/>
              </w:rPr>
              <w:t>年平均质量浓度</w:t>
            </w:r>
          </w:p>
        </w:tc>
        <w:tc>
          <w:tcPr>
            <w:tcW w:w="777" w:type="pct"/>
            <w:vAlign w:val="center"/>
          </w:tcPr>
          <w:p w14:paraId="1BAB8C92">
            <w:pPr>
              <w:widowControl/>
              <w:spacing w:line="240" w:lineRule="auto"/>
              <w:ind w:firstLine="0" w:firstLineChars="0"/>
              <w:jc w:val="center"/>
              <w:rPr>
                <w:rFonts w:cs="Times New Roman"/>
                <w:kern w:val="0"/>
                <w:sz w:val="21"/>
                <w:szCs w:val="21"/>
              </w:rPr>
            </w:pPr>
            <w:r>
              <w:rPr>
                <w:rFonts w:hint="eastAsia" w:cs="Times New Roman"/>
                <w:kern w:val="0"/>
                <w:sz w:val="21"/>
                <w:szCs w:val="21"/>
              </w:rPr>
              <w:t>46.2</w:t>
            </w:r>
          </w:p>
        </w:tc>
        <w:tc>
          <w:tcPr>
            <w:tcW w:w="777" w:type="pct"/>
            <w:vAlign w:val="center"/>
          </w:tcPr>
          <w:p w14:paraId="1F3C8A38">
            <w:pPr>
              <w:widowControl/>
              <w:spacing w:line="240" w:lineRule="auto"/>
              <w:ind w:firstLine="0" w:firstLineChars="0"/>
              <w:jc w:val="center"/>
              <w:rPr>
                <w:rFonts w:cs="Times New Roman"/>
                <w:kern w:val="0"/>
                <w:sz w:val="21"/>
                <w:szCs w:val="21"/>
              </w:rPr>
            </w:pPr>
            <w:r>
              <w:rPr>
                <w:rFonts w:hint="eastAsia" w:cs="Times New Roman"/>
                <w:kern w:val="0"/>
                <w:sz w:val="21"/>
                <w:szCs w:val="21"/>
              </w:rPr>
              <w:t>70</w:t>
            </w:r>
          </w:p>
        </w:tc>
        <w:tc>
          <w:tcPr>
            <w:tcW w:w="604" w:type="pct"/>
            <w:vAlign w:val="center"/>
          </w:tcPr>
          <w:p w14:paraId="708F3D43">
            <w:pPr>
              <w:widowControl/>
              <w:spacing w:line="240" w:lineRule="auto"/>
              <w:ind w:firstLine="0" w:firstLineChars="0"/>
              <w:jc w:val="center"/>
              <w:rPr>
                <w:rFonts w:cs="Times New Roman"/>
                <w:kern w:val="0"/>
                <w:sz w:val="21"/>
                <w:szCs w:val="21"/>
              </w:rPr>
            </w:pPr>
            <w:r>
              <w:rPr>
                <w:rFonts w:hint="eastAsia" w:cs="Times New Roman"/>
                <w:kern w:val="0"/>
                <w:sz w:val="21"/>
                <w:szCs w:val="21"/>
              </w:rPr>
              <w:t>74.71</w:t>
            </w:r>
          </w:p>
        </w:tc>
        <w:tc>
          <w:tcPr>
            <w:tcW w:w="588" w:type="pct"/>
            <w:vAlign w:val="center"/>
          </w:tcPr>
          <w:p w14:paraId="422E3903">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79" w:type="pct"/>
            <w:vAlign w:val="center"/>
          </w:tcPr>
          <w:p w14:paraId="024E03BB">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7A460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pct"/>
            <w:vMerge w:val="continue"/>
            <w:vAlign w:val="center"/>
          </w:tcPr>
          <w:p w14:paraId="29ACB41F">
            <w:pPr>
              <w:widowControl/>
              <w:spacing w:line="240" w:lineRule="auto"/>
              <w:ind w:firstLine="0" w:firstLineChars="0"/>
              <w:jc w:val="center"/>
              <w:rPr>
                <w:rFonts w:cs="Times New Roman"/>
                <w:kern w:val="0"/>
                <w:sz w:val="21"/>
                <w:szCs w:val="21"/>
              </w:rPr>
            </w:pPr>
          </w:p>
        </w:tc>
        <w:tc>
          <w:tcPr>
            <w:tcW w:w="1236" w:type="pct"/>
            <w:vAlign w:val="center"/>
          </w:tcPr>
          <w:p w14:paraId="6186D11B">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24小时平均第95百分位数质量浓度</w:t>
            </w:r>
          </w:p>
        </w:tc>
        <w:tc>
          <w:tcPr>
            <w:tcW w:w="777" w:type="pct"/>
            <w:vAlign w:val="center"/>
          </w:tcPr>
          <w:p w14:paraId="0C10F12F">
            <w:pPr>
              <w:widowControl/>
              <w:spacing w:line="240" w:lineRule="auto"/>
              <w:ind w:firstLine="0" w:firstLineChars="0"/>
              <w:jc w:val="center"/>
              <w:rPr>
                <w:rFonts w:cs="Times New Roman"/>
                <w:kern w:val="0"/>
                <w:sz w:val="21"/>
                <w:szCs w:val="21"/>
              </w:rPr>
            </w:pPr>
            <w:r>
              <w:rPr>
                <w:rFonts w:hint="eastAsia" w:cs="Times New Roman"/>
                <w:kern w:val="0"/>
                <w:sz w:val="21"/>
                <w:szCs w:val="21"/>
              </w:rPr>
              <w:t>109</w:t>
            </w:r>
          </w:p>
        </w:tc>
        <w:tc>
          <w:tcPr>
            <w:tcW w:w="777" w:type="pct"/>
            <w:vAlign w:val="center"/>
          </w:tcPr>
          <w:p w14:paraId="01015751">
            <w:pPr>
              <w:widowControl/>
              <w:spacing w:line="240" w:lineRule="auto"/>
              <w:ind w:firstLine="0" w:firstLineChars="0"/>
              <w:jc w:val="center"/>
              <w:rPr>
                <w:rFonts w:cs="Times New Roman"/>
                <w:kern w:val="0"/>
                <w:sz w:val="21"/>
                <w:szCs w:val="21"/>
              </w:rPr>
            </w:pPr>
            <w:r>
              <w:rPr>
                <w:rFonts w:hint="eastAsia" w:cs="Times New Roman"/>
                <w:kern w:val="0"/>
                <w:sz w:val="21"/>
                <w:szCs w:val="21"/>
              </w:rPr>
              <w:t>150</w:t>
            </w:r>
          </w:p>
        </w:tc>
        <w:tc>
          <w:tcPr>
            <w:tcW w:w="604" w:type="pct"/>
            <w:vAlign w:val="center"/>
          </w:tcPr>
          <w:p w14:paraId="2B7F7D98">
            <w:pPr>
              <w:widowControl/>
              <w:spacing w:line="240" w:lineRule="auto"/>
              <w:ind w:firstLine="0" w:firstLineChars="0"/>
              <w:jc w:val="center"/>
              <w:rPr>
                <w:rFonts w:cs="Times New Roman"/>
                <w:kern w:val="0"/>
                <w:sz w:val="21"/>
                <w:szCs w:val="21"/>
              </w:rPr>
            </w:pPr>
            <w:r>
              <w:rPr>
                <w:rFonts w:hint="eastAsia" w:cs="Times New Roman"/>
                <w:kern w:val="0"/>
                <w:sz w:val="21"/>
                <w:szCs w:val="21"/>
              </w:rPr>
              <w:t xml:space="preserve">72.7 </w:t>
            </w:r>
          </w:p>
        </w:tc>
        <w:tc>
          <w:tcPr>
            <w:tcW w:w="588" w:type="pct"/>
            <w:vAlign w:val="center"/>
          </w:tcPr>
          <w:p w14:paraId="5501E86A">
            <w:pPr>
              <w:widowControl/>
              <w:spacing w:line="240" w:lineRule="auto"/>
              <w:ind w:firstLine="0" w:firstLineChars="0"/>
              <w:jc w:val="center"/>
              <w:rPr>
                <w:rFonts w:cs="Times New Roman"/>
                <w:kern w:val="0"/>
                <w:sz w:val="21"/>
                <w:szCs w:val="21"/>
              </w:rPr>
            </w:pPr>
            <w:r>
              <w:rPr>
                <w:rFonts w:hint="eastAsia" w:cs="Times New Roman"/>
                <w:kern w:val="0"/>
                <w:sz w:val="21"/>
                <w:szCs w:val="21"/>
              </w:rPr>
              <w:t>99.7</w:t>
            </w:r>
          </w:p>
        </w:tc>
        <w:tc>
          <w:tcPr>
            <w:tcW w:w="479" w:type="pct"/>
            <w:vAlign w:val="center"/>
          </w:tcPr>
          <w:p w14:paraId="453E18B1">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316BB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pct"/>
            <w:vMerge w:val="restart"/>
            <w:vAlign w:val="center"/>
          </w:tcPr>
          <w:p w14:paraId="6BD16900">
            <w:pPr>
              <w:widowControl/>
              <w:spacing w:line="240" w:lineRule="auto"/>
              <w:ind w:firstLine="0" w:firstLineChars="0"/>
              <w:jc w:val="center"/>
              <w:rPr>
                <w:rFonts w:cs="Times New Roman"/>
                <w:kern w:val="0"/>
                <w:sz w:val="21"/>
                <w:szCs w:val="21"/>
              </w:rPr>
            </w:pPr>
            <w:r>
              <w:rPr>
                <w:rFonts w:hint="eastAsia" w:cs="Times New Roman"/>
                <w:kern w:val="0"/>
                <w:sz w:val="21"/>
                <w:szCs w:val="21"/>
              </w:rPr>
              <w:t>PM</w:t>
            </w:r>
            <w:r>
              <w:rPr>
                <w:rFonts w:hint="eastAsia" w:cs="Times New Roman"/>
                <w:kern w:val="0"/>
                <w:sz w:val="21"/>
                <w:szCs w:val="21"/>
                <w:vertAlign w:val="subscript"/>
              </w:rPr>
              <w:t>2.5</w:t>
            </w:r>
          </w:p>
        </w:tc>
        <w:tc>
          <w:tcPr>
            <w:tcW w:w="1236" w:type="pct"/>
            <w:vAlign w:val="center"/>
          </w:tcPr>
          <w:p w14:paraId="5BB61D69">
            <w:pPr>
              <w:widowControl/>
              <w:spacing w:line="240" w:lineRule="auto"/>
              <w:ind w:firstLine="0" w:firstLineChars="0"/>
              <w:jc w:val="center"/>
              <w:rPr>
                <w:rFonts w:cs="Times New Roman"/>
                <w:kern w:val="0"/>
                <w:sz w:val="21"/>
                <w:szCs w:val="21"/>
              </w:rPr>
            </w:pPr>
            <w:r>
              <w:rPr>
                <w:rFonts w:hint="eastAsia" w:cs="Times New Roman"/>
                <w:kern w:val="0"/>
                <w:sz w:val="21"/>
                <w:szCs w:val="21"/>
              </w:rPr>
              <w:t>年平均质量浓度</w:t>
            </w:r>
          </w:p>
        </w:tc>
        <w:tc>
          <w:tcPr>
            <w:tcW w:w="777" w:type="pct"/>
            <w:vAlign w:val="center"/>
          </w:tcPr>
          <w:p w14:paraId="74931B16">
            <w:pPr>
              <w:widowControl/>
              <w:spacing w:line="240" w:lineRule="auto"/>
              <w:ind w:firstLine="0" w:firstLineChars="0"/>
              <w:jc w:val="center"/>
              <w:rPr>
                <w:rFonts w:cs="Times New Roman"/>
                <w:kern w:val="0"/>
                <w:sz w:val="21"/>
                <w:szCs w:val="21"/>
              </w:rPr>
            </w:pPr>
            <w:r>
              <w:rPr>
                <w:rFonts w:hint="eastAsia" w:cs="Times New Roman"/>
                <w:kern w:val="0"/>
                <w:sz w:val="21"/>
                <w:szCs w:val="21"/>
              </w:rPr>
              <w:t>29.1</w:t>
            </w:r>
          </w:p>
        </w:tc>
        <w:tc>
          <w:tcPr>
            <w:tcW w:w="777" w:type="pct"/>
            <w:vAlign w:val="center"/>
          </w:tcPr>
          <w:p w14:paraId="4A8301F1">
            <w:pPr>
              <w:widowControl/>
              <w:spacing w:line="240" w:lineRule="auto"/>
              <w:ind w:firstLine="0" w:firstLineChars="0"/>
              <w:jc w:val="center"/>
              <w:rPr>
                <w:rFonts w:cs="Times New Roman"/>
                <w:kern w:val="0"/>
                <w:sz w:val="21"/>
                <w:szCs w:val="21"/>
              </w:rPr>
            </w:pPr>
            <w:r>
              <w:rPr>
                <w:rFonts w:hint="eastAsia" w:cs="Times New Roman"/>
                <w:kern w:val="0"/>
                <w:sz w:val="21"/>
                <w:szCs w:val="21"/>
              </w:rPr>
              <w:t>35</w:t>
            </w:r>
          </w:p>
        </w:tc>
        <w:tc>
          <w:tcPr>
            <w:tcW w:w="604" w:type="pct"/>
            <w:vAlign w:val="center"/>
          </w:tcPr>
          <w:p w14:paraId="1EEE6A92">
            <w:pPr>
              <w:widowControl/>
              <w:spacing w:line="240" w:lineRule="auto"/>
              <w:ind w:firstLine="0" w:firstLineChars="0"/>
              <w:jc w:val="center"/>
              <w:rPr>
                <w:rFonts w:cs="Times New Roman"/>
                <w:kern w:val="0"/>
                <w:sz w:val="21"/>
                <w:szCs w:val="21"/>
              </w:rPr>
            </w:pPr>
            <w:r>
              <w:rPr>
                <w:rFonts w:hint="eastAsia" w:cs="Times New Roman"/>
                <w:kern w:val="0"/>
                <w:sz w:val="21"/>
                <w:szCs w:val="21"/>
              </w:rPr>
              <w:t>86.9</w:t>
            </w:r>
          </w:p>
        </w:tc>
        <w:tc>
          <w:tcPr>
            <w:tcW w:w="588" w:type="pct"/>
            <w:vAlign w:val="center"/>
          </w:tcPr>
          <w:p w14:paraId="3B7B2BB8">
            <w:pPr>
              <w:widowControl/>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79" w:type="pct"/>
            <w:vAlign w:val="center"/>
          </w:tcPr>
          <w:p w14:paraId="7F491306">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2F430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pct"/>
            <w:vMerge w:val="continue"/>
            <w:vAlign w:val="center"/>
          </w:tcPr>
          <w:p w14:paraId="0D547591">
            <w:pPr>
              <w:widowControl/>
              <w:spacing w:line="240" w:lineRule="auto"/>
              <w:ind w:firstLine="0" w:firstLineChars="0"/>
              <w:jc w:val="center"/>
              <w:rPr>
                <w:rFonts w:cs="Times New Roman"/>
                <w:kern w:val="0"/>
                <w:sz w:val="21"/>
                <w:szCs w:val="21"/>
              </w:rPr>
            </w:pPr>
          </w:p>
        </w:tc>
        <w:tc>
          <w:tcPr>
            <w:tcW w:w="1236" w:type="pct"/>
            <w:vAlign w:val="center"/>
          </w:tcPr>
          <w:p w14:paraId="7C2EE1E3">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24小时平均第95百分位数质量浓度</w:t>
            </w:r>
          </w:p>
        </w:tc>
        <w:tc>
          <w:tcPr>
            <w:tcW w:w="777" w:type="pct"/>
            <w:vAlign w:val="center"/>
          </w:tcPr>
          <w:p w14:paraId="2D9CB3BB">
            <w:pPr>
              <w:widowControl/>
              <w:spacing w:line="240" w:lineRule="auto"/>
              <w:ind w:firstLine="0" w:firstLineChars="0"/>
              <w:jc w:val="center"/>
              <w:rPr>
                <w:rFonts w:cs="Times New Roman"/>
                <w:kern w:val="0"/>
                <w:sz w:val="21"/>
                <w:szCs w:val="21"/>
              </w:rPr>
            </w:pPr>
            <w:r>
              <w:rPr>
                <w:rFonts w:hint="eastAsia" w:cs="Times New Roman"/>
                <w:kern w:val="0"/>
                <w:sz w:val="21"/>
                <w:szCs w:val="21"/>
              </w:rPr>
              <w:t>75</w:t>
            </w:r>
          </w:p>
        </w:tc>
        <w:tc>
          <w:tcPr>
            <w:tcW w:w="777" w:type="pct"/>
            <w:vAlign w:val="center"/>
          </w:tcPr>
          <w:p w14:paraId="6FA7E6EB">
            <w:pPr>
              <w:widowControl/>
              <w:spacing w:line="240" w:lineRule="auto"/>
              <w:ind w:firstLine="0" w:firstLineChars="0"/>
              <w:jc w:val="center"/>
              <w:rPr>
                <w:rFonts w:cs="Times New Roman"/>
                <w:kern w:val="0"/>
                <w:sz w:val="21"/>
                <w:szCs w:val="21"/>
              </w:rPr>
            </w:pPr>
            <w:r>
              <w:rPr>
                <w:rFonts w:hint="eastAsia" w:cs="Times New Roman"/>
                <w:kern w:val="0"/>
                <w:sz w:val="21"/>
                <w:szCs w:val="21"/>
              </w:rPr>
              <w:t>75</w:t>
            </w:r>
          </w:p>
        </w:tc>
        <w:tc>
          <w:tcPr>
            <w:tcW w:w="604" w:type="pct"/>
            <w:vAlign w:val="center"/>
          </w:tcPr>
          <w:p w14:paraId="1752CB58">
            <w:pPr>
              <w:widowControl/>
              <w:spacing w:line="240" w:lineRule="auto"/>
              <w:ind w:firstLine="0" w:firstLineChars="0"/>
              <w:jc w:val="center"/>
              <w:rPr>
                <w:rFonts w:cs="Times New Roman"/>
                <w:kern w:val="0"/>
                <w:sz w:val="21"/>
                <w:szCs w:val="21"/>
              </w:rPr>
            </w:pPr>
            <w:r>
              <w:rPr>
                <w:rFonts w:hint="eastAsia" w:cs="Times New Roman"/>
                <w:kern w:val="0"/>
                <w:sz w:val="21"/>
                <w:szCs w:val="21"/>
              </w:rPr>
              <w:t xml:space="preserve">100 </w:t>
            </w:r>
          </w:p>
        </w:tc>
        <w:tc>
          <w:tcPr>
            <w:tcW w:w="588" w:type="pct"/>
            <w:vAlign w:val="center"/>
          </w:tcPr>
          <w:p w14:paraId="5E4FC01D">
            <w:pPr>
              <w:widowControl/>
              <w:spacing w:line="240" w:lineRule="auto"/>
              <w:ind w:firstLine="0" w:firstLineChars="0"/>
              <w:jc w:val="center"/>
              <w:rPr>
                <w:rFonts w:cs="Times New Roman"/>
                <w:kern w:val="0"/>
                <w:sz w:val="21"/>
                <w:szCs w:val="21"/>
              </w:rPr>
            </w:pPr>
            <w:r>
              <w:rPr>
                <w:rFonts w:hint="eastAsia" w:cs="Times New Roman"/>
                <w:kern w:val="0"/>
                <w:sz w:val="21"/>
                <w:szCs w:val="21"/>
              </w:rPr>
              <w:t>95.1</w:t>
            </w:r>
          </w:p>
        </w:tc>
        <w:tc>
          <w:tcPr>
            <w:tcW w:w="479" w:type="pct"/>
            <w:vAlign w:val="center"/>
          </w:tcPr>
          <w:p w14:paraId="348A0DE0">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760DC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pct"/>
            <w:vAlign w:val="center"/>
          </w:tcPr>
          <w:p w14:paraId="3AA6881F">
            <w:pPr>
              <w:widowControl/>
              <w:spacing w:line="240" w:lineRule="auto"/>
              <w:ind w:firstLine="0" w:firstLineChars="0"/>
              <w:jc w:val="center"/>
              <w:rPr>
                <w:rFonts w:cs="Times New Roman"/>
                <w:kern w:val="0"/>
                <w:sz w:val="21"/>
                <w:szCs w:val="21"/>
              </w:rPr>
            </w:pPr>
            <w:r>
              <w:rPr>
                <w:rFonts w:hint="eastAsia" w:cs="Times New Roman"/>
                <w:kern w:val="0"/>
                <w:sz w:val="21"/>
                <w:szCs w:val="21"/>
              </w:rPr>
              <w:t>CO</w:t>
            </w:r>
          </w:p>
        </w:tc>
        <w:tc>
          <w:tcPr>
            <w:tcW w:w="1236" w:type="pct"/>
            <w:vAlign w:val="center"/>
          </w:tcPr>
          <w:p w14:paraId="21C0F1E5">
            <w:pPr>
              <w:widowControl/>
              <w:spacing w:line="240" w:lineRule="auto"/>
              <w:ind w:firstLine="0" w:firstLineChars="0"/>
              <w:jc w:val="center"/>
              <w:rPr>
                <w:rFonts w:cs="Times New Roman"/>
                <w:kern w:val="0"/>
                <w:sz w:val="21"/>
                <w:szCs w:val="21"/>
              </w:rPr>
            </w:pPr>
            <w:r>
              <w:rPr>
                <w:rFonts w:hint="eastAsia" w:cs="Times New Roman"/>
                <w:kern w:val="0"/>
                <w:sz w:val="21"/>
                <w:szCs w:val="21"/>
              </w:rPr>
              <w:t>24小时平均第95百分位数质量浓度</w:t>
            </w:r>
          </w:p>
        </w:tc>
        <w:tc>
          <w:tcPr>
            <w:tcW w:w="777" w:type="pct"/>
            <w:vAlign w:val="center"/>
          </w:tcPr>
          <w:p w14:paraId="020C8F80">
            <w:pPr>
              <w:widowControl/>
              <w:spacing w:line="240" w:lineRule="auto"/>
              <w:ind w:firstLine="0" w:firstLineChars="0"/>
              <w:jc w:val="center"/>
              <w:rPr>
                <w:rFonts w:cs="Times New Roman"/>
                <w:kern w:val="0"/>
                <w:sz w:val="21"/>
                <w:szCs w:val="21"/>
              </w:rPr>
            </w:pPr>
            <w:r>
              <w:rPr>
                <w:rFonts w:hint="eastAsia" w:cs="Times New Roman"/>
                <w:kern w:val="0"/>
                <w:sz w:val="21"/>
                <w:szCs w:val="21"/>
              </w:rPr>
              <w:t>1300</w:t>
            </w:r>
          </w:p>
        </w:tc>
        <w:tc>
          <w:tcPr>
            <w:tcW w:w="777" w:type="pct"/>
            <w:vAlign w:val="center"/>
          </w:tcPr>
          <w:p w14:paraId="36E9C28B">
            <w:pPr>
              <w:widowControl/>
              <w:spacing w:line="240" w:lineRule="auto"/>
              <w:ind w:firstLine="0" w:firstLineChars="0"/>
              <w:jc w:val="center"/>
              <w:rPr>
                <w:rFonts w:cs="Times New Roman"/>
                <w:kern w:val="0"/>
                <w:sz w:val="21"/>
                <w:szCs w:val="21"/>
              </w:rPr>
            </w:pPr>
            <w:r>
              <w:rPr>
                <w:rFonts w:hint="eastAsia" w:cs="Times New Roman"/>
                <w:kern w:val="0"/>
                <w:sz w:val="21"/>
                <w:szCs w:val="21"/>
              </w:rPr>
              <w:t>4000</w:t>
            </w:r>
          </w:p>
        </w:tc>
        <w:tc>
          <w:tcPr>
            <w:tcW w:w="604" w:type="pct"/>
            <w:vAlign w:val="center"/>
          </w:tcPr>
          <w:p w14:paraId="40D92C4F">
            <w:pPr>
              <w:widowControl/>
              <w:spacing w:line="240" w:lineRule="auto"/>
              <w:ind w:firstLine="0" w:firstLineChars="0"/>
              <w:jc w:val="center"/>
              <w:rPr>
                <w:rFonts w:cs="Times New Roman"/>
                <w:kern w:val="0"/>
                <w:sz w:val="21"/>
                <w:szCs w:val="21"/>
              </w:rPr>
            </w:pPr>
            <w:r>
              <w:rPr>
                <w:rFonts w:hint="eastAsia" w:cs="Times New Roman"/>
                <w:kern w:val="0"/>
                <w:sz w:val="21"/>
                <w:szCs w:val="21"/>
              </w:rPr>
              <w:t>32.5</w:t>
            </w:r>
          </w:p>
        </w:tc>
        <w:tc>
          <w:tcPr>
            <w:tcW w:w="588" w:type="pct"/>
            <w:vAlign w:val="center"/>
          </w:tcPr>
          <w:p w14:paraId="6685AD10">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479" w:type="pct"/>
            <w:vAlign w:val="center"/>
          </w:tcPr>
          <w:p w14:paraId="314D1AE7">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71AD1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pct"/>
            <w:vAlign w:val="center"/>
          </w:tcPr>
          <w:p w14:paraId="0A699BB8">
            <w:pPr>
              <w:widowControl/>
              <w:spacing w:line="240" w:lineRule="auto"/>
              <w:ind w:firstLine="0" w:firstLineChars="0"/>
              <w:jc w:val="center"/>
              <w:rPr>
                <w:rFonts w:cs="Times New Roman"/>
                <w:kern w:val="0"/>
                <w:sz w:val="21"/>
                <w:szCs w:val="21"/>
              </w:rPr>
            </w:pPr>
            <w:r>
              <w:rPr>
                <w:rFonts w:hint="eastAsia" w:cs="Times New Roman"/>
                <w:kern w:val="0"/>
                <w:sz w:val="21"/>
                <w:szCs w:val="21"/>
              </w:rPr>
              <w:t>O</w:t>
            </w:r>
            <w:r>
              <w:rPr>
                <w:rFonts w:hint="eastAsia" w:cs="Times New Roman"/>
                <w:kern w:val="0"/>
                <w:sz w:val="21"/>
                <w:szCs w:val="21"/>
                <w:vertAlign w:val="subscript"/>
              </w:rPr>
              <w:t>3</w:t>
            </w:r>
          </w:p>
        </w:tc>
        <w:tc>
          <w:tcPr>
            <w:tcW w:w="1236" w:type="pct"/>
            <w:vAlign w:val="center"/>
          </w:tcPr>
          <w:p w14:paraId="10879506">
            <w:pPr>
              <w:widowControl/>
              <w:spacing w:line="240" w:lineRule="auto"/>
              <w:ind w:firstLine="0" w:firstLineChars="0"/>
              <w:jc w:val="center"/>
              <w:rPr>
                <w:rFonts w:cs="Times New Roman"/>
                <w:kern w:val="0"/>
                <w:sz w:val="21"/>
                <w:szCs w:val="21"/>
              </w:rPr>
            </w:pPr>
            <w:r>
              <w:rPr>
                <w:rFonts w:hint="eastAsia" w:cs="Times New Roman"/>
                <w:kern w:val="0"/>
                <w:sz w:val="21"/>
                <w:szCs w:val="21"/>
              </w:rPr>
              <w:t>日最大8小时滑动平均第90百分位数质量浓度</w:t>
            </w:r>
          </w:p>
        </w:tc>
        <w:tc>
          <w:tcPr>
            <w:tcW w:w="777" w:type="pct"/>
            <w:vAlign w:val="center"/>
          </w:tcPr>
          <w:p w14:paraId="3C6CBCFB">
            <w:pPr>
              <w:widowControl/>
              <w:spacing w:line="240" w:lineRule="auto"/>
              <w:ind w:firstLine="0" w:firstLineChars="0"/>
              <w:jc w:val="center"/>
              <w:rPr>
                <w:rFonts w:cs="Times New Roman"/>
                <w:kern w:val="0"/>
                <w:sz w:val="21"/>
                <w:szCs w:val="21"/>
              </w:rPr>
            </w:pPr>
            <w:r>
              <w:rPr>
                <w:rFonts w:hint="eastAsia" w:cs="Times New Roman"/>
                <w:kern w:val="0"/>
                <w:sz w:val="21"/>
                <w:szCs w:val="21"/>
              </w:rPr>
              <w:t>160</w:t>
            </w:r>
          </w:p>
        </w:tc>
        <w:tc>
          <w:tcPr>
            <w:tcW w:w="777" w:type="pct"/>
            <w:vAlign w:val="center"/>
          </w:tcPr>
          <w:p w14:paraId="329AACB2">
            <w:pPr>
              <w:widowControl/>
              <w:spacing w:line="240" w:lineRule="auto"/>
              <w:ind w:firstLine="0" w:firstLineChars="0"/>
              <w:jc w:val="center"/>
              <w:rPr>
                <w:rFonts w:cs="Times New Roman"/>
                <w:kern w:val="0"/>
                <w:sz w:val="21"/>
                <w:szCs w:val="21"/>
              </w:rPr>
            </w:pPr>
            <w:r>
              <w:rPr>
                <w:rFonts w:hint="eastAsia" w:cs="Times New Roman"/>
                <w:kern w:val="0"/>
                <w:sz w:val="21"/>
                <w:szCs w:val="21"/>
              </w:rPr>
              <w:t>160</w:t>
            </w:r>
          </w:p>
        </w:tc>
        <w:tc>
          <w:tcPr>
            <w:tcW w:w="604" w:type="pct"/>
            <w:vAlign w:val="center"/>
          </w:tcPr>
          <w:p w14:paraId="72DFF563">
            <w:pPr>
              <w:widowControl/>
              <w:spacing w:line="240" w:lineRule="auto"/>
              <w:ind w:firstLine="0" w:firstLineChars="0"/>
              <w:jc w:val="center"/>
              <w:rPr>
                <w:rFonts w:cs="Times New Roman"/>
                <w:kern w:val="0"/>
                <w:sz w:val="21"/>
                <w:szCs w:val="21"/>
              </w:rPr>
            </w:pPr>
            <w:r>
              <w:rPr>
                <w:rFonts w:hint="eastAsia" w:cs="Times New Roman"/>
                <w:kern w:val="0"/>
                <w:sz w:val="21"/>
                <w:szCs w:val="21"/>
              </w:rPr>
              <w:t xml:space="preserve">100 </w:t>
            </w:r>
          </w:p>
        </w:tc>
        <w:tc>
          <w:tcPr>
            <w:tcW w:w="588" w:type="pct"/>
            <w:vAlign w:val="center"/>
          </w:tcPr>
          <w:p w14:paraId="14D5D72C">
            <w:pPr>
              <w:widowControl/>
              <w:spacing w:line="240" w:lineRule="auto"/>
              <w:ind w:firstLine="0" w:firstLineChars="0"/>
              <w:jc w:val="center"/>
              <w:rPr>
                <w:rFonts w:cs="Times New Roman"/>
                <w:kern w:val="0"/>
                <w:sz w:val="21"/>
                <w:szCs w:val="21"/>
              </w:rPr>
            </w:pPr>
            <w:r>
              <w:rPr>
                <w:rFonts w:hint="eastAsia" w:cs="Times New Roman"/>
                <w:kern w:val="0"/>
                <w:sz w:val="21"/>
                <w:szCs w:val="21"/>
              </w:rPr>
              <w:t>90.1</w:t>
            </w:r>
          </w:p>
        </w:tc>
        <w:tc>
          <w:tcPr>
            <w:tcW w:w="479" w:type="pct"/>
            <w:vAlign w:val="center"/>
          </w:tcPr>
          <w:p w14:paraId="6AAC5E5E">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bl>
    <w:p w14:paraId="192B7155">
      <w:pPr>
        <w:ind w:firstLine="480"/>
        <w:rPr>
          <w:rFonts w:cs="Times New Roman"/>
          <w:szCs w:val="28"/>
        </w:rPr>
      </w:pPr>
      <w:r>
        <w:rPr>
          <w:rFonts w:hint="eastAsia" w:cs="Times New Roman"/>
          <w:szCs w:val="28"/>
        </w:rPr>
        <w:t>根据茅管会大气监测站基本污染物2023年监测数据，茅山旅游度假区范围环境空气质量整体优于常州市环境空气质量。</w:t>
      </w:r>
      <w:r>
        <w:rPr>
          <w:rFonts w:hint="eastAsia" w:cs="Times New Roman"/>
          <w:szCs w:val="24"/>
        </w:rPr>
        <w:t>茅管会大气监测站</w:t>
      </w:r>
      <w:r>
        <w:rPr>
          <w:rFonts w:cs="Times New Roman"/>
          <w:szCs w:val="28"/>
        </w:rPr>
        <w:t>SO</w:t>
      </w:r>
      <w:r>
        <w:rPr>
          <w:rFonts w:cs="Times New Roman"/>
          <w:szCs w:val="28"/>
          <w:vertAlign w:val="subscript"/>
        </w:rPr>
        <w:t>2</w:t>
      </w:r>
      <w:r>
        <w:rPr>
          <w:rFonts w:hint="eastAsia" w:cs="Times New Roman"/>
          <w:szCs w:val="28"/>
        </w:rPr>
        <w:t>浓度年均值、日均值第</w:t>
      </w:r>
      <w:r>
        <w:rPr>
          <w:rFonts w:cs="Times New Roman"/>
          <w:szCs w:val="28"/>
        </w:rPr>
        <w:t>98</w:t>
      </w:r>
      <w:r>
        <w:rPr>
          <w:rFonts w:hint="eastAsia" w:cs="Times New Roman"/>
          <w:szCs w:val="28"/>
        </w:rPr>
        <w:t>百分位数，</w:t>
      </w:r>
      <w:r>
        <w:rPr>
          <w:rFonts w:cs="Times New Roman"/>
          <w:szCs w:val="28"/>
        </w:rPr>
        <w:t>NO</w:t>
      </w:r>
      <w:r>
        <w:rPr>
          <w:rFonts w:cs="Times New Roman"/>
          <w:szCs w:val="28"/>
          <w:vertAlign w:val="subscript"/>
        </w:rPr>
        <w:t>2</w:t>
      </w:r>
      <w:r>
        <w:rPr>
          <w:rFonts w:hint="eastAsia" w:cs="Times New Roman"/>
          <w:szCs w:val="28"/>
        </w:rPr>
        <w:t>浓度年均值、日均值第</w:t>
      </w:r>
      <w:r>
        <w:rPr>
          <w:rFonts w:cs="Times New Roman"/>
          <w:szCs w:val="28"/>
        </w:rPr>
        <w:t>98</w:t>
      </w:r>
      <w:r>
        <w:rPr>
          <w:rFonts w:hint="eastAsia" w:cs="Times New Roman"/>
          <w:szCs w:val="28"/>
        </w:rPr>
        <w:t>百分位数、</w:t>
      </w:r>
      <w:r>
        <w:rPr>
          <w:rFonts w:cs="Times New Roman"/>
          <w:szCs w:val="28"/>
        </w:rPr>
        <w:t>PM</w:t>
      </w:r>
      <w:r>
        <w:rPr>
          <w:rFonts w:cs="Times New Roman"/>
          <w:szCs w:val="28"/>
          <w:vertAlign w:val="subscript"/>
        </w:rPr>
        <w:t>10</w:t>
      </w:r>
      <w:r>
        <w:rPr>
          <w:rFonts w:hint="eastAsia" w:cs="Times New Roman"/>
          <w:szCs w:val="28"/>
        </w:rPr>
        <w:t>浓度年均值、日均值第</w:t>
      </w:r>
      <w:r>
        <w:rPr>
          <w:rFonts w:cs="Times New Roman"/>
          <w:szCs w:val="28"/>
        </w:rPr>
        <w:t>95</w:t>
      </w:r>
      <w:r>
        <w:rPr>
          <w:rFonts w:hint="eastAsia" w:cs="Times New Roman"/>
          <w:szCs w:val="28"/>
        </w:rPr>
        <w:t>百分位数、</w:t>
      </w:r>
      <w:r>
        <w:rPr>
          <w:rFonts w:cs="Times New Roman"/>
          <w:szCs w:val="28"/>
        </w:rPr>
        <w:t>PM</w:t>
      </w:r>
      <w:r>
        <w:rPr>
          <w:rFonts w:cs="Times New Roman"/>
          <w:szCs w:val="28"/>
          <w:vertAlign w:val="subscript"/>
        </w:rPr>
        <w:t>2.5</w:t>
      </w:r>
      <w:r>
        <w:rPr>
          <w:rFonts w:hint="eastAsia" w:cs="Times New Roman"/>
          <w:szCs w:val="28"/>
        </w:rPr>
        <w:t>浓度年均值、</w:t>
      </w:r>
      <w:r>
        <w:rPr>
          <w:rFonts w:cs="Times New Roman"/>
          <w:szCs w:val="28"/>
        </w:rPr>
        <w:t>CO</w:t>
      </w:r>
      <w:r>
        <w:rPr>
          <w:rFonts w:hint="eastAsia" w:cs="Times New Roman"/>
          <w:szCs w:val="28"/>
        </w:rPr>
        <w:t>日均值第</w:t>
      </w:r>
      <w:r>
        <w:rPr>
          <w:rFonts w:cs="Times New Roman"/>
          <w:szCs w:val="28"/>
        </w:rPr>
        <w:t>95</w:t>
      </w:r>
      <w:r>
        <w:rPr>
          <w:rFonts w:hint="eastAsia" w:cs="Times New Roman"/>
          <w:szCs w:val="28"/>
        </w:rPr>
        <w:t>百分位数均满足《环境空气质量标准》（</w:t>
      </w:r>
      <w:r>
        <w:rPr>
          <w:rFonts w:cs="Times New Roman"/>
          <w:szCs w:val="28"/>
        </w:rPr>
        <w:t>GB3095-2012</w:t>
      </w:r>
      <w:r>
        <w:rPr>
          <w:rFonts w:hint="eastAsia" w:cs="Times New Roman"/>
          <w:szCs w:val="28"/>
        </w:rPr>
        <w:t>）二级标准；</w:t>
      </w:r>
      <w:r>
        <w:rPr>
          <w:rFonts w:cs="Times New Roman"/>
          <w:szCs w:val="28"/>
        </w:rPr>
        <w:t>PM</w:t>
      </w:r>
      <w:r>
        <w:rPr>
          <w:rFonts w:cs="Times New Roman"/>
          <w:szCs w:val="28"/>
          <w:vertAlign w:val="subscript"/>
        </w:rPr>
        <w:t>2.5</w:t>
      </w:r>
      <w:r>
        <w:rPr>
          <w:rFonts w:hint="eastAsia" w:cs="Times New Roman"/>
          <w:szCs w:val="28"/>
        </w:rPr>
        <w:t>日均值第</w:t>
      </w:r>
      <w:r>
        <w:rPr>
          <w:rFonts w:cs="Times New Roman"/>
          <w:szCs w:val="28"/>
        </w:rPr>
        <w:t>95</w:t>
      </w:r>
      <w:r>
        <w:rPr>
          <w:rFonts w:hint="eastAsia" w:cs="Times New Roman"/>
          <w:szCs w:val="28"/>
        </w:rPr>
        <w:t>百分位数、</w:t>
      </w:r>
      <w:r>
        <w:rPr>
          <w:rFonts w:cs="Times New Roman"/>
          <w:szCs w:val="28"/>
        </w:rPr>
        <w:t>O</w:t>
      </w:r>
      <w:r>
        <w:rPr>
          <w:rFonts w:cs="Times New Roman"/>
          <w:szCs w:val="28"/>
          <w:vertAlign w:val="subscript"/>
        </w:rPr>
        <w:t>3</w:t>
      </w:r>
      <w:r>
        <w:rPr>
          <w:rFonts w:hint="eastAsia" w:cs="Times New Roman"/>
          <w:szCs w:val="28"/>
        </w:rPr>
        <w:t>浓度日最大</w:t>
      </w:r>
      <w:r>
        <w:rPr>
          <w:rFonts w:cs="Times New Roman"/>
          <w:szCs w:val="28"/>
        </w:rPr>
        <w:t>8</w:t>
      </w:r>
      <w:r>
        <w:rPr>
          <w:rFonts w:hint="eastAsia" w:cs="Times New Roman"/>
          <w:szCs w:val="28"/>
        </w:rPr>
        <w:t>小时滑动平均值第</w:t>
      </w:r>
      <w:r>
        <w:rPr>
          <w:rFonts w:cs="Times New Roman"/>
          <w:szCs w:val="28"/>
        </w:rPr>
        <w:t>90</w:t>
      </w:r>
      <w:r>
        <w:rPr>
          <w:rFonts w:hint="eastAsia" w:cs="Times New Roman"/>
          <w:szCs w:val="28"/>
        </w:rPr>
        <w:t>百分位数均超出二级标准要求，区域重点大气污染物为</w:t>
      </w:r>
      <w:r>
        <w:rPr>
          <w:rFonts w:cs="Times New Roman"/>
          <w:szCs w:val="28"/>
        </w:rPr>
        <w:t>PM</w:t>
      </w:r>
      <w:r>
        <w:rPr>
          <w:rFonts w:cs="Times New Roman"/>
          <w:szCs w:val="28"/>
          <w:vertAlign w:val="subscript"/>
        </w:rPr>
        <w:t>2.5</w:t>
      </w:r>
      <w:r>
        <w:rPr>
          <w:rFonts w:hint="eastAsia" w:cs="Times New Roman"/>
          <w:szCs w:val="28"/>
        </w:rPr>
        <w:t>和</w:t>
      </w:r>
      <w:r>
        <w:rPr>
          <w:rFonts w:cs="Times New Roman"/>
          <w:szCs w:val="28"/>
        </w:rPr>
        <w:t>O</w:t>
      </w:r>
      <w:r>
        <w:rPr>
          <w:rFonts w:cs="Times New Roman"/>
          <w:szCs w:val="28"/>
          <w:vertAlign w:val="subscript"/>
        </w:rPr>
        <w:t>3</w:t>
      </w:r>
      <w:r>
        <w:rPr>
          <w:rFonts w:hint="eastAsia" w:cs="Times New Roman"/>
          <w:szCs w:val="28"/>
        </w:rPr>
        <w:t>。</w:t>
      </w:r>
    </w:p>
    <w:p w14:paraId="32A79615">
      <w:pPr>
        <w:ind w:firstLine="480"/>
        <w:rPr>
          <w:rFonts w:cs="Times New Roman"/>
          <w:szCs w:val="28"/>
        </w:rPr>
      </w:pPr>
      <w:r>
        <w:rPr>
          <w:rFonts w:hint="eastAsia" w:cs="Times New Roman"/>
          <w:szCs w:val="28"/>
        </w:rPr>
        <w:t>分析茅管会大气监测站2023年日均值数据，冬季和春季可吸入颗粒物（</w:t>
      </w:r>
      <w:r>
        <w:rPr>
          <w:rFonts w:cs="Times New Roman"/>
          <w:szCs w:val="28"/>
        </w:rPr>
        <w:t>PM</w:t>
      </w:r>
      <w:r>
        <w:rPr>
          <w:rFonts w:cs="Times New Roman"/>
          <w:szCs w:val="28"/>
          <w:vertAlign w:val="subscript"/>
        </w:rPr>
        <w:t>10</w:t>
      </w:r>
      <w:r>
        <w:rPr>
          <w:rFonts w:hint="eastAsia" w:cs="Times New Roman"/>
          <w:szCs w:val="28"/>
        </w:rPr>
        <w:t>）和细颗粒物（</w:t>
      </w:r>
      <w:r>
        <w:rPr>
          <w:rFonts w:cs="Times New Roman"/>
          <w:szCs w:val="28"/>
        </w:rPr>
        <w:t>PM</w:t>
      </w:r>
      <w:r>
        <w:rPr>
          <w:rFonts w:cs="Times New Roman"/>
          <w:szCs w:val="28"/>
          <w:vertAlign w:val="subscript"/>
        </w:rPr>
        <w:t>2.5</w:t>
      </w:r>
      <w:r>
        <w:rPr>
          <w:rFonts w:hint="eastAsia" w:cs="Times New Roman"/>
          <w:szCs w:val="28"/>
        </w:rPr>
        <w:t>）浓度比夏秋两季明显增高，</w:t>
      </w:r>
      <w:r>
        <w:rPr>
          <w:rFonts w:cs="Times New Roman"/>
          <w:szCs w:val="28"/>
        </w:rPr>
        <w:t>1</w:t>
      </w:r>
      <w:r>
        <w:rPr>
          <w:rFonts w:hint="eastAsia" w:cs="Times New Roman"/>
          <w:szCs w:val="28"/>
        </w:rPr>
        <w:t>月、</w:t>
      </w:r>
      <w:r>
        <w:rPr>
          <w:rFonts w:cs="Times New Roman"/>
          <w:szCs w:val="28"/>
        </w:rPr>
        <w:t>2</w:t>
      </w:r>
      <w:r>
        <w:rPr>
          <w:rFonts w:hint="eastAsia" w:cs="Times New Roman"/>
          <w:szCs w:val="28"/>
        </w:rPr>
        <w:t>月、</w:t>
      </w:r>
      <w:r>
        <w:rPr>
          <w:rFonts w:cs="Times New Roman"/>
          <w:szCs w:val="28"/>
        </w:rPr>
        <w:t>3</w:t>
      </w:r>
      <w:r>
        <w:rPr>
          <w:rFonts w:hint="eastAsia" w:cs="Times New Roman"/>
          <w:szCs w:val="28"/>
        </w:rPr>
        <w:t>月、</w:t>
      </w:r>
      <w:r>
        <w:rPr>
          <w:rFonts w:cs="Times New Roman"/>
          <w:szCs w:val="28"/>
        </w:rPr>
        <w:t>11</w:t>
      </w:r>
      <w:r>
        <w:rPr>
          <w:rFonts w:hint="eastAsia" w:cs="Times New Roman"/>
          <w:szCs w:val="28"/>
        </w:rPr>
        <w:t>月、</w:t>
      </w:r>
      <w:r>
        <w:rPr>
          <w:rFonts w:cs="Times New Roman"/>
          <w:szCs w:val="28"/>
        </w:rPr>
        <w:t>12</w:t>
      </w:r>
      <w:r>
        <w:rPr>
          <w:rFonts w:hint="eastAsia" w:cs="Times New Roman"/>
          <w:szCs w:val="28"/>
        </w:rPr>
        <w:t>月</w:t>
      </w:r>
      <w:r>
        <w:rPr>
          <w:rFonts w:cs="Times New Roman"/>
          <w:szCs w:val="28"/>
        </w:rPr>
        <w:t>PM</w:t>
      </w:r>
      <w:r>
        <w:rPr>
          <w:rFonts w:cs="Times New Roman"/>
          <w:szCs w:val="28"/>
          <w:vertAlign w:val="subscript"/>
        </w:rPr>
        <w:t>2.5</w:t>
      </w:r>
      <w:r>
        <w:rPr>
          <w:rFonts w:hint="eastAsia" w:cs="Times New Roman"/>
          <w:szCs w:val="28"/>
        </w:rPr>
        <w:t>均存在超过二级标准的情况；</w:t>
      </w:r>
      <w:r>
        <w:rPr>
          <w:rFonts w:cs="Times New Roman"/>
          <w:szCs w:val="28"/>
        </w:rPr>
        <w:t>1</w:t>
      </w:r>
      <w:r>
        <w:rPr>
          <w:rFonts w:hint="eastAsia" w:cs="Times New Roman"/>
          <w:szCs w:val="28"/>
        </w:rPr>
        <w:t>月、</w:t>
      </w:r>
      <w:r>
        <w:rPr>
          <w:rFonts w:cs="Times New Roman"/>
          <w:szCs w:val="28"/>
        </w:rPr>
        <w:t>3</w:t>
      </w:r>
      <w:r>
        <w:rPr>
          <w:rFonts w:hint="eastAsia" w:cs="Times New Roman"/>
          <w:szCs w:val="28"/>
        </w:rPr>
        <w:t>月、</w:t>
      </w:r>
      <w:r>
        <w:rPr>
          <w:rFonts w:cs="Times New Roman"/>
          <w:szCs w:val="28"/>
        </w:rPr>
        <w:t>12</w:t>
      </w:r>
      <w:r>
        <w:rPr>
          <w:rFonts w:hint="eastAsia" w:cs="Times New Roman"/>
          <w:szCs w:val="28"/>
        </w:rPr>
        <w:t>月</w:t>
      </w:r>
      <w:r>
        <w:rPr>
          <w:rFonts w:cs="Times New Roman"/>
          <w:szCs w:val="28"/>
        </w:rPr>
        <w:t>PM</w:t>
      </w:r>
      <w:r>
        <w:rPr>
          <w:rFonts w:cs="Times New Roman"/>
          <w:szCs w:val="28"/>
          <w:vertAlign w:val="subscript"/>
        </w:rPr>
        <w:t>10</w:t>
      </w:r>
      <w:r>
        <w:rPr>
          <w:rFonts w:hint="eastAsia" w:cs="Times New Roman"/>
          <w:szCs w:val="28"/>
        </w:rPr>
        <w:t>存在超过二级标准的情况。</w:t>
      </w:r>
      <w:r>
        <w:rPr>
          <w:rFonts w:cs="Times New Roman"/>
          <w:szCs w:val="28"/>
        </w:rPr>
        <w:t>PM</w:t>
      </w:r>
      <w:r>
        <w:rPr>
          <w:rFonts w:cs="Times New Roman"/>
          <w:szCs w:val="28"/>
          <w:vertAlign w:val="subscript"/>
        </w:rPr>
        <w:t>2.5</w:t>
      </w:r>
      <w:r>
        <w:rPr>
          <w:rFonts w:hint="eastAsia" w:cs="Times New Roman"/>
          <w:szCs w:val="28"/>
        </w:rPr>
        <w:t>和</w:t>
      </w:r>
      <w:r>
        <w:rPr>
          <w:rFonts w:cs="Times New Roman"/>
          <w:szCs w:val="28"/>
        </w:rPr>
        <w:t>PM</w:t>
      </w:r>
      <w:r>
        <w:rPr>
          <w:rFonts w:cs="Times New Roman"/>
          <w:szCs w:val="28"/>
          <w:vertAlign w:val="subscript"/>
        </w:rPr>
        <w:t>10</w:t>
      </w:r>
      <w:r>
        <w:rPr>
          <w:rFonts w:hint="eastAsia" w:cs="Times New Roman"/>
          <w:szCs w:val="28"/>
        </w:rPr>
        <w:t>超标的主要原因在于以下两个方面：</w:t>
      </w:r>
    </w:p>
    <w:p w14:paraId="6235730D">
      <w:pPr>
        <w:pStyle w:val="39"/>
        <w:numPr>
          <w:ilvl w:val="0"/>
          <w:numId w:val="13"/>
        </w:numPr>
        <w:ind w:left="0" w:firstLine="442" w:firstLineChars="0"/>
        <w:rPr>
          <w:rFonts w:cs="Times New Roman"/>
          <w:szCs w:val="28"/>
        </w:rPr>
      </w:pPr>
      <w:r>
        <w:rPr>
          <w:rFonts w:hint="eastAsia" w:cs="Times New Roman"/>
          <w:szCs w:val="28"/>
        </w:rPr>
        <w:t>冬季多发生静稳天气和不利于污染物扩散的天气，在此期间容易导致</w:t>
      </w:r>
      <w:r>
        <w:rPr>
          <w:rFonts w:cs="Times New Roman"/>
          <w:szCs w:val="28"/>
        </w:rPr>
        <w:t>PM</w:t>
      </w:r>
      <w:r>
        <w:rPr>
          <w:rFonts w:cs="Times New Roman"/>
          <w:szCs w:val="28"/>
          <w:vertAlign w:val="subscript"/>
        </w:rPr>
        <w:t>2.5</w:t>
      </w:r>
      <w:r>
        <w:rPr>
          <w:rFonts w:hint="eastAsia" w:cs="Times New Roman"/>
          <w:szCs w:val="28"/>
        </w:rPr>
        <w:t>污染形成和多种污染物的累积；</w:t>
      </w:r>
    </w:p>
    <w:p w14:paraId="5B983B8D">
      <w:pPr>
        <w:pStyle w:val="39"/>
        <w:numPr>
          <w:ilvl w:val="0"/>
          <w:numId w:val="13"/>
        </w:numPr>
        <w:ind w:left="0" w:firstLine="442" w:firstLineChars="0"/>
        <w:rPr>
          <w:rFonts w:cs="Times New Roman"/>
          <w:szCs w:val="28"/>
        </w:rPr>
      </w:pPr>
      <w:r>
        <w:rPr>
          <w:rFonts w:hint="eastAsia" w:cs="Times New Roman"/>
          <w:szCs w:val="28"/>
        </w:rPr>
        <w:t>随着茅山旅游度假区开发强度及汽车保有量的提高，站点周边施工扬尘、道路扬尘和汽车尾气排放有所增加。</w:t>
      </w:r>
    </w:p>
    <w:p w14:paraId="03C2294B">
      <w:pPr>
        <w:ind w:firstLine="480"/>
      </w:pPr>
      <w:r>
        <w:rPr>
          <w:rFonts w:cs="Times New Roman"/>
          <w:szCs w:val="28"/>
        </w:rPr>
        <w:t>根据茅管会大气监测站基本污染物202</w:t>
      </w:r>
      <w:r>
        <w:rPr>
          <w:rFonts w:hint="eastAsia" w:cs="Times New Roman"/>
          <w:szCs w:val="28"/>
        </w:rPr>
        <w:t>4</w:t>
      </w:r>
      <w:r>
        <w:rPr>
          <w:rFonts w:cs="Times New Roman"/>
          <w:szCs w:val="28"/>
        </w:rPr>
        <w:t>年监测数据，</w:t>
      </w:r>
      <w:r>
        <w:rPr>
          <w:rFonts w:hint="eastAsia" w:cs="Times New Roman"/>
          <w:szCs w:val="28"/>
        </w:rPr>
        <w:t>茅山旅游度假区范围环境空气质量较2023年有好转趋势，同样整体优于常州市环境空气质量。</w:t>
      </w:r>
      <w:r>
        <w:rPr>
          <w:rFonts w:hint="eastAsia" w:cs="Times New Roman"/>
          <w:szCs w:val="24"/>
        </w:rPr>
        <w:t>茅管会大气监测站</w:t>
      </w:r>
      <w:r>
        <w:rPr>
          <w:rFonts w:cs="Times New Roman"/>
          <w:szCs w:val="28"/>
        </w:rPr>
        <w:t>SO</w:t>
      </w:r>
      <w:r>
        <w:rPr>
          <w:rFonts w:cs="Times New Roman"/>
          <w:szCs w:val="28"/>
          <w:vertAlign w:val="subscript"/>
        </w:rPr>
        <w:t>2</w:t>
      </w:r>
      <w:r>
        <w:rPr>
          <w:rFonts w:hint="eastAsia" w:cs="Times New Roman"/>
          <w:szCs w:val="28"/>
        </w:rPr>
        <w:t>浓度年均值、日均值第</w:t>
      </w:r>
      <w:r>
        <w:rPr>
          <w:rFonts w:cs="Times New Roman"/>
          <w:szCs w:val="28"/>
        </w:rPr>
        <w:t>98</w:t>
      </w:r>
      <w:r>
        <w:rPr>
          <w:rFonts w:hint="eastAsia" w:cs="Times New Roman"/>
          <w:szCs w:val="28"/>
        </w:rPr>
        <w:t>百分位数，</w:t>
      </w:r>
      <w:r>
        <w:rPr>
          <w:rFonts w:cs="Times New Roman"/>
          <w:szCs w:val="28"/>
        </w:rPr>
        <w:t>NO</w:t>
      </w:r>
      <w:r>
        <w:rPr>
          <w:rFonts w:cs="Times New Roman"/>
          <w:szCs w:val="28"/>
          <w:vertAlign w:val="subscript"/>
        </w:rPr>
        <w:t>2</w:t>
      </w:r>
      <w:r>
        <w:rPr>
          <w:rFonts w:hint="eastAsia" w:cs="Times New Roman"/>
          <w:szCs w:val="28"/>
        </w:rPr>
        <w:t>浓度年均值、日均值第</w:t>
      </w:r>
      <w:r>
        <w:rPr>
          <w:rFonts w:cs="Times New Roman"/>
          <w:szCs w:val="28"/>
        </w:rPr>
        <w:t>98</w:t>
      </w:r>
      <w:r>
        <w:rPr>
          <w:rFonts w:hint="eastAsia" w:cs="Times New Roman"/>
          <w:szCs w:val="28"/>
        </w:rPr>
        <w:t>百分位数、</w:t>
      </w:r>
      <w:r>
        <w:rPr>
          <w:rFonts w:cs="Times New Roman"/>
          <w:szCs w:val="28"/>
        </w:rPr>
        <w:t>PM</w:t>
      </w:r>
      <w:r>
        <w:rPr>
          <w:rFonts w:cs="Times New Roman"/>
          <w:szCs w:val="28"/>
          <w:vertAlign w:val="subscript"/>
        </w:rPr>
        <w:t>10</w:t>
      </w:r>
      <w:r>
        <w:rPr>
          <w:rFonts w:hint="eastAsia" w:cs="Times New Roman"/>
          <w:szCs w:val="28"/>
        </w:rPr>
        <w:t>浓度年均值、日均值第</w:t>
      </w:r>
      <w:r>
        <w:rPr>
          <w:rFonts w:cs="Times New Roman"/>
          <w:szCs w:val="28"/>
        </w:rPr>
        <w:t>95</w:t>
      </w:r>
      <w:r>
        <w:rPr>
          <w:rFonts w:hint="eastAsia" w:cs="Times New Roman"/>
          <w:szCs w:val="28"/>
        </w:rPr>
        <w:t>百分位数、</w:t>
      </w:r>
      <w:r>
        <w:rPr>
          <w:rFonts w:cs="Times New Roman"/>
          <w:szCs w:val="28"/>
        </w:rPr>
        <w:t>PM</w:t>
      </w:r>
      <w:r>
        <w:rPr>
          <w:rFonts w:cs="Times New Roman"/>
          <w:szCs w:val="28"/>
          <w:vertAlign w:val="subscript"/>
        </w:rPr>
        <w:t>2.5</w:t>
      </w:r>
      <w:r>
        <w:rPr>
          <w:rFonts w:hint="eastAsia" w:cs="Times New Roman"/>
          <w:szCs w:val="28"/>
        </w:rPr>
        <w:t>浓度年均值、第</w:t>
      </w:r>
      <w:r>
        <w:rPr>
          <w:rFonts w:cs="Times New Roman"/>
          <w:szCs w:val="28"/>
        </w:rPr>
        <w:t>95</w:t>
      </w:r>
      <w:r>
        <w:rPr>
          <w:rFonts w:hint="eastAsia" w:cs="Times New Roman"/>
          <w:szCs w:val="28"/>
        </w:rPr>
        <w:t>百分位数、</w:t>
      </w:r>
      <w:r>
        <w:rPr>
          <w:rFonts w:cs="Times New Roman"/>
          <w:szCs w:val="28"/>
        </w:rPr>
        <w:t>CO</w:t>
      </w:r>
      <w:r>
        <w:rPr>
          <w:rFonts w:hint="eastAsia" w:cs="Times New Roman"/>
          <w:szCs w:val="28"/>
        </w:rPr>
        <w:t>日均值第</w:t>
      </w:r>
      <w:r>
        <w:rPr>
          <w:rFonts w:cs="Times New Roman"/>
          <w:szCs w:val="28"/>
        </w:rPr>
        <w:t>95</w:t>
      </w:r>
      <w:r>
        <w:rPr>
          <w:rFonts w:hint="eastAsia" w:cs="Times New Roman"/>
          <w:szCs w:val="28"/>
        </w:rPr>
        <w:t>百分位数、</w:t>
      </w:r>
      <w:r>
        <w:rPr>
          <w:rFonts w:cs="Times New Roman"/>
          <w:szCs w:val="28"/>
        </w:rPr>
        <w:t>O</w:t>
      </w:r>
      <w:r>
        <w:rPr>
          <w:rFonts w:cs="Times New Roman"/>
          <w:szCs w:val="28"/>
          <w:vertAlign w:val="subscript"/>
        </w:rPr>
        <w:t>3</w:t>
      </w:r>
      <w:r>
        <w:rPr>
          <w:rFonts w:hint="eastAsia" w:cs="Times New Roman"/>
          <w:szCs w:val="28"/>
        </w:rPr>
        <w:t>浓度日最大</w:t>
      </w:r>
      <w:r>
        <w:rPr>
          <w:rFonts w:cs="Times New Roman"/>
          <w:szCs w:val="28"/>
        </w:rPr>
        <w:t>8</w:t>
      </w:r>
      <w:r>
        <w:rPr>
          <w:rFonts w:hint="eastAsia" w:cs="Times New Roman"/>
          <w:szCs w:val="28"/>
        </w:rPr>
        <w:t>小时滑动平均值第</w:t>
      </w:r>
      <w:r>
        <w:rPr>
          <w:rFonts w:cs="Times New Roman"/>
          <w:szCs w:val="28"/>
        </w:rPr>
        <w:t>90</w:t>
      </w:r>
      <w:r>
        <w:rPr>
          <w:rFonts w:hint="eastAsia" w:cs="Times New Roman"/>
          <w:szCs w:val="28"/>
        </w:rPr>
        <w:t>百分位数均满足《环境空气质量标准》（</w:t>
      </w:r>
      <w:r>
        <w:rPr>
          <w:rFonts w:cs="Times New Roman"/>
          <w:szCs w:val="28"/>
        </w:rPr>
        <w:t>GB3095-2012</w:t>
      </w:r>
      <w:r>
        <w:rPr>
          <w:rFonts w:hint="eastAsia" w:cs="Times New Roman"/>
          <w:szCs w:val="28"/>
        </w:rPr>
        <w:t>）二级标准，区域大气环境质量较2023年改善，总体质量较好。</w:t>
      </w:r>
    </w:p>
    <w:p w14:paraId="4AB6E2C2">
      <w:pPr>
        <w:ind w:firstLine="0" w:firstLineChars="0"/>
        <w:outlineLvl w:val="3"/>
        <w:rPr>
          <w:b/>
          <w:bCs/>
        </w:rPr>
      </w:pPr>
      <w:r>
        <w:rPr>
          <w:b/>
          <w:bCs/>
        </w:rPr>
        <w:t>3</w:t>
      </w:r>
      <w:r>
        <w:rPr>
          <w:rFonts w:hint="eastAsia"/>
          <w:b/>
          <w:bCs/>
        </w:rPr>
        <w:t>.</w:t>
      </w:r>
      <w:r>
        <w:rPr>
          <w:b/>
          <w:bCs/>
        </w:rPr>
        <w:t>5</w:t>
      </w:r>
      <w:r>
        <w:rPr>
          <w:rFonts w:hint="eastAsia"/>
          <w:b/>
          <w:bCs/>
        </w:rPr>
        <w:t>.</w:t>
      </w:r>
      <w:r>
        <w:rPr>
          <w:b/>
          <w:bCs/>
        </w:rPr>
        <w:t>1</w:t>
      </w:r>
      <w:r>
        <w:rPr>
          <w:rFonts w:hint="eastAsia"/>
          <w:b/>
          <w:bCs/>
        </w:rPr>
        <w:t>.2环境空气质量补充监测数据分析</w:t>
      </w:r>
    </w:p>
    <w:p w14:paraId="65261560">
      <w:pPr>
        <w:ind w:firstLine="482"/>
        <w:rPr>
          <w:b/>
          <w:bCs/>
        </w:rPr>
      </w:pPr>
      <w:r>
        <w:rPr>
          <w:rFonts w:hint="eastAsia"/>
          <w:b/>
          <w:bCs/>
        </w:rPr>
        <w:t>（1）监测布点和监测因子</w:t>
      </w:r>
    </w:p>
    <w:p w14:paraId="010EE91B">
      <w:pPr>
        <w:ind w:firstLine="480"/>
      </w:pPr>
      <w:r>
        <w:rPr>
          <w:rFonts w:hint="eastAsia"/>
        </w:rPr>
        <w:t>本次补充监测充分考虑度假区用地现状与规划及周边环境敏感目标，大气环境功能区划，兼顾主导风向和网格布点原则，补充7个环境空气监测点，具体监测点位和监测因子见表3.5-2，监测点位分布如附图36所示。</w:t>
      </w:r>
    </w:p>
    <w:p w14:paraId="3411737F">
      <w:pPr>
        <w:pStyle w:val="45"/>
        <w:rPr>
          <w:rFonts w:cs="Times New Roman"/>
        </w:rPr>
      </w:pPr>
      <w:r>
        <w:rPr>
          <w:rFonts w:hint="eastAsia" w:cs="Times New Roman"/>
        </w:rPr>
        <w:t>表3.</w:t>
      </w:r>
      <w:r>
        <w:rPr>
          <w:rFonts w:cs="Times New Roman"/>
        </w:rPr>
        <w:t>5</w:t>
      </w:r>
      <w:r>
        <w:rPr>
          <w:rFonts w:hint="eastAsia" w:cs="Times New Roman"/>
        </w:rPr>
        <w:t xml:space="preserve">-2 </w:t>
      </w:r>
      <w:r>
        <w:rPr>
          <w:rFonts w:cs="Times New Roman"/>
        </w:rPr>
        <w:t xml:space="preserve"> </w:t>
      </w:r>
      <w:r>
        <w:rPr>
          <w:rFonts w:hint="eastAsia" w:cs="Times New Roman"/>
        </w:rPr>
        <w:t>大气环境质量补充监测点位信息</w:t>
      </w:r>
    </w:p>
    <w:tbl>
      <w:tblPr>
        <w:tblStyle w:val="25"/>
        <w:tblW w:w="491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1495"/>
        <w:gridCol w:w="3823"/>
        <w:gridCol w:w="1199"/>
        <w:gridCol w:w="1115"/>
      </w:tblGrid>
      <w:tr w14:paraId="72F6D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blHeader/>
        </w:trPr>
        <w:tc>
          <w:tcPr>
            <w:tcW w:w="447" w:type="pct"/>
            <w:vAlign w:val="center"/>
          </w:tcPr>
          <w:p w14:paraId="1C889BF1">
            <w:pPr>
              <w:spacing w:line="240" w:lineRule="auto"/>
              <w:ind w:firstLine="0" w:firstLineChars="0"/>
              <w:jc w:val="center"/>
              <w:rPr>
                <w:rFonts w:cs="Times New Roman"/>
                <w:b/>
                <w:spacing w:val="8"/>
                <w:sz w:val="21"/>
                <w:szCs w:val="21"/>
              </w:rPr>
            </w:pPr>
            <w:r>
              <w:rPr>
                <w:rFonts w:hint="eastAsia" w:cs="Times New Roman"/>
                <w:b/>
                <w:spacing w:val="8"/>
                <w:sz w:val="21"/>
                <w:szCs w:val="21"/>
              </w:rPr>
              <w:t>编号</w:t>
            </w:r>
          </w:p>
        </w:tc>
        <w:tc>
          <w:tcPr>
            <w:tcW w:w="891" w:type="pct"/>
            <w:vAlign w:val="center"/>
          </w:tcPr>
          <w:p w14:paraId="3FD3327F">
            <w:pPr>
              <w:spacing w:line="240" w:lineRule="auto"/>
              <w:ind w:firstLine="0" w:firstLineChars="0"/>
              <w:jc w:val="center"/>
              <w:rPr>
                <w:rFonts w:cs="Times New Roman"/>
                <w:b/>
                <w:spacing w:val="8"/>
                <w:sz w:val="21"/>
                <w:szCs w:val="21"/>
              </w:rPr>
            </w:pPr>
            <w:r>
              <w:rPr>
                <w:rFonts w:hint="eastAsia" w:cs="Times New Roman"/>
                <w:b/>
                <w:spacing w:val="8"/>
                <w:sz w:val="21"/>
                <w:szCs w:val="21"/>
              </w:rPr>
              <w:t>监测点位置</w:t>
            </w:r>
          </w:p>
        </w:tc>
        <w:tc>
          <w:tcPr>
            <w:tcW w:w="2279" w:type="pct"/>
            <w:vAlign w:val="center"/>
          </w:tcPr>
          <w:p w14:paraId="24450E57">
            <w:pPr>
              <w:spacing w:line="240" w:lineRule="auto"/>
              <w:ind w:firstLine="0" w:firstLineChars="0"/>
              <w:jc w:val="center"/>
              <w:rPr>
                <w:rFonts w:cs="Times New Roman"/>
                <w:b/>
                <w:spacing w:val="8"/>
                <w:sz w:val="21"/>
                <w:szCs w:val="21"/>
              </w:rPr>
            </w:pPr>
            <w:r>
              <w:rPr>
                <w:rFonts w:hint="eastAsia" w:cs="Times New Roman"/>
                <w:b/>
                <w:spacing w:val="8"/>
                <w:sz w:val="21"/>
                <w:szCs w:val="21"/>
              </w:rPr>
              <w:t>代表区域</w:t>
            </w:r>
          </w:p>
        </w:tc>
        <w:tc>
          <w:tcPr>
            <w:tcW w:w="715" w:type="pct"/>
            <w:vAlign w:val="center"/>
          </w:tcPr>
          <w:p w14:paraId="0843D376">
            <w:pPr>
              <w:spacing w:line="240" w:lineRule="auto"/>
              <w:ind w:firstLine="0" w:firstLineChars="0"/>
              <w:jc w:val="center"/>
              <w:rPr>
                <w:rFonts w:cs="Times New Roman"/>
                <w:b/>
                <w:spacing w:val="8"/>
                <w:sz w:val="21"/>
                <w:szCs w:val="21"/>
              </w:rPr>
            </w:pPr>
            <w:r>
              <w:rPr>
                <w:rFonts w:hint="eastAsia" w:cs="Times New Roman"/>
                <w:b/>
                <w:spacing w:val="8"/>
                <w:sz w:val="21"/>
                <w:szCs w:val="21"/>
              </w:rPr>
              <w:t>监测因子</w:t>
            </w:r>
          </w:p>
        </w:tc>
        <w:tc>
          <w:tcPr>
            <w:tcW w:w="665" w:type="pct"/>
            <w:vAlign w:val="center"/>
          </w:tcPr>
          <w:p w14:paraId="2D13FDA8">
            <w:pPr>
              <w:spacing w:line="240" w:lineRule="auto"/>
              <w:ind w:firstLine="0" w:firstLineChars="0"/>
              <w:jc w:val="center"/>
              <w:rPr>
                <w:rFonts w:cs="Times New Roman"/>
                <w:b/>
                <w:spacing w:val="8"/>
                <w:sz w:val="21"/>
                <w:szCs w:val="21"/>
              </w:rPr>
            </w:pPr>
            <w:r>
              <w:rPr>
                <w:rFonts w:hint="eastAsia" w:cs="Times New Roman"/>
                <w:b/>
                <w:spacing w:val="8"/>
                <w:sz w:val="21"/>
                <w:szCs w:val="21"/>
              </w:rPr>
              <w:t>所在功能区</w:t>
            </w:r>
          </w:p>
        </w:tc>
      </w:tr>
      <w:tr w14:paraId="06FB8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47" w:type="pct"/>
            <w:vAlign w:val="center"/>
          </w:tcPr>
          <w:p w14:paraId="03355407">
            <w:pPr>
              <w:spacing w:line="240" w:lineRule="auto"/>
              <w:ind w:firstLine="0" w:firstLineChars="0"/>
              <w:jc w:val="center"/>
              <w:rPr>
                <w:rFonts w:cs="Times New Roman"/>
                <w:spacing w:val="8"/>
                <w:sz w:val="21"/>
                <w:szCs w:val="21"/>
              </w:rPr>
            </w:pPr>
            <w:r>
              <w:rPr>
                <w:rFonts w:hint="eastAsia" w:cs="Times New Roman"/>
                <w:spacing w:val="8"/>
                <w:sz w:val="21"/>
                <w:szCs w:val="21"/>
              </w:rPr>
              <w:t>G1</w:t>
            </w:r>
          </w:p>
        </w:tc>
        <w:tc>
          <w:tcPr>
            <w:tcW w:w="891" w:type="pct"/>
            <w:vAlign w:val="center"/>
          </w:tcPr>
          <w:p w14:paraId="2FE54AC3">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东进小区</w:t>
            </w:r>
          </w:p>
        </w:tc>
        <w:tc>
          <w:tcPr>
            <w:tcW w:w="2279" w:type="pct"/>
            <w:vAlign w:val="center"/>
          </w:tcPr>
          <w:p w14:paraId="0A71F9DB">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区外，属度假区外敏感目标（居住），位于下风向</w:t>
            </w:r>
          </w:p>
        </w:tc>
        <w:tc>
          <w:tcPr>
            <w:tcW w:w="715" w:type="pct"/>
            <w:vMerge w:val="restart"/>
            <w:vAlign w:val="center"/>
          </w:tcPr>
          <w:p w14:paraId="518AF6F6">
            <w:pPr>
              <w:spacing w:line="240" w:lineRule="auto"/>
              <w:ind w:firstLine="0" w:firstLineChars="0"/>
              <w:jc w:val="center"/>
              <w:rPr>
                <w:rFonts w:cs="Times New Roman"/>
                <w:spacing w:val="8"/>
                <w:sz w:val="21"/>
                <w:szCs w:val="21"/>
              </w:rPr>
            </w:pPr>
            <w:r>
              <w:rPr>
                <w:rFonts w:hint="eastAsia" w:cs="Times New Roman"/>
                <w:sz w:val="21"/>
                <w:szCs w:val="21"/>
              </w:rPr>
              <w:t>NH</w:t>
            </w:r>
            <w:r>
              <w:rPr>
                <w:rFonts w:hint="eastAsia" w:cs="Times New Roman"/>
                <w:sz w:val="21"/>
                <w:szCs w:val="21"/>
                <w:vertAlign w:val="subscript"/>
              </w:rPr>
              <w:t>3</w:t>
            </w:r>
            <w:r>
              <w:rPr>
                <w:rFonts w:hint="eastAsia" w:cs="Times New Roman"/>
                <w:sz w:val="21"/>
                <w:szCs w:val="21"/>
              </w:rPr>
              <w:t>、H</w:t>
            </w:r>
            <w:r>
              <w:rPr>
                <w:rFonts w:hint="eastAsia" w:cs="Times New Roman"/>
                <w:sz w:val="21"/>
                <w:szCs w:val="21"/>
                <w:vertAlign w:val="subscript"/>
              </w:rPr>
              <w:t>2</w:t>
            </w:r>
            <w:r>
              <w:rPr>
                <w:rFonts w:hint="eastAsia" w:cs="Times New Roman"/>
                <w:sz w:val="21"/>
                <w:szCs w:val="21"/>
              </w:rPr>
              <w:t>S、非甲烷总烃</w:t>
            </w:r>
          </w:p>
        </w:tc>
        <w:tc>
          <w:tcPr>
            <w:tcW w:w="665" w:type="pct"/>
            <w:vMerge w:val="restart"/>
            <w:vAlign w:val="center"/>
          </w:tcPr>
          <w:p w14:paraId="5B31223E">
            <w:pPr>
              <w:spacing w:line="240" w:lineRule="auto"/>
              <w:ind w:firstLine="0" w:firstLineChars="0"/>
              <w:jc w:val="center"/>
              <w:rPr>
                <w:rFonts w:cs="Times New Roman"/>
                <w:sz w:val="21"/>
                <w:szCs w:val="21"/>
              </w:rPr>
            </w:pPr>
            <w:r>
              <w:rPr>
                <w:rFonts w:hint="eastAsia" w:cs="Times New Roman"/>
                <w:sz w:val="21"/>
                <w:szCs w:val="21"/>
              </w:rPr>
              <w:t>二类功能区</w:t>
            </w:r>
          </w:p>
        </w:tc>
      </w:tr>
      <w:tr w14:paraId="1D426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47" w:type="pct"/>
            <w:vAlign w:val="center"/>
          </w:tcPr>
          <w:p w14:paraId="7B6D4D76">
            <w:pPr>
              <w:spacing w:line="240" w:lineRule="auto"/>
              <w:ind w:firstLine="0" w:firstLineChars="0"/>
              <w:jc w:val="center"/>
              <w:rPr>
                <w:rFonts w:cs="Times New Roman"/>
                <w:spacing w:val="8"/>
                <w:sz w:val="21"/>
                <w:szCs w:val="21"/>
              </w:rPr>
            </w:pPr>
            <w:r>
              <w:rPr>
                <w:rFonts w:hint="eastAsia" w:cs="Times New Roman"/>
                <w:spacing w:val="8"/>
                <w:sz w:val="21"/>
                <w:szCs w:val="21"/>
              </w:rPr>
              <w:t>G2</w:t>
            </w:r>
          </w:p>
        </w:tc>
        <w:tc>
          <w:tcPr>
            <w:tcW w:w="891" w:type="pct"/>
            <w:vAlign w:val="center"/>
          </w:tcPr>
          <w:p w14:paraId="2B4190EB">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雅居乐山湖城</w:t>
            </w:r>
          </w:p>
        </w:tc>
        <w:tc>
          <w:tcPr>
            <w:tcW w:w="2279" w:type="pct"/>
            <w:vAlign w:val="center"/>
          </w:tcPr>
          <w:p w14:paraId="0D615453">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区内，属度假区内敏感目标（居住），位于上风向</w:t>
            </w:r>
          </w:p>
        </w:tc>
        <w:tc>
          <w:tcPr>
            <w:tcW w:w="715" w:type="pct"/>
            <w:vMerge w:val="continue"/>
            <w:vAlign w:val="center"/>
          </w:tcPr>
          <w:p w14:paraId="69ECBC88">
            <w:pPr>
              <w:spacing w:line="240" w:lineRule="auto"/>
              <w:ind w:firstLine="0" w:firstLineChars="0"/>
              <w:jc w:val="center"/>
              <w:rPr>
                <w:rFonts w:cs="Times New Roman"/>
                <w:spacing w:val="8"/>
                <w:sz w:val="21"/>
                <w:szCs w:val="21"/>
              </w:rPr>
            </w:pPr>
          </w:p>
        </w:tc>
        <w:tc>
          <w:tcPr>
            <w:tcW w:w="665" w:type="pct"/>
            <w:vMerge w:val="continue"/>
            <w:vAlign w:val="center"/>
          </w:tcPr>
          <w:p w14:paraId="3A099914">
            <w:pPr>
              <w:spacing w:line="240" w:lineRule="auto"/>
              <w:ind w:firstLine="0" w:firstLineChars="0"/>
              <w:jc w:val="center"/>
              <w:rPr>
                <w:rFonts w:cs="Times New Roman"/>
                <w:spacing w:val="8"/>
                <w:sz w:val="21"/>
                <w:szCs w:val="21"/>
              </w:rPr>
            </w:pPr>
          </w:p>
        </w:tc>
      </w:tr>
      <w:tr w14:paraId="0C877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47" w:type="pct"/>
            <w:vAlign w:val="center"/>
          </w:tcPr>
          <w:p w14:paraId="18A0B252">
            <w:pPr>
              <w:spacing w:line="240" w:lineRule="auto"/>
              <w:ind w:firstLine="0" w:firstLineChars="0"/>
              <w:jc w:val="center"/>
              <w:rPr>
                <w:rFonts w:cs="Times New Roman"/>
                <w:spacing w:val="8"/>
                <w:sz w:val="21"/>
                <w:szCs w:val="21"/>
              </w:rPr>
            </w:pPr>
            <w:r>
              <w:rPr>
                <w:rFonts w:hint="eastAsia" w:cs="Times New Roman"/>
                <w:spacing w:val="8"/>
                <w:sz w:val="21"/>
                <w:szCs w:val="21"/>
              </w:rPr>
              <w:t>G3</w:t>
            </w:r>
          </w:p>
        </w:tc>
        <w:tc>
          <w:tcPr>
            <w:tcW w:w="891" w:type="pct"/>
            <w:vAlign w:val="center"/>
          </w:tcPr>
          <w:p w14:paraId="67E5A816">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林场村</w:t>
            </w:r>
          </w:p>
        </w:tc>
        <w:tc>
          <w:tcPr>
            <w:tcW w:w="2279" w:type="pct"/>
            <w:vAlign w:val="center"/>
          </w:tcPr>
          <w:p w14:paraId="706E4BF3">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区外，属度假区外敏感目标（居住），位于上风向</w:t>
            </w:r>
          </w:p>
        </w:tc>
        <w:tc>
          <w:tcPr>
            <w:tcW w:w="715" w:type="pct"/>
            <w:vMerge w:val="continue"/>
            <w:vAlign w:val="center"/>
          </w:tcPr>
          <w:p w14:paraId="5264A210">
            <w:pPr>
              <w:spacing w:line="240" w:lineRule="auto"/>
              <w:ind w:firstLine="0" w:firstLineChars="0"/>
              <w:jc w:val="center"/>
              <w:rPr>
                <w:rFonts w:cs="Times New Roman"/>
                <w:spacing w:val="8"/>
                <w:sz w:val="21"/>
                <w:szCs w:val="21"/>
              </w:rPr>
            </w:pPr>
          </w:p>
        </w:tc>
        <w:tc>
          <w:tcPr>
            <w:tcW w:w="665" w:type="pct"/>
            <w:vMerge w:val="continue"/>
            <w:vAlign w:val="center"/>
          </w:tcPr>
          <w:p w14:paraId="79AA1228">
            <w:pPr>
              <w:spacing w:line="240" w:lineRule="auto"/>
              <w:ind w:firstLine="0" w:firstLineChars="0"/>
              <w:jc w:val="center"/>
              <w:rPr>
                <w:rFonts w:cs="Times New Roman"/>
                <w:spacing w:val="8"/>
                <w:sz w:val="21"/>
                <w:szCs w:val="21"/>
              </w:rPr>
            </w:pPr>
          </w:p>
        </w:tc>
      </w:tr>
      <w:tr w14:paraId="23FBC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47" w:type="pct"/>
            <w:vAlign w:val="center"/>
          </w:tcPr>
          <w:p w14:paraId="446A9F14">
            <w:pPr>
              <w:spacing w:line="240" w:lineRule="auto"/>
              <w:ind w:firstLine="0" w:firstLineChars="0"/>
              <w:jc w:val="center"/>
              <w:rPr>
                <w:rFonts w:cs="Times New Roman"/>
                <w:spacing w:val="8"/>
                <w:sz w:val="21"/>
                <w:szCs w:val="21"/>
              </w:rPr>
            </w:pPr>
            <w:r>
              <w:rPr>
                <w:rFonts w:hint="eastAsia" w:cs="Times New Roman"/>
                <w:spacing w:val="8"/>
                <w:sz w:val="21"/>
                <w:szCs w:val="21"/>
              </w:rPr>
              <w:t>G4</w:t>
            </w:r>
          </w:p>
        </w:tc>
        <w:tc>
          <w:tcPr>
            <w:tcW w:w="891" w:type="pct"/>
            <w:vAlign w:val="center"/>
          </w:tcPr>
          <w:p w14:paraId="49659F54">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养心园</w:t>
            </w:r>
          </w:p>
        </w:tc>
        <w:tc>
          <w:tcPr>
            <w:tcW w:w="2279" w:type="pct"/>
            <w:vAlign w:val="center"/>
          </w:tcPr>
          <w:p w14:paraId="5A9E23EB">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区内，属度假区内敏感目标（居住），位于上风向</w:t>
            </w:r>
          </w:p>
        </w:tc>
        <w:tc>
          <w:tcPr>
            <w:tcW w:w="715" w:type="pct"/>
            <w:vMerge w:val="continue"/>
            <w:vAlign w:val="center"/>
          </w:tcPr>
          <w:p w14:paraId="7FD4D65E">
            <w:pPr>
              <w:spacing w:line="240" w:lineRule="auto"/>
              <w:ind w:firstLine="0" w:firstLineChars="0"/>
              <w:jc w:val="center"/>
              <w:rPr>
                <w:rFonts w:cs="Times New Roman"/>
                <w:spacing w:val="8"/>
                <w:sz w:val="21"/>
                <w:szCs w:val="21"/>
              </w:rPr>
            </w:pPr>
          </w:p>
        </w:tc>
        <w:tc>
          <w:tcPr>
            <w:tcW w:w="665" w:type="pct"/>
            <w:vAlign w:val="center"/>
          </w:tcPr>
          <w:p w14:paraId="2330D8D9">
            <w:pPr>
              <w:spacing w:line="240" w:lineRule="auto"/>
              <w:ind w:firstLine="0" w:firstLineChars="0"/>
              <w:jc w:val="center"/>
              <w:rPr>
                <w:rFonts w:cs="Times New Roman"/>
                <w:spacing w:val="8"/>
                <w:sz w:val="21"/>
                <w:szCs w:val="21"/>
              </w:rPr>
            </w:pPr>
            <w:r>
              <w:rPr>
                <w:rFonts w:hint="eastAsia" w:cs="Times New Roman"/>
                <w:spacing w:val="8"/>
                <w:sz w:val="21"/>
                <w:szCs w:val="21"/>
              </w:rPr>
              <w:t>一类功能区</w:t>
            </w:r>
          </w:p>
        </w:tc>
      </w:tr>
      <w:tr w14:paraId="783AA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47" w:type="pct"/>
            <w:vAlign w:val="center"/>
          </w:tcPr>
          <w:p w14:paraId="0D9B6ADA">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G5</w:t>
            </w:r>
          </w:p>
        </w:tc>
        <w:tc>
          <w:tcPr>
            <w:tcW w:w="891" w:type="pct"/>
            <w:vAlign w:val="center"/>
          </w:tcPr>
          <w:p w14:paraId="1E5EE76B">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方山水库</w:t>
            </w:r>
          </w:p>
        </w:tc>
        <w:tc>
          <w:tcPr>
            <w:tcW w:w="2279" w:type="pct"/>
            <w:vAlign w:val="center"/>
          </w:tcPr>
          <w:p w14:paraId="39E0AC85">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区内，属度假区内重点水体区域区域，位于下风向</w:t>
            </w:r>
          </w:p>
        </w:tc>
        <w:tc>
          <w:tcPr>
            <w:tcW w:w="715" w:type="pct"/>
            <w:vMerge w:val="continue"/>
            <w:vAlign w:val="center"/>
          </w:tcPr>
          <w:p w14:paraId="7B472A14">
            <w:pPr>
              <w:tabs>
                <w:tab w:val="left" w:pos="1021"/>
              </w:tabs>
              <w:spacing w:line="240" w:lineRule="auto"/>
              <w:ind w:firstLine="0" w:firstLineChars="0"/>
              <w:jc w:val="center"/>
              <w:rPr>
                <w:rFonts w:cs="Times New Roman"/>
                <w:spacing w:val="8"/>
                <w:sz w:val="21"/>
                <w:szCs w:val="21"/>
              </w:rPr>
            </w:pPr>
          </w:p>
        </w:tc>
        <w:tc>
          <w:tcPr>
            <w:tcW w:w="665" w:type="pct"/>
            <w:vMerge w:val="restart"/>
            <w:vAlign w:val="center"/>
          </w:tcPr>
          <w:p w14:paraId="74263135">
            <w:pPr>
              <w:tabs>
                <w:tab w:val="left" w:pos="1021"/>
              </w:tabs>
              <w:spacing w:line="240" w:lineRule="auto"/>
              <w:ind w:firstLine="0" w:firstLineChars="0"/>
              <w:jc w:val="center"/>
              <w:rPr>
                <w:rFonts w:cs="Times New Roman"/>
                <w:spacing w:val="8"/>
                <w:sz w:val="21"/>
                <w:szCs w:val="21"/>
              </w:rPr>
            </w:pPr>
            <w:r>
              <w:rPr>
                <w:rFonts w:hint="eastAsia" w:cs="Times New Roman"/>
                <w:sz w:val="21"/>
                <w:szCs w:val="21"/>
              </w:rPr>
              <w:t>二类功能区</w:t>
            </w:r>
          </w:p>
        </w:tc>
      </w:tr>
      <w:tr w14:paraId="4B7AE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47" w:type="pct"/>
            <w:vAlign w:val="center"/>
          </w:tcPr>
          <w:p w14:paraId="7D1189A2">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G6</w:t>
            </w:r>
          </w:p>
        </w:tc>
        <w:tc>
          <w:tcPr>
            <w:tcW w:w="891" w:type="pct"/>
            <w:vAlign w:val="center"/>
          </w:tcPr>
          <w:p w14:paraId="24D9FAAC">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塔山村</w:t>
            </w:r>
          </w:p>
        </w:tc>
        <w:tc>
          <w:tcPr>
            <w:tcW w:w="2279" w:type="pct"/>
            <w:vAlign w:val="center"/>
          </w:tcPr>
          <w:p w14:paraId="597264D6">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区内，属度假区内敏感目标（居住），位于上风向</w:t>
            </w:r>
          </w:p>
        </w:tc>
        <w:tc>
          <w:tcPr>
            <w:tcW w:w="715" w:type="pct"/>
            <w:vMerge w:val="continue"/>
            <w:vAlign w:val="center"/>
          </w:tcPr>
          <w:p w14:paraId="1493431B">
            <w:pPr>
              <w:tabs>
                <w:tab w:val="left" w:pos="1021"/>
              </w:tabs>
              <w:spacing w:line="240" w:lineRule="auto"/>
              <w:ind w:firstLine="0" w:firstLineChars="0"/>
              <w:jc w:val="center"/>
              <w:rPr>
                <w:rFonts w:cs="Times New Roman"/>
                <w:spacing w:val="8"/>
                <w:sz w:val="21"/>
                <w:szCs w:val="21"/>
              </w:rPr>
            </w:pPr>
          </w:p>
        </w:tc>
        <w:tc>
          <w:tcPr>
            <w:tcW w:w="665" w:type="pct"/>
            <w:vMerge w:val="continue"/>
            <w:vAlign w:val="center"/>
          </w:tcPr>
          <w:p w14:paraId="708222B8">
            <w:pPr>
              <w:tabs>
                <w:tab w:val="left" w:pos="1021"/>
              </w:tabs>
              <w:spacing w:line="240" w:lineRule="auto"/>
              <w:ind w:firstLine="0" w:firstLineChars="0"/>
              <w:jc w:val="center"/>
              <w:rPr>
                <w:rFonts w:cs="Times New Roman"/>
                <w:spacing w:val="8"/>
                <w:sz w:val="21"/>
                <w:szCs w:val="21"/>
              </w:rPr>
            </w:pPr>
          </w:p>
        </w:tc>
      </w:tr>
      <w:tr w14:paraId="3B26A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47" w:type="pct"/>
            <w:vAlign w:val="center"/>
          </w:tcPr>
          <w:p w14:paraId="458B9B0A">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G7</w:t>
            </w:r>
          </w:p>
        </w:tc>
        <w:tc>
          <w:tcPr>
            <w:tcW w:w="891" w:type="pct"/>
            <w:vAlign w:val="center"/>
          </w:tcPr>
          <w:p w14:paraId="17C7B4B0">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许庄村</w:t>
            </w:r>
          </w:p>
        </w:tc>
        <w:tc>
          <w:tcPr>
            <w:tcW w:w="2279" w:type="pct"/>
            <w:vAlign w:val="center"/>
          </w:tcPr>
          <w:p w14:paraId="636B868C">
            <w:pPr>
              <w:tabs>
                <w:tab w:val="left" w:pos="1021"/>
              </w:tabs>
              <w:spacing w:line="240" w:lineRule="auto"/>
              <w:ind w:firstLine="0" w:firstLineChars="0"/>
              <w:jc w:val="center"/>
              <w:rPr>
                <w:rFonts w:cs="Times New Roman"/>
                <w:spacing w:val="8"/>
                <w:sz w:val="21"/>
                <w:szCs w:val="21"/>
              </w:rPr>
            </w:pPr>
            <w:r>
              <w:rPr>
                <w:rFonts w:hint="eastAsia" w:cs="Times New Roman"/>
                <w:spacing w:val="8"/>
                <w:sz w:val="21"/>
                <w:szCs w:val="21"/>
              </w:rPr>
              <w:t>区内，属度假区内敏感目标（居住），位于下风向</w:t>
            </w:r>
          </w:p>
        </w:tc>
        <w:tc>
          <w:tcPr>
            <w:tcW w:w="715" w:type="pct"/>
            <w:vMerge w:val="continue"/>
            <w:vAlign w:val="center"/>
          </w:tcPr>
          <w:p w14:paraId="2F15950F">
            <w:pPr>
              <w:tabs>
                <w:tab w:val="left" w:pos="1021"/>
              </w:tabs>
              <w:spacing w:line="240" w:lineRule="auto"/>
              <w:ind w:firstLine="0" w:firstLineChars="0"/>
              <w:jc w:val="center"/>
              <w:rPr>
                <w:rFonts w:cs="Times New Roman"/>
                <w:spacing w:val="8"/>
                <w:sz w:val="21"/>
                <w:szCs w:val="21"/>
              </w:rPr>
            </w:pPr>
          </w:p>
        </w:tc>
        <w:tc>
          <w:tcPr>
            <w:tcW w:w="665" w:type="pct"/>
            <w:vMerge w:val="continue"/>
            <w:vAlign w:val="center"/>
          </w:tcPr>
          <w:p w14:paraId="6A041F03">
            <w:pPr>
              <w:tabs>
                <w:tab w:val="left" w:pos="1021"/>
              </w:tabs>
              <w:spacing w:line="240" w:lineRule="auto"/>
              <w:ind w:firstLine="0" w:firstLineChars="0"/>
              <w:jc w:val="center"/>
              <w:rPr>
                <w:rFonts w:cs="Times New Roman"/>
                <w:spacing w:val="8"/>
                <w:sz w:val="21"/>
                <w:szCs w:val="21"/>
              </w:rPr>
            </w:pPr>
          </w:p>
        </w:tc>
      </w:tr>
    </w:tbl>
    <w:p w14:paraId="554662C6">
      <w:pPr>
        <w:ind w:firstLine="482"/>
        <w:rPr>
          <w:b/>
          <w:szCs w:val="24"/>
        </w:rPr>
      </w:pPr>
      <w:r>
        <w:rPr>
          <w:rFonts w:hint="eastAsia"/>
          <w:b/>
          <w:szCs w:val="24"/>
        </w:rPr>
        <w:t>（2）监测时间和监测频次</w:t>
      </w:r>
    </w:p>
    <w:p w14:paraId="0848253E">
      <w:pPr>
        <w:ind w:firstLine="480"/>
        <w:rPr>
          <w:color w:val="0070C0"/>
        </w:rPr>
      </w:pPr>
      <w:r>
        <w:rPr>
          <w:rFonts w:hint="eastAsia"/>
        </w:rPr>
        <w:t>G</w:t>
      </w:r>
      <w:r>
        <w:t>1</w:t>
      </w:r>
      <w:r>
        <w:rPr>
          <w:rFonts w:hint="eastAsia"/>
        </w:rPr>
        <w:t>~G</w:t>
      </w:r>
      <w:r>
        <w:t>5</w:t>
      </w:r>
      <w:r>
        <w:rPr>
          <w:rFonts w:hint="eastAsia"/>
        </w:rPr>
        <w:t>点位监测时间为2024年3月2日—2024年3月8日，连续7天，每天4次，每次采样时间不少于45min；G</w:t>
      </w:r>
      <w:r>
        <w:t>6</w:t>
      </w:r>
      <w:r>
        <w:rPr>
          <w:rFonts w:hint="eastAsia"/>
        </w:rPr>
        <w:t>、G</w:t>
      </w:r>
      <w:r>
        <w:t>7</w:t>
      </w:r>
      <w:r>
        <w:rPr>
          <w:rFonts w:hint="eastAsia"/>
        </w:rPr>
        <w:t>点位监测时间为2024年3月2</w:t>
      </w:r>
      <w:r>
        <w:t>0</w:t>
      </w:r>
      <w:r>
        <w:rPr>
          <w:rFonts w:hint="eastAsia"/>
        </w:rPr>
        <w:t>日—2024年3月</w:t>
      </w:r>
      <w:r>
        <w:t>26</w:t>
      </w:r>
      <w:r>
        <w:rPr>
          <w:rFonts w:hint="eastAsia"/>
        </w:rPr>
        <w:t>日，连续7天，每天4次，每次采样时间不少于45min。</w:t>
      </w:r>
    </w:p>
    <w:p w14:paraId="52C970CC">
      <w:pPr>
        <w:ind w:firstLine="482"/>
        <w:rPr>
          <w:b/>
          <w:bCs/>
        </w:rPr>
      </w:pPr>
      <w:r>
        <w:rPr>
          <w:rFonts w:hint="eastAsia"/>
          <w:b/>
          <w:bCs/>
        </w:rPr>
        <w:t>（3）监测分析方法</w:t>
      </w:r>
    </w:p>
    <w:p w14:paraId="14F92192">
      <w:pPr>
        <w:ind w:firstLine="480"/>
      </w:pPr>
      <w:r>
        <w:rPr>
          <w:rFonts w:hint="eastAsia"/>
        </w:rPr>
        <w:t>监测和分析方案按照《环境监测技术规范》《环境影响评价技术导则 大气环境》（HJ 2.2-2018）和《环境空气质量标准》（GB 3095-2012）等有关规定和要求执行，见表3.5-3。</w:t>
      </w:r>
    </w:p>
    <w:p w14:paraId="3489A140">
      <w:pPr>
        <w:pStyle w:val="45"/>
        <w:rPr>
          <w:rFonts w:cs="Times New Roman"/>
        </w:rPr>
      </w:pPr>
      <w:r>
        <w:rPr>
          <w:rFonts w:cs="Times New Roman"/>
        </w:rPr>
        <w:t>表</w:t>
      </w:r>
      <w:r>
        <w:rPr>
          <w:rFonts w:hint="eastAsia" w:cs="Times New Roman"/>
        </w:rPr>
        <w:t>3.</w:t>
      </w:r>
      <w:r>
        <w:rPr>
          <w:rFonts w:cs="Times New Roman"/>
        </w:rPr>
        <w:t>5</w:t>
      </w:r>
      <w:r>
        <w:rPr>
          <w:rFonts w:hint="eastAsia" w:cs="Times New Roman"/>
        </w:rPr>
        <w:t xml:space="preserve">-3 </w:t>
      </w:r>
      <w:r>
        <w:rPr>
          <w:rFonts w:cs="Times New Roman"/>
        </w:rPr>
        <w:t xml:space="preserve"> </w:t>
      </w:r>
      <w:r>
        <w:rPr>
          <w:rFonts w:hint="eastAsia" w:cs="Times New Roman"/>
        </w:rPr>
        <w:t>大气环境质量补充监测分析方法</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1151"/>
        <w:gridCol w:w="1276"/>
        <w:gridCol w:w="4278"/>
        <w:gridCol w:w="1631"/>
      </w:tblGrid>
      <w:tr w14:paraId="572F7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tblHeader/>
          <w:jc w:val="center"/>
        </w:trPr>
        <w:tc>
          <w:tcPr>
            <w:tcW w:w="690" w:type="pct"/>
            <w:vAlign w:val="center"/>
          </w:tcPr>
          <w:p w14:paraId="1EFBEB78">
            <w:pPr>
              <w:spacing w:line="240" w:lineRule="auto"/>
              <w:ind w:firstLine="0" w:firstLineChars="0"/>
              <w:jc w:val="center"/>
              <w:rPr>
                <w:rFonts w:cs="Times New Roman"/>
                <w:b/>
                <w:bCs/>
                <w:sz w:val="21"/>
                <w:szCs w:val="21"/>
                <w14:ligatures w14:val="none"/>
              </w:rPr>
            </w:pPr>
            <w:r>
              <w:rPr>
                <w:rFonts w:cs="Times New Roman"/>
                <w:b/>
                <w:bCs/>
                <w:sz w:val="21"/>
                <w:szCs w:val="21"/>
                <w14:ligatures w14:val="none"/>
              </w:rPr>
              <w:t>项目类别</w:t>
            </w:r>
          </w:p>
        </w:tc>
        <w:tc>
          <w:tcPr>
            <w:tcW w:w="765" w:type="pct"/>
            <w:vAlign w:val="center"/>
          </w:tcPr>
          <w:p w14:paraId="41851E8E">
            <w:pPr>
              <w:spacing w:line="240" w:lineRule="auto"/>
              <w:ind w:firstLine="0" w:firstLineChars="0"/>
              <w:jc w:val="center"/>
              <w:rPr>
                <w:rFonts w:cs="Times New Roman"/>
                <w:b/>
                <w:bCs/>
                <w:sz w:val="21"/>
                <w:szCs w:val="21"/>
                <w14:ligatures w14:val="none"/>
              </w:rPr>
            </w:pPr>
            <w:r>
              <w:rPr>
                <w:rFonts w:cs="Times New Roman"/>
                <w:b/>
                <w:bCs/>
                <w:sz w:val="21"/>
                <w:szCs w:val="21"/>
                <w14:ligatures w14:val="none"/>
              </w:rPr>
              <w:t>检测项目</w:t>
            </w:r>
          </w:p>
        </w:tc>
        <w:tc>
          <w:tcPr>
            <w:tcW w:w="2565" w:type="pct"/>
            <w:vAlign w:val="center"/>
          </w:tcPr>
          <w:p w14:paraId="2AF1FDC3">
            <w:pPr>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分析方法</w:t>
            </w:r>
          </w:p>
        </w:tc>
        <w:tc>
          <w:tcPr>
            <w:tcW w:w="978" w:type="pct"/>
            <w:vAlign w:val="center"/>
          </w:tcPr>
          <w:p w14:paraId="20A0E2F4">
            <w:pPr>
              <w:spacing w:line="240" w:lineRule="auto"/>
              <w:ind w:firstLine="0" w:firstLineChars="0"/>
              <w:jc w:val="center"/>
              <w:rPr>
                <w:rFonts w:cs="Times New Roman"/>
                <w:b/>
                <w:bCs/>
                <w:sz w:val="21"/>
                <w:szCs w:val="21"/>
                <w14:ligatures w14:val="none"/>
              </w:rPr>
            </w:pPr>
            <w:r>
              <w:rPr>
                <w:rFonts w:cs="Times New Roman"/>
                <w:b/>
                <w:bCs/>
                <w:sz w:val="21"/>
                <w:szCs w:val="21"/>
                <w14:ligatures w14:val="none"/>
              </w:rPr>
              <w:t>检出限</w:t>
            </w:r>
          </w:p>
        </w:tc>
      </w:tr>
      <w:tr w14:paraId="279A9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90" w:type="pct"/>
            <w:vMerge w:val="restart"/>
            <w:vAlign w:val="center"/>
          </w:tcPr>
          <w:p w14:paraId="54171E92">
            <w:pPr>
              <w:spacing w:line="240" w:lineRule="auto"/>
              <w:ind w:firstLine="0" w:firstLineChars="0"/>
              <w:jc w:val="center"/>
              <w:rPr>
                <w:rFonts w:cs="Times New Roman"/>
                <w:sz w:val="21"/>
                <w:szCs w:val="21"/>
                <w14:ligatures w14:val="none"/>
              </w:rPr>
            </w:pPr>
            <w:r>
              <w:rPr>
                <w:rFonts w:cs="Times New Roman"/>
                <w:sz w:val="21"/>
                <w:szCs w:val="21"/>
                <w14:ligatures w14:val="none"/>
              </w:rPr>
              <w:t>环境空气</w:t>
            </w:r>
          </w:p>
        </w:tc>
        <w:tc>
          <w:tcPr>
            <w:tcW w:w="765" w:type="pct"/>
            <w:vAlign w:val="center"/>
          </w:tcPr>
          <w:p w14:paraId="15FCB317">
            <w:pPr>
              <w:spacing w:line="240" w:lineRule="auto"/>
              <w:ind w:firstLine="0" w:firstLineChars="0"/>
              <w:jc w:val="center"/>
              <w:rPr>
                <w:rFonts w:cs="Times New Roman"/>
                <w:sz w:val="21"/>
                <w:szCs w:val="21"/>
                <w14:ligatures w14:val="none"/>
              </w:rPr>
            </w:pPr>
            <w:r>
              <w:rPr>
                <w:rFonts w:cs="Times New Roman"/>
                <w:sz w:val="21"/>
                <w:szCs w:val="21"/>
                <w14:ligatures w14:val="none"/>
              </w:rPr>
              <w:t>非甲烷总烃</w:t>
            </w:r>
          </w:p>
        </w:tc>
        <w:tc>
          <w:tcPr>
            <w:tcW w:w="2565" w:type="pct"/>
            <w:vAlign w:val="center"/>
          </w:tcPr>
          <w:p w14:paraId="1A6F29FD">
            <w:pPr>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环境空气 总烃、甲烷和非甲烷总烃的测定 直接进样-气相色谱法HJ 604-2017</w:t>
            </w:r>
          </w:p>
        </w:tc>
        <w:tc>
          <w:tcPr>
            <w:tcW w:w="978" w:type="pct"/>
            <w:vAlign w:val="center"/>
          </w:tcPr>
          <w:p w14:paraId="35AA7DF7">
            <w:pPr>
              <w:spacing w:line="240" w:lineRule="auto"/>
              <w:ind w:firstLine="0" w:firstLineChars="0"/>
              <w:jc w:val="center"/>
              <w:rPr>
                <w:rFonts w:cs="Times New Roman"/>
                <w:sz w:val="21"/>
                <w:szCs w:val="21"/>
                <w14:ligatures w14:val="none"/>
              </w:rPr>
            </w:pPr>
            <w:r>
              <w:rPr>
                <w:rFonts w:cs="Times New Roman"/>
                <w:sz w:val="21"/>
                <w:szCs w:val="21"/>
                <w14:ligatures w14:val="none"/>
              </w:rPr>
              <w:t>0.07mg/m³</w:t>
            </w:r>
          </w:p>
          <w:p w14:paraId="68AF4944">
            <w:pPr>
              <w:spacing w:line="240" w:lineRule="auto"/>
              <w:ind w:firstLine="0" w:firstLineChars="0"/>
              <w:jc w:val="center"/>
              <w:rPr>
                <w:rFonts w:cs="Times New Roman"/>
                <w:color w:val="000000"/>
                <w:kern w:val="0"/>
                <w:sz w:val="21"/>
                <w:szCs w:val="21"/>
                <w14:ligatures w14:val="none"/>
              </w:rPr>
            </w:pPr>
            <w:r>
              <w:rPr>
                <w:rFonts w:cs="Times New Roman"/>
                <w:bCs/>
                <w:color w:val="000000"/>
                <w:sz w:val="21"/>
                <w:szCs w:val="21"/>
                <w14:ligatures w14:val="none"/>
              </w:rPr>
              <w:t>（以碳计）</w:t>
            </w:r>
          </w:p>
        </w:tc>
      </w:tr>
      <w:tr w14:paraId="1F0C9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90" w:type="pct"/>
            <w:vMerge w:val="continue"/>
            <w:vAlign w:val="center"/>
          </w:tcPr>
          <w:p w14:paraId="7161A391">
            <w:pPr>
              <w:spacing w:line="240" w:lineRule="auto"/>
              <w:ind w:firstLine="0" w:firstLineChars="0"/>
              <w:jc w:val="center"/>
              <w:rPr>
                <w:rFonts w:cs="Times New Roman"/>
                <w:sz w:val="21"/>
                <w:szCs w:val="21"/>
                <w14:ligatures w14:val="none"/>
              </w:rPr>
            </w:pPr>
          </w:p>
        </w:tc>
        <w:tc>
          <w:tcPr>
            <w:tcW w:w="765" w:type="pct"/>
            <w:vAlign w:val="center"/>
          </w:tcPr>
          <w:p w14:paraId="49CCF3C0">
            <w:pPr>
              <w:spacing w:line="240" w:lineRule="auto"/>
              <w:ind w:firstLine="0" w:firstLineChars="0"/>
              <w:jc w:val="center"/>
              <w:rPr>
                <w:rFonts w:cs="Times New Roman"/>
                <w:sz w:val="21"/>
                <w:szCs w:val="21"/>
                <w14:ligatures w14:val="none"/>
              </w:rPr>
            </w:pPr>
            <w:r>
              <w:rPr>
                <w:rFonts w:cs="Times New Roman"/>
                <w:sz w:val="21"/>
                <w:szCs w:val="21"/>
                <w14:ligatures w14:val="none"/>
              </w:rPr>
              <w:t>氨</w:t>
            </w:r>
          </w:p>
        </w:tc>
        <w:tc>
          <w:tcPr>
            <w:tcW w:w="2565" w:type="pct"/>
            <w:vAlign w:val="center"/>
          </w:tcPr>
          <w:p w14:paraId="56AFF32D">
            <w:pPr>
              <w:spacing w:line="240" w:lineRule="auto"/>
              <w:ind w:firstLine="0" w:firstLineChars="0"/>
              <w:jc w:val="center"/>
              <w:rPr>
                <w:rFonts w:cs="Times New Roman"/>
                <w:color w:val="000000"/>
                <w:kern w:val="0"/>
                <w:sz w:val="21"/>
                <w:szCs w:val="21"/>
                <w14:ligatures w14:val="none"/>
              </w:rPr>
            </w:pPr>
            <w:r>
              <w:rPr>
                <w:rFonts w:cs="Times New Roman"/>
                <w:sz w:val="21"/>
                <w:szCs w:val="21"/>
                <w14:ligatures w14:val="none"/>
              </w:rPr>
              <w:t>《环境空气和废气 氨的测定 纳氏试剂分光光度法》HJ 533-2009</w:t>
            </w:r>
          </w:p>
        </w:tc>
        <w:tc>
          <w:tcPr>
            <w:tcW w:w="978" w:type="pct"/>
            <w:vAlign w:val="center"/>
          </w:tcPr>
          <w:p w14:paraId="3710EACD">
            <w:pPr>
              <w:spacing w:line="240" w:lineRule="auto"/>
              <w:ind w:firstLine="0" w:firstLineChars="0"/>
              <w:jc w:val="center"/>
              <w:rPr>
                <w:rFonts w:cs="Times New Roman"/>
                <w:sz w:val="21"/>
                <w:szCs w:val="21"/>
                <w14:ligatures w14:val="none"/>
              </w:rPr>
            </w:pPr>
            <w:r>
              <w:rPr>
                <w:rFonts w:cs="Times New Roman"/>
                <w:sz w:val="21"/>
                <w:szCs w:val="21"/>
                <w14:ligatures w14:val="none"/>
              </w:rPr>
              <w:t>0.01mg/m³</w:t>
            </w:r>
          </w:p>
        </w:tc>
      </w:tr>
      <w:tr w14:paraId="7B502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90" w:type="pct"/>
            <w:vMerge w:val="continue"/>
            <w:vAlign w:val="center"/>
          </w:tcPr>
          <w:p w14:paraId="404C569D">
            <w:pPr>
              <w:spacing w:line="240" w:lineRule="auto"/>
              <w:ind w:firstLine="0" w:firstLineChars="0"/>
              <w:jc w:val="center"/>
              <w:rPr>
                <w:rFonts w:cs="Times New Roman"/>
                <w:sz w:val="21"/>
                <w:szCs w:val="21"/>
                <w14:ligatures w14:val="none"/>
              </w:rPr>
            </w:pPr>
          </w:p>
        </w:tc>
        <w:tc>
          <w:tcPr>
            <w:tcW w:w="765" w:type="pct"/>
            <w:vAlign w:val="center"/>
          </w:tcPr>
          <w:p w14:paraId="4BA3A6F7">
            <w:pPr>
              <w:spacing w:line="240" w:lineRule="auto"/>
              <w:ind w:firstLine="0" w:firstLineChars="0"/>
              <w:jc w:val="center"/>
              <w:rPr>
                <w:rFonts w:cs="Times New Roman"/>
                <w:sz w:val="21"/>
                <w:szCs w:val="21"/>
                <w14:ligatures w14:val="none"/>
              </w:rPr>
            </w:pPr>
            <w:r>
              <w:rPr>
                <w:rFonts w:cs="Times New Roman"/>
                <w:sz w:val="21"/>
                <w:szCs w:val="21"/>
                <w14:ligatures w14:val="none"/>
              </w:rPr>
              <w:t>硫化氢</w:t>
            </w:r>
          </w:p>
        </w:tc>
        <w:tc>
          <w:tcPr>
            <w:tcW w:w="2565" w:type="pct"/>
            <w:vAlign w:val="center"/>
          </w:tcPr>
          <w:p w14:paraId="60493B14">
            <w:pPr>
              <w:spacing w:line="240" w:lineRule="auto"/>
              <w:ind w:firstLine="0" w:firstLineChars="0"/>
              <w:jc w:val="center"/>
              <w:rPr>
                <w:rFonts w:cs="Times New Roman"/>
                <w:color w:val="000000"/>
                <w:kern w:val="0"/>
                <w:sz w:val="21"/>
                <w:szCs w:val="21"/>
                <w14:ligatures w14:val="none"/>
              </w:rPr>
            </w:pPr>
            <w:r>
              <w:rPr>
                <w:rFonts w:cs="Times New Roman"/>
                <w:sz w:val="21"/>
                <w:szCs w:val="21"/>
                <w14:ligatures w14:val="none"/>
              </w:rPr>
              <w:t>《空气废气监测分析方法》（第四版）国家环保总局2003年（3.1.11.2 ）亚甲基蓝分光光度法</w:t>
            </w:r>
          </w:p>
        </w:tc>
        <w:tc>
          <w:tcPr>
            <w:tcW w:w="978" w:type="pct"/>
            <w:vAlign w:val="center"/>
          </w:tcPr>
          <w:p w14:paraId="746C56F0">
            <w:pPr>
              <w:spacing w:line="240" w:lineRule="auto"/>
              <w:ind w:firstLine="0" w:firstLineChars="0"/>
              <w:jc w:val="center"/>
              <w:rPr>
                <w:rFonts w:cs="Times New Roman"/>
                <w:sz w:val="21"/>
                <w:szCs w:val="21"/>
                <w14:ligatures w14:val="none"/>
              </w:rPr>
            </w:pPr>
            <w:r>
              <w:rPr>
                <w:rFonts w:cs="Times New Roman"/>
                <w:sz w:val="21"/>
                <w:szCs w:val="21"/>
                <w14:ligatures w14:val="none"/>
              </w:rPr>
              <w:t>0.002mg/m</w:t>
            </w:r>
            <w:r>
              <w:rPr>
                <w:rFonts w:cs="Times New Roman"/>
                <w:sz w:val="21"/>
                <w:szCs w:val="21"/>
                <w:vertAlign w:val="superscript"/>
                <w14:ligatures w14:val="none"/>
              </w:rPr>
              <w:t>3</w:t>
            </w:r>
          </w:p>
        </w:tc>
      </w:tr>
    </w:tbl>
    <w:p w14:paraId="4DAFFF6D">
      <w:pPr>
        <w:ind w:firstLine="482"/>
        <w:rPr>
          <w:b/>
          <w:bCs/>
        </w:rPr>
      </w:pPr>
      <w:r>
        <w:rPr>
          <w:rFonts w:hint="eastAsia"/>
          <w:b/>
          <w:bCs/>
        </w:rPr>
        <w:t>（4）监测期间气象状况</w:t>
      </w:r>
    </w:p>
    <w:p w14:paraId="73E6C459">
      <w:pPr>
        <w:ind w:firstLine="480"/>
      </w:pPr>
      <w:r>
        <w:rPr>
          <w:rFonts w:hint="eastAsia"/>
        </w:rPr>
        <w:t>环境空气质量补充监测同步记录天气、温度、大气压、湿度、风速、风向等常规气象要素，见表3.5-4。</w:t>
      </w:r>
    </w:p>
    <w:p w14:paraId="77077CAB">
      <w:pPr>
        <w:pStyle w:val="45"/>
        <w:ind w:firstLine="142"/>
        <w:rPr>
          <w:rFonts w:cs="Times New Roman"/>
        </w:rPr>
      </w:pPr>
      <w:r>
        <w:rPr>
          <w:rFonts w:hint="eastAsia" w:cs="Times New Roman"/>
        </w:rPr>
        <w:t>表3.</w:t>
      </w:r>
      <w:r>
        <w:rPr>
          <w:rFonts w:cs="Times New Roman"/>
        </w:rPr>
        <w:t>5</w:t>
      </w:r>
      <w:r>
        <w:rPr>
          <w:rFonts w:hint="eastAsia" w:cs="Times New Roman"/>
        </w:rPr>
        <w:t xml:space="preserve">-4 </w:t>
      </w:r>
      <w:r>
        <w:rPr>
          <w:rFonts w:cs="Times New Roman"/>
        </w:rPr>
        <w:t xml:space="preserve"> </w:t>
      </w:r>
      <w:r>
        <w:rPr>
          <w:rFonts w:hint="eastAsia" w:cs="Times New Roman"/>
        </w:rPr>
        <w:t>环境空气现状监测气象条件</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1"/>
        <w:gridCol w:w="1421"/>
        <w:gridCol w:w="1420"/>
        <w:gridCol w:w="1420"/>
        <w:gridCol w:w="1420"/>
        <w:gridCol w:w="1420"/>
      </w:tblGrid>
      <w:tr w14:paraId="2DAE5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blHeader/>
          <w:jc w:val="center"/>
        </w:trPr>
        <w:tc>
          <w:tcPr>
            <w:tcW w:w="834" w:type="pct"/>
            <w:vAlign w:val="center"/>
          </w:tcPr>
          <w:p w14:paraId="7546B383">
            <w:pPr>
              <w:widowControl/>
              <w:spacing w:line="240" w:lineRule="auto"/>
              <w:ind w:firstLine="0" w:firstLineChars="0"/>
              <w:jc w:val="center"/>
              <w:textAlignment w:val="top"/>
              <w:rPr>
                <w:rFonts w:cs="Times New Roman"/>
                <w:b/>
                <w:color w:val="000000"/>
                <w:kern w:val="0"/>
                <w:sz w:val="21"/>
                <w:szCs w:val="21"/>
                <w14:ligatures w14:val="none"/>
              </w:rPr>
            </w:pPr>
            <w:r>
              <w:rPr>
                <w:rFonts w:hint="eastAsia" w:cs="Times New Roman"/>
                <w:b/>
                <w:color w:val="000000"/>
                <w:kern w:val="0"/>
                <w:sz w:val="21"/>
                <w:szCs w:val="21"/>
                <w14:ligatures w14:val="none"/>
              </w:rPr>
              <w:t>采样日期</w:t>
            </w:r>
          </w:p>
        </w:tc>
        <w:tc>
          <w:tcPr>
            <w:tcW w:w="834" w:type="pct"/>
            <w:vAlign w:val="center"/>
          </w:tcPr>
          <w:p w14:paraId="3461B17C">
            <w:pPr>
              <w:widowControl/>
              <w:spacing w:line="240" w:lineRule="auto"/>
              <w:ind w:firstLine="0" w:firstLineChars="0"/>
              <w:jc w:val="center"/>
              <w:textAlignment w:val="top"/>
              <w:rPr>
                <w:rFonts w:cs="Times New Roman"/>
                <w:b/>
                <w:color w:val="000000"/>
                <w:kern w:val="0"/>
                <w:sz w:val="21"/>
                <w:szCs w:val="21"/>
                <w14:ligatures w14:val="none"/>
              </w:rPr>
            </w:pPr>
            <w:r>
              <w:rPr>
                <w:rFonts w:hint="eastAsia" w:cs="Times New Roman"/>
                <w:b/>
                <w:color w:val="000000"/>
                <w:kern w:val="0"/>
                <w:sz w:val="21"/>
                <w:szCs w:val="21"/>
                <w14:ligatures w14:val="none"/>
              </w:rPr>
              <w:t>气温（℃）</w:t>
            </w:r>
          </w:p>
        </w:tc>
        <w:tc>
          <w:tcPr>
            <w:tcW w:w="833" w:type="pct"/>
            <w:vAlign w:val="center"/>
          </w:tcPr>
          <w:p w14:paraId="22E2B67E">
            <w:pPr>
              <w:widowControl/>
              <w:spacing w:line="240" w:lineRule="auto"/>
              <w:ind w:firstLine="0" w:firstLineChars="0"/>
              <w:jc w:val="center"/>
              <w:textAlignment w:val="top"/>
              <w:rPr>
                <w:rFonts w:cs="Times New Roman"/>
                <w:b/>
                <w:color w:val="000000"/>
                <w:kern w:val="0"/>
                <w:sz w:val="21"/>
                <w:szCs w:val="21"/>
                <w14:ligatures w14:val="none"/>
              </w:rPr>
            </w:pPr>
            <w:r>
              <w:rPr>
                <w:rFonts w:hint="eastAsia" w:cs="Times New Roman"/>
                <w:b/>
                <w:color w:val="000000"/>
                <w:kern w:val="0"/>
                <w:sz w:val="21"/>
                <w:szCs w:val="21"/>
                <w14:ligatures w14:val="none"/>
              </w:rPr>
              <w:t>气压（kPa）</w:t>
            </w:r>
          </w:p>
        </w:tc>
        <w:tc>
          <w:tcPr>
            <w:tcW w:w="833" w:type="pct"/>
            <w:vAlign w:val="center"/>
          </w:tcPr>
          <w:p w14:paraId="6E7FCE72">
            <w:pPr>
              <w:widowControl/>
              <w:spacing w:line="240" w:lineRule="auto"/>
              <w:ind w:firstLine="0" w:firstLineChars="0"/>
              <w:jc w:val="center"/>
              <w:textAlignment w:val="top"/>
              <w:rPr>
                <w:rFonts w:cs="Times New Roman"/>
                <w:b/>
                <w:color w:val="000000"/>
                <w:kern w:val="0"/>
                <w:sz w:val="21"/>
                <w:szCs w:val="21"/>
                <w14:ligatures w14:val="none"/>
              </w:rPr>
            </w:pPr>
            <w:r>
              <w:rPr>
                <w:rFonts w:hint="eastAsia" w:cs="Times New Roman"/>
                <w:b/>
                <w:color w:val="000000"/>
                <w:kern w:val="0"/>
                <w:sz w:val="21"/>
                <w:szCs w:val="21"/>
                <w14:ligatures w14:val="none"/>
              </w:rPr>
              <w:t>风向</w:t>
            </w:r>
          </w:p>
        </w:tc>
        <w:tc>
          <w:tcPr>
            <w:tcW w:w="833" w:type="pct"/>
            <w:vAlign w:val="center"/>
          </w:tcPr>
          <w:p w14:paraId="381FE0FA">
            <w:pPr>
              <w:widowControl/>
              <w:spacing w:line="240" w:lineRule="auto"/>
              <w:ind w:firstLine="0" w:firstLineChars="0"/>
              <w:jc w:val="center"/>
              <w:textAlignment w:val="top"/>
              <w:rPr>
                <w:rFonts w:cs="Times New Roman"/>
                <w:b/>
                <w:color w:val="000000"/>
                <w:kern w:val="0"/>
                <w:sz w:val="21"/>
                <w:szCs w:val="21"/>
                <w14:ligatures w14:val="none"/>
              </w:rPr>
            </w:pPr>
            <w:r>
              <w:rPr>
                <w:rFonts w:hint="eastAsia" w:cs="Times New Roman"/>
                <w:b/>
                <w:color w:val="000000"/>
                <w:kern w:val="0"/>
                <w:sz w:val="21"/>
                <w:szCs w:val="21"/>
                <w14:ligatures w14:val="none"/>
              </w:rPr>
              <w:t>风速（m/s）</w:t>
            </w:r>
          </w:p>
        </w:tc>
        <w:tc>
          <w:tcPr>
            <w:tcW w:w="834" w:type="pct"/>
            <w:vAlign w:val="center"/>
          </w:tcPr>
          <w:p w14:paraId="3A06B083">
            <w:pPr>
              <w:widowControl/>
              <w:spacing w:line="240" w:lineRule="auto"/>
              <w:ind w:firstLine="0" w:firstLineChars="0"/>
              <w:jc w:val="center"/>
              <w:textAlignment w:val="top"/>
              <w:rPr>
                <w:rFonts w:cs="Times New Roman"/>
                <w:b/>
                <w:color w:val="000000"/>
                <w:kern w:val="0"/>
                <w:sz w:val="21"/>
                <w:szCs w:val="21"/>
                <w14:ligatures w14:val="none"/>
              </w:rPr>
            </w:pPr>
            <w:r>
              <w:rPr>
                <w:rFonts w:hint="eastAsia" w:cs="Times New Roman"/>
                <w:b/>
                <w:color w:val="000000"/>
                <w:kern w:val="0"/>
                <w:sz w:val="21"/>
                <w:szCs w:val="21"/>
                <w14:ligatures w14:val="none"/>
              </w:rPr>
              <w:t>湿度（%）</w:t>
            </w:r>
          </w:p>
        </w:tc>
      </w:tr>
      <w:tr w14:paraId="4255A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140C32C9">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2024.03.02</w:t>
            </w:r>
          </w:p>
        </w:tc>
        <w:tc>
          <w:tcPr>
            <w:tcW w:w="834" w:type="pct"/>
            <w:vAlign w:val="center"/>
          </w:tcPr>
          <w:p w14:paraId="3305167F">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3.2-13.1</w:t>
            </w:r>
          </w:p>
        </w:tc>
        <w:tc>
          <w:tcPr>
            <w:tcW w:w="833" w:type="pct"/>
            <w:vAlign w:val="center"/>
          </w:tcPr>
          <w:p w14:paraId="653CD8EE">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102.9-103.9</w:t>
            </w:r>
          </w:p>
        </w:tc>
        <w:tc>
          <w:tcPr>
            <w:tcW w:w="833" w:type="pct"/>
            <w:vAlign w:val="center"/>
          </w:tcPr>
          <w:p w14:paraId="6A5B17A6">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东</w:t>
            </w:r>
          </w:p>
        </w:tc>
        <w:tc>
          <w:tcPr>
            <w:tcW w:w="833" w:type="pct"/>
            <w:vAlign w:val="center"/>
          </w:tcPr>
          <w:p w14:paraId="43A71871">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1.5-3.1</w:t>
            </w:r>
          </w:p>
        </w:tc>
        <w:tc>
          <w:tcPr>
            <w:tcW w:w="834" w:type="pct"/>
            <w:vAlign w:val="center"/>
          </w:tcPr>
          <w:p w14:paraId="7C61786B">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55.3-69.6</w:t>
            </w:r>
          </w:p>
        </w:tc>
      </w:tr>
      <w:tr w14:paraId="11748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6B925651">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2024.03.03</w:t>
            </w:r>
          </w:p>
        </w:tc>
        <w:tc>
          <w:tcPr>
            <w:tcW w:w="834" w:type="pct"/>
            <w:vAlign w:val="center"/>
          </w:tcPr>
          <w:p w14:paraId="68065902">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4.6-13.6</w:t>
            </w:r>
          </w:p>
        </w:tc>
        <w:tc>
          <w:tcPr>
            <w:tcW w:w="833" w:type="pct"/>
            <w:vAlign w:val="center"/>
          </w:tcPr>
          <w:p w14:paraId="56919E08">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103.2-103.8</w:t>
            </w:r>
          </w:p>
        </w:tc>
        <w:tc>
          <w:tcPr>
            <w:tcW w:w="833" w:type="pct"/>
            <w:vAlign w:val="center"/>
          </w:tcPr>
          <w:p w14:paraId="2B687FDC">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东南风</w:t>
            </w:r>
          </w:p>
        </w:tc>
        <w:tc>
          <w:tcPr>
            <w:tcW w:w="833" w:type="pct"/>
            <w:vAlign w:val="center"/>
          </w:tcPr>
          <w:p w14:paraId="62FDE46D">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1.4-2.8</w:t>
            </w:r>
          </w:p>
        </w:tc>
        <w:tc>
          <w:tcPr>
            <w:tcW w:w="834" w:type="pct"/>
            <w:vAlign w:val="center"/>
          </w:tcPr>
          <w:p w14:paraId="41310AB4">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62.9-71.2</w:t>
            </w:r>
          </w:p>
        </w:tc>
      </w:tr>
      <w:tr w14:paraId="45ED3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3E180F35">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2024.03.04</w:t>
            </w:r>
          </w:p>
        </w:tc>
        <w:tc>
          <w:tcPr>
            <w:tcW w:w="834" w:type="pct"/>
            <w:vAlign w:val="center"/>
          </w:tcPr>
          <w:p w14:paraId="3C0C3075">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2.2-10.9</w:t>
            </w:r>
          </w:p>
        </w:tc>
        <w:tc>
          <w:tcPr>
            <w:tcW w:w="833" w:type="pct"/>
            <w:vAlign w:val="center"/>
          </w:tcPr>
          <w:p w14:paraId="3AABC7EE">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103.1-103.5</w:t>
            </w:r>
          </w:p>
        </w:tc>
        <w:tc>
          <w:tcPr>
            <w:tcW w:w="833" w:type="pct"/>
            <w:vAlign w:val="center"/>
          </w:tcPr>
          <w:p w14:paraId="6B21BD9D">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西</w:t>
            </w:r>
          </w:p>
        </w:tc>
        <w:tc>
          <w:tcPr>
            <w:tcW w:w="833" w:type="pct"/>
            <w:vAlign w:val="center"/>
          </w:tcPr>
          <w:p w14:paraId="08742D2B">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1.7-3.5</w:t>
            </w:r>
          </w:p>
        </w:tc>
        <w:tc>
          <w:tcPr>
            <w:tcW w:w="834" w:type="pct"/>
            <w:vAlign w:val="center"/>
          </w:tcPr>
          <w:p w14:paraId="6BF58B48">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75.4-80.2</w:t>
            </w:r>
          </w:p>
        </w:tc>
      </w:tr>
      <w:tr w14:paraId="098F8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39BCD069">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2024.03.05</w:t>
            </w:r>
          </w:p>
        </w:tc>
        <w:tc>
          <w:tcPr>
            <w:tcW w:w="834" w:type="pct"/>
            <w:vAlign w:val="center"/>
          </w:tcPr>
          <w:p w14:paraId="1B941D85">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1.8-10.4</w:t>
            </w:r>
          </w:p>
        </w:tc>
        <w:tc>
          <w:tcPr>
            <w:tcW w:w="833" w:type="pct"/>
            <w:vAlign w:val="center"/>
          </w:tcPr>
          <w:p w14:paraId="1C3D34D6">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103.0-103.6</w:t>
            </w:r>
          </w:p>
        </w:tc>
        <w:tc>
          <w:tcPr>
            <w:tcW w:w="833" w:type="pct"/>
            <w:vAlign w:val="center"/>
          </w:tcPr>
          <w:p w14:paraId="7320AE16">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西北风</w:t>
            </w:r>
          </w:p>
        </w:tc>
        <w:tc>
          <w:tcPr>
            <w:tcW w:w="833" w:type="pct"/>
            <w:vAlign w:val="center"/>
          </w:tcPr>
          <w:p w14:paraId="47C3729C">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1.8-3.6</w:t>
            </w:r>
          </w:p>
        </w:tc>
        <w:tc>
          <w:tcPr>
            <w:tcW w:w="834" w:type="pct"/>
            <w:vAlign w:val="center"/>
          </w:tcPr>
          <w:p w14:paraId="3010A4D0">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74.4-79.9</w:t>
            </w:r>
          </w:p>
        </w:tc>
      </w:tr>
      <w:tr w14:paraId="234F5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6231164A">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2024.03.06</w:t>
            </w:r>
          </w:p>
        </w:tc>
        <w:tc>
          <w:tcPr>
            <w:tcW w:w="834" w:type="pct"/>
            <w:vAlign w:val="center"/>
          </w:tcPr>
          <w:p w14:paraId="10310AF9">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0.7-6.9</w:t>
            </w:r>
          </w:p>
        </w:tc>
        <w:tc>
          <w:tcPr>
            <w:tcW w:w="833" w:type="pct"/>
            <w:vAlign w:val="center"/>
          </w:tcPr>
          <w:p w14:paraId="447EB020">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103.4-103.8</w:t>
            </w:r>
          </w:p>
        </w:tc>
        <w:tc>
          <w:tcPr>
            <w:tcW w:w="833" w:type="pct"/>
            <w:vAlign w:val="center"/>
          </w:tcPr>
          <w:p w14:paraId="4B3781E8">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南</w:t>
            </w:r>
          </w:p>
        </w:tc>
        <w:tc>
          <w:tcPr>
            <w:tcW w:w="833" w:type="pct"/>
            <w:vAlign w:val="center"/>
          </w:tcPr>
          <w:p w14:paraId="2B7F89A8">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1.4-2.9</w:t>
            </w:r>
          </w:p>
        </w:tc>
        <w:tc>
          <w:tcPr>
            <w:tcW w:w="834" w:type="pct"/>
            <w:vAlign w:val="center"/>
          </w:tcPr>
          <w:p w14:paraId="56D0CCD8">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60.8-68.2</w:t>
            </w:r>
          </w:p>
        </w:tc>
      </w:tr>
      <w:tr w14:paraId="51A38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363CA28B">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2024.03.07</w:t>
            </w:r>
          </w:p>
        </w:tc>
        <w:tc>
          <w:tcPr>
            <w:tcW w:w="834" w:type="pct"/>
            <w:vAlign w:val="center"/>
          </w:tcPr>
          <w:p w14:paraId="4F348197">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1.2-10.0</w:t>
            </w:r>
          </w:p>
        </w:tc>
        <w:tc>
          <w:tcPr>
            <w:tcW w:w="833" w:type="pct"/>
            <w:vAlign w:val="center"/>
          </w:tcPr>
          <w:p w14:paraId="2C5C688E">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102.1-102.9</w:t>
            </w:r>
          </w:p>
        </w:tc>
        <w:tc>
          <w:tcPr>
            <w:tcW w:w="833" w:type="pct"/>
            <w:vAlign w:val="center"/>
          </w:tcPr>
          <w:p w14:paraId="7023DC3C">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东</w:t>
            </w:r>
          </w:p>
        </w:tc>
        <w:tc>
          <w:tcPr>
            <w:tcW w:w="833" w:type="pct"/>
            <w:vAlign w:val="center"/>
          </w:tcPr>
          <w:p w14:paraId="2AC4E308">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1.6-3.3</w:t>
            </w:r>
          </w:p>
        </w:tc>
        <w:tc>
          <w:tcPr>
            <w:tcW w:w="834" w:type="pct"/>
            <w:vAlign w:val="center"/>
          </w:tcPr>
          <w:p w14:paraId="5E467FD9">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55.2-66.6</w:t>
            </w:r>
          </w:p>
        </w:tc>
      </w:tr>
      <w:tr w14:paraId="33151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0AA97E87">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2024.03.08</w:t>
            </w:r>
          </w:p>
        </w:tc>
        <w:tc>
          <w:tcPr>
            <w:tcW w:w="834" w:type="pct"/>
            <w:vAlign w:val="center"/>
          </w:tcPr>
          <w:p w14:paraId="2367BBCA">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1.7-10.4</w:t>
            </w:r>
          </w:p>
        </w:tc>
        <w:tc>
          <w:tcPr>
            <w:tcW w:w="833" w:type="pct"/>
            <w:vAlign w:val="center"/>
          </w:tcPr>
          <w:p w14:paraId="5D9BF771">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102.5-103.0</w:t>
            </w:r>
          </w:p>
        </w:tc>
        <w:tc>
          <w:tcPr>
            <w:tcW w:w="833" w:type="pct"/>
            <w:vAlign w:val="center"/>
          </w:tcPr>
          <w:p w14:paraId="437099B2">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东</w:t>
            </w:r>
          </w:p>
        </w:tc>
        <w:tc>
          <w:tcPr>
            <w:tcW w:w="833" w:type="pct"/>
            <w:vAlign w:val="center"/>
          </w:tcPr>
          <w:p w14:paraId="51C50DDE">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1.9-3.6</w:t>
            </w:r>
          </w:p>
        </w:tc>
        <w:tc>
          <w:tcPr>
            <w:tcW w:w="834" w:type="pct"/>
            <w:vAlign w:val="center"/>
          </w:tcPr>
          <w:p w14:paraId="0FB1CD13">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60.0-70.3</w:t>
            </w:r>
          </w:p>
        </w:tc>
      </w:tr>
      <w:tr w14:paraId="2DB8F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4B958837">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2024.03.20</w:t>
            </w:r>
          </w:p>
        </w:tc>
        <w:tc>
          <w:tcPr>
            <w:tcW w:w="834" w:type="pct"/>
            <w:vAlign w:val="center"/>
          </w:tcPr>
          <w:p w14:paraId="42978CDB">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10.5-21.5</w:t>
            </w:r>
          </w:p>
        </w:tc>
        <w:tc>
          <w:tcPr>
            <w:tcW w:w="833" w:type="pct"/>
            <w:vAlign w:val="center"/>
          </w:tcPr>
          <w:p w14:paraId="4B039675">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101.0-101.7</w:t>
            </w:r>
          </w:p>
        </w:tc>
        <w:tc>
          <w:tcPr>
            <w:tcW w:w="833" w:type="pct"/>
            <w:vAlign w:val="center"/>
          </w:tcPr>
          <w:p w14:paraId="63AFEBBB">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东</w:t>
            </w:r>
          </w:p>
        </w:tc>
        <w:tc>
          <w:tcPr>
            <w:tcW w:w="833" w:type="pct"/>
            <w:vAlign w:val="center"/>
          </w:tcPr>
          <w:p w14:paraId="6EF34DFB">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2.1-2.9</w:t>
            </w:r>
          </w:p>
        </w:tc>
        <w:tc>
          <w:tcPr>
            <w:tcW w:w="834" w:type="pct"/>
            <w:vAlign w:val="center"/>
          </w:tcPr>
          <w:p w14:paraId="0703895A">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46.0-68.0</w:t>
            </w:r>
          </w:p>
        </w:tc>
      </w:tr>
      <w:tr w14:paraId="5F865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2CB09E80">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2024.03.21</w:t>
            </w:r>
          </w:p>
        </w:tc>
        <w:tc>
          <w:tcPr>
            <w:tcW w:w="834" w:type="pct"/>
            <w:vAlign w:val="center"/>
          </w:tcPr>
          <w:p w14:paraId="0EBD6A25">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11.0-20.3</w:t>
            </w:r>
          </w:p>
        </w:tc>
        <w:tc>
          <w:tcPr>
            <w:tcW w:w="833" w:type="pct"/>
            <w:vAlign w:val="center"/>
          </w:tcPr>
          <w:p w14:paraId="139DD886">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101.1-101.7</w:t>
            </w:r>
          </w:p>
        </w:tc>
        <w:tc>
          <w:tcPr>
            <w:tcW w:w="833" w:type="pct"/>
            <w:vAlign w:val="center"/>
          </w:tcPr>
          <w:p w14:paraId="2988404F">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南</w:t>
            </w:r>
          </w:p>
        </w:tc>
        <w:tc>
          <w:tcPr>
            <w:tcW w:w="833" w:type="pct"/>
            <w:vAlign w:val="center"/>
          </w:tcPr>
          <w:p w14:paraId="6B17CFF1">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2.6-3.2</w:t>
            </w:r>
          </w:p>
        </w:tc>
        <w:tc>
          <w:tcPr>
            <w:tcW w:w="834" w:type="pct"/>
            <w:vAlign w:val="center"/>
          </w:tcPr>
          <w:p w14:paraId="0B914811">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51.0-71.0</w:t>
            </w:r>
          </w:p>
        </w:tc>
      </w:tr>
      <w:tr w14:paraId="03A1F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40A555F7">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2024.03.22</w:t>
            </w:r>
          </w:p>
        </w:tc>
        <w:tc>
          <w:tcPr>
            <w:tcW w:w="834" w:type="pct"/>
            <w:vAlign w:val="center"/>
          </w:tcPr>
          <w:p w14:paraId="21DFA9BE">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11.6-23.8</w:t>
            </w:r>
          </w:p>
        </w:tc>
        <w:tc>
          <w:tcPr>
            <w:tcW w:w="833" w:type="pct"/>
            <w:vAlign w:val="center"/>
          </w:tcPr>
          <w:p w14:paraId="1C7F9CAA">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100.9-101.8</w:t>
            </w:r>
          </w:p>
        </w:tc>
        <w:tc>
          <w:tcPr>
            <w:tcW w:w="833" w:type="pct"/>
            <w:vAlign w:val="center"/>
          </w:tcPr>
          <w:p w14:paraId="66A9F9E6">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南</w:t>
            </w:r>
          </w:p>
        </w:tc>
        <w:tc>
          <w:tcPr>
            <w:tcW w:w="833" w:type="pct"/>
            <w:vAlign w:val="center"/>
          </w:tcPr>
          <w:p w14:paraId="21E4EC16">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2.0-3.0</w:t>
            </w:r>
          </w:p>
        </w:tc>
        <w:tc>
          <w:tcPr>
            <w:tcW w:w="834" w:type="pct"/>
            <w:vAlign w:val="center"/>
          </w:tcPr>
          <w:p w14:paraId="6641C14F">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50.0-68.0</w:t>
            </w:r>
          </w:p>
        </w:tc>
      </w:tr>
      <w:tr w14:paraId="3E637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76D49990">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2024.03.23</w:t>
            </w:r>
          </w:p>
        </w:tc>
        <w:tc>
          <w:tcPr>
            <w:tcW w:w="834" w:type="pct"/>
            <w:vAlign w:val="center"/>
          </w:tcPr>
          <w:p w14:paraId="551414C2">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10.9-23.1</w:t>
            </w:r>
          </w:p>
        </w:tc>
        <w:tc>
          <w:tcPr>
            <w:tcW w:w="833" w:type="pct"/>
            <w:vAlign w:val="center"/>
          </w:tcPr>
          <w:p w14:paraId="7E6D4298">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100.9-101.9</w:t>
            </w:r>
          </w:p>
        </w:tc>
        <w:tc>
          <w:tcPr>
            <w:tcW w:w="833" w:type="pct"/>
            <w:vAlign w:val="center"/>
          </w:tcPr>
          <w:p w14:paraId="40A0C58B">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西</w:t>
            </w:r>
          </w:p>
        </w:tc>
        <w:tc>
          <w:tcPr>
            <w:tcW w:w="833" w:type="pct"/>
            <w:vAlign w:val="center"/>
          </w:tcPr>
          <w:p w14:paraId="72C736F1">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2.6-2.9</w:t>
            </w:r>
          </w:p>
        </w:tc>
        <w:tc>
          <w:tcPr>
            <w:tcW w:w="834" w:type="pct"/>
            <w:vAlign w:val="center"/>
          </w:tcPr>
          <w:p w14:paraId="5F93A666">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54.0-69.0</w:t>
            </w:r>
          </w:p>
        </w:tc>
      </w:tr>
      <w:tr w14:paraId="4C2B3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08115151">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2024.03.24</w:t>
            </w:r>
          </w:p>
        </w:tc>
        <w:tc>
          <w:tcPr>
            <w:tcW w:w="834" w:type="pct"/>
            <w:vAlign w:val="center"/>
          </w:tcPr>
          <w:p w14:paraId="1B69385D">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11.02-24.1</w:t>
            </w:r>
          </w:p>
        </w:tc>
        <w:tc>
          <w:tcPr>
            <w:tcW w:w="833" w:type="pct"/>
            <w:vAlign w:val="center"/>
          </w:tcPr>
          <w:p w14:paraId="2EA41A82">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100.8-101.8</w:t>
            </w:r>
          </w:p>
        </w:tc>
        <w:tc>
          <w:tcPr>
            <w:tcW w:w="833" w:type="pct"/>
            <w:vAlign w:val="center"/>
          </w:tcPr>
          <w:p w14:paraId="6899B515">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西</w:t>
            </w:r>
          </w:p>
        </w:tc>
        <w:tc>
          <w:tcPr>
            <w:tcW w:w="833" w:type="pct"/>
            <w:vAlign w:val="center"/>
          </w:tcPr>
          <w:p w14:paraId="6BC4C7E2">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2.6-3.1</w:t>
            </w:r>
          </w:p>
        </w:tc>
        <w:tc>
          <w:tcPr>
            <w:tcW w:w="834" w:type="pct"/>
            <w:vAlign w:val="center"/>
          </w:tcPr>
          <w:p w14:paraId="77352076">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52.0-68.0</w:t>
            </w:r>
          </w:p>
        </w:tc>
      </w:tr>
      <w:tr w14:paraId="1AC40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30D0A1F7">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2024.03.25</w:t>
            </w:r>
          </w:p>
        </w:tc>
        <w:tc>
          <w:tcPr>
            <w:tcW w:w="834" w:type="pct"/>
            <w:vAlign w:val="center"/>
          </w:tcPr>
          <w:p w14:paraId="4EE24BF5">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10.1-20.2</w:t>
            </w:r>
          </w:p>
        </w:tc>
        <w:tc>
          <w:tcPr>
            <w:tcW w:w="833" w:type="pct"/>
            <w:vAlign w:val="center"/>
          </w:tcPr>
          <w:p w14:paraId="5A88DDEE">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100.9-101.9</w:t>
            </w:r>
          </w:p>
        </w:tc>
        <w:tc>
          <w:tcPr>
            <w:tcW w:w="833" w:type="pct"/>
            <w:vAlign w:val="center"/>
          </w:tcPr>
          <w:p w14:paraId="4FB6CAD4">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北</w:t>
            </w:r>
          </w:p>
        </w:tc>
        <w:tc>
          <w:tcPr>
            <w:tcW w:w="833" w:type="pct"/>
            <w:vAlign w:val="center"/>
          </w:tcPr>
          <w:p w14:paraId="328FF8EA">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2.5-3.1</w:t>
            </w:r>
          </w:p>
        </w:tc>
        <w:tc>
          <w:tcPr>
            <w:tcW w:w="834" w:type="pct"/>
            <w:vAlign w:val="center"/>
          </w:tcPr>
          <w:p w14:paraId="584CF0F0">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55.0-70.0</w:t>
            </w:r>
          </w:p>
        </w:tc>
      </w:tr>
      <w:tr w14:paraId="7D37F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34" w:type="pct"/>
            <w:vAlign w:val="center"/>
          </w:tcPr>
          <w:p w14:paraId="6E902262">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2024.03.26</w:t>
            </w:r>
          </w:p>
        </w:tc>
        <w:tc>
          <w:tcPr>
            <w:tcW w:w="834" w:type="pct"/>
            <w:vAlign w:val="center"/>
          </w:tcPr>
          <w:p w14:paraId="2A83F161">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9.1-18.5</w:t>
            </w:r>
          </w:p>
        </w:tc>
        <w:tc>
          <w:tcPr>
            <w:tcW w:w="833" w:type="pct"/>
            <w:vAlign w:val="center"/>
          </w:tcPr>
          <w:p w14:paraId="22CFDFBF">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101.3-101.9</w:t>
            </w:r>
          </w:p>
        </w:tc>
        <w:tc>
          <w:tcPr>
            <w:tcW w:w="833" w:type="pct"/>
            <w:vAlign w:val="center"/>
          </w:tcPr>
          <w:p w14:paraId="1BC75D22">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南</w:t>
            </w:r>
          </w:p>
        </w:tc>
        <w:tc>
          <w:tcPr>
            <w:tcW w:w="833" w:type="pct"/>
            <w:vAlign w:val="center"/>
          </w:tcPr>
          <w:p w14:paraId="4A4CA469">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2.5-2.9</w:t>
            </w:r>
          </w:p>
        </w:tc>
        <w:tc>
          <w:tcPr>
            <w:tcW w:w="834" w:type="pct"/>
            <w:vAlign w:val="center"/>
          </w:tcPr>
          <w:p w14:paraId="794C3FC9">
            <w:pPr>
              <w:widowControl/>
              <w:spacing w:line="240" w:lineRule="auto"/>
              <w:ind w:firstLine="0" w:firstLineChars="0"/>
              <w:jc w:val="center"/>
              <w:textAlignment w:val="center"/>
              <w:rPr>
                <w:rFonts w:cs="Times New Roman"/>
                <w:color w:val="000000"/>
                <w:sz w:val="21"/>
                <w:szCs w:val="21"/>
                <w14:ligatures w14:val="none"/>
              </w:rPr>
            </w:pPr>
            <w:r>
              <w:rPr>
                <w:rFonts w:hint="eastAsia" w:cs="Times New Roman"/>
                <w:color w:val="000000"/>
                <w:sz w:val="21"/>
                <w:szCs w:val="21"/>
                <w14:ligatures w14:val="none"/>
              </w:rPr>
              <w:t>52.0-68.0</w:t>
            </w:r>
          </w:p>
        </w:tc>
      </w:tr>
    </w:tbl>
    <w:p w14:paraId="66AEEDFD">
      <w:pPr>
        <w:ind w:firstLine="482"/>
        <w:rPr>
          <w:b/>
          <w:bCs/>
        </w:rPr>
      </w:pPr>
      <w:r>
        <w:rPr>
          <w:rFonts w:hint="eastAsia"/>
          <w:b/>
          <w:bCs/>
        </w:rPr>
        <w:t>（5）监测结果分析与评价</w:t>
      </w:r>
    </w:p>
    <w:p w14:paraId="5FECF879">
      <w:pPr>
        <w:ind w:firstLine="480"/>
      </w:pPr>
      <w:r>
        <w:rPr>
          <w:rFonts w:hint="eastAsia"/>
        </w:rPr>
        <w:t>环境空气质量现状监测结果汇总见表3.5-5。环境空气质量现状监测结果表明，G1~G7点位非甲烷总烃、氨、硫化氢1h平均浓度均能达到《环境空气质量标准》（GB 3095-2012）、</w:t>
      </w:r>
      <w:r>
        <w:rPr>
          <w:rFonts w:cs="Times New Roman"/>
        </w:rPr>
        <w:t>《大气污染物综合排放标准详解》</w:t>
      </w:r>
      <w:r>
        <w:rPr>
          <w:rFonts w:hint="eastAsia" w:cs="Times New Roman"/>
        </w:rPr>
        <w:t>以及</w:t>
      </w:r>
      <w:r>
        <w:rPr>
          <w:rFonts w:hint="eastAsia"/>
        </w:rPr>
        <w:t>《环境影响评价技术导则 大气环境》（HJ 2.2-2018）附录D表D.1中的相关浓度限值。</w:t>
      </w:r>
    </w:p>
    <w:p w14:paraId="21051393">
      <w:pPr>
        <w:pStyle w:val="45"/>
        <w:rPr>
          <w:rFonts w:cs="Times New Roman"/>
        </w:rPr>
      </w:pPr>
      <w:r>
        <w:rPr>
          <w:rFonts w:hint="eastAsia" w:cs="Times New Roman"/>
        </w:rPr>
        <w:t>表3.</w:t>
      </w:r>
      <w:r>
        <w:rPr>
          <w:rFonts w:cs="Times New Roman"/>
        </w:rPr>
        <w:t>5</w:t>
      </w:r>
      <w:r>
        <w:rPr>
          <w:rFonts w:hint="eastAsia" w:cs="Times New Roman"/>
        </w:rPr>
        <w:t xml:space="preserve">-5 </w:t>
      </w:r>
      <w:r>
        <w:rPr>
          <w:rFonts w:cs="Times New Roman"/>
        </w:rPr>
        <w:t xml:space="preserve"> </w:t>
      </w:r>
      <w:r>
        <w:rPr>
          <w:rFonts w:hint="eastAsia" w:cs="Times New Roman"/>
        </w:rPr>
        <w:t>大气环境质量补充监测结果表</w:t>
      </w:r>
    </w:p>
    <w:tbl>
      <w:tblPr>
        <w:tblStyle w:val="25"/>
        <w:tblW w:w="51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1055"/>
        <w:gridCol w:w="1000"/>
        <w:gridCol w:w="1349"/>
        <w:gridCol w:w="1707"/>
        <w:gridCol w:w="1111"/>
        <w:gridCol w:w="1001"/>
        <w:gridCol w:w="864"/>
      </w:tblGrid>
      <w:tr w14:paraId="4CF0F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blHeader/>
          <w:jc w:val="center"/>
        </w:trPr>
        <w:tc>
          <w:tcPr>
            <w:tcW w:w="369" w:type="pct"/>
            <w:vAlign w:val="center"/>
          </w:tcPr>
          <w:p w14:paraId="5ACCAB2B">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监测点位</w:t>
            </w:r>
          </w:p>
        </w:tc>
        <w:tc>
          <w:tcPr>
            <w:tcW w:w="604" w:type="pct"/>
            <w:vAlign w:val="center"/>
          </w:tcPr>
          <w:p w14:paraId="78CF765F">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污染物</w:t>
            </w:r>
          </w:p>
        </w:tc>
        <w:tc>
          <w:tcPr>
            <w:tcW w:w="572" w:type="pct"/>
            <w:vAlign w:val="center"/>
          </w:tcPr>
          <w:p w14:paraId="49FD0DFA">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平均时间</w:t>
            </w:r>
          </w:p>
        </w:tc>
        <w:tc>
          <w:tcPr>
            <w:tcW w:w="772" w:type="pct"/>
            <w:vAlign w:val="center"/>
          </w:tcPr>
          <w:p w14:paraId="0C0E0637">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评价标准（mg/m</w:t>
            </w:r>
            <w:r>
              <w:rPr>
                <w:rFonts w:hint="eastAsia" w:cs="Times New Roman"/>
                <w:b/>
                <w:bCs/>
                <w:color w:val="000000"/>
                <w:kern w:val="0"/>
                <w:sz w:val="21"/>
                <w:szCs w:val="21"/>
                <w:vertAlign w:val="superscript"/>
                <w14:ligatures w14:val="none"/>
              </w:rPr>
              <w:t>3</w:t>
            </w:r>
            <w:r>
              <w:rPr>
                <w:rFonts w:hint="eastAsia" w:cs="Times New Roman"/>
                <w:b/>
                <w:bCs/>
                <w:color w:val="000000"/>
                <w:kern w:val="0"/>
                <w:sz w:val="21"/>
                <w:szCs w:val="21"/>
                <w14:ligatures w14:val="none"/>
              </w:rPr>
              <w:t>）</w:t>
            </w:r>
          </w:p>
        </w:tc>
        <w:tc>
          <w:tcPr>
            <w:tcW w:w="977" w:type="pct"/>
            <w:vAlign w:val="center"/>
          </w:tcPr>
          <w:p w14:paraId="11113005">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监测浓度范围（mg/m</w:t>
            </w:r>
            <w:r>
              <w:rPr>
                <w:rFonts w:hint="eastAsia" w:cs="Times New Roman"/>
                <w:b/>
                <w:bCs/>
                <w:color w:val="000000"/>
                <w:kern w:val="0"/>
                <w:sz w:val="21"/>
                <w:szCs w:val="21"/>
                <w:vertAlign w:val="superscript"/>
                <w14:ligatures w14:val="none"/>
              </w:rPr>
              <w:t>3</w:t>
            </w:r>
            <w:r>
              <w:rPr>
                <w:rFonts w:hint="eastAsia" w:cs="Times New Roman"/>
                <w:b/>
                <w:bCs/>
                <w:color w:val="000000"/>
                <w:kern w:val="0"/>
                <w:sz w:val="21"/>
                <w:szCs w:val="21"/>
                <w14:ligatures w14:val="none"/>
              </w:rPr>
              <w:t>）</w:t>
            </w:r>
          </w:p>
        </w:tc>
        <w:tc>
          <w:tcPr>
            <w:tcW w:w="636" w:type="pct"/>
            <w:vAlign w:val="center"/>
          </w:tcPr>
          <w:p w14:paraId="5B6BE098">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最大浓度占标率（%）</w:t>
            </w:r>
          </w:p>
        </w:tc>
        <w:tc>
          <w:tcPr>
            <w:tcW w:w="573" w:type="pct"/>
            <w:vAlign w:val="center"/>
          </w:tcPr>
          <w:p w14:paraId="54940A93">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超标率（%）</w:t>
            </w:r>
          </w:p>
        </w:tc>
        <w:tc>
          <w:tcPr>
            <w:tcW w:w="494" w:type="pct"/>
            <w:vAlign w:val="center"/>
          </w:tcPr>
          <w:p w14:paraId="4E667DB2">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达标情况</w:t>
            </w:r>
          </w:p>
        </w:tc>
      </w:tr>
      <w:tr w14:paraId="3D3B3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restart"/>
            <w:vAlign w:val="center"/>
          </w:tcPr>
          <w:p w14:paraId="541DC2A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G1东进小区</w:t>
            </w:r>
          </w:p>
        </w:tc>
        <w:tc>
          <w:tcPr>
            <w:tcW w:w="604" w:type="pct"/>
            <w:vAlign w:val="center"/>
          </w:tcPr>
          <w:p w14:paraId="14C10CC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非甲烷总烃</w:t>
            </w:r>
          </w:p>
        </w:tc>
        <w:tc>
          <w:tcPr>
            <w:tcW w:w="572" w:type="pct"/>
            <w:vAlign w:val="center"/>
          </w:tcPr>
          <w:p w14:paraId="4D15250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3F39A65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w:t>
            </w:r>
          </w:p>
        </w:tc>
        <w:tc>
          <w:tcPr>
            <w:tcW w:w="977" w:type="pct"/>
            <w:vAlign w:val="center"/>
          </w:tcPr>
          <w:p w14:paraId="21AEADD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0.52~0.95</w:t>
            </w:r>
          </w:p>
        </w:tc>
        <w:tc>
          <w:tcPr>
            <w:tcW w:w="636" w:type="pct"/>
            <w:vAlign w:val="center"/>
          </w:tcPr>
          <w:p w14:paraId="4551172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47.50</w:t>
            </w:r>
          </w:p>
        </w:tc>
        <w:tc>
          <w:tcPr>
            <w:tcW w:w="573" w:type="pct"/>
            <w:vAlign w:val="center"/>
          </w:tcPr>
          <w:p w14:paraId="52F3316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56BA1EC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232EA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24E583D6">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13FF6D2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氨</w:t>
            </w:r>
          </w:p>
        </w:tc>
        <w:tc>
          <w:tcPr>
            <w:tcW w:w="572" w:type="pct"/>
            <w:vAlign w:val="center"/>
          </w:tcPr>
          <w:p w14:paraId="490B44C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505AC82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0.2</w:t>
            </w:r>
          </w:p>
        </w:tc>
        <w:tc>
          <w:tcPr>
            <w:tcW w:w="977" w:type="pct"/>
            <w:vAlign w:val="center"/>
          </w:tcPr>
          <w:p w14:paraId="45BC968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0.02~0.07</w:t>
            </w:r>
          </w:p>
        </w:tc>
        <w:tc>
          <w:tcPr>
            <w:tcW w:w="636" w:type="pct"/>
            <w:vAlign w:val="center"/>
          </w:tcPr>
          <w:p w14:paraId="6EE741C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35.00</w:t>
            </w:r>
          </w:p>
        </w:tc>
        <w:tc>
          <w:tcPr>
            <w:tcW w:w="573" w:type="pct"/>
            <w:vAlign w:val="center"/>
          </w:tcPr>
          <w:p w14:paraId="38D485B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4C1A2C9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3A3F1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50EDE1F4">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51021F7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硫化氢</w:t>
            </w:r>
          </w:p>
        </w:tc>
        <w:tc>
          <w:tcPr>
            <w:tcW w:w="572" w:type="pct"/>
            <w:vAlign w:val="center"/>
          </w:tcPr>
          <w:p w14:paraId="597DD931">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noWrap/>
            <w:vAlign w:val="center"/>
          </w:tcPr>
          <w:p w14:paraId="4C02192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0.01</w:t>
            </w:r>
          </w:p>
        </w:tc>
        <w:tc>
          <w:tcPr>
            <w:tcW w:w="977" w:type="pct"/>
            <w:noWrap/>
            <w:vAlign w:val="center"/>
          </w:tcPr>
          <w:p w14:paraId="078B934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ND</w:t>
            </w:r>
          </w:p>
        </w:tc>
        <w:tc>
          <w:tcPr>
            <w:tcW w:w="636" w:type="pct"/>
            <w:noWrap/>
            <w:vAlign w:val="center"/>
          </w:tcPr>
          <w:p w14:paraId="109F02A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w:t>
            </w:r>
          </w:p>
        </w:tc>
        <w:tc>
          <w:tcPr>
            <w:tcW w:w="573" w:type="pct"/>
            <w:noWrap/>
            <w:vAlign w:val="center"/>
          </w:tcPr>
          <w:p w14:paraId="3F34DEE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6A5782B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147EB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69" w:type="pct"/>
            <w:vMerge w:val="restart"/>
            <w:vAlign w:val="center"/>
          </w:tcPr>
          <w:p w14:paraId="21A4546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G2雅居乐山湖城</w:t>
            </w:r>
          </w:p>
        </w:tc>
        <w:tc>
          <w:tcPr>
            <w:tcW w:w="604" w:type="pct"/>
            <w:vAlign w:val="center"/>
          </w:tcPr>
          <w:p w14:paraId="38472CD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非甲烷总烃</w:t>
            </w:r>
          </w:p>
        </w:tc>
        <w:tc>
          <w:tcPr>
            <w:tcW w:w="572" w:type="pct"/>
            <w:vAlign w:val="center"/>
          </w:tcPr>
          <w:p w14:paraId="1D9109A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602B3C2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w:t>
            </w:r>
          </w:p>
        </w:tc>
        <w:tc>
          <w:tcPr>
            <w:tcW w:w="977" w:type="pct"/>
            <w:noWrap/>
            <w:vAlign w:val="center"/>
          </w:tcPr>
          <w:p w14:paraId="75B0909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0.57~0.93</w:t>
            </w:r>
          </w:p>
        </w:tc>
        <w:tc>
          <w:tcPr>
            <w:tcW w:w="636" w:type="pct"/>
            <w:vAlign w:val="center"/>
          </w:tcPr>
          <w:p w14:paraId="11A8EA6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46.50</w:t>
            </w:r>
          </w:p>
        </w:tc>
        <w:tc>
          <w:tcPr>
            <w:tcW w:w="573" w:type="pct"/>
            <w:noWrap/>
            <w:vAlign w:val="center"/>
          </w:tcPr>
          <w:p w14:paraId="1835EFC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683D58A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5B970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5C09412A">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6A15C3E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氨</w:t>
            </w:r>
          </w:p>
        </w:tc>
        <w:tc>
          <w:tcPr>
            <w:tcW w:w="572" w:type="pct"/>
            <w:vAlign w:val="center"/>
          </w:tcPr>
          <w:p w14:paraId="600907A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557754E1">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0.2</w:t>
            </w:r>
          </w:p>
        </w:tc>
        <w:tc>
          <w:tcPr>
            <w:tcW w:w="977" w:type="pct"/>
            <w:vAlign w:val="center"/>
          </w:tcPr>
          <w:p w14:paraId="5E0012F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0.05~0.12</w:t>
            </w:r>
          </w:p>
        </w:tc>
        <w:tc>
          <w:tcPr>
            <w:tcW w:w="636" w:type="pct"/>
            <w:vAlign w:val="center"/>
          </w:tcPr>
          <w:p w14:paraId="43E404F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60.00</w:t>
            </w:r>
          </w:p>
        </w:tc>
        <w:tc>
          <w:tcPr>
            <w:tcW w:w="573" w:type="pct"/>
            <w:vAlign w:val="center"/>
          </w:tcPr>
          <w:p w14:paraId="1D9F47E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0296506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47B91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4BE5794C">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3D6B354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硫化氢</w:t>
            </w:r>
          </w:p>
        </w:tc>
        <w:tc>
          <w:tcPr>
            <w:tcW w:w="572" w:type="pct"/>
            <w:vAlign w:val="center"/>
          </w:tcPr>
          <w:p w14:paraId="54E8728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noWrap/>
            <w:vAlign w:val="center"/>
          </w:tcPr>
          <w:p w14:paraId="747EC80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0.01</w:t>
            </w:r>
          </w:p>
        </w:tc>
        <w:tc>
          <w:tcPr>
            <w:tcW w:w="977" w:type="pct"/>
            <w:noWrap/>
            <w:vAlign w:val="center"/>
          </w:tcPr>
          <w:p w14:paraId="3ECBF78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ND</w:t>
            </w:r>
          </w:p>
        </w:tc>
        <w:tc>
          <w:tcPr>
            <w:tcW w:w="636" w:type="pct"/>
            <w:noWrap/>
            <w:vAlign w:val="center"/>
          </w:tcPr>
          <w:p w14:paraId="31E4BBC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w:t>
            </w:r>
          </w:p>
        </w:tc>
        <w:tc>
          <w:tcPr>
            <w:tcW w:w="573" w:type="pct"/>
            <w:noWrap/>
            <w:vAlign w:val="center"/>
          </w:tcPr>
          <w:p w14:paraId="2F03CBA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3FA8BF21">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4A0CB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restart"/>
            <w:vAlign w:val="center"/>
          </w:tcPr>
          <w:p w14:paraId="230D51C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G3林场村</w:t>
            </w:r>
          </w:p>
        </w:tc>
        <w:tc>
          <w:tcPr>
            <w:tcW w:w="604" w:type="pct"/>
            <w:vAlign w:val="center"/>
          </w:tcPr>
          <w:p w14:paraId="51081EB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非甲烷总烃</w:t>
            </w:r>
          </w:p>
        </w:tc>
        <w:tc>
          <w:tcPr>
            <w:tcW w:w="572" w:type="pct"/>
            <w:vAlign w:val="center"/>
          </w:tcPr>
          <w:p w14:paraId="3F8EDB8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668962D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w:t>
            </w:r>
          </w:p>
        </w:tc>
        <w:tc>
          <w:tcPr>
            <w:tcW w:w="977" w:type="pct"/>
            <w:noWrap/>
            <w:vAlign w:val="center"/>
          </w:tcPr>
          <w:p w14:paraId="3FA2FD1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0.49~0.95</w:t>
            </w:r>
          </w:p>
        </w:tc>
        <w:tc>
          <w:tcPr>
            <w:tcW w:w="636" w:type="pct"/>
            <w:vAlign w:val="center"/>
          </w:tcPr>
          <w:p w14:paraId="6AD56E9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47.50</w:t>
            </w:r>
          </w:p>
        </w:tc>
        <w:tc>
          <w:tcPr>
            <w:tcW w:w="573" w:type="pct"/>
            <w:noWrap/>
            <w:vAlign w:val="center"/>
          </w:tcPr>
          <w:p w14:paraId="190193D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6C9277D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008EA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64A05CEA">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77197A2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氨</w:t>
            </w:r>
          </w:p>
        </w:tc>
        <w:tc>
          <w:tcPr>
            <w:tcW w:w="572" w:type="pct"/>
            <w:vAlign w:val="center"/>
          </w:tcPr>
          <w:p w14:paraId="276F779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7A4BC4D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0.2</w:t>
            </w:r>
          </w:p>
        </w:tc>
        <w:tc>
          <w:tcPr>
            <w:tcW w:w="977" w:type="pct"/>
            <w:noWrap/>
            <w:vAlign w:val="center"/>
          </w:tcPr>
          <w:p w14:paraId="47CAE53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0.06~0.12</w:t>
            </w:r>
          </w:p>
        </w:tc>
        <w:tc>
          <w:tcPr>
            <w:tcW w:w="636" w:type="pct"/>
            <w:vAlign w:val="center"/>
          </w:tcPr>
          <w:p w14:paraId="4DC82D8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60.00</w:t>
            </w:r>
          </w:p>
        </w:tc>
        <w:tc>
          <w:tcPr>
            <w:tcW w:w="573" w:type="pct"/>
            <w:noWrap/>
            <w:vAlign w:val="center"/>
          </w:tcPr>
          <w:p w14:paraId="1388210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6868338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3F5F3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7CB205D3">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5496757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硫化氢</w:t>
            </w:r>
          </w:p>
        </w:tc>
        <w:tc>
          <w:tcPr>
            <w:tcW w:w="572" w:type="pct"/>
            <w:vAlign w:val="center"/>
          </w:tcPr>
          <w:p w14:paraId="2B25981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noWrap/>
            <w:vAlign w:val="center"/>
          </w:tcPr>
          <w:p w14:paraId="5C47C0B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0.01</w:t>
            </w:r>
          </w:p>
        </w:tc>
        <w:tc>
          <w:tcPr>
            <w:tcW w:w="977" w:type="pct"/>
            <w:noWrap/>
            <w:vAlign w:val="center"/>
          </w:tcPr>
          <w:p w14:paraId="47B8B53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ND</w:t>
            </w:r>
          </w:p>
        </w:tc>
        <w:tc>
          <w:tcPr>
            <w:tcW w:w="636" w:type="pct"/>
            <w:noWrap/>
            <w:vAlign w:val="center"/>
          </w:tcPr>
          <w:p w14:paraId="140E156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w:t>
            </w:r>
          </w:p>
        </w:tc>
        <w:tc>
          <w:tcPr>
            <w:tcW w:w="573" w:type="pct"/>
            <w:noWrap/>
            <w:vAlign w:val="center"/>
          </w:tcPr>
          <w:p w14:paraId="7B577F8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66C56FC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4011B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restart"/>
            <w:vAlign w:val="center"/>
          </w:tcPr>
          <w:p w14:paraId="41D5FDE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G4养心园</w:t>
            </w:r>
          </w:p>
        </w:tc>
        <w:tc>
          <w:tcPr>
            <w:tcW w:w="604" w:type="pct"/>
            <w:vAlign w:val="center"/>
          </w:tcPr>
          <w:p w14:paraId="4979F2E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非甲烷总烃</w:t>
            </w:r>
          </w:p>
        </w:tc>
        <w:tc>
          <w:tcPr>
            <w:tcW w:w="572" w:type="pct"/>
            <w:vAlign w:val="center"/>
          </w:tcPr>
          <w:p w14:paraId="6668C1B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5BDD5B7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w:t>
            </w:r>
          </w:p>
        </w:tc>
        <w:tc>
          <w:tcPr>
            <w:tcW w:w="977" w:type="pct"/>
            <w:noWrap/>
            <w:vAlign w:val="center"/>
          </w:tcPr>
          <w:p w14:paraId="560B662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0.52~0.88</w:t>
            </w:r>
          </w:p>
        </w:tc>
        <w:tc>
          <w:tcPr>
            <w:tcW w:w="636" w:type="pct"/>
            <w:vAlign w:val="center"/>
          </w:tcPr>
          <w:p w14:paraId="0E5A082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44.00</w:t>
            </w:r>
          </w:p>
        </w:tc>
        <w:tc>
          <w:tcPr>
            <w:tcW w:w="573" w:type="pct"/>
            <w:noWrap/>
            <w:vAlign w:val="center"/>
          </w:tcPr>
          <w:p w14:paraId="2EF6DBC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4F59B8C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48DE8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031B5AD2">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4B77D27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氨</w:t>
            </w:r>
          </w:p>
        </w:tc>
        <w:tc>
          <w:tcPr>
            <w:tcW w:w="572" w:type="pct"/>
            <w:vAlign w:val="center"/>
          </w:tcPr>
          <w:p w14:paraId="4ED16D6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535F014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0.2</w:t>
            </w:r>
          </w:p>
        </w:tc>
        <w:tc>
          <w:tcPr>
            <w:tcW w:w="977" w:type="pct"/>
            <w:noWrap/>
            <w:vAlign w:val="center"/>
          </w:tcPr>
          <w:p w14:paraId="7EC0DA1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0.06~0.13</w:t>
            </w:r>
          </w:p>
        </w:tc>
        <w:tc>
          <w:tcPr>
            <w:tcW w:w="636" w:type="pct"/>
            <w:vAlign w:val="center"/>
          </w:tcPr>
          <w:p w14:paraId="477C2B6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65.00</w:t>
            </w:r>
          </w:p>
        </w:tc>
        <w:tc>
          <w:tcPr>
            <w:tcW w:w="573" w:type="pct"/>
            <w:noWrap/>
            <w:vAlign w:val="center"/>
          </w:tcPr>
          <w:p w14:paraId="019AEAE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2F32BF3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44388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1B11DC58">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173ED47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硫化氢</w:t>
            </w:r>
          </w:p>
        </w:tc>
        <w:tc>
          <w:tcPr>
            <w:tcW w:w="572" w:type="pct"/>
            <w:vAlign w:val="center"/>
          </w:tcPr>
          <w:p w14:paraId="6069B16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noWrap/>
            <w:vAlign w:val="center"/>
          </w:tcPr>
          <w:p w14:paraId="51C84E0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0.01</w:t>
            </w:r>
          </w:p>
        </w:tc>
        <w:tc>
          <w:tcPr>
            <w:tcW w:w="977" w:type="pct"/>
            <w:noWrap/>
            <w:vAlign w:val="center"/>
          </w:tcPr>
          <w:p w14:paraId="0C67566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ND</w:t>
            </w:r>
          </w:p>
        </w:tc>
        <w:tc>
          <w:tcPr>
            <w:tcW w:w="636" w:type="pct"/>
            <w:noWrap/>
            <w:vAlign w:val="center"/>
          </w:tcPr>
          <w:p w14:paraId="736AE67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w:t>
            </w:r>
          </w:p>
        </w:tc>
        <w:tc>
          <w:tcPr>
            <w:tcW w:w="573" w:type="pct"/>
            <w:noWrap/>
            <w:vAlign w:val="center"/>
          </w:tcPr>
          <w:p w14:paraId="67193C4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4E2A34C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044D9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restart"/>
            <w:vAlign w:val="center"/>
          </w:tcPr>
          <w:p w14:paraId="46CBF97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G5方山水库</w:t>
            </w:r>
          </w:p>
        </w:tc>
        <w:tc>
          <w:tcPr>
            <w:tcW w:w="604" w:type="pct"/>
            <w:vAlign w:val="center"/>
          </w:tcPr>
          <w:p w14:paraId="1A2E236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非甲烷总烃</w:t>
            </w:r>
          </w:p>
        </w:tc>
        <w:tc>
          <w:tcPr>
            <w:tcW w:w="572" w:type="pct"/>
            <w:vAlign w:val="center"/>
          </w:tcPr>
          <w:p w14:paraId="7710B95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57A46FF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w:t>
            </w:r>
          </w:p>
        </w:tc>
        <w:tc>
          <w:tcPr>
            <w:tcW w:w="977" w:type="pct"/>
            <w:noWrap/>
            <w:vAlign w:val="center"/>
          </w:tcPr>
          <w:p w14:paraId="5A692E2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0.54~0.96</w:t>
            </w:r>
          </w:p>
        </w:tc>
        <w:tc>
          <w:tcPr>
            <w:tcW w:w="636" w:type="pct"/>
            <w:vAlign w:val="center"/>
          </w:tcPr>
          <w:p w14:paraId="101B6D1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48.00</w:t>
            </w:r>
          </w:p>
        </w:tc>
        <w:tc>
          <w:tcPr>
            <w:tcW w:w="573" w:type="pct"/>
            <w:noWrap/>
            <w:vAlign w:val="center"/>
          </w:tcPr>
          <w:p w14:paraId="0734378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79426C9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2BB6B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307C8FA4">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359F510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氨</w:t>
            </w:r>
          </w:p>
        </w:tc>
        <w:tc>
          <w:tcPr>
            <w:tcW w:w="572" w:type="pct"/>
            <w:vAlign w:val="center"/>
          </w:tcPr>
          <w:p w14:paraId="3BF5750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5298744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0.2</w:t>
            </w:r>
          </w:p>
        </w:tc>
        <w:tc>
          <w:tcPr>
            <w:tcW w:w="977" w:type="pct"/>
            <w:noWrap/>
            <w:vAlign w:val="center"/>
          </w:tcPr>
          <w:p w14:paraId="3DB27C2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0.07~0.15</w:t>
            </w:r>
          </w:p>
        </w:tc>
        <w:tc>
          <w:tcPr>
            <w:tcW w:w="636" w:type="pct"/>
            <w:vAlign w:val="center"/>
          </w:tcPr>
          <w:p w14:paraId="03509C6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75.00</w:t>
            </w:r>
          </w:p>
        </w:tc>
        <w:tc>
          <w:tcPr>
            <w:tcW w:w="573" w:type="pct"/>
            <w:noWrap/>
            <w:vAlign w:val="center"/>
          </w:tcPr>
          <w:p w14:paraId="468D383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32B3830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08376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1BE22376">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4D772FE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硫化氢</w:t>
            </w:r>
          </w:p>
        </w:tc>
        <w:tc>
          <w:tcPr>
            <w:tcW w:w="572" w:type="pct"/>
            <w:vAlign w:val="center"/>
          </w:tcPr>
          <w:p w14:paraId="70754FB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noWrap/>
            <w:vAlign w:val="center"/>
          </w:tcPr>
          <w:p w14:paraId="5F7FEC0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0.01</w:t>
            </w:r>
          </w:p>
        </w:tc>
        <w:tc>
          <w:tcPr>
            <w:tcW w:w="977" w:type="pct"/>
            <w:noWrap/>
            <w:vAlign w:val="center"/>
          </w:tcPr>
          <w:p w14:paraId="498FC78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ND</w:t>
            </w:r>
          </w:p>
        </w:tc>
        <w:tc>
          <w:tcPr>
            <w:tcW w:w="636" w:type="pct"/>
            <w:noWrap/>
            <w:vAlign w:val="center"/>
          </w:tcPr>
          <w:p w14:paraId="2BE5615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w:t>
            </w:r>
          </w:p>
        </w:tc>
        <w:tc>
          <w:tcPr>
            <w:tcW w:w="573" w:type="pct"/>
            <w:noWrap/>
            <w:vAlign w:val="center"/>
          </w:tcPr>
          <w:p w14:paraId="19D48A1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w:t>
            </w:r>
          </w:p>
        </w:tc>
        <w:tc>
          <w:tcPr>
            <w:tcW w:w="494" w:type="pct"/>
            <w:noWrap/>
            <w:vAlign w:val="center"/>
          </w:tcPr>
          <w:p w14:paraId="09C290B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达标</w:t>
            </w:r>
          </w:p>
        </w:tc>
      </w:tr>
      <w:tr w14:paraId="2F233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restart"/>
            <w:vAlign w:val="center"/>
          </w:tcPr>
          <w:p w14:paraId="50F2ABB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G6塔山村</w:t>
            </w:r>
          </w:p>
        </w:tc>
        <w:tc>
          <w:tcPr>
            <w:tcW w:w="604" w:type="pct"/>
            <w:vAlign w:val="center"/>
          </w:tcPr>
          <w:p w14:paraId="08B2E00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非甲烷总烃</w:t>
            </w:r>
          </w:p>
        </w:tc>
        <w:tc>
          <w:tcPr>
            <w:tcW w:w="572" w:type="pct"/>
            <w:vAlign w:val="center"/>
          </w:tcPr>
          <w:p w14:paraId="514A38A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276B2D2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w:t>
            </w:r>
          </w:p>
        </w:tc>
        <w:tc>
          <w:tcPr>
            <w:tcW w:w="977" w:type="pct"/>
            <w:noWrap/>
            <w:vAlign w:val="center"/>
          </w:tcPr>
          <w:p w14:paraId="55B07255">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0.79~1.29</w:t>
            </w:r>
          </w:p>
        </w:tc>
        <w:tc>
          <w:tcPr>
            <w:tcW w:w="636" w:type="pct"/>
            <w:noWrap/>
            <w:vAlign w:val="center"/>
          </w:tcPr>
          <w:p w14:paraId="6D1F0B0E">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64.50</w:t>
            </w:r>
          </w:p>
        </w:tc>
        <w:tc>
          <w:tcPr>
            <w:tcW w:w="573" w:type="pct"/>
            <w:noWrap/>
            <w:vAlign w:val="center"/>
          </w:tcPr>
          <w:p w14:paraId="5AF812AB">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0</w:t>
            </w:r>
          </w:p>
        </w:tc>
        <w:tc>
          <w:tcPr>
            <w:tcW w:w="494" w:type="pct"/>
            <w:noWrap/>
            <w:vAlign w:val="center"/>
          </w:tcPr>
          <w:p w14:paraId="79F10A40">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达标</w:t>
            </w:r>
          </w:p>
        </w:tc>
      </w:tr>
      <w:tr w14:paraId="5F0CE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75A205FC">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63CC902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氨</w:t>
            </w:r>
          </w:p>
        </w:tc>
        <w:tc>
          <w:tcPr>
            <w:tcW w:w="572" w:type="pct"/>
            <w:vAlign w:val="center"/>
          </w:tcPr>
          <w:p w14:paraId="39C4037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2FC59C0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0.2</w:t>
            </w:r>
          </w:p>
        </w:tc>
        <w:tc>
          <w:tcPr>
            <w:tcW w:w="977" w:type="pct"/>
            <w:noWrap/>
            <w:vAlign w:val="center"/>
          </w:tcPr>
          <w:p w14:paraId="4AFFDAC3">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0.09~0.16</w:t>
            </w:r>
          </w:p>
        </w:tc>
        <w:tc>
          <w:tcPr>
            <w:tcW w:w="636" w:type="pct"/>
            <w:noWrap/>
            <w:vAlign w:val="center"/>
          </w:tcPr>
          <w:p w14:paraId="54784E58">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80.00</w:t>
            </w:r>
          </w:p>
        </w:tc>
        <w:tc>
          <w:tcPr>
            <w:tcW w:w="573" w:type="pct"/>
            <w:noWrap/>
            <w:vAlign w:val="center"/>
          </w:tcPr>
          <w:p w14:paraId="26626834">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0</w:t>
            </w:r>
          </w:p>
        </w:tc>
        <w:tc>
          <w:tcPr>
            <w:tcW w:w="494" w:type="pct"/>
            <w:noWrap/>
            <w:vAlign w:val="center"/>
          </w:tcPr>
          <w:p w14:paraId="28444B63">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达标</w:t>
            </w:r>
          </w:p>
        </w:tc>
      </w:tr>
      <w:tr w14:paraId="759CD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0DF2E95B">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3AEF090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硫化氢</w:t>
            </w:r>
          </w:p>
        </w:tc>
        <w:tc>
          <w:tcPr>
            <w:tcW w:w="572" w:type="pct"/>
            <w:vAlign w:val="center"/>
          </w:tcPr>
          <w:p w14:paraId="7F39F12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noWrap/>
            <w:vAlign w:val="center"/>
          </w:tcPr>
          <w:p w14:paraId="6CE5A4C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0.01</w:t>
            </w:r>
          </w:p>
        </w:tc>
        <w:tc>
          <w:tcPr>
            <w:tcW w:w="977" w:type="pct"/>
            <w:noWrap/>
            <w:vAlign w:val="center"/>
          </w:tcPr>
          <w:p w14:paraId="40EE91D9">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0.002~0.006</w:t>
            </w:r>
          </w:p>
        </w:tc>
        <w:tc>
          <w:tcPr>
            <w:tcW w:w="636" w:type="pct"/>
            <w:noWrap/>
            <w:vAlign w:val="center"/>
          </w:tcPr>
          <w:p w14:paraId="1B5E16EA">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60.00</w:t>
            </w:r>
          </w:p>
        </w:tc>
        <w:tc>
          <w:tcPr>
            <w:tcW w:w="573" w:type="pct"/>
            <w:noWrap/>
            <w:vAlign w:val="center"/>
          </w:tcPr>
          <w:p w14:paraId="03A1C3C3">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0</w:t>
            </w:r>
          </w:p>
        </w:tc>
        <w:tc>
          <w:tcPr>
            <w:tcW w:w="494" w:type="pct"/>
            <w:noWrap/>
            <w:vAlign w:val="center"/>
          </w:tcPr>
          <w:p w14:paraId="6FDFBE85">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达标</w:t>
            </w:r>
          </w:p>
        </w:tc>
      </w:tr>
      <w:tr w14:paraId="33DB8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restart"/>
            <w:vAlign w:val="center"/>
          </w:tcPr>
          <w:p w14:paraId="1C8C3B9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G7许庄村</w:t>
            </w:r>
          </w:p>
        </w:tc>
        <w:tc>
          <w:tcPr>
            <w:tcW w:w="604" w:type="pct"/>
            <w:vAlign w:val="center"/>
          </w:tcPr>
          <w:p w14:paraId="4AD8070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非甲烷总烃</w:t>
            </w:r>
          </w:p>
        </w:tc>
        <w:tc>
          <w:tcPr>
            <w:tcW w:w="572" w:type="pct"/>
            <w:vAlign w:val="center"/>
          </w:tcPr>
          <w:p w14:paraId="5C9236D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704F934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w:t>
            </w:r>
          </w:p>
        </w:tc>
        <w:tc>
          <w:tcPr>
            <w:tcW w:w="977" w:type="pct"/>
            <w:noWrap/>
            <w:vAlign w:val="center"/>
          </w:tcPr>
          <w:p w14:paraId="37D1E036">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0.75~1.02</w:t>
            </w:r>
          </w:p>
        </w:tc>
        <w:tc>
          <w:tcPr>
            <w:tcW w:w="636" w:type="pct"/>
            <w:noWrap/>
            <w:vAlign w:val="center"/>
          </w:tcPr>
          <w:p w14:paraId="09935428">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51.00</w:t>
            </w:r>
          </w:p>
        </w:tc>
        <w:tc>
          <w:tcPr>
            <w:tcW w:w="573" w:type="pct"/>
            <w:noWrap/>
            <w:vAlign w:val="center"/>
          </w:tcPr>
          <w:p w14:paraId="74104284">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0</w:t>
            </w:r>
          </w:p>
        </w:tc>
        <w:tc>
          <w:tcPr>
            <w:tcW w:w="494" w:type="pct"/>
            <w:noWrap/>
            <w:vAlign w:val="center"/>
          </w:tcPr>
          <w:p w14:paraId="2ED4C6CD">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达标</w:t>
            </w:r>
          </w:p>
        </w:tc>
      </w:tr>
      <w:tr w14:paraId="76878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07210B60">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19BE1CD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氨</w:t>
            </w:r>
          </w:p>
        </w:tc>
        <w:tc>
          <w:tcPr>
            <w:tcW w:w="572" w:type="pct"/>
            <w:vAlign w:val="center"/>
          </w:tcPr>
          <w:p w14:paraId="2D656270">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vAlign w:val="center"/>
          </w:tcPr>
          <w:p w14:paraId="257E1F9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0.2</w:t>
            </w:r>
          </w:p>
        </w:tc>
        <w:tc>
          <w:tcPr>
            <w:tcW w:w="977" w:type="pct"/>
            <w:noWrap/>
            <w:vAlign w:val="center"/>
          </w:tcPr>
          <w:p w14:paraId="728F4AA2">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0.05~0.09</w:t>
            </w:r>
          </w:p>
        </w:tc>
        <w:tc>
          <w:tcPr>
            <w:tcW w:w="636" w:type="pct"/>
            <w:noWrap/>
            <w:vAlign w:val="center"/>
          </w:tcPr>
          <w:p w14:paraId="7E2F1412">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45.00</w:t>
            </w:r>
          </w:p>
        </w:tc>
        <w:tc>
          <w:tcPr>
            <w:tcW w:w="573" w:type="pct"/>
            <w:noWrap/>
            <w:vAlign w:val="center"/>
          </w:tcPr>
          <w:p w14:paraId="6F21F40B">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0</w:t>
            </w:r>
          </w:p>
        </w:tc>
        <w:tc>
          <w:tcPr>
            <w:tcW w:w="494" w:type="pct"/>
            <w:noWrap/>
            <w:vAlign w:val="center"/>
          </w:tcPr>
          <w:p w14:paraId="049C2D6E">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达标</w:t>
            </w:r>
          </w:p>
        </w:tc>
      </w:tr>
      <w:tr w14:paraId="120A9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69" w:type="pct"/>
            <w:vMerge w:val="continue"/>
            <w:vAlign w:val="center"/>
          </w:tcPr>
          <w:p w14:paraId="48C37FC6">
            <w:pPr>
              <w:widowControl/>
              <w:spacing w:line="240" w:lineRule="auto"/>
              <w:ind w:firstLine="0" w:firstLineChars="0"/>
              <w:jc w:val="center"/>
              <w:rPr>
                <w:rFonts w:cs="Times New Roman"/>
                <w:color w:val="000000"/>
                <w:kern w:val="0"/>
                <w:sz w:val="21"/>
                <w:szCs w:val="21"/>
                <w14:ligatures w14:val="none"/>
              </w:rPr>
            </w:pPr>
          </w:p>
        </w:tc>
        <w:tc>
          <w:tcPr>
            <w:tcW w:w="604" w:type="pct"/>
            <w:vAlign w:val="center"/>
          </w:tcPr>
          <w:p w14:paraId="0F09A2C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硫化氢</w:t>
            </w:r>
          </w:p>
        </w:tc>
        <w:tc>
          <w:tcPr>
            <w:tcW w:w="572" w:type="pct"/>
            <w:vAlign w:val="center"/>
          </w:tcPr>
          <w:p w14:paraId="7FB6699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1h平均</w:t>
            </w:r>
          </w:p>
        </w:tc>
        <w:tc>
          <w:tcPr>
            <w:tcW w:w="772" w:type="pct"/>
            <w:noWrap/>
            <w:vAlign w:val="center"/>
          </w:tcPr>
          <w:p w14:paraId="13FD694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0.01</w:t>
            </w:r>
          </w:p>
        </w:tc>
        <w:tc>
          <w:tcPr>
            <w:tcW w:w="977" w:type="pct"/>
            <w:noWrap/>
            <w:vAlign w:val="center"/>
          </w:tcPr>
          <w:p w14:paraId="7BBD5F4C">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0.003~0.009</w:t>
            </w:r>
          </w:p>
        </w:tc>
        <w:tc>
          <w:tcPr>
            <w:tcW w:w="636" w:type="pct"/>
            <w:noWrap/>
            <w:vAlign w:val="center"/>
          </w:tcPr>
          <w:p w14:paraId="2AFDECE2">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90%</w:t>
            </w:r>
          </w:p>
        </w:tc>
        <w:tc>
          <w:tcPr>
            <w:tcW w:w="573" w:type="pct"/>
            <w:noWrap/>
            <w:vAlign w:val="center"/>
          </w:tcPr>
          <w:p w14:paraId="6A7560C2">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0</w:t>
            </w:r>
          </w:p>
        </w:tc>
        <w:tc>
          <w:tcPr>
            <w:tcW w:w="494" w:type="pct"/>
            <w:noWrap/>
            <w:vAlign w:val="center"/>
          </w:tcPr>
          <w:p w14:paraId="340DD755">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达标</w:t>
            </w:r>
          </w:p>
        </w:tc>
      </w:tr>
    </w:tbl>
    <w:p w14:paraId="68B00787">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3.5.2</w:t>
      </w:r>
      <w:r>
        <w:rPr>
          <w:rFonts w:hint="eastAsia" w:eastAsia="方正楷体_GBK" w:cs="Times New Roman"/>
          <w:b/>
          <w:bCs/>
          <w:szCs w:val="28"/>
          <w14:ligatures w14:val="none"/>
        </w:rPr>
        <w:t>地表水环境质量现状监测与评价</w:t>
      </w:r>
    </w:p>
    <w:p w14:paraId="441DA367">
      <w:pPr>
        <w:ind w:firstLine="0" w:firstLineChars="0"/>
        <w:outlineLvl w:val="3"/>
        <w:rPr>
          <w:b/>
          <w:bCs/>
        </w:rPr>
      </w:pPr>
      <w:r>
        <w:rPr>
          <w:b/>
          <w:bCs/>
        </w:rPr>
        <w:t>3</w:t>
      </w:r>
      <w:r>
        <w:rPr>
          <w:rFonts w:hint="eastAsia"/>
          <w:b/>
          <w:bCs/>
        </w:rPr>
        <w:t>.</w:t>
      </w:r>
      <w:r>
        <w:rPr>
          <w:b/>
          <w:bCs/>
        </w:rPr>
        <w:t>5</w:t>
      </w:r>
      <w:r>
        <w:rPr>
          <w:rFonts w:hint="eastAsia"/>
          <w:b/>
          <w:bCs/>
        </w:rPr>
        <w:t>.</w:t>
      </w:r>
      <w:r>
        <w:rPr>
          <w:b/>
          <w:bCs/>
        </w:rPr>
        <w:t>2</w:t>
      </w:r>
      <w:r>
        <w:rPr>
          <w:rFonts w:hint="eastAsia"/>
          <w:b/>
          <w:bCs/>
        </w:rPr>
        <w:t>.</w:t>
      </w:r>
      <w:r>
        <w:rPr>
          <w:b/>
          <w:bCs/>
        </w:rPr>
        <w:t>1</w:t>
      </w:r>
      <w:r>
        <w:rPr>
          <w:rFonts w:hint="eastAsia"/>
          <w:b/>
          <w:bCs/>
        </w:rPr>
        <w:t>地表水自动站点监测数据</w:t>
      </w:r>
    </w:p>
    <w:p w14:paraId="40128CB2">
      <w:pPr>
        <w:ind w:firstLine="480"/>
        <w:rPr>
          <w:rFonts w:cs="Times New Roman"/>
        </w:rPr>
      </w:pPr>
      <w:r>
        <w:rPr>
          <w:rFonts w:cs="Times New Roman"/>
        </w:rPr>
        <w:t>度假区坐拥茅东水库、新浮水库、东进水库、海底水库、接山墩水库、阴山坎水库、方山水库、建国水库、白石里水库等大大小小十余个水库，水资源较为丰富。</w:t>
      </w:r>
    </w:p>
    <w:p w14:paraId="22AC602F">
      <w:pPr>
        <w:ind w:firstLine="480"/>
        <w:rPr>
          <w:rFonts w:cs="Times New Roman"/>
        </w:rPr>
      </w:pPr>
      <w:r>
        <w:rPr>
          <w:rFonts w:cs="Times New Roman"/>
        </w:rPr>
        <w:t>度假区内涉及考核断面六个，分别为茅东水库库心（省考断面，Ⅲ类水质目标）、东进水库（市考断面，Ⅲ类水质目标）、海底水库（市考断面，Ⅲ类水质目标）、向阳水库（市考断面，Ⅲ类水质目标）、瓦沟水库（市考断面，Ⅲ类水质目标）、新浮山水库（市考断面，Ⅲ类水质目标）。</w:t>
      </w:r>
      <w:r>
        <w:rPr>
          <w:rFonts w:hint="eastAsia" w:cs="Times New Roman"/>
        </w:rPr>
        <w:t>其中，省考断面除监测常规水质因子外，同时涵盖监测总氮、叶绿素a、LAS、溶解氧、粪大肠菌群等富营养化指标；市考断面仅监测常规水质因子。</w:t>
      </w:r>
      <w:r>
        <w:rPr>
          <w:rFonts w:cs="Times New Roman"/>
        </w:rPr>
        <w:t>本节选择这六个断面2021</w:t>
      </w:r>
      <w:r>
        <w:rPr>
          <w:rFonts w:hint="eastAsia" w:cs="Times New Roman"/>
        </w:rPr>
        <w:t>—2024</w:t>
      </w:r>
      <w:r>
        <w:rPr>
          <w:rFonts w:cs="Times New Roman"/>
        </w:rPr>
        <w:t>年期间相应监测数据进行评价分析。</w:t>
      </w:r>
    </w:p>
    <w:p w14:paraId="49F2A48B">
      <w:pPr>
        <w:widowControl/>
        <w:spacing w:line="240" w:lineRule="auto"/>
        <w:ind w:firstLine="0" w:firstLineChars="0"/>
        <w:jc w:val="left"/>
        <w:rPr>
          <w:rFonts w:cs="Times New Roman"/>
        </w:rPr>
        <w:sectPr>
          <w:pgSz w:w="11906" w:h="16838"/>
          <w:pgMar w:top="1440" w:right="1800" w:bottom="1440" w:left="1800" w:header="851" w:footer="992" w:gutter="0"/>
          <w:cols w:space="425" w:num="1"/>
          <w:docGrid w:type="lines" w:linePitch="312" w:charSpace="0"/>
        </w:sectPr>
      </w:pPr>
      <w:r>
        <w:rPr>
          <w:rFonts w:cs="Times New Roman"/>
        </w:rPr>
        <w:br w:type="page"/>
      </w:r>
    </w:p>
    <w:p w14:paraId="7C9F4E8C">
      <w:pPr>
        <w:widowControl/>
        <w:spacing w:line="240" w:lineRule="auto"/>
        <w:ind w:firstLine="0" w:firstLineChars="0"/>
        <w:jc w:val="left"/>
        <w:rPr>
          <w:rFonts w:cs="Times New Roman"/>
        </w:rPr>
      </w:pPr>
    </w:p>
    <w:p w14:paraId="069539D6">
      <w:pPr>
        <w:pStyle w:val="45"/>
        <w:rPr>
          <w:rFonts w:cs="Times New Roman"/>
        </w:rPr>
      </w:pPr>
      <w:r>
        <w:rPr>
          <w:rFonts w:cs="Times New Roman"/>
        </w:rPr>
        <w:t>表</w:t>
      </w:r>
      <w:r>
        <w:rPr>
          <w:rFonts w:hint="eastAsia" w:cs="Times New Roman"/>
        </w:rPr>
        <w:t>3.</w:t>
      </w:r>
      <w:r>
        <w:rPr>
          <w:rFonts w:cs="Times New Roman"/>
        </w:rPr>
        <w:t>5</w:t>
      </w:r>
      <w:r>
        <w:rPr>
          <w:rFonts w:hint="eastAsia" w:cs="Times New Roman"/>
        </w:rPr>
        <w:t xml:space="preserve">-7 </w:t>
      </w:r>
      <w:r>
        <w:rPr>
          <w:rFonts w:cs="Times New Roman"/>
        </w:rPr>
        <w:t xml:space="preserve"> </w:t>
      </w:r>
      <w:r>
        <w:rPr>
          <w:rFonts w:hint="eastAsia" w:cs="Times New Roman"/>
        </w:rPr>
        <w:t>地表水监测站点监测数据统计表</w:t>
      </w:r>
    </w:p>
    <w:tbl>
      <w:tblPr>
        <w:tblStyle w:val="25"/>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2"/>
        <w:gridCol w:w="1677"/>
        <w:gridCol w:w="1782"/>
        <w:gridCol w:w="1663"/>
        <w:gridCol w:w="1079"/>
        <w:gridCol w:w="1079"/>
        <w:gridCol w:w="1079"/>
        <w:gridCol w:w="1079"/>
        <w:gridCol w:w="1079"/>
        <w:gridCol w:w="1255"/>
        <w:gridCol w:w="1107"/>
      </w:tblGrid>
      <w:tr w14:paraId="7DF68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blHeader/>
        </w:trPr>
        <w:tc>
          <w:tcPr>
            <w:tcW w:w="449" w:type="pct"/>
            <w:vAlign w:val="center"/>
          </w:tcPr>
          <w:p w14:paraId="25D88CA7">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水体名称</w:t>
            </w:r>
          </w:p>
        </w:tc>
        <w:tc>
          <w:tcPr>
            <w:tcW w:w="591" w:type="pct"/>
            <w:vAlign w:val="center"/>
          </w:tcPr>
          <w:p w14:paraId="7F98A833">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点位</w:t>
            </w:r>
          </w:p>
        </w:tc>
        <w:tc>
          <w:tcPr>
            <w:tcW w:w="629" w:type="pct"/>
            <w:vAlign w:val="center"/>
          </w:tcPr>
          <w:p w14:paraId="1E799BF3">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年份</w:t>
            </w:r>
          </w:p>
        </w:tc>
        <w:tc>
          <w:tcPr>
            <w:tcW w:w="587" w:type="pct"/>
            <w:vAlign w:val="center"/>
          </w:tcPr>
          <w:p w14:paraId="3A6070A6">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高锰酸盐指数</w:t>
            </w:r>
          </w:p>
        </w:tc>
        <w:tc>
          <w:tcPr>
            <w:tcW w:w="381" w:type="pct"/>
            <w:vAlign w:val="center"/>
          </w:tcPr>
          <w:p w14:paraId="20CE7310">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氨氮</w:t>
            </w:r>
          </w:p>
        </w:tc>
        <w:tc>
          <w:tcPr>
            <w:tcW w:w="381" w:type="pct"/>
            <w:vAlign w:val="center"/>
          </w:tcPr>
          <w:p w14:paraId="2B20EFBA">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总磷</w:t>
            </w:r>
          </w:p>
        </w:tc>
        <w:tc>
          <w:tcPr>
            <w:tcW w:w="381" w:type="pct"/>
            <w:vAlign w:val="center"/>
          </w:tcPr>
          <w:p w14:paraId="29996DEA">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叶绿素a</w:t>
            </w:r>
          </w:p>
        </w:tc>
        <w:tc>
          <w:tcPr>
            <w:tcW w:w="381" w:type="pct"/>
            <w:vAlign w:val="center"/>
          </w:tcPr>
          <w:p w14:paraId="7E1A7E73">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LAS</w:t>
            </w:r>
          </w:p>
        </w:tc>
        <w:tc>
          <w:tcPr>
            <w:tcW w:w="381" w:type="pct"/>
            <w:vAlign w:val="center"/>
          </w:tcPr>
          <w:p w14:paraId="5971F6D0">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溶解氧</w:t>
            </w:r>
          </w:p>
        </w:tc>
        <w:tc>
          <w:tcPr>
            <w:tcW w:w="443" w:type="pct"/>
            <w:vAlign w:val="center"/>
          </w:tcPr>
          <w:p w14:paraId="04167F47">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粪大肠菌群（个/L）</w:t>
            </w:r>
          </w:p>
        </w:tc>
        <w:tc>
          <w:tcPr>
            <w:tcW w:w="391" w:type="pct"/>
            <w:vAlign w:val="center"/>
          </w:tcPr>
          <w:p w14:paraId="6E1D87FA">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水质类别</w:t>
            </w:r>
          </w:p>
        </w:tc>
      </w:tr>
      <w:tr w14:paraId="3BFF2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restart"/>
            <w:vAlign w:val="center"/>
          </w:tcPr>
          <w:p w14:paraId="750F301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茅东水库</w:t>
            </w:r>
          </w:p>
        </w:tc>
        <w:tc>
          <w:tcPr>
            <w:tcW w:w="591" w:type="pct"/>
            <w:vMerge w:val="restart"/>
            <w:vAlign w:val="center"/>
          </w:tcPr>
          <w:p w14:paraId="62B5BBFF">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茅东水库库心</w:t>
            </w:r>
          </w:p>
        </w:tc>
        <w:tc>
          <w:tcPr>
            <w:tcW w:w="629" w:type="pct"/>
            <w:vAlign w:val="center"/>
          </w:tcPr>
          <w:p w14:paraId="70FA226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2021</w:t>
            </w:r>
          </w:p>
        </w:tc>
        <w:tc>
          <w:tcPr>
            <w:tcW w:w="587" w:type="pct"/>
            <w:vAlign w:val="center"/>
          </w:tcPr>
          <w:p w14:paraId="470640B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3.70</w:t>
            </w:r>
          </w:p>
        </w:tc>
        <w:tc>
          <w:tcPr>
            <w:tcW w:w="381" w:type="pct"/>
            <w:vAlign w:val="center"/>
          </w:tcPr>
          <w:p w14:paraId="55EDF6B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0.10</w:t>
            </w:r>
          </w:p>
        </w:tc>
        <w:tc>
          <w:tcPr>
            <w:tcW w:w="381" w:type="pct"/>
            <w:vAlign w:val="center"/>
          </w:tcPr>
          <w:p w14:paraId="251E877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0.03</w:t>
            </w:r>
          </w:p>
        </w:tc>
        <w:tc>
          <w:tcPr>
            <w:tcW w:w="381" w:type="pct"/>
            <w:vAlign w:val="center"/>
          </w:tcPr>
          <w:p w14:paraId="1F40014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0.0335</w:t>
            </w:r>
          </w:p>
        </w:tc>
        <w:tc>
          <w:tcPr>
            <w:tcW w:w="381" w:type="pct"/>
            <w:vAlign w:val="center"/>
          </w:tcPr>
          <w:p w14:paraId="757CDB5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0.025</w:t>
            </w:r>
          </w:p>
        </w:tc>
        <w:tc>
          <w:tcPr>
            <w:tcW w:w="381" w:type="pct"/>
            <w:vAlign w:val="center"/>
          </w:tcPr>
          <w:p w14:paraId="51F7E32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10.15</w:t>
            </w:r>
          </w:p>
        </w:tc>
        <w:tc>
          <w:tcPr>
            <w:tcW w:w="443" w:type="pct"/>
            <w:vAlign w:val="center"/>
          </w:tcPr>
          <w:p w14:paraId="2DD18EA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280</w:t>
            </w:r>
          </w:p>
        </w:tc>
        <w:tc>
          <w:tcPr>
            <w:tcW w:w="391" w:type="pct"/>
            <w:vAlign w:val="center"/>
          </w:tcPr>
          <w:p w14:paraId="5B5A8DC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p>
        </w:tc>
      </w:tr>
      <w:tr w14:paraId="56F93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45E236F1">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12628B34">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6983009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2022</w:t>
            </w:r>
          </w:p>
        </w:tc>
        <w:tc>
          <w:tcPr>
            <w:tcW w:w="587" w:type="pct"/>
            <w:vAlign w:val="center"/>
          </w:tcPr>
          <w:p w14:paraId="61BA6B4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3.40</w:t>
            </w:r>
          </w:p>
        </w:tc>
        <w:tc>
          <w:tcPr>
            <w:tcW w:w="381" w:type="pct"/>
            <w:vAlign w:val="center"/>
          </w:tcPr>
          <w:p w14:paraId="47B1AAF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0.13</w:t>
            </w:r>
          </w:p>
        </w:tc>
        <w:tc>
          <w:tcPr>
            <w:tcW w:w="381" w:type="pct"/>
            <w:vAlign w:val="center"/>
          </w:tcPr>
          <w:p w14:paraId="05F9172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3FFA274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0.0068</w:t>
            </w:r>
          </w:p>
        </w:tc>
        <w:tc>
          <w:tcPr>
            <w:tcW w:w="381" w:type="pct"/>
            <w:vAlign w:val="center"/>
          </w:tcPr>
          <w:p w14:paraId="7AC2CA0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0.025</w:t>
            </w:r>
          </w:p>
        </w:tc>
        <w:tc>
          <w:tcPr>
            <w:tcW w:w="381" w:type="pct"/>
            <w:vAlign w:val="center"/>
          </w:tcPr>
          <w:p w14:paraId="1DCC6D1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9.58</w:t>
            </w:r>
          </w:p>
        </w:tc>
        <w:tc>
          <w:tcPr>
            <w:tcW w:w="443" w:type="pct"/>
            <w:vAlign w:val="center"/>
          </w:tcPr>
          <w:p w14:paraId="468103C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134</w:t>
            </w:r>
          </w:p>
        </w:tc>
        <w:tc>
          <w:tcPr>
            <w:tcW w:w="391" w:type="pct"/>
            <w:vAlign w:val="center"/>
          </w:tcPr>
          <w:p w14:paraId="5E7C05D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p>
        </w:tc>
      </w:tr>
      <w:tr w14:paraId="53015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314D63A8">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00F4F495">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5057B5B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2023</w:t>
            </w:r>
          </w:p>
        </w:tc>
        <w:tc>
          <w:tcPr>
            <w:tcW w:w="587" w:type="pct"/>
            <w:vAlign w:val="center"/>
          </w:tcPr>
          <w:p w14:paraId="4FE3398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3.30</w:t>
            </w:r>
          </w:p>
        </w:tc>
        <w:tc>
          <w:tcPr>
            <w:tcW w:w="381" w:type="pct"/>
            <w:vAlign w:val="center"/>
          </w:tcPr>
          <w:p w14:paraId="5B229B4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0.17</w:t>
            </w:r>
          </w:p>
        </w:tc>
        <w:tc>
          <w:tcPr>
            <w:tcW w:w="381" w:type="pct"/>
            <w:vAlign w:val="center"/>
          </w:tcPr>
          <w:p w14:paraId="59ABC53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2DB9A15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0.012</w:t>
            </w:r>
          </w:p>
        </w:tc>
        <w:tc>
          <w:tcPr>
            <w:tcW w:w="381" w:type="pct"/>
            <w:vAlign w:val="center"/>
          </w:tcPr>
          <w:p w14:paraId="456EDEE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0.025</w:t>
            </w:r>
          </w:p>
        </w:tc>
        <w:tc>
          <w:tcPr>
            <w:tcW w:w="381" w:type="pct"/>
            <w:vAlign w:val="center"/>
          </w:tcPr>
          <w:p w14:paraId="4969C6B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9.98</w:t>
            </w:r>
          </w:p>
        </w:tc>
        <w:tc>
          <w:tcPr>
            <w:tcW w:w="443" w:type="pct"/>
            <w:vAlign w:val="center"/>
          </w:tcPr>
          <w:p w14:paraId="79F8436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333</w:t>
            </w:r>
          </w:p>
        </w:tc>
        <w:tc>
          <w:tcPr>
            <w:tcW w:w="391" w:type="pct"/>
            <w:vAlign w:val="center"/>
          </w:tcPr>
          <w:p w14:paraId="443F7F3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p>
        </w:tc>
      </w:tr>
      <w:tr w14:paraId="31245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7520F52D">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0C6AB237">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7443ACF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2024</w:t>
            </w:r>
          </w:p>
        </w:tc>
        <w:tc>
          <w:tcPr>
            <w:tcW w:w="587" w:type="pct"/>
            <w:vAlign w:val="center"/>
          </w:tcPr>
          <w:p w14:paraId="63504AE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3.64</w:t>
            </w:r>
          </w:p>
        </w:tc>
        <w:tc>
          <w:tcPr>
            <w:tcW w:w="381" w:type="pct"/>
            <w:vAlign w:val="center"/>
          </w:tcPr>
          <w:p w14:paraId="1A56C72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0.11</w:t>
            </w:r>
          </w:p>
        </w:tc>
        <w:tc>
          <w:tcPr>
            <w:tcW w:w="381" w:type="pct"/>
            <w:vAlign w:val="center"/>
          </w:tcPr>
          <w:p w14:paraId="0E22FC5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6F37288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0.009</w:t>
            </w:r>
          </w:p>
        </w:tc>
        <w:tc>
          <w:tcPr>
            <w:tcW w:w="381" w:type="pct"/>
            <w:vAlign w:val="center"/>
          </w:tcPr>
          <w:p w14:paraId="321BF46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0.025</w:t>
            </w:r>
          </w:p>
        </w:tc>
        <w:tc>
          <w:tcPr>
            <w:tcW w:w="381" w:type="pct"/>
            <w:vAlign w:val="center"/>
          </w:tcPr>
          <w:p w14:paraId="757CEAD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10.28</w:t>
            </w:r>
          </w:p>
        </w:tc>
        <w:tc>
          <w:tcPr>
            <w:tcW w:w="443" w:type="pct"/>
            <w:vAlign w:val="center"/>
          </w:tcPr>
          <w:p w14:paraId="5449190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231</w:t>
            </w:r>
          </w:p>
        </w:tc>
        <w:tc>
          <w:tcPr>
            <w:tcW w:w="391" w:type="pct"/>
            <w:vAlign w:val="center"/>
          </w:tcPr>
          <w:p w14:paraId="13514DD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p>
        </w:tc>
      </w:tr>
      <w:tr w14:paraId="04598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449" w:type="pct"/>
            <w:vMerge w:val="restart"/>
            <w:vAlign w:val="center"/>
          </w:tcPr>
          <w:p w14:paraId="5AE24C0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东进水库</w:t>
            </w:r>
          </w:p>
        </w:tc>
        <w:tc>
          <w:tcPr>
            <w:tcW w:w="591" w:type="pct"/>
            <w:vMerge w:val="restart"/>
            <w:vAlign w:val="center"/>
          </w:tcPr>
          <w:p w14:paraId="368C1EE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东进水库</w:t>
            </w:r>
          </w:p>
          <w:p w14:paraId="388A8D1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（市考断面）</w:t>
            </w:r>
          </w:p>
        </w:tc>
        <w:tc>
          <w:tcPr>
            <w:tcW w:w="629" w:type="pct"/>
            <w:vAlign w:val="center"/>
          </w:tcPr>
          <w:p w14:paraId="36545B6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2021</w:t>
            </w:r>
          </w:p>
        </w:tc>
        <w:tc>
          <w:tcPr>
            <w:tcW w:w="587" w:type="pct"/>
            <w:vAlign w:val="center"/>
          </w:tcPr>
          <w:p w14:paraId="5D43CF1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3.25</w:t>
            </w:r>
          </w:p>
        </w:tc>
        <w:tc>
          <w:tcPr>
            <w:tcW w:w="381" w:type="pct"/>
            <w:vAlign w:val="center"/>
          </w:tcPr>
          <w:p w14:paraId="0D6CA08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0.07</w:t>
            </w:r>
          </w:p>
        </w:tc>
        <w:tc>
          <w:tcPr>
            <w:tcW w:w="381" w:type="pct"/>
            <w:vAlign w:val="center"/>
          </w:tcPr>
          <w:p w14:paraId="1B57994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0AA0667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468831C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71EBA3B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77F4BBA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02D018F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p>
        </w:tc>
      </w:tr>
      <w:tr w14:paraId="2C7A6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78BFB0AA">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6CE960BB">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5030E81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2022</w:t>
            </w:r>
          </w:p>
        </w:tc>
        <w:tc>
          <w:tcPr>
            <w:tcW w:w="587" w:type="pct"/>
            <w:vAlign w:val="center"/>
          </w:tcPr>
          <w:p w14:paraId="7F445B1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2.75</w:t>
            </w:r>
          </w:p>
        </w:tc>
        <w:tc>
          <w:tcPr>
            <w:tcW w:w="381" w:type="pct"/>
            <w:vAlign w:val="center"/>
          </w:tcPr>
          <w:p w14:paraId="7C67B66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0.14</w:t>
            </w:r>
          </w:p>
        </w:tc>
        <w:tc>
          <w:tcPr>
            <w:tcW w:w="381" w:type="pct"/>
            <w:vAlign w:val="center"/>
          </w:tcPr>
          <w:p w14:paraId="31CCA17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125A762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33733A3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668D227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4F707BA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2943E37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p>
        </w:tc>
      </w:tr>
      <w:tr w14:paraId="2B5AB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449" w:type="pct"/>
            <w:vMerge w:val="continue"/>
            <w:vAlign w:val="center"/>
          </w:tcPr>
          <w:p w14:paraId="6F147EFB">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00584797">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55BF2E9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2023</w:t>
            </w:r>
          </w:p>
        </w:tc>
        <w:tc>
          <w:tcPr>
            <w:tcW w:w="587" w:type="pct"/>
            <w:vAlign w:val="center"/>
          </w:tcPr>
          <w:p w14:paraId="226C372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2.72</w:t>
            </w:r>
          </w:p>
        </w:tc>
        <w:tc>
          <w:tcPr>
            <w:tcW w:w="381" w:type="pct"/>
            <w:vAlign w:val="center"/>
          </w:tcPr>
          <w:p w14:paraId="2C8D57B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0.07</w:t>
            </w:r>
          </w:p>
        </w:tc>
        <w:tc>
          <w:tcPr>
            <w:tcW w:w="381" w:type="pct"/>
            <w:vAlign w:val="center"/>
          </w:tcPr>
          <w:p w14:paraId="456A10C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0.01</w:t>
            </w:r>
          </w:p>
        </w:tc>
        <w:tc>
          <w:tcPr>
            <w:tcW w:w="381" w:type="pct"/>
            <w:vAlign w:val="center"/>
          </w:tcPr>
          <w:p w14:paraId="1113206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25CDDA8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6545CDE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41F8F4B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06D16D4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p>
        </w:tc>
      </w:tr>
      <w:tr w14:paraId="790BF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449" w:type="pct"/>
            <w:vMerge w:val="continue"/>
            <w:vAlign w:val="center"/>
          </w:tcPr>
          <w:p w14:paraId="52D41A23">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2DFB81A4">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24A92AA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2024</w:t>
            </w:r>
          </w:p>
        </w:tc>
        <w:tc>
          <w:tcPr>
            <w:tcW w:w="587" w:type="pct"/>
            <w:vAlign w:val="center"/>
          </w:tcPr>
          <w:p w14:paraId="08D5F36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2.90</w:t>
            </w:r>
          </w:p>
        </w:tc>
        <w:tc>
          <w:tcPr>
            <w:tcW w:w="381" w:type="pct"/>
            <w:vAlign w:val="center"/>
          </w:tcPr>
          <w:p w14:paraId="12E6983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0.06</w:t>
            </w:r>
          </w:p>
        </w:tc>
        <w:tc>
          <w:tcPr>
            <w:tcW w:w="381" w:type="pct"/>
            <w:vAlign w:val="center"/>
          </w:tcPr>
          <w:p w14:paraId="336B71B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3BF6689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77179DB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600AFB3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2053E5D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4DA61F4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p>
        </w:tc>
      </w:tr>
      <w:tr w14:paraId="6788D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restart"/>
            <w:vAlign w:val="center"/>
          </w:tcPr>
          <w:p w14:paraId="5A7F475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海底水库</w:t>
            </w:r>
          </w:p>
        </w:tc>
        <w:tc>
          <w:tcPr>
            <w:tcW w:w="591" w:type="pct"/>
            <w:vMerge w:val="restart"/>
            <w:vAlign w:val="center"/>
          </w:tcPr>
          <w:p w14:paraId="5FDFFED0">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海底水库</w:t>
            </w:r>
          </w:p>
          <w:p w14:paraId="2F3F4C3A">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（市考断面）</w:t>
            </w:r>
          </w:p>
        </w:tc>
        <w:tc>
          <w:tcPr>
            <w:tcW w:w="629" w:type="pct"/>
            <w:vAlign w:val="center"/>
          </w:tcPr>
          <w:p w14:paraId="2A5C1EA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2021</w:t>
            </w:r>
          </w:p>
        </w:tc>
        <w:tc>
          <w:tcPr>
            <w:tcW w:w="587" w:type="pct"/>
            <w:vAlign w:val="center"/>
          </w:tcPr>
          <w:p w14:paraId="2B11588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2.98</w:t>
            </w:r>
          </w:p>
        </w:tc>
        <w:tc>
          <w:tcPr>
            <w:tcW w:w="381" w:type="pct"/>
            <w:vAlign w:val="center"/>
          </w:tcPr>
          <w:p w14:paraId="537E9ED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0.11</w:t>
            </w:r>
          </w:p>
        </w:tc>
        <w:tc>
          <w:tcPr>
            <w:tcW w:w="381" w:type="pct"/>
            <w:vAlign w:val="center"/>
          </w:tcPr>
          <w:p w14:paraId="3BA08FD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19BB475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40AC570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2E92940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4844F7F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18EA173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p>
        </w:tc>
      </w:tr>
      <w:tr w14:paraId="13DF2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06A62CBB">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300EBD21">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407A617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2022</w:t>
            </w:r>
          </w:p>
        </w:tc>
        <w:tc>
          <w:tcPr>
            <w:tcW w:w="587" w:type="pct"/>
            <w:vAlign w:val="center"/>
          </w:tcPr>
          <w:p w14:paraId="31FB1C0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2.87</w:t>
            </w:r>
          </w:p>
        </w:tc>
        <w:tc>
          <w:tcPr>
            <w:tcW w:w="381" w:type="pct"/>
            <w:vAlign w:val="center"/>
          </w:tcPr>
          <w:p w14:paraId="0970138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0.16</w:t>
            </w:r>
          </w:p>
        </w:tc>
        <w:tc>
          <w:tcPr>
            <w:tcW w:w="381" w:type="pct"/>
            <w:vAlign w:val="center"/>
          </w:tcPr>
          <w:p w14:paraId="2BAA4F6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3FB5EE9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418E5F6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0DEF091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263CE8A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09B585E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p>
        </w:tc>
      </w:tr>
      <w:tr w14:paraId="7C421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73E2BE34">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5CA7BE22">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2A36184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2023</w:t>
            </w:r>
          </w:p>
        </w:tc>
        <w:tc>
          <w:tcPr>
            <w:tcW w:w="587" w:type="pct"/>
            <w:vAlign w:val="center"/>
          </w:tcPr>
          <w:p w14:paraId="784D8A1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2.48</w:t>
            </w:r>
          </w:p>
        </w:tc>
        <w:tc>
          <w:tcPr>
            <w:tcW w:w="381" w:type="pct"/>
            <w:vAlign w:val="center"/>
          </w:tcPr>
          <w:p w14:paraId="51B8A18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0.09</w:t>
            </w:r>
          </w:p>
        </w:tc>
        <w:tc>
          <w:tcPr>
            <w:tcW w:w="381" w:type="pct"/>
            <w:vAlign w:val="center"/>
          </w:tcPr>
          <w:p w14:paraId="331A736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0.01</w:t>
            </w:r>
          </w:p>
        </w:tc>
        <w:tc>
          <w:tcPr>
            <w:tcW w:w="381" w:type="pct"/>
            <w:vAlign w:val="center"/>
          </w:tcPr>
          <w:p w14:paraId="18CA978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2F22FC3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6C32A75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6E4A9AE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3F24A7B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p>
        </w:tc>
      </w:tr>
      <w:tr w14:paraId="21F08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0EA65F40">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1FA0D91E">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78B6169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2024</w:t>
            </w:r>
          </w:p>
        </w:tc>
        <w:tc>
          <w:tcPr>
            <w:tcW w:w="587" w:type="pct"/>
            <w:vAlign w:val="center"/>
          </w:tcPr>
          <w:p w14:paraId="7C8D454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2.10</w:t>
            </w:r>
          </w:p>
        </w:tc>
        <w:tc>
          <w:tcPr>
            <w:tcW w:w="381" w:type="pct"/>
            <w:vAlign w:val="center"/>
          </w:tcPr>
          <w:p w14:paraId="52A82F2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0.09</w:t>
            </w:r>
          </w:p>
        </w:tc>
        <w:tc>
          <w:tcPr>
            <w:tcW w:w="381" w:type="pct"/>
            <w:vAlign w:val="center"/>
          </w:tcPr>
          <w:p w14:paraId="1924D99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35BC05B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093510F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53D9478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519AA1F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3443A3D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p>
        </w:tc>
      </w:tr>
      <w:tr w14:paraId="127E2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restart"/>
            <w:vAlign w:val="center"/>
          </w:tcPr>
          <w:p w14:paraId="2270982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向阳水库</w:t>
            </w:r>
          </w:p>
        </w:tc>
        <w:tc>
          <w:tcPr>
            <w:tcW w:w="591" w:type="pct"/>
            <w:vMerge w:val="restart"/>
            <w:vAlign w:val="center"/>
          </w:tcPr>
          <w:p w14:paraId="548AF1E7">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向阳水库</w:t>
            </w:r>
          </w:p>
          <w:p w14:paraId="716F18E9">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（市考断面）</w:t>
            </w:r>
          </w:p>
        </w:tc>
        <w:tc>
          <w:tcPr>
            <w:tcW w:w="629" w:type="pct"/>
            <w:vAlign w:val="center"/>
          </w:tcPr>
          <w:p w14:paraId="4E1B955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2021</w:t>
            </w:r>
          </w:p>
        </w:tc>
        <w:tc>
          <w:tcPr>
            <w:tcW w:w="587" w:type="pct"/>
            <w:vAlign w:val="center"/>
          </w:tcPr>
          <w:p w14:paraId="133DC7D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4.10</w:t>
            </w:r>
          </w:p>
        </w:tc>
        <w:tc>
          <w:tcPr>
            <w:tcW w:w="381" w:type="pct"/>
            <w:vAlign w:val="center"/>
          </w:tcPr>
          <w:p w14:paraId="442909C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0.15</w:t>
            </w:r>
          </w:p>
        </w:tc>
        <w:tc>
          <w:tcPr>
            <w:tcW w:w="381" w:type="pct"/>
            <w:vAlign w:val="center"/>
          </w:tcPr>
          <w:p w14:paraId="7569F73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0.03</w:t>
            </w:r>
          </w:p>
        </w:tc>
        <w:tc>
          <w:tcPr>
            <w:tcW w:w="381" w:type="pct"/>
            <w:vAlign w:val="center"/>
          </w:tcPr>
          <w:p w14:paraId="7D3E72A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5FC0E01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0562669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2B078A1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5B48CA1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p>
        </w:tc>
      </w:tr>
      <w:tr w14:paraId="600D7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0BC71F95">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71135684">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0DEAF96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2022</w:t>
            </w:r>
          </w:p>
        </w:tc>
        <w:tc>
          <w:tcPr>
            <w:tcW w:w="587" w:type="pct"/>
            <w:vAlign w:val="center"/>
          </w:tcPr>
          <w:p w14:paraId="0A6F544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4.23</w:t>
            </w:r>
          </w:p>
        </w:tc>
        <w:tc>
          <w:tcPr>
            <w:tcW w:w="381" w:type="pct"/>
            <w:vAlign w:val="center"/>
          </w:tcPr>
          <w:p w14:paraId="6C0078B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0.29</w:t>
            </w:r>
          </w:p>
        </w:tc>
        <w:tc>
          <w:tcPr>
            <w:tcW w:w="381" w:type="pct"/>
            <w:vAlign w:val="center"/>
          </w:tcPr>
          <w:p w14:paraId="6924C1C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0.03</w:t>
            </w:r>
          </w:p>
        </w:tc>
        <w:tc>
          <w:tcPr>
            <w:tcW w:w="381" w:type="pct"/>
            <w:vAlign w:val="center"/>
          </w:tcPr>
          <w:p w14:paraId="422BB8E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2261512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0A7434B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2716421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1BF34E3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p>
        </w:tc>
      </w:tr>
      <w:tr w14:paraId="1F3F8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449" w:type="pct"/>
            <w:vMerge w:val="continue"/>
            <w:vAlign w:val="center"/>
          </w:tcPr>
          <w:p w14:paraId="7F783AD3">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4275B520">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38B26BD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2023</w:t>
            </w:r>
          </w:p>
        </w:tc>
        <w:tc>
          <w:tcPr>
            <w:tcW w:w="587" w:type="pct"/>
            <w:vAlign w:val="center"/>
          </w:tcPr>
          <w:p w14:paraId="2FE0AB9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4.08</w:t>
            </w:r>
          </w:p>
        </w:tc>
        <w:tc>
          <w:tcPr>
            <w:tcW w:w="381" w:type="pct"/>
            <w:vAlign w:val="center"/>
          </w:tcPr>
          <w:p w14:paraId="5923A36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0.06</w:t>
            </w:r>
          </w:p>
        </w:tc>
        <w:tc>
          <w:tcPr>
            <w:tcW w:w="381" w:type="pct"/>
            <w:vAlign w:val="center"/>
          </w:tcPr>
          <w:p w14:paraId="4741C28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40D0696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1669067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5628C4F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7519F0A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7F313EB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p>
        </w:tc>
      </w:tr>
      <w:tr w14:paraId="18B7F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449" w:type="pct"/>
            <w:vMerge w:val="continue"/>
            <w:vAlign w:val="center"/>
          </w:tcPr>
          <w:p w14:paraId="632E2F08">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7DCF3027">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107737B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2024</w:t>
            </w:r>
          </w:p>
        </w:tc>
        <w:tc>
          <w:tcPr>
            <w:tcW w:w="587" w:type="pct"/>
            <w:vAlign w:val="center"/>
          </w:tcPr>
          <w:p w14:paraId="48A212F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4.10</w:t>
            </w:r>
          </w:p>
        </w:tc>
        <w:tc>
          <w:tcPr>
            <w:tcW w:w="381" w:type="pct"/>
            <w:vAlign w:val="center"/>
          </w:tcPr>
          <w:p w14:paraId="0CBE8E9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0.12</w:t>
            </w:r>
          </w:p>
        </w:tc>
        <w:tc>
          <w:tcPr>
            <w:tcW w:w="381" w:type="pct"/>
            <w:vAlign w:val="center"/>
          </w:tcPr>
          <w:p w14:paraId="0571BA5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7706298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42748B1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0C08EA3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4D0E194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30ED3FD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p>
        </w:tc>
      </w:tr>
      <w:tr w14:paraId="05F89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restart"/>
            <w:vAlign w:val="center"/>
          </w:tcPr>
          <w:p w14:paraId="649F9B4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瓦沟水库</w:t>
            </w:r>
          </w:p>
        </w:tc>
        <w:tc>
          <w:tcPr>
            <w:tcW w:w="591" w:type="pct"/>
            <w:vMerge w:val="restart"/>
            <w:vAlign w:val="center"/>
          </w:tcPr>
          <w:p w14:paraId="5A14FD8F">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瓦沟水库</w:t>
            </w:r>
          </w:p>
          <w:p w14:paraId="7250401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（市考断面）</w:t>
            </w:r>
          </w:p>
        </w:tc>
        <w:tc>
          <w:tcPr>
            <w:tcW w:w="629" w:type="pct"/>
            <w:vAlign w:val="center"/>
          </w:tcPr>
          <w:p w14:paraId="0BB6ECA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2021</w:t>
            </w:r>
          </w:p>
        </w:tc>
        <w:tc>
          <w:tcPr>
            <w:tcW w:w="587" w:type="pct"/>
            <w:shd w:val="clear" w:color="auto" w:fill="E7E6E6" w:themeFill="background2"/>
            <w:vAlign w:val="center"/>
          </w:tcPr>
          <w:p w14:paraId="03A25F5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b/>
                <w:bCs/>
                <w:color w:val="000000"/>
                <w:kern w:val="0"/>
                <w:sz w:val="21"/>
                <w:szCs w:val="21"/>
                <w14:ligatures w14:val="none"/>
              </w:rPr>
              <w:t>6.35</w:t>
            </w:r>
          </w:p>
        </w:tc>
        <w:tc>
          <w:tcPr>
            <w:tcW w:w="381" w:type="pct"/>
            <w:vAlign w:val="center"/>
          </w:tcPr>
          <w:p w14:paraId="072FA8A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0.55</w:t>
            </w:r>
          </w:p>
        </w:tc>
        <w:tc>
          <w:tcPr>
            <w:tcW w:w="381" w:type="pct"/>
            <w:vAlign w:val="center"/>
          </w:tcPr>
          <w:p w14:paraId="4A65DCA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0.05</w:t>
            </w:r>
          </w:p>
        </w:tc>
        <w:tc>
          <w:tcPr>
            <w:tcW w:w="381" w:type="pct"/>
            <w:vAlign w:val="center"/>
          </w:tcPr>
          <w:p w14:paraId="40CF695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7008BA3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19DCD61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480E82A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shd w:val="clear" w:color="auto" w:fill="E7E6E6" w:themeFill="background2"/>
            <w:vAlign w:val="center"/>
          </w:tcPr>
          <w:p w14:paraId="6FB821E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b/>
                <w:bCs/>
                <w:color w:val="000000"/>
                <w:kern w:val="0"/>
                <w:sz w:val="21"/>
                <w:szCs w:val="21"/>
                <w14:ligatures w14:val="none"/>
              </w:rPr>
              <w:t>Ⅳ</w:t>
            </w:r>
          </w:p>
        </w:tc>
      </w:tr>
      <w:tr w14:paraId="7DD0C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449" w:type="pct"/>
            <w:vMerge w:val="continue"/>
            <w:vAlign w:val="center"/>
          </w:tcPr>
          <w:p w14:paraId="2CF844B4">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4B7068BC">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326EC8B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2022</w:t>
            </w:r>
          </w:p>
        </w:tc>
        <w:tc>
          <w:tcPr>
            <w:tcW w:w="587" w:type="pct"/>
            <w:shd w:val="clear" w:color="auto" w:fill="E7E6E6" w:themeFill="background2"/>
            <w:vAlign w:val="center"/>
          </w:tcPr>
          <w:p w14:paraId="5F17EFB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b/>
                <w:bCs/>
                <w:color w:val="000000"/>
                <w:kern w:val="0"/>
                <w:sz w:val="21"/>
                <w:szCs w:val="21"/>
                <w14:ligatures w14:val="none"/>
              </w:rPr>
              <w:t>6.15</w:t>
            </w:r>
          </w:p>
        </w:tc>
        <w:tc>
          <w:tcPr>
            <w:tcW w:w="381" w:type="pct"/>
            <w:vAlign w:val="center"/>
          </w:tcPr>
          <w:p w14:paraId="3453753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0.23</w:t>
            </w:r>
          </w:p>
        </w:tc>
        <w:tc>
          <w:tcPr>
            <w:tcW w:w="381" w:type="pct"/>
            <w:vAlign w:val="center"/>
          </w:tcPr>
          <w:p w14:paraId="00C50BB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0.05</w:t>
            </w:r>
          </w:p>
        </w:tc>
        <w:tc>
          <w:tcPr>
            <w:tcW w:w="381" w:type="pct"/>
            <w:vAlign w:val="center"/>
          </w:tcPr>
          <w:p w14:paraId="225E1BB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0F59AE2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7E7A9A0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40747CF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shd w:val="clear" w:color="auto" w:fill="E7E6E6" w:themeFill="background2"/>
            <w:vAlign w:val="center"/>
          </w:tcPr>
          <w:p w14:paraId="4FEACD3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b/>
                <w:bCs/>
                <w:color w:val="000000"/>
                <w:kern w:val="0"/>
                <w:sz w:val="21"/>
                <w:szCs w:val="21"/>
                <w14:ligatures w14:val="none"/>
              </w:rPr>
              <w:t>Ⅳ</w:t>
            </w:r>
          </w:p>
        </w:tc>
      </w:tr>
      <w:tr w14:paraId="72FA7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4DAC5FD6">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68E56EE1">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44DB9B4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2023</w:t>
            </w:r>
          </w:p>
        </w:tc>
        <w:tc>
          <w:tcPr>
            <w:tcW w:w="587" w:type="pct"/>
            <w:vAlign w:val="center"/>
          </w:tcPr>
          <w:p w14:paraId="37E1086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4.85</w:t>
            </w:r>
          </w:p>
        </w:tc>
        <w:tc>
          <w:tcPr>
            <w:tcW w:w="381" w:type="pct"/>
            <w:vAlign w:val="center"/>
          </w:tcPr>
          <w:p w14:paraId="4F0D0D5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0.22</w:t>
            </w:r>
          </w:p>
        </w:tc>
        <w:tc>
          <w:tcPr>
            <w:tcW w:w="381" w:type="pct"/>
            <w:vAlign w:val="center"/>
          </w:tcPr>
          <w:p w14:paraId="42C4E6D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0.03</w:t>
            </w:r>
          </w:p>
        </w:tc>
        <w:tc>
          <w:tcPr>
            <w:tcW w:w="381" w:type="pct"/>
            <w:vAlign w:val="center"/>
          </w:tcPr>
          <w:p w14:paraId="16D7CC9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6FCFE56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15A0EE5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59E39F5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0C63FD5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p>
        </w:tc>
      </w:tr>
      <w:tr w14:paraId="044D8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0DFFD329">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2A54722F">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04AD47F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2024</w:t>
            </w:r>
          </w:p>
        </w:tc>
        <w:tc>
          <w:tcPr>
            <w:tcW w:w="587" w:type="pct"/>
            <w:vAlign w:val="center"/>
          </w:tcPr>
          <w:p w14:paraId="06ADE4B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5.20</w:t>
            </w:r>
          </w:p>
        </w:tc>
        <w:tc>
          <w:tcPr>
            <w:tcW w:w="381" w:type="pct"/>
            <w:vAlign w:val="center"/>
          </w:tcPr>
          <w:p w14:paraId="582BCCC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0.15</w:t>
            </w:r>
          </w:p>
        </w:tc>
        <w:tc>
          <w:tcPr>
            <w:tcW w:w="381" w:type="pct"/>
            <w:vAlign w:val="center"/>
          </w:tcPr>
          <w:p w14:paraId="235B735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0.03</w:t>
            </w:r>
          </w:p>
        </w:tc>
        <w:tc>
          <w:tcPr>
            <w:tcW w:w="381" w:type="pct"/>
            <w:vAlign w:val="center"/>
          </w:tcPr>
          <w:p w14:paraId="0663A46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37A78D5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31E60EB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61D00AC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05395A6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p>
        </w:tc>
      </w:tr>
      <w:tr w14:paraId="013C8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restart"/>
            <w:vAlign w:val="center"/>
          </w:tcPr>
          <w:p w14:paraId="2CE9713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新浮山水库</w:t>
            </w:r>
          </w:p>
        </w:tc>
        <w:tc>
          <w:tcPr>
            <w:tcW w:w="591" w:type="pct"/>
            <w:vMerge w:val="restart"/>
            <w:vAlign w:val="center"/>
          </w:tcPr>
          <w:p w14:paraId="12AA2EA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新浮山水库</w:t>
            </w:r>
          </w:p>
          <w:p w14:paraId="25CD131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（市考断面）</w:t>
            </w:r>
          </w:p>
        </w:tc>
        <w:tc>
          <w:tcPr>
            <w:tcW w:w="629" w:type="pct"/>
            <w:vAlign w:val="center"/>
          </w:tcPr>
          <w:p w14:paraId="476313D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2021</w:t>
            </w:r>
          </w:p>
        </w:tc>
        <w:tc>
          <w:tcPr>
            <w:tcW w:w="587" w:type="pct"/>
            <w:vAlign w:val="center"/>
          </w:tcPr>
          <w:p w14:paraId="3EFC931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3.88</w:t>
            </w:r>
          </w:p>
        </w:tc>
        <w:tc>
          <w:tcPr>
            <w:tcW w:w="381" w:type="pct"/>
            <w:vAlign w:val="center"/>
          </w:tcPr>
          <w:p w14:paraId="7AA4BD5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0.10</w:t>
            </w:r>
          </w:p>
        </w:tc>
        <w:tc>
          <w:tcPr>
            <w:tcW w:w="381" w:type="pct"/>
            <w:vAlign w:val="center"/>
          </w:tcPr>
          <w:p w14:paraId="1D008B7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0.03</w:t>
            </w:r>
          </w:p>
        </w:tc>
        <w:tc>
          <w:tcPr>
            <w:tcW w:w="381" w:type="pct"/>
            <w:vAlign w:val="center"/>
          </w:tcPr>
          <w:p w14:paraId="38F364E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6C735B8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208BCAF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2DF6867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6590DB5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p>
        </w:tc>
      </w:tr>
      <w:tr w14:paraId="302DD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0AFCE946">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238DCDF7">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1223502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2022</w:t>
            </w:r>
          </w:p>
        </w:tc>
        <w:tc>
          <w:tcPr>
            <w:tcW w:w="587" w:type="pct"/>
            <w:vAlign w:val="center"/>
          </w:tcPr>
          <w:p w14:paraId="6FC72BC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4.18</w:t>
            </w:r>
          </w:p>
        </w:tc>
        <w:tc>
          <w:tcPr>
            <w:tcW w:w="381" w:type="pct"/>
            <w:vAlign w:val="center"/>
          </w:tcPr>
          <w:p w14:paraId="46E6F1D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0.24</w:t>
            </w:r>
          </w:p>
        </w:tc>
        <w:tc>
          <w:tcPr>
            <w:tcW w:w="381" w:type="pct"/>
            <w:vAlign w:val="center"/>
          </w:tcPr>
          <w:p w14:paraId="24D9332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0.03</w:t>
            </w:r>
          </w:p>
        </w:tc>
        <w:tc>
          <w:tcPr>
            <w:tcW w:w="381" w:type="pct"/>
            <w:vAlign w:val="center"/>
          </w:tcPr>
          <w:p w14:paraId="3B8C3BC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0DDE2E9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1FAF176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1B21802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6F3DC7F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p>
        </w:tc>
      </w:tr>
      <w:tr w14:paraId="42AAA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6ADFFF3A">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2E4F5699">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34B9EF3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2023</w:t>
            </w:r>
          </w:p>
        </w:tc>
        <w:tc>
          <w:tcPr>
            <w:tcW w:w="587" w:type="pct"/>
            <w:vAlign w:val="center"/>
          </w:tcPr>
          <w:p w14:paraId="5C1BF82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4.19</w:t>
            </w:r>
          </w:p>
        </w:tc>
        <w:tc>
          <w:tcPr>
            <w:tcW w:w="381" w:type="pct"/>
            <w:vAlign w:val="center"/>
          </w:tcPr>
          <w:p w14:paraId="380D1B0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0.13</w:t>
            </w:r>
          </w:p>
        </w:tc>
        <w:tc>
          <w:tcPr>
            <w:tcW w:w="381" w:type="pct"/>
            <w:vAlign w:val="center"/>
          </w:tcPr>
          <w:p w14:paraId="69D2FAB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5DE82AA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2EB8EDA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0783221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4CBF020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56BD993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p>
        </w:tc>
      </w:tr>
      <w:tr w14:paraId="24E3E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9" w:type="pct"/>
            <w:vMerge w:val="continue"/>
            <w:vAlign w:val="center"/>
          </w:tcPr>
          <w:p w14:paraId="28D61E51">
            <w:pPr>
              <w:widowControl/>
              <w:spacing w:line="240" w:lineRule="auto"/>
              <w:ind w:firstLine="0" w:firstLineChars="0"/>
              <w:jc w:val="left"/>
              <w:rPr>
                <w:rFonts w:cs="Times New Roman"/>
                <w:color w:val="000000"/>
                <w:kern w:val="0"/>
                <w:sz w:val="21"/>
                <w:szCs w:val="21"/>
                <w14:ligatures w14:val="none"/>
              </w:rPr>
            </w:pPr>
          </w:p>
        </w:tc>
        <w:tc>
          <w:tcPr>
            <w:tcW w:w="591" w:type="pct"/>
            <w:vMerge w:val="continue"/>
            <w:vAlign w:val="center"/>
          </w:tcPr>
          <w:p w14:paraId="3955DA0D">
            <w:pPr>
              <w:widowControl/>
              <w:spacing w:line="240" w:lineRule="auto"/>
              <w:ind w:firstLine="0" w:firstLineChars="0"/>
              <w:jc w:val="left"/>
              <w:rPr>
                <w:rFonts w:cs="Times New Roman"/>
                <w:color w:val="000000"/>
                <w:kern w:val="0"/>
                <w:sz w:val="21"/>
                <w:szCs w:val="21"/>
                <w14:ligatures w14:val="none"/>
              </w:rPr>
            </w:pPr>
          </w:p>
        </w:tc>
        <w:tc>
          <w:tcPr>
            <w:tcW w:w="629" w:type="pct"/>
            <w:vAlign w:val="center"/>
          </w:tcPr>
          <w:p w14:paraId="2D9AE94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2024</w:t>
            </w:r>
          </w:p>
        </w:tc>
        <w:tc>
          <w:tcPr>
            <w:tcW w:w="587" w:type="pct"/>
            <w:vAlign w:val="center"/>
          </w:tcPr>
          <w:p w14:paraId="2AF450B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3.80</w:t>
            </w:r>
          </w:p>
        </w:tc>
        <w:tc>
          <w:tcPr>
            <w:tcW w:w="381" w:type="pct"/>
            <w:vAlign w:val="center"/>
          </w:tcPr>
          <w:p w14:paraId="79C942F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0.10</w:t>
            </w:r>
          </w:p>
        </w:tc>
        <w:tc>
          <w:tcPr>
            <w:tcW w:w="381" w:type="pct"/>
            <w:vAlign w:val="center"/>
          </w:tcPr>
          <w:p w14:paraId="391BBAD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381" w:type="pct"/>
            <w:vAlign w:val="center"/>
          </w:tcPr>
          <w:p w14:paraId="77DB257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2D3926E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0495B89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43" w:type="pct"/>
            <w:vAlign w:val="center"/>
          </w:tcPr>
          <w:p w14:paraId="7ED768C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1" w:type="pct"/>
            <w:vAlign w:val="center"/>
          </w:tcPr>
          <w:p w14:paraId="28DC423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p>
        </w:tc>
      </w:tr>
      <w:tr w14:paraId="744FC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041" w:type="pct"/>
            <w:gridSpan w:val="2"/>
            <w:vMerge w:val="restart"/>
            <w:vAlign w:val="center"/>
          </w:tcPr>
          <w:p w14:paraId="56A634C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标准值</w:t>
            </w:r>
          </w:p>
        </w:tc>
        <w:tc>
          <w:tcPr>
            <w:tcW w:w="629" w:type="pct"/>
            <w:vAlign w:val="center"/>
          </w:tcPr>
          <w:p w14:paraId="414307C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Ⅱ</w:t>
            </w:r>
            <w:r>
              <w:rPr>
                <w:rFonts w:cs="Times New Roman"/>
                <w:color w:val="000000"/>
                <w:kern w:val="0"/>
                <w:sz w:val="21"/>
                <w:szCs w:val="21"/>
                <w14:ligatures w14:val="none"/>
              </w:rPr>
              <w:t>类水标准值</w:t>
            </w:r>
          </w:p>
        </w:tc>
        <w:tc>
          <w:tcPr>
            <w:tcW w:w="587" w:type="pct"/>
            <w:vAlign w:val="center"/>
          </w:tcPr>
          <w:p w14:paraId="438DA566">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w:t>
            </w:r>
            <w:r>
              <w:rPr>
                <w:rFonts w:eastAsia="等线" w:cs="Times New Roman"/>
                <w:color w:val="000000"/>
                <w:kern w:val="0"/>
                <w:sz w:val="21"/>
                <w:szCs w:val="21"/>
                <w14:ligatures w14:val="none"/>
              </w:rPr>
              <w:t>4</w:t>
            </w:r>
          </w:p>
        </w:tc>
        <w:tc>
          <w:tcPr>
            <w:tcW w:w="381" w:type="pct"/>
            <w:vAlign w:val="center"/>
          </w:tcPr>
          <w:p w14:paraId="2C0F0090">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w:t>
            </w:r>
            <w:r>
              <w:rPr>
                <w:rFonts w:eastAsia="等线" w:cs="Times New Roman"/>
                <w:color w:val="000000"/>
                <w:kern w:val="0"/>
                <w:sz w:val="21"/>
                <w:szCs w:val="21"/>
                <w14:ligatures w14:val="none"/>
              </w:rPr>
              <w:t>0.5</w:t>
            </w:r>
          </w:p>
        </w:tc>
        <w:tc>
          <w:tcPr>
            <w:tcW w:w="381" w:type="pct"/>
            <w:vAlign w:val="center"/>
          </w:tcPr>
          <w:p w14:paraId="56956B3A">
            <w:pPr>
              <w:widowControl/>
              <w:spacing w:line="240" w:lineRule="auto"/>
              <w:ind w:firstLine="0" w:firstLineChars="0"/>
              <w:jc w:val="center"/>
              <w:rPr>
                <w:rFonts w:cs="Times New Roman"/>
                <w:color w:val="000000"/>
                <w:kern w:val="0"/>
                <w:sz w:val="21"/>
                <w:szCs w:val="21"/>
                <w14:ligatures w14:val="none"/>
              </w:rPr>
            </w:pPr>
            <w:r>
              <w:rPr>
                <w:rFonts w:hint="eastAsia" w:eastAsia="等线" w:cs="Times New Roman"/>
                <w:color w:val="000000"/>
                <w:kern w:val="0"/>
                <w:sz w:val="21"/>
                <w:szCs w:val="21"/>
                <w14:ligatures w14:val="none"/>
              </w:rPr>
              <w:t>≤</w:t>
            </w:r>
            <w:r>
              <w:rPr>
                <w:rFonts w:cs="Times New Roman"/>
                <w:color w:val="000000"/>
                <w:kern w:val="0"/>
                <w:sz w:val="21"/>
                <w:szCs w:val="21"/>
                <w14:ligatures w14:val="none"/>
              </w:rPr>
              <w:t>0.025</w:t>
            </w:r>
          </w:p>
          <w:p w14:paraId="3D3F84E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（湖、库）</w:t>
            </w:r>
          </w:p>
        </w:tc>
        <w:tc>
          <w:tcPr>
            <w:tcW w:w="381" w:type="pct"/>
            <w:vAlign w:val="center"/>
          </w:tcPr>
          <w:p w14:paraId="48D9B2C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62ABA27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w:t>
            </w:r>
          </w:p>
        </w:tc>
        <w:tc>
          <w:tcPr>
            <w:tcW w:w="381" w:type="pct"/>
            <w:vAlign w:val="center"/>
          </w:tcPr>
          <w:p w14:paraId="6D841E25">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w:t>
            </w:r>
            <w:r>
              <w:rPr>
                <w:rFonts w:eastAsia="等线" w:cs="Times New Roman"/>
                <w:color w:val="000000"/>
                <w:kern w:val="0"/>
                <w:sz w:val="21"/>
                <w:szCs w:val="21"/>
                <w14:ligatures w14:val="none"/>
              </w:rPr>
              <w:t>6</w:t>
            </w:r>
          </w:p>
        </w:tc>
        <w:tc>
          <w:tcPr>
            <w:tcW w:w="443" w:type="pct"/>
            <w:vAlign w:val="center"/>
          </w:tcPr>
          <w:p w14:paraId="008561C3">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w:t>
            </w:r>
            <w:r>
              <w:rPr>
                <w:rFonts w:eastAsia="等线" w:cs="Times New Roman"/>
                <w:color w:val="000000"/>
                <w:kern w:val="0"/>
                <w:sz w:val="21"/>
                <w:szCs w:val="21"/>
                <w14:ligatures w14:val="none"/>
              </w:rPr>
              <w:t>2000</w:t>
            </w:r>
          </w:p>
        </w:tc>
        <w:tc>
          <w:tcPr>
            <w:tcW w:w="391" w:type="pct"/>
            <w:vAlign w:val="center"/>
          </w:tcPr>
          <w:p w14:paraId="1804341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r>
      <w:tr w14:paraId="0CC8F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041" w:type="pct"/>
            <w:gridSpan w:val="2"/>
            <w:vMerge w:val="continue"/>
            <w:vAlign w:val="center"/>
          </w:tcPr>
          <w:p w14:paraId="33A4663B">
            <w:pPr>
              <w:widowControl/>
              <w:spacing w:line="240" w:lineRule="auto"/>
              <w:ind w:firstLine="0" w:firstLineChars="0"/>
              <w:jc w:val="center"/>
              <w:rPr>
                <w:rFonts w:cs="Times New Roman"/>
                <w:color w:val="000000"/>
                <w:kern w:val="0"/>
                <w:sz w:val="21"/>
                <w:szCs w:val="21"/>
                <w14:ligatures w14:val="none"/>
              </w:rPr>
            </w:pPr>
          </w:p>
        </w:tc>
        <w:tc>
          <w:tcPr>
            <w:tcW w:w="629" w:type="pct"/>
            <w:vAlign w:val="center"/>
          </w:tcPr>
          <w:p w14:paraId="44F2ABA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r>
              <w:rPr>
                <w:rFonts w:cs="Times New Roman"/>
                <w:color w:val="000000"/>
                <w:kern w:val="0"/>
                <w:sz w:val="21"/>
                <w:szCs w:val="21"/>
                <w14:ligatures w14:val="none"/>
              </w:rPr>
              <w:t>类水标准值</w:t>
            </w:r>
          </w:p>
        </w:tc>
        <w:tc>
          <w:tcPr>
            <w:tcW w:w="587" w:type="pct"/>
            <w:vAlign w:val="center"/>
          </w:tcPr>
          <w:p w14:paraId="2CAF93FD">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w:t>
            </w:r>
            <w:r>
              <w:rPr>
                <w:rFonts w:eastAsia="等线" w:cs="Times New Roman"/>
                <w:color w:val="000000"/>
                <w:kern w:val="0"/>
                <w:sz w:val="21"/>
                <w:szCs w:val="21"/>
                <w14:ligatures w14:val="none"/>
              </w:rPr>
              <w:t>6</w:t>
            </w:r>
          </w:p>
        </w:tc>
        <w:tc>
          <w:tcPr>
            <w:tcW w:w="381" w:type="pct"/>
            <w:vAlign w:val="center"/>
          </w:tcPr>
          <w:p w14:paraId="66CD097B">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w:t>
            </w:r>
            <w:r>
              <w:rPr>
                <w:rFonts w:eastAsia="等线" w:cs="Times New Roman"/>
                <w:color w:val="000000"/>
                <w:kern w:val="0"/>
                <w:sz w:val="21"/>
                <w:szCs w:val="21"/>
                <w14:ligatures w14:val="none"/>
              </w:rPr>
              <w:t>1.0</w:t>
            </w:r>
          </w:p>
        </w:tc>
        <w:tc>
          <w:tcPr>
            <w:tcW w:w="381" w:type="pct"/>
            <w:vAlign w:val="center"/>
          </w:tcPr>
          <w:p w14:paraId="62F192D7">
            <w:pPr>
              <w:widowControl/>
              <w:spacing w:line="240" w:lineRule="auto"/>
              <w:ind w:firstLine="0" w:firstLineChars="0"/>
              <w:jc w:val="center"/>
              <w:rPr>
                <w:rFonts w:cs="Times New Roman"/>
                <w:color w:val="000000"/>
                <w:kern w:val="0"/>
                <w:sz w:val="21"/>
                <w:szCs w:val="21"/>
                <w14:ligatures w14:val="none"/>
              </w:rPr>
            </w:pPr>
            <w:r>
              <w:rPr>
                <w:rFonts w:hint="eastAsia" w:eastAsia="等线" w:cs="Times New Roman"/>
                <w:color w:val="000000"/>
                <w:kern w:val="0"/>
                <w:sz w:val="21"/>
                <w:szCs w:val="21"/>
                <w14:ligatures w14:val="none"/>
              </w:rPr>
              <w:t>≤</w:t>
            </w:r>
            <w:r>
              <w:rPr>
                <w:rFonts w:hint="eastAsia" w:cs="Times New Roman"/>
                <w:color w:val="000000"/>
                <w:kern w:val="0"/>
                <w:sz w:val="21"/>
                <w:szCs w:val="21"/>
                <w14:ligatures w14:val="none"/>
              </w:rPr>
              <w:t>0.</w:t>
            </w:r>
            <w:r>
              <w:rPr>
                <w:rFonts w:cs="Times New Roman"/>
                <w:color w:val="000000"/>
                <w:kern w:val="0"/>
                <w:sz w:val="21"/>
                <w:szCs w:val="21"/>
                <w14:ligatures w14:val="none"/>
              </w:rPr>
              <w:t>05</w:t>
            </w:r>
          </w:p>
          <w:p w14:paraId="689B362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（湖、库）</w:t>
            </w:r>
          </w:p>
        </w:tc>
        <w:tc>
          <w:tcPr>
            <w:tcW w:w="381" w:type="pct"/>
            <w:vAlign w:val="center"/>
          </w:tcPr>
          <w:p w14:paraId="2579F753">
            <w:pPr>
              <w:widowControl/>
              <w:spacing w:line="240" w:lineRule="auto"/>
              <w:ind w:firstLine="0" w:firstLineChars="0"/>
              <w:jc w:val="center"/>
              <w:rPr>
                <w:rFonts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5311ED9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w:t>
            </w:r>
          </w:p>
        </w:tc>
        <w:tc>
          <w:tcPr>
            <w:tcW w:w="381" w:type="pct"/>
            <w:vAlign w:val="center"/>
          </w:tcPr>
          <w:p w14:paraId="71D57E4B">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w:t>
            </w:r>
            <w:r>
              <w:rPr>
                <w:rFonts w:eastAsia="等线" w:cs="Times New Roman"/>
                <w:color w:val="000000"/>
                <w:kern w:val="0"/>
                <w:sz w:val="21"/>
                <w:szCs w:val="21"/>
                <w14:ligatures w14:val="none"/>
              </w:rPr>
              <w:t>5</w:t>
            </w:r>
          </w:p>
        </w:tc>
        <w:tc>
          <w:tcPr>
            <w:tcW w:w="443" w:type="pct"/>
            <w:vAlign w:val="center"/>
          </w:tcPr>
          <w:p w14:paraId="265AF06B">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w:t>
            </w:r>
            <w:r>
              <w:rPr>
                <w:rFonts w:eastAsia="等线" w:cs="Times New Roman"/>
                <w:color w:val="000000"/>
                <w:kern w:val="0"/>
                <w:sz w:val="21"/>
                <w:szCs w:val="21"/>
                <w14:ligatures w14:val="none"/>
              </w:rPr>
              <w:t>10000</w:t>
            </w:r>
          </w:p>
        </w:tc>
        <w:tc>
          <w:tcPr>
            <w:tcW w:w="391" w:type="pct"/>
            <w:vAlign w:val="center"/>
          </w:tcPr>
          <w:p w14:paraId="09C6056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r>
      <w:tr w14:paraId="2BEE7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041" w:type="pct"/>
            <w:gridSpan w:val="2"/>
            <w:vMerge w:val="continue"/>
            <w:vAlign w:val="center"/>
          </w:tcPr>
          <w:p w14:paraId="64FD3088">
            <w:pPr>
              <w:widowControl/>
              <w:spacing w:line="240" w:lineRule="auto"/>
              <w:ind w:firstLine="0" w:firstLineChars="0"/>
              <w:jc w:val="center"/>
              <w:rPr>
                <w:rFonts w:cs="Times New Roman"/>
                <w:color w:val="000000"/>
                <w:kern w:val="0"/>
                <w:sz w:val="21"/>
                <w:szCs w:val="21"/>
                <w14:ligatures w14:val="none"/>
              </w:rPr>
            </w:pPr>
          </w:p>
        </w:tc>
        <w:tc>
          <w:tcPr>
            <w:tcW w:w="629" w:type="pct"/>
            <w:vAlign w:val="center"/>
          </w:tcPr>
          <w:p w14:paraId="54A89ECF">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IV</w:t>
            </w:r>
            <w:r>
              <w:rPr>
                <w:rFonts w:cs="Times New Roman"/>
                <w:color w:val="000000"/>
                <w:kern w:val="0"/>
                <w:sz w:val="21"/>
                <w:szCs w:val="21"/>
                <w14:ligatures w14:val="none"/>
              </w:rPr>
              <w:t>类水标准值</w:t>
            </w:r>
          </w:p>
        </w:tc>
        <w:tc>
          <w:tcPr>
            <w:tcW w:w="587" w:type="pct"/>
            <w:vAlign w:val="center"/>
          </w:tcPr>
          <w:p w14:paraId="3B04F8DD">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≤10</w:t>
            </w:r>
          </w:p>
        </w:tc>
        <w:tc>
          <w:tcPr>
            <w:tcW w:w="381" w:type="pct"/>
            <w:vAlign w:val="center"/>
          </w:tcPr>
          <w:p w14:paraId="1E6AC55F">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≤1.5</w:t>
            </w:r>
          </w:p>
        </w:tc>
        <w:tc>
          <w:tcPr>
            <w:tcW w:w="381" w:type="pct"/>
            <w:vAlign w:val="center"/>
          </w:tcPr>
          <w:p w14:paraId="30CBA007">
            <w:pPr>
              <w:widowControl/>
              <w:spacing w:line="240" w:lineRule="auto"/>
              <w:ind w:firstLine="0" w:firstLineChars="0"/>
              <w:jc w:val="center"/>
              <w:rPr>
                <w:rFonts w:cs="Times New Roman"/>
                <w:color w:val="000000"/>
                <w:kern w:val="0"/>
                <w:sz w:val="21"/>
                <w:szCs w:val="21"/>
                <w14:ligatures w14:val="none"/>
              </w:rPr>
            </w:pPr>
            <w:r>
              <w:rPr>
                <w:rFonts w:hint="eastAsia" w:eastAsia="等线" w:cs="Times New Roman"/>
                <w:color w:val="000000"/>
                <w:kern w:val="0"/>
                <w:sz w:val="21"/>
                <w:szCs w:val="21"/>
                <w14:ligatures w14:val="none"/>
              </w:rPr>
              <w:t>≤</w:t>
            </w:r>
            <w:r>
              <w:rPr>
                <w:rFonts w:hint="eastAsia" w:cs="Times New Roman"/>
                <w:color w:val="000000"/>
                <w:kern w:val="0"/>
                <w:sz w:val="21"/>
                <w:szCs w:val="21"/>
                <w14:ligatures w14:val="none"/>
              </w:rPr>
              <w:t>0.1</w:t>
            </w:r>
            <w:r>
              <w:rPr>
                <w:rFonts w:cs="Times New Roman"/>
                <w:color w:val="000000"/>
                <w:kern w:val="0"/>
                <w:sz w:val="21"/>
                <w:szCs w:val="21"/>
                <w14:ligatures w14:val="none"/>
              </w:rPr>
              <w:t>（湖、库）</w:t>
            </w:r>
          </w:p>
        </w:tc>
        <w:tc>
          <w:tcPr>
            <w:tcW w:w="381" w:type="pct"/>
            <w:vAlign w:val="center"/>
          </w:tcPr>
          <w:p w14:paraId="2B9E8E5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81" w:type="pct"/>
            <w:vAlign w:val="center"/>
          </w:tcPr>
          <w:p w14:paraId="11C65EA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w:t>
            </w:r>
          </w:p>
        </w:tc>
        <w:tc>
          <w:tcPr>
            <w:tcW w:w="381" w:type="pct"/>
            <w:vAlign w:val="center"/>
          </w:tcPr>
          <w:p w14:paraId="05054808">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≥3</w:t>
            </w:r>
          </w:p>
        </w:tc>
        <w:tc>
          <w:tcPr>
            <w:tcW w:w="443" w:type="pct"/>
            <w:vAlign w:val="center"/>
          </w:tcPr>
          <w:p w14:paraId="23C4A7F7">
            <w:pPr>
              <w:widowControl/>
              <w:spacing w:line="240" w:lineRule="auto"/>
              <w:ind w:firstLine="0" w:firstLineChars="0"/>
              <w:jc w:val="center"/>
              <w:rPr>
                <w:rFonts w:eastAsia="等线" w:cs="Times New Roman"/>
                <w:color w:val="000000"/>
                <w:kern w:val="0"/>
                <w:sz w:val="21"/>
                <w:szCs w:val="21"/>
                <w14:ligatures w14:val="none"/>
              </w:rPr>
            </w:pPr>
            <w:r>
              <w:rPr>
                <w:rFonts w:hint="eastAsia" w:eastAsia="等线" w:cs="Times New Roman"/>
                <w:color w:val="000000"/>
                <w:kern w:val="0"/>
                <w:sz w:val="21"/>
                <w:szCs w:val="21"/>
                <w14:ligatures w14:val="none"/>
              </w:rPr>
              <w:t>≤20000</w:t>
            </w:r>
          </w:p>
        </w:tc>
        <w:tc>
          <w:tcPr>
            <w:tcW w:w="391" w:type="pct"/>
            <w:vAlign w:val="center"/>
          </w:tcPr>
          <w:p w14:paraId="4AFFE9E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r>
    </w:tbl>
    <w:p w14:paraId="4284A764">
      <w:pPr>
        <w:pStyle w:val="45"/>
        <w:outlineLvl w:val="9"/>
        <w:sectPr>
          <w:pgSz w:w="16838" w:h="11906" w:orient="landscape"/>
          <w:pgMar w:top="1800" w:right="1440" w:bottom="1800" w:left="1440" w:header="851" w:footer="992" w:gutter="0"/>
          <w:cols w:space="425" w:num="1"/>
          <w:docGrid w:type="lines" w:linePitch="312" w:charSpace="0"/>
        </w:sectPr>
      </w:pPr>
    </w:p>
    <w:p w14:paraId="6E9C050F">
      <w:pPr>
        <w:pStyle w:val="45"/>
        <w:outlineLvl w:val="9"/>
        <w:rPr>
          <w:rFonts w:cs="Times New Roman"/>
        </w:rPr>
      </w:pPr>
      <w:r>
        <w:drawing>
          <wp:inline distT="0" distB="0" distL="114300" distR="114300">
            <wp:extent cx="5476875" cy="2628900"/>
            <wp:effectExtent l="0" t="0" r="9525" b="0"/>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23"/>
                    <a:stretch>
                      <a:fillRect/>
                    </a:stretch>
                  </pic:blipFill>
                  <pic:spPr>
                    <a:xfrm>
                      <a:off x="0" y="0"/>
                      <a:ext cx="5476875" cy="2628900"/>
                    </a:xfrm>
                    <a:prstGeom prst="rect">
                      <a:avLst/>
                    </a:prstGeom>
                    <a:noFill/>
                    <a:ln>
                      <a:noFill/>
                    </a:ln>
                  </pic:spPr>
                </pic:pic>
              </a:graphicData>
            </a:graphic>
          </wp:inline>
        </w:drawing>
      </w:r>
    </w:p>
    <w:p w14:paraId="727B0F9A">
      <w:pPr>
        <w:pStyle w:val="45"/>
        <w:rPr>
          <w:rFonts w:cs="Times New Roman"/>
        </w:rPr>
      </w:pPr>
      <w:r>
        <w:rPr>
          <w:rFonts w:hint="eastAsia" w:cs="Times New Roman"/>
        </w:rPr>
        <w:t>图3.5-</w:t>
      </w:r>
      <w:r>
        <w:rPr>
          <w:rFonts w:cs="Times New Roman"/>
        </w:rPr>
        <w:t>1</w:t>
      </w:r>
      <w:r>
        <w:rPr>
          <w:rFonts w:hint="eastAsia" w:cs="Times New Roman"/>
        </w:rPr>
        <w:t xml:space="preserve"> </w:t>
      </w:r>
      <w:r>
        <w:rPr>
          <w:rFonts w:cs="Times New Roman"/>
        </w:rPr>
        <w:t xml:space="preserve"> </w:t>
      </w:r>
      <w:r>
        <w:rPr>
          <w:rFonts w:hint="eastAsia" w:cs="Times New Roman"/>
        </w:rPr>
        <w:t>20</w:t>
      </w:r>
      <w:r>
        <w:rPr>
          <w:rFonts w:cs="Times New Roman"/>
        </w:rPr>
        <w:t>21</w:t>
      </w:r>
      <w:r>
        <w:rPr>
          <w:rFonts w:hint="eastAsia" w:cs="Times New Roman"/>
        </w:rPr>
        <w:t>—20</w:t>
      </w:r>
      <w:r>
        <w:rPr>
          <w:rFonts w:cs="Times New Roman"/>
        </w:rPr>
        <w:t>2</w:t>
      </w:r>
      <w:r>
        <w:rPr>
          <w:rFonts w:hint="eastAsia" w:cs="Times New Roman"/>
        </w:rPr>
        <w:t>4年度假区涉及断面高锰酸盐指数监测数据（mg/L）</w:t>
      </w:r>
    </w:p>
    <w:p w14:paraId="76126A39">
      <w:pPr>
        <w:spacing w:line="240" w:lineRule="auto"/>
        <w:ind w:firstLine="0" w:firstLineChars="0"/>
        <w:jc w:val="center"/>
      </w:pPr>
      <w:r>
        <w:drawing>
          <wp:inline distT="0" distB="0" distL="114300" distR="114300">
            <wp:extent cx="5829300" cy="2743200"/>
            <wp:effectExtent l="0" t="0" r="0" b="0"/>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24"/>
                    <a:stretch>
                      <a:fillRect/>
                    </a:stretch>
                  </pic:blipFill>
                  <pic:spPr>
                    <a:xfrm>
                      <a:off x="0" y="0"/>
                      <a:ext cx="5829300" cy="2743200"/>
                    </a:xfrm>
                    <a:prstGeom prst="rect">
                      <a:avLst/>
                    </a:prstGeom>
                    <a:noFill/>
                    <a:ln>
                      <a:noFill/>
                    </a:ln>
                  </pic:spPr>
                </pic:pic>
              </a:graphicData>
            </a:graphic>
          </wp:inline>
        </w:drawing>
      </w:r>
    </w:p>
    <w:p w14:paraId="3B820079">
      <w:pPr>
        <w:pStyle w:val="45"/>
        <w:rPr>
          <w:rFonts w:cs="Times New Roman"/>
        </w:rPr>
      </w:pPr>
      <w:r>
        <w:rPr>
          <w:rFonts w:hint="eastAsia" w:cs="Times New Roman"/>
        </w:rPr>
        <w:t>图3.5-</w:t>
      </w:r>
      <w:r>
        <w:rPr>
          <w:rFonts w:cs="Times New Roman"/>
        </w:rPr>
        <w:t>2</w:t>
      </w:r>
      <w:r>
        <w:rPr>
          <w:rFonts w:hint="eastAsia" w:cs="Times New Roman"/>
        </w:rPr>
        <w:t xml:space="preserve"> </w:t>
      </w:r>
      <w:r>
        <w:rPr>
          <w:rFonts w:cs="Times New Roman"/>
        </w:rPr>
        <w:t xml:space="preserve"> </w:t>
      </w:r>
      <w:r>
        <w:rPr>
          <w:rFonts w:hint="eastAsia" w:cs="Times New Roman"/>
        </w:rPr>
        <w:t>20</w:t>
      </w:r>
      <w:r>
        <w:rPr>
          <w:rFonts w:cs="Times New Roman"/>
        </w:rPr>
        <w:t>21</w:t>
      </w:r>
      <w:r>
        <w:rPr>
          <w:rFonts w:hint="eastAsia" w:cs="Times New Roman"/>
        </w:rPr>
        <w:t>—20</w:t>
      </w:r>
      <w:r>
        <w:rPr>
          <w:rFonts w:cs="Times New Roman"/>
        </w:rPr>
        <w:t>2</w:t>
      </w:r>
      <w:r>
        <w:rPr>
          <w:rFonts w:hint="eastAsia" w:cs="Times New Roman"/>
        </w:rPr>
        <w:t>4年度假区涉及断面氨氮监测数据（mg/L）</w:t>
      </w:r>
    </w:p>
    <w:p w14:paraId="0558EDDD">
      <w:pPr>
        <w:spacing w:line="240" w:lineRule="auto"/>
        <w:ind w:firstLine="0" w:firstLineChars="0"/>
        <w:jc w:val="center"/>
      </w:pPr>
      <w:r>
        <w:drawing>
          <wp:inline distT="0" distB="0" distL="114300" distR="114300">
            <wp:extent cx="5343525" cy="2743200"/>
            <wp:effectExtent l="0" t="0" r="9525" b="0"/>
            <wp:docPr id="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pic:cNvPicPr>
                  </pic:nvPicPr>
                  <pic:blipFill>
                    <a:blip r:embed="rId25"/>
                    <a:stretch>
                      <a:fillRect/>
                    </a:stretch>
                  </pic:blipFill>
                  <pic:spPr>
                    <a:xfrm>
                      <a:off x="0" y="0"/>
                      <a:ext cx="5343525" cy="2743200"/>
                    </a:xfrm>
                    <a:prstGeom prst="rect">
                      <a:avLst/>
                    </a:prstGeom>
                    <a:noFill/>
                    <a:ln>
                      <a:noFill/>
                    </a:ln>
                  </pic:spPr>
                </pic:pic>
              </a:graphicData>
            </a:graphic>
          </wp:inline>
        </w:drawing>
      </w:r>
    </w:p>
    <w:p w14:paraId="3FA9EAD6">
      <w:pPr>
        <w:pStyle w:val="45"/>
        <w:rPr>
          <w:rFonts w:cs="Times New Roman"/>
        </w:rPr>
      </w:pPr>
      <w:r>
        <w:rPr>
          <w:rFonts w:hint="eastAsia" w:cs="Times New Roman"/>
        </w:rPr>
        <w:t>图3.5-</w:t>
      </w:r>
      <w:r>
        <w:rPr>
          <w:rFonts w:cs="Times New Roman"/>
        </w:rPr>
        <w:t>3</w:t>
      </w:r>
      <w:r>
        <w:rPr>
          <w:rFonts w:hint="eastAsia" w:cs="Times New Roman"/>
        </w:rPr>
        <w:t xml:space="preserve"> </w:t>
      </w:r>
      <w:r>
        <w:rPr>
          <w:rFonts w:cs="Times New Roman"/>
        </w:rPr>
        <w:t xml:space="preserve"> </w:t>
      </w:r>
      <w:r>
        <w:rPr>
          <w:rFonts w:hint="eastAsia" w:cs="Times New Roman"/>
        </w:rPr>
        <w:t>20</w:t>
      </w:r>
      <w:r>
        <w:rPr>
          <w:rFonts w:cs="Times New Roman"/>
        </w:rPr>
        <w:t>21</w:t>
      </w:r>
      <w:r>
        <w:rPr>
          <w:rFonts w:hint="eastAsia" w:cs="Times New Roman"/>
        </w:rPr>
        <w:t>—2024年度假区涉及断面总磷监测数据（mg/L）</w:t>
      </w:r>
    </w:p>
    <w:p w14:paraId="74A2EC61">
      <w:pPr>
        <w:ind w:firstLine="480"/>
        <w:rPr>
          <w:rFonts w:cs="Times New Roman"/>
        </w:rPr>
      </w:pPr>
      <w:r>
        <w:rPr>
          <w:rFonts w:cs="Times New Roman"/>
        </w:rPr>
        <w:t>根据各指标的趋势分析图可知，各断面的高锰酸盐、氨氮和总磷整体呈现逐年变好的趋势。瓦沟水库在2021</w:t>
      </w:r>
      <w:r>
        <w:rPr>
          <w:rFonts w:hint="eastAsia" w:cs="Times New Roman"/>
        </w:rPr>
        <w:t>—2022年</w:t>
      </w:r>
      <w:r>
        <w:rPr>
          <w:rFonts w:cs="Times New Roman"/>
        </w:rPr>
        <w:t>的</w:t>
      </w:r>
      <w:r>
        <w:rPr>
          <w:rFonts w:hint="eastAsia" w:cs="Times New Roman"/>
        </w:rPr>
        <w:t>高锰酸盐</w:t>
      </w:r>
      <w:r>
        <w:rPr>
          <w:rFonts w:cs="Times New Roman"/>
        </w:rPr>
        <w:t>指数</w:t>
      </w:r>
      <w:r>
        <w:rPr>
          <w:rFonts w:hint="eastAsia" w:cs="Times New Roman"/>
        </w:rPr>
        <w:t>、总磷</w:t>
      </w:r>
      <w:r>
        <w:rPr>
          <w:rFonts w:cs="Times New Roman"/>
        </w:rPr>
        <w:t>为Ⅳ类水标准值，2023</w:t>
      </w:r>
      <w:r>
        <w:rPr>
          <w:rFonts w:hint="eastAsia" w:cs="Times New Roman"/>
        </w:rPr>
        <w:t>—2024</w:t>
      </w:r>
      <w:r>
        <w:rPr>
          <w:rFonts w:cs="Times New Roman"/>
        </w:rPr>
        <w:t>年满足Ⅲ类水标准，2021</w:t>
      </w:r>
      <w:r>
        <w:rPr>
          <w:rFonts w:hint="eastAsia" w:cs="Times New Roman"/>
        </w:rPr>
        <w:t>—</w:t>
      </w:r>
      <w:r>
        <w:rPr>
          <w:rFonts w:cs="Times New Roman"/>
        </w:rPr>
        <w:t>202</w:t>
      </w:r>
      <w:r>
        <w:rPr>
          <w:rFonts w:hint="eastAsia" w:cs="Times New Roman"/>
        </w:rPr>
        <w:t>4</w:t>
      </w:r>
      <w:r>
        <w:rPr>
          <w:rFonts w:cs="Times New Roman"/>
        </w:rPr>
        <w:t>年</w:t>
      </w:r>
      <w:r>
        <w:rPr>
          <w:rFonts w:hint="eastAsia" w:cs="Times New Roman"/>
        </w:rPr>
        <w:t>期间</w:t>
      </w:r>
      <w:r>
        <w:rPr>
          <w:rFonts w:cs="Times New Roman"/>
        </w:rPr>
        <w:t>，瓦沟水库</w:t>
      </w:r>
      <w:r>
        <w:rPr>
          <w:rFonts w:hint="eastAsia" w:cs="Times New Roman"/>
        </w:rPr>
        <w:t>氨氮、总磷整体呈</w:t>
      </w:r>
      <w:r>
        <w:rPr>
          <w:rFonts w:cs="Times New Roman"/>
        </w:rPr>
        <w:t>下降</w:t>
      </w:r>
      <w:r>
        <w:rPr>
          <w:rFonts w:hint="eastAsia" w:cs="Times New Roman"/>
        </w:rPr>
        <w:t>趋势</w:t>
      </w:r>
      <w:r>
        <w:rPr>
          <w:rFonts w:cs="Times New Roman"/>
        </w:rPr>
        <w:t>，其余五个监测断面</w:t>
      </w:r>
      <w:r>
        <w:rPr>
          <w:rFonts w:hint="eastAsia" w:cs="Times New Roman"/>
        </w:rPr>
        <w:t>各</w:t>
      </w:r>
      <w:r>
        <w:rPr>
          <w:rFonts w:cs="Times New Roman"/>
        </w:rPr>
        <w:t>年均达到Ⅲ类水质标准</w:t>
      </w:r>
      <w:r>
        <w:rPr>
          <w:rFonts w:hint="eastAsia" w:cs="Times New Roman"/>
        </w:rPr>
        <w:t>及以上</w:t>
      </w:r>
      <w:r>
        <w:rPr>
          <w:rFonts w:cs="Times New Roman"/>
        </w:rPr>
        <w:t>，整体来看，茅东水库、东进水库、海底水库、向阳水库、瓦沟水库、新浮山水库水环境质量稳定向好。</w:t>
      </w:r>
    </w:p>
    <w:p w14:paraId="295340DF">
      <w:pPr>
        <w:ind w:firstLine="480"/>
        <w:rPr>
          <w:rFonts w:cs="Times New Roman"/>
        </w:rPr>
      </w:pPr>
      <w:r>
        <w:rPr>
          <w:rFonts w:hint="eastAsia" w:cs="Times New Roman"/>
        </w:rPr>
        <w:t>根据《2023年度常州市生态环境质量报告书》《2024年度常州市生态环境质量报告书》相关监测数据，度假区内茅东水库2023—2024年平均综合营养状态指数分别为43.3、42.0，水库营养状态等级未发生变化，为“中营养”。</w:t>
      </w:r>
    </w:p>
    <w:p w14:paraId="79EC79C2">
      <w:pPr>
        <w:widowControl/>
        <w:spacing w:line="240" w:lineRule="auto"/>
        <w:ind w:firstLine="0" w:firstLineChars="0"/>
        <w:jc w:val="left"/>
        <w:rPr>
          <w:rFonts w:cs="Times New Roman"/>
        </w:rPr>
        <w:sectPr>
          <w:pgSz w:w="11906" w:h="16838"/>
          <w:pgMar w:top="1440" w:right="1800" w:bottom="1440" w:left="1800" w:header="851" w:footer="992" w:gutter="0"/>
          <w:cols w:space="425" w:num="1"/>
          <w:docGrid w:type="lines" w:linePitch="312" w:charSpace="0"/>
        </w:sectPr>
      </w:pPr>
      <w:r>
        <w:rPr>
          <w:rFonts w:cs="Times New Roman"/>
        </w:rPr>
        <w:br w:type="page"/>
      </w:r>
    </w:p>
    <w:p w14:paraId="00080403">
      <w:pPr>
        <w:ind w:firstLine="0" w:firstLineChars="0"/>
        <w:outlineLvl w:val="3"/>
        <w:rPr>
          <w:b/>
          <w:bCs/>
        </w:rPr>
      </w:pPr>
      <w:r>
        <w:rPr>
          <w:b/>
          <w:bCs/>
        </w:rPr>
        <w:t>3</w:t>
      </w:r>
      <w:r>
        <w:rPr>
          <w:rFonts w:hint="eastAsia"/>
          <w:b/>
          <w:bCs/>
        </w:rPr>
        <w:t>.</w:t>
      </w:r>
      <w:r>
        <w:rPr>
          <w:b/>
          <w:bCs/>
        </w:rPr>
        <w:t>5</w:t>
      </w:r>
      <w:r>
        <w:rPr>
          <w:rFonts w:hint="eastAsia"/>
          <w:b/>
          <w:bCs/>
        </w:rPr>
        <w:t>.</w:t>
      </w:r>
      <w:r>
        <w:rPr>
          <w:b/>
          <w:bCs/>
        </w:rPr>
        <w:t>2</w:t>
      </w:r>
      <w:r>
        <w:rPr>
          <w:rFonts w:hint="eastAsia"/>
          <w:b/>
          <w:bCs/>
        </w:rPr>
        <w:t>.2地表水环境质量补充监测数据分析</w:t>
      </w:r>
    </w:p>
    <w:p w14:paraId="4E8E965E">
      <w:pPr>
        <w:ind w:firstLine="482"/>
        <w:rPr>
          <w:b/>
          <w:bCs/>
        </w:rPr>
      </w:pPr>
      <w:r>
        <w:rPr>
          <w:rFonts w:hint="eastAsia"/>
          <w:b/>
          <w:bCs/>
        </w:rPr>
        <w:t>（1）监测布点和监测因子</w:t>
      </w:r>
    </w:p>
    <w:p w14:paraId="4F2B8597">
      <w:pPr>
        <w:ind w:firstLine="480"/>
      </w:pPr>
      <w:r>
        <w:rPr>
          <w:rFonts w:hint="eastAsia"/>
        </w:rPr>
        <w:t>根据地表水环境现状常规监测项目和区域排污特征，本次评价在度假区范围内水体以及污水处理厂入河排口涉及水体共布设11个地表水现状补充监测断面，其中2个断面为度假区主要污水处置去向薛埠茅东污水处理厂受纳水体上下游监测断面，具体监测点位和监测因子见表3.5-8，监测点位分布如附图36所示。</w:t>
      </w:r>
    </w:p>
    <w:p w14:paraId="53B0D97B">
      <w:pPr>
        <w:pStyle w:val="45"/>
        <w:rPr>
          <w:rFonts w:cs="Times New Roman"/>
        </w:rPr>
      </w:pPr>
      <w:r>
        <w:rPr>
          <w:rFonts w:cs="Times New Roman"/>
        </w:rPr>
        <w:t>表</w:t>
      </w:r>
      <w:r>
        <w:rPr>
          <w:rFonts w:hint="eastAsia" w:cs="Times New Roman"/>
        </w:rPr>
        <w:t>3.</w:t>
      </w:r>
      <w:r>
        <w:rPr>
          <w:rFonts w:cs="Times New Roman"/>
        </w:rPr>
        <w:t>5</w:t>
      </w:r>
      <w:r>
        <w:rPr>
          <w:rFonts w:hint="eastAsia" w:cs="Times New Roman"/>
        </w:rPr>
        <w:t xml:space="preserve">-8 </w:t>
      </w:r>
      <w:r>
        <w:rPr>
          <w:rFonts w:cs="Times New Roman"/>
        </w:rPr>
        <w:t xml:space="preserve"> </w:t>
      </w:r>
      <w:r>
        <w:rPr>
          <w:rFonts w:hint="eastAsia" w:cs="Times New Roman"/>
        </w:rPr>
        <w:t>地表水环境质量补充监测点位信息</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1560"/>
        <w:gridCol w:w="3537"/>
        <w:gridCol w:w="2183"/>
      </w:tblGrid>
      <w:tr w14:paraId="5C1B5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29" w:type="pct"/>
            <w:vAlign w:val="center"/>
          </w:tcPr>
          <w:p w14:paraId="4294258A">
            <w:pPr>
              <w:spacing w:line="240" w:lineRule="auto"/>
              <w:ind w:firstLine="0" w:firstLineChars="0"/>
              <w:jc w:val="center"/>
              <w:rPr>
                <w:rFonts w:cs="Times New Roman"/>
                <w:b/>
                <w:spacing w:val="8"/>
                <w:sz w:val="21"/>
                <w:szCs w:val="21"/>
              </w:rPr>
            </w:pPr>
            <w:r>
              <w:rPr>
                <w:rFonts w:hint="eastAsia" w:cs="Times New Roman"/>
                <w:b/>
                <w:spacing w:val="8"/>
                <w:sz w:val="21"/>
                <w:szCs w:val="21"/>
              </w:rPr>
              <w:t>断面编号</w:t>
            </w:r>
          </w:p>
        </w:tc>
        <w:tc>
          <w:tcPr>
            <w:tcW w:w="915" w:type="pct"/>
            <w:vAlign w:val="center"/>
          </w:tcPr>
          <w:p w14:paraId="48710183">
            <w:pPr>
              <w:spacing w:line="240" w:lineRule="auto"/>
              <w:ind w:firstLine="0" w:firstLineChars="0"/>
              <w:jc w:val="center"/>
              <w:rPr>
                <w:rFonts w:cs="Times New Roman"/>
                <w:b/>
                <w:spacing w:val="8"/>
                <w:sz w:val="21"/>
                <w:szCs w:val="21"/>
              </w:rPr>
            </w:pPr>
            <w:r>
              <w:rPr>
                <w:rFonts w:hint="eastAsia" w:cs="Times New Roman"/>
                <w:b/>
                <w:spacing w:val="8"/>
                <w:sz w:val="21"/>
                <w:szCs w:val="21"/>
              </w:rPr>
              <w:t>河流/水库</w:t>
            </w:r>
          </w:p>
        </w:tc>
        <w:tc>
          <w:tcPr>
            <w:tcW w:w="2075" w:type="pct"/>
            <w:vAlign w:val="center"/>
          </w:tcPr>
          <w:p w14:paraId="3253EB63">
            <w:pPr>
              <w:spacing w:line="240" w:lineRule="auto"/>
              <w:ind w:firstLine="0" w:firstLineChars="0"/>
              <w:jc w:val="center"/>
              <w:rPr>
                <w:rFonts w:cs="Times New Roman"/>
                <w:b/>
                <w:spacing w:val="8"/>
                <w:sz w:val="21"/>
                <w:szCs w:val="21"/>
              </w:rPr>
            </w:pPr>
            <w:r>
              <w:rPr>
                <w:rFonts w:hint="eastAsia" w:cs="Times New Roman"/>
                <w:b/>
                <w:spacing w:val="8"/>
                <w:sz w:val="21"/>
                <w:szCs w:val="21"/>
              </w:rPr>
              <w:t>断面布设位置</w:t>
            </w:r>
          </w:p>
        </w:tc>
        <w:tc>
          <w:tcPr>
            <w:tcW w:w="1281" w:type="pct"/>
            <w:vAlign w:val="center"/>
          </w:tcPr>
          <w:p w14:paraId="587A04EA">
            <w:pPr>
              <w:spacing w:line="240" w:lineRule="auto"/>
              <w:ind w:firstLine="0" w:firstLineChars="0"/>
              <w:jc w:val="center"/>
              <w:rPr>
                <w:rFonts w:cs="Times New Roman"/>
                <w:b/>
                <w:spacing w:val="8"/>
                <w:sz w:val="21"/>
                <w:szCs w:val="21"/>
              </w:rPr>
            </w:pPr>
            <w:r>
              <w:rPr>
                <w:rFonts w:hint="eastAsia" w:cs="Times New Roman"/>
                <w:b/>
                <w:spacing w:val="8"/>
                <w:sz w:val="21"/>
                <w:szCs w:val="21"/>
              </w:rPr>
              <w:t>监测因子</w:t>
            </w:r>
          </w:p>
        </w:tc>
      </w:tr>
      <w:tr w14:paraId="5E18C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29" w:type="pct"/>
            <w:vAlign w:val="center"/>
          </w:tcPr>
          <w:p w14:paraId="1FFBA90D">
            <w:pPr>
              <w:spacing w:line="240" w:lineRule="auto"/>
              <w:ind w:firstLine="0" w:firstLineChars="0"/>
              <w:jc w:val="center"/>
              <w:rPr>
                <w:rFonts w:cs="Times New Roman"/>
                <w:spacing w:val="8"/>
                <w:sz w:val="21"/>
                <w:szCs w:val="21"/>
              </w:rPr>
            </w:pPr>
            <w:r>
              <w:rPr>
                <w:rFonts w:hint="eastAsia" w:cs="Times New Roman"/>
                <w:spacing w:val="8"/>
                <w:sz w:val="21"/>
                <w:szCs w:val="21"/>
              </w:rPr>
              <w:t>W1</w:t>
            </w:r>
          </w:p>
        </w:tc>
        <w:tc>
          <w:tcPr>
            <w:tcW w:w="915" w:type="pct"/>
            <w:vAlign w:val="center"/>
          </w:tcPr>
          <w:p w14:paraId="14911ADD">
            <w:pPr>
              <w:spacing w:line="240" w:lineRule="auto"/>
              <w:ind w:firstLine="0" w:firstLineChars="0"/>
              <w:jc w:val="center"/>
              <w:rPr>
                <w:rFonts w:cs="Times New Roman"/>
                <w:spacing w:val="8"/>
                <w:sz w:val="21"/>
                <w:szCs w:val="21"/>
              </w:rPr>
            </w:pPr>
            <w:r>
              <w:rPr>
                <w:rFonts w:hint="eastAsia" w:cs="Times New Roman"/>
                <w:spacing w:val="8"/>
                <w:sz w:val="21"/>
                <w:szCs w:val="21"/>
              </w:rPr>
              <w:t>新浮水库</w:t>
            </w:r>
          </w:p>
        </w:tc>
        <w:tc>
          <w:tcPr>
            <w:tcW w:w="2075" w:type="pct"/>
            <w:vAlign w:val="center"/>
          </w:tcPr>
          <w:p w14:paraId="1DC03A2C">
            <w:pPr>
              <w:spacing w:line="240" w:lineRule="auto"/>
              <w:ind w:firstLine="0" w:firstLineChars="0"/>
              <w:jc w:val="center"/>
              <w:rPr>
                <w:rFonts w:cs="Times New Roman"/>
                <w:spacing w:val="8"/>
                <w:sz w:val="21"/>
                <w:szCs w:val="21"/>
              </w:rPr>
            </w:pPr>
            <w:r>
              <w:rPr>
                <w:rFonts w:hint="eastAsia" w:cs="Times New Roman"/>
                <w:spacing w:val="8"/>
                <w:sz w:val="21"/>
                <w:szCs w:val="21"/>
              </w:rPr>
              <w:t>新浮水库（区内）</w:t>
            </w:r>
          </w:p>
        </w:tc>
        <w:tc>
          <w:tcPr>
            <w:tcW w:w="1281" w:type="pct"/>
            <w:vMerge w:val="restart"/>
            <w:vAlign w:val="center"/>
          </w:tcPr>
          <w:p w14:paraId="72847210">
            <w:pPr>
              <w:spacing w:line="240" w:lineRule="auto"/>
              <w:ind w:firstLine="0" w:firstLineChars="0"/>
              <w:jc w:val="center"/>
              <w:rPr>
                <w:rFonts w:cs="Times New Roman"/>
                <w:spacing w:val="8"/>
                <w:sz w:val="21"/>
                <w:szCs w:val="21"/>
              </w:rPr>
            </w:pPr>
            <w:r>
              <w:rPr>
                <w:rFonts w:hint="eastAsia" w:cs="Times New Roman"/>
                <w:sz w:val="21"/>
                <w:szCs w:val="21"/>
              </w:rPr>
              <w:t>pH、COD、高锰酸盐指数、NH</w:t>
            </w:r>
            <w:r>
              <w:rPr>
                <w:rFonts w:hint="eastAsia" w:cs="Times New Roman"/>
                <w:sz w:val="21"/>
                <w:szCs w:val="21"/>
                <w:vertAlign w:val="subscript"/>
              </w:rPr>
              <w:t>3</w:t>
            </w:r>
            <w:r>
              <w:rPr>
                <w:rFonts w:hint="eastAsia" w:cs="Times New Roman"/>
                <w:sz w:val="21"/>
                <w:szCs w:val="21"/>
              </w:rPr>
              <w:t>-N、TP、TN、石油类、挥发酚、硫化物</w:t>
            </w:r>
          </w:p>
        </w:tc>
      </w:tr>
      <w:tr w14:paraId="3AE94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29" w:type="pct"/>
            <w:vAlign w:val="center"/>
          </w:tcPr>
          <w:p w14:paraId="776FCC87">
            <w:pPr>
              <w:spacing w:line="240" w:lineRule="auto"/>
              <w:ind w:firstLine="0" w:firstLineChars="0"/>
              <w:jc w:val="center"/>
              <w:rPr>
                <w:rFonts w:cs="Times New Roman"/>
                <w:spacing w:val="8"/>
                <w:sz w:val="21"/>
                <w:szCs w:val="21"/>
              </w:rPr>
            </w:pPr>
            <w:r>
              <w:rPr>
                <w:rFonts w:hint="eastAsia" w:cs="Times New Roman"/>
                <w:spacing w:val="8"/>
                <w:sz w:val="21"/>
                <w:szCs w:val="21"/>
              </w:rPr>
              <w:t>W2</w:t>
            </w:r>
          </w:p>
        </w:tc>
        <w:tc>
          <w:tcPr>
            <w:tcW w:w="915" w:type="pct"/>
            <w:vAlign w:val="center"/>
          </w:tcPr>
          <w:p w14:paraId="1706468A">
            <w:pPr>
              <w:spacing w:line="240" w:lineRule="auto"/>
              <w:ind w:firstLine="0" w:firstLineChars="0"/>
              <w:jc w:val="center"/>
              <w:rPr>
                <w:rFonts w:cs="Times New Roman"/>
                <w:spacing w:val="8"/>
                <w:sz w:val="21"/>
                <w:szCs w:val="21"/>
              </w:rPr>
            </w:pPr>
            <w:r>
              <w:rPr>
                <w:rFonts w:hint="eastAsia" w:cs="Times New Roman"/>
                <w:spacing w:val="8"/>
                <w:sz w:val="21"/>
                <w:szCs w:val="21"/>
              </w:rPr>
              <w:t>新浮溢洪河</w:t>
            </w:r>
          </w:p>
        </w:tc>
        <w:tc>
          <w:tcPr>
            <w:tcW w:w="2075" w:type="pct"/>
            <w:vAlign w:val="center"/>
          </w:tcPr>
          <w:p w14:paraId="66CCDA65">
            <w:pPr>
              <w:spacing w:line="240" w:lineRule="auto"/>
              <w:ind w:firstLine="0" w:firstLineChars="0"/>
              <w:jc w:val="center"/>
              <w:rPr>
                <w:rFonts w:cs="Times New Roman"/>
                <w:spacing w:val="8"/>
                <w:sz w:val="21"/>
                <w:szCs w:val="21"/>
              </w:rPr>
            </w:pPr>
            <w:r>
              <w:rPr>
                <w:rFonts w:hint="eastAsia" w:cs="Times New Roman"/>
                <w:spacing w:val="8"/>
                <w:sz w:val="21"/>
                <w:szCs w:val="21"/>
              </w:rPr>
              <w:t>茶海大道以西断面（区内）</w:t>
            </w:r>
          </w:p>
        </w:tc>
        <w:tc>
          <w:tcPr>
            <w:tcW w:w="1281" w:type="pct"/>
            <w:vMerge w:val="continue"/>
            <w:vAlign w:val="center"/>
          </w:tcPr>
          <w:p w14:paraId="5BE352B8">
            <w:pPr>
              <w:spacing w:line="240" w:lineRule="auto"/>
              <w:ind w:firstLine="0" w:firstLineChars="0"/>
              <w:jc w:val="center"/>
              <w:rPr>
                <w:rFonts w:cs="Times New Roman"/>
                <w:sz w:val="21"/>
                <w:szCs w:val="21"/>
              </w:rPr>
            </w:pPr>
          </w:p>
        </w:tc>
      </w:tr>
      <w:tr w14:paraId="7F9F9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29" w:type="pct"/>
            <w:vAlign w:val="center"/>
          </w:tcPr>
          <w:p w14:paraId="22E046D9">
            <w:pPr>
              <w:spacing w:line="240" w:lineRule="auto"/>
              <w:ind w:firstLine="0" w:firstLineChars="0"/>
              <w:jc w:val="center"/>
              <w:rPr>
                <w:rFonts w:cs="Times New Roman"/>
                <w:spacing w:val="8"/>
                <w:sz w:val="21"/>
                <w:szCs w:val="21"/>
              </w:rPr>
            </w:pPr>
            <w:r>
              <w:rPr>
                <w:rFonts w:hint="eastAsia" w:cs="Times New Roman"/>
                <w:spacing w:val="8"/>
                <w:sz w:val="21"/>
                <w:szCs w:val="21"/>
              </w:rPr>
              <w:t>W3</w:t>
            </w:r>
          </w:p>
        </w:tc>
        <w:tc>
          <w:tcPr>
            <w:tcW w:w="915" w:type="pct"/>
            <w:vAlign w:val="center"/>
          </w:tcPr>
          <w:p w14:paraId="110AB632">
            <w:pPr>
              <w:spacing w:line="240" w:lineRule="auto"/>
              <w:ind w:firstLine="0" w:firstLineChars="0"/>
              <w:jc w:val="center"/>
              <w:rPr>
                <w:rFonts w:cs="Times New Roman"/>
                <w:spacing w:val="8"/>
                <w:sz w:val="21"/>
                <w:szCs w:val="21"/>
              </w:rPr>
            </w:pPr>
            <w:r>
              <w:rPr>
                <w:rFonts w:hint="eastAsia" w:cs="Times New Roman"/>
                <w:spacing w:val="8"/>
                <w:sz w:val="21"/>
                <w:szCs w:val="21"/>
              </w:rPr>
              <w:t>东进水库</w:t>
            </w:r>
          </w:p>
        </w:tc>
        <w:tc>
          <w:tcPr>
            <w:tcW w:w="2075" w:type="pct"/>
            <w:vAlign w:val="center"/>
          </w:tcPr>
          <w:p w14:paraId="62FC5AF4">
            <w:pPr>
              <w:spacing w:line="240" w:lineRule="auto"/>
              <w:ind w:firstLine="0" w:firstLineChars="0"/>
              <w:jc w:val="center"/>
              <w:rPr>
                <w:rFonts w:cs="Times New Roman"/>
                <w:spacing w:val="8"/>
                <w:sz w:val="21"/>
                <w:szCs w:val="21"/>
              </w:rPr>
            </w:pPr>
            <w:r>
              <w:rPr>
                <w:rFonts w:hint="eastAsia" w:cs="Times New Roman"/>
                <w:spacing w:val="8"/>
                <w:sz w:val="21"/>
                <w:szCs w:val="21"/>
              </w:rPr>
              <w:t>东进水库（区内）</w:t>
            </w:r>
          </w:p>
        </w:tc>
        <w:tc>
          <w:tcPr>
            <w:tcW w:w="1281" w:type="pct"/>
            <w:vMerge w:val="continue"/>
            <w:vAlign w:val="center"/>
          </w:tcPr>
          <w:p w14:paraId="063A24BA">
            <w:pPr>
              <w:spacing w:line="240" w:lineRule="auto"/>
              <w:ind w:firstLine="0" w:firstLineChars="0"/>
              <w:jc w:val="center"/>
              <w:rPr>
                <w:rFonts w:cs="Times New Roman"/>
                <w:spacing w:val="8"/>
                <w:sz w:val="21"/>
                <w:szCs w:val="21"/>
              </w:rPr>
            </w:pPr>
          </w:p>
        </w:tc>
      </w:tr>
      <w:tr w14:paraId="34C1A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29" w:type="pct"/>
            <w:vAlign w:val="center"/>
          </w:tcPr>
          <w:p w14:paraId="2982386C">
            <w:pPr>
              <w:spacing w:line="240" w:lineRule="auto"/>
              <w:ind w:firstLine="0" w:firstLineChars="0"/>
              <w:jc w:val="center"/>
              <w:rPr>
                <w:rFonts w:cs="Times New Roman"/>
                <w:spacing w:val="8"/>
                <w:sz w:val="21"/>
                <w:szCs w:val="21"/>
              </w:rPr>
            </w:pPr>
            <w:r>
              <w:rPr>
                <w:rFonts w:hint="eastAsia" w:cs="Times New Roman"/>
                <w:spacing w:val="8"/>
                <w:sz w:val="21"/>
                <w:szCs w:val="21"/>
              </w:rPr>
              <w:t>W4</w:t>
            </w:r>
          </w:p>
        </w:tc>
        <w:tc>
          <w:tcPr>
            <w:tcW w:w="915" w:type="pct"/>
            <w:vAlign w:val="center"/>
          </w:tcPr>
          <w:p w14:paraId="03BB5863">
            <w:pPr>
              <w:spacing w:line="240" w:lineRule="auto"/>
              <w:ind w:firstLine="0" w:firstLineChars="0"/>
              <w:jc w:val="center"/>
              <w:rPr>
                <w:rFonts w:cs="Times New Roman"/>
                <w:spacing w:val="8"/>
                <w:sz w:val="21"/>
                <w:szCs w:val="21"/>
              </w:rPr>
            </w:pPr>
            <w:r>
              <w:rPr>
                <w:rFonts w:hint="eastAsia" w:cs="Times New Roman"/>
                <w:spacing w:val="8"/>
                <w:sz w:val="21"/>
                <w:szCs w:val="21"/>
              </w:rPr>
              <w:t>东进溢洪河</w:t>
            </w:r>
          </w:p>
        </w:tc>
        <w:tc>
          <w:tcPr>
            <w:tcW w:w="2075" w:type="pct"/>
            <w:vAlign w:val="center"/>
          </w:tcPr>
          <w:p w14:paraId="453A7693">
            <w:pPr>
              <w:spacing w:line="240" w:lineRule="auto"/>
              <w:ind w:firstLine="0" w:firstLineChars="0"/>
              <w:jc w:val="center"/>
              <w:rPr>
                <w:rFonts w:cs="Times New Roman"/>
                <w:spacing w:val="8"/>
                <w:sz w:val="21"/>
                <w:szCs w:val="21"/>
              </w:rPr>
            </w:pPr>
            <w:r>
              <w:rPr>
                <w:rFonts w:hint="eastAsia" w:cs="Times New Roman"/>
                <w:spacing w:val="8"/>
                <w:sz w:val="21"/>
                <w:szCs w:val="21"/>
              </w:rPr>
              <w:t>茶海大道以东断面（区内）</w:t>
            </w:r>
          </w:p>
        </w:tc>
        <w:tc>
          <w:tcPr>
            <w:tcW w:w="1281" w:type="pct"/>
            <w:vMerge w:val="continue"/>
            <w:vAlign w:val="center"/>
          </w:tcPr>
          <w:p w14:paraId="6EE3D079">
            <w:pPr>
              <w:spacing w:line="240" w:lineRule="auto"/>
              <w:ind w:firstLine="0" w:firstLineChars="0"/>
              <w:jc w:val="center"/>
              <w:rPr>
                <w:rFonts w:cs="Times New Roman"/>
                <w:spacing w:val="8"/>
                <w:sz w:val="21"/>
                <w:szCs w:val="21"/>
              </w:rPr>
            </w:pPr>
          </w:p>
        </w:tc>
      </w:tr>
      <w:tr w14:paraId="63509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29" w:type="pct"/>
            <w:vAlign w:val="center"/>
          </w:tcPr>
          <w:p w14:paraId="035B9D69">
            <w:pPr>
              <w:spacing w:line="240" w:lineRule="auto"/>
              <w:ind w:firstLine="0" w:firstLineChars="0"/>
              <w:jc w:val="center"/>
              <w:rPr>
                <w:rFonts w:cs="Times New Roman"/>
                <w:spacing w:val="8"/>
                <w:sz w:val="21"/>
                <w:szCs w:val="21"/>
              </w:rPr>
            </w:pPr>
            <w:r>
              <w:rPr>
                <w:rFonts w:hint="eastAsia" w:cs="Times New Roman"/>
                <w:spacing w:val="8"/>
                <w:sz w:val="21"/>
                <w:szCs w:val="21"/>
              </w:rPr>
              <w:t>W5</w:t>
            </w:r>
          </w:p>
        </w:tc>
        <w:tc>
          <w:tcPr>
            <w:tcW w:w="915" w:type="pct"/>
            <w:vAlign w:val="center"/>
          </w:tcPr>
          <w:p w14:paraId="6CB27672">
            <w:pPr>
              <w:spacing w:line="240" w:lineRule="auto"/>
              <w:ind w:firstLine="0" w:firstLineChars="0"/>
              <w:jc w:val="center"/>
              <w:rPr>
                <w:rFonts w:cs="Times New Roman"/>
                <w:spacing w:val="8"/>
                <w:sz w:val="21"/>
                <w:szCs w:val="21"/>
              </w:rPr>
            </w:pPr>
            <w:r>
              <w:rPr>
                <w:rFonts w:hint="eastAsia" w:cs="Times New Roman"/>
                <w:spacing w:val="8"/>
                <w:sz w:val="21"/>
                <w:szCs w:val="21"/>
              </w:rPr>
              <w:t>海底水库</w:t>
            </w:r>
          </w:p>
        </w:tc>
        <w:tc>
          <w:tcPr>
            <w:tcW w:w="2075" w:type="pct"/>
            <w:vAlign w:val="center"/>
          </w:tcPr>
          <w:p w14:paraId="1576E130">
            <w:pPr>
              <w:spacing w:line="240" w:lineRule="auto"/>
              <w:ind w:firstLine="0" w:firstLineChars="0"/>
              <w:jc w:val="center"/>
              <w:rPr>
                <w:rFonts w:cs="Times New Roman"/>
                <w:spacing w:val="8"/>
                <w:sz w:val="21"/>
                <w:szCs w:val="21"/>
              </w:rPr>
            </w:pPr>
            <w:r>
              <w:rPr>
                <w:rFonts w:hint="eastAsia" w:cs="Times New Roman"/>
                <w:spacing w:val="8"/>
                <w:sz w:val="21"/>
                <w:szCs w:val="21"/>
              </w:rPr>
              <w:t>海底水库（区内）</w:t>
            </w:r>
          </w:p>
        </w:tc>
        <w:tc>
          <w:tcPr>
            <w:tcW w:w="1281" w:type="pct"/>
            <w:vMerge w:val="continue"/>
            <w:vAlign w:val="center"/>
          </w:tcPr>
          <w:p w14:paraId="0CA9A5F6">
            <w:pPr>
              <w:spacing w:line="240" w:lineRule="auto"/>
              <w:ind w:firstLine="0" w:firstLineChars="0"/>
              <w:jc w:val="center"/>
              <w:rPr>
                <w:rFonts w:cs="Times New Roman"/>
                <w:spacing w:val="8"/>
                <w:sz w:val="21"/>
                <w:szCs w:val="21"/>
              </w:rPr>
            </w:pPr>
          </w:p>
        </w:tc>
      </w:tr>
      <w:tr w14:paraId="48E48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29" w:type="pct"/>
            <w:vAlign w:val="center"/>
          </w:tcPr>
          <w:p w14:paraId="25FEC5B3">
            <w:pPr>
              <w:spacing w:line="240" w:lineRule="auto"/>
              <w:ind w:firstLine="0" w:firstLineChars="0"/>
              <w:jc w:val="center"/>
              <w:rPr>
                <w:rFonts w:cs="Times New Roman"/>
                <w:spacing w:val="8"/>
                <w:sz w:val="21"/>
                <w:szCs w:val="21"/>
              </w:rPr>
            </w:pPr>
            <w:r>
              <w:rPr>
                <w:rFonts w:hint="eastAsia" w:cs="Times New Roman"/>
                <w:spacing w:val="8"/>
                <w:sz w:val="21"/>
                <w:szCs w:val="21"/>
              </w:rPr>
              <w:t>W6</w:t>
            </w:r>
          </w:p>
        </w:tc>
        <w:tc>
          <w:tcPr>
            <w:tcW w:w="915" w:type="pct"/>
            <w:vAlign w:val="center"/>
          </w:tcPr>
          <w:p w14:paraId="39F3201F">
            <w:pPr>
              <w:spacing w:line="240" w:lineRule="auto"/>
              <w:ind w:firstLine="0" w:firstLineChars="0"/>
              <w:jc w:val="center"/>
              <w:rPr>
                <w:rFonts w:cs="Times New Roman"/>
                <w:spacing w:val="8"/>
                <w:sz w:val="21"/>
                <w:szCs w:val="21"/>
              </w:rPr>
            </w:pPr>
            <w:r>
              <w:rPr>
                <w:rFonts w:hint="eastAsia" w:cs="Times New Roman"/>
                <w:spacing w:val="8"/>
                <w:sz w:val="21"/>
                <w:szCs w:val="21"/>
              </w:rPr>
              <w:t>薛埠河</w:t>
            </w:r>
          </w:p>
        </w:tc>
        <w:tc>
          <w:tcPr>
            <w:tcW w:w="2075" w:type="pct"/>
            <w:vAlign w:val="center"/>
          </w:tcPr>
          <w:p w14:paraId="3F2412AA">
            <w:pPr>
              <w:spacing w:line="240" w:lineRule="auto"/>
              <w:ind w:firstLine="0" w:firstLineChars="0"/>
              <w:jc w:val="center"/>
              <w:rPr>
                <w:rFonts w:cs="Times New Roman"/>
                <w:spacing w:val="8"/>
                <w:sz w:val="21"/>
                <w:szCs w:val="21"/>
              </w:rPr>
            </w:pPr>
            <w:r>
              <w:rPr>
                <w:rFonts w:hint="eastAsia" w:cs="Times New Roman"/>
                <w:spacing w:val="8"/>
                <w:sz w:val="21"/>
                <w:szCs w:val="21"/>
              </w:rPr>
              <w:t>薛埠污水处理厂排口上游500m（区外）</w:t>
            </w:r>
          </w:p>
        </w:tc>
        <w:tc>
          <w:tcPr>
            <w:tcW w:w="1281" w:type="pct"/>
            <w:vMerge w:val="continue"/>
            <w:vAlign w:val="center"/>
          </w:tcPr>
          <w:p w14:paraId="65ECCF95">
            <w:pPr>
              <w:spacing w:line="240" w:lineRule="auto"/>
              <w:ind w:firstLine="0" w:firstLineChars="0"/>
              <w:jc w:val="center"/>
              <w:rPr>
                <w:rFonts w:cs="Times New Roman"/>
                <w:spacing w:val="8"/>
                <w:sz w:val="21"/>
                <w:szCs w:val="21"/>
              </w:rPr>
            </w:pPr>
          </w:p>
        </w:tc>
      </w:tr>
      <w:tr w14:paraId="3A0D6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29" w:type="pct"/>
            <w:vAlign w:val="center"/>
          </w:tcPr>
          <w:p w14:paraId="01202574">
            <w:pPr>
              <w:spacing w:line="240" w:lineRule="auto"/>
              <w:ind w:firstLine="0" w:firstLineChars="0"/>
              <w:jc w:val="center"/>
              <w:rPr>
                <w:rFonts w:cs="Times New Roman"/>
                <w:spacing w:val="8"/>
                <w:sz w:val="21"/>
                <w:szCs w:val="21"/>
              </w:rPr>
            </w:pPr>
            <w:r>
              <w:rPr>
                <w:rFonts w:hint="eastAsia" w:cs="Times New Roman"/>
                <w:spacing w:val="8"/>
                <w:sz w:val="21"/>
                <w:szCs w:val="21"/>
              </w:rPr>
              <w:t>W7</w:t>
            </w:r>
          </w:p>
        </w:tc>
        <w:tc>
          <w:tcPr>
            <w:tcW w:w="915" w:type="pct"/>
            <w:vAlign w:val="center"/>
          </w:tcPr>
          <w:p w14:paraId="494981AC">
            <w:pPr>
              <w:spacing w:line="240" w:lineRule="auto"/>
              <w:ind w:firstLine="0" w:firstLineChars="0"/>
              <w:jc w:val="center"/>
              <w:rPr>
                <w:rFonts w:cs="Times New Roman"/>
                <w:spacing w:val="8"/>
                <w:sz w:val="21"/>
                <w:szCs w:val="21"/>
              </w:rPr>
            </w:pPr>
            <w:r>
              <w:rPr>
                <w:rFonts w:hint="eastAsia" w:cs="Times New Roman"/>
                <w:spacing w:val="8"/>
                <w:sz w:val="21"/>
                <w:szCs w:val="21"/>
              </w:rPr>
              <w:t>薛埠河</w:t>
            </w:r>
          </w:p>
        </w:tc>
        <w:tc>
          <w:tcPr>
            <w:tcW w:w="2075" w:type="pct"/>
            <w:vAlign w:val="center"/>
          </w:tcPr>
          <w:p w14:paraId="2400759C">
            <w:pPr>
              <w:spacing w:line="240" w:lineRule="auto"/>
              <w:ind w:firstLine="0" w:firstLineChars="0"/>
              <w:jc w:val="center"/>
              <w:rPr>
                <w:rFonts w:cs="Times New Roman"/>
                <w:spacing w:val="8"/>
                <w:sz w:val="21"/>
                <w:szCs w:val="21"/>
              </w:rPr>
            </w:pPr>
            <w:r>
              <w:rPr>
                <w:rFonts w:hint="eastAsia" w:cs="Times New Roman"/>
                <w:spacing w:val="8"/>
                <w:sz w:val="21"/>
                <w:szCs w:val="21"/>
              </w:rPr>
              <w:t>薛埠污水处理厂排口下游1500m（区外）</w:t>
            </w:r>
          </w:p>
        </w:tc>
        <w:tc>
          <w:tcPr>
            <w:tcW w:w="1281" w:type="pct"/>
            <w:vMerge w:val="continue"/>
            <w:vAlign w:val="center"/>
          </w:tcPr>
          <w:p w14:paraId="40ACA39C">
            <w:pPr>
              <w:spacing w:line="240" w:lineRule="auto"/>
              <w:ind w:firstLine="0" w:firstLineChars="0"/>
              <w:jc w:val="center"/>
              <w:rPr>
                <w:rFonts w:cs="Times New Roman"/>
                <w:spacing w:val="8"/>
                <w:sz w:val="21"/>
                <w:szCs w:val="21"/>
              </w:rPr>
            </w:pPr>
          </w:p>
        </w:tc>
      </w:tr>
      <w:tr w14:paraId="453F5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29" w:type="pct"/>
            <w:vAlign w:val="center"/>
          </w:tcPr>
          <w:p w14:paraId="2FE28A9C">
            <w:pPr>
              <w:spacing w:line="240" w:lineRule="auto"/>
              <w:ind w:firstLine="0" w:firstLineChars="0"/>
              <w:jc w:val="center"/>
              <w:rPr>
                <w:rFonts w:cs="Times New Roman"/>
                <w:spacing w:val="8"/>
                <w:sz w:val="21"/>
                <w:szCs w:val="21"/>
              </w:rPr>
            </w:pPr>
            <w:r>
              <w:rPr>
                <w:rFonts w:hint="eastAsia" w:cs="Times New Roman"/>
                <w:spacing w:val="8"/>
                <w:sz w:val="21"/>
                <w:szCs w:val="21"/>
              </w:rPr>
              <w:t>W8</w:t>
            </w:r>
          </w:p>
        </w:tc>
        <w:tc>
          <w:tcPr>
            <w:tcW w:w="915" w:type="pct"/>
            <w:vAlign w:val="center"/>
          </w:tcPr>
          <w:p w14:paraId="20EC4C7A">
            <w:pPr>
              <w:spacing w:line="240" w:lineRule="auto"/>
              <w:ind w:firstLine="0" w:firstLineChars="0"/>
              <w:jc w:val="center"/>
              <w:rPr>
                <w:rFonts w:cs="Times New Roman"/>
                <w:spacing w:val="8"/>
                <w:sz w:val="21"/>
                <w:szCs w:val="21"/>
              </w:rPr>
            </w:pPr>
            <w:r>
              <w:rPr>
                <w:rFonts w:hint="eastAsia" w:cs="Times New Roman"/>
                <w:spacing w:val="8"/>
                <w:sz w:val="21"/>
                <w:szCs w:val="21"/>
              </w:rPr>
              <w:t>海底溢洪河</w:t>
            </w:r>
          </w:p>
        </w:tc>
        <w:tc>
          <w:tcPr>
            <w:tcW w:w="2075" w:type="pct"/>
            <w:vAlign w:val="center"/>
          </w:tcPr>
          <w:p w14:paraId="243EBAF0">
            <w:pPr>
              <w:spacing w:line="240" w:lineRule="auto"/>
              <w:ind w:firstLine="0" w:firstLineChars="0"/>
              <w:jc w:val="center"/>
              <w:rPr>
                <w:rFonts w:cs="Times New Roman"/>
                <w:spacing w:val="8"/>
                <w:sz w:val="21"/>
                <w:szCs w:val="21"/>
              </w:rPr>
            </w:pPr>
            <w:r>
              <w:rPr>
                <w:rFonts w:hint="eastAsia" w:cs="Times New Roman"/>
                <w:spacing w:val="8"/>
                <w:sz w:val="21"/>
                <w:szCs w:val="21"/>
              </w:rPr>
              <w:t>对达村以西断面（区内）</w:t>
            </w:r>
          </w:p>
        </w:tc>
        <w:tc>
          <w:tcPr>
            <w:tcW w:w="1281" w:type="pct"/>
            <w:vMerge w:val="continue"/>
            <w:vAlign w:val="center"/>
          </w:tcPr>
          <w:p w14:paraId="15966221">
            <w:pPr>
              <w:spacing w:line="240" w:lineRule="auto"/>
              <w:ind w:firstLine="0" w:firstLineChars="0"/>
              <w:jc w:val="center"/>
              <w:rPr>
                <w:rFonts w:cs="Times New Roman"/>
                <w:spacing w:val="8"/>
                <w:sz w:val="21"/>
                <w:szCs w:val="21"/>
              </w:rPr>
            </w:pPr>
          </w:p>
        </w:tc>
      </w:tr>
      <w:tr w14:paraId="39A26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29" w:type="pct"/>
            <w:vAlign w:val="center"/>
          </w:tcPr>
          <w:p w14:paraId="29F081AF">
            <w:pPr>
              <w:spacing w:line="240" w:lineRule="auto"/>
              <w:ind w:firstLine="0" w:firstLineChars="0"/>
              <w:jc w:val="center"/>
              <w:rPr>
                <w:rFonts w:cs="Times New Roman"/>
                <w:spacing w:val="8"/>
                <w:sz w:val="21"/>
                <w:szCs w:val="21"/>
              </w:rPr>
            </w:pPr>
            <w:r>
              <w:rPr>
                <w:rFonts w:hint="eastAsia" w:cs="Times New Roman"/>
                <w:spacing w:val="8"/>
                <w:sz w:val="21"/>
                <w:szCs w:val="21"/>
              </w:rPr>
              <w:t>W9</w:t>
            </w:r>
          </w:p>
        </w:tc>
        <w:tc>
          <w:tcPr>
            <w:tcW w:w="915" w:type="pct"/>
            <w:vAlign w:val="center"/>
          </w:tcPr>
          <w:p w14:paraId="0AABE04F">
            <w:pPr>
              <w:spacing w:line="240" w:lineRule="auto"/>
              <w:ind w:firstLine="0" w:firstLineChars="0"/>
              <w:jc w:val="center"/>
              <w:rPr>
                <w:rFonts w:cs="Times New Roman"/>
                <w:spacing w:val="8"/>
                <w:sz w:val="21"/>
                <w:szCs w:val="21"/>
              </w:rPr>
            </w:pPr>
            <w:r>
              <w:rPr>
                <w:rFonts w:hint="eastAsia" w:cs="Times New Roman"/>
                <w:spacing w:val="8"/>
                <w:sz w:val="21"/>
                <w:szCs w:val="21"/>
              </w:rPr>
              <w:t>瓦沟水库</w:t>
            </w:r>
          </w:p>
        </w:tc>
        <w:tc>
          <w:tcPr>
            <w:tcW w:w="2075" w:type="pct"/>
            <w:vAlign w:val="center"/>
          </w:tcPr>
          <w:p w14:paraId="7EC8DFFB">
            <w:pPr>
              <w:spacing w:line="240" w:lineRule="auto"/>
              <w:ind w:firstLine="0" w:firstLineChars="0"/>
              <w:jc w:val="center"/>
              <w:rPr>
                <w:rFonts w:cs="Times New Roman"/>
                <w:spacing w:val="8"/>
                <w:sz w:val="21"/>
                <w:szCs w:val="21"/>
              </w:rPr>
            </w:pPr>
            <w:r>
              <w:rPr>
                <w:rFonts w:hint="eastAsia" w:cs="Times New Roman"/>
                <w:spacing w:val="8"/>
                <w:sz w:val="21"/>
                <w:szCs w:val="21"/>
              </w:rPr>
              <w:t>瓦沟水库（区内）</w:t>
            </w:r>
          </w:p>
        </w:tc>
        <w:tc>
          <w:tcPr>
            <w:tcW w:w="1281" w:type="pct"/>
            <w:vMerge w:val="continue"/>
            <w:vAlign w:val="center"/>
          </w:tcPr>
          <w:p w14:paraId="7B45A39B">
            <w:pPr>
              <w:spacing w:line="240" w:lineRule="auto"/>
              <w:ind w:firstLine="0" w:firstLineChars="0"/>
              <w:jc w:val="center"/>
              <w:rPr>
                <w:rFonts w:cs="Times New Roman"/>
                <w:spacing w:val="8"/>
                <w:sz w:val="21"/>
                <w:szCs w:val="21"/>
              </w:rPr>
            </w:pPr>
          </w:p>
        </w:tc>
      </w:tr>
      <w:tr w14:paraId="4348C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29" w:type="pct"/>
            <w:vAlign w:val="center"/>
          </w:tcPr>
          <w:p w14:paraId="259F1AB9">
            <w:pPr>
              <w:spacing w:line="240" w:lineRule="auto"/>
              <w:ind w:firstLine="0" w:firstLineChars="0"/>
              <w:jc w:val="center"/>
              <w:rPr>
                <w:rFonts w:cs="Times New Roman"/>
                <w:spacing w:val="8"/>
                <w:sz w:val="21"/>
                <w:szCs w:val="21"/>
              </w:rPr>
            </w:pPr>
            <w:r>
              <w:rPr>
                <w:rFonts w:hint="eastAsia" w:cs="Times New Roman"/>
                <w:spacing w:val="8"/>
                <w:sz w:val="21"/>
                <w:szCs w:val="21"/>
              </w:rPr>
              <w:t>W10</w:t>
            </w:r>
          </w:p>
        </w:tc>
        <w:tc>
          <w:tcPr>
            <w:tcW w:w="915" w:type="pct"/>
            <w:vAlign w:val="center"/>
          </w:tcPr>
          <w:p w14:paraId="63D0E1E7">
            <w:pPr>
              <w:spacing w:line="240" w:lineRule="auto"/>
              <w:ind w:firstLine="0" w:firstLineChars="0"/>
              <w:jc w:val="center"/>
              <w:rPr>
                <w:rFonts w:cs="Times New Roman"/>
                <w:spacing w:val="8"/>
                <w:sz w:val="21"/>
                <w:szCs w:val="21"/>
              </w:rPr>
            </w:pPr>
            <w:r>
              <w:rPr>
                <w:rFonts w:hint="eastAsia" w:cs="Times New Roman"/>
                <w:spacing w:val="8"/>
                <w:sz w:val="21"/>
                <w:szCs w:val="21"/>
              </w:rPr>
              <w:t>向阳水库</w:t>
            </w:r>
          </w:p>
        </w:tc>
        <w:tc>
          <w:tcPr>
            <w:tcW w:w="2075" w:type="pct"/>
            <w:vAlign w:val="center"/>
          </w:tcPr>
          <w:p w14:paraId="5F774BAF">
            <w:pPr>
              <w:spacing w:line="240" w:lineRule="auto"/>
              <w:ind w:firstLine="0" w:firstLineChars="0"/>
              <w:jc w:val="center"/>
              <w:rPr>
                <w:rFonts w:cs="Times New Roman"/>
                <w:spacing w:val="8"/>
                <w:sz w:val="21"/>
                <w:szCs w:val="21"/>
              </w:rPr>
            </w:pPr>
            <w:r>
              <w:rPr>
                <w:rFonts w:hint="eastAsia" w:cs="Times New Roman"/>
                <w:spacing w:val="8"/>
                <w:sz w:val="21"/>
                <w:szCs w:val="21"/>
              </w:rPr>
              <w:t>向阳水库（区内）</w:t>
            </w:r>
          </w:p>
        </w:tc>
        <w:tc>
          <w:tcPr>
            <w:tcW w:w="1281" w:type="pct"/>
            <w:vMerge w:val="continue"/>
            <w:vAlign w:val="center"/>
          </w:tcPr>
          <w:p w14:paraId="7E9F6092">
            <w:pPr>
              <w:spacing w:line="240" w:lineRule="auto"/>
              <w:ind w:firstLine="0" w:firstLineChars="0"/>
              <w:jc w:val="center"/>
              <w:rPr>
                <w:rFonts w:cs="Times New Roman"/>
                <w:spacing w:val="8"/>
                <w:sz w:val="21"/>
                <w:szCs w:val="21"/>
              </w:rPr>
            </w:pPr>
          </w:p>
        </w:tc>
      </w:tr>
      <w:tr w14:paraId="2A5CE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29" w:type="pct"/>
            <w:vAlign w:val="center"/>
          </w:tcPr>
          <w:p w14:paraId="59D6B182">
            <w:pPr>
              <w:spacing w:line="240" w:lineRule="auto"/>
              <w:ind w:firstLine="0" w:firstLineChars="0"/>
              <w:jc w:val="center"/>
              <w:rPr>
                <w:rFonts w:cs="Times New Roman"/>
                <w:spacing w:val="8"/>
                <w:sz w:val="21"/>
                <w:szCs w:val="21"/>
              </w:rPr>
            </w:pPr>
            <w:r>
              <w:rPr>
                <w:rFonts w:hint="eastAsia" w:cs="Times New Roman"/>
                <w:spacing w:val="8"/>
                <w:sz w:val="21"/>
                <w:szCs w:val="21"/>
              </w:rPr>
              <w:t>W11</w:t>
            </w:r>
          </w:p>
        </w:tc>
        <w:tc>
          <w:tcPr>
            <w:tcW w:w="915" w:type="pct"/>
            <w:vAlign w:val="center"/>
          </w:tcPr>
          <w:p w14:paraId="1C64BDDE">
            <w:pPr>
              <w:spacing w:line="240" w:lineRule="auto"/>
              <w:ind w:firstLine="0" w:firstLineChars="0"/>
              <w:jc w:val="center"/>
              <w:rPr>
                <w:rFonts w:cs="Times New Roman"/>
                <w:spacing w:val="8"/>
                <w:sz w:val="21"/>
                <w:szCs w:val="21"/>
              </w:rPr>
            </w:pPr>
            <w:r>
              <w:rPr>
                <w:rFonts w:hint="eastAsia" w:cs="Times New Roman"/>
                <w:spacing w:val="8"/>
                <w:sz w:val="21"/>
                <w:szCs w:val="21"/>
              </w:rPr>
              <w:t>瓦沟溢洪河</w:t>
            </w:r>
          </w:p>
        </w:tc>
        <w:tc>
          <w:tcPr>
            <w:tcW w:w="2075" w:type="pct"/>
            <w:vAlign w:val="center"/>
          </w:tcPr>
          <w:p w14:paraId="5FD4A7DE">
            <w:pPr>
              <w:spacing w:line="240" w:lineRule="auto"/>
              <w:ind w:firstLine="0" w:firstLineChars="0"/>
              <w:jc w:val="center"/>
              <w:rPr>
                <w:rFonts w:cs="Times New Roman"/>
                <w:spacing w:val="8"/>
                <w:sz w:val="21"/>
                <w:szCs w:val="21"/>
              </w:rPr>
            </w:pPr>
            <w:r>
              <w:rPr>
                <w:rFonts w:hint="eastAsia" w:cs="Times New Roman"/>
                <w:spacing w:val="8"/>
                <w:sz w:val="21"/>
                <w:szCs w:val="21"/>
              </w:rPr>
              <w:t>前塘村以南断面（区内）</w:t>
            </w:r>
          </w:p>
        </w:tc>
        <w:tc>
          <w:tcPr>
            <w:tcW w:w="1281" w:type="pct"/>
            <w:vMerge w:val="continue"/>
            <w:vAlign w:val="center"/>
          </w:tcPr>
          <w:p w14:paraId="7C38CEA7">
            <w:pPr>
              <w:spacing w:line="240" w:lineRule="auto"/>
              <w:ind w:firstLine="0" w:firstLineChars="0"/>
              <w:jc w:val="center"/>
              <w:rPr>
                <w:rFonts w:cs="Times New Roman"/>
                <w:spacing w:val="8"/>
                <w:sz w:val="21"/>
                <w:szCs w:val="21"/>
              </w:rPr>
            </w:pPr>
          </w:p>
        </w:tc>
      </w:tr>
    </w:tbl>
    <w:p w14:paraId="4969938C">
      <w:pPr>
        <w:ind w:firstLine="482"/>
        <w:rPr>
          <w:b/>
          <w:szCs w:val="24"/>
        </w:rPr>
      </w:pPr>
      <w:r>
        <w:rPr>
          <w:rFonts w:hint="eastAsia"/>
          <w:b/>
          <w:szCs w:val="24"/>
        </w:rPr>
        <w:t>（2）监测时间和监测频次</w:t>
      </w:r>
    </w:p>
    <w:p w14:paraId="724E50E6">
      <w:pPr>
        <w:ind w:firstLine="480"/>
        <w:rPr>
          <w:color w:val="0070C0"/>
        </w:rPr>
      </w:pPr>
      <w:r>
        <w:rPr>
          <w:rFonts w:hint="eastAsia"/>
        </w:rPr>
        <w:t>W</w:t>
      </w:r>
      <w:r>
        <w:t>1~</w:t>
      </w:r>
      <w:r>
        <w:rPr>
          <w:rFonts w:hint="eastAsia"/>
        </w:rPr>
        <w:t>W</w:t>
      </w:r>
      <w:r>
        <w:t>7</w:t>
      </w:r>
      <w:r>
        <w:rPr>
          <w:rFonts w:hint="eastAsia"/>
        </w:rPr>
        <w:t>点位监测时间为2024年3月6日—2024年3月8日，连续监测3天，每天监测2次；W</w:t>
      </w:r>
      <w:r>
        <w:t>8~</w:t>
      </w:r>
      <w:r>
        <w:rPr>
          <w:rFonts w:hint="eastAsia"/>
        </w:rPr>
        <w:t>W</w:t>
      </w:r>
      <w:r>
        <w:t>11</w:t>
      </w:r>
      <w:r>
        <w:rPr>
          <w:rFonts w:hint="eastAsia"/>
        </w:rPr>
        <w:t>点位监测时间为2024年3月</w:t>
      </w:r>
      <w:r>
        <w:t>25</w:t>
      </w:r>
      <w:r>
        <w:rPr>
          <w:rFonts w:hint="eastAsia"/>
        </w:rPr>
        <w:t>日—2024年3月</w:t>
      </w:r>
      <w:r>
        <w:t>27</w:t>
      </w:r>
      <w:r>
        <w:rPr>
          <w:rFonts w:hint="eastAsia"/>
        </w:rPr>
        <w:t>日，连续监测3天，每天监测2次。</w:t>
      </w:r>
    </w:p>
    <w:p w14:paraId="41828F1A">
      <w:pPr>
        <w:ind w:firstLine="482"/>
        <w:rPr>
          <w:b/>
          <w:bCs/>
        </w:rPr>
      </w:pPr>
      <w:r>
        <w:rPr>
          <w:rFonts w:hint="eastAsia"/>
          <w:b/>
          <w:bCs/>
        </w:rPr>
        <w:t>（3）监测分析方法</w:t>
      </w:r>
    </w:p>
    <w:p w14:paraId="48B8A28D">
      <w:pPr>
        <w:ind w:firstLine="480"/>
      </w:pPr>
      <w:r>
        <w:rPr>
          <w:rFonts w:hint="eastAsia"/>
        </w:rPr>
        <w:t>地表水环境质量现状监测按照《环境监测技术规范》和《水和废水监测分析方法》（第四版）的要求进行，见表3.5-9。</w:t>
      </w:r>
    </w:p>
    <w:p w14:paraId="6E40C759">
      <w:pPr>
        <w:pStyle w:val="45"/>
        <w:rPr>
          <w:rFonts w:cs="Times New Roman"/>
        </w:rPr>
      </w:pPr>
      <w:r>
        <w:rPr>
          <w:rFonts w:cs="Times New Roman"/>
        </w:rPr>
        <w:t>表</w:t>
      </w:r>
      <w:r>
        <w:rPr>
          <w:rFonts w:hint="eastAsia" w:cs="Times New Roman"/>
        </w:rPr>
        <w:t>3.</w:t>
      </w:r>
      <w:r>
        <w:rPr>
          <w:rFonts w:cs="Times New Roman"/>
        </w:rPr>
        <w:t>5</w:t>
      </w:r>
      <w:r>
        <w:rPr>
          <w:rFonts w:hint="eastAsia" w:cs="Times New Roman"/>
        </w:rPr>
        <w:t xml:space="preserve">-9 </w:t>
      </w:r>
      <w:r>
        <w:rPr>
          <w:rFonts w:cs="Times New Roman"/>
        </w:rPr>
        <w:t xml:space="preserve"> </w:t>
      </w:r>
      <w:r>
        <w:rPr>
          <w:rFonts w:hint="eastAsia" w:cs="Times New Roman"/>
        </w:rPr>
        <w:t>地表水环境质量补充监测分析方法</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1152"/>
        <w:gridCol w:w="1277"/>
        <w:gridCol w:w="4817"/>
        <w:gridCol w:w="1090"/>
      </w:tblGrid>
      <w:tr w14:paraId="2EEB7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tblHeader/>
          <w:jc w:val="center"/>
        </w:trPr>
        <w:tc>
          <w:tcPr>
            <w:tcW w:w="691" w:type="pct"/>
            <w:vAlign w:val="center"/>
          </w:tcPr>
          <w:p w14:paraId="462C9027">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项目类别</w:t>
            </w:r>
          </w:p>
        </w:tc>
        <w:tc>
          <w:tcPr>
            <w:tcW w:w="766" w:type="pct"/>
            <w:vAlign w:val="center"/>
          </w:tcPr>
          <w:p w14:paraId="36A2F485">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监测项目</w:t>
            </w:r>
          </w:p>
        </w:tc>
        <w:tc>
          <w:tcPr>
            <w:tcW w:w="2889" w:type="pct"/>
            <w:vAlign w:val="center"/>
          </w:tcPr>
          <w:p w14:paraId="248B6FAE">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分析方法</w:t>
            </w:r>
          </w:p>
        </w:tc>
        <w:tc>
          <w:tcPr>
            <w:tcW w:w="654" w:type="pct"/>
            <w:vAlign w:val="center"/>
          </w:tcPr>
          <w:p w14:paraId="14482621">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检出限</w:t>
            </w:r>
          </w:p>
        </w:tc>
      </w:tr>
      <w:tr w14:paraId="23A12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91" w:type="pct"/>
            <w:vMerge w:val="restart"/>
            <w:vAlign w:val="center"/>
          </w:tcPr>
          <w:p w14:paraId="196051E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地表水</w:t>
            </w:r>
          </w:p>
        </w:tc>
        <w:tc>
          <w:tcPr>
            <w:tcW w:w="766" w:type="pct"/>
            <w:vAlign w:val="center"/>
          </w:tcPr>
          <w:p w14:paraId="1F333DB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pH值</w:t>
            </w:r>
          </w:p>
        </w:tc>
        <w:tc>
          <w:tcPr>
            <w:tcW w:w="2889" w:type="pct"/>
            <w:vAlign w:val="center"/>
          </w:tcPr>
          <w:p w14:paraId="0BD2BEA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水质 pH值的测定 电极法HJ 1147-2020</w:t>
            </w:r>
          </w:p>
        </w:tc>
        <w:tc>
          <w:tcPr>
            <w:tcW w:w="654" w:type="pct"/>
            <w:vAlign w:val="center"/>
          </w:tcPr>
          <w:p w14:paraId="2EE85F6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tr w14:paraId="68863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91" w:type="pct"/>
            <w:vMerge w:val="continue"/>
            <w:vAlign w:val="center"/>
          </w:tcPr>
          <w:p w14:paraId="77F1BA13">
            <w:pPr>
              <w:spacing w:line="240" w:lineRule="auto"/>
              <w:ind w:firstLine="0" w:firstLineChars="0"/>
              <w:jc w:val="center"/>
              <w:rPr>
                <w:rFonts w:cs="Times New Roman"/>
                <w:sz w:val="21"/>
                <w:szCs w:val="21"/>
                <w14:ligatures w14:val="none"/>
              </w:rPr>
            </w:pPr>
          </w:p>
        </w:tc>
        <w:tc>
          <w:tcPr>
            <w:tcW w:w="766" w:type="pct"/>
            <w:vAlign w:val="center"/>
          </w:tcPr>
          <w:p w14:paraId="0F7C6E8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化学需氧量</w:t>
            </w:r>
          </w:p>
        </w:tc>
        <w:tc>
          <w:tcPr>
            <w:tcW w:w="2889" w:type="pct"/>
            <w:vAlign w:val="center"/>
          </w:tcPr>
          <w:p w14:paraId="33A9F69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水质 化学需氧量的测定 重铬酸盐法HJ 828-2017</w:t>
            </w:r>
          </w:p>
        </w:tc>
        <w:tc>
          <w:tcPr>
            <w:tcW w:w="654" w:type="pct"/>
            <w:vAlign w:val="center"/>
          </w:tcPr>
          <w:p w14:paraId="1A667AE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4mg/L</w:t>
            </w:r>
          </w:p>
        </w:tc>
      </w:tr>
      <w:tr w14:paraId="5484A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91" w:type="pct"/>
            <w:vMerge w:val="continue"/>
            <w:vAlign w:val="center"/>
          </w:tcPr>
          <w:p w14:paraId="01129FEC">
            <w:pPr>
              <w:spacing w:line="240" w:lineRule="auto"/>
              <w:ind w:firstLine="0" w:firstLineChars="0"/>
              <w:jc w:val="center"/>
              <w:rPr>
                <w:rFonts w:cs="Times New Roman"/>
                <w:sz w:val="21"/>
                <w:szCs w:val="21"/>
                <w14:ligatures w14:val="none"/>
              </w:rPr>
            </w:pPr>
          </w:p>
        </w:tc>
        <w:tc>
          <w:tcPr>
            <w:tcW w:w="766" w:type="pct"/>
            <w:vAlign w:val="center"/>
          </w:tcPr>
          <w:p w14:paraId="428DCE1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氨氮</w:t>
            </w:r>
          </w:p>
        </w:tc>
        <w:tc>
          <w:tcPr>
            <w:tcW w:w="2889" w:type="pct"/>
            <w:vAlign w:val="center"/>
          </w:tcPr>
          <w:p w14:paraId="552737E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水质 氨氮的测定 纳氏试剂分光光度法HJ 535-2009</w:t>
            </w:r>
          </w:p>
        </w:tc>
        <w:tc>
          <w:tcPr>
            <w:tcW w:w="654" w:type="pct"/>
            <w:vAlign w:val="center"/>
          </w:tcPr>
          <w:p w14:paraId="5C9829B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0.025mg/L</w:t>
            </w:r>
          </w:p>
        </w:tc>
      </w:tr>
      <w:tr w14:paraId="086DD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91" w:type="pct"/>
            <w:vMerge w:val="continue"/>
            <w:vAlign w:val="center"/>
          </w:tcPr>
          <w:p w14:paraId="00D095CD">
            <w:pPr>
              <w:spacing w:line="240" w:lineRule="auto"/>
              <w:ind w:firstLine="0" w:firstLineChars="0"/>
              <w:jc w:val="center"/>
              <w:rPr>
                <w:rFonts w:cs="Times New Roman"/>
                <w:sz w:val="21"/>
                <w:szCs w:val="21"/>
                <w14:ligatures w14:val="none"/>
              </w:rPr>
            </w:pPr>
          </w:p>
        </w:tc>
        <w:tc>
          <w:tcPr>
            <w:tcW w:w="766" w:type="pct"/>
            <w:vAlign w:val="center"/>
          </w:tcPr>
          <w:p w14:paraId="5D0F93B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总磷</w:t>
            </w:r>
          </w:p>
        </w:tc>
        <w:tc>
          <w:tcPr>
            <w:tcW w:w="2889" w:type="pct"/>
            <w:vAlign w:val="center"/>
          </w:tcPr>
          <w:p w14:paraId="39A1CC5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水质 总磷的测定 钼酸铵分光光度</w:t>
            </w:r>
            <w:r>
              <w:rPr>
                <w:rFonts w:hint="eastAsia" w:cs="Times New Roman"/>
                <w:spacing w:val="-20"/>
                <w:sz w:val="21"/>
                <w:szCs w:val="21"/>
                <w14:ligatures w14:val="none"/>
              </w:rPr>
              <w:t>GB/T</w:t>
            </w:r>
            <w:r>
              <w:rPr>
                <w:rFonts w:hint="eastAsia" w:cs="Times New Roman"/>
                <w:sz w:val="21"/>
                <w:szCs w:val="21"/>
                <w14:ligatures w14:val="none"/>
              </w:rPr>
              <w:t xml:space="preserve"> 11893-1989</w:t>
            </w:r>
          </w:p>
        </w:tc>
        <w:tc>
          <w:tcPr>
            <w:tcW w:w="654" w:type="pct"/>
            <w:vAlign w:val="center"/>
          </w:tcPr>
          <w:p w14:paraId="0F27E44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0.01mg/L</w:t>
            </w:r>
          </w:p>
        </w:tc>
      </w:tr>
      <w:tr w14:paraId="0F907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91" w:type="pct"/>
            <w:vMerge w:val="continue"/>
            <w:vAlign w:val="center"/>
          </w:tcPr>
          <w:p w14:paraId="783D2690">
            <w:pPr>
              <w:spacing w:line="240" w:lineRule="auto"/>
              <w:ind w:firstLine="0" w:firstLineChars="0"/>
              <w:jc w:val="center"/>
              <w:rPr>
                <w:rFonts w:cs="Times New Roman"/>
                <w:sz w:val="21"/>
                <w:szCs w:val="21"/>
                <w14:ligatures w14:val="none"/>
              </w:rPr>
            </w:pPr>
          </w:p>
        </w:tc>
        <w:tc>
          <w:tcPr>
            <w:tcW w:w="766" w:type="pct"/>
            <w:vAlign w:val="center"/>
          </w:tcPr>
          <w:p w14:paraId="5CFD5A9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总氮</w:t>
            </w:r>
          </w:p>
        </w:tc>
        <w:tc>
          <w:tcPr>
            <w:tcW w:w="2889" w:type="pct"/>
            <w:vAlign w:val="center"/>
          </w:tcPr>
          <w:p w14:paraId="7E888168">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水质 总氮的测定 碱性过硫酸钾消解紫外分光光度法HJ 636-2012</w:t>
            </w:r>
          </w:p>
        </w:tc>
        <w:tc>
          <w:tcPr>
            <w:tcW w:w="654" w:type="pct"/>
            <w:vAlign w:val="center"/>
          </w:tcPr>
          <w:p w14:paraId="55D961F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0.05mg/L</w:t>
            </w:r>
          </w:p>
        </w:tc>
      </w:tr>
      <w:tr w14:paraId="4A5C0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91" w:type="pct"/>
            <w:vMerge w:val="continue"/>
            <w:vAlign w:val="center"/>
          </w:tcPr>
          <w:p w14:paraId="3507FB8E">
            <w:pPr>
              <w:spacing w:line="240" w:lineRule="auto"/>
              <w:ind w:firstLine="0" w:firstLineChars="0"/>
              <w:jc w:val="center"/>
              <w:rPr>
                <w:rFonts w:cs="Times New Roman"/>
                <w:sz w:val="21"/>
                <w:szCs w:val="21"/>
                <w14:ligatures w14:val="none"/>
              </w:rPr>
            </w:pPr>
          </w:p>
        </w:tc>
        <w:tc>
          <w:tcPr>
            <w:tcW w:w="766" w:type="pct"/>
            <w:vAlign w:val="center"/>
          </w:tcPr>
          <w:p w14:paraId="0E4A3C7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石油类</w:t>
            </w:r>
          </w:p>
        </w:tc>
        <w:tc>
          <w:tcPr>
            <w:tcW w:w="2889" w:type="pct"/>
            <w:vAlign w:val="center"/>
          </w:tcPr>
          <w:p w14:paraId="50FF99A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水质 石油类的测定 紫外分光光度法（试行）</w:t>
            </w:r>
          </w:p>
          <w:p w14:paraId="78B7248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HJ 970-2018</w:t>
            </w:r>
          </w:p>
        </w:tc>
        <w:tc>
          <w:tcPr>
            <w:tcW w:w="654" w:type="pct"/>
            <w:vAlign w:val="center"/>
          </w:tcPr>
          <w:p w14:paraId="25019FC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0.01mg/L</w:t>
            </w:r>
          </w:p>
        </w:tc>
      </w:tr>
      <w:tr w14:paraId="22016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91" w:type="pct"/>
            <w:vMerge w:val="continue"/>
            <w:vAlign w:val="center"/>
          </w:tcPr>
          <w:p w14:paraId="4812B08B">
            <w:pPr>
              <w:spacing w:line="240" w:lineRule="auto"/>
              <w:ind w:firstLine="0" w:firstLineChars="0"/>
              <w:jc w:val="center"/>
              <w:rPr>
                <w:rFonts w:cs="Times New Roman"/>
                <w:sz w:val="21"/>
                <w:szCs w:val="21"/>
                <w14:ligatures w14:val="none"/>
              </w:rPr>
            </w:pPr>
          </w:p>
        </w:tc>
        <w:tc>
          <w:tcPr>
            <w:tcW w:w="766" w:type="pct"/>
            <w:vAlign w:val="center"/>
          </w:tcPr>
          <w:p w14:paraId="100B9D9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高锰酸盐指数</w:t>
            </w:r>
          </w:p>
        </w:tc>
        <w:tc>
          <w:tcPr>
            <w:tcW w:w="2889" w:type="pct"/>
            <w:vAlign w:val="center"/>
          </w:tcPr>
          <w:p w14:paraId="28A95C3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水质 高锰酸盐指数的测定 GB/T 11892-1989</w:t>
            </w:r>
          </w:p>
        </w:tc>
        <w:tc>
          <w:tcPr>
            <w:tcW w:w="654" w:type="pct"/>
            <w:vAlign w:val="center"/>
          </w:tcPr>
          <w:p w14:paraId="0443397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0.5mg/L</w:t>
            </w:r>
          </w:p>
        </w:tc>
      </w:tr>
      <w:tr w14:paraId="3769B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91" w:type="pct"/>
            <w:vMerge w:val="continue"/>
            <w:vAlign w:val="center"/>
          </w:tcPr>
          <w:p w14:paraId="29FCC338">
            <w:pPr>
              <w:spacing w:line="240" w:lineRule="auto"/>
              <w:ind w:firstLine="0" w:firstLineChars="0"/>
              <w:jc w:val="center"/>
              <w:rPr>
                <w:rFonts w:cs="Times New Roman"/>
                <w:sz w:val="21"/>
                <w:szCs w:val="21"/>
                <w14:ligatures w14:val="none"/>
              </w:rPr>
            </w:pPr>
          </w:p>
        </w:tc>
        <w:tc>
          <w:tcPr>
            <w:tcW w:w="766" w:type="pct"/>
            <w:vAlign w:val="center"/>
          </w:tcPr>
          <w:p w14:paraId="60DA158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硫化物</w:t>
            </w:r>
          </w:p>
        </w:tc>
        <w:tc>
          <w:tcPr>
            <w:tcW w:w="2889" w:type="pct"/>
            <w:vAlign w:val="center"/>
          </w:tcPr>
          <w:p w14:paraId="2979DD1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水质 硫化物的测定 亚甲基蓝分光光度法</w:t>
            </w:r>
          </w:p>
          <w:p w14:paraId="4323F33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HJ 1226-2021</w:t>
            </w:r>
          </w:p>
        </w:tc>
        <w:tc>
          <w:tcPr>
            <w:tcW w:w="654" w:type="pct"/>
            <w:vAlign w:val="center"/>
          </w:tcPr>
          <w:p w14:paraId="5536EE88">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0.01mg/L</w:t>
            </w:r>
          </w:p>
        </w:tc>
      </w:tr>
      <w:tr w14:paraId="0FB2F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91" w:type="pct"/>
            <w:vMerge w:val="continue"/>
            <w:vAlign w:val="center"/>
          </w:tcPr>
          <w:p w14:paraId="6DC1640C">
            <w:pPr>
              <w:spacing w:line="240" w:lineRule="auto"/>
              <w:ind w:firstLine="0" w:firstLineChars="0"/>
              <w:jc w:val="center"/>
              <w:rPr>
                <w:rFonts w:cs="Times New Roman"/>
                <w:sz w:val="21"/>
                <w:szCs w:val="21"/>
                <w14:ligatures w14:val="none"/>
              </w:rPr>
            </w:pPr>
          </w:p>
        </w:tc>
        <w:tc>
          <w:tcPr>
            <w:tcW w:w="766" w:type="pct"/>
            <w:vAlign w:val="center"/>
          </w:tcPr>
          <w:p w14:paraId="2F280A9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挥发酚</w:t>
            </w:r>
          </w:p>
        </w:tc>
        <w:tc>
          <w:tcPr>
            <w:tcW w:w="2889" w:type="pct"/>
            <w:vAlign w:val="center"/>
          </w:tcPr>
          <w:p w14:paraId="2E2BCC0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水质 挥发酚的测定 4-氨基安替比林分光光度法</w:t>
            </w:r>
          </w:p>
          <w:p w14:paraId="613EFBB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HJ 503-2009</w:t>
            </w:r>
          </w:p>
        </w:tc>
        <w:tc>
          <w:tcPr>
            <w:tcW w:w="654" w:type="pct"/>
            <w:vAlign w:val="center"/>
          </w:tcPr>
          <w:p w14:paraId="484B66C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0.0003mg/L</w:t>
            </w:r>
          </w:p>
        </w:tc>
      </w:tr>
    </w:tbl>
    <w:p w14:paraId="5F82F577">
      <w:pPr>
        <w:ind w:firstLine="482"/>
        <w:rPr>
          <w:b/>
          <w:bCs/>
        </w:rPr>
      </w:pPr>
      <w:r>
        <w:rPr>
          <w:rFonts w:hint="eastAsia"/>
          <w:b/>
          <w:bCs/>
        </w:rPr>
        <w:t>（4）监测结果分析与评价</w:t>
      </w:r>
    </w:p>
    <w:p w14:paraId="3E0FCEDE">
      <w:pPr>
        <w:ind w:firstLine="480"/>
      </w:pPr>
      <w:r>
        <w:rPr>
          <w:rFonts w:hint="eastAsia"/>
        </w:rPr>
        <w:t>地表水环境补充监测结果见表3.5-9。</w:t>
      </w:r>
    </w:p>
    <w:p w14:paraId="7F7FDF0E">
      <w:pPr>
        <w:pStyle w:val="39"/>
        <w:ind w:left="900" w:hanging="420" w:firstLineChars="0"/>
        <w:rPr>
          <w:rFonts w:cs="Times New Roman"/>
        </w:rPr>
      </w:pPr>
      <w:r>
        <w:rPr>
          <w:rFonts w:cs="Times New Roman"/>
          <w:bCs/>
        </w:rPr>
        <w:t>1）</w:t>
      </w:r>
      <w:r>
        <w:rPr>
          <w:rFonts w:cs="Times New Roman"/>
        </w:rPr>
        <w:t>评价标准</w:t>
      </w:r>
    </w:p>
    <w:p w14:paraId="679D1611">
      <w:pPr>
        <w:ind w:firstLine="480"/>
        <w:rPr>
          <w:rFonts w:cs="Times New Roman"/>
        </w:rPr>
      </w:pPr>
      <w:r>
        <w:rPr>
          <w:rFonts w:cs="Times New Roman"/>
        </w:rPr>
        <w:t>本次环评采用单项水质参数评价模式，在各项水质参数评价中，对某一水质参数的现状浓度采用多次监测的平均浓度值。单因子污染指数计算公式为：</w:t>
      </w:r>
    </w:p>
    <w:p w14:paraId="10647F4B">
      <w:pPr>
        <w:ind w:firstLine="480"/>
        <w:rPr>
          <w:rFonts w:cs="Times New Roman"/>
        </w:rPr>
      </w:pPr>
      <m:oMathPara>
        <m:oMath>
          <m:sSub>
            <m:sSubPr>
              <m:ctrlPr>
                <w:rPr>
                  <w:rFonts w:ascii="Cambria Math" w:hAnsi="Cambria Math" w:cs="Times New Roman"/>
                  <w:i/>
                </w:rPr>
              </m:ctrlPr>
            </m:sSubPr>
            <m:e>
              <m:r>
                <m:rPr/>
                <w:rPr>
                  <w:rFonts w:ascii="Cambria Math" w:hAnsi="Cambria Math" w:cs="Times New Roman"/>
                </w:rPr>
                <m:t>S</m:t>
              </m:r>
              <m:ctrlPr>
                <w:rPr>
                  <w:rFonts w:ascii="Cambria Math" w:hAnsi="Cambria Math" w:cs="Times New Roman"/>
                  <w:i/>
                </w:rPr>
              </m:ctrlPr>
            </m:e>
            <m:sub>
              <m:r>
                <m:rPr/>
                <w:rPr>
                  <w:rFonts w:ascii="Cambria Math" w:hAnsi="Cambria Math" w:cs="Times New Roman"/>
                </w:rPr>
                <m:t>ij</m:t>
              </m:r>
              <m:ctrlPr>
                <w:rPr>
                  <w:rFonts w:ascii="Cambria Math" w:hAnsi="Cambria Math" w:cs="Times New Roman"/>
                  <w:i/>
                </w:rPr>
              </m:ctrlPr>
            </m:sub>
          </m:sSub>
          <m:r>
            <m:rPr/>
            <w:rPr>
              <w:rFonts w:ascii="Cambria Math" w:hAnsi="Cambria Math" w:cs="Times New Roman"/>
            </w:rPr>
            <m:t>=</m:t>
          </m:r>
          <m:f>
            <m:fPr>
              <m:type m:val="lin"/>
              <m:ctrlPr>
                <w:rPr>
                  <w:rFonts w:ascii="Cambria Math" w:hAnsi="Cambria Math" w:cs="Times New Roman"/>
                  <w:i/>
                </w:rPr>
              </m:ctrlPr>
            </m:fPr>
            <m:num>
              <m:sSub>
                <m:sSubPr>
                  <m:ctrlPr>
                    <w:rPr>
                      <w:rFonts w:ascii="Cambria Math" w:hAnsi="Cambria Math" w:cs="Times New Roman"/>
                      <w:i/>
                    </w:rPr>
                  </m:ctrlPr>
                </m:sSubPr>
                <m:e>
                  <m:r>
                    <m:rPr/>
                    <w:rPr>
                      <w:rFonts w:ascii="Cambria Math" w:hAnsi="Cambria Math" w:cs="Times New Roman"/>
                    </w:rPr>
                    <m:t>C</m:t>
                  </m:r>
                  <m:ctrlPr>
                    <w:rPr>
                      <w:rFonts w:ascii="Cambria Math" w:hAnsi="Cambria Math" w:cs="Times New Roman"/>
                      <w:i/>
                    </w:rPr>
                  </m:ctrlPr>
                </m:e>
                <m:sub>
                  <m:r>
                    <m:rPr/>
                    <w:rPr>
                      <w:rFonts w:ascii="Cambria Math" w:hAnsi="Cambria Math" w:cs="Times New Roman"/>
                    </w:rPr>
                    <m:t>ij</m:t>
                  </m:r>
                  <m:ctrlPr>
                    <w:rPr>
                      <w:rFonts w:ascii="Cambria Math" w:hAnsi="Cambria Math" w:cs="Times New Roman"/>
                      <w:i/>
                    </w:rPr>
                  </m:ctrlPr>
                </m:sub>
              </m:sSub>
              <m:ctrlPr>
                <w:rPr>
                  <w:rFonts w:ascii="Cambria Math" w:hAnsi="Cambria Math" w:cs="Times New Roman"/>
                  <w:i/>
                </w:rPr>
              </m:ctrlPr>
            </m:num>
            <m:den>
              <m:sSub>
                <m:sSubPr>
                  <m:ctrlPr>
                    <w:rPr>
                      <w:rFonts w:ascii="Cambria Math" w:hAnsi="Cambria Math" w:cs="Times New Roman"/>
                      <w:i/>
                    </w:rPr>
                  </m:ctrlPr>
                </m:sSubPr>
                <m:e>
                  <m:r>
                    <m:rPr/>
                    <w:rPr>
                      <w:rFonts w:ascii="Cambria Math" w:hAnsi="Cambria Math" w:cs="Times New Roman"/>
                    </w:rPr>
                    <m:t>C</m:t>
                  </m:r>
                  <m:ctrlPr>
                    <w:rPr>
                      <w:rFonts w:ascii="Cambria Math" w:hAnsi="Cambria Math" w:cs="Times New Roman"/>
                      <w:i/>
                    </w:rPr>
                  </m:ctrlPr>
                </m:e>
                <m:sub>
                  <m:r>
                    <m:rPr/>
                    <w:rPr>
                      <w:rFonts w:ascii="Cambria Math" w:hAnsi="Cambria Math" w:cs="Times New Roman"/>
                    </w:rPr>
                    <m:t>sj</m:t>
                  </m:r>
                  <m:ctrlPr>
                    <w:rPr>
                      <w:rFonts w:ascii="Cambria Math" w:hAnsi="Cambria Math" w:cs="Times New Roman"/>
                      <w:i/>
                    </w:rPr>
                  </m:ctrlPr>
                </m:sub>
              </m:sSub>
              <m:ctrlPr>
                <w:rPr>
                  <w:rFonts w:ascii="Cambria Math" w:hAnsi="Cambria Math" w:cs="Times New Roman"/>
                  <w:i/>
                </w:rPr>
              </m:ctrlPr>
            </m:den>
          </m:f>
        </m:oMath>
      </m:oMathPara>
    </w:p>
    <w:p w14:paraId="7A74100C">
      <w:pPr>
        <w:ind w:firstLine="480"/>
        <w:rPr>
          <w:rFonts w:cs="Times New Roman"/>
        </w:rPr>
      </w:pPr>
      <w:r>
        <w:rPr>
          <w:rFonts w:cs="Times New Roman"/>
        </w:rPr>
        <w:t>式中：</w:t>
      </w:r>
      <m:oMath>
        <m:sSub>
          <m:sSubPr>
            <m:ctrlPr>
              <w:rPr>
                <w:rFonts w:ascii="Cambria Math" w:hAnsi="Cambria Math" w:cs="Times New Roman"/>
                <w:i/>
              </w:rPr>
            </m:ctrlPr>
          </m:sSubPr>
          <m:e>
            <m:r>
              <m:rPr/>
              <w:rPr>
                <w:rFonts w:ascii="Cambria Math" w:hAnsi="Cambria Math" w:cs="Times New Roman"/>
              </w:rPr>
              <m:t>S</m:t>
            </m:r>
            <m:ctrlPr>
              <w:rPr>
                <w:rFonts w:ascii="Cambria Math" w:hAnsi="Cambria Math" w:cs="Times New Roman"/>
                <w:i/>
              </w:rPr>
            </m:ctrlPr>
          </m:e>
          <m:sub>
            <m:r>
              <m:rPr/>
              <w:rPr>
                <w:rFonts w:ascii="Cambria Math" w:hAnsi="Cambria Math" w:cs="Times New Roman"/>
              </w:rPr>
              <m:t>ij</m:t>
            </m:r>
            <m:ctrlPr>
              <w:rPr>
                <w:rFonts w:ascii="Cambria Math" w:hAnsi="Cambria Math" w:cs="Times New Roman"/>
                <w:i/>
              </w:rPr>
            </m:ctrlPr>
          </m:sub>
        </m:sSub>
      </m:oMath>
      <w:r>
        <w:rPr>
          <w:rFonts w:cs="Times New Roman"/>
        </w:rPr>
        <w:t>：第</w:t>
      </w:r>
      <m:oMath>
        <m:r>
          <m:rPr/>
          <w:rPr>
            <w:rFonts w:ascii="Cambria Math" w:hAnsi="Cambria Math" w:cs="Times New Roman"/>
          </w:rPr>
          <m:t>i</m:t>
        </m:r>
      </m:oMath>
      <w:r>
        <w:rPr>
          <w:rFonts w:cs="Times New Roman"/>
        </w:rPr>
        <w:t>种污染物在第</w:t>
      </w:r>
      <m:oMath>
        <m:r>
          <m:rPr/>
          <w:rPr>
            <w:rFonts w:ascii="Cambria Math" w:hAnsi="Cambria Math" w:cs="Times New Roman"/>
          </w:rPr>
          <m:t>j</m:t>
        </m:r>
      </m:oMath>
      <w:r>
        <w:rPr>
          <w:rFonts w:cs="Times New Roman"/>
        </w:rPr>
        <w:t>点的标准指数；</w:t>
      </w:r>
    </w:p>
    <w:p w14:paraId="51989837">
      <w:pPr>
        <w:ind w:firstLine="1200" w:firstLineChars="500"/>
        <w:rPr>
          <w:rFonts w:cs="Times New Roman"/>
        </w:rPr>
      </w:pPr>
      <m:oMath>
        <m:sSub>
          <m:sSubPr>
            <m:ctrlPr>
              <w:rPr>
                <w:rFonts w:ascii="Cambria Math" w:hAnsi="Cambria Math" w:cs="Times New Roman"/>
                <w:i/>
              </w:rPr>
            </m:ctrlPr>
          </m:sSubPr>
          <m:e>
            <m:r>
              <m:rPr/>
              <w:rPr>
                <w:rFonts w:ascii="Cambria Math" w:hAnsi="Cambria Math" w:cs="Times New Roman"/>
              </w:rPr>
              <m:t>C</m:t>
            </m:r>
            <m:ctrlPr>
              <w:rPr>
                <w:rFonts w:ascii="Cambria Math" w:hAnsi="Cambria Math" w:cs="Times New Roman"/>
                <w:i/>
              </w:rPr>
            </m:ctrlPr>
          </m:e>
          <m:sub>
            <m:r>
              <m:rPr/>
              <w:rPr>
                <w:rFonts w:ascii="Cambria Math" w:hAnsi="Cambria Math" w:cs="Times New Roman"/>
              </w:rPr>
              <m:t>ij</m:t>
            </m:r>
            <m:ctrlPr>
              <w:rPr>
                <w:rFonts w:ascii="Cambria Math" w:hAnsi="Cambria Math" w:cs="Times New Roman"/>
                <w:i/>
              </w:rPr>
            </m:ctrlPr>
          </m:sub>
        </m:sSub>
      </m:oMath>
      <w:r>
        <w:rPr>
          <w:rFonts w:cs="Times New Roman"/>
        </w:rPr>
        <w:t>：第</w:t>
      </w:r>
      <m:oMath>
        <m:r>
          <m:rPr/>
          <w:rPr>
            <w:rFonts w:ascii="Cambria Math" w:hAnsi="Cambria Math" w:cs="Times New Roman"/>
          </w:rPr>
          <m:t>i</m:t>
        </m:r>
      </m:oMath>
      <w:r>
        <w:rPr>
          <w:rFonts w:cs="Times New Roman"/>
        </w:rPr>
        <w:t>种污染物在第</w:t>
      </w:r>
      <m:oMath>
        <m:r>
          <m:rPr/>
          <w:rPr>
            <w:rFonts w:ascii="Cambria Math" w:hAnsi="Cambria Math" w:cs="Times New Roman"/>
          </w:rPr>
          <m:t>j</m:t>
        </m:r>
      </m:oMath>
      <w:r>
        <w:rPr>
          <w:rFonts w:cs="Times New Roman"/>
        </w:rPr>
        <w:t>点的监测平均浓度值，mg/L；</w:t>
      </w:r>
    </w:p>
    <w:p w14:paraId="6614598F">
      <w:pPr>
        <w:ind w:firstLine="1200" w:firstLineChars="500"/>
        <w:rPr>
          <w:rFonts w:cs="Times New Roman"/>
        </w:rPr>
      </w:pPr>
      <m:oMath>
        <m:sSub>
          <m:sSubPr>
            <m:ctrlPr>
              <w:rPr>
                <w:rFonts w:ascii="Cambria Math" w:hAnsi="Cambria Math" w:cs="Times New Roman"/>
                <w:i/>
              </w:rPr>
            </m:ctrlPr>
          </m:sSubPr>
          <m:e>
            <m:r>
              <m:rPr/>
              <w:rPr>
                <w:rFonts w:ascii="Cambria Math" w:hAnsi="Cambria Math" w:cs="Times New Roman"/>
              </w:rPr>
              <m:t>C</m:t>
            </m:r>
            <m:ctrlPr>
              <w:rPr>
                <w:rFonts w:ascii="Cambria Math" w:hAnsi="Cambria Math" w:cs="Times New Roman"/>
                <w:i/>
              </w:rPr>
            </m:ctrlPr>
          </m:e>
          <m:sub>
            <m:r>
              <m:rPr/>
              <w:rPr>
                <w:rFonts w:ascii="Cambria Math" w:hAnsi="Cambria Math" w:cs="Times New Roman"/>
              </w:rPr>
              <m:t>sj</m:t>
            </m:r>
            <m:ctrlPr>
              <w:rPr>
                <w:rFonts w:ascii="Cambria Math" w:hAnsi="Cambria Math" w:cs="Times New Roman"/>
                <w:i/>
              </w:rPr>
            </m:ctrlPr>
          </m:sub>
        </m:sSub>
      </m:oMath>
      <w:r>
        <w:rPr>
          <w:rFonts w:cs="Times New Roman"/>
        </w:rPr>
        <w:t>：第i种污染物的地表水水质标准值，mg/L；</w:t>
      </w:r>
    </w:p>
    <w:p w14:paraId="35BCAC26">
      <w:pPr>
        <w:ind w:firstLine="480"/>
        <w:rPr>
          <w:rFonts w:cs="Times New Roman"/>
        </w:rPr>
      </w:pPr>
      <w:r>
        <w:rPr>
          <w:rFonts w:cs="Times New Roman"/>
        </w:rPr>
        <w:t>其中，pH为：</w:t>
      </w:r>
    </w:p>
    <w:p w14:paraId="2225088C">
      <w:pPr>
        <w:widowControl/>
        <w:adjustRightInd w:val="0"/>
        <w:spacing w:line="360" w:lineRule="auto"/>
        <w:ind w:firstLine="0" w:firstLineChars="0"/>
        <w:jc w:val="center"/>
        <w:rPr>
          <w:rFonts w:cs="Times New Roman"/>
          <w:szCs w:val="24"/>
        </w:rPr>
      </w:pPr>
      <m:oMathPara>
        <m:oMath>
          <m:sSub>
            <m:sSubPr>
              <m:ctrlPr>
                <w:rPr>
                  <w:rFonts w:ascii="Cambria Math" w:hAnsi="Cambria Math" w:cs="Times New Roman"/>
                  <w:i/>
                  <w:szCs w:val="24"/>
                </w:rPr>
              </m:ctrlPr>
            </m:sSubPr>
            <m:e>
              <m:r>
                <m:rPr/>
                <w:rPr>
                  <w:rFonts w:ascii="Cambria Math" w:cs="Times New Roman"/>
                  <w:szCs w:val="24"/>
                </w:rPr>
                <m:t>S</m:t>
              </m:r>
              <m:ctrlPr>
                <w:rPr>
                  <w:rFonts w:ascii="Cambria Math" w:hAnsi="Cambria Math" w:cs="Times New Roman"/>
                  <w:i/>
                  <w:szCs w:val="24"/>
                </w:rPr>
              </m:ctrlPr>
            </m:e>
            <m:sub>
              <m:r>
                <m:rPr/>
                <w:rPr>
                  <w:rFonts w:ascii="Cambria Math" w:cs="Times New Roman"/>
                  <w:szCs w:val="24"/>
                </w:rPr>
                <m:t>pH,j</m:t>
              </m:r>
              <m:ctrlPr>
                <w:rPr>
                  <w:rFonts w:ascii="Cambria Math" w:hAnsi="Cambria Math" w:cs="Times New Roman"/>
                  <w:i/>
                  <w:szCs w:val="24"/>
                </w:rPr>
              </m:ctrlPr>
            </m:sub>
          </m:sSub>
          <m:r>
            <m:rPr/>
            <w:rPr>
              <w:rFonts w:ascii="Cambria Math" w:cs="Times New Roman"/>
              <w:szCs w:val="24"/>
            </w:rPr>
            <m:t>=</m:t>
          </m:r>
          <m:f>
            <m:fPr>
              <m:ctrlPr>
                <w:rPr>
                  <w:rFonts w:ascii="Cambria Math" w:hAnsi="Cambria Math" w:cs="Times New Roman"/>
                  <w:i/>
                  <w:szCs w:val="24"/>
                </w:rPr>
              </m:ctrlPr>
            </m:fPr>
            <m:num>
              <m:r>
                <m:rPr/>
                <w:rPr>
                  <w:rFonts w:ascii="Cambria Math" w:cs="Times New Roman"/>
                  <w:szCs w:val="24"/>
                </w:rPr>
                <m:t>7.0−p</m:t>
              </m:r>
              <m:sSub>
                <m:sSubPr>
                  <m:ctrlPr>
                    <w:rPr>
                      <w:rFonts w:ascii="Cambria Math" w:hAnsi="Cambria Math" w:cs="Times New Roman"/>
                      <w:i/>
                      <w:szCs w:val="24"/>
                    </w:rPr>
                  </m:ctrlPr>
                </m:sSubPr>
                <m:e>
                  <m:r>
                    <m:rPr/>
                    <w:rPr>
                      <w:rFonts w:ascii="Cambria Math" w:cs="Times New Roman"/>
                      <w:szCs w:val="24"/>
                    </w:rPr>
                    <m:t>H</m:t>
                  </m:r>
                  <m:ctrlPr>
                    <w:rPr>
                      <w:rFonts w:ascii="Cambria Math" w:hAnsi="Cambria Math" w:cs="Times New Roman"/>
                      <w:i/>
                      <w:szCs w:val="24"/>
                    </w:rPr>
                  </m:ctrlPr>
                </m:e>
                <m:sub>
                  <m:r>
                    <m:rPr/>
                    <w:rPr>
                      <w:rFonts w:ascii="Cambria Math" w:cs="Times New Roman"/>
                      <w:szCs w:val="24"/>
                    </w:rPr>
                    <m:t>j</m:t>
                  </m:r>
                  <m:ctrlPr>
                    <w:rPr>
                      <w:rFonts w:ascii="Cambria Math" w:hAnsi="Cambria Math" w:cs="Times New Roman"/>
                      <w:i/>
                      <w:szCs w:val="24"/>
                    </w:rPr>
                  </m:ctrlPr>
                </m:sub>
              </m:sSub>
              <m:ctrlPr>
                <w:rPr>
                  <w:rFonts w:ascii="Cambria Math" w:hAnsi="Cambria Math" w:cs="Times New Roman"/>
                  <w:i/>
                  <w:szCs w:val="24"/>
                </w:rPr>
              </m:ctrlPr>
            </m:num>
            <m:den>
              <m:r>
                <m:rPr/>
                <w:rPr>
                  <w:rFonts w:ascii="Cambria Math" w:cs="Times New Roman"/>
                  <w:szCs w:val="24"/>
                </w:rPr>
                <m:t>7.0−p</m:t>
              </m:r>
              <m:sSub>
                <m:sSubPr>
                  <m:ctrlPr>
                    <w:rPr>
                      <w:rFonts w:ascii="Cambria Math" w:hAnsi="Cambria Math" w:cs="Times New Roman"/>
                      <w:i/>
                      <w:szCs w:val="24"/>
                    </w:rPr>
                  </m:ctrlPr>
                </m:sSubPr>
                <m:e>
                  <m:r>
                    <m:rPr/>
                    <w:rPr>
                      <w:rFonts w:ascii="Cambria Math" w:cs="Times New Roman"/>
                      <w:szCs w:val="24"/>
                    </w:rPr>
                    <m:t>H</m:t>
                  </m:r>
                  <m:ctrlPr>
                    <w:rPr>
                      <w:rFonts w:ascii="Cambria Math" w:hAnsi="Cambria Math" w:cs="Times New Roman"/>
                      <w:i/>
                      <w:szCs w:val="24"/>
                    </w:rPr>
                  </m:ctrlPr>
                </m:e>
                <m:sub>
                  <m:r>
                    <m:rPr/>
                    <w:rPr>
                      <w:rFonts w:ascii="Cambria Math" w:cs="Times New Roman"/>
                      <w:szCs w:val="24"/>
                    </w:rPr>
                    <m:t>Sd</m:t>
                  </m:r>
                  <m:ctrlPr>
                    <w:rPr>
                      <w:rFonts w:ascii="Cambria Math" w:hAnsi="Cambria Math" w:cs="Times New Roman"/>
                      <w:i/>
                      <w:szCs w:val="24"/>
                    </w:rPr>
                  </m:ctrlPr>
                </m:sub>
              </m:sSub>
              <m:ctrlPr>
                <w:rPr>
                  <w:rFonts w:ascii="Cambria Math" w:hAnsi="Cambria Math" w:cs="Times New Roman"/>
                  <w:i/>
                  <w:szCs w:val="24"/>
                </w:rPr>
              </m:ctrlPr>
            </m:den>
          </m:f>
          <m:r>
            <m:rPr>
              <m:nor/>
              <m:sty m:val="p"/>
            </m:rPr>
            <w:rPr>
              <w:rFonts w:ascii="Cambria Math" w:cs="Times New Roman"/>
              <w:szCs w:val="24"/>
            </w:rPr>
            <m:t xml:space="preserve">        p</m:t>
          </m:r>
          <m:sSub>
            <m:sSubPr>
              <m:ctrlPr>
                <w:rPr>
                  <w:rFonts w:ascii="Cambria Math" w:hAnsi="Cambria Math" w:cs="Times New Roman"/>
                  <w:szCs w:val="24"/>
                </w:rPr>
              </m:ctrlPr>
            </m:sSubPr>
            <m:e>
              <m:r>
                <m:rPr>
                  <m:nor/>
                  <m:sty m:val="p"/>
                </m:rPr>
                <w:rPr>
                  <w:rFonts w:ascii="Cambria Math" w:cs="Times New Roman"/>
                  <w:szCs w:val="24"/>
                </w:rPr>
                <m:t>H</m:t>
              </m:r>
              <m:ctrlPr>
                <w:rPr>
                  <w:rFonts w:ascii="Cambria Math" w:hAnsi="Cambria Math" w:cs="Times New Roman"/>
                  <w:szCs w:val="24"/>
                </w:rPr>
              </m:ctrlPr>
            </m:e>
            <m:sub>
              <m:r>
                <m:rPr/>
                <w:rPr>
                  <w:rFonts w:ascii="Cambria Math" w:cs="Times New Roman"/>
                  <w:szCs w:val="24"/>
                </w:rPr>
                <m:t>j</m:t>
              </m:r>
              <m:ctrlPr>
                <w:rPr>
                  <w:rFonts w:ascii="Cambria Math" w:hAnsi="Cambria Math" w:cs="Times New Roman"/>
                  <w:i/>
                  <w:szCs w:val="24"/>
                </w:rPr>
              </m:ctrlPr>
            </m:sub>
          </m:sSub>
          <m:r>
            <m:rPr/>
            <w:rPr>
              <w:rFonts w:ascii="Cambria Math" w:cs="Times New Roman"/>
              <w:szCs w:val="24"/>
            </w:rPr>
            <m:t>≤</m:t>
          </m:r>
          <m:r>
            <m:rPr>
              <m:nor/>
              <m:sty m:val="p"/>
            </m:rPr>
            <w:rPr>
              <w:rFonts w:ascii="Cambria Math" w:cs="Times New Roman"/>
              <w:szCs w:val="24"/>
            </w:rPr>
            <m:t>7.0</m:t>
          </m:r>
        </m:oMath>
      </m:oMathPara>
    </w:p>
    <w:p w14:paraId="01C59511">
      <w:pPr>
        <w:widowControl/>
        <w:adjustRightInd w:val="0"/>
        <w:spacing w:line="360" w:lineRule="auto"/>
        <w:ind w:firstLine="0" w:firstLineChars="0"/>
        <w:jc w:val="center"/>
        <w:rPr>
          <w:rFonts w:cs="Times New Roman"/>
          <w:position w:val="-30"/>
          <w:szCs w:val="24"/>
        </w:rPr>
      </w:pPr>
      <m:oMathPara>
        <m:oMath>
          <m:sSub>
            <m:sSubPr>
              <m:ctrlPr>
                <w:rPr>
                  <w:rFonts w:ascii="Cambria Math" w:hAnsi="Cambria Math" w:cs="Times New Roman"/>
                  <w:i/>
                  <w:szCs w:val="24"/>
                </w:rPr>
              </m:ctrlPr>
            </m:sSubPr>
            <m:e>
              <m:r>
                <m:rPr/>
                <w:rPr>
                  <w:rFonts w:ascii="Cambria Math" w:cs="Times New Roman"/>
                  <w:szCs w:val="24"/>
                </w:rPr>
                <m:t>S</m:t>
              </m:r>
              <m:ctrlPr>
                <w:rPr>
                  <w:rFonts w:ascii="Cambria Math" w:hAnsi="Cambria Math" w:cs="Times New Roman"/>
                  <w:i/>
                  <w:szCs w:val="24"/>
                </w:rPr>
              </m:ctrlPr>
            </m:e>
            <m:sub>
              <m:r>
                <m:rPr/>
                <w:rPr>
                  <w:rFonts w:ascii="Cambria Math" w:cs="Times New Roman"/>
                  <w:szCs w:val="24"/>
                </w:rPr>
                <m:t>pH,j</m:t>
              </m:r>
              <m:ctrlPr>
                <w:rPr>
                  <w:rFonts w:ascii="Cambria Math" w:hAnsi="Cambria Math" w:cs="Times New Roman"/>
                  <w:i/>
                  <w:szCs w:val="24"/>
                </w:rPr>
              </m:ctrlPr>
            </m:sub>
          </m:sSub>
          <m:r>
            <m:rPr/>
            <w:rPr>
              <w:rFonts w:ascii="Cambria Math" w:cs="Times New Roman"/>
              <w:szCs w:val="24"/>
            </w:rPr>
            <m:t>=</m:t>
          </m:r>
          <m:f>
            <m:fPr>
              <m:ctrlPr>
                <w:rPr>
                  <w:rFonts w:ascii="Cambria Math" w:hAnsi="Cambria Math" w:cs="Times New Roman"/>
                  <w:i/>
                  <w:szCs w:val="24"/>
                </w:rPr>
              </m:ctrlPr>
            </m:fPr>
            <m:num>
              <m:r>
                <m:rPr/>
                <w:rPr>
                  <w:rFonts w:ascii="Cambria Math" w:cs="Times New Roman"/>
                  <w:szCs w:val="24"/>
                </w:rPr>
                <m:t>p</m:t>
              </m:r>
              <m:sSub>
                <m:sSubPr>
                  <m:ctrlPr>
                    <w:rPr>
                      <w:rFonts w:ascii="Cambria Math" w:hAnsi="Cambria Math" w:cs="Times New Roman"/>
                      <w:i/>
                      <w:szCs w:val="24"/>
                    </w:rPr>
                  </m:ctrlPr>
                </m:sSubPr>
                <m:e>
                  <m:r>
                    <m:rPr/>
                    <w:rPr>
                      <w:rFonts w:ascii="Cambria Math" w:cs="Times New Roman"/>
                      <w:szCs w:val="24"/>
                    </w:rPr>
                    <m:t>H</m:t>
                  </m:r>
                  <m:ctrlPr>
                    <w:rPr>
                      <w:rFonts w:ascii="Cambria Math" w:hAnsi="Cambria Math" w:cs="Times New Roman"/>
                      <w:i/>
                      <w:szCs w:val="24"/>
                    </w:rPr>
                  </m:ctrlPr>
                </m:e>
                <m:sub>
                  <m:r>
                    <m:rPr/>
                    <w:rPr>
                      <w:rFonts w:ascii="Cambria Math" w:cs="Times New Roman"/>
                      <w:szCs w:val="24"/>
                    </w:rPr>
                    <m:t>j</m:t>
                  </m:r>
                  <m:ctrlPr>
                    <w:rPr>
                      <w:rFonts w:ascii="Cambria Math" w:hAnsi="Cambria Math" w:cs="Times New Roman"/>
                      <w:i/>
                      <w:szCs w:val="24"/>
                    </w:rPr>
                  </m:ctrlPr>
                </m:sub>
              </m:sSub>
              <m:r>
                <m:rPr/>
                <w:rPr>
                  <w:rFonts w:ascii="Cambria Math" w:cs="Times New Roman"/>
                  <w:szCs w:val="24"/>
                </w:rPr>
                <m:t>−7.0</m:t>
              </m:r>
              <m:ctrlPr>
                <w:rPr>
                  <w:rFonts w:ascii="Cambria Math" w:hAnsi="Cambria Math" w:cs="Times New Roman"/>
                  <w:i/>
                  <w:szCs w:val="24"/>
                </w:rPr>
              </m:ctrlPr>
            </m:num>
            <m:den>
              <m:r>
                <m:rPr/>
                <w:rPr>
                  <w:rFonts w:ascii="Cambria Math" w:cs="Times New Roman"/>
                  <w:szCs w:val="24"/>
                </w:rPr>
                <m:t>p</m:t>
              </m:r>
              <m:sSub>
                <m:sSubPr>
                  <m:ctrlPr>
                    <w:rPr>
                      <w:rFonts w:ascii="Cambria Math" w:hAnsi="Cambria Math" w:cs="Times New Roman"/>
                      <w:i/>
                      <w:szCs w:val="24"/>
                    </w:rPr>
                  </m:ctrlPr>
                </m:sSubPr>
                <m:e>
                  <m:r>
                    <m:rPr/>
                    <w:rPr>
                      <w:rFonts w:ascii="Cambria Math" w:cs="Times New Roman"/>
                      <w:szCs w:val="24"/>
                    </w:rPr>
                    <m:t>H</m:t>
                  </m:r>
                  <m:ctrlPr>
                    <w:rPr>
                      <w:rFonts w:ascii="Cambria Math" w:hAnsi="Cambria Math" w:cs="Times New Roman"/>
                      <w:i/>
                      <w:szCs w:val="24"/>
                    </w:rPr>
                  </m:ctrlPr>
                </m:e>
                <m:sub>
                  <m:r>
                    <m:rPr/>
                    <w:rPr>
                      <w:rFonts w:ascii="Cambria Math" w:cs="Times New Roman"/>
                      <w:szCs w:val="24"/>
                    </w:rPr>
                    <m:t>Su</m:t>
                  </m:r>
                  <m:ctrlPr>
                    <w:rPr>
                      <w:rFonts w:ascii="Cambria Math" w:hAnsi="Cambria Math" w:cs="Times New Roman"/>
                      <w:i/>
                      <w:szCs w:val="24"/>
                    </w:rPr>
                  </m:ctrlPr>
                </m:sub>
              </m:sSub>
              <m:r>
                <m:rPr/>
                <w:rPr>
                  <w:rFonts w:ascii="Cambria Math" w:cs="Times New Roman"/>
                  <w:szCs w:val="24"/>
                </w:rPr>
                <m:t>−7.0</m:t>
              </m:r>
              <m:ctrlPr>
                <w:rPr>
                  <w:rFonts w:ascii="Cambria Math" w:hAnsi="Cambria Math" w:cs="Times New Roman"/>
                  <w:i/>
                  <w:szCs w:val="24"/>
                </w:rPr>
              </m:ctrlPr>
            </m:den>
          </m:f>
          <m:r>
            <m:rPr>
              <m:nor/>
              <m:sty m:val="p"/>
            </m:rPr>
            <w:rPr>
              <w:rFonts w:ascii="Cambria Math" w:cs="Times New Roman"/>
              <w:szCs w:val="24"/>
            </w:rPr>
            <m:t xml:space="preserve">      p</m:t>
          </m:r>
          <m:sSub>
            <m:sSubPr>
              <m:ctrlPr>
                <w:rPr>
                  <w:rFonts w:ascii="Cambria Math" w:hAnsi="Cambria Math" w:cs="Times New Roman"/>
                  <w:szCs w:val="24"/>
                </w:rPr>
              </m:ctrlPr>
            </m:sSubPr>
            <m:e>
              <m:r>
                <m:rPr>
                  <m:nor/>
                  <m:sty m:val="p"/>
                </m:rPr>
                <w:rPr>
                  <w:rFonts w:ascii="Cambria Math" w:cs="Times New Roman"/>
                  <w:szCs w:val="24"/>
                </w:rPr>
                <m:t>H</m:t>
              </m:r>
              <m:ctrlPr>
                <w:rPr>
                  <w:rFonts w:ascii="Cambria Math" w:hAnsi="Cambria Math" w:cs="Times New Roman"/>
                  <w:szCs w:val="24"/>
                </w:rPr>
              </m:ctrlPr>
            </m:e>
            <m:sub>
              <m:r>
                <m:rPr/>
                <w:rPr>
                  <w:rFonts w:ascii="Cambria Math" w:cs="Times New Roman"/>
                  <w:szCs w:val="24"/>
                </w:rPr>
                <m:t>j</m:t>
              </m:r>
              <m:ctrlPr>
                <w:rPr>
                  <w:rFonts w:ascii="Cambria Math" w:hAnsi="Cambria Math" w:cs="Times New Roman"/>
                  <w:i/>
                  <w:szCs w:val="24"/>
                </w:rPr>
              </m:ctrlPr>
            </m:sub>
          </m:sSub>
          <m:r>
            <m:rPr/>
            <w:rPr>
              <w:rFonts w:ascii="Cambria Math" w:cs="Times New Roman"/>
              <w:szCs w:val="24"/>
            </w:rPr>
            <m:t>&gt;</m:t>
          </m:r>
          <m:r>
            <m:rPr>
              <m:nor/>
              <m:sty m:val="p"/>
            </m:rPr>
            <w:rPr>
              <w:rFonts w:ascii="Cambria Math" w:cs="Times New Roman"/>
              <w:szCs w:val="24"/>
            </w:rPr>
            <m:t>7.0</m:t>
          </m:r>
        </m:oMath>
      </m:oMathPara>
    </w:p>
    <w:p w14:paraId="13F4551E">
      <w:pPr>
        <w:spacing w:line="480" w:lineRule="auto"/>
        <w:ind w:firstLine="480"/>
        <w:rPr>
          <w:rFonts w:cs="Times New Roman"/>
        </w:rPr>
      </w:pPr>
      <w:r>
        <w:rPr>
          <w:rFonts w:cs="Times New Roman"/>
        </w:rPr>
        <w:t>式中，</w:t>
      </w:r>
      <m:oMath>
        <m:sSub>
          <m:sSubPr>
            <m:ctrlPr>
              <w:rPr>
                <w:rFonts w:ascii="Cambria Math" w:hAnsi="Cambria Math" w:cs="Times New Roman"/>
                <w:i/>
              </w:rPr>
            </m:ctrlPr>
          </m:sSubPr>
          <m:e>
            <m:r>
              <m:rPr/>
              <w:rPr>
                <w:rFonts w:ascii="Cambria Math" w:hAnsi="Cambria Math" w:cs="Times New Roman"/>
              </w:rPr>
              <m:t>S</m:t>
            </m:r>
            <m:ctrlPr>
              <w:rPr>
                <w:rFonts w:ascii="Cambria Math" w:hAnsi="Cambria Math" w:cs="Times New Roman"/>
                <w:i/>
              </w:rPr>
            </m:ctrlPr>
          </m:e>
          <m:sub>
            <m:r>
              <m:rPr/>
              <w:rPr>
                <w:rFonts w:ascii="Cambria Math" w:hAnsi="Cambria Math" w:cs="Times New Roman"/>
              </w:rPr>
              <m:t>pH,j</m:t>
            </m:r>
            <m:ctrlPr>
              <w:rPr>
                <w:rFonts w:ascii="Cambria Math" w:hAnsi="Cambria Math" w:cs="Times New Roman"/>
                <w:i/>
              </w:rPr>
            </m:ctrlPr>
          </m:sub>
        </m:sSub>
      </m:oMath>
      <w:r>
        <w:rPr>
          <w:rFonts w:cs="Times New Roman"/>
        </w:rPr>
        <w:t>：为水质参数pH在j点的标准指数；</w:t>
      </w:r>
    </w:p>
    <w:p w14:paraId="1F720C43">
      <w:pPr>
        <w:spacing w:line="480" w:lineRule="auto"/>
        <w:ind w:firstLine="1200" w:firstLineChars="500"/>
        <w:rPr>
          <w:rFonts w:cs="Times New Roman"/>
        </w:rPr>
      </w:pPr>
      <m:oMath>
        <m:sSub>
          <m:sSubPr>
            <m:ctrlPr>
              <w:rPr>
                <w:rFonts w:ascii="Cambria Math" w:hAnsi="Cambria Math" w:cs="Times New Roman"/>
                <w:i/>
              </w:rPr>
            </m:ctrlPr>
          </m:sSubPr>
          <m:e>
            <m:r>
              <m:rPr/>
              <w:rPr>
                <w:rFonts w:ascii="Cambria Math" w:hAnsi="Cambria Math" w:cs="Times New Roman"/>
              </w:rPr>
              <m:t>pH</m:t>
            </m:r>
            <m:ctrlPr>
              <w:rPr>
                <w:rFonts w:ascii="Cambria Math" w:hAnsi="Cambria Math" w:cs="Times New Roman"/>
                <w:i/>
              </w:rPr>
            </m:ctrlPr>
          </m:e>
          <m:sub>
            <m:r>
              <m:rPr/>
              <w:rPr>
                <w:rFonts w:ascii="Cambria Math" w:hAnsi="Cambria Math" w:cs="Times New Roman"/>
              </w:rPr>
              <m:t>j</m:t>
            </m:r>
            <m:ctrlPr>
              <w:rPr>
                <w:rFonts w:ascii="Cambria Math" w:hAnsi="Cambria Math" w:cs="Times New Roman"/>
                <w:i/>
              </w:rPr>
            </m:ctrlPr>
          </m:sub>
        </m:sSub>
      </m:oMath>
      <w:r>
        <w:rPr>
          <w:rFonts w:cs="Times New Roman"/>
        </w:rPr>
        <w:t>：为j点的pH值；</w:t>
      </w:r>
    </w:p>
    <w:p w14:paraId="754D1ED5">
      <w:pPr>
        <w:spacing w:line="480" w:lineRule="auto"/>
        <w:ind w:firstLine="1200" w:firstLineChars="500"/>
        <w:rPr>
          <w:rFonts w:cs="Times New Roman"/>
        </w:rPr>
      </w:pPr>
      <m:oMath>
        <m:sSub>
          <m:sSubPr>
            <m:ctrlPr>
              <w:rPr>
                <w:rFonts w:ascii="Cambria Math" w:hAnsi="Cambria Math" w:cs="Times New Roman"/>
                <w:i/>
              </w:rPr>
            </m:ctrlPr>
          </m:sSubPr>
          <m:e>
            <m:r>
              <m:rPr/>
              <w:rPr>
                <w:rFonts w:ascii="Cambria Math" w:hAnsi="Cambria Math" w:cs="Times New Roman"/>
              </w:rPr>
              <m:t>pH</m:t>
            </m:r>
            <m:ctrlPr>
              <w:rPr>
                <w:rFonts w:ascii="Cambria Math" w:hAnsi="Cambria Math" w:cs="Times New Roman"/>
                <w:i/>
              </w:rPr>
            </m:ctrlPr>
          </m:e>
          <m:sub>
            <m:r>
              <m:rPr/>
              <w:rPr>
                <w:rFonts w:ascii="Cambria Math" w:hAnsi="Cambria Math" w:cs="Times New Roman"/>
              </w:rPr>
              <m:t>sd</m:t>
            </m:r>
            <m:ctrlPr>
              <w:rPr>
                <w:rFonts w:ascii="Cambria Math" w:hAnsi="Cambria Math" w:cs="Times New Roman"/>
                <w:i/>
              </w:rPr>
            </m:ctrlPr>
          </m:sub>
        </m:sSub>
      </m:oMath>
      <w:r>
        <w:rPr>
          <w:rFonts w:cs="Times New Roman"/>
        </w:rPr>
        <w:t>：为地表水水质标准中规定的pH值下限；</w:t>
      </w:r>
    </w:p>
    <w:p w14:paraId="2AA4CFEF">
      <w:pPr>
        <w:spacing w:line="480" w:lineRule="auto"/>
        <w:ind w:firstLine="1200" w:firstLineChars="500"/>
        <w:rPr>
          <w:rFonts w:cs="Times New Roman"/>
        </w:rPr>
      </w:pPr>
      <m:oMath>
        <m:sSub>
          <m:sSubPr>
            <m:ctrlPr>
              <w:rPr>
                <w:rFonts w:ascii="Cambria Math" w:hAnsi="Cambria Math" w:cs="Times New Roman"/>
                <w:i/>
              </w:rPr>
            </m:ctrlPr>
          </m:sSubPr>
          <m:e>
            <m:r>
              <m:rPr/>
              <w:rPr>
                <w:rFonts w:ascii="Cambria Math" w:hAnsi="Cambria Math" w:cs="Times New Roman"/>
              </w:rPr>
              <m:t>pH</m:t>
            </m:r>
            <m:ctrlPr>
              <w:rPr>
                <w:rFonts w:ascii="Cambria Math" w:hAnsi="Cambria Math" w:cs="Times New Roman"/>
                <w:i/>
              </w:rPr>
            </m:ctrlPr>
          </m:e>
          <m:sub>
            <m:r>
              <m:rPr/>
              <w:rPr>
                <w:rFonts w:ascii="Cambria Math" w:hAnsi="Cambria Math" w:cs="Times New Roman"/>
              </w:rPr>
              <m:t>su</m:t>
            </m:r>
            <m:ctrlPr>
              <w:rPr>
                <w:rFonts w:ascii="Cambria Math" w:hAnsi="Cambria Math" w:cs="Times New Roman"/>
                <w:i/>
              </w:rPr>
            </m:ctrlPr>
          </m:sub>
        </m:sSub>
      </m:oMath>
      <w:r>
        <w:rPr>
          <w:rFonts w:cs="Times New Roman"/>
        </w:rPr>
        <w:t>：为地表水水质标准中规定的pH值上限。</w:t>
      </w:r>
    </w:p>
    <w:p w14:paraId="0FC9D5B9">
      <w:pPr>
        <w:ind w:firstLine="480"/>
        <w:rPr>
          <w:rFonts w:cs="Times New Roman"/>
        </w:rPr>
      </w:pPr>
      <w:r>
        <w:rPr>
          <w:rFonts w:hint="eastAsia" w:cs="Times New Roman"/>
        </w:rPr>
        <w:t>2</w:t>
      </w:r>
      <w:r>
        <w:rPr>
          <w:rFonts w:cs="Times New Roman"/>
        </w:rPr>
        <w:t>）水环境现状监测结果及评价</w:t>
      </w:r>
    </w:p>
    <w:p w14:paraId="4D18E223">
      <w:pPr>
        <w:ind w:firstLine="480"/>
        <w:rPr>
          <w:rFonts w:cs="Times New Roman"/>
        </w:rPr>
        <w:sectPr>
          <w:pgSz w:w="11906" w:h="16838"/>
          <w:pgMar w:top="1440" w:right="1800" w:bottom="1440" w:left="1800" w:header="851" w:footer="992" w:gutter="0"/>
          <w:cols w:space="425" w:num="1"/>
          <w:docGrid w:type="lines" w:linePitch="312" w:charSpace="0"/>
        </w:sectPr>
      </w:pPr>
      <w:r>
        <w:rPr>
          <w:rFonts w:hint="eastAsia" w:cs="Times New Roman"/>
        </w:rPr>
        <w:t>由监测结果分析可知，W1~W</w:t>
      </w:r>
      <w:r>
        <w:rPr>
          <w:rFonts w:cs="Times New Roman"/>
        </w:rPr>
        <w:t>11</w:t>
      </w:r>
      <w:r>
        <w:rPr>
          <w:rFonts w:hint="eastAsia" w:cs="Times New Roman"/>
        </w:rPr>
        <w:t>监测断面水质监测各项因子均能满足《地表水质量环境标准》（GB3838-2002）中</w:t>
      </w:r>
      <w:r>
        <w:rPr>
          <w:rFonts w:cs="Times New Roman"/>
        </w:rPr>
        <w:t>Ⅲ</w:t>
      </w:r>
      <w:r>
        <w:rPr>
          <w:rFonts w:hint="eastAsia" w:cs="Times New Roman"/>
        </w:rPr>
        <w:t>类水质标准。</w:t>
      </w:r>
      <w:r>
        <w:rPr>
          <w:rFonts w:hint="eastAsia"/>
        </w:rPr>
        <w:t>区域地表水环境质量总体较好。</w:t>
      </w:r>
    </w:p>
    <w:p w14:paraId="4EA840F1">
      <w:pPr>
        <w:pStyle w:val="45"/>
        <w:rPr>
          <w:rFonts w:cs="Times New Roman"/>
        </w:rPr>
      </w:pPr>
      <w:r>
        <w:rPr>
          <w:rFonts w:cs="Times New Roman"/>
        </w:rPr>
        <w:t>表3.5-</w:t>
      </w:r>
      <w:r>
        <w:rPr>
          <w:rFonts w:hint="eastAsia" w:cs="Times New Roman"/>
        </w:rPr>
        <w:t>10</w:t>
      </w:r>
      <w:r>
        <w:rPr>
          <w:rFonts w:cs="Times New Roman"/>
        </w:rPr>
        <w:t xml:space="preserve">  地表水环境质量补充监测结果（单位：单位：pH值无量纲，水温℃，</w:t>
      </w:r>
      <w:r>
        <w:rPr>
          <w:rFonts w:hint="eastAsia" w:cs="Times New Roman"/>
        </w:rPr>
        <w:t>其他均为</w:t>
      </w:r>
      <w:r>
        <w:rPr>
          <w:rFonts w:cs="Times New Roman"/>
        </w:rPr>
        <w:t>mg/L）</w:t>
      </w:r>
    </w:p>
    <w:tbl>
      <w:tblPr>
        <w:tblStyle w:val="25"/>
        <w:tblW w:w="5000" w:type="pct"/>
        <w:tblInd w:w="0" w:type="dxa"/>
        <w:tblLayout w:type="autofit"/>
        <w:tblCellMar>
          <w:top w:w="0" w:type="dxa"/>
          <w:left w:w="108" w:type="dxa"/>
          <w:bottom w:w="0" w:type="dxa"/>
          <w:right w:w="108" w:type="dxa"/>
        </w:tblCellMar>
      </w:tblPr>
      <w:tblGrid>
        <w:gridCol w:w="688"/>
        <w:gridCol w:w="1412"/>
        <w:gridCol w:w="1120"/>
        <w:gridCol w:w="1120"/>
        <w:gridCol w:w="1349"/>
        <w:gridCol w:w="1120"/>
        <w:gridCol w:w="1349"/>
        <w:gridCol w:w="1120"/>
        <w:gridCol w:w="1120"/>
        <w:gridCol w:w="1536"/>
        <w:gridCol w:w="1120"/>
        <w:gridCol w:w="1120"/>
      </w:tblGrid>
      <w:tr w14:paraId="1034B17D">
        <w:tblPrEx>
          <w:tblCellMar>
            <w:top w:w="0" w:type="dxa"/>
            <w:left w:w="108" w:type="dxa"/>
            <w:bottom w:w="0" w:type="dxa"/>
            <w:right w:w="108" w:type="dxa"/>
          </w:tblCellMar>
        </w:tblPrEx>
        <w:trPr>
          <w:trHeight w:val="525" w:hRule="atLeast"/>
          <w:tblHeader/>
        </w:trPr>
        <w:tc>
          <w:tcPr>
            <w:tcW w:w="243" w:type="pct"/>
            <w:tcBorders>
              <w:top w:val="single" w:color="auto" w:sz="8" w:space="0"/>
              <w:left w:val="single" w:color="auto" w:sz="8" w:space="0"/>
              <w:bottom w:val="single" w:color="auto" w:sz="8" w:space="0"/>
              <w:right w:val="single" w:color="auto" w:sz="8" w:space="0"/>
            </w:tcBorders>
            <w:vAlign w:val="center"/>
          </w:tcPr>
          <w:p w14:paraId="27D02A6E">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监测断面</w:t>
            </w:r>
          </w:p>
        </w:tc>
        <w:tc>
          <w:tcPr>
            <w:tcW w:w="498" w:type="pct"/>
            <w:tcBorders>
              <w:top w:val="single" w:color="auto" w:sz="8" w:space="0"/>
              <w:left w:val="nil"/>
              <w:bottom w:val="single" w:color="auto" w:sz="8" w:space="0"/>
              <w:right w:val="single" w:color="auto" w:sz="8" w:space="0"/>
            </w:tcBorders>
            <w:vAlign w:val="center"/>
          </w:tcPr>
          <w:p w14:paraId="77F87F5F">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河流/水库</w:t>
            </w:r>
          </w:p>
        </w:tc>
        <w:tc>
          <w:tcPr>
            <w:tcW w:w="395" w:type="pct"/>
            <w:tcBorders>
              <w:top w:val="single" w:color="auto" w:sz="8" w:space="0"/>
              <w:left w:val="nil"/>
              <w:bottom w:val="single" w:color="auto" w:sz="8" w:space="0"/>
              <w:right w:val="single" w:color="auto" w:sz="8" w:space="0"/>
            </w:tcBorders>
            <w:vAlign w:val="center"/>
          </w:tcPr>
          <w:p w14:paraId="133B4F4F">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项目</w:t>
            </w:r>
          </w:p>
        </w:tc>
        <w:tc>
          <w:tcPr>
            <w:tcW w:w="395" w:type="pct"/>
            <w:tcBorders>
              <w:top w:val="single" w:color="auto" w:sz="8" w:space="0"/>
              <w:left w:val="nil"/>
              <w:bottom w:val="single" w:color="auto" w:sz="8" w:space="0"/>
              <w:right w:val="single" w:color="auto" w:sz="8" w:space="0"/>
            </w:tcBorders>
            <w:vAlign w:val="center"/>
          </w:tcPr>
          <w:p w14:paraId="655E3D79">
            <w:pPr>
              <w:widowControl/>
              <w:spacing w:line="240" w:lineRule="auto"/>
              <w:ind w:firstLine="0" w:firstLineChars="0"/>
              <w:jc w:val="center"/>
              <w:rPr>
                <w:rFonts w:eastAsia="等线" w:cs="Times New Roman"/>
                <w:b/>
                <w:bCs/>
                <w:color w:val="000000"/>
                <w:kern w:val="0"/>
                <w:sz w:val="21"/>
                <w:szCs w:val="21"/>
                <w14:ligatures w14:val="none"/>
              </w:rPr>
            </w:pPr>
            <w:r>
              <w:rPr>
                <w:rFonts w:eastAsia="等线" w:cs="Times New Roman"/>
                <w:b/>
                <w:bCs/>
                <w:color w:val="000000"/>
                <w:kern w:val="0"/>
                <w:sz w:val="21"/>
                <w:szCs w:val="21"/>
                <w14:ligatures w14:val="none"/>
              </w:rPr>
              <w:t>pH</w:t>
            </w:r>
          </w:p>
        </w:tc>
        <w:tc>
          <w:tcPr>
            <w:tcW w:w="476" w:type="pct"/>
            <w:tcBorders>
              <w:top w:val="single" w:color="auto" w:sz="8" w:space="0"/>
              <w:left w:val="nil"/>
              <w:bottom w:val="single" w:color="auto" w:sz="8" w:space="0"/>
              <w:right w:val="single" w:color="auto" w:sz="8" w:space="0"/>
            </w:tcBorders>
            <w:vAlign w:val="center"/>
          </w:tcPr>
          <w:p w14:paraId="6B693880">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化学需氧量</w:t>
            </w:r>
          </w:p>
        </w:tc>
        <w:tc>
          <w:tcPr>
            <w:tcW w:w="395" w:type="pct"/>
            <w:tcBorders>
              <w:top w:val="single" w:color="auto" w:sz="8" w:space="0"/>
              <w:left w:val="nil"/>
              <w:bottom w:val="single" w:color="auto" w:sz="8" w:space="0"/>
              <w:right w:val="single" w:color="auto" w:sz="8" w:space="0"/>
            </w:tcBorders>
            <w:vAlign w:val="center"/>
          </w:tcPr>
          <w:p w14:paraId="3EA975C5">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氨氮</w:t>
            </w:r>
          </w:p>
        </w:tc>
        <w:tc>
          <w:tcPr>
            <w:tcW w:w="476" w:type="pct"/>
            <w:tcBorders>
              <w:top w:val="single" w:color="auto" w:sz="8" w:space="0"/>
              <w:left w:val="nil"/>
              <w:bottom w:val="single" w:color="auto" w:sz="8" w:space="0"/>
              <w:right w:val="single" w:color="auto" w:sz="8" w:space="0"/>
            </w:tcBorders>
            <w:vAlign w:val="center"/>
          </w:tcPr>
          <w:p w14:paraId="0617D65E">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总磷</w:t>
            </w:r>
          </w:p>
        </w:tc>
        <w:tc>
          <w:tcPr>
            <w:tcW w:w="395" w:type="pct"/>
            <w:tcBorders>
              <w:top w:val="single" w:color="auto" w:sz="8" w:space="0"/>
              <w:left w:val="nil"/>
              <w:bottom w:val="single" w:color="auto" w:sz="8" w:space="0"/>
              <w:right w:val="single" w:color="auto" w:sz="8" w:space="0"/>
            </w:tcBorders>
            <w:vAlign w:val="center"/>
          </w:tcPr>
          <w:p w14:paraId="5B8798C8">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总氮</w:t>
            </w:r>
          </w:p>
        </w:tc>
        <w:tc>
          <w:tcPr>
            <w:tcW w:w="395" w:type="pct"/>
            <w:tcBorders>
              <w:top w:val="single" w:color="auto" w:sz="8" w:space="0"/>
              <w:left w:val="nil"/>
              <w:bottom w:val="single" w:color="auto" w:sz="8" w:space="0"/>
              <w:right w:val="single" w:color="auto" w:sz="8" w:space="0"/>
            </w:tcBorders>
            <w:vAlign w:val="center"/>
          </w:tcPr>
          <w:p w14:paraId="7BFD192E">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石油类</w:t>
            </w:r>
          </w:p>
        </w:tc>
        <w:tc>
          <w:tcPr>
            <w:tcW w:w="542" w:type="pct"/>
            <w:tcBorders>
              <w:top w:val="single" w:color="auto" w:sz="8" w:space="0"/>
              <w:left w:val="nil"/>
              <w:bottom w:val="single" w:color="auto" w:sz="8" w:space="0"/>
              <w:right w:val="single" w:color="auto" w:sz="8" w:space="0"/>
            </w:tcBorders>
            <w:vAlign w:val="center"/>
          </w:tcPr>
          <w:p w14:paraId="37BBE276">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高锰酸盐指数</w:t>
            </w:r>
          </w:p>
        </w:tc>
        <w:tc>
          <w:tcPr>
            <w:tcW w:w="395" w:type="pct"/>
            <w:tcBorders>
              <w:top w:val="single" w:color="auto" w:sz="8" w:space="0"/>
              <w:left w:val="nil"/>
              <w:bottom w:val="single" w:color="auto" w:sz="8" w:space="0"/>
              <w:right w:val="single" w:color="auto" w:sz="8" w:space="0"/>
            </w:tcBorders>
            <w:vAlign w:val="center"/>
          </w:tcPr>
          <w:p w14:paraId="3DEBA04F">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硫化物</w:t>
            </w:r>
          </w:p>
        </w:tc>
        <w:tc>
          <w:tcPr>
            <w:tcW w:w="395" w:type="pct"/>
            <w:tcBorders>
              <w:top w:val="single" w:color="auto" w:sz="8" w:space="0"/>
              <w:left w:val="nil"/>
              <w:bottom w:val="single" w:color="auto" w:sz="8" w:space="0"/>
              <w:right w:val="single" w:color="auto" w:sz="8" w:space="0"/>
            </w:tcBorders>
            <w:vAlign w:val="center"/>
          </w:tcPr>
          <w:p w14:paraId="1371CF91">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挥发酚</w:t>
            </w:r>
          </w:p>
        </w:tc>
      </w:tr>
      <w:tr w14:paraId="4D1471E6">
        <w:tblPrEx>
          <w:tblCellMar>
            <w:top w:w="0" w:type="dxa"/>
            <w:left w:w="108" w:type="dxa"/>
            <w:bottom w:w="0" w:type="dxa"/>
            <w:right w:w="108" w:type="dxa"/>
          </w:tblCellMar>
        </w:tblPrEx>
        <w:trPr>
          <w:trHeight w:val="300" w:hRule="atLeast"/>
        </w:trPr>
        <w:tc>
          <w:tcPr>
            <w:tcW w:w="243" w:type="pct"/>
            <w:vMerge w:val="restart"/>
            <w:tcBorders>
              <w:top w:val="nil"/>
              <w:left w:val="single" w:color="auto" w:sz="8" w:space="0"/>
              <w:bottom w:val="single" w:color="000000" w:sz="8" w:space="0"/>
              <w:right w:val="single" w:color="auto" w:sz="8" w:space="0"/>
            </w:tcBorders>
            <w:vAlign w:val="center"/>
          </w:tcPr>
          <w:p w14:paraId="5089CAA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W1</w:t>
            </w:r>
          </w:p>
        </w:tc>
        <w:tc>
          <w:tcPr>
            <w:tcW w:w="498" w:type="pct"/>
            <w:vMerge w:val="restart"/>
            <w:tcBorders>
              <w:top w:val="nil"/>
              <w:left w:val="single" w:color="auto" w:sz="8" w:space="0"/>
              <w:bottom w:val="single" w:color="000000" w:sz="8" w:space="0"/>
              <w:right w:val="single" w:color="auto" w:sz="8" w:space="0"/>
            </w:tcBorders>
            <w:vAlign w:val="center"/>
          </w:tcPr>
          <w:p w14:paraId="51300BA9">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新浮水库</w:t>
            </w:r>
          </w:p>
        </w:tc>
        <w:tc>
          <w:tcPr>
            <w:tcW w:w="395" w:type="pct"/>
            <w:tcBorders>
              <w:top w:val="nil"/>
              <w:left w:val="nil"/>
              <w:bottom w:val="single" w:color="auto" w:sz="8" w:space="0"/>
              <w:right w:val="single" w:color="auto" w:sz="8" w:space="0"/>
            </w:tcBorders>
            <w:vAlign w:val="center"/>
          </w:tcPr>
          <w:p w14:paraId="3B3C2591">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最小值</w:t>
            </w:r>
          </w:p>
        </w:tc>
        <w:tc>
          <w:tcPr>
            <w:tcW w:w="395" w:type="pct"/>
            <w:tcBorders>
              <w:top w:val="nil"/>
              <w:left w:val="nil"/>
              <w:bottom w:val="single" w:color="auto" w:sz="8" w:space="0"/>
              <w:right w:val="single" w:color="auto" w:sz="8" w:space="0"/>
            </w:tcBorders>
            <w:vAlign w:val="center"/>
          </w:tcPr>
          <w:p w14:paraId="0D79F6F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7.20 </w:t>
            </w:r>
          </w:p>
        </w:tc>
        <w:tc>
          <w:tcPr>
            <w:tcW w:w="476" w:type="pct"/>
            <w:tcBorders>
              <w:top w:val="nil"/>
              <w:left w:val="nil"/>
              <w:bottom w:val="single" w:color="auto" w:sz="8" w:space="0"/>
              <w:right w:val="single" w:color="auto" w:sz="8" w:space="0"/>
            </w:tcBorders>
            <w:vAlign w:val="center"/>
          </w:tcPr>
          <w:p w14:paraId="1B04C3B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14.0 </w:t>
            </w:r>
          </w:p>
        </w:tc>
        <w:tc>
          <w:tcPr>
            <w:tcW w:w="395" w:type="pct"/>
            <w:tcBorders>
              <w:top w:val="nil"/>
              <w:left w:val="nil"/>
              <w:bottom w:val="single" w:color="auto" w:sz="8" w:space="0"/>
              <w:right w:val="single" w:color="auto" w:sz="8" w:space="0"/>
            </w:tcBorders>
            <w:vAlign w:val="center"/>
          </w:tcPr>
          <w:p w14:paraId="20D516B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0.256</w:t>
            </w:r>
          </w:p>
        </w:tc>
        <w:tc>
          <w:tcPr>
            <w:tcW w:w="476" w:type="pct"/>
            <w:tcBorders>
              <w:top w:val="nil"/>
              <w:left w:val="nil"/>
              <w:bottom w:val="single" w:color="auto" w:sz="8" w:space="0"/>
              <w:right w:val="single" w:color="auto" w:sz="8" w:space="0"/>
            </w:tcBorders>
            <w:vAlign w:val="center"/>
          </w:tcPr>
          <w:p w14:paraId="29D5AFD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0.030 </w:t>
            </w:r>
          </w:p>
        </w:tc>
        <w:tc>
          <w:tcPr>
            <w:tcW w:w="395" w:type="pct"/>
            <w:tcBorders>
              <w:top w:val="nil"/>
              <w:left w:val="nil"/>
              <w:bottom w:val="single" w:color="auto" w:sz="8" w:space="0"/>
              <w:right w:val="single" w:color="auto" w:sz="8" w:space="0"/>
            </w:tcBorders>
            <w:vAlign w:val="center"/>
          </w:tcPr>
          <w:p w14:paraId="05C7B5E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0.714</w:t>
            </w:r>
          </w:p>
        </w:tc>
        <w:tc>
          <w:tcPr>
            <w:tcW w:w="395" w:type="pct"/>
            <w:tcBorders>
              <w:top w:val="nil"/>
              <w:left w:val="nil"/>
              <w:bottom w:val="single" w:color="auto" w:sz="8" w:space="0"/>
              <w:right w:val="single" w:color="auto" w:sz="8" w:space="0"/>
            </w:tcBorders>
            <w:vAlign w:val="center"/>
          </w:tcPr>
          <w:p w14:paraId="59994C5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6913342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2.90 </w:t>
            </w:r>
          </w:p>
        </w:tc>
        <w:tc>
          <w:tcPr>
            <w:tcW w:w="395" w:type="pct"/>
            <w:tcBorders>
              <w:top w:val="nil"/>
              <w:left w:val="nil"/>
              <w:bottom w:val="single" w:color="auto" w:sz="8" w:space="0"/>
              <w:right w:val="single" w:color="auto" w:sz="8" w:space="0"/>
            </w:tcBorders>
            <w:vAlign w:val="center"/>
          </w:tcPr>
          <w:p w14:paraId="20C5522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4CED77A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706739E1">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246266CA">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6E0E0BE0">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2BEA8EE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最大值</w:t>
            </w:r>
          </w:p>
        </w:tc>
        <w:tc>
          <w:tcPr>
            <w:tcW w:w="395" w:type="pct"/>
            <w:tcBorders>
              <w:top w:val="nil"/>
              <w:left w:val="nil"/>
              <w:bottom w:val="single" w:color="auto" w:sz="8" w:space="0"/>
              <w:right w:val="single" w:color="auto" w:sz="8" w:space="0"/>
            </w:tcBorders>
            <w:vAlign w:val="center"/>
          </w:tcPr>
          <w:p w14:paraId="607A125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7.50 </w:t>
            </w:r>
          </w:p>
        </w:tc>
        <w:tc>
          <w:tcPr>
            <w:tcW w:w="476" w:type="pct"/>
            <w:tcBorders>
              <w:top w:val="nil"/>
              <w:left w:val="nil"/>
              <w:bottom w:val="single" w:color="auto" w:sz="8" w:space="0"/>
              <w:right w:val="single" w:color="auto" w:sz="8" w:space="0"/>
            </w:tcBorders>
            <w:vAlign w:val="center"/>
          </w:tcPr>
          <w:p w14:paraId="461F1B5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16.0 </w:t>
            </w:r>
          </w:p>
        </w:tc>
        <w:tc>
          <w:tcPr>
            <w:tcW w:w="395" w:type="pct"/>
            <w:tcBorders>
              <w:top w:val="nil"/>
              <w:left w:val="nil"/>
              <w:bottom w:val="single" w:color="auto" w:sz="8" w:space="0"/>
              <w:right w:val="single" w:color="auto" w:sz="8" w:space="0"/>
            </w:tcBorders>
            <w:vAlign w:val="center"/>
          </w:tcPr>
          <w:p w14:paraId="326933E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0.273</w:t>
            </w:r>
          </w:p>
        </w:tc>
        <w:tc>
          <w:tcPr>
            <w:tcW w:w="476" w:type="pct"/>
            <w:tcBorders>
              <w:top w:val="nil"/>
              <w:left w:val="nil"/>
              <w:bottom w:val="single" w:color="auto" w:sz="8" w:space="0"/>
              <w:right w:val="single" w:color="auto" w:sz="8" w:space="0"/>
            </w:tcBorders>
            <w:vAlign w:val="center"/>
          </w:tcPr>
          <w:p w14:paraId="08F9B19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0.040 </w:t>
            </w:r>
          </w:p>
        </w:tc>
        <w:tc>
          <w:tcPr>
            <w:tcW w:w="395" w:type="pct"/>
            <w:tcBorders>
              <w:top w:val="nil"/>
              <w:left w:val="nil"/>
              <w:bottom w:val="single" w:color="auto" w:sz="8" w:space="0"/>
              <w:right w:val="single" w:color="auto" w:sz="8" w:space="0"/>
            </w:tcBorders>
            <w:vAlign w:val="center"/>
          </w:tcPr>
          <w:p w14:paraId="6E1F957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0.88</w:t>
            </w:r>
          </w:p>
        </w:tc>
        <w:tc>
          <w:tcPr>
            <w:tcW w:w="395" w:type="pct"/>
            <w:tcBorders>
              <w:top w:val="nil"/>
              <w:left w:val="nil"/>
              <w:bottom w:val="single" w:color="auto" w:sz="8" w:space="0"/>
              <w:right w:val="single" w:color="auto" w:sz="8" w:space="0"/>
            </w:tcBorders>
            <w:vAlign w:val="center"/>
          </w:tcPr>
          <w:p w14:paraId="4CB5263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5C87996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3.60 </w:t>
            </w:r>
          </w:p>
        </w:tc>
        <w:tc>
          <w:tcPr>
            <w:tcW w:w="395" w:type="pct"/>
            <w:tcBorders>
              <w:top w:val="nil"/>
              <w:left w:val="nil"/>
              <w:bottom w:val="single" w:color="auto" w:sz="8" w:space="0"/>
              <w:right w:val="single" w:color="auto" w:sz="8" w:space="0"/>
            </w:tcBorders>
            <w:vAlign w:val="center"/>
          </w:tcPr>
          <w:p w14:paraId="59147ED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0254204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3B4B36B1">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432450C5">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633B72DA">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AB1F480">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平均值</w:t>
            </w:r>
          </w:p>
        </w:tc>
        <w:tc>
          <w:tcPr>
            <w:tcW w:w="395" w:type="pct"/>
            <w:tcBorders>
              <w:top w:val="nil"/>
              <w:left w:val="nil"/>
              <w:bottom w:val="single" w:color="auto" w:sz="8" w:space="0"/>
              <w:right w:val="single" w:color="auto" w:sz="8" w:space="0"/>
            </w:tcBorders>
            <w:vAlign w:val="center"/>
          </w:tcPr>
          <w:p w14:paraId="17FDD48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7.37 </w:t>
            </w:r>
          </w:p>
        </w:tc>
        <w:tc>
          <w:tcPr>
            <w:tcW w:w="476" w:type="pct"/>
            <w:tcBorders>
              <w:top w:val="nil"/>
              <w:left w:val="nil"/>
              <w:bottom w:val="single" w:color="auto" w:sz="8" w:space="0"/>
              <w:right w:val="single" w:color="auto" w:sz="8" w:space="0"/>
            </w:tcBorders>
            <w:vAlign w:val="center"/>
          </w:tcPr>
          <w:p w14:paraId="7FCE120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14.7 </w:t>
            </w:r>
          </w:p>
        </w:tc>
        <w:tc>
          <w:tcPr>
            <w:tcW w:w="395" w:type="pct"/>
            <w:tcBorders>
              <w:top w:val="nil"/>
              <w:left w:val="nil"/>
              <w:bottom w:val="single" w:color="auto" w:sz="8" w:space="0"/>
              <w:right w:val="single" w:color="auto" w:sz="8" w:space="0"/>
            </w:tcBorders>
            <w:vAlign w:val="center"/>
          </w:tcPr>
          <w:p w14:paraId="1F96AD7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0.265</w:t>
            </w:r>
          </w:p>
        </w:tc>
        <w:tc>
          <w:tcPr>
            <w:tcW w:w="476" w:type="pct"/>
            <w:tcBorders>
              <w:top w:val="nil"/>
              <w:left w:val="nil"/>
              <w:bottom w:val="single" w:color="auto" w:sz="8" w:space="0"/>
              <w:right w:val="single" w:color="auto" w:sz="8" w:space="0"/>
            </w:tcBorders>
            <w:vAlign w:val="center"/>
          </w:tcPr>
          <w:p w14:paraId="7288E80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0.033 </w:t>
            </w:r>
          </w:p>
        </w:tc>
        <w:tc>
          <w:tcPr>
            <w:tcW w:w="395" w:type="pct"/>
            <w:tcBorders>
              <w:top w:val="nil"/>
              <w:left w:val="nil"/>
              <w:bottom w:val="single" w:color="auto" w:sz="8" w:space="0"/>
              <w:right w:val="single" w:color="auto" w:sz="8" w:space="0"/>
            </w:tcBorders>
            <w:vAlign w:val="center"/>
          </w:tcPr>
          <w:p w14:paraId="093A007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0.81</w:t>
            </w:r>
          </w:p>
        </w:tc>
        <w:tc>
          <w:tcPr>
            <w:tcW w:w="395" w:type="pct"/>
            <w:tcBorders>
              <w:top w:val="nil"/>
              <w:left w:val="nil"/>
              <w:bottom w:val="single" w:color="auto" w:sz="8" w:space="0"/>
              <w:right w:val="single" w:color="auto" w:sz="8" w:space="0"/>
            </w:tcBorders>
            <w:vAlign w:val="center"/>
          </w:tcPr>
          <w:p w14:paraId="113026B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7F49829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3.28 </w:t>
            </w:r>
          </w:p>
        </w:tc>
        <w:tc>
          <w:tcPr>
            <w:tcW w:w="395" w:type="pct"/>
            <w:tcBorders>
              <w:top w:val="nil"/>
              <w:left w:val="nil"/>
              <w:bottom w:val="single" w:color="auto" w:sz="8" w:space="0"/>
              <w:right w:val="single" w:color="auto" w:sz="8" w:space="0"/>
            </w:tcBorders>
            <w:vAlign w:val="center"/>
          </w:tcPr>
          <w:p w14:paraId="42237B0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663285F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518D17DE">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4F7E00D6">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2FF2F818">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17248F3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r>
              <w:rPr>
                <w:rFonts w:cs="Times New Roman"/>
                <w:color w:val="000000"/>
                <w:kern w:val="0"/>
                <w:sz w:val="21"/>
                <w:szCs w:val="21"/>
                <w14:ligatures w14:val="none"/>
              </w:rPr>
              <w:t>类标准</w:t>
            </w:r>
          </w:p>
        </w:tc>
        <w:tc>
          <w:tcPr>
            <w:tcW w:w="395" w:type="pct"/>
            <w:tcBorders>
              <w:top w:val="nil"/>
              <w:left w:val="nil"/>
              <w:bottom w:val="single" w:color="auto" w:sz="8" w:space="0"/>
              <w:right w:val="single" w:color="auto" w:sz="8" w:space="0"/>
            </w:tcBorders>
            <w:vAlign w:val="center"/>
          </w:tcPr>
          <w:p w14:paraId="7096999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6</w:t>
            </w: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9</w:t>
            </w:r>
          </w:p>
        </w:tc>
        <w:tc>
          <w:tcPr>
            <w:tcW w:w="476" w:type="pct"/>
            <w:tcBorders>
              <w:top w:val="nil"/>
              <w:left w:val="nil"/>
              <w:bottom w:val="single" w:color="auto" w:sz="8" w:space="0"/>
              <w:right w:val="single" w:color="auto" w:sz="8" w:space="0"/>
            </w:tcBorders>
            <w:vAlign w:val="center"/>
          </w:tcPr>
          <w:p w14:paraId="5C8F8F5F">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20</w:t>
            </w:r>
          </w:p>
        </w:tc>
        <w:tc>
          <w:tcPr>
            <w:tcW w:w="395" w:type="pct"/>
            <w:tcBorders>
              <w:top w:val="nil"/>
              <w:left w:val="nil"/>
              <w:bottom w:val="single" w:color="auto" w:sz="8" w:space="0"/>
              <w:right w:val="single" w:color="auto" w:sz="8" w:space="0"/>
            </w:tcBorders>
            <w:vAlign w:val="center"/>
          </w:tcPr>
          <w:p w14:paraId="0A7C150B">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476" w:type="pct"/>
            <w:tcBorders>
              <w:top w:val="nil"/>
              <w:left w:val="nil"/>
              <w:bottom w:val="single" w:color="auto" w:sz="8" w:space="0"/>
              <w:right w:val="single" w:color="auto" w:sz="8" w:space="0"/>
            </w:tcBorders>
            <w:vAlign w:val="center"/>
          </w:tcPr>
          <w:p w14:paraId="553FFF31">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0.05</w:t>
            </w:r>
          </w:p>
        </w:tc>
        <w:tc>
          <w:tcPr>
            <w:tcW w:w="395" w:type="pct"/>
            <w:tcBorders>
              <w:top w:val="nil"/>
              <w:left w:val="nil"/>
              <w:bottom w:val="single" w:color="auto" w:sz="8" w:space="0"/>
              <w:right w:val="single" w:color="auto" w:sz="8" w:space="0"/>
            </w:tcBorders>
            <w:vAlign w:val="center"/>
          </w:tcPr>
          <w:p w14:paraId="132DDD7C">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395" w:type="pct"/>
            <w:tcBorders>
              <w:top w:val="nil"/>
              <w:left w:val="nil"/>
              <w:bottom w:val="single" w:color="auto" w:sz="8" w:space="0"/>
              <w:right w:val="single" w:color="auto" w:sz="8" w:space="0"/>
            </w:tcBorders>
            <w:vAlign w:val="center"/>
          </w:tcPr>
          <w:p w14:paraId="619699FD">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0.05</w:t>
            </w:r>
          </w:p>
        </w:tc>
        <w:tc>
          <w:tcPr>
            <w:tcW w:w="542" w:type="pct"/>
            <w:tcBorders>
              <w:top w:val="nil"/>
              <w:left w:val="nil"/>
              <w:bottom w:val="single" w:color="auto" w:sz="8" w:space="0"/>
              <w:right w:val="single" w:color="auto" w:sz="8" w:space="0"/>
            </w:tcBorders>
            <w:vAlign w:val="center"/>
          </w:tcPr>
          <w:p w14:paraId="699E64BC">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6</w:t>
            </w:r>
          </w:p>
        </w:tc>
        <w:tc>
          <w:tcPr>
            <w:tcW w:w="395" w:type="pct"/>
            <w:tcBorders>
              <w:top w:val="nil"/>
              <w:left w:val="nil"/>
              <w:bottom w:val="single" w:color="auto" w:sz="8" w:space="0"/>
              <w:right w:val="single" w:color="auto" w:sz="8" w:space="0"/>
            </w:tcBorders>
            <w:vAlign w:val="center"/>
          </w:tcPr>
          <w:p w14:paraId="7C8B7ABA">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0DF02A22">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0.005</w:t>
            </w:r>
          </w:p>
        </w:tc>
      </w:tr>
      <w:tr w14:paraId="269080C9">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2CD97E5C">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2ED159AD">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306A1BEA">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水质指数</w:t>
            </w:r>
          </w:p>
        </w:tc>
        <w:tc>
          <w:tcPr>
            <w:tcW w:w="395" w:type="pct"/>
            <w:tcBorders>
              <w:top w:val="nil"/>
              <w:left w:val="nil"/>
              <w:bottom w:val="single" w:color="auto" w:sz="8" w:space="0"/>
              <w:right w:val="single" w:color="auto" w:sz="8" w:space="0"/>
            </w:tcBorders>
            <w:vAlign w:val="center"/>
          </w:tcPr>
          <w:p w14:paraId="71BDA03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0.185</w:t>
            </w:r>
          </w:p>
        </w:tc>
        <w:tc>
          <w:tcPr>
            <w:tcW w:w="476" w:type="pct"/>
            <w:tcBorders>
              <w:top w:val="nil"/>
              <w:left w:val="nil"/>
              <w:bottom w:val="single" w:color="auto" w:sz="8" w:space="0"/>
              <w:right w:val="single" w:color="auto" w:sz="8" w:space="0"/>
            </w:tcBorders>
            <w:vAlign w:val="center"/>
          </w:tcPr>
          <w:p w14:paraId="12B877B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0.735</w:t>
            </w:r>
          </w:p>
        </w:tc>
        <w:tc>
          <w:tcPr>
            <w:tcW w:w="395" w:type="pct"/>
            <w:tcBorders>
              <w:top w:val="nil"/>
              <w:left w:val="nil"/>
              <w:bottom w:val="single" w:color="auto" w:sz="8" w:space="0"/>
              <w:right w:val="single" w:color="auto" w:sz="8" w:space="0"/>
            </w:tcBorders>
            <w:vAlign w:val="center"/>
          </w:tcPr>
          <w:p w14:paraId="49D636A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0.265</w:t>
            </w:r>
          </w:p>
        </w:tc>
        <w:tc>
          <w:tcPr>
            <w:tcW w:w="476" w:type="pct"/>
            <w:tcBorders>
              <w:top w:val="nil"/>
              <w:left w:val="nil"/>
              <w:bottom w:val="single" w:color="auto" w:sz="8" w:space="0"/>
              <w:right w:val="single" w:color="auto" w:sz="8" w:space="0"/>
            </w:tcBorders>
            <w:vAlign w:val="center"/>
          </w:tcPr>
          <w:p w14:paraId="39FB3F7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0.66</w:t>
            </w:r>
          </w:p>
        </w:tc>
        <w:tc>
          <w:tcPr>
            <w:tcW w:w="395" w:type="pct"/>
            <w:tcBorders>
              <w:top w:val="nil"/>
              <w:left w:val="nil"/>
              <w:bottom w:val="single" w:color="auto" w:sz="8" w:space="0"/>
              <w:right w:val="single" w:color="auto" w:sz="8" w:space="0"/>
            </w:tcBorders>
            <w:vAlign w:val="center"/>
          </w:tcPr>
          <w:p w14:paraId="76BF9FA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0.81</w:t>
            </w:r>
          </w:p>
        </w:tc>
        <w:tc>
          <w:tcPr>
            <w:tcW w:w="395" w:type="pct"/>
            <w:tcBorders>
              <w:top w:val="nil"/>
              <w:left w:val="nil"/>
              <w:bottom w:val="single" w:color="auto" w:sz="8" w:space="0"/>
              <w:right w:val="single" w:color="auto" w:sz="8" w:space="0"/>
            </w:tcBorders>
            <w:vAlign w:val="center"/>
          </w:tcPr>
          <w:p w14:paraId="305CFCE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542" w:type="pct"/>
            <w:tcBorders>
              <w:top w:val="nil"/>
              <w:left w:val="nil"/>
              <w:bottom w:val="single" w:color="auto" w:sz="8" w:space="0"/>
              <w:right w:val="single" w:color="auto" w:sz="8" w:space="0"/>
            </w:tcBorders>
            <w:vAlign w:val="center"/>
          </w:tcPr>
          <w:p w14:paraId="7A5EC99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0.547 </w:t>
            </w:r>
          </w:p>
        </w:tc>
        <w:tc>
          <w:tcPr>
            <w:tcW w:w="395" w:type="pct"/>
            <w:tcBorders>
              <w:top w:val="nil"/>
              <w:left w:val="nil"/>
              <w:bottom w:val="single" w:color="auto" w:sz="8" w:space="0"/>
              <w:right w:val="single" w:color="auto" w:sz="8" w:space="0"/>
            </w:tcBorders>
            <w:vAlign w:val="center"/>
          </w:tcPr>
          <w:p w14:paraId="21695F8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5" w:type="pct"/>
            <w:tcBorders>
              <w:top w:val="nil"/>
              <w:left w:val="nil"/>
              <w:bottom w:val="single" w:color="auto" w:sz="8" w:space="0"/>
              <w:right w:val="single" w:color="auto" w:sz="8" w:space="0"/>
            </w:tcBorders>
            <w:vAlign w:val="center"/>
          </w:tcPr>
          <w:p w14:paraId="6281BF3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r>
      <w:tr w14:paraId="38D40742">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10A96B86">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4E8EB89D">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544D3D1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超标率</w:t>
            </w:r>
          </w:p>
        </w:tc>
        <w:tc>
          <w:tcPr>
            <w:tcW w:w="395" w:type="pct"/>
            <w:tcBorders>
              <w:top w:val="nil"/>
              <w:left w:val="nil"/>
              <w:bottom w:val="single" w:color="auto" w:sz="8" w:space="0"/>
              <w:right w:val="single" w:color="auto" w:sz="8" w:space="0"/>
            </w:tcBorders>
            <w:vAlign w:val="center"/>
          </w:tcPr>
          <w:p w14:paraId="322CB3C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77FABE9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696FE35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0470FA3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7D3CBF2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1E7D9EC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542" w:type="pct"/>
            <w:tcBorders>
              <w:top w:val="nil"/>
              <w:left w:val="nil"/>
              <w:bottom w:val="single" w:color="auto" w:sz="8" w:space="0"/>
              <w:right w:val="single" w:color="auto" w:sz="8" w:space="0"/>
            </w:tcBorders>
            <w:vAlign w:val="center"/>
          </w:tcPr>
          <w:p w14:paraId="5440CB8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54CDADD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71933E9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r>
      <w:tr w14:paraId="0842872F">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39274D03">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33C2445B">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3EC52FD9">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达标情况</w:t>
            </w:r>
          </w:p>
        </w:tc>
        <w:tc>
          <w:tcPr>
            <w:tcW w:w="395" w:type="pct"/>
            <w:tcBorders>
              <w:top w:val="nil"/>
              <w:left w:val="nil"/>
              <w:bottom w:val="single" w:color="auto" w:sz="8" w:space="0"/>
              <w:right w:val="single" w:color="auto" w:sz="8" w:space="0"/>
            </w:tcBorders>
            <w:vAlign w:val="center"/>
          </w:tcPr>
          <w:p w14:paraId="2DC97B0A">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2581F4F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05A07D4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78F1FD4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768F793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792B2C8A">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542" w:type="pct"/>
            <w:tcBorders>
              <w:top w:val="nil"/>
              <w:left w:val="nil"/>
              <w:bottom w:val="single" w:color="auto" w:sz="8" w:space="0"/>
              <w:right w:val="single" w:color="auto" w:sz="8" w:space="0"/>
            </w:tcBorders>
            <w:vAlign w:val="center"/>
          </w:tcPr>
          <w:p w14:paraId="0858B56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4E34E3D9">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5E15E01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r>
      <w:tr w14:paraId="1CB99FCA">
        <w:tblPrEx>
          <w:tblCellMar>
            <w:top w:w="0" w:type="dxa"/>
            <w:left w:w="108" w:type="dxa"/>
            <w:bottom w:w="0" w:type="dxa"/>
            <w:right w:w="108" w:type="dxa"/>
          </w:tblCellMar>
        </w:tblPrEx>
        <w:trPr>
          <w:trHeight w:val="300" w:hRule="atLeast"/>
        </w:trPr>
        <w:tc>
          <w:tcPr>
            <w:tcW w:w="243" w:type="pct"/>
            <w:vMerge w:val="restart"/>
            <w:tcBorders>
              <w:top w:val="nil"/>
              <w:left w:val="single" w:color="auto" w:sz="8" w:space="0"/>
              <w:bottom w:val="single" w:color="000000" w:sz="8" w:space="0"/>
              <w:right w:val="single" w:color="auto" w:sz="8" w:space="0"/>
            </w:tcBorders>
            <w:vAlign w:val="center"/>
          </w:tcPr>
          <w:p w14:paraId="7B48CBB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W2</w:t>
            </w:r>
          </w:p>
        </w:tc>
        <w:tc>
          <w:tcPr>
            <w:tcW w:w="498" w:type="pct"/>
            <w:vMerge w:val="restart"/>
            <w:tcBorders>
              <w:top w:val="nil"/>
              <w:left w:val="single" w:color="auto" w:sz="8" w:space="0"/>
              <w:bottom w:val="single" w:color="000000" w:sz="8" w:space="0"/>
              <w:right w:val="single" w:color="auto" w:sz="8" w:space="0"/>
            </w:tcBorders>
            <w:vAlign w:val="center"/>
          </w:tcPr>
          <w:p w14:paraId="32BC5425">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新浮溢洪河</w:t>
            </w:r>
          </w:p>
        </w:tc>
        <w:tc>
          <w:tcPr>
            <w:tcW w:w="395" w:type="pct"/>
            <w:tcBorders>
              <w:top w:val="nil"/>
              <w:left w:val="nil"/>
              <w:bottom w:val="single" w:color="auto" w:sz="8" w:space="0"/>
              <w:right w:val="single" w:color="auto" w:sz="8" w:space="0"/>
            </w:tcBorders>
            <w:vAlign w:val="center"/>
          </w:tcPr>
          <w:p w14:paraId="7DF4E47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最小值</w:t>
            </w:r>
          </w:p>
        </w:tc>
        <w:tc>
          <w:tcPr>
            <w:tcW w:w="395" w:type="pct"/>
            <w:tcBorders>
              <w:top w:val="nil"/>
              <w:left w:val="nil"/>
              <w:bottom w:val="single" w:color="auto" w:sz="8" w:space="0"/>
              <w:right w:val="single" w:color="auto" w:sz="8" w:space="0"/>
            </w:tcBorders>
            <w:vAlign w:val="center"/>
          </w:tcPr>
          <w:p w14:paraId="36EE491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7.00 </w:t>
            </w:r>
          </w:p>
        </w:tc>
        <w:tc>
          <w:tcPr>
            <w:tcW w:w="476" w:type="pct"/>
            <w:tcBorders>
              <w:top w:val="nil"/>
              <w:left w:val="nil"/>
              <w:bottom w:val="single" w:color="auto" w:sz="8" w:space="0"/>
              <w:right w:val="single" w:color="auto" w:sz="8" w:space="0"/>
            </w:tcBorders>
            <w:vAlign w:val="center"/>
          </w:tcPr>
          <w:p w14:paraId="6E77658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15.0 </w:t>
            </w:r>
          </w:p>
        </w:tc>
        <w:tc>
          <w:tcPr>
            <w:tcW w:w="395" w:type="pct"/>
            <w:tcBorders>
              <w:top w:val="nil"/>
              <w:left w:val="nil"/>
              <w:bottom w:val="single" w:color="auto" w:sz="8" w:space="0"/>
              <w:right w:val="single" w:color="auto" w:sz="8" w:space="0"/>
            </w:tcBorders>
            <w:vAlign w:val="center"/>
          </w:tcPr>
          <w:p w14:paraId="757FBCC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0.234</w:t>
            </w:r>
          </w:p>
        </w:tc>
        <w:tc>
          <w:tcPr>
            <w:tcW w:w="476" w:type="pct"/>
            <w:tcBorders>
              <w:top w:val="nil"/>
              <w:left w:val="nil"/>
              <w:bottom w:val="single" w:color="auto" w:sz="8" w:space="0"/>
              <w:right w:val="single" w:color="auto" w:sz="8" w:space="0"/>
            </w:tcBorders>
            <w:vAlign w:val="center"/>
          </w:tcPr>
          <w:p w14:paraId="4079B6C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0.070 </w:t>
            </w:r>
          </w:p>
        </w:tc>
        <w:tc>
          <w:tcPr>
            <w:tcW w:w="395" w:type="pct"/>
            <w:tcBorders>
              <w:top w:val="nil"/>
              <w:left w:val="nil"/>
              <w:bottom w:val="single" w:color="auto" w:sz="8" w:space="0"/>
              <w:right w:val="single" w:color="auto" w:sz="8" w:space="0"/>
            </w:tcBorders>
            <w:vAlign w:val="center"/>
          </w:tcPr>
          <w:p w14:paraId="186672E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0.833</w:t>
            </w:r>
          </w:p>
        </w:tc>
        <w:tc>
          <w:tcPr>
            <w:tcW w:w="395" w:type="pct"/>
            <w:tcBorders>
              <w:top w:val="nil"/>
              <w:left w:val="nil"/>
              <w:bottom w:val="single" w:color="auto" w:sz="8" w:space="0"/>
              <w:right w:val="single" w:color="auto" w:sz="8" w:space="0"/>
            </w:tcBorders>
            <w:vAlign w:val="center"/>
          </w:tcPr>
          <w:p w14:paraId="2D51A8C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30C4DD5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4.30 </w:t>
            </w:r>
          </w:p>
        </w:tc>
        <w:tc>
          <w:tcPr>
            <w:tcW w:w="395" w:type="pct"/>
            <w:tcBorders>
              <w:top w:val="nil"/>
              <w:left w:val="nil"/>
              <w:bottom w:val="single" w:color="auto" w:sz="8" w:space="0"/>
              <w:right w:val="single" w:color="auto" w:sz="8" w:space="0"/>
            </w:tcBorders>
            <w:vAlign w:val="center"/>
          </w:tcPr>
          <w:p w14:paraId="0B6C46E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53E8956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7D8ECB02">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1833C168">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148F6F07">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5DA31484">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最大值</w:t>
            </w:r>
          </w:p>
        </w:tc>
        <w:tc>
          <w:tcPr>
            <w:tcW w:w="395" w:type="pct"/>
            <w:tcBorders>
              <w:top w:val="nil"/>
              <w:left w:val="nil"/>
              <w:bottom w:val="single" w:color="auto" w:sz="8" w:space="0"/>
              <w:right w:val="single" w:color="auto" w:sz="8" w:space="0"/>
            </w:tcBorders>
            <w:vAlign w:val="center"/>
          </w:tcPr>
          <w:p w14:paraId="5456F5E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7.70 </w:t>
            </w:r>
          </w:p>
        </w:tc>
        <w:tc>
          <w:tcPr>
            <w:tcW w:w="476" w:type="pct"/>
            <w:tcBorders>
              <w:top w:val="nil"/>
              <w:left w:val="nil"/>
              <w:bottom w:val="single" w:color="auto" w:sz="8" w:space="0"/>
              <w:right w:val="single" w:color="auto" w:sz="8" w:space="0"/>
            </w:tcBorders>
            <w:vAlign w:val="center"/>
          </w:tcPr>
          <w:p w14:paraId="2724729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20.0 </w:t>
            </w:r>
          </w:p>
        </w:tc>
        <w:tc>
          <w:tcPr>
            <w:tcW w:w="395" w:type="pct"/>
            <w:tcBorders>
              <w:top w:val="nil"/>
              <w:left w:val="nil"/>
              <w:bottom w:val="single" w:color="auto" w:sz="8" w:space="0"/>
              <w:right w:val="single" w:color="auto" w:sz="8" w:space="0"/>
            </w:tcBorders>
            <w:vAlign w:val="center"/>
          </w:tcPr>
          <w:p w14:paraId="3C4DC6C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0.312</w:t>
            </w:r>
          </w:p>
        </w:tc>
        <w:tc>
          <w:tcPr>
            <w:tcW w:w="476" w:type="pct"/>
            <w:tcBorders>
              <w:top w:val="nil"/>
              <w:left w:val="nil"/>
              <w:bottom w:val="single" w:color="auto" w:sz="8" w:space="0"/>
              <w:right w:val="single" w:color="auto" w:sz="8" w:space="0"/>
            </w:tcBorders>
            <w:vAlign w:val="center"/>
          </w:tcPr>
          <w:p w14:paraId="0ECEAC2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0.120 </w:t>
            </w:r>
          </w:p>
        </w:tc>
        <w:tc>
          <w:tcPr>
            <w:tcW w:w="395" w:type="pct"/>
            <w:tcBorders>
              <w:top w:val="nil"/>
              <w:left w:val="nil"/>
              <w:bottom w:val="single" w:color="auto" w:sz="8" w:space="0"/>
              <w:right w:val="single" w:color="auto" w:sz="8" w:space="0"/>
            </w:tcBorders>
            <w:vAlign w:val="center"/>
          </w:tcPr>
          <w:p w14:paraId="29AF76C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0.972</w:t>
            </w:r>
          </w:p>
        </w:tc>
        <w:tc>
          <w:tcPr>
            <w:tcW w:w="395" w:type="pct"/>
            <w:tcBorders>
              <w:top w:val="nil"/>
              <w:left w:val="nil"/>
              <w:bottom w:val="single" w:color="auto" w:sz="8" w:space="0"/>
              <w:right w:val="single" w:color="auto" w:sz="8" w:space="0"/>
            </w:tcBorders>
            <w:vAlign w:val="center"/>
          </w:tcPr>
          <w:p w14:paraId="4B6BF6D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07E8CA4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4.80 </w:t>
            </w:r>
          </w:p>
        </w:tc>
        <w:tc>
          <w:tcPr>
            <w:tcW w:w="395" w:type="pct"/>
            <w:tcBorders>
              <w:top w:val="nil"/>
              <w:left w:val="nil"/>
              <w:bottom w:val="single" w:color="auto" w:sz="8" w:space="0"/>
              <w:right w:val="single" w:color="auto" w:sz="8" w:space="0"/>
            </w:tcBorders>
            <w:vAlign w:val="center"/>
          </w:tcPr>
          <w:p w14:paraId="08A4E68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392C8FA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7F07741C">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6A0EFC6B">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5BF675E7">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19160160">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平均值</w:t>
            </w:r>
          </w:p>
        </w:tc>
        <w:tc>
          <w:tcPr>
            <w:tcW w:w="395" w:type="pct"/>
            <w:tcBorders>
              <w:top w:val="nil"/>
              <w:left w:val="nil"/>
              <w:bottom w:val="single" w:color="auto" w:sz="8" w:space="0"/>
              <w:right w:val="single" w:color="auto" w:sz="8" w:space="0"/>
            </w:tcBorders>
            <w:vAlign w:val="center"/>
          </w:tcPr>
          <w:p w14:paraId="7C3F8D4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7.43 </w:t>
            </w:r>
          </w:p>
        </w:tc>
        <w:tc>
          <w:tcPr>
            <w:tcW w:w="476" w:type="pct"/>
            <w:tcBorders>
              <w:top w:val="nil"/>
              <w:left w:val="nil"/>
              <w:bottom w:val="single" w:color="auto" w:sz="8" w:space="0"/>
              <w:right w:val="single" w:color="auto" w:sz="8" w:space="0"/>
            </w:tcBorders>
            <w:vAlign w:val="center"/>
          </w:tcPr>
          <w:p w14:paraId="2D1BA89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17.3 </w:t>
            </w:r>
          </w:p>
        </w:tc>
        <w:tc>
          <w:tcPr>
            <w:tcW w:w="395" w:type="pct"/>
            <w:tcBorders>
              <w:top w:val="nil"/>
              <w:left w:val="nil"/>
              <w:bottom w:val="single" w:color="auto" w:sz="8" w:space="0"/>
              <w:right w:val="single" w:color="auto" w:sz="8" w:space="0"/>
            </w:tcBorders>
            <w:vAlign w:val="center"/>
          </w:tcPr>
          <w:p w14:paraId="1920AEB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0.277</w:t>
            </w:r>
          </w:p>
        </w:tc>
        <w:tc>
          <w:tcPr>
            <w:tcW w:w="476" w:type="pct"/>
            <w:tcBorders>
              <w:top w:val="nil"/>
              <w:left w:val="nil"/>
              <w:bottom w:val="single" w:color="auto" w:sz="8" w:space="0"/>
              <w:right w:val="single" w:color="auto" w:sz="8" w:space="0"/>
            </w:tcBorders>
            <w:vAlign w:val="center"/>
          </w:tcPr>
          <w:p w14:paraId="15DB328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0.088 </w:t>
            </w:r>
          </w:p>
        </w:tc>
        <w:tc>
          <w:tcPr>
            <w:tcW w:w="395" w:type="pct"/>
            <w:tcBorders>
              <w:top w:val="nil"/>
              <w:left w:val="nil"/>
              <w:bottom w:val="single" w:color="auto" w:sz="8" w:space="0"/>
              <w:right w:val="single" w:color="auto" w:sz="8" w:space="0"/>
            </w:tcBorders>
            <w:vAlign w:val="center"/>
          </w:tcPr>
          <w:p w14:paraId="152DC6D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0.887</w:t>
            </w:r>
          </w:p>
        </w:tc>
        <w:tc>
          <w:tcPr>
            <w:tcW w:w="395" w:type="pct"/>
            <w:tcBorders>
              <w:top w:val="nil"/>
              <w:left w:val="nil"/>
              <w:bottom w:val="single" w:color="auto" w:sz="8" w:space="0"/>
              <w:right w:val="single" w:color="auto" w:sz="8" w:space="0"/>
            </w:tcBorders>
            <w:vAlign w:val="center"/>
          </w:tcPr>
          <w:p w14:paraId="183244F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5B8C217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4.52 </w:t>
            </w:r>
          </w:p>
        </w:tc>
        <w:tc>
          <w:tcPr>
            <w:tcW w:w="395" w:type="pct"/>
            <w:tcBorders>
              <w:top w:val="nil"/>
              <w:left w:val="nil"/>
              <w:bottom w:val="single" w:color="auto" w:sz="8" w:space="0"/>
              <w:right w:val="single" w:color="auto" w:sz="8" w:space="0"/>
            </w:tcBorders>
            <w:vAlign w:val="center"/>
          </w:tcPr>
          <w:p w14:paraId="29ED212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091ED61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169EDE93">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5BFE54E0">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470AF535">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0A6DD84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r>
              <w:rPr>
                <w:rFonts w:cs="Times New Roman"/>
                <w:color w:val="000000"/>
                <w:kern w:val="0"/>
                <w:sz w:val="21"/>
                <w:szCs w:val="21"/>
                <w14:ligatures w14:val="none"/>
              </w:rPr>
              <w:t>类标准</w:t>
            </w:r>
          </w:p>
        </w:tc>
        <w:tc>
          <w:tcPr>
            <w:tcW w:w="395" w:type="pct"/>
            <w:tcBorders>
              <w:top w:val="nil"/>
              <w:left w:val="nil"/>
              <w:bottom w:val="single" w:color="auto" w:sz="8" w:space="0"/>
              <w:right w:val="single" w:color="auto" w:sz="8" w:space="0"/>
            </w:tcBorders>
            <w:vAlign w:val="center"/>
          </w:tcPr>
          <w:p w14:paraId="3310115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6</w:t>
            </w: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9</w:t>
            </w:r>
          </w:p>
        </w:tc>
        <w:tc>
          <w:tcPr>
            <w:tcW w:w="476" w:type="pct"/>
            <w:tcBorders>
              <w:top w:val="nil"/>
              <w:left w:val="nil"/>
              <w:bottom w:val="single" w:color="auto" w:sz="8" w:space="0"/>
              <w:right w:val="single" w:color="auto" w:sz="8" w:space="0"/>
            </w:tcBorders>
            <w:vAlign w:val="center"/>
          </w:tcPr>
          <w:p w14:paraId="0A74EFE6">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20</w:t>
            </w:r>
          </w:p>
        </w:tc>
        <w:tc>
          <w:tcPr>
            <w:tcW w:w="395" w:type="pct"/>
            <w:tcBorders>
              <w:top w:val="nil"/>
              <w:left w:val="nil"/>
              <w:bottom w:val="single" w:color="auto" w:sz="8" w:space="0"/>
              <w:right w:val="single" w:color="auto" w:sz="8" w:space="0"/>
            </w:tcBorders>
            <w:vAlign w:val="center"/>
          </w:tcPr>
          <w:p w14:paraId="4324091F">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476" w:type="pct"/>
            <w:tcBorders>
              <w:top w:val="nil"/>
              <w:left w:val="nil"/>
              <w:bottom w:val="single" w:color="auto" w:sz="8" w:space="0"/>
              <w:right w:val="single" w:color="auto" w:sz="8" w:space="0"/>
            </w:tcBorders>
            <w:vAlign w:val="center"/>
          </w:tcPr>
          <w:p w14:paraId="587EB770">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105020FA">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395" w:type="pct"/>
            <w:tcBorders>
              <w:top w:val="nil"/>
              <w:left w:val="nil"/>
              <w:bottom w:val="single" w:color="auto" w:sz="8" w:space="0"/>
              <w:right w:val="single" w:color="auto" w:sz="8" w:space="0"/>
            </w:tcBorders>
            <w:vAlign w:val="center"/>
          </w:tcPr>
          <w:p w14:paraId="6D0DCFC3">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0.05</w:t>
            </w:r>
          </w:p>
        </w:tc>
        <w:tc>
          <w:tcPr>
            <w:tcW w:w="542" w:type="pct"/>
            <w:tcBorders>
              <w:top w:val="nil"/>
              <w:left w:val="nil"/>
              <w:bottom w:val="single" w:color="auto" w:sz="8" w:space="0"/>
              <w:right w:val="single" w:color="auto" w:sz="8" w:space="0"/>
            </w:tcBorders>
            <w:vAlign w:val="center"/>
          </w:tcPr>
          <w:p w14:paraId="45E86DD7">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6</w:t>
            </w:r>
          </w:p>
        </w:tc>
        <w:tc>
          <w:tcPr>
            <w:tcW w:w="395" w:type="pct"/>
            <w:tcBorders>
              <w:top w:val="nil"/>
              <w:left w:val="nil"/>
              <w:bottom w:val="single" w:color="auto" w:sz="8" w:space="0"/>
              <w:right w:val="single" w:color="auto" w:sz="8" w:space="0"/>
            </w:tcBorders>
            <w:vAlign w:val="center"/>
          </w:tcPr>
          <w:p w14:paraId="00CAB0A5">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7AE74DC1">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0.005</w:t>
            </w:r>
          </w:p>
        </w:tc>
      </w:tr>
      <w:tr w14:paraId="26FAB9B4">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67CD7D59">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514EB844">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53FFE8FC">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水质指数</w:t>
            </w:r>
          </w:p>
        </w:tc>
        <w:tc>
          <w:tcPr>
            <w:tcW w:w="395" w:type="pct"/>
            <w:tcBorders>
              <w:top w:val="nil"/>
              <w:left w:val="nil"/>
              <w:bottom w:val="single" w:color="auto" w:sz="8" w:space="0"/>
              <w:right w:val="single" w:color="auto" w:sz="8" w:space="0"/>
            </w:tcBorders>
            <w:vAlign w:val="center"/>
          </w:tcPr>
          <w:p w14:paraId="1B99F50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0.215</w:t>
            </w:r>
          </w:p>
        </w:tc>
        <w:tc>
          <w:tcPr>
            <w:tcW w:w="476" w:type="pct"/>
            <w:tcBorders>
              <w:top w:val="nil"/>
              <w:left w:val="nil"/>
              <w:bottom w:val="single" w:color="auto" w:sz="8" w:space="0"/>
              <w:right w:val="single" w:color="auto" w:sz="8" w:space="0"/>
            </w:tcBorders>
            <w:vAlign w:val="center"/>
          </w:tcPr>
          <w:p w14:paraId="7C5A9D9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0.865</w:t>
            </w:r>
          </w:p>
        </w:tc>
        <w:tc>
          <w:tcPr>
            <w:tcW w:w="395" w:type="pct"/>
            <w:tcBorders>
              <w:top w:val="nil"/>
              <w:left w:val="nil"/>
              <w:bottom w:val="single" w:color="auto" w:sz="8" w:space="0"/>
              <w:right w:val="single" w:color="auto" w:sz="8" w:space="0"/>
            </w:tcBorders>
            <w:vAlign w:val="center"/>
          </w:tcPr>
          <w:p w14:paraId="3B5D31C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0.277</w:t>
            </w:r>
          </w:p>
        </w:tc>
        <w:tc>
          <w:tcPr>
            <w:tcW w:w="476" w:type="pct"/>
            <w:tcBorders>
              <w:top w:val="nil"/>
              <w:left w:val="nil"/>
              <w:bottom w:val="single" w:color="auto" w:sz="8" w:space="0"/>
              <w:right w:val="single" w:color="auto" w:sz="8" w:space="0"/>
            </w:tcBorders>
            <w:vAlign w:val="center"/>
          </w:tcPr>
          <w:p w14:paraId="014A891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0.44</w:t>
            </w:r>
          </w:p>
        </w:tc>
        <w:tc>
          <w:tcPr>
            <w:tcW w:w="395" w:type="pct"/>
            <w:tcBorders>
              <w:top w:val="nil"/>
              <w:left w:val="nil"/>
              <w:bottom w:val="single" w:color="auto" w:sz="8" w:space="0"/>
              <w:right w:val="single" w:color="auto" w:sz="8" w:space="0"/>
            </w:tcBorders>
            <w:vAlign w:val="center"/>
          </w:tcPr>
          <w:p w14:paraId="2378FD6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0.887</w:t>
            </w:r>
          </w:p>
        </w:tc>
        <w:tc>
          <w:tcPr>
            <w:tcW w:w="395" w:type="pct"/>
            <w:tcBorders>
              <w:top w:val="nil"/>
              <w:left w:val="nil"/>
              <w:bottom w:val="single" w:color="auto" w:sz="8" w:space="0"/>
              <w:right w:val="single" w:color="auto" w:sz="8" w:space="0"/>
            </w:tcBorders>
            <w:vAlign w:val="center"/>
          </w:tcPr>
          <w:p w14:paraId="739D78E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542" w:type="pct"/>
            <w:tcBorders>
              <w:top w:val="nil"/>
              <w:left w:val="nil"/>
              <w:bottom w:val="single" w:color="auto" w:sz="8" w:space="0"/>
              <w:right w:val="single" w:color="auto" w:sz="8" w:space="0"/>
            </w:tcBorders>
            <w:vAlign w:val="center"/>
          </w:tcPr>
          <w:p w14:paraId="7B336B1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0.753 </w:t>
            </w:r>
          </w:p>
        </w:tc>
        <w:tc>
          <w:tcPr>
            <w:tcW w:w="395" w:type="pct"/>
            <w:tcBorders>
              <w:top w:val="nil"/>
              <w:left w:val="nil"/>
              <w:bottom w:val="single" w:color="auto" w:sz="8" w:space="0"/>
              <w:right w:val="single" w:color="auto" w:sz="8" w:space="0"/>
            </w:tcBorders>
            <w:vAlign w:val="center"/>
          </w:tcPr>
          <w:p w14:paraId="7EA0A36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5" w:type="pct"/>
            <w:tcBorders>
              <w:top w:val="nil"/>
              <w:left w:val="nil"/>
              <w:bottom w:val="single" w:color="auto" w:sz="8" w:space="0"/>
              <w:right w:val="single" w:color="auto" w:sz="8" w:space="0"/>
            </w:tcBorders>
            <w:vAlign w:val="center"/>
          </w:tcPr>
          <w:p w14:paraId="73A89F7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r>
      <w:tr w14:paraId="36A19103">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7BB2F2A6">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1B13B65B">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5E4771D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超标率</w:t>
            </w:r>
          </w:p>
        </w:tc>
        <w:tc>
          <w:tcPr>
            <w:tcW w:w="395" w:type="pct"/>
            <w:tcBorders>
              <w:top w:val="nil"/>
              <w:left w:val="nil"/>
              <w:bottom w:val="single" w:color="auto" w:sz="8" w:space="0"/>
              <w:right w:val="single" w:color="auto" w:sz="8" w:space="0"/>
            </w:tcBorders>
            <w:vAlign w:val="center"/>
          </w:tcPr>
          <w:p w14:paraId="75E7021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3A484D6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02CD430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1792282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5D1A751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5B0B1B4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542" w:type="pct"/>
            <w:tcBorders>
              <w:top w:val="nil"/>
              <w:left w:val="nil"/>
              <w:bottom w:val="single" w:color="auto" w:sz="8" w:space="0"/>
              <w:right w:val="single" w:color="auto" w:sz="8" w:space="0"/>
            </w:tcBorders>
            <w:vAlign w:val="center"/>
          </w:tcPr>
          <w:p w14:paraId="5422021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37B6953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7286C0D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r>
      <w:tr w14:paraId="34640667">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6F44F8E1">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440CB2F2">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3639B44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达标情况</w:t>
            </w:r>
          </w:p>
        </w:tc>
        <w:tc>
          <w:tcPr>
            <w:tcW w:w="395" w:type="pct"/>
            <w:tcBorders>
              <w:top w:val="nil"/>
              <w:left w:val="nil"/>
              <w:bottom w:val="single" w:color="auto" w:sz="8" w:space="0"/>
              <w:right w:val="single" w:color="auto" w:sz="8" w:space="0"/>
            </w:tcBorders>
            <w:vAlign w:val="center"/>
          </w:tcPr>
          <w:p w14:paraId="5EC5AA69">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602754D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5FEE75A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5A244E5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3DDDAB0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7BF631E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542" w:type="pct"/>
            <w:tcBorders>
              <w:top w:val="nil"/>
              <w:left w:val="nil"/>
              <w:bottom w:val="single" w:color="auto" w:sz="8" w:space="0"/>
              <w:right w:val="single" w:color="auto" w:sz="8" w:space="0"/>
            </w:tcBorders>
            <w:vAlign w:val="center"/>
          </w:tcPr>
          <w:p w14:paraId="2EE67F3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5BABD95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6ABECA4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r>
      <w:tr w14:paraId="5117455F">
        <w:tblPrEx>
          <w:tblCellMar>
            <w:top w:w="0" w:type="dxa"/>
            <w:left w:w="108" w:type="dxa"/>
            <w:bottom w:w="0" w:type="dxa"/>
            <w:right w:w="108" w:type="dxa"/>
          </w:tblCellMar>
        </w:tblPrEx>
        <w:trPr>
          <w:trHeight w:val="300" w:hRule="atLeast"/>
        </w:trPr>
        <w:tc>
          <w:tcPr>
            <w:tcW w:w="243" w:type="pct"/>
            <w:vMerge w:val="restart"/>
            <w:tcBorders>
              <w:top w:val="nil"/>
              <w:left w:val="single" w:color="auto" w:sz="8" w:space="0"/>
              <w:bottom w:val="single" w:color="000000" w:sz="8" w:space="0"/>
              <w:right w:val="single" w:color="auto" w:sz="8" w:space="0"/>
            </w:tcBorders>
            <w:vAlign w:val="center"/>
          </w:tcPr>
          <w:p w14:paraId="7C565EC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W3</w:t>
            </w:r>
          </w:p>
        </w:tc>
        <w:tc>
          <w:tcPr>
            <w:tcW w:w="498" w:type="pct"/>
            <w:vMerge w:val="restart"/>
            <w:tcBorders>
              <w:top w:val="nil"/>
              <w:left w:val="single" w:color="auto" w:sz="8" w:space="0"/>
              <w:bottom w:val="single" w:color="000000" w:sz="8" w:space="0"/>
              <w:right w:val="single" w:color="auto" w:sz="8" w:space="0"/>
            </w:tcBorders>
            <w:vAlign w:val="center"/>
          </w:tcPr>
          <w:p w14:paraId="187DFAF1">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东进水库</w:t>
            </w:r>
          </w:p>
        </w:tc>
        <w:tc>
          <w:tcPr>
            <w:tcW w:w="395" w:type="pct"/>
            <w:tcBorders>
              <w:top w:val="nil"/>
              <w:left w:val="nil"/>
              <w:bottom w:val="single" w:color="auto" w:sz="8" w:space="0"/>
              <w:right w:val="single" w:color="auto" w:sz="8" w:space="0"/>
            </w:tcBorders>
            <w:vAlign w:val="center"/>
          </w:tcPr>
          <w:p w14:paraId="3410A78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最小值</w:t>
            </w:r>
          </w:p>
        </w:tc>
        <w:tc>
          <w:tcPr>
            <w:tcW w:w="395" w:type="pct"/>
            <w:tcBorders>
              <w:top w:val="nil"/>
              <w:left w:val="nil"/>
              <w:bottom w:val="single" w:color="auto" w:sz="8" w:space="0"/>
              <w:right w:val="single" w:color="auto" w:sz="8" w:space="0"/>
            </w:tcBorders>
            <w:vAlign w:val="center"/>
          </w:tcPr>
          <w:p w14:paraId="7DF78D7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7.20 </w:t>
            </w:r>
          </w:p>
        </w:tc>
        <w:tc>
          <w:tcPr>
            <w:tcW w:w="476" w:type="pct"/>
            <w:tcBorders>
              <w:top w:val="nil"/>
              <w:left w:val="nil"/>
              <w:bottom w:val="single" w:color="auto" w:sz="8" w:space="0"/>
              <w:right w:val="single" w:color="auto" w:sz="8" w:space="0"/>
            </w:tcBorders>
            <w:vAlign w:val="center"/>
          </w:tcPr>
          <w:p w14:paraId="1CFA89D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15.0 </w:t>
            </w:r>
          </w:p>
        </w:tc>
        <w:tc>
          <w:tcPr>
            <w:tcW w:w="395" w:type="pct"/>
            <w:tcBorders>
              <w:top w:val="nil"/>
              <w:left w:val="nil"/>
              <w:bottom w:val="single" w:color="auto" w:sz="8" w:space="0"/>
              <w:right w:val="single" w:color="auto" w:sz="8" w:space="0"/>
            </w:tcBorders>
            <w:vAlign w:val="center"/>
          </w:tcPr>
          <w:p w14:paraId="5285AEF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0.239</w:t>
            </w:r>
          </w:p>
        </w:tc>
        <w:tc>
          <w:tcPr>
            <w:tcW w:w="476" w:type="pct"/>
            <w:tcBorders>
              <w:top w:val="nil"/>
              <w:left w:val="nil"/>
              <w:bottom w:val="single" w:color="auto" w:sz="8" w:space="0"/>
              <w:right w:val="single" w:color="auto" w:sz="8" w:space="0"/>
            </w:tcBorders>
            <w:vAlign w:val="center"/>
          </w:tcPr>
          <w:p w14:paraId="6D96926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0.020 </w:t>
            </w:r>
          </w:p>
        </w:tc>
        <w:tc>
          <w:tcPr>
            <w:tcW w:w="395" w:type="pct"/>
            <w:tcBorders>
              <w:top w:val="nil"/>
              <w:left w:val="nil"/>
              <w:bottom w:val="single" w:color="auto" w:sz="8" w:space="0"/>
              <w:right w:val="single" w:color="auto" w:sz="8" w:space="0"/>
            </w:tcBorders>
            <w:vAlign w:val="center"/>
          </w:tcPr>
          <w:p w14:paraId="447C1EC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0.694</w:t>
            </w:r>
          </w:p>
        </w:tc>
        <w:tc>
          <w:tcPr>
            <w:tcW w:w="395" w:type="pct"/>
            <w:tcBorders>
              <w:top w:val="nil"/>
              <w:left w:val="nil"/>
              <w:bottom w:val="single" w:color="auto" w:sz="8" w:space="0"/>
              <w:right w:val="single" w:color="auto" w:sz="8" w:space="0"/>
            </w:tcBorders>
            <w:vAlign w:val="center"/>
          </w:tcPr>
          <w:p w14:paraId="68B4FD7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026CF49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2.30 </w:t>
            </w:r>
          </w:p>
        </w:tc>
        <w:tc>
          <w:tcPr>
            <w:tcW w:w="395" w:type="pct"/>
            <w:tcBorders>
              <w:top w:val="nil"/>
              <w:left w:val="nil"/>
              <w:bottom w:val="single" w:color="auto" w:sz="8" w:space="0"/>
              <w:right w:val="single" w:color="auto" w:sz="8" w:space="0"/>
            </w:tcBorders>
            <w:vAlign w:val="center"/>
          </w:tcPr>
          <w:p w14:paraId="28F0BC7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367C13F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50522411">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04CD2867">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4D93B78E">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36F5AF0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最大值</w:t>
            </w:r>
          </w:p>
        </w:tc>
        <w:tc>
          <w:tcPr>
            <w:tcW w:w="395" w:type="pct"/>
            <w:tcBorders>
              <w:top w:val="nil"/>
              <w:left w:val="nil"/>
              <w:bottom w:val="single" w:color="auto" w:sz="8" w:space="0"/>
              <w:right w:val="single" w:color="auto" w:sz="8" w:space="0"/>
            </w:tcBorders>
            <w:vAlign w:val="center"/>
          </w:tcPr>
          <w:p w14:paraId="0A47B33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7.70 </w:t>
            </w:r>
          </w:p>
        </w:tc>
        <w:tc>
          <w:tcPr>
            <w:tcW w:w="476" w:type="pct"/>
            <w:tcBorders>
              <w:top w:val="nil"/>
              <w:left w:val="nil"/>
              <w:bottom w:val="single" w:color="auto" w:sz="8" w:space="0"/>
              <w:right w:val="single" w:color="auto" w:sz="8" w:space="0"/>
            </w:tcBorders>
            <w:vAlign w:val="center"/>
          </w:tcPr>
          <w:p w14:paraId="7BB26C5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20.0 </w:t>
            </w:r>
          </w:p>
        </w:tc>
        <w:tc>
          <w:tcPr>
            <w:tcW w:w="395" w:type="pct"/>
            <w:tcBorders>
              <w:top w:val="nil"/>
              <w:left w:val="nil"/>
              <w:bottom w:val="single" w:color="auto" w:sz="8" w:space="0"/>
              <w:right w:val="single" w:color="auto" w:sz="8" w:space="0"/>
            </w:tcBorders>
            <w:vAlign w:val="center"/>
          </w:tcPr>
          <w:p w14:paraId="06F3240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0.271</w:t>
            </w:r>
          </w:p>
        </w:tc>
        <w:tc>
          <w:tcPr>
            <w:tcW w:w="476" w:type="pct"/>
            <w:tcBorders>
              <w:top w:val="nil"/>
              <w:left w:val="nil"/>
              <w:bottom w:val="single" w:color="auto" w:sz="8" w:space="0"/>
              <w:right w:val="single" w:color="auto" w:sz="8" w:space="0"/>
            </w:tcBorders>
            <w:vAlign w:val="center"/>
          </w:tcPr>
          <w:p w14:paraId="38B9823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0.030 </w:t>
            </w:r>
          </w:p>
        </w:tc>
        <w:tc>
          <w:tcPr>
            <w:tcW w:w="395" w:type="pct"/>
            <w:tcBorders>
              <w:top w:val="nil"/>
              <w:left w:val="nil"/>
              <w:bottom w:val="single" w:color="auto" w:sz="8" w:space="0"/>
              <w:right w:val="single" w:color="auto" w:sz="8" w:space="0"/>
            </w:tcBorders>
            <w:vAlign w:val="center"/>
          </w:tcPr>
          <w:p w14:paraId="3FC4A2B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0.856</w:t>
            </w:r>
          </w:p>
        </w:tc>
        <w:tc>
          <w:tcPr>
            <w:tcW w:w="395" w:type="pct"/>
            <w:tcBorders>
              <w:top w:val="nil"/>
              <w:left w:val="nil"/>
              <w:bottom w:val="single" w:color="auto" w:sz="8" w:space="0"/>
              <w:right w:val="single" w:color="auto" w:sz="8" w:space="0"/>
            </w:tcBorders>
            <w:vAlign w:val="center"/>
          </w:tcPr>
          <w:p w14:paraId="75A3053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0A0B2A4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2.80 </w:t>
            </w:r>
          </w:p>
        </w:tc>
        <w:tc>
          <w:tcPr>
            <w:tcW w:w="395" w:type="pct"/>
            <w:tcBorders>
              <w:top w:val="nil"/>
              <w:left w:val="nil"/>
              <w:bottom w:val="single" w:color="auto" w:sz="8" w:space="0"/>
              <w:right w:val="single" w:color="auto" w:sz="8" w:space="0"/>
            </w:tcBorders>
            <w:vAlign w:val="center"/>
          </w:tcPr>
          <w:p w14:paraId="6961BAD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654983C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31279055">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7A3E7CC9">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4A461857">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E209C0A">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平均值</w:t>
            </w:r>
          </w:p>
        </w:tc>
        <w:tc>
          <w:tcPr>
            <w:tcW w:w="395" w:type="pct"/>
            <w:tcBorders>
              <w:top w:val="nil"/>
              <w:left w:val="nil"/>
              <w:bottom w:val="single" w:color="auto" w:sz="8" w:space="0"/>
              <w:right w:val="single" w:color="auto" w:sz="8" w:space="0"/>
            </w:tcBorders>
            <w:vAlign w:val="center"/>
          </w:tcPr>
          <w:p w14:paraId="440F350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7.38 </w:t>
            </w:r>
          </w:p>
        </w:tc>
        <w:tc>
          <w:tcPr>
            <w:tcW w:w="476" w:type="pct"/>
            <w:tcBorders>
              <w:top w:val="nil"/>
              <w:left w:val="nil"/>
              <w:bottom w:val="single" w:color="auto" w:sz="8" w:space="0"/>
              <w:right w:val="single" w:color="auto" w:sz="8" w:space="0"/>
            </w:tcBorders>
            <w:vAlign w:val="center"/>
          </w:tcPr>
          <w:p w14:paraId="167312A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17.3 </w:t>
            </w:r>
          </w:p>
        </w:tc>
        <w:tc>
          <w:tcPr>
            <w:tcW w:w="395" w:type="pct"/>
            <w:tcBorders>
              <w:top w:val="nil"/>
              <w:left w:val="nil"/>
              <w:bottom w:val="single" w:color="auto" w:sz="8" w:space="0"/>
              <w:right w:val="single" w:color="auto" w:sz="8" w:space="0"/>
            </w:tcBorders>
            <w:vAlign w:val="center"/>
          </w:tcPr>
          <w:p w14:paraId="579F963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0.257</w:t>
            </w:r>
          </w:p>
        </w:tc>
        <w:tc>
          <w:tcPr>
            <w:tcW w:w="476" w:type="pct"/>
            <w:tcBorders>
              <w:top w:val="nil"/>
              <w:left w:val="nil"/>
              <w:bottom w:val="single" w:color="auto" w:sz="8" w:space="0"/>
              <w:right w:val="single" w:color="auto" w:sz="8" w:space="0"/>
            </w:tcBorders>
            <w:vAlign w:val="center"/>
          </w:tcPr>
          <w:p w14:paraId="2051A38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0.027 </w:t>
            </w:r>
          </w:p>
        </w:tc>
        <w:tc>
          <w:tcPr>
            <w:tcW w:w="395" w:type="pct"/>
            <w:tcBorders>
              <w:top w:val="nil"/>
              <w:left w:val="nil"/>
              <w:bottom w:val="single" w:color="auto" w:sz="8" w:space="0"/>
              <w:right w:val="single" w:color="auto" w:sz="8" w:space="0"/>
            </w:tcBorders>
            <w:vAlign w:val="center"/>
          </w:tcPr>
          <w:p w14:paraId="76FA4D3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0.768</w:t>
            </w:r>
          </w:p>
        </w:tc>
        <w:tc>
          <w:tcPr>
            <w:tcW w:w="395" w:type="pct"/>
            <w:tcBorders>
              <w:top w:val="nil"/>
              <w:left w:val="nil"/>
              <w:bottom w:val="single" w:color="auto" w:sz="8" w:space="0"/>
              <w:right w:val="single" w:color="auto" w:sz="8" w:space="0"/>
            </w:tcBorders>
            <w:vAlign w:val="center"/>
          </w:tcPr>
          <w:p w14:paraId="7B70865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26DF090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2.53 </w:t>
            </w:r>
          </w:p>
        </w:tc>
        <w:tc>
          <w:tcPr>
            <w:tcW w:w="395" w:type="pct"/>
            <w:tcBorders>
              <w:top w:val="nil"/>
              <w:left w:val="nil"/>
              <w:bottom w:val="single" w:color="auto" w:sz="8" w:space="0"/>
              <w:right w:val="single" w:color="auto" w:sz="8" w:space="0"/>
            </w:tcBorders>
            <w:vAlign w:val="center"/>
          </w:tcPr>
          <w:p w14:paraId="556A45C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6902F2C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4F2931EB">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55D8EBE3">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7DDE4997">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53BA15C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r>
              <w:rPr>
                <w:rFonts w:cs="Times New Roman"/>
                <w:color w:val="000000"/>
                <w:kern w:val="0"/>
                <w:sz w:val="21"/>
                <w:szCs w:val="21"/>
                <w14:ligatures w14:val="none"/>
              </w:rPr>
              <w:t>类标准</w:t>
            </w:r>
          </w:p>
        </w:tc>
        <w:tc>
          <w:tcPr>
            <w:tcW w:w="395" w:type="pct"/>
            <w:tcBorders>
              <w:top w:val="nil"/>
              <w:left w:val="nil"/>
              <w:bottom w:val="single" w:color="auto" w:sz="8" w:space="0"/>
              <w:right w:val="single" w:color="auto" w:sz="8" w:space="0"/>
            </w:tcBorders>
            <w:vAlign w:val="center"/>
          </w:tcPr>
          <w:p w14:paraId="24E31B5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6</w:t>
            </w: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9</w:t>
            </w:r>
          </w:p>
        </w:tc>
        <w:tc>
          <w:tcPr>
            <w:tcW w:w="476" w:type="pct"/>
            <w:tcBorders>
              <w:top w:val="nil"/>
              <w:left w:val="nil"/>
              <w:bottom w:val="single" w:color="auto" w:sz="8" w:space="0"/>
              <w:right w:val="single" w:color="auto" w:sz="8" w:space="0"/>
            </w:tcBorders>
            <w:vAlign w:val="center"/>
          </w:tcPr>
          <w:p w14:paraId="379C7F1F">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20</w:t>
            </w:r>
          </w:p>
        </w:tc>
        <w:tc>
          <w:tcPr>
            <w:tcW w:w="395" w:type="pct"/>
            <w:tcBorders>
              <w:top w:val="nil"/>
              <w:left w:val="nil"/>
              <w:bottom w:val="single" w:color="auto" w:sz="8" w:space="0"/>
              <w:right w:val="single" w:color="auto" w:sz="8" w:space="0"/>
            </w:tcBorders>
            <w:vAlign w:val="center"/>
          </w:tcPr>
          <w:p w14:paraId="09C589AE">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476" w:type="pct"/>
            <w:tcBorders>
              <w:top w:val="nil"/>
              <w:left w:val="nil"/>
              <w:bottom w:val="single" w:color="auto" w:sz="8" w:space="0"/>
              <w:right w:val="single" w:color="auto" w:sz="8" w:space="0"/>
            </w:tcBorders>
            <w:vAlign w:val="center"/>
          </w:tcPr>
          <w:p w14:paraId="7A3F7B46">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0.05</w:t>
            </w:r>
          </w:p>
        </w:tc>
        <w:tc>
          <w:tcPr>
            <w:tcW w:w="395" w:type="pct"/>
            <w:tcBorders>
              <w:top w:val="nil"/>
              <w:left w:val="nil"/>
              <w:bottom w:val="single" w:color="auto" w:sz="8" w:space="0"/>
              <w:right w:val="single" w:color="auto" w:sz="8" w:space="0"/>
            </w:tcBorders>
            <w:vAlign w:val="center"/>
          </w:tcPr>
          <w:p w14:paraId="70692CEE">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395" w:type="pct"/>
            <w:tcBorders>
              <w:top w:val="nil"/>
              <w:left w:val="nil"/>
              <w:bottom w:val="single" w:color="auto" w:sz="8" w:space="0"/>
              <w:right w:val="single" w:color="auto" w:sz="8" w:space="0"/>
            </w:tcBorders>
            <w:vAlign w:val="center"/>
          </w:tcPr>
          <w:p w14:paraId="0DED9416">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0.05</w:t>
            </w:r>
          </w:p>
        </w:tc>
        <w:tc>
          <w:tcPr>
            <w:tcW w:w="542" w:type="pct"/>
            <w:tcBorders>
              <w:top w:val="nil"/>
              <w:left w:val="nil"/>
              <w:bottom w:val="single" w:color="auto" w:sz="8" w:space="0"/>
              <w:right w:val="single" w:color="auto" w:sz="8" w:space="0"/>
            </w:tcBorders>
            <w:vAlign w:val="center"/>
          </w:tcPr>
          <w:p w14:paraId="6E56B993">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6</w:t>
            </w:r>
          </w:p>
        </w:tc>
        <w:tc>
          <w:tcPr>
            <w:tcW w:w="395" w:type="pct"/>
            <w:tcBorders>
              <w:top w:val="nil"/>
              <w:left w:val="nil"/>
              <w:bottom w:val="single" w:color="auto" w:sz="8" w:space="0"/>
              <w:right w:val="single" w:color="auto" w:sz="8" w:space="0"/>
            </w:tcBorders>
            <w:vAlign w:val="center"/>
          </w:tcPr>
          <w:p w14:paraId="101A3557">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587D04AC">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0.005</w:t>
            </w:r>
          </w:p>
        </w:tc>
      </w:tr>
      <w:tr w14:paraId="25E90832">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7A6CF2BD">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40A92BDB">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35043951">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水质指数</w:t>
            </w:r>
          </w:p>
        </w:tc>
        <w:tc>
          <w:tcPr>
            <w:tcW w:w="395" w:type="pct"/>
            <w:tcBorders>
              <w:top w:val="nil"/>
              <w:left w:val="nil"/>
              <w:bottom w:val="single" w:color="auto" w:sz="8" w:space="0"/>
              <w:right w:val="single" w:color="auto" w:sz="8" w:space="0"/>
            </w:tcBorders>
            <w:vAlign w:val="center"/>
          </w:tcPr>
          <w:p w14:paraId="7E179A3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0.19</w:t>
            </w:r>
          </w:p>
        </w:tc>
        <w:tc>
          <w:tcPr>
            <w:tcW w:w="476" w:type="pct"/>
            <w:tcBorders>
              <w:top w:val="nil"/>
              <w:left w:val="nil"/>
              <w:bottom w:val="single" w:color="auto" w:sz="8" w:space="0"/>
              <w:right w:val="single" w:color="auto" w:sz="8" w:space="0"/>
            </w:tcBorders>
            <w:vAlign w:val="center"/>
          </w:tcPr>
          <w:p w14:paraId="6A83F5E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0.865</w:t>
            </w:r>
          </w:p>
        </w:tc>
        <w:tc>
          <w:tcPr>
            <w:tcW w:w="395" w:type="pct"/>
            <w:tcBorders>
              <w:top w:val="nil"/>
              <w:left w:val="nil"/>
              <w:bottom w:val="single" w:color="auto" w:sz="8" w:space="0"/>
              <w:right w:val="single" w:color="auto" w:sz="8" w:space="0"/>
            </w:tcBorders>
            <w:vAlign w:val="center"/>
          </w:tcPr>
          <w:p w14:paraId="637CF16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0.257</w:t>
            </w:r>
          </w:p>
        </w:tc>
        <w:tc>
          <w:tcPr>
            <w:tcW w:w="476" w:type="pct"/>
            <w:tcBorders>
              <w:top w:val="nil"/>
              <w:left w:val="nil"/>
              <w:bottom w:val="single" w:color="auto" w:sz="8" w:space="0"/>
              <w:right w:val="single" w:color="auto" w:sz="8" w:space="0"/>
            </w:tcBorders>
            <w:vAlign w:val="center"/>
          </w:tcPr>
          <w:p w14:paraId="4B4725B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0.54</w:t>
            </w:r>
          </w:p>
        </w:tc>
        <w:tc>
          <w:tcPr>
            <w:tcW w:w="395" w:type="pct"/>
            <w:tcBorders>
              <w:top w:val="nil"/>
              <w:left w:val="nil"/>
              <w:bottom w:val="single" w:color="auto" w:sz="8" w:space="0"/>
              <w:right w:val="single" w:color="auto" w:sz="8" w:space="0"/>
            </w:tcBorders>
            <w:vAlign w:val="center"/>
          </w:tcPr>
          <w:p w14:paraId="037E90A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0.768</w:t>
            </w:r>
          </w:p>
        </w:tc>
        <w:tc>
          <w:tcPr>
            <w:tcW w:w="395" w:type="pct"/>
            <w:tcBorders>
              <w:top w:val="nil"/>
              <w:left w:val="nil"/>
              <w:bottom w:val="single" w:color="auto" w:sz="8" w:space="0"/>
              <w:right w:val="single" w:color="auto" w:sz="8" w:space="0"/>
            </w:tcBorders>
            <w:vAlign w:val="center"/>
          </w:tcPr>
          <w:p w14:paraId="2980593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542" w:type="pct"/>
            <w:tcBorders>
              <w:top w:val="nil"/>
              <w:left w:val="nil"/>
              <w:bottom w:val="single" w:color="auto" w:sz="8" w:space="0"/>
              <w:right w:val="single" w:color="auto" w:sz="8" w:space="0"/>
            </w:tcBorders>
            <w:vAlign w:val="center"/>
          </w:tcPr>
          <w:p w14:paraId="3BEA96A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0.422 </w:t>
            </w:r>
          </w:p>
        </w:tc>
        <w:tc>
          <w:tcPr>
            <w:tcW w:w="395" w:type="pct"/>
            <w:tcBorders>
              <w:top w:val="nil"/>
              <w:left w:val="nil"/>
              <w:bottom w:val="single" w:color="auto" w:sz="8" w:space="0"/>
              <w:right w:val="single" w:color="auto" w:sz="8" w:space="0"/>
            </w:tcBorders>
            <w:vAlign w:val="center"/>
          </w:tcPr>
          <w:p w14:paraId="31A3379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5" w:type="pct"/>
            <w:tcBorders>
              <w:top w:val="nil"/>
              <w:left w:val="nil"/>
              <w:bottom w:val="single" w:color="auto" w:sz="8" w:space="0"/>
              <w:right w:val="single" w:color="auto" w:sz="8" w:space="0"/>
            </w:tcBorders>
            <w:vAlign w:val="center"/>
          </w:tcPr>
          <w:p w14:paraId="5D97DC3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r>
      <w:tr w14:paraId="679EBEE2">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77EC3F8D">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3D4EF8D0">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19AC0F51">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超标率</w:t>
            </w:r>
          </w:p>
        </w:tc>
        <w:tc>
          <w:tcPr>
            <w:tcW w:w="395" w:type="pct"/>
            <w:tcBorders>
              <w:top w:val="nil"/>
              <w:left w:val="nil"/>
              <w:bottom w:val="single" w:color="auto" w:sz="8" w:space="0"/>
              <w:right w:val="single" w:color="auto" w:sz="8" w:space="0"/>
            </w:tcBorders>
            <w:vAlign w:val="center"/>
          </w:tcPr>
          <w:p w14:paraId="78D4626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06CFEA4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715C609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7FF1774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6D7A18D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0017CA8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542" w:type="pct"/>
            <w:tcBorders>
              <w:top w:val="nil"/>
              <w:left w:val="nil"/>
              <w:bottom w:val="single" w:color="auto" w:sz="8" w:space="0"/>
              <w:right w:val="single" w:color="auto" w:sz="8" w:space="0"/>
            </w:tcBorders>
            <w:vAlign w:val="center"/>
          </w:tcPr>
          <w:p w14:paraId="2BC219A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505DF4E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3F88367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r>
      <w:tr w14:paraId="7A364943">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500DD8C4">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3E41A9ED">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820B0F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达标情况</w:t>
            </w:r>
          </w:p>
        </w:tc>
        <w:tc>
          <w:tcPr>
            <w:tcW w:w="395" w:type="pct"/>
            <w:tcBorders>
              <w:top w:val="nil"/>
              <w:left w:val="nil"/>
              <w:bottom w:val="single" w:color="auto" w:sz="8" w:space="0"/>
              <w:right w:val="single" w:color="auto" w:sz="8" w:space="0"/>
            </w:tcBorders>
            <w:vAlign w:val="center"/>
          </w:tcPr>
          <w:p w14:paraId="193161E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168585B4">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1B67195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5D44EFD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38B2940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35E69B5A">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542" w:type="pct"/>
            <w:tcBorders>
              <w:top w:val="nil"/>
              <w:left w:val="nil"/>
              <w:bottom w:val="single" w:color="auto" w:sz="8" w:space="0"/>
              <w:right w:val="single" w:color="auto" w:sz="8" w:space="0"/>
            </w:tcBorders>
            <w:vAlign w:val="center"/>
          </w:tcPr>
          <w:p w14:paraId="6AE2A35C">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13A1EE3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463BABB0">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r>
      <w:tr w14:paraId="66A78B64">
        <w:tblPrEx>
          <w:tblCellMar>
            <w:top w:w="0" w:type="dxa"/>
            <w:left w:w="108" w:type="dxa"/>
            <w:bottom w:w="0" w:type="dxa"/>
            <w:right w:w="108" w:type="dxa"/>
          </w:tblCellMar>
        </w:tblPrEx>
        <w:trPr>
          <w:trHeight w:val="300" w:hRule="atLeast"/>
        </w:trPr>
        <w:tc>
          <w:tcPr>
            <w:tcW w:w="243" w:type="pct"/>
            <w:vMerge w:val="restart"/>
            <w:tcBorders>
              <w:top w:val="nil"/>
              <w:left w:val="single" w:color="auto" w:sz="8" w:space="0"/>
              <w:bottom w:val="single" w:color="000000" w:sz="8" w:space="0"/>
              <w:right w:val="single" w:color="auto" w:sz="8" w:space="0"/>
            </w:tcBorders>
            <w:vAlign w:val="center"/>
          </w:tcPr>
          <w:p w14:paraId="0FA596B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W4</w:t>
            </w:r>
          </w:p>
        </w:tc>
        <w:tc>
          <w:tcPr>
            <w:tcW w:w="498" w:type="pct"/>
            <w:vMerge w:val="restart"/>
            <w:tcBorders>
              <w:top w:val="nil"/>
              <w:left w:val="single" w:color="auto" w:sz="8" w:space="0"/>
              <w:bottom w:val="single" w:color="000000" w:sz="8" w:space="0"/>
              <w:right w:val="single" w:color="auto" w:sz="8" w:space="0"/>
            </w:tcBorders>
            <w:vAlign w:val="center"/>
          </w:tcPr>
          <w:p w14:paraId="5E948CD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东进溢洪河</w:t>
            </w:r>
          </w:p>
        </w:tc>
        <w:tc>
          <w:tcPr>
            <w:tcW w:w="395" w:type="pct"/>
            <w:tcBorders>
              <w:top w:val="nil"/>
              <w:left w:val="nil"/>
              <w:bottom w:val="single" w:color="auto" w:sz="8" w:space="0"/>
              <w:right w:val="single" w:color="auto" w:sz="8" w:space="0"/>
            </w:tcBorders>
            <w:vAlign w:val="center"/>
          </w:tcPr>
          <w:p w14:paraId="03EB7564">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最小值</w:t>
            </w:r>
          </w:p>
        </w:tc>
        <w:tc>
          <w:tcPr>
            <w:tcW w:w="395" w:type="pct"/>
            <w:tcBorders>
              <w:top w:val="nil"/>
              <w:left w:val="nil"/>
              <w:bottom w:val="single" w:color="auto" w:sz="8" w:space="0"/>
              <w:right w:val="single" w:color="auto" w:sz="8" w:space="0"/>
            </w:tcBorders>
            <w:vAlign w:val="center"/>
          </w:tcPr>
          <w:p w14:paraId="7B031EA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7.10 </w:t>
            </w:r>
          </w:p>
        </w:tc>
        <w:tc>
          <w:tcPr>
            <w:tcW w:w="476" w:type="pct"/>
            <w:tcBorders>
              <w:top w:val="nil"/>
              <w:left w:val="nil"/>
              <w:bottom w:val="single" w:color="auto" w:sz="8" w:space="0"/>
              <w:right w:val="single" w:color="auto" w:sz="8" w:space="0"/>
            </w:tcBorders>
            <w:vAlign w:val="center"/>
          </w:tcPr>
          <w:p w14:paraId="41BC7FC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14.0 </w:t>
            </w:r>
          </w:p>
        </w:tc>
        <w:tc>
          <w:tcPr>
            <w:tcW w:w="395" w:type="pct"/>
            <w:tcBorders>
              <w:top w:val="nil"/>
              <w:left w:val="nil"/>
              <w:bottom w:val="single" w:color="auto" w:sz="8" w:space="0"/>
              <w:right w:val="single" w:color="auto" w:sz="8" w:space="0"/>
            </w:tcBorders>
            <w:vAlign w:val="center"/>
          </w:tcPr>
          <w:p w14:paraId="777FDB1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0.217</w:t>
            </w:r>
          </w:p>
        </w:tc>
        <w:tc>
          <w:tcPr>
            <w:tcW w:w="476" w:type="pct"/>
            <w:tcBorders>
              <w:top w:val="nil"/>
              <w:left w:val="nil"/>
              <w:bottom w:val="single" w:color="auto" w:sz="8" w:space="0"/>
              <w:right w:val="single" w:color="auto" w:sz="8" w:space="0"/>
            </w:tcBorders>
            <w:vAlign w:val="center"/>
          </w:tcPr>
          <w:p w14:paraId="7F044E8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0.080 </w:t>
            </w:r>
          </w:p>
        </w:tc>
        <w:tc>
          <w:tcPr>
            <w:tcW w:w="395" w:type="pct"/>
            <w:tcBorders>
              <w:top w:val="nil"/>
              <w:left w:val="nil"/>
              <w:bottom w:val="single" w:color="auto" w:sz="8" w:space="0"/>
              <w:right w:val="single" w:color="auto" w:sz="8" w:space="0"/>
            </w:tcBorders>
            <w:vAlign w:val="center"/>
          </w:tcPr>
          <w:p w14:paraId="634671B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0.833</w:t>
            </w:r>
          </w:p>
        </w:tc>
        <w:tc>
          <w:tcPr>
            <w:tcW w:w="395" w:type="pct"/>
            <w:tcBorders>
              <w:top w:val="nil"/>
              <w:left w:val="nil"/>
              <w:bottom w:val="single" w:color="auto" w:sz="8" w:space="0"/>
              <w:right w:val="single" w:color="auto" w:sz="8" w:space="0"/>
            </w:tcBorders>
            <w:vAlign w:val="center"/>
          </w:tcPr>
          <w:p w14:paraId="2085EC2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4CC23AA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4.60 </w:t>
            </w:r>
          </w:p>
        </w:tc>
        <w:tc>
          <w:tcPr>
            <w:tcW w:w="395" w:type="pct"/>
            <w:tcBorders>
              <w:top w:val="nil"/>
              <w:left w:val="nil"/>
              <w:bottom w:val="single" w:color="auto" w:sz="8" w:space="0"/>
              <w:right w:val="single" w:color="auto" w:sz="8" w:space="0"/>
            </w:tcBorders>
            <w:vAlign w:val="center"/>
          </w:tcPr>
          <w:p w14:paraId="5250533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6E9509D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4EDF6283">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449B7922">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1B82E638">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07C6B62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最大值</w:t>
            </w:r>
          </w:p>
        </w:tc>
        <w:tc>
          <w:tcPr>
            <w:tcW w:w="395" w:type="pct"/>
            <w:tcBorders>
              <w:top w:val="nil"/>
              <w:left w:val="nil"/>
              <w:bottom w:val="single" w:color="auto" w:sz="8" w:space="0"/>
              <w:right w:val="single" w:color="auto" w:sz="8" w:space="0"/>
            </w:tcBorders>
            <w:vAlign w:val="center"/>
          </w:tcPr>
          <w:p w14:paraId="6D46DEC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7.50 </w:t>
            </w:r>
          </w:p>
        </w:tc>
        <w:tc>
          <w:tcPr>
            <w:tcW w:w="476" w:type="pct"/>
            <w:tcBorders>
              <w:top w:val="nil"/>
              <w:left w:val="nil"/>
              <w:bottom w:val="single" w:color="auto" w:sz="8" w:space="0"/>
              <w:right w:val="single" w:color="auto" w:sz="8" w:space="0"/>
            </w:tcBorders>
            <w:vAlign w:val="center"/>
          </w:tcPr>
          <w:p w14:paraId="52DCF4E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18.0 </w:t>
            </w:r>
          </w:p>
        </w:tc>
        <w:tc>
          <w:tcPr>
            <w:tcW w:w="395" w:type="pct"/>
            <w:tcBorders>
              <w:top w:val="nil"/>
              <w:left w:val="nil"/>
              <w:bottom w:val="single" w:color="auto" w:sz="8" w:space="0"/>
              <w:right w:val="single" w:color="auto" w:sz="8" w:space="0"/>
            </w:tcBorders>
            <w:vAlign w:val="center"/>
          </w:tcPr>
          <w:p w14:paraId="01ACD4F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0.285</w:t>
            </w:r>
          </w:p>
        </w:tc>
        <w:tc>
          <w:tcPr>
            <w:tcW w:w="476" w:type="pct"/>
            <w:tcBorders>
              <w:top w:val="nil"/>
              <w:left w:val="nil"/>
              <w:bottom w:val="single" w:color="auto" w:sz="8" w:space="0"/>
              <w:right w:val="single" w:color="auto" w:sz="8" w:space="0"/>
            </w:tcBorders>
            <w:vAlign w:val="center"/>
          </w:tcPr>
          <w:p w14:paraId="5E73737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0.110 </w:t>
            </w:r>
          </w:p>
        </w:tc>
        <w:tc>
          <w:tcPr>
            <w:tcW w:w="395" w:type="pct"/>
            <w:tcBorders>
              <w:top w:val="nil"/>
              <w:left w:val="nil"/>
              <w:bottom w:val="single" w:color="auto" w:sz="8" w:space="0"/>
              <w:right w:val="single" w:color="auto" w:sz="8" w:space="0"/>
            </w:tcBorders>
            <w:vAlign w:val="center"/>
          </w:tcPr>
          <w:p w14:paraId="0E2113E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0.972</w:t>
            </w:r>
          </w:p>
        </w:tc>
        <w:tc>
          <w:tcPr>
            <w:tcW w:w="395" w:type="pct"/>
            <w:tcBorders>
              <w:top w:val="nil"/>
              <w:left w:val="nil"/>
              <w:bottom w:val="single" w:color="auto" w:sz="8" w:space="0"/>
              <w:right w:val="single" w:color="auto" w:sz="8" w:space="0"/>
            </w:tcBorders>
            <w:vAlign w:val="center"/>
          </w:tcPr>
          <w:p w14:paraId="2605E2A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4AD4268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5.10 </w:t>
            </w:r>
          </w:p>
        </w:tc>
        <w:tc>
          <w:tcPr>
            <w:tcW w:w="395" w:type="pct"/>
            <w:tcBorders>
              <w:top w:val="nil"/>
              <w:left w:val="nil"/>
              <w:bottom w:val="single" w:color="auto" w:sz="8" w:space="0"/>
              <w:right w:val="single" w:color="auto" w:sz="8" w:space="0"/>
            </w:tcBorders>
            <w:vAlign w:val="center"/>
          </w:tcPr>
          <w:p w14:paraId="47D72CC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24DD0A4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17CF22C4">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6AD321F1">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40C9F909">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1F63AA0F">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平均值</w:t>
            </w:r>
          </w:p>
        </w:tc>
        <w:tc>
          <w:tcPr>
            <w:tcW w:w="395" w:type="pct"/>
            <w:tcBorders>
              <w:top w:val="nil"/>
              <w:left w:val="nil"/>
              <w:bottom w:val="single" w:color="auto" w:sz="8" w:space="0"/>
              <w:right w:val="single" w:color="auto" w:sz="8" w:space="0"/>
            </w:tcBorders>
            <w:vAlign w:val="center"/>
          </w:tcPr>
          <w:p w14:paraId="4D7FC87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7.36 </w:t>
            </w:r>
          </w:p>
        </w:tc>
        <w:tc>
          <w:tcPr>
            <w:tcW w:w="476" w:type="pct"/>
            <w:tcBorders>
              <w:top w:val="nil"/>
              <w:left w:val="nil"/>
              <w:bottom w:val="single" w:color="auto" w:sz="8" w:space="0"/>
              <w:right w:val="single" w:color="auto" w:sz="8" w:space="0"/>
            </w:tcBorders>
            <w:vAlign w:val="center"/>
          </w:tcPr>
          <w:p w14:paraId="3A3AF80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17.2 </w:t>
            </w:r>
          </w:p>
        </w:tc>
        <w:tc>
          <w:tcPr>
            <w:tcW w:w="395" w:type="pct"/>
            <w:tcBorders>
              <w:top w:val="nil"/>
              <w:left w:val="nil"/>
              <w:bottom w:val="single" w:color="auto" w:sz="8" w:space="0"/>
              <w:right w:val="single" w:color="auto" w:sz="8" w:space="0"/>
            </w:tcBorders>
            <w:vAlign w:val="center"/>
          </w:tcPr>
          <w:p w14:paraId="0349896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0.255</w:t>
            </w:r>
          </w:p>
        </w:tc>
        <w:tc>
          <w:tcPr>
            <w:tcW w:w="476" w:type="pct"/>
            <w:tcBorders>
              <w:top w:val="nil"/>
              <w:left w:val="nil"/>
              <w:bottom w:val="single" w:color="auto" w:sz="8" w:space="0"/>
              <w:right w:val="single" w:color="auto" w:sz="8" w:space="0"/>
            </w:tcBorders>
            <w:vAlign w:val="center"/>
          </w:tcPr>
          <w:p w14:paraId="3729B12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0.093 </w:t>
            </w:r>
          </w:p>
        </w:tc>
        <w:tc>
          <w:tcPr>
            <w:tcW w:w="395" w:type="pct"/>
            <w:tcBorders>
              <w:top w:val="nil"/>
              <w:left w:val="nil"/>
              <w:bottom w:val="single" w:color="auto" w:sz="8" w:space="0"/>
              <w:right w:val="single" w:color="auto" w:sz="8" w:space="0"/>
            </w:tcBorders>
            <w:vAlign w:val="center"/>
          </w:tcPr>
          <w:p w14:paraId="557DF27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0.903</w:t>
            </w:r>
          </w:p>
        </w:tc>
        <w:tc>
          <w:tcPr>
            <w:tcW w:w="395" w:type="pct"/>
            <w:tcBorders>
              <w:top w:val="nil"/>
              <w:left w:val="nil"/>
              <w:bottom w:val="single" w:color="auto" w:sz="8" w:space="0"/>
              <w:right w:val="single" w:color="auto" w:sz="8" w:space="0"/>
            </w:tcBorders>
            <w:vAlign w:val="center"/>
          </w:tcPr>
          <w:p w14:paraId="5BCCCDF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5B07A40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4.85 </w:t>
            </w:r>
          </w:p>
        </w:tc>
        <w:tc>
          <w:tcPr>
            <w:tcW w:w="395" w:type="pct"/>
            <w:tcBorders>
              <w:top w:val="nil"/>
              <w:left w:val="nil"/>
              <w:bottom w:val="single" w:color="auto" w:sz="8" w:space="0"/>
              <w:right w:val="single" w:color="auto" w:sz="8" w:space="0"/>
            </w:tcBorders>
            <w:vAlign w:val="center"/>
          </w:tcPr>
          <w:p w14:paraId="4F2B713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50A2FCF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5296F65E">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007571EE">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34A057D5">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06564BD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r>
              <w:rPr>
                <w:rFonts w:cs="Times New Roman"/>
                <w:color w:val="000000"/>
                <w:kern w:val="0"/>
                <w:sz w:val="21"/>
                <w:szCs w:val="21"/>
                <w14:ligatures w14:val="none"/>
              </w:rPr>
              <w:t>类标准</w:t>
            </w:r>
          </w:p>
        </w:tc>
        <w:tc>
          <w:tcPr>
            <w:tcW w:w="395" w:type="pct"/>
            <w:tcBorders>
              <w:top w:val="nil"/>
              <w:left w:val="nil"/>
              <w:bottom w:val="single" w:color="auto" w:sz="8" w:space="0"/>
              <w:right w:val="single" w:color="auto" w:sz="8" w:space="0"/>
            </w:tcBorders>
            <w:vAlign w:val="center"/>
          </w:tcPr>
          <w:p w14:paraId="37A844B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6</w:t>
            </w: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9</w:t>
            </w:r>
          </w:p>
        </w:tc>
        <w:tc>
          <w:tcPr>
            <w:tcW w:w="476" w:type="pct"/>
            <w:tcBorders>
              <w:top w:val="nil"/>
              <w:left w:val="nil"/>
              <w:bottom w:val="single" w:color="auto" w:sz="8" w:space="0"/>
              <w:right w:val="single" w:color="auto" w:sz="8" w:space="0"/>
            </w:tcBorders>
            <w:vAlign w:val="center"/>
          </w:tcPr>
          <w:p w14:paraId="4D602ABB">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20</w:t>
            </w:r>
          </w:p>
        </w:tc>
        <w:tc>
          <w:tcPr>
            <w:tcW w:w="395" w:type="pct"/>
            <w:tcBorders>
              <w:top w:val="nil"/>
              <w:left w:val="nil"/>
              <w:bottom w:val="single" w:color="auto" w:sz="8" w:space="0"/>
              <w:right w:val="single" w:color="auto" w:sz="8" w:space="0"/>
            </w:tcBorders>
            <w:vAlign w:val="center"/>
          </w:tcPr>
          <w:p w14:paraId="7D5423CB">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476" w:type="pct"/>
            <w:tcBorders>
              <w:top w:val="nil"/>
              <w:left w:val="nil"/>
              <w:bottom w:val="single" w:color="auto" w:sz="8" w:space="0"/>
              <w:right w:val="single" w:color="auto" w:sz="8" w:space="0"/>
            </w:tcBorders>
            <w:vAlign w:val="center"/>
          </w:tcPr>
          <w:p w14:paraId="1FEE171D">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0BF96A76">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395" w:type="pct"/>
            <w:tcBorders>
              <w:top w:val="nil"/>
              <w:left w:val="nil"/>
              <w:bottom w:val="single" w:color="auto" w:sz="8" w:space="0"/>
              <w:right w:val="single" w:color="auto" w:sz="8" w:space="0"/>
            </w:tcBorders>
            <w:vAlign w:val="center"/>
          </w:tcPr>
          <w:p w14:paraId="7A75E9CF">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0.05</w:t>
            </w:r>
          </w:p>
        </w:tc>
        <w:tc>
          <w:tcPr>
            <w:tcW w:w="542" w:type="pct"/>
            <w:tcBorders>
              <w:top w:val="nil"/>
              <w:left w:val="nil"/>
              <w:bottom w:val="single" w:color="auto" w:sz="8" w:space="0"/>
              <w:right w:val="single" w:color="auto" w:sz="8" w:space="0"/>
            </w:tcBorders>
            <w:vAlign w:val="center"/>
          </w:tcPr>
          <w:p w14:paraId="1897AC34">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6</w:t>
            </w:r>
          </w:p>
        </w:tc>
        <w:tc>
          <w:tcPr>
            <w:tcW w:w="395" w:type="pct"/>
            <w:tcBorders>
              <w:top w:val="nil"/>
              <w:left w:val="nil"/>
              <w:bottom w:val="single" w:color="auto" w:sz="8" w:space="0"/>
              <w:right w:val="single" w:color="auto" w:sz="8" w:space="0"/>
            </w:tcBorders>
            <w:vAlign w:val="center"/>
          </w:tcPr>
          <w:p w14:paraId="0DB60010">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1A2D2FFF">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0.005</w:t>
            </w:r>
          </w:p>
        </w:tc>
      </w:tr>
      <w:tr w14:paraId="54251C5F">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04765EDA">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4C21777C">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3AF1A2E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水质指数</w:t>
            </w:r>
          </w:p>
        </w:tc>
        <w:tc>
          <w:tcPr>
            <w:tcW w:w="395" w:type="pct"/>
            <w:tcBorders>
              <w:top w:val="nil"/>
              <w:left w:val="nil"/>
              <w:bottom w:val="single" w:color="auto" w:sz="8" w:space="0"/>
              <w:right w:val="single" w:color="auto" w:sz="8" w:space="0"/>
            </w:tcBorders>
            <w:vAlign w:val="center"/>
          </w:tcPr>
          <w:p w14:paraId="6303E72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0.18</w:t>
            </w:r>
          </w:p>
        </w:tc>
        <w:tc>
          <w:tcPr>
            <w:tcW w:w="476" w:type="pct"/>
            <w:tcBorders>
              <w:top w:val="nil"/>
              <w:left w:val="nil"/>
              <w:bottom w:val="single" w:color="auto" w:sz="8" w:space="0"/>
              <w:right w:val="single" w:color="auto" w:sz="8" w:space="0"/>
            </w:tcBorders>
            <w:vAlign w:val="center"/>
          </w:tcPr>
          <w:p w14:paraId="27C80F4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0.86</w:t>
            </w:r>
          </w:p>
        </w:tc>
        <w:tc>
          <w:tcPr>
            <w:tcW w:w="395" w:type="pct"/>
            <w:tcBorders>
              <w:top w:val="nil"/>
              <w:left w:val="nil"/>
              <w:bottom w:val="single" w:color="auto" w:sz="8" w:space="0"/>
              <w:right w:val="single" w:color="auto" w:sz="8" w:space="0"/>
            </w:tcBorders>
            <w:vAlign w:val="center"/>
          </w:tcPr>
          <w:p w14:paraId="40FEC22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0.255</w:t>
            </w:r>
          </w:p>
        </w:tc>
        <w:tc>
          <w:tcPr>
            <w:tcW w:w="476" w:type="pct"/>
            <w:tcBorders>
              <w:top w:val="nil"/>
              <w:left w:val="nil"/>
              <w:bottom w:val="single" w:color="auto" w:sz="8" w:space="0"/>
              <w:right w:val="single" w:color="auto" w:sz="8" w:space="0"/>
            </w:tcBorders>
            <w:vAlign w:val="center"/>
          </w:tcPr>
          <w:p w14:paraId="086C18B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0.465</w:t>
            </w:r>
          </w:p>
        </w:tc>
        <w:tc>
          <w:tcPr>
            <w:tcW w:w="395" w:type="pct"/>
            <w:tcBorders>
              <w:top w:val="nil"/>
              <w:left w:val="nil"/>
              <w:bottom w:val="single" w:color="auto" w:sz="8" w:space="0"/>
              <w:right w:val="single" w:color="auto" w:sz="8" w:space="0"/>
            </w:tcBorders>
            <w:vAlign w:val="center"/>
          </w:tcPr>
          <w:p w14:paraId="35FCA1D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0.903</w:t>
            </w:r>
          </w:p>
        </w:tc>
        <w:tc>
          <w:tcPr>
            <w:tcW w:w="395" w:type="pct"/>
            <w:tcBorders>
              <w:top w:val="nil"/>
              <w:left w:val="nil"/>
              <w:bottom w:val="single" w:color="auto" w:sz="8" w:space="0"/>
              <w:right w:val="single" w:color="auto" w:sz="8" w:space="0"/>
            </w:tcBorders>
            <w:vAlign w:val="center"/>
          </w:tcPr>
          <w:p w14:paraId="37DA410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542" w:type="pct"/>
            <w:tcBorders>
              <w:top w:val="nil"/>
              <w:left w:val="nil"/>
              <w:bottom w:val="single" w:color="auto" w:sz="8" w:space="0"/>
              <w:right w:val="single" w:color="auto" w:sz="8" w:space="0"/>
            </w:tcBorders>
            <w:vAlign w:val="center"/>
          </w:tcPr>
          <w:p w14:paraId="4AFE582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0.808 </w:t>
            </w:r>
          </w:p>
        </w:tc>
        <w:tc>
          <w:tcPr>
            <w:tcW w:w="395" w:type="pct"/>
            <w:tcBorders>
              <w:top w:val="nil"/>
              <w:left w:val="nil"/>
              <w:bottom w:val="single" w:color="auto" w:sz="8" w:space="0"/>
              <w:right w:val="single" w:color="auto" w:sz="8" w:space="0"/>
            </w:tcBorders>
            <w:vAlign w:val="center"/>
          </w:tcPr>
          <w:p w14:paraId="1A89A8F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5" w:type="pct"/>
            <w:tcBorders>
              <w:top w:val="nil"/>
              <w:left w:val="nil"/>
              <w:bottom w:val="single" w:color="auto" w:sz="8" w:space="0"/>
              <w:right w:val="single" w:color="auto" w:sz="8" w:space="0"/>
            </w:tcBorders>
            <w:vAlign w:val="center"/>
          </w:tcPr>
          <w:p w14:paraId="2E24C84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r>
      <w:tr w14:paraId="3D0902A3">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2EBE3FA8">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539CCD06">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41723379">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超标率</w:t>
            </w:r>
          </w:p>
        </w:tc>
        <w:tc>
          <w:tcPr>
            <w:tcW w:w="395" w:type="pct"/>
            <w:tcBorders>
              <w:top w:val="nil"/>
              <w:left w:val="nil"/>
              <w:bottom w:val="single" w:color="auto" w:sz="8" w:space="0"/>
              <w:right w:val="single" w:color="auto" w:sz="8" w:space="0"/>
            </w:tcBorders>
            <w:vAlign w:val="center"/>
          </w:tcPr>
          <w:p w14:paraId="552D900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4FFC66E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210411B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34279D7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6ED1138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65E81E4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542" w:type="pct"/>
            <w:tcBorders>
              <w:top w:val="nil"/>
              <w:left w:val="nil"/>
              <w:bottom w:val="single" w:color="auto" w:sz="8" w:space="0"/>
              <w:right w:val="single" w:color="auto" w:sz="8" w:space="0"/>
            </w:tcBorders>
            <w:vAlign w:val="center"/>
          </w:tcPr>
          <w:p w14:paraId="14DF699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59E24B6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597372D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r>
      <w:tr w14:paraId="01125354">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1DB6F5F8">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0F06DAE7">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15087F0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达标情况</w:t>
            </w:r>
          </w:p>
        </w:tc>
        <w:tc>
          <w:tcPr>
            <w:tcW w:w="395" w:type="pct"/>
            <w:tcBorders>
              <w:top w:val="nil"/>
              <w:left w:val="nil"/>
              <w:bottom w:val="single" w:color="auto" w:sz="8" w:space="0"/>
              <w:right w:val="single" w:color="auto" w:sz="8" w:space="0"/>
            </w:tcBorders>
            <w:vAlign w:val="center"/>
          </w:tcPr>
          <w:p w14:paraId="01FED2D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27EC4A85">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2EF388D1">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4FD482C1">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26A9153C">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3FA0609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542" w:type="pct"/>
            <w:tcBorders>
              <w:top w:val="nil"/>
              <w:left w:val="nil"/>
              <w:bottom w:val="single" w:color="auto" w:sz="8" w:space="0"/>
              <w:right w:val="single" w:color="auto" w:sz="8" w:space="0"/>
            </w:tcBorders>
            <w:vAlign w:val="center"/>
          </w:tcPr>
          <w:p w14:paraId="06A62067">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2E35D4F4">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62375DB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r>
      <w:tr w14:paraId="55093D4B">
        <w:tblPrEx>
          <w:tblCellMar>
            <w:top w:w="0" w:type="dxa"/>
            <w:left w:w="108" w:type="dxa"/>
            <w:bottom w:w="0" w:type="dxa"/>
            <w:right w:w="108" w:type="dxa"/>
          </w:tblCellMar>
        </w:tblPrEx>
        <w:trPr>
          <w:trHeight w:val="300" w:hRule="atLeast"/>
        </w:trPr>
        <w:tc>
          <w:tcPr>
            <w:tcW w:w="243" w:type="pct"/>
            <w:vMerge w:val="restart"/>
            <w:tcBorders>
              <w:top w:val="nil"/>
              <w:left w:val="single" w:color="auto" w:sz="8" w:space="0"/>
              <w:bottom w:val="single" w:color="000000" w:sz="8" w:space="0"/>
              <w:right w:val="single" w:color="auto" w:sz="8" w:space="0"/>
            </w:tcBorders>
            <w:vAlign w:val="center"/>
          </w:tcPr>
          <w:p w14:paraId="371372F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W5</w:t>
            </w:r>
          </w:p>
        </w:tc>
        <w:tc>
          <w:tcPr>
            <w:tcW w:w="498" w:type="pct"/>
            <w:vMerge w:val="restart"/>
            <w:tcBorders>
              <w:top w:val="nil"/>
              <w:left w:val="single" w:color="auto" w:sz="8" w:space="0"/>
              <w:bottom w:val="single" w:color="000000" w:sz="8" w:space="0"/>
              <w:right w:val="single" w:color="auto" w:sz="8" w:space="0"/>
            </w:tcBorders>
            <w:vAlign w:val="center"/>
          </w:tcPr>
          <w:p w14:paraId="002D4E97">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海底水库</w:t>
            </w:r>
          </w:p>
        </w:tc>
        <w:tc>
          <w:tcPr>
            <w:tcW w:w="395" w:type="pct"/>
            <w:tcBorders>
              <w:top w:val="nil"/>
              <w:left w:val="nil"/>
              <w:bottom w:val="single" w:color="auto" w:sz="8" w:space="0"/>
              <w:right w:val="single" w:color="auto" w:sz="8" w:space="0"/>
            </w:tcBorders>
            <w:vAlign w:val="center"/>
          </w:tcPr>
          <w:p w14:paraId="652C96EC">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最小值</w:t>
            </w:r>
          </w:p>
        </w:tc>
        <w:tc>
          <w:tcPr>
            <w:tcW w:w="395" w:type="pct"/>
            <w:tcBorders>
              <w:top w:val="nil"/>
              <w:left w:val="nil"/>
              <w:bottom w:val="single" w:color="auto" w:sz="8" w:space="0"/>
              <w:right w:val="single" w:color="auto" w:sz="8" w:space="0"/>
            </w:tcBorders>
            <w:vAlign w:val="center"/>
          </w:tcPr>
          <w:p w14:paraId="7AA6D20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7.20 </w:t>
            </w:r>
          </w:p>
        </w:tc>
        <w:tc>
          <w:tcPr>
            <w:tcW w:w="476" w:type="pct"/>
            <w:tcBorders>
              <w:top w:val="nil"/>
              <w:left w:val="nil"/>
              <w:bottom w:val="single" w:color="auto" w:sz="8" w:space="0"/>
              <w:right w:val="single" w:color="auto" w:sz="8" w:space="0"/>
            </w:tcBorders>
            <w:vAlign w:val="center"/>
          </w:tcPr>
          <w:p w14:paraId="6CD4F75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13.0 </w:t>
            </w:r>
          </w:p>
        </w:tc>
        <w:tc>
          <w:tcPr>
            <w:tcW w:w="395" w:type="pct"/>
            <w:tcBorders>
              <w:top w:val="nil"/>
              <w:left w:val="nil"/>
              <w:bottom w:val="single" w:color="auto" w:sz="8" w:space="0"/>
              <w:right w:val="single" w:color="auto" w:sz="8" w:space="0"/>
            </w:tcBorders>
            <w:vAlign w:val="center"/>
          </w:tcPr>
          <w:p w14:paraId="4120BA1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0.217</w:t>
            </w:r>
          </w:p>
        </w:tc>
        <w:tc>
          <w:tcPr>
            <w:tcW w:w="476" w:type="pct"/>
            <w:tcBorders>
              <w:top w:val="nil"/>
              <w:left w:val="nil"/>
              <w:bottom w:val="single" w:color="auto" w:sz="8" w:space="0"/>
              <w:right w:val="single" w:color="auto" w:sz="8" w:space="0"/>
            </w:tcBorders>
            <w:vAlign w:val="center"/>
          </w:tcPr>
          <w:p w14:paraId="1F8ED75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0.040 </w:t>
            </w:r>
          </w:p>
        </w:tc>
        <w:tc>
          <w:tcPr>
            <w:tcW w:w="395" w:type="pct"/>
            <w:tcBorders>
              <w:top w:val="nil"/>
              <w:left w:val="nil"/>
              <w:bottom w:val="single" w:color="auto" w:sz="8" w:space="0"/>
              <w:right w:val="single" w:color="auto" w:sz="8" w:space="0"/>
            </w:tcBorders>
            <w:vAlign w:val="center"/>
          </w:tcPr>
          <w:p w14:paraId="45E83B8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0.648</w:t>
            </w:r>
          </w:p>
        </w:tc>
        <w:tc>
          <w:tcPr>
            <w:tcW w:w="395" w:type="pct"/>
            <w:tcBorders>
              <w:top w:val="nil"/>
              <w:left w:val="nil"/>
              <w:bottom w:val="single" w:color="auto" w:sz="8" w:space="0"/>
              <w:right w:val="single" w:color="auto" w:sz="8" w:space="0"/>
            </w:tcBorders>
            <w:vAlign w:val="center"/>
          </w:tcPr>
          <w:p w14:paraId="793FE3A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230E9B4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2.60 </w:t>
            </w:r>
          </w:p>
        </w:tc>
        <w:tc>
          <w:tcPr>
            <w:tcW w:w="395" w:type="pct"/>
            <w:tcBorders>
              <w:top w:val="nil"/>
              <w:left w:val="nil"/>
              <w:bottom w:val="single" w:color="auto" w:sz="8" w:space="0"/>
              <w:right w:val="single" w:color="auto" w:sz="8" w:space="0"/>
            </w:tcBorders>
            <w:vAlign w:val="center"/>
          </w:tcPr>
          <w:p w14:paraId="0267991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5B688D8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4EE4F2C9">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5E815643">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22D73763">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35748BC9">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最大值</w:t>
            </w:r>
          </w:p>
        </w:tc>
        <w:tc>
          <w:tcPr>
            <w:tcW w:w="395" w:type="pct"/>
            <w:tcBorders>
              <w:top w:val="nil"/>
              <w:left w:val="nil"/>
              <w:bottom w:val="single" w:color="auto" w:sz="8" w:space="0"/>
              <w:right w:val="single" w:color="auto" w:sz="8" w:space="0"/>
            </w:tcBorders>
            <w:vAlign w:val="center"/>
          </w:tcPr>
          <w:p w14:paraId="5323680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7.80 </w:t>
            </w:r>
          </w:p>
        </w:tc>
        <w:tc>
          <w:tcPr>
            <w:tcW w:w="476" w:type="pct"/>
            <w:tcBorders>
              <w:top w:val="nil"/>
              <w:left w:val="nil"/>
              <w:bottom w:val="single" w:color="auto" w:sz="8" w:space="0"/>
              <w:right w:val="single" w:color="auto" w:sz="8" w:space="0"/>
            </w:tcBorders>
            <w:vAlign w:val="center"/>
          </w:tcPr>
          <w:p w14:paraId="105B7FE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19.0 </w:t>
            </w:r>
          </w:p>
        </w:tc>
        <w:tc>
          <w:tcPr>
            <w:tcW w:w="395" w:type="pct"/>
            <w:tcBorders>
              <w:top w:val="nil"/>
              <w:left w:val="nil"/>
              <w:bottom w:val="single" w:color="auto" w:sz="8" w:space="0"/>
              <w:right w:val="single" w:color="auto" w:sz="8" w:space="0"/>
            </w:tcBorders>
            <w:vAlign w:val="center"/>
          </w:tcPr>
          <w:p w14:paraId="2145CDA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0.243</w:t>
            </w:r>
          </w:p>
        </w:tc>
        <w:tc>
          <w:tcPr>
            <w:tcW w:w="476" w:type="pct"/>
            <w:tcBorders>
              <w:top w:val="nil"/>
              <w:left w:val="nil"/>
              <w:bottom w:val="single" w:color="auto" w:sz="8" w:space="0"/>
              <w:right w:val="single" w:color="auto" w:sz="8" w:space="0"/>
            </w:tcBorders>
            <w:vAlign w:val="center"/>
          </w:tcPr>
          <w:p w14:paraId="0DF0581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0.040 </w:t>
            </w:r>
          </w:p>
        </w:tc>
        <w:tc>
          <w:tcPr>
            <w:tcW w:w="395" w:type="pct"/>
            <w:tcBorders>
              <w:top w:val="nil"/>
              <w:left w:val="nil"/>
              <w:bottom w:val="single" w:color="auto" w:sz="8" w:space="0"/>
              <w:right w:val="single" w:color="auto" w:sz="8" w:space="0"/>
            </w:tcBorders>
            <w:vAlign w:val="center"/>
          </w:tcPr>
          <w:p w14:paraId="58712A7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0.787</w:t>
            </w:r>
          </w:p>
        </w:tc>
        <w:tc>
          <w:tcPr>
            <w:tcW w:w="395" w:type="pct"/>
            <w:tcBorders>
              <w:top w:val="nil"/>
              <w:left w:val="nil"/>
              <w:bottom w:val="single" w:color="auto" w:sz="8" w:space="0"/>
              <w:right w:val="single" w:color="auto" w:sz="8" w:space="0"/>
            </w:tcBorders>
            <w:vAlign w:val="center"/>
          </w:tcPr>
          <w:p w14:paraId="0876566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3EDE1C2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3.40 </w:t>
            </w:r>
          </w:p>
        </w:tc>
        <w:tc>
          <w:tcPr>
            <w:tcW w:w="395" w:type="pct"/>
            <w:tcBorders>
              <w:top w:val="nil"/>
              <w:left w:val="nil"/>
              <w:bottom w:val="single" w:color="auto" w:sz="8" w:space="0"/>
              <w:right w:val="single" w:color="auto" w:sz="8" w:space="0"/>
            </w:tcBorders>
            <w:vAlign w:val="center"/>
          </w:tcPr>
          <w:p w14:paraId="69EA5FA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5F655E7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24646F9C">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4042EBC6">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625BF434">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CB4509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平均值</w:t>
            </w:r>
          </w:p>
        </w:tc>
        <w:tc>
          <w:tcPr>
            <w:tcW w:w="395" w:type="pct"/>
            <w:tcBorders>
              <w:top w:val="nil"/>
              <w:left w:val="nil"/>
              <w:bottom w:val="single" w:color="auto" w:sz="8" w:space="0"/>
              <w:right w:val="single" w:color="auto" w:sz="8" w:space="0"/>
            </w:tcBorders>
            <w:vAlign w:val="center"/>
          </w:tcPr>
          <w:p w14:paraId="2C84D20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7.47 </w:t>
            </w:r>
          </w:p>
        </w:tc>
        <w:tc>
          <w:tcPr>
            <w:tcW w:w="476" w:type="pct"/>
            <w:tcBorders>
              <w:top w:val="nil"/>
              <w:left w:val="nil"/>
              <w:bottom w:val="single" w:color="auto" w:sz="8" w:space="0"/>
              <w:right w:val="single" w:color="auto" w:sz="8" w:space="0"/>
            </w:tcBorders>
            <w:vAlign w:val="center"/>
          </w:tcPr>
          <w:p w14:paraId="7E7A254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15.5 </w:t>
            </w:r>
          </w:p>
        </w:tc>
        <w:tc>
          <w:tcPr>
            <w:tcW w:w="395" w:type="pct"/>
            <w:tcBorders>
              <w:top w:val="nil"/>
              <w:left w:val="nil"/>
              <w:bottom w:val="single" w:color="auto" w:sz="8" w:space="0"/>
              <w:right w:val="single" w:color="auto" w:sz="8" w:space="0"/>
            </w:tcBorders>
            <w:vAlign w:val="center"/>
          </w:tcPr>
          <w:p w14:paraId="2EF5846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0.226</w:t>
            </w:r>
          </w:p>
        </w:tc>
        <w:tc>
          <w:tcPr>
            <w:tcW w:w="476" w:type="pct"/>
            <w:tcBorders>
              <w:top w:val="nil"/>
              <w:left w:val="nil"/>
              <w:bottom w:val="single" w:color="auto" w:sz="8" w:space="0"/>
              <w:right w:val="single" w:color="auto" w:sz="8" w:space="0"/>
            </w:tcBorders>
            <w:vAlign w:val="center"/>
          </w:tcPr>
          <w:p w14:paraId="1BE5AC2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0.040 </w:t>
            </w:r>
          </w:p>
        </w:tc>
        <w:tc>
          <w:tcPr>
            <w:tcW w:w="395" w:type="pct"/>
            <w:tcBorders>
              <w:top w:val="nil"/>
              <w:left w:val="nil"/>
              <w:bottom w:val="single" w:color="auto" w:sz="8" w:space="0"/>
              <w:right w:val="single" w:color="auto" w:sz="8" w:space="0"/>
            </w:tcBorders>
            <w:vAlign w:val="center"/>
          </w:tcPr>
          <w:p w14:paraId="550A1F3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0.702</w:t>
            </w:r>
          </w:p>
        </w:tc>
        <w:tc>
          <w:tcPr>
            <w:tcW w:w="395" w:type="pct"/>
            <w:tcBorders>
              <w:top w:val="nil"/>
              <w:left w:val="nil"/>
              <w:bottom w:val="single" w:color="auto" w:sz="8" w:space="0"/>
              <w:right w:val="single" w:color="auto" w:sz="8" w:space="0"/>
            </w:tcBorders>
            <w:vAlign w:val="center"/>
          </w:tcPr>
          <w:p w14:paraId="005D8DE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2018A9F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3.10 </w:t>
            </w:r>
          </w:p>
        </w:tc>
        <w:tc>
          <w:tcPr>
            <w:tcW w:w="395" w:type="pct"/>
            <w:tcBorders>
              <w:top w:val="nil"/>
              <w:left w:val="nil"/>
              <w:bottom w:val="single" w:color="auto" w:sz="8" w:space="0"/>
              <w:right w:val="single" w:color="auto" w:sz="8" w:space="0"/>
            </w:tcBorders>
            <w:vAlign w:val="center"/>
          </w:tcPr>
          <w:p w14:paraId="6D3DF9B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7DA0FF0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2CBC60CC">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3C1A72D6">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5DB45A4D">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6AF91EA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r>
              <w:rPr>
                <w:rFonts w:cs="Times New Roman"/>
                <w:color w:val="000000"/>
                <w:kern w:val="0"/>
                <w:sz w:val="21"/>
                <w:szCs w:val="21"/>
                <w14:ligatures w14:val="none"/>
              </w:rPr>
              <w:t>类标准</w:t>
            </w:r>
          </w:p>
        </w:tc>
        <w:tc>
          <w:tcPr>
            <w:tcW w:w="395" w:type="pct"/>
            <w:tcBorders>
              <w:top w:val="nil"/>
              <w:left w:val="nil"/>
              <w:bottom w:val="single" w:color="auto" w:sz="8" w:space="0"/>
              <w:right w:val="single" w:color="auto" w:sz="8" w:space="0"/>
            </w:tcBorders>
            <w:vAlign w:val="center"/>
          </w:tcPr>
          <w:p w14:paraId="7219CEF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6</w:t>
            </w: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9</w:t>
            </w:r>
          </w:p>
        </w:tc>
        <w:tc>
          <w:tcPr>
            <w:tcW w:w="476" w:type="pct"/>
            <w:tcBorders>
              <w:top w:val="nil"/>
              <w:left w:val="nil"/>
              <w:bottom w:val="single" w:color="auto" w:sz="8" w:space="0"/>
              <w:right w:val="single" w:color="auto" w:sz="8" w:space="0"/>
            </w:tcBorders>
            <w:vAlign w:val="center"/>
          </w:tcPr>
          <w:p w14:paraId="63260C48">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20</w:t>
            </w:r>
          </w:p>
        </w:tc>
        <w:tc>
          <w:tcPr>
            <w:tcW w:w="395" w:type="pct"/>
            <w:tcBorders>
              <w:top w:val="nil"/>
              <w:left w:val="nil"/>
              <w:bottom w:val="single" w:color="auto" w:sz="8" w:space="0"/>
              <w:right w:val="single" w:color="auto" w:sz="8" w:space="0"/>
            </w:tcBorders>
            <w:vAlign w:val="center"/>
          </w:tcPr>
          <w:p w14:paraId="45B220AA">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476" w:type="pct"/>
            <w:tcBorders>
              <w:top w:val="nil"/>
              <w:left w:val="nil"/>
              <w:bottom w:val="single" w:color="auto" w:sz="8" w:space="0"/>
              <w:right w:val="single" w:color="auto" w:sz="8" w:space="0"/>
            </w:tcBorders>
            <w:vAlign w:val="center"/>
          </w:tcPr>
          <w:p w14:paraId="5D9BF2EC">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0.05</w:t>
            </w:r>
          </w:p>
        </w:tc>
        <w:tc>
          <w:tcPr>
            <w:tcW w:w="395" w:type="pct"/>
            <w:tcBorders>
              <w:top w:val="nil"/>
              <w:left w:val="nil"/>
              <w:bottom w:val="single" w:color="auto" w:sz="8" w:space="0"/>
              <w:right w:val="single" w:color="auto" w:sz="8" w:space="0"/>
            </w:tcBorders>
            <w:vAlign w:val="center"/>
          </w:tcPr>
          <w:p w14:paraId="42C3276B">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395" w:type="pct"/>
            <w:tcBorders>
              <w:top w:val="nil"/>
              <w:left w:val="nil"/>
              <w:bottom w:val="single" w:color="auto" w:sz="8" w:space="0"/>
              <w:right w:val="single" w:color="auto" w:sz="8" w:space="0"/>
            </w:tcBorders>
            <w:vAlign w:val="center"/>
          </w:tcPr>
          <w:p w14:paraId="53CC0BFC">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0.05</w:t>
            </w:r>
          </w:p>
        </w:tc>
        <w:tc>
          <w:tcPr>
            <w:tcW w:w="542" w:type="pct"/>
            <w:tcBorders>
              <w:top w:val="nil"/>
              <w:left w:val="nil"/>
              <w:bottom w:val="single" w:color="auto" w:sz="8" w:space="0"/>
              <w:right w:val="single" w:color="auto" w:sz="8" w:space="0"/>
            </w:tcBorders>
            <w:vAlign w:val="center"/>
          </w:tcPr>
          <w:p w14:paraId="55F4B3C3">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6</w:t>
            </w:r>
          </w:p>
        </w:tc>
        <w:tc>
          <w:tcPr>
            <w:tcW w:w="395" w:type="pct"/>
            <w:tcBorders>
              <w:top w:val="nil"/>
              <w:left w:val="nil"/>
              <w:bottom w:val="single" w:color="auto" w:sz="8" w:space="0"/>
              <w:right w:val="single" w:color="auto" w:sz="8" w:space="0"/>
            </w:tcBorders>
            <w:vAlign w:val="center"/>
          </w:tcPr>
          <w:p w14:paraId="27A12B4A">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6D067B7D">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0.005</w:t>
            </w:r>
          </w:p>
        </w:tc>
      </w:tr>
      <w:tr w14:paraId="48A14A9C">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51DA4BA6">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3E94FB78">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47FEE1A">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水质指数</w:t>
            </w:r>
          </w:p>
        </w:tc>
        <w:tc>
          <w:tcPr>
            <w:tcW w:w="395" w:type="pct"/>
            <w:tcBorders>
              <w:top w:val="nil"/>
              <w:left w:val="nil"/>
              <w:bottom w:val="single" w:color="auto" w:sz="8" w:space="0"/>
              <w:right w:val="single" w:color="auto" w:sz="8" w:space="0"/>
            </w:tcBorders>
            <w:vAlign w:val="center"/>
          </w:tcPr>
          <w:p w14:paraId="6ADE4E8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0.235</w:t>
            </w:r>
          </w:p>
        </w:tc>
        <w:tc>
          <w:tcPr>
            <w:tcW w:w="476" w:type="pct"/>
            <w:tcBorders>
              <w:top w:val="nil"/>
              <w:left w:val="nil"/>
              <w:bottom w:val="single" w:color="auto" w:sz="8" w:space="0"/>
              <w:right w:val="single" w:color="auto" w:sz="8" w:space="0"/>
            </w:tcBorders>
            <w:vAlign w:val="center"/>
          </w:tcPr>
          <w:p w14:paraId="6D77B79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0.775</w:t>
            </w:r>
          </w:p>
        </w:tc>
        <w:tc>
          <w:tcPr>
            <w:tcW w:w="395" w:type="pct"/>
            <w:tcBorders>
              <w:top w:val="nil"/>
              <w:left w:val="nil"/>
              <w:bottom w:val="single" w:color="auto" w:sz="8" w:space="0"/>
              <w:right w:val="single" w:color="auto" w:sz="8" w:space="0"/>
            </w:tcBorders>
            <w:vAlign w:val="center"/>
          </w:tcPr>
          <w:p w14:paraId="24CBAD6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0.226</w:t>
            </w:r>
          </w:p>
        </w:tc>
        <w:tc>
          <w:tcPr>
            <w:tcW w:w="476" w:type="pct"/>
            <w:tcBorders>
              <w:top w:val="nil"/>
              <w:left w:val="nil"/>
              <w:bottom w:val="single" w:color="auto" w:sz="8" w:space="0"/>
              <w:right w:val="single" w:color="auto" w:sz="8" w:space="0"/>
            </w:tcBorders>
            <w:vAlign w:val="center"/>
          </w:tcPr>
          <w:p w14:paraId="34C8C24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w:t>
            </w:r>
          </w:p>
        </w:tc>
        <w:tc>
          <w:tcPr>
            <w:tcW w:w="395" w:type="pct"/>
            <w:tcBorders>
              <w:top w:val="nil"/>
              <w:left w:val="nil"/>
              <w:bottom w:val="single" w:color="auto" w:sz="8" w:space="0"/>
              <w:right w:val="single" w:color="auto" w:sz="8" w:space="0"/>
            </w:tcBorders>
            <w:vAlign w:val="center"/>
          </w:tcPr>
          <w:p w14:paraId="14D2FB6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0.702</w:t>
            </w:r>
          </w:p>
        </w:tc>
        <w:tc>
          <w:tcPr>
            <w:tcW w:w="395" w:type="pct"/>
            <w:tcBorders>
              <w:top w:val="nil"/>
              <w:left w:val="nil"/>
              <w:bottom w:val="single" w:color="auto" w:sz="8" w:space="0"/>
              <w:right w:val="single" w:color="auto" w:sz="8" w:space="0"/>
            </w:tcBorders>
            <w:vAlign w:val="center"/>
          </w:tcPr>
          <w:p w14:paraId="7D03B32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542" w:type="pct"/>
            <w:tcBorders>
              <w:top w:val="nil"/>
              <w:left w:val="nil"/>
              <w:bottom w:val="single" w:color="auto" w:sz="8" w:space="0"/>
              <w:right w:val="single" w:color="auto" w:sz="8" w:space="0"/>
            </w:tcBorders>
            <w:vAlign w:val="center"/>
          </w:tcPr>
          <w:p w14:paraId="11FCA80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0.517 </w:t>
            </w:r>
          </w:p>
        </w:tc>
        <w:tc>
          <w:tcPr>
            <w:tcW w:w="395" w:type="pct"/>
            <w:tcBorders>
              <w:top w:val="nil"/>
              <w:left w:val="nil"/>
              <w:bottom w:val="single" w:color="auto" w:sz="8" w:space="0"/>
              <w:right w:val="single" w:color="auto" w:sz="8" w:space="0"/>
            </w:tcBorders>
            <w:vAlign w:val="center"/>
          </w:tcPr>
          <w:p w14:paraId="24C5D0C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5" w:type="pct"/>
            <w:tcBorders>
              <w:top w:val="nil"/>
              <w:left w:val="nil"/>
              <w:bottom w:val="single" w:color="auto" w:sz="8" w:space="0"/>
              <w:right w:val="single" w:color="auto" w:sz="8" w:space="0"/>
            </w:tcBorders>
            <w:vAlign w:val="center"/>
          </w:tcPr>
          <w:p w14:paraId="53E6644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r>
      <w:tr w14:paraId="5B2B4902">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6EB82E91">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2ADF6019">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56765674">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超标率</w:t>
            </w:r>
          </w:p>
        </w:tc>
        <w:tc>
          <w:tcPr>
            <w:tcW w:w="395" w:type="pct"/>
            <w:tcBorders>
              <w:top w:val="nil"/>
              <w:left w:val="nil"/>
              <w:bottom w:val="single" w:color="auto" w:sz="8" w:space="0"/>
              <w:right w:val="single" w:color="auto" w:sz="8" w:space="0"/>
            </w:tcBorders>
            <w:vAlign w:val="center"/>
          </w:tcPr>
          <w:p w14:paraId="14DF82E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5DAD747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6259DAE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2C30FDA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6E7EFE8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18F7503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542" w:type="pct"/>
            <w:tcBorders>
              <w:top w:val="nil"/>
              <w:left w:val="nil"/>
              <w:bottom w:val="single" w:color="auto" w:sz="8" w:space="0"/>
              <w:right w:val="single" w:color="auto" w:sz="8" w:space="0"/>
            </w:tcBorders>
            <w:vAlign w:val="center"/>
          </w:tcPr>
          <w:p w14:paraId="62CE343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1BB5E5B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2C3A7F1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r>
      <w:tr w14:paraId="6732E743">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269CCAE3">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6820354A">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36A93505">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达标情况</w:t>
            </w:r>
          </w:p>
        </w:tc>
        <w:tc>
          <w:tcPr>
            <w:tcW w:w="395" w:type="pct"/>
            <w:tcBorders>
              <w:top w:val="nil"/>
              <w:left w:val="nil"/>
              <w:bottom w:val="single" w:color="auto" w:sz="8" w:space="0"/>
              <w:right w:val="single" w:color="auto" w:sz="8" w:space="0"/>
            </w:tcBorders>
            <w:vAlign w:val="center"/>
          </w:tcPr>
          <w:p w14:paraId="1463D231">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54835F51">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4EEC852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62BC59F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6ED4592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636D3A1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542" w:type="pct"/>
            <w:tcBorders>
              <w:top w:val="nil"/>
              <w:left w:val="nil"/>
              <w:bottom w:val="single" w:color="auto" w:sz="8" w:space="0"/>
              <w:right w:val="single" w:color="auto" w:sz="8" w:space="0"/>
            </w:tcBorders>
            <w:vAlign w:val="center"/>
          </w:tcPr>
          <w:p w14:paraId="705B1145">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70B280BF">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0B0202D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r>
      <w:tr w14:paraId="4DD465A7">
        <w:tblPrEx>
          <w:tblCellMar>
            <w:top w:w="0" w:type="dxa"/>
            <w:left w:w="108" w:type="dxa"/>
            <w:bottom w:w="0" w:type="dxa"/>
            <w:right w:w="108" w:type="dxa"/>
          </w:tblCellMar>
        </w:tblPrEx>
        <w:trPr>
          <w:trHeight w:val="300" w:hRule="atLeast"/>
        </w:trPr>
        <w:tc>
          <w:tcPr>
            <w:tcW w:w="243" w:type="pct"/>
            <w:vMerge w:val="restart"/>
            <w:tcBorders>
              <w:top w:val="nil"/>
              <w:left w:val="single" w:color="auto" w:sz="8" w:space="0"/>
              <w:bottom w:val="single" w:color="000000" w:sz="8" w:space="0"/>
              <w:right w:val="single" w:color="auto" w:sz="8" w:space="0"/>
            </w:tcBorders>
            <w:vAlign w:val="center"/>
          </w:tcPr>
          <w:p w14:paraId="26DEDF4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W6</w:t>
            </w:r>
          </w:p>
        </w:tc>
        <w:tc>
          <w:tcPr>
            <w:tcW w:w="498" w:type="pct"/>
            <w:vMerge w:val="restart"/>
            <w:tcBorders>
              <w:top w:val="nil"/>
              <w:left w:val="single" w:color="auto" w:sz="8" w:space="0"/>
              <w:bottom w:val="single" w:color="000000" w:sz="8" w:space="0"/>
              <w:right w:val="single" w:color="auto" w:sz="8" w:space="0"/>
            </w:tcBorders>
            <w:vAlign w:val="center"/>
          </w:tcPr>
          <w:p w14:paraId="4F28ED94">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薛埠河-上游</w:t>
            </w:r>
          </w:p>
        </w:tc>
        <w:tc>
          <w:tcPr>
            <w:tcW w:w="395" w:type="pct"/>
            <w:tcBorders>
              <w:top w:val="nil"/>
              <w:left w:val="nil"/>
              <w:bottom w:val="single" w:color="auto" w:sz="8" w:space="0"/>
              <w:right w:val="single" w:color="auto" w:sz="8" w:space="0"/>
            </w:tcBorders>
            <w:vAlign w:val="center"/>
          </w:tcPr>
          <w:p w14:paraId="702F1C7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最小值</w:t>
            </w:r>
          </w:p>
        </w:tc>
        <w:tc>
          <w:tcPr>
            <w:tcW w:w="395" w:type="pct"/>
            <w:tcBorders>
              <w:top w:val="nil"/>
              <w:left w:val="nil"/>
              <w:bottom w:val="single" w:color="auto" w:sz="8" w:space="0"/>
              <w:right w:val="single" w:color="auto" w:sz="8" w:space="0"/>
            </w:tcBorders>
            <w:vAlign w:val="center"/>
          </w:tcPr>
          <w:p w14:paraId="5A64931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7.60 </w:t>
            </w:r>
          </w:p>
        </w:tc>
        <w:tc>
          <w:tcPr>
            <w:tcW w:w="476" w:type="pct"/>
            <w:tcBorders>
              <w:top w:val="nil"/>
              <w:left w:val="nil"/>
              <w:bottom w:val="single" w:color="auto" w:sz="8" w:space="0"/>
              <w:right w:val="single" w:color="auto" w:sz="8" w:space="0"/>
            </w:tcBorders>
            <w:vAlign w:val="center"/>
          </w:tcPr>
          <w:p w14:paraId="5F6BD5A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13.0 </w:t>
            </w:r>
          </w:p>
        </w:tc>
        <w:tc>
          <w:tcPr>
            <w:tcW w:w="395" w:type="pct"/>
            <w:tcBorders>
              <w:top w:val="nil"/>
              <w:left w:val="nil"/>
              <w:bottom w:val="single" w:color="auto" w:sz="8" w:space="0"/>
              <w:right w:val="single" w:color="auto" w:sz="8" w:space="0"/>
            </w:tcBorders>
            <w:vAlign w:val="center"/>
          </w:tcPr>
          <w:p w14:paraId="46F09B5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0.385</w:t>
            </w:r>
          </w:p>
        </w:tc>
        <w:tc>
          <w:tcPr>
            <w:tcW w:w="476" w:type="pct"/>
            <w:tcBorders>
              <w:top w:val="nil"/>
              <w:left w:val="nil"/>
              <w:bottom w:val="single" w:color="auto" w:sz="8" w:space="0"/>
              <w:right w:val="single" w:color="auto" w:sz="8" w:space="0"/>
            </w:tcBorders>
            <w:vAlign w:val="center"/>
          </w:tcPr>
          <w:p w14:paraId="17846ED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0.100 </w:t>
            </w:r>
          </w:p>
        </w:tc>
        <w:tc>
          <w:tcPr>
            <w:tcW w:w="395" w:type="pct"/>
            <w:tcBorders>
              <w:top w:val="nil"/>
              <w:left w:val="nil"/>
              <w:bottom w:val="single" w:color="auto" w:sz="8" w:space="0"/>
              <w:right w:val="single" w:color="auto" w:sz="8" w:space="0"/>
            </w:tcBorders>
            <w:vAlign w:val="center"/>
          </w:tcPr>
          <w:p w14:paraId="4E9CE8D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0.88</w:t>
            </w:r>
          </w:p>
        </w:tc>
        <w:tc>
          <w:tcPr>
            <w:tcW w:w="395" w:type="pct"/>
            <w:tcBorders>
              <w:top w:val="nil"/>
              <w:left w:val="nil"/>
              <w:bottom w:val="single" w:color="auto" w:sz="8" w:space="0"/>
              <w:right w:val="single" w:color="auto" w:sz="8" w:space="0"/>
            </w:tcBorders>
            <w:vAlign w:val="center"/>
          </w:tcPr>
          <w:p w14:paraId="749DB64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6165CB4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4.20 </w:t>
            </w:r>
          </w:p>
        </w:tc>
        <w:tc>
          <w:tcPr>
            <w:tcW w:w="395" w:type="pct"/>
            <w:tcBorders>
              <w:top w:val="nil"/>
              <w:left w:val="nil"/>
              <w:bottom w:val="single" w:color="auto" w:sz="8" w:space="0"/>
              <w:right w:val="single" w:color="auto" w:sz="8" w:space="0"/>
            </w:tcBorders>
            <w:vAlign w:val="center"/>
          </w:tcPr>
          <w:p w14:paraId="19336F5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6542C6E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593542E1">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684C8F2F">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5C1DDDE8">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00D6F35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最大值</w:t>
            </w:r>
          </w:p>
        </w:tc>
        <w:tc>
          <w:tcPr>
            <w:tcW w:w="395" w:type="pct"/>
            <w:tcBorders>
              <w:top w:val="nil"/>
              <w:left w:val="nil"/>
              <w:bottom w:val="single" w:color="auto" w:sz="8" w:space="0"/>
              <w:right w:val="single" w:color="auto" w:sz="8" w:space="0"/>
            </w:tcBorders>
            <w:vAlign w:val="center"/>
          </w:tcPr>
          <w:p w14:paraId="5141ECD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8.30 </w:t>
            </w:r>
          </w:p>
        </w:tc>
        <w:tc>
          <w:tcPr>
            <w:tcW w:w="476" w:type="pct"/>
            <w:tcBorders>
              <w:top w:val="nil"/>
              <w:left w:val="nil"/>
              <w:bottom w:val="single" w:color="auto" w:sz="8" w:space="0"/>
              <w:right w:val="single" w:color="auto" w:sz="8" w:space="0"/>
            </w:tcBorders>
            <w:vAlign w:val="center"/>
          </w:tcPr>
          <w:p w14:paraId="6928536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19.0 </w:t>
            </w:r>
          </w:p>
        </w:tc>
        <w:tc>
          <w:tcPr>
            <w:tcW w:w="395" w:type="pct"/>
            <w:tcBorders>
              <w:top w:val="nil"/>
              <w:left w:val="nil"/>
              <w:bottom w:val="single" w:color="auto" w:sz="8" w:space="0"/>
              <w:right w:val="single" w:color="auto" w:sz="8" w:space="0"/>
            </w:tcBorders>
            <w:vAlign w:val="center"/>
          </w:tcPr>
          <w:p w14:paraId="4B1413B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0.402</w:t>
            </w:r>
          </w:p>
        </w:tc>
        <w:tc>
          <w:tcPr>
            <w:tcW w:w="476" w:type="pct"/>
            <w:tcBorders>
              <w:top w:val="nil"/>
              <w:left w:val="nil"/>
              <w:bottom w:val="single" w:color="auto" w:sz="8" w:space="0"/>
              <w:right w:val="single" w:color="auto" w:sz="8" w:space="0"/>
            </w:tcBorders>
            <w:vAlign w:val="center"/>
          </w:tcPr>
          <w:p w14:paraId="5C45655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0.130 </w:t>
            </w:r>
          </w:p>
        </w:tc>
        <w:tc>
          <w:tcPr>
            <w:tcW w:w="395" w:type="pct"/>
            <w:tcBorders>
              <w:top w:val="nil"/>
              <w:left w:val="nil"/>
              <w:bottom w:val="single" w:color="auto" w:sz="8" w:space="0"/>
              <w:right w:val="single" w:color="auto" w:sz="8" w:space="0"/>
            </w:tcBorders>
            <w:vAlign w:val="center"/>
          </w:tcPr>
          <w:p w14:paraId="6D4E93B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0.972</w:t>
            </w:r>
          </w:p>
        </w:tc>
        <w:tc>
          <w:tcPr>
            <w:tcW w:w="395" w:type="pct"/>
            <w:tcBorders>
              <w:top w:val="nil"/>
              <w:left w:val="nil"/>
              <w:bottom w:val="single" w:color="auto" w:sz="8" w:space="0"/>
              <w:right w:val="single" w:color="auto" w:sz="8" w:space="0"/>
            </w:tcBorders>
            <w:vAlign w:val="center"/>
          </w:tcPr>
          <w:p w14:paraId="7A86127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047F85F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5.80 </w:t>
            </w:r>
          </w:p>
        </w:tc>
        <w:tc>
          <w:tcPr>
            <w:tcW w:w="395" w:type="pct"/>
            <w:tcBorders>
              <w:top w:val="nil"/>
              <w:left w:val="nil"/>
              <w:bottom w:val="single" w:color="auto" w:sz="8" w:space="0"/>
              <w:right w:val="single" w:color="auto" w:sz="8" w:space="0"/>
            </w:tcBorders>
            <w:vAlign w:val="center"/>
          </w:tcPr>
          <w:p w14:paraId="2B42749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2F7FE9B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42F18279">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6B539D2F">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01C2000D">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0A889C7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平均值</w:t>
            </w:r>
          </w:p>
        </w:tc>
        <w:tc>
          <w:tcPr>
            <w:tcW w:w="395" w:type="pct"/>
            <w:tcBorders>
              <w:top w:val="nil"/>
              <w:left w:val="nil"/>
              <w:bottom w:val="single" w:color="auto" w:sz="8" w:space="0"/>
              <w:right w:val="single" w:color="auto" w:sz="8" w:space="0"/>
            </w:tcBorders>
            <w:vAlign w:val="center"/>
          </w:tcPr>
          <w:p w14:paraId="35E7150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8.00 </w:t>
            </w:r>
          </w:p>
        </w:tc>
        <w:tc>
          <w:tcPr>
            <w:tcW w:w="476" w:type="pct"/>
            <w:tcBorders>
              <w:top w:val="nil"/>
              <w:left w:val="nil"/>
              <w:bottom w:val="single" w:color="auto" w:sz="8" w:space="0"/>
              <w:right w:val="single" w:color="auto" w:sz="8" w:space="0"/>
            </w:tcBorders>
            <w:vAlign w:val="center"/>
          </w:tcPr>
          <w:p w14:paraId="7D1E031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15.5 </w:t>
            </w:r>
          </w:p>
        </w:tc>
        <w:tc>
          <w:tcPr>
            <w:tcW w:w="395" w:type="pct"/>
            <w:tcBorders>
              <w:top w:val="nil"/>
              <w:left w:val="nil"/>
              <w:bottom w:val="single" w:color="auto" w:sz="8" w:space="0"/>
              <w:right w:val="single" w:color="auto" w:sz="8" w:space="0"/>
            </w:tcBorders>
            <w:vAlign w:val="center"/>
          </w:tcPr>
          <w:p w14:paraId="036AB48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0.392</w:t>
            </w:r>
          </w:p>
        </w:tc>
        <w:tc>
          <w:tcPr>
            <w:tcW w:w="476" w:type="pct"/>
            <w:tcBorders>
              <w:top w:val="nil"/>
              <w:left w:val="nil"/>
              <w:bottom w:val="single" w:color="auto" w:sz="8" w:space="0"/>
              <w:right w:val="single" w:color="auto" w:sz="8" w:space="0"/>
            </w:tcBorders>
            <w:vAlign w:val="center"/>
          </w:tcPr>
          <w:p w14:paraId="2F9C40B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0.113 </w:t>
            </w:r>
          </w:p>
        </w:tc>
        <w:tc>
          <w:tcPr>
            <w:tcW w:w="395" w:type="pct"/>
            <w:tcBorders>
              <w:top w:val="nil"/>
              <w:left w:val="nil"/>
              <w:bottom w:val="single" w:color="auto" w:sz="8" w:space="0"/>
              <w:right w:val="single" w:color="auto" w:sz="8" w:space="0"/>
            </w:tcBorders>
            <w:vAlign w:val="center"/>
          </w:tcPr>
          <w:p w14:paraId="186A68C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0.934</w:t>
            </w:r>
          </w:p>
        </w:tc>
        <w:tc>
          <w:tcPr>
            <w:tcW w:w="395" w:type="pct"/>
            <w:tcBorders>
              <w:top w:val="nil"/>
              <w:left w:val="nil"/>
              <w:bottom w:val="single" w:color="auto" w:sz="8" w:space="0"/>
              <w:right w:val="single" w:color="auto" w:sz="8" w:space="0"/>
            </w:tcBorders>
            <w:vAlign w:val="center"/>
          </w:tcPr>
          <w:p w14:paraId="4542165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135F2FF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5.30 </w:t>
            </w:r>
          </w:p>
        </w:tc>
        <w:tc>
          <w:tcPr>
            <w:tcW w:w="395" w:type="pct"/>
            <w:tcBorders>
              <w:top w:val="nil"/>
              <w:left w:val="nil"/>
              <w:bottom w:val="single" w:color="auto" w:sz="8" w:space="0"/>
              <w:right w:val="single" w:color="auto" w:sz="8" w:space="0"/>
            </w:tcBorders>
            <w:vAlign w:val="center"/>
          </w:tcPr>
          <w:p w14:paraId="45BEF67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4A01D26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6E8EBAFE">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4627399E">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69DA3E2F">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4907E7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r>
              <w:rPr>
                <w:rFonts w:cs="Times New Roman"/>
                <w:color w:val="000000"/>
                <w:kern w:val="0"/>
                <w:sz w:val="21"/>
                <w:szCs w:val="21"/>
                <w14:ligatures w14:val="none"/>
              </w:rPr>
              <w:t>类标准</w:t>
            </w:r>
          </w:p>
        </w:tc>
        <w:tc>
          <w:tcPr>
            <w:tcW w:w="395" w:type="pct"/>
            <w:tcBorders>
              <w:top w:val="nil"/>
              <w:left w:val="nil"/>
              <w:bottom w:val="single" w:color="auto" w:sz="8" w:space="0"/>
              <w:right w:val="single" w:color="auto" w:sz="8" w:space="0"/>
            </w:tcBorders>
            <w:vAlign w:val="center"/>
          </w:tcPr>
          <w:p w14:paraId="6650A2E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6</w:t>
            </w: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9</w:t>
            </w:r>
          </w:p>
        </w:tc>
        <w:tc>
          <w:tcPr>
            <w:tcW w:w="476" w:type="pct"/>
            <w:tcBorders>
              <w:top w:val="nil"/>
              <w:left w:val="nil"/>
              <w:bottom w:val="single" w:color="auto" w:sz="8" w:space="0"/>
              <w:right w:val="single" w:color="auto" w:sz="8" w:space="0"/>
            </w:tcBorders>
            <w:vAlign w:val="center"/>
          </w:tcPr>
          <w:p w14:paraId="3E873624">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20</w:t>
            </w:r>
          </w:p>
        </w:tc>
        <w:tc>
          <w:tcPr>
            <w:tcW w:w="395" w:type="pct"/>
            <w:tcBorders>
              <w:top w:val="nil"/>
              <w:left w:val="nil"/>
              <w:bottom w:val="single" w:color="auto" w:sz="8" w:space="0"/>
              <w:right w:val="single" w:color="auto" w:sz="8" w:space="0"/>
            </w:tcBorders>
            <w:vAlign w:val="center"/>
          </w:tcPr>
          <w:p w14:paraId="6434C6F6">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476" w:type="pct"/>
            <w:tcBorders>
              <w:top w:val="nil"/>
              <w:left w:val="nil"/>
              <w:bottom w:val="single" w:color="auto" w:sz="8" w:space="0"/>
              <w:right w:val="single" w:color="auto" w:sz="8" w:space="0"/>
            </w:tcBorders>
            <w:vAlign w:val="center"/>
          </w:tcPr>
          <w:p w14:paraId="57C1BAEF">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3E2D4E6C">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395" w:type="pct"/>
            <w:tcBorders>
              <w:top w:val="nil"/>
              <w:left w:val="nil"/>
              <w:bottom w:val="single" w:color="auto" w:sz="8" w:space="0"/>
              <w:right w:val="single" w:color="auto" w:sz="8" w:space="0"/>
            </w:tcBorders>
            <w:vAlign w:val="center"/>
          </w:tcPr>
          <w:p w14:paraId="6B2658C7">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0.05</w:t>
            </w:r>
          </w:p>
        </w:tc>
        <w:tc>
          <w:tcPr>
            <w:tcW w:w="542" w:type="pct"/>
            <w:tcBorders>
              <w:top w:val="nil"/>
              <w:left w:val="nil"/>
              <w:bottom w:val="single" w:color="auto" w:sz="8" w:space="0"/>
              <w:right w:val="single" w:color="auto" w:sz="8" w:space="0"/>
            </w:tcBorders>
            <w:vAlign w:val="center"/>
          </w:tcPr>
          <w:p w14:paraId="3928B870">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6</w:t>
            </w:r>
          </w:p>
        </w:tc>
        <w:tc>
          <w:tcPr>
            <w:tcW w:w="395" w:type="pct"/>
            <w:tcBorders>
              <w:top w:val="nil"/>
              <w:left w:val="nil"/>
              <w:bottom w:val="single" w:color="auto" w:sz="8" w:space="0"/>
              <w:right w:val="single" w:color="auto" w:sz="8" w:space="0"/>
            </w:tcBorders>
            <w:vAlign w:val="center"/>
          </w:tcPr>
          <w:p w14:paraId="6A387B20">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13D85DAF">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0.005</w:t>
            </w:r>
          </w:p>
        </w:tc>
      </w:tr>
      <w:tr w14:paraId="1D5944C7">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74A899DB">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032362DE">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F949F4F">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水质指数</w:t>
            </w:r>
          </w:p>
        </w:tc>
        <w:tc>
          <w:tcPr>
            <w:tcW w:w="395" w:type="pct"/>
            <w:tcBorders>
              <w:top w:val="nil"/>
              <w:left w:val="nil"/>
              <w:bottom w:val="single" w:color="auto" w:sz="8" w:space="0"/>
              <w:right w:val="single" w:color="auto" w:sz="8" w:space="0"/>
            </w:tcBorders>
            <w:vAlign w:val="center"/>
          </w:tcPr>
          <w:p w14:paraId="03B0908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0.5</w:t>
            </w:r>
          </w:p>
        </w:tc>
        <w:tc>
          <w:tcPr>
            <w:tcW w:w="476" w:type="pct"/>
            <w:tcBorders>
              <w:top w:val="nil"/>
              <w:left w:val="nil"/>
              <w:bottom w:val="single" w:color="auto" w:sz="8" w:space="0"/>
              <w:right w:val="single" w:color="auto" w:sz="8" w:space="0"/>
            </w:tcBorders>
            <w:vAlign w:val="center"/>
          </w:tcPr>
          <w:p w14:paraId="27A5CBD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0.775</w:t>
            </w:r>
          </w:p>
        </w:tc>
        <w:tc>
          <w:tcPr>
            <w:tcW w:w="395" w:type="pct"/>
            <w:tcBorders>
              <w:top w:val="nil"/>
              <w:left w:val="nil"/>
              <w:bottom w:val="single" w:color="auto" w:sz="8" w:space="0"/>
              <w:right w:val="single" w:color="auto" w:sz="8" w:space="0"/>
            </w:tcBorders>
            <w:vAlign w:val="center"/>
          </w:tcPr>
          <w:p w14:paraId="1E89921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0.392</w:t>
            </w:r>
          </w:p>
        </w:tc>
        <w:tc>
          <w:tcPr>
            <w:tcW w:w="476" w:type="pct"/>
            <w:tcBorders>
              <w:top w:val="nil"/>
              <w:left w:val="nil"/>
              <w:bottom w:val="single" w:color="auto" w:sz="8" w:space="0"/>
              <w:right w:val="single" w:color="auto" w:sz="8" w:space="0"/>
            </w:tcBorders>
            <w:vAlign w:val="center"/>
          </w:tcPr>
          <w:p w14:paraId="1EB5F21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0.565</w:t>
            </w:r>
          </w:p>
        </w:tc>
        <w:tc>
          <w:tcPr>
            <w:tcW w:w="395" w:type="pct"/>
            <w:tcBorders>
              <w:top w:val="nil"/>
              <w:left w:val="nil"/>
              <w:bottom w:val="single" w:color="auto" w:sz="8" w:space="0"/>
              <w:right w:val="single" w:color="auto" w:sz="8" w:space="0"/>
            </w:tcBorders>
            <w:vAlign w:val="center"/>
          </w:tcPr>
          <w:p w14:paraId="45153A9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0.934</w:t>
            </w:r>
          </w:p>
        </w:tc>
        <w:tc>
          <w:tcPr>
            <w:tcW w:w="395" w:type="pct"/>
            <w:tcBorders>
              <w:top w:val="nil"/>
              <w:left w:val="nil"/>
              <w:bottom w:val="single" w:color="auto" w:sz="8" w:space="0"/>
              <w:right w:val="single" w:color="auto" w:sz="8" w:space="0"/>
            </w:tcBorders>
            <w:vAlign w:val="center"/>
          </w:tcPr>
          <w:p w14:paraId="5A76863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542" w:type="pct"/>
            <w:tcBorders>
              <w:top w:val="nil"/>
              <w:left w:val="nil"/>
              <w:bottom w:val="single" w:color="auto" w:sz="8" w:space="0"/>
              <w:right w:val="single" w:color="auto" w:sz="8" w:space="0"/>
            </w:tcBorders>
            <w:vAlign w:val="center"/>
          </w:tcPr>
          <w:p w14:paraId="10076BA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0.883 </w:t>
            </w:r>
          </w:p>
        </w:tc>
        <w:tc>
          <w:tcPr>
            <w:tcW w:w="395" w:type="pct"/>
            <w:tcBorders>
              <w:top w:val="nil"/>
              <w:left w:val="nil"/>
              <w:bottom w:val="single" w:color="auto" w:sz="8" w:space="0"/>
              <w:right w:val="single" w:color="auto" w:sz="8" w:space="0"/>
            </w:tcBorders>
            <w:vAlign w:val="center"/>
          </w:tcPr>
          <w:p w14:paraId="07BAD68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5" w:type="pct"/>
            <w:tcBorders>
              <w:top w:val="nil"/>
              <w:left w:val="nil"/>
              <w:bottom w:val="single" w:color="auto" w:sz="8" w:space="0"/>
              <w:right w:val="single" w:color="auto" w:sz="8" w:space="0"/>
            </w:tcBorders>
            <w:vAlign w:val="center"/>
          </w:tcPr>
          <w:p w14:paraId="25C54E4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r>
      <w:tr w14:paraId="394FAD36">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04B03C3F">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7803E7F8">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48E6FFF1">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超标率</w:t>
            </w:r>
          </w:p>
        </w:tc>
        <w:tc>
          <w:tcPr>
            <w:tcW w:w="395" w:type="pct"/>
            <w:tcBorders>
              <w:top w:val="nil"/>
              <w:left w:val="nil"/>
              <w:bottom w:val="single" w:color="auto" w:sz="8" w:space="0"/>
              <w:right w:val="single" w:color="auto" w:sz="8" w:space="0"/>
            </w:tcBorders>
            <w:vAlign w:val="center"/>
          </w:tcPr>
          <w:p w14:paraId="60F59B4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49533E7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198F901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339721F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47FFAEC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36E0767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542" w:type="pct"/>
            <w:tcBorders>
              <w:top w:val="nil"/>
              <w:left w:val="nil"/>
              <w:bottom w:val="single" w:color="auto" w:sz="8" w:space="0"/>
              <w:right w:val="single" w:color="auto" w:sz="8" w:space="0"/>
            </w:tcBorders>
            <w:vAlign w:val="center"/>
          </w:tcPr>
          <w:p w14:paraId="5C2D5DD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5376CEA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0FE402E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r>
      <w:tr w14:paraId="468D824F">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40B4B5ED">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6FB41F9C">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6C2D8DB1">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达标情况</w:t>
            </w:r>
          </w:p>
        </w:tc>
        <w:tc>
          <w:tcPr>
            <w:tcW w:w="395" w:type="pct"/>
            <w:tcBorders>
              <w:top w:val="nil"/>
              <w:left w:val="nil"/>
              <w:bottom w:val="single" w:color="auto" w:sz="8" w:space="0"/>
              <w:right w:val="single" w:color="auto" w:sz="8" w:space="0"/>
            </w:tcBorders>
            <w:vAlign w:val="center"/>
          </w:tcPr>
          <w:p w14:paraId="2AA1C067">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1A5F0810">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4AC4FCB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021FED7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1DE4F6A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73D6F5A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542" w:type="pct"/>
            <w:tcBorders>
              <w:top w:val="nil"/>
              <w:left w:val="nil"/>
              <w:bottom w:val="single" w:color="auto" w:sz="8" w:space="0"/>
              <w:right w:val="single" w:color="auto" w:sz="8" w:space="0"/>
            </w:tcBorders>
            <w:vAlign w:val="center"/>
          </w:tcPr>
          <w:p w14:paraId="189BE79C">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3011059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18105B5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r>
      <w:tr w14:paraId="5F920431">
        <w:tblPrEx>
          <w:tblCellMar>
            <w:top w:w="0" w:type="dxa"/>
            <w:left w:w="108" w:type="dxa"/>
            <w:bottom w:w="0" w:type="dxa"/>
            <w:right w:w="108" w:type="dxa"/>
          </w:tblCellMar>
        </w:tblPrEx>
        <w:trPr>
          <w:trHeight w:val="300" w:hRule="atLeast"/>
        </w:trPr>
        <w:tc>
          <w:tcPr>
            <w:tcW w:w="243" w:type="pct"/>
            <w:vMerge w:val="restart"/>
            <w:tcBorders>
              <w:top w:val="nil"/>
              <w:left w:val="single" w:color="auto" w:sz="8" w:space="0"/>
              <w:bottom w:val="single" w:color="000000" w:sz="8" w:space="0"/>
              <w:right w:val="single" w:color="auto" w:sz="8" w:space="0"/>
            </w:tcBorders>
            <w:vAlign w:val="center"/>
          </w:tcPr>
          <w:p w14:paraId="3DCCD8C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W7</w:t>
            </w:r>
          </w:p>
        </w:tc>
        <w:tc>
          <w:tcPr>
            <w:tcW w:w="498" w:type="pct"/>
            <w:vMerge w:val="restart"/>
            <w:tcBorders>
              <w:top w:val="nil"/>
              <w:left w:val="single" w:color="auto" w:sz="8" w:space="0"/>
              <w:bottom w:val="single" w:color="000000" w:sz="8" w:space="0"/>
              <w:right w:val="single" w:color="auto" w:sz="8" w:space="0"/>
            </w:tcBorders>
            <w:vAlign w:val="center"/>
          </w:tcPr>
          <w:p w14:paraId="76A54074">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薛埠河-下游</w:t>
            </w:r>
          </w:p>
        </w:tc>
        <w:tc>
          <w:tcPr>
            <w:tcW w:w="395" w:type="pct"/>
            <w:tcBorders>
              <w:top w:val="nil"/>
              <w:left w:val="nil"/>
              <w:bottom w:val="single" w:color="auto" w:sz="8" w:space="0"/>
              <w:right w:val="single" w:color="auto" w:sz="8" w:space="0"/>
            </w:tcBorders>
            <w:vAlign w:val="center"/>
          </w:tcPr>
          <w:p w14:paraId="3CA68D24">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最小值</w:t>
            </w:r>
          </w:p>
        </w:tc>
        <w:tc>
          <w:tcPr>
            <w:tcW w:w="395" w:type="pct"/>
            <w:tcBorders>
              <w:top w:val="nil"/>
              <w:left w:val="nil"/>
              <w:bottom w:val="single" w:color="auto" w:sz="8" w:space="0"/>
              <w:right w:val="single" w:color="auto" w:sz="8" w:space="0"/>
            </w:tcBorders>
            <w:vAlign w:val="center"/>
          </w:tcPr>
          <w:p w14:paraId="5C81603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7.80 </w:t>
            </w:r>
          </w:p>
        </w:tc>
        <w:tc>
          <w:tcPr>
            <w:tcW w:w="476" w:type="pct"/>
            <w:tcBorders>
              <w:top w:val="nil"/>
              <w:left w:val="nil"/>
              <w:bottom w:val="single" w:color="auto" w:sz="8" w:space="0"/>
              <w:right w:val="single" w:color="auto" w:sz="8" w:space="0"/>
            </w:tcBorders>
            <w:vAlign w:val="center"/>
          </w:tcPr>
          <w:p w14:paraId="6A55ECE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12.0 </w:t>
            </w:r>
          </w:p>
        </w:tc>
        <w:tc>
          <w:tcPr>
            <w:tcW w:w="395" w:type="pct"/>
            <w:tcBorders>
              <w:top w:val="nil"/>
              <w:left w:val="nil"/>
              <w:bottom w:val="single" w:color="auto" w:sz="8" w:space="0"/>
              <w:right w:val="single" w:color="auto" w:sz="8" w:space="0"/>
            </w:tcBorders>
            <w:vAlign w:val="center"/>
          </w:tcPr>
          <w:p w14:paraId="7D6E7DE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0.415</w:t>
            </w:r>
          </w:p>
        </w:tc>
        <w:tc>
          <w:tcPr>
            <w:tcW w:w="476" w:type="pct"/>
            <w:tcBorders>
              <w:top w:val="nil"/>
              <w:left w:val="nil"/>
              <w:bottom w:val="single" w:color="auto" w:sz="8" w:space="0"/>
              <w:right w:val="single" w:color="auto" w:sz="8" w:space="0"/>
            </w:tcBorders>
            <w:vAlign w:val="center"/>
          </w:tcPr>
          <w:p w14:paraId="12E22B1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0.08</w:t>
            </w:r>
          </w:p>
        </w:tc>
        <w:tc>
          <w:tcPr>
            <w:tcW w:w="395" w:type="pct"/>
            <w:tcBorders>
              <w:top w:val="nil"/>
              <w:left w:val="nil"/>
              <w:bottom w:val="single" w:color="auto" w:sz="8" w:space="0"/>
              <w:right w:val="single" w:color="auto" w:sz="8" w:space="0"/>
            </w:tcBorders>
            <w:vAlign w:val="center"/>
          </w:tcPr>
          <w:p w14:paraId="099CE9F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0.926</w:t>
            </w:r>
          </w:p>
        </w:tc>
        <w:tc>
          <w:tcPr>
            <w:tcW w:w="395" w:type="pct"/>
            <w:tcBorders>
              <w:top w:val="nil"/>
              <w:left w:val="nil"/>
              <w:bottom w:val="single" w:color="auto" w:sz="8" w:space="0"/>
              <w:right w:val="single" w:color="auto" w:sz="8" w:space="0"/>
            </w:tcBorders>
            <w:vAlign w:val="center"/>
          </w:tcPr>
          <w:p w14:paraId="63C7F72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09607D6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4.50 </w:t>
            </w:r>
          </w:p>
        </w:tc>
        <w:tc>
          <w:tcPr>
            <w:tcW w:w="395" w:type="pct"/>
            <w:tcBorders>
              <w:top w:val="nil"/>
              <w:left w:val="nil"/>
              <w:bottom w:val="single" w:color="auto" w:sz="8" w:space="0"/>
              <w:right w:val="single" w:color="auto" w:sz="8" w:space="0"/>
            </w:tcBorders>
            <w:vAlign w:val="center"/>
          </w:tcPr>
          <w:p w14:paraId="55B714F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6BACCF1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60FE2161">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7FB7AD6E">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448548CD">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4846B36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最大值</w:t>
            </w:r>
          </w:p>
        </w:tc>
        <w:tc>
          <w:tcPr>
            <w:tcW w:w="395" w:type="pct"/>
            <w:tcBorders>
              <w:top w:val="nil"/>
              <w:left w:val="nil"/>
              <w:bottom w:val="single" w:color="auto" w:sz="8" w:space="0"/>
              <w:right w:val="single" w:color="auto" w:sz="8" w:space="0"/>
            </w:tcBorders>
            <w:vAlign w:val="center"/>
          </w:tcPr>
          <w:p w14:paraId="5B5DECA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8.40 </w:t>
            </w:r>
          </w:p>
        </w:tc>
        <w:tc>
          <w:tcPr>
            <w:tcW w:w="476" w:type="pct"/>
            <w:tcBorders>
              <w:top w:val="nil"/>
              <w:left w:val="nil"/>
              <w:bottom w:val="single" w:color="auto" w:sz="8" w:space="0"/>
              <w:right w:val="single" w:color="auto" w:sz="8" w:space="0"/>
            </w:tcBorders>
            <w:vAlign w:val="center"/>
          </w:tcPr>
          <w:p w14:paraId="3D4BD7B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17.0 </w:t>
            </w:r>
          </w:p>
        </w:tc>
        <w:tc>
          <w:tcPr>
            <w:tcW w:w="395" w:type="pct"/>
            <w:tcBorders>
              <w:top w:val="nil"/>
              <w:left w:val="nil"/>
              <w:bottom w:val="single" w:color="auto" w:sz="8" w:space="0"/>
              <w:right w:val="single" w:color="auto" w:sz="8" w:space="0"/>
            </w:tcBorders>
            <w:vAlign w:val="center"/>
          </w:tcPr>
          <w:p w14:paraId="21A08C8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0.458</w:t>
            </w:r>
          </w:p>
        </w:tc>
        <w:tc>
          <w:tcPr>
            <w:tcW w:w="476" w:type="pct"/>
            <w:tcBorders>
              <w:top w:val="nil"/>
              <w:left w:val="nil"/>
              <w:bottom w:val="single" w:color="auto" w:sz="8" w:space="0"/>
              <w:right w:val="single" w:color="auto" w:sz="8" w:space="0"/>
            </w:tcBorders>
            <w:vAlign w:val="center"/>
          </w:tcPr>
          <w:p w14:paraId="273B341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0.1</w:t>
            </w:r>
          </w:p>
        </w:tc>
        <w:tc>
          <w:tcPr>
            <w:tcW w:w="395" w:type="pct"/>
            <w:tcBorders>
              <w:top w:val="nil"/>
              <w:left w:val="nil"/>
              <w:bottom w:val="single" w:color="auto" w:sz="8" w:space="0"/>
              <w:right w:val="single" w:color="auto" w:sz="8" w:space="0"/>
            </w:tcBorders>
            <w:vAlign w:val="center"/>
          </w:tcPr>
          <w:p w14:paraId="254925A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0.972</w:t>
            </w:r>
          </w:p>
        </w:tc>
        <w:tc>
          <w:tcPr>
            <w:tcW w:w="395" w:type="pct"/>
            <w:tcBorders>
              <w:top w:val="nil"/>
              <w:left w:val="nil"/>
              <w:bottom w:val="single" w:color="auto" w:sz="8" w:space="0"/>
              <w:right w:val="single" w:color="auto" w:sz="8" w:space="0"/>
            </w:tcBorders>
            <w:vAlign w:val="center"/>
          </w:tcPr>
          <w:p w14:paraId="02372BD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199A010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5.00 </w:t>
            </w:r>
          </w:p>
        </w:tc>
        <w:tc>
          <w:tcPr>
            <w:tcW w:w="395" w:type="pct"/>
            <w:tcBorders>
              <w:top w:val="nil"/>
              <w:left w:val="nil"/>
              <w:bottom w:val="single" w:color="auto" w:sz="8" w:space="0"/>
              <w:right w:val="single" w:color="auto" w:sz="8" w:space="0"/>
            </w:tcBorders>
            <w:vAlign w:val="center"/>
          </w:tcPr>
          <w:p w14:paraId="4426DB5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21B9690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30BFE163">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10537429">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6C9C0E47">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39DC9B4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平均值</w:t>
            </w:r>
          </w:p>
        </w:tc>
        <w:tc>
          <w:tcPr>
            <w:tcW w:w="395" w:type="pct"/>
            <w:tcBorders>
              <w:top w:val="nil"/>
              <w:left w:val="nil"/>
              <w:bottom w:val="single" w:color="auto" w:sz="8" w:space="0"/>
              <w:right w:val="single" w:color="auto" w:sz="8" w:space="0"/>
            </w:tcBorders>
            <w:vAlign w:val="center"/>
          </w:tcPr>
          <w:p w14:paraId="5F3DB26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8.07 </w:t>
            </w:r>
          </w:p>
        </w:tc>
        <w:tc>
          <w:tcPr>
            <w:tcW w:w="476" w:type="pct"/>
            <w:tcBorders>
              <w:top w:val="nil"/>
              <w:left w:val="nil"/>
              <w:bottom w:val="single" w:color="auto" w:sz="8" w:space="0"/>
              <w:right w:val="single" w:color="auto" w:sz="8" w:space="0"/>
            </w:tcBorders>
            <w:vAlign w:val="center"/>
          </w:tcPr>
          <w:p w14:paraId="5CF221C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15.2 </w:t>
            </w:r>
          </w:p>
        </w:tc>
        <w:tc>
          <w:tcPr>
            <w:tcW w:w="395" w:type="pct"/>
            <w:tcBorders>
              <w:top w:val="nil"/>
              <w:left w:val="nil"/>
              <w:bottom w:val="single" w:color="auto" w:sz="8" w:space="0"/>
              <w:right w:val="single" w:color="auto" w:sz="8" w:space="0"/>
            </w:tcBorders>
            <w:vAlign w:val="center"/>
          </w:tcPr>
          <w:p w14:paraId="50070C5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0.439</w:t>
            </w:r>
          </w:p>
        </w:tc>
        <w:tc>
          <w:tcPr>
            <w:tcW w:w="476" w:type="pct"/>
            <w:tcBorders>
              <w:top w:val="nil"/>
              <w:left w:val="nil"/>
              <w:bottom w:val="single" w:color="auto" w:sz="8" w:space="0"/>
              <w:right w:val="single" w:color="auto" w:sz="8" w:space="0"/>
            </w:tcBorders>
            <w:vAlign w:val="center"/>
          </w:tcPr>
          <w:p w14:paraId="397123C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0.092</w:t>
            </w:r>
          </w:p>
        </w:tc>
        <w:tc>
          <w:tcPr>
            <w:tcW w:w="395" w:type="pct"/>
            <w:tcBorders>
              <w:top w:val="nil"/>
              <w:left w:val="nil"/>
              <w:bottom w:val="single" w:color="auto" w:sz="8" w:space="0"/>
              <w:right w:val="single" w:color="auto" w:sz="8" w:space="0"/>
            </w:tcBorders>
            <w:vAlign w:val="center"/>
          </w:tcPr>
          <w:p w14:paraId="447719C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0.952</w:t>
            </w:r>
          </w:p>
        </w:tc>
        <w:tc>
          <w:tcPr>
            <w:tcW w:w="395" w:type="pct"/>
            <w:tcBorders>
              <w:top w:val="nil"/>
              <w:left w:val="nil"/>
              <w:bottom w:val="single" w:color="auto" w:sz="8" w:space="0"/>
              <w:right w:val="single" w:color="auto" w:sz="8" w:space="0"/>
            </w:tcBorders>
            <w:vAlign w:val="center"/>
          </w:tcPr>
          <w:p w14:paraId="2825E5B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50EAEE0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4.80 </w:t>
            </w:r>
          </w:p>
        </w:tc>
        <w:tc>
          <w:tcPr>
            <w:tcW w:w="395" w:type="pct"/>
            <w:tcBorders>
              <w:top w:val="nil"/>
              <w:left w:val="nil"/>
              <w:bottom w:val="single" w:color="auto" w:sz="8" w:space="0"/>
              <w:right w:val="single" w:color="auto" w:sz="8" w:space="0"/>
            </w:tcBorders>
            <w:vAlign w:val="center"/>
          </w:tcPr>
          <w:p w14:paraId="5FB9899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6BE0F91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0FC3D647">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4C364F22">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5A869FB8">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9AA43E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r>
              <w:rPr>
                <w:rFonts w:cs="Times New Roman"/>
                <w:color w:val="000000"/>
                <w:kern w:val="0"/>
                <w:sz w:val="21"/>
                <w:szCs w:val="21"/>
                <w14:ligatures w14:val="none"/>
              </w:rPr>
              <w:t>类标准</w:t>
            </w:r>
          </w:p>
        </w:tc>
        <w:tc>
          <w:tcPr>
            <w:tcW w:w="395" w:type="pct"/>
            <w:tcBorders>
              <w:top w:val="nil"/>
              <w:left w:val="nil"/>
              <w:bottom w:val="single" w:color="auto" w:sz="8" w:space="0"/>
              <w:right w:val="single" w:color="auto" w:sz="8" w:space="0"/>
            </w:tcBorders>
            <w:vAlign w:val="center"/>
          </w:tcPr>
          <w:p w14:paraId="13FC3B5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6</w:t>
            </w: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9</w:t>
            </w:r>
          </w:p>
        </w:tc>
        <w:tc>
          <w:tcPr>
            <w:tcW w:w="476" w:type="pct"/>
            <w:tcBorders>
              <w:top w:val="nil"/>
              <w:left w:val="nil"/>
              <w:bottom w:val="single" w:color="auto" w:sz="8" w:space="0"/>
              <w:right w:val="single" w:color="auto" w:sz="8" w:space="0"/>
            </w:tcBorders>
            <w:vAlign w:val="center"/>
          </w:tcPr>
          <w:p w14:paraId="4E7CDEC1">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20</w:t>
            </w:r>
          </w:p>
        </w:tc>
        <w:tc>
          <w:tcPr>
            <w:tcW w:w="395" w:type="pct"/>
            <w:tcBorders>
              <w:top w:val="nil"/>
              <w:left w:val="nil"/>
              <w:bottom w:val="single" w:color="auto" w:sz="8" w:space="0"/>
              <w:right w:val="single" w:color="auto" w:sz="8" w:space="0"/>
            </w:tcBorders>
            <w:vAlign w:val="center"/>
          </w:tcPr>
          <w:p w14:paraId="277A78C4">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476" w:type="pct"/>
            <w:tcBorders>
              <w:top w:val="nil"/>
              <w:left w:val="nil"/>
              <w:bottom w:val="single" w:color="auto" w:sz="8" w:space="0"/>
              <w:right w:val="single" w:color="auto" w:sz="8" w:space="0"/>
            </w:tcBorders>
            <w:vAlign w:val="center"/>
          </w:tcPr>
          <w:p w14:paraId="2077CB33">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2EBB2EC2">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395" w:type="pct"/>
            <w:tcBorders>
              <w:top w:val="nil"/>
              <w:left w:val="nil"/>
              <w:bottom w:val="single" w:color="auto" w:sz="8" w:space="0"/>
              <w:right w:val="single" w:color="auto" w:sz="8" w:space="0"/>
            </w:tcBorders>
            <w:vAlign w:val="center"/>
          </w:tcPr>
          <w:p w14:paraId="5DFD8A0A">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0.05</w:t>
            </w:r>
          </w:p>
        </w:tc>
        <w:tc>
          <w:tcPr>
            <w:tcW w:w="542" w:type="pct"/>
            <w:tcBorders>
              <w:top w:val="nil"/>
              <w:left w:val="nil"/>
              <w:bottom w:val="single" w:color="auto" w:sz="8" w:space="0"/>
              <w:right w:val="single" w:color="auto" w:sz="8" w:space="0"/>
            </w:tcBorders>
            <w:vAlign w:val="center"/>
          </w:tcPr>
          <w:p w14:paraId="62A578FF">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6</w:t>
            </w:r>
          </w:p>
        </w:tc>
        <w:tc>
          <w:tcPr>
            <w:tcW w:w="395" w:type="pct"/>
            <w:tcBorders>
              <w:top w:val="nil"/>
              <w:left w:val="nil"/>
              <w:bottom w:val="single" w:color="auto" w:sz="8" w:space="0"/>
              <w:right w:val="single" w:color="auto" w:sz="8" w:space="0"/>
            </w:tcBorders>
            <w:vAlign w:val="center"/>
          </w:tcPr>
          <w:p w14:paraId="011FC6E7">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3B1E2D7D">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0.005</w:t>
            </w:r>
          </w:p>
        </w:tc>
      </w:tr>
      <w:tr w14:paraId="299E5D65">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670013C5">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09034C54">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5E93EB3C">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水质指数</w:t>
            </w:r>
          </w:p>
        </w:tc>
        <w:tc>
          <w:tcPr>
            <w:tcW w:w="395" w:type="pct"/>
            <w:tcBorders>
              <w:top w:val="nil"/>
              <w:left w:val="nil"/>
              <w:bottom w:val="single" w:color="auto" w:sz="8" w:space="0"/>
              <w:right w:val="single" w:color="auto" w:sz="8" w:space="0"/>
            </w:tcBorders>
            <w:vAlign w:val="center"/>
          </w:tcPr>
          <w:p w14:paraId="6BB449E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0.535</w:t>
            </w:r>
          </w:p>
        </w:tc>
        <w:tc>
          <w:tcPr>
            <w:tcW w:w="476" w:type="pct"/>
            <w:tcBorders>
              <w:top w:val="nil"/>
              <w:left w:val="nil"/>
              <w:bottom w:val="single" w:color="auto" w:sz="8" w:space="0"/>
              <w:right w:val="single" w:color="auto" w:sz="8" w:space="0"/>
            </w:tcBorders>
            <w:vAlign w:val="center"/>
          </w:tcPr>
          <w:p w14:paraId="7E839BA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0.76</w:t>
            </w:r>
          </w:p>
        </w:tc>
        <w:tc>
          <w:tcPr>
            <w:tcW w:w="395" w:type="pct"/>
            <w:tcBorders>
              <w:top w:val="nil"/>
              <w:left w:val="nil"/>
              <w:bottom w:val="single" w:color="auto" w:sz="8" w:space="0"/>
              <w:right w:val="single" w:color="auto" w:sz="8" w:space="0"/>
            </w:tcBorders>
            <w:vAlign w:val="center"/>
          </w:tcPr>
          <w:p w14:paraId="19F717D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0.439</w:t>
            </w:r>
          </w:p>
        </w:tc>
        <w:tc>
          <w:tcPr>
            <w:tcW w:w="476" w:type="pct"/>
            <w:tcBorders>
              <w:top w:val="nil"/>
              <w:left w:val="nil"/>
              <w:bottom w:val="single" w:color="auto" w:sz="8" w:space="0"/>
              <w:right w:val="single" w:color="auto" w:sz="8" w:space="0"/>
            </w:tcBorders>
            <w:vAlign w:val="center"/>
          </w:tcPr>
          <w:p w14:paraId="375A08D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0.46</w:t>
            </w:r>
          </w:p>
        </w:tc>
        <w:tc>
          <w:tcPr>
            <w:tcW w:w="395" w:type="pct"/>
            <w:tcBorders>
              <w:top w:val="nil"/>
              <w:left w:val="nil"/>
              <w:bottom w:val="single" w:color="auto" w:sz="8" w:space="0"/>
              <w:right w:val="single" w:color="auto" w:sz="8" w:space="0"/>
            </w:tcBorders>
            <w:vAlign w:val="center"/>
          </w:tcPr>
          <w:p w14:paraId="1411FE5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0.952</w:t>
            </w:r>
          </w:p>
        </w:tc>
        <w:tc>
          <w:tcPr>
            <w:tcW w:w="395" w:type="pct"/>
            <w:tcBorders>
              <w:top w:val="nil"/>
              <w:left w:val="nil"/>
              <w:bottom w:val="single" w:color="auto" w:sz="8" w:space="0"/>
              <w:right w:val="single" w:color="auto" w:sz="8" w:space="0"/>
            </w:tcBorders>
            <w:vAlign w:val="center"/>
          </w:tcPr>
          <w:p w14:paraId="115822F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542" w:type="pct"/>
            <w:tcBorders>
              <w:top w:val="nil"/>
              <w:left w:val="nil"/>
              <w:bottom w:val="single" w:color="auto" w:sz="8" w:space="0"/>
              <w:right w:val="single" w:color="auto" w:sz="8" w:space="0"/>
            </w:tcBorders>
            <w:vAlign w:val="center"/>
          </w:tcPr>
          <w:p w14:paraId="7D41DD6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0.800 </w:t>
            </w:r>
          </w:p>
        </w:tc>
        <w:tc>
          <w:tcPr>
            <w:tcW w:w="395" w:type="pct"/>
            <w:tcBorders>
              <w:top w:val="nil"/>
              <w:left w:val="nil"/>
              <w:bottom w:val="single" w:color="auto" w:sz="8" w:space="0"/>
              <w:right w:val="single" w:color="auto" w:sz="8" w:space="0"/>
            </w:tcBorders>
            <w:vAlign w:val="center"/>
          </w:tcPr>
          <w:p w14:paraId="62D8A94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5" w:type="pct"/>
            <w:tcBorders>
              <w:top w:val="nil"/>
              <w:left w:val="nil"/>
              <w:bottom w:val="single" w:color="auto" w:sz="8" w:space="0"/>
              <w:right w:val="single" w:color="auto" w:sz="8" w:space="0"/>
            </w:tcBorders>
            <w:vAlign w:val="center"/>
          </w:tcPr>
          <w:p w14:paraId="2CE35E1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r>
      <w:tr w14:paraId="3842E270">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3B71C3E2">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167486ED">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0F68F310">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超标率</w:t>
            </w:r>
          </w:p>
        </w:tc>
        <w:tc>
          <w:tcPr>
            <w:tcW w:w="395" w:type="pct"/>
            <w:tcBorders>
              <w:top w:val="nil"/>
              <w:left w:val="nil"/>
              <w:bottom w:val="single" w:color="auto" w:sz="8" w:space="0"/>
              <w:right w:val="single" w:color="auto" w:sz="8" w:space="0"/>
            </w:tcBorders>
            <w:vAlign w:val="center"/>
          </w:tcPr>
          <w:p w14:paraId="484172C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11DDC89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0465F3F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564D4F2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6EE17D4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5B8EFF6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542" w:type="pct"/>
            <w:tcBorders>
              <w:top w:val="nil"/>
              <w:left w:val="nil"/>
              <w:bottom w:val="single" w:color="auto" w:sz="8" w:space="0"/>
              <w:right w:val="single" w:color="auto" w:sz="8" w:space="0"/>
            </w:tcBorders>
            <w:vAlign w:val="center"/>
          </w:tcPr>
          <w:p w14:paraId="17E8F5B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5F26A15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6808E4E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r>
      <w:tr w14:paraId="666F02BF">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78F5BF12">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06B01452">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2C084E27">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达标情况</w:t>
            </w:r>
          </w:p>
        </w:tc>
        <w:tc>
          <w:tcPr>
            <w:tcW w:w="395" w:type="pct"/>
            <w:tcBorders>
              <w:top w:val="nil"/>
              <w:left w:val="nil"/>
              <w:bottom w:val="single" w:color="auto" w:sz="8" w:space="0"/>
              <w:right w:val="single" w:color="auto" w:sz="8" w:space="0"/>
            </w:tcBorders>
            <w:vAlign w:val="center"/>
          </w:tcPr>
          <w:p w14:paraId="55AB0921">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1D8A247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57A584C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03E4A6AF">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75DB44D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77EDC27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542" w:type="pct"/>
            <w:tcBorders>
              <w:top w:val="nil"/>
              <w:left w:val="nil"/>
              <w:bottom w:val="single" w:color="auto" w:sz="8" w:space="0"/>
              <w:right w:val="single" w:color="auto" w:sz="8" w:space="0"/>
            </w:tcBorders>
            <w:vAlign w:val="center"/>
          </w:tcPr>
          <w:p w14:paraId="7749B2D4">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615E755C">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7FC93E7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r>
      <w:tr w14:paraId="5BC24BE9">
        <w:tblPrEx>
          <w:tblCellMar>
            <w:top w:w="0" w:type="dxa"/>
            <w:left w:w="108" w:type="dxa"/>
            <w:bottom w:w="0" w:type="dxa"/>
            <w:right w:w="108" w:type="dxa"/>
          </w:tblCellMar>
        </w:tblPrEx>
        <w:trPr>
          <w:trHeight w:val="300" w:hRule="atLeast"/>
        </w:trPr>
        <w:tc>
          <w:tcPr>
            <w:tcW w:w="243" w:type="pct"/>
            <w:vMerge w:val="restart"/>
            <w:tcBorders>
              <w:top w:val="nil"/>
              <w:left w:val="single" w:color="auto" w:sz="8" w:space="0"/>
              <w:bottom w:val="single" w:color="000000" w:sz="8" w:space="0"/>
              <w:right w:val="single" w:color="auto" w:sz="8" w:space="0"/>
            </w:tcBorders>
            <w:vAlign w:val="center"/>
          </w:tcPr>
          <w:p w14:paraId="4BC9423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W8</w:t>
            </w:r>
          </w:p>
        </w:tc>
        <w:tc>
          <w:tcPr>
            <w:tcW w:w="498" w:type="pct"/>
            <w:vMerge w:val="restart"/>
            <w:tcBorders>
              <w:top w:val="nil"/>
              <w:left w:val="single" w:color="auto" w:sz="8" w:space="0"/>
              <w:bottom w:val="single" w:color="000000" w:sz="8" w:space="0"/>
              <w:right w:val="single" w:color="auto" w:sz="8" w:space="0"/>
            </w:tcBorders>
            <w:vAlign w:val="center"/>
          </w:tcPr>
          <w:p w14:paraId="02FDEFE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海底溢洪河</w:t>
            </w:r>
          </w:p>
        </w:tc>
        <w:tc>
          <w:tcPr>
            <w:tcW w:w="395" w:type="pct"/>
            <w:tcBorders>
              <w:top w:val="nil"/>
              <w:left w:val="nil"/>
              <w:bottom w:val="single" w:color="auto" w:sz="8" w:space="0"/>
              <w:right w:val="single" w:color="auto" w:sz="8" w:space="0"/>
            </w:tcBorders>
            <w:vAlign w:val="center"/>
          </w:tcPr>
          <w:p w14:paraId="62E8518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最小值</w:t>
            </w:r>
          </w:p>
        </w:tc>
        <w:tc>
          <w:tcPr>
            <w:tcW w:w="395" w:type="pct"/>
            <w:tcBorders>
              <w:top w:val="nil"/>
              <w:left w:val="nil"/>
              <w:bottom w:val="single" w:color="auto" w:sz="8" w:space="0"/>
              <w:right w:val="single" w:color="auto" w:sz="8" w:space="0"/>
            </w:tcBorders>
            <w:vAlign w:val="center"/>
          </w:tcPr>
          <w:p w14:paraId="058D344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7.30 </w:t>
            </w:r>
          </w:p>
        </w:tc>
        <w:tc>
          <w:tcPr>
            <w:tcW w:w="476" w:type="pct"/>
            <w:tcBorders>
              <w:top w:val="nil"/>
              <w:left w:val="nil"/>
              <w:bottom w:val="single" w:color="auto" w:sz="8" w:space="0"/>
              <w:right w:val="single" w:color="auto" w:sz="8" w:space="0"/>
            </w:tcBorders>
            <w:vAlign w:val="center"/>
          </w:tcPr>
          <w:p w14:paraId="151BCFD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14</w:t>
            </w:r>
          </w:p>
        </w:tc>
        <w:tc>
          <w:tcPr>
            <w:tcW w:w="395" w:type="pct"/>
            <w:tcBorders>
              <w:top w:val="nil"/>
              <w:left w:val="nil"/>
              <w:bottom w:val="single" w:color="auto" w:sz="8" w:space="0"/>
              <w:right w:val="single" w:color="auto" w:sz="8" w:space="0"/>
            </w:tcBorders>
            <w:vAlign w:val="center"/>
          </w:tcPr>
          <w:p w14:paraId="6701B74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0.249</w:t>
            </w:r>
          </w:p>
        </w:tc>
        <w:tc>
          <w:tcPr>
            <w:tcW w:w="476" w:type="pct"/>
            <w:tcBorders>
              <w:top w:val="nil"/>
              <w:left w:val="nil"/>
              <w:bottom w:val="single" w:color="auto" w:sz="8" w:space="0"/>
              <w:right w:val="single" w:color="auto" w:sz="8" w:space="0"/>
            </w:tcBorders>
            <w:vAlign w:val="center"/>
          </w:tcPr>
          <w:p w14:paraId="47E1443C">
            <w:pPr>
              <w:widowControl/>
              <w:spacing w:line="240" w:lineRule="auto"/>
              <w:ind w:firstLine="0" w:firstLineChars="0"/>
              <w:jc w:val="center"/>
              <w:rPr>
                <w:rFonts w:eastAsia="等线" w:cs="Times New Roman"/>
                <w:kern w:val="0"/>
                <w:sz w:val="21"/>
                <w:szCs w:val="21"/>
                <w14:ligatures w14:val="none"/>
              </w:rPr>
            </w:pPr>
            <w:r>
              <w:rPr>
                <w:rFonts w:eastAsia="等线" w:cs="Times New Roman"/>
                <w:kern w:val="0"/>
                <w:sz w:val="21"/>
                <w:szCs w:val="21"/>
                <w14:ligatures w14:val="none"/>
              </w:rPr>
              <w:t>0.09</w:t>
            </w:r>
          </w:p>
        </w:tc>
        <w:tc>
          <w:tcPr>
            <w:tcW w:w="395" w:type="pct"/>
            <w:tcBorders>
              <w:top w:val="nil"/>
              <w:left w:val="nil"/>
              <w:bottom w:val="single" w:color="auto" w:sz="8" w:space="0"/>
              <w:right w:val="single" w:color="auto" w:sz="8" w:space="0"/>
            </w:tcBorders>
            <w:vAlign w:val="center"/>
          </w:tcPr>
          <w:p w14:paraId="28038E0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0.668</w:t>
            </w:r>
          </w:p>
        </w:tc>
        <w:tc>
          <w:tcPr>
            <w:tcW w:w="395" w:type="pct"/>
            <w:tcBorders>
              <w:top w:val="nil"/>
              <w:left w:val="nil"/>
              <w:bottom w:val="single" w:color="auto" w:sz="8" w:space="0"/>
              <w:right w:val="single" w:color="auto" w:sz="8" w:space="0"/>
            </w:tcBorders>
            <w:vAlign w:val="center"/>
          </w:tcPr>
          <w:p w14:paraId="2B6CB9C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051EC35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4.8</w:t>
            </w:r>
          </w:p>
        </w:tc>
        <w:tc>
          <w:tcPr>
            <w:tcW w:w="395" w:type="pct"/>
            <w:tcBorders>
              <w:top w:val="nil"/>
              <w:left w:val="nil"/>
              <w:bottom w:val="single" w:color="auto" w:sz="8" w:space="0"/>
              <w:right w:val="single" w:color="auto" w:sz="8" w:space="0"/>
            </w:tcBorders>
            <w:vAlign w:val="center"/>
          </w:tcPr>
          <w:p w14:paraId="0839544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1A62CF9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3DBBDE7D">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47E7201B">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08C78C52">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6A5ED777">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最大值</w:t>
            </w:r>
          </w:p>
        </w:tc>
        <w:tc>
          <w:tcPr>
            <w:tcW w:w="395" w:type="pct"/>
            <w:tcBorders>
              <w:top w:val="nil"/>
              <w:left w:val="nil"/>
              <w:bottom w:val="single" w:color="auto" w:sz="8" w:space="0"/>
              <w:right w:val="single" w:color="auto" w:sz="8" w:space="0"/>
            </w:tcBorders>
            <w:vAlign w:val="center"/>
          </w:tcPr>
          <w:p w14:paraId="537CDA7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7.50 </w:t>
            </w:r>
          </w:p>
        </w:tc>
        <w:tc>
          <w:tcPr>
            <w:tcW w:w="476" w:type="pct"/>
            <w:tcBorders>
              <w:top w:val="nil"/>
              <w:left w:val="nil"/>
              <w:bottom w:val="single" w:color="auto" w:sz="8" w:space="0"/>
              <w:right w:val="single" w:color="auto" w:sz="8" w:space="0"/>
            </w:tcBorders>
            <w:vAlign w:val="center"/>
          </w:tcPr>
          <w:p w14:paraId="77D669E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17</w:t>
            </w:r>
          </w:p>
        </w:tc>
        <w:tc>
          <w:tcPr>
            <w:tcW w:w="395" w:type="pct"/>
            <w:tcBorders>
              <w:top w:val="nil"/>
              <w:left w:val="nil"/>
              <w:bottom w:val="single" w:color="auto" w:sz="8" w:space="0"/>
              <w:right w:val="single" w:color="auto" w:sz="8" w:space="0"/>
            </w:tcBorders>
            <w:vAlign w:val="center"/>
          </w:tcPr>
          <w:p w14:paraId="77A9150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0.263</w:t>
            </w:r>
          </w:p>
        </w:tc>
        <w:tc>
          <w:tcPr>
            <w:tcW w:w="476" w:type="pct"/>
            <w:tcBorders>
              <w:top w:val="nil"/>
              <w:left w:val="nil"/>
              <w:bottom w:val="single" w:color="auto" w:sz="8" w:space="0"/>
              <w:right w:val="single" w:color="auto" w:sz="8" w:space="0"/>
            </w:tcBorders>
            <w:vAlign w:val="center"/>
          </w:tcPr>
          <w:p w14:paraId="2C99DA5C">
            <w:pPr>
              <w:widowControl/>
              <w:spacing w:line="240" w:lineRule="auto"/>
              <w:ind w:firstLine="0" w:firstLineChars="0"/>
              <w:jc w:val="center"/>
              <w:rPr>
                <w:rFonts w:eastAsia="等线" w:cs="Times New Roman"/>
                <w:kern w:val="0"/>
                <w:sz w:val="21"/>
                <w:szCs w:val="21"/>
                <w14:ligatures w14:val="none"/>
              </w:rPr>
            </w:pPr>
            <w:r>
              <w:rPr>
                <w:rFonts w:eastAsia="等线" w:cs="Times New Roman"/>
                <w:kern w:val="0"/>
                <w:sz w:val="21"/>
                <w:szCs w:val="21"/>
                <w14:ligatures w14:val="none"/>
              </w:rPr>
              <w:t>0.13</w:t>
            </w:r>
          </w:p>
        </w:tc>
        <w:tc>
          <w:tcPr>
            <w:tcW w:w="395" w:type="pct"/>
            <w:tcBorders>
              <w:top w:val="nil"/>
              <w:left w:val="nil"/>
              <w:bottom w:val="single" w:color="auto" w:sz="8" w:space="0"/>
              <w:right w:val="single" w:color="auto" w:sz="8" w:space="0"/>
            </w:tcBorders>
            <w:vAlign w:val="center"/>
          </w:tcPr>
          <w:p w14:paraId="255AC34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0.816</w:t>
            </w:r>
          </w:p>
        </w:tc>
        <w:tc>
          <w:tcPr>
            <w:tcW w:w="395" w:type="pct"/>
            <w:tcBorders>
              <w:top w:val="nil"/>
              <w:left w:val="nil"/>
              <w:bottom w:val="single" w:color="auto" w:sz="8" w:space="0"/>
              <w:right w:val="single" w:color="auto" w:sz="8" w:space="0"/>
            </w:tcBorders>
            <w:vAlign w:val="center"/>
          </w:tcPr>
          <w:p w14:paraId="26025C0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43922FB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5.4</w:t>
            </w:r>
          </w:p>
        </w:tc>
        <w:tc>
          <w:tcPr>
            <w:tcW w:w="395" w:type="pct"/>
            <w:tcBorders>
              <w:top w:val="nil"/>
              <w:left w:val="nil"/>
              <w:bottom w:val="single" w:color="auto" w:sz="8" w:space="0"/>
              <w:right w:val="single" w:color="auto" w:sz="8" w:space="0"/>
            </w:tcBorders>
            <w:vAlign w:val="center"/>
          </w:tcPr>
          <w:p w14:paraId="5A3D8D3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066076D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3B0929C6">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6B5326B7">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70013B5B">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A4EFC14">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平均值</w:t>
            </w:r>
          </w:p>
        </w:tc>
        <w:tc>
          <w:tcPr>
            <w:tcW w:w="395" w:type="pct"/>
            <w:tcBorders>
              <w:top w:val="nil"/>
              <w:left w:val="nil"/>
              <w:bottom w:val="single" w:color="auto" w:sz="8" w:space="0"/>
              <w:right w:val="single" w:color="auto" w:sz="8" w:space="0"/>
            </w:tcBorders>
            <w:vAlign w:val="center"/>
          </w:tcPr>
          <w:p w14:paraId="43298C5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7.40 </w:t>
            </w:r>
          </w:p>
        </w:tc>
        <w:tc>
          <w:tcPr>
            <w:tcW w:w="476" w:type="pct"/>
            <w:tcBorders>
              <w:top w:val="nil"/>
              <w:left w:val="nil"/>
              <w:bottom w:val="single" w:color="auto" w:sz="8" w:space="0"/>
              <w:right w:val="single" w:color="auto" w:sz="8" w:space="0"/>
            </w:tcBorders>
            <w:vAlign w:val="center"/>
          </w:tcPr>
          <w:p w14:paraId="2BFACAC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15.67 </w:t>
            </w:r>
          </w:p>
        </w:tc>
        <w:tc>
          <w:tcPr>
            <w:tcW w:w="395" w:type="pct"/>
            <w:tcBorders>
              <w:top w:val="nil"/>
              <w:left w:val="nil"/>
              <w:bottom w:val="single" w:color="auto" w:sz="8" w:space="0"/>
              <w:right w:val="single" w:color="auto" w:sz="8" w:space="0"/>
            </w:tcBorders>
            <w:vAlign w:val="center"/>
          </w:tcPr>
          <w:p w14:paraId="4F427CA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0.26 </w:t>
            </w:r>
          </w:p>
        </w:tc>
        <w:tc>
          <w:tcPr>
            <w:tcW w:w="476" w:type="pct"/>
            <w:tcBorders>
              <w:top w:val="nil"/>
              <w:left w:val="nil"/>
              <w:bottom w:val="single" w:color="auto" w:sz="8" w:space="0"/>
              <w:right w:val="single" w:color="auto" w:sz="8" w:space="0"/>
            </w:tcBorders>
            <w:vAlign w:val="center"/>
          </w:tcPr>
          <w:p w14:paraId="44B4E145">
            <w:pPr>
              <w:widowControl/>
              <w:spacing w:line="240" w:lineRule="auto"/>
              <w:ind w:firstLine="0" w:firstLineChars="0"/>
              <w:jc w:val="center"/>
              <w:rPr>
                <w:rFonts w:eastAsia="等线" w:cs="Times New Roman"/>
                <w:kern w:val="0"/>
                <w:sz w:val="21"/>
                <w:szCs w:val="21"/>
                <w14:ligatures w14:val="none"/>
              </w:rPr>
            </w:pPr>
            <w:r>
              <w:rPr>
                <w:rFonts w:eastAsia="等线" w:cs="Times New Roman"/>
                <w:kern w:val="0"/>
                <w:sz w:val="21"/>
                <w:szCs w:val="21"/>
                <w14:ligatures w14:val="none"/>
              </w:rPr>
              <w:t xml:space="preserve">0.11 </w:t>
            </w:r>
          </w:p>
        </w:tc>
        <w:tc>
          <w:tcPr>
            <w:tcW w:w="395" w:type="pct"/>
            <w:tcBorders>
              <w:top w:val="nil"/>
              <w:left w:val="nil"/>
              <w:bottom w:val="single" w:color="auto" w:sz="8" w:space="0"/>
              <w:right w:val="single" w:color="auto" w:sz="8" w:space="0"/>
            </w:tcBorders>
            <w:vAlign w:val="center"/>
          </w:tcPr>
          <w:p w14:paraId="6A32DC4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0.75 </w:t>
            </w:r>
          </w:p>
        </w:tc>
        <w:tc>
          <w:tcPr>
            <w:tcW w:w="395" w:type="pct"/>
            <w:tcBorders>
              <w:top w:val="nil"/>
              <w:left w:val="nil"/>
              <w:bottom w:val="single" w:color="auto" w:sz="8" w:space="0"/>
              <w:right w:val="single" w:color="auto" w:sz="8" w:space="0"/>
            </w:tcBorders>
            <w:vAlign w:val="center"/>
          </w:tcPr>
          <w:p w14:paraId="3C3A2D5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542" w:type="pct"/>
            <w:tcBorders>
              <w:top w:val="nil"/>
              <w:left w:val="nil"/>
              <w:bottom w:val="single" w:color="auto" w:sz="8" w:space="0"/>
              <w:right w:val="single" w:color="auto" w:sz="8" w:space="0"/>
            </w:tcBorders>
            <w:vAlign w:val="center"/>
          </w:tcPr>
          <w:p w14:paraId="1EEA6BB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5.15 </w:t>
            </w:r>
          </w:p>
        </w:tc>
        <w:tc>
          <w:tcPr>
            <w:tcW w:w="395" w:type="pct"/>
            <w:tcBorders>
              <w:top w:val="nil"/>
              <w:left w:val="nil"/>
              <w:bottom w:val="single" w:color="auto" w:sz="8" w:space="0"/>
              <w:right w:val="single" w:color="auto" w:sz="8" w:space="0"/>
            </w:tcBorders>
            <w:vAlign w:val="center"/>
          </w:tcPr>
          <w:p w14:paraId="2233817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395" w:type="pct"/>
            <w:tcBorders>
              <w:top w:val="nil"/>
              <w:left w:val="nil"/>
              <w:bottom w:val="single" w:color="auto" w:sz="8" w:space="0"/>
              <w:right w:val="single" w:color="auto" w:sz="8" w:space="0"/>
            </w:tcBorders>
            <w:vAlign w:val="center"/>
          </w:tcPr>
          <w:p w14:paraId="2CFB2D6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r>
      <w:tr w14:paraId="180F99CC">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69945F9A">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7C248C81">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212F30D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r>
              <w:rPr>
                <w:rFonts w:cs="Times New Roman"/>
                <w:color w:val="000000"/>
                <w:kern w:val="0"/>
                <w:sz w:val="21"/>
                <w:szCs w:val="21"/>
                <w14:ligatures w14:val="none"/>
              </w:rPr>
              <w:t>类标准</w:t>
            </w:r>
          </w:p>
        </w:tc>
        <w:tc>
          <w:tcPr>
            <w:tcW w:w="395" w:type="pct"/>
            <w:tcBorders>
              <w:top w:val="nil"/>
              <w:left w:val="nil"/>
              <w:bottom w:val="single" w:color="auto" w:sz="8" w:space="0"/>
              <w:right w:val="single" w:color="auto" w:sz="8" w:space="0"/>
            </w:tcBorders>
            <w:vAlign w:val="center"/>
          </w:tcPr>
          <w:p w14:paraId="2A718B3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6</w:t>
            </w: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9</w:t>
            </w:r>
          </w:p>
        </w:tc>
        <w:tc>
          <w:tcPr>
            <w:tcW w:w="476" w:type="pct"/>
            <w:tcBorders>
              <w:top w:val="nil"/>
              <w:left w:val="nil"/>
              <w:bottom w:val="single" w:color="auto" w:sz="8" w:space="0"/>
              <w:right w:val="single" w:color="auto" w:sz="8" w:space="0"/>
            </w:tcBorders>
            <w:vAlign w:val="center"/>
          </w:tcPr>
          <w:p w14:paraId="60F7628C">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20</w:t>
            </w:r>
          </w:p>
        </w:tc>
        <w:tc>
          <w:tcPr>
            <w:tcW w:w="395" w:type="pct"/>
            <w:tcBorders>
              <w:top w:val="nil"/>
              <w:left w:val="nil"/>
              <w:bottom w:val="single" w:color="auto" w:sz="8" w:space="0"/>
              <w:right w:val="single" w:color="auto" w:sz="8" w:space="0"/>
            </w:tcBorders>
            <w:vAlign w:val="center"/>
          </w:tcPr>
          <w:p w14:paraId="0D8C8854">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476" w:type="pct"/>
            <w:tcBorders>
              <w:top w:val="nil"/>
              <w:left w:val="nil"/>
              <w:bottom w:val="single" w:color="auto" w:sz="8" w:space="0"/>
              <w:right w:val="single" w:color="auto" w:sz="8" w:space="0"/>
            </w:tcBorders>
            <w:vAlign w:val="center"/>
          </w:tcPr>
          <w:p w14:paraId="6356AE78">
            <w:pPr>
              <w:widowControl/>
              <w:spacing w:line="240" w:lineRule="auto"/>
              <w:ind w:firstLine="0" w:firstLineChars="0"/>
              <w:jc w:val="center"/>
              <w:rPr>
                <w:rFonts w:eastAsia="等线" w:cs="Times New Roman"/>
                <w:kern w:val="0"/>
                <w:sz w:val="21"/>
                <w:szCs w:val="21"/>
                <w14:ligatures w14:val="none"/>
              </w:rPr>
            </w:pPr>
            <w:r>
              <w:rPr>
                <w:rFonts w:eastAsia="宋体" w:cs="Times New Roman"/>
                <w:kern w:val="0"/>
                <w:sz w:val="21"/>
                <w:szCs w:val="21"/>
                <w14:ligatures w14:val="none"/>
              </w:rPr>
              <w:t>≤</w:t>
            </w:r>
            <w:r>
              <w:rPr>
                <w:rFonts w:eastAsia="等线" w:cs="Times New Roman"/>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0F701507">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1.0</w:t>
            </w:r>
          </w:p>
        </w:tc>
        <w:tc>
          <w:tcPr>
            <w:tcW w:w="395" w:type="pct"/>
            <w:tcBorders>
              <w:top w:val="nil"/>
              <w:left w:val="nil"/>
              <w:bottom w:val="single" w:color="auto" w:sz="8" w:space="0"/>
              <w:right w:val="single" w:color="auto" w:sz="8" w:space="0"/>
            </w:tcBorders>
            <w:vAlign w:val="center"/>
          </w:tcPr>
          <w:p w14:paraId="59E36271">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0.05</w:t>
            </w:r>
          </w:p>
        </w:tc>
        <w:tc>
          <w:tcPr>
            <w:tcW w:w="542" w:type="pct"/>
            <w:tcBorders>
              <w:top w:val="nil"/>
              <w:left w:val="nil"/>
              <w:bottom w:val="single" w:color="auto" w:sz="8" w:space="0"/>
              <w:right w:val="single" w:color="auto" w:sz="8" w:space="0"/>
            </w:tcBorders>
            <w:vAlign w:val="center"/>
          </w:tcPr>
          <w:p w14:paraId="03446C09">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6</w:t>
            </w:r>
          </w:p>
        </w:tc>
        <w:tc>
          <w:tcPr>
            <w:tcW w:w="395" w:type="pct"/>
            <w:tcBorders>
              <w:top w:val="nil"/>
              <w:left w:val="nil"/>
              <w:bottom w:val="single" w:color="auto" w:sz="8" w:space="0"/>
              <w:right w:val="single" w:color="auto" w:sz="8" w:space="0"/>
            </w:tcBorders>
            <w:vAlign w:val="center"/>
          </w:tcPr>
          <w:p w14:paraId="72F146B8">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0.2</w:t>
            </w:r>
          </w:p>
        </w:tc>
        <w:tc>
          <w:tcPr>
            <w:tcW w:w="395" w:type="pct"/>
            <w:tcBorders>
              <w:top w:val="nil"/>
              <w:left w:val="nil"/>
              <w:bottom w:val="single" w:color="auto" w:sz="8" w:space="0"/>
              <w:right w:val="single" w:color="auto" w:sz="8" w:space="0"/>
            </w:tcBorders>
            <w:vAlign w:val="center"/>
          </w:tcPr>
          <w:p w14:paraId="2D32FC8E">
            <w:pPr>
              <w:widowControl/>
              <w:spacing w:line="240" w:lineRule="auto"/>
              <w:ind w:firstLine="0" w:firstLineChars="0"/>
              <w:jc w:val="center"/>
              <w:rPr>
                <w:rFonts w:eastAsia="等线" w:cs="Times New Roman"/>
                <w:color w:val="000000"/>
                <w:kern w:val="0"/>
                <w:sz w:val="21"/>
                <w:szCs w:val="21"/>
                <w14:ligatures w14:val="none"/>
              </w:rPr>
            </w:pPr>
            <w:r>
              <w:rPr>
                <w:rFonts w:eastAsia="宋体" w:cs="Times New Roman"/>
                <w:color w:val="000000"/>
                <w:kern w:val="0"/>
                <w:sz w:val="21"/>
                <w:szCs w:val="21"/>
                <w14:ligatures w14:val="none"/>
              </w:rPr>
              <w:t>≤</w:t>
            </w:r>
            <w:r>
              <w:rPr>
                <w:rFonts w:eastAsia="等线" w:cs="Times New Roman"/>
                <w:color w:val="000000"/>
                <w:kern w:val="0"/>
                <w:sz w:val="21"/>
                <w:szCs w:val="21"/>
                <w14:ligatures w14:val="none"/>
              </w:rPr>
              <w:t>0.005</w:t>
            </w:r>
          </w:p>
        </w:tc>
      </w:tr>
      <w:tr w14:paraId="04FD882B">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298BE228">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766FD119">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3AB5B19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水质指数</w:t>
            </w:r>
          </w:p>
        </w:tc>
        <w:tc>
          <w:tcPr>
            <w:tcW w:w="395" w:type="pct"/>
            <w:tcBorders>
              <w:top w:val="nil"/>
              <w:left w:val="nil"/>
              <w:bottom w:val="single" w:color="auto" w:sz="8" w:space="0"/>
              <w:right w:val="single" w:color="auto" w:sz="8" w:space="0"/>
            </w:tcBorders>
            <w:vAlign w:val="center"/>
          </w:tcPr>
          <w:p w14:paraId="676B552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w:t>
            </w:r>
          </w:p>
        </w:tc>
        <w:tc>
          <w:tcPr>
            <w:tcW w:w="476" w:type="pct"/>
            <w:tcBorders>
              <w:top w:val="nil"/>
              <w:left w:val="nil"/>
              <w:bottom w:val="single" w:color="auto" w:sz="8" w:space="0"/>
              <w:right w:val="single" w:color="auto" w:sz="8" w:space="0"/>
            </w:tcBorders>
            <w:vAlign w:val="center"/>
          </w:tcPr>
          <w:p w14:paraId="1BAED52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0.78 </w:t>
            </w:r>
          </w:p>
        </w:tc>
        <w:tc>
          <w:tcPr>
            <w:tcW w:w="395" w:type="pct"/>
            <w:tcBorders>
              <w:top w:val="nil"/>
              <w:left w:val="nil"/>
              <w:bottom w:val="single" w:color="auto" w:sz="8" w:space="0"/>
              <w:right w:val="single" w:color="auto" w:sz="8" w:space="0"/>
            </w:tcBorders>
            <w:vAlign w:val="center"/>
          </w:tcPr>
          <w:p w14:paraId="1D34B33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0.26 </w:t>
            </w:r>
          </w:p>
        </w:tc>
        <w:tc>
          <w:tcPr>
            <w:tcW w:w="476" w:type="pct"/>
            <w:tcBorders>
              <w:top w:val="nil"/>
              <w:left w:val="nil"/>
              <w:bottom w:val="single" w:color="auto" w:sz="8" w:space="0"/>
              <w:right w:val="single" w:color="auto" w:sz="8" w:space="0"/>
            </w:tcBorders>
            <w:vAlign w:val="center"/>
          </w:tcPr>
          <w:p w14:paraId="09CBB0E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0.56 </w:t>
            </w:r>
          </w:p>
        </w:tc>
        <w:tc>
          <w:tcPr>
            <w:tcW w:w="395" w:type="pct"/>
            <w:tcBorders>
              <w:top w:val="nil"/>
              <w:left w:val="nil"/>
              <w:bottom w:val="single" w:color="auto" w:sz="8" w:space="0"/>
              <w:right w:val="single" w:color="auto" w:sz="8" w:space="0"/>
            </w:tcBorders>
            <w:vAlign w:val="center"/>
          </w:tcPr>
          <w:p w14:paraId="664E4DA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0.75 </w:t>
            </w:r>
          </w:p>
        </w:tc>
        <w:tc>
          <w:tcPr>
            <w:tcW w:w="395" w:type="pct"/>
            <w:tcBorders>
              <w:top w:val="nil"/>
              <w:left w:val="nil"/>
              <w:bottom w:val="single" w:color="auto" w:sz="8" w:space="0"/>
              <w:right w:val="single" w:color="auto" w:sz="8" w:space="0"/>
            </w:tcBorders>
            <w:vAlign w:val="center"/>
          </w:tcPr>
          <w:p w14:paraId="6506FC2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542" w:type="pct"/>
            <w:tcBorders>
              <w:top w:val="nil"/>
              <w:left w:val="nil"/>
              <w:bottom w:val="single" w:color="auto" w:sz="8" w:space="0"/>
              <w:right w:val="single" w:color="auto" w:sz="8" w:space="0"/>
            </w:tcBorders>
            <w:vAlign w:val="center"/>
          </w:tcPr>
          <w:p w14:paraId="58044C3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 xml:space="preserve">0.86 </w:t>
            </w:r>
          </w:p>
        </w:tc>
        <w:tc>
          <w:tcPr>
            <w:tcW w:w="395" w:type="pct"/>
            <w:tcBorders>
              <w:top w:val="nil"/>
              <w:left w:val="nil"/>
              <w:bottom w:val="single" w:color="auto" w:sz="8" w:space="0"/>
              <w:right w:val="single" w:color="auto" w:sz="8" w:space="0"/>
            </w:tcBorders>
            <w:vAlign w:val="center"/>
          </w:tcPr>
          <w:p w14:paraId="37EDCBD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395" w:type="pct"/>
            <w:tcBorders>
              <w:top w:val="nil"/>
              <w:left w:val="nil"/>
              <w:bottom w:val="single" w:color="auto" w:sz="8" w:space="0"/>
              <w:right w:val="single" w:color="auto" w:sz="8" w:space="0"/>
            </w:tcBorders>
            <w:vAlign w:val="center"/>
          </w:tcPr>
          <w:p w14:paraId="38B14DA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r>
      <w:tr w14:paraId="0605F63C">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0D5D9471">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5A147D14">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5F0F53C9">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超标率</w:t>
            </w:r>
          </w:p>
        </w:tc>
        <w:tc>
          <w:tcPr>
            <w:tcW w:w="395" w:type="pct"/>
            <w:tcBorders>
              <w:top w:val="nil"/>
              <w:left w:val="nil"/>
              <w:bottom w:val="single" w:color="auto" w:sz="8" w:space="0"/>
              <w:right w:val="single" w:color="auto" w:sz="8" w:space="0"/>
            </w:tcBorders>
            <w:vAlign w:val="center"/>
          </w:tcPr>
          <w:p w14:paraId="6A0E38F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3EAC014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67B98DF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476" w:type="pct"/>
            <w:tcBorders>
              <w:top w:val="nil"/>
              <w:left w:val="nil"/>
              <w:bottom w:val="single" w:color="auto" w:sz="8" w:space="0"/>
              <w:right w:val="single" w:color="auto" w:sz="8" w:space="0"/>
            </w:tcBorders>
            <w:vAlign w:val="center"/>
          </w:tcPr>
          <w:p w14:paraId="5488AED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1AA7A9E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2D2E915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542" w:type="pct"/>
            <w:tcBorders>
              <w:top w:val="nil"/>
              <w:left w:val="nil"/>
              <w:bottom w:val="single" w:color="auto" w:sz="8" w:space="0"/>
              <w:right w:val="single" w:color="auto" w:sz="8" w:space="0"/>
            </w:tcBorders>
            <w:vAlign w:val="center"/>
          </w:tcPr>
          <w:p w14:paraId="6E8A587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4C70F7B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c>
          <w:tcPr>
            <w:tcW w:w="395" w:type="pct"/>
            <w:tcBorders>
              <w:top w:val="nil"/>
              <w:left w:val="nil"/>
              <w:bottom w:val="single" w:color="auto" w:sz="8" w:space="0"/>
              <w:right w:val="single" w:color="auto" w:sz="8" w:space="0"/>
            </w:tcBorders>
            <w:vAlign w:val="center"/>
          </w:tcPr>
          <w:p w14:paraId="24DB242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w:t>
            </w:r>
          </w:p>
        </w:tc>
      </w:tr>
      <w:tr w14:paraId="4A86A1A8">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2DC41305">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561A7BA2">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5105E75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达标情况</w:t>
            </w:r>
          </w:p>
        </w:tc>
        <w:tc>
          <w:tcPr>
            <w:tcW w:w="395" w:type="pct"/>
            <w:tcBorders>
              <w:top w:val="nil"/>
              <w:left w:val="nil"/>
              <w:bottom w:val="single" w:color="auto" w:sz="8" w:space="0"/>
              <w:right w:val="single" w:color="auto" w:sz="8" w:space="0"/>
            </w:tcBorders>
            <w:vAlign w:val="center"/>
          </w:tcPr>
          <w:p w14:paraId="6A89E21A">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46B4014C">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02A2922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476" w:type="pct"/>
            <w:tcBorders>
              <w:top w:val="nil"/>
              <w:left w:val="nil"/>
              <w:bottom w:val="single" w:color="auto" w:sz="8" w:space="0"/>
              <w:right w:val="single" w:color="auto" w:sz="8" w:space="0"/>
            </w:tcBorders>
            <w:vAlign w:val="center"/>
          </w:tcPr>
          <w:p w14:paraId="31CCEDC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1DCBCE4F">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2EB6685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542" w:type="pct"/>
            <w:tcBorders>
              <w:top w:val="nil"/>
              <w:left w:val="nil"/>
              <w:bottom w:val="single" w:color="auto" w:sz="8" w:space="0"/>
              <w:right w:val="single" w:color="auto" w:sz="8" w:space="0"/>
            </w:tcBorders>
            <w:vAlign w:val="center"/>
          </w:tcPr>
          <w:p w14:paraId="26CDC1E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3E955F4A">
            <w:pPr>
              <w:widowControl/>
              <w:spacing w:line="240" w:lineRule="auto"/>
              <w:ind w:firstLine="0" w:firstLineChars="0"/>
              <w:jc w:val="center"/>
              <w:rPr>
                <w:rFonts w:eastAsia="等线" w:cs="Times New Roman"/>
                <w:color w:val="000000"/>
                <w:kern w:val="0"/>
                <w:sz w:val="21"/>
                <w:szCs w:val="21"/>
                <w14:ligatures w14:val="none"/>
              </w:rPr>
            </w:pPr>
            <w:r>
              <w:rPr>
                <w:rFonts w:cs="Times New Roman"/>
                <w:color w:val="000000"/>
                <w:kern w:val="0"/>
                <w:sz w:val="21"/>
                <w:szCs w:val="21"/>
                <w14:ligatures w14:val="none"/>
              </w:rPr>
              <w:t>达标</w:t>
            </w:r>
          </w:p>
        </w:tc>
        <w:tc>
          <w:tcPr>
            <w:tcW w:w="395" w:type="pct"/>
            <w:tcBorders>
              <w:top w:val="nil"/>
              <w:left w:val="nil"/>
              <w:bottom w:val="single" w:color="auto" w:sz="8" w:space="0"/>
              <w:right w:val="single" w:color="auto" w:sz="8" w:space="0"/>
            </w:tcBorders>
            <w:vAlign w:val="center"/>
          </w:tcPr>
          <w:p w14:paraId="03756A9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w:t>
            </w:r>
          </w:p>
        </w:tc>
      </w:tr>
      <w:tr w14:paraId="1D12A00D">
        <w:tblPrEx>
          <w:tblCellMar>
            <w:top w:w="0" w:type="dxa"/>
            <w:left w:w="108" w:type="dxa"/>
            <w:bottom w:w="0" w:type="dxa"/>
            <w:right w:w="108" w:type="dxa"/>
          </w:tblCellMar>
        </w:tblPrEx>
        <w:trPr>
          <w:trHeight w:val="300" w:hRule="atLeast"/>
        </w:trPr>
        <w:tc>
          <w:tcPr>
            <w:tcW w:w="243" w:type="pct"/>
            <w:vMerge w:val="restart"/>
            <w:tcBorders>
              <w:top w:val="nil"/>
              <w:left w:val="single" w:color="auto" w:sz="8" w:space="0"/>
              <w:bottom w:val="single" w:color="000000" w:sz="8" w:space="0"/>
              <w:right w:val="single" w:color="auto" w:sz="8" w:space="0"/>
            </w:tcBorders>
            <w:vAlign w:val="center"/>
          </w:tcPr>
          <w:p w14:paraId="29F4877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W9</w:t>
            </w:r>
          </w:p>
        </w:tc>
        <w:tc>
          <w:tcPr>
            <w:tcW w:w="498" w:type="pct"/>
            <w:vMerge w:val="restart"/>
            <w:tcBorders>
              <w:top w:val="nil"/>
              <w:left w:val="single" w:color="auto" w:sz="8" w:space="0"/>
              <w:bottom w:val="single" w:color="000000" w:sz="8" w:space="0"/>
              <w:right w:val="single" w:color="auto" w:sz="8" w:space="0"/>
            </w:tcBorders>
            <w:vAlign w:val="center"/>
          </w:tcPr>
          <w:p w14:paraId="24FDCD7A">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瓦沟水库</w:t>
            </w:r>
          </w:p>
        </w:tc>
        <w:tc>
          <w:tcPr>
            <w:tcW w:w="395" w:type="pct"/>
            <w:tcBorders>
              <w:top w:val="nil"/>
              <w:left w:val="nil"/>
              <w:bottom w:val="single" w:color="auto" w:sz="8" w:space="0"/>
              <w:right w:val="single" w:color="auto" w:sz="8" w:space="0"/>
            </w:tcBorders>
            <w:vAlign w:val="center"/>
          </w:tcPr>
          <w:p w14:paraId="37C094B7">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最小值</w:t>
            </w:r>
          </w:p>
        </w:tc>
        <w:tc>
          <w:tcPr>
            <w:tcW w:w="395" w:type="pct"/>
            <w:tcBorders>
              <w:top w:val="nil"/>
              <w:left w:val="nil"/>
              <w:bottom w:val="single" w:color="auto" w:sz="8" w:space="0"/>
              <w:right w:val="single" w:color="auto" w:sz="8" w:space="0"/>
            </w:tcBorders>
          </w:tcPr>
          <w:p w14:paraId="721610B0">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8.00 </w:t>
            </w:r>
          </w:p>
        </w:tc>
        <w:tc>
          <w:tcPr>
            <w:tcW w:w="476" w:type="pct"/>
            <w:tcBorders>
              <w:top w:val="nil"/>
              <w:left w:val="nil"/>
              <w:bottom w:val="single" w:color="auto" w:sz="8" w:space="0"/>
              <w:right w:val="single" w:color="auto" w:sz="8" w:space="0"/>
            </w:tcBorders>
          </w:tcPr>
          <w:p w14:paraId="538B127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13</w:t>
            </w:r>
          </w:p>
        </w:tc>
        <w:tc>
          <w:tcPr>
            <w:tcW w:w="395" w:type="pct"/>
            <w:tcBorders>
              <w:top w:val="nil"/>
              <w:left w:val="nil"/>
              <w:bottom w:val="single" w:color="auto" w:sz="8" w:space="0"/>
              <w:right w:val="single" w:color="auto" w:sz="8" w:space="0"/>
            </w:tcBorders>
          </w:tcPr>
          <w:p w14:paraId="19505A0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0.224</w:t>
            </w:r>
          </w:p>
        </w:tc>
        <w:tc>
          <w:tcPr>
            <w:tcW w:w="476" w:type="pct"/>
            <w:tcBorders>
              <w:top w:val="nil"/>
              <w:left w:val="nil"/>
              <w:bottom w:val="single" w:color="auto" w:sz="8" w:space="0"/>
              <w:right w:val="single" w:color="auto" w:sz="8" w:space="0"/>
            </w:tcBorders>
          </w:tcPr>
          <w:p w14:paraId="3A9B004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0.02</w:t>
            </w:r>
          </w:p>
        </w:tc>
        <w:tc>
          <w:tcPr>
            <w:tcW w:w="395" w:type="pct"/>
            <w:tcBorders>
              <w:top w:val="nil"/>
              <w:left w:val="nil"/>
              <w:bottom w:val="single" w:color="auto" w:sz="8" w:space="0"/>
              <w:right w:val="single" w:color="auto" w:sz="8" w:space="0"/>
            </w:tcBorders>
          </w:tcPr>
          <w:p w14:paraId="6767A5E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0.417</w:t>
            </w:r>
          </w:p>
        </w:tc>
        <w:tc>
          <w:tcPr>
            <w:tcW w:w="395" w:type="pct"/>
            <w:tcBorders>
              <w:top w:val="nil"/>
              <w:left w:val="nil"/>
              <w:bottom w:val="single" w:color="auto" w:sz="8" w:space="0"/>
              <w:right w:val="single" w:color="auto" w:sz="8" w:space="0"/>
            </w:tcBorders>
          </w:tcPr>
          <w:p w14:paraId="0E54422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542" w:type="pct"/>
            <w:tcBorders>
              <w:top w:val="nil"/>
              <w:left w:val="nil"/>
              <w:bottom w:val="single" w:color="auto" w:sz="8" w:space="0"/>
              <w:right w:val="single" w:color="auto" w:sz="8" w:space="0"/>
            </w:tcBorders>
          </w:tcPr>
          <w:p w14:paraId="517B4EC0">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2.8</w:t>
            </w:r>
          </w:p>
        </w:tc>
        <w:tc>
          <w:tcPr>
            <w:tcW w:w="395" w:type="pct"/>
            <w:tcBorders>
              <w:top w:val="nil"/>
              <w:left w:val="nil"/>
              <w:bottom w:val="single" w:color="auto" w:sz="8" w:space="0"/>
              <w:right w:val="single" w:color="auto" w:sz="8" w:space="0"/>
            </w:tcBorders>
          </w:tcPr>
          <w:p w14:paraId="02890182">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395" w:type="pct"/>
            <w:tcBorders>
              <w:top w:val="nil"/>
              <w:left w:val="nil"/>
              <w:bottom w:val="single" w:color="auto" w:sz="8" w:space="0"/>
              <w:right w:val="single" w:color="auto" w:sz="8" w:space="0"/>
            </w:tcBorders>
          </w:tcPr>
          <w:p w14:paraId="5D0B7EF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r>
      <w:tr w14:paraId="04C38BB4">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6E92E6CA">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14ACCBF2">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4418C06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最大值</w:t>
            </w:r>
          </w:p>
        </w:tc>
        <w:tc>
          <w:tcPr>
            <w:tcW w:w="395" w:type="pct"/>
            <w:tcBorders>
              <w:top w:val="nil"/>
              <w:left w:val="nil"/>
              <w:bottom w:val="single" w:color="auto" w:sz="8" w:space="0"/>
              <w:right w:val="single" w:color="auto" w:sz="8" w:space="0"/>
            </w:tcBorders>
          </w:tcPr>
          <w:p w14:paraId="049B1AA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8.20 </w:t>
            </w:r>
          </w:p>
        </w:tc>
        <w:tc>
          <w:tcPr>
            <w:tcW w:w="476" w:type="pct"/>
            <w:tcBorders>
              <w:top w:val="nil"/>
              <w:left w:val="nil"/>
              <w:bottom w:val="single" w:color="auto" w:sz="8" w:space="0"/>
              <w:right w:val="single" w:color="auto" w:sz="8" w:space="0"/>
            </w:tcBorders>
          </w:tcPr>
          <w:p w14:paraId="4D5B02B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15</w:t>
            </w:r>
          </w:p>
        </w:tc>
        <w:tc>
          <w:tcPr>
            <w:tcW w:w="395" w:type="pct"/>
            <w:tcBorders>
              <w:top w:val="nil"/>
              <w:left w:val="nil"/>
              <w:bottom w:val="single" w:color="auto" w:sz="8" w:space="0"/>
              <w:right w:val="single" w:color="auto" w:sz="8" w:space="0"/>
            </w:tcBorders>
          </w:tcPr>
          <w:p w14:paraId="3784E6B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0.265</w:t>
            </w:r>
          </w:p>
        </w:tc>
        <w:tc>
          <w:tcPr>
            <w:tcW w:w="476" w:type="pct"/>
            <w:tcBorders>
              <w:top w:val="nil"/>
              <w:left w:val="nil"/>
              <w:bottom w:val="single" w:color="auto" w:sz="8" w:space="0"/>
              <w:right w:val="single" w:color="auto" w:sz="8" w:space="0"/>
            </w:tcBorders>
          </w:tcPr>
          <w:p w14:paraId="00942DC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0.04</w:t>
            </w:r>
          </w:p>
        </w:tc>
        <w:tc>
          <w:tcPr>
            <w:tcW w:w="395" w:type="pct"/>
            <w:tcBorders>
              <w:top w:val="nil"/>
              <w:left w:val="nil"/>
              <w:bottom w:val="single" w:color="auto" w:sz="8" w:space="0"/>
              <w:right w:val="single" w:color="auto" w:sz="8" w:space="0"/>
            </w:tcBorders>
          </w:tcPr>
          <w:p w14:paraId="4FAD450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0.532</w:t>
            </w:r>
          </w:p>
        </w:tc>
        <w:tc>
          <w:tcPr>
            <w:tcW w:w="395" w:type="pct"/>
            <w:tcBorders>
              <w:top w:val="nil"/>
              <w:left w:val="nil"/>
              <w:bottom w:val="single" w:color="auto" w:sz="8" w:space="0"/>
              <w:right w:val="single" w:color="auto" w:sz="8" w:space="0"/>
            </w:tcBorders>
          </w:tcPr>
          <w:p w14:paraId="453EACB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542" w:type="pct"/>
            <w:tcBorders>
              <w:top w:val="nil"/>
              <w:left w:val="nil"/>
              <w:bottom w:val="single" w:color="auto" w:sz="8" w:space="0"/>
              <w:right w:val="single" w:color="auto" w:sz="8" w:space="0"/>
            </w:tcBorders>
          </w:tcPr>
          <w:p w14:paraId="10748EC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3.2</w:t>
            </w:r>
          </w:p>
        </w:tc>
        <w:tc>
          <w:tcPr>
            <w:tcW w:w="395" w:type="pct"/>
            <w:tcBorders>
              <w:top w:val="nil"/>
              <w:left w:val="nil"/>
              <w:bottom w:val="single" w:color="auto" w:sz="8" w:space="0"/>
              <w:right w:val="single" w:color="auto" w:sz="8" w:space="0"/>
            </w:tcBorders>
          </w:tcPr>
          <w:p w14:paraId="6295EE6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395" w:type="pct"/>
            <w:tcBorders>
              <w:top w:val="nil"/>
              <w:left w:val="nil"/>
              <w:bottom w:val="single" w:color="auto" w:sz="8" w:space="0"/>
              <w:right w:val="single" w:color="auto" w:sz="8" w:space="0"/>
            </w:tcBorders>
          </w:tcPr>
          <w:p w14:paraId="2CE9147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r>
      <w:tr w14:paraId="3B225D5F">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5CD323C6">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2B10434A">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29F237F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平均值</w:t>
            </w:r>
          </w:p>
        </w:tc>
        <w:tc>
          <w:tcPr>
            <w:tcW w:w="395" w:type="pct"/>
            <w:tcBorders>
              <w:top w:val="nil"/>
              <w:left w:val="nil"/>
              <w:bottom w:val="single" w:color="auto" w:sz="8" w:space="0"/>
              <w:right w:val="single" w:color="auto" w:sz="8" w:space="0"/>
            </w:tcBorders>
          </w:tcPr>
          <w:p w14:paraId="4C5AB109">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8.13 </w:t>
            </w:r>
          </w:p>
        </w:tc>
        <w:tc>
          <w:tcPr>
            <w:tcW w:w="476" w:type="pct"/>
            <w:tcBorders>
              <w:top w:val="nil"/>
              <w:left w:val="nil"/>
              <w:bottom w:val="single" w:color="auto" w:sz="8" w:space="0"/>
              <w:right w:val="single" w:color="auto" w:sz="8" w:space="0"/>
            </w:tcBorders>
          </w:tcPr>
          <w:p w14:paraId="4E46951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13.67 </w:t>
            </w:r>
          </w:p>
        </w:tc>
        <w:tc>
          <w:tcPr>
            <w:tcW w:w="395" w:type="pct"/>
            <w:tcBorders>
              <w:top w:val="nil"/>
              <w:left w:val="nil"/>
              <w:bottom w:val="single" w:color="auto" w:sz="8" w:space="0"/>
              <w:right w:val="single" w:color="auto" w:sz="8" w:space="0"/>
            </w:tcBorders>
          </w:tcPr>
          <w:p w14:paraId="04D25FA3">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0.25 </w:t>
            </w:r>
          </w:p>
        </w:tc>
        <w:tc>
          <w:tcPr>
            <w:tcW w:w="476" w:type="pct"/>
            <w:tcBorders>
              <w:top w:val="nil"/>
              <w:left w:val="nil"/>
              <w:bottom w:val="single" w:color="auto" w:sz="8" w:space="0"/>
              <w:right w:val="single" w:color="auto" w:sz="8" w:space="0"/>
            </w:tcBorders>
          </w:tcPr>
          <w:p w14:paraId="15ABA03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0.03 </w:t>
            </w:r>
          </w:p>
        </w:tc>
        <w:tc>
          <w:tcPr>
            <w:tcW w:w="395" w:type="pct"/>
            <w:tcBorders>
              <w:top w:val="nil"/>
              <w:left w:val="nil"/>
              <w:bottom w:val="single" w:color="auto" w:sz="8" w:space="0"/>
              <w:right w:val="single" w:color="auto" w:sz="8" w:space="0"/>
            </w:tcBorders>
          </w:tcPr>
          <w:p w14:paraId="742F54E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0.48 </w:t>
            </w:r>
          </w:p>
        </w:tc>
        <w:tc>
          <w:tcPr>
            <w:tcW w:w="395" w:type="pct"/>
            <w:tcBorders>
              <w:top w:val="nil"/>
              <w:left w:val="nil"/>
              <w:bottom w:val="single" w:color="auto" w:sz="8" w:space="0"/>
              <w:right w:val="single" w:color="auto" w:sz="8" w:space="0"/>
            </w:tcBorders>
          </w:tcPr>
          <w:p w14:paraId="56D9B8E0">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542" w:type="pct"/>
            <w:tcBorders>
              <w:top w:val="nil"/>
              <w:left w:val="nil"/>
              <w:bottom w:val="single" w:color="auto" w:sz="8" w:space="0"/>
              <w:right w:val="single" w:color="auto" w:sz="8" w:space="0"/>
            </w:tcBorders>
          </w:tcPr>
          <w:p w14:paraId="79964CC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2.98 </w:t>
            </w:r>
          </w:p>
        </w:tc>
        <w:tc>
          <w:tcPr>
            <w:tcW w:w="395" w:type="pct"/>
            <w:tcBorders>
              <w:top w:val="nil"/>
              <w:left w:val="nil"/>
              <w:bottom w:val="single" w:color="auto" w:sz="8" w:space="0"/>
              <w:right w:val="single" w:color="auto" w:sz="8" w:space="0"/>
            </w:tcBorders>
          </w:tcPr>
          <w:p w14:paraId="160D561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395" w:type="pct"/>
            <w:tcBorders>
              <w:top w:val="nil"/>
              <w:left w:val="nil"/>
              <w:bottom w:val="single" w:color="auto" w:sz="8" w:space="0"/>
              <w:right w:val="single" w:color="auto" w:sz="8" w:space="0"/>
            </w:tcBorders>
          </w:tcPr>
          <w:p w14:paraId="18ACE03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r>
      <w:tr w14:paraId="26104369">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3064D29D">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26F0A75B">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9510B1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r>
              <w:rPr>
                <w:rFonts w:cs="Times New Roman"/>
                <w:color w:val="000000"/>
                <w:kern w:val="0"/>
                <w:sz w:val="21"/>
                <w:szCs w:val="21"/>
                <w14:ligatures w14:val="none"/>
              </w:rPr>
              <w:t>类标准</w:t>
            </w:r>
          </w:p>
        </w:tc>
        <w:tc>
          <w:tcPr>
            <w:tcW w:w="395" w:type="pct"/>
            <w:tcBorders>
              <w:top w:val="nil"/>
              <w:left w:val="nil"/>
              <w:bottom w:val="single" w:color="auto" w:sz="8" w:space="0"/>
              <w:right w:val="single" w:color="auto" w:sz="8" w:space="0"/>
            </w:tcBorders>
          </w:tcPr>
          <w:p w14:paraId="3524A5E3">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6～9</w:t>
            </w:r>
          </w:p>
        </w:tc>
        <w:tc>
          <w:tcPr>
            <w:tcW w:w="476" w:type="pct"/>
            <w:tcBorders>
              <w:top w:val="nil"/>
              <w:left w:val="nil"/>
              <w:bottom w:val="single" w:color="auto" w:sz="8" w:space="0"/>
              <w:right w:val="single" w:color="auto" w:sz="8" w:space="0"/>
            </w:tcBorders>
          </w:tcPr>
          <w:p w14:paraId="59FCD89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≤20</w:t>
            </w:r>
          </w:p>
        </w:tc>
        <w:tc>
          <w:tcPr>
            <w:tcW w:w="395" w:type="pct"/>
            <w:tcBorders>
              <w:top w:val="nil"/>
              <w:left w:val="nil"/>
              <w:bottom w:val="single" w:color="auto" w:sz="8" w:space="0"/>
              <w:right w:val="single" w:color="auto" w:sz="8" w:space="0"/>
            </w:tcBorders>
          </w:tcPr>
          <w:p w14:paraId="540E24F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≤1.0</w:t>
            </w:r>
          </w:p>
        </w:tc>
        <w:tc>
          <w:tcPr>
            <w:tcW w:w="476" w:type="pct"/>
            <w:tcBorders>
              <w:top w:val="nil"/>
              <w:left w:val="nil"/>
              <w:bottom w:val="single" w:color="auto" w:sz="8" w:space="0"/>
              <w:right w:val="single" w:color="auto" w:sz="8" w:space="0"/>
            </w:tcBorders>
          </w:tcPr>
          <w:p w14:paraId="3DAD318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≤0.05</w:t>
            </w:r>
          </w:p>
        </w:tc>
        <w:tc>
          <w:tcPr>
            <w:tcW w:w="395" w:type="pct"/>
            <w:tcBorders>
              <w:top w:val="nil"/>
              <w:left w:val="nil"/>
              <w:bottom w:val="single" w:color="auto" w:sz="8" w:space="0"/>
              <w:right w:val="single" w:color="auto" w:sz="8" w:space="0"/>
            </w:tcBorders>
          </w:tcPr>
          <w:p w14:paraId="3853114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≤1.0</w:t>
            </w:r>
          </w:p>
        </w:tc>
        <w:tc>
          <w:tcPr>
            <w:tcW w:w="395" w:type="pct"/>
            <w:tcBorders>
              <w:top w:val="nil"/>
              <w:left w:val="nil"/>
              <w:bottom w:val="single" w:color="auto" w:sz="8" w:space="0"/>
              <w:right w:val="single" w:color="auto" w:sz="8" w:space="0"/>
            </w:tcBorders>
          </w:tcPr>
          <w:p w14:paraId="65CA4122">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≤0.05</w:t>
            </w:r>
          </w:p>
        </w:tc>
        <w:tc>
          <w:tcPr>
            <w:tcW w:w="542" w:type="pct"/>
            <w:tcBorders>
              <w:top w:val="nil"/>
              <w:left w:val="nil"/>
              <w:bottom w:val="single" w:color="auto" w:sz="8" w:space="0"/>
              <w:right w:val="single" w:color="auto" w:sz="8" w:space="0"/>
            </w:tcBorders>
          </w:tcPr>
          <w:p w14:paraId="1B31909E">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≤6</w:t>
            </w:r>
          </w:p>
        </w:tc>
        <w:tc>
          <w:tcPr>
            <w:tcW w:w="395" w:type="pct"/>
            <w:tcBorders>
              <w:top w:val="nil"/>
              <w:left w:val="nil"/>
              <w:bottom w:val="single" w:color="auto" w:sz="8" w:space="0"/>
              <w:right w:val="single" w:color="auto" w:sz="8" w:space="0"/>
            </w:tcBorders>
          </w:tcPr>
          <w:p w14:paraId="5785BA0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≤0.2</w:t>
            </w:r>
          </w:p>
        </w:tc>
        <w:tc>
          <w:tcPr>
            <w:tcW w:w="395" w:type="pct"/>
            <w:tcBorders>
              <w:top w:val="nil"/>
              <w:left w:val="nil"/>
              <w:bottom w:val="single" w:color="auto" w:sz="8" w:space="0"/>
              <w:right w:val="single" w:color="auto" w:sz="8" w:space="0"/>
            </w:tcBorders>
          </w:tcPr>
          <w:p w14:paraId="403E034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≤0.005</w:t>
            </w:r>
          </w:p>
        </w:tc>
      </w:tr>
      <w:tr w14:paraId="6900AC03">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58F6E8B6">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134A7898">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2B0116F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水质指数</w:t>
            </w:r>
          </w:p>
        </w:tc>
        <w:tc>
          <w:tcPr>
            <w:tcW w:w="395" w:type="pct"/>
            <w:tcBorders>
              <w:top w:val="nil"/>
              <w:left w:val="nil"/>
              <w:bottom w:val="single" w:color="auto" w:sz="8" w:space="0"/>
              <w:right w:val="single" w:color="auto" w:sz="8" w:space="0"/>
            </w:tcBorders>
          </w:tcPr>
          <w:p w14:paraId="63DAE0F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0.567 </w:t>
            </w:r>
          </w:p>
        </w:tc>
        <w:tc>
          <w:tcPr>
            <w:tcW w:w="476" w:type="pct"/>
            <w:tcBorders>
              <w:top w:val="nil"/>
              <w:left w:val="nil"/>
              <w:bottom w:val="single" w:color="auto" w:sz="8" w:space="0"/>
              <w:right w:val="single" w:color="auto" w:sz="8" w:space="0"/>
            </w:tcBorders>
          </w:tcPr>
          <w:p w14:paraId="5EF5386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0.68 </w:t>
            </w:r>
          </w:p>
        </w:tc>
        <w:tc>
          <w:tcPr>
            <w:tcW w:w="395" w:type="pct"/>
            <w:tcBorders>
              <w:top w:val="nil"/>
              <w:left w:val="nil"/>
              <w:bottom w:val="single" w:color="auto" w:sz="8" w:space="0"/>
              <w:right w:val="single" w:color="auto" w:sz="8" w:space="0"/>
            </w:tcBorders>
          </w:tcPr>
          <w:p w14:paraId="008184A3">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0.25 </w:t>
            </w:r>
          </w:p>
        </w:tc>
        <w:tc>
          <w:tcPr>
            <w:tcW w:w="476" w:type="pct"/>
            <w:tcBorders>
              <w:top w:val="nil"/>
              <w:left w:val="nil"/>
              <w:bottom w:val="single" w:color="auto" w:sz="8" w:space="0"/>
              <w:right w:val="single" w:color="auto" w:sz="8" w:space="0"/>
            </w:tcBorders>
          </w:tcPr>
          <w:p w14:paraId="03CA240E">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0.60 </w:t>
            </w:r>
          </w:p>
        </w:tc>
        <w:tc>
          <w:tcPr>
            <w:tcW w:w="395" w:type="pct"/>
            <w:tcBorders>
              <w:top w:val="nil"/>
              <w:left w:val="nil"/>
              <w:bottom w:val="single" w:color="auto" w:sz="8" w:space="0"/>
              <w:right w:val="single" w:color="auto" w:sz="8" w:space="0"/>
            </w:tcBorders>
          </w:tcPr>
          <w:p w14:paraId="7CD5E17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0.48 </w:t>
            </w:r>
          </w:p>
        </w:tc>
        <w:tc>
          <w:tcPr>
            <w:tcW w:w="395" w:type="pct"/>
            <w:tcBorders>
              <w:top w:val="nil"/>
              <w:left w:val="nil"/>
              <w:bottom w:val="single" w:color="auto" w:sz="8" w:space="0"/>
              <w:right w:val="single" w:color="auto" w:sz="8" w:space="0"/>
            </w:tcBorders>
          </w:tcPr>
          <w:p w14:paraId="34374FEE">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c>
          <w:tcPr>
            <w:tcW w:w="542" w:type="pct"/>
            <w:tcBorders>
              <w:top w:val="nil"/>
              <w:left w:val="nil"/>
              <w:bottom w:val="single" w:color="auto" w:sz="8" w:space="0"/>
              <w:right w:val="single" w:color="auto" w:sz="8" w:space="0"/>
            </w:tcBorders>
          </w:tcPr>
          <w:p w14:paraId="490232CE">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0.50 </w:t>
            </w:r>
          </w:p>
        </w:tc>
        <w:tc>
          <w:tcPr>
            <w:tcW w:w="395" w:type="pct"/>
            <w:tcBorders>
              <w:top w:val="nil"/>
              <w:left w:val="nil"/>
              <w:bottom w:val="single" w:color="auto" w:sz="8" w:space="0"/>
              <w:right w:val="single" w:color="auto" w:sz="8" w:space="0"/>
            </w:tcBorders>
          </w:tcPr>
          <w:p w14:paraId="7463DE6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c>
          <w:tcPr>
            <w:tcW w:w="395" w:type="pct"/>
            <w:tcBorders>
              <w:top w:val="nil"/>
              <w:left w:val="nil"/>
              <w:bottom w:val="single" w:color="auto" w:sz="8" w:space="0"/>
              <w:right w:val="single" w:color="auto" w:sz="8" w:space="0"/>
            </w:tcBorders>
          </w:tcPr>
          <w:p w14:paraId="3657FFE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r>
      <w:tr w14:paraId="73C6773A">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59D3D54A">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2EAA6ECC">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5B6945B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超标率</w:t>
            </w:r>
          </w:p>
        </w:tc>
        <w:tc>
          <w:tcPr>
            <w:tcW w:w="395" w:type="pct"/>
            <w:tcBorders>
              <w:top w:val="nil"/>
              <w:left w:val="nil"/>
              <w:bottom w:val="single" w:color="auto" w:sz="8" w:space="0"/>
              <w:right w:val="single" w:color="auto" w:sz="8" w:space="0"/>
            </w:tcBorders>
          </w:tcPr>
          <w:p w14:paraId="70A3C9B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476" w:type="pct"/>
            <w:tcBorders>
              <w:top w:val="nil"/>
              <w:left w:val="nil"/>
              <w:bottom w:val="single" w:color="auto" w:sz="8" w:space="0"/>
              <w:right w:val="single" w:color="auto" w:sz="8" w:space="0"/>
            </w:tcBorders>
          </w:tcPr>
          <w:p w14:paraId="567DEAE3">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37A8E0E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476" w:type="pct"/>
            <w:tcBorders>
              <w:top w:val="nil"/>
              <w:left w:val="nil"/>
              <w:bottom w:val="single" w:color="auto" w:sz="8" w:space="0"/>
              <w:right w:val="single" w:color="auto" w:sz="8" w:space="0"/>
            </w:tcBorders>
          </w:tcPr>
          <w:p w14:paraId="64C8E0F9">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096B8F3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7E630EBE">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542" w:type="pct"/>
            <w:tcBorders>
              <w:top w:val="nil"/>
              <w:left w:val="nil"/>
              <w:bottom w:val="single" w:color="auto" w:sz="8" w:space="0"/>
              <w:right w:val="single" w:color="auto" w:sz="8" w:space="0"/>
            </w:tcBorders>
          </w:tcPr>
          <w:p w14:paraId="39398B5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6FA2FC8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5ABF30F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r>
      <w:tr w14:paraId="28B4D74D">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1FD8E3CF">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5EA839DD">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6C0BFE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达标情况</w:t>
            </w:r>
          </w:p>
        </w:tc>
        <w:tc>
          <w:tcPr>
            <w:tcW w:w="395" w:type="pct"/>
            <w:tcBorders>
              <w:top w:val="nil"/>
              <w:left w:val="nil"/>
              <w:bottom w:val="single" w:color="auto" w:sz="8" w:space="0"/>
              <w:right w:val="single" w:color="auto" w:sz="8" w:space="0"/>
            </w:tcBorders>
          </w:tcPr>
          <w:p w14:paraId="5B8FF5D6">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476" w:type="pct"/>
            <w:tcBorders>
              <w:top w:val="nil"/>
              <w:left w:val="nil"/>
              <w:bottom w:val="single" w:color="auto" w:sz="8" w:space="0"/>
              <w:right w:val="single" w:color="auto" w:sz="8" w:space="0"/>
            </w:tcBorders>
          </w:tcPr>
          <w:p w14:paraId="3CD6EDA1">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1C671FFE">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476" w:type="pct"/>
            <w:tcBorders>
              <w:top w:val="nil"/>
              <w:left w:val="nil"/>
              <w:bottom w:val="single" w:color="auto" w:sz="8" w:space="0"/>
              <w:right w:val="single" w:color="auto" w:sz="8" w:space="0"/>
            </w:tcBorders>
          </w:tcPr>
          <w:p w14:paraId="3B431955">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182FA55A">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76E72E81">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542" w:type="pct"/>
            <w:tcBorders>
              <w:top w:val="nil"/>
              <w:left w:val="nil"/>
              <w:bottom w:val="single" w:color="auto" w:sz="8" w:space="0"/>
              <w:right w:val="single" w:color="auto" w:sz="8" w:space="0"/>
            </w:tcBorders>
          </w:tcPr>
          <w:p w14:paraId="1DF00FA3">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1D94B4F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6CEF058D">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r>
      <w:tr w14:paraId="568F9B33">
        <w:tblPrEx>
          <w:tblCellMar>
            <w:top w:w="0" w:type="dxa"/>
            <w:left w:w="108" w:type="dxa"/>
            <w:bottom w:w="0" w:type="dxa"/>
            <w:right w:w="108" w:type="dxa"/>
          </w:tblCellMar>
        </w:tblPrEx>
        <w:trPr>
          <w:trHeight w:val="300" w:hRule="atLeast"/>
        </w:trPr>
        <w:tc>
          <w:tcPr>
            <w:tcW w:w="243" w:type="pct"/>
            <w:vMerge w:val="restart"/>
            <w:tcBorders>
              <w:top w:val="nil"/>
              <w:left w:val="single" w:color="auto" w:sz="8" w:space="0"/>
              <w:bottom w:val="single" w:color="000000" w:sz="8" w:space="0"/>
              <w:right w:val="single" w:color="auto" w:sz="8" w:space="0"/>
            </w:tcBorders>
            <w:vAlign w:val="center"/>
          </w:tcPr>
          <w:p w14:paraId="3CB4802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W10</w:t>
            </w:r>
          </w:p>
        </w:tc>
        <w:tc>
          <w:tcPr>
            <w:tcW w:w="498" w:type="pct"/>
            <w:vMerge w:val="restart"/>
            <w:tcBorders>
              <w:top w:val="nil"/>
              <w:left w:val="single" w:color="auto" w:sz="8" w:space="0"/>
              <w:bottom w:val="single" w:color="000000" w:sz="8" w:space="0"/>
              <w:right w:val="single" w:color="auto" w:sz="8" w:space="0"/>
            </w:tcBorders>
            <w:vAlign w:val="center"/>
          </w:tcPr>
          <w:p w14:paraId="73A580E7">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向阳水库</w:t>
            </w:r>
          </w:p>
        </w:tc>
        <w:tc>
          <w:tcPr>
            <w:tcW w:w="395" w:type="pct"/>
            <w:tcBorders>
              <w:top w:val="nil"/>
              <w:left w:val="nil"/>
              <w:bottom w:val="single" w:color="auto" w:sz="8" w:space="0"/>
              <w:right w:val="single" w:color="auto" w:sz="8" w:space="0"/>
            </w:tcBorders>
            <w:vAlign w:val="center"/>
          </w:tcPr>
          <w:p w14:paraId="2F4F203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最小值</w:t>
            </w:r>
          </w:p>
        </w:tc>
        <w:tc>
          <w:tcPr>
            <w:tcW w:w="395" w:type="pct"/>
            <w:tcBorders>
              <w:top w:val="nil"/>
              <w:left w:val="nil"/>
              <w:bottom w:val="single" w:color="auto" w:sz="8" w:space="0"/>
              <w:right w:val="single" w:color="auto" w:sz="8" w:space="0"/>
            </w:tcBorders>
          </w:tcPr>
          <w:p w14:paraId="0993D96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7.80 </w:t>
            </w:r>
          </w:p>
        </w:tc>
        <w:tc>
          <w:tcPr>
            <w:tcW w:w="476" w:type="pct"/>
            <w:tcBorders>
              <w:top w:val="nil"/>
              <w:left w:val="nil"/>
              <w:bottom w:val="single" w:color="auto" w:sz="8" w:space="0"/>
              <w:right w:val="single" w:color="auto" w:sz="8" w:space="0"/>
            </w:tcBorders>
          </w:tcPr>
          <w:p w14:paraId="08078B0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13</w:t>
            </w:r>
          </w:p>
        </w:tc>
        <w:tc>
          <w:tcPr>
            <w:tcW w:w="395" w:type="pct"/>
            <w:tcBorders>
              <w:top w:val="nil"/>
              <w:left w:val="nil"/>
              <w:bottom w:val="single" w:color="auto" w:sz="8" w:space="0"/>
              <w:right w:val="single" w:color="auto" w:sz="8" w:space="0"/>
            </w:tcBorders>
          </w:tcPr>
          <w:p w14:paraId="246D39C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0.231</w:t>
            </w:r>
          </w:p>
        </w:tc>
        <w:tc>
          <w:tcPr>
            <w:tcW w:w="476" w:type="pct"/>
            <w:tcBorders>
              <w:top w:val="nil"/>
              <w:left w:val="nil"/>
              <w:bottom w:val="single" w:color="auto" w:sz="8" w:space="0"/>
              <w:right w:val="single" w:color="auto" w:sz="8" w:space="0"/>
            </w:tcBorders>
          </w:tcPr>
          <w:p w14:paraId="0D4E3D8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0.03</w:t>
            </w:r>
          </w:p>
        </w:tc>
        <w:tc>
          <w:tcPr>
            <w:tcW w:w="395" w:type="pct"/>
            <w:tcBorders>
              <w:top w:val="nil"/>
              <w:left w:val="nil"/>
              <w:bottom w:val="single" w:color="auto" w:sz="8" w:space="0"/>
              <w:right w:val="single" w:color="auto" w:sz="8" w:space="0"/>
            </w:tcBorders>
          </w:tcPr>
          <w:p w14:paraId="0D9BC47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0.403</w:t>
            </w:r>
          </w:p>
        </w:tc>
        <w:tc>
          <w:tcPr>
            <w:tcW w:w="395" w:type="pct"/>
            <w:tcBorders>
              <w:top w:val="nil"/>
              <w:left w:val="nil"/>
              <w:bottom w:val="single" w:color="auto" w:sz="8" w:space="0"/>
              <w:right w:val="single" w:color="auto" w:sz="8" w:space="0"/>
            </w:tcBorders>
          </w:tcPr>
          <w:p w14:paraId="2BCC708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542" w:type="pct"/>
            <w:tcBorders>
              <w:top w:val="nil"/>
              <w:left w:val="nil"/>
              <w:bottom w:val="single" w:color="auto" w:sz="8" w:space="0"/>
              <w:right w:val="single" w:color="auto" w:sz="8" w:space="0"/>
            </w:tcBorders>
          </w:tcPr>
          <w:p w14:paraId="5D04E0F3">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2.6</w:t>
            </w:r>
          </w:p>
        </w:tc>
        <w:tc>
          <w:tcPr>
            <w:tcW w:w="395" w:type="pct"/>
            <w:tcBorders>
              <w:top w:val="nil"/>
              <w:left w:val="nil"/>
              <w:bottom w:val="single" w:color="auto" w:sz="8" w:space="0"/>
              <w:right w:val="single" w:color="auto" w:sz="8" w:space="0"/>
            </w:tcBorders>
          </w:tcPr>
          <w:p w14:paraId="1F36AD2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395" w:type="pct"/>
            <w:tcBorders>
              <w:top w:val="nil"/>
              <w:left w:val="nil"/>
              <w:bottom w:val="single" w:color="auto" w:sz="8" w:space="0"/>
              <w:right w:val="single" w:color="auto" w:sz="8" w:space="0"/>
            </w:tcBorders>
          </w:tcPr>
          <w:p w14:paraId="0F9EB4E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r>
      <w:tr w14:paraId="5CC13CE9">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5E41C8B8">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1CBE28D7">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46318C75">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最大值</w:t>
            </w:r>
          </w:p>
        </w:tc>
        <w:tc>
          <w:tcPr>
            <w:tcW w:w="395" w:type="pct"/>
            <w:tcBorders>
              <w:top w:val="nil"/>
              <w:left w:val="nil"/>
              <w:bottom w:val="single" w:color="auto" w:sz="8" w:space="0"/>
              <w:right w:val="single" w:color="auto" w:sz="8" w:space="0"/>
            </w:tcBorders>
          </w:tcPr>
          <w:p w14:paraId="75E641D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8.20 </w:t>
            </w:r>
          </w:p>
        </w:tc>
        <w:tc>
          <w:tcPr>
            <w:tcW w:w="476" w:type="pct"/>
            <w:tcBorders>
              <w:top w:val="nil"/>
              <w:left w:val="nil"/>
              <w:bottom w:val="single" w:color="auto" w:sz="8" w:space="0"/>
              <w:right w:val="single" w:color="auto" w:sz="8" w:space="0"/>
            </w:tcBorders>
          </w:tcPr>
          <w:p w14:paraId="1D79A19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16</w:t>
            </w:r>
          </w:p>
        </w:tc>
        <w:tc>
          <w:tcPr>
            <w:tcW w:w="395" w:type="pct"/>
            <w:tcBorders>
              <w:top w:val="nil"/>
              <w:left w:val="nil"/>
              <w:bottom w:val="single" w:color="auto" w:sz="8" w:space="0"/>
              <w:right w:val="single" w:color="auto" w:sz="8" w:space="0"/>
            </w:tcBorders>
          </w:tcPr>
          <w:p w14:paraId="5E37E8E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0.268</w:t>
            </w:r>
          </w:p>
        </w:tc>
        <w:tc>
          <w:tcPr>
            <w:tcW w:w="476" w:type="pct"/>
            <w:tcBorders>
              <w:top w:val="nil"/>
              <w:left w:val="nil"/>
              <w:bottom w:val="single" w:color="auto" w:sz="8" w:space="0"/>
              <w:right w:val="single" w:color="auto" w:sz="8" w:space="0"/>
            </w:tcBorders>
          </w:tcPr>
          <w:p w14:paraId="21EECCB9">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0.07</w:t>
            </w:r>
          </w:p>
        </w:tc>
        <w:tc>
          <w:tcPr>
            <w:tcW w:w="395" w:type="pct"/>
            <w:tcBorders>
              <w:top w:val="nil"/>
              <w:left w:val="nil"/>
              <w:bottom w:val="single" w:color="auto" w:sz="8" w:space="0"/>
              <w:right w:val="single" w:color="auto" w:sz="8" w:space="0"/>
            </w:tcBorders>
          </w:tcPr>
          <w:p w14:paraId="613090C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0.648</w:t>
            </w:r>
          </w:p>
        </w:tc>
        <w:tc>
          <w:tcPr>
            <w:tcW w:w="395" w:type="pct"/>
            <w:tcBorders>
              <w:top w:val="nil"/>
              <w:left w:val="nil"/>
              <w:bottom w:val="single" w:color="auto" w:sz="8" w:space="0"/>
              <w:right w:val="single" w:color="auto" w:sz="8" w:space="0"/>
            </w:tcBorders>
          </w:tcPr>
          <w:p w14:paraId="1F2EE54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542" w:type="pct"/>
            <w:tcBorders>
              <w:top w:val="nil"/>
              <w:left w:val="nil"/>
              <w:bottom w:val="single" w:color="auto" w:sz="8" w:space="0"/>
              <w:right w:val="single" w:color="auto" w:sz="8" w:space="0"/>
            </w:tcBorders>
          </w:tcPr>
          <w:p w14:paraId="651EBD7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3</w:t>
            </w:r>
          </w:p>
        </w:tc>
        <w:tc>
          <w:tcPr>
            <w:tcW w:w="395" w:type="pct"/>
            <w:tcBorders>
              <w:top w:val="nil"/>
              <w:left w:val="nil"/>
              <w:bottom w:val="single" w:color="auto" w:sz="8" w:space="0"/>
              <w:right w:val="single" w:color="auto" w:sz="8" w:space="0"/>
            </w:tcBorders>
          </w:tcPr>
          <w:p w14:paraId="675774E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395" w:type="pct"/>
            <w:tcBorders>
              <w:top w:val="nil"/>
              <w:left w:val="nil"/>
              <w:bottom w:val="single" w:color="auto" w:sz="8" w:space="0"/>
              <w:right w:val="single" w:color="auto" w:sz="8" w:space="0"/>
            </w:tcBorders>
          </w:tcPr>
          <w:p w14:paraId="212D2A6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r>
      <w:tr w14:paraId="4120ECFC">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7C4AA203">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56365875">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DEC54A5">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平均值</w:t>
            </w:r>
          </w:p>
        </w:tc>
        <w:tc>
          <w:tcPr>
            <w:tcW w:w="395" w:type="pct"/>
            <w:tcBorders>
              <w:top w:val="nil"/>
              <w:left w:val="nil"/>
              <w:bottom w:val="single" w:color="auto" w:sz="8" w:space="0"/>
              <w:right w:val="single" w:color="auto" w:sz="8" w:space="0"/>
            </w:tcBorders>
          </w:tcPr>
          <w:p w14:paraId="6E783D7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7.95 </w:t>
            </w:r>
          </w:p>
        </w:tc>
        <w:tc>
          <w:tcPr>
            <w:tcW w:w="476" w:type="pct"/>
            <w:tcBorders>
              <w:top w:val="nil"/>
              <w:left w:val="nil"/>
              <w:bottom w:val="single" w:color="auto" w:sz="8" w:space="0"/>
              <w:right w:val="single" w:color="auto" w:sz="8" w:space="0"/>
            </w:tcBorders>
          </w:tcPr>
          <w:p w14:paraId="15DB046E">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14.33 </w:t>
            </w:r>
          </w:p>
        </w:tc>
        <w:tc>
          <w:tcPr>
            <w:tcW w:w="395" w:type="pct"/>
            <w:tcBorders>
              <w:top w:val="nil"/>
              <w:left w:val="nil"/>
              <w:bottom w:val="single" w:color="auto" w:sz="8" w:space="0"/>
              <w:right w:val="single" w:color="auto" w:sz="8" w:space="0"/>
            </w:tcBorders>
          </w:tcPr>
          <w:p w14:paraId="0E45AFB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0.25 </w:t>
            </w:r>
          </w:p>
        </w:tc>
        <w:tc>
          <w:tcPr>
            <w:tcW w:w="476" w:type="pct"/>
            <w:tcBorders>
              <w:top w:val="nil"/>
              <w:left w:val="nil"/>
              <w:bottom w:val="single" w:color="auto" w:sz="8" w:space="0"/>
              <w:right w:val="single" w:color="auto" w:sz="8" w:space="0"/>
            </w:tcBorders>
          </w:tcPr>
          <w:p w14:paraId="22733C2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0.04 </w:t>
            </w:r>
          </w:p>
        </w:tc>
        <w:tc>
          <w:tcPr>
            <w:tcW w:w="395" w:type="pct"/>
            <w:tcBorders>
              <w:top w:val="nil"/>
              <w:left w:val="nil"/>
              <w:bottom w:val="single" w:color="auto" w:sz="8" w:space="0"/>
              <w:right w:val="single" w:color="auto" w:sz="8" w:space="0"/>
            </w:tcBorders>
          </w:tcPr>
          <w:p w14:paraId="39D765E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0.54 </w:t>
            </w:r>
          </w:p>
        </w:tc>
        <w:tc>
          <w:tcPr>
            <w:tcW w:w="395" w:type="pct"/>
            <w:tcBorders>
              <w:top w:val="nil"/>
              <w:left w:val="nil"/>
              <w:bottom w:val="single" w:color="auto" w:sz="8" w:space="0"/>
              <w:right w:val="single" w:color="auto" w:sz="8" w:space="0"/>
            </w:tcBorders>
          </w:tcPr>
          <w:p w14:paraId="176C4E0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542" w:type="pct"/>
            <w:tcBorders>
              <w:top w:val="nil"/>
              <w:left w:val="nil"/>
              <w:bottom w:val="single" w:color="auto" w:sz="8" w:space="0"/>
              <w:right w:val="single" w:color="auto" w:sz="8" w:space="0"/>
            </w:tcBorders>
          </w:tcPr>
          <w:p w14:paraId="30FAC5A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2.80 </w:t>
            </w:r>
          </w:p>
        </w:tc>
        <w:tc>
          <w:tcPr>
            <w:tcW w:w="395" w:type="pct"/>
            <w:tcBorders>
              <w:top w:val="nil"/>
              <w:left w:val="nil"/>
              <w:bottom w:val="single" w:color="auto" w:sz="8" w:space="0"/>
              <w:right w:val="single" w:color="auto" w:sz="8" w:space="0"/>
            </w:tcBorders>
          </w:tcPr>
          <w:p w14:paraId="1F7D605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395" w:type="pct"/>
            <w:tcBorders>
              <w:top w:val="nil"/>
              <w:left w:val="nil"/>
              <w:bottom w:val="single" w:color="auto" w:sz="8" w:space="0"/>
              <w:right w:val="single" w:color="auto" w:sz="8" w:space="0"/>
            </w:tcBorders>
          </w:tcPr>
          <w:p w14:paraId="27E6178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r>
      <w:tr w14:paraId="7208D4EF">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273044B5">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01C8A056">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08BBA8C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r>
              <w:rPr>
                <w:rFonts w:cs="Times New Roman"/>
                <w:color w:val="000000"/>
                <w:kern w:val="0"/>
                <w:sz w:val="21"/>
                <w:szCs w:val="21"/>
                <w14:ligatures w14:val="none"/>
              </w:rPr>
              <w:t>类标准</w:t>
            </w:r>
          </w:p>
        </w:tc>
        <w:tc>
          <w:tcPr>
            <w:tcW w:w="395" w:type="pct"/>
            <w:tcBorders>
              <w:top w:val="nil"/>
              <w:left w:val="nil"/>
              <w:bottom w:val="single" w:color="auto" w:sz="8" w:space="0"/>
              <w:right w:val="single" w:color="auto" w:sz="8" w:space="0"/>
            </w:tcBorders>
          </w:tcPr>
          <w:p w14:paraId="2246DA93">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6～9</w:t>
            </w:r>
          </w:p>
        </w:tc>
        <w:tc>
          <w:tcPr>
            <w:tcW w:w="476" w:type="pct"/>
            <w:tcBorders>
              <w:top w:val="nil"/>
              <w:left w:val="nil"/>
              <w:bottom w:val="single" w:color="auto" w:sz="8" w:space="0"/>
              <w:right w:val="single" w:color="auto" w:sz="8" w:space="0"/>
            </w:tcBorders>
          </w:tcPr>
          <w:p w14:paraId="133C02A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≤20</w:t>
            </w:r>
          </w:p>
        </w:tc>
        <w:tc>
          <w:tcPr>
            <w:tcW w:w="395" w:type="pct"/>
            <w:tcBorders>
              <w:top w:val="nil"/>
              <w:left w:val="nil"/>
              <w:bottom w:val="single" w:color="auto" w:sz="8" w:space="0"/>
              <w:right w:val="single" w:color="auto" w:sz="8" w:space="0"/>
            </w:tcBorders>
          </w:tcPr>
          <w:p w14:paraId="003F63CE">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≤1.0</w:t>
            </w:r>
          </w:p>
        </w:tc>
        <w:tc>
          <w:tcPr>
            <w:tcW w:w="476" w:type="pct"/>
            <w:tcBorders>
              <w:top w:val="nil"/>
              <w:left w:val="nil"/>
              <w:bottom w:val="single" w:color="auto" w:sz="8" w:space="0"/>
              <w:right w:val="single" w:color="auto" w:sz="8" w:space="0"/>
            </w:tcBorders>
          </w:tcPr>
          <w:p w14:paraId="1AE4937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≤0.05</w:t>
            </w:r>
          </w:p>
        </w:tc>
        <w:tc>
          <w:tcPr>
            <w:tcW w:w="395" w:type="pct"/>
            <w:tcBorders>
              <w:top w:val="nil"/>
              <w:left w:val="nil"/>
              <w:bottom w:val="single" w:color="auto" w:sz="8" w:space="0"/>
              <w:right w:val="single" w:color="auto" w:sz="8" w:space="0"/>
            </w:tcBorders>
          </w:tcPr>
          <w:p w14:paraId="4DFA123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≤1.0</w:t>
            </w:r>
          </w:p>
        </w:tc>
        <w:tc>
          <w:tcPr>
            <w:tcW w:w="395" w:type="pct"/>
            <w:tcBorders>
              <w:top w:val="nil"/>
              <w:left w:val="nil"/>
              <w:bottom w:val="single" w:color="auto" w:sz="8" w:space="0"/>
              <w:right w:val="single" w:color="auto" w:sz="8" w:space="0"/>
            </w:tcBorders>
          </w:tcPr>
          <w:p w14:paraId="0D998743">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≤0.05</w:t>
            </w:r>
          </w:p>
        </w:tc>
        <w:tc>
          <w:tcPr>
            <w:tcW w:w="542" w:type="pct"/>
            <w:tcBorders>
              <w:top w:val="nil"/>
              <w:left w:val="nil"/>
              <w:bottom w:val="single" w:color="auto" w:sz="8" w:space="0"/>
              <w:right w:val="single" w:color="auto" w:sz="8" w:space="0"/>
            </w:tcBorders>
          </w:tcPr>
          <w:p w14:paraId="55E6C4D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≤6</w:t>
            </w:r>
          </w:p>
        </w:tc>
        <w:tc>
          <w:tcPr>
            <w:tcW w:w="395" w:type="pct"/>
            <w:tcBorders>
              <w:top w:val="nil"/>
              <w:left w:val="nil"/>
              <w:bottom w:val="single" w:color="auto" w:sz="8" w:space="0"/>
              <w:right w:val="single" w:color="auto" w:sz="8" w:space="0"/>
            </w:tcBorders>
          </w:tcPr>
          <w:p w14:paraId="111A727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≤0.2</w:t>
            </w:r>
          </w:p>
        </w:tc>
        <w:tc>
          <w:tcPr>
            <w:tcW w:w="395" w:type="pct"/>
            <w:tcBorders>
              <w:top w:val="nil"/>
              <w:left w:val="nil"/>
              <w:bottom w:val="single" w:color="auto" w:sz="8" w:space="0"/>
              <w:right w:val="single" w:color="auto" w:sz="8" w:space="0"/>
            </w:tcBorders>
          </w:tcPr>
          <w:p w14:paraId="3EA599C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≤0.005</w:t>
            </w:r>
          </w:p>
        </w:tc>
      </w:tr>
      <w:tr w14:paraId="5845FBD8">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57DDC1C5">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715F8099">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7D56C35">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水质指数</w:t>
            </w:r>
          </w:p>
        </w:tc>
        <w:tc>
          <w:tcPr>
            <w:tcW w:w="395" w:type="pct"/>
            <w:tcBorders>
              <w:top w:val="nil"/>
              <w:left w:val="nil"/>
              <w:bottom w:val="single" w:color="auto" w:sz="8" w:space="0"/>
              <w:right w:val="single" w:color="auto" w:sz="8" w:space="0"/>
            </w:tcBorders>
          </w:tcPr>
          <w:p w14:paraId="51A52C8E">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0.475 </w:t>
            </w:r>
          </w:p>
        </w:tc>
        <w:tc>
          <w:tcPr>
            <w:tcW w:w="476" w:type="pct"/>
            <w:tcBorders>
              <w:top w:val="nil"/>
              <w:left w:val="nil"/>
              <w:bottom w:val="single" w:color="auto" w:sz="8" w:space="0"/>
              <w:right w:val="single" w:color="auto" w:sz="8" w:space="0"/>
            </w:tcBorders>
          </w:tcPr>
          <w:p w14:paraId="48AB34C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0.72 </w:t>
            </w:r>
          </w:p>
        </w:tc>
        <w:tc>
          <w:tcPr>
            <w:tcW w:w="395" w:type="pct"/>
            <w:tcBorders>
              <w:top w:val="nil"/>
              <w:left w:val="nil"/>
              <w:bottom w:val="single" w:color="auto" w:sz="8" w:space="0"/>
              <w:right w:val="single" w:color="auto" w:sz="8" w:space="0"/>
            </w:tcBorders>
          </w:tcPr>
          <w:p w14:paraId="6B1587E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0.25 </w:t>
            </w:r>
          </w:p>
        </w:tc>
        <w:tc>
          <w:tcPr>
            <w:tcW w:w="476" w:type="pct"/>
            <w:tcBorders>
              <w:top w:val="nil"/>
              <w:left w:val="nil"/>
              <w:bottom w:val="single" w:color="auto" w:sz="8" w:space="0"/>
              <w:right w:val="single" w:color="auto" w:sz="8" w:space="0"/>
            </w:tcBorders>
          </w:tcPr>
          <w:p w14:paraId="340C2E5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0.87 </w:t>
            </w:r>
          </w:p>
        </w:tc>
        <w:tc>
          <w:tcPr>
            <w:tcW w:w="395" w:type="pct"/>
            <w:tcBorders>
              <w:top w:val="nil"/>
              <w:left w:val="nil"/>
              <w:bottom w:val="single" w:color="auto" w:sz="8" w:space="0"/>
              <w:right w:val="single" w:color="auto" w:sz="8" w:space="0"/>
            </w:tcBorders>
          </w:tcPr>
          <w:p w14:paraId="525AB61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0.54 </w:t>
            </w:r>
          </w:p>
        </w:tc>
        <w:tc>
          <w:tcPr>
            <w:tcW w:w="395" w:type="pct"/>
            <w:tcBorders>
              <w:top w:val="nil"/>
              <w:left w:val="nil"/>
              <w:bottom w:val="single" w:color="auto" w:sz="8" w:space="0"/>
              <w:right w:val="single" w:color="auto" w:sz="8" w:space="0"/>
            </w:tcBorders>
          </w:tcPr>
          <w:p w14:paraId="7D078AAE">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c>
          <w:tcPr>
            <w:tcW w:w="542" w:type="pct"/>
            <w:tcBorders>
              <w:top w:val="nil"/>
              <w:left w:val="nil"/>
              <w:bottom w:val="single" w:color="auto" w:sz="8" w:space="0"/>
              <w:right w:val="single" w:color="auto" w:sz="8" w:space="0"/>
            </w:tcBorders>
          </w:tcPr>
          <w:p w14:paraId="2560339E">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0.47 </w:t>
            </w:r>
          </w:p>
        </w:tc>
        <w:tc>
          <w:tcPr>
            <w:tcW w:w="395" w:type="pct"/>
            <w:tcBorders>
              <w:top w:val="nil"/>
              <w:left w:val="nil"/>
              <w:bottom w:val="single" w:color="auto" w:sz="8" w:space="0"/>
              <w:right w:val="single" w:color="auto" w:sz="8" w:space="0"/>
            </w:tcBorders>
          </w:tcPr>
          <w:p w14:paraId="76A8F85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c>
          <w:tcPr>
            <w:tcW w:w="395" w:type="pct"/>
            <w:tcBorders>
              <w:top w:val="nil"/>
              <w:left w:val="nil"/>
              <w:bottom w:val="single" w:color="auto" w:sz="8" w:space="0"/>
              <w:right w:val="single" w:color="auto" w:sz="8" w:space="0"/>
            </w:tcBorders>
          </w:tcPr>
          <w:p w14:paraId="4B4CB19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r>
      <w:tr w14:paraId="69C0F9E6">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0FDB6F54">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704AA588">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ABD3F3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超标率</w:t>
            </w:r>
          </w:p>
        </w:tc>
        <w:tc>
          <w:tcPr>
            <w:tcW w:w="395" w:type="pct"/>
            <w:tcBorders>
              <w:top w:val="nil"/>
              <w:left w:val="nil"/>
              <w:bottom w:val="single" w:color="auto" w:sz="8" w:space="0"/>
              <w:right w:val="single" w:color="auto" w:sz="8" w:space="0"/>
            </w:tcBorders>
          </w:tcPr>
          <w:p w14:paraId="492E7DD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476" w:type="pct"/>
            <w:tcBorders>
              <w:top w:val="nil"/>
              <w:left w:val="nil"/>
              <w:bottom w:val="single" w:color="auto" w:sz="8" w:space="0"/>
              <w:right w:val="single" w:color="auto" w:sz="8" w:space="0"/>
            </w:tcBorders>
          </w:tcPr>
          <w:p w14:paraId="179E73C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34CB740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476" w:type="pct"/>
            <w:tcBorders>
              <w:top w:val="nil"/>
              <w:left w:val="nil"/>
              <w:bottom w:val="single" w:color="auto" w:sz="8" w:space="0"/>
              <w:right w:val="single" w:color="auto" w:sz="8" w:space="0"/>
            </w:tcBorders>
          </w:tcPr>
          <w:p w14:paraId="7C2E0960">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0D2A9ED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371D48D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542" w:type="pct"/>
            <w:tcBorders>
              <w:top w:val="nil"/>
              <w:left w:val="nil"/>
              <w:bottom w:val="single" w:color="auto" w:sz="8" w:space="0"/>
              <w:right w:val="single" w:color="auto" w:sz="8" w:space="0"/>
            </w:tcBorders>
          </w:tcPr>
          <w:p w14:paraId="7980680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4E239B0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470018B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r>
      <w:tr w14:paraId="5E42D831">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2B3FC918">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49125DB5">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60A1C73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达标情况</w:t>
            </w:r>
          </w:p>
        </w:tc>
        <w:tc>
          <w:tcPr>
            <w:tcW w:w="395" w:type="pct"/>
            <w:tcBorders>
              <w:top w:val="nil"/>
              <w:left w:val="nil"/>
              <w:bottom w:val="single" w:color="auto" w:sz="8" w:space="0"/>
              <w:right w:val="single" w:color="auto" w:sz="8" w:space="0"/>
            </w:tcBorders>
          </w:tcPr>
          <w:p w14:paraId="39654AE0">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476" w:type="pct"/>
            <w:tcBorders>
              <w:top w:val="nil"/>
              <w:left w:val="nil"/>
              <w:bottom w:val="single" w:color="auto" w:sz="8" w:space="0"/>
              <w:right w:val="single" w:color="auto" w:sz="8" w:space="0"/>
            </w:tcBorders>
          </w:tcPr>
          <w:p w14:paraId="7DF6336F">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69203523">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476" w:type="pct"/>
            <w:tcBorders>
              <w:top w:val="nil"/>
              <w:left w:val="nil"/>
              <w:bottom w:val="single" w:color="auto" w:sz="8" w:space="0"/>
              <w:right w:val="single" w:color="auto" w:sz="8" w:space="0"/>
            </w:tcBorders>
          </w:tcPr>
          <w:p w14:paraId="13A37DD2">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021EAFAB">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6E45E672">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542" w:type="pct"/>
            <w:tcBorders>
              <w:top w:val="nil"/>
              <w:left w:val="nil"/>
              <w:bottom w:val="single" w:color="auto" w:sz="8" w:space="0"/>
              <w:right w:val="single" w:color="auto" w:sz="8" w:space="0"/>
            </w:tcBorders>
          </w:tcPr>
          <w:p w14:paraId="0AA68D85">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328FD34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52A9FC5A">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r>
      <w:tr w14:paraId="5BC798BC">
        <w:tblPrEx>
          <w:tblCellMar>
            <w:top w:w="0" w:type="dxa"/>
            <w:left w:w="108" w:type="dxa"/>
            <w:bottom w:w="0" w:type="dxa"/>
            <w:right w:w="108" w:type="dxa"/>
          </w:tblCellMar>
        </w:tblPrEx>
        <w:trPr>
          <w:trHeight w:val="300" w:hRule="atLeast"/>
        </w:trPr>
        <w:tc>
          <w:tcPr>
            <w:tcW w:w="243" w:type="pct"/>
            <w:vMerge w:val="restart"/>
            <w:tcBorders>
              <w:top w:val="nil"/>
              <w:left w:val="single" w:color="auto" w:sz="8" w:space="0"/>
              <w:bottom w:val="single" w:color="000000" w:sz="8" w:space="0"/>
              <w:right w:val="single" w:color="auto" w:sz="8" w:space="0"/>
            </w:tcBorders>
            <w:vAlign w:val="center"/>
          </w:tcPr>
          <w:p w14:paraId="456CC54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W11</w:t>
            </w:r>
          </w:p>
        </w:tc>
        <w:tc>
          <w:tcPr>
            <w:tcW w:w="498" w:type="pct"/>
            <w:vMerge w:val="restart"/>
            <w:tcBorders>
              <w:top w:val="nil"/>
              <w:left w:val="single" w:color="auto" w:sz="8" w:space="0"/>
              <w:bottom w:val="single" w:color="000000" w:sz="8" w:space="0"/>
              <w:right w:val="single" w:color="auto" w:sz="8" w:space="0"/>
            </w:tcBorders>
            <w:vAlign w:val="center"/>
          </w:tcPr>
          <w:p w14:paraId="78D97A87">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瓦沟溢洪河</w:t>
            </w:r>
          </w:p>
        </w:tc>
        <w:tc>
          <w:tcPr>
            <w:tcW w:w="395" w:type="pct"/>
            <w:tcBorders>
              <w:top w:val="nil"/>
              <w:left w:val="nil"/>
              <w:bottom w:val="single" w:color="auto" w:sz="8" w:space="0"/>
              <w:right w:val="single" w:color="auto" w:sz="8" w:space="0"/>
            </w:tcBorders>
            <w:vAlign w:val="center"/>
          </w:tcPr>
          <w:p w14:paraId="4A3E744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最小值</w:t>
            </w:r>
          </w:p>
        </w:tc>
        <w:tc>
          <w:tcPr>
            <w:tcW w:w="395" w:type="pct"/>
            <w:tcBorders>
              <w:top w:val="nil"/>
              <w:left w:val="nil"/>
              <w:bottom w:val="single" w:color="auto" w:sz="8" w:space="0"/>
              <w:right w:val="single" w:color="auto" w:sz="8" w:space="0"/>
            </w:tcBorders>
          </w:tcPr>
          <w:p w14:paraId="590046C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7.40 </w:t>
            </w:r>
          </w:p>
        </w:tc>
        <w:tc>
          <w:tcPr>
            <w:tcW w:w="476" w:type="pct"/>
            <w:tcBorders>
              <w:top w:val="nil"/>
              <w:left w:val="nil"/>
              <w:bottom w:val="single" w:color="auto" w:sz="8" w:space="0"/>
              <w:right w:val="single" w:color="auto" w:sz="8" w:space="0"/>
            </w:tcBorders>
          </w:tcPr>
          <w:p w14:paraId="7AA7F87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11</w:t>
            </w:r>
          </w:p>
        </w:tc>
        <w:tc>
          <w:tcPr>
            <w:tcW w:w="395" w:type="pct"/>
            <w:tcBorders>
              <w:top w:val="nil"/>
              <w:left w:val="nil"/>
              <w:bottom w:val="single" w:color="auto" w:sz="8" w:space="0"/>
              <w:right w:val="single" w:color="auto" w:sz="8" w:space="0"/>
            </w:tcBorders>
          </w:tcPr>
          <w:p w14:paraId="18F4B61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0.225</w:t>
            </w:r>
          </w:p>
        </w:tc>
        <w:tc>
          <w:tcPr>
            <w:tcW w:w="476" w:type="pct"/>
            <w:tcBorders>
              <w:top w:val="nil"/>
              <w:left w:val="nil"/>
              <w:bottom w:val="single" w:color="auto" w:sz="8" w:space="0"/>
              <w:right w:val="single" w:color="auto" w:sz="8" w:space="0"/>
            </w:tcBorders>
          </w:tcPr>
          <w:p w14:paraId="7EFA72B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0.02</w:t>
            </w:r>
          </w:p>
        </w:tc>
        <w:tc>
          <w:tcPr>
            <w:tcW w:w="395" w:type="pct"/>
            <w:tcBorders>
              <w:top w:val="nil"/>
              <w:left w:val="nil"/>
              <w:bottom w:val="single" w:color="auto" w:sz="8" w:space="0"/>
              <w:right w:val="single" w:color="auto" w:sz="8" w:space="0"/>
            </w:tcBorders>
          </w:tcPr>
          <w:p w14:paraId="6910831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0.556</w:t>
            </w:r>
          </w:p>
        </w:tc>
        <w:tc>
          <w:tcPr>
            <w:tcW w:w="395" w:type="pct"/>
            <w:tcBorders>
              <w:top w:val="nil"/>
              <w:left w:val="nil"/>
              <w:bottom w:val="single" w:color="auto" w:sz="8" w:space="0"/>
              <w:right w:val="single" w:color="auto" w:sz="8" w:space="0"/>
            </w:tcBorders>
          </w:tcPr>
          <w:p w14:paraId="3981FFA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542" w:type="pct"/>
            <w:tcBorders>
              <w:top w:val="nil"/>
              <w:left w:val="nil"/>
              <w:bottom w:val="single" w:color="auto" w:sz="8" w:space="0"/>
              <w:right w:val="single" w:color="auto" w:sz="8" w:space="0"/>
            </w:tcBorders>
          </w:tcPr>
          <w:p w14:paraId="4B3A15B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4.8</w:t>
            </w:r>
          </w:p>
        </w:tc>
        <w:tc>
          <w:tcPr>
            <w:tcW w:w="395" w:type="pct"/>
            <w:tcBorders>
              <w:top w:val="nil"/>
              <w:left w:val="nil"/>
              <w:bottom w:val="single" w:color="auto" w:sz="8" w:space="0"/>
              <w:right w:val="single" w:color="auto" w:sz="8" w:space="0"/>
            </w:tcBorders>
          </w:tcPr>
          <w:p w14:paraId="0E5F079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395" w:type="pct"/>
            <w:tcBorders>
              <w:top w:val="nil"/>
              <w:left w:val="nil"/>
              <w:bottom w:val="single" w:color="auto" w:sz="8" w:space="0"/>
              <w:right w:val="single" w:color="auto" w:sz="8" w:space="0"/>
            </w:tcBorders>
          </w:tcPr>
          <w:p w14:paraId="6EB2C8A0">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r>
      <w:tr w14:paraId="796BBED9">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133B52D2">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65E4F2B1">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1B3F572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最大值</w:t>
            </w:r>
          </w:p>
        </w:tc>
        <w:tc>
          <w:tcPr>
            <w:tcW w:w="395" w:type="pct"/>
            <w:tcBorders>
              <w:top w:val="nil"/>
              <w:left w:val="nil"/>
              <w:bottom w:val="single" w:color="auto" w:sz="8" w:space="0"/>
              <w:right w:val="single" w:color="auto" w:sz="8" w:space="0"/>
            </w:tcBorders>
          </w:tcPr>
          <w:p w14:paraId="6800423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7.80 </w:t>
            </w:r>
          </w:p>
        </w:tc>
        <w:tc>
          <w:tcPr>
            <w:tcW w:w="476" w:type="pct"/>
            <w:tcBorders>
              <w:top w:val="nil"/>
              <w:left w:val="nil"/>
              <w:bottom w:val="single" w:color="auto" w:sz="8" w:space="0"/>
              <w:right w:val="single" w:color="auto" w:sz="8" w:space="0"/>
            </w:tcBorders>
          </w:tcPr>
          <w:p w14:paraId="6CFA501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14</w:t>
            </w:r>
          </w:p>
        </w:tc>
        <w:tc>
          <w:tcPr>
            <w:tcW w:w="395" w:type="pct"/>
            <w:tcBorders>
              <w:top w:val="nil"/>
              <w:left w:val="nil"/>
              <w:bottom w:val="single" w:color="auto" w:sz="8" w:space="0"/>
              <w:right w:val="single" w:color="auto" w:sz="8" w:space="0"/>
            </w:tcBorders>
          </w:tcPr>
          <w:p w14:paraId="59E0519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0.273</w:t>
            </w:r>
          </w:p>
        </w:tc>
        <w:tc>
          <w:tcPr>
            <w:tcW w:w="476" w:type="pct"/>
            <w:tcBorders>
              <w:top w:val="nil"/>
              <w:left w:val="nil"/>
              <w:bottom w:val="single" w:color="auto" w:sz="8" w:space="0"/>
              <w:right w:val="single" w:color="auto" w:sz="8" w:space="0"/>
            </w:tcBorders>
          </w:tcPr>
          <w:p w14:paraId="0DA6B472">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0.07</w:t>
            </w:r>
          </w:p>
        </w:tc>
        <w:tc>
          <w:tcPr>
            <w:tcW w:w="395" w:type="pct"/>
            <w:tcBorders>
              <w:top w:val="nil"/>
              <w:left w:val="nil"/>
              <w:bottom w:val="single" w:color="auto" w:sz="8" w:space="0"/>
              <w:right w:val="single" w:color="auto" w:sz="8" w:space="0"/>
            </w:tcBorders>
          </w:tcPr>
          <w:p w14:paraId="4F6541C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0.694</w:t>
            </w:r>
          </w:p>
        </w:tc>
        <w:tc>
          <w:tcPr>
            <w:tcW w:w="395" w:type="pct"/>
            <w:tcBorders>
              <w:top w:val="nil"/>
              <w:left w:val="nil"/>
              <w:bottom w:val="single" w:color="auto" w:sz="8" w:space="0"/>
              <w:right w:val="single" w:color="auto" w:sz="8" w:space="0"/>
            </w:tcBorders>
          </w:tcPr>
          <w:p w14:paraId="7A99F46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542" w:type="pct"/>
            <w:tcBorders>
              <w:top w:val="nil"/>
              <w:left w:val="nil"/>
              <w:bottom w:val="single" w:color="auto" w:sz="8" w:space="0"/>
              <w:right w:val="single" w:color="auto" w:sz="8" w:space="0"/>
            </w:tcBorders>
          </w:tcPr>
          <w:p w14:paraId="7F428762">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5.3</w:t>
            </w:r>
          </w:p>
        </w:tc>
        <w:tc>
          <w:tcPr>
            <w:tcW w:w="395" w:type="pct"/>
            <w:tcBorders>
              <w:top w:val="nil"/>
              <w:left w:val="nil"/>
              <w:bottom w:val="single" w:color="auto" w:sz="8" w:space="0"/>
              <w:right w:val="single" w:color="auto" w:sz="8" w:space="0"/>
            </w:tcBorders>
          </w:tcPr>
          <w:p w14:paraId="3650A4A0">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395" w:type="pct"/>
            <w:tcBorders>
              <w:top w:val="nil"/>
              <w:left w:val="nil"/>
              <w:bottom w:val="single" w:color="auto" w:sz="8" w:space="0"/>
              <w:right w:val="single" w:color="auto" w:sz="8" w:space="0"/>
            </w:tcBorders>
          </w:tcPr>
          <w:p w14:paraId="4EC868D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r>
      <w:tr w14:paraId="65801DA9">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35857F7F">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5D78FDEE">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05B288A7">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平均值</w:t>
            </w:r>
          </w:p>
        </w:tc>
        <w:tc>
          <w:tcPr>
            <w:tcW w:w="395" w:type="pct"/>
            <w:tcBorders>
              <w:top w:val="nil"/>
              <w:left w:val="nil"/>
              <w:bottom w:val="single" w:color="auto" w:sz="8" w:space="0"/>
              <w:right w:val="single" w:color="auto" w:sz="8" w:space="0"/>
            </w:tcBorders>
          </w:tcPr>
          <w:p w14:paraId="2D31257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7.60 </w:t>
            </w:r>
          </w:p>
        </w:tc>
        <w:tc>
          <w:tcPr>
            <w:tcW w:w="476" w:type="pct"/>
            <w:tcBorders>
              <w:top w:val="nil"/>
              <w:left w:val="nil"/>
              <w:bottom w:val="single" w:color="auto" w:sz="8" w:space="0"/>
              <w:right w:val="single" w:color="auto" w:sz="8" w:space="0"/>
            </w:tcBorders>
          </w:tcPr>
          <w:p w14:paraId="5176316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12.33 </w:t>
            </w:r>
          </w:p>
        </w:tc>
        <w:tc>
          <w:tcPr>
            <w:tcW w:w="395" w:type="pct"/>
            <w:tcBorders>
              <w:top w:val="nil"/>
              <w:left w:val="nil"/>
              <w:bottom w:val="single" w:color="auto" w:sz="8" w:space="0"/>
              <w:right w:val="single" w:color="auto" w:sz="8" w:space="0"/>
            </w:tcBorders>
          </w:tcPr>
          <w:p w14:paraId="3E52E01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0.25 </w:t>
            </w:r>
          </w:p>
        </w:tc>
        <w:tc>
          <w:tcPr>
            <w:tcW w:w="476" w:type="pct"/>
            <w:tcBorders>
              <w:top w:val="nil"/>
              <w:left w:val="nil"/>
              <w:bottom w:val="single" w:color="auto" w:sz="8" w:space="0"/>
              <w:right w:val="single" w:color="auto" w:sz="8" w:space="0"/>
            </w:tcBorders>
          </w:tcPr>
          <w:p w14:paraId="0C6C973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0.04 </w:t>
            </w:r>
          </w:p>
        </w:tc>
        <w:tc>
          <w:tcPr>
            <w:tcW w:w="395" w:type="pct"/>
            <w:tcBorders>
              <w:top w:val="nil"/>
              <w:left w:val="nil"/>
              <w:bottom w:val="single" w:color="auto" w:sz="8" w:space="0"/>
              <w:right w:val="single" w:color="auto" w:sz="8" w:space="0"/>
            </w:tcBorders>
          </w:tcPr>
          <w:p w14:paraId="3CF3162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0.62 </w:t>
            </w:r>
          </w:p>
        </w:tc>
        <w:tc>
          <w:tcPr>
            <w:tcW w:w="395" w:type="pct"/>
            <w:tcBorders>
              <w:top w:val="nil"/>
              <w:left w:val="nil"/>
              <w:bottom w:val="single" w:color="auto" w:sz="8" w:space="0"/>
              <w:right w:val="single" w:color="auto" w:sz="8" w:space="0"/>
            </w:tcBorders>
          </w:tcPr>
          <w:p w14:paraId="54A53D2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542" w:type="pct"/>
            <w:tcBorders>
              <w:top w:val="nil"/>
              <w:left w:val="nil"/>
              <w:bottom w:val="single" w:color="auto" w:sz="8" w:space="0"/>
              <w:right w:val="single" w:color="auto" w:sz="8" w:space="0"/>
            </w:tcBorders>
          </w:tcPr>
          <w:p w14:paraId="622774A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5.05 </w:t>
            </w:r>
          </w:p>
        </w:tc>
        <w:tc>
          <w:tcPr>
            <w:tcW w:w="395" w:type="pct"/>
            <w:tcBorders>
              <w:top w:val="nil"/>
              <w:left w:val="nil"/>
              <w:bottom w:val="single" w:color="auto" w:sz="8" w:space="0"/>
              <w:right w:val="single" w:color="auto" w:sz="8" w:space="0"/>
            </w:tcBorders>
          </w:tcPr>
          <w:p w14:paraId="1EB31E0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395" w:type="pct"/>
            <w:tcBorders>
              <w:top w:val="nil"/>
              <w:left w:val="nil"/>
              <w:bottom w:val="single" w:color="auto" w:sz="8" w:space="0"/>
              <w:right w:val="single" w:color="auto" w:sz="8" w:space="0"/>
            </w:tcBorders>
          </w:tcPr>
          <w:p w14:paraId="5894F4C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r>
      <w:tr w14:paraId="764205D9">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7EFEB747">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0CCA2BA9">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42F9B87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Ⅲ</w:t>
            </w:r>
            <w:r>
              <w:rPr>
                <w:rFonts w:cs="Times New Roman"/>
                <w:color w:val="000000"/>
                <w:kern w:val="0"/>
                <w:sz w:val="21"/>
                <w:szCs w:val="21"/>
                <w14:ligatures w14:val="none"/>
              </w:rPr>
              <w:t>类标准</w:t>
            </w:r>
          </w:p>
        </w:tc>
        <w:tc>
          <w:tcPr>
            <w:tcW w:w="395" w:type="pct"/>
            <w:tcBorders>
              <w:top w:val="nil"/>
              <w:left w:val="nil"/>
              <w:bottom w:val="single" w:color="auto" w:sz="8" w:space="0"/>
              <w:right w:val="single" w:color="auto" w:sz="8" w:space="0"/>
            </w:tcBorders>
          </w:tcPr>
          <w:p w14:paraId="01260D9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6～9</w:t>
            </w:r>
          </w:p>
        </w:tc>
        <w:tc>
          <w:tcPr>
            <w:tcW w:w="476" w:type="pct"/>
            <w:tcBorders>
              <w:top w:val="nil"/>
              <w:left w:val="nil"/>
              <w:bottom w:val="single" w:color="auto" w:sz="8" w:space="0"/>
              <w:right w:val="single" w:color="auto" w:sz="8" w:space="0"/>
            </w:tcBorders>
          </w:tcPr>
          <w:p w14:paraId="2BE500D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≤20</w:t>
            </w:r>
          </w:p>
        </w:tc>
        <w:tc>
          <w:tcPr>
            <w:tcW w:w="395" w:type="pct"/>
            <w:tcBorders>
              <w:top w:val="nil"/>
              <w:left w:val="nil"/>
              <w:bottom w:val="single" w:color="auto" w:sz="8" w:space="0"/>
              <w:right w:val="single" w:color="auto" w:sz="8" w:space="0"/>
            </w:tcBorders>
          </w:tcPr>
          <w:p w14:paraId="0B5E633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≤1.0</w:t>
            </w:r>
          </w:p>
        </w:tc>
        <w:tc>
          <w:tcPr>
            <w:tcW w:w="476" w:type="pct"/>
            <w:tcBorders>
              <w:top w:val="nil"/>
              <w:left w:val="nil"/>
              <w:bottom w:val="single" w:color="auto" w:sz="8" w:space="0"/>
              <w:right w:val="single" w:color="auto" w:sz="8" w:space="0"/>
            </w:tcBorders>
          </w:tcPr>
          <w:p w14:paraId="3F1221C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≤0.2</w:t>
            </w:r>
          </w:p>
        </w:tc>
        <w:tc>
          <w:tcPr>
            <w:tcW w:w="395" w:type="pct"/>
            <w:tcBorders>
              <w:top w:val="nil"/>
              <w:left w:val="nil"/>
              <w:bottom w:val="single" w:color="auto" w:sz="8" w:space="0"/>
              <w:right w:val="single" w:color="auto" w:sz="8" w:space="0"/>
            </w:tcBorders>
          </w:tcPr>
          <w:p w14:paraId="35A6556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≤1.0</w:t>
            </w:r>
          </w:p>
        </w:tc>
        <w:tc>
          <w:tcPr>
            <w:tcW w:w="395" w:type="pct"/>
            <w:tcBorders>
              <w:top w:val="nil"/>
              <w:left w:val="nil"/>
              <w:bottom w:val="single" w:color="auto" w:sz="8" w:space="0"/>
              <w:right w:val="single" w:color="auto" w:sz="8" w:space="0"/>
            </w:tcBorders>
          </w:tcPr>
          <w:p w14:paraId="49270F82">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≤0.05</w:t>
            </w:r>
          </w:p>
        </w:tc>
        <w:tc>
          <w:tcPr>
            <w:tcW w:w="542" w:type="pct"/>
            <w:tcBorders>
              <w:top w:val="nil"/>
              <w:left w:val="nil"/>
              <w:bottom w:val="single" w:color="auto" w:sz="8" w:space="0"/>
              <w:right w:val="single" w:color="auto" w:sz="8" w:space="0"/>
            </w:tcBorders>
          </w:tcPr>
          <w:p w14:paraId="7A8AC5D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≤6</w:t>
            </w:r>
          </w:p>
        </w:tc>
        <w:tc>
          <w:tcPr>
            <w:tcW w:w="395" w:type="pct"/>
            <w:tcBorders>
              <w:top w:val="nil"/>
              <w:left w:val="nil"/>
              <w:bottom w:val="single" w:color="auto" w:sz="8" w:space="0"/>
              <w:right w:val="single" w:color="auto" w:sz="8" w:space="0"/>
            </w:tcBorders>
          </w:tcPr>
          <w:p w14:paraId="38D3C9B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≤0.2</w:t>
            </w:r>
          </w:p>
        </w:tc>
        <w:tc>
          <w:tcPr>
            <w:tcW w:w="395" w:type="pct"/>
            <w:tcBorders>
              <w:top w:val="nil"/>
              <w:left w:val="nil"/>
              <w:bottom w:val="single" w:color="auto" w:sz="8" w:space="0"/>
              <w:right w:val="single" w:color="auto" w:sz="8" w:space="0"/>
            </w:tcBorders>
          </w:tcPr>
          <w:p w14:paraId="2FEEC68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≤0.005</w:t>
            </w:r>
          </w:p>
        </w:tc>
      </w:tr>
      <w:tr w14:paraId="1F9626A0">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5DE73E81">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0B55D1A1">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7657BD24">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水质指数</w:t>
            </w:r>
          </w:p>
        </w:tc>
        <w:tc>
          <w:tcPr>
            <w:tcW w:w="395" w:type="pct"/>
            <w:tcBorders>
              <w:top w:val="nil"/>
              <w:left w:val="nil"/>
              <w:bottom w:val="single" w:color="auto" w:sz="8" w:space="0"/>
              <w:right w:val="single" w:color="auto" w:sz="8" w:space="0"/>
            </w:tcBorders>
          </w:tcPr>
          <w:p w14:paraId="1EFFFC00">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0.300 </w:t>
            </w:r>
          </w:p>
        </w:tc>
        <w:tc>
          <w:tcPr>
            <w:tcW w:w="476" w:type="pct"/>
            <w:tcBorders>
              <w:top w:val="nil"/>
              <w:left w:val="nil"/>
              <w:bottom w:val="single" w:color="auto" w:sz="8" w:space="0"/>
              <w:right w:val="single" w:color="auto" w:sz="8" w:space="0"/>
            </w:tcBorders>
          </w:tcPr>
          <w:p w14:paraId="5D73517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0.62 </w:t>
            </w:r>
          </w:p>
        </w:tc>
        <w:tc>
          <w:tcPr>
            <w:tcW w:w="395" w:type="pct"/>
            <w:tcBorders>
              <w:top w:val="nil"/>
              <w:left w:val="nil"/>
              <w:bottom w:val="single" w:color="auto" w:sz="8" w:space="0"/>
              <w:right w:val="single" w:color="auto" w:sz="8" w:space="0"/>
            </w:tcBorders>
          </w:tcPr>
          <w:p w14:paraId="2C08DDF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0.25 </w:t>
            </w:r>
          </w:p>
        </w:tc>
        <w:tc>
          <w:tcPr>
            <w:tcW w:w="476" w:type="pct"/>
            <w:tcBorders>
              <w:top w:val="nil"/>
              <w:left w:val="nil"/>
              <w:bottom w:val="single" w:color="auto" w:sz="8" w:space="0"/>
              <w:right w:val="single" w:color="auto" w:sz="8" w:space="0"/>
            </w:tcBorders>
          </w:tcPr>
          <w:p w14:paraId="6B37BB6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0.22 </w:t>
            </w:r>
          </w:p>
        </w:tc>
        <w:tc>
          <w:tcPr>
            <w:tcW w:w="395" w:type="pct"/>
            <w:tcBorders>
              <w:top w:val="nil"/>
              <w:left w:val="nil"/>
              <w:bottom w:val="single" w:color="auto" w:sz="8" w:space="0"/>
              <w:right w:val="single" w:color="auto" w:sz="8" w:space="0"/>
            </w:tcBorders>
          </w:tcPr>
          <w:p w14:paraId="541DF9A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0.62 </w:t>
            </w:r>
          </w:p>
        </w:tc>
        <w:tc>
          <w:tcPr>
            <w:tcW w:w="395" w:type="pct"/>
            <w:tcBorders>
              <w:top w:val="nil"/>
              <w:left w:val="nil"/>
              <w:bottom w:val="single" w:color="auto" w:sz="8" w:space="0"/>
              <w:right w:val="single" w:color="auto" w:sz="8" w:space="0"/>
            </w:tcBorders>
          </w:tcPr>
          <w:p w14:paraId="1CFF1FD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c>
          <w:tcPr>
            <w:tcW w:w="542" w:type="pct"/>
            <w:tcBorders>
              <w:top w:val="nil"/>
              <w:left w:val="nil"/>
              <w:bottom w:val="single" w:color="auto" w:sz="8" w:space="0"/>
              <w:right w:val="single" w:color="auto" w:sz="8" w:space="0"/>
            </w:tcBorders>
          </w:tcPr>
          <w:p w14:paraId="02760A80">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 xml:space="preserve">0.84 </w:t>
            </w:r>
          </w:p>
        </w:tc>
        <w:tc>
          <w:tcPr>
            <w:tcW w:w="395" w:type="pct"/>
            <w:tcBorders>
              <w:top w:val="nil"/>
              <w:left w:val="nil"/>
              <w:bottom w:val="single" w:color="auto" w:sz="8" w:space="0"/>
              <w:right w:val="single" w:color="auto" w:sz="8" w:space="0"/>
            </w:tcBorders>
          </w:tcPr>
          <w:p w14:paraId="057D803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c>
          <w:tcPr>
            <w:tcW w:w="395" w:type="pct"/>
            <w:tcBorders>
              <w:top w:val="nil"/>
              <w:left w:val="nil"/>
              <w:bottom w:val="single" w:color="auto" w:sz="8" w:space="0"/>
              <w:right w:val="single" w:color="auto" w:sz="8" w:space="0"/>
            </w:tcBorders>
          </w:tcPr>
          <w:p w14:paraId="3AAD25F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r>
      <w:tr w14:paraId="618ADDCD">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5E5491A1">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6D63AE98">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242DE6A5">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超标率</w:t>
            </w:r>
          </w:p>
        </w:tc>
        <w:tc>
          <w:tcPr>
            <w:tcW w:w="395" w:type="pct"/>
            <w:tcBorders>
              <w:top w:val="nil"/>
              <w:left w:val="nil"/>
              <w:bottom w:val="single" w:color="auto" w:sz="8" w:space="0"/>
              <w:right w:val="single" w:color="auto" w:sz="8" w:space="0"/>
            </w:tcBorders>
          </w:tcPr>
          <w:p w14:paraId="0FF6114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476" w:type="pct"/>
            <w:tcBorders>
              <w:top w:val="nil"/>
              <w:left w:val="nil"/>
              <w:bottom w:val="single" w:color="auto" w:sz="8" w:space="0"/>
              <w:right w:val="single" w:color="auto" w:sz="8" w:space="0"/>
            </w:tcBorders>
          </w:tcPr>
          <w:p w14:paraId="6E0263C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6CBABAF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476" w:type="pct"/>
            <w:tcBorders>
              <w:top w:val="nil"/>
              <w:left w:val="nil"/>
              <w:bottom w:val="single" w:color="auto" w:sz="8" w:space="0"/>
              <w:right w:val="single" w:color="auto" w:sz="8" w:space="0"/>
            </w:tcBorders>
          </w:tcPr>
          <w:p w14:paraId="52A337F9">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5AA725B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595FE58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542" w:type="pct"/>
            <w:tcBorders>
              <w:top w:val="nil"/>
              <w:left w:val="nil"/>
              <w:bottom w:val="single" w:color="auto" w:sz="8" w:space="0"/>
              <w:right w:val="single" w:color="auto" w:sz="8" w:space="0"/>
            </w:tcBorders>
          </w:tcPr>
          <w:p w14:paraId="4EF46CE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1202374E">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c>
          <w:tcPr>
            <w:tcW w:w="395" w:type="pct"/>
            <w:tcBorders>
              <w:top w:val="nil"/>
              <w:left w:val="nil"/>
              <w:bottom w:val="single" w:color="auto" w:sz="8" w:space="0"/>
              <w:right w:val="single" w:color="auto" w:sz="8" w:space="0"/>
            </w:tcBorders>
          </w:tcPr>
          <w:p w14:paraId="7A1061F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w:t>
            </w:r>
          </w:p>
        </w:tc>
      </w:tr>
      <w:tr w14:paraId="1105E986">
        <w:tblPrEx>
          <w:tblCellMar>
            <w:top w:w="0" w:type="dxa"/>
            <w:left w:w="108" w:type="dxa"/>
            <w:bottom w:w="0" w:type="dxa"/>
            <w:right w:w="108" w:type="dxa"/>
          </w:tblCellMar>
        </w:tblPrEx>
        <w:trPr>
          <w:trHeight w:val="300" w:hRule="atLeast"/>
        </w:trPr>
        <w:tc>
          <w:tcPr>
            <w:tcW w:w="243" w:type="pct"/>
            <w:vMerge w:val="continue"/>
            <w:tcBorders>
              <w:top w:val="nil"/>
              <w:left w:val="single" w:color="auto" w:sz="8" w:space="0"/>
              <w:bottom w:val="single" w:color="000000" w:sz="8" w:space="0"/>
              <w:right w:val="single" w:color="auto" w:sz="8" w:space="0"/>
            </w:tcBorders>
            <w:vAlign w:val="center"/>
          </w:tcPr>
          <w:p w14:paraId="276BED99">
            <w:pPr>
              <w:widowControl/>
              <w:spacing w:line="240" w:lineRule="auto"/>
              <w:ind w:firstLine="0" w:firstLineChars="0"/>
              <w:jc w:val="left"/>
              <w:rPr>
                <w:rFonts w:eastAsia="等线" w:cs="Times New Roman"/>
                <w:color w:val="000000"/>
                <w:kern w:val="0"/>
                <w:sz w:val="21"/>
                <w:szCs w:val="21"/>
                <w14:ligatures w14:val="none"/>
              </w:rPr>
            </w:pPr>
          </w:p>
        </w:tc>
        <w:tc>
          <w:tcPr>
            <w:tcW w:w="498" w:type="pct"/>
            <w:vMerge w:val="continue"/>
            <w:tcBorders>
              <w:top w:val="nil"/>
              <w:left w:val="single" w:color="auto" w:sz="8" w:space="0"/>
              <w:bottom w:val="single" w:color="000000" w:sz="8" w:space="0"/>
              <w:right w:val="single" w:color="auto" w:sz="8" w:space="0"/>
            </w:tcBorders>
            <w:vAlign w:val="center"/>
          </w:tcPr>
          <w:p w14:paraId="7286BE2D">
            <w:pPr>
              <w:widowControl/>
              <w:spacing w:line="240" w:lineRule="auto"/>
              <w:ind w:firstLine="0" w:firstLineChars="0"/>
              <w:jc w:val="left"/>
              <w:rPr>
                <w:rFonts w:cs="Times New Roman"/>
                <w:color w:val="000000"/>
                <w:kern w:val="0"/>
                <w:sz w:val="21"/>
                <w:szCs w:val="21"/>
                <w14:ligatures w14:val="none"/>
              </w:rPr>
            </w:pPr>
          </w:p>
        </w:tc>
        <w:tc>
          <w:tcPr>
            <w:tcW w:w="395" w:type="pct"/>
            <w:tcBorders>
              <w:top w:val="nil"/>
              <w:left w:val="nil"/>
              <w:bottom w:val="single" w:color="auto" w:sz="8" w:space="0"/>
              <w:right w:val="single" w:color="auto" w:sz="8" w:space="0"/>
            </w:tcBorders>
            <w:vAlign w:val="center"/>
          </w:tcPr>
          <w:p w14:paraId="363ABC0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达标情况</w:t>
            </w:r>
          </w:p>
        </w:tc>
        <w:tc>
          <w:tcPr>
            <w:tcW w:w="395" w:type="pct"/>
            <w:tcBorders>
              <w:top w:val="nil"/>
              <w:left w:val="nil"/>
              <w:bottom w:val="single" w:color="auto" w:sz="8" w:space="0"/>
              <w:right w:val="single" w:color="auto" w:sz="8" w:space="0"/>
            </w:tcBorders>
          </w:tcPr>
          <w:p w14:paraId="064B75B7">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476" w:type="pct"/>
            <w:tcBorders>
              <w:top w:val="nil"/>
              <w:left w:val="nil"/>
              <w:bottom w:val="single" w:color="auto" w:sz="8" w:space="0"/>
              <w:right w:val="single" w:color="auto" w:sz="8" w:space="0"/>
            </w:tcBorders>
          </w:tcPr>
          <w:p w14:paraId="17EFB0EB">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6162ED21">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476" w:type="pct"/>
            <w:tcBorders>
              <w:top w:val="nil"/>
              <w:left w:val="nil"/>
              <w:bottom w:val="single" w:color="auto" w:sz="8" w:space="0"/>
              <w:right w:val="single" w:color="auto" w:sz="8" w:space="0"/>
            </w:tcBorders>
          </w:tcPr>
          <w:p w14:paraId="2B2FE8F3">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68088393">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29AC7B51">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542" w:type="pct"/>
            <w:tcBorders>
              <w:top w:val="nil"/>
              <w:left w:val="nil"/>
              <w:bottom w:val="single" w:color="auto" w:sz="8" w:space="0"/>
              <w:right w:val="single" w:color="auto" w:sz="8" w:space="0"/>
            </w:tcBorders>
          </w:tcPr>
          <w:p w14:paraId="59038EE4">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788DB11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达标</w:t>
            </w:r>
          </w:p>
        </w:tc>
        <w:tc>
          <w:tcPr>
            <w:tcW w:w="395" w:type="pct"/>
            <w:tcBorders>
              <w:top w:val="nil"/>
              <w:left w:val="nil"/>
              <w:bottom w:val="single" w:color="auto" w:sz="8" w:space="0"/>
              <w:right w:val="single" w:color="auto" w:sz="8" w:space="0"/>
            </w:tcBorders>
          </w:tcPr>
          <w:p w14:paraId="6ECEDD1F">
            <w:pPr>
              <w:widowControl/>
              <w:spacing w:line="240" w:lineRule="auto"/>
              <w:ind w:firstLine="0" w:firstLineChars="0"/>
              <w:jc w:val="center"/>
              <w:rPr>
                <w:rFonts w:cs="Times New Roman"/>
                <w:color w:val="000000"/>
                <w:kern w:val="0"/>
                <w:sz w:val="21"/>
                <w:szCs w:val="21"/>
                <w14:ligatures w14:val="none"/>
              </w:rPr>
            </w:pPr>
            <w:r>
              <w:rPr>
                <w:rFonts w:cs="Times New Roman"/>
                <w:sz w:val="21"/>
                <w:szCs w:val="21"/>
              </w:rPr>
              <w:t>达标</w:t>
            </w:r>
          </w:p>
        </w:tc>
      </w:tr>
    </w:tbl>
    <w:p w14:paraId="2ADC6584">
      <w:pPr>
        <w:ind w:firstLine="0" w:firstLineChars="0"/>
        <w:rPr>
          <w:rFonts w:cs="Times New Roman"/>
        </w:rPr>
      </w:pPr>
    </w:p>
    <w:p w14:paraId="642F3664">
      <w:pPr>
        <w:ind w:firstLine="480"/>
        <w:sectPr>
          <w:pgSz w:w="16838" w:h="11906" w:orient="landscape"/>
          <w:pgMar w:top="1800" w:right="1440" w:bottom="1800" w:left="1440" w:header="851" w:footer="992" w:gutter="0"/>
          <w:cols w:space="425" w:num="1"/>
          <w:docGrid w:type="lines" w:linePitch="326" w:charSpace="0"/>
        </w:sectPr>
      </w:pPr>
    </w:p>
    <w:p w14:paraId="6952A8B2">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3.5.3</w:t>
      </w:r>
      <w:r>
        <w:rPr>
          <w:rFonts w:hint="eastAsia" w:eastAsia="方正楷体_GBK" w:cs="Times New Roman"/>
          <w:b/>
          <w:bCs/>
          <w:szCs w:val="28"/>
          <w14:ligatures w14:val="none"/>
        </w:rPr>
        <w:t>声环境质量现状监测与评价</w:t>
      </w:r>
    </w:p>
    <w:p w14:paraId="231EB4B9">
      <w:pPr>
        <w:ind w:firstLine="482"/>
        <w:rPr>
          <w:b/>
          <w:bCs/>
        </w:rPr>
      </w:pPr>
      <w:r>
        <w:rPr>
          <w:rFonts w:hint="eastAsia"/>
          <w:b/>
          <w:bCs/>
        </w:rPr>
        <w:t>（1）监测布点和监测因子</w:t>
      </w:r>
    </w:p>
    <w:p w14:paraId="6C07D194">
      <w:pPr>
        <w:ind w:firstLine="480"/>
      </w:pPr>
      <w:r>
        <w:rPr>
          <w:rFonts w:hint="eastAsia"/>
        </w:rPr>
        <w:t>根据区域及声环境敏感点（区）特征，按照网格布点、功能区布点相结合的方法，在区域布设27个声环境质量监测点位。监测项目为连续等效A声级。具体监测点位见表3.5-11，监测点位分布如附图37所示。</w:t>
      </w:r>
    </w:p>
    <w:p w14:paraId="030019B3">
      <w:pPr>
        <w:pStyle w:val="45"/>
      </w:pPr>
      <w:r>
        <w:t>表</w:t>
      </w:r>
      <w:r>
        <w:rPr>
          <w:rFonts w:hint="eastAsia"/>
        </w:rPr>
        <w:t>3</w:t>
      </w:r>
      <w:r>
        <w:t>.</w:t>
      </w:r>
      <w:r>
        <w:rPr>
          <w:rFonts w:hint="eastAsia"/>
        </w:rPr>
        <w:t>5</w:t>
      </w:r>
      <w:r>
        <w:t>-</w:t>
      </w:r>
      <w:r>
        <w:rPr>
          <w:rFonts w:hint="eastAsia"/>
        </w:rPr>
        <w:t>11</w:t>
      </w:r>
      <w:r>
        <w:t xml:space="preserve">  声环境质量现状监测点位表</w:t>
      </w:r>
    </w:p>
    <w:tbl>
      <w:tblPr>
        <w:tblStyle w:val="25"/>
        <w:tblW w:w="484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1322"/>
        <w:gridCol w:w="936"/>
        <w:gridCol w:w="1158"/>
        <w:gridCol w:w="683"/>
        <w:gridCol w:w="1325"/>
        <w:gridCol w:w="939"/>
        <w:gridCol w:w="1163"/>
      </w:tblGrid>
      <w:tr w14:paraId="1E138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1" w:hRule="atLeast"/>
          <w:tblHeader/>
        </w:trPr>
        <w:tc>
          <w:tcPr>
            <w:tcW w:w="446" w:type="pct"/>
            <w:vAlign w:val="center"/>
          </w:tcPr>
          <w:p w14:paraId="35E6901D">
            <w:pPr>
              <w:spacing w:line="240" w:lineRule="auto"/>
              <w:ind w:firstLine="0" w:firstLineChars="0"/>
              <w:jc w:val="center"/>
              <w:rPr>
                <w:rFonts w:cs="Times New Roman"/>
                <w:b/>
                <w:bCs/>
                <w:spacing w:val="8"/>
                <w:sz w:val="21"/>
                <w:szCs w:val="21"/>
              </w:rPr>
            </w:pPr>
            <w:r>
              <w:rPr>
                <w:rFonts w:hint="eastAsia" w:cs="Times New Roman"/>
                <w:b/>
                <w:bCs/>
                <w:spacing w:val="8"/>
                <w:sz w:val="21"/>
                <w:szCs w:val="21"/>
              </w:rPr>
              <w:t>编号</w:t>
            </w:r>
          </w:p>
        </w:tc>
        <w:tc>
          <w:tcPr>
            <w:tcW w:w="799" w:type="pct"/>
            <w:vAlign w:val="center"/>
          </w:tcPr>
          <w:p w14:paraId="69338931">
            <w:pPr>
              <w:spacing w:line="240" w:lineRule="auto"/>
              <w:ind w:firstLine="0" w:firstLineChars="0"/>
              <w:jc w:val="center"/>
              <w:rPr>
                <w:rFonts w:cs="Times New Roman"/>
                <w:b/>
                <w:bCs/>
                <w:spacing w:val="8"/>
                <w:sz w:val="21"/>
                <w:szCs w:val="21"/>
              </w:rPr>
            </w:pPr>
            <w:r>
              <w:rPr>
                <w:rFonts w:hint="eastAsia" w:cs="Times New Roman"/>
                <w:b/>
                <w:bCs/>
                <w:spacing w:val="8"/>
                <w:sz w:val="21"/>
                <w:szCs w:val="21"/>
              </w:rPr>
              <w:t>测点</w:t>
            </w:r>
          </w:p>
        </w:tc>
        <w:tc>
          <w:tcPr>
            <w:tcW w:w="566" w:type="pct"/>
            <w:vAlign w:val="center"/>
          </w:tcPr>
          <w:p w14:paraId="32CDB0DD">
            <w:pPr>
              <w:spacing w:line="240" w:lineRule="auto"/>
              <w:ind w:firstLine="0" w:firstLineChars="0"/>
              <w:jc w:val="center"/>
              <w:rPr>
                <w:rFonts w:cs="Times New Roman"/>
                <w:b/>
                <w:bCs/>
                <w:spacing w:val="8"/>
                <w:sz w:val="21"/>
                <w:szCs w:val="21"/>
              </w:rPr>
            </w:pPr>
            <w:r>
              <w:rPr>
                <w:rFonts w:hint="eastAsia" w:cs="Times New Roman"/>
                <w:b/>
                <w:bCs/>
                <w:spacing w:val="8"/>
                <w:sz w:val="21"/>
                <w:szCs w:val="21"/>
              </w:rPr>
              <w:t>位置</w:t>
            </w:r>
          </w:p>
        </w:tc>
        <w:tc>
          <w:tcPr>
            <w:tcW w:w="700" w:type="pct"/>
            <w:vAlign w:val="center"/>
          </w:tcPr>
          <w:p w14:paraId="603F9A4E">
            <w:pPr>
              <w:spacing w:line="240" w:lineRule="auto"/>
              <w:ind w:firstLine="0" w:firstLineChars="0"/>
              <w:jc w:val="center"/>
              <w:rPr>
                <w:rFonts w:cs="Times New Roman"/>
                <w:b/>
                <w:bCs/>
                <w:spacing w:val="8"/>
                <w:sz w:val="21"/>
                <w:szCs w:val="21"/>
              </w:rPr>
            </w:pPr>
            <w:r>
              <w:rPr>
                <w:rFonts w:hint="eastAsia" w:cs="Times New Roman"/>
                <w:b/>
                <w:bCs/>
                <w:spacing w:val="8"/>
                <w:sz w:val="21"/>
                <w:szCs w:val="21"/>
              </w:rPr>
              <w:t>功能区</w:t>
            </w:r>
          </w:p>
        </w:tc>
        <w:tc>
          <w:tcPr>
            <w:tcW w:w="413" w:type="pct"/>
            <w:vAlign w:val="center"/>
          </w:tcPr>
          <w:p w14:paraId="792319C7">
            <w:pPr>
              <w:spacing w:line="240" w:lineRule="auto"/>
              <w:ind w:firstLine="0" w:firstLineChars="0"/>
              <w:jc w:val="center"/>
              <w:rPr>
                <w:rFonts w:cs="Times New Roman"/>
                <w:b/>
                <w:bCs/>
                <w:spacing w:val="8"/>
                <w:sz w:val="21"/>
                <w:szCs w:val="21"/>
              </w:rPr>
            </w:pPr>
            <w:r>
              <w:rPr>
                <w:rFonts w:hint="eastAsia" w:cs="Times New Roman"/>
                <w:b/>
                <w:bCs/>
                <w:spacing w:val="8"/>
                <w:sz w:val="21"/>
                <w:szCs w:val="21"/>
              </w:rPr>
              <w:t>编号</w:t>
            </w:r>
          </w:p>
        </w:tc>
        <w:tc>
          <w:tcPr>
            <w:tcW w:w="801" w:type="pct"/>
            <w:vAlign w:val="center"/>
          </w:tcPr>
          <w:p w14:paraId="52A0E698">
            <w:pPr>
              <w:spacing w:line="240" w:lineRule="auto"/>
              <w:ind w:firstLine="0" w:firstLineChars="0"/>
              <w:jc w:val="center"/>
              <w:rPr>
                <w:rFonts w:cs="Times New Roman"/>
                <w:b/>
                <w:bCs/>
                <w:spacing w:val="8"/>
                <w:sz w:val="21"/>
                <w:szCs w:val="21"/>
              </w:rPr>
            </w:pPr>
            <w:r>
              <w:rPr>
                <w:rFonts w:hint="eastAsia" w:cs="Times New Roman"/>
                <w:b/>
                <w:bCs/>
                <w:spacing w:val="8"/>
                <w:sz w:val="21"/>
                <w:szCs w:val="21"/>
              </w:rPr>
              <w:t>测点</w:t>
            </w:r>
          </w:p>
        </w:tc>
        <w:tc>
          <w:tcPr>
            <w:tcW w:w="568" w:type="pct"/>
            <w:vAlign w:val="center"/>
          </w:tcPr>
          <w:p w14:paraId="7FEB0DC7">
            <w:pPr>
              <w:spacing w:line="240" w:lineRule="auto"/>
              <w:ind w:firstLine="0" w:firstLineChars="0"/>
              <w:jc w:val="center"/>
              <w:rPr>
                <w:rFonts w:cs="Times New Roman"/>
                <w:b/>
                <w:bCs/>
                <w:spacing w:val="8"/>
                <w:sz w:val="21"/>
                <w:szCs w:val="21"/>
              </w:rPr>
            </w:pPr>
            <w:r>
              <w:rPr>
                <w:rFonts w:hint="eastAsia" w:cs="Times New Roman"/>
                <w:b/>
                <w:bCs/>
                <w:spacing w:val="8"/>
                <w:sz w:val="21"/>
                <w:szCs w:val="21"/>
              </w:rPr>
              <w:t>位置</w:t>
            </w:r>
          </w:p>
        </w:tc>
        <w:tc>
          <w:tcPr>
            <w:tcW w:w="703" w:type="pct"/>
            <w:vAlign w:val="center"/>
          </w:tcPr>
          <w:p w14:paraId="5E1198E8">
            <w:pPr>
              <w:spacing w:line="240" w:lineRule="auto"/>
              <w:ind w:firstLine="0" w:firstLineChars="0"/>
              <w:jc w:val="center"/>
              <w:rPr>
                <w:rFonts w:cs="Times New Roman"/>
                <w:b/>
                <w:bCs/>
                <w:spacing w:val="8"/>
                <w:sz w:val="21"/>
                <w:szCs w:val="21"/>
              </w:rPr>
            </w:pPr>
            <w:r>
              <w:rPr>
                <w:rFonts w:hint="eastAsia" w:cs="Times New Roman"/>
                <w:b/>
                <w:bCs/>
                <w:spacing w:val="8"/>
                <w:sz w:val="21"/>
                <w:szCs w:val="21"/>
              </w:rPr>
              <w:t>功能区</w:t>
            </w:r>
          </w:p>
        </w:tc>
      </w:tr>
      <w:tr w14:paraId="4AFC0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0889FBC6">
            <w:pPr>
              <w:spacing w:line="240" w:lineRule="auto"/>
              <w:ind w:firstLine="0" w:firstLineChars="0"/>
              <w:jc w:val="center"/>
              <w:rPr>
                <w:rFonts w:cs="Times New Roman"/>
                <w:spacing w:val="8"/>
                <w:sz w:val="21"/>
                <w:szCs w:val="21"/>
              </w:rPr>
            </w:pPr>
            <w:r>
              <w:rPr>
                <w:rFonts w:hint="eastAsia" w:cs="Times New Roman"/>
                <w:spacing w:val="8"/>
                <w:sz w:val="21"/>
                <w:szCs w:val="21"/>
              </w:rPr>
              <w:t>N1</w:t>
            </w:r>
          </w:p>
        </w:tc>
        <w:tc>
          <w:tcPr>
            <w:tcW w:w="799" w:type="pct"/>
            <w:vAlign w:val="center"/>
          </w:tcPr>
          <w:p w14:paraId="308CA08B">
            <w:pPr>
              <w:spacing w:line="240" w:lineRule="auto"/>
              <w:ind w:firstLine="0" w:firstLineChars="0"/>
              <w:jc w:val="center"/>
              <w:rPr>
                <w:rFonts w:cs="Times New Roman"/>
                <w:spacing w:val="8"/>
                <w:sz w:val="21"/>
                <w:szCs w:val="21"/>
              </w:rPr>
            </w:pPr>
            <w:r>
              <w:rPr>
                <w:rFonts w:hint="eastAsia" w:cs="Times New Roman"/>
                <w:spacing w:val="8"/>
                <w:sz w:val="21"/>
                <w:szCs w:val="21"/>
              </w:rPr>
              <w:t>东进小区</w:t>
            </w:r>
          </w:p>
        </w:tc>
        <w:tc>
          <w:tcPr>
            <w:tcW w:w="566" w:type="pct"/>
            <w:vAlign w:val="center"/>
          </w:tcPr>
          <w:p w14:paraId="0E2B20FD">
            <w:pPr>
              <w:spacing w:line="240" w:lineRule="auto"/>
              <w:ind w:firstLine="0" w:firstLineChars="0"/>
              <w:jc w:val="center"/>
              <w:rPr>
                <w:rFonts w:cs="Times New Roman"/>
                <w:spacing w:val="8"/>
                <w:sz w:val="21"/>
                <w:szCs w:val="21"/>
              </w:rPr>
            </w:pPr>
            <w:r>
              <w:rPr>
                <w:rFonts w:hint="eastAsia" w:cs="Times New Roman"/>
                <w:spacing w:val="8"/>
                <w:sz w:val="21"/>
                <w:szCs w:val="21"/>
              </w:rPr>
              <w:t>区外</w:t>
            </w:r>
          </w:p>
        </w:tc>
        <w:tc>
          <w:tcPr>
            <w:tcW w:w="700" w:type="pct"/>
            <w:vAlign w:val="center"/>
          </w:tcPr>
          <w:p w14:paraId="495D0B48">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c>
          <w:tcPr>
            <w:tcW w:w="413" w:type="pct"/>
            <w:vAlign w:val="center"/>
          </w:tcPr>
          <w:p w14:paraId="1DF7B527">
            <w:pPr>
              <w:spacing w:line="240" w:lineRule="auto"/>
              <w:ind w:firstLine="0" w:firstLineChars="0"/>
              <w:jc w:val="center"/>
              <w:rPr>
                <w:rFonts w:cs="Times New Roman"/>
                <w:spacing w:val="8"/>
                <w:sz w:val="21"/>
                <w:szCs w:val="21"/>
              </w:rPr>
            </w:pPr>
            <w:r>
              <w:rPr>
                <w:rFonts w:hint="eastAsia" w:cs="Times New Roman"/>
                <w:spacing w:val="8"/>
                <w:sz w:val="21"/>
                <w:szCs w:val="21"/>
              </w:rPr>
              <w:t>N15</w:t>
            </w:r>
          </w:p>
        </w:tc>
        <w:tc>
          <w:tcPr>
            <w:tcW w:w="801" w:type="pct"/>
            <w:vAlign w:val="center"/>
          </w:tcPr>
          <w:p w14:paraId="42ED5A65">
            <w:pPr>
              <w:spacing w:line="240" w:lineRule="auto"/>
              <w:ind w:firstLine="0" w:firstLineChars="0"/>
              <w:jc w:val="center"/>
              <w:rPr>
                <w:rFonts w:cs="Times New Roman"/>
                <w:spacing w:val="8"/>
                <w:sz w:val="21"/>
                <w:szCs w:val="21"/>
              </w:rPr>
            </w:pPr>
            <w:r>
              <w:rPr>
                <w:rFonts w:hint="eastAsia" w:cs="Times New Roman"/>
                <w:spacing w:val="8"/>
                <w:sz w:val="21"/>
                <w:szCs w:val="21"/>
              </w:rPr>
              <w:t>门楼下村</w:t>
            </w:r>
          </w:p>
        </w:tc>
        <w:tc>
          <w:tcPr>
            <w:tcW w:w="568" w:type="pct"/>
            <w:vAlign w:val="center"/>
          </w:tcPr>
          <w:p w14:paraId="0569FC27">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3" w:type="pct"/>
            <w:vAlign w:val="center"/>
          </w:tcPr>
          <w:p w14:paraId="3B6EA85C">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r>
      <w:tr w14:paraId="3232C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074F7254">
            <w:pPr>
              <w:spacing w:line="240" w:lineRule="auto"/>
              <w:ind w:firstLine="0" w:firstLineChars="0"/>
              <w:jc w:val="center"/>
              <w:rPr>
                <w:rFonts w:cs="Times New Roman"/>
                <w:spacing w:val="8"/>
                <w:sz w:val="21"/>
                <w:szCs w:val="21"/>
              </w:rPr>
            </w:pPr>
            <w:r>
              <w:rPr>
                <w:rFonts w:hint="eastAsia" w:cs="Times New Roman"/>
                <w:spacing w:val="8"/>
                <w:sz w:val="21"/>
                <w:szCs w:val="21"/>
              </w:rPr>
              <w:t>N2</w:t>
            </w:r>
          </w:p>
        </w:tc>
        <w:tc>
          <w:tcPr>
            <w:tcW w:w="799" w:type="pct"/>
            <w:vAlign w:val="center"/>
          </w:tcPr>
          <w:p w14:paraId="0DE1B019">
            <w:pPr>
              <w:spacing w:line="240" w:lineRule="auto"/>
              <w:ind w:firstLine="0" w:firstLineChars="0"/>
              <w:jc w:val="center"/>
              <w:rPr>
                <w:rFonts w:cs="Times New Roman"/>
                <w:spacing w:val="8"/>
                <w:sz w:val="21"/>
                <w:szCs w:val="21"/>
              </w:rPr>
            </w:pPr>
            <w:r>
              <w:rPr>
                <w:rFonts w:hint="eastAsia" w:cs="Times New Roman"/>
                <w:spacing w:val="8"/>
                <w:sz w:val="21"/>
                <w:szCs w:val="21"/>
              </w:rPr>
              <w:t>上阳村</w:t>
            </w:r>
          </w:p>
        </w:tc>
        <w:tc>
          <w:tcPr>
            <w:tcW w:w="566" w:type="pct"/>
            <w:vAlign w:val="center"/>
          </w:tcPr>
          <w:p w14:paraId="6CD786CE">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5E72E946">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413" w:type="pct"/>
            <w:vAlign w:val="center"/>
          </w:tcPr>
          <w:p w14:paraId="262D6FAC">
            <w:pPr>
              <w:spacing w:line="240" w:lineRule="auto"/>
              <w:ind w:firstLine="0" w:firstLineChars="0"/>
              <w:jc w:val="center"/>
              <w:rPr>
                <w:rFonts w:cs="Times New Roman"/>
                <w:spacing w:val="8"/>
                <w:sz w:val="21"/>
                <w:szCs w:val="21"/>
              </w:rPr>
            </w:pPr>
            <w:r>
              <w:rPr>
                <w:rFonts w:hint="eastAsia" w:cs="Times New Roman"/>
                <w:spacing w:val="8"/>
                <w:sz w:val="21"/>
                <w:szCs w:val="21"/>
              </w:rPr>
              <w:t>N16</w:t>
            </w:r>
          </w:p>
        </w:tc>
        <w:tc>
          <w:tcPr>
            <w:tcW w:w="801" w:type="pct"/>
            <w:vAlign w:val="center"/>
          </w:tcPr>
          <w:p w14:paraId="3821E2FD">
            <w:pPr>
              <w:spacing w:line="240" w:lineRule="auto"/>
              <w:ind w:firstLine="0" w:firstLineChars="0"/>
              <w:jc w:val="center"/>
              <w:rPr>
                <w:rFonts w:cs="Times New Roman"/>
                <w:spacing w:val="8"/>
                <w:sz w:val="21"/>
                <w:szCs w:val="21"/>
              </w:rPr>
            </w:pPr>
            <w:r>
              <w:rPr>
                <w:rFonts w:hint="eastAsia" w:cs="Times New Roman"/>
                <w:spacing w:val="8"/>
                <w:sz w:val="21"/>
                <w:szCs w:val="21"/>
              </w:rPr>
              <w:t>塔山村</w:t>
            </w:r>
          </w:p>
        </w:tc>
        <w:tc>
          <w:tcPr>
            <w:tcW w:w="568" w:type="pct"/>
            <w:vAlign w:val="center"/>
          </w:tcPr>
          <w:p w14:paraId="4C29EB6C">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3" w:type="pct"/>
            <w:vAlign w:val="center"/>
          </w:tcPr>
          <w:p w14:paraId="46147CB8">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r>
      <w:tr w14:paraId="17546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3B17B3E1">
            <w:pPr>
              <w:spacing w:line="240" w:lineRule="auto"/>
              <w:ind w:firstLine="0" w:firstLineChars="0"/>
              <w:jc w:val="center"/>
              <w:rPr>
                <w:rFonts w:cs="Times New Roman"/>
                <w:spacing w:val="8"/>
                <w:sz w:val="21"/>
                <w:szCs w:val="21"/>
              </w:rPr>
            </w:pPr>
            <w:r>
              <w:rPr>
                <w:rFonts w:hint="eastAsia" w:cs="Times New Roman"/>
                <w:spacing w:val="8"/>
                <w:sz w:val="21"/>
                <w:szCs w:val="21"/>
              </w:rPr>
              <w:t>N3</w:t>
            </w:r>
          </w:p>
        </w:tc>
        <w:tc>
          <w:tcPr>
            <w:tcW w:w="799" w:type="pct"/>
            <w:vAlign w:val="center"/>
          </w:tcPr>
          <w:p w14:paraId="175C8805">
            <w:pPr>
              <w:spacing w:line="240" w:lineRule="auto"/>
              <w:ind w:firstLine="0" w:firstLineChars="0"/>
              <w:jc w:val="center"/>
              <w:rPr>
                <w:rFonts w:cs="Times New Roman"/>
                <w:spacing w:val="8"/>
                <w:sz w:val="21"/>
                <w:szCs w:val="21"/>
              </w:rPr>
            </w:pPr>
            <w:r>
              <w:rPr>
                <w:rFonts w:hint="eastAsia" w:cs="Times New Roman"/>
                <w:spacing w:val="8"/>
                <w:sz w:val="21"/>
                <w:szCs w:val="21"/>
              </w:rPr>
              <w:t>高德庄园</w:t>
            </w:r>
          </w:p>
        </w:tc>
        <w:tc>
          <w:tcPr>
            <w:tcW w:w="566" w:type="pct"/>
            <w:vAlign w:val="center"/>
          </w:tcPr>
          <w:p w14:paraId="3D2B2446">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3017A15A">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413" w:type="pct"/>
            <w:vAlign w:val="center"/>
          </w:tcPr>
          <w:p w14:paraId="53DAF405">
            <w:pPr>
              <w:spacing w:line="240" w:lineRule="auto"/>
              <w:ind w:firstLine="0" w:firstLineChars="0"/>
              <w:jc w:val="center"/>
              <w:rPr>
                <w:rFonts w:cs="Times New Roman"/>
                <w:spacing w:val="8"/>
                <w:sz w:val="21"/>
                <w:szCs w:val="21"/>
              </w:rPr>
            </w:pPr>
            <w:r>
              <w:rPr>
                <w:rFonts w:hint="eastAsia" w:cs="Times New Roman"/>
                <w:spacing w:val="8"/>
                <w:sz w:val="21"/>
                <w:szCs w:val="21"/>
              </w:rPr>
              <w:t>N17</w:t>
            </w:r>
          </w:p>
        </w:tc>
        <w:tc>
          <w:tcPr>
            <w:tcW w:w="801" w:type="pct"/>
            <w:vAlign w:val="center"/>
          </w:tcPr>
          <w:p w14:paraId="11D0333E">
            <w:pPr>
              <w:spacing w:line="240" w:lineRule="auto"/>
              <w:ind w:firstLine="0" w:firstLineChars="0"/>
              <w:jc w:val="center"/>
              <w:rPr>
                <w:rFonts w:cs="Times New Roman"/>
                <w:spacing w:val="8"/>
                <w:sz w:val="21"/>
                <w:szCs w:val="21"/>
              </w:rPr>
            </w:pPr>
            <w:r>
              <w:rPr>
                <w:rFonts w:hint="eastAsia" w:cs="Times New Roman"/>
                <w:spacing w:val="8"/>
                <w:sz w:val="21"/>
                <w:szCs w:val="21"/>
              </w:rPr>
              <w:t>茅麓中学</w:t>
            </w:r>
          </w:p>
        </w:tc>
        <w:tc>
          <w:tcPr>
            <w:tcW w:w="568" w:type="pct"/>
            <w:vAlign w:val="center"/>
          </w:tcPr>
          <w:p w14:paraId="317A4983">
            <w:pPr>
              <w:spacing w:line="240" w:lineRule="auto"/>
              <w:ind w:firstLine="0" w:firstLineChars="0"/>
              <w:jc w:val="center"/>
              <w:rPr>
                <w:rFonts w:cs="Times New Roman"/>
                <w:spacing w:val="8"/>
                <w:sz w:val="21"/>
                <w:szCs w:val="21"/>
              </w:rPr>
            </w:pPr>
            <w:r>
              <w:rPr>
                <w:rFonts w:hint="eastAsia" w:cs="Times New Roman"/>
                <w:spacing w:val="8"/>
                <w:sz w:val="21"/>
                <w:szCs w:val="21"/>
              </w:rPr>
              <w:t>区外</w:t>
            </w:r>
          </w:p>
        </w:tc>
        <w:tc>
          <w:tcPr>
            <w:tcW w:w="703" w:type="pct"/>
            <w:vAlign w:val="center"/>
          </w:tcPr>
          <w:p w14:paraId="1F030515">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r>
      <w:tr w14:paraId="2DAF5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77F67EFA">
            <w:pPr>
              <w:spacing w:line="240" w:lineRule="auto"/>
              <w:ind w:firstLine="0" w:firstLineChars="0"/>
              <w:jc w:val="center"/>
              <w:rPr>
                <w:rFonts w:cs="Times New Roman"/>
                <w:spacing w:val="8"/>
                <w:sz w:val="21"/>
                <w:szCs w:val="21"/>
              </w:rPr>
            </w:pPr>
            <w:r>
              <w:rPr>
                <w:rFonts w:hint="eastAsia" w:cs="Times New Roman"/>
                <w:spacing w:val="8"/>
                <w:sz w:val="21"/>
                <w:szCs w:val="21"/>
              </w:rPr>
              <w:t>N4</w:t>
            </w:r>
          </w:p>
        </w:tc>
        <w:tc>
          <w:tcPr>
            <w:tcW w:w="799" w:type="pct"/>
            <w:vAlign w:val="center"/>
          </w:tcPr>
          <w:p w14:paraId="467223D9">
            <w:pPr>
              <w:spacing w:line="240" w:lineRule="auto"/>
              <w:ind w:firstLine="0" w:firstLineChars="0"/>
              <w:jc w:val="center"/>
              <w:rPr>
                <w:rFonts w:cs="Times New Roman"/>
                <w:spacing w:val="8"/>
                <w:sz w:val="21"/>
                <w:szCs w:val="21"/>
              </w:rPr>
            </w:pPr>
            <w:r>
              <w:rPr>
                <w:rFonts w:hint="eastAsia" w:cs="Times New Roman"/>
                <w:spacing w:val="8"/>
                <w:sz w:val="21"/>
                <w:szCs w:val="21"/>
              </w:rPr>
              <w:t>小隐民宿</w:t>
            </w:r>
          </w:p>
        </w:tc>
        <w:tc>
          <w:tcPr>
            <w:tcW w:w="566" w:type="pct"/>
            <w:vAlign w:val="center"/>
          </w:tcPr>
          <w:p w14:paraId="2A8E0B17">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04AD8C19">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413" w:type="pct"/>
            <w:vAlign w:val="center"/>
          </w:tcPr>
          <w:p w14:paraId="23D60C62">
            <w:pPr>
              <w:spacing w:line="240" w:lineRule="auto"/>
              <w:ind w:firstLine="0" w:firstLineChars="0"/>
              <w:jc w:val="center"/>
              <w:rPr>
                <w:rFonts w:cs="Times New Roman"/>
                <w:spacing w:val="8"/>
                <w:sz w:val="21"/>
                <w:szCs w:val="21"/>
              </w:rPr>
            </w:pPr>
            <w:r>
              <w:rPr>
                <w:rFonts w:hint="eastAsia" w:cs="Times New Roman"/>
                <w:spacing w:val="8"/>
                <w:sz w:val="21"/>
                <w:szCs w:val="21"/>
              </w:rPr>
              <w:t>N18</w:t>
            </w:r>
          </w:p>
        </w:tc>
        <w:tc>
          <w:tcPr>
            <w:tcW w:w="801" w:type="pct"/>
            <w:vAlign w:val="center"/>
          </w:tcPr>
          <w:p w14:paraId="65A5C931">
            <w:pPr>
              <w:spacing w:line="240" w:lineRule="auto"/>
              <w:ind w:firstLine="0" w:firstLineChars="0"/>
              <w:jc w:val="center"/>
              <w:rPr>
                <w:rFonts w:cs="Times New Roman"/>
                <w:spacing w:val="8"/>
                <w:sz w:val="21"/>
                <w:szCs w:val="21"/>
              </w:rPr>
            </w:pPr>
            <w:r>
              <w:rPr>
                <w:rFonts w:hint="eastAsia" w:cs="Times New Roman"/>
                <w:spacing w:val="8"/>
                <w:sz w:val="21"/>
                <w:szCs w:val="21"/>
              </w:rPr>
              <w:t>安边村</w:t>
            </w:r>
          </w:p>
        </w:tc>
        <w:tc>
          <w:tcPr>
            <w:tcW w:w="568" w:type="pct"/>
            <w:vAlign w:val="center"/>
          </w:tcPr>
          <w:p w14:paraId="3672A869">
            <w:pPr>
              <w:spacing w:line="240" w:lineRule="auto"/>
              <w:ind w:firstLine="0" w:firstLineChars="0"/>
              <w:jc w:val="center"/>
              <w:rPr>
                <w:rFonts w:cs="Times New Roman"/>
                <w:spacing w:val="8"/>
                <w:sz w:val="21"/>
                <w:szCs w:val="21"/>
              </w:rPr>
            </w:pPr>
            <w:r>
              <w:rPr>
                <w:rFonts w:hint="eastAsia" w:cs="Times New Roman"/>
                <w:spacing w:val="8"/>
                <w:sz w:val="21"/>
                <w:szCs w:val="21"/>
              </w:rPr>
              <w:t>区外</w:t>
            </w:r>
          </w:p>
        </w:tc>
        <w:tc>
          <w:tcPr>
            <w:tcW w:w="703" w:type="pct"/>
            <w:vAlign w:val="center"/>
          </w:tcPr>
          <w:p w14:paraId="00048F82">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r>
      <w:tr w14:paraId="008C3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1E172ED2">
            <w:pPr>
              <w:spacing w:line="240" w:lineRule="auto"/>
              <w:ind w:firstLine="0" w:firstLineChars="0"/>
              <w:jc w:val="center"/>
              <w:rPr>
                <w:rFonts w:cs="Times New Roman"/>
                <w:spacing w:val="8"/>
                <w:sz w:val="21"/>
                <w:szCs w:val="21"/>
              </w:rPr>
            </w:pPr>
            <w:r>
              <w:rPr>
                <w:rFonts w:hint="eastAsia" w:cs="Times New Roman"/>
                <w:spacing w:val="8"/>
                <w:sz w:val="21"/>
                <w:szCs w:val="21"/>
              </w:rPr>
              <w:t>N5</w:t>
            </w:r>
          </w:p>
        </w:tc>
        <w:tc>
          <w:tcPr>
            <w:tcW w:w="799" w:type="pct"/>
            <w:vAlign w:val="center"/>
          </w:tcPr>
          <w:p w14:paraId="7A6BE25C">
            <w:pPr>
              <w:spacing w:line="240" w:lineRule="auto"/>
              <w:ind w:firstLine="0" w:firstLineChars="0"/>
              <w:jc w:val="center"/>
              <w:rPr>
                <w:rFonts w:cs="Times New Roman"/>
                <w:spacing w:val="8"/>
                <w:sz w:val="21"/>
                <w:szCs w:val="21"/>
              </w:rPr>
            </w:pPr>
            <w:r>
              <w:rPr>
                <w:rFonts w:hint="eastAsia" w:cs="Times New Roman"/>
                <w:spacing w:val="8"/>
                <w:sz w:val="21"/>
                <w:szCs w:val="21"/>
              </w:rPr>
              <w:t>雅居乐山湖城</w:t>
            </w:r>
          </w:p>
        </w:tc>
        <w:tc>
          <w:tcPr>
            <w:tcW w:w="566" w:type="pct"/>
            <w:vAlign w:val="center"/>
          </w:tcPr>
          <w:p w14:paraId="0B16F42F">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7967A9C4">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413" w:type="pct"/>
            <w:vAlign w:val="center"/>
          </w:tcPr>
          <w:p w14:paraId="17D7ECD8">
            <w:pPr>
              <w:spacing w:line="240" w:lineRule="auto"/>
              <w:ind w:firstLine="0" w:firstLineChars="0"/>
              <w:jc w:val="center"/>
              <w:rPr>
                <w:rFonts w:cs="Times New Roman"/>
                <w:spacing w:val="8"/>
                <w:sz w:val="21"/>
                <w:szCs w:val="21"/>
              </w:rPr>
            </w:pPr>
            <w:r>
              <w:rPr>
                <w:rFonts w:hint="eastAsia" w:cs="Times New Roman"/>
                <w:spacing w:val="8"/>
                <w:sz w:val="21"/>
                <w:szCs w:val="21"/>
              </w:rPr>
              <w:t>N19</w:t>
            </w:r>
          </w:p>
        </w:tc>
        <w:tc>
          <w:tcPr>
            <w:tcW w:w="801" w:type="pct"/>
            <w:vAlign w:val="center"/>
          </w:tcPr>
          <w:p w14:paraId="51A5D30A">
            <w:pPr>
              <w:spacing w:line="240" w:lineRule="auto"/>
              <w:ind w:firstLine="0" w:firstLineChars="0"/>
              <w:jc w:val="center"/>
              <w:rPr>
                <w:rFonts w:cs="Times New Roman"/>
                <w:spacing w:val="8"/>
                <w:sz w:val="21"/>
                <w:szCs w:val="21"/>
              </w:rPr>
            </w:pPr>
            <w:r>
              <w:rPr>
                <w:rFonts w:hint="eastAsia" w:cs="Times New Roman"/>
                <w:spacing w:val="8"/>
                <w:sz w:val="21"/>
                <w:szCs w:val="21"/>
              </w:rPr>
              <w:t>方山村</w:t>
            </w:r>
          </w:p>
        </w:tc>
        <w:tc>
          <w:tcPr>
            <w:tcW w:w="568" w:type="pct"/>
            <w:vAlign w:val="center"/>
          </w:tcPr>
          <w:p w14:paraId="4BB51658">
            <w:pPr>
              <w:spacing w:line="240" w:lineRule="auto"/>
              <w:ind w:firstLine="0" w:firstLineChars="0"/>
              <w:jc w:val="center"/>
              <w:rPr>
                <w:rFonts w:cs="Times New Roman"/>
                <w:spacing w:val="8"/>
                <w:sz w:val="21"/>
                <w:szCs w:val="21"/>
              </w:rPr>
            </w:pPr>
            <w:r>
              <w:rPr>
                <w:rFonts w:hint="eastAsia" w:cs="Times New Roman"/>
                <w:spacing w:val="8"/>
                <w:sz w:val="21"/>
                <w:szCs w:val="21"/>
              </w:rPr>
              <w:t>区外</w:t>
            </w:r>
          </w:p>
        </w:tc>
        <w:tc>
          <w:tcPr>
            <w:tcW w:w="703" w:type="pct"/>
            <w:vAlign w:val="center"/>
          </w:tcPr>
          <w:p w14:paraId="5BB62153">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r>
      <w:tr w14:paraId="4C050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06510A73">
            <w:pPr>
              <w:spacing w:line="240" w:lineRule="auto"/>
              <w:ind w:firstLine="0" w:firstLineChars="0"/>
              <w:jc w:val="center"/>
              <w:rPr>
                <w:rFonts w:cs="Times New Roman"/>
                <w:spacing w:val="8"/>
                <w:sz w:val="21"/>
                <w:szCs w:val="21"/>
              </w:rPr>
            </w:pPr>
            <w:r>
              <w:rPr>
                <w:rFonts w:hint="eastAsia" w:cs="Times New Roman"/>
                <w:spacing w:val="8"/>
                <w:sz w:val="21"/>
                <w:szCs w:val="21"/>
              </w:rPr>
              <w:t>N6</w:t>
            </w:r>
          </w:p>
        </w:tc>
        <w:tc>
          <w:tcPr>
            <w:tcW w:w="799" w:type="pct"/>
            <w:vAlign w:val="center"/>
          </w:tcPr>
          <w:p w14:paraId="6E0A9F1D">
            <w:pPr>
              <w:spacing w:line="240" w:lineRule="auto"/>
              <w:ind w:firstLine="0" w:firstLineChars="0"/>
              <w:jc w:val="center"/>
              <w:rPr>
                <w:rFonts w:cs="Times New Roman"/>
                <w:spacing w:val="8"/>
                <w:sz w:val="21"/>
                <w:szCs w:val="21"/>
              </w:rPr>
            </w:pPr>
            <w:r>
              <w:rPr>
                <w:rFonts w:hint="eastAsia" w:cs="Times New Roman"/>
                <w:spacing w:val="8"/>
                <w:sz w:val="21"/>
                <w:szCs w:val="21"/>
              </w:rPr>
              <w:t>兰亭雅居</w:t>
            </w:r>
          </w:p>
        </w:tc>
        <w:tc>
          <w:tcPr>
            <w:tcW w:w="566" w:type="pct"/>
            <w:vAlign w:val="center"/>
          </w:tcPr>
          <w:p w14:paraId="2B3B583A">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15E368DF">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c>
          <w:tcPr>
            <w:tcW w:w="413" w:type="pct"/>
            <w:vAlign w:val="center"/>
          </w:tcPr>
          <w:p w14:paraId="2887045D">
            <w:pPr>
              <w:spacing w:line="240" w:lineRule="auto"/>
              <w:ind w:firstLine="0" w:firstLineChars="0"/>
              <w:jc w:val="center"/>
              <w:rPr>
                <w:rFonts w:cs="Times New Roman"/>
                <w:spacing w:val="8"/>
                <w:sz w:val="21"/>
                <w:szCs w:val="21"/>
              </w:rPr>
            </w:pPr>
            <w:r>
              <w:rPr>
                <w:rFonts w:hint="eastAsia" w:cs="Times New Roman"/>
                <w:spacing w:val="8"/>
                <w:sz w:val="21"/>
                <w:szCs w:val="21"/>
              </w:rPr>
              <w:t>N20</w:t>
            </w:r>
          </w:p>
        </w:tc>
        <w:tc>
          <w:tcPr>
            <w:tcW w:w="801" w:type="pct"/>
            <w:vAlign w:val="center"/>
          </w:tcPr>
          <w:p w14:paraId="5EBF1BC1">
            <w:pPr>
              <w:spacing w:line="240" w:lineRule="auto"/>
              <w:ind w:firstLine="0" w:firstLineChars="0"/>
              <w:jc w:val="center"/>
              <w:rPr>
                <w:rFonts w:cs="Times New Roman"/>
                <w:spacing w:val="8"/>
                <w:sz w:val="21"/>
                <w:szCs w:val="21"/>
              </w:rPr>
            </w:pPr>
            <w:r>
              <w:rPr>
                <w:rFonts w:hint="eastAsia" w:cs="Times New Roman"/>
                <w:spacing w:val="8"/>
                <w:sz w:val="21"/>
                <w:szCs w:val="21"/>
              </w:rPr>
              <w:t>建国村</w:t>
            </w:r>
          </w:p>
        </w:tc>
        <w:tc>
          <w:tcPr>
            <w:tcW w:w="568" w:type="pct"/>
            <w:vAlign w:val="center"/>
          </w:tcPr>
          <w:p w14:paraId="48EDFD98">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3" w:type="pct"/>
            <w:vAlign w:val="center"/>
          </w:tcPr>
          <w:p w14:paraId="4FCEC5FD">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r>
      <w:tr w14:paraId="551A4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508818EB">
            <w:pPr>
              <w:spacing w:line="240" w:lineRule="auto"/>
              <w:ind w:firstLine="0" w:firstLineChars="0"/>
              <w:jc w:val="center"/>
              <w:rPr>
                <w:rFonts w:cs="Times New Roman"/>
                <w:spacing w:val="8"/>
                <w:sz w:val="21"/>
                <w:szCs w:val="21"/>
              </w:rPr>
            </w:pPr>
            <w:r>
              <w:rPr>
                <w:rFonts w:hint="eastAsia" w:cs="Times New Roman"/>
                <w:spacing w:val="8"/>
                <w:sz w:val="21"/>
                <w:szCs w:val="21"/>
              </w:rPr>
              <w:t>N7</w:t>
            </w:r>
          </w:p>
        </w:tc>
        <w:tc>
          <w:tcPr>
            <w:tcW w:w="799" w:type="pct"/>
            <w:vAlign w:val="center"/>
          </w:tcPr>
          <w:p w14:paraId="1030D414">
            <w:pPr>
              <w:spacing w:line="240" w:lineRule="auto"/>
              <w:ind w:firstLine="0" w:firstLineChars="0"/>
              <w:jc w:val="center"/>
              <w:rPr>
                <w:rFonts w:cs="Times New Roman"/>
                <w:spacing w:val="8"/>
                <w:sz w:val="21"/>
                <w:szCs w:val="21"/>
              </w:rPr>
            </w:pPr>
            <w:r>
              <w:rPr>
                <w:rFonts w:hint="eastAsia" w:cs="Times New Roman"/>
                <w:spacing w:val="8"/>
                <w:sz w:val="21"/>
                <w:szCs w:val="21"/>
              </w:rPr>
              <w:t>东方盐湖城</w:t>
            </w:r>
          </w:p>
        </w:tc>
        <w:tc>
          <w:tcPr>
            <w:tcW w:w="566" w:type="pct"/>
            <w:vAlign w:val="center"/>
          </w:tcPr>
          <w:p w14:paraId="682AF8B0">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219CD414">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413" w:type="pct"/>
            <w:vAlign w:val="center"/>
          </w:tcPr>
          <w:p w14:paraId="3C44BB8A">
            <w:pPr>
              <w:spacing w:line="240" w:lineRule="auto"/>
              <w:ind w:firstLine="0" w:firstLineChars="0"/>
              <w:jc w:val="center"/>
              <w:rPr>
                <w:rFonts w:cs="Times New Roman"/>
                <w:spacing w:val="8"/>
                <w:sz w:val="21"/>
                <w:szCs w:val="21"/>
              </w:rPr>
            </w:pPr>
            <w:r>
              <w:rPr>
                <w:rFonts w:hint="eastAsia" w:cs="Times New Roman"/>
                <w:spacing w:val="8"/>
                <w:sz w:val="21"/>
                <w:szCs w:val="21"/>
              </w:rPr>
              <w:t>N21</w:t>
            </w:r>
          </w:p>
        </w:tc>
        <w:tc>
          <w:tcPr>
            <w:tcW w:w="801" w:type="pct"/>
            <w:vAlign w:val="center"/>
          </w:tcPr>
          <w:p w14:paraId="33DB606B">
            <w:pPr>
              <w:spacing w:line="240" w:lineRule="auto"/>
              <w:ind w:firstLine="0" w:firstLineChars="0"/>
              <w:jc w:val="center"/>
              <w:rPr>
                <w:rFonts w:cs="Times New Roman"/>
                <w:spacing w:val="8"/>
                <w:sz w:val="21"/>
                <w:szCs w:val="21"/>
              </w:rPr>
            </w:pPr>
            <w:r>
              <w:rPr>
                <w:rFonts w:hint="eastAsia" w:cs="Times New Roman"/>
                <w:spacing w:val="8"/>
                <w:sz w:val="21"/>
                <w:szCs w:val="21"/>
              </w:rPr>
              <w:t>瓦沟村</w:t>
            </w:r>
          </w:p>
        </w:tc>
        <w:tc>
          <w:tcPr>
            <w:tcW w:w="568" w:type="pct"/>
            <w:vAlign w:val="center"/>
          </w:tcPr>
          <w:p w14:paraId="7B92E4D0">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3" w:type="pct"/>
            <w:vAlign w:val="center"/>
          </w:tcPr>
          <w:p w14:paraId="70B37043">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r>
      <w:tr w14:paraId="25CEC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0BF74A4B">
            <w:pPr>
              <w:spacing w:line="240" w:lineRule="auto"/>
              <w:ind w:firstLine="0" w:firstLineChars="0"/>
              <w:jc w:val="center"/>
              <w:rPr>
                <w:rFonts w:cs="Times New Roman"/>
                <w:spacing w:val="8"/>
                <w:sz w:val="21"/>
                <w:szCs w:val="21"/>
              </w:rPr>
            </w:pPr>
            <w:r>
              <w:rPr>
                <w:rFonts w:hint="eastAsia" w:cs="Times New Roman"/>
                <w:spacing w:val="8"/>
                <w:sz w:val="21"/>
                <w:szCs w:val="21"/>
              </w:rPr>
              <w:t>N8</w:t>
            </w:r>
          </w:p>
        </w:tc>
        <w:tc>
          <w:tcPr>
            <w:tcW w:w="799" w:type="pct"/>
            <w:vAlign w:val="center"/>
          </w:tcPr>
          <w:p w14:paraId="28E9C96F">
            <w:pPr>
              <w:spacing w:line="240" w:lineRule="auto"/>
              <w:ind w:firstLine="0" w:firstLineChars="0"/>
              <w:jc w:val="center"/>
              <w:rPr>
                <w:rFonts w:cs="Times New Roman"/>
                <w:spacing w:val="8"/>
                <w:sz w:val="21"/>
                <w:szCs w:val="21"/>
              </w:rPr>
            </w:pPr>
            <w:r>
              <w:rPr>
                <w:rFonts w:hint="eastAsia" w:cs="Times New Roman"/>
                <w:spacing w:val="8"/>
                <w:sz w:val="21"/>
                <w:szCs w:val="21"/>
              </w:rPr>
              <w:t>明月山溪花园</w:t>
            </w:r>
          </w:p>
        </w:tc>
        <w:tc>
          <w:tcPr>
            <w:tcW w:w="566" w:type="pct"/>
            <w:vAlign w:val="center"/>
          </w:tcPr>
          <w:p w14:paraId="03D80B00">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5F05B9C4">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c>
          <w:tcPr>
            <w:tcW w:w="413" w:type="pct"/>
            <w:vAlign w:val="center"/>
          </w:tcPr>
          <w:p w14:paraId="2BE17BE9">
            <w:pPr>
              <w:spacing w:line="240" w:lineRule="auto"/>
              <w:ind w:firstLine="0" w:firstLineChars="0"/>
              <w:jc w:val="center"/>
              <w:rPr>
                <w:rFonts w:cs="Times New Roman"/>
                <w:spacing w:val="8"/>
                <w:sz w:val="21"/>
                <w:szCs w:val="21"/>
              </w:rPr>
            </w:pPr>
            <w:r>
              <w:rPr>
                <w:rFonts w:hint="eastAsia" w:cs="Times New Roman"/>
                <w:spacing w:val="8"/>
                <w:sz w:val="21"/>
                <w:szCs w:val="21"/>
              </w:rPr>
              <w:t>N22</w:t>
            </w:r>
          </w:p>
        </w:tc>
        <w:tc>
          <w:tcPr>
            <w:tcW w:w="801" w:type="pct"/>
            <w:vAlign w:val="center"/>
          </w:tcPr>
          <w:p w14:paraId="045B6703">
            <w:pPr>
              <w:spacing w:line="240" w:lineRule="auto"/>
              <w:ind w:firstLine="0" w:firstLineChars="0"/>
              <w:jc w:val="center"/>
              <w:rPr>
                <w:rFonts w:cs="Times New Roman"/>
                <w:spacing w:val="8"/>
                <w:sz w:val="21"/>
                <w:szCs w:val="21"/>
              </w:rPr>
            </w:pPr>
            <w:r>
              <w:rPr>
                <w:rFonts w:hint="eastAsia" w:cs="Times New Roman"/>
                <w:spacing w:val="8"/>
                <w:sz w:val="21"/>
                <w:szCs w:val="21"/>
              </w:rPr>
              <w:t>西阳庄村</w:t>
            </w:r>
          </w:p>
        </w:tc>
        <w:tc>
          <w:tcPr>
            <w:tcW w:w="568" w:type="pct"/>
            <w:vAlign w:val="center"/>
          </w:tcPr>
          <w:p w14:paraId="003D6801">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3" w:type="pct"/>
            <w:vAlign w:val="center"/>
          </w:tcPr>
          <w:p w14:paraId="5004167D">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r>
      <w:tr w14:paraId="5814C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229CE671">
            <w:pPr>
              <w:spacing w:line="240" w:lineRule="auto"/>
              <w:ind w:firstLine="0" w:firstLineChars="0"/>
              <w:jc w:val="center"/>
              <w:rPr>
                <w:rFonts w:cs="Times New Roman"/>
                <w:spacing w:val="8"/>
                <w:sz w:val="21"/>
                <w:szCs w:val="21"/>
              </w:rPr>
            </w:pPr>
            <w:r>
              <w:rPr>
                <w:rFonts w:hint="eastAsia" w:cs="Times New Roman"/>
                <w:spacing w:val="8"/>
                <w:sz w:val="21"/>
                <w:szCs w:val="21"/>
              </w:rPr>
              <w:t>N9</w:t>
            </w:r>
          </w:p>
        </w:tc>
        <w:tc>
          <w:tcPr>
            <w:tcW w:w="799" w:type="pct"/>
            <w:vAlign w:val="center"/>
          </w:tcPr>
          <w:p w14:paraId="7841334C">
            <w:pPr>
              <w:spacing w:line="240" w:lineRule="auto"/>
              <w:ind w:firstLine="0" w:firstLineChars="0"/>
              <w:jc w:val="center"/>
              <w:rPr>
                <w:rFonts w:cs="Times New Roman"/>
                <w:spacing w:val="8"/>
                <w:sz w:val="21"/>
                <w:szCs w:val="21"/>
              </w:rPr>
            </w:pPr>
            <w:r>
              <w:rPr>
                <w:rFonts w:hint="eastAsia" w:cs="Times New Roman"/>
                <w:spacing w:val="8"/>
                <w:sz w:val="21"/>
                <w:szCs w:val="21"/>
              </w:rPr>
              <w:t>养心园</w:t>
            </w:r>
          </w:p>
        </w:tc>
        <w:tc>
          <w:tcPr>
            <w:tcW w:w="566" w:type="pct"/>
            <w:vAlign w:val="center"/>
          </w:tcPr>
          <w:p w14:paraId="1F65C142">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5F9B55D8">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c>
          <w:tcPr>
            <w:tcW w:w="413" w:type="pct"/>
            <w:vAlign w:val="center"/>
          </w:tcPr>
          <w:p w14:paraId="7859D7ED">
            <w:pPr>
              <w:spacing w:line="240" w:lineRule="auto"/>
              <w:ind w:firstLine="0" w:firstLineChars="0"/>
              <w:jc w:val="center"/>
              <w:rPr>
                <w:rFonts w:cs="Times New Roman"/>
                <w:spacing w:val="8"/>
                <w:sz w:val="21"/>
                <w:szCs w:val="21"/>
              </w:rPr>
            </w:pPr>
            <w:r>
              <w:rPr>
                <w:rFonts w:hint="eastAsia" w:cs="Times New Roman"/>
                <w:spacing w:val="8"/>
                <w:sz w:val="21"/>
                <w:szCs w:val="21"/>
              </w:rPr>
              <w:t>N23</w:t>
            </w:r>
          </w:p>
        </w:tc>
        <w:tc>
          <w:tcPr>
            <w:tcW w:w="801" w:type="pct"/>
            <w:vAlign w:val="center"/>
          </w:tcPr>
          <w:p w14:paraId="29BD9FE7">
            <w:pPr>
              <w:spacing w:line="240" w:lineRule="auto"/>
              <w:ind w:firstLine="0" w:firstLineChars="0"/>
              <w:jc w:val="center"/>
              <w:rPr>
                <w:rFonts w:cs="Times New Roman"/>
                <w:spacing w:val="8"/>
                <w:sz w:val="21"/>
                <w:szCs w:val="21"/>
              </w:rPr>
            </w:pPr>
            <w:r>
              <w:rPr>
                <w:rFonts w:hint="eastAsia" w:cs="Times New Roman"/>
                <w:spacing w:val="8"/>
                <w:sz w:val="21"/>
                <w:szCs w:val="21"/>
              </w:rPr>
              <w:t>许庄村</w:t>
            </w:r>
          </w:p>
        </w:tc>
        <w:tc>
          <w:tcPr>
            <w:tcW w:w="568" w:type="pct"/>
            <w:vAlign w:val="center"/>
          </w:tcPr>
          <w:p w14:paraId="3ECA5843">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3" w:type="pct"/>
            <w:vAlign w:val="center"/>
          </w:tcPr>
          <w:p w14:paraId="64F04D9A">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r>
      <w:tr w14:paraId="5DE98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tcPr>
          <w:p w14:paraId="67FBA853">
            <w:pPr>
              <w:spacing w:line="240" w:lineRule="auto"/>
              <w:ind w:firstLine="0" w:firstLineChars="0"/>
              <w:jc w:val="center"/>
              <w:rPr>
                <w:rFonts w:cs="Times New Roman"/>
                <w:spacing w:val="8"/>
                <w:sz w:val="21"/>
                <w:szCs w:val="21"/>
              </w:rPr>
            </w:pPr>
            <w:r>
              <w:rPr>
                <w:rFonts w:hint="eastAsia" w:cs="Times New Roman"/>
                <w:spacing w:val="8"/>
                <w:sz w:val="21"/>
                <w:szCs w:val="21"/>
              </w:rPr>
              <w:t>N10</w:t>
            </w:r>
          </w:p>
        </w:tc>
        <w:tc>
          <w:tcPr>
            <w:tcW w:w="799" w:type="pct"/>
            <w:vAlign w:val="center"/>
          </w:tcPr>
          <w:p w14:paraId="3C756B9E">
            <w:pPr>
              <w:spacing w:line="240" w:lineRule="auto"/>
              <w:ind w:firstLine="0" w:firstLineChars="0"/>
              <w:jc w:val="center"/>
              <w:rPr>
                <w:rFonts w:cs="Times New Roman"/>
                <w:spacing w:val="8"/>
                <w:sz w:val="21"/>
                <w:szCs w:val="21"/>
              </w:rPr>
            </w:pPr>
            <w:r>
              <w:rPr>
                <w:rFonts w:hint="eastAsia" w:cs="Times New Roman"/>
                <w:spacing w:val="8"/>
                <w:sz w:val="21"/>
                <w:szCs w:val="21"/>
              </w:rPr>
              <w:t>胡成岗</w:t>
            </w:r>
          </w:p>
        </w:tc>
        <w:tc>
          <w:tcPr>
            <w:tcW w:w="566" w:type="pct"/>
            <w:vAlign w:val="center"/>
          </w:tcPr>
          <w:p w14:paraId="7CF37B48">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6A104464">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413" w:type="pct"/>
            <w:vAlign w:val="center"/>
          </w:tcPr>
          <w:p w14:paraId="7FAE62B6">
            <w:pPr>
              <w:spacing w:line="240" w:lineRule="auto"/>
              <w:ind w:firstLine="0" w:firstLineChars="0"/>
              <w:jc w:val="center"/>
              <w:rPr>
                <w:rFonts w:cs="Times New Roman"/>
                <w:spacing w:val="8"/>
                <w:sz w:val="21"/>
                <w:szCs w:val="21"/>
              </w:rPr>
            </w:pPr>
            <w:r>
              <w:rPr>
                <w:rFonts w:hint="eastAsia" w:cs="Times New Roman"/>
                <w:spacing w:val="8"/>
                <w:sz w:val="21"/>
                <w:szCs w:val="21"/>
              </w:rPr>
              <w:t>N24</w:t>
            </w:r>
          </w:p>
        </w:tc>
        <w:tc>
          <w:tcPr>
            <w:tcW w:w="801" w:type="pct"/>
            <w:vAlign w:val="center"/>
          </w:tcPr>
          <w:p w14:paraId="600DE9E9">
            <w:pPr>
              <w:spacing w:line="240" w:lineRule="auto"/>
              <w:ind w:firstLine="0" w:firstLineChars="0"/>
              <w:jc w:val="center"/>
              <w:rPr>
                <w:rFonts w:cs="Times New Roman"/>
                <w:spacing w:val="8"/>
                <w:sz w:val="21"/>
                <w:szCs w:val="21"/>
              </w:rPr>
            </w:pPr>
            <w:r>
              <w:rPr>
                <w:rFonts w:hint="eastAsia" w:cs="Times New Roman"/>
                <w:spacing w:val="8"/>
                <w:sz w:val="21"/>
                <w:szCs w:val="21"/>
              </w:rPr>
              <w:t>下阮村</w:t>
            </w:r>
          </w:p>
        </w:tc>
        <w:tc>
          <w:tcPr>
            <w:tcW w:w="568" w:type="pct"/>
            <w:vAlign w:val="center"/>
          </w:tcPr>
          <w:p w14:paraId="72BA8155">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3" w:type="pct"/>
            <w:vAlign w:val="center"/>
          </w:tcPr>
          <w:p w14:paraId="5EF0CB20">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r>
      <w:tr w14:paraId="7A7CB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19BC0923">
            <w:pPr>
              <w:spacing w:line="240" w:lineRule="auto"/>
              <w:ind w:firstLine="0" w:firstLineChars="0"/>
              <w:jc w:val="center"/>
              <w:rPr>
                <w:rFonts w:cs="Times New Roman"/>
                <w:spacing w:val="8"/>
                <w:sz w:val="21"/>
                <w:szCs w:val="21"/>
              </w:rPr>
            </w:pPr>
            <w:r>
              <w:rPr>
                <w:rFonts w:hint="eastAsia" w:cs="Times New Roman"/>
                <w:spacing w:val="8"/>
                <w:sz w:val="21"/>
                <w:szCs w:val="21"/>
              </w:rPr>
              <w:t>N11</w:t>
            </w:r>
          </w:p>
        </w:tc>
        <w:tc>
          <w:tcPr>
            <w:tcW w:w="799" w:type="pct"/>
            <w:vAlign w:val="center"/>
          </w:tcPr>
          <w:p w14:paraId="5DB7310C">
            <w:pPr>
              <w:spacing w:line="240" w:lineRule="auto"/>
              <w:ind w:firstLine="0" w:firstLineChars="0"/>
              <w:jc w:val="center"/>
              <w:rPr>
                <w:rFonts w:cs="Times New Roman"/>
                <w:spacing w:val="8"/>
                <w:sz w:val="21"/>
                <w:szCs w:val="21"/>
              </w:rPr>
            </w:pPr>
            <w:r>
              <w:rPr>
                <w:rFonts w:hint="eastAsia" w:cs="Times New Roman"/>
                <w:spacing w:val="8"/>
                <w:sz w:val="21"/>
                <w:szCs w:val="21"/>
              </w:rPr>
              <w:t>云湖山庄</w:t>
            </w:r>
          </w:p>
        </w:tc>
        <w:tc>
          <w:tcPr>
            <w:tcW w:w="566" w:type="pct"/>
            <w:vAlign w:val="center"/>
          </w:tcPr>
          <w:p w14:paraId="54309F6E">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7D5EC8FA">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413" w:type="pct"/>
            <w:vAlign w:val="center"/>
          </w:tcPr>
          <w:p w14:paraId="57E16F14">
            <w:pPr>
              <w:spacing w:line="240" w:lineRule="auto"/>
              <w:ind w:firstLine="0" w:firstLineChars="0"/>
              <w:jc w:val="center"/>
              <w:rPr>
                <w:rFonts w:cs="Times New Roman"/>
                <w:spacing w:val="8"/>
                <w:sz w:val="21"/>
                <w:szCs w:val="21"/>
              </w:rPr>
            </w:pPr>
            <w:r>
              <w:rPr>
                <w:rFonts w:hint="eastAsia" w:cs="Times New Roman"/>
                <w:spacing w:val="8"/>
                <w:sz w:val="21"/>
                <w:szCs w:val="21"/>
              </w:rPr>
              <w:t>N25</w:t>
            </w:r>
          </w:p>
        </w:tc>
        <w:tc>
          <w:tcPr>
            <w:tcW w:w="801" w:type="pct"/>
            <w:vAlign w:val="center"/>
          </w:tcPr>
          <w:p w14:paraId="7E6F244F">
            <w:pPr>
              <w:spacing w:line="240" w:lineRule="auto"/>
              <w:ind w:firstLine="0" w:firstLineChars="0"/>
              <w:jc w:val="center"/>
              <w:rPr>
                <w:rFonts w:cs="Times New Roman"/>
                <w:spacing w:val="8"/>
                <w:sz w:val="21"/>
                <w:szCs w:val="21"/>
              </w:rPr>
            </w:pPr>
            <w:r>
              <w:rPr>
                <w:rFonts w:hint="eastAsia" w:cs="Times New Roman"/>
                <w:spacing w:val="8"/>
                <w:sz w:val="21"/>
                <w:szCs w:val="21"/>
              </w:rPr>
              <w:t>沈庄村</w:t>
            </w:r>
          </w:p>
        </w:tc>
        <w:tc>
          <w:tcPr>
            <w:tcW w:w="568" w:type="pct"/>
            <w:vAlign w:val="center"/>
          </w:tcPr>
          <w:p w14:paraId="33E1B00D">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3" w:type="pct"/>
            <w:vAlign w:val="center"/>
          </w:tcPr>
          <w:p w14:paraId="57093349">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r>
      <w:tr w14:paraId="58F48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51381898">
            <w:pPr>
              <w:spacing w:line="240" w:lineRule="auto"/>
              <w:ind w:firstLine="0" w:firstLineChars="0"/>
              <w:jc w:val="center"/>
              <w:rPr>
                <w:rFonts w:cs="Times New Roman"/>
                <w:spacing w:val="8"/>
                <w:sz w:val="21"/>
                <w:szCs w:val="21"/>
              </w:rPr>
            </w:pPr>
            <w:r>
              <w:rPr>
                <w:rFonts w:hint="eastAsia" w:cs="Times New Roman"/>
                <w:spacing w:val="8"/>
                <w:sz w:val="21"/>
                <w:szCs w:val="21"/>
              </w:rPr>
              <w:t>N12</w:t>
            </w:r>
          </w:p>
        </w:tc>
        <w:tc>
          <w:tcPr>
            <w:tcW w:w="799" w:type="pct"/>
            <w:vAlign w:val="center"/>
          </w:tcPr>
          <w:p w14:paraId="70145AC7">
            <w:pPr>
              <w:spacing w:line="240" w:lineRule="auto"/>
              <w:ind w:firstLine="0" w:firstLineChars="0"/>
              <w:jc w:val="center"/>
              <w:rPr>
                <w:rFonts w:cs="Times New Roman"/>
                <w:spacing w:val="8"/>
                <w:sz w:val="21"/>
                <w:szCs w:val="21"/>
              </w:rPr>
            </w:pPr>
            <w:r>
              <w:rPr>
                <w:rFonts w:hint="eastAsia" w:cs="Times New Roman"/>
                <w:spacing w:val="8"/>
                <w:sz w:val="21"/>
                <w:szCs w:val="21"/>
              </w:rPr>
              <w:t>本达村</w:t>
            </w:r>
          </w:p>
        </w:tc>
        <w:tc>
          <w:tcPr>
            <w:tcW w:w="566" w:type="pct"/>
            <w:vAlign w:val="center"/>
          </w:tcPr>
          <w:p w14:paraId="283F5AB9">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1A52F312">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413" w:type="pct"/>
            <w:vAlign w:val="center"/>
          </w:tcPr>
          <w:p w14:paraId="57EB8325">
            <w:pPr>
              <w:spacing w:line="240" w:lineRule="auto"/>
              <w:ind w:firstLine="0" w:firstLineChars="0"/>
              <w:jc w:val="center"/>
              <w:rPr>
                <w:rFonts w:cs="Times New Roman"/>
                <w:spacing w:val="8"/>
                <w:sz w:val="21"/>
                <w:szCs w:val="21"/>
              </w:rPr>
            </w:pPr>
            <w:r>
              <w:rPr>
                <w:rFonts w:hint="eastAsia" w:cs="Times New Roman"/>
                <w:spacing w:val="8"/>
                <w:sz w:val="21"/>
                <w:szCs w:val="21"/>
              </w:rPr>
              <w:t>N26</w:t>
            </w:r>
          </w:p>
        </w:tc>
        <w:tc>
          <w:tcPr>
            <w:tcW w:w="801" w:type="pct"/>
            <w:vAlign w:val="center"/>
          </w:tcPr>
          <w:p w14:paraId="01131037">
            <w:pPr>
              <w:spacing w:line="240" w:lineRule="auto"/>
              <w:ind w:firstLine="0" w:firstLineChars="0"/>
              <w:jc w:val="center"/>
              <w:rPr>
                <w:rFonts w:cs="Times New Roman"/>
                <w:spacing w:val="8"/>
                <w:sz w:val="21"/>
                <w:szCs w:val="21"/>
              </w:rPr>
            </w:pPr>
            <w:r>
              <w:rPr>
                <w:rFonts w:hint="eastAsia" w:cs="Times New Roman"/>
                <w:spacing w:val="8"/>
                <w:sz w:val="21"/>
                <w:szCs w:val="21"/>
              </w:rPr>
              <w:t>罗村小学</w:t>
            </w:r>
          </w:p>
        </w:tc>
        <w:tc>
          <w:tcPr>
            <w:tcW w:w="568" w:type="pct"/>
            <w:vAlign w:val="center"/>
          </w:tcPr>
          <w:p w14:paraId="3C439637">
            <w:pPr>
              <w:spacing w:line="240" w:lineRule="auto"/>
              <w:ind w:firstLine="0" w:firstLineChars="0"/>
              <w:jc w:val="center"/>
              <w:rPr>
                <w:rFonts w:cs="Times New Roman"/>
                <w:spacing w:val="8"/>
                <w:sz w:val="21"/>
                <w:szCs w:val="21"/>
              </w:rPr>
            </w:pPr>
            <w:r>
              <w:rPr>
                <w:rFonts w:hint="eastAsia" w:cs="Times New Roman"/>
                <w:spacing w:val="8"/>
                <w:sz w:val="21"/>
                <w:szCs w:val="21"/>
              </w:rPr>
              <w:t>区外</w:t>
            </w:r>
          </w:p>
        </w:tc>
        <w:tc>
          <w:tcPr>
            <w:tcW w:w="703" w:type="pct"/>
            <w:vAlign w:val="center"/>
          </w:tcPr>
          <w:p w14:paraId="6862264A">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r>
      <w:tr w14:paraId="6B89A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68DFD052">
            <w:pPr>
              <w:spacing w:line="240" w:lineRule="auto"/>
              <w:ind w:firstLine="0" w:firstLineChars="0"/>
              <w:jc w:val="center"/>
              <w:rPr>
                <w:rFonts w:cs="Times New Roman"/>
                <w:spacing w:val="8"/>
                <w:sz w:val="21"/>
                <w:szCs w:val="21"/>
              </w:rPr>
            </w:pPr>
            <w:r>
              <w:rPr>
                <w:rFonts w:hint="eastAsia" w:cs="Times New Roman"/>
                <w:spacing w:val="8"/>
                <w:sz w:val="21"/>
                <w:szCs w:val="21"/>
              </w:rPr>
              <w:t>N13</w:t>
            </w:r>
          </w:p>
        </w:tc>
        <w:tc>
          <w:tcPr>
            <w:tcW w:w="799" w:type="pct"/>
            <w:vAlign w:val="center"/>
          </w:tcPr>
          <w:p w14:paraId="6D47CA67">
            <w:pPr>
              <w:spacing w:line="240" w:lineRule="auto"/>
              <w:ind w:firstLine="0" w:firstLineChars="0"/>
              <w:jc w:val="center"/>
              <w:rPr>
                <w:rFonts w:cs="Times New Roman"/>
                <w:spacing w:val="8"/>
                <w:sz w:val="21"/>
                <w:szCs w:val="21"/>
              </w:rPr>
            </w:pPr>
            <w:r>
              <w:rPr>
                <w:rFonts w:hint="eastAsia" w:cs="Times New Roman"/>
                <w:spacing w:val="8"/>
                <w:sz w:val="21"/>
                <w:szCs w:val="21"/>
              </w:rPr>
              <w:t>宜庄村</w:t>
            </w:r>
          </w:p>
        </w:tc>
        <w:tc>
          <w:tcPr>
            <w:tcW w:w="566" w:type="pct"/>
            <w:vAlign w:val="center"/>
          </w:tcPr>
          <w:p w14:paraId="0FA66B98">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39F6BB69">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413" w:type="pct"/>
            <w:vMerge w:val="restart"/>
            <w:vAlign w:val="center"/>
          </w:tcPr>
          <w:p w14:paraId="762CD1D8">
            <w:pPr>
              <w:spacing w:line="240" w:lineRule="auto"/>
              <w:ind w:firstLine="0" w:firstLineChars="0"/>
              <w:jc w:val="center"/>
              <w:rPr>
                <w:rFonts w:cs="Times New Roman"/>
                <w:spacing w:val="8"/>
                <w:sz w:val="21"/>
                <w:szCs w:val="21"/>
              </w:rPr>
            </w:pPr>
            <w:r>
              <w:rPr>
                <w:rFonts w:hint="eastAsia" w:cs="Times New Roman"/>
                <w:spacing w:val="8"/>
                <w:sz w:val="21"/>
                <w:szCs w:val="21"/>
              </w:rPr>
              <w:t>N27</w:t>
            </w:r>
          </w:p>
        </w:tc>
        <w:tc>
          <w:tcPr>
            <w:tcW w:w="801" w:type="pct"/>
            <w:vMerge w:val="restart"/>
            <w:vAlign w:val="center"/>
          </w:tcPr>
          <w:p w14:paraId="307B3232">
            <w:pPr>
              <w:spacing w:line="240" w:lineRule="auto"/>
              <w:ind w:firstLine="0" w:firstLineChars="0"/>
              <w:jc w:val="center"/>
              <w:rPr>
                <w:rFonts w:cs="Times New Roman"/>
                <w:spacing w:val="8"/>
                <w:sz w:val="21"/>
                <w:szCs w:val="21"/>
              </w:rPr>
            </w:pPr>
            <w:r>
              <w:rPr>
                <w:rFonts w:hint="eastAsia" w:cs="Times New Roman"/>
                <w:spacing w:val="8"/>
                <w:sz w:val="21"/>
                <w:szCs w:val="21"/>
              </w:rPr>
              <w:t>解放小学</w:t>
            </w:r>
          </w:p>
        </w:tc>
        <w:tc>
          <w:tcPr>
            <w:tcW w:w="568" w:type="pct"/>
            <w:vMerge w:val="restart"/>
            <w:vAlign w:val="center"/>
          </w:tcPr>
          <w:p w14:paraId="71CFCA42">
            <w:pPr>
              <w:spacing w:line="240" w:lineRule="auto"/>
              <w:ind w:firstLine="0" w:firstLineChars="0"/>
              <w:jc w:val="center"/>
              <w:rPr>
                <w:rFonts w:cs="Times New Roman"/>
                <w:spacing w:val="8"/>
                <w:sz w:val="21"/>
                <w:szCs w:val="21"/>
              </w:rPr>
            </w:pPr>
            <w:r>
              <w:rPr>
                <w:rFonts w:hint="eastAsia" w:cs="Times New Roman"/>
                <w:spacing w:val="8"/>
                <w:sz w:val="21"/>
                <w:szCs w:val="21"/>
              </w:rPr>
              <w:t>区外</w:t>
            </w:r>
          </w:p>
        </w:tc>
        <w:tc>
          <w:tcPr>
            <w:tcW w:w="703" w:type="pct"/>
            <w:vMerge w:val="restart"/>
            <w:vAlign w:val="center"/>
          </w:tcPr>
          <w:p w14:paraId="12E0A1A6">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r>
      <w:tr w14:paraId="33650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49532FF7">
            <w:pPr>
              <w:spacing w:line="240" w:lineRule="auto"/>
              <w:ind w:firstLine="0" w:firstLineChars="0"/>
              <w:jc w:val="center"/>
              <w:rPr>
                <w:rFonts w:cs="Times New Roman"/>
                <w:spacing w:val="8"/>
                <w:sz w:val="21"/>
                <w:szCs w:val="21"/>
              </w:rPr>
            </w:pPr>
            <w:r>
              <w:rPr>
                <w:rFonts w:hint="eastAsia" w:cs="Times New Roman"/>
                <w:spacing w:val="8"/>
                <w:sz w:val="21"/>
                <w:szCs w:val="21"/>
              </w:rPr>
              <w:t>N14</w:t>
            </w:r>
          </w:p>
        </w:tc>
        <w:tc>
          <w:tcPr>
            <w:tcW w:w="799" w:type="pct"/>
            <w:vAlign w:val="center"/>
          </w:tcPr>
          <w:p w14:paraId="1763FAEA">
            <w:pPr>
              <w:spacing w:line="240" w:lineRule="auto"/>
              <w:ind w:firstLine="0" w:firstLineChars="0"/>
              <w:jc w:val="center"/>
              <w:rPr>
                <w:rFonts w:cs="Times New Roman"/>
                <w:spacing w:val="8"/>
                <w:sz w:val="21"/>
                <w:szCs w:val="21"/>
              </w:rPr>
            </w:pPr>
            <w:r>
              <w:rPr>
                <w:rFonts w:hint="eastAsia" w:cs="Times New Roman"/>
                <w:spacing w:val="8"/>
                <w:sz w:val="21"/>
                <w:szCs w:val="21"/>
              </w:rPr>
              <w:t>阳山村</w:t>
            </w:r>
          </w:p>
        </w:tc>
        <w:tc>
          <w:tcPr>
            <w:tcW w:w="566" w:type="pct"/>
            <w:vAlign w:val="center"/>
          </w:tcPr>
          <w:p w14:paraId="72472330">
            <w:pPr>
              <w:spacing w:line="240" w:lineRule="auto"/>
              <w:ind w:firstLine="0" w:firstLineChars="0"/>
              <w:jc w:val="center"/>
              <w:rPr>
                <w:rFonts w:cs="Times New Roman"/>
                <w:spacing w:val="8"/>
                <w:sz w:val="21"/>
                <w:szCs w:val="21"/>
              </w:rPr>
            </w:pPr>
            <w:r>
              <w:rPr>
                <w:rFonts w:hint="eastAsia" w:cs="Times New Roman"/>
                <w:spacing w:val="8"/>
                <w:sz w:val="21"/>
                <w:szCs w:val="21"/>
              </w:rPr>
              <w:t>区内</w:t>
            </w:r>
          </w:p>
        </w:tc>
        <w:tc>
          <w:tcPr>
            <w:tcW w:w="700" w:type="pct"/>
            <w:vAlign w:val="center"/>
          </w:tcPr>
          <w:p w14:paraId="47BC3B4C">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413" w:type="pct"/>
            <w:vMerge w:val="continue"/>
            <w:vAlign w:val="center"/>
          </w:tcPr>
          <w:p w14:paraId="5721E7C5">
            <w:pPr>
              <w:spacing w:line="240" w:lineRule="auto"/>
              <w:ind w:firstLine="0" w:firstLineChars="0"/>
              <w:jc w:val="center"/>
              <w:rPr>
                <w:rFonts w:cs="Times New Roman"/>
                <w:spacing w:val="8"/>
                <w:sz w:val="21"/>
                <w:szCs w:val="21"/>
              </w:rPr>
            </w:pPr>
          </w:p>
        </w:tc>
        <w:tc>
          <w:tcPr>
            <w:tcW w:w="801" w:type="pct"/>
            <w:vMerge w:val="continue"/>
            <w:vAlign w:val="center"/>
          </w:tcPr>
          <w:p w14:paraId="46831AA2">
            <w:pPr>
              <w:spacing w:line="240" w:lineRule="auto"/>
              <w:ind w:firstLine="0" w:firstLineChars="0"/>
              <w:jc w:val="center"/>
              <w:rPr>
                <w:rFonts w:cs="Times New Roman"/>
                <w:spacing w:val="8"/>
                <w:sz w:val="21"/>
                <w:szCs w:val="21"/>
              </w:rPr>
            </w:pPr>
          </w:p>
        </w:tc>
        <w:tc>
          <w:tcPr>
            <w:tcW w:w="568" w:type="pct"/>
            <w:vMerge w:val="continue"/>
            <w:vAlign w:val="center"/>
          </w:tcPr>
          <w:p w14:paraId="78FD2225">
            <w:pPr>
              <w:spacing w:line="240" w:lineRule="auto"/>
              <w:ind w:firstLine="0" w:firstLineChars="0"/>
              <w:jc w:val="center"/>
              <w:rPr>
                <w:rFonts w:cs="Times New Roman"/>
                <w:spacing w:val="8"/>
                <w:sz w:val="21"/>
                <w:szCs w:val="21"/>
              </w:rPr>
            </w:pPr>
          </w:p>
        </w:tc>
        <w:tc>
          <w:tcPr>
            <w:tcW w:w="703" w:type="pct"/>
            <w:vMerge w:val="continue"/>
            <w:vAlign w:val="center"/>
          </w:tcPr>
          <w:p w14:paraId="703418C4">
            <w:pPr>
              <w:spacing w:line="240" w:lineRule="auto"/>
              <w:ind w:firstLine="0" w:firstLineChars="0"/>
              <w:jc w:val="center"/>
              <w:rPr>
                <w:rFonts w:cs="Times New Roman"/>
                <w:spacing w:val="8"/>
                <w:sz w:val="21"/>
                <w:szCs w:val="21"/>
              </w:rPr>
            </w:pPr>
          </w:p>
        </w:tc>
      </w:tr>
    </w:tbl>
    <w:p w14:paraId="05467BD7">
      <w:pPr>
        <w:ind w:firstLine="482"/>
        <w:rPr>
          <w:b/>
          <w:szCs w:val="24"/>
        </w:rPr>
      </w:pPr>
      <w:r>
        <w:rPr>
          <w:rFonts w:hint="eastAsia"/>
          <w:b/>
          <w:szCs w:val="24"/>
        </w:rPr>
        <w:t>（2）监测时间和监测频次</w:t>
      </w:r>
    </w:p>
    <w:p w14:paraId="7C09ACB6">
      <w:pPr>
        <w:ind w:firstLine="480"/>
      </w:pPr>
      <w:r>
        <w:rPr>
          <w:rFonts w:hint="eastAsia"/>
        </w:rPr>
        <w:t>N</w:t>
      </w:r>
      <w:r>
        <w:t>1~</w:t>
      </w:r>
      <w:r>
        <w:rPr>
          <w:rFonts w:hint="eastAsia"/>
        </w:rPr>
        <w:t>N</w:t>
      </w:r>
      <w:r>
        <w:t>10</w:t>
      </w:r>
      <w:r>
        <w:rPr>
          <w:rFonts w:hint="eastAsia"/>
        </w:rPr>
        <w:t>点位监测时间为2024年3月2日—2024年3月3日，每个点位连续监测两天，每天昼、夜各一次；N</w:t>
      </w:r>
      <w:r>
        <w:t>11~</w:t>
      </w:r>
      <w:r>
        <w:rPr>
          <w:rFonts w:hint="eastAsia"/>
        </w:rPr>
        <w:t>N</w:t>
      </w:r>
      <w:r>
        <w:t>27</w:t>
      </w:r>
      <w:r>
        <w:rPr>
          <w:rFonts w:hint="eastAsia"/>
        </w:rPr>
        <w:t>点位监测时间为2024年3月2</w:t>
      </w:r>
      <w:r>
        <w:t>5</w:t>
      </w:r>
      <w:r>
        <w:rPr>
          <w:rFonts w:hint="eastAsia"/>
        </w:rPr>
        <w:t>日—2024年3月</w:t>
      </w:r>
      <w:r>
        <w:t>26</w:t>
      </w:r>
      <w:r>
        <w:rPr>
          <w:rFonts w:hint="eastAsia"/>
        </w:rPr>
        <w:t>日，每个点位连续监测两天，每天昼、夜各一次。</w:t>
      </w:r>
    </w:p>
    <w:p w14:paraId="1A33B882">
      <w:pPr>
        <w:ind w:firstLine="482"/>
        <w:rPr>
          <w:b/>
          <w:bCs/>
        </w:rPr>
      </w:pPr>
      <w:r>
        <w:rPr>
          <w:rFonts w:hint="eastAsia"/>
          <w:b/>
          <w:bCs/>
        </w:rPr>
        <w:t>（3）监测分析方法</w:t>
      </w:r>
    </w:p>
    <w:p w14:paraId="4D3A0667">
      <w:pPr>
        <w:ind w:firstLine="480"/>
      </w:pPr>
      <w:r>
        <w:rPr>
          <w:rFonts w:hint="eastAsia"/>
        </w:rPr>
        <w:t>监测方法和要求按照《声环境质量标准》（G</w:t>
      </w:r>
      <w:r>
        <w:t>B 3096</w:t>
      </w:r>
      <w:r>
        <w:rPr>
          <w:rFonts w:hint="eastAsia"/>
        </w:rPr>
        <w:t>-</w:t>
      </w:r>
      <w:r>
        <w:t>2008</w:t>
      </w:r>
      <w:r>
        <w:rPr>
          <w:rFonts w:hint="eastAsia"/>
        </w:rPr>
        <w:t>）的有关规定和要求执行。</w:t>
      </w:r>
    </w:p>
    <w:p w14:paraId="46147994">
      <w:pPr>
        <w:ind w:firstLine="482"/>
        <w:rPr>
          <w:b/>
          <w:bCs/>
        </w:rPr>
      </w:pPr>
      <w:r>
        <w:rPr>
          <w:rFonts w:hint="eastAsia"/>
          <w:b/>
          <w:bCs/>
        </w:rPr>
        <w:t>（4）监测结果分析与评价</w:t>
      </w:r>
    </w:p>
    <w:p w14:paraId="61B11598">
      <w:pPr>
        <w:ind w:firstLine="480"/>
      </w:pPr>
      <w:r>
        <w:rPr>
          <w:rFonts w:hint="eastAsia"/>
        </w:rPr>
        <w:t>声环境质量现状监测结果见表3.5-11。声环境质量现状监测结果表明，N1~N</w:t>
      </w:r>
      <w:r>
        <w:t>27</w:t>
      </w:r>
      <w:r>
        <w:rPr>
          <w:rFonts w:hint="eastAsia"/>
        </w:rPr>
        <w:t>中代表2类功能区的监测点位的昼间、夜间噪声值均满足《声环境质量标准》（GB 3096-2008）标准要求；代表1类功能区中的监测点位中，N9、N17、N26、N27所代表的城镇住宅和学校区域的昼间、夜间噪声不能稳定达到1类功能区标准要求，但基本满足2类功能区要求。</w:t>
      </w:r>
    </w:p>
    <w:p w14:paraId="423B1B65">
      <w:pPr>
        <w:ind w:firstLine="480"/>
      </w:pPr>
      <w:r>
        <w:rPr>
          <w:rFonts w:hint="eastAsia"/>
        </w:rPr>
        <w:t>整体上看，度假区声环境质量处于较好水平。</w:t>
      </w:r>
    </w:p>
    <w:p w14:paraId="16B6BC4F">
      <w:pPr>
        <w:pStyle w:val="45"/>
      </w:pPr>
      <w:r>
        <w:t>表</w:t>
      </w:r>
      <w:r>
        <w:rPr>
          <w:rFonts w:hint="eastAsia"/>
        </w:rPr>
        <w:t>3</w:t>
      </w:r>
      <w:r>
        <w:t>.</w:t>
      </w:r>
      <w:r>
        <w:rPr>
          <w:rFonts w:hint="eastAsia"/>
        </w:rPr>
        <w:t>5</w:t>
      </w:r>
      <w:r>
        <w:t>-</w:t>
      </w:r>
      <w:r>
        <w:rPr>
          <w:rFonts w:hint="eastAsia"/>
        </w:rPr>
        <w:t>12(</w:t>
      </w:r>
      <w:r>
        <w:t xml:space="preserve">1)  </w:t>
      </w:r>
      <w:r>
        <w:rPr>
          <w:rFonts w:hint="eastAsia"/>
        </w:rPr>
        <w:t>声环境质量现状监测结果表（dB（A））</w:t>
      </w:r>
    </w:p>
    <w:tbl>
      <w:tblPr>
        <w:tblStyle w:val="75"/>
        <w:tblW w:w="48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1515"/>
        <w:gridCol w:w="1157"/>
        <w:gridCol w:w="1177"/>
        <w:gridCol w:w="1185"/>
        <w:gridCol w:w="1177"/>
        <w:gridCol w:w="1190"/>
      </w:tblGrid>
      <w:tr w14:paraId="198B5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27" w:type="pct"/>
            <w:vMerge w:val="restart"/>
            <w:vAlign w:val="center"/>
          </w:tcPr>
          <w:p w14:paraId="7B62D62C">
            <w:pPr>
              <w:spacing w:line="240" w:lineRule="auto"/>
              <w:ind w:firstLine="0" w:firstLineChars="0"/>
              <w:jc w:val="center"/>
              <w:rPr>
                <w:rFonts w:cs="Times New Roman"/>
                <w:b/>
                <w:kern w:val="0"/>
                <w:sz w:val="21"/>
                <w:szCs w:val="21"/>
                <w14:ligatures w14:val="none"/>
              </w:rPr>
            </w:pPr>
            <w:r>
              <w:rPr>
                <w:rFonts w:hint="eastAsia" w:cs="Times New Roman"/>
                <w:b/>
                <w:kern w:val="0"/>
                <w:sz w:val="21"/>
                <w:szCs w:val="21"/>
                <w14:ligatures w14:val="none"/>
              </w:rPr>
              <w:t>测点号</w:t>
            </w:r>
          </w:p>
        </w:tc>
        <w:tc>
          <w:tcPr>
            <w:tcW w:w="915" w:type="pct"/>
            <w:vMerge w:val="restart"/>
            <w:vAlign w:val="center"/>
          </w:tcPr>
          <w:p w14:paraId="7F779D1D">
            <w:pPr>
              <w:spacing w:line="240" w:lineRule="auto"/>
              <w:ind w:firstLine="0" w:firstLineChars="0"/>
              <w:jc w:val="center"/>
              <w:rPr>
                <w:rFonts w:cs="Times New Roman"/>
                <w:b/>
                <w:kern w:val="0"/>
                <w:sz w:val="21"/>
                <w:szCs w:val="21"/>
                <w14:ligatures w14:val="none"/>
              </w:rPr>
            </w:pPr>
            <w:r>
              <w:rPr>
                <w:rFonts w:hint="eastAsia" w:cs="Times New Roman"/>
                <w:b/>
                <w:kern w:val="0"/>
                <w:sz w:val="21"/>
                <w:szCs w:val="21"/>
                <w14:ligatures w14:val="none"/>
              </w:rPr>
              <w:t>测点位置</w:t>
            </w:r>
          </w:p>
        </w:tc>
        <w:tc>
          <w:tcPr>
            <w:tcW w:w="699" w:type="pct"/>
            <w:vMerge w:val="restart"/>
            <w:vAlign w:val="center"/>
          </w:tcPr>
          <w:p w14:paraId="6401D882">
            <w:pPr>
              <w:spacing w:line="240" w:lineRule="auto"/>
              <w:ind w:firstLine="0" w:firstLineChars="0"/>
              <w:jc w:val="center"/>
              <w:rPr>
                <w:rFonts w:cs="Times New Roman"/>
                <w:b/>
                <w:kern w:val="0"/>
                <w:sz w:val="21"/>
                <w:szCs w:val="21"/>
                <w14:ligatures w14:val="none"/>
              </w:rPr>
            </w:pPr>
            <w:r>
              <w:rPr>
                <w:rFonts w:hint="eastAsia" w:cs="Times New Roman"/>
                <w:b/>
                <w:kern w:val="0"/>
                <w:sz w:val="21"/>
                <w:szCs w:val="21"/>
                <w14:ligatures w14:val="none"/>
              </w:rPr>
              <w:t>功能区</w:t>
            </w:r>
          </w:p>
        </w:tc>
        <w:tc>
          <w:tcPr>
            <w:tcW w:w="2857" w:type="pct"/>
            <w:gridSpan w:val="4"/>
            <w:vAlign w:val="center"/>
          </w:tcPr>
          <w:p w14:paraId="5B20EF5B">
            <w:pPr>
              <w:spacing w:line="240" w:lineRule="auto"/>
              <w:ind w:firstLine="0" w:firstLineChars="0"/>
              <w:jc w:val="center"/>
              <w:rPr>
                <w:rFonts w:cs="Times New Roman"/>
                <w:kern w:val="0"/>
                <w:sz w:val="21"/>
                <w:szCs w:val="21"/>
                <w14:ligatures w14:val="none"/>
              </w:rPr>
            </w:pPr>
            <w:r>
              <w:rPr>
                <w:rFonts w:hint="eastAsia" w:cs="Times New Roman"/>
                <w:b/>
                <w:kern w:val="0"/>
                <w:sz w:val="21"/>
                <w:szCs w:val="21"/>
                <w14:ligatures w14:val="none"/>
              </w:rPr>
              <w:t>噪声检测结果</w:t>
            </w:r>
            <w:r>
              <w:rPr>
                <w:rFonts w:hint="eastAsia" w:cs="Times New Roman"/>
                <w:b/>
                <w:color w:val="000000"/>
                <w:kern w:val="0"/>
                <w:sz w:val="21"/>
                <w:szCs w:val="21"/>
                <w14:ligatures w14:val="none"/>
              </w:rPr>
              <w:t>dB（A）</w:t>
            </w:r>
          </w:p>
        </w:tc>
      </w:tr>
      <w:tr w14:paraId="4AB7E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blHeader/>
          <w:jc w:val="center"/>
        </w:trPr>
        <w:tc>
          <w:tcPr>
            <w:tcW w:w="527" w:type="pct"/>
            <w:vMerge w:val="continue"/>
            <w:vAlign w:val="center"/>
          </w:tcPr>
          <w:p w14:paraId="10DE1838">
            <w:pPr>
              <w:widowControl/>
              <w:spacing w:line="240" w:lineRule="auto"/>
              <w:ind w:firstLine="0" w:firstLineChars="0"/>
              <w:jc w:val="left"/>
              <w:rPr>
                <w:rFonts w:cs="Times New Roman"/>
                <w:b/>
                <w:kern w:val="0"/>
                <w:sz w:val="21"/>
                <w:szCs w:val="21"/>
                <w14:ligatures w14:val="none"/>
              </w:rPr>
            </w:pPr>
          </w:p>
        </w:tc>
        <w:tc>
          <w:tcPr>
            <w:tcW w:w="915" w:type="pct"/>
            <w:vMerge w:val="continue"/>
            <w:vAlign w:val="center"/>
          </w:tcPr>
          <w:p w14:paraId="3353E912">
            <w:pPr>
              <w:widowControl/>
              <w:spacing w:line="240" w:lineRule="auto"/>
              <w:ind w:firstLine="0" w:firstLineChars="0"/>
              <w:jc w:val="left"/>
              <w:rPr>
                <w:rFonts w:cs="Times New Roman"/>
                <w:b/>
                <w:kern w:val="0"/>
                <w:sz w:val="21"/>
                <w:szCs w:val="21"/>
                <w14:ligatures w14:val="none"/>
              </w:rPr>
            </w:pPr>
          </w:p>
        </w:tc>
        <w:tc>
          <w:tcPr>
            <w:tcW w:w="699" w:type="pct"/>
            <w:vMerge w:val="continue"/>
            <w:vAlign w:val="center"/>
          </w:tcPr>
          <w:p w14:paraId="3EC295B0">
            <w:pPr>
              <w:widowControl/>
              <w:spacing w:line="240" w:lineRule="auto"/>
              <w:ind w:firstLine="0" w:firstLineChars="0"/>
              <w:jc w:val="left"/>
              <w:rPr>
                <w:rFonts w:cs="Times New Roman"/>
                <w:b/>
                <w:kern w:val="0"/>
                <w:sz w:val="21"/>
                <w:szCs w:val="21"/>
                <w14:ligatures w14:val="none"/>
              </w:rPr>
            </w:pPr>
          </w:p>
        </w:tc>
        <w:tc>
          <w:tcPr>
            <w:tcW w:w="1427" w:type="pct"/>
            <w:gridSpan w:val="2"/>
            <w:vAlign w:val="center"/>
          </w:tcPr>
          <w:p w14:paraId="35213161">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2024年3月2日</w:t>
            </w:r>
          </w:p>
        </w:tc>
        <w:tc>
          <w:tcPr>
            <w:tcW w:w="1430" w:type="pct"/>
            <w:gridSpan w:val="2"/>
            <w:vAlign w:val="center"/>
          </w:tcPr>
          <w:p w14:paraId="557027E9">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2024年3月3日</w:t>
            </w:r>
          </w:p>
        </w:tc>
      </w:tr>
      <w:tr w14:paraId="15900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tblHeader/>
          <w:jc w:val="center"/>
        </w:trPr>
        <w:tc>
          <w:tcPr>
            <w:tcW w:w="527" w:type="pct"/>
            <w:vMerge w:val="continue"/>
            <w:vAlign w:val="center"/>
          </w:tcPr>
          <w:p w14:paraId="0D59FA80">
            <w:pPr>
              <w:widowControl/>
              <w:spacing w:line="240" w:lineRule="auto"/>
              <w:ind w:firstLine="0" w:firstLineChars="0"/>
              <w:jc w:val="left"/>
              <w:rPr>
                <w:rFonts w:cs="Times New Roman"/>
                <w:b/>
                <w:kern w:val="0"/>
                <w:sz w:val="21"/>
                <w:szCs w:val="21"/>
                <w14:ligatures w14:val="none"/>
              </w:rPr>
            </w:pPr>
          </w:p>
        </w:tc>
        <w:tc>
          <w:tcPr>
            <w:tcW w:w="915" w:type="pct"/>
            <w:vMerge w:val="continue"/>
            <w:vAlign w:val="center"/>
          </w:tcPr>
          <w:p w14:paraId="4FEBA5E3">
            <w:pPr>
              <w:widowControl/>
              <w:spacing w:line="240" w:lineRule="auto"/>
              <w:ind w:firstLine="0" w:firstLineChars="0"/>
              <w:jc w:val="left"/>
              <w:rPr>
                <w:rFonts w:cs="Times New Roman"/>
                <w:b/>
                <w:kern w:val="0"/>
                <w:sz w:val="21"/>
                <w:szCs w:val="21"/>
                <w14:ligatures w14:val="none"/>
              </w:rPr>
            </w:pPr>
          </w:p>
        </w:tc>
        <w:tc>
          <w:tcPr>
            <w:tcW w:w="699" w:type="pct"/>
            <w:vMerge w:val="continue"/>
            <w:vAlign w:val="center"/>
          </w:tcPr>
          <w:p w14:paraId="3742ECDD">
            <w:pPr>
              <w:widowControl/>
              <w:spacing w:line="240" w:lineRule="auto"/>
              <w:ind w:firstLine="0" w:firstLineChars="0"/>
              <w:jc w:val="left"/>
              <w:rPr>
                <w:rFonts w:cs="Times New Roman"/>
                <w:b/>
                <w:kern w:val="0"/>
                <w:sz w:val="21"/>
                <w:szCs w:val="21"/>
                <w14:ligatures w14:val="none"/>
              </w:rPr>
            </w:pPr>
          </w:p>
        </w:tc>
        <w:tc>
          <w:tcPr>
            <w:tcW w:w="711" w:type="pct"/>
            <w:vAlign w:val="center"/>
          </w:tcPr>
          <w:p w14:paraId="1E47E7CF">
            <w:pPr>
              <w:spacing w:line="240" w:lineRule="auto"/>
              <w:ind w:firstLine="0" w:firstLineChars="0"/>
              <w:jc w:val="center"/>
              <w:rPr>
                <w:rFonts w:cs="Times New Roman"/>
                <w:b/>
                <w:kern w:val="0"/>
                <w:sz w:val="21"/>
                <w:szCs w:val="21"/>
                <w14:ligatures w14:val="none"/>
              </w:rPr>
            </w:pPr>
            <w:r>
              <w:rPr>
                <w:rFonts w:hint="eastAsia" w:cs="Times New Roman"/>
                <w:b/>
                <w:kern w:val="0"/>
                <w:sz w:val="21"/>
                <w:szCs w:val="21"/>
                <w14:ligatures w14:val="none"/>
              </w:rPr>
              <w:t>昼间</w:t>
            </w:r>
          </w:p>
        </w:tc>
        <w:tc>
          <w:tcPr>
            <w:tcW w:w="716" w:type="pct"/>
            <w:vAlign w:val="center"/>
          </w:tcPr>
          <w:p w14:paraId="4794AAB8">
            <w:pPr>
              <w:spacing w:line="240" w:lineRule="auto"/>
              <w:ind w:firstLine="0" w:firstLineChars="0"/>
              <w:jc w:val="center"/>
              <w:rPr>
                <w:rFonts w:cs="Times New Roman"/>
                <w:kern w:val="0"/>
                <w:sz w:val="21"/>
                <w:szCs w:val="21"/>
                <w14:ligatures w14:val="none"/>
              </w:rPr>
            </w:pPr>
            <w:r>
              <w:rPr>
                <w:rFonts w:hint="eastAsia" w:cs="Times New Roman"/>
                <w:b/>
                <w:kern w:val="0"/>
                <w:sz w:val="21"/>
                <w:szCs w:val="21"/>
                <w14:ligatures w14:val="none"/>
              </w:rPr>
              <w:t>夜间</w:t>
            </w:r>
          </w:p>
        </w:tc>
        <w:tc>
          <w:tcPr>
            <w:tcW w:w="711" w:type="pct"/>
            <w:vAlign w:val="center"/>
          </w:tcPr>
          <w:p w14:paraId="2D66295D">
            <w:pPr>
              <w:spacing w:line="240" w:lineRule="auto"/>
              <w:ind w:firstLine="0" w:firstLineChars="0"/>
              <w:jc w:val="center"/>
              <w:rPr>
                <w:rFonts w:cs="Times New Roman"/>
                <w:b/>
                <w:kern w:val="0"/>
                <w:sz w:val="21"/>
                <w:szCs w:val="21"/>
                <w14:ligatures w14:val="none"/>
              </w:rPr>
            </w:pPr>
            <w:r>
              <w:rPr>
                <w:rFonts w:hint="eastAsia" w:cs="Times New Roman"/>
                <w:b/>
                <w:kern w:val="0"/>
                <w:sz w:val="21"/>
                <w:szCs w:val="21"/>
                <w14:ligatures w14:val="none"/>
              </w:rPr>
              <w:t>昼间</w:t>
            </w:r>
          </w:p>
        </w:tc>
        <w:tc>
          <w:tcPr>
            <w:tcW w:w="719" w:type="pct"/>
            <w:vAlign w:val="center"/>
          </w:tcPr>
          <w:p w14:paraId="434DAA6E">
            <w:pPr>
              <w:spacing w:line="240" w:lineRule="auto"/>
              <w:ind w:firstLine="0" w:firstLineChars="0"/>
              <w:jc w:val="center"/>
              <w:rPr>
                <w:rFonts w:cs="Times New Roman"/>
                <w:b/>
                <w:kern w:val="0"/>
                <w:sz w:val="21"/>
                <w:szCs w:val="21"/>
                <w14:ligatures w14:val="none"/>
              </w:rPr>
            </w:pPr>
            <w:r>
              <w:rPr>
                <w:rFonts w:hint="eastAsia" w:cs="Times New Roman"/>
                <w:b/>
                <w:kern w:val="0"/>
                <w:sz w:val="21"/>
                <w:szCs w:val="21"/>
                <w14:ligatures w14:val="none"/>
              </w:rPr>
              <w:t>夜间</w:t>
            </w:r>
          </w:p>
        </w:tc>
      </w:tr>
      <w:tr w14:paraId="0E8A5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7" w:type="pct"/>
            <w:vAlign w:val="center"/>
          </w:tcPr>
          <w:p w14:paraId="51B79E9F">
            <w:pPr>
              <w:autoSpaceDE w:val="0"/>
              <w:spacing w:line="240" w:lineRule="auto"/>
              <w:ind w:firstLine="0" w:firstLineChars="0"/>
              <w:jc w:val="center"/>
              <w:rPr>
                <w:rFonts w:cs="Times New Roman"/>
                <w:kern w:val="0"/>
                <w:sz w:val="21"/>
                <w:szCs w:val="21"/>
                <w14:ligatures w14:val="none"/>
              </w:rPr>
            </w:pPr>
            <w:r>
              <w:rPr>
                <w:rFonts w:hint="eastAsia" w:cs="Times New Roman"/>
                <w:color w:val="000000"/>
                <w:kern w:val="0"/>
                <w:sz w:val="21"/>
                <w:szCs w:val="21"/>
                <w14:ligatures w14:val="none"/>
              </w:rPr>
              <w:t>N1</w:t>
            </w:r>
          </w:p>
        </w:tc>
        <w:tc>
          <w:tcPr>
            <w:tcW w:w="915" w:type="pct"/>
            <w:vAlign w:val="center"/>
          </w:tcPr>
          <w:p w14:paraId="2B754573">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东进小区</w:t>
            </w:r>
          </w:p>
        </w:tc>
        <w:tc>
          <w:tcPr>
            <w:tcW w:w="699" w:type="pct"/>
            <w:vAlign w:val="center"/>
          </w:tcPr>
          <w:p w14:paraId="21A5ACE0">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c>
          <w:tcPr>
            <w:tcW w:w="711" w:type="pct"/>
            <w:vAlign w:val="center"/>
          </w:tcPr>
          <w:p w14:paraId="04D322A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52</w:t>
            </w:r>
          </w:p>
        </w:tc>
        <w:tc>
          <w:tcPr>
            <w:tcW w:w="716" w:type="pct"/>
            <w:vAlign w:val="center"/>
          </w:tcPr>
          <w:p w14:paraId="32E57C5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43</w:t>
            </w:r>
          </w:p>
        </w:tc>
        <w:tc>
          <w:tcPr>
            <w:tcW w:w="711" w:type="pct"/>
            <w:vAlign w:val="center"/>
          </w:tcPr>
          <w:p w14:paraId="28E10D3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54</w:t>
            </w:r>
          </w:p>
        </w:tc>
        <w:tc>
          <w:tcPr>
            <w:tcW w:w="719" w:type="pct"/>
            <w:vAlign w:val="center"/>
          </w:tcPr>
          <w:p w14:paraId="5CC50CD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44</w:t>
            </w:r>
          </w:p>
        </w:tc>
      </w:tr>
      <w:tr w14:paraId="1E512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7" w:type="pct"/>
            <w:vAlign w:val="center"/>
          </w:tcPr>
          <w:p w14:paraId="6B86DE2D">
            <w:pPr>
              <w:autoSpaceDE w:val="0"/>
              <w:spacing w:line="240" w:lineRule="auto"/>
              <w:ind w:firstLine="0" w:firstLineChars="0"/>
              <w:jc w:val="center"/>
              <w:rPr>
                <w:rFonts w:cs="Times New Roman"/>
                <w:kern w:val="0"/>
                <w:sz w:val="21"/>
                <w:szCs w:val="21"/>
                <w14:ligatures w14:val="none"/>
              </w:rPr>
            </w:pPr>
            <w:r>
              <w:rPr>
                <w:rFonts w:hint="eastAsia" w:cs="Times New Roman"/>
                <w:color w:val="000000"/>
                <w:kern w:val="0"/>
                <w:sz w:val="21"/>
                <w:szCs w:val="21"/>
                <w14:ligatures w14:val="none"/>
              </w:rPr>
              <w:t>N2</w:t>
            </w:r>
          </w:p>
        </w:tc>
        <w:tc>
          <w:tcPr>
            <w:tcW w:w="915" w:type="pct"/>
            <w:vAlign w:val="center"/>
          </w:tcPr>
          <w:p w14:paraId="13B79562">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上阳村</w:t>
            </w:r>
          </w:p>
        </w:tc>
        <w:tc>
          <w:tcPr>
            <w:tcW w:w="699" w:type="pct"/>
            <w:vAlign w:val="center"/>
          </w:tcPr>
          <w:p w14:paraId="157C6DE5">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711" w:type="pct"/>
            <w:vAlign w:val="center"/>
          </w:tcPr>
          <w:p w14:paraId="7D8926C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56</w:t>
            </w:r>
          </w:p>
        </w:tc>
        <w:tc>
          <w:tcPr>
            <w:tcW w:w="716" w:type="pct"/>
            <w:vAlign w:val="center"/>
          </w:tcPr>
          <w:p w14:paraId="11A1B75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48</w:t>
            </w:r>
          </w:p>
        </w:tc>
        <w:tc>
          <w:tcPr>
            <w:tcW w:w="711" w:type="pct"/>
            <w:vAlign w:val="center"/>
          </w:tcPr>
          <w:p w14:paraId="0403B25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56</w:t>
            </w:r>
          </w:p>
        </w:tc>
        <w:tc>
          <w:tcPr>
            <w:tcW w:w="719" w:type="pct"/>
            <w:vAlign w:val="center"/>
          </w:tcPr>
          <w:p w14:paraId="1CDE7C3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48</w:t>
            </w:r>
          </w:p>
        </w:tc>
      </w:tr>
      <w:tr w14:paraId="40BAC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7" w:type="pct"/>
            <w:vAlign w:val="center"/>
          </w:tcPr>
          <w:p w14:paraId="29DC06ED">
            <w:pPr>
              <w:autoSpaceDE w:val="0"/>
              <w:spacing w:line="240" w:lineRule="auto"/>
              <w:ind w:firstLine="0" w:firstLineChars="0"/>
              <w:jc w:val="center"/>
              <w:rPr>
                <w:rFonts w:cs="Times New Roman"/>
                <w:kern w:val="0"/>
                <w:sz w:val="21"/>
                <w:szCs w:val="21"/>
                <w14:ligatures w14:val="none"/>
              </w:rPr>
            </w:pPr>
            <w:r>
              <w:rPr>
                <w:rFonts w:hint="eastAsia" w:cs="Times New Roman"/>
                <w:color w:val="000000"/>
                <w:kern w:val="0"/>
                <w:sz w:val="21"/>
                <w:szCs w:val="21"/>
                <w14:ligatures w14:val="none"/>
              </w:rPr>
              <w:t>N3</w:t>
            </w:r>
          </w:p>
        </w:tc>
        <w:tc>
          <w:tcPr>
            <w:tcW w:w="915" w:type="pct"/>
            <w:vAlign w:val="center"/>
          </w:tcPr>
          <w:p w14:paraId="76646EA6">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高德庄园</w:t>
            </w:r>
          </w:p>
        </w:tc>
        <w:tc>
          <w:tcPr>
            <w:tcW w:w="699" w:type="pct"/>
            <w:vAlign w:val="center"/>
          </w:tcPr>
          <w:p w14:paraId="664F5C7A">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711" w:type="pct"/>
            <w:vAlign w:val="center"/>
          </w:tcPr>
          <w:p w14:paraId="70B6D3C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58</w:t>
            </w:r>
          </w:p>
        </w:tc>
        <w:tc>
          <w:tcPr>
            <w:tcW w:w="716" w:type="pct"/>
            <w:vAlign w:val="center"/>
          </w:tcPr>
          <w:p w14:paraId="30E68E8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44</w:t>
            </w:r>
          </w:p>
        </w:tc>
        <w:tc>
          <w:tcPr>
            <w:tcW w:w="711" w:type="pct"/>
            <w:vAlign w:val="center"/>
          </w:tcPr>
          <w:p w14:paraId="17F6647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55</w:t>
            </w:r>
          </w:p>
        </w:tc>
        <w:tc>
          <w:tcPr>
            <w:tcW w:w="719" w:type="pct"/>
            <w:vAlign w:val="center"/>
          </w:tcPr>
          <w:p w14:paraId="62786B5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42</w:t>
            </w:r>
          </w:p>
        </w:tc>
      </w:tr>
      <w:tr w14:paraId="7F292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7" w:type="pct"/>
            <w:vAlign w:val="center"/>
          </w:tcPr>
          <w:p w14:paraId="578EA36A">
            <w:pPr>
              <w:autoSpaceDE w:val="0"/>
              <w:spacing w:line="240" w:lineRule="auto"/>
              <w:ind w:firstLine="0" w:firstLineChars="0"/>
              <w:jc w:val="center"/>
              <w:rPr>
                <w:rFonts w:cs="Times New Roman"/>
                <w:kern w:val="0"/>
                <w:sz w:val="21"/>
                <w:szCs w:val="21"/>
                <w14:ligatures w14:val="none"/>
              </w:rPr>
            </w:pPr>
            <w:r>
              <w:rPr>
                <w:rFonts w:hint="eastAsia" w:cs="Times New Roman"/>
                <w:color w:val="000000"/>
                <w:kern w:val="0"/>
                <w:sz w:val="21"/>
                <w:szCs w:val="21"/>
                <w14:ligatures w14:val="none"/>
              </w:rPr>
              <w:t>N4</w:t>
            </w:r>
          </w:p>
        </w:tc>
        <w:tc>
          <w:tcPr>
            <w:tcW w:w="915" w:type="pct"/>
            <w:vAlign w:val="center"/>
          </w:tcPr>
          <w:p w14:paraId="5107D9C0">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小隐民宿</w:t>
            </w:r>
          </w:p>
        </w:tc>
        <w:tc>
          <w:tcPr>
            <w:tcW w:w="699" w:type="pct"/>
            <w:vAlign w:val="center"/>
          </w:tcPr>
          <w:p w14:paraId="35730B5A">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711" w:type="pct"/>
            <w:vAlign w:val="center"/>
          </w:tcPr>
          <w:p w14:paraId="6254742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53</w:t>
            </w:r>
          </w:p>
        </w:tc>
        <w:tc>
          <w:tcPr>
            <w:tcW w:w="716" w:type="pct"/>
            <w:vAlign w:val="center"/>
          </w:tcPr>
          <w:p w14:paraId="5CF9C72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49</w:t>
            </w:r>
          </w:p>
        </w:tc>
        <w:tc>
          <w:tcPr>
            <w:tcW w:w="711" w:type="pct"/>
            <w:vAlign w:val="center"/>
          </w:tcPr>
          <w:p w14:paraId="7558FC3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53</w:t>
            </w:r>
          </w:p>
        </w:tc>
        <w:tc>
          <w:tcPr>
            <w:tcW w:w="719" w:type="pct"/>
            <w:vAlign w:val="center"/>
          </w:tcPr>
          <w:p w14:paraId="71D1229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46</w:t>
            </w:r>
          </w:p>
        </w:tc>
      </w:tr>
      <w:tr w14:paraId="03067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7" w:type="pct"/>
            <w:vAlign w:val="center"/>
          </w:tcPr>
          <w:p w14:paraId="68ABF5B4">
            <w:pPr>
              <w:autoSpaceDE w:val="0"/>
              <w:spacing w:line="240" w:lineRule="auto"/>
              <w:ind w:firstLine="0" w:firstLineChars="0"/>
              <w:jc w:val="center"/>
              <w:rPr>
                <w:rFonts w:cs="Times New Roman"/>
                <w:kern w:val="0"/>
                <w:sz w:val="21"/>
                <w:szCs w:val="21"/>
                <w14:ligatures w14:val="none"/>
              </w:rPr>
            </w:pPr>
            <w:r>
              <w:rPr>
                <w:rFonts w:hint="eastAsia" w:cs="Times New Roman"/>
                <w:color w:val="000000"/>
                <w:kern w:val="0"/>
                <w:sz w:val="21"/>
                <w:szCs w:val="21"/>
                <w14:ligatures w14:val="none"/>
              </w:rPr>
              <w:t>N5</w:t>
            </w:r>
          </w:p>
        </w:tc>
        <w:tc>
          <w:tcPr>
            <w:tcW w:w="915" w:type="pct"/>
            <w:vAlign w:val="center"/>
          </w:tcPr>
          <w:p w14:paraId="3C922229">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雅居乐山湖城</w:t>
            </w:r>
          </w:p>
        </w:tc>
        <w:tc>
          <w:tcPr>
            <w:tcW w:w="699" w:type="pct"/>
            <w:vAlign w:val="center"/>
          </w:tcPr>
          <w:p w14:paraId="6A62EFE6">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711" w:type="pct"/>
            <w:vAlign w:val="center"/>
          </w:tcPr>
          <w:p w14:paraId="5178997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57</w:t>
            </w:r>
          </w:p>
        </w:tc>
        <w:tc>
          <w:tcPr>
            <w:tcW w:w="716" w:type="pct"/>
            <w:vAlign w:val="center"/>
          </w:tcPr>
          <w:p w14:paraId="1AA39D9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44</w:t>
            </w:r>
          </w:p>
        </w:tc>
        <w:tc>
          <w:tcPr>
            <w:tcW w:w="711" w:type="pct"/>
            <w:vAlign w:val="center"/>
          </w:tcPr>
          <w:p w14:paraId="11E1179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58</w:t>
            </w:r>
          </w:p>
        </w:tc>
        <w:tc>
          <w:tcPr>
            <w:tcW w:w="719" w:type="pct"/>
            <w:vAlign w:val="center"/>
          </w:tcPr>
          <w:p w14:paraId="03522FF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45</w:t>
            </w:r>
          </w:p>
        </w:tc>
      </w:tr>
      <w:tr w14:paraId="2C7F7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7" w:type="pct"/>
            <w:vAlign w:val="center"/>
          </w:tcPr>
          <w:p w14:paraId="2B05C97D">
            <w:pPr>
              <w:autoSpaceDE w:val="0"/>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N6</w:t>
            </w:r>
          </w:p>
        </w:tc>
        <w:tc>
          <w:tcPr>
            <w:tcW w:w="915" w:type="pct"/>
            <w:vAlign w:val="center"/>
          </w:tcPr>
          <w:p w14:paraId="0D4B188A">
            <w:pPr>
              <w:autoSpaceDE w:val="0"/>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兰亭雅居</w:t>
            </w:r>
          </w:p>
        </w:tc>
        <w:tc>
          <w:tcPr>
            <w:tcW w:w="699" w:type="pct"/>
            <w:vAlign w:val="center"/>
          </w:tcPr>
          <w:p w14:paraId="0769E88C">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c>
          <w:tcPr>
            <w:tcW w:w="711" w:type="pct"/>
            <w:vAlign w:val="center"/>
          </w:tcPr>
          <w:p w14:paraId="27DCC11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53</w:t>
            </w:r>
          </w:p>
        </w:tc>
        <w:tc>
          <w:tcPr>
            <w:tcW w:w="716" w:type="pct"/>
            <w:vAlign w:val="center"/>
          </w:tcPr>
          <w:p w14:paraId="5AE8719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50</w:t>
            </w:r>
          </w:p>
        </w:tc>
        <w:tc>
          <w:tcPr>
            <w:tcW w:w="711" w:type="pct"/>
            <w:vAlign w:val="center"/>
          </w:tcPr>
          <w:p w14:paraId="225A665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53</w:t>
            </w:r>
          </w:p>
        </w:tc>
        <w:tc>
          <w:tcPr>
            <w:tcW w:w="719" w:type="pct"/>
            <w:vAlign w:val="center"/>
          </w:tcPr>
          <w:p w14:paraId="011562E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45</w:t>
            </w:r>
          </w:p>
        </w:tc>
      </w:tr>
      <w:tr w14:paraId="4E25C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7" w:type="pct"/>
            <w:vAlign w:val="center"/>
          </w:tcPr>
          <w:p w14:paraId="300387D9">
            <w:pPr>
              <w:autoSpaceDE w:val="0"/>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N7</w:t>
            </w:r>
          </w:p>
        </w:tc>
        <w:tc>
          <w:tcPr>
            <w:tcW w:w="915" w:type="pct"/>
            <w:vAlign w:val="center"/>
          </w:tcPr>
          <w:p w14:paraId="18B9E1A4">
            <w:pPr>
              <w:autoSpaceDE w:val="0"/>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东方盐湖城</w:t>
            </w:r>
          </w:p>
        </w:tc>
        <w:tc>
          <w:tcPr>
            <w:tcW w:w="699" w:type="pct"/>
            <w:vAlign w:val="center"/>
          </w:tcPr>
          <w:p w14:paraId="11670AAB">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711" w:type="pct"/>
            <w:vAlign w:val="center"/>
          </w:tcPr>
          <w:p w14:paraId="3BC53B9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57</w:t>
            </w:r>
          </w:p>
        </w:tc>
        <w:tc>
          <w:tcPr>
            <w:tcW w:w="716" w:type="pct"/>
            <w:vAlign w:val="center"/>
          </w:tcPr>
          <w:p w14:paraId="188B621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45</w:t>
            </w:r>
          </w:p>
        </w:tc>
        <w:tc>
          <w:tcPr>
            <w:tcW w:w="711" w:type="pct"/>
            <w:vAlign w:val="center"/>
          </w:tcPr>
          <w:p w14:paraId="363FBD5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58</w:t>
            </w:r>
          </w:p>
        </w:tc>
        <w:tc>
          <w:tcPr>
            <w:tcW w:w="719" w:type="pct"/>
            <w:vAlign w:val="center"/>
          </w:tcPr>
          <w:p w14:paraId="464E8A8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50</w:t>
            </w:r>
          </w:p>
        </w:tc>
      </w:tr>
      <w:tr w14:paraId="552A9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7" w:type="pct"/>
            <w:vAlign w:val="center"/>
          </w:tcPr>
          <w:p w14:paraId="194C40B9">
            <w:pPr>
              <w:autoSpaceDE w:val="0"/>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N8</w:t>
            </w:r>
          </w:p>
        </w:tc>
        <w:tc>
          <w:tcPr>
            <w:tcW w:w="915" w:type="pct"/>
            <w:vAlign w:val="center"/>
          </w:tcPr>
          <w:p w14:paraId="2F8FED2F">
            <w:pPr>
              <w:autoSpaceDE w:val="0"/>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明月山溪花园</w:t>
            </w:r>
          </w:p>
        </w:tc>
        <w:tc>
          <w:tcPr>
            <w:tcW w:w="699" w:type="pct"/>
            <w:vAlign w:val="center"/>
          </w:tcPr>
          <w:p w14:paraId="50DB73CB">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c>
          <w:tcPr>
            <w:tcW w:w="711" w:type="pct"/>
            <w:vAlign w:val="center"/>
          </w:tcPr>
          <w:p w14:paraId="617821A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53</w:t>
            </w:r>
          </w:p>
        </w:tc>
        <w:tc>
          <w:tcPr>
            <w:tcW w:w="716" w:type="pct"/>
            <w:vAlign w:val="center"/>
          </w:tcPr>
          <w:p w14:paraId="58B11E9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41</w:t>
            </w:r>
          </w:p>
        </w:tc>
        <w:tc>
          <w:tcPr>
            <w:tcW w:w="711" w:type="pct"/>
            <w:vAlign w:val="center"/>
          </w:tcPr>
          <w:p w14:paraId="1DEECBB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53</w:t>
            </w:r>
          </w:p>
        </w:tc>
        <w:tc>
          <w:tcPr>
            <w:tcW w:w="719" w:type="pct"/>
            <w:vAlign w:val="center"/>
          </w:tcPr>
          <w:p w14:paraId="6D0ADF6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44</w:t>
            </w:r>
          </w:p>
        </w:tc>
      </w:tr>
      <w:tr w14:paraId="1D51E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7" w:type="pct"/>
            <w:vAlign w:val="center"/>
          </w:tcPr>
          <w:p w14:paraId="5D7C5C0D">
            <w:pPr>
              <w:autoSpaceDE w:val="0"/>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N9</w:t>
            </w:r>
          </w:p>
        </w:tc>
        <w:tc>
          <w:tcPr>
            <w:tcW w:w="915" w:type="pct"/>
            <w:vAlign w:val="center"/>
          </w:tcPr>
          <w:p w14:paraId="4F7A8EF6">
            <w:pPr>
              <w:autoSpaceDE w:val="0"/>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养心园</w:t>
            </w:r>
          </w:p>
        </w:tc>
        <w:tc>
          <w:tcPr>
            <w:tcW w:w="699" w:type="pct"/>
            <w:vAlign w:val="center"/>
          </w:tcPr>
          <w:p w14:paraId="5EBB2A4D">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c>
          <w:tcPr>
            <w:tcW w:w="711" w:type="pct"/>
            <w:shd w:val="clear" w:color="auto" w:fill="E7E6E6" w:themeFill="background2"/>
            <w:vAlign w:val="center"/>
          </w:tcPr>
          <w:p w14:paraId="7E1E09A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58</w:t>
            </w:r>
          </w:p>
        </w:tc>
        <w:tc>
          <w:tcPr>
            <w:tcW w:w="716" w:type="pct"/>
            <w:vAlign w:val="center"/>
          </w:tcPr>
          <w:p w14:paraId="616636C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44</w:t>
            </w:r>
          </w:p>
        </w:tc>
        <w:tc>
          <w:tcPr>
            <w:tcW w:w="711" w:type="pct"/>
            <w:shd w:val="clear" w:color="auto" w:fill="E7E6E6" w:themeFill="background2"/>
            <w:vAlign w:val="center"/>
          </w:tcPr>
          <w:p w14:paraId="2950066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56</w:t>
            </w:r>
          </w:p>
        </w:tc>
        <w:tc>
          <w:tcPr>
            <w:tcW w:w="719" w:type="pct"/>
            <w:shd w:val="clear" w:color="auto" w:fill="E7E6E6" w:themeFill="background2"/>
            <w:vAlign w:val="center"/>
          </w:tcPr>
          <w:p w14:paraId="7E1240E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49</w:t>
            </w:r>
          </w:p>
        </w:tc>
      </w:tr>
      <w:tr w14:paraId="3C3A4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7" w:type="pct"/>
            <w:vAlign w:val="center"/>
          </w:tcPr>
          <w:p w14:paraId="6B340709">
            <w:pPr>
              <w:autoSpaceDE w:val="0"/>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N10</w:t>
            </w:r>
          </w:p>
        </w:tc>
        <w:tc>
          <w:tcPr>
            <w:tcW w:w="915" w:type="pct"/>
            <w:vAlign w:val="center"/>
          </w:tcPr>
          <w:p w14:paraId="2344C15D">
            <w:pPr>
              <w:autoSpaceDE w:val="0"/>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胡成岗</w:t>
            </w:r>
          </w:p>
        </w:tc>
        <w:tc>
          <w:tcPr>
            <w:tcW w:w="699" w:type="pct"/>
            <w:vAlign w:val="center"/>
          </w:tcPr>
          <w:p w14:paraId="593279D9">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711" w:type="pct"/>
            <w:vAlign w:val="center"/>
          </w:tcPr>
          <w:p w14:paraId="5D67B4F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55</w:t>
            </w:r>
          </w:p>
        </w:tc>
        <w:tc>
          <w:tcPr>
            <w:tcW w:w="716" w:type="pct"/>
            <w:vAlign w:val="center"/>
          </w:tcPr>
          <w:p w14:paraId="6E95AA2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48</w:t>
            </w:r>
          </w:p>
        </w:tc>
        <w:tc>
          <w:tcPr>
            <w:tcW w:w="711" w:type="pct"/>
            <w:vAlign w:val="center"/>
          </w:tcPr>
          <w:p w14:paraId="7EACF51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52</w:t>
            </w:r>
          </w:p>
        </w:tc>
        <w:tc>
          <w:tcPr>
            <w:tcW w:w="719" w:type="pct"/>
            <w:vAlign w:val="center"/>
          </w:tcPr>
          <w:p w14:paraId="4C42DD8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45</w:t>
            </w:r>
          </w:p>
        </w:tc>
      </w:tr>
    </w:tbl>
    <w:p w14:paraId="2326A1EB">
      <w:pPr>
        <w:pStyle w:val="45"/>
      </w:pPr>
      <w:r>
        <w:t>表</w:t>
      </w:r>
      <w:r>
        <w:rPr>
          <w:rFonts w:hint="eastAsia"/>
        </w:rPr>
        <w:t>3</w:t>
      </w:r>
      <w:r>
        <w:t>.</w:t>
      </w:r>
      <w:r>
        <w:rPr>
          <w:rFonts w:hint="eastAsia"/>
        </w:rPr>
        <w:t>5</w:t>
      </w:r>
      <w:r>
        <w:t>-</w:t>
      </w:r>
      <w:r>
        <w:rPr>
          <w:rFonts w:hint="eastAsia"/>
        </w:rPr>
        <w:t>12(</w:t>
      </w:r>
      <w:r>
        <w:t xml:space="preserve">2)  </w:t>
      </w:r>
      <w:r>
        <w:rPr>
          <w:rFonts w:hint="eastAsia"/>
        </w:rPr>
        <w:t>声环境质量现状监测结果表（dB（A））</w:t>
      </w:r>
    </w:p>
    <w:tbl>
      <w:tblPr>
        <w:tblStyle w:val="75"/>
        <w:tblW w:w="47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8"/>
        <w:gridCol w:w="1502"/>
        <w:gridCol w:w="1157"/>
        <w:gridCol w:w="1132"/>
        <w:gridCol w:w="1232"/>
        <w:gridCol w:w="1157"/>
        <w:gridCol w:w="1129"/>
      </w:tblGrid>
      <w:tr w14:paraId="29B80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25" w:type="pct"/>
            <w:vMerge w:val="restart"/>
            <w:vAlign w:val="center"/>
          </w:tcPr>
          <w:p w14:paraId="1C1E6959">
            <w:pPr>
              <w:spacing w:line="240" w:lineRule="auto"/>
              <w:ind w:firstLine="0" w:firstLineChars="0"/>
              <w:jc w:val="center"/>
              <w:rPr>
                <w:rFonts w:cs="Times New Roman"/>
                <w:b/>
                <w:kern w:val="0"/>
                <w:sz w:val="21"/>
                <w:szCs w:val="21"/>
                <w14:ligatures w14:val="none"/>
              </w:rPr>
            </w:pPr>
            <w:r>
              <w:rPr>
                <w:rFonts w:hint="eastAsia" w:cs="Times New Roman"/>
                <w:b/>
                <w:kern w:val="0"/>
                <w:sz w:val="21"/>
                <w:szCs w:val="21"/>
                <w14:ligatures w14:val="none"/>
              </w:rPr>
              <w:t>测点号</w:t>
            </w:r>
          </w:p>
        </w:tc>
        <w:tc>
          <w:tcPr>
            <w:tcW w:w="919" w:type="pct"/>
            <w:vMerge w:val="restart"/>
            <w:vAlign w:val="center"/>
          </w:tcPr>
          <w:p w14:paraId="72CD7BC1">
            <w:pPr>
              <w:spacing w:line="240" w:lineRule="auto"/>
              <w:ind w:firstLine="0" w:firstLineChars="0"/>
              <w:jc w:val="center"/>
              <w:rPr>
                <w:rFonts w:cs="Times New Roman"/>
                <w:b/>
                <w:kern w:val="0"/>
                <w:sz w:val="21"/>
                <w:szCs w:val="21"/>
                <w14:ligatures w14:val="none"/>
              </w:rPr>
            </w:pPr>
            <w:r>
              <w:rPr>
                <w:rFonts w:hint="eastAsia" w:cs="Times New Roman"/>
                <w:b/>
                <w:kern w:val="0"/>
                <w:sz w:val="21"/>
                <w:szCs w:val="21"/>
                <w14:ligatures w14:val="none"/>
              </w:rPr>
              <w:t>测点位置</w:t>
            </w:r>
          </w:p>
        </w:tc>
        <w:tc>
          <w:tcPr>
            <w:tcW w:w="708" w:type="pct"/>
            <w:vMerge w:val="restart"/>
            <w:vAlign w:val="center"/>
          </w:tcPr>
          <w:p w14:paraId="15433172">
            <w:pPr>
              <w:spacing w:line="240" w:lineRule="auto"/>
              <w:ind w:firstLine="0" w:firstLineChars="0"/>
              <w:jc w:val="center"/>
              <w:rPr>
                <w:rFonts w:cs="Times New Roman"/>
                <w:b/>
                <w:kern w:val="0"/>
                <w:sz w:val="21"/>
                <w:szCs w:val="21"/>
                <w14:ligatures w14:val="none"/>
              </w:rPr>
            </w:pPr>
            <w:r>
              <w:rPr>
                <w:rFonts w:hint="eastAsia" w:cs="Times New Roman"/>
                <w:b/>
                <w:kern w:val="0"/>
                <w:sz w:val="21"/>
                <w:szCs w:val="21"/>
                <w14:ligatures w14:val="none"/>
              </w:rPr>
              <w:t>功能区</w:t>
            </w:r>
          </w:p>
        </w:tc>
        <w:tc>
          <w:tcPr>
            <w:tcW w:w="2846" w:type="pct"/>
            <w:gridSpan w:val="4"/>
            <w:vAlign w:val="center"/>
          </w:tcPr>
          <w:p w14:paraId="31C69111">
            <w:pPr>
              <w:spacing w:line="240" w:lineRule="auto"/>
              <w:ind w:firstLine="0" w:firstLineChars="0"/>
              <w:jc w:val="center"/>
              <w:rPr>
                <w:rFonts w:cs="Times New Roman"/>
                <w:kern w:val="0"/>
                <w:sz w:val="21"/>
                <w:szCs w:val="21"/>
                <w14:ligatures w14:val="none"/>
              </w:rPr>
            </w:pPr>
            <w:r>
              <w:rPr>
                <w:rFonts w:hint="eastAsia" w:cs="Times New Roman"/>
                <w:b/>
                <w:kern w:val="0"/>
                <w:sz w:val="21"/>
                <w:szCs w:val="21"/>
                <w14:ligatures w14:val="none"/>
              </w:rPr>
              <w:t>噪声检测结果</w:t>
            </w:r>
            <w:r>
              <w:rPr>
                <w:rFonts w:hint="eastAsia" w:cs="Times New Roman"/>
                <w:b/>
                <w:color w:val="000000"/>
                <w:kern w:val="0"/>
                <w:sz w:val="21"/>
                <w:szCs w:val="21"/>
                <w14:ligatures w14:val="none"/>
              </w:rPr>
              <w:t>dB（A）</w:t>
            </w:r>
          </w:p>
        </w:tc>
      </w:tr>
      <w:tr w14:paraId="0D7C1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blHeader/>
          <w:jc w:val="center"/>
        </w:trPr>
        <w:tc>
          <w:tcPr>
            <w:tcW w:w="525" w:type="pct"/>
            <w:vMerge w:val="continue"/>
            <w:vAlign w:val="center"/>
          </w:tcPr>
          <w:p w14:paraId="1520393E">
            <w:pPr>
              <w:widowControl/>
              <w:spacing w:line="240" w:lineRule="auto"/>
              <w:ind w:firstLine="0" w:firstLineChars="0"/>
              <w:jc w:val="center"/>
              <w:rPr>
                <w:rFonts w:cs="Times New Roman"/>
                <w:b/>
                <w:kern w:val="0"/>
                <w:sz w:val="21"/>
                <w:szCs w:val="21"/>
                <w14:ligatures w14:val="none"/>
              </w:rPr>
            </w:pPr>
          </w:p>
        </w:tc>
        <w:tc>
          <w:tcPr>
            <w:tcW w:w="919" w:type="pct"/>
            <w:vMerge w:val="continue"/>
            <w:vAlign w:val="center"/>
          </w:tcPr>
          <w:p w14:paraId="1040AF08">
            <w:pPr>
              <w:widowControl/>
              <w:spacing w:line="240" w:lineRule="auto"/>
              <w:ind w:firstLine="0" w:firstLineChars="0"/>
              <w:jc w:val="center"/>
              <w:rPr>
                <w:rFonts w:cs="Times New Roman"/>
                <w:b/>
                <w:kern w:val="0"/>
                <w:sz w:val="21"/>
                <w:szCs w:val="21"/>
                <w14:ligatures w14:val="none"/>
              </w:rPr>
            </w:pPr>
          </w:p>
        </w:tc>
        <w:tc>
          <w:tcPr>
            <w:tcW w:w="708" w:type="pct"/>
            <w:vMerge w:val="continue"/>
            <w:vAlign w:val="center"/>
          </w:tcPr>
          <w:p w14:paraId="2CAFE5DB">
            <w:pPr>
              <w:widowControl/>
              <w:spacing w:line="240" w:lineRule="auto"/>
              <w:ind w:firstLine="0" w:firstLineChars="0"/>
              <w:jc w:val="center"/>
              <w:rPr>
                <w:rFonts w:cs="Times New Roman"/>
                <w:b/>
                <w:kern w:val="0"/>
                <w:sz w:val="21"/>
                <w:szCs w:val="21"/>
                <w14:ligatures w14:val="none"/>
              </w:rPr>
            </w:pPr>
          </w:p>
        </w:tc>
        <w:tc>
          <w:tcPr>
            <w:tcW w:w="1447" w:type="pct"/>
            <w:gridSpan w:val="2"/>
            <w:vAlign w:val="center"/>
          </w:tcPr>
          <w:p w14:paraId="1C877F87">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2024年3月25日</w:t>
            </w:r>
          </w:p>
        </w:tc>
        <w:tc>
          <w:tcPr>
            <w:tcW w:w="1398" w:type="pct"/>
            <w:gridSpan w:val="2"/>
            <w:vAlign w:val="center"/>
          </w:tcPr>
          <w:p w14:paraId="15342BAC">
            <w:pPr>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2024年3月26日</w:t>
            </w:r>
          </w:p>
        </w:tc>
      </w:tr>
      <w:tr w14:paraId="22151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tblHeader/>
          <w:jc w:val="center"/>
        </w:trPr>
        <w:tc>
          <w:tcPr>
            <w:tcW w:w="525" w:type="pct"/>
            <w:vMerge w:val="continue"/>
            <w:vAlign w:val="center"/>
          </w:tcPr>
          <w:p w14:paraId="6DDEDB23">
            <w:pPr>
              <w:widowControl/>
              <w:spacing w:line="240" w:lineRule="auto"/>
              <w:ind w:firstLine="0" w:firstLineChars="0"/>
              <w:jc w:val="center"/>
              <w:rPr>
                <w:rFonts w:cs="Times New Roman"/>
                <w:b/>
                <w:kern w:val="0"/>
                <w:sz w:val="21"/>
                <w:szCs w:val="21"/>
                <w14:ligatures w14:val="none"/>
              </w:rPr>
            </w:pPr>
          </w:p>
        </w:tc>
        <w:tc>
          <w:tcPr>
            <w:tcW w:w="919" w:type="pct"/>
            <w:vMerge w:val="continue"/>
            <w:vAlign w:val="center"/>
          </w:tcPr>
          <w:p w14:paraId="1989D1F7">
            <w:pPr>
              <w:widowControl/>
              <w:spacing w:line="240" w:lineRule="auto"/>
              <w:ind w:firstLine="0" w:firstLineChars="0"/>
              <w:jc w:val="center"/>
              <w:rPr>
                <w:rFonts w:cs="Times New Roman"/>
                <w:b/>
                <w:kern w:val="0"/>
                <w:sz w:val="21"/>
                <w:szCs w:val="21"/>
                <w14:ligatures w14:val="none"/>
              </w:rPr>
            </w:pPr>
          </w:p>
        </w:tc>
        <w:tc>
          <w:tcPr>
            <w:tcW w:w="708" w:type="pct"/>
            <w:vMerge w:val="continue"/>
            <w:vAlign w:val="center"/>
          </w:tcPr>
          <w:p w14:paraId="37891B8B">
            <w:pPr>
              <w:widowControl/>
              <w:spacing w:line="240" w:lineRule="auto"/>
              <w:ind w:firstLine="0" w:firstLineChars="0"/>
              <w:jc w:val="center"/>
              <w:rPr>
                <w:rFonts w:cs="Times New Roman"/>
                <w:b/>
                <w:kern w:val="0"/>
                <w:sz w:val="21"/>
                <w:szCs w:val="21"/>
                <w14:ligatures w14:val="none"/>
              </w:rPr>
            </w:pPr>
          </w:p>
        </w:tc>
        <w:tc>
          <w:tcPr>
            <w:tcW w:w="693" w:type="pct"/>
            <w:vAlign w:val="center"/>
          </w:tcPr>
          <w:p w14:paraId="5748BB22">
            <w:pPr>
              <w:spacing w:line="240" w:lineRule="auto"/>
              <w:ind w:firstLine="0" w:firstLineChars="0"/>
              <w:jc w:val="center"/>
              <w:rPr>
                <w:rFonts w:cs="Times New Roman"/>
                <w:b/>
                <w:kern w:val="0"/>
                <w:sz w:val="21"/>
                <w:szCs w:val="21"/>
                <w14:ligatures w14:val="none"/>
              </w:rPr>
            </w:pPr>
            <w:r>
              <w:rPr>
                <w:rFonts w:hint="eastAsia" w:cs="Times New Roman"/>
                <w:b/>
                <w:kern w:val="0"/>
                <w:sz w:val="21"/>
                <w:szCs w:val="21"/>
                <w14:ligatures w14:val="none"/>
              </w:rPr>
              <w:t>昼间</w:t>
            </w:r>
          </w:p>
        </w:tc>
        <w:tc>
          <w:tcPr>
            <w:tcW w:w="754" w:type="pct"/>
            <w:vAlign w:val="center"/>
          </w:tcPr>
          <w:p w14:paraId="1C3FEF5B">
            <w:pPr>
              <w:spacing w:line="240" w:lineRule="auto"/>
              <w:ind w:firstLine="0" w:firstLineChars="0"/>
              <w:jc w:val="center"/>
              <w:rPr>
                <w:rFonts w:cs="Times New Roman"/>
                <w:kern w:val="0"/>
                <w:sz w:val="21"/>
                <w:szCs w:val="21"/>
                <w14:ligatures w14:val="none"/>
              </w:rPr>
            </w:pPr>
            <w:r>
              <w:rPr>
                <w:rFonts w:hint="eastAsia" w:cs="Times New Roman"/>
                <w:b/>
                <w:kern w:val="0"/>
                <w:sz w:val="21"/>
                <w:szCs w:val="21"/>
                <w14:ligatures w14:val="none"/>
              </w:rPr>
              <w:t>夜间</w:t>
            </w:r>
          </w:p>
        </w:tc>
        <w:tc>
          <w:tcPr>
            <w:tcW w:w="708" w:type="pct"/>
            <w:vAlign w:val="center"/>
          </w:tcPr>
          <w:p w14:paraId="5BCE2E07">
            <w:pPr>
              <w:spacing w:line="240" w:lineRule="auto"/>
              <w:ind w:firstLine="0" w:firstLineChars="0"/>
              <w:jc w:val="center"/>
              <w:rPr>
                <w:rFonts w:cs="Times New Roman"/>
                <w:b/>
                <w:kern w:val="0"/>
                <w:sz w:val="21"/>
                <w:szCs w:val="21"/>
                <w14:ligatures w14:val="none"/>
              </w:rPr>
            </w:pPr>
            <w:r>
              <w:rPr>
                <w:rFonts w:hint="eastAsia" w:cs="Times New Roman"/>
                <w:b/>
                <w:kern w:val="0"/>
                <w:sz w:val="21"/>
                <w:szCs w:val="21"/>
                <w14:ligatures w14:val="none"/>
              </w:rPr>
              <w:t>昼间</w:t>
            </w:r>
          </w:p>
        </w:tc>
        <w:tc>
          <w:tcPr>
            <w:tcW w:w="690" w:type="pct"/>
            <w:vAlign w:val="center"/>
          </w:tcPr>
          <w:p w14:paraId="0FC8B6AF">
            <w:pPr>
              <w:spacing w:line="240" w:lineRule="auto"/>
              <w:ind w:firstLine="0" w:firstLineChars="0"/>
              <w:jc w:val="center"/>
              <w:rPr>
                <w:rFonts w:cs="Times New Roman"/>
                <w:b/>
                <w:kern w:val="0"/>
                <w:sz w:val="21"/>
                <w:szCs w:val="21"/>
                <w14:ligatures w14:val="none"/>
              </w:rPr>
            </w:pPr>
            <w:r>
              <w:rPr>
                <w:rFonts w:hint="eastAsia" w:cs="Times New Roman"/>
                <w:b/>
                <w:kern w:val="0"/>
                <w:sz w:val="21"/>
                <w:szCs w:val="21"/>
                <w14:ligatures w14:val="none"/>
              </w:rPr>
              <w:t>夜间</w:t>
            </w:r>
          </w:p>
        </w:tc>
      </w:tr>
      <w:tr w14:paraId="4298E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1F74DF72">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N11</w:t>
            </w:r>
          </w:p>
        </w:tc>
        <w:tc>
          <w:tcPr>
            <w:tcW w:w="919" w:type="pct"/>
            <w:vAlign w:val="center"/>
          </w:tcPr>
          <w:p w14:paraId="1AD39511">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云湖山庄</w:t>
            </w:r>
          </w:p>
        </w:tc>
        <w:tc>
          <w:tcPr>
            <w:tcW w:w="708" w:type="pct"/>
            <w:vAlign w:val="center"/>
          </w:tcPr>
          <w:p w14:paraId="488D900A">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3DCEB33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55</w:t>
            </w:r>
          </w:p>
        </w:tc>
        <w:tc>
          <w:tcPr>
            <w:tcW w:w="754" w:type="pct"/>
            <w:vAlign w:val="center"/>
          </w:tcPr>
          <w:p w14:paraId="3DBE6FE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45</w:t>
            </w:r>
          </w:p>
        </w:tc>
        <w:tc>
          <w:tcPr>
            <w:tcW w:w="708" w:type="pct"/>
            <w:vAlign w:val="center"/>
          </w:tcPr>
          <w:p w14:paraId="4DD7640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55</w:t>
            </w:r>
          </w:p>
        </w:tc>
        <w:tc>
          <w:tcPr>
            <w:tcW w:w="690" w:type="pct"/>
            <w:vAlign w:val="center"/>
          </w:tcPr>
          <w:p w14:paraId="5B25577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41</w:t>
            </w:r>
          </w:p>
        </w:tc>
      </w:tr>
      <w:tr w14:paraId="40957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7E003B65">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N12</w:t>
            </w:r>
          </w:p>
        </w:tc>
        <w:tc>
          <w:tcPr>
            <w:tcW w:w="919" w:type="pct"/>
            <w:vAlign w:val="center"/>
          </w:tcPr>
          <w:p w14:paraId="631CE81D">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本达村</w:t>
            </w:r>
          </w:p>
        </w:tc>
        <w:tc>
          <w:tcPr>
            <w:tcW w:w="708" w:type="pct"/>
            <w:vAlign w:val="center"/>
          </w:tcPr>
          <w:p w14:paraId="6B986605">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3D3CD1E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59</w:t>
            </w:r>
          </w:p>
        </w:tc>
        <w:tc>
          <w:tcPr>
            <w:tcW w:w="754" w:type="pct"/>
            <w:vAlign w:val="center"/>
          </w:tcPr>
          <w:p w14:paraId="614C616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42</w:t>
            </w:r>
          </w:p>
        </w:tc>
        <w:tc>
          <w:tcPr>
            <w:tcW w:w="708" w:type="pct"/>
            <w:vAlign w:val="center"/>
          </w:tcPr>
          <w:p w14:paraId="4A4297B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58</w:t>
            </w:r>
          </w:p>
        </w:tc>
        <w:tc>
          <w:tcPr>
            <w:tcW w:w="690" w:type="pct"/>
            <w:vAlign w:val="center"/>
          </w:tcPr>
          <w:p w14:paraId="77C44B9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44</w:t>
            </w:r>
          </w:p>
        </w:tc>
      </w:tr>
      <w:tr w14:paraId="3F183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40CDEF10">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N13</w:t>
            </w:r>
          </w:p>
        </w:tc>
        <w:tc>
          <w:tcPr>
            <w:tcW w:w="919" w:type="pct"/>
            <w:vAlign w:val="center"/>
          </w:tcPr>
          <w:p w14:paraId="36A5B381">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宜庄村</w:t>
            </w:r>
          </w:p>
        </w:tc>
        <w:tc>
          <w:tcPr>
            <w:tcW w:w="708" w:type="pct"/>
            <w:vAlign w:val="center"/>
          </w:tcPr>
          <w:p w14:paraId="310FD0AB">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6DC6128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57</w:t>
            </w:r>
          </w:p>
        </w:tc>
        <w:tc>
          <w:tcPr>
            <w:tcW w:w="754" w:type="pct"/>
            <w:vAlign w:val="center"/>
          </w:tcPr>
          <w:p w14:paraId="62C0C8A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41</w:t>
            </w:r>
          </w:p>
        </w:tc>
        <w:tc>
          <w:tcPr>
            <w:tcW w:w="708" w:type="pct"/>
            <w:vAlign w:val="center"/>
          </w:tcPr>
          <w:p w14:paraId="18DEE78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53</w:t>
            </w:r>
          </w:p>
        </w:tc>
        <w:tc>
          <w:tcPr>
            <w:tcW w:w="690" w:type="pct"/>
            <w:vAlign w:val="center"/>
          </w:tcPr>
          <w:p w14:paraId="3A6490E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42</w:t>
            </w:r>
          </w:p>
        </w:tc>
      </w:tr>
      <w:tr w14:paraId="419AF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1E4EB740">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N14</w:t>
            </w:r>
          </w:p>
        </w:tc>
        <w:tc>
          <w:tcPr>
            <w:tcW w:w="919" w:type="pct"/>
            <w:vAlign w:val="center"/>
          </w:tcPr>
          <w:p w14:paraId="49EE8B1D">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阳山村</w:t>
            </w:r>
          </w:p>
        </w:tc>
        <w:tc>
          <w:tcPr>
            <w:tcW w:w="708" w:type="pct"/>
            <w:vAlign w:val="center"/>
          </w:tcPr>
          <w:p w14:paraId="4E1FF9FE">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347F32B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52</w:t>
            </w:r>
          </w:p>
        </w:tc>
        <w:tc>
          <w:tcPr>
            <w:tcW w:w="754" w:type="pct"/>
            <w:vAlign w:val="center"/>
          </w:tcPr>
          <w:p w14:paraId="0EC9C0C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42</w:t>
            </w:r>
          </w:p>
        </w:tc>
        <w:tc>
          <w:tcPr>
            <w:tcW w:w="708" w:type="pct"/>
            <w:vAlign w:val="center"/>
          </w:tcPr>
          <w:p w14:paraId="6CF6009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58</w:t>
            </w:r>
          </w:p>
        </w:tc>
        <w:tc>
          <w:tcPr>
            <w:tcW w:w="690" w:type="pct"/>
            <w:vAlign w:val="center"/>
          </w:tcPr>
          <w:p w14:paraId="348085D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47</w:t>
            </w:r>
          </w:p>
        </w:tc>
      </w:tr>
      <w:tr w14:paraId="38AEF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710469D0">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N15</w:t>
            </w:r>
          </w:p>
        </w:tc>
        <w:tc>
          <w:tcPr>
            <w:tcW w:w="919" w:type="pct"/>
            <w:vAlign w:val="center"/>
          </w:tcPr>
          <w:p w14:paraId="3D6D8595">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门楼下村</w:t>
            </w:r>
          </w:p>
        </w:tc>
        <w:tc>
          <w:tcPr>
            <w:tcW w:w="708" w:type="pct"/>
            <w:vAlign w:val="center"/>
          </w:tcPr>
          <w:p w14:paraId="42448A15">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5BB6166B">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57</w:t>
            </w:r>
          </w:p>
        </w:tc>
        <w:tc>
          <w:tcPr>
            <w:tcW w:w="754" w:type="pct"/>
            <w:vAlign w:val="center"/>
          </w:tcPr>
          <w:p w14:paraId="7386E0C8">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42</w:t>
            </w:r>
          </w:p>
        </w:tc>
        <w:tc>
          <w:tcPr>
            <w:tcW w:w="708" w:type="pct"/>
            <w:vAlign w:val="center"/>
          </w:tcPr>
          <w:p w14:paraId="186A57AA">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53</w:t>
            </w:r>
          </w:p>
        </w:tc>
        <w:tc>
          <w:tcPr>
            <w:tcW w:w="690" w:type="pct"/>
            <w:vAlign w:val="center"/>
          </w:tcPr>
          <w:p w14:paraId="42B1C3BD">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46</w:t>
            </w:r>
          </w:p>
        </w:tc>
      </w:tr>
      <w:tr w14:paraId="0BE27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2C823E8C">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N16</w:t>
            </w:r>
          </w:p>
        </w:tc>
        <w:tc>
          <w:tcPr>
            <w:tcW w:w="919" w:type="pct"/>
            <w:vAlign w:val="center"/>
          </w:tcPr>
          <w:p w14:paraId="77D8BE87">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塔山村</w:t>
            </w:r>
          </w:p>
        </w:tc>
        <w:tc>
          <w:tcPr>
            <w:tcW w:w="708" w:type="pct"/>
            <w:vAlign w:val="center"/>
          </w:tcPr>
          <w:p w14:paraId="2A474957">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52D6718B">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54</w:t>
            </w:r>
          </w:p>
        </w:tc>
        <w:tc>
          <w:tcPr>
            <w:tcW w:w="754" w:type="pct"/>
            <w:vAlign w:val="center"/>
          </w:tcPr>
          <w:p w14:paraId="07CEB62B">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45</w:t>
            </w:r>
          </w:p>
        </w:tc>
        <w:tc>
          <w:tcPr>
            <w:tcW w:w="708" w:type="pct"/>
            <w:vAlign w:val="center"/>
          </w:tcPr>
          <w:p w14:paraId="202F4CD7">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58</w:t>
            </w:r>
          </w:p>
        </w:tc>
        <w:tc>
          <w:tcPr>
            <w:tcW w:w="690" w:type="pct"/>
            <w:vAlign w:val="center"/>
          </w:tcPr>
          <w:p w14:paraId="51A396F1">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44</w:t>
            </w:r>
          </w:p>
        </w:tc>
      </w:tr>
      <w:tr w14:paraId="707F8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09E0CD74">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N17</w:t>
            </w:r>
          </w:p>
        </w:tc>
        <w:tc>
          <w:tcPr>
            <w:tcW w:w="919" w:type="pct"/>
            <w:vAlign w:val="center"/>
          </w:tcPr>
          <w:p w14:paraId="07A890DC">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茅麓中学</w:t>
            </w:r>
          </w:p>
        </w:tc>
        <w:tc>
          <w:tcPr>
            <w:tcW w:w="708" w:type="pct"/>
            <w:vAlign w:val="center"/>
          </w:tcPr>
          <w:p w14:paraId="27721411">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c>
          <w:tcPr>
            <w:tcW w:w="693" w:type="pct"/>
            <w:vAlign w:val="center"/>
          </w:tcPr>
          <w:p w14:paraId="164F68FD">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54</w:t>
            </w:r>
          </w:p>
        </w:tc>
        <w:tc>
          <w:tcPr>
            <w:tcW w:w="754" w:type="pct"/>
            <w:vAlign w:val="center"/>
          </w:tcPr>
          <w:p w14:paraId="7F7B79C3">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45</w:t>
            </w:r>
          </w:p>
        </w:tc>
        <w:tc>
          <w:tcPr>
            <w:tcW w:w="708" w:type="pct"/>
            <w:shd w:val="clear" w:color="auto" w:fill="E7E6E6" w:themeFill="background2"/>
            <w:vAlign w:val="center"/>
          </w:tcPr>
          <w:p w14:paraId="3EFB3576">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58</w:t>
            </w:r>
          </w:p>
        </w:tc>
        <w:tc>
          <w:tcPr>
            <w:tcW w:w="690" w:type="pct"/>
            <w:shd w:val="clear" w:color="auto" w:fill="E7E6E6" w:themeFill="background2"/>
            <w:vAlign w:val="center"/>
          </w:tcPr>
          <w:p w14:paraId="463EC104">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46</w:t>
            </w:r>
          </w:p>
        </w:tc>
      </w:tr>
      <w:tr w14:paraId="4708C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672E91AB">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N18</w:t>
            </w:r>
          </w:p>
        </w:tc>
        <w:tc>
          <w:tcPr>
            <w:tcW w:w="919" w:type="pct"/>
            <w:vAlign w:val="center"/>
          </w:tcPr>
          <w:p w14:paraId="3B5815F6">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安边村</w:t>
            </w:r>
          </w:p>
        </w:tc>
        <w:tc>
          <w:tcPr>
            <w:tcW w:w="708" w:type="pct"/>
            <w:vAlign w:val="center"/>
          </w:tcPr>
          <w:p w14:paraId="7C3B1842">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45001789">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53</w:t>
            </w:r>
          </w:p>
        </w:tc>
        <w:tc>
          <w:tcPr>
            <w:tcW w:w="754" w:type="pct"/>
            <w:vAlign w:val="center"/>
          </w:tcPr>
          <w:p w14:paraId="2F93B651">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41</w:t>
            </w:r>
          </w:p>
        </w:tc>
        <w:tc>
          <w:tcPr>
            <w:tcW w:w="708" w:type="pct"/>
            <w:vAlign w:val="center"/>
          </w:tcPr>
          <w:p w14:paraId="50C614AC">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52</w:t>
            </w:r>
          </w:p>
        </w:tc>
        <w:tc>
          <w:tcPr>
            <w:tcW w:w="690" w:type="pct"/>
            <w:vAlign w:val="center"/>
          </w:tcPr>
          <w:p w14:paraId="5A13DCC1">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44</w:t>
            </w:r>
          </w:p>
        </w:tc>
      </w:tr>
      <w:tr w14:paraId="2E67B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36295216">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N19</w:t>
            </w:r>
          </w:p>
        </w:tc>
        <w:tc>
          <w:tcPr>
            <w:tcW w:w="919" w:type="pct"/>
            <w:vAlign w:val="center"/>
          </w:tcPr>
          <w:p w14:paraId="066AD663">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方山村</w:t>
            </w:r>
          </w:p>
        </w:tc>
        <w:tc>
          <w:tcPr>
            <w:tcW w:w="708" w:type="pct"/>
            <w:vAlign w:val="center"/>
          </w:tcPr>
          <w:p w14:paraId="39EA9FF8">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09DA2332">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54</w:t>
            </w:r>
          </w:p>
        </w:tc>
        <w:tc>
          <w:tcPr>
            <w:tcW w:w="754" w:type="pct"/>
            <w:vAlign w:val="center"/>
          </w:tcPr>
          <w:p w14:paraId="1084E44C">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45</w:t>
            </w:r>
          </w:p>
        </w:tc>
        <w:tc>
          <w:tcPr>
            <w:tcW w:w="708" w:type="pct"/>
            <w:vAlign w:val="center"/>
          </w:tcPr>
          <w:p w14:paraId="5536F4C0">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58</w:t>
            </w:r>
          </w:p>
        </w:tc>
        <w:tc>
          <w:tcPr>
            <w:tcW w:w="690" w:type="pct"/>
            <w:vAlign w:val="center"/>
          </w:tcPr>
          <w:p w14:paraId="38584BFB">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46</w:t>
            </w:r>
          </w:p>
        </w:tc>
      </w:tr>
      <w:tr w14:paraId="24450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5C7F6D2F">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N20</w:t>
            </w:r>
          </w:p>
        </w:tc>
        <w:tc>
          <w:tcPr>
            <w:tcW w:w="919" w:type="pct"/>
            <w:vAlign w:val="center"/>
          </w:tcPr>
          <w:p w14:paraId="503C424E">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建国村</w:t>
            </w:r>
          </w:p>
        </w:tc>
        <w:tc>
          <w:tcPr>
            <w:tcW w:w="708" w:type="pct"/>
            <w:vAlign w:val="center"/>
          </w:tcPr>
          <w:p w14:paraId="1A92CD5D">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7053774D">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50</w:t>
            </w:r>
          </w:p>
        </w:tc>
        <w:tc>
          <w:tcPr>
            <w:tcW w:w="754" w:type="pct"/>
            <w:vAlign w:val="center"/>
          </w:tcPr>
          <w:p w14:paraId="4D14B152">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40</w:t>
            </w:r>
          </w:p>
        </w:tc>
        <w:tc>
          <w:tcPr>
            <w:tcW w:w="708" w:type="pct"/>
            <w:vAlign w:val="center"/>
          </w:tcPr>
          <w:p w14:paraId="2DE36371">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54</w:t>
            </w:r>
          </w:p>
        </w:tc>
        <w:tc>
          <w:tcPr>
            <w:tcW w:w="690" w:type="pct"/>
            <w:vAlign w:val="center"/>
          </w:tcPr>
          <w:p w14:paraId="076AB8ED">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48</w:t>
            </w:r>
          </w:p>
        </w:tc>
      </w:tr>
      <w:tr w14:paraId="229A5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07D81310">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N21</w:t>
            </w:r>
          </w:p>
        </w:tc>
        <w:tc>
          <w:tcPr>
            <w:tcW w:w="919" w:type="pct"/>
            <w:vAlign w:val="center"/>
          </w:tcPr>
          <w:p w14:paraId="42730E87">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瓦沟村</w:t>
            </w:r>
          </w:p>
        </w:tc>
        <w:tc>
          <w:tcPr>
            <w:tcW w:w="708" w:type="pct"/>
            <w:vAlign w:val="center"/>
          </w:tcPr>
          <w:p w14:paraId="59FA27EF">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07C17687">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54</w:t>
            </w:r>
          </w:p>
        </w:tc>
        <w:tc>
          <w:tcPr>
            <w:tcW w:w="754" w:type="pct"/>
            <w:vAlign w:val="center"/>
          </w:tcPr>
          <w:p w14:paraId="23ECBCC9">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43</w:t>
            </w:r>
          </w:p>
        </w:tc>
        <w:tc>
          <w:tcPr>
            <w:tcW w:w="708" w:type="pct"/>
            <w:vAlign w:val="center"/>
          </w:tcPr>
          <w:p w14:paraId="4C133725">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58</w:t>
            </w:r>
          </w:p>
        </w:tc>
        <w:tc>
          <w:tcPr>
            <w:tcW w:w="690" w:type="pct"/>
            <w:vAlign w:val="center"/>
          </w:tcPr>
          <w:p w14:paraId="18377543">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46</w:t>
            </w:r>
          </w:p>
        </w:tc>
      </w:tr>
      <w:tr w14:paraId="38BE6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16201ECB">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N22</w:t>
            </w:r>
          </w:p>
        </w:tc>
        <w:tc>
          <w:tcPr>
            <w:tcW w:w="919" w:type="pct"/>
            <w:vAlign w:val="center"/>
          </w:tcPr>
          <w:p w14:paraId="62856BA8">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西阳庄村</w:t>
            </w:r>
          </w:p>
        </w:tc>
        <w:tc>
          <w:tcPr>
            <w:tcW w:w="708" w:type="pct"/>
            <w:vAlign w:val="center"/>
          </w:tcPr>
          <w:p w14:paraId="40BA9CBF">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5A3270CC">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53</w:t>
            </w:r>
          </w:p>
        </w:tc>
        <w:tc>
          <w:tcPr>
            <w:tcW w:w="754" w:type="pct"/>
            <w:vAlign w:val="center"/>
          </w:tcPr>
          <w:p w14:paraId="5C1E2577">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46</w:t>
            </w:r>
          </w:p>
        </w:tc>
        <w:tc>
          <w:tcPr>
            <w:tcW w:w="708" w:type="pct"/>
            <w:vAlign w:val="center"/>
          </w:tcPr>
          <w:p w14:paraId="0B901A87">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57</w:t>
            </w:r>
          </w:p>
        </w:tc>
        <w:tc>
          <w:tcPr>
            <w:tcW w:w="690" w:type="pct"/>
            <w:vAlign w:val="center"/>
          </w:tcPr>
          <w:p w14:paraId="32566DC8">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49</w:t>
            </w:r>
          </w:p>
        </w:tc>
      </w:tr>
      <w:tr w14:paraId="7FE66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7BD2BCF2">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N23</w:t>
            </w:r>
          </w:p>
        </w:tc>
        <w:tc>
          <w:tcPr>
            <w:tcW w:w="919" w:type="pct"/>
            <w:vAlign w:val="center"/>
          </w:tcPr>
          <w:p w14:paraId="34269F06">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许庄村</w:t>
            </w:r>
          </w:p>
        </w:tc>
        <w:tc>
          <w:tcPr>
            <w:tcW w:w="708" w:type="pct"/>
            <w:vAlign w:val="center"/>
          </w:tcPr>
          <w:p w14:paraId="2ACBD31E">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5A0386AA">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55</w:t>
            </w:r>
          </w:p>
        </w:tc>
        <w:tc>
          <w:tcPr>
            <w:tcW w:w="754" w:type="pct"/>
            <w:vAlign w:val="center"/>
          </w:tcPr>
          <w:p w14:paraId="54521E71">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42</w:t>
            </w:r>
          </w:p>
        </w:tc>
        <w:tc>
          <w:tcPr>
            <w:tcW w:w="708" w:type="pct"/>
            <w:vAlign w:val="center"/>
          </w:tcPr>
          <w:p w14:paraId="6D66CA76">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54</w:t>
            </w:r>
          </w:p>
        </w:tc>
        <w:tc>
          <w:tcPr>
            <w:tcW w:w="690" w:type="pct"/>
            <w:vAlign w:val="center"/>
          </w:tcPr>
          <w:p w14:paraId="1B7202E9">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47</w:t>
            </w:r>
          </w:p>
        </w:tc>
      </w:tr>
      <w:tr w14:paraId="36C6E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4575D06A">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N24</w:t>
            </w:r>
          </w:p>
        </w:tc>
        <w:tc>
          <w:tcPr>
            <w:tcW w:w="919" w:type="pct"/>
            <w:vAlign w:val="center"/>
          </w:tcPr>
          <w:p w14:paraId="58F8A180">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下阮村</w:t>
            </w:r>
          </w:p>
        </w:tc>
        <w:tc>
          <w:tcPr>
            <w:tcW w:w="708" w:type="pct"/>
            <w:vAlign w:val="center"/>
          </w:tcPr>
          <w:p w14:paraId="51ECD45B">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6A71DBCC">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58</w:t>
            </w:r>
          </w:p>
        </w:tc>
        <w:tc>
          <w:tcPr>
            <w:tcW w:w="754" w:type="pct"/>
            <w:vAlign w:val="center"/>
          </w:tcPr>
          <w:p w14:paraId="2D0A17DF">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46</w:t>
            </w:r>
          </w:p>
        </w:tc>
        <w:tc>
          <w:tcPr>
            <w:tcW w:w="708" w:type="pct"/>
            <w:vAlign w:val="center"/>
          </w:tcPr>
          <w:p w14:paraId="77429C07">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52</w:t>
            </w:r>
          </w:p>
        </w:tc>
        <w:tc>
          <w:tcPr>
            <w:tcW w:w="690" w:type="pct"/>
            <w:vAlign w:val="center"/>
          </w:tcPr>
          <w:p w14:paraId="5168A676">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46</w:t>
            </w:r>
          </w:p>
        </w:tc>
      </w:tr>
      <w:tr w14:paraId="6AB3C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07D99064">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N25</w:t>
            </w:r>
          </w:p>
        </w:tc>
        <w:tc>
          <w:tcPr>
            <w:tcW w:w="919" w:type="pct"/>
            <w:vAlign w:val="center"/>
          </w:tcPr>
          <w:p w14:paraId="549E4FDE">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沈庄村</w:t>
            </w:r>
          </w:p>
        </w:tc>
        <w:tc>
          <w:tcPr>
            <w:tcW w:w="708" w:type="pct"/>
            <w:vAlign w:val="center"/>
          </w:tcPr>
          <w:p w14:paraId="4D6CDA4B">
            <w:pPr>
              <w:spacing w:line="240" w:lineRule="auto"/>
              <w:ind w:firstLine="0" w:firstLineChars="0"/>
              <w:jc w:val="center"/>
              <w:rPr>
                <w:rFonts w:cs="Times New Roman"/>
                <w:spacing w:val="8"/>
                <w:sz w:val="21"/>
                <w:szCs w:val="21"/>
              </w:rPr>
            </w:pPr>
            <w:r>
              <w:rPr>
                <w:rFonts w:hint="eastAsia" w:cs="Times New Roman"/>
                <w:spacing w:val="8"/>
                <w:sz w:val="21"/>
                <w:szCs w:val="21"/>
              </w:rPr>
              <w:t>2类</w:t>
            </w:r>
          </w:p>
        </w:tc>
        <w:tc>
          <w:tcPr>
            <w:tcW w:w="693" w:type="pct"/>
            <w:vAlign w:val="center"/>
          </w:tcPr>
          <w:p w14:paraId="4A8705CD">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52</w:t>
            </w:r>
          </w:p>
        </w:tc>
        <w:tc>
          <w:tcPr>
            <w:tcW w:w="754" w:type="pct"/>
            <w:vAlign w:val="center"/>
          </w:tcPr>
          <w:p w14:paraId="38F65407">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42</w:t>
            </w:r>
          </w:p>
        </w:tc>
        <w:tc>
          <w:tcPr>
            <w:tcW w:w="708" w:type="pct"/>
            <w:vAlign w:val="center"/>
          </w:tcPr>
          <w:p w14:paraId="5D02601E">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59</w:t>
            </w:r>
          </w:p>
        </w:tc>
        <w:tc>
          <w:tcPr>
            <w:tcW w:w="690" w:type="pct"/>
            <w:vAlign w:val="center"/>
          </w:tcPr>
          <w:p w14:paraId="3F2E34FE">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48</w:t>
            </w:r>
          </w:p>
        </w:tc>
      </w:tr>
      <w:tr w14:paraId="048C0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0D44F3BD">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N26</w:t>
            </w:r>
          </w:p>
        </w:tc>
        <w:tc>
          <w:tcPr>
            <w:tcW w:w="919" w:type="pct"/>
            <w:vAlign w:val="center"/>
          </w:tcPr>
          <w:p w14:paraId="52B4713C">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罗村小学</w:t>
            </w:r>
          </w:p>
        </w:tc>
        <w:tc>
          <w:tcPr>
            <w:tcW w:w="708" w:type="pct"/>
            <w:vAlign w:val="center"/>
          </w:tcPr>
          <w:p w14:paraId="5AE7D0FE">
            <w:pPr>
              <w:spacing w:line="240" w:lineRule="auto"/>
              <w:ind w:firstLine="0" w:firstLineChars="0"/>
              <w:jc w:val="center"/>
              <w:rPr>
                <w:rFonts w:cs="Times New Roman"/>
                <w:spacing w:val="8"/>
                <w:sz w:val="21"/>
                <w:szCs w:val="21"/>
              </w:rPr>
            </w:pPr>
            <w:r>
              <w:rPr>
                <w:rFonts w:hint="eastAsia" w:cs="Times New Roman"/>
                <w:spacing w:val="8"/>
                <w:sz w:val="21"/>
                <w:szCs w:val="21"/>
              </w:rPr>
              <w:t>1类</w:t>
            </w:r>
          </w:p>
        </w:tc>
        <w:tc>
          <w:tcPr>
            <w:tcW w:w="693" w:type="pct"/>
            <w:vAlign w:val="center"/>
          </w:tcPr>
          <w:p w14:paraId="309A9B8D">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54</w:t>
            </w:r>
          </w:p>
        </w:tc>
        <w:tc>
          <w:tcPr>
            <w:tcW w:w="754" w:type="pct"/>
            <w:shd w:val="clear" w:color="auto" w:fill="E7E6E6" w:themeFill="background2"/>
            <w:vAlign w:val="center"/>
          </w:tcPr>
          <w:p w14:paraId="364E36A8">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48</w:t>
            </w:r>
          </w:p>
        </w:tc>
        <w:tc>
          <w:tcPr>
            <w:tcW w:w="708" w:type="pct"/>
            <w:vAlign w:val="center"/>
          </w:tcPr>
          <w:p w14:paraId="71939AFA">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55</w:t>
            </w:r>
          </w:p>
        </w:tc>
        <w:tc>
          <w:tcPr>
            <w:tcW w:w="690" w:type="pct"/>
            <w:vAlign w:val="center"/>
          </w:tcPr>
          <w:p w14:paraId="46AD61C1">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44</w:t>
            </w:r>
          </w:p>
        </w:tc>
      </w:tr>
      <w:tr w14:paraId="49B92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pct"/>
            <w:vAlign w:val="center"/>
          </w:tcPr>
          <w:p w14:paraId="0B5710EF">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N27</w:t>
            </w:r>
          </w:p>
        </w:tc>
        <w:tc>
          <w:tcPr>
            <w:tcW w:w="919" w:type="pct"/>
            <w:vAlign w:val="center"/>
          </w:tcPr>
          <w:p w14:paraId="6A1CB42B">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解放小学</w:t>
            </w:r>
          </w:p>
        </w:tc>
        <w:tc>
          <w:tcPr>
            <w:tcW w:w="708" w:type="pct"/>
            <w:vAlign w:val="center"/>
          </w:tcPr>
          <w:p w14:paraId="6585DBF6">
            <w:pPr>
              <w:autoSpaceDE w:val="0"/>
              <w:spacing w:line="240" w:lineRule="auto"/>
              <w:ind w:firstLine="0" w:firstLineChars="0"/>
              <w:jc w:val="center"/>
              <w:rPr>
                <w:rFonts w:cs="Times New Roman"/>
                <w:kern w:val="0"/>
                <w:sz w:val="21"/>
                <w:szCs w:val="21"/>
                <w14:ligatures w14:val="none"/>
              </w:rPr>
            </w:pPr>
            <w:r>
              <w:rPr>
                <w:rFonts w:hint="eastAsia" w:cs="Times New Roman"/>
                <w:spacing w:val="8"/>
                <w:sz w:val="21"/>
                <w:szCs w:val="21"/>
              </w:rPr>
              <w:t>1类</w:t>
            </w:r>
          </w:p>
        </w:tc>
        <w:tc>
          <w:tcPr>
            <w:tcW w:w="693" w:type="pct"/>
            <w:shd w:val="clear" w:color="auto" w:fill="E7E6E6" w:themeFill="background2"/>
            <w:vAlign w:val="center"/>
          </w:tcPr>
          <w:p w14:paraId="508F7C35">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57</w:t>
            </w:r>
          </w:p>
        </w:tc>
        <w:tc>
          <w:tcPr>
            <w:tcW w:w="754" w:type="pct"/>
            <w:vAlign w:val="center"/>
          </w:tcPr>
          <w:p w14:paraId="2B9CEC60">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42</w:t>
            </w:r>
          </w:p>
        </w:tc>
        <w:tc>
          <w:tcPr>
            <w:tcW w:w="708" w:type="pct"/>
            <w:vAlign w:val="center"/>
          </w:tcPr>
          <w:p w14:paraId="3E24E0AA">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55</w:t>
            </w:r>
          </w:p>
        </w:tc>
        <w:tc>
          <w:tcPr>
            <w:tcW w:w="690" w:type="pct"/>
            <w:shd w:val="clear" w:color="auto" w:fill="E7E6E6" w:themeFill="background2"/>
            <w:vAlign w:val="center"/>
          </w:tcPr>
          <w:p w14:paraId="27CB9FAB">
            <w:pPr>
              <w:autoSpaceDE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46</w:t>
            </w:r>
          </w:p>
        </w:tc>
      </w:tr>
    </w:tbl>
    <w:p w14:paraId="428394D6">
      <w:pPr>
        <w:ind w:firstLine="482"/>
        <w:rPr>
          <w:b/>
          <w:bCs/>
        </w:rPr>
      </w:pPr>
      <w:r>
        <w:rPr>
          <w:rFonts w:hint="eastAsia"/>
          <w:b/>
          <w:bCs/>
        </w:rPr>
        <w:t>（5）声环境质量超标原因分析</w:t>
      </w:r>
    </w:p>
    <w:p w14:paraId="63DBE9FF">
      <w:pPr>
        <w:numPr>
          <w:ilvl w:val="0"/>
          <w:numId w:val="14"/>
        </w:numPr>
        <w:ind w:left="0" w:firstLine="480"/>
      </w:pPr>
      <w:r>
        <w:rPr>
          <w:rFonts w:hint="eastAsia"/>
        </w:rPr>
        <w:t>经对上述声环境监测数据的分析，声环境质量超标的原因可能是多方面的。首先，交通因素可能是一个原因，度假区内频繁往来汽车等交通工具，交通工具的密集使用显著增加了噪声水平；</w:t>
      </w:r>
    </w:p>
    <w:p w14:paraId="133B046C">
      <w:pPr>
        <w:numPr>
          <w:ilvl w:val="0"/>
          <w:numId w:val="14"/>
        </w:numPr>
        <w:ind w:left="0" w:firstLine="480"/>
      </w:pPr>
      <w:r>
        <w:rPr>
          <w:rFonts w:hint="eastAsia"/>
        </w:rPr>
        <w:t>其次，监测点位中代表学校的区域主要位于村镇中人口集中区域，周边存在商业、生活等混合活动，在学校上下学时段，大量学生和家长的聚集、交谈以及交通工具的启动和行驶，以及周边居民的日常生活活动，都会对区域噪声产生一定影响。</w:t>
      </w:r>
    </w:p>
    <w:p w14:paraId="5F597E16">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3.5.4</w:t>
      </w:r>
      <w:r>
        <w:rPr>
          <w:rFonts w:hint="eastAsia" w:eastAsia="方正楷体_GBK" w:cs="Times New Roman"/>
          <w:b/>
          <w:bCs/>
          <w:szCs w:val="28"/>
          <w14:ligatures w14:val="none"/>
        </w:rPr>
        <w:t>地下水环境质量现状监测与评价</w:t>
      </w:r>
    </w:p>
    <w:p w14:paraId="0746EFA8">
      <w:pPr>
        <w:ind w:firstLine="0" w:firstLineChars="0"/>
        <w:outlineLvl w:val="3"/>
        <w:rPr>
          <w:b/>
          <w:bCs/>
        </w:rPr>
      </w:pPr>
      <w:r>
        <w:rPr>
          <w:rFonts w:hint="eastAsia"/>
          <w:b/>
          <w:bCs/>
        </w:rPr>
        <w:t>3</w:t>
      </w:r>
      <w:r>
        <w:rPr>
          <w:b/>
          <w:bCs/>
        </w:rPr>
        <w:t>.</w:t>
      </w:r>
      <w:r>
        <w:rPr>
          <w:rFonts w:hint="eastAsia"/>
          <w:b/>
          <w:bCs/>
        </w:rPr>
        <w:t>5</w:t>
      </w:r>
      <w:r>
        <w:rPr>
          <w:b/>
          <w:bCs/>
        </w:rPr>
        <w:t>.</w:t>
      </w:r>
      <w:r>
        <w:rPr>
          <w:rFonts w:hint="eastAsia"/>
          <w:b/>
          <w:bCs/>
        </w:rPr>
        <w:t>4</w:t>
      </w:r>
      <w:r>
        <w:rPr>
          <w:b/>
          <w:bCs/>
        </w:rPr>
        <w:t>.1</w:t>
      </w:r>
      <w:r>
        <w:rPr>
          <w:rFonts w:hint="eastAsia"/>
          <w:b/>
          <w:bCs/>
        </w:rPr>
        <w:t>地下水水质</w:t>
      </w:r>
    </w:p>
    <w:p w14:paraId="4764B574">
      <w:pPr>
        <w:ind w:firstLine="482"/>
        <w:rPr>
          <w:b/>
        </w:rPr>
      </w:pPr>
      <w:r>
        <w:rPr>
          <w:rFonts w:hint="eastAsia"/>
          <w:b/>
        </w:rPr>
        <w:t>（1）监测布点和监测因子</w:t>
      </w:r>
    </w:p>
    <w:p w14:paraId="7D921088">
      <w:pPr>
        <w:ind w:firstLine="480"/>
      </w:pPr>
      <w:bookmarkStart w:id="77" w:name="_Hlk87722854"/>
      <w:r>
        <w:rPr>
          <w:rFonts w:hint="eastAsia"/>
        </w:rPr>
        <w:t>本次评价共布设6个地下水水质现状监测点位，</w:t>
      </w:r>
      <w:bookmarkEnd w:id="77"/>
      <w:r>
        <w:rPr>
          <w:rFonts w:hint="eastAsia"/>
        </w:rPr>
        <w:t>具体监测点位和监测因子见表3.5-13，监测点位分布如附图36所示。</w:t>
      </w:r>
    </w:p>
    <w:p w14:paraId="3533844A">
      <w:pPr>
        <w:ind w:firstLine="480"/>
      </w:pPr>
    </w:p>
    <w:p w14:paraId="67913919">
      <w:pPr>
        <w:pStyle w:val="45"/>
      </w:pPr>
      <w:r>
        <w:t>表</w:t>
      </w:r>
      <w:r>
        <w:rPr>
          <w:rFonts w:hint="eastAsia"/>
        </w:rPr>
        <w:t>3</w:t>
      </w:r>
      <w:r>
        <w:t>.</w:t>
      </w:r>
      <w:r>
        <w:rPr>
          <w:rFonts w:hint="eastAsia"/>
        </w:rPr>
        <w:t>5</w:t>
      </w:r>
      <w:r>
        <w:t>-</w:t>
      </w:r>
      <w:r>
        <w:rPr>
          <w:rFonts w:hint="eastAsia"/>
        </w:rPr>
        <w:t>13</w:t>
      </w:r>
      <w:r>
        <w:t xml:space="preserve">  地下水环境质量现状监测点位和监测因子表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9"/>
        <w:gridCol w:w="3203"/>
        <w:gridCol w:w="4450"/>
      </w:tblGrid>
      <w:tr w14:paraId="54740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10" w:type="pct"/>
            <w:vAlign w:val="center"/>
          </w:tcPr>
          <w:p w14:paraId="4948727C">
            <w:pPr>
              <w:spacing w:line="240" w:lineRule="auto"/>
              <w:ind w:firstLine="0" w:firstLineChars="0"/>
              <w:jc w:val="center"/>
              <w:rPr>
                <w:rFonts w:cs="Times New Roman"/>
                <w:b/>
                <w:sz w:val="21"/>
                <w:szCs w:val="21"/>
              </w:rPr>
            </w:pPr>
            <w:bookmarkStart w:id="78" w:name="_Hlk87722881"/>
            <w:r>
              <w:rPr>
                <w:rFonts w:hint="eastAsia" w:cs="Times New Roman"/>
                <w:b/>
                <w:sz w:val="21"/>
                <w:szCs w:val="21"/>
              </w:rPr>
              <w:t>编号</w:t>
            </w:r>
          </w:p>
        </w:tc>
        <w:tc>
          <w:tcPr>
            <w:tcW w:w="1879" w:type="pct"/>
            <w:vAlign w:val="center"/>
          </w:tcPr>
          <w:p w14:paraId="7B5CE94B">
            <w:pPr>
              <w:spacing w:line="240" w:lineRule="auto"/>
              <w:ind w:firstLine="0" w:firstLineChars="0"/>
              <w:jc w:val="center"/>
              <w:rPr>
                <w:rFonts w:cs="Times New Roman"/>
                <w:b/>
                <w:sz w:val="21"/>
                <w:szCs w:val="21"/>
              </w:rPr>
            </w:pPr>
            <w:r>
              <w:rPr>
                <w:rFonts w:hint="eastAsia" w:cs="Times New Roman"/>
                <w:b/>
                <w:sz w:val="21"/>
                <w:szCs w:val="21"/>
              </w:rPr>
              <w:t>监测点位名称</w:t>
            </w:r>
          </w:p>
        </w:tc>
        <w:tc>
          <w:tcPr>
            <w:tcW w:w="2611" w:type="pct"/>
            <w:vAlign w:val="center"/>
          </w:tcPr>
          <w:p w14:paraId="366ED1D1">
            <w:pPr>
              <w:spacing w:line="240" w:lineRule="auto"/>
              <w:ind w:firstLine="0" w:firstLineChars="0"/>
              <w:jc w:val="center"/>
              <w:rPr>
                <w:rFonts w:cs="Times New Roman"/>
                <w:b/>
                <w:sz w:val="21"/>
                <w:szCs w:val="21"/>
              </w:rPr>
            </w:pPr>
            <w:r>
              <w:rPr>
                <w:rFonts w:hint="eastAsia" w:cs="Times New Roman"/>
                <w:b/>
                <w:sz w:val="21"/>
                <w:szCs w:val="21"/>
              </w:rPr>
              <w:t>监测因子</w:t>
            </w:r>
          </w:p>
        </w:tc>
      </w:tr>
      <w:tr w14:paraId="0B6CF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Align w:val="center"/>
          </w:tcPr>
          <w:p w14:paraId="01D34C50">
            <w:pPr>
              <w:spacing w:line="240" w:lineRule="auto"/>
              <w:ind w:firstLine="0" w:firstLineChars="0"/>
              <w:jc w:val="center"/>
              <w:rPr>
                <w:rFonts w:cs="Times New Roman"/>
                <w:sz w:val="21"/>
                <w:szCs w:val="21"/>
              </w:rPr>
            </w:pPr>
            <w:r>
              <w:rPr>
                <w:rFonts w:hint="eastAsia" w:cs="Times New Roman"/>
                <w:sz w:val="21"/>
                <w:szCs w:val="21"/>
              </w:rPr>
              <w:t>D2</w:t>
            </w:r>
          </w:p>
        </w:tc>
        <w:tc>
          <w:tcPr>
            <w:tcW w:w="1879" w:type="pct"/>
            <w:vAlign w:val="center"/>
          </w:tcPr>
          <w:p w14:paraId="22235CBA">
            <w:pPr>
              <w:spacing w:line="240" w:lineRule="auto"/>
              <w:ind w:firstLine="0" w:firstLineChars="0"/>
              <w:jc w:val="center"/>
              <w:rPr>
                <w:rFonts w:cs="Times New Roman"/>
                <w:sz w:val="21"/>
                <w:szCs w:val="21"/>
              </w:rPr>
            </w:pPr>
            <w:r>
              <w:rPr>
                <w:rFonts w:hint="eastAsia" w:cs="Times New Roman"/>
                <w:sz w:val="21"/>
                <w:szCs w:val="21"/>
              </w:rPr>
              <w:t>雅居乐山湖城</w:t>
            </w:r>
          </w:p>
        </w:tc>
        <w:tc>
          <w:tcPr>
            <w:tcW w:w="2611" w:type="pct"/>
            <w:vMerge w:val="restart"/>
            <w:vAlign w:val="center"/>
          </w:tcPr>
          <w:p w14:paraId="41A8FFDF">
            <w:pPr>
              <w:spacing w:line="240" w:lineRule="auto"/>
              <w:ind w:firstLine="0" w:firstLineChars="0"/>
              <w:jc w:val="center"/>
              <w:rPr>
                <w:rFonts w:cs="Times New Roman"/>
                <w:sz w:val="21"/>
                <w:szCs w:val="21"/>
              </w:rPr>
            </w:pPr>
            <w:r>
              <w:rPr>
                <w:rFonts w:hint="eastAsia" w:cs="Times New Roman"/>
                <w:sz w:val="21"/>
                <w:szCs w:val="21"/>
              </w:rPr>
              <w:t>水位、pH、总硬度、氨氮、硝酸盐氮（以N计）、亚硝酸盐氮（以N计）、挥发性酚类、氰化物、溶解性总固体、</w:t>
            </w:r>
            <w:r>
              <w:rPr>
                <w:rFonts w:hint="eastAsia" w:cs="Times New Roman"/>
                <w:sz w:val="21"/>
                <w:szCs w:val="21"/>
                <w14:ligatures w14:val="none"/>
              </w:rPr>
              <w:t>高锰酸盐指数、</w:t>
            </w:r>
            <w:r>
              <w:rPr>
                <w:rFonts w:hint="eastAsia" w:cs="Times New Roman"/>
                <w:sz w:val="21"/>
                <w:szCs w:val="21"/>
              </w:rPr>
              <w:t>硫酸盐、氯化物、总大肠菌群、细菌总数、氟化物、铁、锰、K</w:t>
            </w:r>
            <w:r>
              <w:rPr>
                <w:rFonts w:hint="eastAsia" w:cs="Times New Roman"/>
                <w:sz w:val="21"/>
                <w:szCs w:val="21"/>
                <w:vertAlign w:val="superscript"/>
              </w:rPr>
              <w:t>+</w:t>
            </w:r>
            <w:r>
              <w:rPr>
                <w:rFonts w:hint="eastAsia" w:cs="Times New Roman"/>
                <w:sz w:val="21"/>
                <w:szCs w:val="21"/>
              </w:rPr>
              <w:t>、Na</w:t>
            </w:r>
            <w:r>
              <w:rPr>
                <w:rFonts w:hint="eastAsia" w:cs="Times New Roman"/>
                <w:sz w:val="21"/>
                <w:szCs w:val="21"/>
                <w:vertAlign w:val="superscript"/>
              </w:rPr>
              <w:t>+</w:t>
            </w:r>
            <w:r>
              <w:rPr>
                <w:rFonts w:hint="eastAsia" w:cs="Times New Roman"/>
                <w:sz w:val="21"/>
                <w:szCs w:val="21"/>
              </w:rPr>
              <w:t>、Ca</w:t>
            </w:r>
            <w:r>
              <w:rPr>
                <w:rFonts w:hint="eastAsia" w:cs="Times New Roman"/>
                <w:sz w:val="21"/>
                <w:szCs w:val="21"/>
                <w:vertAlign w:val="superscript"/>
              </w:rPr>
              <w:t>2+</w:t>
            </w:r>
            <w:r>
              <w:rPr>
                <w:rFonts w:hint="eastAsia" w:cs="Times New Roman"/>
                <w:sz w:val="21"/>
                <w:szCs w:val="21"/>
              </w:rPr>
              <w:t>、Mg</w:t>
            </w:r>
            <w:r>
              <w:rPr>
                <w:rFonts w:hint="eastAsia" w:cs="Times New Roman"/>
                <w:sz w:val="21"/>
                <w:szCs w:val="21"/>
                <w:vertAlign w:val="superscript"/>
              </w:rPr>
              <w:t>2+</w:t>
            </w:r>
            <w:r>
              <w:rPr>
                <w:rFonts w:hint="eastAsia" w:cs="Times New Roman"/>
                <w:sz w:val="21"/>
                <w:szCs w:val="21"/>
              </w:rPr>
              <w:t>、Cl</w:t>
            </w:r>
            <w:r>
              <w:rPr>
                <w:rFonts w:hint="eastAsia" w:cs="Times New Roman"/>
                <w:sz w:val="21"/>
                <w:szCs w:val="21"/>
                <w:vertAlign w:val="superscript"/>
              </w:rPr>
              <w:t>-</w:t>
            </w:r>
            <w:r>
              <w:rPr>
                <w:rFonts w:hint="eastAsia" w:cs="Times New Roman"/>
                <w:sz w:val="21"/>
                <w:szCs w:val="21"/>
              </w:rPr>
              <w:t>、SO</w:t>
            </w:r>
            <w:r>
              <w:rPr>
                <w:rFonts w:hint="eastAsia" w:cs="Times New Roman"/>
                <w:sz w:val="21"/>
                <w:szCs w:val="21"/>
                <w:vertAlign w:val="subscript"/>
              </w:rPr>
              <w:t>4</w:t>
            </w:r>
            <w:r>
              <w:rPr>
                <w:rFonts w:hint="eastAsia" w:cs="Times New Roman"/>
                <w:sz w:val="21"/>
                <w:szCs w:val="21"/>
                <w:vertAlign w:val="superscript"/>
              </w:rPr>
              <w:t>2-</w:t>
            </w:r>
            <w:r>
              <w:rPr>
                <w:rFonts w:hint="eastAsia" w:cs="Times New Roman"/>
                <w:sz w:val="21"/>
                <w:szCs w:val="21"/>
              </w:rPr>
              <w:t>、CO</w:t>
            </w:r>
            <w:r>
              <w:rPr>
                <w:rFonts w:hint="eastAsia" w:cs="Times New Roman"/>
                <w:sz w:val="21"/>
                <w:szCs w:val="21"/>
                <w:vertAlign w:val="subscript"/>
              </w:rPr>
              <w:t>3</w:t>
            </w:r>
            <w:r>
              <w:rPr>
                <w:rFonts w:hint="eastAsia" w:cs="Times New Roman"/>
                <w:sz w:val="21"/>
                <w:szCs w:val="21"/>
                <w:vertAlign w:val="superscript"/>
              </w:rPr>
              <w:t>2-</w:t>
            </w:r>
            <w:r>
              <w:rPr>
                <w:rFonts w:hint="eastAsia" w:cs="Times New Roman"/>
                <w:sz w:val="21"/>
                <w:szCs w:val="21"/>
              </w:rPr>
              <w:t>、HCO</w:t>
            </w:r>
            <w:r>
              <w:rPr>
                <w:rFonts w:hint="eastAsia" w:cs="Times New Roman"/>
                <w:sz w:val="21"/>
                <w:szCs w:val="21"/>
                <w:vertAlign w:val="subscript"/>
              </w:rPr>
              <w:t>3</w:t>
            </w:r>
            <w:r>
              <w:rPr>
                <w:rFonts w:hint="eastAsia" w:cs="Times New Roman"/>
                <w:sz w:val="21"/>
                <w:szCs w:val="21"/>
                <w:vertAlign w:val="superscript"/>
              </w:rPr>
              <w:t>-</w:t>
            </w:r>
            <w:r>
              <w:rPr>
                <w:rFonts w:hint="eastAsia" w:cs="Times New Roman"/>
                <w:sz w:val="21"/>
                <w:szCs w:val="21"/>
              </w:rPr>
              <w:t>、砷、汞、铬（六价）、铅、镉、铜、锌、镍。</w:t>
            </w:r>
          </w:p>
        </w:tc>
      </w:tr>
      <w:tr w14:paraId="3791C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Align w:val="center"/>
          </w:tcPr>
          <w:p w14:paraId="6E3DAE63">
            <w:pPr>
              <w:spacing w:line="240" w:lineRule="auto"/>
              <w:ind w:firstLine="0" w:firstLineChars="0"/>
              <w:jc w:val="center"/>
              <w:rPr>
                <w:rFonts w:cs="Times New Roman"/>
                <w:sz w:val="21"/>
                <w:szCs w:val="21"/>
              </w:rPr>
            </w:pPr>
            <w:r>
              <w:rPr>
                <w:rFonts w:hint="eastAsia" w:cs="Times New Roman"/>
                <w:sz w:val="21"/>
                <w:szCs w:val="21"/>
              </w:rPr>
              <w:t>D4</w:t>
            </w:r>
          </w:p>
        </w:tc>
        <w:tc>
          <w:tcPr>
            <w:tcW w:w="1879" w:type="pct"/>
            <w:vAlign w:val="center"/>
          </w:tcPr>
          <w:p w14:paraId="4F58057F">
            <w:pPr>
              <w:spacing w:line="240" w:lineRule="auto"/>
              <w:ind w:firstLine="0" w:firstLineChars="0"/>
              <w:jc w:val="center"/>
              <w:rPr>
                <w:rFonts w:cs="Times New Roman"/>
                <w:sz w:val="21"/>
                <w:szCs w:val="21"/>
              </w:rPr>
            </w:pPr>
            <w:r>
              <w:rPr>
                <w:rFonts w:hint="eastAsia" w:cs="Times New Roman"/>
                <w:spacing w:val="8"/>
                <w:sz w:val="21"/>
                <w:szCs w:val="21"/>
              </w:rPr>
              <w:t>明月山溪花园</w:t>
            </w:r>
          </w:p>
        </w:tc>
        <w:tc>
          <w:tcPr>
            <w:tcW w:w="2611" w:type="pct"/>
            <w:vMerge w:val="continue"/>
            <w:vAlign w:val="center"/>
          </w:tcPr>
          <w:p w14:paraId="7ED7CAF3">
            <w:pPr>
              <w:spacing w:line="240" w:lineRule="auto"/>
              <w:ind w:firstLine="0" w:firstLineChars="0"/>
              <w:jc w:val="center"/>
              <w:rPr>
                <w:rFonts w:cs="Times New Roman"/>
                <w:b/>
                <w:sz w:val="21"/>
                <w:szCs w:val="21"/>
              </w:rPr>
            </w:pPr>
          </w:p>
        </w:tc>
      </w:tr>
      <w:tr w14:paraId="58DA4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Align w:val="center"/>
          </w:tcPr>
          <w:p w14:paraId="6EDD0253">
            <w:pPr>
              <w:spacing w:line="240" w:lineRule="auto"/>
              <w:ind w:firstLine="0" w:firstLineChars="0"/>
              <w:jc w:val="center"/>
              <w:rPr>
                <w:rFonts w:cs="Times New Roman"/>
                <w:sz w:val="21"/>
                <w:szCs w:val="21"/>
              </w:rPr>
            </w:pPr>
            <w:r>
              <w:rPr>
                <w:rFonts w:hint="eastAsia" w:cs="Times New Roman"/>
                <w:sz w:val="21"/>
                <w:szCs w:val="21"/>
              </w:rPr>
              <w:t>D5</w:t>
            </w:r>
          </w:p>
        </w:tc>
        <w:tc>
          <w:tcPr>
            <w:tcW w:w="1879" w:type="pct"/>
            <w:vAlign w:val="center"/>
          </w:tcPr>
          <w:p w14:paraId="2FAF0B1C">
            <w:pPr>
              <w:spacing w:line="240" w:lineRule="auto"/>
              <w:ind w:firstLine="0" w:firstLineChars="0"/>
              <w:jc w:val="center"/>
              <w:rPr>
                <w:rFonts w:cs="Times New Roman"/>
                <w:sz w:val="21"/>
                <w:szCs w:val="21"/>
              </w:rPr>
            </w:pPr>
            <w:r>
              <w:rPr>
                <w:rFonts w:hint="eastAsia" w:cs="Times New Roman"/>
                <w:sz w:val="21"/>
                <w:szCs w:val="21"/>
              </w:rPr>
              <w:t>养心园</w:t>
            </w:r>
          </w:p>
        </w:tc>
        <w:tc>
          <w:tcPr>
            <w:tcW w:w="2611" w:type="pct"/>
            <w:vMerge w:val="continue"/>
            <w:vAlign w:val="center"/>
          </w:tcPr>
          <w:p w14:paraId="694A0CCF">
            <w:pPr>
              <w:spacing w:line="240" w:lineRule="auto"/>
              <w:ind w:firstLine="0" w:firstLineChars="0"/>
              <w:jc w:val="center"/>
              <w:rPr>
                <w:rFonts w:cs="Times New Roman"/>
                <w:b/>
                <w:sz w:val="21"/>
                <w:szCs w:val="21"/>
              </w:rPr>
            </w:pPr>
          </w:p>
        </w:tc>
      </w:tr>
      <w:tr w14:paraId="3F9EA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tcBorders>
              <w:top w:val="single" w:color="auto" w:sz="4" w:space="0"/>
              <w:left w:val="single" w:color="auto" w:sz="4" w:space="0"/>
              <w:bottom w:val="single" w:color="auto" w:sz="4" w:space="0"/>
              <w:right w:val="single" w:color="auto" w:sz="4" w:space="0"/>
            </w:tcBorders>
            <w:vAlign w:val="center"/>
          </w:tcPr>
          <w:p w14:paraId="47EF569B">
            <w:pPr>
              <w:spacing w:line="240" w:lineRule="auto"/>
              <w:ind w:firstLine="0" w:firstLineChars="0"/>
              <w:jc w:val="center"/>
              <w:rPr>
                <w:rFonts w:cs="Times New Roman"/>
                <w:sz w:val="21"/>
                <w:szCs w:val="21"/>
              </w:rPr>
            </w:pPr>
            <w:r>
              <w:rPr>
                <w:rFonts w:hint="eastAsia" w:cs="Times New Roman"/>
                <w:sz w:val="21"/>
                <w:szCs w:val="21"/>
              </w:rPr>
              <w:t>D6</w:t>
            </w:r>
          </w:p>
        </w:tc>
        <w:tc>
          <w:tcPr>
            <w:tcW w:w="1879" w:type="pct"/>
            <w:tcBorders>
              <w:top w:val="single" w:color="auto" w:sz="4" w:space="0"/>
              <w:left w:val="single" w:color="auto" w:sz="4" w:space="0"/>
              <w:bottom w:val="single" w:color="auto" w:sz="4" w:space="0"/>
              <w:right w:val="single" w:color="auto" w:sz="4" w:space="0"/>
            </w:tcBorders>
            <w:vAlign w:val="center"/>
          </w:tcPr>
          <w:p w14:paraId="43DA4F86">
            <w:pPr>
              <w:spacing w:line="240" w:lineRule="auto"/>
              <w:ind w:firstLine="0" w:firstLineChars="0"/>
              <w:jc w:val="center"/>
              <w:rPr>
                <w:rFonts w:cs="Times New Roman"/>
                <w:sz w:val="21"/>
                <w:szCs w:val="21"/>
              </w:rPr>
            </w:pPr>
            <w:r>
              <w:rPr>
                <w:rFonts w:hint="eastAsia" w:cs="Times New Roman"/>
                <w:sz w:val="21"/>
                <w:szCs w:val="21"/>
              </w:rPr>
              <w:t>林场村</w:t>
            </w:r>
          </w:p>
        </w:tc>
        <w:tc>
          <w:tcPr>
            <w:tcW w:w="2611" w:type="pct"/>
            <w:vMerge w:val="continue"/>
            <w:vAlign w:val="center"/>
          </w:tcPr>
          <w:p w14:paraId="2929B201">
            <w:pPr>
              <w:spacing w:line="240" w:lineRule="auto"/>
              <w:ind w:firstLine="0" w:firstLineChars="0"/>
              <w:jc w:val="center"/>
              <w:rPr>
                <w:rFonts w:cs="Times New Roman"/>
                <w:bCs/>
                <w:sz w:val="21"/>
                <w:szCs w:val="21"/>
              </w:rPr>
            </w:pPr>
          </w:p>
        </w:tc>
      </w:tr>
      <w:tr w14:paraId="50CBA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tcBorders>
              <w:top w:val="single" w:color="auto" w:sz="4" w:space="0"/>
              <w:left w:val="single" w:color="auto" w:sz="4" w:space="0"/>
              <w:bottom w:val="single" w:color="auto" w:sz="4" w:space="0"/>
              <w:right w:val="single" w:color="auto" w:sz="4" w:space="0"/>
            </w:tcBorders>
            <w:vAlign w:val="center"/>
          </w:tcPr>
          <w:p w14:paraId="43818F3F">
            <w:pPr>
              <w:spacing w:line="240" w:lineRule="auto"/>
              <w:ind w:firstLine="0" w:firstLineChars="0"/>
              <w:jc w:val="center"/>
              <w:rPr>
                <w:rFonts w:cs="Times New Roman"/>
                <w:sz w:val="21"/>
                <w:szCs w:val="21"/>
              </w:rPr>
            </w:pPr>
            <w:r>
              <w:rPr>
                <w:rFonts w:hint="eastAsia" w:cs="Times New Roman"/>
                <w:sz w:val="21"/>
                <w:szCs w:val="21"/>
              </w:rPr>
              <w:t>D7</w:t>
            </w:r>
          </w:p>
        </w:tc>
        <w:tc>
          <w:tcPr>
            <w:tcW w:w="1879" w:type="pct"/>
            <w:tcBorders>
              <w:top w:val="single" w:color="auto" w:sz="4" w:space="0"/>
              <w:left w:val="single" w:color="auto" w:sz="4" w:space="0"/>
              <w:bottom w:val="single" w:color="auto" w:sz="4" w:space="0"/>
              <w:right w:val="single" w:color="auto" w:sz="4" w:space="0"/>
            </w:tcBorders>
            <w:vAlign w:val="center"/>
          </w:tcPr>
          <w:p w14:paraId="5C6137CE">
            <w:pPr>
              <w:spacing w:line="240" w:lineRule="auto"/>
              <w:ind w:firstLine="0" w:firstLineChars="0"/>
              <w:jc w:val="center"/>
              <w:rPr>
                <w:rFonts w:cs="Times New Roman"/>
                <w:sz w:val="21"/>
                <w:szCs w:val="21"/>
              </w:rPr>
            </w:pPr>
            <w:r>
              <w:rPr>
                <w:rFonts w:hint="eastAsia" w:cs="Times New Roman"/>
                <w:sz w:val="21"/>
                <w:szCs w:val="21"/>
              </w:rPr>
              <w:t>高德庄园</w:t>
            </w:r>
          </w:p>
        </w:tc>
        <w:tc>
          <w:tcPr>
            <w:tcW w:w="2611" w:type="pct"/>
            <w:vMerge w:val="continue"/>
            <w:vAlign w:val="center"/>
          </w:tcPr>
          <w:p w14:paraId="18A6C476">
            <w:pPr>
              <w:spacing w:line="240" w:lineRule="auto"/>
              <w:ind w:firstLine="0" w:firstLineChars="0"/>
              <w:jc w:val="center"/>
              <w:rPr>
                <w:rFonts w:cs="Times New Roman"/>
                <w:bCs/>
                <w:sz w:val="21"/>
                <w:szCs w:val="21"/>
              </w:rPr>
            </w:pPr>
          </w:p>
        </w:tc>
      </w:tr>
      <w:tr w14:paraId="01B3E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tcBorders>
              <w:top w:val="single" w:color="auto" w:sz="4" w:space="0"/>
              <w:left w:val="single" w:color="auto" w:sz="4" w:space="0"/>
              <w:bottom w:val="single" w:color="auto" w:sz="4" w:space="0"/>
              <w:right w:val="single" w:color="auto" w:sz="4" w:space="0"/>
            </w:tcBorders>
            <w:vAlign w:val="center"/>
          </w:tcPr>
          <w:p w14:paraId="300E0037">
            <w:pPr>
              <w:spacing w:line="240" w:lineRule="auto"/>
              <w:ind w:firstLine="0" w:firstLineChars="0"/>
              <w:jc w:val="center"/>
              <w:rPr>
                <w:rFonts w:cs="Times New Roman"/>
                <w:sz w:val="21"/>
                <w:szCs w:val="21"/>
              </w:rPr>
            </w:pPr>
            <w:r>
              <w:rPr>
                <w:rFonts w:hint="eastAsia" w:cs="Times New Roman"/>
                <w:sz w:val="21"/>
                <w:szCs w:val="21"/>
              </w:rPr>
              <w:t>D12</w:t>
            </w:r>
          </w:p>
        </w:tc>
        <w:tc>
          <w:tcPr>
            <w:tcW w:w="1879" w:type="pct"/>
            <w:tcBorders>
              <w:top w:val="single" w:color="auto" w:sz="4" w:space="0"/>
              <w:left w:val="single" w:color="auto" w:sz="4" w:space="0"/>
              <w:bottom w:val="single" w:color="auto" w:sz="4" w:space="0"/>
              <w:right w:val="single" w:color="auto" w:sz="4" w:space="0"/>
            </w:tcBorders>
            <w:vAlign w:val="center"/>
          </w:tcPr>
          <w:p w14:paraId="242B1367">
            <w:pPr>
              <w:spacing w:line="240" w:lineRule="auto"/>
              <w:ind w:firstLine="0" w:firstLineChars="0"/>
              <w:jc w:val="center"/>
              <w:rPr>
                <w:rFonts w:cs="Times New Roman"/>
                <w:sz w:val="21"/>
                <w:szCs w:val="21"/>
              </w:rPr>
            </w:pPr>
            <w:r>
              <w:rPr>
                <w:rFonts w:hint="eastAsia" w:cs="Times New Roman"/>
                <w:sz w:val="21"/>
                <w:szCs w:val="21"/>
              </w:rPr>
              <w:t>许庄村</w:t>
            </w:r>
          </w:p>
        </w:tc>
        <w:tc>
          <w:tcPr>
            <w:tcW w:w="2611" w:type="pct"/>
            <w:vMerge w:val="continue"/>
            <w:vAlign w:val="center"/>
          </w:tcPr>
          <w:p w14:paraId="23940C98">
            <w:pPr>
              <w:spacing w:line="240" w:lineRule="auto"/>
              <w:ind w:firstLine="0" w:firstLineChars="0"/>
              <w:jc w:val="center"/>
              <w:rPr>
                <w:rFonts w:cs="Times New Roman"/>
                <w:b/>
                <w:sz w:val="21"/>
                <w:szCs w:val="21"/>
              </w:rPr>
            </w:pPr>
          </w:p>
        </w:tc>
      </w:tr>
      <w:bookmarkEnd w:id="78"/>
    </w:tbl>
    <w:p w14:paraId="6D2046BC">
      <w:pPr>
        <w:ind w:firstLine="482"/>
        <w:rPr>
          <w:b/>
        </w:rPr>
      </w:pPr>
      <w:r>
        <w:rPr>
          <w:rFonts w:hint="eastAsia"/>
          <w:b/>
        </w:rPr>
        <w:t>（2）监测时间和频次</w:t>
      </w:r>
    </w:p>
    <w:p w14:paraId="0A469C61">
      <w:pPr>
        <w:ind w:firstLine="480"/>
      </w:pPr>
      <w:r>
        <w:t>D2</w:t>
      </w:r>
      <w:r>
        <w:rPr>
          <w:rFonts w:hint="eastAsia"/>
        </w:rPr>
        <w:t>、</w:t>
      </w:r>
      <w:r>
        <w:t>D4</w:t>
      </w:r>
      <w:r>
        <w:rPr>
          <w:rFonts w:hint="eastAsia"/>
        </w:rPr>
        <w:t>、</w:t>
      </w:r>
      <w:r>
        <w:t>D5</w:t>
      </w:r>
      <w:r>
        <w:rPr>
          <w:rFonts w:hint="eastAsia"/>
        </w:rPr>
        <w:t>、</w:t>
      </w:r>
      <w:r>
        <w:t>D6</w:t>
      </w:r>
      <w:r>
        <w:rPr>
          <w:rFonts w:hint="eastAsia"/>
        </w:rPr>
        <w:t>、</w:t>
      </w:r>
      <w:r>
        <w:t>D7</w:t>
      </w:r>
      <w:r>
        <w:rPr>
          <w:rFonts w:hint="eastAsia"/>
        </w:rPr>
        <w:t>点位采样日期为2024年3月8日，采样1次，监测1次；</w:t>
      </w:r>
      <w:r>
        <w:t>D</w:t>
      </w:r>
      <w:r>
        <w:rPr>
          <w:rFonts w:hint="eastAsia"/>
        </w:rPr>
        <w:t>12点位采样日期为2024年3月27日，采样1次，监测1次。</w:t>
      </w:r>
    </w:p>
    <w:p w14:paraId="51E9E604">
      <w:pPr>
        <w:ind w:firstLine="482"/>
        <w:rPr>
          <w:b/>
          <w:bCs/>
        </w:rPr>
      </w:pPr>
      <w:r>
        <w:rPr>
          <w:rFonts w:hint="eastAsia"/>
          <w:b/>
          <w:bCs/>
        </w:rPr>
        <w:t>（3）监测分析方法</w:t>
      </w:r>
    </w:p>
    <w:p w14:paraId="152A0AD0">
      <w:pPr>
        <w:ind w:firstLine="480"/>
      </w:pPr>
      <w:r>
        <w:rPr>
          <w:rFonts w:hint="eastAsia"/>
        </w:rPr>
        <w:t>监测分析方法和检出限值如表3.5-14所示。</w:t>
      </w:r>
    </w:p>
    <w:p w14:paraId="08ED7B7F">
      <w:pPr>
        <w:pStyle w:val="45"/>
      </w:pPr>
      <w:r>
        <w:t>表</w:t>
      </w:r>
      <w:r>
        <w:rPr>
          <w:rFonts w:hint="eastAsia"/>
        </w:rPr>
        <w:t>3</w:t>
      </w:r>
      <w:r>
        <w:t>.</w:t>
      </w:r>
      <w:r>
        <w:rPr>
          <w:rFonts w:hint="eastAsia"/>
        </w:rPr>
        <w:t>5</w:t>
      </w:r>
      <w:r>
        <w:t>-</w:t>
      </w:r>
      <w:r>
        <w:rPr>
          <w:rFonts w:hint="eastAsia"/>
        </w:rPr>
        <w:t>14</w:t>
      </w:r>
      <w:r>
        <w:t xml:space="preserve">  地下水环境质量</w:t>
      </w:r>
      <w:r>
        <w:rPr>
          <w:rFonts w:hint="eastAsia"/>
        </w:rPr>
        <w:t>分析方法和检出限值</w:t>
      </w:r>
    </w:p>
    <w:tbl>
      <w:tblPr>
        <w:tblStyle w:val="25"/>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1057"/>
        <w:gridCol w:w="1369"/>
        <w:gridCol w:w="4810"/>
        <w:gridCol w:w="1088"/>
      </w:tblGrid>
      <w:tr w14:paraId="5D3C6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tblHeader/>
          <w:jc w:val="center"/>
        </w:trPr>
        <w:tc>
          <w:tcPr>
            <w:tcW w:w="635" w:type="pct"/>
            <w:vAlign w:val="center"/>
          </w:tcPr>
          <w:p w14:paraId="19A777E1">
            <w:pPr>
              <w:widowControl/>
              <w:spacing w:line="240" w:lineRule="auto"/>
              <w:ind w:firstLine="0" w:firstLineChars="0"/>
              <w:jc w:val="center"/>
              <w:textAlignment w:val="center"/>
              <w:rPr>
                <w:rFonts w:cs="Times New Roman"/>
                <w:b/>
                <w:color w:val="000000"/>
                <w:sz w:val="21"/>
                <w:szCs w:val="21"/>
                <w14:ligatures w14:val="none"/>
              </w:rPr>
            </w:pPr>
            <w:r>
              <w:rPr>
                <w:rFonts w:cs="Times New Roman"/>
                <w:b/>
                <w:color w:val="000000"/>
                <w:kern w:val="0"/>
                <w:sz w:val="21"/>
                <w:szCs w:val="21"/>
                <w14:ligatures w14:val="none"/>
              </w:rPr>
              <w:t>项目类别</w:t>
            </w:r>
          </w:p>
        </w:tc>
        <w:tc>
          <w:tcPr>
            <w:tcW w:w="822" w:type="pct"/>
            <w:vAlign w:val="center"/>
          </w:tcPr>
          <w:p w14:paraId="48AEA3D1">
            <w:pPr>
              <w:widowControl/>
              <w:spacing w:line="240" w:lineRule="auto"/>
              <w:ind w:firstLine="0" w:firstLineChars="0"/>
              <w:jc w:val="center"/>
              <w:rPr>
                <w:rFonts w:cs="Times New Roman"/>
                <w:b/>
                <w:color w:val="000000"/>
                <w:sz w:val="21"/>
                <w:szCs w:val="21"/>
                <w14:ligatures w14:val="none"/>
              </w:rPr>
            </w:pPr>
            <w:r>
              <w:rPr>
                <w:rFonts w:cs="Times New Roman"/>
                <w:b/>
                <w:bCs/>
                <w:color w:val="000000"/>
                <w:kern w:val="0"/>
                <w:sz w:val="21"/>
                <w:szCs w:val="21"/>
                <w14:ligatures w14:val="none"/>
              </w:rPr>
              <w:t>检测项目</w:t>
            </w:r>
          </w:p>
        </w:tc>
        <w:tc>
          <w:tcPr>
            <w:tcW w:w="2888" w:type="pct"/>
            <w:vAlign w:val="center"/>
          </w:tcPr>
          <w:p w14:paraId="6ECF61CA">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分析方法</w:t>
            </w:r>
          </w:p>
        </w:tc>
        <w:tc>
          <w:tcPr>
            <w:tcW w:w="653" w:type="pct"/>
            <w:vAlign w:val="center"/>
          </w:tcPr>
          <w:p w14:paraId="24E76C8F">
            <w:pPr>
              <w:widowControl/>
              <w:spacing w:line="240" w:lineRule="auto"/>
              <w:ind w:firstLine="0" w:firstLineChars="0"/>
              <w:jc w:val="center"/>
              <w:rPr>
                <w:rFonts w:cs="Times New Roman"/>
                <w:b/>
                <w:color w:val="000000"/>
                <w:kern w:val="0"/>
                <w:sz w:val="21"/>
                <w:szCs w:val="21"/>
                <w14:ligatures w14:val="none"/>
              </w:rPr>
            </w:pPr>
            <w:r>
              <w:rPr>
                <w:rFonts w:cs="Times New Roman"/>
                <w:b/>
                <w:bCs/>
                <w:color w:val="000000"/>
                <w:kern w:val="0"/>
                <w:sz w:val="21"/>
                <w:szCs w:val="21"/>
                <w14:ligatures w14:val="none"/>
              </w:rPr>
              <w:t>检出限</w:t>
            </w:r>
          </w:p>
        </w:tc>
      </w:tr>
      <w:tr w14:paraId="1D4EA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restart"/>
            <w:vAlign w:val="center"/>
          </w:tcPr>
          <w:p w14:paraId="721216A9">
            <w:pPr>
              <w:spacing w:line="240" w:lineRule="auto"/>
              <w:ind w:firstLine="0" w:firstLineChars="0"/>
              <w:jc w:val="center"/>
              <w:rPr>
                <w:rFonts w:cs="Times New Roman"/>
                <w:sz w:val="21"/>
                <w:szCs w:val="21"/>
                <w14:ligatures w14:val="none"/>
              </w:rPr>
            </w:pPr>
            <w:r>
              <w:rPr>
                <w:rFonts w:cs="Times New Roman"/>
                <w:sz w:val="21"/>
                <w:szCs w:val="21"/>
                <w14:ligatures w14:val="none"/>
              </w:rPr>
              <w:t>地下水</w:t>
            </w:r>
          </w:p>
        </w:tc>
        <w:tc>
          <w:tcPr>
            <w:tcW w:w="822" w:type="pct"/>
            <w:vAlign w:val="center"/>
          </w:tcPr>
          <w:p w14:paraId="3AFC46CF">
            <w:pPr>
              <w:spacing w:line="240" w:lineRule="auto"/>
              <w:ind w:firstLine="0" w:firstLineChars="0"/>
              <w:jc w:val="center"/>
              <w:rPr>
                <w:rFonts w:cs="Times New Roman"/>
                <w:kern w:val="0"/>
                <w:sz w:val="21"/>
                <w:szCs w:val="21"/>
                <w14:ligatures w14:val="none"/>
              </w:rPr>
            </w:pPr>
            <w:r>
              <w:rPr>
                <w:rFonts w:cs="Times New Roman"/>
                <w:sz w:val="21"/>
                <w:szCs w:val="21"/>
                <w14:ligatures w14:val="none"/>
              </w:rPr>
              <w:t>pH值</w:t>
            </w:r>
          </w:p>
        </w:tc>
        <w:tc>
          <w:tcPr>
            <w:tcW w:w="2888" w:type="pct"/>
            <w:vAlign w:val="center"/>
          </w:tcPr>
          <w:p w14:paraId="7B353EF3">
            <w:pPr>
              <w:spacing w:line="240" w:lineRule="auto"/>
              <w:ind w:firstLine="0" w:firstLineChars="0"/>
              <w:jc w:val="center"/>
              <w:rPr>
                <w:rFonts w:cs="Times New Roman"/>
                <w:sz w:val="21"/>
                <w:szCs w:val="21"/>
                <w14:ligatures w14:val="none"/>
              </w:rPr>
            </w:pPr>
            <w:r>
              <w:rPr>
                <w:rFonts w:cs="Times New Roman"/>
                <w:sz w:val="21"/>
                <w:szCs w:val="21"/>
                <w14:ligatures w14:val="none"/>
              </w:rPr>
              <w:t>水质 pH值的测定 电极法HJ 1147-2020</w:t>
            </w:r>
          </w:p>
        </w:tc>
        <w:tc>
          <w:tcPr>
            <w:tcW w:w="653" w:type="pct"/>
            <w:vAlign w:val="center"/>
          </w:tcPr>
          <w:p w14:paraId="44BCE29E">
            <w:pPr>
              <w:spacing w:line="240" w:lineRule="auto"/>
              <w:ind w:firstLine="0" w:firstLineChars="0"/>
              <w:jc w:val="center"/>
              <w:rPr>
                <w:rFonts w:cs="Times New Roman"/>
                <w:sz w:val="21"/>
                <w:szCs w:val="21"/>
                <w14:ligatures w14:val="none"/>
              </w:rPr>
            </w:pPr>
            <w:r>
              <w:rPr>
                <w:rFonts w:cs="Times New Roman"/>
                <w:sz w:val="21"/>
                <w:szCs w:val="21"/>
                <w14:ligatures w14:val="none"/>
              </w:rPr>
              <w:t>—</w:t>
            </w:r>
          </w:p>
        </w:tc>
      </w:tr>
      <w:tr w14:paraId="66A58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6DA0666A">
            <w:pPr>
              <w:spacing w:line="240" w:lineRule="auto"/>
              <w:ind w:firstLine="0" w:firstLineChars="0"/>
              <w:jc w:val="center"/>
              <w:rPr>
                <w:rFonts w:cs="Times New Roman"/>
                <w:sz w:val="21"/>
                <w:szCs w:val="21"/>
                <w14:ligatures w14:val="none"/>
              </w:rPr>
            </w:pPr>
          </w:p>
        </w:tc>
        <w:tc>
          <w:tcPr>
            <w:tcW w:w="822" w:type="pct"/>
            <w:vAlign w:val="center"/>
          </w:tcPr>
          <w:p w14:paraId="3D85E446">
            <w:pPr>
              <w:widowControl/>
              <w:spacing w:line="240" w:lineRule="auto"/>
              <w:ind w:firstLine="0" w:firstLineChars="0"/>
              <w:jc w:val="center"/>
              <w:textAlignment w:val="center"/>
              <w:rPr>
                <w:rFonts w:cs="Times New Roman"/>
                <w:sz w:val="21"/>
                <w:szCs w:val="21"/>
                <w14:ligatures w14:val="none"/>
              </w:rPr>
            </w:pPr>
            <w:r>
              <w:rPr>
                <w:rFonts w:cs="Times New Roman"/>
                <w:kern w:val="0"/>
                <w:sz w:val="21"/>
                <w:szCs w:val="21"/>
                <w14:ligatures w14:val="none"/>
              </w:rPr>
              <w:t>总大肠菌群</w:t>
            </w:r>
          </w:p>
        </w:tc>
        <w:tc>
          <w:tcPr>
            <w:tcW w:w="2888" w:type="pct"/>
            <w:vAlign w:val="center"/>
          </w:tcPr>
          <w:p w14:paraId="54931D55">
            <w:pPr>
              <w:widowControl/>
              <w:spacing w:line="240" w:lineRule="auto"/>
              <w:ind w:firstLine="0" w:firstLineChars="0"/>
              <w:jc w:val="center"/>
              <w:textAlignment w:val="center"/>
              <w:rPr>
                <w:rFonts w:cs="Times New Roman"/>
                <w:sz w:val="21"/>
                <w:szCs w:val="21"/>
                <w14:ligatures w14:val="none"/>
              </w:rPr>
            </w:pPr>
            <w:r>
              <w:rPr>
                <w:rFonts w:cs="Times New Roman"/>
                <w:sz w:val="21"/>
                <w:szCs w:val="21"/>
                <w14:ligatures w14:val="none"/>
              </w:rPr>
              <w:t>生活饮用水标准检验方法 第12部分：微生物指标</w:t>
            </w:r>
            <w:r>
              <w:rPr>
                <w:rFonts w:cs="Times New Roman"/>
                <w:kern w:val="0"/>
                <w:sz w:val="21"/>
                <w:szCs w:val="21"/>
                <w14:ligatures w14:val="none"/>
              </w:rPr>
              <w:t>GB/T 5750.12-2023</w:t>
            </w:r>
          </w:p>
        </w:tc>
        <w:tc>
          <w:tcPr>
            <w:tcW w:w="653" w:type="pct"/>
            <w:vAlign w:val="center"/>
          </w:tcPr>
          <w:p w14:paraId="2AD91FCB">
            <w:pPr>
              <w:spacing w:line="240" w:lineRule="auto"/>
              <w:ind w:firstLine="0" w:firstLineChars="0"/>
              <w:jc w:val="center"/>
              <w:rPr>
                <w:rFonts w:cs="Times New Roman"/>
                <w:sz w:val="21"/>
                <w:szCs w:val="21"/>
                <w14:ligatures w14:val="none"/>
              </w:rPr>
            </w:pPr>
            <w:r>
              <w:rPr>
                <w:rFonts w:cs="Times New Roman"/>
                <w:sz w:val="21"/>
                <w:szCs w:val="21"/>
                <w14:ligatures w14:val="none"/>
              </w:rPr>
              <w:t>—</w:t>
            </w:r>
          </w:p>
        </w:tc>
      </w:tr>
      <w:tr w14:paraId="48BFC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7747B63B">
            <w:pPr>
              <w:spacing w:line="240" w:lineRule="auto"/>
              <w:ind w:firstLine="0" w:firstLineChars="0"/>
              <w:jc w:val="center"/>
              <w:rPr>
                <w:rFonts w:cs="Times New Roman"/>
                <w:sz w:val="21"/>
                <w:szCs w:val="21"/>
                <w14:ligatures w14:val="none"/>
              </w:rPr>
            </w:pPr>
          </w:p>
        </w:tc>
        <w:tc>
          <w:tcPr>
            <w:tcW w:w="822" w:type="pct"/>
            <w:vAlign w:val="center"/>
          </w:tcPr>
          <w:p w14:paraId="1526EA66">
            <w:pPr>
              <w:spacing w:line="240" w:lineRule="auto"/>
              <w:ind w:firstLine="0" w:firstLineChars="0"/>
              <w:jc w:val="center"/>
              <w:rPr>
                <w:rFonts w:cs="Times New Roman"/>
                <w:sz w:val="21"/>
                <w:szCs w:val="21"/>
                <w14:ligatures w14:val="none"/>
              </w:rPr>
            </w:pPr>
            <w:r>
              <w:rPr>
                <w:rFonts w:cs="Times New Roman"/>
                <w:sz w:val="21"/>
                <w:szCs w:val="21"/>
                <w14:ligatures w14:val="none"/>
              </w:rPr>
              <w:t>细菌总数</w:t>
            </w:r>
          </w:p>
        </w:tc>
        <w:tc>
          <w:tcPr>
            <w:tcW w:w="2888" w:type="pct"/>
            <w:vAlign w:val="center"/>
          </w:tcPr>
          <w:p w14:paraId="10FB135D">
            <w:pPr>
              <w:spacing w:line="240" w:lineRule="auto"/>
              <w:ind w:firstLine="0" w:firstLineChars="0"/>
              <w:jc w:val="center"/>
              <w:rPr>
                <w:rFonts w:cs="Times New Roman"/>
                <w:sz w:val="21"/>
                <w:szCs w:val="21"/>
                <w14:ligatures w14:val="none"/>
              </w:rPr>
            </w:pPr>
            <w:r>
              <w:rPr>
                <w:rFonts w:cs="Times New Roman"/>
                <w:sz w:val="21"/>
                <w:szCs w:val="21"/>
                <w14:ligatures w14:val="none"/>
              </w:rPr>
              <w:t>生活饮用水标准检验方法 第12部分：微生物指标 平皿计数法 GB/T 5750.12-2023</w:t>
            </w:r>
          </w:p>
        </w:tc>
        <w:tc>
          <w:tcPr>
            <w:tcW w:w="653" w:type="pct"/>
            <w:vAlign w:val="center"/>
          </w:tcPr>
          <w:p w14:paraId="0B229521">
            <w:pPr>
              <w:spacing w:line="240" w:lineRule="auto"/>
              <w:ind w:firstLine="0" w:firstLineChars="0"/>
              <w:jc w:val="center"/>
              <w:rPr>
                <w:rFonts w:cs="Times New Roman"/>
                <w:sz w:val="21"/>
                <w:szCs w:val="21"/>
                <w14:ligatures w14:val="none"/>
              </w:rPr>
            </w:pPr>
            <w:r>
              <w:rPr>
                <w:rFonts w:cs="Times New Roman"/>
                <w:sz w:val="21"/>
                <w:szCs w:val="21"/>
                <w14:ligatures w14:val="none"/>
              </w:rPr>
              <w:t>—</w:t>
            </w:r>
          </w:p>
        </w:tc>
      </w:tr>
      <w:tr w14:paraId="43D1F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00E58CA1">
            <w:pPr>
              <w:spacing w:line="240" w:lineRule="auto"/>
              <w:ind w:firstLine="0" w:firstLineChars="0"/>
              <w:jc w:val="center"/>
              <w:rPr>
                <w:rFonts w:cs="Times New Roman"/>
                <w:sz w:val="21"/>
                <w:szCs w:val="21"/>
                <w14:ligatures w14:val="none"/>
              </w:rPr>
            </w:pPr>
          </w:p>
        </w:tc>
        <w:tc>
          <w:tcPr>
            <w:tcW w:w="822" w:type="pct"/>
            <w:vAlign w:val="center"/>
          </w:tcPr>
          <w:p w14:paraId="0150B450">
            <w:pPr>
              <w:spacing w:line="240" w:lineRule="auto"/>
              <w:ind w:firstLine="0" w:firstLineChars="0"/>
              <w:jc w:val="center"/>
              <w:rPr>
                <w:rFonts w:cs="Times New Roman"/>
                <w:sz w:val="21"/>
                <w:szCs w:val="21"/>
                <w14:ligatures w14:val="none"/>
              </w:rPr>
            </w:pPr>
            <w:r>
              <w:rPr>
                <w:rFonts w:cs="Times New Roman"/>
                <w:kern w:val="0"/>
                <w:sz w:val="21"/>
                <w:szCs w:val="21"/>
                <w14:ligatures w14:val="none"/>
              </w:rPr>
              <w:t>K</w:t>
            </w:r>
            <w:r>
              <w:rPr>
                <w:rFonts w:cs="Times New Roman"/>
                <w:color w:val="000000"/>
                <w:sz w:val="21"/>
                <w:szCs w:val="21"/>
                <w:vertAlign w:val="superscript"/>
                <w14:ligatures w14:val="none"/>
              </w:rPr>
              <w:t>+</w:t>
            </w:r>
          </w:p>
        </w:tc>
        <w:tc>
          <w:tcPr>
            <w:tcW w:w="2888" w:type="pct"/>
            <w:vMerge w:val="restart"/>
            <w:vAlign w:val="center"/>
          </w:tcPr>
          <w:p w14:paraId="102220E8">
            <w:pPr>
              <w:widowControl/>
              <w:spacing w:line="240" w:lineRule="auto"/>
              <w:ind w:firstLine="0" w:firstLineChars="0"/>
              <w:jc w:val="center"/>
              <w:textAlignment w:val="center"/>
              <w:rPr>
                <w:rFonts w:cs="Times New Roman"/>
                <w:sz w:val="21"/>
                <w:szCs w:val="21"/>
                <w14:ligatures w14:val="none"/>
              </w:rPr>
            </w:pPr>
            <w:r>
              <w:rPr>
                <w:rFonts w:cs="Times New Roman"/>
                <w:sz w:val="21"/>
                <w:szCs w:val="21"/>
                <w14:ligatures w14:val="none"/>
              </w:rPr>
              <w:t>水质 32种元素的测定 电感耦合等离子体发射光谱法</w:t>
            </w:r>
            <w:r>
              <w:rPr>
                <w:rFonts w:cs="Times New Roman"/>
                <w:kern w:val="0"/>
                <w:sz w:val="21"/>
                <w:szCs w:val="21"/>
                <w14:ligatures w14:val="none"/>
              </w:rPr>
              <w:t>HJ 776-2015</w:t>
            </w:r>
          </w:p>
        </w:tc>
        <w:tc>
          <w:tcPr>
            <w:tcW w:w="653" w:type="pct"/>
            <w:vAlign w:val="center"/>
          </w:tcPr>
          <w:p w14:paraId="085519F8">
            <w:pPr>
              <w:spacing w:line="240" w:lineRule="auto"/>
              <w:ind w:firstLine="0" w:firstLineChars="0"/>
              <w:jc w:val="center"/>
              <w:rPr>
                <w:rFonts w:cs="Times New Roman"/>
                <w:sz w:val="21"/>
                <w:szCs w:val="21"/>
                <w14:ligatures w14:val="none"/>
              </w:rPr>
            </w:pPr>
            <w:r>
              <w:rPr>
                <w:rFonts w:cs="Times New Roman"/>
                <w:sz w:val="21"/>
                <w:szCs w:val="21"/>
                <w14:ligatures w14:val="none"/>
              </w:rPr>
              <w:t>0.05mg/L</w:t>
            </w:r>
          </w:p>
        </w:tc>
      </w:tr>
      <w:tr w14:paraId="29D5B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689729AB">
            <w:pPr>
              <w:spacing w:line="240" w:lineRule="auto"/>
              <w:ind w:firstLine="0" w:firstLineChars="0"/>
              <w:jc w:val="center"/>
              <w:rPr>
                <w:rFonts w:cs="Times New Roman"/>
                <w:sz w:val="21"/>
                <w:szCs w:val="21"/>
                <w14:ligatures w14:val="none"/>
              </w:rPr>
            </w:pPr>
          </w:p>
        </w:tc>
        <w:tc>
          <w:tcPr>
            <w:tcW w:w="822" w:type="pct"/>
            <w:vAlign w:val="center"/>
          </w:tcPr>
          <w:p w14:paraId="0A2683E7">
            <w:pPr>
              <w:spacing w:line="240" w:lineRule="auto"/>
              <w:ind w:firstLine="0" w:firstLineChars="0"/>
              <w:jc w:val="center"/>
              <w:rPr>
                <w:rFonts w:cs="Times New Roman"/>
                <w:sz w:val="21"/>
                <w:szCs w:val="21"/>
                <w14:ligatures w14:val="none"/>
              </w:rPr>
            </w:pPr>
            <w:r>
              <w:rPr>
                <w:rFonts w:cs="Times New Roman"/>
                <w:kern w:val="0"/>
                <w:sz w:val="21"/>
                <w:szCs w:val="21"/>
                <w14:ligatures w14:val="none"/>
              </w:rPr>
              <w:t>Na</w:t>
            </w:r>
            <w:r>
              <w:rPr>
                <w:rFonts w:cs="Times New Roman"/>
                <w:color w:val="000000"/>
                <w:sz w:val="21"/>
                <w:szCs w:val="21"/>
                <w:vertAlign w:val="superscript"/>
                <w14:ligatures w14:val="none"/>
              </w:rPr>
              <w:t>+</w:t>
            </w:r>
          </w:p>
        </w:tc>
        <w:tc>
          <w:tcPr>
            <w:tcW w:w="2888" w:type="pct"/>
            <w:vMerge w:val="continue"/>
            <w:vAlign w:val="center"/>
          </w:tcPr>
          <w:p w14:paraId="029EF549">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2734A61F">
            <w:pPr>
              <w:spacing w:line="240" w:lineRule="auto"/>
              <w:ind w:firstLine="0" w:firstLineChars="0"/>
              <w:jc w:val="center"/>
              <w:rPr>
                <w:rFonts w:cs="Times New Roman"/>
                <w:sz w:val="21"/>
                <w:szCs w:val="21"/>
                <w14:ligatures w14:val="none"/>
              </w:rPr>
            </w:pPr>
            <w:r>
              <w:rPr>
                <w:rFonts w:cs="Times New Roman"/>
                <w:sz w:val="21"/>
                <w:szCs w:val="21"/>
                <w14:ligatures w14:val="none"/>
              </w:rPr>
              <w:t>0.12mg/L</w:t>
            </w:r>
          </w:p>
        </w:tc>
      </w:tr>
      <w:tr w14:paraId="5B9AD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075BA775">
            <w:pPr>
              <w:spacing w:line="240" w:lineRule="auto"/>
              <w:ind w:firstLine="0" w:firstLineChars="0"/>
              <w:jc w:val="center"/>
              <w:rPr>
                <w:rFonts w:cs="Times New Roman"/>
                <w:sz w:val="21"/>
                <w:szCs w:val="21"/>
                <w14:ligatures w14:val="none"/>
              </w:rPr>
            </w:pPr>
          </w:p>
        </w:tc>
        <w:tc>
          <w:tcPr>
            <w:tcW w:w="822" w:type="pct"/>
            <w:vAlign w:val="center"/>
          </w:tcPr>
          <w:p w14:paraId="6233D7EB">
            <w:pPr>
              <w:spacing w:line="240" w:lineRule="auto"/>
              <w:ind w:firstLine="0" w:firstLineChars="0"/>
              <w:jc w:val="center"/>
              <w:rPr>
                <w:rFonts w:cs="Times New Roman"/>
                <w:sz w:val="21"/>
                <w:szCs w:val="21"/>
                <w14:ligatures w14:val="none"/>
              </w:rPr>
            </w:pPr>
            <w:r>
              <w:rPr>
                <w:rFonts w:cs="Times New Roman"/>
                <w:kern w:val="0"/>
                <w:sz w:val="21"/>
                <w:szCs w:val="21"/>
                <w14:ligatures w14:val="none"/>
              </w:rPr>
              <w:t>Ca</w:t>
            </w:r>
            <w:r>
              <w:rPr>
                <w:rFonts w:cs="Times New Roman"/>
                <w:color w:val="000000"/>
                <w:sz w:val="21"/>
                <w:szCs w:val="21"/>
                <w:vertAlign w:val="superscript"/>
                <w14:ligatures w14:val="none"/>
              </w:rPr>
              <w:t>2+</w:t>
            </w:r>
          </w:p>
        </w:tc>
        <w:tc>
          <w:tcPr>
            <w:tcW w:w="2888" w:type="pct"/>
            <w:vMerge w:val="continue"/>
            <w:vAlign w:val="center"/>
          </w:tcPr>
          <w:p w14:paraId="79EF36D9">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691812EC">
            <w:pPr>
              <w:spacing w:line="240" w:lineRule="auto"/>
              <w:ind w:firstLine="0" w:firstLineChars="0"/>
              <w:jc w:val="center"/>
              <w:rPr>
                <w:rFonts w:cs="Times New Roman"/>
                <w:sz w:val="21"/>
                <w:szCs w:val="21"/>
                <w14:ligatures w14:val="none"/>
              </w:rPr>
            </w:pPr>
            <w:r>
              <w:rPr>
                <w:rFonts w:cs="Times New Roman"/>
                <w:sz w:val="21"/>
                <w:szCs w:val="21"/>
                <w14:ligatures w14:val="none"/>
              </w:rPr>
              <w:t>0.02mg/L</w:t>
            </w:r>
          </w:p>
        </w:tc>
      </w:tr>
      <w:tr w14:paraId="0CE56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5F39C572">
            <w:pPr>
              <w:spacing w:line="240" w:lineRule="auto"/>
              <w:ind w:firstLine="0" w:firstLineChars="0"/>
              <w:jc w:val="center"/>
              <w:rPr>
                <w:rFonts w:cs="Times New Roman"/>
                <w:sz w:val="21"/>
                <w:szCs w:val="21"/>
                <w14:ligatures w14:val="none"/>
              </w:rPr>
            </w:pPr>
          </w:p>
        </w:tc>
        <w:tc>
          <w:tcPr>
            <w:tcW w:w="822" w:type="pct"/>
            <w:vAlign w:val="center"/>
          </w:tcPr>
          <w:p w14:paraId="4658972E">
            <w:pPr>
              <w:spacing w:line="240" w:lineRule="auto"/>
              <w:ind w:firstLine="0" w:firstLineChars="0"/>
              <w:jc w:val="center"/>
              <w:rPr>
                <w:rFonts w:cs="Times New Roman"/>
                <w:sz w:val="21"/>
                <w:szCs w:val="21"/>
                <w14:ligatures w14:val="none"/>
              </w:rPr>
            </w:pPr>
            <w:r>
              <w:rPr>
                <w:rFonts w:cs="Times New Roman"/>
                <w:kern w:val="0"/>
                <w:sz w:val="21"/>
                <w:szCs w:val="21"/>
                <w14:ligatures w14:val="none"/>
              </w:rPr>
              <w:t>Mg</w:t>
            </w:r>
            <w:r>
              <w:rPr>
                <w:rFonts w:cs="Times New Roman"/>
                <w:color w:val="000000"/>
                <w:sz w:val="21"/>
                <w:szCs w:val="21"/>
                <w:vertAlign w:val="superscript"/>
                <w14:ligatures w14:val="none"/>
              </w:rPr>
              <w:t>2+</w:t>
            </w:r>
          </w:p>
        </w:tc>
        <w:tc>
          <w:tcPr>
            <w:tcW w:w="2888" w:type="pct"/>
            <w:vMerge w:val="continue"/>
            <w:vAlign w:val="center"/>
          </w:tcPr>
          <w:p w14:paraId="4FACA7B6">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2DAACF74">
            <w:pPr>
              <w:spacing w:line="240" w:lineRule="auto"/>
              <w:ind w:firstLine="0" w:firstLineChars="0"/>
              <w:jc w:val="center"/>
              <w:rPr>
                <w:rFonts w:cs="Times New Roman"/>
                <w:sz w:val="21"/>
                <w:szCs w:val="21"/>
                <w14:ligatures w14:val="none"/>
              </w:rPr>
            </w:pPr>
            <w:r>
              <w:rPr>
                <w:rFonts w:cs="Times New Roman"/>
                <w:sz w:val="21"/>
                <w:szCs w:val="21"/>
                <w14:ligatures w14:val="none"/>
              </w:rPr>
              <w:t>0.003mg/L</w:t>
            </w:r>
          </w:p>
        </w:tc>
      </w:tr>
      <w:tr w14:paraId="6C8DF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571099AD">
            <w:pPr>
              <w:spacing w:line="240" w:lineRule="auto"/>
              <w:ind w:firstLine="0" w:firstLineChars="0"/>
              <w:jc w:val="center"/>
              <w:rPr>
                <w:rFonts w:cs="Times New Roman"/>
                <w:sz w:val="21"/>
                <w:szCs w:val="21"/>
                <w14:ligatures w14:val="none"/>
              </w:rPr>
            </w:pPr>
          </w:p>
        </w:tc>
        <w:tc>
          <w:tcPr>
            <w:tcW w:w="822" w:type="pct"/>
            <w:vAlign w:val="center"/>
          </w:tcPr>
          <w:p w14:paraId="32E4668D">
            <w:pPr>
              <w:spacing w:line="240" w:lineRule="auto"/>
              <w:ind w:firstLine="0" w:firstLineChars="0"/>
              <w:jc w:val="center"/>
              <w:rPr>
                <w:rFonts w:cs="Times New Roman"/>
                <w:sz w:val="21"/>
                <w:szCs w:val="21"/>
                <w14:ligatures w14:val="none"/>
              </w:rPr>
            </w:pPr>
            <w:r>
              <w:rPr>
                <w:rFonts w:cs="Times New Roman"/>
                <w:kern w:val="0"/>
                <w:sz w:val="21"/>
                <w:szCs w:val="21"/>
                <w14:ligatures w14:val="none"/>
              </w:rPr>
              <w:t>CO</w:t>
            </w:r>
            <w:r>
              <w:rPr>
                <w:rFonts w:cs="Times New Roman"/>
                <w:kern w:val="0"/>
                <w:sz w:val="21"/>
                <w:szCs w:val="21"/>
                <w:vertAlign w:val="subscript"/>
                <w14:ligatures w14:val="none"/>
              </w:rPr>
              <w:t>3</w:t>
            </w:r>
            <w:r>
              <w:rPr>
                <w:rFonts w:cs="Times New Roman"/>
                <w:color w:val="000000"/>
                <w:sz w:val="21"/>
                <w:szCs w:val="21"/>
                <w:vertAlign w:val="superscript"/>
                <w14:ligatures w14:val="none"/>
              </w:rPr>
              <w:t>2-</w:t>
            </w:r>
          </w:p>
        </w:tc>
        <w:tc>
          <w:tcPr>
            <w:tcW w:w="2888" w:type="pct"/>
            <w:vMerge w:val="restart"/>
            <w:vAlign w:val="center"/>
          </w:tcPr>
          <w:p w14:paraId="7F3F0DDB">
            <w:pPr>
              <w:widowControl/>
              <w:spacing w:line="240" w:lineRule="auto"/>
              <w:ind w:firstLine="0" w:firstLineChars="0"/>
              <w:jc w:val="center"/>
              <w:textAlignment w:val="center"/>
              <w:rPr>
                <w:rFonts w:cs="Times New Roman"/>
                <w:sz w:val="21"/>
                <w:szCs w:val="21"/>
                <w14:ligatures w14:val="none"/>
              </w:rPr>
            </w:pPr>
            <w:r>
              <w:rPr>
                <w:rFonts w:cs="Times New Roman"/>
                <w:kern w:val="0"/>
                <w:sz w:val="21"/>
                <w:szCs w:val="21"/>
                <w14:ligatures w14:val="none"/>
              </w:rPr>
              <w:t>地下水质分析方法 第 49 部分：碳酸根、重碳酸根和氢氧根离子的测定 滴定法DZ/T 0064.49-2021</w:t>
            </w:r>
          </w:p>
        </w:tc>
        <w:tc>
          <w:tcPr>
            <w:tcW w:w="653" w:type="pct"/>
            <w:vAlign w:val="center"/>
          </w:tcPr>
          <w:p w14:paraId="31037435">
            <w:pPr>
              <w:spacing w:line="240" w:lineRule="auto"/>
              <w:ind w:firstLine="0" w:firstLineChars="0"/>
              <w:jc w:val="center"/>
              <w:rPr>
                <w:rFonts w:cs="Times New Roman"/>
                <w:sz w:val="21"/>
                <w:szCs w:val="21"/>
                <w14:ligatures w14:val="none"/>
              </w:rPr>
            </w:pPr>
            <w:r>
              <w:rPr>
                <w:rFonts w:cs="Times New Roman"/>
                <w:sz w:val="21"/>
                <w:szCs w:val="21"/>
                <w14:ligatures w14:val="none"/>
              </w:rPr>
              <w:t>5mg/L</w:t>
            </w:r>
          </w:p>
        </w:tc>
      </w:tr>
      <w:tr w14:paraId="31383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1CC6B5A2">
            <w:pPr>
              <w:spacing w:line="240" w:lineRule="auto"/>
              <w:ind w:firstLine="0" w:firstLineChars="0"/>
              <w:jc w:val="center"/>
              <w:rPr>
                <w:rFonts w:cs="Times New Roman"/>
                <w:sz w:val="21"/>
                <w:szCs w:val="21"/>
                <w14:ligatures w14:val="none"/>
              </w:rPr>
            </w:pPr>
          </w:p>
        </w:tc>
        <w:tc>
          <w:tcPr>
            <w:tcW w:w="822" w:type="pct"/>
            <w:vAlign w:val="center"/>
          </w:tcPr>
          <w:p w14:paraId="0E32D050">
            <w:pPr>
              <w:spacing w:line="240" w:lineRule="auto"/>
              <w:ind w:firstLine="0" w:firstLineChars="0"/>
              <w:jc w:val="center"/>
              <w:rPr>
                <w:rFonts w:cs="Times New Roman"/>
                <w:sz w:val="21"/>
                <w:szCs w:val="21"/>
                <w14:ligatures w14:val="none"/>
              </w:rPr>
            </w:pPr>
            <w:r>
              <w:rPr>
                <w:rFonts w:cs="Times New Roman"/>
                <w:kern w:val="0"/>
                <w:sz w:val="21"/>
                <w:szCs w:val="21"/>
                <w14:ligatures w14:val="none"/>
              </w:rPr>
              <w:t>HCO</w:t>
            </w:r>
            <w:r>
              <w:rPr>
                <w:rFonts w:cs="Times New Roman"/>
                <w:color w:val="000000"/>
                <w:sz w:val="21"/>
                <w:szCs w:val="21"/>
                <w:vertAlign w:val="subscript"/>
                <w14:ligatures w14:val="none"/>
              </w:rPr>
              <w:t>3</w:t>
            </w:r>
            <w:r>
              <w:rPr>
                <w:rFonts w:cs="Times New Roman"/>
                <w:color w:val="000000"/>
                <w:sz w:val="21"/>
                <w:szCs w:val="21"/>
                <w:vertAlign w:val="superscript"/>
                <w14:ligatures w14:val="none"/>
              </w:rPr>
              <w:t>-</w:t>
            </w:r>
          </w:p>
        </w:tc>
        <w:tc>
          <w:tcPr>
            <w:tcW w:w="2888" w:type="pct"/>
            <w:vMerge w:val="continue"/>
            <w:vAlign w:val="center"/>
          </w:tcPr>
          <w:p w14:paraId="4E6E32FA">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74A67736">
            <w:pPr>
              <w:spacing w:line="240" w:lineRule="auto"/>
              <w:ind w:firstLine="0" w:firstLineChars="0"/>
              <w:jc w:val="center"/>
              <w:rPr>
                <w:rFonts w:cs="Times New Roman"/>
                <w:sz w:val="21"/>
                <w:szCs w:val="21"/>
                <w14:ligatures w14:val="none"/>
              </w:rPr>
            </w:pPr>
            <w:r>
              <w:rPr>
                <w:rFonts w:cs="Times New Roman"/>
                <w:sz w:val="21"/>
                <w:szCs w:val="21"/>
                <w14:ligatures w14:val="none"/>
              </w:rPr>
              <w:t>5mg/L</w:t>
            </w:r>
          </w:p>
        </w:tc>
      </w:tr>
      <w:tr w14:paraId="1BD0C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55899998">
            <w:pPr>
              <w:spacing w:line="240" w:lineRule="auto"/>
              <w:ind w:firstLine="0" w:firstLineChars="0"/>
              <w:jc w:val="center"/>
              <w:rPr>
                <w:rFonts w:cs="Times New Roman"/>
                <w:sz w:val="21"/>
                <w:szCs w:val="21"/>
                <w14:ligatures w14:val="none"/>
              </w:rPr>
            </w:pPr>
          </w:p>
        </w:tc>
        <w:tc>
          <w:tcPr>
            <w:tcW w:w="822" w:type="pct"/>
            <w:vAlign w:val="center"/>
          </w:tcPr>
          <w:p w14:paraId="1AD63F94">
            <w:pPr>
              <w:spacing w:line="240" w:lineRule="auto"/>
              <w:ind w:firstLine="0" w:firstLineChars="0"/>
              <w:jc w:val="center"/>
              <w:rPr>
                <w:rFonts w:cs="Times New Roman"/>
                <w:sz w:val="21"/>
                <w:szCs w:val="21"/>
                <w14:ligatures w14:val="none"/>
              </w:rPr>
            </w:pPr>
            <w:r>
              <w:rPr>
                <w:rFonts w:cs="Times New Roman"/>
                <w:kern w:val="0"/>
                <w:sz w:val="21"/>
                <w:szCs w:val="21"/>
                <w14:ligatures w14:val="none"/>
              </w:rPr>
              <w:t>氯化物</w:t>
            </w:r>
          </w:p>
        </w:tc>
        <w:tc>
          <w:tcPr>
            <w:tcW w:w="2888" w:type="pct"/>
            <w:vMerge w:val="restart"/>
            <w:vAlign w:val="center"/>
          </w:tcPr>
          <w:p w14:paraId="2851BEB3">
            <w:pPr>
              <w:widowControl/>
              <w:spacing w:line="240" w:lineRule="auto"/>
              <w:ind w:firstLine="0" w:firstLineChars="0"/>
              <w:jc w:val="center"/>
              <w:textAlignment w:val="center"/>
              <w:rPr>
                <w:rFonts w:cs="Times New Roman"/>
                <w:sz w:val="21"/>
                <w:szCs w:val="21"/>
                <w14:ligatures w14:val="none"/>
              </w:rPr>
            </w:pPr>
            <w:r>
              <w:rPr>
                <w:rFonts w:cs="Times New Roman"/>
                <w:kern w:val="0"/>
                <w:sz w:val="21"/>
                <w:szCs w:val="21"/>
                <w14:ligatures w14:val="none"/>
              </w:rPr>
              <w:t>水质 无机阴离子（F</w:t>
            </w:r>
            <w:r>
              <w:rPr>
                <w:rFonts w:cs="Times New Roman"/>
                <w:kern w:val="0"/>
                <w:sz w:val="21"/>
                <w:szCs w:val="21"/>
                <w:vertAlign w:val="superscript"/>
                <w14:ligatures w14:val="none"/>
              </w:rPr>
              <w:t>-</w:t>
            </w:r>
            <w:r>
              <w:rPr>
                <w:rFonts w:cs="Times New Roman"/>
                <w:kern w:val="0"/>
                <w:sz w:val="21"/>
                <w:szCs w:val="21"/>
                <w14:ligatures w14:val="none"/>
              </w:rPr>
              <w:t>、Cl</w:t>
            </w:r>
            <w:r>
              <w:rPr>
                <w:rFonts w:cs="Times New Roman"/>
                <w:kern w:val="0"/>
                <w:sz w:val="21"/>
                <w:szCs w:val="21"/>
                <w:vertAlign w:val="superscript"/>
                <w14:ligatures w14:val="none"/>
              </w:rPr>
              <w:t>-</w:t>
            </w:r>
            <w:r>
              <w:rPr>
                <w:rFonts w:cs="Times New Roman"/>
                <w:kern w:val="0"/>
                <w:sz w:val="21"/>
                <w:szCs w:val="21"/>
                <w14:ligatures w14:val="none"/>
              </w:rPr>
              <w:t>、NO</w:t>
            </w:r>
            <w:r>
              <w:rPr>
                <w:rFonts w:cs="Times New Roman"/>
                <w:kern w:val="0"/>
                <w:sz w:val="21"/>
                <w:szCs w:val="21"/>
                <w:vertAlign w:val="subscript"/>
                <w14:ligatures w14:val="none"/>
              </w:rPr>
              <w:t>2</w:t>
            </w:r>
            <w:r>
              <w:rPr>
                <w:rFonts w:cs="Times New Roman"/>
                <w:kern w:val="0"/>
                <w:sz w:val="21"/>
                <w:szCs w:val="21"/>
                <w:vertAlign w:val="superscript"/>
                <w14:ligatures w14:val="none"/>
              </w:rPr>
              <w:t>-</w:t>
            </w:r>
            <w:r>
              <w:rPr>
                <w:rFonts w:cs="Times New Roman"/>
                <w:kern w:val="0"/>
                <w:sz w:val="21"/>
                <w:szCs w:val="21"/>
                <w14:ligatures w14:val="none"/>
              </w:rPr>
              <w:t>、Br</w:t>
            </w:r>
            <w:r>
              <w:rPr>
                <w:rFonts w:cs="Times New Roman"/>
                <w:kern w:val="0"/>
                <w:sz w:val="21"/>
                <w:szCs w:val="21"/>
                <w:vertAlign w:val="superscript"/>
                <w14:ligatures w14:val="none"/>
              </w:rPr>
              <w:t>-</w:t>
            </w:r>
            <w:r>
              <w:rPr>
                <w:rFonts w:cs="Times New Roman"/>
                <w:kern w:val="0"/>
                <w:sz w:val="21"/>
                <w:szCs w:val="21"/>
                <w14:ligatures w14:val="none"/>
              </w:rPr>
              <w:t>、NO</w:t>
            </w:r>
            <w:r>
              <w:rPr>
                <w:rFonts w:cs="Times New Roman"/>
                <w:kern w:val="0"/>
                <w:sz w:val="21"/>
                <w:szCs w:val="21"/>
                <w:vertAlign w:val="subscript"/>
                <w14:ligatures w14:val="none"/>
              </w:rPr>
              <w:t>3</w:t>
            </w:r>
            <w:r>
              <w:rPr>
                <w:rFonts w:cs="Times New Roman"/>
                <w:kern w:val="0"/>
                <w:sz w:val="21"/>
                <w:szCs w:val="21"/>
                <w:vertAlign w:val="superscript"/>
                <w14:ligatures w14:val="none"/>
              </w:rPr>
              <w:t>-</w:t>
            </w:r>
            <w:r>
              <w:rPr>
                <w:rFonts w:cs="Times New Roman"/>
                <w:kern w:val="0"/>
                <w:sz w:val="21"/>
                <w:szCs w:val="21"/>
                <w14:ligatures w14:val="none"/>
              </w:rPr>
              <w:t>、PO</w:t>
            </w:r>
            <w:r>
              <w:rPr>
                <w:rFonts w:cs="Times New Roman"/>
                <w:kern w:val="0"/>
                <w:sz w:val="21"/>
                <w:szCs w:val="21"/>
                <w:vertAlign w:val="subscript"/>
                <w14:ligatures w14:val="none"/>
              </w:rPr>
              <w:t>4</w:t>
            </w:r>
            <w:r>
              <w:rPr>
                <w:rFonts w:cs="Times New Roman"/>
                <w:kern w:val="0"/>
                <w:sz w:val="21"/>
                <w:szCs w:val="21"/>
                <w:vertAlign w:val="superscript"/>
                <w14:ligatures w14:val="none"/>
              </w:rPr>
              <w:t>3-</w:t>
            </w:r>
            <w:r>
              <w:rPr>
                <w:rFonts w:cs="Times New Roman"/>
                <w:kern w:val="0"/>
                <w:sz w:val="21"/>
                <w:szCs w:val="21"/>
                <w14:ligatures w14:val="none"/>
              </w:rPr>
              <w:t>、SO</w:t>
            </w:r>
            <w:r>
              <w:rPr>
                <w:rFonts w:cs="Times New Roman"/>
                <w:kern w:val="0"/>
                <w:sz w:val="21"/>
                <w:szCs w:val="21"/>
                <w:vertAlign w:val="subscript"/>
                <w14:ligatures w14:val="none"/>
              </w:rPr>
              <w:t>3</w:t>
            </w:r>
            <w:r>
              <w:rPr>
                <w:rFonts w:cs="Times New Roman"/>
                <w:kern w:val="0"/>
                <w:sz w:val="21"/>
                <w:szCs w:val="21"/>
                <w:vertAlign w:val="superscript"/>
                <w14:ligatures w14:val="none"/>
              </w:rPr>
              <w:t>2-</w:t>
            </w:r>
            <w:r>
              <w:rPr>
                <w:rFonts w:cs="Times New Roman"/>
                <w:kern w:val="0"/>
                <w:sz w:val="21"/>
                <w:szCs w:val="21"/>
                <w14:ligatures w14:val="none"/>
              </w:rPr>
              <w:t>、SO</w:t>
            </w:r>
            <w:r>
              <w:rPr>
                <w:rFonts w:cs="Times New Roman"/>
                <w:kern w:val="0"/>
                <w:sz w:val="21"/>
                <w:szCs w:val="21"/>
                <w:vertAlign w:val="subscript"/>
                <w14:ligatures w14:val="none"/>
              </w:rPr>
              <w:t>4</w:t>
            </w:r>
            <w:r>
              <w:rPr>
                <w:rFonts w:cs="Times New Roman"/>
                <w:kern w:val="0"/>
                <w:sz w:val="21"/>
                <w:szCs w:val="21"/>
                <w:vertAlign w:val="superscript"/>
                <w14:ligatures w14:val="none"/>
              </w:rPr>
              <w:t>2-</w:t>
            </w:r>
            <w:r>
              <w:rPr>
                <w:rFonts w:cs="Times New Roman"/>
                <w:kern w:val="0"/>
                <w:sz w:val="21"/>
                <w:szCs w:val="21"/>
                <w14:ligatures w14:val="none"/>
              </w:rPr>
              <w:t>）的测定 离子色谱法HJ 84-2016</w:t>
            </w:r>
          </w:p>
        </w:tc>
        <w:tc>
          <w:tcPr>
            <w:tcW w:w="653" w:type="pct"/>
            <w:vAlign w:val="center"/>
          </w:tcPr>
          <w:p w14:paraId="630D99C3">
            <w:pPr>
              <w:spacing w:line="240" w:lineRule="auto"/>
              <w:ind w:firstLine="0" w:firstLineChars="0"/>
              <w:jc w:val="center"/>
              <w:rPr>
                <w:rFonts w:cs="Times New Roman"/>
                <w:sz w:val="21"/>
                <w:szCs w:val="21"/>
                <w14:ligatures w14:val="none"/>
              </w:rPr>
            </w:pPr>
            <w:r>
              <w:rPr>
                <w:rFonts w:cs="Times New Roman"/>
                <w:sz w:val="21"/>
                <w:szCs w:val="21"/>
                <w14:ligatures w14:val="none"/>
              </w:rPr>
              <w:t>0.007mg/L</w:t>
            </w:r>
          </w:p>
        </w:tc>
      </w:tr>
      <w:tr w14:paraId="3EAC6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342151CF">
            <w:pPr>
              <w:spacing w:line="240" w:lineRule="auto"/>
              <w:ind w:firstLine="0" w:firstLineChars="0"/>
              <w:jc w:val="center"/>
              <w:rPr>
                <w:rFonts w:cs="Times New Roman"/>
                <w:sz w:val="21"/>
                <w:szCs w:val="21"/>
                <w14:ligatures w14:val="none"/>
              </w:rPr>
            </w:pPr>
          </w:p>
        </w:tc>
        <w:tc>
          <w:tcPr>
            <w:tcW w:w="822" w:type="pct"/>
            <w:vAlign w:val="center"/>
          </w:tcPr>
          <w:p w14:paraId="7D4C3602">
            <w:pPr>
              <w:spacing w:line="240" w:lineRule="auto"/>
              <w:ind w:firstLine="0" w:firstLineChars="0"/>
              <w:jc w:val="center"/>
              <w:rPr>
                <w:rFonts w:cs="Times New Roman"/>
                <w:sz w:val="21"/>
                <w:szCs w:val="21"/>
                <w14:ligatures w14:val="none"/>
              </w:rPr>
            </w:pPr>
            <w:r>
              <w:rPr>
                <w:rFonts w:cs="Times New Roman"/>
                <w:kern w:val="0"/>
                <w:sz w:val="21"/>
                <w:szCs w:val="21"/>
                <w14:ligatures w14:val="none"/>
              </w:rPr>
              <w:t>硫酸盐</w:t>
            </w:r>
          </w:p>
        </w:tc>
        <w:tc>
          <w:tcPr>
            <w:tcW w:w="2888" w:type="pct"/>
            <w:vMerge w:val="continue"/>
            <w:vAlign w:val="center"/>
          </w:tcPr>
          <w:p w14:paraId="6FC0D353">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537806DF">
            <w:pPr>
              <w:spacing w:line="240" w:lineRule="auto"/>
              <w:ind w:firstLine="0" w:firstLineChars="0"/>
              <w:jc w:val="center"/>
              <w:rPr>
                <w:rFonts w:cs="Times New Roman"/>
                <w:sz w:val="21"/>
                <w:szCs w:val="21"/>
                <w14:ligatures w14:val="none"/>
              </w:rPr>
            </w:pPr>
            <w:r>
              <w:rPr>
                <w:rFonts w:cs="Times New Roman"/>
                <w:sz w:val="21"/>
                <w:szCs w:val="21"/>
                <w14:ligatures w14:val="none"/>
              </w:rPr>
              <w:t>0.018mg/L</w:t>
            </w:r>
          </w:p>
        </w:tc>
      </w:tr>
      <w:tr w14:paraId="7CA5C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77C1F23F">
            <w:pPr>
              <w:spacing w:line="240" w:lineRule="auto"/>
              <w:ind w:firstLine="0" w:firstLineChars="0"/>
              <w:jc w:val="center"/>
              <w:rPr>
                <w:rFonts w:cs="Times New Roman"/>
                <w:sz w:val="21"/>
                <w:szCs w:val="21"/>
                <w14:ligatures w14:val="none"/>
              </w:rPr>
            </w:pPr>
          </w:p>
        </w:tc>
        <w:tc>
          <w:tcPr>
            <w:tcW w:w="822" w:type="pct"/>
            <w:vAlign w:val="center"/>
          </w:tcPr>
          <w:p w14:paraId="667745A8">
            <w:pPr>
              <w:spacing w:line="240" w:lineRule="auto"/>
              <w:ind w:firstLine="0" w:firstLineChars="0"/>
              <w:jc w:val="center"/>
              <w:rPr>
                <w:rFonts w:cs="Times New Roman"/>
                <w:sz w:val="21"/>
                <w:szCs w:val="21"/>
                <w14:ligatures w14:val="none"/>
              </w:rPr>
            </w:pPr>
            <w:r>
              <w:rPr>
                <w:rFonts w:cs="Times New Roman"/>
                <w:kern w:val="0"/>
                <w:sz w:val="21"/>
                <w:szCs w:val="21"/>
                <w14:ligatures w14:val="none"/>
              </w:rPr>
              <w:t>硝酸盐</w:t>
            </w:r>
          </w:p>
        </w:tc>
        <w:tc>
          <w:tcPr>
            <w:tcW w:w="2888" w:type="pct"/>
            <w:vMerge w:val="continue"/>
            <w:vAlign w:val="center"/>
          </w:tcPr>
          <w:p w14:paraId="08B83818">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1E4CA013">
            <w:pPr>
              <w:spacing w:line="240" w:lineRule="auto"/>
              <w:ind w:firstLine="0" w:firstLineChars="0"/>
              <w:jc w:val="center"/>
              <w:rPr>
                <w:rFonts w:cs="Times New Roman"/>
                <w:sz w:val="21"/>
                <w:szCs w:val="21"/>
                <w14:ligatures w14:val="none"/>
              </w:rPr>
            </w:pPr>
            <w:r>
              <w:rPr>
                <w:rFonts w:cs="Times New Roman"/>
                <w:sz w:val="21"/>
                <w:szCs w:val="21"/>
                <w14:ligatures w14:val="none"/>
              </w:rPr>
              <w:t>0.016mg/L</w:t>
            </w:r>
          </w:p>
        </w:tc>
      </w:tr>
      <w:tr w14:paraId="101B7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7F67A224">
            <w:pPr>
              <w:spacing w:line="240" w:lineRule="auto"/>
              <w:ind w:firstLine="0" w:firstLineChars="0"/>
              <w:jc w:val="center"/>
              <w:rPr>
                <w:rFonts w:cs="Times New Roman"/>
                <w:sz w:val="21"/>
                <w:szCs w:val="21"/>
                <w14:ligatures w14:val="none"/>
              </w:rPr>
            </w:pPr>
          </w:p>
        </w:tc>
        <w:tc>
          <w:tcPr>
            <w:tcW w:w="822" w:type="pct"/>
            <w:vAlign w:val="center"/>
          </w:tcPr>
          <w:p w14:paraId="45C44593">
            <w:pPr>
              <w:spacing w:line="240" w:lineRule="auto"/>
              <w:ind w:firstLine="0" w:firstLineChars="0"/>
              <w:jc w:val="center"/>
              <w:rPr>
                <w:rFonts w:cs="Times New Roman"/>
                <w:sz w:val="21"/>
                <w:szCs w:val="21"/>
                <w14:ligatures w14:val="none"/>
              </w:rPr>
            </w:pPr>
            <w:r>
              <w:rPr>
                <w:rFonts w:cs="Times New Roman"/>
                <w:kern w:val="0"/>
                <w:sz w:val="21"/>
                <w:szCs w:val="21"/>
                <w14:ligatures w14:val="none"/>
              </w:rPr>
              <w:t>亚硝酸盐</w:t>
            </w:r>
          </w:p>
        </w:tc>
        <w:tc>
          <w:tcPr>
            <w:tcW w:w="2888" w:type="pct"/>
            <w:vMerge w:val="continue"/>
            <w:vAlign w:val="center"/>
          </w:tcPr>
          <w:p w14:paraId="15ADF40B">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4D780317">
            <w:pPr>
              <w:spacing w:line="240" w:lineRule="auto"/>
              <w:ind w:firstLine="0" w:firstLineChars="0"/>
              <w:jc w:val="center"/>
              <w:rPr>
                <w:rFonts w:cs="Times New Roman"/>
                <w:sz w:val="21"/>
                <w:szCs w:val="21"/>
                <w14:ligatures w14:val="none"/>
              </w:rPr>
            </w:pPr>
            <w:r>
              <w:rPr>
                <w:rFonts w:cs="Times New Roman"/>
                <w:sz w:val="21"/>
                <w:szCs w:val="21"/>
                <w14:ligatures w14:val="none"/>
              </w:rPr>
              <w:t>0.016mg/L</w:t>
            </w:r>
          </w:p>
        </w:tc>
      </w:tr>
      <w:tr w14:paraId="656E6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0814EBAE">
            <w:pPr>
              <w:spacing w:line="240" w:lineRule="auto"/>
              <w:ind w:firstLine="0" w:firstLineChars="0"/>
              <w:jc w:val="center"/>
              <w:rPr>
                <w:rFonts w:cs="Times New Roman"/>
                <w:sz w:val="21"/>
                <w:szCs w:val="21"/>
                <w14:ligatures w14:val="none"/>
              </w:rPr>
            </w:pPr>
          </w:p>
        </w:tc>
        <w:tc>
          <w:tcPr>
            <w:tcW w:w="822" w:type="pct"/>
            <w:vAlign w:val="center"/>
          </w:tcPr>
          <w:p w14:paraId="25A2362C">
            <w:pPr>
              <w:spacing w:line="240" w:lineRule="auto"/>
              <w:ind w:firstLine="0" w:firstLineChars="0"/>
              <w:jc w:val="center"/>
              <w:rPr>
                <w:rFonts w:cs="Times New Roman"/>
                <w:sz w:val="21"/>
                <w:szCs w:val="21"/>
                <w14:ligatures w14:val="none"/>
              </w:rPr>
            </w:pPr>
            <w:r>
              <w:rPr>
                <w:rFonts w:cs="Times New Roman"/>
                <w:sz w:val="21"/>
                <w:szCs w:val="21"/>
                <w14:ligatures w14:val="none"/>
              </w:rPr>
              <w:t>氟化物</w:t>
            </w:r>
          </w:p>
        </w:tc>
        <w:tc>
          <w:tcPr>
            <w:tcW w:w="2888" w:type="pct"/>
            <w:vMerge w:val="continue"/>
            <w:vAlign w:val="center"/>
          </w:tcPr>
          <w:p w14:paraId="5B050628">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6ACA1401">
            <w:pPr>
              <w:spacing w:line="240" w:lineRule="auto"/>
              <w:ind w:firstLine="0" w:firstLineChars="0"/>
              <w:jc w:val="center"/>
              <w:rPr>
                <w:rFonts w:cs="Times New Roman"/>
                <w:sz w:val="21"/>
                <w:szCs w:val="21"/>
                <w14:ligatures w14:val="none"/>
              </w:rPr>
            </w:pPr>
            <w:r>
              <w:rPr>
                <w:rFonts w:cs="Times New Roman"/>
                <w:sz w:val="21"/>
                <w:szCs w:val="21"/>
                <w14:ligatures w14:val="none"/>
              </w:rPr>
              <w:t>0.006mg/L</w:t>
            </w:r>
          </w:p>
        </w:tc>
      </w:tr>
      <w:tr w14:paraId="42D67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5717F890">
            <w:pPr>
              <w:spacing w:line="240" w:lineRule="auto"/>
              <w:ind w:firstLine="0" w:firstLineChars="0"/>
              <w:jc w:val="center"/>
              <w:rPr>
                <w:rFonts w:cs="Times New Roman"/>
                <w:sz w:val="21"/>
                <w:szCs w:val="21"/>
                <w14:ligatures w14:val="none"/>
              </w:rPr>
            </w:pPr>
          </w:p>
        </w:tc>
        <w:tc>
          <w:tcPr>
            <w:tcW w:w="822" w:type="pct"/>
            <w:vAlign w:val="center"/>
          </w:tcPr>
          <w:p w14:paraId="4DA7985C">
            <w:pPr>
              <w:spacing w:line="240" w:lineRule="auto"/>
              <w:ind w:firstLine="0" w:firstLineChars="0"/>
              <w:jc w:val="center"/>
              <w:rPr>
                <w:rFonts w:cs="Times New Roman"/>
                <w:sz w:val="21"/>
                <w:szCs w:val="21"/>
                <w14:ligatures w14:val="none"/>
              </w:rPr>
            </w:pPr>
            <w:r>
              <w:rPr>
                <w:rFonts w:cs="Times New Roman"/>
                <w:sz w:val="21"/>
                <w:szCs w:val="21"/>
                <w14:ligatures w14:val="none"/>
              </w:rPr>
              <w:t>氨氮</w:t>
            </w:r>
          </w:p>
        </w:tc>
        <w:tc>
          <w:tcPr>
            <w:tcW w:w="2888" w:type="pct"/>
            <w:vAlign w:val="center"/>
          </w:tcPr>
          <w:p w14:paraId="318CD86A">
            <w:pPr>
              <w:spacing w:line="240" w:lineRule="auto"/>
              <w:ind w:firstLine="0" w:firstLineChars="0"/>
              <w:jc w:val="center"/>
              <w:rPr>
                <w:rFonts w:cs="Times New Roman"/>
                <w:sz w:val="21"/>
                <w:szCs w:val="21"/>
                <w14:ligatures w14:val="none"/>
              </w:rPr>
            </w:pPr>
            <w:r>
              <w:rPr>
                <w:rFonts w:cs="Times New Roman"/>
                <w:sz w:val="21"/>
                <w:szCs w:val="21"/>
                <w14:ligatures w14:val="none"/>
              </w:rPr>
              <w:t>水质 氨氮的测定 纳氏试剂分光光度法HJ 535-2009</w:t>
            </w:r>
          </w:p>
        </w:tc>
        <w:tc>
          <w:tcPr>
            <w:tcW w:w="653" w:type="pct"/>
            <w:vAlign w:val="center"/>
          </w:tcPr>
          <w:p w14:paraId="03572FEE">
            <w:pPr>
              <w:spacing w:line="240" w:lineRule="auto"/>
              <w:ind w:firstLine="0" w:firstLineChars="0"/>
              <w:jc w:val="center"/>
              <w:rPr>
                <w:rFonts w:cs="Times New Roman"/>
                <w:sz w:val="21"/>
                <w:szCs w:val="21"/>
                <w14:ligatures w14:val="none"/>
              </w:rPr>
            </w:pPr>
            <w:r>
              <w:rPr>
                <w:rFonts w:cs="Times New Roman"/>
                <w:sz w:val="21"/>
                <w:szCs w:val="21"/>
                <w14:ligatures w14:val="none"/>
              </w:rPr>
              <w:t>0.025mg/L</w:t>
            </w:r>
          </w:p>
        </w:tc>
      </w:tr>
      <w:tr w14:paraId="2A24F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381EF434">
            <w:pPr>
              <w:spacing w:line="240" w:lineRule="auto"/>
              <w:ind w:firstLine="0" w:firstLineChars="0"/>
              <w:jc w:val="center"/>
              <w:rPr>
                <w:rFonts w:cs="Times New Roman"/>
                <w:sz w:val="21"/>
                <w:szCs w:val="21"/>
                <w14:ligatures w14:val="none"/>
              </w:rPr>
            </w:pPr>
          </w:p>
        </w:tc>
        <w:tc>
          <w:tcPr>
            <w:tcW w:w="822" w:type="pct"/>
            <w:vAlign w:val="center"/>
          </w:tcPr>
          <w:p w14:paraId="168B4D61">
            <w:pPr>
              <w:spacing w:line="240" w:lineRule="auto"/>
              <w:ind w:firstLine="0" w:firstLineChars="0"/>
              <w:jc w:val="center"/>
              <w:rPr>
                <w:rFonts w:cs="Times New Roman"/>
                <w:sz w:val="21"/>
                <w:szCs w:val="21"/>
                <w14:ligatures w14:val="none"/>
              </w:rPr>
            </w:pPr>
            <w:r>
              <w:rPr>
                <w:rFonts w:cs="Times New Roman"/>
                <w:sz w:val="21"/>
                <w:szCs w:val="21"/>
                <w14:ligatures w14:val="none"/>
              </w:rPr>
              <w:t>挥发酚</w:t>
            </w:r>
          </w:p>
        </w:tc>
        <w:tc>
          <w:tcPr>
            <w:tcW w:w="2888" w:type="pct"/>
            <w:vAlign w:val="center"/>
          </w:tcPr>
          <w:p w14:paraId="79243796">
            <w:pPr>
              <w:spacing w:line="240" w:lineRule="auto"/>
              <w:ind w:firstLine="0" w:firstLineChars="0"/>
              <w:jc w:val="center"/>
              <w:rPr>
                <w:rFonts w:cs="Times New Roman"/>
                <w:sz w:val="21"/>
                <w:szCs w:val="21"/>
                <w14:ligatures w14:val="none"/>
              </w:rPr>
            </w:pPr>
            <w:r>
              <w:rPr>
                <w:rFonts w:cs="Times New Roman"/>
                <w:sz w:val="21"/>
                <w:szCs w:val="21"/>
                <w14:ligatures w14:val="none"/>
              </w:rPr>
              <w:t>水质 挥发酚的测定 4-氨基安替比林分光光度法</w:t>
            </w:r>
          </w:p>
          <w:p w14:paraId="7D755BEA">
            <w:pPr>
              <w:spacing w:line="240" w:lineRule="auto"/>
              <w:ind w:firstLine="0" w:firstLineChars="0"/>
              <w:jc w:val="center"/>
              <w:rPr>
                <w:rFonts w:cs="Times New Roman"/>
                <w:sz w:val="21"/>
                <w:szCs w:val="21"/>
                <w14:ligatures w14:val="none"/>
              </w:rPr>
            </w:pPr>
            <w:r>
              <w:rPr>
                <w:rFonts w:cs="Times New Roman"/>
                <w:sz w:val="21"/>
                <w:szCs w:val="21"/>
                <w14:ligatures w14:val="none"/>
              </w:rPr>
              <w:t>HJ 503-2009</w:t>
            </w:r>
          </w:p>
        </w:tc>
        <w:tc>
          <w:tcPr>
            <w:tcW w:w="653" w:type="pct"/>
            <w:vAlign w:val="center"/>
          </w:tcPr>
          <w:p w14:paraId="1A542BE7">
            <w:pPr>
              <w:spacing w:line="240" w:lineRule="auto"/>
              <w:ind w:firstLine="0" w:firstLineChars="0"/>
              <w:jc w:val="center"/>
              <w:rPr>
                <w:rFonts w:cs="Times New Roman"/>
                <w:sz w:val="21"/>
                <w:szCs w:val="21"/>
                <w14:ligatures w14:val="none"/>
              </w:rPr>
            </w:pPr>
            <w:r>
              <w:rPr>
                <w:rFonts w:cs="Times New Roman"/>
                <w:sz w:val="21"/>
                <w:szCs w:val="21"/>
                <w14:ligatures w14:val="none"/>
              </w:rPr>
              <w:t>0.0003mg/L</w:t>
            </w:r>
          </w:p>
        </w:tc>
      </w:tr>
      <w:tr w14:paraId="254F6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66DF1C16">
            <w:pPr>
              <w:spacing w:line="240" w:lineRule="auto"/>
              <w:ind w:firstLine="0" w:firstLineChars="0"/>
              <w:jc w:val="center"/>
              <w:rPr>
                <w:rFonts w:cs="Times New Roman"/>
                <w:sz w:val="21"/>
                <w:szCs w:val="21"/>
                <w14:ligatures w14:val="none"/>
              </w:rPr>
            </w:pPr>
          </w:p>
        </w:tc>
        <w:tc>
          <w:tcPr>
            <w:tcW w:w="822" w:type="pct"/>
            <w:vAlign w:val="center"/>
          </w:tcPr>
          <w:p w14:paraId="1845562E">
            <w:pPr>
              <w:spacing w:line="240" w:lineRule="auto"/>
              <w:ind w:firstLine="0" w:firstLineChars="0"/>
              <w:jc w:val="center"/>
              <w:rPr>
                <w:rFonts w:cs="Times New Roman"/>
                <w:sz w:val="21"/>
                <w:szCs w:val="21"/>
                <w14:ligatures w14:val="none"/>
              </w:rPr>
            </w:pPr>
            <w:r>
              <w:rPr>
                <w:rFonts w:cs="Times New Roman"/>
                <w:sz w:val="21"/>
                <w:szCs w:val="21"/>
                <w14:ligatures w14:val="none"/>
              </w:rPr>
              <w:t>氰化物</w:t>
            </w:r>
          </w:p>
        </w:tc>
        <w:tc>
          <w:tcPr>
            <w:tcW w:w="2888" w:type="pct"/>
            <w:vAlign w:val="center"/>
          </w:tcPr>
          <w:p w14:paraId="3707E28D">
            <w:pPr>
              <w:spacing w:line="240" w:lineRule="auto"/>
              <w:ind w:firstLine="0" w:firstLineChars="0"/>
              <w:jc w:val="center"/>
              <w:rPr>
                <w:rFonts w:cs="Times New Roman"/>
                <w:sz w:val="21"/>
                <w:szCs w:val="21"/>
                <w14:ligatures w14:val="none"/>
              </w:rPr>
            </w:pPr>
            <w:r>
              <w:rPr>
                <w:rFonts w:cs="Times New Roman"/>
                <w:sz w:val="21"/>
                <w:szCs w:val="21"/>
                <w14:ligatures w14:val="none"/>
              </w:rPr>
              <w:t>生活饮用水标准检验方法 第5部分：无机非金属指标 GB/T 5750.5-2023</w:t>
            </w:r>
          </w:p>
        </w:tc>
        <w:tc>
          <w:tcPr>
            <w:tcW w:w="653" w:type="pct"/>
            <w:vAlign w:val="center"/>
          </w:tcPr>
          <w:p w14:paraId="448B0BC5">
            <w:pPr>
              <w:spacing w:line="240" w:lineRule="auto"/>
              <w:ind w:firstLine="0" w:firstLineChars="0"/>
              <w:jc w:val="center"/>
              <w:rPr>
                <w:rFonts w:cs="Times New Roman"/>
                <w:sz w:val="21"/>
                <w:szCs w:val="21"/>
                <w14:ligatures w14:val="none"/>
              </w:rPr>
            </w:pPr>
            <w:r>
              <w:rPr>
                <w:rFonts w:cs="Times New Roman"/>
                <w:sz w:val="21"/>
                <w:szCs w:val="21"/>
                <w14:ligatures w14:val="none"/>
              </w:rPr>
              <w:t>0.002mg/L</w:t>
            </w:r>
          </w:p>
        </w:tc>
      </w:tr>
      <w:tr w14:paraId="2146D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72699BFE">
            <w:pPr>
              <w:spacing w:line="240" w:lineRule="auto"/>
              <w:ind w:firstLine="0" w:firstLineChars="0"/>
              <w:jc w:val="center"/>
              <w:rPr>
                <w:rFonts w:cs="Times New Roman"/>
                <w:sz w:val="21"/>
                <w:szCs w:val="21"/>
                <w14:ligatures w14:val="none"/>
              </w:rPr>
            </w:pPr>
          </w:p>
        </w:tc>
        <w:tc>
          <w:tcPr>
            <w:tcW w:w="822" w:type="pct"/>
            <w:vAlign w:val="center"/>
          </w:tcPr>
          <w:p w14:paraId="58924BC5">
            <w:pPr>
              <w:spacing w:line="240" w:lineRule="auto"/>
              <w:ind w:firstLine="0" w:firstLineChars="0"/>
              <w:jc w:val="center"/>
              <w:rPr>
                <w:rFonts w:cs="Times New Roman"/>
                <w:sz w:val="21"/>
                <w:szCs w:val="21"/>
                <w14:ligatures w14:val="none"/>
              </w:rPr>
            </w:pPr>
            <w:r>
              <w:rPr>
                <w:rFonts w:cs="Times New Roman"/>
                <w:sz w:val="21"/>
                <w:szCs w:val="21"/>
                <w14:ligatures w14:val="none"/>
              </w:rPr>
              <w:t>总硬度</w:t>
            </w:r>
          </w:p>
        </w:tc>
        <w:tc>
          <w:tcPr>
            <w:tcW w:w="2888" w:type="pct"/>
            <w:vAlign w:val="center"/>
          </w:tcPr>
          <w:p w14:paraId="7F719F00">
            <w:pPr>
              <w:spacing w:line="240" w:lineRule="auto"/>
              <w:ind w:firstLine="0" w:firstLineChars="0"/>
              <w:jc w:val="center"/>
              <w:rPr>
                <w:rFonts w:cs="Times New Roman"/>
                <w:sz w:val="21"/>
                <w:szCs w:val="21"/>
                <w14:ligatures w14:val="none"/>
              </w:rPr>
            </w:pPr>
            <w:r>
              <w:rPr>
                <w:rFonts w:cs="Times New Roman"/>
                <w:sz w:val="21"/>
                <w:szCs w:val="21"/>
                <w14:ligatures w14:val="none"/>
              </w:rPr>
              <w:t>水质 钙和镁总量的测定 EDTA滴定法</w:t>
            </w:r>
          </w:p>
          <w:p w14:paraId="44EDCC6B">
            <w:pPr>
              <w:spacing w:line="240" w:lineRule="auto"/>
              <w:ind w:firstLine="0" w:firstLineChars="0"/>
              <w:jc w:val="center"/>
              <w:rPr>
                <w:rFonts w:cs="Times New Roman"/>
                <w:sz w:val="21"/>
                <w:szCs w:val="21"/>
                <w14:ligatures w14:val="none"/>
              </w:rPr>
            </w:pPr>
            <w:r>
              <w:rPr>
                <w:rFonts w:cs="Times New Roman"/>
                <w:sz w:val="21"/>
                <w:szCs w:val="21"/>
                <w14:ligatures w14:val="none"/>
              </w:rPr>
              <w:t>GB/T 7477-1987</w:t>
            </w:r>
          </w:p>
        </w:tc>
        <w:tc>
          <w:tcPr>
            <w:tcW w:w="653" w:type="pct"/>
            <w:vAlign w:val="center"/>
          </w:tcPr>
          <w:p w14:paraId="71C803CD">
            <w:pPr>
              <w:spacing w:line="240" w:lineRule="auto"/>
              <w:ind w:firstLine="0" w:firstLineChars="0"/>
              <w:jc w:val="center"/>
              <w:rPr>
                <w:rFonts w:cs="Times New Roman"/>
                <w:sz w:val="21"/>
                <w:szCs w:val="21"/>
                <w14:ligatures w14:val="none"/>
              </w:rPr>
            </w:pPr>
            <w:r>
              <w:rPr>
                <w:rFonts w:cs="Times New Roman"/>
                <w:sz w:val="21"/>
                <w:szCs w:val="21"/>
                <w14:ligatures w14:val="none"/>
              </w:rPr>
              <w:t>5.0mg/L</w:t>
            </w:r>
          </w:p>
        </w:tc>
      </w:tr>
      <w:tr w14:paraId="62A18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3566087D">
            <w:pPr>
              <w:spacing w:line="240" w:lineRule="auto"/>
              <w:ind w:firstLine="0" w:firstLineChars="0"/>
              <w:jc w:val="center"/>
              <w:rPr>
                <w:rFonts w:cs="Times New Roman"/>
                <w:sz w:val="21"/>
                <w:szCs w:val="21"/>
                <w14:ligatures w14:val="none"/>
              </w:rPr>
            </w:pPr>
          </w:p>
        </w:tc>
        <w:tc>
          <w:tcPr>
            <w:tcW w:w="822" w:type="pct"/>
            <w:vAlign w:val="center"/>
          </w:tcPr>
          <w:p w14:paraId="266072B0">
            <w:pPr>
              <w:spacing w:line="240" w:lineRule="auto"/>
              <w:ind w:firstLine="0" w:firstLineChars="0"/>
              <w:jc w:val="center"/>
              <w:rPr>
                <w:rFonts w:cs="Times New Roman"/>
                <w:sz w:val="21"/>
                <w:szCs w:val="21"/>
                <w14:ligatures w14:val="none"/>
              </w:rPr>
            </w:pPr>
            <w:r>
              <w:rPr>
                <w:rFonts w:cs="Times New Roman"/>
                <w:kern w:val="0"/>
                <w:sz w:val="21"/>
                <w:szCs w:val="21"/>
                <w14:ligatures w14:val="none"/>
              </w:rPr>
              <w:t>铁</w:t>
            </w:r>
          </w:p>
        </w:tc>
        <w:tc>
          <w:tcPr>
            <w:tcW w:w="2888" w:type="pct"/>
            <w:vMerge w:val="restart"/>
            <w:vAlign w:val="center"/>
          </w:tcPr>
          <w:p w14:paraId="5D1C8428">
            <w:pPr>
              <w:widowControl/>
              <w:spacing w:line="240" w:lineRule="auto"/>
              <w:ind w:firstLine="0" w:firstLineChars="0"/>
              <w:jc w:val="center"/>
              <w:textAlignment w:val="center"/>
              <w:rPr>
                <w:rFonts w:cs="Times New Roman"/>
                <w:sz w:val="21"/>
                <w:szCs w:val="21"/>
                <w14:ligatures w14:val="none"/>
              </w:rPr>
            </w:pPr>
            <w:r>
              <w:rPr>
                <w:rFonts w:cs="Times New Roman"/>
                <w:kern w:val="0"/>
                <w:sz w:val="21"/>
                <w:szCs w:val="21"/>
                <w14:ligatures w14:val="none"/>
              </w:rPr>
              <w:t>水质32种元素的测定 电感耦合等离子体发射光谱法HJ 776-2015</w:t>
            </w:r>
          </w:p>
        </w:tc>
        <w:tc>
          <w:tcPr>
            <w:tcW w:w="653" w:type="pct"/>
            <w:vAlign w:val="center"/>
          </w:tcPr>
          <w:p w14:paraId="2A06D18B">
            <w:pPr>
              <w:spacing w:line="240" w:lineRule="auto"/>
              <w:ind w:firstLine="0" w:firstLineChars="0"/>
              <w:jc w:val="center"/>
              <w:rPr>
                <w:rFonts w:cs="Times New Roman"/>
                <w:sz w:val="21"/>
                <w:szCs w:val="21"/>
                <w14:ligatures w14:val="none"/>
              </w:rPr>
            </w:pPr>
            <w:r>
              <w:rPr>
                <w:rFonts w:cs="Times New Roman"/>
                <w:sz w:val="21"/>
                <w:szCs w:val="21"/>
                <w14:ligatures w14:val="none"/>
              </w:rPr>
              <w:t>0.02mg/L</w:t>
            </w:r>
          </w:p>
        </w:tc>
      </w:tr>
      <w:tr w14:paraId="5A7CF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68E8B0EB">
            <w:pPr>
              <w:spacing w:line="240" w:lineRule="auto"/>
              <w:ind w:firstLine="0" w:firstLineChars="0"/>
              <w:jc w:val="center"/>
              <w:rPr>
                <w:rFonts w:cs="Times New Roman"/>
                <w:sz w:val="21"/>
                <w:szCs w:val="21"/>
                <w14:ligatures w14:val="none"/>
              </w:rPr>
            </w:pPr>
          </w:p>
        </w:tc>
        <w:tc>
          <w:tcPr>
            <w:tcW w:w="822" w:type="pct"/>
            <w:vAlign w:val="center"/>
          </w:tcPr>
          <w:p w14:paraId="41D80F72">
            <w:pPr>
              <w:spacing w:line="240" w:lineRule="auto"/>
              <w:ind w:firstLine="0" w:firstLineChars="0"/>
              <w:jc w:val="center"/>
              <w:rPr>
                <w:rFonts w:cs="Times New Roman"/>
                <w:sz w:val="21"/>
                <w:szCs w:val="21"/>
                <w14:ligatures w14:val="none"/>
              </w:rPr>
            </w:pPr>
            <w:r>
              <w:rPr>
                <w:rFonts w:cs="Times New Roman"/>
                <w:kern w:val="0"/>
                <w:sz w:val="21"/>
                <w:szCs w:val="21"/>
                <w14:ligatures w14:val="none"/>
              </w:rPr>
              <w:t>锰</w:t>
            </w:r>
          </w:p>
        </w:tc>
        <w:tc>
          <w:tcPr>
            <w:tcW w:w="2888" w:type="pct"/>
            <w:vMerge w:val="continue"/>
            <w:vAlign w:val="center"/>
          </w:tcPr>
          <w:p w14:paraId="18D56DB8">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4EDEF57F">
            <w:pPr>
              <w:spacing w:line="240" w:lineRule="auto"/>
              <w:ind w:firstLine="0" w:firstLineChars="0"/>
              <w:jc w:val="center"/>
              <w:rPr>
                <w:rFonts w:cs="Times New Roman"/>
                <w:sz w:val="21"/>
                <w:szCs w:val="21"/>
                <w14:ligatures w14:val="none"/>
              </w:rPr>
            </w:pPr>
            <w:r>
              <w:rPr>
                <w:rFonts w:cs="Times New Roman"/>
                <w:sz w:val="21"/>
                <w:szCs w:val="21"/>
                <w14:ligatures w14:val="none"/>
              </w:rPr>
              <w:t>0.004mg/L</w:t>
            </w:r>
          </w:p>
        </w:tc>
      </w:tr>
      <w:tr w14:paraId="22A1A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0749DDE6">
            <w:pPr>
              <w:spacing w:line="240" w:lineRule="auto"/>
              <w:ind w:firstLine="0" w:firstLineChars="0"/>
              <w:jc w:val="center"/>
              <w:rPr>
                <w:rFonts w:cs="Times New Roman"/>
                <w:sz w:val="21"/>
                <w:szCs w:val="21"/>
                <w14:ligatures w14:val="none"/>
              </w:rPr>
            </w:pPr>
          </w:p>
        </w:tc>
        <w:tc>
          <w:tcPr>
            <w:tcW w:w="822" w:type="pct"/>
            <w:vAlign w:val="center"/>
          </w:tcPr>
          <w:p w14:paraId="37D26439">
            <w:pPr>
              <w:spacing w:line="240" w:lineRule="auto"/>
              <w:ind w:firstLine="0" w:firstLineChars="0"/>
              <w:jc w:val="center"/>
              <w:rPr>
                <w:rFonts w:cs="Times New Roman"/>
                <w:kern w:val="0"/>
                <w:sz w:val="21"/>
                <w:szCs w:val="21"/>
                <w14:ligatures w14:val="none"/>
              </w:rPr>
            </w:pPr>
            <w:r>
              <w:rPr>
                <w:rFonts w:cs="Times New Roman"/>
                <w:sz w:val="21"/>
                <w:szCs w:val="21"/>
                <w14:ligatures w14:val="none"/>
              </w:rPr>
              <w:t>铅</w:t>
            </w:r>
          </w:p>
        </w:tc>
        <w:tc>
          <w:tcPr>
            <w:tcW w:w="2888" w:type="pct"/>
            <w:vMerge w:val="continue"/>
            <w:vAlign w:val="center"/>
          </w:tcPr>
          <w:p w14:paraId="1D5BA3DE">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5FAA4839">
            <w:pPr>
              <w:spacing w:line="240" w:lineRule="auto"/>
              <w:ind w:firstLine="0" w:firstLineChars="0"/>
              <w:jc w:val="center"/>
              <w:rPr>
                <w:rFonts w:cs="Times New Roman"/>
                <w:sz w:val="21"/>
                <w:szCs w:val="21"/>
                <w14:ligatures w14:val="none"/>
              </w:rPr>
            </w:pPr>
            <w:r>
              <w:rPr>
                <w:rFonts w:cs="Times New Roman"/>
                <w:sz w:val="21"/>
                <w:szCs w:val="21"/>
                <w14:ligatures w14:val="none"/>
              </w:rPr>
              <w:t>0.07mg/L</w:t>
            </w:r>
          </w:p>
        </w:tc>
      </w:tr>
      <w:tr w14:paraId="55831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2E42BE5F">
            <w:pPr>
              <w:spacing w:line="240" w:lineRule="auto"/>
              <w:ind w:firstLine="0" w:firstLineChars="0"/>
              <w:jc w:val="center"/>
              <w:rPr>
                <w:rFonts w:cs="Times New Roman"/>
                <w:sz w:val="21"/>
                <w:szCs w:val="21"/>
                <w14:ligatures w14:val="none"/>
              </w:rPr>
            </w:pPr>
          </w:p>
        </w:tc>
        <w:tc>
          <w:tcPr>
            <w:tcW w:w="822" w:type="pct"/>
            <w:vAlign w:val="center"/>
          </w:tcPr>
          <w:p w14:paraId="518E1B27">
            <w:pPr>
              <w:spacing w:line="240" w:lineRule="auto"/>
              <w:ind w:firstLine="0" w:firstLineChars="0"/>
              <w:jc w:val="center"/>
              <w:rPr>
                <w:rFonts w:cs="Times New Roman"/>
                <w:kern w:val="0"/>
                <w:sz w:val="21"/>
                <w:szCs w:val="21"/>
                <w14:ligatures w14:val="none"/>
              </w:rPr>
            </w:pPr>
            <w:r>
              <w:rPr>
                <w:rFonts w:cs="Times New Roman"/>
                <w:sz w:val="21"/>
                <w:szCs w:val="21"/>
                <w14:ligatures w14:val="none"/>
              </w:rPr>
              <w:t>镉</w:t>
            </w:r>
          </w:p>
        </w:tc>
        <w:tc>
          <w:tcPr>
            <w:tcW w:w="2888" w:type="pct"/>
            <w:vMerge w:val="continue"/>
            <w:vAlign w:val="center"/>
          </w:tcPr>
          <w:p w14:paraId="53B47C6F">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4E16A349">
            <w:pPr>
              <w:spacing w:line="240" w:lineRule="auto"/>
              <w:ind w:firstLine="0" w:firstLineChars="0"/>
              <w:jc w:val="center"/>
              <w:rPr>
                <w:rFonts w:cs="Times New Roman"/>
                <w:sz w:val="21"/>
                <w:szCs w:val="21"/>
                <w14:ligatures w14:val="none"/>
              </w:rPr>
            </w:pPr>
            <w:r>
              <w:rPr>
                <w:rFonts w:cs="Times New Roman"/>
                <w:sz w:val="21"/>
                <w:szCs w:val="21"/>
                <w14:ligatures w14:val="none"/>
              </w:rPr>
              <w:t>0.005mg/L</w:t>
            </w:r>
          </w:p>
        </w:tc>
      </w:tr>
      <w:tr w14:paraId="5BD22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20F43446">
            <w:pPr>
              <w:spacing w:line="240" w:lineRule="auto"/>
              <w:ind w:firstLine="0" w:firstLineChars="0"/>
              <w:jc w:val="center"/>
              <w:rPr>
                <w:rFonts w:cs="Times New Roman"/>
                <w:sz w:val="21"/>
                <w:szCs w:val="21"/>
                <w14:ligatures w14:val="none"/>
              </w:rPr>
            </w:pPr>
          </w:p>
        </w:tc>
        <w:tc>
          <w:tcPr>
            <w:tcW w:w="822" w:type="pct"/>
            <w:vAlign w:val="center"/>
          </w:tcPr>
          <w:p w14:paraId="53861DD2">
            <w:pPr>
              <w:spacing w:line="240" w:lineRule="auto"/>
              <w:ind w:firstLine="0" w:firstLineChars="0"/>
              <w:jc w:val="center"/>
              <w:rPr>
                <w:rFonts w:cs="Times New Roman"/>
                <w:kern w:val="0"/>
                <w:sz w:val="21"/>
                <w:szCs w:val="21"/>
                <w14:ligatures w14:val="none"/>
              </w:rPr>
            </w:pPr>
            <w:r>
              <w:rPr>
                <w:rFonts w:cs="Times New Roman"/>
                <w:sz w:val="21"/>
                <w:szCs w:val="21"/>
                <w14:ligatures w14:val="none"/>
              </w:rPr>
              <w:t>铜</w:t>
            </w:r>
          </w:p>
        </w:tc>
        <w:tc>
          <w:tcPr>
            <w:tcW w:w="2888" w:type="pct"/>
            <w:vMerge w:val="continue"/>
            <w:vAlign w:val="center"/>
          </w:tcPr>
          <w:p w14:paraId="5B32EA90">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4B5D7805">
            <w:pPr>
              <w:spacing w:line="240" w:lineRule="auto"/>
              <w:ind w:firstLine="0" w:firstLineChars="0"/>
              <w:jc w:val="center"/>
              <w:rPr>
                <w:rFonts w:cs="Times New Roman"/>
                <w:sz w:val="21"/>
                <w:szCs w:val="21"/>
                <w14:ligatures w14:val="none"/>
              </w:rPr>
            </w:pPr>
            <w:r>
              <w:rPr>
                <w:rFonts w:cs="Times New Roman"/>
                <w:sz w:val="21"/>
                <w:szCs w:val="21"/>
                <w14:ligatures w14:val="none"/>
              </w:rPr>
              <w:t>0.006mg/L</w:t>
            </w:r>
          </w:p>
        </w:tc>
      </w:tr>
      <w:tr w14:paraId="46D87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28F8D504">
            <w:pPr>
              <w:spacing w:line="240" w:lineRule="auto"/>
              <w:ind w:firstLine="0" w:firstLineChars="0"/>
              <w:jc w:val="center"/>
              <w:rPr>
                <w:rFonts w:cs="Times New Roman"/>
                <w:sz w:val="21"/>
                <w:szCs w:val="21"/>
                <w14:ligatures w14:val="none"/>
              </w:rPr>
            </w:pPr>
          </w:p>
        </w:tc>
        <w:tc>
          <w:tcPr>
            <w:tcW w:w="822" w:type="pct"/>
            <w:vAlign w:val="center"/>
          </w:tcPr>
          <w:p w14:paraId="6D10C9A6">
            <w:pPr>
              <w:spacing w:line="240" w:lineRule="auto"/>
              <w:ind w:firstLine="0" w:firstLineChars="0"/>
              <w:jc w:val="center"/>
              <w:rPr>
                <w:rFonts w:cs="Times New Roman"/>
                <w:kern w:val="0"/>
                <w:sz w:val="21"/>
                <w:szCs w:val="21"/>
                <w14:ligatures w14:val="none"/>
              </w:rPr>
            </w:pPr>
            <w:r>
              <w:rPr>
                <w:rFonts w:cs="Times New Roman"/>
                <w:sz w:val="21"/>
                <w:szCs w:val="21"/>
                <w14:ligatures w14:val="none"/>
              </w:rPr>
              <w:t>镍</w:t>
            </w:r>
          </w:p>
        </w:tc>
        <w:tc>
          <w:tcPr>
            <w:tcW w:w="2888" w:type="pct"/>
            <w:vMerge w:val="continue"/>
            <w:vAlign w:val="center"/>
          </w:tcPr>
          <w:p w14:paraId="3814E548">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14ACDE4A">
            <w:pPr>
              <w:spacing w:line="240" w:lineRule="auto"/>
              <w:ind w:firstLine="0" w:firstLineChars="0"/>
              <w:jc w:val="center"/>
              <w:rPr>
                <w:rFonts w:cs="Times New Roman"/>
                <w:sz w:val="21"/>
                <w:szCs w:val="21"/>
                <w14:ligatures w14:val="none"/>
              </w:rPr>
            </w:pPr>
            <w:r>
              <w:rPr>
                <w:rFonts w:cs="Times New Roman"/>
                <w:sz w:val="21"/>
                <w:szCs w:val="21"/>
                <w14:ligatures w14:val="none"/>
              </w:rPr>
              <w:t>0.02mg/L</w:t>
            </w:r>
          </w:p>
        </w:tc>
      </w:tr>
      <w:tr w14:paraId="184B1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7A245687">
            <w:pPr>
              <w:spacing w:line="240" w:lineRule="auto"/>
              <w:ind w:firstLine="0" w:firstLineChars="0"/>
              <w:jc w:val="center"/>
              <w:rPr>
                <w:rFonts w:cs="Times New Roman"/>
                <w:sz w:val="21"/>
                <w:szCs w:val="21"/>
                <w14:ligatures w14:val="none"/>
              </w:rPr>
            </w:pPr>
          </w:p>
        </w:tc>
        <w:tc>
          <w:tcPr>
            <w:tcW w:w="822" w:type="pct"/>
            <w:vAlign w:val="center"/>
          </w:tcPr>
          <w:p w14:paraId="5F1875B9">
            <w:pPr>
              <w:spacing w:line="240" w:lineRule="auto"/>
              <w:ind w:firstLine="0" w:firstLineChars="0"/>
              <w:jc w:val="center"/>
              <w:rPr>
                <w:rFonts w:cs="Times New Roman"/>
                <w:kern w:val="0"/>
                <w:sz w:val="21"/>
                <w:szCs w:val="21"/>
                <w14:ligatures w14:val="none"/>
              </w:rPr>
            </w:pPr>
            <w:r>
              <w:rPr>
                <w:rFonts w:cs="Times New Roman"/>
                <w:sz w:val="21"/>
                <w:szCs w:val="21"/>
                <w14:ligatures w14:val="none"/>
              </w:rPr>
              <w:t>锌</w:t>
            </w:r>
          </w:p>
        </w:tc>
        <w:tc>
          <w:tcPr>
            <w:tcW w:w="2888" w:type="pct"/>
            <w:vMerge w:val="continue"/>
            <w:vAlign w:val="center"/>
          </w:tcPr>
          <w:p w14:paraId="48691DA3">
            <w:pPr>
              <w:widowControl/>
              <w:spacing w:line="240" w:lineRule="auto"/>
              <w:ind w:firstLine="0" w:firstLineChars="0"/>
              <w:jc w:val="center"/>
              <w:textAlignment w:val="center"/>
              <w:rPr>
                <w:rFonts w:cs="Times New Roman"/>
                <w:sz w:val="21"/>
                <w:szCs w:val="21"/>
                <w14:ligatures w14:val="none"/>
              </w:rPr>
            </w:pPr>
          </w:p>
        </w:tc>
        <w:tc>
          <w:tcPr>
            <w:tcW w:w="653" w:type="pct"/>
            <w:vAlign w:val="center"/>
          </w:tcPr>
          <w:p w14:paraId="03A2D17B">
            <w:pPr>
              <w:spacing w:line="240" w:lineRule="auto"/>
              <w:ind w:firstLine="0" w:firstLineChars="0"/>
              <w:jc w:val="center"/>
              <w:rPr>
                <w:rFonts w:cs="Times New Roman"/>
                <w:sz w:val="21"/>
                <w:szCs w:val="21"/>
                <w14:ligatures w14:val="none"/>
              </w:rPr>
            </w:pPr>
            <w:r>
              <w:rPr>
                <w:rFonts w:cs="Times New Roman"/>
                <w:sz w:val="21"/>
                <w:szCs w:val="21"/>
                <w14:ligatures w14:val="none"/>
              </w:rPr>
              <w:t>0.004mg/L</w:t>
            </w:r>
          </w:p>
        </w:tc>
      </w:tr>
      <w:tr w14:paraId="319AB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13F019CB">
            <w:pPr>
              <w:spacing w:line="240" w:lineRule="auto"/>
              <w:ind w:firstLine="0" w:firstLineChars="0"/>
              <w:jc w:val="center"/>
              <w:rPr>
                <w:rFonts w:cs="Times New Roman"/>
                <w:sz w:val="21"/>
                <w:szCs w:val="21"/>
                <w14:ligatures w14:val="none"/>
              </w:rPr>
            </w:pPr>
          </w:p>
        </w:tc>
        <w:tc>
          <w:tcPr>
            <w:tcW w:w="822" w:type="pct"/>
            <w:vAlign w:val="center"/>
          </w:tcPr>
          <w:p w14:paraId="7D1A2FB9">
            <w:pPr>
              <w:spacing w:line="240" w:lineRule="auto"/>
              <w:ind w:firstLine="0" w:firstLineChars="0"/>
              <w:jc w:val="center"/>
              <w:rPr>
                <w:rFonts w:cs="Times New Roman"/>
                <w:sz w:val="21"/>
                <w:szCs w:val="21"/>
                <w14:ligatures w14:val="none"/>
              </w:rPr>
            </w:pPr>
            <w:r>
              <w:rPr>
                <w:rFonts w:cs="Times New Roman"/>
                <w:sz w:val="21"/>
                <w:szCs w:val="21"/>
                <w14:ligatures w14:val="none"/>
              </w:rPr>
              <w:t>溶解性总固体</w:t>
            </w:r>
          </w:p>
        </w:tc>
        <w:tc>
          <w:tcPr>
            <w:tcW w:w="2888" w:type="pct"/>
            <w:vAlign w:val="center"/>
          </w:tcPr>
          <w:p w14:paraId="70A5C823">
            <w:pPr>
              <w:spacing w:line="240" w:lineRule="auto"/>
              <w:ind w:firstLine="0" w:firstLineChars="0"/>
              <w:jc w:val="center"/>
              <w:rPr>
                <w:rFonts w:cs="Times New Roman"/>
                <w:sz w:val="21"/>
                <w:szCs w:val="21"/>
                <w14:ligatures w14:val="none"/>
              </w:rPr>
            </w:pPr>
            <w:r>
              <w:rPr>
                <w:rFonts w:cs="Times New Roman"/>
                <w:kern w:val="0"/>
                <w:sz w:val="21"/>
                <w:szCs w:val="21"/>
                <w14:ligatures w14:val="none"/>
              </w:rPr>
              <w:t>生活饮用水标准检验方法 第4部分：感官性状和物理指标GB/T 5750.4-2023</w:t>
            </w:r>
          </w:p>
        </w:tc>
        <w:tc>
          <w:tcPr>
            <w:tcW w:w="653" w:type="pct"/>
            <w:vAlign w:val="center"/>
          </w:tcPr>
          <w:p w14:paraId="22FBD157">
            <w:pPr>
              <w:spacing w:line="240" w:lineRule="auto"/>
              <w:ind w:firstLine="0" w:firstLineChars="0"/>
              <w:jc w:val="center"/>
              <w:rPr>
                <w:rFonts w:cs="Times New Roman"/>
                <w:sz w:val="21"/>
                <w:szCs w:val="21"/>
                <w14:ligatures w14:val="none"/>
              </w:rPr>
            </w:pPr>
            <w:r>
              <w:rPr>
                <w:rFonts w:cs="Times New Roman"/>
                <w:color w:val="000000"/>
                <w:kern w:val="0"/>
                <w:sz w:val="21"/>
                <w:szCs w:val="21"/>
                <w14:ligatures w14:val="none"/>
              </w:rPr>
              <w:t>—</w:t>
            </w:r>
          </w:p>
        </w:tc>
      </w:tr>
      <w:tr w14:paraId="31067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6B11BCC3">
            <w:pPr>
              <w:spacing w:line="240" w:lineRule="auto"/>
              <w:ind w:firstLine="0" w:firstLineChars="0"/>
              <w:jc w:val="center"/>
              <w:rPr>
                <w:rFonts w:cs="Times New Roman"/>
                <w:sz w:val="21"/>
                <w:szCs w:val="21"/>
                <w14:ligatures w14:val="none"/>
              </w:rPr>
            </w:pPr>
          </w:p>
        </w:tc>
        <w:tc>
          <w:tcPr>
            <w:tcW w:w="822" w:type="pct"/>
            <w:vAlign w:val="center"/>
          </w:tcPr>
          <w:p w14:paraId="147A7D0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高锰酸盐指数</w:t>
            </w:r>
          </w:p>
        </w:tc>
        <w:tc>
          <w:tcPr>
            <w:tcW w:w="2888" w:type="pct"/>
            <w:vAlign w:val="center"/>
          </w:tcPr>
          <w:p w14:paraId="0F83581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高锰酸盐指数的测定 GB/T 11892-1989</w:t>
            </w:r>
          </w:p>
        </w:tc>
        <w:tc>
          <w:tcPr>
            <w:tcW w:w="653" w:type="pct"/>
            <w:vAlign w:val="center"/>
          </w:tcPr>
          <w:p w14:paraId="2F125CCB">
            <w:pPr>
              <w:spacing w:line="240" w:lineRule="auto"/>
              <w:ind w:firstLine="0" w:firstLineChars="0"/>
              <w:jc w:val="center"/>
              <w:rPr>
                <w:rFonts w:cs="Times New Roman"/>
                <w:color w:val="000000"/>
                <w:kern w:val="0"/>
                <w:sz w:val="21"/>
                <w:szCs w:val="21"/>
                <w14:ligatures w14:val="none"/>
              </w:rPr>
            </w:pPr>
            <w:r>
              <w:rPr>
                <w:rFonts w:cs="Times New Roman"/>
                <w:sz w:val="21"/>
                <w:szCs w:val="21"/>
                <w14:ligatures w14:val="none"/>
              </w:rPr>
              <w:t>0.</w:t>
            </w:r>
            <w:r>
              <w:rPr>
                <w:rFonts w:hint="eastAsia" w:cs="Times New Roman"/>
                <w:sz w:val="21"/>
                <w:szCs w:val="21"/>
                <w14:ligatures w14:val="none"/>
              </w:rPr>
              <w:t>5</w:t>
            </w:r>
            <w:r>
              <w:rPr>
                <w:rFonts w:cs="Times New Roman"/>
                <w:sz w:val="21"/>
                <w:szCs w:val="21"/>
                <w14:ligatures w14:val="none"/>
              </w:rPr>
              <w:t>mg/L</w:t>
            </w:r>
          </w:p>
        </w:tc>
      </w:tr>
      <w:tr w14:paraId="16D1B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3A0378D4">
            <w:pPr>
              <w:spacing w:line="240" w:lineRule="auto"/>
              <w:ind w:firstLine="0" w:firstLineChars="0"/>
              <w:jc w:val="center"/>
              <w:rPr>
                <w:rFonts w:cs="Times New Roman"/>
                <w:sz w:val="21"/>
                <w:szCs w:val="21"/>
                <w14:ligatures w14:val="none"/>
              </w:rPr>
            </w:pPr>
          </w:p>
        </w:tc>
        <w:tc>
          <w:tcPr>
            <w:tcW w:w="822" w:type="pct"/>
            <w:vAlign w:val="center"/>
          </w:tcPr>
          <w:p w14:paraId="619D85AF">
            <w:pPr>
              <w:spacing w:line="240" w:lineRule="auto"/>
              <w:ind w:firstLine="0" w:firstLineChars="0"/>
              <w:jc w:val="center"/>
              <w:rPr>
                <w:rFonts w:cs="Times New Roman"/>
                <w:sz w:val="21"/>
                <w:szCs w:val="21"/>
                <w14:ligatures w14:val="none"/>
              </w:rPr>
            </w:pPr>
            <w:r>
              <w:rPr>
                <w:rFonts w:cs="Times New Roman"/>
                <w:sz w:val="21"/>
                <w:szCs w:val="21"/>
                <w14:ligatures w14:val="none"/>
              </w:rPr>
              <w:t>砷</w:t>
            </w:r>
          </w:p>
        </w:tc>
        <w:tc>
          <w:tcPr>
            <w:tcW w:w="2888" w:type="pct"/>
            <w:vMerge w:val="restart"/>
            <w:vAlign w:val="center"/>
          </w:tcPr>
          <w:p w14:paraId="731E677C">
            <w:pPr>
              <w:spacing w:line="240" w:lineRule="auto"/>
              <w:ind w:firstLine="0" w:firstLineChars="0"/>
              <w:jc w:val="center"/>
              <w:rPr>
                <w:rFonts w:cs="Times New Roman"/>
                <w:sz w:val="21"/>
                <w:szCs w:val="21"/>
                <w14:ligatures w14:val="none"/>
              </w:rPr>
            </w:pPr>
            <w:r>
              <w:rPr>
                <w:rFonts w:cs="Times New Roman"/>
                <w:sz w:val="21"/>
                <w:szCs w:val="21"/>
                <w14:ligatures w14:val="none"/>
              </w:rPr>
              <w:t>水质 汞、砷、硒、铋和锑的测定 原子荧光法</w:t>
            </w:r>
          </w:p>
          <w:p w14:paraId="7074E2E0">
            <w:pPr>
              <w:spacing w:line="240" w:lineRule="auto"/>
              <w:ind w:firstLine="0" w:firstLineChars="0"/>
              <w:jc w:val="center"/>
              <w:rPr>
                <w:rFonts w:cs="Times New Roman"/>
                <w:kern w:val="0"/>
                <w:sz w:val="21"/>
                <w:szCs w:val="21"/>
                <w14:ligatures w14:val="none"/>
              </w:rPr>
            </w:pPr>
            <w:r>
              <w:rPr>
                <w:rFonts w:cs="Times New Roman"/>
                <w:sz w:val="21"/>
                <w:szCs w:val="21"/>
                <w14:ligatures w14:val="none"/>
              </w:rPr>
              <w:t>HJ 694-2014</w:t>
            </w:r>
          </w:p>
        </w:tc>
        <w:tc>
          <w:tcPr>
            <w:tcW w:w="653" w:type="pct"/>
            <w:vAlign w:val="center"/>
          </w:tcPr>
          <w:p w14:paraId="4F309BB1">
            <w:pPr>
              <w:spacing w:line="240" w:lineRule="auto"/>
              <w:ind w:firstLine="0" w:firstLineChars="0"/>
              <w:jc w:val="center"/>
              <w:rPr>
                <w:rFonts w:cs="Times New Roman"/>
                <w:color w:val="000000"/>
                <w:kern w:val="0"/>
                <w:sz w:val="21"/>
                <w:szCs w:val="21"/>
                <w14:ligatures w14:val="none"/>
              </w:rPr>
            </w:pPr>
            <w:r>
              <w:rPr>
                <w:rFonts w:cs="Times New Roman"/>
                <w:sz w:val="21"/>
                <w:szCs w:val="21"/>
                <w14:ligatures w14:val="none"/>
              </w:rPr>
              <w:t>0.3μg/L</w:t>
            </w:r>
          </w:p>
        </w:tc>
      </w:tr>
      <w:tr w14:paraId="62172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06D6B721">
            <w:pPr>
              <w:spacing w:line="240" w:lineRule="auto"/>
              <w:ind w:firstLine="0" w:firstLineChars="0"/>
              <w:jc w:val="center"/>
              <w:rPr>
                <w:rFonts w:cs="Times New Roman"/>
                <w:sz w:val="21"/>
                <w:szCs w:val="21"/>
                <w14:ligatures w14:val="none"/>
              </w:rPr>
            </w:pPr>
          </w:p>
        </w:tc>
        <w:tc>
          <w:tcPr>
            <w:tcW w:w="822" w:type="pct"/>
            <w:vAlign w:val="center"/>
          </w:tcPr>
          <w:p w14:paraId="763C3464">
            <w:pPr>
              <w:spacing w:line="240" w:lineRule="auto"/>
              <w:ind w:firstLine="0" w:firstLineChars="0"/>
              <w:jc w:val="center"/>
              <w:rPr>
                <w:rFonts w:cs="Times New Roman"/>
                <w:sz w:val="21"/>
                <w:szCs w:val="21"/>
                <w14:ligatures w14:val="none"/>
              </w:rPr>
            </w:pPr>
            <w:r>
              <w:rPr>
                <w:rFonts w:cs="Times New Roman"/>
                <w:sz w:val="21"/>
                <w:szCs w:val="21"/>
                <w14:ligatures w14:val="none"/>
              </w:rPr>
              <w:t>汞</w:t>
            </w:r>
          </w:p>
        </w:tc>
        <w:tc>
          <w:tcPr>
            <w:tcW w:w="2888" w:type="pct"/>
            <w:vMerge w:val="continue"/>
            <w:vAlign w:val="center"/>
          </w:tcPr>
          <w:p w14:paraId="7EB2E480">
            <w:pPr>
              <w:spacing w:line="240" w:lineRule="auto"/>
              <w:ind w:firstLine="0" w:firstLineChars="0"/>
              <w:jc w:val="center"/>
              <w:rPr>
                <w:rFonts w:cs="Times New Roman"/>
                <w:kern w:val="0"/>
                <w:sz w:val="21"/>
                <w:szCs w:val="21"/>
                <w14:ligatures w14:val="none"/>
              </w:rPr>
            </w:pPr>
          </w:p>
        </w:tc>
        <w:tc>
          <w:tcPr>
            <w:tcW w:w="653" w:type="pct"/>
            <w:vAlign w:val="center"/>
          </w:tcPr>
          <w:p w14:paraId="2FF4EC3A">
            <w:pPr>
              <w:spacing w:line="240" w:lineRule="auto"/>
              <w:ind w:firstLine="0" w:firstLineChars="0"/>
              <w:jc w:val="center"/>
              <w:rPr>
                <w:rFonts w:cs="Times New Roman"/>
                <w:color w:val="000000"/>
                <w:kern w:val="0"/>
                <w:sz w:val="21"/>
                <w:szCs w:val="21"/>
                <w14:ligatures w14:val="none"/>
              </w:rPr>
            </w:pPr>
            <w:r>
              <w:rPr>
                <w:rFonts w:cs="Times New Roman"/>
                <w:sz w:val="21"/>
                <w:szCs w:val="21"/>
                <w14:ligatures w14:val="none"/>
              </w:rPr>
              <w:t>0.04μg/L</w:t>
            </w:r>
          </w:p>
        </w:tc>
      </w:tr>
      <w:tr w14:paraId="17950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27" w:hRule="atLeast"/>
          <w:jc w:val="center"/>
        </w:trPr>
        <w:tc>
          <w:tcPr>
            <w:tcW w:w="635" w:type="pct"/>
            <w:vMerge w:val="continue"/>
            <w:vAlign w:val="center"/>
          </w:tcPr>
          <w:p w14:paraId="2DFD58E0">
            <w:pPr>
              <w:spacing w:line="240" w:lineRule="auto"/>
              <w:ind w:firstLine="0" w:firstLineChars="0"/>
              <w:jc w:val="center"/>
              <w:rPr>
                <w:rFonts w:cs="Times New Roman"/>
                <w:sz w:val="21"/>
                <w:szCs w:val="21"/>
                <w14:ligatures w14:val="none"/>
              </w:rPr>
            </w:pPr>
          </w:p>
        </w:tc>
        <w:tc>
          <w:tcPr>
            <w:tcW w:w="822" w:type="pct"/>
            <w:vAlign w:val="center"/>
          </w:tcPr>
          <w:p w14:paraId="6B47562D">
            <w:pPr>
              <w:spacing w:line="240" w:lineRule="auto"/>
              <w:ind w:firstLine="0" w:firstLineChars="0"/>
              <w:jc w:val="center"/>
              <w:rPr>
                <w:rFonts w:cs="Times New Roman"/>
                <w:sz w:val="21"/>
                <w:szCs w:val="21"/>
                <w14:ligatures w14:val="none"/>
              </w:rPr>
            </w:pPr>
            <w:r>
              <w:rPr>
                <w:rFonts w:cs="Times New Roman"/>
                <w:sz w:val="21"/>
                <w:szCs w:val="21"/>
                <w14:ligatures w14:val="none"/>
              </w:rPr>
              <w:t>六价铬</w:t>
            </w:r>
          </w:p>
        </w:tc>
        <w:tc>
          <w:tcPr>
            <w:tcW w:w="2888" w:type="pct"/>
            <w:vAlign w:val="center"/>
          </w:tcPr>
          <w:p w14:paraId="2AC1DD28">
            <w:pPr>
              <w:spacing w:line="240" w:lineRule="auto"/>
              <w:ind w:firstLine="0" w:firstLineChars="0"/>
              <w:jc w:val="center"/>
              <w:rPr>
                <w:rFonts w:cs="Times New Roman"/>
                <w:sz w:val="21"/>
                <w:szCs w:val="21"/>
                <w14:ligatures w14:val="none"/>
              </w:rPr>
            </w:pPr>
            <w:r>
              <w:rPr>
                <w:rFonts w:cs="Times New Roman"/>
                <w:sz w:val="21"/>
                <w:szCs w:val="21"/>
                <w14:ligatures w14:val="none"/>
              </w:rPr>
              <w:t>水质 六价铬的测定 二苯碳酰二肼分光光度法</w:t>
            </w:r>
          </w:p>
          <w:p w14:paraId="6A4E1514">
            <w:pPr>
              <w:spacing w:line="240" w:lineRule="auto"/>
              <w:ind w:firstLine="0" w:firstLineChars="0"/>
              <w:jc w:val="center"/>
              <w:rPr>
                <w:rFonts w:cs="Times New Roman"/>
                <w:kern w:val="0"/>
                <w:sz w:val="21"/>
                <w:szCs w:val="21"/>
                <w14:ligatures w14:val="none"/>
              </w:rPr>
            </w:pPr>
            <w:r>
              <w:rPr>
                <w:rFonts w:cs="Times New Roman"/>
                <w:sz w:val="21"/>
                <w:szCs w:val="21"/>
                <w14:ligatures w14:val="none"/>
              </w:rPr>
              <w:t>GB/T 7467-1987</w:t>
            </w:r>
          </w:p>
        </w:tc>
        <w:tc>
          <w:tcPr>
            <w:tcW w:w="653" w:type="pct"/>
            <w:vAlign w:val="center"/>
          </w:tcPr>
          <w:p w14:paraId="508BA064">
            <w:pPr>
              <w:spacing w:line="240" w:lineRule="auto"/>
              <w:ind w:firstLine="0" w:firstLineChars="0"/>
              <w:jc w:val="center"/>
              <w:rPr>
                <w:rFonts w:cs="Times New Roman"/>
                <w:color w:val="000000"/>
                <w:kern w:val="0"/>
                <w:sz w:val="21"/>
                <w:szCs w:val="21"/>
                <w14:ligatures w14:val="none"/>
              </w:rPr>
            </w:pPr>
            <w:r>
              <w:rPr>
                <w:rFonts w:cs="Times New Roman"/>
                <w:sz w:val="21"/>
                <w:szCs w:val="21"/>
                <w14:ligatures w14:val="none"/>
              </w:rPr>
              <w:t>0.004mg/L</w:t>
            </w:r>
          </w:p>
        </w:tc>
      </w:tr>
    </w:tbl>
    <w:p w14:paraId="4C2FB934">
      <w:pPr>
        <w:ind w:firstLine="482"/>
        <w:rPr>
          <w:b/>
          <w:bCs/>
        </w:rPr>
      </w:pPr>
      <w:r>
        <w:rPr>
          <w:rFonts w:hint="eastAsia"/>
          <w:b/>
          <w:bCs/>
        </w:rPr>
        <w:t>（4）监测结果分析与评价</w:t>
      </w:r>
    </w:p>
    <w:p w14:paraId="5DE0CDBD">
      <w:pPr>
        <w:ind w:firstLine="480"/>
        <w:rPr>
          <w:rFonts w:cs="Times New Roman"/>
        </w:rPr>
        <w:sectPr>
          <w:pgSz w:w="11906" w:h="16838"/>
          <w:pgMar w:top="1440" w:right="1800" w:bottom="1440" w:left="1800" w:header="851" w:footer="992" w:gutter="0"/>
          <w:cols w:space="425" w:num="1"/>
          <w:docGrid w:type="lines" w:linePitch="312" w:charSpace="0"/>
        </w:sectPr>
      </w:pPr>
      <w:r>
        <w:rPr>
          <w:rFonts w:cs="Times New Roman"/>
        </w:rPr>
        <w:t>地下水环境质量现状监测结果汇总情况见表3.5-14。地下水环境质量现状监测结果表明，监测期间D2、D4、D5、D6</w:t>
      </w:r>
      <w:r>
        <w:rPr>
          <w:rFonts w:hint="eastAsia" w:cs="Times New Roman"/>
        </w:rPr>
        <w:t>、D7</w:t>
      </w:r>
      <w:r>
        <w:rPr>
          <w:rFonts w:cs="Times New Roman"/>
        </w:rPr>
        <w:t>监测点位所测因子均可达到《地下水质量标准》（GB/T 4848-2017）Ⅲ类标准及以上</w:t>
      </w:r>
      <w:r>
        <w:rPr>
          <w:rFonts w:hint="eastAsia" w:cs="Times New Roman"/>
        </w:rPr>
        <w:t>；D12</w:t>
      </w:r>
      <w:r>
        <w:rPr>
          <w:rFonts w:cs="Times New Roman"/>
        </w:rPr>
        <w:t>监测点位</w:t>
      </w:r>
      <w:r>
        <w:rPr>
          <w:rFonts w:hint="eastAsia" w:cs="Times New Roman"/>
        </w:rPr>
        <w:t>除亚硝酸盐、氨氮2个因子</w:t>
      </w:r>
      <w:r>
        <w:rPr>
          <w:rFonts w:cs="Times New Roman"/>
        </w:rPr>
        <w:t>为Ⅳ类标</w:t>
      </w:r>
      <w:r>
        <w:rPr>
          <w:rFonts w:hint="eastAsia" w:cs="Times New Roman"/>
        </w:rPr>
        <w:t>准，其他</w:t>
      </w:r>
      <w:r>
        <w:rPr>
          <w:rFonts w:cs="Times New Roman"/>
        </w:rPr>
        <w:t>因子均可达到《地下水质量标准》（GB/T 4848-2017）Ⅲ类标准及以上</w:t>
      </w:r>
      <w:r>
        <w:rPr>
          <w:rFonts w:hint="eastAsia" w:cs="Times New Roman"/>
        </w:rPr>
        <w:t>。</w:t>
      </w:r>
      <w:r>
        <w:rPr>
          <w:rFonts w:cs="Times New Roman"/>
        </w:rPr>
        <w:t>区域地下水环境质量总体较好。</w:t>
      </w:r>
    </w:p>
    <w:p w14:paraId="1441C14D">
      <w:pPr>
        <w:pStyle w:val="45"/>
      </w:pPr>
      <w:r>
        <w:t>表</w:t>
      </w:r>
      <w:r>
        <w:rPr>
          <w:rFonts w:hint="eastAsia"/>
        </w:rPr>
        <w:t>3</w:t>
      </w:r>
      <w:r>
        <w:t>.</w:t>
      </w:r>
      <w:r>
        <w:rPr>
          <w:rFonts w:hint="eastAsia"/>
        </w:rPr>
        <w:t>5</w:t>
      </w:r>
      <w:r>
        <w:t>-</w:t>
      </w:r>
      <w:r>
        <w:rPr>
          <w:rFonts w:hint="eastAsia"/>
        </w:rPr>
        <w:t>15</w:t>
      </w:r>
      <w:r>
        <w:t xml:space="preserve">  </w:t>
      </w:r>
      <w:r>
        <w:rPr>
          <w:rFonts w:hint="eastAsia"/>
        </w:rPr>
        <w:t>地下水环境质量现状监测结果表</w:t>
      </w:r>
    </w:p>
    <w:tbl>
      <w:tblPr>
        <w:tblStyle w:val="25"/>
        <w:tblW w:w="5000" w:type="pct"/>
        <w:tblInd w:w="0" w:type="dxa"/>
        <w:tblLayout w:type="autofit"/>
        <w:tblCellMar>
          <w:top w:w="0" w:type="dxa"/>
          <w:left w:w="108" w:type="dxa"/>
          <w:bottom w:w="0" w:type="dxa"/>
          <w:right w:w="108" w:type="dxa"/>
        </w:tblCellMar>
      </w:tblPr>
      <w:tblGrid>
        <w:gridCol w:w="1586"/>
        <w:gridCol w:w="1437"/>
        <w:gridCol w:w="1202"/>
        <w:gridCol w:w="723"/>
        <w:gridCol w:w="1202"/>
        <w:gridCol w:w="723"/>
        <w:gridCol w:w="1140"/>
        <w:gridCol w:w="686"/>
        <w:gridCol w:w="1140"/>
        <w:gridCol w:w="686"/>
        <w:gridCol w:w="1140"/>
        <w:gridCol w:w="686"/>
        <w:gridCol w:w="1140"/>
        <w:gridCol w:w="683"/>
      </w:tblGrid>
      <w:tr w14:paraId="08DFBB77">
        <w:tblPrEx>
          <w:tblCellMar>
            <w:top w:w="0" w:type="dxa"/>
            <w:left w:w="108" w:type="dxa"/>
            <w:bottom w:w="0" w:type="dxa"/>
            <w:right w:w="108" w:type="dxa"/>
          </w:tblCellMar>
        </w:tblPrEx>
        <w:trPr>
          <w:trHeight w:val="300" w:hRule="atLeast"/>
          <w:tblHeader/>
        </w:trPr>
        <w:tc>
          <w:tcPr>
            <w:tcW w:w="560" w:type="pct"/>
            <w:vMerge w:val="restart"/>
            <w:tcBorders>
              <w:top w:val="single" w:color="auto" w:sz="4" w:space="0"/>
              <w:left w:val="single" w:color="auto" w:sz="4" w:space="0"/>
              <w:bottom w:val="single" w:color="auto" w:sz="4" w:space="0"/>
              <w:right w:val="single" w:color="auto" w:sz="4" w:space="0"/>
            </w:tcBorders>
            <w:vAlign w:val="center"/>
          </w:tcPr>
          <w:p w14:paraId="39A16131">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监测项目</w:t>
            </w:r>
          </w:p>
        </w:tc>
        <w:tc>
          <w:tcPr>
            <w:tcW w:w="507" w:type="pct"/>
            <w:vMerge w:val="restart"/>
            <w:tcBorders>
              <w:top w:val="single" w:color="auto" w:sz="4" w:space="0"/>
              <w:left w:val="single" w:color="auto" w:sz="4" w:space="0"/>
              <w:bottom w:val="single" w:color="auto" w:sz="4" w:space="0"/>
              <w:right w:val="single" w:color="auto" w:sz="4" w:space="0"/>
            </w:tcBorders>
            <w:vAlign w:val="center"/>
          </w:tcPr>
          <w:p w14:paraId="7F1A73CE">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单位</w:t>
            </w:r>
          </w:p>
        </w:tc>
        <w:tc>
          <w:tcPr>
            <w:tcW w:w="679" w:type="pct"/>
            <w:gridSpan w:val="2"/>
            <w:tcBorders>
              <w:top w:val="single" w:color="auto" w:sz="4" w:space="0"/>
              <w:left w:val="nil"/>
              <w:bottom w:val="single" w:color="auto" w:sz="4" w:space="0"/>
              <w:right w:val="single" w:color="auto" w:sz="4" w:space="0"/>
            </w:tcBorders>
            <w:vAlign w:val="center"/>
          </w:tcPr>
          <w:p w14:paraId="34D9B254">
            <w:pPr>
              <w:widowControl/>
              <w:spacing w:line="240" w:lineRule="auto"/>
              <w:ind w:firstLine="0" w:firstLineChars="0"/>
              <w:jc w:val="center"/>
              <w:rPr>
                <w:rFonts w:eastAsia="等线" w:cs="Times New Roman"/>
                <w:b/>
                <w:bCs/>
                <w:color w:val="000000"/>
                <w:kern w:val="0"/>
                <w:sz w:val="21"/>
                <w:szCs w:val="21"/>
                <w14:ligatures w14:val="none"/>
              </w:rPr>
            </w:pPr>
            <w:r>
              <w:rPr>
                <w:rFonts w:eastAsia="等线" w:cs="Times New Roman"/>
                <w:b/>
                <w:bCs/>
                <w:color w:val="000000"/>
                <w:kern w:val="0"/>
                <w:sz w:val="21"/>
                <w:szCs w:val="21"/>
                <w14:ligatures w14:val="none"/>
              </w:rPr>
              <w:t>D2</w:t>
            </w:r>
            <w:r>
              <w:rPr>
                <w:rFonts w:cs="Times New Roman"/>
                <w:b/>
                <w:bCs/>
                <w:color w:val="000000"/>
                <w:kern w:val="0"/>
                <w:sz w:val="21"/>
                <w:szCs w:val="21"/>
                <w14:ligatures w14:val="none"/>
              </w:rPr>
              <w:t>雅居乐山湖城</w:t>
            </w:r>
          </w:p>
        </w:tc>
        <w:tc>
          <w:tcPr>
            <w:tcW w:w="679" w:type="pct"/>
            <w:gridSpan w:val="2"/>
            <w:tcBorders>
              <w:top w:val="single" w:color="auto" w:sz="4" w:space="0"/>
              <w:left w:val="nil"/>
              <w:bottom w:val="single" w:color="auto" w:sz="4" w:space="0"/>
              <w:right w:val="single" w:color="auto" w:sz="4" w:space="0"/>
            </w:tcBorders>
            <w:vAlign w:val="center"/>
          </w:tcPr>
          <w:p w14:paraId="1E9B0A2C">
            <w:pPr>
              <w:widowControl/>
              <w:spacing w:line="240" w:lineRule="auto"/>
              <w:ind w:firstLine="0" w:firstLineChars="0"/>
              <w:jc w:val="center"/>
              <w:rPr>
                <w:rFonts w:eastAsia="等线" w:cs="Times New Roman"/>
                <w:b/>
                <w:bCs/>
                <w:color w:val="000000"/>
                <w:kern w:val="0"/>
                <w:sz w:val="21"/>
                <w:szCs w:val="21"/>
                <w14:ligatures w14:val="none"/>
              </w:rPr>
            </w:pPr>
            <w:r>
              <w:rPr>
                <w:rFonts w:eastAsia="等线" w:cs="Times New Roman"/>
                <w:b/>
                <w:bCs/>
                <w:color w:val="000000"/>
                <w:kern w:val="0"/>
                <w:sz w:val="21"/>
                <w:szCs w:val="21"/>
                <w14:ligatures w14:val="none"/>
              </w:rPr>
              <w:t>D4</w:t>
            </w:r>
            <w:r>
              <w:rPr>
                <w:rFonts w:cs="Times New Roman"/>
                <w:b/>
                <w:bCs/>
                <w:color w:val="000000"/>
                <w:kern w:val="0"/>
                <w:sz w:val="21"/>
                <w:szCs w:val="21"/>
                <w14:ligatures w14:val="none"/>
              </w:rPr>
              <w:t>明月山溪花园</w:t>
            </w:r>
          </w:p>
        </w:tc>
        <w:tc>
          <w:tcPr>
            <w:tcW w:w="644" w:type="pct"/>
            <w:gridSpan w:val="2"/>
            <w:tcBorders>
              <w:top w:val="single" w:color="auto" w:sz="4" w:space="0"/>
              <w:left w:val="nil"/>
              <w:bottom w:val="single" w:color="auto" w:sz="4" w:space="0"/>
              <w:right w:val="single" w:color="auto" w:sz="4" w:space="0"/>
            </w:tcBorders>
            <w:vAlign w:val="center"/>
          </w:tcPr>
          <w:p w14:paraId="3CE202AA">
            <w:pPr>
              <w:widowControl/>
              <w:spacing w:line="240" w:lineRule="auto"/>
              <w:ind w:firstLine="0" w:firstLineChars="0"/>
              <w:jc w:val="center"/>
              <w:rPr>
                <w:rFonts w:eastAsia="等线" w:cs="Times New Roman"/>
                <w:b/>
                <w:bCs/>
                <w:color w:val="000000"/>
                <w:kern w:val="0"/>
                <w:sz w:val="21"/>
                <w:szCs w:val="21"/>
                <w14:ligatures w14:val="none"/>
              </w:rPr>
            </w:pPr>
            <w:r>
              <w:rPr>
                <w:rFonts w:eastAsia="等线" w:cs="Times New Roman"/>
                <w:b/>
                <w:bCs/>
                <w:color w:val="000000"/>
                <w:kern w:val="0"/>
                <w:sz w:val="21"/>
                <w:szCs w:val="21"/>
                <w14:ligatures w14:val="none"/>
              </w:rPr>
              <w:t>D5</w:t>
            </w:r>
            <w:r>
              <w:rPr>
                <w:rFonts w:cs="Times New Roman"/>
                <w:b/>
                <w:bCs/>
                <w:color w:val="000000"/>
                <w:kern w:val="0"/>
                <w:sz w:val="21"/>
                <w:szCs w:val="21"/>
                <w14:ligatures w14:val="none"/>
              </w:rPr>
              <w:t>养心园</w:t>
            </w:r>
          </w:p>
        </w:tc>
        <w:tc>
          <w:tcPr>
            <w:tcW w:w="644" w:type="pct"/>
            <w:gridSpan w:val="2"/>
            <w:tcBorders>
              <w:top w:val="single" w:color="auto" w:sz="4" w:space="0"/>
              <w:left w:val="nil"/>
              <w:bottom w:val="single" w:color="auto" w:sz="4" w:space="0"/>
              <w:right w:val="single" w:color="auto" w:sz="4" w:space="0"/>
            </w:tcBorders>
            <w:vAlign w:val="center"/>
          </w:tcPr>
          <w:p w14:paraId="458D14F1">
            <w:pPr>
              <w:widowControl/>
              <w:spacing w:line="240" w:lineRule="auto"/>
              <w:ind w:firstLine="0" w:firstLineChars="0"/>
              <w:jc w:val="center"/>
              <w:rPr>
                <w:rFonts w:eastAsia="等线" w:cs="Times New Roman"/>
                <w:b/>
                <w:bCs/>
                <w:color w:val="000000"/>
                <w:kern w:val="0"/>
                <w:sz w:val="21"/>
                <w:szCs w:val="21"/>
                <w14:ligatures w14:val="none"/>
              </w:rPr>
            </w:pPr>
            <w:r>
              <w:rPr>
                <w:rFonts w:eastAsia="等线" w:cs="Times New Roman"/>
                <w:b/>
                <w:bCs/>
                <w:color w:val="000000"/>
                <w:kern w:val="0"/>
                <w:sz w:val="21"/>
                <w:szCs w:val="21"/>
                <w14:ligatures w14:val="none"/>
              </w:rPr>
              <w:t>D6</w:t>
            </w:r>
            <w:r>
              <w:rPr>
                <w:rFonts w:cs="Times New Roman"/>
                <w:b/>
                <w:bCs/>
                <w:color w:val="000000"/>
                <w:kern w:val="0"/>
                <w:sz w:val="21"/>
                <w:szCs w:val="21"/>
                <w14:ligatures w14:val="none"/>
              </w:rPr>
              <w:t>林场村</w:t>
            </w:r>
          </w:p>
        </w:tc>
        <w:tc>
          <w:tcPr>
            <w:tcW w:w="644" w:type="pct"/>
            <w:gridSpan w:val="2"/>
            <w:tcBorders>
              <w:top w:val="single" w:color="auto" w:sz="4" w:space="0"/>
              <w:left w:val="nil"/>
              <w:bottom w:val="single" w:color="auto" w:sz="4" w:space="0"/>
              <w:right w:val="single" w:color="auto" w:sz="4" w:space="0"/>
            </w:tcBorders>
            <w:vAlign w:val="center"/>
          </w:tcPr>
          <w:p w14:paraId="50692B94">
            <w:pPr>
              <w:widowControl/>
              <w:spacing w:line="240" w:lineRule="auto"/>
              <w:ind w:firstLine="0" w:firstLineChars="0"/>
              <w:jc w:val="center"/>
              <w:rPr>
                <w:rFonts w:eastAsia="等线" w:cs="Times New Roman"/>
                <w:b/>
                <w:bCs/>
                <w:color w:val="000000"/>
                <w:kern w:val="0"/>
                <w:sz w:val="21"/>
                <w:szCs w:val="21"/>
                <w14:ligatures w14:val="none"/>
              </w:rPr>
            </w:pPr>
            <w:r>
              <w:rPr>
                <w:rFonts w:eastAsia="等线" w:cs="Times New Roman"/>
                <w:b/>
                <w:bCs/>
                <w:color w:val="000000"/>
                <w:kern w:val="0"/>
                <w:sz w:val="21"/>
                <w:szCs w:val="21"/>
                <w14:ligatures w14:val="none"/>
              </w:rPr>
              <w:t>D7</w:t>
            </w:r>
            <w:r>
              <w:rPr>
                <w:rFonts w:cs="Times New Roman"/>
                <w:b/>
                <w:bCs/>
                <w:color w:val="000000"/>
                <w:kern w:val="0"/>
                <w:sz w:val="21"/>
                <w:szCs w:val="21"/>
                <w14:ligatures w14:val="none"/>
              </w:rPr>
              <w:t>高德庄园</w:t>
            </w:r>
          </w:p>
        </w:tc>
        <w:tc>
          <w:tcPr>
            <w:tcW w:w="643" w:type="pct"/>
            <w:gridSpan w:val="2"/>
            <w:tcBorders>
              <w:top w:val="single" w:color="auto" w:sz="4" w:space="0"/>
              <w:left w:val="nil"/>
              <w:bottom w:val="single" w:color="auto" w:sz="4" w:space="0"/>
              <w:right w:val="single" w:color="auto" w:sz="4" w:space="0"/>
            </w:tcBorders>
            <w:vAlign w:val="center"/>
          </w:tcPr>
          <w:p w14:paraId="6DB9B849">
            <w:pPr>
              <w:widowControl/>
              <w:spacing w:line="240" w:lineRule="auto"/>
              <w:ind w:firstLine="0" w:firstLineChars="0"/>
              <w:jc w:val="center"/>
              <w:rPr>
                <w:rFonts w:eastAsia="等线" w:cs="Times New Roman"/>
                <w:b/>
                <w:bCs/>
                <w:color w:val="000000"/>
                <w:kern w:val="0"/>
                <w:sz w:val="21"/>
                <w:szCs w:val="21"/>
                <w14:ligatures w14:val="none"/>
              </w:rPr>
            </w:pPr>
            <w:r>
              <w:rPr>
                <w:rFonts w:eastAsia="等线" w:cs="Times New Roman"/>
                <w:b/>
                <w:bCs/>
                <w:color w:val="000000"/>
                <w:kern w:val="0"/>
                <w:sz w:val="21"/>
                <w:szCs w:val="21"/>
                <w14:ligatures w14:val="none"/>
              </w:rPr>
              <w:t>D12</w:t>
            </w:r>
            <w:r>
              <w:rPr>
                <w:rFonts w:cs="Times New Roman"/>
                <w:b/>
                <w:bCs/>
                <w:color w:val="000000"/>
                <w:kern w:val="0"/>
                <w:sz w:val="21"/>
                <w:szCs w:val="21"/>
                <w14:ligatures w14:val="none"/>
              </w:rPr>
              <w:t>许庄村</w:t>
            </w:r>
          </w:p>
        </w:tc>
      </w:tr>
      <w:tr w14:paraId="257AA22A">
        <w:tblPrEx>
          <w:tblCellMar>
            <w:top w:w="0" w:type="dxa"/>
            <w:left w:w="108" w:type="dxa"/>
            <w:bottom w:w="0" w:type="dxa"/>
            <w:right w:w="108" w:type="dxa"/>
          </w:tblCellMar>
        </w:tblPrEx>
        <w:trPr>
          <w:trHeight w:val="285" w:hRule="atLeast"/>
          <w:tblHeader/>
        </w:trPr>
        <w:tc>
          <w:tcPr>
            <w:tcW w:w="560" w:type="pct"/>
            <w:vMerge w:val="continue"/>
            <w:tcBorders>
              <w:top w:val="single" w:color="auto" w:sz="4" w:space="0"/>
              <w:left w:val="single" w:color="auto" w:sz="4" w:space="0"/>
              <w:bottom w:val="single" w:color="auto" w:sz="4" w:space="0"/>
              <w:right w:val="single" w:color="auto" w:sz="4" w:space="0"/>
            </w:tcBorders>
            <w:vAlign w:val="center"/>
          </w:tcPr>
          <w:p w14:paraId="0A2769EC">
            <w:pPr>
              <w:widowControl/>
              <w:spacing w:line="240" w:lineRule="auto"/>
              <w:ind w:firstLine="0" w:firstLineChars="0"/>
              <w:jc w:val="left"/>
              <w:rPr>
                <w:rFonts w:cs="Times New Roman"/>
                <w:b/>
                <w:bCs/>
                <w:color w:val="000000"/>
                <w:kern w:val="0"/>
                <w:sz w:val="21"/>
                <w:szCs w:val="21"/>
                <w14:ligatures w14:val="none"/>
              </w:rPr>
            </w:pPr>
          </w:p>
        </w:tc>
        <w:tc>
          <w:tcPr>
            <w:tcW w:w="507" w:type="pct"/>
            <w:vMerge w:val="continue"/>
            <w:tcBorders>
              <w:top w:val="single" w:color="auto" w:sz="4" w:space="0"/>
              <w:left w:val="single" w:color="auto" w:sz="4" w:space="0"/>
              <w:bottom w:val="single" w:color="auto" w:sz="4" w:space="0"/>
              <w:right w:val="single" w:color="auto" w:sz="4" w:space="0"/>
            </w:tcBorders>
            <w:vAlign w:val="center"/>
          </w:tcPr>
          <w:p w14:paraId="25174439">
            <w:pPr>
              <w:widowControl/>
              <w:spacing w:line="240" w:lineRule="auto"/>
              <w:ind w:firstLine="0" w:firstLineChars="0"/>
              <w:jc w:val="left"/>
              <w:rPr>
                <w:rFonts w:cs="Times New Roman"/>
                <w:b/>
                <w:bCs/>
                <w:color w:val="000000"/>
                <w:kern w:val="0"/>
                <w:sz w:val="21"/>
                <w:szCs w:val="21"/>
                <w14:ligatures w14:val="none"/>
              </w:rPr>
            </w:pPr>
          </w:p>
        </w:tc>
        <w:tc>
          <w:tcPr>
            <w:tcW w:w="424" w:type="pct"/>
            <w:tcBorders>
              <w:top w:val="nil"/>
              <w:left w:val="nil"/>
              <w:bottom w:val="single" w:color="auto" w:sz="4" w:space="0"/>
              <w:right w:val="single" w:color="auto" w:sz="4" w:space="0"/>
            </w:tcBorders>
            <w:vAlign w:val="center"/>
          </w:tcPr>
          <w:p w14:paraId="08A10F1C">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检出结果</w:t>
            </w:r>
          </w:p>
        </w:tc>
        <w:tc>
          <w:tcPr>
            <w:tcW w:w="255" w:type="pct"/>
            <w:tcBorders>
              <w:top w:val="nil"/>
              <w:left w:val="nil"/>
              <w:bottom w:val="single" w:color="auto" w:sz="4" w:space="0"/>
              <w:right w:val="single" w:color="auto" w:sz="4" w:space="0"/>
            </w:tcBorders>
            <w:vAlign w:val="center"/>
          </w:tcPr>
          <w:p w14:paraId="25CD54D4">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类别</w:t>
            </w:r>
          </w:p>
        </w:tc>
        <w:tc>
          <w:tcPr>
            <w:tcW w:w="424" w:type="pct"/>
            <w:tcBorders>
              <w:top w:val="nil"/>
              <w:left w:val="nil"/>
              <w:bottom w:val="single" w:color="auto" w:sz="4" w:space="0"/>
              <w:right w:val="single" w:color="auto" w:sz="4" w:space="0"/>
            </w:tcBorders>
            <w:vAlign w:val="center"/>
          </w:tcPr>
          <w:p w14:paraId="513C1092">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检出结果</w:t>
            </w:r>
          </w:p>
        </w:tc>
        <w:tc>
          <w:tcPr>
            <w:tcW w:w="255" w:type="pct"/>
            <w:tcBorders>
              <w:top w:val="nil"/>
              <w:left w:val="nil"/>
              <w:bottom w:val="single" w:color="auto" w:sz="4" w:space="0"/>
              <w:right w:val="single" w:color="auto" w:sz="4" w:space="0"/>
            </w:tcBorders>
            <w:vAlign w:val="center"/>
          </w:tcPr>
          <w:p w14:paraId="08549CCA">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类别</w:t>
            </w:r>
          </w:p>
        </w:tc>
        <w:tc>
          <w:tcPr>
            <w:tcW w:w="402" w:type="pct"/>
            <w:tcBorders>
              <w:top w:val="nil"/>
              <w:left w:val="nil"/>
              <w:bottom w:val="single" w:color="auto" w:sz="4" w:space="0"/>
              <w:right w:val="single" w:color="auto" w:sz="4" w:space="0"/>
            </w:tcBorders>
            <w:vAlign w:val="center"/>
          </w:tcPr>
          <w:p w14:paraId="310FAC81">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检出结果</w:t>
            </w:r>
          </w:p>
        </w:tc>
        <w:tc>
          <w:tcPr>
            <w:tcW w:w="242" w:type="pct"/>
            <w:tcBorders>
              <w:top w:val="nil"/>
              <w:left w:val="nil"/>
              <w:bottom w:val="single" w:color="auto" w:sz="4" w:space="0"/>
              <w:right w:val="single" w:color="auto" w:sz="4" w:space="0"/>
            </w:tcBorders>
            <w:vAlign w:val="center"/>
          </w:tcPr>
          <w:p w14:paraId="41599067">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类别</w:t>
            </w:r>
          </w:p>
        </w:tc>
        <w:tc>
          <w:tcPr>
            <w:tcW w:w="402" w:type="pct"/>
            <w:tcBorders>
              <w:top w:val="nil"/>
              <w:left w:val="nil"/>
              <w:bottom w:val="single" w:color="auto" w:sz="4" w:space="0"/>
              <w:right w:val="single" w:color="auto" w:sz="4" w:space="0"/>
            </w:tcBorders>
            <w:vAlign w:val="center"/>
          </w:tcPr>
          <w:p w14:paraId="24059A75">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检出结果</w:t>
            </w:r>
          </w:p>
        </w:tc>
        <w:tc>
          <w:tcPr>
            <w:tcW w:w="242" w:type="pct"/>
            <w:tcBorders>
              <w:top w:val="nil"/>
              <w:left w:val="nil"/>
              <w:bottom w:val="single" w:color="auto" w:sz="4" w:space="0"/>
              <w:right w:val="single" w:color="auto" w:sz="4" w:space="0"/>
            </w:tcBorders>
            <w:vAlign w:val="center"/>
          </w:tcPr>
          <w:p w14:paraId="06034895">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类别</w:t>
            </w:r>
          </w:p>
        </w:tc>
        <w:tc>
          <w:tcPr>
            <w:tcW w:w="402" w:type="pct"/>
            <w:tcBorders>
              <w:top w:val="nil"/>
              <w:left w:val="nil"/>
              <w:bottom w:val="single" w:color="auto" w:sz="4" w:space="0"/>
              <w:right w:val="single" w:color="auto" w:sz="4" w:space="0"/>
            </w:tcBorders>
            <w:vAlign w:val="center"/>
          </w:tcPr>
          <w:p w14:paraId="470439F2">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检出结果</w:t>
            </w:r>
          </w:p>
        </w:tc>
        <w:tc>
          <w:tcPr>
            <w:tcW w:w="242" w:type="pct"/>
            <w:tcBorders>
              <w:top w:val="nil"/>
              <w:left w:val="nil"/>
              <w:bottom w:val="single" w:color="auto" w:sz="4" w:space="0"/>
              <w:right w:val="single" w:color="auto" w:sz="4" w:space="0"/>
            </w:tcBorders>
            <w:vAlign w:val="center"/>
          </w:tcPr>
          <w:p w14:paraId="082FCD23">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类别</w:t>
            </w:r>
          </w:p>
        </w:tc>
        <w:tc>
          <w:tcPr>
            <w:tcW w:w="402" w:type="pct"/>
            <w:tcBorders>
              <w:top w:val="nil"/>
              <w:left w:val="nil"/>
              <w:bottom w:val="single" w:color="auto" w:sz="4" w:space="0"/>
              <w:right w:val="single" w:color="auto" w:sz="4" w:space="0"/>
            </w:tcBorders>
            <w:vAlign w:val="center"/>
          </w:tcPr>
          <w:p w14:paraId="2CDD717C">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检出结果</w:t>
            </w:r>
          </w:p>
        </w:tc>
        <w:tc>
          <w:tcPr>
            <w:tcW w:w="241" w:type="pct"/>
            <w:tcBorders>
              <w:top w:val="nil"/>
              <w:left w:val="nil"/>
              <w:bottom w:val="single" w:color="auto" w:sz="4" w:space="0"/>
              <w:right w:val="single" w:color="auto" w:sz="4" w:space="0"/>
            </w:tcBorders>
            <w:vAlign w:val="center"/>
          </w:tcPr>
          <w:p w14:paraId="46577D9C">
            <w:pPr>
              <w:widowControl/>
              <w:spacing w:line="240" w:lineRule="auto"/>
              <w:ind w:firstLine="0" w:firstLineChars="0"/>
              <w:jc w:val="center"/>
              <w:rPr>
                <w:rFonts w:cs="Times New Roman"/>
                <w:b/>
                <w:bCs/>
                <w:color w:val="000000"/>
                <w:kern w:val="0"/>
                <w:sz w:val="21"/>
                <w:szCs w:val="21"/>
                <w14:ligatures w14:val="none"/>
              </w:rPr>
            </w:pPr>
            <w:r>
              <w:rPr>
                <w:rFonts w:cs="Times New Roman"/>
                <w:b/>
                <w:bCs/>
                <w:color w:val="000000"/>
                <w:kern w:val="0"/>
                <w:sz w:val="21"/>
                <w:szCs w:val="21"/>
                <w14:ligatures w14:val="none"/>
              </w:rPr>
              <w:t>类别</w:t>
            </w:r>
          </w:p>
        </w:tc>
      </w:tr>
      <w:tr w14:paraId="33819C06">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6CABEC9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pH</w:t>
            </w:r>
            <w:r>
              <w:rPr>
                <w:rFonts w:cs="Times New Roman"/>
                <w:color w:val="000000"/>
                <w:kern w:val="0"/>
                <w:sz w:val="21"/>
                <w:szCs w:val="21"/>
                <w14:ligatures w14:val="none"/>
              </w:rPr>
              <w:t>值</w:t>
            </w:r>
          </w:p>
        </w:tc>
        <w:tc>
          <w:tcPr>
            <w:tcW w:w="507" w:type="pct"/>
            <w:tcBorders>
              <w:top w:val="nil"/>
              <w:left w:val="nil"/>
              <w:bottom w:val="single" w:color="auto" w:sz="4" w:space="0"/>
              <w:right w:val="single" w:color="auto" w:sz="4" w:space="0"/>
            </w:tcBorders>
            <w:vAlign w:val="center"/>
          </w:tcPr>
          <w:p w14:paraId="1AA033B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无量纲</w:t>
            </w:r>
          </w:p>
        </w:tc>
        <w:tc>
          <w:tcPr>
            <w:tcW w:w="424" w:type="pct"/>
            <w:tcBorders>
              <w:top w:val="nil"/>
              <w:left w:val="nil"/>
              <w:bottom w:val="single" w:color="auto" w:sz="4" w:space="0"/>
              <w:right w:val="single" w:color="auto" w:sz="4" w:space="0"/>
            </w:tcBorders>
            <w:vAlign w:val="center"/>
          </w:tcPr>
          <w:p w14:paraId="0EEC219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7.7</w:t>
            </w:r>
          </w:p>
        </w:tc>
        <w:tc>
          <w:tcPr>
            <w:tcW w:w="255" w:type="pct"/>
            <w:tcBorders>
              <w:top w:val="nil"/>
              <w:left w:val="nil"/>
              <w:bottom w:val="single" w:color="auto" w:sz="4" w:space="0"/>
              <w:right w:val="single" w:color="auto" w:sz="4" w:space="0"/>
            </w:tcBorders>
            <w:vAlign w:val="center"/>
          </w:tcPr>
          <w:p w14:paraId="13D13CE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5D193ED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7.4</w:t>
            </w:r>
          </w:p>
        </w:tc>
        <w:tc>
          <w:tcPr>
            <w:tcW w:w="255" w:type="pct"/>
            <w:tcBorders>
              <w:top w:val="nil"/>
              <w:left w:val="nil"/>
              <w:bottom w:val="single" w:color="auto" w:sz="4" w:space="0"/>
              <w:right w:val="single" w:color="auto" w:sz="4" w:space="0"/>
            </w:tcBorders>
            <w:vAlign w:val="center"/>
          </w:tcPr>
          <w:p w14:paraId="2C8D3D7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417BB2E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7.6</w:t>
            </w:r>
          </w:p>
        </w:tc>
        <w:tc>
          <w:tcPr>
            <w:tcW w:w="242" w:type="pct"/>
            <w:tcBorders>
              <w:top w:val="nil"/>
              <w:left w:val="nil"/>
              <w:bottom w:val="single" w:color="auto" w:sz="4" w:space="0"/>
              <w:right w:val="single" w:color="auto" w:sz="4" w:space="0"/>
            </w:tcBorders>
            <w:vAlign w:val="center"/>
          </w:tcPr>
          <w:p w14:paraId="418B3C5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1597533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7.4</w:t>
            </w:r>
          </w:p>
        </w:tc>
        <w:tc>
          <w:tcPr>
            <w:tcW w:w="242" w:type="pct"/>
            <w:tcBorders>
              <w:top w:val="nil"/>
              <w:left w:val="nil"/>
              <w:bottom w:val="single" w:color="auto" w:sz="4" w:space="0"/>
              <w:right w:val="single" w:color="auto" w:sz="4" w:space="0"/>
            </w:tcBorders>
            <w:vAlign w:val="center"/>
          </w:tcPr>
          <w:p w14:paraId="69611F6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4DFDAC5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7.3</w:t>
            </w:r>
          </w:p>
        </w:tc>
        <w:tc>
          <w:tcPr>
            <w:tcW w:w="242" w:type="pct"/>
            <w:tcBorders>
              <w:top w:val="nil"/>
              <w:left w:val="nil"/>
              <w:bottom w:val="single" w:color="auto" w:sz="4" w:space="0"/>
              <w:right w:val="single" w:color="auto" w:sz="4" w:space="0"/>
            </w:tcBorders>
            <w:vAlign w:val="center"/>
          </w:tcPr>
          <w:p w14:paraId="17CA941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519F756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7.3</w:t>
            </w:r>
          </w:p>
        </w:tc>
        <w:tc>
          <w:tcPr>
            <w:tcW w:w="241" w:type="pct"/>
            <w:tcBorders>
              <w:top w:val="nil"/>
              <w:left w:val="nil"/>
              <w:bottom w:val="single" w:color="auto" w:sz="4" w:space="0"/>
              <w:right w:val="single" w:color="auto" w:sz="4" w:space="0"/>
            </w:tcBorders>
          </w:tcPr>
          <w:p w14:paraId="6D676B0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4B77BD90">
        <w:tblPrEx>
          <w:tblCellMar>
            <w:top w:w="0" w:type="dxa"/>
            <w:left w:w="108" w:type="dxa"/>
            <w:bottom w:w="0" w:type="dxa"/>
            <w:right w:w="108" w:type="dxa"/>
          </w:tblCellMar>
        </w:tblPrEx>
        <w:trPr>
          <w:trHeight w:val="341" w:hRule="atLeast"/>
        </w:trPr>
        <w:tc>
          <w:tcPr>
            <w:tcW w:w="560" w:type="pct"/>
            <w:tcBorders>
              <w:top w:val="nil"/>
              <w:left w:val="single" w:color="auto" w:sz="4" w:space="0"/>
              <w:bottom w:val="single" w:color="auto" w:sz="4" w:space="0"/>
              <w:right w:val="single" w:color="auto" w:sz="4" w:space="0"/>
            </w:tcBorders>
            <w:vAlign w:val="center"/>
          </w:tcPr>
          <w:p w14:paraId="0E4B59B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总大肠菌群</w:t>
            </w:r>
          </w:p>
        </w:tc>
        <w:tc>
          <w:tcPr>
            <w:tcW w:w="507" w:type="pct"/>
            <w:tcBorders>
              <w:top w:val="nil"/>
              <w:left w:val="nil"/>
              <w:bottom w:val="single" w:color="auto" w:sz="4" w:space="0"/>
              <w:right w:val="single" w:color="auto" w:sz="4" w:space="0"/>
            </w:tcBorders>
            <w:vAlign w:val="center"/>
          </w:tcPr>
          <w:p w14:paraId="7BBE6D0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MPN/100mL</w:t>
            </w:r>
          </w:p>
        </w:tc>
        <w:tc>
          <w:tcPr>
            <w:tcW w:w="424" w:type="pct"/>
            <w:tcBorders>
              <w:top w:val="nil"/>
              <w:left w:val="nil"/>
              <w:bottom w:val="single" w:color="auto" w:sz="4" w:space="0"/>
              <w:right w:val="single" w:color="auto" w:sz="4" w:space="0"/>
            </w:tcBorders>
            <w:vAlign w:val="center"/>
          </w:tcPr>
          <w:p w14:paraId="536A207A">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未检出</w:t>
            </w:r>
          </w:p>
        </w:tc>
        <w:tc>
          <w:tcPr>
            <w:tcW w:w="255" w:type="pct"/>
            <w:tcBorders>
              <w:top w:val="nil"/>
              <w:left w:val="nil"/>
              <w:bottom w:val="single" w:color="auto" w:sz="4" w:space="0"/>
              <w:right w:val="single" w:color="auto" w:sz="4" w:space="0"/>
            </w:tcBorders>
            <w:vAlign w:val="center"/>
          </w:tcPr>
          <w:p w14:paraId="296CCE4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4E331B9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未检出</w:t>
            </w:r>
          </w:p>
        </w:tc>
        <w:tc>
          <w:tcPr>
            <w:tcW w:w="255" w:type="pct"/>
            <w:tcBorders>
              <w:top w:val="nil"/>
              <w:left w:val="nil"/>
              <w:bottom w:val="single" w:color="auto" w:sz="4" w:space="0"/>
              <w:right w:val="single" w:color="auto" w:sz="4" w:space="0"/>
            </w:tcBorders>
            <w:vAlign w:val="center"/>
          </w:tcPr>
          <w:p w14:paraId="19B7465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2712CF40">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未检出</w:t>
            </w:r>
          </w:p>
        </w:tc>
        <w:tc>
          <w:tcPr>
            <w:tcW w:w="242" w:type="pct"/>
            <w:tcBorders>
              <w:top w:val="nil"/>
              <w:left w:val="nil"/>
              <w:bottom w:val="single" w:color="auto" w:sz="4" w:space="0"/>
              <w:right w:val="single" w:color="auto" w:sz="4" w:space="0"/>
            </w:tcBorders>
            <w:vAlign w:val="center"/>
          </w:tcPr>
          <w:p w14:paraId="17A59AF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473627C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未检出</w:t>
            </w:r>
          </w:p>
        </w:tc>
        <w:tc>
          <w:tcPr>
            <w:tcW w:w="242" w:type="pct"/>
            <w:tcBorders>
              <w:top w:val="nil"/>
              <w:left w:val="nil"/>
              <w:bottom w:val="single" w:color="auto" w:sz="4" w:space="0"/>
              <w:right w:val="single" w:color="auto" w:sz="4" w:space="0"/>
            </w:tcBorders>
            <w:vAlign w:val="center"/>
          </w:tcPr>
          <w:p w14:paraId="03A1E74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75322F4F">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未检出</w:t>
            </w:r>
          </w:p>
        </w:tc>
        <w:tc>
          <w:tcPr>
            <w:tcW w:w="242" w:type="pct"/>
            <w:tcBorders>
              <w:top w:val="nil"/>
              <w:left w:val="nil"/>
              <w:bottom w:val="single" w:color="auto" w:sz="4" w:space="0"/>
              <w:right w:val="single" w:color="auto" w:sz="4" w:space="0"/>
            </w:tcBorders>
            <w:vAlign w:val="center"/>
          </w:tcPr>
          <w:p w14:paraId="214DE37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441BDFC9">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未检出</w:t>
            </w:r>
          </w:p>
        </w:tc>
        <w:tc>
          <w:tcPr>
            <w:tcW w:w="241" w:type="pct"/>
            <w:tcBorders>
              <w:top w:val="nil"/>
              <w:left w:val="nil"/>
              <w:bottom w:val="single" w:color="auto" w:sz="4" w:space="0"/>
              <w:right w:val="single" w:color="auto" w:sz="4" w:space="0"/>
            </w:tcBorders>
          </w:tcPr>
          <w:p w14:paraId="7C650B8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7C1EFF06">
        <w:tblPrEx>
          <w:tblCellMar>
            <w:top w:w="0" w:type="dxa"/>
            <w:left w:w="108" w:type="dxa"/>
            <w:bottom w:w="0" w:type="dxa"/>
            <w:right w:w="108" w:type="dxa"/>
          </w:tblCellMar>
        </w:tblPrEx>
        <w:trPr>
          <w:trHeight w:val="261" w:hRule="atLeast"/>
        </w:trPr>
        <w:tc>
          <w:tcPr>
            <w:tcW w:w="560" w:type="pct"/>
            <w:tcBorders>
              <w:top w:val="nil"/>
              <w:left w:val="single" w:color="auto" w:sz="4" w:space="0"/>
              <w:bottom w:val="single" w:color="auto" w:sz="4" w:space="0"/>
              <w:right w:val="single" w:color="auto" w:sz="4" w:space="0"/>
            </w:tcBorders>
            <w:vAlign w:val="center"/>
          </w:tcPr>
          <w:p w14:paraId="4BB02BD5">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细菌总数</w:t>
            </w:r>
          </w:p>
        </w:tc>
        <w:tc>
          <w:tcPr>
            <w:tcW w:w="507" w:type="pct"/>
            <w:tcBorders>
              <w:top w:val="nil"/>
              <w:left w:val="nil"/>
              <w:bottom w:val="single" w:color="auto" w:sz="4" w:space="0"/>
              <w:right w:val="single" w:color="auto" w:sz="4" w:space="0"/>
            </w:tcBorders>
            <w:vAlign w:val="center"/>
          </w:tcPr>
          <w:p w14:paraId="408E612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CFU/100mL</w:t>
            </w:r>
          </w:p>
        </w:tc>
        <w:tc>
          <w:tcPr>
            <w:tcW w:w="424" w:type="pct"/>
            <w:tcBorders>
              <w:top w:val="nil"/>
              <w:left w:val="nil"/>
              <w:bottom w:val="single" w:color="auto" w:sz="4" w:space="0"/>
              <w:right w:val="single" w:color="auto" w:sz="4" w:space="0"/>
            </w:tcBorders>
            <w:vAlign w:val="center"/>
          </w:tcPr>
          <w:p w14:paraId="3131AF5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74</w:t>
            </w:r>
          </w:p>
        </w:tc>
        <w:tc>
          <w:tcPr>
            <w:tcW w:w="255" w:type="pct"/>
            <w:tcBorders>
              <w:top w:val="nil"/>
              <w:left w:val="nil"/>
              <w:bottom w:val="single" w:color="auto" w:sz="4" w:space="0"/>
              <w:right w:val="single" w:color="auto" w:sz="4" w:space="0"/>
            </w:tcBorders>
            <w:vAlign w:val="center"/>
          </w:tcPr>
          <w:p w14:paraId="5A1F9F5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0A30186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67</w:t>
            </w:r>
          </w:p>
        </w:tc>
        <w:tc>
          <w:tcPr>
            <w:tcW w:w="255" w:type="pct"/>
            <w:tcBorders>
              <w:top w:val="nil"/>
              <w:left w:val="nil"/>
              <w:bottom w:val="single" w:color="auto" w:sz="4" w:space="0"/>
              <w:right w:val="single" w:color="auto" w:sz="4" w:space="0"/>
            </w:tcBorders>
            <w:vAlign w:val="center"/>
          </w:tcPr>
          <w:p w14:paraId="72242A4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707725A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56</w:t>
            </w:r>
          </w:p>
        </w:tc>
        <w:tc>
          <w:tcPr>
            <w:tcW w:w="242" w:type="pct"/>
            <w:tcBorders>
              <w:top w:val="nil"/>
              <w:left w:val="nil"/>
              <w:bottom w:val="single" w:color="auto" w:sz="4" w:space="0"/>
              <w:right w:val="single" w:color="auto" w:sz="4" w:space="0"/>
            </w:tcBorders>
            <w:vAlign w:val="center"/>
          </w:tcPr>
          <w:p w14:paraId="25ED8B7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250BDC1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62</w:t>
            </w:r>
          </w:p>
        </w:tc>
        <w:tc>
          <w:tcPr>
            <w:tcW w:w="242" w:type="pct"/>
            <w:tcBorders>
              <w:top w:val="nil"/>
              <w:left w:val="nil"/>
              <w:bottom w:val="single" w:color="auto" w:sz="4" w:space="0"/>
              <w:right w:val="single" w:color="auto" w:sz="4" w:space="0"/>
            </w:tcBorders>
            <w:vAlign w:val="center"/>
          </w:tcPr>
          <w:p w14:paraId="530787B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62ED7E9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51</w:t>
            </w:r>
          </w:p>
        </w:tc>
        <w:tc>
          <w:tcPr>
            <w:tcW w:w="242" w:type="pct"/>
            <w:tcBorders>
              <w:top w:val="nil"/>
              <w:left w:val="nil"/>
              <w:bottom w:val="single" w:color="auto" w:sz="4" w:space="0"/>
              <w:right w:val="single" w:color="auto" w:sz="4" w:space="0"/>
            </w:tcBorders>
            <w:vAlign w:val="center"/>
          </w:tcPr>
          <w:p w14:paraId="4C1F742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6DB6CBB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36</w:t>
            </w:r>
          </w:p>
        </w:tc>
        <w:tc>
          <w:tcPr>
            <w:tcW w:w="241" w:type="pct"/>
            <w:tcBorders>
              <w:top w:val="nil"/>
              <w:left w:val="nil"/>
              <w:bottom w:val="single" w:color="auto" w:sz="4" w:space="0"/>
              <w:right w:val="single" w:color="auto" w:sz="4" w:space="0"/>
            </w:tcBorders>
          </w:tcPr>
          <w:p w14:paraId="18B1E80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6D019525">
        <w:tblPrEx>
          <w:tblCellMar>
            <w:top w:w="0" w:type="dxa"/>
            <w:left w:w="108" w:type="dxa"/>
            <w:bottom w:w="0" w:type="dxa"/>
            <w:right w:w="108" w:type="dxa"/>
          </w:tblCellMar>
        </w:tblPrEx>
        <w:trPr>
          <w:trHeight w:val="330" w:hRule="atLeast"/>
        </w:trPr>
        <w:tc>
          <w:tcPr>
            <w:tcW w:w="560" w:type="pct"/>
            <w:tcBorders>
              <w:top w:val="nil"/>
              <w:left w:val="single" w:color="auto" w:sz="4" w:space="0"/>
              <w:bottom w:val="single" w:color="auto" w:sz="4" w:space="0"/>
              <w:right w:val="single" w:color="auto" w:sz="4" w:space="0"/>
            </w:tcBorders>
            <w:vAlign w:val="center"/>
          </w:tcPr>
          <w:p w14:paraId="4C2A890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K</w:t>
            </w:r>
            <w:r>
              <w:rPr>
                <w:rFonts w:eastAsia="等线" w:cs="Times New Roman"/>
                <w:color w:val="000000"/>
                <w:kern w:val="0"/>
                <w:sz w:val="21"/>
                <w:szCs w:val="21"/>
                <w:vertAlign w:val="superscript"/>
                <w14:ligatures w14:val="none"/>
              </w:rPr>
              <w:t>+</w:t>
            </w:r>
          </w:p>
        </w:tc>
        <w:tc>
          <w:tcPr>
            <w:tcW w:w="507" w:type="pct"/>
            <w:tcBorders>
              <w:top w:val="nil"/>
              <w:left w:val="nil"/>
              <w:bottom w:val="single" w:color="auto" w:sz="4" w:space="0"/>
              <w:right w:val="single" w:color="auto" w:sz="4" w:space="0"/>
            </w:tcBorders>
            <w:vAlign w:val="center"/>
          </w:tcPr>
          <w:p w14:paraId="16D6E71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4D6B731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0.32</w:t>
            </w:r>
          </w:p>
        </w:tc>
        <w:tc>
          <w:tcPr>
            <w:tcW w:w="255" w:type="pct"/>
            <w:tcBorders>
              <w:top w:val="nil"/>
              <w:left w:val="nil"/>
              <w:bottom w:val="single" w:color="auto" w:sz="4" w:space="0"/>
              <w:right w:val="single" w:color="auto" w:sz="4" w:space="0"/>
            </w:tcBorders>
            <w:vAlign w:val="center"/>
          </w:tcPr>
          <w:p w14:paraId="2E2BBD4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24" w:type="pct"/>
            <w:tcBorders>
              <w:top w:val="nil"/>
              <w:left w:val="nil"/>
              <w:bottom w:val="single" w:color="auto" w:sz="4" w:space="0"/>
              <w:right w:val="single" w:color="auto" w:sz="4" w:space="0"/>
            </w:tcBorders>
            <w:vAlign w:val="center"/>
          </w:tcPr>
          <w:p w14:paraId="5F09514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0.33</w:t>
            </w:r>
          </w:p>
        </w:tc>
        <w:tc>
          <w:tcPr>
            <w:tcW w:w="255" w:type="pct"/>
            <w:tcBorders>
              <w:top w:val="nil"/>
              <w:left w:val="nil"/>
              <w:bottom w:val="single" w:color="auto" w:sz="4" w:space="0"/>
              <w:right w:val="single" w:color="auto" w:sz="4" w:space="0"/>
            </w:tcBorders>
            <w:vAlign w:val="center"/>
          </w:tcPr>
          <w:p w14:paraId="037F7CF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4CE8D7D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0.33</w:t>
            </w:r>
          </w:p>
        </w:tc>
        <w:tc>
          <w:tcPr>
            <w:tcW w:w="242" w:type="pct"/>
            <w:tcBorders>
              <w:top w:val="nil"/>
              <w:left w:val="nil"/>
              <w:bottom w:val="single" w:color="auto" w:sz="4" w:space="0"/>
              <w:right w:val="single" w:color="auto" w:sz="4" w:space="0"/>
            </w:tcBorders>
            <w:vAlign w:val="center"/>
          </w:tcPr>
          <w:p w14:paraId="1BADD02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7616B7E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0.36</w:t>
            </w:r>
          </w:p>
        </w:tc>
        <w:tc>
          <w:tcPr>
            <w:tcW w:w="242" w:type="pct"/>
            <w:tcBorders>
              <w:top w:val="nil"/>
              <w:left w:val="nil"/>
              <w:bottom w:val="single" w:color="auto" w:sz="4" w:space="0"/>
              <w:right w:val="single" w:color="auto" w:sz="4" w:space="0"/>
            </w:tcBorders>
            <w:vAlign w:val="center"/>
          </w:tcPr>
          <w:p w14:paraId="609A66B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1E64860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0.3</w:t>
            </w:r>
          </w:p>
        </w:tc>
        <w:tc>
          <w:tcPr>
            <w:tcW w:w="242" w:type="pct"/>
            <w:tcBorders>
              <w:top w:val="nil"/>
              <w:left w:val="nil"/>
              <w:bottom w:val="single" w:color="auto" w:sz="4" w:space="0"/>
              <w:right w:val="single" w:color="auto" w:sz="4" w:space="0"/>
            </w:tcBorders>
            <w:vAlign w:val="center"/>
          </w:tcPr>
          <w:p w14:paraId="11768FD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tcPr>
          <w:p w14:paraId="0C77ED2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0.8</w:t>
            </w:r>
          </w:p>
        </w:tc>
        <w:tc>
          <w:tcPr>
            <w:tcW w:w="241" w:type="pct"/>
            <w:tcBorders>
              <w:top w:val="nil"/>
              <w:left w:val="nil"/>
              <w:bottom w:val="single" w:color="auto" w:sz="4" w:space="0"/>
              <w:right w:val="single" w:color="auto" w:sz="4" w:space="0"/>
            </w:tcBorders>
          </w:tcPr>
          <w:p w14:paraId="6FD22C7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r>
      <w:tr w14:paraId="337FEAA0">
        <w:tblPrEx>
          <w:tblCellMar>
            <w:top w:w="0" w:type="dxa"/>
            <w:left w:w="108" w:type="dxa"/>
            <w:bottom w:w="0" w:type="dxa"/>
            <w:right w:w="108" w:type="dxa"/>
          </w:tblCellMar>
        </w:tblPrEx>
        <w:trPr>
          <w:trHeight w:val="330" w:hRule="atLeast"/>
        </w:trPr>
        <w:tc>
          <w:tcPr>
            <w:tcW w:w="560" w:type="pct"/>
            <w:tcBorders>
              <w:top w:val="nil"/>
              <w:left w:val="single" w:color="auto" w:sz="4" w:space="0"/>
              <w:bottom w:val="single" w:color="auto" w:sz="4" w:space="0"/>
              <w:right w:val="single" w:color="auto" w:sz="4" w:space="0"/>
            </w:tcBorders>
            <w:vAlign w:val="center"/>
          </w:tcPr>
          <w:p w14:paraId="70C38F4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Na</w:t>
            </w:r>
            <w:r>
              <w:rPr>
                <w:rFonts w:eastAsia="等线" w:cs="Times New Roman"/>
                <w:color w:val="000000"/>
                <w:kern w:val="0"/>
                <w:sz w:val="21"/>
                <w:szCs w:val="21"/>
                <w:vertAlign w:val="superscript"/>
                <w14:ligatures w14:val="none"/>
              </w:rPr>
              <w:t>+</w:t>
            </w:r>
          </w:p>
        </w:tc>
        <w:tc>
          <w:tcPr>
            <w:tcW w:w="507" w:type="pct"/>
            <w:tcBorders>
              <w:top w:val="nil"/>
              <w:left w:val="nil"/>
              <w:bottom w:val="single" w:color="auto" w:sz="4" w:space="0"/>
              <w:right w:val="single" w:color="auto" w:sz="4" w:space="0"/>
            </w:tcBorders>
            <w:vAlign w:val="center"/>
          </w:tcPr>
          <w:p w14:paraId="195C3A6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0238A63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7.44</w:t>
            </w:r>
          </w:p>
        </w:tc>
        <w:tc>
          <w:tcPr>
            <w:tcW w:w="255" w:type="pct"/>
            <w:tcBorders>
              <w:top w:val="nil"/>
              <w:left w:val="nil"/>
              <w:bottom w:val="single" w:color="auto" w:sz="4" w:space="0"/>
              <w:right w:val="single" w:color="auto" w:sz="4" w:space="0"/>
            </w:tcBorders>
            <w:vAlign w:val="center"/>
          </w:tcPr>
          <w:p w14:paraId="524DFD1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24" w:type="pct"/>
            <w:tcBorders>
              <w:top w:val="nil"/>
              <w:left w:val="nil"/>
              <w:bottom w:val="single" w:color="auto" w:sz="4" w:space="0"/>
              <w:right w:val="single" w:color="auto" w:sz="4" w:space="0"/>
            </w:tcBorders>
            <w:vAlign w:val="center"/>
          </w:tcPr>
          <w:p w14:paraId="14F395D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9.88</w:t>
            </w:r>
          </w:p>
        </w:tc>
        <w:tc>
          <w:tcPr>
            <w:tcW w:w="255" w:type="pct"/>
            <w:tcBorders>
              <w:top w:val="nil"/>
              <w:left w:val="nil"/>
              <w:bottom w:val="single" w:color="auto" w:sz="4" w:space="0"/>
              <w:right w:val="single" w:color="auto" w:sz="4" w:space="0"/>
            </w:tcBorders>
            <w:vAlign w:val="center"/>
          </w:tcPr>
          <w:p w14:paraId="5FC8C10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33A14A6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10</w:t>
            </w:r>
          </w:p>
        </w:tc>
        <w:tc>
          <w:tcPr>
            <w:tcW w:w="242" w:type="pct"/>
            <w:tcBorders>
              <w:top w:val="nil"/>
              <w:left w:val="nil"/>
              <w:bottom w:val="single" w:color="auto" w:sz="4" w:space="0"/>
              <w:right w:val="single" w:color="auto" w:sz="4" w:space="0"/>
            </w:tcBorders>
            <w:vAlign w:val="center"/>
          </w:tcPr>
          <w:p w14:paraId="4DAF779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5F8B4AC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9.7</w:t>
            </w:r>
          </w:p>
        </w:tc>
        <w:tc>
          <w:tcPr>
            <w:tcW w:w="242" w:type="pct"/>
            <w:tcBorders>
              <w:top w:val="nil"/>
              <w:left w:val="nil"/>
              <w:bottom w:val="single" w:color="auto" w:sz="4" w:space="0"/>
              <w:right w:val="single" w:color="auto" w:sz="4" w:space="0"/>
            </w:tcBorders>
            <w:vAlign w:val="center"/>
          </w:tcPr>
          <w:p w14:paraId="7DC057E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56F85DA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8.5</w:t>
            </w:r>
          </w:p>
        </w:tc>
        <w:tc>
          <w:tcPr>
            <w:tcW w:w="242" w:type="pct"/>
            <w:tcBorders>
              <w:top w:val="nil"/>
              <w:left w:val="nil"/>
              <w:bottom w:val="single" w:color="auto" w:sz="4" w:space="0"/>
              <w:right w:val="single" w:color="auto" w:sz="4" w:space="0"/>
            </w:tcBorders>
            <w:vAlign w:val="center"/>
          </w:tcPr>
          <w:p w14:paraId="112DC6E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tcPr>
          <w:p w14:paraId="24337F3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33.2</w:t>
            </w:r>
          </w:p>
        </w:tc>
        <w:tc>
          <w:tcPr>
            <w:tcW w:w="241" w:type="pct"/>
            <w:tcBorders>
              <w:top w:val="nil"/>
              <w:left w:val="nil"/>
              <w:bottom w:val="single" w:color="auto" w:sz="4" w:space="0"/>
              <w:right w:val="single" w:color="auto" w:sz="4" w:space="0"/>
            </w:tcBorders>
          </w:tcPr>
          <w:p w14:paraId="66A3C31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r>
      <w:tr w14:paraId="6254F594">
        <w:tblPrEx>
          <w:tblCellMar>
            <w:top w:w="0" w:type="dxa"/>
            <w:left w:w="108" w:type="dxa"/>
            <w:bottom w:w="0" w:type="dxa"/>
            <w:right w:w="108" w:type="dxa"/>
          </w:tblCellMar>
        </w:tblPrEx>
        <w:trPr>
          <w:trHeight w:val="330" w:hRule="atLeast"/>
        </w:trPr>
        <w:tc>
          <w:tcPr>
            <w:tcW w:w="560" w:type="pct"/>
            <w:tcBorders>
              <w:top w:val="nil"/>
              <w:left w:val="single" w:color="auto" w:sz="4" w:space="0"/>
              <w:bottom w:val="single" w:color="auto" w:sz="4" w:space="0"/>
              <w:right w:val="single" w:color="auto" w:sz="4" w:space="0"/>
            </w:tcBorders>
            <w:vAlign w:val="center"/>
          </w:tcPr>
          <w:p w14:paraId="4D58C87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Ca</w:t>
            </w:r>
            <w:r>
              <w:rPr>
                <w:rFonts w:eastAsia="等线" w:cs="Times New Roman"/>
                <w:color w:val="000000"/>
                <w:kern w:val="0"/>
                <w:sz w:val="21"/>
                <w:szCs w:val="21"/>
                <w:vertAlign w:val="superscript"/>
                <w14:ligatures w14:val="none"/>
              </w:rPr>
              <w:t>2+</w:t>
            </w:r>
          </w:p>
        </w:tc>
        <w:tc>
          <w:tcPr>
            <w:tcW w:w="507" w:type="pct"/>
            <w:tcBorders>
              <w:top w:val="nil"/>
              <w:left w:val="nil"/>
              <w:bottom w:val="single" w:color="auto" w:sz="4" w:space="0"/>
              <w:right w:val="single" w:color="auto" w:sz="4" w:space="0"/>
            </w:tcBorders>
            <w:vAlign w:val="center"/>
          </w:tcPr>
          <w:p w14:paraId="620FCDA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1352727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19.4</w:t>
            </w:r>
          </w:p>
        </w:tc>
        <w:tc>
          <w:tcPr>
            <w:tcW w:w="255" w:type="pct"/>
            <w:tcBorders>
              <w:top w:val="nil"/>
              <w:left w:val="nil"/>
              <w:bottom w:val="single" w:color="auto" w:sz="4" w:space="0"/>
              <w:right w:val="single" w:color="auto" w:sz="4" w:space="0"/>
            </w:tcBorders>
            <w:vAlign w:val="center"/>
          </w:tcPr>
          <w:p w14:paraId="5CFEFCE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24" w:type="pct"/>
            <w:tcBorders>
              <w:top w:val="nil"/>
              <w:left w:val="nil"/>
              <w:bottom w:val="single" w:color="auto" w:sz="4" w:space="0"/>
              <w:right w:val="single" w:color="auto" w:sz="4" w:space="0"/>
            </w:tcBorders>
            <w:vAlign w:val="center"/>
          </w:tcPr>
          <w:p w14:paraId="3D39EFE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21.1</w:t>
            </w:r>
          </w:p>
        </w:tc>
        <w:tc>
          <w:tcPr>
            <w:tcW w:w="255" w:type="pct"/>
            <w:tcBorders>
              <w:top w:val="nil"/>
              <w:left w:val="nil"/>
              <w:bottom w:val="single" w:color="auto" w:sz="4" w:space="0"/>
              <w:right w:val="single" w:color="auto" w:sz="4" w:space="0"/>
            </w:tcBorders>
            <w:vAlign w:val="center"/>
          </w:tcPr>
          <w:p w14:paraId="72B6638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5A14819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21.9</w:t>
            </w:r>
          </w:p>
        </w:tc>
        <w:tc>
          <w:tcPr>
            <w:tcW w:w="242" w:type="pct"/>
            <w:tcBorders>
              <w:top w:val="nil"/>
              <w:left w:val="nil"/>
              <w:bottom w:val="single" w:color="auto" w:sz="4" w:space="0"/>
              <w:right w:val="single" w:color="auto" w:sz="4" w:space="0"/>
            </w:tcBorders>
            <w:vAlign w:val="center"/>
          </w:tcPr>
          <w:p w14:paraId="5FBB5D9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3202090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24</w:t>
            </w:r>
          </w:p>
        </w:tc>
        <w:tc>
          <w:tcPr>
            <w:tcW w:w="242" w:type="pct"/>
            <w:tcBorders>
              <w:top w:val="nil"/>
              <w:left w:val="nil"/>
              <w:bottom w:val="single" w:color="auto" w:sz="4" w:space="0"/>
              <w:right w:val="single" w:color="auto" w:sz="4" w:space="0"/>
            </w:tcBorders>
            <w:vAlign w:val="center"/>
          </w:tcPr>
          <w:p w14:paraId="13211A9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78063D3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21.2</w:t>
            </w:r>
          </w:p>
        </w:tc>
        <w:tc>
          <w:tcPr>
            <w:tcW w:w="242" w:type="pct"/>
            <w:tcBorders>
              <w:top w:val="nil"/>
              <w:left w:val="nil"/>
              <w:bottom w:val="single" w:color="auto" w:sz="4" w:space="0"/>
              <w:right w:val="single" w:color="auto" w:sz="4" w:space="0"/>
            </w:tcBorders>
            <w:vAlign w:val="center"/>
          </w:tcPr>
          <w:p w14:paraId="22684F5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tcPr>
          <w:p w14:paraId="16B7772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38.6</w:t>
            </w:r>
          </w:p>
        </w:tc>
        <w:tc>
          <w:tcPr>
            <w:tcW w:w="241" w:type="pct"/>
            <w:tcBorders>
              <w:top w:val="nil"/>
              <w:left w:val="nil"/>
              <w:bottom w:val="single" w:color="auto" w:sz="4" w:space="0"/>
              <w:right w:val="single" w:color="auto" w:sz="4" w:space="0"/>
            </w:tcBorders>
          </w:tcPr>
          <w:p w14:paraId="176394ED">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r>
      <w:tr w14:paraId="3E08109B">
        <w:tblPrEx>
          <w:tblCellMar>
            <w:top w:w="0" w:type="dxa"/>
            <w:left w:w="108" w:type="dxa"/>
            <w:bottom w:w="0" w:type="dxa"/>
            <w:right w:w="108" w:type="dxa"/>
          </w:tblCellMar>
        </w:tblPrEx>
        <w:trPr>
          <w:trHeight w:val="330" w:hRule="atLeast"/>
        </w:trPr>
        <w:tc>
          <w:tcPr>
            <w:tcW w:w="560" w:type="pct"/>
            <w:tcBorders>
              <w:top w:val="nil"/>
              <w:left w:val="single" w:color="auto" w:sz="4" w:space="0"/>
              <w:bottom w:val="single" w:color="auto" w:sz="4" w:space="0"/>
              <w:right w:val="single" w:color="auto" w:sz="4" w:space="0"/>
            </w:tcBorders>
            <w:vAlign w:val="center"/>
          </w:tcPr>
          <w:p w14:paraId="705E126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w:t>
            </w:r>
            <w:r>
              <w:rPr>
                <w:rFonts w:eastAsia="等线" w:cs="Times New Roman"/>
                <w:color w:val="000000"/>
                <w:kern w:val="0"/>
                <w:sz w:val="21"/>
                <w:szCs w:val="21"/>
                <w:vertAlign w:val="superscript"/>
                <w14:ligatures w14:val="none"/>
              </w:rPr>
              <w:t>2+</w:t>
            </w:r>
          </w:p>
        </w:tc>
        <w:tc>
          <w:tcPr>
            <w:tcW w:w="507" w:type="pct"/>
            <w:tcBorders>
              <w:top w:val="nil"/>
              <w:left w:val="nil"/>
              <w:bottom w:val="single" w:color="auto" w:sz="4" w:space="0"/>
              <w:right w:val="single" w:color="auto" w:sz="4" w:space="0"/>
            </w:tcBorders>
            <w:vAlign w:val="center"/>
          </w:tcPr>
          <w:p w14:paraId="63F5830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5CB0ED5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8.53</w:t>
            </w:r>
          </w:p>
        </w:tc>
        <w:tc>
          <w:tcPr>
            <w:tcW w:w="255" w:type="pct"/>
            <w:tcBorders>
              <w:top w:val="nil"/>
              <w:left w:val="nil"/>
              <w:bottom w:val="single" w:color="auto" w:sz="4" w:space="0"/>
              <w:right w:val="single" w:color="auto" w:sz="4" w:space="0"/>
            </w:tcBorders>
            <w:vAlign w:val="center"/>
          </w:tcPr>
          <w:p w14:paraId="0A8D691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24" w:type="pct"/>
            <w:tcBorders>
              <w:top w:val="nil"/>
              <w:left w:val="nil"/>
              <w:bottom w:val="single" w:color="auto" w:sz="4" w:space="0"/>
              <w:right w:val="single" w:color="auto" w:sz="4" w:space="0"/>
            </w:tcBorders>
            <w:vAlign w:val="center"/>
          </w:tcPr>
          <w:p w14:paraId="6E04517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9.32</w:t>
            </w:r>
          </w:p>
        </w:tc>
        <w:tc>
          <w:tcPr>
            <w:tcW w:w="255" w:type="pct"/>
            <w:tcBorders>
              <w:top w:val="nil"/>
              <w:left w:val="nil"/>
              <w:bottom w:val="single" w:color="auto" w:sz="4" w:space="0"/>
              <w:right w:val="single" w:color="auto" w:sz="4" w:space="0"/>
            </w:tcBorders>
            <w:vAlign w:val="center"/>
          </w:tcPr>
          <w:p w14:paraId="36B64D7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0AC5FB2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9.48</w:t>
            </w:r>
          </w:p>
        </w:tc>
        <w:tc>
          <w:tcPr>
            <w:tcW w:w="242" w:type="pct"/>
            <w:tcBorders>
              <w:top w:val="nil"/>
              <w:left w:val="nil"/>
              <w:bottom w:val="single" w:color="auto" w:sz="4" w:space="0"/>
              <w:right w:val="single" w:color="auto" w:sz="4" w:space="0"/>
            </w:tcBorders>
            <w:vAlign w:val="center"/>
          </w:tcPr>
          <w:p w14:paraId="684036B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027F215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10.1</w:t>
            </w:r>
          </w:p>
        </w:tc>
        <w:tc>
          <w:tcPr>
            <w:tcW w:w="242" w:type="pct"/>
            <w:tcBorders>
              <w:top w:val="nil"/>
              <w:left w:val="nil"/>
              <w:bottom w:val="single" w:color="auto" w:sz="4" w:space="0"/>
              <w:right w:val="single" w:color="auto" w:sz="4" w:space="0"/>
            </w:tcBorders>
            <w:vAlign w:val="center"/>
          </w:tcPr>
          <w:p w14:paraId="622F7FF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534D13C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9.3</w:t>
            </w:r>
          </w:p>
        </w:tc>
        <w:tc>
          <w:tcPr>
            <w:tcW w:w="242" w:type="pct"/>
            <w:tcBorders>
              <w:top w:val="nil"/>
              <w:left w:val="nil"/>
              <w:bottom w:val="single" w:color="auto" w:sz="4" w:space="0"/>
              <w:right w:val="single" w:color="auto" w:sz="4" w:space="0"/>
            </w:tcBorders>
            <w:vAlign w:val="center"/>
          </w:tcPr>
          <w:p w14:paraId="4EFBA89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tcPr>
          <w:p w14:paraId="278025D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12.6</w:t>
            </w:r>
          </w:p>
        </w:tc>
        <w:tc>
          <w:tcPr>
            <w:tcW w:w="241" w:type="pct"/>
            <w:tcBorders>
              <w:top w:val="nil"/>
              <w:left w:val="nil"/>
              <w:bottom w:val="single" w:color="auto" w:sz="4" w:space="0"/>
              <w:right w:val="single" w:color="auto" w:sz="4" w:space="0"/>
            </w:tcBorders>
          </w:tcPr>
          <w:p w14:paraId="7A377EC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r>
      <w:tr w14:paraId="4B961C32">
        <w:tblPrEx>
          <w:tblCellMar>
            <w:top w:w="0" w:type="dxa"/>
            <w:left w:w="108" w:type="dxa"/>
            <w:bottom w:w="0" w:type="dxa"/>
            <w:right w:w="108" w:type="dxa"/>
          </w:tblCellMar>
        </w:tblPrEx>
        <w:trPr>
          <w:trHeight w:val="345" w:hRule="atLeast"/>
        </w:trPr>
        <w:tc>
          <w:tcPr>
            <w:tcW w:w="560" w:type="pct"/>
            <w:tcBorders>
              <w:top w:val="nil"/>
              <w:left w:val="single" w:color="auto" w:sz="4" w:space="0"/>
              <w:bottom w:val="single" w:color="auto" w:sz="4" w:space="0"/>
              <w:right w:val="single" w:color="auto" w:sz="4" w:space="0"/>
            </w:tcBorders>
            <w:vAlign w:val="center"/>
          </w:tcPr>
          <w:p w14:paraId="5671E2A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CO</w:t>
            </w:r>
            <w:r>
              <w:rPr>
                <w:rFonts w:eastAsia="等线" w:cs="Times New Roman"/>
                <w:color w:val="000000"/>
                <w:kern w:val="0"/>
                <w:sz w:val="21"/>
                <w:szCs w:val="21"/>
                <w:vertAlign w:val="subscript"/>
                <w14:ligatures w14:val="none"/>
              </w:rPr>
              <w:t>3</w:t>
            </w:r>
            <w:r>
              <w:rPr>
                <w:rFonts w:eastAsia="等线" w:cs="Times New Roman"/>
                <w:color w:val="000000"/>
                <w:kern w:val="0"/>
                <w:sz w:val="21"/>
                <w:szCs w:val="21"/>
                <w:vertAlign w:val="superscript"/>
                <w14:ligatures w14:val="none"/>
              </w:rPr>
              <w:t>2-</w:t>
            </w:r>
          </w:p>
        </w:tc>
        <w:tc>
          <w:tcPr>
            <w:tcW w:w="507" w:type="pct"/>
            <w:tcBorders>
              <w:top w:val="nil"/>
              <w:left w:val="nil"/>
              <w:bottom w:val="single" w:color="auto" w:sz="4" w:space="0"/>
              <w:right w:val="single" w:color="auto" w:sz="4" w:space="0"/>
            </w:tcBorders>
            <w:vAlign w:val="center"/>
          </w:tcPr>
          <w:p w14:paraId="6A10DA1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238A76E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12001C4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24" w:type="pct"/>
            <w:tcBorders>
              <w:top w:val="nil"/>
              <w:left w:val="nil"/>
              <w:bottom w:val="single" w:color="auto" w:sz="4" w:space="0"/>
              <w:right w:val="single" w:color="auto" w:sz="4" w:space="0"/>
            </w:tcBorders>
            <w:vAlign w:val="center"/>
          </w:tcPr>
          <w:p w14:paraId="294A085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182EDA0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58702CD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62761C0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681F5C5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162751B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7D76FC4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58B9E47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tcPr>
          <w:p w14:paraId="6E7FC3C3">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241" w:type="pct"/>
            <w:tcBorders>
              <w:top w:val="nil"/>
              <w:left w:val="nil"/>
              <w:bottom w:val="single" w:color="auto" w:sz="4" w:space="0"/>
              <w:right w:val="single" w:color="auto" w:sz="4" w:space="0"/>
            </w:tcBorders>
          </w:tcPr>
          <w:p w14:paraId="3685F1B2">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r>
      <w:tr w14:paraId="0144AD59">
        <w:tblPrEx>
          <w:tblCellMar>
            <w:top w:w="0" w:type="dxa"/>
            <w:left w:w="108" w:type="dxa"/>
            <w:bottom w:w="0" w:type="dxa"/>
            <w:right w:w="108" w:type="dxa"/>
          </w:tblCellMar>
        </w:tblPrEx>
        <w:trPr>
          <w:trHeight w:val="345" w:hRule="atLeast"/>
        </w:trPr>
        <w:tc>
          <w:tcPr>
            <w:tcW w:w="560" w:type="pct"/>
            <w:tcBorders>
              <w:top w:val="nil"/>
              <w:left w:val="single" w:color="auto" w:sz="4" w:space="0"/>
              <w:bottom w:val="single" w:color="auto" w:sz="4" w:space="0"/>
              <w:right w:val="single" w:color="auto" w:sz="4" w:space="0"/>
            </w:tcBorders>
            <w:vAlign w:val="center"/>
          </w:tcPr>
          <w:p w14:paraId="58C47E8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HCO</w:t>
            </w:r>
            <w:r>
              <w:rPr>
                <w:rFonts w:eastAsia="等线" w:cs="Times New Roman"/>
                <w:color w:val="000000"/>
                <w:kern w:val="0"/>
                <w:sz w:val="21"/>
                <w:szCs w:val="21"/>
                <w:vertAlign w:val="subscript"/>
                <w14:ligatures w14:val="none"/>
              </w:rPr>
              <w:t>3</w:t>
            </w:r>
            <w:r>
              <w:rPr>
                <w:rFonts w:eastAsia="等线" w:cs="Times New Roman"/>
                <w:color w:val="000000"/>
                <w:kern w:val="0"/>
                <w:sz w:val="21"/>
                <w:szCs w:val="21"/>
                <w:vertAlign w:val="superscript"/>
                <w14:ligatures w14:val="none"/>
              </w:rPr>
              <w:t>-</w:t>
            </w:r>
          </w:p>
        </w:tc>
        <w:tc>
          <w:tcPr>
            <w:tcW w:w="507" w:type="pct"/>
            <w:tcBorders>
              <w:top w:val="nil"/>
              <w:left w:val="nil"/>
              <w:bottom w:val="single" w:color="auto" w:sz="4" w:space="0"/>
              <w:right w:val="single" w:color="auto" w:sz="4" w:space="0"/>
            </w:tcBorders>
            <w:vAlign w:val="center"/>
          </w:tcPr>
          <w:p w14:paraId="0537157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2D3FBCA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38</w:t>
            </w:r>
          </w:p>
        </w:tc>
        <w:tc>
          <w:tcPr>
            <w:tcW w:w="255" w:type="pct"/>
            <w:tcBorders>
              <w:top w:val="nil"/>
              <w:left w:val="nil"/>
              <w:bottom w:val="single" w:color="auto" w:sz="4" w:space="0"/>
              <w:right w:val="single" w:color="auto" w:sz="4" w:space="0"/>
            </w:tcBorders>
            <w:vAlign w:val="center"/>
          </w:tcPr>
          <w:p w14:paraId="0134B8D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24" w:type="pct"/>
            <w:tcBorders>
              <w:top w:val="nil"/>
              <w:left w:val="nil"/>
              <w:bottom w:val="single" w:color="auto" w:sz="4" w:space="0"/>
              <w:right w:val="single" w:color="auto" w:sz="4" w:space="0"/>
            </w:tcBorders>
            <w:vAlign w:val="center"/>
          </w:tcPr>
          <w:p w14:paraId="5EA3109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34</w:t>
            </w:r>
          </w:p>
        </w:tc>
        <w:tc>
          <w:tcPr>
            <w:tcW w:w="255" w:type="pct"/>
            <w:tcBorders>
              <w:top w:val="nil"/>
              <w:left w:val="nil"/>
              <w:bottom w:val="single" w:color="auto" w:sz="4" w:space="0"/>
              <w:right w:val="single" w:color="auto" w:sz="4" w:space="0"/>
            </w:tcBorders>
            <w:vAlign w:val="center"/>
          </w:tcPr>
          <w:p w14:paraId="30BFD1C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49DEFC8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32</w:t>
            </w:r>
          </w:p>
        </w:tc>
        <w:tc>
          <w:tcPr>
            <w:tcW w:w="242" w:type="pct"/>
            <w:tcBorders>
              <w:top w:val="nil"/>
              <w:left w:val="nil"/>
              <w:bottom w:val="single" w:color="auto" w:sz="4" w:space="0"/>
              <w:right w:val="single" w:color="auto" w:sz="4" w:space="0"/>
            </w:tcBorders>
            <w:vAlign w:val="center"/>
          </w:tcPr>
          <w:p w14:paraId="0A8ACD5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09F3631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40</w:t>
            </w:r>
          </w:p>
        </w:tc>
        <w:tc>
          <w:tcPr>
            <w:tcW w:w="242" w:type="pct"/>
            <w:tcBorders>
              <w:top w:val="nil"/>
              <w:left w:val="nil"/>
              <w:bottom w:val="single" w:color="auto" w:sz="4" w:space="0"/>
              <w:right w:val="single" w:color="auto" w:sz="4" w:space="0"/>
            </w:tcBorders>
            <w:vAlign w:val="center"/>
          </w:tcPr>
          <w:p w14:paraId="592D017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vAlign w:val="center"/>
          </w:tcPr>
          <w:p w14:paraId="2E9EB84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36</w:t>
            </w:r>
          </w:p>
        </w:tc>
        <w:tc>
          <w:tcPr>
            <w:tcW w:w="242" w:type="pct"/>
            <w:tcBorders>
              <w:top w:val="nil"/>
              <w:left w:val="nil"/>
              <w:bottom w:val="single" w:color="auto" w:sz="4" w:space="0"/>
              <w:right w:val="single" w:color="auto" w:sz="4" w:space="0"/>
            </w:tcBorders>
            <w:vAlign w:val="center"/>
          </w:tcPr>
          <w:p w14:paraId="1A0F770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w:t>
            </w:r>
          </w:p>
        </w:tc>
        <w:tc>
          <w:tcPr>
            <w:tcW w:w="402" w:type="pct"/>
            <w:tcBorders>
              <w:top w:val="nil"/>
              <w:left w:val="nil"/>
              <w:bottom w:val="single" w:color="auto" w:sz="4" w:space="0"/>
              <w:right w:val="single" w:color="auto" w:sz="4" w:space="0"/>
            </w:tcBorders>
          </w:tcPr>
          <w:p w14:paraId="5E55D9C0">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228</w:t>
            </w:r>
          </w:p>
        </w:tc>
        <w:tc>
          <w:tcPr>
            <w:tcW w:w="241" w:type="pct"/>
            <w:tcBorders>
              <w:top w:val="nil"/>
              <w:left w:val="nil"/>
              <w:bottom w:val="single" w:color="auto" w:sz="4" w:space="0"/>
              <w:right w:val="single" w:color="auto" w:sz="4" w:space="0"/>
            </w:tcBorders>
          </w:tcPr>
          <w:p w14:paraId="1E8F79E9">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w:t>
            </w:r>
          </w:p>
        </w:tc>
      </w:tr>
      <w:tr w14:paraId="2AFF7E7C">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42BAF0AB">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氯化物</w:t>
            </w:r>
          </w:p>
        </w:tc>
        <w:tc>
          <w:tcPr>
            <w:tcW w:w="507" w:type="pct"/>
            <w:tcBorders>
              <w:top w:val="nil"/>
              <w:left w:val="nil"/>
              <w:bottom w:val="single" w:color="auto" w:sz="4" w:space="0"/>
              <w:right w:val="single" w:color="auto" w:sz="4" w:space="0"/>
            </w:tcBorders>
            <w:vAlign w:val="center"/>
          </w:tcPr>
          <w:p w14:paraId="18AFB8F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285705A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5.8</w:t>
            </w:r>
          </w:p>
        </w:tc>
        <w:tc>
          <w:tcPr>
            <w:tcW w:w="255" w:type="pct"/>
            <w:tcBorders>
              <w:top w:val="nil"/>
              <w:left w:val="nil"/>
              <w:bottom w:val="single" w:color="auto" w:sz="4" w:space="0"/>
              <w:right w:val="single" w:color="auto" w:sz="4" w:space="0"/>
            </w:tcBorders>
            <w:vAlign w:val="center"/>
          </w:tcPr>
          <w:p w14:paraId="2D80235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27D9AF3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5.89</w:t>
            </w:r>
          </w:p>
        </w:tc>
        <w:tc>
          <w:tcPr>
            <w:tcW w:w="255" w:type="pct"/>
            <w:tcBorders>
              <w:top w:val="nil"/>
              <w:left w:val="nil"/>
              <w:bottom w:val="single" w:color="auto" w:sz="4" w:space="0"/>
              <w:right w:val="single" w:color="auto" w:sz="4" w:space="0"/>
            </w:tcBorders>
            <w:vAlign w:val="center"/>
          </w:tcPr>
          <w:p w14:paraId="65243B5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3A05F27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6.03</w:t>
            </w:r>
          </w:p>
        </w:tc>
        <w:tc>
          <w:tcPr>
            <w:tcW w:w="242" w:type="pct"/>
            <w:tcBorders>
              <w:top w:val="nil"/>
              <w:left w:val="nil"/>
              <w:bottom w:val="single" w:color="auto" w:sz="4" w:space="0"/>
              <w:right w:val="single" w:color="auto" w:sz="4" w:space="0"/>
            </w:tcBorders>
            <w:vAlign w:val="center"/>
          </w:tcPr>
          <w:p w14:paraId="11349CD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2A71F8D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5.77</w:t>
            </w:r>
          </w:p>
        </w:tc>
        <w:tc>
          <w:tcPr>
            <w:tcW w:w="242" w:type="pct"/>
            <w:tcBorders>
              <w:top w:val="nil"/>
              <w:left w:val="nil"/>
              <w:bottom w:val="single" w:color="auto" w:sz="4" w:space="0"/>
              <w:right w:val="single" w:color="auto" w:sz="4" w:space="0"/>
            </w:tcBorders>
            <w:vAlign w:val="center"/>
          </w:tcPr>
          <w:p w14:paraId="716418E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281D77F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5.54</w:t>
            </w:r>
          </w:p>
        </w:tc>
        <w:tc>
          <w:tcPr>
            <w:tcW w:w="242" w:type="pct"/>
            <w:tcBorders>
              <w:top w:val="nil"/>
              <w:left w:val="nil"/>
              <w:bottom w:val="single" w:color="auto" w:sz="4" w:space="0"/>
              <w:right w:val="single" w:color="auto" w:sz="4" w:space="0"/>
            </w:tcBorders>
            <w:vAlign w:val="center"/>
          </w:tcPr>
          <w:p w14:paraId="0D8F40C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4BB4DF2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33.2</w:t>
            </w:r>
          </w:p>
        </w:tc>
        <w:tc>
          <w:tcPr>
            <w:tcW w:w="241" w:type="pct"/>
            <w:tcBorders>
              <w:top w:val="nil"/>
              <w:left w:val="nil"/>
              <w:bottom w:val="single" w:color="auto" w:sz="4" w:space="0"/>
              <w:right w:val="single" w:color="auto" w:sz="4" w:space="0"/>
            </w:tcBorders>
          </w:tcPr>
          <w:p w14:paraId="74E25C6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532621FF">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26A43530">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硫酸盐</w:t>
            </w:r>
          </w:p>
        </w:tc>
        <w:tc>
          <w:tcPr>
            <w:tcW w:w="507" w:type="pct"/>
            <w:tcBorders>
              <w:top w:val="nil"/>
              <w:left w:val="nil"/>
              <w:bottom w:val="single" w:color="auto" w:sz="4" w:space="0"/>
              <w:right w:val="single" w:color="auto" w:sz="4" w:space="0"/>
            </w:tcBorders>
            <w:vAlign w:val="center"/>
          </w:tcPr>
          <w:p w14:paraId="049939A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054451A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35.3</w:t>
            </w:r>
          </w:p>
        </w:tc>
        <w:tc>
          <w:tcPr>
            <w:tcW w:w="255" w:type="pct"/>
            <w:tcBorders>
              <w:top w:val="nil"/>
              <w:left w:val="nil"/>
              <w:bottom w:val="single" w:color="auto" w:sz="4" w:space="0"/>
              <w:right w:val="single" w:color="auto" w:sz="4" w:space="0"/>
            </w:tcBorders>
            <w:vAlign w:val="center"/>
          </w:tcPr>
          <w:p w14:paraId="28FDDCD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2E0E2E8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35.8</w:t>
            </w:r>
          </w:p>
        </w:tc>
        <w:tc>
          <w:tcPr>
            <w:tcW w:w="255" w:type="pct"/>
            <w:tcBorders>
              <w:top w:val="nil"/>
              <w:left w:val="nil"/>
              <w:bottom w:val="single" w:color="auto" w:sz="4" w:space="0"/>
              <w:right w:val="single" w:color="auto" w:sz="4" w:space="0"/>
            </w:tcBorders>
            <w:vAlign w:val="center"/>
          </w:tcPr>
          <w:p w14:paraId="711AAAC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2716A30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36.9</w:t>
            </w:r>
          </w:p>
        </w:tc>
        <w:tc>
          <w:tcPr>
            <w:tcW w:w="242" w:type="pct"/>
            <w:tcBorders>
              <w:top w:val="nil"/>
              <w:left w:val="nil"/>
              <w:bottom w:val="single" w:color="auto" w:sz="4" w:space="0"/>
              <w:right w:val="single" w:color="auto" w:sz="4" w:space="0"/>
            </w:tcBorders>
            <w:vAlign w:val="center"/>
          </w:tcPr>
          <w:p w14:paraId="2A7944C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0951064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35.6</w:t>
            </w:r>
          </w:p>
        </w:tc>
        <w:tc>
          <w:tcPr>
            <w:tcW w:w="242" w:type="pct"/>
            <w:tcBorders>
              <w:top w:val="nil"/>
              <w:left w:val="nil"/>
              <w:bottom w:val="single" w:color="auto" w:sz="4" w:space="0"/>
              <w:right w:val="single" w:color="auto" w:sz="4" w:space="0"/>
            </w:tcBorders>
            <w:vAlign w:val="center"/>
          </w:tcPr>
          <w:p w14:paraId="04698B5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6012292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34.8</w:t>
            </w:r>
          </w:p>
        </w:tc>
        <w:tc>
          <w:tcPr>
            <w:tcW w:w="242" w:type="pct"/>
            <w:tcBorders>
              <w:top w:val="nil"/>
              <w:left w:val="nil"/>
              <w:bottom w:val="single" w:color="auto" w:sz="4" w:space="0"/>
              <w:right w:val="single" w:color="auto" w:sz="4" w:space="0"/>
            </w:tcBorders>
            <w:vAlign w:val="center"/>
          </w:tcPr>
          <w:p w14:paraId="33C23DC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3DC9998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18.2</w:t>
            </w:r>
          </w:p>
        </w:tc>
        <w:tc>
          <w:tcPr>
            <w:tcW w:w="241" w:type="pct"/>
            <w:tcBorders>
              <w:top w:val="nil"/>
              <w:left w:val="nil"/>
              <w:bottom w:val="single" w:color="auto" w:sz="4" w:space="0"/>
              <w:right w:val="single" w:color="auto" w:sz="4" w:space="0"/>
            </w:tcBorders>
          </w:tcPr>
          <w:p w14:paraId="7A13580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288D32DE">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78F318D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硝酸盐</w:t>
            </w:r>
          </w:p>
        </w:tc>
        <w:tc>
          <w:tcPr>
            <w:tcW w:w="507" w:type="pct"/>
            <w:tcBorders>
              <w:top w:val="nil"/>
              <w:left w:val="nil"/>
              <w:bottom w:val="single" w:color="auto" w:sz="4" w:space="0"/>
              <w:right w:val="single" w:color="auto" w:sz="4" w:space="0"/>
            </w:tcBorders>
            <w:vAlign w:val="center"/>
          </w:tcPr>
          <w:p w14:paraId="210DBF5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2772133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19.8</w:t>
            </w:r>
          </w:p>
        </w:tc>
        <w:tc>
          <w:tcPr>
            <w:tcW w:w="255" w:type="pct"/>
            <w:tcBorders>
              <w:top w:val="nil"/>
              <w:left w:val="nil"/>
              <w:bottom w:val="single" w:color="auto" w:sz="4" w:space="0"/>
              <w:right w:val="single" w:color="auto" w:sz="4" w:space="0"/>
            </w:tcBorders>
            <w:vAlign w:val="center"/>
          </w:tcPr>
          <w:p w14:paraId="5E572D8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24" w:type="pct"/>
            <w:tcBorders>
              <w:top w:val="nil"/>
              <w:left w:val="nil"/>
              <w:bottom w:val="single" w:color="auto" w:sz="4" w:space="0"/>
              <w:right w:val="single" w:color="auto" w:sz="4" w:space="0"/>
            </w:tcBorders>
            <w:vAlign w:val="center"/>
          </w:tcPr>
          <w:p w14:paraId="517B192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19.8</w:t>
            </w:r>
          </w:p>
        </w:tc>
        <w:tc>
          <w:tcPr>
            <w:tcW w:w="255" w:type="pct"/>
            <w:tcBorders>
              <w:top w:val="nil"/>
              <w:left w:val="nil"/>
              <w:bottom w:val="single" w:color="auto" w:sz="4" w:space="0"/>
              <w:right w:val="single" w:color="auto" w:sz="4" w:space="0"/>
            </w:tcBorders>
            <w:vAlign w:val="center"/>
          </w:tcPr>
          <w:p w14:paraId="7A81612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vAlign w:val="center"/>
          </w:tcPr>
          <w:p w14:paraId="50783F6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19.2</w:t>
            </w:r>
          </w:p>
        </w:tc>
        <w:tc>
          <w:tcPr>
            <w:tcW w:w="242" w:type="pct"/>
            <w:tcBorders>
              <w:top w:val="nil"/>
              <w:left w:val="nil"/>
              <w:bottom w:val="single" w:color="auto" w:sz="4" w:space="0"/>
              <w:right w:val="single" w:color="auto" w:sz="4" w:space="0"/>
            </w:tcBorders>
            <w:vAlign w:val="center"/>
          </w:tcPr>
          <w:p w14:paraId="3024209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vAlign w:val="center"/>
          </w:tcPr>
          <w:p w14:paraId="7503FF9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19.5</w:t>
            </w:r>
          </w:p>
        </w:tc>
        <w:tc>
          <w:tcPr>
            <w:tcW w:w="242" w:type="pct"/>
            <w:tcBorders>
              <w:top w:val="nil"/>
              <w:left w:val="nil"/>
              <w:bottom w:val="single" w:color="auto" w:sz="4" w:space="0"/>
              <w:right w:val="single" w:color="auto" w:sz="4" w:space="0"/>
            </w:tcBorders>
            <w:vAlign w:val="center"/>
          </w:tcPr>
          <w:p w14:paraId="3571853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vAlign w:val="center"/>
          </w:tcPr>
          <w:p w14:paraId="5F1194A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19</w:t>
            </w:r>
          </w:p>
        </w:tc>
        <w:tc>
          <w:tcPr>
            <w:tcW w:w="242" w:type="pct"/>
            <w:tcBorders>
              <w:top w:val="nil"/>
              <w:left w:val="nil"/>
              <w:bottom w:val="single" w:color="auto" w:sz="4" w:space="0"/>
              <w:right w:val="single" w:color="auto" w:sz="4" w:space="0"/>
            </w:tcBorders>
            <w:vAlign w:val="center"/>
          </w:tcPr>
          <w:p w14:paraId="4081CC6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tcPr>
          <w:p w14:paraId="4E8B423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6.1</w:t>
            </w:r>
          </w:p>
        </w:tc>
        <w:tc>
          <w:tcPr>
            <w:tcW w:w="241" w:type="pct"/>
            <w:tcBorders>
              <w:top w:val="nil"/>
              <w:left w:val="nil"/>
              <w:bottom w:val="single" w:color="auto" w:sz="4" w:space="0"/>
              <w:right w:val="single" w:color="auto" w:sz="4" w:space="0"/>
            </w:tcBorders>
          </w:tcPr>
          <w:p w14:paraId="4F77232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III</w:t>
            </w:r>
          </w:p>
        </w:tc>
      </w:tr>
      <w:tr w14:paraId="597F3B00">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4BE526F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亚硝酸盐</w:t>
            </w:r>
          </w:p>
        </w:tc>
        <w:tc>
          <w:tcPr>
            <w:tcW w:w="507" w:type="pct"/>
            <w:tcBorders>
              <w:top w:val="nil"/>
              <w:left w:val="nil"/>
              <w:bottom w:val="single" w:color="auto" w:sz="4" w:space="0"/>
              <w:right w:val="single" w:color="auto" w:sz="4" w:space="0"/>
            </w:tcBorders>
            <w:vAlign w:val="center"/>
          </w:tcPr>
          <w:p w14:paraId="3115CEE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2CAEDAE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4B10436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49F6B9C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1943098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3BD2276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083EC20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6AA6936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1371E93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140C435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3581079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320D56FE">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1.18</w:t>
            </w:r>
          </w:p>
        </w:tc>
        <w:tc>
          <w:tcPr>
            <w:tcW w:w="241" w:type="pct"/>
            <w:tcBorders>
              <w:top w:val="nil"/>
              <w:left w:val="nil"/>
              <w:bottom w:val="single" w:color="auto" w:sz="4" w:space="0"/>
              <w:right w:val="single" w:color="auto" w:sz="4" w:space="0"/>
            </w:tcBorders>
            <w:shd w:val="clear" w:color="auto" w:fill="E7E6E6" w:themeFill="background2"/>
          </w:tcPr>
          <w:p w14:paraId="44CF2304">
            <w:pPr>
              <w:widowControl/>
              <w:spacing w:line="240" w:lineRule="auto"/>
              <w:ind w:firstLine="0" w:firstLineChars="0"/>
              <w:jc w:val="center"/>
              <w:rPr>
                <w:rFonts w:eastAsia="等线" w:cs="Times New Roman"/>
                <w:kern w:val="0"/>
                <w:sz w:val="21"/>
                <w:szCs w:val="21"/>
                <w14:ligatures w14:val="none"/>
              </w:rPr>
            </w:pPr>
            <w:r>
              <w:rPr>
                <w:rFonts w:cs="Times New Roman"/>
                <w:b/>
                <w:bCs/>
                <w:sz w:val="21"/>
                <w:szCs w:val="21"/>
                <w:shd w:val="clear" w:color="auto" w:fill="E7E6E6" w:themeFill="background2"/>
              </w:rPr>
              <w:t>Ⅳ</w:t>
            </w:r>
          </w:p>
        </w:tc>
      </w:tr>
      <w:tr w14:paraId="1CE614EB">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01075415">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氟化物</w:t>
            </w:r>
          </w:p>
        </w:tc>
        <w:tc>
          <w:tcPr>
            <w:tcW w:w="507" w:type="pct"/>
            <w:tcBorders>
              <w:top w:val="nil"/>
              <w:left w:val="nil"/>
              <w:bottom w:val="single" w:color="auto" w:sz="4" w:space="0"/>
              <w:right w:val="single" w:color="auto" w:sz="4" w:space="0"/>
            </w:tcBorders>
            <w:vAlign w:val="center"/>
          </w:tcPr>
          <w:p w14:paraId="11315E6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2DFE844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1825A9B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77ECB4B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4EDDFA3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34D5839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7E25659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7BB6F46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34CABCD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60BBE24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22E43A3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289974C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241" w:type="pct"/>
            <w:tcBorders>
              <w:top w:val="nil"/>
              <w:left w:val="nil"/>
              <w:bottom w:val="single" w:color="auto" w:sz="4" w:space="0"/>
              <w:right w:val="single" w:color="auto" w:sz="4" w:space="0"/>
            </w:tcBorders>
          </w:tcPr>
          <w:p w14:paraId="2222676A">
            <w:pPr>
              <w:widowControl/>
              <w:spacing w:line="240" w:lineRule="auto"/>
              <w:ind w:firstLine="0" w:firstLineChars="0"/>
              <w:jc w:val="center"/>
              <w:rPr>
                <w:rFonts w:eastAsia="等线" w:cs="Times New Roman"/>
                <w:kern w:val="0"/>
                <w:sz w:val="21"/>
                <w:szCs w:val="21"/>
                <w14:ligatures w14:val="none"/>
              </w:rPr>
            </w:pPr>
            <w:r>
              <w:rPr>
                <w:rFonts w:cs="Times New Roman"/>
                <w:sz w:val="21"/>
                <w:szCs w:val="21"/>
              </w:rPr>
              <w:t>I</w:t>
            </w:r>
          </w:p>
        </w:tc>
      </w:tr>
      <w:tr w14:paraId="527B21F5">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41BD32D1">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氨氮</w:t>
            </w:r>
          </w:p>
        </w:tc>
        <w:tc>
          <w:tcPr>
            <w:tcW w:w="507" w:type="pct"/>
            <w:tcBorders>
              <w:top w:val="nil"/>
              <w:left w:val="nil"/>
              <w:bottom w:val="single" w:color="auto" w:sz="4" w:space="0"/>
              <w:right w:val="single" w:color="auto" w:sz="4" w:space="0"/>
            </w:tcBorders>
            <w:vAlign w:val="center"/>
          </w:tcPr>
          <w:p w14:paraId="125365A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246F767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0.234</w:t>
            </w:r>
          </w:p>
        </w:tc>
        <w:tc>
          <w:tcPr>
            <w:tcW w:w="255" w:type="pct"/>
            <w:tcBorders>
              <w:top w:val="nil"/>
              <w:left w:val="nil"/>
              <w:bottom w:val="single" w:color="auto" w:sz="4" w:space="0"/>
              <w:right w:val="single" w:color="auto" w:sz="4" w:space="0"/>
            </w:tcBorders>
            <w:vAlign w:val="center"/>
          </w:tcPr>
          <w:p w14:paraId="6320489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24" w:type="pct"/>
            <w:tcBorders>
              <w:top w:val="nil"/>
              <w:left w:val="nil"/>
              <w:bottom w:val="single" w:color="auto" w:sz="4" w:space="0"/>
              <w:right w:val="single" w:color="auto" w:sz="4" w:space="0"/>
            </w:tcBorders>
            <w:vAlign w:val="center"/>
          </w:tcPr>
          <w:p w14:paraId="688D736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0.226</w:t>
            </w:r>
          </w:p>
        </w:tc>
        <w:tc>
          <w:tcPr>
            <w:tcW w:w="255" w:type="pct"/>
            <w:tcBorders>
              <w:top w:val="nil"/>
              <w:left w:val="nil"/>
              <w:bottom w:val="single" w:color="auto" w:sz="4" w:space="0"/>
              <w:right w:val="single" w:color="auto" w:sz="4" w:space="0"/>
            </w:tcBorders>
            <w:vAlign w:val="center"/>
          </w:tcPr>
          <w:p w14:paraId="159189F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vAlign w:val="center"/>
          </w:tcPr>
          <w:p w14:paraId="0B65B3A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0.252</w:t>
            </w:r>
          </w:p>
        </w:tc>
        <w:tc>
          <w:tcPr>
            <w:tcW w:w="242" w:type="pct"/>
            <w:tcBorders>
              <w:top w:val="nil"/>
              <w:left w:val="nil"/>
              <w:bottom w:val="single" w:color="auto" w:sz="4" w:space="0"/>
              <w:right w:val="single" w:color="auto" w:sz="4" w:space="0"/>
            </w:tcBorders>
            <w:vAlign w:val="center"/>
          </w:tcPr>
          <w:p w14:paraId="57A8C92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vAlign w:val="center"/>
          </w:tcPr>
          <w:p w14:paraId="0138E63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0.243</w:t>
            </w:r>
          </w:p>
        </w:tc>
        <w:tc>
          <w:tcPr>
            <w:tcW w:w="242" w:type="pct"/>
            <w:tcBorders>
              <w:top w:val="nil"/>
              <w:left w:val="nil"/>
              <w:bottom w:val="single" w:color="auto" w:sz="4" w:space="0"/>
              <w:right w:val="single" w:color="auto" w:sz="4" w:space="0"/>
            </w:tcBorders>
            <w:vAlign w:val="center"/>
          </w:tcPr>
          <w:p w14:paraId="7EE361D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vAlign w:val="center"/>
          </w:tcPr>
          <w:p w14:paraId="742CEA2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0.226</w:t>
            </w:r>
          </w:p>
        </w:tc>
        <w:tc>
          <w:tcPr>
            <w:tcW w:w="242" w:type="pct"/>
            <w:tcBorders>
              <w:top w:val="nil"/>
              <w:left w:val="nil"/>
              <w:bottom w:val="single" w:color="auto" w:sz="4" w:space="0"/>
              <w:right w:val="single" w:color="auto" w:sz="4" w:space="0"/>
            </w:tcBorders>
            <w:vAlign w:val="center"/>
          </w:tcPr>
          <w:p w14:paraId="7A20451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tcPr>
          <w:p w14:paraId="43068819">
            <w:pPr>
              <w:widowControl/>
              <w:spacing w:line="240" w:lineRule="auto"/>
              <w:ind w:firstLine="0" w:firstLineChars="0"/>
              <w:jc w:val="center"/>
              <w:rPr>
                <w:rFonts w:eastAsia="等线" w:cs="Times New Roman"/>
                <w:b/>
                <w:bCs/>
                <w:color w:val="000000"/>
                <w:kern w:val="0"/>
                <w:sz w:val="21"/>
                <w:szCs w:val="21"/>
                <w14:ligatures w14:val="none"/>
              </w:rPr>
            </w:pPr>
            <w:r>
              <w:rPr>
                <w:rFonts w:cs="Times New Roman"/>
                <w:b/>
                <w:bCs/>
                <w:sz w:val="21"/>
                <w:szCs w:val="21"/>
              </w:rPr>
              <w:t>0.556</w:t>
            </w:r>
          </w:p>
        </w:tc>
        <w:tc>
          <w:tcPr>
            <w:tcW w:w="241" w:type="pct"/>
            <w:tcBorders>
              <w:top w:val="nil"/>
              <w:left w:val="nil"/>
              <w:bottom w:val="single" w:color="auto" w:sz="4" w:space="0"/>
              <w:right w:val="single" w:color="auto" w:sz="4" w:space="0"/>
            </w:tcBorders>
            <w:shd w:val="clear" w:color="auto" w:fill="E7E6E6" w:themeFill="background2"/>
          </w:tcPr>
          <w:p w14:paraId="6CA008B6">
            <w:pPr>
              <w:widowControl/>
              <w:spacing w:line="240" w:lineRule="auto"/>
              <w:ind w:firstLine="0" w:firstLineChars="0"/>
              <w:jc w:val="center"/>
              <w:rPr>
                <w:rFonts w:eastAsia="等线" w:cs="Times New Roman"/>
                <w:b/>
                <w:bCs/>
                <w:kern w:val="0"/>
                <w:sz w:val="21"/>
                <w:szCs w:val="21"/>
                <w14:ligatures w14:val="none"/>
              </w:rPr>
            </w:pPr>
            <w:r>
              <w:rPr>
                <w:rFonts w:cs="Times New Roman"/>
                <w:b/>
                <w:bCs/>
                <w:sz w:val="21"/>
                <w:szCs w:val="21"/>
              </w:rPr>
              <w:t>Ⅳ</w:t>
            </w:r>
          </w:p>
        </w:tc>
      </w:tr>
      <w:tr w14:paraId="1F2B8B58">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58D286F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挥发酚</w:t>
            </w:r>
          </w:p>
        </w:tc>
        <w:tc>
          <w:tcPr>
            <w:tcW w:w="507" w:type="pct"/>
            <w:tcBorders>
              <w:top w:val="nil"/>
              <w:left w:val="nil"/>
              <w:bottom w:val="single" w:color="auto" w:sz="4" w:space="0"/>
              <w:right w:val="single" w:color="auto" w:sz="4" w:space="0"/>
            </w:tcBorders>
            <w:vAlign w:val="center"/>
          </w:tcPr>
          <w:p w14:paraId="1F8FF50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70B8558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6AB5EE2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607E9E1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7483DA9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0165542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2759534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28DC83B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2EB6D0C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3675103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43FBF7F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3464A921">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241" w:type="pct"/>
            <w:tcBorders>
              <w:top w:val="nil"/>
              <w:left w:val="nil"/>
              <w:bottom w:val="single" w:color="auto" w:sz="4" w:space="0"/>
              <w:right w:val="single" w:color="auto" w:sz="4" w:space="0"/>
            </w:tcBorders>
          </w:tcPr>
          <w:p w14:paraId="14B92E22">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202DB846">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648D834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氰化物</w:t>
            </w:r>
          </w:p>
        </w:tc>
        <w:tc>
          <w:tcPr>
            <w:tcW w:w="507" w:type="pct"/>
            <w:tcBorders>
              <w:top w:val="nil"/>
              <w:left w:val="nil"/>
              <w:bottom w:val="single" w:color="auto" w:sz="4" w:space="0"/>
              <w:right w:val="single" w:color="auto" w:sz="4" w:space="0"/>
            </w:tcBorders>
            <w:vAlign w:val="center"/>
          </w:tcPr>
          <w:p w14:paraId="23F1887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040C2E7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626070A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28CE076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02FE499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7059090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22BC4B1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2C9920A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098646B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7F54909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6A3C833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2E83C1F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241" w:type="pct"/>
            <w:tcBorders>
              <w:top w:val="nil"/>
              <w:left w:val="nil"/>
              <w:bottom w:val="single" w:color="auto" w:sz="4" w:space="0"/>
              <w:right w:val="single" w:color="auto" w:sz="4" w:space="0"/>
            </w:tcBorders>
          </w:tcPr>
          <w:p w14:paraId="0FB4A51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17E16583">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15031E4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总硬度</w:t>
            </w:r>
          </w:p>
        </w:tc>
        <w:tc>
          <w:tcPr>
            <w:tcW w:w="507" w:type="pct"/>
            <w:tcBorders>
              <w:top w:val="nil"/>
              <w:left w:val="nil"/>
              <w:bottom w:val="single" w:color="auto" w:sz="4" w:space="0"/>
              <w:right w:val="single" w:color="auto" w:sz="4" w:space="0"/>
            </w:tcBorders>
            <w:vAlign w:val="center"/>
          </w:tcPr>
          <w:p w14:paraId="33ACB91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0445B5D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98</w:t>
            </w:r>
          </w:p>
        </w:tc>
        <w:tc>
          <w:tcPr>
            <w:tcW w:w="255" w:type="pct"/>
            <w:tcBorders>
              <w:top w:val="nil"/>
              <w:left w:val="nil"/>
              <w:bottom w:val="single" w:color="auto" w:sz="4" w:space="0"/>
              <w:right w:val="single" w:color="auto" w:sz="4" w:space="0"/>
            </w:tcBorders>
            <w:vAlign w:val="center"/>
          </w:tcPr>
          <w:p w14:paraId="015EF1E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3273B04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105</w:t>
            </w:r>
          </w:p>
        </w:tc>
        <w:tc>
          <w:tcPr>
            <w:tcW w:w="255" w:type="pct"/>
            <w:tcBorders>
              <w:top w:val="nil"/>
              <w:left w:val="nil"/>
              <w:bottom w:val="single" w:color="auto" w:sz="4" w:space="0"/>
              <w:right w:val="single" w:color="auto" w:sz="4" w:space="0"/>
            </w:tcBorders>
            <w:vAlign w:val="center"/>
          </w:tcPr>
          <w:p w14:paraId="1B3E102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36FD5E6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110</w:t>
            </w:r>
          </w:p>
        </w:tc>
        <w:tc>
          <w:tcPr>
            <w:tcW w:w="242" w:type="pct"/>
            <w:tcBorders>
              <w:top w:val="nil"/>
              <w:left w:val="nil"/>
              <w:bottom w:val="single" w:color="auto" w:sz="4" w:space="0"/>
              <w:right w:val="single" w:color="auto" w:sz="4" w:space="0"/>
            </w:tcBorders>
            <w:vAlign w:val="center"/>
          </w:tcPr>
          <w:p w14:paraId="311C3FA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23C370F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93</w:t>
            </w:r>
          </w:p>
        </w:tc>
        <w:tc>
          <w:tcPr>
            <w:tcW w:w="242" w:type="pct"/>
            <w:tcBorders>
              <w:top w:val="nil"/>
              <w:left w:val="nil"/>
              <w:bottom w:val="single" w:color="auto" w:sz="4" w:space="0"/>
              <w:right w:val="single" w:color="auto" w:sz="4" w:space="0"/>
            </w:tcBorders>
            <w:vAlign w:val="center"/>
          </w:tcPr>
          <w:p w14:paraId="1BD1988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52D498D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102</w:t>
            </w:r>
          </w:p>
        </w:tc>
        <w:tc>
          <w:tcPr>
            <w:tcW w:w="242" w:type="pct"/>
            <w:tcBorders>
              <w:top w:val="nil"/>
              <w:left w:val="nil"/>
              <w:bottom w:val="single" w:color="auto" w:sz="4" w:space="0"/>
              <w:right w:val="single" w:color="auto" w:sz="4" w:space="0"/>
            </w:tcBorders>
            <w:vAlign w:val="center"/>
          </w:tcPr>
          <w:p w14:paraId="40F7E28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00BACD0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152</w:t>
            </w:r>
          </w:p>
        </w:tc>
        <w:tc>
          <w:tcPr>
            <w:tcW w:w="241" w:type="pct"/>
            <w:tcBorders>
              <w:top w:val="nil"/>
              <w:left w:val="nil"/>
              <w:bottom w:val="single" w:color="auto" w:sz="4" w:space="0"/>
              <w:right w:val="single" w:color="auto" w:sz="4" w:space="0"/>
            </w:tcBorders>
          </w:tcPr>
          <w:p w14:paraId="195974C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7E0F5530">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3D001D8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铁</w:t>
            </w:r>
          </w:p>
        </w:tc>
        <w:tc>
          <w:tcPr>
            <w:tcW w:w="507" w:type="pct"/>
            <w:tcBorders>
              <w:top w:val="nil"/>
              <w:left w:val="nil"/>
              <w:bottom w:val="single" w:color="auto" w:sz="4" w:space="0"/>
              <w:right w:val="single" w:color="auto" w:sz="4" w:space="0"/>
            </w:tcBorders>
            <w:vAlign w:val="center"/>
          </w:tcPr>
          <w:p w14:paraId="487AB34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263D89E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21E0699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393EA2D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32F8D5D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0F2F54A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25CF0DB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134EF6A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5759738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1DB2F75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75C7758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7FF4D3B2">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241" w:type="pct"/>
            <w:tcBorders>
              <w:top w:val="nil"/>
              <w:left w:val="nil"/>
              <w:bottom w:val="single" w:color="auto" w:sz="4" w:space="0"/>
              <w:right w:val="single" w:color="auto" w:sz="4" w:space="0"/>
            </w:tcBorders>
          </w:tcPr>
          <w:p w14:paraId="6E6A4614">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3E88F86A">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2D44103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锰</w:t>
            </w:r>
          </w:p>
        </w:tc>
        <w:tc>
          <w:tcPr>
            <w:tcW w:w="507" w:type="pct"/>
            <w:tcBorders>
              <w:top w:val="nil"/>
              <w:left w:val="nil"/>
              <w:bottom w:val="single" w:color="auto" w:sz="4" w:space="0"/>
              <w:right w:val="single" w:color="auto" w:sz="4" w:space="0"/>
            </w:tcBorders>
            <w:vAlign w:val="center"/>
          </w:tcPr>
          <w:p w14:paraId="272FF37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759BE70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78FA1C3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2E18E70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0C65012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19E9A1F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32F82D9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75F8F88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6B633F9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598C4B8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7639ECE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2743487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0.016</w:t>
            </w:r>
          </w:p>
        </w:tc>
        <w:tc>
          <w:tcPr>
            <w:tcW w:w="241" w:type="pct"/>
            <w:tcBorders>
              <w:top w:val="nil"/>
              <w:left w:val="nil"/>
              <w:bottom w:val="single" w:color="auto" w:sz="4" w:space="0"/>
              <w:right w:val="single" w:color="auto" w:sz="4" w:space="0"/>
            </w:tcBorders>
          </w:tcPr>
          <w:p w14:paraId="5B3FED8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3CB1B811">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27AECB35">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铅</w:t>
            </w:r>
          </w:p>
        </w:tc>
        <w:tc>
          <w:tcPr>
            <w:tcW w:w="507" w:type="pct"/>
            <w:tcBorders>
              <w:top w:val="nil"/>
              <w:left w:val="nil"/>
              <w:bottom w:val="single" w:color="auto" w:sz="4" w:space="0"/>
              <w:right w:val="single" w:color="auto" w:sz="4" w:space="0"/>
            </w:tcBorders>
            <w:vAlign w:val="center"/>
          </w:tcPr>
          <w:p w14:paraId="77B67BC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2EB7851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5179B0A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447BB73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59306EB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3213D24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3D777E7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2C3B27F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74792A4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6758208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3AE4344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5FB771B2">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241" w:type="pct"/>
            <w:tcBorders>
              <w:top w:val="nil"/>
              <w:left w:val="nil"/>
              <w:bottom w:val="single" w:color="auto" w:sz="4" w:space="0"/>
              <w:right w:val="single" w:color="auto" w:sz="4" w:space="0"/>
            </w:tcBorders>
          </w:tcPr>
          <w:p w14:paraId="1B919FF2">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3545462C">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08EF4403">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镉</w:t>
            </w:r>
          </w:p>
        </w:tc>
        <w:tc>
          <w:tcPr>
            <w:tcW w:w="507" w:type="pct"/>
            <w:tcBorders>
              <w:top w:val="nil"/>
              <w:left w:val="nil"/>
              <w:bottom w:val="single" w:color="auto" w:sz="4" w:space="0"/>
              <w:right w:val="single" w:color="auto" w:sz="4" w:space="0"/>
            </w:tcBorders>
            <w:vAlign w:val="center"/>
          </w:tcPr>
          <w:p w14:paraId="5E10E6C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4972494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4071A1E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625CD97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1F10373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4C2362F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0499899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113FF4C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5D9DE2A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0D0D56F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53CE3F4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2A5FA40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241" w:type="pct"/>
            <w:tcBorders>
              <w:top w:val="nil"/>
              <w:left w:val="nil"/>
              <w:bottom w:val="single" w:color="auto" w:sz="4" w:space="0"/>
              <w:right w:val="single" w:color="auto" w:sz="4" w:space="0"/>
            </w:tcBorders>
          </w:tcPr>
          <w:p w14:paraId="32244A5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79CD8F90">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3DA1D9E8">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铜</w:t>
            </w:r>
          </w:p>
        </w:tc>
        <w:tc>
          <w:tcPr>
            <w:tcW w:w="507" w:type="pct"/>
            <w:tcBorders>
              <w:top w:val="nil"/>
              <w:left w:val="nil"/>
              <w:bottom w:val="single" w:color="auto" w:sz="4" w:space="0"/>
              <w:right w:val="single" w:color="auto" w:sz="4" w:space="0"/>
            </w:tcBorders>
            <w:vAlign w:val="center"/>
          </w:tcPr>
          <w:p w14:paraId="05315D8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51DE632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0.072</w:t>
            </w:r>
          </w:p>
        </w:tc>
        <w:tc>
          <w:tcPr>
            <w:tcW w:w="255" w:type="pct"/>
            <w:tcBorders>
              <w:top w:val="nil"/>
              <w:left w:val="nil"/>
              <w:bottom w:val="single" w:color="auto" w:sz="4" w:space="0"/>
              <w:right w:val="single" w:color="auto" w:sz="4" w:space="0"/>
            </w:tcBorders>
            <w:vAlign w:val="center"/>
          </w:tcPr>
          <w:p w14:paraId="5B8FB2B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24" w:type="pct"/>
            <w:tcBorders>
              <w:top w:val="nil"/>
              <w:left w:val="nil"/>
              <w:bottom w:val="single" w:color="auto" w:sz="4" w:space="0"/>
              <w:right w:val="single" w:color="auto" w:sz="4" w:space="0"/>
            </w:tcBorders>
            <w:vAlign w:val="center"/>
          </w:tcPr>
          <w:p w14:paraId="32C778C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0.057</w:t>
            </w:r>
          </w:p>
        </w:tc>
        <w:tc>
          <w:tcPr>
            <w:tcW w:w="255" w:type="pct"/>
            <w:tcBorders>
              <w:top w:val="nil"/>
              <w:left w:val="nil"/>
              <w:bottom w:val="single" w:color="auto" w:sz="4" w:space="0"/>
              <w:right w:val="single" w:color="auto" w:sz="4" w:space="0"/>
            </w:tcBorders>
            <w:vAlign w:val="center"/>
          </w:tcPr>
          <w:p w14:paraId="297279B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vAlign w:val="center"/>
          </w:tcPr>
          <w:p w14:paraId="27B507A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0.083</w:t>
            </w:r>
          </w:p>
        </w:tc>
        <w:tc>
          <w:tcPr>
            <w:tcW w:w="242" w:type="pct"/>
            <w:tcBorders>
              <w:top w:val="nil"/>
              <w:left w:val="nil"/>
              <w:bottom w:val="single" w:color="auto" w:sz="4" w:space="0"/>
              <w:right w:val="single" w:color="auto" w:sz="4" w:space="0"/>
            </w:tcBorders>
            <w:vAlign w:val="center"/>
          </w:tcPr>
          <w:p w14:paraId="66F349C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vAlign w:val="center"/>
          </w:tcPr>
          <w:p w14:paraId="1E62A61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0.054</w:t>
            </w:r>
          </w:p>
        </w:tc>
        <w:tc>
          <w:tcPr>
            <w:tcW w:w="242" w:type="pct"/>
            <w:tcBorders>
              <w:top w:val="nil"/>
              <w:left w:val="nil"/>
              <w:bottom w:val="single" w:color="auto" w:sz="4" w:space="0"/>
              <w:right w:val="single" w:color="auto" w:sz="4" w:space="0"/>
            </w:tcBorders>
            <w:vAlign w:val="center"/>
          </w:tcPr>
          <w:p w14:paraId="498ACD2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vAlign w:val="center"/>
          </w:tcPr>
          <w:p w14:paraId="6CECE9E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0.062</w:t>
            </w:r>
          </w:p>
        </w:tc>
        <w:tc>
          <w:tcPr>
            <w:tcW w:w="242" w:type="pct"/>
            <w:tcBorders>
              <w:top w:val="nil"/>
              <w:left w:val="nil"/>
              <w:bottom w:val="single" w:color="auto" w:sz="4" w:space="0"/>
              <w:right w:val="single" w:color="auto" w:sz="4" w:space="0"/>
            </w:tcBorders>
            <w:vAlign w:val="center"/>
          </w:tcPr>
          <w:p w14:paraId="57D5CDC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tcPr>
          <w:p w14:paraId="4044588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241" w:type="pct"/>
            <w:tcBorders>
              <w:top w:val="nil"/>
              <w:left w:val="nil"/>
              <w:bottom w:val="single" w:color="auto" w:sz="4" w:space="0"/>
              <w:right w:val="single" w:color="auto" w:sz="4" w:space="0"/>
            </w:tcBorders>
          </w:tcPr>
          <w:p w14:paraId="1905424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443EA9C8">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5E09705C">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镍</w:t>
            </w:r>
          </w:p>
        </w:tc>
        <w:tc>
          <w:tcPr>
            <w:tcW w:w="507" w:type="pct"/>
            <w:tcBorders>
              <w:top w:val="nil"/>
              <w:left w:val="nil"/>
              <w:bottom w:val="single" w:color="auto" w:sz="4" w:space="0"/>
              <w:right w:val="single" w:color="auto" w:sz="4" w:space="0"/>
            </w:tcBorders>
            <w:vAlign w:val="center"/>
          </w:tcPr>
          <w:p w14:paraId="2B286CB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48E0570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6178064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5496B8D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353E46D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31311A3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0.02</w:t>
            </w:r>
          </w:p>
        </w:tc>
        <w:tc>
          <w:tcPr>
            <w:tcW w:w="242" w:type="pct"/>
            <w:tcBorders>
              <w:top w:val="nil"/>
              <w:left w:val="nil"/>
              <w:bottom w:val="single" w:color="auto" w:sz="4" w:space="0"/>
              <w:right w:val="single" w:color="auto" w:sz="4" w:space="0"/>
            </w:tcBorders>
            <w:vAlign w:val="center"/>
          </w:tcPr>
          <w:p w14:paraId="43C7CE4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III</w:t>
            </w:r>
          </w:p>
        </w:tc>
        <w:tc>
          <w:tcPr>
            <w:tcW w:w="402" w:type="pct"/>
            <w:tcBorders>
              <w:top w:val="nil"/>
              <w:left w:val="nil"/>
              <w:bottom w:val="single" w:color="auto" w:sz="4" w:space="0"/>
              <w:right w:val="single" w:color="auto" w:sz="4" w:space="0"/>
            </w:tcBorders>
            <w:vAlign w:val="center"/>
          </w:tcPr>
          <w:p w14:paraId="634258C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0353DCD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434B560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3C30406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2223BBE9">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241" w:type="pct"/>
            <w:tcBorders>
              <w:top w:val="nil"/>
              <w:left w:val="nil"/>
              <w:bottom w:val="single" w:color="auto" w:sz="4" w:space="0"/>
              <w:right w:val="single" w:color="auto" w:sz="4" w:space="0"/>
            </w:tcBorders>
          </w:tcPr>
          <w:p w14:paraId="4FECA339">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30E8CD5D">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330442F6">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锌</w:t>
            </w:r>
          </w:p>
        </w:tc>
        <w:tc>
          <w:tcPr>
            <w:tcW w:w="507" w:type="pct"/>
            <w:tcBorders>
              <w:top w:val="nil"/>
              <w:left w:val="nil"/>
              <w:bottom w:val="single" w:color="auto" w:sz="4" w:space="0"/>
              <w:right w:val="single" w:color="auto" w:sz="4" w:space="0"/>
            </w:tcBorders>
            <w:vAlign w:val="center"/>
          </w:tcPr>
          <w:p w14:paraId="4589A10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4BF32BD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4AE6781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069A6DD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6D74964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2CB57B4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0.006</w:t>
            </w:r>
          </w:p>
        </w:tc>
        <w:tc>
          <w:tcPr>
            <w:tcW w:w="242" w:type="pct"/>
            <w:tcBorders>
              <w:top w:val="nil"/>
              <w:left w:val="nil"/>
              <w:bottom w:val="single" w:color="auto" w:sz="4" w:space="0"/>
              <w:right w:val="single" w:color="auto" w:sz="4" w:space="0"/>
            </w:tcBorders>
            <w:vAlign w:val="center"/>
          </w:tcPr>
          <w:p w14:paraId="4947453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4E36EA1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0.007</w:t>
            </w:r>
          </w:p>
        </w:tc>
        <w:tc>
          <w:tcPr>
            <w:tcW w:w="242" w:type="pct"/>
            <w:tcBorders>
              <w:top w:val="nil"/>
              <w:left w:val="nil"/>
              <w:bottom w:val="single" w:color="auto" w:sz="4" w:space="0"/>
              <w:right w:val="single" w:color="auto" w:sz="4" w:space="0"/>
            </w:tcBorders>
            <w:vAlign w:val="center"/>
          </w:tcPr>
          <w:p w14:paraId="2BBFDE3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7ABC6D4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29B8DDF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3428F85F">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0.019</w:t>
            </w:r>
          </w:p>
        </w:tc>
        <w:tc>
          <w:tcPr>
            <w:tcW w:w="241" w:type="pct"/>
            <w:tcBorders>
              <w:top w:val="nil"/>
              <w:left w:val="nil"/>
              <w:bottom w:val="single" w:color="auto" w:sz="4" w:space="0"/>
              <w:right w:val="single" w:color="auto" w:sz="4" w:space="0"/>
            </w:tcBorders>
          </w:tcPr>
          <w:p w14:paraId="22CD169A">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55EC6CC6">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6E1B4432">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六价铬</w:t>
            </w:r>
          </w:p>
        </w:tc>
        <w:tc>
          <w:tcPr>
            <w:tcW w:w="507" w:type="pct"/>
            <w:tcBorders>
              <w:top w:val="nil"/>
              <w:left w:val="nil"/>
              <w:bottom w:val="single" w:color="auto" w:sz="4" w:space="0"/>
              <w:right w:val="single" w:color="auto" w:sz="4" w:space="0"/>
            </w:tcBorders>
            <w:vAlign w:val="center"/>
          </w:tcPr>
          <w:p w14:paraId="2714231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4A92AC4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77E7FCD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19DC27F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2DF5F07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4F16045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1AB1E0B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3506952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5895271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6D08F44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0B90CCC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4D0C6E3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241" w:type="pct"/>
            <w:tcBorders>
              <w:top w:val="nil"/>
              <w:left w:val="nil"/>
              <w:bottom w:val="single" w:color="auto" w:sz="4" w:space="0"/>
              <w:right w:val="single" w:color="auto" w:sz="4" w:space="0"/>
            </w:tcBorders>
          </w:tcPr>
          <w:p w14:paraId="70ED2D36">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4F94F424">
        <w:tblPrEx>
          <w:tblCellMar>
            <w:top w:w="0" w:type="dxa"/>
            <w:left w:w="108" w:type="dxa"/>
            <w:bottom w:w="0" w:type="dxa"/>
            <w:right w:w="108" w:type="dxa"/>
          </w:tblCellMar>
        </w:tblPrEx>
        <w:trPr>
          <w:trHeight w:val="324" w:hRule="atLeast"/>
        </w:trPr>
        <w:tc>
          <w:tcPr>
            <w:tcW w:w="560" w:type="pct"/>
            <w:tcBorders>
              <w:top w:val="nil"/>
              <w:left w:val="single" w:color="auto" w:sz="4" w:space="0"/>
              <w:bottom w:val="single" w:color="auto" w:sz="4" w:space="0"/>
              <w:right w:val="single" w:color="auto" w:sz="4" w:space="0"/>
            </w:tcBorders>
            <w:vAlign w:val="center"/>
          </w:tcPr>
          <w:p w14:paraId="6A15C104">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溶解性总固体</w:t>
            </w:r>
          </w:p>
        </w:tc>
        <w:tc>
          <w:tcPr>
            <w:tcW w:w="507" w:type="pct"/>
            <w:tcBorders>
              <w:top w:val="nil"/>
              <w:left w:val="nil"/>
              <w:bottom w:val="single" w:color="auto" w:sz="4" w:space="0"/>
              <w:right w:val="single" w:color="auto" w:sz="4" w:space="0"/>
            </w:tcBorders>
            <w:vAlign w:val="center"/>
          </w:tcPr>
          <w:p w14:paraId="5F9AB58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4D32FEA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114</w:t>
            </w:r>
          </w:p>
        </w:tc>
        <w:tc>
          <w:tcPr>
            <w:tcW w:w="255" w:type="pct"/>
            <w:tcBorders>
              <w:top w:val="nil"/>
              <w:left w:val="nil"/>
              <w:bottom w:val="single" w:color="auto" w:sz="4" w:space="0"/>
              <w:right w:val="single" w:color="auto" w:sz="4" w:space="0"/>
            </w:tcBorders>
            <w:vAlign w:val="center"/>
          </w:tcPr>
          <w:p w14:paraId="385FCA6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4DE559D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105</w:t>
            </w:r>
          </w:p>
        </w:tc>
        <w:tc>
          <w:tcPr>
            <w:tcW w:w="255" w:type="pct"/>
            <w:tcBorders>
              <w:top w:val="nil"/>
              <w:left w:val="nil"/>
              <w:bottom w:val="single" w:color="auto" w:sz="4" w:space="0"/>
              <w:right w:val="single" w:color="auto" w:sz="4" w:space="0"/>
            </w:tcBorders>
            <w:vAlign w:val="center"/>
          </w:tcPr>
          <w:p w14:paraId="72B4675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0DEC82F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123</w:t>
            </w:r>
          </w:p>
        </w:tc>
        <w:tc>
          <w:tcPr>
            <w:tcW w:w="242" w:type="pct"/>
            <w:tcBorders>
              <w:top w:val="nil"/>
              <w:left w:val="nil"/>
              <w:bottom w:val="single" w:color="auto" w:sz="4" w:space="0"/>
              <w:right w:val="single" w:color="auto" w:sz="4" w:space="0"/>
            </w:tcBorders>
            <w:vAlign w:val="center"/>
          </w:tcPr>
          <w:p w14:paraId="45681C6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4616BF3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130</w:t>
            </w:r>
          </w:p>
        </w:tc>
        <w:tc>
          <w:tcPr>
            <w:tcW w:w="242" w:type="pct"/>
            <w:tcBorders>
              <w:top w:val="nil"/>
              <w:left w:val="nil"/>
              <w:bottom w:val="single" w:color="auto" w:sz="4" w:space="0"/>
              <w:right w:val="single" w:color="auto" w:sz="4" w:space="0"/>
            </w:tcBorders>
            <w:vAlign w:val="center"/>
          </w:tcPr>
          <w:p w14:paraId="71B25700">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61C099C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109</w:t>
            </w:r>
          </w:p>
        </w:tc>
        <w:tc>
          <w:tcPr>
            <w:tcW w:w="242" w:type="pct"/>
            <w:tcBorders>
              <w:top w:val="nil"/>
              <w:left w:val="nil"/>
              <w:bottom w:val="single" w:color="auto" w:sz="4" w:space="0"/>
              <w:right w:val="single" w:color="auto" w:sz="4" w:space="0"/>
            </w:tcBorders>
            <w:vAlign w:val="center"/>
          </w:tcPr>
          <w:p w14:paraId="34D84E0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6935F0C7">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261</w:t>
            </w:r>
          </w:p>
        </w:tc>
        <w:tc>
          <w:tcPr>
            <w:tcW w:w="241" w:type="pct"/>
            <w:tcBorders>
              <w:top w:val="nil"/>
              <w:left w:val="nil"/>
              <w:bottom w:val="single" w:color="auto" w:sz="4" w:space="0"/>
              <w:right w:val="single" w:color="auto" w:sz="4" w:space="0"/>
            </w:tcBorders>
          </w:tcPr>
          <w:p w14:paraId="5562EFC3">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r w14:paraId="5EFE1613">
        <w:tblPrEx>
          <w:tblCellMar>
            <w:top w:w="0" w:type="dxa"/>
            <w:left w:w="108" w:type="dxa"/>
            <w:bottom w:w="0" w:type="dxa"/>
            <w:right w:w="108" w:type="dxa"/>
          </w:tblCellMar>
        </w:tblPrEx>
        <w:trPr>
          <w:trHeight w:val="324" w:hRule="atLeast"/>
        </w:trPr>
        <w:tc>
          <w:tcPr>
            <w:tcW w:w="560" w:type="pct"/>
            <w:tcBorders>
              <w:top w:val="nil"/>
              <w:left w:val="single" w:color="auto" w:sz="4" w:space="0"/>
              <w:bottom w:val="single" w:color="auto" w:sz="4" w:space="0"/>
              <w:right w:val="single" w:color="auto" w:sz="4" w:space="0"/>
            </w:tcBorders>
            <w:vAlign w:val="center"/>
          </w:tcPr>
          <w:p w14:paraId="5F410C1E">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高锰酸盐指数</w:t>
            </w:r>
          </w:p>
        </w:tc>
        <w:tc>
          <w:tcPr>
            <w:tcW w:w="507" w:type="pct"/>
            <w:tcBorders>
              <w:top w:val="nil"/>
              <w:left w:val="nil"/>
              <w:bottom w:val="single" w:color="auto" w:sz="4" w:space="0"/>
              <w:right w:val="single" w:color="auto" w:sz="4" w:space="0"/>
            </w:tcBorders>
            <w:vAlign w:val="center"/>
          </w:tcPr>
          <w:p w14:paraId="53AF3DB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mg/L</w:t>
            </w:r>
          </w:p>
        </w:tc>
        <w:tc>
          <w:tcPr>
            <w:tcW w:w="424" w:type="pct"/>
            <w:tcBorders>
              <w:top w:val="nil"/>
              <w:left w:val="nil"/>
              <w:bottom w:val="single" w:color="auto" w:sz="4" w:space="0"/>
              <w:right w:val="single" w:color="auto" w:sz="4" w:space="0"/>
            </w:tcBorders>
            <w:vAlign w:val="center"/>
          </w:tcPr>
          <w:p w14:paraId="4246FD9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1</w:t>
            </w:r>
          </w:p>
        </w:tc>
        <w:tc>
          <w:tcPr>
            <w:tcW w:w="255" w:type="pct"/>
            <w:tcBorders>
              <w:top w:val="nil"/>
              <w:left w:val="nil"/>
              <w:bottom w:val="single" w:color="auto" w:sz="4" w:space="0"/>
              <w:right w:val="single" w:color="auto" w:sz="4" w:space="0"/>
            </w:tcBorders>
            <w:vAlign w:val="center"/>
          </w:tcPr>
          <w:p w14:paraId="4332F12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392A27F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0.6</w:t>
            </w:r>
          </w:p>
        </w:tc>
        <w:tc>
          <w:tcPr>
            <w:tcW w:w="255" w:type="pct"/>
            <w:tcBorders>
              <w:top w:val="nil"/>
              <w:left w:val="nil"/>
              <w:bottom w:val="single" w:color="auto" w:sz="4" w:space="0"/>
              <w:right w:val="single" w:color="auto" w:sz="4" w:space="0"/>
            </w:tcBorders>
            <w:vAlign w:val="center"/>
          </w:tcPr>
          <w:p w14:paraId="67BB571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32BF279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0.7</w:t>
            </w:r>
          </w:p>
        </w:tc>
        <w:tc>
          <w:tcPr>
            <w:tcW w:w="242" w:type="pct"/>
            <w:tcBorders>
              <w:top w:val="nil"/>
              <w:left w:val="nil"/>
              <w:bottom w:val="single" w:color="auto" w:sz="4" w:space="0"/>
              <w:right w:val="single" w:color="auto" w:sz="4" w:space="0"/>
            </w:tcBorders>
            <w:vAlign w:val="center"/>
          </w:tcPr>
          <w:p w14:paraId="43E43F8E">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3537CBE6">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0.6</w:t>
            </w:r>
          </w:p>
        </w:tc>
        <w:tc>
          <w:tcPr>
            <w:tcW w:w="242" w:type="pct"/>
            <w:tcBorders>
              <w:top w:val="nil"/>
              <w:left w:val="nil"/>
              <w:bottom w:val="single" w:color="auto" w:sz="4" w:space="0"/>
              <w:right w:val="single" w:color="auto" w:sz="4" w:space="0"/>
            </w:tcBorders>
            <w:vAlign w:val="center"/>
          </w:tcPr>
          <w:p w14:paraId="09A94F8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056A87E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0.5</w:t>
            </w:r>
          </w:p>
        </w:tc>
        <w:tc>
          <w:tcPr>
            <w:tcW w:w="242" w:type="pct"/>
            <w:tcBorders>
              <w:top w:val="nil"/>
              <w:left w:val="nil"/>
              <w:bottom w:val="single" w:color="auto" w:sz="4" w:space="0"/>
              <w:right w:val="single" w:color="auto" w:sz="4" w:space="0"/>
            </w:tcBorders>
            <w:vAlign w:val="center"/>
          </w:tcPr>
          <w:p w14:paraId="1F1EB8C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43A70E2B">
            <w:pPr>
              <w:widowControl/>
              <w:spacing w:line="240" w:lineRule="auto"/>
              <w:ind w:firstLine="0" w:firstLineChars="0"/>
              <w:jc w:val="center"/>
              <w:rPr>
                <w:rFonts w:cs="Times New Roman"/>
                <w:sz w:val="21"/>
                <w:szCs w:val="21"/>
              </w:rPr>
            </w:pPr>
            <w:r>
              <w:rPr>
                <w:rFonts w:cs="Times New Roman"/>
                <w:sz w:val="21"/>
                <w:szCs w:val="21"/>
              </w:rPr>
              <w:t>0.7</w:t>
            </w:r>
          </w:p>
        </w:tc>
        <w:tc>
          <w:tcPr>
            <w:tcW w:w="241" w:type="pct"/>
            <w:tcBorders>
              <w:top w:val="nil"/>
              <w:left w:val="nil"/>
              <w:bottom w:val="single" w:color="auto" w:sz="4" w:space="0"/>
              <w:right w:val="single" w:color="auto" w:sz="4" w:space="0"/>
            </w:tcBorders>
          </w:tcPr>
          <w:p w14:paraId="6F90A188">
            <w:pPr>
              <w:widowControl/>
              <w:spacing w:line="240" w:lineRule="auto"/>
              <w:ind w:firstLine="0" w:firstLineChars="0"/>
              <w:jc w:val="center"/>
              <w:rPr>
                <w:rFonts w:cs="Times New Roman"/>
                <w:sz w:val="21"/>
                <w:szCs w:val="21"/>
              </w:rPr>
            </w:pPr>
            <w:r>
              <w:rPr>
                <w:rFonts w:eastAsia="等线" w:cs="Times New Roman"/>
                <w:color w:val="000000"/>
                <w:kern w:val="0"/>
                <w:sz w:val="21"/>
                <w:szCs w:val="21"/>
                <w14:ligatures w14:val="none"/>
              </w:rPr>
              <w:t>I</w:t>
            </w:r>
          </w:p>
        </w:tc>
      </w:tr>
      <w:tr w14:paraId="5267ADCA">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2066DCED">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砷</w:t>
            </w:r>
          </w:p>
        </w:tc>
        <w:tc>
          <w:tcPr>
            <w:tcW w:w="507" w:type="pct"/>
            <w:tcBorders>
              <w:top w:val="nil"/>
              <w:left w:val="nil"/>
              <w:bottom w:val="single" w:color="auto" w:sz="4" w:space="0"/>
              <w:right w:val="single" w:color="auto" w:sz="4" w:space="0"/>
            </w:tcBorders>
            <w:vAlign w:val="center"/>
          </w:tcPr>
          <w:p w14:paraId="25362D6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μg/L</w:t>
            </w:r>
          </w:p>
        </w:tc>
        <w:tc>
          <w:tcPr>
            <w:tcW w:w="424" w:type="pct"/>
            <w:tcBorders>
              <w:top w:val="nil"/>
              <w:left w:val="nil"/>
              <w:bottom w:val="single" w:color="auto" w:sz="4" w:space="0"/>
              <w:right w:val="single" w:color="auto" w:sz="4" w:space="0"/>
            </w:tcBorders>
            <w:vAlign w:val="center"/>
          </w:tcPr>
          <w:p w14:paraId="2A781F2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5D4F31F8">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423CD009">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3205B40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1FD914D7">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660145D5">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59E0F26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25BFC364">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48B79DBB">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472AF6EF">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56500D28">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3.75</w:t>
            </w:r>
          </w:p>
        </w:tc>
        <w:tc>
          <w:tcPr>
            <w:tcW w:w="241" w:type="pct"/>
            <w:tcBorders>
              <w:top w:val="nil"/>
              <w:left w:val="nil"/>
              <w:bottom w:val="single" w:color="auto" w:sz="4" w:space="0"/>
              <w:right w:val="single" w:color="auto" w:sz="4" w:space="0"/>
            </w:tcBorders>
          </w:tcPr>
          <w:p w14:paraId="5815ABAB">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III</w:t>
            </w:r>
          </w:p>
        </w:tc>
      </w:tr>
      <w:tr w14:paraId="62ECF87C">
        <w:tblPrEx>
          <w:tblCellMar>
            <w:top w:w="0" w:type="dxa"/>
            <w:left w:w="108" w:type="dxa"/>
            <w:bottom w:w="0" w:type="dxa"/>
            <w:right w:w="108" w:type="dxa"/>
          </w:tblCellMar>
        </w:tblPrEx>
        <w:trPr>
          <w:trHeight w:val="285" w:hRule="atLeast"/>
        </w:trPr>
        <w:tc>
          <w:tcPr>
            <w:tcW w:w="560" w:type="pct"/>
            <w:tcBorders>
              <w:top w:val="nil"/>
              <w:left w:val="single" w:color="auto" w:sz="4" w:space="0"/>
              <w:bottom w:val="single" w:color="auto" w:sz="4" w:space="0"/>
              <w:right w:val="single" w:color="auto" w:sz="4" w:space="0"/>
            </w:tcBorders>
            <w:vAlign w:val="center"/>
          </w:tcPr>
          <w:p w14:paraId="6E830315">
            <w:pPr>
              <w:widowControl/>
              <w:spacing w:line="240" w:lineRule="auto"/>
              <w:ind w:firstLine="0" w:firstLineChars="0"/>
              <w:jc w:val="center"/>
              <w:rPr>
                <w:rFonts w:cs="Times New Roman"/>
                <w:color w:val="000000"/>
                <w:kern w:val="0"/>
                <w:sz w:val="21"/>
                <w:szCs w:val="21"/>
                <w14:ligatures w14:val="none"/>
              </w:rPr>
            </w:pPr>
            <w:r>
              <w:rPr>
                <w:rFonts w:cs="Times New Roman"/>
                <w:color w:val="000000"/>
                <w:kern w:val="0"/>
                <w:sz w:val="21"/>
                <w:szCs w:val="21"/>
                <w14:ligatures w14:val="none"/>
              </w:rPr>
              <w:t>汞</w:t>
            </w:r>
          </w:p>
        </w:tc>
        <w:tc>
          <w:tcPr>
            <w:tcW w:w="507" w:type="pct"/>
            <w:tcBorders>
              <w:top w:val="nil"/>
              <w:left w:val="nil"/>
              <w:bottom w:val="single" w:color="auto" w:sz="4" w:space="0"/>
              <w:right w:val="single" w:color="auto" w:sz="4" w:space="0"/>
            </w:tcBorders>
            <w:vAlign w:val="center"/>
          </w:tcPr>
          <w:p w14:paraId="331A41A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μg/L</w:t>
            </w:r>
          </w:p>
        </w:tc>
        <w:tc>
          <w:tcPr>
            <w:tcW w:w="424" w:type="pct"/>
            <w:tcBorders>
              <w:top w:val="nil"/>
              <w:left w:val="nil"/>
              <w:bottom w:val="single" w:color="auto" w:sz="4" w:space="0"/>
              <w:right w:val="single" w:color="auto" w:sz="4" w:space="0"/>
            </w:tcBorders>
            <w:vAlign w:val="center"/>
          </w:tcPr>
          <w:p w14:paraId="115480D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71DFE9F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24" w:type="pct"/>
            <w:tcBorders>
              <w:top w:val="nil"/>
              <w:left w:val="nil"/>
              <w:bottom w:val="single" w:color="auto" w:sz="4" w:space="0"/>
              <w:right w:val="single" w:color="auto" w:sz="4" w:space="0"/>
            </w:tcBorders>
            <w:vAlign w:val="center"/>
          </w:tcPr>
          <w:p w14:paraId="36204AA1">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55" w:type="pct"/>
            <w:tcBorders>
              <w:top w:val="nil"/>
              <w:left w:val="nil"/>
              <w:bottom w:val="single" w:color="auto" w:sz="4" w:space="0"/>
              <w:right w:val="single" w:color="auto" w:sz="4" w:space="0"/>
            </w:tcBorders>
            <w:vAlign w:val="center"/>
          </w:tcPr>
          <w:p w14:paraId="0FDBD37D">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7F4D2372">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4D55BFB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6DA93163">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0ED8959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vAlign w:val="center"/>
          </w:tcPr>
          <w:p w14:paraId="25F031DA">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ND</w:t>
            </w:r>
          </w:p>
        </w:tc>
        <w:tc>
          <w:tcPr>
            <w:tcW w:w="242" w:type="pct"/>
            <w:tcBorders>
              <w:top w:val="nil"/>
              <w:left w:val="nil"/>
              <w:bottom w:val="single" w:color="auto" w:sz="4" w:space="0"/>
              <w:right w:val="single" w:color="auto" w:sz="4" w:space="0"/>
            </w:tcBorders>
            <w:vAlign w:val="center"/>
          </w:tcPr>
          <w:p w14:paraId="0AB54A2C">
            <w:pPr>
              <w:widowControl/>
              <w:spacing w:line="240" w:lineRule="auto"/>
              <w:ind w:firstLine="0" w:firstLineChars="0"/>
              <w:jc w:val="center"/>
              <w:rPr>
                <w:rFonts w:eastAsia="等线" w:cs="Times New Roman"/>
                <w:color w:val="000000"/>
                <w:kern w:val="0"/>
                <w:sz w:val="21"/>
                <w:szCs w:val="21"/>
                <w14:ligatures w14:val="none"/>
              </w:rPr>
            </w:pPr>
            <w:r>
              <w:rPr>
                <w:rFonts w:eastAsia="等线" w:cs="Times New Roman"/>
                <w:color w:val="000000"/>
                <w:kern w:val="0"/>
                <w:sz w:val="21"/>
                <w:szCs w:val="21"/>
                <w14:ligatures w14:val="none"/>
              </w:rPr>
              <w:t>I</w:t>
            </w:r>
          </w:p>
        </w:tc>
        <w:tc>
          <w:tcPr>
            <w:tcW w:w="402" w:type="pct"/>
            <w:tcBorders>
              <w:top w:val="nil"/>
              <w:left w:val="nil"/>
              <w:bottom w:val="single" w:color="auto" w:sz="4" w:space="0"/>
              <w:right w:val="single" w:color="auto" w:sz="4" w:space="0"/>
            </w:tcBorders>
          </w:tcPr>
          <w:p w14:paraId="67EB2285">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ND</w:t>
            </w:r>
          </w:p>
        </w:tc>
        <w:tc>
          <w:tcPr>
            <w:tcW w:w="241" w:type="pct"/>
            <w:tcBorders>
              <w:top w:val="nil"/>
              <w:left w:val="nil"/>
              <w:bottom w:val="single" w:color="auto" w:sz="4" w:space="0"/>
              <w:right w:val="single" w:color="auto" w:sz="4" w:space="0"/>
            </w:tcBorders>
          </w:tcPr>
          <w:p w14:paraId="42982C6C">
            <w:pPr>
              <w:widowControl/>
              <w:spacing w:line="240" w:lineRule="auto"/>
              <w:ind w:firstLine="0" w:firstLineChars="0"/>
              <w:jc w:val="center"/>
              <w:rPr>
                <w:rFonts w:eastAsia="等线" w:cs="Times New Roman"/>
                <w:color w:val="000000"/>
                <w:kern w:val="0"/>
                <w:sz w:val="21"/>
                <w:szCs w:val="21"/>
                <w14:ligatures w14:val="none"/>
              </w:rPr>
            </w:pPr>
            <w:r>
              <w:rPr>
                <w:rFonts w:cs="Times New Roman"/>
                <w:sz w:val="21"/>
                <w:szCs w:val="21"/>
              </w:rPr>
              <w:t>I</w:t>
            </w:r>
          </w:p>
        </w:tc>
      </w:tr>
    </w:tbl>
    <w:p w14:paraId="3805914D">
      <w:pPr>
        <w:ind w:firstLine="0" w:firstLineChars="0"/>
        <w:sectPr>
          <w:pgSz w:w="16838" w:h="11906" w:orient="landscape"/>
          <w:pgMar w:top="1800" w:right="1440" w:bottom="1800" w:left="1440" w:header="851" w:footer="992" w:gutter="0"/>
          <w:cols w:space="425" w:num="1"/>
          <w:docGrid w:type="lines" w:linePitch="326" w:charSpace="0"/>
        </w:sectPr>
      </w:pPr>
    </w:p>
    <w:p w14:paraId="48A41229">
      <w:pPr>
        <w:ind w:firstLine="0" w:firstLineChars="0"/>
        <w:outlineLvl w:val="3"/>
        <w:rPr>
          <w:b/>
          <w:bCs/>
        </w:rPr>
      </w:pPr>
      <w:r>
        <w:rPr>
          <w:rFonts w:hint="eastAsia"/>
          <w:b/>
          <w:bCs/>
        </w:rPr>
        <w:t>3</w:t>
      </w:r>
      <w:r>
        <w:rPr>
          <w:b/>
          <w:bCs/>
        </w:rPr>
        <w:t>.</w:t>
      </w:r>
      <w:r>
        <w:rPr>
          <w:rFonts w:hint="eastAsia"/>
          <w:b/>
          <w:bCs/>
        </w:rPr>
        <w:t>5</w:t>
      </w:r>
      <w:r>
        <w:rPr>
          <w:b/>
          <w:bCs/>
        </w:rPr>
        <w:t>.</w:t>
      </w:r>
      <w:r>
        <w:rPr>
          <w:rFonts w:hint="eastAsia"/>
          <w:b/>
          <w:bCs/>
        </w:rPr>
        <w:t>4</w:t>
      </w:r>
      <w:r>
        <w:rPr>
          <w:b/>
          <w:bCs/>
        </w:rPr>
        <w:t>.</w:t>
      </w:r>
      <w:r>
        <w:rPr>
          <w:rFonts w:hint="eastAsia"/>
          <w:b/>
          <w:bCs/>
        </w:rPr>
        <w:t>2地下水水位</w:t>
      </w:r>
    </w:p>
    <w:p w14:paraId="59598AE8">
      <w:pPr>
        <w:ind w:firstLine="482"/>
        <w:rPr>
          <w:b/>
        </w:rPr>
      </w:pPr>
      <w:r>
        <w:rPr>
          <w:rFonts w:hint="eastAsia"/>
          <w:b/>
        </w:rPr>
        <w:t>（1）监测布点</w:t>
      </w:r>
    </w:p>
    <w:p w14:paraId="5B32C238">
      <w:pPr>
        <w:ind w:firstLine="480"/>
      </w:pPr>
      <w:r>
        <w:rPr>
          <w:rFonts w:hint="eastAsia"/>
        </w:rPr>
        <w:t>本次评价共布设12个地下水水质现状监测点位。</w:t>
      </w:r>
    </w:p>
    <w:p w14:paraId="4551B350">
      <w:pPr>
        <w:ind w:firstLine="482"/>
        <w:rPr>
          <w:b/>
        </w:rPr>
      </w:pPr>
      <w:r>
        <w:rPr>
          <w:rFonts w:hint="eastAsia"/>
          <w:b/>
        </w:rPr>
        <w:t>（2）监测时间和频次</w:t>
      </w:r>
    </w:p>
    <w:p w14:paraId="6A58DD26">
      <w:pPr>
        <w:ind w:firstLine="480"/>
      </w:pPr>
      <w:r>
        <w:rPr>
          <w:rFonts w:hint="eastAsia"/>
        </w:rPr>
        <w:t>采样日期为2024年3月8日，采样1次，监测1次。</w:t>
      </w:r>
    </w:p>
    <w:p w14:paraId="6E28F9E1">
      <w:pPr>
        <w:ind w:firstLine="482"/>
        <w:rPr>
          <w:b/>
        </w:rPr>
      </w:pPr>
      <w:r>
        <w:rPr>
          <w:rFonts w:hint="eastAsia"/>
          <w:b/>
        </w:rPr>
        <w:t>（3）监测结果</w:t>
      </w:r>
    </w:p>
    <w:p w14:paraId="35072F57">
      <w:pPr>
        <w:ind w:firstLine="480"/>
      </w:pPr>
      <w:r>
        <w:rPr>
          <w:rFonts w:hint="eastAsia"/>
        </w:rPr>
        <w:t>地下水水位现状监测结果汇总情况见表3.5-16。</w:t>
      </w:r>
    </w:p>
    <w:p w14:paraId="6FAFE728">
      <w:pPr>
        <w:pStyle w:val="45"/>
      </w:pPr>
      <w:r>
        <w:t>表</w:t>
      </w:r>
      <w:r>
        <w:rPr>
          <w:rFonts w:hint="eastAsia"/>
        </w:rPr>
        <w:t>3</w:t>
      </w:r>
      <w:r>
        <w:t>.</w:t>
      </w:r>
      <w:r>
        <w:rPr>
          <w:rFonts w:hint="eastAsia"/>
        </w:rPr>
        <w:t>5</w:t>
      </w:r>
      <w:r>
        <w:t>-</w:t>
      </w:r>
      <w:r>
        <w:rPr>
          <w:rFonts w:hint="eastAsia"/>
        </w:rPr>
        <w:t>16</w:t>
      </w:r>
      <w:r>
        <w:t xml:space="preserve">  地下水水位高程现状监测结果表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1496"/>
        <w:gridCol w:w="2899"/>
        <w:gridCol w:w="2895"/>
      </w:tblGrid>
      <w:tr w14:paraId="44D62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23" w:type="pct"/>
            <w:vAlign w:val="center"/>
          </w:tcPr>
          <w:p w14:paraId="4A43DF78">
            <w:pPr>
              <w:spacing w:line="240" w:lineRule="auto"/>
              <w:ind w:firstLine="0" w:firstLineChars="0"/>
              <w:jc w:val="center"/>
              <w:rPr>
                <w:rFonts w:cs="Times New Roman"/>
                <w:b/>
                <w:sz w:val="21"/>
                <w:szCs w:val="21"/>
              </w:rPr>
            </w:pPr>
            <w:r>
              <w:rPr>
                <w:rFonts w:hint="eastAsia" w:cs="Times New Roman"/>
                <w:b/>
                <w:sz w:val="21"/>
                <w:szCs w:val="21"/>
              </w:rPr>
              <w:t>序号</w:t>
            </w:r>
          </w:p>
        </w:tc>
        <w:tc>
          <w:tcPr>
            <w:tcW w:w="878" w:type="pct"/>
            <w:vAlign w:val="center"/>
          </w:tcPr>
          <w:p w14:paraId="28E0D4D7">
            <w:pPr>
              <w:spacing w:line="240" w:lineRule="auto"/>
              <w:ind w:firstLine="0" w:firstLineChars="0"/>
              <w:jc w:val="center"/>
              <w:rPr>
                <w:rFonts w:cs="Times New Roman"/>
                <w:b/>
                <w:sz w:val="21"/>
                <w:szCs w:val="21"/>
              </w:rPr>
            </w:pPr>
            <w:r>
              <w:rPr>
                <w:rFonts w:hint="eastAsia" w:cs="Times New Roman"/>
                <w:b/>
                <w:sz w:val="21"/>
                <w:szCs w:val="21"/>
              </w:rPr>
              <w:t>编号</w:t>
            </w:r>
          </w:p>
        </w:tc>
        <w:tc>
          <w:tcPr>
            <w:tcW w:w="1701" w:type="pct"/>
          </w:tcPr>
          <w:p w14:paraId="5451F234">
            <w:pPr>
              <w:spacing w:line="240" w:lineRule="auto"/>
              <w:ind w:firstLine="0" w:firstLineChars="0"/>
              <w:jc w:val="center"/>
              <w:rPr>
                <w:rFonts w:cs="Times New Roman"/>
                <w:b/>
                <w:sz w:val="21"/>
                <w:szCs w:val="21"/>
              </w:rPr>
            </w:pPr>
            <w:r>
              <w:rPr>
                <w:rFonts w:hint="eastAsia" w:cs="Times New Roman"/>
                <w:b/>
                <w:sz w:val="21"/>
                <w:szCs w:val="21"/>
              </w:rPr>
              <w:t>点位名称</w:t>
            </w:r>
          </w:p>
        </w:tc>
        <w:tc>
          <w:tcPr>
            <w:tcW w:w="1698" w:type="pct"/>
            <w:vAlign w:val="center"/>
          </w:tcPr>
          <w:p w14:paraId="66C59446">
            <w:pPr>
              <w:spacing w:line="240" w:lineRule="auto"/>
              <w:ind w:firstLine="0" w:firstLineChars="0"/>
              <w:jc w:val="center"/>
              <w:rPr>
                <w:rFonts w:cs="Times New Roman"/>
                <w:b/>
                <w:sz w:val="21"/>
                <w:szCs w:val="21"/>
              </w:rPr>
            </w:pPr>
            <w:r>
              <w:rPr>
                <w:rFonts w:hint="eastAsia" w:cs="Times New Roman"/>
                <w:b/>
                <w:sz w:val="21"/>
                <w:szCs w:val="21"/>
              </w:rPr>
              <w:t>水位（m）</w:t>
            </w:r>
          </w:p>
        </w:tc>
      </w:tr>
      <w:tr w14:paraId="783C7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vAlign w:val="center"/>
          </w:tcPr>
          <w:p w14:paraId="6631489B">
            <w:pPr>
              <w:spacing w:line="240" w:lineRule="auto"/>
              <w:ind w:firstLine="0" w:firstLineChars="0"/>
              <w:jc w:val="center"/>
              <w:rPr>
                <w:rFonts w:cs="Times New Roman"/>
                <w:sz w:val="21"/>
                <w:szCs w:val="21"/>
              </w:rPr>
            </w:pPr>
            <w:r>
              <w:rPr>
                <w:rFonts w:hint="eastAsia" w:cs="Times New Roman"/>
                <w:sz w:val="21"/>
                <w:szCs w:val="21"/>
              </w:rPr>
              <w:t>1</w:t>
            </w:r>
          </w:p>
        </w:tc>
        <w:tc>
          <w:tcPr>
            <w:tcW w:w="878" w:type="pct"/>
            <w:vAlign w:val="center"/>
          </w:tcPr>
          <w:p w14:paraId="0BBB4C43">
            <w:pPr>
              <w:spacing w:line="240" w:lineRule="auto"/>
              <w:ind w:firstLine="0" w:firstLineChars="0"/>
              <w:jc w:val="center"/>
              <w:rPr>
                <w:rFonts w:cs="Times New Roman"/>
                <w:sz w:val="21"/>
                <w:szCs w:val="21"/>
              </w:rPr>
            </w:pPr>
            <w:r>
              <w:rPr>
                <w:rFonts w:hint="eastAsia" w:eastAsia="华文仿宋" w:cs="Times New Roman"/>
                <w:sz w:val="21"/>
                <w:szCs w:val="21"/>
              </w:rPr>
              <w:t>D1</w:t>
            </w:r>
          </w:p>
        </w:tc>
        <w:tc>
          <w:tcPr>
            <w:tcW w:w="1701" w:type="pct"/>
            <w:vAlign w:val="center"/>
          </w:tcPr>
          <w:p w14:paraId="2B6953AC">
            <w:pPr>
              <w:spacing w:line="240" w:lineRule="auto"/>
              <w:ind w:firstLine="0" w:firstLineChars="0"/>
              <w:jc w:val="center"/>
              <w:rPr>
                <w:rFonts w:ascii="仿宋_GB2312" w:cs="Times New Roman"/>
                <w:sz w:val="21"/>
                <w:szCs w:val="21"/>
              </w:rPr>
            </w:pPr>
            <w:r>
              <w:rPr>
                <w:rFonts w:hint="eastAsia" w:ascii="仿宋_GB2312" w:hAnsi="华文仿宋"/>
                <w:sz w:val="21"/>
                <w:szCs w:val="21"/>
              </w:rPr>
              <w:t>东进小区</w:t>
            </w:r>
          </w:p>
        </w:tc>
        <w:tc>
          <w:tcPr>
            <w:tcW w:w="1698" w:type="pct"/>
            <w:vAlign w:val="center"/>
          </w:tcPr>
          <w:p w14:paraId="02BBC335">
            <w:pPr>
              <w:spacing w:line="240" w:lineRule="auto"/>
              <w:ind w:firstLine="0" w:firstLineChars="0"/>
              <w:jc w:val="center"/>
              <w:rPr>
                <w:rFonts w:cs="Times New Roman"/>
                <w:sz w:val="21"/>
                <w:szCs w:val="21"/>
              </w:rPr>
            </w:pPr>
            <w:r>
              <w:rPr>
                <w:rFonts w:hint="eastAsia" w:cs="Times New Roman"/>
                <w:sz w:val="21"/>
                <w:szCs w:val="21"/>
              </w:rPr>
              <w:t>3.0</w:t>
            </w:r>
          </w:p>
        </w:tc>
      </w:tr>
      <w:tr w14:paraId="3A972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vAlign w:val="center"/>
          </w:tcPr>
          <w:p w14:paraId="4238940F">
            <w:pPr>
              <w:spacing w:line="240" w:lineRule="auto"/>
              <w:ind w:firstLine="0" w:firstLineChars="0"/>
              <w:jc w:val="center"/>
              <w:rPr>
                <w:rFonts w:cs="Times New Roman"/>
                <w:sz w:val="21"/>
                <w:szCs w:val="21"/>
              </w:rPr>
            </w:pPr>
            <w:r>
              <w:rPr>
                <w:rFonts w:hint="eastAsia" w:cs="Times New Roman"/>
                <w:sz w:val="21"/>
                <w:szCs w:val="21"/>
              </w:rPr>
              <w:t>2</w:t>
            </w:r>
          </w:p>
        </w:tc>
        <w:tc>
          <w:tcPr>
            <w:tcW w:w="878" w:type="pct"/>
            <w:vAlign w:val="center"/>
          </w:tcPr>
          <w:p w14:paraId="0F94D426">
            <w:pPr>
              <w:spacing w:line="240" w:lineRule="auto"/>
              <w:ind w:firstLine="0" w:firstLineChars="0"/>
              <w:jc w:val="center"/>
              <w:rPr>
                <w:rFonts w:cs="Times New Roman"/>
                <w:sz w:val="21"/>
                <w:szCs w:val="21"/>
              </w:rPr>
            </w:pPr>
            <w:r>
              <w:rPr>
                <w:rFonts w:hint="eastAsia" w:eastAsia="华文仿宋" w:cs="Times New Roman"/>
                <w:sz w:val="21"/>
                <w:szCs w:val="21"/>
              </w:rPr>
              <w:t>D2</w:t>
            </w:r>
          </w:p>
        </w:tc>
        <w:tc>
          <w:tcPr>
            <w:tcW w:w="1701" w:type="pct"/>
            <w:vAlign w:val="center"/>
          </w:tcPr>
          <w:p w14:paraId="5B9B8155">
            <w:pPr>
              <w:spacing w:line="240" w:lineRule="auto"/>
              <w:ind w:firstLine="0" w:firstLineChars="0"/>
              <w:jc w:val="center"/>
              <w:rPr>
                <w:rFonts w:ascii="仿宋_GB2312" w:cs="Times New Roman"/>
                <w:sz w:val="21"/>
                <w:szCs w:val="21"/>
              </w:rPr>
            </w:pPr>
            <w:r>
              <w:rPr>
                <w:rFonts w:hint="eastAsia" w:ascii="仿宋_GB2312" w:hAnsi="华文仿宋"/>
                <w:sz w:val="21"/>
                <w:szCs w:val="21"/>
              </w:rPr>
              <w:t>雅居乐山湖城</w:t>
            </w:r>
          </w:p>
        </w:tc>
        <w:tc>
          <w:tcPr>
            <w:tcW w:w="1698" w:type="pct"/>
            <w:vAlign w:val="center"/>
          </w:tcPr>
          <w:p w14:paraId="77BD7750">
            <w:pPr>
              <w:spacing w:line="240" w:lineRule="auto"/>
              <w:ind w:firstLine="0" w:firstLineChars="0"/>
              <w:jc w:val="center"/>
              <w:rPr>
                <w:rFonts w:cs="Times New Roman"/>
                <w:sz w:val="21"/>
                <w:szCs w:val="21"/>
              </w:rPr>
            </w:pPr>
            <w:r>
              <w:rPr>
                <w:rFonts w:hint="eastAsia" w:cs="Times New Roman"/>
                <w:sz w:val="21"/>
                <w:szCs w:val="21"/>
              </w:rPr>
              <w:t>3.1</w:t>
            </w:r>
          </w:p>
        </w:tc>
      </w:tr>
      <w:tr w14:paraId="2B168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vAlign w:val="center"/>
          </w:tcPr>
          <w:p w14:paraId="537F1B3E">
            <w:pPr>
              <w:spacing w:line="240" w:lineRule="auto"/>
              <w:ind w:firstLine="0" w:firstLineChars="0"/>
              <w:jc w:val="center"/>
              <w:rPr>
                <w:rFonts w:cs="Times New Roman"/>
                <w:sz w:val="21"/>
                <w:szCs w:val="21"/>
              </w:rPr>
            </w:pPr>
            <w:r>
              <w:rPr>
                <w:rFonts w:hint="eastAsia" w:cs="Times New Roman"/>
                <w:sz w:val="21"/>
                <w:szCs w:val="21"/>
              </w:rPr>
              <w:t>3</w:t>
            </w:r>
          </w:p>
        </w:tc>
        <w:tc>
          <w:tcPr>
            <w:tcW w:w="878" w:type="pct"/>
            <w:vAlign w:val="center"/>
          </w:tcPr>
          <w:p w14:paraId="4E4507AB">
            <w:pPr>
              <w:spacing w:line="240" w:lineRule="auto"/>
              <w:ind w:firstLine="0" w:firstLineChars="0"/>
              <w:jc w:val="center"/>
              <w:rPr>
                <w:rFonts w:cs="Times New Roman"/>
                <w:sz w:val="21"/>
                <w:szCs w:val="21"/>
              </w:rPr>
            </w:pPr>
            <w:r>
              <w:rPr>
                <w:rFonts w:hint="eastAsia" w:eastAsia="华文仿宋" w:cs="Times New Roman"/>
                <w:sz w:val="21"/>
                <w:szCs w:val="21"/>
              </w:rPr>
              <w:t>D3</w:t>
            </w:r>
          </w:p>
        </w:tc>
        <w:tc>
          <w:tcPr>
            <w:tcW w:w="1701" w:type="pct"/>
            <w:vAlign w:val="center"/>
          </w:tcPr>
          <w:p w14:paraId="49440569">
            <w:pPr>
              <w:spacing w:line="240" w:lineRule="auto"/>
              <w:ind w:firstLine="0" w:firstLineChars="0"/>
              <w:jc w:val="center"/>
              <w:rPr>
                <w:rFonts w:ascii="仿宋_GB2312" w:cs="Times New Roman"/>
                <w:sz w:val="21"/>
                <w:szCs w:val="21"/>
              </w:rPr>
            </w:pPr>
            <w:r>
              <w:rPr>
                <w:rFonts w:hint="eastAsia" w:ascii="仿宋_GB2312" w:hAnsi="华文仿宋"/>
                <w:sz w:val="21"/>
                <w:szCs w:val="21"/>
              </w:rPr>
              <w:t>山湖城花园湖畔小院</w:t>
            </w:r>
          </w:p>
        </w:tc>
        <w:tc>
          <w:tcPr>
            <w:tcW w:w="1698" w:type="pct"/>
            <w:vAlign w:val="center"/>
          </w:tcPr>
          <w:p w14:paraId="51906243">
            <w:pPr>
              <w:spacing w:line="240" w:lineRule="auto"/>
              <w:ind w:firstLine="0" w:firstLineChars="0"/>
              <w:jc w:val="center"/>
              <w:rPr>
                <w:rFonts w:cs="Times New Roman"/>
                <w:sz w:val="21"/>
                <w:szCs w:val="21"/>
              </w:rPr>
            </w:pPr>
            <w:r>
              <w:rPr>
                <w:rFonts w:hint="eastAsia" w:cs="Times New Roman"/>
                <w:sz w:val="21"/>
                <w:szCs w:val="21"/>
              </w:rPr>
              <w:t>2.0</w:t>
            </w:r>
          </w:p>
        </w:tc>
      </w:tr>
      <w:tr w14:paraId="7D6A8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vAlign w:val="center"/>
          </w:tcPr>
          <w:p w14:paraId="1AED65A0">
            <w:pPr>
              <w:spacing w:line="240" w:lineRule="auto"/>
              <w:ind w:firstLine="0" w:firstLineChars="0"/>
              <w:jc w:val="center"/>
              <w:rPr>
                <w:rFonts w:cs="Times New Roman"/>
                <w:sz w:val="21"/>
                <w:szCs w:val="21"/>
              </w:rPr>
            </w:pPr>
            <w:r>
              <w:rPr>
                <w:rFonts w:hint="eastAsia" w:cs="Times New Roman"/>
                <w:sz w:val="21"/>
                <w:szCs w:val="21"/>
              </w:rPr>
              <w:t>4</w:t>
            </w:r>
          </w:p>
        </w:tc>
        <w:tc>
          <w:tcPr>
            <w:tcW w:w="878" w:type="pct"/>
            <w:vAlign w:val="center"/>
          </w:tcPr>
          <w:p w14:paraId="206061C0">
            <w:pPr>
              <w:spacing w:line="240" w:lineRule="auto"/>
              <w:ind w:firstLine="0" w:firstLineChars="0"/>
              <w:jc w:val="center"/>
              <w:rPr>
                <w:rFonts w:cs="Times New Roman"/>
                <w:sz w:val="21"/>
                <w:szCs w:val="21"/>
              </w:rPr>
            </w:pPr>
            <w:r>
              <w:rPr>
                <w:rFonts w:hint="eastAsia" w:eastAsia="华文仿宋" w:cs="Times New Roman"/>
                <w:sz w:val="21"/>
                <w:szCs w:val="21"/>
              </w:rPr>
              <w:t>D4</w:t>
            </w:r>
          </w:p>
        </w:tc>
        <w:tc>
          <w:tcPr>
            <w:tcW w:w="1701" w:type="pct"/>
            <w:vAlign w:val="center"/>
          </w:tcPr>
          <w:p w14:paraId="2C92C630">
            <w:pPr>
              <w:spacing w:line="240" w:lineRule="auto"/>
              <w:ind w:firstLine="0" w:firstLineChars="0"/>
              <w:jc w:val="center"/>
              <w:rPr>
                <w:rFonts w:ascii="仿宋_GB2312" w:cs="Times New Roman"/>
                <w:sz w:val="21"/>
                <w:szCs w:val="21"/>
              </w:rPr>
            </w:pPr>
            <w:r>
              <w:rPr>
                <w:rFonts w:hint="eastAsia" w:ascii="仿宋_GB2312" w:hAnsi="华文仿宋"/>
                <w:spacing w:val="8"/>
                <w:sz w:val="21"/>
                <w:szCs w:val="21"/>
              </w:rPr>
              <w:t>明月山溪花园</w:t>
            </w:r>
          </w:p>
        </w:tc>
        <w:tc>
          <w:tcPr>
            <w:tcW w:w="1698" w:type="pct"/>
            <w:vAlign w:val="center"/>
          </w:tcPr>
          <w:p w14:paraId="15C9E533">
            <w:pPr>
              <w:spacing w:line="240" w:lineRule="auto"/>
              <w:ind w:firstLine="0" w:firstLineChars="0"/>
              <w:jc w:val="center"/>
              <w:rPr>
                <w:rFonts w:cs="Times New Roman"/>
                <w:sz w:val="21"/>
                <w:szCs w:val="21"/>
              </w:rPr>
            </w:pPr>
            <w:r>
              <w:rPr>
                <w:rFonts w:hint="eastAsia" w:cs="Times New Roman"/>
                <w:sz w:val="21"/>
                <w:szCs w:val="21"/>
              </w:rPr>
              <w:t>1.8</w:t>
            </w:r>
          </w:p>
        </w:tc>
      </w:tr>
      <w:tr w14:paraId="14D2A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vAlign w:val="center"/>
          </w:tcPr>
          <w:p w14:paraId="7BB4D5EB">
            <w:pPr>
              <w:spacing w:line="240" w:lineRule="auto"/>
              <w:ind w:firstLine="0" w:firstLineChars="0"/>
              <w:jc w:val="center"/>
              <w:rPr>
                <w:rFonts w:cs="Times New Roman"/>
                <w:sz w:val="21"/>
                <w:szCs w:val="21"/>
              </w:rPr>
            </w:pPr>
            <w:r>
              <w:rPr>
                <w:rFonts w:hint="eastAsia" w:cs="Times New Roman"/>
                <w:sz w:val="21"/>
                <w:szCs w:val="21"/>
              </w:rPr>
              <w:t>5</w:t>
            </w:r>
          </w:p>
        </w:tc>
        <w:tc>
          <w:tcPr>
            <w:tcW w:w="878" w:type="pct"/>
            <w:vAlign w:val="center"/>
          </w:tcPr>
          <w:p w14:paraId="637F9BB8">
            <w:pPr>
              <w:spacing w:line="240" w:lineRule="auto"/>
              <w:ind w:firstLine="0" w:firstLineChars="0"/>
              <w:jc w:val="center"/>
              <w:rPr>
                <w:rFonts w:cs="Times New Roman"/>
                <w:sz w:val="21"/>
                <w:szCs w:val="21"/>
              </w:rPr>
            </w:pPr>
            <w:r>
              <w:rPr>
                <w:rFonts w:hint="eastAsia" w:eastAsia="华文仿宋" w:cs="Times New Roman"/>
                <w:sz w:val="21"/>
                <w:szCs w:val="21"/>
              </w:rPr>
              <w:t>D5</w:t>
            </w:r>
          </w:p>
        </w:tc>
        <w:tc>
          <w:tcPr>
            <w:tcW w:w="1701" w:type="pct"/>
            <w:vAlign w:val="center"/>
          </w:tcPr>
          <w:p w14:paraId="3185CBB8">
            <w:pPr>
              <w:spacing w:line="240" w:lineRule="auto"/>
              <w:ind w:firstLine="0" w:firstLineChars="0"/>
              <w:jc w:val="center"/>
              <w:rPr>
                <w:rFonts w:ascii="仿宋_GB2312" w:cs="Times New Roman"/>
                <w:sz w:val="21"/>
                <w:szCs w:val="21"/>
              </w:rPr>
            </w:pPr>
            <w:r>
              <w:rPr>
                <w:rFonts w:hint="eastAsia" w:ascii="仿宋_GB2312" w:hAnsi="华文仿宋"/>
                <w:sz w:val="21"/>
                <w:szCs w:val="21"/>
              </w:rPr>
              <w:t>养心园</w:t>
            </w:r>
          </w:p>
        </w:tc>
        <w:tc>
          <w:tcPr>
            <w:tcW w:w="1698" w:type="pct"/>
            <w:vAlign w:val="center"/>
          </w:tcPr>
          <w:p w14:paraId="74E51E91">
            <w:pPr>
              <w:spacing w:line="240" w:lineRule="auto"/>
              <w:ind w:firstLine="0" w:firstLineChars="0"/>
              <w:jc w:val="center"/>
              <w:rPr>
                <w:rFonts w:cs="Times New Roman"/>
                <w:sz w:val="21"/>
                <w:szCs w:val="21"/>
              </w:rPr>
            </w:pPr>
            <w:r>
              <w:rPr>
                <w:rFonts w:hint="eastAsia" w:cs="Times New Roman"/>
                <w:sz w:val="21"/>
                <w:szCs w:val="21"/>
              </w:rPr>
              <w:t>2.2</w:t>
            </w:r>
          </w:p>
        </w:tc>
      </w:tr>
      <w:tr w14:paraId="2F9BC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vAlign w:val="center"/>
          </w:tcPr>
          <w:p w14:paraId="6F72A97C">
            <w:pPr>
              <w:spacing w:line="240" w:lineRule="auto"/>
              <w:ind w:firstLine="0" w:firstLineChars="0"/>
              <w:jc w:val="center"/>
              <w:rPr>
                <w:rFonts w:cs="Times New Roman"/>
                <w:sz w:val="21"/>
                <w:szCs w:val="21"/>
              </w:rPr>
            </w:pPr>
            <w:r>
              <w:rPr>
                <w:rFonts w:hint="eastAsia" w:cs="Times New Roman"/>
                <w:sz w:val="21"/>
                <w:szCs w:val="21"/>
              </w:rPr>
              <w:t>6</w:t>
            </w:r>
          </w:p>
        </w:tc>
        <w:tc>
          <w:tcPr>
            <w:tcW w:w="878" w:type="pct"/>
            <w:vAlign w:val="center"/>
          </w:tcPr>
          <w:p w14:paraId="1CDCDA68">
            <w:pPr>
              <w:spacing w:line="240" w:lineRule="auto"/>
              <w:ind w:firstLine="0" w:firstLineChars="0"/>
              <w:jc w:val="center"/>
              <w:rPr>
                <w:rFonts w:cs="Times New Roman"/>
                <w:sz w:val="21"/>
                <w:szCs w:val="21"/>
              </w:rPr>
            </w:pPr>
            <w:r>
              <w:rPr>
                <w:rFonts w:hint="eastAsia" w:eastAsia="华文仿宋" w:cs="Times New Roman"/>
                <w:sz w:val="21"/>
                <w:szCs w:val="21"/>
              </w:rPr>
              <w:t>D6</w:t>
            </w:r>
          </w:p>
        </w:tc>
        <w:tc>
          <w:tcPr>
            <w:tcW w:w="1701" w:type="pct"/>
            <w:vAlign w:val="center"/>
          </w:tcPr>
          <w:p w14:paraId="5FB39209">
            <w:pPr>
              <w:spacing w:line="240" w:lineRule="auto"/>
              <w:ind w:firstLine="0" w:firstLineChars="0"/>
              <w:jc w:val="center"/>
              <w:rPr>
                <w:rFonts w:ascii="仿宋_GB2312" w:cs="Times New Roman"/>
                <w:sz w:val="21"/>
                <w:szCs w:val="21"/>
              </w:rPr>
            </w:pPr>
            <w:r>
              <w:rPr>
                <w:rFonts w:hint="eastAsia" w:ascii="仿宋_GB2312" w:hAnsi="华文仿宋"/>
                <w:sz w:val="21"/>
                <w:szCs w:val="21"/>
              </w:rPr>
              <w:t>林场村</w:t>
            </w:r>
          </w:p>
        </w:tc>
        <w:tc>
          <w:tcPr>
            <w:tcW w:w="1698" w:type="pct"/>
            <w:vAlign w:val="center"/>
          </w:tcPr>
          <w:p w14:paraId="06F63D56">
            <w:pPr>
              <w:spacing w:line="240" w:lineRule="auto"/>
              <w:ind w:firstLine="0" w:firstLineChars="0"/>
              <w:jc w:val="center"/>
              <w:rPr>
                <w:rFonts w:cs="Times New Roman"/>
                <w:sz w:val="21"/>
                <w:szCs w:val="21"/>
              </w:rPr>
            </w:pPr>
            <w:r>
              <w:rPr>
                <w:rFonts w:hint="eastAsia" w:cs="Times New Roman"/>
                <w:sz w:val="21"/>
                <w:szCs w:val="21"/>
              </w:rPr>
              <w:t>5.0</w:t>
            </w:r>
          </w:p>
        </w:tc>
      </w:tr>
      <w:tr w14:paraId="6C500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vAlign w:val="center"/>
          </w:tcPr>
          <w:p w14:paraId="06FF7189">
            <w:pPr>
              <w:spacing w:line="240" w:lineRule="auto"/>
              <w:ind w:firstLine="0" w:firstLineChars="0"/>
              <w:jc w:val="center"/>
              <w:rPr>
                <w:rFonts w:cs="Times New Roman"/>
                <w:sz w:val="21"/>
                <w:szCs w:val="21"/>
              </w:rPr>
            </w:pPr>
            <w:r>
              <w:rPr>
                <w:rFonts w:hint="eastAsia" w:cs="Times New Roman"/>
                <w:sz w:val="21"/>
                <w:szCs w:val="21"/>
              </w:rPr>
              <w:t>7</w:t>
            </w:r>
          </w:p>
        </w:tc>
        <w:tc>
          <w:tcPr>
            <w:tcW w:w="878" w:type="pct"/>
            <w:vAlign w:val="center"/>
          </w:tcPr>
          <w:p w14:paraId="10B33DC2">
            <w:pPr>
              <w:spacing w:line="240" w:lineRule="auto"/>
              <w:ind w:firstLine="0" w:firstLineChars="0"/>
              <w:jc w:val="center"/>
              <w:rPr>
                <w:rFonts w:cs="Times New Roman"/>
                <w:sz w:val="21"/>
                <w:szCs w:val="21"/>
              </w:rPr>
            </w:pPr>
            <w:r>
              <w:rPr>
                <w:rFonts w:hint="eastAsia" w:eastAsia="华文仿宋" w:cs="Times New Roman"/>
                <w:sz w:val="21"/>
                <w:szCs w:val="21"/>
              </w:rPr>
              <w:t>D7</w:t>
            </w:r>
          </w:p>
        </w:tc>
        <w:tc>
          <w:tcPr>
            <w:tcW w:w="1701" w:type="pct"/>
            <w:vAlign w:val="center"/>
          </w:tcPr>
          <w:p w14:paraId="4754FCAA">
            <w:pPr>
              <w:spacing w:line="240" w:lineRule="auto"/>
              <w:ind w:firstLine="0" w:firstLineChars="0"/>
              <w:jc w:val="center"/>
              <w:rPr>
                <w:rFonts w:ascii="仿宋_GB2312" w:cs="Times New Roman"/>
                <w:sz w:val="21"/>
                <w:szCs w:val="21"/>
              </w:rPr>
            </w:pPr>
            <w:r>
              <w:rPr>
                <w:rFonts w:hint="eastAsia" w:ascii="仿宋_GB2312" w:hAnsi="华文仿宋"/>
                <w:sz w:val="21"/>
                <w:szCs w:val="21"/>
              </w:rPr>
              <w:t>高德庄园</w:t>
            </w:r>
          </w:p>
        </w:tc>
        <w:tc>
          <w:tcPr>
            <w:tcW w:w="1698" w:type="pct"/>
            <w:vAlign w:val="center"/>
          </w:tcPr>
          <w:p w14:paraId="226DE0A6">
            <w:pPr>
              <w:spacing w:line="240" w:lineRule="auto"/>
              <w:ind w:firstLine="0" w:firstLineChars="0"/>
              <w:jc w:val="center"/>
              <w:rPr>
                <w:rFonts w:cs="Times New Roman"/>
                <w:sz w:val="21"/>
                <w:szCs w:val="21"/>
              </w:rPr>
            </w:pPr>
            <w:r>
              <w:rPr>
                <w:rFonts w:hint="eastAsia" w:cs="Times New Roman"/>
                <w:sz w:val="21"/>
                <w:szCs w:val="21"/>
              </w:rPr>
              <w:t>5.0</w:t>
            </w:r>
          </w:p>
        </w:tc>
      </w:tr>
      <w:tr w14:paraId="232BC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vAlign w:val="center"/>
          </w:tcPr>
          <w:p w14:paraId="542DDB79">
            <w:pPr>
              <w:spacing w:line="240" w:lineRule="auto"/>
              <w:ind w:firstLine="0" w:firstLineChars="0"/>
              <w:jc w:val="center"/>
              <w:rPr>
                <w:rFonts w:cs="Times New Roman"/>
                <w:sz w:val="21"/>
                <w:szCs w:val="21"/>
              </w:rPr>
            </w:pPr>
            <w:r>
              <w:rPr>
                <w:rFonts w:hint="eastAsia" w:cs="Times New Roman"/>
                <w:sz w:val="21"/>
                <w:szCs w:val="21"/>
              </w:rPr>
              <w:t>8</w:t>
            </w:r>
          </w:p>
        </w:tc>
        <w:tc>
          <w:tcPr>
            <w:tcW w:w="878" w:type="pct"/>
            <w:vAlign w:val="center"/>
          </w:tcPr>
          <w:p w14:paraId="7E498480">
            <w:pPr>
              <w:spacing w:line="240" w:lineRule="auto"/>
              <w:ind w:firstLine="0" w:firstLineChars="0"/>
              <w:jc w:val="center"/>
              <w:rPr>
                <w:rFonts w:cs="Times New Roman"/>
                <w:sz w:val="21"/>
                <w:szCs w:val="21"/>
              </w:rPr>
            </w:pPr>
            <w:r>
              <w:rPr>
                <w:rFonts w:hint="eastAsia" w:eastAsia="华文仿宋" w:cs="Times New Roman"/>
                <w:sz w:val="21"/>
                <w:szCs w:val="21"/>
              </w:rPr>
              <w:t>D8</w:t>
            </w:r>
          </w:p>
        </w:tc>
        <w:tc>
          <w:tcPr>
            <w:tcW w:w="1701" w:type="pct"/>
            <w:vAlign w:val="center"/>
          </w:tcPr>
          <w:p w14:paraId="656D10A5">
            <w:pPr>
              <w:spacing w:line="240" w:lineRule="auto"/>
              <w:ind w:firstLine="0" w:firstLineChars="0"/>
              <w:jc w:val="center"/>
              <w:rPr>
                <w:rFonts w:ascii="仿宋_GB2312" w:cs="Times New Roman"/>
                <w:sz w:val="21"/>
                <w:szCs w:val="21"/>
              </w:rPr>
            </w:pPr>
            <w:r>
              <w:rPr>
                <w:rFonts w:hint="eastAsia" w:ascii="仿宋_GB2312" w:hAnsi="华文仿宋"/>
                <w:sz w:val="21"/>
                <w:szCs w:val="21"/>
              </w:rPr>
              <w:t>一号农场</w:t>
            </w:r>
          </w:p>
        </w:tc>
        <w:tc>
          <w:tcPr>
            <w:tcW w:w="1698" w:type="pct"/>
            <w:vAlign w:val="center"/>
          </w:tcPr>
          <w:p w14:paraId="24246462">
            <w:pPr>
              <w:spacing w:line="240" w:lineRule="auto"/>
              <w:ind w:firstLine="0" w:firstLineChars="0"/>
              <w:jc w:val="center"/>
              <w:rPr>
                <w:rFonts w:cs="Times New Roman"/>
                <w:sz w:val="21"/>
                <w:szCs w:val="21"/>
              </w:rPr>
            </w:pPr>
            <w:r>
              <w:rPr>
                <w:rFonts w:hint="eastAsia" w:cs="Times New Roman"/>
                <w:sz w:val="21"/>
                <w:szCs w:val="21"/>
              </w:rPr>
              <w:t>1.4</w:t>
            </w:r>
          </w:p>
        </w:tc>
      </w:tr>
      <w:tr w14:paraId="54014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vAlign w:val="center"/>
          </w:tcPr>
          <w:p w14:paraId="607CDC07">
            <w:pPr>
              <w:spacing w:line="240" w:lineRule="auto"/>
              <w:ind w:firstLine="0" w:firstLineChars="0"/>
              <w:jc w:val="center"/>
              <w:rPr>
                <w:rFonts w:cs="Times New Roman"/>
                <w:sz w:val="21"/>
                <w:szCs w:val="21"/>
              </w:rPr>
            </w:pPr>
            <w:r>
              <w:rPr>
                <w:rFonts w:hint="eastAsia" w:cs="Times New Roman"/>
                <w:sz w:val="21"/>
                <w:szCs w:val="21"/>
              </w:rPr>
              <w:t>9</w:t>
            </w:r>
          </w:p>
        </w:tc>
        <w:tc>
          <w:tcPr>
            <w:tcW w:w="878" w:type="pct"/>
            <w:vAlign w:val="center"/>
          </w:tcPr>
          <w:p w14:paraId="3111F021">
            <w:pPr>
              <w:spacing w:line="240" w:lineRule="auto"/>
              <w:ind w:firstLine="0" w:firstLineChars="0"/>
              <w:jc w:val="center"/>
              <w:rPr>
                <w:rFonts w:cs="Times New Roman"/>
                <w:sz w:val="21"/>
                <w:szCs w:val="21"/>
              </w:rPr>
            </w:pPr>
            <w:r>
              <w:rPr>
                <w:rFonts w:hint="eastAsia" w:eastAsia="华文仿宋" w:cs="Times New Roman"/>
                <w:sz w:val="21"/>
                <w:szCs w:val="21"/>
              </w:rPr>
              <w:t>D9</w:t>
            </w:r>
          </w:p>
        </w:tc>
        <w:tc>
          <w:tcPr>
            <w:tcW w:w="1701" w:type="pct"/>
            <w:vAlign w:val="center"/>
          </w:tcPr>
          <w:p w14:paraId="1835F7EF">
            <w:pPr>
              <w:spacing w:line="240" w:lineRule="auto"/>
              <w:ind w:firstLine="0" w:firstLineChars="0"/>
              <w:jc w:val="center"/>
              <w:rPr>
                <w:rFonts w:ascii="仿宋_GB2312" w:cs="Times New Roman"/>
                <w:sz w:val="21"/>
                <w:szCs w:val="21"/>
              </w:rPr>
            </w:pPr>
            <w:r>
              <w:rPr>
                <w:rFonts w:hint="eastAsia" w:ascii="仿宋_GB2312" w:hAnsi="华文仿宋"/>
                <w:sz w:val="21"/>
                <w:szCs w:val="21"/>
              </w:rPr>
              <w:t>宜庄村</w:t>
            </w:r>
          </w:p>
        </w:tc>
        <w:tc>
          <w:tcPr>
            <w:tcW w:w="1698" w:type="pct"/>
            <w:vAlign w:val="center"/>
          </w:tcPr>
          <w:p w14:paraId="69754C69">
            <w:pPr>
              <w:spacing w:line="240" w:lineRule="auto"/>
              <w:ind w:firstLine="0" w:firstLineChars="0"/>
              <w:jc w:val="center"/>
              <w:rPr>
                <w:rFonts w:cs="Times New Roman"/>
                <w:sz w:val="21"/>
                <w:szCs w:val="21"/>
              </w:rPr>
            </w:pPr>
            <w:r>
              <w:rPr>
                <w:rFonts w:hint="eastAsia" w:cs="Times New Roman"/>
                <w:sz w:val="21"/>
                <w:szCs w:val="21"/>
              </w:rPr>
              <w:t>1.5</w:t>
            </w:r>
          </w:p>
        </w:tc>
      </w:tr>
      <w:tr w14:paraId="1DE52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vAlign w:val="center"/>
          </w:tcPr>
          <w:p w14:paraId="50347C32">
            <w:pPr>
              <w:spacing w:line="240" w:lineRule="auto"/>
              <w:ind w:firstLine="0" w:firstLineChars="0"/>
              <w:jc w:val="center"/>
              <w:rPr>
                <w:rFonts w:cs="Times New Roman"/>
                <w:sz w:val="21"/>
                <w:szCs w:val="21"/>
              </w:rPr>
            </w:pPr>
            <w:r>
              <w:rPr>
                <w:rFonts w:hint="eastAsia" w:cs="Times New Roman"/>
                <w:sz w:val="21"/>
                <w:szCs w:val="21"/>
              </w:rPr>
              <w:t>10</w:t>
            </w:r>
          </w:p>
        </w:tc>
        <w:tc>
          <w:tcPr>
            <w:tcW w:w="878" w:type="pct"/>
            <w:vAlign w:val="center"/>
          </w:tcPr>
          <w:p w14:paraId="088D7398">
            <w:pPr>
              <w:spacing w:line="240" w:lineRule="auto"/>
              <w:ind w:firstLine="0" w:firstLineChars="0"/>
              <w:jc w:val="center"/>
              <w:rPr>
                <w:rFonts w:cs="Times New Roman"/>
                <w:sz w:val="21"/>
                <w:szCs w:val="21"/>
              </w:rPr>
            </w:pPr>
            <w:r>
              <w:rPr>
                <w:rFonts w:hint="eastAsia" w:eastAsia="华文仿宋" w:cs="Times New Roman"/>
                <w:sz w:val="21"/>
                <w:szCs w:val="21"/>
              </w:rPr>
              <w:t>D10</w:t>
            </w:r>
          </w:p>
        </w:tc>
        <w:tc>
          <w:tcPr>
            <w:tcW w:w="1701" w:type="pct"/>
            <w:vAlign w:val="center"/>
          </w:tcPr>
          <w:p w14:paraId="35983123">
            <w:pPr>
              <w:spacing w:line="240" w:lineRule="auto"/>
              <w:ind w:firstLine="0" w:firstLineChars="0"/>
              <w:jc w:val="center"/>
              <w:rPr>
                <w:rFonts w:ascii="仿宋_GB2312" w:cs="Times New Roman"/>
                <w:sz w:val="21"/>
                <w:szCs w:val="21"/>
              </w:rPr>
            </w:pPr>
            <w:r>
              <w:rPr>
                <w:rFonts w:hint="eastAsia" w:ascii="仿宋_GB2312" w:hAnsi="华文仿宋"/>
                <w:sz w:val="21"/>
                <w:szCs w:val="21"/>
              </w:rPr>
              <w:t>建国村</w:t>
            </w:r>
          </w:p>
        </w:tc>
        <w:tc>
          <w:tcPr>
            <w:tcW w:w="1698" w:type="pct"/>
            <w:vAlign w:val="center"/>
          </w:tcPr>
          <w:p w14:paraId="2AA1D7EB">
            <w:pPr>
              <w:spacing w:line="240" w:lineRule="auto"/>
              <w:ind w:firstLine="0" w:firstLineChars="0"/>
              <w:jc w:val="center"/>
              <w:rPr>
                <w:rFonts w:cs="Times New Roman"/>
                <w:sz w:val="21"/>
                <w:szCs w:val="21"/>
              </w:rPr>
            </w:pPr>
            <w:r>
              <w:rPr>
                <w:rFonts w:hint="eastAsia" w:cs="Times New Roman"/>
                <w:sz w:val="21"/>
                <w:szCs w:val="21"/>
              </w:rPr>
              <w:t>1.1</w:t>
            </w:r>
          </w:p>
        </w:tc>
      </w:tr>
      <w:tr w14:paraId="26B80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vAlign w:val="center"/>
          </w:tcPr>
          <w:p w14:paraId="7A4E5743">
            <w:pPr>
              <w:spacing w:line="240" w:lineRule="auto"/>
              <w:ind w:firstLine="0" w:firstLineChars="0"/>
              <w:jc w:val="center"/>
              <w:rPr>
                <w:rFonts w:cs="Times New Roman"/>
                <w:sz w:val="21"/>
                <w:szCs w:val="21"/>
              </w:rPr>
            </w:pPr>
            <w:r>
              <w:rPr>
                <w:rFonts w:hint="eastAsia" w:cs="Times New Roman"/>
                <w:sz w:val="21"/>
                <w:szCs w:val="21"/>
              </w:rPr>
              <w:t>11</w:t>
            </w:r>
          </w:p>
        </w:tc>
        <w:tc>
          <w:tcPr>
            <w:tcW w:w="878" w:type="pct"/>
            <w:vAlign w:val="center"/>
          </w:tcPr>
          <w:p w14:paraId="2A76A279">
            <w:pPr>
              <w:spacing w:line="240" w:lineRule="auto"/>
              <w:ind w:firstLine="0" w:firstLineChars="0"/>
              <w:jc w:val="center"/>
              <w:rPr>
                <w:rFonts w:cs="Times New Roman"/>
                <w:sz w:val="21"/>
                <w:szCs w:val="21"/>
              </w:rPr>
            </w:pPr>
            <w:r>
              <w:rPr>
                <w:rFonts w:hint="eastAsia" w:eastAsia="华文仿宋" w:cs="Times New Roman"/>
                <w:sz w:val="21"/>
                <w:szCs w:val="21"/>
              </w:rPr>
              <w:t>D11</w:t>
            </w:r>
          </w:p>
        </w:tc>
        <w:tc>
          <w:tcPr>
            <w:tcW w:w="1701" w:type="pct"/>
            <w:vAlign w:val="center"/>
          </w:tcPr>
          <w:p w14:paraId="2443BC9F">
            <w:pPr>
              <w:spacing w:line="240" w:lineRule="auto"/>
              <w:ind w:firstLine="0" w:firstLineChars="0"/>
              <w:jc w:val="center"/>
              <w:rPr>
                <w:rFonts w:ascii="仿宋_GB2312" w:cs="Times New Roman"/>
                <w:sz w:val="21"/>
                <w:szCs w:val="21"/>
              </w:rPr>
            </w:pPr>
            <w:r>
              <w:rPr>
                <w:rFonts w:hint="eastAsia" w:ascii="仿宋_GB2312" w:hAnsi="华文仿宋"/>
                <w:sz w:val="21"/>
                <w:szCs w:val="21"/>
              </w:rPr>
              <w:t>塔山村</w:t>
            </w:r>
          </w:p>
        </w:tc>
        <w:tc>
          <w:tcPr>
            <w:tcW w:w="1698" w:type="pct"/>
            <w:vAlign w:val="center"/>
          </w:tcPr>
          <w:p w14:paraId="55A7F03C">
            <w:pPr>
              <w:spacing w:line="240" w:lineRule="auto"/>
              <w:ind w:firstLine="0" w:firstLineChars="0"/>
              <w:jc w:val="center"/>
              <w:rPr>
                <w:rFonts w:cs="Times New Roman"/>
                <w:sz w:val="21"/>
                <w:szCs w:val="21"/>
              </w:rPr>
            </w:pPr>
            <w:r>
              <w:rPr>
                <w:rFonts w:hint="eastAsia" w:cs="Times New Roman"/>
                <w:sz w:val="21"/>
                <w:szCs w:val="21"/>
              </w:rPr>
              <w:t>2.3</w:t>
            </w:r>
          </w:p>
        </w:tc>
      </w:tr>
      <w:tr w14:paraId="3E2E1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vAlign w:val="center"/>
          </w:tcPr>
          <w:p w14:paraId="7D828474">
            <w:pPr>
              <w:spacing w:line="240" w:lineRule="auto"/>
              <w:ind w:firstLine="0" w:firstLineChars="0"/>
              <w:jc w:val="center"/>
              <w:rPr>
                <w:rFonts w:cs="Times New Roman"/>
                <w:sz w:val="21"/>
                <w:szCs w:val="21"/>
              </w:rPr>
            </w:pPr>
            <w:r>
              <w:rPr>
                <w:rFonts w:hint="eastAsia" w:cs="Times New Roman"/>
                <w:sz w:val="21"/>
                <w:szCs w:val="21"/>
              </w:rPr>
              <w:t>12</w:t>
            </w:r>
          </w:p>
        </w:tc>
        <w:tc>
          <w:tcPr>
            <w:tcW w:w="878" w:type="pct"/>
            <w:vAlign w:val="center"/>
          </w:tcPr>
          <w:p w14:paraId="13204244">
            <w:pPr>
              <w:spacing w:line="240" w:lineRule="auto"/>
              <w:ind w:firstLine="0" w:firstLineChars="0"/>
              <w:jc w:val="center"/>
              <w:rPr>
                <w:rFonts w:cs="Times New Roman"/>
                <w:sz w:val="21"/>
                <w:szCs w:val="21"/>
              </w:rPr>
            </w:pPr>
            <w:r>
              <w:rPr>
                <w:rFonts w:hint="eastAsia" w:eastAsia="华文仿宋" w:cs="Times New Roman"/>
                <w:sz w:val="21"/>
                <w:szCs w:val="21"/>
              </w:rPr>
              <w:t>D12</w:t>
            </w:r>
          </w:p>
        </w:tc>
        <w:tc>
          <w:tcPr>
            <w:tcW w:w="1701" w:type="pct"/>
            <w:vAlign w:val="center"/>
          </w:tcPr>
          <w:p w14:paraId="579AE260">
            <w:pPr>
              <w:spacing w:line="240" w:lineRule="auto"/>
              <w:ind w:firstLine="0" w:firstLineChars="0"/>
              <w:jc w:val="center"/>
              <w:rPr>
                <w:rFonts w:ascii="仿宋_GB2312" w:cs="Times New Roman"/>
                <w:sz w:val="21"/>
                <w:szCs w:val="21"/>
              </w:rPr>
            </w:pPr>
            <w:r>
              <w:rPr>
                <w:rFonts w:hint="eastAsia" w:ascii="仿宋_GB2312" w:hAnsi="华文仿宋"/>
                <w:sz w:val="21"/>
                <w:szCs w:val="21"/>
              </w:rPr>
              <w:t>许庄村</w:t>
            </w:r>
          </w:p>
        </w:tc>
        <w:tc>
          <w:tcPr>
            <w:tcW w:w="1698" w:type="pct"/>
            <w:vAlign w:val="center"/>
          </w:tcPr>
          <w:p w14:paraId="6BEB5523">
            <w:pPr>
              <w:spacing w:line="240" w:lineRule="auto"/>
              <w:ind w:firstLine="0" w:firstLineChars="0"/>
              <w:jc w:val="center"/>
              <w:rPr>
                <w:rFonts w:cs="Times New Roman"/>
                <w:sz w:val="21"/>
                <w:szCs w:val="21"/>
              </w:rPr>
            </w:pPr>
            <w:r>
              <w:rPr>
                <w:rFonts w:hint="eastAsia" w:cs="Times New Roman"/>
                <w:sz w:val="21"/>
                <w:szCs w:val="21"/>
              </w:rPr>
              <w:t>3.0</w:t>
            </w:r>
          </w:p>
        </w:tc>
      </w:tr>
    </w:tbl>
    <w:p w14:paraId="0A630DEF">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3.5.5</w:t>
      </w:r>
      <w:r>
        <w:rPr>
          <w:rFonts w:hint="eastAsia" w:eastAsia="方正楷体_GBK" w:cs="Times New Roman"/>
          <w:b/>
          <w:bCs/>
          <w:szCs w:val="28"/>
          <w14:ligatures w14:val="none"/>
        </w:rPr>
        <w:t>土壤环境质量现状监测与评价</w:t>
      </w:r>
    </w:p>
    <w:p w14:paraId="151A30CA">
      <w:pPr>
        <w:ind w:firstLine="482"/>
        <w:rPr>
          <w:b/>
        </w:rPr>
      </w:pPr>
      <w:r>
        <w:rPr>
          <w:rFonts w:hint="eastAsia"/>
          <w:b/>
        </w:rPr>
        <w:t>（1）监测布点和监测因子</w:t>
      </w:r>
    </w:p>
    <w:p w14:paraId="28CE7A3E">
      <w:pPr>
        <w:ind w:firstLine="480"/>
      </w:pPr>
      <w:r>
        <w:rPr>
          <w:rFonts w:hint="eastAsia"/>
        </w:rPr>
        <w:t>本次评价共布设8个土壤环境质量现状监测点位（T1~T8），具体监测点位和监测因子见表3.5-17，监测点位分布如附图36所示。</w:t>
      </w:r>
    </w:p>
    <w:p w14:paraId="3B43443E">
      <w:pPr>
        <w:pStyle w:val="45"/>
      </w:pPr>
      <w:r>
        <w:t>表</w:t>
      </w:r>
      <w:r>
        <w:rPr>
          <w:rFonts w:hint="eastAsia"/>
        </w:rPr>
        <w:t>3</w:t>
      </w:r>
      <w:r>
        <w:t>.</w:t>
      </w:r>
      <w:r>
        <w:rPr>
          <w:rFonts w:hint="eastAsia"/>
        </w:rPr>
        <w:t>5</w:t>
      </w:r>
      <w:r>
        <w:t>-</w:t>
      </w:r>
      <w:r>
        <w:rPr>
          <w:rFonts w:hint="eastAsia"/>
        </w:rPr>
        <w:t>17</w:t>
      </w:r>
      <w:r>
        <w:t xml:space="preserve">  土壤环境质量现状监测点位和监测因子</w:t>
      </w:r>
    </w:p>
    <w:tbl>
      <w:tblPr>
        <w:tblStyle w:val="25"/>
        <w:tblW w:w="486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14"/>
        <w:gridCol w:w="2014"/>
        <w:gridCol w:w="2268"/>
        <w:gridCol w:w="3199"/>
      </w:tblGrid>
      <w:tr w14:paraId="156F61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6" w:hRule="atLeast"/>
          <w:tblHeader/>
          <w:jc w:val="center"/>
        </w:trPr>
        <w:tc>
          <w:tcPr>
            <w:tcW w:w="491" w:type="pct"/>
            <w:vAlign w:val="center"/>
          </w:tcPr>
          <w:p w14:paraId="1E9DD6F1">
            <w:pPr>
              <w:spacing w:line="240" w:lineRule="auto"/>
              <w:ind w:firstLine="0" w:firstLineChars="0"/>
              <w:jc w:val="center"/>
              <w:rPr>
                <w:rFonts w:cs="Times New Roman"/>
                <w:b/>
                <w:bCs/>
                <w:sz w:val="21"/>
                <w:szCs w:val="21"/>
              </w:rPr>
            </w:pPr>
            <w:r>
              <w:rPr>
                <w:rFonts w:hint="eastAsia" w:cs="Times New Roman"/>
                <w:b/>
                <w:bCs/>
                <w:sz w:val="21"/>
                <w:szCs w:val="21"/>
              </w:rPr>
              <w:t>监测点编号</w:t>
            </w:r>
          </w:p>
        </w:tc>
        <w:tc>
          <w:tcPr>
            <w:tcW w:w="1213" w:type="pct"/>
            <w:vAlign w:val="center"/>
          </w:tcPr>
          <w:p w14:paraId="284B9BEA">
            <w:pPr>
              <w:spacing w:line="240" w:lineRule="auto"/>
              <w:ind w:firstLine="0" w:firstLineChars="0"/>
              <w:jc w:val="center"/>
              <w:rPr>
                <w:rFonts w:cs="Times New Roman"/>
                <w:b/>
                <w:bCs/>
                <w:sz w:val="21"/>
                <w:szCs w:val="21"/>
              </w:rPr>
            </w:pPr>
            <w:r>
              <w:rPr>
                <w:rFonts w:hint="eastAsia" w:cs="Times New Roman"/>
                <w:b/>
                <w:bCs/>
                <w:sz w:val="21"/>
                <w:szCs w:val="21"/>
              </w:rPr>
              <w:t>具体位置</w:t>
            </w:r>
          </w:p>
        </w:tc>
        <w:tc>
          <w:tcPr>
            <w:tcW w:w="1366" w:type="pct"/>
            <w:vAlign w:val="center"/>
          </w:tcPr>
          <w:p w14:paraId="77A93AF8">
            <w:pPr>
              <w:spacing w:line="240" w:lineRule="auto"/>
              <w:ind w:firstLine="0" w:firstLineChars="0"/>
              <w:jc w:val="center"/>
              <w:rPr>
                <w:rFonts w:cs="Times New Roman"/>
                <w:b/>
                <w:bCs/>
                <w:sz w:val="21"/>
                <w:szCs w:val="21"/>
              </w:rPr>
            </w:pPr>
            <w:r>
              <w:rPr>
                <w:rFonts w:hint="eastAsia" w:cs="Times New Roman"/>
                <w:b/>
                <w:bCs/>
                <w:sz w:val="21"/>
                <w:szCs w:val="21"/>
              </w:rPr>
              <w:t>采样类型</w:t>
            </w:r>
          </w:p>
        </w:tc>
        <w:tc>
          <w:tcPr>
            <w:tcW w:w="1927" w:type="pct"/>
            <w:vAlign w:val="center"/>
          </w:tcPr>
          <w:p w14:paraId="32482991">
            <w:pPr>
              <w:spacing w:line="240" w:lineRule="auto"/>
              <w:ind w:firstLine="0" w:firstLineChars="0"/>
              <w:jc w:val="center"/>
              <w:rPr>
                <w:rFonts w:cs="Times New Roman"/>
                <w:b/>
                <w:bCs/>
                <w:sz w:val="21"/>
                <w:szCs w:val="21"/>
              </w:rPr>
            </w:pPr>
            <w:r>
              <w:rPr>
                <w:rFonts w:hint="eastAsia" w:cs="Times New Roman"/>
                <w:b/>
                <w:bCs/>
                <w:sz w:val="21"/>
                <w:szCs w:val="21"/>
              </w:rPr>
              <w:t>监测因子</w:t>
            </w:r>
          </w:p>
        </w:tc>
      </w:tr>
      <w:tr w14:paraId="2DC3B1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Align w:val="center"/>
          </w:tcPr>
          <w:p w14:paraId="6D0377C0">
            <w:pPr>
              <w:spacing w:line="240" w:lineRule="auto"/>
              <w:ind w:firstLine="0" w:firstLineChars="0"/>
              <w:jc w:val="center"/>
              <w:rPr>
                <w:rFonts w:cs="Times New Roman"/>
                <w:sz w:val="21"/>
                <w:szCs w:val="21"/>
              </w:rPr>
            </w:pPr>
            <w:r>
              <w:rPr>
                <w:rFonts w:hint="eastAsia" w:cs="Times New Roman"/>
                <w:sz w:val="21"/>
                <w:szCs w:val="21"/>
              </w:rPr>
              <w:t>T1</w:t>
            </w:r>
          </w:p>
        </w:tc>
        <w:tc>
          <w:tcPr>
            <w:tcW w:w="1213" w:type="pct"/>
            <w:vAlign w:val="center"/>
          </w:tcPr>
          <w:p w14:paraId="3915E049">
            <w:pPr>
              <w:spacing w:line="240" w:lineRule="auto"/>
              <w:ind w:firstLine="0" w:firstLineChars="0"/>
              <w:jc w:val="center"/>
              <w:rPr>
                <w:rFonts w:cs="Times New Roman"/>
                <w:sz w:val="21"/>
                <w:szCs w:val="21"/>
              </w:rPr>
            </w:pPr>
            <w:r>
              <w:rPr>
                <w:rFonts w:hint="eastAsia" w:cs="Times New Roman"/>
                <w:sz w:val="21"/>
                <w:szCs w:val="21"/>
              </w:rPr>
              <w:t>东进小区</w:t>
            </w:r>
          </w:p>
        </w:tc>
        <w:tc>
          <w:tcPr>
            <w:tcW w:w="1366" w:type="pct"/>
            <w:vAlign w:val="center"/>
          </w:tcPr>
          <w:p w14:paraId="174A1AC7">
            <w:pPr>
              <w:spacing w:line="240" w:lineRule="auto"/>
              <w:ind w:firstLine="0" w:firstLineChars="0"/>
              <w:jc w:val="center"/>
              <w:rPr>
                <w:rFonts w:cs="Times New Roman"/>
                <w:sz w:val="21"/>
                <w:szCs w:val="21"/>
              </w:rPr>
            </w:pPr>
            <w:r>
              <w:rPr>
                <w:rFonts w:hint="eastAsia" w:cs="Times New Roman"/>
                <w:sz w:val="21"/>
                <w:szCs w:val="21"/>
              </w:rPr>
              <w:t>表层样</w:t>
            </w:r>
          </w:p>
        </w:tc>
        <w:tc>
          <w:tcPr>
            <w:tcW w:w="1927" w:type="pct"/>
            <w:vMerge w:val="restart"/>
            <w:vAlign w:val="center"/>
          </w:tcPr>
          <w:p w14:paraId="10F1F7FF">
            <w:pPr>
              <w:spacing w:line="240" w:lineRule="auto"/>
              <w:ind w:firstLine="0" w:firstLineChars="0"/>
              <w:jc w:val="center"/>
              <w:rPr>
                <w:rFonts w:cs="Times New Roman"/>
                <w:sz w:val="21"/>
                <w:szCs w:val="21"/>
              </w:rPr>
            </w:pPr>
            <w:r>
              <w:rPr>
                <w:rFonts w:hint="eastAsia" w:cs="Times New Roman"/>
                <w:sz w:val="21"/>
                <w:szCs w:val="21"/>
              </w:rPr>
              <w:t>pH、砷、镉、六价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w:t>
            </w:r>
            <w:r>
              <w:rPr>
                <w:rFonts w:hint="eastAsia" w:eastAsia="宋体" w:cs="Times New Roman"/>
                <w:sz w:val="21"/>
                <w:szCs w:val="21"/>
              </w:rPr>
              <w:t>䓛</w:t>
            </w:r>
            <w:r>
              <w:rPr>
                <w:rFonts w:hint="eastAsia" w:cs="Times New Roman"/>
                <w:sz w:val="21"/>
                <w:szCs w:val="21"/>
              </w:rPr>
              <w:t>、二苯并[а,h]蒽、茚并[1,2,3-cd]芘</w:t>
            </w:r>
          </w:p>
        </w:tc>
      </w:tr>
      <w:tr w14:paraId="135B8A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restart"/>
            <w:vAlign w:val="center"/>
          </w:tcPr>
          <w:p w14:paraId="478AC539">
            <w:pPr>
              <w:spacing w:line="240" w:lineRule="auto"/>
              <w:ind w:firstLine="0" w:firstLineChars="0"/>
              <w:jc w:val="center"/>
              <w:rPr>
                <w:rFonts w:cs="Times New Roman"/>
                <w:sz w:val="21"/>
                <w:szCs w:val="21"/>
              </w:rPr>
            </w:pPr>
            <w:r>
              <w:rPr>
                <w:rFonts w:hint="eastAsia" w:cs="Times New Roman"/>
                <w:sz w:val="21"/>
                <w:szCs w:val="21"/>
              </w:rPr>
              <w:t>T2</w:t>
            </w:r>
          </w:p>
        </w:tc>
        <w:tc>
          <w:tcPr>
            <w:tcW w:w="1213" w:type="pct"/>
            <w:vMerge w:val="restart"/>
            <w:vAlign w:val="center"/>
          </w:tcPr>
          <w:p w14:paraId="31BCEB0F">
            <w:pPr>
              <w:spacing w:line="240" w:lineRule="auto"/>
              <w:ind w:firstLine="0" w:firstLineChars="0"/>
              <w:jc w:val="center"/>
              <w:rPr>
                <w:rFonts w:cs="Times New Roman"/>
                <w:sz w:val="21"/>
                <w:szCs w:val="21"/>
              </w:rPr>
            </w:pPr>
            <w:r>
              <w:rPr>
                <w:rFonts w:hint="eastAsia" w:cs="Times New Roman"/>
                <w:sz w:val="21"/>
                <w:szCs w:val="21"/>
              </w:rPr>
              <w:t>雅居乐山湖城</w:t>
            </w:r>
          </w:p>
        </w:tc>
        <w:tc>
          <w:tcPr>
            <w:tcW w:w="1366" w:type="pct"/>
            <w:vAlign w:val="center"/>
          </w:tcPr>
          <w:p w14:paraId="37925FA3">
            <w:pPr>
              <w:spacing w:line="240" w:lineRule="auto"/>
              <w:ind w:firstLine="0" w:firstLineChars="0"/>
              <w:jc w:val="center"/>
              <w:rPr>
                <w:rFonts w:cs="Times New Roman"/>
                <w:sz w:val="21"/>
                <w:szCs w:val="21"/>
              </w:rPr>
            </w:pPr>
            <w:r>
              <w:rPr>
                <w:rFonts w:hint="eastAsia" w:cs="Times New Roman"/>
                <w:sz w:val="21"/>
                <w:szCs w:val="21"/>
              </w:rPr>
              <w:t>柱状样点0~0.5m</w:t>
            </w:r>
          </w:p>
        </w:tc>
        <w:tc>
          <w:tcPr>
            <w:tcW w:w="1927" w:type="pct"/>
            <w:vMerge w:val="continue"/>
            <w:vAlign w:val="center"/>
          </w:tcPr>
          <w:p w14:paraId="056BCB1B">
            <w:pPr>
              <w:spacing w:line="240" w:lineRule="auto"/>
              <w:ind w:firstLine="0" w:firstLineChars="0"/>
              <w:jc w:val="center"/>
              <w:rPr>
                <w:rFonts w:cs="Times New Roman"/>
                <w:sz w:val="21"/>
                <w:szCs w:val="21"/>
              </w:rPr>
            </w:pPr>
          </w:p>
        </w:tc>
      </w:tr>
      <w:tr w14:paraId="23EDA5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continue"/>
            <w:vAlign w:val="center"/>
          </w:tcPr>
          <w:p w14:paraId="39EE5256">
            <w:pPr>
              <w:spacing w:line="240" w:lineRule="auto"/>
              <w:ind w:firstLine="0" w:firstLineChars="0"/>
              <w:jc w:val="center"/>
              <w:rPr>
                <w:rFonts w:cs="Times New Roman"/>
                <w:sz w:val="21"/>
                <w:szCs w:val="21"/>
              </w:rPr>
            </w:pPr>
          </w:p>
        </w:tc>
        <w:tc>
          <w:tcPr>
            <w:tcW w:w="1213" w:type="pct"/>
            <w:vMerge w:val="continue"/>
            <w:vAlign w:val="center"/>
          </w:tcPr>
          <w:p w14:paraId="06D980B7">
            <w:pPr>
              <w:spacing w:line="240" w:lineRule="auto"/>
              <w:ind w:firstLine="0" w:firstLineChars="0"/>
              <w:jc w:val="center"/>
              <w:rPr>
                <w:rFonts w:cs="Times New Roman"/>
                <w:sz w:val="21"/>
                <w:szCs w:val="21"/>
              </w:rPr>
            </w:pPr>
          </w:p>
        </w:tc>
        <w:tc>
          <w:tcPr>
            <w:tcW w:w="1366" w:type="pct"/>
            <w:vAlign w:val="center"/>
          </w:tcPr>
          <w:p w14:paraId="612BAD4B">
            <w:pPr>
              <w:spacing w:line="240" w:lineRule="auto"/>
              <w:ind w:firstLine="0" w:firstLineChars="0"/>
              <w:jc w:val="center"/>
              <w:rPr>
                <w:rFonts w:cs="Times New Roman"/>
                <w:sz w:val="21"/>
                <w:szCs w:val="21"/>
              </w:rPr>
            </w:pPr>
            <w:r>
              <w:rPr>
                <w:rFonts w:hint="eastAsia" w:cs="Times New Roman"/>
                <w:sz w:val="21"/>
                <w:szCs w:val="21"/>
              </w:rPr>
              <w:t>0.5～1.5m</w:t>
            </w:r>
          </w:p>
        </w:tc>
        <w:tc>
          <w:tcPr>
            <w:tcW w:w="1927" w:type="pct"/>
            <w:vMerge w:val="continue"/>
            <w:vAlign w:val="center"/>
          </w:tcPr>
          <w:p w14:paraId="63A3F4A7">
            <w:pPr>
              <w:spacing w:line="240" w:lineRule="auto"/>
              <w:ind w:firstLine="0" w:firstLineChars="0"/>
              <w:jc w:val="center"/>
              <w:rPr>
                <w:rFonts w:cs="Times New Roman"/>
                <w:sz w:val="21"/>
                <w:szCs w:val="21"/>
              </w:rPr>
            </w:pPr>
          </w:p>
        </w:tc>
      </w:tr>
      <w:tr w14:paraId="1F8D8D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continue"/>
            <w:vAlign w:val="center"/>
          </w:tcPr>
          <w:p w14:paraId="6EFD877A">
            <w:pPr>
              <w:spacing w:line="240" w:lineRule="auto"/>
              <w:ind w:firstLine="0" w:firstLineChars="0"/>
              <w:jc w:val="center"/>
              <w:rPr>
                <w:rFonts w:cs="Times New Roman"/>
                <w:sz w:val="21"/>
                <w:szCs w:val="21"/>
              </w:rPr>
            </w:pPr>
          </w:p>
        </w:tc>
        <w:tc>
          <w:tcPr>
            <w:tcW w:w="1213" w:type="pct"/>
            <w:vMerge w:val="continue"/>
            <w:vAlign w:val="center"/>
          </w:tcPr>
          <w:p w14:paraId="0F433867">
            <w:pPr>
              <w:spacing w:line="240" w:lineRule="auto"/>
              <w:ind w:firstLine="0" w:firstLineChars="0"/>
              <w:jc w:val="center"/>
              <w:rPr>
                <w:rFonts w:cs="Times New Roman"/>
                <w:sz w:val="21"/>
                <w:szCs w:val="21"/>
              </w:rPr>
            </w:pPr>
          </w:p>
        </w:tc>
        <w:tc>
          <w:tcPr>
            <w:tcW w:w="1366" w:type="pct"/>
            <w:vAlign w:val="center"/>
          </w:tcPr>
          <w:p w14:paraId="20D77C3F">
            <w:pPr>
              <w:spacing w:line="240" w:lineRule="auto"/>
              <w:ind w:firstLine="0" w:firstLineChars="0"/>
              <w:jc w:val="center"/>
              <w:rPr>
                <w:rFonts w:cs="Times New Roman"/>
                <w:sz w:val="21"/>
                <w:szCs w:val="21"/>
              </w:rPr>
            </w:pPr>
            <w:r>
              <w:rPr>
                <w:rFonts w:hint="eastAsia" w:cs="Times New Roman"/>
                <w:sz w:val="21"/>
                <w:szCs w:val="21"/>
              </w:rPr>
              <w:t>1.5～3.0m</w:t>
            </w:r>
          </w:p>
        </w:tc>
        <w:tc>
          <w:tcPr>
            <w:tcW w:w="1927" w:type="pct"/>
            <w:vMerge w:val="continue"/>
            <w:vAlign w:val="center"/>
          </w:tcPr>
          <w:p w14:paraId="05C6328A">
            <w:pPr>
              <w:spacing w:line="240" w:lineRule="auto"/>
              <w:ind w:firstLine="0" w:firstLineChars="0"/>
              <w:jc w:val="center"/>
              <w:rPr>
                <w:rFonts w:cs="Times New Roman"/>
                <w:sz w:val="21"/>
                <w:szCs w:val="21"/>
              </w:rPr>
            </w:pPr>
          </w:p>
        </w:tc>
      </w:tr>
      <w:tr w14:paraId="712415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restart"/>
            <w:vAlign w:val="center"/>
          </w:tcPr>
          <w:p w14:paraId="14822DBA">
            <w:pPr>
              <w:spacing w:line="240" w:lineRule="auto"/>
              <w:ind w:firstLine="0" w:firstLineChars="0"/>
              <w:jc w:val="center"/>
              <w:rPr>
                <w:rFonts w:cs="Times New Roman"/>
                <w:sz w:val="21"/>
                <w:szCs w:val="21"/>
              </w:rPr>
            </w:pPr>
            <w:r>
              <w:rPr>
                <w:rFonts w:hint="eastAsia" w:cs="Times New Roman"/>
                <w:sz w:val="21"/>
                <w:szCs w:val="21"/>
              </w:rPr>
              <w:t>T3</w:t>
            </w:r>
          </w:p>
        </w:tc>
        <w:tc>
          <w:tcPr>
            <w:tcW w:w="1213" w:type="pct"/>
            <w:vMerge w:val="restart"/>
            <w:vAlign w:val="center"/>
          </w:tcPr>
          <w:p w14:paraId="6120EB4C">
            <w:pPr>
              <w:spacing w:line="240" w:lineRule="auto"/>
              <w:ind w:firstLine="0" w:firstLineChars="0"/>
              <w:jc w:val="center"/>
              <w:rPr>
                <w:rFonts w:cs="Times New Roman"/>
                <w:sz w:val="21"/>
                <w:szCs w:val="21"/>
              </w:rPr>
            </w:pPr>
            <w:r>
              <w:rPr>
                <w:rFonts w:hint="eastAsia" w:cs="Times New Roman"/>
                <w:sz w:val="21"/>
                <w:szCs w:val="21"/>
              </w:rPr>
              <w:t>山湖城花园湖畔小院</w:t>
            </w:r>
          </w:p>
        </w:tc>
        <w:tc>
          <w:tcPr>
            <w:tcW w:w="1366" w:type="pct"/>
            <w:vAlign w:val="center"/>
          </w:tcPr>
          <w:p w14:paraId="46EF9B53">
            <w:pPr>
              <w:spacing w:line="240" w:lineRule="auto"/>
              <w:ind w:firstLine="0" w:firstLineChars="0"/>
              <w:jc w:val="center"/>
              <w:rPr>
                <w:rFonts w:cs="Times New Roman"/>
                <w:sz w:val="21"/>
                <w:szCs w:val="21"/>
              </w:rPr>
            </w:pPr>
            <w:r>
              <w:rPr>
                <w:rFonts w:hint="eastAsia" w:cs="Times New Roman"/>
                <w:sz w:val="21"/>
                <w:szCs w:val="21"/>
              </w:rPr>
              <w:t>柱状样点0~0.5m</w:t>
            </w:r>
          </w:p>
        </w:tc>
        <w:tc>
          <w:tcPr>
            <w:tcW w:w="1927" w:type="pct"/>
            <w:vMerge w:val="continue"/>
            <w:vAlign w:val="center"/>
          </w:tcPr>
          <w:p w14:paraId="71269B63">
            <w:pPr>
              <w:spacing w:line="240" w:lineRule="auto"/>
              <w:ind w:firstLine="0" w:firstLineChars="0"/>
              <w:jc w:val="center"/>
              <w:rPr>
                <w:rFonts w:cs="Times New Roman"/>
                <w:sz w:val="21"/>
                <w:szCs w:val="21"/>
              </w:rPr>
            </w:pPr>
          </w:p>
        </w:tc>
      </w:tr>
      <w:tr w14:paraId="6C025C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continue"/>
            <w:vAlign w:val="center"/>
          </w:tcPr>
          <w:p w14:paraId="10656EF5">
            <w:pPr>
              <w:spacing w:line="240" w:lineRule="auto"/>
              <w:ind w:firstLine="0" w:firstLineChars="0"/>
              <w:jc w:val="center"/>
              <w:rPr>
                <w:rFonts w:cs="Times New Roman"/>
                <w:sz w:val="21"/>
                <w:szCs w:val="21"/>
              </w:rPr>
            </w:pPr>
          </w:p>
        </w:tc>
        <w:tc>
          <w:tcPr>
            <w:tcW w:w="1213" w:type="pct"/>
            <w:vMerge w:val="continue"/>
            <w:vAlign w:val="center"/>
          </w:tcPr>
          <w:p w14:paraId="1E5E6EDE">
            <w:pPr>
              <w:spacing w:line="240" w:lineRule="auto"/>
              <w:ind w:firstLine="0" w:firstLineChars="0"/>
              <w:jc w:val="center"/>
              <w:rPr>
                <w:rFonts w:cs="Times New Roman"/>
                <w:sz w:val="21"/>
                <w:szCs w:val="21"/>
              </w:rPr>
            </w:pPr>
          </w:p>
        </w:tc>
        <w:tc>
          <w:tcPr>
            <w:tcW w:w="1366" w:type="pct"/>
            <w:vAlign w:val="center"/>
          </w:tcPr>
          <w:p w14:paraId="27D00787">
            <w:pPr>
              <w:spacing w:line="240" w:lineRule="auto"/>
              <w:ind w:firstLine="0" w:firstLineChars="0"/>
              <w:jc w:val="center"/>
              <w:rPr>
                <w:rFonts w:cs="Times New Roman"/>
                <w:sz w:val="21"/>
                <w:szCs w:val="21"/>
              </w:rPr>
            </w:pPr>
            <w:r>
              <w:rPr>
                <w:rFonts w:hint="eastAsia" w:cs="Times New Roman"/>
                <w:sz w:val="21"/>
                <w:szCs w:val="21"/>
              </w:rPr>
              <w:t>0.5～1.5m</w:t>
            </w:r>
          </w:p>
        </w:tc>
        <w:tc>
          <w:tcPr>
            <w:tcW w:w="1927" w:type="pct"/>
            <w:vMerge w:val="continue"/>
            <w:vAlign w:val="center"/>
          </w:tcPr>
          <w:p w14:paraId="72BD8774">
            <w:pPr>
              <w:spacing w:line="240" w:lineRule="auto"/>
              <w:ind w:firstLine="0" w:firstLineChars="0"/>
              <w:jc w:val="center"/>
              <w:rPr>
                <w:rFonts w:cs="Times New Roman"/>
                <w:sz w:val="21"/>
                <w:szCs w:val="21"/>
              </w:rPr>
            </w:pPr>
          </w:p>
        </w:tc>
      </w:tr>
      <w:tr w14:paraId="6188E3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continue"/>
            <w:vAlign w:val="center"/>
          </w:tcPr>
          <w:p w14:paraId="31B416F7">
            <w:pPr>
              <w:spacing w:line="240" w:lineRule="auto"/>
              <w:ind w:firstLine="0" w:firstLineChars="0"/>
              <w:jc w:val="center"/>
              <w:rPr>
                <w:rFonts w:cs="Times New Roman"/>
                <w:sz w:val="21"/>
                <w:szCs w:val="21"/>
              </w:rPr>
            </w:pPr>
          </w:p>
        </w:tc>
        <w:tc>
          <w:tcPr>
            <w:tcW w:w="1213" w:type="pct"/>
            <w:vMerge w:val="continue"/>
            <w:vAlign w:val="center"/>
          </w:tcPr>
          <w:p w14:paraId="64E1C8FC">
            <w:pPr>
              <w:spacing w:line="240" w:lineRule="auto"/>
              <w:ind w:firstLine="0" w:firstLineChars="0"/>
              <w:jc w:val="center"/>
              <w:rPr>
                <w:rFonts w:cs="Times New Roman"/>
                <w:sz w:val="21"/>
                <w:szCs w:val="21"/>
              </w:rPr>
            </w:pPr>
          </w:p>
        </w:tc>
        <w:tc>
          <w:tcPr>
            <w:tcW w:w="1366" w:type="pct"/>
            <w:vAlign w:val="center"/>
          </w:tcPr>
          <w:p w14:paraId="44E861C9">
            <w:pPr>
              <w:spacing w:line="240" w:lineRule="auto"/>
              <w:ind w:firstLine="0" w:firstLineChars="0"/>
              <w:jc w:val="center"/>
              <w:rPr>
                <w:rFonts w:cs="Times New Roman"/>
                <w:sz w:val="21"/>
                <w:szCs w:val="21"/>
              </w:rPr>
            </w:pPr>
            <w:r>
              <w:rPr>
                <w:rFonts w:hint="eastAsia" w:cs="Times New Roman"/>
                <w:sz w:val="21"/>
                <w:szCs w:val="21"/>
              </w:rPr>
              <w:t>1.5～3.0m</w:t>
            </w:r>
          </w:p>
        </w:tc>
        <w:tc>
          <w:tcPr>
            <w:tcW w:w="1927" w:type="pct"/>
            <w:vMerge w:val="continue"/>
            <w:vAlign w:val="center"/>
          </w:tcPr>
          <w:p w14:paraId="21FC27A0">
            <w:pPr>
              <w:spacing w:line="240" w:lineRule="auto"/>
              <w:ind w:firstLine="0" w:firstLineChars="0"/>
              <w:jc w:val="center"/>
              <w:rPr>
                <w:rFonts w:cs="Times New Roman"/>
                <w:sz w:val="21"/>
                <w:szCs w:val="21"/>
              </w:rPr>
            </w:pPr>
          </w:p>
        </w:tc>
      </w:tr>
      <w:tr w14:paraId="5B1C6D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restart"/>
            <w:vAlign w:val="center"/>
          </w:tcPr>
          <w:p w14:paraId="5B7FAB61">
            <w:pPr>
              <w:spacing w:line="240" w:lineRule="auto"/>
              <w:ind w:firstLine="0" w:firstLineChars="0"/>
              <w:jc w:val="center"/>
              <w:rPr>
                <w:rFonts w:cs="Times New Roman"/>
                <w:sz w:val="21"/>
                <w:szCs w:val="21"/>
              </w:rPr>
            </w:pPr>
            <w:r>
              <w:rPr>
                <w:rFonts w:hint="eastAsia" w:cs="Times New Roman"/>
                <w:sz w:val="21"/>
                <w:szCs w:val="21"/>
              </w:rPr>
              <w:t>T7</w:t>
            </w:r>
          </w:p>
        </w:tc>
        <w:tc>
          <w:tcPr>
            <w:tcW w:w="1213" w:type="pct"/>
            <w:vMerge w:val="restart"/>
            <w:vAlign w:val="center"/>
          </w:tcPr>
          <w:p w14:paraId="4BDEA25F">
            <w:pPr>
              <w:spacing w:line="240" w:lineRule="auto"/>
              <w:ind w:firstLine="0" w:firstLineChars="0"/>
              <w:jc w:val="center"/>
              <w:rPr>
                <w:rFonts w:cs="Times New Roman"/>
                <w:sz w:val="21"/>
                <w:szCs w:val="21"/>
              </w:rPr>
            </w:pPr>
            <w:r>
              <w:rPr>
                <w:rFonts w:hint="eastAsia" w:cs="Times New Roman"/>
                <w:sz w:val="21"/>
                <w:szCs w:val="21"/>
              </w:rPr>
              <w:t>塔山村</w:t>
            </w:r>
          </w:p>
        </w:tc>
        <w:tc>
          <w:tcPr>
            <w:tcW w:w="1366" w:type="pct"/>
            <w:vAlign w:val="center"/>
          </w:tcPr>
          <w:p w14:paraId="3707F333">
            <w:pPr>
              <w:spacing w:line="240" w:lineRule="auto"/>
              <w:ind w:firstLine="0" w:firstLineChars="0"/>
              <w:jc w:val="center"/>
              <w:rPr>
                <w:rFonts w:cs="Times New Roman"/>
                <w:sz w:val="21"/>
                <w:szCs w:val="21"/>
              </w:rPr>
            </w:pPr>
            <w:r>
              <w:rPr>
                <w:rFonts w:hint="eastAsia" w:cs="Times New Roman"/>
                <w:sz w:val="21"/>
                <w:szCs w:val="21"/>
              </w:rPr>
              <w:t>柱状样点0~0.5m</w:t>
            </w:r>
          </w:p>
        </w:tc>
        <w:tc>
          <w:tcPr>
            <w:tcW w:w="1927" w:type="pct"/>
            <w:vMerge w:val="continue"/>
            <w:vAlign w:val="center"/>
          </w:tcPr>
          <w:p w14:paraId="4709B974">
            <w:pPr>
              <w:spacing w:line="240" w:lineRule="auto"/>
              <w:ind w:firstLine="0" w:firstLineChars="0"/>
              <w:jc w:val="center"/>
              <w:rPr>
                <w:rFonts w:cs="Times New Roman"/>
                <w:sz w:val="21"/>
                <w:szCs w:val="21"/>
              </w:rPr>
            </w:pPr>
          </w:p>
        </w:tc>
      </w:tr>
      <w:tr w14:paraId="7A5CBF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continue"/>
            <w:vAlign w:val="center"/>
          </w:tcPr>
          <w:p w14:paraId="6C9D2510">
            <w:pPr>
              <w:spacing w:line="240" w:lineRule="auto"/>
              <w:ind w:firstLine="0" w:firstLineChars="0"/>
              <w:jc w:val="center"/>
              <w:rPr>
                <w:rFonts w:cs="Times New Roman"/>
                <w:sz w:val="21"/>
                <w:szCs w:val="21"/>
              </w:rPr>
            </w:pPr>
          </w:p>
        </w:tc>
        <w:tc>
          <w:tcPr>
            <w:tcW w:w="1213" w:type="pct"/>
            <w:vMerge w:val="continue"/>
            <w:vAlign w:val="center"/>
          </w:tcPr>
          <w:p w14:paraId="63A3B632">
            <w:pPr>
              <w:spacing w:line="240" w:lineRule="auto"/>
              <w:ind w:firstLine="0" w:firstLineChars="0"/>
              <w:jc w:val="center"/>
              <w:rPr>
                <w:rFonts w:cs="Times New Roman"/>
                <w:sz w:val="21"/>
                <w:szCs w:val="21"/>
              </w:rPr>
            </w:pPr>
          </w:p>
        </w:tc>
        <w:tc>
          <w:tcPr>
            <w:tcW w:w="1366" w:type="pct"/>
            <w:vAlign w:val="center"/>
          </w:tcPr>
          <w:p w14:paraId="1A917ED9">
            <w:pPr>
              <w:spacing w:line="240" w:lineRule="auto"/>
              <w:ind w:firstLine="0" w:firstLineChars="0"/>
              <w:jc w:val="center"/>
              <w:rPr>
                <w:rFonts w:cs="Times New Roman"/>
                <w:sz w:val="21"/>
                <w:szCs w:val="21"/>
              </w:rPr>
            </w:pPr>
            <w:r>
              <w:rPr>
                <w:rFonts w:hint="eastAsia" w:cs="Times New Roman"/>
                <w:sz w:val="21"/>
                <w:szCs w:val="21"/>
              </w:rPr>
              <w:t>0.5～1.5m</w:t>
            </w:r>
          </w:p>
        </w:tc>
        <w:tc>
          <w:tcPr>
            <w:tcW w:w="1927" w:type="pct"/>
            <w:vMerge w:val="continue"/>
            <w:vAlign w:val="center"/>
          </w:tcPr>
          <w:p w14:paraId="5ABC06C6">
            <w:pPr>
              <w:spacing w:line="240" w:lineRule="auto"/>
              <w:ind w:firstLine="0" w:firstLineChars="0"/>
              <w:jc w:val="center"/>
              <w:rPr>
                <w:rFonts w:cs="Times New Roman"/>
                <w:sz w:val="21"/>
                <w:szCs w:val="21"/>
              </w:rPr>
            </w:pPr>
          </w:p>
        </w:tc>
      </w:tr>
      <w:tr w14:paraId="349B7F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continue"/>
            <w:vAlign w:val="center"/>
          </w:tcPr>
          <w:p w14:paraId="5335498C">
            <w:pPr>
              <w:spacing w:line="240" w:lineRule="auto"/>
              <w:ind w:firstLine="0" w:firstLineChars="0"/>
              <w:jc w:val="center"/>
              <w:rPr>
                <w:rFonts w:cs="Times New Roman"/>
                <w:sz w:val="21"/>
                <w:szCs w:val="21"/>
              </w:rPr>
            </w:pPr>
          </w:p>
        </w:tc>
        <w:tc>
          <w:tcPr>
            <w:tcW w:w="1213" w:type="pct"/>
            <w:vMerge w:val="continue"/>
            <w:vAlign w:val="center"/>
          </w:tcPr>
          <w:p w14:paraId="3E535235">
            <w:pPr>
              <w:spacing w:line="240" w:lineRule="auto"/>
              <w:ind w:firstLine="0" w:firstLineChars="0"/>
              <w:jc w:val="center"/>
              <w:rPr>
                <w:rFonts w:cs="Times New Roman"/>
                <w:sz w:val="21"/>
                <w:szCs w:val="21"/>
              </w:rPr>
            </w:pPr>
          </w:p>
        </w:tc>
        <w:tc>
          <w:tcPr>
            <w:tcW w:w="1366" w:type="pct"/>
            <w:vAlign w:val="center"/>
          </w:tcPr>
          <w:p w14:paraId="1D8586A2">
            <w:pPr>
              <w:spacing w:line="240" w:lineRule="auto"/>
              <w:ind w:firstLine="0" w:firstLineChars="0"/>
              <w:jc w:val="center"/>
              <w:rPr>
                <w:rFonts w:cs="Times New Roman"/>
                <w:sz w:val="21"/>
                <w:szCs w:val="21"/>
              </w:rPr>
            </w:pPr>
            <w:r>
              <w:rPr>
                <w:rFonts w:hint="eastAsia" w:cs="Times New Roman"/>
                <w:sz w:val="21"/>
                <w:szCs w:val="21"/>
              </w:rPr>
              <w:t>1.5～3.0m</w:t>
            </w:r>
          </w:p>
        </w:tc>
        <w:tc>
          <w:tcPr>
            <w:tcW w:w="1927" w:type="pct"/>
            <w:vMerge w:val="continue"/>
            <w:vAlign w:val="center"/>
          </w:tcPr>
          <w:p w14:paraId="268AC45A">
            <w:pPr>
              <w:spacing w:line="240" w:lineRule="auto"/>
              <w:ind w:firstLine="0" w:firstLineChars="0"/>
              <w:jc w:val="center"/>
              <w:rPr>
                <w:rFonts w:cs="Times New Roman"/>
                <w:sz w:val="21"/>
                <w:szCs w:val="21"/>
              </w:rPr>
            </w:pPr>
          </w:p>
        </w:tc>
      </w:tr>
      <w:tr w14:paraId="4C1672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restart"/>
            <w:vAlign w:val="center"/>
          </w:tcPr>
          <w:p w14:paraId="4C836DEF">
            <w:pPr>
              <w:spacing w:line="240" w:lineRule="auto"/>
              <w:ind w:firstLine="0" w:firstLineChars="0"/>
              <w:jc w:val="center"/>
              <w:rPr>
                <w:rFonts w:cs="Times New Roman"/>
                <w:sz w:val="21"/>
                <w:szCs w:val="21"/>
              </w:rPr>
            </w:pPr>
            <w:r>
              <w:rPr>
                <w:rFonts w:hint="eastAsia" w:cs="Times New Roman"/>
                <w:sz w:val="21"/>
                <w:szCs w:val="21"/>
              </w:rPr>
              <w:t>T8</w:t>
            </w:r>
          </w:p>
        </w:tc>
        <w:tc>
          <w:tcPr>
            <w:tcW w:w="1213" w:type="pct"/>
            <w:vMerge w:val="restart"/>
            <w:vAlign w:val="center"/>
          </w:tcPr>
          <w:p w14:paraId="691D5113">
            <w:pPr>
              <w:spacing w:line="240" w:lineRule="auto"/>
              <w:ind w:firstLine="0" w:firstLineChars="0"/>
              <w:jc w:val="center"/>
              <w:rPr>
                <w:rFonts w:cs="Times New Roman"/>
                <w:sz w:val="21"/>
                <w:szCs w:val="21"/>
              </w:rPr>
            </w:pPr>
            <w:r>
              <w:rPr>
                <w:rFonts w:hint="eastAsia" w:cs="Times New Roman"/>
                <w:sz w:val="21"/>
                <w:szCs w:val="21"/>
              </w:rPr>
              <w:t>许庄村</w:t>
            </w:r>
          </w:p>
        </w:tc>
        <w:tc>
          <w:tcPr>
            <w:tcW w:w="1366" w:type="pct"/>
            <w:vAlign w:val="center"/>
          </w:tcPr>
          <w:p w14:paraId="24BC2B48">
            <w:pPr>
              <w:spacing w:line="240" w:lineRule="auto"/>
              <w:ind w:firstLine="0" w:firstLineChars="0"/>
              <w:jc w:val="center"/>
              <w:rPr>
                <w:rFonts w:cs="Times New Roman"/>
                <w:sz w:val="21"/>
                <w:szCs w:val="21"/>
              </w:rPr>
            </w:pPr>
            <w:r>
              <w:rPr>
                <w:rFonts w:hint="eastAsia" w:cs="Times New Roman"/>
                <w:sz w:val="21"/>
                <w:szCs w:val="21"/>
              </w:rPr>
              <w:t>柱状样点0~0.5m</w:t>
            </w:r>
          </w:p>
        </w:tc>
        <w:tc>
          <w:tcPr>
            <w:tcW w:w="1927" w:type="pct"/>
            <w:vMerge w:val="continue"/>
            <w:vAlign w:val="center"/>
          </w:tcPr>
          <w:p w14:paraId="61D539C7">
            <w:pPr>
              <w:spacing w:line="240" w:lineRule="auto"/>
              <w:ind w:firstLine="0" w:firstLineChars="0"/>
              <w:jc w:val="center"/>
              <w:rPr>
                <w:rFonts w:cs="Times New Roman"/>
                <w:sz w:val="21"/>
                <w:szCs w:val="21"/>
              </w:rPr>
            </w:pPr>
          </w:p>
        </w:tc>
      </w:tr>
      <w:tr w14:paraId="5F9870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continue"/>
            <w:vAlign w:val="center"/>
          </w:tcPr>
          <w:p w14:paraId="1428898A">
            <w:pPr>
              <w:spacing w:line="240" w:lineRule="auto"/>
              <w:ind w:firstLine="0" w:firstLineChars="0"/>
              <w:jc w:val="center"/>
              <w:rPr>
                <w:rFonts w:cs="Times New Roman"/>
                <w:sz w:val="21"/>
                <w:szCs w:val="21"/>
              </w:rPr>
            </w:pPr>
          </w:p>
        </w:tc>
        <w:tc>
          <w:tcPr>
            <w:tcW w:w="1213" w:type="pct"/>
            <w:vMerge w:val="continue"/>
            <w:vAlign w:val="center"/>
          </w:tcPr>
          <w:p w14:paraId="723139A3">
            <w:pPr>
              <w:spacing w:line="240" w:lineRule="auto"/>
              <w:ind w:firstLine="0" w:firstLineChars="0"/>
              <w:jc w:val="center"/>
              <w:rPr>
                <w:rFonts w:cs="Times New Roman"/>
                <w:sz w:val="21"/>
                <w:szCs w:val="21"/>
              </w:rPr>
            </w:pPr>
          </w:p>
        </w:tc>
        <w:tc>
          <w:tcPr>
            <w:tcW w:w="1366" w:type="pct"/>
            <w:vAlign w:val="center"/>
          </w:tcPr>
          <w:p w14:paraId="657D1F7E">
            <w:pPr>
              <w:spacing w:line="240" w:lineRule="auto"/>
              <w:ind w:firstLine="0" w:firstLineChars="0"/>
              <w:jc w:val="center"/>
              <w:rPr>
                <w:rFonts w:cs="Times New Roman"/>
                <w:sz w:val="21"/>
                <w:szCs w:val="21"/>
              </w:rPr>
            </w:pPr>
            <w:r>
              <w:rPr>
                <w:rFonts w:hint="eastAsia" w:cs="Times New Roman"/>
                <w:sz w:val="21"/>
                <w:szCs w:val="21"/>
              </w:rPr>
              <w:t>0.5～1.5m</w:t>
            </w:r>
          </w:p>
        </w:tc>
        <w:tc>
          <w:tcPr>
            <w:tcW w:w="1927" w:type="pct"/>
            <w:vMerge w:val="continue"/>
            <w:vAlign w:val="center"/>
          </w:tcPr>
          <w:p w14:paraId="0C2E1997">
            <w:pPr>
              <w:spacing w:line="240" w:lineRule="auto"/>
              <w:ind w:firstLine="0" w:firstLineChars="0"/>
              <w:jc w:val="center"/>
              <w:rPr>
                <w:rFonts w:cs="Times New Roman"/>
                <w:sz w:val="21"/>
                <w:szCs w:val="21"/>
              </w:rPr>
            </w:pPr>
          </w:p>
        </w:tc>
      </w:tr>
      <w:tr w14:paraId="33EFAD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continue"/>
            <w:vAlign w:val="center"/>
          </w:tcPr>
          <w:p w14:paraId="761347C7">
            <w:pPr>
              <w:spacing w:line="240" w:lineRule="auto"/>
              <w:ind w:firstLine="0" w:firstLineChars="0"/>
              <w:jc w:val="center"/>
              <w:rPr>
                <w:rFonts w:cs="Times New Roman"/>
                <w:sz w:val="21"/>
                <w:szCs w:val="21"/>
              </w:rPr>
            </w:pPr>
          </w:p>
        </w:tc>
        <w:tc>
          <w:tcPr>
            <w:tcW w:w="1213" w:type="pct"/>
            <w:vMerge w:val="continue"/>
            <w:vAlign w:val="center"/>
          </w:tcPr>
          <w:p w14:paraId="5CB5A5A9">
            <w:pPr>
              <w:spacing w:line="240" w:lineRule="auto"/>
              <w:ind w:firstLine="0" w:firstLineChars="0"/>
              <w:jc w:val="center"/>
              <w:rPr>
                <w:rFonts w:cs="Times New Roman"/>
                <w:sz w:val="21"/>
                <w:szCs w:val="21"/>
              </w:rPr>
            </w:pPr>
          </w:p>
        </w:tc>
        <w:tc>
          <w:tcPr>
            <w:tcW w:w="1366" w:type="pct"/>
            <w:vAlign w:val="center"/>
          </w:tcPr>
          <w:p w14:paraId="3FA134B6">
            <w:pPr>
              <w:spacing w:line="240" w:lineRule="auto"/>
              <w:ind w:firstLine="0" w:firstLineChars="0"/>
              <w:jc w:val="center"/>
              <w:rPr>
                <w:rFonts w:cs="Times New Roman"/>
                <w:sz w:val="21"/>
                <w:szCs w:val="21"/>
              </w:rPr>
            </w:pPr>
            <w:r>
              <w:rPr>
                <w:rFonts w:hint="eastAsia" w:cs="Times New Roman"/>
                <w:sz w:val="21"/>
                <w:szCs w:val="21"/>
              </w:rPr>
              <w:t>1.5～3.0m</w:t>
            </w:r>
          </w:p>
        </w:tc>
        <w:tc>
          <w:tcPr>
            <w:tcW w:w="1927" w:type="pct"/>
            <w:vMerge w:val="continue"/>
            <w:vAlign w:val="center"/>
          </w:tcPr>
          <w:p w14:paraId="26700EAC">
            <w:pPr>
              <w:spacing w:line="240" w:lineRule="auto"/>
              <w:ind w:firstLine="0" w:firstLineChars="0"/>
              <w:jc w:val="center"/>
              <w:rPr>
                <w:rFonts w:cs="Times New Roman"/>
                <w:sz w:val="21"/>
                <w:szCs w:val="21"/>
              </w:rPr>
            </w:pPr>
          </w:p>
        </w:tc>
      </w:tr>
      <w:tr w14:paraId="7ADAD1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restart"/>
            <w:vAlign w:val="center"/>
          </w:tcPr>
          <w:p w14:paraId="0CD3AF9B">
            <w:pPr>
              <w:spacing w:line="240" w:lineRule="auto"/>
              <w:ind w:firstLine="0" w:firstLineChars="0"/>
              <w:jc w:val="center"/>
              <w:rPr>
                <w:rFonts w:cs="Times New Roman"/>
                <w:sz w:val="21"/>
                <w:szCs w:val="21"/>
              </w:rPr>
            </w:pPr>
            <w:r>
              <w:rPr>
                <w:rFonts w:hint="eastAsia" w:cs="Times New Roman"/>
                <w:sz w:val="21"/>
                <w:szCs w:val="21"/>
              </w:rPr>
              <w:t>T4</w:t>
            </w:r>
          </w:p>
        </w:tc>
        <w:tc>
          <w:tcPr>
            <w:tcW w:w="1213" w:type="pct"/>
            <w:vMerge w:val="restart"/>
            <w:vAlign w:val="center"/>
          </w:tcPr>
          <w:p w14:paraId="30048462">
            <w:pPr>
              <w:spacing w:line="240" w:lineRule="auto"/>
              <w:ind w:firstLine="0" w:firstLineChars="0"/>
              <w:jc w:val="center"/>
              <w:rPr>
                <w:rFonts w:cs="Times New Roman"/>
                <w:sz w:val="21"/>
                <w:szCs w:val="21"/>
              </w:rPr>
            </w:pPr>
            <w:r>
              <w:rPr>
                <w:rFonts w:hint="eastAsia" w:cs="Times New Roman"/>
                <w:sz w:val="21"/>
                <w:szCs w:val="21"/>
              </w:rPr>
              <w:t>茅东水库管理所以北农林用地地块</w:t>
            </w:r>
          </w:p>
        </w:tc>
        <w:tc>
          <w:tcPr>
            <w:tcW w:w="1366" w:type="pct"/>
            <w:vAlign w:val="center"/>
          </w:tcPr>
          <w:p w14:paraId="38576A7C">
            <w:pPr>
              <w:spacing w:line="240" w:lineRule="auto"/>
              <w:ind w:firstLine="0" w:firstLineChars="0"/>
              <w:jc w:val="center"/>
              <w:rPr>
                <w:rFonts w:cs="Times New Roman"/>
                <w:sz w:val="21"/>
                <w:szCs w:val="21"/>
              </w:rPr>
            </w:pPr>
            <w:r>
              <w:rPr>
                <w:rFonts w:hint="eastAsia" w:cs="Times New Roman"/>
                <w:sz w:val="21"/>
                <w:szCs w:val="21"/>
              </w:rPr>
              <w:t>柱状样点0~0.5m</w:t>
            </w:r>
          </w:p>
        </w:tc>
        <w:tc>
          <w:tcPr>
            <w:tcW w:w="1927" w:type="pct"/>
            <w:vMerge w:val="restart"/>
            <w:vAlign w:val="center"/>
          </w:tcPr>
          <w:p w14:paraId="0C9CEA72">
            <w:pPr>
              <w:spacing w:line="240" w:lineRule="auto"/>
              <w:ind w:firstLine="0" w:firstLineChars="0"/>
              <w:jc w:val="center"/>
              <w:rPr>
                <w:rFonts w:cs="Times New Roman"/>
                <w:sz w:val="21"/>
                <w:szCs w:val="21"/>
              </w:rPr>
            </w:pPr>
            <w:r>
              <w:rPr>
                <w:rFonts w:hint="eastAsia" w:cs="Times New Roman"/>
                <w:sz w:val="21"/>
                <w:szCs w:val="21"/>
              </w:rPr>
              <w:t>pH、镉、汞、砷、铅、铬、铜、镍、锌</w:t>
            </w:r>
          </w:p>
        </w:tc>
      </w:tr>
      <w:tr w14:paraId="1F21C1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1" w:type="pct"/>
            <w:vMerge w:val="continue"/>
            <w:vAlign w:val="center"/>
          </w:tcPr>
          <w:p w14:paraId="379AB382">
            <w:pPr>
              <w:spacing w:line="240" w:lineRule="auto"/>
              <w:ind w:firstLine="0" w:firstLineChars="0"/>
              <w:jc w:val="center"/>
              <w:rPr>
                <w:rFonts w:cs="Times New Roman"/>
                <w:sz w:val="21"/>
                <w:szCs w:val="21"/>
              </w:rPr>
            </w:pPr>
          </w:p>
        </w:tc>
        <w:tc>
          <w:tcPr>
            <w:tcW w:w="1213" w:type="pct"/>
            <w:vMerge w:val="continue"/>
            <w:vAlign w:val="center"/>
          </w:tcPr>
          <w:p w14:paraId="44E556AC">
            <w:pPr>
              <w:spacing w:line="240" w:lineRule="auto"/>
              <w:ind w:firstLine="0" w:firstLineChars="0"/>
              <w:jc w:val="center"/>
              <w:rPr>
                <w:rFonts w:cs="Times New Roman"/>
                <w:sz w:val="21"/>
                <w:szCs w:val="21"/>
              </w:rPr>
            </w:pPr>
          </w:p>
        </w:tc>
        <w:tc>
          <w:tcPr>
            <w:tcW w:w="1366" w:type="pct"/>
            <w:vAlign w:val="center"/>
          </w:tcPr>
          <w:p w14:paraId="2D3AD329">
            <w:pPr>
              <w:spacing w:line="240" w:lineRule="auto"/>
              <w:ind w:firstLine="0" w:firstLineChars="0"/>
              <w:jc w:val="center"/>
              <w:rPr>
                <w:rFonts w:cs="Times New Roman"/>
                <w:sz w:val="21"/>
                <w:szCs w:val="21"/>
              </w:rPr>
            </w:pPr>
            <w:r>
              <w:rPr>
                <w:rFonts w:hint="eastAsia" w:cs="Times New Roman"/>
                <w:sz w:val="21"/>
                <w:szCs w:val="21"/>
              </w:rPr>
              <w:t>0.5～1.5m</w:t>
            </w:r>
          </w:p>
        </w:tc>
        <w:tc>
          <w:tcPr>
            <w:tcW w:w="1927" w:type="pct"/>
            <w:vMerge w:val="continue"/>
            <w:vAlign w:val="center"/>
          </w:tcPr>
          <w:p w14:paraId="44C39B18">
            <w:pPr>
              <w:spacing w:line="240" w:lineRule="auto"/>
              <w:ind w:firstLine="0" w:firstLineChars="0"/>
              <w:jc w:val="center"/>
              <w:rPr>
                <w:rFonts w:cs="Times New Roman"/>
                <w:sz w:val="21"/>
                <w:szCs w:val="21"/>
              </w:rPr>
            </w:pPr>
          </w:p>
        </w:tc>
      </w:tr>
      <w:tr w14:paraId="5B4D35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jc w:val="center"/>
        </w:trPr>
        <w:tc>
          <w:tcPr>
            <w:tcW w:w="491" w:type="pct"/>
            <w:vMerge w:val="continue"/>
            <w:vAlign w:val="center"/>
          </w:tcPr>
          <w:p w14:paraId="6D02BD02">
            <w:pPr>
              <w:spacing w:line="240" w:lineRule="auto"/>
              <w:ind w:firstLine="0" w:firstLineChars="0"/>
              <w:jc w:val="center"/>
              <w:rPr>
                <w:rFonts w:cs="Times New Roman"/>
                <w:sz w:val="21"/>
                <w:szCs w:val="21"/>
              </w:rPr>
            </w:pPr>
          </w:p>
        </w:tc>
        <w:tc>
          <w:tcPr>
            <w:tcW w:w="1213" w:type="pct"/>
            <w:vMerge w:val="continue"/>
            <w:vAlign w:val="center"/>
          </w:tcPr>
          <w:p w14:paraId="1D19DB7B">
            <w:pPr>
              <w:spacing w:line="240" w:lineRule="auto"/>
              <w:ind w:firstLine="0" w:firstLineChars="0"/>
              <w:jc w:val="center"/>
              <w:rPr>
                <w:rFonts w:cs="Times New Roman"/>
                <w:sz w:val="21"/>
                <w:szCs w:val="21"/>
              </w:rPr>
            </w:pPr>
          </w:p>
        </w:tc>
        <w:tc>
          <w:tcPr>
            <w:tcW w:w="1366" w:type="pct"/>
            <w:vAlign w:val="center"/>
          </w:tcPr>
          <w:p w14:paraId="0405CAF0">
            <w:pPr>
              <w:spacing w:line="240" w:lineRule="auto"/>
              <w:ind w:firstLine="0" w:firstLineChars="0"/>
              <w:jc w:val="center"/>
              <w:rPr>
                <w:rFonts w:cs="Times New Roman"/>
                <w:sz w:val="21"/>
                <w:szCs w:val="21"/>
              </w:rPr>
            </w:pPr>
            <w:r>
              <w:rPr>
                <w:rFonts w:hint="eastAsia" w:cs="Times New Roman"/>
                <w:sz w:val="21"/>
                <w:szCs w:val="21"/>
              </w:rPr>
              <w:t>1.5～3.0m</w:t>
            </w:r>
          </w:p>
        </w:tc>
        <w:tc>
          <w:tcPr>
            <w:tcW w:w="1927" w:type="pct"/>
            <w:vMerge w:val="continue"/>
            <w:vAlign w:val="center"/>
          </w:tcPr>
          <w:p w14:paraId="6D471713">
            <w:pPr>
              <w:spacing w:line="240" w:lineRule="auto"/>
              <w:ind w:firstLine="0" w:firstLineChars="0"/>
              <w:jc w:val="center"/>
              <w:rPr>
                <w:rFonts w:cs="Times New Roman"/>
                <w:sz w:val="21"/>
                <w:szCs w:val="21"/>
              </w:rPr>
            </w:pPr>
          </w:p>
        </w:tc>
      </w:tr>
      <w:tr w14:paraId="794491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6" w:hRule="atLeast"/>
          <w:jc w:val="center"/>
        </w:trPr>
        <w:tc>
          <w:tcPr>
            <w:tcW w:w="491" w:type="pct"/>
            <w:vAlign w:val="center"/>
          </w:tcPr>
          <w:p w14:paraId="3C087F3A">
            <w:pPr>
              <w:spacing w:line="240" w:lineRule="auto"/>
              <w:ind w:firstLine="0" w:firstLineChars="0"/>
              <w:jc w:val="center"/>
              <w:rPr>
                <w:rFonts w:cs="Times New Roman"/>
                <w:sz w:val="21"/>
                <w:szCs w:val="21"/>
              </w:rPr>
            </w:pPr>
            <w:r>
              <w:rPr>
                <w:rFonts w:hint="eastAsia" w:cs="Times New Roman"/>
                <w:sz w:val="21"/>
                <w:szCs w:val="21"/>
              </w:rPr>
              <w:t>T5</w:t>
            </w:r>
          </w:p>
        </w:tc>
        <w:tc>
          <w:tcPr>
            <w:tcW w:w="1213" w:type="pct"/>
            <w:vAlign w:val="center"/>
          </w:tcPr>
          <w:p w14:paraId="2D05B6FA">
            <w:pPr>
              <w:spacing w:line="240" w:lineRule="auto"/>
              <w:ind w:firstLine="0" w:firstLineChars="0"/>
              <w:jc w:val="center"/>
              <w:rPr>
                <w:rFonts w:cs="Times New Roman"/>
                <w:sz w:val="21"/>
                <w:szCs w:val="21"/>
              </w:rPr>
            </w:pPr>
            <w:r>
              <w:rPr>
                <w:rFonts w:hint="eastAsia" w:cs="Times New Roman"/>
                <w:sz w:val="21"/>
                <w:szCs w:val="21"/>
              </w:rPr>
              <w:t>银发俱乐部以东农林用地地块</w:t>
            </w:r>
          </w:p>
        </w:tc>
        <w:tc>
          <w:tcPr>
            <w:tcW w:w="1366" w:type="pct"/>
            <w:vAlign w:val="center"/>
          </w:tcPr>
          <w:p w14:paraId="4F4965AB">
            <w:pPr>
              <w:spacing w:line="240" w:lineRule="auto"/>
              <w:ind w:firstLine="0" w:firstLineChars="0"/>
              <w:jc w:val="center"/>
              <w:rPr>
                <w:rFonts w:cs="Times New Roman"/>
                <w:sz w:val="21"/>
                <w:szCs w:val="21"/>
              </w:rPr>
            </w:pPr>
            <w:r>
              <w:rPr>
                <w:rFonts w:hint="eastAsia" w:cs="Times New Roman"/>
                <w:sz w:val="21"/>
                <w:szCs w:val="21"/>
              </w:rPr>
              <w:t>表层样</w:t>
            </w:r>
          </w:p>
        </w:tc>
        <w:tc>
          <w:tcPr>
            <w:tcW w:w="1927" w:type="pct"/>
            <w:vMerge w:val="continue"/>
            <w:vAlign w:val="center"/>
          </w:tcPr>
          <w:p w14:paraId="4DCE2A96">
            <w:pPr>
              <w:spacing w:line="240" w:lineRule="auto"/>
              <w:ind w:firstLine="0" w:firstLineChars="0"/>
              <w:jc w:val="center"/>
              <w:rPr>
                <w:rFonts w:cs="Times New Roman"/>
                <w:sz w:val="21"/>
                <w:szCs w:val="21"/>
              </w:rPr>
            </w:pPr>
          </w:p>
        </w:tc>
      </w:tr>
      <w:tr w14:paraId="3A4359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6" w:hRule="atLeast"/>
          <w:jc w:val="center"/>
        </w:trPr>
        <w:tc>
          <w:tcPr>
            <w:tcW w:w="491" w:type="pct"/>
            <w:vAlign w:val="center"/>
          </w:tcPr>
          <w:p w14:paraId="5695D491">
            <w:pPr>
              <w:spacing w:line="240" w:lineRule="auto"/>
              <w:ind w:firstLine="0" w:firstLineChars="0"/>
              <w:jc w:val="center"/>
              <w:rPr>
                <w:rFonts w:cs="Times New Roman"/>
                <w:sz w:val="21"/>
                <w:szCs w:val="21"/>
              </w:rPr>
            </w:pPr>
            <w:r>
              <w:rPr>
                <w:rFonts w:hint="eastAsia" w:cs="Times New Roman"/>
                <w:sz w:val="21"/>
                <w:szCs w:val="21"/>
              </w:rPr>
              <w:t>T6</w:t>
            </w:r>
          </w:p>
        </w:tc>
        <w:tc>
          <w:tcPr>
            <w:tcW w:w="1213" w:type="pct"/>
            <w:vAlign w:val="center"/>
          </w:tcPr>
          <w:p w14:paraId="4D08B164">
            <w:pPr>
              <w:spacing w:line="240" w:lineRule="auto"/>
              <w:ind w:firstLine="0" w:firstLineChars="0"/>
              <w:jc w:val="center"/>
              <w:rPr>
                <w:rFonts w:cs="Times New Roman"/>
                <w:sz w:val="21"/>
                <w:szCs w:val="21"/>
              </w:rPr>
            </w:pPr>
            <w:r>
              <w:rPr>
                <w:rFonts w:hint="eastAsia" w:cs="Times New Roman"/>
                <w:sz w:val="21"/>
                <w:szCs w:val="21"/>
              </w:rPr>
              <w:t>三清观以北农林用地地块</w:t>
            </w:r>
          </w:p>
        </w:tc>
        <w:tc>
          <w:tcPr>
            <w:tcW w:w="1366" w:type="pct"/>
            <w:vAlign w:val="center"/>
          </w:tcPr>
          <w:p w14:paraId="618A26B0">
            <w:pPr>
              <w:spacing w:line="240" w:lineRule="auto"/>
              <w:ind w:firstLine="0" w:firstLineChars="0"/>
              <w:jc w:val="center"/>
              <w:rPr>
                <w:rFonts w:cs="Times New Roman"/>
                <w:sz w:val="21"/>
                <w:szCs w:val="21"/>
              </w:rPr>
            </w:pPr>
            <w:r>
              <w:rPr>
                <w:rFonts w:hint="eastAsia" w:cs="Times New Roman"/>
                <w:sz w:val="21"/>
                <w:szCs w:val="21"/>
              </w:rPr>
              <w:t>表层样</w:t>
            </w:r>
          </w:p>
        </w:tc>
        <w:tc>
          <w:tcPr>
            <w:tcW w:w="1927" w:type="pct"/>
            <w:vMerge w:val="continue"/>
            <w:vAlign w:val="center"/>
          </w:tcPr>
          <w:p w14:paraId="0BFB1438">
            <w:pPr>
              <w:spacing w:line="240" w:lineRule="auto"/>
              <w:ind w:firstLine="0" w:firstLineChars="0"/>
              <w:jc w:val="center"/>
              <w:rPr>
                <w:rFonts w:cs="Times New Roman"/>
                <w:sz w:val="21"/>
                <w:szCs w:val="21"/>
              </w:rPr>
            </w:pPr>
          </w:p>
        </w:tc>
      </w:tr>
    </w:tbl>
    <w:p w14:paraId="3B985AF7">
      <w:pPr>
        <w:ind w:firstLine="482"/>
        <w:rPr>
          <w:b/>
        </w:rPr>
      </w:pPr>
      <w:r>
        <w:rPr>
          <w:rFonts w:hint="eastAsia"/>
          <w:b/>
        </w:rPr>
        <w:t>（2）监测时间和频次</w:t>
      </w:r>
    </w:p>
    <w:p w14:paraId="5EE69304">
      <w:pPr>
        <w:ind w:firstLine="480"/>
      </w:pPr>
      <w:r>
        <w:rPr>
          <w:rFonts w:hint="eastAsia"/>
        </w:rPr>
        <w:t>T1</w:t>
      </w:r>
      <w:r>
        <w:t>~T6</w:t>
      </w:r>
      <w:r>
        <w:rPr>
          <w:rFonts w:hint="eastAsia"/>
        </w:rPr>
        <w:t>点位采样日期为2024年3月7日，采样1次，监测1次；T</w:t>
      </w:r>
      <w:r>
        <w:t>7</w:t>
      </w:r>
      <w:r>
        <w:rPr>
          <w:rFonts w:hint="eastAsia"/>
        </w:rPr>
        <w:t>、T</w:t>
      </w:r>
      <w:r>
        <w:t>8</w:t>
      </w:r>
      <w:r>
        <w:rPr>
          <w:rFonts w:hint="eastAsia"/>
        </w:rPr>
        <w:t>点位采样日期为2024年3月27日，采样1次，监测1次。</w:t>
      </w:r>
    </w:p>
    <w:p w14:paraId="4EA2DFC3">
      <w:pPr>
        <w:ind w:firstLine="482"/>
        <w:rPr>
          <w:b/>
          <w:bCs/>
        </w:rPr>
      </w:pPr>
      <w:r>
        <w:rPr>
          <w:rFonts w:hint="eastAsia"/>
          <w:b/>
          <w:bCs/>
        </w:rPr>
        <w:t>（3）监测分析方法</w:t>
      </w:r>
    </w:p>
    <w:p w14:paraId="596F177A">
      <w:pPr>
        <w:ind w:firstLine="480"/>
      </w:pPr>
      <w:r>
        <w:t>采样及分析方法按照《土壤环境监测技术规范》《土壤环境质量 建设用地土壤污染风险管控标准（试行）》（GB 36600-2018）</w:t>
      </w:r>
      <w:r>
        <w:rPr>
          <w:rFonts w:hint="eastAsia"/>
        </w:rPr>
        <w:t>和《土壤环境质量 农用地土壤污染风险管控标准（试行）》（G</w:t>
      </w:r>
      <w:r>
        <w:t>B 15618-2018</w:t>
      </w:r>
      <w:r>
        <w:rPr>
          <w:rFonts w:hint="eastAsia"/>
        </w:rPr>
        <w:t>）</w:t>
      </w:r>
      <w:r>
        <w:t>的有关规定和要求执行。</w:t>
      </w:r>
    </w:p>
    <w:p w14:paraId="15E482C8">
      <w:pPr>
        <w:ind w:firstLine="482"/>
        <w:rPr>
          <w:b/>
          <w:bCs/>
        </w:rPr>
      </w:pPr>
      <w:r>
        <w:rPr>
          <w:rFonts w:hint="eastAsia"/>
          <w:b/>
          <w:bCs/>
        </w:rPr>
        <w:t>（4）监测结果分析与评价</w:t>
      </w:r>
    </w:p>
    <w:p w14:paraId="7A79F5DD">
      <w:pPr>
        <w:ind w:firstLine="480"/>
        <w:rPr>
          <w:highlight w:val="yellow"/>
        </w:rPr>
      </w:pPr>
      <w:r>
        <w:rPr>
          <w:bCs/>
        </w:rPr>
        <w:t>土壤环境质量现状监测结果汇总情况见表</w:t>
      </w:r>
      <w:r>
        <w:rPr>
          <w:rFonts w:hint="eastAsia"/>
          <w:bCs/>
        </w:rPr>
        <w:t>3</w:t>
      </w:r>
      <w:r>
        <w:rPr>
          <w:bCs/>
        </w:rPr>
        <w:t>.</w:t>
      </w:r>
      <w:r>
        <w:rPr>
          <w:rFonts w:hint="eastAsia"/>
          <w:bCs/>
        </w:rPr>
        <w:t>5</w:t>
      </w:r>
      <w:r>
        <w:rPr>
          <w:bCs/>
        </w:rPr>
        <w:t>-1</w:t>
      </w:r>
      <w:r>
        <w:rPr>
          <w:rFonts w:hint="eastAsia"/>
          <w:bCs/>
        </w:rPr>
        <w:t>7及表3</w:t>
      </w:r>
      <w:r>
        <w:rPr>
          <w:bCs/>
        </w:rPr>
        <w:t>.</w:t>
      </w:r>
      <w:r>
        <w:rPr>
          <w:rFonts w:hint="eastAsia"/>
          <w:bCs/>
        </w:rPr>
        <w:t>5</w:t>
      </w:r>
      <w:r>
        <w:rPr>
          <w:bCs/>
        </w:rPr>
        <w:t>-1</w:t>
      </w:r>
      <w:r>
        <w:rPr>
          <w:rFonts w:hint="eastAsia"/>
          <w:bCs/>
        </w:rPr>
        <w:t>8</w:t>
      </w:r>
      <w:r>
        <w:rPr>
          <w:bCs/>
        </w:rPr>
        <w:t>。</w:t>
      </w:r>
      <w:r>
        <w:rPr>
          <w:rFonts w:hint="eastAsia"/>
          <w:bCs/>
        </w:rPr>
        <w:t>监测结果表明，监测期间</w:t>
      </w:r>
      <w:r>
        <w:rPr>
          <w:rFonts w:hint="eastAsia"/>
        </w:rPr>
        <w:t>T1、T2、T3、T</w:t>
      </w:r>
      <w:r>
        <w:t>7</w:t>
      </w:r>
      <w:r>
        <w:rPr>
          <w:rFonts w:hint="eastAsia"/>
        </w:rPr>
        <w:t>、T</w:t>
      </w:r>
      <w:r>
        <w:t>8</w:t>
      </w:r>
      <w:r>
        <w:rPr>
          <w:rFonts w:hint="eastAsia"/>
          <w:bCs/>
        </w:rPr>
        <w:t>点位所测各项指标均低于《土壤环境质量 建设用地土壤污染风险管控标准（试行）》（GB 36600-2018）中第一类用地筛选值；</w:t>
      </w:r>
      <w:r>
        <w:rPr>
          <w:rFonts w:hint="eastAsia"/>
        </w:rPr>
        <w:t>T4、T5、T6点位</w:t>
      </w:r>
      <w:r>
        <w:rPr>
          <w:rFonts w:hint="eastAsia"/>
          <w:bCs/>
        </w:rPr>
        <w:t>所测各项指标均低于《土壤环境质量 农用地土壤污染风险管控标准（试行）》（GB 15618-2018）表1中水田风险筛选值。</w:t>
      </w:r>
    </w:p>
    <w:p w14:paraId="33DA1CDE">
      <w:pPr>
        <w:ind w:firstLine="480"/>
        <w:rPr>
          <w:bCs/>
        </w:rPr>
      </w:pPr>
    </w:p>
    <w:p w14:paraId="5192349C">
      <w:pPr>
        <w:ind w:firstLine="480"/>
        <w:sectPr>
          <w:pgSz w:w="11906" w:h="16838"/>
          <w:pgMar w:top="1440" w:right="1800" w:bottom="1440" w:left="1800" w:header="851" w:footer="992" w:gutter="0"/>
          <w:cols w:space="425" w:num="1"/>
          <w:docGrid w:type="lines" w:linePitch="312" w:charSpace="0"/>
        </w:sectPr>
      </w:pPr>
    </w:p>
    <w:p w14:paraId="70F914D8">
      <w:pPr>
        <w:pStyle w:val="45"/>
      </w:pPr>
      <w:r>
        <w:t>表</w:t>
      </w:r>
      <w:r>
        <w:rPr>
          <w:rFonts w:hint="eastAsia"/>
        </w:rPr>
        <w:t>3</w:t>
      </w:r>
      <w:r>
        <w:t>.</w:t>
      </w:r>
      <w:r>
        <w:rPr>
          <w:rFonts w:hint="eastAsia"/>
        </w:rPr>
        <w:t>5</w:t>
      </w:r>
      <w:r>
        <w:t>-</w:t>
      </w:r>
      <w:r>
        <w:rPr>
          <w:rFonts w:hint="eastAsia"/>
        </w:rPr>
        <w:t>18</w:t>
      </w:r>
      <w:r>
        <w:t xml:space="preserve">  </w:t>
      </w:r>
      <w:r>
        <w:rPr>
          <w:rFonts w:hint="eastAsia"/>
        </w:rPr>
        <w:t>建设用地</w:t>
      </w:r>
      <w:r>
        <w:t>土壤环境质量现状监测结果汇总表</w:t>
      </w:r>
      <w:r>
        <w:rPr>
          <w:rFonts w:hint="eastAsia"/>
        </w:rPr>
        <w:t>（T1/T2/T3/T7/T8）</w:t>
      </w:r>
    </w:p>
    <w:tbl>
      <w:tblPr>
        <w:tblStyle w:val="73"/>
        <w:tblW w:w="533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3033"/>
        <w:gridCol w:w="1297"/>
        <w:gridCol w:w="735"/>
        <w:gridCol w:w="956"/>
        <w:gridCol w:w="862"/>
        <w:gridCol w:w="741"/>
        <w:gridCol w:w="889"/>
        <w:gridCol w:w="853"/>
        <w:gridCol w:w="9"/>
        <w:gridCol w:w="738"/>
        <w:gridCol w:w="934"/>
        <w:gridCol w:w="838"/>
        <w:gridCol w:w="9"/>
        <w:gridCol w:w="823"/>
        <w:gridCol w:w="832"/>
        <w:gridCol w:w="847"/>
      </w:tblGrid>
      <w:tr w14:paraId="30CA3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42" w:type="pct"/>
            <w:gridSpan w:val="2"/>
            <w:vAlign w:val="center"/>
          </w:tcPr>
          <w:p w14:paraId="1EA189F2">
            <w:pPr>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采样项目</w:t>
            </w:r>
          </w:p>
        </w:tc>
        <w:tc>
          <w:tcPr>
            <w:tcW w:w="429" w:type="pct"/>
            <w:vAlign w:val="center"/>
          </w:tcPr>
          <w:p w14:paraId="3635DCE9">
            <w:pPr>
              <w:spacing w:line="240" w:lineRule="auto"/>
              <w:ind w:firstLine="0" w:firstLineChars="0"/>
              <w:jc w:val="center"/>
              <w:rPr>
                <w:rFonts w:cs="Times New Roman"/>
                <w:b/>
                <w:bCs/>
                <w:spacing w:val="-20"/>
                <w:kern w:val="0"/>
                <w:sz w:val="21"/>
                <w:szCs w:val="21"/>
                <w14:ligatures w14:val="none"/>
              </w:rPr>
            </w:pPr>
            <w:r>
              <w:rPr>
                <w:rFonts w:hint="eastAsia" w:cs="Times New Roman"/>
                <w:b/>
                <w:bCs/>
                <w:spacing w:val="-20"/>
                <w:kern w:val="0"/>
                <w:sz w:val="21"/>
                <w:szCs w:val="21"/>
                <w14:ligatures w14:val="none"/>
              </w:rPr>
              <w:t>T1东进小区</w:t>
            </w:r>
          </w:p>
        </w:tc>
        <w:tc>
          <w:tcPr>
            <w:tcW w:w="844" w:type="pct"/>
            <w:gridSpan w:val="3"/>
            <w:vAlign w:val="center"/>
          </w:tcPr>
          <w:p w14:paraId="4B68A1DF">
            <w:pPr>
              <w:spacing w:line="240" w:lineRule="auto"/>
              <w:ind w:firstLine="0" w:firstLineChars="0"/>
              <w:jc w:val="center"/>
              <w:rPr>
                <w:rFonts w:cs="Times New Roman"/>
                <w:b/>
                <w:bCs/>
                <w:spacing w:val="-20"/>
                <w:kern w:val="0"/>
                <w:sz w:val="21"/>
                <w:szCs w:val="21"/>
                <w14:ligatures w14:val="none"/>
              </w:rPr>
            </w:pPr>
            <w:r>
              <w:rPr>
                <w:rFonts w:hint="eastAsia" w:cs="Times New Roman"/>
                <w:b/>
                <w:bCs/>
                <w:spacing w:val="-20"/>
                <w:kern w:val="0"/>
                <w:sz w:val="21"/>
                <w:szCs w:val="21"/>
                <w14:ligatures w14:val="none"/>
              </w:rPr>
              <w:t>T2雅居乐山湖城</w:t>
            </w:r>
          </w:p>
        </w:tc>
        <w:tc>
          <w:tcPr>
            <w:tcW w:w="824" w:type="pct"/>
            <w:gridSpan w:val="4"/>
            <w:vAlign w:val="center"/>
          </w:tcPr>
          <w:p w14:paraId="0816CFF1">
            <w:pPr>
              <w:spacing w:line="240" w:lineRule="auto"/>
              <w:ind w:firstLine="0" w:firstLineChars="0"/>
              <w:jc w:val="center"/>
              <w:rPr>
                <w:rFonts w:cs="Times New Roman"/>
                <w:b/>
                <w:bCs/>
                <w:spacing w:val="-20"/>
                <w:kern w:val="0"/>
                <w:sz w:val="21"/>
                <w:szCs w:val="21"/>
                <w14:ligatures w14:val="none"/>
              </w:rPr>
            </w:pPr>
            <w:r>
              <w:rPr>
                <w:rFonts w:hint="eastAsia" w:cs="Times New Roman"/>
                <w:b/>
                <w:bCs/>
                <w:spacing w:val="-20"/>
                <w:kern w:val="0"/>
                <w:sz w:val="21"/>
                <w:szCs w:val="21"/>
                <w14:ligatures w14:val="none"/>
              </w:rPr>
              <w:t>T3山城花园湖畔小院</w:t>
            </w:r>
          </w:p>
        </w:tc>
        <w:tc>
          <w:tcPr>
            <w:tcW w:w="833" w:type="pct"/>
            <w:gridSpan w:val="4"/>
            <w:vAlign w:val="center"/>
          </w:tcPr>
          <w:p w14:paraId="6E34018D">
            <w:pPr>
              <w:spacing w:line="240" w:lineRule="auto"/>
              <w:ind w:firstLine="0" w:firstLineChars="0"/>
              <w:jc w:val="center"/>
              <w:rPr>
                <w:rFonts w:cs="Times New Roman"/>
                <w:b/>
                <w:bCs/>
                <w:spacing w:val="-20"/>
                <w:kern w:val="0"/>
                <w:sz w:val="21"/>
                <w:szCs w:val="21"/>
                <w14:ligatures w14:val="none"/>
              </w:rPr>
            </w:pPr>
            <w:r>
              <w:rPr>
                <w:rFonts w:hint="eastAsia" w:cs="Times New Roman"/>
                <w:b/>
                <w:bCs/>
                <w:spacing w:val="-20"/>
                <w:kern w:val="0"/>
                <w:sz w:val="21"/>
                <w:szCs w:val="21"/>
                <w14:ligatures w14:val="none"/>
              </w:rPr>
              <w:t>T7塔山村</w:t>
            </w:r>
          </w:p>
        </w:tc>
        <w:tc>
          <w:tcPr>
            <w:tcW w:w="828" w:type="pct"/>
            <w:gridSpan w:val="3"/>
            <w:vAlign w:val="center"/>
          </w:tcPr>
          <w:p w14:paraId="5C2C767B">
            <w:pPr>
              <w:spacing w:line="240" w:lineRule="auto"/>
              <w:ind w:firstLine="0" w:firstLineChars="0"/>
              <w:jc w:val="center"/>
              <w:rPr>
                <w:rFonts w:cs="Times New Roman"/>
                <w:b/>
                <w:bCs/>
                <w:spacing w:val="-20"/>
                <w:kern w:val="0"/>
                <w:sz w:val="21"/>
                <w:szCs w:val="21"/>
                <w14:ligatures w14:val="none"/>
              </w:rPr>
            </w:pPr>
            <w:r>
              <w:rPr>
                <w:rFonts w:hint="eastAsia" w:cs="Times New Roman"/>
                <w:b/>
                <w:bCs/>
                <w:spacing w:val="-20"/>
                <w:kern w:val="0"/>
                <w:sz w:val="21"/>
                <w:szCs w:val="21"/>
                <w14:ligatures w14:val="none"/>
              </w:rPr>
              <w:t>T8许庄村</w:t>
            </w:r>
          </w:p>
        </w:tc>
      </w:tr>
      <w:tr w14:paraId="36C77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restart"/>
            <w:vAlign w:val="center"/>
          </w:tcPr>
          <w:p w14:paraId="594850EA">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无机物、重金属</w:t>
            </w:r>
          </w:p>
        </w:tc>
        <w:tc>
          <w:tcPr>
            <w:tcW w:w="1003" w:type="pct"/>
            <w:vAlign w:val="center"/>
          </w:tcPr>
          <w:p w14:paraId="46551020">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采样深度（m）</w:t>
            </w:r>
          </w:p>
        </w:tc>
        <w:tc>
          <w:tcPr>
            <w:tcW w:w="429" w:type="pct"/>
            <w:vAlign w:val="center"/>
          </w:tcPr>
          <w:p w14:paraId="485883C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0-0.2</w:t>
            </w:r>
          </w:p>
        </w:tc>
        <w:tc>
          <w:tcPr>
            <w:tcW w:w="243" w:type="pct"/>
            <w:vAlign w:val="center"/>
          </w:tcPr>
          <w:p w14:paraId="06C42F3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0-0.5</w:t>
            </w:r>
          </w:p>
        </w:tc>
        <w:tc>
          <w:tcPr>
            <w:tcW w:w="316" w:type="pct"/>
            <w:vAlign w:val="center"/>
          </w:tcPr>
          <w:p w14:paraId="2F53A36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0.5-1.5</w:t>
            </w:r>
          </w:p>
        </w:tc>
        <w:tc>
          <w:tcPr>
            <w:tcW w:w="285" w:type="pct"/>
            <w:vAlign w:val="center"/>
          </w:tcPr>
          <w:p w14:paraId="36B155A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1.5-3.0</w:t>
            </w:r>
          </w:p>
        </w:tc>
        <w:tc>
          <w:tcPr>
            <w:tcW w:w="245" w:type="pct"/>
            <w:vAlign w:val="center"/>
          </w:tcPr>
          <w:p w14:paraId="4C2FC55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0-0.5</w:t>
            </w:r>
          </w:p>
        </w:tc>
        <w:tc>
          <w:tcPr>
            <w:tcW w:w="294" w:type="pct"/>
            <w:vAlign w:val="center"/>
          </w:tcPr>
          <w:p w14:paraId="5FB2034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0.5-1.5</w:t>
            </w:r>
          </w:p>
        </w:tc>
        <w:tc>
          <w:tcPr>
            <w:tcW w:w="282" w:type="pct"/>
            <w:vAlign w:val="center"/>
          </w:tcPr>
          <w:p w14:paraId="4B358E5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1.5-3.0</w:t>
            </w:r>
          </w:p>
        </w:tc>
        <w:tc>
          <w:tcPr>
            <w:tcW w:w="247" w:type="pct"/>
            <w:gridSpan w:val="2"/>
            <w:vAlign w:val="center"/>
          </w:tcPr>
          <w:p w14:paraId="60A38D7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0-0.5</w:t>
            </w:r>
          </w:p>
        </w:tc>
        <w:tc>
          <w:tcPr>
            <w:tcW w:w="309" w:type="pct"/>
            <w:vAlign w:val="center"/>
          </w:tcPr>
          <w:p w14:paraId="7D777FA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0.5-1.5</w:t>
            </w:r>
          </w:p>
        </w:tc>
        <w:tc>
          <w:tcPr>
            <w:tcW w:w="277" w:type="pct"/>
            <w:vAlign w:val="center"/>
          </w:tcPr>
          <w:p w14:paraId="6C68E69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1.5-3.0</w:t>
            </w:r>
          </w:p>
        </w:tc>
        <w:tc>
          <w:tcPr>
            <w:tcW w:w="275" w:type="pct"/>
            <w:gridSpan w:val="2"/>
            <w:vAlign w:val="center"/>
          </w:tcPr>
          <w:p w14:paraId="0F62D5E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0-0.5</w:t>
            </w:r>
          </w:p>
        </w:tc>
        <w:tc>
          <w:tcPr>
            <w:tcW w:w="275" w:type="pct"/>
            <w:vAlign w:val="center"/>
          </w:tcPr>
          <w:p w14:paraId="5DB47E1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0.5-1.5</w:t>
            </w:r>
          </w:p>
        </w:tc>
        <w:tc>
          <w:tcPr>
            <w:tcW w:w="282" w:type="pct"/>
            <w:vAlign w:val="center"/>
          </w:tcPr>
          <w:p w14:paraId="705638A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1.5-3.0</w:t>
            </w:r>
          </w:p>
        </w:tc>
      </w:tr>
      <w:tr w14:paraId="1133C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240" w:type="pct"/>
            <w:vMerge w:val="continue"/>
            <w:vAlign w:val="center"/>
          </w:tcPr>
          <w:p w14:paraId="1D3FF21F">
            <w:pPr>
              <w:spacing w:line="240" w:lineRule="auto"/>
              <w:ind w:firstLine="0" w:firstLineChars="0"/>
              <w:jc w:val="center"/>
              <w:rPr>
                <w:rFonts w:cs="Times New Roman"/>
                <w:kern w:val="0"/>
                <w:sz w:val="21"/>
                <w:szCs w:val="21"/>
                <w14:ligatures w14:val="none"/>
              </w:rPr>
            </w:pPr>
          </w:p>
        </w:tc>
        <w:tc>
          <w:tcPr>
            <w:tcW w:w="1003" w:type="pct"/>
            <w:vAlign w:val="center"/>
          </w:tcPr>
          <w:p w14:paraId="39383E7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pH值</w:t>
            </w:r>
          </w:p>
          <w:p w14:paraId="3DC145B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（无量纲）</w:t>
            </w:r>
          </w:p>
        </w:tc>
        <w:tc>
          <w:tcPr>
            <w:tcW w:w="429" w:type="pct"/>
            <w:vAlign w:val="center"/>
          </w:tcPr>
          <w:p w14:paraId="3A9BE88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7.36</w:t>
            </w:r>
          </w:p>
        </w:tc>
        <w:tc>
          <w:tcPr>
            <w:tcW w:w="243" w:type="pct"/>
            <w:vAlign w:val="center"/>
          </w:tcPr>
          <w:p w14:paraId="0A3355B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7.45</w:t>
            </w:r>
          </w:p>
        </w:tc>
        <w:tc>
          <w:tcPr>
            <w:tcW w:w="316" w:type="pct"/>
            <w:vAlign w:val="center"/>
          </w:tcPr>
          <w:p w14:paraId="6E6CE1F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7.67</w:t>
            </w:r>
          </w:p>
        </w:tc>
        <w:tc>
          <w:tcPr>
            <w:tcW w:w="285" w:type="pct"/>
            <w:vAlign w:val="center"/>
          </w:tcPr>
          <w:p w14:paraId="6225A44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7.58</w:t>
            </w:r>
          </w:p>
        </w:tc>
        <w:tc>
          <w:tcPr>
            <w:tcW w:w="245" w:type="pct"/>
            <w:vAlign w:val="center"/>
          </w:tcPr>
          <w:p w14:paraId="591D53F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7.73</w:t>
            </w:r>
          </w:p>
        </w:tc>
        <w:tc>
          <w:tcPr>
            <w:tcW w:w="294" w:type="pct"/>
            <w:vAlign w:val="center"/>
          </w:tcPr>
          <w:p w14:paraId="552B592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7.68</w:t>
            </w:r>
          </w:p>
        </w:tc>
        <w:tc>
          <w:tcPr>
            <w:tcW w:w="282" w:type="pct"/>
            <w:vAlign w:val="center"/>
          </w:tcPr>
          <w:p w14:paraId="7B0874B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7.60</w:t>
            </w:r>
          </w:p>
        </w:tc>
        <w:tc>
          <w:tcPr>
            <w:tcW w:w="247" w:type="pct"/>
            <w:gridSpan w:val="2"/>
            <w:vAlign w:val="center"/>
          </w:tcPr>
          <w:p w14:paraId="0E71EC1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7.57</w:t>
            </w:r>
          </w:p>
        </w:tc>
        <w:tc>
          <w:tcPr>
            <w:tcW w:w="309" w:type="pct"/>
            <w:vAlign w:val="center"/>
          </w:tcPr>
          <w:p w14:paraId="437A178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7.88</w:t>
            </w:r>
          </w:p>
        </w:tc>
        <w:tc>
          <w:tcPr>
            <w:tcW w:w="277" w:type="pct"/>
            <w:vAlign w:val="center"/>
          </w:tcPr>
          <w:p w14:paraId="3DE5573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7.68</w:t>
            </w:r>
          </w:p>
        </w:tc>
        <w:tc>
          <w:tcPr>
            <w:tcW w:w="275" w:type="pct"/>
            <w:gridSpan w:val="2"/>
            <w:vAlign w:val="center"/>
          </w:tcPr>
          <w:p w14:paraId="22504D5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7.22</w:t>
            </w:r>
          </w:p>
        </w:tc>
        <w:tc>
          <w:tcPr>
            <w:tcW w:w="275" w:type="pct"/>
            <w:vAlign w:val="center"/>
          </w:tcPr>
          <w:p w14:paraId="7DB3294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7.18</w:t>
            </w:r>
          </w:p>
        </w:tc>
        <w:tc>
          <w:tcPr>
            <w:tcW w:w="282" w:type="pct"/>
            <w:vAlign w:val="center"/>
          </w:tcPr>
          <w:p w14:paraId="5D43E84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7.11</w:t>
            </w:r>
          </w:p>
        </w:tc>
      </w:tr>
      <w:tr w14:paraId="0DAD8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0B2164E3">
            <w:pPr>
              <w:spacing w:line="240" w:lineRule="auto"/>
              <w:ind w:firstLine="0" w:firstLineChars="0"/>
              <w:jc w:val="center"/>
              <w:rPr>
                <w:rFonts w:cs="Times New Roman"/>
                <w:kern w:val="0"/>
                <w:sz w:val="21"/>
                <w:szCs w:val="21"/>
                <w14:ligatures w14:val="none"/>
              </w:rPr>
            </w:pPr>
          </w:p>
        </w:tc>
        <w:tc>
          <w:tcPr>
            <w:tcW w:w="1003" w:type="pct"/>
            <w:vAlign w:val="center"/>
          </w:tcPr>
          <w:p w14:paraId="1B280C6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汞（mg/kg）</w:t>
            </w:r>
          </w:p>
        </w:tc>
        <w:tc>
          <w:tcPr>
            <w:tcW w:w="429" w:type="pct"/>
            <w:vAlign w:val="center"/>
          </w:tcPr>
          <w:p w14:paraId="6A702D7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0.156</w:t>
            </w:r>
          </w:p>
        </w:tc>
        <w:tc>
          <w:tcPr>
            <w:tcW w:w="243" w:type="pct"/>
            <w:vAlign w:val="center"/>
          </w:tcPr>
          <w:p w14:paraId="6C8C557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0.123</w:t>
            </w:r>
          </w:p>
        </w:tc>
        <w:tc>
          <w:tcPr>
            <w:tcW w:w="316" w:type="pct"/>
            <w:vAlign w:val="center"/>
          </w:tcPr>
          <w:p w14:paraId="5EB6A08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0.100</w:t>
            </w:r>
          </w:p>
        </w:tc>
        <w:tc>
          <w:tcPr>
            <w:tcW w:w="285" w:type="pct"/>
            <w:vAlign w:val="center"/>
          </w:tcPr>
          <w:p w14:paraId="1F3911D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0.080</w:t>
            </w:r>
          </w:p>
        </w:tc>
        <w:tc>
          <w:tcPr>
            <w:tcW w:w="245" w:type="pct"/>
            <w:vAlign w:val="center"/>
          </w:tcPr>
          <w:p w14:paraId="6B6D504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0.157</w:t>
            </w:r>
          </w:p>
        </w:tc>
        <w:tc>
          <w:tcPr>
            <w:tcW w:w="294" w:type="pct"/>
            <w:vAlign w:val="center"/>
          </w:tcPr>
          <w:p w14:paraId="5BAE577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0.100</w:t>
            </w:r>
          </w:p>
        </w:tc>
        <w:tc>
          <w:tcPr>
            <w:tcW w:w="282" w:type="pct"/>
            <w:vAlign w:val="center"/>
          </w:tcPr>
          <w:p w14:paraId="4A5F353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0.153</w:t>
            </w:r>
          </w:p>
        </w:tc>
        <w:tc>
          <w:tcPr>
            <w:tcW w:w="247" w:type="pct"/>
            <w:gridSpan w:val="2"/>
            <w:vAlign w:val="center"/>
          </w:tcPr>
          <w:p w14:paraId="4188906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0.063</w:t>
            </w:r>
          </w:p>
        </w:tc>
        <w:tc>
          <w:tcPr>
            <w:tcW w:w="309" w:type="pct"/>
            <w:vAlign w:val="center"/>
          </w:tcPr>
          <w:p w14:paraId="2F17FBE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0.064</w:t>
            </w:r>
          </w:p>
        </w:tc>
        <w:tc>
          <w:tcPr>
            <w:tcW w:w="277" w:type="pct"/>
            <w:vAlign w:val="center"/>
          </w:tcPr>
          <w:p w14:paraId="4627DA3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0.07</w:t>
            </w:r>
          </w:p>
        </w:tc>
        <w:tc>
          <w:tcPr>
            <w:tcW w:w="275" w:type="pct"/>
            <w:gridSpan w:val="2"/>
            <w:vAlign w:val="center"/>
          </w:tcPr>
          <w:p w14:paraId="01EBF94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0.048</w:t>
            </w:r>
          </w:p>
        </w:tc>
        <w:tc>
          <w:tcPr>
            <w:tcW w:w="275" w:type="pct"/>
            <w:vAlign w:val="center"/>
          </w:tcPr>
          <w:p w14:paraId="54C7E01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0.066</w:t>
            </w:r>
          </w:p>
        </w:tc>
        <w:tc>
          <w:tcPr>
            <w:tcW w:w="282" w:type="pct"/>
            <w:vAlign w:val="center"/>
          </w:tcPr>
          <w:p w14:paraId="12EC48B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0.064</w:t>
            </w:r>
          </w:p>
        </w:tc>
      </w:tr>
      <w:tr w14:paraId="689C2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5643D3A0">
            <w:pPr>
              <w:spacing w:line="240" w:lineRule="auto"/>
              <w:ind w:firstLine="0" w:firstLineChars="0"/>
              <w:jc w:val="center"/>
              <w:rPr>
                <w:rFonts w:cs="Times New Roman"/>
                <w:kern w:val="0"/>
                <w:sz w:val="21"/>
                <w:szCs w:val="21"/>
                <w14:ligatures w14:val="none"/>
              </w:rPr>
            </w:pPr>
          </w:p>
        </w:tc>
        <w:tc>
          <w:tcPr>
            <w:tcW w:w="1003" w:type="pct"/>
            <w:vAlign w:val="center"/>
          </w:tcPr>
          <w:p w14:paraId="031A97B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砷（mg/kg）</w:t>
            </w:r>
          </w:p>
        </w:tc>
        <w:tc>
          <w:tcPr>
            <w:tcW w:w="429" w:type="pct"/>
            <w:vAlign w:val="center"/>
          </w:tcPr>
          <w:p w14:paraId="2E3BF5B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8.80</w:t>
            </w:r>
          </w:p>
        </w:tc>
        <w:tc>
          <w:tcPr>
            <w:tcW w:w="243" w:type="pct"/>
            <w:vAlign w:val="center"/>
          </w:tcPr>
          <w:p w14:paraId="4D4F49D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8.98</w:t>
            </w:r>
          </w:p>
        </w:tc>
        <w:tc>
          <w:tcPr>
            <w:tcW w:w="316" w:type="pct"/>
            <w:vAlign w:val="center"/>
          </w:tcPr>
          <w:p w14:paraId="75CFFF4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8.71</w:t>
            </w:r>
          </w:p>
        </w:tc>
        <w:tc>
          <w:tcPr>
            <w:tcW w:w="285" w:type="pct"/>
            <w:vAlign w:val="center"/>
          </w:tcPr>
          <w:p w14:paraId="4781995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9.17</w:t>
            </w:r>
          </w:p>
        </w:tc>
        <w:tc>
          <w:tcPr>
            <w:tcW w:w="245" w:type="pct"/>
            <w:vAlign w:val="center"/>
          </w:tcPr>
          <w:p w14:paraId="51E4885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9.23</w:t>
            </w:r>
          </w:p>
        </w:tc>
        <w:tc>
          <w:tcPr>
            <w:tcW w:w="294" w:type="pct"/>
            <w:vAlign w:val="center"/>
          </w:tcPr>
          <w:p w14:paraId="474EE3A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9.00</w:t>
            </w:r>
          </w:p>
        </w:tc>
        <w:tc>
          <w:tcPr>
            <w:tcW w:w="282" w:type="pct"/>
            <w:vAlign w:val="center"/>
          </w:tcPr>
          <w:p w14:paraId="3880F93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8.85</w:t>
            </w:r>
          </w:p>
        </w:tc>
        <w:tc>
          <w:tcPr>
            <w:tcW w:w="247" w:type="pct"/>
            <w:gridSpan w:val="2"/>
            <w:vAlign w:val="center"/>
          </w:tcPr>
          <w:p w14:paraId="46E510D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7.2</w:t>
            </w:r>
          </w:p>
        </w:tc>
        <w:tc>
          <w:tcPr>
            <w:tcW w:w="309" w:type="pct"/>
            <w:vAlign w:val="center"/>
          </w:tcPr>
          <w:p w14:paraId="5CC2DBF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6.09</w:t>
            </w:r>
          </w:p>
        </w:tc>
        <w:tc>
          <w:tcPr>
            <w:tcW w:w="277" w:type="pct"/>
            <w:vAlign w:val="center"/>
          </w:tcPr>
          <w:p w14:paraId="3A7E96B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7.42</w:t>
            </w:r>
          </w:p>
        </w:tc>
        <w:tc>
          <w:tcPr>
            <w:tcW w:w="275" w:type="pct"/>
            <w:gridSpan w:val="2"/>
            <w:vAlign w:val="center"/>
          </w:tcPr>
          <w:p w14:paraId="25688C2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5.51</w:t>
            </w:r>
          </w:p>
        </w:tc>
        <w:tc>
          <w:tcPr>
            <w:tcW w:w="275" w:type="pct"/>
            <w:vAlign w:val="center"/>
          </w:tcPr>
          <w:p w14:paraId="36D4707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6.42</w:t>
            </w:r>
          </w:p>
        </w:tc>
        <w:tc>
          <w:tcPr>
            <w:tcW w:w="282" w:type="pct"/>
            <w:vAlign w:val="center"/>
          </w:tcPr>
          <w:p w14:paraId="0EEB014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6.73</w:t>
            </w:r>
          </w:p>
        </w:tc>
      </w:tr>
      <w:tr w14:paraId="73DD1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49E29CE5">
            <w:pPr>
              <w:spacing w:line="240" w:lineRule="auto"/>
              <w:ind w:firstLine="0" w:firstLineChars="0"/>
              <w:jc w:val="center"/>
              <w:rPr>
                <w:rFonts w:cs="Times New Roman"/>
                <w:kern w:val="0"/>
                <w:sz w:val="21"/>
                <w:szCs w:val="21"/>
                <w14:ligatures w14:val="none"/>
              </w:rPr>
            </w:pPr>
          </w:p>
        </w:tc>
        <w:tc>
          <w:tcPr>
            <w:tcW w:w="1003" w:type="pct"/>
            <w:vAlign w:val="center"/>
          </w:tcPr>
          <w:p w14:paraId="15A9E91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铜（mg/kg）</w:t>
            </w:r>
          </w:p>
        </w:tc>
        <w:tc>
          <w:tcPr>
            <w:tcW w:w="429" w:type="pct"/>
            <w:vAlign w:val="center"/>
          </w:tcPr>
          <w:p w14:paraId="325FE069">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15</w:t>
            </w:r>
          </w:p>
        </w:tc>
        <w:tc>
          <w:tcPr>
            <w:tcW w:w="243" w:type="pct"/>
            <w:vAlign w:val="center"/>
          </w:tcPr>
          <w:p w14:paraId="2330F9CF">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17</w:t>
            </w:r>
          </w:p>
        </w:tc>
        <w:tc>
          <w:tcPr>
            <w:tcW w:w="316" w:type="pct"/>
            <w:vAlign w:val="center"/>
          </w:tcPr>
          <w:p w14:paraId="28EC2FA0">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16</w:t>
            </w:r>
          </w:p>
        </w:tc>
        <w:tc>
          <w:tcPr>
            <w:tcW w:w="285" w:type="pct"/>
            <w:vAlign w:val="center"/>
          </w:tcPr>
          <w:p w14:paraId="07EBD429">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10</w:t>
            </w:r>
          </w:p>
        </w:tc>
        <w:tc>
          <w:tcPr>
            <w:tcW w:w="245" w:type="pct"/>
            <w:vAlign w:val="center"/>
          </w:tcPr>
          <w:p w14:paraId="7D36E3DC">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14</w:t>
            </w:r>
          </w:p>
        </w:tc>
        <w:tc>
          <w:tcPr>
            <w:tcW w:w="294" w:type="pct"/>
            <w:vAlign w:val="center"/>
          </w:tcPr>
          <w:p w14:paraId="3DD06D40">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15</w:t>
            </w:r>
          </w:p>
        </w:tc>
        <w:tc>
          <w:tcPr>
            <w:tcW w:w="282" w:type="pct"/>
            <w:vAlign w:val="center"/>
          </w:tcPr>
          <w:p w14:paraId="7FFC13AD">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15</w:t>
            </w:r>
          </w:p>
        </w:tc>
        <w:tc>
          <w:tcPr>
            <w:tcW w:w="247" w:type="pct"/>
            <w:gridSpan w:val="2"/>
            <w:vAlign w:val="center"/>
          </w:tcPr>
          <w:p w14:paraId="048BD57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14</w:t>
            </w:r>
          </w:p>
        </w:tc>
        <w:tc>
          <w:tcPr>
            <w:tcW w:w="309" w:type="pct"/>
            <w:vAlign w:val="center"/>
          </w:tcPr>
          <w:p w14:paraId="0389661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17</w:t>
            </w:r>
          </w:p>
        </w:tc>
        <w:tc>
          <w:tcPr>
            <w:tcW w:w="277" w:type="pct"/>
            <w:vAlign w:val="center"/>
          </w:tcPr>
          <w:p w14:paraId="491E3FB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13</w:t>
            </w:r>
          </w:p>
        </w:tc>
        <w:tc>
          <w:tcPr>
            <w:tcW w:w="275" w:type="pct"/>
            <w:gridSpan w:val="2"/>
            <w:vAlign w:val="center"/>
          </w:tcPr>
          <w:p w14:paraId="28804F7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21</w:t>
            </w:r>
          </w:p>
        </w:tc>
        <w:tc>
          <w:tcPr>
            <w:tcW w:w="275" w:type="pct"/>
            <w:vAlign w:val="center"/>
          </w:tcPr>
          <w:p w14:paraId="5D7644B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8</w:t>
            </w:r>
          </w:p>
        </w:tc>
        <w:tc>
          <w:tcPr>
            <w:tcW w:w="282" w:type="pct"/>
            <w:vAlign w:val="center"/>
          </w:tcPr>
          <w:p w14:paraId="1D37770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14</w:t>
            </w:r>
          </w:p>
        </w:tc>
      </w:tr>
      <w:tr w14:paraId="67F42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03ABEB53">
            <w:pPr>
              <w:spacing w:line="240" w:lineRule="auto"/>
              <w:ind w:firstLine="0" w:firstLineChars="0"/>
              <w:jc w:val="center"/>
              <w:rPr>
                <w:rFonts w:cs="Times New Roman"/>
                <w:kern w:val="0"/>
                <w:sz w:val="21"/>
                <w:szCs w:val="21"/>
                <w14:ligatures w14:val="none"/>
              </w:rPr>
            </w:pPr>
          </w:p>
        </w:tc>
        <w:tc>
          <w:tcPr>
            <w:tcW w:w="1003" w:type="pct"/>
            <w:vAlign w:val="center"/>
          </w:tcPr>
          <w:p w14:paraId="756F80A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镍（mg/kg）</w:t>
            </w:r>
          </w:p>
        </w:tc>
        <w:tc>
          <w:tcPr>
            <w:tcW w:w="429" w:type="pct"/>
            <w:vAlign w:val="center"/>
          </w:tcPr>
          <w:p w14:paraId="51A86F86">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26</w:t>
            </w:r>
          </w:p>
        </w:tc>
        <w:tc>
          <w:tcPr>
            <w:tcW w:w="243" w:type="pct"/>
            <w:vAlign w:val="center"/>
          </w:tcPr>
          <w:p w14:paraId="45CB3920">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42</w:t>
            </w:r>
          </w:p>
        </w:tc>
        <w:tc>
          <w:tcPr>
            <w:tcW w:w="316" w:type="pct"/>
            <w:vAlign w:val="center"/>
          </w:tcPr>
          <w:p w14:paraId="205B6B7A">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43</w:t>
            </w:r>
          </w:p>
        </w:tc>
        <w:tc>
          <w:tcPr>
            <w:tcW w:w="285" w:type="pct"/>
            <w:vAlign w:val="center"/>
          </w:tcPr>
          <w:p w14:paraId="6E36DB8B">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36</w:t>
            </w:r>
          </w:p>
        </w:tc>
        <w:tc>
          <w:tcPr>
            <w:tcW w:w="245" w:type="pct"/>
            <w:vAlign w:val="center"/>
          </w:tcPr>
          <w:p w14:paraId="4991547D">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30</w:t>
            </w:r>
          </w:p>
        </w:tc>
        <w:tc>
          <w:tcPr>
            <w:tcW w:w="294" w:type="pct"/>
            <w:vAlign w:val="center"/>
          </w:tcPr>
          <w:p w14:paraId="676315F3">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34</w:t>
            </w:r>
          </w:p>
        </w:tc>
        <w:tc>
          <w:tcPr>
            <w:tcW w:w="282" w:type="pct"/>
            <w:vAlign w:val="center"/>
          </w:tcPr>
          <w:p w14:paraId="5F4E039C">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27</w:t>
            </w:r>
          </w:p>
        </w:tc>
        <w:tc>
          <w:tcPr>
            <w:tcW w:w="247" w:type="pct"/>
            <w:gridSpan w:val="2"/>
            <w:vAlign w:val="center"/>
          </w:tcPr>
          <w:p w14:paraId="4EED6CE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14</w:t>
            </w:r>
          </w:p>
        </w:tc>
        <w:tc>
          <w:tcPr>
            <w:tcW w:w="309" w:type="pct"/>
            <w:vAlign w:val="center"/>
          </w:tcPr>
          <w:p w14:paraId="0578F0E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17</w:t>
            </w:r>
          </w:p>
        </w:tc>
        <w:tc>
          <w:tcPr>
            <w:tcW w:w="277" w:type="pct"/>
            <w:vAlign w:val="center"/>
          </w:tcPr>
          <w:p w14:paraId="0BBFA7B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28</w:t>
            </w:r>
          </w:p>
        </w:tc>
        <w:tc>
          <w:tcPr>
            <w:tcW w:w="275" w:type="pct"/>
            <w:gridSpan w:val="2"/>
            <w:vAlign w:val="center"/>
          </w:tcPr>
          <w:p w14:paraId="5291D55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27</w:t>
            </w:r>
          </w:p>
        </w:tc>
        <w:tc>
          <w:tcPr>
            <w:tcW w:w="275" w:type="pct"/>
            <w:vAlign w:val="center"/>
          </w:tcPr>
          <w:p w14:paraId="3FB378B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17</w:t>
            </w:r>
          </w:p>
        </w:tc>
        <w:tc>
          <w:tcPr>
            <w:tcW w:w="282" w:type="pct"/>
            <w:vAlign w:val="center"/>
          </w:tcPr>
          <w:p w14:paraId="632A470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41</w:t>
            </w:r>
          </w:p>
        </w:tc>
      </w:tr>
      <w:tr w14:paraId="792D4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1C788403">
            <w:pPr>
              <w:spacing w:line="240" w:lineRule="auto"/>
              <w:ind w:firstLine="0" w:firstLineChars="0"/>
              <w:jc w:val="center"/>
              <w:rPr>
                <w:rFonts w:cs="Times New Roman"/>
                <w:kern w:val="0"/>
                <w:sz w:val="21"/>
                <w:szCs w:val="21"/>
                <w14:ligatures w14:val="none"/>
              </w:rPr>
            </w:pPr>
          </w:p>
        </w:tc>
        <w:tc>
          <w:tcPr>
            <w:tcW w:w="1003" w:type="pct"/>
            <w:vAlign w:val="center"/>
          </w:tcPr>
          <w:p w14:paraId="566D19D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铅（mg/kg）</w:t>
            </w:r>
          </w:p>
        </w:tc>
        <w:tc>
          <w:tcPr>
            <w:tcW w:w="429" w:type="pct"/>
            <w:vAlign w:val="center"/>
          </w:tcPr>
          <w:p w14:paraId="32843FA4">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8.58</w:t>
            </w:r>
          </w:p>
        </w:tc>
        <w:tc>
          <w:tcPr>
            <w:tcW w:w="243" w:type="pct"/>
            <w:vAlign w:val="center"/>
          </w:tcPr>
          <w:p w14:paraId="168A52D1">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20.7</w:t>
            </w:r>
          </w:p>
        </w:tc>
        <w:tc>
          <w:tcPr>
            <w:tcW w:w="316" w:type="pct"/>
            <w:vAlign w:val="center"/>
          </w:tcPr>
          <w:p w14:paraId="5397E667">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18.1</w:t>
            </w:r>
          </w:p>
        </w:tc>
        <w:tc>
          <w:tcPr>
            <w:tcW w:w="285" w:type="pct"/>
            <w:vAlign w:val="center"/>
          </w:tcPr>
          <w:p w14:paraId="056EEC64">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10.1</w:t>
            </w:r>
          </w:p>
        </w:tc>
        <w:tc>
          <w:tcPr>
            <w:tcW w:w="245" w:type="pct"/>
            <w:vAlign w:val="center"/>
          </w:tcPr>
          <w:p w14:paraId="0B6F6C2F">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13.7</w:t>
            </w:r>
          </w:p>
        </w:tc>
        <w:tc>
          <w:tcPr>
            <w:tcW w:w="294" w:type="pct"/>
            <w:vAlign w:val="center"/>
          </w:tcPr>
          <w:p w14:paraId="4C95EEDC">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19.1</w:t>
            </w:r>
          </w:p>
        </w:tc>
        <w:tc>
          <w:tcPr>
            <w:tcW w:w="282" w:type="pct"/>
            <w:vAlign w:val="center"/>
          </w:tcPr>
          <w:p w14:paraId="2EF95912">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31.2</w:t>
            </w:r>
          </w:p>
        </w:tc>
        <w:tc>
          <w:tcPr>
            <w:tcW w:w="247" w:type="pct"/>
            <w:gridSpan w:val="2"/>
            <w:vAlign w:val="center"/>
          </w:tcPr>
          <w:p w14:paraId="2EDAD7A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32.4</w:t>
            </w:r>
          </w:p>
        </w:tc>
        <w:tc>
          <w:tcPr>
            <w:tcW w:w="309" w:type="pct"/>
            <w:vAlign w:val="center"/>
          </w:tcPr>
          <w:p w14:paraId="1C8F68B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30.7</w:t>
            </w:r>
          </w:p>
        </w:tc>
        <w:tc>
          <w:tcPr>
            <w:tcW w:w="277" w:type="pct"/>
            <w:vAlign w:val="center"/>
          </w:tcPr>
          <w:p w14:paraId="44B1593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22.5</w:t>
            </w:r>
          </w:p>
        </w:tc>
        <w:tc>
          <w:tcPr>
            <w:tcW w:w="275" w:type="pct"/>
            <w:gridSpan w:val="2"/>
            <w:vAlign w:val="center"/>
          </w:tcPr>
          <w:p w14:paraId="62B9B02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22.2</w:t>
            </w:r>
          </w:p>
        </w:tc>
        <w:tc>
          <w:tcPr>
            <w:tcW w:w="275" w:type="pct"/>
            <w:vAlign w:val="center"/>
          </w:tcPr>
          <w:p w14:paraId="08A6F7E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14</w:t>
            </w:r>
          </w:p>
        </w:tc>
        <w:tc>
          <w:tcPr>
            <w:tcW w:w="282" w:type="pct"/>
            <w:vAlign w:val="center"/>
          </w:tcPr>
          <w:p w14:paraId="0881DDF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20.6</w:t>
            </w:r>
          </w:p>
        </w:tc>
      </w:tr>
      <w:tr w14:paraId="398AD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58FBC95C">
            <w:pPr>
              <w:spacing w:line="240" w:lineRule="auto"/>
              <w:ind w:firstLine="0" w:firstLineChars="0"/>
              <w:jc w:val="center"/>
              <w:rPr>
                <w:rFonts w:cs="Times New Roman"/>
                <w:kern w:val="0"/>
                <w:sz w:val="21"/>
                <w:szCs w:val="21"/>
                <w14:ligatures w14:val="none"/>
              </w:rPr>
            </w:pPr>
          </w:p>
        </w:tc>
        <w:tc>
          <w:tcPr>
            <w:tcW w:w="1003" w:type="pct"/>
            <w:vAlign w:val="center"/>
          </w:tcPr>
          <w:p w14:paraId="4E68A8D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镉（mg/kg）</w:t>
            </w:r>
          </w:p>
        </w:tc>
        <w:tc>
          <w:tcPr>
            <w:tcW w:w="429" w:type="pct"/>
            <w:vAlign w:val="center"/>
          </w:tcPr>
          <w:p w14:paraId="2022E2FB">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0.02</w:t>
            </w:r>
          </w:p>
        </w:tc>
        <w:tc>
          <w:tcPr>
            <w:tcW w:w="243" w:type="pct"/>
            <w:vAlign w:val="center"/>
          </w:tcPr>
          <w:p w14:paraId="756A6F9A">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0.06</w:t>
            </w:r>
          </w:p>
        </w:tc>
        <w:tc>
          <w:tcPr>
            <w:tcW w:w="316" w:type="pct"/>
            <w:vAlign w:val="center"/>
          </w:tcPr>
          <w:p w14:paraId="0F485E89">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0.08</w:t>
            </w:r>
          </w:p>
        </w:tc>
        <w:tc>
          <w:tcPr>
            <w:tcW w:w="285" w:type="pct"/>
            <w:vAlign w:val="center"/>
          </w:tcPr>
          <w:p w14:paraId="665F5D59">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0.05</w:t>
            </w:r>
          </w:p>
        </w:tc>
        <w:tc>
          <w:tcPr>
            <w:tcW w:w="245" w:type="pct"/>
            <w:vAlign w:val="center"/>
          </w:tcPr>
          <w:p w14:paraId="738D0648">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0.02</w:t>
            </w:r>
          </w:p>
        </w:tc>
        <w:tc>
          <w:tcPr>
            <w:tcW w:w="294" w:type="pct"/>
            <w:vAlign w:val="center"/>
          </w:tcPr>
          <w:p w14:paraId="0436E807">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0.03</w:t>
            </w:r>
          </w:p>
        </w:tc>
        <w:tc>
          <w:tcPr>
            <w:tcW w:w="282" w:type="pct"/>
            <w:vAlign w:val="center"/>
          </w:tcPr>
          <w:p w14:paraId="49700F5D">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0.02</w:t>
            </w:r>
          </w:p>
        </w:tc>
        <w:tc>
          <w:tcPr>
            <w:tcW w:w="247" w:type="pct"/>
            <w:gridSpan w:val="2"/>
            <w:vAlign w:val="center"/>
          </w:tcPr>
          <w:p w14:paraId="6B0A2CD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0.29</w:t>
            </w:r>
          </w:p>
        </w:tc>
        <w:tc>
          <w:tcPr>
            <w:tcW w:w="309" w:type="pct"/>
            <w:vAlign w:val="center"/>
          </w:tcPr>
          <w:p w14:paraId="0066131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0.28</w:t>
            </w:r>
          </w:p>
        </w:tc>
        <w:tc>
          <w:tcPr>
            <w:tcW w:w="277" w:type="pct"/>
            <w:vAlign w:val="center"/>
          </w:tcPr>
          <w:p w14:paraId="66F6FFA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0.18</w:t>
            </w:r>
          </w:p>
        </w:tc>
        <w:tc>
          <w:tcPr>
            <w:tcW w:w="275" w:type="pct"/>
            <w:gridSpan w:val="2"/>
            <w:vAlign w:val="center"/>
          </w:tcPr>
          <w:p w14:paraId="2CBA2FD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0.2</w:t>
            </w:r>
          </w:p>
        </w:tc>
        <w:tc>
          <w:tcPr>
            <w:tcW w:w="275" w:type="pct"/>
            <w:vAlign w:val="center"/>
          </w:tcPr>
          <w:p w14:paraId="7DC922B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0.2</w:t>
            </w:r>
          </w:p>
        </w:tc>
        <w:tc>
          <w:tcPr>
            <w:tcW w:w="282" w:type="pct"/>
            <w:vAlign w:val="center"/>
          </w:tcPr>
          <w:p w14:paraId="2846A73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0.2</w:t>
            </w:r>
          </w:p>
        </w:tc>
      </w:tr>
      <w:tr w14:paraId="3F869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1E336999">
            <w:pPr>
              <w:spacing w:line="240" w:lineRule="auto"/>
              <w:ind w:firstLine="0" w:firstLineChars="0"/>
              <w:jc w:val="center"/>
              <w:rPr>
                <w:rFonts w:cs="Times New Roman"/>
                <w:kern w:val="0"/>
                <w:sz w:val="21"/>
                <w:szCs w:val="21"/>
                <w14:ligatures w14:val="none"/>
              </w:rPr>
            </w:pPr>
          </w:p>
        </w:tc>
        <w:tc>
          <w:tcPr>
            <w:tcW w:w="1003" w:type="pct"/>
            <w:vAlign w:val="center"/>
          </w:tcPr>
          <w:p w14:paraId="3566C4B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六价铬（mg/kg）</w:t>
            </w:r>
          </w:p>
        </w:tc>
        <w:tc>
          <w:tcPr>
            <w:tcW w:w="429" w:type="pct"/>
            <w:vAlign w:val="center"/>
          </w:tcPr>
          <w:p w14:paraId="4295417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0.5</w:t>
            </w:r>
          </w:p>
        </w:tc>
        <w:tc>
          <w:tcPr>
            <w:tcW w:w="243" w:type="pct"/>
            <w:vAlign w:val="center"/>
          </w:tcPr>
          <w:p w14:paraId="72FCAF9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w:t>
            </w:r>
          </w:p>
        </w:tc>
        <w:tc>
          <w:tcPr>
            <w:tcW w:w="316" w:type="pct"/>
            <w:vAlign w:val="center"/>
          </w:tcPr>
          <w:p w14:paraId="62EA2E3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1.4</w:t>
            </w:r>
          </w:p>
        </w:tc>
        <w:tc>
          <w:tcPr>
            <w:tcW w:w="285" w:type="pct"/>
            <w:vAlign w:val="center"/>
          </w:tcPr>
          <w:p w14:paraId="4CFCE57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1.2</w:t>
            </w:r>
          </w:p>
        </w:tc>
        <w:tc>
          <w:tcPr>
            <w:tcW w:w="245" w:type="pct"/>
            <w:vAlign w:val="center"/>
          </w:tcPr>
          <w:p w14:paraId="1CFB605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1.4</w:t>
            </w:r>
          </w:p>
        </w:tc>
        <w:tc>
          <w:tcPr>
            <w:tcW w:w="294" w:type="pct"/>
            <w:vAlign w:val="center"/>
          </w:tcPr>
          <w:p w14:paraId="72AAE0B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1.4</w:t>
            </w:r>
          </w:p>
        </w:tc>
        <w:tc>
          <w:tcPr>
            <w:tcW w:w="282" w:type="pct"/>
            <w:vAlign w:val="center"/>
          </w:tcPr>
          <w:p w14:paraId="207B856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1.4</w:t>
            </w:r>
          </w:p>
        </w:tc>
        <w:tc>
          <w:tcPr>
            <w:tcW w:w="247" w:type="pct"/>
            <w:gridSpan w:val="2"/>
            <w:vAlign w:val="center"/>
          </w:tcPr>
          <w:p w14:paraId="3DBA823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3723174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5840023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2AA0C2A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74586AF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7F0D627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44A10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restart"/>
            <w:vAlign w:val="center"/>
          </w:tcPr>
          <w:p w14:paraId="295D3C9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半挥发性有机物</w:t>
            </w:r>
          </w:p>
        </w:tc>
        <w:tc>
          <w:tcPr>
            <w:tcW w:w="1003" w:type="pct"/>
            <w:vAlign w:val="center"/>
          </w:tcPr>
          <w:p w14:paraId="78E949A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硝基苯*（mg/kg）</w:t>
            </w:r>
          </w:p>
        </w:tc>
        <w:tc>
          <w:tcPr>
            <w:tcW w:w="429" w:type="pct"/>
            <w:vAlign w:val="center"/>
          </w:tcPr>
          <w:p w14:paraId="28BBC11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45EA9FF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5506903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77D708C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0F79D8F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50849D8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0A9CD15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3D17A30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4ED6857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16CAB6A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79CD82F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5C25882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26E5455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1FD14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7062873F">
            <w:pPr>
              <w:spacing w:line="240" w:lineRule="auto"/>
              <w:ind w:firstLine="0" w:firstLineChars="0"/>
              <w:jc w:val="center"/>
              <w:rPr>
                <w:rFonts w:cs="Times New Roman"/>
                <w:kern w:val="0"/>
                <w:sz w:val="21"/>
                <w:szCs w:val="21"/>
                <w14:ligatures w14:val="none"/>
              </w:rPr>
            </w:pPr>
          </w:p>
        </w:tc>
        <w:tc>
          <w:tcPr>
            <w:tcW w:w="1003" w:type="pct"/>
            <w:vAlign w:val="center"/>
          </w:tcPr>
          <w:p w14:paraId="0EEB62D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氯苯酚*（mg/kg）</w:t>
            </w:r>
          </w:p>
        </w:tc>
        <w:tc>
          <w:tcPr>
            <w:tcW w:w="429" w:type="pct"/>
            <w:vAlign w:val="center"/>
          </w:tcPr>
          <w:p w14:paraId="773B9BC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44D3508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79C4DFA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10C4BB4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6651297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52B1C86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0961D40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0910351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4DD1625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74B652C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1193B9A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6B46D9A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18195B5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6874C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3BEB69FB">
            <w:pPr>
              <w:spacing w:line="240" w:lineRule="auto"/>
              <w:ind w:firstLine="0" w:firstLineChars="0"/>
              <w:jc w:val="center"/>
              <w:rPr>
                <w:rFonts w:cs="Times New Roman"/>
                <w:kern w:val="0"/>
                <w:sz w:val="21"/>
                <w:szCs w:val="21"/>
                <w14:ligatures w14:val="none"/>
              </w:rPr>
            </w:pPr>
          </w:p>
        </w:tc>
        <w:tc>
          <w:tcPr>
            <w:tcW w:w="1003" w:type="pct"/>
            <w:vAlign w:val="center"/>
          </w:tcPr>
          <w:p w14:paraId="514DA7D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苯并[a]蒽*（mg/kg）</w:t>
            </w:r>
          </w:p>
        </w:tc>
        <w:tc>
          <w:tcPr>
            <w:tcW w:w="429" w:type="pct"/>
            <w:vAlign w:val="center"/>
          </w:tcPr>
          <w:p w14:paraId="2B2D8F6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0DE3D65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78A177C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657C05E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61FB19D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791B9D1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3366F7A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1037188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2CB4FDF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367F971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57D332B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5C4D00D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11258BE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4C646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63744F7C">
            <w:pPr>
              <w:spacing w:line="240" w:lineRule="auto"/>
              <w:ind w:firstLine="0" w:firstLineChars="0"/>
              <w:jc w:val="center"/>
              <w:rPr>
                <w:rFonts w:cs="Times New Roman"/>
                <w:kern w:val="0"/>
                <w:sz w:val="21"/>
                <w:szCs w:val="21"/>
                <w14:ligatures w14:val="none"/>
              </w:rPr>
            </w:pPr>
          </w:p>
        </w:tc>
        <w:tc>
          <w:tcPr>
            <w:tcW w:w="1003" w:type="pct"/>
            <w:vAlign w:val="center"/>
          </w:tcPr>
          <w:p w14:paraId="001A2A9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苯并[a]芘*（mg/kg）</w:t>
            </w:r>
          </w:p>
        </w:tc>
        <w:tc>
          <w:tcPr>
            <w:tcW w:w="429" w:type="pct"/>
            <w:vAlign w:val="center"/>
          </w:tcPr>
          <w:p w14:paraId="06E0442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64A2BA6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51D6A2E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32356FF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4715E32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2DB70E8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62B52AF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5B3DD1A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6DA07C3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40C9F23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1E5E16A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1A97C30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4B21025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578B1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43B929B9">
            <w:pPr>
              <w:spacing w:line="240" w:lineRule="auto"/>
              <w:ind w:firstLine="0" w:firstLineChars="0"/>
              <w:jc w:val="center"/>
              <w:rPr>
                <w:rFonts w:cs="Times New Roman"/>
                <w:kern w:val="0"/>
                <w:sz w:val="21"/>
                <w:szCs w:val="21"/>
                <w14:ligatures w14:val="none"/>
              </w:rPr>
            </w:pPr>
          </w:p>
        </w:tc>
        <w:tc>
          <w:tcPr>
            <w:tcW w:w="1003" w:type="pct"/>
            <w:vAlign w:val="center"/>
          </w:tcPr>
          <w:p w14:paraId="3182846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苯并[b]荧蒽*（mg/kg）</w:t>
            </w:r>
          </w:p>
        </w:tc>
        <w:tc>
          <w:tcPr>
            <w:tcW w:w="429" w:type="pct"/>
            <w:vAlign w:val="center"/>
          </w:tcPr>
          <w:p w14:paraId="771E80B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683BEA4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5D96A57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7755B41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2DEBDB7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4C4EFB6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0D0EBD5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0981705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45BEAD7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3F127AF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430508F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3334AE8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0718A55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0F44D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0DCB745A">
            <w:pPr>
              <w:spacing w:line="240" w:lineRule="auto"/>
              <w:ind w:firstLine="0" w:firstLineChars="0"/>
              <w:jc w:val="center"/>
              <w:rPr>
                <w:rFonts w:cs="Times New Roman"/>
                <w:kern w:val="0"/>
                <w:sz w:val="21"/>
                <w:szCs w:val="21"/>
                <w14:ligatures w14:val="none"/>
              </w:rPr>
            </w:pPr>
          </w:p>
        </w:tc>
        <w:tc>
          <w:tcPr>
            <w:tcW w:w="1003" w:type="pct"/>
            <w:vAlign w:val="center"/>
          </w:tcPr>
          <w:p w14:paraId="513B66C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苯并[k]荧蒽*（mg/kg）</w:t>
            </w:r>
          </w:p>
        </w:tc>
        <w:tc>
          <w:tcPr>
            <w:tcW w:w="429" w:type="pct"/>
            <w:vAlign w:val="center"/>
          </w:tcPr>
          <w:p w14:paraId="6EE1CD9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6798B44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6849F2D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77F53E0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16586C6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5944772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329AE53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7B571EC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5843B46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386D52B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550A711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0CA19E4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2F41ED9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678C6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6011E487">
            <w:pPr>
              <w:spacing w:line="240" w:lineRule="auto"/>
              <w:ind w:firstLine="0" w:firstLineChars="0"/>
              <w:jc w:val="center"/>
              <w:rPr>
                <w:rFonts w:cs="Times New Roman"/>
                <w:kern w:val="0"/>
                <w:sz w:val="21"/>
                <w:szCs w:val="21"/>
                <w14:ligatures w14:val="none"/>
              </w:rPr>
            </w:pPr>
          </w:p>
        </w:tc>
        <w:tc>
          <w:tcPr>
            <w:tcW w:w="1003" w:type="pct"/>
            <w:vAlign w:val="center"/>
          </w:tcPr>
          <w:p w14:paraId="2978E8BC">
            <w:pPr>
              <w:spacing w:line="240" w:lineRule="auto"/>
              <w:ind w:firstLine="0" w:firstLineChars="0"/>
              <w:jc w:val="center"/>
              <w:rPr>
                <w:rFonts w:cs="Times New Roman"/>
                <w:kern w:val="0"/>
                <w:sz w:val="21"/>
                <w:szCs w:val="21"/>
                <w14:ligatures w14:val="none"/>
              </w:rPr>
            </w:pPr>
            <w:r>
              <w:rPr>
                <w:rFonts w:hint="eastAsia" w:eastAsia="仿宋" w:cs="Times New Roman"/>
                <w:kern w:val="0"/>
                <w:sz w:val="21"/>
                <w:szCs w:val="21"/>
                <w14:ligatures w14:val="none"/>
              </w:rPr>
              <w:t>䓛</w:t>
            </w:r>
            <w:r>
              <w:rPr>
                <w:rFonts w:hint="eastAsia" w:cs="Times New Roman"/>
                <w:kern w:val="0"/>
                <w:sz w:val="21"/>
                <w:szCs w:val="21"/>
                <w14:ligatures w14:val="none"/>
              </w:rPr>
              <w:t>*（mg/kg）</w:t>
            </w:r>
          </w:p>
        </w:tc>
        <w:tc>
          <w:tcPr>
            <w:tcW w:w="429" w:type="pct"/>
            <w:vAlign w:val="center"/>
          </w:tcPr>
          <w:p w14:paraId="1E85380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77C36C8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1F27B79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51BBAE9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2826C02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71A6B9C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24324C8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38ADCDB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7EB927E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203C23D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3E37594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6C69BE4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2FB5ABC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12605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10D61657">
            <w:pPr>
              <w:spacing w:line="240" w:lineRule="auto"/>
              <w:ind w:firstLine="0" w:firstLineChars="0"/>
              <w:jc w:val="center"/>
              <w:rPr>
                <w:rFonts w:cs="Times New Roman"/>
                <w:kern w:val="0"/>
                <w:sz w:val="21"/>
                <w:szCs w:val="21"/>
                <w14:ligatures w14:val="none"/>
              </w:rPr>
            </w:pPr>
          </w:p>
        </w:tc>
        <w:tc>
          <w:tcPr>
            <w:tcW w:w="1003" w:type="pct"/>
            <w:vAlign w:val="center"/>
          </w:tcPr>
          <w:p w14:paraId="0023B45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二苯并[a,h]蒽*（mg/kg）</w:t>
            </w:r>
          </w:p>
        </w:tc>
        <w:tc>
          <w:tcPr>
            <w:tcW w:w="429" w:type="pct"/>
            <w:vAlign w:val="center"/>
          </w:tcPr>
          <w:p w14:paraId="74CA31F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0BEAB73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4683273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30848DA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683BE2C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5C77468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66D9944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4419CBC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2CAB20F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3C1C090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1A9444D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4520BA8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13A0942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56CE9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160705A8">
            <w:pPr>
              <w:spacing w:line="240" w:lineRule="auto"/>
              <w:ind w:firstLine="0" w:firstLineChars="0"/>
              <w:jc w:val="center"/>
              <w:rPr>
                <w:rFonts w:cs="Times New Roman"/>
                <w:kern w:val="0"/>
                <w:sz w:val="21"/>
                <w:szCs w:val="21"/>
                <w14:ligatures w14:val="none"/>
              </w:rPr>
            </w:pPr>
          </w:p>
        </w:tc>
        <w:tc>
          <w:tcPr>
            <w:tcW w:w="1003" w:type="pct"/>
            <w:vAlign w:val="center"/>
          </w:tcPr>
          <w:p w14:paraId="2670BB5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茚并[1,2,3-cd]芘*（mg/kg）</w:t>
            </w:r>
          </w:p>
        </w:tc>
        <w:tc>
          <w:tcPr>
            <w:tcW w:w="429" w:type="pct"/>
            <w:vAlign w:val="center"/>
          </w:tcPr>
          <w:p w14:paraId="4DCF28F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1F6315A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37414DB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5F4EBD2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6ABBFF1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4936522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43FB57F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1C6BAEB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6A19D36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7BD10AF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1D9E5DB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5F7D903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6F1369C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52CC0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4E9E4062">
            <w:pPr>
              <w:spacing w:line="240" w:lineRule="auto"/>
              <w:ind w:firstLine="0" w:firstLineChars="0"/>
              <w:jc w:val="center"/>
              <w:rPr>
                <w:rFonts w:cs="Times New Roman"/>
                <w:kern w:val="0"/>
                <w:sz w:val="21"/>
                <w:szCs w:val="21"/>
                <w14:ligatures w14:val="none"/>
              </w:rPr>
            </w:pPr>
          </w:p>
        </w:tc>
        <w:tc>
          <w:tcPr>
            <w:tcW w:w="1003" w:type="pct"/>
            <w:vAlign w:val="center"/>
          </w:tcPr>
          <w:p w14:paraId="2818DCB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萘*（mg/kg）</w:t>
            </w:r>
          </w:p>
        </w:tc>
        <w:tc>
          <w:tcPr>
            <w:tcW w:w="429" w:type="pct"/>
            <w:vAlign w:val="center"/>
          </w:tcPr>
          <w:p w14:paraId="5CD7847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5302717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1FC8F6E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7BB570C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7AB4999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7D746C0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76620BD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2A6DC85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50ACA91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0ADEF91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2706FA9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51C849C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0BC2FF6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70517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7917932A">
            <w:pPr>
              <w:spacing w:line="240" w:lineRule="auto"/>
              <w:ind w:firstLine="0" w:firstLineChars="0"/>
              <w:jc w:val="center"/>
              <w:rPr>
                <w:rFonts w:cs="Times New Roman"/>
                <w:kern w:val="0"/>
                <w:sz w:val="21"/>
                <w:szCs w:val="21"/>
                <w14:ligatures w14:val="none"/>
              </w:rPr>
            </w:pPr>
          </w:p>
        </w:tc>
        <w:tc>
          <w:tcPr>
            <w:tcW w:w="1003" w:type="pct"/>
            <w:vAlign w:val="center"/>
          </w:tcPr>
          <w:p w14:paraId="1875BAA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苯胺*（mg/kg）</w:t>
            </w:r>
          </w:p>
        </w:tc>
        <w:tc>
          <w:tcPr>
            <w:tcW w:w="429" w:type="pct"/>
            <w:vAlign w:val="center"/>
          </w:tcPr>
          <w:p w14:paraId="77857C7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5703DF9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4AA60E2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5F79EDF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63AC24D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5E0DC70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51988A7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6403EE6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05DE186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345BBEC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3EB1AB9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4110592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2B3A22B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7D4B7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restart"/>
            <w:vAlign w:val="center"/>
          </w:tcPr>
          <w:p w14:paraId="019F8D8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挥发性有机物</w:t>
            </w:r>
          </w:p>
        </w:tc>
        <w:tc>
          <w:tcPr>
            <w:tcW w:w="1003" w:type="pct"/>
            <w:vAlign w:val="center"/>
          </w:tcPr>
          <w:p w14:paraId="61040E6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四氯化碳（μg/kg）</w:t>
            </w:r>
          </w:p>
        </w:tc>
        <w:tc>
          <w:tcPr>
            <w:tcW w:w="429" w:type="pct"/>
            <w:vAlign w:val="center"/>
          </w:tcPr>
          <w:p w14:paraId="73A8D03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2E48DAF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3C063CC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56569DD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53F160F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6E22089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2AAFBA4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32893B2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55AE7A4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21965B2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20339AB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76C35D7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3FE6335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7D25C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53748984">
            <w:pPr>
              <w:spacing w:line="240" w:lineRule="auto"/>
              <w:ind w:firstLine="0" w:firstLineChars="0"/>
              <w:jc w:val="center"/>
              <w:rPr>
                <w:rFonts w:cs="Times New Roman"/>
                <w:kern w:val="0"/>
                <w:sz w:val="21"/>
                <w:szCs w:val="21"/>
                <w14:ligatures w14:val="none"/>
              </w:rPr>
            </w:pPr>
          </w:p>
        </w:tc>
        <w:tc>
          <w:tcPr>
            <w:tcW w:w="1003" w:type="pct"/>
            <w:vAlign w:val="center"/>
          </w:tcPr>
          <w:p w14:paraId="38CC629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氯仿（μg/kg）</w:t>
            </w:r>
          </w:p>
        </w:tc>
        <w:tc>
          <w:tcPr>
            <w:tcW w:w="429" w:type="pct"/>
            <w:vAlign w:val="center"/>
          </w:tcPr>
          <w:p w14:paraId="13EF52A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5F42F76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27194A3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1040CAC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20AF902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0A3AF96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137F6D5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1A936D6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24D9532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4058ACC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24E845E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7DCF587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168165A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27A6A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2C4DA933">
            <w:pPr>
              <w:spacing w:line="240" w:lineRule="auto"/>
              <w:ind w:firstLine="0" w:firstLineChars="0"/>
              <w:jc w:val="center"/>
              <w:rPr>
                <w:rFonts w:cs="Times New Roman"/>
                <w:kern w:val="0"/>
                <w:sz w:val="21"/>
                <w:szCs w:val="21"/>
                <w14:ligatures w14:val="none"/>
              </w:rPr>
            </w:pPr>
          </w:p>
        </w:tc>
        <w:tc>
          <w:tcPr>
            <w:tcW w:w="1003" w:type="pct"/>
            <w:vAlign w:val="center"/>
          </w:tcPr>
          <w:p w14:paraId="3A60E1D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氯甲烷（μg/kg）</w:t>
            </w:r>
          </w:p>
        </w:tc>
        <w:tc>
          <w:tcPr>
            <w:tcW w:w="429" w:type="pct"/>
            <w:vAlign w:val="center"/>
          </w:tcPr>
          <w:p w14:paraId="31C5E16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0F6531D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3836D86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2B17ED1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4FEE40E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023C995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69D353A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6B3D1E9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22CB471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6B724AA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1AA64BE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78BA739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23F2760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7F7D1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3F6D6774">
            <w:pPr>
              <w:spacing w:line="240" w:lineRule="auto"/>
              <w:ind w:firstLine="0" w:firstLineChars="0"/>
              <w:jc w:val="center"/>
              <w:rPr>
                <w:rFonts w:cs="Times New Roman"/>
                <w:kern w:val="0"/>
                <w:sz w:val="21"/>
                <w:szCs w:val="21"/>
                <w14:ligatures w14:val="none"/>
              </w:rPr>
            </w:pPr>
          </w:p>
        </w:tc>
        <w:tc>
          <w:tcPr>
            <w:tcW w:w="1003" w:type="pct"/>
            <w:vAlign w:val="center"/>
          </w:tcPr>
          <w:p w14:paraId="63269A3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1,1-二氯乙烷（μg/kg）</w:t>
            </w:r>
          </w:p>
        </w:tc>
        <w:tc>
          <w:tcPr>
            <w:tcW w:w="429" w:type="pct"/>
            <w:vAlign w:val="center"/>
          </w:tcPr>
          <w:p w14:paraId="5AF812D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79F7A58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2C96540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1E229A0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307C310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2771804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4853207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3811A56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1802A23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38166E0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4F88C08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4C4F437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17DC74E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1632A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7C4C5F4B">
            <w:pPr>
              <w:spacing w:line="240" w:lineRule="auto"/>
              <w:ind w:firstLine="0" w:firstLineChars="0"/>
              <w:jc w:val="center"/>
              <w:rPr>
                <w:rFonts w:cs="Times New Roman"/>
                <w:kern w:val="0"/>
                <w:sz w:val="21"/>
                <w:szCs w:val="21"/>
                <w14:ligatures w14:val="none"/>
              </w:rPr>
            </w:pPr>
          </w:p>
        </w:tc>
        <w:tc>
          <w:tcPr>
            <w:tcW w:w="1003" w:type="pct"/>
            <w:vAlign w:val="center"/>
          </w:tcPr>
          <w:p w14:paraId="18F0C5D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1,2-二氯乙烷（μg/kg）</w:t>
            </w:r>
          </w:p>
        </w:tc>
        <w:tc>
          <w:tcPr>
            <w:tcW w:w="429" w:type="pct"/>
            <w:vAlign w:val="center"/>
          </w:tcPr>
          <w:p w14:paraId="67E2C43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018E362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47C0CE5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4AB8945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2620479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3F665DB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55261FB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329C122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2870B45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06C2349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63690C7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500F986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0157891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51E37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30E22CB9">
            <w:pPr>
              <w:spacing w:line="240" w:lineRule="auto"/>
              <w:ind w:firstLine="0" w:firstLineChars="0"/>
              <w:jc w:val="center"/>
              <w:rPr>
                <w:rFonts w:cs="Times New Roman"/>
                <w:kern w:val="0"/>
                <w:sz w:val="21"/>
                <w:szCs w:val="21"/>
                <w14:ligatures w14:val="none"/>
              </w:rPr>
            </w:pPr>
          </w:p>
        </w:tc>
        <w:tc>
          <w:tcPr>
            <w:tcW w:w="1003" w:type="pct"/>
            <w:vAlign w:val="center"/>
          </w:tcPr>
          <w:p w14:paraId="6FDA775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1,1-二氯乙烯（μg/kg）</w:t>
            </w:r>
          </w:p>
        </w:tc>
        <w:tc>
          <w:tcPr>
            <w:tcW w:w="429" w:type="pct"/>
            <w:vAlign w:val="center"/>
          </w:tcPr>
          <w:p w14:paraId="2B20C9F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23F0CEF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683FAE9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6E19DC2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711FA35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65C99B5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025A348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599CD3B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7071E1D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5BF1592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54F636F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04A756A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22B3417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46153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1D5C417E">
            <w:pPr>
              <w:spacing w:line="240" w:lineRule="auto"/>
              <w:ind w:firstLine="0" w:firstLineChars="0"/>
              <w:jc w:val="center"/>
              <w:rPr>
                <w:rFonts w:cs="Times New Roman"/>
                <w:kern w:val="0"/>
                <w:sz w:val="21"/>
                <w:szCs w:val="21"/>
                <w14:ligatures w14:val="none"/>
              </w:rPr>
            </w:pPr>
          </w:p>
        </w:tc>
        <w:tc>
          <w:tcPr>
            <w:tcW w:w="1003" w:type="pct"/>
            <w:vAlign w:val="center"/>
          </w:tcPr>
          <w:p w14:paraId="77492DF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顺式-1,2-二氯乙烯（μg/kg）</w:t>
            </w:r>
          </w:p>
        </w:tc>
        <w:tc>
          <w:tcPr>
            <w:tcW w:w="429" w:type="pct"/>
            <w:vAlign w:val="center"/>
          </w:tcPr>
          <w:p w14:paraId="4D75BA4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3878AD6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08A23B2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52C48AC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590DE4C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050EFF1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2B5BCEF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7C1EF45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4A9103C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3849BBA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7FB207B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6BDF84F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78FE126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04CAA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36C5F246">
            <w:pPr>
              <w:spacing w:line="240" w:lineRule="auto"/>
              <w:ind w:firstLine="0" w:firstLineChars="0"/>
              <w:jc w:val="center"/>
              <w:rPr>
                <w:rFonts w:cs="Times New Roman"/>
                <w:kern w:val="0"/>
                <w:sz w:val="21"/>
                <w:szCs w:val="21"/>
                <w14:ligatures w14:val="none"/>
              </w:rPr>
            </w:pPr>
          </w:p>
        </w:tc>
        <w:tc>
          <w:tcPr>
            <w:tcW w:w="1003" w:type="pct"/>
            <w:vAlign w:val="center"/>
          </w:tcPr>
          <w:p w14:paraId="62EC317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反式-1,2-二氯乙烯（μg/kg）</w:t>
            </w:r>
          </w:p>
        </w:tc>
        <w:tc>
          <w:tcPr>
            <w:tcW w:w="429" w:type="pct"/>
            <w:vAlign w:val="center"/>
          </w:tcPr>
          <w:p w14:paraId="1A32410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14F5761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27C14F2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3E06D82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279FE8A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3CAC176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310A4C4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731DA17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52C8A30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762432E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65C22B4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650213F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1BC58D4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1A989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6E3ECE97">
            <w:pPr>
              <w:spacing w:line="240" w:lineRule="auto"/>
              <w:ind w:firstLine="0" w:firstLineChars="0"/>
              <w:jc w:val="center"/>
              <w:rPr>
                <w:rFonts w:cs="Times New Roman"/>
                <w:kern w:val="0"/>
                <w:sz w:val="21"/>
                <w:szCs w:val="21"/>
                <w14:ligatures w14:val="none"/>
              </w:rPr>
            </w:pPr>
          </w:p>
        </w:tc>
        <w:tc>
          <w:tcPr>
            <w:tcW w:w="1003" w:type="pct"/>
            <w:vAlign w:val="center"/>
          </w:tcPr>
          <w:p w14:paraId="7A8871A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二氯甲烷（μg/kg）</w:t>
            </w:r>
          </w:p>
        </w:tc>
        <w:tc>
          <w:tcPr>
            <w:tcW w:w="429" w:type="pct"/>
            <w:vAlign w:val="center"/>
          </w:tcPr>
          <w:p w14:paraId="5F7D558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6646327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2E0B020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775AB27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6D7D883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03DEE7D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1971F35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438FF85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0537D96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4A9B570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4466538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249F2D6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099E57B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40ABD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6ACF7FE1">
            <w:pPr>
              <w:spacing w:line="240" w:lineRule="auto"/>
              <w:ind w:firstLine="0" w:firstLineChars="0"/>
              <w:jc w:val="center"/>
              <w:rPr>
                <w:rFonts w:cs="Times New Roman"/>
                <w:kern w:val="0"/>
                <w:sz w:val="21"/>
                <w:szCs w:val="21"/>
                <w14:ligatures w14:val="none"/>
              </w:rPr>
            </w:pPr>
          </w:p>
        </w:tc>
        <w:tc>
          <w:tcPr>
            <w:tcW w:w="1003" w:type="pct"/>
            <w:vAlign w:val="center"/>
          </w:tcPr>
          <w:p w14:paraId="3569C1F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1,2-二氯丙烷（μg/kg）</w:t>
            </w:r>
          </w:p>
        </w:tc>
        <w:tc>
          <w:tcPr>
            <w:tcW w:w="429" w:type="pct"/>
            <w:vAlign w:val="center"/>
          </w:tcPr>
          <w:p w14:paraId="3543EC7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09D2634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67364A9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28D77EF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6E2F490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2710CC2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4A75133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086FFCE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4B45F96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567E4CF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465CA54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6B3DA26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368C552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0F387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1B5450C0">
            <w:pPr>
              <w:spacing w:line="240" w:lineRule="auto"/>
              <w:ind w:firstLine="0" w:firstLineChars="0"/>
              <w:jc w:val="center"/>
              <w:rPr>
                <w:rFonts w:cs="Times New Roman"/>
                <w:kern w:val="0"/>
                <w:sz w:val="21"/>
                <w:szCs w:val="21"/>
                <w14:ligatures w14:val="none"/>
              </w:rPr>
            </w:pPr>
          </w:p>
        </w:tc>
        <w:tc>
          <w:tcPr>
            <w:tcW w:w="1003" w:type="pct"/>
            <w:vAlign w:val="center"/>
          </w:tcPr>
          <w:p w14:paraId="0CAA8CD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1,1,1,2-四氯乙烷（μg/kg）</w:t>
            </w:r>
          </w:p>
        </w:tc>
        <w:tc>
          <w:tcPr>
            <w:tcW w:w="429" w:type="pct"/>
            <w:vAlign w:val="center"/>
          </w:tcPr>
          <w:p w14:paraId="05E9418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6083F82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41D4437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072D0EC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669C233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0EFF965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7E36C17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15A9183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13121CE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38EB31C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31E1FFD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4621367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033479F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1F64B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040D82EB">
            <w:pPr>
              <w:spacing w:line="240" w:lineRule="auto"/>
              <w:ind w:firstLine="0" w:firstLineChars="0"/>
              <w:jc w:val="center"/>
              <w:rPr>
                <w:rFonts w:cs="Times New Roman"/>
                <w:kern w:val="0"/>
                <w:sz w:val="21"/>
                <w:szCs w:val="21"/>
                <w14:ligatures w14:val="none"/>
              </w:rPr>
            </w:pPr>
          </w:p>
        </w:tc>
        <w:tc>
          <w:tcPr>
            <w:tcW w:w="1003" w:type="pct"/>
            <w:vAlign w:val="center"/>
          </w:tcPr>
          <w:p w14:paraId="1564124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1,1,2,2-四氯乙烷（μg/kg）</w:t>
            </w:r>
          </w:p>
        </w:tc>
        <w:tc>
          <w:tcPr>
            <w:tcW w:w="429" w:type="pct"/>
            <w:vAlign w:val="center"/>
          </w:tcPr>
          <w:p w14:paraId="3B1D8A9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775A1B5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56D8C98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55B90F5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378E9D1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752DCB2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78D6A54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5D8F6B0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620A14C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37CD093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4FE654E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5254BD7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17F4A4D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42FBC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74FC928A">
            <w:pPr>
              <w:spacing w:line="240" w:lineRule="auto"/>
              <w:ind w:firstLine="0" w:firstLineChars="0"/>
              <w:jc w:val="center"/>
              <w:rPr>
                <w:rFonts w:cs="Times New Roman"/>
                <w:kern w:val="0"/>
                <w:sz w:val="21"/>
                <w:szCs w:val="21"/>
                <w14:ligatures w14:val="none"/>
              </w:rPr>
            </w:pPr>
          </w:p>
        </w:tc>
        <w:tc>
          <w:tcPr>
            <w:tcW w:w="1003" w:type="pct"/>
            <w:vAlign w:val="center"/>
          </w:tcPr>
          <w:p w14:paraId="188E9EF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四氯乙烯（μg/kg）</w:t>
            </w:r>
          </w:p>
        </w:tc>
        <w:tc>
          <w:tcPr>
            <w:tcW w:w="429" w:type="pct"/>
            <w:vAlign w:val="center"/>
          </w:tcPr>
          <w:p w14:paraId="327418C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2AE68D7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69CDD08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17C634D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29E52B5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57BC744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73C5D98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0836F50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3F63A18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6C37AB0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2EA90B3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2620884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4918442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4E9FA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4F0A10B1">
            <w:pPr>
              <w:spacing w:line="240" w:lineRule="auto"/>
              <w:ind w:firstLine="0" w:firstLineChars="0"/>
              <w:jc w:val="center"/>
              <w:rPr>
                <w:rFonts w:cs="Times New Roman"/>
                <w:kern w:val="0"/>
                <w:sz w:val="21"/>
                <w:szCs w:val="21"/>
                <w14:ligatures w14:val="none"/>
              </w:rPr>
            </w:pPr>
          </w:p>
        </w:tc>
        <w:tc>
          <w:tcPr>
            <w:tcW w:w="1003" w:type="pct"/>
            <w:vAlign w:val="center"/>
          </w:tcPr>
          <w:p w14:paraId="502F22C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1,1,1-三氯乙烷（μg/kg）</w:t>
            </w:r>
          </w:p>
        </w:tc>
        <w:tc>
          <w:tcPr>
            <w:tcW w:w="429" w:type="pct"/>
            <w:vAlign w:val="center"/>
          </w:tcPr>
          <w:p w14:paraId="3B56FDC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13524C9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5751883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6DE3586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45C370F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75D2604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22C4000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5442A33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1B7BC96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76E9264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696ECA7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5A5ADC9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6ACCD1F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37236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5EBE87BD">
            <w:pPr>
              <w:spacing w:line="240" w:lineRule="auto"/>
              <w:ind w:firstLine="0" w:firstLineChars="0"/>
              <w:jc w:val="center"/>
              <w:rPr>
                <w:rFonts w:cs="Times New Roman"/>
                <w:kern w:val="0"/>
                <w:sz w:val="21"/>
                <w:szCs w:val="21"/>
                <w14:ligatures w14:val="none"/>
              </w:rPr>
            </w:pPr>
          </w:p>
        </w:tc>
        <w:tc>
          <w:tcPr>
            <w:tcW w:w="1003" w:type="pct"/>
            <w:vAlign w:val="center"/>
          </w:tcPr>
          <w:p w14:paraId="4E6A4A7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1,1,2-三氯乙烷（μg/kg）</w:t>
            </w:r>
          </w:p>
        </w:tc>
        <w:tc>
          <w:tcPr>
            <w:tcW w:w="429" w:type="pct"/>
            <w:vAlign w:val="center"/>
          </w:tcPr>
          <w:p w14:paraId="5EB73A7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364A46B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5A87946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1E54F68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3C8375D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1A4C5AD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7E45207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3CFAC6C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7BA8827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0AA184E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7173F64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08BB8DE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1E40CDC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6867B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64610746">
            <w:pPr>
              <w:spacing w:line="240" w:lineRule="auto"/>
              <w:ind w:firstLine="0" w:firstLineChars="0"/>
              <w:jc w:val="center"/>
              <w:rPr>
                <w:rFonts w:cs="Times New Roman"/>
                <w:kern w:val="0"/>
                <w:sz w:val="21"/>
                <w:szCs w:val="21"/>
                <w14:ligatures w14:val="none"/>
              </w:rPr>
            </w:pPr>
          </w:p>
        </w:tc>
        <w:tc>
          <w:tcPr>
            <w:tcW w:w="1003" w:type="pct"/>
            <w:vAlign w:val="center"/>
          </w:tcPr>
          <w:p w14:paraId="796102B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三氯乙烯（μg/kg）</w:t>
            </w:r>
          </w:p>
        </w:tc>
        <w:tc>
          <w:tcPr>
            <w:tcW w:w="429" w:type="pct"/>
            <w:vAlign w:val="center"/>
          </w:tcPr>
          <w:p w14:paraId="19B1EAB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598740C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34CD169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3AE97CB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2A61959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7CB40B3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221FC6A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3815B89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34570EE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0AE2DD6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3C538D9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6C6B619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6E8B131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6E541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6DAF2FA9">
            <w:pPr>
              <w:spacing w:line="240" w:lineRule="auto"/>
              <w:ind w:firstLine="0" w:firstLineChars="0"/>
              <w:jc w:val="center"/>
              <w:rPr>
                <w:rFonts w:cs="Times New Roman"/>
                <w:kern w:val="0"/>
                <w:sz w:val="21"/>
                <w:szCs w:val="21"/>
                <w14:ligatures w14:val="none"/>
              </w:rPr>
            </w:pPr>
          </w:p>
        </w:tc>
        <w:tc>
          <w:tcPr>
            <w:tcW w:w="1003" w:type="pct"/>
            <w:vAlign w:val="center"/>
          </w:tcPr>
          <w:p w14:paraId="74C4483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1,2,3-三氯丙烷（μg/kg）</w:t>
            </w:r>
          </w:p>
        </w:tc>
        <w:tc>
          <w:tcPr>
            <w:tcW w:w="429" w:type="pct"/>
            <w:vAlign w:val="center"/>
          </w:tcPr>
          <w:p w14:paraId="2914A1C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178F4A1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6F1A961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69FDF27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4E4B728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3F769BA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443F6A3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4FDA40B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02F218B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1CAB8CC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7C43CB9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4FE72E6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72EC4D0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41BD0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2A530C34">
            <w:pPr>
              <w:spacing w:line="240" w:lineRule="auto"/>
              <w:ind w:firstLine="0" w:firstLineChars="0"/>
              <w:jc w:val="center"/>
              <w:rPr>
                <w:rFonts w:cs="Times New Roman"/>
                <w:kern w:val="0"/>
                <w:sz w:val="21"/>
                <w:szCs w:val="21"/>
                <w14:ligatures w14:val="none"/>
              </w:rPr>
            </w:pPr>
          </w:p>
        </w:tc>
        <w:tc>
          <w:tcPr>
            <w:tcW w:w="1003" w:type="pct"/>
            <w:vAlign w:val="center"/>
          </w:tcPr>
          <w:p w14:paraId="4F07FA6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氯乙烯（μg/kg）</w:t>
            </w:r>
          </w:p>
        </w:tc>
        <w:tc>
          <w:tcPr>
            <w:tcW w:w="429" w:type="pct"/>
            <w:vAlign w:val="center"/>
          </w:tcPr>
          <w:p w14:paraId="001F627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4F116FE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6AFE063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2E4187C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2301E93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1B5D486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64AFC50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4626721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4BF2A57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36C2449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55CDE21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5668788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00E3E46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5D8E3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0B9640E9">
            <w:pPr>
              <w:spacing w:line="240" w:lineRule="auto"/>
              <w:ind w:firstLine="0" w:firstLineChars="0"/>
              <w:jc w:val="center"/>
              <w:rPr>
                <w:rFonts w:cs="Times New Roman"/>
                <w:kern w:val="0"/>
                <w:sz w:val="21"/>
                <w:szCs w:val="21"/>
                <w14:ligatures w14:val="none"/>
              </w:rPr>
            </w:pPr>
          </w:p>
        </w:tc>
        <w:tc>
          <w:tcPr>
            <w:tcW w:w="1003" w:type="pct"/>
            <w:vAlign w:val="center"/>
          </w:tcPr>
          <w:p w14:paraId="1E44D8E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苯（μg/kg）</w:t>
            </w:r>
          </w:p>
        </w:tc>
        <w:tc>
          <w:tcPr>
            <w:tcW w:w="429" w:type="pct"/>
            <w:vAlign w:val="center"/>
          </w:tcPr>
          <w:p w14:paraId="5240E5F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1EC3E1D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5BBCDC0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77513B2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0258104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07745E7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1658AE5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6324DF1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188E64D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29C0074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46E3902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231DD07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49D3CDE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3A68C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32EFBF9D">
            <w:pPr>
              <w:spacing w:line="240" w:lineRule="auto"/>
              <w:ind w:firstLine="0" w:firstLineChars="0"/>
              <w:jc w:val="center"/>
              <w:rPr>
                <w:rFonts w:cs="Times New Roman"/>
                <w:kern w:val="0"/>
                <w:sz w:val="21"/>
                <w:szCs w:val="21"/>
                <w14:ligatures w14:val="none"/>
              </w:rPr>
            </w:pPr>
          </w:p>
        </w:tc>
        <w:tc>
          <w:tcPr>
            <w:tcW w:w="1003" w:type="pct"/>
            <w:vAlign w:val="center"/>
          </w:tcPr>
          <w:p w14:paraId="3296A96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氯苯（μg/kg）</w:t>
            </w:r>
          </w:p>
        </w:tc>
        <w:tc>
          <w:tcPr>
            <w:tcW w:w="429" w:type="pct"/>
            <w:vAlign w:val="center"/>
          </w:tcPr>
          <w:p w14:paraId="58EE87B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51D8B45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018B776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5E705F5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1805896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27753E1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57DAB92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7CFD5EE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1F2FF44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0DBA3E27">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3CEF1E2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3C64C30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009A4C2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54B52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61A79807">
            <w:pPr>
              <w:spacing w:line="240" w:lineRule="auto"/>
              <w:ind w:firstLine="0" w:firstLineChars="0"/>
              <w:jc w:val="center"/>
              <w:rPr>
                <w:rFonts w:cs="Times New Roman"/>
                <w:kern w:val="0"/>
                <w:sz w:val="21"/>
                <w:szCs w:val="21"/>
                <w14:ligatures w14:val="none"/>
              </w:rPr>
            </w:pPr>
          </w:p>
        </w:tc>
        <w:tc>
          <w:tcPr>
            <w:tcW w:w="1003" w:type="pct"/>
            <w:vAlign w:val="center"/>
          </w:tcPr>
          <w:p w14:paraId="7580279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1,2-二氯苯（μg/kg）</w:t>
            </w:r>
          </w:p>
        </w:tc>
        <w:tc>
          <w:tcPr>
            <w:tcW w:w="429" w:type="pct"/>
            <w:vAlign w:val="center"/>
          </w:tcPr>
          <w:p w14:paraId="507BF75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3ECDA27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71DDCC5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64F46EF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1052838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488BAA0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3107ABC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0E56098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15B91D4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79A5B37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64E3BC2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0FB69DE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6BD4906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2BC4E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44F7526B">
            <w:pPr>
              <w:spacing w:line="240" w:lineRule="auto"/>
              <w:ind w:firstLine="0" w:firstLineChars="0"/>
              <w:jc w:val="center"/>
              <w:rPr>
                <w:rFonts w:cs="Times New Roman"/>
                <w:kern w:val="0"/>
                <w:sz w:val="21"/>
                <w:szCs w:val="21"/>
                <w14:ligatures w14:val="none"/>
              </w:rPr>
            </w:pPr>
          </w:p>
        </w:tc>
        <w:tc>
          <w:tcPr>
            <w:tcW w:w="1003" w:type="pct"/>
            <w:vAlign w:val="center"/>
          </w:tcPr>
          <w:p w14:paraId="5F21A9A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1,4-二氯苯（μg/kg）</w:t>
            </w:r>
          </w:p>
        </w:tc>
        <w:tc>
          <w:tcPr>
            <w:tcW w:w="429" w:type="pct"/>
            <w:vAlign w:val="center"/>
          </w:tcPr>
          <w:p w14:paraId="2975B91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244A904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5B8CF2D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494D0B2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2BB1CA5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5EABFFA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077CD07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5A57252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5C39FA0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373AA23C">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5F6EA5A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32D5A09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487E2E5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128A1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3C854EBC">
            <w:pPr>
              <w:spacing w:line="240" w:lineRule="auto"/>
              <w:ind w:firstLine="0" w:firstLineChars="0"/>
              <w:jc w:val="center"/>
              <w:rPr>
                <w:rFonts w:cs="Times New Roman"/>
                <w:kern w:val="0"/>
                <w:sz w:val="21"/>
                <w:szCs w:val="21"/>
                <w14:ligatures w14:val="none"/>
              </w:rPr>
            </w:pPr>
          </w:p>
        </w:tc>
        <w:tc>
          <w:tcPr>
            <w:tcW w:w="1003" w:type="pct"/>
            <w:vAlign w:val="center"/>
          </w:tcPr>
          <w:p w14:paraId="612A4BE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乙苯（μg/kg）</w:t>
            </w:r>
          </w:p>
        </w:tc>
        <w:tc>
          <w:tcPr>
            <w:tcW w:w="429" w:type="pct"/>
            <w:vAlign w:val="center"/>
          </w:tcPr>
          <w:p w14:paraId="2EADB87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5989F91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1D25644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3E850D3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11583EB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016A962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710EF4F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65D8744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3BF2D22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6D7487F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2A9012BA">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742B2BE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373F4D6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285DB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57A034FB">
            <w:pPr>
              <w:spacing w:line="240" w:lineRule="auto"/>
              <w:ind w:firstLine="0" w:firstLineChars="0"/>
              <w:jc w:val="center"/>
              <w:rPr>
                <w:rFonts w:cs="Times New Roman"/>
                <w:kern w:val="0"/>
                <w:sz w:val="21"/>
                <w:szCs w:val="21"/>
                <w14:ligatures w14:val="none"/>
              </w:rPr>
            </w:pPr>
          </w:p>
        </w:tc>
        <w:tc>
          <w:tcPr>
            <w:tcW w:w="1003" w:type="pct"/>
            <w:vAlign w:val="center"/>
          </w:tcPr>
          <w:p w14:paraId="381D6C8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苯乙烯（μg/kg）</w:t>
            </w:r>
          </w:p>
        </w:tc>
        <w:tc>
          <w:tcPr>
            <w:tcW w:w="429" w:type="pct"/>
            <w:vAlign w:val="center"/>
          </w:tcPr>
          <w:p w14:paraId="5BDA689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64EB3CF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2F90022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42AFE4F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70EEC9A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13BB6FF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18C38EF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2150FFC3">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3B70A7B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6BDFFDE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0B1DB8D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0E48725D">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0C5808F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00371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2F10D9B6">
            <w:pPr>
              <w:spacing w:line="240" w:lineRule="auto"/>
              <w:ind w:firstLine="0" w:firstLineChars="0"/>
              <w:jc w:val="center"/>
              <w:rPr>
                <w:rFonts w:cs="Times New Roman"/>
                <w:kern w:val="0"/>
                <w:sz w:val="21"/>
                <w:szCs w:val="21"/>
                <w14:ligatures w14:val="none"/>
              </w:rPr>
            </w:pPr>
          </w:p>
        </w:tc>
        <w:tc>
          <w:tcPr>
            <w:tcW w:w="1003" w:type="pct"/>
            <w:vAlign w:val="center"/>
          </w:tcPr>
          <w:p w14:paraId="347CFA5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甲苯（μg/kg）</w:t>
            </w:r>
          </w:p>
        </w:tc>
        <w:tc>
          <w:tcPr>
            <w:tcW w:w="429" w:type="pct"/>
            <w:vAlign w:val="center"/>
          </w:tcPr>
          <w:p w14:paraId="399D235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5C628A5D">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4B62FAF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2F43704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4937791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702D0F4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0BB082F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0D9D2BF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61ABEA8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1B515AC5">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1B13F89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68351F42">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58FD15B8">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2308D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5DC0E577">
            <w:pPr>
              <w:spacing w:line="240" w:lineRule="auto"/>
              <w:ind w:firstLine="0" w:firstLineChars="0"/>
              <w:jc w:val="center"/>
              <w:rPr>
                <w:rFonts w:cs="Times New Roman"/>
                <w:kern w:val="0"/>
                <w:sz w:val="21"/>
                <w:szCs w:val="21"/>
                <w14:ligatures w14:val="none"/>
              </w:rPr>
            </w:pPr>
          </w:p>
        </w:tc>
        <w:tc>
          <w:tcPr>
            <w:tcW w:w="1003" w:type="pct"/>
            <w:vAlign w:val="center"/>
          </w:tcPr>
          <w:p w14:paraId="4C2FF04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间，对二甲苯（μg/kg）</w:t>
            </w:r>
          </w:p>
        </w:tc>
        <w:tc>
          <w:tcPr>
            <w:tcW w:w="429" w:type="pct"/>
            <w:vAlign w:val="center"/>
          </w:tcPr>
          <w:p w14:paraId="6620D6A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14D8049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3E33C2C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62C35A0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7B61984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6A1CD96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6FCD220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2B9E552F">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7436B73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72200D06">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52A0A12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7754413E">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7657D81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r w14:paraId="7673C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vMerge w:val="continue"/>
            <w:vAlign w:val="center"/>
          </w:tcPr>
          <w:p w14:paraId="253D1C95">
            <w:pPr>
              <w:spacing w:line="240" w:lineRule="auto"/>
              <w:ind w:firstLine="0" w:firstLineChars="0"/>
              <w:jc w:val="center"/>
              <w:rPr>
                <w:rFonts w:cs="Times New Roman"/>
                <w:kern w:val="0"/>
                <w:sz w:val="21"/>
                <w:szCs w:val="21"/>
                <w14:ligatures w14:val="none"/>
              </w:rPr>
            </w:pPr>
          </w:p>
        </w:tc>
        <w:tc>
          <w:tcPr>
            <w:tcW w:w="1003" w:type="pct"/>
            <w:vAlign w:val="center"/>
          </w:tcPr>
          <w:p w14:paraId="347E4B8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邻二甲苯（μg/kg）</w:t>
            </w:r>
          </w:p>
        </w:tc>
        <w:tc>
          <w:tcPr>
            <w:tcW w:w="429" w:type="pct"/>
            <w:vAlign w:val="center"/>
          </w:tcPr>
          <w:p w14:paraId="6C2389B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3" w:type="pct"/>
            <w:vAlign w:val="center"/>
          </w:tcPr>
          <w:p w14:paraId="2A6773B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316" w:type="pct"/>
            <w:vAlign w:val="center"/>
          </w:tcPr>
          <w:p w14:paraId="5DCE464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5" w:type="pct"/>
            <w:vAlign w:val="center"/>
          </w:tcPr>
          <w:p w14:paraId="4D6C2BF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5" w:type="pct"/>
            <w:vAlign w:val="center"/>
          </w:tcPr>
          <w:p w14:paraId="49DEEEA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94" w:type="pct"/>
            <w:vAlign w:val="center"/>
          </w:tcPr>
          <w:p w14:paraId="087673A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82" w:type="pct"/>
            <w:vAlign w:val="center"/>
          </w:tcPr>
          <w:p w14:paraId="433FB89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ND</w:t>
            </w:r>
          </w:p>
        </w:tc>
        <w:tc>
          <w:tcPr>
            <w:tcW w:w="247" w:type="pct"/>
            <w:gridSpan w:val="2"/>
            <w:vAlign w:val="center"/>
          </w:tcPr>
          <w:p w14:paraId="7E995A69">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309" w:type="pct"/>
            <w:vAlign w:val="center"/>
          </w:tcPr>
          <w:p w14:paraId="5C2E5B0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7" w:type="pct"/>
            <w:vAlign w:val="center"/>
          </w:tcPr>
          <w:p w14:paraId="79667F71">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gridSpan w:val="2"/>
            <w:vAlign w:val="center"/>
          </w:tcPr>
          <w:p w14:paraId="6C340DD4">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75" w:type="pct"/>
            <w:vAlign w:val="center"/>
          </w:tcPr>
          <w:p w14:paraId="240380EB">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c>
          <w:tcPr>
            <w:tcW w:w="282" w:type="pct"/>
            <w:vAlign w:val="center"/>
          </w:tcPr>
          <w:p w14:paraId="35757770">
            <w:pPr>
              <w:spacing w:line="240" w:lineRule="auto"/>
              <w:ind w:firstLine="0" w:firstLineChars="0"/>
              <w:jc w:val="center"/>
              <w:rPr>
                <w:rFonts w:cs="Times New Roman"/>
                <w:spacing w:val="-20"/>
                <w:kern w:val="0"/>
                <w:sz w:val="21"/>
                <w:szCs w:val="21"/>
                <w14:ligatures w14:val="none"/>
              </w:rPr>
            </w:pPr>
            <w:r>
              <w:rPr>
                <w:rFonts w:hint="eastAsia" w:cs="Times New Roman"/>
                <w:kern w:val="0"/>
                <w:sz w:val="21"/>
                <w:szCs w:val="21"/>
                <w14:ligatures w14:val="none"/>
              </w:rPr>
              <w:t>ND</w:t>
            </w:r>
          </w:p>
        </w:tc>
      </w:tr>
    </w:tbl>
    <w:p w14:paraId="520423E2">
      <w:pPr>
        <w:widowControl/>
        <w:spacing w:line="240" w:lineRule="auto"/>
        <w:ind w:firstLine="0" w:firstLineChars="0"/>
        <w:jc w:val="left"/>
      </w:pPr>
      <w:r>
        <w:br w:type="page"/>
      </w:r>
    </w:p>
    <w:p w14:paraId="03E17BFB">
      <w:pPr>
        <w:pStyle w:val="45"/>
      </w:pPr>
      <w:r>
        <w:t>表</w:t>
      </w:r>
      <w:r>
        <w:rPr>
          <w:rFonts w:hint="eastAsia"/>
        </w:rPr>
        <w:t>3</w:t>
      </w:r>
      <w:r>
        <w:t>.</w:t>
      </w:r>
      <w:r>
        <w:rPr>
          <w:rFonts w:hint="eastAsia"/>
        </w:rPr>
        <w:t>5</w:t>
      </w:r>
      <w:r>
        <w:t>-</w:t>
      </w:r>
      <w:r>
        <w:rPr>
          <w:rFonts w:hint="eastAsia"/>
        </w:rPr>
        <w:t>19</w:t>
      </w:r>
      <w:r>
        <w:t xml:space="preserve">  </w:t>
      </w:r>
      <w:r>
        <w:rPr>
          <w:rFonts w:hint="eastAsia"/>
        </w:rPr>
        <w:t>农用地</w:t>
      </w:r>
      <w:r>
        <w:t>土壤环境质量现状监测结果汇总表</w:t>
      </w:r>
      <w:r>
        <w:rPr>
          <w:rFonts w:hint="eastAsia"/>
        </w:rPr>
        <w:t>（T4/T5/T6/S1）</w:t>
      </w:r>
    </w:p>
    <w:tbl>
      <w:tblPr>
        <w:tblStyle w:val="7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41"/>
        <w:gridCol w:w="2084"/>
        <w:gridCol w:w="2086"/>
        <w:gridCol w:w="2024"/>
        <w:gridCol w:w="2418"/>
        <w:gridCol w:w="2418"/>
      </w:tblGrid>
      <w:tr w14:paraId="1196A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vAlign w:val="center"/>
          </w:tcPr>
          <w:p w14:paraId="7C5E0EB7">
            <w:pPr>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采样项目</w:t>
            </w:r>
          </w:p>
        </w:tc>
        <w:tc>
          <w:tcPr>
            <w:tcW w:w="2185" w:type="pct"/>
            <w:gridSpan w:val="3"/>
            <w:vAlign w:val="center"/>
          </w:tcPr>
          <w:p w14:paraId="3F678E12">
            <w:pPr>
              <w:spacing w:line="240" w:lineRule="auto"/>
              <w:ind w:firstLine="0" w:firstLineChars="0"/>
              <w:jc w:val="center"/>
              <w:rPr>
                <w:rFonts w:cs="Times New Roman"/>
                <w:b/>
                <w:bCs/>
                <w:spacing w:val="-20"/>
                <w:kern w:val="0"/>
                <w:sz w:val="21"/>
                <w:szCs w:val="21"/>
                <w14:ligatures w14:val="none"/>
              </w:rPr>
            </w:pPr>
            <w:r>
              <w:rPr>
                <w:rFonts w:hint="eastAsia" w:cs="Times New Roman"/>
                <w:b/>
                <w:bCs/>
                <w:color w:val="000000"/>
                <w:kern w:val="0"/>
                <w:sz w:val="21"/>
                <w:szCs w:val="21"/>
                <w14:ligatures w14:val="none"/>
              </w:rPr>
              <w:t>T4茅东水库管理所以北农林用地地块</w:t>
            </w:r>
          </w:p>
        </w:tc>
        <w:tc>
          <w:tcPr>
            <w:tcW w:w="853" w:type="pct"/>
            <w:vAlign w:val="center"/>
          </w:tcPr>
          <w:p w14:paraId="02C231AB">
            <w:pPr>
              <w:spacing w:line="240" w:lineRule="auto"/>
              <w:ind w:firstLine="0" w:firstLineChars="0"/>
              <w:jc w:val="center"/>
              <w:rPr>
                <w:rFonts w:cs="Times New Roman"/>
                <w:b/>
                <w:bCs/>
                <w:spacing w:val="-20"/>
                <w:kern w:val="0"/>
                <w:sz w:val="21"/>
                <w:szCs w:val="21"/>
                <w14:ligatures w14:val="none"/>
              </w:rPr>
            </w:pPr>
            <w:r>
              <w:rPr>
                <w:rFonts w:hint="eastAsia" w:cs="Times New Roman"/>
                <w:b/>
                <w:bCs/>
                <w:spacing w:val="-20"/>
                <w:kern w:val="0"/>
                <w:sz w:val="21"/>
                <w:szCs w:val="21"/>
                <w14:ligatures w14:val="none"/>
              </w:rPr>
              <w:t>T5银发俱乐部以东农林用地地块</w:t>
            </w:r>
          </w:p>
        </w:tc>
        <w:tc>
          <w:tcPr>
            <w:tcW w:w="853" w:type="pct"/>
            <w:vAlign w:val="center"/>
          </w:tcPr>
          <w:p w14:paraId="6EF81A86">
            <w:pPr>
              <w:spacing w:line="240" w:lineRule="auto"/>
              <w:ind w:firstLine="0" w:firstLineChars="0"/>
              <w:jc w:val="center"/>
              <w:rPr>
                <w:rFonts w:cs="Times New Roman"/>
                <w:b/>
                <w:bCs/>
                <w:spacing w:val="-20"/>
                <w:kern w:val="0"/>
                <w:sz w:val="21"/>
                <w:szCs w:val="21"/>
                <w14:ligatures w14:val="none"/>
              </w:rPr>
            </w:pPr>
            <w:r>
              <w:rPr>
                <w:rFonts w:hint="eastAsia" w:cs="Times New Roman"/>
                <w:b/>
                <w:bCs/>
                <w:spacing w:val="-20"/>
                <w:kern w:val="0"/>
                <w:sz w:val="21"/>
                <w:szCs w:val="21"/>
                <w14:ligatures w14:val="none"/>
              </w:rPr>
              <w:t>T6三清观以北农林用地地块</w:t>
            </w:r>
          </w:p>
        </w:tc>
      </w:tr>
      <w:tr w14:paraId="4DE72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vAlign w:val="center"/>
          </w:tcPr>
          <w:p w14:paraId="5CE57E76">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采样深度（m）</w:t>
            </w:r>
          </w:p>
        </w:tc>
        <w:tc>
          <w:tcPr>
            <w:tcW w:w="735" w:type="pct"/>
            <w:vAlign w:val="center"/>
          </w:tcPr>
          <w:p w14:paraId="6B31522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0-0.5</w:t>
            </w:r>
          </w:p>
        </w:tc>
        <w:tc>
          <w:tcPr>
            <w:tcW w:w="736" w:type="pct"/>
            <w:vAlign w:val="center"/>
          </w:tcPr>
          <w:p w14:paraId="5E29817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0.5-1.5</w:t>
            </w:r>
          </w:p>
        </w:tc>
        <w:tc>
          <w:tcPr>
            <w:tcW w:w="712" w:type="pct"/>
            <w:vAlign w:val="center"/>
          </w:tcPr>
          <w:p w14:paraId="795900F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1.5-3.0</w:t>
            </w:r>
          </w:p>
        </w:tc>
        <w:tc>
          <w:tcPr>
            <w:tcW w:w="853" w:type="pct"/>
            <w:vAlign w:val="center"/>
          </w:tcPr>
          <w:p w14:paraId="6686967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0-0.2</w:t>
            </w:r>
          </w:p>
        </w:tc>
        <w:tc>
          <w:tcPr>
            <w:tcW w:w="853" w:type="pct"/>
            <w:vAlign w:val="center"/>
          </w:tcPr>
          <w:p w14:paraId="5447169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0-0.2</w:t>
            </w:r>
          </w:p>
        </w:tc>
      </w:tr>
      <w:tr w14:paraId="2E208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vAlign w:val="center"/>
          </w:tcPr>
          <w:p w14:paraId="372F301F">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样品状态</w:t>
            </w:r>
          </w:p>
        </w:tc>
        <w:tc>
          <w:tcPr>
            <w:tcW w:w="735" w:type="pct"/>
            <w:vAlign w:val="center"/>
          </w:tcPr>
          <w:p w14:paraId="2855F5B2">
            <w:pPr>
              <w:spacing w:line="240" w:lineRule="auto"/>
              <w:ind w:firstLine="0" w:firstLineChars="0"/>
              <w:jc w:val="center"/>
              <w:rPr>
                <w:rFonts w:cs="Times New Roman"/>
                <w:spacing w:val="-20"/>
                <w:kern w:val="0"/>
                <w:sz w:val="21"/>
                <w:szCs w:val="21"/>
                <w14:ligatures w14:val="none"/>
              </w:rPr>
            </w:pPr>
            <w:r>
              <w:rPr>
                <w:rFonts w:hint="eastAsia" w:cs="Times New Roman"/>
                <w:spacing w:val="-20"/>
                <w:kern w:val="0"/>
                <w:sz w:val="21"/>
                <w:szCs w:val="21"/>
                <w14:ligatures w14:val="none"/>
              </w:rPr>
              <w:t>黄色柱状干壤土、无砂砾含量、无异物</w:t>
            </w:r>
          </w:p>
        </w:tc>
        <w:tc>
          <w:tcPr>
            <w:tcW w:w="736" w:type="pct"/>
            <w:vAlign w:val="center"/>
          </w:tcPr>
          <w:p w14:paraId="04BF7EBE">
            <w:pPr>
              <w:spacing w:line="240" w:lineRule="auto"/>
              <w:ind w:firstLine="0" w:firstLineChars="0"/>
              <w:jc w:val="center"/>
              <w:rPr>
                <w:rFonts w:cs="Times New Roman"/>
                <w:spacing w:val="-20"/>
                <w:kern w:val="0"/>
                <w:sz w:val="21"/>
                <w:szCs w:val="21"/>
                <w14:ligatures w14:val="none"/>
              </w:rPr>
            </w:pPr>
            <w:r>
              <w:rPr>
                <w:rFonts w:hint="eastAsia" w:cs="Times New Roman"/>
                <w:spacing w:val="-20"/>
                <w:kern w:val="0"/>
                <w:sz w:val="21"/>
                <w:szCs w:val="21"/>
                <w14:ligatures w14:val="none"/>
              </w:rPr>
              <w:t>黄色柱状湿黏土、无砂砾含量、少量砖块</w:t>
            </w:r>
          </w:p>
        </w:tc>
        <w:tc>
          <w:tcPr>
            <w:tcW w:w="712" w:type="pct"/>
            <w:vAlign w:val="center"/>
          </w:tcPr>
          <w:p w14:paraId="416DE0AB">
            <w:pPr>
              <w:spacing w:line="240" w:lineRule="auto"/>
              <w:ind w:firstLine="0" w:firstLineChars="0"/>
              <w:jc w:val="center"/>
              <w:rPr>
                <w:rFonts w:cs="Times New Roman"/>
                <w:spacing w:val="-20"/>
                <w:kern w:val="0"/>
                <w:sz w:val="21"/>
                <w:szCs w:val="21"/>
                <w14:ligatures w14:val="none"/>
              </w:rPr>
            </w:pPr>
            <w:r>
              <w:rPr>
                <w:rFonts w:hint="eastAsia" w:cs="Times New Roman"/>
                <w:spacing w:val="-20"/>
                <w:kern w:val="0"/>
                <w:sz w:val="21"/>
                <w:szCs w:val="21"/>
                <w14:ligatures w14:val="none"/>
              </w:rPr>
              <w:t>黄棕色柱状湿黏土、无砂砾含量、无异物</w:t>
            </w:r>
          </w:p>
        </w:tc>
        <w:tc>
          <w:tcPr>
            <w:tcW w:w="853" w:type="pct"/>
            <w:vAlign w:val="center"/>
          </w:tcPr>
          <w:p w14:paraId="2F50C8F4">
            <w:pPr>
              <w:spacing w:line="240" w:lineRule="auto"/>
              <w:ind w:firstLine="0" w:firstLineChars="0"/>
              <w:jc w:val="center"/>
              <w:rPr>
                <w:rFonts w:cs="Times New Roman"/>
                <w:spacing w:val="-20"/>
                <w:kern w:val="0"/>
                <w:sz w:val="21"/>
                <w:szCs w:val="21"/>
                <w14:ligatures w14:val="none"/>
              </w:rPr>
            </w:pPr>
            <w:r>
              <w:rPr>
                <w:rFonts w:hint="eastAsia" w:cs="Times New Roman"/>
                <w:spacing w:val="-20"/>
                <w:kern w:val="0"/>
                <w:sz w:val="21"/>
                <w:szCs w:val="21"/>
                <w14:ligatures w14:val="none"/>
              </w:rPr>
              <w:t>黄棕色团粒状干壤土、无砂砾含量、无异物</w:t>
            </w:r>
          </w:p>
        </w:tc>
        <w:tc>
          <w:tcPr>
            <w:tcW w:w="853" w:type="pct"/>
            <w:vAlign w:val="center"/>
          </w:tcPr>
          <w:p w14:paraId="493A0165">
            <w:pPr>
              <w:spacing w:line="240" w:lineRule="auto"/>
              <w:ind w:firstLine="0" w:firstLineChars="0"/>
              <w:jc w:val="center"/>
              <w:rPr>
                <w:rFonts w:cs="Times New Roman"/>
                <w:spacing w:val="-20"/>
                <w:kern w:val="0"/>
                <w:sz w:val="21"/>
                <w:szCs w:val="21"/>
                <w14:ligatures w14:val="none"/>
              </w:rPr>
            </w:pPr>
            <w:r>
              <w:rPr>
                <w:rFonts w:hint="eastAsia" w:cs="Times New Roman"/>
                <w:spacing w:val="-20"/>
                <w:kern w:val="0"/>
                <w:sz w:val="21"/>
                <w:szCs w:val="21"/>
                <w14:ligatures w14:val="none"/>
              </w:rPr>
              <w:t>黄棕色团粒状干壤土、无砂砾含量、无异物</w:t>
            </w:r>
          </w:p>
        </w:tc>
      </w:tr>
      <w:tr w14:paraId="1045D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vAlign w:val="center"/>
          </w:tcPr>
          <w:p w14:paraId="322941C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pH值（无量纲）</w:t>
            </w:r>
          </w:p>
        </w:tc>
        <w:tc>
          <w:tcPr>
            <w:tcW w:w="735" w:type="pct"/>
            <w:vAlign w:val="center"/>
          </w:tcPr>
          <w:p w14:paraId="73CD11F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7.33</w:t>
            </w:r>
          </w:p>
        </w:tc>
        <w:tc>
          <w:tcPr>
            <w:tcW w:w="736" w:type="pct"/>
            <w:vAlign w:val="center"/>
          </w:tcPr>
          <w:p w14:paraId="1D37CE36">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7.44</w:t>
            </w:r>
          </w:p>
        </w:tc>
        <w:tc>
          <w:tcPr>
            <w:tcW w:w="712" w:type="pct"/>
            <w:vAlign w:val="center"/>
          </w:tcPr>
          <w:p w14:paraId="00EEA33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7.53</w:t>
            </w:r>
          </w:p>
        </w:tc>
        <w:tc>
          <w:tcPr>
            <w:tcW w:w="853" w:type="pct"/>
            <w:vAlign w:val="center"/>
          </w:tcPr>
          <w:p w14:paraId="5DF763C5">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7.83</w:t>
            </w:r>
          </w:p>
        </w:tc>
        <w:tc>
          <w:tcPr>
            <w:tcW w:w="853" w:type="pct"/>
            <w:vAlign w:val="center"/>
          </w:tcPr>
          <w:p w14:paraId="76BB55A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7.66</w:t>
            </w:r>
          </w:p>
        </w:tc>
      </w:tr>
      <w:tr w14:paraId="06F71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vAlign w:val="center"/>
          </w:tcPr>
          <w:p w14:paraId="622C32B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汞（mg/kg）</w:t>
            </w:r>
          </w:p>
        </w:tc>
        <w:tc>
          <w:tcPr>
            <w:tcW w:w="735" w:type="pct"/>
            <w:vAlign w:val="center"/>
          </w:tcPr>
          <w:p w14:paraId="54A3A0D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0.124</w:t>
            </w:r>
          </w:p>
        </w:tc>
        <w:tc>
          <w:tcPr>
            <w:tcW w:w="736" w:type="pct"/>
            <w:vAlign w:val="center"/>
          </w:tcPr>
          <w:p w14:paraId="245DBDE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0.109</w:t>
            </w:r>
          </w:p>
        </w:tc>
        <w:tc>
          <w:tcPr>
            <w:tcW w:w="712" w:type="pct"/>
            <w:vAlign w:val="center"/>
          </w:tcPr>
          <w:p w14:paraId="3B4A4AEA">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0.091</w:t>
            </w:r>
          </w:p>
        </w:tc>
        <w:tc>
          <w:tcPr>
            <w:tcW w:w="853" w:type="pct"/>
            <w:vAlign w:val="center"/>
          </w:tcPr>
          <w:p w14:paraId="2C28B53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0.074</w:t>
            </w:r>
          </w:p>
        </w:tc>
        <w:tc>
          <w:tcPr>
            <w:tcW w:w="853" w:type="pct"/>
            <w:vAlign w:val="center"/>
          </w:tcPr>
          <w:p w14:paraId="30BDFB3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0.102</w:t>
            </w:r>
          </w:p>
        </w:tc>
      </w:tr>
      <w:tr w14:paraId="0948D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vAlign w:val="center"/>
          </w:tcPr>
          <w:p w14:paraId="4FC5D9A0">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砷（mg/kg）</w:t>
            </w:r>
          </w:p>
        </w:tc>
        <w:tc>
          <w:tcPr>
            <w:tcW w:w="735" w:type="pct"/>
            <w:vAlign w:val="center"/>
          </w:tcPr>
          <w:p w14:paraId="743AA25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7.32</w:t>
            </w:r>
          </w:p>
        </w:tc>
        <w:tc>
          <w:tcPr>
            <w:tcW w:w="736" w:type="pct"/>
            <w:vAlign w:val="center"/>
          </w:tcPr>
          <w:p w14:paraId="0873E8C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5.95</w:t>
            </w:r>
          </w:p>
        </w:tc>
        <w:tc>
          <w:tcPr>
            <w:tcW w:w="712" w:type="pct"/>
            <w:vAlign w:val="center"/>
          </w:tcPr>
          <w:p w14:paraId="61B62B9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7.52</w:t>
            </w:r>
          </w:p>
        </w:tc>
        <w:tc>
          <w:tcPr>
            <w:tcW w:w="853" w:type="pct"/>
            <w:vAlign w:val="center"/>
          </w:tcPr>
          <w:p w14:paraId="24B2AE5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7.49</w:t>
            </w:r>
          </w:p>
        </w:tc>
        <w:tc>
          <w:tcPr>
            <w:tcW w:w="853" w:type="pct"/>
            <w:vAlign w:val="center"/>
          </w:tcPr>
          <w:p w14:paraId="75D66CA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7.05</w:t>
            </w:r>
          </w:p>
        </w:tc>
      </w:tr>
      <w:tr w14:paraId="44417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vAlign w:val="center"/>
          </w:tcPr>
          <w:p w14:paraId="4ACD573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铜（mg/kg）</w:t>
            </w:r>
          </w:p>
        </w:tc>
        <w:tc>
          <w:tcPr>
            <w:tcW w:w="735" w:type="pct"/>
            <w:vAlign w:val="center"/>
          </w:tcPr>
          <w:p w14:paraId="4298F1DD">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9</w:t>
            </w:r>
          </w:p>
        </w:tc>
        <w:tc>
          <w:tcPr>
            <w:tcW w:w="736" w:type="pct"/>
            <w:vAlign w:val="center"/>
          </w:tcPr>
          <w:p w14:paraId="00838D4C">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13</w:t>
            </w:r>
          </w:p>
        </w:tc>
        <w:tc>
          <w:tcPr>
            <w:tcW w:w="712" w:type="pct"/>
            <w:vAlign w:val="center"/>
          </w:tcPr>
          <w:p w14:paraId="51D04033">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13</w:t>
            </w:r>
          </w:p>
        </w:tc>
        <w:tc>
          <w:tcPr>
            <w:tcW w:w="853" w:type="pct"/>
            <w:vAlign w:val="center"/>
          </w:tcPr>
          <w:p w14:paraId="3D3BC915">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41</w:t>
            </w:r>
          </w:p>
        </w:tc>
        <w:tc>
          <w:tcPr>
            <w:tcW w:w="853" w:type="pct"/>
            <w:vAlign w:val="center"/>
          </w:tcPr>
          <w:p w14:paraId="399E06CB">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26</w:t>
            </w:r>
          </w:p>
        </w:tc>
      </w:tr>
      <w:tr w14:paraId="2B28C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vAlign w:val="center"/>
          </w:tcPr>
          <w:p w14:paraId="1EE6C83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镍（mg/kg）</w:t>
            </w:r>
          </w:p>
        </w:tc>
        <w:tc>
          <w:tcPr>
            <w:tcW w:w="735" w:type="pct"/>
            <w:vAlign w:val="center"/>
          </w:tcPr>
          <w:p w14:paraId="169C511C">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23</w:t>
            </w:r>
          </w:p>
        </w:tc>
        <w:tc>
          <w:tcPr>
            <w:tcW w:w="736" w:type="pct"/>
            <w:vAlign w:val="center"/>
          </w:tcPr>
          <w:p w14:paraId="05E05234">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27</w:t>
            </w:r>
          </w:p>
        </w:tc>
        <w:tc>
          <w:tcPr>
            <w:tcW w:w="712" w:type="pct"/>
            <w:vAlign w:val="center"/>
          </w:tcPr>
          <w:p w14:paraId="09BE3CC2">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40</w:t>
            </w:r>
          </w:p>
        </w:tc>
        <w:tc>
          <w:tcPr>
            <w:tcW w:w="853" w:type="pct"/>
            <w:vAlign w:val="center"/>
          </w:tcPr>
          <w:p w14:paraId="622D83DD">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72</w:t>
            </w:r>
          </w:p>
        </w:tc>
        <w:tc>
          <w:tcPr>
            <w:tcW w:w="853" w:type="pct"/>
            <w:vAlign w:val="center"/>
          </w:tcPr>
          <w:p w14:paraId="0728A7A1">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52</w:t>
            </w:r>
          </w:p>
        </w:tc>
      </w:tr>
      <w:tr w14:paraId="39B80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vAlign w:val="center"/>
          </w:tcPr>
          <w:p w14:paraId="57A3798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铅（mg/kg）</w:t>
            </w:r>
          </w:p>
        </w:tc>
        <w:tc>
          <w:tcPr>
            <w:tcW w:w="735" w:type="pct"/>
            <w:vAlign w:val="center"/>
          </w:tcPr>
          <w:p w14:paraId="357A217C">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6.48</w:t>
            </w:r>
          </w:p>
        </w:tc>
        <w:tc>
          <w:tcPr>
            <w:tcW w:w="736" w:type="pct"/>
            <w:vAlign w:val="center"/>
          </w:tcPr>
          <w:p w14:paraId="29636C0A">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13.3</w:t>
            </w:r>
          </w:p>
        </w:tc>
        <w:tc>
          <w:tcPr>
            <w:tcW w:w="712" w:type="pct"/>
            <w:vAlign w:val="center"/>
          </w:tcPr>
          <w:p w14:paraId="663474E0">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4.42</w:t>
            </w:r>
          </w:p>
        </w:tc>
        <w:tc>
          <w:tcPr>
            <w:tcW w:w="853" w:type="pct"/>
            <w:vAlign w:val="center"/>
          </w:tcPr>
          <w:p w14:paraId="0574ACE4">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21.6</w:t>
            </w:r>
          </w:p>
        </w:tc>
        <w:tc>
          <w:tcPr>
            <w:tcW w:w="853" w:type="pct"/>
            <w:vAlign w:val="center"/>
          </w:tcPr>
          <w:p w14:paraId="68194F70">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22.4</w:t>
            </w:r>
          </w:p>
        </w:tc>
      </w:tr>
      <w:tr w14:paraId="4BFBF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vAlign w:val="center"/>
          </w:tcPr>
          <w:p w14:paraId="654981B8">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镉（mg/kg）</w:t>
            </w:r>
          </w:p>
        </w:tc>
        <w:tc>
          <w:tcPr>
            <w:tcW w:w="735" w:type="pct"/>
            <w:vAlign w:val="center"/>
          </w:tcPr>
          <w:p w14:paraId="50026DDF">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0.02</w:t>
            </w:r>
          </w:p>
        </w:tc>
        <w:tc>
          <w:tcPr>
            <w:tcW w:w="736" w:type="pct"/>
            <w:vAlign w:val="center"/>
          </w:tcPr>
          <w:p w14:paraId="083DF1C9">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0.03</w:t>
            </w:r>
          </w:p>
        </w:tc>
        <w:tc>
          <w:tcPr>
            <w:tcW w:w="712" w:type="pct"/>
            <w:vAlign w:val="center"/>
          </w:tcPr>
          <w:p w14:paraId="4B716377">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0.02</w:t>
            </w:r>
          </w:p>
        </w:tc>
        <w:tc>
          <w:tcPr>
            <w:tcW w:w="853" w:type="pct"/>
            <w:vAlign w:val="center"/>
          </w:tcPr>
          <w:p w14:paraId="5801B5F4">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2.25</w:t>
            </w:r>
          </w:p>
        </w:tc>
        <w:tc>
          <w:tcPr>
            <w:tcW w:w="853" w:type="pct"/>
            <w:vAlign w:val="center"/>
          </w:tcPr>
          <w:p w14:paraId="54AE36CB">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4.23</w:t>
            </w:r>
          </w:p>
        </w:tc>
      </w:tr>
      <w:tr w14:paraId="4F4B3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vAlign w:val="center"/>
          </w:tcPr>
          <w:p w14:paraId="1BF07B9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铬（mg/kg）</w:t>
            </w:r>
          </w:p>
        </w:tc>
        <w:tc>
          <w:tcPr>
            <w:tcW w:w="735" w:type="pct"/>
            <w:vAlign w:val="center"/>
          </w:tcPr>
          <w:p w14:paraId="73C353D5">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28</w:t>
            </w:r>
          </w:p>
        </w:tc>
        <w:tc>
          <w:tcPr>
            <w:tcW w:w="736" w:type="pct"/>
            <w:vAlign w:val="center"/>
          </w:tcPr>
          <w:p w14:paraId="277400C0">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40</w:t>
            </w:r>
          </w:p>
        </w:tc>
        <w:tc>
          <w:tcPr>
            <w:tcW w:w="712" w:type="pct"/>
            <w:vAlign w:val="center"/>
          </w:tcPr>
          <w:p w14:paraId="284D8EA8">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30</w:t>
            </w:r>
          </w:p>
        </w:tc>
        <w:tc>
          <w:tcPr>
            <w:tcW w:w="853" w:type="pct"/>
            <w:vAlign w:val="center"/>
          </w:tcPr>
          <w:p w14:paraId="426692C1">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83</w:t>
            </w:r>
          </w:p>
        </w:tc>
        <w:tc>
          <w:tcPr>
            <w:tcW w:w="853" w:type="pct"/>
            <w:vAlign w:val="center"/>
          </w:tcPr>
          <w:p w14:paraId="7418DA24">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87</w:t>
            </w:r>
          </w:p>
        </w:tc>
      </w:tr>
      <w:tr w14:paraId="3C25F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pct"/>
            <w:vAlign w:val="center"/>
          </w:tcPr>
          <w:p w14:paraId="13CC46C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锌（mg/kg）</w:t>
            </w:r>
          </w:p>
        </w:tc>
        <w:tc>
          <w:tcPr>
            <w:tcW w:w="735" w:type="pct"/>
            <w:vAlign w:val="center"/>
          </w:tcPr>
          <w:p w14:paraId="1EC35EBD">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34</w:t>
            </w:r>
          </w:p>
        </w:tc>
        <w:tc>
          <w:tcPr>
            <w:tcW w:w="736" w:type="pct"/>
            <w:vAlign w:val="center"/>
          </w:tcPr>
          <w:p w14:paraId="48163F78">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28</w:t>
            </w:r>
          </w:p>
        </w:tc>
        <w:tc>
          <w:tcPr>
            <w:tcW w:w="712" w:type="pct"/>
            <w:vAlign w:val="center"/>
          </w:tcPr>
          <w:p w14:paraId="188DAB06">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46</w:t>
            </w:r>
          </w:p>
        </w:tc>
        <w:tc>
          <w:tcPr>
            <w:tcW w:w="853" w:type="pct"/>
            <w:vAlign w:val="center"/>
          </w:tcPr>
          <w:p w14:paraId="0DE6C326">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62</w:t>
            </w:r>
          </w:p>
        </w:tc>
        <w:tc>
          <w:tcPr>
            <w:tcW w:w="853" w:type="pct"/>
            <w:vAlign w:val="center"/>
          </w:tcPr>
          <w:p w14:paraId="68D94498">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66</w:t>
            </w:r>
          </w:p>
        </w:tc>
      </w:tr>
    </w:tbl>
    <w:p w14:paraId="16F26F84">
      <w:pPr>
        <w:ind w:firstLine="0" w:firstLineChars="0"/>
      </w:pPr>
    </w:p>
    <w:p w14:paraId="6DACDF6F">
      <w:pPr>
        <w:ind w:firstLine="0" w:firstLineChars="0"/>
        <w:sectPr>
          <w:pgSz w:w="16838" w:h="11906" w:orient="landscape"/>
          <w:pgMar w:top="1800" w:right="1440" w:bottom="1800" w:left="1440" w:header="851" w:footer="992" w:gutter="0"/>
          <w:cols w:space="425" w:num="1"/>
          <w:docGrid w:type="lines" w:linePitch="326" w:charSpace="0"/>
        </w:sectPr>
      </w:pPr>
    </w:p>
    <w:p w14:paraId="46DB27D7">
      <w:pPr>
        <w:keepNext/>
        <w:keepLines/>
        <w:ind w:firstLine="0" w:firstLineChars="0"/>
        <w:jc w:val="left"/>
        <w:outlineLvl w:val="2"/>
        <w:rPr>
          <w:rFonts w:eastAsia="方正楷体_GBK" w:cs="Times New Roman"/>
          <w:b/>
          <w:bCs/>
          <w:szCs w:val="28"/>
          <w14:ligatures w14:val="none"/>
        </w:rPr>
      </w:pPr>
      <w:bookmarkStart w:id="79" w:name="_Toc217294046"/>
      <w:r>
        <w:rPr>
          <w:rFonts w:eastAsia="方正楷体_GBK" w:cs="Times New Roman"/>
          <w:b/>
          <w:bCs/>
          <w:szCs w:val="28"/>
          <w14:ligatures w14:val="none"/>
        </w:rPr>
        <w:t>3.5.</w:t>
      </w:r>
      <w:r>
        <w:rPr>
          <w:rFonts w:hint="eastAsia" w:eastAsia="方正楷体_GBK" w:cs="Times New Roman"/>
          <w:b/>
          <w:bCs/>
          <w:szCs w:val="28"/>
          <w14:ligatures w14:val="none"/>
        </w:rPr>
        <w:t>6底泥环境质量现状监测与评价</w:t>
      </w:r>
    </w:p>
    <w:p w14:paraId="7505462C">
      <w:pPr>
        <w:ind w:firstLine="482"/>
        <w:rPr>
          <w:rFonts w:cs="Times New Roman"/>
          <w:b/>
          <w:bCs/>
        </w:rPr>
      </w:pPr>
      <w:r>
        <w:rPr>
          <w:rFonts w:hint="eastAsia" w:cs="Times New Roman"/>
          <w:b/>
          <w:bCs/>
        </w:rPr>
        <w:t>（1）监测布点和监测因子</w:t>
      </w:r>
    </w:p>
    <w:p w14:paraId="4B077AAB">
      <w:pPr>
        <w:ind w:firstLine="480"/>
        <w:rPr>
          <w:rFonts w:cs="Times New Roman"/>
        </w:rPr>
      </w:pPr>
      <w:r>
        <w:rPr>
          <w:rFonts w:hint="eastAsia" w:cs="Times New Roman"/>
        </w:rPr>
        <w:t>本次评价在污水处理厂入河排污口下游500米处布设1个底泥环境质量监测点位（S1），具体监测点位和监测因子见表3.5-20，监测点位分布如附图36所示。</w:t>
      </w:r>
    </w:p>
    <w:p w14:paraId="0667F8DD">
      <w:pPr>
        <w:pStyle w:val="45"/>
      </w:pPr>
      <w:r>
        <w:t>表</w:t>
      </w:r>
      <w:r>
        <w:rPr>
          <w:rFonts w:hint="eastAsia"/>
        </w:rPr>
        <w:t>3</w:t>
      </w:r>
      <w:r>
        <w:t>.</w:t>
      </w:r>
      <w:r>
        <w:rPr>
          <w:rFonts w:hint="eastAsia"/>
        </w:rPr>
        <w:t>5</w:t>
      </w:r>
      <w:r>
        <w:t>-</w:t>
      </w:r>
      <w:r>
        <w:rPr>
          <w:rFonts w:hint="eastAsia"/>
        </w:rPr>
        <w:t>20</w:t>
      </w:r>
      <w:r>
        <w:t xml:space="preserve">  土壤环境质量现状监测点位和监测因子</w:t>
      </w:r>
    </w:p>
    <w:tbl>
      <w:tblPr>
        <w:tblStyle w:val="25"/>
        <w:tblW w:w="486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14"/>
        <w:gridCol w:w="2014"/>
        <w:gridCol w:w="2268"/>
        <w:gridCol w:w="3199"/>
      </w:tblGrid>
      <w:tr w14:paraId="4B809A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6" w:hRule="atLeast"/>
          <w:tblHeader/>
          <w:jc w:val="center"/>
        </w:trPr>
        <w:tc>
          <w:tcPr>
            <w:tcW w:w="491" w:type="pct"/>
            <w:vAlign w:val="center"/>
          </w:tcPr>
          <w:p w14:paraId="7056E41A">
            <w:pPr>
              <w:spacing w:line="240" w:lineRule="auto"/>
              <w:ind w:firstLine="0" w:firstLineChars="0"/>
              <w:jc w:val="center"/>
              <w:rPr>
                <w:rFonts w:cs="Times New Roman"/>
                <w:b/>
                <w:bCs/>
                <w:sz w:val="21"/>
                <w:szCs w:val="21"/>
              </w:rPr>
            </w:pPr>
            <w:r>
              <w:rPr>
                <w:rFonts w:hint="eastAsia" w:cs="Times New Roman"/>
                <w:b/>
                <w:bCs/>
                <w:sz w:val="21"/>
                <w:szCs w:val="21"/>
              </w:rPr>
              <w:t>监测点编号</w:t>
            </w:r>
          </w:p>
        </w:tc>
        <w:tc>
          <w:tcPr>
            <w:tcW w:w="1213" w:type="pct"/>
            <w:vAlign w:val="center"/>
          </w:tcPr>
          <w:p w14:paraId="70B1651B">
            <w:pPr>
              <w:spacing w:line="240" w:lineRule="auto"/>
              <w:ind w:firstLine="0" w:firstLineChars="0"/>
              <w:jc w:val="center"/>
              <w:rPr>
                <w:rFonts w:cs="Times New Roman"/>
                <w:b/>
                <w:bCs/>
                <w:sz w:val="21"/>
                <w:szCs w:val="21"/>
              </w:rPr>
            </w:pPr>
            <w:r>
              <w:rPr>
                <w:rFonts w:hint="eastAsia" w:cs="Times New Roman"/>
                <w:b/>
                <w:bCs/>
                <w:sz w:val="21"/>
                <w:szCs w:val="21"/>
              </w:rPr>
              <w:t>具体位置</w:t>
            </w:r>
          </w:p>
        </w:tc>
        <w:tc>
          <w:tcPr>
            <w:tcW w:w="1366" w:type="pct"/>
            <w:vAlign w:val="center"/>
          </w:tcPr>
          <w:p w14:paraId="24A40A48">
            <w:pPr>
              <w:spacing w:line="240" w:lineRule="auto"/>
              <w:ind w:firstLine="0" w:firstLineChars="0"/>
              <w:jc w:val="center"/>
              <w:rPr>
                <w:rFonts w:cs="Times New Roman"/>
                <w:b/>
                <w:bCs/>
                <w:sz w:val="21"/>
                <w:szCs w:val="21"/>
              </w:rPr>
            </w:pPr>
            <w:r>
              <w:rPr>
                <w:rFonts w:hint="eastAsia" w:cs="Times New Roman"/>
                <w:b/>
                <w:bCs/>
                <w:sz w:val="21"/>
                <w:szCs w:val="21"/>
              </w:rPr>
              <w:t>采样类型</w:t>
            </w:r>
          </w:p>
        </w:tc>
        <w:tc>
          <w:tcPr>
            <w:tcW w:w="1927" w:type="pct"/>
            <w:vAlign w:val="center"/>
          </w:tcPr>
          <w:p w14:paraId="2686B8E6">
            <w:pPr>
              <w:spacing w:line="240" w:lineRule="auto"/>
              <w:ind w:firstLine="0" w:firstLineChars="0"/>
              <w:jc w:val="center"/>
              <w:rPr>
                <w:rFonts w:cs="Times New Roman"/>
                <w:b/>
                <w:bCs/>
                <w:sz w:val="21"/>
                <w:szCs w:val="21"/>
              </w:rPr>
            </w:pPr>
            <w:r>
              <w:rPr>
                <w:rFonts w:hint="eastAsia" w:cs="Times New Roman"/>
                <w:b/>
                <w:bCs/>
                <w:sz w:val="21"/>
                <w:szCs w:val="21"/>
              </w:rPr>
              <w:t>监测因子</w:t>
            </w:r>
          </w:p>
        </w:tc>
      </w:tr>
      <w:tr w14:paraId="5EA9B7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6" w:hRule="atLeast"/>
          <w:jc w:val="center"/>
        </w:trPr>
        <w:tc>
          <w:tcPr>
            <w:tcW w:w="491" w:type="pct"/>
            <w:vAlign w:val="center"/>
          </w:tcPr>
          <w:p w14:paraId="4FD03C90">
            <w:pPr>
              <w:spacing w:line="240" w:lineRule="auto"/>
              <w:ind w:firstLine="0" w:firstLineChars="0"/>
              <w:jc w:val="center"/>
              <w:rPr>
                <w:rFonts w:cs="Times New Roman"/>
                <w:sz w:val="21"/>
                <w:szCs w:val="21"/>
              </w:rPr>
            </w:pPr>
            <w:r>
              <w:rPr>
                <w:rFonts w:hint="eastAsia" w:cs="Times New Roman"/>
                <w:sz w:val="21"/>
                <w:szCs w:val="21"/>
              </w:rPr>
              <w:t>S1</w:t>
            </w:r>
          </w:p>
        </w:tc>
        <w:tc>
          <w:tcPr>
            <w:tcW w:w="1213" w:type="pct"/>
            <w:vAlign w:val="center"/>
          </w:tcPr>
          <w:p w14:paraId="5BD71696">
            <w:pPr>
              <w:spacing w:line="240" w:lineRule="auto"/>
              <w:ind w:firstLine="0" w:firstLineChars="0"/>
              <w:jc w:val="center"/>
              <w:rPr>
                <w:rFonts w:cs="Times New Roman"/>
                <w:sz w:val="21"/>
                <w:szCs w:val="21"/>
              </w:rPr>
            </w:pPr>
            <w:r>
              <w:rPr>
                <w:rFonts w:hint="eastAsia" w:cs="Times New Roman"/>
                <w:sz w:val="21"/>
                <w:szCs w:val="21"/>
              </w:rPr>
              <w:t>薛埠污水处理厂排口下游500米</w:t>
            </w:r>
          </w:p>
        </w:tc>
        <w:tc>
          <w:tcPr>
            <w:tcW w:w="1366" w:type="pct"/>
            <w:vAlign w:val="center"/>
          </w:tcPr>
          <w:p w14:paraId="345F66A8">
            <w:pPr>
              <w:spacing w:line="240" w:lineRule="auto"/>
              <w:ind w:firstLine="0" w:firstLineChars="0"/>
              <w:jc w:val="center"/>
              <w:rPr>
                <w:rFonts w:cs="Times New Roman"/>
                <w:sz w:val="21"/>
                <w:szCs w:val="21"/>
              </w:rPr>
            </w:pPr>
            <w:r>
              <w:rPr>
                <w:rFonts w:hint="eastAsia" w:cs="Times New Roman"/>
                <w:sz w:val="21"/>
                <w:szCs w:val="21"/>
              </w:rPr>
              <w:t>底泥</w:t>
            </w:r>
          </w:p>
        </w:tc>
        <w:tc>
          <w:tcPr>
            <w:tcW w:w="1927" w:type="pct"/>
            <w:vAlign w:val="center"/>
          </w:tcPr>
          <w:p w14:paraId="60685566">
            <w:pPr>
              <w:spacing w:line="240" w:lineRule="auto"/>
              <w:ind w:firstLine="0" w:firstLineChars="0"/>
              <w:jc w:val="center"/>
              <w:rPr>
                <w:rFonts w:cs="Times New Roman"/>
                <w:sz w:val="21"/>
                <w:szCs w:val="21"/>
              </w:rPr>
            </w:pPr>
            <w:r>
              <w:rPr>
                <w:rFonts w:hint="eastAsia" w:cs="Times New Roman"/>
                <w:sz w:val="21"/>
                <w:szCs w:val="21"/>
              </w:rPr>
              <w:t>pH、镉、汞、砷、铅、铬、铜、镍、锌</w:t>
            </w:r>
          </w:p>
        </w:tc>
      </w:tr>
    </w:tbl>
    <w:p w14:paraId="177269D4">
      <w:pPr>
        <w:ind w:firstLine="482"/>
        <w:rPr>
          <w:rFonts w:cs="Times New Roman"/>
          <w:b/>
          <w:bCs/>
        </w:rPr>
      </w:pPr>
      <w:r>
        <w:rPr>
          <w:rFonts w:hint="eastAsia" w:cs="Times New Roman"/>
          <w:b/>
          <w:bCs/>
        </w:rPr>
        <w:t>（2）监测时间和频次</w:t>
      </w:r>
    </w:p>
    <w:p w14:paraId="5D989A34">
      <w:pPr>
        <w:ind w:firstLine="480"/>
        <w:rPr>
          <w:rFonts w:cs="Times New Roman"/>
        </w:rPr>
      </w:pPr>
      <w:r>
        <w:rPr>
          <w:rFonts w:hint="eastAsia" w:cs="Times New Roman"/>
        </w:rPr>
        <w:t>S1点位采样日期为2024年3月7日，采样1次，监测1次。</w:t>
      </w:r>
    </w:p>
    <w:p w14:paraId="6673BC2A">
      <w:pPr>
        <w:ind w:firstLine="482"/>
        <w:rPr>
          <w:rFonts w:cs="Times New Roman"/>
          <w:b/>
          <w:bCs/>
        </w:rPr>
      </w:pPr>
      <w:r>
        <w:rPr>
          <w:rFonts w:hint="eastAsia" w:cs="Times New Roman"/>
          <w:b/>
          <w:bCs/>
        </w:rPr>
        <w:t>（3）监测分析方法</w:t>
      </w:r>
    </w:p>
    <w:p w14:paraId="0AAB19A0">
      <w:pPr>
        <w:ind w:firstLine="480"/>
        <w:rPr>
          <w:rFonts w:cs="Times New Roman"/>
        </w:rPr>
      </w:pPr>
      <w:r>
        <w:rPr>
          <w:rFonts w:hint="eastAsia" w:cs="Times New Roman"/>
        </w:rPr>
        <w:t>采样及分析方法按照《土壤环境监测技术规范》《土壤环境质量 农用地土壤污染风险管控标准（试行）》（GB 15618-2018）的有关规定和要求执行。</w:t>
      </w:r>
    </w:p>
    <w:p w14:paraId="52C28AA4">
      <w:pPr>
        <w:ind w:firstLine="482"/>
        <w:rPr>
          <w:b/>
          <w:bCs/>
        </w:rPr>
      </w:pPr>
      <w:r>
        <w:rPr>
          <w:rFonts w:hint="eastAsia"/>
          <w:b/>
          <w:bCs/>
        </w:rPr>
        <w:t>（4）监测结果分析与评价</w:t>
      </w:r>
    </w:p>
    <w:p w14:paraId="6FDA373F">
      <w:pPr>
        <w:ind w:firstLine="480"/>
        <w:rPr>
          <w:highlight w:val="yellow"/>
        </w:rPr>
      </w:pPr>
      <w:r>
        <w:rPr>
          <w:rFonts w:hint="eastAsia"/>
          <w:bCs/>
        </w:rPr>
        <w:t>底泥</w:t>
      </w:r>
      <w:r>
        <w:rPr>
          <w:bCs/>
        </w:rPr>
        <w:t>环境质量现状监测结果汇总情况见</w:t>
      </w:r>
      <w:r>
        <w:rPr>
          <w:rFonts w:hint="eastAsia"/>
          <w:bCs/>
        </w:rPr>
        <w:t>下表</w:t>
      </w:r>
      <w:r>
        <w:rPr>
          <w:bCs/>
        </w:rPr>
        <w:t>。</w:t>
      </w:r>
      <w:r>
        <w:rPr>
          <w:rFonts w:hint="eastAsia"/>
          <w:bCs/>
        </w:rPr>
        <w:t>监测结果表明，监测期间S1</w:t>
      </w:r>
      <w:r>
        <w:rPr>
          <w:rFonts w:hint="eastAsia"/>
        </w:rPr>
        <w:t>点位</w:t>
      </w:r>
      <w:r>
        <w:rPr>
          <w:rFonts w:hint="eastAsia"/>
          <w:bCs/>
        </w:rPr>
        <w:t>所测各项指标均低于《土壤环境质量 农用地土壤污染风险管控标准（试行）》（GB 15618-2018）表1中水田风险筛选值。</w:t>
      </w:r>
    </w:p>
    <w:p w14:paraId="5A02F533">
      <w:pPr>
        <w:pStyle w:val="45"/>
      </w:pPr>
      <w:r>
        <w:t>表</w:t>
      </w:r>
      <w:r>
        <w:rPr>
          <w:rFonts w:hint="eastAsia"/>
        </w:rPr>
        <w:t>3</w:t>
      </w:r>
      <w:r>
        <w:t>.</w:t>
      </w:r>
      <w:r>
        <w:rPr>
          <w:rFonts w:hint="eastAsia"/>
        </w:rPr>
        <w:t>5</w:t>
      </w:r>
      <w:r>
        <w:t>-</w:t>
      </w:r>
      <w:r>
        <w:rPr>
          <w:rFonts w:hint="eastAsia"/>
        </w:rPr>
        <w:t>21</w:t>
      </w:r>
      <w:r>
        <w:t xml:space="preserve">  </w:t>
      </w:r>
      <w:r>
        <w:rPr>
          <w:rFonts w:hint="eastAsia"/>
        </w:rPr>
        <w:t>农用地</w:t>
      </w:r>
      <w:r>
        <w:t>土壤环境质量现状监测结果汇总表</w:t>
      </w:r>
      <w:r>
        <w:rPr>
          <w:rFonts w:hint="eastAsia"/>
        </w:rPr>
        <w:t>（T4/T5/T6/S1）</w:t>
      </w:r>
    </w:p>
    <w:tbl>
      <w:tblPr>
        <w:tblStyle w:val="7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3"/>
        <w:gridCol w:w="3707"/>
      </w:tblGrid>
      <w:tr w14:paraId="5B050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824" w:type="pct"/>
            <w:vAlign w:val="center"/>
          </w:tcPr>
          <w:p w14:paraId="35E3D366">
            <w:pPr>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采样项目</w:t>
            </w:r>
          </w:p>
        </w:tc>
        <w:tc>
          <w:tcPr>
            <w:tcW w:w="2175" w:type="pct"/>
            <w:vAlign w:val="center"/>
          </w:tcPr>
          <w:p w14:paraId="10D6CEB9">
            <w:pPr>
              <w:spacing w:line="240" w:lineRule="auto"/>
              <w:ind w:firstLine="0" w:firstLineChars="0"/>
              <w:jc w:val="center"/>
              <w:rPr>
                <w:rFonts w:cs="Times New Roman"/>
                <w:b/>
                <w:bCs/>
                <w:spacing w:val="-20"/>
                <w:kern w:val="0"/>
                <w:sz w:val="21"/>
                <w:szCs w:val="21"/>
                <w14:ligatures w14:val="none"/>
              </w:rPr>
            </w:pPr>
            <w:r>
              <w:rPr>
                <w:rFonts w:hint="eastAsia" w:cs="Times New Roman"/>
                <w:b/>
                <w:bCs/>
                <w:spacing w:val="-20"/>
                <w:kern w:val="0"/>
                <w:sz w:val="21"/>
                <w:szCs w:val="21"/>
                <w14:ligatures w14:val="none"/>
              </w:rPr>
              <w:t>S1薛埠污水处理厂排口下游500米</w:t>
            </w:r>
          </w:p>
        </w:tc>
      </w:tr>
      <w:tr w14:paraId="607BA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pct"/>
            <w:vAlign w:val="center"/>
          </w:tcPr>
          <w:p w14:paraId="2D24F11A">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采样深度（m）</w:t>
            </w:r>
          </w:p>
        </w:tc>
        <w:tc>
          <w:tcPr>
            <w:tcW w:w="2175" w:type="pct"/>
            <w:vAlign w:val="center"/>
          </w:tcPr>
          <w:p w14:paraId="6A7B374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w:t>
            </w:r>
          </w:p>
        </w:tc>
      </w:tr>
      <w:tr w14:paraId="460A7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pct"/>
            <w:vAlign w:val="center"/>
          </w:tcPr>
          <w:p w14:paraId="2A43CA11">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样品状态</w:t>
            </w:r>
          </w:p>
        </w:tc>
        <w:tc>
          <w:tcPr>
            <w:tcW w:w="2175" w:type="pct"/>
            <w:vAlign w:val="center"/>
          </w:tcPr>
          <w:p w14:paraId="45077AFF">
            <w:pPr>
              <w:spacing w:line="240" w:lineRule="auto"/>
              <w:ind w:firstLine="0" w:firstLineChars="0"/>
              <w:jc w:val="center"/>
              <w:rPr>
                <w:rFonts w:cs="Times New Roman"/>
                <w:spacing w:val="-20"/>
                <w:kern w:val="0"/>
                <w:sz w:val="21"/>
                <w:szCs w:val="21"/>
                <w14:ligatures w14:val="none"/>
              </w:rPr>
            </w:pPr>
            <w:r>
              <w:rPr>
                <w:rFonts w:hint="eastAsia" w:cs="Times New Roman"/>
                <w:spacing w:val="-20"/>
                <w:kern w:val="0"/>
                <w:sz w:val="21"/>
                <w:szCs w:val="21"/>
                <w14:ligatures w14:val="none"/>
              </w:rPr>
              <w:t>黑色微臭底泥</w:t>
            </w:r>
          </w:p>
        </w:tc>
      </w:tr>
      <w:tr w14:paraId="36818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pct"/>
            <w:vAlign w:val="center"/>
          </w:tcPr>
          <w:p w14:paraId="2013507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pH值（无量纲）</w:t>
            </w:r>
          </w:p>
        </w:tc>
        <w:tc>
          <w:tcPr>
            <w:tcW w:w="2175" w:type="pct"/>
            <w:vAlign w:val="center"/>
          </w:tcPr>
          <w:p w14:paraId="540EC153">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7.60</w:t>
            </w:r>
          </w:p>
        </w:tc>
      </w:tr>
      <w:tr w14:paraId="48079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pct"/>
            <w:vAlign w:val="center"/>
          </w:tcPr>
          <w:p w14:paraId="18E186E9">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汞（mg/kg）</w:t>
            </w:r>
          </w:p>
        </w:tc>
        <w:tc>
          <w:tcPr>
            <w:tcW w:w="2175" w:type="pct"/>
            <w:vAlign w:val="center"/>
          </w:tcPr>
          <w:p w14:paraId="2E69692E">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0.108</w:t>
            </w:r>
          </w:p>
        </w:tc>
      </w:tr>
      <w:tr w14:paraId="08807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pct"/>
            <w:vAlign w:val="center"/>
          </w:tcPr>
          <w:p w14:paraId="141D2E07">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砷（mg/kg）</w:t>
            </w:r>
          </w:p>
        </w:tc>
        <w:tc>
          <w:tcPr>
            <w:tcW w:w="2175" w:type="pct"/>
            <w:vAlign w:val="center"/>
          </w:tcPr>
          <w:p w14:paraId="36E7BA6C">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8.79</w:t>
            </w:r>
          </w:p>
        </w:tc>
      </w:tr>
      <w:tr w14:paraId="1C46F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pct"/>
            <w:vAlign w:val="center"/>
          </w:tcPr>
          <w:p w14:paraId="6FEC36B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铜（mg/kg）</w:t>
            </w:r>
          </w:p>
        </w:tc>
        <w:tc>
          <w:tcPr>
            <w:tcW w:w="2175" w:type="pct"/>
            <w:vAlign w:val="center"/>
          </w:tcPr>
          <w:p w14:paraId="62E50634">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22</w:t>
            </w:r>
          </w:p>
        </w:tc>
      </w:tr>
      <w:tr w14:paraId="5A8DC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pct"/>
            <w:vAlign w:val="center"/>
          </w:tcPr>
          <w:p w14:paraId="37CF1EAB">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镍（mg/kg）</w:t>
            </w:r>
          </w:p>
        </w:tc>
        <w:tc>
          <w:tcPr>
            <w:tcW w:w="2175" w:type="pct"/>
            <w:vAlign w:val="center"/>
          </w:tcPr>
          <w:p w14:paraId="7605CE43">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31</w:t>
            </w:r>
          </w:p>
        </w:tc>
      </w:tr>
      <w:tr w14:paraId="55568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pct"/>
            <w:vAlign w:val="center"/>
          </w:tcPr>
          <w:p w14:paraId="596D19A2">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铅（mg/kg）</w:t>
            </w:r>
          </w:p>
        </w:tc>
        <w:tc>
          <w:tcPr>
            <w:tcW w:w="2175" w:type="pct"/>
            <w:vAlign w:val="center"/>
          </w:tcPr>
          <w:p w14:paraId="03BCA7E1">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6.77</w:t>
            </w:r>
          </w:p>
        </w:tc>
      </w:tr>
      <w:tr w14:paraId="64614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pct"/>
            <w:vAlign w:val="center"/>
          </w:tcPr>
          <w:p w14:paraId="4B060004">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镉（mg/kg）</w:t>
            </w:r>
          </w:p>
        </w:tc>
        <w:tc>
          <w:tcPr>
            <w:tcW w:w="2175" w:type="pct"/>
            <w:vAlign w:val="center"/>
          </w:tcPr>
          <w:p w14:paraId="2B04AD41">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0.16</w:t>
            </w:r>
          </w:p>
        </w:tc>
      </w:tr>
      <w:tr w14:paraId="58BE8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pct"/>
            <w:vAlign w:val="center"/>
          </w:tcPr>
          <w:p w14:paraId="30A6D13F">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铬（mg/kg）</w:t>
            </w:r>
          </w:p>
        </w:tc>
        <w:tc>
          <w:tcPr>
            <w:tcW w:w="2175" w:type="pct"/>
            <w:vAlign w:val="center"/>
          </w:tcPr>
          <w:p w14:paraId="30988B99">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48</w:t>
            </w:r>
          </w:p>
        </w:tc>
      </w:tr>
      <w:tr w14:paraId="60143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4" w:type="pct"/>
            <w:vAlign w:val="center"/>
          </w:tcPr>
          <w:p w14:paraId="48F5F8C1">
            <w:pPr>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锌（mg/kg）</w:t>
            </w:r>
          </w:p>
        </w:tc>
        <w:tc>
          <w:tcPr>
            <w:tcW w:w="2175" w:type="pct"/>
            <w:vAlign w:val="center"/>
          </w:tcPr>
          <w:p w14:paraId="59E644CC">
            <w:pPr>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57</w:t>
            </w:r>
          </w:p>
        </w:tc>
      </w:tr>
    </w:tbl>
    <w:p w14:paraId="1C04A647">
      <w:pPr>
        <w:pStyle w:val="3"/>
        <w:ind w:firstLine="0" w:firstLineChars="0"/>
        <w:rPr>
          <w:rFonts w:cs="Times New Roman"/>
        </w:rPr>
      </w:pPr>
      <w:r>
        <w:rPr>
          <w:rFonts w:cs="Times New Roman"/>
        </w:rPr>
        <w:t>3.6</w:t>
      </w:r>
      <w:r>
        <w:rPr>
          <w:rFonts w:hint="eastAsia" w:cs="Times New Roman"/>
        </w:rPr>
        <w:t>生态环境现状调查</w:t>
      </w:r>
      <w:bookmarkEnd w:id="79"/>
    </w:p>
    <w:p w14:paraId="796BBC7E">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3.6.1</w:t>
      </w:r>
      <w:r>
        <w:rPr>
          <w:rFonts w:hint="eastAsia" w:eastAsia="方正楷体_GBK" w:cs="Times New Roman"/>
          <w:b/>
          <w:bCs/>
          <w:szCs w:val="28"/>
          <w14:ligatures w14:val="none"/>
        </w:rPr>
        <w:t>生态系统类型现状</w:t>
      </w:r>
    </w:p>
    <w:p w14:paraId="352B31A6">
      <w:pPr>
        <w:ind w:firstLine="480"/>
      </w:pPr>
      <w:r>
        <w:rPr>
          <w:rFonts w:hint="eastAsia"/>
        </w:rPr>
        <w:t>金坛茅山旅游度假区位于常州市金坛区西侧，周边交通路网密集，有着较好的区位优势。气候方面属于北亚带季风气候区，气候温和，四季分明，降水丰富。本轮规划范围主要涉及薛埠镇西侧区域，西、南、北至金坛区行政边界，总面积109.4平方公里。生态评价区域的主要生态系统类型可分为：林地生态系统、农田生态系统、湿地生态系统、农村生态系统和其他，其中林地生态系统占比最高，占生态评价区域总面积的56.60</w:t>
      </w:r>
      <w:r>
        <w:t>%</w:t>
      </w:r>
      <w:r>
        <w:rPr>
          <w:rFonts w:hint="eastAsia"/>
        </w:rPr>
        <w:t>；其次为农田生态系统和湿地生态系统，分别占21.91</w:t>
      </w:r>
      <w:r>
        <w:t>%</w:t>
      </w:r>
      <w:r>
        <w:rPr>
          <w:rFonts w:hint="eastAsia"/>
        </w:rPr>
        <w:t>和10.78</w:t>
      </w:r>
      <w:r>
        <w:t>%</w:t>
      </w:r>
      <w:r>
        <w:rPr>
          <w:rFonts w:hint="eastAsia"/>
        </w:rPr>
        <w:t>。</w:t>
      </w:r>
    </w:p>
    <w:p w14:paraId="551C7B27">
      <w:pPr>
        <w:pStyle w:val="45"/>
        <w:rPr>
          <w:rFonts w:cs="Times New Roman"/>
        </w:rPr>
      </w:pPr>
      <w:r>
        <w:rPr>
          <w:rFonts w:hint="eastAsia" w:cs="Times New Roman"/>
        </w:rPr>
        <w:t>表3.</w:t>
      </w:r>
      <w:r>
        <w:rPr>
          <w:rFonts w:cs="Times New Roman"/>
        </w:rPr>
        <w:t>6</w:t>
      </w:r>
      <w:r>
        <w:rPr>
          <w:rFonts w:hint="eastAsia" w:cs="Times New Roman"/>
        </w:rPr>
        <w:t>-</w:t>
      </w:r>
      <w:r>
        <w:rPr>
          <w:rFonts w:cs="Times New Roman"/>
        </w:rPr>
        <w:t>1</w:t>
      </w:r>
      <w:r>
        <w:rPr>
          <w:rFonts w:hint="eastAsia" w:cs="Times New Roman"/>
        </w:rPr>
        <w:t xml:space="preserve"> </w:t>
      </w:r>
      <w:r>
        <w:rPr>
          <w:rFonts w:cs="Times New Roman"/>
        </w:rPr>
        <w:t xml:space="preserve"> </w:t>
      </w:r>
      <w:r>
        <w:rPr>
          <w:rFonts w:hint="eastAsia" w:cs="Times New Roman"/>
        </w:rPr>
        <w:t>度假区各类生态系统面积统计表</w:t>
      </w:r>
    </w:p>
    <w:tbl>
      <w:tblPr>
        <w:tblStyle w:val="25"/>
        <w:tblW w:w="5000" w:type="pct"/>
        <w:tblInd w:w="0" w:type="dxa"/>
        <w:tblLayout w:type="autofit"/>
        <w:tblCellMar>
          <w:top w:w="0" w:type="dxa"/>
          <w:left w:w="108" w:type="dxa"/>
          <w:bottom w:w="0" w:type="dxa"/>
          <w:right w:w="108" w:type="dxa"/>
        </w:tblCellMar>
      </w:tblPr>
      <w:tblGrid>
        <w:gridCol w:w="3494"/>
        <w:gridCol w:w="2514"/>
        <w:gridCol w:w="2514"/>
      </w:tblGrid>
      <w:tr w14:paraId="6197EBDD">
        <w:tblPrEx>
          <w:tblCellMar>
            <w:top w:w="0" w:type="dxa"/>
            <w:left w:w="108" w:type="dxa"/>
            <w:bottom w:w="0" w:type="dxa"/>
            <w:right w:w="108" w:type="dxa"/>
          </w:tblCellMar>
        </w:tblPrEx>
        <w:trPr>
          <w:trHeight w:val="285" w:hRule="atLeast"/>
          <w:tblHeader/>
        </w:trPr>
        <w:tc>
          <w:tcPr>
            <w:tcW w:w="2050" w:type="pct"/>
            <w:tcBorders>
              <w:top w:val="single" w:color="auto" w:sz="4" w:space="0"/>
              <w:left w:val="single" w:color="auto" w:sz="4" w:space="0"/>
              <w:bottom w:val="single" w:color="auto" w:sz="4" w:space="0"/>
              <w:right w:val="single" w:color="auto" w:sz="4" w:space="0"/>
            </w:tcBorders>
            <w:noWrap/>
            <w:vAlign w:val="bottom"/>
          </w:tcPr>
          <w:p w14:paraId="40AD7CCE">
            <w:pPr>
              <w:widowControl/>
              <w:spacing w:line="240" w:lineRule="auto"/>
              <w:ind w:firstLine="0" w:firstLineChars="0"/>
              <w:jc w:val="center"/>
              <w:rPr>
                <w:rFonts w:cs="Times New Roman"/>
                <w:b/>
                <w:bCs/>
                <w:color w:val="000000"/>
                <w:kern w:val="0"/>
                <w:sz w:val="22"/>
                <w14:ligatures w14:val="none"/>
              </w:rPr>
            </w:pPr>
            <w:r>
              <w:rPr>
                <w:rFonts w:hint="eastAsia" w:cs="Times New Roman"/>
                <w:b/>
                <w:bCs/>
                <w:color w:val="000000"/>
                <w:kern w:val="0"/>
                <w:sz w:val="22"/>
                <w14:ligatures w14:val="none"/>
              </w:rPr>
              <w:t>生态系统类型</w:t>
            </w:r>
          </w:p>
        </w:tc>
        <w:tc>
          <w:tcPr>
            <w:tcW w:w="1475" w:type="pct"/>
            <w:tcBorders>
              <w:top w:val="single" w:color="auto" w:sz="4" w:space="0"/>
              <w:left w:val="nil"/>
              <w:bottom w:val="single" w:color="auto" w:sz="4" w:space="0"/>
              <w:right w:val="single" w:color="auto" w:sz="4" w:space="0"/>
            </w:tcBorders>
            <w:noWrap/>
            <w:vAlign w:val="bottom"/>
          </w:tcPr>
          <w:p w14:paraId="5A99CB6B">
            <w:pPr>
              <w:widowControl/>
              <w:spacing w:line="240" w:lineRule="auto"/>
              <w:ind w:firstLine="0" w:firstLineChars="0"/>
              <w:jc w:val="center"/>
              <w:rPr>
                <w:rFonts w:cs="Times New Roman"/>
                <w:b/>
                <w:bCs/>
                <w:color w:val="000000"/>
                <w:kern w:val="0"/>
                <w:sz w:val="22"/>
                <w14:ligatures w14:val="none"/>
              </w:rPr>
            </w:pPr>
            <w:r>
              <w:rPr>
                <w:rFonts w:hint="eastAsia" w:cs="Times New Roman"/>
                <w:b/>
                <w:bCs/>
                <w:color w:val="000000"/>
                <w:kern w:val="0"/>
                <w:sz w:val="22"/>
                <w14:ligatures w14:val="none"/>
              </w:rPr>
              <w:t>面积（平方公里）</w:t>
            </w:r>
          </w:p>
        </w:tc>
        <w:tc>
          <w:tcPr>
            <w:tcW w:w="1475" w:type="pct"/>
            <w:tcBorders>
              <w:top w:val="single" w:color="auto" w:sz="4" w:space="0"/>
              <w:left w:val="nil"/>
              <w:bottom w:val="single" w:color="auto" w:sz="4" w:space="0"/>
              <w:right w:val="single" w:color="auto" w:sz="4" w:space="0"/>
            </w:tcBorders>
            <w:noWrap/>
            <w:vAlign w:val="bottom"/>
          </w:tcPr>
          <w:p w14:paraId="591DA6E1">
            <w:pPr>
              <w:widowControl/>
              <w:spacing w:line="240" w:lineRule="auto"/>
              <w:ind w:firstLine="0" w:firstLineChars="0"/>
              <w:jc w:val="center"/>
              <w:rPr>
                <w:rFonts w:cs="Times New Roman"/>
                <w:b/>
                <w:bCs/>
                <w:color w:val="000000"/>
                <w:kern w:val="0"/>
                <w:sz w:val="22"/>
                <w14:ligatures w14:val="none"/>
              </w:rPr>
            </w:pPr>
            <w:r>
              <w:rPr>
                <w:rFonts w:hint="eastAsia" w:cs="Times New Roman"/>
                <w:b/>
                <w:bCs/>
                <w:color w:val="000000"/>
                <w:kern w:val="0"/>
                <w:sz w:val="22"/>
                <w14:ligatures w14:val="none"/>
              </w:rPr>
              <w:t>占比（%）</w:t>
            </w:r>
          </w:p>
        </w:tc>
      </w:tr>
      <w:tr w14:paraId="43D05B0B">
        <w:tblPrEx>
          <w:tblCellMar>
            <w:top w:w="0" w:type="dxa"/>
            <w:left w:w="108" w:type="dxa"/>
            <w:bottom w:w="0" w:type="dxa"/>
            <w:right w:w="108" w:type="dxa"/>
          </w:tblCellMar>
        </w:tblPrEx>
        <w:trPr>
          <w:trHeight w:val="285" w:hRule="atLeast"/>
        </w:trPr>
        <w:tc>
          <w:tcPr>
            <w:tcW w:w="2050" w:type="pct"/>
            <w:tcBorders>
              <w:top w:val="nil"/>
              <w:left w:val="single" w:color="auto" w:sz="4" w:space="0"/>
              <w:bottom w:val="single" w:color="auto" w:sz="4" w:space="0"/>
              <w:right w:val="single" w:color="auto" w:sz="4" w:space="0"/>
            </w:tcBorders>
            <w:noWrap/>
            <w:vAlign w:val="bottom"/>
          </w:tcPr>
          <w:p w14:paraId="1C406D3B">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林地生态系统</w:t>
            </w:r>
          </w:p>
        </w:tc>
        <w:tc>
          <w:tcPr>
            <w:tcW w:w="1475" w:type="pct"/>
            <w:tcBorders>
              <w:top w:val="nil"/>
              <w:left w:val="nil"/>
              <w:bottom w:val="single" w:color="auto" w:sz="4" w:space="0"/>
              <w:right w:val="single" w:color="auto" w:sz="4" w:space="0"/>
            </w:tcBorders>
            <w:noWrap/>
          </w:tcPr>
          <w:p w14:paraId="6EAB3225">
            <w:pPr>
              <w:widowControl/>
              <w:spacing w:line="240" w:lineRule="auto"/>
              <w:ind w:firstLine="0" w:firstLineChars="0"/>
              <w:jc w:val="center"/>
              <w:rPr>
                <w:rFonts w:cs="Times New Roman"/>
                <w:color w:val="000000"/>
                <w:kern w:val="0"/>
                <w:sz w:val="21"/>
                <w:szCs w:val="21"/>
                <w14:ligatures w14:val="none"/>
              </w:rPr>
            </w:pPr>
            <w:r>
              <w:rPr>
                <w:rFonts w:hint="eastAsia"/>
                <w:sz w:val="21"/>
                <w:szCs w:val="21"/>
              </w:rPr>
              <w:t>61.92</w:t>
            </w:r>
          </w:p>
        </w:tc>
        <w:tc>
          <w:tcPr>
            <w:tcW w:w="2514" w:type="dxa"/>
            <w:tcBorders>
              <w:top w:val="nil"/>
              <w:left w:val="nil"/>
              <w:bottom w:val="single" w:color="auto" w:sz="4" w:space="0"/>
              <w:right w:val="single" w:color="auto" w:sz="4" w:space="0"/>
            </w:tcBorders>
            <w:noWrap/>
            <w:vAlign w:val="center"/>
          </w:tcPr>
          <w:p w14:paraId="38AF9ABF">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56.60</w:t>
            </w:r>
          </w:p>
        </w:tc>
      </w:tr>
      <w:tr w14:paraId="352A7759">
        <w:tblPrEx>
          <w:tblCellMar>
            <w:top w:w="0" w:type="dxa"/>
            <w:left w:w="108" w:type="dxa"/>
            <w:bottom w:w="0" w:type="dxa"/>
            <w:right w:w="108" w:type="dxa"/>
          </w:tblCellMar>
        </w:tblPrEx>
        <w:trPr>
          <w:trHeight w:val="285" w:hRule="atLeast"/>
        </w:trPr>
        <w:tc>
          <w:tcPr>
            <w:tcW w:w="2050" w:type="pct"/>
            <w:tcBorders>
              <w:top w:val="nil"/>
              <w:left w:val="single" w:color="auto" w:sz="4" w:space="0"/>
              <w:bottom w:val="single" w:color="auto" w:sz="4" w:space="0"/>
              <w:right w:val="single" w:color="auto" w:sz="4" w:space="0"/>
            </w:tcBorders>
            <w:noWrap/>
            <w:vAlign w:val="bottom"/>
          </w:tcPr>
          <w:p w14:paraId="2B417DAE">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农田生态系统</w:t>
            </w:r>
          </w:p>
        </w:tc>
        <w:tc>
          <w:tcPr>
            <w:tcW w:w="1475" w:type="pct"/>
            <w:tcBorders>
              <w:top w:val="nil"/>
              <w:left w:val="nil"/>
              <w:bottom w:val="single" w:color="auto" w:sz="4" w:space="0"/>
              <w:right w:val="single" w:color="auto" w:sz="4" w:space="0"/>
            </w:tcBorders>
            <w:noWrap/>
            <w:vAlign w:val="bottom"/>
          </w:tcPr>
          <w:p w14:paraId="0A7F3709">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23.97</w:t>
            </w:r>
          </w:p>
        </w:tc>
        <w:tc>
          <w:tcPr>
            <w:tcW w:w="2514" w:type="dxa"/>
            <w:tcBorders>
              <w:top w:val="nil"/>
              <w:left w:val="nil"/>
              <w:bottom w:val="single" w:color="auto" w:sz="4" w:space="0"/>
              <w:right w:val="single" w:color="auto" w:sz="4" w:space="0"/>
            </w:tcBorders>
            <w:noWrap/>
            <w:vAlign w:val="center"/>
          </w:tcPr>
          <w:p w14:paraId="4D6EF7EF">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21.91</w:t>
            </w:r>
          </w:p>
        </w:tc>
      </w:tr>
      <w:tr w14:paraId="2D5F3F92">
        <w:tblPrEx>
          <w:tblCellMar>
            <w:top w:w="0" w:type="dxa"/>
            <w:left w:w="108" w:type="dxa"/>
            <w:bottom w:w="0" w:type="dxa"/>
            <w:right w:w="108" w:type="dxa"/>
          </w:tblCellMar>
        </w:tblPrEx>
        <w:trPr>
          <w:trHeight w:val="285" w:hRule="atLeast"/>
        </w:trPr>
        <w:tc>
          <w:tcPr>
            <w:tcW w:w="2050" w:type="pct"/>
            <w:tcBorders>
              <w:top w:val="nil"/>
              <w:left w:val="single" w:color="auto" w:sz="4" w:space="0"/>
              <w:bottom w:val="single" w:color="auto" w:sz="4" w:space="0"/>
              <w:right w:val="single" w:color="auto" w:sz="4" w:space="0"/>
            </w:tcBorders>
            <w:noWrap/>
            <w:vAlign w:val="bottom"/>
          </w:tcPr>
          <w:p w14:paraId="39315DE9">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湿地生态系统</w:t>
            </w:r>
          </w:p>
        </w:tc>
        <w:tc>
          <w:tcPr>
            <w:tcW w:w="1475" w:type="pct"/>
            <w:tcBorders>
              <w:top w:val="nil"/>
              <w:left w:val="nil"/>
              <w:bottom w:val="single" w:color="auto" w:sz="4" w:space="0"/>
              <w:right w:val="single" w:color="auto" w:sz="4" w:space="0"/>
            </w:tcBorders>
            <w:noWrap/>
            <w:vAlign w:val="bottom"/>
          </w:tcPr>
          <w:p w14:paraId="35EC7F8C">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11.79</w:t>
            </w:r>
          </w:p>
        </w:tc>
        <w:tc>
          <w:tcPr>
            <w:tcW w:w="2514" w:type="dxa"/>
            <w:tcBorders>
              <w:top w:val="nil"/>
              <w:left w:val="nil"/>
              <w:bottom w:val="single" w:color="auto" w:sz="4" w:space="0"/>
              <w:right w:val="single" w:color="auto" w:sz="4" w:space="0"/>
            </w:tcBorders>
            <w:noWrap/>
            <w:vAlign w:val="center"/>
          </w:tcPr>
          <w:p w14:paraId="4CE5F7C6">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10.78</w:t>
            </w:r>
          </w:p>
        </w:tc>
      </w:tr>
      <w:tr w14:paraId="0739FCA1">
        <w:tblPrEx>
          <w:tblCellMar>
            <w:top w:w="0" w:type="dxa"/>
            <w:left w:w="108" w:type="dxa"/>
            <w:bottom w:w="0" w:type="dxa"/>
            <w:right w:w="108" w:type="dxa"/>
          </w:tblCellMar>
        </w:tblPrEx>
        <w:trPr>
          <w:trHeight w:val="285" w:hRule="atLeast"/>
        </w:trPr>
        <w:tc>
          <w:tcPr>
            <w:tcW w:w="2050" w:type="pct"/>
            <w:tcBorders>
              <w:top w:val="nil"/>
              <w:left w:val="single" w:color="auto" w:sz="4" w:space="0"/>
              <w:bottom w:val="single" w:color="auto" w:sz="4" w:space="0"/>
              <w:right w:val="single" w:color="auto" w:sz="4" w:space="0"/>
            </w:tcBorders>
            <w:noWrap/>
            <w:vAlign w:val="bottom"/>
          </w:tcPr>
          <w:p w14:paraId="3A16994F">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农村生态系统</w:t>
            </w:r>
          </w:p>
        </w:tc>
        <w:tc>
          <w:tcPr>
            <w:tcW w:w="1475" w:type="pct"/>
            <w:tcBorders>
              <w:top w:val="nil"/>
              <w:left w:val="nil"/>
              <w:bottom w:val="single" w:color="auto" w:sz="4" w:space="0"/>
              <w:right w:val="single" w:color="auto" w:sz="4" w:space="0"/>
            </w:tcBorders>
            <w:noWrap/>
            <w:vAlign w:val="bottom"/>
          </w:tcPr>
          <w:p w14:paraId="10043A4D">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6.59</w:t>
            </w:r>
          </w:p>
        </w:tc>
        <w:tc>
          <w:tcPr>
            <w:tcW w:w="2514" w:type="dxa"/>
            <w:tcBorders>
              <w:top w:val="nil"/>
              <w:left w:val="nil"/>
              <w:bottom w:val="single" w:color="auto" w:sz="4" w:space="0"/>
              <w:right w:val="single" w:color="auto" w:sz="4" w:space="0"/>
            </w:tcBorders>
            <w:noWrap/>
            <w:vAlign w:val="center"/>
          </w:tcPr>
          <w:p w14:paraId="0D3D6435">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6.02</w:t>
            </w:r>
          </w:p>
        </w:tc>
      </w:tr>
      <w:tr w14:paraId="2F475B8E">
        <w:tblPrEx>
          <w:tblCellMar>
            <w:top w:w="0" w:type="dxa"/>
            <w:left w:w="108" w:type="dxa"/>
            <w:bottom w:w="0" w:type="dxa"/>
            <w:right w:w="108" w:type="dxa"/>
          </w:tblCellMar>
        </w:tblPrEx>
        <w:trPr>
          <w:trHeight w:val="285" w:hRule="atLeast"/>
        </w:trPr>
        <w:tc>
          <w:tcPr>
            <w:tcW w:w="2050" w:type="pct"/>
            <w:tcBorders>
              <w:top w:val="nil"/>
              <w:left w:val="single" w:color="auto" w:sz="4" w:space="0"/>
              <w:bottom w:val="single" w:color="auto" w:sz="4" w:space="0"/>
              <w:right w:val="single" w:color="auto" w:sz="4" w:space="0"/>
            </w:tcBorders>
            <w:noWrap/>
            <w:vAlign w:val="bottom"/>
          </w:tcPr>
          <w:p w14:paraId="569D68E1">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其它</w:t>
            </w:r>
          </w:p>
        </w:tc>
        <w:tc>
          <w:tcPr>
            <w:tcW w:w="1475" w:type="pct"/>
            <w:tcBorders>
              <w:top w:val="nil"/>
              <w:left w:val="nil"/>
              <w:bottom w:val="single" w:color="auto" w:sz="4" w:space="0"/>
              <w:right w:val="single" w:color="auto" w:sz="4" w:space="0"/>
            </w:tcBorders>
            <w:noWrap/>
            <w:vAlign w:val="bottom"/>
          </w:tcPr>
          <w:p w14:paraId="6FCD6903">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5.13</w:t>
            </w:r>
          </w:p>
        </w:tc>
        <w:tc>
          <w:tcPr>
            <w:tcW w:w="2514" w:type="dxa"/>
            <w:tcBorders>
              <w:top w:val="nil"/>
              <w:left w:val="nil"/>
              <w:bottom w:val="single" w:color="auto" w:sz="4" w:space="0"/>
              <w:right w:val="single" w:color="auto" w:sz="4" w:space="0"/>
            </w:tcBorders>
            <w:noWrap/>
            <w:vAlign w:val="center"/>
          </w:tcPr>
          <w:p w14:paraId="364279CC">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4.69</w:t>
            </w:r>
          </w:p>
        </w:tc>
      </w:tr>
      <w:tr w14:paraId="743FA784">
        <w:tblPrEx>
          <w:tblCellMar>
            <w:top w:w="0" w:type="dxa"/>
            <w:left w:w="108" w:type="dxa"/>
            <w:bottom w:w="0" w:type="dxa"/>
            <w:right w:w="108" w:type="dxa"/>
          </w:tblCellMar>
        </w:tblPrEx>
        <w:trPr>
          <w:trHeight w:val="285" w:hRule="atLeast"/>
        </w:trPr>
        <w:tc>
          <w:tcPr>
            <w:tcW w:w="2050" w:type="pct"/>
            <w:tcBorders>
              <w:top w:val="nil"/>
              <w:left w:val="single" w:color="auto" w:sz="4" w:space="0"/>
              <w:bottom w:val="single" w:color="auto" w:sz="4" w:space="0"/>
              <w:right w:val="single" w:color="auto" w:sz="4" w:space="0"/>
            </w:tcBorders>
            <w:noWrap/>
            <w:vAlign w:val="bottom"/>
          </w:tcPr>
          <w:p w14:paraId="5F902542">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合计</w:t>
            </w:r>
          </w:p>
        </w:tc>
        <w:tc>
          <w:tcPr>
            <w:tcW w:w="1475" w:type="pct"/>
            <w:tcBorders>
              <w:top w:val="nil"/>
              <w:left w:val="nil"/>
              <w:bottom w:val="single" w:color="auto" w:sz="4" w:space="0"/>
              <w:right w:val="single" w:color="auto" w:sz="4" w:space="0"/>
            </w:tcBorders>
            <w:noWrap/>
            <w:vAlign w:val="bottom"/>
          </w:tcPr>
          <w:p w14:paraId="37F24A8A">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109.4</w:t>
            </w:r>
          </w:p>
        </w:tc>
        <w:tc>
          <w:tcPr>
            <w:tcW w:w="1475" w:type="pct"/>
            <w:tcBorders>
              <w:top w:val="nil"/>
              <w:left w:val="nil"/>
              <w:bottom w:val="single" w:color="auto" w:sz="4" w:space="0"/>
              <w:right w:val="single" w:color="auto" w:sz="4" w:space="0"/>
            </w:tcBorders>
            <w:noWrap/>
            <w:vAlign w:val="bottom"/>
          </w:tcPr>
          <w:p w14:paraId="652269BF">
            <w:pPr>
              <w:widowControl/>
              <w:spacing w:line="240" w:lineRule="auto"/>
              <w:ind w:firstLine="0" w:firstLineChars="0"/>
              <w:jc w:val="center"/>
              <w:rPr>
                <w:rFonts w:cs="Times New Roman"/>
                <w:color w:val="000000"/>
                <w:kern w:val="0"/>
                <w:sz w:val="22"/>
                <w14:ligatures w14:val="none"/>
              </w:rPr>
            </w:pPr>
            <w:r>
              <w:rPr>
                <w:rFonts w:hint="eastAsia" w:cs="Times New Roman"/>
                <w:color w:val="000000"/>
                <w:kern w:val="0"/>
                <w:sz w:val="22"/>
                <w14:ligatures w14:val="none"/>
              </w:rPr>
              <w:t>100</w:t>
            </w:r>
          </w:p>
        </w:tc>
      </w:tr>
    </w:tbl>
    <w:p w14:paraId="490A58B5">
      <w:pPr>
        <w:ind w:firstLine="0" w:firstLineChars="0"/>
        <w:outlineLvl w:val="3"/>
      </w:pPr>
      <w:r>
        <w:t>3</w:t>
      </w:r>
      <w:r>
        <w:rPr>
          <w:rFonts w:hint="eastAsia"/>
        </w:rPr>
        <w:t>.</w:t>
      </w:r>
      <w:r>
        <w:t>6</w:t>
      </w:r>
      <w:r>
        <w:rPr>
          <w:rFonts w:hint="eastAsia"/>
        </w:rPr>
        <w:t>.</w:t>
      </w:r>
      <w:r>
        <w:t>1</w:t>
      </w:r>
      <w:r>
        <w:rPr>
          <w:rFonts w:hint="eastAsia"/>
        </w:rPr>
        <w:t>.</w:t>
      </w:r>
      <w:r>
        <w:t>1</w:t>
      </w:r>
      <w:r>
        <w:rPr>
          <w:rFonts w:hint="eastAsia"/>
        </w:rPr>
        <w:t>林地生态系统现状</w:t>
      </w:r>
    </w:p>
    <w:p w14:paraId="2CF9E502">
      <w:pPr>
        <w:ind w:firstLine="480"/>
      </w:pPr>
      <w:r>
        <w:rPr>
          <w:rFonts w:hint="eastAsia"/>
        </w:rPr>
        <w:t>生态评价区域内林地生态系统占比最大，占地约61.92平方公里，主要包括乔木林地、竹林地、灌木林地、其他林地和草地，该区域动植物种类繁多，群落结构复杂，为两栖爬行类、鸟类及其他哺乳动物提供了重要的栖息场所，在涵养水源、调节气候等方面也起着至关重要的作用。</w:t>
      </w:r>
    </w:p>
    <w:p w14:paraId="09D33B9F">
      <w:pPr>
        <w:ind w:firstLine="0" w:firstLineChars="0"/>
        <w:outlineLvl w:val="3"/>
      </w:pPr>
      <w:r>
        <w:t>3</w:t>
      </w:r>
      <w:r>
        <w:rPr>
          <w:rFonts w:hint="eastAsia"/>
        </w:rPr>
        <w:t>.</w:t>
      </w:r>
      <w:r>
        <w:t>6</w:t>
      </w:r>
      <w:r>
        <w:rPr>
          <w:rFonts w:hint="eastAsia"/>
        </w:rPr>
        <w:t>.</w:t>
      </w:r>
      <w:r>
        <w:t>1</w:t>
      </w:r>
      <w:r>
        <w:rPr>
          <w:rFonts w:hint="eastAsia"/>
        </w:rPr>
        <w:t>.</w:t>
      </w:r>
      <w:r>
        <w:t>2</w:t>
      </w:r>
      <w:r>
        <w:rPr>
          <w:rFonts w:hint="eastAsia"/>
        </w:rPr>
        <w:t>农田生态系统</w:t>
      </w:r>
    </w:p>
    <w:p w14:paraId="07A2F797">
      <w:pPr>
        <w:ind w:firstLine="480"/>
      </w:pPr>
      <w:r>
        <w:rPr>
          <w:rFonts w:hint="eastAsia"/>
        </w:rPr>
        <w:t>生态评价区域内农田生态系统占地约23.97平方公里，主要包括区域内的耕地、园地以及设施农用地，区域受人为活动影响程度较高。该系统中的生物群落结构简单，优势群落往往只有一种或数种作物；养分循环主要靠系统外投入而保持平衡。</w:t>
      </w:r>
    </w:p>
    <w:p w14:paraId="12011182">
      <w:pPr>
        <w:ind w:firstLine="0" w:firstLineChars="0"/>
        <w:outlineLvl w:val="3"/>
      </w:pPr>
      <w:r>
        <w:t>3</w:t>
      </w:r>
      <w:r>
        <w:rPr>
          <w:rFonts w:hint="eastAsia"/>
        </w:rPr>
        <w:t>.</w:t>
      </w:r>
      <w:r>
        <w:t>6</w:t>
      </w:r>
      <w:r>
        <w:rPr>
          <w:rFonts w:hint="eastAsia"/>
        </w:rPr>
        <w:t>.</w:t>
      </w:r>
      <w:r>
        <w:t>1</w:t>
      </w:r>
      <w:r>
        <w:rPr>
          <w:rFonts w:hint="eastAsia"/>
        </w:rPr>
        <w:t>.</w:t>
      </w:r>
      <w:r>
        <w:t>3</w:t>
      </w:r>
      <w:r>
        <w:rPr>
          <w:rFonts w:hint="eastAsia"/>
        </w:rPr>
        <w:t>湿地生态系统</w:t>
      </w:r>
    </w:p>
    <w:p w14:paraId="4E095DCD">
      <w:pPr>
        <w:ind w:firstLine="480"/>
      </w:pPr>
      <w:r>
        <w:rPr>
          <w:rFonts w:hint="eastAsia"/>
        </w:rPr>
        <w:t>生态评价区域内湿地生态系统占地约11.79平方公里，主要包括茅东水库、新浮水库、东进水库、海底水库、接山墩水库、阴山坎水库、方山水库、建国水库、白石里水库等大大小小十余个水库，以及薛埠河、海底溢洪河、东进溢洪河、新浮溢洪河、茅东溢洪河、青龙溢洪河、瓦沟溢洪河、山蓬河、赤岗河等分浜支流和周边湿地。生态评价区域内的湿地生态系统在蓄洪抗旱、调节气候、改善水质等方面发挥着重要作用，同时也为众多的野生动植物，特别是水禽繁殖和越冬提供了重要的栖息场所。</w:t>
      </w:r>
    </w:p>
    <w:p w14:paraId="58605671">
      <w:pPr>
        <w:ind w:firstLine="0" w:firstLineChars="0"/>
        <w:outlineLvl w:val="3"/>
      </w:pPr>
      <w:r>
        <w:t>3</w:t>
      </w:r>
      <w:r>
        <w:rPr>
          <w:rFonts w:hint="eastAsia"/>
        </w:rPr>
        <w:t>.</w:t>
      </w:r>
      <w:r>
        <w:t>6</w:t>
      </w:r>
      <w:r>
        <w:rPr>
          <w:rFonts w:hint="eastAsia"/>
        </w:rPr>
        <w:t>.</w:t>
      </w:r>
      <w:r>
        <w:t>1</w:t>
      </w:r>
      <w:r>
        <w:rPr>
          <w:rFonts w:hint="eastAsia"/>
        </w:rPr>
        <w:t>.</w:t>
      </w:r>
      <w:r>
        <w:t>4</w:t>
      </w:r>
      <w:r>
        <w:rPr>
          <w:rFonts w:hint="eastAsia"/>
        </w:rPr>
        <w:t>农村生态系统</w:t>
      </w:r>
    </w:p>
    <w:p w14:paraId="02E10625">
      <w:pPr>
        <w:ind w:firstLine="480"/>
      </w:pPr>
      <w:r>
        <w:rPr>
          <w:rFonts w:hint="eastAsia"/>
        </w:rPr>
        <w:t>生态评价区域内农村生态系统占地约6.59平方公里，主要包括村庄建设用地、道路交通用地、公用设施用地、绿地与广场用地等，主要分布于生态评价区域中部。评价区域内土地开发程度较高，人口密度高，城市植物主要是公园绿地和道路、居住、单位附属绿地中的园林植物，动物群落主要由一些小型哺乳动物、麻雀、喜鹊等伴人鸟类组成。</w:t>
      </w:r>
    </w:p>
    <w:p w14:paraId="0DB56BCC">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3.6.2</w:t>
      </w:r>
      <w:r>
        <w:rPr>
          <w:rFonts w:hint="eastAsia" w:eastAsia="方正楷体_GBK" w:cs="Times New Roman"/>
          <w:b/>
          <w:bCs/>
          <w:szCs w:val="28"/>
          <w14:ligatures w14:val="none"/>
        </w:rPr>
        <w:t>生物多样性本底情况</w:t>
      </w:r>
    </w:p>
    <w:p w14:paraId="03F526FD">
      <w:pPr>
        <w:ind w:firstLine="480"/>
      </w:pPr>
      <w:r>
        <w:rPr>
          <w:rFonts w:hint="eastAsia"/>
        </w:rPr>
        <w:t>根据2019年常州市金坛区生物多样性本底调查结果，度假区内重点区域生物多样性状况良好，维管束植物、陆生脊椎动物、陆生昆虫本底情况如下。</w:t>
      </w:r>
    </w:p>
    <w:p w14:paraId="6EE57307">
      <w:pPr>
        <w:ind w:firstLine="0" w:firstLineChars="0"/>
        <w:outlineLvl w:val="3"/>
      </w:pPr>
      <w:r>
        <w:t>3</w:t>
      </w:r>
      <w:r>
        <w:rPr>
          <w:rFonts w:hint="eastAsia"/>
        </w:rPr>
        <w:t>.</w:t>
      </w:r>
      <w:r>
        <w:t>6</w:t>
      </w:r>
      <w:r>
        <w:rPr>
          <w:rFonts w:hint="eastAsia"/>
        </w:rPr>
        <w:t>.</w:t>
      </w:r>
      <w:r>
        <w:t>2</w:t>
      </w:r>
      <w:r>
        <w:rPr>
          <w:rFonts w:hint="eastAsia"/>
        </w:rPr>
        <w:t>.</w:t>
      </w:r>
      <w:r>
        <w:t>1</w:t>
      </w:r>
      <w:r>
        <w:rPr>
          <w:rFonts w:hint="eastAsia"/>
        </w:rPr>
        <w:t>维管束植物</w:t>
      </w:r>
    </w:p>
    <w:p w14:paraId="737AB971">
      <w:pPr>
        <w:ind w:firstLine="480"/>
      </w:pPr>
      <w:r>
        <w:rPr>
          <w:rFonts w:hint="eastAsia"/>
        </w:rPr>
        <w:t>2019年常州市金坛区生物多样性本底调查中涉及茅山度假区内陆生维管束植物调查情况汇总见下表。</w:t>
      </w:r>
    </w:p>
    <w:p w14:paraId="62FE8EAF">
      <w:pPr>
        <w:pStyle w:val="45"/>
        <w:rPr>
          <w:rFonts w:cs="Times New Roman"/>
        </w:rPr>
        <w:sectPr>
          <w:pgSz w:w="11906" w:h="16838"/>
          <w:pgMar w:top="1440" w:right="1800" w:bottom="1440" w:left="1800" w:header="851" w:footer="992" w:gutter="0"/>
          <w:cols w:space="425" w:num="1"/>
          <w:docGrid w:type="lines" w:linePitch="312" w:charSpace="0"/>
        </w:sectPr>
      </w:pPr>
    </w:p>
    <w:p w14:paraId="46292574">
      <w:pPr>
        <w:pStyle w:val="45"/>
        <w:rPr>
          <w:rFonts w:cs="Times New Roman"/>
        </w:rPr>
      </w:pPr>
      <w:r>
        <w:rPr>
          <w:rFonts w:hint="eastAsia" w:cs="Times New Roman"/>
        </w:rPr>
        <w:t>表3.</w:t>
      </w:r>
      <w:r>
        <w:rPr>
          <w:rFonts w:cs="Times New Roman"/>
        </w:rPr>
        <w:t>6</w:t>
      </w:r>
      <w:r>
        <w:rPr>
          <w:rFonts w:hint="eastAsia" w:cs="Times New Roman"/>
        </w:rPr>
        <w:t>-</w:t>
      </w:r>
      <w:r>
        <w:rPr>
          <w:rFonts w:cs="Times New Roman"/>
        </w:rPr>
        <w:t>2</w:t>
      </w:r>
      <w:r>
        <w:rPr>
          <w:rFonts w:hint="eastAsia" w:cs="Times New Roman"/>
        </w:rPr>
        <w:t xml:space="preserve"> </w:t>
      </w:r>
      <w:r>
        <w:rPr>
          <w:rFonts w:cs="Times New Roman"/>
        </w:rPr>
        <w:t xml:space="preserve"> </w:t>
      </w:r>
      <w:r>
        <w:rPr>
          <w:rFonts w:hint="eastAsia" w:cs="Times New Roman"/>
        </w:rPr>
        <w:t>度假区内陆生维管束植物统计表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2"/>
        <w:gridCol w:w="1710"/>
        <w:gridCol w:w="1285"/>
        <w:gridCol w:w="1285"/>
      </w:tblGrid>
      <w:tr w14:paraId="3A455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489" w:type="pct"/>
            <w:vAlign w:val="center"/>
          </w:tcPr>
          <w:p w14:paraId="338EA14B">
            <w:pPr>
              <w:spacing w:line="240" w:lineRule="auto"/>
              <w:ind w:firstLine="0" w:firstLineChars="0"/>
              <w:jc w:val="center"/>
              <w:rPr>
                <w:b/>
                <w:sz w:val="21"/>
              </w:rPr>
            </w:pPr>
            <w:r>
              <w:rPr>
                <w:rFonts w:hint="eastAsia"/>
                <w:b/>
                <w:sz w:val="21"/>
              </w:rPr>
              <w:t>地点</w:t>
            </w:r>
          </w:p>
        </w:tc>
        <w:tc>
          <w:tcPr>
            <w:tcW w:w="1003" w:type="pct"/>
            <w:vAlign w:val="center"/>
          </w:tcPr>
          <w:p w14:paraId="01CE7F09">
            <w:pPr>
              <w:spacing w:line="240" w:lineRule="auto"/>
              <w:ind w:firstLine="0" w:firstLineChars="0"/>
              <w:jc w:val="center"/>
              <w:rPr>
                <w:b/>
                <w:sz w:val="21"/>
              </w:rPr>
            </w:pPr>
            <w:r>
              <w:rPr>
                <w:rFonts w:hint="eastAsia"/>
                <w:b/>
                <w:sz w:val="21"/>
              </w:rPr>
              <w:t>物种数</w:t>
            </w:r>
          </w:p>
        </w:tc>
        <w:tc>
          <w:tcPr>
            <w:tcW w:w="754" w:type="pct"/>
            <w:vAlign w:val="center"/>
          </w:tcPr>
          <w:p w14:paraId="69EC2601">
            <w:pPr>
              <w:spacing w:line="240" w:lineRule="auto"/>
              <w:ind w:firstLine="0" w:firstLineChars="0"/>
              <w:jc w:val="center"/>
              <w:rPr>
                <w:b/>
                <w:sz w:val="21"/>
              </w:rPr>
            </w:pPr>
            <w:r>
              <w:rPr>
                <w:rFonts w:hint="eastAsia"/>
                <w:b/>
                <w:sz w:val="21"/>
              </w:rPr>
              <w:t>科数</w:t>
            </w:r>
          </w:p>
        </w:tc>
        <w:tc>
          <w:tcPr>
            <w:tcW w:w="754" w:type="pct"/>
            <w:vAlign w:val="center"/>
          </w:tcPr>
          <w:p w14:paraId="237AD4E0">
            <w:pPr>
              <w:spacing w:line="240" w:lineRule="auto"/>
              <w:ind w:firstLine="0" w:firstLineChars="0"/>
              <w:jc w:val="center"/>
              <w:rPr>
                <w:b/>
                <w:sz w:val="21"/>
              </w:rPr>
            </w:pPr>
            <w:r>
              <w:rPr>
                <w:rFonts w:hint="eastAsia"/>
                <w:b/>
                <w:sz w:val="21"/>
              </w:rPr>
              <w:t>属数</w:t>
            </w:r>
          </w:p>
        </w:tc>
      </w:tr>
      <w:tr w14:paraId="18387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89" w:type="pct"/>
            <w:vAlign w:val="center"/>
          </w:tcPr>
          <w:p w14:paraId="12362045">
            <w:pPr>
              <w:spacing w:line="240" w:lineRule="auto"/>
              <w:ind w:firstLine="0" w:firstLineChars="0"/>
              <w:jc w:val="center"/>
              <w:rPr>
                <w:sz w:val="21"/>
              </w:rPr>
            </w:pPr>
            <w:r>
              <w:rPr>
                <w:rFonts w:hint="eastAsia"/>
                <w:sz w:val="21"/>
              </w:rPr>
              <w:t>向阳水库水源涵养区</w:t>
            </w:r>
          </w:p>
        </w:tc>
        <w:tc>
          <w:tcPr>
            <w:tcW w:w="1003" w:type="pct"/>
            <w:vAlign w:val="center"/>
          </w:tcPr>
          <w:p w14:paraId="4180C119">
            <w:pPr>
              <w:spacing w:line="240" w:lineRule="auto"/>
              <w:ind w:firstLine="0" w:firstLineChars="0"/>
              <w:jc w:val="center"/>
              <w:rPr>
                <w:sz w:val="21"/>
              </w:rPr>
            </w:pPr>
            <w:r>
              <w:rPr>
                <w:rFonts w:hint="eastAsia"/>
                <w:sz w:val="21"/>
              </w:rPr>
              <w:t>107</w:t>
            </w:r>
          </w:p>
        </w:tc>
        <w:tc>
          <w:tcPr>
            <w:tcW w:w="754" w:type="pct"/>
            <w:vAlign w:val="center"/>
          </w:tcPr>
          <w:p w14:paraId="037CA13F">
            <w:pPr>
              <w:spacing w:line="240" w:lineRule="auto"/>
              <w:ind w:firstLine="0" w:firstLineChars="0"/>
              <w:jc w:val="center"/>
              <w:rPr>
                <w:sz w:val="21"/>
              </w:rPr>
            </w:pPr>
            <w:r>
              <w:rPr>
                <w:rFonts w:hint="eastAsia"/>
                <w:sz w:val="21"/>
              </w:rPr>
              <w:t>36</w:t>
            </w:r>
          </w:p>
        </w:tc>
        <w:tc>
          <w:tcPr>
            <w:tcW w:w="754" w:type="pct"/>
            <w:vAlign w:val="center"/>
          </w:tcPr>
          <w:p w14:paraId="5F429419">
            <w:pPr>
              <w:spacing w:line="240" w:lineRule="auto"/>
              <w:ind w:firstLine="0" w:firstLineChars="0"/>
              <w:jc w:val="center"/>
              <w:rPr>
                <w:sz w:val="21"/>
              </w:rPr>
            </w:pPr>
            <w:r>
              <w:rPr>
                <w:rFonts w:hint="eastAsia"/>
                <w:sz w:val="21"/>
              </w:rPr>
              <w:t>91</w:t>
            </w:r>
          </w:p>
        </w:tc>
      </w:tr>
      <w:tr w14:paraId="74687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89" w:type="pct"/>
            <w:vAlign w:val="center"/>
          </w:tcPr>
          <w:p w14:paraId="48FAB13F">
            <w:pPr>
              <w:spacing w:line="240" w:lineRule="auto"/>
              <w:ind w:firstLine="0" w:firstLineChars="0"/>
              <w:jc w:val="center"/>
              <w:rPr>
                <w:sz w:val="21"/>
              </w:rPr>
            </w:pPr>
            <w:r>
              <w:rPr>
                <w:rFonts w:hint="eastAsia"/>
                <w:sz w:val="21"/>
              </w:rPr>
              <w:t>茅东山地水源涵养区</w:t>
            </w:r>
          </w:p>
        </w:tc>
        <w:tc>
          <w:tcPr>
            <w:tcW w:w="1003" w:type="pct"/>
            <w:vAlign w:val="center"/>
          </w:tcPr>
          <w:p w14:paraId="546E9687">
            <w:pPr>
              <w:spacing w:line="240" w:lineRule="auto"/>
              <w:ind w:firstLine="0" w:firstLineChars="0"/>
              <w:jc w:val="center"/>
              <w:rPr>
                <w:sz w:val="21"/>
              </w:rPr>
            </w:pPr>
            <w:r>
              <w:rPr>
                <w:rFonts w:hint="eastAsia"/>
                <w:sz w:val="21"/>
              </w:rPr>
              <w:t>111</w:t>
            </w:r>
          </w:p>
        </w:tc>
        <w:tc>
          <w:tcPr>
            <w:tcW w:w="754" w:type="pct"/>
            <w:vAlign w:val="center"/>
          </w:tcPr>
          <w:p w14:paraId="31918E50">
            <w:pPr>
              <w:spacing w:line="240" w:lineRule="auto"/>
              <w:ind w:firstLine="0" w:firstLineChars="0"/>
              <w:jc w:val="center"/>
              <w:rPr>
                <w:sz w:val="21"/>
              </w:rPr>
            </w:pPr>
            <w:r>
              <w:rPr>
                <w:rFonts w:hint="eastAsia"/>
                <w:sz w:val="21"/>
              </w:rPr>
              <w:t>43</w:t>
            </w:r>
          </w:p>
        </w:tc>
        <w:tc>
          <w:tcPr>
            <w:tcW w:w="754" w:type="pct"/>
            <w:vAlign w:val="center"/>
          </w:tcPr>
          <w:p w14:paraId="380D61AA">
            <w:pPr>
              <w:spacing w:line="240" w:lineRule="auto"/>
              <w:ind w:firstLine="0" w:firstLineChars="0"/>
              <w:jc w:val="center"/>
              <w:rPr>
                <w:sz w:val="21"/>
              </w:rPr>
            </w:pPr>
            <w:r>
              <w:rPr>
                <w:rFonts w:hint="eastAsia"/>
                <w:sz w:val="21"/>
              </w:rPr>
              <w:t>84</w:t>
            </w:r>
          </w:p>
        </w:tc>
      </w:tr>
      <w:tr w14:paraId="1AC51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89" w:type="pct"/>
            <w:vAlign w:val="center"/>
          </w:tcPr>
          <w:p w14:paraId="67DC8DA5">
            <w:pPr>
              <w:spacing w:line="240" w:lineRule="auto"/>
              <w:ind w:firstLine="0" w:firstLineChars="0"/>
              <w:jc w:val="center"/>
              <w:rPr>
                <w:sz w:val="21"/>
              </w:rPr>
            </w:pPr>
            <w:r>
              <w:rPr>
                <w:rFonts w:hint="eastAsia"/>
                <w:sz w:val="21"/>
              </w:rPr>
              <w:t>四棚洼生态公益林</w:t>
            </w:r>
          </w:p>
        </w:tc>
        <w:tc>
          <w:tcPr>
            <w:tcW w:w="1003" w:type="pct"/>
            <w:vAlign w:val="center"/>
          </w:tcPr>
          <w:p w14:paraId="1332D5C6">
            <w:pPr>
              <w:spacing w:line="240" w:lineRule="auto"/>
              <w:ind w:firstLine="0" w:firstLineChars="0"/>
              <w:jc w:val="center"/>
              <w:rPr>
                <w:sz w:val="21"/>
              </w:rPr>
            </w:pPr>
            <w:r>
              <w:rPr>
                <w:rFonts w:hint="eastAsia"/>
                <w:sz w:val="21"/>
              </w:rPr>
              <w:t>138</w:t>
            </w:r>
          </w:p>
        </w:tc>
        <w:tc>
          <w:tcPr>
            <w:tcW w:w="754" w:type="pct"/>
            <w:vAlign w:val="center"/>
          </w:tcPr>
          <w:p w14:paraId="203FD6D0">
            <w:pPr>
              <w:spacing w:line="240" w:lineRule="auto"/>
              <w:ind w:firstLine="0" w:firstLineChars="0"/>
              <w:jc w:val="center"/>
              <w:rPr>
                <w:sz w:val="21"/>
              </w:rPr>
            </w:pPr>
            <w:r>
              <w:rPr>
                <w:rFonts w:hint="eastAsia"/>
                <w:sz w:val="21"/>
              </w:rPr>
              <w:t>51</w:t>
            </w:r>
          </w:p>
        </w:tc>
        <w:tc>
          <w:tcPr>
            <w:tcW w:w="754" w:type="pct"/>
            <w:vAlign w:val="center"/>
          </w:tcPr>
          <w:p w14:paraId="4C20A0C9">
            <w:pPr>
              <w:spacing w:line="240" w:lineRule="auto"/>
              <w:ind w:firstLine="0" w:firstLineChars="0"/>
              <w:jc w:val="center"/>
              <w:rPr>
                <w:sz w:val="21"/>
              </w:rPr>
            </w:pPr>
            <w:r>
              <w:rPr>
                <w:rFonts w:hint="eastAsia"/>
                <w:sz w:val="21"/>
              </w:rPr>
              <w:t>108</w:t>
            </w:r>
          </w:p>
        </w:tc>
      </w:tr>
      <w:tr w14:paraId="32DA0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89" w:type="pct"/>
            <w:vAlign w:val="center"/>
          </w:tcPr>
          <w:p w14:paraId="1596EA43">
            <w:pPr>
              <w:spacing w:line="240" w:lineRule="auto"/>
              <w:ind w:firstLine="0" w:firstLineChars="0"/>
              <w:jc w:val="center"/>
              <w:rPr>
                <w:sz w:val="21"/>
              </w:rPr>
            </w:pPr>
            <w:r>
              <w:rPr>
                <w:rFonts w:hint="eastAsia"/>
                <w:sz w:val="21"/>
              </w:rPr>
              <w:t>方山森林公园</w:t>
            </w:r>
          </w:p>
        </w:tc>
        <w:tc>
          <w:tcPr>
            <w:tcW w:w="1003" w:type="pct"/>
            <w:vAlign w:val="center"/>
          </w:tcPr>
          <w:p w14:paraId="59A5C6EF">
            <w:pPr>
              <w:spacing w:line="240" w:lineRule="auto"/>
              <w:ind w:firstLine="0" w:firstLineChars="0"/>
              <w:jc w:val="center"/>
              <w:rPr>
                <w:sz w:val="21"/>
              </w:rPr>
            </w:pPr>
            <w:r>
              <w:rPr>
                <w:rFonts w:hint="eastAsia"/>
                <w:sz w:val="21"/>
              </w:rPr>
              <w:t>127</w:t>
            </w:r>
          </w:p>
        </w:tc>
        <w:tc>
          <w:tcPr>
            <w:tcW w:w="754" w:type="pct"/>
            <w:vAlign w:val="center"/>
          </w:tcPr>
          <w:p w14:paraId="47CD9A50">
            <w:pPr>
              <w:spacing w:line="240" w:lineRule="auto"/>
              <w:ind w:firstLine="0" w:firstLineChars="0"/>
              <w:jc w:val="center"/>
              <w:rPr>
                <w:sz w:val="21"/>
              </w:rPr>
            </w:pPr>
            <w:r>
              <w:rPr>
                <w:rFonts w:hint="eastAsia"/>
                <w:sz w:val="21"/>
              </w:rPr>
              <w:t>57</w:t>
            </w:r>
          </w:p>
        </w:tc>
        <w:tc>
          <w:tcPr>
            <w:tcW w:w="754" w:type="pct"/>
            <w:vAlign w:val="center"/>
          </w:tcPr>
          <w:p w14:paraId="35A5C096">
            <w:pPr>
              <w:spacing w:line="240" w:lineRule="auto"/>
              <w:ind w:firstLine="0" w:firstLineChars="0"/>
              <w:jc w:val="center"/>
              <w:rPr>
                <w:sz w:val="21"/>
              </w:rPr>
            </w:pPr>
            <w:r>
              <w:rPr>
                <w:rFonts w:hint="eastAsia"/>
                <w:sz w:val="21"/>
              </w:rPr>
              <w:t>99</w:t>
            </w:r>
          </w:p>
        </w:tc>
      </w:tr>
    </w:tbl>
    <w:p w14:paraId="7122EB61">
      <w:pPr>
        <w:ind w:firstLine="482"/>
        <w:rPr>
          <w:b/>
        </w:rPr>
      </w:pPr>
      <w:r>
        <w:rPr>
          <w:rFonts w:hint="eastAsia"/>
          <w:b/>
        </w:rPr>
        <w:t>（</w:t>
      </w:r>
      <w:r>
        <w:rPr>
          <w:b/>
        </w:rPr>
        <w:t>1</w:t>
      </w:r>
      <w:r>
        <w:rPr>
          <w:rFonts w:hint="eastAsia"/>
          <w:b/>
        </w:rPr>
        <w:t>）向阳水库水源涵养区</w:t>
      </w:r>
    </w:p>
    <w:p w14:paraId="63ACD99A">
      <w:pPr>
        <w:ind w:firstLine="480"/>
      </w:pPr>
      <w:r>
        <w:rPr>
          <w:rFonts w:hint="eastAsia"/>
        </w:rPr>
        <w:t>2</w:t>
      </w:r>
      <w:r>
        <w:t>019</w:t>
      </w:r>
      <w:r>
        <w:rPr>
          <w:rFonts w:hint="eastAsia"/>
        </w:rPr>
        <w:t>年生物多样性本底调查统计得到向阳水库陆生维管束植物合计36科91属107种，在调查数据的基础上，对调查区域内植物资源进行优势科（种数在4种以上的科属）分析，按科内种数排列依次为：菊科21种，禾本科14种，豆科11种，蔷薇科5种，桑科4种，唇形科4种。</w:t>
      </w:r>
    </w:p>
    <w:p w14:paraId="7924E267">
      <w:pPr>
        <w:ind w:firstLine="480"/>
      </w:pPr>
      <w:r>
        <w:rPr>
          <w:rFonts w:hint="eastAsia"/>
        </w:rPr>
        <w:t>所有维管束植物中，被子植物有107种，属36科91属，其中木兰纲植物32科75属90种，百合纲4科16属17种。</w:t>
      </w:r>
    </w:p>
    <w:p w14:paraId="170E741E">
      <w:pPr>
        <w:spacing w:line="240" w:lineRule="auto"/>
        <w:ind w:firstLine="0" w:firstLineChars="0"/>
        <w:jc w:val="center"/>
      </w:pPr>
      <w:r>
        <w:rPr>
          <w14:ligatures w14:val="none"/>
        </w:rPr>
        <w:drawing>
          <wp:inline distT="0" distB="0" distL="0" distR="0">
            <wp:extent cx="4572000" cy="2699385"/>
            <wp:effectExtent l="0" t="0" r="0" b="5715"/>
            <wp:docPr id="11"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0896F8D">
      <w:pPr>
        <w:pStyle w:val="45"/>
        <w:rPr>
          <w:rFonts w:cs="Times New Roman"/>
        </w:rPr>
      </w:pPr>
      <w:r>
        <w:rPr>
          <w:rFonts w:hint="eastAsia" w:cs="Times New Roman"/>
        </w:rPr>
        <w:t>图3.</w:t>
      </w:r>
      <w:r>
        <w:rPr>
          <w:rFonts w:cs="Times New Roman"/>
        </w:rPr>
        <w:t>6</w:t>
      </w:r>
      <w:r>
        <w:rPr>
          <w:rFonts w:hint="eastAsia" w:cs="Times New Roman"/>
        </w:rPr>
        <w:t>-</w:t>
      </w:r>
      <w:r>
        <w:rPr>
          <w:rFonts w:cs="Times New Roman"/>
        </w:rPr>
        <w:t>1</w:t>
      </w:r>
      <w:r>
        <w:rPr>
          <w:rFonts w:hint="eastAsia" w:cs="Times New Roman"/>
        </w:rPr>
        <w:t xml:space="preserve"> </w:t>
      </w:r>
      <w:r>
        <w:rPr>
          <w:rFonts w:cs="Times New Roman"/>
        </w:rPr>
        <w:t xml:space="preserve"> </w:t>
      </w:r>
      <w:r>
        <w:rPr>
          <w:rFonts w:hint="eastAsia" w:cs="Times New Roman"/>
        </w:rPr>
        <w:t>向阳水库水源涵养区植物种类示意图</w:t>
      </w:r>
    </w:p>
    <w:p w14:paraId="53894718">
      <w:pPr>
        <w:ind w:firstLine="480"/>
      </w:pPr>
      <w:r>
        <w:rPr>
          <w:rFonts w:hint="eastAsia"/>
        </w:rPr>
        <w:t>向阳水库水源涵养区入侵种有空心莲子草、加拿大一枝黄花、北美车前，入侵种的侵袭为人为干扰的后果，应相对减少人为干扰强度。</w:t>
      </w:r>
    </w:p>
    <w:p w14:paraId="54793983">
      <w:pPr>
        <w:ind w:firstLine="482"/>
        <w:rPr>
          <w:b/>
        </w:rPr>
      </w:pPr>
      <w:r>
        <w:rPr>
          <w:rFonts w:hint="eastAsia"/>
          <w:b/>
        </w:rPr>
        <w:t>（</w:t>
      </w:r>
      <w:r>
        <w:rPr>
          <w:b/>
        </w:rPr>
        <w:t>2</w:t>
      </w:r>
      <w:r>
        <w:rPr>
          <w:rFonts w:hint="eastAsia"/>
          <w:b/>
        </w:rPr>
        <w:t>）茅东山地水源涵养区</w:t>
      </w:r>
    </w:p>
    <w:p w14:paraId="49A02F9B">
      <w:pPr>
        <w:ind w:firstLine="480"/>
      </w:pPr>
      <w:r>
        <w:rPr>
          <w:rFonts w:hint="eastAsia"/>
        </w:rPr>
        <w:t>2</w:t>
      </w:r>
      <w:r>
        <w:t>019</w:t>
      </w:r>
      <w:r>
        <w:rPr>
          <w:rFonts w:hint="eastAsia"/>
        </w:rPr>
        <w:t>年生物多样性本底调查统计得到茅东山地水库陆生维管束植物种类43科84属111种。在调查数据的基础上，对片区植物资源进行优势科（种数在4种以上的科属）分析，按科内种数排列依次为：菊科17种，蔷薇科12种，禾本科7种，豆科7种，桑科5种。茅山风景区陆生维管束植物82科165属197种，按科内种数排列依次为：菊科22种，禾本科17种，蔷薇科14种，豆科7种。</w:t>
      </w:r>
    </w:p>
    <w:p w14:paraId="214F1F0F">
      <w:pPr>
        <w:ind w:firstLine="480"/>
      </w:pPr>
      <w:r>
        <w:rPr>
          <w:rFonts w:hint="eastAsia"/>
        </w:rPr>
        <w:t>所有维管束植物中，被子植物共179种，隶属于74科156属，其中木兰纲65科129属154种，百合纲9科27属32种。裸子植物2科2属3种，蕨类植物6科7属8种。茅东山水库被子植物共102种，隶属36科96属；其中木兰纲植物有33科86属91种，百合纲有3科10属11种。裸子植物3种，隶属2科2属。</w:t>
      </w:r>
    </w:p>
    <w:p w14:paraId="73673C71">
      <w:pPr>
        <w:spacing w:line="240" w:lineRule="auto"/>
        <w:ind w:firstLine="480"/>
      </w:pPr>
      <w:r>
        <w:rPr>
          <w14:ligatures w14:val="none"/>
        </w:rPr>
        <w:drawing>
          <wp:inline distT="0" distB="0" distL="0" distR="0">
            <wp:extent cx="4203700" cy="2481580"/>
            <wp:effectExtent l="0" t="0" r="6350" b="0"/>
            <wp:docPr id="12" name="图表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A86AB84">
      <w:pPr>
        <w:pStyle w:val="45"/>
        <w:rPr>
          <w:rFonts w:cs="Times New Roman"/>
        </w:rPr>
      </w:pPr>
      <w:r>
        <w:rPr>
          <w:rFonts w:hint="eastAsia" w:cs="Times New Roman"/>
        </w:rPr>
        <w:t>图3.</w:t>
      </w:r>
      <w:r>
        <w:rPr>
          <w:rFonts w:cs="Times New Roman"/>
        </w:rPr>
        <w:t>6</w:t>
      </w:r>
      <w:r>
        <w:rPr>
          <w:rFonts w:hint="eastAsia" w:cs="Times New Roman"/>
        </w:rPr>
        <w:t>-</w:t>
      </w:r>
      <w:r>
        <w:rPr>
          <w:rFonts w:cs="Times New Roman"/>
        </w:rPr>
        <w:t>2</w:t>
      </w:r>
      <w:r>
        <w:rPr>
          <w:rFonts w:hint="eastAsia" w:cs="Times New Roman"/>
        </w:rPr>
        <w:t xml:space="preserve"> </w:t>
      </w:r>
      <w:r>
        <w:rPr>
          <w:rFonts w:cs="Times New Roman"/>
        </w:rPr>
        <w:t xml:space="preserve"> </w:t>
      </w:r>
      <w:r>
        <w:rPr>
          <w:rFonts w:hint="eastAsia" w:cs="Times New Roman"/>
        </w:rPr>
        <w:t>茅山风景区植物种类示意图</w:t>
      </w:r>
    </w:p>
    <w:p w14:paraId="7B6ED984">
      <w:pPr>
        <w:spacing w:line="240" w:lineRule="auto"/>
        <w:ind w:firstLine="480"/>
      </w:pPr>
      <w:r>
        <w:rPr>
          <w14:ligatures w14:val="none"/>
        </w:rPr>
        <w:drawing>
          <wp:inline distT="0" distB="0" distL="0" distR="0">
            <wp:extent cx="4343400" cy="2564130"/>
            <wp:effectExtent l="0" t="0" r="0" b="7620"/>
            <wp:docPr id="13" name="图表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69B92BD">
      <w:pPr>
        <w:pStyle w:val="45"/>
        <w:rPr>
          <w:rFonts w:cs="Times New Roman"/>
        </w:rPr>
      </w:pPr>
      <w:r>
        <w:rPr>
          <w:rFonts w:hint="eastAsia" w:cs="Times New Roman"/>
        </w:rPr>
        <w:t>图3.</w:t>
      </w:r>
      <w:r>
        <w:rPr>
          <w:rFonts w:cs="Times New Roman"/>
        </w:rPr>
        <w:t>6</w:t>
      </w:r>
      <w:r>
        <w:rPr>
          <w:rFonts w:hint="eastAsia" w:cs="Times New Roman"/>
        </w:rPr>
        <w:t>-</w:t>
      </w:r>
      <w:r>
        <w:rPr>
          <w:rFonts w:cs="Times New Roman"/>
        </w:rPr>
        <w:t>3</w:t>
      </w:r>
      <w:r>
        <w:rPr>
          <w:rFonts w:hint="eastAsia" w:cs="Times New Roman"/>
        </w:rPr>
        <w:t xml:space="preserve"> </w:t>
      </w:r>
      <w:r>
        <w:rPr>
          <w:rFonts w:cs="Times New Roman"/>
        </w:rPr>
        <w:t xml:space="preserve"> </w:t>
      </w:r>
      <w:r>
        <w:rPr>
          <w:rFonts w:hint="eastAsia" w:cs="Times New Roman"/>
        </w:rPr>
        <w:t>茅东山水库植物种类示意图</w:t>
      </w:r>
    </w:p>
    <w:p w14:paraId="79594B2D">
      <w:pPr>
        <w:ind w:firstLine="480"/>
      </w:pPr>
      <w:r>
        <w:rPr>
          <w:rFonts w:hint="eastAsia"/>
        </w:rPr>
        <w:t>茅东山地水源涵养区内林地带以杉木林、马尾松等针叶林为主要造林树种，丘陵东部以针阔叶混交林为主逐渐过渡至落叶阔叶林及灌木林，山麓存有大面积低山丘陵与平原村庄紧密交错，区内多为人工用材林、苗圃地和茶叶为主的经济林。茅山地区是茅苍术的道地药材产区，目前很难找到野生茅苍术，此外，茅东山地的中草药植物还包括天门冬、天南星、十大功劳、金银花、金樱子、地肤、地锦、细辛、五味子、何首乌等。</w:t>
      </w:r>
    </w:p>
    <w:p w14:paraId="71A5FA7A">
      <w:pPr>
        <w:ind w:firstLine="482"/>
        <w:rPr>
          <w:b/>
        </w:rPr>
      </w:pPr>
      <w:r>
        <w:rPr>
          <w:rFonts w:hint="eastAsia"/>
          <w:b/>
        </w:rPr>
        <w:t>（3）四棚洼生态公益林</w:t>
      </w:r>
    </w:p>
    <w:p w14:paraId="0787015A">
      <w:pPr>
        <w:ind w:firstLine="480"/>
      </w:pPr>
      <w:r>
        <w:rPr>
          <w:rFonts w:hint="eastAsia"/>
        </w:rPr>
        <w:t>2</w:t>
      </w:r>
      <w:r>
        <w:t>019</w:t>
      </w:r>
      <w:r>
        <w:rPr>
          <w:rFonts w:hint="eastAsia"/>
        </w:rPr>
        <w:t>年生物多样性本底调查统计得到四棚洼生态公益林植物种类51科108属138种。在调查数据的基础上，对调查区域内植物资源进行优势科（种数在4种以上的科属）分析，按科内种数排列依次为：菊科23种，蔷薇科12种，禾本科11 种，豆科7种，茜草科6种，桑科5种。</w:t>
      </w:r>
    </w:p>
    <w:p w14:paraId="614B83E1">
      <w:pPr>
        <w:ind w:firstLine="480"/>
      </w:pPr>
      <w:r>
        <w:rPr>
          <w:rFonts w:hint="eastAsia"/>
        </w:rPr>
        <w:t>所有维管束植物中，被子植物共132种，隶属47科104属；其中木兰纲植物有43科90属116种，百合纲有4科14属16种。裸子植物6种，隶属4科6属。</w:t>
      </w:r>
    </w:p>
    <w:p w14:paraId="290F32B2">
      <w:pPr>
        <w:spacing w:line="240" w:lineRule="auto"/>
        <w:ind w:firstLine="0" w:firstLineChars="0"/>
        <w:jc w:val="center"/>
      </w:pPr>
      <w:r>
        <w:rPr>
          <w14:ligatures w14:val="none"/>
        </w:rPr>
        <w:drawing>
          <wp:inline distT="0" distB="0" distL="0" distR="0">
            <wp:extent cx="4572000" cy="2699385"/>
            <wp:effectExtent l="0" t="0" r="0" b="5715"/>
            <wp:docPr id="15" name="图表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71895FA">
      <w:pPr>
        <w:pStyle w:val="45"/>
        <w:rPr>
          <w:rFonts w:cs="Times New Roman"/>
        </w:rPr>
      </w:pPr>
      <w:r>
        <w:rPr>
          <w:rFonts w:hint="eastAsia" w:cs="Times New Roman"/>
        </w:rPr>
        <w:t>图3.</w:t>
      </w:r>
      <w:r>
        <w:rPr>
          <w:rFonts w:cs="Times New Roman"/>
        </w:rPr>
        <w:t>6</w:t>
      </w:r>
      <w:r>
        <w:rPr>
          <w:rFonts w:hint="eastAsia" w:cs="Times New Roman"/>
        </w:rPr>
        <w:t>-</w:t>
      </w:r>
      <w:r>
        <w:rPr>
          <w:rFonts w:cs="Times New Roman"/>
        </w:rPr>
        <w:t>4</w:t>
      </w:r>
      <w:r>
        <w:rPr>
          <w:rFonts w:hint="eastAsia" w:cs="Times New Roman"/>
        </w:rPr>
        <w:t xml:space="preserve"> </w:t>
      </w:r>
      <w:r>
        <w:rPr>
          <w:rFonts w:cs="Times New Roman"/>
        </w:rPr>
        <w:t xml:space="preserve"> </w:t>
      </w:r>
      <w:r>
        <w:rPr>
          <w:rFonts w:hint="eastAsia" w:cs="Times New Roman"/>
        </w:rPr>
        <w:t>四棚洼生态公益林植物种类示意图</w:t>
      </w:r>
    </w:p>
    <w:p w14:paraId="153E8452">
      <w:pPr>
        <w:ind w:firstLine="480"/>
      </w:pPr>
      <w:r>
        <w:rPr>
          <w:rFonts w:hint="eastAsia"/>
        </w:rPr>
        <w:t>四棚洼生态公益林内优势树种包括水杉、马尾松、国外松、香樟、朴树、榉树、榆树等，常绿林与落叶林混交，阔叶林和针叶林混交。在经营性的苗圃内种植了桂花、樱花、鸡爪、女贞、石楠、紫薇等观赏性植物。</w:t>
      </w:r>
    </w:p>
    <w:p w14:paraId="1A66F1DE">
      <w:pPr>
        <w:ind w:firstLine="482"/>
        <w:rPr>
          <w:b/>
        </w:rPr>
      </w:pPr>
      <w:r>
        <w:rPr>
          <w:rFonts w:hint="eastAsia"/>
          <w:b/>
        </w:rPr>
        <w:t>（4）方山森林公园</w:t>
      </w:r>
    </w:p>
    <w:p w14:paraId="7A598E56">
      <w:pPr>
        <w:ind w:firstLine="480"/>
      </w:pPr>
      <w:r>
        <w:rPr>
          <w:rFonts w:hint="eastAsia"/>
        </w:rPr>
        <w:t>方山森林公园植被保存完好，森林覆盖度高达93.8%，兼具温带、亚热带两个生物气候带特色的落叶阔叶林、常绿针叶林、落叶针叶林、常绿阔叶林、针阔混交林、竹林及灌丛、草丛等多种森林植被景观。</w:t>
      </w:r>
    </w:p>
    <w:p w14:paraId="58B67E63">
      <w:pPr>
        <w:ind w:firstLine="480"/>
      </w:pPr>
      <w:r>
        <w:rPr>
          <w:rFonts w:hint="eastAsia"/>
        </w:rPr>
        <w:t>2</w:t>
      </w:r>
      <w:r>
        <w:t>019</w:t>
      </w:r>
      <w:r>
        <w:rPr>
          <w:rFonts w:hint="eastAsia"/>
        </w:rPr>
        <w:t>年生物多样性本底调查统计得到方山（金坛区）森林公园植物种类57科99属127种。在调查数据的基础上，对调查区域内植物资源进行优势科（种数在4种以上的科属）分析，按科内种数排列依次为：蔷薇科11种，菊科10种，豆科10种，壳斗科9种，禾本科6种，茜草科6种，桑科5种。</w:t>
      </w:r>
    </w:p>
    <w:p w14:paraId="6C1B939F">
      <w:pPr>
        <w:ind w:firstLine="480"/>
      </w:pPr>
      <w:r>
        <w:rPr>
          <w:rFonts w:hint="eastAsia"/>
        </w:rPr>
        <w:t>所有维管束植物中，被子植物共115种，隶属科属；其中木兰纲植物有42科77属103种，百合纲有6科10属12种。裸子植物5种，隶属3科4属。</w:t>
      </w:r>
    </w:p>
    <w:p w14:paraId="78FB3E08">
      <w:pPr>
        <w:spacing w:line="240" w:lineRule="auto"/>
        <w:ind w:firstLine="0" w:firstLineChars="0"/>
        <w:jc w:val="center"/>
      </w:pPr>
      <w:r>
        <w:rPr>
          <w14:ligatures w14:val="none"/>
        </w:rPr>
        <w:drawing>
          <wp:inline distT="0" distB="0" distL="0" distR="0">
            <wp:extent cx="4572000" cy="2699385"/>
            <wp:effectExtent l="0" t="0" r="0" b="5715"/>
            <wp:docPr id="16" name="图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987C219">
      <w:pPr>
        <w:pStyle w:val="45"/>
        <w:rPr>
          <w:rFonts w:cs="Times New Roman"/>
        </w:rPr>
      </w:pPr>
      <w:r>
        <w:rPr>
          <w:rFonts w:hint="eastAsia" w:cs="Times New Roman"/>
        </w:rPr>
        <w:t>图3.</w:t>
      </w:r>
      <w:r>
        <w:rPr>
          <w:rFonts w:cs="Times New Roman"/>
        </w:rPr>
        <w:t>6</w:t>
      </w:r>
      <w:r>
        <w:rPr>
          <w:rFonts w:hint="eastAsia" w:cs="Times New Roman"/>
        </w:rPr>
        <w:t>-</w:t>
      </w:r>
      <w:r>
        <w:rPr>
          <w:rFonts w:cs="Times New Roman"/>
        </w:rPr>
        <w:t>5</w:t>
      </w:r>
      <w:r>
        <w:rPr>
          <w:rFonts w:hint="eastAsia" w:cs="Times New Roman"/>
        </w:rPr>
        <w:t xml:space="preserve"> </w:t>
      </w:r>
      <w:r>
        <w:rPr>
          <w:rFonts w:cs="Times New Roman"/>
        </w:rPr>
        <w:t xml:space="preserve"> </w:t>
      </w:r>
      <w:r>
        <w:rPr>
          <w:rFonts w:hint="eastAsia" w:cs="Times New Roman"/>
        </w:rPr>
        <w:t>方山森林公园植物种类示意图</w:t>
      </w:r>
    </w:p>
    <w:p w14:paraId="482E2966">
      <w:pPr>
        <w:ind w:firstLine="480"/>
      </w:pPr>
      <w:r>
        <w:rPr>
          <w:rFonts w:hint="eastAsia"/>
        </w:rPr>
        <w:t>在方山森林公园发现的中草药有、枸杞、杠板归、葛、商陆、地锦、青蒿、鬼针草等。发现的入侵种有豚草，豚草是花粉过敏源，危害人类健康，另外豚草具有很强的化感作用，侵占其他植物生活空间。</w:t>
      </w:r>
    </w:p>
    <w:p w14:paraId="2DF7129C">
      <w:pPr>
        <w:ind w:firstLine="0" w:firstLineChars="0"/>
        <w:outlineLvl w:val="3"/>
      </w:pPr>
      <w:r>
        <w:t>3</w:t>
      </w:r>
      <w:r>
        <w:rPr>
          <w:rFonts w:hint="eastAsia"/>
        </w:rPr>
        <w:t>.</w:t>
      </w:r>
      <w:r>
        <w:t>6</w:t>
      </w:r>
      <w:r>
        <w:rPr>
          <w:rFonts w:hint="eastAsia"/>
        </w:rPr>
        <w:t>.</w:t>
      </w:r>
      <w:r>
        <w:t>2</w:t>
      </w:r>
      <w:r>
        <w:rPr>
          <w:rFonts w:hint="eastAsia"/>
        </w:rPr>
        <w:t>.</w:t>
      </w:r>
      <w:r>
        <w:t>2</w:t>
      </w:r>
      <w:r>
        <w:rPr>
          <w:rFonts w:hint="eastAsia"/>
        </w:rPr>
        <w:t>陆生脊椎动物</w:t>
      </w:r>
    </w:p>
    <w:p w14:paraId="7A91BB5E">
      <w:pPr>
        <w:ind w:firstLine="482"/>
        <w:rPr>
          <w:b/>
        </w:rPr>
      </w:pPr>
      <w:r>
        <w:rPr>
          <w:rFonts w:hint="eastAsia"/>
          <w:b/>
        </w:rPr>
        <w:t>（</w:t>
      </w:r>
      <w:r>
        <w:rPr>
          <w:b/>
        </w:rPr>
        <w:t>1</w:t>
      </w:r>
      <w:r>
        <w:rPr>
          <w:rFonts w:hint="eastAsia"/>
          <w:b/>
        </w:rPr>
        <w:t>）鸟类</w:t>
      </w:r>
    </w:p>
    <w:p w14:paraId="43CDF70A">
      <w:pPr>
        <w:ind w:firstLine="480"/>
      </w:pPr>
      <w:r>
        <w:rPr>
          <w:rFonts w:hint="eastAsia"/>
        </w:rPr>
        <w:t>2</w:t>
      </w:r>
      <w:r>
        <w:t>019</w:t>
      </w:r>
      <w:r>
        <w:rPr>
          <w:rFonts w:hint="eastAsia"/>
        </w:rPr>
        <w:t>年生物多样性本底调查结果表明，区域内鸟类共计90种，属13目38科（历史资料显示173种）。在鸟类组成中，雀形目鸟类共21科46 种，占金坛区所有鸟类的51.11%；非雀形目鸟类17科44种，占48.89%，属12个目。各区域由于环境的不同，鸟的种类与数量均存在一定差异，各调查区域鸟类调查情况汇总见下表。</w:t>
      </w:r>
    </w:p>
    <w:p w14:paraId="4F8B1811">
      <w:pPr>
        <w:pStyle w:val="45"/>
        <w:rPr>
          <w:rFonts w:cs="Times New Roman"/>
        </w:rPr>
      </w:pPr>
      <w:r>
        <w:rPr>
          <w:rFonts w:hint="eastAsia" w:cs="Times New Roman"/>
        </w:rPr>
        <w:t>表3.</w:t>
      </w:r>
      <w:r>
        <w:rPr>
          <w:rFonts w:cs="Times New Roman"/>
        </w:rPr>
        <w:t>6</w:t>
      </w:r>
      <w:r>
        <w:rPr>
          <w:rFonts w:hint="eastAsia" w:cs="Times New Roman"/>
        </w:rPr>
        <w:t>-</w:t>
      </w:r>
      <w:r>
        <w:rPr>
          <w:rFonts w:cs="Times New Roman"/>
        </w:rPr>
        <w:t>3</w:t>
      </w:r>
      <w:r>
        <w:rPr>
          <w:rFonts w:hint="eastAsia" w:cs="Times New Roman"/>
        </w:rPr>
        <w:t xml:space="preserve"> </w:t>
      </w:r>
      <w:r>
        <w:rPr>
          <w:rFonts w:cs="Times New Roman"/>
        </w:rPr>
        <w:t xml:space="preserve"> </w:t>
      </w:r>
      <w:r>
        <w:rPr>
          <w:rFonts w:hint="eastAsia" w:cs="Times New Roman"/>
        </w:rPr>
        <w:t>度假区内各调查区域鸟类比较</w:t>
      </w:r>
    </w:p>
    <w:tbl>
      <w:tblPr>
        <w:tblStyle w:val="25"/>
        <w:tblW w:w="5000" w:type="pct"/>
        <w:tblInd w:w="0" w:type="dxa"/>
        <w:tblLayout w:type="autofit"/>
        <w:tblCellMar>
          <w:top w:w="0" w:type="dxa"/>
          <w:left w:w="108" w:type="dxa"/>
          <w:bottom w:w="0" w:type="dxa"/>
          <w:right w:w="108" w:type="dxa"/>
        </w:tblCellMar>
      </w:tblPr>
      <w:tblGrid>
        <w:gridCol w:w="1105"/>
        <w:gridCol w:w="514"/>
        <w:gridCol w:w="703"/>
        <w:gridCol w:w="1401"/>
        <w:gridCol w:w="811"/>
        <w:gridCol w:w="1549"/>
        <w:gridCol w:w="2439"/>
      </w:tblGrid>
      <w:tr w14:paraId="2444D2D2">
        <w:tblPrEx>
          <w:tblCellMar>
            <w:top w:w="0" w:type="dxa"/>
            <w:left w:w="108" w:type="dxa"/>
            <w:bottom w:w="0" w:type="dxa"/>
            <w:right w:w="108" w:type="dxa"/>
          </w:tblCellMar>
        </w:tblPrEx>
        <w:trPr>
          <w:trHeight w:val="285" w:hRule="atLeast"/>
          <w:tblHeader/>
        </w:trPr>
        <w:tc>
          <w:tcPr>
            <w:tcW w:w="643" w:type="pct"/>
            <w:tcBorders>
              <w:top w:val="single" w:color="auto" w:sz="4" w:space="0"/>
              <w:left w:val="single" w:color="auto" w:sz="4" w:space="0"/>
              <w:bottom w:val="single" w:color="auto" w:sz="4" w:space="0"/>
              <w:right w:val="single" w:color="auto" w:sz="4" w:space="0"/>
            </w:tcBorders>
            <w:noWrap/>
            <w:vAlign w:val="center"/>
          </w:tcPr>
          <w:p w14:paraId="2627316C">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地点</w:t>
            </w:r>
          </w:p>
        </w:tc>
        <w:tc>
          <w:tcPr>
            <w:tcW w:w="302" w:type="pct"/>
            <w:tcBorders>
              <w:top w:val="single" w:color="auto" w:sz="4" w:space="0"/>
              <w:left w:val="nil"/>
              <w:bottom w:val="single" w:color="auto" w:sz="4" w:space="0"/>
              <w:right w:val="single" w:color="auto" w:sz="4" w:space="0"/>
            </w:tcBorders>
            <w:noWrap/>
            <w:vAlign w:val="center"/>
          </w:tcPr>
          <w:p w14:paraId="489FCFA1">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种类</w:t>
            </w:r>
          </w:p>
        </w:tc>
        <w:tc>
          <w:tcPr>
            <w:tcW w:w="412" w:type="pct"/>
            <w:tcBorders>
              <w:top w:val="single" w:color="auto" w:sz="4" w:space="0"/>
              <w:left w:val="nil"/>
              <w:bottom w:val="single" w:color="auto" w:sz="4" w:space="0"/>
              <w:right w:val="single" w:color="auto" w:sz="4" w:space="0"/>
            </w:tcBorders>
            <w:noWrap/>
            <w:vAlign w:val="center"/>
          </w:tcPr>
          <w:p w14:paraId="35ED33B2">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数量/只</w:t>
            </w:r>
          </w:p>
        </w:tc>
        <w:tc>
          <w:tcPr>
            <w:tcW w:w="857" w:type="pct"/>
            <w:tcBorders>
              <w:top w:val="single" w:color="auto" w:sz="4" w:space="0"/>
              <w:left w:val="nil"/>
              <w:bottom w:val="single" w:color="auto" w:sz="4" w:space="0"/>
              <w:right w:val="single" w:color="auto" w:sz="4" w:space="0"/>
            </w:tcBorders>
            <w:noWrap/>
            <w:vAlign w:val="center"/>
          </w:tcPr>
          <w:p w14:paraId="67E51631">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周围环境</w:t>
            </w:r>
          </w:p>
        </w:tc>
        <w:tc>
          <w:tcPr>
            <w:tcW w:w="474" w:type="pct"/>
            <w:tcBorders>
              <w:top w:val="single" w:color="auto" w:sz="4" w:space="0"/>
              <w:left w:val="nil"/>
              <w:bottom w:val="single" w:color="auto" w:sz="4" w:space="0"/>
              <w:right w:val="single" w:color="auto" w:sz="4" w:space="0"/>
            </w:tcBorders>
            <w:noWrap/>
            <w:vAlign w:val="center"/>
          </w:tcPr>
          <w:p w14:paraId="5A915088">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干扰程度</w:t>
            </w:r>
          </w:p>
        </w:tc>
        <w:tc>
          <w:tcPr>
            <w:tcW w:w="900" w:type="pct"/>
            <w:tcBorders>
              <w:top w:val="single" w:color="auto" w:sz="4" w:space="0"/>
              <w:left w:val="nil"/>
              <w:bottom w:val="single" w:color="auto" w:sz="4" w:space="0"/>
              <w:right w:val="single" w:color="auto" w:sz="4" w:space="0"/>
            </w:tcBorders>
            <w:noWrap/>
            <w:vAlign w:val="center"/>
          </w:tcPr>
          <w:p w14:paraId="13CB5F7B">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常见鸟种</w:t>
            </w:r>
          </w:p>
        </w:tc>
        <w:tc>
          <w:tcPr>
            <w:tcW w:w="1413" w:type="pct"/>
            <w:tcBorders>
              <w:top w:val="single" w:color="auto" w:sz="4" w:space="0"/>
              <w:left w:val="nil"/>
              <w:bottom w:val="single" w:color="auto" w:sz="4" w:space="0"/>
              <w:right w:val="single" w:color="auto" w:sz="4" w:space="0"/>
            </w:tcBorders>
            <w:noWrap/>
            <w:vAlign w:val="center"/>
          </w:tcPr>
          <w:p w14:paraId="7C1A9EA3">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重要鸟种</w:t>
            </w:r>
          </w:p>
        </w:tc>
      </w:tr>
      <w:tr w14:paraId="567CD5F7">
        <w:tblPrEx>
          <w:tblCellMar>
            <w:top w:w="0" w:type="dxa"/>
            <w:left w:w="108" w:type="dxa"/>
            <w:bottom w:w="0" w:type="dxa"/>
            <w:right w:w="108" w:type="dxa"/>
          </w:tblCellMar>
        </w:tblPrEx>
        <w:trPr>
          <w:trHeight w:val="285" w:hRule="atLeast"/>
        </w:trPr>
        <w:tc>
          <w:tcPr>
            <w:tcW w:w="643" w:type="pct"/>
            <w:tcBorders>
              <w:top w:val="single" w:color="auto" w:sz="4" w:space="0"/>
              <w:left w:val="single" w:color="auto" w:sz="4" w:space="0"/>
              <w:bottom w:val="single" w:color="auto" w:sz="4" w:space="0"/>
              <w:right w:val="single" w:color="auto" w:sz="4" w:space="0"/>
            </w:tcBorders>
            <w:noWrap/>
            <w:vAlign w:val="center"/>
          </w:tcPr>
          <w:p w14:paraId="7F5882A6">
            <w:pPr>
              <w:widowControl/>
              <w:spacing w:line="240" w:lineRule="auto"/>
              <w:ind w:firstLine="0" w:firstLineChars="0"/>
              <w:jc w:val="center"/>
              <w:rPr>
                <w:rFonts w:cs="Times New Roman"/>
                <w:bCs/>
                <w:color w:val="000000"/>
                <w:kern w:val="0"/>
                <w:sz w:val="21"/>
                <w:szCs w:val="21"/>
                <w14:ligatures w14:val="none"/>
              </w:rPr>
            </w:pPr>
            <w:r>
              <w:rPr>
                <w:rFonts w:hint="eastAsia" w:cs="Times New Roman"/>
                <w:bCs/>
                <w:color w:val="000000"/>
                <w:kern w:val="0"/>
                <w:sz w:val="21"/>
                <w:szCs w:val="21"/>
                <w14:ligatures w14:val="none"/>
              </w:rPr>
              <w:t>茅东水库</w:t>
            </w:r>
          </w:p>
        </w:tc>
        <w:tc>
          <w:tcPr>
            <w:tcW w:w="302" w:type="pct"/>
            <w:tcBorders>
              <w:top w:val="single" w:color="auto" w:sz="4" w:space="0"/>
              <w:left w:val="nil"/>
              <w:bottom w:val="single" w:color="auto" w:sz="4" w:space="0"/>
              <w:right w:val="single" w:color="auto" w:sz="4" w:space="0"/>
            </w:tcBorders>
            <w:noWrap/>
            <w:vAlign w:val="center"/>
          </w:tcPr>
          <w:p w14:paraId="01991BA3">
            <w:pPr>
              <w:widowControl/>
              <w:spacing w:line="240" w:lineRule="auto"/>
              <w:ind w:firstLine="0" w:firstLineChars="0"/>
              <w:jc w:val="center"/>
              <w:rPr>
                <w:rFonts w:cs="Times New Roman"/>
                <w:bCs/>
                <w:color w:val="000000"/>
                <w:kern w:val="0"/>
                <w:sz w:val="21"/>
                <w:szCs w:val="21"/>
                <w14:ligatures w14:val="none"/>
              </w:rPr>
            </w:pPr>
            <w:r>
              <w:rPr>
                <w:rFonts w:hint="eastAsia" w:cs="Times New Roman"/>
                <w:bCs/>
                <w:color w:val="000000"/>
                <w:kern w:val="0"/>
                <w:sz w:val="21"/>
                <w:szCs w:val="21"/>
                <w14:ligatures w14:val="none"/>
              </w:rPr>
              <w:t>20</w:t>
            </w:r>
          </w:p>
        </w:tc>
        <w:tc>
          <w:tcPr>
            <w:tcW w:w="412" w:type="pct"/>
            <w:tcBorders>
              <w:top w:val="single" w:color="auto" w:sz="4" w:space="0"/>
              <w:left w:val="nil"/>
              <w:bottom w:val="single" w:color="auto" w:sz="4" w:space="0"/>
              <w:right w:val="single" w:color="auto" w:sz="4" w:space="0"/>
            </w:tcBorders>
            <w:noWrap/>
            <w:vAlign w:val="center"/>
          </w:tcPr>
          <w:p w14:paraId="69C5DD1B">
            <w:pPr>
              <w:widowControl/>
              <w:spacing w:line="240" w:lineRule="auto"/>
              <w:ind w:firstLine="0" w:firstLineChars="0"/>
              <w:jc w:val="center"/>
              <w:rPr>
                <w:rFonts w:cs="Times New Roman"/>
                <w:bCs/>
                <w:color w:val="000000"/>
                <w:kern w:val="0"/>
                <w:sz w:val="21"/>
                <w:szCs w:val="21"/>
                <w14:ligatures w14:val="none"/>
              </w:rPr>
            </w:pPr>
            <w:r>
              <w:rPr>
                <w:rFonts w:hint="eastAsia" w:cs="Times New Roman"/>
                <w:bCs/>
                <w:color w:val="000000"/>
                <w:kern w:val="0"/>
                <w:sz w:val="21"/>
                <w:szCs w:val="21"/>
                <w14:ligatures w14:val="none"/>
              </w:rPr>
              <w:t>200</w:t>
            </w:r>
          </w:p>
        </w:tc>
        <w:tc>
          <w:tcPr>
            <w:tcW w:w="857" w:type="pct"/>
            <w:tcBorders>
              <w:top w:val="single" w:color="auto" w:sz="4" w:space="0"/>
              <w:left w:val="nil"/>
              <w:bottom w:val="single" w:color="auto" w:sz="4" w:space="0"/>
              <w:right w:val="single" w:color="auto" w:sz="4" w:space="0"/>
            </w:tcBorders>
            <w:noWrap/>
            <w:vAlign w:val="center"/>
          </w:tcPr>
          <w:p w14:paraId="66C04B0B">
            <w:pPr>
              <w:widowControl/>
              <w:spacing w:line="240" w:lineRule="auto"/>
              <w:ind w:firstLine="0" w:firstLineChars="0"/>
              <w:jc w:val="center"/>
              <w:rPr>
                <w:rFonts w:cs="Times New Roman"/>
                <w:bCs/>
                <w:color w:val="000000"/>
                <w:kern w:val="0"/>
                <w:sz w:val="21"/>
                <w:szCs w:val="21"/>
                <w14:ligatures w14:val="none"/>
              </w:rPr>
            </w:pPr>
            <w:r>
              <w:rPr>
                <w:rFonts w:hint="eastAsia" w:cs="Times New Roman"/>
                <w:bCs/>
                <w:color w:val="000000"/>
                <w:kern w:val="0"/>
                <w:sz w:val="21"/>
                <w:szCs w:val="21"/>
                <w14:ligatures w14:val="none"/>
              </w:rPr>
              <w:t>林地、水库区</w:t>
            </w:r>
          </w:p>
        </w:tc>
        <w:tc>
          <w:tcPr>
            <w:tcW w:w="474" w:type="pct"/>
            <w:tcBorders>
              <w:top w:val="single" w:color="auto" w:sz="4" w:space="0"/>
              <w:left w:val="nil"/>
              <w:bottom w:val="single" w:color="auto" w:sz="4" w:space="0"/>
              <w:right w:val="single" w:color="auto" w:sz="4" w:space="0"/>
            </w:tcBorders>
            <w:noWrap/>
            <w:vAlign w:val="center"/>
          </w:tcPr>
          <w:p w14:paraId="7A0BE26C">
            <w:pPr>
              <w:widowControl/>
              <w:spacing w:line="240" w:lineRule="auto"/>
              <w:ind w:firstLine="0" w:firstLineChars="0"/>
              <w:jc w:val="center"/>
              <w:rPr>
                <w:rFonts w:cs="Times New Roman"/>
                <w:bCs/>
                <w:color w:val="000000"/>
                <w:kern w:val="0"/>
                <w:sz w:val="21"/>
                <w:szCs w:val="21"/>
                <w14:ligatures w14:val="none"/>
              </w:rPr>
            </w:pPr>
            <w:r>
              <w:rPr>
                <w:rFonts w:hint="eastAsia" w:cs="Times New Roman"/>
                <w:bCs/>
                <w:color w:val="000000"/>
                <w:kern w:val="0"/>
                <w:sz w:val="21"/>
                <w:szCs w:val="21"/>
                <w14:ligatures w14:val="none"/>
              </w:rPr>
              <w:t>低</w:t>
            </w:r>
          </w:p>
        </w:tc>
        <w:tc>
          <w:tcPr>
            <w:tcW w:w="900" w:type="pct"/>
            <w:tcBorders>
              <w:top w:val="single" w:color="auto" w:sz="4" w:space="0"/>
              <w:left w:val="nil"/>
              <w:bottom w:val="single" w:color="auto" w:sz="4" w:space="0"/>
              <w:right w:val="single" w:color="auto" w:sz="4" w:space="0"/>
            </w:tcBorders>
            <w:noWrap/>
            <w:vAlign w:val="center"/>
          </w:tcPr>
          <w:p w14:paraId="34FA4BFC">
            <w:pPr>
              <w:widowControl/>
              <w:spacing w:line="240" w:lineRule="auto"/>
              <w:ind w:firstLine="0" w:firstLineChars="0"/>
              <w:jc w:val="center"/>
              <w:rPr>
                <w:rFonts w:cs="Times New Roman"/>
                <w:bCs/>
                <w:color w:val="000000"/>
                <w:kern w:val="0"/>
                <w:sz w:val="21"/>
                <w:szCs w:val="21"/>
                <w14:ligatures w14:val="none"/>
              </w:rPr>
            </w:pPr>
            <w:r>
              <w:rPr>
                <w:rFonts w:hint="eastAsia" w:cs="Times New Roman"/>
                <w:bCs/>
                <w:color w:val="000000"/>
                <w:kern w:val="0"/>
                <w:sz w:val="21"/>
                <w:szCs w:val="21"/>
                <w14:ligatures w14:val="none"/>
              </w:rPr>
              <w:t>田</w:t>
            </w:r>
            <w:r>
              <w:rPr>
                <w:rFonts w:hint="eastAsia" w:ascii="仿宋" w:hAnsi="仿宋" w:eastAsia="仿宋" w:cs="微软雅黑"/>
                <w:bCs/>
                <w:color w:val="000000"/>
                <w:kern w:val="0"/>
                <w:sz w:val="21"/>
                <w:szCs w:val="21"/>
                <w14:ligatures w14:val="none"/>
              </w:rPr>
              <w:t>鹀</w:t>
            </w:r>
            <w:r>
              <w:rPr>
                <w:rFonts w:hint="eastAsia" w:ascii="仿宋_GB2312" w:hAnsi="仿宋_GB2312" w:cs="仿宋_GB2312"/>
                <w:bCs/>
                <w:color w:val="000000"/>
                <w:kern w:val="0"/>
                <w:sz w:val="21"/>
                <w:szCs w:val="21"/>
                <w14:ligatures w14:val="none"/>
              </w:rPr>
              <w:t>、麻雀</w:t>
            </w:r>
          </w:p>
        </w:tc>
        <w:tc>
          <w:tcPr>
            <w:tcW w:w="1413" w:type="pct"/>
            <w:tcBorders>
              <w:top w:val="single" w:color="auto" w:sz="4" w:space="0"/>
              <w:left w:val="nil"/>
              <w:bottom w:val="single" w:color="auto" w:sz="4" w:space="0"/>
              <w:right w:val="single" w:color="auto" w:sz="4" w:space="0"/>
            </w:tcBorders>
            <w:noWrap/>
            <w:vAlign w:val="center"/>
          </w:tcPr>
          <w:p w14:paraId="0141DB0B">
            <w:pPr>
              <w:widowControl/>
              <w:spacing w:line="240" w:lineRule="auto"/>
              <w:ind w:firstLine="0" w:firstLineChars="0"/>
              <w:jc w:val="center"/>
              <w:rPr>
                <w:rFonts w:cs="Times New Roman"/>
                <w:bCs/>
                <w:color w:val="000000"/>
                <w:kern w:val="0"/>
                <w:sz w:val="21"/>
                <w:szCs w:val="21"/>
                <w14:ligatures w14:val="none"/>
              </w:rPr>
            </w:pPr>
            <w:r>
              <w:rPr>
                <w:rFonts w:hint="eastAsia" w:cs="Times New Roman"/>
                <w:bCs/>
                <w:color w:val="000000"/>
                <w:kern w:val="0"/>
                <w:sz w:val="21"/>
                <w:szCs w:val="21"/>
                <w14:ligatures w14:val="none"/>
              </w:rPr>
              <w:t>鸳鸯、田</w:t>
            </w:r>
            <w:r>
              <w:rPr>
                <w:rFonts w:hint="eastAsia" w:ascii="仿宋" w:hAnsi="仿宋" w:eastAsia="仿宋" w:cs="微软雅黑"/>
                <w:bCs/>
                <w:color w:val="000000"/>
                <w:kern w:val="0"/>
                <w:sz w:val="21"/>
                <w:szCs w:val="21"/>
                <w14:ligatures w14:val="none"/>
              </w:rPr>
              <w:t>鹀</w:t>
            </w:r>
            <w:r>
              <w:rPr>
                <w:rFonts w:hint="eastAsia" w:ascii="仿宋_GB2312" w:hAnsi="仿宋_GB2312" w:cs="仿宋_GB2312"/>
                <w:bCs/>
                <w:color w:val="000000"/>
                <w:kern w:val="0"/>
                <w:sz w:val="21"/>
                <w:szCs w:val="21"/>
                <w14:ligatures w14:val="none"/>
              </w:rPr>
              <w:t>、绿翅鸭、</w:t>
            </w:r>
            <w:r>
              <w:rPr>
                <w:rFonts w:hint="eastAsia" w:cs="Times New Roman"/>
                <w:bCs/>
                <w:color w:val="000000"/>
                <w:kern w:val="0"/>
                <w:sz w:val="21"/>
                <w:szCs w:val="21"/>
                <w14:ligatures w14:val="none"/>
              </w:rPr>
              <w:t>灰头麦鸡等</w:t>
            </w:r>
          </w:p>
        </w:tc>
      </w:tr>
      <w:tr w14:paraId="3D954717">
        <w:tblPrEx>
          <w:tblCellMar>
            <w:top w:w="0" w:type="dxa"/>
            <w:left w:w="108" w:type="dxa"/>
            <w:bottom w:w="0" w:type="dxa"/>
            <w:right w:w="108" w:type="dxa"/>
          </w:tblCellMar>
        </w:tblPrEx>
        <w:trPr>
          <w:trHeight w:val="285" w:hRule="atLeast"/>
        </w:trPr>
        <w:tc>
          <w:tcPr>
            <w:tcW w:w="643" w:type="pct"/>
            <w:tcBorders>
              <w:top w:val="nil"/>
              <w:left w:val="single" w:color="auto" w:sz="4" w:space="0"/>
              <w:bottom w:val="single" w:color="auto" w:sz="4" w:space="0"/>
              <w:right w:val="single" w:color="auto" w:sz="4" w:space="0"/>
            </w:tcBorders>
            <w:noWrap/>
            <w:vAlign w:val="center"/>
          </w:tcPr>
          <w:p w14:paraId="0E293B9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向阳水库</w:t>
            </w:r>
          </w:p>
        </w:tc>
        <w:tc>
          <w:tcPr>
            <w:tcW w:w="302" w:type="pct"/>
            <w:tcBorders>
              <w:top w:val="nil"/>
              <w:left w:val="nil"/>
              <w:bottom w:val="single" w:color="auto" w:sz="4" w:space="0"/>
              <w:right w:val="single" w:color="auto" w:sz="4" w:space="0"/>
            </w:tcBorders>
            <w:noWrap/>
            <w:vAlign w:val="center"/>
          </w:tcPr>
          <w:p w14:paraId="5EDF495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41</w:t>
            </w:r>
          </w:p>
        </w:tc>
        <w:tc>
          <w:tcPr>
            <w:tcW w:w="412" w:type="pct"/>
            <w:tcBorders>
              <w:top w:val="nil"/>
              <w:left w:val="nil"/>
              <w:bottom w:val="single" w:color="auto" w:sz="4" w:space="0"/>
              <w:right w:val="single" w:color="auto" w:sz="4" w:space="0"/>
            </w:tcBorders>
            <w:noWrap/>
            <w:vAlign w:val="center"/>
          </w:tcPr>
          <w:p w14:paraId="370DB81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811</w:t>
            </w:r>
          </w:p>
        </w:tc>
        <w:tc>
          <w:tcPr>
            <w:tcW w:w="857" w:type="pct"/>
            <w:tcBorders>
              <w:top w:val="nil"/>
              <w:left w:val="nil"/>
              <w:bottom w:val="single" w:color="auto" w:sz="4" w:space="0"/>
              <w:right w:val="single" w:color="auto" w:sz="4" w:space="0"/>
            </w:tcBorders>
            <w:noWrap/>
            <w:vAlign w:val="center"/>
          </w:tcPr>
          <w:p w14:paraId="245C459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居民区、水库</w:t>
            </w:r>
          </w:p>
        </w:tc>
        <w:tc>
          <w:tcPr>
            <w:tcW w:w="474" w:type="pct"/>
            <w:tcBorders>
              <w:top w:val="nil"/>
              <w:left w:val="nil"/>
              <w:bottom w:val="single" w:color="auto" w:sz="4" w:space="0"/>
              <w:right w:val="single" w:color="auto" w:sz="4" w:space="0"/>
            </w:tcBorders>
            <w:noWrap/>
            <w:vAlign w:val="center"/>
          </w:tcPr>
          <w:p w14:paraId="02E76A2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中</w:t>
            </w:r>
          </w:p>
        </w:tc>
        <w:tc>
          <w:tcPr>
            <w:tcW w:w="900" w:type="pct"/>
            <w:tcBorders>
              <w:top w:val="nil"/>
              <w:left w:val="nil"/>
              <w:bottom w:val="single" w:color="auto" w:sz="4" w:space="0"/>
              <w:right w:val="single" w:color="auto" w:sz="4" w:space="0"/>
            </w:tcBorders>
            <w:noWrap/>
            <w:vAlign w:val="center"/>
          </w:tcPr>
          <w:p w14:paraId="02E05D5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麻雀、白鹭</w:t>
            </w:r>
          </w:p>
        </w:tc>
        <w:tc>
          <w:tcPr>
            <w:tcW w:w="1413" w:type="pct"/>
            <w:tcBorders>
              <w:top w:val="nil"/>
              <w:left w:val="nil"/>
              <w:bottom w:val="single" w:color="auto" w:sz="4" w:space="0"/>
              <w:right w:val="single" w:color="auto" w:sz="4" w:space="0"/>
            </w:tcBorders>
            <w:noWrap/>
            <w:vAlign w:val="center"/>
          </w:tcPr>
          <w:p w14:paraId="746ABB0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鸳鸯、灰胸竹鸡、白鹭等</w:t>
            </w:r>
          </w:p>
        </w:tc>
      </w:tr>
      <w:tr w14:paraId="77D25FC8">
        <w:tblPrEx>
          <w:tblCellMar>
            <w:top w:w="0" w:type="dxa"/>
            <w:left w:w="108" w:type="dxa"/>
            <w:bottom w:w="0" w:type="dxa"/>
            <w:right w:w="108" w:type="dxa"/>
          </w:tblCellMar>
        </w:tblPrEx>
        <w:trPr>
          <w:trHeight w:val="285" w:hRule="atLeast"/>
        </w:trPr>
        <w:tc>
          <w:tcPr>
            <w:tcW w:w="643" w:type="pct"/>
            <w:tcBorders>
              <w:top w:val="nil"/>
              <w:left w:val="single" w:color="auto" w:sz="4" w:space="0"/>
              <w:bottom w:val="single" w:color="auto" w:sz="4" w:space="0"/>
              <w:right w:val="single" w:color="auto" w:sz="4" w:space="0"/>
            </w:tcBorders>
            <w:noWrap/>
            <w:vAlign w:val="center"/>
          </w:tcPr>
          <w:p w14:paraId="22D50A0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方山森林公园</w:t>
            </w:r>
          </w:p>
        </w:tc>
        <w:tc>
          <w:tcPr>
            <w:tcW w:w="302" w:type="pct"/>
            <w:tcBorders>
              <w:top w:val="nil"/>
              <w:left w:val="nil"/>
              <w:bottom w:val="single" w:color="auto" w:sz="4" w:space="0"/>
              <w:right w:val="single" w:color="auto" w:sz="4" w:space="0"/>
            </w:tcBorders>
            <w:noWrap/>
            <w:vAlign w:val="center"/>
          </w:tcPr>
          <w:p w14:paraId="61EDC19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20</w:t>
            </w:r>
          </w:p>
        </w:tc>
        <w:tc>
          <w:tcPr>
            <w:tcW w:w="412" w:type="pct"/>
            <w:tcBorders>
              <w:top w:val="nil"/>
              <w:left w:val="nil"/>
              <w:bottom w:val="single" w:color="auto" w:sz="4" w:space="0"/>
              <w:right w:val="single" w:color="auto" w:sz="4" w:space="0"/>
            </w:tcBorders>
            <w:noWrap/>
            <w:vAlign w:val="center"/>
          </w:tcPr>
          <w:p w14:paraId="7928E05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709</w:t>
            </w:r>
          </w:p>
        </w:tc>
        <w:tc>
          <w:tcPr>
            <w:tcW w:w="857" w:type="pct"/>
            <w:tcBorders>
              <w:top w:val="nil"/>
              <w:left w:val="nil"/>
              <w:bottom w:val="single" w:color="auto" w:sz="4" w:space="0"/>
              <w:right w:val="single" w:color="auto" w:sz="4" w:space="0"/>
            </w:tcBorders>
            <w:noWrap/>
            <w:vAlign w:val="center"/>
          </w:tcPr>
          <w:p w14:paraId="30349BE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林地</w:t>
            </w:r>
          </w:p>
        </w:tc>
        <w:tc>
          <w:tcPr>
            <w:tcW w:w="474" w:type="pct"/>
            <w:tcBorders>
              <w:top w:val="nil"/>
              <w:left w:val="nil"/>
              <w:bottom w:val="single" w:color="auto" w:sz="4" w:space="0"/>
              <w:right w:val="single" w:color="auto" w:sz="4" w:space="0"/>
            </w:tcBorders>
            <w:noWrap/>
            <w:vAlign w:val="center"/>
          </w:tcPr>
          <w:p w14:paraId="6D4D4B9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低</w:t>
            </w:r>
          </w:p>
        </w:tc>
        <w:tc>
          <w:tcPr>
            <w:tcW w:w="900" w:type="pct"/>
            <w:tcBorders>
              <w:top w:val="nil"/>
              <w:left w:val="nil"/>
              <w:bottom w:val="single" w:color="auto" w:sz="4" w:space="0"/>
              <w:right w:val="single" w:color="auto" w:sz="4" w:space="0"/>
            </w:tcBorders>
            <w:noWrap/>
            <w:vAlign w:val="center"/>
          </w:tcPr>
          <w:p w14:paraId="495926C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白头鹎、家燕</w:t>
            </w:r>
          </w:p>
        </w:tc>
        <w:tc>
          <w:tcPr>
            <w:tcW w:w="1413" w:type="pct"/>
            <w:tcBorders>
              <w:top w:val="nil"/>
              <w:left w:val="nil"/>
              <w:bottom w:val="single" w:color="auto" w:sz="4" w:space="0"/>
              <w:right w:val="single" w:color="auto" w:sz="4" w:space="0"/>
            </w:tcBorders>
            <w:noWrap/>
            <w:vAlign w:val="center"/>
          </w:tcPr>
          <w:p w14:paraId="7C30D11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戴胜、夜鹭等</w:t>
            </w:r>
          </w:p>
        </w:tc>
      </w:tr>
      <w:tr w14:paraId="2DFE30B3">
        <w:tblPrEx>
          <w:tblCellMar>
            <w:top w:w="0" w:type="dxa"/>
            <w:left w:w="108" w:type="dxa"/>
            <w:bottom w:w="0" w:type="dxa"/>
            <w:right w:w="108" w:type="dxa"/>
          </w:tblCellMar>
        </w:tblPrEx>
        <w:trPr>
          <w:trHeight w:val="285" w:hRule="atLeast"/>
        </w:trPr>
        <w:tc>
          <w:tcPr>
            <w:tcW w:w="643" w:type="pct"/>
            <w:tcBorders>
              <w:top w:val="nil"/>
              <w:left w:val="single" w:color="auto" w:sz="4" w:space="0"/>
              <w:bottom w:val="single" w:color="auto" w:sz="4" w:space="0"/>
              <w:right w:val="single" w:color="auto" w:sz="4" w:space="0"/>
            </w:tcBorders>
            <w:noWrap/>
            <w:vAlign w:val="center"/>
          </w:tcPr>
          <w:p w14:paraId="5CB1626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四棚洼</w:t>
            </w:r>
          </w:p>
        </w:tc>
        <w:tc>
          <w:tcPr>
            <w:tcW w:w="302" w:type="pct"/>
            <w:tcBorders>
              <w:top w:val="nil"/>
              <w:left w:val="nil"/>
              <w:bottom w:val="single" w:color="auto" w:sz="4" w:space="0"/>
              <w:right w:val="single" w:color="auto" w:sz="4" w:space="0"/>
            </w:tcBorders>
            <w:noWrap/>
            <w:vAlign w:val="center"/>
          </w:tcPr>
          <w:p w14:paraId="1C1824A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24</w:t>
            </w:r>
          </w:p>
        </w:tc>
        <w:tc>
          <w:tcPr>
            <w:tcW w:w="412" w:type="pct"/>
            <w:tcBorders>
              <w:top w:val="nil"/>
              <w:left w:val="nil"/>
              <w:bottom w:val="single" w:color="auto" w:sz="4" w:space="0"/>
              <w:right w:val="single" w:color="auto" w:sz="4" w:space="0"/>
            </w:tcBorders>
            <w:noWrap/>
            <w:vAlign w:val="center"/>
          </w:tcPr>
          <w:p w14:paraId="654275A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1003</w:t>
            </w:r>
          </w:p>
        </w:tc>
        <w:tc>
          <w:tcPr>
            <w:tcW w:w="857" w:type="pct"/>
            <w:tcBorders>
              <w:top w:val="nil"/>
              <w:left w:val="nil"/>
              <w:bottom w:val="single" w:color="auto" w:sz="4" w:space="0"/>
              <w:right w:val="single" w:color="auto" w:sz="4" w:space="0"/>
            </w:tcBorders>
            <w:noWrap/>
            <w:vAlign w:val="center"/>
          </w:tcPr>
          <w:p w14:paraId="41A86BD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林地、居民区</w:t>
            </w:r>
          </w:p>
        </w:tc>
        <w:tc>
          <w:tcPr>
            <w:tcW w:w="474" w:type="pct"/>
            <w:tcBorders>
              <w:top w:val="nil"/>
              <w:left w:val="nil"/>
              <w:bottom w:val="single" w:color="auto" w:sz="4" w:space="0"/>
              <w:right w:val="single" w:color="auto" w:sz="4" w:space="0"/>
            </w:tcBorders>
            <w:noWrap/>
            <w:vAlign w:val="center"/>
          </w:tcPr>
          <w:p w14:paraId="753E380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低</w:t>
            </w:r>
          </w:p>
        </w:tc>
        <w:tc>
          <w:tcPr>
            <w:tcW w:w="900" w:type="pct"/>
            <w:tcBorders>
              <w:top w:val="nil"/>
              <w:left w:val="nil"/>
              <w:bottom w:val="single" w:color="auto" w:sz="4" w:space="0"/>
              <w:right w:val="single" w:color="auto" w:sz="4" w:space="0"/>
            </w:tcBorders>
            <w:noWrap/>
            <w:vAlign w:val="center"/>
          </w:tcPr>
          <w:p w14:paraId="6EF92AD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白头鹎、山斑鸠</w:t>
            </w:r>
          </w:p>
        </w:tc>
        <w:tc>
          <w:tcPr>
            <w:tcW w:w="1413" w:type="pct"/>
            <w:tcBorders>
              <w:top w:val="nil"/>
              <w:left w:val="nil"/>
              <w:bottom w:val="single" w:color="auto" w:sz="4" w:space="0"/>
              <w:right w:val="single" w:color="auto" w:sz="4" w:space="0"/>
            </w:tcBorders>
            <w:noWrap/>
            <w:vAlign w:val="center"/>
          </w:tcPr>
          <w:p w14:paraId="67EDEF3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小鸦鹃、白鹭等</w:t>
            </w:r>
          </w:p>
        </w:tc>
      </w:tr>
      <w:tr w14:paraId="1D19E0B1">
        <w:tblPrEx>
          <w:tblCellMar>
            <w:top w:w="0" w:type="dxa"/>
            <w:left w:w="108" w:type="dxa"/>
            <w:bottom w:w="0" w:type="dxa"/>
            <w:right w:w="108" w:type="dxa"/>
          </w:tblCellMar>
        </w:tblPrEx>
        <w:trPr>
          <w:trHeight w:val="285" w:hRule="atLeast"/>
        </w:trPr>
        <w:tc>
          <w:tcPr>
            <w:tcW w:w="643" w:type="pct"/>
            <w:tcBorders>
              <w:top w:val="nil"/>
              <w:left w:val="single" w:color="auto" w:sz="4" w:space="0"/>
              <w:bottom w:val="single" w:color="auto" w:sz="4" w:space="0"/>
              <w:right w:val="single" w:color="auto" w:sz="4" w:space="0"/>
            </w:tcBorders>
            <w:noWrap/>
            <w:vAlign w:val="center"/>
          </w:tcPr>
          <w:p w14:paraId="0B9F0D3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茅东山地</w:t>
            </w:r>
          </w:p>
        </w:tc>
        <w:tc>
          <w:tcPr>
            <w:tcW w:w="302" w:type="pct"/>
            <w:tcBorders>
              <w:top w:val="nil"/>
              <w:left w:val="nil"/>
              <w:bottom w:val="single" w:color="auto" w:sz="4" w:space="0"/>
              <w:right w:val="single" w:color="auto" w:sz="4" w:space="0"/>
            </w:tcBorders>
            <w:noWrap/>
            <w:vAlign w:val="center"/>
          </w:tcPr>
          <w:p w14:paraId="6FCA7D5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21</w:t>
            </w:r>
          </w:p>
        </w:tc>
        <w:tc>
          <w:tcPr>
            <w:tcW w:w="412" w:type="pct"/>
            <w:tcBorders>
              <w:top w:val="nil"/>
              <w:left w:val="nil"/>
              <w:bottom w:val="single" w:color="auto" w:sz="4" w:space="0"/>
              <w:right w:val="single" w:color="auto" w:sz="4" w:space="0"/>
            </w:tcBorders>
            <w:noWrap/>
            <w:vAlign w:val="center"/>
          </w:tcPr>
          <w:p w14:paraId="4637AA0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780</w:t>
            </w:r>
          </w:p>
        </w:tc>
        <w:tc>
          <w:tcPr>
            <w:tcW w:w="857" w:type="pct"/>
            <w:tcBorders>
              <w:top w:val="nil"/>
              <w:left w:val="nil"/>
              <w:bottom w:val="single" w:color="auto" w:sz="4" w:space="0"/>
              <w:right w:val="single" w:color="auto" w:sz="4" w:space="0"/>
            </w:tcBorders>
            <w:noWrap/>
            <w:vAlign w:val="center"/>
          </w:tcPr>
          <w:p w14:paraId="6082C18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林地、生态游憩地</w:t>
            </w:r>
          </w:p>
        </w:tc>
        <w:tc>
          <w:tcPr>
            <w:tcW w:w="474" w:type="pct"/>
            <w:tcBorders>
              <w:top w:val="nil"/>
              <w:left w:val="nil"/>
              <w:bottom w:val="single" w:color="auto" w:sz="4" w:space="0"/>
              <w:right w:val="single" w:color="auto" w:sz="4" w:space="0"/>
            </w:tcBorders>
            <w:noWrap/>
            <w:vAlign w:val="center"/>
          </w:tcPr>
          <w:p w14:paraId="13485DD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低</w:t>
            </w:r>
          </w:p>
        </w:tc>
        <w:tc>
          <w:tcPr>
            <w:tcW w:w="900" w:type="pct"/>
            <w:tcBorders>
              <w:top w:val="nil"/>
              <w:left w:val="nil"/>
              <w:bottom w:val="single" w:color="auto" w:sz="4" w:space="0"/>
              <w:right w:val="single" w:color="auto" w:sz="4" w:space="0"/>
            </w:tcBorders>
            <w:noWrap/>
            <w:vAlign w:val="center"/>
          </w:tcPr>
          <w:p w14:paraId="5A441715">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白头鹎、暗绿绣眼鸟</w:t>
            </w:r>
          </w:p>
        </w:tc>
        <w:tc>
          <w:tcPr>
            <w:tcW w:w="1413" w:type="pct"/>
            <w:tcBorders>
              <w:top w:val="nil"/>
              <w:left w:val="nil"/>
              <w:bottom w:val="single" w:color="auto" w:sz="4" w:space="0"/>
              <w:right w:val="single" w:color="auto" w:sz="4" w:space="0"/>
            </w:tcBorders>
            <w:noWrap/>
            <w:vAlign w:val="center"/>
          </w:tcPr>
          <w:p w14:paraId="013659A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戴胜、白鹭、夜鹭等</w:t>
            </w:r>
          </w:p>
        </w:tc>
      </w:tr>
    </w:tbl>
    <w:p w14:paraId="04CDA04D">
      <w:pPr>
        <w:ind w:firstLine="482"/>
        <w:rPr>
          <w:b/>
        </w:rPr>
      </w:pPr>
      <w:r>
        <w:rPr>
          <w:rFonts w:hint="eastAsia"/>
          <w:b/>
        </w:rPr>
        <w:t>（</w:t>
      </w:r>
      <w:r>
        <w:rPr>
          <w:b/>
        </w:rPr>
        <w:t>2</w:t>
      </w:r>
      <w:r>
        <w:rPr>
          <w:rFonts w:hint="eastAsia"/>
          <w:b/>
        </w:rPr>
        <w:t>）爬行动物</w:t>
      </w:r>
    </w:p>
    <w:p w14:paraId="5F8B5937">
      <w:pPr>
        <w:ind w:firstLine="480"/>
        <w:rPr>
          <w:rFonts w:cs="Times New Roman"/>
        </w:rPr>
      </w:pPr>
      <w:r>
        <w:rPr>
          <w:rFonts w:cs="Times New Roman"/>
        </w:rPr>
        <w:t>根据2016~2018年间编制的《常州市金坛区向阳水库水源涵养区、茅东山地水源涵养区、四棚洼生态公益林、方山森林公园生态资源调查报告》，统计得到区域内爬行类共计3目24种（历史记录23种），其中省级爬行保护动物4种，包括：赤链蛇（</w:t>
      </w:r>
      <w:r>
        <w:rPr>
          <w:rFonts w:eastAsia="华康周氏行楷 W3" w:cs="Times New Roman"/>
          <w:i/>
          <w:iCs/>
        </w:rPr>
        <w:t>Dinodon rufozonatum.</w:t>
      </w:r>
      <w:r>
        <w:rPr>
          <w:rFonts w:cs="Times New Roman"/>
        </w:rPr>
        <w:t>）王锦蛇</w:t>
      </w:r>
      <w:r>
        <w:rPr>
          <w:rFonts w:hint="eastAsia" w:cs="Times New Roman"/>
        </w:rPr>
        <w:t>（</w:t>
      </w:r>
      <w:r>
        <w:rPr>
          <w:rFonts w:eastAsia="华康周氏行楷 W3" w:cs="Times New Roman"/>
          <w:i/>
          <w:iCs/>
        </w:rPr>
        <w:t>Elaphe carinata.</w:t>
      </w:r>
      <w:r>
        <w:rPr>
          <w:rFonts w:hint="eastAsia" w:cs="Times New Roman"/>
        </w:rPr>
        <w:t xml:space="preserve"> ）</w:t>
      </w:r>
      <w:r>
        <w:rPr>
          <w:rFonts w:cs="Times New Roman"/>
        </w:rPr>
        <w:t>、黑眉锦蛇</w:t>
      </w:r>
      <w:r>
        <w:rPr>
          <w:rFonts w:hint="eastAsia" w:cs="Times New Roman"/>
        </w:rPr>
        <w:t>（</w:t>
      </w:r>
      <w:r>
        <w:rPr>
          <w:rFonts w:eastAsia="华康周氏行楷 W3" w:cs="Times New Roman"/>
          <w:i/>
          <w:iCs/>
        </w:rPr>
        <w:t>Elaphe taeniura.</w:t>
      </w:r>
      <w:r>
        <w:rPr>
          <w:rFonts w:hint="eastAsia" w:cs="Times New Roman"/>
        </w:rPr>
        <w:t>）</w:t>
      </w:r>
      <w:r>
        <w:rPr>
          <w:rFonts w:cs="Times New Roman"/>
        </w:rPr>
        <w:t>和短尾蛇</w:t>
      </w:r>
      <w:r>
        <w:rPr>
          <w:rFonts w:hint="eastAsia" w:cs="Times New Roman"/>
        </w:rPr>
        <w:t>（</w:t>
      </w:r>
      <w:r>
        <w:rPr>
          <w:rFonts w:eastAsia="华康周氏行楷 W3" w:cs="Times New Roman"/>
          <w:i/>
          <w:iCs/>
        </w:rPr>
        <w:t>Gloydius brevicaudus.</w:t>
      </w:r>
      <w:r>
        <w:rPr>
          <w:rFonts w:hint="eastAsia" w:cs="Times New Roman"/>
        </w:rPr>
        <w:t>）</w:t>
      </w:r>
      <w:r>
        <w:rPr>
          <w:rFonts w:cs="Times New Roman"/>
        </w:rPr>
        <w:t>，并未记录到国家级重点野生保护爬行动物。</w:t>
      </w:r>
    </w:p>
    <w:p w14:paraId="7FEA6DC1">
      <w:pPr>
        <w:ind w:firstLine="482"/>
        <w:rPr>
          <w:b/>
        </w:rPr>
      </w:pPr>
      <w:r>
        <w:rPr>
          <w:rFonts w:hint="eastAsia"/>
          <w:b/>
        </w:rPr>
        <w:t>（</w:t>
      </w:r>
      <w:r>
        <w:rPr>
          <w:b/>
        </w:rPr>
        <w:t>3</w:t>
      </w:r>
      <w:r>
        <w:rPr>
          <w:rFonts w:hint="eastAsia"/>
          <w:b/>
        </w:rPr>
        <w:t>）两栖动物</w:t>
      </w:r>
    </w:p>
    <w:p w14:paraId="5F81744E">
      <w:pPr>
        <w:ind w:firstLine="480"/>
      </w:pPr>
      <w:r>
        <w:rPr>
          <w:rFonts w:hint="eastAsia"/>
        </w:rPr>
        <w:t>根据2016~2018年间编制的《常州市金坛区向阳水库水源涵养区、茅东山地水源涵养区、四棚洼生态公益林、方山森林公园生态资源调查报告》，统计得到区域内两栖动物共计2目6科8种（历史记录11种）。调查中共记录省级爬行保护动物4种，包括：中华大蟾、金线侧褶蛙、黑斑侧褶蛙、虎纹蛙。</w:t>
      </w:r>
    </w:p>
    <w:p w14:paraId="0457C375">
      <w:pPr>
        <w:ind w:firstLine="482"/>
        <w:rPr>
          <w:b/>
        </w:rPr>
      </w:pPr>
      <w:r>
        <w:rPr>
          <w:rFonts w:hint="eastAsia"/>
          <w:b/>
        </w:rPr>
        <w:t>（4）哺乳动物</w:t>
      </w:r>
    </w:p>
    <w:p w14:paraId="35F2214B">
      <w:pPr>
        <w:ind w:firstLine="480"/>
      </w:pPr>
      <w:r>
        <w:rPr>
          <w:rFonts w:hint="eastAsia"/>
        </w:rPr>
        <w:t>初步清理金坛区哺乳动物物种，统计得到区域内哺乳动物共计7目10科15种（历史记录27种）。包括食虫目2种：刺猬、小麝，翼手目1种：小伏翼，兔形目1种：草兔，啮齿目6种：黑腹绒鼠、大仓鼠、小家鼠、黑线姬鼠、黄胸鼠、褐家鼠，食肉目3种：黄鼬、狗和白狐，灵长目1种：猕猴，偶蹄目1种：山猪。其中，黄鼬和狗为江苏省重点保护动物，分布于湿地沿线的绿地和农田中。</w:t>
      </w:r>
    </w:p>
    <w:p w14:paraId="24F40028">
      <w:pPr>
        <w:ind w:firstLine="0" w:firstLineChars="0"/>
        <w:outlineLvl w:val="3"/>
      </w:pPr>
      <w:r>
        <w:t>3</w:t>
      </w:r>
      <w:r>
        <w:rPr>
          <w:rFonts w:hint="eastAsia"/>
        </w:rPr>
        <w:t>.</w:t>
      </w:r>
      <w:r>
        <w:t>6</w:t>
      </w:r>
      <w:r>
        <w:rPr>
          <w:rFonts w:hint="eastAsia"/>
        </w:rPr>
        <w:t>.</w:t>
      </w:r>
      <w:r>
        <w:t>2</w:t>
      </w:r>
      <w:r>
        <w:rPr>
          <w:rFonts w:hint="eastAsia"/>
        </w:rPr>
        <w:t>.</w:t>
      </w:r>
      <w:r>
        <w:t>3</w:t>
      </w:r>
      <w:r>
        <w:rPr>
          <w:rFonts w:hint="eastAsia"/>
        </w:rPr>
        <w:t>陆生昆虫</w:t>
      </w:r>
    </w:p>
    <w:p w14:paraId="3FB6C411">
      <w:pPr>
        <w:ind w:firstLine="480"/>
      </w:pPr>
      <w:r>
        <w:rPr>
          <w:rFonts w:hint="eastAsia"/>
        </w:rPr>
        <w:t>初步清理金坛区昆虫物种，统计得到区域内昆虫共计104种，属12目57科97属。2</w:t>
      </w:r>
      <w:r>
        <w:t>019</w:t>
      </w:r>
      <w:r>
        <w:rPr>
          <w:rFonts w:hint="eastAsia"/>
        </w:rPr>
        <w:t>年生物多样性本底调查昆虫分布情况汇总见下表。向阳水库水源涵养区的昆虫种类最为丰富，瓦沟水库、方山森林公园昆虫种类相对较少。</w:t>
      </w:r>
    </w:p>
    <w:p w14:paraId="618C893B">
      <w:pPr>
        <w:pStyle w:val="45"/>
        <w:rPr>
          <w:rFonts w:cs="Times New Roman"/>
        </w:rPr>
      </w:pPr>
      <w:r>
        <w:rPr>
          <w:rFonts w:hint="eastAsia" w:cs="Times New Roman"/>
        </w:rPr>
        <w:t>表3.</w:t>
      </w:r>
      <w:r>
        <w:rPr>
          <w:rFonts w:cs="Times New Roman"/>
        </w:rPr>
        <w:t>6</w:t>
      </w:r>
      <w:r>
        <w:rPr>
          <w:rFonts w:hint="eastAsia" w:cs="Times New Roman"/>
        </w:rPr>
        <w:t>-</w:t>
      </w:r>
      <w:r>
        <w:rPr>
          <w:rFonts w:cs="Times New Roman"/>
        </w:rPr>
        <w:t>4</w:t>
      </w:r>
      <w:r>
        <w:rPr>
          <w:rFonts w:hint="eastAsia" w:cs="Times New Roman"/>
        </w:rPr>
        <w:t xml:space="preserve"> </w:t>
      </w:r>
      <w:r>
        <w:rPr>
          <w:rFonts w:cs="Times New Roman"/>
        </w:rPr>
        <w:t xml:space="preserve"> </w:t>
      </w:r>
      <w:r>
        <w:rPr>
          <w:rFonts w:hint="eastAsia" w:cs="Times New Roman"/>
        </w:rPr>
        <w:t>度假区内各调查区域鸟类比较</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4"/>
        <w:gridCol w:w="2074"/>
        <w:gridCol w:w="2074"/>
        <w:gridCol w:w="2074"/>
      </w:tblGrid>
      <w:tr w14:paraId="46DEE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074" w:type="dxa"/>
            <w:vAlign w:val="center"/>
          </w:tcPr>
          <w:p w14:paraId="67797A18">
            <w:pPr>
              <w:spacing w:line="240" w:lineRule="auto"/>
              <w:ind w:firstLine="0" w:firstLineChars="0"/>
              <w:jc w:val="center"/>
              <w:rPr>
                <w:b/>
                <w:sz w:val="21"/>
                <w:szCs w:val="20"/>
              </w:rPr>
            </w:pPr>
            <w:r>
              <w:rPr>
                <w:rFonts w:hint="eastAsia"/>
                <w:b/>
                <w:sz w:val="21"/>
                <w:szCs w:val="20"/>
              </w:rPr>
              <w:t>地点</w:t>
            </w:r>
          </w:p>
        </w:tc>
        <w:tc>
          <w:tcPr>
            <w:tcW w:w="2074" w:type="dxa"/>
            <w:vAlign w:val="center"/>
          </w:tcPr>
          <w:p w14:paraId="3A4DC682">
            <w:pPr>
              <w:spacing w:line="240" w:lineRule="auto"/>
              <w:ind w:firstLine="0" w:firstLineChars="0"/>
              <w:jc w:val="center"/>
              <w:rPr>
                <w:b/>
                <w:sz w:val="21"/>
                <w:szCs w:val="20"/>
              </w:rPr>
            </w:pPr>
            <w:r>
              <w:rPr>
                <w:rFonts w:hint="eastAsia"/>
                <w:b/>
                <w:sz w:val="21"/>
                <w:szCs w:val="20"/>
              </w:rPr>
              <w:t>种数</w:t>
            </w:r>
          </w:p>
        </w:tc>
        <w:tc>
          <w:tcPr>
            <w:tcW w:w="2074" w:type="dxa"/>
            <w:vAlign w:val="center"/>
          </w:tcPr>
          <w:p w14:paraId="54C53042">
            <w:pPr>
              <w:spacing w:line="240" w:lineRule="auto"/>
              <w:ind w:firstLine="0" w:firstLineChars="0"/>
              <w:jc w:val="center"/>
              <w:rPr>
                <w:b/>
                <w:sz w:val="21"/>
                <w:szCs w:val="20"/>
              </w:rPr>
            </w:pPr>
            <w:r>
              <w:rPr>
                <w:rFonts w:hint="eastAsia"/>
                <w:b/>
                <w:sz w:val="21"/>
                <w:szCs w:val="20"/>
              </w:rPr>
              <w:t>科数</w:t>
            </w:r>
          </w:p>
        </w:tc>
        <w:tc>
          <w:tcPr>
            <w:tcW w:w="2074" w:type="dxa"/>
            <w:vAlign w:val="center"/>
          </w:tcPr>
          <w:p w14:paraId="2BD9354F">
            <w:pPr>
              <w:spacing w:line="240" w:lineRule="auto"/>
              <w:ind w:firstLine="0" w:firstLineChars="0"/>
              <w:jc w:val="center"/>
              <w:rPr>
                <w:b/>
                <w:sz w:val="21"/>
                <w:szCs w:val="20"/>
              </w:rPr>
            </w:pPr>
            <w:r>
              <w:rPr>
                <w:rFonts w:hint="eastAsia"/>
                <w:b/>
                <w:sz w:val="21"/>
                <w:szCs w:val="20"/>
              </w:rPr>
              <w:t>目数</w:t>
            </w:r>
          </w:p>
        </w:tc>
      </w:tr>
      <w:tr w14:paraId="56F26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074" w:type="dxa"/>
            <w:vAlign w:val="center"/>
          </w:tcPr>
          <w:p w14:paraId="719D3009">
            <w:pPr>
              <w:spacing w:line="240" w:lineRule="auto"/>
              <w:ind w:firstLine="0" w:firstLineChars="0"/>
              <w:jc w:val="center"/>
              <w:rPr>
                <w:sz w:val="21"/>
                <w:szCs w:val="20"/>
              </w:rPr>
            </w:pPr>
            <w:r>
              <w:rPr>
                <w:rFonts w:hint="eastAsia" w:ascii="仿宋_GB2312" w:cs="仿宋_GB2312" w:hAnsiTheme="minorHAnsi"/>
                <w:kern w:val="0"/>
                <w:sz w:val="21"/>
                <w:szCs w:val="20"/>
                <w14:ligatures w14:val="none"/>
              </w:rPr>
              <w:t>向阳水库</w:t>
            </w:r>
          </w:p>
        </w:tc>
        <w:tc>
          <w:tcPr>
            <w:tcW w:w="2074" w:type="dxa"/>
            <w:vAlign w:val="center"/>
          </w:tcPr>
          <w:p w14:paraId="3648BCF6">
            <w:pPr>
              <w:spacing w:line="240" w:lineRule="auto"/>
              <w:ind w:firstLine="0" w:firstLineChars="0"/>
              <w:jc w:val="center"/>
              <w:rPr>
                <w:sz w:val="21"/>
                <w:szCs w:val="20"/>
              </w:rPr>
            </w:pPr>
            <w:r>
              <w:rPr>
                <w:rFonts w:hint="eastAsia"/>
                <w:sz w:val="21"/>
                <w:szCs w:val="20"/>
              </w:rPr>
              <w:t>31</w:t>
            </w:r>
          </w:p>
        </w:tc>
        <w:tc>
          <w:tcPr>
            <w:tcW w:w="2074" w:type="dxa"/>
            <w:vAlign w:val="center"/>
          </w:tcPr>
          <w:p w14:paraId="1F85EE3B">
            <w:pPr>
              <w:spacing w:line="240" w:lineRule="auto"/>
              <w:ind w:firstLine="0" w:firstLineChars="0"/>
              <w:jc w:val="center"/>
              <w:rPr>
                <w:sz w:val="21"/>
                <w:szCs w:val="20"/>
              </w:rPr>
            </w:pPr>
            <w:r>
              <w:rPr>
                <w:rFonts w:hint="eastAsia"/>
                <w:sz w:val="21"/>
                <w:szCs w:val="20"/>
              </w:rPr>
              <w:t>20</w:t>
            </w:r>
          </w:p>
        </w:tc>
        <w:tc>
          <w:tcPr>
            <w:tcW w:w="2074" w:type="dxa"/>
            <w:vAlign w:val="center"/>
          </w:tcPr>
          <w:p w14:paraId="7010FE22">
            <w:pPr>
              <w:spacing w:line="240" w:lineRule="auto"/>
              <w:ind w:firstLine="0" w:firstLineChars="0"/>
              <w:jc w:val="center"/>
              <w:rPr>
                <w:sz w:val="21"/>
                <w:szCs w:val="20"/>
              </w:rPr>
            </w:pPr>
            <w:r>
              <w:rPr>
                <w:rFonts w:hint="eastAsia"/>
                <w:sz w:val="21"/>
                <w:szCs w:val="20"/>
              </w:rPr>
              <w:t>5</w:t>
            </w:r>
          </w:p>
        </w:tc>
      </w:tr>
      <w:tr w14:paraId="4FE78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074" w:type="dxa"/>
            <w:vAlign w:val="center"/>
          </w:tcPr>
          <w:p w14:paraId="2B83FAF0">
            <w:pPr>
              <w:spacing w:line="240" w:lineRule="auto"/>
              <w:ind w:firstLine="0" w:firstLineChars="0"/>
              <w:jc w:val="center"/>
              <w:rPr>
                <w:sz w:val="21"/>
                <w:szCs w:val="20"/>
              </w:rPr>
            </w:pPr>
            <w:r>
              <w:rPr>
                <w:rFonts w:hint="eastAsia"/>
                <w:sz w:val="21"/>
                <w:szCs w:val="20"/>
              </w:rPr>
              <w:t>东进水库</w:t>
            </w:r>
          </w:p>
        </w:tc>
        <w:tc>
          <w:tcPr>
            <w:tcW w:w="2074" w:type="dxa"/>
            <w:vAlign w:val="center"/>
          </w:tcPr>
          <w:p w14:paraId="013E9086">
            <w:pPr>
              <w:spacing w:line="240" w:lineRule="auto"/>
              <w:ind w:firstLine="0" w:firstLineChars="0"/>
              <w:jc w:val="center"/>
              <w:rPr>
                <w:sz w:val="21"/>
                <w:szCs w:val="20"/>
              </w:rPr>
            </w:pPr>
            <w:r>
              <w:rPr>
                <w:rFonts w:hint="eastAsia"/>
                <w:sz w:val="21"/>
                <w:szCs w:val="20"/>
              </w:rPr>
              <w:t>18</w:t>
            </w:r>
          </w:p>
        </w:tc>
        <w:tc>
          <w:tcPr>
            <w:tcW w:w="2074" w:type="dxa"/>
            <w:vAlign w:val="center"/>
          </w:tcPr>
          <w:p w14:paraId="583B1528">
            <w:pPr>
              <w:spacing w:line="240" w:lineRule="auto"/>
              <w:ind w:firstLine="0" w:firstLineChars="0"/>
              <w:jc w:val="center"/>
              <w:rPr>
                <w:sz w:val="21"/>
                <w:szCs w:val="20"/>
              </w:rPr>
            </w:pPr>
            <w:r>
              <w:rPr>
                <w:rFonts w:hint="eastAsia"/>
                <w:sz w:val="21"/>
                <w:szCs w:val="20"/>
              </w:rPr>
              <w:t>13</w:t>
            </w:r>
          </w:p>
        </w:tc>
        <w:tc>
          <w:tcPr>
            <w:tcW w:w="2074" w:type="dxa"/>
            <w:vAlign w:val="center"/>
          </w:tcPr>
          <w:p w14:paraId="6DA78D60">
            <w:pPr>
              <w:spacing w:line="240" w:lineRule="auto"/>
              <w:ind w:firstLine="0" w:firstLineChars="0"/>
              <w:jc w:val="center"/>
              <w:rPr>
                <w:sz w:val="21"/>
                <w:szCs w:val="20"/>
              </w:rPr>
            </w:pPr>
            <w:r>
              <w:rPr>
                <w:rFonts w:hint="eastAsia"/>
                <w:sz w:val="21"/>
                <w:szCs w:val="20"/>
              </w:rPr>
              <w:t>6</w:t>
            </w:r>
          </w:p>
        </w:tc>
      </w:tr>
      <w:tr w14:paraId="68E36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074" w:type="dxa"/>
            <w:vAlign w:val="center"/>
          </w:tcPr>
          <w:p w14:paraId="00F738A3">
            <w:pPr>
              <w:spacing w:line="240" w:lineRule="auto"/>
              <w:ind w:firstLine="0" w:firstLineChars="0"/>
              <w:jc w:val="center"/>
              <w:rPr>
                <w:sz w:val="21"/>
                <w:szCs w:val="20"/>
              </w:rPr>
            </w:pPr>
            <w:r>
              <w:rPr>
                <w:rFonts w:hint="eastAsia"/>
                <w:sz w:val="21"/>
                <w:szCs w:val="20"/>
              </w:rPr>
              <w:t>茅东水库林地</w:t>
            </w:r>
          </w:p>
        </w:tc>
        <w:tc>
          <w:tcPr>
            <w:tcW w:w="2074" w:type="dxa"/>
            <w:vAlign w:val="center"/>
          </w:tcPr>
          <w:p w14:paraId="2744819C">
            <w:pPr>
              <w:spacing w:line="240" w:lineRule="auto"/>
              <w:ind w:firstLine="0" w:firstLineChars="0"/>
              <w:jc w:val="center"/>
              <w:rPr>
                <w:sz w:val="21"/>
                <w:szCs w:val="20"/>
              </w:rPr>
            </w:pPr>
            <w:r>
              <w:rPr>
                <w:rFonts w:hint="eastAsia"/>
                <w:sz w:val="21"/>
                <w:szCs w:val="20"/>
              </w:rPr>
              <w:t>12</w:t>
            </w:r>
          </w:p>
        </w:tc>
        <w:tc>
          <w:tcPr>
            <w:tcW w:w="2074" w:type="dxa"/>
            <w:vAlign w:val="center"/>
          </w:tcPr>
          <w:p w14:paraId="0A2D0096">
            <w:pPr>
              <w:spacing w:line="240" w:lineRule="auto"/>
              <w:ind w:firstLine="0" w:firstLineChars="0"/>
              <w:jc w:val="center"/>
              <w:rPr>
                <w:sz w:val="21"/>
                <w:szCs w:val="20"/>
              </w:rPr>
            </w:pPr>
            <w:r>
              <w:rPr>
                <w:rFonts w:hint="eastAsia"/>
                <w:sz w:val="21"/>
                <w:szCs w:val="20"/>
              </w:rPr>
              <w:t>9</w:t>
            </w:r>
          </w:p>
        </w:tc>
        <w:tc>
          <w:tcPr>
            <w:tcW w:w="2074" w:type="dxa"/>
            <w:vAlign w:val="center"/>
          </w:tcPr>
          <w:p w14:paraId="7B7C4155">
            <w:pPr>
              <w:spacing w:line="240" w:lineRule="auto"/>
              <w:ind w:firstLine="0" w:firstLineChars="0"/>
              <w:jc w:val="center"/>
              <w:rPr>
                <w:sz w:val="21"/>
                <w:szCs w:val="20"/>
              </w:rPr>
            </w:pPr>
            <w:r>
              <w:rPr>
                <w:rFonts w:hint="eastAsia"/>
                <w:sz w:val="21"/>
                <w:szCs w:val="20"/>
              </w:rPr>
              <w:t>5</w:t>
            </w:r>
          </w:p>
        </w:tc>
      </w:tr>
      <w:tr w14:paraId="748A5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074" w:type="dxa"/>
            <w:vAlign w:val="center"/>
          </w:tcPr>
          <w:p w14:paraId="7666A970">
            <w:pPr>
              <w:spacing w:line="240" w:lineRule="auto"/>
              <w:ind w:firstLine="0" w:firstLineChars="0"/>
              <w:jc w:val="center"/>
              <w:rPr>
                <w:sz w:val="21"/>
                <w:szCs w:val="20"/>
              </w:rPr>
            </w:pPr>
            <w:r>
              <w:rPr>
                <w:rFonts w:hint="eastAsia"/>
                <w:sz w:val="21"/>
                <w:szCs w:val="20"/>
              </w:rPr>
              <w:t>四棚洼</w:t>
            </w:r>
          </w:p>
        </w:tc>
        <w:tc>
          <w:tcPr>
            <w:tcW w:w="2074" w:type="dxa"/>
            <w:vAlign w:val="center"/>
          </w:tcPr>
          <w:p w14:paraId="5B7F2DAA">
            <w:pPr>
              <w:spacing w:line="240" w:lineRule="auto"/>
              <w:ind w:firstLine="0" w:firstLineChars="0"/>
              <w:jc w:val="center"/>
              <w:rPr>
                <w:sz w:val="21"/>
                <w:szCs w:val="20"/>
              </w:rPr>
            </w:pPr>
            <w:r>
              <w:rPr>
                <w:rFonts w:hint="eastAsia"/>
                <w:sz w:val="21"/>
                <w:szCs w:val="20"/>
              </w:rPr>
              <w:t>12</w:t>
            </w:r>
          </w:p>
        </w:tc>
        <w:tc>
          <w:tcPr>
            <w:tcW w:w="2074" w:type="dxa"/>
            <w:vAlign w:val="center"/>
          </w:tcPr>
          <w:p w14:paraId="3907B5E4">
            <w:pPr>
              <w:spacing w:line="240" w:lineRule="auto"/>
              <w:ind w:firstLine="0" w:firstLineChars="0"/>
              <w:jc w:val="center"/>
              <w:rPr>
                <w:sz w:val="21"/>
                <w:szCs w:val="20"/>
              </w:rPr>
            </w:pPr>
            <w:r>
              <w:rPr>
                <w:rFonts w:hint="eastAsia"/>
                <w:sz w:val="21"/>
                <w:szCs w:val="20"/>
              </w:rPr>
              <w:t>11</w:t>
            </w:r>
          </w:p>
        </w:tc>
        <w:tc>
          <w:tcPr>
            <w:tcW w:w="2074" w:type="dxa"/>
            <w:vAlign w:val="center"/>
          </w:tcPr>
          <w:p w14:paraId="77D9AB37">
            <w:pPr>
              <w:spacing w:line="240" w:lineRule="auto"/>
              <w:ind w:firstLine="0" w:firstLineChars="0"/>
              <w:jc w:val="center"/>
              <w:rPr>
                <w:sz w:val="21"/>
                <w:szCs w:val="20"/>
              </w:rPr>
            </w:pPr>
            <w:r>
              <w:rPr>
                <w:rFonts w:hint="eastAsia"/>
                <w:sz w:val="21"/>
                <w:szCs w:val="20"/>
              </w:rPr>
              <w:t>7</w:t>
            </w:r>
          </w:p>
        </w:tc>
      </w:tr>
      <w:tr w14:paraId="071FE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074" w:type="dxa"/>
            <w:vAlign w:val="center"/>
          </w:tcPr>
          <w:p w14:paraId="793CFBCE">
            <w:pPr>
              <w:spacing w:line="240" w:lineRule="auto"/>
              <w:ind w:firstLine="0" w:firstLineChars="0"/>
              <w:jc w:val="center"/>
              <w:rPr>
                <w:sz w:val="21"/>
                <w:szCs w:val="20"/>
              </w:rPr>
            </w:pPr>
            <w:r>
              <w:rPr>
                <w:rFonts w:hint="eastAsia"/>
                <w:sz w:val="21"/>
                <w:szCs w:val="20"/>
              </w:rPr>
              <w:t>茅山</w:t>
            </w:r>
          </w:p>
        </w:tc>
        <w:tc>
          <w:tcPr>
            <w:tcW w:w="2074" w:type="dxa"/>
            <w:vAlign w:val="center"/>
          </w:tcPr>
          <w:p w14:paraId="3394F84F">
            <w:pPr>
              <w:spacing w:line="240" w:lineRule="auto"/>
              <w:ind w:firstLine="0" w:firstLineChars="0"/>
              <w:jc w:val="center"/>
              <w:rPr>
                <w:sz w:val="21"/>
                <w:szCs w:val="20"/>
              </w:rPr>
            </w:pPr>
            <w:r>
              <w:rPr>
                <w:rFonts w:hint="eastAsia"/>
                <w:sz w:val="21"/>
                <w:szCs w:val="20"/>
              </w:rPr>
              <w:t>10</w:t>
            </w:r>
          </w:p>
        </w:tc>
        <w:tc>
          <w:tcPr>
            <w:tcW w:w="2074" w:type="dxa"/>
            <w:vAlign w:val="center"/>
          </w:tcPr>
          <w:p w14:paraId="7506CCE2">
            <w:pPr>
              <w:spacing w:line="240" w:lineRule="auto"/>
              <w:ind w:firstLine="0" w:firstLineChars="0"/>
              <w:jc w:val="center"/>
              <w:rPr>
                <w:sz w:val="21"/>
                <w:szCs w:val="20"/>
              </w:rPr>
            </w:pPr>
            <w:r>
              <w:rPr>
                <w:rFonts w:hint="eastAsia"/>
                <w:sz w:val="21"/>
                <w:szCs w:val="20"/>
              </w:rPr>
              <w:t>9</w:t>
            </w:r>
          </w:p>
        </w:tc>
        <w:tc>
          <w:tcPr>
            <w:tcW w:w="2074" w:type="dxa"/>
            <w:vAlign w:val="center"/>
          </w:tcPr>
          <w:p w14:paraId="20EEE04E">
            <w:pPr>
              <w:spacing w:line="240" w:lineRule="auto"/>
              <w:ind w:firstLine="0" w:firstLineChars="0"/>
              <w:jc w:val="center"/>
              <w:rPr>
                <w:sz w:val="21"/>
                <w:szCs w:val="20"/>
              </w:rPr>
            </w:pPr>
            <w:r>
              <w:rPr>
                <w:rFonts w:hint="eastAsia"/>
                <w:sz w:val="21"/>
                <w:szCs w:val="20"/>
              </w:rPr>
              <w:t>6</w:t>
            </w:r>
          </w:p>
        </w:tc>
      </w:tr>
      <w:tr w14:paraId="5A34C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074" w:type="dxa"/>
            <w:vAlign w:val="center"/>
          </w:tcPr>
          <w:p w14:paraId="6D03220E">
            <w:pPr>
              <w:spacing w:line="240" w:lineRule="auto"/>
              <w:ind w:firstLine="0" w:firstLineChars="0"/>
              <w:jc w:val="center"/>
              <w:rPr>
                <w:sz w:val="21"/>
                <w:szCs w:val="20"/>
              </w:rPr>
            </w:pPr>
            <w:r>
              <w:rPr>
                <w:rFonts w:hint="eastAsia"/>
                <w:sz w:val="21"/>
                <w:szCs w:val="20"/>
              </w:rPr>
              <w:t>瓦沟水库</w:t>
            </w:r>
          </w:p>
        </w:tc>
        <w:tc>
          <w:tcPr>
            <w:tcW w:w="2074" w:type="dxa"/>
            <w:vAlign w:val="center"/>
          </w:tcPr>
          <w:p w14:paraId="2C3E58C4">
            <w:pPr>
              <w:spacing w:line="240" w:lineRule="auto"/>
              <w:ind w:firstLine="0" w:firstLineChars="0"/>
              <w:jc w:val="center"/>
              <w:rPr>
                <w:sz w:val="21"/>
                <w:szCs w:val="20"/>
              </w:rPr>
            </w:pPr>
            <w:r>
              <w:rPr>
                <w:rFonts w:hint="eastAsia"/>
                <w:sz w:val="21"/>
                <w:szCs w:val="20"/>
              </w:rPr>
              <w:t>9</w:t>
            </w:r>
          </w:p>
        </w:tc>
        <w:tc>
          <w:tcPr>
            <w:tcW w:w="2074" w:type="dxa"/>
            <w:vAlign w:val="center"/>
          </w:tcPr>
          <w:p w14:paraId="6EE01D69">
            <w:pPr>
              <w:spacing w:line="240" w:lineRule="auto"/>
              <w:ind w:firstLine="0" w:firstLineChars="0"/>
              <w:jc w:val="center"/>
              <w:rPr>
                <w:sz w:val="21"/>
                <w:szCs w:val="20"/>
              </w:rPr>
            </w:pPr>
            <w:r>
              <w:rPr>
                <w:rFonts w:hint="eastAsia"/>
                <w:sz w:val="21"/>
                <w:szCs w:val="20"/>
              </w:rPr>
              <w:t>6</w:t>
            </w:r>
          </w:p>
        </w:tc>
        <w:tc>
          <w:tcPr>
            <w:tcW w:w="2074" w:type="dxa"/>
            <w:vAlign w:val="center"/>
          </w:tcPr>
          <w:p w14:paraId="26D5268E">
            <w:pPr>
              <w:spacing w:line="240" w:lineRule="auto"/>
              <w:ind w:firstLine="0" w:firstLineChars="0"/>
              <w:jc w:val="center"/>
              <w:rPr>
                <w:sz w:val="21"/>
                <w:szCs w:val="20"/>
              </w:rPr>
            </w:pPr>
            <w:r>
              <w:rPr>
                <w:rFonts w:hint="eastAsia"/>
                <w:sz w:val="21"/>
                <w:szCs w:val="20"/>
              </w:rPr>
              <w:t>3</w:t>
            </w:r>
          </w:p>
        </w:tc>
      </w:tr>
      <w:tr w14:paraId="17EB9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074" w:type="dxa"/>
            <w:vAlign w:val="center"/>
          </w:tcPr>
          <w:p w14:paraId="36D5B3B1">
            <w:pPr>
              <w:spacing w:line="240" w:lineRule="auto"/>
              <w:ind w:firstLine="0" w:firstLineChars="0"/>
              <w:jc w:val="center"/>
              <w:rPr>
                <w:sz w:val="21"/>
                <w:szCs w:val="20"/>
              </w:rPr>
            </w:pPr>
            <w:r>
              <w:rPr>
                <w:rFonts w:hint="eastAsia"/>
                <w:sz w:val="21"/>
                <w:szCs w:val="20"/>
              </w:rPr>
              <w:t>方山森林公园</w:t>
            </w:r>
          </w:p>
        </w:tc>
        <w:tc>
          <w:tcPr>
            <w:tcW w:w="2074" w:type="dxa"/>
            <w:vAlign w:val="center"/>
          </w:tcPr>
          <w:p w14:paraId="3F5B5B00">
            <w:pPr>
              <w:spacing w:line="240" w:lineRule="auto"/>
              <w:ind w:firstLine="0" w:firstLineChars="0"/>
              <w:jc w:val="center"/>
              <w:rPr>
                <w:sz w:val="21"/>
                <w:szCs w:val="20"/>
              </w:rPr>
            </w:pPr>
            <w:r>
              <w:rPr>
                <w:rFonts w:hint="eastAsia"/>
                <w:sz w:val="21"/>
                <w:szCs w:val="20"/>
              </w:rPr>
              <w:t>9</w:t>
            </w:r>
          </w:p>
        </w:tc>
        <w:tc>
          <w:tcPr>
            <w:tcW w:w="2074" w:type="dxa"/>
            <w:vAlign w:val="center"/>
          </w:tcPr>
          <w:p w14:paraId="2EBEF6B4">
            <w:pPr>
              <w:spacing w:line="240" w:lineRule="auto"/>
              <w:ind w:firstLine="0" w:firstLineChars="0"/>
              <w:jc w:val="center"/>
              <w:rPr>
                <w:sz w:val="21"/>
                <w:szCs w:val="20"/>
              </w:rPr>
            </w:pPr>
            <w:r>
              <w:rPr>
                <w:rFonts w:hint="eastAsia"/>
                <w:sz w:val="21"/>
                <w:szCs w:val="20"/>
              </w:rPr>
              <w:t>7</w:t>
            </w:r>
          </w:p>
        </w:tc>
        <w:tc>
          <w:tcPr>
            <w:tcW w:w="2074" w:type="dxa"/>
            <w:vAlign w:val="center"/>
          </w:tcPr>
          <w:p w14:paraId="6F0B19D9">
            <w:pPr>
              <w:spacing w:line="240" w:lineRule="auto"/>
              <w:ind w:firstLine="0" w:firstLineChars="0"/>
              <w:jc w:val="center"/>
              <w:rPr>
                <w:sz w:val="21"/>
                <w:szCs w:val="20"/>
              </w:rPr>
            </w:pPr>
            <w:r>
              <w:rPr>
                <w:rFonts w:hint="eastAsia"/>
                <w:sz w:val="21"/>
                <w:szCs w:val="20"/>
              </w:rPr>
              <w:t>3</w:t>
            </w:r>
          </w:p>
        </w:tc>
      </w:tr>
    </w:tbl>
    <w:p w14:paraId="452AB576">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3.6.</w:t>
      </w:r>
      <w:r>
        <w:rPr>
          <w:rFonts w:hint="eastAsia" w:eastAsia="方正楷体_GBK" w:cs="Times New Roman"/>
          <w:b/>
          <w:bCs/>
          <w:szCs w:val="28"/>
          <w14:ligatures w14:val="none"/>
        </w:rPr>
        <w:t>3自然保护地生物多样性现状</w:t>
      </w:r>
    </w:p>
    <w:p w14:paraId="12804A3C">
      <w:pPr>
        <w:ind w:firstLine="480"/>
      </w:pPr>
      <w:r>
        <w:rPr>
          <w:rFonts w:hint="eastAsia"/>
        </w:rPr>
        <w:t>江苏常州金坛茅东省级森林公园位于度假区西侧，是度假区内重要的自然保护地，园内山峦起伏，树木叠翠，四季分明，景色宜人，水泊明镜，竹林依依，是养生休闲的绝佳场所。茅山林木茂盛，素有“天然氧吧”美称，是有着悠久历史底蕴的人文之山，这里四季分明，雨水充沛，盛产毛竹、板栗、花果、药材、山珍、水鲜等，享有“中国名茶之乡”之美誉。茅山风景自然公园背依大茅峰，左扶石龙、右倚百羊山，居山水之间，云树之下，翠屏苍木，有着独特的区位优势和自然景观。</w:t>
      </w:r>
    </w:p>
    <w:p w14:paraId="5EAC9585">
      <w:pPr>
        <w:pStyle w:val="45"/>
        <w:spacing w:line="240" w:lineRule="auto"/>
        <w:outlineLvl w:val="9"/>
        <w:rPr>
          <w:rFonts w:cs="Times New Roman"/>
        </w:rPr>
      </w:pPr>
      <w:r>
        <w:drawing>
          <wp:inline distT="0" distB="0" distL="0" distR="0">
            <wp:extent cx="3815080" cy="4792345"/>
            <wp:effectExtent l="0" t="0" r="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3815080" cy="4792345"/>
                    </a:xfrm>
                    <a:prstGeom prst="rect">
                      <a:avLst/>
                    </a:prstGeom>
                  </pic:spPr>
                </pic:pic>
              </a:graphicData>
            </a:graphic>
          </wp:inline>
        </w:drawing>
      </w:r>
    </w:p>
    <w:p w14:paraId="1DF0F239">
      <w:pPr>
        <w:pStyle w:val="45"/>
        <w:rPr>
          <w:rFonts w:cs="Times New Roman"/>
        </w:rPr>
      </w:pPr>
      <w:r>
        <w:rPr>
          <w:rFonts w:hint="eastAsia" w:cs="Times New Roman"/>
        </w:rPr>
        <w:t>图3.</w:t>
      </w:r>
      <w:r>
        <w:rPr>
          <w:rFonts w:cs="Times New Roman"/>
        </w:rPr>
        <w:t>6</w:t>
      </w:r>
      <w:r>
        <w:rPr>
          <w:rFonts w:hint="eastAsia" w:cs="Times New Roman"/>
        </w:rPr>
        <w:t xml:space="preserve">-6 </w:t>
      </w:r>
      <w:r>
        <w:rPr>
          <w:rFonts w:cs="Times New Roman"/>
        </w:rPr>
        <w:t xml:space="preserve"> </w:t>
      </w:r>
      <w:r>
        <w:rPr>
          <w:rFonts w:hint="eastAsia" w:cs="Times New Roman"/>
        </w:rPr>
        <w:t>江苏常州金坛茅东省级森林公园范围图</w:t>
      </w:r>
    </w:p>
    <w:p w14:paraId="3F89458E">
      <w:pPr>
        <w:ind w:firstLine="480"/>
      </w:pPr>
      <w:r>
        <w:rPr>
          <w:rFonts w:hint="eastAsia"/>
        </w:rPr>
        <w:t>根据江苏省林业科学研究院、常州市金坛区自然资源和规划局编制的《2022年金坛区自然保护地生物多样性监测项目验收报告（陆生野生动物部分）》中江苏常州金坛茅东省级森林公园区域内陆生野生动物的监测结果，截至2023年2月，常州市金坛区茅东省级森林公园共记录两栖动物5种，爬行动物7种，鸟类78种，兽类7种。</w:t>
      </w:r>
    </w:p>
    <w:p w14:paraId="103E320E">
      <w:pPr>
        <w:ind w:firstLine="0" w:firstLineChars="0"/>
        <w:outlineLvl w:val="3"/>
      </w:pPr>
      <w:r>
        <w:t>3</w:t>
      </w:r>
      <w:r>
        <w:rPr>
          <w:rFonts w:hint="eastAsia"/>
        </w:rPr>
        <w:t>.</w:t>
      </w:r>
      <w:r>
        <w:t>6</w:t>
      </w:r>
      <w:r>
        <w:rPr>
          <w:rFonts w:hint="eastAsia"/>
        </w:rPr>
        <w:t>.3.</w:t>
      </w:r>
      <w:r>
        <w:t>1</w:t>
      </w:r>
      <w:r>
        <w:rPr>
          <w:rFonts w:hint="eastAsia"/>
        </w:rPr>
        <w:t>两栖类</w:t>
      </w:r>
    </w:p>
    <w:p w14:paraId="3D12F1EB">
      <w:pPr>
        <w:ind w:firstLine="480"/>
      </w:pPr>
      <w:r>
        <w:rPr>
          <w:rFonts w:hint="eastAsia"/>
        </w:rPr>
        <w:t>截至2022年10月，常州市金坛区茅东省级森林公园内共记录两栖动物5种，隶属3个科，均为无尾目种类。其中，蟾蜍科1种、蛙科3种、姬蛙科1种，调查记录的两栖类名录详见表3.6-2。记录到的两栖类物种中，属于江苏省重点保护物种的有3种，分别为中华蟾蜍、黑斑侧褶蛙和金线侧褶蛙；被UCN红色名录列为近危物种的有1种，为黑斑侧褶蛙。</w:t>
      </w:r>
    </w:p>
    <w:p w14:paraId="1AD78C01">
      <w:pPr>
        <w:pStyle w:val="45"/>
        <w:rPr>
          <w:rFonts w:cs="Times New Roman"/>
        </w:rPr>
      </w:pPr>
      <w:r>
        <w:rPr>
          <w:rFonts w:hint="eastAsia" w:cs="Times New Roman"/>
        </w:rPr>
        <w:t>表3.</w:t>
      </w:r>
      <w:r>
        <w:rPr>
          <w:rFonts w:cs="Times New Roman"/>
        </w:rPr>
        <w:t>6</w:t>
      </w:r>
      <w:r>
        <w:rPr>
          <w:rFonts w:hint="eastAsia" w:cs="Times New Roman"/>
        </w:rPr>
        <w:t xml:space="preserve">-5 </w:t>
      </w:r>
      <w:r>
        <w:rPr>
          <w:rFonts w:cs="Times New Roman"/>
        </w:rPr>
        <w:t xml:space="preserve"> </w:t>
      </w:r>
      <w:r>
        <w:rPr>
          <w:rFonts w:hint="eastAsia" w:cs="Times New Roman"/>
        </w:rPr>
        <w:t>常州市金坛区茅东省级森林公园两栖类物种名录</w:t>
      </w:r>
    </w:p>
    <w:tbl>
      <w:tblPr>
        <w:tblStyle w:val="25"/>
        <w:tblW w:w="5000" w:type="pct"/>
        <w:tblInd w:w="0" w:type="dxa"/>
        <w:tblLayout w:type="autofit"/>
        <w:tblCellMar>
          <w:top w:w="0" w:type="dxa"/>
          <w:left w:w="108" w:type="dxa"/>
          <w:bottom w:w="0" w:type="dxa"/>
          <w:right w:w="108" w:type="dxa"/>
        </w:tblCellMar>
      </w:tblPr>
      <w:tblGrid>
        <w:gridCol w:w="2234"/>
        <w:gridCol w:w="3898"/>
        <w:gridCol w:w="808"/>
        <w:gridCol w:w="1582"/>
      </w:tblGrid>
      <w:tr w14:paraId="14CB92BC">
        <w:tblPrEx>
          <w:tblCellMar>
            <w:top w:w="0" w:type="dxa"/>
            <w:left w:w="108" w:type="dxa"/>
            <w:bottom w:w="0" w:type="dxa"/>
            <w:right w:w="108" w:type="dxa"/>
          </w:tblCellMar>
        </w:tblPrEx>
        <w:trPr>
          <w:trHeight w:val="285" w:hRule="atLeast"/>
        </w:trPr>
        <w:tc>
          <w:tcPr>
            <w:tcW w:w="1311" w:type="pct"/>
            <w:tcBorders>
              <w:top w:val="single" w:color="auto" w:sz="4" w:space="0"/>
              <w:left w:val="single" w:color="auto" w:sz="4" w:space="0"/>
              <w:bottom w:val="single" w:color="auto" w:sz="4" w:space="0"/>
              <w:right w:val="single" w:color="auto" w:sz="4" w:space="0"/>
            </w:tcBorders>
            <w:vAlign w:val="center"/>
          </w:tcPr>
          <w:p w14:paraId="5A22CEB7">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分类</w:t>
            </w:r>
          </w:p>
        </w:tc>
        <w:tc>
          <w:tcPr>
            <w:tcW w:w="2287" w:type="pct"/>
            <w:tcBorders>
              <w:top w:val="single" w:color="auto" w:sz="4" w:space="0"/>
              <w:left w:val="nil"/>
              <w:bottom w:val="single" w:color="auto" w:sz="4" w:space="0"/>
              <w:right w:val="single" w:color="auto" w:sz="4" w:space="0"/>
            </w:tcBorders>
            <w:vAlign w:val="center"/>
          </w:tcPr>
          <w:p w14:paraId="04611FD8">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物种名</w:t>
            </w:r>
          </w:p>
        </w:tc>
        <w:tc>
          <w:tcPr>
            <w:tcW w:w="474" w:type="pct"/>
            <w:tcBorders>
              <w:top w:val="single" w:color="auto" w:sz="4" w:space="0"/>
              <w:left w:val="nil"/>
              <w:bottom w:val="single" w:color="auto" w:sz="4" w:space="0"/>
              <w:right w:val="single" w:color="auto" w:sz="4" w:space="0"/>
            </w:tcBorders>
            <w:vAlign w:val="center"/>
          </w:tcPr>
          <w:p w14:paraId="1D0F6163">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IUCN</w:t>
            </w:r>
          </w:p>
        </w:tc>
        <w:tc>
          <w:tcPr>
            <w:tcW w:w="928" w:type="pct"/>
            <w:tcBorders>
              <w:top w:val="single" w:color="auto" w:sz="4" w:space="0"/>
              <w:left w:val="nil"/>
              <w:bottom w:val="single" w:color="auto" w:sz="4" w:space="0"/>
              <w:right w:val="single" w:color="auto" w:sz="4" w:space="0"/>
            </w:tcBorders>
            <w:vAlign w:val="center"/>
          </w:tcPr>
          <w:p w14:paraId="7217C41D">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保护等级</w:t>
            </w:r>
          </w:p>
        </w:tc>
      </w:tr>
      <w:tr w14:paraId="6533CBDC">
        <w:tblPrEx>
          <w:tblCellMar>
            <w:top w:w="0" w:type="dxa"/>
            <w:left w:w="108" w:type="dxa"/>
            <w:bottom w:w="0" w:type="dxa"/>
            <w:right w:w="108" w:type="dxa"/>
          </w:tblCellMar>
        </w:tblPrEx>
        <w:trPr>
          <w:trHeight w:val="285" w:hRule="atLeast"/>
        </w:trPr>
        <w:tc>
          <w:tcPr>
            <w:tcW w:w="1311" w:type="pct"/>
            <w:tcBorders>
              <w:top w:val="nil"/>
              <w:left w:val="single" w:color="auto" w:sz="4" w:space="0"/>
              <w:bottom w:val="single" w:color="auto" w:sz="4" w:space="0"/>
              <w:right w:val="single" w:color="auto" w:sz="4" w:space="0"/>
            </w:tcBorders>
            <w:vAlign w:val="center"/>
          </w:tcPr>
          <w:p w14:paraId="60C8F60F">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两栖纲 Amphibian</w:t>
            </w:r>
          </w:p>
        </w:tc>
        <w:tc>
          <w:tcPr>
            <w:tcW w:w="2287" w:type="pct"/>
            <w:tcBorders>
              <w:top w:val="nil"/>
              <w:left w:val="nil"/>
              <w:bottom w:val="single" w:color="auto" w:sz="4" w:space="0"/>
              <w:right w:val="single" w:color="auto" w:sz="4" w:space="0"/>
            </w:tcBorders>
            <w:vAlign w:val="center"/>
          </w:tcPr>
          <w:p w14:paraId="18948D65">
            <w:pPr>
              <w:widowControl/>
              <w:spacing w:line="240" w:lineRule="auto"/>
              <w:ind w:firstLine="0" w:firstLineChars="0"/>
              <w:jc w:val="center"/>
              <w:rPr>
                <w:rFonts w:cs="Times New Roman"/>
                <w:b/>
                <w:bCs/>
                <w:color w:val="000000"/>
                <w:kern w:val="0"/>
                <w:sz w:val="21"/>
                <w:szCs w:val="21"/>
                <w14:ligatures w14:val="none"/>
              </w:rPr>
            </w:pPr>
          </w:p>
        </w:tc>
        <w:tc>
          <w:tcPr>
            <w:tcW w:w="474" w:type="pct"/>
            <w:tcBorders>
              <w:top w:val="nil"/>
              <w:left w:val="nil"/>
              <w:bottom w:val="single" w:color="auto" w:sz="4" w:space="0"/>
              <w:right w:val="single" w:color="auto" w:sz="4" w:space="0"/>
            </w:tcBorders>
            <w:vAlign w:val="center"/>
          </w:tcPr>
          <w:p w14:paraId="16011D68">
            <w:pPr>
              <w:widowControl/>
              <w:spacing w:line="240" w:lineRule="auto"/>
              <w:ind w:firstLine="0" w:firstLineChars="0"/>
              <w:jc w:val="center"/>
              <w:rPr>
                <w:rFonts w:cs="Times New Roman"/>
                <w:b/>
                <w:bCs/>
                <w:color w:val="000000"/>
                <w:kern w:val="0"/>
                <w:sz w:val="21"/>
                <w:szCs w:val="21"/>
                <w14:ligatures w14:val="none"/>
              </w:rPr>
            </w:pPr>
          </w:p>
        </w:tc>
        <w:tc>
          <w:tcPr>
            <w:tcW w:w="928" w:type="pct"/>
            <w:tcBorders>
              <w:top w:val="nil"/>
              <w:left w:val="nil"/>
              <w:bottom w:val="single" w:color="auto" w:sz="4" w:space="0"/>
              <w:right w:val="single" w:color="auto" w:sz="4" w:space="0"/>
            </w:tcBorders>
            <w:vAlign w:val="center"/>
          </w:tcPr>
          <w:p w14:paraId="43D1DDB9">
            <w:pPr>
              <w:widowControl/>
              <w:spacing w:line="240" w:lineRule="auto"/>
              <w:ind w:firstLine="0" w:firstLineChars="0"/>
              <w:jc w:val="center"/>
              <w:rPr>
                <w:rFonts w:cs="Times New Roman"/>
                <w:b/>
                <w:bCs/>
                <w:color w:val="000000"/>
                <w:kern w:val="0"/>
                <w:sz w:val="21"/>
                <w:szCs w:val="21"/>
                <w14:ligatures w14:val="none"/>
              </w:rPr>
            </w:pPr>
          </w:p>
        </w:tc>
      </w:tr>
      <w:tr w14:paraId="29D70866">
        <w:tblPrEx>
          <w:tblCellMar>
            <w:top w:w="0" w:type="dxa"/>
            <w:left w:w="108" w:type="dxa"/>
            <w:bottom w:w="0" w:type="dxa"/>
            <w:right w:w="108" w:type="dxa"/>
          </w:tblCellMar>
        </w:tblPrEx>
        <w:trPr>
          <w:trHeight w:val="585" w:hRule="atLeast"/>
        </w:trPr>
        <w:tc>
          <w:tcPr>
            <w:tcW w:w="1311" w:type="pct"/>
            <w:tcBorders>
              <w:top w:val="nil"/>
              <w:left w:val="single" w:color="auto" w:sz="4" w:space="0"/>
              <w:bottom w:val="single" w:color="auto" w:sz="4" w:space="0"/>
              <w:right w:val="single" w:color="auto" w:sz="4" w:space="0"/>
            </w:tcBorders>
            <w:vAlign w:val="center"/>
          </w:tcPr>
          <w:p w14:paraId="0F20A5F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蟾蜍科 Bufonidae</w:t>
            </w:r>
          </w:p>
        </w:tc>
        <w:tc>
          <w:tcPr>
            <w:tcW w:w="2287" w:type="pct"/>
            <w:tcBorders>
              <w:top w:val="nil"/>
              <w:left w:val="nil"/>
              <w:bottom w:val="single" w:color="auto" w:sz="4" w:space="0"/>
              <w:right w:val="single" w:color="auto" w:sz="4" w:space="0"/>
            </w:tcBorders>
            <w:vAlign w:val="center"/>
          </w:tcPr>
          <w:p w14:paraId="728BD5E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 xml:space="preserve">中华蟾蜍 </w:t>
            </w:r>
            <w:r>
              <w:rPr>
                <w:rFonts w:hint="eastAsia" w:cs="Times New Roman"/>
                <w:i/>
                <w:iCs/>
                <w:color w:val="000000"/>
                <w:kern w:val="0"/>
                <w:sz w:val="21"/>
                <w:szCs w:val="21"/>
                <w14:ligatures w14:val="none"/>
              </w:rPr>
              <w:t>Bufo gargarizans</w:t>
            </w:r>
          </w:p>
        </w:tc>
        <w:tc>
          <w:tcPr>
            <w:tcW w:w="474" w:type="pct"/>
            <w:tcBorders>
              <w:top w:val="nil"/>
              <w:left w:val="nil"/>
              <w:bottom w:val="single" w:color="auto" w:sz="4" w:space="0"/>
              <w:right w:val="single" w:color="auto" w:sz="4" w:space="0"/>
            </w:tcBorders>
            <w:vAlign w:val="center"/>
          </w:tcPr>
          <w:p w14:paraId="799A3C09">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LC</w:t>
            </w:r>
          </w:p>
        </w:tc>
        <w:tc>
          <w:tcPr>
            <w:tcW w:w="928" w:type="pct"/>
            <w:tcBorders>
              <w:top w:val="nil"/>
              <w:left w:val="nil"/>
              <w:bottom w:val="single" w:color="auto" w:sz="4" w:space="0"/>
              <w:right w:val="single" w:color="auto" w:sz="4" w:space="0"/>
            </w:tcBorders>
            <w:vAlign w:val="center"/>
          </w:tcPr>
          <w:p w14:paraId="2CFE10C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省重点，三有</w:t>
            </w:r>
          </w:p>
        </w:tc>
      </w:tr>
      <w:tr w14:paraId="08FB1958">
        <w:tblPrEx>
          <w:tblCellMar>
            <w:top w:w="0" w:type="dxa"/>
            <w:left w:w="108" w:type="dxa"/>
            <w:bottom w:w="0" w:type="dxa"/>
            <w:right w:w="108" w:type="dxa"/>
          </w:tblCellMar>
        </w:tblPrEx>
        <w:trPr>
          <w:trHeight w:val="315" w:hRule="atLeast"/>
        </w:trPr>
        <w:tc>
          <w:tcPr>
            <w:tcW w:w="1311" w:type="pct"/>
            <w:vMerge w:val="restart"/>
            <w:tcBorders>
              <w:top w:val="nil"/>
              <w:left w:val="single" w:color="auto" w:sz="4" w:space="0"/>
              <w:bottom w:val="single" w:color="000000" w:sz="4" w:space="0"/>
              <w:right w:val="single" w:color="auto" w:sz="4" w:space="0"/>
            </w:tcBorders>
            <w:vAlign w:val="center"/>
          </w:tcPr>
          <w:p w14:paraId="396A03ED">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蛙科Ranidae</w:t>
            </w:r>
          </w:p>
        </w:tc>
        <w:tc>
          <w:tcPr>
            <w:tcW w:w="2287" w:type="pct"/>
            <w:tcBorders>
              <w:top w:val="nil"/>
              <w:left w:val="nil"/>
              <w:bottom w:val="single" w:color="auto" w:sz="4" w:space="0"/>
              <w:right w:val="single" w:color="auto" w:sz="4" w:space="0"/>
            </w:tcBorders>
            <w:vAlign w:val="center"/>
          </w:tcPr>
          <w:p w14:paraId="332570E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 xml:space="preserve">泽陆蛙 </w:t>
            </w:r>
            <w:r>
              <w:rPr>
                <w:rFonts w:hint="eastAsia" w:cs="Times New Roman"/>
                <w:i/>
                <w:iCs/>
                <w:color w:val="000000"/>
                <w:kern w:val="0"/>
                <w:sz w:val="21"/>
                <w:szCs w:val="21"/>
                <w14:ligatures w14:val="none"/>
              </w:rPr>
              <w:t>Fejervarya multistriata</w:t>
            </w:r>
          </w:p>
        </w:tc>
        <w:tc>
          <w:tcPr>
            <w:tcW w:w="474" w:type="pct"/>
            <w:tcBorders>
              <w:top w:val="nil"/>
              <w:left w:val="nil"/>
              <w:bottom w:val="single" w:color="auto" w:sz="4" w:space="0"/>
              <w:right w:val="single" w:color="auto" w:sz="4" w:space="0"/>
            </w:tcBorders>
            <w:vAlign w:val="center"/>
          </w:tcPr>
          <w:p w14:paraId="3E68B3D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DD</w:t>
            </w:r>
          </w:p>
        </w:tc>
        <w:tc>
          <w:tcPr>
            <w:tcW w:w="928" w:type="pct"/>
            <w:tcBorders>
              <w:top w:val="nil"/>
              <w:left w:val="nil"/>
              <w:bottom w:val="single" w:color="auto" w:sz="4" w:space="0"/>
              <w:right w:val="single" w:color="auto" w:sz="4" w:space="0"/>
            </w:tcBorders>
            <w:vAlign w:val="center"/>
          </w:tcPr>
          <w:p w14:paraId="51C8373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三有</w:t>
            </w:r>
          </w:p>
        </w:tc>
      </w:tr>
      <w:tr w14:paraId="471B5647">
        <w:tblPrEx>
          <w:tblCellMar>
            <w:top w:w="0" w:type="dxa"/>
            <w:left w:w="108" w:type="dxa"/>
            <w:bottom w:w="0" w:type="dxa"/>
            <w:right w:w="108" w:type="dxa"/>
          </w:tblCellMar>
        </w:tblPrEx>
        <w:trPr>
          <w:trHeight w:val="585" w:hRule="atLeast"/>
        </w:trPr>
        <w:tc>
          <w:tcPr>
            <w:tcW w:w="1311" w:type="pct"/>
            <w:vMerge w:val="continue"/>
            <w:tcBorders>
              <w:top w:val="nil"/>
              <w:left w:val="single" w:color="auto" w:sz="4" w:space="0"/>
              <w:bottom w:val="single" w:color="000000" w:sz="4" w:space="0"/>
              <w:right w:val="single" w:color="auto" w:sz="4" w:space="0"/>
            </w:tcBorders>
            <w:vAlign w:val="center"/>
          </w:tcPr>
          <w:p w14:paraId="2407E8B6">
            <w:pPr>
              <w:widowControl/>
              <w:spacing w:line="240" w:lineRule="auto"/>
              <w:ind w:firstLine="0" w:firstLineChars="0"/>
              <w:jc w:val="center"/>
              <w:rPr>
                <w:rFonts w:cs="Times New Roman"/>
                <w:color w:val="000000"/>
                <w:kern w:val="0"/>
                <w:sz w:val="21"/>
                <w:szCs w:val="21"/>
                <w14:ligatures w14:val="none"/>
              </w:rPr>
            </w:pPr>
          </w:p>
        </w:tc>
        <w:tc>
          <w:tcPr>
            <w:tcW w:w="2287" w:type="pct"/>
            <w:tcBorders>
              <w:top w:val="nil"/>
              <w:left w:val="nil"/>
              <w:bottom w:val="single" w:color="auto" w:sz="4" w:space="0"/>
              <w:right w:val="single" w:color="auto" w:sz="4" w:space="0"/>
            </w:tcBorders>
            <w:vAlign w:val="center"/>
          </w:tcPr>
          <w:p w14:paraId="5E775A3E">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黑斑侧褶蛙</w:t>
            </w:r>
            <w:r>
              <w:rPr>
                <w:rFonts w:hint="eastAsia" w:cs="Times New Roman"/>
                <w:i/>
                <w:iCs/>
                <w:color w:val="000000"/>
                <w:kern w:val="0"/>
                <w:sz w:val="21"/>
                <w:szCs w:val="21"/>
                <w14:ligatures w14:val="none"/>
              </w:rPr>
              <w:t>Pelophylax nigromaculatus</w:t>
            </w:r>
          </w:p>
        </w:tc>
        <w:tc>
          <w:tcPr>
            <w:tcW w:w="474" w:type="pct"/>
            <w:tcBorders>
              <w:top w:val="nil"/>
              <w:left w:val="nil"/>
              <w:bottom w:val="single" w:color="auto" w:sz="4" w:space="0"/>
              <w:right w:val="single" w:color="auto" w:sz="4" w:space="0"/>
            </w:tcBorders>
            <w:vAlign w:val="center"/>
          </w:tcPr>
          <w:p w14:paraId="23CDEB58">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NT</w:t>
            </w:r>
          </w:p>
        </w:tc>
        <w:tc>
          <w:tcPr>
            <w:tcW w:w="928" w:type="pct"/>
            <w:tcBorders>
              <w:top w:val="nil"/>
              <w:left w:val="nil"/>
              <w:bottom w:val="single" w:color="auto" w:sz="4" w:space="0"/>
              <w:right w:val="single" w:color="auto" w:sz="4" w:space="0"/>
            </w:tcBorders>
            <w:vAlign w:val="center"/>
          </w:tcPr>
          <w:p w14:paraId="2DCA5B3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省重点，三有</w:t>
            </w:r>
          </w:p>
        </w:tc>
      </w:tr>
      <w:tr w14:paraId="69E50264">
        <w:tblPrEx>
          <w:tblCellMar>
            <w:top w:w="0" w:type="dxa"/>
            <w:left w:w="108" w:type="dxa"/>
            <w:bottom w:w="0" w:type="dxa"/>
            <w:right w:w="108" w:type="dxa"/>
          </w:tblCellMar>
        </w:tblPrEx>
        <w:trPr>
          <w:trHeight w:val="585" w:hRule="atLeast"/>
        </w:trPr>
        <w:tc>
          <w:tcPr>
            <w:tcW w:w="1311" w:type="pct"/>
            <w:vMerge w:val="continue"/>
            <w:tcBorders>
              <w:top w:val="nil"/>
              <w:left w:val="single" w:color="auto" w:sz="4" w:space="0"/>
              <w:bottom w:val="single" w:color="000000" w:sz="4" w:space="0"/>
              <w:right w:val="single" w:color="auto" w:sz="4" w:space="0"/>
            </w:tcBorders>
            <w:vAlign w:val="center"/>
          </w:tcPr>
          <w:p w14:paraId="7EC9CC30">
            <w:pPr>
              <w:widowControl/>
              <w:spacing w:line="240" w:lineRule="auto"/>
              <w:ind w:firstLine="0" w:firstLineChars="0"/>
              <w:jc w:val="center"/>
              <w:rPr>
                <w:rFonts w:cs="Times New Roman"/>
                <w:color w:val="000000"/>
                <w:kern w:val="0"/>
                <w:sz w:val="21"/>
                <w:szCs w:val="21"/>
                <w14:ligatures w14:val="none"/>
              </w:rPr>
            </w:pPr>
          </w:p>
        </w:tc>
        <w:tc>
          <w:tcPr>
            <w:tcW w:w="2287" w:type="pct"/>
            <w:tcBorders>
              <w:top w:val="nil"/>
              <w:left w:val="nil"/>
              <w:bottom w:val="single" w:color="auto" w:sz="4" w:space="0"/>
              <w:right w:val="single" w:color="auto" w:sz="4" w:space="0"/>
            </w:tcBorders>
            <w:vAlign w:val="center"/>
          </w:tcPr>
          <w:p w14:paraId="1EAB4AF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 xml:space="preserve">金线侧褶蛙 </w:t>
            </w:r>
            <w:r>
              <w:rPr>
                <w:rFonts w:hint="eastAsia" w:cs="Times New Roman"/>
                <w:i/>
                <w:iCs/>
                <w:color w:val="000000"/>
                <w:kern w:val="0"/>
                <w:sz w:val="21"/>
                <w:szCs w:val="21"/>
                <w14:ligatures w14:val="none"/>
              </w:rPr>
              <w:t>Pelophylax plancyi</w:t>
            </w:r>
          </w:p>
        </w:tc>
        <w:tc>
          <w:tcPr>
            <w:tcW w:w="474" w:type="pct"/>
            <w:tcBorders>
              <w:top w:val="nil"/>
              <w:left w:val="nil"/>
              <w:bottom w:val="single" w:color="auto" w:sz="4" w:space="0"/>
              <w:right w:val="single" w:color="auto" w:sz="4" w:space="0"/>
            </w:tcBorders>
            <w:vAlign w:val="center"/>
          </w:tcPr>
          <w:p w14:paraId="2C66E2FB">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LC</w:t>
            </w:r>
          </w:p>
        </w:tc>
        <w:tc>
          <w:tcPr>
            <w:tcW w:w="928" w:type="pct"/>
            <w:tcBorders>
              <w:top w:val="nil"/>
              <w:left w:val="nil"/>
              <w:bottom w:val="single" w:color="auto" w:sz="4" w:space="0"/>
              <w:right w:val="single" w:color="auto" w:sz="4" w:space="0"/>
            </w:tcBorders>
            <w:vAlign w:val="center"/>
          </w:tcPr>
          <w:p w14:paraId="021E927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省重点，三有</w:t>
            </w:r>
          </w:p>
        </w:tc>
      </w:tr>
      <w:tr w14:paraId="6DD08303">
        <w:tblPrEx>
          <w:tblCellMar>
            <w:top w:w="0" w:type="dxa"/>
            <w:left w:w="108" w:type="dxa"/>
            <w:bottom w:w="0" w:type="dxa"/>
            <w:right w:w="108" w:type="dxa"/>
          </w:tblCellMar>
        </w:tblPrEx>
        <w:trPr>
          <w:trHeight w:val="600" w:hRule="atLeast"/>
        </w:trPr>
        <w:tc>
          <w:tcPr>
            <w:tcW w:w="1311" w:type="pct"/>
            <w:tcBorders>
              <w:top w:val="nil"/>
              <w:left w:val="single" w:color="auto" w:sz="4" w:space="0"/>
              <w:bottom w:val="single" w:color="auto" w:sz="4" w:space="0"/>
              <w:right w:val="single" w:color="auto" w:sz="4" w:space="0"/>
            </w:tcBorders>
            <w:vAlign w:val="center"/>
          </w:tcPr>
          <w:p w14:paraId="1199B483">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姬蛙科 Microhylidae</w:t>
            </w:r>
          </w:p>
        </w:tc>
        <w:tc>
          <w:tcPr>
            <w:tcW w:w="2287" w:type="pct"/>
            <w:tcBorders>
              <w:top w:val="nil"/>
              <w:left w:val="nil"/>
              <w:bottom w:val="single" w:color="auto" w:sz="4" w:space="0"/>
              <w:right w:val="single" w:color="auto" w:sz="4" w:space="0"/>
            </w:tcBorders>
            <w:vAlign w:val="center"/>
          </w:tcPr>
          <w:p w14:paraId="50AECB92">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 xml:space="preserve">小弧斑姬蛙 </w:t>
            </w:r>
            <w:r>
              <w:rPr>
                <w:rFonts w:hint="eastAsia" w:cs="Times New Roman"/>
                <w:i/>
                <w:iCs/>
                <w:color w:val="000000"/>
                <w:kern w:val="0"/>
                <w:sz w:val="21"/>
                <w:szCs w:val="21"/>
                <w14:ligatures w14:val="none"/>
              </w:rPr>
              <w:t>Microhyla heymonsi</w:t>
            </w:r>
          </w:p>
        </w:tc>
        <w:tc>
          <w:tcPr>
            <w:tcW w:w="474" w:type="pct"/>
            <w:tcBorders>
              <w:top w:val="nil"/>
              <w:left w:val="nil"/>
              <w:bottom w:val="single" w:color="auto" w:sz="4" w:space="0"/>
              <w:right w:val="single" w:color="auto" w:sz="4" w:space="0"/>
            </w:tcBorders>
            <w:vAlign w:val="center"/>
          </w:tcPr>
          <w:p w14:paraId="5CC492E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LC</w:t>
            </w:r>
          </w:p>
        </w:tc>
        <w:tc>
          <w:tcPr>
            <w:tcW w:w="928" w:type="pct"/>
            <w:tcBorders>
              <w:top w:val="nil"/>
              <w:left w:val="nil"/>
              <w:bottom w:val="single" w:color="auto" w:sz="4" w:space="0"/>
              <w:right w:val="single" w:color="auto" w:sz="4" w:space="0"/>
            </w:tcBorders>
            <w:vAlign w:val="center"/>
          </w:tcPr>
          <w:p w14:paraId="7C449336">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三有</w:t>
            </w:r>
          </w:p>
        </w:tc>
      </w:tr>
      <w:tr w14:paraId="54413394">
        <w:tblPrEx>
          <w:tblCellMar>
            <w:top w:w="0" w:type="dxa"/>
            <w:left w:w="108" w:type="dxa"/>
            <w:bottom w:w="0" w:type="dxa"/>
            <w:right w:w="108" w:type="dxa"/>
          </w:tblCellMar>
        </w:tblPrEx>
        <w:trPr>
          <w:trHeight w:val="600" w:hRule="atLeast"/>
        </w:trPr>
        <w:tc>
          <w:tcPr>
            <w:tcW w:w="5000" w:type="pct"/>
            <w:gridSpan w:val="4"/>
            <w:tcBorders>
              <w:top w:val="single" w:color="auto" w:sz="4" w:space="0"/>
              <w:left w:val="single" w:color="auto" w:sz="4" w:space="0"/>
              <w:bottom w:val="single" w:color="auto" w:sz="4" w:space="0"/>
              <w:right w:val="single" w:color="auto" w:sz="4" w:space="0"/>
            </w:tcBorders>
            <w:vAlign w:val="center"/>
          </w:tcPr>
          <w:p w14:paraId="733F08CA">
            <w:pPr>
              <w:autoSpaceDE w:val="0"/>
              <w:autoSpaceDN w:val="0"/>
              <w:adjustRightInd w:val="0"/>
              <w:spacing w:line="240" w:lineRule="auto"/>
              <w:ind w:firstLine="0" w:firstLineChars="0"/>
              <w:jc w:val="left"/>
              <w:rPr>
                <w:rFonts w:cs="Times New Roman"/>
                <w:color w:val="000000"/>
                <w:kern w:val="0"/>
                <w:sz w:val="21"/>
                <w:szCs w:val="21"/>
                <w14:ligatures w14:val="none"/>
              </w:rPr>
            </w:pPr>
            <w:r>
              <w:rPr>
                <w:rFonts w:hint="eastAsia" w:cs="Times New Roman"/>
                <w:kern w:val="0"/>
                <w:sz w:val="21"/>
                <w:szCs w:val="21"/>
              </w:rPr>
              <w:t>注：“LC”为IUCN 红色名录中的无危物种（Low Concern）；“NT”为近危物种（Near ThreatenedSpecies）；“DD”为数据缺乏（Data Deficient）。“省重点”为列入《江苏省重点保护陆生野生动物名录》的物种；“三有”为列入《国家保护的有重要生态、科学、社会价值的陆生野生动物名录》的物种。</w:t>
            </w:r>
          </w:p>
        </w:tc>
      </w:tr>
    </w:tbl>
    <w:p w14:paraId="64649AE4">
      <w:pPr>
        <w:spacing w:line="240" w:lineRule="auto"/>
        <w:ind w:firstLine="0" w:firstLineChars="0"/>
        <w:jc w:val="center"/>
      </w:pPr>
      <w:r>
        <w:drawing>
          <wp:inline distT="0" distB="0" distL="0" distR="0">
            <wp:extent cx="4605020" cy="1903730"/>
            <wp:effectExtent l="0" t="0" r="508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632483" cy="1915096"/>
                    </a:xfrm>
                    <a:prstGeom prst="rect">
                      <a:avLst/>
                    </a:prstGeom>
                  </pic:spPr>
                </pic:pic>
              </a:graphicData>
            </a:graphic>
          </wp:inline>
        </w:drawing>
      </w:r>
    </w:p>
    <w:p w14:paraId="02970CC6">
      <w:pPr>
        <w:pStyle w:val="45"/>
        <w:rPr>
          <w:rFonts w:cs="Times New Roman"/>
        </w:rPr>
      </w:pPr>
      <w:r>
        <w:rPr>
          <w:rFonts w:hint="eastAsia" w:cs="Times New Roman"/>
        </w:rPr>
        <w:t>图3.</w:t>
      </w:r>
      <w:r>
        <w:rPr>
          <w:rFonts w:cs="Times New Roman"/>
        </w:rPr>
        <w:t>6</w:t>
      </w:r>
      <w:r>
        <w:rPr>
          <w:rFonts w:hint="eastAsia" w:cs="Times New Roman"/>
        </w:rPr>
        <w:t xml:space="preserve">-7 </w:t>
      </w:r>
      <w:r>
        <w:rPr>
          <w:rFonts w:cs="Times New Roman"/>
        </w:rPr>
        <w:t xml:space="preserve"> </w:t>
      </w:r>
      <w:r>
        <w:rPr>
          <w:rFonts w:hint="eastAsia" w:cs="Times New Roman"/>
        </w:rPr>
        <w:t>常州市金坛区茅东省级森林公园两栖类物种照片</w:t>
      </w:r>
    </w:p>
    <w:p w14:paraId="77D1C9A4">
      <w:pPr>
        <w:ind w:firstLine="0" w:firstLineChars="0"/>
        <w:outlineLvl w:val="3"/>
      </w:pPr>
      <w:r>
        <w:t>3</w:t>
      </w:r>
      <w:r>
        <w:rPr>
          <w:rFonts w:hint="eastAsia"/>
        </w:rPr>
        <w:t>.</w:t>
      </w:r>
      <w:r>
        <w:t>6</w:t>
      </w:r>
      <w:r>
        <w:rPr>
          <w:rFonts w:hint="eastAsia"/>
        </w:rPr>
        <w:t>.3.</w:t>
      </w:r>
      <w:r>
        <w:t>2</w:t>
      </w:r>
      <w:r>
        <w:rPr>
          <w:rFonts w:hint="eastAsia"/>
        </w:rPr>
        <w:t>爬行类</w:t>
      </w:r>
    </w:p>
    <w:p w14:paraId="46317DE2">
      <w:pPr>
        <w:ind w:firstLine="480"/>
      </w:pPr>
      <w:r>
        <w:rPr>
          <w:rFonts w:hint="eastAsia"/>
        </w:rPr>
        <w:t>截至2022年10月，常州市金坛区茅东省级森林公园内共记录到7种爬行类动物，隶属于4个科，分别为龟科1种、壁虎科1种、石龙子科2种和游蛇科3种。调查记录的爬行动物名录见表3.6-6。</w:t>
      </w:r>
    </w:p>
    <w:p w14:paraId="73B727D5">
      <w:pPr>
        <w:ind w:firstLine="480"/>
      </w:pPr>
      <w:r>
        <w:rPr>
          <w:rFonts w:hint="eastAsia"/>
        </w:rPr>
        <w:t>记录到的爬行类物种中，属于江苏省重点保护物种的有3种，分别为赤链蛇、黑眉锦蛇和乌梢蛇；被UCN红色名录列为易危物种的有1种，为无蹼壁虎。</w:t>
      </w:r>
    </w:p>
    <w:p w14:paraId="54800353">
      <w:pPr>
        <w:pStyle w:val="45"/>
        <w:rPr>
          <w:rFonts w:cs="Times New Roman"/>
        </w:rPr>
      </w:pPr>
      <w:r>
        <w:rPr>
          <w:rFonts w:hint="eastAsia" w:cs="Times New Roman"/>
        </w:rPr>
        <w:t>表3.</w:t>
      </w:r>
      <w:r>
        <w:rPr>
          <w:rFonts w:cs="Times New Roman"/>
        </w:rPr>
        <w:t>6</w:t>
      </w:r>
      <w:r>
        <w:rPr>
          <w:rFonts w:hint="eastAsia" w:cs="Times New Roman"/>
        </w:rPr>
        <w:t xml:space="preserve">-6 </w:t>
      </w:r>
      <w:r>
        <w:rPr>
          <w:rFonts w:cs="Times New Roman"/>
        </w:rPr>
        <w:t xml:space="preserve"> </w:t>
      </w:r>
      <w:r>
        <w:rPr>
          <w:rFonts w:hint="eastAsia" w:cs="Times New Roman"/>
        </w:rPr>
        <w:t>常州市金坛区茅东省级森林公园爬行类物种名录</w:t>
      </w:r>
    </w:p>
    <w:tbl>
      <w:tblPr>
        <w:tblStyle w:val="25"/>
        <w:tblW w:w="5000" w:type="pct"/>
        <w:tblInd w:w="0" w:type="dxa"/>
        <w:tblLayout w:type="autofit"/>
        <w:tblCellMar>
          <w:top w:w="0" w:type="dxa"/>
          <w:left w:w="108" w:type="dxa"/>
          <w:bottom w:w="0" w:type="dxa"/>
          <w:right w:w="108" w:type="dxa"/>
        </w:tblCellMar>
      </w:tblPr>
      <w:tblGrid>
        <w:gridCol w:w="2234"/>
        <w:gridCol w:w="3898"/>
        <w:gridCol w:w="808"/>
        <w:gridCol w:w="1582"/>
      </w:tblGrid>
      <w:tr w14:paraId="3564CCBB">
        <w:tblPrEx>
          <w:tblCellMar>
            <w:top w:w="0" w:type="dxa"/>
            <w:left w:w="108" w:type="dxa"/>
            <w:bottom w:w="0" w:type="dxa"/>
            <w:right w:w="108" w:type="dxa"/>
          </w:tblCellMar>
        </w:tblPrEx>
        <w:trPr>
          <w:trHeight w:val="285" w:hRule="atLeast"/>
          <w:tblHeader/>
        </w:trPr>
        <w:tc>
          <w:tcPr>
            <w:tcW w:w="1311" w:type="pct"/>
            <w:tcBorders>
              <w:top w:val="single" w:color="auto" w:sz="4" w:space="0"/>
              <w:left w:val="single" w:color="auto" w:sz="4" w:space="0"/>
              <w:bottom w:val="single" w:color="auto" w:sz="4" w:space="0"/>
              <w:right w:val="single" w:color="auto" w:sz="4" w:space="0"/>
            </w:tcBorders>
            <w:vAlign w:val="center"/>
          </w:tcPr>
          <w:p w14:paraId="4E0C6530">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分类</w:t>
            </w:r>
          </w:p>
        </w:tc>
        <w:tc>
          <w:tcPr>
            <w:tcW w:w="2287" w:type="pct"/>
            <w:tcBorders>
              <w:top w:val="single" w:color="auto" w:sz="4" w:space="0"/>
              <w:left w:val="nil"/>
              <w:bottom w:val="single" w:color="auto" w:sz="4" w:space="0"/>
              <w:right w:val="single" w:color="auto" w:sz="4" w:space="0"/>
            </w:tcBorders>
            <w:vAlign w:val="center"/>
          </w:tcPr>
          <w:p w14:paraId="4C92BAB4">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物种名</w:t>
            </w:r>
          </w:p>
        </w:tc>
        <w:tc>
          <w:tcPr>
            <w:tcW w:w="474" w:type="pct"/>
            <w:tcBorders>
              <w:top w:val="single" w:color="auto" w:sz="4" w:space="0"/>
              <w:left w:val="nil"/>
              <w:bottom w:val="single" w:color="auto" w:sz="4" w:space="0"/>
              <w:right w:val="single" w:color="auto" w:sz="4" w:space="0"/>
            </w:tcBorders>
            <w:vAlign w:val="center"/>
          </w:tcPr>
          <w:p w14:paraId="3411642F">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IUCN</w:t>
            </w:r>
          </w:p>
        </w:tc>
        <w:tc>
          <w:tcPr>
            <w:tcW w:w="928" w:type="pct"/>
            <w:tcBorders>
              <w:top w:val="single" w:color="auto" w:sz="4" w:space="0"/>
              <w:left w:val="nil"/>
              <w:bottom w:val="single" w:color="auto" w:sz="4" w:space="0"/>
              <w:right w:val="single" w:color="auto" w:sz="4" w:space="0"/>
            </w:tcBorders>
            <w:vAlign w:val="center"/>
          </w:tcPr>
          <w:p w14:paraId="1A3D1BEB">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保护等级</w:t>
            </w:r>
          </w:p>
        </w:tc>
      </w:tr>
      <w:tr w14:paraId="6185A536">
        <w:tblPrEx>
          <w:tblCellMar>
            <w:top w:w="0" w:type="dxa"/>
            <w:left w:w="108" w:type="dxa"/>
            <w:bottom w:w="0" w:type="dxa"/>
            <w:right w:w="108" w:type="dxa"/>
          </w:tblCellMar>
        </w:tblPrEx>
        <w:trPr>
          <w:trHeight w:val="285" w:hRule="atLeast"/>
        </w:trPr>
        <w:tc>
          <w:tcPr>
            <w:tcW w:w="1311" w:type="pct"/>
            <w:tcBorders>
              <w:top w:val="nil"/>
              <w:left w:val="single" w:color="auto" w:sz="4" w:space="0"/>
              <w:bottom w:val="single" w:color="auto" w:sz="4" w:space="0"/>
              <w:right w:val="single" w:color="auto" w:sz="4" w:space="0"/>
            </w:tcBorders>
            <w:vAlign w:val="center"/>
          </w:tcPr>
          <w:p w14:paraId="770EEAE9">
            <w:pPr>
              <w:widowControl/>
              <w:spacing w:line="240" w:lineRule="auto"/>
              <w:ind w:firstLine="0" w:firstLineChars="0"/>
              <w:jc w:val="center"/>
              <w:rPr>
                <w:rFonts w:cs="Times New Roman"/>
                <w:b/>
                <w:bCs/>
                <w:color w:val="000000"/>
                <w:kern w:val="0"/>
                <w:sz w:val="21"/>
                <w:szCs w:val="21"/>
                <w14:ligatures w14:val="none"/>
              </w:rPr>
            </w:pPr>
            <w:r>
              <w:rPr>
                <w:rFonts w:hint="eastAsia" w:cs="Times New Roman"/>
                <w:b/>
                <w:kern w:val="0"/>
                <w:sz w:val="21"/>
                <w:szCs w:val="21"/>
              </w:rPr>
              <w:t>爬行纲</w:t>
            </w:r>
            <w:r>
              <w:rPr>
                <w:rFonts w:hint="eastAsia" w:cs="Times New Roman"/>
                <w:b/>
                <w:bCs/>
                <w:kern w:val="0"/>
                <w:sz w:val="21"/>
                <w:szCs w:val="21"/>
              </w:rPr>
              <w:t>Reptilia</w:t>
            </w:r>
          </w:p>
        </w:tc>
        <w:tc>
          <w:tcPr>
            <w:tcW w:w="2287" w:type="pct"/>
            <w:tcBorders>
              <w:top w:val="nil"/>
              <w:left w:val="nil"/>
              <w:bottom w:val="single" w:color="auto" w:sz="4" w:space="0"/>
              <w:right w:val="single" w:color="auto" w:sz="4" w:space="0"/>
            </w:tcBorders>
            <w:vAlign w:val="center"/>
          </w:tcPr>
          <w:p w14:paraId="1256E9B4">
            <w:pPr>
              <w:widowControl/>
              <w:spacing w:line="240" w:lineRule="auto"/>
              <w:ind w:firstLine="0" w:firstLineChars="0"/>
              <w:jc w:val="center"/>
              <w:rPr>
                <w:rFonts w:cs="Times New Roman"/>
                <w:b/>
                <w:bCs/>
                <w:color w:val="000000"/>
                <w:kern w:val="0"/>
                <w:sz w:val="21"/>
                <w:szCs w:val="21"/>
                <w14:ligatures w14:val="none"/>
              </w:rPr>
            </w:pPr>
          </w:p>
        </w:tc>
        <w:tc>
          <w:tcPr>
            <w:tcW w:w="474" w:type="pct"/>
            <w:tcBorders>
              <w:top w:val="nil"/>
              <w:left w:val="nil"/>
              <w:bottom w:val="single" w:color="auto" w:sz="4" w:space="0"/>
              <w:right w:val="single" w:color="auto" w:sz="4" w:space="0"/>
            </w:tcBorders>
            <w:vAlign w:val="center"/>
          </w:tcPr>
          <w:p w14:paraId="2B505803">
            <w:pPr>
              <w:widowControl/>
              <w:spacing w:line="240" w:lineRule="auto"/>
              <w:ind w:firstLine="0" w:firstLineChars="0"/>
              <w:jc w:val="center"/>
              <w:rPr>
                <w:rFonts w:cs="Times New Roman"/>
                <w:b/>
                <w:bCs/>
                <w:color w:val="000000"/>
                <w:kern w:val="0"/>
                <w:sz w:val="21"/>
                <w:szCs w:val="21"/>
                <w14:ligatures w14:val="none"/>
              </w:rPr>
            </w:pPr>
          </w:p>
        </w:tc>
        <w:tc>
          <w:tcPr>
            <w:tcW w:w="928" w:type="pct"/>
            <w:tcBorders>
              <w:top w:val="nil"/>
              <w:left w:val="nil"/>
              <w:bottom w:val="single" w:color="auto" w:sz="4" w:space="0"/>
              <w:right w:val="single" w:color="auto" w:sz="4" w:space="0"/>
            </w:tcBorders>
            <w:vAlign w:val="center"/>
          </w:tcPr>
          <w:p w14:paraId="444D38B7">
            <w:pPr>
              <w:widowControl/>
              <w:spacing w:line="240" w:lineRule="auto"/>
              <w:ind w:firstLine="0" w:firstLineChars="0"/>
              <w:jc w:val="center"/>
              <w:rPr>
                <w:rFonts w:cs="Times New Roman"/>
                <w:b/>
                <w:bCs/>
                <w:color w:val="000000"/>
                <w:kern w:val="0"/>
                <w:sz w:val="21"/>
                <w:szCs w:val="21"/>
                <w14:ligatures w14:val="none"/>
              </w:rPr>
            </w:pPr>
          </w:p>
        </w:tc>
      </w:tr>
      <w:tr w14:paraId="38CFCA50">
        <w:tblPrEx>
          <w:tblCellMar>
            <w:top w:w="0" w:type="dxa"/>
            <w:left w:w="108" w:type="dxa"/>
            <w:bottom w:w="0" w:type="dxa"/>
            <w:right w:w="108" w:type="dxa"/>
          </w:tblCellMar>
        </w:tblPrEx>
        <w:trPr>
          <w:trHeight w:val="585" w:hRule="atLeast"/>
        </w:trPr>
        <w:tc>
          <w:tcPr>
            <w:tcW w:w="1311" w:type="pct"/>
            <w:tcBorders>
              <w:top w:val="nil"/>
              <w:left w:val="single" w:color="auto" w:sz="4" w:space="0"/>
              <w:bottom w:val="single" w:color="auto" w:sz="4" w:space="0"/>
              <w:right w:val="single" w:color="auto" w:sz="4" w:space="0"/>
            </w:tcBorders>
            <w:vAlign w:val="center"/>
          </w:tcPr>
          <w:p w14:paraId="5F1FF590">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龟科Emydidae</w:t>
            </w:r>
          </w:p>
        </w:tc>
        <w:tc>
          <w:tcPr>
            <w:tcW w:w="2287" w:type="pct"/>
            <w:tcBorders>
              <w:top w:val="nil"/>
              <w:left w:val="nil"/>
              <w:bottom w:val="single" w:color="auto" w:sz="4" w:space="0"/>
              <w:right w:val="single" w:color="auto" w:sz="4" w:space="0"/>
            </w:tcBorders>
            <w:vAlign w:val="center"/>
          </w:tcPr>
          <w:p w14:paraId="681C7332">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红耳龟</w:t>
            </w:r>
            <w:r>
              <w:rPr>
                <w:rFonts w:hint="eastAsia" w:cs="Times New Roman"/>
                <w:i/>
                <w:iCs/>
                <w:kern w:val="0"/>
                <w:sz w:val="21"/>
                <w:szCs w:val="21"/>
              </w:rPr>
              <w:t>Trachemys scripta elegans</w:t>
            </w:r>
          </w:p>
        </w:tc>
        <w:tc>
          <w:tcPr>
            <w:tcW w:w="474" w:type="pct"/>
            <w:tcBorders>
              <w:top w:val="nil"/>
              <w:left w:val="nil"/>
              <w:bottom w:val="single" w:color="auto" w:sz="4" w:space="0"/>
              <w:right w:val="single" w:color="auto" w:sz="4" w:space="0"/>
            </w:tcBorders>
            <w:vAlign w:val="center"/>
          </w:tcPr>
          <w:p w14:paraId="267C35DC">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LC</w:t>
            </w:r>
          </w:p>
        </w:tc>
        <w:tc>
          <w:tcPr>
            <w:tcW w:w="928" w:type="pct"/>
            <w:tcBorders>
              <w:top w:val="nil"/>
              <w:left w:val="nil"/>
              <w:bottom w:val="single" w:color="auto" w:sz="4" w:space="0"/>
              <w:right w:val="single" w:color="auto" w:sz="4" w:space="0"/>
            </w:tcBorders>
            <w:vAlign w:val="center"/>
          </w:tcPr>
          <w:p w14:paraId="062AF398">
            <w:pPr>
              <w:widowControl/>
              <w:spacing w:line="240" w:lineRule="auto"/>
              <w:ind w:firstLine="0" w:firstLineChars="0"/>
              <w:jc w:val="center"/>
              <w:rPr>
                <w:rFonts w:cs="Times New Roman"/>
                <w:color w:val="000000"/>
                <w:kern w:val="0"/>
                <w:sz w:val="21"/>
                <w:szCs w:val="21"/>
                <w14:ligatures w14:val="none"/>
              </w:rPr>
            </w:pPr>
          </w:p>
        </w:tc>
      </w:tr>
      <w:tr w14:paraId="66DD0D08">
        <w:tblPrEx>
          <w:tblCellMar>
            <w:top w:w="0" w:type="dxa"/>
            <w:left w:w="108" w:type="dxa"/>
            <w:bottom w:w="0" w:type="dxa"/>
            <w:right w:w="108" w:type="dxa"/>
          </w:tblCellMar>
        </w:tblPrEx>
        <w:trPr>
          <w:trHeight w:val="600" w:hRule="atLeast"/>
        </w:trPr>
        <w:tc>
          <w:tcPr>
            <w:tcW w:w="1311" w:type="pct"/>
            <w:tcBorders>
              <w:top w:val="nil"/>
              <w:left w:val="single" w:color="auto" w:sz="4" w:space="0"/>
              <w:bottom w:val="single" w:color="auto" w:sz="4" w:space="0"/>
              <w:right w:val="single" w:color="auto" w:sz="4" w:space="0"/>
            </w:tcBorders>
            <w:vAlign w:val="center"/>
          </w:tcPr>
          <w:p w14:paraId="16912C77">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壁虎科Gekkonidae</w:t>
            </w:r>
          </w:p>
        </w:tc>
        <w:tc>
          <w:tcPr>
            <w:tcW w:w="2287" w:type="pct"/>
            <w:tcBorders>
              <w:top w:val="nil"/>
              <w:left w:val="nil"/>
              <w:bottom w:val="single" w:color="auto" w:sz="4" w:space="0"/>
              <w:right w:val="single" w:color="auto" w:sz="4" w:space="0"/>
            </w:tcBorders>
            <w:vAlign w:val="center"/>
          </w:tcPr>
          <w:p w14:paraId="5A639D0E">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无蹼壁虎</w:t>
            </w:r>
            <w:r>
              <w:rPr>
                <w:rFonts w:hint="eastAsia" w:cs="Times New Roman"/>
                <w:i/>
                <w:iCs/>
                <w:kern w:val="0"/>
                <w:sz w:val="21"/>
                <w:szCs w:val="21"/>
              </w:rPr>
              <w:t>Gekko swinhonis</w:t>
            </w:r>
          </w:p>
        </w:tc>
        <w:tc>
          <w:tcPr>
            <w:tcW w:w="474" w:type="pct"/>
            <w:tcBorders>
              <w:top w:val="nil"/>
              <w:left w:val="nil"/>
              <w:bottom w:val="single" w:color="auto" w:sz="4" w:space="0"/>
              <w:right w:val="single" w:color="auto" w:sz="4" w:space="0"/>
            </w:tcBorders>
            <w:vAlign w:val="center"/>
          </w:tcPr>
          <w:p w14:paraId="3A8D1B65">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VU</w:t>
            </w:r>
          </w:p>
        </w:tc>
        <w:tc>
          <w:tcPr>
            <w:tcW w:w="928" w:type="pct"/>
            <w:tcBorders>
              <w:top w:val="nil"/>
              <w:left w:val="nil"/>
              <w:bottom w:val="single" w:color="auto" w:sz="4" w:space="0"/>
              <w:right w:val="single" w:color="auto" w:sz="4" w:space="0"/>
            </w:tcBorders>
            <w:vAlign w:val="center"/>
          </w:tcPr>
          <w:p w14:paraId="5260CE7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三有</w:t>
            </w:r>
          </w:p>
        </w:tc>
      </w:tr>
      <w:tr w14:paraId="3A76AE8D">
        <w:tblPrEx>
          <w:tblCellMar>
            <w:top w:w="0" w:type="dxa"/>
            <w:left w:w="108" w:type="dxa"/>
            <w:bottom w:w="0" w:type="dxa"/>
            <w:right w:w="108" w:type="dxa"/>
          </w:tblCellMar>
        </w:tblPrEx>
        <w:trPr>
          <w:trHeight w:val="600" w:hRule="atLeast"/>
        </w:trPr>
        <w:tc>
          <w:tcPr>
            <w:tcW w:w="1311" w:type="pct"/>
            <w:vMerge w:val="restart"/>
            <w:tcBorders>
              <w:top w:val="nil"/>
              <w:left w:val="single" w:color="auto" w:sz="4" w:space="0"/>
              <w:right w:val="single" w:color="auto" w:sz="4" w:space="0"/>
            </w:tcBorders>
            <w:vAlign w:val="center"/>
          </w:tcPr>
          <w:p w14:paraId="4949E464">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石龙子科Scincidae</w:t>
            </w:r>
          </w:p>
        </w:tc>
        <w:tc>
          <w:tcPr>
            <w:tcW w:w="2287" w:type="pct"/>
            <w:tcBorders>
              <w:top w:val="nil"/>
              <w:left w:val="nil"/>
              <w:bottom w:val="single" w:color="auto" w:sz="4" w:space="0"/>
              <w:right w:val="single" w:color="auto" w:sz="4" w:space="0"/>
            </w:tcBorders>
            <w:vAlign w:val="center"/>
          </w:tcPr>
          <w:p w14:paraId="32CBAD2A">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中国石龙子</w:t>
            </w:r>
            <w:r>
              <w:rPr>
                <w:rFonts w:hint="eastAsia" w:cs="Times New Roman"/>
                <w:i/>
                <w:iCs/>
                <w:kern w:val="0"/>
                <w:sz w:val="21"/>
                <w:szCs w:val="21"/>
              </w:rPr>
              <w:t>Plestiodon chinensis</w:t>
            </w:r>
          </w:p>
        </w:tc>
        <w:tc>
          <w:tcPr>
            <w:tcW w:w="474" w:type="pct"/>
            <w:tcBorders>
              <w:top w:val="nil"/>
              <w:left w:val="nil"/>
              <w:bottom w:val="single" w:color="auto" w:sz="4" w:space="0"/>
              <w:right w:val="single" w:color="auto" w:sz="4" w:space="0"/>
            </w:tcBorders>
            <w:vAlign w:val="center"/>
          </w:tcPr>
          <w:p w14:paraId="4ABF001F">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LC</w:t>
            </w:r>
          </w:p>
        </w:tc>
        <w:tc>
          <w:tcPr>
            <w:tcW w:w="928" w:type="pct"/>
            <w:tcBorders>
              <w:top w:val="nil"/>
              <w:left w:val="nil"/>
              <w:bottom w:val="single" w:color="auto" w:sz="4" w:space="0"/>
              <w:right w:val="single" w:color="auto" w:sz="4" w:space="0"/>
            </w:tcBorders>
            <w:vAlign w:val="center"/>
          </w:tcPr>
          <w:p w14:paraId="1C747344">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三有</w:t>
            </w:r>
          </w:p>
        </w:tc>
      </w:tr>
      <w:tr w14:paraId="40B8CD29">
        <w:tblPrEx>
          <w:tblCellMar>
            <w:top w:w="0" w:type="dxa"/>
            <w:left w:w="108" w:type="dxa"/>
            <w:bottom w:w="0" w:type="dxa"/>
            <w:right w:w="108" w:type="dxa"/>
          </w:tblCellMar>
        </w:tblPrEx>
        <w:trPr>
          <w:trHeight w:val="600" w:hRule="atLeast"/>
        </w:trPr>
        <w:tc>
          <w:tcPr>
            <w:tcW w:w="1311" w:type="pct"/>
            <w:vMerge w:val="continue"/>
            <w:tcBorders>
              <w:left w:val="single" w:color="auto" w:sz="4" w:space="0"/>
              <w:bottom w:val="single" w:color="auto" w:sz="4" w:space="0"/>
              <w:right w:val="single" w:color="auto" w:sz="4" w:space="0"/>
            </w:tcBorders>
            <w:vAlign w:val="center"/>
          </w:tcPr>
          <w:p w14:paraId="76132F8F">
            <w:pPr>
              <w:widowControl/>
              <w:spacing w:line="240" w:lineRule="auto"/>
              <w:ind w:firstLine="0" w:firstLineChars="0"/>
              <w:jc w:val="center"/>
              <w:rPr>
                <w:rFonts w:cs="Times New Roman"/>
                <w:color w:val="000000"/>
                <w:kern w:val="0"/>
                <w:sz w:val="21"/>
                <w:szCs w:val="21"/>
                <w14:ligatures w14:val="none"/>
              </w:rPr>
            </w:pPr>
          </w:p>
        </w:tc>
        <w:tc>
          <w:tcPr>
            <w:tcW w:w="2287" w:type="pct"/>
            <w:tcBorders>
              <w:top w:val="nil"/>
              <w:left w:val="nil"/>
              <w:bottom w:val="single" w:color="auto" w:sz="4" w:space="0"/>
              <w:right w:val="single" w:color="auto" w:sz="4" w:space="0"/>
            </w:tcBorders>
            <w:vAlign w:val="center"/>
          </w:tcPr>
          <w:p w14:paraId="59148712">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 xml:space="preserve">铜蜓蜥 </w:t>
            </w:r>
            <w:r>
              <w:rPr>
                <w:rFonts w:hint="eastAsia" w:cs="Times New Roman"/>
                <w:i/>
                <w:iCs/>
                <w:kern w:val="0"/>
                <w:sz w:val="21"/>
                <w:szCs w:val="21"/>
              </w:rPr>
              <w:t>Sphenomorphus indicus</w:t>
            </w:r>
          </w:p>
        </w:tc>
        <w:tc>
          <w:tcPr>
            <w:tcW w:w="474" w:type="pct"/>
            <w:tcBorders>
              <w:top w:val="nil"/>
              <w:left w:val="nil"/>
              <w:bottom w:val="single" w:color="auto" w:sz="4" w:space="0"/>
              <w:right w:val="single" w:color="auto" w:sz="4" w:space="0"/>
            </w:tcBorders>
            <w:vAlign w:val="center"/>
          </w:tcPr>
          <w:p w14:paraId="038E9CC7">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LC</w:t>
            </w:r>
          </w:p>
        </w:tc>
        <w:tc>
          <w:tcPr>
            <w:tcW w:w="928" w:type="pct"/>
            <w:tcBorders>
              <w:top w:val="nil"/>
              <w:left w:val="nil"/>
              <w:bottom w:val="single" w:color="auto" w:sz="4" w:space="0"/>
              <w:right w:val="single" w:color="auto" w:sz="4" w:space="0"/>
            </w:tcBorders>
            <w:vAlign w:val="center"/>
          </w:tcPr>
          <w:p w14:paraId="11212C9A">
            <w:pPr>
              <w:widowControl/>
              <w:spacing w:line="240" w:lineRule="auto"/>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三有</w:t>
            </w:r>
          </w:p>
        </w:tc>
      </w:tr>
      <w:tr w14:paraId="7B47E990">
        <w:tblPrEx>
          <w:tblCellMar>
            <w:top w:w="0" w:type="dxa"/>
            <w:left w:w="108" w:type="dxa"/>
            <w:bottom w:w="0" w:type="dxa"/>
            <w:right w:w="108" w:type="dxa"/>
          </w:tblCellMar>
        </w:tblPrEx>
        <w:trPr>
          <w:trHeight w:val="600" w:hRule="atLeast"/>
        </w:trPr>
        <w:tc>
          <w:tcPr>
            <w:tcW w:w="1311" w:type="pct"/>
            <w:vMerge w:val="restart"/>
            <w:tcBorders>
              <w:top w:val="nil"/>
              <w:left w:val="single" w:color="auto" w:sz="4" w:space="0"/>
              <w:right w:val="single" w:color="auto" w:sz="4" w:space="0"/>
            </w:tcBorders>
            <w:vAlign w:val="center"/>
          </w:tcPr>
          <w:p w14:paraId="0CA38719">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游蛇科Colubridae</w:t>
            </w:r>
          </w:p>
        </w:tc>
        <w:tc>
          <w:tcPr>
            <w:tcW w:w="2287" w:type="pct"/>
            <w:tcBorders>
              <w:top w:val="nil"/>
              <w:left w:val="nil"/>
              <w:bottom w:val="single" w:color="auto" w:sz="4" w:space="0"/>
              <w:right w:val="single" w:color="auto" w:sz="4" w:space="0"/>
            </w:tcBorders>
            <w:vAlign w:val="center"/>
          </w:tcPr>
          <w:p w14:paraId="78827E74">
            <w:pPr>
              <w:widowControl/>
              <w:spacing w:line="240" w:lineRule="auto"/>
              <w:ind w:firstLine="0" w:firstLineChars="0"/>
              <w:jc w:val="center"/>
              <w:rPr>
                <w:rFonts w:cs="Times New Roman"/>
                <w:kern w:val="0"/>
                <w:sz w:val="21"/>
                <w:szCs w:val="21"/>
              </w:rPr>
            </w:pPr>
            <w:r>
              <w:rPr>
                <w:rFonts w:hint="eastAsia" w:cs="Times New Roman"/>
                <w:kern w:val="0"/>
                <w:sz w:val="21"/>
                <w:szCs w:val="21"/>
              </w:rPr>
              <w:t>赤链蛇</w:t>
            </w:r>
            <w:r>
              <w:rPr>
                <w:rFonts w:hint="eastAsia" w:cs="Times New Roman"/>
                <w:i/>
                <w:iCs/>
                <w:kern w:val="0"/>
                <w:sz w:val="21"/>
                <w:szCs w:val="21"/>
              </w:rPr>
              <w:t>Dinodon rufozonatum</w:t>
            </w:r>
          </w:p>
        </w:tc>
        <w:tc>
          <w:tcPr>
            <w:tcW w:w="474" w:type="pct"/>
            <w:tcBorders>
              <w:top w:val="nil"/>
              <w:left w:val="nil"/>
              <w:bottom w:val="single" w:color="auto" w:sz="4" w:space="0"/>
              <w:right w:val="single" w:color="auto" w:sz="4" w:space="0"/>
            </w:tcBorders>
            <w:vAlign w:val="center"/>
          </w:tcPr>
          <w:p w14:paraId="413A2712">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LC</w:t>
            </w:r>
          </w:p>
        </w:tc>
        <w:tc>
          <w:tcPr>
            <w:tcW w:w="928" w:type="pct"/>
            <w:tcBorders>
              <w:top w:val="nil"/>
              <w:left w:val="nil"/>
              <w:bottom w:val="single" w:color="auto" w:sz="4" w:space="0"/>
              <w:right w:val="single" w:color="auto" w:sz="4" w:space="0"/>
            </w:tcBorders>
            <w:vAlign w:val="center"/>
          </w:tcPr>
          <w:p w14:paraId="6EF9ABFD">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省重点，三有</w:t>
            </w:r>
          </w:p>
        </w:tc>
      </w:tr>
      <w:tr w14:paraId="74D5A82E">
        <w:tblPrEx>
          <w:tblCellMar>
            <w:top w:w="0" w:type="dxa"/>
            <w:left w:w="108" w:type="dxa"/>
            <w:bottom w:w="0" w:type="dxa"/>
            <w:right w:w="108" w:type="dxa"/>
          </w:tblCellMar>
        </w:tblPrEx>
        <w:trPr>
          <w:trHeight w:val="600" w:hRule="atLeast"/>
        </w:trPr>
        <w:tc>
          <w:tcPr>
            <w:tcW w:w="1311" w:type="pct"/>
            <w:vMerge w:val="continue"/>
            <w:tcBorders>
              <w:left w:val="single" w:color="auto" w:sz="4" w:space="0"/>
              <w:right w:val="single" w:color="auto" w:sz="4" w:space="0"/>
            </w:tcBorders>
            <w:vAlign w:val="center"/>
          </w:tcPr>
          <w:p w14:paraId="10D845CE">
            <w:pPr>
              <w:widowControl/>
              <w:spacing w:line="240" w:lineRule="auto"/>
              <w:ind w:firstLine="0" w:firstLineChars="0"/>
              <w:jc w:val="center"/>
              <w:rPr>
                <w:rFonts w:cs="Times New Roman"/>
                <w:color w:val="000000"/>
                <w:kern w:val="0"/>
                <w:sz w:val="21"/>
                <w:szCs w:val="21"/>
                <w14:ligatures w14:val="none"/>
              </w:rPr>
            </w:pPr>
          </w:p>
        </w:tc>
        <w:tc>
          <w:tcPr>
            <w:tcW w:w="2287" w:type="pct"/>
            <w:tcBorders>
              <w:top w:val="nil"/>
              <w:left w:val="nil"/>
              <w:bottom w:val="single" w:color="auto" w:sz="4" w:space="0"/>
              <w:right w:val="single" w:color="auto" w:sz="4" w:space="0"/>
            </w:tcBorders>
            <w:vAlign w:val="center"/>
          </w:tcPr>
          <w:p w14:paraId="53FAB97D">
            <w:pPr>
              <w:widowControl/>
              <w:spacing w:line="240" w:lineRule="auto"/>
              <w:ind w:firstLine="0" w:firstLineChars="0"/>
              <w:jc w:val="center"/>
              <w:rPr>
                <w:rFonts w:cs="Times New Roman"/>
                <w:kern w:val="0"/>
                <w:sz w:val="21"/>
                <w:szCs w:val="21"/>
              </w:rPr>
            </w:pPr>
            <w:r>
              <w:rPr>
                <w:rFonts w:hint="eastAsia" w:cs="Times New Roman"/>
                <w:kern w:val="0"/>
                <w:sz w:val="21"/>
                <w:szCs w:val="21"/>
              </w:rPr>
              <w:t>黑眉锦蛇</w:t>
            </w:r>
            <w:r>
              <w:rPr>
                <w:rFonts w:hint="eastAsia" w:cs="Times New Roman"/>
                <w:i/>
                <w:iCs/>
                <w:kern w:val="0"/>
                <w:sz w:val="21"/>
                <w:szCs w:val="21"/>
              </w:rPr>
              <w:t>Elaphe taeniura</w:t>
            </w:r>
          </w:p>
        </w:tc>
        <w:tc>
          <w:tcPr>
            <w:tcW w:w="474" w:type="pct"/>
            <w:tcBorders>
              <w:top w:val="nil"/>
              <w:left w:val="nil"/>
              <w:bottom w:val="single" w:color="auto" w:sz="4" w:space="0"/>
              <w:right w:val="single" w:color="auto" w:sz="4" w:space="0"/>
            </w:tcBorders>
            <w:vAlign w:val="center"/>
          </w:tcPr>
          <w:p w14:paraId="54AADF74">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LC</w:t>
            </w:r>
          </w:p>
        </w:tc>
        <w:tc>
          <w:tcPr>
            <w:tcW w:w="928" w:type="pct"/>
            <w:tcBorders>
              <w:top w:val="nil"/>
              <w:left w:val="nil"/>
              <w:bottom w:val="single" w:color="auto" w:sz="4" w:space="0"/>
              <w:right w:val="single" w:color="auto" w:sz="4" w:space="0"/>
            </w:tcBorders>
            <w:vAlign w:val="center"/>
          </w:tcPr>
          <w:p w14:paraId="3A4B4653">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省重点，三有</w:t>
            </w:r>
          </w:p>
        </w:tc>
      </w:tr>
      <w:tr w14:paraId="5DFCFE2C">
        <w:tblPrEx>
          <w:tblCellMar>
            <w:top w:w="0" w:type="dxa"/>
            <w:left w:w="108" w:type="dxa"/>
            <w:bottom w:w="0" w:type="dxa"/>
            <w:right w:w="108" w:type="dxa"/>
          </w:tblCellMar>
        </w:tblPrEx>
        <w:trPr>
          <w:trHeight w:val="600" w:hRule="atLeast"/>
        </w:trPr>
        <w:tc>
          <w:tcPr>
            <w:tcW w:w="1311" w:type="pct"/>
            <w:vMerge w:val="continue"/>
            <w:tcBorders>
              <w:left w:val="single" w:color="auto" w:sz="4" w:space="0"/>
              <w:bottom w:val="single" w:color="auto" w:sz="4" w:space="0"/>
              <w:right w:val="single" w:color="auto" w:sz="4" w:space="0"/>
            </w:tcBorders>
            <w:vAlign w:val="center"/>
          </w:tcPr>
          <w:p w14:paraId="43A1D83C">
            <w:pPr>
              <w:widowControl/>
              <w:spacing w:line="240" w:lineRule="auto"/>
              <w:ind w:firstLine="0" w:firstLineChars="0"/>
              <w:jc w:val="center"/>
              <w:rPr>
                <w:rFonts w:cs="Times New Roman"/>
                <w:color w:val="000000"/>
                <w:kern w:val="0"/>
                <w:sz w:val="21"/>
                <w:szCs w:val="21"/>
                <w14:ligatures w14:val="none"/>
              </w:rPr>
            </w:pPr>
          </w:p>
        </w:tc>
        <w:tc>
          <w:tcPr>
            <w:tcW w:w="2287" w:type="pct"/>
            <w:tcBorders>
              <w:top w:val="nil"/>
              <w:left w:val="nil"/>
              <w:bottom w:val="single" w:color="auto" w:sz="4" w:space="0"/>
              <w:right w:val="single" w:color="auto" w:sz="4" w:space="0"/>
            </w:tcBorders>
            <w:vAlign w:val="center"/>
          </w:tcPr>
          <w:p w14:paraId="32F14273">
            <w:pPr>
              <w:widowControl/>
              <w:spacing w:line="240" w:lineRule="auto"/>
              <w:ind w:firstLine="0" w:firstLineChars="0"/>
              <w:jc w:val="center"/>
              <w:rPr>
                <w:rFonts w:cs="Times New Roman"/>
                <w:kern w:val="0"/>
                <w:sz w:val="21"/>
                <w:szCs w:val="21"/>
              </w:rPr>
            </w:pPr>
            <w:r>
              <w:rPr>
                <w:rFonts w:hint="eastAsia" w:cs="Times New Roman"/>
                <w:kern w:val="0"/>
                <w:sz w:val="21"/>
                <w:szCs w:val="21"/>
              </w:rPr>
              <w:t>乌梢蛇</w:t>
            </w:r>
            <w:r>
              <w:rPr>
                <w:rFonts w:hint="eastAsia" w:cs="Times New Roman"/>
                <w:i/>
                <w:iCs/>
                <w:kern w:val="0"/>
                <w:sz w:val="21"/>
                <w:szCs w:val="21"/>
              </w:rPr>
              <w:t>Zaocys dhumnades</w:t>
            </w:r>
          </w:p>
        </w:tc>
        <w:tc>
          <w:tcPr>
            <w:tcW w:w="474" w:type="pct"/>
            <w:tcBorders>
              <w:top w:val="nil"/>
              <w:left w:val="nil"/>
              <w:bottom w:val="single" w:color="auto" w:sz="4" w:space="0"/>
              <w:right w:val="single" w:color="auto" w:sz="4" w:space="0"/>
            </w:tcBorders>
            <w:vAlign w:val="center"/>
          </w:tcPr>
          <w:p w14:paraId="6C8F08A5">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LC</w:t>
            </w:r>
          </w:p>
        </w:tc>
        <w:tc>
          <w:tcPr>
            <w:tcW w:w="928" w:type="pct"/>
            <w:tcBorders>
              <w:top w:val="nil"/>
              <w:left w:val="nil"/>
              <w:bottom w:val="single" w:color="auto" w:sz="4" w:space="0"/>
              <w:right w:val="single" w:color="auto" w:sz="4" w:space="0"/>
            </w:tcBorders>
            <w:vAlign w:val="center"/>
          </w:tcPr>
          <w:p w14:paraId="464B9E19">
            <w:pPr>
              <w:widowControl/>
              <w:spacing w:line="240" w:lineRule="auto"/>
              <w:ind w:firstLine="0" w:firstLineChars="0"/>
              <w:jc w:val="center"/>
              <w:rPr>
                <w:rFonts w:cs="Times New Roman"/>
                <w:color w:val="000000"/>
                <w:kern w:val="0"/>
                <w:sz w:val="21"/>
                <w:szCs w:val="21"/>
                <w14:ligatures w14:val="none"/>
              </w:rPr>
            </w:pPr>
            <w:r>
              <w:rPr>
                <w:rFonts w:hint="eastAsia" w:cs="Times New Roman"/>
                <w:kern w:val="0"/>
                <w:sz w:val="21"/>
                <w:szCs w:val="21"/>
              </w:rPr>
              <w:t>省重点，三有</w:t>
            </w:r>
          </w:p>
        </w:tc>
      </w:tr>
      <w:tr w14:paraId="6900CD43">
        <w:tblPrEx>
          <w:tblCellMar>
            <w:top w:w="0" w:type="dxa"/>
            <w:left w:w="108" w:type="dxa"/>
            <w:bottom w:w="0" w:type="dxa"/>
            <w:right w:w="108" w:type="dxa"/>
          </w:tblCellMar>
        </w:tblPrEx>
        <w:trPr>
          <w:trHeight w:val="600" w:hRule="atLeast"/>
        </w:trPr>
        <w:tc>
          <w:tcPr>
            <w:tcW w:w="5000" w:type="pct"/>
            <w:gridSpan w:val="4"/>
            <w:tcBorders>
              <w:top w:val="single" w:color="auto" w:sz="4" w:space="0"/>
              <w:left w:val="single" w:color="auto" w:sz="4" w:space="0"/>
              <w:bottom w:val="single" w:color="auto" w:sz="4" w:space="0"/>
              <w:right w:val="single" w:color="auto" w:sz="4" w:space="0"/>
            </w:tcBorders>
            <w:vAlign w:val="center"/>
          </w:tcPr>
          <w:p w14:paraId="4DAFB6B3">
            <w:pPr>
              <w:autoSpaceDE w:val="0"/>
              <w:autoSpaceDN w:val="0"/>
              <w:adjustRightInd w:val="0"/>
              <w:spacing w:line="240" w:lineRule="auto"/>
              <w:ind w:firstLine="0" w:firstLineChars="0"/>
              <w:jc w:val="center"/>
              <w:rPr>
                <w:rFonts w:cs="Times New Roman"/>
                <w:color w:val="000000"/>
                <w:kern w:val="0"/>
                <w:sz w:val="21"/>
                <w:szCs w:val="21"/>
                <w14:ligatures w14:val="none"/>
              </w:rPr>
            </w:pPr>
            <w:r>
              <w:rPr>
                <w:rFonts w:hint="eastAsia" w:cs="Times New Roman"/>
                <w:kern w:val="0"/>
                <w:sz w:val="20"/>
                <w:szCs w:val="21"/>
              </w:rPr>
              <w:t>注：“LC”为IUCN 红色名录中的无危物种（Low Concern）；“VU”为易危物种 （Vulnerable Species）。“省重点”为列入《江苏省重点保护陆生野生动物名录》的物种；“三有”为列入《国家保护的有重要生态、科学、社会价值的陆生野生动物名录》的物种。</w:t>
            </w:r>
          </w:p>
        </w:tc>
      </w:tr>
    </w:tbl>
    <w:p w14:paraId="5ECF742E">
      <w:pPr>
        <w:spacing w:line="240" w:lineRule="auto"/>
        <w:ind w:firstLine="0" w:firstLineChars="0"/>
        <w:jc w:val="center"/>
      </w:pPr>
      <w:r>
        <w:drawing>
          <wp:inline distT="0" distB="0" distL="0" distR="0">
            <wp:extent cx="4383405" cy="1862455"/>
            <wp:effectExtent l="0" t="0" r="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391093" cy="1866116"/>
                    </a:xfrm>
                    <a:prstGeom prst="rect">
                      <a:avLst/>
                    </a:prstGeom>
                  </pic:spPr>
                </pic:pic>
              </a:graphicData>
            </a:graphic>
          </wp:inline>
        </w:drawing>
      </w:r>
    </w:p>
    <w:p w14:paraId="57A8F7AE">
      <w:pPr>
        <w:pStyle w:val="45"/>
        <w:rPr>
          <w:rFonts w:cs="Times New Roman"/>
        </w:rPr>
      </w:pPr>
      <w:r>
        <w:rPr>
          <w:rFonts w:hint="eastAsia" w:cs="Times New Roman"/>
        </w:rPr>
        <w:t>图3.</w:t>
      </w:r>
      <w:r>
        <w:rPr>
          <w:rFonts w:cs="Times New Roman"/>
        </w:rPr>
        <w:t>6</w:t>
      </w:r>
      <w:r>
        <w:rPr>
          <w:rFonts w:hint="eastAsia" w:cs="Times New Roman"/>
        </w:rPr>
        <w:t xml:space="preserve">-8 </w:t>
      </w:r>
      <w:r>
        <w:rPr>
          <w:rFonts w:cs="Times New Roman"/>
        </w:rPr>
        <w:t xml:space="preserve"> </w:t>
      </w:r>
      <w:r>
        <w:rPr>
          <w:rFonts w:hint="eastAsia" w:cs="Times New Roman"/>
        </w:rPr>
        <w:t>常州市金坛区茅东省级森林公园爬行类物种照片</w:t>
      </w:r>
    </w:p>
    <w:p w14:paraId="0832A86E">
      <w:pPr>
        <w:ind w:firstLine="0" w:firstLineChars="0"/>
        <w:outlineLvl w:val="3"/>
      </w:pPr>
      <w:r>
        <w:t>3</w:t>
      </w:r>
      <w:r>
        <w:rPr>
          <w:rFonts w:hint="eastAsia"/>
        </w:rPr>
        <w:t>.</w:t>
      </w:r>
      <w:r>
        <w:t>6</w:t>
      </w:r>
      <w:r>
        <w:rPr>
          <w:rFonts w:hint="eastAsia"/>
        </w:rPr>
        <w:t>.3.</w:t>
      </w:r>
      <w:r>
        <w:t>3</w:t>
      </w:r>
      <w:r>
        <w:rPr>
          <w:rFonts w:hint="eastAsia"/>
        </w:rPr>
        <w:t>鸟类</w:t>
      </w:r>
    </w:p>
    <w:p w14:paraId="1A742BC0">
      <w:pPr>
        <w:ind w:firstLine="480"/>
      </w:pPr>
      <w:r>
        <w:rPr>
          <w:rFonts w:hint="eastAsia"/>
        </w:rPr>
        <w:t>2022年7月、11月和2023年2月采用样点样线法实地调查了监测区内的鸟类状况。截至2023年2月，常州市金坛区考虑（分类系统参照郑光美《中国鸟类分类与分布名录》第三版）。其中，雀形目鸟类21科45种，物种数最多，占总鸟类物种数的57.7%，占绝对优势；非雀形目中，雁形目次之，1科6种，占总鸟类物种数的7.8%：鹈形目1科5种，占总鸟类物种数的6.4%。</w:t>
      </w:r>
    </w:p>
    <w:p w14:paraId="75BF2988">
      <w:pPr>
        <w:ind w:firstLine="480"/>
      </w:pPr>
      <w:r>
        <w:rPr>
          <w:rFonts w:hint="eastAsia"/>
        </w:rPr>
        <w:t>调查记录到的鸟类物种中，属于国家二级重点保护野生动物的有5种，分别为鸳鸯、雀鹰、黑鸢、红隼和画眉。属于江苏省重点保护物种名录的物种有28种，分别为灰胸竹鸡、赤膀鸭、罗纹鸭、灰喜鹊等。在UCN红色名录中属于易危物种（VU）的有1种，为田鸥，属于近危物种（T）的有1种，为罗纹鸭，其他物种均为无危物种（LC），详细名录见表3.6-7。</w:t>
      </w:r>
    </w:p>
    <w:p w14:paraId="41A93CDE">
      <w:pPr>
        <w:pStyle w:val="45"/>
        <w:ind w:firstLine="480"/>
        <w:rPr>
          <w:rFonts w:cs="Times New Roman"/>
        </w:rPr>
      </w:pPr>
      <w:r>
        <w:rPr>
          <w:rFonts w:hint="eastAsia" w:cs="Times New Roman"/>
        </w:rPr>
        <w:t>表3.</w:t>
      </w:r>
      <w:r>
        <w:rPr>
          <w:rFonts w:cs="Times New Roman"/>
        </w:rPr>
        <w:t>6</w:t>
      </w:r>
      <w:r>
        <w:rPr>
          <w:rFonts w:hint="eastAsia" w:cs="Times New Roman"/>
        </w:rPr>
        <w:t xml:space="preserve">-7 </w:t>
      </w:r>
      <w:r>
        <w:rPr>
          <w:rFonts w:cs="Times New Roman"/>
        </w:rPr>
        <w:t xml:space="preserve"> </w:t>
      </w:r>
      <w:r>
        <w:rPr>
          <w:rFonts w:hint="eastAsia" w:cs="Times New Roman"/>
        </w:rPr>
        <w:t>常州市金坛区茅东省级森林公园鸟类物种名录</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7"/>
        <w:gridCol w:w="898"/>
        <w:gridCol w:w="1004"/>
        <w:gridCol w:w="1110"/>
        <w:gridCol w:w="2510"/>
        <w:gridCol w:w="1024"/>
        <w:gridCol w:w="1289"/>
      </w:tblGrid>
      <w:tr w14:paraId="6932C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blHeader/>
        </w:trPr>
        <w:tc>
          <w:tcPr>
            <w:tcW w:w="0" w:type="auto"/>
            <w:vAlign w:val="center"/>
          </w:tcPr>
          <w:p w14:paraId="1490F13C">
            <w:pPr>
              <w:spacing w:line="240" w:lineRule="auto"/>
              <w:ind w:firstLine="0" w:firstLineChars="0"/>
              <w:jc w:val="center"/>
              <w:rPr>
                <w:rFonts w:cs="Times New Roman"/>
                <w:b/>
                <w:kern w:val="0"/>
                <w:sz w:val="21"/>
                <w:szCs w:val="21"/>
              </w:rPr>
            </w:pPr>
            <w:r>
              <w:rPr>
                <w:rFonts w:cs="Times New Roman"/>
                <w:b/>
                <w:kern w:val="0"/>
                <w:sz w:val="21"/>
                <w:szCs w:val="21"/>
              </w:rPr>
              <w:t>序号</w:t>
            </w:r>
          </w:p>
        </w:tc>
        <w:tc>
          <w:tcPr>
            <w:tcW w:w="0" w:type="auto"/>
            <w:vAlign w:val="center"/>
          </w:tcPr>
          <w:p w14:paraId="17834372">
            <w:pPr>
              <w:spacing w:line="240" w:lineRule="auto"/>
              <w:ind w:firstLine="0" w:firstLineChars="0"/>
              <w:jc w:val="center"/>
              <w:rPr>
                <w:rFonts w:cs="Times New Roman"/>
                <w:b/>
                <w:sz w:val="21"/>
                <w:szCs w:val="21"/>
              </w:rPr>
            </w:pPr>
            <w:r>
              <w:rPr>
                <w:rFonts w:cs="Times New Roman"/>
                <w:b/>
                <w:kern w:val="0"/>
                <w:sz w:val="21"/>
                <w:szCs w:val="21"/>
              </w:rPr>
              <w:t>目</w:t>
            </w:r>
          </w:p>
        </w:tc>
        <w:tc>
          <w:tcPr>
            <w:tcW w:w="0" w:type="auto"/>
            <w:vAlign w:val="center"/>
          </w:tcPr>
          <w:p w14:paraId="21BF2C2E">
            <w:pPr>
              <w:spacing w:line="240" w:lineRule="auto"/>
              <w:ind w:firstLine="0" w:firstLineChars="0"/>
              <w:jc w:val="center"/>
              <w:rPr>
                <w:rFonts w:cs="Times New Roman"/>
                <w:b/>
                <w:sz w:val="21"/>
                <w:szCs w:val="21"/>
              </w:rPr>
            </w:pPr>
            <w:r>
              <w:rPr>
                <w:rFonts w:cs="Times New Roman"/>
                <w:b/>
                <w:kern w:val="0"/>
                <w:sz w:val="21"/>
                <w:szCs w:val="21"/>
              </w:rPr>
              <w:t>科</w:t>
            </w:r>
          </w:p>
        </w:tc>
        <w:tc>
          <w:tcPr>
            <w:tcW w:w="0" w:type="auto"/>
            <w:vAlign w:val="center"/>
          </w:tcPr>
          <w:p w14:paraId="3E0EAA4A">
            <w:pPr>
              <w:spacing w:line="240" w:lineRule="auto"/>
              <w:ind w:firstLine="0" w:firstLineChars="0"/>
              <w:jc w:val="center"/>
              <w:rPr>
                <w:rFonts w:cs="Times New Roman"/>
                <w:b/>
                <w:sz w:val="21"/>
                <w:szCs w:val="21"/>
              </w:rPr>
            </w:pPr>
            <w:r>
              <w:rPr>
                <w:rFonts w:cs="Times New Roman"/>
                <w:b/>
                <w:kern w:val="0"/>
                <w:sz w:val="21"/>
                <w:szCs w:val="21"/>
              </w:rPr>
              <w:t>物种名</w:t>
            </w:r>
          </w:p>
        </w:tc>
        <w:tc>
          <w:tcPr>
            <w:tcW w:w="0" w:type="auto"/>
            <w:vAlign w:val="center"/>
          </w:tcPr>
          <w:p w14:paraId="53A7C0F5">
            <w:pPr>
              <w:spacing w:line="240" w:lineRule="auto"/>
              <w:ind w:firstLine="0" w:firstLineChars="0"/>
              <w:jc w:val="center"/>
              <w:rPr>
                <w:rFonts w:cs="Times New Roman"/>
                <w:b/>
                <w:sz w:val="21"/>
                <w:szCs w:val="21"/>
              </w:rPr>
            </w:pPr>
            <w:r>
              <w:rPr>
                <w:rFonts w:cs="Times New Roman"/>
                <w:b/>
                <w:kern w:val="0"/>
                <w:sz w:val="21"/>
                <w:szCs w:val="21"/>
              </w:rPr>
              <w:t>拉丁名</w:t>
            </w:r>
          </w:p>
        </w:tc>
        <w:tc>
          <w:tcPr>
            <w:tcW w:w="0" w:type="auto"/>
            <w:vAlign w:val="center"/>
          </w:tcPr>
          <w:p w14:paraId="65A25C4E">
            <w:pPr>
              <w:spacing w:line="240" w:lineRule="auto"/>
              <w:ind w:firstLine="0" w:firstLineChars="0"/>
              <w:jc w:val="center"/>
              <w:rPr>
                <w:rFonts w:cs="Times New Roman"/>
                <w:b/>
                <w:sz w:val="21"/>
                <w:szCs w:val="21"/>
              </w:rPr>
            </w:pPr>
            <w:r>
              <w:rPr>
                <w:rFonts w:cs="Times New Roman"/>
                <w:b/>
                <w:kern w:val="0"/>
                <w:sz w:val="21"/>
                <w:szCs w:val="21"/>
              </w:rPr>
              <w:t>IUCN</w:t>
            </w:r>
          </w:p>
        </w:tc>
        <w:tc>
          <w:tcPr>
            <w:tcW w:w="0" w:type="auto"/>
            <w:vAlign w:val="center"/>
          </w:tcPr>
          <w:p w14:paraId="20BC0C5B">
            <w:pPr>
              <w:autoSpaceDE w:val="0"/>
              <w:autoSpaceDN w:val="0"/>
              <w:adjustRightInd w:val="0"/>
              <w:spacing w:line="240" w:lineRule="auto"/>
              <w:ind w:firstLine="0" w:firstLineChars="0"/>
              <w:jc w:val="center"/>
              <w:rPr>
                <w:rFonts w:cs="Times New Roman"/>
                <w:b/>
                <w:sz w:val="21"/>
                <w:szCs w:val="21"/>
              </w:rPr>
            </w:pPr>
            <w:r>
              <w:rPr>
                <w:rFonts w:cs="Times New Roman"/>
                <w:b/>
                <w:kern w:val="0"/>
                <w:sz w:val="21"/>
                <w:szCs w:val="21"/>
              </w:rPr>
              <w:t>保护等级</w:t>
            </w:r>
          </w:p>
        </w:tc>
      </w:tr>
      <w:tr w14:paraId="74E3A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C257ED7">
            <w:pPr>
              <w:spacing w:line="240" w:lineRule="auto"/>
              <w:ind w:firstLine="0" w:firstLineChars="0"/>
              <w:jc w:val="center"/>
              <w:rPr>
                <w:rFonts w:cs="Times New Roman"/>
                <w:sz w:val="21"/>
                <w:szCs w:val="21"/>
              </w:rPr>
            </w:pPr>
            <w:r>
              <w:rPr>
                <w:rFonts w:cs="Times New Roman"/>
                <w:sz w:val="21"/>
                <w:szCs w:val="21"/>
              </w:rPr>
              <w:t>1</w:t>
            </w:r>
          </w:p>
        </w:tc>
        <w:tc>
          <w:tcPr>
            <w:tcW w:w="0" w:type="auto"/>
            <w:vAlign w:val="center"/>
          </w:tcPr>
          <w:p w14:paraId="257FEE80">
            <w:pPr>
              <w:spacing w:line="240" w:lineRule="auto"/>
              <w:ind w:firstLine="0" w:firstLineChars="0"/>
              <w:jc w:val="center"/>
              <w:rPr>
                <w:rFonts w:cs="Times New Roman"/>
                <w:sz w:val="21"/>
                <w:szCs w:val="21"/>
              </w:rPr>
            </w:pPr>
            <w:r>
              <w:rPr>
                <w:rFonts w:cs="Times New Roman"/>
                <w:kern w:val="0"/>
                <w:sz w:val="21"/>
                <w:szCs w:val="21"/>
              </w:rPr>
              <w:t>鸡形目</w:t>
            </w:r>
          </w:p>
        </w:tc>
        <w:tc>
          <w:tcPr>
            <w:tcW w:w="0" w:type="auto"/>
            <w:vAlign w:val="center"/>
          </w:tcPr>
          <w:p w14:paraId="37ED69A9">
            <w:pPr>
              <w:spacing w:line="240" w:lineRule="auto"/>
              <w:ind w:firstLine="0" w:firstLineChars="0"/>
              <w:jc w:val="center"/>
              <w:rPr>
                <w:rFonts w:cs="Times New Roman"/>
                <w:sz w:val="21"/>
                <w:szCs w:val="21"/>
              </w:rPr>
            </w:pPr>
            <w:r>
              <w:rPr>
                <w:rFonts w:cs="Times New Roman"/>
                <w:kern w:val="0"/>
                <w:sz w:val="21"/>
                <w:szCs w:val="21"/>
              </w:rPr>
              <w:t>雉科</w:t>
            </w:r>
          </w:p>
        </w:tc>
        <w:tc>
          <w:tcPr>
            <w:tcW w:w="0" w:type="auto"/>
            <w:vAlign w:val="center"/>
          </w:tcPr>
          <w:p w14:paraId="29FB44F9">
            <w:pPr>
              <w:spacing w:line="240" w:lineRule="auto"/>
              <w:ind w:firstLine="0" w:firstLineChars="0"/>
              <w:jc w:val="center"/>
              <w:rPr>
                <w:rFonts w:cs="Times New Roman"/>
                <w:sz w:val="21"/>
                <w:szCs w:val="21"/>
              </w:rPr>
            </w:pPr>
            <w:r>
              <w:rPr>
                <w:rFonts w:cs="Times New Roman"/>
                <w:kern w:val="0"/>
                <w:sz w:val="21"/>
                <w:szCs w:val="21"/>
              </w:rPr>
              <w:t>灰胸竹鸡</w:t>
            </w:r>
          </w:p>
        </w:tc>
        <w:tc>
          <w:tcPr>
            <w:tcW w:w="0" w:type="auto"/>
            <w:vAlign w:val="center"/>
          </w:tcPr>
          <w:p w14:paraId="2791D05C">
            <w:pPr>
              <w:spacing w:line="240" w:lineRule="auto"/>
              <w:ind w:firstLine="0" w:firstLineChars="0"/>
              <w:jc w:val="center"/>
              <w:rPr>
                <w:rFonts w:cs="Times New Roman"/>
                <w:sz w:val="21"/>
                <w:szCs w:val="21"/>
              </w:rPr>
            </w:pPr>
            <w:r>
              <w:rPr>
                <w:rFonts w:cs="Times New Roman"/>
                <w:i/>
                <w:iCs/>
                <w:kern w:val="0"/>
                <w:sz w:val="21"/>
                <w:szCs w:val="21"/>
              </w:rPr>
              <w:t>Bambusicola thoracicus</w:t>
            </w:r>
          </w:p>
        </w:tc>
        <w:tc>
          <w:tcPr>
            <w:tcW w:w="0" w:type="auto"/>
            <w:vAlign w:val="center"/>
          </w:tcPr>
          <w:p w14:paraId="1FF33357">
            <w:pPr>
              <w:spacing w:line="240" w:lineRule="auto"/>
              <w:ind w:firstLine="0" w:firstLineChars="0"/>
              <w:jc w:val="center"/>
              <w:rPr>
                <w:rFonts w:cs="Times New Roman"/>
                <w:sz w:val="21"/>
                <w:szCs w:val="21"/>
              </w:rPr>
            </w:pPr>
            <w:r>
              <w:rPr>
                <w:rFonts w:cs="Times New Roman"/>
                <w:kern w:val="0"/>
                <w:sz w:val="21"/>
                <w:szCs w:val="21"/>
              </w:rPr>
              <w:t>LC</w:t>
            </w:r>
          </w:p>
        </w:tc>
        <w:tc>
          <w:tcPr>
            <w:tcW w:w="0" w:type="auto"/>
            <w:vAlign w:val="center"/>
          </w:tcPr>
          <w:p w14:paraId="500542E2">
            <w:pPr>
              <w:spacing w:line="240" w:lineRule="auto"/>
              <w:ind w:firstLine="0" w:firstLineChars="0"/>
              <w:jc w:val="center"/>
              <w:rPr>
                <w:rFonts w:cs="Times New Roman"/>
                <w:sz w:val="21"/>
                <w:szCs w:val="21"/>
              </w:rPr>
            </w:pPr>
            <w:r>
              <w:rPr>
                <w:rFonts w:cs="Times New Roman"/>
                <w:kern w:val="0"/>
                <w:sz w:val="21"/>
                <w:szCs w:val="21"/>
              </w:rPr>
              <w:t>省重点</w:t>
            </w:r>
          </w:p>
        </w:tc>
      </w:tr>
      <w:tr w14:paraId="481C0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D7EE41C">
            <w:pPr>
              <w:spacing w:line="240" w:lineRule="auto"/>
              <w:ind w:firstLine="0" w:firstLineChars="0"/>
              <w:jc w:val="center"/>
              <w:rPr>
                <w:rFonts w:cs="Times New Roman"/>
                <w:sz w:val="21"/>
                <w:szCs w:val="21"/>
              </w:rPr>
            </w:pPr>
            <w:r>
              <w:rPr>
                <w:rFonts w:cs="Times New Roman"/>
                <w:sz w:val="21"/>
                <w:szCs w:val="21"/>
              </w:rPr>
              <w:t>2</w:t>
            </w:r>
          </w:p>
        </w:tc>
        <w:tc>
          <w:tcPr>
            <w:tcW w:w="0" w:type="auto"/>
            <w:vAlign w:val="center"/>
          </w:tcPr>
          <w:p w14:paraId="6801F4D7">
            <w:pPr>
              <w:spacing w:line="240" w:lineRule="auto"/>
              <w:ind w:firstLine="0" w:firstLineChars="0"/>
              <w:jc w:val="center"/>
              <w:rPr>
                <w:rFonts w:cs="Times New Roman"/>
                <w:sz w:val="21"/>
                <w:szCs w:val="21"/>
              </w:rPr>
            </w:pPr>
            <w:r>
              <w:rPr>
                <w:rFonts w:cs="Times New Roman"/>
                <w:kern w:val="0"/>
                <w:sz w:val="21"/>
                <w:szCs w:val="21"/>
              </w:rPr>
              <w:t>鸡形目</w:t>
            </w:r>
          </w:p>
        </w:tc>
        <w:tc>
          <w:tcPr>
            <w:tcW w:w="0" w:type="auto"/>
            <w:vAlign w:val="center"/>
          </w:tcPr>
          <w:p w14:paraId="6A8B4147">
            <w:pPr>
              <w:spacing w:line="240" w:lineRule="auto"/>
              <w:ind w:firstLine="0" w:firstLineChars="0"/>
              <w:jc w:val="center"/>
              <w:rPr>
                <w:rFonts w:cs="Times New Roman"/>
                <w:sz w:val="21"/>
                <w:szCs w:val="21"/>
              </w:rPr>
            </w:pPr>
            <w:r>
              <w:rPr>
                <w:rFonts w:cs="Times New Roman"/>
                <w:kern w:val="0"/>
                <w:sz w:val="21"/>
                <w:szCs w:val="21"/>
              </w:rPr>
              <w:t>雉科</w:t>
            </w:r>
          </w:p>
        </w:tc>
        <w:tc>
          <w:tcPr>
            <w:tcW w:w="0" w:type="auto"/>
            <w:vAlign w:val="center"/>
          </w:tcPr>
          <w:p w14:paraId="5363A3D5">
            <w:pPr>
              <w:spacing w:line="240" w:lineRule="auto"/>
              <w:ind w:firstLine="0" w:firstLineChars="0"/>
              <w:jc w:val="center"/>
              <w:rPr>
                <w:rFonts w:cs="Times New Roman"/>
                <w:sz w:val="21"/>
                <w:szCs w:val="21"/>
              </w:rPr>
            </w:pPr>
            <w:r>
              <w:rPr>
                <w:rFonts w:cs="Times New Roman"/>
                <w:kern w:val="0"/>
                <w:sz w:val="21"/>
                <w:szCs w:val="21"/>
              </w:rPr>
              <w:t>环颈雉</w:t>
            </w:r>
          </w:p>
        </w:tc>
        <w:tc>
          <w:tcPr>
            <w:tcW w:w="0" w:type="auto"/>
            <w:vAlign w:val="center"/>
          </w:tcPr>
          <w:p w14:paraId="30910C07">
            <w:pPr>
              <w:spacing w:line="240" w:lineRule="auto"/>
              <w:ind w:firstLine="0" w:firstLineChars="0"/>
              <w:jc w:val="center"/>
              <w:rPr>
                <w:rFonts w:cs="Times New Roman"/>
                <w:sz w:val="21"/>
                <w:szCs w:val="21"/>
              </w:rPr>
            </w:pPr>
            <w:r>
              <w:rPr>
                <w:rFonts w:cs="Times New Roman"/>
                <w:i/>
                <w:iCs/>
                <w:kern w:val="0"/>
                <w:sz w:val="21"/>
                <w:szCs w:val="21"/>
              </w:rPr>
              <w:t>Phasianus colchicus</w:t>
            </w:r>
          </w:p>
        </w:tc>
        <w:tc>
          <w:tcPr>
            <w:tcW w:w="0" w:type="auto"/>
            <w:vAlign w:val="center"/>
          </w:tcPr>
          <w:p w14:paraId="478746BA">
            <w:pPr>
              <w:spacing w:line="240" w:lineRule="auto"/>
              <w:ind w:firstLine="0" w:firstLineChars="0"/>
              <w:jc w:val="center"/>
              <w:rPr>
                <w:rFonts w:cs="Times New Roman"/>
                <w:sz w:val="21"/>
                <w:szCs w:val="21"/>
              </w:rPr>
            </w:pPr>
            <w:r>
              <w:rPr>
                <w:rFonts w:cs="Times New Roman"/>
                <w:kern w:val="0"/>
                <w:sz w:val="21"/>
                <w:szCs w:val="21"/>
              </w:rPr>
              <w:t>LC</w:t>
            </w:r>
          </w:p>
        </w:tc>
        <w:tc>
          <w:tcPr>
            <w:tcW w:w="0" w:type="auto"/>
            <w:vAlign w:val="center"/>
          </w:tcPr>
          <w:p w14:paraId="2BB133C6">
            <w:pPr>
              <w:spacing w:line="240" w:lineRule="auto"/>
              <w:ind w:firstLine="0" w:firstLineChars="0"/>
              <w:jc w:val="center"/>
              <w:rPr>
                <w:rFonts w:cs="Times New Roman"/>
                <w:sz w:val="21"/>
                <w:szCs w:val="21"/>
              </w:rPr>
            </w:pPr>
            <w:r>
              <w:rPr>
                <w:rFonts w:cs="Times New Roman"/>
                <w:sz w:val="21"/>
                <w:szCs w:val="21"/>
              </w:rPr>
              <w:t>—</w:t>
            </w:r>
          </w:p>
        </w:tc>
      </w:tr>
      <w:tr w14:paraId="3958F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5BE4346">
            <w:pPr>
              <w:spacing w:line="240" w:lineRule="auto"/>
              <w:ind w:firstLine="0" w:firstLineChars="0"/>
              <w:jc w:val="center"/>
              <w:rPr>
                <w:rFonts w:cs="Times New Roman"/>
                <w:sz w:val="21"/>
                <w:szCs w:val="21"/>
              </w:rPr>
            </w:pPr>
            <w:r>
              <w:rPr>
                <w:rFonts w:cs="Times New Roman"/>
                <w:sz w:val="21"/>
                <w:szCs w:val="21"/>
              </w:rPr>
              <w:t>3</w:t>
            </w:r>
          </w:p>
        </w:tc>
        <w:tc>
          <w:tcPr>
            <w:tcW w:w="0" w:type="auto"/>
            <w:vAlign w:val="center"/>
          </w:tcPr>
          <w:p w14:paraId="1F27BA1C">
            <w:pPr>
              <w:spacing w:line="240" w:lineRule="auto"/>
              <w:ind w:firstLine="0" w:firstLineChars="0"/>
              <w:jc w:val="center"/>
              <w:rPr>
                <w:rFonts w:cs="Times New Roman"/>
                <w:sz w:val="21"/>
                <w:szCs w:val="21"/>
              </w:rPr>
            </w:pPr>
            <w:r>
              <w:rPr>
                <w:rFonts w:cs="Times New Roman"/>
                <w:kern w:val="0"/>
                <w:sz w:val="21"/>
                <w:szCs w:val="21"/>
              </w:rPr>
              <w:t>雁形目</w:t>
            </w:r>
          </w:p>
        </w:tc>
        <w:tc>
          <w:tcPr>
            <w:tcW w:w="0" w:type="auto"/>
            <w:vAlign w:val="center"/>
          </w:tcPr>
          <w:p w14:paraId="521B8A61">
            <w:pPr>
              <w:spacing w:line="240" w:lineRule="auto"/>
              <w:ind w:firstLine="0" w:firstLineChars="0"/>
              <w:jc w:val="center"/>
              <w:rPr>
                <w:rFonts w:cs="Times New Roman"/>
                <w:sz w:val="21"/>
                <w:szCs w:val="21"/>
              </w:rPr>
            </w:pPr>
            <w:r>
              <w:rPr>
                <w:rFonts w:cs="Times New Roman"/>
                <w:kern w:val="0"/>
                <w:sz w:val="21"/>
                <w:szCs w:val="21"/>
              </w:rPr>
              <w:t>鸭科</w:t>
            </w:r>
          </w:p>
        </w:tc>
        <w:tc>
          <w:tcPr>
            <w:tcW w:w="0" w:type="auto"/>
            <w:vAlign w:val="center"/>
          </w:tcPr>
          <w:p w14:paraId="05988CA6">
            <w:pPr>
              <w:spacing w:line="240" w:lineRule="auto"/>
              <w:ind w:firstLine="0" w:firstLineChars="0"/>
              <w:jc w:val="center"/>
              <w:rPr>
                <w:rFonts w:cs="Times New Roman"/>
                <w:sz w:val="21"/>
                <w:szCs w:val="21"/>
              </w:rPr>
            </w:pPr>
            <w:r>
              <w:rPr>
                <w:rFonts w:cs="Times New Roman"/>
                <w:kern w:val="0"/>
                <w:sz w:val="21"/>
                <w:szCs w:val="21"/>
              </w:rPr>
              <w:t>鸳鸯</w:t>
            </w:r>
          </w:p>
        </w:tc>
        <w:tc>
          <w:tcPr>
            <w:tcW w:w="0" w:type="auto"/>
            <w:vAlign w:val="center"/>
          </w:tcPr>
          <w:p w14:paraId="485874E0">
            <w:pPr>
              <w:spacing w:line="240" w:lineRule="auto"/>
              <w:ind w:firstLine="0" w:firstLineChars="0"/>
              <w:jc w:val="center"/>
              <w:rPr>
                <w:rFonts w:cs="Times New Roman"/>
                <w:sz w:val="21"/>
                <w:szCs w:val="21"/>
              </w:rPr>
            </w:pPr>
            <w:r>
              <w:rPr>
                <w:rFonts w:cs="Times New Roman"/>
                <w:i/>
                <w:iCs/>
                <w:kern w:val="0"/>
                <w:sz w:val="21"/>
                <w:szCs w:val="21"/>
              </w:rPr>
              <w:t>Aix galericulata</w:t>
            </w:r>
          </w:p>
        </w:tc>
        <w:tc>
          <w:tcPr>
            <w:tcW w:w="0" w:type="auto"/>
            <w:vAlign w:val="center"/>
          </w:tcPr>
          <w:p w14:paraId="0488948A">
            <w:pPr>
              <w:spacing w:line="240" w:lineRule="auto"/>
              <w:ind w:firstLine="0" w:firstLineChars="0"/>
              <w:jc w:val="center"/>
              <w:rPr>
                <w:rFonts w:cs="Times New Roman"/>
                <w:sz w:val="21"/>
                <w:szCs w:val="21"/>
              </w:rPr>
            </w:pPr>
            <w:r>
              <w:rPr>
                <w:rFonts w:cs="Times New Roman"/>
                <w:kern w:val="0"/>
                <w:sz w:val="21"/>
                <w:szCs w:val="21"/>
              </w:rPr>
              <w:t>LC</w:t>
            </w:r>
          </w:p>
        </w:tc>
        <w:tc>
          <w:tcPr>
            <w:tcW w:w="0" w:type="auto"/>
            <w:vAlign w:val="center"/>
          </w:tcPr>
          <w:p w14:paraId="06B71979">
            <w:pPr>
              <w:autoSpaceDE w:val="0"/>
              <w:autoSpaceDN w:val="0"/>
              <w:adjustRightInd w:val="0"/>
              <w:spacing w:line="240" w:lineRule="auto"/>
              <w:ind w:firstLine="0" w:firstLineChars="0"/>
              <w:jc w:val="center"/>
              <w:rPr>
                <w:rFonts w:cs="Times New Roman"/>
                <w:sz w:val="21"/>
                <w:szCs w:val="21"/>
              </w:rPr>
            </w:pPr>
            <w:r>
              <w:rPr>
                <w:rFonts w:cs="Times New Roman"/>
                <w:kern w:val="0"/>
                <w:sz w:val="21"/>
                <w:szCs w:val="21"/>
              </w:rPr>
              <w:t>二级、省重点</w:t>
            </w:r>
          </w:p>
        </w:tc>
      </w:tr>
      <w:tr w14:paraId="7FC35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53A3E13">
            <w:pPr>
              <w:spacing w:line="240" w:lineRule="auto"/>
              <w:ind w:firstLine="0" w:firstLineChars="0"/>
              <w:jc w:val="center"/>
              <w:rPr>
                <w:rFonts w:cs="Times New Roman"/>
                <w:sz w:val="21"/>
                <w:szCs w:val="21"/>
              </w:rPr>
            </w:pPr>
            <w:r>
              <w:rPr>
                <w:rFonts w:cs="Times New Roman"/>
                <w:sz w:val="21"/>
                <w:szCs w:val="21"/>
              </w:rPr>
              <w:t>4</w:t>
            </w:r>
          </w:p>
        </w:tc>
        <w:tc>
          <w:tcPr>
            <w:tcW w:w="0" w:type="auto"/>
            <w:vAlign w:val="center"/>
          </w:tcPr>
          <w:p w14:paraId="466C16CC">
            <w:pPr>
              <w:spacing w:line="240" w:lineRule="auto"/>
              <w:ind w:firstLine="0" w:firstLineChars="0"/>
              <w:jc w:val="center"/>
              <w:rPr>
                <w:rFonts w:cs="Times New Roman"/>
                <w:sz w:val="21"/>
                <w:szCs w:val="21"/>
              </w:rPr>
            </w:pPr>
            <w:r>
              <w:rPr>
                <w:rFonts w:cs="Times New Roman"/>
                <w:kern w:val="0"/>
                <w:sz w:val="21"/>
                <w:szCs w:val="21"/>
              </w:rPr>
              <w:t>雁形目</w:t>
            </w:r>
          </w:p>
        </w:tc>
        <w:tc>
          <w:tcPr>
            <w:tcW w:w="0" w:type="auto"/>
            <w:vAlign w:val="center"/>
          </w:tcPr>
          <w:p w14:paraId="3BB37D48">
            <w:pPr>
              <w:spacing w:line="240" w:lineRule="auto"/>
              <w:ind w:firstLine="0" w:firstLineChars="0"/>
              <w:jc w:val="center"/>
              <w:rPr>
                <w:rFonts w:cs="Times New Roman"/>
                <w:sz w:val="21"/>
                <w:szCs w:val="21"/>
              </w:rPr>
            </w:pPr>
            <w:r>
              <w:rPr>
                <w:rFonts w:cs="Times New Roman"/>
                <w:kern w:val="0"/>
                <w:sz w:val="21"/>
                <w:szCs w:val="21"/>
              </w:rPr>
              <w:t>鸭科</w:t>
            </w:r>
          </w:p>
        </w:tc>
        <w:tc>
          <w:tcPr>
            <w:tcW w:w="0" w:type="auto"/>
            <w:vAlign w:val="center"/>
          </w:tcPr>
          <w:p w14:paraId="6FD9FF95">
            <w:pPr>
              <w:spacing w:line="240" w:lineRule="auto"/>
              <w:ind w:firstLine="0" w:firstLineChars="0"/>
              <w:jc w:val="center"/>
              <w:rPr>
                <w:rFonts w:cs="Times New Roman"/>
                <w:sz w:val="21"/>
                <w:szCs w:val="21"/>
              </w:rPr>
            </w:pPr>
            <w:r>
              <w:rPr>
                <w:rFonts w:cs="Times New Roman"/>
                <w:sz w:val="21"/>
                <w:szCs w:val="21"/>
              </w:rPr>
              <w:t>赤膀鸭</w:t>
            </w:r>
          </w:p>
        </w:tc>
        <w:tc>
          <w:tcPr>
            <w:tcW w:w="0" w:type="auto"/>
            <w:vAlign w:val="center"/>
          </w:tcPr>
          <w:p w14:paraId="192EDB76">
            <w:pPr>
              <w:spacing w:line="240" w:lineRule="auto"/>
              <w:ind w:firstLine="0" w:firstLineChars="0"/>
              <w:jc w:val="center"/>
              <w:rPr>
                <w:rFonts w:cs="Times New Roman"/>
                <w:sz w:val="21"/>
                <w:szCs w:val="21"/>
              </w:rPr>
            </w:pPr>
            <w:r>
              <w:rPr>
                <w:rFonts w:cs="Times New Roman"/>
                <w:i/>
                <w:iCs/>
                <w:kern w:val="0"/>
                <w:sz w:val="21"/>
                <w:szCs w:val="21"/>
              </w:rPr>
              <w:t>Anas strepera</w:t>
            </w:r>
          </w:p>
        </w:tc>
        <w:tc>
          <w:tcPr>
            <w:tcW w:w="0" w:type="auto"/>
            <w:vAlign w:val="center"/>
          </w:tcPr>
          <w:p w14:paraId="35A5F9BC">
            <w:pPr>
              <w:spacing w:line="240" w:lineRule="auto"/>
              <w:ind w:firstLine="0" w:firstLineChars="0"/>
              <w:jc w:val="center"/>
              <w:rPr>
                <w:rFonts w:cs="Times New Roman"/>
                <w:sz w:val="21"/>
                <w:szCs w:val="21"/>
              </w:rPr>
            </w:pPr>
            <w:r>
              <w:rPr>
                <w:rFonts w:cs="Times New Roman"/>
                <w:kern w:val="0"/>
                <w:sz w:val="21"/>
                <w:szCs w:val="21"/>
              </w:rPr>
              <w:t>LC</w:t>
            </w:r>
          </w:p>
        </w:tc>
        <w:tc>
          <w:tcPr>
            <w:tcW w:w="0" w:type="auto"/>
            <w:vAlign w:val="center"/>
          </w:tcPr>
          <w:p w14:paraId="3B6A8028">
            <w:pPr>
              <w:spacing w:line="240" w:lineRule="auto"/>
              <w:ind w:firstLine="0" w:firstLineChars="0"/>
              <w:jc w:val="center"/>
              <w:rPr>
                <w:rFonts w:cs="Times New Roman"/>
                <w:sz w:val="21"/>
                <w:szCs w:val="21"/>
              </w:rPr>
            </w:pPr>
            <w:r>
              <w:rPr>
                <w:rFonts w:cs="Times New Roman"/>
                <w:kern w:val="0"/>
                <w:sz w:val="21"/>
                <w:szCs w:val="21"/>
              </w:rPr>
              <w:t>省重点</w:t>
            </w:r>
          </w:p>
        </w:tc>
      </w:tr>
      <w:tr w14:paraId="3FCD1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3E2C908">
            <w:pPr>
              <w:spacing w:line="240" w:lineRule="auto"/>
              <w:ind w:firstLine="0" w:firstLineChars="0"/>
              <w:jc w:val="center"/>
              <w:rPr>
                <w:rFonts w:cs="Times New Roman"/>
                <w:sz w:val="21"/>
                <w:szCs w:val="21"/>
              </w:rPr>
            </w:pPr>
            <w:r>
              <w:rPr>
                <w:rFonts w:cs="Times New Roman"/>
                <w:sz w:val="21"/>
                <w:szCs w:val="21"/>
              </w:rPr>
              <w:t>5</w:t>
            </w:r>
          </w:p>
        </w:tc>
        <w:tc>
          <w:tcPr>
            <w:tcW w:w="0" w:type="auto"/>
            <w:vAlign w:val="center"/>
          </w:tcPr>
          <w:p w14:paraId="2E46F8DF">
            <w:pPr>
              <w:spacing w:line="240" w:lineRule="auto"/>
              <w:ind w:firstLine="0" w:firstLineChars="0"/>
              <w:jc w:val="center"/>
              <w:rPr>
                <w:rFonts w:cs="Times New Roman"/>
                <w:sz w:val="21"/>
                <w:szCs w:val="21"/>
              </w:rPr>
            </w:pPr>
            <w:r>
              <w:rPr>
                <w:rFonts w:cs="Times New Roman"/>
                <w:kern w:val="0"/>
                <w:sz w:val="21"/>
                <w:szCs w:val="21"/>
              </w:rPr>
              <w:t>雁形目</w:t>
            </w:r>
          </w:p>
        </w:tc>
        <w:tc>
          <w:tcPr>
            <w:tcW w:w="0" w:type="auto"/>
            <w:vAlign w:val="center"/>
          </w:tcPr>
          <w:p w14:paraId="73C648FE">
            <w:pPr>
              <w:spacing w:line="240" w:lineRule="auto"/>
              <w:ind w:firstLine="0" w:firstLineChars="0"/>
              <w:jc w:val="center"/>
              <w:rPr>
                <w:rFonts w:cs="Times New Roman"/>
                <w:sz w:val="21"/>
                <w:szCs w:val="21"/>
              </w:rPr>
            </w:pPr>
            <w:r>
              <w:rPr>
                <w:rFonts w:cs="Times New Roman"/>
                <w:kern w:val="0"/>
                <w:sz w:val="21"/>
                <w:szCs w:val="21"/>
              </w:rPr>
              <w:t>鸭科</w:t>
            </w:r>
          </w:p>
        </w:tc>
        <w:tc>
          <w:tcPr>
            <w:tcW w:w="0" w:type="auto"/>
            <w:vAlign w:val="center"/>
          </w:tcPr>
          <w:p w14:paraId="18EB2B24">
            <w:pPr>
              <w:spacing w:line="240" w:lineRule="auto"/>
              <w:ind w:firstLine="0" w:firstLineChars="0"/>
              <w:jc w:val="center"/>
              <w:rPr>
                <w:rFonts w:cs="Times New Roman"/>
                <w:sz w:val="21"/>
                <w:szCs w:val="21"/>
              </w:rPr>
            </w:pPr>
            <w:r>
              <w:rPr>
                <w:rFonts w:cs="Times New Roman"/>
                <w:sz w:val="21"/>
                <w:szCs w:val="21"/>
              </w:rPr>
              <w:t>罗纹鸭</w:t>
            </w:r>
          </w:p>
        </w:tc>
        <w:tc>
          <w:tcPr>
            <w:tcW w:w="0" w:type="auto"/>
            <w:vAlign w:val="center"/>
          </w:tcPr>
          <w:p w14:paraId="10E2C917">
            <w:pPr>
              <w:spacing w:line="240" w:lineRule="auto"/>
              <w:ind w:firstLine="0" w:firstLineChars="0"/>
              <w:jc w:val="center"/>
              <w:rPr>
                <w:rFonts w:cs="Times New Roman"/>
                <w:sz w:val="21"/>
                <w:szCs w:val="21"/>
              </w:rPr>
            </w:pPr>
            <w:r>
              <w:rPr>
                <w:rFonts w:cs="Times New Roman"/>
                <w:i/>
                <w:iCs/>
                <w:kern w:val="0"/>
                <w:sz w:val="21"/>
                <w:szCs w:val="21"/>
              </w:rPr>
              <w:t>Anas falcata</w:t>
            </w:r>
          </w:p>
        </w:tc>
        <w:tc>
          <w:tcPr>
            <w:tcW w:w="0" w:type="auto"/>
            <w:vAlign w:val="center"/>
          </w:tcPr>
          <w:p w14:paraId="674935FE">
            <w:pPr>
              <w:spacing w:line="240" w:lineRule="auto"/>
              <w:ind w:firstLine="0" w:firstLineChars="0"/>
              <w:jc w:val="center"/>
              <w:rPr>
                <w:rFonts w:cs="Times New Roman"/>
                <w:sz w:val="21"/>
                <w:szCs w:val="21"/>
              </w:rPr>
            </w:pPr>
            <w:r>
              <w:rPr>
                <w:rFonts w:cs="Times New Roman"/>
                <w:kern w:val="0"/>
                <w:sz w:val="21"/>
                <w:szCs w:val="21"/>
              </w:rPr>
              <w:t>LC</w:t>
            </w:r>
          </w:p>
        </w:tc>
        <w:tc>
          <w:tcPr>
            <w:tcW w:w="0" w:type="auto"/>
            <w:vAlign w:val="center"/>
          </w:tcPr>
          <w:p w14:paraId="7EA94BC7">
            <w:pPr>
              <w:spacing w:line="240" w:lineRule="auto"/>
              <w:ind w:firstLine="0" w:firstLineChars="0"/>
              <w:jc w:val="center"/>
              <w:rPr>
                <w:rFonts w:cs="Times New Roman"/>
                <w:sz w:val="21"/>
                <w:szCs w:val="21"/>
              </w:rPr>
            </w:pPr>
            <w:r>
              <w:rPr>
                <w:rFonts w:cs="Times New Roman"/>
                <w:kern w:val="0"/>
                <w:sz w:val="21"/>
                <w:szCs w:val="21"/>
              </w:rPr>
              <w:t>省重点</w:t>
            </w:r>
          </w:p>
        </w:tc>
      </w:tr>
      <w:tr w14:paraId="4C690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90B2820">
            <w:pPr>
              <w:spacing w:line="240" w:lineRule="auto"/>
              <w:ind w:firstLine="0" w:firstLineChars="0"/>
              <w:jc w:val="center"/>
              <w:rPr>
                <w:rFonts w:cs="Times New Roman"/>
                <w:sz w:val="21"/>
                <w:szCs w:val="21"/>
              </w:rPr>
            </w:pPr>
            <w:r>
              <w:rPr>
                <w:rFonts w:cs="Times New Roman"/>
                <w:sz w:val="21"/>
                <w:szCs w:val="21"/>
              </w:rPr>
              <w:t>6</w:t>
            </w:r>
          </w:p>
        </w:tc>
        <w:tc>
          <w:tcPr>
            <w:tcW w:w="0" w:type="auto"/>
            <w:vAlign w:val="center"/>
          </w:tcPr>
          <w:p w14:paraId="7C0F1350">
            <w:pPr>
              <w:spacing w:line="240" w:lineRule="auto"/>
              <w:ind w:firstLine="0" w:firstLineChars="0"/>
              <w:jc w:val="center"/>
              <w:rPr>
                <w:rFonts w:cs="Times New Roman"/>
                <w:sz w:val="21"/>
                <w:szCs w:val="21"/>
              </w:rPr>
            </w:pPr>
            <w:r>
              <w:rPr>
                <w:rFonts w:cs="Times New Roman"/>
                <w:kern w:val="0"/>
                <w:sz w:val="21"/>
                <w:szCs w:val="21"/>
              </w:rPr>
              <w:t>雁形目</w:t>
            </w:r>
          </w:p>
        </w:tc>
        <w:tc>
          <w:tcPr>
            <w:tcW w:w="0" w:type="auto"/>
            <w:vAlign w:val="center"/>
          </w:tcPr>
          <w:p w14:paraId="6964CD09">
            <w:pPr>
              <w:spacing w:line="240" w:lineRule="auto"/>
              <w:ind w:firstLine="0" w:firstLineChars="0"/>
              <w:jc w:val="center"/>
              <w:rPr>
                <w:rFonts w:cs="Times New Roman"/>
                <w:sz w:val="21"/>
                <w:szCs w:val="21"/>
              </w:rPr>
            </w:pPr>
            <w:r>
              <w:rPr>
                <w:rFonts w:cs="Times New Roman"/>
                <w:kern w:val="0"/>
                <w:sz w:val="21"/>
                <w:szCs w:val="21"/>
              </w:rPr>
              <w:t>鸭科</w:t>
            </w:r>
          </w:p>
        </w:tc>
        <w:tc>
          <w:tcPr>
            <w:tcW w:w="0" w:type="auto"/>
            <w:vAlign w:val="center"/>
          </w:tcPr>
          <w:p w14:paraId="5B1ABE8A">
            <w:pPr>
              <w:spacing w:line="240" w:lineRule="auto"/>
              <w:ind w:firstLine="0" w:firstLineChars="0"/>
              <w:jc w:val="center"/>
              <w:rPr>
                <w:rFonts w:cs="Times New Roman"/>
                <w:sz w:val="21"/>
                <w:szCs w:val="21"/>
              </w:rPr>
            </w:pPr>
            <w:r>
              <w:rPr>
                <w:rFonts w:cs="Times New Roman"/>
                <w:sz w:val="21"/>
                <w:szCs w:val="21"/>
              </w:rPr>
              <w:t>绿头鸭</w:t>
            </w:r>
          </w:p>
        </w:tc>
        <w:tc>
          <w:tcPr>
            <w:tcW w:w="0" w:type="auto"/>
            <w:vAlign w:val="center"/>
          </w:tcPr>
          <w:p w14:paraId="2C0CA008">
            <w:pPr>
              <w:spacing w:line="240" w:lineRule="auto"/>
              <w:ind w:firstLine="0" w:firstLineChars="0"/>
              <w:jc w:val="center"/>
              <w:rPr>
                <w:rFonts w:cs="Times New Roman"/>
                <w:sz w:val="21"/>
                <w:szCs w:val="21"/>
              </w:rPr>
            </w:pPr>
            <w:r>
              <w:rPr>
                <w:rFonts w:cs="Times New Roman"/>
                <w:i/>
                <w:iCs/>
                <w:kern w:val="0"/>
                <w:sz w:val="21"/>
                <w:szCs w:val="21"/>
              </w:rPr>
              <w:t>Anas platyrhynchos</w:t>
            </w:r>
          </w:p>
        </w:tc>
        <w:tc>
          <w:tcPr>
            <w:tcW w:w="0" w:type="auto"/>
            <w:vAlign w:val="center"/>
          </w:tcPr>
          <w:p w14:paraId="7B641BF5">
            <w:pPr>
              <w:spacing w:line="240" w:lineRule="auto"/>
              <w:ind w:firstLine="0" w:firstLineChars="0"/>
              <w:jc w:val="center"/>
              <w:rPr>
                <w:rFonts w:cs="Times New Roman"/>
                <w:sz w:val="21"/>
                <w:szCs w:val="21"/>
              </w:rPr>
            </w:pPr>
            <w:r>
              <w:rPr>
                <w:rFonts w:cs="Times New Roman"/>
                <w:kern w:val="0"/>
                <w:sz w:val="21"/>
                <w:szCs w:val="21"/>
              </w:rPr>
              <w:t>LC</w:t>
            </w:r>
          </w:p>
        </w:tc>
        <w:tc>
          <w:tcPr>
            <w:tcW w:w="0" w:type="auto"/>
            <w:vAlign w:val="center"/>
          </w:tcPr>
          <w:p w14:paraId="4A918A07">
            <w:pPr>
              <w:spacing w:line="240" w:lineRule="auto"/>
              <w:ind w:firstLine="0" w:firstLineChars="0"/>
              <w:jc w:val="center"/>
              <w:rPr>
                <w:rFonts w:cs="Times New Roman"/>
                <w:sz w:val="21"/>
                <w:szCs w:val="21"/>
              </w:rPr>
            </w:pPr>
            <w:r>
              <w:rPr>
                <w:rFonts w:cs="Times New Roman"/>
                <w:kern w:val="0"/>
                <w:sz w:val="21"/>
                <w:szCs w:val="21"/>
              </w:rPr>
              <w:t>省重点</w:t>
            </w:r>
          </w:p>
        </w:tc>
      </w:tr>
      <w:tr w14:paraId="44138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4C3E5A6">
            <w:pPr>
              <w:spacing w:line="240" w:lineRule="auto"/>
              <w:ind w:firstLine="0" w:firstLineChars="0"/>
              <w:jc w:val="center"/>
              <w:rPr>
                <w:rFonts w:cs="Times New Roman"/>
                <w:sz w:val="21"/>
                <w:szCs w:val="21"/>
              </w:rPr>
            </w:pPr>
            <w:r>
              <w:rPr>
                <w:rFonts w:cs="Times New Roman"/>
                <w:sz w:val="21"/>
                <w:szCs w:val="21"/>
              </w:rPr>
              <w:t>7</w:t>
            </w:r>
          </w:p>
        </w:tc>
        <w:tc>
          <w:tcPr>
            <w:tcW w:w="0" w:type="auto"/>
            <w:vAlign w:val="center"/>
          </w:tcPr>
          <w:p w14:paraId="1A4E10C3">
            <w:pPr>
              <w:spacing w:line="240" w:lineRule="auto"/>
              <w:ind w:firstLine="0" w:firstLineChars="0"/>
              <w:jc w:val="center"/>
              <w:rPr>
                <w:rFonts w:cs="Times New Roman"/>
                <w:sz w:val="21"/>
                <w:szCs w:val="21"/>
              </w:rPr>
            </w:pPr>
            <w:r>
              <w:rPr>
                <w:rFonts w:cs="Times New Roman"/>
                <w:kern w:val="0"/>
                <w:sz w:val="21"/>
                <w:szCs w:val="21"/>
              </w:rPr>
              <w:t>雁形目</w:t>
            </w:r>
          </w:p>
        </w:tc>
        <w:tc>
          <w:tcPr>
            <w:tcW w:w="0" w:type="auto"/>
            <w:vAlign w:val="center"/>
          </w:tcPr>
          <w:p w14:paraId="3FE5BB44">
            <w:pPr>
              <w:spacing w:line="240" w:lineRule="auto"/>
              <w:ind w:firstLine="0" w:firstLineChars="0"/>
              <w:jc w:val="center"/>
              <w:rPr>
                <w:rFonts w:cs="Times New Roman"/>
                <w:sz w:val="21"/>
                <w:szCs w:val="21"/>
              </w:rPr>
            </w:pPr>
            <w:r>
              <w:rPr>
                <w:rFonts w:cs="Times New Roman"/>
                <w:kern w:val="0"/>
                <w:sz w:val="21"/>
                <w:szCs w:val="21"/>
              </w:rPr>
              <w:t>鸭科</w:t>
            </w:r>
          </w:p>
        </w:tc>
        <w:tc>
          <w:tcPr>
            <w:tcW w:w="0" w:type="auto"/>
            <w:vAlign w:val="center"/>
          </w:tcPr>
          <w:p w14:paraId="6B4E02E8">
            <w:pPr>
              <w:spacing w:line="240" w:lineRule="auto"/>
              <w:ind w:firstLine="0" w:firstLineChars="0"/>
              <w:jc w:val="center"/>
              <w:rPr>
                <w:rFonts w:cs="Times New Roman"/>
                <w:sz w:val="21"/>
                <w:szCs w:val="21"/>
              </w:rPr>
            </w:pPr>
            <w:r>
              <w:rPr>
                <w:rFonts w:cs="Times New Roman"/>
                <w:sz w:val="21"/>
                <w:szCs w:val="21"/>
              </w:rPr>
              <w:t>斑嘴鸭</w:t>
            </w:r>
          </w:p>
        </w:tc>
        <w:tc>
          <w:tcPr>
            <w:tcW w:w="0" w:type="auto"/>
            <w:vAlign w:val="center"/>
          </w:tcPr>
          <w:p w14:paraId="2AD26B01">
            <w:pPr>
              <w:spacing w:line="240" w:lineRule="auto"/>
              <w:ind w:firstLine="0" w:firstLineChars="0"/>
              <w:jc w:val="center"/>
              <w:rPr>
                <w:rFonts w:cs="Times New Roman"/>
                <w:sz w:val="21"/>
                <w:szCs w:val="21"/>
              </w:rPr>
            </w:pPr>
            <w:r>
              <w:rPr>
                <w:rFonts w:cs="Times New Roman"/>
                <w:i/>
                <w:iCs/>
                <w:kern w:val="0"/>
                <w:sz w:val="21"/>
                <w:szCs w:val="21"/>
              </w:rPr>
              <w:t>Anas zonorhyncha</w:t>
            </w:r>
          </w:p>
        </w:tc>
        <w:tc>
          <w:tcPr>
            <w:tcW w:w="0" w:type="auto"/>
            <w:vAlign w:val="center"/>
          </w:tcPr>
          <w:p w14:paraId="655FCE6B">
            <w:pPr>
              <w:spacing w:line="240" w:lineRule="auto"/>
              <w:ind w:firstLine="0" w:firstLineChars="0"/>
              <w:jc w:val="center"/>
              <w:rPr>
                <w:rFonts w:cs="Times New Roman"/>
                <w:sz w:val="21"/>
                <w:szCs w:val="21"/>
              </w:rPr>
            </w:pPr>
            <w:r>
              <w:rPr>
                <w:rFonts w:cs="Times New Roman"/>
                <w:kern w:val="0"/>
                <w:sz w:val="21"/>
                <w:szCs w:val="21"/>
              </w:rPr>
              <w:t>LC</w:t>
            </w:r>
          </w:p>
        </w:tc>
        <w:tc>
          <w:tcPr>
            <w:tcW w:w="0" w:type="auto"/>
            <w:vAlign w:val="center"/>
          </w:tcPr>
          <w:p w14:paraId="277EBC89">
            <w:pPr>
              <w:spacing w:line="240" w:lineRule="auto"/>
              <w:ind w:firstLine="0" w:firstLineChars="0"/>
              <w:jc w:val="center"/>
              <w:rPr>
                <w:rFonts w:cs="Times New Roman"/>
                <w:sz w:val="21"/>
                <w:szCs w:val="21"/>
              </w:rPr>
            </w:pPr>
            <w:r>
              <w:rPr>
                <w:rFonts w:cs="Times New Roman"/>
                <w:kern w:val="0"/>
                <w:sz w:val="21"/>
                <w:szCs w:val="21"/>
              </w:rPr>
              <w:t>省重点</w:t>
            </w:r>
          </w:p>
        </w:tc>
      </w:tr>
      <w:tr w14:paraId="57C65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C830A32">
            <w:pPr>
              <w:spacing w:line="240" w:lineRule="auto"/>
              <w:ind w:firstLine="0" w:firstLineChars="0"/>
              <w:jc w:val="center"/>
              <w:rPr>
                <w:rFonts w:cs="Times New Roman"/>
                <w:sz w:val="21"/>
                <w:szCs w:val="21"/>
              </w:rPr>
            </w:pPr>
            <w:r>
              <w:rPr>
                <w:rFonts w:cs="Times New Roman"/>
                <w:sz w:val="21"/>
                <w:szCs w:val="21"/>
              </w:rPr>
              <w:t>8</w:t>
            </w:r>
          </w:p>
        </w:tc>
        <w:tc>
          <w:tcPr>
            <w:tcW w:w="0" w:type="auto"/>
            <w:vAlign w:val="center"/>
          </w:tcPr>
          <w:p w14:paraId="0A2B0180">
            <w:pPr>
              <w:spacing w:line="240" w:lineRule="auto"/>
              <w:ind w:firstLine="0" w:firstLineChars="0"/>
              <w:jc w:val="center"/>
              <w:rPr>
                <w:rFonts w:cs="Times New Roman"/>
                <w:sz w:val="21"/>
                <w:szCs w:val="21"/>
              </w:rPr>
            </w:pPr>
            <w:r>
              <w:rPr>
                <w:rFonts w:cs="Times New Roman"/>
                <w:kern w:val="0"/>
                <w:sz w:val="21"/>
                <w:szCs w:val="21"/>
              </w:rPr>
              <w:t>雁形目</w:t>
            </w:r>
          </w:p>
        </w:tc>
        <w:tc>
          <w:tcPr>
            <w:tcW w:w="0" w:type="auto"/>
            <w:vAlign w:val="center"/>
          </w:tcPr>
          <w:p w14:paraId="2EE53D1B">
            <w:pPr>
              <w:spacing w:line="240" w:lineRule="auto"/>
              <w:ind w:firstLine="0" w:firstLineChars="0"/>
              <w:jc w:val="center"/>
              <w:rPr>
                <w:rFonts w:cs="Times New Roman"/>
                <w:sz w:val="21"/>
                <w:szCs w:val="21"/>
              </w:rPr>
            </w:pPr>
            <w:r>
              <w:rPr>
                <w:rFonts w:cs="Times New Roman"/>
                <w:kern w:val="0"/>
                <w:sz w:val="21"/>
                <w:szCs w:val="21"/>
              </w:rPr>
              <w:t>鸭科</w:t>
            </w:r>
          </w:p>
        </w:tc>
        <w:tc>
          <w:tcPr>
            <w:tcW w:w="0" w:type="auto"/>
            <w:vAlign w:val="center"/>
          </w:tcPr>
          <w:p w14:paraId="2B65F1BA">
            <w:pPr>
              <w:spacing w:line="240" w:lineRule="auto"/>
              <w:ind w:firstLine="0" w:firstLineChars="0"/>
              <w:jc w:val="center"/>
              <w:rPr>
                <w:rFonts w:cs="Times New Roman"/>
                <w:sz w:val="21"/>
                <w:szCs w:val="21"/>
              </w:rPr>
            </w:pPr>
            <w:r>
              <w:rPr>
                <w:rFonts w:cs="Times New Roman"/>
                <w:sz w:val="21"/>
                <w:szCs w:val="21"/>
              </w:rPr>
              <w:t>绿翅鸭</w:t>
            </w:r>
          </w:p>
        </w:tc>
        <w:tc>
          <w:tcPr>
            <w:tcW w:w="0" w:type="auto"/>
            <w:vAlign w:val="center"/>
          </w:tcPr>
          <w:p w14:paraId="00F739E7">
            <w:pPr>
              <w:spacing w:line="240" w:lineRule="auto"/>
              <w:ind w:firstLine="0" w:firstLineChars="0"/>
              <w:jc w:val="center"/>
              <w:rPr>
                <w:rFonts w:cs="Times New Roman"/>
                <w:sz w:val="21"/>
                <w:szCs w:val="21"/>
              </w:rPr>
            </w:pPr>
            <w:r>
              <w:rPr>
                <w:rFonts w:cs="Times New Roman"/>
                <w:i/>
                <w:iCs/>
                <w:kern w:val="0"/>
                <w:sz w:val="21"/>
                <w:szCs w:val="21"/>
              </w:rPr>
              <w:t>Anas crecca</w:t>
            </w:r>
          </w:p>
        </w:tc>
        <w:tc>
          <w:tcPr>
            <w:tcW w:w="0" w:type="auto"/>
            <w:vAlign w:val="center"/>
          </w:tcPr>
          <w:p w14:paraId="2774F16A">
            <w:pPr>
              <w:spacing w:line="240" w:lineRule="auto"/>
              <w:ind w:firstLine="0" w:firstLineChars="0"/>
              <w:jc w:val="center"/>
              <w:rPr>
                <w:rFonts w:cs="Times New Roman"/>
                <w:sz w:val="21"/>
                <w:szCs w:val="21"/>
              </w:rPr>
            </w:pPr>
            <w:r>
              <w:rPr>
                <w:rFonts w:cs="Times New Roman"/>
                <w:kern w:val="0"/>
                <w:sz w:val="21"/>
                <w:szCs w:val="21"/>
              </w:rPr>
              <w:t>LC</w:t>
            </w:r>
          </w:p>
        </w:tc>
        <w:tc>
          <w:tcPr>
            <w:tcW w:w="0" w:type="auto"/>
            <w:vAlign w:val="center"/>
          </w:tcPr>
          <w:p w14:paraId="4C5E4693">
            <w:pPr>
              <w:spacing w:line="240" w:lineRule="auto"/>
              <w:ind w:firstLine="0" w:firstLineChars="0"/>
              <w:jc w:val="center"/>
              <w:rPr>
                <w:rFonts w:cs="Times New Roman"/>
                <w:sz w:val="21"/>
                <w:szCs w:val="21"/>
              </w:rPr>
            </w:pPr>
            <w:r>
              <w:rPr>
                <w:rFonts w:cs="Times New Roman"/>
                <w:kern w:val="0"/>
                <w:sz w:val="21"/>
                <w:szCs w:val="21"/>
              </w:rPr>
              <w:t>省重点</w:t>
            </w:r>
          </w:p>
        </w:tc>
      </w:tr>
      <w:tr w14:paraId="09255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FF5C6FB">
            <w:pPr>
              <w:spacing w:line="240" w:lineRule="auto"/>
              <w:ind w:firstLine="0" w:firstLineChars="0"/>
              <w:jc w:val="center"/>
              <w:rPr>
                <w:rFonts w:cs="Times New Roman"/>
                <w:sz w:val="21"/>
                <w:szCs w:val="21"/>
              </w:rPr>
            </w:pPr>
            <w:r>
              <w:rPr>
                <w:rFonts w:cs="Times New Roman"/>
                <w:sz w:val="21"/>
                <w:szCs w:val="21"/>
              </w:rPr>
              <w:t>9</w:t>
            </w:r>
          </w:p>
        </w:tc>
        <w:tc>
          <w:tcPr>
            <w:tcW w:w="0" w:type="auto"/>
            <w:vAlign w:val="center"/>
          </w:tcPr>
          <w:p w14:paraId="42DF88FD">
            <w:pPr>
              <w:spacing w:line="240" w:lineRule="auto"/>
              <w:ind w:firstLine="0" w:firstLineChars="0"/>
              <w:jc w:val="center"/>
              <w:rPr>
                <w:rFonts w:cs="Times New Roman"/>
                <w:sz w:val="21"/>
                <w:szCs w:val="21"/>
              </w:rPr>
            </w:pPr>
            <w:r>
              <w:rPr>
                <w:rFonts w:cs="Times New Roman"/>
                <w:kern w:val="0"/>
                <w:sz w:val="21"/>
                <w:szCs w:val="21"/>
              </w:rPr>
              <w:t>䴙䴘目</w:t>
            </w:r>
          </w:p>
        </w:tc>
        <w:tc>
          <w:tcPr>
            <w:tcW w:w="0" w:type="auto"/>
            <w:vAlign w:val="center"/>
          </w:tcPr>
          <w:p w14:paraId="14972ADA">
            <w:pPr>
              <w:spacing w:line="240" w:lineRule="auto"/>
              <w:ind w:firstLine="0" w:firstLineChars="0"/>
              <w:jc w:val="center"/>
              <w:rPr>
                <w:rFonts w:cs="Times New Roman"/>
                <w:sz w:val="21"/>
                <w:szCs w:val="21"/>
              </w:rPr>
            </w:pPr>
            <w:r>
              <w:rPr>
                <w:rFonts w:cs="Times New Roman"/>
                <w:kern w:val="0"/>
                <w:sz w:val="21"/>
                <w:szCs w:val="21"/>
              </w:rPr>
              <w:t>䴙䴘科</w:t>
            </w:r>
          </w:p>
        </w:tc>
        <w:tc>
          <w:tcPr>
            <w:tcW w:w="0" w:type="auto"/>
            <w:vAlign w:val="center"/>
          </w:tcPr>
          <w:p w14:paraId="0653B7FA">
            <w:pPr>
              <w:spacing w:line="240" w:lineRule="auto"/>
              <w:ind w:firstLine="0" w:firstLineChars="0"/>
              <w:jc w:val="center"/>
              <w:rPr>
                <w:rFonts w:cs="Times New Roman"/>
                <w:sz w:val="21"/>
                <w:szCs w:val="21"/>
              </w:rPr>
            </w:pPr>
            <w:r>
              <w:rPr>
                <w:rFonts w:cs="Times New Roman"/>
                <w:kern w:val="0"/>
                <w:sz w:val="21"/>
                <w:szCs w:val="21"/>
              </w:rPr>
              <w:t>小䴙䴘</w:t>
            </w:r>
          </w:p>
        </w:tc>
        <w:tc>
          <w:tcPr>
            <w:tcW w:w="0" w:type="auto"/>
            <w:vAlign w:val="center"/>
          </w:tcPr>
          <w:p w14:paraId="54C5AFEF">
            <w:pPr>
              <w:spacing w:line="240" w:lineRule="auto"/>
              <w:ind w:firstLine="0" w:firstLineChars="0"/>
              <w:jc w:val="center"/>
              <w:rPr>
                <w:rFonts w:cs="Times New Roman"/>
                <w:sz w:val="21"/>
                <w:szCs w:val="21"/>
              </w:rPr>
            </w:pPr>
            <w:r>
              <w:rPr>
                <w:rFonts w:cs="Times New Roman"/>
                <w:i/>
                <w:iCs/>
                <w:kern w:val="0"/>
                <w:sz w:val="21"/>
                <w:szCs w:val="21"/>
              </w:rPr>
              <w:t>Tachybaptus ruficollis</w:t>
            </w:r>
          </w:p>
        </w:tc>
        <w:tc>
          <w:tcPr>
            <w:tcW w:w="0" w:type="auto"/>
            <w:vAlign w:val="center"/>
          </w:tcPr>
          <w:p w14:paraId="3EFB53EB">
            <w:pPr>
              <w:spacing w:line="240" w:lineRule="auto"/>
              <w:ind w:firstLine="0" w:firstLineChars="0"/>
              <w:jc w:val="center"/>
              <w:rPr>
                <w:rFonts w:cs="Times New Roman"/>
                <w:sz w:val="21"/>
                <w:szCs w:val="21"/>
              </w:rPr>
            </w:pPr>
            <w:r>
              <w:rPr>
                <w:rFonts w:cs="Times New Roman"/>
                <w:kern w:val="0"/>
                <w:sz w:val="21"/>
                <w:szCs w:val="21"/>
              </w:rPr>
              <w:t>LC</w:t>
            </w:r>
          </w:p>
        </w:tc>
        <w:tc>
          <w:tcPr>
            <w:tcW w:w="0" w:type="auto"/>
            <w:vAlign w:val="center"/>
          </w:tcPr>
          <w:p w14:paraId="4ACF2E05">
            <w:pPr>
              <w:spacing w:line="240" w:lineRule="auto"/>
              <w:ind w:firstLine="0" w:firstLineChars="0"/>
              <w:jc w:val="center"/>
              <w:rPr>
                <w:rFonts w:cs="Times New Roman"/>
                <w:sz w:val="21"/>
                <w:szCs w:val="21"/>
              </w:rPr>
            </w:pPr>
            <w:r>
              <w:rPr>
                <w:rFonts w:cs="Times New Roman"/>
                <w:kern w:val="0"/>
                <w:sz w:val="21"/>
                <w:szCs w:val="21"/>
              </w:rPr>
              <w:t>省重点</w:t>
            </w:r>
          </w:p>
        </w:tc>
      </w:tr>
      <w:tr w14:paraId="4ABA3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7E94C24">
            <w:pPr>
              <w:spacing w:line="240" w:lineRule="auto"/>
              <w:ind w:firstLine="0" w:firstLineChars="0"/>
              <w:jc w:val="center"/>
              <w:rPr>
                <w:rFonts w:cs="Times New Roman"/>
                <w:sz w:val="21"/>
                <w:szCs w:val="21"/>
              </w:rPr>
            </w:pPr>
            <w:r>
              <w:rPr>
                <w:rFonts w:cs="Times New Roman"/>
                <w:sz w:val="21"/>
                <w:szCs w:val="21"/>
              </w:rPr>
              <w:t>10</w:t>
            </w:r>
          </w:p>
        </w:tc>
        <w:tc>
          <w:tcPr>
            <w:tcW w:w="0" w:type="auto"/>
            <w:vAlign w:val="center"/>
          </w:tcPr>
          <w:p w14:paraId="4C1AE914">
            <w:pPr>
              <w:spacing w:line="240" w:lineRule="auto"/>
              <w:ind w:firstLine="0" w:firstLineChars="0"/>
              <w:jc w:val="center"/>
              <w:rPr>
                <w:rFonts w:cs="Times New Roman"/>
                <w:sz w:val="21"/>
                <w:szCs w:val="21"/>
              </w:rPr>
            </w:pPr>
            <w:r>
              <w:rPr>
                <w:rFonts w:cs="Times New Roman"/>
                <w:kern w:val="0"/>
                <w:sz w:val="21"/>
                <w:szCs w:val="21"/>
              </w:rPr>
              <w:t>䴙䴘目</w:t>
            </w:r>
          </w:p>
        </w:tc>
        <w:tc>
          <w:tcPr>
            <w:tcW w:w="0" w:type="auto"/>
            <w:vAlign w:val="center"/>
          </w:tcPr>
          <w:p w14:paraId="3F6C829A">
            <w:pPr>
              <w:spacing w:line="240" w:lineRule="auto"/>
              <w:ind w:firstLine="0" w:firstLineChars="0"/>
              <w:jc w:val="center"/>
              <w:rPr>
                <w:rFonts w:cs="Times New Roman"/>
                <w:sz w:val="21"/>
                <w:szCs w:val="21"/>
              </w:rPr>
            </w:pPr>
            <w:r>
              <w:rPr>
                <w:rFonts w:cs="Times New Roman"/>
                <w:kern w:val="0"/>
                <w:sz w:val="21"/>
                <w:szCs w:val="21"/>
              </w:rPr>
              <w:t>䴙䴘科</w:t>
            </w:r>
          </w:p>
        </w:tc>
        <w:tc>
          <w:tcPr>
            <w:tcW w:w="0" w:type="auto"/>
            <w:vAlign w:val="center"/>
          </w:tcPr>
          <w:p w14:paraId="40DB1BB9">
            <w:pPr>
              <w:spacing w:line="240" w:lineRule="auto"/>
              <w:ind w:firstLine="0" w:firstLineChars="0"/>
              <w:jc w:val="center"/>
              <w:rPr>
                <w:rFonts w:cs="Times New Roman"/>
                <w:sz w:val="21"/>
                <w:szCs w:val="21"/>
              </w:rPr>
            </w:pPr>
            <w:r>
              <w:rPr>
                <w:rFonts w:cs="Times New Roman"/>
                <w:kern w:val="0"/>
                <w:sz w:val="21"/>
                <w:szCs w:val="21"/>
              </w:rPr>
              <w:t>小䴙䴘</w:t>
            </w:r>
          </w:p>
        </w:tc>
        <w:tc>
          <w:tcPr>
            <w:tcW w:w="0" w:type="auto"/>
            <w:vAlign w:val="center"/>
          </w:tcPr>
          <w:p w14:paraId="30C35084">
            <w:pPr>
              <w:spacing w:line="240" w:lineRule="auto"/>
              <w:ind w:firstLine="0" w:firstLineChars="0"/>
              <w:jc w:val="center"/>
              <w:rPr>
                <w:rFonts w:cs="Times New Roman"/>
                <w:sz w:val="21"/>
                <w:szCs w:val="21"/>
              </w:rPr>
            </w:pPr>
            <w:r>
              <w:rPr>
                <w:rFonts w:cs="Times New Roman"/>
                <w:i/>
                <w:iCs/>
                <w:kern w:val="0"/>
                <w:sz w:val="21"/>
                <w:szCs w:val="21"/>
              </w:rPr>
              <w:t>Podiceps cristatus</w:t>
            </w:r>
          </w:p>
        </w:tc>
        <w:tc>
          <w:tcPr>
            <w:tcW w:w="0" w:type="auto"/>
            <w:vAlign w:val="center"/>
          </w:tcPr>
          <w:p w14:paraId="4FF4964B">
            <w:pPr>
              <w:spacing w:line="240" w:lineRule="auto"/>
              <w:ind w:firstLine="0" w:firstLineChars="0"/>
              <w:jc w:val="center"/>
              <w:rPr>
                <w:rFonts w:cs="Times New Roman"/>
                <w:sz w:val="21"/>
                <w:szCs w:val="21"/>
              </w:rPr>
            </w:pPr>
            <w:r>
              <w:rPr>
                <w:rFonts w:cs="Times New Roman"/>
                <w:kern w:val="0"/>
                <w:sz w:val="21"/>
                <w:szCs w:val="21"/>
              </w:rPr>
              <w:t>LC</w:t>
            </w:r>
          </w:p>
        </w:tc>
        <w:tc>
          <w:tcPr>
            <w:tcW w:w="0" w:type="auto"/>
            <w:vAlign w:val="center"/>
          </w:tcPr>
          <w:p w14:paraId="753699E1">
            <w:pPr>
              <w:spacing w:line="240" w:lineRule="auto"/>
              <w:ind w:firstLine="0" w:firstLineChars="0"/>
              <w:jc w:val="center"/>
              <w:rPr>
                <w:rFonts w:cs="Times New Roman"/>
                <w:sz w:val="21"/>
                <w:szCs w:val="21"/>
              </w:rPr>
            </w:pPr>
            <w:r>
              <w:rPr>
                <w:rFonts w:cs="Times New Roman"/>
                <w:kern w:val="0"/>
                <w:sz w:val="21"/>
                <w:szCs w:val="21"/>
              </w:rPr>
              <w:t>省重点</w:t>
            </w:r>
          </w:p>
        </w:tc>
      </w:tr>
      <w:tr w14:paraId="39C9F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4C5524C">
            <w:pPr>
              <w:spacing w:line="240" w:lineRule="auto"/>
              <w:ind w:firstLine="0" w:firstLineChars="0"/>
              <w:jc w:val="center"/>
              <w:rPr>
                <w:rFonts w:cs="Times New Roman"/>
                <w:sz w:val="21"/>
                <w:szCs w:val="21"/>
              </w:rPr>
            </w:pPr>
            <w:r>
              <w:rPr>
                <w:rFonts w:cs="Times New Roman"/>
                <w:sz w:val="21"/>
                <w:szCs w:val="21"/>
              </w:rPr>
              <w:t>11</w:t>
            </w:r>
          </w:p>
        </w:tc>
        <w:tc>
          <w:tcPr>
            <w:tcW w:w="0" w:type="auto"/>
            <w:vAlign w:val="center"/>
          </w:tcPr>
          <w:p w14:paraId="00F321C1">
            <w:pPr>
              <w:spacing w:line="240" w:lineRule="auto"/>
              <w:ind w:firstLine="0" w:firstLineChars="0"/>
              <w:jc w:val="center"/>
              <w:rPr>
                <w:rFonts w:cs="Times New Roman"/>
                <w:kern w:val="0"/>
                <w:sz w:val="21"/>
                <w:szCs w:val="21"/>
              </w:rPr>
            </w:pPr>
            <w:r>
              <w:rPr>
                <w:rFonts w:cs="Times New Roman"/>
                <w:sz w:val="21"/>
                <w:szCs w:val="21"/>
              </w:rPr>
              <w:t>鹅形目</w:t>
            </w:r>
          </w:p>
        </w:tc>
        <w:tc>
          <w:tcPr>
            <w:tcW w:w="0" w:type="auto"/>
            <w:vAlign w:val="center"/>
          </w:tcPr>
          <w:p w14:paraId="0A628B0F">
            <w:pPr>
              <w:spacing w:line="240" w:lineRule="auto"/>
              <w:ind w:firstLine="0" w:firstLineChars="0"/>
              <w:jc w:val="center"/>
              <w:rPr>
                <w:rFonts w:cs="Times New Roman"/>
                <w:kern w:val="0"/>
                <w:sz w:val="21"/>
                <w:szCs w:val="21"/>
              </w:rPr>
            </w:pPr>
            <w:r>
              <w:rPr>
                <w:rFonts w:cs="Times New Roman"/>
                <w:sz w:val="21"/>
                <w:szCs w:val="21"/>
              </w:rPr>
              <w:t>鹭科</w:t>
            </w:r>
          </w:p>
        </w:tc>
        <w:tc>
          <w:tcPr>
            <w:tcW w:w="0" w:type="auto"/>
            <w:vAlign w:val="center"/>
          </w:tcPr>
          <w:p w14:paraId="017D7CCB">
            <w:pPr>
              <w:spacing w:line="240" w:lineRule="auto"/>
              <w:ind w:firstLine="0" w:firstLineChars="0"/>
              <w:jc w:val="center"/>
              <w:rPr>
                <w:rFonts w:cs="Times New Roman"/>
                <w:kern w:val="0"/>
                <w:sz w:val="21"/>
                <w:szCs w:val="21"/>
              </w:rPr>
            </w:pPr>
            <w:r>
              <w:rPr>
                <w:rFonts w:cs="Times New Roman"/>
                <w:sz w:val="21"/>
                <w:szCs w:val="21"/>
              </w:rPr>
              <w:t>黄苇鳽</w:t>
            </w:r>
          </w:p>
        </w:tc>
        <w:tc>
          <w:tcPr>
            <w:tcW w:w="0" w:type="auto"/>
            <w:vAlign w:val="center"/>
          </w:tcPr>
          <w:p w14:paraId="46293B85">
            <w:pPr>
              <w:spacing w:line="240" w:lineRule="auto"/>
              <w:ind w:firstLine="0" w:firstLineChars="0"/>
              <w:jc w:val="center"/>
              <w:rPr>
                <w:rFonts w:cs="Times New Roman"/>
                <w:i/>
                <w:iCs/>
                <w:kern w:val="0"/>
                <w:sz w:val="21"/>
                <w:szCs w:val="21"/>
              </w:rPr>
            </w:pPr>
            <w:r>
              <w:rPr>
                <w:rFonts w:cs="Times New Roman"/>
                <w:i/>
                <w:iCs/>
                <w:kern w:val="0"/>
                <w:sz w:val="21"/>
                <w:szCs w:val="21"/>
              </w:rPr>
              <w:t>Ixobrychus sinensis</w:t>
            </w:r>
          </w:p>
        </w:tc>
        <w:tc>
          <w:tcPr>
            <w:tcW w:w="0" w:type="auto"/>
            <w:vAlign w:val="center"/>
          </w:tcPr>
          <w:p w14:paraId="36DD2F41">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5E6A9459">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25A8A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4D40036">
            <w:pPr>
              <w:spacing w:line="240" w:lineRule="auto"/>
              <w:ind w:firstLine="0" w:firstLineChars="0"/>
              <w:jc w:val="center"/>
              <w:rPr>
                <w:rFonts w:cs="Times New Roman"/>
                <w:sz w:val="21"/>
                <w:szCs w:val="21"/>
              </w:rPr>
            </w:pPr>
            <w:r>
              <w:rPr>
                <w:rFonts w:cs="Times New Roman"/>
                <w:sz w:val="21"/>
                <w:szCs w:val="21"/>
              </w:rPr>
              <w:t>12</w:t>
            </w:r>
          </w:p>
        </w:tc>
        <w:tc>
          <w:tcPr>
            <w:tcW w:w="0" w:type="auto"/>
            <w:vAlign w:val="center"/>
          </w:tcPr>
          <w:p w14:paraId="2418C40D">
            <w:pPr>
              <w:spacing w:line="240" w:lineRule="auto"/>
              <w:ind w:firstLine="0" w:firstLineChars="0"/>
              <w:jc w:val="center"/>
              <w:rPr>
                <w:rFonts w:cs="Times New Roman"/>
                <w:kern w:val="0"/>
                <w:sz w:val="21"/>
                <w:szCs w:val="21"/>
              </w:rPr>
            </w:pPr>
            <w:r>
              <w:rPr>
                <w:rFonts w:cs="Times New Roman"/>
                <w:sz w:val="21"/>
                <w:szCs w:val="21"/>
              </w:rPr>
              <w:t>鹅形目</w:t>
            </w:r>
          </w:p>
        </w:tc>
        <w:tc>
          <w:tcPr>
            <w:tcW w:w="0" w:type="auto"/>
            <w:vAlign w:val="center"/>
          </w:tcPr>
          <w:p w14:paraId="6525F58C">
            <w:pPr>
              <w:spacing w:line="240" w:lineRule="auto"/>
              <w:ind w:firstLine="0" w:firstLineChars="0"/>
              <w:jc w:val="center"/>
              <w:rPr>
                <w:rFonts w:cs="Times New Roman"/>
                <w:kern w:val="0"/>
                <w:sz w:val="21"/>
                <w:szCs w:val="21"/>
              </w:rPr>
            </w:pPr>
            <w:r>
              <w:rPr>
                <w:rFonts w:cs="Times New Roman"/>
                <w:sz w:val="21"/>
                <w:szCs w:val="21"/>
              </w:rPr>
              <w:t>鹭科</w:t>
            </w:r>
          </w:p>
        </w:tc>
        <w:tc>
          <w:tcPr>
            <w:tcW w:w="0" w:type="auto"/>
            <w:vAlign w:val="center"/>
          </w:tcPr>
          <w:p w14:paraId="7C49D8FE">
            <w:pPr>
              <w:spacing w:line="240" w:lineRule="auto"/>
              <w:ind w:firstLine="0" w:firstLineChars="0"/>
              <w:jc w:val="center"/>
              <w:rPr>
                <w:rFonts w:cs="Times New Roman"/>
                <w:kern w:val="0"/>
                <w:sz w:val="21"/>
                <w:szCs w:val="21"/>
              </w:rPr>
            </w:pPr>
            <w:r>
              <w:rPr>
                <w:rFonts w:cs="Times New Roman"/>
                <w:sz w:val="21"/>
                <w:szCs w:val="21"/>
              </w:rPr>
              <w:t>夜鹭</w:t>
            </w:r>
          </w:p>
        </w:tc>
        <w:tc>
          <w:tcPr>
            <w:tcW w:w="0" w:type="auto"/>
            <w:vAlign w:val="center"/>
          </w:tcPr>
          <w:p w14:paraId="38168002">
            <w:pPr>
              <w:spacing w:line="240" w:lineRule="auto"/>
              <w:ind w:firstLine="0" w:firstLineChars="0"/>
              <w:jc w:val="center"/>
              <w:rPr>
                <w:rFonts w:cs="Times New Roman"/>
                <w:i/>
                <w:iCs/>
                <w:kern w:val="0"/>
                <w:sz w:val="21"/>
                <w:szCs w:val="21"/>
              </w:rPr>
            </w:pPr>
            <w:r>
              <w:rPr>
                <w:rFonts w:cs="Times New Roman"/>
                <w:i/>
                <w:iCs/>
                <w:kern w:val="0"/>
                <w:sz w:val="21"/>
                <w:szCs w:val="21"/>
              </w:rPr>
              <w:t>Nycticorax nycticorax</w:t>
            </w:r>
          </w:p>
        </w:tc>
        <w:tc>
          <w:tcPr>
            <w:tcW w:w="0" w:type="auto"/>
            <w:vAlign w:val="center"/>
          </w:tcPr>
          <w:p w14:paraId="5239B0C1">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0A3EC8C3">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33360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17C6002">
            <w:pPr>
              <w:spacing w:line="240" w:lineRule="auto"/>
              <w:ind w:firstLine="0" w:firstLineChars="0"/>
              <w:jc w:val="center"/>
              <w:rPr>
                <w:rFonts w:cs="Times New Roman"/>
                <w:sz w:val="21"/>
                <w:szCs w:val="21"/>
              </w:rPr>
            </w:pPr>
            <w:r>
              <w:rPr>
                <w:rFonts w:cs="Times New Roman"/>
                <w:sz w:val="21"/>
                <w:szCs w:val="21"/>
              </w:rPr>
              <w:t>13</w:t>
            </w:r>
          </w:p>
        </w:tc>
        <w:tc>
          <w:tcPr>
            <w:tcW w:w="0" w:type="auto"/>
            <w:vAlign w:val="center"/>
          </w:tcPr>
          <w:p w14:paraId="2B7C0C43">
            <w:pPr>
              <w:spacing w:line="240" w:lineRule="auto"/>
              <w:ind w:firstLine="0" w:firstLineChars="0"/>
              <w:jc w:val="center"/>
              <w:rPr>
                <w:rFonts w:cs="Times New Roman"/>
                <w:kern w:val="0"/>
                <w:sz w:val="21"/>
                <w:szCs w:val="21"/>
              </w:rPr>
            </w:pPr>
            <w:r>
              <w:rPr>
                <w:rFonts w:cs="Times New Roman"/>
                <w:sz w:val="21"/>
                <w:szCs w:val="21"/>
              </w:rPr>
              <w:t>鹅形目</w:t>
            </w:r>
          </w:p>
        </w:tc>
        <w:tc>
          <w:tcPr>
            <w:tcW w:w="0" w:type="auto"/>
            <w:vAlign w:val="center"/>
          </w:tcPr>
          <w:p w14:paraId="50EF3085">
            <w:pPr>
              <w:spacing w:line="240" w:lineRule="auto"/>
              <w:ind w:firstLine="0" w:firstLineChars="0"/>
              <w:jc w:val="center"/>
              <w:rPr>
                <w:rFonts w:cs="Times New Roman"/>
                <w:kern w:val="0"/>
                <w:sz w:val="21"/>
                <w:szCs w:val="21"/>
              </w:rPr>
            </w:pPr>
            <w:r>
              <w:rPr>
                <w:rFonts w:cs="Times New Roman"/>
                <w:sz w:val="21"/>
                <w:szCs w:val="21"/>
              </w:rPr>
              <w:t>鹭科</w:t>
            </w:r>
          </w:p>
        </w:tc>
        <w:tc>
          <w:tcPr>
            <w:tcW w:w="0" w:type="auto"/>
            <w:vAlign w:val="center"/>
          </w:tcPr>
          <w:p w14:paraId="0325316A">
            <w:pPr>
              <w:spacing w:line="240" w:lineRule="auto"/>
              <w:ind w:firstLine="0" w:firstLineChars="0"/>
              <w:jc w:val="center"/>
              <w:rPr>
                <w:rFonts w:cs="Times New Roman"/>
                <w:kern w:val="0"/>
                <w:sz w:val="21"/>
                <w:szCs w:val="21"/>
              </w:rPr>
            </w:pPr>
            <w:r>
              <w:rPr>
                <w:rFonts w:cs="Times New Roman"/>
                <w:sz w:val="21"/>
                <w:szCs w:val="21"/>
              </w:rPr>
              <w:t>池鹭</w:t>
            </w:r>
          </w:p>
        </w:tc>
        <w:tc>
          <w:tcPr>
            <w:tcW w:w="0" w:type="auto"/>
            <w:vAlign w:val="center"/>
          </w:tcPr>
          <w:p w14:paraId="44E573D8">
            <w:pPr>
              <w:spacing w:line="240" w:lineRule="auto"/>
              <w:ind w:firstLine="0" w:firstLineChars="0"/>
              <w:jc w:val="center"/>
              <w:rPr>
                <w:rFonts w:cs="Times New Roman"/>
                <w:i/>
                <w:iCs/>
                <w:kern w:val="0"/>
                <w:sz w:val="21"/>
                <w:szCs w:val="21"/>
              </w:rPr>
            </w:pPr>
            <w:r>
              <w:rPr>
                <w:rFonts w:cs="Times New Roman"/>
                <w:i/>
                <w:iCs/>
                <w:kern w:val="0"/>
                <w:sz w:val="21"/>
                <w:szCs w:val="21"/>
              </w:rPr>
              <w:t>Ardeola bacchus</w:t>
            </w:r>
          </w:p>
        </w:tc>
        <w:tc>
          <w:tcPr>
            <w:tcW w:w="0" w:type="auto"/>
            <w:vAlign w:val="center"/>
          </w:tcPr>
          <w:p w14:paraId="3199F220">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79EA7922">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05F6D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9BBC8E4">
            <w:pPr>
              <w:spacing w:line="240" w:lineRule="auto"/>
              <w:ind w:firstLine="0" w:firstLineChars="0"/>
              <w:jc w:val="center"/>
              <w:rPr>
                <w:rFonts w:cs="Times New Roman"/>
                <w:sz w:val="21"/>
                <w:szCs w:val="21"/>
              </w:rPr>
            </w:pPr>
            <w:r>
              <w:rPr>
                <w:rFonts w:cs="Times New Roman"/>
                <w:sz w:val="21"/>
                <w:szCs w:val="21"/>
              </w:rPr>
              <w:t>14</w:t>
            </w:r>
          </w:p>
        </w:tc>
        <w:tc>
          <w:tcPr>
            <w:tcW w:w="0" w:type="auto"/>
            <w:vAlign w:val="center"/>
          </w:tcPr>
          <w:p w14:paraId="7416A47F">
            <w:pPr>
              <w:spacing w:line="240" w:lineRule="auto"/>
              <w:ind w:firstLine="0" w:firstLineChars="0"/>
              <w:jc w:val="center"/>
              <w:rPr>
                <w:rFonts w:cs="Times New Roman"/>
                <w:kern w:val="0"/>
                <w:sz w:val="21"/>
                <w:szCs w:val="21"/>
              </w:rPr>
            </w:pPr>
            <w:r>
              <w:rPr>
                <w:rFonts w:cs="Times New Roman"/>
                <w:sz w:val="21"/>
                <w:szCs w:val="21"/>
              </w:rPr>
              <w:t>鹅形目</w:t>
            </w:r>
          </w:p>
        </w:tc>
        <w:tc>
          <w:tcPr>
            <w:tcW w:w="0" w:type="auto"/>
            <w:vAlign w:val="center"/>
          </w:tcPr>
          <w:p w14:paraId="23B19BE4">
            <w:pPr>
              <w:spacing w:line="240" w:lineRule="auto"/>
              <w:ind w:firstLine="0" w:firstLineChars="0"/>
              <w:jc w:val="center"/>
              <w:rPr>
                <w:rFonts w:cs="Times New Roman"/>
                <w:kern w:val="0"/>
                <w:sz w:val="21"/>
                <w:szCs w:val="21"/>
              </w:rPr>
            </w:pPr>
            <w:r>
              <w:rPr>
                <w:rFonts w:cs="Times New Roman"/>
                <w:sz w:val="21"/>
                <w:szCs w:val="21"/>
              </w:rPr>
              <w:t>鹭科</w:t>
            </w:r>
          </w:p>
        </w:tc>
        <w:tc>
          <w:tcPr>
            <w:tcW w:w="0" w:type="auto"/>
            <w:vAlign w:val="center"/>
          </w:tcPr>
          <w:p w14:paraId="6FB64820">
            <w:pPr>
              <w:spacing w:line="240" w:lineRule="auto"/>
              <w:ind w:firstLine="0" w:firstLineChars="0"/>
              <w:jc w:val="center"/>
              <w:rPr>
                <w:rFonts w:cs="Times New Roman"/>
                <w:kern w:val="0"/>
                <w:sz w:val="21"/>
                <w:szCs w:val="21"/>
              </w:rPr>
            </w:pPr>
            <w:r>
              <w:rPr>
                <w:rFonts w:cs="Times New Roman"/>
                <w:sz w:val="21"/>
                <w:szCs w:val="21"/>
              </w:rPr>
              <w:t>牛背鹭</w:t>
            </w:r>
          </w:p>
        </w:tc>
        <w:tc>
          <w:tcPr>
            <w:tcW w:w="0" w:type="auto"/>
            <w:vAlign w:val="center"/>
          </w:tcPr>
          <w:p w14:paraId="3EF9ECB6">
            <w:pPr>
              <w:spacing w:line="240" w:lineRule="auto"/>
              <w:ind w:firstLine="0" w:firstLineChars="0"/>
              <w:jc w:val="center"/>
              <w:rPr>
                <w:rFonts w:cs="Times New Roman"/>
                <w:i/>
                <w:iCs/>
                <w:kern w:val="0"/>
                <w:sz w:val="21"/>
                <w:szCs w:val="21"/>
              </w:rPr>
            </w:pPr>
            <w:r>
              <w:rPr>
                <w:rFonts w:cs="Times New Roman"/>
                <w:i/>
                <w:iCs/>
                <w:kern w:val="0"/>
                <w:sz w:val="21"/>
                <w:szCs w:val="21"/>
              </w:rPr>
              <w:t>Bubulcus coromandus</w:t>
            </w:r>
          </w:p>
        </w:tc>
        <w:tc>
          <w:tcPr>
            <w:tcW w:w="0" w:type="auto"/>
            <w:vAlign w:val="center"/>
          </w:tcPr>
          <w:p w14:paraId="14FAC9FA">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742336B6">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5DB54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A4EBECB">
            <w:pPr>
              <w:spacing w:line="240" w:lineRule="auto"/>
              <w:ind w:firstLine="0" w:firstLineChars="0"/>
              <w:jc w:val="center"/>
              <w:rPr>
                <w:rFonts w:cs="Times New Roman"/>
                <w:sz w:val="21"/>
                <w:szCs w:val="21"/>
              </w:rPr>
            </w:pPr>
            <w:r>
              <w:rPr>
                <w:rFonts w:cs="Times New Roman"/>
                <w:sz w:val="21"/>
                <w:szCs w:val="21"/>
              </w:rPr>
              <w:t>15</w:t>
            </w:r>
          </w:p>
        </w:tc>
        <w:tc>
          <w:tcPr>
            <w:tcW w:w="0" w:type="auto"/>
            <w:vAlign w:val="center"/>
          </w:tcPr>
          <w:p w14:paraId="69FA6C07">
            <w:pPr>
              <w:spacing w:line="240" w:lineRule="auto"/>
              <w:ind w:firstLine="0" w:firstLineChars="0"/>
              <w:jc w:val="center"/>
              <w:rPr>
                <w:rFonts w:cs="Times New Roman"/>
                <w:kern w:val="0"/>
                <w:sz w:val="21"/>
                <w:szCs w:val="21"/>
              </w:rPr>
            </w:pPr>
            <w:r>
              <w:rPr>
                <w:rFonts w:cs="Times New Roman"/>
                <w:sz w:val="21"/>
                <w:szCs w:val="21"/>
              </w:rPr>
              <w:t>鹅形目</w:t>
            </w:r>
          </w:p>
        </w:tc>
        <w:tc>
          <w:tcPr>
            <w:tcW w:w="0" w:type="auto"/>
            <w:vAlign w:val="center"/>
          </w:tcPr>
          <w:p w14:paraId="470F332A">
            <w:pPr>
              <w:spacing w:line="240" w:lineRule="auto"/>
              <w:ind w:firstLine="0" w:firstLineChars="0"/>
              <w:jc w:val="center"/>
              <w:rPr>
                <w:rFonts w:cs="Times New Roman"/>
                <w:kern w:val="0"/>
                <w:sz w:val="21"/>
                <w:szCs w:val="21"/>
              </w:rPr>
            </w:pPr>
            <w:r>
              <w:rPr>
                <w:rFonts w:cs="Times New Roman"/>
                <w:sz w:val="21"/>
                <w:szCs w:val="21"/>
              </w:rPr>
              <w:t>鹭科</w:t>
            </w:r>
          </w:p>
        </w:tc>
        <w:tc>
          <w:tcPr>
            <w:tcW w:w="0" w:type="auto"/>
            <w:vAlign w:val="center"/>
          </w:tcPr>
          <w:p w14:paraId="2D2ABE4E">
            <w:pPr>
              <w:spacing w:line="240" w:lineRule="auto"/>
              <w:ind w:firstLine="0" w:firstLineChars="0"/>
              <w:jc w:val="center"/>
              <w:rPr>
                <w:rFonts w:cs="Times New Roman"/>
                <w:kern w:val="0"/>
                <w:sz w:val="21"/>
                <w:szCs w:val="21"/>
              </w:rPr>
            </w:pPr>
            <w:r>
              <w:rPr>
                <w:rFonts w:cs="Times New Roman"/>
                <w:sz w:val="21"/>
                <w:szCs w:val="21"/>
              </w:rPr>
              <w:t>白鹭</w:t>
            </w:r>
          </w:p>
        </w:tc>
        <w:tc>
          <w:tcPr>
            <w:tcW w:w="0" w:type="auto"/>
            <w:vAlign w:val="center"/>
          </w:tcPr>
          <w:p w14:paraId="5BD38D54">
            <w:pPr>
              <w:spacing w:line="240" w:lineRule="auto"/>
              <w:ind w:firstLine="0" w:firstLineChars="0"/>
              <w:jc w:val="center"/>
              <w:rPr>
                <w:rFonts w:cs="Times New Roman"/>
                <w:i/>
                <w:iCs/>
                <w:kern w:val="0"/>
                <w:sz w:val="21"/>
                <w:szCs w:val="21"/>
              </w:rPr>
            </w:pPr>
            <w:r>
              <w:rPr>
                <w:rFonts w:cs="Times New Roman"/>
                <w:i/>
                <w:iCs/>
                <w:kern w:val="0"/>
                <w:sz w:val="21"/>
                <w:szCs w:val="21"/>
              </w:rPr>
              <w:t>Egretta garzetta</w:t>
            </w:r>
          </w:p>
        </w:tc>
        <w:tc>
          <w:tcPr>
            <w:tcW w:w="0" w:type="auto"/>
            <w:vAlign w:val="center"/>
          </w:tcPr>
          <w:p w14:paraId="5DE1A4EF">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3481415D">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24259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F4F266B">
            <w:pPr>
              <w:spacing w:line="240" w:lineRule="auto"/>
              <w:ind w:firstLine="0" w:firstLineChars="0"/>
              <w:jc w:val="center"/>
              <w:rPr>
                <w:rFonts w:cs="Times New Roman"/>
                <w:sz w:val="21"/>
                <w:szCs w:val="21"/>
              </w:rPr>
            </w:pPr>
            <w:r>
              <w:rPr>
                <w:rFonts w:cs="Times New Roman"/>
                <w:sz w:val="21"/>
                <w:szCs w:val="21"/>
              </w:rPr>
              <w:t>16</w:t>
            </w:r>
          </w:p>
        </w:tc>
        <w:tc>
          <w:tcPr>
            <w:tcW w:w="0" w:type="auto"/>
            <w:vAlign w:val="center"/>
          </w:tcPr>
          <w:p w14:paraId="6A818C38">
            <w:pPr>
              <w:spacing w:line="240" w:lineRule="auto"/>
              <w:ind w:firstLine="0" w:firstLineChars="0"/>
              <w:jc w:val="center"/>
              <w:rPr>
                <w:rFonts w:cs="Times New Roman"/>
                <w:kern w:val="0"/>
                <w:sz w:val="21"/>
                <w:szCs w:val="21"/>
              </w:rPr>
            </w:pPr>
            <w:r>
              <w:rPr>
                <w:rFonts w:cs="Times New Roman"/>
                <w:sz w:val="21"/>
                <w:szCs w:val="21"/>
              </w:rPr>
              <w:t>鲣鸟目</w:t>
            </w:r>
          </w:p>
        </w:tc>
        <w:tc>
          <w:tcPr>
            <w:tcW w:w="0" w:type="auto"/>
            <w:vAlign w:val="center"/>
          </w:tcPr>
          <w:p w14:paraId="06ED26C6">
            <w:pPr>
              <w:spacing w:line="240" w:lineRule="auto"/>
              <w:ind w:firstLine="0" w:firstLineChars="0"/>
              <w:jc w:val="center"/>
              <w:rPr>
                <w:rFonts w:cs="Times New Roman"/>
                <w:kern w:val="0"/>
                <w:sz w:val="21"/>
                <w:szCs w:val="21"/>
              </w:rPr>
            </w:pPr>
            <w:r>
              <w:rPr>
                <w:rFonts w:cs="Times New Roman"/>
                <w:sz w:val="21"/>
                <w:szCs w:val="21"/>
              </w:rPr>
              <w:t>鸬鹦科</w:t>
            </w:r>
          </w:p>
        </w:tc>
        <w:tc>
          <w:tcPr>
            <w:tcW w:w="0" w:type="auto"/>
            <w:vAlign w:val="center"/>
          </w:tcPr>
          <w:p w14:paraId="52F53905">
            <w:pPr>
              <w:spacing w:line="240" w:lineRule="auto"/>
              <w:ind w:firstLine="0" w:firstLineChars="0"/>
              <w:jc w:val="center"/>
              <w:rPr>
                <w:rFonts w:cs="Times New Roman"/>
                <w:kern w:val="0"/>
                <w:sz w:val="21"/>
                <w:szCs w:val="21"/>
              </w:rPr>
            </w:pPr>
            <w:r>
              <w:rPr>
                <w:rFonts w:cs="Times New Roman"/>
                <w:sz w:val="21"/>
                <w:szCs w:val="21"/>
              </w:rPr>
              <w:t>普通鸬鹚</w:t>
            </w:r>
          </w:p>
        </w:tc>
        <w:tc>
          <w:tcPr>
            <w:tcW w:w="0" w:type="auto"/>
            <w:vAlign w:val="center"/>
          </w:tcPr>
          <w:p w14:paraId="24994C69">
            <w:pPr>
              <w:spacing w:line="240" w:lineRule="auto"/>
              <w:ind w:firstLine="0" w:firstLineChars="0"/>
              <w:jc w:val="center"/>
              <w:rPr>
                <w:rFonts w:cs="Times New Roman"/>
                <w:i/>
                <w:iCs/>
                <w:kern w:val="0"/>
                <w:sz w:val="21"/>
                <w:szCs w:val="21"/>
              </w:rPr>
            </w:pPr>
            <w:r>
              <w:rPr>
                <w:rFonts w:cs="Times New Roman"/>
                <w:i/>
                <w:iCs/>
                <w:kern w:val="0"/>
                <w:sz w:val="21"/>
                <w:szCs w:val="21"/>
              </w:rPr>
              <w:t>Phalacrocorax carbo</w:t>
            </w:r>
          </w:p>
        </w:tc>
        <w:tc>
          <w:tcPr>
            <w:tcW w:w="0" w:type="auto"/>
            <w:vAlign w:val="center"/>
          </w:tcPr>
          <w:p w14:paraId="28151896">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4C5CEE0F">
            <w:pPr>
              <w:spacing w:line="240" w:lineRule="auto"/>
              <w:ind w:firstLine="0" w:firstLineChars="0"/>
              <w:jc w:val="center"/>
              <w:rPr>
                <w:rFonts w:cs="Times New Roman"/>
                <w:kern w:val="0"/>
                <w:sz w:val="21"/>
                <w:szCs w:val="21"/>
              </w:rPr>
            </w:pPr>
            <w:r>
              <w:rPr>
                <w:rFonts w:cs="Times New Roman"/>
                <w:kern w:val="0"/>
                <w:sz w:val="21"/>
                <w:szCs w:val="21"/>
              </w:rPr>
              <w:t>—</w:t>
            </w:r>
          </w:p>
        </w:tc>
      </w:tr>
      <w:tr w14:paraId="5B08F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249E0C9">
            <w:pPr>
              <w:spacing w:line="240" w:lineRule="auto"/>
              <w:ind w:firstLine="0" w:firstLineChars="0"/>
              <w:jc w:val="center"/>
              <w:rPr>
                <w:rFonts w:cs="Times New Roman"/>
                <w:sz w:val="21"/>
                <w:szCs w:val="21"/>
              </w:rPr>
            </w:pPr>
            <w:r>
              <w:rPr>
                <w:rFonts w:cs="Times New Roman"/>
                <w:sz w:val="21"/>
                <w:szCs w:val="21"/>
              </w:rPr>
              <w:t>17</w:t>
            </w:r>
          </w:p>
        </w:tc>
        <w:tc>
          <w:tcPr>
            <w:tcW w:w="0" w:type="auto"/>
            <w:vAlign w:val="center"/>
          </w:tcPr>
          <w:p w14:paraId="77414F57">
            <w:pPr>
              <w:spacing w:line="240" w:lineRule="auto"/>
              <w:ind w:firstLine="0" w:firstLineChars="0"/>
              <w:jc w:val="center"/>
              <w:rPr>
                <w:rFonts w:cs="Times New Roman"/>
                <w:kern w:val="0"/>
                <w:sz w:val="21"/>
                <w:szCs w:val="21"/>
              </w:rPr>
            </w:pPr>
            <w:r>
              <w:rPr>
                <w:rFonts w:cs="Times New Roman"/>
                <w:sz w:val="21"/>
                <w:szCs w:val="21"/>
              </w:rPr>
              <w:t>鹰形目</w:t>
            </w:r>
          </w:p>
        </w:tc>
        <w:tc>
          <w:tcPr>
            <w:tcW w:w="0" w:type="auto"/>
            <w:vAlign w:val="center"/>
          </w:tcPr>
          <w:p w14:paraId="1F8DB205">
            <w:pPr>
              <w:spacing w:line="240" w:lineRule="auto"/>
              <w:ind w:firstLine="0" w:firstLineChars="0"/>
              <w:jc w:val="center"/>
              <w:rPr>
                <w:rFonts w:cs="Times New Roman"/>
                <w:kern w:val="0"/>
                <w:sz w:val="21"/>
                <w:szCs w:val="21"/>
              </w:rPr>
            </w:pPr>
            <w:r>
              <w:rPr>
                <w:rFonts w:cs="Times New Roman"/>
                <w:sz w:val="21"/>
                <w:szCs w:val="21"/>
              </w:rPr>
              <w:t>鹰科</w:t>
            </w:r>
          </w:p>
        </w:tc>
        <w:tc>
          <w:tcPr>
            <w:tcW w:w="0" w:type="auto"/>
            <w:vAlign w:val="center"/>
          </w:tcPr>
          <w:p w14:paraId="19F33592">
            <w:pPr>
              <w:spacing w:line="240" w:lineRule="auto"/>
              <w:ind w:firstLine="0" w:firstLineChars="0"/>
              <w:jc w:val="center"/>
              <w:rPr>
                <w:rFonts w:cs="Times New Roman"/>
                <w:kern w:val="0"/>
                <w:sz w:val="21"/>
                <w:szCs w:val="21"/>
              </w:rPr>
            </w:pPr>
            <w:r>
              <w:rPr>
                <w:rFonts w:cs="Times New Roman"/>
                <w:sz w:val="21"/>
                <w:szCs w:val="21"/>
              </w:rPr>
              <w:t>雀鹰</w:t>
            </w:r>
          </w:p>
        </w:tc>
        <w:tc>
          <w:tcPr>
            <w:tcW w:w="0" w:type="auto"/>
            <w:vAlign w:val="center"/>
          </w:tcPr>
          <w:p w14:paraId="225AEE05">
            <w:pPr>
              <w:spacing w:line="240" w:lineRule="auto"/>
              <w:ind w:firstLine="0" w:firstLineChars="0"/>
              <w:jc w:val="center"/>
              <w:rPr>
                <w:rFonts w:cs="Times New Roman"/>
                <w:i/>
                <w:iCs/>
                <w:kern w:val="0"/>
                <w:sz w:val="21"/>
                <w:szCs w:val="21"/>
              </w:rPr>
            </w:pPr>
            <w:r>
              <w:rPr>
                <w:rFonts w:cs="Times New Roman"/>
                <w:i/>
                <w:iCs/>
                <w:kern w:val="0"/>
                <w:sz w:val="21"/>
                <w:szCs w:val="21"/>
              </w:rPr>
              <w:t>Accipiter nisus</w:t>
            </w:r>
          </w:p>
        </w:tc>
        <w:tc>
          <w:tcPr>
            <w:tcW w:w="0" w:type="auto"/>
            <w:vAlign w:val="center"/>
          </w:tcPr>
          <w:p w14:paraId="1569F057">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1C35E7C4">
            <w:pPr>
              <w:spacing w:line="240" w:lineRule="auto"/>
              <w:ind w:firstLine="0" w:firstLineChars="0"/>
              <w:jc w:val="center"/>
              <w:rPr>
                <w:rFonts w:cs="Times New Roman"/>
                <w:kern w:val="0"/>
                <w:sz w:val="21"/>
                <w:szCs w:val="21"/>
              </w:rPr>
            </w:pPr>
            <w:r>
              <w:rPr>
                <w:rFonts w:cs="Times New Roman"/>
                <w:kern w:val="0"/>
                <w:sz w:val="21"/>
                <w:szCs w:val="21"/>
              </w:rPr>
              <w:t>二级</w:t>
            </w:r>
          </w:p>
        </w:tc>
      </w:tr>
      <w:tr w14:paraId="09F8C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257D521">
            <w:pPr>
              <w:spacing w:line="240" w:lineRule="auto"/>
              <w:ind w:firstLine="0" w:firstLineChars="0"/>
              <w:jc w:val="center"/>
              <w:rPr>
                <w:rFonts w:cs="Times New Roman"/>
                <w:sz w:val="21"/>
                <w:szCs w:val="21"/>
              </w:rPr>
            </w:pPr>
            <w:r>
              <w:rPr>
                <w:rFonts w:cs="Times New Roman"/>
                <w:sz w:val="21"/>
                <w:szCs w:val="21"/>
              </w:rPr>
              <w:t>18</w:t>
            </w:r>
          </w:p>
        </w:tc>
        <w:tc>
          <w:tcPr>
            <w:tcW w:w="0" w:type="auto"/>
            <w:vAlign w:val="center"/>
          </w:tcPr>
          <w:p w14:paraId="7E98069C">
            <w:pPr>
              <w:spacing w:line="240" w:lineRule="auto"/>
              <w:ind w:firstLine="0" w:firstLineChars="0"/>
              <w:jc w:val="center"/>
              <w:rPr>
                <w:rFonts w:cs="Times New Roman"/>
                <w:sz w:val="21"/>
                <w:szCs w:val="21"/>
              </w:rPr>
            </w:pPr>
            <w:r>
              <w:rPr>
                <w:rFonts w:cs="Times New Roman"/>
                <w:sz w:val="21"/>
                <w:szCs w:val="21"/>
              </w:rPr>
              <w:t>鹰形目</w:t>
            </w:r>
          </w:p>
        </w:tc>
        <w:tc>
          <w:tcPr>
            <w:tcW w:w="0" w:type="auto"/>
            <w:vAlign w:val="center"/>
          </w:tcPr>
          <w:p w14:paraId="294294A6">
            <w:pPr>
              <w:spacing w:line="240" w:lineRule="auto"/>
              <w:ind w:firstLine="0" w:firstLineChars="0"/>
              <w:jc w:val="center"/>
              <w:rPr>
                <w:rFonts w:cs="Times New Roman"/>
                <w:sz w:val="21"/>
                <w:szCs w:val="21"/>
              </w:rPr>
            </w:pPr>
            <w:r>
              <w:rPr>
                <w:rFonts w:cs="Times New Roman"/>
                <w:sz w:val="21"/>
                <w:szCs w:val="21"/>
              </w:rPr>
              <w:t>鹰科</w:t>
            </w:r>
          </w:p>
        </w:tc>
        <w:tc>
          <w:tcPr>
            <w:tcW w:w="0" w:type="auto"/>
            <w:vAlign w:val="center"/>
          </w:tcPr>
          <w:p w14:paraId="7A4D662A">
            <w:pPr>
              <w:spacing w:line="240" w:lineRule="auto"/>
              <w:ind w:firstLine="0" w:firstLineChars="0"/>
              <w:jc w:val="center"/>
              <w:rPr>
                <w:rFonts w:cs="Times New Roman"/>
                <w:sz w:val="21"/>
                <w:szCs w:val="21"/>
              </w:rPr>
            </w:pPr>
            <w:r>
              <w:rPr>
                <w:rFonts w:cs="Times New Roman"/>
                <w:sz w:val="21"/>
                <w:szCs w:val="21"/>
              </w:rPr>
              <w:t>黑鸢</w:t>
            </w:r>
          </w:p>
        </w:tc>
        <w:tc>
          <w:tcPr>
            <w:tcW w:w="0" w:type="auto"/>
            <w:vAlign w:val="center"/>
          </w:tcPr>
          <w:p w14:paraId="06554C80">
            <w:pPr>
              <w:spacing w:line="240" w:lineRule="auto"/>
              <w:ind w:firstLine="0" w:firstLineChars="0"/>
              <w:jc w:val="center"/>
              <w:rPr>
                <w:rFonts w:cs="Times New Roman"/>
                <w:sz w:val="21"/>
                <w:szCs w:val="21"/>
              </w:rPr>
            </w:pPr>
            <w:r>
              <w:rPr>
                <w:rFonts w:cs="Times New Roman"/>
                <w:i/>
                <w:iCs/>
                <w:kern w:val="0"/>
                <w:sz w:val="21"/>
                <w:szCs w:val="21"/>
              </w:rPr>
              <w:t>Milvus migrans</w:t>
            </w:r>
          </w:p>
        </w:tc>
        <w:tc>
          <w:tcPr>
            <w:tcW w:w="0" w:type="auto"/>
            <w:vAlign w:val="center"/>
          </w:tcPr>
          <w:p w14:paraId="11648C11">
            <w:pPr>
              <w:spacing w:line="240" w:lineRule="auto"/>
              <w:ind w:firstLine="0" w:firstLineChars="0"/>
              <w:jc w:val="center"/>
              <w:rPr>
                <w:rFonts w:cs="Times New Roman"/>
                <w:sz w:val="21"/>
                <w:szCs w:val="21"/>
              </w:rPr>
            </w:pPr>
            <w:r>
              <w:rPr>
                <w:rFonts w:cs="Times New Roman"/>
                <w:kern w:val="0"/>
                <w:sz w:val="21"/>
                <w:szCs w:val="21"/>
              </w:rPr>
              <w:t>LC</w:t>
            </w:r>
          </w:p>
        </w:tc>
        <w:tc>
          <w:tcPr>
            <w:tcW w:w="0" w:type="auto"/>
            <w:vAlign w:val="center"/>
          </w:tcPr>
          <w:p w14:paraId="595E192D">
            <w:pPr>
              <w:spacing w:line="240" w:lineRule="auto"/>
              <w:ind w:firstLine="0" w:firstLineChars="0"/>
              <w:jc w:val="center"/>
              <w:rPr>
                <w:rFonts w:cs="Times New Roman"/>
                <w:sz w:val="21"/>
                <w:szCs w:val="21"/>
              </w:rPr>
            </w:pPr>
            <w:r>
              <w:rPr>
                <w:rFonts w:cs="Times New Roman"/>
                <w:kern w:val="0"/>
                <w:sz w:val="21"/>
                <w:szCs w:val="21"/>
              </w:rPr>
              <w:t>二级</w:t>
            </w:r>
          </w:p>
        </w:tc>
      </w:tr>
      <w:tr w14:paraId="2E978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8A7E79B">
            <w:pPr>
              <w:spacing w:line="240" w:lineRule="auto"/>
              <w:ind w:firstLine="0" w:firstLineChars="0"/>
              <w:jc w:val="center"/>
              <w:rPr>
                <w:rFonts w:cs="Times New Roman"/>
                <w:sz w:val="21"/>
                <w:szCs w:val="21"/>
              </w:rPr>
            </w:pPr>
            <w:r>
              <w:rPr>
                <w:rFonts w:cs="Times New Roman"/>
                <w:sz w:val="21"/>
                <w:szCs w:val="21"/>
              </w:rPr>
              <w:t>19</w:t>
            </w:r>
          </w:p>
        </w:tc>
        <w:tc>
          <w:tcPr>
            <w:tcW w:w="0" w:type="auto"/>
            <w:vAlign w:val="center"/>
          </w:tcPr>
          <w:p w14:paraId="4C6CE72C">
            <w:pPr>
              <w:spacing w:line="240" w:lineRule="auto"/>
              <w:ind w:firstLine="0" w:firstLineChars="0"/>
              <w:jc w:val="center"/>
              <w:rPr>
                <w:rFonts w:cs="Times New Roman"/>
                <w:sz w:val="21"/>
                <w:szCs w:val="21"/>
              </w:rPr>
            </w:pPr>
            <w:r>
              <w:rPr>
                <w:rFonts w:cs="Times New Roman"/>
                <w:sz w:val="21"/>
                <w:szCs w:val="21"/>
              </w:rPr>
              <w:t>隼形目</w:t>
            </w:r>
          </w:p>
        </w:tc>
        <w:tc>
          <w:tcPr>
            <w:tcW w:w="0" w:type="auto"/>
            <w:vAlign w:val="center"/>
          </w:tcPr>
          <w:p w14:paraId="08ED4FDD">
            <w:pPr>
              <w:spacing w:line="240" w:lineRule="auto"/>
              <w:ind w:firstLine="0" w:firstLineChars="0"/>
              <w:jc w:val="center"/>
              <w:rPr>
                <w:rFonts w:cs="Times New Roman"/>
                <w:sz w:val="21"/>
                <w:szCs w:val="21"/>
              </w:rPr>
            </w:pPr>
            <w:r>
              <w:rPr>
                <w:rFonts w:cs="Times New Roman"/>
                <w:sz w:val="21"/>
                <w:szCs w:val="21"/>
              </w:rPr>
              <w:t>隼科</w:t>
            </w:r>
          </w:p>
        </w:tc>
        <w:tc>
          <w:tcPr>
            <w:tcW w:w="0" w:type="auto"/>
            <w:vAlign w:val="center"/>
          </w:tcPr>
          <w:p w14:paraId="131D92B3">
            <w:pPr>
              <w:spacing w:line="240" w:lineRule="auto"/>
              <w:ind w:firstLine="0" w:firstLineChars="0"/>
              <w:jc w:val="center"/>
              <w:rPr>
                <w:rFonts w:cs="Times New Roman"/>
                <w:sz w:val="21"/>
                <w:szCs w:val="21"/>
              </w:rPr>
            </w:pPr>
            <w:r>
              <w:rPr>
                <w:rFonts w:cs="Times New Roman"/>
                <w:sz w:val="21"/>
                <w:szCs w:val="21"/>
              </w:rPr>
              <w:t>红隼</w:t>
            </w:r>
          </w:p>
        </w:tc>
        <w:tc>
          <w:tcPr>
            <w:tcW w:w="0" w:type="auto"/>
            <w:vAlign w:val="center"/>
          </w:tcPr>
          <w:p w14:paraId="7091A674">
            <w:pPr>
              <w:spacing w:line="240" w:lineRule="auto"/>
              <w:ind w:firstLine="0" w:firstLineChars="0"/>
              <w:jc w:val="center"/>
              <w:rPr>
                <w:rFonts w:cs="Times New Roman"/>
                <w:i/>
                <w:iCs/>
                <w:kern w:val="0"/>
                <w:sz w:val="21"/>
                <w:szCs w:val="21"/>
              </w:rPr>
            </w:pPr>
            <w:r>
              <w:rPr>
                <w:rFonts w:cs="Times New Roman"/>
                <w:i/>
                <w:iCs/>
                <w:kern w:val="0"/>
                <w:sz w:val="21"/>
                <w:szCs w:val="21"/>
              </w:rPr>
              <w:t>Falco tinnunculus</w:t>
            </w:r>
          </w:p>
        </w:tc>
        <w:tc>
          <w:tcPr>
            <w:tcW w:w="0" w:type="auto"/>
            <w:vAlign w:val="center"/>
          </w:tcPr>
          <w:p w14:paraId="1EABB0A5">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3BA47133">
            <w:pPr>
              <w:spacing w:line="240" w:lineRule="auto"/>
              <w:ind w:firstLine="0" w:firstLineChars="0"/>
              <w:jc w:val="center"/>
              <w:rPr>
                <w:rFonts w:cs="Times New Roman"/>
                <w:kern w:val="0"/>
                <w:sz w:val="21"/>
                <w:szCs w:val="21"/>
              </w:rPr>
            </w:pPr>
            <w:r>
              <w:rPr>
                <w:rFonts w:cs="Times New Roman"/>
                <w:kern w:val="0"/>
                <w:sz w:val="21"/>
                <w:szCs w:val="21"/>
              </w:rPr>
              <w:t>二级</w:t>
            </w:r>
          </w:p>
        </w:tc>
      </w:tr>
      <w:tr w14:paraId="465B5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54C1806">
            <w:pPr>
              <w:spacing w:line="240" w:lineRule="auto"/>
              <w:ind w:firstLine="0" w:firstLineChars="0"/>
              <w:jc w:val="center"/>
              <w:rPr>
                <w:rFonts w:cs="Times New Roman"/>
                <w:sz w:val="21"/>
                <w:szCs w:val="21"/>
              </w:rPr>
            </w:pPr>
            <w:r>
              <w:rPr>
                <w:rFonts w:cs="Times New Roman"/>
                <w:sz w:val="21"/>
                <w:szCs w:val="21"/>
              </w:rPr>
              <w:t>20</w:t>
            </w:r>
          </w:p>
        </w:tc>
        <w:tc>
          <w:tcPr>
            <w:tcW w:w="0" w:type="auto"/>
            <w:vAlign w:val="center"/>
          </w:tcPr>
          <w:p w14:paraId="53425C38">
            <w:pPr>
              <w:spacing w:line="240" w:lineRule="auto"/>
              <w:ind w:firstLine="0" w:firstLineChars="0"/>
              <w:jc w:val="center"/>
              <w:rPr>
                <w:rFonts w:cs="Times New Roman"/>
                <w:sz w:val="21"/>
                <w:szCs w:val="21"/>
              </w:rPr>
            </w:pPr>
            <w:r>
              <w:rPr>
                <w:rFonts w:cs="Times New Roman"/>
                <w:sz w:val="21"/>
                <w:szCs w:val="21"/>
              </w:rPr>
              <w:t>鹤形目</w:t>
            </w:r>
          </w:p>
        </w:tc>
        <w:tc>
          <w:tcPr>
            <w:tcW w:w="0" w:type="auto"/>
            <w:vAlign w:val="center"/>
          </w:tcPr>
          <w:p w14:paraId="33D8B978">
            <w:pPr>
              <w:spacing w:line="240" w:lineRule="auto"/>
              <w:ind w:firstLine="0" w:firstLineChars="0"/>
              <w:jc w:val="center"/>
              <w:rPr>
                <w:rFonts w:cs="Times New Roman"/>
                <w:sz w:val="21"/>
                <w:szCs w:val="21"/>
              </w:rPr>
            </w:pPr>
            <w:r>
              <w:rPr>
                <w:rFonts w:cs="Times New Roman"/>
                <w:sz w:val="21"/>
                <w:szCs w:val="21"/>
              </w:rPr>
              <w:t>秧鸡科</w:t>
            </w:r>
          </w:p>
        </w:tc>
        <w:tc>
          <w:tcPr>
            <w:tcW w:w="0" w:type="auto"/>
            <w:vAlign w:val="center"/>
          </w:tcPr>
          <w:p w14:paraId="1C50045E">
            <w:pPr>
              <w:spacing w:line="240" w:lineRule="auto"/>
              <w:ind w:firstLine="0" w:firstLineChars="0"/>
              <w:jc w:val="center"/>
              <w:rPr>
                <w:rFonts w:cs="Times New Roman"/>
                <w:sz w:val="21"/>
                <w:szCs w:val="21"/>
              </w:rPr>
            </w:pPr>
            <w:r>
              <w:rPr>
                <w:rFonts w:cs="Times New Roman"/>
                <w:sz w:val="21"/>
                <w:szCs w:val="21"/>
              </w:rPr>
              <w:t>红脚苦恶鸟</w:t>
            </w:r>
          </w:p>
        </w:tc>
        <w:tc>
          <w:tcPr>
            <w:tcW w:w="0" w:type="auto"/>
            <w:vAlign w:val="center"/>
          </w:tcPr>
          <w:p w14:paraId="44C44079">
            <w:pPr>
              <w:spacing w:line="240" w:lineRule="auto"/>
              <w:ind w:firstLine="0" w:firstLineChars="0"/>
              <w:jc w:val="center"/>
              <w:rPr>
                <w:rFonts w:cs="Times New Roman"/>
                <w:i/>
                <w:iCs/>
                <w:kern w:val="0"/>
                <w:sz w:val="21"/>
                <w:szCs w:val="21"/>
              </w:rPr>
            </w:pPr>
            <w:r>
              <w:rPr>
                <w:rFonts w:cs="Times New Roman"/>
                <w:i/>
                <w:iCs/>
                <w:kern w:val="0"/>
                <w:sz w:val="21"/>
                <w:szCs w:val="21"/>
              </w:rPr>
              <w:t>Amaurornis akool</w:t>
            </w:r>
          </w:p>
        </w:tc>
        <w:tc>
          <w:tcPr>
            <w:tcW w:w="0" w:type="auto"/>
            <w:vAlign w:val="center"/>
          </w:tcPr>
          <w:p w14:paraId="37EA2FE2">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2E3BC758">
            <w:pPr>
              <w:spacing w:line="240" w:lineRule="auto"/>
              <w:ind w:firstLine="0" w:firstLineChars="0"/>
              <w:jc w:val="center"/>
              <w:rPr>
                <w:rFonts w:cs="Times New Roman"/>
                <w:kern w:val="0"/>
                <w:sz w:val="21"/>
                <w:szCs w:val="21"/>
              </w:rPr>
            </w:pPr>
            <w:r>
              <w:rPr>
                <w:rFonts w:cs="Times New Roman"/>
                <w:kern w:val="0"/>
                <w:sz w:val="21"/>
                <w:szCs w:val="21"/>
              </w:rPr>
              <w:t>—</w:t>
            </w:r>
          </w:p>
        </w:tc>
      </w:tr>
      <w:tr w14:paraId="1EB42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935F658">
            <w:pPr>
              <w:spacing w:line="240" w:lineRule="auto"/>
              <w:ind w:firstLine="0" w:firstLineChars="0"/>
              <w:jc w:val="center"/>
              <w:rPr>
                <w:rFonts w:cs="Times New Roman"/>
                <w:sz w:val="21"/>
                <w:szCs w:val="21"/>
              </w:rPr>
            </w:pPr>
            <w:r>
              <w:rPr>
                <w:rFonts w:cs="Times New Roman"/>
                <w:sz w:val="21"/>
                <w:szCs w:val="21"/>
              </w:rPr>
              <w:t>21</w:t>
            </w:r>
          </w:p>
        </w:tc>
        <w:tc>
          <w:tcPr>
            <w:tcW w:w="0" w:type="auto"/>
            <w:vAlign w:val="center"/>
          </w:tcPr>
          <w:p w14:paraId="66387093">
            <w:pPr>
              <w:spacing w:line="240" w:lineRule="auto"/>
              <w:ind w:firstLine="0" w:firstLineChars="0"/>
              <w:jc w:val="center"/>
              <w:rPr>
                <w:rFonts w:cs="Times New Roman"/>
                <w:sz w:val="21"/>
                <w:szCs w:val="21"/>
              </w:rPr>
            </w:pPr>
            <w:r>
              <w:rPr>
                <w:rFonts w:cs="Times New Roman"/>
                <w:sz w:val="21"/>
                <w:szCs w:val="21"/>
              </w:rPr>
              <w:t>鹤形目</w:t>
            </w:r>
          </w:p>
        </w:tc>
        <w:tc>
          <w:tcPr>
            <w:tcW w:w="0" w:type="auto"/>
            <w:vAlign w:val="center"/>
          </w:tcPr>
          <w:p w14:paraId="1E4392BE">
            <w:pPr>
              <w:spacing w:line="240" w:lineRule="auto"/>
              <w:ind w:firstLine="0" w:firstLineChars="0"/>
              <w:jc w:val="center"/>
              <w:rPr>
                <w:rFonts w:cs="Times New Roman"/>
                <w:sz w:val="21"/>
                <w:szCs w:val="21"/>
              </w:rPr>
            </w:pPr>
            <w:r>
              <w:rPr>
                <w:rFonts w:cs="Times New Roman"/>
                <w:sz w:val="21"/>
                <w:szCs w:val="21"/>
              </w:rPr>
              <w:t>秧鸡科</w:t>
            </w:r>
          </w:p>
        </w:tc>
        <w:tc>
          <w:tcPr>
            <w:tcW w:w="0" w:type="auto"/>
            <w:vAlign w:val="center"/>
          </w:tcPr>
          <w:p w14:paraId="2161469C">
            <w:pPr>
              <w:spacing w:line="240" w:lineRule="auto"/>
              <w:ind w:firstLine="0" w:firstLineChars="0"/>
              <w:jc w:val="center"/>
              <w:rPr>
                <w:rFonts w:cs="Times New Roman"/>
                <w:sz w:val="21"/>
                <w:szCs w:val="21"/>
              </w:rPr>
            </w:pPr>
            <w:r>
              <w:rPr>
                <w:rFonts w:cs="Times New Roman"/>
                <w:sz w:val="21"/>
                <w:szCs w:val="21"/>
              </w:rPr>
              <w:t>白胸苦恶鸟</w:t>
            </w:r>
          </w:p>
        </w:tc>
        <w:tc>
          <w:tcPr>
            <w:tcW w:w="0" w:type="auto"/>
            <w:vAlign w:val="center"/>
          </w:tcPr>
          <w:p w14:paraId="2BDEA25E">
            <w:pPr>
              <w:spacing w:line="240" w:lineRule="auto"/>
              <w:ind w:firstLine="0" w:firstLineChars="0"/>
              <w:jc w:val="center"/>
              <w:rPr>
                <w:rFonts w:cs="Times New Roman"/>
                <w:i/>
                <w:iCs/>
                <w:kern w:val="0"/>
                <w:sz w:val="21"/>
                <w:szCs w:val="21"/>
              </w:rPr>
            </w:pPr>
            <w:r>
              <w:rPr>
                <w:rFonts w:cs="Times New Roman"/>
                <w:i/>
                <w:iCs/>
                <w:kern w:val="0"/>
                <w:sz w:val="21"/>
                <w:szCs w:val="21"/>
              </w:rPr>
              <w:t>Amaurornis phoenicurus</w:t>
            </w:r>
          </w:p>
        </w:tc>
        <w:tc>
          <w:tcPr>
            <w:tcW w:w="0" w:type="auto"/>
            <w:vAlign w:val="center"/>
          </w:tcPr>
          <w:p w14:paraId="1707C5DF">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203EA7B2">
            <w:pPr>
              <w:spacing w:line="240" w:lineRule="auto"/>
              <w:ind w:firstLine="0" w:firstLineChars="0"/>
              <w:jc w:val="center"/>
              <w:rPr>
                <w:rFonts w:cs="Times New Roman"/>
                <w:kern w:val="0"/>
                <w:sz w:val="21"/>
                <w:szCs w:val="21"/>
              </w:rPr>
            </w:pPr>
            <w:r>
              <w:rPr>
                <w:rFonts w:cs="Times New Roman"/>
                <w:kern w:val="0"/>
                <w:sz w:val="21"/>
                <w:szCs w:val="21"/>
              </w:rPr>
              <w:t>—</w:t>
            </w:r>
          </w:p>
        </w:tc>
      </w:tr>
      <w:tr w14:paraId="488B2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1439A65">
            <w:pPr>
              <w:spacing w:line="240" w:lineRule="auto"/>
              <w:ind w:firstLine="0" w:firstLineChars="0"/>
              <w:jc w:val="center"/>
              <w:rPr>
                <w:rFonts w:cs="Times New Roman"/>
                <w:sz w:val="21"/>
                <w:szCs w:val="21"/>
              </w:rPr>
            </w:pPr>
            <w:r>
              <w:rPr>
                <w:rFonts w:cs="Times New Roman"/>
                <w:sz w:val="21"/>
                <w:szCs w:val="21"/>
              </w:rPr>
              <w:t>22</w:t>
            </w:r>
          </w:p>
        </w:tc>
        <w:tc>
          <w:tcPr>
            <w:tcW w:w="0" w:type="auto"/>
            <w:vAlign w:val="center"/>
          </w:tcPr>
          <w:p w14:paraId="1986BBF5">
            <w:pPr>
              <w:spacing w:line="240" w:lineRule="auto"/>
              <w:ind w:firstLine="0" w:firstLineChars="0"/>
              <w:jc w:val="center"/>
              <w:rPr>
                <w:rFonts w:cs="Times New Roman"/>
                <w:sz w:val="21"/>
                <w:szCs w:val="21"/>
              </w:rPr>
            </w:pPr>
            <w:r>
              <w:rPr>
                <w:rFonts w:cs="Times New Roman"/>
                <w:sz w:val="21"/>
                <w:szCs w:val="21"/>
              </w:rPr>
              <w:t>鹤形目</w:t>
            </w:r>
          </w:p>
        </w:tc>
        <w:tc>
          <w:tcPr>
            <w:tcW w:w="0" w:type="auto"/>
            <w:vAlign w:val="center"/>
          </w:tcPr>
          <w:p w14:paraId="60E5605F">
            <w:pPr>
              <w:spacing w:line="240" w:lineRule="auto"/>
              <w:ind w:firstLine="0" w:firstLineChars="0"/>
              <w:jc w:val="center"/>
              <w:rPr>
                <w:rFonts w:cs="Times New Roman"/>
                <w:sz w:val="21"/>
                <w:szCs w:val="21"/>
              </w:rPr>
            </w:pPr>
            <w:r>
              <w:rPr>
                <w:rFonts w:cs="Times New Roman"/>
                <w:sz w:val="21"/>
                <w:szCs w:val="21"/>
              </w:rPr>
              <w:t>秧鸡科</w:t>
            </w:r>
          </w:p>
        </w:tc>
        <w:tc>
          <w:tcPr>
            <w:tcW w:w="0" w:type="auto"/>
            <w:vAlign w:val="center"/>
          </w:tcPr>
          <w:p w14:paraId="5AAF14F5">
            <w:pPr>
              <w:spacing w:line="240" w:lineRule="auto"/>
              <w:ind w:firstLine="0" w:firstLineChars="0"/>
              <w:jc w:val="center"/>
              <w:rPr>
                <w:rFonts w:cs="Times New Roman"/>
                <w:sz w:val="21"/>
                <w:szCs w:val="21"/>
              </w:rPr>
            </w:pPr>
            <w:r>
              <w:rPr>
                <w:rFonts w:cs="Times New Roman"/>
                <w:sz w:val="21"/>
                <w:szCs w:val="21"/>
              </w:rPr>
              <w:t>黑水鸡</w:t>
            </w:r>
          </w:p>
        </w:tc>
        <w:tc>
          <w:tcPr>
            <w:tcW w:w="0" w:type="auto"/>
            <w:vAlign w:val="center"/>
          </w:tcPr>
          <w:p w14:paraId="09C3E781">
            <w:pPr>
              <w:spacing w:line="240" w:lineRule="auto"/>
              <w:ind w:firstLine="0" w:firstLineChars="0"/>
              <w:jc w:val="center"/>
              <w:rPr>
                <w:rFonts w:cs="Times New Roman"/>
                <w:i/>
                <w:iCs/>
                <w:kern w:val="0"/>
                <w:sz w:val="21"/>
                <w:szCs w:val="21"/>
              </w:rPr>
            </w:pPr>
            <w:r>
              <w:rPr>
                <w:rFonts w:cs="Times New Roman"/>
                <w:i/>
                <w:iCs/>
                <w:kern w:val="0"/>
                <w:sz w:val="21"/>
                <w:szCs w:val="21"/>
              </w:rPr>
              <w:t>Gallinula chloropus</w:t>
            </w:r>
          </w:p>
        </w:tc>
        <w:tc>
          <w:tcPr>
            <w:tcW w:w="0" w:type="auto"/>
            <w:vAlign w:val="center"/>
          </w:tcPr>
          <w:p w14:paraId="3B94F3F0">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5C5F213E">
            <w:pPr>
              <w:spacing w:line="240" w:lineRule="auto"/>
              <w:ind w:firstLine="0" w:firstLineChars="0"/>
              <w:jc w:val="center"/>
              <w:rPr>
                <w:rFonts w:cs="Times New Roman"/>
                <w:kern w:val="0"/>
                <w:sz w:val="21"/>
                <w:szCs w:val="21"/>
              </w:rPr>
            </w:pPr>
            <w:r>
              <w:rPr>
                <w:rFonts w:cs="Times New Roman"/>
                <w:kern w:val="0"/>
                <w:sz w:val="21"/>
                <w:szCs w:val="21"/>
              </w:rPr>
              <w:t>—</w:t>
            </w:r>
          </w:p>
        </w:tc>
      </w:tr>
      <w:tr w14:paraId="15F97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D4975ED">
            <w:pPr>
              <w:spacing w:line="240" w:lineRule="auto"/>
              <w:ind w:firstLine="0" w:firstLineChars="0"/>
              <w:jc w:val="center"/>
              <w:rPr>
                <w:rFonts w:cs="Times New Roman"/>
                <w:sz w:val="21"/>
                <w:szCs w:val="21"/>
              </w:rPr>
            </w:pPr>
            <w:r>
              <w:rPr>
                <w:rFonts w:cs="Times New Roman"/>
                <w:sz w:val="21"/>
                <w:szCs w:val="21"/>
              </w:rPr>
              <w:t>23</w:t>
            </w:r>
          </w:p>
        </w:tc>
        <w:tc>
          <w:tcPr>
            <w:tcW w:w="0" w:type="auto"/>
            <w:vAlign w:val="center"/>
          </w:tcPr>
          <w:p w14:paraId="263DB4AE">
            <w:pPr>
              <w:spacing w:line="240" w:lineRule="auto"/>
              <w:ind w:firstLine="0" w:firstLineChars="0"/>
              <w:jc w:val="center"/>
              <w:rPr>
                <w:rFonts w:cs="Times New Roman"/>
                <w:sz w:val="21"/>
                <w:szCs w:val="21"/>
              </w:rPr>
            </w:pPr>
            <w:r>
              <w:rPr>
                <w:rFonts w:cs="Times New Roman"/>
                <w:sz w:val="21"/>
                <w:szCs w:val="21"/>
              </w:rPr>
              <w:t>鹤形目</w:t>
            </w:r>
          </w:p>
        </w:tc>
        <w:tc>
          <w:tcPr>
            <w:tcW w:w="0" w:type="auto"/>
            <w:vAlign w:val="center"/>
          </w:tcPr>
          <w:p w14:paraId="284937CD">
            <w:pPr>
              <w:spacing w:line="240" w:lineRule="auto"/>
              <w:ind w:firstLine="0" w:firstLineChars="0"/>
              <w:jc w:val="center"/>
              <w:rPr>
                <w:rFonts w:cs="Times New Roman"/>
                <w:sz w:val="21"/>
                <w:szCs w:val="21"/>
              </w:rPr>
            </w:pPr>
            <w:r>
              <w:rPr>
                <w:rFonts w:cs="Times New Roman"/>
                <w:sz w:val="21"/>
                <w:szCs w:val="21"/>
              </w:rPr>
              <w:t>秧鸡科</w:t>
            </w:r>
          </w:p>
        </w:tc>
        <w:tc>
          <w:tcPr>
            <w:tcW w:w="0" w:type="auto"/>
            <w:vAlign w:val="center"/>
          </w:tcPr>
          <w:p w14:paraId="1BEE7CFB">
            <w:pPr>
              <w:spacing w:line="240" w:lineRule="auto"/>
              <w:ind w:firstLine="0" w:firstLineChars="0"/>
              <w:jc w:val="center"/>
              <w:rPr>
                <w:rFonts w:cs="Times New Roman"/>
                <w:sz w:val="21"/>
                <w:szCs w:val="21"/>
              </w:rPr>
            </w:pPr>
            <w:r>
              <w:rPr>
                <w:rFonts w:cs="Times New Roman"/>
                <w:sz w:val="21"/>
                <w:szCs w:val="21"/>
              </w:rPr>
              <w:t>骨顶鸡</w:t>
            </w:r>
          </w:p>
        </w:tc>
        <w:tc>
          <w:tcPr>
            <w:tcW w:w="0" w:type="auto"/>
            <w:vAlign w:val="center"/>
          </w:tcPr>
          <w:p w14:paraId="273D63EE">
            <w:pPr>
              <w:spacing w:line="240" w:lineRule="auto"/>
              <w:ind w:firstLine="0" w:firstLineChars="0"/>
              <w:jc w:val="center"/>
              <w:rPr>
                <w:rFonts w:cs="Times New Roman"/>
                <w:i/>
                <w:iCs/>
                <w:kern w:val="0"/>
                <w:sz w:val="21"/>
                <w:szCs w:val="21"/>
              </w:rPr>
            </w:pPr>
            <w:r>
              <w:rPr>
                <w:rFonts w:cs="Times New Roman"/>
                <w:i/>
                <w:iCs/>
                <w:kern w:val="0"/>
                <w:sz w:val="21"/>
                <w:szCs w:val="21"/>
              </w:rPr>
              <w:t>Fulica atra</w:t>
            </w:r>
          </w:p>
        </w:tc>
        <w:tc>
          <w:tcPr>
            <w:tcW w:w="0" w:type="auto"/>
            <w:vAlign w:val="center"/>
          </w:tcPr>
          <w:p w14:paraId="792F6485">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2A3031F6">
            <w:pPr>
              <w:spacing w:line="240" w:lineRule="auto"/>
              <w:ind w:firstLine="0" w:firstLineChars="0"/>
              <w:jc w:val="center"/>
              <w:rPr>
                <w:rFonts w:cs="Times New Roman"/>
                <w:kern w:val="0"/>
                <w:sz w:val="21"/>
                <w:szCs w:val="21"/>
              </w:rPr>
            </w:pPr>
            <w:r>
              <w:rPr>
                <w:rFonts w:cs="Times New Roman"/>
                <w:kern w:val="0"/>
                <w:sz w:val="21"/>
                <w:szCs w:val="21"/>
              </w:rPr>
              <w:t>—</w:t>
            </w:r>
          </w:p>
        </w:tc>
      </w:tr>
      <w:tr w14:paraId="079F0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E4C4E35">
            <w:pPr>
              <w:spacing w:line="240" w:lineRule="auto"/>
              <w:ind w:firstLine="0" w:firstLineChars="0"/>
              <w:jc w:val="center"/>
              <w:rPr>
                <w:rFonts w:cs="Times New Roman"/>
                <w:sz w:val="21"/>
                <w:szCs w:val="21"/>
              </w:rPr>
            </w:pPr>
            <w:r>
              <w:rPr>
                <w:rFonts w:cs="Times New Roman"/>
                <w:sz w:val="21"/>
                <w:szCs w:val="21"/>
              </w:rPr>
              <w:t>24</w:t>
            </w:r>
          </w:p>
        </w:tc>
        <w:tc>
          <w:tcPr>
            <w:tcW w:w="0" w:type="auto"/>
            <w:vAlign w:val="center"/>
          </w:tcPr>
          <w:p w14:paraId="7061072A">
            <w:pPr>
              <w:spacing w:line="240" w:lineRule="auto"/>
              <w:ind w:firstLine="0" w:firstLineChars="0"/>
              <w:jc w:val="center"/>
              <w:rPr>
                <w:rFonts w:cs="Times New Roman"/>
                <w:sz w:val="21"/>
                <w:szCs w:val="21"/>
              </w:rPr>
            </w:pPr>
            <w:r>
              <w:rPr>
                <w:rFonts w:cs="Times New Roman"/>
                <w:sz w:val="21"/>
                <w:szCs w:val="21"/>
              </w:rPr>
              <w:t>鸻形目</w:t>
            </w:r>
          </w:p>
        </w:tc>
        <w:tc>
          <w:tcPr>
            <w:tcW w:w="0" w:type="auto"/>
            <w:vAlign w:val="center"/>
          </w:tcPr>
          <w:p w14:paraId="555CD423">
            <w:pPr>
              <w:spacing w:line="240" w:lineRule="auto"/>
              <w:ind w:firstLine="0" w:firstLineChars="0"/>
              <w:jc w:val="center"/>
              <w:rPr>
                <w:rFonts w:cs="Times New Roman"/>
                <w:sz w:val="21"/>
                <w:szCs w:val="21"/>
              </w:rPr>
            </w:pPr>
            <w:r>
              <w:rPr>
                <w:rFonts w:cs="Times New Roman"/>
                <w:sz w:val="21"/>
                <w:szCs w:val="21"/>
              </w:rPr>
              <w:t>鸻科</w:t>
            </w:r>
          </w:p>
        </w:tc>
        <w:tc>
          <w:tcPr>
            <w:tcW w:w="0" w:type="auto"/>
            <w:vAlign w:val="center"/>
          </w:tcPr>
          <w:p w14:paraId="6543228C">
            <w:pPr>
              <w:spacing w:line="240" w:lineRule="auto"/>
              <w:ind w:firstLine="0" w:firstLineChars="0"/>
              <w:jc w:val="center"/>
              <w:rPr>
                <w:rFonts w:cs="Times New Roman"/>
                <w:sz w:val="21"/>
                <w:szCs w:val="21"/>
              </w:rPr>
            </w:pPr>
            <w:r>
              <w:rPr>
                <w:rFonts w:cs="Times New Roman"/>
                <w:sz w:val="21"/>
                <w:szCs w:val="21"/>
              </w:rPr>
              <w:t>灰头麦鸡</w:t>
            </w:r>
          </w:p>
        </w:tc>
        <w:tc>
          <w:tcPr>
            <w:tcW w:w="0" w:type="auto"/>
            <w:vAlign w:val="center"/>
          </w:tcPr>
          <w:p w14:paraId="5B913AE9">
            <w:pPr>
              <w:spacing w:line="240" w:lineRule="auto"/>
              <w:ind w:firstLine="0" w:firstLineChars="0"/>
              <w:jc w:val="center"/>
              <w:rPr>
                <w:rFonts w:cs="Times New Roman"/>
                <w:i/>
                <w:iCs/>
                <w:kern w:val="0"/>
                <w:sz w:val="21"/>
                <w:szCs w:val="21"/>
              </w:rPr>
            </w:pPr>
            <w:r>
              <w:rPr>
                <w:rFonts w:cs="Times New Roman"/>
                <w:i/>
                <w:iCs/>
                <w:kern w:val="0"/>
                <w:sz w:val="21"/>
                <w:szCs w:val="21"/>
              </w:rPr>
              <w:t>Vanellus cinereus</w:t>
            </w:r>
          </w:p>
        </w:tc>
        <w:tc>
          <w:tcPr>
            <w:tcW w:w="0" w:type="auto"/>
            <w:vAlign w:val="center"/>
          </w:tcPr>
          <w:p w14:paraId="6D8DE59E">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77AECA98">
            <w:pPr>
              <w:spacing w:line="240" w:lineRule="auto"/>
              <w:ind w:firstLine="0" w:firstLineChars="0"/>
              <w:jc w:val="center"/>
              <w:rPr>
                <w:rFonts w:cs="Times New Roman"/>
                <w:kern w:val="0"/>
                <w:sz w:val="21"/>
                <w:szCs w:val="21"/>
              </w:rPr>
            </w:pPr>
            <w:r>
              <w:rPr>
                <w:rFonts w:cs="Times New Roman"/>
                <w:kern w:val="0"/>
                <w:sz w:val="21"/>
                <w:szCs w:val="21"/>
              </w:rPr>
              <w:t>—</w:t>
            </w:r>
          </w:p>
        </w:tc>
      </w:tr>
      <w:tr w14:paraId="24AEC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BEE950D">
            <w:pPr>
              <w:spacing w:line="240" w:lineRule="auto"/>
              <w:ind w:firstLine="0" w:firstLineChars="0"/>
              <w:jc w:val="center"/>
              <w:rPr>
                <w:rFonts w:cs="Times New Roman"/>
                <w:sz w:val="21"/>
                <w:szCs w:val="21"/>
              </w:rPr>
            </w:pPr>
            <w:r>
              <w:rPr>
                <w:rFonts w:cs="Times New Roman"/>
                <w:sz w:val="21"/>
                <w:szCs w:val="21"/>
              </w:rPr>
              <w:t>25</w:t>
            </w:r>
          </w:p>
        </w:tc>
        <w:tc>
          <w:tcPr>
            <w:tcW w:w="0" w:type="auto"/>
            <w:vAlign w:val="center"/>
          </w:tcPr>
          <w:p w14:paraId="0AD91E58">
            <w:pPr>
              <w:spacing w:line="240" w:lineRule="auto"/>
              <w:ind w:firstLine="0" w:firstLineChars="0"/>
              <w:jc w:val="center"/>
              <w:rPr>
                <w:rFonts w:cs="Times New Roman"/>
                <w:sz w:val="21"/>
                <w:szCs w:val="21"/>
              </w:rPr>
            </w:pPr>
            <w:r>
              <w:rPr>
                <w:rFonts w:cs="Times New Roman"/>
                <w:sz w:val="21"/>
                <w:szCs w:val="21"/>
              </w:rPr>
              <w:t>鸽形目</w:t>
            </w:r>
          </w:p>
        </w:tc>
        <w:tc>
          <w:tcPr>
            <w:tcW w:w="0" w:type="auto"/>
            <w:vAlign w:val="center"/>
          </w:tcPr>
          <w:p w14:paraId="466DCAF1">
            <w:pPr>
              <w:spacing w:line="240" w:lineRule="auto"/>
              <w:ind w:firstLine="0" w:firstLineChars="0"/>
              <w:jc w:val="center"/>
              <w:rPr>
                <w:rFonts w:cs="Times New Roman"/>
                <w:sz w:val="21"/>
                <w:szCs w:val="21"/>
              </w:rPr>
            </w:pPr>
            <w:r>
              <w:rPr>
                <w:rFonts w:cs="Times New Roman"/>
                <w:sz w:val="21"/>
                <w:szCs w:val="21"/>
              </w:rPr>
              <w:t>鸠鸽科</w:t>
            </w:r>
          </w:p>
        </w:tc>
        <w:tc>
          <w:tcPr>
            <w:tcW w:w="0" w:type="auto"/>
            <w:vAlign w:val="center"/>
          </w:tcPr>
          <w:p w14:paraId="7D0F697F">
            <w:pPr>
              <w:spacing w:line="240" w:lineRule="auto"/>
              <w:ind w:firstLine="0" w:firstLineChars="0"/>
              <w:jc w:val="center"/>
              <w:rPr>
                <w:rFonts w:cs="Times New Roman"/>
                <w:sz w:val="21"/>
                <w:szCs w:val="21"/>
              </w:rPr>
            </w:pPr>
            <w:r>
              <w:rPr>
                <w:rFonts w:cs="Times New Roman"/>
                <w:sz w:val="21"/>
                <w:szCs w:val="21"/>
              </w:rPr>
              <w:t>山斑鸠</w:t>
            </w:r>
          </w:p>
        </w:tc>
        <w:tc>
          <w:tcPr>
            <w:tcW w:w="0" w:type="auto"/>
            <w:vAlign w:val="center"/>
          </w:tcPr>
          <w:p w14:paraId="534F2732">
            <w:pPr>
              <w:spacing w:line="240" w:lineRule="auto"/>
              <w:ind w:firstLine="0" w:firstLineChars="0"/>
              <w:jc w:val="center"/>
              <w:rPr>
                <w:rFonts w:cs="Times New Roman"/>
                <w:i/>
                <w:iCs/>
                <w:kern w:val="0"/>
                <w:sz w:val="21"/>
                <w:szCs w:val="21"/>
              </w:rPr>
            </w:pPr>
            <w:r>
              <w:rPr>
                <w:rFonts w:cs="Times New Roman"/>
                <w:i/>
                <w:iCs/>
                <w:kern w:val="0"/>
                <w:sz w:val="21"/>
                <w:szCs w:val="21"/>
              </w:rPr>
              <w:t>Streptopelia orientalis</w:t>
            </w:r>
          </w:p>
        </w:tc>
        <w:tc>
          <w:tcPr>
            <w:tcW w:w="0" w:type="auto"/>
            <w:vAlign w:val="center"/>
          </w:tcPr>
          <w:p w14:paraId="1E9F7EF6">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7D65604">
            <w:pPr>
              <w:spacing w:line="240" w:lineRule="auto"/>
              <w:ind w:firstLine="0" w:firstLineChars="0"/>
              <w:jc w:val="center"/>
              <w:rPr>
                <w:rFonts w:cs="Times New Roman"/>
                <w:kern w:val="0"/>
                <w:sz w:val="21"/>
                <w:szCs w:val="21"/>
              </w:rPr>
            </w:pPr>
            <w:r>
              <w:rPr>
                <w:rFonts w:cs="Times New Roman"/>
                <w:kern w:val="0"/>
                <w:sz w:val="21"/>
                <w:szCs w:val="21"/>
              </w:rPr>
              <w:t>—</w:t>
            </w:r>
          </w:p>
        </w:tc>
      </w:tr>
      <w:tr w14:paraId="102D3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15DA7AB">
            <w:pPr>
              <w:spacing w:line="240" w:lineRule="auto"/>
              <w:ind w:firstLine="0" w:firstLineChars="0"/>
              <w:jc w:val="center"/>
              <w:rPr>
                <w:rFonts w:cs="Times New Roman"/>
                <w:sz w:val="21"/>
                <w:szCs w:val="21"/>
              </w:rPr>
            </w:pPr>
            <w:r>
              <w:rPr>
                <w:rFonts w:cs="Times New Roman"/>
                <w:sz w:val="21"/>
                <w:szCs w:val="21"/>
              </w:rPr>
              <w:t>26</w:t>
            </w:r>
          </w:p>
        </w:tc>
        <w:tc>
          <w:tcPr>
            <w:tcW w:w="0" w:type="auto"/>
            <w:vAlign w:val="center"/>
          </w:tcPr>
          <w:p w14:paraId="60F63B96">
            <w:pPr>
              <w:spacing w:line="240" w:lineRule="auto"/>
              <w:ind w:firstLine="0" w:firstLineChars="0"/>
              <w:jc w:val="center"/>
              <w:rPr>
                <w:rFonts w:cs="Times New Roman"/>
                <w:sz w:val="21"/>
                <w:szCs w:val="21"/>
              </w:rPr>
            </w:pPr>
            <w:r>
              <w:rPr>
                <w:rFonts w:cs="Times New Roman"/>
                <w:sz w:val="21"/>
                <w:szCs w:val="21"/>
              </w:rPr>
              <w:t>鸽形目</w:t>
            </w:r>
          </w:p>
        </w:tc>
        <w:tc>
          <w:tcPr>
            <w:tcW w:w="0" w:type="auto"/>
            <w:vAlign w:val="center"/>
          </w:tcPr>
          <w:p w14:paraId="6158DBFB">
            <w:pPr>
              <w:spacing w:line="240" w:lineRule="auto"/>
              <w:ind w:firstLine="0" w:firstLineChars="0"/>
              <w:jc w:val="center"/>
              <w:rPr>
                <w:rFonts w:cs="Times New Roman"/>
                <w:sz w:val="21"/>
                <w:szCs w:val="21"/>
              </w:rPr>
            </w:pPr>
            <w:r>
              <w:rPr>
                <w:rFonts w:cs="Times New Roman"/>
                <w:sz w:val="21"/>
                <w:szCs w:val="21"/>
              </w:rPr>
              <w:t>鸠鸽科</w:t>
            </w:r>
          </w:p>
        </w:tc>
        <w:tc>
          <w:tcPr>
            <w:tcW w:w="0" w:type="auto"/>
            <w:vAlign w:val="center"/>
          </w:tcPr>
          <w:p w14:paraId="28FC1B01">
            <w:pPr>
              <w:spacing w:line="240" w:lineRule="auto"/>
              <w:ind w:firstLine="0" w:firstLineChars="0"/>
              <w:jc w:val="center"/>
              <w:rPr>
                <w:rFonts w:cs="Times New Roman"/>
                <w:sz w:val="21"/>
                <w:szCs w:val="21"/>
              </w:rPr>
            </w:pPr>
            <w:r>
              <w:rPr>
                <w:rFonts w:cs="Times New Roman"/>
                <w:sz w:val="21"/>
                <w:szCs w:val="21"/>
              </w:rPr>
              <w:t>珠颈斑鸠</w:t>
            </w:r>
          </w:p>
        </w:tc>
        <w:tc>
          <w:tcPr>
            <w:tcW w:w="0" w:type="auto"/>
            <w:vAlign w:val="center"/>
          </w:tcPr>
          <w:p w14:paraId="6AA4C1A3">
            <w:pPr>
              <w:spacing w:line="240" w:lineRule="auto"/>
              <w:ind w:firstLine="0" w:firstLineChars="0"/>
              <w:jc w:val="center"/>
              <w:rPr>
                <w:rFonts w:cs="Times New Roman"/>
                <w:i/>
                <w:iCs/>
                <w:kern w:val="0"/>
                <w:sz w:val="21"/>
                <w:szCs w:val="21"/>
              </w:rPr>
            </w:pPr>
            <w:r>
              <w:rPr>
                <w:rFonts w:cs="Times New Roman"/>
                <w:i/>
                <w:iCs/>
                <w:kern w:val="0"/>
                <w:sz w:val="21"/>
                <w:szCs w:val="21"/>
              </w:rPr>
              <w:t>Spilopelia chinensis</w:t>
            </w:r>
          </w:p>
        </w:tc>
        <w:tc>
          <w:tcPr>
            <w:tcW w:w="0" w:type="auto"/>
            <w:vAlign w:val="center"/>
          </w:tcPr>
          <w:p w14:paraId="4DA586F8">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237C27D">
            <w:pPr>
              <w:spacing w:line="240" w:lineRule="auto"/>
              <w:ind w:firstLine="0" w:firstLineChars="0"/>
              <w:jc w:val="center"/>
              <w:rPr>
                <w:rFonts w:cs="Times New Roman"/>
                <w:kern w:val="0"/>
                <w:sz w:val="21"/>
                <w:szCs w:val="21"/>
              </w:rPr>
            </w:pPr>
            <w:r>
              <w:rPr>
                <w:rFonts w:cs="Times New Roman"/>
                <w:kern w:val="0"/>
                <w:sz w:val="21"/>
                <w:szCs w:val="21"/>
              </w:rPr>
              <w:t>—</w:t>
            </w:r>
          </w:p>
        </w:tc>
      </w:tr>
      <w:tr w14:paraId="793AA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1071E5D">
            <w:pPr>
              <w:spacing w:line="240" w:lineRule="auto"/>
              <w:ind w:firstLine="0" w:firstLineChars="0"/>
              <w:jc w:val="center"/>
              <w:rPr>
                <w:rFonts w:cs="Times New Roman"/>
                <w:sz w:val="21"/>
                <w:szCs w:val="21"/>
              </w:rPr>
            </w:pPr>
            <w:r>
              <w:rPr>
                <w:rFonts w:cs="Times New Roman"/>
                <w:sz w:val="21"/>
                <w:szCs w:val="21"/>
              </w:rPr>
              <w:t>27</w:t>
            </w:r>
          </w:p>
        </w:tc>
        <w:tc>
          <w:tcPr>
            <w:tcW w:w="0" w:type="auto"/>
            <w:vAlign w:val="center"/>
          </w:tcPr>
          <w:p w14:paraId="7924AA14">
            <w:pPr>
              <w:spacing w:line="240" w:lineRule="auto"/>
              <w:ind w:firstLine="0" w:firstLineChars="0"/>
              <w:jc w:val="center"/>
              <w:rPr>
                <w:rFonts w:cs="Times New Roman"/>
                <w:sz w:val="21"/>
                <w:szCs w:val="21"/>
              </w:rPr>
            </w:pPr>
            <w:r>
              <w:rPr>
                <w:rFonts w:cs="Times New Roman"/>
                <w:sz w:val="21"/>
                <w:szCs w:val="21"/>
              </w:rPr>
              <w:t>鹃形目</w:t>
            </w:r>
          </w:p>
        </w:tc>
        <w:tc>
          <w:tcPr>
            <w:tcW w:w="0" w:type="auto"/>
            <w:vAlign w:val="center"/>
          </w:tcPr>
          <w:p w14:paraId="0E9DA85F">
            <w:pPr>
              <w:spacing w:line="240" w:lineRule="auto"/>
              <w:ind w:firstLine="0" w:firstLineChars="0"/>
              <w:jc w:val="center"/>
              <w:rPr>
                <w:rFonts w:cs="Times New Roman"/>
                <w:sz w:val="21"/>
                <w:szCs w:val="21"/>
              </w:rPr>
            </w:pPr>
            <w:r>
              <w:rPr>
                <w:rFonts w:cs="Times New Roman"/>
                <w:sz w:val="21"/>
                <w:szCs w:val="21"/>
              </w:rPr>
              <w:t>杜鹃科</w:t>
            </w:r>
          </w:p>
        </w:tc>
        <w:tc>
          <w:tcPr>
            <w:tcW w:w="0" w:type="auto"/>
            <w:vAlign w:val="center"/>
          </w:tcPr>
          <w:p w14:paraId="5150F597">
            <w:pPr>
              <w:spacing w:line="240" w:lineRule="auto"/>
              <w:ind w:firstLine="0" w:firstLineChars="0"/>
              <w:jc w:val="center"/>
              <w:rPr>
                <w:rFonts w:cs="Times New Roman"/>
                <w:sz w:val="21"/>
                <w:szCs w:val="21"/>
              </w:rPr>
            </w:pPr>
            <w:r>
              <w:rPr>
                <w:rFonts w:cs="Times New Roman"/>
                <w:sz w:val="21"/>
                <w:szCs w:val="21"/>
              </w:rPr>
              <w:t>噪鹃</w:t>
            </w:r>
          </w:p>
        </w:tc>
        <w:tc>
          <w:tcPr>
            <w:tcW w:w="0" w:type="auto"/>
            <w:vAlign w:val="center"/>
          </w:tcPr>
          <w:p w14:paraId="29EA7AB9">
            <w:pPr>
              <w:spacing w:line="240" w:lineRule="auto"/>
              <w:ind w:firstLine="0" w:firstLineChars="0"/>
              <w:jc w:val="center"/>
              <w:rPr>
                <w:rFonts w:cs="Times New Roman"/>
                <w:i/>
                <w:iCs/>
                <w:kern w:val="0"/>
                <w:sz w:val="21"/>
                <w:szCs w:val="21"/>
              </w:rPr>
            </w:pPr>
            <w:r>
              <w:rPr>
                <w:rFonts w:cs="Times New Roman"/>
                <w:i/>
                <w:iCs/>
                <w:kern w:val="0"/>
                <w:sz w:val="21"/>
                <w:szCs w:val="21"/>
              </w:rPr>
              <w:t>Eudynamys scolopaceus</w:t>
            </w:r>
          </w:p>
        </w:tc>
        <w:tc>
          <w:tcPr>
            <w:tcW w:w="0" w:type="auto"/>
            <w:vAlign w:val="center"/>
          </w:tcPr>
          <w:p w14:paraId="2372CF05">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067CB50F">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07C37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99CF938">
            <w:pPr>
              <w:spacing w:line="240" w:lineRule="auto"/>
              <w:ind w:firstLine="0" w:firstLineChars="0"/>
              <w:jc w:val="center"/>
              <w:rPr>
                <w:rFonts w:cs="Times New Roman"/>
                <w:sz w:val="21"/>
                <w:szCs w:val="21"/>
              </w:rPr>
            </w:pPr>
            <w:r>
              <w:rPr>
                <w:rFonts w:cs="Times New Roman"/>
                <w:sz w:val="21"/>
                <w:szCs w:val="21"/>
              </w:rPr>
              <w:t>28</w:t>
            </w:r>
          </w:p>
        </w:tc>
        <w:tc>
          <w:tcPr>
            <w:tcW w:w="0" w:type="auto"/>
            <w:vAlign w:val="center"/>
          </w:tcPr>
          <w:p w14:paraId="7611CB28">
            <w:pPr>
              <w:spacing w:line="240" w:lineRule="auto"/>
              <w:ind w:firstLine="0" w:firstLineChars="0"/>
              <w:jc w:val="center"/>
              <w:rPr>
                <w:rFonts w:cs="Times New Roman"/>
                <w:sz w:val="21"/>
                <w:szCs w:val="21"/>
              </w:rPr>
            </w:pPr>
            <w:r>
              <w:rPr>
                <w:rFonts w:cs="Times New Roman"/>
                <w:sz w:val="21"/>
                <w:szCs w:val="21"/>
              </w:rPr>
              <w:t>鹃形目</w:t>
            </w:r>
          </w:p>
        </w:tc>
        <w:tc>
          <w:tcPr>
            <w:tcW w:w="0" w:type="auto"/>
            <w:vAlign w:val="center"/>
          </w:tcPr>
          <w:p w14:paraId="23ABBA5D">
            <w:pPr>
              <w:spacing w:line="240" w:lineRule="auto"/>
              <w:ind w:firstLine="0" w:firstLineChars="0"/>
              <w:jc w:val="center"/>
              <w:rPr>
                <w:rFonts w:cs="Times New Roman"/>
                <w:sz w:val="21"/>
                <w:szCs w:val="21"/>
              </w:rPr>
            </w:pPr>
            <w:r>
              <w:rPr>
                <w:rFonts w:cs="Times New Roman"/>
                <w:sz w:val="21"/>
                <w:szCs w:val="21"/>
              </w:rPr>
              <w:t>杜鹃科</w:t>
            </w:r>
          </w:p>
        </w:tc>
        <w:tc>
          <w:tcPr>
            <w:tcW w:w="0" w:type="auto"/>
            <w:vAlign w:val="center"/>
          </w:tcPr>
          <w:p w14:paraId="0E194CF1">
            <w:pPr>
              <w:spacing w:line="240" w:lineRule="auto"/>
              <w:ind w:firstLine="0" w:firstLineChars="0"/>
              <w:jc w:val="center"/>
              <w:rPr>
                <w:rFonts w:cs="Times New Roman"/>
                <w:sz w:val="21"/>
                <w:szCs w:val="21"/>
              </w:rPr>
            </w:pPr>
            <w:r>
              <w:rPr>
                <w:rFonts w:cs="Times New Roman"/>
                <w:sz w:val="21"/>
                <w:szCs w:val="21"/>
              </w:rPr>
              <w:t>大鹰鹃</w:t>
            </w:r>
          </w:p>
        </w:tc>
        <w:tc>
          <w:tcPr>
            <w:tcW w:w="0" w:type="auto"/>
            <w:vAlign w:val="center"/>
          </w:tcPr>
          <w:p w14:paraId="7BA97424">
            <w:pPr>
              <w:spacing w:line="240" w:lineRule="auto"/>
              <w:ind w:firstLine="0" w:firstLineChars="0"/>
              <w:jc w:val="center"/>
              <w:rPr>
                <w:rFonts w:cs="Times New Roman"/>
                <w:i/>
                <w:iCs/>
                <w:kern w:val="0"/>
                <w:sz w:val="21"/>
                <w:szCs w:val="21"/>
              </w:rPr>
            </w:pPr>
            <w:r>
              <w:rPr>
                <w:rFonts w:cs="Times New Roman"/>
                <w:i/>
                <w:iCs/>
                <w:kern w:val="0"/>
                <w:sz w:val="21"/>
                <w:szCs w:val="21"/>
              </w:rPr>
              <w:t>Hierococcyx sparverioides</w:t>
            </w:r>
          </w:p>
        </w:tc>
        <w:tc>
          <w:tcPr>
            <w:tcW w:w="0" w:type="auto"/>
            <w:vAlign w:val="center"/>
          </w:tcPr>
          <w:p w14:paraId="2ED98AEE">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AB39E0E">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1EFDE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0DA785B">
            <w:pPr>
              <w:spacing w:line="240" w:lineRule="auto"/>
              <w:ind w:firstLine="0" w:firstLineChars="0"/>
              <w:jc w:val="center"/>
              <w:rPr>
                <w:rFonts w:cs="Times New Roman"/>
                <w:sz w:val="21"/>
                <w:szCs w:val="21"/>
              </w:rPr>
            </w:pPr>
            <w:r>
              <w:rPr>
                <w:rFonts w:cs="Times New Roman"/>
                <w:sz w:val="21"/>
                <w:szCs w:val="21"/>
              </w:rPr>
              <w:t>29</w:t>
            </w:r>
          </w:p>
        </w:tc>
        <w:tc>
          <w:tcPr>
            <w:tcW w:w="0" w:type="auto"/>
            <w:vAlign w:val="center"/>
          </w:tcPr>
          <w:p w14:paraId="08482CCE">
            <w:pPr>
              <w:spacing w:line="240" w:lineRule="auto"/>
              <w:ind w:firstLine="0" w:firstLineChars="0"/>
              <w:jc w:val="center"/>
              <w:rPr>
                <w:rFonts w:cs="Times New Roman"/>
                <w:sz w:val="21"/>
                <w:szCs w:val="21"/>
              </w:rPr>
            </w:pPr>
            <w:r>
              <w:rPr>
                <w:rFonts w:cs="Times New Roman"/>
                <w:sz w:val="21"/>
                <w:szCs w:val="21"/>
              </w:rPr>
              <w:t>鹃形目</w:t>
            </w:r>
          </w:p>
        </w:tc>
        <w:tc>
          <w:tcPr>
            <w:tcW w:w="0" w:type="auto"/>
            <w:vAlign w:val="center"/>
          </w:tcPr>
          <w:p w14:paraId="53EB841F">
            <w:pPr>
              <w:spacing w:line="240" w:lineRule="auto"/>
              <w:ind w:firstLine="0" w:firstLineChars="0"/>
              <w:jc w:val="center"/>
              <w:rPr>
                <w:rFonts w:cs="Times New Roman"/>
                <w:sz w:val="21"/>
                <w:szCs w:val="21"/>
              </w:rPr>
            </w:pPr>
            <w:r>
              <w:rPr>
                <w:rFonts w:cs="Times New Roman"/>
                <w:sz w:val="21"/>
                <w:szCs w:val="21"/>
              </w:rPr>
              <w:t>杜鹃科</w:t>
            </w:r>
          </w:p>
        </w:tc>
        <w:tc>
          <w:tcPr>
            <w:tcW w:w="0" w:type="auto"/>
            <w:vAlign w:val="center"/>
          </w:tcPr>
          <w:p w14:paraId="0D387653">
            <w:pPr>
              <w:spacing w:line="240" w:lineRule="auto"/>
              <w:ind w:firstLine="0" w:firstLineChars="0"/>
              <w:jc w:val="center"/>
              <w:rPr>
                <w:rFonts w:cs="Times New Roman"/>
                <w:sz w:val="21"/>
                <w:szCs w:val="21"/>
              </w:rPr>
            </w:pPr>
            <w:r>
              <w:rPr>
                <w:rFonts w:cs="Times New Roman"/>
                <w:sz w:val="21"/>
                <w:szCs w:val="21"/>
              </w:rPr>
              <w:t>四声杜鹃</w:t>
            </w:r>
          </w:p>
        </w:tc>
        <w:tc>
          <w:tcPr>
            <w:tcW w:w="0" w:type="auto"/>
            <w:vAlign w:val="center"/>
          </w:tcPr>
          <w:p w14:paraId="4A20188E">
            <w:pPr>
              <w:spacing w:line="240" w:lineRule="auto"/>
              <w:ind w:firstLine="0" w:firstLineChars="0"/>
              <w:jc w:val="center"/>
              <w:rPr>
                <w:rFonts w:cs="Times New Roman"/>
                <w:i/>
                <w:iCs/>
                <w:kern w:val="0"/>
                <w:sz w:val="21"/>
                <w:szCs w:val="21"/>
              </w:rPr>
            </w:pPr>
            <w:r>
              <w:rPr>
                <w:rFonts w:cs="Times New Roman"/>
                <w:i/>
                <w:iCs/>
                <w:kern w:val="0"/>
                <w:sz w:val="21"/>
                <w:szCs w:val="21"/>
              </w:rPr>
              <w:t>Cuculus micropterus</w:t>
            </w:r>
          </w:p>
        </w:tc>
        <w:tc>
          <w:tcPr>
            <w:tcW w:w="0" w:type="auto"/>
            <w:vAlign w:val="center"/>
          </w:tcPr>
          <w:p w14:paraId="4C5AE796">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567343D3">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5EE9A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DFED90E">
            <w:pPr>
              <w:spacing w:line="240" w:lineRule="auto"/>
              <w:ind w:firstLine="0" w:firstLineChars="0"/>
              <w:jc w:val="center"/>
              <w:rPr>
                <w:rFonts w:cs="Times New Roman"/>
                <w:sz w:val="21"/>
                <w:szCs w:val="21"/>
              </w:rPr>
            </w:pPr>
            <w:r>
              <w:rPr>
                <w:rFonts w:cs="Times New Roman"/>
                <w:sz w:val="21"/>
                <w:szCs w:val="21"/>
              </w:rPr>
              <w:t>30</w:t>
            </w:r>
          </w:p>
        </w:tc>
        <w:tc>
          <w:tcPr>
            <w:tcW w:w="0" w:type="auto"/>
            <w:vAlign w:val="center"/>
          </w:tcPr>
          <w:p w14:paraId="04D9AC6E">
            <w:pPr>
              <w:spacing w:line="240" w:lineRule="auto"/>
              <w:ind w:firstLine="0" w:firstLineChars="0"/>
              <w:jc w:val="center"/>
              <w:rPr>
                <w:rFonts w:cs="Times New Roman"/>
                <w:sz w:val="21"/>
                <w:szCs w:val="21"/>
              </w:rPr>
            </w:pPr>
            <w:r>
              <w:rPr>
                <w:rFonts w:cs="Times New Roman"/>
                <w:sz w:val="21"/>
                <w:szCs w:val="21"/>
              </w:rPr>
              <w:t>鹃形目</w:t>
            </w:r>
          </w:p>
        </w:tc>
        <w:tc>
          <w:tcPr>
            <w:tcW w:w="0" w:type="auto"/>
            <w:vAlign w:val="center"/>
          </w:tcPr>
          <w:p w14:paraId="2DB8B03C">
            <w:pPr>
              <w:spacing w:line="240" w:lineRule="auto"/>
              <w:ind w:firstLine="0" w:firstLineChars="0"/>
              <w:jc w:val="center"/>
              <w:rPr>
                <w:rFonts w:cs="Times New Roman"/>
                <w:sz w:val="21"/>
                <w:szCs w:val="21"/>
              </w:rPr>
            </w:pPr>
            <w:r>
              <w:rPr>
                <w:rFonts w:cs="Times New Roman"/>
                <w:sz w:val="21"/>
                <w:szCs w:val="21"/>
              </w:rPr>
              <w:t>杜鹃科</w:t>
            </w:r>
          </w:p>
        </w:tc>
        <w:tc>
          <w:tcPr>
            <w:tcW w:w="0" w:type="auto"/>
            <w:vAlign w:val="center"/>
          </w:tcPr>
          <w:p w14:paraId="214DB116">
            <w:pPr>
              <w:spacing w:line="240" w:lineRule="auto"/>
              <w:ind w:firstLine="0" w:firstLineChars="0"/>
              <w:jc w:val="center"/>
              <w:rPr>
                <w:rFonts w:cs="Times New Roman"/>
                <w:sz w:val="21"/>
                <w:szCs w:val="21"/>
              </w:rPr>
            </w:pPr>
            <w:r>
              <w:rPr>
                <w:rFonts w:cs="Times New Roman"/>
                <w:sz w:val="21"/>
                <w:szCs w:val="21"/>
              </w:rPr>
              <w:t>大杜鹃</w:t>
            </w:r>
          </w:p>
        </w:tc>
        <w:tc>
          <w:tcPr>
            <w:tcW w:w="0" w:type="auto"/>
            <w:vAlign w:val="center"/>
          </w:tcPr>
          <w:p w14:paraId="3C8F50D0">
            <w:pPr>
              <w:spacing w:line="240" w:lineRule="auto"/>
              <w:ind w:firstLine="0" w:firstLineChars="0"/>
              <w:jc w:val="center"/>
              <w:rPr>
                <w:rFonts w:cs="Times New Roman"/>
                <w:i/>
                <w:iCs/>
                <w:kern w:val="0"/>
                <w:sz w:val="21"/>
                <w:szCs w:val="21"/>
              </w:rPr>
            </w:pPr>
            <w:r>
              <w:rPr>
                <w:rFonts w:cs="Times New Roman"/>
                <w:i/>
                <w:iCs/>
                <w:kern w:val="0"/>
                <w:sz w:val="21"/>
                <w:szCs w:val="21"/>
              </w:rPr>
              <w:t>Cuculus canorus</w:t>
            </w:r>
          </w:p>
        </w:tc>
        <w:tc>
          <w:tcPr>
            <w:tcW w:w="0" w:type="auto"/>
            <w:vAlign w:val="center"/>
          </w:tcPr>
          <w:p w14:paraId="611C21C3">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0F482CC1">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683D6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486D012">
            <w:pPr>
              <w:spacing w:line="240" w:lineRule="auto"/>
              <w:ind w:firstLine="0" w:firstLineChars="0"/>
              <w:jc w:val="center"/>
              <w:rPr>
                <w:rFonts w:cs="Times New Roman"/>
                <w:sz w:val="21"/>
                <w:szCs w:val="21"/>
              </w:rPr>
            </w:pPr>
            <w:r>
              <w:rPr>
                <w:rFonts w:cs="Times New Roman"/>
                <w:sz w:val="21"/>
                <w:szCs w:val="21"/>
              </w:rPr>
              <w:t>31</w:t>
            </w:r>
          </w:p>
        </w:tc>
        <w:tc>
          <w:tcPr>
            <w:tcW w:w="0" w:type="auto"/>
            <w:vAlign w:val="center"/>
          </w:tcPr>
          <w:p w14:paraId="02E908AD">
            <w:pPr>
              <w:spacing w:line="240" w:lineRule="auto"/>
              <w:ind w:firstLine="0" w:firstLineChars="0"/>
              <w:jc w:val="center"/>
              <w:rPr>
                <w:rFonts w:cs="Times New Roman"/>
                <w:sz w:val="21"/>
                <w:szCs w:val="21"/>
              </w:rPr>
            </w:pPr>
            <w:r>
              <w:rPr>
                <w:rFonts w:cs="Times New Roman"/>
                <w:sz w:val="21"/>
                <w:szCs w:val="21"/>
              </w:rPr>
              <w:t>佛法僧目</w:t>
            </w:r>
          </w:p>
        </w:tc>
        <w:tc>
          <w:tcPr>
            <w:tcW w:w="0" w:type="auto"/>
            <w:vAlign w:val="center"/>
          </w:tcPr>
          <w:p w14:paraId="40FE88EC">
            <w:pPr>
              <w:spacing w:line="240" w:lineRule="auto"/>
              <w:ind w:firstLine="0" w:firstLineChars="0"/>
              <w:jc w:val="center"/>
              <w:rPr>
                <w:rFonts w:cs="Times New Roman"/>
                <w:sz w:val="21"/>
                <w:szCs w:val="21"/>
              </w:rPr>
            </w:pPr>
            <w:r>
              <w:rPr>
                <w:rFonts w:cs="Times New Roman"/>
                <w:sz w:val="21"/>
                <w:szCs w:val="21"/>
              </w:rPr>
              <w:t>翠鸟科</w:t>
            </w:r>
          </w:p>
        </w:tc>
        <w:tc>
          <w:tcPr>
            <w:tcW w:w="0" w:type="auto"/>
            <w:vAlign w:val="center"/>
          </w:tcPr>
          <w:p w14:paraId="7FD7A8CA">
            <w:pPr>
              <w:spacing w:line="240" w:lineRule="auto"/>
              <w:ind w:firstLine="0" w:firstLineChars="0"/>
              <w:jc w:val="center"/>
              <w:rPr>
                <w:rFonts w:cs="Times New Roman"/>
                <w:sz w:val="21"/>
                <w:szCs w:val="21"/>
              </w:rPr>
            </w:pPr>
            <w:r>
              <w:rPr>
                <w:rFonts w:cs="Times New Roman"/>
                <w:sz w:val="21"/>
                <w:szCs w:val="21"/>
              </w:rPr>
              <w:t>普通翠鸟</w:t>
            </w:r>
          </w:p>
        </w:tc>
        <w:tc>
          <w:tcPr>
            <w:tcW w:w="0" w:type="auto"/>
            <w:vAlign w:val="center"/>
          </w:tcPr>
          <w:p w14:paraId="0F73432C">
            <w:pPr>
              <w:spacing w:line="240" w:lineRule="auto"/>
              <w:ind w:firstLine="0" w:firstLineChars="0"/>
              <w:jc w:val="center"/>
              <w:rPr>
                <w:rFonts w:cs="Times New Roman"/>
                <w:i/>
                <w:iCs/>
                <w:kern w:val="0"/>
                <w:sz w:val="21"/>
                <w:szCs w:val="21"/>
              </w:rPr>
            </w:pPr>
            <w:r>
              <w:rPr>
                <w:rFonts w:cs="Times New Roman"/>
                <w:i/>
                <w:iCs/>
                <w:kern w:val="0"/>
                <w:sz w:val="21"/>
                <w:szCs w:val="21"/>
              </w:rPr>
              <w:t>Alcedo atthis</w:t>
            </w:r>
          </w:p>
        </w:tc>
        <w:tc>
          <w:tcPr>
            <w:tcW w:w="0" w:type="auto"/>
            <w:vAlign w:val="center"/>
          </w:tcPr>
          <w:p w14:paraId="53E4B724">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0852B6D9">
            <w:pPr>
              <w:spacing w:line="240" w:lineRule="auto"/>
              <w:ind w:firstLine="0" w:firstLineChars="0"/>
              <w:jc w:val="center"/>
              <w:rPr>
                <w:rFonts w:cs="Times New Roman"/>
                <w:kern w:val="0"/>
                <w:sz w:val="21"/>
                <w:szCs w:val="21"/>
              </w:rPr>
            </w:pPr>
            <w:r>
              <w:rPr>
                <w:rFonts w:cs="Times New Roman"/>
                <w:kern w:val="0"/>
                <w:sz w:val="21"/>
                <w:szCs w:val="21"/>
              </w:rPr>
              <w:t>—</w:t>
            </w:r>
          </w:p>
        </w:tc>
      </w:tr>
      <w:tr w14:paraId="5F0BE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6190FDF">
            <w:pPr>
              <w:spacing w:line="240" w:lineRule="auto"/>
              <w:ind w:firstLine="0" w:firstLineChars="0"/>
              <w:jc w:val="center"/>
              <w:rPr>
                <w:rFonts w:cs="Times New Roman"/>
                <w:sz w:val="21"/>
                <w:szCs w:val="21"/>
              </w:rPr>
            </w:pPr>
            <w:r>
              <w:rPr>
                <w:rFonts w:cs="Times New Roman"/>
                <w:sz w:val="21"/>
                <w:szCs w:val="21"/>
              </w:rPr>
              <w:t>32</w:t>
            </w:r>
          </w:p>
        </w:tc>
        <w:tc>
          <w:tcPr>
            <w:tcW w:w="0" w:type="auto"/>
            <w:vAlign w:val="center"/>
          </w:tcPr>
          <w:p w14:paraId="5A829CE0">
            <w:pPr>
              <w:spacing w:line="240" w:lineRule="auto"/>
              <w:ind w:firstLine="0" w:firstLineChars="0"/>
              <w:jc w:val="center"/>
              <w:rPr>
                <w:rFonts w:cs="Times New Roman"/>
                <w:sz w:val="21"/>
                <w:szCs w:val="21"/>
              </w:rPr>
            </w:pPr>
            <w:r>
              <w:rPr>
                <w:rFonts w:cs="Times New Roman"/>
                <w:sz w:val="21"/>
                <w:szCs w:val="21"/>
              </w:rPr>
              <w:t>犀鸟目</w:t>
            </w:r>
          </w:p>
        </w:tc>
        <w:tc>
          <w:tcPr>
            <w:tcW w:w="0" w:type="auto"/>
            <w:vAlign w:val="center"/>
          </w:tcPr>
          <w:p w14:paraId="5FC9266C">
            <w:pPr>
              <w:spacing w:line="240" w:lineRule="auto"/>
              <w:ind w:firstLine="0" w:firstLineChars="0"/>
              <w:jc w:val="center"/>
              <w:rPr>
                <w:rFonts w:cs="Times New Roman"/>
                <w:sz w:val="21"/>
                <w:szCs w:val="21"/>
              </w:rPr>
            </w:pPr>
            <w:r>
              <w:rPr>
                <w:rFonts w:cs="Times New Roman"/>
                <w:kern w:val="0"/>
                <w:sz w:val="21"/>
                <w:szCs w:val="21"/>
              </w:rPr>
              <w:t>戴胜科</w:t>
            </w:r>
          </w:p>
        </w:tc>
        <w:tc>
          <w:tcPr>
            <w:tcW w:w="0" w:type="auto"/>
            <w:vAlign w:val="center"/>
          </w:tcPr>
          <w:p w14:paraId="42D3F066">
            <w:pPr>
              <w:spacing w:line="240" w:lineRule="auto"/>
              <w:ind w:firstLine="0" w:firstLineChars="0"/>
              <w:jc w:val="center"/>
              <w:rPr>
                <w:rFonts w:cs="Times New Roman"/>
                <w:sz w:val="21"/>
                <w:szCs w:val="21"/>
              </w:rPr>
            </w:pPr>
            <w:r>
              <w:rPr>
                <w:rFonts w:cs="Times New Roman"/>
                <w:sz w:val="21"/>
                <w:szCs w:val="21"/>
              </w:rPr>
              <w:t>戴胜</w:t>
            </w:r>
          </w:p>
        </w:tc>
        <w:tc>
          <w:tcPr>
            <w:tcW w:w="0" w:type="auto"/>
            <w:vAlign w:val="center"/>
          </w:tcPr>
          <w:p w14:paraId="57BA59DC">
            <w:pPr>
              <w:spacing w:line="240" w:lineRule="auto"/>
              <w:ind w:firstLine="0" w:firstLineChars="0"/>
              <w:jc w:val="center"/>
              <w:rPr>
                <w:rFonts w:cs="Times New Roman"/>
                <w:i/>
                <w:iCs/>
                <w:kern w:val="0"/>
                <w:sz w:val="21"/>
                <w:szCs w:val="21"/>
              </w:rPr>
            </w:pPr>
            <w:r>
              <w:rPr>
                <w:rFonts w:cs="Times New Roman"/>
                <w:i/>
                <w:iCs/>
                <w:kern w:val="0"/>
                <w:sz w:val="21"/>
                <w:szCs w:val="21"/>
              </w:rPr>
              <w:t>Upupa epops</w:t>
            </w:r>
          </w:p>
        </w:tc>
        <w:tc>
          <w:tcPr>
            <w:tcW w:w="0" w:type="auto"/>
            <w:vAlign w:val="center"/>
          </w:tcPr>
          <w:p w14:paraId="231640D7">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27C22B82">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7A194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65A5BF8">
            <w:pPr>
              <w:spacing w:line="240" w:lineRule="auto"/>
              <w:ind w:firstLine="0" w:firstLineChars="0"/>
              <w:jc w:val="center"/>
              <w:rPr>
                <w:rFonts w:cs="Times New Roman"/>
                <w:sz w:val="21"/>
                <w:szCs w:val="21"/>
              </w:rPr>
            </w:pPr>
            <w:r>
              <w:rPr>
                <w:rFonts w:cs="Times New Roman"/>
                <w:sz w:val="21"/>
                <w:szCs w:val="21"/>
              </w:rPr>
              <w:t>33</w:t>
            </w:r>
          </w:p>
        </w:tc>
        <w:tc>
          <w:tcPr>
            <w:tcW w:w="0" w:type="auto"/>
            <w:vAlign w:val="center"/>
          </w:tcPr>
          <w:p w14:paraId="33872D4F">
            <w:pPr>
              <w:spacing w:line="240" w:lineRule="auto"/>
              <w:ind w:firstLine="0" w:firstLineChars="0"/>
              <w:jc w:val="center"/>
              <w:rPr>
                <w:rFonts w:cs="Times New Roman"/>
                <w:sz w:val="21"/>
                <w:szCs w:val="21"/>
              </w:rPr>
            </w:pPr>
            <w:r>
              <w:rPr>
                <w:rFonts w:cs="Times New Roman"/>
                <w:sz w:val="21"/>
                <w:szCs w:val="21"/>
              </w:rPr>
              <w:t>䴕形目</w:t>
            </w:r>
          </w:p>
        </w:tc>
        <w:tc>
          <w:tcPr>
            <w:tcW w:w="0" w:type="auto"/>
            <w:vAlign w:val="center"/>
          </w:tcPr>
          <w:p w14:paraId="63E1FEF9">
            <w:pPr>
              <w:spacing w:line="240" w:lineRule="auto"/>
              <w:ind w:firstLine="0" w:firstLineChars="0"/>
              <w:jc w:val="center"/>
              <w:rPr>
                <w:rFonts w:cs="Times New Roman"/>
                <w:sz w:val="21"/>
                <w:szCs w:val="21"/>
              </w:rPr>
            </w:pPr>
            <w:r>
              <w:rPr>
                <w:rFonts w:cs="Times New Roman"/>
                <w:kern w:val="0"/>
                <w:sz w:val="21"/>
                <w:szCs w:val="21"/>
              </w:rPr>
              <w:t>啄木鸟科</w:t>
            </w:r>
          </w:p>
        </w:tc>
        <w:tc>
          <w:tcPr>
            <w:tcW w:w="0" w:type="auto"/>
            <w:vAlign w:val="center"/>
          </w:tcPr>
          <w:p w14:paraId="6FFF7709">
            <w:pPr>
              <w:spacing w:line="240" w:lineRule="auto"/>
              <w:ind w:firstLine="0" w:firstLineChars="0"/>
              <w:jc w:val="center"/>
              <w:rPr>
                <w:rFonts w:cs="Times New Roman"/>
                <w:sz w:val="21"/>
                <w:szCs w:val="21"/>
              </w:rPr>
            </w:pPr>
            <w:r>
              <w:rPr>
                <w:rFonts w:cs="Times New Roman"/>
                <w:kern w:val="0"/>
                <w:sz w:val="21"/>
                <w:szCs w:val="21"/>
              </w:rPr>
              <w:t>星头啄木鸟</w:t>
            </w:r>
          </w:p>
        </w:tc>
        <w:tc>
          <w:tcPr>
            <w:tcW w:w="0" w:type="auto"/>
            <w:vAlign w:val="center"/>
          </w:tcPr>
          <w:p w14:paraId="368699A5">
            <w:pPr>
              <w:spacing w:line="240" w:lineRule="auto"/>
              <w:ind w:firstLine="0" w:firstLineChars="0"/>
              <w:jc w:val="center"/>
              <w:rPr>
                <w:rFonts w:cs="Times New Roman"/>
                <w:i/>
                <w:iCs/>
                <w:kern w:val="0"/>
                <w:sz w:val="21"/>
                <w:szCs w:val="21"/>
              </w:rPr>
            </w:pPr>
            <w:r>
              <w:rPr>
                <w:rFonts w:cs="Times New Roman"/>
                <w:i/>
                <w:iCs/>
                <w:kern w:val="0"/>
                <w:sz w:val="21"/>
                <w:szCs w:val="21"/>
              </w:rPr>
              <w:t>Dendrocopos canicapillus</w:t>
            </w:r>
          </w:p>
        </w:tc>
        <w:tc>
          <w:tcPr>
            <w:tcW w:w="0" w:type="auto"/>
            <w:vAlign w:val="center"/>
          </w:tcPr>
          <w:p w14:paraId="64C10EB4">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5D5DFF55">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6E85D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6EA40F2">
            <w:pPr>
              <w:spacing w:line="240" w:lineRule="auto"/>
              <w:ind w:firstLine="0" w:firstLineChars="0"/>
              <w:jc w:val="center"/>
              <w:rPr>
                <w:rFonts w:cs="Times New Roman"/>
                <w:sz w:val="21"/>
                <w:szCs w:val="21"/>
              </w:rPr>
            </w:pPr>
            <w:r>
              <w:rPr>
                <w:rFonts w:cs="Times New Roman"/>
                <w:sz w:val="21"/>
                <w:szCs w:val="21"/>
              </w:rPr>
              <w:t>34</w:t>
            </w:r>
          </w:p>
        </w:tc>
        <w:tc>
          <w:tcPr>
            <w:tcW w:w="0" w:type="auto"/>
            <w:vAlign w:val="center"/>
          </w:tcPr>
          <w:p w14:paraId="53CA4D91">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130EA2B9">
            <w:pPr>
              <w:spacing w:line="240" w:lineRule="auto"/>
              <w:ind w:firstLine="0" w:firstLineChars="0"/>
              <w:jc w:val="center"/>
              <w:rPr>
                <w:rFonts w:cs="Times New Roman"/>
                <w:sz w:val="21"/>
                <w:szCs w:val="21"/>
              </w:rPr>
            </w:pPr>
            <w:r>
              <w:rPr>
                <w:rFonts w:cs="Times New Roman"/>
                <w:sz w:val="21"/>
                <w:szCs w:val="21"/>
              </w:rPr>
              <w:t>鹃</w:t>
            </w:r>
            <w:r>
              <w:rPr>
                <w:rFonts w:hint="eastAsia" w:cs="Times New Roman"/>
                <w:sz w:val="21"/>
                <w:szCs w:val="21"/>
              </w:rPr>
              <w:t>鸭</w:t>
            </w:r>
            <w:r>
              <w:rPr>
                <w:rFonts w:cs="Times New Roman"/>
                <w:sz w:val="21"/>
                <w:szCs w:val="21"/>
              </w:rPr>
              <w:t>科</w:t>
            </w:r>
          </w:p>
        </w:tc>
        <w:tc>
          <w:tcPr>
            <w:tcW w:w="0" w:type="auto"/>
            <w:vAlign w:val="center"/>
          </w:tcPr>
          <w:p w14:paraId="33854E07">
            <w:pPr>
              <w:spacing w:line="240" w:lineRule="auto"/>
              <w:ind w:firstLine="0" w:firstLineChars="0"/>
              <w:jc w:val="center"/>
              <w:rPr>
                <w:rFonts w:cs="Times New Roman"/>
                <w:sz w:val="21"/>
                <w:szCs w:val="21"/>
              </w:rPr>
            </w:pPr>
            <w:r>
              <w:rPr>
                <w:rFonts w:cs="Times New Roman"/>
                <w:sz w:val="21"/>
                <w:szCs w:val="21"/>
              </w:rPr>
              <w:t>小灰山椒鸟</w:t>
            </w:r>
          </w:p>
        </w:tc>
        <w:tc>
          <w:tcPr>
            <w:tcW w:w="0" w:type="auto"/>
            <w:vAlign w:val="center"/>
          </w:tcPr>
          <w:p w14:paraId="1C0F2C93">
            <w:pPr>
              <w:spacing w:line="240" w:lineRule="auto"/>
              <w:ind w:firstLine="0" w:firstLineChars="0"/>
              <w:jc w:val="center"/>
              <w:rPr>
                <w:rFonts w:cs="Times New Roman"/>
                <w:i/>
                <w:iCs/>
                <w:kern w:val="0"/>
                <w:sz w:val="21"/>
                <w:szCs w:val="21"/>
              </w:rPr>
            </w:pPr>
            <w:r>
              <w:rPr>
                <w:rFonts w:cs="Times New Roman"/>
                <w:i/>
                <w:iCs/>
                <w:kern w:val="0"/>
                <w:sz w:val="21"/>
                <w:szCs w:val="21"/>
              </w:rPr>
              <w:t>Pericrocotus cantonensis</w:t>
            </w:r>
          </w:p>
        </w:tc>
        <w:tc>
          <w:tcPr>
            <w:tcW w:w="0" w:type="auto"/>
            <w:vAlign w:val="center"/>
          </w:tcPr>
          <w:p w14:paraId="0D2DC891">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307408E4">
            <w:pPr>
              <w:spacing w:line="240" w:lineRule="auto"/>
              <w:ind w:firstLine="0" w:firstLineChars="0"/>
              <w:jc w:val="center"/>
              <w:rPr>
                <w:rFonts w:cs="Times New Roman"/>
                <w:kern w:val="0"/>
                <w:sz w:val="21"/>
                <w:szCs w:val="21"/>
              </w:rPr>
            </w:pPr>
            <w:r>
              <w:rPr>
                <w:rFonts w:cs="Times New Roman"/>
                <w:kern w:val="0"/>
                <w:sz w:val="21"/>
                <w:szCs w:val="21"/>
              </w:rPr>
              <w:t>—</w:t>
            </w:r>
          </w:p>
        </w:tc>
      </w:tr>
      <w:tr w14:paraId="38E8E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0BE85DA">
            <w:pPr>
              <w:spacing w:line="240" w:lineRule="auto"/>
              <w:ind w:firstLine="0" w:firstLineChars="0"/>
              <w:jc w:val="center"/>
              <w:rPr>
                <w:rFonts w:cs="Times New Roman"/>
                <w:sz w:val="21"/>
                <w:szCs w:val="21"/>
              </w:rPr>
            </w:pPr>
            <w:r>
              <w:rPr>
                <w:rFonts w:cs="Times New Roman"/>
                <w:sz w:val="21"/>
                <w:szCs w:val="21"/>
              </w:rPr>
              <w:t>35</w:t>
            </w:r>
          </w:p>
        </w:tc>
        <w:tc>
          <w:tcPr>
            <w:tcW w:w="0" w:type="auto"/>
            <w:vAlign w:val="center"/>
          </w:tcPr>
          <w:p w14:paraId="4821AE79">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4F2F2D3A">
            <w:pPr>
              <w:spacing w:line="240" w:lineRule="auto"/>
              <w:ind w:firstLine="0" w:firstLineChars="0"/>
              <w:jc w:val="center"/>
              <w:rPr>
                <w:rFonts w:cs="Times New Roman"/>
                <w:sz w:val="21"/>
                <w:szCs w:val="21"/>
              </w:rPr>
            </w:pPr>
            <w:r>
              <w:rPr>
                <w:rFonts w:cs="Times New Roman"/>
                <w:sz w:val="21"/>
                <w:szCs w:val="21"/>
              </w:rPr>
              <w:t>鹃</w:t>
            </w:r>
            <w:r>
              <w:rPr>
                <w:rFonts w:hint="eastAsia" w:cs="Times New Roman"/>
                <w:sz w:val="21"/>
                <w:szCs w:val="21"/>
              </w:rPr>
              <w:t>鸭</w:t>
            </w:r>
            <w:r>
              <w:rPr>
                <w:rFonts w:cs="Times New Roman"/>
                <w:sz w:val="21"/>
                <w:szCs w:val="21"/>
              </w:rPr>
              <w:t>科</w:t>
            </w:r>
          </w:p>
        </w:tc>
        <w:tc>
          <w:tcPr>
            <w:tcW w:w="0" w:type="auto"/>
            <w:vAlign w:val="center"/>
          </w:tcPr>
          <w:p w14:paraId="5FE6D8AB">
            <w:pPr>
              <w:spacing w:line="240" w:lineRule="auto"/>
              <w:ind w:firstLine="0" w:firstLineChars="0"/>
              <w:jc w:val="center"/>
              <w:rPr>
                <w:rFonts w:cs="Times New Roman"/>
                <w:sz w:val="21"/>
                <w:szCs w:val="21"/>
              </w:rPr>
            </w:pPr>
            <w:r>
              <w:rPr>
                <w:rFonts w:cs="Times New Roman"/>
                <w:sz w:val="21"/>
                <w:szCs w:val="21"/>
              </w:rPr>
              <w:t>灰喉山椒鸟</w:t>
            </w:r>
          </w:p>
        </w:tc>
        <w:tc>
          <w:tcPr>
            <w:tcW w:w="0" w:type="auto"/>
            <w:vAlign w:val="center"/>
          </w:tcPr>
          <w:p w14:paraId="361306B7">
            <w:pPr>
              <w:spacing w:line="240" w:lineRule="auto"/>
              <w:ind w:firstLine="0" w:firstLineChars="0"/>
              <w:jc w:val="center"/>
              <w:rPr>
                <w:rFonts w:cs="Times New Roman"/>
                <w:i/>
                <w:iCs/>
                <w:kern w:val="0"/>
                <w:sz w:val="21"/>
                <w:szCs w:val="21"/>
              </w:rPr>
            </w:pPr>
            <w:r>
              <w:rPr>
                <w:rFonts w:cs="Times New Roman"/>
                <w:i/>
                <w:iCs/>
                <w:kern w:val="0"/>
                <w:sz w:val="21"/>
                <w:szCs w:val="21"/>
              </w:rPr>
              <w:t>Pericrocotus solaris</w:t>
            </w:r>
          </w:p>
        </w:tc>
        <w:tc>
          <w:tcPr>
            <w:tcW w:w="0" w:type="auto"/>
            <w:vAlign w:val="center"/>
          </w:tcPr>
          <w:p w14:paraId="12F57838">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E11B8BC">
            <w:pPr>
              <w:spacing w:line="240" w:lineRule="auto"/>
              <w:ind w:firstLine="0" w:firstLineChars="0"/>
              <w:jc w:val="center"/>
              <w:rPr>
                <w:rFonts w:cs="Times New Roman"/>
                <w:kern w:val="0"/>
                <w:sz w:val="21"/>
                <w:szCs w:val="21"/>
              </w:rPr>
            </w:pPr>
            <w:r>
              <w:rPr>
                <w:rFonts w:cs="Times New Roman"/>
                <w:kern w:val="0"/>
                <w:sz w:val="21"/>
                <w:szCs w:val="21"/>
              </w:rPr>
              <w:t>—</w:t>
            </w:r>
          </w:p>
        </w:tc>
      </w:tr>
      <w:tr w14:paraId="10E79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AEEDBD2">
            <w:pPr>
              <w:spacing w:line="240" w:lineRule="auto"/>
              <w:ind w:firstLine="0" w:firstLineChars="0"/>
              <w:jc w:val="center"/>
              <w:rPr>
                <w:rFonts w:cs="Times New Roman"/>
                <w:sz w:val="21"/>
                <w:szCs w:val="21"/>
              </w:rPr>
            </w:pPr>
            <w:r>
              <w:rPr>
                <w:rFonts w:cs="Times New Roman"/>
                <w:sz w:val="21"/>
                <w:szCs w:val="21"/>
              </w:rPr>
              <w:t>36</w:t>
            </w:r>
          </w:p>
        </w:tc>
        <w:tc>
          <w:tcPr>
            <w:tcW w:w="0" w:type="auto"/>
            <w:vAlign w:val="center"/>
          </w:tcPr>
          <w:p w14:paraId="1873E2B4">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30CCDDF2">
            <w:pPr>
              <w:spacing w:line="240" w:lineRule="auto"/>
              <w:ind w:firstLine="0" w:firstLineChars="0"/>
              <w:jc w:val="center"/>
              <w:rPr>
                <w:rFonts w:cs="Times New Roman"/>
                <w:sz w:val="21"/>
                <w:szCs w:val="21"/>
              </w:rPr>
            </w:pPr>
            <w:r>
              <w:rPr>
                <w:rFonts w:cs="Times New Roman"/>
                <w:sz w:val="21"/>
                <w:szCs w:val="21"/>
              </w:rPr>
              <w:t>伯劳科</w:t>
            </w:r>
          </w:p>
        </w:tc>
        <w:tc>
          <w:tcPr>
            <w:tcW w:w="0" w:type="auto"/>
            <w:vAlign w:val="center"/>
          </w:tcPr>
          <w:p w14:paraId="3E6B5C7D">
            <w:pPr>
              <w:spacing w:line="240" w:lineRule="auto"/>
              <w:ind w:firstLine="0" w:firstLineChars="0"/>
              <w:jc w:val="center"/>
              <w:rPr>
                <w:rFonts w:cs="Times New Roman"/>
                <w:sz w:val="21"/>
                <w:szCs w:val="21"/>
              </w:rPr>
            </w:pPr>
            <w:r>
              <w:rPr>
                <w:rFonts w:cs="Times New Roman"/>
                <w:sz w:val="21"/>
                <w:szCs w:val="21"/>
              </w:rPr>
              <w:t>棕背伯劳</w:t>
            </w:r>
          </w:p>
        </w:tc>
        <w:tc>
          <w:tcPr>
            <w:tcW w:w="0" w:type="auto"/>
            <w:vAlign w:val="center"/>
          </w:tcPr>
          <w:p w14:paraId="37C7FD81">
            <w:pPr>
              <w:spacing w:line="240" w:lineRule="auto"/>
              <w:ind w:firstLine="0" w:firstLineChars="0"/>
              <w:jc w:val="center"/>
              <w:rPr>
                <w:rFonts w:cs="Times New Roman"/>
                <w:i/>
                <w:iCs/>
                <w:kern w:val="0"/>
                <w:sz w:val="21"/>
                <w:szCs w:val="21"/>
              </w:rPr>
            </w:pPr>
            <w:r>
              <w:rPr>
                <w:rFonts w:cs="Times New Roman"/>
                <w:i/>
                <w:iCs/>
                <w:kern w:val="0"/>
                <w:sz w:val="21"/>
                <w:szCs w:val="21"/>
              </w:rPr>
              <w:t>Lanius schach</w:t>
            </w:r>
          </w:p>
        </w:tc>
        <w:tc>
          <w:tcPr>
            <w:tcW w:w="0" w:type="auto"/>
            <w:vAlign w:val="center"/>
          </w:tcPr>
          <w:p w14:paraId="0E550C64">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FC91997">
            <w:pPr>
              <w:spacing w:line="240" w:lineRule="auto"/>
              <w:ind w:firstLine="0" w:firstLineChars="0"/>
              <w:jc w:val="center"/>
              <w:rPr>
                <w:rFonts w:cs="Times New Roman"/>
                <w:kern w:val="0"/>
                <w:sz w:val="21"/>
                <w:szCs w:val="21"/>
              </w:rPr>
            </w:pPr>
            <w:r>
              <w:rPr>
                <w:rFonts w:cs="Times New Roman"/>
                <w:kern w:val="0"/>
                <w:sz w:val="21"/>
                <w:szCs w:val="21"/>
              </w:rPr>
              <w:t>—</w:t>
            </w:r>
          </w:p>
        </w:tc>
      </w:tr>
      <w:tr w14:paraId="38BFB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FB403A6">
            <w:pPr>
              <w:spacing w:line="240" w:lineRule="auto"/>
              <w:ind w:firstLine="0" w:firstLineChars="0"/>
              <w:jc w:val="center"/>
              <w:rPr>
                <w:rFonts w:cs="Times New Roman"/>
                <w:sz w:val="21"/>
                <w:szCs w:val="21"/>
              </w:rPr>
            </w:pPr>
            <w:r>
              <w:rPr>
                <w:rFonts w:cs="Times New Roman"/>
                <w:sz w:val="21"/>
                <w:szCs w:val="21"/>
              </w:rPr>
              <w:t>37</w:t>
            </w:r>
          </w:p>
        </w:tc>
        <w:tc>
          <w:tcPr>
            <w:tcW w:w="0" w:type="auto"/>
            <w:vAlign w:val="center"/>
          </w:tcPr>
          <w:p w14:paraId="57FCCBAC">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181E738F">
            <w:pPr>
              <w:spacing w:line="240" w:lineRule="auto"/>
              <w:ind w:firstLine="0" w:firstLineChars="0"/>
              <w:jc w:val="center"/>
              <w:rPr>
                <w:rFonts w:cs="Times New Roman"/>
                <w:sz w:val="21"/>
                <w:szCs w:val="21"/>
              </w:rPr>
            </w:pPr>
            <w:r>
              <w:rPr>
                <w:rFonts w:cs="Times New Roman"/>
                <w:sz w:val="21"/>
                <w:szCs w:val="21"/>
              </w:rPr>
              <w:t>鸦科</w:t>
            </w:r>
          </w:p>
        </w:tc>
        <w:tc>
          <w:tcPr>
            <w:tcW w:w="0" w:type="auto"/>
            <w:vAlign w:val="center"/>
          </w:tcPr>
          <w:p w14:paraId="6343E1E8">
            <w:pPr>
              <w:spacing w:line="240" w:lineRule="auto"/>
              <w:ind w:firstLine="0" w:firstLineChars="0"/>
              <w:jc w:val="center"/>
              <w:rPr>
                <w:rFonts w:cs="Times New Roman"/>
                <w:sz w:val="21"/>
                <w:szCs w:val="21"/>
              </w:rPr>
            </w:pPr>
            <w:r>
              <w:rPr>
                <w:rFonts w:cs="Times New Roman"/>
                <w:sz w:val="21"/>
                <w:szCs w:val="21"/>
              </w:rPr>
              <w:t>灰喜鹊</w:t>
            </w:r>
          </w:p>
        </w:tc>
        <w:tc>
          <w:tcPr>
            <w:tcW w:w="0" w:type="auto"/>
            <w:vAlign w:val="center"/>
          </w:tcPr>
          <w:p w14:paraId="3E3E5A85">
            <w:pPr>
              <w:spacing w:line="240" w:lineRule="auto"/>
              <w:ind w:firstLine="0" w:firstLineChars="0"/>
              <w:jc w:val="center"/>
              <w:rPr>
                <w:rFonts w:cs="Times New Roman"/>
                <w:i/>
                <w:iCs/>
                <w:kern w:val="0"/>
                <w:sz w:val="21"/>
                <w:szCs w:val="21"/>
              </w:rPr>
            </w:pPr>
            <w:r>
              <w:rPr>
                <w:rFonts w:cs="Times New Roman"/>
                <w:i/>
                <w:iCs/>
                <w:kern w:val="0"/>
                <w:sz w:val="21"/>
                <w:szCs w:val="21"/>
              </w:rPr>
              <w:t>Cyanopica cyanus</w:t>
            </w:r>
          </w:p>
        </w:tc>
        <w:tc>
          <w:tcPr>
            <w:tcW w:w="0" w:type="auto"/>
            <w:vAlign w:val="center"/>
          </w:tcPr>
          <w:p w14:paraId="792386F7">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2FDAC16">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208DB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E4250ED">
            <w:pPr>
              <w:spacing w:line="240" w:lineRule="auto"/>
              <w:ind w:firstLine="0" w:firstLineChars="0"/>
              <w:jc w:val="center"/>
              <w:rPr>
                <w:rFonts w:cs="Times New Roman"/>
                <w:sz w:val="21"/>
                <w:szCs w:val="21"/>
              </w:rPr>
            </w:pPr>
            <w:r>
              <w:rPr>
                <w:rFonts w:cs="Times New Roman"/>
                <w:sz w:val="21"/>
                <w:szCs w:val="21"/>
              </w:rPr>
              <w:t>38</w:t>
            </w:r>
          </w:p>
        </w:tc>
        <w:tc>
          <w:tcPr>
            <w:tcW w:w="0" w:type="auto"/>
            <w:vAlign w:val="center"/>
          </w:tcPr>
          <w:p w14:paraId="41276758">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1FB46D3E">
            <w:pPr>
              <w:spacing w:line="240" w:lineRule="auto"/>
              <w:ind w:firstLine="0" w:firstLineChars="0"/>
              <w:jc w:val="center"/>
              <w:rPr>
                <w:rFonts w:cs="Times New Roman"/>
                <w:sz w:val="21"/>
                <w:szCs w:val="21"/>
              </w:rPr>
            </w:pPr>
            <w:r>
              <w:rPr>
                <w:rFonts w:cs="Times New Roman"/>
                <w:sz w:val="21"/>
                <w:szCs w:val="21"/>
              </w:rPr>
              <w:t>鸦科</w:t>
            </w:r>
          </w:p>
        </w:tc>
        <w:tc>
          <w:tcPr>
            <w:tcW w:w="0" w:type="auto"/>
            <w:vAlign w:val="center"/>
          </w:tcPr>
          <w:p w14:paraId="67CFA7EE">
            <w:pPr>
              <w:spacing w:line="240" w:lineRule="auto"/>
              <w:ind w:firstLine="0" w:firstLineChars="0"/>
              <w:jc w:val="center"/>
              <w:rPr>
                <w:rFonts w:cs="Times New Roman"/>
                <w:sz w:val="21"/>
                <w:szCs w:val="21"/>
              </w:rPr>
            </w:pPr>
            <w:r>
              <w:rPr>
                <w:rFonts w:cs="Times New Roman"/>
                <w:sz w:val="21"/>
                <w:szCs w:val="21"/>
              </w:rPr>
              <w:t>红嘴蓝鹊</w:t>
            </w:r>
          </w:p>
        </w:tc>
        <w:tc>
          <w:tcPr>
            <w:tcW w:w="0" w:type="auto"/>
            <w:vAlign w:val="center"/>
          </w:tcPr>
          <w:p w14:paraId="246A4F72">
            <w:pPr>
              <w:spacing w:line="240" w:lineRule="auto"/>
              <w:ind w:firstLine="0" w:firstLineChars="0"/>
              <w:jc w:val="center"/>
              <w:rPr>
                <w:rFonts w:cs="Times New Roman"/>
                <w:i/>
                <w:iCs/>
                <w:kern w:val="0"/>
                <w:sz w:val="21"/>
                <w:szCs w:val="21"/>
              </w:rPr>
            </w:pPr>
            <w:r>
              <w:rPr>
                <w:rFonts w:cs="Times New Roman"/>
                <w:i/>
                <w:iCs/>
                <w:kern w:val="0"/>
                <w:sz w:val="21"/>
                <w:szCs w:val="21"/>
              </w:rPr>
              <w:t>Urocissa erythroryncha</w:t>
            </w:r>
          </w:p>
        </w:tc>
        <w:tc>
          <w:tcPr>
            <w:tcW w:w="0" w:type="auto"/>
            <w:vAlign w:val="center"/>
          </w:tcPr>
          <w:p w14:paraId="1D76972B">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991FC6C">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7A9E5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7B5D0DB">
            <w:pPr>
              <w:spacing w:line="240" w:lineRule="auto"/>
              <w:ind w:firstLine="0" w:firstLineChars="0"/>
              <w:jc w:val="center"/>
              <w:rPr>
                <w:rFonts w:cs="Times New Roman"/>
                <w:sz w:val="21"/>
                <w:szCs w:val="21"/>
              </w:rPr>
            </w:pPr>
            <w:r>
              <w:rPr>
                <w:rFonts w:cs="Times New Roman"/>
                <w:sz w:val="21"/>
                <w:szCs w:val="21"/>
              </w:rPr>
              <w:t>39</w:t>
            </w:r>
          </w:p>
        </w:tc>
        <w:tc>
          <w:tcPr>
            <w:tcW w:w="0" w:type="auto"/>
            <w:vAlign w:val="center"/>
          </w:tcPr>
          <w:p w14:paraId="151A6A28">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3167391A">
            <w:pPr>
              <w:spacing w:line="240" w:lineRule="auto"/>
              <w:ind w:firstLine="0" w:firstLineChars="0"/>
              <w:jc w:val="center"/>
              <w:rPr>
                <w:rFonts w:cs="Times New Roman"/>
                <w:sz w:val="21"/>
                <w:szCs w:val="21"/>
              </w:rPr>
            </w:pPr>
            <w:r>
              <w:rPr>
                <w:rFonts w:cs="Times New Roman"/>
                <w:sz w:val="21"/>
                <w:szCs w:val="21"/>
              </w:rPr>
              <w:t>鸦科</w:t>
            </w:r>
          </w:p>
        </w:tc>
        <w:tc>
          <w:tcPr>
            <w:tcW w:w="0" w:type="auto"/>
            <w:vAlign w:val="center"/>
          </w:tcPr>
          <w:p w14:paraId="6006799A">
            <w:pPr>
              <w:spacing w:line="240" w:lineRule="auto"/>
              <w:ind w:firstLine="0" w:firstLineChars="0"/>
              <w:jc w:val="center"/>
              <w:rPr>
                <w:rFonts w:cs="Times New Roman"/>
                <w:sz w:val="21"/>
                <w:szCs w:val="21"/>
              </w:rPr>
            </w:pPr>
            <w:r>
              <w:rPr>
                <w:rFonts w:cs="Times New Roman"/>
                <w:sz w:val="21"/>
                <w:szCs w:val="21"/>
              </w:rPr>
              <w:t>灰树鹊</w:t>
            </w:r>
          </w:p>
        </w:tc>
        <w:tc>
          <w:tcPr>
            <w:tcW w:w="0" w:type="auto"/>
            <w:vAlign w:val="center"/>
          </w:tcPr>
          <w:p w14:paraId="7373FD02">
            <w:pPr>
              <w:spacing w:line="240" w:lineRule="auto"/>
              <w:ind w:firstLine="0" w:firstLineChars="0"/>
              <w:jc w:val="center"/>
              <w:rPr>
                <w:rFonts w:cs="Times New Roman"/>
                <w:i/>
                <w:iCs/>
                <w:kern w:val="0"/>
                <w:sz w:val="21"/>
                <w:szCs w:val="21"/>
              </w:rPr>
            </w:pPr>
            <w:r>
              <w:rPr>
                <w:rFonts w:cs="Times New Roman"/>
                <w:i/>
                <w:iCs/>
                <w:kern w:val="0"/>
                <w:sz w:val="21"/>
                <w:szCs w:val="21"/>
              </w:rPr>
              <w:t>Dendrocitta formosae</w:t>
            </w:r>
          </w:p>
        </w:tc>
        <w:tc>
          <w:tcPr>
            <w:tcW w:w="0" w:type="auto"/>
            <w:vAlign w:val="center"/>
          </w:tcPr>
          <w:p w14:paraId="43BE1D6D">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F7BC76B">
            <w:pPr>
              <w:spacing w:line="240" w:lineRule="auto"/>
              <w:ind w:firstLine="0" w:firstLineChars="0"/>
              <w:jc w:val="center"/>
              <w:rPr>
                <w:rFonts w:cs="Times New Roman"/>
                <w:kern w:val="0"/>
                <w:sz w:val="21"/>
                <w:szCs w:val="21"/>
              </w:rPr>
            </w:pPr>
            <w:r>
              <w:rPr>
                <w:rFonts w:cs="Times New Roman"/>
                <w:kern w:val="0"/>
                <w:sz w:val="21"/>
                <w:szCs w:val="21"/>
              </w:rPr>
              <w:t>—</w:t>
            </w:r>
          </w:p>
        </w:tc>
      </w:tr>
      <w:tr w14:paraId="58C5B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7B5C718">
            <w:pPr>
              <w:spacing w:line="240" w:lineRule="auto"/>
              <w:ind w:firstLine="0" w:firstLineChars="0"/>
              <w:jc w:val="center"/>
              <w:rPr>
                <w:rFonts w:cs="Times New Roman"/>
                <w:sz w:val="21"/>
                <w:szCs w:val="21"/>
              </w:rPr>
            </w:pPr>
            <w:r>
              <w:rPr>
                <w:rFonts w:cs="Times New Roman"/>
                <w:sz w:val="21"/>
                <w:szCs w:val="21"/>
              </w:rPr>
              <w:t>40</w:t>
            </w:r>
          </w:p>
        </w:tc>
        <w:tc>
          <w:tcPr>
            <w:tcW w:w="0" w:type="auto"/>
            <w:vAlign w:val="center"/>
          </w:tcPr>
          <w:p w14:paraId="03A3BE29">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3BC2E796">
            <w:pPr>
              <w:spacing w:line="240" w:lineRule="auto"/>
              <w:ind w:firstLine="0" w:firstLineChars="0"/>
              <w:jc w:val="center"/>
              <w:rPr>
                <w:rFonts w:cs="Times New Roman"/>
                <w:sz w:val="21"/>
                <w:szCs w:val="21"/>
              </w:rPr>
            </w:pPr>
            <w:r>
              <w:rPr>
                <w:rFonts w:cs="Times New Roman"/>
                <w:sz w:val="21"/>
                <w:szCs w:val="21"/>
              </w:rPr>
              <w:t>鸦科</w:t>
            </w:r>
          </w:p>
        </w:tc>
        <w:tc>
          <w:tcPr>
            <w:tcW w:w="0" w:type="auto"/>
            <w:vAlign w:val="center"/>
          </w:tcPr>
          <w:p w14:paraId="3F3B4447">
            <w:pPr>
              <w:spacing w:line="240" w:lineRule="auto"/>
              <w:ind w:firstLine="0" w:firstLineChars="0"/>
              <w:jc w:val="center"/>
              <w:rPr>
                <w:rFonts w:cs="Times New Roman"/>
                <w:sz w:val="21"/>
                <w:szCs w:val="21"/>
              </w:rPr>
            </w:pPr>
            <w:r>
              <w:rPr>
                <w:rFonts w:cs="Times New Roman"/>
                <w:sz w:val="21"/>
                <w:szCs w:val="21"/>
              </w:rPr>
              <w:t>喜鹊</w:t>
            </w:r>
          </w:p>
        </w:tc>
        <w:tc>
          <w:tcPr>
            <w:tcW w:w="0" w:type="auto"/>
            <w:vAlign w:val="center"/>
          </w:tcPr>
          <w:p w14:paraId="5FB72903">
            <w:pPr>
              <w:spacing w:line="240" w:lineRule="auto"/>
              <w:ind w:firstLine="0" w:firstLineChars="0"/>
              <w:jc w:val="center"/>
              <w:rPr>
                <w:rFonts w:cs="Times New Roman"/>
                <w:i/>
                <w:iCs/>
                <w:kern w:val="0"/>
                <w:sz w:val="21"/>
                <w:szCs w:val="21"/>
              </w:rPr>
            </w:pPr>
            <w:r>
              <w:rPr>
                <w:rFonts w:cs="Times New Roman"/>
                <w:i/>
                <w:iCs/>
                <w:kern w:val="0"/>
                <w:sz w:val="21"/>
                <w:szCs w:val="21"/>
              </w:rPr>
              <w:t>Pica pica</w:t>
            </w:r>
          </w:p>
        </w:tc>
        <w:tc>
          <w:tcPr>
            <w:tcW w:w="0" w:type="auto"/>
            <w:vAlign w:val="center"/>
          </w:tcPr>
          <w:p w14:paraId="10AD5466">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48B8DA4">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54F1E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4DB4286">
            <w:pPr>
              <w:spacing w:line="240" w:lineRule="auto"/>
              <w:ind w:firstLine="0" w:firstLineChars="0"/>
              <w:jc w:val="center"/>
              <w:rPr>
                <w:rFonts w:cs="Times New Roman"/>
                <w:sz w:val="21"/>
                <w:szCs w:val="21"/>
              </w:rPr>
            </w:pPr>
            <w:r>
              <w:rPr>
                <w:rFonts w:cs="Times New Roman"/>
                <w:sz w:val="21"/>
                <w:szCs w:val="21"/>
              </w:rPr>
              <w:t>41</w:t>
            </w:r>
          </w:p>
        </w:tc>
        <w:tc>
          <w:tcPr>
            <w:tcW w:w="0" w:type="auto"/>
            <w:vAlign w:val="center"/>
          </w:tcPr>
          <w:p w14:paraId="5A93D1BD">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73E22F4D">
            <w:pPr>
              <w:spacing w:line="240" w:lineRule="auto"/>
              <w:ind w:firstLine="0" w:firstLineChars="0"/>
              <w:jc w:val="center"/>
              <w:rPr>
                <w:rFonts w:cs="Times New Roman"/>
                <w:sz w:val="21"/>
                <w:szCs w:val="21"/>
              </w:rPr>
            </w:pPr>
            <w:r>
              <w:rPr>
                <w:rFonts w:cs="Times New Roman"/>
                <w:sz w:val="21"/>
                <w:szCs w:val="21"/>
              </w:rPr>
              <w:t>山雀科</w:t>
            </w:r>
          </w:p>
        </w:tc>
        <w:tc>
          <w:tcPr>
            <w:tcW w:w="0" w:type="auto"/>
            <w:vAlign w:val="center"/>
          </w:tcPr>
          <w:p w14:paraId="473D8F8A">
            <w:pPr>
              <w:spacing w:line="240" w:lineRule="auto"/>
              <w:ind w:firstLine="0" w:firstLineChars="0"/>
              <w:jc w:val="center"/>
              <w:rPr>
                <w:rFonts w:cs="Times New Roman"/>
                <w:sz w:val="21"/>
                <w:szCs w:val="21"/>
              </w:rPr>
            </w:pPr>
            <w:r>
              <w:rPr>
                <w:rFonts w:cs="Times New Roman"/>
                <w:sz w:val="21"/>
                <w:szCs w:val="21"/>
              </w:rPr>
              <w:t>黄腹山雀</w:t>
            </w:r>
          </w:p>
        </w:tc>
        <w:tc>
          <w:tcPr>
            <w:tcW w:w="0" w:type="auto"/>
            <w:vAlign w:val="center"/>
          </w:tcPr>
          <w:p w14:paraId="1FB870A2">
            <w:pPr>
              <w:spacing w:line="240" w:lineRule="auto"/>
              <w:ind w:firstLine="0" w:firstLineChars="0"/>
              <w:jc w:val="center"/>
              <w:rPr>
                <w:rFonts w:cs="Times New Roman"/>
                <w:i/>
                <w:iCs/>
                <w:kern w:val="0"/>
                <w:sz w:val="21"/>
                <w:szCs w:val="21"/>
              </w:rPr>
            </w:pPr>
            <w:r>
              <w:rPr>
                <w:rFonts w:cs="Times New Roman"/>
                <w:i/>
                <w:iCs/>
                <w:kern w:val="0"/>
                <w:sz w:val="21"/>
                <w:szCs w:val="21"/>
              </w:rPr>
              <w:t>Pardaliparus venustulus</w:t>
            </w:r>
          </w:p>
        </w:tc>
        <w:tc>
          <w:tcPr>
            <w:tcW w:w="0" w:type="auto"/>
            <w:vAlign w:val="center"/>
          </w:tcPr>
          <w:p w14:paraId="01C5C5FB">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1B48DA78">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4C398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056E110">
            <w:pPr>
              <w:spacing w:line="240" w:lineRule="auto"/>
              <w:ind w:firstLine="0" w:firstLineChars="0"/>
              <w:jc w:val="center"/>
              <w:rPr>
                <w:rFonts w:cs="Times New Roman"/>
                <w:sz w:val="21"/>
                <w:szCs w:val="21"/>
              </w:rPr>
            </w:pPr>
            <w:r>
              <w:rPr>
                <w:rFonts w:cs="Times New Roman"/>
                <w:sz w:val="21"/>
                <w:szCs w:val="21"/>
              </w:rPr>
              <w:t>42</w:t>
            </w:r>
          </w:p>
        </w:tc>
        <w:tc>
          <w:tcPr>
            <w:tcW w:w="0" w:type="auto"/>
            <w:vAlign w:val="center"/>
          </w:tcPr>
          <w:p w14:paraId="000510BD">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5D5FC1AE">
            <w:pPr>
              <w:spacing w:line="240" w:lineRule="auto"/>
              <w:ind w:firstLine="0" w:firstLineChars="0"/>
              <w:jc w:val="center"/>
              <w:rPr>
                <w:rFonts w:cs="Times New Roman"/>
                <w:sz w:val="21"/>
                <w:szCs w:val="21"/>
              </w:rPr>
            </w:pPr>
            <w:r>
              <w:rPr>
                <w:rFonts w:cs="Times New Roman"/>
                <w:sz w:val="21"/>
                <w:szCs w:val="21"/>
              </w:rPr>
              <w:t>山雀科</w:t>
            </w:r>
          </w:p>
        </w:tc>
        <w:tc>
          <w:tcPr>
            <w:tcW w:w="0" w:type="auto"/>
            <w:vAlign w:val="center"/>
          </w:tcPr>
          <w:p w14:paraId="3D9611B2">
            <w:pPr>
              <w:spacing w:line="240" w:lineRule="auto"/>
              <w:ind w:firstLine="0" w:firstLineChars="0"/>
              <w:jc w:val="center"/>
              <w:rPr>
                <w:rFonts w:cs="Times New Roman"/>
                <w:sz w:val="21"/>
                <w:szCs w:val="21"/>
              </w:rPr>
            </w:pPr>
            <w:r>
              <w:rPr>
                <w:rFonts w:cs="Times New Roman"/>
                <w:sz w:val="21"/>
                <w:szCs w:val="21"/>
              </w:rPr>
              <w:t>大山雀</w:t>
            </w:r>
          </w:p>
        </w:tc>
        <w:tc>
          <w:tcPr>
            <w:tcW w:w="0" w:type="auto"/>
            <w:vAlign w:val="center"/>
          </w:tcPr>
          <w:p w14:paraId="4131A711">
            <w:pPr>
              <w:spacing w:line="240" w:lineRule="auto"/>
              <w:ind w:firstLine="0" w:firstLineChars="0"/>
              <w:jc w:val="center"/>
              <w:rPr>
                <w:rFonts w:cs="Times New Roman"/>
                <w:i/>
                <w:iCs/>
                <w:kern w:val="0"/>
                <w:sz w:val="21"/>
                <w:szCs w:val="21"/>
              </w:rPr>
            </w:pPr>
            <w:r>
              <w:rPr>
                <w:rFonts w:cs="Times New Roman"/>
                <w:i/>
                <w:iCs/>
                <w:kern w:val="0"/>
                <w:sz w:val="21"/>
                <w:szCs w:val="21"/>
              </w:rPr>
              <w:t>Parus minor</w:t>
            </w:r>
          </w:p>
        </w:tc>
        <w:tc>
          <w:tcPr>
            <w:tcW w:w="0" w:type="auto"/>
            <w:vAlign w:val="center"/>
          </w:tcPr>
          <w:p w14:paraId="28E30301">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27F71050">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7ECA0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5751AC3">
            <w:pPr>
              <w:spacing w:line="240" w:lineRule="auto"/>
              <w:ind w:firstLine="0" w:firstLineChars="0"/>
              <w:jc w:val="center"/>
              <w:rPr>
                <w:rFonts w:cs="Times New Roman"/>
                <w:sz w:val="21"/>
                <w:szCs w:val="21"/>
              </w:rPr>
            </w:pPr>
            <w:r>
              <w:rPr>
                <w:rFonts w:cs="Times New Roman"/>
                <w:sz w:val="21"/>
                <w:szCs w:val="21"/>
              </w:rPr>
              <w:t>43</w:t>
            </w:r>
          </w:p>
        </w:tc>
        <w:tc>
          <w:tcPr>
            <w:tcW w:w="0" w:type="auto"/>
            <w:vAlign w:val="center"/>
          </w:tcPr>
          <w:p w14:paraId="08907CF7">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2A16C634">
            <w:pPr>
              <w:spacing w:line="240" w:lineRule="auto"/>
              <w:ind w:firstLine="0" w:firstLineChars="0"/>
              <w:jc w:val="center"/>
              <w:rPr>
                <w:rFonts w:cs="Times New Roman"/>
                <w:sz w:val="21"/>
                <w:szCs w:val="21"/>
              </w:rPr>
            </w:pPr>
            <w:r>
              <w:rPr>
                <w:rFonts w:cs="Times New Roman"/>
                <w:sz w:val="21"/>
                <w:szCs w:val="21"/>
              </w:rPr>
              <w:t>鹎科</w:t>
            </w:r>
          </w:p>
        </w:tc>
        <w:tc>
          <w:tcPr>
            <w:tcW w:w="0" w:type="auto"/>
            <w:vAlign w:val="center"/>
          </w:tcPr>
          <w:p w14:paraId="46BE94C1">
            <w:pPr>
              <w:spacing w:line="240" w:lineRule="auto"/>
              <w:ind w:firstLine="0" w:firstLineChars="0"/>
              <w:jc w:val="center"/>
              <w:rPr>
                <w:rFonts w:cs="Times New Roman"/>
                <w:sz w:val="21"/>
                <w:szCs w:val="21"/>
              </w:rPr>
            </w:pPr>
            <w:r>
              <w:rPr>
                <w:rFonts w:cs="Times New Roman"/>
                <w:sz w:val="21"/>
                <w:szCs w:val="21"/>
              </w:rPr>
              <w:t>领雀嘴鹎</w:t>
            </w:r>
          </w:p>
        </w:tc>
        <w:tc>
          <w:tcPr>
            <w:tcW w:w="0" w:type="auto"/>
            <w:vAlign w:val="center"/>
          </w:tcPr>
          <w:p w14:paraId="185D7E1E">
            <w:pPr>
              <w:spacing w:line="240" w:lineRule="auto"/>
              <w:ind w:firstLine="0" w:firstLineChars="0"/>
              <w:jc w:val="center"/>
              <w:rPr>
                <w:rFonts w:cs="Times New Roman"/>
                <w:i/>
                <w:iCs/>
                <w:kern w:val="0"/>
                <w:sz w:val="21"/>
                <w:szCs w:val="21"/>
              </w:rPr>
            </w:pPr>
            <w:r>
              <w:rPr>
                <w:rFonts w:cs="Times New Roman"/>
                <w:i/>
                <w:iCs/>
                <w:kern w:val="0"/>
                <w:sz w:val="21"/>
                <w:szCs w:val="21"/>
              </w:rPr>
              <w:t>Spizixos semitorques</w:t>
            </w:r>
          </w:p>
        </w:tc>
        <w:tc>
          <w:tcPr>
            <w:tcW w:w="0" w:type="auto"/>
            <w:vAlign w:val="center"/>
          </w:tcPr>
          <w:p w14:paraId="55BBFBBF">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27B5A6BB">
            <w:pPr>
              <w:spacing w:line="240" w:lineRule="auto"/>
              <w:ind w:firstLine="0" w:firstLineChars="0"/>
              <w:jc w:val="center"/>
              <w:rPr>
                <w:rFonts w:cs="Times New Roman"/>
                <w:kern w:val="0"/>
                <w:sz w:val="21"/>
                <w:szCs w:val="21"/>
              </w:rPr>
            </w:pPr>
            <w:r>
              <w:rPr>
                <w:rFonts w:cs="Times New Roman"/>
                <w:kern w:val="0"/>
                <w:sz w:val="21"/>
                <w:szCs w:val="21"/>
              </w:rPr>
              <w:t>—</w:t>
            </w:r>
          </w:p>
        </w:tc>
      </w:tr>
      <w:tr w14:paraId="6B9AA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86E2E9A">
            <w:pPr>
              <w:spacing w:line="240" w:lineRule="auto"/>
              <w:ind w:firstLine="0" w:firstLineChars="0"/>
              <w:jc w:val="center"/>
              <w:rPr>
                <w:rFonts w:cs="Times New Roman"/>
                <w:sz w:val="21"/>
                <w:szCs w:val="21"/>
              </w:rPr>
            </w:pPr>
            <w:r>
              <w:rPr>
                <w:rFonts w:cs="Times New Roman"/>
                <w:sz w:val="21"/>
                <w:szCs w:val="21"/>
              </w:rPr>
              <w:t>44</w:t>
            </w:r>
          </w:p>
        </w:tc>
        <w:tc>
          <w:tcPr>
            <w:tcW w:w="0" w:type="auto"/>
            <w:vAlign w:val="center"/>
          </w:tcPr>
          <w:p w14:paraId="25FE90C1">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3204088B">
            <w:pPr>
              <w:spacing w:line="240" w:lineRule="auto"/>
              <w:ind w:firstLine="0" w:firstLineChars="0"/>
              <w:jc w:val="center"/>
              <w:rPr>
                <w:rFonts w:cs="Times New Roman"/>
                <w:sz w:val="21"/>
                <w:szCs w:val="21"/>
              </w:rPr>
            </w:pPr>
            <w:r>
              <w:rPr>
                <w:rFonts w:cs="Times New Roman"/>
                <w:sz w:val="21"/>
                <w:szCs w:val="21"/>
              </w:rPr>
              <w:t>鹎科</w:t>
            </w:r>
          </w:p>
        </w:tc>
        <w:tc>
          <w:tcPr>
            <w:tcW w:w="0" w:type="auto"/>
            <w:vAlign w:val="center"/>
          </w:tcPr>
          <w:p w14:paraId="5FC87A76">
            <w:pPr>
              <w:spacing w:line="240" w:lineRule="auto"/>
              <w:ind w:firstLine="0" w:firstLineChars="0"/>
              <w:jc w:val="center"/>
              <w:rPr>
                <w:rFonts w:cs="Times New Roman"/>
                <w:sz w:val="21"/>
                <w:szCs w:val="21"/>
              </w:rPr>
            </w:pPr>
            <w:r>
              <w:rPr>
                <w:rFonts w:cs="Times New Roman"/>
                <w:sz w:val="21"/>
                <w:szCs w:val="21"/>
              </w:rPr>
              <w:t>白头鹎</w:t>
            </w:r>
          </w:p>
        </w:tc>
        <w:tc>
          <w:tcPr>
            <w:tcW w:w="0" w:type="auto"/>
            <w:vAlign w:val="center"/>
          </w:tcPr>
          <w:p w14:paraId="290EE306">
            <w:pPr>
              <w:spacing w:line="240" w:lineRule="auto"/>
              <w:ind w:firstLine="0" w:firstLineChars="0"/>
              <w:jc w:val="center"/>
              <w:rPr>
                <w:rFonts w:cs="Times New Roman"/>
                <w:i/>
                <w:iCs/>
                <w:kern w:val="0"/>
                <w:sz w:val="21"/>
                <w:szCs w:val="21"/>
              </w:rPr>
            </w:pPr>
            <w:r>
              <w:rPr>
                <w:rFonts w:cs="Times New Roman"/>
                <w:i/>
                <w:iCs/>
                <w:kern w:val="0"/>
                <w:sz w:val="21"/>
                <w:szCs w:val="21"/>
              </w:rPr>
              <w:t>Pycnonotus sinensis</w:t>
            </w:r>
          </w:p>
        </w:tc>
        <w:tc>
          <w:tcPr>
            <w:tcW w:w="0" w:type="auto"/>
            <w:vAlign w:val="center"/>
          </w:tcPr>
          <w:p w14:paraId="3B283512">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1088CFDB">
            <w:pPr>
              <w:spacing w:line="240" w:lineRule="auto"/>
              <w:ind w:firstLine="0" w:firstLineChars="0"/>
              <w:jc w:val="center"/>
              <w:rPr>
                <w:rFonts w:cs="Times New Roman"/>
                <w:kern w:val="0"/>
                <w:sz w:val="21"/>
                <w:szCs w:val="21"/>
              </w:rPr>
            </w:pPr>
            <w:r>
              <w:rPr>
                <w:rFonts w:cs="Times New Roman"/>
                <w:kern w:val="0"/>
                <w:sz w:val="21"/>
                <w:szCs w:val="21"/>
              </w:rPr>
              <w:t>—</w:t>
            </w:r>
          </w:p>
        </w:tc>
      </w:tr>
      <w:tr w14:paraId="08926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851116D">
            <w:pPr>
              <w:spacing w:line="240" w:lineRule="auto"/>
              <w:ind w:firstLine="0" w:firstLineChars="0"/>
              <w:jc w:val="center"/>
              <w:rPr>
                <w:rFonts w:cs="Times New Roman"/>
                <w:sz w:val="21"/>
                <w:szCs w:val="21"/>
              </w:rPr>
            </w:pPr>
            <w:r>
              <w:rPr>
                <w:rFonts w:cs="Times New Roman"/>
                <w:sz w:val="21"/>
                <w:szCs w:val="21"/>
              </w:rPr>
              <w:t>45</w:t>
            </w:r>
          </w:p>
        </w:tc>
        <w:tc>
          <w:tcPr>
            <w:tcW w:w="0" w:type="auto"/>
            <w:vAlign w:val="center"/>
          </w:tcPr>
          <w:p w14:paraId="49165D56">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7A0784CE">
            <w:pPr>
              <w:spacing w:line="240" w:lineRule="auto"/>
              <w:ind w:firstLine="0" w:firstLineChars="0"/>
              <w:jc w:val="center"/>
              <w:rPr>
                <w:rFonts w:cs="Times New Roman"/>
                <w:sz w:val="21"/>
                <w:szCs w:val="21"/>
              </w:rPr>
            </w:pPr>
            <w:r>
              <w:rPr>
                <w:rFonts w:cs="Times New Roman"/>
                <w:sz w:val="21"/>
                <w:szCs w:val="21"/>
              </w:rPr>
              <w:t>鹎科</w:t>
            </w:r>
          </w:p>
        </w:tc>
        <w:tc>
          <w:tcPr>
            <w:tcW w:w="0" w:type="auto"/>
            <w:vAlign w:val="center"/>
          </w:tcPr>
          <w:p w14:paraId="0D7EC781">
            <w:pPr>
              <w:spacing w:line="240" w:lineRule="auto"/>
              <w:ind w:firstLine="0" w:firstLineChars="0"/>
              <w:jc w:val="center"/>
              <w:rPr>
                <w:rFonts w:cs="Times New Roman"/>
                <w:sz w:val="21"/>
                <w:szCs w:val="21"/>
              </w:rPr>
            </w:pPr>
            <w:r>
              <w:rPr>
                <w:rFonts w:cs="Times New Roman"/>
                <w:sz w:val="21"/>
                <w:szCs w:val="21"/>
              </w:rPr>
              <w:t>栗背短脚鹎</w:t>
            </w:r>
          </w:p>
        </w:tc>
        <w:tc>
          <w:tcPr>
            <w:tcW w:w="0" w:type="auto"/>
            <w:vAlign w:val="center"/>
          </w:tcPr>
          <w:p w14:paraId="53B84C4B">
            <w:pPr>
              <w:spacing w:line="240" w:lineRule="auto"/>
              <w:ind w:firstLine="0" w:firstLineChars="0"/>
              <w:jc w:val="center"/>
              <w:rPr>
                <w:rFonts w:cs="Times New Roman"/>
                <w:i/>
                <w:iCs/>
                <w:kern w:val="0"/>
                <w:sz w:val="21"/>
                <w:szCs w:val="21"/>
              </w:rPr>
            </w:pPr>
            <w:r>
              <w:rPr>
                <w:rFonts w:cs="Times New Roman"/>
                <w:i/>
                <w:iCs/>
                <w:kern w:val="0"/>
                <w:sz w:val="21"/>
                <w:szCs w:val="21"/>
              </w:rPr>
              <w:t>Hemixos castanonotus</w:t>
            </w:r>
          </w:p>
        </w:tc>
        <w:tc>
          <w:tcPr>
            <w:tcW w:w="0" w:type="auto"/>
            <w:vAlign w:val="center"/>
          </w:tcPr>
          <w:p w14:paraId="6053CE6F">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0A235577">
            <w:pPr>
              <w:spacing w:line="240" w:lineRule="auto"/>
              <w:ind w:firstLine="0" w:firstLineChars="0"/>
              <w:jc w:val="center"/>
              <w:rPr>
                <w:rFonts w:cs="Times New Roman"/>
                <w:kern w:val="0"/>
                <w:sz w:val="21"/>
                <w:szCs w:val="21"/>
              </w:rPr>
            </w:pPr>
            <w:r>
              <w:rPr>
                <w:rFonts w:cs="Times New Roman"/>
                <w:kern w:val="0"/>
                <w:sz w:val="21"/>
                <w:szCs w:val="21"/>
              </w:rPr>
              <w:t>—</w:t>
            </w:r>
          </w:p>
        </w:tc>
      </w:tr>
      <w:tr w14:paraId="453B8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2A94509">
            <w:pPr>
              <w:spacing w:line="240" w:lineRule="auto"/>
              <w:ind w:firstLine="0" w:firstLineChars="0"/>
              <w:jc w:val="center"/>
              <w:rPr>
                <w:rFonts w:cs="Times New Roman"/>
                <w:sz w:val="21"/>
                <w:szCs w:val="21"/>
              </w:rPr>
            </w:pPr>
            <w:r>
              <w:rPr>
                <w:rFonts w:cs="Times New Roman"/>
                <w:sz w:val="21"/>
                <w:szCs w:val="21"/>
              </w:rPr>
              <w:t>46</w:t>
            </w:r>
          </w:p>
        </w:tc>
        <w:tc>
          <w:tcPr>
            <w:tcW w:w="0" w:type="auto"/>
            <w:vAlign w:val="center"/>
          </w:tcPr>
          <w:p w14:paraId="62CA6F57">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0B1E4D3A">
            <w:pPr>
              <w:spacing w:line="240" w:lineRule="auto"/>
              <w:ind w:firstLine="0" w:firstLineChars="0"/>
              <w:jc w:val="center"/>
              <w:rPr>
                <w:rFonts w:cs="Times New Roman"/>
                <w:sz w:val="21"/>
                <w:szCs w:val="21"/>
              </w:rPr>
            </w:pPr>
            <w:r>
              <w:rPr>
                <w:rFonts w:cs="Times New Roman"/>
                <w:sz w:val="21"/>
                <w:szCs w:val="21"/>
              </w:rPr>
              <w:t>鹎科</w:t>
            </w:r>
          </w:p>
        </w:tc>
        <w:tc>
          <w:tcPr>
            <w:tcW w:w="0" w:type="auto"/>
            <w:vAlign w:val="center"/>
          </w:tcPr>
          <w:p w14:paraId="24855DC6">
            <w:pPr>
              <w:spacing w:line="240" w:lineRule="auto"/>
              <w:ind w:firstLine="0" w:firstLineChars="0"/>
              <w:jc w:val="center"/>
              <w:rPr>
                <w:rFonts w:cs="Times New Roman"/>
                <w:sz w:val="21"/>
                <w:szCs w:val="21"/>
              </w:rPr>
            </w:pPr>
            <w:r>
              <w:rPr>
                <w:rFonts w:cs="Times New Roman"/>
                <w:sz w:val="21"/>
                <w:szCs w:val="21"/>
              </w:rPr>
              <w:t>黑短脚鹎</w:t>
            </w:r>
          </w:p>
        </w:tc>
        <w:tc>
          <w:tcPr>
            <w:tcW w:w="0" w:type="auto"/>
            <w:vAlign w:val="center"/>
          </w:tcPr>
          <w:p w14:paraId="2B6B3525">
            <w:pPr>
              <w:spacing w:line="240" w:lineRule="auto"/>
              <w:ind w:firstLine="0" w:firstLineChars="0"/>
              <w:jc w:val="center"/>
              <w:rPr>
                <w:rFonts w:cs="Times New Roman"/>
                <w:i/>
                <w:iCs/>
                <w:kern w:val="0"/>
                <w:sz w:val="21"/>
                <w:szCs w:val="21"/>
              </w:rPr>
            </w:pPr>
            <w:r>
              <w:rPr>
                <w:rFonts w:cs="Times New Roman"/>
                <w:i/>
                <w:iCs/>
                <w:kern w:val="0"/>
                <w:sz w:val="21"/>
                <w:szCs w:val="21"/>
              </w:rPr>
              <w:t>Hypsipetes leucocephalus</w:t>
            </w:r>
          </w:p>
        </w:tc>
        <w:tc>
          <w:tcPr>
            <w:tcW w:w="0" w:type="auto"/>
            <w:vAlign w:val="center"/>
          </w:tcPr>
          <w:p w14:paraId="4AE29978">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72265FF1">
            <w:pPr>
              <w:spacing w:line="240" w:lineRule="auto"/>
              <w:ind w:firstLine="0" w:firstLineChars="0"/>
              <w:jc w:val="center"/>
              <w:rPr>
                <w:rFonts w:cs="Times New Roman"/>
                <w:kern w:val="0"/>
                <w:sz w:val="21"/>
                <w:szCs w:val="21"/>
              </w:rPr>
            </w:pPr>
            <w:r>
              <w:rPr>
                <w:rFonts w:cs="Times New Roman"/>
                <w:kern w:val="0"/>
                <w:sz w:val="21"/>
                <w:szCs w:val="21"/>
              </w:rPr>
              <w:t>—</w:t>
            </w:r>
          </w:p>
        </w:tc>
      </w:tr>
      <w:tr w14:paraId="5102B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7E1287C">
            <w:pPr>
              <w:spacing w:line="240" w:lineRule="auto"/>
              <w:ind w:firstLine="0" w:firstLineChars="0"/>
              <w:jc w:val="center"/>
              <w:rPr>
                <w:rFonts w:cs="Times New Roman"/>
                <w:sz w:val="21"/>
                <w:szCs w:val="21"/>
              </w:rPr>
            </w:pPr>
            <w:r>
              <w:rPr>
                <w:rFonts w:cs="Times New Roman"/>
                <w:sz w:val="21"/>
                <w:szCs w:val="21"/>
              </w:rPr>
              <w:t>47</w:t>
            </w:r>
          </w:p>
        </w:tc>
        <w:tc>
          <w:tcPr>
            <w:tcW w:w="0" w:type="auto"/>
            <w:vAlign w:val="center"/>
          </w:tcPr>
          <w:p w14:paraId="33DAEB20">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707AE870">
            <w:pPr>
              <w:spacing w:line="240" w:lineRule="auto"/>
              <w:ind w:firstLine="0" w:firstLineChars="0"/>
              <w:jc w:val="center"/>
              <w:rPr>
                <w:rFonts w:cs="Times New Roman"/>
                <w:sz w:val="21"/>
                <w:szCs w:val="21"/>
              </w:rPr>
            </w:pPr>
            <w:r>
              <w:rPr>
                <w:rFonts w:cs="Times New Roman"/>
                <w:sz w:val="21"/>
                <w:szCs w:val="21"/>
              </w:rPr>
              <w:t>燕科</w:t>
            </w:r>
          </w:p>
        </w:tc>
        <w:tc>
          <w:tcPr>
            <w:tcW w:w="0" w:type="auto"/>
            <w:vAlign w:val="center"/>
          </w:tcPr>
          <w:p w14:paraId="36340B45">
            <w:pPr>
              <w:spacing w:line="240" w:lineRule="auto"/>
              <w:ind w:firstLine="0" w:firstLineChars="0"/>
              <w:jc w:val="center"/>
              <w:rPr>
                <w:rFonts w:cs="Times New Roman"/>
                <w:sz w:val="21"/>
                <w:szCs w:val="21"/>
              </w:rPr>
            </w:pPr>
            <w:r>
              <w:rPr>
                <w:rFonts w:cs="Times New Roman"/>
                <w:sz w:val="21"/>
                <w:szCs w:val="21"/>
              </w:rPr>
              <w:t>家燕</w:t>
            </w:r>
          </w:p>
        </w:tc>
        <w:tc>
          <w:tcPr>
            <w:tcW w:w="0" w:type="auto"/>
            <w:vAlign w:val="center"/>
          </w:tcPr>
          <w:p w14:paraId="05A13634">
            <w:pPr>
              <w:spacing w:line="240" w:lineRule="auto"/>
              <w:ind w:firstLine="0" w:firstLineChars="0"/>
              <w:jc w:val="center"/>
              <w:rPr>
                <w:rFonts w:cs="Times New Roman"/>
                <w:i/>
                <w:iCs/>
                <w:kern w:val="0"/>
                <w:sz w:val="21"/>
                <w:szCs w:val="21"/>
              </w:rPr>
            </w:pPr>
            <w:r>
              <w:rPr>
                <w:rFonts w:cs="Times New Roman"/>
                <w:i/>
                <w:iCs/>
                <w:kern w:val="0"/>
                <w:sz w:val="21"/>
                <w:szCs w:val="21"/>
              </w:rPr>
              <w:t>Hirundo rustica</w:t>
            </w:r>
          </w:p>
        </w:tc>
        <w:tc>
          <w:tcPr>
            <w:tcW w:w="0" w:type="auto"/>
            <w:vAlign w:val="center"/>
          </w:tcPr>
          <w:p w14:paraId="14A91E18">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36F430D9">
            <w:pPr>
              <w:spacing w:line="240" w:lineRule="auto"/>
              <w:ind w:firstLine="0" w:firstLineChars="0"/>
              <w:jc w:val="center"/>
              <w:rPr>
                <w:rFonts w:cs="Times New Roman"/>
                <w:kern w:val="0"/>
                <w:sz w:val="21"/>
                <w:szCs w:val="21"/>
              </w:rPr>
            </w:pPr>
            <w:r>
              <w:rPr>
                <w:rFonts w:cs="Times New Roman"/>
                <w:kern w:val="0"/>
                <w:sz w:val="21"/>
                <w:szCs w:val="21"/>
              </w:rPr>
              <w:t>—</w:t>
            </w:r>
          </w:p>
        </w:tc>
      </w:tr>
      <w:tr w14:paraId="7C26A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0F96E19">
            <w:pPr>
              <w:spacing w:line="240" w:lineRule="auto"/>
              <w:ind w:firstLine="0" w:firstLineChars="0"/>
              <w:jc w:val="center"/>
              <w:rPr>
                <w:rFonts w:cs="Times New Roman"/>
                <w:sz w:val="21"/>
                <w:szCs w:val="21"/>
              </w:rPr>
            </w:pPr>
            <w:r>
              <w:rPr>
                <w:rFonts w:cs="Times New Roman"/>
                <w:sz w:val="21"/>
                <w:szCs w:val="21"/>
              </w:rPr>
              <w:t>48</w:t>
            </w:r>
          </w:p>
        </w:tc>
        <w:tc>
          <w:tcPr>
            <w:tcW w:w="0" w:type="auto"/>
            <w:vAlign w:val="center"/>
          </w:tcPr>
          <w:p w14:paraId="2C01A2EE">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55D44306">
            <w:pPr>
              <w:spacing w:line="240" w:lineRule="auto"/>
              <w:ind w:firstLine="0" w:firstLineChars="0"/>
              <w:jc w:val="center"/>
              <w:rPr>
                <w:rFonts w:cs="Times New Roman"/>
                <w:sz w:val="21"/>
                <w:szCs w:val="21"/>
              </w:rPr>
            </w:pPr>
            <w:r>
              <w:rPr>
                <w:rFonts w:cs="Times New Roman"/>
                <w:sz w:val="21"/>
                <w:szCs w:val="21"/>
              </w:rPr>
              <w:t>燕科</w:t>
            </w:r>
          </w:p>
        </w:tc>
        <w:tc>
          <w:tcPr>
            <w:tcW w:w="0" w:type="auto"/>
            <w:vAlign w:val="center"/>
          </w:tcPr>
          <w:p w14:paraId="4B1C30B8">
            <w:pPr>
              <w:spacing w:line="240" w:lineRule="auto"/>
              <w:ind w:firstLine="0" w:firstLineChars="0"/>
              <w:jc w:val="center"/>
              <w:rPr>
                <w:rFonts w:cs="Times New Roman"/>
                <w:sz w:val="21"/>
                <w:szCs w:val="21"/>
              </w:rPr>
            </w:pPr>
            <w:r>
              <w:rPr>
                <w:rFonts w:cs="Times New Roman"/>
                <w:sz w:val="21"/>
                <w:szCs w:val="21"/>
              </w:rPr>
              <w:t>金腰燕</w:t>
            </w:r>
          </w:p>
        </w:tc>
        <w:tc>
          <w:tcPr>
            <w:tcW w:w="0" w:type="auto"/>
            <w:vAlign w:val="center"/>
          </w:tcPr>
          <w:p w14:paraId="1385E022">
            <w:pPr>
              <w:spacing w:line="240" w:lineRule="auto"/>
              <w:ind w:firstLine="0" w:firstLineChars="0"/>
              <w:jc w:val="center"/>
              <w:rPr>
                <w:rFonts w:cs="Times New Roman"/>
                <w:i/>
                <w:iCs/>
                <w:kern w:val="0"/>
                <w:sz w:val="21"/>
                <w:szCs w:val="21"/>
              </w:rPr>
            </w:pPr>
            <w:r>
              <w:rPr>
                <w:rFonts w:cs="Times New Roman"/>
                <w:i/>
                <w:iCs/>
                <w:kern w:val="0"/>
                <w:sz w:val="21"/>
                <w:szCs w:val="21"/>
              </w:rPr>
              <w:t>Cecropis daurica</w:t>
            </w:r>
          </w:p>
        </w:tc>
        <w:tc>
          <w:tcPr>
            <w:tcW w:w="0" w:type="auto"/>
            <w:vAlign w:val="center"/>
          </w:tcPr>
          <w:p w14:paraId="11F4314D">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0140C3F">
            <w:pPr>
              <w:spacing w:line="240" w:lineRule="auto"/>
              <w:ind w:firstLine="0" w:firstLineChars="0"/>
              <w:jc w:val="center"/>
              <w:rPr>
                <w:rFonts w:cs="Times New Roman"/>
                <w:kern w:val="0"/>
                <w:sz w:val="21"/>
                <w:szCs w:val="21"/>
              </w:rPr>
            </w:pPr>
            <w:r>
              <w:rPr>
                <w:rFonts w:cs="Times New Roman"/>
                <w:kern w:val="0"/>
                <w:sz w:val="21"/>
                <w:szCs w:val="21"/>
              </w:rPr>
              <w:t>—</w:t>
            </w:r>
          </w:p>
        </w:tc>
      </w:tr>
      <w:tr w14:paraId="0262E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2AE958A">
            <w:pPr>
              <w:spacing w:line="240" w:lineRule="auto"/>
              <w:ind w:firstLine="0" w:firstLineChars="0"/>
              <w:jc w:val="center"/>
              <w:rPr>
                <w:rFonts w:cs="Times New Roman"/>
                <w:sz w:val="21"/>
                <w:szCs w:val="21"/>
              </w:rPr>
            </w:pPr>
            <w:r>
              <w:rPr>
                <w:rFonts w:cs="Times New Roman"/>
                <w:sz w:val="21"/>
                <w:szCs w:val="21"/>
              </w:rPr>
              <w:t>49</w:t>
            </w:r>
          </w:p>
        </w:tc>
        <w:tc>
          <w:tcPr>
            <w:tcW w:w="0" w:type="auto"/>
            <w:vAlign w:val="center"/>
          </w:tcPr>
          <w:p w14:paraId="2EABCCCA">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0FDC2C64">
            <w:pPr>
              <w:spacing w:line="240" w:lineRule="auto"/>
              <w:ind w:firstLine="0" w:firstLineChars="0"/>
              <w:jc w:val="center"/>
              <w:rPr>
                <w:rFonts w:cs="Times New Roman"/>
                <w:sz w:val="21"/>
                <w:szCs w:val="21"/>
              </w:rPr>
            </w:pPr>
            <w:r>
              <w:rPr>
                <w:rFonts w:cs="Times New Roman"/>
                <w:sz w:val="21"/>
                <w:szCs w:val="21"/>
              </w:rPr>
              <w:t>树莺科</w:t>
            </w:r>
          </w:p>
        </w:tc>
        <w:tc>
          <w:tcPr>
            <w:tcW w:w="0" w:type="auto"/>
            <w:vAlign w:val="center"/>
          </w:tcPr>
          <w:p w14:paraId="0C9FA4FD">
            <w:pPr>
              <w:spacing w:line="240" w:lineRule="auto"/>
              <w:ind w:firstLine="0" w:firstLineChars="0"/>
              <w:jc w:val="center"/>
              <w:rPr>
                <w:rFonts w:cs="Times New Roman"/>
                <w:sz w:val="21"/>
                <w:szCs w:val="21"/>
              </w:rPr>
            </w:pPr>
            <w:r>
              <w:rPr>
                <w:rFonts w:cs="Times New Roman"/>
                <w:sz w:val="21"/>
                <w:szCs w:val="21"/>
              </w:rPr>
              <w:t>棕脸鹏莺</w:t>
            </w:r>
          </w:p>
        </w:tc>
        <w:tc>
          <w:tcPr>
            <w:tcW w:w="0" w:type="auto"/>
            <w:vAlign w:val="center"/>
          </w:tcPr>
          <w:p w14:paraId="63893B46">
            <w:pPr>
              <w:spacing w:line="240" w:lineRule="auto"/>
              <w:ind w:firstLine="0" w:firstLineChars="0"/>
              <w:jc w:val="center"/>
              <w:rPr>
                <w:rFonts w:cs="Times New Roman"/>
                <w:i/>
                <w:iCs/>
                <w:kern w:val="0"/>
                <w:sz w:val="21"/>
                <w:szCs w:val="21"/>
              </w:rPr>
            </w:pPr>
            <w:r>
              <w:rPr>
                <w:rFonts w:cs="Times New Roman"/>
                <w:i/>
                <w:iCs/>
                <w:kern w:val="0"/>
                <w:sz w:val="21"/>
                <w:szCs w:val="21"/>
              </w:rPr>
              <w:t>Abroscopus albogularis</w:t>
            </w:r>
          </w:p>
        </w:tc>
        <w:tc>
          <w:tcPr>
            <w:tcW w:w="0" w:type="auto"/>
            <w:vAlign w:val="center"/>
          </w:tcPr>
          <w:p w14:paraId="22B3E391">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A2E042B">
            <w:pPr>
              <w:spacing w:line="240" w:lineRule="auto"/>
              <w:ind w:firstLine="0" w:firstLineChars="0"/>
              <w:jc w:val="center"/>
              <w:rPr>
                <w:rFonts w:cs="Times New Roman"/>
                <w:kern w:val="0"/>
                <w:sz w:val="21"/>
                <w:szCs w:val="21"/>
              </w:rPr>
            </w:pPr>
            <w:r>
              <w:rPr>
                <w:rFonts w:cs="Times New Roman"/>
                <w:kern w:val="0"/>
                <w:sz w:val="21"/>
                <w:szCs w:val="21"/>
              </w:rPr>
              <w:t>—</w:t>
            </w:r>
          </w:p>
        </w:tc>
      </w:tr>
      <w:tr w14:paraId="7B9A4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703823B">
            <w:pPr>
              <w:spacing w:line="240" w:lineRule="auto"/>
              <w:ind w:firstLine="0" w:firstLineChars="0"/>
              <w:jc w:val="center"/>
              <w:rPr>
                <w:rFonts w:cs="Times New Roman"/>
                <w:sz w:val="21"/>
                <w:szCs w:val="21"/>
              </w:rPr>
            </w:pPr>
            <w:r>
              <w:rPr>
                <w:rFonts w:cs="Times New Roman"/>
                <w:sz w:val="21"/>
                <w:szCs w:val="21"/>
              </w:rPr>
              <w:t>50</w:t>
            </w:r>
          </w:p>
        </w:tc>
        <w:tc>
          <w:tcPr>
            <w:tcW w:w="0" w:type="auto"/>
            <w:vAlign w:val="center"/>
          </w:tcPr>
          <w:p w14:paraId="4CA7E14F">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5F7B764E">
            <w:pPr>
              <w:spacing w:line="240" w:lineRule="auto"/>
              <w:ind w:firstLine="0" w:firstLineChars="0"/>
              <w:jc w:val="center"/>
              <w:rPr>
                <w:rFonts w:cs="Times New Roman"/>
                <w:sz w:val="21"/>
                <w:szCs w:val="21"/>
              </w:rPr>
            </w:pPr>
            <w:r>
              <w:rPr>
                <w:rFonts w:cs="Times New Roman"/>
                <w:sz w:val="21"/>
                <w:szCs w:val="21"/>
              </w:rPr>
              <w:t>鹃</w:t>
            </w:r>
            <w:r>
              <w:rPr>
                <w:rFonts w:hint="eastAsia" w:cs="Times New Roman"/>
                <w:sz w:val="21"/>
                <w:szCs w:val="21"/>
              </w:rPr>
              <w:t>鸭</w:t>
            </w:r>
            <w:r>
              <w:rPr>
                <w:rFonts w:cs="Times New Roman"/>
                <w:sz w:val="21"/>
                <w:szCs w:val="21"/>
              </w:rPr>
              <w:t>科</w:t>
            </w:r>
          </w:p>
        </w:tc>
        <w:tc>
          <w:tcPr>
            <w:tcW w:w="0" w:type="auto"/>
            <w:vAlign w:val="center"/>
          </w:tcPr>
          <w:p w14:paraId="1E7669AD">
            <w:pPr>
              <w:spacing w:line="240" w:lineRule="auto"/>
              <w:ind w:firstLine="0" w:firstLineChars="0"/>
              <w:jc w:val="center"/>
              <w:rPr>
                <w:rFonts w:cs="Times New Roman"/>
                <w:sz w:val="21"/>
                <w:szCs w:val="21"/>
              </w:rPr>
            </w:pPr>
            <w:r>
              <w:rPr>
                <w:rFonts w:cs="Times New Roman"/>
                <w:sz w:val="21"/>
                <w:szCs w:val="21"/>
              </w:rPr>
              <w:t>小灰山椒鸟</w:t>
            </w:r>
          </w:p>
        </w:tc>
        <w:tc>
          <w:tcPr>
            <w:tcW w:w="0" w:type="auto"/>
            <w:vAlign w:val="center"/>
          </w:tcPr>
          <w:p w14:paraId="3FC0D56F">
            <w:pPr>
              <w:spacing w:line="240" w:lineRule="auto"/>
              <w:ind w:firstLine="0" w:firstLineChars="0"/>
              <w:jc w:val="center"/>
              <w:rPr>
                <w:rFonts w:cs="Times New Roman"/>
                <w:i/>
                <w:iCs/>
                <w:kern w:val="0"/>
                <w:sz w:val="21"/>
                <w:szCs w:val="21"/>
              </w:rPr>
            </w:pPr>
            <w:r>
              <w:rPr>
                <w:rFonts w:cs="Times New Roman"/>
                <w:i/>
                <w:iCs/>
                <w:kern w:val="0"/>
                <w:sz w:val="21"/>
                <w:szCs w:val="21"/>
              </w:rPr>
              <w:t>Horornis fortipes</w:t>
            </w:r>
          </w:p>
        </w:tc>
        <w:tc>
          <w:tcPr>
            <w:tcW w:w="0" w:type="auto"/>
            <w:vAlign w:val="center"/>
          </w:tcPr>
          <w:p w14:paraId="63C8D704">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2AEDB089">
            <w:pPr>
              <w:spacing w:line="240" w:lineRule="auto"/>
              <w:ind w:firstLine="0" w:firstLineChars="0"/>
              <w:jc w:val="center"/>
              <w:rPr>
                <w:rFonts w:cs="Times New Roman"/>
                <w:kern w:val="0"/>
                <w:sz w:val="21"/>
                <w:szCs w:val="21"/>
              </w:rPr>
            </w:pPr>
            <w:r>
              <w:rPr>
                <w:rFonts w:cs="Times New Roman"/>
                <w:kern w:val="0"/>
                <w:sz w:val="21"/>
                <w:szCs w:val="21"/>
              </w:rPr>
              <w:t>—</w:t>
            </w:r>
          </w:p>
        </w:tc>
      </w:tr>
      <w:tr w14:paraId="1C6A5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90EACCB">
            <w:pPr>
              <w:spacing w:line="240" w:lineRule="auto"/>
              <w:ind w:firstLine="0" w:firstLineChars="0"/>
              <w:jc w:val="center"/>
              <w:rPr>
                <w:rFonts w:cs="Times New Roman"/>
                <w:sz w:val="21"/>
                <w:szCs w:val="21"/>
              </w:rPr>
            </w:pPr>
            <w:r>
              <w:rPr>
                <w:rFonts w:cs="Times New Roman"/>
                <w:sz w:val="21"/>
                <w:szCs w:val="21"/>
              </w:rPr>
              <w:t>51</w:t>
            </w:r>
          </w:p>
        </w:tc>
        <w:tc>
          <w:tcPr>
            <w:tcW w:w="0" w:type="auto"/>
            <w:vAlign w:val="center"/>
          </w:tcPr>
          <w:p w14:paraId="7307C7E0">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0C8BDE4E">
            <w:pPr>
              <w:spacing w:line="240" w:lineRule="auto"/>
              <w:ind w:firstLine="0" w:firstLineChars="0"/>
              <w:jc w:val="center"/>
              <w:rPr>
                <w:rFonts w:cs="Times New Roman"/>
                <w:sz w:val="21"/>
                <w:szCs w:val="21"/>
              </w:rPr>
            </w:pPr>
            <w:r>
              <w:rPr>
                <w:rFonts w:cs="Times New Roman"/>
                <w:sz w:val="21"/>
                <w:szCs w:val="21"/>
              </w:rPr>
              <w:t>长尾山雀科</w:t>
            </w:r>
          </w:p>
        </w:tc>
        <w:tc>
          <w:tcPr>
            <w:tcW w:w="0" w:type="auto"/>
            <w:vAlign w:val="center"/>
          </w:tcPr>
          <w:p w14:paraId="6CDC089C">
            <w:pPr>
              <w:spacing w:line="240" w:lineRule="auto"/>
              <w:ind w:firstLine="0" w:firstLineChars="0"/>
              <w:jc w:val="center"/>
              <w:rPr>
                <w:rFonts w:cs="Times New Roman"/>
                <w:sz w:val="21"/>
                <w:szCs w:val="21"/>
              </w:rPr>
            </w:pPr>
            <w:r>
              <w:rPr>
                <w:rFonts w:cs="Times New Roman"/>
                <w:sz w:val="21"/>
                <w:szCs w:val="21"/>
              </w:rPr>
              <w:t>银喉长尾山雀</w:t>
            </w:r>
          </w:p>
        </w:tc>
        <w:tc>
          <w:tcPr>
            <w:tcW w:w="0" w:type="auto"/>
            <w:vAlign w:val="center"/>
          </w:tcPr>
          <w:p w14:paraId="5043444E">
            <w:pPr>
              <w:spacing w:line="240" w:lineRule="auto"/>
              <w:ind w:firstLine="0" w:firstLineChars="0"/>
              <w:jc w:val="center"/>
              <w:rPr>
                <w:rFonts w:cs="Times New Roman"/>
                <w:i/>
                <w:iCs/>
                <w:kern w:val="0"/>
                <w:sz w:val="21"/>
                <w:szCs w:val="21"/>
              </w:rPr>
            </w:pPr>
            <w:r>
              <w:rPr>
                <w:rFonts w:cs="Times New Roman"/>
                <w:i/>
                <w:iCs/>
                <w:kern w:val="0"/>
                <w:sz w:val="21"/>
                <w:szCs w:val="21"/>
              </w:rPr>
              <w:t>Aegithalos glaucogularis</w:t>
            </w:r>
          </w:p>
        </w:tc>
        <w:tc>
          <w:tcPr>
            <w:tcW w:w="0" w:type="auto"/>
            <w:vAlign w:val="center"/>
          </w:tcPr>
          <w:p w14:paraId="3FA03316">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7FD4A928">
            <w:pPr>
              <w:spacing w:line="240" w:lineRule="auto"/>
              <w:ind w:firstLine="0" w:firstLineChars="0"/>
              <w:jc w:val="center"/>
              <w:rPr>
                <w:rFonts w:cs="Times New Roman"/>
                <w:kern w:val="0"/>
                <w:sz w:val="21"/>
                <w:szCs w:val="21"/>
              </w:rPr>
            </w:pPr>
            <w:r>
              <w:rPr>
                <w:rFonts w:cs="Times New Roman"/>
                <w:kern w:val="0"/>
                <w:sz w:val="21"/>
                <w:szCs w:val="21"/>
              </w:rPr>
              <w:t>—</w:t>
            </w:r>
          </w:p>
        </w:tc>
      </w:tr>
      <w:tr w14:paraId="4779B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7DA3C8C">
            <w:pPr>
              <w:spacing w:line="240" w:lineRule="auto"/>
              <w:ind w:firstLine="0" w:firstLineChars="0"/>
              <w:jc w:val="center"/>
              <w:rPr>
                <w:rFonts w:cs="Times New Roman"/>
                <w:sz w:val="21"/>
                <w:szCs w:val="21"/>
              </w:rPr>
            </w:pPr>
            <w:r>
              <w:rPr>
                <w:rFonts w:cs="Times New Roman"/>
                <w:sz w:val="21"/>
                <w:szCs w:val="21"/>
              </w:rPr>
              <w:t>52</w:t>
            </w:r>
          </w:p>
        </w:tc>
        <w:tc>
          <w:tcPr>
            <w:tcW w:w="0" w:type="auto"/>
            <w:vAlign w:val="center"/>
          </w:tcPr>
          <w:p w14:paraId="4A5189B2">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351C4C67">
            <w:pPr>
              <w:spacing w:line="240" w:lineRule="auto"/>
              <w:ind w:firstLine="0" w:firstLineChars="0"/>
              <w:jc w:val="center"/>
              <w:rPr>
                <w:rFonts w:cs="Times New Roman"/>
                <w:sz w:val="21"/>
                <w:szCs w:val="21"/>
              </w:rPr>
            </w:pPr>
            <w:r>
              <w:rPr>
                <w:rFonts w:cs="Times New Roman"/>
                <w:sz w:val="21"/>
                <w:szCs w:val="21"/>
              </w:rPr>
              <w:t>长尾山雀科</w:t>
            </w:r>
          </w:p>
        </w:tc>
        <w:tc>
          <w:tcPr>
            <w:tcW w:w="0" w:type="auto"/>
            <w:vAlign w:val="center"/>
          </w:tcPr>
          <w:p w14:paraId="19ABE3FC">
            <w:pPr>
              <w:spacing w:line="240" w:lineRule="auto"/>
              <w:ind w:firstLine="0" w:firstLineChars="0"/>
              <w:jc w:val="center"/>
              <w:rPr>
                <w:rFonts w:cs="Times New Roman"/>
                <w:sz w:val="21"/>
                <w:szCs w:val="21"/>
              </w:rPr>
            </w:pPr>
            <w:r>
              <w:rPr>
                <w:rFonts w:cs="Times New Roman"/>
                <w:sz w:val="21"/>
                <w:szCs w:val="21"/>
              </w:rPr>
              <w:t>红头长尾山雀</w:t>
            </w:r>
          </w:p>
        </w:tc>
        <w:tc>
          <w:tcPr>
            <w:tcW w:w="0" w:type="auto"/>
            <w:vAlign w:val="center"/>
          </w:tcPr>
          <w:p w14:paraId="725608D8">
            <w:pPr>
              <w:spacing w:line="240" w:lineRule="auto"/>
              <w:ind w:firstLine="0" w:firstLineChars="0"/>
              <w:jc w:val="center"/>
              <w:rPr>
                <w:rFonts w:cs="Times New Roman"/>
                <w:i/>
                <w:iCs/>
                <w:kern w:val="0"/>
                <w:sz w:val="21"/>
                <w:szCs w:val="21"/>
              </w:rPr>
            </w:pPr>
            <w:r>
              <w:rPr>
                <w:rFonts w:cs="Times New Roman"/>
                <w:i/>
                <w:iCs/>
                <w:kern w:val="0"/>
                <w:sz w:val="21"/>
                <w:szCs w:val="21"/>
              </w:rPr>
              <w:t>Aegithalos concinnus</w:t>
            </w:r>
          </w:p>
        </w:tc>
        <w:tc>
          <w:tcPr>
            <w:tcW w:w="0" w:type="auto"/>
            <w:vAlign w:val="center"/>
          </w:tcPr>
          <w:p w14:paraId="699E3F8D">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76F8F270">
            <w:pPr>
              <w:spacing w:line="240" w:lineRule="auto"/>
              <w:ind w:firstLine="0" w:firstLineChars="0"/>
              <w:jc w:val="center"/>
              <w:rPr>
                <w:rFonts w:cs="Times New Roman"/>
                <w:kern w:val="0"/>
                <w:sz w:val="21"/>
                <w:szCs w:val="21"/>
              </w:rPr>
            </w:pPr>
            <w:r>
              <w:rPr>
                <w:rFonts w:cs="Times New Roman"/>
                <w:kern w:val="0"/>
                <w:sz w:val="21"/>
                <w:szCs w:val="21"/>
              </w:rPr>
              <w:t>—</w:t>
            </w:r>
          </w:p>
        </w:tc>
      </w:tr>
      <w:tr w14:paraId="5FDA9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3ED39D9">
            <w:pPr>
              <w:spacing w:line="240" w:lineRule="auto"/>
              <w:ind w:firstLine="0" w:firstLineChars="0"/>
              <w:jc w:val="center"/>
              <w:rPr>
                <w:rFonts w:cs="Times New Roman"/>
                <w:sz w:val="21"/>
                <w:szCs w:val="21"/>
              </w:rPr>
            </w:pPr>
            <w:r>
              <w:rPr>
                <w:rFonts w:cs="Times New Roman"/>
                <w:sz w:val="21"/>
                <w:szCs w:val="21"/>
              </w:rPr>
              <w:t>53</w:t>
            </w:r>
          </w:p>
        </w:tc>
        <w:tc>
          <w:tcPr>
            <w:tcW w:w="0" w:type="auto"/>
            <w:vAlign w:val="center"/>
          </w:tcPr>
          <w:p w14:paraId="5ED108CE">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144BB1E9">
            <w:pPr>
              <w:spacing w:line="240" w:lineRule="auto"/>
              <w:ind w:firstLine="0" w:firstLineChars="0"/>
              <w:jc w:val="center"/>
              <w:rPr>
                <w:rFonts w:cs="Times New Roman"/>
                <w:sz w:val="21"/>
                <w:szCs w:val="21"/>
              </w:rPr>
            </w:pPr>
            <w:r>
              <w:rPr>
                <w:rFonts w:cs="Times New Roman"/>
                <w:sz w:val="21"/>
                <w:szCs w:val="21"/>
              </w:rPr>
              <w:t>柳莺科</w:t>
            </w:r>
          </w:p>
        </w:tc>
        <w:tc>
          <w:tcPr>
            <w:tcW w:w="0" w:type="auto"/>
            <w:vAlign w:val="center"/>
          </w:tcPr>
          <w:p w14:paraId="36F500C7">
            <w:pPr>
              <w:spacing w:line="240" w:lineRule="auto"/>
              <w:ind w:firstLine="0" w:firstLineChars="0"/>
              <w:jc w:val="center"/>
              <w:rPr>
                <w:rFonts w:cs="Times New Roman"/>
                <w:sz w:val="21"/>
                <w:szCs w:val="21"/>
              </w:rPr>
            </w:pPr>
            <w:r>
              <w:rPr>
                <w:rFonts w:cs="Times New Roman"/>
                <w:sz w:val="21"/>
                <w:szCs w:val="21"/>
              </w:rPr>
              <w:t>褐柳莺</w:t>
            </w:r>
          </w:p>
        </w:tc>
        <w:tc>
          <w:tcPr>
            <w:tcW w:w="0" w:type="auto"/>
            <w:vAlign w:val="center"/>
          </w:tcPr>
          <w:p w14:paraId="702B908E">
            <w:pPr>
              <w:spacing w:line="240" w:lineRule="auto"/>
              <w:ind w:firstLine="0" w:firstLineChars="0"/>
              <w:jc w:val="center"/>
              <w:rPr>
                <w:rFonts w:cs="Times New Roman"/>
                <w:i/>
                <w:iCs/>
                <w:kern w:val="0"/>
                <w:sz w:val="21"/>
                <w:szCs w:val="21"/>
              </w:rPr>
            </w:pPr>
            <w:r>
              <w:rPr>
                <w:rFonts w:cs="Times New Roman"/>
                <w:i/>
                <w:iCs/>
                <w:kern w:val="0"/>
                <w:sz w:val="21"/>
                <w:szCs w:val="21"/>
              </w:rPr>
              <w:t>Phylloscopus fuscatus</w:t>
            </w:r>
          </w:p>
        </w:tc>
        <w:tc>
          <w:tcPr>
            <w:tcW w:w="0" w:type="auto"/>
            <w:vAlign w:val="center"/>
          </w:tcPr>
          <w:p w14:paraId="5255959D">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385995F5">
            <w:pPr>
              <w:spacing w:line="240" w:lineRule="auto"/>
              <w:ind w:firstLine="0" w:firstLineChars="0"/>
              <w:jc w:val="center"/>
              <w:rPr>
                <w:rFonts w:cs="Times New Roman"/>
                <w:kern w:val="0"/>
                <w:sz w:val="21"/>
                <w:szCs w:val="21"/>
              </w:rPr>
            </w:pPr>
            <w:r>
              <w:rPr>
                <w:rFonts w:cs="Times New Roman"/>
                <w:kern w:val="0"/>
                <w:sz w:val="21"/>
                <w:szCs w:val="21"/>
              </w:rPr>
              <w:t>—</w:t>
            </w:r>
          </w:p>
        </w:tc>
      </w:tr>
      <w:tr w14:paraId="3DA9C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0D4C072">
            <w:pPr>
              <w:spacing w:line="240" w:lineRule="auto"/>
              <w:ind w:firstLine="0" w:firstLineChars="0"/>
              <w:jc w:val="center"/>
              <w:rPr>
                <w:rFonts w:cs="Times New Roman"/>
                <w:sz w:val="21"/>
                <w:szCs w:val="21"/>
              </w:rPr>
            </w:pPr>
            <w:r>
              <w:rPr>
                <w:rFonts w:cs="Times New Roman"/>
                <w:sz w:val="21"/>
                <w:szCs w:val="21"/>
              </w:rPr>
              <w:t>54</w:t>
            </w:r>
          </w:p>
        </w:tc>
        <w:tc>
          <w:tcPr>
            <w:tcW w:w="0" w:type="auto"/>
            <w:vAlign w:val="center"/>
          </w:tcPr>
          <w:p w14:paraId="5CE7BB51">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4109ED77">
            <w:pPr>
              <w:spacing w:line="240" w:lineRule="auto"/>
              <w:ind w:firstLine="0" w:firstLineChars="0"/>
              <w:jc w:val="center"/>
              <w:rPr>
                <w:rFonts w:cs="Times New Roman"/>
                <w:sz w:val="21"/>
                <w:szCs w:val="21"/>
              </w:rPr>
            </w:pPr>
            <w:r>
              <w:rPr>
                <w:rFonts w:cs="Times New Roman"/>
                <w:sz w:val="21"/>
                <w:szCs w:val="21"/>
              </w:rPr>
              <w:t>鹛科</w:t>
            </w:r>
          </w:p>
        </w:tc>
        <w:tc>
          <w:tcPr>
            <w:tcW w:w="0" w:type="auto"/>
            <w:vAlign w:val="center"/>
          </w:tcPr>
          <w:p w14:paraId="34E7BC4F">
            <w:pPr>
              <w:spacing w:line="240" w:lineRule="auto"/>
              <w:ind w:firstLine="0" w:firstLineChars="0"/>
              <w:jc w:val="center"/>
              <w:rPr>
                <w:rFonts w:cs="Times New Roman"/>
                <w:sz w:val="21"/>
                <w:szCs w:val="21"/>
              </w:rPr>
            </w:pPr>
            <w:r>
              <w:rPr>
                <w:rFonts w:cs="Times New Roman"/>
                <w:sz w:val="21"/>
                <w:szCs w:val="21"/>
              </w:rPr>
              <w:t>棕颈钩嘴鹛</w:t>
            </w:r>
          </w:p>
        </w:tc>
        <w:tc>
          <w:tcPr>
            <w:tcW w:w="0" w:type="auto"/>
            <w:vAlign w:val="center"/>
          </w:tcPr>
          <w:p w14:paraId="392FE084">
            <w:pPr>
              <w:spacing w:line="240" w:lineRule="auto"/>
              <w:ind w:firstLine="0" w:firstLineChars="0"/>
              <w:jc w:val="center"/>
              <w:rPr>
                <w:rFonts w:cs="Times New Roman"/>
                <w:i/>
                <w:iCs/>
                <w:kern w:val="0"/>
                <w:sz w:val="21"/>
                <w:szCs w:val="21"/>
              </w:rPr>
            </w:pPr>
            <w:r>
              <w:rPr>
                <w:rFonts w:cs="Times New Roman"/>
                <w:i/>
                <w:iCs/>
                <w:kern w:val="0"/>
                <w:sz w:val="21"/>
                <w:szCs w:val="21"/>
              </w:rPr>
              <w:t>Pomatorhinus ruficollis</w:t>
            </w:r>
          </w:p>
        </w:tc>
        <w:tc>
          <w:tcPr>
            <w:tcW w:w="0" w:type="auto"/>
            <w:vAlign w:val="center"/>
          </w:tcPr>
          <w:p w14:paraId="7CC4FC2B">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2C0B041E">
            <w:pPr>
              <w:spacing w:line="240" w:lineRule="auto"/>
              <w:ind w:firstLine="0" w:firstLineChars="0"/>
              <w:jc w:val="center"/>
              <w:rPr>
                <w:rFonts w:cs="Times New Roman"/>
                <w:kern w:val="0"/>
                <w:sz w:val="21"/>
                <w:szCs w:val="21"/>
              </w:rPr>
            </w:pPr>
            <w:r>
              <w:rPr>
                <w:rFonts w:cs="Times New Roman"/>
                <w:kern w:val="0"/>
                <w:sz w:val="21"/>
                <w:szCs w:val="21"/>
              </w:rPr>
              <w:t>—</w:t>
            </w:r>
          </w:p>
        </w:tc>
      </w:tr>
      <w:tr w14:paraId="53FE8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6653D3B">
            <w:pPr>
              <w:spacing w:line="240" w:lineRule="auto"/>
              <w:ind w:firstLine="0" w:firstLineChars="0"/>
              <w:jc w:val="center"/>
              <w:rPr>
                <w:rFonts w:cs="Times New Roman"/>
                <w:sz w:val="21"/>
                <w:szCs w:val="21"/>
              </w:rPr>
            </w:pPr>
            <w:r>
              <w:rPr>
                <w:rFonts w:cs="Times New Roman"/>
                <w:sz w:val="21"/>
                <w:szCs w:val="21"/>
              </w:rPr>
              <w:t>55</w:t>
            </w:r>
          </w:p>
        </w:tc>
        <w:tc>
          <w:tcPr>
            <w:tcW w:w="0" w:type="auto"/>
            <w:vAlign w:val="center"/>
          </w:tcPr>
          <w:p w14:paraId="64EAC3A4">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1D606829">
            <w:pPr>
              <w:spacing w:line="240" w:lineRule="auto"/>
              <w:ind w:firstLine="0" w:firstLineChars="0"/>
              <w:jc w:val="center"/>
              <w:rPr>
                <w:rFonts w:cs="Times New Roman"/>
                <w:sz w:val="21"/>
                <w:szCs w:val="21"/>
              </w:rPr>
            </w:pPr>
            <w:r>
              <w:rPr>
                <w:rFonts w:cs="Times New Roman"/>
                <w:sz w:val="21"/>
                <w:szCs w:val="21"/>
              </w:rPr>
              <w:t>噪鹃科</w:t>
            </w:r>
          </w:p>
        </w:tc>
        <w:tc>
          <w:tcPr>
            <w:tcW w:w="0" w:type="auto"/>
            <w:vAlign w:val="center"/>
          </w:tcPr>
          <w:p w14:paraId="1688B0DB">
            <w:pPr>
              <w:spacing w:line="240" w:lineRule="auto"/>
              <w:ind w:firstLine="0" w:firstLineChars="0"/>
              <w:jc w:val="center"/>
              <w:rPr>
                <w:rFonts w:cs="Times New Roman"/>
                <w:sz w:val="21"/>
                <w:szCs w:val="21"/>
              </w:rPr>
            </w:pPr>
            <w:r>
              <w:rPr>
                <w:rFonts w:cs="Times New Roman"/>
                <w:sz w:val="21"/>
                <w:szCs w:val="21"/>
              </w:rPr>
              <w:t>画眉</w:t>
            </w:r>
          </w:p>
        </w:tc>
        <w:tc>
          <w:tcPr>
            <w:tcW w:w="0" w:type="auto"/>
            <w:vAlign w:val="center"/>
          </w:tcPr>
          <w:p w14:paraId="14F591BC">
            <w:pPr>
              <w:spacing w:line="240" w:lineRule="auto"/>
              <w:ind w:firstLine="0" w:firstLineChars="0"/>
              <w:jc w:val="center"/>
              <w:rPr>
                <w:rFonts w:cs="Times New Roman"/>
                <w:i/>
                <w:iCs/>
                <w:kern w:val="0"/>
                <w:sz w:val="21"/>
                <w:szCs w:val="21"/>
              </w:rPr>
            </w:pPr>
            <w:r>
              <w:rPr>
                <w:rFonts w:cs="Times New Roman"/>
                <w:i/>
                <w:iCs/>
                <w:kern w:val="0"/>
                <w:sz w:val="21"/>
                <w:szCs w:val="21"/>
              </w:rPr>
              <w:t>Garrulax canorus</w:t>
            </w:r>
          </w:p>
        </w:tc>
        <w:tc>
          <w:tcPr>
            <w:tcW w:w="0" w:type="auto"/>
            <w:vAlign w:val="center"/>
          </w:tcPr>
          <w:p w14:paraId="2BE49A69">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7C048210">
            <w:pPr>
              <w:autoSpaceDE w:val="0"/>
              <w:autoSpaceDN w:val="0"/>
              <w:adjustRightInd w:val="0"/>
              <w:spacing w:line="240" w:lineRule="auto"/>
              <w:ind w:firstLine="0" w:firstLineChars="0"/>
              <w:jc w:val="center"/>
              <w:rPr>
                <w:rFonts w:cs="Times New Roman"/>
                <w:kern w:val="0"/>
                <w:sz w:val="21"/>
                <w:szCs w:val="21"/>
              </w:rPr>
            </w:pPr>
            <w:r>
              <w:rPr>
                <w:rFonts w:cs="Times New Roman"/>
                <w:kern w:val="0"/>
                <w:sz w:val="21"/>
                <w:szCs w:val="21"/>
              </w:rPr>
              <w:t>二级、省重点</w:t>
            </w:r>
          </w:p>
        </w:tc>
      </w:tr>
      <w:tr w14:paraId="1827A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711B072">
            <w:pPr>
              <w:spacing w:line="240" w:lineRule="auto"/>
              <w:ind w:firstLine="0" w:firstLineChars="0"/>
              <w:jc w:val="center"/>
              <w:rPr>
                <w:rFonts w:cs="Times New Roman"/>
                <w:sz w:val="21"/>
                <w:szCs w:val="21"/>
              </w:rPr>
            </w:pPr>
            <w:r>
              <w:rPr>
                <w:rFonts w:cs="Times New Roman"/>
                <w:sz w:val="21"/>
                <w:szCs w:val="21"/>
              </w:rPr>
              <w:t>56</w:t>
            </w:r>
          </w:p>
        </w:tc>
        <w:tc>
          <w:tcPr>
            <w:tcW w:w="0" w:type="auto"/>
            <w:vAlign w:val="center"/>
          </w:tcPr>
          <w:p w14:paraId="2CAAE360">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32E1AB2C">
            <w:pPr>
              <w:spacing w:line="240" w:lineRule="auto"/>
              <w:ind w:firstLine="0" w:firstLineChars="0"/>
              <w:jc w:val="center"/>
              <w:rPr>
                <w:rFonts w:cs="Times New Roman"/>
                <w:sz w:val="21"/>
                <w:szCs w:val="21"/>
              </w:rPr>
            </w:pPr>
            <w:r>
              <w:rPr>
                <w:rFonts w:cs="Times New Roman"/>
                <w:sz w:val="21"/>
                <w:szCs w:val="21"/>
              </w:rPr>
              <w:t>噪鹃科</w:t>
            </w:r>
          </w:p>
        </w:tc>
        <w:tc>
          <w:tcPr>
            <w:tcW w:w="0" w:type="auto"/>
            <w:vAlign w:val="center"/>
          </w:tcPr>
          <w:p w14:paraId="167093E6">
            <w:pPr>
              <w:spacing w:line="240" w:lineRule="auto"/>
              <w:ind w:firstLine="0" w:firstLineChars="0"/>
              <w:jc w:val="center"/>
              <w:rPr>
                <w:rFonts w:cs="Times New Roman"/>
                <w:sz w:val="21"/>
                <w:szCs w:val="21"/>
              </w:rPr>
            </w:pPr>
            <w:r>
              <w:rPr>
                <w:rFonts w:cs="Times New Roman"/>
                <w:sz w:val="21"/>
                <w:szCs w:val="21"/>
              </w:rPr>
              <w:t>黑脸噪鹛</w:t>
            </w:r>
          </w:p>
        </w:tc>
        <w:tc>
          <w:tcPr>
            <w:tcW w:w="0" w:type="auto"/>
            <w:vAlign w:val="center"/>
          </w:tcPr>
          <w:p w14:paraId="77E69B05">
            <w:pPr>
              <w:spacing w:line="240" w:lineRule="auto"/>
              <w:ind w:firstLine="0" w:firstLineChars="0"/>
              <w:jc w:val="center"/>
              <w:rPr>
                <w:rFonts w:cs="Times New Roman"/>
                <w:i/>
                <w:iCs/>
                <w:kern w:val="0"/>
                <w:sz w:val="21"/>
                <w:szCs w:val="21"/>
              </w:rPr>
            </w:pPr>
            <w:r>
              <w:rPr>
                <w:rFonts w:cs="Times New Roman"/>
                <w:i/>
                <w:iCs/>
                <w:kern w:val="0"/>
                <w:sz w:val="21"/>
                <w:szCs w:val="21"/>
              </w:rPr>
              <w:t>Garrulax perspicillatus</w:t>
            </w:r>
          </w:p>
        </w:tc>
        <w:tc>
          <w:tcPr>
            <w:tcW w:w="0" w:type="auto"/>
            <w:vAlign w:val="center"/>
          </w:tcPr>
          <w:p w14:paraId="64D5FF0F">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00A6C030">
            <w:pPr>
              <w:spacing w:line="240" w:lineRule="auto"/>
              <w:ind w:firstLine="0" w:firstLineChars="0"/>
              <w:jc w:val="center"/>
              <w:rPr>
                <w:rFonts w:cs="Times New Roman"/>
                <w:kern w:val="0"/>
                <w:sz w:val="21"/>
                <w:szCs w:val="21"/>
              </w:rPr>
            </w:pPr>
            <w:r>
              <w:rPr>
                <w:rFonts w:cs="Times New Roman"/>
                <w:kern w:val="0"/>
                <w:sz w:val="21"/>
                <w:szCs w:val="21"/>
              </w:rPr>
              <w:t>—</w:t>
            </w:r>
          </w:p>
        </w:tc>
      </w:tr>
      <w:tr w14:paraId="4A19C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544874B">
            <w:pPr>
              <w:spacing w:line="240" w:lineRule="auto"/>
              <w:ind w:firstLine="0" w:firstLineChars="0"/>
              <w:jc w:val="center"/>
              <w:rPr>
                <w:rFonts w:cs="Times New Roman"/>
                <w:sz w:val="21"/>
                <w:szCs w:val="21"/>
              </w:rPr>
            </w:pPr>
            <w:r>
              <w:rPr>
                <w:rFonts w:cs="Times New Roman"/>
                <w:sz w:val="21"/>
                <w:szCs w:val="21"/>
              </w:rPr>
              <w:t>57</w:t>
            </w:r>
          </w:p>
        </w:tc>
        <w:tc>
          <w:tcPr>
            <w:tcW w:w="0" w:type="auto"/>
            <w:vAlign w:val="center"/>
          </w:tcPr>
          <w:p w14:paraId="71070F17">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36DAC869">
            <w:pPr>
              <w:spacing w:line="240" w:lineRule="auto"/>
              <w:ind w:firstLine="0" w:firstLineChars="0"/>
              <w:jc w:val="center"/>
              <w:rPr>
                <w:rFonts w:cs="Times New Roman"/>
                <w:sz w:val="21"/>
                <w:szCs w:val="21"/>
              </w:rPr>
            </w:pPr>
            <w:r>
              <w:rPr>
                <w:rFonts w:cs="Times New Roman"/>
                <w:sz w:val="21"/>
                <w:szCs w:val="21"/>
              </w:rPr>
              <w:t>莺鹃科</w:t>
            </w:r>
          </w:p>
        </w:tc>
        <w:tc>
          <w:tcPr>
            <w:tcW w:w="0" w:type="auto"/>
            <w:vAlign w:val="center"/>
          </w:tcPr>
          <w:p w14:paraId="02474315">
            <w:pPr>
              <w:spacing w:line="240" w:lineRule="auto"/>
              <w:ind w:firstLine="0" w:firstLineChars="0"/>
              <w:jc w:val="center"/>
              <w:rPr>
                <w:rFonts w:cs="Times New Roman"/>
                <w:sz w:val="21"/>
                <w:szCs w:val="21"/>
              </w:rPr>
            </w:pPr>
            <w:r>
              <w:rPr>
                <w:rFonts w:cs="Times New Roman"/>
                <w:sz w:val="21"/>
                <w:szCs w:val="21"/>
              </w:rPr>
              <w:t>棕头鸦雀</w:t>
            </w:r>
          </w:p>
        </w:tc>
        <w:tc>
          <w:tcPr>
            <w:tcW w:w="0" w:type="auto"/>
            <w:vAlign w:val="center"/>
          </w:tcPr>
          <w:p w14:paraId="02E5356E">
            <w:pPr>
              <w:spacing w:line="240" w:lineRule="auto"/>
              <w:ind w:firstLine="0" w:firstLineChars="0"/>
              <w:jc w:val="center"/>
              <w:rPr>
                <w:rFonts w:cs="Times New Roman"/>
                <w:i/>
                <w:iCs/>
                <w:kern w:val="0"/>
                <w:sz w:val="21"/>
                <w:szCs w:val="21"/>
              </w:rPr>
            </w:pPr>
            <w:r>
              <w:rPr>
                <w:rFonts w:cs="Times New Roman"/>
                <w:i/>
                <w:iCs/>
                <w:kern w:val="0"/>
                <w:sz w:val="21"/>
                <w:szCs w:val="21"/>
              </w:rPr>
              <w:t>Sinosuthora webbiana</w:t>
            </w:r>
          </w:p>
        </w:tc>
        <w:tc>
          <w:tcPr>
            <w:tcW w:w="0" w:type="auto"/>
            <w:vAlign w:val="center"/>
          </w:tcPr>
          <w:p w14:paraId="2E3F644D">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50F7B64F">
            <w:pPr>
              <w:spacing w:line="240" w:lineRule="auto"/>
              <w:ind w:firstLine="0" w:firstLineChars="0"/>
              <w:jc w:val="center"/>
              <w:rPr>
                <w:rFonts w:cs="Times New Roman"/>
                <w:kern w:val="0"/>
                <w:sz w:val="21"/>
                <w:szCs w:val="21"/>
              </w:rPr>
            </w:pPr>
            <w:r>
              <w:rPr>
                <w:rFonts w:cs="Times New Roman"/>
                <w:kern w:val="0"/>
                <w:sz w:val="21"/>
                <w:szCs w:val="21"/>
              </w:rPr>
              <w:t>—</w:t>
            </w:r>
          </w:p>
        </w:tc>
      </w:tr>
      <w:tr w14:paraId="28CC4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AD338C7">
            <w:pPr>
              <w:spacing w:line="240" w:lineRule="auto"/>
              <w:ind w:firstLine="0" w:firstLineChars="0"/>
              <w:jc w:val="center"/>
              <w:rPr>
                <w:rFonts w:cs="Times New Roman"/>
                <w:sz w:val="21"/>
                <w:szCs w:val="21"/>
              </w:rPr>
            </w:pPr>
            <w:r>
              <w:rPr>
                <w:rFonts w:cs="Times New Roman"/>
                <w:sz w:val="21"/>
                <w:szCs w:val="21"/>
              </w:rPr>
              <w:t>58</w:t>
            </w:r>
          </w:p>
        </w:tc>
        <w:tc>
          <w:tcPr>
            <w:tcW w:w="0" w:type="auto"/>
            <w:vAlign w:val="center"/>
          </w:tcPr>
          <w:p w14:paraId="743615BD">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59ECDFA1">
            <w:pPr>
              <w:spacing w:line="240" w:lineRule="auto"/>
              <w:ind w:firstLine="0" w:firstLineChars="0"/>
              <w:jc w:val="center"/>
              <w:rPr>
                <w:rFonts w:cs="Times New Roman"/>
                <w:sz w:val="21"/>
                <w:szCs w:val="21"/>
              </w:rPr>
            </w:pPr>
            <w:r>
              <w:rPr>
                <w:rFonts w:cs="Times New Roman"/>
                <w:sz w:val="21"/>
                <w:szCs w:val="21"/>
              </w:rPr>
              <w:t>绣眼鸟科</w:t>
            </w:r>
          </w:p>
        </w:tc>
        <w:tc>
          <w:tcPr>
            <w:tcW w:w="0" w:type="auto"/>
            <w:vAlign w:val="center"/>
          </w:tcPr>
          <w:p w14:paraId="6F4C19F3">
            <w:pPr>
              <w:spacing w:line="240" w:lineRule="auto"/>
              <w:ind w:firstLine="0" w:firstLineChars="0"/>
              <w:jc w:val="center"/>
              <w:rPr>
                <w:rFonts w:cs="Times New Roman"/>
                <w:sz w:val="21"/>
                <w:szCs w:val="21"/>
              </w:rPr>
            </w:pPr>
            <w:r>
              <w:rPr>
                <w:rFonts w:cs="Times New Roman"/>
                <w:sz w:val="21"/>
                <w:szCs w:val="21"/>
              </w:rPr>
              <w:t>暗绿绣眼鸟</w:t>
            </w:r>
          </w:p>
        </w:tc>
        <w:tc>
          <w:tcPr>
            <w:tcW w:w="0" w:type="auto"/>
            <w:vAlign w:val="center"/>
          </w:tcPr>
          <w:p w14:paraId="558C5FC9">
            <w:pPr>
              <w:spacing w:line="240" w:lineRule="auto"/>
              <w:ind w:firstLine="0" w:firstLineChars="0"/>
              <w:jc w:val="center"/>
              <w:rPr>
                <w:rFonts w:cs="Times New Roman"/>
                <w:i/>
                <w:iCs/>
                <w:kern w:val="0"/>
                <w:sz w:val="21"/>
                <w:szCs w:val="21"/>
              </w:rPr>
            </w:pPr>
            <w:r>
              <w:rPr>
                <w:rFonts w:cs="Times New Roman"/>
                <w:i/>
                <w:iCs/>
                <w:kern w:val="0"/>
                <w:sz w:val="21"/>
                <w:szCs w:val="21"/>
              </w:rPr>
              <w:t>Zosterops japonicus</w:t>
            </w:r>
          </w:p>
        </w:tc>
        <w:tc>
          <w:tcPr>
            <w:tcW w:w="0" w:type="auto"/>
            <w:vAlign w:val="center"/>
          </w:tcPr>
          <w:p w14:paraId="05437A10">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08AE7BB4">
            <w:pPr>
              <w:spacing w:line="240" w:lineRule="auto"/>
              <w:ind w:firstLine="0" w:firstLineChars="0"/>
              <w:jc w:val="center"/>
              <w:rPr>
                <w:rFonts w:cs="Times New Roman"/>
                <w:kern w:val="0"/>
                <w:sz w:val="21"/>
                <w:szCs w:val="21"/>
              </w:rPr>
            </w:pPr>
            <w:r>
              <w:rPr>
                <w:rFonts w:cs="Times New Roman"/>
                <w:kern w:val="0"/>
                <w:sz w:val="21"/>
                <w:szCs w:val="21"/>
              </w:rPr>
              <w:t>—</w:t>
            </w:r>
          </w:p>
        </w:tc>
      </w:tr>
      <w:tr w14:paraId="42F44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06F0208">
            <w:pPr>
              <w:spacing w:line="240" w:lineRule="auto"/>
              <w:ind w:firstLine="0" w:firstLineChars="0"/>
              <w:jc w:val="center"/>
              <w:rPr>
                <w:rFonts w:cs="Times New Roman"/>
                <w:sz w:val="21"/>
                <w:szCs w:val="21"/>
              </w:rPr>
            </w:pPr>
            <w:r>
              <w:rPr>
                <w:rFonts w:cs="Times New Roman"/>
                <w:sz w:val="21"/>
                <w:szCs w:val="21"/>
              </w:rPr>
              <w:t>59</w:t>
            </w:r>
          </w:p>
        </w:tc>
        <w:tc>
          <w:tcPr>
            <w:tcW w:w="0" w:type="auto"/>
            <w:vAlign w:val="center"/>
          </w:tcPr>
          <w:p w14:paraId="7DADC073">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0DBCE9ED">
            <w:pPr>
              <w:spacing w:line="240" w:lineRule="auto"/>
              <w:ind w:firstLine="0" w:firstLineChars="0"/>
              <w:jc w:val="center"/>
              <w:rPr>
                <w:rFonts w:cs="Times New Roman"/>
                <w:sz w:val="21"/>
                <w:szCs w:val="21"/>
              </w:rPr>
            </w:pPr>
            <w:r>
              <w:rPr>
                <w:rFonts w:cs="Times New Roman"/>
                <w:sz w:val="21"/>
                <w:szCs w:val="21"/>
              </w:rPr>
              <w:t>椋鸟科</w:t>
            </w:r>
          </w:p>
        </w:tc>
        <w:tc>
          <w:tcPr>
            <w:tcW w:w="0" w:type="auto"/>
            <w:vAlign w:val="center"/>
          </w:tcPr>
          <w:p w14:paraId="2366DD2D">
            <w:pPr>
              <w:spacing w:line="240" w:lineRule="auto"/>
              <w:ind w:firstLine="0" w:firstLineChars="0"/>
              <w:jc w:val="center"/>
              <w:rPr>
                <w:rFonts w:cs="Times New Roman"/>
                <w:sz w:val="21"/>
                <w:szCs w:val="21"/>
              </w:rPr>
            </w:pPr>
            <w:r>
              <w:rPr>
                <w:rFonts w:cs="Times New Roman"/>
                <w:sz w:val="21"/>
                <w:szCs w:val="21"/>
              </w:rPr>
              <w:t>八哥</w:t>
            </w:r>
          </w:p>
        </w:tc>
        <w:tc>
          <w:tcPr>
            <w:tcW w:w="0" w:type="auto"/>
            <w:vAlign w:val="center"/>
          </w:tcPr>
          <w:p w14:paraId="3C3FC40A">
            <w:pPr>
              <w:spacing w:line="240" w:lineRule="auto"/>
              <w:ind w:firstLine="0" w:firstLineChars="0"/>
              <w:jc w:val="center"/>
              <w:rPr>
                <w:rFonts w:cs="Times New Roman"/>
                <w:i/>
                <w:iCs/>
                <w:kern w:val="0"/>
                <w:sz w:val="21"/>
                <w:szCs w:val="21"/>
              </w:rPr>
            </w:pPr>
            <w:r>
              <w:rPr>
                <w:rFonts w:cs="Times New Roman"/>
                <w:i/>
                <w:iCs/>
                <w:kern w:val="0"/>
                <w:sz w:val="21"/>
                <w:szCs w:val="21"/>
              </w:rPr>
              <w:t>Acridotheres cristatellus</w:t>
            </w:r>
          </w:p>
        </w:tc>
        <w:tc>
          <w:tcPr>
            <w:tcW w:w="0" w:type="auto"/>
            <w:vAlign w:val="center"/>
          </w:tcPr>
          <w:p w14:paraId="7550926A">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2F0DE418">
            <w:pPr>
              <w:spacing w:line="240" w:lineRule="auto"/>
              <w:ind w:firstLine="0" w:firstLineChars="0"/>
              <w:jc w:val="center"/>
              <w:rPr>
                <w:rFonts w:cs="Times New Roman"/>
                <w:kern w:val="0"/>
                <w:sz w:val="21"/>
                <w:szCs w:val="21"/>
              </w:rPr>
            </w:pPr>
            <w:r>
              <w:rPr>
                <w:rFonts w:cs="Times New Roman"/>
                <w:kern w:val="0"/>
                <w:sz w:val="21"/>
                <w:szCs w:val="21"/>
              </w:rPr>
              <w:t>—</w:t>
            </w:r>
          </w:p>
        </w:tc>
      </w:tr>
      <w:tr w14:paraId="0B0C1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FAE3459">
            <w:pPr>
              <w:spacing w:line="240" w:lineRule="auto"/>
              <w:ind w:firstLine="0" w:firstLineChars="0"/>
              <w:jc w:val="center"/>
              <w:rPr>
                <w:rFonts w:cs="Times New Roman"/>
                <w:sz w:val="21"/>
                <w:szCs w:val="21"/>
              </w:rPr>
            </w:pPr>
            <w:r>
              <w:rPr>
                <w:rFonts w:cs="Times New Roman"/>
                <w:sz w:val="21"/>
                <w:szCs w:val="21"/>
              </w:rPr>
              <w:t>60</w:t>
            </w:r>
          </w:p>
        </w:tc>
        <w:tc>
          <w:tcPr>
            <w:tcW w:w="0" w:type="auto"/>
            <w:vAlign w:val="center"/>
          </w:tcPr>
          <w:p w14:paraId="491B03D6">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2C6F09DA">
            <w:pPr>
              <w:spacing w:line="240" w:lineRule="auto"/>
              <w:ind w:firstLine="0" w:firstLineChars="0"/>
              <w:jc w:val="center"/>
              <w:rPr>
                <w:rFonts w:cs="Times New Roman"/>
                <w:sz w:val="21"/>
                <w:szCs w:val="21"/>
              </w:rPr>
            </w:pPr>
            <w:r>
              <w:rPr>
                <w:rFonts w:cs="Times New Roman"/>
                <w:sz w:val="21"/>
                <w:szCs w:val="21"/>
              </w:rPr>
              <w:t>椋鸟科</w:t>
            </w:r>
          </w:p>
        </w:tc>
        <w:tc>
          <w:tcPr>
            <w:tcW w:w="0" w:type="auto"/>
            <w:vAlign w:val="center"/>
          </w:tcPr>
          <w:p w14:paraId="3AD9B342">
            <w:pPr>
              <w:spacing w:line="240" w:lineRule="auto"/>
              <w:ind w:firstLine="0" w:firstLineChars="0"/>
              <w:jc w:val="center"/>
              <w:rPr>
                <w:rFonts w:cs="Times New Roman"/>
                <w:sz w:val="21"/>
                <w:szCs w:val="21"/>
              </w:rPr>
            </w:pPr>
            <w:r>
              <w:rPr>
                <w:rFonts w:cs="Times New Roman"/>
                <w:sz w:val="21"/>
                <w:szCs w:val="21"/>
              </w:rPr>
              <w:t>灰椋鸟</w:t>
            </w:r>
          </w:p>
        </w:tc>
        <w:tc>
          <w:tcPr>
            <w:tcW w:w="0" w:type="auto"/>
            <w:vAlign w:val="center"/>
          </w:tcPr>
          <w:p w14:paraId="4CBEB442">
            <w:pPr>
              <w:spacing w:line="240" w:lineRule="auto"/>
              <w:ind w:firstLine="0" w:firstLineChars="0"/>
              <w:jc w:val="center"/>
              <w:rPr>
                <w:rFonts w:cs="Times New Roman"/>
                <w:i/>
                <w:iCs/>
                <w:kern w:val="0"/>
                <w:sz w:val="21"/>
                <w:szCs w:val="21"/>
              </w:rPr>
            </w:pPr>
            <w:r>
              <w:rPr>
                <w:rFonts w:cs="Times New Roman"/>
                <w:i/>
                <w:iCs/>
                <w:kern w:val="0"/>
                <w:sz w:val="21"/>
                <w:szCs w:val="21"/>
              </w:rPr>
              <w:t>Spodiopsar cineraceus</w:t>
            </w:r>
          </w:p>
        </w:tc>
        <w:tc>
          <w:tcPr>
            <w:tcW w:w="0" w:type="auto"/>
            <w:vAlign w:val="center"/>
          </w:tcPr>
          <w:p w14:paraId="4B16142E">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2910F823">
            <w:pPr>
              <w:spacing w:line="240" w:lineRule="auto"/>
              <w:ind w:firstLine="0" w:firstLineChars="0"/>
              <w:jc w:val="center"/>
              <w:rPr>
                <w:rFonts w:cs="Times New Roman"/>
                <w:kern w:val="0"/>
                <w:sz w:val="21"/>
                <w:szCs w:val="21"/>
              </w:rPr>
            </w:pPr>
            <w:r>
              <w:rPr>
                <w:rFonts w:cs="Times New Roman"/>
                <w:kern w:val="0"/>
                <w:sz w:val="21"/>
                <w:szCs w:val="21"/>
              </w:rPr>
              <w:t>—</w:t>
            </w:r>
          </w:p>
        </w:tc>
      </w:tr>
      <w:tr w14:paraId="0FCD8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B0927C7">
            <w:pPr>
              <w:spacing w:line="240" w:lineRule="auto"/>
              <w:ind w:firstLine="0" w:firstLineChars="0"/>
              <w:jc w:val="center"/>
              <w:rPr>
                <w:rFonts w:cs="Times New Roman"/>
                <w:sz w:val="21"/>
                <w:szCs w:val="21"/>
              </w:rPr>
            </w:pPr>
            <w:r>
              <w:rPr>
                <w:rFonts w:cs="Times New Roman"/>
                <w:sz w:val="21"/>
                <w:szCs w:val="21"/>
              </w:rPr>
              <w:t>61</w:t>
            </w:r>
          </w:p>
        </w:tc>
        <w:tc>
          <w:tcPr>
            <w:tcW w:w="0" w:type="auto"/>
            <w:vAlign w:val="center"/>
          </w:tcPr>
          <w:p w14:paraId="5947E42B">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36092E99">
            <w:pPr>
              <w:spacing w:line="240" w:lineRule="auto"/>
              <w:ind w:firstLine="0" w:firstLineChars="0"/>
              <w:jc w:val="center"/>
              <w:rPr>
                <w:rFonts w:cs="Times New Roman"/>
                <w:sz w:val="21"/>
                <w:szCs w:val="21"/>
              </w:rPr>
            </w:pPr>
            <w:r>
              <w:rPr>
                <w:rFonts w:cs="Times New Roman"/>
                <w:sz w:val="21"/>
                <w:szCs w:val="21"/>
              </w:rPr>
              <w:t>鸫科</w:t>
            </w:r>
          </w:p>
        </w:tc>
        <w:tc>
          <w:tcPr>
            <w:tcW w:w="0" w:type="auto"/>
            <w:vAlign w:val="center"/>
          </w:tcPr>
          <w:p w14:paraId="194D696B">
            <w:pPr>
              <w:spacing w:line="240" w:lineRule="auto"/>
              <w:ind w:firstLine="0" w:firstLineChars="0"/>
              <w:jc w:val="center"/>
              <w:rPr>
                <w:rFonts w:cs="Times New Roman"/>
                <w:sz w:val="21"/>
                <w:szCs w:val="21"/>
              </w:rPr>
            </w:pPr>
            <w:r>
              <w:rPr>
                <w:rFonts w:cs="Times New Roman"/>
                <w:sz w:val="21"/>
                <w:szCs w:val="21"/>
              </w:rPr>
              <w:t>乌鸫</w:t>
            </w:r>
          </w:p>
        </w:tc>
        <w:tc>
          <w:tcPr>
            <w:tcW w:w="0" w:type="auto"/>
            <w:vAlign w:val="center"/>
          </w:tcPr>
          <w:p w14:paraId="49D1EC70">
            <w:pPr>
              <w:spacing w:line="240" w:lineRule="auto"/>
              <w:ind w:firstLine="0" w:firstLineChars="0"/>
              <w:jc w:val="center"/>
              <w:rPr>
                <w:rFonts w:cs="Times New Roman"/>
                <w:i/>
                <w:iCs/>
                <w:kern w:val="0"/>
                <w:sz w:val="21"/>
                <w:szCs w:val="21"/>
              </w:rPr>
            </w:pPr>
            <w:r>
              <w:rPr>
                <w:rFonts w:cs="Times New Roman"/>
                <w:i/>
                <w:iCs/>
                <w:kern w:val="0"/>
                <w:sz w:val="21"/>
                <w:szCs w:val="21"/>
              </w:rPr>
              <w:t>Turdus merula</w:t>
            </w:r>
          </w:p>
        </w:tc>
        <w:tc>
          <w:tcPr>
            <w:tcW w:w="0" w:type="auto"/>
            <w:vAlign w:val="center"/>
          </w:tcPr>
          <w:p w14:paraId="156851DE">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5E196892">
            <w:pPr>
              <w:spacing w:line="240" w:lineRule="auto"/>
              <w:ind w:firstLine="0" w:firstLineChars="0"/>
              <w:jc w:val="center"/>
              <w:rPr>
                <w:rFonts w:cs="Times New Roman"/>
                <w:kern w:val="0"/>
                <w:sz w:val="21"/>
                <w:szCs w:val="21"/>
              </w:rPr>
            </w:pPr>
            <w:r>
              <w:rPr>
                <w:rFonts w:cs="Times New Roman"/>
                <w:kern w:val="0"/>
                <w:sz w:val="21"/>
                <w:szCs w:val="21"/>
              </w:rPr>
              <w:t>—</w:t>
            </w:r>
          </w:p>
        </w:tc>
      </w:tr>
      <w:tr w14:paraId="7D0F4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AF499F8">
            <w:pPr>
              <w:spacing w:line="240" w:lineRule="auto"/>
              <w:ind w:firstLine="0" w:firstLineChars="0"/>
              <w:jc w:val="center"/>
              <w:rPr>
                <w:rFonts w:cs="Times New Roman"/>
                <w:sz w:val="21"/>
                <w:szCs w:val="21"/>
              </w:rPr>
            </w:pPr>
            <w:r>
              <w:rPr>
                <w:rFonts w:cs="Times New Roman"/>
                <w:sz w:val="21"/>
                <w:szCs w:val="21"/>
              </w:rPr>
              <w:t>62</w:t>
            </w:r>
          </w:p>
        </w:tc>
        <w:tc>
          <w:tcPr>
            <w:tcW w:w="0" w:type="auto"/>
            <w:vAlign w:val="center"/>
          </w:tcPr>
          <w:p w14:paraId="74C39E8D">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0FA670CD">
            <w:pPr>
              <w:spacing w:line="240" w:lineRule="auto"/>
              <w:ind w:firstLine="0" w:firstLineChars="0"/>
              <w:jc w:val="center"/>
              <w:rPr>
                <w:rFonts w:cs="Times New Roman"/>
                <w:sz w:val="21"/>
                <w:szCs w:val="21"/>
              </w:rPr>
            </w:pPr>
            <w:r>
              <w:rPr>
                <w:rFonts w:cs="Times New Roman"/>
                <w:sz w:val="21"/>
                <w:szCs w:val="21"/>
              </w:rPr>
              <w:t>鸫科</w:t>
            </w:r>
          </w:p>
        </w:tc>
        <w:tc>
          <w:tcPr>
            <w:tcW w:w="0" w:type="auto"/>
            <w:vAlign w:val="center"/>
          </w:tcPr>
          <w:p w14:paraId="7F421966">
            <w:pPr>
              <w:spacing w:line="240" w:lineRule="auto"/>
              <w:ind w:firstLine="0" w:firstLineChars="0"/>
              <w:jc w:val="center"/>
              <w:rPr>
                <w:rFonts w:cs="Times New Roman"/>
                <w:sz w:val="21"/>
                <w:szCs w:val="21"/>
              </w:rPr>
            </w:pPr>
            <w:r>
              <w:rPr>
                <w:rFonts w:cs="Times New Roman"/>
                <w:sz w:val="21"/>
                <w:szCs w:val="21"/>
              </w:rPr>
              <w:t>白腹鸫</w:t>
            </w:r>
          </w:p>
        </w:tc>
        <w:tc>
          <w:tcPr>
            <w:tcW w:w="0" w:type="auto"/>
            <w:vAlign w:val="center"/>
          </w:tcPr>
          <w:p w14:paraId="25D54F59">
            <w:pPr>
              <w:spacing w:line="240" w:lineRule="auto"/>
              <w:ind w:firstLine="0" w:firstLineChars="0"/>
              <w:jc w:val="center"/>
              <w:rPr>
                <w:rFonts w:cs="Times New Roman"/>
                <w:i/>
                <w:iCs/>
                <w:kern w:val="0"/>
                <w:sz w:val="21"/>
                <w:szCs w:val="21"/>
              </w:rPr>
            </w:pPr>
            <w:r>
              <w:rPr>
                <w:rFonts w:cs="Times New Roman"/>
                <w:i/>
                <w:iCs/>
                <w:kern w:val="0"/>
                <w:sz w:val="21"/>
                <w:szCs w:val="21"/>
              </w:rPr>
              <w:t>Turdus pallidus</w:t>
            </w:r>
          </w:p>
        </w:tc>
        <w:tc>
          <w:tcPr>
            <w:tcW w:w="0" w:type="auto"/>
            <w:vAlign w:val="center"/>
          </w:tcPr>
          <w:p w14:paraId="0351D563">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7573F873">
            <w:pPr>
              <w:spacing w:line="240" w:lineRule="auto"/>
              <w:ind w:firstLine="0" w:firstLineChars="0"/>
              <w:jc w:val="center"/>
              <w:rPr>
                <w:rFonts w:cs="Times New Roman"/>
                <w:kern w:val="0"/>
                <w:sz w:val="21"/>
                <w:szCs w:val="21"/>
              </w:rPr>
            </w:pPr>
            <w:r>
              <w:rPr>
                <w:rFonts w:cs="Times New Roman"/>
                <w:kern w:val="0"/>
                <w:sz w:val="21"/>
                <w:szCs w:val="21"/>
              </w:rPr>
              <w:t>—</w:t>
            </w:r>
          </w:p>
        </w:tc>
      </w:tr>
      <w:tr w14:paraId="1BF56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EAB7D27">
            <w:pPr>
              <w:spacing w:line="240" w:lineRule="auto"/>
              <w:ind w:firstLine="0" w:firstLineChars="0"/>
              <w:jc w:val="center"/>
              <w:rPr>
                <w:rFonts w:cs="Times New Roman"/>
                <w:sz w:val="21"/>
                <w:szCs w:val="21"/>
              </w:rPr>
            </w:pPr>
            <w:r>
              <w:rPr>
                <w:rFonts w:cs="Times New Roman"/>
                <w:sz w:val="21"/>
                <w:szCs w:val="21"/>
              </w:rPr>
              <w:t>63</w:t>
            </w:r>
          </w:p>
        </w:tc>
        <w:tc>
          <w:tcPr>
            <w:tcW w:w="0" w:type="auto"/>
            <w:vAlign w:val="center"/>
          </w:tcPr>
          <w:p w14:paraId="23ED2619">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5BDB5A42">
            <w:pPr>
              <w:spacing w:line="240" w:lineRule="auto"/>
              <w:ind w:firstLine="0" w:firstLineChars="0"/>
              <w:jc w:val="center"/>
              <w:rPr>
                <w:rFonts w:cs="Times New Roman"/>
                <w:sz w:val="21"/>
                <w:szCs w:val="21"/>
              </w:rPr>
            </w:pPr>
            <w:r>
              <w:rPr>
                <w:rFonts w:cs="Times New Roman"/>
                <w:sz w:val="21"/>
                <w:szCs w:val="21"/>
              </w:rPr>
              <w:t>鸫科</w:t>
            </w:r>
          </w:p>
        </w:tc>
        <w:tc>
          <w:tcPr>
            <w:tcW w:w="0" w:type="auto"/>
            <w:vAlign w:val="center"/>
          </w:tcPr>
          <w:p w14:paraId="09227344">
            <w:pPr>
              <w:spacing w:line="240" w:lineRule="auto"/>
              <w:ind w:firstLine="0" w:firstLineChars="0"/>
              <w:jc w:val="center"/>
              <w:rPr>
                <w:rFonts w:cs="Times New Roman"/>
                <w:sz w:val="21"/>
                <w:szCs w:val="21"/>
              </w:rPr>
            </w:pPr>
            <w:r>
              <w:rPr>
                <w:rFonts w:cs="Times New Roman"/>
                <w:sz w:val="21"/>
                <w:szCs w:val="21"/>
              </w:rPr>
              <w:t>斑鹅</w:t>
            </w:r>
          </w:p>
        </w:tc>
        <w:tc>
          <w:tcPr>
            <w:tcW w:w="0" w:type="auto"/>
            <w:vAlign w:val="center"/>
          </w:tcPr>
          <w:p w14:paraId="09ACB0A7">
            <w:pPr>
              <w:spacing w:line="240" w:lineRule="auto"/>
              <w:ind w:firstLine="0" w:firstLineChars="0"/>
              <w:jc w:val="center"/>
              <w:rPr>
                <w:rFonts w:cs="Times New Roman"/>
                <w:i/>
                <w:iCs/>
                <w:kern w:val="0"/>
                <w:sz w:val="21"/>
                <w:szCs w:val="21"/>
              </w:rPr>
            </w:pPr>
            <w:r>
              <w:rPr>
                <w:rFonts w:cs="Times New Roman"/>
                <w:i/>
                <w:iCs/>
                <w:kern w:val="0"/>
                <w:sz w:val="21"/>
                <w:szCs w:val="21"/>
              </w:rPr>
              <w:t>Turdus eunomus</w:t>
            </w:r>
          </w:p>
        </w:tc>
        <w:tc>
          <w:tcPr>
            <w:tcW w:w="0" w:type="auto"/>
            <w:vAlign w:val="center"/>
          </w:tcPr>
          <w:p w14:paraId="4101ABF1">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782E1C02">
            <w:pPr>
              <w:spacing w:line="240" w:lineRule="auto"/>
              <w:ind w:firstLine="0" w:firstLineChars="0"/>
              <w:jc w:val="center"/>
              <w:rPr>
                <w:rFonts w:cs="Times New Roman"/>
                <w:kern w:val="0"/>
                <w:sz w:val="21"/>
                <w:szCs w:val="21"/>
              </w:rPr>
            </w:pPr>
            <w:r>
              <w:rPr>
                <w:rFonts w:cs="Times New Roman"/>
                <w:kern w:val="0"/>
                <w:sz w:val="21"/>
                <w:szCs w:val="21"/>
              </w:rPr>
              <w:t>—</w:t>
            </w:r>
          </w:p>
        </w:tc>
      </w:tr>
      <w:tr w14:paraId="0BAB3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FC8FB44">
            <w:pPr>
              <w:spacing w:line="240" w:lineRule="auto"/>
              <w:ind w:firstLine="0" w:firstLineChars="0"/>
              <w:jc w:val="center"/>
              <w:rPr>
                <w:rFonts w:cs="Times New Roman"/>
                <w:sz w:val="21"/>
                <w:szCs w:val="21"/>
              </w:rPr>
            </w:pPr>
            <w:r>
              <w:rPr>
                <w:rFonts w:cs="Times New Roman"/>
                <w:sz w:val="21"/>
                <w:szCs w:val="21"/>
              </w:rPr>
              <w:t>64</w:t>
            </w:r>
          </w:p>
        </w:tc>
        <w:tc>
          <w:tcPr>
            <w:tcW w:w="0" w:type="auto"/>
            <w:vAlign w:val="center"/>
          </w:tcPr>
          <w:p w14:paraId="4C5C2AA2">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06DC54E8">
            <w:pPr>
              <w:spacing w:line="240" w:lineRule="auto"/>
              <w:ind w:firstLine="0" w:firstLineChars="0"/>
              <w:jc w:val="center"/>
              <w:rPr>
                <w:rFonts w:cs="Times New Roman"/>
                <w:sz w:val="21"/>
                <w:szCs w:val="21"/>
              </w:rPr>
            </w:pPr>
            <w:r>
              <w:rPr>
                <w:rFonts w:cs="Times New Roman"/>
                <w:sz w:val="21"/>
                <w:szCs w:val="21"/>
              </w:rPr>
              <w:t>鸽科</w:t>
            </w:r>
          </w:p>
        </w:tc>
        <w:tc>
          <w:tcPr>
            <w:tcW w:w="0" w:type="auto"/>
            <w:vAlign w:val="center"/>
          </w:tcPr>
          <w:p w14:paraId="4DB209C5">
            <w:pPr>
              <w:spacing w:line="240" w:lineRule="auto"/>
              <w:ind w:firstLine="0" w:firstLineChars="0"/>
              <w:jc w:val="center"/>
              <w:rPr>
                <w:rFonts w:cs="Times New Roman"/>
                <w:sz w:val="21"/>
                <w:szCs w:val="21"/>
              </w:rPr>
            </w:pPr>
            <w:r>
              <w:rPr>
                <w:rFonts w:cs="Times New Roman"/>
                <w:sz w:val="21"/>
                <w:szCs w:val="21"/>
              </w:rPr>
              <w:t>红胁蓝尾鸲</w:t>
            </w:r>
          </w:p>
        </w:tc>
        <w:tc>
          <w:tcPr>
            <w:tcW w:w="0" w:type="auto"/>
            <w:vAlign w:val="center"/>
          </w:tcPr>
          <w:p w14:paraId="422D9AF7">
            <w:pPr>
              <w:spacing w:line="240" w:lineRule="auto"/>
              <w:ind w:firstLine="0" w:firstLineChars="0"/>
              <w:jc w:val="center"/>
              <w:rPr>
                <w:rFonts w:cs="Times New Roman"/>
                <w:i/>
                <w:iCs/>
                <w:kern w:val="0"/>
                <w:sz w:val="21"/>
                <w:szCs w:val="21"/>
              </w:rPr>
            </w:pPr>
            <w:r>
              <w:rPr>
                <w:rFonts w:cs="Times New Roman"/>
                <w:i/>
                <w:iCs/>
                <w:kern w:val="0"/>
                <w:sz w:val="21"/>
                <w:szCs w:val="21"/>
              </w:rPr>
              <w:t>Tarsiger cyanurus</w:t>
            </w:r>
          </w:p>
        </w:tc>
        <w:tc>
          <w:tcPr>
            <w:tcW w:w="0" w:type="auto"/>
            <w:vAlign w:val="center"/>
          </w:tcPr>
          <w:p w14:paraId="6A9ECBBF">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8FB4C4E">
            <w:pPr>
              <w:spacing w:line="240" w:lineRule="auto"/>
              <w:ind w:firstLine="0" w:firstLineChars="0"/>
              <w:jc w:val="center"/>
              <w:rPr>
                <w:rFonts w:cs="Times New Roman"/>
                <w:kern w:val="0"/>
                <w:sz w:val="21"/>
                <w:szCs w:val="21"/>
              </w:rPr>
            </w:pPr>
            <w:r>
              <w:rPr>
                <w:rFonts w:cs="Times New Roman"/>
                <w:kern w:val="0"/>
                <w:sz w:val="21"/>
                <w:szCs w:val="21"/>
              </w:rPr>
              <w:t>—</w:t>
            </w:r>
          </w:p>
        </w:tc>
      </w:tr>
      <w:tr w14:paraId="2ADBE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2935F1C">
            <w:pPr>
              <w:spacing w:line="240" w:lineRule="auto"/>
              <w:ind w:firstLine="0" w:firstLineChars="0"/>
              <w:jc w:val="center"/>
              <w:rPr>
                <w:rFonts w:cs="Times New Roman"/>
                <w:sz w:val="21"/>
                <w:szCs w:val="21"/>
              </w:rPr>
            </w:pPr>
            <w:r>
              <w:rPr>
                <w:rFonts w:cs="Times New Roman"/>
                <w:sz w:val="21"/>
                <w:szCs w:val="21"/>
              </w:rPr>
              <w:t>65</w:t>
            </w:r>
          </w:p>
        </w:tc>
        <w:tc>
          <w:tcPr>
            <w:tcW w:w="0" w:type="auto"/>
            <w:vAlign w:val="center"/>
          </w:tcPr>
          <w:p w14:paraId="2AB49B13">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6DAE02F0">
            <w:pPr>
              <w:spacing w:line="240" w:lineRule="auto"/>
              <w:ind w:firstLine="0" w:firstLineChars="0"/>
              <w:jc w:val="center"/>
              <w:rPr>
                <w:rFonts w:cs="Times New Roman"/>
                <w:sz w:val="21"/>
                <w:szCs w:val="21"/>
              </w:rPr>
            </w:pPr>
            <w:r>
              <w:rPr>
                <w:rFonts w:cs="Times New Roman"/>
                <w:sz w:val="21"/>
                <w:szCs w:val="21"/>
              </w:rPr>
              <w:t>鸽科</w:t>
            </w:r>
          </w:p>
        </w:tc>
        <w:tc>
          <w:tcPr>
            <w:tcW w:w="0" w:type="auto"/>
            <w:vAlign w:val="center"/>
          </w:tcPr>
          <w:p w14:paraId="47B3A5A0">
            <w:pPr>
              <w:spacing w:line="240" w:lineRule="auto"/>
              <w:ind w:firstLine="0" w:firstLineChars="0"/>
              <w:jc w:val="center"/>
              <w:rPr>
                <w:rFonts w:cs="Times New Roman"/>
                <w:sz w:val="21"/>
                <w:szCs w:val="21"/>
              </w:rPr>
            </w:pPr>
            <w:r>
              <w:rPr>
                <w:rFonts w:cs="Times New Roman"/>
                <w:sz w:val="21"/>
                <w:szCs w:val="21"/>
              </w:rPr>
              <w:t>鹊鸲</w:t>
            </w:r>
          </w:p>
        </w:tc>
        <w:tc>
          <w:tcPr>
            <w:tcW w:w="0" w:type="auto"/>
            <w:vAlign w:val="center"/>
          </w:tcPr>
          <w:p w14:paraId="51E5CF74">
            <w:pPr>
              <w:spacing w:line="240" w:lineRule="auto"/>
              <w:ind w:firstLine="0" w:firstLineChars="0"/>
              <w:jc w:val="center"/>
              <w:rPr>
                <w:rFonts w:cs="Times New Roman"/>
                <w:i/>
                <w:iCs/>
                <w:kern w:val="0"/>
                <w:sz w:val="21"/>
                <w:szCs w:val="21"/>
              </w:rPr>
            </w:pPr>
            <w:r>
              <w:rPr>
                <w:rFonts w:cs="Times New Roman"/>
                <w:i/>
                <w:iCs/>
                <w:kern w:val="0"/>
                <w:sz w:val="21"/>
                <w:szCs w:val="21"/>
              </w:rPr>
              <w:t>Copsychus saularis</w:t>
            </w:r>
          </w:p>
        </w:tc>
        <w:tc>
          <w:tcPr>
            <w:tcW w:w="0" w:type="auto"/>
            <w:vAlign w:val="center"/>
          </w:tcPr>
          <w:p w14:paraId="7854774B">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5B717680">
            <w:pPr>
              <w:spacing w:line="240" w:lineRule="auto"/>
              <w:ind w:firstLine="0" w:firstLineChars="0"/>
              <w:jc w:val="center"/>
              <w:rPr>
                <w:rFonts w:cs="Times New Roman"/>
                <w:kern w:val="0"/>
                <w:sz w:val="21"/>
                <w:szCs w:val="21"/>
              </w:rPr>
            </w:pPr>
            <w:r>
              <w:rPr>
                <w:rFonts w:cs="Times New Roman"/>
                <w:kern w:val="0"/>
                <w:sz w:val="21"/>
                <w:szCs w:val="21"/>
              </w:rPr>
              <w:t>—</w:t>
            </w:r>
          </w:p>
        </w:tc>
      </w:tr>
      <w:tr w14:paraId="46458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18224E1">
            <w:pPr>
              <w:spacing w:line="240" w:lineRule="auto"/>
              <w:ind w:firstLine="0" w:firstLineChars="0"/>
              <w:jc w:val="center"/>
              <w:rPr>
                <w:rFonts w:cs="Times New Roman"/>
                <w:sz w:val="21"/>
                <w:szCs w:val="21"/>
              </w:rPr>
            </w:pPr>
            <w:r>
              <w:rPr>
                <w:rFonts w:cs="Times New Roman"/>
                <w:sz w:val="21"/>
                <w:szCs w:val="21"/>
              </w:rPr>
              <w:t>66</w:t>
            </w:r>
          </w:p>
        </w:tc>
        <w:tc>
          <w:tcPr>
            <w:tcW w:w="0" w:type="auto"/>
            <w:vAlign w:val="center"/>
          </w:tcPr>
          <w:p w14:paraId="08CDB278">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56445A31">
            <w:pPr>
              <w:spacing w:line="240" w:lineRule="auto"/>
              <w:ind w:firstLine="0" w:firstLineChars="0"/>
              <w:jc w:val="center"/>
              <w:rPr>
                <w:rFonts w:cs="Times New Roman"/>
                <w:sz w:val="21"/>
                <w:szCs w:val="21"/>
              </w:rPr>
            </w:pPr>
            <w:r>
              <w:rPr>
                <w:rFonts w:cs="Times New Roman"/>
                <w:sz w:val="21"/>
                <w:szCs w:val="21"/>
              </w:rPr>
              <w:t>鸽科</w:t>
            </w:r>
          </w:p>
        </w:tc>
        <w:tc>
          <w:tcPr>
            <w:tcW w:w="0" w:type="auto"/>
            <w:vAlign w:val="center"/>
          </w:tcPr>
          <w:p w14:paraId="1744F746">
            <w:pPr>
              <w:spacing w:line="240" w:lineRule="auto"/>
              <w:ind w:firstLine="0" w:firstLineChars="0"/>
              <w:jc w:val="center"/>
              <w:rPr>
                <w:rFonts w:cs="Times New Roman"/>
                <w:sz w:val="21"/>
                <w:szCs w:val="21"/>
              </w:rPr>
            </w:pPr>
            <w:r>
              <w:rPr>
                <w:rFonts w:cs="Times New Roman"/>
                <w:sz w:val="21"/>
                <w:szCs w:val="21"/>
              </w:rPr>
              <w:t>北红尾鸲</w:t>
            </w:r>
          </w:p>
        </w:tc>
        <w:tc>
          <w:tcPr>
            <w:tcW w:w="0" w:type="auto"/>
            <w:vAlign w:val="center"/>
          </w:tcPr>
          <w:p w14:paraId="4BCEFA5E">
            <w:pPr>
              <w:spacing w:line="240" w:lineRule="auto"/>
              <w:ind w:firstLine="0" w:firstLineChars="0"/>
              <w:jc w:val="center"/>
              <w:rPr>
                <w:rFonts w:cs="Times New Roman"/>
                <w:i/>
                <w:iCs/>
                <w:kern w:val="0"/>
                <w:sz w:val="21"/>
                <w:szCs w:val="21"/>
              </w:rPr>
            </w:pPr>
            <w:r>
              <w:rPr>
                <w:rFonts w:cs="Times New Roman"/>
                <w:i/>
                <w:iCs/>
                <w:kern w:val="0"/>
                <w:sz w:val="21"/>
                <w:szCs w:val="21"/>
              </w:rPr>
              <w:t>Phoenicurus auroreus</w:t>
            </w:r>
          </w:p>
        </w:tc>
        <w:tc>
          <w:tcPr>
            <w:tcW w:w="0" w:type="auto"/>
            <w:vAlign w:val="center"/>
          </w:tcPr>
          <w:p w14:paraId="5E67BBFE">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4CA3E2ED">
            <w:pPr>
              <w:spacing w:line="240" w:lineRule="auto"/>
              <w:ind w:firstLine="0" w:firstLineChars="0"/>
              <w:jc w:val="center"/>
              <w:rPr>
                <w:rFonts w:cs="Times New Roman"/>
                <w:kern w:val="0"/>
                <w:sz w:val="21"/>
                <w:szCs w:val="21"/>
              </w:rPr>
            </w:pPr>
            <w:r>
              <w:rPr>
                <w:rFonts w:cs="Times New Roman"/>
                <w:kern w:val="0"/>
                <w:sz w:val="21"/>
                <w:szCs w:val="21"/>
              </w:rPr>
              <w:t>—</w:t>
            </w:r>
          </w:p>
        </w:tc>
      </w:tr>
      <w:tr w14:paraId="2A801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56F9D51">
            <w:pPr>
              <w:spacing w:line="240" w:lineRule="auto"/>
              <w:ind w:firstLine="0" w:firstLineChars="0"/>
              <w:jc w:val="center"/>
              <w:rPr>
                <w:rFonts w:cs="Times New Roman"/>
                <w:sz w:val="21"/>
                <w:szCs w:val="21"/>
              </w:rPr>
            </w:pPr>
            <w:r>
              <w:rPr>
                <w:rFonts w:cs="Times New Roman"/>
                <w:sz w:val="21"/>
                <w:szCs w:val="21"/>
              </w:rPr>
              <w:t>67</w:t>
            </w:r>
          </w:p>
        </w:tc>
        <w:tc>
          <w:tcPr>
            <w:tcW w:w="0" w:type="auto"/>
            <w:vAlign w:val="center"/>
          </w:tcPr>
          <w:p w14:paraId="55F32BBA">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6CE16FC9">
            <w:pPr>
              <w:spacing w:line="240" w:lineRule="auto"/>
              <w:ind w:firstLine="0" w:firstLineChars="0"/>
              <w:jc w:val="center"/>
              <w:rPr>
                <w:rFonts w:cs="Times New Roman"/>
                <w:sz w:val="21"/>
                <w:szCs w:val="21"/>
              </w:rPr>
            </w:pPr>
            <w:r>
              <w:rPr>
                <w:rFonts w:cs="Times New Roman"/>
                <w:sz w:val="21"/>
                <w:szCs w:val="21"/>
              </w:rPr>
              <w:t>雀科</w:t>
            </w:r>
          </w:p>
        </w:tc>
        <w:tc>
          <w:tcPr>
            <w:tcW w:w="0" w:type="auto"/>
            <w:vAlign w:val="center"/>
          </w:tcPr>
          <w:p w14:paraId="1F8A5D78">
            <w:pPr>
              <w:spacing w:line="240" w:lineRule="auto"/>
              <w:ind w:firstLine="0" w:firstLineChars="0"/>
              <w:jc w:val="center"/>
              <w:rPr>
                <w:rFonts w:cs="Times New Roman"/>
                <w:sz w:val="21"/>
                <w:szCs w:val="21"/>
              </w:rPr>
            </w:pPr>
            <w:r>
              <w:rPr>
                <w:rFonts w:cs="Times New Roman"/>
                <w:sz w:val="21"/>
                <w:szCs w:val="21"/>
              </w:rPr>
              <w:t>山麻雀</w:t>
            </w:r>
          </w:p>
        </w:tc>
        <w:tc>
          <w:tcPr>
            <w:tcW w:w="0" w:type="auto"/>
            <w:vAlign w:val="center"/>
          </w:tcPr>
          <w:p w14:paraId="1A308A5B">
            <w:pPr>
              <w:spacing w:line="240" w:lineRule="auto"/>
              <w:ind w:firstLine="0" w:firstLineChars="0"/>
              <w:jc w:val="center"/>
              <w:rPr>
                <w:rFonts w:cs="Times New Roman"/>
                <w:i/>
                <w:iCs/>
                <w:kern w:val="0"/>
                <w:sz w:val="21"/>
                <w:szCs w:val="21"/>
              </w:rPr>
            </w:pPr>
            <w:r>
              <w:rPr>
                <w:rFonts w:cs="Times New Roman"/>
                <w:i/>
                <w:iCs/>
                <w:kern w:val="0"/>
                <w:sz w:val="21"/>
                <w:szCs w:val="21"/>
              </w:rPr>
              <w:t>Passer rutilans</w:t>
            </w:r>
          </w:p>
        </w:tc>
        <w:tc>
          <w:tcPr>
            <w:tcW w:w="0" w:type="auto"/>
            <w:vAlign w:val="center"/>
          </w:tcPr>
          <w:p w14:paraId="53387CA8">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39130A54">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73E02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EC2D96E">
            <w:pPr>
              <w:spacing w:line="240" w:lineRule="auto"/>
              <w:ind w:firstLine="0" w:firstLineChars="0"/>
              <w:jc w:val="center"/>
              <w:rPr>
                <w:rFonts w:cs="Times New Roman"/>
                <w:sz w:val="21"/>
                <w:szCs w:val="21"/>
              </w:rPr>
            </w:pPr>
            <w:r>
              <w:rPr>
                <w:rFonts w:cs="Times New Roman"/>
                <w:sz w:val="21"/>
                <w:szCs w:val="21"/>
              </w:rPr>
              <w:t>68</w:t>
            </w:r>
          </w:p>
        </w:tc>
        <w:tc>
          <w:tcPr>
            <w:tcW w:w="0" w:type="auto"/>
            <w:vAlign w:val="center"/>
          </w:tcPr>
          <w:p w14:paraId="641C1AD7">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253E87B1">
            <w:pPr>
              <w:spacing w:line="240" w:lineRule="auto"/>
              <w:ind w:firstLine="0" w:firstLineChars="0"/>
              <w:jc w:val="center"/>
              <w:rPr>
                <w:rFonts w:cs="Times New Roman"/>
                <w:sz w:val="21"/>
                <w:szCs w:val="21"/>
              </w:rPr>
            </w:pPr>
            <w:r>
              <w:rPr>
                <w:rFonts w:cs="Times New Roman"/>
                <w:sz w:val="21"/>
                <w:szCs w:val="21"/>
              </w:rPr>
              <w:t>雀科</w:t>
            </w:r>
          </w:p>
        </w:tc>
        <w:tc>
          <w:tcPr>
            <w:tcW w:w="0" w:type="auto"/>
            <w:vAlign w:val="center"/>
          </w:tcPr>
          <w:p w14:paraId="6AE8661E">
            <w:pPr>
              <w:spacing w:line="240" w:lineRule="auto"/>
              <w:ind w:firstLine="0" w:firstLineChars="0"/>
              <w:jc w:val="center"/>
              <w:rPr>
                <w:rFonts w:cs="Times New Roman"/>
                <w:sz w:val="21"/>
                <w:szCs w:val="21"/>
              </w:rPr>
            </w:pPr>
            <w:r>
              <w:rPr>
                <w:rFonts w:cs="Times New Roman"/>
                <w:sz w:val="21"/>
                <w:szCs w:val="21"/>
              </w:rPr>
              <w:t>麻雀</w:t>
            </w:r>
          </w:p>
        </w:tc>
        <w:tc>
          <w:tcPr>
            <w:tcW w:w="0" w:type="auto"/>
            <w:vAlign w:val="center"/>
          </w:tcPr>
          <w:p w14:paraId="70A27E6A">
            <w:pPr>
              <w:spacing w:line="240" w:lineRule="auto"/>
              <w:ind w:firstLine="0" w:firstLineChars="0"/>
              <w:jc w:val="center"/>
              <w:rPr>
                <w:rFonts w:cs="Times New Roman"/>
                <w:i/>
                <w:iCs/>
                <w:kern w:val="0"/>
                <w:sz w:val="21"/>
                <w:szCs w:val="21"/>
              </w:rPr>
            </w:pPr>
            <w:r>
              <w:rPr>
                <w:rFonts w:cs="Times New Roman"/>
                <w:i/>
                <w:iCs/>
                <w:kern w:val="0"/>
                <w:sz w:val="21"/>
                <w:szCs w:val="21"/>
              </w:rPr>
              <w:t>Passer montanus</w:t>
            </w:r>
          </w:p>
        </w:tc>
        <w:tc>
          <w:tcPr>
            <w:tcW w:w="0" w:type="auto"/>
            <w:vAlign w:val="center"/>
          </w:tcPr>
          <w:p w14:paraId="24D8898B">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222155AA">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1B9B6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A7CCCB1">
            <w:pPr>
              <w:spacing w:line="240" w:lineRule="auto"/>
              <w:ind w:firstLine="0" w:firstLineChars="0"/>
              <w:jc w:val="center"/>
              <w:rPr>
                <w:rFonts w:cs="Times New Roman"/>
                <w:sz w:val="21"/>
                <w:szCs w:val="21"/>
              </w:rPr>
            </w:pPr>
            <w:r>
              <w:rPr>
                <w:rFonts w:cs="Times New Roman"/>
                <w:sz w:val="21"/>
                <w:szCs w:val="21"/>
              </w:rPr>
              <w:t>69</w:t>
            </w:r>
          </w:p>
        </w:tc>
        <w:tc>
          <w:tcPr>
            <w:tcW w:w="0" w:type="auto"/>
            <w:vAlign w:val="center"/>
          </w:tcPr>
          <w:p w14:paraId="20C59C10">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5800CBBB">
            <w:pPr>
              <w:spacing w:line="240" w:lineRule="auto"/>
              <w:ind w:firstLine="0" w:firstLineChars="0"/>
              <w:jc w:val="center"/>
              <w:rPr>
                <w:rFonts w:cs="Times New Roman"/>
                <w:sz w:val="21"/>
                <w:szCs w:val="21"/>
              </w:rPr>
            </w:pPr>
            <w:r>
              <w:rPr>
                <w:rFonts w:cs="Times New Roman"/>
                <w:sz w:val="21"/>
                <w:szCs w:val="21"/>
              </w:rPr>
              <w:t>雀科</w:t>
            </w:r>
          </w:p>
        </w:tc>
        <w:tc>
          <w:tcPr>
            <w:tcW w:w="0" w:type="auto"/>
            <w:vAlign w:val="center"/>
          </w:tcPr>
          <w:p w14:paraId="3194AE6F">
            <w:pPr>
              <w:spacing w:line="240" w:lineRule="auto"/>
              <w:ind w:firstLine="0" w:firstLineChars="0"/>
              <w:jc w:val="center"/>
              <w:rPr>
                <w:rFonts w:cs="Times New Roman"/>
                <w:sz w:val="21"/>
                <w:szCs w:val="21"/>
              </w:rPr>
            </w:pPr>
            <w:r>
              <w:rPr>
                <w:rFonts w:cs="Times New Roman"/>
                <w:sz w:val="21"/>
                <w:szCs w:val="21"/>
              </w:rPr>
              <w:t>斑文鸟</w:t>
            </w:r>
          </w:p>
        </w:tc>
        <w:tc>
          <w:tcPr>
            <w:tcW w:w="0" w:type="auto"/>
            <w:vAlign w:val="center"/>
          </w:tcPr>
          <w:p w14:paraId="2FF4A893">
            <w:pPr>
              <w:spacing w:line="240" w:lineRule="auto"/>
              <w:ind w:firstLine="0" w:firstLineChars="0"/>
              <w:jc w:val="center"/>
              <w:rPr>
                <w:rFonts w:cs="Times New Roman"/>
                <w:i/>
                <w:iCs/>
                <w:kern w:val="0"/>
                <w:sz w:val="21"/>
                <w:szCs w:val="21"/>
              </w:rPr>
            </w:pPr>
            <w:r>
              <w:rPr>
                <w:rFonts w:cs="Times New Roman"/>
                <w:i/>
                <w:iCs/>
                <w:kern w:val="0"/>
                <w:sz w:val="21"/>
                <w:szCs w:val="21"/>
              </w:rPr>
              <w:t>Lonchura punctulata</w:t>
            </w:r>
          </w:p>
        </w:tc>
        <w:tc>
          <w:tcPr>
            <w:tcW w:w="0" w:type="auto"/>
            <w:vAlign w:val="center"/>
          </w:tcPr>
          <w:p w14:paraId="57F3D77B">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409E7FD9">
            <w:pPr>
              <w:spacing w:line="240" w:lineRule="auto"/>
              <w:ind w:firstLine="0" w:firstLineChars="0"/>
              <w:jc w:val="center"/>
              <w:rPr>
                <w:rFonts w:cs="Times New Roman"/>
                <w:kern w:val="0"/>
                <w:sz w:val="21"/>
                <w:szCs w:val="21"/>
              </w:rPr>
            </w:pPr>
            <w:r>
              <w:rPr>
                <w:rFonts w:cs="Times New Roman"/>
                <w:kern w:val="0"/>
                <w:sz w:val="21"/>
                <w:szCs w:val="21"/>
              </w:rPr>
              <w:t>省重点</w:t>
            </w:r>
          </w:p>
        </w:tc>
      </w:tr>
      <w:tr w14:paraId="7A5A6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49CF9C2">
            <w:pPr>
              <w:spacing w:line="240" w:lineRule="auto"/>
              <w:ind w:firstLine="0" w:firstLineChars="0"/>
              <w:jc w:val="center"/>
              <w:rPr>
                <w:rFonts w:cs="Times New Roman"/>
                <w:sz w:val="21"/>
                <w:szCs w:val="21"/>
              </w:rPr>
            </w:pPr>
            <w:r>
              <w:rPr>
                <w:rFonts w:cs="Times New Roman"/>
                <w:sz w:val="21"/>
                <w:szCs w:val="21"/>
              </w:rPr>
              <w:t>70</w:t>
            </w:r>
          </w:p>
        </w:tc>
        <w:tc>
          <w:tcPr>
            <w:tcW w:w="0" w:type="auto"/>
            <w:vAlign w:val="center"/>
          </w:tcPr>
          <w:p w14:paraId="052649DE">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28EC7A94">
            <w:pPr>
              <w:spacing w:line="240" w:lineRule="auto"/>
              <w:ind w:firstLine="0" w:firstLineChars="0"/>
              <w:jc w:val="center"/>
              <w:rPr>
                <w:rFonts w:cs="Times New Roman"/>
                <w:sz w:val="21"/>
                <w:szCs w:val="21"/>
              </w:rPr>
            </w:pPr>
            <w:r>
              <w:rPr>
                <w:rFonts w:cs="Times New Roman"/>
                <w:sz w:val="21"/>
                <w:szCs w:val="21"/>
              </w:rPr>
              <w:t>鹤鸰科</w:t>
            </w:r>
          </w:p>
        </w:tc>
        <w:tc>
          <w:tcPr>
            <w:tcW w:w="0" w:type="auto"/>
            <w:vAlign w:val="center"/>
          </w:tcPr>
          <w:p w14:paraId="13274AB2">
            <w:pPr>
              <w:spacing w:line="240" w:lineRule="auto"/>
              <w:ind w:firstLine="0" w:firstLineChars="0"/>
              <w:jc w:val="center"/>
              <w:rPr>
                <w:rFonts w:cs="Times New Roman"/>
                <w:sz w:val="21"/>
                <w:szCs w:val="21"/>
              </w:rPr>
            </w:pPr>
            <w:r>
              <w:rPr>
                <w:rFonts w:cs="Times New Roman"/>
                <w:sz w:val="21"/>
                <w:szCs w:val="21"/>
              </w:rPr>
              <w:t>白鹤鸰</w:t>
            </w:r>
          </w:p>
        </w:tc>
        <w:tc>
          <w:tcPr>
            <w:tcW w:w="0" w:type="auto"/>
            <w:vAlign w:val="center"/>
          </w:tcPr>
          <w:p w14:paraId="65695AB7">
            <w:pPr>
              <w:spacing w:line="240" w:lineRule="auto"/>
              <w:ind w:firstLine="0" w:firstLineChars="0"/>
              <w:jc w:val="center"/>
              <w:rPr>
                <w:rFonts w:cs="Times New Roman"/>
                <w:i/>
                <w:iCs/>
                <w:kern w:val="0"/>
                <w:sz w:val="21"/>
                <w:szCs w:val="21"/>
              </w:rPr>
            </w:pPr>
            <w:r>
              <w:rPr>
                <w:rFonts w:cs="Times New Roman"/>
                <w:i/>
                <w:iCs/>
                <w:kern w:val="0"/>
                <w:sz w:val="21"/>
                <w:szCs w:val="21"/>
              </w:rPr>
              <w:t>Motacilla alba</w:t>
            </w:r>
          </w:p>
        </w:tc>
        <w:tc>
          <w:tcPr>
            <w:tcW w:w="0" w:type="auto"/>
            <w:vAlign w:val="center"/>
          </w:tcPr>
          <w:p w14:paraId="15CA0655">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0261BB48">
            <w:pPr>
              <w:spacing w:line="240" w:lineRule="auto"/>
              <w:ind w:firstLine="0" w:firstLineChars="0"/>
              <w:jc w:val="center"/>
              <w:rPr>
                <w:rFonts w:cs="Times New Roman"/>
                <w:kern w:val="0"/>
                <w:sz w:val="21"/>
                <w:szCs w:val="21"/>
              </w:rPr>
            </w:pPr>
            <w:r>
              <w:rPr>
                <w:rFonts w:cs="Times New Roman"/>
                <w:kern w:val="0"/>
                <w:sz w:val="21"/>
                <w:szCs w:val="21"/>
              </w:rPr>
              <w:t>—</w:t>
            </w:r>
          </w:p>
        </w:tc>
      </w:tr>
      <w:tr w14:paraId="16B07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973BB1E">
            <w:pPr>
              <w:spacing w:line="240" w:lineRule="auto"/>
              <w:ind w:firstLine="0" w:firstLineChars="0"/>
              <w:jc w:val="center"/>
              <w:rPr>
                <w:rFonts w:cs="Times New Roman"/>
                <w:sz w:val="21"/>
                <w:szCs w:val="21"/>
              </w:rPr>
            </w:pPr>
            <w:r>
              <w:rPr>
                <w:rFonts w:cs="Times New Roman"/>
                <w:sz w:val="21"/>
                <w:szCs w:val="21"/>
              </w:rPr>
              <w:t>71</w:t>
            </w:r>
          </w:p>
        </w:tc>
        <w:tc>
          <w:tcPr>
            <w:tcW w:w="0" w:type="auto"/>
            <w:vAlign w:val="center"/>
          </w:tcPr>
          <w:p w14:paraId="67DE70A5">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5B9468CB">
            <w:pPr>
              <w:spacing w:line="240" w:lineRule="auto"/>
              <w:ind w:firstLine="0" w:firstLineChars="0"/>
              <w:jc w:val="center"/>
              <w:rPr>
                <w:rFonts w:cs="Times New Roman"/>
                <w:sz w:val="21"/>
                <w:szCs w:val="21"/>
              </w:rPr>
            </w:pPr>
            <w:r>
              <w:rPr>
                <w:rFonts w:cs="Times New Roman"/>
                <w:sz w:val="21"/>
                <w:szCs w:val="21"/>
              </w:rPr>
              <w:t>鹤鸰科</w:t>
            </w:r>
          </w:p>
        </w:tc>
        <w:tc>
          <w:tcPr>
            <w:tcW w:w="0" w:type="auto"/>
            <w:vAlign w:val="center"/>
          </w:tcPr>
          <w:p w14:paraId="67852170">
            <w:pPr>
              <w:spacing w:line="240" w:lineRule="auto"/>
              <w:ind w:firstLine="0" w:firstLineChars="0"/>
              <w:jc w:val="center"/>
              <w:rPr>
                <w:rFonts w:cs="Times New Roman"/>
                <w:sz w:val="21"/>
                <w:szCs w:val="21"/>
              </w:rPr>
            </w:pPr>
            <w:r>
              <w:rPr>
                <w:rFonts w:cs="Times New Roman"/>
                <w:sz w:val="21"/>
                <w:szCs w:val="21"/>
              </w:rPr>
              <w:t>树鹨</w:t>
            </w:r>
          </w:p>
        </w:tc>
        <w:tc>
          <w:tcPr>
            <w:tcW w:w="0" w:type="auto"/>
            <w:vAlign w:val="center"/>
          </w:tcPr>
          <w:p w14:paraId="7960C2E4">
            <w:pPr>
              <w:spacing w:line="240" w:lineRule="auto"/>
              <w:ind w:firstLine="0" w:firstLineChars="0"/>
              <w:jc w:val="center"/>
              <w:rPr>
                <w:rFonts w:cs="Times New Roman"/>
                <w:i/>
                <w:iCs/>
                <w:kern w:val="0"/>
                <w:sz w:val="21"/>
                <w:szCs w:val="21"/>
              </w:rPr>
            </w:pPr>
            <w:r>
              <w:rPr>
                <w:rFonts w:cs="Times New Roman"/>
                <w:i/>
                <w:iCs/>
                <w:kern w:val="0"/>
                <w:sz w:val="21"/>
                <w:szCs w:val="21"/>
              </w:rPr>
              <w:t>Anthus hodgsoni</w:t>
            </w:r>
          </w:p>
        </w:tc>
        <w:tc>
          <w:tcPr>
            <w:tcW w:w="0" w:type="auto"/>
            <w:vAlign w:val="center"/>
          </w:tcPr>
          <w:p w14:paraId="102192AD">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7304B569">
            <w:pPr>
              <w:spacing w:line="240" w:lineRule="auto"/>
              <w:ind w:firstLine="0" w:firstLineChars="0"/>
              <w:jc w:val="center"/>
              <w:rPr>
                <w:rFonts w:cs="Times New Roman"/>
                <w:kern w:val="0"/>
                <w:sz w:val="21"/>
                <w:szCs w:val="21"/>
              </w:rPr>
            </w:pPr>
            <w:r>
              <w:rPr>
                <w:rFonts w:cs="Times New Roman"/>
                <w:kern w:val="0"/>
                <w:sz w:val="21"/>
                <w:szCs w:val="21"/>
              </w:rPr>
              <w:t>—</w:t>
            </w:r>
          </w:p>
        </w:tc>
      </w:tr>
      <w:tr w14:paraId="66CFC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9DFC703">
            <w:pPr>
              <w:spacing w:line="240" w:lineRule="auto"/>
              <w:ind w:firstLine="0" w:firstLineChars="0"/>
              <w:jc w:val="center"/>
              <w:rPr>
                <w:rFonts w:cs="Times New Roman"/>
                <w:sz w:val="21"/>
                <w:szCs w:val="21"/>
              </w:rPr>
            </w:pPr>
            <w:r>
              <w:rPr>
                <w:rFonts w:cs="Times New Roman"/>
                <w:sz w:val="21"/>
                <w:szCs w:val="21"/>
              </w:rPr>
              <w:t>72</w:t>
            </w:r>
          </w:p>
        </w:tc>
        <w:tc>
          <w:tcPr>
            <w:tcW w:w="0" w:type="auto"/>
            <w:vAlign w:val="center"/>
          </w:tcPr>
          <w:p w14:paraId="68E284F8">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551417DA">
            <w:pPr>
              <w:spacing w:line="240" w:lineRule="auto"/>
              <w:ind w:firstLine="0" w:firstLineChars="0"/>
              <w:jc w:val="center"/>
              <w:rPr>
                <w:rFonts w:cs="Times New Roman"/>
                <w:sz w:val="21"/>
                <w:szCs w:val="21"/>
              </w:rPr>
            </w:pPr>
            <w:r>
              <w:rPr>
                <w:rFonts w:cs="Times New Roman"/>
                <w:sz w:val="21"/>
                <w:szCs w:val="21"/>
              </w:rPr>
              <w:t>燕雀科</w:t>
            </w:r>
          </w:p>
        </w:tc>
        <w:tc>
          <w:tcPr>
            <w:tcW w:w="0" w:type="auto"/>
            <w:vAlign w:val="center"/>
          </w:tcPr>
          <w:p w14:paraId="7EE3E666">
            <w:pPr>
              <w:spacing w:line="240" w:lineRule="auto"/>
              <w:ind w:firstLine="0" w:firstLineChars="0"/>
              <w:jc w:val="center"/>
              <w:rPr>
                <w:rFonts w:cs="Times New Roman"/>
                <w:sz w:val="21"/>
                <w:szCs w:val="21"/>
              </w:rPr>
            </w:pPr>
            <w:r>
              <w:rPr>
                <w:rFonts w:cs="Times New Roman"/>
                <w:sz w:val="21"/>
                <w:szCs w:val="21"/>
              </w:rPr>
              <w:t>燕雀</w:t>
            </w:r>
          </w:p>
        </w:tc>
        <w:tc>
          <w:tcPr>
            <w:tcW w:w="0" w:type="auto"/>
            <w:vAlign w:val="center"/>
          </w:tcPr>
          <w:p w14:paraId="080ADFF4">
            <w:pPr>
              <w:spacing w:line="240" w:lineRule="auto"/>
              <w:ind w:firstLine="0" w:firstLineChars="0"/>
              <w:jc w:val="center"/>
              <w:rPr>
                <w:rFonts w:cs="Times New Roman"/>
                <w:i/>
                <w:iCs/>
                <w:kern w:val="0"/>
                <w:sz w:val="21"/>
                <w:szCs w:val="21"/>
              </w:rPr>
            </w:pPr>
            <w:r>
              <w:rPr>
                <w:rFonts w:cs="Times New Roman"/>
                <w:i/>
                <w:iCs/>
                <w:kern w:val="0"/>
                <w:sz w:val="21"/>
                <w:szCs w:val="21"/>
              </w:rPr>
              <w:t>Fringilla montifringilla</w:t>
            </w:r>
          </w:p>
        </w:tc>
        <w:tc>
          <w:tcPr>
            <w:tcW w:w="0" w:type="auto"/>
            <w:vAlign w:val="center"/>
          </w:tcPr>
          <w:p w14:paraId="243E41B9">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036C24E3">
            <w:pPr>
              <w:spacing w:line="240" w:lineRule="auto"/>
              <w:ind w:firstLine="0" w:firstLineChars="0"/>
              <w:jc w:val="center"/>
              <w:rPr>
                <w:rFonts w:cs="Times New Roman"/>
                <w:kern w:val="0"/>
                <w:sz w:val="21"/>
                <w:szCs w:val="21"/>
              </w:rPr>
            </w:pPr>
            <w:r>
              <w:rPr>
                <w:rFonts w:cs="Times New Roman"/>
                <w:kern w:val="0"/>
                <w:sz w:val="21"/>
                <w:szCs w:val="21"/>
              </w:rPr>
              <w:t>—</w:t>
            </w:r>
          </w:p>
        </w:tc>
      </w:tr>
      <w:tr w14:paraId="7D0EE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B378096">
            <w:pPr>
              <w:spacing w:line="240" w:lineRule="auto"/>
              <w:ind w:firstLine="0" w:firstLineChars="0"/>
              <w:jc w:val="center"/>
              <w:rPr>
                <w:rFonts w:cs="Times New Roman"/>
                <w:sz w:val="21"/>
                <w:szCs w:val="21"/>
              </w:rPr>
            </w:pPr>
            <w:r>
              <w:rPr>
                <w:rFonts w:cs="Times New Roman"/>
                <w:sz w:val="21"/>
                <w:szCs w:val="21"/>
              </w:rPr>
              <w:t>73</w:t>
            </w:r>
          </w:p>
        </w:tc>
        <w:tc>
          <w:tcPr>
            <w:tcW w:w="0" w:type="auto"/>
            <w:vAlign w:val="center"/>
          </w:tcPr>
          <w:p w14:paraId="2B4CDDA0">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3EDF0284">
            <w:pPr>
              <w:spacing w:line="240" w:lineRule="auto"/>
              <w:ind w:firstLine="0" w:firstLineChars="0"/>
              <w:jc w:val="center"/>
              <w:rPr>
                <w:rFonts w:cs="Times New Roman"/>
                <w:sz w:val="21"/>
                <w:szCs w:val="21"/>
              </w:rPr>
            </w:pPr>
            <w:r>
              <w:rPr>
                <w:rFonts w:cs="Times New Roman"/>
                <w:sz w:val="21"/>
                <w:szCs w:val="21"/>
              </w:rPr>
              <w:t>燕雀科</w:t>
            </w:r>
          </w:p>
        </w:tc>
        <w:tc>
          <w:tcPr>
            <w:tcW w:w="0" w:type="auto"/>
            <w:vAlign w:val="center"/>
          </w:tcPr>
          <w:p w14:paraId="0C704F0F">
            <w:pPr>
              <w:spacing w:line="240" w:lineRule="auto"/>
              <w:ind w:firstLine="0" w:firstLineChars="0"/>
              <w:jc w:val="center"/>
              <w:rPr>
                <w:rFonts w:cs="Times New Roman"/>
                <w:sz w:val="21"/>
                <w:szCs w:val="21"/>
              </w:rPr>
            </w:pPr>
            <w:r>
              <w:rPr>
                <w:rFonts w:cs="Times New Roman"/>
                <w:sz w:val="21"/>
                <w:szCs w:val="21"/>
              </w:rPr>
              <w:t>黑尾蜡嘴雀</w:t>
            </w:r>
          </w:p>
        </w:tc>
        <w:tc>
          <w:tcPr>
            <w:tcW w:w="0" w:type="auto"/>
            <w:vAlign w:val="center"/>
          </w:tcPr>
          <w:p w14:paraId="4B95A267">
            <w:pPr>
              <w:spacing w:line="240" w:lineRule="auto"/>
              <w:ind w:firstLine="0" w:firstLineChars="0"/>
              <w:jc w:val="center"/>
              <w:rPr>
                <w:rFonts w:cs="Times New Roman"/>
                <w:i/>
                <w:iCs/>
                <w:kern w:val="0"/>
                <w:sz w:val="21"/>
                <w:szCs w:val="21"/>
              </w:rPr>
            </w:pPr>
            <w:r>
              <w:rPr>
                <w:rFonts w:cs="Times New Roman"/>
                <w:i/>
                <w:iCs/>
                <w:kern w:val="0"/>
                <w:sz w:val="21"/>
                <w:szCs w:val="21"/>
              </w:rPr>
              <w:t>Eophona migratoria</w:t>
            </w:r>
          </w:p>
        </w:tc>
        <w:tc>
          <w:tcPr>
            <w:tcW w:w="0" w:type="auto"/>
            <w:vAlign w:val="center"/>
          </w:tcPr>
          <w:p w14:paraId="46842CD9">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57B95C18">
            <w:pPr>
              <w:spacing w:line="240" w:lineRule="auto"/>
              <w:ind w:firstLine="0" w:firstLineChars="0"/>
              <w:jc w:val="center"/>
              <w:rPr>
                <w:rFonts w:cs="Times New Roman"/>
                <w:kern w:val="0"/>
                <w:sz w:val="21"/>
                <w:szCs w:val="21"/>
              </w:rPr>
            </w:pPr>
            <w:r>
              <w:rPr>
                <w:rFonts w:cs="Times New Roman"/>
                <w:kern w:val="0"/>
                <w:sz w:val="21"/>
                <w:szCs w:val="21"/>
              </w:rPr>
              <w:t>—</w:t>
            </w:r>
          </w:p>
        </w:tc>
      </w:tr>
      <w:tr w14:paraId="6D29E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FDB95D8">
            <w:pPr>
              <w:spacing w:line="240" w:lineRule="auto"/>
              <w:ind w:firstLine="0" w:firstLineChars="0"/>
              <w:jc w:val="center"/>
              <w:rPr>
                <w:rFonts w:cs="Times New Roman"/>
                <w:sz w:val="21"/>
                <w:szCs w:val="21"/>
              </w:rPr>
            </w:pPr>
            <w:r>
              <w:rPr>
                <w:rFonts w:cs="Times New Roman"/>
                <w:sz w:val="21"/>
                <w:szCs w:val="21"/>
              </w:rPr>
              <w:t>74</w:t>
            </w:r>
          </w:p>
        </w:tc>
        <w:tc>
          <w:tcPr>
            <w:tcW w:w="0" w:type="auto"/>
            <w:vAlign w:val="center"/>
          </w:tcPr>
          <w:p w14:paraId="661054CF">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1B928522">
            <w:pPr>
              <w:spacing w:line="240" w:lineRule="auto"/>
              <w:ind w:firstLine="0" w:firstLineChars="0"/>
              <w:jc w:val="center"/>
              <w:rPr>
                <w:rFonts w:cs="Times New Roman"/>
                <w:sz w:val="21"/>
                <w:szCs w:val="21"/>
              </w:rPr>
            </w:pPr>
            <w:r>
              <w:rPr>
                <w:rFonts w:cs="Times New Roman"/>
                <w:sz w:val="21"/>
                <w:szCs w:val="21"/>
              </w:rPr>
              <w:t>燕雀科</w:t>
            </w:r>
          </w:p>
        </w:tc>
        <w:tc>
          <w:tcPr>
            <w:tcW w:w="0" w:type="auto"/>
            <w:vAlign w:val="center"/>
          </w:tcPr>
          <w:p w14:paraId="5F0A2D76">
            <w:pPr>
              <w:spacing w:line="240" w:lineRule="auto"/>
              <w:ind w:firstLine="0" w:firstLineChars="0"/>
              <w:jc w:val="center"/>
              <w:rPr>
                <w:rFonts w:cs="Times New Roman"/>
                <w:sz w:val="21"/>
                <w:szCs w:val="21"/>
              </w:rPr>
            </w:pPr>
            <w:r>
              <w:rPr>
                <w:rFonts w:cs="Times New Roman"/>
                <w:sz w:val="21"/>
                <w:szCs w:val="21"/>
              </w:rPr>
              <w:t>金翅雀</w:t>
            </w:r>
          </w:p>
        </w:tc>
        <w:tc>
          <w:tcPr>
            <w:tcW w:w="0" w:type="auto"/>
            <w:vAlign w:val="center"/>
          </w:tcPr>
          <w:p w14:paraId="247EE5FB">
            <w:pPr>
              <w:spacing w:line="240" w:lineRule="auto"/>
              <w:ind w:firstLine="0" w:firstLineChars="0"/>
              <w:jc w:val="center"/>
              <w:rPr>
                <w:rFonts w:cs="Times New Roman"/>
                <w:i/>
                <w:iCs/>
                <w:kern w:val="0"/>
                <w:sz w:val="21"/>
                <w:szCs w:val="21"/>
              </w:rPr>
            </w:pPr>
            <w:r>
              <w:rPr>
                <w:rFonts w:cs="Times New Roman"/>
                <w:i/>
                <w:iCs/>
                <w:kern w:val="0"/>
                <w:sz w:val="21"/>
                <w:szCs w:val="21"/>
              </w:rPr>
              <w:t>Chloris sinica</w:t>
            </w:r>
          </w:p>
        </w:tc>
        <w:tc>
          <w:tcPr>
            <w:tcW w:w="0" w:type="auto"/>
            <w:vAlign w:val="center"/>
          </w:tcPr>
          <w:p w14:paraId="3349870E">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26CEF8C2">
            <w:pPr>
              <w:spacing w:line="240" w:lineRule="auto"/>
              <w:ind w:firstLine="0" w:firstLineChars="0"/>
              <w:jc w:val="center"/>
              <w:rPr>
                <w:rFonts w:cs="Times New Roman"/>
                <w:kern w:val="0"/>
                <w:sz w:val="21"/>
                <w:szCs w:val="21"/>
              </w:rPr>
            </w:pPr>
            <w:r>
              <w:rPr>
                <w:rFonts w:cs="Times New Roman"/>
                <w:kern w:val="0"/>
                <w:sz w:val="21"/>
                <w:szCs w:val="21"/>
              </w:rPr>
              <w:t>—</w:t>
            </w:r>
          </w:p>
        </w:tc>
      </w:tr>
      <w:tr w14:paraId="460C2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BAA5A7F">
            <w:pPr>
              <w:spacing w:line="240" w:lineRule="auto"/>
              <w:ind w:firstLine="0" w:firstLineChars="0"/>
              <w:jc w:val="center"/>
              <w:rPr>
                <w:rFonts w:cs="Times New Roman"/>
                <w:sz w:val="21"/>
                <w:szCs w:val="21"/>
              </w:rPr>
            </w:pPr>
            <w:r>
              <w:rPr>
                <w:rFonts w:cs="Times New Roman"/>
                <w:sz w:val="21"/>
                <w:szCs w:val="21"/>
              </w:rPr>
              <w:t>75</w:t>
            </w:r>
          </w:p>
        </w:tc>
        <w:tc>
          <w:tcPr>
            <w:tcW w:w="0" w:type="auto"/>
            <w:vAlign w:val="center"/>
          </w:tcPr>
          <w:p w14:paraId="515EBB3D">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3A41EBCD">
            <w:pPr>
              <w:spacing w:line="240" w:lineRule="auto"/>
              <w:ind w:firstLine="0" w:firstLineChars="0"/>
              <w:jc w:val="center"/>
              <w:rPr>
                <w:rFonts w:cs="Times New Roman"/>
                <w:sz w:val="21"/>
                <w:szCs w:val="21"/>
              </w:rPr>
            </w:pPr>
            <w:r>
              <w:rPr>
                <w:rFonts w:cs="Times New Roman"/>
                <w:sz w:val="21"/>
                <w:szCs w:val="21"/>
              </w:rPr>
              <w:t>燕雀科</w:t>
            </w:r>
          </w:p>
        </w:tc>
        <w:tc>
          <w:tcPr>
            <w:tcW w:w="0" w:type="auto"/>
            <w:vAlign w:val="center"/>
          </w:tcPr>
          <w:p w14:paraId="0DFFECBF">
            <w:pPr>
              <w:spacing w:line="240" w:lineRule="auto"/>
              <w:ind w:firstLine="0" w:firstLineChars="0"/>
              <w:jc w:val="center"/>
              <w:rPr>
                <w:rFonts w:cs="Times New Roman"/>
                <w:sz w:val="21"/>
                <w:szCs w:val="21"/>
              </w:rPr>
            </w:pPr>
            <w:r>
              <w:rPr>
                <w:rFonts w:cs="Times New Roman"/>
                <w:sz w:val="21"/>
                <w:szCs w:val="21"/>
              </w:rPr>
              <w:t>黄雀</w:t>
            </w:r>
          </w:p>
        </w:tc>
        <w:tc>
          <w:tcPr>
            <w:tcW w:w="0" w:type="auto"/>
            <w:vAlign w:val="center"/>
          </w:tcPr>
          <w:p w14:paraId="2E2A03A0">
            <w:pPr>
              <w:spacing w:line="240" w:lineRule="auto"/>
              <w:ind w:firstLine="0" w:firstLineChars="0"/>
              <w:jc w:val="center"/>
              <w:rPr>
                <w:rFonts w:cs="Times New Roman"/>
                <w:i/>
                <w:iCs/>
                <w:kern w:val="0"/>
                <w:sz w:val="21"/>
                <w:szCs w:val="21"/>
              </w:rPr>
            </w:pPr>
            <w:r>
              <w:rPr>
                <w:rFonts w:cs="Times New Roman"/>
                <w:i/>
                <w:iCs/>
                <w:kern w:val="0"/>
                <w:sz w:val="21"/>
                <w:szCs w:val="21"/>
              </w:rPr>
              <w:t>Spinus spinus</w:t>
            </w:r>
          </w:p>
        </w:tc>
        <w:tc>
          <w:tcPr>
            <w:tcW w:w="0" w:type="auto"/>
            <w:vAlign w:val="center"/>
          </w:tcPr>
          <w:p w14:paraId="1CD9D95C">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6C7455CB">
            <w:pPr>
              <w:spacing w:line="240" w:lineRule="auto"/>
              <w:ind w:firstLine="0" w:firstLineChars="0"/>
              <w:jc w:val="center"/>
              <w:rPr>
                <w:rFonts w:cs="Times New Roman"/>
                <w:kern w:val="0"/>
                <w:sz w:val="21"/>
                <w:szCs w:val="21"/>
              </w:rPr>
            </w:pPr>
            <w:r>
              <w:rPr>
                <w:rFonts w:cs="Times New Roman"/>
                <w:kern w:val="0"/>
                <w:sz w:val="21"/>
                <w:szCs w:val="21"/>
              </w:rPr>
              <w:t>—</w:t>
            </w:r>
          </w:p>
        </w:tc>
      </w:tr>
      <w:tr w14:paraId="27F82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C872AEC">
            <w:pPr>
              <w:spacing w:line="240" w:lineRule="auto"/>
              <w:ind w:firstLine="0" w:firstLineChars="0"/>
              <w:jc w:val="center"/>
              <w:rPr>
                <w:rFonts w:cs="Times New Roman"/>
                <w:sz w:val="21"/>
                <w:szCs w:val="21"/>
              </w:rPr>
            </w:pPr>
            <w:r>
              <w:rPr>
                <w:rFonts w:cs="Times New Roman"/>
                <w:sz w:val="21"/>
                <w:szCs w:val="21"/>
              </w:rPr>
              <w:t>76</w:t>
            </w:r>
          </w:p>
        </w:tc>
        <w:tc>
          <w:tcPr>
            <w:tcW w:w="0" w:type="auto"/>
            <w:vAlign w:val="center"/>
          </w:tcPr>
          <w:p w14:paraId="48868F61">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6D374870">
            <w:pPr>
              <w:spacing w:line="240" w:lineRule="auto"/>
              <w:ind w:firstLine="0" w:firstLineChars="0"/>
              <w:jc w:val="center"/>
              <w:rPr>
                <w:rFonts w:cs="Times New Roman"/>
                <w:sz w:val="21"/>
                <w:szCs w:val="21"/>
              </w:rPr>
            </w:pPr>
            <w:r>
              <w:rPr>
                <w:rFonts w:cs="Times New Roman"/>
                <w:sz w:val="21"/>
                <w:szCs w:val="21"/>
              </w:rPr>
              <w:t>椋鸟科</w:t>
            </w:r>
          </w:p>
        </w:tc>
        <w:tc>
          <w:tcPr>
            <w:tcW w:w="0" w:type="auto"/>
            <w:vAlign w:val="center"/>
          </w:tcPr>
          <w:p w14:paraId="7CE2E679">
            <w:pPr>
              <w:spacing w:line="240" w:lineRule="auto"/>
              <w:ind w:firstLine="0" w:firstLineChars="0"/>
              <w:jc w:val="center"/>
              <w:rPr>
                <w:rFonts w:cs="Times New Roman"/>
                <w:sz w:val="21"/>
                <w:szCs w:val="21"/>
              </w:rPr>
            </w:pPr>
            <w:r>
              <w:rPr>
                <w:rFonts w:cs="Times New Roman"/>
                <w:sz w:val="21"/>
                <w:szCs w:val="21"/>
              </w:rPr>
              <w:t>灰椋鸟</w:t>
            </w:r>
          </w:p>
        </w:tc>
        <w:tc>
          <w:tcPr>
            <w:tcW w:w="0" w:type="auto"/>
            <w:vAlign w:val="center"/>
          </w:tcPr>
          <w:p w14:paraId="27B09E7A">
            <w:pPr>
              <w:spacing w:line="240" w:lineRule="auto"/>
              <w:ind w:firstLine="0" w:firstLineChars="0"/>
              <w:jc w:val="center"/>
              <w:rPr>
                <w:rFonts w:cs="Times New Roman"/>
                <w:i/>
                <w:iCs/>
                <w:kern w:val="0"/>
                <w:sz w:val="21"/>
                <w:szCs w:val="21"/>
              </w:rPr>
            </w:pPr>
            <w:r>
              <w:rPr>
                <w:rFonts w:cs="Times New Roman"/>
                <w:i/>
                <w:iCs/>
                <w:kern w:val="0"/>
                <w:sz w:val="21"/>
                <w:szCs w:val="21"/>
              </w:rPr>
              <w:t>Emberiza chrysophrys</w:t>
            </w:r>
          </w:p>
        </w:tc>
        <w:tc>
          <w:tcPr>
            <w:tcW w:w="0" w:type="auto"/>
            <w:vAlign w:val="center"/>
          </w:tcPr>
          <w:p w14:paraId="3DBC852A">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044D63BE">
            <w:pPr>
              <w:spacing w:line="240" w:lineRule="auto"/>
              <w:ind w:firstLine="0" w:firstLineChars="0"/>
              <w:jc w:val="center"/>
              <w:rPr>
                <w:rFonts w:cs="Times New Roman"/>
                <w:kern w:val="0"/>
                <w:sz w:val="21"/>
                <w:szCs w:val="21"/>
              </w:rPr>
            </w:pPr>
            <w:r>
              <w:rPr>
                <w:rFonts w:cs="Times New Roman"/>
                <w:kern w:val="0"/>
                <w:sz w:val="21"/>
                <w:szCs w:val="21"/>
              </w:rPr>
              <w:t>—</w:t>
            </w:r>
          </w:p>
        </w:tc>
      </w:tr>
      <w:tr w14:paraId="73EE6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71A644A">
            <w:pPr>
              <w:spacing w:line="240" w:lineRule="auto"/>
              <w:ind w:firstLine="0" w:firstLineChars="0"/>
              <w:jc w:val="center"/>
              <w:rPr>
                <w:rFonts w:cs="Times New Roman"/>
                <w:sz w:val="21"/>
                <w:szCs w:val="21"/>
              </w:rPr>
            </w:pPr>
            <w:r>
              <w:rPr>
                <w:rFonts w:cs="Times New Roman"/>
                <w:sz w:val="21"/>
                <w:szCs w:val="21"/>
              </w:rPr>
              <w:t>77</w:t>
            </w:r>
          </w:p>
        </w:tc>
        <w:tc>
          <w:tcPr>
            <w:tcW w:w="0" w:type="auto"/>
            <w:vAlign w:val="center"/>
          </w:tcPr>
          <w:p w14:paraId="4A865069">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1DC7AAC8">
            <w:pPr>
              <w:spacing w:line="240" w:lineRule="auto"/>
              <w:ind w:firstLine="0" w:firstLineChars="0"/>
              <w:jc w:val="center"/>
              <w:rPr>
                <w:rFonts w:cs="Times New Roman"/>
                <w:sz w:val="21"/>
                <w:szCs w:val="21"/>
              </w:rPr>
            </w:pPr>
            <w:r>
              <w:rPr>
                <w:rFonts w:cs="Times New Roman"/>
                <w:sz w:val="21"/>
                <w:szCs w:val="21"/>
              </w:rPr>
              <w:t>鸫科</w:t>
            </w:r>
          </w:p>
        </w:tc>
        <w:tc>
          <w:tcPr>
            <w:tcW w:w="0" w:type="auto"/>
            <w:vAlign w:val="center"/>
          </w:tcPr>
          <w:p w14:paraId="0FEF7DF2">
            <w:pPr>
              <w:spacing w:line="240" w:lineRule="auto"/>
              <w:ind w:firstLine="0" w:firstLineChars="0"/>
              <w:jc w:val="center"/>
              <w:rPr>
                <w:rFonts w:cs="Times New Roman"/>
                <w:sz w:val="21"/>
                <w:szCs w:val="21"/>
              </w:rPr>
            </w:pPr>
            <w:r>
              <w:rPr>
                <w:rFonts w:cs="Times New Roman"/>
                <w:sz w:val="21"/>
                <w:szCs w:val="21"/>
              </w:rPr>
              <w:t>乌鸫</w:t>
            </w:r>
          </w:p>
        </w:tc>
        <w:tc>
          <w:tcPr>
            <w:tcW w:w="0" w:type="auto"/>
            <w:vAlign w:val="center"/>
          </w:tcPr>
          <w:p w14:paraId="71BF64BC">
            <w:pPr>
              <w:spacing w:line="240" w:lineRule="auto"/>
              <w:ind w:firstLine="0" w:firstLineChars="0"/>
              <w:jc w:val="center"/>
              <w:rPr>
                <w:rFonts w:cs="Times New Roman"/>
                <w:i/>
                <w:iCs/>
                <w:kern w:val="0"/>
                <w:sz w:val="21"/>
                <w:szCs w:val="21"/>
              </w:rPr>
            </w:pPr>
            <w:r>
              <w:rPr>
                <w:rFonts w:cs="Times New Roman"/>
                <w:i/>
                <w:iCs/>
                <w:kern w:val="0"/>
                <w:sz w:val="21"/>
                <w:szCs w:val="21"/>
              </w:rPr>
              <w:t>Emberiza rustica</w:t>
            </w:r>
          </w:p>
        </w:tc>
        <w:tc>
          <w:tcPr>
            <w:tcW w:w="0" w:type="auto"/>
            <w:vAlign w:val="center"/>
          </w:tcPr>
          <w:p w14:paraId="5688667F">
            <w:pPr>
              <w:spacing w:line="240" w:lineRule="auto"/>
              <w:ind w:firstLine="0" w:firstLineChars="0"/>
              <w:jc w:val="center"/>
              <w:rPr>
                <w:rFonts w:cs="Times New Roman"/>
                <w:kern w:val="0"/>
                <w:sz w:val="21"/>
                <w:szCs w:val="21"/>
              </w:rPr>
            </w:pPr>
            <w:r>
              <w:rPr>
                <w:rFonts w:cs="Times New Roman"/>
                <w:kern w:val="0"/>
                <w:sz w:val="21"/>
                <w:szCs w:val="21"/>
              </w:rPr>
              <w:t>VU</w:t>
            </w:r>
          </w:p>
        </w:tc>
        <w:tc>
          <w:tcPr>
            <w:tcW w:w="0" w:type="auto"/>
            <w:vAlign w:val="center"/>
          </w:tcPr>
          <w:p w14:paraId="49D10D0C">
            <w:pPr>
              <w:spacing w:line="240" w:lineRule="auto"/>
              <w:ind w:firstLine="0" w:firstLineChars="0"/>
              <w:jc w:val="center"/>
              <w:rPr>
                <w:rFonts w:cs="Times New Roman"/>
                <w:kern w:val="0"/>
                <w:sz w:val="21"/>
                <w:szCs w:val="21"/>
              </w:rPr>
            </w:pPr>
            <w:r>
              <w:rPr>
                <w:rFonts w:cs="Times New Roman"/>
                <w:kern w:val="0"/>
                <w:sz w:val="21"/>
                <w:szCs w:val="21"/>
              </w:rPr>
              <w:t>—</w:t>
            </w:r>
          </w:p>
        </w:tc>
      </w:tr>
      <w:tr w14:paraId="1460E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C4B07BE">
            <w:pPr>
              <w:spacing w:line="240" w:lineRule="auto"/>
              <w:ind w:firstLine="0" w:firstLineChars="0"/>
              <w:jc w:val="center"/>
              <w:rPr>
                <w:rFonts w:cs="Times New Roman"/>
                <w:sz w:val="21"/>
                <w:szCs w:val="21"/>
              </w:rPr>
            </w:pPr>
            <w:r>
              <w:rPr>
                <w:rFonts w:cs="Times New Roman"/>
                <w:sz w:val="21"/>
                <w:szCs w:val="21"/>
              </w:rPr>
              <w:t>78</w:t>
            </w:r>
          </w:p>
        </w:tc>
        <w:tc>
          <w:tcPr>
            <w:tcW w:w="0" w:type="auto"/>
            <w:vAlign w:val="center"/>
          </w:tcPr>
          <w:p w14:paraId="0574CA3C">
            <w:pPr>
              <w:spacing w:line="240" w:lineRule="auto"/>
              <w:ind w:firstLine="0" w:firstLineChars="0"/>
              <w:jc w:val="center"/>
              <w:rPr>
                <w:rFonts w:cs="Times New Roman"/>
                <w:sz w:val="21"/>
                <w:szCs w:val="21"/>
              </w:rPr>
            </w:pPr>
            <w:r>
              <w:rPr>
                <w:rFonts w:cs="Times New Roman"/>
                <w:sz w:val="21"/>
                <w:szCs w:val="21"/>
              </w:rPr>
              <w:t>雀形目</w:t>
            </w:r>
          </w:p>
        </w:tc>
        <w:tc>
          <w:tcPr>
            <w:tcW w:w="0" w:type="auto"/>
            <w:vAlign w:val="center"/>
          </w:tcPr>
          <w:p w14:paraId="6C7F1AD7">
            <w:pPr>
              <w:spacing w:line="240" w:lineRule="auto"/>
              <w:ind w:firstLine="0" w:firstLineChars="0"/>
              <w:jc w:val="center"/>
              <w:rPr>
                <w:rFonts w:cs="Times New Roman"/>
                <w:sz w:val="21"/>
                <w:szCs w:val="21"/>
              </w:rPr>
            </w:pPr>
            <w:r>
              <w:rPr>
                <w:rFonts w:cs="Times New Roman"/>
                <w:sz w:val="21"/>
                <w:szCs w:val="21"/>
              </w:rPr>
              <w:t>鸫科</w:t>
            </w:r>
          </w:p>
        </w:tc>
        <w:tc>
          <w:tcPr>
            <w:tcW w:w="0" w:type="auto"/>
            <w:vAlign w:val="center"/>
          </w:tcPr>
          <w:p w14:paraId="6335890A">
            <w:pPr>
              <w:spacing w:line="240" w:lineRule="auto"/>
              <w:ind w:firstLine="0" w:firstLineChars="0"/>
              <w:jc w:val="center"/>
              <w:rPr>
                <w:rFonts w:cs="Times New Roman"/>
                <w:sz w:val="21"/>
                <w:szCs w:val="21"/>
              </w:rPr>
            </w:pPr>
            <w:r>
              <w:rPr>
                <w:rFonts w:cs="Times New Roman"/>
                <w:sz w:val="21"/>
                <w:szCs w:val="21"/>
              </w:rPr>
              <w:t>白腹鸫</w:t>
            </w:r>
          </w:p>
        </w:tc>
        <w:tc>
          <w:tcPr>
            <w:tcW w:w="0" w:type="auto"/>
            <w:vAlign w:val="center"/>
          </w:tcPr>
          <w:p w14:paraId="17D723DF">
            <w:pPr>
              <w:spacing w:line="240" w:lineRule="auto"/>
              <w:ind w:firstLine="0" w:firstLineChars="0"/>
              <w:jc w:val="center"/>
              <w:rPr>
                <w:rFonts w:cs="Times New Roman"/>
                <w:i/>
                <w:iCs/>
                <w:kern w:val="0"/>
                <w:sz w:val="21"/>
                <w:szCs w:val="21"/>
              </w:rPr>
            </w:pPr>
            <w:r>
              <w:rPr>
                <w:rFonts w:cs="Times New Roman"/>
                <w:i/>
                <w:iCs/>
                <w:kern w:val="0"/>
                <w:sz w:val="21"/>
                <w:szCs w:val="21"/>
              </w:rPr>
              <w:t>Emberiza elegans</w:t>
            </w:r>
          </w:p>
        </w:tc>
        <w:tc>
          <w:tcPr>
            <w:tcW w:w="0" w:type="auto"/>
            <w:vAlign w:val="center"/>
          </w:tcPr>
          <w:p w14:paraId="3387D052">
            <w:pPr>
              <w:spacing w:line="240" w:lineRule="auto"/>
              <w:ind w:firstLine="0" w:firstLineChars="0"/>
              <w:jc w:val="center"/>
              <w:rPr>
                <w:rFonts w:cs="Times New Roman"/>
                <w:kern w:val="0"/>
                <w:sz w:val="21"/>
                <w:szCs w:val="21"/>
              </w:rPr>
            </w:pPr>
            <w:r>
              <w:rPr>
                <w:rFonts w:cs="Times New Roman"/>
                <w:kern w:val="0"/>
                <w:sz w:val="21"/>
                <w:szCs w:val="21"/>
              </w:rPr>
              <w:t>LC</w:t>
            </w:r>
          </w:p>
        </w:tc>
        <w:tc>
          <w:tcPr>
            <w:tcW w:w="0" w:type="auto"/>
            <w:vAlign w:val="center"/>
          </w:tcPr>
          <w:p w14:paraId="7C4F9701">
            <w:pPr>
              <w:spacing w:line="240" w:lineRule="auto"/>
              <w:ind w:firstLine="0" w:firstLineChars="0"/>
              <w:jc w:val="center"/>
              <w:rPr>
                <w:rFonts w:cs="Times New Roman"/>
                <w:kern w:val="0"/>
                <w:sz w:val="21"/>
                <w:szCs w:val="21"/>
              </w:rPr>
            </w:pPr>
            <w:r>
              <w:rPr>
                <w:rFonts w:cs="Times New Roman"/>
                <w:kern w:val="0"/>
                <w:sz w:val="21"/>
                <w:szCs w:val="21"/>
              </w:rPr>
              <w:t>—</w:t>
            </w:r>
          </w:p>
        </w:tc>
      </w:tr>
      <w:tr w14:paraId="35E4D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gridSpan w:val="7"/>
            <w:vAlign w:val="center"/>
          </w:tcPr>
          <w:p w14:paraId="6513710C">
            <w:pPr>
              <w:autoSpaceDE w:val="0"/>
              <w:autoSpaceDN w:val="0"/>
              <w:adjustRightInd w:val="0"/>
              <w:spacing w:line="240" w:lineRule="auto"/>
              <w:ind w:firstLine="0" w:firstLineChars="0"/>
              <w:jc w:val="center"/>
              <w:rPr>
                <w:rFonts w:cs="Times New Roman"/>
                <w:kern w:val="0"/>
                <w:sz w:val="21"/>
                <w:szCs w:val="21"/>
              </w:rPr>
            </w:pPr>
            <w:r>
              <w:rPr>
                <w:rFonts w:cs="Times New Roman"/>
                <w:kern w:val="0"/>
                <w:sz w:val="21"/>
                <w:szCs w:val="21"/>
              </w:rPr>
              <w:t>注：“国一”为列入《国家重点保护野生动物名录（2021 版）》的国家一级重点保护物种；“国二”为列入《国家重点保护野生动物名录（2021 版）》的国家二级重点保护物种；“省重点”为列入《江苏省重点保护陆生野生动物名录》的物种；CR 为IUCN 红色名录中的极危物种；EN 为IUCN 红色名录中的濒危物种；VU 为IUCN 红色名录中的易危物种；NT 为IUCN 红色名录中的近危物种；LC 为IUCN 红色名录中的无危物种。</w:t>
            </w:r>
          </w:p>
        </w:tc>
      </w:tr>
    </w:tbl>
    <w:p w14:paraId="274A5D2F">
      <w:pPr>
        <w:spacing w:line="240" w:lineRule="auto"/>
        <w:ind w:firstLine="0" w:firstLineChars="0"/>
        <w:jc w:val="center"/>
      </w:pPr>
      <w:r>
        <w:drawing>
          <wp:inline distT="0" distB="0" distL="0" distR="0">
            <wp:extent cx="4311015" cy="5288280"/>
            <wp:effectExtent l="0" t="0" r="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314155" cy="5291759"/>
                    </a:xfrm>
                    <a:prstGeom prst="rect">
                      <a:avLst/>
                    </a:prstGeom>
                  </pic:spPr>
                </pic:pic>
              </a:graphicData>
            </a:graphic>
          </wp:inline>
        </w:drawing>
      </w:r>
    </w:p>
    <w:p w14:paraId="6AE5A6CB">
      <w:pPr>
        <w:pStyle w:val="45"/>
        <w:rPr>
          <w:rFonts w:cs="Times New Roman"/>
        </w:rPr>
      </w:pPr>
      <w:r>
        <w:rPr>
          <w:rFonts w:hint="eastAsia" w:cs="Times New Roman"/>
        </w:rPr>
        <w:t>图3.</w:t>
      </w:r>
      <w:r>
        <w:rPr>
          <w:rFonts w:cs="Times New Roman"/>
        </w:rPr>
        <w:t>6</w:t>
      </w:r>
      <w:r>
        <w:rPr>
          <w:rFonts w:hint="eastAsia" w:cs="Times New Roman"/>
        </w:rPr>
        <w:t xml:space="preserve">-9 </w:t>
      </w:r>
      <w:r>
        <w:rPr>
          <w:rFonts w:cs="Times New Roman"/>
        </w:rPr>
        <w:t xml:space="preserve"> </w:t>
      </w:r>
      <w:r>
        <w:rPr>
          <w:rFonts w:hint="eastAsia" w:cs="Times New Roman"/>
        </w:rPr>
        <w:t>常州市金坛区茅东省级森林公园鸟类物种照片</w:t>
      </w:r>
    </w:p>
    <w:p w14:paraId="073CA7F8">
      <w:pPr>
        <w:ind w:firstLine="0" w:firstLineChars="0"/>
        <w:outlineLvl w:val="3"/>
      </w:pPr>
      <w:r>
        <w:t>3</w:t>
      </w:r>
      <w:r>
        <w:rPr>
          <w:rFonts w:hint="eastAsia"/>
        </w:rPr>
        <w:t>.</w:t>
      </w:r>
      <w:r>
        <w:t>6</w:t>
      </w:r>
      <w:r>
        <w:rPr>
          <w:rFonts w:hint="eastAsia"/>
        </w:rPr>
        <w:t>.3.</w:t>
      </w:r>
      <w:r>
        <w:t>4</w:t>
      </w:r>
      <w:r>
        <w:rPr>
          <w:rFonts w:hint="eastAsia"/>
        </w:rPr>
        <w:t>兽类</w:t>
      </w:r>
    </w:p>
    <w:p w14:paraId="3D049010">
      <w:pPr>
        <w:ind w:firstLine="480"/>
      </w:pPr>
      <w:r>
        <w:rPr>
          <w:rFonts w:hint="eastAsia"/>
        </w:rPr>
        <w:t>截至2022年11月，常州市金坛区茅东省级森林公园内共记录到7种兽类，隶属于6个目7个科。属于国家二级重点保护野生动物有2种，分别为貉和猕猴；属于江苏省重点保护物种的有3种，分别为东北刺猬、黄鼬和貉：UCN物种红色名录中列为近危物种的有1种，为貉。详细名录见表3.6-8。</w:t>
      </w:r>
    </w:p>
    <w:p w14:paraId="73178DC7">
      <w:pPr>
        <w:pStyle w:val="45"/>
        <w:ind w:firstLine="480"/>
        <w:rPr>
          <w:rFonts w:cs="Times New Roman"/>
        </w:rPr>
      </w:pPr>
      <w:r>
        <w:rPr>
          <w:rFonts w:hint="eastAsia" w:cs="Times New Roman"/>
        </w:rPr>
        <w:t>表3.</w:t>
      </w:r>
      <w:r>
        <w:rPr>
          <w:rFonts w:cs="Times New Roman"/>
        </w:rPr>
        <w:t>6</w:t>
      </w:r>
      <w:r>
        <w:rPr>
          <w:rFonts w:hint="eastAsia" w:cs="Times New Roman"/>
        </w:rPr>
        <w:t xml:space="preserve">-8 </w:t>
      </w:r>
      <w:r>
        <w:rPr>
          <w:rFonts w:cs="Times New Roman"/>
        </w:rPr>
        <w:t xml:space="preserve"> </w:t>
      </w:r>
      <w:r>
        <w:rPr>
          <w:rFonts w:hint="eastAsia" w:cs="Times New Roman"/>
        </w:rPr>
        <w:t>常州市金坛区茅东省级森林公园兽类物种名录</w:t>
      </w:r>
    </w:p>
    <w:tbl>
      <w:tblPr>
        <w:tblStyle w:val="25"/>
        <w:tblW w:w="5000" w:type="pct"/>
        <w:tblInd w:w="0" w:type="dxa"/>
        <w:tblLayout w:type="autofit"/>
        <w:tblCellMar>
          <w:top w:w="0" w:type="dxa"/>
          <w:left w:w="108" w:type="dxa"/>
          <w:bottom w:w="0" w:type="dxa"/>
          <w:right w:w="108" w:type="dxa"/>
        </w:tblCellMar>
      </w:tblPr>
      <w:tblGrid>
        <w:gridCol w:w="2616"/>
        <w:gridCol w:w="3516"/>
        <w:gridCol w:w="808"/>
        <w:gridCol w:w="1582"/>
      </w:tblGrid>
      <w:tr w14:paraId="337C5E27">
        <w:tblPrEx>
          <w:tblCellMar>
            <w:top w:w="0" w:type="dxa"/>
            <w:left w:w="108" w:type="dxa"/>
            <w:bottom w:w="0" w:type="dxa"/>
            <w:right w:w="108" w:type="dxa"/>
          </w:tblCellMar>
        </w:tblPrEx>
        <w:trPr>
          <w:trHeight w:val="285" w:hRule="atLeast"/>
          <w:tblHeader/>
        </w:trPr>
        <w:tc>
          <w:tcPr>
            <w:tcW w:w="1535" w:type="pct"/>
            <w:tcBorders>
              <w:top w:val="single" w:color="auto" w:sz="4" w:space="0"/>
              <w:left w:val="single" w:color="auto" w:sz="4" w:space="0"/>
              <w:bottom w:val="single" w:color="auto" w:sz="4" w:space="0"/>
              <w:right w:val="single" w:color="auto" w:sz="4" w:space="0"/>
            </w:tcBorders>
            <w:vAlign w:val="center"/>
          </w:tcPr>
          <w:p w14:paraId="69A6EE92">
            <w:pPr>
              <w:widowControl/>
              <w:spacing w:line="300" w:lineRule="exact"/>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分类</w:t>
            </w:r>
          </w:p>
        </w:tc>
        <w:tc>
          <w:tcPr>
            <w:tcW w:w="2063" w:type="pct"/>
            <w:tcBorders>
              <w:top w:val="single" w:color="auto" w:sz="4" w:space="0"/>
              <w:left w:val="nil"/>
              <w:bottom w:val="single" w:color="auto" w:sz="4" w:space="0"/>
              <w:right w:val="single" w:color="auto" w:sz="4" w:space="0"/>
            </w:tcBorders>
            <w:vAlign w:val="center"/>
          </w:tcPr>
          <w:p w14:paraId="441B4ACE">
            <w:pPr>
              <w:widowControl/>
              <w:spacing w:line="300" w:lineRule="exact"/>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物种名</w:t>
            </w:r>
          </w:p>
        </w:tc>
        <w:tc>
          <w:tcPr>
            <w:tcW w:w="474" w:type="pct"/>
            <w:tcBorders>
              <w:top w:val="single" w:color="auto" w:sz="4" w:space="0"/>
              <w:left w:val="nil"/>
              <w:bottom w:val="single" w:color="auto" w:sz="4" w:space="0"/>
              <w:right w:val="single" w:color="auto" w:sz="4" w:space="0"/>
            </w:tcBorders>
            <w:vAlign w:val="center"/>
          </w:tcPr>
          <w:p w14:paraId="66118CA9">
            <w:pPr>
              <w:widowControl/>
              <w:spacing w:line="300" w:lineRule="exact"/>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IUCN</w:t>
            </w:r>
          </w:p>
        </w:tc>
        <w:tc>
          <w:tcPr>
            <w:tcW w:w="928" w:type="pct"/>
            <w:tcBorders>
              <w:top w:val="single" w:color="auto" w:sz="4" w:space="0"/>
              <w:left w:val="nil"/>
              <w:bottom w:val="single" w:color="auto" w:sz="4" w:space="0"/>
              <w:right w:val="single" w:color="auto" w:sz="4" w:space="0"/>
            </w:tcBorders>
            <w:vAlign w:val="center"/>
          </w:tcPr>
          <w:p w14:paraId="4A4E28B4">
            <w:pPr>
              <w:widowControl/>
              <w:spacing w:line="300" w:lineRule="exact"/>
              <w:ind w:firstLine="0" w:firstLineChars="0"/>
              <w:jc w:val="center"/>
              <w:rPr>
                <w:rFonts w:cs="Times New Roman"/>
                <w:b/>
                <w:bCs/>
                <w:color w:val="000000"/>
                <w:kern w:val="0"/>
                <w:sz w:val="21"/>
                <w:szCs w:val="21"/>
                <w14:ligatures w14:val="none"/>
              </w:rPr>
            </w:pPr>
            <w:r>
              <w:rPr>
                <w:rFonts w:hint="eastAsia" w:cs="Times New Roman"/>
                <w:b/>
                <w:bCs/>
                <w:color w:val="000000"/>
                <w:kern w:val="0"/>
                <w:sz w:val="21"/>
                <w:szCs w:val="21"/>
                <w14:ligatures w14:val="none"/>
              </w:rPr>
              <w:t>保护等级</w:t>
            </w:r>
          </w:p>
        </w:tc>
      </w:tr>
      <w:tr w14:paraId="5F29F020">
        <w:tblPrEx>
          <w:tblCellMar>
            <w:top w:w="0" w:type="dxa"/>
            <w:left w:w="108" w:type="dxa"/>
            <w:bottom w:w="0" w:type="dxa"/>
            <w:right w:w="108" w:type="dxa"/>
          </w:tblCellMar>
        </w:tblPrEx>
        <w:trPr>
          <w:trHeight w:val="285" w:hRule="atLeast"/>
        </w:trPr>
        <w:tc>
          <w:tcPr>
            <w:tcW w:w="1535" w:type="pct"/>
            <w:tcBorders>
              <w:top w:val="nil"/>
              <w:left w:val="single" w:color="auto" w:sz="4" w:space="0"/>
              <w:bottom w:val="single" w:color="auto" w:sz="4" w:space="0"/>
              <w:right w:val="single" w:color="auto" w:sz="4" w:space="0"/>
            </w:tcBorders>
            <w:vAlign w:val="center"/>
          </w:tcPr>
          <w:p w14:paraId="4534D310">
            <w:pPr>
              <w:widowControl/>
              <w:spacing w:line="300" w:lineRule="exact"/>
              <w:ind w:firstLine="0" w:firstLineChars="0"/>
              <w:jc w:val="center"/>
              <w:rPr>
                <w:rFonts w:cs="Times New Roman"/>
                <w:b/>
                <w:bCs/>
                <w:color w:val="000000"/>
                <w:kern w:val="0"/>
                <w:sz w:val="21"/>
                <w:szCs w:val="21"/>
                <w14:ligatures w14:val="none"/>
              </w:rPr>
            </w:pPr>
            <w:r>
              <w:rPr>
                <w:rFonts w:hint="eastAsia" w:cs="Times New Roman"/>
                <w:b/>
                <w:color w:val="000000"/>
                <w:kern w:val="0"/>
                <w:sz w:val="21"/>
                <w:szCs w:val="21"/>
              </w:rPr>
              <w:t xml:space="preserve">食虫目 </w:t>
            </w:r>
            <w:r>
              <w:rPr>
                <w:rFonts w:hint="eastAsia" w:cs="Times New Roman"/>
                <w:b/>
                <w:color w:val="333333"/>
                <w:kern w:val="0"/>
                <w:sz w:val="21"/>
                <w:szCs w:val="21"/>
              </w:rPr>
              <w:t>Insectivora</w:t>
            </w:r>
          </w:p>
        </w:tc>
        <w:tc>
          <w:tcPr>
            <w:tcW w:w="2063" w:type="pct"/>
            <w:tcBorders>
              <w:top w:val="nil"/>
              <w:left w:val="nil"/>
              <w:bottom w:val="single" w:color="auto" w:sz="4" w:space="0"/>
              <w:right w:val="single" w:color="auto" w:sz="4" w:space="0"/>
            </w:tcBorders>
            <w:vAlign w:val="center"/>
          </w:tcPr>
          <w:p w14:paraId="1691DEF0">
            <w:pPr>
              <w:widowControl/>
              <w:spacing w:line="300" w:lineRule="exact"/>
              <w:ind w:firstLine="0" w:firstLineChars="0"/>
              <w:jc w:val="center"/>
              <w:rPr>
                <w:rFonts w:cs="Times New Roman"/>
                <w:b/>
                <w:bCs/>
                <w:color w:val="000000"/>
                <w:kern w:val="0"/>
                <w:sz w:val="21"/>
                <w:szCs w:val="21"/>
                <w14:ligatures w14:val="none"/>
              </w:rPr>
            </w:pPr>
          </w:p>
        </w:tc>
        <w:tc>
          <w:tcPr>
            <w:tcW w:w="474" w:type="pct"/>
            <w:tcBorders>
              <w:top w:val="nil"/>
              <w:left w:val="nil"/>
              <w:bottom w:val="single" w:color="auto" w:sz="4" w:space="0"/>
              <w:right w:val="single" w:color="auto" w:sz="4" w:space="0"/>
            </w:tcBorders>
            <w:vAlign w:val="center"/>
          </w:tcPr>
          <w:p w14:paraId="752253A8">
            <w:pPr>
              <w:widowControl/>
              <w:spacing w:line="300" w:lineRule="exact"/>
              <w:ind w:firstLine="0" w:firstLineChars="0"/>
              <w:jc w:val="center"/>
              <w:rPr>
                <w:rFonts w:cs="Times New Roman"/>
                <w:b/>
                <w:bCs/>
                <w:color w:val="000000"/>
                <w:kern w:val="0"/>
                <w:sz w:val="21"/>
                <w:szCs w:val="21"/>
                <w14:ligatures w14:val="none"/>
              </w:rPr>
            </w:pPr>
          </w:p>
        </w:tc>
        <w:tc>
          <w:tcPr>
            <w:tcW w:w="928" w:type="pct"/>
            <w:tcBorders>
              <w:top w:val="nil"/>
              <w:left w:val="nil"/>
              <w:bottom w:val="single" w:color="auto" w:sz="4" w:space="0"/>
              <w:right w:val="single" w:color="auto" w:sz="4" w:space="0"/>
            </w:tcBorders>
            <w:vAlign w:val="center"/>
          </w:tcPr>
          <w:p w14:paraId="40F05642">
            <w:pPr>
              <w:widowControl/>
              <w:spacing w:line="300" w:lineRule="exact"/>
              <w:ind w:firstLine="0" w:firstLineChars="0"/>
              <w:jc w:val="center"/>
              <w:rPr>
                <w:rFonts w:cs="Times New Roman"/>
                <w:b/>
                <w:bCs/>
                <w:color w:val="000000"/>
                <w:kern w:val="0"/>
                <w:sz w:val="21"/>
                <w:szCs w:val="21"/>
                <w14:ligatures w14:val="none"/>
              </w:rPr>
            </w:pPr>
          </w:p>
        </w:tc>
      </w:tr>
      <w:tr w14:paraId="66E4CC16">
        <w:tblPrEx>
          <w:tblCellMar>
            <w:top w:w="0" w:type="dxa"/>
            <w:left w:w="108" w:type="dxa"/>
            <w:bottom w:w="0" w:type="dxa"/>
            <w:right w:w="108" w:type="dxa"/>
          </w:tblCellMar>
        </w:tblPrEx>
        <w:trPr>
          <w:trHeight w:val="199" w:hRule="atLeast"/>
        </w:trPr>
        <w:tc>
          <w:tcPr>
            <w:tcW w:w="1535" w:type="pct"/>
            <w:tcBorders>
              <w:top w:val="nil"/>
              <w:left w:val="single" w:color="auto" w:sz="4" w:space="0"/>
              <w:bottom w:val="single" w:color="auto" w:sz="4" w:space="0"/>
              <w:right w:val="single" w:color="auto" w:sz="4" w:space="0"/>
            </w:tcBorders>
            <w:vAlign w:val="center"/>
          </w:tcPr>
          <w:p w14:paraId="66EDE6C5">
            <w:pPr>
              <w:widowControl/>
              <w:spacing w:line="300" w:lineRule="exact"/>
              <w:ind w:firstLine="0" w:firstLineChars="0"/>
              <w:jc w:val="center"/>
              <w:rPr>
                <w:rFonts w:cs="Times New Roman"/>
                <w:color w:val="000000"/>
                <w:kern w:val="0"/>
                <w:sz w:val="21"/>
                <w:szCs w:val="21"/>
                <w14:ligatures w14:val="none"/>
              </w:rPr>
            </w:pPr>
            <w:r>
              <w:rPr>
                <w:rFonts w:hint="eastAsia" w:cs="Times New Roman"/>
                <w:color w:val="000000"/>
                <w:kern w:val="0"/>
                <w:sz w:val="21"/>
                <w:szCs w:val="21"/>
              </w:rPr>
              <w:t xml:space="preserve">刺猬科 </w:t>
            </w:r>
            <w:r>
              <w:rPr>
                <w:rFonts w:hint="eastAsia" w:cs="Times New Roman"/>
                <w:color w:val="333333"/>
                <w:kern w:val="0"/>
                <w:sz w:val="21"/>
                <w:szCs w:val="21"/>
              </w:rPr>
              <w:t>Erinaceidae</w:t>
            </w:r>
          </w:p>
        </w:tc>
        <w:tc>
          <w:tcPr>
            <w:tcW w:w="2063" w:type="pct"/>
            <w:tcBorders>
              <w:top w:val="nil"/>
              <w:left w:val="nil"/>
              <w:bottom w:val="single" w:color="auto" w:sz="4" w:space="0"/>
              <w:right w:val="single" w:color="auto" w:sz="4" w:space="0"/>
            </w:tcBorders>
            <w:vAlign w:val="center"/>
          </w:tcPr>
          <w:p w14:paraId="4FBB0A07">
            <w:pPr>
              <w:widowControl/>
              <w:spacing w:line="300" w:lineRule="exact"/>
              <w:ind w:firstLine="0" w:firstLineChars="0"/>
              <w:jc w:val="center"/>
              <w:rPr>
                <w:rFonts w:cs="Times New Roman"/>
                <w:color w:val="000000"/>
                <w:kern w:val="0"/>
                <w:sz w:val="21"/>
                <w:szCs w:val="21"/>
                <w14:ligatures w14:val="none"/>
              </w:rPr>
            </w:pPr>
            <w:r>
              <w:rPr>
                <w:rFonts w:hint="eastAsia" w:cs="Times New Roman"/>
                <w:kern w:val="0"/>
                <w:sz w:val="21"/>
                <w:szCs w:val="21"/>
              </w:rPr>
              <w:t xml:space="preserve">东北刺猬 </w:t>
            </w:r>
            <w:r>
              <w:rPr>
                <w:rFonts w:hint="eastAsia" w:cs="Times New Roman"/>
                <w:i/>
                <w:iCs/>
                <w:kern w:val="0"/>
                <w:sz w:val="21"/>
                <w:szCs w:val="21"/>
              </w:rPr>
              <w:t>Erinaceus amurensis</w:t>
            </w:r>
          </w:p>
        </w:tc>
        <w:tc>
          <w:tcPr>
            <w:tcW w:w="474" w:type="pct"/>
            <w:tcBorders>
              <w:top w:val="nil"/>
              <w:left w:val="nil"/>
              <w:bottom w:val="single" w:color="auto" w:sz="4" w:space="0"/>
              <w:right w:val="single" w:color="auto" w:sz="4" w:space="0"/>
            </w:tcBorders>
            <w:vAlign w:val="center"/>
          </w:tcPr>
          <w:p w14:paraId="557C8F0D">
            <w:pPr>
              <w:widowControl/>
              <w:spacing w:line="300" w:lineRule="exact"/>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LC</w:t>
            </w:r>
          </w:p>
        </w:tc>
        <w:tc>
          <w:tcPr>
            <w:tcW w:w="928" w:type="pct"/>
            <w:tcBorders>
              <w:top w:val="nil"/>
              <w:left w:val="nil"/>
              <w:bottom w:val="single" w:color="auto" w:sz="4" w:space="0"/>
              <w:right w:val="single" w:color="auto" w:sz="4" w:space="0"/>
            </w:tcBorders>
            <w:vAlign w:val="center"/>
          </w:tcPr>
          <w:p w14:paraId="2688BDC4">
            <w:pPr>
              <w:widowControl/>
              <w:spacing w:line="300" w:lineRule="exact"/>
              <w:ind w:firstLine="0" w:firstLineChars="0"/>
              <w:jc w:val="center"/>
              <w:rPr>
                <w:rFonts w:cs="Times New Roman"/>
                <w:color w:val="000000"/>
                <w:kern w:val="0"/>
                <w:sz w:val="21"/>
                <w:szCs w:val="21"/>
                <w14:ligatures w14:val="none"/>
              </w:rPr>
            </w:pPr>
            <w:r>
              <w:rPr>
                <w:rFonts w:hint="eastAsia" w:cs="Times New Roman"/>
                <w:kern w:val="0"/>
                <w:sz w:val="21"/>
                <w:szCs w:val="21"/>
              </w:rPr>
              <w:t>省重点，三有</w:t>
            </w:r>
          </w:p>
        </w:tc>
      </w:tr>
      <w:tr w14:paraId="46B0B99A">
        <w:tblPrEx>
          <w:tblCellMar>
            <w:top w:w="0" w:type="dxa"/>
            <w:left w:w="108" w:type="dxa"/>
            <w:bottom w:w="0" w:type="dxa"/>
            <w:right w:w="108" w:type="dxa"/>
          </w:tblCellMar>
        </w:tblPrEx>
        <w:trPr>
          <w:trHeight w:val="392" w:hRule="atLeast"/>
        </w:trPr>
        <w:tc>
          <w:tcPr>
            <w:tcW w:w="1535" w:type="pct"/>
            <w:tcBorders>
              <w:top w:val="nil"/>
              <w:left w:val="single" w:color="auto" w:sz="4" w:space="0"/>
              <w:bottom w:val="single" w:color="auto" w:sz="4" w:space="0"/>
              <w:right w:val="single" w:color="auto" w:sz="4" w:space="0"/>
            </w:tcBorders>
            <w:vAlign w:val="center"/>
          </w:tcPr>
          <w:p w14:paraId="7276578F">
            <w:pPr>
              <w:widowControl/>
              <w:spacing w:line="300" w:lineRule="exact"/>
              <w:ind w:firstLine="0" w:firstLineChars="0"/>
              <w:jc w:val="center"/>
              <w:rPr>
                <w:rFonts w:cs="Times New Roman"/>
                <w:b/>
                <w:color w:val="000000"/>
                <w:kern w:val="0"/>
                <w:sz w:val="21"/>
                <w:szCs w:val="21"/>
              </w:rPr>
            </w:pPr>
            <w:r>
              <w:rPr>
                <w:rFonts w:hint="eastAsia" w:cs="Times New Roman"/>
                <w:b/>
                <w:color w:val="000000"/>
                <w:kern w:val="0"/>
                <w:sz w:val="21"/>
                <w:szCs w:val="21"/>
              </w:rPr>
              <w:t xml:space="preserve">兔形目 </w:t>
            </w:r>
            <w:r>
              <w:rPr>
                <w:rFonts w:hint="eastAsia" w:cs="Times New Roman"/>
                <w:b/>
                <w:color w:val="333333"/>
                <w:kern w:val="0"/>
                <w:sz w:val="21"/>
                <w:szCs w:val="21"/>
              </w:rPr>
              <w:t>Lagomorpha</w:t>
            </w:r>
          </w:p>
        </w:tc>
        <w:tc>
          <w:tcPr>
            <w:tcW w:w="2063" w:type="pct"/>
            <w:tcBorders>
              <w:top w:val="nil"/>
              <w:left w:val="nil"/>
              <w:bottom w:val="single" w:color="auto" w:sz="4" w:space="0"/>
              <w:right w:val="single" w:color="auto" w:sz="4" w:space="0"/>
            </w:tcBorders>
            <w:vAlign w:val="center"/>
          </w:tcPr>
          <w:p w14:paraId="4109F48C">
            <w:pPr>
              <w:widowControl/>
              <w:spacing w:line="300" w:lineRule="exact"/>
              <w:ind w:firstLine="0" w:firstLineChars="0"/>
              <w:jc w:val="center"/>
              <w:rPr>
                <w:rFonts w:cs="Times New Roman"/>
                <w:kern w:val="0"/>
                <w:sz w:val="21"/>
                <w:szCs w:val="21"/>
              </w:rPr>
            </w:pPr>
          </w:p>
        </w:tc>
        <w:tc>
          <w:tcPr>
            <w:tcW w:w="474" w:type="pct"/>
            <w:tcBorders>
              <w:top w:val="nil"/>
              <w:left w:val="nil"/>
              <w:bottom w:val="single" w:color="auto" w:sz="4" w:space="0"/>
              <w:right w:val="single" w:color="auto" w:sz="4" w:space="0"/>
            </w:tcBorders>
            <w:vAlign w:val="center"/>
          </w:tcPr>
          <w:p w14:paraId="35F77268">
            <w:pPr>
              <w:widowControl/>
              <w:spacing w:line="300" w:lineRule="exact"/>
              <w:ind w:firstLine="0" w:firstLineChars="0"/>
              <w:jc w:val="center"/>
              <w:rPr>
                <w:rFonts w:cs="Times New Roman"/>
                <w:color w:val="000000"/>
                <w:kern w:val="0"/>
                <w:sz w:val="21"/>
                <w:szCs w:val="21"/>
                <w14:ligatures w14:val="none"/>
              </w:rPr>
            </w:pPr>
          </w:p>
        </w:tc>
        <w:tc>
          <w:tcPr>
            <w:tcW w:w="928" w:type="pct"/>
            <w:tcBorders>
              <w:top w:val="nil"/>
              <w:left w:val="nil"/>
              <w:bottom w:val="single" w:color="auto" w:sz="4" w:space="0"/>
              <w:right w:val="single" w:color="auto" w:sz="4" w:space="0"/>
            </w:tcBorders>
            <w:vAlign w:val="center"/>
          </w:tcPr>
          <w:p w14:paraId="70ECC78F">
            <w:pPr>
              <w:widowControl/>
              <w:spacing w:line="300" w:lineRule="exact"/>
              <w:ind w:firstLine="0" w:firstLineChars="0"/>
              <w:jc w:val="center"/>
              <w:rPr>
                <w:rFonts w:cs="Times New Roman"/>
                <w:kern w:val="0"/>
                <w:sz w:val="21"/>
                <w:szCs w:val="21"/>
              </w:rPr>
            </w:pPr>
          </w:p>
        </w:tc>
      </w:tr>
      <w:tr w14:paraId="0F786AEC">
        <w:tblPrEx>
          <w:tblCellMar>
            <w:top w:w="0" w:type="dxa"/>
            <w:left w:w="108" w:type="dxa"/>
            <w:bottom w:w="0" w:type="dxa"/>
            <w:right w:w="108" w:type="dxa"/>
          </w:tblCellMar>
        </w:tblPrEx>
        <w:trPr>
          <w:trHeight w:val="270" w:hRule="atLeast"/>
        </w:trPr>
        <w:tc>
          <w:tcPr>
            <w:tcW w:w="1535" w:type="pct"/>
            <w:tcBorders>
              <w:top w:val="nil"/>
              <w:left w:val="single" w:color="auto" w:sz="4" w:space="0"/>
              <w:bottom w:val="single" w:color="auto" w:sz="4" w:space="0"/>
              <w:right w:val="single" w:color="auto" w:sz="4" w:space="0"/>
            </w:tcBorders>
            <w:vAlign w:val="center"/>
          </w:tcPr>
          <w:p w14:paraId="04CD1E25">
            <w:pPr>
              <w:widowControl/>
              <w:spacing w:line="300" w:lineRule="exact"/>
              <w:ind w:firstLine="0" w:firstLineChars="0"/>
              <w:jc w:val="center"/>
              <w:rPr>
                <w:rFonts w:cs="Times New Roman"/>
                <w:color w:val="000000"/>
                <w:kern w:val="0"/>
                <w:sz w:val="21"/>
                <w:szCs w:val="21"/>
                <w14:ligatures w14:val="none"/>
              </w:rPr>
            </w:pPr>
            <w:r>
              <w:rPr>
                <w:rFonts w:hint="eastAsia" w:cs="Times New Roman"/>
                <w:color w:val="000000"/>
                <w:kern w:val="0"/>
                <w:sz w:val="21"/>
                <w:szCs w:val="21"/>
              </w:rPr>
              <w:t xml:space="preserve">兔科 </w:t>
            </w:r>
            <w:r>
              <w:rPr>
                <w:rFonts w:hint="eastAsia" w:cs="Times New Roman"/>
                <w:color w:val="333333"/>
                <w:kern w:val="0"/>
                <w:sz w:val="21"/>
                <w:szCs w:val="21"/>
              </w:rPr>
              <w:t>Leporidae</w:t>
            </w:r>
          </w:p>
        </w:tc>
        <w:tc>
          <w:tcPr>
            <w:tcW w:w="2063" w:type="pct"/>
            <w:tcBorders>
              <w:top w:val="nil"/>
              <w:left w:val="nil"/>
              <w:bottom w:val="single" w:color="auto" w:sz="4" w:space="0"/>
              <w:right w:val="single" w:color="auto" w:sz="4" w:space="0"/>
            </w:tcBorders>
            <w:vAlign w:val="center"/>
          </w:tcPr>
          <w:p w14:paraId="4C0A12B6">
            <w:pPr>
              <w:widowControl/>
              <w:spacing w:line="300" w:lineRule="exact"/>
              <w:ind w:firstLine="0" w:firstLineChars="0"/>
              <w:jc w:val="center"/>
              <w:rPr>
                <w:rFonts w:cs="Times New Roman"/>
                <w:color w:val="000000"/>
                <w:kern w:val="0"/>
                <w:sz w:val="21"/>
                <w:szCs w:val="21"/>
                <w14:ligatures w14:val="none"/>
              </w:rPr>
            </w:pPr>
            <w:r>
              <w:rPr>
                <w:rFonts w:hint="eastAsia" w:cs="Times New Roman"/>
                <w:kern w:val="0"/>
                <w:sz w:val="21"/>
                <w:szCs w:val="21"/>
              </w:rPr>
              <w:t>华南兔</w:t>
            </w:r>
            <w:r>
              <w:rPr>
                <w:rFonts w:hint="eastAsia" w:cs="Times New Roman"/>
                <w:i/>
                <w:iCs/>
                <w:kern w:val="0"/>
                <w:sz w:val="21"/>
                <w:szCs w:val="21"/>
              </w:rPr>
              <w:t>Lepus sinensis</w:t>
            </w:r>
          </w:p>
        </w:tc>
        <w:tc>
          <w:tcPr>
            <w:tcW w:w="474" w:type="pct"/>
            <w:tcBorders>
              <w:top w:val="nil"/>
              <w:left w:val="nil"/>
              <w:bottom w:val="single" w:color="auto" w:sz="4" w:space="0"/>
              <w:right w:val="single" w:color="auto" w:sz="4" w:space="0"/>
            </w:tcBorders>
            <w:vAlign w:val="center"/>
          </w:tcPr>
          <w:p w14:paraId="397C9C78">
            <w:pPr>
              <w:widowControl/>
              <w:spacing w:line="300" w:lineRule="exact"/>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LC</w:t>
            </w:r>
          </w:p>
        </w:tc>
        <w:tc>
          <w:tcPr>
            <w:tcW w:w="928" w:type="pct"/>
            <w:tcBorders>
              <w:top w:val="nil"/>
              <w:left w:val="nil"/>
              <w:bottom w:val="single" w:color="auto" w:sz="4" w:space="0"/>
              <w:right w:val="single" w:color="auto" w:sz="4" w:space="0"/>
            </w:tcBorders>
            <w:vAlign w:val="center"/>
          </w:tcPr>
          <w:p w14:paraId="7C8B84F3">
            <w:pPr>
              <w:widowControl/>
              <w:spacing w:line="300" w:lineRule="exact"/>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三有</w:t>
            </w:r>
          </w:p>
        </w:tc>
      </w:tr>
      <w:tr w14:paraId="00B7FAB8">
        <w:tblPrEx>
          <w:tblCellMar>
            <w:top w:w="0" w:type="dxa"/>
            <w:left w:w="108" w:type="dxa"/>
            <w:bottom w:w="0" w:type="dxa"/>
            <w:right w:w="108" w:type="dxa"/>
          </w:tblCellMar>
        </w:tblPrEx>
        <w:trPr>
          <w:trHeight w:val="388" w:hRule="atLeast"/>
        </w:trPr>
        <w:tc>
          <w:tcPr>
            <w:tcW w:w="1535" w:type="pct"/>
            <w:tcBorders>
              <w:top w:val="nil"/>
              <w:left w:val="single" w:color="auto" w:sz="4" w:space="0"/>
              <w:bottom w:val="single" w:color="auto" w:sz="4" w:space="0"/>
              <w:right w:val="single" w:color="auto" w:sz="4" w:space="0"/>
            </w:tcBorders>
            <w:vAlign w:val="center"/>
          </w:tcPr>
          <w:p w14:paraId="19AA90F7">
            <w:pPr>
              <w:widowControl/>
              <w:spacing w:line="300" w:lineRule="exact"/>
              <w:ind w:firstLine="0" w:firstLineChars="0"/>
              <w:jc w:val="center"/>
              <w:rPr>
                <w:rFonts w:cs="Times New Roman"/>
                <w:b/>
                <w:color w:val="000000"/>
                <w:kern w:val="0"/>
                <w:sz w:val="21"/>
                <w:szCs w:val="21"/>
              </w:rPr>
            </w:pPr>
            <w:r>
              <w:rPr>
                <w:rFonts w:hint="eastAsia" w:cs="Times New Roman"/>
                <w:b/>
                <w:color w:val="000000"/>
                <w:kern w:val="0"/>
                <w:sz w:val="21"/>
                <w:szCs w:val="21"/>
              </w:rPr>
              <w:t xml:space="preserve">啮齿目 </w:t>
            </w:r>
            <w:r>
              <w:rPr>
                <w:rFonts w:hint="eastAsia" w:cs="Times New Roman"/>
                <w:b/>
                <w:color w:val="333333"/>
                <w:kern w:val="0"/>
                <w:sz w:val="21"/>
                <w:szCs w:val="21"/>
              </w:rPr>
              <w:t>Rodentia</w:t>
            </w:r>
          </w:p>
        </w:tc>
        <w:tc>
          <w:tcPr>
            <w:tcW w:w="2063" w:type="pct"/>
            <w:tcBorders>
              <w:top w:val="nil"/>
              <w:left w:val="nil"/>
              <w:bottom w:val="single" w:color="auto" w:sz="4" w:space="0"/>
              <w:right w:val="single" w:color="auto" w:sz="4" w:space="0"/>
            </w:tcBorders>
            <w:vAlign w:val="center"/>
          </w:tcPr>
          <w:p w14:paraId="3F88142B">
            <w:pPr>
              <w:widowControl/>
              <w:spacing w:line="300" w:lineRule="exact"/>
              <w:ind w:firstLine="0" w:firstLineChars="0"/>
              <w:jc w:val="center"/>
              <w:rPr>
                <w:rFonts w:cs="Times New Roman"/>
                <w:kern w:val="0"/>
                <w:sz w:val="21"/>
                <w:szCs w:val="21"/>
              </w:rPr>
            </w:pPr>
          </w:p>
        </w:tc>
        <w:tc>
          <w:tcPr>
            <w:tcW w:w="474" w:type="pct"/>
            <w:tcBorders>
              <w:top w:val="nil"/>
              <w:left w:val="nil"/>
              <w:bottom w:val="single" w:color="auto" w:sz="4" w:space="0"/>
              <w:right w:val="single" w:color="auto" w:sz="4" w:space="0"/>
            </w:tcBorders>
            <w:vAlign w:val="center"/>
          </w:tcPr>
          <w:p w14:paraId="627A978D">
            <w:pPr>
              <w:widowControl/>
              <w:spacing w:line="300" w:lineRule="exact"/>
              <w:ind w:firstLine="0" w:firstLineChars="0"/>
              <w:jc w:val="center"/>
              <w:rPr>
                <w:rFonts w:cs="Times New Roman"/>
                <w:color w:val="000000"/>
                <w:kern w:val="0"/>
                <w:sz w:val="21"/>
                <w:szCs w:val="21"/>
                <w14:ligatures w14:val="none"/>
              </w:rPr>
            </w:pPr>
          </w:p>
        </w:tc>
        <w:tc>
          <w:tcPr>
            <w:tcW w:w="928" w:type="pct"/>
            <w:tcBorders>
              <w:top w:val="nil"/>
              <w:left w:val="nil"/>
              <w:bottom w:val="single" w:color="auto" w:sz="4" w:space="0"/>
              <w:right w:val="single" w:color="auto" w:sz="4" w:space="0"/>
            </w:tcBorders>
            <w:vAlign w:val="center"/>
          </w:tcPr>
          <w:p w14:paraId="1414E593">
            <w:pPr>
              <w:widowControl/>
              <w:spacing w:line="300" w:lineRule="exact"/>
              <w:ind w:firstLine="0" w:firstLineChars="0"/>
              <w:jc w:val="center"/>
              <w:rPr>
                <w:rFonts w:cs="Times New Roman"/>
                <w:color w:val="000000"/>
                <w:kern w:val="0"/>
                <w:sz w:val="21"/>
                <w:szCs w:val="21"/>
                <w14:ligatures w14:val="none"/>
              </w:rPr>
            </w:pPr>
          </w:p>
        </w:tc>
      </w:tr>
      <w:tr w14:paraId="2B175E10">
        <w:tblPrEx>
          <w:tblCellMar>
            <w:top w:w="0" w:type="dxa"/>
            <w:left w:w="108" w:type="dxa"/>
            <w:bottom w:w="0" w:type="dxa"/>
            <w:right w:w="108" w:type="dxa"/>
          </w:tblCellMar>
        </w:tblPrEx>
        <w:trPr>
          <w:trHeight w:val="417" w:hRule="atLeast"/>
        </w:trPr>
        <w:tc>
          <w:tcPr>
            <w:tcW w:w="1535" w:type="pct"/>
            <w:tcBorders>
              <w:top w:val="nil"/>
              <w:left w:val="single" w:color="auto" w:sz="4" w:space="0"/>
              <w:bottom w:val="single" w:color="auto" w:sz="4" w:space="0"/>
              <w:right w:val="single" w:color="auto" w:sz="4" w:space="0"/>
            </w:tcBorders>
            <w:vAlign w:val="center"/>
          </w:tcPr>
          <w:p w14:paraId="2D1A0ECE">
            <w:pPr>
              <w:widowControl/>
              <w:spacing w:line="300" w:lineRule="exact"/>
              <w:ind w:firstLine="0" w:firstLineChars="0"/>
              <w:jc w:val="center"/>
              <w:rPr>
                <w:rFonts w:cs="Times New Roman"/>
                <w:color w:val="000000"/>
                <w:kern w:val="0"/>
                <w:sz w:val="21"/>
                <w:szCs w:val="21"/>
              </w:rPr>
            </w:pPr>
            <w:r>
              <w:rPr>
                <w:rFonts w:hint="eastAsia" w:cs="Times New Roman"/>
                <w:color w:val="000000"/>
                <w:kern w:val="0"/>
                <w:sz w:val="21"/>
                <w:szCs w:val="21"/>
              </w:rPr>
              <w:t>鼠科 M</w:t>
            </w:r>
            <w:r>
              <w:rPr>
                <w:rFonts w:hint="eastAsia" w:cs="Times New Roman"/>
                <w:color w:val="333333"/>
                <w:kern w:val="0"/>
                <w:sz w:val="21"/>
                <w:szCs w:val="21"/>
              </w:rPr>
              <w:t>uridae</w:t>
            </w:r>
          </w:p>
        </w:tc>
        <w:tc>
          <w:tcPr>
            <w:tcW w:w="2063" w:type="pct"/>
            <w:tcBorders>
              <w:top w:val="nil"/>
              <w:left w:val="nil"/>
              <w:bottom w:val="single" w:color="auto" w:sz="4" w:space="0"/>
              <w:right w:val="single" w:color="auto" w:sz="4" w:space="0"/>
            </w:tcBorders>
            <w:vAlign w:val="center"/>
          </w:tcPr>
          <w:p w14:paraId="5BB6C3E3">
            <w:pPr>
              <w:widowControl/>
              <w:spacing w:line="300" w:lineRule="exact"/>
              <w:ind w:firstLine="0" w:firstLineChars="0"/>
              <w:jc w:val="center"/>
              <w:rPr>
                <w:rFonts w:cs="Times New Roman"/>
                <w:kern w:val="0"/>
                <w:sz w:val="21"/>
                <w:szCs w:val="21"/>
              </w:rPr>
            </w:pPr>
            <w:r>
              <w:rPr>
                <w:rFonts w:hint="eastAsia" w:cs="Times New Roman"/>
                <w:color w:val="000000"/>
                <w:kern w:val="0"/>
                <w:sz w:val="21"/>
                <w:szCs w:val="21"/>
              </w:rPr>
              <w:t>褐家鼠</w:t>
            </w:r>
            <w:r>
              <w:rPr>
                <w:rFonts w:hint="eastAsia" w:cs="Times New Roman"/>
                <w:i/>
                <w:iCs/>
                <w:color w:val="333333"/>
                <w:kern w:val="0"/>
                <w:sz w:val="21"/>
                <w:szCs w:val="21"/>
              </w:rPr>
              <w:t>Rattus norvegicus</w:t>
            </w:r>
          </w:p>
        </w:tc>
        <w:tc>
          <w:tcPr>
            <w:tcW w:w="474" w:type="pct"/>
            <w:tcBorders>
              <w:top w:val="nil"/>
              <w:left w:val="nil"/>
              <w:bottom w:val="single" w:color="auto" w:sz="4" w:space="0"/>
              <w:right w:val="single" w:color="auto" w:sz="4" w:space="0"/>
            </w:tcBorders>
            <w:vAlign w:val="center"/>
          </w:tcPr>
          <w:p w14:paraId="0D85B2A6">
            <w:pPr>
              <w:widowControl/>
              <w:spacing w:line="300" w:lineRule="exact"/>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LC</w:t>
            </w:r>
          </w:p>
        </w:tc>
        <w:tc>
          <w:tcPr>
            <w:tcW w:w="928" w:type="pct"/>
            <w:tcBorders>
              <w:top w:val="nil"/>
              <w:left w:val="nil"/>
              <w:bottom w:val="single" w:color="auto" w:sz="4" w:space="0"/>
              <w:right w:val="single" w:color="auto" w:sz="4" w:space="0"/>
            </w:tcBorders>
            <w:vAlign w:val="center"/>
          </w:tcPr>
          <w:p w14:paraId="5D23378F">
            <w:pPr>
              <w:widowControl/>
              <w:spacing w:line="300" w:lineRule="exact"/>
              <w:ind w:firstLine="0" w:firstLineChars="0"/>
              <w:jc w:val="center"/>
              <w:rPr>
                <w:rFonts w:cs="Times New Roman"/>
                <w:color w:val="000000"/>
                <w:kern w:val="0"/>
                <w:sz w:val="21"/>
                <w:szCs w:val="21"/>
                <w14:ligatures w14:val="none"/>
              </w:rPr>
            </w:pPr>
          </w:p>
        </w:tc>
      </w:tr>
      <w:tr w14:paraId="77A443F4">
        <w:tblPrEx>
          <w:tblCellMar>
            <w:top w:w="0" w:type="dxa"/>
            <w:left w:w="108" w:type="dxa"/>
            <w:bottom w:w="0" w:type="dxa"/>
            <w:right w:w="108" w:type="dxa"/>
          </w:tblCellMar>
        </w:tblPrEx>
        <w:trPr>
          <w:trHeight w:val="271" w:hRule="atLeast"/>
        </w:trPr>
        <w:tc>
          <w:tcPr>
            <w:tcW w:w="1535" w:type="pct"/>
            <w:tcBorders>
              <w:top w:val="nil"/>
              <w:left w:val="single" w:color="auto" w:sz="4" w:space="0"/>
              <w:bottom w:val="single" w:color="auto" w:sz="4" w:space="0"/>
              <w:right w:val="single" w:color="auto" w:sz="4" w:space="0"/>
            </w:tcBorders>
            <w:vAlign w:val="center"/>
          </w:tcPr>
          <w:p w14:paraId="3A8061FB">
            <w:pPr>
              <w:widowControl/>
              <w:spacing w:line="300" w:lineRule="exact"/>
              <w:ind w:firstLine="0" w:firstLineChars="0"/>
              <w:jc w:val="center"/>
              <w:rPr>
                <w:rFonts w:cs="Times New Roman"/>
                <w:b/>
                <w:color w:val="000000"/>
                <w:kern w:val="0"/>
                <w:sz w:val="21"/>
                <w:szCs w:val="21"/>
              </w:rPr>
            </w:pPr>
            <w:r>
              <w:rPr>
                <w:rFonts w:hint="eastAsia" w:cs="Times New Roman"/>
                <w:b/>
                <w:color w:val="000000"/>
                <w:kern w:val="0"/>
                <w:sz w:val="21"/>
                <w:szCs w:val="21"/>
              </w:rPr>
              <w:t>食肉目</w:t>
            </w:r>
            <w:r>
              <w:rPr>
                <w:rFonts w:hint="eastAsia" w:cs="Times New Roman"/>
                <w:b/>
                <w:bCs/>
                <w:color w:val="000000"/>
                <w:kern w:val="0"/>
                <w:sz w:val="21"/>
                <w:szCs w:val="21"/>
              </w:rPr>
              <w:t>C</w:t>
            </w:r>
            <w:r>
              <w:rPr>
                <w:rFonts w:hint="eastAsia" w:cs="Times New Roman"/>
                <w:b/>
                <w:color w:val="333333"/>
                <w:kern w:val="0"/>
                <w:sz w:val="21"/>
                <w:szCs w:val="21"/>
              </w:rPr>
              <w:t>arnivora</w:t>
            </w:r>
          </w:p>
        </w:tc>
        <w:tc>
          <w:tcPr>
            <w:tcW w:w="2063" w:type="pct"/>
            <w:tcBorders>
              <w:top w:val="nil"/>
              <w:left w:val="nil"/>
              <w:bottom w:val="single" w:color="auto" w:sz="4" w:space="0"/>
              <w:right w:val="single" w:color="auto" w:sz="4" w:space="0"/>
            </w:tcBorders>
            <w:vAlign w:val="center"/>
          </w:tcPr>
          <w:p w14:paraId="6A3BAFAD">
            <w:pPr>
              <w:widowControl/>
              <w:spacing w:line="300" w:lineRule="exact"/>
              <w:ind w:firstLine="0" w:firstLineChars="0"/>
              <w:jc w:val="center"/>
              <w:rPr>
                <w:rFonts w:cs="Times New Roman"/>
                <w:kern w:val="0"/>
                <w:sz w:val="21"/>
                <w:szCs w:val="21"/>
              </w:rPr>
            </w:pPr>
          </w:p>
        </w:tc>
        <w:tc>
          <w:tcPr>
            <w:tcW w:w="474" w:type="pct"/>
            <w:tcBorders>
              <w:top w:val="nil"/>
              <w:left w:val="nil"/>
              <w:bottom w:val="single" w:color="auto" w:sz="4" w:space="0"/>
              <w:right w:val="single" w:color="auto" w:sz="4" w:space="0"/>
            </w:tcBorders>
            <w:vAlign w:val="center"/>
          </w:tcPr>
          <w:p w14:paraId="0ECF635B">
            <w:pPr>
              <w:widowControl/>
              <w:spacing w:line="300" w:lineRule="exact"/>
              <w:ind w:firstLine="0" w:firstLineChars="0"/>
              <w:jc w:val="center"/>
              <w:rPr>
                <w:rFonts w:cs="Times New Roman"/>
                <w:color w:val="000000"/>
                <w:kern w:val="0"/>
                <w:sz w:val="21"/>
                <w:szCs w:val="21"/>
                <w14:ligatures w14:val="none"/>
              </w:rPr>
            </w:pPr>
          </w:p>
        </w:tc>
        <w:tc>
          <w:tcPr>
            <w:tcW w:w="928" w:type="pct"/>
            <w:tcBorders>
              <w:top w:val="nil"/>
              <w:left w:val="nil"/>
              <w:bottom w:val="single" w:color="auto" w:sz="4" w:space="0"/>
              <w:right w:val="single" w:color="auto" w:sz="4" w:space="0"/>
            </w:tcBorders>
            <w:vAlign w:val="center"/>
          </w:tcPr>
          <w:p w14:paraId="452355ED">
            <w:pPr>
              <w:widowControl/>
              <w:spacing w:line="300" w:lineRule="exact"/>
              <w:ind w:firstLine="0" w:firstLineChars="0"/>
              <w:jc w:val="center"/>
              <w:rPr>
                <w:rFonts w:cs="Times New Roman"/>
                <w:color w:val="000000"/>
                <w:kern w:val="0"/>
                <w:sz w:val="21"/>
                <w:szCs w:val="21"/>
                <w14:ligatures w14:val="none"/>
              </w:rPr>
            </w:pPr>
          </w:p>
        </w:tc>
      </w:tr>
      <w:tr w14:paraId="5A18B604">
        <w:tblPrEx>
          <w:tblCellMar>
            <w:top w:w="0" w:type="dxa"/>
            <w:left w:w="108" w:type="dxa"/>
            <w:bottom w:w="0" w:type="dxa"/>
            <w:right w:w="108" w:type="dxa"/>
          </w:tblCellMar>
        </w:tblPrEx>
        <w:trPr>
          <w:trHeight w:val="233" w:hRule="atLeast"/>
        </w:trPr>
        <w:tc>
          <w:tcPr>
            <w:tcW w:w="1535" w:type="pct"/>
            <w:tcBorders>
              <w:top w:val="nil"/>
              <w:left w:val="single" w:color="auto" w:sz="4" w:space="0"/>
              <w:bottom w:val="single" w:color="auto" w:sz="4" w:space="0"/>
              <w:right w:val="single" w:color="auto" w:sz="4" w:space="0"/>
            </w:tcBorders>
            <w:vAlign w:val="center"/>
          </w:tcPr>
          <w:p w14:paraId="73CFE631">
            <w:pPr>
              <w:widowControl/>
              <w:spacing w:line="300" w:lineRule="exact"/>
              <w:ind w:firstLine="0" w:firstLineChars="0"/>
              <w:jc w:val="center"/>
              <w:rPr>
                <w:rFonts w:cs="Times New Roman"/>
                <w:color w:val="000000"/>
                <w:kern w:val="0"/>
                <w:sz w:val="21"/>
                <w:szCs w:val="21"/>
              </w:rPr>
            </w:pPr>
            <w:r>
              <w:rPr>
                <w:rFonts w:hint="eastAsia" w:cs="Times New Roman"/>
                <w:kern w:val="0"/>
                <w:sz w:val="21"/>
                <w:szCs w:val="21"/>
              </w:rPr>
              <w:t>鼬科Mustelidae</w:t>
            </w:r>
          </w:p>
        </w:tc>
        <w:tc>
          <w:tcPr>
            <w:tcW w:w="2063" w:type="pct"/>
            <w:tcBorders>
              <w:top w:val="nil"/>
              <w:left w:val="nil"/>
              <w:bottom w:val="single" w:color="auto" w:sz="4" w:space="0"/>
              <w:right w:val="single" w:color="auto" w:sz="4" w:space="0"/>
            </w:tcBorders>
            <w:vAlign w:val="center"/>
          </w:tcPr>
          <w:p w14:paraId="09BEDE10">
            <w:pPr>
              <w:widowControl/>
              <w:spacing w:line="300" w:lineRule="exact"/>
              <w:ind w:firstLine="0" w:firstLineChars="0"/>
              <w:jc w:val="center"/>
              <w:rPr>
                <w:rFonts w:cs="Times New Roman"/>
                <w:kern w:val="0"/>
                <w:sz w:val="21"/>
                <w:szCs w:val="21"/>
              </w:rPr>
            </w:pPr>
            <w:r>
              <w:rPr>
                <w:rFonts w:hint="eastAsia" w:cs="Times New Roman"/>
                <w:color w:val="000000"/>
                <w:kern w:val="0"/>
                <w:sz w:val="21"/>
                <w:szCs w:val="21"/>
              </w:rPr>
              <w:t xml:space="preserve">黄鼬 </w:t>
            </w:r>
            <w:r>
              <w:rPr>
                <w:rFonts w:hint="eastAsia" w:cs="Times New Roman"/>
                <w:i/>
                <w:iCs/>
                <w:color w:val="333333"/>
                <w:kern w:val="0"/>
                <w:sz w:val="21"/>
                <w:szCs w:val="21"/>
              </w:rPr>
              <w:t>Mustela sibirica</w:t>
            </w:r>
          </w:p>
        </w:tc>
        <w:tc>
          <w:tcPr>
            <w:tcW w:w="474" w:type="pct"/>
            <w:tcBorders>
              <w:top w:val="nil"/>
              <w:left w:val="nil"/>
              <w:bottom w:val="single" w:color="auto" w:sz="4" w:space="0"/>
              <w:right w:val="single" w:color="auto" w:sz="4" w:space="0"/>
            </w:tcBorders>
            <w:vAlign w:val="center"/>
          </w:tcPr>
          <w:p w14:paraId="7A59D3D1">
            <w:pPr>
              <w:widowControl/>
              <w:spacing w:line="300" w:lineRule="exact"/>
              <w:ind w:firstLine="0" w:firstLineChars="0"/>
              <w:jc w:val="center"/>
              <w:rPr>
                <w:rFonts w:cs="Times New Roman"/>
                <w:color w:val="000000"/>
                <w:kern w:val="0"/>
                <w:sz w:val="21"/>
                <w:szCs w:val="21"/>
                <w14:ligatures w14:val="none"/>
              </w:rPr>
            </w:pPr>
            <w:r>
              <w:rPr>
                <w:rFonts w:hint="eastAsia" w:cs="Times New Roman"/>
                <w:kern w:val="0"/>
                <w:sz w:val="21"/>
                <w:szCs w:val="21"/>
              </w:rPr>
              <w:t>LC</w:t>
            </w:r>
          </w:p>
        </w:tc>
        <w:tc>
          <w:tcPr>
            <w:tcW w:w="928" w:type="pct"/>
            <w:tcBorders>
              <w:top w:val="nil"/>
              <w:left w:val="nil"/>
              <w:bottom w:val="single" w:color="auto" w:sz="4" w:space="0"/>
              <w:right w:val="single" w:color="auto" w:sz="4" w:space="0"/>
            </w:tcBorders>
            <w:vAlign w:val="center"/>
          </w:tcPr>
          <w:p w14:paraId="631FE81E">
            <w:pPr>
              <w:widowControl/>
              <w:spacing w:line="300" w:lineRule="exact"/>
              <w:ind w:firstLine="0" w:firstLineChars="0"/>
              <w:jc w:val="center"/>
              <w:rPr>
                <w:rFonts w:cs="Times New Roman"/>
                <w:color w:val="000000"/>
                <w:kern w:val="0"/>
                <w:sz w:val="21"/>
                <w:szCs w:val="21"/>
                <w14:ligatures w14:val="none"/>
              </w:rPr>
            </w:pPr>
            <w:r>
              <w:rPr>
                <w:rFonts w:hint="eastAsia" w:cs="Times New Roman"/>
                <w:kern w:val="0"/>
                <w:sz w:val="21"/>
                <w:szCs w:val="21"/>
              </w:rPr>
              <w:t>省重点，三有</w:t>
            </w:r>
          </w:p>
        </w:tc>
      </w:tr>
      <w:tr w14:paraId="6CD3959E">
        <w:tblPrEx>
          <w:tblCellMar>
            <w:top w:w="0" w:type="dxa"/>
            <w:left w:w="108" w:type="dxa"/>
            <w:bottom w:w="0" w:type="dxa"/>
            <w:right w:w="108" w:type="dxa"/>
          </w:tblCellMar>
        </w:tblPrEx>
        <w:trPr>
          <w:trHeight w:val="209" w:hRule="atLeast"/>
        </w:trPr>
        <w:tc>
          <w:tcPr>
            <w:tcW w:w="1535" w:type="pct"/>
            <w:tcBorders>
              <w:top w:val="nil"/>
              <w:left w:val="single" w:color="auto" w:sz="4" w:space="0"/>
              <w:bottom w:val="single" w:color="auto" w:sz="4" w:space="0"/>
              <w:right w:val="single" w:color="auto" w:sz="4" w:space="0"/>
            </w:tcBorders>
            <w:vAlign w:val="center"/>
          </w:tcPr>
          <w:p w14:paraId="010B9F9C">
            <w:pPr>
              <w:widowControl/>
              <w:spacing w:line="300" w:lineRule="exact"/>
              <w:ind w:firstLine="0" w:firstLineChars="0"/>
              <w:jc w:val="center"/>
              <w:rPr>
                <w:rFonts w:cs="Times New Roman"/>
                <w:kern w:val="0"/>
                <w:sz w:val="21"/>
                <w:szCs w:val="21"/>
              </w:rPr>
            </w:pPr>
            <w:r>
              <w:rPr>
                <w:rFonts w:hint="eastAsia" w:cs="Times New Roman"/>
                <w:kern w:val="0"/>
                <w:sz w:val="21"/>
                <w:szCs w:val="21"/>
              </w:rPr>
              <w:t>犬科 Canidae</w:t>
            </w:r>
          </w:p>
        </w:tc>
        <w:tc>
          <w:tcPr>
            <w:tcW w:w="2063" w:type="pct"/>
            <w:tcBorders>
              <w:top w:val="nil"/>
              <w:left w:val="nil"/>
              <w:bottom w:val="single" w:color="auto" w:sz="4" w:space="0"/>
              <w:right w:val="single" w:color="auto" w:sz="4" w:space="0"/>
            </w:tcBorders>
            <w:vAlign w:val="center"/>
          </w:tcPr>
          <w:p w14:paraId="35F6C338">
            <w:pPr>
              <w:widowControl/>
              <w:spacing w:line="300" w:lineRule="exact"/>
              <w:ind w:firstLine="0" w:firstLineChars="0"/>
              <w:jc w:val="center"/>
              <w:rPr>
                <w:rFonts w:cs="Times New Roman"/>
                <w:kern w:val="0"/>
                <w:sz w:val="21"/>
                <w:szCs w:val="21"/>
              </w:rPr>
            </w:pPr>
            <w:r>
              <w:rPr>
                <w:rFonts w:hint="eastAsia" w:cs="Times New Roman"/>
                <w:kern w:val="0"/>
                <w:sz w:val="21"/>
                <w:szCs w:val="21"/>
              </w:rPr>
              <w:t>貉</w:t>
            </w:r>
            <w:r>
              <w:rPr>
                <w:rFonts w:hint="eastAsia" w:cs="Times New Roman"/>
                <w:i/>
                <w:iCs/>
                <w:kern w:val="0"/>
                <w:sz w:val="21"/>
                <w:szCs w:val="21"/>
              </w:rPr>
              <w:t>Nyctereutes procyonoides</w:t>
            </w:r>
          </w:p>
        </w:tc>
        <w:tc>
          <w:tcPr>
            <w:tcW w:w="474" w:type="pct"/>
            <w:tcBorders>
              <w:top w:val="nil"/>
              <w:left w:val="nil"/>
              <w:bottom w:val="single" w:color="auto" w:sz="4" w:space="0"/>
              <w:right w:val="single" w:color="auto" w:sz="4" w:space="0"/>
            </w:tcBorders>
            <w:vAlign w:val="center"/>
          </w:tcPr>
          <w:p w14:paraId="56AC00E1">
            <w:pPr>
              <w:widowControl/>
              <w:spacing w:line="300" w:lineRule="exact"/>
              <w:ind w:firstLine="0" w:firstLineChars="0"/>
              <w:jc w:val="center"/>
              <w:rPr>
                <w:rFonts w:cs="Times New Roman"/>
                <w:color w:val="000000"/>
                <w:kern w:val="0"/>
                <w:sz w:val="21"/>
                <w:szCs w:val="21"/>
                <w14:ligatures w14:val="none"/>
              </w:rPr>
            </w:pPr>
            <w:r>
              <w:rPr>
                <w:rFonts w:hint="eastAsia" w:cs="Times New Roman"/>
                <w:kern w:val="0"/>
                <w:sz w:val="21"/>
                <w:szCs w:val="21"/>
              </w:rPr>
              <w:t>NT</w:t>
            </w:r>
          </w:p>
        </w:tc>
        <w:tc>
          <w:tcPr>
            <w:tcW w:w="928" w:type="pct"/>
            <w:tcBorders>
              <w:top w:val="nil"/>
              <w:left w:val="nil"/>
              <w:bottom w:val="single" w:color="auto" w:sz="4" w:space="0"/>
              <w:right w:val="single" w:color="auto" w:sz="4" w:space="0"/>
            </w:tcBorders>
            <w:vAlign w:val="center"/>
          </w:tcPr>
          <w:p w14:paraId="1FAA8C42">
            <w:pPr>
              <w:widowControl/>
              <w:spacing w:line="300" w:lineRule="exact"/>
              <w:ind w:firstLine="0" w:firstLineChars="0"/>
              <w:jc w:val="center"/>
              <w:rPr>
                <w:rFonts w:cs="Times New Roman"/>
                <w:color w:val="000000"/>
                <w:kern w:val="0"/>
                <w:sz w:val="21"/>
                <w:szCs w:val="21"/>
                <w14:ligatures w14:val="none"/>
              </w:rPr>
            </w:pPr>
            <w:r>
              <w:rPr>
                <w:rFonts w:hint="eastAsia" w:cs="Times New Roman"/>
                <w:kern w:val="0"/>
                <w:sz w:val="21"/>
                <w:szCs w:val="21"/>
              </w:rPr>
              <w:t>国二，省重点</w:t>
            </w:r>
          </w:p>
        </w:tc>
      </w:tr>
      <w:tr w14:paraId="4F7ED523">
        <w:tblPrEx>
          <w:tblCellMar>
            <w:top w:w="0" w:type="dxa"/>
            <w:left w:w="108" w:type="dxa"/>
            <w:bottom w:w="0" w:type="dxa"/>
            <w:right w:w="108" w:type="dxa"/>
          </w:tblCellMar>
        </w:tblPrEx>
        <w:trPr>
          <w:trHeight w:val="327" w:hRule="atLeast"/>
        </w:trPr>
        <w:tc>
          <w:tcPr>
            <w:tcW w:w="1535" w:type="pct"/>
            <w:tcBorders>
              <w:top w:val="nil"/>
              <w:left w:val="single" w:color="auto" w:sz="4" w:space="0"/>
              <w:bottom w:val="single" w:color="auto" w:sz="4" w:space="0"/>
              <w:right w:val="single" w:color="auto" w:sz="4" w:space="0"/>
            </w:tcBorders>
            <w:vAlign w:val="center"/>
          </w:tcPr>
          <w:p w14:paraId="0C1FBFD8">
            <w:pPr>
              <w:widowControl/>
              <w:spacing w:line="300" w:lineRule="exact"/>
              <w:ind w:firstLine="0" w:firstLineChars="0"/>
              <w:jc w:val="center"/>
              <w:rPr>
                <w:rFonts w:cs="Times New Roman"/>
                <w:b/>
                <w:kern w:val="0"/>
                <w:sz w:val="21"/>
                <w:szCs w:val="21"/>
              </w:rPr>
            </w:pPr>
            <w:r>
              <w:rPr>
                <w:rFonts w:hint="eastAsia" w:cs="Times New Roman"/>
                <w:b/>
                <w:kern w:val="0"/>
                <w:sz w:val="21"/>
                <w:szCs w:val="21"/>
              </w:rPr>
              <w:t>偶蹄目</w:t>
            </w:r>
            <w:r>
              <w:rPr>
                <w:rFonts w:hint="eastAsia" w:cs="Times New Roman"/>
                <w:b/>
                <w:bCs/>
                <w:kern w:val="0"/>
                <w:sz w:val="21"/>
                <w:szCs w:val="21"/>
              </w:rPr>
              <w:t>Cetartiodactyla</w:t>
            </w:r>
          </w:p>
        </w:tc>
        <w:tc>
          <w:tcPr>
            <w:tcW w:w="2063" w:type="pct"/>
            <w:tcBorders>
              <w:top w:val="nil"/>
              <w:left w:val="nil"/>
              <w:bottom w:val="single" w:color="auto" w:sz="4" w:space="0"/>
              <w:right w:val="single" w:color="auto" w:sz="4" w:space="0"/>
            </w:tcBorders>
            <w:vAlign w:val="center"/>
          </w:tcPr>
          <w:p w14:paraId="390F753F">
            <w:pPr>
              <w:widowControl/>
              <w:spacing w:line="300" w:lineRule="exact"/>
              <w:ind w:firstLine="0" w:firstLineChars="0"/>
              <w:jc w:val="center"/>
              <w:rPr>
                <w:rFonts w:cs="Times New Roman"/>
                <w:kern w:val="0"/>
                <w:sz w:val="21"/>
                <w:szCs w:val="21"/>
              </w:rPr>
            </w:pPr>
          </w:p>
        </w:tc>
        <w:tc>
          <w:tcPr>
            <w:tcW w:w="474" w:type="pct"/>
            <w:tcBorders>
              <w:top w:val="nil"/>
              <w:left w:val="nil"/>
              <w:bottom w:val="single" w:color="auto" w:sz="4" w:space="0"/>
              <w:right w:val="single" w:color="auto" w:sz="4" w:space="0"/>
            </w:tcBorders>
            <w:vAlign w:val="center"/>
          </w:tcPr>
          <w:p w14:paraId="2111B912">
            <w:pPr>
              <w:widowControl/>
              <w:spacing w:line="300" w:lineRule="exact"/>
              <w:ind w:firstLine="0" w:firstLineChars="0"/>
              <w:jc w:val="center"/>
              <w:rPr>
                <w:rFonts w:cs="Times New Roman"/>
                <w:color w:val="000000"/>
                <w:kern w:val="0"/>
                <w:sz w:val="21"/>
                <w:szCs w:val="21"/>
                <w14:ligatures w14:val="none"/>
              </w:rPr>
            </w:pPr>
          </w:p>
        </w:tc>
        <w:tc>
          <w:tcPr>
            <w:tcW w:w="928" w:type="pct"/>
            <w:tcBorders>
              <w:top w:val="nil"/>
              <w:left w:val="nil"/>
              <w:bottom w:val="single" w:color="auto" w:sz="4" w:space="0"/>
              <w:right w:val="single" w:color="auto" w:sz="4" w:space="0"/>
            </w:tcBorders>
            <w:vAlign w:val="center"/>
          </w:tcPr>
          <w:p w14:paraId="3FF5B072">
            <w:pPr>
              <w:widowControl/>
              <w:spacing w:line="300" w:lineRule="exact"/>
              <w:ind w:firstLine="0" w:firstLineChars="0"/>
              <w:jc w:val="center"/>
              <w:rPr>
                <w:rFonts w:cs="Times New Roman"/>
                <w:color w:val="000000"/>
                <w:kern w:val="0"/>
                <w:sz w:val="21"/>
                <w:szCs w:val="21"/>
                <w14:ligatures w14:val="none"/>
              </w:rPr>
            </w:pPr>
          </w:p>
        </w:tc>
      </w:tr>
      <w:tr w14:paraId="330517D0">
        <w:tblPrEx>
          <w:tblCellMar>
            <w:top w:w="0" w:type="dxa"/>
            <w:left w:w="108" w:type="dxa"/>
            <w:bottom w:w="0" w:type="dxa"/>
            <w:right w:w="108" w:type="dxa"/>
          </w:tblCellMar>
        </w:tblPrEx>
        <w:trPr>
          <w:trHeight w:val="137" w:hRule="atLeast"/>
        </w:trPr>
        <w:tc>
          <w:tcPr>
            <w:tcW w:w="1535" w:type="pct"/>
            <w:tcBorders>
              <w:top w:val="nil"/>
              <w:left w:val="single" w:color="auto" w:sz="4" w:space="0"/>
              <w:bottom w:val="single" w:color="auto" w:sz="4" w:space="0"/>
              <w:right w:val="single" w:color="auto" w:sz="4" w:space="0"/>
            </w:tcBorders>
            <w:vAlign w:val="center"/>
          </w:tcPr>
          <w:p w14:paraId="4FC383BE">
            <w:pPr>
              <w:widowControl/>
              <w:spacing w:line="300" w:lineRule="exact"/>
              <w:ind w:firstLine="0" w:firstLineChars="0"/>
              <w:jc w:val="center"/>
              <w:rPr>
                <w:rFonts w:cs="Times New Roman"/>
                <w:kern w:val="0"/>
                <w:sz w:val="21"/>
                <w:szCs w:val="21"/>
              </w:rPr>
            </w:pPr>
            <w:r>
              <w:rPr>
                <w:rFonts w:hint="eastAsia" w:cs="Times New Roman"/>
                <w:kern w:val="0"/>
                <w:sz w:val="21"/>
                <w:szCs w:val="21"/>
              </w:rPr>
              <w:t>猪科 Suidae</w:t>
            </w:r>
          </w:p>
        </w:tc>
        <w:tc>
          <w:tcPr>
            <w:tcW w:w="2063" w:type="pct"/>
            <w:tcBorders>
              <w:top w:val="nil"/>
              <w:left w:val="nil"/>
              <w:bottom w:val="single" w:color="auto" w:sz="4" w:space="0"/>
              <w:right w:val="single" w:color="auto" w:sz="4" w:space="0"/>
            </w:tcBorders>
            <w:vAlign w:val="center"/>
          </w:tcPr>
          <w:p w14:paraId="1AA1FCAC">
            <w:pPr>
              <w:widowControl/>
              <w:spacing w:line="300" w:lineRule="exact"/>
              <w:ind w:firstLine="0" w:firstLineChars="0"/>
              <w:jc w:val="center"/>
              <w:rPr>
                <w:rFonts w:cs="Times New Roman"/>
                <w:kern w:val="0"/>
                <w:sz w:val="21"/>
                <w:szCs w:val="21"/>
              </w:rPr>
            </w:pPr>
            <w:r>
              <w:rPr>
                <w:rFonts w:hint="eastAsia" w:cs="Times New Roman"/>
                <w:kern w:val="0"/>
                <w:sz w:val="21"/>
                <w:szCs w:val="21"/>
              </w:rPr>
              <w:t>野猪</w:t>
            </w:r>
            <w:r>
              <w:rPr>
                <w:rFonts w:hint="eastAsia" w:cs="Times New Roman"/>
                <w:i/>
                <w:iCs/>
                <w:kern w:val="0"/>
                <w:sz w:val="21"/>
                <w:szCs w:val="21"/>
              </w:rPr>
              <w:t>Sus scrofa</w:t>
            </w:r>
          </w:p>
        </w:tc>
        <w:tc>
          <w:tcPr>
            <w:tcW w:w="474" w:type="pct"/>
            <w:tcBorders>
              <w:top w:val="nil"/>
              <w:left w:val="nil"/>
              <w:bottom w:val="single" w:color="auto" w:sz="4" w:space="0"/>
              <w:right w:val="single" w:color="auto" w:sz="4" w:space="0"/>
            </w:tcBorders>
            <w:vAlign w:val="center"/>
          </w:tcPr>
          <w:p w14:paraId="5367147F">
            <w:pPr>
              <w:widowControl/>
              <w:spacing w:line="300" w:lineRule="exact"/>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LC</w:t>
            </w:r>
          </w:p>
        </w:tc>
        <w:tc>
          <w:tcPr>
            <w:tcW w:w="928" w:type="pct"/>
            <w:tcBorders>
              <w:top w:val="nil"/>
              <w:left w:val="nil"/>
              <w:bottom w:val="single" w:color="auto" w:sz="4" w:space="0"/>
              <w:right w:val="single" w:color="auto" w:sz="4" w:space="0"/>
            </w:tcBorders>
            <w:vAlign w:val="center"/>
          </w:tcPr>
          <w:p w14:paraId="348A26F3">
            <w:pPr>
              <w:widowControl/>
              <w:spacing w:line="300" w:lineRule="exact"/>
              <w:ind w:firstLine="0" w:firstLineChars="0"/>
              <w:jc w:val="center"/>
              <w:rPr>
                <w:rFonts w:cs="Times New Roman"/>
                <w:color w:val="000000"/>
                <w:kern w:val="0"/>
                <w:sz w:val="21"/>
                <w:szCs w:val="21"/>
                <w14:ligatures w14:val="none"/>
              </w:rPr>
            </w:pPr>
            <w:r>
              <w:rPr>
                <w:rFonts w:hint="eastAsia" w:cs="Times New Roman"/>
                <w:color w:val="000000"/>
                <w:kern w:val="0"/>
                <w:sz w:val="21"/>
                <w:szCs w:val="21"/>
                <w14:ligatures w14:val="none"/>
              </w:rPr>
              <w:t>三有</w:t>
            </w:r>
          </w:p>
        </w:tc>
      </w:tr>
      <w:tr w14:paraId="3F1B9FAB">
        <w:tblPrEx>
          <w:tblCellMar>
            <w:top w:w="0" w:type="dxa"/>
            <w:left w:w="108" w:type="dxa"/>
            <w:bottom w:w="0" w:type="dxa"/>
            <w:right w:w="108" w:type="dxa"/>
          </w:tblCellMar>
        </w:tblPrEx>
        <w:trPr>
          <w:trHeight w:val="109" w:hRule="atLeast"/>
        </w:trPr>
        <w:tc>
          <w:tcPr>
            <w:tcW w:w="1535" w:type="pct"/>
            <w:tcBorders>
              <w:top w:val="nil"/>
              <w:left w:val="single" w:color="auto" w:sz="4" w:space="0"/>
              <w:bottom w:val="single" w:color="auto" w:sz="4" w:space="0"/>
              <w:right w:val="single" w:color="auto" w:sz="4" w:space="0"/>
            </w:tcBorders>
            <w:vAlign w:val="center"/>
          </w:tcPr>
          <w:p w14:paraId="656F50BD">
            <w:pPr>
              <w:widowControl/>
              <w:spacing w:line="300" w:lineRule="exact"/>
              <w:ind w:firstLine="0" w:firstLineChars="0"/>
              <w:jc w:val="center"/>
              <w:rPr>
                <w:rFonts w:cs="Times New Roman"/>
                <w:b/>
                <w:kern w:val="0"/>
                <w:sz w:val="21"/>
                <w:szCs w:val="21"/>
              </w:rPr>
            </w:pPr>
            <w:r>
              <w:rPr>
                <w:rFonts w:hint="eastAsia" w:cs="Times New Roman"/>
                <w:b/>
                <w:color w:val="000000"/>
                <w:kern w:val="0"/>
                <w:sz w:val="21"/>
                <w:szCs w:val="21"/>
              </w:rPr>
              <w:t>灵长目</w:t>
            </w:r>
            <w:r>
              <w:rPr>
                <w:rFonts w:hint="eastAsia" w:cs="Times New Roman"/>
                <w:b/>
                <w:bCs/>
                <w:color w:val="333333"/>
                <w:kern w:val="0"/>
                <w:sz w:val="21"/>
                <w:szCs w:val="21"/>
              </w:rPr>
              <w:t>Primates</w:t>
            </w:r>
          </w:p>
        </w:tc>
        <w:tc>
          <w:tcPr>
            <w:tcW w:w="2063" w:type="pct"/>
            <w:tcBorders>
              <w:top w:val="nil"/>
              <w:left w:val="nil"/>
              <w:bottom w:val="single" w:color="auto" w:sz="4" w:space="0"/>
              <w:right w:val="single" w:color="auto" w:sz="4" w:space="0"/>
            </w:tcBorders>
            <w:vAlign w:val="center"/>
          </w:tcPr>
          <w:p w14:paraId="7A795C1E">
            <w:pPr>
              <w:widowControl/>
              <w:spacing w:line="300" w:lineRule="exact"/>
              <w:ind w:firstLine="0" w:firstLineChars="0"/>
              <w:jc w:val="center"/>
              <w:rPr>
                <w:rFonts w:cs="Times New Roman"/>
                <w:kern w:val="0"/>
                <w:sz w:val="21"/>
                <w:szCs w:val="21"/>
              </w:rPr>
            </w:pPr>
          </w:p>
        </w:tc>
        <w:tc>
          <w:tcPr>
            <w:tcW w:w="474" w:type="pct"/>
            <w:tcBorders>
              <w:top w:val="nil"/>
              <w:left w:val="nil"/>
              <w:bottom w:val="single" w:color="auto" w:sz="4" w:space="0"/>
              <w:right w:val="single" w:color="auto" w:sz="4" w:space="0"/>
            </w:tcBorders>
            <w:vAlign w:val="center"/>
          </w:tcPr>
          <w:p w14:paraId="1CCFD599">
            <w:pPr>
              <w:widowControl/>
              <w:spacing w:line="300" w:lineRule="exact"/>
              <w:ind w:firstLine="0" w:firstLineChars="0"/>
              <w:jc w:val="center"/>
              <w:rPr>
                <w:rFonts w:cs="Times New Roman"/>
                <w:color w:val="000000"/>
                <w:kern w:val="0"/>
                <w:sz w:val="21"/>
                <w:szCs w:val="21"/>
                <w14:ligatures w14:val="none"/>
              </w:rPr>
            </w:pPr>
          </w:p>
        </w:tc>
        <w:tc>
          <w:tcPr>
            <w:tcW w:w="928" w:type="pct"/>
            <w:tcBorders>
              <w:top w:val="nil"/>
              <w:left w:val="nil"/>
              <w:bottom w:val="single" w:color="auto" w:sz="4" w:space="0"/>
              <w:right w:val="single" w:color="auto" w:sz="4" w:space="0"/>
            </w:tcBorders>
            <w:vAlign w:val="center"/>
          </w:tcPr>
          <w:p w14:paraId="6C421B3B">
            <w:pPr>
              <w:widowControl/>
              <w:spacing w:line="300" w:lineRule="exact"/>
              <w:ind w:firstLine="0" w:firstLineChars="0"/>
              <w:jc w:val="center"/>
              <w:rPr>
                <w:rFonts w:cs="Times New Roman"/>
                <w:color w:val="000000"/>
                <w:kern w:val="0"/>
                <w:sz w:val="21"/>
                <w:szCs w:val="21"/>
                <w14:ligatures w14:val="none"/>
              </w:rPr>
            </w:pPr>
          </w:p>
        </w:tc>
      </w:tr>
      <w:tr w14:paraId="7E3A4E58">
        <w:tblPrEx>
          <w:tblCellMar>
            <w:top w:w="0" w:type="dxa"/>
            <w:left w:w="108" w:type="dxa"/>
            <w:bottom w:w="0" w:type="dxa"/>
            <w:right w:w="108" w:type="dxa"/>
          </w:tblCellMar>
        </w:tblPrEx>
        <w:trPr>
          <w:trHeight w:val="227" w:hRule="atLeast"/>
        </w:trPr>
        <w:tc>
          <w:tcPr>
            <w:tcW w:w="1535" w:type="pct"/>
            <w:tcBorders>
              <w:top w:val="nil"/>
              <w:left w:val="single" w:color="auto" w:sz="4" w:space="0"/>
              <w:bottom w:val="single" w:color="auto" w:sz="4" w:space="0"/>
              <w:right w:val="single" w:color="auto" w:sz="4" w:space="0"/>
            </w:tcBorders>
            <w:vAlign w:val="center"/>
          </w:tcPr>
          <w:p w14:paraId="21C93911">
            <w:pPr>
              <w:widowControl/>
              <w:spacing w:line="300" w:lineRule="exact"/>
              <w:ind w:firstLine="0" w:firstLineChars="0"/>
              <w:jc w:val="center"/>
              <w:rPr>
                <w:rFonts w:cs="Times New Roman"/>
                <w:kern w:val="0"/>
                <w:sz w:val="21"/>
                <w:szCs w:val="21"/>
              </w:rPr>
            </w:pPr>
            <w:r>
              <w:rPr>
                <w:rFonts w:hint="eastAsia" w:cs="Times New Roman"/>
                <w:kern w:val="0"/>
                <w:sz w:val="21"/>
                <w:szCs w:val="21"/>
              </w:rPr>
              <w:t>猴科Cercopithecidae</w:t>
            </w:r>
          </w:p>
        </w:tc>
        <w:tc>
          <w:tcPr>
            <w:tcW w:w="2063" w:type="pct"/>
            <w:tcBorders>
              <w:top w:val="nil"/>
              <w:left w:val="nil"/>
              <w:bottom w:val="single" w:color="auto" w:sz="4" w:space="0"/>
              <w:right w:val="single" w:color="auto" w:sz="4" w:space="0"/>
            </w:tcBorders>
            <w:vAlign w:val="center"/>
          </w:tcPr>
          <w:p w14:paraId="3F9F01C4">
            <w:pPr>
              <w:widowControl/>
              <w:spacing w:line="300" w:lineRule="exact"/>
              <w:ind w:firstLine="0" w:firstLineChars="0"/>
              <w:jc w:val="center"/>
              <w:rPr>
                <w:rFonts w:cs="Times New Roman"/>
                <w:kern w:val="0"/>
                <w:sz w:val="21"/>
                <w:szCs w:val="21"/>
              </w:rPr>
            </w:pPr>
            <w:r>
              <w:rPr>
                <w:rFonts w:hint="eastAsia" w:cs="Times New Roman"/>
                <w:kern w:val="0"/>
                <w:sz w:val="21"/>
                <w:szCs w:val="21"/>
              </w:rPr>
              <w:t>猕猴</w:t>
            </w:r>
            <w:r>
              <w:rPr>
                <w:rFonts w:hint="eastAsia" w:cs="Times New Roman"/>
                <w:i/>
                <w:iCs/>
                <w:kern w:val="0"/>
                <w:sz w:val="21"/>
                <w:szCs w:val="21"/>
              </w:rPr>
              <w:t>Macaca mulatta</w:t>
            </w:r>
          </w:p>
        </w:tc>
        <w:tc>
          <w:tcPr>
            <w:tcW w:w="474" w:type="pct"/>
            <w:tcBorders>
              <w:top w:val="nil"/>
              <w:left w:val="nil"/>
              <w:bottom w:val="single" w:color="auto" w:sz="4" w:space="0"/>
              <w:right w:val="single" w:color="auto" w:sz="4" w:space="0"/>
            </w:tcBorders>
            <w:vAlign w:val="center"/>
          </w:tcPr>
          <w:p w14:paraId="521385B5">
            <w:pPr>
              <w:widowControl/>
              <w:spacing w:line="300" w:lineRule="exact"/>
              <w:ind w:firstLine="0" w:firstLineChars="0"/>
              <w:jc w:val="center"/>
              <w:rPr>
                <w:rFonts w:cs="Times New Roman"/>
                <w:color w:val="000000"/>
                <w:kern w:val="0"/>
                <w:sz w:val="21"/>
                <w:szCs w:val="21"/>
                <w14:ligatures w14:val="none"/>
              </w:rPr>
            </w:pPr>
            <w:r>
              <w:rPr>
                <w:rFonts w:hint="eastAsia" w:cs="Times New Roman"/>
                <w:kern w:val="0"/>
                <w:sz w:val="21"/>
                <w:szCs w:val="21"/>
              </w:rPr>
              <w:t>LC</w:t>
            </w:r>
          </w:p>
        </w:tc>
        <w:tc>
          <w:tcPr>
            <w:tcW w:w="928" w:type="pct"/>
            <w:tcBorders>
              <w:top w:val="nil"/>
              <w:left w:val="nil"/>
              <w:bottom w:val="single" w:color="auto" w:sz="4" w:space="0"/>
              <w:right w:val="single" w:color="auto" w:sz="4" w:space="0"/>
            </w:tcBorders>
            <w:vAlign w:val="center"/>
          </w:tcPr>
          <w:p w14:paraId="51FD51DC">
            <w:pPr>
              <w:widowControl/>
              <w:spacing w:line="300" w:lineRule="exact"/>
              <w:ind w:firstLine="0" w:firstLineChars="0"/>
              <w:jc w:val="center"/>
              <w:rPr>
                <w:rFonts w:cs="Times New Roman"/>
                <w:color w:val="000000"/>
                <w:kern w:val="0"/>
                <w:sz w:val="21"/>
                <w:szCs w:val="21"/>
                <w14:ligatures w14:val="none"/>
              </w:rPr>
            </w:pPr>
            <w:r>
              <w:rPr>
                <w:rFonts w:hint="eastAsia" w:cs="Times New Roman"/>
                <w:kern w:val="0"/>
                <w:sz w:val="21"/>
                <w:szCs w:val="21"/>
              </w:rPr>
              <w:t>国二</w:t>
            </w:r>
          </w:p>
        </w:tc>
      </w:tr>
      <w:tr w14:paraId="2D98D463">
        <w:tblPrEx>
          <w:tblCellMar>
            <w:top w:w="0" w:type="dxa"/>
            <w:left w:w="108" w:type="dxa"/>
            <w:bottom w:w="0" w:type="dxa"/>
            <w:right w:w="108" w:type="dxa"/>
          </w:tblCellMar>
        </w:tblPrEx>
        <w:trPr>
          <w:trHeight w:val="600" w:hRule="atLeast"/>
        </w:trPr>
        <w:tc>
          <w:tcPr>
            <w:tcW w:w="5000" w:type="pct"/>
            <w:gridSpan w:val="4"/>
            <w:tcBorders>
              <w:top w:val="single" w:color="auto" w:sz="4" w:space="0"/>
              <w:left w:val="single" w:color="auto" w:sz="4" w:space="0"/>
              <w:bottom w:val="single" w:color="auto" w:sz="4" w:space="0"/>
              <w:right w:val="single" w:color="auto" w:sz="4" w:space="0"/>
            </w:tcBorders>
            <w:vAlign w:val="center"/>
          </w:tcPr>
          <w:p w14:paraId="1DDC759D">
            <w:pPr>
              <w:autoSpaceDE w:val="0"/>
              <w:autoSpaceDN w:val="0"/>
              <w:adjustRightInd w:val="0"/>
              <w:spacing w:line="300" w:lineRule="exact"/>
              <w:ind w:firstLine="0" w:firstLineChars="0"/>
              <w:jc w:val="left"/>
              <w:rPr>
                <w:rFonts w:cs="Times New Roman"/>
                <w:color w:val="000000"/>
                <w:kern w:val="0"/>
                <w:sz w:val="21"/>
                <w:szCs w:val="21"/>
                <w14:ligatures w14:val="none"/>
              </w:rPr>
            </w:pPr>
            <w:r>
              <w:rPr>
                <w:rFonts w:hint="eastAsia" w:cs="Times New Roman"/>
                <w:kern w:val="0"/>
                <w:sz w:val="20"/>
                <w:szCs w:val="20"/>
              </w:rPr>
              <w:t>注：“LC”为IUCN 红色名录中的无危物种（Low Concern）；“NT”为近危物种（Near Threatened Species）；“省重点”为列入《江苏省重点保护陆生野生动物名录》的物种；“三有”为列入《国家保护的有重要生态、科学、社会价值的陆生野生动物名录》的物种；“国二”为列入《国家重点保护野生动物名录》的国家二级重点保护物种。</w:t>
            </w:r>
          </w:p>
        </w:tc>
      </w:tr>
    </w:tbl>
    <w:p w14:paraId="5B18B753">
      <w:pPr>
        <w:spacing w:line="240" w:lineRule="auto"/>
        <w:ind w:firstLine="0" w:firstLineChars="0"/>
        <w:jc w:val="center"/>
      </w:pPr>
      <w:r>
        <w:rPr>
          <w:rFonts w:cs="Times New Roman"/>
        </w:rPr>
        <w:drawing>
          <wp:inline distT="0" distB="0" distL="0" distR="0">
            <wp:extent cx="3682365" cy="4540250"/>
            <wp:effectExtent l="0" t="0" r="13335" b="1270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Lst>
                    </a:blip>
                    <a:stretch>
                      <a:fillRect/>
                    </a:stretch>
                  </pic:blipFill>
                  <pic:spPr>
                    <a:xfrm>
                      <a:off x="0" y="0"/>
                      <a:ext cx="3682365" cy="4540250"/>
                    </a:xfrm>
                    <a:prstGeom prst="rect">
                      <a:avLst/>
                    </a:prstGeom>
                  </pic:spPr>
                </pic:pic>
              </a:graphicData>
            </a:graphic>
          </wp:inline>
        </w:drawing>
      </w:r>
    </w:p>
    <w:p w14:paraId="5E3DD16E">
      <w:pPr>
        <w:pStyle w:val="45"/>
        <w:ind w:firstLine="480"/>
        <w:rPr>
          <w:rFonts w:cs="Times New Roman"/>
        </w:rPr>
      </w:pPr>
      <w:r>
        <w:rPr>
          <w:rFonts w:hint="eastAsia" w:cs="Times New Roman"/>
        </w:rPr>
        <w:t>图3.</w:t>
      </w:r>
      <w:r>
        <w:rPr>
          <w:rFonts w:cs="Times New Roman"/>
        </w:rPr>
        <w:t>6</w:t>
      </w:r>
      <w:r>
        <w:rPr>
          <w:rFonts w:hint="eastAsia" w:cs="Times New Roman"/>
        </w:rPr>
        <w:t xml:space="preserve">-10 </w:t>
      </w:r>
      <w:r>
        <w:rPr>
          <w:rFonts w:cs="Times New Roman"/>
        </w:rPr>
        <w:t xml:space="preserve"> </w:t>
      </w:r>
      <w:r>
        <w:rPr>
          <w:rFonts w:hint="eastAsia" w:cs="Times New Roman"/>
        </w:rPr>
        <w:t>常州市金坛区茅东省级森林公园爬行类物种照片</w:t>
      </w:r>
    </w:p>
    <w:p w14:paraId="0498407B">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3.6.</w:t>
      </w:r>
      <w:r>
        <w:rPr>
          <w:rFonts w:hint="eastAsia" w:eastAsia="方正楷体_GBK" w:cs="Times New Roman"/>
          <w:b/>
          <w:bCs/>
          <w:szCs w:val="28"/>
          <w14:ligatures w14:val="none"/>
        </w:rPr>
        <w:t>4茅山旅游度假区生态现状调查</w:t>
      </w:r>
    </w:p>
    <w:p w14:paraId="5FEE6827">
      <w:pPr>
        <w:spacing w:line="572" w:lineRule="atLeast"/>
        <w:ind w:firstLine="0" w:firstLineChars="0"/>
        <w:outlineLvl w:val="3"/>
      </w:pPr>
      <w:r>
        <w:t>3.</w:t>
      </w:r>
      <w:r>
        <w:rPr>
          <w:rFonts w:hint="eastAsia"/>
        </w:rPr>
        <w:t>6.</w:t>
      </w:r>
      <w:r>
        <w:t>4.1</w:t>
      </w:r>
      <w:r>
        <w:rPr>
          <w:rFonts w:hint="eastAsia"/>
        </w:rPr>
        <w:t>生态资源调查方法</w:t>
      </w:r>
    </w:p>
    <w:p w14:paraId="581E8638">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1</w:t>
      </w:r>
      <w:r>
        <w:rPr>
          <w:rFonts w:hint="eastAsia" w:cs="Times New Roman"/>
          <w:b/>
          <w:bCs/>
          <w:szCs w:val="24"/>
          <w:lang w:bidi="ar"/>
        </w:rPr>
        <w:t>）植被资源调查方法</w:t>
      </w:r>
    </w:p>
    <w:p w14:paraId="260FFB52">
      <w:pPr>
        <w:spacing w:line="570" w:lineRule="atLeast"/>
        <w:ind w:firstLine="480"/>
        <w:rPr>
          <w:rFonts w:cs="Times New Roman"/>
          <w:szCs w:val="24"/>
          <w:lang w:bidi="ar"/>
        </w:rPr>
      </w:pPr>
      <w:r>
        <w:rPr>
          <w:rFonts w:hint="eastAsia" w:cs="Times New Roman"/>
          <w:szCs w:val="24"/>
          <w:lang w:bidi="ar"/>
        </w:rPr>
        <w:t>在对茅山旅游度假区前期踏查的基础上，应用</w:t>
      </w:r>
      <w:r>
        <w:rPr>
          <w:rFonts w:cs="Times New Roman"/>
          <w:szCs w:val="24"/>
          <w:lang w:bidi="ar"/>
        </w:rPr>
        <w:t>GPS</w:t>
      </w:r>
      <w:r>
        <w:rPr>
          <w:rFonts w:hint="eastAsia" w:cs="Times New Roman"/>
          <w:szCs w:val="24"/>
          <w:lang w:bidi="ar"/>
        </w:rPr>
        <w:t>航迹记录调查路线作为基本调查样地。调查过程中，采用随机取样法选择林相较好的地段按相邻格子法设置</w:t>
      </w:r>
      <w:r>
        <w:rPr>
          <w:rFonts w:cs="Times New Roman"/>
          <w:szCs w:val="24"/>
          <w:lang w:bidi="ar"/>
        </w:rPr>
        <w:t>16</w:t>
      </w:r>
      <w:r>
        <w:rPr>
          <w:rFonts w:hint="eastAsia" w:cs="Times New Roman"/>
          <w:szCs w:val="24"/>
          <w:lang w:bidi="ar"/>
        </w:rPr>
        <w:t>个样地，每个样地大小</w:t>
      </w:r>
      <w:r>
        <w:rPr>
          <w:rFonts w:cs="Times New Roman"/>
          <w:szCs w:val="24"/>
          <w:lang w:bidi="ar"/>
        </w:rPr>
        <w:t>10m×10m</w:t>
      </w:r>
      <w:r>
        <w:rPr>
          <w:rFonts w:hint="eastAsia" w:cs="Times New Roman"/>
          <w:szCs w:val="24"/>
          <w:lang w:bidi="ar"/>
        </w:rPr>
        <w:t>，各样地内设置</w:t>
      </w:r>
      <w:r>
        <w:rPr>
          <w:rFonts w:cs="Times New Roman"/>
          <w:szCs w:val="24"/>
          <w:lang w:bidi="ar"/>
        </w:rPr>
        <w:t>4</w:t>
      </w:r>
      <w:r>
        <w:rPr>
          <w:rFonts w:hint="eastAsia" w:cs="Times New Roman"/>
          <w:szCs w:val="24"/>
          <w:lang w:bidi="ar"/>
        </w:rPr>
        <w:t>个样方（</w:t>
      </w:r>
      <w:r>
        <w:rPr>
          <w:rFonts w:cs="Times New Roman"/>
          <w:szCs w:val="24"/>
          <w:lang w:bidi="ar"/>
        </w:rPr>
        <w:t>1m×1m</w:t>
      </w:r>
      <w:r>
        <w:rPr>
          <w:rFonts w:hint="eastAsia" w:cs="Times New Roman"/>
          <w:szCs w:val="24"/>
          <w:lang w:bidi="ar"/>
        </w:rPr>
        <w:t>），共计</w:t>
      </w:r>
      <w:r>
        <w:rPr>
          <w:rFonts w:cs="Times New Roman"/>
          <w:szCs w:val="24"/>
          <w:lang w:bidi="ar"/>
        </w:rPr>
        <w:t>64</w:t>
      </w:r>
      <w:r>
        <w:rPr>
          <w:rFonts w:hint="eastAsia" w:cs="Times New Roman"/>
          <w:szCs w:val="24"/>
          <w:lang w:bidi="ar"/>
        </w:rPr>
        <w:t>个，总面积</w:t>
      </w:r>
      <w:r>
        <w:rPr>
          <w:rFonts w:cs="Times New Roman"/>
          <w:szCs w:val="24"/>
          <w:lang w:bidi="ar"/>
        </w:rPr>
        <w:t>64m</w:t>
      </w:r>
      <w:r>
        <w:rPr>
          <w:rFonts w:cs="Times New Roman"/>
          <w:szCs w:val="24"/>
          <w:vertAlign w:val="superscript"/>
          <w:lang w:bidi="ar"/>
        </w:rPr>
        <w:t>2</w:t>
      </w:r>
      <w:r>
        <w:rPr>
          <w:rFonts w:hint="eastAsia" w:cs="Times New Roman"/>
          <w:szCs w:val="24"/>
          <w:lang w:bidi="ar"/>
        </w:rPr>
        <w:t>。</w:t>
      </w:r>
    </w:p>
    <w:p w14:paraId="4E293E9F">
      <w:pPr>
        <w:spacing w:line="570" w:lineRule="atLeast"/>
        <w:ind w:firstLine="0" w:firstLineChars="0"/>
        <w:jc w:val="center"/>
      </w:pPr>
      <w:r>
        <w:drawing>
          <wp:inline distT="0" distB="0" distL="114300" distR="114300">
            <wp:extent cx="2879725" cy="3176905"/>
            <wp:effectExtent l="0" t="0" r="15875" b="4445"/>
            <wp:docPr id="6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2"/>
                    <pic:cNvPicPr>
                      <a:picLocks noChangeAspect="1"/>
                    </pic:cNvPicPr>
                  </pic:nvPicPr>
                  <pic:blipFill>
                    <a:blip r:embed="rId40"/>
                    <a:stretch>
                      <a:fillRect/>
                    </a:stretch>
                  </pic:blipFill>
                  <pic:spPr>
                    <a:xfrm>
                      <a:off x="0" y="0"/>
                      <a:ext cx="2879725" cy="3176905"/>
                    </a:xfrm>
                    <a:prstGeom prst="rect">
                      <a:avLst/>
                    </a:prstGeom>
                    <a:noFill/>
                    <a:ln>
                      <a:noFill/>
                    </a:ln>
                  </pic:spPr>
                </pic:pic>
              </a:graphicData>
            </a:graphic>
          </wp:inline>
        </w:drawing>
      </w:r>
    </w:p>
    <w:p w14:paraId="1F543EB1">
      <w:pPr>
        <w:pStyle w:val="45"/>
        <w:rPr>
          <w:rFonts w:cs="Times New Roman"/>
        </w:rPr>
      </w:pPr>
      <w:r>
        <w:rPr>
          <w:rFonts w:hint="eastAsia" w:cs="Times New Roman"/>
        </w:rPr>
        <w:t>图3.6-11 植物调查样地分布图</w:t>
      </w:r>
    </w:p>
    <w:p w14:paraId="7DF5D979">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2</w:t>
      </w:r>
      <w:r>
        <w:rPr>
          <w:rFonts w:hint="eastAsia" w:cs="Times New Roman"/>
          <w:b/>
          <w:bCs/>
          <w:szCs w:val="24"/>
          <w:lang w:bidi="ar"/>
        </w:rPr>
        <w:t>）昆虫资源调查方法</w:t>
      </w:r>
    </w:p>
    <w:p w14:paraId="5BA4FA9B">
      <w:pPr>
        <w:spacing w:line="570" w:lineRule="atLeast"/>
        <w:ind w:firstLine="480"/>
        <w:rPr>
          <w:rFonts w:cs="Times New Roman"/>
          <w:szCs w:val="24"/>
        </w:rPr>
      </w:pPr>
      <w:r>
        <w:rPr>
          <w:rFonts w:hint="eastAsia" w:cs="Times New Roman"/>
          <w:szCs w:val="24"/>
          <w:lang w:bidi="ar"/>
        </w:rPr>
        <w:t>以收集文献资料和实地调查为主，在参考茅山地区昆虫物种组成、分布和数量等历史研究成果的基础上，根据实际情况进行实地调查。在茅山旅游度假区内设置</w:t>
      </w:r>
      <w:r>
        <w:rPr>
          <w:rFonts w:cs="Times New Roman"/>
          <w:szCs w:val="24"/>
          <w:lang w:bidi="ar"/>
        </w:rPr>
        <w:t>13</w:t>
      </w:r>
      <w:r>
        <w:rPr>
          <w:rFonts w:hint="eastAsia" w:cs="Times New Roman"/>
          <w:szCs w:val="24"/>
          <w:lang w:bidi="ar"/>
        </w:rPr>
        <w:t>个样点，在规划范围外设置</w:t>
      </w:r>
      <w:r>
        <w:rPr>
          <w:rFonts w:cs="Times New Roman"/>
          <w:szCs w:val="24"/>
          <w:lang w:bidi="ar"/>
        </w:rPr>
        <w:t>8</w:t>
      </w:r>
      <w:r>
        <w:rPr>
          <w:rFonts w:hint="eastAsia" w:cs="Times New Roman"/>
          <w:szCs w:val="24"/>
          <w:lang w:bidi="ar"/>
        </w:rPr>
        <w:t>个样点，对每一样点使用网捕法采集昆虫；夜间用黑光灯诱捕昆虫，将采集到的昆虫放入装有</w:t>
      </w:r>
      <w:r>
        <w:rPr>
          <w:rFonts w:cs="Times New Roman"/>
          <w:szCs w:val="24"/>
          <w:lang w:bidi="ar"/>
        </w:rPr>
        <w:t>75%</w:t>
      </w:r>
      <w:r>
        <w:rPr>
          <w:rFonts w:hint="eastAsia" w:cs="Times New Roman"/>
          <w:szCs w:val="24"/>
          <w:lang w:bidi="ar"/>
        </w:rPr>
        <w:t>乙醇溶液的瓶内保存或用三角纸包带回实验室鉴定。</w:t>
      </w:r>
    </w:p>
    <w:p w14:paraId="632EEBB1">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3</w:t>
      </w:r>
      <w:r>
        <w:rPr>
          <w:rFonts w:hint="eastAsia" w:cs="Times New Roman"/>
          <w:b/>
          <w:bCs/>
          <w:szCs w:val="24"/>
          <w:lang w:bidi="ar"/>
        </w:rPr>
        <w:t>）动物资源调查方法</w:t>
      </w:r>
    </w:p>
    <w:p w14:paraId="1A14C7E9">
      <w:pPr>
        <w:spacing w:line="570" w:lineRule="atLeast"/>
        <w:ind w:firstLine="480"/>
        <w:rPr>
          <w:rFonts w:cs="Times New Roman"/>
          <w:szCs w:val="24"/>
        </w:rPr>
      </w:pPr>
      <w:r>
        <w:rPr>
          <w:rFonts w:hint="eastAsia" w:cs="Times New Roman"/>
          <w:szCs w:val="24"/>
          <w:u w:val="single"/>
          <w:lang w:bidi="ar"/>
        </w:rPr>
        <w:t>鱼类。</w:t>
      </w:r>
      <w:r>
        <w:rPr>
          <w:rFonts w:hint="eastAsia" w:cs="Times New Roman"/>
          <w:szCs w:val="24"/>
          <w:lang w:bidi="ar"/>
        </w:rPr>
        <w:t>在参考当地鱼类物种组成、分布和数量历史研究成果的基础上，根据实际情况分别采用访问调查和实地调查法。访问调查的对象包括茅山当地居民以及附近鱼塘工作人员，对获得的访问信息资料加以科学分析，力求真实全面；根据鱼类的生活习性，选择不同面积的水域调查鱼类的种类和数量，同步走访当地农贸市场，收集鱼类标本。</w:t>
      </w:r>
    </w:p>
    <w:p w14:paraId="2A45EA9F">
      <w:pPr>
        <w:spacing w:line="570" w:lineRule="atLeast"/>
        <w:ind w:firstLine="480"/>
        <w:rPr>
          <w:rFonts w:cs="Times New Roman"/>
          <w:szCs w:val="24"/>
        </w:rPr>
      </w:pPr>
      <w:r>
        <w:rPr>
          <w:rFonts w:hint="eastAsia" w:cs="Times New Roman"/>
          <w:szCs w:val="24"/>
          <w:u w:val="single"/>
          <w:lang w:bidi="ar"/>
        </w:rPr>
        <w:t>两栖类。</w:t>
      </w:r>
      <w:r>
        <w:rPr>
          <w:rFonts w:hint="eastAsia" w:cs="Times New Roman"/>
          <w:szCs w:val="24"/>
          <w:lang w:bidi="ar"/>
        </w:rPr>
        <w:t>在参考当地两栖动物物种组成、分布和数量历史研究成果的基础上，根据实际情况分别采用访问调查和实地调查法。访问调查的对象包括茅山当地居民，对照动物图鉴向他们核实曾经见到的动物种类，并了解其分布状况及大致数量，对获得的访问信息资料加以科学分析，力求真实和全面；在茅山旅游度假区内设置样线、样点，沿样线行进，仔细搜索样线两侧的两栖动物，发现动物时，记录动物名称、数量、距离样线中线的垂直距离、地理位置、影像等信息。</w:t>
      </w:r>
    </w:p>
    <w:p w14:paraId="57469959">
      <w:pPr>
        <w:spacing w:line="570" w:lineRule="atLeast"/>
        <w:ind w:firstLine="480"/>
        <w:rPr>
          <w:rFonts w:cs="Times New Roman"/>
          <w:szCs w:val="24"/>
        </w:rPr>
      </w:pPr>
      <w:r>
        <w:rPr>
          <w:rFonts w:hint="eastAsia" w:cs="Times New Roman"/>
          <w:szCs w:val="24"/>
          <w:lang w:bidi="ar"/>
        </w:rPr>
        <w:t>在茅山旅游度假区内选择</w:t>
      </w:r>
      <w:r>
        <w:rPr>
          <w:rFonts w:cs="Times New Roman"/>
          <w:szCs w:val="24"/>
          <w:lang w:bidi="ar"/>
        </w:rPr>
        <w:t>5</w:t>
      </w:r>
      <w:r>
        <w:rPr>
          <w:rFonts w:hint="eastAsia" w:cs="Times New Roman"/>
          <w:szCs w:val="24"/>
          <w:lang w:bidi="ar"/>
        </w:rPr>
        <w:t>条样线，在规划范围外设置</w:t>
      </w:r>
      <w:r>
        <w:rPr>
          <w:rFonts w:cs="Times New Roman"/>
          <w:szCs w:val="24"/>
          <w:lang w:bidi="ar"/>
        </w:rPr>
        <w:t>4</w:t>
      </w:r>
      <w:r>
        <w:rPr>
          <w:rFonts w:hint="eastAsia" w:cs="Times New Roman"/>
          <w:szCs w:val="24"/>
          <w:lang w:bidi="ar"/>
        </w:rPr>
        <w:t>条样线，并在样线周边分设</w:t>
      </w:r>
      <w:r>
        <w:rPr>
          <w:rFonts w:cs="Times New Roman"/>
          <w:szCs w:val="24"/>
          <w:lang w:bidi="ar"/>
        </w:rPr>
        <w:t>2~3</w:t>
      </w:r>
      <w:r>
        <w:rPr>
          <w:rFonts w:hint="eastAsia" w:cs="Times New Roman"/>
          <w:szCs w:val="24"/>
          <w:lang w:bidi="ar"/>
        </w:rPr>
        <w:t>个样点，样线位置具体如下：</w:t>
      </w:r>
    </w:p>
    <w:p w14:paraId="4A75BF07">
      <w:pPr>
        <w:spacing w:line="570" w:lineRule="atLeast"/>
        <w:ind w:firstLine="480"/>
        <w:rPr>
          <w:rFonts w:cs="Times New Roman"/>
          <w:szCs w:val="24"/>
        </w:rPr>
      </w:pPr>
      <w:r>
        <w:rPr>
          <w:rFonts w:hint="eastAsia" w:cs="Times New Roman"/>
          <w:szCs w:val="24"/>
          <w:lang w:bidi="ar"/>
        </w:rPr>
        <w:t>样线</w:t>
      </w:r>
      <w:r>
        <w:rPr>
          <w:rFonts w:cs="Times New Roman"/>
          <w:szCs w:val="24"/>
          <w:lang w:bidi="ar"/>
        </w:rPr>
        <w:t>1</w:t>
      </w:r>
      <w:r>
        <w:rPr>
          <w:rFonts w:hint="eastAsia" w:cs="Times New Roman"/>
          <w:szCs w:val="24"/>
          <w:lang w:bidi="ar"/>
        </w:rPr>
        <w:t>（</w:t>
      </w:r>
      <w:r>
        <w:rPr>
          <w:rFonts w:cs="Times New Roman"/>
          <w:szCs w:val="24"/>
          <w:lang w:bidi="ar"/>
        </w:rPr>
        <w:t>X1</w:t>
      </w:r>
      <w:r>
        <w:rPr>
          <w:rFonts w:hint="eastAsia" w:cs="Times New Roman"/>
          <w:szCs w:val="24"/>
          <w:lang w:bidi="ar"/>
        </w:rPr>
        <w:t>）：茅山旅游度假区东部样线，全长</w:t>
      </w:r>
      <w:r>
        <w:rPr>
          <w:rFonts w:cs="Times New Roman"/>
          <w:szCs w:val="24"/>
          <w:lang w:bidi="ar"/>
        </w:rPr>
        <w:t>1.29km</w:t>
      </w:r>
      <w:r>
        <w:rPr>
          <w:rFonts w:hint="eastAsia" w:cs="Times New Roman"/>
          <w:szCs w:val="24"/>
          <w:lang w:bidi="ar"/>
        </w:rPr>
        <w:t>，主要生境类型包括水塘、农田和林地，样线周边分设调查样点</w:t>
      </w:r>
      <w:r>
        <w:rPr>
          <w:rFonts w:cs="Times New Roman"/>
          <w:szCs w:val="24"/>
          <w:lang w:bidi="ar"/>
        </w:rPr>
        <w:t>D1</w:t>
      </w:r>
      <w:r>
        <w:rPr>
          <w:rFonts w:hint="eastAsia" w:cs="Times New Roman"/>
          <w:szCs w:val="24"/>
          <w:lang w:bidi="ar"/>
        </w:rPr>
        <w:t>、</w:t>
      </w:r>
      <w:r>
        <w:rPr>
          <w:rFonts w:cs="Times New Roman"/>
          <w:szCs w:val="24"/>
          <w:lang w:bidi="ar"/>
        </w:rPr>
        <w:t>D2</w:t>
      </w:r>
      <w:r>
        <w:rPr>
          <w:rFonts w:hint="eastAsia" w:cs="Times New Roman"/>
          <w:szCs w:val="24"/>
          <w:lang w:bidi="ar"/>
        </w:rPr>
        <w:t>；</w:t>
      </w:r>
    </w:p>
    <w:p w14:paraId="222E4543">
      <w:pPr>
        <w:spacing w:line="570" w:lineRule="atLeast"/>
        <w:ind w:firstLine="480"/>
        <w:rPr>
          <w:rFonts w:cs="Times New Roman"/>
          <w:szCs w:val="24"/>
        </w:rPr>
      </w:pPr>
      <w:r>
        <w:rPr>
          <w:rFonts w:hint="eastAsia" w:cs="Times New Roman"/>
          <w:szCs w:val="24"/>
          <w:lang w:bidi="ar"/>
        </w:rPr>
        <w:t>样线</w:t>
      </w:r>
      <w:r>
        <w:rPr>
          <w:rFonts w:cs="Times New Roman"/>
          <w:szCs w:val="24"/>
          <w:lang w:bidi="ar"/>
        </w:rPr>
        <w:t>2</w:t>
      </w:r>
      <w:r>
        <w:rPr>
          <w:rFonts w:hint="eastAsia" w:cs="Times New Roman"/>
          <w:szCs w:val="24"/>
          <w:lang w:bidi="ar"/>
        </w:rPr>
        <w:t>（</w:t>
      </w:r>
      <w:r>
        <w:rPr>
          <w:rFonts w:cs="Times New Roman"/>
          <w:szCs w:val="24"/>
          <w:lang w:bidi="ar"/>
        </w:rPr>
        <w:t>X2</w:t>
      </w:r>
      <w:r>
        <w:rPr>
          <w:rFonts w:hint="eastAsia" w:cs="Times New Roman"/>
          <w:szCs w:val="24"/>
          <w:lang w:bidi="ar"/>
        </w:rPr>
        <w:t>）：盐湖城东侧样线，全长</w:t>
      </w:r>
      <w:r>
        <w:rPr>
          <w:rFonts w:cs="Times New Roman"/>
          <w:szCs w:val="24"/>
          <w:lang w:bidi="ar"/>
        </w:rPr>
        <w:t>1.76km</w:t>
      </w:r>
      <w:r>
        <w:rPr>
          <w:rFonts w:hint="eastAsia" w:cs="Times New Roman"/>
          <w:szCs w:val="24"/>
          <w:lang w:bidi="ar"/>
        </w:rPr>
        <w:t>，主要生境类型包括灌木林地、水塘和湖面，样线周边分设调查样点</w:t>
      </w:r>
      <w:r>
        <w:rPr>
          <w:rFonts w:cs="Times New Roman"/>
          <w:szCs w:val="24"/>
          <w:lang w:bidi="ar"/>
        </w:rPr>
        <w:t>D3</w:t>
      </w:r>
      <w:r>
        <w:rPr>
          <w:rFonts w:hint="eastAsia" w:cs="Times New Roman"/>
          <w:szCs w:val="24"/>
          <w:lang w:bidi="ar"/>
        </w:rPr>
        <w:t>、</w:t>
      </w:r>
      <w:r>
        <w:rPr>
          <w:rFonts w:cs="Times New Roman"/>
          <w:szCs w:val="24"/>
          <w:lang w:bidi="ar"/>
        </w:rPr>
        <w:t>D4</w:t>
      </w:r>
      <w:r>
        <w:rPr>
          <w:rFonts w:hint="eastAsia" w:cs="Times New Roman"/>
          <w:szCs w:val="24"/>
          <w:lang w:bidi="ar"/>
        </w:rPr>
        <w:t>、</w:t>
      </w:r>
      <w:r>
        <w:rPr>
          <w:rFonts w:cs="Times New Roman"/>
          <w:szCs w:val="24"/>
          <w:lang w:bidi="ar"/>
        </w:rPr>
        <w:t>D5</w:t>
      </w:r>
      <w:r>
        <w:rPr>
          <w:rFonts w:hint="eastAsia" w:cs="Times New Roman"/>
          <w:szCs w:val="24"/>
          <w:lang w:bidi="ar"/>
        </w:rPr>
        <w:t>；</w:t>
      </w:r>
    </w:p>
    <w:p w14:paraId="6423ED62">
      <w:pPr>
        <w:spacing w:line="570" w:lineRule="atLeast"/>
        <w:ind w:firstLine="480"/>
        <w:rPr>
          <w:rFonts w:cs="Times New Roman"/>
          <w:szCs w:val="24"/>
        </w:rPr>
      </w:pPr>
      <w:r>
        <w:rPr>
          <w:rFonts w:hint="eastAsia" w:cs="Times New Roman"/>
          <w:szCs w:val="24"/>
          <w:lang w:bidi="ar"/>
        </w:rPr>
        <w:t>样线</w:t>
      </w:r>
      <w:r>
        <w:rPr>
          <w:rFonts w:cs="Times New Roman"/>
          <w:szCs w:val="24"/>
          <w:lang w:bidi="ar"/>
        </w:rPr>
        <w:t>3</w:t>
      </w:r>
      <w:r>
        <w:rPr>
          <w:rFonts w:hint="eastAsia" w:cs="Times New Roman"/>
          <w:szCs w:val="24"/>
          <w:lang w:bidi="ar"/>
        </w:rPr>
        <w:t>（</w:t>
      </w:r>
      <w:r>
        <w:rPr>
          <w:rFonts w:cs="Times New Roman"/>
          <w:szCs w:val="24"/>
          <w:lang w:bidi="ar"/>
        </w:rPr>
        <w:t>X3</w:t>
      </w:r>
      <w:r>
        <w:rPr>
          <w:rFonts w:hint="eastAsia" w:cs="Times New Roman"/>
          <w:szCs w:val="24"/>
          <w:lang w:bidi="ar"/>
        </w:rPr>
        <w:t>）：明月山溪花园样线，全长</w:t>
      </w:r>
      <w:r>
        <w:rPr>
          <w:rFonts w:cs="Times New Roman"/>
          <w:szCs w:val="24"/>
          <w:lang w:bidi="ar"/>
        </w:rPr>
        <w:t>1.02km</w:t>
      </w:r>
      <w:r>
        <w:rPr>
          <w:rFonts w:hint="eastAsia" w:cs="Times New Roman"/>
          <w:szCs w:val="24"/>
          <w:lang w:bidi="ar"/>
        </w:rPr>
        <w:t>，主要生境类型包括村庄、农田和林地，样线周边分设调查样点</w:t>
      </w:r>
      <w:r>
        <w:rPr>
          <w:rFonts w:cs="Times New Roman"/>
          <w:szCs w:val="24"/>
          <w:lang w:bidi="ar"/>
        </w:rPr>
        <w:t>D6</w:t>
      </w:r>
      <w:r>
        <w:rPr>
          <w:rFonts w:hint="eastAsia" w:cs="Times New Roman"/>
          <w:szCs w:val="24"/>
          <w:lang w:bidi="ar"/>
        </w:rPr>
        <w:t>、</w:t>
      </w:r>
      <w:r>
        <w:rPr>
          <w:rFonts w:cs="Times New Roman"/>
          <w:szCs w:val="24"/>
          <w:lang w:bidi="ar"/>
        </w:rPr>
        <w:t>D7</w:t>
      </w:r>
      <w:r>
        <w:rPr>
          <w:rFonts w:hint="eastAsia" w:cs="Times New Roman"/>
          <w:szCs w:val="24"/>
          <w:lang w:bidi="ar"/>
        </w:rPr>
        <w:t>；</w:t>
      </w:r>
    </w:p>
    <w:p w14:paraId="5156C4D5">
      <w:pPr>
        <w:spacing w:line="570" w:lineRule="atLeast"/>
        <w:ind w:firstLine="480"/>
        <w:rPr>
          <w:rFonts w:cs="Times New Roman"/>
          <w:szCs w:val="24"/>
        </w:rPr>
      </w:pPr>
      <w:r>
        <w:rPr>
          <w:rFonts w:hint="eastAsia" w:cs="Times New Roman"/>
          <w:szCs w:val="24"/>
          <w:lang w:bidi="ar"/>
        </w:rPr>
        <w:t>样线</w:t>
      </w:r>
      <w:r>
        <w:rPr>
          <w:rFonts w:cs="Times New Roman"/>
          <w:szCs w:val="24"/>
          <w:lang w:bidi="ar"/>
        </w:rPr>
        <w:t>4</w:t>
      </w:r>
      <w:r>
        <w:rPr>
          <w:rFonts w:hint="eastAsia" w:cs="Times New Roman"/>
          <w:szCs w:val="24"/>
          <w:lang w:bidi="ar"/>
        </w:rPr>
        <w:t>（</w:t>
      </w:r>
      <w:r>
        <w:rPr>
          <w:rFonts w:cs="Times New Roman"/>
          <w:szCs w:val="24"/>
          <w:lang w:bidi="ar"/>
        </w:rPr>
        <w:t>X4</w:t>
      </w:r>
      <w:r>
        <w:rPr>
          <w:rFonts w:hint="eastAsia" w:cs="Times New Roman"/>
          <w:szCs w:val="24"/>
          <w:lang w:bidi="ar"/>
        </w:rPr>
        <w:t>）：新浮水库样线，全长</w:t>
      </w:r>
      <w:r>
        <w:rPr>
          <w:rFonts w:cs="Times New Roman"/>
          <w:szCs w:val="24"/>
          <w:lang w:bidi="ar"/>
        </w:rPr>
        <w:t>2.21km</w:t>
      </w:r>
      <w:r>
        <w:rPr>
          <w:rFonts w:hint="eastAsia" w:cs="Times New Roman"/>
          <w:szCs w:val="24"/>
          <w:lang w:bidi="ar"/>
        </w:rPr>
        <w:t>，主要生境类型包括林地、村庄、农田和水库，样线周边分设调查样点</w:t>
      </w:r>
      <w:r>
        <w:rPr>
          <w:rFonts w:cs="Times New Roman"/>
          <w:szCs w:val="24"/>
          <w:lang w:bidi="ar"/>
        </w:rPr>
        <w:t>D8</w:t>
      </w:r>
      <w:r>
        <w:rPr>
          <w:rFonts w:hint="eastAsia" w:cs="Times New Roman"/>
          <w:szCs w:val="24"/>
          <w:lang w:bidi="ar"/>
        </w:rPr>
        <w:t>、</w:t>
      </w:r>
      <w:r>
        <w:rPr>
          <w:rFonts w:cs="Times New Roman"/>
          <w:szCs w:val="24"/>
          <w:lang w:bidi="ar"/>
        </w:rPr>
        <w:t>D9</w:t>
      </w:r>
      <w:r>
        <w:rPr>
          <w:rFonts w:hint="eastAsia" w:cs="Times New Roman"/>
          <w:szCs w:val="24"/>
          <w:lang w:bidi="ar"/>
        </w:rPr>
        <w:t>、</w:t>
      </w:r>
      <w:r>
        <w:rPr>
          <w:rFonts w:cs="Times New Roman"/>
          <w:szCs w:val="24"/>
          <w:lang w:bidi="ar"/>
        </w:rPr>
        <w:t>D10</w:t>
      </w:r>
      <w:r>
        <w:rPr>
          <w:rFonts w:hint="eastAsia" w:cs="Times New Roman"/>
          <w:szCs w:val="24"/>
          <w:lang w:bidi="ar"/>
        </w:rPr>
        <w:t>；</w:t>
      </w:r>
    </w:p>
    <w:p w14:paraId="08C9FF5E">
      <w:pPr>
        <w:spacing w:line="570" w:lineRule="atLeast"/>
        <w:ind w:firstLine="480"/>
        <w:rPr>
          <w:rFonts w:cs="Times New Roman"/>
          <w:szCs w:val="24"/>
        </w:rPr>
      </w:pPr>
      <w:r>
        <w:rPr>
          <w:rFonts w:hint="eastAsia" w:cs="Times New Roman"/>
          <w:szCs w:val="24"/>
          <w:lang w:bidi="ar"/>
        </w:rPr>
        <w:t>样线</w:t>
      </w:r>
      <w:r>
        <w:rPr>
          <w:rFonts w:cs="Times New Roman"/>
          <w:szCs w:val="24"/>
          <w:lang w:bidi="ar"/>
        </w:rPr>
        <w:t>5</w:t>
      </w:r>
      <w:r>
        <w:rPr>
          <w:rFonts w:hint="eastAsia" w:cs="Times New Roman"/>
          <w:szCs w:val="24"/>
          <w:lang w:bidi="ar"/>
        </w:rPr>
        <w:t>（</w:t>
      </w:r>
      <w:r>
        <w:rPr>
          <w:rFonts w:cs="Times New Roman"/>
          <w:szCs w:val="24"/>
          <w:lang w:bidi="ar"/>
        </w:rPr>
        <w:t>X5</w:t>
      </w:r>
      <w:r>
        <w:rPr>
          <w:rFonts w:hint="eastAsia" w:cs="Times New Roman"/>
          <w:szCs w:val="24"/>
          <w:lang w:bidi="ar"/>
        </w:rPr>
        <w:t>）：茅山旅游度假区南部样线，全长</w:t>
      </w:r>
      <w:r>
        <w:rPr>
          <w:rFonts w:cs="Times New Roman"/>
          <w:szCs w:val="24"/>
          <w:lang w:bidi="ar"/>
        </w:rPr>
        <w:t>1.53km</w:t>
      </w:r>
      <w:r>
        <w:rPr>
          <w:rFonts w:hint="eastAsia" w:cs="Times New Roman"/>
          <w:szCs w:val="24"/>
          <w:lang w:bidi="ar"/>
        </w:rPr>
        <w:t>，主要生境类型包括林地和农田，样线周边分设调查样点</w:t>
      </w:r>
      <w:r>
        <w:rPr>
          <w:rFonts w:cs="Times New Roman"/>
          <w:szCs w:val="24"/>
          <w:lang w:bidi="ar"/>
        </w:rPr>
        <w:t>D11</w:t>
      </w:r>
      <w:r>
        <w:rPr>
          <w:rFonts w:hint="eastAsia" w:cs="Times New Roman"/>
          <w:szCs w:val="24"/>
          <w:lang w:bidi="ar"/>
        </w:rPr>
        <w:t>、</w:t>
      </w:r>
      <w:r>
        <w:rPr>
          <w:rFonts w:cs="Times New Roman"/>
          <w:szCs w:val="24"/>
          <w:lang w:bidi="ar"/>
        </w:rPr>
        <w:t>D12</w:t>
      </w:r>
      <w:r>
        <w:rPr>
          <w:rFonts w:hint="eastAsia" w:cs="Times New Roman"/>
          <w:szCs w:val="24"/>
          <w:lang w:bidi="ar"/>
        </w:rPr>
        <w:t>、</w:t>
      </w:r>
      <w:r>
        <w:rPr>
          <w:rFonts w:cs="Times New Roman"/>
          <w:szCs w:val="24"/>
          <w:lang w:bidi="ar"/>
        </w:rPr>
        <w:t>D13</w:t>
      </w:r>
      <w:r>
        <w:rPr>
          <w:rFonts w:hint="eastAsia" w:cs="Times New Roman"/>
          <w:szCs w:val="24"/>
          <w:lang w:bidi="ar"/>
        </w:rPr>
        <w:t>；</w:t>
      </w:r>
    </w:p>
    <w:p w14:paraId="48566069">
      <w:pPr>
        <w:spacing w:line="570" w:lineRule="atLeast"/>
        <w:ind w:firstLine="480"/>
        <w:rPr>
          <w:rFonts w:cs="Times New Roman"/>
          <w:szCs w:val="24"/>
        </w:rPr>
      </w:pPr>
      <w:r>
        <w:rPr>
          <w:rFonts w:hint="eastAsia" w:cs="Times New Roman"/>
          <w:szCs w:val="24"/>
          <w:lang w:bidi="ar"/>
        </w:rPr>
        <w:t>样线</w:t>
      </w:r>
      <w:r>
        <w:rPr>
          <w:rFonts w:cs="Times New Roman"/>
          <w:szCs w:val="24"/>
          <w:lang w:bidi="ar"/>
        </w:rPr>
        <w:t>6</w:t>
      </w:r>
      <w:r>
        <w:rPr>
          <w:rFonts w:hint="eastAsia" w:cs="Times New Roman"/>
          <w:szCs w:val="24"/>
          <w:lang w:bidi="ar"/>
        </w:rPr>
        <w:t>（</w:t>
      </w:r>
      <w:r>
        <w:rPr>
          <w:rFonts w:cs="Times New Roman"/>
          <w:szCs w:val="24"/>
          <w:lang w:bidi="ar"/>
        </w:rPr>
        <w:t>X6</w:t>
      </w:r>
      <w:r>
        <w:rPr>
          <w:rFonts w:hint="eastAsia" w:cs="Times New Roman"/>
          <w:szCs w:val="24"/>
          <w:lang w:bidi="ar"/>
        </w:rPr>
        <w:t>）：茅山金牛洞景区样线，全长</w:t>
      </w:r>
      <w:r>
        <w:rPr>
          <w:rFonts w:cs="Times New Roman"/>
          <w:szCs w:val="24"/>
          <w:lang w:bidi="ar"/>
        </w:rPr>
        <w:t>2.31km</w:t>
      </w:r>
      <w:r>
        <w:rPr>
          <w:rFonts w:hint="eastAsia" w:cs="Times New Roman"/>
          <w:szCs w:val="24"/>
          <w:lang w:bidi="ar"/>
        </w:rPr>
        <w:t>，主要生境类型为林地，样线周边分设调查样点</w:t>
      </w:r>
      <w:r>
        <w:rPr>
          <w:rFonts w:cs="Times New Roman"/>
          <w:szCs w:val="24"/>
          <w:lang w:bidi="ar"/>
        </w:rPr>
        <w:t>D14</w:t>
      </w:r>
      <w:r>
        <w:rPr>
          <w:rFonts w:hint="eastAsia" w:cs="Times New Roman"/>
          <w:szCs w:val="24"/>
          <w:lang w:bidi="ar"/>
        </w:rPr>
        <w:t>、</w:t>
      </w:r>
      <w:r>
        <w:rPr>
          <w:rFonts w:cs="Times New Roman"/>
          <w:szCs w:val="24"/>
          <w:lang w:bidi="ar"/>
        </w:rPr>
        <w:t>D15</w:t>
      </w:r>
      <w:r>
        <w:rPr>
          <w:rFonts w:hint="eastAsia" w:cs="Times New Roman"/>
          <w:szCs w:val="24"/>
          <w:lang w:bidi="ar"/>
        </w:rPr>
        <w:t>；</w:t>
      </w:r>
    </w:p>
    <w:p w14:paraId="34BD7CE1">
      <w:pPr>
        <w:spacing w:line="570" w:lineRule="atLeast"/>
        <w:ind w:firstLine="480"/>
        <w:rPr>
          <w:rFonts w:cs="Times New Roman"/>
          <w:szCs w:val="24"/>
        </w:rPr>
      </w:pPr>
      <w:r>
        <w:rPr>
          <w:rFonts w:hint="eastAsia" w:cs="Times New Roman"/>
          <w:szCs w:val="24"/>
          <w:lang w:bidi="ar"/>
        </w:rPr>
        <w:t>样线</w:t>
      </w:r>
      <w:r>
        <w:rPr>
          <w:rFonts w:cs="Times New Roman"/>
          <w:szCs w:val="24"/>
          <w:lang w:bidi="ar"/>
        </w:rPr>
        <w:t>7</w:t>
      </w:r>
      <w:r>
        <w:rPr>
          <w:rFonts w:hint="eastAsia" w:cs="Times New Roman"/>
          <w:szCs w:val="24"/>
          <w:lang w:bidi="ar"/>
        </w:rPr>
        <w:t>（</w:t>
      </w:r>
      <w:r>
        <w:rPr>
          <w:rFonts w:cs="Times New Roman"/>
          <w:szCs w:val="24"/>
          <w:lang w:bidi="ar"/>
        </w:rPr>
        <w:t>X7</w:t>
      </w:r>
      <w:r>
        <w:rPr>
          <w:rFonts w:hint="eastAsia" w:cs="Times New Roman"/>
          <w:szCs w:val="24"/>
          <w:lang w:bidi="ar"/>
        </w:rPr>
        <w:t>）：茅东水库以西样线，全长</w:t>
      </w:r>
      <w:r>
        <w:rPr>
          <w:rFonts w:cs="Times New Roman"/>
          <w:szCs w:val="24"/>
          <w:lang w:bidi="ar"/>
        </w:rPr>
        <w:t>1.44km</w:t>
      </w:r>
      <w:r>
        <w:rPr>
          <w:rFonts w:hint="eastAsia" w:cs="Times New Roman"/>
          <w:szCs w:val="24"/>
          <w:lang w:bidi="ar"/>
        </w:rPr>
        <w:t>，主要生境类型包括林地和水库，样线周边分设调查样点</w:t>
      </w:r>
      <w:r>
        <w:rPr>
          <w:rFonts w:cs="Times New Roman"/>
          <w:szCs w:val="24"/>
          <w:lang w:bidi="ar"/>
        </w:rPr>
        <w:t>D16</w:t>
      </w:r>
      <w:r>
        <w:rPr>
          <w:rFonts w:hint="eastAsia" w:cs="Times New Roman"/>
          <w:szCs w:val="24"/>
          <w:lang w:bidi="ar"/>
        </w:rPr>
        <w:t>、</w:t>
      </w:r>
      <w:r>
        <w:rPr>
          <w:rFonts w:cs="Times New Roman"/>
          <w:szCs w:val="24"/>
          <w:lang w:bidi="ar"/>
        </w:rPr>
        <w:t>D17</w:t>
      </w:r>
      <w:r>
        <w:rPr>
          <w:rFonts w:hint="eastAsia" w:cs="Times New Roman"/>
          <w:szCs w:val="24"/>
          <w:lang w:bidi="ar"/>
        </w:rPr>
        <w:t>；</w:t>
      </w:r>
    </w:p>
    <w:p w14:paraId="646C8A52">
      <w:pPr>
        <w:spacing w:line="570" w:lineRule="atLeast"/>
        <w:ind w:firstLine="480"/>
        <w:rPr>
          <w:rFonts w:cs="Times New Roman"/>
          <w:szCs w:val="24"/>
        </w:rPr>
      </w:pPr>
      <w:r>
        <w:rPr>
          <w:rFonts w:hint="eastAsia" w:cs="Times New Roman"/>
          <w:szCs w:val="24"/>
          <w:lang w:bidi="ar"/>
        </w:rPr>
        <w:t>样线</w:t>
      </w:r>
      <w:r>
        <w:rPr>
          <w:rFonts w:cs="Times New Roman"/>
          <w:szCs w:val="24"/>
          <w:lang w:bidi="ar"/>
        </w:rPr>
        <w:t>8</w:t>
      </w:r>
      <w:r>
        <w:rPr>
          <w:rFonts w:hint="eastAsia" w:cs="Times New Roman"/>
          <w:szCs w:val="24"/>
          <w:lang w:bidi="ar"/>
        </w:rPr>
        <w:t>（</w:t>
      </w:r>
      <w:r>
        <w:rPr>
          <w:rFonts w:cs="Times New Roman"/>
          <w:szCs w:val="24"/>
          <w:lang w:bidi="ar"/>
        </w:rPr>
        <w:t>X8</w:t>
      </w:r>
      <w:r>
        <w:rPr>
          <w:rFonts w:hint="eastAsia" w:cs="Times New Roman"/>
          <w:szCs w:val="24"/>
          <w:lang w:bidi="ar"/>
        </w:rPr>
        <w:t>）：茶海大道以东样线，全长</w:t>
      </w:r>
      <w:r>
        <w:rPr>
          <w:rFonts w:cs="Times New Roman"/>
          <w:szCs w:val="24"/>
          <w:lang w:bidi="ar"/>
        </w:rPr>
        <w:t>1.13km</w:t>
      </w:r>
      <w:r>
        <w:rPr>
          <w:rFonts w:hint="eastAsia" w:cs="Times New Roman"/>
          <w:szCs w:val="24"/>
          <w:lang w:bidi="ar"/>
        </w:rPr>
        <w:t>，主要生境类型包括村庄和农田，样线周边分设调查样点</w:t>
      </w:r>
      <w:r>
        <w:rPr>
          <w:rFonts w:cs="Times New Roman"/>
          <w:szCs w:val="24"/>
          <w:lang w:bidi="ar"/>
        </w:rPr>
        <w:t>D18</w:t>
      </w:r>
      <w:r>
        <w:rPr>
          <w:rFonts w:hint="eastAsia" w:cs="Times New Roman"/>
          <w:szCs w:val="24"/>
          <w:lang w:bidi="ar"/>
        </w:rPr>
        <w:t>、</w:t>
      </w:r>
      <w:r>
        <w:rPr>
          <w:rFonts w:cs="Times New Roman"/>
          <w:szCs w:val="24"/>
          <w:lang w:bidi="ar"/>
        </w:rPr>
        <w:t>D19</w:t>
      </w:r>
      <w:r>
        <w:rPr>
          <w:rFonts w:hint="eastAsia" w:cs="Times New Roman"/>
          <w:szCs w:val="24"/>
          <w:lang w:bidi="ar"/>
        </w:rPr>
        <w:t>；</w:t>
      </w:r>
    </w:p>
    <w:p w14:paraId="330349AD">
      <w:pPr>
        <w:spacing w:line="570" w:lineRule="atLeast"/>
        <w:ind w:firstLine="480"/>
        <w:rPr>
          <w:rFonts w:cs="Times New Roman"/>
          <w:szCs w:val="24"/>
          <w:lang w:bidi="ar"/>
        </w:rPr>
      </w:pPr>
      <w:r>
        <w:rPr>
          <w:rFonts w:hint="eastAsia" w:cs="Times New Roman"/>
          <w:szCs w:val="24"/>
          <w:lang w:bidi="ar"/>
        </w:rPr>
        <w:t>样线</w:t>
      </w:r>
      <w:r>
        <w:rPr>
          <w:rFonts w:cs="Times New Roman"/>
          <w:szCs w:val="24"/>
          <w:lang w:bidi="ar"/>
        </w:rPr>
        <w:t>9</w:t>
      </w:r>
      <w:r>
        <w:rPr>
          <w:rFonts w:hint="eastAsia" w:cs="Times New Roman"/>
          <w:szCs w:val="24"/>
          <w:lang w:bidi="ar"/>
        </w:rPr>
        <w:t>（</w:t>
      </w:r>
      <w:r>
        <w:rPr>
          <w:rFonts w:cs="Times New Roman"/>
          <w:szCs w:val="24"/>
          <w:lang w:bidi="ar"/>
        </w:rPr>
        <w:t>X9</w:t>
      </w:r>
      <w:r>
        <w:rPr>
          <w:rFonts w:hint="eastAsia" w:cs="Times New Roman"/>
          <w:szCs w:val="24"/>
          <w:lang w:bidi="ar"/>
        </w:rPr>
        <w:t>）：东进水库样线，全长</w:t>
      </w:r>
      <w:r>
        <w:rPr>
          <w:rFonts w:cs="Times New Roman"/>
          <w:szCs w:val="24"/>
          <w:lang w:bidi="ar"/>
        </w:rPr>
        <w:t>1.11km</w:t>
      </w:r>
      <w:r>
        <w:rPr>
          <w:rFonts w:hint="eastAsia" w:cs="Times New Roman"/>
          <w:szCs w:val="24"/>
          <w:lang w:bidi="ar"/>
        </w:rPr>
        <w:t>，主要生境类型为农田，样线周边分设调查样点</w:t>
      </w:r>
      <w:r>
        <w:rPr>
          <w:rFonts w:cs="Times New Roman"/>
          <w:szCs w:val="24"/>
          <w:lang w:bidi="ar"/>
        </w:rPr>
        <w:t>D20</w:t>
      </w:r>
      <w:r>
        <w:rPr>
          <w:rFonts w:hint="eastAsia" w:cs="Times New Roman"/>
          <w:szCs w:val="24"/>
          <w:lang w:bidi="ar"/>
        </w:rPr>
        <w:t>、</w:t>
      </w:r>
      <w:r>
        <w:rPr>
          <w:rFonts w:cs="Times New Roman"/>
          <w:szCs w:val="24"/>
          <w:lang w:bidi="ar"/>
        </w:rPr>
        <w:t>D21</w:t>
      </w:r>
      <w:r>
        <w:rPr>
          <w:rFonts w:hint="eastAsia" w:cs="Times New Roman"/>
          <w:szCs w:val="24"/>
          <w:lang w:bidi="ar"/>
        </w:rPr>
        <w:t>。</w:t>
      </w:r>
    </w:p>
    <w:p w14:paraId="202E3C2E">
      <w:pPr>
        <w:spacing w:line="570" w:lineRule="atLeast"/>
        <w:ind w:firstLine="480"/>
        <w:jc w:val="center"/>
      </w:pPr>
      <w:r>
        <w:drawing>
          <wp:inline distT="0" distB="0" distL="114300" distR="114300">
            <wp:extent cx="2879725" cy="3287395"/>
            <wp:effectExtent l="0" t="0" r="15875" b="8255"/>
            <wp:docPr id="6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3"/>
                    <pic:cNvPicPr>
                      <a:picLocks noChangeAspect="1"/>
                    </pic:cNvPicPr>
                  </pic:nvPicPr>
                  <pic:blipFill>
                    <a:blip r:embed="rId41"/>
                    <a:stretch>
                      <a:fillRect/>
                    </a:stretch>
                  </pic:blipFill>
                  <pic:spPr>
                    <a:xfrm>
                      <a:off x="0" y="0"/>
                      <a:ext cx="2879725" cy="3287395"/>
                    </a:xfrm>
                    <a:prstGeom prst="rect">
                      <a:avLst/>
                    </a:prstGeom>
                    <a:noFill/>
                    <a:ln>
                      <a:noFill/>
                    </a:ln>
                  </pic:spPr>
                </pic:pic>
              </a:graphicData>
            </a:graphic>
          </wp:inline>
        </w:drawing>
      </w:r>
    </w:p>
    <w:p w14:paraId="28C76B62">
      <w:pPr>
        <w:pStyle w:val="45"/>
        <w:rPr>
          <w:rFonts w:cs="Times New Roman"/>
        </w:rPr>
      </w:pPr>
      <w:r>
        <w:rPr>
          <w:rFonts w:hint="eastAsia" w:cs="Times New Roman"/>
        </w:rPr>
        <w:t>图3.6-12 动物调查样线、样点分布图</w:t>
      </w:r>
    </w:p>
    <w:p w14:paraId="056F4AB3">
      <w:pPr>
        <w:spacing w:line="570" w:lineRule="atLeast"/>
        <w:ind w:firstLine="480"/>
        <w:rPr>
          <w:rFonts w:cs="Times New Roman"/>
          <w:szCs w:val="24"/>
        </w:rPr>
      </w:pPr>
      <w:r>
        <w:rPr>
          <w:rFonts w:hint="eastAsia" w:cs="Times New Roman"/>
          <w:szCs w:val="24"/>
          <w:u w:val="single"/>
          <w:lang w:bidi="ar"/>
        </w:rPr>
        <w:t>爬行类。</w:t>
      </w:r>
      <w:r>
        <w:rPr>
          <w:rFonts w:hint="eastAsia" w:cs="Times New Roman"/>
          <w:szCs w:val="24"/>
          <w:lang w:bidi="ar"/>
        </w:rPr>
        <w:t>调查以实地走访结合访谈为主、文献资料收集为辅的方法，访问调查的对象包括茅山当地居民，对照动物图鉴向他们核实曾经见到的动物种类，并了解其分布状况及大致数量，最终确定区域内现有物种种类及分布；实地调查采用样线法，具体样线设置同两栖动物调查样线。</w:t>
      </w:r>
    </w:p>
    <w:p w14:paraId="19915C11">
      <w:pPr>
        <w:spacing w:line="570" w:lineRule="atLeast"/>
        <w:ind w:firstLine="480"/>
        <w:rPr>
          <w:rFonts w:cs="Times New Roman"/>
          <w:szCs w:val="24"/>
        </w:rPr>
      </w:pPr>
      <w:r>
        <w:rPr>
          <w:rFonts w:hint="eastAsia" w:cs="Times New Roman"/>
          <w:szCs w:val="24"/>
          <w:u w:val="single"/>
          <w:lang w:bidi="ar"/>
        </w:rPr>
        <w:t>鸟类。</w:t>
      </w:r>
      <w:r>
        <w:rPr>
          <w:rFonts w:hint="eastAsia" w:cs="Times New Roman"/>
          <w:szCs w:val="24"/>
          <w:lang w:bidi="ar"/>
        </w:rPr>
        <w:t>调查采用样线法，步行调查统计方法。样带长度</w:t>
      </w:r>
      <w:r>
        <w:rPr>
          <w:rFonts w:cs="Times New Roman"/>
          <w:szCs w:val="24"/>
          <w:lang w:bidi="ar"/>
        </w:rPr>
        <w:t>2~3km</w:t>
      </w:r>
      <w:r>
        <w:rPr>
          <w:rFonts w:hint="eastAsia" w:cs="Times New Roman"/>
          <w:szCs w:val="24"/>
          <w:lang w:bidi="ar"/>
        </w:rPr>
        <w:t>。调查在天气晴朗、风力不大（一般在</w:t>
      </w:r>
      <w:r>
        <w:rPr>
          <w:rFonts w:cs="Times New Roman"/>
          <w:szCs w:val="24"/>
          <w:lang w:bidi="ar"/>
        </w:rPr>
        <w:t>3</w:t>
      </w:r>
      <w:r>
        <w:rPr>
          <w:rFonts w:hint="eastAsia" w:cs="Times New Roman"/>
          <w:szCs w:val="24"/>
          <w:lang w:bidi="ar"/>
        </w:rPr>
        <w:t>级以下）的条件下进行；调查时间选择为清晨或傍晚；步行速度一般每小时</w:t>
      </w:r>
      <w:r>
        <w:rPr>
          <w:rFonts w:cs="Times New Roman"/>
          <w:szCs w:val="24"/>
          <w:lang w:bidi="ar"/>
        </w:rPr>
        <w:t>1~2km</w:t>
      </w:r>
      <w:r>
        <w:rPr>
          <w:rFonts w:hint="eastAsia" w:cs="Times New Roman"/>
          <w:szCs w:val="24"/>
          <w:lang w:bidi="ar"/>
        </w:rPr>
        <w:t>。调查只记录位于前方及两侧的鸟类（包括向后飞越过样带的个体，而向前飞越过样带的个体则不记录）；对于重点区域，则采用样点法辅助调查。在调查过程中，确定评价范围内动物的种类、资源状况及生存状况，尤其是国家重点保护种类。本次调查共在茅山旅游度假区内设置</w:t>
      </w:r>
      <w:r>
        <w:rPr>
          <w:rFonts w:cs="Times New Roman"/>
          <w:szCs w:val="24"/>
          <w:lang w:bidi="ar"/>
        </w:rPr>
        <w:t>3</w:t>
      </w:r>
      <w:r>
        <w:rPr>
          <w:rFonts w:hint="eastAsia" w:cs="Times New Roman"/>
          <w:szCs w:val="24"/>
          <w:lang w:bidi="ar"/>
        </w:rPr>
        <w:t>条样线，样线设置同两栖动物调查样线。行走样线时，借助</w:t>
      </w:r>
      <w:r>
        <w:rPr>
          <w:rFonts w:cs="Times New Roman"/>
          <w:i/>
          <w:iCs/>
          <w:szCs w:val="24"/>
          <w:lang w:bidi="ar"/>
        </w:rPr>
        <w:t>Steiner</w:t>
      </w:r>
      <w:r>
        <w:rPr>
          <w:rFonts w:hint="eastAsia" w:cs="Times New Roman"/>
          <w:szCs w:val="24"/>
          <w:lang w:bidi="ar"/>
        </w:rPr>
        <w:t>双筒望远镜进行观察，借助</w:t>
      </w:r>
      <w:r>
        <w:rPr>
          <w:rFonts w:cs="Times New Roman"/>
          <w:i/>
          <w:iCs/>
          <w:szCs w:val="24"/>
          <w:lang w:bidi="ar"/>
        </w:rPr>
        <w:t>GPS</w:t>
      </w:r>
      <w:r>
        <w:rPr>
          <w:rFonts w:hint="eastAsia" w:cs="Times New Roman"/>
          <w:szCs w:val="24"/>
          <w:lang w:bidi="ar"/>
        </w:rPr>
        <w:t>麦哲伦海王星</w:t>
      </w:r>
      <w:r>
        <w:rPr>
          <w:rFonts w:cs="Times New Roman"/>
          <w:i/>
          <w:iCs/>
          <w:szCs w:val="24"/>
          <w:lang w:bidi="ar"/>
        </w:rPr>
        <w:t>Triton 400</w:t>
      </w:r>
      <w:r>
        <w:rPr>
          <w:rFonts w:hint="eastAsia" w:cs="Times New Roman"/>
          <w:szCs w:val="24"/>
          <w:lang w:bidi="ar"/>
        </w:rPr>
        <w:t>对调查样点坐标和样线调查轨迹进行记录和计算。同时，利用富士长焦相机对调查区域生境及鸟类实体进行拍照。</w:t>
      </w:r>
    </w:p>
    <w:p w14:paraId="7885C400">
      <w:pPr>
        <w:spacing w:line="570" w:lineRule="atLeast"/>
        <w:ind w:firstLine="480"/>
        <w:rPr>
          <w:rFonts w:cs="Times New Roman"/>
          <w:szCs w:val="24"/>
        </w:rPr>
      </w:pPr>
      <w:r>
        <w:rPr>
          <w:rFonts w:hint="eastAsia" w:cs="Times New Roman"/>
          <w:szCs w:val="24"/>
          <w:u w:val="single"/>
          <w:lang w:bidi="ar"/>
        </w:rPr>
        <w:t>哺乳类。</w:t>
      </w:r>
      <w:r>
        <w:rPr>
          <w:rFonts w:hint="eastAsia" w:cs="Times New Roman"/>
          <w:szCs w:val="24"/>
          <w:lang w:bidi="ar"/>
        </w:rPr>
        <w:t>在参考当地哺乳类动物组成、分布和数量历史研究成果的基础上，根据实际情况分别采用访问调查和实地调查。访问调查的对象包括茅山当地居民以及养殖场的相关人员，对照动物图鉴向他们核实曾经见到的动物的种类和数量，以了解大中型兽类和珍稀兽类的种类、在调查范围内的分布状况及大致数量，对获得的访问信息资料加以科学的分析，力求真实和全面；对于小型兽类如啮齿类采用鼠夹捕捉法，大中型兽类采用样线法，样线设置同两栖动物调查样线。调查中注意观察动物实体、各种动物活动的踪迹（如足迹、卧迹、洞穴、粪便、食物残迹、叫声等），然后进行归类统计。</w:t>
      </w:r>
    </w:p>
    <w:p w14:paraId="3EBD2D4F">
      <w:pPr>
        <w:spacing w:line="570" w:lineRule="atLeast"/>
        <w:ind w:firstLine="480"/>
        <w:rPr>
          <w:rFonts w:cs="Times New Roman"/>
          <w:szCs w:val="24"/>
        </w:rPr>
      </w:pPr>
      <w:r>
        <w:rPr>
          <w:rFonts w:hint="eastAsia" w:cs="Times New Roman"/>
          <w:szCs w:val="24"/>
          <w:u w:val="single"/>
          <w:lang w:bidi="ar"/>
        </w:rPr>
        <w:t>生态系统。</w:t>
      </w:r>
      <w:r>
        <w:rPr>
          <w:rFonts w:hint="eastAsia" w:cs="Times New Roman"/>
          <w:szCs w:val="24"/>
          <w:lang w:bidi="ar"/>
        </w:rPr>
        <w:t>通过“</w:t>
      </w:r>
      <w:r>
        <w:rPr>
          <w:rFonts w:cs="Times New Roman"/>
          <w:szCs w:val="24"/>
          <w:lang w:bidi="ar"/>
        </w:rPr>
        <w:t>3S</w:t>
      </w:r>
      <w:r>
        <w:rPr>
          <w:rFonts w:hint="eastAsia" w:cs="Times New Roman"/>
          <w:szCs w:val="24"/>
          <w:lang w:bidi="ar"/>
        </w:rPr>
        <w:t>”技术与现场调查相结合的方法，选取</w:t>
      </w:r>
      <w:r>
        <w:rPr>
          <w:rFonts w:cs="Times New Roman"/>
          <w:szCs w:val="24"/>
          <w:lang w:bidi="ar"/>
        </w:rPr>
        <w:t>2023</w:t>
      </w:r>
      <w:r>
        <w:rPr>
          <w:rFonts w:hint="eastAsia" w:cs="Times New Roman"/>
          <w:szCs w:val="24"/>
          <w:lang w:bidi="ar"/>
        </w:rPr>
        <w:t>年</w:t>
      </w:r>
      <w:r>
        <w:rPr>
          <w:rFonts w:cs="Times New Roman"/>
          <w:szCs w:val="24"/>
          <w:lang w:bidi="ar"/>
        </w:rPr>
        <w:t>4</w:t>
      </w:r>
      <w:r>
        <w:rPr>
          <w:rFonts w:hint="eastAsia" w:cs="Times New Roman"/>
          <w:szCs w:val="24"/>
          <w:lang w:bidi="ar"/>
        </w:rPr>
        <w:t>月</w:t>
      </w:r>
      <w:r>
        <w:rPr>
          <w:rFonts w:cs="Times New Roman"/>
          <w:szCs w:val="24"/>
          <w:lang w:bidi="ar"/>
        </w:rPr>
        <w:t>8</w:t>
      </w:r>
      <w:r>
        <w:rPr>
          <w:rFonts w:hint="eastAsia" w:cs="Times New Roman"/>
          <w:szCs w:val="24"/>
          <w:lang w:bidi="ar"/>
        </w:rPr>
        <w:t>日</w:t>
      </w:r>
      <w:r>
        <w:rPr>
          <w:rFonts w:cs="Times New Roman"/>
          <w:i/>
          <w:iCs/>
          <w:szCs w:val="24"/>
          <w:lang w:bidi="ar"/>
        </w:rPr>
        <w:t>Landsat 8</w:t>
      </w:r>
      <w:r>
        <w:rPr>
          <w:rFonts w:hint="eastAsia" w:cs="Times New Roman"/>
          <w:szCs w:val="24"/>
          <w:lang w:bidi="ar"/>
        </w:rPr>
        <w:t>遥感影像（融合后空间分辨率为</w:t>
      </w:r>
      <w:r>
        <w:rPr>
          <w:rFonts w:cs="Times New Roman"/>
          <w:szCs w:val="24"/>
          <w:lang w:bidi="ar"/>
        </w:rPr>
        <w:t>15m</w:t>
      </w:r>
      <w:r>
        <w:rPr>
          <w:rFonts w:hint="eastAsia" w:cs="Times New Roman"/>
          <w:szCs w:val="24"/>
          <w:lang w:bidi="ar"/>
        </w:rPr>
        <w:t>），在</w:t>
      </w:r>
      <w:r>
        <w:rPr>
          <w:rFonts w:cs="Times New Roman"/>
          <w:i/>
          <w:iCs/>
          <w:szCs w:val="24"/>
          <w:lang w:bidi="ar"/>
        </w:rPr>
        <w:t>ENVI5.3</w:t>
      </w:r>
      <w:r>
        <w:rPr>
          <w:rFonts w:hint="eastAsia" w:cs="Times New Roman"/>
          <w:szCs w:val="24"/>
          <w:lang w:bidi="ar"/>
        </w:rPr>
        <w:t>和</w:t>
      </w:r>
      <w:r>
        <w:rPr>
          <w:rFonts w:cs="Times New Roman"/>
          <w:i/>
          <w:iCs/>
          <w:szCs w:val="24"/>
          <w:lang w:bidi="ar"/>
        </w:rPr>
        <w:t>ArcGIS10.8</w:t>
      </w:r>
      <w:r>
        <w:rPr>
          <w:rFonts w:hint="eastAsia" w:cs="Times New Roman"/>
          <w:szCs w:val="24"/>
          <w:lang w:bidi="ar"/>
        </w:rPr>
        <w:t>软件中用监督分类工具进行土地利用类型分类，结合现场调查，对解译后的数据进行检查修正，最终得到茅山旅游度假区生态系统类型。</w:t>
      </w:r>
    </w:p>
    <w:p w14:paraId="7A800C88">
      <w:pPr>
        <w:spacing w:line="570" w:lineRule="atLeast"/>
        <w:ind w:firstLine="480"/>
        <w:rPr>
          <w:rFonts w:cs="Times New Roman"/>
          <w:szCs w:val="24"/>
        </w:rPr>
      </w:pPr>
      <w:r>
        <w:rPr>
          <w:rFonts w:hint="eastAsia" w:cs="Times New Roman"/>
          <w:szCs w:val="24"/>
          <w:lang w:bidi="ar"/>
        </w:rPr>
        <w:t>在以上确定的调查方法下，我单位联合南京林业大学于</w:t>
      </w:r>
      <w:r>
        <w:rPr>
          <w:rFonts w:cs="Times New Roman"/>
          <w:szCs w:val="24"/>
          <w:lang w:bidi="ar"/>
        </w:rPr>
        <w:t>2023</w:t>
      </w:r>
      <w:r>
        <w:rPr>
          <w:rFonts w:hint="eastAsia" w:cs="Times New Roman"/>
          <w:szCs w:val="24"/>
          <w:lang w:bidi="ar"/>
        </w:rPr>
        <w:t>年</w:t>
      </w:r>
      <w:r>
        <w:rPr>
          <w:rFonts w:cs="Times New Roman"/>
          <w:szCs w:val="24"/>
          <w:lang w:bidi="ar"/>
        </w:rPr>
        <w:t>12</w:t>
      </w:r>
      <w:r>
        <w:rPr>
          <w:rFonts w:hint="eastAsia" w:cs="Times New Roman"/>
          <w:szCs w:val="24"/>
          <w:lang w:bidi="ar"/>
        </w:rPr>
        <w:t>月、</w:t>
      </w:r>
      <w:r>
        <w:rPr>
          <w:rFonts w:cs="Times New Roman"/>
          <w:szCs w:val="24"/>
          <w:lang w:bidi="ar"/>
        </w:rPr>
        <w:t>2024</w:t>
      </w:r>
      <w:r>
        <w:rPr>
          <w:rFonts w:hint="eastAsia" w:cs="Times New Roman"/>
          <w:szCs w:val="24"/>
          <w:lang w:bidi="ar"/>
        </w:rPr>
        <w:t>年</w:t>
      </w:r>
      <w:r>
        <w:rPr>
          <w:rFonts w:cs="Times New Roman"/>
          <w:szCs w:val="24"/>
          <w:lang w:bidi="ar"/>
        </w:rPr>
        <w:t>3</w:t>
      </w:r>
      <w:r>
        <w:rPr>
          <w:rFonts w:hint="eastAsia" w:cs="Times New Roman"/>
          <w:szCs w:val="24"/>
          <w:lang w:bidi="ar"/>
        </w:rPr>
        <w:t>月、</w:t>
      </w:r>
      <w:r>
        <w:rPr>
          <w:rFonts w:cs="Times New Roman"/>
          <w:szCs w:val="24"/>
          <w:lang w:bidi="ar"/>
        </w:rPr>
        <w:t>5</w:t>
      </w:r>
      <w:r>
        <w:rPr>
          <w:rFonts w:hint="eastAsia" w:cs="Times New Roman"/>
          <w:szCs w:val="24"/>
          <w:lang w:bidi="ar"/>
        </w:rPr>
        <w:t>月以及</w:t>
      </w:r>
      <w:r>
        <w:rPr>
          <w:rFonts w:cs="Times New Roman"/>
          <w:szCs w:val="24"/>
          <w:lang w:bidi="ar"/>
        </w:rPr>
        <w:t>10</w:t>
      </w:r>
      <w:r>
        <w:rPr>
          <w:rFonts w:hint="eastAsia" w:cs="Times New Roman"/>
          <w:szCs w:val="24"/>
          <w:lang w:bidi="ar"/>
        </w:rPr>
        <w:t>月前往茅山旅游度假区对其生态环境现状进行了四次实地调查，具体操作参照国家发布的规范性文件：</w:t>
      </w:r>
    </w:p>
    <w:p w14:paraId="1D6DBFA2">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《国家森林资源连续清查技术规定》（国家林业局，</w:t>
      </w:r>
      <w:r>
        <w:rPr>
          <w:rFonts w:hint="default" w:ascii="Times New Roman" w:hAnsi="Times New Roman" w:eastAsia="仿宋_GB2312"/>
          <w:sz w:val="24"/>
          <w:szCs w:val="24"/>
        </w:rPr>
        <w:t>2003</w:t>
      </w:r>
      <w:r>
        <w:rPr>
          <w:rFonts w:ascii="Times New Roman" w:hAnsi="Times New Roman" w:eastAsia="仿宋_GB2312"/>
          <w:sz w:val="24"/>
          <w:szCs w:val="24"/>
        </w:rPr>
        <w:t>）；</w:t>
      </w:r>
    </w:p>
    <w:p w14:paraId="165D7801">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《生物多样性观测技术导则</w:t>
      </w:r>
      <w:r>
        <w:rPr>
          <w:rFonts w:hint="default" w:ascii="Times New Roman" w:hAnsi="Times New Roman" w:eastAsia="仿宋_GB2312"/>
          <w:sz w:val="24"/>
          <w:szCs w:val="24"/>
        </w:rPr>
        <w:t xml:space="preserve"> </w:t>
      </w:r>
      <w:r>
        <w:rPr>
          <w:rFonts w:ascii="Times New Roman" w:hAnsi="Times New Roman" w:eastAsia="仿宋_GB2312"/>
          <w:sz w:val="24"/>
          <w:szCs w:val="24"/>
        </w:rPr>
        <w:t>陆生维管植物》（</w:t>
      </w:r>
      <w:r>
        <w:rPr>
          <w:rFonts w:hint="default" w:ascii="Times New Roman" w:hAnsi="Times New Roman" w:eastAsia="仿宋_GB2312"/>
          <w:sz w:val="24"/>
          <w:szCs w:val="24"/>
        </w:rPr>
        <w:t>HJ 710.1-2014</w:t>
      </w:r>
      <w:r>
        <w:rPr>
          <w:rFonts w:ascii="Times New Roman" w:hAnsi="Times New Roman" w:eastAsia="仿宋_GB2312"/>
          <w:sz w:val="24"/>
          <w:szCs w:val="24"/>
        </w:rPr>
        <w:t>）；</w:t>
      </w:r>
    </w:p>
    <w:p w14:paraId="1AD18326">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《生物多样性观测技术导则</w:t>
      </w:r>
      <w:r>
        <w:rPr>
          <w:rFonts w:hint="default" w:ascii="Times New Roman" w:hAnsi="Times New Roman" w:eastAsia="仿宋_GB2312"/>
          <w:sz w:val="24"/>
          <w:szCs w:val="24"/>
        </w:rPr>
        <w:t xml:space="preserve"> </w:t>
      </w:r>
      <w:r>
        <w:rPr>
          <w:rFonts w:ascii="Times New Roman" w:hAnsi="Times New Roman" w:eastAsia="仿宋_GB2312"/>
          <w:sz w:val="24"/>
          <w:szCs w:val="24"/>
        </w:rPr>
        <w:t>陆生哺乳动物》（</w:t>
      </w:r>
      <w:r>
        <w:rPr>
          <w:rFonts w:hint="default" w:ascii="Times New Roman" w:hAnsi="Times New Roman" w:eastAsia="仿宋_GB2312"/>
          <w:sz w:val="24"/>
          <w:szCs w:val="24"/>
        </w:rPr>
        <w:t>HJ 710.3-2014</w:t>
      </w:r>
      <w:r>
        <w:rPr>
          <w:rFonts w:ascii="Times New Roman" w:hAnsi="Times New Roman" w:eastAsia="仿宋_GB2312"/>
          <w:sz w:val="24"/>
          <w:szCs w:val="24"/>
        </w:rPr>
        <w:t>）；</w:t>
      </w:r>
    </w:p>
    <w:p w14:paraId="72A118E6">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《生物多样性观测技术导则</w:t>
      </w:r>
      <w:r>
        <w:rPr>
          <w:rFonts w:hint="default" w:ascii="Times New Roman" w:hAnsi="Times New Roman" w:eastAsia="仿宋_GB2312"/>
          <w:sz w:val="24"/>
          <w:szCs w:val="24"/>
        </w:rPr>
        <w:t xml:space="preserve"> </w:t>
      </w:r>
      <w:r>
        <w:rPr>
          <w:rFonts w:ascii="Times New Roman" w:hAnsi="Times New Roman" w:eastAsia="仿宋_GB2312"/>
          <w:sz w:val="24"/>
          <w:szCs w:val="24"/>
        </w:rPr>
        <w:t>鸟类》（</w:t>
      </w:r>
      <w:r>
        <w:rPr>
          <w:rFonts w:hint="default" w:ascii="Times New Roman" w:hAnsi="Times New Roman" w:eastAsia="仿宋_GB2312"/>
          <w:sz w:val="24"/>
          <w:szCs w:val="24"/>
        </w:rPr>
        <w:t>HJ 710.4-2014</w:t>
      </w:r>
      <w:r>
        <w:rPr>
          <w:rFonts w:ascii="Times New Roman" w:hAnsi="Times New Roman" w:eastAsia="仿宋_GB2312"/>
          <w:sz w:val="24"/>
          <w:szCs w:val="24"/>
        </w:rPr>
        <w:t>）；</w:t>
      </w:r>
    </w:p>
    <w:p w14:paraId="2945366D">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《生物多样性观测技术导则</w:t>
      </w:r>
      <w:r>
        <w:rPr>
          <w:rFonts w:hint="default" w:ascii="Times New Roman" w:hAnsi="Times New Roman" w:eastAsia="仿宋_GB2312"/>
          <w:sz w:val="24"/>
          <w:szCs w:val="24"/>
        </w:rPr>
        <w:t xml:space="preserve"> </w:t>
      </w:r>
      <w:r>
        <w:rPr>
          <w:rFonts w:ascii="Times New Roman" w:hAnsi="Times New Roman" w:eastAsia="仿宋_GB2312"/>
          <w:sz w:val="24"/>
          <w:szCs w:val="24"/>
        </w:rPr>
        <w:t>爬行动物》（</w:t>
      </w:r>
      <w:r>
        <w:rPr>
          <w:rFonts w:hint="default" w:ascii="Times New Roman" w:hAnsi="Times New Roman" w:eastAsia="仿宋_GB2312"/>
          <w:sz w:val="24"/>
          <w:szCs w:val="24"/>
        </w:rPr>
        <w:t>HJ 710.5-2014</w:t>
      </w:r>
      <w:r>
        <w:rPr>
          <w:rFonts w:ascii="Times New Roman" w:hAnsi="Times New Roman" w:eastAsia="仿宋_GB2312"/>
          <w:sz w:val="24"/>
          <w:szCs w:val="24"/>
        </w:rPr>
        <w:t>）；</w:t>
      </w:r>
    </w:p>
    <w:p w14:paraId="5F45CBA3">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《生物多样性观测技术导则</w:t>
      </w:r>
      <w:r>
        <w:rPr>
          <w:rFonts w:hint="default" w:ascii="Times New Roman" w:hAnsi="Times New Roman" w:eastAsia="仿宋_GB2312"/>
          <w:sz w:val="24"/>
          <w:szCs w:val="24"/>
        </w:rPr>
        <w:t xml:space="preserve"> </w:t>
      </w:r>
      <w:r>
        <w:rPr>
          <w:rFonts w:ascii="Times New Roman" w:hAnsi="Times New Roman" w:eastAsia="仿宋_GB2312"/>
          <w:sz w:val="24"/>
          <w:szCs w:val="24"/>
        </w:rPr>
        <w:t>两栖动物》（</w:t>
      </w:r>
      <w:r>
        <w:rPr>
          <w:rFonts w:hint="default" w:ascii="Times New Roman" w:hAnsi="Times New Roman" w:eastAsia="仿宋_GB2312"/>
          <w:sz w:val="24"/>
          <w:szCs w:val="24"/>
        </w:rPr>
        <w:t>HJ 710.6-2014</w:t>
      </w:r>
      <w:r>
        <w:rPr>
          <w:rFonts w:ascii="Times New Roman" w:hAnsi="Times New Roman" w:eastAsia="仿宋_GB2312"/>
          <w:sz w:val="24"/>
          <w:szCs w:val="24"/>
        </w:rPr>
        <w:t>）；</w:t>
      </w:r>
    </w:p>
    <w:p w14:paraId="13A21677">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《生物多样性观测技术导则</w:t>
      </w:r>
      <w:r>
        <w:rPr>
          <w:rFonts w:hint="default" w:ascii="Times New Roman" w:hAnsi="Times New Roman" w:eastAsia="仿宋_GB2312"/>
          <w:sz w:val="24"/>
          <w:szCs w:val="24"/>
        </w:rPr>
        <w:t xml:space="preserve"> </w:t>
      </w:r>
      <w:r>
        <w:rPr>
          <w:rFonts w:ascii="Times New Roman" w:hAnsi="Times New Roman" w:eastAsia="仿宋_GB2312"/>
          <w:sz w:val="24"/>
          <w:szCs w:val="24"/>
        </w:rPr>
        <w:t>内陆水域鱼类》（</w:t>
      </w:r>
      <w:r>
        <w:rPr>
          <w:rFonts w:hint="default" w:ascii="Times New Roman" w:hAnsi="Times New Roman" w:eastAsia="仿宋_GB2312"/>
          <w:sz w:val="24"/>
          <w:szCs w:val="24"/>
        </w:rPr>
        <w:t>HJ 710.7-2014</w:t>
      </w:r>
      <w:r>
        <w:rPr>
          <w:rFonts w:ascii="Times New Roman" w:hAnsi="Times New Roman" w:eastAsia="仿宋_GB2312"/>
          <w:sz w:val="24"/>
          <w:szCs w:val="24"/>
        </w:rPr>
        <w:t>）；</w:t>
      </w:r>
    </w:p>
    <w:p w14:paraId="4C449C6F">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《植物多样性监测规范》（中科院植物所，</w:t>
      </w:r>
      <w:r>
        <w:rPr>
          <w:rFonts w:hint="default" w:ascii="Times New Roman" w:hAnsi="Times New Roman" w:eastAsia="仿宋_GB2312"/>
          <w:sz w:val="24"/>
          <w:szCs w:val="24"/>
        </w:rPr>
        <w:t>2009</w:t>
      </w:r>
      <w:r>
        <w:rPr>
          <w:rFonts w:ascii="Times New Roman" w:hAnsi="Times New Roman" w:eastAsia="仿宋_GB2312"/>
          <w:sz w:val="24"/>
          <w:szCs w:val="24"/>
        </w:rPr>
        <w:t>）；</w:t>
      </w:r>
    </w:p>
    <w:p w14:paraId="7F3239EB">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《自然保护区生物多样性监测技术规范》（蒋宏、闫争亮，</w:t>
      </w:r>
      <w:r>
        <w:rPr>
          <w:rFonts w:hint="default" w:ascii="Times New Roman" w:hAnsi="Times New Roman" w:eastAsia="仿宋_GB2312"/>
          <w:sz w:val="24"/>
          <w:szCs w:val="24"/>
        </w:rPr>
        <w:t>2008</w:t>
      </w:r>
      <w:r>
        <w:rPr>
          <w:rFonts w:ascii="Times New Roman" w:hAnsi="Times New Roman" w:eastAsia="仿宋_GB2312"/>
          <w:sz w:val="24"/>
          <w:szCs w:val="24"/>
        </w:rPr>
        <w:t>）；</w:t>
      </w:r>
    </w:p>
    <w:p w14:paraId="44E4E648">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《陆地生态系统生物观测规范》（中国生态系统研究网络科学委员会，</w:t>
      </w:r>
      <w:r>
        <w:rPr>
          <w:rFonts w:hint="default" w:ascii="Times New Roman" w:hAnsi="Times New Roman" w:eastAsia="仿宋_GB2312"/>
          <w:sz w:val="24"/>
          <w:szCs w:val="24"/>
        </w:rPr>
        <w:t>2007</w:t>
      </w:r>
      <w:r>
        <w:rPr>
          <w:rFonts w:ascii="Times New Roman" w:hAnsi="Times New Roman" w:eastAsia="仿宋_GB2312"/>
          <w:sz w:val="24"/>
          <w:szCs w:val="24"/>
        </w:rPr>
        <w:t>）；</w:t>
      </w:r>
    </w:p>
    <w:p w14:paraId="1C632004">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《森林生物多样性监测规范和方法》（贺金生等，</w:t>
      </w:r>
      <w:r>
        <w:rPr>
          <w:rFonts w:hint="default" w:ascii="Times New Roman" w:hAnsi="Times New Roman" w:eastAsia="仿宋_GB2312"/>
          <w:sz w:val="24"/>
          <w:szCs w:val="24"/>
        </w:rPr>
        <w:t>2000</w:t>
      </w:r>
      <w:r>
        <w:rPr>
          <w:rFonts w:ascii="Times New Roman" w:hAnsi="Times New Roman" w:eastAsia="仿宋_GB2312"/>
          <w:sz w:val="24"/>
          <w:szCs w:val="24"/>
        </w:rPr>
        <w:t>）；</w:t>
      </w:r>
    </w:p>
    <w:p w14:paraId="21CFF459">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《陆地生物群落调查观测与分析》（董鸣，</w:t>
      </w:r>
      <w:r>
        <w:rPr>
          <w:rFonts w:hint="default" w:ascii="Times New Roman" w:hAnsi="Times New Roman" w:eastAsia="仿宋_GB2312"/>
          <w:sz w:val="24"/>
          <w:szCs w:val="24"/>
        </w:rPr>
        <w:t>1997</w:t>
      </w:r>
      <w:r>
        <w:rPr>
          <w:rFonts w:ascii="Times New Roman" w:hAnsi="Times New Roman" w:eastAsia="仿宋_GB2312"/>
          <w:sz w:val="24"/>
          <w:szCs w:val="24"/>
        </w:rPr>
        <w:t>）；</w:t>
      </w:r>
    </w:p>
    <w:p w14:paraId="41DDCB54">
      <w:pPr>
        <w:pStyle w:val="113"/>
        <w:widowControl/>
        <w:numPr>
          <w:ilvl w:val="0"/>
          <w:numId w:val="15"/>
        </w:numPr>
        <w:spacing w:line="570" w:lineRule="atLeast"/>
        <w:ind w:left="0" w:firstLine="442" w:firstLineChars="0"/>
        <w:rPr>
          <w:rFonts w:hint="default" w:ascii="Times New Roman" w:hAnsi="Times New Roman" w:eastAsia="仿宋_GB2312"/>
          <w:sz w:val="24"/>
          <w:szCs w:val="24"/>
        </w:rPr>
      </w:pPr>
      <w:r>
        <w:rPr>
          <w:rFonts w:ascii="Times New Roman" w:hAnsi="Times New Roman" w:eastAsia="仿宋_GB2312"/>
          <w:sz w:val="24"/>
          <w:szCs w:val="24"/>
        </w:rPr>
        <w:t>《植物群落清查的主要内容、方法和技术规范》（方精云，</w:t>
      </w:r>
      <w:r>
        <w:rPr>
          <w:rFonts w:hint="default" w:ascii="Times New Roman" w:hAnsi="Times New Roman" w:eastAsia="仿宋_GB2312"/>
          <w:sz w:val="24"/>
          <w:szCs w:val="24"/>
        </w:rPr>
        <w:t>2009</w:t>
      </w:r>
      <w:r>
        <w:rPr>
          <w:rFonts w:ascii="Times New Roman" w:hAnsi="Times New Roman" w:eastAsia="仿宋_GB2312"/>
          <w:sz w:val="24"/>
          <w:szCs w:val="24"/>
        </w:rPr>
        <w:t>）。</w:t>
      </w:r>
    </w:p>
    <w:p w14:paraId="74CE3CEA">
      <w:pPr>
        <w:spacing w:line="570" w:lineRule="atLeast"/>
        <w:ind w:firstLine="480"/>
        <w:rPr>
          <w:rFonts w:cs="Times New Roman"/>
          <w:szCs w:val="24"/>
        </w:rPr>
      </w:pPr>
      <w:r>
        <w:rPr>
          <w:rFonts w:hint="eastAsia" w:cs="Times New Roman"/>
          <w:szCs w:val="24"/>
          <w:lang w:bidi="ar"/>
        </w:rPr>
        <w:t>在进行现场调查的同时，本次生态资源调查结果也参考了《常州市金坛区生物多样性本底调查技术报告》（南京林业大学、江苏龙环环境科技有限公司）、《常州市金坛区茅东山地水源涵养区生态资源调查报告》（中景博道城市规划发展有限公司）等文件成果。</w:t>
      </w:r>
    </w:p>
    <w:p w14:paraId="2703D053">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4</w:t>
      </w:r>
      <w:r>
        <w:rPr>
          <w:rFonts w:hint="eastAsia" w:cs="Times New Roman"/>
          <w:b/>
          <w:bCs/>
          <w:szCs w:val="24"/>
          <w:lang w:bidi="ar"/>
        </w:rPr>
        <w:t>）调查方案合理性分析</w:t>
      </w:r>
    </w:p>
    <w:p w14:paraId="585BC89B">
      <w:pPr>
        <w:pStyle w:val="113"/>
        <w:widowControl/>
        <w:numPr>
          <w:ilvl w:val="0"/>
          <w:numId w:val="16"/>
        </w:numPr>
        <w:spacing w:line="570" w:lineRule="atLeast"/>
        <w:ind w:firstLineChars="0"/>
        <w:rPr>
          <w:rFonts w:hint="default" w:ascii="Times New Roman" w:hAnsi="Times New Roman" w:eastAsia="仿宋_GB2312"/>
          <w:b/>
          <w:bCs/>
          <w:sz w:val="24"/>
          <w:szCs w:val="24"/>
        </w:rPr>
      </w:pPr>
      <w:r>
        <w:rPr>
          <w:rFonts w:ascii="Times New Roman" w:hAnsi="Times New Roman" w:eastAsia="仿宋_GB2312"/>
          <w:b/>
          <w:bCs/>
          <w:sz w:val="24"/>
          <w:szCs w:val="24"/>
        </w:rPr>
        <w:t>调查对象特性适配性</w:t>
      </w:r>
      <w:r>
        <w:rPr>
          <w:rFonts w:ascii="Cambria Math" w:hAnsi="Cambria Math" w:eastAsia="仿宋_GB2312" w:cs="Cambria Math"/>
          <w:b/>
          <w:bCs/>
          <w:sz w:val="24"/>
          <w:szCs w:val="24"/>
        </w:rPr>
        <w:t>分析</w:t>
      </w:r>
    </w:p>
    <w:p w14:paraId="542BD4F3">
      <w:pPr>
        <w:spacing w:line="570" w:lineRule="atLeast"/>
        <w:ind w:firstLine="480"/>
        <w:rPr>
          <w:rFonts w:cs="Times New Roman"/>
          <w:szCs w:val="24"/>
        </w:rPr>
      </w:pPr>
      <w:r>
        <w:rPr>
          <w:rFonts w:hint="eastAsia" w:cs="Times New Roman"/>
          <w:szCs w:val="24"/>
          <w:u w:val="single"/>
          <w:lang w:bidi="ar"/>
        </w:rPr>
        <w:t>植被资源调查。</w:t>
      </w:r>
      <w:r>
        <w:rPr>
          <w:rFonts w:hint="eastAsia" w:cs="Times New Roman"/>
          <w:szCs w:val="24"/>
          <w:lang w:bidi="ar"/>
        </w:rPr>
        <w:t>植被具有相对固定的生长格局，采用</w:t>
      </w:r>
      <w:r>
        <w:rPr>
          <w:rFonts w:cs="Times New Roman"/>
          <w:szCs w:val="24"/>
          <w:lang w:bidi="ar"/>
        </w:rPr>
        <w:t>10m×10m</w:t>
      </w:r>
      <w:r>
        <w:rPr>
          <w:rFonts w:hint="eastAsia" w:cs="Times New Roman"/>
          <w:szCs w:val="24"/>
          <w:lang w:bidi="ar"/>
        </w:rPr>
        <w:t>样地结合</w:t>
      </w:r>
      <w:r>
        <w:rPr>
          <w:rFonts w:cs="Times New Roman"/>
          <w:szCs w:val="24"/>
          <w:lang w:bidi="ar"/>
        </w:rPr>
        <w:t>1m×1m</w:t>
      </w:r>
      <w:r>
        <w:rPr>
          <w:rFonts w:hint="eastAsia" w:cs="Times New Roman"/>
          <w:szCs w:val="24"/>
          <w:lang w:bidi="ar"/>
        </w:rPr>
        <w:t>样方的嵌套式设置，不仅符合乔木、灌木等高大植被的调查尺度需求，又能精准捕捉草本植物的分布特征。相邻格子法与随机取样法的结合，可有效避免主观偏差，确保样地能全面覆盖林相较好的核心区域，</w:t>
      </w:r>
      <w:r>
        <w:rPr>
          <w:rFonts w:cs="Times New Roman"/>
          <w:szCs w:val="24"/>
          <w:lang w:bidi="ar"/>
        </w:rPr>
        <w:t>64</w:t>
      </w:r>
      <w:r>
        <w:rPr>
          <w:rFonts w:hint="eastAsia" w:cs="Times New Roman"/>
          <w:szCs w:val="24"/>
          <w:lang w:bidi="ar"/>
        </w:rPr>
        <w:t>个样方的总量可满足植被物种多样性及盖度等指标的统计精度要求。</w:t>
      </w:r>
    </w:p>
    <w:p w14:paraId="309544AC">
      <w:pPr>
        <w:spacing w:line="570" w:lineRule="atLeast"/>
        <w:ind w:firstLine="480"/>
        <w:rPr>
          <w:rFonts w:cs="Times New Roman"/>
          <w:szCs w:val="24"/>
        </w:rPr>
      </w:pPr>
      <w:r>
        <w:rPr>
          <w:rFonts w:hint="eastAsia" w:cs="Times New Roman"/>
          <w:szCs w:val="24"/>
          <w:u w:val="single"/>
          <w:lang w:bidi="ar"/>
        </w:rPr>
        <w:t>动物资源调查。</w:t>
      </w:r>
      <w:r>
        <w:rPr>
          <w:rFonts w:hint="eastAsia" w:cs="Times New Roman"/>
          <w:szCs w:val="24"/>
          <w:lang w:bidi="ar"/>
        </w:rPr>
        <w:t>不同类群动物的活动习性差异显著，样线与样点设置针对性强。两栖类、爬行类及哺乳类依赖特定生境（如林地、水域、农田），</w:t>
      </w:r>
      <w:r>
        <w:rPr>
          <w:rFonts w:cs="Times New Roman"/>
          <w:szCs w:val="24"/>
          <w:lang w:bidi="ar"/>
        </w:rPr>
        <w:t>9</w:t>
      </w:r>
      <w:r>
        <w:rPr>
          <w:rFonts w:hint="eastAsia" w:cs="Times New Roman"/>
          <w:szCs w:val="24"/>
          <w:lang w:bidi="ar"/>
        </w:rPr>
        <w:t>条样线涵盖水塘、林地、村庄等</w:t>
      </w:r>
      <w:r>
        <w:rPr>
          <w:rFonts w:cs="Times New Roman"/>
          <w:szCs w:val="24"/>
          <w:lang w:bidi="ar"/>
        </w:rPr>
        <w:t>7</w:t>
      </w:r>
      <w:r>
        <w:rPr>
          <w:rFonts w:hint="eastAsia" w:cs="Times New Roman"/>
          <w:szCs w:val="24"/>
          <w:lang w:bidi="ar"/>
        </w:rPr>
        <w:t>类核心生境，且样线长度（</w:t>
      </w:r>
      <w:r>
        <w:rPr>
          <w:rFonts w:cs="Times New Roman"/>
          <w:szCs w:val="24"/>
          <w:lang w:bidi="ar"/>
        </w:rPr>
        <w:t>1.02~2.31km</w:t>
      </w:r>
      <w:r>
        <w:rPr>
          <w:rFonts w:hint="eastAsia" w:cs="Times New Roman"/>
          <w:szCs w:val="24"/>
          <w:lang w:bidi="ar"/>
        </w:rPr>
        <w:t>）与动物活动半径匹配，周边增设的</w:t>
      </w:r>
      <w:r>
        <w:rPr>
          <w:rFonts w:cs="Times New Roman"/>
          <w:szCs w:val="24"/>
          <w:lang w:bidi="ar"/>
        </w:rPr>
        <w:t>21</w:t>
      </w:r>
      <w:r>
        <w:rPr>
          <w:rFonts w:hint="eastAsia" w:cs="Times New Roman"/>
          <w:szCs w:val="24"/>
          <w:lang w:bidi="ar"/>
        </w:rPr>
        <w:t>个样点可实现关键生境的密集监测。鸟类调查选择清晨</w:t>
      </w:r>
      <w:r>
        <w:rPr>
          <w:rFonts w:cs="Times New Roman"/>
          <w:szCs w:val="24"/>
          <w:lang w:bidi="ar"/>
        </w:rPr>
        <w:t>/</w:t>
      </w:r>
      <w:r>
        <w:rPr>
          <w:rFonts w:hint="eastAsia" w:cs="Times New Roman"/>
          <w:szCs w:val="24"/>
          <w:lang w:bidi="ar"/>
        </w:rPr>
        <w:t>傍晚、</w:t>
      </w:r>
      <w:r>
        <w:rPr>
          <w:rFonts w:cs="Times New Roman"/>
          <w:szCs w:val="24"/>
          <w:lang w:bidi="ar"/>
        </w:rPr>
        <w:t>3</w:t>
      </w:r>
      <w:r>
        <w:rPr>
          <w:rFonts w:hint="eastAsia" w:cs="Times New Roman"/>
          <w:szCs w:val="24"/>
          <w:lang w:bidi="ar"/>
        </w:rPr>
        <w:t>级风以下的适宜时段，结合</w:t>
      </w:r>
      <w:r>
        <w:rPr>
          <w:rFonts w:cs="Times New Roman"/>
          <w:szCs w:val="24"/>
          <w:lang w:bidi="ar"/>
        </w:rPr>
        <w:t>2~3km</w:t>
      </w:r>
      <w:r>
        <w:rPr>
          <w:rFonts w:hint="eastAsia" w:cs="Times New Roman"/>
          <w:szCs w:val="24"/>
          <w:lang w:bidi="ar"/>
        </w:rPr>
        <w:t>的样带长度及</w:t>
      </w:r>
      <w:r>
        <w:rPr>
          <w:rFonts w:cs="Times New Roman"/>
          <w:szCs w:val="24"/>
          <w:lang w:bidi="ar"/>
        </w:rPr>
        <w:t>1~2km/h</w:t>
      </w:r>
      <w:r>
        <w:rPr>
          <w:rFonts w:hint="eastAsia" w:cs="Times New Roman"/>
          <w:szCs w:val="24"/>
          <w:lang w:bidi="ar"/>
        </w:rPr>
        <w:t>的步行速度，契合鸟类活跃期的行为规律，</w:t>
      </w:r>
      <w:r>
        <w:rPr>
          <w:rFonts w:cs="Times New Roman"/>
          <w:szCs w:val="24"/>
          <w:lang w:bidi="ar"/>
        </w:rPr>
        <w:t>Steiner</w:t>
      </w:r>
      <w:r>
        <w:rPr>
          <w:rFonts w:hint="eastAsia" w:cs="Times New Roman"/>
          <w:szCs w:val="24"/>
          <w:lang w:bidi="ar"/>
        </w:rPr>
        <w:t>双筒望远镜与</w:t>
      </w:r>
      <w:r>
        <w:rPr>
          <w:rFonts w:cs="Times New Roman"/>
          <w:szCs w:val="24"/>
          <w:lang w:bidi="ar"/>
        </w:rPr>
        <w:t>GPS</w:t>
      </w:r>
      <w:r>
        <w:rPr>
          <w:rFonts w:hint="eastAsia" w:cs="Times New Roman"/>
          <w:szCs w:val="24"/>
          <w:lang w:bidi="ar"/>
        </w:rPr>
        <w:t>的配合进一步提升了观测与定位的准确性。</w:t>
      </w:r>
    </w:p>
    <w:p w14:paraId="69783E84">
      <w:pPr>
        <w:spacing w:line="570" w:lineRule="atLeast"/>
        <w:ind w:firstLine="480"/>
        <w:rPr>
          <w:rFonts w:cs="Times New Roman"/>
          <w:szCs w:val="24"/>
        </w:rPr>
      </w:pPr>
      <w:r>
        <w:rPr>
          <w:rFonts w:hint="eastAsia" w:cs="Times New Roman"/>
          <w:szCs w:val="24"/>
          <w:u w:val="single"/>
          <w:lang w:bidi="ar"/>
        </w:rPr>
        <w:t>昆虫资源调查。</w:t>
      </w:r>
      <w:r>
        <w:rPr>
          <w:rFonts w:hint="eastAsia" w:cs="Times New Roman"/>
          <w:szCs w:val="24"/>
          <w:lang w:bidi="ar"/>
        </w:rPr>
        <w:t>昆虫活动范围广、种群密度波动大，茅山旅游度假区内</w:t>
      </w:r>
      <w:r>
        <w:rPr>
          <w:rFonts w:cs="Times New Roman"/>
          <w:szCs w:val="24"/>
          <w:lang w:bidi="ar"/>
        </w:rPr>
        <w:t>13</w:t>
      </w:r>
      <w:r>
        <w:rPr>
          <w:rFonts w:hint="eastAsia" w:cs="Times New Roman"/>
          <w:szCs w:val="24"/>
          <w:lang w:bidi="ar"/>
        </w:rPr>
        <w:t>个样点与区外</w:t>
      </w:r>
      <w:r>
        <w:rPr>
          <w:rFonts w:cs="Times New Roman"/>
          <w:szCs w:val="24"/>
          <w:lang w:bidi="ar"/>
        </w:rPr>
        <w:t>8</w:t>
      </w:r>
      <w:r>
        <w:rPr>
          <w:rFonts w:hint="eastAsia" w:cs="Times New Roman"/>
          <w:szCs w:val="24"/>
          <w:lang w:bidi="ar"/>
        </w:rPr>
        <w:t>个样点形成对照，可清晰界定度假区内昆虫群落的独特性。网捕法与黑光灯诱捕法的结合，兼顾了昼行性与夜行性昆虫，</w:t>
      </w:r>
      <w:r>
        <w:rPr>
          <w:rFonts w:cs="Times New Roman"/>
          <w:szCs w:val="24"/>
          <w:lang w:bidi="ar"/>
        </w:rPr>
        <w:t>75%</w:t>
      </w:r>
      <w:r>
        <w:rPr>
          <w:rFonts w:hint="eastAsia" w:cs="Times New Roman"/>
          <w:szCs w:val="24"/>
          <w:lang w:bidi="ar"/>
        </w:rPr>
        <w:t>乙醇溶液保存与三角纸包封装的处理方式，为后续实验室鉴定提供了质量保障。</w:t>
      </w:r>
    </w:p>
    <w:p w14:paraId="45034B75">
      <w:pPr>
        <w:pStyle w:val="113"/>
        <w:widowControl/>
        <w:numPr>
          <w:ilvl w:val="0"/>
          <w:numId w:val="16"/>
        </w:numPr>
        <w:spacing w:line="570" w:lineRule="atLeast"/>
        <w:ind w:firstLineChars="0"/>
        <w:rPr>
          <w:rFonts w:hint="default" w:ascii="Times New Roman" w:hAnsi="Times New Roman" w:eastAsia="仿宋_GB2312"/>
          <w:b/>
          <w:bCs/>
          <w:sz w:val="24"/>
          <w:szCs w:val="24"/>
        </w:rPr>
      </w:pPr>
      <w:r>
        <w:rPr>
          <w:rFonts w:ascii="Times New Roman" w:hAnsi="Times New Roman" w:eastAsia="仿宋_GB2312"/>
          <w:b/>
          <w:bCs/>
          <w:sz w:val="24"/>
          <w:szCs w:val="24"/>
        </w:rPr>
        <w:t>空间布局科学性与代表性</w:t>
      </w:r>
      <w:r>
        <w:rPr>
          <w:rFonts w:ascii="Cambria Math" w:hAnsi="Cambria Math" w:eastAsia="仿宋_GB2312" w:cs="Cambria Math"/>
          <w:b/>
          <w:bCs/>
          <w:sz w:val="24"/>
          <w:szCs w:val="24"/>
        </w:rPr>
        <w:t>分析</w:t>
      </w:r>
    </w:p>
    <w:p w14:paraId="2A72AADC">
      <w:pPr>
        <w:spacing w:line="570" w:lineRule="atLeast"/>
        <w:ind w:firstLine="480"/>
        <w:rPr>
          <w:rFonts w:cs="Times New Roman"/>
          <w:szCs w:val="24"/>
        </w:rPr>
      </w:pPr>
      <w:r>
        <w:rPr>
          <w:rFonts w:hint="eastAsia" w:cs="Times New Roman"/>
          <w:szCs w:val="24"/>
          <w:u w:val="single"/>
          <w:lang w:bidi="ar"/>
        </w:rPr>
        <w:t>全域覆盖与梯度分布。</w:t>
      </w:r>
      <w:r>
        <w:rPr>
          <w:rFonts w:hint="eastAsia" w:cs="Times New Roman"/>
          <w:szCs w:val="24"/>
          <w:lang w:bidi="ar"/>
        </w:rPr>
        <w:t>样线、样点空间布局呈梯度结构。植被样地集中于林相较好的核心地段，动物样线串联度假区东部、南部、盐湖城等关键区域，昆虫样点兼顾区内与区外，生态系统调查依托</w:t>
      </w:r>
      <w:r>
        <w:rPr>
          <w:rFonts w:cs="Times New Roman"/>
          <w:szCs w:val="24"/>
          <w:lang w:bidi="ar"/>
        </w:rPr>
        <w:t>15m</w:t>
      </w:r>
      <w:r>
        <w:rPr>
          <w:rFonts w:hint="eastAsia" w:cs="Times New Roman"/>
          <w:szCs w:val="24"/>
          <w:lang w:bidi="ar"/>
        </w:rPr>
        <w:t>分辨率遥感影像实现全域覆盖，确保调查数据能反映不同区域的生态差异。</w:t>
      </w:r>
    </w:p>
    <w:p w14:paraId="0C118E38">
      <w:pPr>
        <w:spacing w:line="570" w:lineRule="atLeast"/>
        <w:ind w:firstLine="480"/>
        <w:rPr>
          <w:rFonts w:cs="Times New Roman"/>
          <w:szCs w:val="24"/>
        </w:rPr>
      </w:pPr>
      <w:r>
        <w:rPr>
          <w:rFonts w:hint="eastAsia" w:cs="Times New Roman"/>
          <w:szCs w:val="24"/>
          <w:u w:val="single"/>
          <w:lang w:bidi="ar"/>
        </w:rPr>
        <w:t>生境类型的全面性。</w:t>
      </w:r>
      <w:r>
        <w:rPr>
          <w:rFonts w:hint="eastAsia" w:cs="Times New Roman"/>
          <w:szCs w:val="24"/>
          <w:lang w:bidi="ar"/>
        </w:rPr>
        <w:t>调查区域内水塘、林地、农田、水库等主要生境类型均有对应样线或样点覆盖。如新浮水库样线（</w:t>
      </w:r>
      <w:r>
        <w:rPr>
          <w:rFonts w:cs="Times New Roman"/>
          <w:szCs w:val="24"/>
          <w:lang w:bidi="ar"/>
        </w:rPr>
        <w:t>X4</w:t>
      </w:r>
      <w:r>
        <w:rPr>
          <w:rFonts w:hint="eastAsia" w:cs="Times New Roman"/>
          <w:szCs w:val="24"/>
          <w:lang w:bidi="ar"/>
        </w:rPr>
        <w:t>）涵盖林地、村庄、农田、水库</w:t>
      </w:r>
      <w:r>
        <w:rPr>
          <w:rFonts w:cs="Times New Roman"/>
          <w:szCs w:val="24"/>
          <w:lang w:bidi="ar"/>
        </w:rPr>
        <w:t>4</w:t>
      </w:r>
      <w:r>
        <w:rPr>
          <w:rFonts w:hint="eastAsia" w:cs="Times New Roman"/>
          <w:szCs w:val="24"/>
          <w:lang w:bidi="ar"/>
        </w:rPr>
        <w:t>类生境，东进水库样线（</w:t>
      </w:r>
      <w:r>
        <w:rPr>
          <w:rFonts w:cs="Times New Roman"/>
          <w:szCs w:val="24"/>
          <w:lang w:bidi="ar"/>
        </w:rPr>
        <w:t>X9</w:t>
      </w:r>
      <w:r>
        <w:rPr>
          <w:rFonts w:hint="eastAsia" w:cs="Times New Roman"/>
          <w:szCs w:val="24"/>
          <w:lang w:bidi="ar"/>
        </w:rPr>
        <w:t>）聚焦农田生境，“多生境覆盖</w:t>
      </w:r>
      <w:r>
        <w:rPr>
          <w:rFonts w:cs="Times New Roman"/>
          <w:szCs w:val="24"/>
          <w:lang w:bidi="ar"/>
        </w:rPr>
        <w:t>+</w:t>
      </w:r>
      <w:r>
        <w:rPr>
          <w:rFonts w:hint="eastAsia" w:cs="Times New Roman"/>
          <w:szCs w:val="24"/>
          <w:lang w:bidi="ar"/>
        </w:rPr>
        <w:t>重点生境聚焦”模式，可系统捕捉生态系统的完整性特征。</w:t>
      </w:r>
    </w:p>
    <w:p w14:paraId="1889BB16">
      <w:pPr>
        <w:spacing w:line="570" w:lineRule="atLeast"/>
        <w:ind w:firstLine="480"/>
        <w:rPr>
          <w:rFonts w:cs="Times New Roman"/>
          <w:szCs w:val="24"/>
        </w:rPr>
      </w:pPr>
      <w:r>
        <w:rPr>
          <w:rFonts w:hint="eastAsia" w:cs="Times New Roman"/>
          <w:szCs w:val="24"/>
          <w:u w:val="single"/>
          <w:lang w:bidi="ar"/>
        </w:rPr>
        <w:t>数量与密度的合理性。</w:t>
      </w:r>
      <w:r>
        <w:rPr>
          <w:rFonts w:hint="eastAsia" w:cs="Times New Roman"/>
          <w:szCs w:val="24"/>
          <w:lang w:bidi="ar"/>
        </w:rPr>
        <w:t>植被</w:t>
      </w:r>
      <w:r>
        <w:rPr>
          <w:rFonts w:cs="Times New Roman"/>
          <w:szCs w:val="24"/>
          <w:lang w:bidi="ar"/>
        </w:rPr>
        <w:t>64</w:t>
      </w:r>
      <w:r>
        <w:rPr>
          <w:rFonts w:hint="eastAsia" w:cs="Times New Roman"/>
          <w:szCs w:val="24"/>
          <w:lang w:bidi="ar"/>
        </w:rPr>
        <w:t>个样方对应</w:t>
      </w:r>
      <w:r>
        <w:rPr>
          <w:rFonts w:cs="Times New Roman"/>
          <w:szCs w:val="24"/>
          <w:lang w:bidi="ar"/>
        </w:rPr>
        <w:t>64m²</w:t>
      </w:r>
      <w:r>
        <w:rPr>
          <w:rFonts w:hint="eastAsia" w:cs="Times New Roman"/>
          <w:szCs w:val="24"/>
          <w:lang w:bidi="ar"/>
        </w:rPr>
        <w:t>调查面积，与调查区域规模匹配；动物</w:t>
      </w:r>
      <w:r>
        <w:rPr>
          <w:rFonts w:cs="Times New Roman"/>
          <w:szCs w:val="24"/>
          <w:lang w:bidi="ar"/>
        </w:rPr>
        <w:t>9</w:t>
      </w:r>
      <w:r>
        <w:rPr>
          <w:rFonts w:hint="eastAsia" w:cs="Times New Roman"/>
          <w:szCs w:val="24"/>
          <w:lang w:bidi="ar"/>
        </w:rPr>
        <w:t>条样线总长</w:t>
      </w:r>
      <w:r>
        <w:rPr>
          <w:rFonts w:cs="Times New Roman"/>
          <w:szCs w:val="24"/>
          <w:lang w:bidi="ar"/>
        </w:rPr>
        <w:t>15.81km</w:t>
      </w:r>
      <w:r>
        <w:rPr>
          <w:rFonts w:hint="eastAsia" w:cs="Times New Roman"/>
          <w:szCs w:val="24"/>
          <w:lang w:bidi="ar"/>
        </w:rPr>
        <w:t>，平均每</w:t>
      </w:r>
      <w:r>
        <w:rPr>
          <w:rFonts w:cs="Times New Roman"/>
          <w:szCs w:val="24"/>
          <w:lang w:bidi="ar"/>
        </w:rPr>
        <w:t>1.76km</w:t>
      </w:r>
      <w:r>
        <w:rPr>
          <w:rFonts w:hint="eastAsia" w:cs="Times New Roman"/>
          <w:szCs w:val="24"/>
          <w:lang w:bidi="ar"/>
        </w:rPr>
        <w:t>一条样线，样点密度达</w:t>
      </w:r>
      <w:r>
        <w:rPr>
          <w:rFonts w:cs="Times New Roman"/>
          <w:szCs w:val="24"/>
          <w:lang w:bidi="ar"/>
        </w:rPr>
        <w:t>2.33</w:t>
      </w:r>
      <w:r>
        <w:rPr>
          <w:rFonts w:hint="eastAsia" w:cs="Times New Roman"/>
          <w:szCs w:val="24"/>
          <w:lang w:bidi="ar"/>
        </w:rPr>
        <w:t>个</w:t>
      </w:r>
      <w:r>
        <w:rPr>
          <w:rFonts w:cs="Times New Roman"/>
          <w:szCs w:val="24"/>
          <w:lang w:bidi="ar"/>
        </w:rPr>
        <w:t>/km</w:t>
      </w:r>
      <w:r>
        <w:rPr>
          <w:rFonts w:hint="eastAsia" w:cs="Times New Roman"/>
          <w:szCs w:val="24"/>
          <w:lang w:bidi="ar"/>
        </w:rPr>
        <w:t>，可满足群落结构调查需求。数量设置既避免了因样本不足导致的误差，又未造成调查资源的冗余浪费。</w:t>
      </w:r>
    </w:p>
    <w:p w14:paraId="76DAEC11">
      <w:pPr>
        <w:pStyle w:val="113"/>
        <w:widowControl/>
        <w:numPr>
          <w:ilvl w:val="0"/>
          <w:numId w:val="16"/>
        </w:numPr>
        <w:spacing w:line="570" w:lineRule="atLeast"/>
        <w:ind w:firstLineChars="0"/>
        <w:rPr>
          <w:rFonts w:hint="default" w:ascii="Times New Roman" w:hAnsi="Times New Roman" w:eastAsia="仿宋_GB2312"/>
          <w:b/>
          <w:bCs/>
          <w:sz w:val="24"/>
          <w:szCs w:val="24"/>
        </w:rPr>
      </w:pPr>
      <w:r>
        <w:rPr>
          <w:rFonts w:ascii="Times New Roman" w:hAnsi="Times New Roman" w:eastAsia="仿宋_GB2312"/>
          <w:b/>
          <w:bCs/>
          <w:sz w:val="24"/>
          <w:szCs w:val="24"/>
        </w:rPr>
        <w:t>调查方法与技术手段协同性分析</w:t>
      </w:r>
    </w:p>
    <w:p w14:paraId="479F4767">
      <w:pPr>
        <w:wordWrap w:val="0"/>
        <w:spacing w:line="570" w:lineRule="atLeast"/>
        <w:ind w:firstLine="480"/>
        <w:rPr>
          <w:rFonts w:cs="Times New Roman"/>
          <w:szCs w:val="24"/>
        </w:rPr>
      </w:pPr>
      <w:r>
        <w:rPr>
          <w:rFonts w:hint="eastAsia" w:cs="Times New Roman"/>
          <w:szCs w:val="24"/>
          <w:u w:val="single"/>
          <w:lang w:bidi="ar"/>
        </w:rPr>
        <w:t>传统方法与现代技术融合。</w:t>
      </w:r>
      <w:r>
        <w:rPr>
          <w:rFonts w:hint="eastAsia" w:cs="Times New Roman"/>
          <w:szCs w:val="24"/>
          <w:lang w:bidi="ar"/>
        </w:rPr>
        <w:t>植被调查采用</w:t>
      </w:r>
      <w:r>
        <w:rPr>
          <w:rFonts w:cs="Times New Roman"/>
          <w:szCs w:val="24"/>
          <w:lang w:bidi="ar"/>
        </w:rPr>
        <w:t>GPS</w:t>
      </w:r>
      <w:r>
        <w:rPr>
          <w:rFonts w:hint="eastAsia" w:cs="Times New Roman"/>
          <w:szCs w:val="24"/>
          <w:lang w:bidi="ar"/>
        </w:rPr>
        <w:t>航迹记录、动物调查采用</w:t>
      </w:r>
      <w:r>
        <w:rPr>
          <w:rFonts w:cs="Times New Roman"/>
          <w:szCs w:val="24"/>
          <w:lang w:bidi="ar"/>
        </w:rPr>
        <w:t>GPS</w:t>
      </w:r>
      <w:r>
        <w:rPr>
          <w:rFonts w:hint="eastAsia" w:cs="Times New Roman"/>
          <w:szCs w:val="24"/>
          <w:lang w:bidi="ar"/>
        </w:rPr>
        <w:t>坐标定位、生态系统调查采用</w:t>
      </w:r>
      <w:r>
        <w:rPr>
          <w:rFonts w:cs="Times New Roman"/>
          <w:szCs w:val="24"/>
          <w:lang w:bidi="ar"/>
        </w:rPr>
        <w:t>“3S”</w:t>
      </w:r>
      <w:r>
        <w:rPr>
          <w:rFonts w:hint="eastAsia" w:cs="Times New Roman"/>
          <w:szCs w:val="24"/>
          <w:lang w:bidi="ar"/>
        </w:rPr>
        <w:t>技术（</w:t>
      </w:r>
      <w:r>
        <w:rPr>
          <w:rFonts w:cs="Times New Roman"/>
          <w:szCs w:val="24"/>
          <w:lang w:bidi="ar"/>
        </w:rPr>
        <w:t>GIS</w:t>
      </w:r>
      <w:r>
        <w:rPr>
          <w:rFonts w:hint="eastAsia" w:cs="Times New Roman"/>
          <w:szCs w:val="24"/>
          <w:lang w:bidi="ar"/>
        </w:rPr>
        <w:t>、</w:t>
      </w:r>
      <w:r>
        <w:rPr>
          <w:rFonts w:cs="Times New Roman"/>
          <w:szCs w:val="24"/>
          <w:lang w:bidi="ar"/>
        </w:rPr>
        <w:t>RS</w:t>
      </w:r>
      <w:r>
        <w:rPr>
          <w:rFonts w:hint="eastAsia" w:cs="Times New Roman"/>
          <w:szCs w:val="24"/>
          <w:lang w:bidi="ar"/>
        </w:rPr>
        <w:t>、</w:t>
      </w:r>
      <w:r>
        <w:rPr>
          <w:rFonts w:cs="Times New Roman"/>
          <w:szCs w:val="24"/>
          <w:lang w:bidi="ar"/>
        </w:rPr>
        <w:t>GPS</w:t>
      </w:r>
      <w:r>
        <w:rPr>
          <w:rFonts w:hint="eastAsia" w:cs="Times New Roman"/>
          <w:szCs w:val="24"/>
          <w:lang w:bidi="ar"/>
        </w:rPr>
        <w:t>）与</w:t>
      </w:r>
      <w:r>
        <w:rPr>
          <w:rFonts w:cs="Times New Roman"/>
          <w:szCs w:val="24"/>
          <w:lang w:bidi="ar"/>
        </w:rPr>
        <w:t>ENVI/ArcGIS</w:t>
      </w:r>
      <w:r>
        <w:rPr>
          <w:rFonts w:hint="eastAsia" w:cs="Times New Roman"/>
          <w:szCs w:val="24"/>
          <w:lang w:bidi="ar"/>
        </w:rPr>
        <w:t>软件分析，可实现样线、样方的精准布设与数据的高效处理。遥感解译与现场调查的结合，既发挥了遥感技术的全域监测优势，又能通过实地核查修正了解译误差，提升生态系统类型分类的准确性。</w:t>
      </w:r>
    </w:p>
    <w:p w14:paraId="448324BE">
      <w:pPr>
        <w:spacing w:line="570" w:lineRule="atLeast"/>
        <w:ind w:firstLine="480"/>
        <w:rPr>
          <w:rFonts w:cs="Times New Roman"/>
          <w:szCs w:val="24"/>
        </w:rPr>
      </w:pPr>
      <w:r>
        <w:rPr>
          <w:rFonts w:hint="eastAsia" w:cs="Times New Roman"/>
          <w:szCs w:val="24"/>
          <w:u w:val="single"/>
          <w:lang w:bidi="ar"/>
        </w:rPr>
        <w:t>定性与定量调查结合。</w:t>
      </w:r>
      <w:r>
        <w:rPr>
          <w:rFonts w:hint="eastAsia" w:cs="Times New Roman"/>
          <w:szCs w:val="24"/>
          <w:lang w:bidi="ar"/>
        </w:rPr>
        <w:t>动物资源调查中，访问调查（针对当地居民、鱼塘工作人员）与实地调查（样线法、鼠夹捕捉法）互补，既通过访谈获取历史分布与珍稀物种线索，又借助实地观测验证物种真实性及数量现状。昆虫调查的文献资料收集与现场采集结合，为物种鉴定提供了历史参照与实物样本。</w:t>
      </w:r>
    </w:p>
    <w:p w14:paraId="76255D32">
      <w:pPr>
        <w:spacing w:line="570" w:lineRule="atLeast"/>
        <w:ind w:firstLine="480"/>
        <w:rPr>
          <w:rFonts w:cs="Times New Roman"/>
          <w:szCs w:val="24"/>
        </w:rPr>
      </w:pPr>
      <w:r>
        <w:rPr>
          <w:rFonts w:hint="eastAsia" w:cs="Times New Roman"/>
          <w:szCs w:val="24"/>
          <w:u w:val="single"/>
          <w:lang w:bidi="ar"/>
        </w:rPr>
        <w:t>历史资料的时间匹配与有效性。</w:t>
      </w:r>
      <w:r>
        <w:rPr>
          <w:rFonts w:hint="eastAsia" w:cs="Times New Roman"/>
          <w:szCs w:val="24"/>
          <w:lang w:bidi="ar"/>
        </w:rPr>
        <w:t>本次调查重点参考《常州市金坛区生物多样性本底调查技术报告》《常州市金坛区茅东山地水源涵养区生态资源调查报告》等区域核心成果，从时间维度形成科学支撑体系。考虑金坛区生态敏感区调查周期，上述报告的调查实施时间距本次现场调查均不超过</w:t>
      </w:r>
      <w:r>
        <w:rPr>
          <w:rFonts w:cs="Times New Roman"/>
          <w:szCs w:val="24"/>
          <w:lang w:bidi="ar"/>
        </w:rPr>
        <w:t>5</w:t>
      </w:r>
      <w:r>
        <w:rPr>
          <w:rFonts w:hint="eastAsia" w:cs="Times New Roman"/>
          <w:szCs w:val="24"/>
          <w:lang w:bidi="ar"/>
        </w:rPr>
        <w:t>年。该事件跨度内，茅山旅游度假区未发生大规模生态破坏或物种引入事件，植被群落的演替、动物种群的波动均处于自然变化范围内，历史数据与本次调查数据具有极强的时间连续性。同时，两份报告均为金坛区主导的专项调查成果，调查方法符合《生物多样性观测技术导则》等国家标准，且样线样点布设与本次调查存在空间重叠，进一步保障了历史资料的区域适配性与数据可靠性，为本次调查的样线优化、物种基线判定提供了重要依据。</w:t>
      </w:r>
    </w:p>
    <w:p w14:paraId="12752EA5">
      <w:pPr>
        <w:spacing w:line="570" w:lineRule="atLeast"/>
        <w:ind w:firstLine="0" w:firstLineChars="0"/>
        <w:outlineLvl w:val="3"/>
      </w:pPr>
      <w:r>
        <w:t>3.</w:t>
      </w:r>
      <w:r>
        <w:rPr>
          <w:rFonts w:hint="eastAsia"/>
        </w:rPr>
        <w:t>6.</w:t>
      </w:r>
      <w:r>
        <w:t>4.2</w:t>
      </w:r>
      <w:r>
        <w:rPr>
          <w:rFonts w:hint="eastAsia"/>
        </w:rPr>
        <w:t>植被资源现状调查与评价</w:t>
      </w:r>
    </w:p>
    <w:p w14:paraId="348B1D93">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1</w:t>
      </w:r>
      <w:r>
        <w:rPr>
          <w:rFonts w:hint="eastAsia" w:cs="Times New Roman"/>
          <w:b/>
          <w:bCs/>
          <w:szCs w:val="24"/>
          <w:lang w:bidi="ar"/>
        </w:rPr>
        <w:t>）物种组成分析</w:t>
      </w:r>
    </w:p>
    <w:p w14:paraId="57FA5BA1">
      <w:pPr>
        <w:spacing w:line="570" w:lineRule="atLeast"/>
        <w:ind w:firstLine="480"/>
        <w:rPr>
          <w:rFonts w:cs="Times New Roman"/>
          <w:szCs w:val="24"/>
        </w:rPr>
      </w:pPr>
      <w:r>
        <w:rPr>
          <w:rFonts w:hint="eastAsia" w:cs="Times New Roman"/>
          <w:szCs w:val="24"/>
          <w:lang w:bidi="ar"/>
        </w:rPr>
        <w:t>根据本底调查和样方资料统计结果，茅山旅游度假区内共有维管束植物</w:t>
      </w:r>
      <w:r>
        <w:rPr>
          <w:rFonts w:cs="Times New Roman"/>
          <w:szCs w:val="24"/>
          <w:lang w:bidi="ar"/>
        </w:rPr>
        <w:t>530</w:t>
      </w:r>
      <w:r>
        <w:rPr>
          <w:rFonts w:hint="eastAsia" w:cs="Times New Roman"/>
          <w:szCs w:val="24"/>
          <w:lang w:bidi="ar"/>
        </w:rPr>
        <w:t>种（均为本次调查实际观测），隶属</w:t>
      </w:r>
      <w:r>
        <w:rPr>
          <w:rFonts w:cs="Times New Roman"/>
          <w:szCs w:val="24"/>
          <w:lang w:bidi="ar"/>
        </w:rPr>
        <w:t>131</w:t>
      </w:r>
      <w:r>
        <w:rPr>
          <w:rFonts w:hint="eastAsia" w:cs="Times New Roman"/>
          <w:szCs w:val="24"/>
          <w:lang w:bidi="ar"/>
        </w:rPr>
        <w:t>科</w:t>
      </w:r>
      <w:r>
        <w:rPr>
          <w:rFonts w:cs="Times New Roman"/>
          <w:szCs w:val="24"/>
          <w:lang w:bidi="ar"/>
        </w:rPr>
        <w:t>359</w:t>
      </w:r>
      <w:r>
        <w:rPr>
          <w:rFonts w:hint="eastAsia" w:cs="Times New Roman"/>
          <w:szCs w:val="24"/>
          <w:lang w:bidi="ar"/>
        </w:rPr>
        <w:t>属。其中，野生植物</w:t>
      </w:r>
      <w:r>
        <w:rPr>
          <w:rFonts w:cs="Times New Roman"/>
          <w:szCs w:val="24"/>
          <w:lang w:bidi="ar"/>
        </w:rPr>
        <w:t>425</w:t>
      </w:r>
      <w:r>
        <w:rPr>
          <w:rFonts w:hint="eastAsia" w:cs="Times New Roman"/>
          <w:szCs w:val="24"/>
          <w:lang w:bidi="ar"/>
        </w:rPr>
        <w:t>种，隶属</w:t>
      </w:r>
      <w:r>
        <w:rPr>
          <w:rFonts w:cs="Times New Roman"/>
          <w:szCs w:val="24"/>
          <w:lang w:bidi="ar"/>
        </w:rPr>
        <w:t>106</w:t>
      </w:r>
      <w:r>
        <w:rPr>
          <w:rFonts w:hint="eastAsia" w:cs="Times New Roman"/>
          <w:szCs w:val="24"/>
          <w:lang w:bidi="ar"/>
        </w:rPr>
        <w:t>科</w:t>
      </w:r>
      <w:r>
        <w:rPr>
          <w:rFonts w:cs="Times New Roman"/>
          <w:szCs w:val="24"/>
          <w:lang w:bidi="ar"/>
        </w:rPr>
        <w:t>290</w:t>
      </w:r>
      <w:r>
        <w:rPr>
          <w:rFonts w:hint="eastAsia" w:cs="Times New Roman"/>
          <w:szCs w:val="24"/>
          <w:lang w:bidi="ar"/>
        </w:rPr>
        <w:t>属，包括蕨类植物</w:t>
      </w:r>
      <w:r>
        <w:rPr>
          <w:rFonts w:cs="Times New Roman"/>
          <w:szCs w:val="24"/>
          <w:lang w:bidi="ar"/>
        </w:rPr>
        <w:t>13</w:t>
      </w:r>
      <w:r>
        <w:rPr>
          <w:rFonts w:hint="eastAsia" w:cs="Times New Roman"/>
          <w:szCs w:val="24"/>
          <w:lang w:bidi="ar"/>
        </w:rPr>
        <w:t>科</w:t>
      </w:r>
      <w:r>
        <w:rPr>
          <w:rFonts w:cs="Times New Roman"/>
          <w:szCs w:val="24"/>
          <w:lang w:bidi="ar"/>
        </w:rPr>
        <w:t>16</w:t>
      </w:r>
      <w:r>
        <w:rPr>
          <w:rFonts w:hint="eastAsia" w:cs="Times New Roman"/>
          <w:szCs w:val="24"/>
          <w:lang w:bidi="ar"/>
        </w:rPr>
        <w:t>属</w:t>
      </w:r>
      <w:r>
        <w:rPr>
          <w:rFonts w:cs="Times New Roman"/>
          <w:szCs w:val="24"/>
          <w:lang w:bidi="ar"/>
        </w:rPr>
        <w:t>18</w:t>
      </w:r>
      <w:r>
        <w:rPr>
          <w:rFonts w:hint="eastAsia" w:cs="Times New Roman"/>
          <w:szCs w:val="24"/>
          <w:lang w:bidi="ar"/>
        </w:rPr>
        <w:t>种，裸子植物</w:t>
      </w:r>
      <w:r>
        <w:rPr>
          <w:rFonts w:cs="Times New Roman"/>
          <w:szCs w:val="24"/>
          <w:lang w:bidi="ar"/>
        </w:rPr>
        <w:t>2</w:t>
      </w:r>
      <w:r>
        <w:rPr>
          <w:rFonts w:hint="eastAsia" w:cs="Times New Roman"/>
          <w:szCs w:val="24"/>
          <w:lang w:bidi="ar"/>
        </w:rPr>
        <w:t>科</w:t>
      </w:r>
      <w:r>
        <w:rPr>
          <w:rFonts w:cs="Times New Roman"/>
          <w:szCs w:val="24"/>
          <w:lang w:bidi="ar"/>
        </w:rPr>
        <w:t>2</w:t>
      </w:r>
      <w:r>
        <w:rPr>
          <w:rFonts w:hint="eastAsia" w:cs="Times New Roman"/>
          <w:szCs w:val="24"/>
          <w:lang w:bidi="ar"/>
        </w:rPr>
        <w:t>属</w:t>
      </w:r>
      <w:r>
        <w:rPr>
          <w:rFonts w:cs="Times New Roman"/>
          <w:szCs w:val="24"/>
          <w:lang w:bidi="ar"/>
        </w:rPr>
        <w:t>2</w:t>
      </w:r>
      <w:r>
        <w:rPr>
          <w:rFonts w:hint="eastAsia" w:cs="Times New Roman"/>
          <w:szCs w:val="24"/>
          <w:lang w:bidi="ar"/>
        </w:rPr>
        <w:t>种，被子植物</w:t>
      </w:r>
      <w:r>
        <w:rPr>
          <w:rFonts w:cs="Times New Roman"/>
          <w:szCs w:val="24"/>
          <w:lang w:bidi="ar"/>
        </w:rPr>
        <w:t>91</w:t>
      </w:r>
      <w:r>
        <w:rPr>
          <w:rFonts w:hint="eastAsia" w:cs="Times New Roman"/>
          <w:szCs w:val="24"/>
          <w:lang w:bidi="ar"/>
        </w:rPr>
        <w:t>科</w:t>
      </w:r>
      <w:r>
        <w:rPr>
          <w:rFonts w:cs="Times New Roman"/>
          <w:szCs w:val="24"/>
          <w:lang w:bidi="ar"/>
        </w:rPr>
        <w:t>272</w:t>
      </w:r>
      <w:r>
        <w:rPr>
          <w:rFonts w:hint="eastAsia" w:cs="Times New Roman"/>
          <w:szCs w:val="24"/>
          <w:lang w:bidi="ar"/>
        </w:rPr>
        <w:t>属</w:t>
      </w:r>
      <w:r>
        <w:rPr>
          <w:rFonts w:cs="Times New Roman"/>
          <w:szCs w:val="24"/>
          <w:lang w:bidi="ar"/>
        </w:rPr>
        <w:t>405</w:t>
      </w:r>
      <w:r>
        <w:rPr>
          <w:rFonts w:hint="eastAsia" w:cs="Times New Roman"/>
          <w:szCs w:val="24"/>
          <w:lang w:bidi="ar"/>
        </w:rPr>
        <w:t>种，具体组成分类见表</w:t>
      </w:r>
      <w:r>
        <w:rPr>
          <w:rFonts w:cs="Times New Roman"/>
          <w:szCs w:val="24"/>
          <w:lang w:bidi="ar"/>
        </w:rPr>
        <w:t>3.</w:t>
      </w:r>
      <w:r>
        <w:rPr>
          <w:rFonts w:hint="eastAsia" w:cs="Times New Roman"/>
          <w:szCs w:val="24"/>
          <w:lang w:bidi="ar"/>
        </w:rPr>
        <w:t>6</w:t>
      </w:r>
      <w:r>
        <w:rPr>
          <w:rFonts w:cs="Times New Roman"/>
          <w:szCs w:val="24"/>
          <w:lang w:bidi="ar"/>
        </w:rPr>
        <w:t>-</w:t>
      </w:r>
      <w:r>
        <w:rPr>
          <w:rFonts w:hint="eastAsia" w:cs="Times New Roman"/>
          <w:szCs w:val="24"/>
          <w:lang w:bidi="ar"/>
        </w:rPr>
        <w:t>9。</w:t>
      </w:r>
    </w:p>
    <w:p w14:paraId="3A9A176A">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9</w:t>
      </w:r>
      <w:r>
        <w:rPr>
          <w:rFonts w:cs="Times New Roman"/>
        </w:rPr>
        <w:t xml:space="preserve"> </w:t>
      </w:r>
      <w:r>
        <w:rPr>
          <w:rFonts w:hint="eastAsia" w:cs="Times New Roman"/>
        </w:rPr>
        <w:t>茅山旅游度假区野生维管束植物数量组成表</w:t>
      </w:r>
    </w:p>
    <w:tbl>
      <w:tblPr>
        <w:tblStyle w:val="25"/>
        <w:tblW w:w="500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1"/>
        <w:gridCol w:w="641"/>
        <w:gridCol w:w="976"/>
        <w:gridCol w:w="976"/>
        <w:gridCol w:w="1883"/>
        <w:gridCol w:w="976"/>
        <w:gridCol w:w="1883"/>
      </w:tblGrid>
      <w:tr w14:paraId="6EF6DA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blHeader/>
        </w:trPr>
        <w:tc>
          <w:tcPr>
            <w:tcW w:w="980" w:type="pct"/>
            <w:gridSpan w:val="2"/>
            <w:tcBorders>
              <w:top w:val="single" w:color="000000" w:sz="4" w:space="0"/>
              <w:left w:val="single" w:color="000000" w:sz="4" w:space="0"/>
              <w:bottom w:val="single" w:color="000000" w:sz="4" w:space="0"/>
              <w:right w:val="single" w:color="000000" w:sz="4" w:space="0"/>
            </w:tcBorders>
            <w:vAlign w:val="center"/>
          </w:tcPr>
          <w:p w14:paraId="448114E0">
            <w:pPr>
              <w:spacing w:line="240" w:lineRule="auto"/>
              <w:ind w:firstLine="0" w:firstLineChars="0"/>
              <w:jc w:val="center"/>
              <w:rPr>
                <w:rFonts w:cs="Times New Roman"/>
                <w:b/>
                <w:bCs/>
                <w:sz w:val="21"/>
                <w:szCs w:val="21"/>
              </w:rPr>
            </w:pPr>
            <w:r>
              <w:rPr>
                <w:rFonts w:hint="eastAsia" w:cs="Times New Roman"/>
                <w:b/>
                <w:bCs/>
                <w:sz w:val="21"/>
                <w:szCs w:val="21"/>
                <w:lang w:bidi="ar"/>
              </w:rPr>
              <w:t>分类群</w:t>
            </w:r>
          </w:p>
        </w:tc>
        <w:tc>
          <w:tcPr>
            <w:tcW w:w="586" w:type="pct"/>
            <w:tcBorders>
              <w:top w:val="single" w:color="000000" w:sz="4" w:space="0"/>
              <w:left w:val="single" w:color="000000" w:sz="4" w:space="0"/>
              <w:bottom w:val="single" w:color="000000" w:sz="4" w:space="0"/>
              <w:right w:val="single" w:color="000000" w:sz="4" w:space="0"/>
            </w:tcBorders>
            <w:vAlign w:val="center"/>
          </w:tcPr>
          <w:p w14:paraId="270AA746">
            <w:pPr>
              <w:spacing w:line="240" w:lineRule="auto"/>
              <w:ind w:firstLine="0" w:firstLineChars="0"/>
              <w:jc w:val="center"/>
              <w:rPr>
                <w:rFonts w:cs="Times New Roman"/>
                <w:b/>
                <w:bCs/>
                <w:sz w:val="21"/>
                <w:szCs w:val="21"/>
              </w:rPr>
            </w:pPr>
            <w:r>
              <w:rPr>
                <w:rFonts w:hint="eastAsia" w:cs="Times New Roman"/>
                <w:b/>
                <w:bCs/>
                <w:sz w:val="21"/>
                <w:szCs w:val="21"/>
                <w:lang w:bidi="ar"/>
              </w:rPr>
              <w:t>度假区</w:t>
            </w:r>
          </w:p>
        </w:tc>
        <w:tc>
          <w:tcPr>
            <w:tcW w:w="586" w:type="pct"/>
            <w:tcBorders>
              <w:top w:val="single" w:color="000000" w:sz="4" w:space="0"/>
              <w:left w:val="single" w:color="000000" w:sz="4" w:space="0"/>
              <w:bottom w:val="single" w:color="000000" w:sz="4" w:space="0"/>
              <w:right w:val="single" w:color="000000" w:sz="4" w:space="0"/>
            </w:tcBorders>
            <w:vAlign w:val="center"/>
          </w:tcPr>
          <w:p w14:paraId="5EBFF05C">
            <w:pPr>
              <w:spacing w:line="240" w:lineRule="auto"/>
              <w:ind w:firstLine="0" w:firstLineChars="0"/>
              <w:jc w:val="center"/>
              <w:rPr>
                <w:rFonts w:cs="Times New Roman"/>
                <w:b/>
                <w:bCs/>
                <w:sz w:val="21"/>
                <w:szCs w:val="21"/>
              </w:rPr>
            </w:pPr>
            <w:r>
              <w:rPr>
                <w:rFonts w:hint="eastAsia" w:cs="Times New Roman"/>
                <w:b/>
                <w:bCs/>
                <w:sz w:val="21"/>
                <w:szCs w:val="21"/>
                <w:lang w:bidi="ar"/>
              </w:rPr>
              <w:t>常州市</w:t>
            </w:r>
          </w:p>
        </w:tc>
        <w:tc>
          <w:tcPr>
            <w:tcW w:w="1131" w:type="pct"/>
            <w:tcBorders>
              <w:top w:val="single" w:color="000000" w:sz="4" w:space="0"/>
              <w:left w:val="single" w:color="000000" w:sz="4" w:space="0"/>
              <w:bottom w:val="single" w:color="000000" w:sz="4" w:space="0"/>
              <w:right w:val="single" w:color="000000" w:sz="4" w:space="0"/>
            </w:tcBorders>
            <w:vAlign w:val="center"/>
          </w:tcPr>
          <w:p w14:paraId="0474E1A7">
            <w:pPr>
              <w:spacing w:line="240" w:lineRule="auto"/>
              <w:ind w:firstLine="0" w:firstLineChars="0"/>
              <w:jc w:val="center"/>
              <w:rPr>
                <w:rFonts w:cs="Times New Roman"/>
                <w:b/>
                <w:bCs/>
                <w:sz w:val="21"/>
                <w:szCs w:val="21"/>
              </w:rPr>
            </w:pPr>
            <w:r>
              <w:rPr>
                <w:rFonts w:hint="eastAsia" w:cs="Times New Roman"/>
                <w:b/>
                <w:bCs/>
                <w:sz w:val="21"/>
                <w:szCs w:val="21"/>
                <w:lang w:bidi="ar"/>
              </w:rPr>
              <w:t>占常州比例</w:t>
            </w:r>
            <w:r>
              <w:rPr>
                <w:rFonts w:cs="Times New Roman"/>
                <w:b/>
                <w:bCs/>
                <w:sz w:val="21"/>
                <w:szCs w:val="21"/>
                <w:lang w:bidi="ar"/>
              </w:rPr>
              <w:t>%</w:t>
            </w:r>
          </w:p>
        </w:tc>
        <w:tc>
          <w:tcPr>
            <w:tcW w:w="586" w:type="pct"/>
            <w:tcBorders>
              <w:top w:val="single" w:color="000000" w:sz="4" w:space="0"/>
              <w:left w:val="single" w:color="000000" w:sz="4" w:space="0"/>
              <w:bottom w:val="single" w:color="000000" w:sz="4" w:space="0"/>
              <w:right w:val="single" w:color="000000" w:sz="4" w:space="0"/>
            </w:tcBorders>
            <w:vAlign w:val="center"/>
          </w:tcPr>
          <w:p w14:paraId="13016A2F">
            <w:pPr>
              <w:spacing w:line="240" w:lineRule="auto"/>
              <w:ind w:firstLine="0" w:firstLineChars="0"/>
              <w:jc w:val="center"/>
              <w:rPr>
                <w:rFonts w:cs="Times New Roman"/>
                <w:b/>
                <w:bCs/>
                <w:sz w:val="21"/>
                <w:szCs w:val="21"/>
              </w:rPr>
            </w:pPr>
            <w:r>
              <w:rPr>
                <w:rFonts w:hint="eastAsia" w:cs="Times New Roman"/>
                <w:b/>
                <w:bCs/>
                <w:sz w:val="21"/>
                <w:szCs w:val="21"/>
                <w:lang w:bidi="ar"/>
              </w:rPr>
              <w:t>江苏省</w:t>
            </w:r>
          </w:p>
        </w:tc>
        <w:tc>
          <w:tcPr>
            <w:tcW w:w="1131" w:type="pct"/>
            <w:tcBorders>
              <w:top w:val="single" w:color="000000" w:sz="4" w:space="0"/>
              <w:left w:val="single" w:color="000000" w:sz="4" w:space="0"/>
              <w:bottom w:val="single" w:color="000000" w:sz="4" w:space="0"/>
              <w:right w:val="single" w:color="000000" w:sz="4" w:space="0"/>
            </w:tcBorders>
            <w:vAlign w:val="center"/>
          </w:tcPr>
          <w:p w14:paraId="38534E7D">
            <w:pPr>
              <w:spacing w:line="240" w:lineRule="auto"/>
              <w:ind w:firstLine="0" w:firstLineChars="0"/>
              <w:jc w:val="center"/>
              <w:rPr>
                <w:rFonts w:cs="Times New Roman"/>
                <w:b/>
                <w:bCs/>
                <w:sz w:val="21"/>
                <w:szCs w:val="21"/>
              </w:rPr>
            </w:pPr>
            <w:r>
              <w:rPr>
                <w:rFonts w:hint="eastAsia" w:cs="Times New Roman"/>
                <w:b/>
                <w:bCs/>
                <w:sz w:val="21"/>
                <w:szCs w:val="21"/>
                <w:lang w:bidi="ar"/>
              </w:rPr>
              <w:t>占江苏比例</w:t>
            </w:r>
            <w:r>
              <w:rPr>
                <w:rFonts w:cs="Times New Roman"/>
                <w:b/>
                <w:bCs/>
                <w:sz w:val="21"/>
                <w:szCs w:val="21"/>
                <w:lang w:bidi="ar"/>
              </w:rPr>
              <w:t>%</w:t>
            </w:r>
          </w:p>
        </w:tc>
      </w:tr>
      <w:tr w14:paraId="3DFB32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95" w:type="pct"/>
            <w:vMerge w:val="restart"/>
            <w:tcBorders>
              <w:top w:val="single" w:color="000000" w:sz="4" w:space="0"/>
              <w:left w:val="single" w:color="000000" w:sz="4" w:space="0"/>
              <w:bottom w:val="single" w:color="000000" w:sz="4" w:space="0"/>
              <w:right w:val="single" w:color="000000" w:sz="4" w:space="0"/>
            </w:tcBorders>
            <w:vAlign w:val="center"/>
          </w:tcPr>
          <w:p w14:paraId="0F36443F">
            <w:pPr>
              <w:spacing w:line="240" w:lineRule="auto"/>
              <w:ind w:firstLine="0" w:firstLineChars="0"/>
              <w:jc w:val="center"/>
              <w:rPr>
                <w:rFonts w:cs="Times New Roman"/>
                <w:sz w:val="21"/>
                <w:szCs w:val="21"/>
              </w:rPr>
            </w:pPr>
            <w:r>
              <w:rPr>
                <w:rFonts w:hint="eastAsia" w:cs="Times New Roman"/>
                <w:sz w:val="21"/>
                <w:szCs w:val="21"/>
                <w:lang w:bidi="ar"/>
              </w:rPr>
              <w:t>蕨类植物</w:t>
            </w:r>
          </w:p>
        </w:tc>
        <w:tc>
          <w:tcPr>
            <w:tcW w:w="385" w:type="pct"/>
            <w:tcBorders>
              <w:top w:val="single" w:color="000000" w:sz="4" w:space="0"/>
              <w:left w:val="single" w:color="000000" w:sz="4" w:space="0"/>
              <w:bottom w:val="single" w:color="000000" w:sz="4" w:space="0"/>
              <w:right w:val="single" w:color="000000" w:sz="4" w:space="0"/>
            </w:tcBorders>
            <w:vAlign w:val="center"/>
          </w:tcPr>
          <w:p w14:paraId="2FE4EC25">
            <w:pPr>
              <w:spacing w:line="240" w:lineRule="auto"/>
              <w:ind w:firstLine="0" w:firstLineChars="0"/>
              <w:jc w:val="center"/>
              <w:rPr>
                <w:rFonts w:cs="Times New Roman"/>
                <w:sz w:val="21"/>
                <w:szCs w:val="21"/>
              </w:rPr>
            </w:pPr>
            <w:r>
              <w:rPr>
                <w:rFonts w:hint="eastAsia" w:cs="Times New Roman"/>
                <w:sz w:val="21"/>
                <w:szCs w:val="21"/>
                <w:lang w:bidi="ar"/>
              </w:rPr>
              <w:t>科</w:t>
            </w:r>
          </w:p>
        </w:tc>
        <w:tc>
          <w:tcPr>
            <w:tcW w:w="586" w:type="pct"/>
            <w:tcBorders>
              <w:top w:val="single" w:color="000000" w:sz="4" w:space="0"/>
              <w:left w:val="single" w:color="000000" w:sz="4" w:space="0"/>
              <w:bottom w:val="single" w:color="000000" w:sz="4" w:space="0"/>
              <w:right w:val="single" w:color="000000" w:sz="4" w:space="0"/>
            </w:tcBorders>
            <w:vAlign w:val="center"/>
          </w:tcPr>
          <w:p w14:paraId="7C441750">
            <w:pPr>
              <w:spacing w:line="240" w:lineRule="auto"/>
              <w:ind w:firstLine="0" w:firstLineChars="0"/>
              <w:jc w:val="center"/>
              <w:rPr>
                <w:rFonts w:cs="Times New Roman"/>
                <w:sz w:val="21"/>
                <w:szCs w:val="21"/>
              </w:rPr>
            </w:pPr>
            <w:r>
              <w:rPr>
                <w:rFonts w:cs="Times New Roman"/>
                <w:sz w:val="21"/>
                <w:szCs w:val="21"/>
                <w:lang w:bidi="ar"/>
              </w:rPr>
              <w:t>13</w:t>
            </w:r>
          </w:p>
        </w:tc>
        <w:tc>
          <w:tcPr>
            <w:tcW w:w="586" w:type="pct"/>
            <w:tcBorders>
              <w:top w:val="single" w:color="000000" w:sz="4" w:space="0"/>
              <w:left w:val="single" w:color="000000" w:sz="4" w:space="0"/>
              <w:bottom w:val="single" w:color="000000" w:sz="4" w:space="0"/>
              <w:right w:val="single" w:color="000000" w:sz="4" w:space="0"/>
            </w:tcBorders>
            <w:vAlign w:val="center"/>
          </w:tcPr>
          <w:p w14:paraId="5B3F4A07">
            <w:pPr>
              <w:spacing w:line="240" w:lineRule="auto"/>
              <w:ind w:firstLine="0" w:firstLineChars="0"/>
              <w:jc w:val="center"/>
              <w:rPr>
                <w:rFonts w:cs="Times New Roman"/>
                <w:sz w:val="21"/>
                <w:szCs w:val="21"/>
              </w:rPr>
            </w:pPr>
            <w:r>
              <w:rPr>
                <w:rFonts w:cs="Times New Roman"/>
                <w:sz w:val="21"/>
                <w:szCs w:val="21"/>
                <w:lang w:bidi="ar"/>
              </w:rPr>
              <w:t>30</w:t>
            </w:r>
          </w:p>
        </w:tc>
        <w:tc>
          <w:tcPr>
            <w:tcW w:w="1131" w:type="pct"/>
            <w:tcBorders>
              <w:top w:val="single" w:color="000000" w:sz="4" w:space="0"/>
              <w:left w:val="single" w:color="000000" w:sz="4" w:space="0"/>
              <w:bottom w:val="single" w:color="000000" w:sz="4" w:space="0"/>
              <w:right w:val="single" w:color="000000" w:sz="4" w:space="0"/>
            </w:tcBorders>
            <w:vAlign w:val="center"/>
          </w:tcPr>
          <w:p w14:paraId="2607D306">
            <w:pPr>
              <w:spacing w:line="240" w:lineRule="auto"/>
              <w:ind w:firstLine="0" w:firstLineChars="0"/>
              <w:jc w:val="center"/>
              <w:rPr>
                <w:rFonts w:cs="Times New Roman"/>
                <w:sz w:val="21"/>
                <w:szCs w:val="21"/>
              </w:rPr>
            </w:pPr>
            <w:r>
              <w:rPr>
                <w:rFonts w:cs="Times New Roman"/>
                <w:sz w:val="21"/>
                <w:szCs w:val="21"/>
                <w:lang w:bidi="ar"/>
              </w:rPr>
              <w:t>43.33</w:t>
            </w:r>
          </w:p>
        </w:tc>
        <w:tc>
          <w:tcPr>
            <w:tcW w:w="586" w:type="pct"/>
            <w:tcBorders>
              <w:top w:val="single" w:color="000000" w:sz="4" w:space="0"/>
              <w:left w:val="single" w:color="000000" w:sz="4" w:space="0"/>
              <w:bottom w:val="single" w:color="000000" w:sz="4" w:space="0"/>
              <w:right w:val="single" w:color="000000" w:sz="4" w:space="0"/>
            </w:tcBorders>
            <w:vAlign w:val="center"/>
          </w:tcPr>
          <w:p w14:paraId="153756E9">
            <w:pPr>
              <w:spacing w:line="240" w:lineRule="auto"/>
              <w:ind w:firstLine="0" w:firstLineChars="0"/>
              <w:jc w:val="center"/>
              <w:rPr>
                <w:rFonts w:cs="Times New Roman"/>
                <w:sz w:val="21"/>
                <w:szCs w:val="21"/>
              </w:rPr>
            </w:pPr>
            <w:r>
              <w:rPr>
                <w:rFonts w:cs="Times New Roman"/>
                <w:sz w:val="21"/>
                <w:szCs w:val="21"/>
                <w:lang w:bidi="ar"/>
              </w:rPr>
              <w:t>35</w:t>
            </w:r>
          </w:p>
        </w:tc>
        <w:tc>
          <w:tcPr>
            <w:tcW w:w="1131" w:type="pct"/>
            <w:tcBorders>
              <w:top w:val="single" w:color="000000" w:sz="4" w:space="0"/>
              <w:left w:val="single" w:color="000000" w:sz="4" w:space="0"/>
              <w:bottom w:val="single" w:color="000000" w:sz="4" w:space="0"/>
              <w:right w:val="single" w:color="000000" w:sz="4" w:space="0"/>
            </w:tcBorders>
            <w:vAlign w:val="center"/>
          </w:tcPr>
          <w:p w14:paraId="070DF84C">
            <w:pPr>
              <w:spacing w:line="240" w:lineRule="auto"/>
              <w:ind w:firstLine="0" w:firstLineChars="0"/>
              <w:jc w:val="center"/>
              <w:rPr>
                <w:rFonts w:cs="Times New Roman"/>
                <w:sz w:val="21"/>
                <w:szCs w:val="21"/>
              </w:rPr>
            </w:pPr>
            <w:r>
              <w:rPr>
                <w:rFonts w:cs="Times New Roman"/>
                <w:sz w:val="21"/>
                <w:szCs w:val="21"/>
                <w:lang w:bidi="ar"/>
              </w:rPr>
              <w:t>37.14</w:t>
            </w:r>
          </w:p>
        </w:tc>
      </w:tr>
      <w:tr w14:paraId="78FE8A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95" w:type="pct"/>
            <w:vMerge w:val="continue"/>
            <w:tcBorders>
              <w:top w:val="single" w:color="000000" w:sz="4" w:space="0"/>
              <w:left w:val="single" w:color="000000" w:sz="4" w:space="0"/>
              <w:bottom w:val="single" w:color="000000" w:sz="4" w:space="0"/>
              <w:right w:val="single" w:color="000000" w:sz="4" w:space="0"/>
            </w:tcBorders>
            <w:vAlign w:val="center"/>
          </w:tcPr>
          <w:p w14:paraId="68C5CB1A">
            <w:pPr>
              <w:spacing w:line="240" w:lineRule="auto"/>
              <w:ind w:firstLine="0" w:firstLineChars="0"/>
              <w:rPr>
                <w:rFonts w:hint="eastAsia" w:ascii="等线" w:hAnsi="等线" w:eastAsia="等线" w:cs="等线"/>
                <w:sz w:val="21"/>
                <w:szCs w:val="21"/>
              </w:rPr>
            </w:pPr>
          </w:p>
        </w:tc>
        <w:tc>
          <w:tcPr>
            <w:tcW w:w="385" w:type="pct"/>
            <w:tcBorders>
              <w:top w:val="single" w:color="000000" w:sz="4" w:space="0"/>
              <w:left w:val="single" w:color="000000" w:sz="4" w:space="0"/>
              <w:bottom w:val="single" w:color="000000" w:sz="4" w:space="0"/>
              <w:right w:val="single" w:color="000000" w:sz="4" w:space="0"/>
            </w:tcBorders>
            <w:vAlign w:val="center"/>
          </w:tcPr>
          <w:p w14:paraId="070D8C73">
            <w:pPr>
              <w:spacing w:line="240" w:lineRule="auto"/>
              <w:ind w:firstLine="0" w:firstLineChars="0"/>
              <w:jc w:val="center"/>
              <w:rPr>
                <w:rFonts w:cs="Times New Roman"/>
                <w:sz w:val="21"/>
                <w:szCs w:val="21"/>
              </w:rPr>
            </w:pPr>
            <w:r>
              <w:rPr>
                <w:rFonts w:hint="eastAsia" w:cs="Times New Roman"/>
                <w:sz w:val="21"/>
                <w:szCs w:val="21"/>
                <w:lang w:bidi="ar"/>
              </w:rPr>
              <w:t>属</w:t>
            </w:r>
          </w:p>
        </w:tc>
        <w:tc>
          <w:tcPr>
            <w:tcW w:w="586" w:type="pct"/>
            <w:tcBorders>
              <w:top w:val="single" w:color="000000" w:sz="4" w:space="0"/>
              <w:left w:val="single" w:color="000000" w:sz="4" w:space="0"/>
              <w:bottom w:val="single" w:color="000000" w:sz="4" w:space="0"/>
              <w:right w:val="single" w:color="000000" w:sz="4" w:space="0"/>
            </w:tcBorders>
            <w:vAlign w:val="center"/>
          </w:tcPr>
          <w:p w14:paraId="2DD1CFC0">
            <w:pPr>
              <w:spacing w:line="240" w:lineRule="auto"/>
              <w:ind w:firstLine="0" w:firstLineChars="0"/>
              <w:jc w:val="center"/>
              <w:rPr>
                <w:rFonts w:cs="Times New Roman"/>
                <w:sz w:val="21"/>
                <w:szCs w:val="21"/>
              </w:rPr>
            </w:pPr>
            <w:r>
              <w:rPr>
                <w:rFonts w:cs="Times New Roman"/>
                <w:sz w:val="21"/>
                <w:szCs w:val="21"/>
                <w:lang w:bidi="ar"/>
              </w:rPr>
              <w:t>16</w:t>
            </w:r>
          </w:p>
        </w:tc>
        <w:tc>
          <w:tcPr>
            <w:tcW w:w="586" w:type="pct"/>
            <w:tcBorders>
              <w:top w:val="single" w:color="000000" w:sz="4" w:space="0"/>
              <w:left w:val="single" w:color="000000" w:sz="4" w:space="0"/>
              <w:bottom w:val="single" w:color="000000" w:sz="4" w:space="0"/>
              <w:right w:val="single" w:color="000000" w:sz="4" w:space="0"/>
            </w:tcBorders>
            <w:vAlign w:val="center"/>
          </w:tcPr>
          <w:p w14:paraId="651BC686">
            <w:pPr>
              <w:spacing w:line="240" w:lineRule="auto"/>
              <w:ind w:firstLine="0" w:firstLineChars="0"/>
              <w:jc w:val="center"/>
              <w:rPr>
                <w:rFonts w:cs="Times New Roman"/>
                <w:sz w:val="21"/>
                <w:szCs w:val="21"/>
              </w:rPr>
            </w:pPr>
            <w:r>
              <w:rPr>
                <w:rFonts w:cs="Times New Roman"/>
                <w:sz w:val="21"/>
                <w:szCs w:val="21"/>
                <w:lang w:bidi="ar"/>
              </w:rPr>
              <w:t>52</w:t>
            </w:r>
          </w:p>
        </w:tc>
        <w:tc>
          <w:tcPr>
            <w:tcW w:w="1131" w:type="pct"/>
            <w:tcBorders>
              <w:top w:val="single" w:color="000000" w:sz="4" w:space="0"/>
              <w:left w:val="single" w:color="000000" w:sz="4" w:space="0"/>
              <w:bottom w:val="single" w:color="000000" w:sz="4" w:space="0"/>
              <w:right w:val="single" w:color="000000" w:sz="4" w:space="0"/>
            </w:tcBorders>
            <w:vAlign w:val="center"/>
          </w:tcPr>
          <w:p w14:paraId="759BF159">
            <w:pPr>
              <w:spacing w:line="240" w:lineRule="auto"/>
              <w:ind w:firstLine="0" w:firstLineChars="0"/>
              <w:jc w:val="center"/>
              <w:rPr>
                <w:rFonts w:cs="Times New Roman"/>
                <w:sz w:val="21"/>
                <w:szCs w:val="21"/>
              </w:rPr>
            </w:pPr>
            <w:r>
              <w:rPr>
                <w:rFonts w:cs="Times New Roman"/>
                <w:sz w:val="21"/>
                <w:szCs w:val="21"/>
                <w:lang w:bidi="ar"/>
              </w:rPr>
              <w:t>30.77</w:t>
            </w:r>
          </w:p>
        </w:tc>
        <w:tc>
          <w:tcPr>
            <w:tcW w:w="586" w:type="pct"/>
            <w:tcBorders>
              <w:top w:val="single" w:color="000000" w:sz="4" w:space="0"/>
              <w:left w:val="single" w:color="000000" w:sz="4" w:space="0"/>
              <w:bottom w:val="single" w:color="000000" w:sz="4" w:space="0"/>
              <w:right w:val="single" w:color="000000" w:sz="4" w:space="0"/>
            </w:tcBorders>
            <w:vAlign w:val="center"/>
          </w:tcPr>
          <w:p w14:paraId="7A86C808">
            <w:pPr>
              <w:spacing w:line="240" w:lineRule="auto"/>
              <w:ind w:firstLine="0" w:firstLineChars="0"/>
              <w:jc w:val="center"/>
              <w:rPr>
                <w:rFonts w:cs="Times New Roman"/>
                <w:sz w:val="21"/>
                <w:szCs w:val="21"/>
              </w:rPr>
            </w:pPr>
            <w:r>
              <w:rPr>
                <w:rFonts w:cs="Times New Roman"/>
                <w:sz w:val="21"/>
                <w:szCs w:val="21"/>
                <w:lang w:bidi="ar"/>
              </w:rPr>
              <w:t>67</w:t>
            </w:r>
          </w:p>
        </w:tc>
        <w:tc>
          <w:tcPr>
            <w:tcW w:w="1131" w:type="pct"/>
            <w:tcBorders>
              <w:top w:val="single" w:color="000000" w:sz="4" w:space="0"/>
              <w:left w:val="single" w:color="000000" w:sz="4" w:space="0"/>
              <w:bottom w:val="single" w:color="000000" w:sz="4" w:space="0"/>
              <w:right w:val="single" w:color="000000" w:sz="4" w:space="0"/>
            </w:tcBorders>
            <w:vAlign w:val="center"/>
          </w:tcPr>
          <w:p w14:paraId="1FB4DFE8">
            <w:pPr>
              <w:spacing w:line="240" w:lineRule="auto"/>
              <w:ind w:firstLine="0" w:firstLineChars="0"/>
              <w:jc w:val="center"/>
              <w:rPr>
                <w:rFonts w:cs="Times New Roman"/>
                <w:sz w:val="21"/>
                <w:szCs w:val="21"/>
              </w:rPr>
            </w:pPr>
            <w:r>
              <w:rPr>
                <w:rFonts w:cs="Times New Roman"/>
                <w:sz w:val="21"/>
                <w:szCs w:val="21"/>
                <w:lang w:bidi="ar"/>
              </w:rPr>
              <w:t>23.88</w:t>
            </w:r>
          </w:p>
        </w:tc>
      </w:tr>
      <w:tr w14:paraId="0C3655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95" w:type="pct"/>
            <w:vMerge w:val="continue"/>
            <w:tcBorders>
              <w:top w:val="single" w:color="000000" w:sz="4" w:space="0"/>
              <w:left w:val="single" w:color="000000" w:sz="4" w:space="0"/>
              <w:bottom w:val="single" w:color="000000" w:sz="4" w:space="0"/>
              <w:right w:val="single" w:color="000000" w:sz="4" w:space="0"/>
            </w:tcBorders>
            <w:vAlign w:val="center"/>
          </w:tcPr>
          <w:p w14:paraId="58199ABB">
            <w:pPr>
              <w:spacing w:line="240" w:lineRule="auto"/>
              <w:ind w:firstLine="0" w:firstLineChars="0"/>
              <w:rPr>
                <w:rFonts w:hint="eastAsia" w:ascii="等线" w:hAnsi="等线" w:eastAsia="等线" w:cs="等线"/>
                <w:sz w:val="21"/>
                <w:szCs w:val="21"/>
              </w:rPr>
            </w:pPr>
          </w:p>
        </w:tc>
        <w:tc>
          <w:tcPr>
            <w:tcW w:w="385" w:type="pct"/>
            <w:tcBorders>
              <w:top w:val="single" w:color="000000" w:sz="4" w:space="0"/>
              <w:left w:val="single" w:color="000000" w:sz="4" w:space="0"/>
              <w:bottom w:val="single" w:color="000000" w:sz="4" w:space="0"/>
              <w:right w:val="single" w:color="000000" w:sz="4" w:space="0"/>
            </w:tcBorders>
            <w:vAlign w:val="center"/>
          </w:tcPr>
          <w:p w14:paraId="6951DA2A">
            <w:pPr>
              <w:spacing w:line="240" w:lineRule="auto"/>
              <w:ind w:firstLine="0" w:firstLineChars="0"/>
              <w:jc w:val="center"/>
              <w:rPr>
                <w:rFonts w:cs="Times New Roman"/>
                <w:sz w:val="21"/>
                <w:szCs w:val="21"/>
              </w:rPr>
            </w:pPr>
            <w:r>
              <w:rPr>
                <w:rFonts w:hint="eastAsia" w:cs="Times New Roman"/>
                <w:sz w:val="21"/>
                <w:szCs w:val="21"/>
                <w:lang w:bidi="ar"/>
              </w:rPr>
              <w:t>种</w:t>
            </w:r>
          </w:p>
        </w:tc>
        <w:tc>
          <w:tcPr>
            <w:tcW w:w="586" w:type="pct"/>
            <w:tcBorders>
              <w:top w:val="single" w:color="000000" w:sz="4" w:space="0"/>
              <w:left w:val="single" w:color="000000" w:sz="4" w:space="0"/>
              <w:bottom w:val="single" w:color="000000" w:sz="4" w:space="0"/>
              <w:right w:val="single" w:color="000000" w:sz="4" w:space="0"/>
            </w:tcBorders>
            <w:vAlign w:val="center"/>
          </w:tcPr>
          <w:p w14:paraId="042B5C1F">
            <w:pPr>
              <w:spacing w:line="240" w:lineRule="auto"/>
              <w:ind w:firstLine="0" w:firstLineChars="0"/>
              <w:jc w:val="center"/>
              <w:rPr>
                <w:rFonts w:cs="Times New Roman"/>
                <w:sz w:val="21"/>
                <w:szCs w:val="21"/>
              </w:rPr>
            </w:pPr>
            <w:r>
              <w:rPr>
                <w:rFonts w:cs="Times New Roman"/>
                <w:sz w:val="21"/>
                <w:szCs w:val="21"/>
                <w:lang w:bidi="ar"/>
              </w:rPr>
              <w:t>18</w:t>
            </w:r>
          </w:p>
        </w:tc>
        <w:tc>
          <w:tcPr>
            <w:tcW w:w="586" w:type="pct"/>
            <w:tcBorders>
              <w:top w:val="single" w:color="000000" w:sz="4" w:space="0"/>
              <w:left w:val="single" w:color="000000" w:sz="4" w:space="0"/>
              <w:bottom w:val="single" w:color="000000" w:sz="4" w:space="0"/>
              <w:right w:val="single" w:color="000000" w:sz="4" w:space="0"/>
            </w:tcBorders>
            <w:vAlign w:val="center"/>
          </w:tcPr>
          <w:p w14:paraId="0E79C318">
            <w:pPr>
              <w:spacing w:line="240" w:lineRule="auto"/>
              <w:ind w:firstLine="0" w:firstLineChars="0"/>
              <w:jc w:val="center"/>
              <w:rPr>
                <w:rFonts w:cs="Times New Roman"/>
                <w:sz w:val="21"/>
                <w:szCs w:val="21"/>
              </w:rPr>
            </w:pPr>
            <w:r>
              <w:rPr>
                <w:rFonts w:cs="Times New Roman"/>
                <w:sz w:val="21"/>
                <w:szCs w:val="21"/>
                <w:lang w:bidi="ar"/>
              </w:rPr>
              <w:t>82</w:t>
            </w:r>
          </w:p>
        </w:tc>
        <w:tc>
          <w:tcPr>
            <w:tcW w:w="1131" w:type="pct"/>
            <w:tcBorders>
              <w:top w:val="single" w:color="000000" w:sz="4" w:space="0"/>
              <w:left w:val="single" w:color="000000" w:sz="4" w:space="0"/>
              <w:bottom w:val="single" w:color="000000" w:sz="4" w:space="0"/>
              <w:right w:val="single" w:color="000000" w:sz="4" w:space="0"/>
            </w:tcBorders>
            <w:vAlign w:val="center"/>
          </w:tcPr>
          <w:p w14:paraId="703E1B2D">
            <w:pPr>
              <w:spacing w:line="240" w:lineRule="auto"/>
              <w:ind w:firstLine="0" w:firstLineChars="0"/>
              <w:jc w:val="center"/>
              <w:rPr>
                <w:rFonts w:cs="Times New Roman"/>
                <w:sz w:val="21"/>
                <w:szCs w:val="21"/>
              </w:rPr>
            </w:pPr>
            <w:r>
              <w:rPr>
                <w:rFonts w:cs="Times New Roman"/>
                <w:sz w:val="21"/>
                <w:szCs w:val="21"/>
                <w:lang w:bidi="ar"/>
              </w:rPr>
              <w:t>21.95</w:t>
            </w:r>
          </w:p>
        </w:tc>
        <w:tc>
          <w:tcPr>
            <w:tcW w:w="586" w:type="pct"/>
            <w:tcBorders>
              <w:top w:val="single" w:color="000000" w:sz="4" w:space="0"/>
              <w:left w:val="single" w:color="000000" w:sz="4" w:space="0"/>
              <w:bottom w:val="single" w:color="000000" w:sz="4" w:space="0"/>
              <w:right w:val="single" w:color="000000" w:sz="4" w:space="0"/>
            </w:tcBorders>
            <w:vAlign w:val="center"/>
          </w:tcPr>
          <w:p w14:paraId="19A574AD">
            <w:pPr>
              <w:spacing w:line="240" w:lineRule="auto"/>
              <w:ind w:firstLine="0" w:firstLineChars="0"/>
              <w:jc w:val="center"/>
              <w:rPr>
                <w:rFonts w:cs="Times New Roman"/>
                <w:sz w:val="21"/>
                <w:szCs w:val="21"/>
              </w:rPr>
            </w:pPr>
            <w:r>
              <w:rPr>
                <w:rFonts w:cs="Times New Roman"/>
                <w:sz w:val="21"/>
                <w:szCs w:val="21"/>
                <w:lang w:bidi="ar"/>
              </w:rPr>
              <w:t>140</w:t>
            </w:r>
          </w:p>
        </w:tc>
        <w:tc>
          <w:tcPr>
            <w:tcW w:w="1131" w:type="pct"/>
            <w:tcBorders>
              <w:top w:val="single" w:color="000000" w:sz="4" w:space="0"/>
              <w:left w:val="single" w:color="000000" w:sz="4" w:space="0"/>
              <w:bottom w:val="single" w:color="000000" w:sz="4" w:space="0"/>
              <w:right w:val="single" w:color="000000" w:sz="4" w:space="0"/>
            </w:tcBorders>
            <w:vAlign w:val="center"/>
          </w:tcPr>
          <w:p w14:paraId="7B79D6E7">
            <w:pPr>
              <w:spacing w:line="240" w:lineRule="auto"/>
              <w:ind w:firstLine="0" w:firstLineChars="0"/>
              <w:jc w:val="center"/>
              <w:rPr>
                <w:rFonts w:cs="Times New Roman"/>
                <w:sz w:val="21"/>
                <w:szCs w:val="21"/>
              </w:rPr>
            </w:pPr>
            <w:r>
              <w:rPr>
                <w:rFonts w:cs="Times New Roman"/>
                <w:sz w:val="21"/>
                <w:szCs w:val="21"/>
                <w:lang w:bidi="ar"/>
              </w:rPr>
              <w:t>12.86</w:t>
            </w:r>
          </w:p>
        </w:tc>
      </w:tr>
      <w:tr w14:paraId="4102E8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trPr>
        <w:tc>
          <w:tcPr>
            <w:tcW w:w="595" w:type="pct"/>
            <w:vMerge w:val="restart"/>
            <w:tcBorders>
              <w:top w:val="single" w:color="000000" w:sz="4" w:space="0"/>
              <w:left w:val="single" w:color="000000" w:sz="4" w:space="0"/>
              <w:bottom w:val="single" w:color="000000" w:sz="4" w:space="0"/>
              <w:right w:val="single" w:color="000000" w:sz="4" w:space="0"/>
            </w:tcBorders>
            <w:vAlign w:val="center"/>
          </w:tcPr>
          <w:p w14:paraId="1B848E14">
            <w:pPr>
              <w:spacing w:line="240" w:lineRule="auto"/>
              <w:ind w:firstLine="0" w:firstLineChars="0"/>
              <w:jc w:val="center"/>
              <w:rPr>
                <w:rFonts w:cs="Times New Roman"/>
                <w:sz w:val="21"/>
                <w:szCs w:val="21"/>
              </w:rPr>
            </w:pPr>
            <w:r>
              <w:rPr>
                <w:rFonts w:hint="eastAsia" w:cs="Times New Roman"/>
                <w:sz w:val="21"/>
                <w:szCs w:val="21"/>
                <w:lang w:bidi="ar"/>
              </w:rPr>
              <w:t>裸子植物</w:t>
            </w:r>
          </w:p>
        </w:tc>
        <w:tc>
          <w:tcPr>
            <w:tcW w:w="385" w:type="pct"/>
            <w:tcBorders>
              <w:top w:val="single" w:color="000000" w:sz="4" w:space="0"/>
              <w:left w:val="single" w:color="000000" w:sz="4" w:space="0"/>
              <w:bottom w:val="single" w:color="000000" w:sz="4" w:space="0"/>
              <w:right w:val="single" w:color="000000" w:sz="4" w:space="0"/>
            </w:tcBorders>
            <w:vAlign w:val="center"/>
          </w:tcPr>
          <w:p w14:paraId="474B5B40">
            <w:pPr>
              <w:spacing w:line="240" w:lineRule="auto"/>
              <w:ind w:firstLine="0" w:firstLineChars="0"/>
              <w:jc w:val="center"/>
              <w:rPr>
                <w:rFonts w:cs="Times New Roman"/>
                <w:sz w:val="21"/>
                <w:szCs w:val="21"/>
              </w:rPr>
            </w:pPr>
            <w:r>
              <w:rPr>
                <w:rFonts w:hint="eastAsia" w:cs="Times New Roman"/>
                <w:sz w:val="21"/>
                <w:szCs w:val="21"/>
                <w:lang w:bidi="ar"/>
              </w:rPr>
              <w:t>科</w:t>
            </w:r>
          </w:p>
        </w:tc>
        <w:tc>
          <w:tcPr>
            <w:tcW w:w="586" w:type="pct"/>
            <w:tcBorders>
              <w:top w:val="single" w:color="000000" w:sz="4" w:space="0"/>
              <w:left w:val="single" w:color="000000" w:sz="4" w:space="0"/>
              <w:bottom w:val="single" w:color="000000" w:sz="4" w:space="0"/>
              <w:right w:val="single" w:color="000000" w:sz="4" w:space="0"/>
            </w:tcBorders>
            <w:vAlign w:val="center"/>
          </w:tcPr>
          <w:p w14:paraId="30F872C1">
            <w:pPr>
              <w:spacing w:line="240" w:lineRule="auto"/>
              <w:ind w:firstLine="0" w:firstLineChars="0"/>
              <w:jc w:val="center"/>
              <w:rPr>
                <w:rFonts w:cs="Times New Roman"/>
                <w:sz w:val="21"/>
                <w:szCs w:val="21"/>
              </w:rPr>
            </w:pPr>
            <w:r>
              <w:rPr>
                <w:rFonts w:cs="Times New Roman"/>
                <w:sz w:val="21"/>
                <w:szCs w:val="21"/>
                <w:lang w:bidi="ar"/>
              </w:rPr>
              <w:t>2</w:t>
            </w:r>
          </w:p>
        </w:tc>
        <w:tc>
          <w:tcPr>
            <w:tcW w:w="586" w:type="pct"/>
            <w:tcBorders>
              <w:top w:val="single" w:color="000000" w:sz="4" w:space="0"/>
              <w:left w:val="single" w:color="000000" w:sz="4" w:space="0"/>
              <w:bottom w:val="single" w:color="000000" w:sz="4" w:space="0"/>
              <w:right w:val="single" w:color="000000" w:sz="4" w:space="0"/>
            </w:tcBorders>
            <w:vAlign w:val="center"/>
          </w:tcPr>
          <w:p w14:paraId="46571B0C">
            <w:pPr>
              <w:spacing w:line="240" w:lineRule="auto"/>
              <w:ind w:firstLine="0" w:firstLineChars="0"/>
              <w:jc w:val="center"/>
              <w:rPr>
                <w:rFonts w:cs="Times New Roman"/>
                <w:sz w:val="21"/>
                <w:szCs w:val="21"/>
              </w:rPr>
            </w:pPr>
            <w:r>
              <w:rPr>
                <w:rFonts w:cs="Times New Roman"/>
                <w:sz w:val="21"/>
                <w:szCs w:val="21"/>
                <w:lang w:bidi="ar"/>
              </w:rPr>
              <w:t>4</w:t>
            </w:r>
          </w:p>
        </w:tc>
        <w:tc>
          <w:tcPr>
            <w:tcW w:w="1131" w:type="pct"/>
            <w:tcBorders>
              <w:top w:val="single" w:color="000000" w:sz="4" w:space="0"/>
              <w:left w:val="single" w:color="000000" w:sz="4" w:space="0"/>
              <w:bottom w:val="single" w:color="000000" w:sz="4" w:space="0"/>
              <w:right w:val="single" w:color="000000" w:sz="4" w:space="0"/>
            </w:tcBorders>
            <w:vAlign w:val="center"/>
          </w:tcPr>
          <w:p w14:paraId="16B57966">
            <w:pPr>
              <w:spacing w:line="240" w:lineRule="auto"/>
              <w:ind w:firstLine="0" w:firstLineChars="0"/>
              <w:jc w:val="center"/>
              <w:rPr>
                <w:rFonts w:cs="Times New Roman"/>
                <w:sz w:val="21"/>
                <w:szCs w:val="21"/>
              </w:rPr>
            </w:pPr>
            <w:r>
              <w:rPr>
                <w:rFonts w:cs="Times New Roman"/>
                <w:sz w:val="21"/>
                <w:szCs w:val="21"/>
                <w:lang w:bidi="ar"/>
              </w:rPr>
              <w:t>50.00</w:t>
            </w:r>
          </w:p>
        </w:tc>
        <w:tc>
          <w:tcPr>
            <w:tcW w:w="586" w:type="pct"/>
            <w:tcBorders>
              <w:top w:val="single" w:color="000000" w:sz="4" w:space="0"/>
              <w:left w:val="single" w:color="000000" w:sz="4" w:space="0"/>
              <w:bottom w:val="single" w:color="000000" w:sz="4" w:space="0"/>
              <w:right w:val="single" w:color="000000" w:sz="4" w:space="0"/>
            </w:tcBorders>
            <w:vAlign w:val="center"/>
          </w:tcPr>
          <w:p w14:paraId="4AFEEFF5">
            <w:pPr>
              <w:spacing w:line="240" w:lineRule="auto"/>
              <w:ind w:firstLine="0" w:firstLineChars="0"/>
              <w:jc w:val="center"/>
              <w:rPr>
                <w:rFonts w:cs="Times New Roman"/>
                <w:sz w:val="21"/>
                <w:szCs w:val="21"/>
              </w:rPr>
            </w:pPr>
            <w:r>
              <w:rPr>
                <w:rFonts w:cs="Times New Roman"/>
                <w:sz w:val="21"/>
                <w:szCs w:val="21"/>
                <w:lang w:bidi="ar"/>
              </w:rPr>
              <w:t>4</w:t>
            </w:r>
          </w:p>
        </w:tc>
        <w:tc>
          <w:tcPr>
            <w:tcW w:w="1131" w:type="pct"/>
            <w:tcBorders>
              <w:top w:val="single" w:color="000000" w:sz="4" w:space="0"/>
              <w:left w:val="single" w:color="000000" w:sz="4" w:space="0"/>
              <w:bottom w:val="single" w:color="000000" w:sz="4" w:space="0"/>
              <w:right w:val="single" w:color="000000" w:sz="4" w:space="0"/>
            </w:tcBorders>
            <w:vAlign w:val="center"/>
          </w:tcPr>
          <w:p w14:paraId="314862CC">
            <w:pPr>
              <w:spacing w:line="240" w:lineRule="auto"/>
              <w:ind w:firstLine="0" w:firstLineChars="0"/>
              <w:jc w:val="center"/>
              <w:rPr>
                <w:rFonts w:cs="Times New Roman"/>
                <w:sz w:val="21"/>
                <w:szCs w:val="21"/>
              </w:rPr>
            </w:pPr>
            <w:r>
              <w:rPr>
                <w:rFonts w:cs="Times New Roman"/>
                <w:sz w:val="21"/>
                <w:szCs w:val="21"/>
                <w:lang w:bidi="ar"/>
              </w:rPr>
              <w:t>50.00</w:t>
            </w:r>
          </w:p>
        </w:tc>
      </w:tr>
      <w:tr w14:paraId="080226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95" w:type="pct"/>
            <w:vMerge w:val="continue"/>
            <w:tcBorders>
              <w:top w:val="single" w:color="000000" w:sz="4" w:space="0"/>
              <w:left w:val="single" w:color="000000" w:sz="4" w:space="0"/>
              <w:bottom w:val="single" w:color="000000" w:sz="4" w:space="0"/>
              <w:right w:val="single" w:color="000000" w:sz="4" w:space="0"/>
            </w:tcBorders>
            <w:vAlign w:val="center"/>
          </w:tcPr>
          <w:p w14:paraId="27AF9F00">
            <w:pPr>
              <w:spacing w:line="240" w:lineRule="auto"/>
              <w:ind w:firstLine="0" w:firstLineChars="0"/>
              <w:rPr>
                <w:rFonts w:hint="eastAsia" w:ascii="等线" w:hAnsi="等线" w:eastAsia="等线" w:cs="等线"/>
                <w:sz w:val="21"/>
                <w:szCs w:val="21"/>
              </w:rPr>
            </w:pPr>
          </w:p>
        </w:tc>
        <w:tc>
          <w:tcPr>
            <w:tcW w:w="385" w:type="pct"/>
            <w:tcBorders>
              <w:top w:val="single" w:color="000000" w:sz="4" w:space="0"/>
              <w:left w:val="single" w:color="000000" w:sz="4" w:space="0"/>
              <w:bottom w:val="single" w:color="000000" w:sz="4" w:space="0"/>
              <w:right w:val="single" w:color="000000" w:sz="4" w:space="0"/>
            </w:tcBorders>
            <w:vAlign w:val="center"/>
          </w:tcPr>
          <w:p w14:paraId="17738BFC">
            <w:pPr>
              <w:spacing w:line="240" w:lineRule="auto"/>
              <w:ind w:firstLine="0" w:firstLineChars="0"/>
              <w:jc w:val="center"/>
              <w:rPr>
                <w:rFonts w:cs="Times New Roman"/>
                <w:sz w:val="21"/>
                <w:szCs w:val="21"/>
              </w:rPr>
            </w:pPr>
            <w:r>
              <w:rPr>
                <w:rFonts w:hint="eastAsia" w:cs="Times New Roman"/>
                <w:sz w:val="21"/>
                <w:szCs w:val="21"/>
                <w:lang w:bidi="ar"/>
              </w:rPr>
              <w:t>属</w:t>
            </w:r>
          </w:p>
        </w:tc>
        <w:tc>
          <w:tcPr>
            <w:tcW w:w="586" w:type="pct"/>
            <w:tcBorders>
              <w:top w:val="single" w:color="000000" w:sz="4" w:space="0"/>
              <w:left w:val="single" w:color="000000" w:sz="4" w:space="0"/>
              <w:bottom w:val="single" w:color="000000" w:sz="4" w:space="0"/>
              <w:right w:val="single" w:color="000000" w:sz="4" w:space="0"/>
            </w:tcBorders>
            <w:vAlign w:val="center"/>
          </w:tcPr>
          <w:p w14:paraId="46CDF2E0">
            <w:pPr>
              <w:spacing w:line="240" w:lineRule="auto"/>
              <w:ind w:firstLine="0" w:firstLineChars="0"/>
              <w:jc w:val="center"/>
              <w:rPr>
                <w:rFonts w:cs="Times New Roman"/>
                <w:sz w:val="21"/>
                <w:szCs w:val="21"/>
              </w:rPr>
            </w:pPr>
            <w:r>
              <w:rPr>
                <w:rFonts w:cs="Times New Roman"/>
                <w:sz w:val="21"/>
                <w:szCs w:val="21"/>
                <w:lang w:bidi="ar"/>
              </w:rPr>
              <w:t>2</w:t>
            </w:r>
          </w:p>
        </w:tc>
        <w:tc>
          <w:tcPr>
            <w:tcW w:w="586" w:type="pct"/>
            <w:tcBorders>
              <w:top w:val="single" w:color="000000" w:sz="4" w:space="0"/>
              <w:left w:val="single" w:color="000000" w:sz="4" w:space="0"/>
              <w:bottom w:val="single" w:color="000000" w:sz="4" w:space="0"/>
              <w:right w:val="single" w:color="000000" w:sz="4" w:space="0"/>
            </w:tcBorders>
            <w:vAlign w:val="center"/>
          </w:tcPr>
          <w:p w14:paraId="65EB5B48">
            <w:pPr>
              <w:spacing w:line="240" w:lineRule="auto"/>
              <w:ind w:firstLine="0" w:firstLineChars="0"/>
              <w:jc w:val="center"/>
              <w:rPr>
                <w:rFonts w:cs="Times New Roman"/>
                <w:sz w:val="21"/>
                <w:szCs w:val="21"/>
              </w:rPr>
            </w:pPr>
            <w:r>
              <w:rPr>
                <w:rFonts w:cs="Times New Roman"/>
                <w:sz w:val="21"/>
                <w:szCs w:val="21"/>
                <w:lang w:bidi="ar"/>
              </w:rPr>
              <w:t>6</w:t>
            </w:r>
          </w:p>
        </w:tc>
        <w:tc>
          <w:tcPr>
            <w:tcW w:w="1131" w:type="pct"/>
            <w:tcBorders>
              <w:top w:val="single" w:color="000000" w:sz="4" w:space="0"/>
              <w:left w:val="single" w:color="000000" w:sz="4" w:space="0"/>
              <w:bottom w:val="single" w:color="000000" w:sz="4" w:space="0"/>
              <w:right w:val="single" w:color="000000" w:sz="4" w:space="0"/>
            </w:tcBorders>
            <w:vAlign w:val="center"/>
          </w:tcPr>
          <w:p w14:paraId="1119C62E">
            <w:pPr>
              <w:spacing w:line="240" w:lineRule="auto"/>
              <w:ind w:firstLine="0" w:firstLineChars="0"/>
              <w:jc w:val="center"/>
              <w:rPr>
                <w:rFonts w:cs="Times New Roman"/>
                <w:sz w:val="21"/>
                <w:szCs w:val="21"/>
              </w:rPr>
            </w:pPr>
            <w:r>
              <w:rPr>
                <w:rFonts w:cs="Times New Roman"/>
                <w:sz w:val="21"/>
                <w:szCs w:val="21"/>
                <w:lang w:bidi="ar"/>
              </w:rPr>
              <w:t>33.33</w:t>
            </w:r>
          </w:p>
        </w:tc>
        <w:tc>
          <w:tcPr>
            <w:tcW w:w="586" w:type="pct"/>
            <w:tcBorders>
              <w:top w:val="single" w:color="000000" w:sz="4" w:space="0"/>
              <w:left w:val="single" w:color="000000" w:sz="4" w:space="0"/>
              <w:bottom w:val="single" w:color="000000" w:sz="4" w:space="0"/>
              <w:right w:val="single" w:color="000000" w:sz="4" w:space="0"/>
            </w:tcBorders>
            <w:vAlign w:val="center"/>
          </w:tcPr>
          <w:p w14:paraId="24D49134">
            <w:pPr>
              <w:spacing w:line="240" w:lineRule="auto"/>
              <w:ind w:firstLine="0" w:firstLineChars="0"/>
              <w:jc w:val="center"/>
              <w:rPr>
                <w:rFonts w:cs="Times New Roman"/>
                <w:sz w:val="21"/>
                <w:szCs w:val="21"/>
              </w:rPr>
            </w:pPr>
            <w:r>
              <w:rPr>
                <w:rFonts w:cs="Times New Roman"/>
                <w:sz w:val="21"/>
                <w:szCs w:val="21"/>
                <w:lang w:bidi="ar"/>
              </w:rPr>
              <w:t>7</w:t>
            </w:r>
          </w:p>
        </w:tc>
        <w:tc>
          <w:tcPr>
            <w:tcW w:w="1131" w:type="pct"/>
            <w:tcBorders>
              <w:top w:val="single" w:color="000000" w:sz="4" w:space="0"/>
              <w:left w:val="single" w:color="000000" w:sz="4" w:space="0"/>
              <w:bottom w:val="single" w:color="000000" w:sz="4" w:space="0"/>
              <w:right w:val="single" w:color="000000" w:sz="4" w:space="0"/>
            </w:tcBorders>
            <w:vAlign w:val="center"/>
          </w:tcPr>
          <w:p w14:paraId="09D33E1A">
            <w:pPr>
              <w:spacing w:line="240" w:lineRule="auto"/>
              <w:ind w:firstLine="0" w:firstLineChars="0"/>
              <w:jc w:val="center"/>
              <w:rPr>
                <w:rFonts w:cs="Times New Roman"/>
                <w:sz w:val="21"/>
                <w:szCs w:val="21"/>
              </w:rPr>
            </w:pPr>
            <w:r>
              <w:rPr>
                <w:rFonts w:cs="Times New Roman"/>
                <w:sz w:val="21"/>
                <w:szCs w:val="21"/>
                <w:lang w:bidi="ar"/>
              </w:rPr>
              <w:t>28.57</w:t>
            </w:r>
          </w:p>
        </w:tc>
      </w:tr>
      <w:tr w14:paraId="322A00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95" w:type="pct"/>
            <w:vMerge w:val="continue"/>
            <w:tcBorders>
              <w:top w:val="single" w:color="000000" w:sz="4" w:space="0"/>
              <w:left w:val="single" w:color="000000" w:sz="4" w:space="0"/>
              <w:bottom w:val="single" w:color="000000" w:sz="4" w:space="0"/>
              <w:right w:val="single" w:color="000000" w:sz="4" w:space="0"/>
            </w:tcBorders>
            <w:vAlign w:val="center"/>
          </w:tcPr>
          <w:p w14:paraId="558B6858">
            <w:pPr>
              <w:spacing w:line="240" w:lineRule="auto"/>
              <w:ind w:firstLine="0" w:firstLineChars="0"/>
              <w:rPr>
                <w:rFonts w:hint="eastAsia" w:ascii="等线" w:hAnsi="等线" w:eastAsia="等线" w:cs="等线"/>
                <w:sz w:val="21"/>
                <w:szCs w:val="21"/>
              </w:rPr>
            </w:pPr>
          </w:p>
        </w:tc>
        <w:tc>
          <w:tcPr>
            <w:tcW w:w="385" w:type="pct"/>
            <w:tcBorders>
              <w:top w:val="single" w:color="000000" w:sz="4" w:space="0"/>
              <w:left w:val="single" w:color="000000" w:sz="4" w:space="0"/>
              <w:bottom w:val="single" w:color="000000" w:sz="4" w:space="0"/>
              <w:right w:val="single" w:color="000000" w:sz="4" w:space="0"/>
            </w:tcBorders>
            <w:vAlign w:val="center"/>
          </w:tcPr>
          <w:p w14:paraId="602ED720">
            <w:pPr>
              <w:spacing w:line="240" w:lineRule="auto"/>
              <w:ind w:firstLine="0" w:firstLineChars="0"/>
              <w:jc w:val="center"/>
              <w:rPr>
                <w:rFonts w:cs="Times New Roman"/>
                <w:sz w:val="21"/>
                <w:szCs w:val="21"/>
              </w:rPr>
            </w:pPr>
            <w:r>
              <w:rPr>
                <w:rFonts w:hint="eastAsia" w:cs="Times New Roman"/>
                <w:sz w:val="21"/>
                <w:szCs w:val="21"/>
                <w:lang w:bidi="ar"/>
              </w:rPr>
              <w:t>种</w:t>
            </w:r>
          </w:p>
        </w:tc>
        <w:tc>
          <w:tcPr>
            <w:tcW w:w="586" w:type="pct"/>
            <w:tcBorders>
              <w:top w:val="single" w:color="000000" w:sz="4" w:space="0"/>
              <w:left w:val="single" w:color="000000" w:sz="4" w:space="0"/>
              <w:bottom w:val="single" w:color="000000" w:sz="4" w:space="0"/>
              <w:right w:val="single" w:color="000000" w:sz="4" w:space="0"/>
            </w:tcBorders>
            <w:vAlign w:val="center"/>
          </w:tcPr>
          <w:p w14:paraId="7FFFDAAF">
            <w:pPr>
              <w:spacing w:line="240" w:lineRule="auto"/>
              <w:ind w:firstLine="0" w:firstLineChars="0"/>
              <w:jc w:val="center"/>
              <w:rPr>
                <w:rFonts w:cs="Times New Roman"/>
                <w:sz w:val="21"/>
                <w:szCs w:val="21"/>
              </w:rPr>
            </w:pPr>
            <w:r>
              <w:rPr>
                <w:rFonts w:cs="Times New Roman"/>
                <w:sz w:val="21"/>
                <w:szCs w:val="21"/>
                <w:lang w:bidi="ar"/>
              </w:rPr>
              <w:t>2</w:t>
            </w:r>
          </w:p>
        </w:tc>
        <w:tc>
          <w:tcPr>
            <w:tcW w:w="586" w:type="pct"/>
            <w:tcBorders>
              <w:top w:val="single" w:color="000000" w:sz="4" w:space="0"/>
              <w:left w:val="single" w:color="000000" w:sz="4" w:space="0"/>
              <w:bottom w:val="single" w:color="000000" w:sz="4" w:space="0"/>
              <w:right w:val="single" w:color="000000" w:sz="4" w:space="0"/>
            </w:tcBorders>
            <w:vAlign w:val="center"/>
          </w:tcPr>
          <w:p w14:paraId="157579A4">
            <w:pPr>
              <w:spacing w:line="240" w:lineRule="auto"/>
              <w:ind w:firstLine="0" w:firstLineChars="0"/>
              <w:jc w:val="center"/>
              <w:rPr>
                <w:rFonts w:cs="Times New Roman"/>
                <w:sz w:val="21"/>
                <w:szCs w:val="21"/>
              </w:rPr>
            </w:pPr>
            <w:r>
              <w:rPr>
                <w:rFonts w:cs="Times New Roman"/>
                <w:sz w:val="21"/>
                <w:szCs w:val="21"/>
                <w:lang w:bidi="ar"/>
              </w:rPr>
              <w:t>6</w:t>
            </w:r>
          </w:p>
        </w:tc>
        <w:tc>
          <w:tcPr>
            <w:tcW w:w="1131" w:type="pct"/>
            <w:tcBorders>
              <w:top w:val="single" w:color="000000" w:sz="4" w:space="0"/>
              <w:left w:val="single" w:color="000000" w:sz="4" w:space="0"/>
              <w:bottom w:val="single" w:color="000000" w:sz="4" w:space="0"/>
              <w:right w:val="single" w:color="000000" w:sz="4" w:space="0"/>
            </w:tcBorders>
            <w:vAlign w:val="center"/>
          </w:tcPr>
          <w:p w14:paraId="56C84B0A">
            <w:pPr>
              <w:spacing w:line="240" w:lineRule="auto"/>
              <w:ind w:firstLine="0" w:firstLineChars="0"/>
              <w:jc w:val="center"/>
              <w:rPr>
                <w:rFonts w:cs="Times New Roman"/>
                <w:sz w:val="21"/>
                <w:szCs w:val="21"/>
              </w:rPr>
            </w:pPr>
            <w:r>
              <w:rPr>
                <w:rFonts w:cs="Times New Roman"/>
                <w:sz w:val="21"/>
                <w:szCs w:val="21"/>
                <w:lang w:bidi="ar"/>
              </w:rPr>
              <w:t>33.33</w:t>
            </w:r>
          </w:p>
        </w:tc>
        <w:tc>
          <w:tcPr>
            <w:tcW w:w="586" w:type="pct"/>
            <w:tcBorders>
              <w:top w:val="single" w:color="000000" w:sz="4" w:space="0"/>
              <w:left w:val="single" w:color="000000" w:sz="4" w:space="0"/>
              <w:bottom w:val="single" w:color="000000" w:sz="4" w:space="0"/>
              <w:right w:val="single" w:color="000000" w:sz="4" w:space="0"/>
            </w:tcBorders>
            <w:vAlign w:val="center"/>
          </w:tcPr>
          <w:p w14:paraId="5CF39CE4">
            <w:pPr>
              <w:spacing w:line="240" w:lineRule="auto"/>
              <w:ind w:firstLine="0" w:firstLineChars="0"/>
              <w:jc w:val="center"/>
              <w:rPr>
                <w:rFonts w:cs="Times New Roman"/>
                <w:sz w:val="21"/>
                <w:szCs w:val="21"/>
              </w:rPr>
            </w:pPr>
            <w:r>
              <w:rPr>
                <w:rFonts w:cs="Times New Roman"/>
                <w:sz w:val="21"/>
                <w:szCs w:val="21"/>
                <w:lang w:bidi="ar"/>
              </w:rPr>
              <w:t>9</w:t>
            </w:r>
          </w:p>
        </w:tc>
        <w:tc>
          <w:tcPr>
            <w:tcW w:w="1131" w:type="pct"/>
            <w:tcBorders>
              <w:top w:val="single" w:color="000000" w:sz="4" w:space="0"/>
              <w:left w:val="single" w:color="000000" w:sz="4" w:space="0"/>
              <w:bottom w:val="single" w:color="000000" w:sz="4" w:space="0"/>
              <w:right w:val="single" w:color="000000" w:sz="4" w:space="0"/>
            </w:tcBorders>
            <w:vAlign w:val="center"/>
          </w:tcPr>
          <w:p w14:paraId="08D6C401">
            <w:pPr>
              <w:spacing w:line="240" w:lineRule="auto"/>
              <w:ind w:firstLine="0" w:firstLineChars="0"/>
              <w:jc w:val="center"/>
              <w:rPr>
                <w:rFonts w:cs="Times New Roman"/>
                <w:sz w:val="21"/>
                <w:szCs w:val="21"/>
              </w:rPr>
            </w:pPr>
            <w:r>
              <w:rPr>
                <w:rFonts w:cs="Times New Roman"/>
                <w:sz w:val="21"/>
                <w:szCs w:val="21"/>
                <w:lang w:bidi="ar"/>
              </w:rPr>
              <w:t>22.22</w:t>
            </w:r>
          </w:p>
        </w:tc>
      </w:tr>
      <w:tr w14:paraId="45F532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95" w:type="pct"/>
            <w:vMerge w:val="restart"/>
            <w:tcBorders>
              <w:top w:val="single" w:color="000000" w:sz="4" w:space="0"/>
              <w:left w:val="single" w:color="000000" w:sz="4" w:space="0"/>
              <w:bottom w:val="single" w:color="000000" w:sz="4" w:space="0"/>
              <w:right w:val="single" w:color="000000" w:sz="4" w:space="0"/>
            </w:tcBorders>
            <w:vAlign w:val="center"/>
          </w:tcPr>
          <w:p w14:paraId="105F39EE">
            <w:pPr>
              <w:spacing w:line="240" w:lineRule="auto"/>
              <w:ind w:firstLine="0" w:firstLineChars="0"/>
              <w:jc w:val="center"/>
              <w:rPr>
                <w:rFonts w:cs="Times New Roman"/>
                <w:sz w:val="21"/>
                <w:szCs w:val="21"/>
              </w:rPr>
            </w:pPr>
            <w:r>
              <w:rPr>
                <w:rFonts w:hint="eastAsia" w:cs="Times New Roman"/>
                <w:sz w:val="21"/>
                <w:szCs w:val="21"/>
                <w:lang w:bidi="ar"/>
              </w:rPr>
              <w:t>被子植物</w:t>
            </w:r>
          </w:p>
        </w:tc>
        <w:tc>
          <w:tcPr>
            <w:tcW w:w="385" w:type="pct"/>
            <w:tcBorders>
              <w:top w:val="single" w:color="000000" w:sz="4" w:space="0"/>
              <w:left w:val="single" w:color="000000" w:sz="4" w:space="0"/>
              <w:bottom w:val="single" w:color="000000" w:sz="4" w:space="0"/>
              <w:right w:val="single" w:color="000000" w:sz="4" w:space="0"/>
            </w:tcBorders>
            <w:vAlign w:val="center"/>
          </w:tcPr>
          <w:p w14:paraId="303E1B41">
            <w:pPr>
              <w:spacing w:line="240" w:lineRule="auto"/>
              <w:ind w:firstLine="0" w:firstLineChars="0"/>
              <w:jc w:val="center"/>
              <w:rPr>
                <w:rFonts w:cs="Times New Roman"/>
                <w:sz w:val="21"/>
                <w:szCs w:val="21"/>
              </w:rPr>
            </w:pPr>
            <w:r>
              <w:rPr>
                <w:rFonts w:hint="eastAsia" w:cs="Times New Roman"/>
                <w:sz w:val="21"/>
                <w:szCs w:val="21"/>
                <w:lang w:bidi="ar"/>
              </w:rPr>
              <w:t>科</w:t>
            </w:r>
          </w:p>
        </w:tc>
        <w:tc>
          <w:tcPr>
            <w:tcW w:w="586" w:type="pct"/>
            <w:tcBorders>
              <w:top w:val="single" w:color="000000" w:sz="4" w:space="0"/>
              <w:left w:val="single" w:color="000000" w:sz="4" w:space="0"/>
              <w:bottom w:val="single" w:color="000000" w:sz="4" w:space="0"/>
              <w:right w:val="single" w:color="000000" w:sz="4" w:space="0"/>
            </w:tcBorders>
            <w:vAlign w:val="center"/>
          </w:tcPr>
          <w:p w14:paraId="59A86481">
            <w:pPr>
              <w:spacing w:line="240" w:lineRule="auto"/>
              <w:ind w:firstLine="0" w:firstLineChars="0"/>
              <w:jc w:val="center"/>
              <w:rPr>
                <w:rFonts w:cs="Times New Roman"/>
                <w:sz w:val="21"/>
                <w:szCs w:val="21"/>
              </w:rPr>
            </w:pPr>
            <w:r>
              <w:rPr>
                <w:rFonts w:cs="Times New Roman"/>
                <w:sz w:val="21"/>
                <w:szCs w:val="21"/>
                <w:lang w:bidi="ar"/>
              </w:rPr>
              <w:t>91</w:t>
            </w:r>
          </w:p>
        </w:tc>
        <w:tc>
          <w:tcPr>
            <w:tcW w:w="586" w:type="pct"/>
            <w:tcBorders>
              <w:top w:val="single" w:color="000000" w:sz="4" w:space="0"/>
              <w:left w:val="single" w:color="000000" w:sz="4" w:space="0"/>
              <w:bottom w:val="single" w:color="000000" w:sz="4" w:space="0"/>
              <w:right w:val="single" w:color="000000" w:sz="4" w:space="0"/>
            </w:tcBorders>
            <w:vAlign w:val="center"/>
          </w:tcPr>
          <w:p w14:paraId="2C24852D">
            <w:pPr>
              <w:spacing w:line="240" w:lineRule="auto"/>
              <w:ind w:firstLine="0" w:firstLineChars="0"/>
              <w:jc w:val="center"/>
              <w:rPr>
                <w:rFonts w:cs="Times New Roman"/>
                <w:sz w:val="21"/>
                <w:szCs w:val="21"/>
              </w:rPr>
            </w:pPr>
            <w:r>
              <w:rPr>
                <w:rFonts w:cs="Times New Roman"/>
                <w:sz w:val="21"/>
                <w:szCs w:val="21"/>
                <w:lang w:bidi="ar"/>
              </w:rPr>
              <w:t>142</w:t>
            </w:r>
          </w:p>
        </w:tc>
        <w:tc>
          <w:tcPr>
            <w:tcW w:w="1131" w:type="pct"/>
            <w:tcBorders>
              <w:top w:val="single" w:color="000000" w:sz="4" w:space="0"/>
              <w:left w:val="single" w:color="000000" w:sz="4" w:space="0"/>
              <w:bottom w:val="single" w:color="000000" w:sz="4" w:space="0"/>
              <w:right w:val="single" w:color="000000" w:sz="4" w:space="0"/>
            </w:tcBorders>
            <w:vAlign w:val="center"/>
          </w:tcPr>
          <w:p w14:paraId="1015E0CC">
            <w:pPr>
              <w:spacing w:line="240" w:lineRule="auto"/>
              <w:ind w:firstLine="0" w:firstLineChars="0"/>
              <w:jc w:val="center"/>
              <w:rPr>
                <w:rFonts w:cs="Times New Roman"/>
                <w:sz w:val="21"/>
                <w:szCs w:val="21"/>
              </w:rPr>
            </w:pPr>
            <w:r>
              <w:rPr>
                <w:rFonts w:cs="Times New Roman"/>
                <w:sz w:val="21"/>
                <w:szCs w:val="21"/>
                <w:lang w:bidi="ar"/>
              </w:rPr>
              <w:t>64.08</w:t>
            </w:r>
          </w:p>
        </w:tc>
        <w:tc>
          <w:tcPr>
            <w:tcW w:w="586" w:type="pct"/>
            <w:tcBorders>
              <w:top w:val="single" w:color="000000" w:sz="4" w:space="0"/>
              <w:left w:val="single" w:color="000000" w:sz="4" w:space="0"/>
              <w:bottom w:val="single" w:color="000000" w:sz="4" w:space="0"/>
              <w:right w:val="single" w:color="000000" w:sz="4" w:space="0"/>
            </w:tcBorders>
            <w:vAlign w:val="center"/>
          </w:tcPr>
          <w:p w14:paraId="325DB698">
            <w:pPr>
              <w:spacing w:line="240" w:lineRule="auto"/>
              <w:ind w:firstLine="0" w:firstLineChars="0"/>
              <w:jc w:val="center"/>
              <w:rPr>
                <w:rFonts w:cs="Times New Roman"/>
                <w:sz w:val="21"/>
                <w:szCs w:val="21"/>
              </w:rPr>
            </w:pPr>
            <w:r>
              <w:rPr>
                <w:rFonts w:cs="Times New Roman"/>
                <w:sz w:val="21"/>
                <w:szCs w:val="21"/>
                <w:lang w:bidi="ar"/>
              </w:rPr>
              <w:t>146</w:t>
            </w:r>
          </w:p>
        </w:tc>
        <w:tc>
          <w:tcPr>
            <w:tcW w:w="1131" w:type="pct"/>
            <w:tcBorders>
              <w:top w:val="single" w:color="000000" w:sz="4" w:space="0"/>
              <w:left w:val="single" w:color="000000" w:sz="4" w:space="0"/>
              <w:bottom w:val="single" w:color="000000" w:sz="4" w:space="0"/>
              <w:right w:val="single" w:color="000000" w:sz="4" w:space="0"/>
            </w:tcBorders>
            <w:vAlign w:val="center"/>
          </w:tcPr>
          <w:p w14:paraId="5032BFCE">
            <w:pPr>
              <w:spacing w:line="240" w:lineRule="auto"/>
              <w:ind w:firstLine="0" w:firstLineChars="0"/>
              <w:jc w:val="center"/>
              <w:rPr>
                <w:rFonts w:cs="Times New Roman"/>
                <w:sz w:val="21"/>
                <w:szCs w:val="21"/>
              </w:rPr>
            </w:pPr>
            <w:r>
              <w:rPr>
                <w:rFonts w:cs="Times New Roman"/>
                <w:sz w:val="21"/>
                <w:szCs w:val="21"/>
                <w:lang w:bidi="ar"/>
              </w:rPr>
              <w:t>62.33</w:t>
            </w:r>
          </w:p>
        </w:tc>
      </w:tr>
      <w:tr w14:paraId="36D183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95" w:type="pct"/>
            <w:vMerge w:val="continue"/>
            <w:tcBorders>
              <w:top w:val="single" w:color="000000" w:sz="4" w:space="0"/>
              <w:left w:val="single" w:color="000000" w:sz="4" w:space="0"/>
              <w:bottom w:val="single" w:color="000000" w:sz="4" w:space="0"/>
              <w:right w:val="single" w:color="000000" w:sz="4" w:space="0"/>
            </w:tcBorders>
            <w:vAlign w:val="center"/>
          </w:tcPr>
          <w:p w14:paraId="6AABC58E">
            <w:pPr>
              <w:spacing w:line="240" w:lineRule="auto"/>
              <w:ind w:firstLine="0" w:firstLineChars="0"/>
              <w:rPr>
                <w:rFonts w:hint="eastAsia" w:ascii="等线" w:hAnsi="等线" w:eastAsia="等线" w:cs="等线"/>
                <w:sz w:val="21"/>
                <w:szCs w:val="21"/>
              </w:rPr>
            </w:pPr>
          </w:p>
        </w:tc>
        <w:tc>
          <w:tcPr>
            <w:tcW w:w="385" w:type="pct"/>
            <w:tcBorders>
              <w:top w:val="single" w:color="000000" w:sz="4" w:space="0"/>
              <w:left w:val="single" w:color="000000" w:sz="4" w:space="0"/>
              <w:bottom w:val="single" w:color="000000" w:sz="4" w:space="0"/>
              <w:right w:val="single" w:color="000000" w:sz="4" w:space="0"/>
            </w:tcBorders>
            <w:vAlign w:val="center"/>
          </w:tcPr>
          <w:p w14:paraId="5AC6D0EB">
            <w:pPr>
              <w:spacing w:line="240" w:lineRule="auto"/>
              <w:ind w:firstLine="0" w:firstLineChars="0"/>
              <w:jc w:val="center"/>
              <w:rPr>
                <w:rFonts w:cs="Times New Roman"/>
                <w:sz w:val="21"/>
                <w:szCs w:val="21"/>
              </w:rPr>
            </w:pPr>
            <w:r>
              <w:rPr>
                <w:rFonts w:hint="eastAsia" w:cs="Times New Roman"/>
                <w:sz w:val="21"/>
                <w:szCs w:val="21"/>
                <w:lang w:bidi="ar"/>
              </w:rPr>
              <w:t>属</w:t>
            </w:r>
          </w:p>
        </w:tc>
        <w:tc>
          <w:tcPr>
            <w:tcW w:w="586" w:type="pct"/>
            <w:tcBorders>
              <w:top w:val="single" w:color="000000" w:sz="4" w:space="0"/>
              <w:left w:val="single" w:color="000000" w:sz="4" w:space="0"/>
              <w:bottom w:val="single" w:color="000000" w:sz="4" w:space="0"/>
              <w:right w:val="single" w:color="000000" w:sz="4" w:space="0"/>
            </w:tcBorders>
            <w:vAlign w:val="center"/>
          </w:tcPr>
          <w:p w14:paraId="1849BCA3">
            <w:pPr>
              <w:spacing w:line="240" w:lineRule="auto"/>
              <w:ind w:firstLine="0" w:firstLineChars="0"/>
              <w:jc w:val="center"/>
              <w:rPr>
                <w:rFonts w:cs="Times New Roman"/>
                <w:sz w:val="21"/>
                <w:szCs w:val="21"/>
              </w:rPr>
            </w:pPr>
            <w:r>
              <w:rPr>
                <w:rFonts w:cs="Times New Roman"/>
                <w:sz w:val="21"/>
                <w:szCs w:val="21"/>
                <w:lang w:bidi="ar"/>
              </w:rPr>
              <w:t>272</w:t>
            </w:r>
          </w:p>
        </w:tc>
        <w:tc>
          <w:tcPr>
            <w:tcW w:w="586" w:type="pct"/>
            <w:tcBorders>
              <w:top w:val="single" w:color="000000" w:sz="4" w:space="0"/>
              <w:left w:val="single" w:color="000000" w:sz="4" w:space="0"/>
              <w:bottom w:val="single" w:color="000000" w:sz="4" w:space="0"/>
              <w:right w:val="single" w:color="000000" w:sz="4" w:space="0"/>
            </w:tcBorders>
            <w:vAlign w:val="center"/>
          </w:tcPr>
          <w:p w14:paraId="5FD676F4">
            <w:pPr>
              <w:spacing w:line="240" w:lineRule="auto"/>
              <w:ind w:firstLine="0" w:firstLineChars="0"/>
              <w:jc w:val="center"/>
              <w:rPr>
                <w:rFonts w:cs="Times New Roman"/>
                <w:sz w:val="21"/>
                <w:szCs w:val="21"/>
              </w:rPr>
            </w:pPr>
            <w:r>
              <w:rPr>
                <w:rFonts w:cs="Times New Roman"/>
                <w:sz w:val="21"/>
                <w:szCs w:val="21"/>
                <w:lang w:bidi="ar"/>
              </w:rPr>
              <w:t>577</w:t>
            </w:r>
          </w:p>
        </w:tc>
        <w:tc>
          <w:tcPr>
            <w:tcW w:w="1131" w:type="pct"/>
            <w:tcBorders>
              <w:top w:val="single" w:color="000000" w:sz="4" w:space="0"/>
              <w:left w:val="single" w:color="000000" w:sz="4" w:space="0"/>
              <w:bottom w:val="single" w:color="000000" w:sz="4" w:space="0"/>
              <w:right w:val="single" w:color="000000" w:sz="4" w:space="0"/>
            </w:tcBorders>
            <w:vAlign w:val="center"/>
          </w:tcPr>
          <w:p w14:paraId="419E6241">
            <w:pPr>
              <w:spacing w:line="240" w:lineRule="auto"/>
              <w:ind w:firstLine="0" w:firstLineChars="0"/>
              <w:jc w:val="center"/>
              <w:rPr>
                <w:rFonts w:cs="Times New Roman"/>
                <w:sz w:val="21"/>
                <w:szCs w:val="21"/>
              </w:rPr>
            </w:pPr>
            <w:r>
              <w:rPr>
                <w:rFonts w:cs="Times New Roman"/>
                <w:sz w:val="21"/>
                <w:szCs w:val="21"/>
                <w:lang w:bidi="ar"/>
              </w:rPr>
              <w:t>47.14</w:t>
            </w:r>
          </w:p>
        </w:tc>
        <w:tc>
          <w:tcPr>
            <w:tcW w:w="586" w:type="pct"/>
            <w:tcBorders>
              <w:top w:val="single" w:color="000000" w:sz="4" w:space="0"/>
              <w:left w:val="single" w:color="000000" w:sz="4" w:space="0"/>
              <w:bottom w:val="single" w:color="000000" w:sz="4" w:space="0"/>
              <w:right w:val="single" w:color="000000" w:sz="4" w:space="0"/>
            </w:tcBorders>
            <w:vAlign w:val="center"/>
          </w:tcPr>
          <w:p w14:paraId="742C3BDD">
            <w:pPr>
              <w:spacing w:line="240" w:lineRule="auto"/>
              <w:ind w:firstLine="0" w:firstLineChars="0"/>
              <w:jc w:val="center"/>
              <w:rPr>
                <w:rFonts w:cs="Times New Roman"/>
                <w:sz w:val="21"/>
                <w:szCs w:val="21"/>
              </w:rPr>
            </w:pPr>
            <w:r>
              <w:rPr>
                <w:rFonts w:cs="Times New Roman"/>
                <w:sz w:val="21"/>
                <w:szCs w:val="21"/>
                <w:lang w:bidi="ar"/>
              </w:rPr>
              <w:t>766</w:t>
            </w:r>
          </w:p>
        </w:tc>
        <w:tc>
          <w:tcPr>
            <w:tcW w:w="1131" w:type="pct"/>
            <w:tcBorders>
              <w:top w:val="single" w:color="000000" w:sz="4" w:space="0"/>
              <w:left w:val="single" w:color="000000" w:sz="4" w:space="0"/>
              <w:bottom w:val="single" w:color="000000" w:sz="4" w:space="0"/>
              <w:right w:val="single" w:color="000000" w:sz="4" w:space="0"/>
            </w:tcBorders>
            <w:vAlign w:val="center"/>
          </w:tcPr>
          <w:p w14:paraId="60018ED6">
            <w:pPr>
              <w:spacing w:line="240" w:lineRule="auto"/>
              <w:ind w:firstLine="0" w:firstLineChars="0"/>
              <w:jc w:val="center"/>
              <w:rPr>
                <w:rFonts w:cs="Times New Roman"/>
                <w:sz w:val="21"/>
                <w:szCs w:val="21"/>
              </w:rPr>
            </w:pPr>
            <w:r>
              <w:rPr>
                <w:rFonts w:cs="Times New Roman"/>
                <w:sz w:val="21"/>
                <w:szCs w:val="21"/>
                <w:lang w:bidi="ar"/>
              </w:rPr>
              <w:t>35.51</w:t>
            </w:r>
          </w:p>
        </w:tc>
      </w:tr>
      <w:tr w14:paraId="1FD2E9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95" w:type="pct"/>
            <w:vMerge w:val="continue"/>
            <w:tcBorders>
              <w:top w:val="single" w:color="000000" w:sz="4" w:space="0"/>
              <w:left w:val="single" w:color="000000" w:sz="4" w:space="0"/>
              <w:bottom w:val="single" w:color="000000" w:sz="4" w:space="0"/>
              <w:right w:val="single" w:color="000000" w:sz="4" w:space="0"/>
            </w:tcBorders>
            <w:vAlign w:val="center"/>
          </w:tcPr>
          <w:p w14:paraId="1EBB3EEC">
            <w:pPr>
              <w:spacing w:line="240" w:lineRule="auto"/>
              <w:ind w:firstLine="0" w:firstLineChars="0"/>
              <w:rPr>
                <w:rFonts w:hint="eastAsia" w:ascii="等线" w:hAnsi="等线" w:eastAsia="等线" w:cs="等线"/>
                <w:sz w:val="21"/>
                <w:szCs w:val="21"/>
              </w:rPr>
            </w:pPr>
          </w:p>
        </w:tc>
        <w:tc>
          <w:tcPr>
            <w:tcW w:w="385" w:type="pct"/>
            <w:tcBorders>
              <w:top w:val="single" w:color="000000" w:sz="4" w:space="0"/>
              <w:left w:val="single" w:color="000000" w:sz="4" w:space="0"/>
              <w:bottom w:val="single" w:color="000000" w:sz="4" w:space="0"/>
              <w:right w:val="single" w:color="000000" w:sz="4" w:space="0"/>
            </w:tcBorders>
            <w:vAlign w:val="center"/>
          </w:tcPr>
          <w:p w14:paraId="1069B496">
            <w:pPr>
              <w:spacing w:line="240" w:lineRule="auto"/>
              <w:ind w:firstLine="0" w:firstLineChars="0"/>
              <w:jc w:val="center"/>
              <w:rPr>
                <w:rFonts w:cs="Times New Roman"/>
                <w:sz w:val="21"/>
                <w:szCs w:val="21"/>
              </w:rPr>
            </w:pPr>
            <w:r>
              <w:rPr>
                <w:rFonts w:hint="eastAsia" w:cs="Times New Roman"/>
                <w:sz w:val="21"/>
                <w:szCs w:val="21"/>
                <w:lang w:bidi="ar"/>
              </w:rPr>
              <w:t>种</w:t>
            </w:r>
          </w:p>
        </w:tc>
        <w:tc>
          <w:tcPr>
            <w:tcW w:w="586" w:type="pct"/>
            <w:tcBorders>
              <w:top w:val="single" w:color="000000" w:sz="4" w:space="0"/>
              <w:left w:val="single" w:color="000000" w:sz="4" w:space="0"/>
              <w:bottom w:val="single" w:color="000000" w:sz="4" w:space="0"/>
              <w:right w:val="single" w:color="000000" w:sz="4" w:space="0"/>
            </w:tcBorders>
            <w:vAlign w:val="center"/>
          </w:tcPr>
          <w:p w14:paraId="42419198">
            <w:pPr>
              <w:spacing w:line="240" w:lineRule="auto"/>
              <w:ind w:firstLine="0" w:firstLineChars="0"/>
              <w:jc w:val="center"/>
              <w:rPr>
                <w:rFonts w:cs="Times New Roman"/>
                <w:sz w:val="21"/>
                <w:szCs w:val="21"/>
              </w:rPr>
            </w:pPr>
            <w:r>
              <w:rPr>
                <w:rFonts w:cs="Times New Roman"/>
                <w:sz w:val="21"/>
                <w:szCs w:val="21"/>
                <w:lang w:bidi="ar"/>
              </w:rPr>
              <w:t>405</w:t>
            </w:r>
          </w:p>
        </w:tc>
        <w:tc>
          <w:tcPr>
            <w:tcW w:w="586" w:type="pct"/>
            <w:tcBorders>
              <w:top w:val="single" w:color="000000" w:sz="4" w:space="0"/>
              <w:left w:val="single" w:color="000000" w:sz="4" w:space="0"/>
              <w:bottom w:val="single" w:color="000000" w:sz="4" w:space="0"/>
              <w:right w:val="single" w:color="000000" w:sz="4" w:space="0"/>
            </w:tcBorders>
            <w:vAlign w:val="center"/>
          </w:tcPr>
          <w:p w14:paraId="687B4969">
            <w:pPr>
              <w:spacing w:line="240" w:lineRule="auto"/>
              <w:ind w:firstLine="0" w:firstLineChars="0"/>
              <w:jc w:val="center"/>
              <w:rPr>
                <w:rFonts w:cs="Times New Roman"/>
                <w:sz w:val="21"/>
                <w:szCs w:val="21"/>
              </w:rPr>
            </w:pPr>
            <w:r>
              <w:rPr>
                <w:rFonts w:cs="Times New Roman"/>
                <w:sz w:val="21"/>
                <w:szCs w:val="21"/>
                <w:lang w:bidi="ar"/>
              </w:rPr>
              <w:t>1312</w:t>
            </w:r>
          </w:p>
        </w:tc>
        <w:tc>
          <w:tcPr>
            <w:tcW w:w="1131" w:type="pct"/>
            <w:tcBorders>
              <w:top w:val="single" w:color="000000" w:sz="4" w:space="0"/>
              <w:left w:val="single" w:color="000000" w:sz="4" w:space="0"/>
              <w:bottom w:val="single" w:color="000000" w:sz="4" w:space="0"/>
              <w:right w:val="single" w:color="000000" w:sz="4" w:space="0"/>
            </w:tcBorders>
            <w:vAlign w:val="center"/>
          </w:tcPr>
          <w:p w14:paraId="5CBC2F23">
            <w:pPr>
              <w:spacing w:line="240" w:lineRule="auto"/>
              <w:ind w:firstLine="0" w:firstLineChars="0"/>
              <w:jc w:val="center"/>
              <w:rPr>
                <w:rFonts w:cs="Times New Roman"/>
                <w:sz w:val="21"/>
                <w:szCs w:val="21"/>
              </w:rPr>
            </w:pPr>
            <w:r>
              <w:rPr>
                <w:rFonts w:cs="Times New Roman"/>
                <w:sz w:val="21"/>
                <w:szCs w:val="21"/>
                <w:lang w:bidi="ar"/>
              </w:rPr>
              <w:t>30.87</w:t>
            </w:r>
          </w:p>
        </w:tc>
        <w:tc>
          <w:tcPr>
            <w:tcW w:w="586" w:type="pct"/>
            <w:tcBorders>
              <w:top w:val="single" w:color="000000" w:sz="4" w:space="0"/>
              <w:left w:val="single" w:color="000000" w:sz="4" w:space="0"/>
              <w:bottom w:val="single" w:color="000000" w:sz="4" w:space="0"/>
              <w:right w:val="single" w:color="000000" w:sz="4" w:space="0"/>
            </w:tcBorders>
            <w:vAlign w:val="center"/>
          </w:tcPr>
          <w:p w14:paraId="3A69446E">
            <w:pPr>
              <w:spacing w:line="240" w:lineRule="auto"/>
              <w:ind w:firstLine="0" w:firstLineChars="0"/>
              <w:jc w:val="center"/>
              <w:rPr>
                <w:rFonts w:cs="Times New Roman"/>
                <w:sz w:val="21"/>
                <w:szCs w:val="21"/>
              </w:rPr>
            </w:pPr>
            <w:r>
              <w:rPr>
                <w:rFonts w:cs="Times New Roman"/>
                <w:sz w:val="21"/>
                <w:szCs w:val="21"/>
                <w:lang w:bidi="ar"/>
              </w:rPr>
              <w:t>1956</w:t>
            </w:r>
          </w:p>
        </w:tc>
        <w:tc>
          <w:tcPr>
            <w:tcW w:w="1131" w:type="pct"/>
            <w:tcBorders>
              <w:top w:val="single" w:color="000000" w:sz="4" w:space="0"/>
              <w:left w:val="single" w:color="000000" w:sz="4" w:space="0"/>
              <w:bottom w:val="single" w:color="000000" w:sz="4" w:space="0"/>
              <w:right w:val="single" w:color="000000" w:sz="4" w:space="0"/>
            </w:tcBorders>
            <w:vAlign w:val="center"/>
          </w:tcPr>
          <w:p w14:paraId="73730D52">
            <w:pPr>
              <w:spacing w:line="240" w:lineRule="auto"/>
              <w:ind w:firstLine="0" w:firstLineChars="0"/>
              <w:jc w:val="center"/>
              <w:rPr>
                <w:rFonts w:cs="Times New Roman"/>
                <w:sz w:val="21"/>
                <w:szCs w:val="21"/>
              </w:rPr>
            </w:pPr>
            <w:r>
              <w:rPr>
                <w:rFonts w:cs="Times New Roman"/>
                <w:sz w:val="21"/>
                <w:szCs w:val="21"/>
                <w:lang w:bidi="ar"/>
              </w:rPr>
              <w:t>20.71</w:t>
            </w:r>
          </w:p>
        </w:tc>
      </w:tr>
    </w:tbl>
    <w:p w14:paraId="794408C4">
      <w:pPr>
        <w:spacing w:line="240" w:lineRule="auto"/>
        <w:ind w:firstLine="0" w:firstLineChars="0"/>
        <w:jc w:val="center"/>
        <w:rPr>
          <w:rFonts w:cs="Times New Roman"/>
          <w:b/>
          <w:bCs/>
          <w:szCs w:val="24"/>
        </w:rPr>
      </w:pPr>
      <w:r>
        <w:rPr>
          <w:rFonts w:cs="Times New Roman"/>
          <w:b/>
          <w:szCs w:val="24"/>
          <w:lang w:bidi="ar"/>
        </w:rPr>
        <w:drawing>
          <wp:inline distT="0" distB="0" distL="114300" distR="114300">
            <wp:extent cx="2590800" cy="1809750"/>
            <wp:effectExtent l="0" t="0" r="0" b="0"/>
            <wp:docPr id="43" name="图片 9"/>
            <wp:cNvGraphicFramePr/>
            <a:graphic xmlns:a="http://schemas.openxmlformats.org/drawingml/2006/main">
              <a:graphicData uri="http://schemas.openxmlformats.org/drawingml/2006/picture">
                <pic:pic xmlns:pic="http://schemas.openxmlformats.org/drawingml/2006/picture">
                  <pic:nvPicPr>
                    <pic:cNvPr id="43" name="图片 9"/>
                    <pic:cNvPicPr/>
                  </pic:nvPicPr>
                  <pic:blipFill>
                    <a:blip r:embed="rId42"/>
                    <a:stretch>
                      <a:fillRect/>
                    </a:stretch>
                  </pic:blipFill>
                  <pic:spPr>
                    <a:xfrm>
                      <a:off x="0" y="0"/>
                      <a:ext cx="2590800" cy="1809750"/>
                    </a:xfrm>
                    <a:prstGeom prst="rect">
                      <a:avLst/>
                    </a:prstGeom>
                    <a:noFill/>
                    <a:ln>
                      <a:noFill/>
                    </a:ln>
                  </pic:spPr>
                </pic:pic>
              </a:graphicData>
            </a:graphic>
          </wp:inline>
        </w:drawing>
      </w:r>
      <w:r>
        <w:rPr>
          <w:rFonts w:cs="Times New Roman"/>
          <w:b/>
          <w:bCs/>
          <w:szCs w:val="24"/>
          <w:lang w:bidi="ar"/>
        </w:rPr>
        <w:t xml:space="preserve"> </w:t>
      </w:r>
      <w:r>
        <w:rPr>
          <w:rFonts w:cs="Times New Roman"/>
          <w:b/>
          <w:szCs w:val="24"/>
          <w:lang w:bidi="ar"/>
        </w:rPr>
        <w:drawing>
          <wp:inline distT="0" distB="0" distL="114300" distR="114300">
            <wp:extent cx="2590800" cy="1809750"/>
            <wp:effectExtent l="0" t="0" r="0" b="0"/>
            <wp:docPr id="48" name="图片 14"/>
            <wp:cNvGraphicFramePr/>
            <a:graphic xmlns:a="http://schemas.openxmlformats.org/drawingml/2006/main">
              <a:graphicData uri="http://schemas.openxmlformats.org/drawingml/2006/picture">
                <pic:pic xmlns:pic="http://schemas.openxmlformats.org/drawingml/2006/picture">
                  <pic:nvPicPr>
                    <pic:cNvPr id="48" name="图片 14"/>
                    <pic:cNvPicPr/>
                  </pic:nvPicPr>
                  <pic:blipFill>
                    <a:blip r:embed="rId43"/>
                    <a:stretch>
                      <a:fillRect/>
                    </a:stretch>
                  </pic:blipFill>
                  <pic:spPr>
                    <a:xfrm>
                      <a:off x="0" y="0"/>
                      <a:ext cx="2590800" cy="1809750"/>
                    </a:xfrm>
                    <a:prstGeom prst="rect">
                      <a:avLst/>
                    </a:prstGeom>
                    <a:noFill/>
                    <a:ln>
                      <a:noFill/>
                    </a:ln>
                  </pic:spPr>
                </pic:pic>
              </a:graphicData>
            </a:graphic>
          </wp:inline>
        </w:drawing>
      </w:r>
    </w:p>
    <w:p w14:paraId="42112E01">
      <w:pPr>
        <w:spacing w:line="240" w:lineRule="auto"/>
        <w:ind w:firstLine="0" w:firstLineChars="0"/>
        <w:jc w:val="center"/>
        <w:rPr>
          <w:rFonts w:cs="Times New Roman"/>
          <w:b/>
          <w:bCs/>
          <w:szCs w:val="21"/>
        </w:rPr>
      </w:pPr>
      <w:r>
        <w:rPr>
          <w:rFonts w:hint="eastAsia" w:cs="Times New Roman"/>
          <w:b/>
          <w:bCs/>
          <w:sz w:val="21"/>
          <w:szCs w:val="21"/>
          <w:lang w:bidi="ar"/>
        </w:rPr>
        <w:t>贯众</w:t>
      </w:r>
      <w:r>
        <w:rPr>
          <w:rFonts w:cs="Times New Roman"/>
          <w:b/>
          <w:bCs/>
          <w:sz w:val="21"/>
          <w:szCs w:val="21"/>
          <w:lang w:bidi="ar"/>
        </w:rPr>
        <w:t xml:space="preserve">                                      </w:t>
      </w:r>
      <w:r>
        <w:rPr>
          <w:rFonts w:hint="eastAsia" w:cs="Times New Roman"/>
          <w:b/>
          <w:bCs/>
          <w:sz w:val="21"/>
          <w:szCs w:val="21"/>
          <w:lang w:bidi="ar"/>
        </w:rPr>
        <w:t>马尾松</w:t>
      </w:r>
    </w:p>
    <w:p w14:paraId="281EBE4C">
      <w:pPr>
        <w:spacing w:line="240" w:lineRule="auto"/>
        <w:ind w:firstLine="0" w:firstLineChars="0"/>
        <w:jc w:val="center"/>
        <w:rPr>
          <w:rFonts w:cs="Times New Roman"/>
          <w:b/>
          <w:bCs/>
          <w:szCs w:val="24"/>
        </w:rPr>
      </w:pPr>
      <w:r>
        <w:rPr>
          <w:rFonts w:cs="Times New Roman"/>
          <w:b/>
          <w:szCs w:val="24"/>
          <w:lang w:bidi="ar"/>
        </w:rPr>
        <w:drawing>
          <wp:inline distT="0" distB="0" distL="114300" distR="114300">
            <wp:extent cx="2590800" cy="1809750"/>
            <wp:effectExtent l="0" t="0" r="0" b="0"/>
            <wp:docPr id="44" name="图片 15"/>
            <wp:cNvGraphicFramePr/>
            <a:graphic xmlns:a="http://schemas.openxmlformats.org/drawingml/2006/main">
              <a:graphicData uri="http://schemas.openxmlformats.org/drawingml/2006/picture">
                <pic:pic xmlns:pic="http://schemas.openxmlformats.org/drawingml/2006/picture">
                  <pic:nvPicPr>
                    <pic:cNvPr id="44" name="图片 15"/>
                    <pic:cNvPicPr/>
                  </pic:nvPicPr>
                  <pic:blipFill>
                    <a:blip r:embed="rId44"/>
                    <a:stretch>
                      <a:fillRect/>
                    </a:stretch>
                  </pic:blipFill>
                  <pic:spPr>
                    <a:xfrm>
                      <a:off x="0" y="0"/>
                      <a:ext cx="2590800" cy="1809750"/>
                    </a:xfrm>
                    <a:prstGeom prst="rect">
                      <a:avLst/>
                    </a:prstGeom>
                    <a:noFill/>
                    <a:ln>
                      <a:noFill/>
                    </a:ln>
                  </pic:spPr>
                </pic:pic>
              </a:graphicData>
            </a:graphic>
          </wp:inline>
        </w:drawing>
      </w:r>
      <w:r>
        <w:rPr>
          <w:rFonts w:cs="Times New Roman"/>
          <w:b/>
          <w:bCs/>
          <w:szCs w:val="24"/>
          <w:lang w:bidi="ar"/>
        </w:rPr>
        <w:t xml:space="preserve"> </w:t>
      </w:r>
      <w:r>
        <w:rPr>
          <w:rFonts w:cs="Times New Roman"/>
          <w:b/>
          <w:szCs w:val="24"/>
          <w:lang w:bidi="ar"/>
        </w:rPr>
        <w:drawing>
          <wp:inline distT="0" distB="0" distL="114300" distR="114300">
            <wp:extent cx="2590800" cy="1809750"/>
            <wp:effectExtent l="0" t="0" r="0" b="0"/>
            <wp:docPr id="39" name="图片 12"/>
            <wp:cNvGraphicFramePr/>
            <a:graphic xmlns:a="http://schemas.openxmlformats.org/drawingml/2006/main">
              <a:graphicData uri="http://schemas.openxmlformats.org/drawingml/2006/picture">
                <pic:pic xmlns:pic="http://schemas.openxmlformats.org/drawingml/2006/picture">
                  <pic:nvPicPr>
                    <pic:cNvPr id="39" name="图片 12"/>
                    <pic:cNvPicPr/>
                  </pic:nvPicPr>
                  <pic:blipFill>
                    <a:blip r:embed="rId45"/>
                    <a:stretch>
                      <a:fillRect/>
                    </a:stretch>
                  </pic:blipFill>
                  <pic:spPr>
                    <a:xfrm>
                      <a:off x="0" y="0"/>
                      <a:ext cx="2590800" cy="1809750"/>
                    </a:xfrm>
                    <a:prstGeom prst="rect">
                      <a:avLst/>
                    </a:prstGeom>
                    <a:noFill/>
                    <a:ln>
                      <a:noFill/>
                    </a:ln>
                  </pic:spPr>
                </pic:pic>
              </a:graphicData>
            </a:graphic>
          </wp:inline>
        </w:drawing>
      </w:r>
    </w:p>
    <w:p w14:paraId="3E772C98">
      <w:pPr>
        <w:spacing w:line="240" w:lineRule="auto"/>
        <w:ind w:firstLine="0" w:firstLineChars="0"/>
        <w:jc w:val="center"/>
        <w:rPr>
          <w:rFonts w:cs="Times New Roman"/>
          <w:b/>
          <w:bCs/>
          <w:szCs w:val="21"/>
        </w:rPr>
      </w:pPr>
      <w:r>
        <w:rPr>
          <w:rFonts w:hint="eastAsia" w:cs="Times New Roman"/>
          <w:b/>
          <w:bCs/>
          <w:sz w:val="21"/>
          <w:szCs w:val="21"/>
          <w:lang w:bidi="ar"/>
        </w:rPr>
        <w:t>野大豆</w:t>
      </w:r>
      <w:r>
        <w:rPr>
          <w:rFonts w:cs="Times New Roman"/>
          <w:b/>
          <w:bCs/>
          <w:sz w:val="21"/>
          <w:szCs w:val="21"/>
          <w:lang w:bidi="ar"/>
        </w:rPr>
        <w:t xml:space="preserve">                                    </w:t>
      </w:r>
      <w:r>
        <w:rPr>
          <w:rFonts w:hint="eastAsia" w:cs="Times New Roman"/>
          <w:b/>
          <w:bCs/>
          <w:sz w:val="21"/>
          <w:szCs w:val="21"/>
          <w:lang w:bidi="ar"/>
        </w:rPr>
        <w:t>莲</w:t>
      </w:r>
    </w:p>
    <w:p w14:paraId="7CF6ABE4">
      <w:pPr>
        <w:spacing w:line="500" w:lineRule="exact"/>
        <w:ind w:firstLine="482"/>
        <w:rPr>
          <w:rFonts w:cs="Times New Roman"/>
          <w:b/>
          <w:bCs/>
          <w:szCs w:val="24"/>
        </w:rPr>
      </w:pPr>
      <w:r>
        <w:rPr>
          <w:rFonts w:hint="eastAsia" w:cs="Times New Roman"/>
          <w:b/>
          <w:bCs/>
          <w:szCs w:val="24"/>
          <w:lang w:bidi="ar"/>
        </w:rPr>
        <w:t>（</w:t>
      </w:r>
      <w:r>
        <w:rPr>
          <w:rFonts w:cs="Times New Roman"/>
          <w:b/>
          <w:bCs/>
          <w:szCs w:val="24"/>
          <w:lang w:bidi="ar"/>
        </w:rPr>
        <w:t>2</w:t>
      </w:r>
      <w:r>
        <w:rPr>
          <w:rFonts w:hint="eastAsia" w:cs="Times New Roman"/>
          <w:b/>
          <w:bCs/>
          <w:szCs w:val="24"/>
          <w:lang w:bidi="ar"/>
        </w:rPr>
        <w:t>）区系组成分析</w:t>
      </w:r>
    </w:p>
    <w:p w14:paraId="1E2D4084">
      <w:pPr>
        <w:ind w:firstLine="480"/>
        <w:rPr>
          <w:rFonts w:cs="Times New Roman"/>
          <w:szCs w:val="24"/>
        </w:rPr>
      </w:pPr>
      <w:r>
        <w:rPr>
          <w:rFonts w:hint="eastAsia" w:cs="Times New Roman"/>
          <w:szCs w:val="24"/>
          <w:lang w:bidi="ar"/>
        </w:rPr>
        <w:t>根据吴征镒等（</w:t>
      </w:r>
      <w:r>
        <w:rPr>
          <w:rFonts w:cs="Times New Roman"/>
          <w:szCs w:val="24"/>
          <w:lang w:bidi="ar"/>
        </w:rPr>
        <w:t>1991</w:t>
      </w:r>
      <w:r>
        <w:rPr>
          <w:rFonts w:hint="eastAsia" w:cs="Times New Roman"/>
          <w:szCs w:val="24"/>
          <w:lang w:bidi="ar"/>
        </w:rPr>
        <w:t>，</w:t>
      </w:r>
      <w:r>
        <w:rPr>
          <w:rFonts w:cs="Times New Roman"/>
          <w:szCs w:val="24"/>
          <w:lang w:bidi="ar"/>
        </w:rPr>
        <w:t>2003</w:t>
      </w:r>
      <w:r>
        <w:rPr>
          <w:rFonts w:hint="eastAsia" w:cs="Times New Roman"/>
          <w:szCs w:val="24"/>
          <w:lang w:bidi="ar"/>
        </w:rPr>
        <w:t>）对中国种子植物属的分布区类型的划分，将茅山旅游度假区野生维管束植物的</w:t>
      </w:r>
      <w:r>
        <w:rPr>
          <w:rFonts w:cs="Times New Roman"/>
          <w:szCs w:val="24"/>
          <w:lang w:bidi="ar"/>
        </w:rPr>
        <w:t>290</w:t>
      </w:r>
      <w:r>
        <w:rPr>
          <w:rFonts w:hint="eastAsia" w:cs="Times New Roman"/>
          <w:szCs w:val="24"/>
          <w:lang w:bidi="ar"/>
        </w:rPr>
        <w:t>属划分为</w:t>
      </w:r>
      <w:r>
        <w:rPr>
          <w:rFonts w:cs="Times New Roman"/>
          <w:szCs w:val="24"/>
          <w:lang w:bidi="ar"/>
        </w:rPr>
        <w:t>14</w:t>
      </w:r>
      <w:r>
        <w:rPr>
          <w:rFonts w:hint="eastAsia" w:cs="Times New Roman"/>
          <w:szCs w:val="24"/>
          <w:lang w:bidi="ar"/>
        </w:rPr>
        <w:t>个分布区类型和</w:t>
      </w:r>
      <w:r>
        <w:rPr>
          <w:rFonts w:cs="Times New Roman"/>
          <w:szCs w:val="24"/>
          <w:lang w:bidi="ar"/>
        </w:rPr>
        <w:t>8</w:t>
      </w:r>
      <w:r>
        <w:rPr>
          <w:rFonts w:hint="eastAsia" w:cs="Times New Roman"/>
          <w:szCs w:val="24"/>
          <w:lang w:bidi="ar"/>
        </w:rPr>
        <w:t>个变型（表</w:t>
      </w:r>
      <w:r>
        <w:rPr>
          <w:rFonts w:cs="Times New Roman"/>
          <w:szCs w:val="24"/>
          <w:lang w:bidi="ar"/>
        </w:rPr>
        <w:t>3.4-2</w:t>
      </w:r>
      <w:r>
        <w:rPr>
          <w:rFonts w:hint="eastAsia" w:cs="Times New Roman"/>
          <w:szCs w:val="24"/>
          <w:lang w:bidi="ar"/>
        </w:rPr>
        <w:t>）。其中，世界分布属</w:t>
      </w:r>
      <w:r>
        <w:rPr>
          <w:rFonts w:cs="Times New Roman"/>
          <w:szCs w:val="24"/>
          <w:lang w:bidi="ar"/>
        </w:rPr>
        <w:t>49</w:t>
      </w:r>
      <w:r>
        <w:rPr>
          <w:rFonts w:hint="eastAsia" w:cs="Times New Roman"/>
          <w:szCs w:val="24"/>
          <w:lang w:bidi="ar"/>
        </w:rPr>
        <w:t>属，在植物区系统计除去不计；热带、亚热带成分</w:t>
      </w:r>
      <w:r>
        <w:rPr>
          <w:rFonts w:cs="Times New Roman"/>
          <w:szCs w:val="24"/>
          <w:lang w:bidi="ar"/>
        </w:rPr>
        <w:t>117</w:t>
      </w:r>
      <w:r>
        <w:rPr>
          <w:rFonts w:hint="eastAsia" w:cs="Times New Roman"/>
          <w:szCs w:val="24"/>
          <w:lang w:bidi="ar"/>
        </w:rPr>
        <w:t>属，占非世界分布总属数的</w:t>
      </w:r>
      <w:r>
        <w:rPr>
          <w:rFonts w:cs="Times New Roman"/>
          <w:szCs w:val="24"/>
          <w:lang w:bidi="ar"/>
        </w:rPr>
        <w:t>48.85%</w:t>
      </w:r>
      <w:r>
        <w:rPr>
          <w:rFonts w:hint="eastAsia" w:cs="Times New Roman"/>
          <w:szCs w:val="24"/>
          <w:lang w:bidi="ar"/>
        </w:rPr>
        <w:t>；温带分布属</w:t>
      </w:r>
      <w:r>
        <w:rPr>
          <w:rFonts w:cs="Times New Roman"/>
          <w:szCs w:val="24"/>
          <w:lang w:bidi="ar"/>
        </w:rPr>
        <w:t>120</w:t>
      </w:r>
      <w:r>
        <w:rPr>
          <w:rFonts w:hint="eastAsia" w:cs="Times New Roman"/>
          <w:szCs w:val="24"/>
          <w:lang w:bidi="ar"/>
        </w:rPr>
        <w:t>属，占</w:t>
      </w:r>
      <w:r>
        <w:rPr>
          <w:rFonts w:cs="Times New Roman"/>
          <w:szCs w:val="24"/>
          <w:lang w:bidi="ar"/>
        </w:rPr>
        <w:t>49.79%</w:t>
      </w:r>
      <w:r>
        <w:rPr>
          <w:rFonts w:hint="eastAsia" w:cs="Times New Roman"/>
          <w:szCs w:val="24"/>
          <w:lang w:bidi="ar"/>
        </w:rPr>
        <w:t>；另有</w:t>
      </w:r>
      <w:r>
        <w:rPr>
          <w:rFonts w:cs="Times New Roman"/>
          <w:szCs w:val="24"/>
          <w:lang w:bidi="ar"/>
        </w:rPr>
        <w:t>4</w:t>
      </w:r>
      <w:r>
        <w:rPr>
          <w:rFonts w:hint="eastAsia" w:cs="Times New Roman"/>
          <w:szCs w:val="24"/>
          <w:lang w:bidi="ar"/>
        </w:rPr>
        <w:t>属为中国特有属，占</w:t>
      </w:r>
      <w:r>
        <w:rPr>
          <w:rFonts w:cs="Times New Roman"/>
          <w:szCs w:val="24"/>
          <w:lang w:bidi="ar"/>
        </w:rPr>
        <w:t>1.66%</w:t>
      </w:r>
      <w:r>
        <w:rPr>
          <w:rFonts w:hint="eastAsia" w:cs="Times New Roman"/>
          <w:szCs w:val="24"/>
          <w:lang w:bidi="ar"/>
        </w:rPr>
        <w:t>。从属的组成成分的性质上来看，度假区热带、亚热带性质和温带性质比重相当，表现出明显的热带和温带性质的相互交叉渗透作用，同时由于自然生境较差、人为干扰严重，导致茅山旅游度假区内中国特有属非常少。</w:t>
      </w:r>
    </w:p>
    <w:p w14:paraId="4910D701">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10</w:t>
      </w:r>
      <w:r>
        <w:rPr>
          <w:rFonts w:cs="Times New Roman"/>
        </w:rPr>
        <w:t xml:space="preserve"> </w:t>
      </w:r>
      <w:r>
        <w:rPr>
          <w:rFonts w:hint="eastAsia" w:cs="Times New Roman"/>
        </w:rPr>
        <w:t>度假区维管束植物属的分布区类型</w:t>
      </w:r>
    </w:p>
    <w:tbl>
      <w:tblPr>
        <w:tblStyle w:val="25"/>
        <w:tblW w:w="0" w:type="auto"/>
        <w:tblInd w:w="9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74"/>
        <w:gridCol w:w="3601"/>
        <w:gridCol w:w="604"/>
        <w:gridCol w:w="2735"/>
      </w:tblGrid>
      <w:tr w14:paraId="7E5C2D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0" w:hRule="atLeast"/>
          <w:tblHeader/>
        </w:trPr>
        <w:tc>
          <w:tcPr>
            <w:tcW w:w="4860" w:type="dxa"/>
            <w:gridSpan w:val="2"/>
            <w:tcBorders>
              <w:top w:val="single" w:color="000000" w:sz="4" w:space="0"/>
              <w:left w:val="single" w:color="000000" w:sz="4" w:space="0"/>
              <w:bottom w:val="single" w:color="000000" w:sz="4" w:space="0"/>
              <w:right w:val="single" w:color="000000" w:sz="4" w:space="0"/>
            </w:tcBorders>
            <w:vAlign w:val="center"/>
          </w:tcPr>
          <w:p w14:paraId="26150D0B">
            <w:pPr>
              <w:spacing w:line="240" w:lineRule="auto"/>
              <w:ind w:firstLine="0" w:firstLineChars="0"/>
              <w:jc w:val="center"/>
              <w:rPr>
                <w:rFonts w:cs="Times New Roman"/>
                <w:b/>
                <w:bCs/>
                <w:szCs w:val="21"/>
              </w:rPr>
            </w:pPr>
            <w:r>
              <w:rPr>
                <w:rFonts w:hint="eastAsia" w:cs="Times New Roman"/>
                <w:b/>
                <w:bCs/>
                <w:sz w:val="21"/>
                <w:szCs w:val="21"/>
                <w:lang w:bidi="ar"/>
              </w:rPr>
              <w:t>分布区类型</w:t>
            </w:r>
          </w:p>
        </w:tc>
        <w:tc>
          <w:tcPr>
            <w:tcW w:w="604" w:type="dxa"/>
            <w:tcBorders>
              <w:top w:val="single" w:color="000000" w:sz="4" w:space="0"/>
              <w:left w:val="single" w:color="000000" w:sz="4" w:space="0"/>
              <w:bottom w:val="single" w:color="000000" w:sz="4" w:space="0"/>
              <w:right w:val="single" w:color="000000" w:sz="4" w:space="0"/>
            </w:tcBorders>
            <w:vAlign w:val="center"/>
          </w:tcPr>
          <w:p w14:paraId="10A22402">
            <w:pPr>
              <w:spacing w:line="240" w:lineRule="auto"/>
              <w:ind w:firstLine="0" w:firstLineChars="0"/>
              <w:jc w:val="center"/>
              <w:rPr>
                <w:rFonts w:cs="Times New Roman"/>
                <w:b/>
                <w:bCs/>
                <w:szCs w:val="21"/>
              </w:rPr>
            </w:pPr>
            <w:r>
              <w:rPr>
                <w:rFonts w:hint="eastAsia" w:cs="Times New Roman"/>
                <w:b/>
                <w:bCs/>
                <w:sz w:val="21"/>
                <w:szCs w:val="21"/>
                <w:lang w:bidi="ar"/>
              </w:rPr>
              <w:t>属数</w:t>
            </w:r>
          </w:p>
        </w:tc>
        <w:tc>
          <w:tcPr>
            <w:tcW w:w="2735" w:type="dxa"/>
            <w:tcBorders>
              <w:top w:val="single" w:color="000000" w:sz="4" w:space="0"/>
              <w:left w:val="single" w:color="000000" w:sz="4" w:space="0"/>
              <w:bottom w:val="single" w:color="000000" w:sz="4" w:space="0"/>
              <w:right w:val="single" w:color="000000" w:sz="4" w:space="0"/>
            </w:tcBorders>
            <w:vAlign w:val="center"/>
          </w:tcPr>
          <w:p w14:paraId="374C1F5E">
            <w:pPr>
              <w:spacing w:line="240" w:lineRule="auto"/>
              <w:ind w:firstLine="0" w:firstLineChars="0"/>
              <w:jc w:val="center"/>
              <w:rPr>
                <w:rFonts w:cs="Times New Roman"/>
                <w:b/>
                <w:bCs/>
                <w:szCs w:val="21"/>
              </w:rPr>
            </w:pPr>
            <w:r>
              <w:rPr>
                <w:rFonts w:hint="eastAsia" w:cs="Times New Roman"/>
                <w:b/>
                <w:bCs/>
                <w:sz w:val="21"/>
                <w:szCs w:val="21"/>
                <w:lang w:bidi="ar"/>
              </w:rPr>
              <w:t>占非世界属数的百分比（</w:t>
            </w:r>
            <w:r>
              <w:rPr>
                <w:rFonts w:cs="Times New Roman"/>
                <w:b/>
                <w:bCs/>
                <w:sz w:val="21"/>
                <w:szCs w:val="21"/>
                <w:lang w:bidi="ar"/>
              </w:rPr>
              <w:t>%</w:t>
            </w:r>
            <w:r>
              <w:rPr>
                <w:rFonts w:hint="eastAsia" w:cs="Times New Roman"/>
                <w:b/>
                <w:bCs/>
                <w:sz w:val="21"/>
                <w:szCs w:val="21"/>
                <w:lang w:bidi="ar"/>
              </w:rPr>
              <w:t>）</w:t>
            </w:r>
          </w:p>
        </w:tc>
      </w:tr>
      <w:tr w14:paraId="7B5BB8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31426F69">
            <w:pPr>
              <w:spacing w:line="240" w:lineRule="auto"/>
              <w:ind w:firstLine="0" w:firstLineChars="0"/>
              <w:jc w:val="center"/>
              <w:rPr>
                <w:rFonts w:cs="Times New Roman"/>
                <w:szCs w:val="21"/>
              </w:rPr>
            </w:pPr>
            <w:r>
              <w:rPr>
                <w:rFonts w:hint="eastAsia" w:cs="Times New Roman"/>
                <w:sz w:val="21"/>
                <w:szCs w:val="21"/>
                <w:lang w:bidi="ar"/>
              </w:rPr>
              <w:t>广布</w:t>
            </w:r>
          </w:p>
        </w:tc>
        <w:tc>
          <w:tcPr>
            <w:tcW w:w="3601" w:type="dxa"/>
            <w:tcBorders>
              <w:top w:val="single" w:color="000000" w:sz="4" w:space="0"/>
              <w:left w:val="single" w:color="000000" w:sz="4" w:space="0"/>
              <w:bottom w:val="single" w:color="000000" w:sz="4" w:space="0"/>
              <w:right w:val="single" w:color="000000" w:sz="4" w:space="0"/>
            </w:tcBorders>
            <w:vAlign w:val="center"/>
          </w:tcPr>
          <w:p w14:paraId="5CB8EEFA">
            <w:pPr>
              <w:spacing w:line="240" w:lineRule="auto"/>
              <w:ind w:firstLine="0" w:firstLineChars="0"/>
              <w:jc w:val="center"/>
              <w:rPr>
                <w:rFonts w:cs="Times New Roman"/>
                <w:szCs w:val="21"/>
              </w:rPr>
            </w:pPr>
            <w:r>
              <w:rPr>
                <w:rFonts w:cs="Times New Roman"/>
                <w:sz w:val="21"/>
                <w:szCs w:val="21"/>
                <w:lang w:bidi="ar"/>
              </w:rPr>
              <w:t xml:space="preserve">1. </w:t>
            </w:r>
            <w:r>
              <w:rPr>
                <w:rFonts w:hint="eastAsia" w:cs="Times New Roman"/>
                <w:sz w:val="21"/>
                <w:szCs w:val="21"/>
                <w:lang w:bidi="ar"/>
              </w:rPr>
              <w:t>世界分布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3DB4D2E0">
            <w:pPr>
              <w:spacing w:line="240" w:lineRule="auto"/>
              <w:ind w:firstLine="0" w:firstLineChars="0"/>
              <w:jc w:val="center"/>
              <w:rPr>
                <w:rFonts w:cs="Times New Roman"/>
                <w:szCs w:val="21"/>
              </w:rPr>
            </w:pPr>
            <w:r>
              <w:rPr>
                <w:rFonts w:cs="Times New Roman"/>
                <w:sz w:val="21"/>
                <w:szCs w:val="21"/>
                <w:lang w:bidi="ar"/>
              </w:rPr>
              <w:t>49</w:t>
            </w:r>
          </w:p>
        </w:tc>
        <w:tc>
          <w:tcPr>
            <w:tcW w:w="2735" w:type="dxa"/>
            <w:tcBorders>
              <w:top w:val="single" w:color="000000" w:sz="4" w:space="0"/>
              <w:left w:val="single" w:color="000000" w:sz="4" w:space="0"/>
              <w:bottom w:val="single" w:color="000000" w:sz="4" w:space="0"/>
              <w:right w:val="single" w:color="000000" w:sz="4" w:space="0"/>
            </w:tcBorders>
            <w:vAlign w:val="center"/>
          </w:tcPr>
          <w:p w14:paraId="5D0A9DFC">
            <w:pPr>
              <w:spacing w:line="240" w:lineRule="auto"/>
              <w:ind w:firstLine="0" w:firstLineChars="0"/>
              <w:jc w:val="center"/>
              <w:rPr>
                <w:rFonts w:cs="Times New Roman"/>
                <w:szCs w:val="21"/>
              </w:rPr>
            </w:pPr>
            <w:r>
              <w:rPr>
                <w:rFonts w:cs="Times New Roman"/>
                <w:sz w:val="21"/>
                <w:szCs w:val="21"/>
                <w:lang w:bidi="ar"/>
              </w:rPr>
              <w:t>-</w:t>
            </w:r>
          </w:p>
        </w:tc>
      </w:tr>
      <w:tr w14:paraId="66DFCA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restart"/>
            <w:tcBorders>
              <w:top w:val="single" w:color="000000" w:sz="4" w:space="0"/>
              <w:left w:val="single" w:color="000000" w:sz="4" w:space="0"/>
              <w:bottom w:val="single" w:color="000000" w:sz="4" w:space="0"/>
              <w:right w:val="single" w:color="000000" w:sz="4" w:space="0"/>
            </w:tcBorders>
            <w:vAlign w:val="center"/>
          </w:tcPr>
          <w:p w14:paraId="08CB35F5">
            <w:pPr>
              <w:spacing w:line="240" w:lineRule="auto"/>
              <w:ind w:firstLine="0" w:firstLineChars="0"/>
              <w:jc w:val="center"/>
              <w:rPr>
                <w:rFonts w:cs="Times New Roman"/>
                <w:szCs w:val="21"/>
              </w:rPr>
            </w:pPr>
            <w:r>
              <w:rPr>
                <w:rFonts w:hint="eastAsia" w:cs="Times New Roman"/>
                <w:sz w:val="21"/>
                <w:szCs w:val="21"/>
                <w:lang w:bidi="ar"/>
              </w:rPr>
              <w:t>热带亚热带分布</w:t>
            </w:r>
          </w:p>
        </w:tc>
        <w:tc>
          <w:tcPr>
            <w:tcW w:w="3601" w:type="dxa"/>
            <w:tcBorders>
              <w:top w:val="single" w:color="000000" w:sz="4" w:space="0"/>
              <w:left w:val="single" w:color="000000" w:sz="4" w:space="0"/>
              <w:bottom w:val="single" w:color="000000" w:sz="4" w:space="0"/>
              <w:right w:val="single" w:color="000000" w:sz="4" w:space="0"/>
            </w:tcBorders>
            <w:vAlign w:val="center"/>
          </w:tcPr>
          <w:p w14:paraId="76E19EE3">
            <w:pPr>
              <w:spacing w:line="240" w:lineRule="auto"/>
              <w:ind w:firstLine="0" w:firstLineChars="0"/>
              <w:jc w:val="center"/>
              <w:rPr>
                <w:rFonts w:cs="Times New Roman"/>
                <w:szCs w:val="21"/>
              </w:rPr>
            </w:pPr>
            <w:r>
              <w:rPr>
                <w:rFonts w:cs="Times New Roman"/>
                <w:sz w:val="21"/>
                <w:szCs w:val="21"/>
                <w:lang w:bidi="ar"/>
              </w:rPr>
              <w:t xml:space="preserve">2. </w:t>
            </w:r>
            <w:r>
              <w:rPr>
                <w:rFonts w:hint="eastAsia" w:cs="Times New Roman"/>
                <w:sz w:val="21"/>
                <w:szCs w:val="21"/>
                <w:lang w:bidi="ar"/>
              </w:rPr>
              <w:t>泛热带分布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48997515">
            <w:pPr>
              <w:spacing w:line="240" w:lineRule="auto"/>
              <w:ind w:firstLine="0" w:firstLineChars="0"/>
              <w:jc w:val="center"/>
              <w:rPr>
                <w:rFonts w:cs="Times New Roman"/>
                <w:szCs w:val="21"/>
              </w:rPr>
            </w:pPr>
            <w:r>
              <w:rPr>
                <w:rFonts w:cs="Times New Roman"/>
                <w:sz w:val="21"/>
                <w:szCs w:val="21"/>
                <w:lang w:bidi="ar"/>
              </w:rPr>
              <w:t>64</w:t>
            </w:r>
          </w:p>
        </w:tc>
        <w:tc>
          <w:tcPr>
            <w:tcW w:w="2735" w:type="dxa"/>
            <w:tcBorders>
              <w:top w:val="single" w:color="000000" w:sz="4" w:space="0"/>
              <w:left w:val="single" w:color="000000" w:sz="4" w:space="0"/>
              <w:bottom w:val="single" w:color="000000" w:sz="4" w:space="0"/>
              <w:right w:val="single" w:color="000000" w:sz="4" w:space="0"/>
            </w:tcBorders>
            <w:vAlign w:val="center"/>
          </w:tcPr>
          <w:p w14:paraId="422D81F7">
            <w:pPr>
              <w:spacing w:line="240" w:lineRule="auto"/>
              <w:ind w:firstLine="0" w:firstLineChars="0"/>
              <w:jc w:val="center"/>
              <w:rPr>
                <w:rFonts w:cs="Times New Roman"/>
                <w:szCs w:val="21"/>
              </w:rPr>
            </w:pPr>
            <w:r>
              <w:rPr>
                <w:rFonts w:cs="Times New Roman"/>
                <w:sz w:val="21"/>
                <w:szCs w:val="21"/>
                <w:lang w:bidi="ar"/>
              </w:rPr>
              <w:t>26.56</w:t>
            </w:r>
          </w:p>
        </w:tc>
      </w:tr>
      <w:tr w14:paraId="169FF6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26F48E8">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724CC1FF">
            <w:pPr>
              <w:spacing w:line="240" w:lineRule="auto"/>
              <w:ind w:firstLine="0" w:firstLineChars="0"/>
              <w:jc w:val="center"/>
              <w:rPr>
                <w:rFonts w:cs="Times New Roman"/>
                <w:szCs w:val="21"/>
              </w:rPr>
            </w:pPr>
            <w:r>
              <w:rPr>
                <w:rFonts w:cs="Times New Roman"/>
                <w:sz w:val="21"/>
                <w:szCs w:val="21"/>
                <w:lang w:bidi="ar"/>
              </w:rPr>
              <w:t xml:space="preserve">2-1. </w:t>
            </w:r>
            <w:r>
              <w:rPr>
                <w:rFonts w:hint="eastAsia" w:cs="Times New Roman"/>
                <w:sz w:val="21"/>
                <w:szCs w:val="21"/>
                <w:lang w:bidi="ar"/>
              </w:rPr>
              <w:t>热带亚洲、大洋洲和南美洲（墨西哥）间断分布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05BB4C0D">
            <w:pPr>
              <w:spacing w:line="240" w:lineRule="auto"/>
              <w:ind w:firstLine="0" w:firstLineChars="0"/>
              <w:jc w:val="center"/>
              <w:rPr>
                <w:rFonts w:cs="Times New Roman"/>
                <w:szCs w:val="21"/>
              </w:rPr>
            </w:pPr>
            <w:r>
              <w:rPr>
                <w:rFonts w:cs="Times New Roman"/>
                <w:sz w:val="21"/>
                <w:szCs w:val="21"/>
                <w:lang w:bidi="ar"/>
              </w:rPr>
              <w:t>2</w:t>
            </w:r>
          </w:p>
        </w:tc>
        <w:tc>
          <w:tcPr>
            <w:tcW w:w="2735" w:type="dxa"/>
            <w:tcBorders>
              <w:top w:val="single" w:color="000000" w:sz="4" w:space="0"/>
              <w:left w:val="single" w:color="000000" w:sz="4" w:space="0"/>
              <w:bottom w:val="single" w:color="000000" w:sz="4" w:space="0"/>
              <w:right w:val="single" w:color="000000" w:sz="4" w:space="0"/>
            </w:tcBorders>
            <w:vAlign w:val="center"/>
          </w:tcPr>
          <w:p w14:paraId="7D613E4C">
            <w:pPr>
              <w:spacing w:line="240" w:lineRule="auto"/>
              <w:ind w:firstLine="0" w:firstLineChars="0"/>
              <w:jc w:val="center"/>
              <w:rPr>
                <w:rFonts w:cs="Times New Roman"/>
                <w:szCs w:val="21"/>
              </w:rPr>
            </w:pPr>
            <w:r>
              <w:rPr>
                <w:rFonts w:cs="Times New Roman"/>
                <w:sz w:val="21"/>
                <w:szCs w:val="21"/>
                <w:lang w:bidi="ar"/>
              </w:rPr>
              <w:t>0.83</w:t>
            </w:r>
          </w:p>
        </w:tc>
      </w:tr>
      <w:tr w14:paraId="05A595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11D0ABC1">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0D59D3CC">
            <w:pPr>
              <w:spacing w:line="240" w:lineRule="auto"/>
              <w:ind w:firstLine="0" w:firstLineChars="0"/>
              <w:jc w:val="center"/>
              <w:rPr>
                <w:rFonts w:cs="Times New Roman"/>
                <w:szCs w:val="21"/>
              </w:rPr>
            </w:pPr>
            <w:r>
              <w:rPr>
                <w:rFonts w:cs="Times New Roman"/>
                <w:sz w:val="21"/>
                <w:szCs w:val="21"/>
                <w:lang w:bidi="ar"/>
              </w:rPr>
              <w:t xml:space="preserve">2-2. </w:t>
            </w:r>
            <w:r>
              <w:rPr>
                <w:rFonts w:hint="eastAsia" w:cs="Times New Roman"/>
                <w:sz w:val="21"/>
                <w:szCs w:val="21"/>
                <w:lang w:bidi="ar"/>
              </w:rPr>
              <w:t>热带亚洲、非洲和南美洲间断</w:t>
            </w:r>
          </w:p>
        </w:tc>
        <w:tc>
          <w:tcPr>
            <w:tcW w:w="604" w:type="dxa"/>
            <w:tcBorders>
              <w:top w:val="single" w:color="000000" w:sz="4" w:space="0"/>
              <w:left w:val="single" w:color="000000" w:sz="4" w:space="0"/>
              <w:bottom w:val="single" w:color="000000" w:sz="4" w:space="0"/>
              <w:right w:val="single" w:color="000000" w:sz="4" w:space="0"/>
            </w:tcBorders>
            <w:vAlign w:val="center"/>
          </w:tcPr>
          <w:p w14:paraId="4A1EF3EE">
            <w:pPr>
              <w:spacing w:line="240" w:lineRule="auto"/>
              <w:ind w:firstLine="0" w:firstLineChars="0"/>
              <w:jc w:val="center"/>
              <w:rPr>
                <w:rFonts w:cs="Times New Roman"/>
                <w:szCs w:val="21"/>
              </w:rPr>
            </w:pPr>
            <w:r>
              <w:rPr>
                <w:rFonts w:cs="Times New Roman"/>
                <w:sz w:val="21"/>
                <w:szCs w:val="21"/>
                <w:lang w:bidi="ar"/>
              </w:rPr>
              <w:t>1</w:t>
            </w:r>
          </w:p>
        </w:tc>
        <w:tc>
          <w:tcPr>
            <w:tcW w:w="2735" w:type="dxa"/>
            <w:tcBorders>
              <w:top w:val="single" w:color="000000" w:sz="4" w:space="0"/>
              <w:left w:val="single" w:color="000000" w:sz="4" w:space="0"/>
              <w:bottom w:val="single" w:color="000000" w:sz="4" w:space="0"/>
              <w:right w:val="single" w:color="000000" w:sz="4" w:space="0"/>
            </w:tcBorders>
            <w:vAlign w:val="center"/>
          </w:tcPr>
          <w:p w14:paraId="2080BB7E">
            <w:pPr>
              <w:spacing w:line="240" w:lineRule="auto"/>
              <w:ind w:firstLine="0" w:firstLineChars="0"/>
              <w:jc w:val="center"/>
              <w:rPr>
                <w:rFonts w:cs="Times New Roman"/>
                <w:szCs w:val="21"/>
              </w:rPr>
            </w:pPr>
            <w:r>
              <w:rPr>
                <w:rFonts w:cs="Times New Roman"/>
                <w:sz w:val="21"/>
                <w:szCs w:val="21"/>
                <w:lang w:bidi="ar"/>
              </w:rPr>
              <w:t>0.41</w:t>
            </w:r>
          </w:p>
        </w:tc>
      </w:tr>
      <w:tr w14:paraId="067C12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C75BE67">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0C164153">
            <w:pPr>
              <w:spacing w:line="240" w:lineRule="auto"/>
              <w:ind w:firstLine="0" w:firstLineChars="0"/>
              <w:jc w:val="center"/>
              <w:rPr>
                <w:rFonts w:cs="Times New Roman"/>
                <w:szCs w:val="21"/>
              </w:rPr>
            </w:pPr>
            <w:r>
              <w:rPr>
                <w:rFonts w:cs="Times New Roman"/>
                <w:sz w:val="21"/>
                <w:szCs w:val="21"/>
                <w:lang w:bidi="ar"/>
              </w:rPr>
              <w:t xml:space="preserve">3. </w:t>
            </w:r>
            <w:r>
              <w:rPr>
                <w:rFonts w:hint="eastAsia" w:cs="Times New Roman"/>
                <w:sz w:val="21"/>
                <w:szCs w:val="21"/>
                <w:lang w:bidi="ar"/>
              </w:rPr>
              <w:t>热带亚洲和热带美洲间断分布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4CD4C0B4">
            <w:pPr>
              <w:spacing w:line="240" w:lineRule="auto"/>
              <w:ind w:firstLine="0" w:firstLineChars="0"/>
              <w:jc w:val="center"/>
              <w:rPr>
                <w:rFonts w:cs="Times New Roman"/>
                <w:szCs w:val="21"/>
              </w:rPr>
            </w:pPr>
            <w:r>
              <w:rPr>
                <w:rFonts w:cs="Times New Roman"/>
                <w:sz w:val="21"/>
                <w:szCs w:val="21"/>
                <w:lang w:bidi="ar"/>
              </w:rPr>
              <w:t>6</w:t>
            </w:r>
          </w:p>
        </w:tc>
        <w:tc>
          <w:tcPr>
            <w:tcW w:w="2735" w:type="dxa"/>
            <w:tcBorders>
              <w:top w:val="single" w:color="000000" w:sz="4" w:space="0"/>
              <w:left w:val="single" w:color="000000" w:sz="4" w:space="0"/>
              <w:bottom w:val="single" w:color="000000" w:sz="4" w:space="0"/>
              <w:right w:val="single" w:color="000000" w:sz="4" w:space="0"/>
            </w:tcBorders>
            <w:vAlign w:val="center"/>
          </w:tcPr>
          <w:p w14:paraId="18F19209">
            <w:pPr>
              <w:spacing w:line="240" w:lineRule="auto"/>
              <w:ind w:firstLine="0" w:firstLineChars="0"/>
              <w:jc w:val="center"/>
              <w:rPr>
                <w:rFonts w:cs="Times New Roman"/>
                <w:szCs w:val="21"/>
              </w:rPr>
            </w:pPr>
            <w:r>
              <w:rPr>
                <w:rFonts w:cs="Times New Roman"/>
                <w:sz w:val="21"/>
                <w:szCs w:val="21"/>
                <w:lang w:bidi="ar"/>
              </w:rPr>
              <w:t>2.49</w:t>
            </w:r>
          </w:p>
        </w:tc>
      </w:tr>
      <w:tr w14:paraId="336836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60D216F2">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76C73081">
            <w:pPr>
              <w:spacing w:line="240" w:lineRule="auto"/>
              <w:ind w:firstLine="0" w:firstLineChars="0"/>
              <w:jc w:val="center"/>
              <w:rPr>
                <w:rFonts w:cs="Times New Roman"/>
                <w:szCs w:val="21"/>
              </w:rPr>
            </w:pPr>
            <w:r>
              <w:rPr>
                <w:rFonts w:cs="Times New Roman"/>
                <w:sz w:val="21"/>
                <w:szCs w:val="21"/>
                <w:lang w:bidi="ar"/>
              </w:rPr>
              <w:t xml:space="preserve">4. </w:t>
            </w:r>
            <w:r>
              <w:rPr>
                <w:rFonts w:hint="eastAsia" w:cs="Times New Roman"/>
                <w:sz w:val="21"/>
                <w:szCs w:val="21"/>
                <w:lang w:bidi="ar"/>
              </w:rPr>
              <w:t>旧世界热带分布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529CC8F6">
            <w:pPr>
              <w:spacing w:line="240" w:lineRule="auto"/>
              <w:ind w:firstLine="0" w:firstLineChars="0"/>
              <w:jc w:val="center"/>
              <w:rPr>
                <w:rFonts w:cs="Times New Roman"/>
                <w:szCs w:val="21"/>
              </w:rPr>
            </w:pPr>
            <w:r>
              <w:rPr>
                <w:rFonts w:cs="Times New Roman"/>
                <w:sz w:val="21"/>
                <w:szCs w:val="21"/>
                <w:lang w:bidi="ar"/>
              </w:rPr>
              <w:t>10</w:t>
            </w:r>
          </w:p>
        </w:tc>
        <w:tc>
          <w:tcPr>
            <w:tcW w:w="2735" w:type="dxa"/>
            <w:tcBorders>
              <w:top w:val="single" w:color="000000" w:sz="4" w:space="0"/>
              <w:left w:val="single" w:color="000000" w:sz="4" w:space="0"/>
              <w:bottom w:val="single" w:color="000000" w:sz="4" w:space="0"/>
              <w:right w:val="single" w:color="000000" w:sz="4" w:space="0"/>
            </w:tcBorders>
            <w:vAlign w:val="center"/>
          </w:tcPr>
          <w:p w14:paraId="63D66832">
            <w:pPr>
              <w:spacing w:line="240" w:lineRule="auto"/>
              <w:ind w:firstLine="0" w:firstLineChars="0"/>
              <w:jc w:val="center"/>
              <w:rPr>
                <w:rFonts w:cs="Times New Roman"/>
                <w:szCs w:val="21"/>
              </w:rPr>
            </w:pPr>
            <w:r>
              <w:rPr>
                <w:rFonts w:cs="Times New Roman"/>
                <w:sz w:val="21"/>
                <w:szCs w:val="21"/>
                <w:lang w:bidi="ar"/>
              </w:rPr>
              <w:t>4.15</w:t>
            </w:r>
          </w:p>
        </w:tc>
      </w:tr>
      <w:tr w14:paraId="7D6077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FFC115E">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443317F8">
            <w:pPr>
              <w:spacing w:line="240" w:lineRule="auto"/>
              <w:ind w:firstLine="0" w:firstLineChars="0"/>
              <w:jc w:val="center"/>
              <w:rPr>
                <w:rFonts w:cs="Times New Roman"/>
                <w:szCs w:val="21"/>
              </w:rPr>
            </w:pPr>
            <w:r>
              <w:rPr>
                <w:rFonts w:cs="Times New Roman"/>
                <w:sz w:val="21"/>
                <w:szCs w:val="21"/>
                <w:lang w:bidi="ar"/>
              </w:rPr>
              <w:t xml:space="preserve">4-1. </w:t>
            </w:r>
            <w:r>
              <w:rPr>
                <w:rFonts w:hint="eastAsia" w:cs="Times New Roman"/>
                <w:sz w:val="21"/>
                <w:szCs w:val="21"/>
                <w:lang w:bidi="ar"/>
              </w:rPr>
              <w:t>热带亚洲、非洲和大洋洲间断</w:t>
            </w:r>
          </w:p>
        </w:tc>
        <w:tc>
          <w:tcPr>
            <w:tcW w:w="604" w:type="dxa"/>
            <w:tcBorders>
              <w:top w:val="single" w:color="000000" w:sz="4" w:space="0"/>
              <w:left w:val="single" w:color="000000" w:sz="4" w:space="0"/>
              <w:bottom w:val="single" w:color="000000" w:sz="4" w:space="0"/>
              <w:right w:val="single" w:color="000000" w:sz="4" w:space="0"/>
            </w:tcBorders>
            <w:vAlign w:val="center"/>
          </w:tcPr>
          <w:p w14:paraId="772B503E">
            <w:pPr>
              <w:spacing w:line="240" w:lineRule="auto"/>
              <w:ind w:firstLine="0" w:firstLineChars="0"/>
              <w:jc w:val="center"/>
              <w:rPr>
                <w:rFonts w:cs="Times New Roman"/>
                <w:szCs w:val="21"/>
              </w:rPr>
            </w:pPr>
            <w:r>
              <w:rPr>
                <w:rFonts w:cs="Times New Roman"/>
                <w:sz w:val="21"/>
                <w:szCs w:val="21"/>
                <w:lang w:bidi="ar"/>
              </w:rPr>
              <w:t>3</w:t>
            </w:r>
          </w:p>
        </w:tc>
        <w:tc>
          <w:tcPr>
            <w:tcW w:w="2735" w:type="dxa"/>
            <w:tcBorders>
              <w:top w:val="single" w:color="000000" w:sz="4" w:space="0"/>
              <w:left w:val="single" w:color="000000" w:sz="4" w:space="0"/>
              <w:bottom w:val="single" w:color="000000" w:sz="4" w:space="0"/>
              <w:right w:val="single" w:color="000000" w:sz="4" w:space="0"/>
            </w:tcBorders>
            <w:vAlign w:val="center"/>
          </w:tcPr>
          <w:p w14:paraId="53B261D8">
            <w:pPr>
              <w:spacing w:line="240" w:lineRule="auto"/>
              <w:ind w:firstLine="0" w:firstLineChars="0"/>
              <w:jc w:val="center"/>
              <w:rPr>
                <w:rFonts w:cs="Times New Roman"/>
                <w:szCs w:val="21"/>
              </w:rPr>
            </w:pPr>
            <w:r>
              <w:rPr>
                <w:rFonts w:cs="Times New Roman"/>
                <w:sz w:val="21"/>
                <w:szCs w:val="21"/>
                <w:lang w:bidi="ar"/>
              </w:rPr>
              <w:t>1.24</w:t>
            </w:r>
          </w:p>
        </w:tc>
      </w:tr>
      <w:tr w14:paraId="4EF5E3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78C62644">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64B6E86D">
            <w:pPr>
              <w:spacing w:line="240" w:lineRule="auto"/>
              <w:ind w:firstLine="0" w:firstLineChars="0"/>
              <w:jc w:val="center"/>
              <w:rPr>
                <w:rFonts w:cs="Times New Roman"/>
                <w:szCs w:val="21"/>
              </w:rPr>
            </w:pPr>
            <w:r>
              <w:rPr>
                <w:rFonts w:cs="Times New Roman"/>
                <w:sz w:val="21"/>
                <w:szCs w:val="21"/>
                <w:lang w:bidi="ar"/>
              </w:rPr>
              <w:t xml:space="preserve">5. </w:t>
            </w:r>
            <w:r>
              <w:rPr>
                <w:rFonts w:hint="eastAsia" w:cs="Times New Roman"/>
                <w:sz w:val="21"/>
                <w:szCs w:val="21"/>
                <w:lang w:bidi="ar"/>
              </w:rPr>
              <w:t>热带亚洲至热带大洋洲分布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57FF82D3">
            <w:pPr>
              <w:spacing w:line="240" w:lineRule="auto"/>
              <w:ind w:firstLine="0" w:firstLineChars="0"/>
              <w:jc w:val="center"/>
              <w:rPr>
                <w:rFonts w:cs="Times New Roman"/>
                <w:szCs w:val="21"/>
              </w:rPr>
            </w:pPr>
            <w:r>
              <w:rPr>
                <w:rFonts w:cs="Times New Roman"/>
                <w:sz w:val="21"/>
                <w:szCs w:val="21"/>
                <w:lang w:bidi="ar"/>
              </w:rPr>
              <w:t>10</w:t>
            </w:r>
          </w:p>
        </w:tc>
        <w:tc>
          <w:tcPr>
            <w:tcW w:w="2735" w:type="dxa"/>
            <w:tcBorders>
              <w:top w:val="single" w:color="000000" w:sz="4" w:space="0"/>
              <w:left w:val="single" w:color="000000" w:sz="4" w:space="0"/>
              <w:bottom w:val="single" w:color="000000" w:sz="4" w:space="0"/>
              <w:right w:val="single" w:color="000000" w:sz="4" w:space="0"/>
            </w:tcBorders>
            <w:vAlign w:val="center"/>
          </w:tcPr>
          <w:p w14:paraId="004AC1B5">
            <w:pPr>
              <w:spacing w:line="240" w:lineRule="auto"/>
              <w:ind w:firstLine="0" w:firstLineChars="0"/>
              <w:jc w:val="center"/>
              <w:rPr>
                <w:rFonts w:cs="Times New Roman"/>
                <w:szCs w:val="21"/>
              </w:rPr>
            </w:pPr>
            <w:r>
              <w:rPr>
                <w:rFonts w:cs="Times New Roman"/>
                <w:sz w:val="21"/>
                <w:szCs w:val="21"/>
                <w:lang w:bidi="ar"/>
              </w:rPr>
              <w:t>4.15</w:t>
            </w:r>
          </w:p>
        </w:tc>
      </w:tr>
      <w:tr w14:paraId="1A4B5C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4A19AF9C">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5672CF9C">
            <w:pPr>
              <w:spacing w:line="240" w:lineRule="auto"/>
              <w:ind w:firstLine="0" w:firstLineChars="0"/>
              <w:jc w:val="center"/>
              <w:rPr>
                <w:rFonts w:cs="Times New Roman"/>
                <w:szCs w:val="21"/>
              </w:rPr>
            </w:pPr>
            <w:r>
              <w:rPr>
                <w:rFonts w:cs="Times New Roman"/>
                <w:sz w:val="21"/>
                <w:szCs w:val="21"/>
                <w:lang w:bidi="ar"/>
              </w:rPr>
              <w:t xml:space="preserve">6. </w:t>
            </w:r>
            <w:r>
              <w:rPr>
                <w:rFonts w:hint="eastAsia" w:cs="Times New Roman"/>
                <w:sz w:val="21"/>
                <w:szCs w:val="21"/>
                <w:lang w:bidi="ar"/>
              </w:rPr>
              <w:t>热带亚洲至热带非洲分布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0D9368A5">
            <w:pPr>
              <w:spacing w:line="240" w:lineRule="auto"/>
              <w:ind w:firstLine="0" w:firstLineChars="0"/>
              <w:jc w:val="center"/>
              <w:rPr>
                <w:rFonts w:cs="Times New Roman"/>
                <w:szCs w:val="21"/>
              </w:rPr>
            </w:pPr>
            <w:r>
              <w:rPr>
                <w:rFonts w:cs="Times New Roman"/>
                <w:sz w:val="21"/>
                <w:szCs w:val="21"/>
                <w:lang w:bidi="ar"/>
              </w:rPr>
              <w:t>8</w:t>
            </w:r>
          </w:p>
        </w:tc>
        <w:tc>
          <w:tcPr>
            <w:tcW w:w="2735" w:type="dxa"/>
            <w:tcBorders>
              <w:top w:val="single" w:color="000000" w:sz="4" w:space="0"/>
              <w:left w:val="single" w:color="000000" w:sz="4" w:space="0"/>
              <w:bottom w:val="single" w:color="000000" w:sz="4" w:space="0"/>
              <w:right w:val="single" w:color="000000" w:sz="4" w:space="0"/>
            </w:tcBorders>
            <w:vAlign w:val="center"/>
          </w:tcPr>
          <w:p w14:paraId="6B2234AA">
            <w:pPr>
              <w:spacing w:line="240" w:lineRule="auto"/>
              <w:ind w:firstLine="0" w:firstLineChars="0"/>
              <w:jc w:val="center"/>
              <w:rPr>
                <w:rFonts w:cs="Times New Roman"/>
                <w:szCs w:val="21"/>
              </w:rPr>
            </w:pPr>
            <w:r>
              <w:rPr>
                <w:rFonts w:cs="Times New Roman"/>
                <w:sz w:val="21"/>
                <w:szCs w:val="21"/>
                <w:lang w:bidi="ar"/>
              </w:rPr>
              <w:t>3.32</w:t>
            </w:r>
          </w:p>
        </w:tc>
      </w:tr>
      <w:tr w14:paraId="2358AE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583559FA">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11C9BCAA">
            <w:pPr>
              <w:spacing w:line="240" w:lineRule="auto"/>
              <w:ind w:firstLine="0" w:firstLineChars="0"/>
              <w:jc w:val="center"/>
              <w:rPr>
                <w:rFonts w:cs="Times New Roman"/>
                <w:szCs w:val="21"/>
              </w:rPr>
            </w:pPr>
            <w:r>
              <w:rPr>
                <w:rFonts w:cs="Times New Roman"/>
                <w:sz w:val="21"/>
                <w:szCs w:val="21"/>
                <w:lang w:bidi="ar"/>
              </w:rPr>
              <w:t xml:space="preserve">7. </w:t>
            </w:r>
            <w:r>
              <w:rPr>
                <w:rFonts w:hint="eastAsia" w:cs="Times New Roman"/>
                <w:sz w:val="21"/>
                <w:szCs w:val="21"/>
                <w:lang w:bidi="ar"/>
              </w:rPr>
              <w:t>热带亚洲（印度</w:t>
            </w:r>
            <w:r>
              <w:rPr>
                <w:rFonts w:cs="Times New Roman"/>
                <w:sz w:val="21"/>
                <w:szCs w:val="21"/>
                <w:lang w:bidi="ar"/>
              </w:rPr>
              <w:t>-</w:t>
            </w:r>
            <w:r>
              <w:rPr>
                <w:rFonts w:hint="eastAsia" w:cs="Times New Roman"/>
                <w:sz w:val="21"/>
                <w:szCs w:val="21"/>
                <w:lang w:bidi="ar"/>
              </w:rPr>
              <w:t>马来西亚）分布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03578E5E">
            <w:pPr>
              <w:spacing w:line="240" w:lineRule="auto"/>
              <w:ind w:firstLine="0" w:firstLineChars="0"/>
              <w:jc w:val="center"/>
              <w:rPr>
                <w:rFonts w:cs="Times New Roman"/>
                <w:szCs w:val="21"/>
              </w:rPr>
            </w:pPr>
            <w:r>
              <w:rPr>
                <w:rFonts w:cs="Times New Roman"/>
                <w:sz w:val="21"/>
                <w:szCs w:val="21"/>
                <w:lang w:bidi="ar"/>
              </w:rPr>
              <w:t>13</w:t>
            </w:r>
          </w:p>
        </w:tc>
        <w:tc>
          <w:tcPr>
            <w:tcW w:w="2735" w:type="dxa"/>
            <w:tcBorders>
              <w:top w:val="single" w:color="000000" w:sz="4" w:space="0"/>
              <w:left w:val="single" w:color="000000" w:sz="4" w:space="0"/>
              <w:bottom w:val="single" w:color="000000" w:sz="4" w:space="0"/>
              <w:right w:val="single" w:color="000000" w:sz="4" w:space="0"/>
            </w:tcBorders>
            <w:vAlign w:val="center"/>
          </w:tcPr>
          <w:p w14:paraId="50FD6000">
            <w:pPr>
              <w:spacing w:line="240" w:lineRule="auto"/>
              <w:ind w:firstLine="0" w:firstLineChars="0"/>
              <w:jc w:val="center"/>
              <w:rPr>
                <w:rFonts w:cs="Times New Roman"/>
                <w:szCs w:val="21"/>
              </w:rPr>
            </w:pPr>
            <w:r>
              <w:rPr>
                <w:rFonts w:cs="Times New Roman"/>
                <w:sz w:val="21"/>
                <w:szCs w:val="21"/>
                <w:lang w:bidi="ar"/>
              </w:rPr>
              <w:t>5.39</w:t>
            </w:r>
          </w:p>
        </w:tc>
      </w:tr>
      <w:tr w14:paraId="07CB1F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restart"/>
            <w:tcBorders>
              <w:top w:val="single" w:color="000000" w:sz="4" w:space="0"/>
              <w:left w:val="single" w:color="000000" w:sz="4" w:space="0"/>
              <w:bottom w:val="single" w:color="000000" w:sz="4" w:space="0"/>
              <w:right w:val="single" w:color="000000" w:sz="4" w:space="0"/>
            </w:tcBorders>
            <w:vAlign w:val="center"/>
          </w:tcPr>
          <w:p w14:paraId="1C1DD2F4">
            <w:pPr>
              <w:spacing w:line="240" w:lineRule="auto"/>
              <w:ind w:firstLine="0" w:firstLineChars="0"/>
              <w:jc w:val="center"/>
              <w:rPr>
                <w:rFonts w:cs="Times New Roman"/>
                <w:szCs w:val="21"/>
              </w:rPr>
            </w:pPr>
            <w:r>
              <w:rPr>
                <w:rFonts w:hint="eastAsia" w:cs="Times New Roman"/>
                <w:sz w:val="21"/>
                <w:szCs w:val="21"/>
                <w:lang w:bidi="ar"/>
              </w:rPr>
              <w:t>温带分布</w:t>
            </w:r>
          </w:p>
        </w:tc>
        <w:tc>
          <w:tcPr>
            <w:tcW w:w="3601" w:type="dxa"/>
            <w:tcBorders>
              <w:top w:val="single" w:color="000000" w:sz="4" w:space="0"/>
              <w:left w:val="single" w:color="000000" w:sz="4" w:space="0"/>
              <w:bottom w:val="single" w:color="000000" w:sz="4" w:space="0"/>
              <w:right w:val="single" w:color="000000" w:sz="4" w:space="0"/>
            </w:tcBorders>
            <w:vAlign w:val="center"/>
          </w:tcPr>
          <w:p w14:paraId="3F32AABD">
            <w:pPr>
              <w:spacing w:line="240" w:lineRule="auto"/>
              <w:ind w:firstLine="0" w:firstLineChars="0"/>
              <w:jc w:val="center"/>
              <w:rPr>
                <w:rFonts w:cs="Times New Roman"/>
                <w:szCs w:val="21"/>
              </w:rPr>
            </w:pPr>
            <w:r>
              <w:rPr>
                <w:rFonts w:cs="Times New Roman"/>
                <w:sz w:val="21"/>
                <w:szCs w:val="21"/>
                <w:lang w:bidi="ar"/>
              </w:rPr>
              <w:t xml:space="preserve">8. </w:t>
            </w:r>
            <w:r>
              <w:rPr>
                <w:rFonts w:hint="eastAsia" w:cs="Times New Roman"/>
                <w:sz w:val="21"/>
                <w:szCs w:val="21"/>
                <w:lang w:bidi="ar"/>
              </w:rPr>
              <w:t>北温带分布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15CCF52C">
            <w:pPr>
              <w:spacing w:line="240" w:lineRule="auto"/>
              <w:ind w:firstLine="0" w:firstLineChars="0"/>
              <w:jc w:val="center"/>
              <w:rPr>
                <w:rFonts w:cs="Times New Roman"/>
                <w:szCs w:val="21"/>
              </w:rPr>
            </w:pPr>
            <w:r>
              <w:rPr>
                <w:rFonts w:cs="Times New Roman"/>
                <w:sz w:val="21"/>
                <w:szCs w:val="21"/>
                <w:lang w:bidi="ar"/>
              </w:rPr>
              <w:t>41</w:t>
            </w:r>
          </w:p>
        </w:tc>
        <w:tc>
          <w:tcPr>
            <w:tcW w:w="2735" w:type="dxa"/>
            <w:tcBorders>
              <w:top w:val="single" w:color="000000" w:sz="4" w:space="0"/>
              <w:left w:val="single" w:color="000000" w:sz="4" w:space="0"/>
              <w:bottom w:val="single" w:color="000000" w:sz="4" w:space="0"/>
              <w:right w:val="single" w:color="000000" w:sz="4" w:space="0"/>
            </w:tcBorders>
            <w:vAlign w:val="center"/>
          </w:tcPr>
          <w:p w14:paraId="72E64AA9">
            <w:pPr>
              <w:spacing w:line="240" w:lineRule="auto"/>
              <w:ind w:firstLine="0" w:firstLineChars="0"/>
              <w:jc w:val="center"/>
              <w:rPr>
                <w:rFonts w:cs="Times New Roman"/>
                <w:szCs w:val="21"/>
              </w:rPr>
            </w:pPr>
            <w:r>
              <w:rPr>
                <w:rFonts w:cs="Times New Roman"/>
                <w:sz w:val="21"/>
                <w:szCs w:val="21"/>
                <w:lang w:bidi="ar"/>
              </w:rPr>
              <w:t>17.01</w:t>
            </w:r>
          </w:p>
        </w:tc>
      </w:tr>
      <w:tr w14:paraId="470E0A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1689C64D">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3E8924C8">
            <w:pPr>
              <w:spacing w:line="240" w:lineRule="auto"/>
              <w:ind w:firstLine="0" w:firstLineChars="0"/>
              <w:jc w:val="center"/>
              <w:rPr>
                <w:rFonts w:cs="Times New Roman"/>
                <w:szCs w:val="21"/>
              </w:rPr>
            </w:pPr>
            <w:r>
              <w:rPr>
                <w:rFonts w:cs="Times New Roman"/>
                <w:sz w:val="21"/>
                <w:szCs w:val="21"/>
                <w:lang w:bidi="ar"/>
              </w:rPr>
              <w:t xml:space="preserve">8-1. </w:t>
            </w:r>
            <w:r>
              <w:rPr>
                <w:rFonts w:hint="eastAsia" w:cs="Times New Roman"/>
                <w:sz w:val="21"/>
                <w:szCs w:val="21"/>
                <w:lang w:bidi="ar"/>
              </w:rPr>
              <w:t>北温带和南温带间断分布</w:t>
            </w:r>
            <w:r>
              <w:rPr>
                <w:rFonts w:cs="Times New Roman"/>
                <w:sz w:val="21"/>
                <w:szCs w:val="21"/>
                <w:lang w:bidi="ar"/>
              </w:rPr>
              <w:t>“</w:t>
            </w:r>
            <w:r>
              <w:rPr>
                <w:rFonts w:hint="eastAsia" w:cs="Times New Roman"/>
                <w:sz w:val="21"/>
                <w:szCs w:val="21"/>
                <w:lang w:bidi="ar"/>
              </w:rPr>
              <w:t>全温带</w:t>
            </w:r>
            <w:r>
              <w:rPr>
                <w:rFonts w:cs="Times New Roman"/>
                <w:sz w:val="21"/>
                <w:szCs w:val="21"/>
                <w:lang w:bidi="ar"/>
              </w:rPr>
              <w:t>”</w:t>
            </w:r>
          </w:p>
        </w:tc>
        <w:tc>
          <w:tcPr>
            <w:tcW w:w="604" w:type="dxa"/>
            <w:tcBorders>
              <w:top w:val="single" w:color="000000" w:sz="4" w:space="0"/>
              <w:left w:val="single" w:color="000000" w:sz="4" w:space="0"/>
              <w:bottom w:val="single" w:color="000000" w:sz="4" w:space="0"/>
              <w:right w:val="single" w:color="000000" w:sz="4" w:space="0"/>
            </w:tcBorders>
            <w:vAlign w:val="center"/>
          </w:tcPr>
          <w:p w14:paraId="2E54D7F6">
            <w:pPr>
              <w:spacing w:line="240" w:lineRule="auto"/>
              <w:ind w:firstLine="0" w:firstLineChars="0"/>
              <w:jc w:val="center"/>
              <w:rPr>
                <w:rFonts w:cs="Times New Roman"/>
                <w:szCs w:val="21"/>
              </w:rPr>
            </w:pPr>
            <w:r>
              <w:rPr>
                <w:rFonts w:cs="Times New Roman"/>
                <w:sz w:val="21"/>
                <w:szCs w:val="21"/>
                <w:lang w:bidi="ar"/>
              </w:rPr>
              <w:t>9</w:t>
            </w:r>
          </w:p>
        </w:tc>
        <w:tc>
          <w:tcPr>
            <w:tcW w:w="2735" w:type="dxa"/>
            <w:tcBorders>
              <w:top w:val="single" w:color="000000" w:sz="4" w:space="0"/>
              <w:left w:val="single" w:color="000000" w:sz="4" w:space="0"/>
              <w:bottom w:val="single" w:color="000000" w:sz="4" w:space="0"/>
              <w:right w:val="single" w:color="000000" w:sz="4" w:space="0"/>
            </w:tcBorders>
            <w:vAlign w:val="center"/>
          </w:tcPr>
          <w:p w14:paraId="07EDC0E7">
            <w:pPr>
              <w:spacing w:line="240" w:lineRule="auto"/>
              <w:ind w:firstLine="0" w:firstLineChars="0"/>
              <w:jc w:val="center"/>
              <w:rPr>
                <w:rFonts w:cs="Times New Roman"/>
                <w:szCs w:val="21"/>
              </w:rPr>
            </w:pPr>
            <w:r>
              <w:rPr>
                <w:rFonts w:cs="Times New Roman"/>
                <w:sz w:val="21"/>
                <w:szCs w:val="21"/>
                <w:lang w:bidi="ar"/>
              </w:rPr>
              <w:t>3.73</w:t>
            </w:r>
          </w:p>
        </w:tc>
      </w:tr>
      <w:tr w14:paraId="106077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00C12CC0">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0DDE5FCD">
            <w:pPr>
              <w:spacing w:line="240" w:lineRule="auto"/>
              <w:ind w:firstLine="0" w:firstLineChars="0"/>
              <w:jc w:val="center"/>
              <w:rPr>
                <w:rFonts w:cs="Times New Roman"/>
                <w:szCs w:val="21"/>
              </w:rPr>
            </w:pPr>
            <w:r>
              <w:rPr>
                <w:rFonts w:cs="Times New Roman"/>
                <w:sz w:val="21"/>
                <w:szCs w:val="21"/>
                <w:lang w:bidi="ar"/>
              </w:rPr>
              <w:t xml:space="preserve">9. </w:t>
            </w:r>
            <w:r>
              <w:rPr>
                <w:rFonts w:hint="eastAsia" w:cs="Times New Roman"/>
                <w:sz w:val="21"/>
                <w:szCs w:val="21"/>
                <w:lang w:bidi="ar"/>
              </w:rPr>
              <w:t>东亚和北美洲间断分布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270DE8BB">
            <w:pPr>
              <w:spacing w:line="240" w:lineRule="auto"/>
              <w:ind w:firstLine="0" w:firstLineChars="0"/>
              <w:jc w:val="center"/>
              <w:rPr>
                <w:rFonts w:cs="Times New Roman"/>
                <w:szCs w:val="21"/>
              </w:rPr>
            </w:pPr>
            <w:r>
              <w:rPr>
                <w:rFonts w:cs="Times New Roman"/>
                <w:sz w:val="21"/>
                <w:szCs w:val="21"/>
                <w:lang w:bidi="ar"/>
              </w:rPr>
              <w:t>15</w:t>
            </w:r>
          </w:p>
        </w:tc>
        <w:tc>
          <w:tcPr>
            <w:tcW w:w="2735" w:type="dxa"/>
            <w:tcBorders>
              <w:top w:val="single" w:color="000000" w:sz="4" w:space="0"/>
              <w:left w:val="single" w:color="000000" w:sz="4" w:space="0"/>
              <w:bottom w:val="single" w:color="000000" w:sz="4" w:space="0"/>
              <w:right w:val="single" w:color="000000" w:sz="4" w:space="0"/>
            </w:tcBorders>
            <w:vAlign w:val="center"/>
          </w:tcPr>
          <w:p w14:paraId="5BA6282F">
            <w:pPr>
              <w:spacing w:line="240" w:lineRule="auto"/>
              <w:ind w:firstLine="0" w:firstLineChars="0"/>
              <w:jc w:val="center"/>
              <w:rPr>
                <w:rFonts w:cs="Times New Roman"/>
                <w:szCs w:val="21"/>
              </w:rPr>
            </w:pPr>
            <w:r>
              <w:rPr>
                <w:rFonts w:cs="Times New Roman"/>
                <w:sz w:val="21"/>
                <w:szCs w:val="21"/>
                <w:lang w:bidi="ar"/>
              </w:rPr>
              <w:t>6.22</w:t>
            </w:r>
          </w:p>
        </w:tc>
      </w:tr>
      <w:tr w14:paraId="32DD7F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5FE43BB2">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51D2FBA5">
            <w:pPr>
              <w:spacing w:line="240" w:lineRule="auto"/>
              <w:ind w:firstLine="0" w:firstLineChars="0"/>
              <w:jc w:val="center"/>
              <w:rPr>
                <w:rFonts w:cs="Times New Roman"/>
                <w:szCs w:val="21"/>
              </w:rPr>
            </w:pPr>
            <w:r>
              <w:rPr>
                <w:rFonts w:cs="Times New Roman"/>
                <w:sz w:val="21"/>
                <w:szCs w:val="21"/>
                <w:lang w:bidi="ar"/>
              </w:rPr>
              <w:t xml:space="preserve">10. </w:t>
            </w:r>
            <w:r>
              <w:rPr>
                <w:rFonts w:hint="eastAsia" w:cs="Times New Roman"/>
                <w:sz w:val="21"/>
                <w:szCs w:val="21"/>
                <w:lang w:bidi="ar"/>
              </w:rPr>
              <w:t>旧世界温带</w:t>
            </w:r>
          </w:p>
        </w:tc>
        <w:tc>
          <w:tcPr>
            <w:tcW w:w="604" w:type="dxa"/>
            <w:tcBorders>
              <w:top w:val="single" w:color="000000" w:sz="4" w:space="0"/>
              <w:left w:val="single" w:color="000000" w:sz="4" w:space="0"/>
              <w:bottom w:val="single" w:color="000000" w:sz="4" w:space="0"/>
              <w:right w:val="single" w:color="000000" w:sz="4" w:space="0"/>
            </w:tcBorders>
            <w:vAlign w:val="center"/>
          </w:tcPr>
          <w:p w14:paraId="260CDCEF">
            <w:pPr>
              <w:spacing w:line="240" w:lineRule="auto"/>
              <w:ind w:firstLine="0" w:firstLineChars="0"/>
              <w:jc w:val="center"/>
              <w:rPr>
                <w:rFonts w:cs="Times New Roman"/>
                <w:szCs w:val="21"/>
              </w:rPr>
            </w:pPr>
            <w:r>
              <w:rPr>
                <w:rFonts w:cs="Times New Roman"/>
                <w:sz w:val="21"/>
                <w:szCs w:val="21"/>
                <w:lang w:bidi="ar"/>
              </w:rPr>
              <w:t>12</w:t>
            </w:r>
          </w:p>
        </w:tc>
        <w:tc>
          <w:tcPr>
            <w:tcW w:w="2735" w:type="dxa"/>
            <w:tcBorders>
              <w:top w:val="single" w:color="000000" w:sz="4" w:space="0"/>
              <w:left w:val="single" w:color="000000" w:sz="4" w:space="0"/>
              <w:bottom w:val="single" w:color="000000" w:sz="4" w:space="0"/>
              <w:right w:val="single" w:color="000000" w:sz="4" w:space="0"/>
            </w:tcBorders>
            <w:vAlign w:val="center"/>
          </w:tcPr>
          <w:p w14:paraId="56847731">
            <w:pPr>
              <w:spacing w:line="240" w:lineRule="auto"/>
              <w:ind w:firstLine="0" w:firstLineChars="0"/>
              <w:jc w:val="center"/>
              <w:rPr>
                <w:rFonts w:cs="Times New Roman"/>
                <w:szCs w:val="21"/>
              </w:rPr>
            </w:pPr>
            <w:r>
              <w:rPr>
                <w:rFonts w:cs="Times New Roman"/>
                <w:sz w:val="21"/>
                <w:szCs w:val="21"/>
                <w:lang w:bidi="ar"/>
              </w:rPr>
              <w:t>4.98</w:t>
            </w:r>
          </w:p>
        </w:tc>
      </w:tr>
      <w:tr w14:paraId="29769D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767AA045">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596367C2">
            <w:pPr>
              <w:spacing w:line="240" w:lineRule="auto"/>
              <w:ind w:firstLine="0" w:firstLineChars="0"/>
              <w:jc w:val="center"/>
              <w:rPr>
                <w:rFonts w:cs="Times New Roman"/>
                <w:szCs w:val="21"/>
              </w:rPr>
            </w:pPr>
            <w:r>
              <w:rPr>
                <w:rFonts w:cs="Times New Roman"/>
                <w:sz w:val="21"/>
                <w:szCs w:val="21"/>
                <w:lang w:bidi="ar"/>
              </w:rPr>
              <w:t xml:space="preserve">10-1. </w:t>
            </w:r>
            <w:r>
              <w:rPr>
                <w:rFonts w:hint="eastAsia" w:cs="Times New Roman"/>
                <w:sz w:val="21"/>
                <w:szCs w:val="21"/>
                <w:lang w:bidi="ar"/>
              </w:rPr>
              <w:t>地中海、西亚和东亚间断</w:t>
            </w:r>
          </w:p>
        </w:tc>
        <w:tc>
          <w:tcPr>
            <w:tcW w:w="604" w:type="dxa"/>
            <w:tcBorders>
              <w:top w:val="single" w:color="000000" w:sz="4" w:space="0"/>
              <w:left w:val="single" w:color="000000" w:sz="4" w:space="0"/>
              <w:bottom w:val="single" w:color="000000" w:sz="4" w:space="0"/>
              <w:right w:val="single" w:color="000000" w:sz="4" w:space="0"/>
            </w:tcBorders>
            <w:vAlign w:val="center"/>
          </w:tcPr>
          <w:p w14:paraId="55905E82">
            <w:pPr>
              <w:spacing w:line="240" w:lineRule="auto"/>
              <w:ind w:firstLine="0" w:firstLineChars="0"/>
              <w:jc w:val="center"/>
              <w:rPr>
                <w:rFonts w:cs="Times New Roman"/>
                <w:szCs w:val="21"/>
              </w:rPr>
            </w:pPr>
            <w:r>
              <w:rPr>
                <w:rFonts w:cs="Times New Roman"/>
                <w:sz w:val="21"/>
                <w:szCs w:val="21"/>
                <w:lang w:bidi="ar"/>
              </w:rPr>
              <w:t>5</w:t>
            </w:r>
          </w:p>
        </w:tc>
        <w:tc>
          <w:tcPr>
            <w:tcW w:w="2735" w:type="dxa"/>
            <w:tcBorders>
              <w:top w:val="single" w:color="000000" w:sz="4" w:space="0"/>
              <w:left w:val="single" w:color="000000" w:sz="4" w:space="0"/>
              <w:bottom w:val="single" w:color="000000" w:sz="4" w:space="0"/>
              <w:right w:val="single" w:color="000000" w:sz="4" w:space="0"/>
            </w:tcBorders>
            <w:vAlign w:val="center"/>
          </w:tcPr>
          <w:p w14:paraId="1E8683AF">
            <w:pPr>
              <w:spacing w:line="240" w:lineRule="auto"/>
              <w:ind w:firstLine="0" w:firstLineChars="0"/>
              <w:jc w:val="center"/>
              <w:rPr>
                <w:rFonts w:cs="Times New Roman"/>
                <w:szCs w:val="21"/>
              </w:rPr>
            </w:pPr>
            <w:r>
              <w:rPr>
                <w:rFonts w:cs="Times New Roman"/>
                <w:sz w:val="21"/>
                <w:szCs w:val="21"/>
                <w:lang w:bidi="ar"/>
              </w:rPr>
              <w:t>2.07</w:t>
            </w:r>
          </w:p>
        </w:tc>
      </w:tr>
      <w:tr w14:paraId="311A2E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46974BA6">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353DF240">
            <w:pPr>
              <w:spacing w:line="240" w:lineRule="auto"/>
              <w:ind w:firstLine="0" w:firstLineChars="0"/>
              <w:jc w:val="center"/>
              <w:rPr>
                <w:rFonts w:cs="Times New Roman"/>
                <w:szCs w:val="21"/>
              </w:rPr>
            </w:pPr>
            <w:r>
              <w:rPr>
                <w:rFonts w:cs="Times New Roman"/>
                <w:sz w:val="21"/>
                <w:szCs w:val="21"/>
                <w:lang w:bidi="ar"/>
              </w:rPr>
              <w:t xml:space="preserve">10-2. </w:t>
            </w:r>
            <w:r>
              <w:rPr>
                <w:rFonts w:hint="eastAsia" w:cs="Times New Roman"/>
                <w:sz w:val="21"/>
                <w:szCs w:val="21"/>
                <w:lang w:bidi="ar"/>
              </w:rPr>
              <w:t>欧亚和南部非洲间断</w:t>
            </w:r>
          </w:p>
        </w:tc>
        <w:tc>
          <w:tcPr>
            <w:tcW w:w="604" w:type="dxa"/>
            <w:tcBorders>
              <w:top w:val="single" w:color="000000" w:sz="4" w:space="0"/>
              <w:left w:val="single" w:color="000000" w:sz="4" w:space="0"/>
              <w:bottom w:val="single" w:color="000000" w:sz="4" w:space="0"/>
              <w:right w:val="single" w:color="000000" w:sz="4" w:space="0"/>
            </w:tcBorders>
            <w:vAlign w:val="center"/>
          </w:tcPr>
          <w:p w14:paraId="24835E03">
            <w:pPr>
              <w:spacing w:line="240" w:lineRule="auto"/>
              <w:ind w:firstLine="0" w:firstLineChars="0"/>
              <w:jc w:val="center"/>
              <w:rPr>
                <w:rFonts w:cs="Times New Roman"/>
                <w:szCs w:val="21"/>
              </w:rPr>
            </w:pPr>
            <w:r>
              <w:rPr>
                <w:rFonts w:cs="Times New Roman"/>
                <w:sz w:val="21"/>
                <w:szCs w:val="21"/>
                <w:lang w:bidi="ar"/>
              </w:rPr>
              <w:t>3</w:t>
            </w:r>
          </w:p>
        </w:tc>
        <w:tc>
          <w:tcPr>
            <w:tcW w:w="2735" w:type="dxa"/>
            <w:tcBorders>
              <w:top w:val="single" w:color="000000" w:sz="4" w:space="0"/>
              <w:left w:val="single" w:color="000000" w:sz="4" w:space="0"/>
              <w:bottom w:val="single" w:color="000000" w:sz="4" w:space="0"/>
              <w:right w:val="single" w:color="000000" w:sz="4" w:space="0"/>
            </w:tcBorders>
            <w:vAlign w:val="center"/>
          </w:tcPr>
          <w:p w14:paraId="5EBA6DFB">
            <w:pPr>
              <w:spacing w:line="240" w:lineRule="auto"/>
              <w:ind w:firstLine="0" w:firstLineChars="0"/>
              <w:jc w:val="center"/>
              <w:rPr>
                <w:rFonts w:cs="Times New Roman"/>
                <w:szCs w:val="21"/>
              </w:rPr>
            </w:pPr>
            <w:r>
              <w:rPr>
                <w:rFonts w:cs="Times New Roman"/>
                <w:sz w:val="21"/>
                <w:szCs w:val="21"/>
                <w:lang w:bidi="ar"/>
              </w:rPr>
              <w:t>1.24</w:t>
            </w:r>
          </w:p>
        </w:tc>
      </w:tr>
      <w:tr w14:paraId="0BB617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547D32F5">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6218BCDD">
            <w:pPr>
              <w:spacing w:line="240" w:lineRule="auto"/>
              <w:ind w:firstLine="0" w:firstLineChars="0"/>
              <w:jc w:val="center"/>
              <w:rPr>
                <w:rFonts w:cs="Times New Roman"/>
                <w:szCs w:val="21"/>
              </w:rPr>
            </w:pPr>
            <w:r>
              <w:rPr>
                <w:rFonts w:cs="Times New Roman"/>
                <w:sz w:val="21"/>
                <w:szCs w:val="21"/>
                <w:lang w:bidi="ar"/>
              </w:rPr>
              <w:t xml:space="preserve">11. </w:t>
            </w:r>
            <w:r>
              <w:rPr>
                <w:rFonts w:hint="eastAsia" w:cs="Times New Roman"/>
                <w:sz w:val="21"/>
                <w:szCs w:val="21"/>
                <w:lang w:bidi="ar"/>
              </w:rPr>
              <w:t>温带亚洲分布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6A125EA6">
            <w:pPr>
              <w:spacing w:line="240" w:lineRule="auto"/>
              <w:ind w:firstLine="0" w:firstLineChars="0"/>
              <w:jc w:val="center"/>
              <w:rPr>
                <w:rFonts w:cs="Times New Roman"/>
                <w:szCs w:val="21"/>
              </w:rPr>
            </w:pPr>
            <w:r>
              <w:rPr>
                <w:rFonts w:cs="Times New Roman"/>
                <w:sz w:val="21"/>
                <w:szCs w:val="21"/>
                <w:lang w:bidi="ar"/>
              </w:rPr>
              <w:t>3</w:t>
            </w:r>
          </w:p>
        </w:tc>
        <w:tc>
          <w:tcPr>
            <w:tcW w:w="2735" w:type="dxa"/>
            <w:tcBorders>
              <w:top w:val="single" w:color="000000" w:sz="4" w:space="0"/>
              <w:left w:val="single" w:color="000000" w:sz="4" w:space="0"/>
              <w:bottom w:val="single" w:color="000000" w:sz="4" w:space="0"/>
              <w:right w:val="single" w:color="000000" w:sz="4" w:space="0"/>
            </w:tcBorders>
            <w:vAlign w:val="center"/>
          </w:tcPr>
          <w:p w14:paraId="5DC5E384">
            <w:pPr>
              <w:spacing w:line="240" w:lineRule="auto"/>
              <w:ind w:firstLine="0" w:firstLineChars="0"/>
              <w:jc w:val="center"/>
              <w:rPr>
                <w:rFonts w:cs="Times New Roman"/>
                <w:szCs w:val="21"/>
              </w:rPr>
            </w:pPr>
            <w:r>
              <w:rPr>
                <w:rFonts w:cs="Times New Roman"/>
                <w:sz w:val="21"/>
                <w:szCs w:val="21"/>
                <w:lang w:bidi="ar"/>
              </w:rPr>
              <w:t>1.24</w:t>
            </w:r>
          </w:p>
        </w:tc>
      </w:tr>
      <w:tr w14:paraId="2C22C2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63A87801">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51109D72">
            <w:pPr>
              <w:spacing w:line="240" w:lineRule="auto"/>
              <w:ind w:firstLine="0" w:firstLineChars="0"/>
              <w:jc w:val="center"/>
              <w:rPr>
                <w:rFonts w:cs="Times New Roman"/>
                <w:szCs w:val="21"/>
              </w:rPr>
            </w:pPr>
            <w:r>
              <w:rPr>
                <w:rFonts w:cs="Times New Roman"/>
                <w:sz w:val="21"/>
                <w:szCs w:val="21"/>
                <w:lang w:bidi="ar"/>
              </w:rPr>
              <w:t xml:space="preserve">12-1. </w:t>
            </w:r>
            <w:r>
              <w:rPr>
                <w:rFonts w:hint="eastAsia" w:cs="Times New Roman"/>
                <w:sz w:val="21"/>
                <w:szCs w:val="21"/>
                <w:lang w:bidi="ar"/>
              </w:rPr>
              <w:t>地中海至温带、热带亚洲，大洋洲和南美洲间断</w:t>
            </w:r>
          </w:p>
        </w:tc>
        <w:tc>
          <w:tcPr>
            <w:tcW w:w="604" w:type="dxa"/>
            <w:tcBorders>
              <w:top w:val="single" w:color="000000" w:sz="4" w:space="0"/>
              <w:left w:val="single" w:color="000000" w:sz="4" w:space="0"/>
              <w:bottom w:val="single" w:color="000000" w:sz="4" w:space="0"/>
              <w:right w:val="single" w:color="000000" w:sz="4" w:space="0"/>
            </w:tcBorders>
            <w:vAlign w:val="center"/>
          </w:tcPr>
          <w:p w14:paraId="05750B83">
            <w:pPr>
              <w:spacing w:line="240" w:lineRule="auto"/>
              <w:ind w:firstLine="0" w:firstLineChars="0"/>
              <w:jc w:val="center"/>
              <w:rPr>
                <w:rFonts w:cs="Times New Roman"/>
                <w:szCs w:val="21"/>
              </w:rPr>
            </w:pPr>
            <w:r>
              <w:rPr>
                <w:rFonts w:cs="Times New Roman"/>
                <w:sz w:val="21"/>
                <w:szCs w:val="21"/>
                <w:lang w:bidi="ar"/>
              </w:rPr>
              <w:t>1</w:t>
            </w:r>
          </w:p>
        </w:tc>
        <w:tc>
          <w:tcPr>
            <w:tcW w:w="2735" w:type="dxa"/>
            <w:tcBorders>
              <w:top w:val="single" w:color="000000" w:sz="4" w:space="0"/>
              <w:left w:val="single" w:color="000000" w:sz="4" w:space="0"/>
              <w:bottom w:val="single" w:color="000000" w:sz="4" w:space="0"/>
              <w:right w:val="single" w:color="000000" w:sz="4" w:space="0"/>
            </w:tcBorders>
            <w:vAlign w:val="center"/>
          </w:tcPr>
          <w:p w14:paraId="7647660C">
            <w:pPr>
              <w:spacing w:line="240" w:lineRule="auto"/>
              <w:ind w:firstLine="0" w:firstLineChars="0"/>
              <w:jc w:val="center"/>
              <w:rPr>
                <w:rFonts w:cs="Times New Roman"/>
                <w:szCs w:val="21"/>
              </w:rPr>
            </w:pPr>
            <w:r>
              <w:rPr>
                <w:rFonts w:cs="Times New Roman"/>
                <w:sz w:val="21"/>
                <w:szCs w:val="21"/>
                <w:lang w:bidi="ar"/>
              </w:rPr>
              <w:t>0.41</w:t>
            </w:r>
          </w:p>
        </w:tc>
      </w:tr>
      <w:tr w14:paraId="56A2E1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4C986121">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0CD31857">
            <w:pPr>
              <w:spacing w:line="240" w:lineRule="auto"/>
              <w:ind w:firstLine="0" w:firstLineChars="0"/>
              <w:jc w:val="center"/>
              <w:rPr>
                <w:rFonts w:cs="Times New Roman"/>
                <w:szCs w:val="21"/>
              </w:rPr>
            </w:pPr>
            <w:r>
              <w:rPr>
                <w:rFonts w:cs="Times New Roman"/>
                <w:sz w:val="21"/>
                <w:szCs w:val="21"/>
                <w:lang w:bidi="ar"/>
              </w:rPr>
              <w:t xml:space="preserve">13. </w:t>
            </w:r>
            <w:r>
              <w:rPr>
                <w:rFonts w:hint="eastAsia" w:cs="Times New Roman"/>
                <w:sz w:val="21"/>
                <w:szCs w:val="21"/>
                <w:lang w:bidi="ar"/>
              </w:rPr>
              <w:t>东亚分布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195983EB">
            <w:pPr>
              <w:spacing w:line="240" w:lineRule="auto"/>
              <w:ind w:firstLine="0" w:firstLineChars="0"/>
              <w:jc w:val="center"/>
              <w:rPr>
                <w:rFonts w:cs="Times New Roman"/>
                <w:szCs w:val="21"/>
              </w:rPr>
            </w:pPr>
            <w:r>
              <w:rPr>
                <w:rFonts w:cs="Times New Roman"/>
                <w:sz w:val="21"/>
                <w:szCs w:val="21"/>
                <w:lang w:bidi="ar"/>
              </w:rPr>
              <w:t>17</w:t>
            </w:r>
          </w:p>
        </w:tc>
        <w:tc>
          <w:tcPr>
            <w:tcW w:w="2735" w:type="dxa"/>
            <w:tcBorders>
              <w:top w:val="single" w:color="000000" w:sz="4" w:space="0"/>
              <w:left w:val="single" w:color="000000" w:sz="4" w:space="0"/>
              <w:bottom w:val="single" w:color="000000" w:sz="4" w:space="0"/>
              <w:right w:val="single" w:color="000000" w:sz="4" w:space="0"/>
            </w:tcBorders>
            <w:vAlign w:val="center"/>
          </w:tcPr>
          <w:p w14:paraId="1A269EB2">
            <w:pPr>
              <w:spacing w:line="240" w:lineRule="auto"/>
              <w:ind w:firstLine="0" w:firstLineChars="0"/>
              <w:jc w:val="center"/>
              <w:rPr>
                <w:rFonts w:cs="Times New Roman"/>
                <w:szCs w:val="21"/>
              </w:rPr>
            </w:pPr>
            <w:r>
              <w:rPr>
                <w:rFonts w:cs="Times New Roman"/>
                <w:sz w:val="21"/>
                <w:szCs w:val="21"/>
                <w:lang w:bidi="ar"/>
              </w:rPr>
              <w:t>7.05</w:t>
            </w:r>
          </w:p>
        </w:tc>
      </w:tr>
      <w:tr w14:paraId="7F0801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41B9F529">
            <w:pPr>
              <w:spacing w:line="240" w:lineRule="auto"/>
              <w:ind w:firstLine="0" w:firstLineChars="0"/>
              <w:rPr>
                <w:rFonts w:hint="eastAsia" w:ascii="等线" w:hAnsi="等线" w:eastAsia="等线" w:cs="等线"/>
                <w:sz w:val="21"/>
              </w:rPr>
            </w:pPr>
          </w:p>
        </w:tc>
        <w:tc>
          <w:tcPr>
            <w:tcW w:w="3601" w:type="dxa"/>
            <w:tcBorders>
              <w:top w:val="single" w:color="000000" w:sz="4" w:space="0"/>
              <w:left w:val="single" w:color="000000" w:sz="4" w:space="0"/>
              <w:bottom w:val="single" w:color="000000" w:sz="4" w:space="0"/>
              <w:right w:val="single" w:color="000000" w:sz="4" w:space="0"/>
            </w:tcBorders>
            <w:vAlign w:val="center"/>
          </w:tcPr>
          <w:p w14:paraId="15FEEAE8">
            <w:pPr>
              <w:spacing w:line="240" w:lineRule="auto"/>
              <w:ind w:firstLine="0" w:firstLineChars="0"/>
              <w:jc w:val="center"/>
              <w:rPr>
                <w:rFonts w:cs="Times New Roman"/>
                <w:szCs w:val="21"/>
              </w:rPr>
            </w:pPr>
            <w:r>
              <w:rPr>
                <w:rFonts w:cs="Times New Roman"/>
                <w:sz w:val="21"/>
                <w:szCs w:val="21"/>
                <w:lang w:bidi="ar"/>
              </w:rPr>
              <w:t xml:space="preserve">13-1. </w:t>
            </w:r>
            <w:r>
              <w:rPr>
                <w:rFonts w:hint="eastAsia" w:cs="Times New Roman"/>
                <w:sz w:val="21"/>
                <w:szCs w:val="21"/>
                <w:lang w:bidi="ar"/>
              </w:rPr>
              <w:t>中国</w:t>
            </w:r>
            <w:r>
              <w:rPr>
                <w:rFonts w:cs="Times New Roman"/>
                <w:sz w:val="21"/>
                <w:szCs w:val="21"/>
                <w:lang w:bidi="ar"/>
              </w:rPr>
              <w:t>-</w:t>
            </w:r>
            <w:r>
              <w:rPr>
                <w:rFonts w:hint="eastAsia" w:cs="Times New Roman"/>
                <w:sz w:val="21"/>
                <w:szCs w:val="21"/>
                <w:lang w:bidi="ar"/>
              </w:rPr>
              <w:t>日本</w:t>
            </w:r>
          </w:p>
        </w:tc>
        <w:tc>
          <w:tcPr>
            <w:tcW w:w="604" w:type="dxa"/>
            <w:tcBorders>
              <w:top w:val="single" w:color="000000" w:sz="4" w:space="0"/>
              <w:left w:val="single" w:color="000000" w:sz="4" w:space="0"/>
              <w:bottom w:val="single" w:color="000000" w:sz="4" w:space="0"/>
              <w:right w:val="single" w:color="000000" w:sz="4" w:space="0"/>
            </w:tcBorders>
            <w:vAlign w:val="center"/>
          </w:tcPr>
          <w:p w14:paraId="6F8684EB">
            <w:pPr>
              <w:spacing w:line="240" w:lineRule="auto"/>
              <w:ind w:firstLine="0" w:firstLineChars="0"/>
              <w:jc w:val="center"/>
              <w:rPr>
                <w:rFonts w:cs="Times New Roman"/>
                <w:szCs w:val="21"/>
              </w:rPr>
            </w:pPr>
            <w:r>
              <w:rPr>
                <w:rFonts w:cs="Times New Roman"/>
                <w:sz w:val="21"/>
                <w:szCs w:val="21"/>
                <w:lang w:bidi="ar"/>
              </w:rPr>
              <w:t>14</w:t>
            </w:r>
          </w:p>
        </w:tc>
        <w:tc>
          <w:tcPr>
            <w:tcW w:w="2735" w:type="dxa"/>
            <w:tcBorders>
              <w:top w:val="single" w:color="000000" w:sz="4" w:space="0"/>
              <w:left w:val="single" w:color="000000" w:sz="4" w:space="0"/>
              <w:bottom w:val="single" w:color="000000" w:sz="4" w:space="0"/>
              <w:right w:val="single" w:color="000000" w:sz="4" w:space="0"/>
            </w:tcBorders>
            <w:vAlign w:val="center"/>
          </w:tcPr>
          <w:p w14:paraId="16A625E2">
            <w:pPr>
              <w:spacing w:line="240" w:lineRule="auto"/>
              <w:ind w:firstLine="0" w:firstLineChars="0"/>
              <w:jc w:val="center"/>
              <w:rPr>
                <w:rFonts w:cs="Times New Roman"/>
                <w:szCs w:val="21"/>
              </w:rPr>
            </w:pPr>
            <w:r>
              <w:rPr>
                <w:rFonts w:cs="Times New Roman"/>
                <w:sz w:val="21"/>
                <w:szCs w:val="21"/>
                <w:lang w:bidi="ar"/>
              </w:rPr>
              <w:t>5.81</w:t>
            </w:r>
          </w:p>
        </w:tc>
      </w:tr>
      <w:tr w14:paraId="5FEFFB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7140BA78">
            <w:pPr>
              <w:spacing w:line="240" w:lineRule="auto"/>
              <w:ind w:firstLine="0" w:firstLineChars="0"/>
              <w:jc w:val="center"/>
              <w:rPr>
                <w:rFonts w:cs="Times New Roman"/>
                <w:szCs w:val="21"/>
              </w:rPr>
            </w:pPr>
            <w:r>
              <w:rPr>
                <w:rFonts w:hint="eastAsia" w:cs="Times New Roman"/>
                <w:sz w:val="21"/>
                <w:szCs w:val="21"/>
                <w:lang w:bidi="ar"/>
              </w:rPr>
              <w:t>特有分布</w:t>
            </w:r>
          </w:p>
        </w:tc>
        <w:tc>
          <w:tcPr>
            <w:tcW w:w="3601" w:type="dxa"/>
            <w:tcBorders>
              <w:top w:val="single" w:color="000000" w:sz="4" w:space="0"/>
              <w:left w:val="single" w:color="000000" w:sz="4" w:space="0"/>
              <w:bottom w:val="single" w:color="000000" w:sz="4" w:space="0"/>
              <w:right w:val="single" w:color="000000" w:sz="4" w:space="0"/>
            </w:tcBorders>
            <w:vAlign w:val="center"/>
          </w:tcPr>
          <w:p w14:paraId="5B3E881A">
            <w:pPr>
              <w:spacing w:line="240" w:lineRule="auto"/>
              <w:ind w:firstLine="0" w:firstLineChars="0"/>
              <w:jc w:val="center"/>
              <w:rPr>
                <w:rFonts w:cs="Times New Roman"/>
                <w:szCs w:val="21"/>
              </w:rPr>
            </w:pPr>
            <w:r>
              <w:rPr>
                <w:rFonts w:cs="Times New Roman"/>
                <w:sz w:val="21"/>
                <w:szCs w:val="21"/>
                <w:lang w:bidi="ar"/>
              </w:rPr>
              <w:t xml:space="preserve">14. </w:t>
            </w:r>
            <w:r>
              <w:rPr>
                <w:rFonts w:hint="eastAsia" w:cs="Times New Roman"/>
                <w:sz w:val="21"/>
                <w:szCs w:val="21"/>
                <w:lang w:bidi="ar"/>
              </w:rPr>
              <w:t>中国特有分布</w:t>
            </w:r>
          </w:p>
        </w:tc>
        <w:tc>
          <w:tcPr>
            <w:tcW w:w="604" w:type="dxa"/>
            <w:tcBorders>
              <w:top w:val="single" w:color="000000" w:sz="4" w:space="0"/>
              <w:left w:val="single" w:color="000000" w:sz="4" w:space="0"/>
              <w:bottom w:val="single" w:color="000000" w:sz="4" w:space="0"/>
              <w:right w:val="single" w:color="000000" w:sz="4" w:space="0"/>
            </w:tcBorders>
            <w:vAlign w:val="center"/>
          </w:tcPr>
          <w:p w14:paraId="08F826B0">
            <w:pPr>
              <w:spacing w:line="240" w:lineRule="auto"/>
              <w:ind w:firstLine="0" w:firstLineChars="0"/>
              <w:jc w:val="center"/>
              <w:rPr>
                <w:rFonts w:cs="Times New Roman"/>
                <w:szCs w:val="21"/>
              </w:rPr>
            </w:pPr>
            <w:r>
              <w:rPr>
                <w:rFonts w:cs="Times New Roman"/>
                <w:sz w:val="21"/>
                <w:szCs w:val="21"/>
                <w:lang w:bidi="ar"/>
              </w:rPr>
              <w:t>4</w:t>
            </w:r>
          </w:p>
        </w:tc>
        <w:tc>
          <w:tcPr>
            <w:tcW w:w="2735" w:type="dxa"/>
            <w:tcBorders>
              <w:top w:val="single" w:color="000000" w:sz="4" w:space="0"/>
              <w:left w:val="single" w:color="000000" w:sz="4" w:space="0"/>
              <w:bottom w:val="single" w:color="000000" w:sz="4" w:space="0"/>
              <w:right w:val="single" w:color="000000" w:sz="4" w:space="0"/>
            </w:tcBorders>
            <w:vAlign w:val="center"/>
          </w:tcPr>
          <w:p w14:paraId="32F0EE3A">
            <w:pPr>
              <w:spacing w:line="240" w:lineRule="auto"/>
              <w:ind w:firstLine="0" w:firstLineChars="0"/>
              <w:jc w:val="center"/>
              <w:rPr>
                <w:rFonts w:cs="Times New Roman"/>
                <w:szCs w:val="21"/>
              </w:rPr>
            </w:pPr>
            <w:r>
              <w:rPr>
                <w:rFonts w:cs="Times New Roman"/>
                <w:sz w:val="21"/>
                <w:szCs w:val="21"/>
                <w:lang w:bidi="ar"/>
              </w:rPr>
              <w:t>1.66</w:t>
            </w:r>
          </w:p>
        </w:tc>
      </w:tr>
      <w:tr w14:paraId="68412D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4860" w:type="dxa"/>
            <w:gridSpan w:val="2"/>
            <w:tcBorders>
              <w:top w:val="single" w:color="000000" w:sz="4" w:space="0"/>
              <w:left w:val="single" w:color="000000" w:sz="4" w:space="0"/>
              <w:bottom w:val="single" w:color="000000" w:sz="4" w:space="0"/>
              <w:right w:val="single" w:color="000000" w:sz="4" w:space="0"/>
            </w:tcBorders>
            <w:vAlign w:val="center"/>
          </w:tcPr>
          <w:p w14:paraId="147F8668">
            <w:pPr>
              <w:spacing w:line="240" w:lineRule="auto"/>
              <w:ind w:firstLine="0" w:firstLineChars="0"/>
              <w:jc w:val="center"/>
              <w:rPr>
                <w:rFonts w:cs="Times New Roman"/>
                <w:szCs w:val="21"/>
              </w:rPr>
            </w:pPr>
            <w:r>
              <w:rPr>
                <w:rFonts w:hint="eastAsia" w:cs="Times New Roman"/>
                <w:sz w:val="21"/>
                <w:szCs w:val="21"/>
                <w:lang w:bidi="ar"/>
              </w:rPr>
              <w:t>合计</w:t>
            </w:r>
          </w:p>
        </w:tc>
        <w:tc>
          <w:tcPr>
            <w:tcW w:w="604" w:type="dxa"/>
            <w:tcBorders>
              <w:top w:val="single" w:color="000000" w:sz="4" w:space="0"/>
              <w:left w:val="single" w:color="000000" w:sz="4" w:space="0"/>
              <w:bottom w:val="single" w:color="000000" w:sz="4" w:space="0"/>
              <w:right w:val="single" w:color="000000" w:sz="4" w:space="0"/>
            </w:tcBorders>
            <w:vAlign w:val="center"/>
          </w:tcPr>
          <w:p w14:paraId="7B540557">
            <w:pPr>
              <w:spacing w:line="240" w:lineRule="auto"/>
              <w:ind w:firstLine="0" w:firstLineChars="0"/>
              <w:jc w:val="center"/>
              <w:rPr>
                <w:rFonts w:cs="Times New Roman"/>
                <w:szCs w:val="21"/>
              </w:rPr>
            </w:pPr>
            <w:r>
              <w:rPr>
                <w:rFonts w:cs="Times New Roman"/>
                <w:sz w:val="21"/>
                <w:szCs w:val="21"/>
                <w:lang w:bidi="ar"/>
              </w:rPr>
              <w:t>290</w:t>
            </w:r>
          </w:p>
        </w:tc>
        <w:tc>
          <w:tcPr>
            <w:tcW w:w="2735" w:type="dxa"/>
            <w:tcBorders>
              <w:top w:val="single" w:color="000000" w:sz="4" w:space="0"/>
              <w:left w:val="single" w:color="000000" w:sz="4" w:space="0"/>
              <w:bottom w:val="single" w:color="000000" w:sz="4" w:space="0"/>
              <w:right w:val="single" w:color="000000" w:sz="4" w:space="0"/>
            </w:tcBorders>
            <w:vAlign w:val="center"/>
          </w:tcPr>
          <w:p w14:paraId="615DD855">
            <w:pPr>
              <w:spacing w:line="240" w:lineRule="auto"/>
              <w:ind w:firstLine="0" w:firstLineChars="0"/>
              <w:jc w:val="center"/>
              <w:rPr>
                <w:rFonts w:cs="Times New Roman"/>
                <w:szCs w:val="21"/>
              </w:rPr>
            </w:pPr>
            <w:r>
              <w:rPr>
                <w:rFonts w:cs="Times New Roman"/>
                <w:sz w:val="21"/>
                <w:szCs w:val="21"/>
                <w:lang w:bidi="ar"/>
              </w:rPr>
              <w:t>100.00</w:t>
            </w:r>
          </w:p>
        </w:tc>
      </w:tr>
    </w:tbl>
    <w:p w14:paraId="277345C1">
      <w:pPr>
        <w:spacing w:line="500" w:lineRule="exact"/>
        <w:ind w:firstLine="482"/>
        <w:rPr>
          <w:rFonts w:cs="Times New Roman"/>
          <w:b/>
          <w:bCs/>
          <w:szCs w:val="24"/>
        </w:rPr>
      </w:pPr>
      <w:r>
        <w:rPr>
          <w:rFonts w:hint="eastAsia" w:cs="Times New Roman"/>
          <w:b/>
          <w:bCs/>
          <w:szCs w:val="24"/>
          <w:lang w:bidi="ar"/>
        </w:rPr>
        <w:t>（</w:t>
      </w:r>
      <w:r>
        <w:rPr>
          <w:rFonts w:cs="Times New Roman"/>
          <w:b/>
          <w:bCs/>
          <w:szCs w:val="24"/>
          <w:lang w:bidi="ar"/>
        </w:rPr>
        <w:t>3</w:t>
      </w:r>
      <w:r>
        <w:rPr>
          <w:rFonts w:hint="eastAsia" w:cs="Times New Roman"/>
          <w:b/>
          <w:bCs/>
          <w:szCs w:val="24"/>
          <w:lang w:bidi="ar"/>
        </w:rPr>
        <w:t>）植被类型分析</w:t>
      </w:r>
    </w:p>
    <w:p w14:paraId="0C47B6BD">
      <w:pPr>
        <w:ind w:firstLine="480"/>
        <w:rPr>
          <w:rFonts w:cs="Times New Roman"/>
          <w:szCs w:val="24"/>
        </w:rPr>
      </w:pPr>
      <w:r>
        <w:rPr>
          <w:rFonts w:hint="eastAsia" w:cs="Times New Roman"/>
          <w:szCs w:val="24"/>
          <w:lang w:bidi="ar"/>
        </w:rPr>
        <w:t>根据茅山旅游度假区植被群系类型，确定区内涉及植被群丛类型</w:t>
      </w:r>
      <w:r>
        <w:rPr>
          <w:rFonts w:cs="Times New Roman"/>
          <w:szCs w:val="24"/>
          <w:lang w:bidi="ar"/>
        </w:rPr>
        <w:t>16</w:t>
      </w:r>
      <w:r>
        <w:rPr>
          <w:rFonts w:hint="eastAsia" w:cs="Times New Roman"/>
          <w:szCs w:val="24"/>
          <w:lang w:bidi="ar"/>
        </w:rPr>
        <w:t>个，本次现场调查针对各不同植被群丛设置调查样地，各植被群丛点位信息见表</w:t>
      </w:r>
      <w:r>
        <w:rPr>
          <w:rFonts w:cs="Times New Roman"/>
          <w:szCs w:val="24"/>
          <w:lang w:bidi="ar"/>
        </w:rPr>
        <w:t>3.</w:t>
      </w:r>
      <w:r>
        <w:rPr>
          <w:rFonts w:hint="eastAsia" w:cs="Times New Roman"/>
          <w:szCs w:val="24"/>
          <w:lang w:bidi="ar"/>
        </w:rPr>
        <w:t>6</w:t>
      </w:r>
      <w:r>
        <w:rPr>
          <w:rFonts w:cs="Times New Roman"/>
          <w:szCs w:val="24"/>
          <w:lang w:bidi="ar"/>
        </w:rPr>
        <w:t>-</w:t>
      </w:r>
      <w:r>
        <w:rPr>
          <w:rFonts w:hint="eastAsia" w:cs="Times New Roman"/>
          <w:szCs w:val="24"/>
          <w:lang w:bidi="ar"/>
        </w:rPr>
        <w:t>11。</w:t>
      </w:r>
    </w:p>
    <w:p w14:paraId="363A17EC">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11</w:t>
      </w:r>
      <w:r>
        <w:rPr>
          <w:rFonts w:cs="Times New Roman"/>
        </w:rPr>
        <w:t xml:space="preserve"> </w:t>
      </w:r>
      <w:r>
        <w:rPr>
          <w:rFonts w:hint="eastAsia" w:cs="Times New Roman"/>
        </w:rPr>
        <w:t>茅山旅游度假区植被群丛点位信息</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418"/>
        <w:gridCol w:w="3543"/>
        <w:gridCol w:w="1276"/>
        <w:gridCol w:w="1355"/>
      </w:tblGrid>
      <w:tr w14:paraId="076E4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704" w:type="dxa"/>
            <w:tcBorders>
              <w:top w:val="single" w:color="auto" w:sz="4" w:space="0"/>
              <w:left w:val="single" w:color="auto" w:sz="4" w:space="0"/>
              <w:bottom w:val="single" w:color="auto" w:sz="4" w:space="0"/>
              <w:right w:val="single" w:color="auto" w:sz="4" w:space="0"/>
            </w:tcBorders>
            <w:vAlign w:val="center"/>
          </w:tcPr>
          <w:p w14:paraId="6DB49977">
            <w:pPr>
              <w:spacing w:line="240" w:lineRule="auto"/>
              <w:ind w:firstLine="0" w:firstLineChars="0"/>
              <w:jc w:val="center"/>
              <w:rPr>
                <w:rFonts w:cs="Times New Roman"/>
                <w:b/>
                <w:bCs/>
                <w:szCs w:val="21"/>
              </w:rPr>
            </w:pPr>
            <w:r>
              <w:rPr>
                <w:rFonts w:hint="eastAsia" w:cs="Times New Roman"/>
                <w:b/>
                <w:bCs/>
                <w:sz w:val="21"/>
                <w:szCs w:val="21"/>
                <w:lang w:bidi="ar"/>
              </w:rPr>
              <w:t>植被亚型</w:t>
            </w:r>
          </w:p>
        </w:tc>
        <w:tc>
          <w:tcPr>
            <w:tcW w:w="1418" w:type="dxa"/>
            <w:tcBorders>
              <w:top w:val="single" w:color="auto" w:sz="4" w:space="0"/>
              <w:left w:val="single" w:color="auto" w:sz="4" w:space="0"/>
              <w:bottom w:val="single" w:color="auto" w:sz="4" w:space="0"/>
              <w:right w:val="single" w:color="auto" w:sz="4" w:space="0"/>
            </w:tcBorders>
            <w:vAlign w:val="center"/>
          </w:tcPr>
          <w:p w14:paraId="4470572D">
            <w:pPr>
              <w:spacing w:line="240" w:lineRule="auto"/>
              <w:ind w:firstLine="0" w:firstLineChars="0"/>
              <w:jc w:val="center"/>
              <w:rPr>
                <w:rFonts w:cs="Times New Roman"/>
                <w:b/>
                <w:bCs/>
                <w:szCs w:val="21"/>
              </w:rPr>
            </w:pPr>
            <w:r>
              <w:rPr>
                <w:rFonts w:hint="eastAsia" w:cs="Times New Roman"/>
                <w:b/>
                <w:bCs/>
                <w:sz w:val="21"/>
                <w:szCs w:val="21"/>
                <w:lang w:bidi="ar"/>
              </w:rPr>
              <w:t>植被群系</w:t>
            </w:r>
          </w:p>
        </w:tc>
        <w:tc>
          <w:tcPr>
            <w:tcW w:w="3543" w:type="dxa"/>
            <w:tcBorders>
              <w:top w:val="single" w:color="auto" w:sz="4" w:space="0"/>
              <w:left w:val="single" w:color="auto" w:sz="4" w:space="0"/>
              <w:bottom w:val="single" w:color="auto" w:sz="4" w:space="0"/>
              <w:right w:val="single" w:color="auto" w:sz="4" w:space="0"/>
            </w:tcBorders>
            <w:vAlign w:val="center"/>
          </w:tcPr>
          <w:p w14:paraId="24CD3762">
            <w:pPr>
              <w:spacing w:line="240" w:lineRule="auto"/>
              <w:ind w:firstLine="0" w:firstLineChars="0"/>
              <w:jc w:val="center"/>
              <w:rPr>
                <w:rFonts w:cs="Times New Roman"/>
                <w:b/>
                <w:bCs/>
                <w:szCs w:val="21"/>
              </w:rPr>
            </w:pPr>
            <w:r>
              <w:rPr>
                <w:rFonts w:hint="eastAsia" w:cs="Times New Roman"/>
                <w:b/>
                <w:bCs/>
                <w:sz w:val="21"/>
                <w:szCs w:val="21"/>
                <w:lang w:bidi="ar"/>
              </w:rPr>
              <w:t>植被群丛</w:t>
            </w:r>
          </w:p>
        </w:tc>
        <w:tc>
          <w:tcPr>
            <w:tcW w:w="1276" w:type="dxa"/>
            <w:tcBorders>
              <w:top w:val="single" w:color="auto" w:sz="4" w:space="0"/>
              <w:left w:val="single" w:color="auto" w:sz="4" w:space="0"/>
              <w:bottom w:val="single" w:color="auto" w:sz="4" w:space="0"/>
              <w:right w:val="single" w:color="auto" w:sz="4" w:space="0"/>
            </w:tcBorders>
            <w:vAlign w:val="center"/>
          </w:tcPr>
          <w:p w14:paraId="6FD282DD">
            <w:pPr>
              <w:spacing w:line="240" w:lineRule="auto"/>
              <w:ind w:firstLine="0" w:firstLineChars="0"/>
              <w:jc w:val="center"/>
              <w:rPr>
                <w:rFonts w:cs="Times New Roman"/>
                <w:b/>
                <w:bCs/>
                <w:szCs w:val="21"/>
              </w:rPr>
            </w:pPr>
            <w:r>
              <w:rPr>
                <w:rFonts w:hint="eastAsia" w:cs="Times New Roman"/>
                <w:b/>
                <w:bCs/>
                <w:sz w:val="21"/>
                <w:szCs w:val="21"/>
                <w:lang w:bidi="ar"/>
              </w:rPr>
              <w:t>东经（</w:t>
            </w:r>
            <w:r>
              <w:rPr>
                <w:rFonts w:cs="Times New Roman"/>
                <w:b/>
                <w:bCs/>
                <w:sz w:val="21"/>
                <w:szCs w:val="21"/>
                <w:lang w:bidi="ar"/>
              </w:rPr>
              <w:t>E</w:t>
            </w:r>
            <w:r>
              <w:rPr>
                <w:rFonts w:hint="eastAsia" w:cs="Times New Roman"/>
                <w:b/>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79F3576F">
            <w:pPr>
              <w:spacing w:line="240" w:lineRule="auto"/>
              <w:ind w:firstLine="0" w:firstLineChars="0"/>
              <w:jc w:val="center"/>
              <w:rPr>
                <w:rFonts w:cs="Times New Roman"/>
                <w:b/>
                <w:bCs/>
                <w:szCs w:val="21"/>
              </w:rPr>
            </w:pPr>
            <w:r>
              <w:rPr>
                <w:rFonts w:hint="eastAsia" w:cs="Times New Roman"/>
                <w:b/>
                <w:bCs/>
                <w:sz w:val="21"/>
                <w:szCs w:val="21"/>
                <w:lang w:bidi="ar"/>
              </w:rPr>
              <w:t>北纬（</w:t>
            </w:r>
            <w:r>
              <w:rPr>
                <w:rFonts w:cs="Times New Roman"/>
                <w:b/>
                <w:bCs/>
                <w:sz w:val="21"/>
                <w:szCs w:val="21"/>
                <w:lang w:bidi="ar"/>
              </w:rPr>
              <w:t>N</w:t>
            </w:r>
            <w:r>
              <w:rPr>
                <w:rFonts w:hint="eastAsia" w:cs="Times New Roman"/>
                <w:b/>
                <w:bCs/>
                <w:sz w:val="21"/>
                <w:szCs w:val="21"/>
                <w:lang w:bidi="ar"/>
              </w:rPr>
              <w:t>）</w:t>
            </w:r>
          </w:p>
        </w:tc>
      </w:tr>
      <w:tr w14:paraId="5F549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restart"/>
            <w:tcBorders>
              <w:top w:val="single" w:color="auto" w:sz="4" w:space="0"/>
              <w:left w:val="single" w:color="auto" w:sz="4" w:space="0"/>
              <w:bottom w:val="single" w:color="auto" w:sz="4" w:space="0"/>
              <w:right w:val="single" w:color="auto" w:sz="4" w:space="0"/>
            </w:tcBorders>
            <w:vAlign w:val="center"/>
          </w:tcPr>
          <w:p w14:paraId="2CA5657F">
            <w:pPr>
              <w:spacing w:line="240" w:lineRule="auto"/>
              <w:ind w:firstLine="0" w:firstLineChars="0"/>
              <w:jc w:val="center"/>
              <w:rPr>
                <w:rFonts w:cs="Times New Roman"/>
                <w:szCs w:val="21"/>
              </w:rPr>
            </w:pPr>
            <w:r>
              <w:rPr>
                <w:rFonts w:hint="eastAsia" w:cs="Times New Roman"/>
                <w:sz w:val="21"/>
                <w:szCs w:val="21"/>
                <w:lang w:bidi="ar"/>
              </w:rPr>
              <w:t>落叶阔叶林</w:t>
            </w:r>
          </w:p>
        </w:tc>
        <w:tc>
          <w:tcPr>
            <w:tcW w:w="1418" w:type="dxa"/>
            <w:vMerge w:val="restart"/>
            <w:tcBorders>
              <w:top w:val="single" w:color="auto" w:sz="4" w:space="0"/>
              <w:left w:val="single" w:color="auto" w:sz="4" w:space="0"/>
              <w:bottom w:val="single" w:color="auto" w:sz="4" w:space="0"/>
              <w:right w:val="single" w:color="auto" w:sz="4" w:space="0"/>
            </w:tcBorders>
            <w:vAlign w:val="center"/>
          </w:tcPr>
          <w:p w14:paraId="603384F6">
            <w:pPr>
              <w:spacing w:line="240" w:lineRule="auto"/>
              <w:ind w:firstLine="0" w:firstLineChars="0"/>
              <w:jc w:val="center"/>
              <w:rPr>
                <w:rFonts w:cs="Times New Roman"/>
                <w:szCs w:val="21"/>
              </w:rPr>
            </w:pPr>
            <w:r>
              <w:rPr>
                <w:rFonts w:hint="eastAsia" w:cs="Times New Roman"/>
                <w:sz w:val="21"/>
                <w:szCs w:val="21"/>
                <w:lang w:bidi="ar"/>
              </w:rPr>
              <w:t>刺槐群系</w:t>
            </w:r>
          </w:p>
        </w:tc>
        <w:tc>
          <w:tcPr>
            <w:tcW w:w="3543" w:type="dxa"/>
            <w:tcBorders>
              <w:top w:val="single" w:color="auto" w:sz="4" w:space="0"/>
              <w:left w:val="single" w:color="auto" w:sz="4" w:space="0"/>
              <w:bottom w:val="single" w:color="auto" w:sz="4" w:space="0"/>
              <w:right w:val="single" w:color="auto" w:sz="4" w:space="0"/>
            </w:tcBorders>
            <w:vAlign w:val="center"/>
          </w:tcPr>
          <w:p w14:paraId="3380CAAD">
            <w:pPr>
              <w:spacing w:line="240" w:lineRule="auto"/>
              <w:ind w:firstLine="0" w:firstLineChars="0"/>
              <w:jc w:val="center"/>
              <w:rPr>
                <w:rFonts w:cs="Times New Roman"/>
                <w:szCs w:val="21"/>
              </w:rPr>
            </w:pPr>
            <w:r>
              <w:rPr>
                <w:rFonts w:hint="eastAsia" w:cs="Times New Roman"/>
                <w:sz w:val="21"/>
                <w:szCs w:val="21"/>
                <w:lang w:bidi="ar"/>
              </w:rPr>
              <w:t>刺槐</w:t>
            </w:r>
            <w:r>
              <w:rPr>
                <w:rFonts w:cs="Times New Roman"/>
                <w:sz w:val="21"/>
                <w:szCs w:val="21"/>
                <w:lang w:bidi="ar"/>
              </w:rPr>
              <w:t>-</w:t>
            </w: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八角枫</w:t>
            </w:r>
            <w:r>
              <w:rPr>
                <w:rFonts w:cs="Times New Roman"/>
                <w:sz w:val="21"/>
                <w:szCs w:val="21"/>
                <w:lang w:bidi="ar"/>
              </w:rPr>
              <w:t>-</w:t>
            </w:r>
            <w:r>
              <w:rPr>
                <w:rFonts w:hint="eastAsia" w:cs="Times New Roman"/>
                <w:sz w:val="21"/>
                <w:szCs w:val="21"/>
                <w:lang w:bidi="ar"/>
              </w:rPr>
              <w:t>茅莓</w:t>
            </w:r>
            <w:r>
              <w:rPr>
                <w:rFonts w:cs="Times New Roman"/>
                <w:sz w:val="21"/>
                <w:szCs w:val="21"/>
                <w:lang w:bidi="ar"/>
              </w:rPr>
              <w:t>+</w:t>
            </w:r>
            <w:r>
              <w:rPr>
                <w:rFonts w:hint="eastAsia" w:cs="Times New Roman"/>
                <w:sz w:val="21"/>
                <w:szCs w:val="21"/>
                <w:lang w:bidi="ar"/>
              </w:rPr>
              <w:t>枸杞群丛（</w:t>
            </w:r>
            <w:r>
              <w:rPr>
                <w:rFonts w:cs="Times New Roman"/>
                <w:sz w:val="21"/>
                <w:szCs w:val="21"/>
                <w:lang w:bidi="ar"/>
              </w:rPr>
              <w:t>E1</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6EEC2B9B">
            <w:pPr>
              <w:spacing w:line="240" w:lineRule="auto"/>
              <w:ind w:firstLine="0" w:firstLineChars="0"/>
              <w:jc w:val="center"/>
              <w:rPr>
                <w:rFonts w:cs="Times New Roman"/>
                <w:szCs w:val="21"/>
              </w:rPr>
            </w:pPr>
            <w:r>
              <w:rPr>
                <w:rFonts w:cs="Times New Roman"/>
                <w:sz w:val="21"/>
                <w:szCs w:val="21"/>
                <w:lang w:bidi="ar"/>
              </w:rPr>
              <w:t>119.32559</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7551D490">
            <w:pPr>
              <w:spacing w:line="240" w:lineRule="auto"/>
              <w:ind w:firstLine="0" w:firstLineChars="0"/>
              <w:jc w:val="center"/>
              <w:rPr>
                <w:rFonts w:cs="Times New Roman"/>
                <w:szCs w:val="21"/>
              </w:rPr>
            </w:pPr>
            <w:r>
              <w:rPr>
                <w:rFonts w:cs="Times New Roman"/>
                <w:sz w:val="21"/>
                <w:szCs w:val="21"/>
                <w:lang w:bidi="ar"/>
              </w:rPr>
              <w:t>31.78659</w:t>
            </w:r>
            <w:r>
              <w:rPr>
                <w:rFonts w:cs="Times New Roman"/>
                <w:bCs/>
                <w:sz w:val="21"/>
                <w:szCs w:val="21"/>
                <w:lang w:bidi="ar"/>
              </w:rPr>
              <w:t>°</w:t>
            </w:r>
          </w:p>
        </w:tc>
      </w:tr>
      <w:tr w14:paraId="61B6E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4A469EE4">
            <w:pPr>
              <w:spacing w:line="240" w:lineRule="auto"/>
              <w:ind w:firstLine="0" w:firstLineChars="0"/>
              <w:rPr>
                <w:rFonts w:hint="eastAsia" w:ascii="等线" w:hAnsi="等线" w:eastAsia="等线" w:cs="等线"/>
                <w:sz w:val="21"/>
              </w:rPr>
            </w:pP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124A6F8A">
            <w:pPr>
              <w:spacing w:line="240" w:lineRule="auto"/>
              <w:ind w:firstLine="0" w:firstLineChars="0"/>
              <w:rPr>
                <w:rFonts w:hint="eastAsia" w:ascii="等线" w:hAnsi="等线" w:eastAsia="等线" w:cs="等线"/>
                <w:sz w:val="21"/>
              </w:rPr>
            </w:pPr>
          </w:p>
        </w:tc>
        <w:tc>
          <w:tcPr>
            <w:tcW w:w="3543" w:type="dxa"/>
            <w:tcBorders>
              <w:top w:val="single" w:color="auto" w:sz="4" w:space="0"/>
              <w:left w:val="single" w:color="auto" w:sz="4" w:space="0"/>
              <w:bottom w:val="single" w:color="auto" w:sz="4" w:space="0"/>
              <w:right w:val="single" w:color="auto" w:sz="4" w:space="0"/>
            </w:tcBorders>
            <w:vAlign w:val="center"/>
          </w:tcPr>
          <w:p w14:paraId="4CA5CB63">
            <w:pPr>
              <w:spacing w:line="240" w:lineRule="auto"/>
              <w:ind w:firstLine="0" w:firstLineChars="0"/>
              <w:jc w:val="center"/>
              <w:rPr>
                <w:rFonts w:cs="Times New Roman"/>
                <w:szCs w:val="21"/>
              </w:rPr>
            </w:pPr>
            <w:r>
              <w:rPr>
                <w:rFonts w:hint="eastAsia" w:cs="Times New Roman"/>
                <w:sz w:val="21"/>
                <w:szCs w:val="21"/>
                <w:lang w:bidi="ar"/>
              </w:rPr>
              <w:t>刺槐</w:t>
            </w:r>
            <w:r>
              <w:rPr>
                <w:rFonts w:cs="Times New Roman"/>
                <w:sz w:val="21"/>
                <w:szCs w:val="21"/>
                <w:lang w:bidi="ar"/>
              </w:rPr>
              <w:t>-</w:t>
            </w: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枫杨</w:t>
            </w:r>
            <w:r>
              <w:rPr>
                <w:rFonts w:cs="Times New Roman"/>
                <w:sz w:val="21"/>
                <w:szCs w:val="21"/>
                <w:lang w:bidi="ar"/>
              </w:rPr>
              <w:t>-</w:t>
            </w:r>
            <w:r>
              <w:rPr>
                <w:rFonts w:hint="eastAsia" w:cs="Times New Roman"/>
                <w:sz w:val="21"/>
                <w:szCs w:val="21"/>
                <w:lang w:bidi="ar"/>
              </w:rPr>
              <w:t>金钟花</w:t>
            </w:r>
            <w:r>
              <w:rPr>
                <w:rFonts w:cs="Times New Roman"/>
                <w:sz w:val="21"/>
                <w:szCs w:val="21"/>
                <w:lang w:bidi="ar"/>
              </w:rPr>
              <w:t>+</w:t>
            </w:r>
            <w:r>
              <w:rPr>
                <w:rFonts w:hint="eastAsia" w:cs="Times New Roman"/>
                <w:sz w:val="21"/>
                <w:szCs w:val="21"/>
                <w:lang w:bidi="ar"/>
              </w:rPr>
              <w:t>马棘群丛（</w:t>
            </w:r>
            <w:r>
              <w:rPr>
                <w:rFonts w:cs="Times New Roman"/>
                <w:sz w:val="21"/>
                <w:szCs w:val="21"/>
                <w:lang w:bidi="ar"/>
              </w:rPr>
              <w:t>E2</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0F786F08">
            <w:pPr>
              <w:spacing w:line="240" w:lineRule="auto"/>
              <w:ind w:firstLine="0" w:firstLineChars="0"/>
              <w:jc w:val="center"/>
              <w:rPr>
                <w:rFonts w:cs="Times New Roman"/>
                <w:szCs w:val="21"/>
              </w:rPr>
            </w:pPr>
            <w:r>
              <w:rPr>
                <w:rFonts w:cs="Times New Roman"/>
                <w:sz w:val="21"/>
                <w:szCs w:val="21"/>
                <w:lang w:bidi="ar"/>
              </w:rPr>
              <w:t>119.34284</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1A48461F">
            <w:pPr>
              <w:spacing w:line="240" w:lineRule="auto"/>
              <w:ind w:firstLine="0" w:firstLineChars="0"/>
              <w:jc w:val="center"/>
              <w:rPr>
                <w:rFonts w:cs="Times New Roman"/>
                <w:szCs w:val="21"/>
              </w:rPr>
            </w:pPr>
            <w:r>
              <w:rPr>
                <w:rFonts w:cs="Times New Roman"/>
                <w:sz w:val="21"/>
                <w:szCs w:val="21"/>
                <w:lang w:bidi="ar"/>
              </w:rPr>
              <w:t>31.78223</w:t>
            </w:r>
            <w:r>
              <w:rPr>
                <w:rFonts w:cs="Times New Roman"/>
                <w:bCs/>
                <w:sz w:val="21"/>
                <w:szCs w:val="21"/>
                <w:lang w:bidi="ar"/>
              </w:rPr>
              <w:t>°</w:t>
            </w:r>
          </w:p>
        </w:tc>
      </w:tr>
      <w:tr w14:paraId="06FAF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3FC7463B">
            <w:pPr>
              <w:spacing w:line="240" w:lineRule="auto"/>
              <w:ind w:firstLine="0" w:firstLineChars="0"/>
              <w:rPr>
                <w:rFonts w:hint="eastAsia" w:ascii="等线" w:hAnsi="等线" w:eastAsia="等线" w:cs="等线"/>
                <w:sz w:val="21"/>
              </w:rPr>
            </w:pPr>
          </w:p>
        </w:tc>
        <w:tc>
          <w:tcPr>
            <w:tcW w:w="1418" w:type="dxa"/>
            <w:vMerge w:val="restart"/>
            <w:tcBorders>
              <w:top w:val="single" w:color="auto" w:sz="4" w:space="0"/>
              <w:left w:val="single" w:color="auto" w:sz="4" w:space="0"/>
              <w:bottom w:val="single" w:color="auto" w:sz="4" w:space="0"/>
              <w:right w:val="single" w:color="auto" w:sz="4" w:space="0"/>
            </w:tcBorders>
            <w:vAlign w:val="center"/>
          </w:tcPr>
          <w:p w14:paraId="5ADE2CFC">
            <w:pPr>
              <w:spacing w:line="240" w:lineRule="auto"/>
              <w:ind w:firstLine="0" w:firstLineChars="0"/>
              <w:jc w:val="center"/>
              <w:rPr>
                <w:rFonts w:cs="Times New Roman"/>
                <w:szCs w:val="21"/>
              </w:rPr>
            </w:pPr>
            <w:r>
              <w:rPr>
                <w:rFonts w:hint="eastAsia" w:cs="Times New Roman"/>
                <w:sz w:val="21"/>
                <w:szCs w:val="21"/>
                <w:lang w:bidi="ar"/>
              </w:rPr>
              <w:t>构树群系</w:t>
            </w:r>
          </w:p>
        </w:tc>
        <w:tc>
          <w:tcPr>
            <w:tcW w:w="3543" w:type="dxa"/>
            <w:tcBorders>
              <w:top w:val="single" w:color="auto" w:sz="4" w:space="0"/>
              <w:left w:val="single" w:color="auto" w:sz="4" w:space="0"/>
              <w:bottom w:val="single" w:color="auto" w:sz="4" w:space="0"/>
              <w:right w:val="single" w:color="auto" w:sz="4" w:space="0"/>
            </w:tcBorders>
            <w:vAlign w:val="center"/>
          </w:tcPr>
          <w:p w14:paraId="18709A70">
            <w:pPr>
              <w:spacing w:line="240" w:lineRule="auto"/>
              <w:ind w:firstLine="0" w:firstLineChars="0"/>
              <w:jc w:val="center"/>
              <w:rPr>
                <w:rFonts w:cs="Times New Roman"/>
                <w:szCs w:val="21"/>
              </w:rPr>
            </w:pP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刺槐</w:t>
            </w:r>
            <w:r>
              <w:rPr>
                <w:rFonts w:cs="Times New Roman"/>
                <w:sz w:val="21"/>
                <w:szCs w:val="21"/>
                <w:lang w:bidi="ar"/>
              </w:rPr>
              <w:t>+</w:t>
            </w:r>
            <w:r>
              <w:rPr>
                <w:rFonts w:hint="eastAsia" w:cs="Times New Roman"/>
                <w:sz w:val="21"/>
                <w:szCs w:val="21"/>
                <w:lang w:bidi="ar"/>
              </w:rPr>
              <w:t>瓜木</w:t>
            </w:r>
            <w:r>
              <w:rPr>
                <w:rFonts w:cs="Times New Roman"/>
                <w:sz w:val="21"/>
                <w:szCs w:val="21"/>
                <w:lang w:bidi="ar"/>
              </w:rPr>
              <w:t>-</w:t>
            </w:r>
            <w:r>
              <w:rPr>
                <w:rFonts w:hint="eastAsia" w:cs="Times New Roman"/>
                <w:sz w:val="21"/>
                <w:szCs w:val="21"/>
                <w:lang w:bidi="ar"/>
              </w:rPr>
              <w:t>野蔷薇群丛（</w:t>
            </w:r>
            <w:r>
              <w:rPr>
                <w:rFonts w:cs="Times New Roman"/>
                <w:sz w:val="21"/>
                <w:szCs w:val="21"/>
                <w:lang w:bidi="ar"/>
              </w:rPr>
              <w:t>E3</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32E17AD4">
            <w:pPr>
              <w:spacing w:line="240" w:lineRule="auto"/>
              <w:ind w:firstLine="0" w:firstLineChars="0"/>
              <w:jc w:val="center"/>
              <w:rPr>
                <w:rFonts w:cs="Times New Roman"/>
                <w:szCs w:val="21"/>
              </w:rPr>
            </w:pPr>
            <w:r>
              <w:rPr>
                <w:rFonts w:cs="Times New Roman"/>
                <w:sz w:val="21"/>
                <w:szCs w:val="21"/>
                <w:lang w:bidi="ar"/>
              </w:rPr>
              <w:t>119.36576</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0F31DD14">
            <w:pPr>
              <w:spacing w:line="240" w:lineRule="auto"/>
              <w:ind w:firstLine="0" w:firstLineChars="0"/>
              <w:jc w:val="center"/>
              <w:rPr>
                <w:rFonts w:cs="Times New Roman"/>
                <w:szCs w:val="21"/>
              </w:rPr>
            </w:pPr>
            <w:r>
              <w:rPr>
                <w:rFonts w:cs="Times New Roman"/>
                <w:sz w:val="21"/>
                <w:szCs w:val="21"/>
                <w:lang w:bidi="ar"/>
              </w:rPr>
              <w:t>31.78874</w:t>
            </w:r>
            <w:r>
              <w:rPr>
                <w:rFonts w:cs="Times New Roman"/>
                <w:bCs/>
                <w:sz w:val="21"/>
                <w:szCs w:val="21"/>
                <w:lang w:bidi="ar"/>
              </w:rPr>
              <w:t>°</w:t>
            </w:r>
          </w:p>
        </w:tc>
      </w:tr>
      <w:tr w14:paraId="1AB23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64A424B0">
            <w:pPr>
              <w:spacing w:line="240" w:lineRule="auto"/>
              <w:ind w:firstLine="0" w:firstLineChars="0"/>
              <w:rPr>
                <w:rFonts w:hint="eastAsia" w:ascii="等线" w:hAnsi="等线" w:eastAsia="等线" w:cs="等线"/>
                <w:sz w:val="21"/>
              </w:rPr>
            </w:pP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0820525A">
            <w:pPr>
              <w:spacing w:line="240" w:lineRule="auto"/>
              <w:ind w:firstLine="0" w:firstLineChars="0"/>
              <w:rPr>
                <w:rFonts w:hint="eastAsia" w:ascii="等线" w:hAnsi="等线" w:eastAsia="等线" w:cs="等线"/>
                <w:sz w:val="21"/>
              </w:rPr>
            </w:pPr>
          </w:p>
        </w:tc>
        <w:tc>
          <w:tcPr>
            <w:tcW w:w="3543" w:type="dxa"/>
            <w:tcBorders>
              <w:top w:val="single" w:color="auto" w:sz="4" w:space="0"/>
              <w:left w:val="single" w:color="auto" w:sz="4" w:space="0"/>
              <w:bottom w:val="single" w:color="auto" w:sz="4" w:space="0"/>
              <w:right w:val="single" w:color="auto" w:sz="4" w:space="0"/>
            </w:tcBorders>
            <w:vAlign w:val="center"/>
          </w:tcPr>
          <w:p w14:paraId="5B03F513">
            <w:pPr>
              <w:spacing w:line="240" w:lineRule="auto"/>
              <w:ind w:firstLine="0" w:firstLineChars="0"/>
              <w:jc w:val="center"/>
              <w:rPr>
                <w:rFonts w:cs="Times New Roman"/>
                <w:szCs w:val="21"/>
              </w:rPr>
            </w:pP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朴树</w:t>
            </w:r>
            <w:r>
              <w:rPr>
                <w:rFonts w:cs="Times New Roman"/>
                <w:sz w:val="21"/>
                <w:szCs w:val="21"/>
                <w:lang w:bidi="ar"/>
              </w:rPr>
              <w:t>+</w:t>
            </w:r>
            <w:r>
              <w:rPr>
                <w:rFonts w:hint="eastAsia" w:cs="Times New Roman"/>
                <w:sz w:val="21"/>
                <w:szCs w:val="21"/>
                <w:lang w:bidi="ar"/>
              </w:rPr>
              <w:t>枫杨</w:t>
            </w:r>
            <w:r>
              <w:rPr>
                <w:rFonts w:cs="Times New Roman"/>
                <w:sz w:val="21"/>
                <w:szCs w:val="21"/>
                <w:lang w:bidi="ar"/>
              </w:rPr>
              <w:t>-</w:t>
            </w:r>
            <w:r>
              <w:rPr>
                <w:rFonts w:hint="eastAsia" w:cs="Times New Roman"/>
                <w:sz w:val="21"/>
                <w:szCs w:val="21"/>
                <w:lang w:bidi="ar"/>
              </w:rPr>
              <w:t>茅莓群丛（</w:t>
            </w:r>
            <w:r>
              <w:rPr>
                <w:rFonts w:cs="Times New Roman"/>
                <w:sz w:val="21"/>
                <w:szCs w:val="21"/>
                <w:lang w:bidi="ar"/>
              </w:rPr>
              <w:t>E4</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41DDC473">
            <w:pPr>
              <w:spacing w:line="240" w:lineRule="auto"/>
              <w:ind w:firstLine="0" w:firstLineChars="0"/>
              <w:jc w:val="center"/>
              <w:rPr>
                <w:rFonts w:cs="Times New Roman"/>
                <w:szCs w:val="21"/>
              </w:rPr>
            </w:pPr>
            <w:r>
              <w:rPr>
                <w:rFonts w:cs="Times New Roman"/>
                <w:sz w:val="21"/>
                <w:szCs w:val="21"/>
                <w:lang w:bidi="ar"/>
              </w:rPr>
              <w:t>119.36310</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73C654DA">
            <w:pPr>
              <w:spacing w:line="240" w:lineRule="auto"/>
              <w:ind w:firstLine="0" w:firstLineChars="0"/>
              <w:jc w:val="center"/>
              <w:rPr>
                <w:rFonts w:cs="Times New Roman"/>
                <w:szCs w:val="21"/>
              </w:rPr>
            </w:pPr>
            <w:r>
              <w:rPr>
                <w:rFonts w:cs="Times New Roman"/>
                <w:sz w:val="21"/>
                <w:szCs w:val="21"/>
                <w:lang w:bidi="ar"/>
              </w:rPr>
              <w:t>31.78248</w:t>
            </w:r>
            <w:r>
              <w:rPr>
                <w:rFonts w:cs="Times New Roman"/>
                <w:bCs/>
                <w:sz w:val="21"/>
                <w:szCs w:val="21"/>
                <w:lang w:bidi="ar"/>
              </w:rPr>
              <w:t>°</w:t>
            </w:r>
          </w:p>
        </w:tc>
      </w:tr>
      <w:tr w14:paraId="221B4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41020B87">
            <w:pPr>
              <w:spacing w:line="240" w:lineRule="auto"/>
              <w:ind w:firstLine="0" w:firstLineChars="0"/>
              <w:rPr>
                <w:rFonts w:hint="eastAsia" w:ascii="等线" w:hAnsi="等线" w:eastAsia="等线" w:cs="等线"/>
                <w:sz w:val="21"/>
              </w:rPr>
            </w:pPr>
          </w:p>
        </w:tc>
        <w:tc>
          <w:tcPr>
            <w:tcW w:w="1418" w:type="dxa"/>
            <w:vMerge w:val="restart"/>
            <w:tcBorders>
              <w:top w:val="single" w:color="auto" w:sz="4" w:space="0"/>
              <w:left w:val="single" w:color="auto" w:sz="4" w:space="0"/>
              <w:bottom w:val="single" w:color="auto" w:sz="4" w:space="0"/>
              <w:right w:val="single" w:color="auto" w:sz="4" w:space="0"/>
            </w:tcBorders>
            <w:vAlign w:val="center"/>
          </w:tcPr>
          <w:p w14:paraId="06811A1B">
            <w:pPr>
              <w:spacing w:line="240" w:lineRule="auto"/>
              <w:ind w:firstLine="0" w:firstLineChars="0"/>
              <w:jc w:val="center"/>
              <w:rPr>
                <w:rFonts w:cs="Times New Roman"/>
                <w:szCs w:val="21"/>
              </w:rPr>
            </w:pPr>
            <w:r>
              <w:rPr>
                <w:rFonts w:hint="eastAsia" w:cs="Times New Roman"/>
                <w:sz w:val="21"/>
                <w:szCs w:val="21"/>
                <w:lang w:bidi="ar"/>
              </w:rPr>
              <w:t>枫杨群丛</w:t>
            </w:r>
          </w:p>
        </w:tc>
        <w:tc>
          <w:tcPr>
            <w:tcW w:w="3543" w:type="dxa"/>
            <w:tcBorders>
              <w:top w:val="single" w:color="auto" w:sz="4" w:space="0"/>
              <w:left w:val="single" w:color="auto" w:sz="4" w:space="0"/>
              <w:bottom w:val="single" w:color="auto" w:sz="4" w:space="0"/>
              <w:right w:val="single" w:color="auto" w:sz="4" w:space="0"/>
            </w:tcBorders>
            <w:vAlign w:val="center"/>
          </w:tcPr>
          <w:p w14:paraId="21D32C0B">
            <w:pPr>
              <w:spacing w:line="240" w:lineRule="auto"/>
              <w:ind w:firstLine="0" w:firstLineChars="0"/>
              <w:jc w:val="center"/>
              <w:rPr>
                <w:rFonts w:cs="Times New Roman"/>
                <w:szCs w:val="21"/>
              </w:rPr>
            </w:pPr>
            <w:r>
              <w:rPr>
                <w:rFonts w:hint="eastAsia" w:cs="Times New Roman"/>
                <w:sz w:val="21"/>
                <w:szCs w:val="21"/>
                <w:lang w:bidi="ar"/>
              </w:rPr>
              <w:t>枫杨</w:t>
            </w:r>
            <w:r>
              <w:rPr>
                <w:rFonts w:cs="Times New Roman"/>
                <w:sz w:val="21"/>
                <w:szCs w:val="21"/>
                <w:lang w:bidi="ar"/>
              </w:rPr>
              <w:t>-</w:t>
            </w: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瓜木</w:t>
            </w:r>
            <w:r>
              <w:rPr>
                <w:rFonts w:cs="Times New Roman"/>
                <w:sz w:val="21"/>
                <w:szCs w:val="21"/>
                <w:lang w:bidi="ar"/>
              </w:rPr>
              <w:t>-</w:t>
            </w:r>
            <w:r>
              <w:rPr>
                <w:rFonts w:hint="eastAsia" w:cs="Times New Roman"/>
                <w:sz w:val="21"/>
                <w:szCs w:val="21"/>
                <w:lang w:bidi="ar"/>
              </w:rPr>
              <w:t>茅莓群丛（</w:t>
            </w:r>
            <w:r>
              <w:rPr>
                <w:rFonts w:cs="Times New Roman"/>
                <w:sz w:val="21"/>
                <w:szCs w:val="21"/>
                <w:lang w:bidi="ar"/>
              </w:rPr>
              <w:t>E5</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3D4D583F">
            <w:pPr>
              <w:spacing w:line="240" w:lineRule="auto"/>
              <w:ind w:firstLine="0" w:firstLineChars="0"/>
              <w:jc w:val="center"/>
              <w:rPr>
                <w:rFonts w:cs="Times New Roman"/>
                <w:szCs w:val="21"/>
              </w:rPr>
            </w:pPr>
            <w:r>
              <w:rPr>
                <w:rFonts w:cs="Times New Roman"/>
                <w:sz w:val="21"/>
                <w:szCs w:val="21"/>
                <w:lang w:bidi="ar"/>
              </w:rPr>
              <w:t>119.32505</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5B3F2FD8">
            <w:pPr>
              <w:spacing w:line="240" w:lineRule="auto"/>
              <w:ind w:firstLine="0" w:firstLineChars="0"/>
              <w:jc w:val="center"/>
              <w:rPr>
                <w:rFonts w:cs="Times New Roman"/>
                <w:szCs w:val="21"/>
              </w:rPr>
            </w:pPr>
            <w:r>
              <w:rPr>
                <w:rFonts w:cs="Times New Roman"/>
                <w:sz w:val="21"/>
                <w:szCs w:val="21"/>
                <w:lang w:bidi="ar"/>
              </w:rPr>
              <w:t>31.77314</w:t>
            </w:r>
            <w:r>
              <w:rPr>
                <w:rFonts w:cs="Times New Roman"/>
                <w:bCs/>
                <w:sz w:val="21"/>
                <w:szCs w:val="21"/>
                <w:lang w:bidi="ar"/>
              </w:rPr>
              <w:t>°</w:t>
            </w:r>
          </w:p>
        </w:tc>
      </w:tr>
      <w:tr w14:paraId="22BC4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0C390678">
            <w:pPr>
              <w:spacing w:line="240" w:lineRule="auto"/>
              <w:ind w:firstLine="0" w:firstLineChars="0"/>
              <w:rPr>
                <w:rFonts w:hint="eastAsia" w:ascii="等线" w:hAnsi="等线" w:eastAsia="等线" w:cs="等线"/>
                <w:sz w:val="21"/>
              </w:rPr>
            </w:pP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02B9E624">
            <w:pPr>
              <w:spacing w:line="240" w:lineRule="auto"/>
              <w:ind w:firstLine="0" w:firstLineChars="0"/>
              <w:rPr>
                <w:rFonts w:hint="eastAsia" w:ascii="等线" w:hAnsi="等线" w:eastAsia="等线" w:cs="等线"/>
                <w:sz w:val="21"/>
              </w:rPr>
            </w:pPr>
          </w:p>
        </w:tc>
        <w:tc>
          <w:tcPr>
            <w:tcW w:w="3543" w:type="dxa"/>
            <w:tcBorders>
              <w:top w:val="single" w:color="auto" w:sz="4" w:space="0"/>
              <w:left w:val="single" w:color="auto" w:sz="4" w:space="0"/>
              <w:bottom w:val="single" w:color="auto" w:sz="4" w:space="0"/>
              <w:right w:val="single" w:color="auto" w:sz="4" w:space="0"/>
            </w:tcBorders>
            <w:vAlign w:val="center"/>
          </w:tcPr>
          <w:p w14:paraId="30BE9D90">
            <w:pPr>
              <w:spacing w:line="240" w:lineRule="auto"/>
              <w:ind w:firstLine="0" w:firstLineChars="0"/>
              <w:jc w:val="center"/>
              <w:rPr>
                <w:rFonts w:cs="Times New Roman"/>
                <w:szCs w:val="21"/>
              </w:rPr>
            </w:pPr>
            <w:r>
              <w:rPr>
                <w:rFonts w:hint="eastAsia" w:cs="Times New Roman"/>
                <w:sz w:val="21"/>
                <w:szCs w:val="21"/>
                <w:lang w:bidi="ar"/>
              </w:rPr>
              <w:t>枫杨</w:t>
            </w:r>
            <w:r>
              <w:rPr>
                <w:rFonts w:cs="Times New Roman"/>
                <w:sz w:val="21"/>
                <w:szCs w:val="21"/>
                <w:lang w:bidi="ar"/>
              </w:rPr>
              <w:t>-</w:t>
            </w:r>
            <w:r>
              <w:rPr>
                <w:rFonts w:hint="eastAsia" w:cs="Times New Roman"/>
                <w:sz w:val="21"/>
                <w:szCs w:val="21"/>
                <w:lang w:bidi="ar"/>
              </w:rPr>
              <w:t>朴树</w:t>
            </w:r>
            <w:r>
              <w:rPr>
                <w:rFonts w:cs="Times New Roman"/>
                <w:sz w:val="21"/>
                <w:szCs w:val="21"/>
                <w:lang w:bidi="ar"/>
              </w:rPr>
              <w:t>+</w:t>
            </w:r>
            <w:r>
              <w:rPr>
                <w:rFonts w:hint="eastAsia" w:cs="Times New Roman"/>
                <w:sz w:val="21"/>
                <w:szCs w:val="21"/>
                <w:lang w:bidi="ar"/>
              </w:rPr>
              <w:t>刺槐</w:t>
            </w:r>
            <w:r>
              <w:rPr>
                <w:rFonts w:cs="Times New Roman"/>
                <w:sz w:val="21"/>
                <w:szCs w:val="21"/>
                <w:lang w:bidi="ar"/>
              </w:rPr>
              <w:t>+</w:t>
            </w:r>
            <w:r>
              <w:rPr>
                <w:rFonts w:hint="eastAsia" w:cs="Times New Roman"/>
                <w:sz w:val="21"/>
                <w:szCs w:val="21"/>
                <w:lang w:bidi="ar"/>
              </w:rPr>
              <w:t>八角枫</w:t>
            </w:r>
            <w:r>
              <w:rPr>
                <w:rFonts w:cs="Times New Roman"/>
                <w:sz w:val="21"/>
                <w:szCs w:val="21"/>
                <w:lang w:bidi="ar"/>
              </w:rPr>
              <w:t>-</w:t>
            </w:r>
            <w:r>
              <w:rPr>
                <w:rFonts w:hint="eastAsia" w:cs="Times New Roman"/>
                <w:sz w:val="21"/>
                <w:szCs w:val="21"/>
                <w:lang w:bidi="ar"/>
              </w:rPr>
              <w:t>野蔷薇</w:t>
            </w:r>
            <w:r>
              <w:rPr>
                <w:rFonts w:cs="Times New Roman"/>
                <w:sz w:val="21"/>
                <w:szCs w:val="21"/>
                <w:lang w:bidi="ar"/>
              </w:rPr>
              <w:t>+</w:t>
            </w:r>
            <w:r>
              <w:rPr>
                <w:rFonts w:hint="eastAsia" w:cs="Times New Roman"/>
                <w:sz w:val="21"/>
                <w:szCs w:val="21"/>
                <w:lang w:bidi="ar"/>
              </w:rPr>
              <w:t>竹叶椒群丛（</w:t>
            </w:r>
            <w:r>
              <w:rPr>
                <w:rFonts w:cs="Times New Roman"/>
                <w:sz w:val="21"/>
                <w:szCs w:val="21"/>
                <w:lang w:bidi="ar"/>
              </w:rPr>
              <w:t>E6</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1BAF76C8">
            <w:pPr>
              <w:spacing w:line="240" w:lineRule="auto"/>
              <w:ind w:firstLine="0" w:firstLineChars="0"/>
              <w:jc w:val="center"/>
              <w:rPr>
                <w:rFonts w:cs="Times New Roman"/>
                <w:szCs w:val="21"/>
              </w:rPr>
            </w:pPr>
            <w:r>
              <w:rPr>
                <w:rFonts w:cs="Times New Roman"/>
                <w:sz w:val="21"/>
                <w:szCs w:val="21"/>
                <w:lang w:bidi="ar"/>
              </w:rPr>
              <w:t>119.34894</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356C9C7E">
            <w:pPr>
              <w:spacing w:line="240" w:lineRule="auto"/>
              <w:ind w:firstLine="0" w:firstLineChars="0"/>
              <w:jc w:val="center"/>
              <w:rPr>
                <w:rFonts w:cs="Times New Roman"/>
                <w:szCs w:val="21"/>
              </w:rPr>
            </w:pPr>
            <w:r>
              <w:rPr>
                <w:rFonts w:cs="Times New Roman"/>
                <w:sz w:val="21"/>
                <w:szCs w:val="21"/>
                <w:lang w:bidi="ar"/>
              </w:rPr>
              <w:t>31.77554</w:t>
            </w:r>
            <w:r>
              <w:rPr>
                <w:rFonts w:cs="Times New Roman"/>
                <w:bCs/>
                <w:sz w:val="21"/>
                <w:szCs w:val="21"/>
                <w:lang w:bidi="ar"/>
              </w:rPr>
              <w:t>°</w:t>
            </w:r>
          </w:p>
        </w:tc>
      </w:tr>
      <w:tr w14:paraId="13787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2CC972C8">
            <w:pPr>
              <w:spacing w:line="240" w:lineRule="auto"/>
              <w:ind w:firstLine="0" w:firstLineChars="0"/>
              <w:rPr>
                <w:rFonts w:hint="eastAsia" w:ascii="等线" w:hAnsi="等线" w:eastAsia="等线" w:cs="等线"/>
                <w:sz w:val="21"/>
              </w:rPr>
            </w:pPr>
          </w:p>
        </w:tc>
        <w:tc>
          <w:tcPr>
            <w:tcW w:w="1418" w:type="dxa"/>
            <w:vMerge w:val="restart"/>
            <w:tcBorders>
              <w:top w:val="single" w:color="auto" w:sz="4" w:space="0"/>
              <w:left w:val="single" w:color="auto" w:sz="4" w:space="0"/>
              <w:bottom w:val="single" w:color="auto" w:sz="4" w:space="0"/>
              <w:right w:val="single" w:color="auto" w:sz="4" w:space="0"/>
            </w:tcBorders>
            <w:vAlign w:val="center"/>
          </w:tcPr>
          <w:p w14:paraId="47453FF1">
            <w:pPr>
              <w:spacing w:line="240" w:lineRule="auto"/>
              <w:ind w:firstLine="0" w:firstLineChars="0"/>
              <w:jc w:val="center"/>
              <w:rPr>
                <w:rFonts w:cs="Times New Roman"/>
                <w:szCs w:val="21"/>
              </w:rPr>
            </w:pPr>
            <w:r>
              <w:rPr>
                <w:rFonts w:hint="eastAsia" w:cs="Times New Roman"/>
                <w:sz w:val="21"/>
                <w:szCs w:val="21"/>
                <w:lang w:bidi="ar"/>
              </w:rPr>
              <w:t>构树、刺槐群系</w:t>
            </w:r>
          </w:p>
        </w:tc>
        <w:tc>
          <w:tcPr>
            <w:tcW w:w="3543" w:type="dxa"/>
            <w:tcBorders>
              <w:top w:val="single" w:color="auto" w:sz="4" w:space="0"/>
              <w:left w:val="single" w:color="auto" w:sz="4" w:space="0"/>
              <w:bottom w:val="single" w:color="auto" w:sz="4" w:space="0"/>
              <w:right w:val="single" w:color="auto" w:sz="4" w:space="0"/>
            </w:tcBorders>
            <w:vAlign w:val="center"/>
          </w:tcPr>
          <w:p w14:paraId="46B2DFDC">
            <w:pPr>
              <w:spacing w:line="240" w:lineRule="auto"/>
              <w:ind w:firstLine="0" w:firstLineChars="0"/>
              <w:jc w:val="center"/>
              <w:rPr>
                <w:rFonts w:cs="Times New Roman"/>
                <w:szCs w:val="21"/>
              </w:rPr>
            </w:pP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刺槐</w:t>
            </w:r>
            <w:r>
              <w:rPr>
                <w:rFonts w:cs="Times New Roman"/>
                <w:sz w:val="21"/>
                <w:szCs w:val="21"/>
                <w:lang w:bidi="ar"/>
              </w:rPr>
              <w:t>-</w:t>
            </w:r>
            <w:r>
              <w:rPr>
                <w:rFonts w:hint="eastAsia" w:cs="Times New Roman"/>
                <w:sz w:val="21"/>
                <w:szCs w:val="21"/>
                <w:lang w:bidi="ar"/>
              </w:rPr>
              <w:t>朴树</w:t>
            </w:r>
            <w:r>
              <w:rPr>
                <w:rFonts w:cs="Times New Roman"/>
                <w:sz w:val="21"/>
                <w:szCs w:val="21"/>
                <w:lang w:bidi="ar"/>
              </w:rPr>
              <w:t>-</w:t>
            </w:r>
            <w:r>
              <w:rPr>
                <w:rFonts w:hint="eastAsia" w:cs="Times New Roman"/>
                <w:sz w:val="21"/>
                <w:szCs w:val="21"/>
                <w:lang w:bidi="ar"/>
              </w:rPr>
              <w:t>海州常山</w:t>
            </w:r>
            <w:r>
              <w:rPr>
                <w:rFonts w:cs="Times New Roman"/>
                <w:sz w:val="21"/>
                <w:szCs w:val="21"/>
                <w:lang w:bidi="ar"/>
              </w:rPr>
              <w:t>+</w:t>
            </w:r>
            <w:r>
              <w:rPr>
                <w:rFonts w:hint="eastAsia" w:cs="Times New Roman"/>
                <w:sz w:val="21"/>
                <w:szCs w:val="21"/>
                <w:lang w:bidi="ar"/>
              </w:rPr>
              <w:t>野蔷薇</w:t>
            </w:r>
            <w:r>
              <w:rPr>
                <w:rFonts w:cs="Times New Roman"/>
                <w:sz w:val="21"/>
                <w:szCs w:val="21"/>
                <w:lang w:bidi="ar"/>
              </w:rPr>
              <w:t>+</w:t>
            </w:r>
            <w:r>
              <w:rPr>
                <w:rFonts w:hint="eastAsia" w:cs="Times New Roman"/>
                <w:sz w:val="21"/>
                <w:szCs w:val="21"/>
                <w:lang w:bidi="ar"/>
              </w:rPr>
              <w:t>马棘群丛（</w:t>
            </w:r>
            <w:r>
              <w:rPr>
                <w:rFonts w:cs="Times New Roman"/>
                <w:sz w:val="21"/>
                <w:szCs w:val="21"/>
                <w:lang w:bidi="ar"/>
              </w:rPr>
              <w:t>E7</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5742D68F">
            <w:pPr>
              <w:spacing w:line="240" w:lineRule="auto"/>
              <w:ind w:firstLine="0" w:firstLineChars="0"/>
              <w:jc w:val="center"/>
              <w:rPr>
                <w:rFonts w:cs="Times New Roman"/>
                <w:szCs w:val="21"/>
              </w:rPr>
            </w:pPr>
            <w:r>
              <w:rPr>
                <w:rFonts w:cs="Times New Roman"/>
                <w:sz w:val="21"/>
                <w:szCs w:val="21"/>
                <w:lang w:bidi="ar"/>
              </w:rPr>
              <w:t>119.36267</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3A2E0B69">
            <w:pPr>
              <w:spacing w:line="240" w:lineRule="auto"/>
              <w:ind w:firstLine="0" w:firstLineChars="0"/>
              <w:jc w:val="center"/>
              <w:rPr>
                <w:rFonts w:cs="Times New Roman"/>
                <w:szCs w:val="21"/>
              </w:rPr>
            </w:pPr>
            <w:r>
              <w:rPr>
                <w:rFonts w:cs="Times New Roman"/>
                <w:sz w:val="21"/>
                <w:szCs w:val="21"/>
                <w:lang w:bidi="ar"/>
              </w:rPr>
              <w:t>31.77425</w:t>
            </w:r>
            <w:r>
              <w:rPr>
                <w:rFonts w:cs="Times New Roman"/>
                <w:bCs/>
                <w:sz w:val="21"/>
                <w:szCs w:val="21"/>
                <w:lang w:bidi="ar"/>
              </w:rPr>
              <w:t>°</w:t>
            </w:r>
          </w:p>
        </w:tc>
      </w:tr>
      <w:tr w14:paraId="1017A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10944047">
            <w:pPr>
              <w:spacing w:line="240" w:lineRule="auto"/>
              <w:ind w:firstLine="0" w:firstLineChars="0"/>
              <w:rPr>
                <w:rFonts w:hint="eastAsia" w:ascii="等线" w:hAnsi="等线" w:eastAsia="等线" w:cs="等线"/>
                <w:sz w:val="21"/>
              </w:rPr>
            </w:pP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2272A7C1">
            <w:pPr>
              <w:spacing w:line="240" w:lineRule="auto"/>
              <w:ind w:firstLine="0" w:firstLineChars="0"/>
              <w:rPr>
                <w:rFonts w:hint="eastAsia" w:ascii="等线" w:hAnsi="等线" w:eastAsia="等线" w:cs="等线"/>
                <w:sz w:val="21"/>
              </w:rPr>
            </w:pPr>
          </w:p>
        </w:tc>
        <w:tc>
          <w:tcPr>
            <w:tcW w:w="3543" w:type="dxa"/>
            <w:tcBorders>
              <w:top w:val="single" w:color="auto" w:sz="4" w:space="0"/>
              <w:left w:val="single" w:color="auto" w:sz="4" w:space="0"/>
              <w:bottom w:val="single" w:color="auto" w:sz="4" w:space="0"/>
              <w:right w:val="single" w:color="auto" w:sz="4" w:space="0"/>
            </w:tcBorders>
            <w:vAlign w:val="center"/>
          </w:tcPr>
          <w:p w14:paraId="239A674A">
            <w:pPr>
              <w:spacing w:line="240" w:lineRule="auto"/>
              <w:ind w:firstLine="0" w:firstLineChars="0"/>
              <w:jc w:val="center"/>
              <w:rPr>
                <w:rFonts w:cs="Times New Roman"/>
                <w:szCs w:val="21"/>
              </w:rPr>
            </w:pP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刺槐</w:t>
            </w:r>
            <w:r>
              <w:rPr>
                <w:rFonts w:cs="Times New Roman"/>
                <w:sz w:val="21"/>
                <w:szCs w:val="21"/>
                <w:lang w:bidi="ar"/>
              </w:rPr>
              <w:t>-</w:t>
            </w:r>
            <w:r>
              <w:rPr>
                <w:rFonts w:hint="eastAsia" w:cs="Times New Roman"/>
                <w:sz w:val="21"/>
                <w:szCs w:val="21"/>
                <w:lang w:bidi="ar"/>
              </w:rPr>
              <w:t>朴树</w:t>
            </w:r>
            <w:r>
              <w:rPr>
                <w:rFonts w:cs="Times New Roman"/>
                <w:sz w:val="21"/>
                <w:szCs w:val="21"/>
                <w:lang w:bidi="ar"/>
              </w:rPr>
              <w:t>-</w:t>
            </w:r>
            <w:r>
              <w:rPr>
                <w:rFonts w:hint="eastAsia" w:cs="Times New Roman"/>
                <w:sz w:val="21"/>
                <w:szCs w:val="21"/>
                <w:lang w:bidi="ar"/>
              </w:rPr>
              <w:t>野蔷薇群丛（</w:t>
            </w:r>
            <w:r>
              <w:rPr>
                <w:rFonts w:cs="Times New Roman"/>
                <w:sz w:val="21"/>
                <w:szCs w:val="21"/>
                <w:lang w:bidi="ar"/>
              </w:rPr>
              <w:t>E8</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757942FE">
            <w:pPr>
              <w:spacing w:line="240" w:lineRule="auto"/>
              <w:ind w:firstLine="0" w:firstLineChars="0"/>
              <w:jc w:val="center"/>
              <w:rPr>
                <w:rFonts w:cs="Times New Roman"/>
                <w:szCs w:val="21"/>
              </w:rPr>
            </w:pPr>
            <w:r>
              <w:rPr>
                <w:rFonts w:cs="Times New Roman"/>
                <w:sz w:val="21"/>
                <w:szCs w:val="21"/>
                <w:lang w:bidi="ar"/>
              </w:rPr>
              <w:t>119.32926</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480C048E">
            <w:pPr>
              <w:spacing w:line="240" w:lineRule="auto"/>
              <w:ind w:firstLine="0" w:firstLineChars="0"/>
              <w:jc w:val="center"/>
              <w:rPr>
                <w:rFonts w:cs="Times New Roman"/>
                <w:szCs w:val="21"/>
              </w:rPr>
            </w:pPr>
            <w:r>
              <w:rPr>
                <w:rFonts w:cs="Times New Roman"/>
                <w:sz w:val="21"/>
                <w:szCs w:val="21"/>
                <w:lang w:bidi="ar"/>
              </w:rPr>
              <w:t>31.76756</w:t>
            </w:r>
            <w:r>
              <w:rPr>
                <w:rFonts w:cs="Times New Roman"/>
                <w:bCs/>
                <w:sz w:val="21"/>
                <w:szCs w:val="21"/>
                <w:lang w:bidi="ar"/>
              </w:rPr>
              <w:t>°</w:t>
            </w:r>
          </w:p>
        </w:tc>
      </w:tr>
      <w:tr w14:paraId="08E50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76502B4C">
            <w:pPr>
              <w:spacing w:line="240" w:lineRule="auto"/>
              <w:ind w:firstLine="0" w:firstLineChars="0"/>
              <w:rPr>
                <w:rFonts w:hint="eastAsia" w:ascii="等线" w:hAnsi="等线" w:eastAsia="等线" w:cs="等线"/>
                <w:sz w:val="21"/>
              </w:rPr>
            </w:pP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7C99FFF6">
            <w:pPr>
              <w:spacing w:line="240" w:lineRule="auto"/>
              <w:ind w:firstLine="0" w:firstLineChars="0"/>
              <w:rPr>
                <w:rFonts w:hint="eastAsia" w:ascii="等线" w:hAnsi="等线" w:eastAsia="等线" w:cs="等线"/>
                <w:sz w:val="21"/>
              </w:rPr>
            </w:pPr>
          </w:p>
        </w:tc>
        <w:tc>
          <w:tcPr>
            <w:tcW w:w="3543" w:type="dxa"/>
            <w:tcBorders>
              <w:top w:val="single" w:color="auto" w:sz="4" w:space="0"/>
              <w:left w:val="single" w:color="auto" w:sz="4" w:space="0"/>
              <w:bottom w:val="single" w:color="auto" w:sz="4" w:space="0"/>
              <w:right w:val="single" w:color="auto" w:sz="4" w:space="0"/>
            </w:tcBorders>
            <w:vAlign w:val="center"/>
          </w:tcPr>
          <w:p w14:paraId="3AFD7C39">
            <w:pPr>
              <w:spacing w:line="240" w:lineRule="auto"/>
              <w:ind w:firstLine="0" w:firstLineChars="0"/>
              <w:jc w:val="center"/>
              <w:rPr>
                <w:rFonts w:cs="Times New Roman"/>
                <w:szCs w:val="21"/>
              </w:rPr>
            </w:pP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刺槐</w:t>
            </w:r>
            <w:r>
              <w:rPr>
                <w:rFonts w:cs="Times New Roman"/>
                <w:sz w:val="21"/>
                <w:szCs w:val="21"/>
                <w:lang w:bidi="ar"/>
              </w:rPr>
              <w:t>-</w:t>
            </w:r>
            <w:r>
              <w:rPr>
                <w:rFonts w:hint="eastAsia" w:cs="Times New Roman"/>
                <w:sz w:val="21"/>
                <w:szCs w:val="21"/>
                <w:lang w:bidi="ar"/>
              </w:rPr>
              <w:t>瓜木</w:t>
            </w:r>
            <w:r>
              <w:rPr>
                <w:rFonts w:cs="Times New Roman"/>
                <w:sz w:val="21"/>
                <w:szCs w:val="21"/>
                <w:lang w:bidi="ar"/>
              </w:rPr>
              <w:t>+</w:t>
            </w:r>
            <w:r>
              <w:rPr>
                <w:rFonts w:hint="eastAsia" w:cs="Times New Roman"/>
                <w:sz w:val="21"/>
                <w:szCs w:val="21"/>
                <w:lang w:bidi="ar"/>
              </w:rPr>
              <w:t>朴树</w:t>
            </w:r>
            <w:r>
              <w:rPr>
                <w:rFonts w:cs="Times New Roman"/>
                <w:sz w:val="21"/>
                <w:szCs w:val="21"/>
                <w:lang w:bidi="ar"/>
              </w:rPr>
              <w:t>-</w:t>
            </w:r>
            <w:r>
              <w:rPr>
                <w:rFonts w:hint="eastAsia" w:cs="Times New Roman"/>
                <w:sz w:val="21"/>
                <w:szCs w:val="21"/>
                <w:lang w:bidi="ar"/>
              </w:rPr>
              <w:t>野蔷薇群丛（</w:t>
            </w:r>
            <w:r>
              <w:rPr>
                <w:rFonts w:cs="Times New Roman"/>
                <w:sz w:val="21"/>
                <w:szCs w:val="21"/>
                <w:lang w:bidi="ar"/>
              </w:rPr>
              <w:t>E9</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29937A4A">
            <w:pPr>
              <w:spacing w:line="240" w:lineRule="auto"/>
              <w:ind w:firstLine="0" w:firstLineChars="0"/>
              <w:jc w:val="center"/>
              <w:rPr>
                <w:rFonts w:cs="Times New Roman"/>
                <w:szCs w:val="21"/>
              </w:rPr>
            </w:pPr>
            <w:r>
              <w:rPr>
                <w:rFonts w:cs="Times New Roman"/>
                <w:sz w:val="21"/>
                <w:szCs w:val="21"/>
                <w:lang w:bidi="ar"/>
              </w:rPr>
              <w:t>119.33903</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19C72BB9">
            <w:pPr>
              <w:spacing w:line="240" w:lineRule="auto"/>
              <w:ind w:firstLine="0" w:firstLineChars="0"/>
              <w:jc w:val="center"/>
              <w:rPr>
                <w:rFonts w:cs="Times New Roman"/>
                <w:szCs w:val="21"/>
              </w:rPr>
            </w:pPr>
            <w:r>
              <w:rPr>
                <w:rFonts w:cs="Times New Roman"/>
                <w:sz w:val="21"/>
                <w:szCs w:val="21"/>
                <w:lang w:bidi="ar"/>
              </w:rPr>
              <w:t>31.76713</w:t>
            </w:r>
            <w:r>
              <w:rPr>
                <w:rFonts w:cs="Times New Roman"/>
                <w:bCs/>
                <w:sz w:val="21"/>
                <w:szCs w:val="21"/>
                <w:lang w:bidi="ar"/>
              </w:rPr>
              <w:t>°</w:t>
            </w:r>
          </w:p>
        </w:tc>
      </w:tr>
      <w:tr w14:paraId="6E963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562088B1">
            <w:pPr>
              <w:spacing w:line="240" w:lineRule="auto"/>
              <w:ind w:firstLine="0" w:firstLineChars="0"/>
              <w:rPr>
                <w:rFonts w:hint="eastAsia" w:ascii="等线" w:hAnsi="等线" w:eastAsia="等线" w:cs="等线"/>
                <w:sz w:val="21"/>
              </w:rPr>
            </w:pP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3928E2F7">
            <w:pPr>
              <w:spacing w:line="240" w:lineRule="auto"/>
              <w:ind w:firstLine="0" w:firstLineChars="0"/>
              <w:rPr>
                <w:rFonts w:hint="eastAsia" w:ascii="等线" w:hAnsi="等线" w:eastAsia="等线" w:cs="等线"/>
                <w:sz w:val="21"/>
              </w:rPr>
            </w:pPr>
          </w:p>
        </w:tc>
        <w:tc>
          <w:tcPr>
            <w:tcW w:w="3543" w:type="dxa"/>
            <w:tcBorders>
              <w:top w:val="single" w:color="auto" w:sz="4" w:space="0"/>
              <w:left w:val="single" w:color="auto" w:sz="4" w:space="0"/>
              <w:bottom w:val="single" w:color="auto" w:sz="4" w:space="0"/>
              <w:right w:val="single" w:color="auto" w:sz="4" w:space="0"/>
            </w:tcBorders>
            <w:vAlign w:val="center"/>
          </w:tcPr>
          <w:p w14:paraId="7097F073">
            <w:pPr>
              <w:spacing w:line="240" w:lineRule="auto"/>
              <w:ind w:firstLine="0" w:firstLineChars="0"/>
              <w:jc w:val="center"/>
              <w:rPr>
                <w:rFonts w:cs="Times New Roman"/>
                <w:szCs w:val="21"/>
              </w:rPr>
            </w:pP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刺槐</w:t>
            </w:r>
            <w:r>
              <w:rPr>
                <w:rFonts w:cs="Times New Roman"/>
                <w:sz w:val="21"/>
                <w:szCs w:val="21"/>
                <w:lang w:bidi="ar"/>
              </w:rPr>
              <w:t>-</w:t>
            </w:r>
            <w:r>
              <w:rPr>
                <w:rFonts w:hint="eastAsia" w:cs="Times New Roman"/>
                <w:sz w:val="21"/>
                <w:szCs w:val="21"/>
                <w:lang w:bidi="ar"/>
              </w:rPr>
              <w:t>朴树</w:t>
            </w:r>
            <w:r>
              <w:rPr>
                <w:rFonts w:cs="Times New Roman"/>
                <w:sz w:val="21"/>
                <w:szCs w:val="21"/>
                <w:lang w:bidi="ar"/>
              </w:rPr>
              <w:t>+</w:t>
            </w:r>
            <w:r>
              <w:rPr>
                <w:rFonts w:hint="eastAsia" w:cs="Times New Roman"/>
                <w:sz w:val="21"/>
                <w:szCs w:val="21"/>
                <w:lang w:bidi="ar"/>
              </w:rPr>
              <w:t>瓜木</w:t>
            </w:r>
            <w:r>
              <w:rPr>
                <w:rFonts w:cs="Times New Roman"/>
                <w:sz w:val="21"/>
                <w:szCs w:val="21"/>
                <w:lang w:bidi="ar"/>
              </w:rPr>
              <w:t>-</w:t>
            </w:r>
            <w:r>
              <w:rPr>
                <w:rFonts w:hint="eastAsia" w:cs="Times New Roman"/>
                <w:sz w:val="21"/>
                <w:szCs w:val="21"/>
                <w:lang w:bidi="ar"/>
              </w:rPr>
              <w:t>木通</w:t>
            </w:r>
            <w:r>
              <w:rPr>
                <w:rFonts w:cs="Times New Roman"/>
                <w:sz w:val="21"/>
                <w:szCs w:val="21"/>
                <w:lang w:bidi="ar"/>
              </w:rPr>
              <w:t>+</w:t>
            </w:r>
            <w:r>
              <w:rPr>
                <w:rFonts w:hint="eastAsia" w:cs="Times New Roman"/>
                <w:sz w:val="21"/>
                <w:szCs w:val="21"/>
                <w:lang w:bidi="ar"/>
              </w:rPr>
              <w:t>枸杞群丛（</w:t>
            </w:r>
            <w:r>
              <w:rPr>
                <w:rFonts w:cs="Times New Roman"/>
                <w:sz w:val="21"/>
                <w:szCs w:val="21"/>
                <w:lang w:bidi="ar"/>
              </w:rPr>
              <w:t>E10</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0FF05A00">
            <w:pPr>
              <w:spacing w:line="240" w:lineRule="auto"/>
              <w:ind w:firstLine="0" w:firstLineChars="0"/>
              <w:jc w:val="center"/>
              <w:rPr>
                <w:rFonts w:cs="Times New Roman"/>
                <w:szCs w:val="21"/>
              </w:rPr>
            </w:pPr>
            <w:r>
              <w:rPr>
                <w:rFonts w:cs="Times New Roman"/>
                <w:sz w:val="21"/>
                <w:szCs w:val="21"/>
                <w:lang w:bidi="ar"/>
              </w:rPr>
              <w:t>119.35110</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12B96CF9">
            <w:pPr>
              <w:spacing w:line="240" w:lineRule="auto"/>
              <w:ind w:firstLine="0" w:firstLineChars="0"/>
              <w:jc w:val="center"/>
              <w:rPr>
                <w:rFonts w:cs="Times New Roman"/>
                <w:szCs w:val="21"/>
              </w:rPr>
            </w:pPr>
            <w:r>
              <w:rPr>
                <w:rFonts w:cs="Times New Roman"/>
                <w:sz w:val="21"/>
                <w:szCs w:val="21"/>
                <w:lang w:bidi="ar"/>
              </w:rPr>
              <w:t>31.76565</w:t>
            </w:r>
            <w:r>
              <w:rPr>
                <w:rFonts w:cs="Times New Roman"/>
                <w:bCs/>
                <w:sz w:val="21"/>
                <w:szCs w:val="21"/>
                <w:lang w:bidi="ar"/>
              </w:rPr>
              <w:t>°</w:t>
            </w:r>
          </w:p>
        </w:tc>
      </w:tr>
      <w:tr w14:paraId="39396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14D7A8BB">
            <w:pPr>
              <w:spacing w:line="240" w:lineRule="auto"/>
              <w:ind w:firstLine="0" w:firstLineChars="0"/>
              <w:rPr>
                <w:rFonts w:hint="eastAsia" w:ascii="等线" w:hAnsi="等线" w:eastAsia="等线" w:cs="等线"/>
                <w:sz w:val="21"/>
              </w:rPr>
            </w:pPr>
          </w:p>
        </w:tc>
        <w:tc>
          <w:tcPr>
            <w:tcW w:w="1418" w:type="dxa"/>
            <w:tcBorders>
              <w:top w:val="single" w:color="auto" w:sz="4" w:space="0"/>
              <w:left w:val="single" w:color="auto" w:sz="4" w:space="0"/>
              <w:bottom w:val="single" w:color="auto" w:sz="4" w:space="0"/>
              <w:right w:val="single" w:color="auto" w:sz="4" w:space="0"/>
            </w:tcBorders>
            <w:vAlign w:val="center"/>
          </w:tcPr>
          <w:p w14:paraId="3070DB56">
            <w:pPr>
              <w:spacing w:line="240" w:lineRule="auto"/>
              <w:ind w:firstLine="0" w:firstLineChars="0"/>
              <w:jc w:val="center"/>
              <w:rPr>
                <w:rFonts w:cs="Times New Roman"/>
                <w:szCs w:val="21"/>
              </w:rPr>
            </w:pPr>
            <w:r>
              <w:rPr>
                <w:rFonts w:hint="eastAsia" w:cs="Times New Roman"/>
                <w:sz w:val="21"/>
                <w:szCs w:val="21"/>
                <w:lang w:bidi="ar"/>
              </w:rPr>
              <w:t>枫杨、朴树群系</w:t>
            </w:r>
          </w:p>
        </w:tc>
        <w:tc>
          <w:tcPr>
            <w:tcW w:w="3543" w:type="dxa"/>
            <w:tcBorders>
              <w:top w:val="single" w:color="auto" w:sz="4" w:space="0"/>
              <w:left w:val="single" w:color="auto" w:sz="4" w:space="0"/>
              <w:bottom w:val="single" w:color="auto" w:sz="4" w:space="0"/>
              <w:right w:val="single" w:color="auto" w:sz="4" w:space="0"/>
            </w:tcBorders>
            <w:vAlign w:val="center"/>
          </w:tcPr>
          <w:p w14:paraId="749B3E11">
            <w:pPr>
              <w:spacing w:line="240" w:lineRule="auto"/>
              <w:ind w:firstLine="0" w:firstLineChars="0"/>
              <w:jc w:val="center"/>
              <w:rPr>
                <w:rFonts w:cs="Times New Roman"/>
                <w:szCs w:val="21"/>
              </w:rPr>
            </w:pPr>
            <w:r>
              <w:rPr>
                <w:rFonts w:hint="eastAsia" w:cs="Times New Roman"/>
                <w:sz w:val="21"/>
                <w:szCs w:val="21"/>
                <w:lang w:bidi="ar"/>
              </w:rPr>
              <w:t>枫杨</w:t>
            </w:r>
            <w:r>
              <w:rPr>
                <w:rFonts w:cs="Times New Roman"/>
                <w:sz w:val="21"/>
                <w:szCs w:val="21"/>
                <w:lang w:bidi="ar"/>
              </w:rPr>
              <w:t>+</w:t>
            </w:r>
            <w:r>
              <w:rPr>
                <w:rFonts w:hint="eastAsia" w:cs="Times New Roman"/>
                <w:sz w:val="21"/>
                <w:szCs w:val="21"/>
                <w:lang w:bidi="ar"/>
              </w:rPr>
              <w:t>朴树</w:t>
            </w:r>
            <w:r>
              <w:rPr>
                <w:rFonts w:cs="Times New Roman"/>
                <w:sz w:val="21"/>
                <w:szCs w:val="21"/>
                <w:lang w:bidi="ar"/>
              </w:rPr>
              <w:t>-</w:t>
            </w:r>
            <w:r>
              <w:rPr>
                <w:rFonts w:hint="eastAsia" w:cs="Times New Roman"/>
                <w:sz w:val="21"/>
                <w:szCs w:val="21"/>
                <w:lang w:bidi="ar"/>
              </w:rPr>
              <w:t>八角枫</w:t>
            </w:r>
            <w:r>
              <w:rPr>
                <w:rFonts w:cs="Times New Roman"/>
                <w:sz w:val="21"/>
                <w:szCs w:val="21"/>
                <w:lang w:bidi="ar"/>
              </w:rPr>
              <w:t>+</w:t>
            </w:r>
            <w:r>
              <w:rPr>
                <w:rFonts w:hint="eastAsia" w:cs="Times New Roman"/>
                <w:sz w:val="21"/>
                <w:szCs w:val="21"/>
                <w:lang w:bidi="ar"/>
              </w:rPr>
              <w:t>桑树</w:t>
            </w:r>
            <w:r>
              <w:rPr>
                <w:rFonts w:cs="Times New Roman"/>
                <w:sz w:val="21"/>
                <w:szCs w:val="21"/>
                <w:lang w:bidi="ar"/>
              </w:rPr>
              <w:t>-</w:t>
            </w:r>
            <w:r>
              <w:rPr>
                <w:rFonts w:hint="eastAsia" w:cs="Times New Roman"/>
                <w:sz w:val="21"/>
                <w:szCs w:val="21"/>
                <w:lang w:bidi="ar"/>
              </w:rPr>
              <w:t>野蔷薇</w:t>
            </w:r>
            <w:r>
              <w:rPr>
                <w:rFonts w:cs="Times New Roman"/>
                <w:sz w:val="21"/>
                <w:szCs w:val="21"/>
                <w:lang w:bidi="ar"/>
              </w:rPr>
              <w:t>+</w:t>
            </w:r>
            <w:r>
              <w:rPr>
                <w:rFonts w:hint="eastAsia" w:cs="Times New Roman"/>
                <w:sz w:val="21"/>
                <w:szCs w:val="21"/>
                <w:lang w:bidi="ar"/>
              </w:rPr>
              <w:t>海州常山群丛（</w:t>
            </w:r>
            <w:r>
              <w:rPr>
                <w:rFonts w:cs="Times New Roman"/>
                <w:sz w:val="21"/>
                <w:szCs w:val="21"/>
                <w:lang w:bidi="ar"/>
              </w:rPr>
              <w:t>E11</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02A90B7D">
            <w:pPr>
              <w:spacing w:line="240" w:lineRule="auto"/>
              <w:ind w:firstLine="0" w:firstLineChars="0"/>
              <w:jc w:val="center"/>
              <w:rPr>
                <w:rFonts w:cs="Times New Roman"/>
                <w:szCs w:val="21"/>
              </w:rPr>
            </w:pPr>
            <w:r>
              <w:rPr>
                <w:rFonts w:cs="Times New Roman"/>
                <w:sz w:val="21"/>
                <w:szCs w:val="21"/>
                <w:lang w:bidi="ar"/>
              </w:rPr>
              <w:t>119.36461</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2A2A70E2">
            <w:pPr>
              <w:spacing w:line="240" w:lineRule="auto"/>
              <w:ind w:firstLine="0" w:firstLineChars="0"/>
              <w:jc w:val="center"/>
              <w:rPr>
                <w:rFonts w:cs="Times New Roman"/>
                <w:szCs w:val="21"/>
              </w:rPr>
            </w:pPr>
            <w:r>
              <w:rPr>
                <w:rFonts w:cs="Times New Roman"/>
                <w:sz w:val="21"/>
                <w:szCs w:val="21"/>
                <w:lang w:bidi="ar"/>
              </w:rPr>
              <w:t>31.76541</w:t>
            </w:r>
            <w:r>
              <w:rPr>
                <w:rFonts w:cs="Times New Roman"/>
                <w:bCs/>
                <w:sz w:val="21"/>
                <w:szCs w:val="21"/>
                <w:lang w:bidi="ar"/>
              </w:rPr>
              <w:t>°</w:t>
            </w:r>
          </w:p>
        </w:tc>
      </w:tr>
      <w:tr w14:paraId="40E97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6AA30DBB">
            <w:pPr>
              <w:spacing w:line="240" w:lineRule="auto"/>
              <w:ind w:firstLine="0" w:firstLineChars="0"/>
              <w:rPr>
                <w:rFonts w:hint="eastAsia" w:ascii="等线" w:hAnsi="等线" w:eastAsia="等线" w:cs="等线"/>
                <w:sz w:val="21"/>
              </w:rPr>
            </w:pPr>
          </w:p>
        </w:tc>
        <w:tc>
          <w:tcPr>
            <w:tcW w:w="1418" w:type="dxa"/>
            <w:tcBorders>
              <w:top w:val="single" w:color="auto" w:sz="4" w:space="0"/>
              <w:left w:val="single" w:color="auto" w:sz="4" w:space="0"/>
              <w:bottom w:val="single" w:color="auto" w:sz="4" w:space="0"/>
              <w:right w:val="single" w:color="auto" w:sz="4" w:space="0"/>
            </w:tcBorders>
            <w:vAlign w:val="center"/>
          </w:tcPr>
          <w:p w14:paraId="0C52B972">
            <w:pPr>
              <w:spacing w:line="240" w:lineRule="auto"/>
              <w:ind w:firstLine="0" w:firstLineChars="0"/>
              <w:jc w:val="center"/>
              <w:rPr>
                <w:rFonts w:cs="Times New Roman"/>
                <w:szCs w:val="21"/>
              </w:rPr>
            </w:pPr>
            <w:r>
              <w:rPr>
                <w:rFonts w:hint="eastAsia" w:cs="Times New Roman"/>
                <w:sz w:val="21"/>
                <w:szCs w:val="21"/>
                <w:lang w:bidi="ar"/>
              </w:rPr>
              <w:t>麻栎、朴树群系</w:t>
            </w:r>
          </w:p>
        </w:tc>
        <w:tc>
          <w:tcPr>
            <w:tcW w:w="3543" w:type="dxa"/>
            <w:tcBorders>
              <w:top w:val="single" w:color="auto" w:sz="4" w:space="0"/>
              <w:left w:val="single" w:color="auto" w:sz="4" w:space="0"/>
              <w:bottom w:val="single" w:color="auto" w:sz="4" w:space="0"/>
              <w:right w:val="single" w:color="auto" w:sz="4" w:space="0"/>
            </w:tcBorders>
            <w:vAlign w:val="center"/>
          </w:tcPr>
          <w:p w14:paraId="5CA0FD37">
            <w:pPr>
              <w:spacing w:line="240" w:lineRule="auto"/>
              <w:ind w:firstLine="0" w:firstLineChars="0"/>
              <w:jc w:val="center"/>
              <w:rPr>
                <w:rFonts w:cs="Times New Roman"/>
                <w:szCs w:val="21"/>
              </w:rPr>
            </w:pPr>
            <w:r>
              <w:rPr>
                <w:rFonts w:hint="eastAsia" w:cs="Times New Roman"/>
                <w:sz w:val="21"/>
                <w:szCs w:val="21"/>
                <w:lang w:bidi="ar"/>
              </w:rPr>
              <w:t>麻栎</w:t>
            </w:r>
            <w:r>
              <w:rPr>
                <w:rFonts w:cs="Times New Roman"/>
                <w:sz w:val="21"/>
                <w:szCs w:val="21"/>
                <w:lang w:bidi="ar"/>
              </w:rPr>
              <w:t>+</w:t>
            </w:r>
            <w:r>
              <w:rPr>
                <w:rFonts w:hint="eastAsia" w:cs="Times New Roman"/>
                <w:sz w:val="21"/>
                <w:szCs w:val="21"/>
                <w:lang w:bidi="ar"/>
              </w:rPr>
              <w:t>朴树</w:t>
            </w:r>
            <w:r>
              <w:rPr>
                <w:rFonts w:cs="Times New Roman"/>
                <w:sz w:val="21"/>
                <w:szCs w:val="21"/>
                <w:lang w:bidi="ar"/>
              </w:rPr>
              <w:t>-</w:t>
            </w: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榉树</w:t>
            </w:r>
            <w:r>
              <w:rPr>
                <w:rFonts w:cs="Times New Roman"/>
                <w:sz w:val="21"/>
                <w:szCs w:val="21"/>
                <w:lang w:bidi="ar"/>
              </w:rPr>
              <w:t>-</w:t>
            </w:r>
            <w:r>
              <w:rPr>
                <w:rFonts w:hint="eastAsia" w:cs="Times New Roman"/>
                <w:sz w:val="21"/>
                <w:szCs w:val="21"/>
                <w:lang w:bidi="ar"/>
              </w:rPr>
              <w:t>瓜木群丛（</w:t>
            </w:r>
            <w:r>
              <w:rPr>
                <w:rFonts w:cs="Times New Roman"/>
                <w:sz w:val="21"/>
                <w:szCs w:val="21"/>
                <w:lang w:bidi="ar"/>
              </w:rPr>
              <w:t>E12</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271F06AA">
            <w:pPr>
              <w:spacing w:line="240" w:lineRule="auto"/>
              <w:ind w:firstLine="0" w:firstLineChars="0"/>
              <w:jc w:val="center"/>
              <w:rPr>
                <w:rFonts w:cs="Times New Roman"/>
                <w:szCs w:val="21"/>
              </w:rPr>
            </w:pPr>
            <w:r>
              <w:rPr>
                <w:rFonts w:cs="Times New Roman"/>
                <w:sz w:val="21"/>
                <w:szCs w:val="21"/>
                <w:lang w:bidi="ar"/>
              </w:rPr>
              <w:t>119.35610</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6C4F7FDF">
            <w:pPr>
              <w:spacing w:line="240" w:lineRule="auto"/>
              <w:ind w:firstLine="0" w:firstLineChars="0"/>
              <w:jc w:val="center"/>
              <w:rPr>
                <w:rFonts w:cs="Times New Roman"/>
                <w:szCs w:val="21"/>
              </w:rPr>
            </w:pPr>
            <w:r>
              <w:rPr>
                <w:rFonts w:cs="Times New Roman"/>
                <w:sz w:val="21"/>
                <w:szCs w:val="21"/>
                <w:lang w:bidi="ar"/>
              </w:rPr>
              <w:t>31.75472</w:t>
            </w:r>
            <w:r>
              <w:rPr>
                <w:rFonts w:cs="Times New Roman"/>
                <w:bCs/>
                <w:sz w:val="21"/>
                <w:szCs w:val="21"/>
                <w:lang w:bidi="ar"/>
              </w:rPr>
              <w:t>°</w:t>
            </w:r>
          </w:p>
        </w:tc>
      </w:tr>
      <w:tr w14:paraId="1CF1B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58C2BF97">
            <w:pPr>
              <w:spacing w:line="240" w:lineRule="auto"/>
              <w:ind w:firstLine="0" w:firstLineChars="0"/>
              <w:rPr>
                <w:rFonts w:hint="eastAsia" w:ascii="等线" w:hAnsi="等线" w:eastAsia="等线" w:cs="等线"/>
                <w:sz w:val="21"/>
              </w:rPr>
            </w:pPr>
          </w:p>
        </w:tc>
        <w:tc>
          <w:tcPr>
            <w:tcW w:w="1418" w:type="dxa"/>
            <w:tcBorders>
              <w:top w:val="single" w:color="auto" w:sz="4" w:space="0"/>
              <w:left w:val="single" w:color="auto" w:sz="4" w:space="0"/>
              <w:bottom w:val="single" w:color="auto" w:sz="4" w:space="0"/>
              <w:right w:val="single" w:color="auto" w:sz="4" w:space="0"/>
            </w:tcBorders>
            <w:vAlign w:val="center"/>
          </w:tcPr>
          <w:p w14:paraId="423CF6CC">
            <w:pPr>
              <w:spacing w:line="240" w:lineRule="auto"/>
              <w:ind w:firstLine="0" w:firstLineChars="0"/>
              <w:jc w:val="center"/>
              <w:rPr>
                <w:rFonts w:cs="Times New Roman"/>
                <w:szCs w:val="21"/>
              </w:rPr>
            </w:pPr>
            <w:r>
              <w:rPr>
                <w:rFonts w:hint="eastAsia" w:cs="Times New Roman"/>
                <w:sz w:val="21"/>
                <w:szCs w:val="21"/>
                <w:lang w:bidi="ar"/>
              </w:rPr>
              <w:t>构树、朴树群系</w:t>
            </w:r>
          </w:p>
        </w:tc>
        <w:tc>
          <w:tcPr>
            <w:tcW w:w="3543" w:type="dxa"/>
            <w:tcBorders>
              <w:top w:val="single" w:color="auto" w:sz="4" w:space="0"/>
              <w:left w:val="single" w:color="auto" w:sz="4" w:space="0"/>
              <w:bottom w:val="single" w:color="auto" w:sz="4" w:space="0"/>
              <w:right w:val="single" w:color="auto" w:sz="4" w:space="0"/>
            </w:tcBorders>
            <w:vAlign w:val="center"/>
          </w:tcPr>
          <w:p w14:paraId="37D4BC03">
            <w:pPr>
              <w:spacing w:line="240" w:lineRule="auto"/>
              <w:ind w:firstLine="0" w:firstLineChars="0"/>
              <w:jc w:val="center"/>
              <w:rPr>
                <w:rFonts w:cs="Times New Roman"/>
                <w:szCs w:val="21"/>
              </w:rPr>
            </w:pP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朴树</w:t>
            </w:r>
            <w:r>
              <w:rPr>
                <w:rFonts w:cs="Times New Roman"/>
                <w:sz w:val="21"/>
                <w:szCs w:val="21"/>
                <w:lang w:bidi="ar"/>
              </w:rPr>
              <w:t>-</w:t>
            </w:r>
            <w:r>
              <w:rPr>
                <w:rFonts w:hint="eastAsia" w:cs="Times New Roman"/>
                <w:sz w:val="21"/>
                <w:szCs w:val="21"/>
                <w:lang w:bidi="ar"/>
              </w:rPr>
              <w:t>柘树</w:t>
            </w:r>
            <w:r>
              <w:rPr>
                <w:rFonts w:cs="Times New Roman"/>
                <w:sz w:val="21"/>
                <w:szCs w:val="21"/>
                <w:lang w:bidi="ar"/>
              </w:rPr>
              <w:t>-</w:t>
            </w:r>
            <w:r>
              <w:rPr>
                <w:rFonts w:hint="eastAsia" w:cs="Times New Roman"/>
                <w:sz w:val="21"/>
                <w:szCs w:val="21"/>
                <w:lang w:bidi="ar"/>
              </w:rPr>
              <w:t>硕苞蔷薇群丛（</w:t>
            </w:r>
            <w:r>
              <w:rPr>
                <w:rFonts w:cs="Times New Roman"/>
                <w:sz w:val="21"/>
                <w:szCs w:val="21"/>
                <w:lang w:bidi="ar"/>
              </w:rPr>
              <w:t>E13</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773D9900">
            <w:pPr>
              <w:spacing w:line="240" w:lineRule="auto"/>
              <w:ind w:firstLine="0" w:firstLineChars="0"/>
              <w:jc w:val="center"/>
              <w:rPr>
                <w:rFonts w:cs="Times New Roman"/>
                <w:szCs w:val="21"/>
              </w:rPr>
            </w:pPr>
            <w:r>
              <w:rPr>
                <w:rFonts w:cs="Times New Roman"/>
                <w:sz w:val="21"/>
                <w:szCs w:val="21"/>
                <w:lang w:bidi="ar"/>
              </w:rPr>
              <w:t>119.36016</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11239402">
            <w:pPr>
              <w:spacing w:line="240" w:lineRule="auto"/>
              <w:ind w:firstLine="0" w:firstLineChars="0"/>
              <w:jc w:val="center"/>
              <w:rPr>
                <w:rFonts w:cs="Times New Roman"/>
                <w:szCs w:val="21"/>
              </w:rPr>
            </w:pPr>
            <w:r>
              <w:rPr>
                <w:rFonts w:cs="Times New Roman"/>
                <w:sz w:val="21"/>
                <w:szCs w:val="21"/>
                <w:lang w:bidi="ar"/>
              </w:rPr>
              <w:t>31.75841</w:t>
            </w:r>
            <w:r>
              <w:rPr>
                <w:rFonts w:cs="Times New Roman"/>
                <w:bCs/>
                <w:sz w:val="21"/>
                <w:szCs w:val="21"/>
                <w:lang w:bidi="ar"/>
              </w:rPr>
              <w:t>°</w:t>
            </w:r>
          </w:p>
        </w:tc>
      </w:tr>
      <w:tr w14:paraId="1438E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tcBorders>
              <w:top w:val="single" w:color="auto" w:sz="4" w:space="0"/>
              <w:left w:val="single" w:color="auto" w:sz="4" w:space="0"/>
              <w:bottom w:val="single" w:color="auto" w:sz="4" w:space="0"/>
              <w:right w:val="single" w:color="auto" w:sz="4" w:space="0"/>
            </w:tcBorders>
            <w:vAlign w:val="center"/>
          </w:tcPr>
          <w:p w14:paraId="01545853">
            <w:pPr>
              <w:spacing w:line="240" w:lineRule="auto"/>
              <w:ind w:firstLine="0" w:firstLineChars="0"/>
              <w:jc w:val="center"/>
              <w:rPr>
                <w:rFonts w:cs="Times New Roman"/>
                <w:szCs w:val="21"/>
              </w:rPr>
            </w:pPr>
            <w:r>
              <w:rPr>
                <w:rFonts w:hint="eastAsia" w:cs="Times New Roman"/>
                <w:sz w:val="21"/>
                <w:szCs w:val="21"/>
                <w:lang w:bidi="ar"/>
              </w:rPr>
              <w:t>落叶常绿阔混交林</w:t>
            </w:r>
          </w:p>
        </w:tc>
        <w:tc>
          <w:tcPr>
            <w:tcW w:w="1418" w:type="dxa"/>
            <w:tcBorders>
              <w:top w:val="single" w:color="auto" w:sz="4" w:space="0"/>
              <w:left w:val="single" w:color="auto" w:sz="4" w:space="0"/>
              <w:bottom w:val="single" w:color="auto" w:sz="4" w:space="0"/>
              <w:right w:val="single" w:color="auto" w:sz="4" w:space="0"/>
            </w:tcBorders>
            <w:vAlign w:val="center"/>
          </w:tcPr>
          <w:p w14:paraId="1BCD2C44">
            <w:pPr>
              <w:spacing w:line="240" w:lineRule="auto"/>
              <w:ind w:firstLine="0" w:firstLineChars="0"/>
              <w:jc w:val="center"/>
              <w:rPr>
                <w:rFonts w:cs="Times New Roman"/>
                <w:szCs w:val="21"/>
              </w:rPr>
            </w:pPr>
            <w:r>
              <w:rPr>
                <w:rFonts w:hint="eastAsia" w:cs="Times New Roman"/>
                <w:sz w:val="21"/>
                <w:szCs w:val="21"/>
                <w:lang w:bidi="ar"/>
              </w:rPr>
              <w:t>女贞、构树群系</w:t>
            </w:r>
          </w:p>
        </w:tc>
        <w:tc>
          <w:tcPr>
            <w:tcW w:w="3543" w:type="dxa"/>
            <w:tcBorders>
              <w:top w:val="single" w:color="auto" w:sz="4" w:space="0"/>
              <w:left w:val="single" w:color="auto" w:sz="4" w:space="0"/>
              <w:bottom w:val="single" w:color="auto" w:sz="4" w:space="0"/>
              <w:right w:val="single" w:color="auto" w:sz="4" w:space="0"/>
            </w:tcBorders>
            <w:vAlign w:val="center"/>
          </w:tcPr>
          <w:p w14:paraId="2927E474">
            <w:pPr>
              <w:spacing w:line="240" w:lineRule="auto"/>
              <w:ind w:firstLine="0" w:firstLineChars="0"/>
              <w:jc w:val="center"/>
              <w:rPr>
                <w:rFonts w:cs="Times New Roman"/>
                <w:szCs w:val="21"/>
              </w:rPr>
            </w:pPr>
            <w:r>
              <w:rPr>
                <w:rFonts w:hint="eastAsia" w:cs="Times New Roman"/>
                <w:sz w:val="21"/>
                <w:szCs w:val="21"/>
                <w:lang w:bidi="ar"/>
              </w:rPr>
              <w:t>女贞</w:t>
            </w:r>
            <w:r>
              <w:rPr>
                <w:rFonts w:cs="Times New Roman"/>
                <w:sz w:val="21"/>
                <w:szCs w:val="21"/>
                <w:lang w:bidi="ar"/>
              </w:rPr>
              <w:t>+</w:t>
            </w: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瓜木</w:t>
            </w:r>
            <w:r>
              <w:rPr>
                <w:rFonts w:cs="Times New Roman"/>
                <w:sz w:val="21"/>
                <w:szCs w:val="21"/>
                <w:lang w:bidi="ar"/>
              </w:rPr>
              <w:t>+</w:t>
            </w:r>
            <w:r>
              <w:rPr>
                <w:rFonts w:hint="eastAsia" w:cs="Times New Roman"/>
                <w:sz w:val="21"/>
                <w:szCs w:val="21"/>
                <w:lang w:bidi="ar"/>
              </w:rPr>
              <w:t>朴树</w:t>
            </w:r>
            <w:r>
              <w:rPr>
                <w:rFonts w:cs="Times New Roman"/>
                <w:sz w:val="21"/>
                <w:szCs w:val="21"/>
                <w:lang w:bidi="ar"/>
              </w:rPr>
              <w:t>-</w:t>
            </w:r>
            <w:r>
              <w:rPr>
                <w:rFonts w:hint="eastAsia" w:cs="Times New Roman"/>
                <w:sz w:val="21"/>
                <w:szCs w:val="21"/>
                <w:lang w:bidi="ar"/>
              </w:rPr>
              <w:t>野蔷薇群丛（</w:t>
            </w:r>
            <w:r>
              <w:rPr>
                <w:rFonts w:cs="Times New Roman"/>
                <w:sz w:val="21"/>
                <w:szCs w:val="21"/>
                <w:lang w:bidi="ar"/>
              </w:rPr>
              <w:t>E14</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7A73FA82">
            <w:pPr>
              <w:spacing w:line="240" w:lineRule="auto"/>
              <w:ind w:firstLine="0" w:firstLineChars="0"/>
              <w:jc w:val="center"/>
              <w:rPr>
                <w:rFonts w:cs="Times New Roman"/>
                <w:szCs w:val="21"/>
              </w:rPr>
            </w:pPr>
            <w:r>
              <w:rPr>
                <w:rFonts w:cs="Times New Roman"/>
                <w:sz w:val="21"/>
                <w:szCs w:val="21"/>
                <w:lang w:bidi="ar"/>
              </w:rPr>
              <w:t>119.37658</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4E5E56E8">
            <w:pPr>
              <w:spacing w:line="240" w:lineRule="auto"/>
              <w:ind w:firstLine="0" w:firstLineChars="0"/>
              <w:jc w:val="center"/>
              <w:rPr>
                <w:rFonts w:cs="Times New Roman"/>
                <w:szCs w:val="21"/>
              </w:rPr>
            </w:pPr>
            <w:r>
              <w:rPr>
                <w:rFonts w:cs="Times New Roman"/>
                <w:sz w:val="21"/>
                <w:szCs w:val="21"/>
                <w:lang w:bidi="ar"/>
              </w:rPr>
              <w:t>31.75196</w:t>
            </w:r>
            <w:r>
              <w:rPr>
                <w:rFonts w:cs="Times New Roman"/>
                <w:bCs/>
                <w:sz w:val="21"/>
                <w:szCs w:val="21"/>
                <w:lang w:bidi="ar"/>
              </w:rPr>
              <w:t>°</w:t>
            </w:r>
          </w:p>
        </w:tc>
      </w:tr>
      <w:tr w14:paraId="4B5AC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restart"/>
            <w:tcBorders>
              <w:top w:val="single" w:color="auto" w:sz="4" w:space="0"/>
              <w:left w:val="single" w:color="auto" w:sz="4" w:space="0"/>
              <w:bottom w:val="single" w:color="auto" w:sz="4" w:space="0"/>
              <w:right w:val="single" w:color="auto" w:sz="4" w:space="0"/>
            </w:tcBorders>
            <w:vAlign w:val="center"/>
          </w:tcPr>
          <w:p w14:paraId="65E85158">
            <w:pPr>
              <w:spacing w:line="240" w:lineRule="auto"/>
              <w:ind w:firstLine="0" w:firstLineChars="0"/>
              <w:jc w:val="center"/>
              <w:rPr>
                <w:rFonts w:cs="Times New Roman"/>
                <w:szCs w:val="21"/>
              </w:rPr>
            </w:pPr>
            <w:r>
              <w:rPr>
                <w:rFonts w:hint="eastAsia" w:cs="Times New Roman"/>
                <w:sz w:val="21"/>
                <w:szCs w:val="21"/>
                <w:lang w:bidi="ar"/>
              </w:rPr>
              <w:t>针阔混交林</w:t>
            </w:r>
          </w:p>
        </w:tc>
        <w:tc>
          <w:tcPr>
            <w:tcW w:w="1418" w:type="dxa"/>
            <w:tcBorders>
              <w:top w:val="single" w:color="auto" w:sz="4" w:space="0"/>
              <w:left w:val="single" w:color="auto" w:sz="4" w:space="0"/>
              <w:bottom w:val="single" w:color="auto" w:sz="4" w:space="0"/>
              <w:right w:val="single" w:color="auto" w:sz="4" w:space="0"/>
            </w:tcBorders>
            <w:vAlign w:val="center"/>
          </w:tcPr>
          <w:p w14:paraId="1C858559">
            <w:pPr>
              <w:spacing w:line="240" w:lineRule="auto"/>
              <w:ind w:firstLine="0" w:firstLineChars="0"/>
              <w:jc w:val="center"/>
              <w:rPr>
                <w:rFonts w:cs="Times New Roman"/>
                <w:szCs w:val="21"/>
              </w:rPr>
            </w:pPr>
            <w:r>
              <w:rPr>
                <w:rFonts w:hint="eastAsia" w:cs="Times New Roman"/>
                <w:sz w:val="21"/>
                <w:szCs w:val="21"/>
                <w:lang w:bidi="ar"/>
              </w:rPr>
              <w:t>构树、马尾松群系</w:t>
            </w:r>
          </w:p>
        </w:tc>
        <w:tc>
          <w:tcPr>
            <w:tcW w:w="3543" w:type="dxa"/>
            <w:tcBorders>
              <w:top w:val="single" w:color="auto" w:sz="4" w:space="0"/>
              <w:left w:val="single" w:color="auto" w:sz="4" w:space="0"/>
              <w:bottom w:val="single" w:color="auto" w:sz="4" w:space="0"/>
              <w:right w:val="single" w:color="auto" w:sz="4" w:space="0"/>
            </w:tcBorders>
            <w:vAlign w:val="center"/>
          </w:tcPr>
          <w:p w14:paraId="49595BC8">
            <w:pPr>
              <w:spacing w:line="240" w:lineRule="auto"/>
              <w:ind w:firstLine="0" w:firstLineChars="0"/>
              <w:jc w:val="center"/>
              <w:rPr>
                <w:rFonts w:cs="Times New Roman"/>
                <w:szCs w:val="21"/>
              </w:rPr>
            </w:pPr>
            <w:r>
              <w:rPr>
                <w:rFonts w:hint="eastAsia" w:cs="Times New Roman"/>
                <w:sz w:val="21"/>
                <w:szCs w:val="21"/>
                <w:lang w:bidi="ar"/>
              </w:rPr>
              <w:t>构树</w:t>
            </w:r>
            <w:r>
              <w:rPr>
                <w:rFonts w:cs="Times New Roman"/>
                <w:sz w:val="21"/>
                <w:szCs w:val="21"/>
                <w:lang w:bidi="ar"/>
              </w:rPr>
              <w:t>-</w:t>
            </w:r>
            <w:r>
              <w:rPr>
                <w:rFonts w:hint="eastAsia" w:cs="Times New Roman"/>
                <w:sz w:val="21"/>
                <w:szCs w:val="21"/>
                <w:lang w:bidi="ar"/>
              </w:rPr>
              <w:t>马尾松</w:t>
            </w:r>
            <w:r>
              <w:rPr>
                <w:rFonts w:cs="Times New Roman"/>
                <w:sz w:val="21"/>
                <w:szCs w:val="21"/>
                <w:lang w:bidi="ar"/>
              </w:rPr>
              <w:t>-</w:t>
            </w:r>
            <w:r>
              <w:rPr>
                <w:rFonts w:hint="eastAsia" w:cs="Times New Roman"/>
                <w:sz w:val="21"/>
                <w:szCs w:val="21"/>
                <w:lang w:bidi="ar"/>
              </w:rPr>
              <w:t>野蔷薇群丛（</w:t>
            </w:r>
            <w:r>
              <w:rPr>
                <w:rFonts w:cs="Times New Roman"/>
                <w:sz w:val="21"/>
                <w:szCs w:val="21"/>
                <w:lang w:bidi="ar"/>
              </w:rPr>
              <w:t>E15</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0422E732">
            <w:pPr>
              <w:spacing w:line="240" w:lineRule="auto"/>
              <w:ind w:firstLine="0" w:firstLineChars="0"/>
              <w:jc w:val="center"/>
              <w:rPr>
                <w:rFonts w:cs="Times New Roman"/>
                <w:szCs w:val="21"/>
              </w:rPr>
            </w:pPr>
            <w:r>
              <w:rPr>
                <w:rFonts w:cs="Times New Roman"/>
                <w:sz w:val="21"/>
                <w:szCs w:val="21"/>
                <w:lang w:bidi="ar"/>
              </w:rPr>
              <w:t>31.77314</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4A0C0CFB">
            <w:pPr>
              <w:spacing w:line="240" w:lineRule="auto"/>
              <w:ind w:firstLine="0" w:firstLineChars="0"/>
              <w:jc w:val="center"/>
              <w:rPr>
                <w:rFonts w:cs="Times New Roman"/>
                <w:szCs w:val="21"/>
              </w:rPr>
            </w:pPr>
            <w:r>
              <w:rPr>
                <w:rFonts w:cs="Times New Roman"/>
                <w:sz w:val="21"/>
                <w:szCs w:val="21"/>
                <w:lang w:bidi="ar"/>
              </w:rPr>
              <w:t>31.77314</w:t>
            </w:r>
            <w:r>
              <w:rPr>
                <w:rFonts w:cs="Times New Roman"/>
                <w:bCs/>
                <w:sz w:val="21"/>
                <w:szCs w:val="21"/>
                <w:lang w:bidi="ar"/>
              </w:rPr>
              <w:t>°</w:t>
            </w:r>
          </w:p>
        </w:tc>
      </w:tr>
      <w:tr w14:paraId="7B454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4" w:type="dxa"/>
            <w:vMerge w:val="continue"/>
            <w:tcBorders>
              <w:top w:val="single" w:color="auto" w:sz="4" w:space="0"/>
              <w:left w:val="single" w:color="auto" w:sz="4" w:space="0"/>
              <w:bottom w:val="single" w:color="auto" w:sz="4" w:space="0"/>
              <w:right w:val="single" w:color="auto" w:sz="4" w:space="0"/>
            </w:tcBorders>
            <w:vAlign w:val="center"/>
          </w:tcPr>
          <w:p w14:paraId="755BAA7D">
            <w:pPr>
              <w:spacing w:line="240" w:lineRule="auto"/>
              <w:ind w:firstLine="0" w:firstLineChars="0"/>
              <w:rPr>
                <w:rFonts w:hint="eastAsia" w:ascii="等线" w:hAnsi="等线" w:eastAsia="等线" w:cs="等线"/>
                <w:sz w:val="21"/>
              </w:rPr>
            </w:pPr>
          </w:p>
        </w:tc>
        <w:tc>
          <w:tcPr>
            <w:tcW w:w="1418" w:type="dxa"/>
            <w:tcBorders>
              <w:top w:val="single" w:color="auto" w:sz="4" w:space="0"/>
              <w:left w:val="single" w:color="auto" w:sz="4" w:space="0"/>
              <w:bottom w:val="single" w:color="auto" w:sz="4" w:space="0"/>
              <w:right w:val="single" w:color="auto" w:sz="4" w:space="0"/>
            </w:tcBorders>
            <w:vAlign w:val="center"/>
          </w:tcPr>
          <w:p w14:paraId="58A8706D">
            <w:pPr>
              <w:spacing w:line="240" w:lineRule="auto"/>
              <w:ind w:firstLine="0" w:firstLineChars="0"/>
              <w:jc w:val="center"/>
              <w:rPr>
                <w:rFonts w:cs="Times New Roman"/>
                <w:szCs w:val="21"/>
              </w:rPr>
            </w:pPr>
            <w:r>
              <w:rPr>
                <w:rFonts w:hint="eastAsia" w:cs="Times New Roman"/>
                <w:sz w:val="21"/>
                <w:szCs w:val="21"/>
                <w:lang w:bidi="ar"/>
              </w:rPr>
              <w:t>枫杨、刺槐、杉木群系</w:t>
            </w:r>
          </w:p>
        </w:tc>
        <w:tc>
          <w:tcPr>
            <w:tcW w:w="3543" w:type="dxa"/>
            <w:tcBorders>
              <w:top w:val="single" w:color="auto" w:sz="4" w:space="0"/>
              <w:left w:val="single" w:color="auto" w:sz="4" w:space="0"/>
              <w:bottom w:val="single" w:color="auto" w:sz="4" w:space="0"/>
              <w:right w:val="single" w:color="auto" w:sz="4" w:space="0"/>
            </w:tcBorders>
            <w:vAlign w:val="center"/>
          </w:tcPr>
          <w:p w14:paraId="50EDD88B">
            <w:pPr>
              <w:spacing w:line="240" w:lineRule="auto"/>
              <w:ind w:firstLine="0" w:firstLineChars="0"/>
              <w:jc w:val="center"/>
              <w:rPr>
                <w:rFonts w:cs="Times New Roman"/>
                <w:szCs w:val="21"/>
              </w:rPr>
            </w:pPr>
            <w:r>
              <w:rPr>
                <w:rFonts w:hint="eastAsia" w:cs="Times New Roman"/>
                <w:sz w:val="21"/>
                <w:szCs w:val="21"/>
                <w:lang w:bidi="ar"/>
              </w:rPr>
              <w:t>枫杨</w:t>
            </w:r>
            <w:r>
              <w:rPr>
                <w:rFonts w:cs="Times New Roman"/>
                <w:sz w:val="21"/>
                <w:szCs w:val="21"/>
                <w:lang w:bidi="ar"/>
              </w:rPr>
              <w:t>-</w:t>
            </w:r>
            <w:r>
              <w:rPr>
                <w:rFonts w:hint="eastAsia" w:cs="Times New Roman"/>
                <w:sz w:val="21"/>
                <w:szCs w:val="21"/>
                <w:lang w:bidi="ar"/>
              </w:rPr>
              <w:t>刺槐</w:t>
            </w:r>
            <w:r>
              <w:rPr>
                <w:rFonts w:cs="Times New Roman"/>
                <w:sz w:val="21"/>
                <w:szCs w:val="21"/>
                <w:lang w:bidi="ar"/>
              </w:rPr>
              <w:t>+</w:t>
            </w:r>
            <w:r>
              <w:rPr>
                <w:rFonts w:hint="eastAsia" w:cs="Times New Roman"/>
                <w:sz w:val="21"/>
                <w:szCs w:val="21"/>
                <w:lang w:bidi="ar"/>
              </w:rPr>
              <w:t>杉木</w:t>
            </w:r>
            <w:r>
              <w:rPr>
                <w:rFonts w:cs="Times New Roman"/>
                <w:sz w:val="21"/>
                <w:szCs w:val="21"/>
                <w:lang w:bidi="ar"/>
              </w:rPr>
              <w:t>-</w:t>
            </w:r>
            <w:r>
              <w:rPr>
                <w:rFonts w:hint="eastAsia" w:cs="Times New Roman"/>
                <w:sz w:val="21"/>
                <w:szCs w:val="21"/>
                <w:lang w:bidi="ar"/>
              </w:rPr>
              <w:t>野蔷薇群丛（</w:t>
            </w:r>
            <w:r>
              <w:rPr>
                <w:rFonts w:cs="Times New Roman"/>
                <w:sz w:val="21"/>
                <w:szCs w:val="21"/>
                <w:lang w:bidi="ar"/>
              </w:rPr>
              <w:t>E16</w:t>
            </w:r>
            <w:r>
              <w:rPr>
                <w:rFonts w:hint="eastAsia" w:cs="Times New Roman"/>
                <w:sz w:val="21"/>
                <w:szCs w:val="21"/>
                <w:lang w:bidi="ar"/>
              </w:rPr>
              <w:t>）</w:t>
            </w:r>
          </w:p>
        </w:tc>
        <w:tc>
          <w:tcPr>
            <w:tcW w:w="1276" w:type="dxa"/>
            <w:tcBorders>
              <w:top w:val="single" w:color="auto" w:sz="4" w:space="0"/>
              <w:left w:val="single" w:color="auto" w:sz="4" w:space="0"/>
              <w:bottom w:val="single" w:color="auto" w:sz="4" w:space="0"/>
              <w:right w:val="single" w:color="auto" w:sz="4" w:space="0"/>
            </w:tcBorders>
            <w:vAlign w:val="center"/>
          </w:tcPr>
          <w:p w14:paraId="4F992942">
            <w:pPr>
              <w:spacing w:line="240" w:lineRule="auto"/>
              <w:ind w:firstLine="0" w:firstLineChars="0"/>
              <w:jc w:val="center"/>
              <w:rPr>
                <w:rFonts w:cs="Times New Roman"/>
                <w:szCs w:val="21"/>
              </w:rPr>
            </w:pPr>
            <w:r>
              <w:rPr>
                <w:rFonts w:cs="Times New Roman"/>
                <w:sz w:val="21"/>
                <w:szCs w:val="21"/>
                <w:lang w:bidi="ar"/>
              </w:rPr>
              <w:t>119.36163</w:t>
            </w:r>
            <w:r>
              <w:rPr>
                <w:rFonts w:cs="Times New Roman"/>
                <w:bCs/>
                <w:sz w:val="21"/>
                <w:szCs w:val="21"/>
                <w:lang w:bidi="ar"/>
              </w:rPr>
              <w:t>°</w:t>
            </w:r>
          </w:p>
        </w:tc>
        <w:tc>
          <w:tcPr>
            <w:tcW w:w="1355" w:type="dxa"/>
            <w:tcBorders>
              <w:top w:val="single" w:color="auto" w:sz="4" w:space="0"/>
              <w:left w:val="single" w:color="auto" w:sz="4" w:space="0"/>
              <w:bottom w:val="single" w:color="auto" w:sz="4" w:space="0"/>
              <w:right w:val="single" w:color="auto" w:sz="4" w:space="0"/>
            </w:tcBorders>
            <w:vAlign w:val="center"/>
          </w:tcPr>
          <w:p w14:paraId="41D09DDF">
            <w:pPr>
              <w:spacing w:line="240" w:lineRule="auto"/>
              <w:ind w:firstLine="0" w:firstLineChars="0"/>
              <w:jc w:val="center"/>
              <w:rPr>
                <w:rFonts w:cs="Times New Roman"/>
                <w:szCs w:val="21"/>
              </w:rPr>
            </w:pPr>
            <w:r>
              <w:rPr>
                <w:rFonts w:cs="Times New Roman"/>
                <w:sz w:val="21"/>
                <w:szCs w:val="21"/>
                <w:lang w:bidi="ar"/>
              </w:rPr>
              <w:t>31.74526</w:t>
            </w:r>
            <w:r>
              <w:rPr>
                <w:rFonts w:cs="Times New Roman"/>
                <w:bCs/>
                <w:sz w:val="21"/>
                <w:szCs w:val="21"/>
                <w:lang w:bidi="ar"/>
              </w:rPr>
              <w:t>°</w:t>
            </w:r>
          </w:p>
        </w:tc>
      </w:tr>
    </w:tbl>
    <w:p w14:paraId="2BA06330">
      <w:pPr>
        <w:ind w:firstLine="480"/>
        <w:rPr>
          <w:rFonts w:cs="Times New Roman"/>
          <w:szCs w:val="24"/>
        </w:rPr>
      </w:pPr>
      <w:r>
        <w:rPr>
          <w:rFonts w:hint="eastAsia" w:cs="Times New Roman"/>
          <w:szCs w:val="24"/>
          <w:u w:val="single"/>
          <w:lang w:bidi="ar"/>
        </w:rPr>
        <w:t>刺槐</w:t>
      </w:r>
      <w:r>
        <w:rPr>
          <w:rFonts w:cs="Times New Roman"/>
          <w:szCs w:val="24"/>
          <w:u w:val="single"/>
          <w:lang w:bidi="ar"/>
        </w:rPr>
        <w:t>-</w:t>
      </w: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八角枫</w:t>
      </w:r>
      <w:r>
        <w:rPr>
          <w:rFonts w:cs="Times New Roman"/>
          <w:szCs w:val="24"/>
          <w:u w:val="single"/>
          <w:lang w:bidi="ar"/>
        </w:rPr>
        <w:t>-</w:t>
      </w:r>
      <w:r>
        <w:rPr>
          <w:rFonts w:hint="eastAsia" w:cs="Times New Roman"/>
          <w:szCs w:val="24"/>
          <w:u w:val="single"/>
          <w:lang w:bidi="ar"/>
        </w:rPr>
        <w:t>茅莓</w:t>
      </w:r>
      <w:r>
        <w:rPr>
          <w:rFonts w:cs="Times New Roman"/>
          <w:szCs w:val="24"/>
          <w:u w:val="single"/>
          <w:lang w:bidi="ar"/>
        </w:rPr>
        <w:t>+</w:t>
      </w:r>
      <w:r>
        <w:rPr>
          <w:rFonts w:hint="eastAsia" w:cs="Times New Roman"/>
          <w:szCs w:val="24"/>
          <w:u w:val="single"/>
          <w:lang w:bidi="ar"/>
        </w:rPr>
        <w:t>枸杞群丛（</w:t>
      </w:r>
      <w:r>
        <w:rPr>
          <w:rFonts w:cs="Times New Roman"/>
          <w:szCs w:val="24"/>
          <w:u w:val="single"/>
          <w:lang w:bidi="ar"/>
        </w:rPr>
        <w:t>E1</w:t>
      </w:r>
      <w:r>
        <w:rPr>
          <w:rFonts w:hint="eastAsia" w:cs="Times New Roman"/>
          <w:szCs w:val="24"/>
          <w:u w:val="single"/>
          <w:lang w:bidi="ar"/>
        </w:rPr>
        <w:t>）。</w:t>
      </w:r>
      <w:r>
        <w:rPr>
          <w:rFonts w:hint="eastAsia" w:cs="Times New Roman"/>
          <w:szCs w:val="24"/>
          <w:lang w:bidi="ar"/>
        </w:rPr>
        <w:t>坡势较陡，林相完整，郁闭度约</w:t>
      </w:r>
      <w:r>
        <w:rPr>
          <w:rFonts w:cs="Times New Roman"/>
          <w:szCs w:val="24"/>
          <w:lang w:bidi="ar"/>
        </w:rPr>
        <w:t>0.85</w:t>
      </w:r>
      <w:r>
        <w:rPr>
          <w:rFonts w:hint="eastAsia" w:cs="Times New Roman"/>
          <w:szCs w:val="24"/>
          <w:lang w:bidi="ar"/>
        </w:rPr>
        <w:t>，受人为干扰较弱，乔木层上层以刺槐为主，平均胸径</w:t>
      </w:r>
      <w:r>
        <w:rPr>
          <w:rFonts w:cs="Times New Roman"/>
          <w:szCs w:val="24"/>
          <w:lang w:bidi="ar"/>
        </w:rPr>
        <w:t>11.30cm</w:t>
      </w:r>
      <w:r>
        <w:rPr>
          <w:rFonts w:hint="eastAsia" w:cs="Times New Roman"/>
          <w:szCs w:val="24"/>
          <w:lang w:bidi="ar"/>
        </w:rPr>
        <w:t>，间杂有乌桕、枫杨，刺槐数量在群落中占绝对优势；林下灌木层植物以八角枫、茅莓和枸杞等矮小灌木为主。</w:t>
      </w:r>
    </w:p>
    <w:p w14:paraId="430A0460">
      <w:pPr>
        <w:ind w:firstLine="480"/>
        <w:rPr>
          <w:rFonts w:cs="Times New Roman"/>
          <w:szCs w:val="24"/>
        </w:rPr>
      </w:pPr>
      <w:r>
        <w:rPr>
          <w:rFonts w:hint="eastAsia" w:cs="Times New Roman"/>
          <w:szCs w:val="24"/>
          <w:u w:val="single"/>
          <w:lang w:bidi="ar"/>
        </w:rPr>
        <w:t>刺槐</w:t>
      </w:r>
      <w:r>
        <w:rPr>
          <w:rFonts w:cs="Times New Roman"/>
          <w:szCs w:val="24"/>
          <w:u w:val="single"/>
          <w:lang w:bidi="ar"/>
        </w:rPr>
        <w:t>-</w:t>
      </w: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枫杨</w:t>
      </w:r>
      <w:r>
        <w:rPr>
          <w:rFonts w:cs="Times New Roman"/>
          <w:szCs w:val="24"/>
          <w:u w:val="single"/>
          <w:lang w:bidi="ar"/>
        </w:rPr>
        <w:t>-</w:t>
      </w:r>
      <w:r>
        <w:rPr>
          <w:rFonts w:hint="eastAsia" w:cs="Times New Roman"/>
          <w:szCs w:val="24"/>
          <w:u w:val="single"/>
          <w:lang w:bidi="ar"/>
        </w:rPr>
        <w:t>金钟花</w:t>
      </w:r>
      <w:r>
        <w:rPr>
          <w:rFonts w:cs="Times New Roman"/>
          <w:szCs w:val="24"/>
          <w:u w:val="single"/>
          <w:lang w:bidi="ar"/>
        </w:rPr>
        <w:t>+</w:t>
      </w:r>
      <w:r>
        <w:rPr>
          <w:rFonts w:hint="eastAsia" w:cs="Times New Roman"/>
          <w:szCs w:val="24"/>
          <w:u w:val="single"/>
          <w:lang w:bidi="ar"/>
        </w:rPr>
        <w:t>马棘群丛（</w:t>
      </w:r>
      <w:r>
        <w:rPr>
          <w:rFonts w:cs="Times New Roman"/>
          <w:szCs w:val="24"/>
          <w:u w:val="single"/>
          <w:lang w:bidi="ar"/>
        </w:rPr>
        <w:t>E2</w:t>
      </w:r>
      <w:r>
        <w:rPr>
          <w:rFonts w:hint="eastAsia" w:cs="Times New Roman"/>
          <w:szCs w:val="24"/>
          <w:u w:val="single"/>
          <w:lang w:bidi="ar"/>
        </w:rPr>
        <w:t>）。</w:t>
      </w:r>
      <w:r>
        <w:rPr>
          <w:rFonts w:hint="eastAsia" w:cs="Times New Roman"/>
          <w:szCs w:val="24"/>
          <w:lang w:bidi="ar"/>
        </w:rPr>
        <w:t>靠近样地</w:t>
      </w:r>
      <w:r>
        <w:rPr>
          <w:rFonts w:cs="Times New Roman"/>
          <w:szCs w:val="24"/>
          <w:lang w:bidi="ar"/>
        </w:rPr>
        <w:t>S1</w:t>
      </w:r>
      <w:r>
        <w:rPr>
          <w:rFonts w:hint="eastAsia" w:cs="Times New Roman"/>
          <w:szCs w:val="24"/>
          <w:lang w:bidi="ar"/>
        </w:rPr>
        <w:t>，在群落结构上同样以刺槐为单优群落，郁闭度约</w:t>
      </w:r>
      <w:r>
        <w:rPr>
          <w:rFonts w:cs="Times New Roman"/>
          <w:szCs w:val="24"/>
          <w:lang w:bidi="ar"/>
        </w:rPr>
        <w:t>0.75</w:t>
      </w:r>
      <w:r>
        <w:rPr>
          <w:rFonts w:hint="eastAsia" w:cs="Times New Roman"/>
          <w:szCs w:val="24"/>
          <w:lang w:bidi="ar"/>
        </w:rPr>
        <w:t>，群丛附近地势平坦，临近以女贞为主的人工林地带和乡村公路，群落乔木层种类明显缺乏，主要由</w:t>
      </w:r>
      <w:r>
        <w:rPr>
          <w:rFonts w:cs="Times New Roman"/>
          <w:szCs w:val="24"/>
          <w:lang w:bidi="ar"/>
        </w:rPr>
        <w:t>4</w:t>
      </w:r>
      <w:r>
        <w:rPr>
          <w:rFonts w:hint="eastAsia" w:cs="Times New Roman"/>
          <w:szCs w:val="24"/>
          <w:lang w:bidi="ar"/>
        </w:rPr>
        <w:t>种先锋树种（刺槐、构树、枫杨和苦楝）占据，其中以构树的竞争优势最为明显。林下以构树、枫杨等的低龄幼树，金钟花、马棘等灌木为主。</w:t>
      </w:r>
    </w:p>
    <w:p w14:paraId="7256ABD7">
      <w:pPr>
        <w:ind w:firstLine="480"/>
        <w:rPr>
          <w:rFonts w:cs="Times New Roman"/>
          <w:szCs w:val="24"/>
        </w:rPr>
      </w:pP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刺槐</w:t>
      </w:r>
      <w:r>
        <w:rPr>
          <w:rFonts w:cs="Times New Roman"/>
          <w:szCs w:val="24"/>
          <w:u w:val="single"/>
          <w:lang w:bidi="ar"/>
        </w:rPr>
        <w:t>+</w:t>
      </w:r>
      <w:r>
        <w:rPr>
          <w:rFonts w:hint="eastAsia" w:cs="Times New Roman"/>
          <w:szCs w:val="24"/>
          <w:u w:val="single"/>
          <w:lang w:bidi="ar"/>
        </w:rPr>
        <w:t>瓜木</w:t>
      </w:r>
      <w:r>
        <w:rPr>
          <w:rFonts w:cs="Times New Roman"/>
          <w:szCs w:val="24"/>
          <w:u w:val="single"/>
          <w:lang w:bidi="ar"/>
        </w:rPr>
        <w:t>-</w:t>
      </w:r>
      <w:r>
        <w:rPr>
          <w:rFonts w:hint="eastAsia" w:cs="Times New Roman"/>
          <w:szCs w:val="24"/>
          <w:u w:val="single"/>
          <w:lang w:bidi="ar"/>
        </w:rPr>
        <w:t>野蔷薇群丛（</w:t>
      </w:r>
      <w:r>
        <w:rPr>
          <w:rFonts w:cs="Times New Roman"/>
          <w:szCs w:val="24"/>
          <w:u w:val="single"/>
          <w:lang w:bidi="ar"/>
        </w:rPr>
        <w:t>E3</w:t>
      </w:r>
      <w:r>
        <w:rPr>
          <w:rFonts w:hint="eastAsia" w:cs="Times New Roman"/>
          <w:szCs w:val="24"/>
          <w:u w:val="single"/>
          <w:lang w:bidi="ar"/>
        </w:rPr>
        <w:t>）。</w:t>
      </w:r>
      <w:r>
        <w:rPr>
          <w:rFonts w:hint="eastAsia" w:cs="Times New Roman"/>
          <w:szCs w:val="24"/>
          <w:lang w:bidi="ar"/>
        </w:rPr>
        <w:t>郁闭度约</w:t>
      </w:r>
      <w:r>
        <w:rPr>
          <w:rFonts w:cs="Times New Roman"/>
          <w:szCs w:val="24"/>
          <w:lang w:bidi="ar"/>
        </w:rPr>
        <w:t>0.9</w:t>
      </w:r>
      <w:r>
        <w:rPr>
          <w:rFonts w:hint="eastAsia" w:cs="Times New Roman"/>
          <w:szCs w:val="24"/>
          <w:lang w:bidi="ar"/>
        </w:rPr>
        <w:t>，林相简单，层高较低，多数植物树高约</w:t>
      </w:r>
      <w:r>
        <w:rPr>
          <w:rFonts w:cs="Times New Roman"/>
          <w:szCs w:val="24"/>
          <w:lang w:bidi="ar"/>
        </w:rPr>
        <w:t>4~8m</w:t>
      </w:r>
      <w:r>
        <w:rPr>
          <w:rFonts w:hint="eastAsia" w:cs="Times New Roman"/>
          <w:szCs w:val="24"/>
          <w:lang w:bidi="ar"/>
        </w:rPr>
        <w:t>，以构树为绝对优势的单优群落，上层乔木仅</w:t>
      </w:r>
      <w:r>
        <w:rPr>
          <w:rFonts w:cs="Times New Roman"/>
          <w:szCs w:val="24"/>
          <w:lang w:bidi="ar"/>
        </w:rPr>
        <w:t>8</w:t>
      </w:r>
      <w:r>
        <w:rPr>
          <w:rFonts w:hint="eastAsia" w:cs="Times New Roman"/>
          <w:szCs w:val="24"/>
          <w:lang w:bidi="ar"/>
        </w:rPr>
        <w:t>种，少数构树、刺槐、乌桕胸径较大，多数植株胸径较小，次生性明显。林下灌木层种类相对较多，但数量少，以野蔷薇、瓜木、柘树和小花扁担杆等为主。</w:t>
      </w:r>
    </w:p>
    <w:p w14:paraId="020B5690">
      <w:pPr>
        <w:ind w:firstLine="480"/>
        <w:rPr>
          <w:rFonts w:cs="Times New Roman"/>
          <w:szCs w:val="24"/>
        </w:rPr>
      </w:pP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朴树</w:t>
      </w:r>
      <w:r>
        <w:rPr>
          <w:rFonts w:cs="Times New Roman"/>
          <w:szCs w:val="24"/>
          <w:u w:val="single"/>
          <w:lang w:bidi="ar"/>
        </w:rPr>
        <w:t>+</w:t>
      </w:r>
      <w:r>
        <w:rPr>
          <w:rFonts w:hint="eastAsia" w:cs="Times New Roman"/>
          <w:szCs w:val="24"/>
          <w:u w:val="single"/>
          <w:lang w:bidi="ar"/>
        </w:rPr>
        <w:t>枫杨</w:t>
      </w:r>
      <w:r>
        <w:rPr>
          <w:rFonts w:cs="Times New Roman"/>
          <w:szCs w:val="24"/>
          <w:u w:val="single"/>
          <w:lang w:bidi="ar"/>
        </w:rPr>
        <w:t>-</w:t>
      </w:r>
      <w:r>
        <w:rPr>
          <w:rFonts w:hint="eastAsia" w:cs="Times New Roman"/>
          <w:szCs w:val="24"/>
          <w:u w:val="single"/>
          <w:lang w:bidi="ar"/>
        </w:rPr>
        <w:t>茅莓群丛（</w:t>
      </w:r>
      <w:r>
        <w:rPr>
          <w:rFonts w:cs="Times New Roman"/>
          <w:szCs w:val="24"/>
          <w:u w:val="single"/>
          <w:lang w:bidi="ar"/>
        </w:rPr>
        <w:t>E4</w:t>
      </w:r>
      <w:r>
        <w:rPr>
          <w:rFonts w:hint="eastAsia" w:cs="Times New Roman"/>
          <w:szCs w:val="24"/>
          <w:u w:val="single"/>
          <w:lang w:bidi="ar"/>
        </w:rPr>
        <w:t>）。</w:t>
      </w:r>
      <w:r>
        <w:rPr>
          <w:rFonts w:hint="eastAsia" w:cs="Times New Roman"/>
          <w:szCs w:val="24"/>
          <w:lang w:bidi="ar"/>
        </w:rPr>
        <w:t>郁闭度约</w:t>
      </w:r>
      <w:r>
        <w:rPr>
          <w:rFonts w:cs="Times New Roman"/>
          <w:szCs w:val="24"/>
          <w:lang w:bidi="ar"/>
        </w:rPr>
        <w:t>0.8</w:t>
      </w:r>
      <w:r>
        <w:rPr>
          <w:rFonts w:hint="eastAsia" w:cs="Times New Roman"/>
          <w:szCs w:val="24"/>
          <w:lang w:bidi="ar"/>
        </w:rPr>
        <w:t>，靠近路边，受一定人为干扰，林下植株茂密，林相也相对整齐，胸径达</w:t>
      </w:r>
      <w:r>
        <w:rPr>
          <w:rFonts w:cs="Times New Roman"/>
          <w:szCs w:val="24"/>
          <w:lang w:bidi="ar"/>
        </w:rPr>
        <w:t>10cm</w:t>
      </w:r>
      <w:r>
        <w:rPr>
          <w:rFonts w:hint="eastAsia" w:cs="Times New Roman"/>
          <w:szCs w:val="24"/>
          <w:lang w:bidi="ar"/>
        </w:rPr>
        <w:t>以上植株较多。群丛大致可分为乔木层和灌木层两层，上层乔木较多，主要有枫杨、构树、桑树、朴树、刺槐、苦楝和盐肤木等，下层灌木主要为朴树和构树小苗，其余多为茅莓、扁担杆、野蔷薇、盐肤木等，林下竞争激烈。</w:t>
      </w:r>
    </w:p>
    <w:p w14:paraId="080484BE">
      <w:pPr>
        <w:ind w:firstLine="480"/>
        <w:rPr>
          <w:rFonts w:cs="Times New Roman"/>
          <w:szCs w:val="24"/>
        </w:rPr>
      </w:pPr>
      <w:r>
        <w:rPr>
          <w:rFonts w:hint="eastAsia" w:cs="Times New Roman"/>
          <w:szCs w:val="24"/>
          <w:u w:val="single"/>
          <w:lang w:bidi="ar"/>
        </w:rPr>
        <w:t>枫杨</w:t>
      </w:r>
      <w:r>
        <w:rPr>
          <w:rFonts w:cs="Times New Roman"/>
          <w:szCs w:val="24"/>
          <w:u w:val="single"/>
          <w:lang w:bidi="ar"/>
        </w:rPr>
        <w:t>-</w:t>
      </w: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瓜木</w:t>
      </w:r>
      <w:r>
        <w:rPr>
          <w:rFonts w:cs="Times New Roman"/>
          <w:szCs w:val="24"/>
          <w:u w:val="single"/>
          <w:lang w:bidi="ar"/>
        </w:rPr>
        <w:t>-</w:t>
      </w:r>
      <w:r>
        <w:rPr>
          <w:rFonts w:hint="eastAsia" w:cs="Times New Roman"/>
          <w:szCs w:val="24"/>
          <w:u w:val="single"/>
          <w:lang w:bidi="ar"/>
        </w:rPr>
        <w:t>茅莓群丛（</w:t>
      </w:r>
      <w:r>
        <w:rPr>
          <w:rFonts w:cs="Times New Roman"/>
          <w:szCs w:val="24"/>
          <w:u w:val="single"/>
          <w:lang w:bidi="ar"/>
        </w:rPr>
        <w:t>E5</w:t>
      </w:r>
      <w:r>
        <w:rPr>
          <w:rFonts w:hint="eastAsia" w:cs="Times New Roman"/>
          <w:szCs w:val="24"/>
          <w:u w:val="single"/>
          <w:lang w:bidi="ar"/>
        </w:rPr>
        <w:t>）。</w:t>
      </w:r>
      <w:r>
        <w:rPr>
          <w:rFonts w:hint="eastAsia" w:cs="Times New Roman"/>
          <w:szCs w:val="24"/>
          <w:lang w:bidi="ar"/>
        </w:rPr>
        <w:t>郁闭度约</w:t>
      </w:r>
      <w:r>
        <w:rPr>
          <w:rFonts w:cs="Times New Roman"/>
          <w:szCs w:val="24"/>
          <w:lang w:bidi="ar"/>
        </w:rPr>
        <w:t>0.9</w:t>
      </w:r>
      <w:r>
        <w:rPr>
          <w:rFonts w:hint="eastAsia" w:cs="Times New Roman"/>
          <w:szCs w:val="24"/>
          <w:lang w:bidi="ar"/>
        </w:rPr>
        <w:t>，群落物种组成丰富，郁闭度较高，乔木层树种结构分化明显，上层以枫杨为主，最高可达</w:t>
      </w:r>
      <w:r>
        <w:rPr>
          <w:rFonts w:cs="Times New Roman"/>
          <w:szCs w:val="24"/>
          <w:lang w:bidi="ar"/>
        </w:rPr>
        <w:t>15m</w:t>
      </w:r>
      <w:r>
        <w:rPr>
          <w:rFonts w:hint="eastAsia" w:cs="Times New Roman"/>
          <w:szCs w:val="24"/>
          <w:lang w:bidi="ar"/>
        </w:rPr>
        <w:t>，另有少数构树可达</w:t>
      </w:r>
      <w:r>
        <w:rPr>
          <w:rFonts w:cs="Times New Roman"/>
          <w:szCs w:val="24"/>
          <w:lang w:bidi="ar"/>
        </w:rPr>
        <w:t>25m</w:t>
      </w:r>
      <w:r>
        <w:rPr>
          <w:rFonts w:hint="eastAsia" w:cs="Times New Roman"/>
          <w:szCs w:val="24"/>
          <w:lang w:bidi="ar"/>
        </w:rPr>
        <w:t>，下层以朴树、八角枫和枫杨、构树幼龄树居多，并伴有少量杉木间杂其中；灌木层树种种类较多，以大量的柘树、瓜木、构树和朴树为主。</w:t>
      </w:r>
    </w:p>
    <w:p w14:paraId="306529DE">
      <w:pPr>
        <w:ind w:firstLine="480"/>
        <w:rPr>
          <w:rFonts w:cs="Times New Roman"/>
          <w:szCs w:val="24"/>
        </w:rPr>
      </w:pPr>
      <w:r>
        <w:rPr>
          <w:rFonts w:hint="eastAsia" w:cs="Times New Roman"/>
          <w:szCs w:val="24"/>
          <w:u w:val="single"/>
          <w:lang w:bidi="ar"/>
        </w:rPr>
        <w:t>枫杨</w:t>
      </w:r>
      <w:r>
        <w:rPr>
          <w:rFonts w:cs="Times New Roman"/>
          <w:szCs w:val="24"/>
          <w:u w:val="single"/>
          <w:lang w:bidi="ar"/>
        </w:rPr>
        <w:t>-</w:t>
      </w:r>
      <w:r>
        <w:rPr>
          <w:rFonts w:hint="eastAsia" w:cs="Times New Roman"/>
          <w:szCs w:val="24"/>
          <w:u w:val="single"/>
          <w:lang w:bidi="ar"/>
        </w:rPr>
        <w:t>朴树</w:t>
      </w:r>
      <w:r>
        <w:rPr>
          <w:rFonts w:cs="Times New Roman"/>
          <w:szCs w:val="24"/>
          <w:u w:val="single"/>
          <w:lang w:bidi="ar"/>
        </w:rPr>
        <w:t>+</w:t>
      </w:r>
      <w:r>
        <w:rPr>
          <w:rFonts w:hint="eastAsia" w:cs="Times New Roman"/>
          <w:szCs w:val="24"/>
          <w:u w:val="single"/>
          <w:lang w:bidi="ar"/>
        </w:rPr>
        <w:t>刺槐</w:t>
      </w:r>
      <w:r>
        <w:rPr>
          <w:rFonts w:cs="Times New Roman"/>
          <w:szCs w:val="24"/>
          <w:u w:val="single"/>
          <w:lang w:bidi="ar"/>
        </w:rPr>
        <w:t>+</w:t>
      </w:r>
      <w:r>
        <w:rPr>
          <w:rFonts w:hint="eastAsia" w:cs="Times New Roman"/>
          <w:szCs w:val="24"/>
          <w:u w:val="single"/>
          <w:lang w:bidi="ar"/>
        </w:rPr>
        <w:t>八角枫</w:t>
      </w:r>
      <w:r>
        <w:rPr>
          <w:rFonts w:cs="Times New Roman"/>
          <w:szCs w:val="24"/>
          <w:u w:val="single"/>
          <w:lang w:bidi="ar"/>
        </w:rPr>
        <w:t>-</w:t>
      </w:r>
      <w:r>
        <w:rPr>
          <w:rFonts w:hint="eastAsia" w:cs="Times New Roman"/>
          <w:szCs w:val="24"/>
          <w:u w:val="single"/>
          <w:lang w:bidi="ar"/>
        </w:rPr>
        <w:t>野蔷薇</w:t>
      </w:r>
      <w:r>
        <w:rPr>
          <w:rFonts w:cs="Times New Roman"/>
          <w:szCs w:val="24"/>
          <w:u w:val="single"/>
          <w:lang w:bidi="ar"/>
        </w:rPr>
        <w:t>+</w:t>
      </w:r>
      <w:r>
        <w:rPr>
          <w:rFonts w:hint="eastAsia" w:cs="Times New Roman"/>
          <w:szCs w:val="24"/>
          <w:u w:val="single"/>
          <w:lang w:bidi="ar"/>
        </w:rPr>
        <w:t>竹叶椒群丛（</w:t>
      </w:r>
      <w:r>
        <w:rPr>
          <w:rFonts w:cs="Times New Roman"/>
          <w:szCs w:val="24"/>
          <w:u w:val="single"/>
          <w:lang w:bidi="ar"/>
        </w:rPr>
        <w:t>E6</w:t>
      </w:r>
      <w:r>
        <w:rPr>
          <w:rFonts w:hint="eastAsia" w:cs="Times New Roman"/>
          <w:szCs w:val="24"/>
          <w:u w:val="single"/>
          <w:lang w:bidi="ar"/>
        </w:rPr>
        <w:t>）。</w:t>
      </w:r>
      <w:r>
        <w:rPr>
          <w:rFonts w:hint="eastAsia" w:cs="Times New Roman"/>
          <w:szCs w:val="24"/>
          <w:lang w:bidi="ar"/>
        </w:rPr>
        <w:t>郁闭度约</w:t>
      </w:r>
      <w:r>
        <w:rPr>
          <w:rFonts w:cs="Times New Roman"/>
          <w:szCs w:val="24"/>
          <w:lang w:bidi="ar"/>
        </w:rPr>
        <w:t>0.9</w:t>
      </w:r>
      <w:r>
        <w:rPr>
          <w:rFonts w:hint="eastAsia" w:cs="Times New Roman"/>
          <w:szCs w:val="24"/>
          <w:lang w:bidi="ar"/>
        </w:rPr>
        <w:t>，林相较为整齐，林冠连续，乔木层树种以枫杨占绝对优势，株高在</w:t>
      </w:r>
      <w:r>
        <w:rPr>
          <w:rFonts w:cs="Times New Roman"/>
          <w:szCs w:val="24"/>
          <w:lang w:bidi="ar"/>
        </w:rPr>
        <w:t>6~14m</w:t>
      </w:r>
      <w:r>
        <w:rPr>
          <w:rFonts w:hint="eastAsia" w:cs="Times New Roman"/>
          <w:szCs w:val="24"/>
          <w:lang w:bidi="ar"/>
        </w:rPr>
        <w:t>，林下灌木层低龄幼树数量较多，以野蔷薇、竹叶椒、八角枫、海州常山等占优势，上层乔木的幼树如构树、朴树等数量相对较少，乔木层竞争不明显，群落结构相对稳定。</w:t>
      </w:r>
    </w:p>
    <w:p w14:paraId="34040700">
      <w:pPr>
        <w:ind w:firstLine="480"/>
        <w:rPr>
          <w:rFonts w:cs="Times New Roman"/>
          <w:szCs w:val="24"/>
        </w:rPr>
      </w:pP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刺槐</w:t>
      </w:r>
      <w:r>
        <w:rPr>
          <w:rFonts w:cs="Times New Roman"/>
          <w:szCs w:val="24"/>
          <w:u w:val="single"/>
          <w:lang w:bidi="ar"/>
        </w:rPr>
        <w:t>-</w:t>
      </w:r>
      <w:r>
        <w:rPr>
          <w:rFonts w:hint="eastAsia" w:cs="Times New Roman"/>
          <w:szCs w:val="24"/>
          <w:u w:val="single"/>
          <w:lang w:bidi="ar"/>
        </w:rPr>
        <w:t>朴树</w:t>
      </w:r>
      <w:r>
        <w:rPr>
          <w:rFonts w:cs="Times New Roman"/>
          <w:szCs w:val="24"/>
          <w:u w:val="single"/>
          <w:lang w:bidi="ar"/>
        </w:rPr>
        <w:t>-</w:t>
      </w:r>
      <w:r>
        <w:rPr>
          <w:rFonts w:hint="eastAsia" w:cs="Times New Roman"/>
          <w:szCs w:val="24"/>
          <w:u w:val="single"/>
          <w:lang w:bidi="ar"/>
        </w:rPr>
        <w:t>海州常山</w:t>
      </w:r>
      <w:r>
        <w:rPr>
          <w:rFonts w:cs="Times New Roman"/>
          <w:szCs w:val="24"/>
          <w:u w:val="single"/>
          <w:lang w:bidi="ar"/>
        </w:rPr>
        <w:t>+</w:t>
      </w:r>
      <w:r>
        <w:rPr>
          <w:rFonts w:hint="eastAsia" w:cs="Times New Roman"/>
          <w:szCs w:val="24"/>
          <w:u w:val="single"/>
          <w:lang w:bidi="ar"/>
        </w:rPr>
        <w:t>野蔷薇</w:t>
      </w:r>
      <w:r>
        <w:rPr>
          <w:rFonts w:cs="Times New Roman"/>
          <w:szCs w:val="24"/>
          <w:u w:val="single"/>
          <w:lang w:bidi="ar"/>
        </w:rPr>
        <w:t>+</w:t>
      </w:r>
      <w:r>
        <w:rPr>
          <w:rFonts w:hint="eastAsia" w:cs="Times New Roman"/>
          <w:szCs w:val="24"/>
          <w:u w:val="single"/>
          <w:lang w:bidi="ar"/>
        </w:rPr>
        <w:t>马棘群丛（</w:t>
      </w:r>
      <w:r>
        <w:rPr>
          <w:rFonts w:cs="Times New Roman"/>
          <w:szCs w:val="24"/>
          <w:u w:val="single"/>
          <w:lang w:bidi="ar"/>
        </w:rPr>
        <w:t>E7</w:t>
      </w:r>
      <w:r>
        <w:rPr>
          <w:rFonts w:hint="eastAsia" w:cs="Times New Roman"/>
          <w:szCs w:val="24"/>
          <w:u w:val="single"/>
          <w:lang w:bidi="ar"/>
        </w:rPr>
        <w:t>）。</w:t>
      </w:r>
      <w:r>
        <w:rPr>
          <w:rFonts w:hint="eastAsia" w:cs="Times New Roman"/>
          <w:szCs w:val="24"/>
          <w:lang w:bidi="ar"/>
        </w:rPr>
        <w:t>群落外貌浅绿色，冠面波状起伏，郁闭度约</w:t>
      </w:r>
      <w:r>
        <w:rPr>
          <w:rFonts w:cs="Times New Roman"/>
          <w:szCs w:val="24"/>
          <w:lang w:bidi="ar"/>
        </w:rPr>
        <w:t>0.8</w:t>
      </w:r>
      <w:r>
        <w:rPr>
          <w:rFonts w:hint="eastAsia" w:cs="Times New Roman"/>
          <w:szCs w:val="24"/>
          <w:lang w:bidi="ar"/>
        </w:rPr>
        <w:t>，除灌木层中野蔷薇呈藤本外，林内无其他藤本植物。乔木层优势树种均为落叶植物（同时间杂少数常绿树种），属较典型的北亚热带</w:t>
      </w:r>
      <w:r>
        <w:rPr>
          <w:rFonts w:cs="Times New Roman"/>
          <w:szCs w:val="24"/>
          <w:lang w:bidi="ar"/>
        </w:rPr>
        <w:t>-</w:t>
      </w:r>
      <w:r>
        <w:rPr>
          <w:rFonts w:hint="eastAsia" w:cs="Times New Roman"/>
          <w:szCs w:val="24"/>
          <w:lang w:bidi="ar"/>
        </w:rPr>
        <w:t>南温带森林类型。乔木层树种中构树和刺槐占绝对优势，植株高度范围在</w:t>
      </w:r>
      <w:r>
        <w:rPr>
          <w:rFonts w:cs="Times New Roman"/>
          <w:szCs w:val="24"/>
          <w:lang w:bidi="ar"/>
        </w:rPr>
        <w:t>4~10m</w:t>
      </w:r>
      <w:r>
        <w:rPr>
          <w:rFonts w:hint="eastAsia" w:cs="Times New Roman"/>
          <w:szCs w:val="24"/>
          <w:lang w:bidi="ar"/>
        </w:rPr>
        <w:t>，平均胸径大于</w:t>
      </w:r>
      <w:r>
        <w:rPr>
          <w:rFonts w:cs="Times New Roman"/>
          <w:szCs w:val="24"/>
          <w:lang w:bidi="ar"/>
        </w:rPr>
        <w:t>10cm</w:t>
      </w:r>
      <w:r>
        <w:rPr>
          <w:rFonts w:hint="eastAsia" w:cs="Times New Roman"/>
          <w:szCs w:val="24"/>
          <w:lang w:bidi="ar"/>
        </w:rPr>
        <w:t>物种主要有枫杨、乌桕、黄连木、豆梨、桑树、朴树等；林下灌木层多为灌木种类，以海州常山、野蔷薇、马棘、八角枫等占优势。</w:t>
      </w:r>
    </w:p>
    <w:p w14:paraId="198D6208">
      <w:pPr>
        <w:ind w:firstLine="480"/>
        <w:rPr>
          <w:rFonts w:cs="Times New Roman"/>
          <w:szCs w:val="24"/>
        </w:rPr>
      </w:pP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刺槐</w:t>
      </w:r>
      <w:r>
        <w:rPr>
          <w:rFonts w:cs="Times New Roman"/>
          <w:szCs w:val="24"/>
          <w:u w:val="single"/>
          <w:lang w:bidi="ar"/>
        </w:rPr>
        <w:t>-</w:t>
      </w:r>
      <w:r>
        <w:rPr>
          <w:rFonts w:hint="eastAsia" w:cs="Times New Roman"/>
          <w:szCs w:val="24"/>
          <w:u w:val="single"/>
          <w:lang w:bidi="ar"/>
        </w:rPr>
        <w:t>朴树</w:t>
      </w:r>
      <w:r>
        <w:rPr>
          <w:rFonts w:cs="Times New Roman"/>
          <w:szCs w:val="24"/>
          <w:u w:val="single"/>
          <w:lang w:bidi="ar"/>
        </w:rPr>
        <w:t>-</w:t>
      </w:r>
      <w:r>
        <w:rPr>
          <w:rFonts w:hint="eastAsia" w:cs="Times New Roman"/>
          <w:szCs w:val="24"/>
          <w:u w:val="single"/>
          <w:lang w:bidi="ar"/>
        </w:rPr>
        <w:t>野蔷薇群丛（</w:t>
      </w:r>
      <w:r>
        <w:rPr>
          <w:rFonts w:cs="Times New Roman"/>
          <w:szCs w:val="24"/>
          <w:u w:val="single"/>
          <w:lang w:bidi="ar"/>
        </w:rPr>
        <w:t>E8</w:t>
      </w:r>
      <w:r>
        <w:rPr>
          <w:rFonts w:hint="eastAsia" w:cs="Times New Roman"/>
          <w:szCs w:val="24"/>
          <w:u w:val="single"/>
          <w:lang w:bidi="ar"/>
        </w:rPr>
        <w:t>）。</w:t>
      </w:r>
      <w:r>
        <w:rPr>
          <w:rFonts w:hint="eastAsia" w:cs="Times New Roman"/>
          <w:szCs w:val="24"/>
          <w:lang w:bidi="ar"/>
        </w:rPr>
        <w:t>郁闭度约</w:t>
      </w:r>
      <w:r>
        <w:rPr>
          <w:rFonts w:cs="Times New Roman"/>
          <w:szCs w:val="24"/>
          <w:lang w:bidi="ar"/>
        </w:rPr>
        <w:t>0.9</w:t>
      </w:r>
      <w:r>
        <w:rPr>
          <w:rFonts w:hint="eastAsia" w:cs="Times New Roman"/>
          <w:szCs w:val="24"/>
          <w:lang w:bidi="ar"/>
        </w:rPr>
        <w:t>，该群丛在结构组成上以刺槐和朴树较为突出，其中构树占有较大多度；群落平均高度大约</w:t>
      </w:r>
      <w:r>
        <w:rPr>
          <w:rFonts w:cs="Times New Roman"/>
          <w:szCs w:val="24"/>
          <w:lang w:bidi="ar"/>
        </w:rPr>
        <w:t>4m</w:t>
      </w:r>
      <w:r>
        <w:rPr>
          <w:rFonts w:hint="eastAsia" w:cs="Times New Roman"/>
          <w:szCs w:val="24"/>
          <w:lang w:bidi="ar"/>
        </w:rPr>
        <w:t>，为典型的落叶阔叶林。</w:t>
      </w:r>
    </w:p>
    <w:p w14:paraId="5FF692A0">
      <w:pPr>
        <w:ind w:firstLine="480"/>
        <w:rPr>
          <w:rFonts w:cs="Times New Roman"/>
          <w:szCs w:val="24"/>
        </w:rPr>
      </w:pP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刺槐</w:t>
      </w:r>
      <w:r>
        <w:rPr>
          <w:rFonts w:cs="Times New Roman"/>
          <w:szCs w:val="24"/>
          <w:u w:val="single"/>
          <w:lang w:bidi="ar"/>
        </w:rPr>
        <w:t>-</w:t>
      </w:r>
      <w:r>
        <w:rPr>
          <w:rFonts w:hint="eastAsia" w:cs="Times New Roman"/>
          <w:szCs w:val="24"/>
          <w:u w:val="single"/>
          <w:lang w:bidi="ar"/>
        </w:rPr>
        <w:t>瓜木</w:t>
      </w:r>
      <w:r>
        <w:rPr>
          <w:rFonts w:cs="Times New Roman"/>
          <w:szCs w:val="24"/>
          <w:u w:val="single"/>
          <w:lang w:bidi="ar"/>
        </w:rPr>
        <w:t>+</w:t>
      </w:r>
      <w:r>
        <w:rPr>
          <w:rFonts w:hint="eastAsia" w:cs="Times New Roman"/>
          <w:szCs w:val="24"/>
          <w:u w:val="single"/>
          <w:lang w:bidi="ar"/>
        </w:rPr>
        <w:t>朴树</w:t>
      </w:r>
      <w:r>
        <w:rPr>
          <w:rFonts w:cs="Times New Roman"/>
          <w:szCs w:val="24"/>
          <w:u w:val="single"/>
          <w:lang w:bidi="ar"/>
        </w:rPr>
        <w:t>-</w:t>
      </w:r>
      <w:r>
        <w:rPr>
          <w:rFonts w:hint="eastAsia" w:cs="Times New Roman"/>
          <w:szCs w:val="24"/>
          <w:u w:val="single"/>
          <w:lang w:bidi="ar"/>
        </w:rPr>
        <w:t>野蔷薇群丛（</w:t>
      </w:r>
      <w:r>
        <w:rPr>
          <w:rFonts w:cs="Times New Roman"/>
          <w:szCs w:val="24"/>
          <w:u w:val="single"/>
          <w:lang w:bidi="ar"/>
        </w:rPr>
        <w:t>E9</w:t>
      </w:r>
      <w:r>
        <w:rPr>
          <w:rFonts w:hint="eastAsia" w:cs="Times New Roman"/>
          <w:szCs w:val="24"/>
          <w:u w:val="single"/>
          <w:lang w:bidi="ar"/>
        </w:rPr>
        <w:t>）。</w:t>
      </w:r>
      <w:r>
        <w:rPr>
          <w:rFonts w:hint="eastAsia" w:cs="Times New Roman"/>
          <w:szCs w:val="24"/>
          <w:lang w:bidi="ar"/>
        </w:rPr>
        <w:t>郁闭度约</w:t>
      </w:r>
      <w:r>
        <w:rPr>
          <w:rFonts w:cs="Times New Roman"/>
          <w:szCs w:val="24"/>
          <w:lang w:bidi="ar"/>
        </w:rPr>
        <w:t>0.75</w:t>
      </w:r>
      <w:r>
        <w:rPr>
          <w:rFonts w:hint="eastAsia" w:cs="Times New Roman"/>
          <w:szCs w:val="24"/>
          <w:lang w:bidi="ar"/>
        </w:rPr>
        <w:t>，由于靠近道路，受人为干扰显著，林相简单，层高较低，部分地区秃裸。该群丛以构树占绝对优势的单优群落，上层乔木中少数构树、刺槐和乌桕胸径较大，多数植株胸径较小，次生性明显；林下灌木层种类相对较多，以野蔷薇、瓜木、柘树和小花扁担杆等为主。</w:t>
      </w:r>
    </w:p>
    <w:p w14:paraId="1163F1C9">
      <w:pPr>
        <w:ind w:firstLine="480"/>
        <w:rPr>
          <w:rFonts w:cs="Times New Roman"/>
          <w:szCs w:val="24"/>
        </w:rPr>
      </w:pP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刺槐</w:t>
      </w:r>
      <w:r>
        <w:rPr>
          <w:rFonts w:cs="Times New Roman"/>
          <w:szCs w:val="24"/>
          <w:u w:val="single"/>
          <w:lang w:bidi="ar"/>
        </w:rPr>
        <w:t>-</w:t>
      </w:r>
      <w:r>
        <w:rPr>
          <w:rFonts w:hint="eastAsia" w:cs="Times New Roman"/>
          <w:szCs w:val="24"/>
          <w:u w:val="single"/>
          <w:lang w:bidi="ar"/>
        </w:rPr>
        <w:t>朴树</w:t>
      </w:r>
      <w:r>
        <w:rPr>
          <w:rFonts w:cs="Times New Roman"/>
          <w:szCs w:val="24"/>
          <w:u w:val="single"/>
          <w:lang w:bidi="ar"/>
        </w:rPr>
        <w:t>+</w:t>
      </w:r>
      <w:r>
        <w:rPr>
          <w:rFonts w:hint="eastAsia" w:cs="Times New Roman"/>
          <w:szCs w:val="24"/>
          <w:u w:val="single"/>
          <w:lang w:bidi="ar"/>
        </w:rPr>
        <w:t>瓜木</w:t>
      </w:r>
      <w:r>
        <w:rPr>
          <w:rFonts w:cs="Times New Roman"/>
          <w:szCs w:val="24"/>
          <w:u w:val="single"/>
          <w:lang w:bidi="ar"/>
        </w:rPr>
        <w:t>-</w:t>
      </w:r>
      <w:r>
        <w:rPr>
          <w:rFonts w:hint="eastAsia" w:cs="Times New Roman"/>
          <w:szCs w:val="24"/>
          <w:u w:val="single"/>
          <w:lang w:bidi="ar"/>
        </w:rPr>
        <w:t>木通</w:t>
      </w:r>
      <w:r>
        <w:rPr>
          <w:rFonts w:cs="Times New Roman"/>
          <w:szCs w:val="24"/>
          <w:u w:val="single"/>
          <w:lang w:bidi="ar"/>
        </w:rPr>
        <w:t>+</w:t>
      </w:r>
      <w:r>
        <w:rPr>
          <w:rFonts w:hint="eastAsia" w:cs="Times New Roman"/>
          <w:szCs w:val="24"/>
          <w:u w:val="single"/>
          <w:lang w:bidi="ar"/>
        </w:rPr>
        <w:t>枸杞群丛（</w:t>
      </w:r>
      <w:r>
        <w:rPr>
          <w:rFonts w:cs="Times New Roman"/>
          <w:szCs w:val="24"/>
          <w:u w:val="single"/>
          <w:lang w:bidi="ar"/>
        </w:rPr>
        <w:t>E10</w:t>
      </w:r>
      <w:r>
        <w:rPr>
          <w:rFonts w:hint="eastAsia" w:cs="Times New Roman"/>
          <w:szCs w:val="24"/>
          <w:u w:val="single"/>
          <w:lang w:bidi="ar"/>
        </w:rPr>
        <w:t>）。</w:t>
      </w:r>
      <w:r>
        <w:rPr>
          <w:rFonts w:hint="eastAsia" w:cs="Times New Roman"/>
          <w:szCs w:val="24"/>
          <w:lang w:bidi="ar"/>
        </w:rPr>
        <w:t>群丛以落叶树种群落主要框架，间杂有落叶树种，群落物种组成丰富。乔木层树种优势较为突出的是刺槐和构树，占绝对优势；灌木层以木通、枸杞、构树等树种为主。以上物种中，乔木层的榉树、枫香、榔榆、桑树等属地带性乡土树种，具有较好的开发潜力；灌木层的木通、络石、棕榈等植物的出现，说明该群丛小环境的水热条件较好。</w:t>
      </w:r>
    </w:p>
    <w:p w14:paraId="423F6C29">
      <w:pPr>
        <w:ind w:firstLine="480"/>
        <w:rPr>
          <w:rFonts w:cs="Times New Roman"/>
          <w:szCs w:val="24"/>
        </w:rPr>
      </w:pPr>
      <w:r>
        <w:rPr>
          <w:rFonts w:hint="eastAsia" w:cs="Times New Roman"/>
          <w:szCs w:val="24"/>
          <w:u w:val="single"/>
          <w:lang w:bidi="ar"/>
        </w:rPr>
        <w:t>枫杨</w:t>
      </w:r>
      <w:r>
        <w:rPr>
          <w:rFonts w:cs="Times New Roman"/>
          <w:szCs w:val="24"/>
          <w:u w:val="single"/>
          <w:lang w:bidi="ar"/>
        </w:rPr>
        <w:t>+</w:t>
      </w:r>
      <w:r>
        <w:rPr>
          <w:rFonts w:hint="eastAsia" w:cs="Times New Roman"/>
          <w:szCs w:val="24"/>
          <w:u w:val="single"/>
          <w:lang w:bidi="ar"/>
        </w:rPr>
        <w:t>朴树</w:t>
      </w:r>
      <w:r>
        <w:rPr>
          <w:rFonts w:cs="Times New Roman"/>
          <w:szCs w:val="24"/>
          <w:u w:val="single"/>
          <w:lang w:bidi="ar"/>
        </w:rPr>
        <w:t>-</w:t>
      </w:r>
      <w:r>
        <w:rPr>
          <w:rFonts w:hint="eastAsia" w:cs="Times New Roman"/>
          <w:szCs w:val="24"/>
          <w:u w:val="single"/>
          <w:lang w:bidi="ar"/>
        </w:rPr>
        <w:t>八角枫</w:t>
      </w:r>
      <w:r>
        <w:rPr>
          <w:rFonts w:cs="Times New Roman"/>
          <w:szCs w:val="24"/>
          <w:u w:val="single"/>
          <w:lang w:bidi="ar"/>
        </w:rPr>
        <w:t>+</w:t>
      </w:r>
      <w:r>
        <w:rPr>
          <w:rFonts w:hint="eastAsia" w:cs="Times New Roman"/>
          <w:szCs w:val="24"/>
          <w:u w:val="single"/>
          <w:lang w:bidi="ar"/>
        </w:rPr>
        <w:t>桑树</w:t>
      </w:r>
      <w:r>
        <w:rPr>
          <w:rFonts w:cs="Times New Roman"/>
          <w:szCs w:val="24"/>
          <w:u w:val="single"/>
          <w:lang w:bidi="ar"/>
        </w:rPr>
        <w:t>-</w:t>
      </w:r>
      <w:r>
        <w:rPr>
          <w:rFonts w:hint="eastAsia" w:cs="Times New Roman"/>
          <w:szCs w:val="24"/>
          <w:u w:val="single"/>
          <w:lang w:bidi="ar"/>
        </w:rPr>
        <w:t>野蔷薇</w:t>
      </w:r>
      <w:r>
        <w:rPr>
          <w:rFonts w:cs="Times New Roman"/>
          <w:szCs w:val="24"/>
          <w:u w:val="single"/>
          <w:lang w:bidi="ar"/>
        </w:rPr>
        <w:t>+</w:t>
      </w:r>
      <w:r>
        <w:rPr>
          <w:rFonts w:hint="eastAsia" w:cs="Times New Roman"/>
          <w:szCs w:val="24"/>
          <w:u w:val="single"/>
          <w:lang w:bidi="ar"/>
        </w:rPr>
        <w:t>海州常山群丛（</w:t>
      </w:r>
      <w:r>
        <w:rPr>
          <w:rFonts w:cs="Times New Roman"/>
          <w:szCs w:val="24"/>
          <w:u w:val="single"/>
          <w:lang w:bidi="ar"/>
        </w:rPr>
        <w:t>E11</w:t>
      </w:r>
      <w:r>
        <w:rPr>
          <w:rFonts w:hint="eastAsia" w:cs="Times New Roman"/>
          <w:szCs w:val="24"/>
          <w:u w:val="single"/>
          <w:lang w:bidi="ar"/>
        </w:rPr>
        <w:t>）。</w:t>
      </w:r>
      <w:r>
        <w:rPr>
          <w:rFonts w:hint="eastAsia" w:cs="Times New Roman"/>
          <w:szCs w:val="24"/>
          <w:lang w:bidi="ar"/>
        </w:rPr>
        <w:t>该群丛乔木层以枫杨、朴树、桑树、刺槐、八角枫等为优势树种，同时伴生有女贞、杉木、麻栎、构树等物种。就胸高断面积而言，枫杨和刺槐占有较大优势；灌木层主要为野蔷薇、八角枫、海州常山、香樟等物种，未发现朴树、枫杨幼苗。</w:t>
      </w:r>
    </w:p>
    <w:p w14:paraId="162526F5">
      <w:pPr>
        <w:ind w:firstLine="480"/>
        <w:rPr>
          <w:rFonts w:cs="Times New Roman"/>
          <w:szCs w:val="24"/>
        </w:rPr>
      </w:pPr>
      <w:r>
        <w:rPr>
          <w:rFonts w:hint="eastAsia" w:cs="Times New Roman"/>
          <w:szCs w:val="24"/>
          <w:u w:val="single"/>
          <w:lang w:bidi="ar"/>
        </w:rPr>
        <w:t>麻栎</w:t>
      </w:r>
      <w:r>
        <w:rPr>
          <w:rFonts w:cs="Times New Roman"/>
          <w:szCs w:val="24"/>
          <w:u w:val="single"/>
          <w:lang w:bidi="ar"/>
        </w:rPr>
        <w:t>+</w:t>
      </w:r>
      <w:r>
        <w:rPr>
          <w:rFonts w:hint="eastAsia" w:cs="Times New Roman"/>
          <w:szCs w:val="24"/>
          <w:u w:val="single"/>
          <w:lang w:bidi="ar"/>
        </w:rPr>
        <w:t>朴树</w:t>
      </w:r>
      <w:r>
        <w:rPr>
          <w:rFonts w:cs="Times New Roman"/>
          <w:szCs w:val="24"/>
          <w:u w:val="single"/>
          <w:lang w:bidi="ar"/>
        </w:rPr>
        <w:t>-</w:t>
      </w: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榉树</w:t>
      </w:r>
      <w:r>
        <w:rPr>
          <w:rFonts w:cs="Times New Roman"/>
          <w:szCs w:val="24"/>
          <w:u w:val="single"/>
          <w:lang w:bidi="ar"/>
        </w:rPr>
        <w:t>-</w:t>
      </w:r>
      <w:r>
        <w:rPr>
          <w:rFonts w:hint="eastAsia" w:cs="Times New Roman"/>
          <w:szCs w:val="24"/>
          <w:u w:val="single"/>
          <w:lang w:bidi="ar"/>
        </w:rPr>
        <w:t>瓜木群丛（</w:t>
      </w:r>
      <w:r>
        <w:rPr>
          <w:rFonts w:cs="Times New Roman"/>
          <w:szCs w:val="24"/>
          <w:u w:val="single"/>
          <w:lang w:bidi="ar"/>
        </w:rPr>
        <w:t>E12</w:t>
      </w:r>
      <w:r>
        <w:rPr>
          <w:rFonts w:hint="eastAsia" w:cs="Times New Roman"/>
          <w:szCs w:val="24"/>
          <w:u w:val="single"/>
          <w:lang w:bidi="ar"/>
        </w:rPr>
        <w:t>）。</w:t>
      </w:r>
      <w:r>
        <w:rPr>
          <w:rFonts w:hint="eastAsia" w:cs="Times New Roman"/>
          <w:szCs w:val="24"/>
          <w:lang w:bidi="ar"/>
        </w:rPr>
        <w:t>群落高度约</w:t>
      </w:r>
      <w:r>
        <w:rPr>
          <w:rFonts w:cs="Times New Roman"/>
          <w:szCs w:val="24"/>
          <w:lang w:bidi="ar"/>
        </w:rPr>
        <w:t>5m</w:t>
      </w:r>
      <w:r>
        <w:rPr>
          <w:rFonts w:hint="eastAsia" w:cs="Times New Roman"/>
          <w:szCs w:val="24"/>
          <w:lang w:bidi="ar"/>
        </w:rPr>
        <w:t>，郁闭度约</w:t>
      </w:r>
      <w:r>
        <w:rPr>
          <w:rFonts w:cs="Times New Roman"/>
          <w:szCs w:val="24"/>
          <w:lang w:bidi="ar"/>
        </w:rPr>
        <w:t>0.85</w:t>
      </w:r>
      <w:r>
        <w:rPr>
          <w:rFonts w:hint="eastAsia" w:cs="Times New Roman"/>
          <w:szCs w:val="24"/>
          <w:lang w:bidi="ar"/>
        </w:rPr>
        <w:t>，群落构架以麻栎、朴树、构树、桑树等为主要构成树种。乔木层以落叶树种为主，其中麻栎、朴树和构树的重要值较大，还伴有臭椿、刺槐、八角枫、柘树等；灌木层物种丰富度较高，野蔷薇、海州常山、一叶荻、竹叶椒、山胡椒等物种均在群落内可见，具有较多榉树、柘树、构树、海州常山等幼苗幼树。</w:t>
      </w:r>
    </w:p>
    <w:p w14:paraId="2A54321D">
      <w:pPr>
        <w:ind w:firstLine="480"/>
        <w:rPr>
          <w:rFonts w:cs="Times New Roman"/>
          <w:szCs w:val="24"/>
        </w:rPr>
      </w:pP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朴树</w:t>
      </w:r>
      <w:r>
        <w:rPr>
          <w:rFonts w:cs="Times New Roman"/>
          <w:szCs w:val="24"/>
          <w:u w:val="single"/>
          <w:lang w:bidi="ar"/>
        </w:rPr>
        <w:t>-</w:t>
      </w:r>
      <w:r>
        <w:rPr>
          <w:rFonts w:hint="eastAsia" w:cs="Times New Roman"/>
          <w:szCs w:val="24"/>
          <w:u w:val="single"/>
          <w:lang w:bidi="ar"/>
        </w:rPr>
        <w:t>柘树</w:t>
      </w:r>
      <w:r>
        <w:rPr>
          <w:rFonts w:cs="Times New Roman"/>
          <w:szCs w:val="24"/>
          <w:u w:val="single"/>
          <w:lang w:bidi="ar"/>
        </w:rPr>
        <w:t>-</w:t>
      </w:r>
      <w:r>
        <w:rPr>
          <w:rFonts w:hint="eastAsia" w:cs="Times New Roman"/>
          <w:szCs w:val="24"/>
          <w:u w:val="single"/>
          <w:lang w:bidi="ar"/>
        </w:rPr>
        <w:t>硕苞蔷薇群丛（</w:t>
      </w:r>
      <w:r>
        <w:rPr>
          <w:rFonts w:cs="Times New Roman"/>
          <w:szCs w:val="24"/>
          <w:u w:val="single"/>
          <w:lang w:bidi="ar"/>
        </w:rPr>
        <w:t>E13</w:t>
      </w:r>
      <w:r>
        <w:rPr>
          <w:rFonts w:hint="eastAsia" w:cs="Times New Roman"/>
          <w:szCs w:val="24"/>
          <w:u w:val="single"/>
          <w:lang w:bidi="ar"/>
        </w:rPr>
        <w:t>）。</w:t>
      </w:r>
      <w:r>
        <w:rPr>
          <w:rFonts w:hint="eastAsia" w:cs="Times New Roman"/>
          <w:szCs w:val="24"/>
          <w:lang w:bidi="ar"/>
        </w:rPr>
        <w:t>郁闭度约</w:t>
      </w:r>
      <w:r>
        <w:rPr>
          <w:rFonts w:cs="Times New Roman"/>
          <w:szCs w:val="24"/>
          <w:lang w:bidi="ar"/>
        </w:rPr>
        <w:t>0.85</w:t>
      </w:r>
      <w:r>
        <w:rPr>
          <w:rFonts w:hint="eastAsia" w:cs="Times New Roman"/>
          <w:szCs w:val="24"/>
          <w:lang w:bidi="ar"/>
        </w:rPr>
        <w:t>，群落上层树种以刺槐、朴树突出；中层结构伴有构树、桑树、麻栎、小花扁担杆、乌桕等小乔木，其中构树的多度和优势度均较为突出；灌木层主要由硕苞蔷薇、柘树、木防己、野蔷薇等构成。整体而言，群落物种组成丰富，多样性较高，但灌木层除了构树作为乔木层优势树种的更新种群外，未见其他更新树种。</w:t>
      </w:r>
    </w:p>
    <w:p w14:paraId="7B134358">
      <w:pPr>
        <w:ind w:firstLine="480"/>
        <w:rPr>
          <w:rFonts w:cs="Times New Roman"/>
          <w:szCs w:val="24"/>
        </w:rPr>
      </w:pPr>
      <w:r>
        <w:rPr>
          <w:rFonts w:hint="eastAsia" w:cs="Times New Roman"/>
          <w:szCs w:val="24"/>
          <w:u w:val="single"/>
          <w:lang w:bidi="ar"/>
        </w:rPr>
        <w:t>女贞</w:t>
      </w:r>
      <w:r>
        <w:rPr>
          <w:rFonts w:cs="Times New Roman"/>
          <w:szCs w:val="24"/>
          <w:u w:val="single"/>
          <w:lang w:bidi="ar"/>
        </w:rPr>
        <w:t>+</w:t>
      </w: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瓜木</w:t>
      </w:r>
      <w:r>
        <w:rPr>
          <w:rFonts w:cs="Times New Roman"/>
          <w:szCs w:val="24"/>
          <w:u w:val="single"/>
          <w:lang w:bidi="ar"/>
        </w:rPr>
        <w:t>+</w:t>
      </w:r>
      <w:r>
        <w:rPr>
          <w:rFonts w:hint="eastAsia" w:cs="Times New Roman"/>
          <w:szCs w:val="24"/>
          <w:u w:val="single"/>
          <w:lang w:bidi="ar"/>
        </w:rPr>
        <w:t>朴树</w:t>
      </w:r>
      <w:r>
        <w:rPr>
          <w:rFonts w:cs="Times New Roman"/>
          <w:szCs w:val="24"/>
          <w:u w:val="single"/>
          <w:lang w:bidi="ar"/>
        </w:rPr>
        <w:t>-</w:t>
      </w:r>
      <w:r>
        <w:rPr>
          <w:rFonts w:hint="eastAsia" w:cs="Times New Roman"/>
          <w:szCs w:val="24"/>
          <w:u w:val="single"/>
          <w:lang w:bidi="ar"/>
        </w:rPr>
        <w:t>野蔷薇群丛（</w:t>
      </w:r>
      <w:r>
        <w:rPr>
          <w:rFonts w:cs="Times New Roman"/>
          <w:szCs w:val="24"/>
          <w:u w:val="single"/>
          <w:lang w:bidi="ar"/>
        </w:rPr>
        <w:t>E14</w:t>
      </w:r>
      <w:r>
        <w:rPr>
          <w:rFonts w:hint="eastAsia" w:cs="Times New Roman"/>
          <w:szCs w:val="24"/>
          <w:u w:val="single"/>
          <w:lang w:bidi="ar"/>
        </w:rPr>
        <w:t>）。</w:t>
      </w:r>
      <w:r>
        <w:rPr>
          <w:rFonts w:hint="eastAsia" w:cs="Times New Roman"/>
          <w:szCs w:val="24"/>
          <w:lang w:bidi="ar"/>
        </w:rPr>
        <w:t>群落郁闭度约</w:t>
      </w:r>
      <w:r>
        <w:rPr>
          <w:rFonts w:cs="Times New Roman"/>
          <w:szCs w:val="24"/>
          <w:lang w:bidi="ar"/>
        </w:rPr>
        <w:t>0.85</w:t>
      </w:r>
      <w:r>
        <w:rPr>
          <w:rFonts w:hint="eastAsia" w:cs="Times New Roman"/>
          <w:szCs w:val="24"/>
          <w:lang w:bidi="ar"/>
        </w:rPr>
        <w:t>，群落由朴树、刺槐等构成主要结构，中层女贞、瓜木、桑树、栾树、国槐、苦楝等间杂其中，群落外貌以落叶为主。该群落物种常绿和落叶共存，乔木层以女贞具有较大优势，其余落叶树种包括构树、瓜木、枫杨、刺槐等；灌木层物种构成以朴树幼树占较大优势，其余还有木瓜、野蔷薇、竹叶椒、构树、枸杞等。</w:t>
      </w:r>
    </w:p>
    <w:p w14:paraId="2D0B8BBE">
      <w:pPr>
        <w:ind w:firstLine="480"/>
        <w:rPr>
          <w:rFonts w:cs="Times New Roman"/>
          <w:szCs w:val="24"/>
        </w:rPr>
      </w:pPr>
      <w:r>
        <w:rPr>
          <w:rFonts w:hint="eastAsia" w:cs="Times New Roman"/>
          <w:szCs w:val="24"/>
          <w:u w:val="single"/>
          <w:lang w:bidi="ar"/>
        </w:rPr>
        <w:t>构树</w:t>
      </w:r>
      <w:r>
        <w:rPr>
          <w:rFonts w:cs="Times New Roman"/>
          <w:szCs w:val="24"/>
          <w:u w:val="single"/>
          <w:lang w:bidi="ar"/>
        </w:rPr>
        <w:t>-</w:t>
      </w:r>
      <w:r>
        <w:rPr>
          <w:rFonts w:hint="eastAsia" w:cs="Times New Roman"/>
          <w:szCs w:val="24"/>
          <w:u w:val="single"/>
          <w:lang w:bidi="ar"/>
        </w:rPr>
        <w:t>马尾松</w:t>
      </w:r>
      <w:r>
        <w:rPr>
          <w:rFonts w:cs="Times New Roman"/>
          <w:szCs w:val="24"/>
          <w:u w:val="single"/>
          <w:lang w:bidi="ar"/>
        </w:rPr>
        <w:t>-</w:t>
      </w:r>
      <w:r>
        <w:rPr>
          <w:rFonts w:hint="eastAsia" w:cs="Times New Roman"/>
          <w:szCs w:val="24"/>
          <w:u w:val="single"/>
          <w:lang w:bidi="ar"/>
        </w:rPr>
        <w:t>野蔷薇群丛（</w:t>
      </w:r>
      <w:r>
        <w:rPr>
          <w:rFonts w:cs="Times New Roman"/>
          <w:szCs w:val="24"/>
          <w:u w:val="single"/>
          <w:lang w:bidi="ar"/>
        </w:rPr>
        <w:t>E15</w:t>
      </w:r>
      <w:r>
        <w:rPr>
          <w:rFonts w:hint="eastAsia" w:cs="Times New Roman"/>
          <w:szCs w:val="24"/>
          <w:u w:val="single"/>
          <w:lang w:bidi="ar"/>
        </w:rPr>
        <w:t>）。</w:t>
      </w:r>
      <w:r>
        <w:rPr>
          <w:rFonts w:hint="eastAsia" w:cs="Times New Roman"/>
          <w:szCs w:val="24"/>
          <w:lang w:bidi="ar"/>
        </w:rPr>
        <w:t>群落郁闭度约</w:t>
      </w:r>
      <w:r>
        <w:rPr>
          <w:rFonts w:cs="Times New Roman"/>
          <w:szCs w:val="24"/>
          <w:lang w:bidi="ar"/>
        </w:rPr>
        <w:t>0.9</w:t>
      </w:r>
      <w:r>
        <w:rPr>
          <w:rFonts w:hint="eastAsia" w:cs="Times New Roman"/>
          <w:szCs w:val="24"/>
          <w:lang w:bidi="ar"/>
        </w:rPr>
        <w:t>，以马尾松和构树为主要的针阔混交林形式存在。乔木层中构树占绝对优势，其次为马尾松和刺槐，其余伴生树种还有圆柏、苦楝、乌桕、桑树、柘树、榔榆、女贞等，以上树种主要分布于群落中下层结构，丰富了群落的层次性和物种多样性，其重要值相对较低；灌木层中较为突出的是构树，未发现马尾松幼树幼苗。</w:t>
      </w:r>
    </w:p>
    <w:p w14:paraId="2EFCCCC5">
      <w:pPr>
        <w:ind w:firstLine="480"/>
        <w:rPr>
          <w:rFonts w:cs="Times New Roman"/>
          <w:szCs w:val="24"/>
        </w:rPr>
      </w:pPr>
      <w:r>
        <w:rPr>
          <w:rFonts w:hint="eastAsia" w:cs="Times New Roman"/>
          <w:szCs w:val="24"/>
          <w:u w:val="single"/>
          <w:lang w:bidi="ar"/>
        </w:rPr>
        <w:t>枫杨</w:t>
      </w:r>
      <w:r>
        <w:rPr>
          <w:rFonts w:cs="Times New Roman"/>
          <w:szCs w:val="24"/>
          <w:u w:val="single"/>
          <w:lang w:bidi="ar"/>
        </w:rPr>
        <w:t>-</w:t>
      </w:r>
      <w:r>
        <w:rPr>
          <w:rFonts w:hint="eastAsia" w:cs="Times New Roman"/>
          <w:szCs w:val="24"/>
          <w:u w:val="single"/>
          <w:lang w:bidi="ar"/>
        </w:rPr>
        <w:t>刺槐</w:t>
      </w:r>
      <w:r>
        <w:rPr>
          <w:rFonts w:cs="Times New Roman"/>
          <w:szCs w:val="24"/>
          <w:u w:val="single"/>
          <w:lang w:bidi="ar"/>
        </w:rPr>
        <w:t>+</w:t>
      </w:r>
      <w:r>
        <w:rPr>
          <w:rFonts w:hint="eastAsia" w:cs="Times New Roman"/>
          <w:szCs w:val="24"/>
          <w:u w:val="single"/>
          <w:lang w:bidi="ar"/>
        </w:rPr>
        <w:t>杉木</w:t>
      </w:r>
      <w:r>
        <w:rPr>
          <w:rFonts w:cs="Times New Roman"/>
          <w:szCs w:val="24"/>
          <w:u w:val="single"/>
          <w:lang w:bidi="ar"/>
        </w:rPr>
        <w:t>-</w:t>
      </w:r>
      <w:r>
        <w:rPr>
          <w:rFonts w:hint="eastAsia" w:cs="Times New Roman"/>
          <w:szCs w:val="24"/>
          <w:u w:val="single"/>
          <w:lang w:bidi="ar"/>
        </w:rPr>
        <w:t>野蔷薇群丛（</w:t>
      </w:r>
      <w:r>
        <w:rPr>
          <w:rFonts w:cs="Times New Roman"/>
          <w:szCs w:val="24"/>
          <w:u w:val="single"/>
          <w:lang w:bidi="ar"/>
        </w:rPr>
        <w:t>E16</w:t>
      </w:r>
      <w:r>
        <w:rPr>
          <w:rFonts w:hint="eastAsia" w:cs="Times New Roman"/>
          <w:szCs w:val="24"/>
          <w:u w:val="single"/>
          <w:lang w:bidi="ar"/>
        </w:rPr>
        <w:t>）。</w:t>
      </w:r>
      <w:r>
        <w:rPr>
          <w:rFonts w:hint="eastAsia" w:cs="Times New Roman"/>
          <w:szCs w:val="24"/>
          <w:lang w:bidi="ar"/>
        </w:rPr>
        <w:t>群落郁闭度约</w:t>
      </w:r>
      <w:r>
        <w:rPr>
          <w:rFonts w:cs="Times New Roman"/>
          <w:szCs w:val="24"/>
          <w:lang w:bidi="ar"/>
        </w:rPr>
        <w:t>0.8</w:t>
      </w:r>
      <w:r>
        <w:rPr>
          <w:rFonts w:hint="eastAsia" w:cs="Times New Roman"/>
          <w:szCs w:val="24"/>
          <w:lang w:bidi="ar"/>
        </w:rPr>
        <w:t>，以枫杨、刺槐、杉木等为主的针阔混交林形式存在。乔木层中枫杨胸高断面积较为突出；刺槐和杉木同样具有一定的重要值；灌木层物种丰富度要较乔木层高，其中较为突出的为野蔷薇、棕榈、桑树、枸杞等，重要值均在</w:t>
      </w:r>
      <w:r>
        <w:rPr>
          <w:rFonts w:cs="Times New Roman"/>
          <w:szCs w:val="24"/>
          <w:lang w:bidi="ar"/>
        </w:rPr>
        <w:t>20%</w:t>
      </w:r>
      <w:r>
        <w:rPr>
          <w:rFonts w:hint="eastAsia" w:cs="Times New Roman"/>
          <w:szCs w:val="24"/>
          <w:lang w:bidi="ar"/>
        </w:rPr>
        <w:t>以上，同时还伴有香樟、猫乳、女贞等常绿树种。</w:t>
      </w:r>
    </w:p>
    <w:p w14:paraId="334865C1">
      <w:pPr>
        <w:ind w:firstLine="482"/>
        <w:rPr>
          <w:rFonts w:cs="Times New Roman"/>
          <w:b/>
          <w:bCs/>
          <w:szCs w:val="24"/>
        </w:rPr>
      </w:pPr>
      <w:r>
        <w:rPr>
          <w:rFonts w:hint="eastAsia" w:cs="Times New Roman"/>
          <w:b/>
          <w:bCs/>
          <w:szCs w:val="24"/>
          <w:lang w:bidi="ar"/>
        </w:rPr>
        <w:t>（</w:t>
      </w:r>
      <w:r>
        <w:rPr>
          <w:rFonts w:cs="Times New Roman"/>
          <w:b/>
          <w:bCs/>
          <w:szCs w:val="24"/>
          <w:lang w:bidi="ar"/>
        </w:rPr>
        <w:t>4</w:t>
      </w:r>
      <w:r>
        <w:rPr>
          <w:rFonts w:hint="eastAsia" w:cs="Times New Roman"/>
          <w:b/>
          <w:bCs/>
          <w:szCs w:val="24"/>
          <w:lang w:bidi="ar"/>
        </w:rPr>
        <w:t>）植被群丛多样性分析</w:t>
      </w:r>
    </w:p>
    <w:p w14:paraId="7B745BD3">
      <w:pPr>
        <w:ind w:firstLine="480"/>
        <w:rPr>
          <w:rFonts w:cs="Times New Roman"/>
          <w:szCs w:val="24"/>
        </w:rPr>
      </w:pPr>
      <w:r>
        <w:rPr>
          <w:rFonts w:hint="eastAsia" w:cs="Times New Roman"/>
          <w:szCs w:val="24"/>
          <w:lang w:bidi="ar"/>
        </w:rPr>
        <w:t>结合现状调查数据，计算调查群丛中各群落结构的物种丰富度、优势度指数、多样性指数以及均匀度指数。计算公式如下：</w:t>
      </w:r>
    </w:p>
    <w:p w14:paraId="39F3AF21">
      <w:pPr>
        <w:ind w:firstLine="480"/>
        <w:rPr>
          <w:rFonts w:cs="Times New Roman"/>
          <w:szCs w:val="24"/>
        </w:rPr>
      </w:pPr>
      <w:r>
        <w:rPr>
          <w:rFonts w:hint="eastAsia" w:cs="Times New Roman"/>
          <w:szCs w:val="24"/>
          <w:lang w:bidi="ar"/>
        </w:rPr>
        <w:t>物种丰富度计算公式：</w:t>
      </w:r>
      <w:r>
        <w:rPr>
          <w:rFonts w:cs="Times New Roman"/>
          <w:i/>
          <w:iCs/>
          <w:szCs w:val="24"/>
          <w:lang w:bidi="ar"/>
        </w:rPr>
        <w:t>R</w:t>
      </w:r>
      <w:r>
        <w:rPr>
          <w:rFonts w:cs="Times New Roman"/>
          <w:i/>
          <w:iCs/>
          <w:szCs w:val="24"/>
          <w:vertAlign w:val="subscript"/>
          <w:lang w:bidi="ar"/>
        </w:rPr>
        <w:t>0</w:t>
      </w:r>
      <w:r>
        <w:rPr>
          <w:rFonts w:cs="Times New Roman"/>
          <w:i/>
          <w:iCs/>
          <w:szCs w:val="24"/>
          <w:lang w:bidi="ar"/>
        </w:rPr>
        <w:t>=S</w:t>
      </w:r>
    </w:p>
    <w:p w14:paraId="54925A08">
      <w:pPr>
        <w:ind w:firstLine="480"/>
        <w:rPr>
          <w:rFonts w:cs="Times New Roman"/>
          <w:szCs w:val="24"/>
        </w:rPr>
      </w:pPr>
      <w:r>
        <w:rPr>
          <w:rFonts w:cs="Times New Roman"/>
          <w:i/>
          <w:iCs/>
          <w:szCs w:val="24"/>
          <w:lang w:bidi="ar"/>
        </w:rPr>
        <w:t>Margalef</w:t>
      </w:r>
      <w:r>
        <w:rPr>
          <w:rFonts w:hint="eastAsia" w:cs="Times New Roman"/>
          <w:szCs w:val="24"/>
          <w:lang w:bidi="ar"/>
        </w:rPr>
        <w:t>丰富度指数计算公式：</w:t>
      </w:r>
      <w:r>
        <w:rPr>
          <w:rFonts w:cs="Times New Roman"/>
          <w:i/>
          <w:iCs/>
          <w:szCs w:val="24"/>
          <w:lang w:bidi="ar"/>
        </w:rPr>
        <w:t>E=</w:t>
      </w:r>
      <w:r>
        <w:rPr>
          <w:rFonts w:hint="eastAsia" w:cs="Times New Roman"/>
          <w:i/>
          <w:iCs/>
          <w:szCs w:val="24"/>
          <w:lang w:bidi="ar"/>
        </w:rPr>
        <w:t>（</w:t>
      </w:r>
      <w:r>
        <w:rPr>
          <w:rFonts w:cs="Times New Roman"/>
          <w:i/>
          <w:iCs/>
          <w:szCs w:val="24"/>
          <w:lang w:bidi="ar"/>
        </w:rPr>
        <w:t>S-1</w:t>
      </w:r>
      <w:r>
        <w:rPr>
          <w:rFonts w:hint="eastAsia" w:cs="Times New Roman"/>
          <w:i/>
          <w:iCs/>
          <w:szCs w:val="24"/>
          <w:lang w:bidi="ar"/>
        </w:rPr>
        <w:t>）</w:t>
      </w:r>
      <w:r>
        <w:rPr>
          <w:rFonts w:cs="Times New Roman"/>
          <w:i/>
          <w:iCs/>
          <w:szCs w:val="24"/>
          <w:lang w:bidi="ar"/>
        </w:rPr>
        <w:t>/lnN</w:t>
      </w:r>
    </w:p>
    <w:p w14:paraId="0D94C4F8">
      <w:pPr>
        <w:ind w:firstLine="480"/>
        <w:rPr>
          <w:rFonts w:cs="Times New Roman"/>
          <w:i/>
          <w:iCs/>
          <w:szCs w:val="24"/>
        </w:rPr>
      </w:pPr>
      <w:r>
        <w:rPr>
          <w:rFonts w:cs="Times New Roman"/>
          <w:i/>
          <w:iCs/>
          <w:szCs w:val="24"/>
          <w:lang w:bidi="ar"/>
        </w:rPr>
        <w:t>Simpson</w:t>
      </w:r>
      <w:r>
        <w:rPr>
          <w:rFonts w:hint="eastAsia" w:cs="Times New Roman"/>
          <w:szCs w:val="24"/>
          <w:lang w:bidi="ar"/>
        </w:rPr>
        <w:t>优势度指数计算公式：</w:t>
      </w:r>
      <w:r>
        <w:rPr>
          <w:rFonts w:cs="Times New Roman"/>
          <w:i/>
          <w:iCs/>
          <w:szCs w:val="24"/>
          <w:lang w:bidi="ar"/>
        </w:rPr>
        <w:t>D=∑P</w:t>
      </w:r>
      <w:r>
        <w:rPr>
          <w:rFonts w:cs="Times New Roman"/>
          <w:i/>
          <w:iCs/>
          <w:szCs w:val="24"/>
          <w:vertAlign w:val="subscript"/>
          <w:lang w:bidi="ar"/>
        </w:rPr>
        <w:t>i</w:t>
      </w:r>
      <w:r>
        <w:rPr>
          <w:rFonts w:cs="Times New Roman"/>
          <w:i/>
          <w:iCs/>
          <w:szCs w:val="24"/>
          <w:vertAlign w:val="superscript"/>
          <w:lang w:bidi="ar"/>
        </w:rPr>
        <w:t>2</w:t>
      </w:r>
    </w:p>
    <w:p w14:paraId="1F550C54">
      <w:pPr>
        <w:ind w:firstLine="960" w:firstLineChars="400"/>
        <w:rPr>
          <w:rFonts w:cs="Times New Roman"/>
          <w:szCs w:val="24"/>
        </w:rPr>
      </w:pPr>
      <w:r>
        <w:rPr>
          <w:rFonts w:hint="eastAsia" w:cs="Times New Roman"/>
          <w:szCs w:val="24"/>
          <w:lang w:bidi="ar"/>
        </w:rPr>
        <w:t>其中，</w:t>
      </w:r>
      <w:r>
        <w:rPr>
          <w:rFonts w:cs="Times New Roman"/>
          <w:i/>
          <w:iCs/>
          <w:szCs w:val="24"/>
          <w:lang w:bidi="ar"/>
        </w:rPr>
        <w:t>P</w:t>
      </w:r>
      <w:r>
        <w:rPr>
          <w:rFonts w:cs="Times New Roman"/>
          <w:i/>
          <w:iCs/>
          <w:szCs w:val="24"/>
          <w:vertAlign w:val="subscript"/>
          <w:lang w:bidi="ar"/>
        </w:rPr>
        <w:t>i</w:t>
      </w:r>
      <w:r>
        <w:rPr>
          <w:rFonts w:hint="eastAsia" w:cs="Times New Roman"/>
          <w:szCs w:val="24"/>
          <w:lang w:bidi="ar"/>
        </w:rPr>
        <w:t>为种</w:t>
      </w:r>
      <w:r>
        <w:rPr>
          <w:rFonts w:cs="Times New Roman"/>
          <w:i/>
          <w:iCs/>
          <w:szCs w:val="24"/>
          <w:lang w:bidi="ar"/>
        </w:rPr>
        <w:t>i</w:t>
      </w:r>
      <w:r>
        <w:rPr>
          <w:rFonts w:hint="eastAsia" w:cs="Times New Roman"/>
          <w:szCs w:val="24"/>
          <w:lang w:bidi="ar"/>
        </w:rPr>
        <w:t>的个体数占所有种个体数的比率。</w:t>
      </w:r>
    </w:p>
    <w:p w14:paraId="1CC6A8C4">
      <w:pPr>
        <w:ind w:firstLine="480"/>
        <w:rPr>
          <w:rFonts w:cs="Times New Roman"/>
          <w:i/>
          <w:iCs/>
          <w:szCs w:val="24"/>
        </w:rPr>
      </w:pPr>
      <w:r>
        <w:rPr>
          <w:rFonts w:cs="Times New Roman"/>
          <w:i/>
          <w:iCs/>
          <w:szCs w:val="24"/>
          <w:lang w:bidi="ar"/>
        </w:rPr>
        <w:t>Shannon-Wiener</w:t>
      </w:r>
      <w:r>
        <w:rPr>
          <w:rFonts w:hint="eastAsia" w:cs="Times New Roman"/>
          <w:szCs w:val="24"/>
          <w:lang w:bidi="ar"/>
        </w:rPr>
        <w:t>多样性指数计算公式：</w:t>
      </w:r>
      <w:r>
        <w:rPr>
          <w:rFonts w:cs="Times New Roman"/>
          <w:i/>
          <w:iCs/>
          <w:szCs w:val="24"/>
          <w:lang w:bidi="ar"/>
        </w:rPr>
        <w:t>H=-∑P</w:t>
      </w:r>
      <w:r>
        <w:rPr>
          <w:rFonts w:cs="Times New Roman"/>
          <w:i/>
          <w:iCs/>
          <w:szCs w:val="24"/>
          <w:vertAlign w:val="subscript"/>
          <w:lang w:bidi="ar"/>
        </w:rPr>
        <w:t>i</w:t>
      </w:r>
      <w:r>
        <w:rPr>
          <w:rFonts w:cs="Times New Roman"/>
          <w:i/>
          <w:iCs/>
          <w:szCs w:val="24"/>
          <w:lang w:bidi="ar"/>
        </w:rPr>
        <w:t>lnP</w:t>
      </w:r>
      <w:r>
        <w:rPr>
          <w:rFonts w:cs="Times New Roman"/>
          <w:i/>
          <w:iCs/>
          <w:szCs w:val="24"/>
          <w:vertAlign w:val="subscript"/>
          <w:lang w:bidi="ar"/>
        </w:rPr>
        <w:t>i</w:t>
      </w:r>
    </w:p>
    <w:p w14:paraId="0C452E2A">
      <w:pPr>
        <w:ind w:firstLine="480"/>
        <w:rPr>
          <w:rFonts w:cs="Times New Roman"/>
          <w:szCs w:val="24"/>
        </w:rPr>
      </w:pPr>
      <w:r>
        <w:rPr>
          <w:rFonts w:cs="Times New Roman"/>
          <w:i/>
          <w:iCs/>
          <w:szCs w:val="24"/>
          <w:lang w:bidi="ar"/>
        </w:rPr>
        <w:t>Pielou</w:t>
      </w:r>
      <w:r>
        <w:rPr>
          <w:rFonts w:hint="eastAsia" w:cs="Times New Roman"/>
          <w:szCs w:val="24"/>
          <w:lang w:bidi="ar"/>
        </w:rPr>
        <w:t>均匀度指数计算公式：</w:t>
      </w:r>
      <w:r>
        <w:rPr>
          <w:rFonts w:cs="Times New Roman"/>
          <w:i/>
          <w:iCs/>
          <w:szCs w:val="24"/>
          <w:lang w:bidi="ar"/>
        </w:rPr>
        <w:t>J=H/lnS</w:t>
      </w:r>
    </w:p>
    <w:p w14:paraId="5508B542">
      <w:pPr>
        <w:ind w:firstLine="960" w:firstLineChars="400"/>
        <w:rPr>
          <w:rFonts w:cs="Times New Roman"/>
          <w:szCs w:val="24"/>
        </w:rPr>
      </w:pPr>
      <w:r>
        <w:rPr>
          <w:rFonts w:hint="eastAsia" w:cs="Times New Roman"/>
          <w:szCs w:val="24"/>
          <w:lang w:bidi="ar"/>
        </w:rPr>
        <w:t>其中，</w:t>
      </w:r>
      <w:r>
        <w:rPr>
          <w:rFonts w:cs="Times New Roman"/>
          <w:i/>
          <w:iCs/>
          <w:szCs w:val="24"/>
          <w:lang w:bidi="ar"/>
        </w:rPr>
        <w:t>S</w:t>
      </w:r>
      <w:r>
        <w:rPr>
          <w:rFonts w:hint="eastAsia" w:cs="Times New Roman"/>
          <w:szCs w:val="24"/>
          <w:lang w:bidi="ar"/>
        </w:rPr>
        <w:t>代表样方的植物种类总和；</w:t>
      </w:r>
    </w:p>
    <w:p w14:paraId="4A1E8110">
      <w:pPr>
        <w:ind w:firstLine="1680" w:firstLineChars="700"/>
        <w:rPr>
          <w:rFonts w:cs="Times New Roman"/>
          <w:szCs w:val="24"/>
        </w:rPr>
      </w:pPr>
      <w:r>
        <w:rPr>
          <w:rFonts w:cs="Times New Roman"/>
          <w:i/>
          <w:iCs/>
          <w:szCs w:val="24"/>
          <w:lang w:bidi="ar"/>
        </w:rPr>
        <w:t>N</w:t>
      </w:r>
      <w:r>
        <w:rPr>
          <w:rFonts w:hint="eastAsia" w:cs="Times New Roman"/>
          <w:szCs w:val="24"/>
          <w:lang w:bidi="ar"/>
        </w:rPr>
        <w:t>为样方所有物种的个体数之和；</w:t>
      </w:r>
    </w:p>
    <w:p w14:paraId="0F4A25B9">
      <w:pPr>
        <w:ind w:firstLine="1680" w:firstLineChars="700"/>
        <w:rPr>
          <w:rFonts w:cs="Times New Roman"/>
          <w:szCs w:val="24"/>
        </w:rPr>
      </w:pPr>
      <w:r>
        <w:rPr>
          <w:rFonts w:cs="Times New Roman"/>
          <w:i/>
          <w:iCs/>
          <w:szCs w:val="24"/>
          <w:lang w:bidi="ar"/>
        </w:rPr>
        <w:t>P</w:t>
      </w:r>
      <w:r>
        <w:rPr>
          <w:rFonts w:cs="Times New Roman"/>
          <w:i/>
          <w:iCs/>
          <w:szCs w:val="24"/>
          <w:vertAlign w:val="subscript"/>
          <w:lang w:bidi="ar"/>
        </w:rPr>
        <w:t>i</w:t>
      </w:r>
      <w:r>
        <w:rPr>
          <w:rFonts w:hint="eastAsia" w:cs="Times New Roman"/>
          <w:szCs w:val="24"/>
          <w:lang w:bidi="ar"/>
        </w:rPr>
        <w:t>为第</w:t>
      </w:r>
      <w:r>
        <w:rPr>
          <w:rFonts w:cs="Times New Roman"/>
          <w:i/>
          <w:iCs/>
          <w:szCs w:val="24"/>
          <w:lang w:bidi="ar"/>
        </w:rPr>
        <w:t>i</w:t>
      </w:r>
      <w:r>
        <w:rPr>
          <w:rFonts w:hint="eastAsia" w:cs="Times New Roman"/>
          <w:szCs w:val="24"/>
          <w:lang w:bidi="ar"/>
        </w:rPr>
        <w:t>种的重要值；</w:t>
      </w:r>
    </w:p>
    <w:p w14:paraId="2A95D4B1">
      <w:pPr>
        <w:ind w:firstLine="1680" w:firstLineChars="700"/>
        <w:rPr>
          <w:rFonts w:cs="Times New Roman"/>
          <w:szCs w:val="24"/>
        </w:rPr>
      </w:pPr>
      <w:r>
        <w:rPr>
          <w:rFonts w:cs="Times New Roman"/>
          <w:i/>
          <w:iCs/>
          <w:szCs w:val="24"/>
          <w:lang w:bidi="ar"/>
        </w:rPr>
        <w:t>N</w:t>
      </w:r>
      <w:r>
        <w:rPr>
          <w:rFonts w:cs="Times New Roman"/>
          <w:i/>
          <w:iCs/>
          <w:szCs w:val="24"/>
          <w:vertAlign w:val="subscript"/>
          <w:lang w:bidi="ar"/>
        </w:rPr>
        <w:t>i</w:t>
      </w:r>
      <w:r>
        <w:rPr>
          <w:rFonts w:hint="eastAsia" w:cs="Times New Roman"/>
          <w:szCs w:val="24"/>
          <w:lang w:bidi="ar"/>
        </w:rPr>
        <w:t>为第</w:t>
      </w:r>
      <w:r>
        <w:rPr>
          <w:rFonts w:cs="Times New Roman"/>
          <w:i/>
          <w:iCs/>
          <w:szCs w:val="24"/>
          <w:lang w:bidi="ar"/>
        </w:rPr>
        <w:t>i</w:t>
      </w:r>
      <w:r>
        <w:rPr>
          <w:rFonts w:hint="eastAsia" w:cs="Times New Roman"/>
          <w:szCs w:val="24"/>
          <w:lang w:bidi="ar"/>
        </w:rPr>
        <w:t>种的个体数目。</w:t>
      </w:r>
    </w:p>
    <w:p w14:paraId="510D63C4">
      <w:pPr>
        <w:ind w:firstLine="480"/>
        <w:rPr>
          <w:rFonts w:cs="Times New Roman"/>
          <w:szCs w:val="24"/>
        </w:rPr>
      </w:pPr>
      <w:r>
        <w:rPr>
          <w:rFonts w:hint="eastAsia" w:cs="Times New Roman"/>
          <w:szCs w:val="24"/>
          <w:lang w:bidi="ar"/>
        </w:rPr>
        <w:t>利用以上公式，计算得到茅山旅游度假区不同植物群落结构种多样性指数见表</w:t>
      </w:r>
      <w:r>
        <w:rPr>
          <w:rFonts w:cs="Times New Roman"/>
          <w:szCs w:val="24"/>
          <w:lang w:bidi="ar"/>
        </w:rPr>
        <w:t>3.</w:t>
      </w:r>
      <w:r>
        <w:rPr>
          <w:rFonts w:hint="eastAsia" w:cs="Times New Roman"/>
          <w:szCs w:val="24"/>
          <w:lang w:bidi="ar"/>
        </w:rPr>
        <w:t>6</w:t>
      </w:r>
      <w:r>
        <w:rPr>
          <w:rFonts w:cs="Times New Roman"/>
          <w:szCs w:val="24"/>
          <w:lang w:bidi="ar"/>
        </w:rPr>
        <w:t>-</w:t>
      </w:r>
      <w:r>
        <w:rPr>
          <w:rFonts w:hint="eastAsia" w:cs="Times New Roman"/>
          <w:szCs w:val="24"/>
          <w:lang w:bidi="ar"/>
        </w:rPr>
        <w:t>12。</w:t>
      </w:r>
    </w:p>
    <w:p w14:paraId="09B92B66">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12</w:t>
      </w:r>
      <w:r>
        <w:rPr>
          <w:rFonts w:cs="Times New Roman"/>
        </w:rPr>
        <w:t xml:space="preserve"> </w:t>
      </w:r>
      <w:r>
        <w:rPr>
          <w:rFonts w:hint="eastAsia" w:cs="Times New Roman"/>
        </w:rPr>
        <w:t>茅山旅游度假区不同植物群落结构种多样性指数表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1"/>
        <w:gridCol w:w="1891"/>
        <w:gridCol w:w="731"/>
        <w:gridCol w:w="1002"/>
        <w:gridCol w:w="1002"/>
        <w:gridCol w:w="1002"/>
        <w:gridCol w:w="1003"/>
      </w:tblGrid>
      <w:tr w14:paraId="6E5E9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blHeader/>
        </w:trPr>
        <w:tc>
          <w:tcPr>
            <w:tcW w:w="1109" w:type="pct"/>
            <w:tcBorders>
              <w:top w:val="single" w:color="auto" w:sz="4" w:space="0"/>
              <w:left w:val="single" w:color="auto" w:sz="4" w:space="0"/>
              <w:bottom w:val="single" w:color="auto" w:sz="4" w:space="0"/>
              <w:right w:val="single" w:color="auto" w:sz="4" w:space="0"/>
            </w:tcBorders>
            <w:vAlign w:val="center"/>
          </w:tcPr>
          <w:p w14:paraId="1FC2AFB0">
            <w:pPr>
              <w:spacing w:line="240" w:lineRule="auto"/>
              <w:ind w:firstLine="0" w:firstLineChars="0"/>
              <w:jc w:val="center"/>
              <w:rPr>
                <w:rFonts w:cs="Times New Roman"/>
                <w:b/>
                <w:bCs/>
                <w:szCs w:val="21"/>
              </w:rPr>
            </w:pPr>
            <w:r>
              <w:rPr>
                <w:rFonts w:hint="eastAsia" w:cs="Times New Roman"/>
                <w:b/>
                <w:bCs/>
                <w:sz w:val="21"/>
                <w:szCs w:val="21"/>
                <w:lang w:bidi="ar"/>
              </w:rPr>
              <w:t>植物群丛</w:t>
            </w:r>
          </w:p>
        </w:tc>
        <w:tc>
          <w:tcPr>
            <w:tcW w:w="1109" w:type="pct"/>
            <w:tcBorders>
              <w:top w:val="single" w:color="auto" w:sz="4" w:space="0"/>
              <w:left w:val="single" w:color="auto" w:sz="4" w:space="0"/>
              <w:bottom w:val="single" w:color="auto" w:sz="4" w:space="0"/>
              <w:right w:val="single" w:color="auto" w:sz="4" w:space="0"/>
            </w:tcBorders>
            <w:vAlign w:val="center"/>
          </w:tcPr>
          <w:p w14:paraId="0ADABF4B">
            <w:pPr>
              <w:spacing w:line="240" w:lineRule="auto"/>
              <w:ind w:firstLine="0" w:firstLineChars="0"/>
              <w:jc w:val="center"/>
              <w:rPr>
                <w:rFonts w:cs="Times New Roman"/>
                <w:b/>
                <w:bCs/>
                <w:szCs w:val="21"/>
              </w:rPr>
            </w:pPr>
            <w:r>
              <w:rPr>
                <w:rFonts w:hint="eastAsia" w:cs="Times New Roman"/>
                <w:b/>
                <w:bCs/>
                <w:sz w:val="21"/>
                <w:szCs w:val="21"/>
                <w:lang w:bidi="ar"/>
              </w:rPr>
              <w:t>群落结构</w:t>
            </w:r>
          </w:p>
        </w:tc>
        <w:tc>
          <w:tcPr>
            <w:tcW w:w="429" w:type="pct"/>
            <w:tcBorders>
              <w:top w:val="single" w:color="auto" w:sz="4" w:space="0"/>
              <w:left w:val="single" w:color="auto" w:sz="4" w:space="0"/>
              <w:bottom w:val="single" w:color="auto" w:sz="4" w:space="0"/>
              <w:right w:val="single" w:color="auto" w:sz="4" w:space="0"/>
            </w:tcBorders>
            <w:vAlign w:val="center"/>
          </w:tcPr>
          <w:p w14:paraId="04E9573F">
            <w:pPr>
              <w:spacing w:line="240" w:lineRule="auto"/>
              <w:ind w:firstLine="0" w:firstLineChars="0"/>
              <w:jc w:val="center"/>
              <w:rPr>
                <w:rFonts w:cs="Times New Roman"/>
                <w:b/>
                <w:bCs/>
                <w:i/>
                <w:iCs/>
                <w:szCs w:val="21"/>
              </w:rPr>
            </w:pPr>
            <w:r>
              <w:rPr>
                <w:rFonts w:cs="Times New Roman"/>
                <w:b/>
                <w:bCs/>
                <w:i/>
                <w:iCs/>
                <w:sz w:val="21"/>
                <w:szCs w:val="21"/>
                <w:lang w:bidi="ar"/>
              </w:rPr>
              <w:t>S</w:t>
            </w:r>
          </w:p>
        </w:tc>
        <w:tc>
          <w:tcPr>
            <w:tcW w:w="588" w:type="pct"/>
            <w:tcBorders>
              <w:top w:val="single" w:color="auto" w:sz="4" w:space="0"/>
              <w:left w:val="single" w:color="auto" w:sz="4" w:space="0"/>
              <w:bottom w:val="single" w:color="auto" w:sz="4" w:space="0"/>
              <w:right w:val="single" w:color="auto" w:sz="4" w:space="0"/>
            </w:tcBorders>
            <w:vAlign w:val="center"/>
          </w:tcPr>
          <w:p w14:paraId="06C4CBCE">
            <w:pPr>
              <w:spacing w:line="240" w:lineRule="auto"/>
              <w:ind w:firstLine="0" w:firstLineChars="0"/>
              <w:jc w:val="center"/>
              <w:rPr>
                <w:rFonts w:cs="Times New Roman"/>
                <w:b/>
                <w:bCs/>
                <w:i/>
                <w:iCs/>
                <w:szCs w:val="21"/>
              </w:rPr>
            </w:pPr>
            <w:r>
              <w:rPr>
                <w:rFonts w:cs="Times New Roman"/>
                <w:b/>
                <w:bCs/>
                <w:i/>
                <w:iCs/>
                <w:sz w:val="21"/>
                <w:szCs w:val="21"/>
                <w:lang w:bidi="ar"/>
              </w:rPr>
              <w:t>E</w:t>
            </w:r>
          </w:p>
        </w:tc>
        <w:tc>
          <w:tcPr>
            <w:tcW w:w="588" w:type="pct"/>
            <w:tcBorders>
              <w:top w:val="single" w:color="auto" w:sz="4" w:space="0"/>
              <w:left w:val="single" w:color="auto" w:sz="4" w:space="0"/>
              <w:bottom w:val="single" w:color="auto" w:sz="4" w:space="0"/>
              <w:right w:val="single" w:color="auto" w:sz="4" w:space="0"/>
            </w:tcBorders>
            <w:vAlign w:val="center"/>
          </w:tcPr>
          <w:p w14:paraId="46CB4EFD">
            <w:pPr>
              <w:spacing w:line="240" w:lineRule="auto"/>
              <w:ind w:firstLine="0" w:firstLineChars="0"/>
              <w:jc w:val="center"/>
              <w:rPr>
                <w:rFonts w:cs="Times New Roman"/>
                <w:b/>
                <w:bCs/>
                <w:i/>
                <w:iCs/>
                <w:szCs w:val="21"/>
              </w:rPr>
            </w:pPr>
            <w:r>
              <w:rPr>
                <w:rFonts w:cs="Times New Roman"/>
                <w:b/>
                <w:bCs/>
                <w:i/>
                <w:iCs/>
                <w:sz w:val="21"/>
                <w:szCs w:val="21"/>
                <w:lang w:bidi="ar"/>
              </w:rPr>
              <w:t>D</w:t>
            </w:r>
          </w:p>
        </w:tc>
        <w:tc>
          <w:tcPr>
            <w:tcW w:w="588" w:type="pct"/>
            <w:tcBorders>
              <w:top w:val="single" w:color="auto" w:sz="4" w:space="0"/>
              <w:left w:val="single" w:color="auto" w:sz="4" w:space="0"/>
              <w:bottom w:val="single" w:color="auto" w:sz="4" w:space="0"/>
              <w:right w:val="single" w:color="auto" w:sz="4" w:space="0"/>
            </w:tcBorders>
            <w:vAlign w:val="center"/>
          </w:tcPr>
          <w:p w14:paraId="00A21FBF">
            <w:pPr>
              <w:spacing w:line="240" w:lineRule="auto"/>
              <w:ind w:firstLine="0" w:firstLineChars="0"/>
              <w:jc w:val="center"/>
              <w:rPr>
                <w:rFonts w:cs="Times New Roman"/>
                <w:b/>
                <w:bCs/>
                <w:i/>
                <w:iCs/>
                <w:szCs w:val="21"/>
              </w:rPr>
            </w:pPr>
            <w:r>
              <w:rPr>
                <w:rFonts w:cs="Times New Roman"/>
                <w:b/>
                <w:bCs/>
                <w:i/>
                <w:iCs/>
                <w:sz w:val="21"/>
                <w:szCs w:val="21"/>
                <w:lang w:bidi="ar"/>
              </w:rPr>
              <w:t>H</w:t>
            </w:r>
          </w:p>
        </w:tc>
        <w:tc>
          <w:tcPr>
            <w:tcW w:w="588" w:type="pct"/>
            <w:tcBorders>
              <w:top w:val="single" w:color="auto" w:sz="4" w:space="0"/>
              <w:left w:val="single" w:color="auto" w:sz="4" w:space="0"/>
              <w:bottom w:val="single" w:color="auto" w:sz="4" w:space="0"/>
              <w:right w:val="single" w:color="auto" w:sz="4" w:space="0"/>
            </w:tcBorders>
            <w:vAlign w:val="center"/>
          </w:tcPr>
          <w:p w14:paraId="66A8A213">
            <w:pPr>
              <w:spacing w:line="240" w:lineRule="auto"/>
              <w:ind w:firstLine="0" w:firstLineChars="0"/>
              <w:jc w:val="center"/>
              <w:rPr>
                <w:rFonts w:cs="Times New Roman"/>
                <w:b/>
                <w:bCs/>
                <w:i/>
                <w:iCs/>
                <w:szCs w:val="21"/>
              </w:rPr>
            </w:pPr>
            <w:r>
              <w:rPr>
                <w:rFonts w:cs="Times New Roman"/>
                <w:b/>
                <w:bCs/>
                <w:i/>
                <w:iCs/>
                <w:sz w:val="21"/>
                <w:szCs w:val="21"/>
                <w:lang w:bidi="ar"/>
              </w:rPr>
              <w:t>J</w:t>
            </w:r>
          </w:p>
        </w:tc>
      </w:tr>
      <w:tr w14:paraId="1F12E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3E8ED809">
            <w:pPr>
              <w:spacing w:line="240" w:lineRule="auto"/>
              <w:ind w:firstLine="0" w:firstLineChars="0"/>
              <w:jc w:val="center"/>
              <w:rPr>
                <w:rFonts w:cs="Times New Roman"/>
                <w:szCs w:val="21"/>
              </w:rPr>
            </w:pPr>
            <w:r>
              <w:rPr>
                <w:rFonts w:cs="Times New Roman"/>
                <w:sz w:val="21"/>
                <w:szCs w:val="21"/>
                <w:lang w:bidi="ar"/>
              </w:rPr>
              <w:t>E1</w:t>
            </w:r>
          </w:p>
        </w:tc>
        <w:tc>
          <w:tcPr>
            <w:tcW w:w="1109" w:type="pct"/>
            <w:tcBorders>
              <w:top w:val="single" w:color="auto" w:sz="4" w:space="0"/>
              <w:left w:val="single" w:color="auto" w:sz="4" w:space="0"/>
              <w:bottom w:val="single" w:color="auto" w:sz="4" w:space="0"/>
              <w:right w:val="single" w:color="auto" w:sz="4" w:space="0"/>
            </w:tcBorders>
            <w:vAlign w:val="center"/>
          </w:tcPr>
          <w:p w14:paraId="0902AE42">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46E3DD69">
            <w:pPr>
              <w:spacing w:line="240" w:lineRule="auto"/>
              <w:ind w:firstLine="0" w:firstLineChars="0"/>
              <w:jc w:val="center"/>
              <w:rPr>
                <w:rFonts w:cs="Times New Roman"/>
                <w:szCs w:val="21"/>
              </w:rPr>
            </w:pPr>
            <w:r>
              <w:rPr>
                <w:rFonts w:cs="Times New Roman"/>
                <w:sz w:val="21"/>
                <w:szCs w:val="21"/>
                <w:lang w:bidi="ar"/>
              </w:rPr>
              <w:t>11</w:t>
            </w:r>
          </w:p>
        </w:tc>
        <w:tc>
          <w:tcPr>
            <w:tcW w:w="588" w:type="pct"/>
            <w:tcBorders>
              <w:top w:val="single" w:color="auto" w:sz="4" w:space="0"/>
              <w:left w:val="single" w:color="auto" w:sz="4" w:space="0"/>
              <w:bottom w:val="single" w:color="auto" w:sz="4" w:space="0"/>
              <w:right w:val="single" w:color="auto" w:sz="4" w:space="0"/>
            </w:tcBorders>
            <w:vAlign w:val="center"/>
          </w:tcPr>
          <w:p w14:paraId="2EB1F144">
            <w:pPr>
              <w:spacing w:line="240" w:lineRule="auto"/>
              <w:ind w:firstLine="0" w:firstLineChars="0"/>
              <w:jc w:val="center"/>
              <w:rPr>
                <w:rFonts w:cs="Times New Roman"/>
                <w:szCs w:val="21"/>
              </w:rPr>
            </w:pPr>
            <w:r>
              <w:rPr>
                <w:rFonts w:cs="Times New Roman"/>
                <w:sz w:val="21"/>
                <w:szCs w:val="21"/>
                <w:lang w:bidi="ar"/>
              </w:rPr>
              <w:t>1.96</w:t>
            </w:r>
          </w:p>
        </w:tc>
        <w:tc>
          <w:tcPr>
            <w:tcW w:w="588" w:type="pct"/>
            <w:tcBorders>
              <w:top w:val="single" w:color="auto" w:sz="4" w:space="0"/>
              <w:left w:val="single" w:color="auto" w:sz="4" w:space="0"/>
              <w:bottom w:val="single" w:color="auto" w:sz="4" w:space="0"/>
              <w:right w:val="single" w:color="auto" w:sz="4" w:space="0"/>
            </w:tcBorders>
            <w:vAlign w:val="center"/>
          </w:tcPr>
          <w:p w14:paraId="7B819BA9">
            <w:pPr>
              <w:spacing w:line="240" w:lineRule="auto"/>
              <w:ind w:firstLine="0" w:firstLineChars="0"/>
              <w:jc w:val="center"/>
              <w:rPr>
                <w:rFonts w:cs="Times New Roman"/>
                <w:szCs w:val="21"/>
              </w:rPr>
            </w:pPr>
            <w:r>
              <w:rPr>
                <w:rFonts w:cs="Times New Roman"/>
                <w:sz w:val="21"/>
                <w:szCs w:val="21"/>
                <w:lang w:bidi="ar"/>
              </w:rPr>
              <w:t>0.99</w:t>
            </w:r>
          </w:p>
        </w:tc>
        <w:tc>
          <w:tcPr>
            <w:tcW w:w="588" w:type="pct"/>
            <w:tcBorders>
              <w:top w:val="single" w:color="auto" w:sz="4" w:space="0"/>
              <w:left w:val="single" w:color="auto" w:sz="4" w:space="0"/>
              <w:bottom w:val="single" w:color="auto" w:sz="4" w:space="0"/>
              <w:right w:val="single" w:color="auto" w:sz="4" w:space="0"/>
            </w:tcBorders>
            <w:vAlign w:val="center"/>
          </w:tcPr>
          <w:p w14:paraId="363D9A0E">
            <w:pPr>
              <w:spacing w:line="240" w:lineRule="auto"/>
              <w:ind w:firstLine="0" w:firstLineChars="0"/>
              <w:jc w:val="center"/>
              <w:rPr>
                <w:rFonts w:cs="Times New Roman"/>
                <w:szCs w:val="21"/>
              </w:rPr>
            </w:pPr>
            <w:r>
              <w:rPr>
                <w:rFonts w:cs="Times New Roman"/>
                <w:sz w:val="21"/>
                <w:szCs w:val="21"/>
                <w:lang w:bidi="ar"/>
              </w:rPr>
              <w:t>4.74</w:t>
            </w:r>
          </w:p>
        </w:tc>
        <w:tc>
          <w:tcPr>
            <w:tcW w:w="588" w:type="pct"/>
            <w:tcBorders>
              <w:top w:val="single" w:color="auto" w:sz="4" w:space="0"/>
              <w:left w:val="single" w:color="auto" w:sz="4" w:space="0"/>
              <w:bottom w:val="single" w:color="auto" w:sz="4" w:space="0"/>
              <w:right w:val="single" w:color="auto" w:sz="4" w:space="0"/>
            </w:tcBorders>
            <w:vAlign w:val="center"/>
          </w:tcPr>
          <w:p w14:paraId="744BE812">
            <w:pPr>
              <w:spacing w:line="240" w:lineRule="auto"/>
              <w:ind w:firstLine="0" w:firstLineChars="0"/>
              <w:jc w:val="center"/>
              <w:rPr>
                <w:rFonts w:cs="Times New Roman"/>
                <w:szCs w:val="21"/>
              </w:rPr>
            </w:pPr>
            <w:r>
              <w:rPr>
                <w:rFonts w:cs="Times New Roman"/>
                <w:sz w:val="21"/>
                <w:szCs w:val="21"/>
                <w:lang w:bidi="ar"/>
              </w:rPr>
              <w:t>1.98</w:t>
            </w:r>
          </w:p>
        </w:tc>
      </w:tr>
      <w:tr w14:paraId="36186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32CEA35D">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3C5E04BF">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7DE8E4AE">
            <w:pPr>
              <w:spacing w:line="240" w:lineRule="auto"/>
              <w:ind w:firstLine="0" w:firstLineChars="0"/>
              <w:jc w:val="center"/>
              <w:rPr>
                <w:rFonts w:cs="Times New Roman"/>
                <w:szCs w:val="21"/>
              </w:rPr>
            </w:pPr>
            <w:r>
              <w:rPr>
                <w:rFonts w:cs="Times New Roman"/>
                <w:sz w:val="21"/>
                <w:szCs w:val="21"/>
                <w:lang w:bidi="ar"/>
              </w:rPr>
              <w:t>15</w:t>
            </w:r>
          </w:p>
        </w:tc>
        <w:tc>
          <w:tcPr>
            <w:tcW w:w="588" w:type="pct"/>
            <w:tcBorders>
              <w:top w:val="single" w:color="auto" w:sz="4" w:space="0"/>
              <w:left w:val="single" w:color="auto" w:sz="4" w:space="0"/>
              <w:bottom w:val="single" w:color="auto" w:sz="4" w:space="0"/>
              <w:right w:val="single" w:color="auto" w:sz="4" w:space="0"/>
            </w:tcBorders>
            <w:vAlign w:val="center"/>
          </w:tcPr>
          <w:p w14:paraId="6A99EA7C">
            <w:pPr>
              <w:spacing w:line="240" w:lineRule="auto"/>
              <w:ind w:firstLine="0" w:firstLineChars="0"/>
              <w:jc w:val="center"/>
              <w:rPr>
                <w:rFonts w:cs="Times New Roman"/>
                <w:szCs w:val="21"/>
              </w:rPr>
            </w:pPr>
            <w:r>
              <w:rPr>
                <w:rFonts w:cs="Times New Roman"/>
                <w:sz w:val="21"/>
                <w:szCs w:val="21"/>
                <w:lang w:bidi="ar"/>
              </w:rPr>
              <w:t>2.41</w:t>
            </w:r>
          </w:p>
        </w:tc>
        <w:tc>
          <w:tcPr>
            <w:tcW w:w="588" w:type="pct"/>
            <w:tcBorders>
              <w:top w:val="single" w:color="auto" w:sz="4" w:space="0"/>
              <w:left w:val="single" w:color="auto" w:sz="4" w:space="0"/>
              <w:bottom w:val="single" w:color="auto" w:sz="4" w:space="0"/>
              <w:right w:val="single" w:color="auto" w:sz="4" w:space="0"/>
            </w:tcBorders>
            <w:vAlign w:val="center"/>
          </w:tcPr>
          <w:p w14:paraId="2DC579E1">
            <w:pPr>
              <w:spacing w:line="240" w:lineRule="auto"/>
              <w:ind w:firstLine="0" w:firstLineChars="0"/>
              <w:jc w:val="center"/>
              <w:rPr>
                <w:rFonts w:cs="Times New Roman"/>
                <w:szCs w:val="21"/>
              </w:rPr>
            </w:pPr>
            <w:r>
              <w:rPr>
                <w:rFonts w:cs="Times New Roman"/>
                <w:sz w:val="21"/>
                <w:szCs w:val="21"/>
                <w:lang w:bidi="ar"/>
              </w:rPr>
              <w:t>0.92</w:t>
            </w:r>
          </w:p>
        </w:tc>
        <w:tc>
          <w:tcPr>
            <w:tcW w:w="588" w:type="pct"/>
            <w:tcBorders>
              <w:top w:val="single" w:color="auto" w:sz="4" w:space="0"/>
              <w:left w:val="single" w:color="auto" w:sz="4" w:space="0"/>
              <w:bottom w:val="single" w:color="auto" w:sz="4" w:space="0"/>
              <w:right w:val="single" w:color="auto" w:sz="4" w:space="0"/>
            </w:tcBorders>
            <w:vAlign w:val="center"/>
          </w:tcPr>
          <w:p w14:paraId="0BE1769F">
            <w:pPr>
              <w:spacing w:line="240" w:lineRule="auto"/>
              <w:ind w:firstLine="0" w:firstLineChars="0"/>
              <w:jc w:val="center"/>
              <w:rPr>
                <w:rFonts w:cs="Times New Roman"/>
                <w:szCs w:val="21"/>
              </w:rPr>
            </w:pPr>
            <w:r>
              <w:rPr>
                <w:rFonts w:cs="Times New Roman"/>
                <w:sz w:val="21"/>
                <w:szCs w:val="21"/>
                <w:lang w:bidi="ar"/>
              </w:rPr>
              <w:t>2.89</w:t>
            </w:r>
          </w:p>
        </w:tc>
        <w:tc>
          <w:tcPr>
            <w:tcW w:w="588" w:type="pct"/>
            <w:tcBorders>
              <w:top w:val="single" w:color="auto" w:sz="4" w:space="0"/>
              <w:left w:val="single" w:color="auto" w:sz="4" w:space="0"/>
              <w:bottom w:val="single" w:color="auto" w:sz="4" w:space="0"/>
              <w:right w:val="single" w:color="auto" w:sz="4" w:space="0"/>
            </w:tcBorders>
            <w:vAlign w:val="center"/>
          </w:tcPr>
          <w:p w14:paraId="639068FB">
            <w:pPr>
              <w:spacing w:line="240" w:lineRule="auto"/>
              <w:ind w:firstLine="0" w:firstLineChars="0"/>
              <w:jc w:val="center"/>
              <w:rPr>
                <w:rFonts w:cs="Times New Roman"/>
                <w:szCs w:val="21"/>
              </w:rPr>
            </w:pPr>
            <w:r>
              <w:rPr>
                <w:rFonts w:cs="Times New Roman"/>
                <w:sz w:val="21"/>
                <w:szCs w:val="21"/>
                <w:lang w:bidi="ar"/>
              </w:rPr>
              <w:t>1.07</w:t>
            </w:r>
          </w:p>
        </w:tc>
      </w:tr>
      <w:tr w14:paraId="650EA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6035C14D">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094587EF">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4B7C90F3">
            <w:pPr>
              <w:spacing w:line="240" w:lineRule="auto"/>
              <w:ind w:firstLine="0" w:firstLineChars="0"/>
              <w:jc w:val="center"/>
              <w:rPr>
                <w:rFonts w:cs="Times New Roman"/>
                <w:szCs w:val="21"/>
              </w:rPr>
            </w:pPr>
            <w:r>
              <w:rPr>
                <w:rFonts w:cs="Times New Roman"/>
                <w:sz w:val="21"/>
                <w:szCs w:val="21"/>
                <w:lang w:bidi="ar"/>
              </w:rPr>
              <w:t>30</w:t>
            </w:r>
          </w:p>
        </w:tc>
        <w:tc>
          <w:tcPr>
            <w:tcW w:w="588" w:type="pct"/>
            <w:tcBorders>
              <w:top w:val="single" w:color="auto" w:sz="4" w:space="0"/>
              <w:left w:val="single" w:color="auto" w:sz="4" w:space="0"/>
              <w:bottom w:val="single" w:color="auto" w:sz="4" w:space="0"/>
              <w:right w:val="single" w:color="auto" w:sz="4" w:space="0"/>
            </w:tcBorders>
            <w:vAlign w:val="center"/>
          </w:tcPr>
          <w:p w14:paraId="04D18BCE">
            <w:pPr>
              <w:spacing w:line="240" w:lineRule="auto"/>
              <w:ind w:firstLine="0" w:firstLineChars="0"/>
              <w:jc w:val="center"/>
              <w:rPr>
                <w:rFonts w:cs="Times New Roman"/>
                <w:szCs w:val="21"/>
              </w:rPr>
            </w:pPr>
            <w:r>
              <w:rPr>
                <w:rFonts w:cs="Times New Roman"/>
                <w:sz w:val="21"/>
                <w:szCs w:val="21"/>
                <w:lang w:bidi="ar"/>
              </w:rPr>
              <w:t>3.93</w:t>
            </w:r>
          </w:p>
        </w:tc>
        <w:tc>
          <w:tcPr>
            <w:tcW w:w="588" w:type="pct"/>
            <w:tcBorders>
              <w:top w:val="single" w:color="auto" w:sz="4" w:space="0"/>
              <w:left w:val="single" w:color="auto" w:sz="4" w:space="0"/>
              <w:bottom w:val="single" w:color="auto" w:sz="4" w:space="0"/>
              <w:right w:val="single" w:color="auto" w:sz="4" w:space="0"/>
            </w:tcBorders>
            <w:vAlign w:val="center"/>
          </w:tcPr>
          <w:p w14:paraId="75ED02EC">
            <w:pPr>
              <w:spacing w:line="240" w:lineRule="auto"/>
              <w:ind w:firstLine="0" w:firstLineChars="0"/>
              <w:jc w:val="center"/>
              <w:rPr>
                <w:rFonts w:cs="Times New Roman"/>
                <w:szCs w:val="21"/>
              </w:rPr>
            </w:pPr>
            <w:r>
              <w:rPr>
                <w:rFonts w:cs="Times New Roman"/>
                <w:sz w:val="21"/>
                <w:szCs w:val="21"/>
                <w:lang w:bidi="ar"/>
              </w:rPr>
              <w:t>0.96</w:t>
            </w:r>
          </w:p>
        </w:tc>
        <w:tc>
          <w:tcPr>
            <w:tcW w:w="588" w:type="pct"/>
            <w:tcBorders>
              <w:top w:val="single" w:color="auto" w:sz="4" w:space="0"/>
              <w:left w:val="single" w:color="auto" w:sz="4" w:space="0"/>
              <w:bottom w:val="single" w:color="auto" w:sz="4" w:space="0"/>
              <w:right w:val="single" w:color="auto" w:sz="4" w:space="0"/>
            </w:tcBorders>
            <w:vAlign w:val="center"/>
          </w:tcPr>
          <w:p w14:paraId="20961491">
            <w:pPr>
              <w:spacing w:line="240" w:lineRule="auto"/>
              <w:ind w:firstLine="0" w:firstLineChars="0"/>
              <w:jc w:val="center"/>
              <w:rPr>
                <w:rFonts w:cs="Times New Roman"/>
                <w:szCs w:val="21"/>
              </w:rPr>
            </w:pPr>
            <w:r>
              <w:rPr>
                <w:rFonts w:cs="Times New Roman"/>
                <w:sz w:val="21"/>
                <w:szCs w:val="21"/>
                <w:lang w:bidi="ar"/>
              </w:rPr>
              <w:t>3.52</w:t>
            </w:r>
          </w:p>
        </w:tc>
        <w:tc>
          <w:tcPr>
            <w:tcW w:w="588" w:type="pct"/>
            <w:tcBorders>
              <w:top w:val="single" w:color="auto" w:sz="4" w:space="0"/>
              <w:left w:val="single" w:color="auto" w:sz="4" w:space="0"/>
              <w:bottom w:val="single" w:color="auto" w:sz="4" w:space="0"/>
              <w:right w:val="single" w:color="auto" w:sz="4" w:space="0"/>
            </w:tcBorders>
            <w:vAlign w:val="center"/>
          </w:tcPr>
          <w:p w14:paraId="389FC9D4">
            <w:pPr>
              <w:spacing w:line="240" w:lineRule="auto"/>
              <w:ind w:firstLine="0" w:firstLineChars="0"/>
              <w:jc w:val="center"/>
              <w:rPr>
                <w:rFonts w:cs="Times New Roman"/>
                <w:szCs w:val="21"/>
              </w:rPr>
            </w:pPr>
            <w:r>
              <w:rPr>
                <w:rFonts w:cs="Times New Roman"/>
                <w:sz w:val="21"/>
                <w:szCs w:val="21"/>
                <w:lang w:bidi="ar"/>
              </w:rPr>
              <w:t>1.04</w:t>
            </w:r>
          </w:p>
        </w:tc>
      </w:tr>
      <w:tr w14:paraId="404A8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7EC1EDF1">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70D22E6F">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4A4C4A24">
            <w:pPr>
              <w:spacing w:line="240" w:lineRule="auto"/>
              <w:ind w:firstLine="0" w:firstLineChars="0"/>
              <w:jc w:val="center"/>
              <w:rPr>
                <w:rFonts w:cs="Times New Roman"/>
                <w:szCs w:val="21"/>
              </w:rPr>
            </w:pPr>
            <w:r>
              <w:rPr>
                <w:rFonts w:cs="Times New Roman"/>
                <w:sz w:val="21"/>
                <w:szCs w:val="21"/>
                <w:lang w:bidi="ar"/>
              </w:rPr>
              <w:t>56</w:t>
            </w:r>
          </w:p>
        </w:tc>
        <w:tc>
          <w:tcPr>
            <w:tcW w:w="588" w:type="pct"/>
            <w:tcBorders>
              <w:top w:val="single" w:color="auto" w:sz="4" w:space="0"/>
              <w:left w:val="single" w:color="auto" w:sz="4" w:space="0"/>
              <w:bottom w:val="single" w:color="auto" w:sz="4" w:space="0"/>
              <w:right w:val="single" w:color="auto" w:sz="4" w:space="0"/>
            </w:tcBorders>
            <w:vAlign w:val="center"/>
          </w:tcPr>
          <w:p w14:paraId="6BC51D9E">
            <w:pPr>
              <w:spacing w:line="240" w:lineRule="auto"/>
              <w:ind w:firstLine="0" w:firstLineChars="0"/>
              <w:jc w:val="center"/>
              <w:rPr>
                <w:rFonts w:cs="Times New Roman"/>
                <w:szCs w:val="21"/>
              </w:rPr>
            </w:pPr>
            <w:r>
              <w:rPr>
                <w:rFonts w:cs="Times New Roman"/>
                <w:sz w:val="21"/>
                <w:szCs w:val="21"/>
                <w:lang w:bidi="ar"/>
              </w:rPr>
              <w:t>7.18</w:t>
            </w:r>
          </w:p>
        </w:tc>
        <w:tc>
          <w:tcPr>
            <w:tcW w:w="588" w:type="pct"/>
            <w:tcBorders>
              <w:top w:val="single" w:color="auto" w:sz="4" w:space="0"/>
              <w:left w:val="single" w:color="auto" w:sz="4" w:space="0"/>
              <w:bottom w:val="single" w:color="auto" w:sz="4" w:space="0"/>
              <w:right w:val="single" w:color="auto" w:sz="4" w:space="0"/>
            </w:tcBorders>
            <w:vAlign w:val="center"/>
          </w:tcPr>
          <w:p w14:paraId="040E2EBD">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2F23B159">
            <w:pPr>
              <w:spacing w:line="240" w:lineRule="auto"/>
              <w:ind w:firstLine="0" w:firstLineChars="0"/>
              <w:jc w:val="center"/>
              <w:rPr>
                <w:rFonts w:cs="Times New Roman"/>
                <w:szCs w:val="21"/>
              </w:rPr>
            </w:pPr>
            <w:r>
              <w:rPr>
                <w:rFonts w:cs="Times New Roman"/>
                <w:sz w:val="21"/>
                <w:szCs w:val="21"/>
                <w:lang w:bidi="ar"/>
              </w:rPr>
              <w:t>4.22</w:t>
            </w:r>
          </w:p>
        </w:tc>
        <w:tc>
          <w:tcPr>
            <w:tcW w:w="588" w:type="pct"/>
            <w:tcBorders>
              <w:top w:val="single" w:color="auto" w:sz="4" w:space="0"/>
              <w:left w:val="single" w:color="auto" w:sz="4" w:space="0"/>
              <w:bottom w:val="single" w:color="auto" w:sz="4" w:space="0"/>
              <w:right w:val="single" w:color="auto" w:sz="4" w:space="0"/>
            </w:tcBorders>
            <w:vAlign w:val="center"/>
          </w:tcPr>
          <w:p w14:paraId="07576F03">
            <w:pPr>
              <w:spacing w:line="240" w:lineRule="auto"/>
              <w:ind w:firstLine="0" w:firstLineChars="0"/>
              <w:jc w:val="center"/>
              <w:rPr>
                <w:rFonts w:cs="Times New Roman"/>
                <w:szCs w:val="21"/>
              </w:rPr>
            </w:pPr>
            <w:r>
              <w:rPr>
                <w:rFonts w:cs="Times New Roman"/>
                <w:sz w:val="21"/>
                <w:szCs w:val="21"/>
                <w:lang w:bidi="ar"/>
              </w:rPr>
              <w:t>1.05</w:t>
            </w:r>
          </w:p>
        </w:tc>
      </w:tr>
      <w:tr w14:paraId="4AC69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06C72317">
            <w:pPr>
              <w:spacing w:line="240" w:lineRule="auto"/>
              <w:ind w:firstLine="0" w:firstLineChars="0"/>
              <w:jc w:val="center"/>
              <w:rPr>
                <w:rFonts w:cs="Times New Roman"/>
                <w:szCs w:val="21"/>
              </w:rPr>
            </w:pPr>
            <w:r>
              <w:rPr>
                <w:rFonts w:cs="Times New Roman"/>
                <w:sz w:val="21"/>
                <w:szCs w:val="21"/>
                <w:lang w:bidi="ar"/>
              </w:rPr>
              <w:t>E2</w:t>
            </w:r>
          </w:p>
        </w:tc>
        <w:tc>
          <w:tcPr>
            <w:tcW w:w="1109" w:type="pct"/>
            <w:tcBorders>
              <w:top w:val="single" w:color="auto" w:sz="4" w:space="0"/>
              <w:left w:val="single" w:color="auto" w:sz="4" w:space="0"/>
              <w:bottom w:val="single" w:color="auto" w:sz="4" w:space="0"/>
              <w:right w:val="single" w:color="auto" w:sz="4" w:space="0"/>
            </w:tcBorders>
            <w:vAlign w:val="center"/>
          </w:tcPr>
          <w:p w14:paraId="2099D724">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48DF32E1">
            <w:pPr>
              <w:spacing w:line="240" w:lineRule="auto"/>
              <w:ind w:firstLine="0" w:firstLineChars="0"/>
              <w:jc w:val="center"/>
              <w:rPr>
                <w:rFonts w:cs="Times New Roman"/>
                <w:szCs w:val="21"/>
              </w:rPr>
            </w:pPr>
            <w:r>
              <w:rPr>
                <w:rFonts w:cs="Times New Roman"/>
                <w:sz w:val="21"/>
                <w:szCs w:val="21"/>
                <w:lang w:bidi="ar"/>
              </w:rPr>
              <w:t>4</w:t>
            </w:r>
          </w:p>
        </w:tc>
        <w:tc>
          <w:tcPr>
            <w:tcW w:w="588" w:type="pct"/>
            <w:tcBorders>
              <w:top w:val="single" w:color="auto" w:sz="4" w:space="0"/>
              <w:left w:val="single" w:color="auto" w:sz="4" w:space="0"/>
              <w:bottom w:val="single" w:color="auto" w:sz="4" w:space="0"/>
              <w:right w:val="single" w:color="auto" w:sz="4" w:space="0"/>
            </w:tcBorders>
            <w:vAlign w:val="center"/>
          </w:tcPr>
          <w:p w14:paraId="35AFC16C">
            <w:pPr>
              <w:spacing w:line="240" w:lineRule="auto"/>
              <w:ind w:firstLine="0" w:firstLineChars="0"/>
              <w:jc w:val="center"/>
              <w:rPr>
                <w:rFonts w:cs="Times New Roman"/>
                <w:szCs w:val="21"/>
              </w:rPr>
            </w:pPr>
            <w:r>
              <w:rPr>
                <w:rFonts w:cs="Times New Roman"/>
                <w:sz w:val="21"/>
                <w:szCs w:val="21"/>
                <w:lang w:bidi="ar"/>
              </w:rPr>
              <w:t>0.99</w:t>
            </w:r>
          </w:p>
        </w:tc>
        <w:tc>
          <w:tcPr>
            <w:tcW w:w="588" w:type="pct"/>
            <w:tcBorders>
              <w:top w:val="single" w:color="auto" w:sz="4" w:space="0"/>
              <w:left w:val="single" w:color="auto" w:sz="4" w:space="0"/>
              <w:bottom w:val="single" w:color="auto" w:sz="4" w:space="0"/>
              <w:right w:val="single" w:color="auto" w:sz="4" w:space="0"/>
            </w:tcBorders>
            <w:vAlign w:val="center"/>
          </w:tcPr>
          <w:p w14:paraId="329C245A">
            <w:pPr>
              <w:spacing w:line="240" w:lineRule="auto"/>
              <w:ind w:firstLine="0" w:firstLineChars="0"/>
              <w:jc w:val="center"/>
              <w:rPr>
                <w:rFonts w:cs="Times New Roman"/>
                <w:szCs w:val="21"/>
              </w:rPr>
            </w:pPr>
            <w:r>
              <w:rPr>
                <w:rFonts w:cs="Times New Roman"/>
                <w:sz w:val="21"/>
                <w:szCs w:val="21"/>
                <w:lang w:bidi="ar"/>
              </w:rPr>
              <w:t>0.95</w:t>
            </w:r>
          </w:p>
        </w:tc>
        <w:tc>
          <w:tcPr>
            <w:tcW w:w="588" w:type="pct"/>
            <w:tcBorders>
              <w:top w:val="single" w:color="auto" w:sz="4" w:space="0"/>
              <w:left w:val="single" w:color="auto" w:sz="4" w:space="0"/>
              <w:bottom w:val="single" w:color="auto" w:sz="4" w:space="0"/>
              <w:right w:val="single" w:color="auto" w:sz="4" w:space="0"/>
            </w:tcBorders>
            <w:vAlign w:val="center"/>
          </w:tcPr>
          <w:p w14:paraId="2B2B5B8D">
            <w:pPr>
              <w:spacing w:line="240" w:lineRule="auto"/>
              <w:ind w:firstLine="0" w:firstLineChars="0"/>
              <w:jc w:val="center"/>
              <w:rPr>
                <w:rFonts w:cs="Times New Roman"/>
                <w:szCs w:val="21"/>
              </w:rPr>
            </w:pPr>
            <w:r>
              <w:rPr>
                <w:rFonts w:cs="Times New Roman"/>
                <w:sz w:val="21"/>
                <w:szCs w:val="21"/>
                <w:lang w:bidi="ar"/>
              </w:rPr>
              <w:t>3.04</w:t>
            </w:r>
          </w:p>
        </w:tc>
        <w:tc>
          <w:tcPr>
            <w:tcW w:w="588" w:type="pct"/>
            <w:tcBorders>
              <w:top w:val="single" w:color="auto" w:sz="4" w:space="0"/>
              <w:left w:val="single" w:color="auto" w:sz="4" w:space="0"/>
              <w:bottom w:val="single" w:color="auto" w:sz="4" w:space="0"/>
              <w:right w:val="single" w:color="auto" w:sz="4" w:space="0"/>
            </w:tcBorders>
            <w:vAlign w:val="center"/>
          </w:tcPr>
          <w:p w14:paraId="3963F54F">
            <w:pPr>
              <w:spacing w:line="240" w:lineRule="auto"/>
              <w:ind w:firstLine="0" w:firstLineChars="0"/>
              <w:jc w:val="center"/>
              <w:rPr>
                <w:rFonts w:cs="Times New Roman"/>
                <w:szCs w:val="21"/>
              </w:rPr>
            </w:pPr>
            <w:r>
              <w:rPr>
                <w:rFonts w:cs="Times New Roman"/>
                <w:sz w:val="21"/>
                <w:szCs w:val="21"/>
                <w:lang w:bidi="ar"/>
              </w:rPr>
              <w:t>2.20</w:t>
            </w:r>
          </w:p>
        </w:tc>
      </w:tr>
      <w:tr w14:paraId="57CC7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408DAFB9">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169B25C0">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5903EC8C">
            <w:pPr>
              <w:spacing w:line="240" w:lineRule="auto"/>
              <w:ind w:firstLine="0" w:firstLineChars="0"/>
              <w:jc w:val="center"/>
              <w:rPr>
                <w:rFonts w:cs="Times New Roman"/>
                <w:szCs w:val="21"/>
              </w:rPr>
            </w:pPr>
            <w:r>
              <w:rPr>
                <w:rFonts w:cs="Times New Roman"/>
                <w:sz w:val="21"/>
                <w:szCs w:val="21"/>
                <w:lang w:bidi="ar"/>
              </w:rPr>
              <w:t>13</w:t>
            </w:r>
          </w:p>
        </w:tc>
        <w:tc>
          <w:tcPr>
            <w:tcW w:w="588" w:type="pct"/>
            <w:tcBorders>
              <w:top w:val="single" w:color="auto" w:sz="4" w:space="0"/>
              <w:left w:val="single" w:color="auto" w:sz="4" w:space="0"/>
              <w:bottom w:val="single" w:color="auto" w:sz="4" w:space="0"/>
              <w:right w:val="single" w:color="auto" w:sz="4" w:space="0"/>
            </w:tcBorders>
            <w:vAlign w:val="center"/>
          </w:tcPr>
          <w:p w14:paraId="0696A0BD">
            <w:pPr>
              <w:spacing w:line="240" w:lineRule="auto"/>
              <w:ind w:firstLine="0" w:firstLineChars="0"/>
              <w:jc w:val="center"/>
              <w:rPr>
                <w:rFonts w:cs="Times New Roman"/>
                <w:szCs w:val="21"/>
              </w:rPr>
            </w:pPr>
            <w:r>
              <w:rPr>
                <w:rFonts w:cs="Times New Roman"/>
                <w:sz w:val="21"/>
                <w:szCs w:val="21"/>
                <w:lang w:bidi="ar"/>
              </w:rPr>
              <w:t>2.21</w:t>
            </w:r>
          </w:p>
        </w:tc>
        <w:tc>
          <w:tcPr>
            <w:tcW w:w="588" w:type="pct"/>
            <w:tcBorders>
              <w:top w:val="single" w:color="auto" w:sz="4" w:space="0"/>
              <w:left w:val="single" w:color="auto" w:sz="4" w:space="0"/>
              <w:bottom w:val="single" w:color="auto" w:sz="4" w:space="0"/>
              <w:right w:val="single" w:color="auto" w:sz="4" w:space="0"/>
            </w:tcBorders>
            <w:vAlign w:val="center"/>
          </w:tcPr>
          <w:p w14:paraId="5BA11906">
            <w:pPr>
              <w:spacing w:line="240" w:lineRule="auto"/>
              <w:ind w:firstLine="0" w:firstLineChars="0"/>
              <w:jc w:val="center"/>
              <w:rPr>
                <w:rFonts w:cs="Times New Roman"/>
                <w:szCs w:val="21"/>
              </w:rPr>
            </w:pPr>
            <w:r>
              <w:rPr>
                <w:rFonts w:cs="Times New Roman"/>
                <w:sz w:val="21"/>
                <w:szCs w:val="21"/>
                <w:lang w:bidi="ar"/>
              </w:rPr>
              <w:t>0.91</w:t>
            </w:r>
          </w:p>
        </w:tc>
        <w:tc>
          <w:tcPr>
            <w:tcW w:w="588" w:type="pct"/>
            <w:tcBorders>
              <w:top w:val="single" w:color="auto" w:sz="4" w:space="0"/>
              <w:left w:val="single" w:color="auto" w:sz="4" w:space="0"/>
              <w:bottom w:val="single" w:color="auto" w:sz="4" w:space="0"/>
              <w:right w:val="single" w:color="auto" w:sz="4" w:space="0"/>
            </w:tcBorders>
            <w:vAlign w:val="center"/>
          </w:tcPr>
          <w:p w14:paraId="4E49D505">
            <w:pPr>
              <w:spacing w:line="240" w:lineRule="auto"/>
              <w:ind w:firstLine="0" w:firstLineChars="0"/>
              <w:jc w:val="center"/>
              <w:rPr>
                <w:rFonts w:cs="Times New Roman"/>
                <w:szCs w:val="21"/>
              </w:rPr>
            </w:pPr>
            <w:r>
              <w:rPr>
                <w:rFonts w:cs="Times New Roman"/>
                <w:sz w:val="21"/>
                <w:szCs w:val="21"/>
                <w:lang w:bidi="ar"/>
              </w:rPr>
              <w:t>2.79</w:t>
            </w:r>
          </w:p>
        </w:tc>
        <w:tc>
          <w:tcPr>
            <w:tcW w:w="588" w:type="pct"/>
            <w:tcBorders>
              <w:top w:val="single" w:color="auto" w:sz="4" w:space="0"/>
              <w:left w:val="single" w:color="auto" w:sz="4" w:space="0"/>
              <w:bottom w:val="single" w:color="auto" w:sz="4" w:space="0"/>
              <w:right w:val="single" w:color="auto" w:sz="4" w:space="0"/>
            </w:tcBorders>
            <w:vAlign w:val="center"/>
          </w:tcPr>
          <w:p w14:paraId="017DF27E">
            <w:pPr>
              <w:spacing w:line="240" w:lineRule="auto"/>
              <w:ind w:firstLine="0" w:firstLineChars="0"/>
              <w:jc w:val="center"/>
              <w:rPr>
                <w:rFonts w:cs="Times New Roman"/>
                <w:szCs w:val="21"/>
              </w:rPr>
            </w:pPr>
            <w:r>
              <w:rPr>
                <w:rFonts w:cs="Times New Roman"/>
                <w:sz w:val="21"/>
                <w:szCs w:val="21"/>
                <w:lang w:bidi="ar"/>
              </w:rPr>
              <w:t>1.09</w:t>
            </w:r>
          </w:p>
        </w:tc>
      </w:tr>
      <w:tr w14:paraId="2B7E4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5B294CB3">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5A70463E">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2043A2D9">
            <w:pPr>
              <w:spacing w:line="240" w:lineRule="auto"/>
              <w:ind w:firstLine="0" w:firstLineChars="0"/>
              <w:jc w:val="center"/>
              <w:rPr>
                <w:rFonts w:cs="Times New Roman"/>
                <w:szCs w:val="21"/>
              </w:rPr>
            </w:pPr>
            <w:r>
              <w:rPr>
                <w:rFonts w:cs="Times New Roman"/>
                <w:sz w:val="21"/>
                <w:szCs w:val="21"/>
                <w:lang w:bidi="ar"/>
              </w:rPr>
              <w:t>20</w:t>
            </w:r>
          </w:p>
        </w:tc>
        <w:tc>
          <w:tcPr>
            <w:tcW w:w="588" w:type="pct"/>
            <w:tcBorders>
              <w:top w:val="single" w:color="auto" w:sz="4" w:space="0"/>
              <w:left w:val="single" w:color="auto" w:sz="4" w:space="0"/>
              <w:bottom w:val="single" w:color="auto" w:sz="4" w:space="0"/>
              <w:right w:val="single" w:color="auto" w:sz="4" w:space="0"/>
            </w:tcBorders>
            <w:vAlign w:val="center"/>
          </w:tcPr>
          <w:p w14:paraId="5DCB2F01">
            <w:pPr>
              <w:spacing w:line="240" w:lineRule="auto"/>
              <w:ind w:firstLine="0" w:firstLineChars="0"/>
              <w:jc w:val="center"/>
              <w:rPr>
                <w:rFonts w:cs="Times New Roman"/>
                <w:szCs w:val="21"/>
              </w:rPr>
            </w:pPr>
            <w:r>
              <w:rPr>
                <w:rFonts w:cs="Times New Roman"/>
                <w:sz w:val="21"/>
                <w:szCs w:val="21"/>
                <w:lang w:bidi="ar"/>
              </w:rPr>
              <w:t>2.67</w:t>
            </w:r>
          </w:p>
        </w:tc>
        <w:tc>
          <w:tcPr>
            <w:tcW w:w="588" w:type="pct"/>
            <w:tcBorders>
              <w:top w:val="single" w:color="auto" w:sz="4" w:space="0"/>
              <w:left w:val="single" w:color="auto" w:sz="4" w:space="0"/>
              <w:bottom w:val="single" w:color="auto" w:sz="4" w:space="0"/>
              <w:right w:val="single" w:color="auto" w:sz="4" w:space="0"/>
            </w:tcBorders>
            <w:vAlign w:val="center"/>
          </w:tcPr>
          <w:p w14:paraId="56D720D7">
            <w:pPr>
              <w:spacing w:line="240" w:lineRule="auto"/>
              <w:ind w:firstLine="0" w:firstLineChars="0"/>
              <w:jc w:val="center"/>
              <w:rPr>
                <w:rFonts w:cs="Times New Roman"/>
                <w:szCs w:val="21"/>
              </w:rPr>
            </w:pPr>
            <w:r>
              <w:rPr>
                <w:rFonts w:cs="Times New Roman"/>
                <w:sz w:val="21"/>
                <w:szCs w:val="21"/>
                <w:lang w:bidi="ar"/>
              </w:rPr>
              <w:t>0.96</w:t>
            </w:r>
          </w:p>
        </w:tc>
        <w:tc>
          <w:tcPr>
            <w:tcW w:w="588" w:type="pct"/>
            <w:tcBorders>
              <w:top w:val="single" w:color="auto" w:sz="4" w:space="0"/>
              <w:left w:val="single" w:color="auto" w:sz="4" w:space="0"/>
              <w:bottom w:val="single" w:color="auto" w:sz="4" w:space="0"/>
              <w:right w:val="single" w:color="auto" w:sz="4" w:space="0"/>
            </w:tcBorders>
            <w:vAlign w:val="center"/>
          </w:tcPr>
          <w:p w14:paraId="1613AC07">
            <w:pPr>
              <w:spacing w:line="240" w:lineRule="auto"/>
              <w:ind w:firstLine="0" w:firstLineChars="0"/>
              <w:jc w:val="center"/>
              <w:rPr>
                <w:rFonts w:cs="Times New Roman"/>
                <w:szCs w:val="21"/>
              </w:rPr>
            </w:pPr>
            <w:r>
              <w:rPr>
                <w:rFonts w:cs="Times New Roman"/>
                <w:sz w:val="21"/>
                <w:szCs w:val="21"/>
                <w:lang w:bidi="ar"/>
              </w:rPr>
              <w:t>3.49</w:t>
            </w:r>
          </w:p>
        </w:tc>
        <w:tc>
          <w:tcPr>
            <w:tcW w:w="588" w:type="pct"/>
            <w:tcBorders>
              <w:top w:val="single" w:color="auto" w:sz="4" w:space="0"/>
              <w:left w:val="single" w:color="auto" w:sz="4" w:space="0"/>
              <w:bottom w:val="single" w:color="auto" w:sz="4" w:space="0"/>
              <w:right w:val="single" w:color="auto" w:sz="4" w:space="0"/>
            </w:tcBorders>
            <w:vAlign w:val="center"/>
          </w:tcPr>
          <w:p w14:paraId="0BBB4CCE">
            <w:pPr>
              <w:spacing w:line="240" w:lineRule="auto"/>
              <w:ind w:firstLine="0" w:firstLineChars="0"/>
              <w:jc w:val="center"/>
              <w:rPr>
                <w:rFonts w:cs="Times New Roman"/>
                <w:szCs w:val="21"/>
              </w:rPr>
            </w:pPr>
            <w:r>
              <w:rPr>
                <w:rFonts w:cs="Times New Roman"/>
                <w:sz w:val="21"/>
                <w:szCs w:val="21"/>
                <w:lang w:bidi="ar"/>
              </w:rPr>
              <w:t>1.17</w:t>
            </w:r>
          </w:p>
        </w:tc>
      </w:tr>
      <w:tr w14:paraId="30185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257E054F">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6E9E7D1D">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5132C46F">
            <w:pPr>
              <w:spacing w:line="240" w:lineRule="auto"/>
              <w:ind w:firstLine="0" w:firstLineChars="0"/>
              <w:jc w:val="center"/>
              <w:rPr>
                <w:rFonts w:cs="Times New Roman"/>
                <w:szCs w:val="21"/>
              </w:rPr>
            </w:pPr>
            <w:r>
              <w:rPr>
                <w:rFonts w:cs="Times New Roman"/>
                <w:sz w:val="21"/>
                <w:szCs w:val="21"/>
                <w:lang w:bidi="ar"/>
              </w:rPr>
              <w:t>37</w:t>
            </w:r>
          </w:p>
        </w:tc>
        <w:tc>
          <w:tcPr>
            <w:tcW w:w="588" w:type="pct"/>
            <w:tcBorders>
              <w:top w:val="single" w:color="auto" w:sz="4" w:space="0"/>
              <w:left w:val="single" w:color="auto" w:sz="4" w:space="0"/>
              <w:bottom w:val="single" w:color="auto" w:sz="4" w:space="0"/>
              <w:right w:val="single" w:color="auto" w:sz="4" w:space="0"/>
            </w:tcBorders>
            <w:vAlign w:val="center"/>
          </w:tcPr>
          <w:p w14:paraId="23A6BCC1">
            <w:pPr>
              <w:spacing w:line="240" w:lineRule="auto"/>
              <w:ind w:firstLine="0" w:firstLineChars="0"/>
              <w:jc w:val="center"/>
              <w:rPr>
                <w:rFonts w:cs="Times New Roman"/>
                <w:szCs w:val="21"/>
              </w:rPr>
            </w:pPr>
            <w:r>
              <w:rPr>
                <w:rFonts w:cs="Times New Roman"/>
                <w:sz w:val="21"/>
                <w:szCs w:val="21"/>
                <w:lang w:bidi="ar"/>
              </w:rPr>
              <w:t>4.93</w:t>
            </w:r>
          </w:p>
        </w:tc>
        <w:tc>
          <w:tcPr>
            <w:tcW w:w="588" w:type="pct"/>
            <w:tcBorders>
              <w:top w:val="single" w:color="auto" w:sz="4" w:space="0"/>
              <w:left w:val="single" w:color="auto" w:sz="4" w:space="0"/>
              <w:bottom w:val="single" w:color="auto" w:sz="4" w:space="0"/>
              <w:right w:val="single" w:color="auto" w:sz="4" w:space="0"/>
            </w:tcBorders>
            <w:vAlign w:val="center"/>
          </w:tcPr>
          <w:p w14:paraId="4EA3F734">
            <w:pPr>
              <w:spacing w:line="240" w:lineRule="auto"/>
              <w:ind w:firstLine="0" w:firstLineChars="0"/>
              <w:jc w:val="center"/>
              <w:rPr>
                <w:rFonts w:cs="Times New Roman"/>
                <w:szCs w:val="21"/>
              </w:rPr>
            </w:pPr>
            <w:r>
              <w:rPr>
                <w:rFonts w:cs="Times New Roman"/>
                <w:sz w:val="21"/>
                <w:szCs w:val="21"/>
                <w:lang w:bidi="ar"/>
              </w:rPr>
              <w:t>0.97</w:t>
            </w:r>
          </w:p>
        </w:tc>
        <w:tc>
          <w:tcPr>
            <w:tcW w:w="588" w:type="pct"/>
            <w:tcBorders>
              <w:top w:val="single" w:color="auto" w:sz="4" w:space="0"/>
              <w:left w:val="single" w:color="auto" w:sz="4" w:space="0"/>
              <w:bottom w:val="single" w:color="auto" w:sz="4" w:space="0"/>
              <w:right w:val="single" w:color="auto" w:sz="4" w:space="0"/>
            </w:tcBorders>
            <w:vAlign w:val="center"/>
          </w:tcPr>
          <w:p w14:paraId="034F5D7C">
            <w:pPr>
              <w:spacing w:line="240" w:lineRule="auto"/>
              <w:ind w:firstLine="0" w:firstLineChars="0"/>
              <w:jc w:val="center"/>
              <w:rPr>
                <w:rFonts w:cs="Times New Roman"/>
                <w:szCs w:val="21"/>
              </w:rPr>
            </w:pPr>
            <w:r>
              <w:rPr>
                <w:rFonts w:cs="Times New Roman"/>
                <w:sz w:val="21"/>
                <w:szCs w:val="21"/>
                <w:lang w:bidi="ar"/>
              </w:rPr>
              <w:t>3.88</w:t>
            </w:r>
          </w:p>
        </w:tc>
        <w:tc>
          <w:tcPr>
            <w:tcW w:w="588" w:type="pct"/>
            <w:tcBorders>
              <w:top w:val="single" w:color="auto" w:sz="4" w:space="0"/>
              <w:left w:val="single" w:color="auto" w:sz="4" w:space="0"/>
              <w:bottom w:val="single" w:color="auto" w:sz="4" w:space="0"/>
              <w:right w:val="single" w:color="auto" w:sz="4" w:space="0"/>
            </w:tcBorders>
            <w:vAlign w:val="center"/>
          </w:tcPr>
          <w:p w14:paraId="16C21E7D">
            <w:pPr>
              <w:spacing w:line="240" w:lineRule="auto"/>
              <w:ind w:firstLine="0" w:firstLineChars="0"/>
              <w:jc w:val="center"/>
              <w:rPr>
                <w:rFonts w:cs="Times New Roman"/>
                <w:szCs w:val="21"/>
              </w:rPr>
            </w:pPr>
            <w:r>
              <w:rPr>
                <w:rFonts w:cs="Times New Roman"/>
                <w:sz w:val="21"/>
                <w:szCs w:val="21"/>
                <w:lang w:bidi="ar"/>
              </w:rPr>
              <w:t>1.07</w:t>
            </w:r>
          </w:p>
        </w:tc>
      </w:tr>
      <w:tr w14:paraId="7FE00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31B3E32C">
            <w:pPr>
              <w:spacing w:line="240" w:lineRule="auto"/>
              <w:ind w:firstLine="0" w:firstLineChars="0"/>
              <w:jc w:val="center"/>
              <w:rPr>
                <w:rFonts w:cs="Times New Roman"/>
                <w:szCs w:val="21"/>
              </w:rPr>
            </w:pPr>
            <w:r>
              <w:rPr>
                <w:rFonts w:cs="Times New Roman"/>
                <w:sz w:val="21"/>
                <w:szCs w:val="21"/>
                <w:lang w:bidi="ar"/>
              </w:rPr>
              <w:t>E3</w:t>
            </w:r>
          </w:p>
        </w:tc>
        <w:tc>
          <w:tcPr>
            <w:tcW w:w="1109" w:type="pct"/>
            <w:tcBorders>
              <w:top w:val="single" w:color="auto" w:sz="4" w:space="0"/>
              <w:left w:val="single" w:color="auto" w:sz="4" w:space="0"/>
              <w:bottom w:val="single" w:color="auto" w:sz="4" w:space="0"/>
              <w:right w:val="single" w:color="auto" w:sz="4" w:space="0"/>
            </w:tcBorders>
            <w:vAlign w:val="center"/>
          </w:tcPr>
          <w:p w14:paraId="5D1EEE97">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06B40E5F">
            <w:pPr>
              <w:spacing w:line="240" w:lineRule="auto"/>
              <w:ind w:firstLine="0" w:firstLineChars="0"/>
              <w:jc w:val="center"/>
              <w:rPr>
                <w:rFonts w:cs="Times New Roman"/>
                <w:szCs w:val="21"/>
              </w:rPr>
            </w:pPr>
            <w:r>
              <w:rPr>
                <w:rFonts w:cs="Times New Roman"/>
                <w:sz w:val="21"/>
                <w:szCs w:val="21"/>
                <w:lang w:bidi="ar"/>
              </w:rPr>
              <w:t>17</w:t>
            </w:r>
          </w:p>
        </w:tc>
        <w:tc>
          <w:tcPr>
            <w:tcW w:w="588" w:type="pct"/>
            <w:tcBorders>
              <w:top w:val="single" w:color="auto" w:sz="4" w:space="0"/>
              <w:left w:val="single" w:color="auto" w:sz="4" w:space="0"/>
              <w:bottom w:val="single" w:color="auto" w:sz="4" w:space="0"/>
              <w:right w:val="single" w:color="auto" w:sz="4" w:space="0"/>
            </w:tcBorders>
            <w:vAlign w:val="center"/>
          </w:tcPr>
          <w:p w14:paraId="4497FB1F">
            <w:pPr>
              <w:spacing w:line="240" w:lineRule="auto"/>
              <w:ind w:firstLine="0" w:firstLineChars="0"/>
              <w:jc w:val="center"/>
              <w:rPr>
                <w:rFonts w:cs="Times New Roman"/>
                <w:szCs w:val="21"/>
              </w:rPr>
            </w:pPr>
            <w:r>
              <w:rPr>
                <w:rFonts w:cs="Times New Roman"/>
                <w:sz w:val="21"/>
                <w:szCs w:val="21"/>
                <w:lang w:bidi="ar"/>
              </w:rPr>
              <w:t>3.06</w:t>
            </w:r>
          </w:p>
        </w:tc>
        <w:tc>
          <w:tcPr>
            <w:tcW w:w="588" w:type="pct"/>
            <w:tcBorders>
              <w:top w:val="single" w:color="auto" w:sz="4" w:space="0"/>
              <w:left w:val="single" w:color="auto" w:sz="4" w:space="0"/>
              <w:bottom w:val="single" w:color="auto" w:sz="4" w:space="0"/>
              <w:right w:val="single" w:color="auto" w:sz="4" w:space="0"/>
            </w:tcBorders>
            <w:vAlign w:val="center"/>
          </w:tcPr>
          <w:p w14:paraId="1589BF56">
            <w:pPr>
              <w:spacing w:line="240" w:lineRule="auto"/>
              <w:ind w:firstLine="0" w:firstLineChars="0"/>
              <w:jc w:val="center"/>
              <w:rPr>
                <w:rFonts w:cs="Times New Roman"/>
                <w:szCs w:val="21"/>
              </w:rPr>
            </w:pPr>
            <w:r>
              <w:rPr>
                <w:rFonts w:cs="Times New Roman"/>
                <w:sz w:val="21"/>
                <w:szCs w:val="21"/>
                <w:lang w:bidi="ar"/>
              </w:rPr>
              <w:t>0.99</w:t>
            </w:r>
          </w:p>
        </w:tc>
        <w:tc>
          <w:tcPr>
            <w:tcW w:w="588" w:type="pct"/>
            <w:tcBorders>
              <w:top w:val="single" w:color="auto" w:sz="4" w:space="0"/>
              <w:left w:val="single" w:color="auto" w:sz="4" w:space="0"/>
              <w:bottom w:val="single" w:color="auto" w:sz="4" w:space="0"/>
              <w:right w:val="single" w:color="auto" w:sz="4" w:space="0"/>
            </w:tcBorders>
            <w:vAlign w:val="center"/>
          </w:tcPr>
          <w:p w14:paraId="607E0F5F">
            <w:pPr>
              <w:spacing w:line="240" w:lineRule="auto"/>
              <w:ind w:firstLine="0" w:firstLineChars="0"/>
              <w:jc w:val="center"/>
              <w:rPr>
                <w:rFonts w:cs="Times New Roman"/>
                <w:szCs w:val="21"/>
              </w:rPr>
            </w:pPr>
            <w:r>
              <w:rPr>
                <w:rFonts w:cs="Times New Roman"/>
                <w:sz w:val="21"/>
                <w:szCs w:val="21"/>
                <w:lang w:bidi="ar"/>
              </w:rPr>
              <w:t>5.19</w:t>
            </w:r>
          </w:p>
        </w:tc>
        <w:tc>
          <w:tcPr>
            <w:tcW w:w="588" w:type="pct"/>
            <w:tcBorders>
              <w:top w:val="single" w:color="auto" w:sz="4" w:space="0"/>
              <w:left w:val="single" w:color="auto" w:sz="4" w:space="0"/>
              <w:bottom w:val="single" w:color="auto" w:sz="4" w:space="0"/>
              <w:right w:val="single" w:color="auto" w:sz="4" w:space="0"/>
            </w:tcBorders>
            <w:vAlign w:val="center"/>
          </w:tcPr>
          <w:p w14:paraId="5F209424">
            <w:pPr>
              <w:spacing w:line="240" w:lineRule="auto"/>
              <w:ind w:firstLine="0" w:firstLineChars="0"/>
              <w:jc w:val="center"/>
              <w:rPr>
                <w:rFonts w:cs="Times New Roman"/>
                <w:szCs w:val="21"/>
              </w:rPr>
            </w:pPr>
            <w:r>
              <w:rPr>
                <w:rFonts w:cs="Times New Roman"/>
                <w:sz w:val="21"/>
                <w:szCs w:val="21"/>
                <w:lang w:bidi="ar"/>
              </w:rPr>
              <w:t>1.83</w:t>
            </w:r>
          </w:p>
        </w:tc>
      </w:tr>
      <w:tr w14:paraId="0DA49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4F8966CB">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653957A1">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63E3AC2E">
            <w:pPr>
              <w:spacing w:line="240" w:lineRule="auto"/>
              <w:ind w:firstLine="0" w:firstLineChars="0"/>
              <w:jc w:val="center"/>
              <w:rPr>
                <w:rFonts w:cs="Times New Roman"/>
                <w:szCs w:val="21"/>
              </w:rPr>
            </w:pPr>
            <w:r>
              <w:rPr>
                <w:rFonts w:cs="Times New Roman"/>
                <w:sz w:val="21"/>
                <w:szCs w:val="21"/>
                <w:lang w:bidi="ar"/>
              </w:rPr>
              <w:t>18</w:t>
            </w:r>
          </w:p>
        </w:tc>
        <w:tc>
          <w:tcPr>
            <w:tcW w:w="588" w:type="pct"/>
            <w:tcBorders>
              <w:top w:val="single" w:color="auto" w:sz="4" w:space="0"/>
              <w:left w:val="single" w:color="auto" w:sz="4" w:space="0"/>
              <w:bottom w:val="single" w:color="auto" w:sz="4" w:space="0"/>
              <w:right w:val="single" w:color="auto" w:sz="4" w:space="0"/>
            </w:tcBorders>
            <w:vAlign w:val="center"/>
          </w:tcPr>
          <w:p w14:paraId="305141BF">
            <w:pPr>
              <w:spacing w:line="240" w:lineRule="auto"/>
              <w:ind w:firstLine="0" w:firstLineChars="0"/>
              <w:jc w:val="center"/>
              <w:rPr>
                <w:rFonts w:cs="Times New Roman"/>
                <w:szCs w:val="21"/>
              </w:rPr>
            </w:pPr>
            <w:r>
              <w:rPr>
                <w:rFonts w:cs="Times New Roman"/>
                <w:sz w:val="21"/>
                <w:szCs w:val="21"/>
                <w:lang w:bidi="ar"/>
              </w:rPr>
              <w:t>2.60</w:t>
            </w:r>
          </w:p>
        </w:tc>
        <w:tc>
          <w:tcPr>
            <w:tcW w:w="588" w:type="pct"/>
            <w:tcBorders>
              <w:top w:val="single" w:color="auto" w:sz="4" w:space="0"/>
              <w:left w:val="single" w:color="auto" w:sz="4" w:space="0"/>
              <w:bottom w:val="single" w:color="auto" w:sz="4" w:space="0"/>
              <w:right w:val="single" w:color="auto" w:sz="4" w:space="0"/>
            </w:tcBorders>
            <w:vAlign w:val="center"/>
          </w:tcPr>
          <w:p w14:paraId="3853F87B">
            <w:pPr>
              <w:spacing w:line="240" w:lineRule="auto"/>
              <w:ind w:firstLine="0" w:firstLineChars="0"/>
              <w:jc w:val="center"/>
              <w:rPr>
                <w:rFonts w:cs="Times New Roman"/>
                <w:szCs w:val="21"/>
              </w:rPr>
            </w:pPr>
            <w:r>
              <w:rPr>
                <w:rFonts w:cs="Times New Roman"/>
                <w:sz w:val="21"/>
                <w:szCs w:val="21"/>
                <w:lang w:bidi="ar"/>
              </w:rPr>
              <w:t>0.93</w:t>
            </w:r>
          </w:p>
        </w:tc>
        <w:tc>
          <w:tcPr>
            <w:tcW w:w="588" w:type="pct"/>
            <w:tcBorders>
              <w:top w:val="single" w:color="auto" w:sz="4" w:space="0"/>
              <w:left w:val="single" w:color="auto" w:sz="4" w:space="0"/>
              <w:bottom w:val="single" w:color="auto" w:sz="4" w:space="0"/>
              <w:right w:val="single" w:color="auto" w:sz="4" w:space="0"/>
            </w:tcBorders>
            <w:vAlign w:val="center"/>
          </w:tcPr>
          <w:p w14:paraId="08705417">
            <w:pPr>
              <w:spacing w:line="240" w:lineRule="auto"/>
              <w:ind w:firstLine="0" w:firstLineChars="0"/>
              <w:jc w:val="center"/>
              <w:rPr>
                <w:rFonts w:cs="Times New Roman"/>
                <w:szCs w:val="21"/>
              </w:rPr>
            </w:pPr>
            <w:r>
              <w:rPr>
                <w:rFonts w:cs="Times New Roman"/>
                <w:sz w:val="21"/>
                <w:szCs w:val="21"/>
                <w:lang w:bidi="ar"/>
              </w:rPr>
              <w:t>2.91</w:t>
            </w:r>
          </w:p>
        </w:tc>
        <w:tc>
          <w:tcPr>
            <w:tcW w:w="588" w:type="pct"/>
            <w:tcBorders>
              <w:top w:val="single" w:color="auto" w:sz="4" w:space="0"/>
              <w:left w:val="single" w:color="auto" w:sz="4" w:space="0"/>
              <w:bottom w:val="single" w:color="auto" w:sz="4" w:space="0"/>
              <w:right w:val="single" w:color="auto" w:sz="4" w:space="0"/>
            </w:tcBorders>
            <w:vAlign w:val="center"/>
          </w:tcPr>
          <w:p w14:paraId="58569BD2">
            <w:pPr>
              <w:spacing w:line="240" w:lineRule="auto"/>
              <w:ind w:firstLine="0" w:firstLineChars="0"/>
              <w:jc w:val="center"/>
              <w:rPr>
                <w:rFonts w:cs="Times New Roman"/>
                <w:szCs w:val="21"/>
              </w:rPr>
            </w:pPr>
            <w:r>
              <w:rPr>
                <w:rFonts w:cs="Times New Roman"/>
                <w:sz w:val="21"/>
                <w:szCs w:val="21"/>
                <w:lang w:bidi="ar"/>
              </w:rPr>
              <w:t>1.01</w:t>
            </w:r>
          </w:p>
        </w:tc>
      </w:tr>
      <w:tr w14:paraId="634B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7EBDCC8E">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525D5ED8">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630C56AA">
            <w:pPr>
              <w:spacing w:line="240" w:lineRule="auto"/>
              <w:ind w:firstLine="0" w:firstLineChars="0"/>
              <w:jc w:val="center"/>
              <w:rPr>
                <w:rFonts w:cs="Times New Roman"/>
                <w:szCs w:val="21"/>
              </w:rPr>
            </w:pPr>
            <w:r>
              <w:rPr>
                <w:rFonts w:cs="Times New Roman"/>
                <w:sz w:val="21"/>
                <w:szCs w:val="21"/>
                <w:lang w:bidi="ar"/>
              </w:rPr>
              <w:t>29</w:t>
            </w:r>
          </w:p>
        </w:tc>
        <w:tc>
          <w:tcPr>
            <w:tcW w:w="588" w:type="pct"/>
            <w:tcBorders>
              <w:top w:val="single" w:color="auto" w:sz="4" w:space="0"/>
              <w:left w:val="single" w:color="auto" w:sz="4" w:space="0"/>
              <w:bottom w:val="single" w:color="auto" w:sz="4" w:space="0"/>
              <w:right w:val="single" w:color="auto" w:sz="4" w:space="0"/>
            </w:tcBorders>
            <w:vAlign w:val="center"/>
          </w:tcPr>
          <w:p w14:paraId="6B659B8F">
            <w:pPr>
              <w:spacing w:line="240" w:lineRule="auto"/>
              <w:ind w:firstLine="0" w:firstLineChars="0"/>
              <w:jc w:val="center"/>
              <w:rPr>
                <w:rFonts w:cs="Times New Roman"/>
                <w:szCs w:val="21"/>
              </w:rPr>
            </w:pPr>
            <w:r>
              <w:rPr>
                <w:rFonts w:cs="Times New Roman"/>
                <w:sz w:val="21"/>
                <w:szCs w:val="21"/>
                <w:lang w:bidi="ar"/>
              </w:rPr>
              <w:t>3.71</w:t>
            </w:r>
          </w:p>
        </w:tc>
        <w:tc>
          <w:tcPr>
            <w:tcW w:w="588" w:type="pct"/>
            <w:tcBorders>
              <w:top w:val="single" w:color="auto" w:sz="4" w:space="0"/>
              <w:left w:val="single" w:color="auto" w:sz="4" w:space="0"/>
              <w:bottom w:val="single" w:color="auto" w:sz="4" w:space="0"/>
              <w:right w:val="single" w:color="auto" w:sz="4" w:space="0"/>
            </w:tcBorders>
            <w:vAlign w:val="center"/>
          </w:tcPr>
          <w:p w14:paraId="340DBB0E">
            <w:pPr>
              <w:spacing w:line="240" w:lineRule="auto"/>
              <w:ind w:firstLine="0" w:firstLineChars="0"/>
              <w:jc w:val="center"/>
              <w:rPr>
                <w:rFonts w:cs="Times New Roman"/>
                <w:szCs w:val="21"/>
              </w:rPr>
            </w:pPr>
            <w:r>
              <w:rPr>
                <w:rFonts w:cs="Times New Roman"/>
                <w:sz w:val="21"/>
                <w:szCs w:val="21"/>
                <w:lang w:bidi="ar"/>
              </w:rPr>
              <w:t>0.96</w:t>
            </w:r>
          </w:p>
        </w:tc>
        <w:tc>
          <w:tcPr>
            <w:tcW w:w="588" w:type="pct"/>
            <w:tcBorders>
              <w:top w:val="single" w:color="auto" w:sz="4" w:space="0"/>
              <w:left w:val="single" w:color="auto" w:sz="4" w:space="0"/>
              <w:bottom w:val="single" w:color="auto" w:sz="4" w:space="0"/>
              <w:right w:val="single" w:color="auto" w:sz="4" w:space="0"/>
            </w:tcBorders>
            <w:vAlign w:val="center"/>
          </w:tcPr>
          <w:p w14:paraId="0DCDD68A">
            <w:pPr>
              <w:spacing w:line="240" w:lineRule="auto"/>
              <w:ind w:firstLine="0" w:firstLineChars="0"/>
              <w:jc w:val="center"/>
              <w:rPr>
                <w:rFonts w:cs="Times New Roman"/>
                <w:szCs w:val="21"/>
              </w:rPr>
            </w:pPr>
            <w:r>
              <w:rPr>
                <w:rFonts w:cs="Times New Roman"/>
                <w:sz w:val="21"/>
                <w:szCs w:val="21"/>
                <w:lang w:bidi="ar"/>
              </w:rPr>
              <w:t>3.40</w:t>
            </w:r>
          </w:p>
        </w:tc>
        <w:tc>
          <w:tcPr>
            <w:tcW w:w="588" w:type="pct"/>
            <w:tcBorders>
              <w:top w:val="single" w:color="auto" w:sz="4" w:space="0"/>
              <w:left w:val="single" w:color="auto" w:sz="4" w:space="0"/>
              <w:bottom w:val="single" w:color="auto" w:sz="4" w:space="0"/>
              <w:right w:val="single" w:color="auto" w:sz="4" w:space="0"/>
            </w:tcBorders>
            <w:vAlign w:val="center"/>
          </w:tcPr>
          <w:p w14:paraId="2CAC266E">
            <w:pPr>
              <w:spacing w:line="240" w:lineRule="auto"/>
              <w:ind w:firstLine="0" w:firstLineChars="0"/>
              <w:jc w:val="center"/>
              <w:rPr>
                <w:rFonts w:cs="Times New Roman"/>
                <w:szCs w:val="21"/>
              </w:rPr>
            </w:pPr>
            <w:r>
              <w:rPr>
                <w:rFonts w:cs="Times New Roman"/>
                <w:sz w:val="21"/>
                <w:szCs w:val="21"/>
                <w:lang w:bidi="ar"/>
              </w:rPr>
              <w:t>1.01</w:t>
            </w:r>
          </w:p>
        </w:tc>
      </w:tr>
      <w:tr w14:paraId="3CC41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50BB2E68">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37F03C19">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163E6FA4">
            <w:pPr>
              <w:spacing w:line="240" w:lineRule="auto"/>
              <w:ind w:firstLine="0" w:firstLineChars="0"/>
              <w:jc w:val="center"/>
              <w:rPr>
                <w:rFonts w:cs="Times New Roman"/>
                <w:szCs w:val="21"/>
              </w:rPr>
            </w:pPr>
            <w:r>
              <w:rPr>
                <w:rFonts w:cs="Times New Roman"/>
                <w:sz w:val="21"/>
                <w:szCs w:val="21"/>
                <w:lang w:bidi="ar"/>
              </w:rPr>
              <w:t>64</w:t>
            </w:r>
          </w:p>
        </w:tc>
        <w:tc>
          <w:tcPr>
            <w:tcW w:w="588" w:type="pct"/>
            <w:tcBorders>
              <w:top w:val="single" w:color="auto" w:sz="4" w:space="0"/>
              <w:left w:val="single" w:color="auto" w:sz="4" w:space="0"/>
              <w:bottom w:val="single" w:color="auto" w:sz="4" w:space="0"/>
              <w:right w:val="single" w:color="auto" w:sz="4" w:space="0"/>
            </w:tcBorders>
            <w:vAlign w:val="center"/>
          </w:tcPr>
          <w:p w14:paraId="744D90E9">
            <w:pPr>
              <w:spacing w:line="240" w:lineRule="auto"/>
              <w:ind w:firstLine="0" w:firstLineChars="0"/>
              <w:jc w:val="center"/>
              <w:rPr>
                <w:rFonts w:cs="Times New Roman"/>
                <w:szCs w:val="21"/>
              </w:rPr>
            </w:pPr>
            <w:r>
              <w:rPr>
                <w:rFonts w:cs="Times New Roman"/>
                <w:sz w:val="21"/>
                <w:szCs w:val="21"/>
                <w:lang w:bidi="ar"/>
              </w:rPr>
              <w:t>7.94</w:t>
            </w:r>
          </w:p>
        </w:tc>
        <w:tc>
          <w:tcPr>
            <w:tcW w:w="588" w:type="pct"/>
            <w:tcBorders>
              <w:top w:val="single" w:color="auto" w:sz="4" w:space="0"/>
              <w:left w:val="single" w:color="auto" w:sz="4" w:space="0"/>
              <w:bottom w:val="single" w:color="auto" w:sz="4" w:space="0"/>
              <w:right w:val="single" w:color="auto" w:sz="4" w:space="0"/>
            </w:tcBorders>
            <w:vAlign w:val="center"/>
          </w:tcPr>
          <w:p w14:paraId="5EBD2C89">
            <w:pPr>
              <w:spacing w:line="240" w:lineRule="auto"/>
              <w:ind w:firstLine="0" w:firstLineChars="0"/>
              <w:jc w:val="center"/>
              <w:rPr>
                <w:rFonts w:cs="Times New Roman"/>
                <w:szCs w:val="21"/>
              </w:rPr>
            </w:pPr>
            <w:r>
              <w:rPr>
                <w:rFonts w:cs="Times New Roman"/>
                <w:sz w:val="21"/>
                <w:szCs w:val="21"/>
                <w:lang w:bidi="ar"/>
              </w:rPr>
              <w:t>0.97</w:t>
            </w:r>
          </w:p>
        </w:tc>
        <w:tc>
          <w:tcPr>
            <w:tcW w:w="588" w:type="pct"/>
            <w:tcBorders>
              <w:top w:val="single" w:color="auto" w:sz="4" w:space="0"/>
              <w:left w:val="single" w:color="auto" w:sz="4" w:space="0"/>
              <w:bottom w:val="single" w:color="auto" w:sz="4" w:space="0"/>
              <w:right w:val="single" w:color="auto" w:sz="4" w:space="0"/>
            </w:tcBorders>
            <w:vAlign w:val="center"/>
          </w:tcPr>
          <w:p w14:paraId="1A626135">
            <w:pPr>
              <w:spacing w:line="240" w:lineRule="auto"/>
              <w:ind w:firstLine="0" w:firstLineChars="0"/>
              <w:jc w:val="center"/>
              <w:rPr>
                <w:rFonts w:cs="Times New Roman"/>
                <w:szCs w:val="21"/>
              </w:rPr>
            </w:pPr>
            <w:r>
              <w:rPr>
                <w:rFonts w:cs="Times New Roman"/>
                <w:sz w:val="21"/>
                <w:szCs w:val="21"/>
                <w:lang w:bidi="ar"/>
              </w:rPr>
              <w:t>4.19</w:t>
            </w:r>
          </w:p>
        </w:tc>
        <w:tc>
          <w:tcPr>
            <w:tcW w:w="588" w:type="pct"/>
            <w:tcBorders>
              <w:top w:val="single" w:color="auto" w:sz="4" w:space="0"/>
              <w:left w:val="single" w:color="auto" w:sz="4" w:space="0"/>
              <w:bottom w:val="single" w:color="auto" w:sz="4" w:space="0"/>
              <w:right w:val="single" w:color="auto" w:sz="4" w:space="0"/>
            </w:tcBorders>
            <w:vAlign w:val="center"/>
          </w:tcPr>
          <w:p w14:paraId="4B37F523">
            <w:pPr>
              <w:spacing w:line="240" w:lineRule="auto"/>
              <w:ind w:firstLine="0" w:firstLineChars="0"/>
              <w:jc w:val="center"/>
              <w:rPr>
                <w:rFonts w:cs="Times New Roman"/>
                <w:szCs w:val="21"/>
              </w:rPr>
            </w:pPr>
            <w:r>
              <w:rPr>
                <w:rFonts w:cs="Times New Roman"/>
                <w:sz w:val="21"/>
                <w:szCs w:val="21"/>
                <w:lang w:bidi="ar"/>
              </w:rPr>
              <w:t>1.01</w:t>
            </w:r>
          </w:p>
        </w:tc>
      </w:tr>
      <w:tr w14:paraId="00177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491DF961">
            <w:pPr>
              <w:spacing w:line="240" w:lineRule="auto"/>
              <w:ind w:firstLine="0" w:firstLineChars="0"/>
              <w:jc w:val="center"/>
              <w:rPr>
                <w:rFonts w:cs="Times New Roman"/>
                <w:szCs w:val="21"/>
              </w:rPr>
            </w:pPr>
            <w:r>
              <w:rPr>
                <w:rFonts w:cs="Times New Roman"/>
                <w:sz w:val="21"/>
                <w:szCs w:val="21"/>
                <w:lang w:bidi="ar"/>
              </w:rPr>
              <w:t>E4</w:t>
            </w:r>
          </w:p>
        </w:tc>
        <w:tc>
          <w:tcPr>
            <w:tcW w:w="1109" w:type="pct"/>
            <w:tcBorders>
              <w:top w:val="single" w:color="auto" w:sz="4" w:space="0"/>
              <w:left w:val="single" w:color="auto" w:sz="4" w:space="0"/>
              <w:bottom w:val="single" w:color="auto" w:sz="4" w:space="0"/>
              <w:right w:val="single" w:color="auto" w:sz="4" w:space="0"/>
            </w:tcBorders>
            <w:vAlign w:val="center"/>
          </w:tcPr>
          <w:p w14:paraId="1DF4E0C5">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565FB9EF">
            <w:pPr>
              <w:spacing w:line="240" w:lineRule="auto"/>
              <w:ind w:firstLine="0" w:firstLineChars="0"/>
              <w:jc w:val="center"/>
              <w:rPr>
                <w:rFonts w:cs="Times New Roman"/>
                <w:szCs w:val="21"/>
              </w:rPr>
            </w:pPr>
            <w:r>
              <w:rPr>
                <w:rFonts w:cs="Times New Roman"/>
                <w:sz w:val="21"/>
                <w:szCs w:val="21"/>
                <w:lang w:bidi="ar"/>
              </w:rPr>
              <w:t>13</w:t>
            </w:r>
          </w:p>
        </w:tc>
        <w:tc>
          <w:tcPr>
            <w:tcW w:w="588" w:type="pct"/>
            <w:tcBorders>
              <w:top w:val="single" w:color="auto" w:sz="4" w:space="0"/>
              <w:left w:val="single" w:color="auto" w:sz="4" w:space="0"/>
              <w:bottom w:val="single" w:color="auto" w:sz="4" w:space="0"/>
              <w:right w:val="single" w:color="auto" w:sz="4" w:space="0"/>
            </w:tcBorders>
            <w:vAlign w:val="center"/>
          </w:tcPr>
          <w:p w14:paraId="316CF3E5">
            <w:pPr>
              <w:spacing w:line="240" w:lineRule="auto"/>
              <w:ind w:firstLine="0" w:firstLineChars="0"/>
              <w:jc w:val="center"/>
              <w:rPr>
                <w:rFonts w:cs="Times New Roman"/>
                <w:szCs w:val="21"/>
              </w:rPr>
            </w:pPr>
            <w:r>
              <w:rPr>
                <w:rFonts w:cs="Times New Roman"/>
                <w:sz w:val="21"/>
                <w:szCs w:val="21"/>
                <w:lang w:bidi="ar"/>
              </w:rPr>
              <w:t>2.39</w:t>
            </w:r>
          </w:p>
        </w:tc>
        <w:tc>
          <w:tcPr>
            <w:tcW w:w="588" w:type="pct"/>
            <w:tcBorders>
              <w:top w:val="single" w:color="auto" w:sz="4" w:space="0"/>
              <w:left w:val="single" w:color="auto" w:sz="4" w:space="0"/>
              <w:bottom w:val="single" w:color="auto" w:sz="4" w:space="0"/>
              <w:right w:val="single" w:color="auto" w:sz="4" w:space="0"/>
            </w:tcBorders>
            <w:vAlign w:val="center"/>
          </w:tcPr>
          <w:p w14:paraId="3BD56B83">
            <w:pPr>
              <w:spacing w:line="240" w:lineRule="auto"/>
              <w:ind w:firstLine="0" w:firstLineChars="0"/>
              <w:jc w:val="center"/>
              <w:rPr>
                <w:rFonts w:cs="Times New Roman"/>
                <w:szCs w:val="21"/>
              </w:rPr>
            </w:pPr>
            <w:r>
              <w:rPr>
                <w:rFonts w:cs="Times New Roman"/>
                <w:sz w:val="21"/>
                <w:szCs w:val="21"/>
                <w:lang w:bidi="ar"/>
              </w:rPr>
              <w:t>0.99</w:t>
            </w:r>
          </w:p>
        </w:tc>
        <w:tc>
          <w:tcPr>
            <w:tcW w:w="588" w:type="pct"/>
            <w:tcBorders>
              <w:top w:val="single" w:color="auto" w:sz="4" w:space="0"/>
              <w:left w:val="single" w:color="auto" w:sz="4" w:space="0"/>
              <w:bottom w:val="single" w:color="auto" w:sz="4" w:space="0"/>
              <w:right w:val="single" w:color="auto" w:sz="4" w:space="0"/>
            </w:tcBorders>
            <w:vAlign w:val="center"/>
          </w:tcPr>
          <w:p w14:paraId="058A59D5">
            <w:pPr>
              <w:spacing w:line="240" w:lineRule="auto"/>
              <w:ind w:firstLine="0" w:firstLineChars="0"/>
              <w:jc w:val="center"/>
              <w:rPr>
                <w:rFonts w:cs="Times New Roman"/>
                <w:szCs w:val="21"/>
              </w:rPr>
            </w:pPr>
            <w:r>
              <w:rPr>
                <w:rFonts w:cs="Times New Roman"/>
                <w:sz w:val="21"/>
                <w:szCs w:val="21"/>
                <w:lang w:bidi="ar"/>
              </w:rPr>
              <w:t>5.03</w:t>
            </w:r>
          </w:p>
        </w:tc>
        <w:tc>
          <w:tcPr>
            <w:tcW w:w="588" w:type="pct"/>
            <w:tcBorders>
              <w:top w:val="single" w:color="auto" w:sz="4" w:space="0"/>
              <w:left w:val="single" w:color="auto" w:sz="4" w:space="0"/>
              <w:bottom w:val="single" w:color="auto" w:sz="4" w:space="0"/>
              <w:right w:val="single" w:color="auto" w:sz="4" w:space="0"/>
            </w:tcBorders>
            <w:vAlign w:val="center"/>
          </w:tcPr>
          <w:p w14:paraId="27A500AB">
            <w:pPr>
              <w:spacing w:line="240" w:lineRule="auto"/>
              <w:ind w:firstLine="0" w:firstLineChars="0"/>
              <w:jc w:val="center"/>
              <w:rPr>
                <w:rFonts w:cs="Times New Roman"/>
                <w:szCs w:val="21"/>
              </w:rPr>
            </w:pPr>
            <w:r>
              <w:rPr>
                <w:rFonts w:cs="Times New Roman"/>
                <w:sz w:val="21"/>
                <w:szCs w:val="21"/>
                <w:lang w:bidi="ar"/>
              </w:rPr>
              <w:t>1.96</w:t>
            </w:r>
          </w:p>
        </w:tc>
      </w:tr>
      <w:tr w14:paraId="652E6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1ECE6E21">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7063A98D">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3A6C6B3A">
            <w:pPr>
              <w:spacing w:line="240" w:lineRule="auto"/>
              <w:ind w:firstLine="0" w:firstLineChars="0"/>
              <w:jc w:val="center"/>
              <w:rPr>
                <w:rFonts w:cs="Times New Roman"/>
                <w:szCs w:val="21"/>
              </w:rPr>
            </w:pPr>
            <w:r>
              <w:rPr>
                <w:rFonts w:cs="Times New Roman"/>
                <w:sz w:val="21"/>
                <w:szCs w:val="21"/>
                <w:lang w:bidi="ar"/>
              </w:rPr>
              <w:t>19</w:t>
            </w:r>
          </w:p>
        </w:tc>
        <w:tc>
          <w:tcPr>
            <w:tcW w:w="588" w:type="pct"/>
            <w:tcBorders>
              <w:top w:val="single" w:color="auto" w:sz="4" w:space="0"/>
              <w:left w:val="single" w:color="auto" w:sz="4" w:space="0"/>
              <w:bottom w:val="single" w:color="auto" w:sz="4" w:space="0"/>
              <w:right w:val="single" w:color="auto" w:sz="4" w:space="0"/>
            </w:tcBorders>
            <w:vAlign w:val="center"/>
          </w:tcPr>
          <w:p w14:paraId="6C5A6436">
            <w:pPr>
              <w:spacing w:line="240" w:lineRule="auto"/>
              <w:ind w:firstLine="0" w:firstLineChars="0"/>
              <w:jc w:val="center"/>
              <w:rPr>
                <w:rFonts w:cs="Times New Roman"/>
                <w:szCs w:val="21"/>
              </w:rPr>
            </w:pPr>
            <w:r>
              <w:rPr>
                <w:rFonts w:cs="Times New Roman"/>
                <w:sz w:val="21"/>
                <w:szCs w:val="21"/>
                <w:lang w:bidi="ar"/>
              </w:rPr>
              <w:t>2.81</w:t>
            </w:r>
          </w:p>
        </w:tc>
        <w:tc>
          <w:tcPr>
            <w:tcW w:w="588" w:type="pct"/>
            <w:tcBorders>
              <w:top w:val="single" w:color="auto" w:sz="4" w:space="0"/>
              <w:left w:val="single" w:color="auto" w:sz="4" w:space="0"/>
              <w:bottom w:val="single" w:color="auto" w:sz="4" w:space="0"/>
              <w:right w:val="single" w:color="auto" w:sz="4" w:space="0"/>
            </w:tcBorders>
            <w:vAlign w:val="center"/>
          </w:tcPr>
          <w:p w14:paraId="62C36B25">
            <w:pPr>
              <w:spacing w:line="240" w:lineRule="auto"/>
              <w:ind w:firstLine="0" w:firstLineChars="0"/>
              <w:jc w:val="center"/>
              <w:rPr>
                <w:rFonts w:cs="Times New Roman"/>
                <w:szCs w:val="21"/>
              </w:rPr>
            </w:pPr>
            <w:r>
              <w:rPr>
                <w:rFonts w:cs="Times New Roman"/>
                <w:sz w:val="21"/>
                <w:szCs w:val="21"/>
                <w:lang w:bidi="ar"/>
              </w:rPr>
              <w:t>0.96</w:t>
            </w:r>
          </w:p>
        </w:tc>
        <w:tc>
          <w:tcPr>
            <w:tcW w:w="588" w:type="pct"/>
            <w:tcBorders>
              <w:top w:val="single" w:color="auto" w:sz="4" w:space="0"/>
              <w:left w:val="single" w:color="auto" w:sz="4" w:space="0"/>
              <w:bottom w:val="single" w:color="auto" w:sz="4" w:space="0"/>
              <w:right w:val="single" w:color="auto" w:sz="4" w:space="0"/>
            </w:tcBorders>
            <w:vAlign w:val="center"/>
          </w:tcPr>
          <w:p w14:paraId="7DF24A45">
            <w:pPr>
              <w:spacing w:line="240" w:lineRule="auto"/>
              <w:ind w:firstLine="0" w:firstLineChars="0"/>
              <w:jc w:val="center"/>
              <w:rPr>
                <w:rFonts w:cs="Times New Roman"/>
                <w:szCs w:val="21"/>
              </w:rPr>
            </w:pPr>
            <w:r>
              <w:rPr>
                <w:rFonts w:cs="Times New Roman"/>
                <w:sz w:val="21"/>
                <w:szCs w:val="21"/>
                <w:lang w:bidi="ar"/>
              </w:rPr>
              <w:t>3.37</w:t>
            </w:r>
          </w:p>
        </w:tc>
        <w:tc>
          <w:tcPr>
            <w:tcW w:w="588" w:type="pct"/>
            <w:tcBorders>
              <w:top w:val="single" w:color="auto" w:sz="4" w:space="0"/>
              <w:left w:val="single" w:color="auto" w:sz="4" w:space="0"/>
              <w:bottom w:val="single" w:color="auto" w:sz="4" w:space="0"/>
              <w:right w:val="single" w:color="auto" w:sz="4" w:space="0"/>
            </w:tcBorders>
            <w:vAlign w:val="center"/>
          </w:tcPr>
          <w:p w14:paraId="5318457B">
            <w:pPr>
              <w:spacing w:line="240" w:lineRule="auto"/>
              <w:ind w:firstLine="0" w:firstLineChars="0"/>
              <w:jc w:val="center"/>
              <w:rPr>
                <w:rFonts w:cs="Times New Roman"/>
                <w:szCs w:val="21"/>
              </w:rPr>
            </w:pPr>
            <w:r>
              <w:rPr>
                <w:rFonts w:cs="Times New Roman"/>
                <w:sz w:val="21"/>
                <w:szCs w:val="21"/>
                <w:lang w:bidi="ar"/>
              </w:rPr>
              <w:t>1.15</w:t>
            </w:r>
          </w:p>
        </w:tc>
      </w:tr>
      <w:tr w14:paraId="6F574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4077A0F8">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486726C8">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38479495">
            <w:pPr>
              <w:spacing w:line="240" w:lineRule="auto"/>
              <w:ind w:firstLine="0" w:firstLineChars="0"/>
              <w:jc w:val="center"/>
              <w:rPr>
                <w:rFonts w:cs="Times New Roman"/>
                <w:szCs w:val="21"/>
              </w:rPr>
            </w:pPr>
            <w:r>
              <w:rPr>
                <w:rFonts w:cs="Times New Roman"/>
                <w:sz w:val="21"/>
                <w:szCs w:val="21"/>
                <w:lang w:bidi="ar"/>
              </w:rPr>
              <w:t>33</w:t>
            </w:r>
          </w:p>
        </w:tc>
        <w:tc>
          <w:tcPr>
            <w:tcW w:w="588" w:type="pct"/>
            <w:tcBorders>
              <w:top w:val="single" w:color="auto" w:sz="4" w:space="0"/>
              <w:left w:val="single" w:color="auto" w:sz="4" w:space="0"/>
              <w:bottom w:val="single" w:color="auto" w:sz="4" w:space="0"/>
              <w:right w:val="single" w:color="auto" w:sz="4" w:space="0"/>
            </w:tcBorders>
            <w:vAlign w:val="center"/>
          </w:tcPr>
          <w:p w14:paraId="2D1BEE5F">
            <w:pPr>
              <w:spacing w:line="240" w:lineRule="auto"/>
              <w:ind w:firstLine="0" w:firstLineChars="0"/>
              <w:jc w:val="center"/>
              <w:rPr>
                <w:rFonts w:cs="Times New Roman"/>
                <w:szCs w:val="21"/>
              </w:rPr>
            </w:pPr>
            <w:r>
              <w:rPr>
                <w:rFonts w:cs="Times New Roman"/>
                <w:sz w:val="21"/>
                <w:szCs w:val="21"/>
                <w:lang w:bidi="ar"/>
              </w:rPr>
              <w:t>4.61</w:t>
            </w:r>
          </w:p>
        </w:tc>
        <w:tc>
          <w:tcPr>
            <w:tcW w:w="588" w:type="pct"/>
            <w:tcBorders>
              <w:top w:val="single" w:color="auto" w:sz="4" w:space="0"/>
              <w:left w:val="single" w:color="auto" w:sz="4" w:space="0"/>
              <w:bottom w:val="single" w:color="auto" w:sz="4" w:space="0"/>
              <w:right w:val="single" w:color="auto" w:sz="4" w:space="0"/>
            </w:tcBorders>
            <w:vAlign w:val="center"/>
          </w:tcPr>
          <w:p w14:paraId="23948EFA">
            <w:pPr>
              <w:spacing w:line="240" w:lineRule="auto"/>
              <w:ind w:firstLine="0" w:firstLineChars="0"/>
              <w:jc w:val="center"/>
              <w:rPr>
                <w:rFonts w:cs="Times New Roman"/>
                <w:szCs w:val="21"/>
              </w:rPr>
            </w:pPr>
            <w:r>
              <w:rPr>
                <w:rFonts w:cs="Times New Roman"/>
                <w:sz w:val="21"/>
                <w:szCs w:val="21"/>
                <w:lang w:bidi="ar"/>
              </w:rPr>
              <w:t>0.96</w:t>
            </w:r>
          </w:p>
        </w:tc>
        <w:tc>
          <w:tcPr>
            <w:tcW w:w="588" w:type="pct"/>
            <w:tcBorders>
              <w:top w:val="single" w:color="auto" w:sz="4" w:space="0"/>
              <w:left w:val="single" w:color="auto" w:sz="4" w:space="0"/>
              <w:bottom w:val="single" w:color="auto" w:sz="4" w:space="0"/>
              <w:right w:val="single" w:color="auto" w:sz="4" w:space="0"/>
            </w:tcBorders>
            <w:vAlign w:val="center"/>
          </w:tcPr>
          <w:p w14:paraId="153DC5D8">
            <w:pPr>
              <w:spacing w:line="240" w:lineRule="auto"/>
              <w:ind w:firstLine="0" w:firstLineChars="0"/>
              <w:jc w:val="center"/>
              <w:rPr>
                <w:rFonts w:cs="Times New Roman"/>
                <w:szCs w:val="21"/>
              </w:rPr>
            </w:pPr>
            <w:r>
              <w:rPr>
                <w:rFonts w:cs="Times New Roman"/>
                <w:sz w:val="21"/>
                <w:szCs w:val="21"/>
                <w:lang w:bidi="ar"/>
              </w:rPr>
              <w:t>3.73</w:t>
            </w:r>
          </w:p>
        </w:tc>
        <w:tc>
          <w:tcPr>
            <w:tcW w:w="588" w:type="pct"/>
            <w:tcBorders>
              <w:top w:val="single" w:color="auto" w:sz="4" w:space="0"/>
              <w:left w:val="single" w:color="auto" w:sz="4" w:space="0"/>
              <w:bottom w:val="single" w:color="auto" w:sz="4" w:space="0"/>
              <w:right w:val="single" w:color="auto" w:sz="4" w:space="0"/>
            </w:tcBorders>
            <w:vAlign w:val="center"/>
          </w:tcPr>
          <w:p w14:paraId="7DDBABB5">
            <w:pPr>
              <w:spacing w:line="240" w:lineRule="auto"/>
              <w:ind w:firstLine="0" w:firstLineChars="0"/>
              <w:jc w:val="center"/>
              <w:rPr>
                <w:rFonts w:cs="Times New Roman"/>
                <w:szCs w:val="21"/>
              </w:rPr>
            </w:pPr>
            <w:r>
              <w:rPr>
                <w:rFonts w:cs="Times New Roman"/>
                <w:sz w:val="21"/>
                <w:szCs w:val="21"/>
                <w:lang w:bidi="ar"/>
              </w:rPr>
              <w:t>1.07</w:t>
            </w:r>
          </w:p>
        </w:tc>
      </w:tr>
      <w:tr w14:paraId="07B2C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01508C2B">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0A1E0200">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3C3F6C34">
            <w:pPr>
              <w:spacing w:line="240" w:lineRule="auto"/>
              <w:ind w:firstLine="0" w:firstLineChars="0"/>
              <w:jc w:val="center"/>
              <w:rPr>
                <w:rFonts w:cs="Times New Roman"/>
                <w:szCs w:val="21"/>
              </w:rPr>
            </w:pPr>
            <w:r>
              <w:rPr>
                <w:rFonts w:cs="Times New Roman"/>
                <w:sz w:val="21"/>
                <w:szCs w:val="21"/>
                <w:lang w:bidi="ar"/>
              </w:rPr>
              <w:t>65</w:t>
            </w:r>
          </w:p>
        </w:tc>
        <w:tc>
          <w:tcPr>
            <w:tcW w:w="588" w:type="pct"/>
            <w:tcBorders>
              <w:top w:val="single" w:color="auto" w:sz="4" w:space="0"/>
              <w:left w:val="single" w:color="auto" w:sz="4" w:space="0"/>
              <w:bottom w:val="single" w:color="auto" w:sz="4" w:space="0"/>
              <w:right w:val="single" w:color="auto" w:sz="4" w:space="0"/>
            </w:tcBorders>
            <w:vAlign w:val="center"/>
          </w:tcPr>
          <w:p w14:paraId="6826E0B1">
            <w:pPr>
              <w:spacing w:line="240" w:lineRule="auto"/>
              <w:ind w:firstLine="0" w:firstLineChars="0"/>
              <w:jc w:val="center"/>
              <w:rPr>
                <w:rFonts w:cs="Times New Roman"/>
                <w:szCs w:val="21"/>
              </w:rPr>
            </w:pPr>
            <w:r>
              <w:rPr>
                <w:rFonts w:cs="Times New Roman"/>
                <w:sz w:val="21"/>
                <w:szCs w:val="21"/>
                <w:lang w:bidi="ar"/>
              </w:rPr>
              <w:t>8.54</w:t>
            </w:r>
          </w:p>
        </w:tc>
        <w:tc>
          <w:tcPr>
            <w:tcW w:w="588" w:type="pct"/>
            <w:tcBorders>
              <w:top w:val="single" w:color="auto" w:sz="4" w:space="0"/>
              <w:left w:val="single" w:color="auto" w:sz="4" w:space="0"/>
              <w:bottom w:val="single" w:color="auto" w:sz="4" w:space="0"/>
              <w:right w:val="single" w:color="auto" w:sz="4" w:space="0"/>
            </w:tcBorders>
            <w:vAlign w:val="center"/>
          </w:tcPr>
          <w:p w14:paraId="3686C7B5">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6BA849B0">
            <w:pPr>
              <w:spacing w:line="240" w:lineRule="auto"/>
              <w:ind w:firstLine="0" w:firstLineChars="0"/>
              <w:jc w:val="center"/>
              <w:rPr>
                <w:rFonts w:cs="Times New Roman"/>
                <w:szCs w:val="21"/>
              </w:rPr>
            </w:pPr>
            <w:r>
              <w:rPr>
                <w:rFonts w:cs="Times New Roman"/>
                <w:sz w:val="21"/>
                <w:szCs w:val="21"/>
                <w:lang w:bidi="ar"/>
              </w:rPr>
              <w:t>4.61</w:t>
            </w:r>
          </w:p>
        </w:tc>
        <w:tc>
          <w:tcPr>
            <w:tcW w:w="588" w:type="pct"/>
            <w:tcBorders>
              <w:top w:val="single" w:color="auto" w:sz="4" w:space="0"/>
              <w:left w:val="single" w:color="auto" w:sz="4" w:space="0"/>
              <w:bottom w:val="single" w:color="auto" w:sz="4" w:space="0"/>
              <w:right w:val="single" w:color="auto" w:sz="4" w:space="0"/>
            </w:tcBorders>
            <w:vAlign w:val="center"/>
          </w:tcPr>
          <w:p w14:paraId="321FC419">
            <w:pPr>
              <w:spacing w:line="240" w:lineRule="auto"/>
              <w:ind w:firstLine="0" w:firstLineChars="0"/>
              <w:jc w:val="center"/>
              <w:rPr>
                <w:rFonts w:cs="Times New Roman"/>
                <w:szCs w:val="21"/>
              </w:rPr>
            </w:pPr>
            <w:r>
              <w:rPr>
                <w:rFonts w:cs="Times New Roman"/>
                <w:sz w:val="21"/>
                <w:szCs w:val="21"/>
                <w:lang w:bidi="ar"/>
              </w:rPr>
              <w:t>1.10</w:t>
            </w:r>
          </w:p>
        </w:tc>
      </w:tr>
      <w:tr w14:paraId="09683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6FA06019">
            <w:pPr>
              <w:spacing w:line="240" w:lineRule="auto"/>
              <w:ind w:firstLine="0" w:firstLineChars="0"/>
              <w:jc w:val="center"/>
              <w:rPr>
                <w:rFonts w:cs="Times New Roman"/>
                <w:szCs w:val="21"/>
              </w:rPr>
            </w:pPr>
            <w:r>
              <w:rPr>
                <w:rFonts w:cs="Times New Roman"/>
                <w:sz w:val="21"/>
                <w:szCs w:val="21"/>
                <w:lang w:bidi="ar"/>
              </w:rPr>
              <w:t>E5</w:t>
            </w:r>
          </w:p>
        </w:tc>
        <w:tc>
          <w:tcPr>
            <w:tcW w:w="1109" w:type="pct"/>
            <w:tcBorders>
              <w:top w:val="single" w:color="auto" w:sz="4" w:space="0"/>
              <w:left w:val="single" w:color="auto" w:sz="4" w:space="0"/>
              <w:bottom w:val="single" w:color="auto" w:sz="4" w:space="0"/>
              <w:right w:val="single" w:color="auto" w:sz="4" w:space="0"/>
            </w:tcBorders>
            <w:vAlign w:val="center"/>
          </w:tcPr>
          <w:p w14:paraId="76937FA9">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13957BD8">
            <w:pPr>
              <w:spacing w:line="240" w:lineRule="auto"/>
              <w:ind w:firstLine="0" w:firstLineChars="0"/>
              <w:jc w:val="center"/>
              <w:rPr>
                <w:rFonts w:cs="Times New Roman"/>
                <w:szCs w:val="21"/>
              </w:rPr>
            </w:pPr>
            <w:r>
              <w:rPr>
                <w:rFonts w:cs="Times New Roman"/>
                <w:sz w:val="21"/>
                <w:szCs w:val="21"/>
                <w:lang w:bidi="ar"/>
              </w:rPr>
              <w:t>11</w:t>
            </w:r>
          </w:p>
        </w:tc>
        <w:tc>
          <w:tcPr>
            <w:tcW w:w="588" w:type="pct"/>
            <w:tcBorders>
              <w:top w:val="single" w:color="auto" w:sz="4" w:space="0"/>
              <w:left w:val="single" w:color="auto" w:sz="4" w:space="0"/>
              <w:bottom w:val="single" w:color="auto" w:sz="4" w:space="0"/>
              <w:right w:val="single" w:color="auto" w:sz="4" w:space="0"/>
            </w:tcBorders>
            <w:vAlign w:val="center"/>
          </w:tcPr>
          <w:p w14:paraId="68BCD446">
            <w:pPr>
              <w:spacing w:line="240" w:lineRule="auto"/>
              <w:ind w:firstLine="0" w:firstLineChars="0"/>
              <w:jc w:val="center"/>
              <w:rPr>
                <w:rFonts w:cs="Times New Roman"/>
                <w:szCs w:val="21"/>
              </w:rPr>
            </w:pPr>
            <w:r>
              <w:rPr>
                <w:rFonts w:cs="Times New Roman"/>
                <w:sz w:val="21"/>
                <w:szCs w:val="21"/>
                <w:lang w:bidi="ar"/>
              </w:rPr>
              <w:t>1.94</w:t>
            </w:r>
          </w:p>
        </w:tc>
        <w:tc>
          <w:tcPr>
            <w:tcW w:w="588" w:type="pct"/>
            <w:tcBorders>
              <w:top w:val="single" w:color="auto" w:sz="4" w:space="0"/>
              <w:left w:val="single" w:color="auto" w:sz="4" w:space="0"/>
              <w:bottom w:val="single" w:color="auto" w:sz="4" w:space="0"/>
              <w:right w:val="single" w:color="auto" w:sz="4" w:space="0"/>
            </w:tcBorders>
            <w:vAlign w:val="center"/>
          </w:tcPr>
          <w:p w14:paraId="2F287439">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3DFF6CAC">
            <w:pPr>
              <w:spacing w:line="240" w:lineRule="auto"/>
              <w:ind w:firstLine="0" w:firstLineChars="0"/>
              <w:jc w:val="center"/>
              <w:rPr>
                <w:rFonts w:cs="Times New Roman"/>
                <w:szCs w:val="21"/>
              </w:rPr>
            </w:pPr>
            <w:r>
              <w:rPr>
                <w:rFonts w:cs="Times New Roman"/>
                <w:sz w:val="21"/>
                <w:szCs w:val="21"/>
                <w:lang w:bidi="ar"/>
              </w:rPr>
              <w:t>4.41</w:t>
            </w:r>
          </w:p>
        </w:tc>
        <w:tc>
          <w:tcPr>
            <w:tcW w:w="588" w:type="pct"/>
            <w:tcBorders>
              <w:top w:val="single" w:color="auto" w:sz="4" w:space="0"/>
              <w:left w:val="single" w:color="auto" w:sz="4" w:space="0"/>
              <w:bottom w:val="single" w:color="auto" w:sz="4" w:space="0"/>
              <w:right w:val="single" w:color="auto" w:sz="4" w:space="0"/>
            </w:tcBorders>
            <w:vAlign w:val="center"/>
          </w:tcPr>
          <w:p w14:paraId="0AF8E4A5">
            <w:pPr>
              <w:spacing w:line="240" w:lineRule="auto"/>
              <w:ind w:firstLine="0" w:firstLineChars="0"/>
              <w:jc w:val="center"/>
              <w:rPr>
                <w:rFonts w:cs="Times New Roman"/>
                <w:szCs w:val="21"/>
              </w:rPr>
            </w:pPr>
            <w:r>
              <w:rPr>
                <w:rFonts w:cs="Times New Roman"/>
                <w:sz w:val="21"/>
                <w:szCs w:val="21"/>
                <w:lang w:bidi="ar"/>
              </w:rPr>
              <w:t>1.84</w:t>
            </w:r>
          </w:p>
        </w:tc>
      </w:tr>
      <w:tr w14:paraId="403E8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7F57BAE7">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63AA27BA">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11C2F57F">
            <w:pPr>
              <w:spacing w:line="240" w:lineRule="auto"/>
              <w:ind w:firstLine="0" w:firstLineChars="0"/>
              <w:jc w:val="center"/>
              <w:rPr>
                <w:rFonts w:cs="Times New Roman"/>
                <w:szCs w:val="21"/>
              </w:rPr>
            </w:pPr>
            <w:r>
              <w:rPr>
                <w:rFonts w:cs="Times New Roman"/>
                <w:sz w:val="21"/>
                <w:szCs w:val="21"/>
                <w:lang w:bidi="ar"/>
              </w:rPr>
              <w:t>18</w:t>
            </w:r>
          </w:p>
        </w:tc>
        <w:tc>
          <w:tcPr>
            <w:tcW w:w="588" w:type="pct"/>
            <w:tcBorders>
              <w:top w:val="single" w:color="auto" w:sz="4" w:space="0"/>
              <w:left w:val="single" w:color="auto" w:sz="4" w:space="0"/>
              <w:bottom w:val="single" w:color="auto" w:sz="4" w:space="0"/>
              <w:right w:val="single" w:color="auto" w:sz="4" w:space="0"/>
            </w:tcBorders>
            <w:vAlign w:val="center"/>
          </w:tcPr>
          <w:p w14:paraId="7F50C454">
            <w:pPr>
              <w:spacing w:line="240" w:lineRule="auto"/>
              <w:ind w:firstLine="0" w:firstLineChars="0"/>
              <w:jc w:val="center"/>
              <w:rPr>
                <w:rFonts w:cs="Times New Roman"/>
                <w:szCs w:val="21"/>
              </w:rPr>
            </w:pPr>
            <w:r>
              <w:rPr>
                <w:rFonts w:cs="Times New Roman"/>
                <w:sz w:val="21"/>
                <w:szCs w:val="21"/>
                <w:lang w:bidi="ar"/>
              </w:rPr>
              <w:t>2.60</w:t>
            </w:r>
          </w:p>
        </w:tc>
        <w:tc>
          <w:tcPr>
            <w:tcW w:w="588" w:type="pct"/>
            <w:tcBorders>
              <w:top w:val="single" w:color="auto" w:sz="4" w:space="0"/>
              <w:left w:val="single" w:color="auto" w:sz="4" w:space="0"/>
              <w:bottom w:val="single" w:color="auto" w:sz="4" w:space="0"/>
              <w:right w:val="single" w:color="auto" w:sz="4" w:space="0"/>
            </w:tcBorders>
            <w:vAlign w:val="center"/>
          </w:tcPr>
          <w:p w14:paraId="5888B763">
            <w:pPr>
              <w:spacing w:line="240" w:lineRule="auto"/>
              <w:ind w:firstLine="0" w:firstLineChars="0"/>
              <w:jc w:val="center"/>
              <w:rPr>
                <w:rFonts w:cs="Times New Roman"/>
                <w:szCs w:val="21"/>
              </w:rPr>
            </w:pPr>
            <w:r>
              <w:rPr>
                <w:rFonts w:cs="Times New Roman"/>
                <w:sz w:val="21"/>
                <w:szCs w:val="21"/>
                <w:lang w:bidi="ar"/>
              </w:rPr>
              <w:t>0.95</w:t>
            </w:r>
          </w:p>
        </w:tc>
        <w:tc>
          <w:tcPr>
            <w:tcW w:w="588" w:type="pct"/>
            <w:tcBorders>
              <w:top w:val="single" w:color="auto" w:sz="4" w:space="0"/>
              <w:left w:val="single" w:color="auto" w:sz="4" w:space="0"/>
              <w:bottom w:val="single" w:color="auto" w:sz="4" w:space="0"/>
              <w:right w:val="single" w:color="auto" w:sz="4" w:space="0"/>
            </w:tcBorders>
            <w:vAlign w:val="center"/>
          </w:tcPr>
          <w:p w14:paraId="0FF027F6">
            <w:pPr>
              <w:spacing w:line="240" w:lineRule="auto"/>
              <w:ind w:firstLine="0" w:firstLineChars="0"/>
              <w:jc w:val="center"/>
              <w:rPr>
                <w:rFonts w:cs="Times New Roman"/>
                <w:szCs w:val="21"/>
              </w:rPr>
            </w:pPr>
            <w:r>
              <w:rPr>
                <w:rFonts w:cs="Times New Roman"/>
                <w:sz w:val="21"/>
                <w:szCs w:val="21"/>
                <w:lang w:bidi="ar"/>
              </w:rPr>
              <w:t>3.19</w:t>
            </w:r>
          </w:p>
        </w:tc>
        <w:tc>
          <w:tcPr>
            <w:tcW w:w="588" w:type="pct"/>
            <w:tcBorders>
              <w:top w:val="single" w:color="auto" w:sz="4" w:space="0"/>
              <w:left w:val="single" w:color="auto" w:sz="4" w:space="0"/>
              <w:bottom w:val="single" w:color="auto" w:sz="4" w:space="0"/>
              <w:right w:val="single" w:color="auto" w:sz="4" w:space="0"/>
            </w:tcBorders>
            <w:vAlign w:val="center"/>
          </w:tcPr>
          <w:p w14:paraId="0B39B76D">
            <w:pPr>
              <w:spacing w:line="240" w:lineRule="auto"/>
              <w:ind w:firstLine="0" w:firstLineChars="0"/>
              <w:jc w:val="center"/>
              <w:rPr>
                <w:rFonts w:cs="Times New Roman"/>
                <w:szCs w:val="21"/>
              </w:rPr>
            </w:pPr>
            <w:r>
              <w:rPr>
                <w:rFonts w:cs="Times New Roman"/>
                <w:sz w:val="21"/>
                <w:szCs w:val="21"/>
                <w:lang w:bidi="ar"/>
              </w:rPr>
              <w:t>1.11</w:t>
            </w:r>
          </w:p>
        </w:tc>
      </w:tr>
      <w:tr w14:paraId="16040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39C519EB">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59802ADB">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24F8EF46">
            <w:pPr>
              <w:spacing w:line="240" w:lineRule="auto"/>
              <w:ind w:firstLine="0" w:firstLineChars="0"/>
              <w:jc w:val="center"/>
              <w:rPr>
                <w:rFonts w:cs="Times New Roman"/>
                <w:szCs w:val="21"/>
              </w:rPr>
            </w:pPr>
            <w:r>
              <w:rPr>
                <w:rFonts w:cs="Times New Roman"/>
                <w:sz w:val="21"/>
                <w:szCs w:val="21"/>
                <w:lang w:bidi="ar"/>
              </w:rPr>
              <w:t>25</w:t>
            </w:r>
          </w:p>
        </w:tc>
        <w:tc>
          <w:tcPr>
            <w:tcW w:w="588" w:type="pct"/>
            <w:tcBorders>
              <w:top w:val="single" w:color="auto" w:sz="4" w:space="0"/>
              <w:left w:val="single" w:color="auto" w:sz="4" w:space="0"/>
              <w:bottom w:val="single" w:color="auto" w:sz="4" w:space="0"/>
              <w:right w:val="single" w:color="auto" w:sz="4" w:space="0"/>
            </w:tcBorders>
            <w:vAlign w:val="center"/>
          </w:tcPr>
          <w:p w14:paraId="7D00107D">
            <w:pPr>
              <w:spacing w:line="240" w:lineRule="auto"/>
              <w:ind w:firstLine="0" w:firstLineChars="0"/>
              <w:jc w:val="center"/>
              <w:rPr>
                <w:rFonts w:cs="Times New Roman"/>
                <w:szCs w:val="21"/>
              </w:rPr>
            </w:pPr>
            <w:r>
              <w:rPr>
                <w:rFonts w:cs="Times New Roman"/>
                <w:sz w:val="21"/>
                <w:szCs w:val="21"/>
                <w:lang w:bidi="ar"/>
              </w:rPr>
              <w:t>3.47</w:t>
            </w:r>
          </w:p>
        </w:tc>
        <w:tc>
          <w:tcPr>
            <w:tcW w:w="588" w:type="pct"/>
            <w:tcBorders>
              <w:top w:val="single" w:color="auto" w:sz="4" w:space="0"/>
              <w:left w:val="single" w:color="auto" w:sz="4" w:space="0"/>
              <w:bottom w:val="single" w:color="auto" w:sz="4" w:space="0"/>
              <w:right w:val="single" w:color="auto" w:sz="4" w:space="0"/>
            </w:tcBorders>
            <w:vAlign w:val="center"/>
          </w:tcPr>
          <w:p w14:paraId="0685973B">
            <w:pPr>
              <w:spacing w:line="240" w:lineRule="auto"/>
              <w:ind w:firstLine="0" w:firstLineChars="0"/>
              <w:jc w:val="center"/>
              <w:rPr>
                <w:rFonts w:cs="Times New Roman"/>
                <w:szCs w:val="21"/>
              </w:rPr>
            </w:pPr>
            <w:r>
              <w:rPr>
                <w:rFonts w:cs="Times New Roman"/>
                <w:sz w:val="21"/>
                <w:szCs w:val="21"/>
                <w:lang w:bidi="ar"/>
              </w:rPr>
              <w:t>0.95</w:t>
            </w:r>
          </w:p>
        </w:tc>
        <w:tc>
          <w:tcPr>
            <w:tcW w:w="588" w:type="pct"/>
            <w:tcBorders>
              <w:top w:val="single" w:color="auto" w:sz="4" w:space="0"/>
              <w:left w:val="single" w:color="auto" w:sz="4" w:space="0"/>
              <w:bottom w:val="single" w:color="auto" w:sz="4" w:space="0"/>
              <w:right w:val="single" w:color="auto" w:sz="4" w:space="0"/>
            </w:tcBorders>
            <w:vAlign w:val="center"/>
          </w:tcPr>
          <w:p w14:paraId="4E0763D0">
            <w:pPr>
              <w:spacing w:line="240" w:lineRule="auto"/>
              <w:ind w:firstLine="0" w:firstLineChars="0"/>
              <w:jc w:val="center"/>
              <w:rPr>
                <w:rFonts w:cs="Times New Roman"/>
                <w:szCs w:val="21"/>
              </w:rPr>
            </w:pPr>
            <w:r>
              <w:rPr>
                <w:rFonts w:cs="Times New Roman"/>
                <w:sz w:val="21"/>
                <w:szCs w:val="21"/>
                <w:lang w:bidi="ar"/>
              </w:rPr>
              <w:t>3.31</w:t>
            </w:r>
          </w:p>
        </w:tc>
        <w:tc>
          <w:tcPr>
            <w:tcW w:w="588" w:type="pct"/>
            <w:tcBorders>
              <w:top w:val="single" w:color="auto" w:sz="4" w:space="0"/>
              <w:left w:val="single" w:color="auto" w:sz="4" w:space="0"/>
              <w:bottom w:val="single" w:color="auto" w:sz="4" w:space="0"/>
              <w:right w:val="single" w:color="auto" w:sz="4" w:space="0"/>
            </w:tcBorders>
            <w:vAlign w:val="center"/>
          </w:tcPr>
          <w:p w14:paraId="0C8CF0F1">
            <w:pPr>
              <w:spacing w:line="240" w:lineRule="auto"/>
              <w:ind w:firstLine="0" w:firstLineChars="0"/>
              <w:jc w:val="center"/>
              <w:rPr>
                <w:rFonts w:cs="Times New Roman"/>
                <w:szCs w:val="21"/>
              </w:rPr>
            </w:pPr>
            <w:r>
              <w:rPr>
                <w:rFonts w:cs="Times New Roman"/>
                <w:sz w:val="21"/>
                <w:szCs w:val="21"/>
                <w:lang w:bidi="ar"/>
              </w:rPr>
              <w:t>1.03</w:t>
            </w:r>
          </w:p>
        </w:tc>
      </w:tr>
      <w:tr w14:paraId="2B228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32A27B79">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1E67B297">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0B3B1856">
            <w:pPr>
              <w:spacing w:line="240" w:lineRule="auto"/>
              <w:ind w:firstLine="0" w:firstLineChars="0"/>
              <w:jc w:val="center"/>
              <w:rPr>
                <w:rFonts w:cs="Times New Roman"/>
                <w:szCs w:val="21"/>
              </w:rPr>
            </w:pPr>
            <w:r>
              <w:rPr>
                <w:rFonts w:cs="Times New Roman"/>
                <w:sz w:val="21"/>
                <w:szCs w:val="21"/>
                <w:lang w:bidi="ar"/>
              </w:rPr>
              <w:t>54</w:t>
            </w:r>
          </w:p>
        </w:tc>
        <w:tc>
          <w:tcPr>
            <w:tcW w:w="588" w:type="pct"/>
            <w:tcBorders>
              <w:top w:val="single" w:color="auto" w:sz="4" w:space="0"/>
              <w:left w:val="single" w:color="auto" w:sz="4" w:space="0"/>
              <w:bottom w:val="single" w:color="auto" w:sz="4" w:space="0"/>
              <w:right w:val="single" w:color="auto" w:sz="4" w:space="0"/>
            </w:tcBorders>
            <w:vAlign w:val="center"/>
          </w:tcPr>
          <w:p w14:paraId="752147AC">
            <w:pPr>
              <w:spacing w:line="240" w:lineRule="auto"/>
              <w:ind w:firstLine="0" w:firstLineChars="0"/>
              <w:jc w:val="center"/>
              <w:rPr>
                <w:rFonts w:cs="Times New Roman"/>
                <w:szCs w:val="21"/>
              </w:rPr>
            </w:pPr>
            <w:r>
              <w:rPr>
                <w:rFonts w:cs="Times New Roman"/>
                <w:sz w:val="21"/>
                <w:szCs w:val="21"/>
                <w:lang w:bidi="ar"/>
              </w:rPr>
              <w:t>7.03</w:t>
            </w:r>
          </w:p>
        </w:tc>
        <w:tc>
          <w:tcPr>
            <w:tcW w:w="588" w:type="pct"/>
            <w:tcBorders>
              <w:top w:val="single" w:color="auto" w:sz="4" w:space="0"/>
              <w:left w:val="single" w:color="auto" w:sz="4" w:space="0"/>
              <w:bottom w:val="single" w:color="auto" w:sz="4" w:space="0"/>
              <w:right w:val="single" w:color="auto" w:sz="4" w:space="0"/>
            </w:tcBorders>
            <w:vAlign w:val="center"/>
          </w:tcPr>
          <w:p w14:paraId="18C786AD">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3986519F">
            <w:pPr>
              <w:spacing w:line="240" w:lineRule="auto"/>
              <w:ind w:firstLine="0" w:firstLineChars="0"/>
              <w:jc w:val="center"/>
              <w:rPr>
                <w:rFonts w:cs="Times New Roman"/>
                <w:szCs w:val="21"/>
              </w:rPr>
            </w:pPr>
            <w:r>
              <w:rPr>
                <w:rFonts w:cs="Times New Roman"/>
                <w:sz w:val="21"/>
                <w:szCs w:val="21"/>
                <w:lang w:bidi="ar"/>
              </w:rPr>
              <w:t>4.29</w:t>
            </w:r>
          </w:p>
        </w:tc>
        <w:tc>
          <w:tcPr>
            <w:tcW w:w="588" w:type="pct"/>
            <w:tcBorders>
              <w:top w:val="single" w:color="auto" w:sz="4" w:space="0"/>
              <w:left w:val="single" w:color="auto" w:sz="4" w:space="0"/>
              <w:bottom w:val="single" w:color="auto" w:sz="4" w:space="0"/>
              <w:right w:val="single" w:color="auto" w:sz="4" w:space="0"/>
            </w:tcBorders>
            <w:vAlign w:val="center"/>
          </w:tcPr>
          <w:p w14:paraId="70F61222">
            <w:pPr>
              <w:spacing w:line="240" w:lineRule="auto"/>
              <w:ind w:firstLine="0" w:firstLineChars="0"/>
              <w:jc w:val="center"/>
              <w:rPr>
                <w:rFonts w:cs="Times New Roman"/>
                <w:szCs w:val="21"/>
              </w:rPr>
            </w:pPr>
            <w:r>
              <w:rPr>
                <w:rFonts w:cs="Times New Roman"/>
                <w:sz w:val="21"/>
                <w:szCs w:val="21"/>
                <w:lang w:bidi="ar"/>
              </w:rPr>
              <w:t>1.08</w:t>
            </w:r>
          </w:p>
        </w:tc>
      </w:tr>
      <w:tr w14:paraId="34AF7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66846437">
            <w:pPr>
              <w:spacing w:line="240" w:lineRule="auto"/>
              <w:ind w:firstLine="0" w:firstLineChars="0"/>
              <w:jc w:val="center"/>
              <w:rPr>
                <w:rFonts w:cs="Times New Roman"/>
                <w:szCs w:val="21"/>
              </w:rPr>
            </w:pPr>
            <w:r>
              <w:rPr>
                <w:rFonts w:cs="Times New Roman"/>
                <w:sz w:val="21"/>
                <w:szCs w:val="21"/>
                <w:lang w:bidi="ar"/>
              </w:rPr>
              <w:t>E6</w:t>
            </w:r>
          </w:p>
        </w:tc>
        <w:tc>
          <w:tcPr>
            <w:tcW w:w="1109" w:type="pct"/>
            <w:tcBorders>
              <w:top w:val="single" w:color="auto" w:sz="4" w:space="0"/>
              <w:left w:val="single" w:color="auto" w:sz="4" w:space="0"/>
              <w:bottom w:val="single" w:color="auto" w:sz="4" w:space="0"/>
              <w:right w:val="single" w:color="auto" w:sz="4" w:space="0"/>
            </w:tcBorders>
            <w:vAlign w:val="center"/>
          </w:tcPr>
          <w:p w14:paraId="00058992">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6F7B559E">
            <w:pPr>
              <w:spacing w:line="240" w:lineRule="auto"/>
              <w:ind w:firstLine="0" w:firstLineChars="0"/>
              <w:jc w:val="center"/>
              <w:rPr>
                <w:rFonts w:cs="Times New Roman"/>
                <w:szCs w:val="21"/>
              </w:rPr>
            </w:pPr>
            <w:r>
              <w:rPr>
                <w:rFonts w:cs="Times New Roman"/>
                <w:sz w:val="21"/>
                <w:szCs w:val="21"/>
                <w:lang w:bidi="ar"/>
              </w:rPr>
              <w:t>9</w:t>
            </w:r>
          </w:p>
        </w:tc>
        <w:tc>
          <w:tcPr>
            <w:tcW w:w="588" w:type="pct"/>
            <w:tcBorders>
              <w:top w:val="single" w:color="auto" w:sz="4" w:space="0"/>
              <w:left w:val="single" w:color="auto" w:sz="4" w:space="0"/>
              <w:bottom w:val="single" w:color="auto" w:sz="4" w:space="0"/>
              <w:right w:val="single" w:color="auto" w:sz="4" w:space="0"/>
            </w:tcBorders>
            <w:vAlign w:val="center"/>
          </w:tcPr>
          <w:p w14:paraId="69907559">
            <w:pPr>
              <w:spacing w:line="240" w:lineRule="auto"/>
              <w:ind w:firstLine="0" w:firstLineChars="0"/>
              <w:jc w:val="center"/>
              <w:rPr>
                <w:rFonts w:cs="Times New Roman"/>
                <w:szCs w:val="21"/>
              </w:rPr>
            </w:pPr>
            <w:r>
              <w:rPr>
                <w:rFonts w:cs="Times New Roman"/>
                <w:sz w:val="21"/>
                <w:szCs w:val="21"/>
                <w:lang w:bidi="ar"/>
              </w:rPr>
              <w:t>1.55</w:t>
            </w:r>
          </w:p>
        </w:tc>
        <w:tc>
          <w:tcPr>
            <w:tcW w:w="588" w:type="pct"/>
            <w:tcBorders>
              <w:top w:val="single" w:color="auto" w:sz="4" w:space="0"/>
              <w:left w:val="single" w:color="auto" w:sz="4" w:space="0"/>
              <w:bottom w:val="single" w:color="auto" w:sz="4" w:space="0"/>
              <w:right w:val="single" w:color="auto" w:sz="4" w:space="0"/>
            </w:tcBorders>
            <w:vAlign w:val="center"/>
          </w:tcPr>
          <w:p w14:paraId="65F2D522">
            <w:pPr>
              <w:spacing w:line="240" w:lineRule="auto"/>
              <w:ind w:firstLine="0" w:firstLineChars="0"/>
              <w:jc w:val="center"/>
              <w:rPr>
                <w:rFonts w:cs="Times New Roman"/>
                <w:szCs w:val="21"/>
              </w:rPr>
            </w:pPr>
            <w:r>
              <w:rPr>
                <w:rFonts w:cs="Times New Roman"/>
                <w:sz w:val="21"/>
                <w:szCs w:val="21"/>
                <w:lang w:bidi="ar"/>
              </w:rPr>
              <w:t>0.96</w:t>
            </w:r>
          </w:p>
        </w:tc>
        <w:tc>
          <w:tcPr>
            <w:tcW w:w="588" w:type="pct"/>
            <w:tcBorders>
              <w:top w:val="single" w:color="auto" w:sz="4" w:space="0"/>
              <w:left w:val="single" w:color="auto" w:sz="4" w:space="0"/>
              <w:bottom w:val="single" w:color="auto" w:sz="4" w:space="0"/>
              <w:right w:val="single" w:color="auto" w:sz="4" w:space="0"/>
            </w:tcBorders>
            <w:vAlign w:val="center"/>
          </w:tcPr>
          <w:p w14:paraId="2FE77895">
            <w:pPr>
              <w:spacing w:line="240" w:lineRule="auto"/>
              <w:ind w:firstLine="0" w:firstLineChars="0"/>
              <w:jc w:val="center"/>
              <w:rPr>
                <w:rFonts w:cs="Times New Roman"/>
                <w:szCs w:val="21"/>
              </w:rPr>
            </w:pPr>
            <w:r>
              <w:rPr>
                <w:rFonts w:cs="Times New Roman"/>
                <w:sz w:val="21"/>
                <w:szCs w:val="21"/>
                <w:lang w:bidi="ar"/>
              </w:rPr>
              <w:t>3.84</w:t>
            </w:r>
          </w:p>
        </w:tc>
        <w:tc>
          <w:tcPr>
            <w:tcW w:w="588" w:type="pct"/>
            <w:tcBorders>
              <w:top w:val="single" w:color="auto" w:sz="4" w:space="0"/>
              <w:left w:val="single" w:color="auto" w:sz="4" w:space="0"/>
              <w:bottom w:val="single" w:color="auto" w:sz="4" w:space="0"/>
              <w:right w:val="single" w:color="auto" w:sz="4" w:space="0"/>
            </w:tcBorders>
            <w:vAlign w:val="center"/>
          </w:tcPr>
          <w:p w14:paraId="5E09AFF0">
            <w:pPr>
              <w:spacing w:line="240" w:lineRule="auto"/>
              <w:ind w:firstLine="0" w:firstLineChars="0"/>
              <w:jc w:val="center"/>
              <w:rPr>
                <w:rFonts w:cs="Times New Roman"/>
                <w:szCs w:val="21"/>
              </w:rPr>
            </w:pPr>
            <w:r>
              <w:rPr>
                <w:rFonts w:cs="Times New Roman"/>
                <w:sz w:val="21"/>
                <w:szCs w:val="21"/>
                <w:lang w:bidi="ar"/>
              </w:rPr>
              <w:t>1.75</w:t>
            </w:r>
          </w:p>
        </w:tc>
      </w:tr>
      <w:tr w14:paraId="59F3B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49D378BD">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50CBBDD4">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333E5FAF">
            <w:pPr>
              <w:spacing w:line="240" w:lineRule="auto"/>
              <w:ind w:firstLine="0" w:firstLineChars="0"/>
              <w:jc w:val="center"/>
              <w:rPr>
                <w:rFonts w:cs="Times New Roman"/>
                <w:szCs w:val="21"/>
              </w:rPr>
            </w:pPr>
            <w:r>
              <w:rPr>
                <w:rFonts w:cs="Times New Roman"/>
                <w:sz w:val="21"/>
                <w:szCs w:val="21"/>
                <w:lang w:bidi="ar"/>
              </w:rPr>
              <w:t>14</w:t>
            </w:r>
          </w:p>
        </w:tc>
        <w:tc>
          <w:tcPr>
            <w:tcW w:w="588" w:type="pct"/>
            <w:tcBorders>
              <w:top w:val="single" w:color="auto" w:sz="4" w:space="0"/>
              <w:left w:val="single" w:color="auto" w:sz="4" w:space="0"/>
              <w:bottom w:val="single" w:color="auto" w:sz="4" w:space="0"/>
              <w:right w:val="single" w:color="auto" w:sz="4" w:space="0"/>
            </w:tcBorders>
            <w:vAlign w:val="center"/>
          </w:tcPr>
          <w:p w14:paraId="7AE9851A">
            <w:pPr>
              <w:spacing w:line="240" w:lineRule="auto"/>
              <w:ind w:firstLine="0" w:firstLineChars="0"/>
              <w:jc w:val="center"/>
              <w:rPr>
                <w:rFonts w:cs="Times New Roman"/>
                <w:szCs w:val="21"/>
              </w:rPr>
            </w:pPr>
            <w:r>
              <w:rPr>
                <w:rFonts w:cs="Times New Roman"/>
                <w:sz w:val="21"/>
                <w:szCs w:val="21"/>
                <w:lang w:bidi="ar"/>
              </w:rPr>
              <w:t>2.00</w:t>
            </w:r>
          </w:p>
        </w:tc>
        <w:tc>
          <w:tcPr>
            <w:tcW w:w="588" w:type="pct"/>
            <w:tcBorders>
              <w:top w:val="single" w:color="auto" w:sz="4" w:space="0"/>
              <w:left w:val="single" w:color="auto" w:sz="4" w:space="0"/>
              <w:bottom w:val="single" w:color="auto" w:sz="4" w:space="0"/>
              <w:right w:val="single" w:color="auto" w:sz="4" w:space="0"/>
            </w:tcBorders>
            <w:vAlign w:val="center"/>
          </w:tcPr>
          <w:p w14:paraId="6BA4300D">
            <w:pPr>
              <w:spacing w:line="240" w:lineRule="auto"/>
              <w:ind w:firstLine="0" w:firstLineChars="0"/>
              <w:jc w:val="center"/>
              <w:rPr>
                <w:rFonts w:cs="Times New Roman"/>
                <w:szCs w:val="21"/>
              </w:rPr>
            </w:pPr>
            <w:r>
              <w:rPr>
                <w:rFonts w:cs="Times New Roman"/>
                <w:sz w:val="21"/>
                <w:szCs w:val="21"/>
                <w:lang w:bidi="ar"/>
              </w:rPr>
              <w:t>0.94</w:t>
            </w:r>
          </w:p>
        </w:tc>
        <w:tc>
          <w:tcPr>
            <w:tcW w:w="588" w:type="pct"/>
            <w:tcBorders>
              <w:top w:val="single" w:color="auto" w:sz="4" w:space="0"/>
              <w:left w:val="single" w:color="auto" w:sz="4" w:space="0"/>
              <w:bottom w:val="single" w:color="auto" w:sz="4" w:space="0"/>
              <w:right w:val="single" w:color="auto" w:sz="4" w:space="0"/>
            </w:tcBorders>
            <w:vAlign w:val="center"/>
          </w:tcPr>
          <w:p w14:paraId="14D45B6F">
            <w:pPr>
              <w:spacing w:line="240" w:lineRule="auto"/>
              <w:ind w:firstLine="0" w:firstLineChars="0"/>
              <w:jc w:val="center"/>
              <w:rPr>
                <w:rFonts w:cs="Times New Roman"/>
                <w:szCs w:val="21"/>
              </w:rPr>
            </w:pPr>
            <w:r>
              <w:rPr>
                <w:rFonts w:cs="Times New Roman"/>
                <w:sz w:val="21"/>
                <w:szCs w:val="21"/>
                <w:lang w:bidi="ar"/>
              </w:rPr>
              <w:t>3.05</w:t>
            </w:r>
          </w:p>
        </w:tc>
        <w:tc>
          <w:tcPr>
            <w:tcW w:w="588" w:type="pct"/>
            <w:tcBorders>
              <w:top w:val="single" w:color="auto" w:sz="4" w:space="0"/>
              <w:left w:val="single" w:color="auto" w:sz="4" w:space="0"/>
              <w:bottom w:val="single" w:color="auto" w:sz="4" w:space="0"/>
              <w:right w:val="single" w:color="auto" w:sz="4" w:space="0"/>
            </w:tcBorders>
            <w:vAlign w:val="center"/>
          </w:tcPr>
          <w:p w14:paraId="31C47CC7">
            <w:pPr>
              <w:spacing w:line="240" w:lineRule="auto"/>
              <w:ind w:firstLine="0" w:firstLineChars="0"/>
              <w:jc w:val="center"/>
              <w:rPr>
                <w:rFonts w:cs="Times New Roman"/>
                <w:szCs w:val="21"/>
              </w:rPr>
            </w:pPr>
            <w:r>
              <w:rPr>
                <w:rFonts w:cs="Times New Roman"/>
                <w:sz w:val="21"/>
                <w:szCs w:val="21"/>
                <w:lang w:bidi="ar"/>
              </w:rPr>
              <w:t>1.15</w:t>
            </w:r>
          </w:p>
        </w:tc>
      </w:tr>
      <w:tr w14:paraId="7D2BD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756A67D7">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0E1E9C7E">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47664B24">
            <w:pPr>
              <w:spacing w:line="240" w:lineRule="auto"/>
              <w:ind w:firstLine="0" w:firstLineChars="0"/>
              <w:jc w:val="center"/>
              <w:rPr>
                <w:rFonts w:cs="Times New Roman"/>
                <w:szCs w:val="21"/>
              </w:rPr>
            </w:pPr>
            <w:r>
              <w:rPr>
                <w:rFonts w:cs="Times New Roman"/>
                <w:sz w:val="21"/>
                <w:szCs w:val="21"/>
                <w:lang w:bidi="ar"/>
              </w:rPr>
              <w:t>16</w:t>
            </w:r>
          </w:p>
        </w:tc>
        <w:tc>
          <w:tcPr>
            <w:tcW w:w="588" w:type="pct"/>
            <w:tcBorders>
              <w:top w:val="single" w:color="auto" w:sz="4" w:space="0"/>
              <w:left w:val="single" w:color="auto" w:sz="4" w:space="0"/>
              <w:bottom w:val="single" w:color="auto" w:sz="4" w:space="0"/>
              <w:right w:val="single" w:color="auto" w:sz="4" w:space="0"/>
            </w:tcBorders>
            <w:vAlign w:val="center"/>
          </w:tcPr>
          <w:p w14:paraId="3A5D74DA">
            <w:pPr>
              <w:spacing w:line="240" w:lineRule="auto"/>
              <w:ind w:firstLine="0" w:firstLineChars="0"/>
              <w:jc w:val="center"/>
              <w:rPr>
                <w:rFonts w:cs="Times New Roman"/>
                <w:szCs w:val="21"/>
              </w:rPr>
            </w:pPr>
            <w:r>
              <w:rPr>
                <w:rFonts w:cs="Times New Roman"/>
                <w:sz w:val="21"/>
                <w:szCs w:val="21"/>
                <w:lang w:bidi="ar"/>
              </w:rPr>
              <w:t>2.14</w:t>
            </w:r>
          </w:p>
        </w:tc>
        <w:tc>
          <w:tcPr>
            <w:tcW w:w="588" w:type="pct"/>
            <w:tcBorders>
              <w:top w:val="single" w:color="auto" w:sz="4" w:space="0"/>
              <w:left w:val="single" w:color="auto" w:sz="4" w:space="0"/>
              <w:bottom w:val="single" w:color="auto" w:sz="4" w:space="0"/>
              <w:right w:val="single" w:color="auto" w:sz="4" w:space="0"/>
            </w:tcBorders>
            <w:vAlign w:val="center"/>
          </w:tcPr>
          <w:p w14:paraId="2E58A1B1">
            <w:pPr>
              <w:spacing w:line="240" w:lineRule="auto"/>
              <w:ind w:firstLine="0" w:firstLineChars="0"/>
              <w:jc w:val="center"/>
              <w:rPr>
                <w:rFonts w:cs="Times New Roman"/>
                <w:szCs w:val="21"/>
              </w:rPr>
            </w:pPr>
            <w:r>
              <w:rPr>
                <w:rFonts w:cs="Times New Roman"/>
                <w:sz w:val="21"/>
                <w:szCs w:val="21"/>
                <w:lang w:bidi="ar"/>
              </w:rPr>
              <w:t>0.96</w:t>
            </w:r>
          </w:p>
        </w:tc>
        <w:tc>
          <w:tcPr>
            <w:tcW w:w="588" w:type="pct"/>
            <w:tcBorders>
              <w:top w:val="single" w:color="auto" w:sz="4" w:space="0"/>
              <w:left w:val="single" w:color="auto" w:sz="4" w:space="0"/>
              <w:bottom w:val="single" w:color="auto" w:sz="4" w:space="0"/>
              <w:right w:val="single" w:color="auto" w:sz="4" w:space="0"/>
            </w:tcBorders>
            <w:vAlign w:val="center"/>
          </w:tcPr>
          <w:p w14:paraId="193FDC9E">
            <w:pPr>
              <w:spacing w:line="240" w:lineRule="auto"/>
              <w:ind w:firstLine="0" w:firstLineChars="0"/>
              <w:jc w:val="center"/>
              <w:rPr>
                <w:rFonts w:cs="Times New Roman"/>
                <w:szCs w:val="21"/>
              </w:rPr>
            </w:pPr>
            <w:r>
              <w:rPr>
                <w:rFonts w:cs="Times New Roman"/>
                <w:sz w:val="21"/>
                <w:szCs w:val="21"/>
                <w:lang w:bidi="ar"/>
              </w:rPr>
              <w:t>3.33</w:t>
            </w:r>
          </w:p>
        </w:tc>
        <w:tc>
          <w:tcPr>
            <w:tcW w:w="588" w:type="pct"/>
            <w:tcBorders>
              <w:top w:val="single" w:color="auto" w:sz="4" w:space="0"/>
              <w:left w:val="single" w:color="auto" w:sz="4" w:space="0"/>
              <w:bottom w:val="single" w:color="auto" w:sz="4" w:space="0"/>
              <w:right w:val="single" w:color="auto" w:sz="4" w:space="0"/>
            </w:tcBorders>
            <w:vAlign w:val="center"/>
          </w:tcPr>
          <w:p w14:paraId="41FF60A8">
            <w:pPr>
              <w:spacing w:line="240" w:lineRule="auto"/>
              <w:ind w:firstLine="0" w:firstLineChars="0"/>
              <w:jc w:val="center"/>
              <w:rPr>
                <w:rFonts w:cs="Times New Roman"/>
                <w:szCs w:val="21"/>
              </w:rPr>
            </w:pPr>
            <w:r>
              <w:rPr>
                <w:rFonts w:cs="Times New Roman"/>
                <w:sz w:val="21"/>
                <w:szCs w:val="21"/>
                <w:lang w:bidi="ar"/>
              </w:rPr>
              <w:t>1.20</w:t>
            </w:r>
          </w:p>
        </w:tc>
      </w:tr>
      <w:tr w14:paraId="48CE5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16C67BE3">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578B7194">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1B912ADC">
            <w:pPr>
              <w:spacing w:line="240" w:lineRule="auto"/>
              <w:ind w:firstLine="0" w:firstLineChars="0"/>
              <w:jc w:val="center"/>
              <w:rPr>
                <w:rFonts w:cs="Times New Roman"/>
                <w:szCs w:val="21"/>
              </w:rPr>
            </w:pPr>
            <w:r>
              <w:rPr>
                <w:rFonts w:cs="Times New Roman"/>
                <w:sz w:val="21"/>
                <w:szCs w:val="21"/>
                <w:lang w:bidi="ar"/>
              </w:rPr>
              <w:t>39</w:t>
            </w:r>
          </w:p>
        </w:tc>
        <w:tc>
          <w:tcPr>
            <w:tcW w:w="588" w:type="pct"/>
            <w:tcBorders>
              <w:top w:val="single" w:color="auto" w:sz="4" w:space="0"/>
              <w:left w:val="single" w:color="auto" w:sz="4" w:space="0"/>
              <w:bottom w:val="single" w:color="auto" w:sz="4" w:space="0"/>
              <w:right w:val="single" w:color="auto" w:sz="4" w:space="0"/>
            </w:tcBorders>
            <w:vAlign w:val="center"/>
          </w:tcPr>
          <w:p w14:paraId="2B260992">
            <w:pPr>
              <w:spacing w:line="240" w:lineRule="auto"/>
              <w:ind w:firstLine="0" w:firstLineChars="0"/>
              <w:jc w:val="center"/>
              <w:rPr>
                <w:rFonts w:cs="Times New Roman"/>
                <w:szCs w:val="21"/>
              </w:rPr>
            </w:pPr>
            <w:r>
              <w:rPr>
                <w:rFonts w:cs="Times New Roman"/>
                <w:sz w:val="21"/>
                <w:szCs w:val="21"/>
                <w:lang w:bidi="ar"/>
              </w:rPr>
              <w:t>5.01</w:t>
            </w:r>
          </w:p>
        </w:tc>
        <w:tc>
          <w:tcPr>
            <w:tcW w:w="588" w:type="pct"/>
            <w:tcBorders>
              <w:top w:val="single" w:color="auto" w:sz="4" w:space="0"/>
              <w:left w:val="single" w:color="auto" w:sz="4" w:space="0"/>
              <w:bottom w:val="single" w:color="auto" w:sz="4" w:space="0"/>
              <w:right w:val="single" w:color="auto" w:sz="4" w:space="0"/>
            </w:tcBorders>
            <w:vAlign w:val="center"/>
          </w:tcPr>
          <w:p w14:paraId="6D4A0319">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4B65C6D9">
            <w:pPr>
              <w:spacing w:line="240" w:lineRule="auto"/>
              <w:ind w:firstLine="0" w:firstLineChars="0"/>
              <w:jc w:val="center"/>
              <w:rPr>
                <w:rFonts w:cs="Times New Roman"/>
                <w:szCs w:val="21"/>
              </w:rPr>
            </w:pPr>
            <w:r>
              <w:rPr>
                <w:rFonts w:cs="Times New Roman"/>
                <w:sz w:val="21"/>
                <w:szCs w:val="21"/>
                <w:lang w:bidi="ar"/>
              </w:rPr>
              <w:t>4.18</w:t>
            </w:r>
          </w:p>
        </w:tc>
        <w:tc>
          <w:tcPr>
            <w:tcW w:w="588" w:type="pct"/>
            <w:tcBorders>
              <w:top w:val="single" w:color="auto" w:sz="4" w:space="0"/>
              <w:left w:val="single" w:color="auto" w:sz="4" w:space="0"/>
              <w:bottom w:val="single" w:color="auto" w:sz="4" w:space="0"/>
              <w:right w:val="single" w:color="auto" w:sz="4" w:space="0"/>
            </w:tcBorders>
            <w:vAlign w:val="center"/>
          </w:tcPr>
          <w:p w14:paraId="1A8A5AE9">
            <w:pPr>
              <w:spacing w:line="240" w:lineRule="auto"/>
              <w:ind w:firstLine="0" w:firstLineChars="0"/>
              <w:jc w:val="center"/>
              <w:rPr>
                <w:rFonts w:cs="Times New Roman"/>
                <w:szCs w:val="21"/>
              </w:rPr>
            </w:pPr>
            <w:r>
              <w:rPr>
                <w:rFonts w:cs="Times New Roman"/>
                <w:sz w:val="21"/>
                <w:szCs w:val="21"/>
                <w:lang w:bidi="ar"/>
              </w:rPr>
              <w:t>1.14</w:t>
            </w:r>
          </w:p>
        </w:tc>
      </w:tr>
      <w:tr w14:paraId="76B1A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2F9C5326">
            <w:pPr>
              <w:spacing w:line="240" w:lineRule="auto"/>
              <w:ind w:firstLine="0" w:firstLineChars="0"/>
              <w:jc w:val="center"/>
              <w:rPr>
                <w:rFonts w:cs="Times New Roman"/>
                <w:szCs w:val="21"/>
              </w:rPr>
            </w:pPr>
            <w:r>
              <w:rPr>
                <w:rFonts w:cs="Times New Roman"/>
                <w:sz w:val="21"/>
                <w:szCs w:val="21"/>
                <w:lang w:bidi="ar"/>
              </w:rPr>
              <w:t>E7</w:t>
            </w:r>
          </w:p>
        </w:tc>
        <w:tc>
          <w:tcPr>
            <w:tcW w:w="1109" w:type="pct"/>
            <w:tcBorders>
              <w:top w:val="single" w:color="auto" w:sz="4" w:space="0"/>
              <w:left w:val="single" w:color="auto" w:sz="4" w:space="0"/>
              <w:bottom w:val="single" w:color="auto" w:sz="4" w:space="0"/>
              <w:right w:val="single" w:color="auto" w:sz="4" w:space="0"/>
            </w:tcBorders>
            <w:vAlign w:val="center"/>
          </w:tcPr>
          <w:p w14:paraId="1B2EA17D">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66F5F33A">
            <w:pPr>
              <w:spacing w:line="240" w:lineRule="auto"/>
              <w:ind w:firstLine="0" w:firstLineChars="0"/>
              <w:jc w:val="center"/>
              <w:rPr>
                <w:rFonts w:cs="Times New Roman"/>
                <w:szCs w:val="21"/>
              </w:rPr>
            </w:pPr>
            <w:r>
              <w:rPr>
                <w:rFonts w:cs="Times New Roman"/>
                <w:sz w:val="21"/>
                <w:szCs w:val="21"/>
                <w:lang w:bidi="ar"/>
              </w:rPr>
              <w:t>16</w:t>
            </w:r>
          </w:p>
        </w:tc>
        <w:tc>
          <w:tcPr>
            <w:tcW w:w="588" w:type="pct"/>
            <w:tcBorders>
              <w:top w:val="single" w:color="auto" w:sz="4" w:space="0"/>
              <w:left w:val="single" w:color="auto" w:sz="4" w:space="0"/>
              <w:bottom w:val="single" w:color="auto" w:sz="4" w:space="0"/>
              <w:right w:val="single" w:color="auto" w:sz="4" w:space="0"/>
            </w:tcBorders>
            <w:vAlign w:val="center"/>
          </w:tcPr>
          <w:p w14:paraId="0480E877">
            <w:pPr>
              <w:spacing w:line="240" w:lineRule="auto"/>
              <w:ind w:firstLine="0" w:firstLineChars="0"/>
              <w:jc w:val="center"/>
              <w:rPr>
                <w:rFonts w:cs="Times New Roman"/>
                <w:szCs w:val="21"/>
              </w:rPr>
            </w:pPr>
            <w:r>
              <w:rPr>
                <w:rFonts w:cs="Times New Roman"/>
                <w:sz w:val="21"/>
                <w:szCs w:val="21"/>
                <w:lang w:bidi="ar"/>
              </w:rPr>
              <w:t>2.77</w:t>
            </w:r>
          </w:p>
        </w:tc>
        <w:tc>
          <w:tcPr>
            <w:tcW w:w="588" w:type="pct"/>
            <w:tcBorders>
              <w:top w:val="single" w:color="auto" w:sz="4" w:space="0"/>
              <w:left w:val="single" w:color="auto" w:sz="4" w:space="0"/>
              <w:bottom w:val="single" w:color="auto" w:sz="4" w:space="0"/>
              <w:right w:val="single" w:color="auto" w:sz="4" w:space="0"/>
            </w:tcBorders>
            <w:vAlign w:val="center"/>
          </w:tcPr>
          <w:p w14:paraId="6062E263">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4C93E2E8">
            <w:pPr>
              <w:spacing w:line="240" w:lineRule="auto"/>
              <w:ind w:firstLine="0" w:firstLineChars="0"/>
              <w:jc w:val="center"/>
              <w:rPr>
                <w:rFonts w:cs="Times New Roman"/>
                <w:szCs w:val="21"/>
              </w:rPr>
            </w:pPr>
            <w:r>
              <w:rPr>
                <w:rFonts w:cs="Times New Roman"/>
                <w:sz w:val="21"/>
                <w:szCs w:val="21"/>
                <w:lang w:bidi="ar"/>
              </w:rPr>
              <w:t>4.31</w:t>
            </w:r>
          </w:p>
        </w:tc>
        <w:tc>
          <w:tcPr>
            <w:tcW w:w="588" w:type="pct"/>
            <w:tcBorders>
              <w:top w:val="single" w:color="auto" w:sz="4" w:space="0"/>
              <w:left w:val="single" w:color="auto" w:sz="4" w:space="0"/>
              <w:bottom w:val="single" w:color="auto" w:sz="4" w:space="0"/>
              <w:right w:val="single" w:color="auto" w:sz="4" w:space="0"/>
            </w:tcBorders>
            <w:vAlign w:val="center"/>
          </w:tcPr>
          <w:p w14:paraId="6074AA2F">
            <w:pPr>
              <w:spacing w:line="240" w:lineRule="auto"/>
              <w:ind w:firstLine="0" w:firstLineChars="0"/>
              <w:jc w:val="center"/>
              <w:rPr>
                <w:rFonts w:cs="Times New Roman"/>
                <w:szCs w:val="21"/>
              </w:rPr>
            </w:pPr>
            <w:r>
              <w:rPr>
                <w:rFonts w:cs="Times New Roman"/>
                <w:sz w:val="21"/>
                <w:szCs w:val="21"/>
                <w:lang w:bidi="ar"/>
              </w:rPr>
              <w:t>1.56</w:t>
            </w:r>
          </w:p>
        </w:tc>
      </w:tr>
      <w:tr w14:paraId="1E353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1860108E">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3867C691">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00397E40">
            <w:pPr>
              <w:spacing w:line="240" w:lineRule="auto"/>
              <w:ind w:firstLine="0" w:firstLineChars="0"/>
              <w:jc w:val="center"/>
              <w:rPr>
                <w:rFonts w:cs="Times New Roman"/>
                <w:szCs w:val="21"/>
              </w:rPr>
            </w:pPr>
            <w:r>
              <w:rPr>
                <w:rFonts w:cs="Times New Roman"/>
                <w:sz w:val="21"/>
                <w:szCs w:val="21"/>
                <w:lang w:bidi="ar"/>
              </w:rPr>
              <w:t>10</w:t>
            </w:r>
          </w:p>
        </w:tc>
        <w:tc>
          <w:tcPr>
            <w:tcW w:w="588" w:type="pct"/>
            <w:tcBorders>
              <w:top w:val="single" w:color="auto" w:sz="4" w:space="0"/>
              <w:left w:val="single" w:color="auto" w:sz="4" w:space="0"/>
              <w:bottom w:val="single" w:color="auto" w:sz="4" w:space="0"/>
              <w:right w:val="single" w:color="auto" w:sz="4" w:space="0"/>
            </w:tcBorders>
            <w:vAlign w:val="center"/>
          </w:tcPr>
          <w:p w14:paraId="38ACFAFF">
            <w:pPr>
              <w:spacing w:line="240" w:lineRule="auto"/>
              <w:ind w:firstLine="0" w:firstLineChars="0"/>
              <w:jc w:val="center"/>
              <w:rPr>
                <w:rFonts w:cs="Times New Roman"/>
                <w:szCs w:val="21"/>
              </w:rPr>
            </w:pPr>
            <w:r>
              <w:rPr>
                <w:rFonts w:cs="Times New Roman"/>
                <w:sz w:val="21"/>
                <w:szCs w:val="21"/>
                <w:lang w:bidi="ar"/>
              </w:rPr>
              <w:t>1.57</w:t>
            </w:r>
          </w:p>
        </w:tc>
        <w:tc>
          <w:tcPr>
            <w:tcW w:w="588" w:type="pct"/>
            <w:tcBorders>
              <w:top w:val="single" w:color="auto" w:sz="4" w:space="0"/>
              <w:left w:val="single" w:color="auto" w:sz="4" w:space="0"/>
              <w:bottom w:val="single" w:color="auto" w:sz="4" w:space="0"/>
              <w:right w:val="single" w:color="auto" w:sz="4" w:space="0"/>
            </w:tcBorders>
            <w:vAlign w:val="center"/>
          </w:tcPr>
          <w:p w14:paraId="5F25E6BF">
            <w:pPr>
              <w:spacing w:line="240" w:lineRule="auto"/>
              <w:ind w:firstLine="0" w:firstLineChars="0"/>
              <w:jc w:val="center"/>
              <w:rPr>
                <w:rFonts w:cs="Times New Roman"/>
                <w:szCs w:val="21"/>
              </w:rPr>
            </w:pPr>
            <w:r>
              <w:rPr>
                <w:rFonts w:cs="Times New Roman"/>
                <w:sz w:val="21"/>
                <w:szCs w:val="21"/>
                <w:lang w:bidi="ar"/>
              </w:rPr>
              <w:t>0.91</w:t>
            </w:r>
          </w:p>
        </w:tc>
        <w:tc>
          <w:tcPr>
            <w:tcW w:w="588" w:type="pct"/>
            <w:tcBorders>
              <w:top w:val="single" w:color="auto" w:sz="4" w:space="0"/>
              <w:left w:val="single" w:color="auto" w:sz="4" w:space="0"/>
              <w:bottom w:val="single" w:color="auto" w:sz="4" w:space="0"/>
              <w:right w:val="single" w:color="auto" w:sz="4" w:space="0"/>
            </w:tcBorders>
            <w:vAlign w:val="center"/>
          </w:tcPr>
          <w:p w14:paraId="4C121B02">
            <w:pPr>
              <w:spacing w:line="240" w:lineRule="auto"/>
              <w:ind w:firstLine="0" w:firstLineChars="0"/>
              <w:jc w:val="center"/>
              <w:rPr>
                <w:rFonts w:cs="Times New Roman"/>
                <w:szCs w:val="21"/>
              </w:rPr>
            </w:pPr>
            <w:r>
              <w:rPr>
                <w:rFonts w:cs="Times New Roman"/>
                <w:sz w:val="21"/>
                <w:szCs w:val="21"/>
                <w:lang w:bidi="ar"/>
              </w:rPr>
              <w:t>2.81</w:t>
            </w:r>
          </w:p>
        </w:tc>
        <w:tc>
          <w:tcPr>
            <w:tcW w:w="588" w:type="pct"/>
            <w:tcBorders>
              <w:top w:val="single" w:color="auto" w:sz="4" w:space="0"/>
              <w:left w:val="single" w:color="auto" w:sz="4" w:space="0"/>
              <w:bottom w:val="single" w:color="auto" w:sz="4" w:space="0"/>
              <w:right w:val="single" w:color="auto" w:sz="4" w:space="0"/>
            </w:tcBorders>
            <w:vAlign w:val="center"/>
          </w:tcPr>
          <w:p w14:paraId="6DA2EB99">
            <w:pPr>
              <w:spacing w:line="240" w:lineRule="auto"/>
              <w:ind w:firstLine="0" w:firstLineChars="0"/>
              <w:jc w:val="center"/>
              <w:rPr>
                <w:rFonts w:cs="Times New Roman"/>
                <w:szCs w:val="21"/>
              </w:rPr>
            </w:pPr>
            <w:r>
              <w:rPr>
                <w:rFonts w:cs="Times New Roman"/>
                <w:sz w:val="21"/>
                <w:szCs w:val="21"/>
                <w:lang w:bidi="ar"/>
              </w:rPr>
              <w:t>1.22</w:t>
            </w:r>
          </w:p>
        </w:tc>
      </w:tr>
      <w:tr w14:paraId="2557C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7BAD6556">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46158456">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4282A6E4">
            <w:pPr>
              <w:spacing w:line="240" w:lineRule="auto"/>
              <w:ind w:firstLine="0" w:firstLineChars="0"/>
              <w:jc w:val="center"/>
              <w:rPr>
                <w:rFonts w:cs="Times New Roman"/>
                <w:szCs w:val="21"/>
              </w:rPr>
            </w:pPr>
            <w:r>
              <w:rPr>
                <w:rFonts w:cs="Times New Roman"/>
                <w:sz w:val="21"/>
                <w:szCs w:val="21"/>
                <w:lang w:bidi="ar"/>
              </w:rPr>
              <w:t>20</w:t>
            </w:r>
          </w:p>
        </w:tc>
        <w:tc>
          <w:tcPr>
            <w:tcW w:w="588" w:type="pct"/>
            <w:tcBorders>
              <w:top w:val="single" w:color="auto" w:sz="4" w:space="0"/>
              <w:left w:val="single" w:color="auto" w:sz="4" w:space="0"/>
              <w:bottom w:val="single" w:color="auto" w:sz="4" w:space="0"/>
              <w:right w:val="single" w:color="auto" w:sz="4" w:space="0"/>
            </w:tcBorders>
            <w:vAlign w:val="center"/>
          </w:tcPr>
          <w:p w14:paraId="294955E4">
            <w:pPr>
              <w:spacing w:line="240" w:lineRule="auto"/>
              <w:ind w:firstLine="0" w:firstLineChars="0"/>
              <w:jc w:val="center"/>
              <w:rPr>
                <w:rFonts w:cs="Times New Roman"/>
                <w:szCs w:val="21"/>
              </w:rPr>
            </w:pPr>
            <w:r>
              <w:rPr>
                <w:rFonts w:cs="Times New Roman"/>
                <w:sz w:val="21"/>
                <w:szCs w:val="21"/>
                <w:lang w:bidi="ar"/>
              </w:rPr>
              <w:t>2.60</w:t>
            </w:r>
          </w:p>
        </w:tc>
        <w:tc>
          <w:tcPr>
            <w:tcW w:w="588" w:type="pct"/>
            <w:tcBorders>
              <w:top w:val="single" w:color="auto" w:sz="4" w:space="0"/>
              <w:left w:val="single" w:color="auto" w:sz="4" w:space="0"/>
              <w:bottom w:val="single" w:color="auto" w:sz="4" w:space="0"/>
              <w:right w:val="single" w:color="auto" w:sz="4" w:space="0"/>
            </w:tcBorders>
            <w:vAlign w:val="center"/>
          </w:tcPr>
          <w:p w14:paraId="7D70D63A">
            <w:pPr>
              <w:spacing w:line="240" w:lineRule="auto"/>
              <w:ind w:firstLine="0" w:firstLineChars="0"/>
              <w:jc w:val="center"/>
              <w:rPr>
                <w:rFonts w:cs="Times New Roman"/>
                <w:szCs w:val="21"/>
              </w:rPr>
            </w:pPr>
            <w:r>
              <w:rPr>
                <w:rFonts w:cs="Times New Roman"/>
                <w:sz w:val="21"/>
                <w:szCs w:val="21"/>
                <w:lang w:bidi="ar"/>
              </w:rPr>
              <w:t>0.96</w:t>
            </w:r>
          </w:p>
        </w:tc>
        <w:tc>
          <w:tcPr>
            <w:tcW w:w="588" w:type="pct"/>
            <w:tcBorders>
              <w:top w:val="single" w:color="auto" w:sz="4" w:space="0"/>
              <w:left w:val="single" w:color="auto" w:sz="4" w:space="0"/>
              <w:bottom w:val="single" w:color="auto" w:sz="4" w:space="0"/>
              <w:right w:val="single" w:color="auto" w:sz="4" w:space="0"/>
            </w:tcBorders>
            <w:vAlign w:val="center"/>
          </w:tcPr>
          <w:p w14:paraId="6CD77D6F">
            <w:pPr>
              <w:spacing w:line="240" w:lineRule="auto"/>
              <w:ind w:firstLine="0" w:firstLineChars="0"/>
              <w:jc w:val="center"/>
              <w:rPr>
                <w:rFonts w:cs="Times New Roman"/>
                <w:szCs w:val="21"/>
              </w:rPr>
            </w:pPr>
            <w:r>
              <w:rPr>
                <w:rFonts w:cs="Times New Roman"/>
                <w:sz w:val="21"/>
                <w:szCs w:val="21"/>
                <w:lang w:bidi="ar"/>
              </w:rPr>
              <w:t>3.54</w:t>
            </w:r>
          </w:p>
        </w:tc>
        <w:tc>
          <w:tcPr>
            <w:tcW w:w="588" w:type="pct"/>
            <w:tcBorders>
              <w:top w:val="single" w:color="auto" w:sz="4" w:space="0"/>
              <w:left w:val="single" w:color="auto" w:sz="4" w:space="0"/>
              <w:bottom w:val="single" w:color="auto" w:sz="4" w:space="0"/>
              <w:right w:val="single" w:color="auto" w:sz="4" w:space="0"/>
            </w:tcBorders>
            <w:vAlign w:val="center"/>
          </w:tcPr>
          <w:p w14:paraId="21F3E9A9">
            <w:pPr>
              <w:spacing w:line="240" w:lineRule="auto"/>
              <w:ind w:firstLine="0" w:firstLineChars="0"/>
              <w:jc w:val="center"/>
              <w:rPr>
                <w:rFonts w:cs="Times New Roman"/>
                <w:szCs w:val="21"/>
              </w:rPr>
            </w:pPr>
            <w:r>
              <w:rPr>
                <w:rFonts w:cs="Times New Roman"/>
                <w:sz w:val="21"/>
                <w:szCs w:val="21"/>
                <w:lang w:bidi="ar"/>
              </w:rPr>
              <w:t>1.18</w:t>
            </w:r>
          </w:p>
        </w:tc>
      </w:tr>
      <w:tr w14:paraId="2474F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335D2E29">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18C0BB7B">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34E51655">
            <w:pPr>
              <w:spacing w:line="240" w:lineRule="auto"/>
              <w:ind w:firstLine="0" w:firstLineChars="0"/>
              <w:jc w:val="center"/>
              <w:rPr>
                <w:rFonts w:cs="Times New Roman"/>
                <w:szCs w:val="21"/>
              </w:rPr>
            </w:pPr>
            <w:r>
              <w:rPr>
                <w:rFonts w:cs="Times New Roman"/>
                <w:sz w:val="21"/>
                <w:szCs w:val="21"/>
                <w:lang w:bidi="ar"/>
              </w:rPr>
              <w:t>46</w:t>
            </w:r>
          </w:p>
        </w:tc>
        <w:tc>
          <w:tcPr>
            <w:tcW w:w="588" w:type="pct"/>
            <w:tcBorders>
              <w:top w:val="single" w:color="auto" w:sz="4" w:space="0"/>
              <w:left w:val="single" w:color="auto" w:sz="4" w:space="0"/>
              <w:bottom w:val="single" w:color="auto" w:sz="4" w:space="0"/>
              <w:right w:val="single" w:color="auto" w:sz="4" w:space="0"/>
            </w:tcBorders>
            <w:vAlign w:val="center"/>
          </w:tcPr>
          <w:p w14:paraId="53967AA4">
            <w:pPr>
              <w:spacing w:line="240" w:lineRule="auto"/>
              <w:ind w:firstLine="0" w:firstLineChars="0"/>
              <w:jc w:val="center"/>
              <w:rPr>
                <w:rFonts w:cs="Times New Roman"/>
                <w:szCs w:val="21"/>
              </w:rPr>
            </w:pPr>
            <w:r>
              <w:rPr>
                <w:rFonts w:cs="Times New Roman"/>
                <w:sz w:val="21"/>
                <w:szCs w:val="21"/>
                <w:lang w:bidi="ar"/>
              </w:rPr>
              <w:t>5.91</w:t>
            </w:r>
          </w:p>
        </w:tc>
        <w:tc>
          <w:tcPr>
            <w:tcW w:w="588" w:type="pct"/>
            <w:tcBorders>
              <w:top w:val="single" w:color="auto" w:sz="4" w:space="0"/>
              <w:left w:val="single" w:color="auto" w:sz="4" w:space="0"/>
              <w:bottom w:val="single" w:color="auto" w:sz="4" w:space="0"/>
              <w:right w:val="single" w:color="auto" w:sz="4" w:space="0"/>
            </w:tcBorders>
            <w:vAlign w:val="center"/>
          </w:tcPr>
          <w:p w14:paraId="4EEBD585">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486B3764">
            <w:pPr>
              <w:spacing w:line="240" w:lineRule="auto"/>
              <w:ind w:firstLine="0" w:firstLineChars="0"/>
              <w:jc w:val="center"/>
              <w:rPr>
                <w:rFonts w:cs="Times New Roman"/>
                <w:szCs w:val="21"/>
              </w:rPr>
            </w:pPr>
            <w:r>
              <w:rPr>
                <w:rFonts w:cs="Times New Roman"/>
                <w:sz w:val="21"/>
                <w:szCs w:val="21"/>
                <w:lang w:bidi="ar"/>
              </w:rPr>
              <w:t>4.27</w:t>
            </w:r>
          </w:p>
        </w:tc>
        <w:tc>
          <w:tcPr>
            <w:tcW w:w="588" w:type="pct"/>
            <w:tcBorders>
              <w:top w:val="single" w:color="auto" w:sz="4" w:space="0"/>
              <w:left w:val="single" w:color="auto" w:sz="4" w:space="0"/>
              <w:bottom w:val="single" w:color="auto" w:sz="4" w:space="0"/>
              <w:right w:val="single" w:color="auto" w:sz="4" w:space="0"/>
            </w:tcBorders>
            <w:vAlign w:val="center"/>
          </w:tcPr>
          <w:p w14:paraId="5438DCA1">
            <w:pPr>
              <w:spacing w:line="240" w:lineRule="auto"/>
              <w:ind w:firstLine="0" w:firstLineChars="0"/>
              <w:jc w:val="center"/>
              <w:rPr>
                <w:rFonts w:cs="Times New Roman"/>
                <w:szCs w:val="21"/>
              </w:rPr>
            </w:pPr>
            <w:r>
              <w:rPr>
                <w:rFonts w:cs="Times New Roman"/>
                <w:sz w:val="21"/>
                <w:szCs w:val="21"/>
                <w:lang w:bidi="ar"/>
              </w:rPr>
              <w:t>1.11</w:t>
            </w:r>
          </w:p>
        </w:tc>
      </w:tr>
      <w:tr w14:paraId="5A16E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3707CFE8">
            <w:pPr>
              <w:spacing w:line="240" w:lineRule="auto"/>
              <w:ind w:firstLine="0" w:firstLineChars="0"/>
              <w:jc w:val="center"/>
              <w:rPr>
                <w:rFonts w:cs="Times New Roman"/>
                <w:szCs w:val="21"/>
              </w:rPr>
            </w:pPr>
            <w:r>
              <w:rPr>
                <w:rFonts w:cs="Times New Roman"/>
                <w:sz w:val="21"/>
                <w:szCs w:val="21"/>
                <w:lang w:bidi="ar"/>
              </w:rPr>
              <w:t>E8</w:t>
            </w:r>
          </w:p>
        </w:tc>
        <w:tc>
          <w:tcPr>
            <w:tcW w:w="1109" w:type="pct"/>
            <w:tcBorders>
              <w:top w:val="single" w:color="auto" w:sz="4" w:space="0"/>
              <w:left w:val="single" w:color="auto" w:sz="4" w:space="0"/>
              <w:bottom w:val="single" w:color="auto" w:sz="4" w:space="0"/>
              <w:right w:val="single" w:color="auto" w:sz="4" w:space="0"/>
            </w:tcBorders>
            <w:vAlign w:val="center"/>
          </w:tcPr>
          <w:p w14:paraId="41BFD877">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77E01742">
            <w:pPr>
              <w:spacing w:line="240" w:lineRule="auto"/>
              <w:ind w:firstLine="0" w:firstLineChars="0"/>
              <w:jc w:val="center"/>
              <w:rPr>
                <w:rFonts w:cs="Times New Roman"/>
                <w:szCs w:val="21"/>
              </w:rPr>
            </w:pPr>
            <w:r>
              <w:rPr>
                <w:rFonts w:cs="Times New Roman"/>
                <w:sz w:val="21"/>
                <w:szCs w:val="21"/>
                <w:lang w:bidi="ar"/>
              </w:rPr>
              <w:t>12</w:t>
            </w:r>
          </w:p>
        </w:tc>
        <w:tc>
          <w:tcPr>
            <w:tcW w:w="588" w:type="pct"/>
            <w:tcBorders>
              <w:top w:val="single" w:color="auto" w:sz="4" w:space="0"/>
              <w:left w:val="single" w:color="auto" w:sz="4" w:space="0"/>
              <w:bottom w:val="single" w:color="auto" w:sz="4" w:space="0"/>
              <w:right w:val="single" w:color="auto" w:sz="4" w:space="0"/>
            </w:tcBorders>
            <w:vAlign w:val="center"/>
          </w:tcPr>
          <w:p w14:paraId="6AE92A7F">
            <w:pPr>
              <w:spacing w:line="240" w:lineRule="auto"/>
              <w:ind w:firstLine="0" w:firstLineChars="0"/>
              <w:jc w:val="center"/>
              <w:rPr>
                <w:rFonts w:cs="Times New Roman"/>
                <w:szCs w:val="21"/>
              </w:rPr>
            </w:pPr>
            <w:r>
              <w:rPr>
                <w:rFonts w:cs="Times New Roman"/>
                <w:sz w:val="21"/>
                <w:szCs w:val="21"/>
                <w:lang w:bidi="ar"/>
              </w:rPr>
              <w:t>2.08</w:t>
            </w:r>
          </w:p>
        </w:tc>
        <w:tc>
          <w:tcPr>
            <w:tcW w:w="588" w:type="pct"/>
            <w:tcBorders>
              <w:top w:val="single" w:color="auto" w:sz="4" w:space="0"/>
              <w:left w:val="single" w:color="auto" w:sz="4" w:space="0"/>
              <w:bottom w:val="single" w:color="auto" w:sz="4" w:space="0"/>
              <w:right w:val="single" w:color="auto" w:sz="4" w:space="0"/>
            </w:tcBorders>
            <w:vAlign w:val="center"/>
          </w:tcPr>
          <w:p w14:paraId="0E103D28">
            <w:pPr>
              <w:spacing w:line="240" w:lineRule="auto"/>
              <w:ind w:firstLine="0" w:firstLineChars="0"/>
              <w:jc w:val="center"/>
              <w:rPr>
                <w:rFonts w:cs="Times New Roman"/>
                <w:szCs w:val="21"/>
              </w:rPr>
            </w:pPr>
            <w:r>
              <w:rPr>
                <w:rFonts w:cs="Times New Roman"/>
                <w:sz w:val="21"/>
                <w:szCs w:val="21"/>
                <w:lang w:bidi="ar"/>
              </w:rPr>
              <w:t>0.99</w:t>
            </w:r>
          </w:p>
        </w:tc>
        <w:tc>
          <w:tcPr>
            <w:tcW w:w="588" w:type="pct"/>
            <w:tcBorders>
              <w:top w:val="single" w:color="auto" w:sz="4" w:space="0"/>
              <w:left w:val="single" w:color="auto" w:sz="4" w:space="0"/>
              <w:bottom w:val="single" w:color="auto" w:sz="4" w:space="0"/>
              <w:right w:val="single" w:color="auto" w:sz="4" w:space="0"/>
            </w:tcBorders>
            <w:vAlign w:val="center"/>
          </w:tcPr>
          <w:p w14:paraId="2006D41E">
            <w:pPr>
              <w:spacing w:line="240" w:lineRule="auto"/>
              <w:ind w:firstLine="0" w:firstLineChars="0"/>
              <w:jc w:val="center"/>
              <w:rPr>
                <w:rFonts w:cs="Times New Roman"/>
                <w:szCs w:val="21"/>
              </w:rPr>
            </w:pPr>
            <w:r>
              <w:rPr>
                <w:rFonts w:cs="Times New Roman"/>
                <w:sz w:val="21"/>
                <w:szCs w:val="21"/>
                <w:lang w:bidi="ar"/>
              </w:rPr>
              <w:t>5.29</w:t>
            </w:r>
          </w:p>
        </w:tc>
        <w:tc>
          <w:tcPr>
            <w:tcW w:w="588" w:type="pct"/>
            <w:tcBorders>
              <w:top w:val="single" w:color="auto" w:sz="4" w:space="0"/>
              <w:left w:val="single" w:color="auto" w:sz="4" w:space="0"/>
              <w:bottom w:val="single" w:color="auto" w:sz="4" w:space="0"/>
              <w:right w:val="single" w:color="auto" w:sz="4" w:space="0"/>
            </w:tcBorders>
            <w:vAlign w:val="center"/>
          </w:tcPr>
          <w:p w14:paraId="4104394C">
            <w:pPr>
              <w:spacing w:line="240" w:lineRule="auto"/>
              <w:ind w:firstLine="0" w:firstLineChars="0"/>
              <w:jc w:val="center"/>
              <w:rPr>
                <w:rFonts w:cs="Times New Roman"/>
                <w:szCs w:val="21"/>
              </w:rPr>
            </w:pPr>
            <w:r>
              <w:rPr>
                <w:rFonts w:cs="Times New Roman"/>
                <w:sz w:val="21"/>
                <w:szCs w:val="21"/>
                <w:lang w:bidi="ar"/>
              </w:rPr>
              <w:t>2.13</w:t>
            </w:r>
          </w:p>
        </w:tc>
      </w:tr>
      <w:tr w14:paraId="65848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3CA23FFC">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377D8362">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65262276">
            <w:pPr>
              <w:spacing w:line="240" w:lineRule="auto"/>
              <w:ind w:firstLine="0" w:firstLineChars="0"/>
              <w:jc w:val="center"/>
              <w:rPr>
                <w:rFonts w:cs="Times New Roman"/>
                <w:szCs w:val="21"/>
              </w:rPr>
            </w:pPr>
            <w:r>
              <w:rPr>
                <w:rFonts w:cs="Times New Roman"/>
                <w:sz w:val="21"/>
                <w:szCs w:val="21"/>
                <w:lang w:bidi="ar"/>
              </w:rPr>
              <w:t>13</w:t>
            </w:r>
          </w:p>
        </w:tc>
        <w:tc>
          <w:tcPr>
            <w:tcW w:w="588" w:type="pct"/>
            <w:tcBorders>
              <w:top w:val="single" w:color="auto" w:sz="4" w:space="0"/>
              <w:left w:val="single" w:color="auto" w:sz="4" w:space="0"/>
              <w:bottom w:val="single" w:color="auto" w:sz="4" w:space="0"/>
              <w:right w:val="single" w:color="auto" w:sz="4" w:space="0"/>
            </w:tcBorders>
            <w:vAlign w:val="center"/>
          </w:tcPr>
          <w:p w14:paraId="0304FD3C">
            <w:pPr>
              <w:spacing w:line="240" w:lineRule="auto"/>
              <w:ind w:firstLine="0" w:firstLineChars="0"/>
              <w:jc w:val="center"/>
              <w:rPr>
                <w:rFonts w:cs="Times New Roman"/>
                <w:szCs w:val="21"/>
              </w:rPr>
            </w:pPr>
            <w:r>
              <w:rPr>
                <w:rFonts w:cs="Times New Roman"/>
                <w:sz w:val="21"/>
                <w:szCs w:val="21"/>
                <w:lang w:bidi="ar"/>
              </w:rPr>
              <w:t>1.84</w:t>
            </w:r>
          </w:p>
        </w:tc>
        <w:tc>
          <w:tcPr>
            <w:tcW w:w="588" w:type="pct"/>
            <w:tcBorders>
              <w:top w:val="single" w:color="auto" w:sz="4" w:space="0"/>
              <w:left w:val="single" w:color="auto" w:sz="4" w:space="0"/>
              <w:bottom w:val="single" w:color="auto" w:sz="4" w:space="0"/>
              <w:right w:val="single" w:color="auto" w:sz="4" w:space="0"/>
            </w:tcBorders>
            <w:vAlign w:val="center"/>
          </w:tcPr>
          <w:p w14:paraId="71739DA4">
            <w:pPr>
              <w:spacing w:line="240" w:lineRule="auto"/>
              <w:ind w:firstLine="0" w:firstLineChars="0"/>
              <w:jc w:val="center"/>
              <w:rPr>
                <w:rFonts w:cs="Times New Roman"/>
                <w:szCs w:val="21"/>
              </w:rPr>
            </w:pPr>
            <w:r>
              <w:rPr>
                <w:rFonts w:cs="Times New Roman"/>
                <w:sz w:val="21"/>
                <w:szCs w:val="21"/>
                <w:lang w:bidi="ar"/>
              </w:rPr>
              <w:t>0.97</w:t>
            </w:r>
          </w:p>
        </w:tc>
        <w:tc>
          <w:tcPr>
            <w:tcW w:w="588" w:type="pct"/>
            <w:tcBorders>
              <w:top w:val="single" w:color="auto" w:sz="4" w:space="0"/>
              <w:left w:val="single" w:color="auto" w:sz="4" w:space="0"/>
              <w:bottom w:val="single" w:color="auto" w:sz="4" w:space="0"/>
              <w:right w:val="single" w:color="auto" w:sz="4" w:space="0"/>
            </w:tcBorders>
            <w:vAlign w:val="center"/>
          </w:tcPr>
          <w:p w14:paraId="7B739B48">
            <w:pPr>
              <w:spacing w:line="240" w:lineRule="auto"/>
              <w:ind w:firstLine="0" w:firstLineChars="0"/>
              <w:jc w:val="center"/>
              <w:rPr>
                <w:rFonts w:cs="Times New Roman"/>
                <w:szCs w:val="21"/>
              </w:rPr>
            </w:pPr>
            <w:r>
              <w:rPr>
                <w:rFonts w:cs="Times New Roman"/>
                <w:sz w:val="21"/>
                <w:szCs w:val="21"/>
                <w:lang w:bidi="ar"/>
              </w:rPr>
              <w:t>3.11</w:t>
            </w:r>
          </w:p>
        </w:tc>
        <w:tc>
          <w:tcPr>
            <w:tcW w:w="588" w:type="pct"/>
            <w:tcBorders>
              <w:top w:val="single" w:color="auto" w:sz="4" w:space="0"/>
              <w:left w:val="single" w:color="auto" w:sz="4" w:space="0"/>
              <w:bottom w:val="single" w:color="auto" w:sz="4" w:space="0"/>
              <w:right w:val="single" w:color="auto" w:sz="4" w:space="0"/>
            </w:tcBorders>
            <w:vAlign w:val="center"/>
          </w:tcPr>
          <w:p w14:paraId="1D190FEC">
            <w:pPr>
              <w:spacing w:line="240" w:lineRule="auto"/>
              <w:ind w:firstLine="0" w:firstLineChars="0"/>
              <w:jc w:val="center"/>
              <w:rPr>
                <w:rFonts w:cs="Times New Roman"/>
                <w:szCs w:val="21"/>
              </w:rPr>
            </w:pPr>
            <w:r>
              <w:rPr>
                <w:rFonts w:cs="Times New Roman"/>
                <w:sz w:val="21"/>
                <w:szCs w:val="21"/>
                <w:lang w:bidi="ar"/>
              </w:rPr>
              <w:t>1.21</w:t>
            </w:r>
          </w:p>
        </w:tc>
      </w:tr>
      <w:tr w14:paraId="54909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274123C2">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09058ABE">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34A85684">
            <w:pPr>
              <w:spacing w:line="240" w:lineRule="auto"/>
              <w:ind w:firstLine="0" w:firstLineChars="0"/>
              <w:jc w:val="center"/>
              <w:rPr>
                <w:rFonts w:cs="Times New Roman"/>
                <w:szCs w:val="21"/>
              </w:rPr>
            </w:pPr>
            <w:r>
              <w:rPr>
                <w:rFonts w:cs="Times New Roman"/>
                <w:sz w:val="21"/>
                <w:szCs w:val="21"/>
                <w:lang w:bidi="ar"/>
              </w:rPr>
              <w:t>43</w:t>
            </w:r>
          </w:p>
        </w:tc>
        <w:tc>
          <w:tcPr>
            <w:tcW w:w="588" w:type="pct"/>
            <w:tcBorders>
              <w:top w:val="single" w:color="auto" w:sz="4" w:space="0"/>
              <w:left w:val="single" w:color="auto" w:sz="4" w:space="0"/>
              <w:bottom w:val="single" w:color="auto" w:sz="4" w:space="0"/>
              <w:right w:val="single" w:color="auto" w:sz="4" w:space="0"/>
            </w:tcBorders>
            <w:vAlign w:val="center"/>
          </w:tcPr>
          <w:p w14:paraId="390BE856">
            <w:pPr>
              <w:spacing w:line="240" w:lineRule="auto"/>
              <w:ind w:firstLine="0" w:firstLineChars="0"/>
              <w:jc w:val="center"/>
              <w:rPr>
                <w:rFonts w:cs="Times New Roman"/>
                <w:szCs w:val="21"/>
              </w:rPr>
            </w:pPr>
            <w:r>
              <w:rPr>
                <w:rFonts w:cs="Times New Roman"/>
                <w:sz w:val="21"/>
                <w:szCs w:val="21"/>
                <w:lang w:bidi="ar"/>
              </w:rPr>
              <w:t>5.56</w:t>
            </w:r>
          </w:p>
        </w:tc>
        <w:tc>
          <w:tcPr>
            <w:tcW w:w="588" w:type="pct"/>
            <w:tcBorders>
              <w:top w:val="single" w:color="auto" w:sz="4" w:space="0"/>
              <w:left w:val="single" w:color="auto" w:sz="4" w:space="0"/>
              <w:bottom w:val="single" w:color="auto" w:sz="4" w:space="0"/>
              <w:right w:val="single" w:color="auto" w:sz="4" w:space="0"/>
            </w:tcBorders>
            <w:vAlign w:val="center"/>
          </w:tcPr>
          <w:p w14:paraId="18DCF1AD">
            <w:pPr>
              <w:spacing w:line="240" w:lineRule="auto"/>
              <w:ind w:firstLine="0" w:firstLineChars="0"/>
              <w:jc w:val="center"/>
              <w:rPr>
                <w:rFonts w:cs="Times New Roman"/>
                <w:szCs w:val="21"/>
              </w:rPr>
            </w:pPr>
            <w:r>
              <w:rPr>
                <w:rFonts w:cs="Times New Roman"/>
                <w:sz w:val="21"/>
                <w:szCs w:val="21"/>
                <w:lang w:bidi="ar"/>
              </w:rPr>
              <w:t>0.97</w:t>
            </w:r>
          </w:p>
        </w:tc>
        <w:tc>
          <w:tcPr>
            <w:tcW w:w="588" w:type="pct"/>
            <w:tcBorders>
              <w:top w:val="single" w:color="auto" w:sz="4" w:space="0"/>
              <w:left w:val="single" w:color="auto" w:sz="4" w:space="0"/>
              <w:bottom w:val="single" w:color="auto" w:sz="4" w:space="0"/>
              <w:right w:val="single" w:color="auto" w:sz="4" w:space="0"/>
            </w:tcBorders>
            <w:vAlign w:val="center"/>
          </w:tcPr>
          <w:p w14:paraId="6F3049CB">
            <w:pPr>
              <w:spacing w:line="240" w:lineRule="auto"/>
              <w:ind w:firstLine="0" w:firstLineChars="0"/>
              <w:jc w:val="center"/>
              <w:rPr>
                <w:rFonts w:cs="Times New Roman"/>
                <w:szCs w:val="21"/>
              </w:rPr>
            </w:pPr>
            <w:r>
              <w:rPr>
                <w:rFonts w:cs="Times New Roman"/>
                <w:sz w:val="21"/>
                <w:szCs w:val="21"/>
                <w:lang w:bidi="ar"/>
              </w:rPr>
              <w:t>3.78</w:t>
            </w:r>
          </w:p>
        </w:tc>
        <w:tc>
          <w:tcPr>
            <w:tcW w:w="588" w:type="pct"/>
            <w:tcBorders>
              <w:top w:val="single" w:color="auto" w:sz="4" w:space="0"/>
              <w:left w:val="single" w:color="auto" w:sz="4" w:space="0"/>
              <w:bottom w:val="single" w:color="auto" w:sz="4" w:space="0"/>
              <w:right w:val="single" w:color="auto" w:sz="4" w:space="0"/>
            </w:tcBorders>
            <w:vAlign w:val="center"/>
          </w:tcPr>
          <w:p w14:paraId="2A8BE9AF">
            <w:pPr>
              <w:spacing w:line="240" w:lineRule="auto"/>
              <w:ind w:firstLine="0" w:firstLineChars="0"/>
              <w:jc w:val="center"/>
              <w:rPr>
                <w:rFonts w:cs="Times New Roman"/>
                <w:szCs w:val="21"/>
              </w:rPr>
            </w:pPr>
            <w:r>
              <w:rPr>
                <w:rFonts w:cs="Times New Roman"/>
                <w:sz w:val="21"/>
                <w:szCs w:val="21"/>
                <w:lang w:bidi="ar"/>
              </w:rPr>
              <w:t>1.00</w:t>
            </w:r>
          </w:p>
        </w:tc>
      </w:tr>
      <w:tr w14:paraId="51A59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4A3CC303">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18123876">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0E0CCFB3">
            <w:pPr>
              <w:spacing w:line="240" w:lineRule="auto"/>
              <w:ind w:firstLine="0" w:firstLineChars="0"/>
              <w:jc w:val="center"/>
              <w:rPr>
                <w:rFonts w:cs="Times New Roman"/>
                <w:szCs w:val="21"/>
              </w:rPr>
            </w:pPr>
            <w:r>
              <w:rPr>
                <w:rFonts w:cs="Times New Roman"/>
                <w:sz w:val="21"/>
                <w:szCs w:val="21"/>
                <w:lang w:bidi="ar"/>
              </w:rPr>
              <w:t>68</w:t>
            </w:r>
          </w:p>
        </w:tc>
        <w:tc>
          <w:tcPr>
            <w:tcW w:w="588" w:type="pct"/>
            <w:tcBorders>
              <w:top w:val="single" w:color="auto" w:sz="4" w:space="0"/>
              <w:left w:val="single" w:color="auto" w:sz="4" w:space="0"/>
              <w:bottom w:val="single" w:color="auto" w:sz="4" w:space="0"/>
              <w:right w:val="single" w:color="auto" w:sz="4" w:space="0"/>
            </w:tcBorders>
            <w:vAlign w:val="center"/>
          </w:tcPr>
          <w:p w14:paraId="1C88CEC9">
            <w:pPr>
              <w:spacing w:line="240" w:lineRule="auto"/>
              <w:ind w:firstLine="0" w:firstLineChars="0"/>
              <w:jc w:val="center"/>
              <w:rPr>
                <w:rFonts w:cs="Times New Roman"/>
                <w:szCs w:val="21"/>
              </w:rPr>
            </w:pPr>
            <w:r>
              <w:rPr>
                <w:rFonts w:cs="Times New Roman"/>
                <w:sz w:val="21"/>
                <w:szCs w:val="21"/>
                <w:lang w:bidi="ar"/>
              </w:rPr>
              <w:t>8.44</w:t>
            </w:r>
          </w:p>
        </w:tc>
        <w:tc>
          <w:tcPr>
            <w:tcW w:w="588" w:type="pct"/>
            <w:tcBorders>
              <w:top w:val="single" w:color="auto" w:sz="4" w:space="0"/>
              <w:left w:val="single" w:color="auto" w:sz="4" w:space="0"/>
              <w:bottom w:val="single" w:color="auto" w:sz="4" w:space="0"/>
              <w:right w:val="single" w:color="auto" w:sz="4" w:space="0"/>
            </w:tcBorders>
            <w:vAlign w:val="center"/>
          </w:tcPr>
          <w:p w14:paraId="4771B6CE">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707EE91B">
            <w:pPr>
              <w:spacing w:line="240" w:lineRule="auto"/>
              <w:ind w:firstLine="0" w:firstLineChars="0"/>
              <w:jc w:val="center"/>
              <w:rPr>
                <w:rFonts w:cs="Times New Roman"/>
                <w:szCs w:val="21"/>
              </w:rPr>
            </w:pPr>
            <w:r>
              <w:rPr>
                <w:rFonts w:cs="Times New Roman"/>
                <w:sz w:val="21"/>
                <w:szCs w:val="21"/>
                <w:lang w:bidi="ar"/>
              </w:rPr>
              <w:t>4.51</w:t>
            </w:r>
          </w:p>
        </w:tc>
        <w:tc>
          <w:tcPr>
            <w:tcW w:w="588" w:type="pct"/>
            <w:tcBorders>
              <w:top w:val="single" w:color="auto" w:sz="4" w:space="0"/>
              <w:left w:val="single" w:color="auto" w:sz="4" w:space="0"/>
              <w:bottom w:val="single" w:color="auto" w:sz="4" w:space="0"/>
              <w:right w:val="single" w:color="auto" w:sz="4" w:space="0"/>
            </w:tcBorders>
            <w:vAlign w:val="center"/>
          </w:tcPr>
          <w:p w14:paraId="4FC19CB4">
            <w:pPr>
              <w:spacing w:line="240" w:lineRule="auto"/>
              <w:ind w:firstLine="0" w:firstLineChars="0"/>
              <w:jc w:val="center"/>
              <w:rPr>
                <w:rFonts w:cs="Times New Roman"/>
                <w:szCs w:val="21"/>
              </w:rPr>
            </w:pPr>
            <w:r>
              <w:rPr>
                <w:rFonts w:cs="Times New Roman"/>
                <w:sz w:val="21"/>
                <w:szCs w:val="21"/>
                <w:lang w:bidi="ar"/>
              </w:rPr>
              <w:t>1.07</w:t>
            </w:r>
          </w:p>
        </w:tc>
      </w:tr>
      <w:tr w14:paraId="337F1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584AA6DC">
            <w:pPr>
              <w:spacing w:line="240" w:lineRule="auto"/>
              <w:ind w:firstLine="0" w:firstLineChars="0"/>
              <w:jc w:val="center"/>
              <w:rPr>
                <w:rFonts w:cs="Times New Roman"/>
                <w:szCs w:val="21"/>
              </w:rPr>
            </w:pPr>
            <w:r>
              <w:rPr>
                <w:rFonts w:cs="Times New Roman"/>
                <w:sz w:val="21"/>
                <w:szCs w:val="21"/>
                <w:lang w:bidi="ar"/>
              </w:rPr>
              <w:t>E9</w:t>
            </w:r>
          </w:p>
        </w:tc>
        <w:tc>
          <w:tcPr>
            <w:tcW w:w="1109" w:type="pct"/>
            <w:tcBorders>
              <w:top w:val="single" w:color="auto" w:sz="4" w:space="0"/>
              <w:left w:val="single" w:color="auto" w:sz="4" w:space="0"/>
              <w:bottom w:val="single" w:color="auto" w:sz="4" w:space="0"/>
              <w:right w:val="single" w:color="auto" w:sz="4" w:space="0"/>
            </w:tcBorders>
            <w:vAlign w:val="center"/>
          </w:tcPr>
          <w:p w14:paraId="42F021B6">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114A0A27">
            <w:pPr>
              <w:spacing w:line="240" w:lineRule="auto"/>
              <w:ind w:firstLine="0" w:firstLineChars="0"/>
              <w:jc w:val="center"/>
              <w:rPr>
                <w:rFonts w:cs="Times New Roman"/>
                <w:szCs w:val="21"/>
              </w:rPr>
            </w:pPr>
            <w:r>
              <w:rPr>
                <w:rFonts w:cs="Times New Roman"/>
                <w:sz w:val="21"/>
                <w:szCs w:val="21"/>
                <w:lang w:bidi="ar"/>
              </w:rPr>
              <w:t>14</w:t>
            </w:r>
          </w:p>
        </w:tc>
        <w:tc>
          <w:tcPr>
            <w:tcW w:w="588" w:type="pct"/>
            <w:tcBorders>
              <w:top w:val="single" w:color="auto" w:sz="4" w:space="0"/>
              <w:left w:val="single" w:color="auto" w:sz="4" w:space="0"/>
              <w:bottom w:val="single" w:color="auto" w:sz="4" w:space="0"/>
              <w:right w:val="single" w:color="auto" w:sz="4" w:space="0"/>
            </w:tcBorders>
            <w:vAlign w:val="center"/>
          </w:tcPr>
          <w:p w14:paraId="60743523">
            <w:pPr>
              <w:spacing w:line="240" w:lineRule="auto"/>
              <w:ind w:firstLine="0" w:firstLineChars="0"/>
              <w:jc w:val="center"/>
              <w:rPr>
                <w:rFonts w:cs="Times New Roman"/>
                <w:szCs w:val="21"/>
              </w:rPr>
            </w:pPr>
            <w:r>
              <w:rPr>
                <w:rFonts w:cs="Times New Roman"/>
                <w:sz w:val="21"/>
                <w:szCs w:val="21"/>
                <w:lang w:bidi="ar"/>
              </w:rPr>
              <w:t>2.65</w:t>
            </w:r>
          </w:p>
        </w:tc>
        <w:tc>
          <w:tcPr>
            <w:tcW w:w="588" w:type="pct"/>
            <w:tcBorders>
              <w:top w:val="single" w:color="auto" w:sz="4" w:space="0"/>
              <w:left w:val="single" w:color="auto" w:sz="4" w:space="0"/>
              <w:bottom w:val="single" w:color="auto" w:sz="4" w:space="0"/>
              <w:right w:val="single" w:color="auto" w:sz="4" w:space="0"/>
            </w:tcBorders>
            <w:vAlign w:val="center"/>
          </w:tcPr>
          <w:p w14:paraId="652757AE">
            <w:pPr>
              <w:spacing w:line="240" w:lineRule="auto"/>
              <w:ind w:firstLine="0" w:firstLineChars="0"/>
              <w:jc w:val="center"/>
              <w:rPr>
                <w:rFonts w:cs="Times New Roman"/>
                <w:szCs w:val="21"/>
              </w:rPr>
            </w:pPr>
            <w:r>
              <w:rPr>
                <w:rFonts w:cs="Times New Roman"/>
                <w:sz w:val="21"/>
                <w:szCs w:val="21"/>
                <w:lang w:bidi="ar"/>
              </w:rPr>
              <w:t>0.97</w:t>
            </w:r>
          </w:p>
        </w:tc>
        <w:tc>
          <w:tcPr>
            <w:tcW w:w="588" w:type="pct"/>
            <w:tcBorders>
              <w:top w:val="single" w:color="auto" w:sz="4" w:space="0"/>
              <w:left w:val="single" w:color="auto" w:sz="4" w:space="0"/>
              <w:bottom w:val="single" w:color="auto" w:sz="4" w:space="0"/>
              <w:right w:val="single" w:color="auto" w:sz="4" w:space="0"/>
            </w:tcBorders>
            <w:vAlign w:val="center"/>
          </w:tcPr>
          <w:p w14:paraId="315B917E">
            <w:pPr>
              <w:spacing w:line="240" w:lineRule="auto"/>
              <w:ind w:firstLine="0" w:firstLineChars="0"/>
              <w:jc w:val="center"/>
              <w:rPr>
                <w:rFonts w:cs="Times New Roman"/>
                <w:szCs w:val="21"/>
              </w:rPr>
            </w:pPr>
            <w:r>
              <w:rPr>
                <w:rFonts w:cs="Times New Roman"/>
                <w:sz w:val="21"/>
                <w:szCs w:val="21"/>
                <w:lang w:bidi="ar"/>
              </w:rPr>
              <w:t>4.08</w:t>
            </w:r>
          </w:p>
        </w:tc>
        <w:tc>
          <w:tcPr>
            <w:tcW w:w="588" w:type="pct"/>
            <w:tcBorders>
              <w:top w:val="single" w:color="auto" w:sz="4" w:space="0"/>
              <w:left w:val="single" w:color="auto" w:sz="4" w:space="0"/>
              <w:bottom w:val="single" w:color="auto" w:sz="4" w:space="0"/>
              <w:right w:val="single" w:color="auto" w:sz="4" w:space="0"/>
            </w:tcBorders>
            <w:vAlign w:val="center"/>
          </w:tcPr>
          <w:p w14:paraId="20E95C1A">
            <w:pPr>
              <w:spacing w:line="240" w:lineRule="auto"/>
              <w:ind w:firstLine="0" w:firstLineChars="0"/>
              <w:jc w:val="center"/>
              <w:rPr>
                <w:rFonts w:cs="Times New Roman"/>
                <w:szCs w:val="21"/>
              </w:rPr>
            </w:pPr>
            <w:r>
              <w:rPr>
                <w:rFonts w:cs="Times New Roman"/>
                <w:sz w:val="21"/>
                <w:szCs w:val="21"/>
                <w:lang w:bidi="ar"/>
              </w:rPr>
              <w:t>1.55</w:t>
            </w:r>
          </w:p>
        </w:tc>
      </w:tr>
      <w:tr w14:paraId="37DD1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2D878567">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43159CCE">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2F2D6341">
            <w:pPr>
              <w:spacing w:line="240" w:lineRule="auto"/>
              <w:ind w:firstLine="0" w:firstLineChars="0"/>
              <w:jc w:val="center"/>
              <w:rPr>
                <w:rFonts w:cs="Times New Roman"/>
                <w:szCs w:val="21"/>
              </w:rPr>
            </w:pPr>
            <w:r>
              <w:rPr>
                <w:rFonts w:cs="Times New Roman"/>
                <w:sz w:val="21"/>
                <w:szCs w:val="21"/>
                <w:lang w:bidi="ar"/>
              </w:rPr>
              <w:t>26</w:t>
            </w:r>
          </w:p>
        </w:tc>
        <w:tc>
          <w:tcPr>
            <w:tcW w:w="588" w:type="pct"/>
            <w:tcBorders>
              <w:top w:val="single" w:color="auto" w:sz="4" w:space="0"/>
              <w:left w:val="single" w:color="auto" w:sz="4" w:space="0"/>
              <w:bottom w:val="single" w:color="auto" w:sz="4" w:space="0"/>
              <w:right w:val="single" w:color="auto" w:sz="4" w:space="0"/>
            </w:tcBorders>
            <w:vAlign w:val="center"/>
          </w:tcPr>
          <w:p w14:paraId="7B4574F9">
            <w:pPr>
              <w:spacing w:line="240" w:lineRule="auto"/>
              <w:ind w:firstLine="0" w:firstLineChars="0"/>
              <w:jc w:val="center"/>
              <w:rPr>
                <w:rFonts w:cs="Times New Roman"/>
                <w:szCs w:val="21"/>
              </w:rPr>
            </w:pPr>
            <w:r>
              <w:rPr>
                <w:rFonts w:cs="Times New Roman"/>
                <w:sz w:val="21"/>
                <w:szCs w:val="21"/>
                <w:lang w:bidi="ar"/>
              </w:rPr>
              <w:t>3.93</w:t>
            </w:r>
          </w:p>
        </w:tc>
        <w:tc>
          <w:tcPr>
            <w:tcW w:w="588" w:type="pct"/>
            <w:tcBorders>
              <w:top w:val="single" w:color="auto" w:sz="4" w:space="0"/>
              <w:left w:val="single" w:color="auto" w:sz="4" w:space="0"/>
              <w:bottom w:val="single" w:color="auto" w:sz="4" w:space="0"/>
              <w:right w:val="single" w:color="auto" w:sz="4" w:space="0"/>
            </w:tcBorders>
            <w:vAlign w:val="center"/>
          </w:tcPr>
          <w:p w14:paraId="32A575C9">
            <w:pPr>
              <w:spacing w:line="240" w:lineRule="auto"/>
              <w:ind w:firstLine="0" w:firstLineChars="0"/>
              <w:jc w:val="center"/>
              <w:rPr>
                <w:rFonts w:cs="Times New Roman"/>
                <w:szCs w:val="21"/>
              </w:rPr>
            </w:pPr>
            <w:r>
              <w:rPr>
                <w:rFonts w:cs="Times New Roman"/>
                <w:sz w:val="21"/>
                <w:szCs w:val="21"/>
                <w:lang w:bidi="ar"/>
              </w:rPr>
              <w:t>0.95</w:t>
            </w:r>
          </w:p>
        </w:tc>
        <w:tc>
          <w:tcPr>
            <w:tcW w:w="588" w:type="pct"/>
            <w:tcBorders>
              <w:top w:val="single" w:color="auto" w:sz="4" w:space="0"/>
              <w:left w:val="single" w:color="auto" w:sz="4" w:space="0"/>
              <w:bottom w:val="single" w:color="auto" w:sz="4" w:space="0"/>
              <w:right w:val="single" w:color="auto" w:sz="4" w:space="0"/>
            </w:tcBorders>
            <w:vAlign w:val="center"/>
          </w:tcPr>
          <w:p w14:paraId="10A46748">
            <w:pPr>
              <w:spacing w:line="240" w:lineRule="auto"/>
              <w:ind w:firstLine="0" w:firstLineChars="0"/>
              <w:jc w:val="center"/>
              <w:rPr>
                <w:rFonts w:cs="Times New Roman"/>
                <w:szCs w:val="21"/>
              </w:rPr>
            </w:pPr>
            <w:r>
              <w:rPr>
                <w:rFonts w:cs="Times New Roman"/>
                <w:sz w:val="21"/>
                <w:szCs w:val="21"/>
                <w:lang w:bidi="ar"/>
              </w:rPr>
              <w:t>3.32</w:t>
            </w:r>
          </w:p>
        </w:tc>
        <w:tc>
          <w:tcPr>
            <w:tcW w:w="588" w:type="pct"/>
            <w:tcBorders>
              <w:top w:val="single" w:color="auto" w:sz="4" w:space="0"/>
              <w:left w:val="single" w:color="auto" w:sz="4" w:space="0"/>
              <w:bottom w:val="single" w:color="auto" w:sz="4" w:space="0"/>
              <w:right w:val="single" w:color="auto" w:sz="4" w:space="0"/>
            </w:tcBorders>
            <w:vAlign w:val="center"/>
          </w:tcPr>
          <w:p w14:paraId="0E1ADEAB">
            <w:pPr>
              <w:spacing w:line="240" w:lineRule="auto"/>
              <w:ind w:firstLine="0" w:firstLineChars="0"/>
              <w:jc w:val="center"/>
              <w:rPr>
                <w:rFonts w:cs="Times New Roman"/>
                <w:szCs w:val="21"/>
              </w:rPr>
            </w:pPr>
            <w:r>
              <w:rPr>
                <w:rFonts w:cs="Times New Roman"/>
                <w:sz w:val="21"/>
                <w:szCs w:val="21"/>
                <w:lang w:bidi="ar"/>
              </w:rPr>
              <w:t>1.02</w:t>
            </w:r>
          </w:p>
        </w:tc>
      </w:tr>
      <w:tr w14:paraId="74A9C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36FDCA9D">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4152ABCC">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1B9584E2">
            <w:pPr>
              <w:spacing w:line="240" w:lineRule="auto"/>
              <w:ind w:firstLine="0" w:firstLineChars="0"/>
              <w:jc w:val="center"/>
              <w:rPr>
                <w:rFonts w:cs="Times New Roman"/>
                <w:szCs w:val="21"/>
              </w:rPr>
            </w:pPr>
            <w:r>
              <w:rPr>
                <w:rFonts w:cs="Times New Roman"/>
                <w:sz w:val="21"/>
                <w:szCs w:val="21"/>
                <w:lang w:bidi="ar"/>
              </w:rPr>
              <w:t>25</w:t>
            </w:r>
          </w:p>
        </w:tc>
        <w:tc>
          <w:tcPr>
            <w:tcW w:w="588" w:type="pct"/>
            <w:tcBorders>
              <w:top w:val="single" w:color="auto" w:sz="4" w:space="0"/>
              <w:left w:val="single" w:color="auto" w:sz="4" w:space="0"/>
              <w:bottom w:val="single" w:color="auto" w:sz="4" w:space="0"/>
              <w:right w:val="single" w:color="auto" w:sz="4" w:space="0"/>
            </w:tcBorders>
            <w:vAlign w:val="center"/>
          </w:tcPr>
          <w:p w14:paraId="5217886C">
            <w:pPr>
              <w:spacing w:line="240" w:lineRule="auto"/>
              <w:ind w:firstLine="0" w:firstLineChars="0"/>
              <w:jc w:val="center"/>
              <w:rPr>
                <w:rFonts w:cs="Times New Roman"/>
                <w:szCs w:val="21"/>
              </w:rPr>
            </w:pPr>
            <w:r>
              <w:rPr>
                <w:rFonts w:cs="Times New Roman"/>
                <w:sz w:val="21"/>
                <w:szCs w:val="21"/>
                <w:lang w:bidi="ar"/>
              </w:rPr>
              <w:t>3.33</w:t>
            </w:r>
          </w:p>
        </w:tc>
        <w:tc>
          <w:tcPr>
            <w:tcW w:w="588" w:type="pct"/>
            <w:tcBorders>
              <w:top w:val="single" w:color="auto" w:sz="4" w:space="0"/>
              <w:left w:val="single" w:color="auto" w:sz="4" w:space="0"/>
              <w:bottom w:val="single" w:color="auto" w:sz="4" w:space="0"/>
              <w:right w:val="single" w:color="auto" w:sz="4" w:space="0"/>
            </w:tcBorders>
            <w:vAlign w:val="center"/>
          </w:tcPr>
          <w:p w14:paraId="6BD98B85">
            <w:pPr>
              <w:spacing w:line="240" w:lineRule="auto"/>
              <w:ind w:firstLine="0" w:firstLineChars="0"/>
              <w:jc w:val="center"/>
              <w:rPr>
                <w:rFonts w:cs="Times New Roman"/>
                <w:szCs w:val="21"/>
              </w:rPr>
            </w:pPr>
            <w:r>
              <w:rPr>
                <w:rFonts w:cs="Times New Roman"/>
                <w:sz w:val="21"/>
                <w:szCs w:val="21"/>
                <w:lang w:bidi="ar"/>
              </w:rPr>
              <w:t>0.95</w:t>
            </w:r>
          </w:p>
        </w:tc>
        <w:tc>
          <w:tcPr>
            <w:tcW w:w="588" w:type="pct"/>
            <w:tcBorders>
              <w:top w:val="single" w:color="auto" w:sz="4" w:space="0"/>
              <w:left w:val="single" w:color="auto" w:sz="4" w:space="0"/>
              <w:bottom w:val="single" w:color="auto" w:sz="4" w:space="0"/>
              <w:right w:val="single" w:color="auto" w:sz="4" w:space="0"/>
            </w:tcBorders>
            <w:vAlign w:val="center"/>
          </w:tcPr>
          <w:p w14:paraId="13CA69ED">
            <w:pPr>
              <w:spacing w:line="240" w:lineRule="auto"/>
              <w:ind w:firstLine="0" w:firstLineChars="0"/>
              <w:jc w:val="center"/>
              <w:rPr>
                <w:rFonts w:cs="Times New Roman"/>
                <w:szCs w:val="21"/>
              </w:rPr>
            </w:pPr>
            <w:r>
              <w:rPr>
                <w:rFonts w:cs="Times New Roman"/>
                <w:sz w:val="21"/>
                <w:szCs w:val="21"/>
                <w:lang w:bidi="ar"/>
              </w:rPr>
              <w:t>3.25</w:t>
            </w:r>
          </w:p>
        </w:tc>
        <w:tc>
          <w:tcPr>
            <w:tcW w:w="588" w:type="pct"/>
            <w:tcBorders>
              <w:top w:val="single" w:color="auto" w:sz="4" w:space="0"/>
              <w:left w:val="single" w:color="auto" w:sz="4" w:space="0"/>
              <w:bottom w:val="single" w:color="auto" w:sz="4" w:space="0"/>
              <w:right w:val="single" w:color="auto" w:sz="4" w:space="0"/>
            </w:tcBorders>
            <w:vAlign w:val="center"/>
          </w:tcPr>
          <w:p w14:paraId="574E5F45">
            <w:pPr>
              <w:spacing w:line="240" w:lineRule="auto"/>
              <w:ind w:firstLine="0" w:firstLineChars="0"/>
              <w:jc w:val="center"/>
              <w:rPr>
                <w:rFonts w:cs="Times New Roman"/>
                <w:szCs w:val="21"/>
              </w:rPr>
            </w:pPr>
            <w:r>
              <w:rPr>
                <w:rFonts w:cs="Times New Roman"/>
                <w:sz w:val="21"/>
                <w:szCs w:val="21"/>
                <w:lang w:bidi="ar"/>
              </w:rPr>
              <w:t>1.01</w:t>
            </w:r>
          </w:p>
        </w:tc>
      </w:tr>
      <w:tr w14:paraId="1F241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2F47A75B">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6AEC29D8">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010E30DE">
            <w:pPr>
              <w:spacing w:line="240" w:lineRule="auto"/>
              <w:ind w:firstLine="0" w:firstLineChars="0"/>
              <w:jc w:val="center"/>
              <w:rPr>
                <w:rFonts w:cs="Times New Roman"/>
                <w:szCs w:val="21"/>
              </w:rPr>
            </w:pPr>
            <w:r>
              <w:rPr>
                <w:rFonts w:cs="Times New Roman"/>
                <w:sz w:val="21"/>
                <w:szCs w:val="21"/>
                <w:lang w:bidi="ar"/>
              </w:rPr>
              <w:t>65</w:t>
            </w:r>
          </w:p>
        </w:tc>
        <w:tc>
          <w:tcPr>
            <w:tcW w:w="588" w:type="pct"/>
            <w:tcBorders>
              <w:top w:val="single" w:color="auto" w:sz="4" w:space="0"/>
              <w:left w:val="single" w:color="auto" w:sz="4" w:space="0"/>
              <w:bottom w:val="single" w:color="auto" w:sz="4" w:space="0"/>
              <w:right w:val="single" w:color="auto" w:sz="4" w:space="0"/>
            </w:tcBorders>
            <w:vAlign w:val="center"/>
          </w:tcPr>
          <w:p w14:paraId="18756F9F">
            <w:pPr>
              <w:spacing w:line="240" w:lineRule="auto"/>
              <w:ind w:firstLine="0" w:firstLineChars="0"/>
              <w:jc w:val="center"/>
              <w:rPr>
                <w:rFonts w:cs="Times New Roman"/>
                <w:szCs w:val="21"/>
              </w:rPr>
            </w:pPr>
            <w:r>
              <w:rPr>
                <w:rFonts w:cs="Times New Roman"/>
                <w:sz w:val="21"/>
                <w:szCs w:val="21"/>
                <w:lang w:bidi="ar"/>
              </w:rPr>
              <w:t>8.38</w:t>
            </w:r>
          </w:p>
        </w:tc>
        <w:tc>
          <w:tcPr>
            <w:tcW w:w="588" w:type="pct"/>
            <w:tcBorders>
              <w:top w:val="single" w:color="auto" w:sz="4" w:space="0"/>
              <w:left w:val="single" w:color="auto" w:sz="4" w:space="0"/>
              <w:bottom w:val="single" w:color="auto" w:sz="4" w:space="0"/>
              <w:right w:val="single" w:color="auto" w:sz="4" w:space="0"/>
            </w:tcBorders>
            <w:vAlign w:val="center"/>
          </w:tcPr>
          <w:p w14:paraId="6C47D85D">
            <w:pPr>
              <w:spacing w:line="240" w:lineRule="auto"/>
              <w:ind w:firstLine="0" w:firstLineChars="0"/>
              <w:jc w:val="center"/>
              <w:rPr>
                <w:rFonts w:cs="Times New Roman"/>
                <w:szCs w:val="21"/>
              </w:rPr>
            </w:pPr>
            <w:r>
              <w:rPr>
                <w:rFonts w:cs="Times New Roman"/>
                <w:sz w:val="21"/>
                <w:szCs w:val="21"/>
                <w:lang w:bidi="ar"/>
              </w:rPr>
              <w:t>0.97</w:t>
            </w:r>
          </w:p>
        </w:tc>
        <w:tc>
          <w:tcPr>
            <w:tcW w:w="588" w:type="pct"/>
            <w:tcBorders>
              <w:top w:val="single" w:color="auto" w:sz="4" w:space="0"/>
              <w:left w:val="single" w:color="auto" w:sz="4" w:space="0"/>
              <w:bottom w:val="single" w:color="auto" w:sz="4" w:space="0"/>
              <w:right w:val="single" w:color="auto" w:sz="4" w:space="0"/>
            </w:tcBorders>
            <w:vAlign w:val="center"/>
          </w:tcPr>
          <w:p w14:paraId="1B445692">
            <w:pPr>
              <w:spacing w:line="240" w:lineRule="auto"/>
              <w:ind w:firstLine="0" w:firstLineChars="0"/>
              <w:jc w:val="center"/>
              <w:rPr>
                <w:rFonts w:cs="Times New Roman"/>
                <w:szCs w:val="21"/>
              </w:rPr>
            </w:pPr>
            <w:r>
              <w:rPr>
                <w:rFonts w:cs="Times New Roman"/>
                <w:sz w:val="21"/>
                <w:szCs w:val="21"/>
                <w:lang w:bidi="ar"/>
              </w:rPr>
              <w:t>4.13</w:t>
            </w:r>
          </w:p>
        </w:tc>
        <w:tc>
          <w:tcPr>
            <w:tcW w:w="588" w:type="pct"/>
            <w:tcBorders>
              <w:top w:val="single" w:color="auto" w:sz="4" w:space="0"/>
              <w:left w:val="single" w:color="auto" w:sz="4" w:space="0"/>
              <w:bottom w:val="single" w:color="auto" w:sz="4" w:space="0"/>
              <w:right w:val="single" w:color="auto" w:sz="4" w:space="0"/>
            </w:tcBorders>
            <w:vAlign w:val="center"/>
          </w:tcPr>
          <w:p w14:paraId="27B9D4C4">
            <w:pPr>
              <w:spacing w:line="240" w:lineRule="auto"/>
              <w:ind w:firstLine="0" w:firstLineChars="0"/>
              <w:jc w:val="center"/>
              <w:rPr>
                <w:rFonts w:cs="Times New Roman"/>
                <w:szCs w:val="21"/>
              </w:rPr>
            </w:pPr>
            <w:r>
              <w:rPr>
                <w:rFonts w:cs="Times New Roman"/>
                <w:sz w:val="21"/>
                <w:szCs w:val="21"/>
                <w:lang w:bidi="ar"/>
              </w:rPr>
              <w:t>0.99</w:t>
            </w:r>
          </w:p>
        </w:tc>
      </w:tr>
      <w:tr w14:paraId="6F468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47E2B33C">
            <w:pPr>
              <w:spacing w:line="240" w:lineRule="auto"/>
              <w:ind w:firstLine="0" w:firstLineChars="0"/>
              <w:jc w:val="center"/>
              <w:rPr>
                <w:rFonts w:cs="Times New Roman"/>
                <w:szCs w:val="21"/>
              </w:rPr>
            </w:pPr>
            <w:r>
              <w:rPr>
                <w:rFonts w:cs="Times New Roman"/>
                <w:sz w:val="21"/>
                <w:szCs w:val="21"/>
                <w:lang w:bidi="ar"/>
              </w:rPr>
              <w:t>E10</w:t>
            </w:r>
          </w:p>
        </w:tc>
        <w:tc>
          <w:tcPr>
            <w:tcW w:w="1109" w:type="pct"/>
            <w:tcBorders>
              <w:top w:val="single" w:color="auto" w:sz="4" w:space="0"/>
              <w:left w:val="single" w:color="auto" w:sz="4" w:space="0"/>
              <w:bottom w:val="single" w:color="auto" w:sz="4" w:space="0"/>
              <w:right w:val="single" w:color="auto" w:sz="4" w:space="0"/>
            </w:tcBorders>
            <w:vAlign w:val="center"/>
          </w:tcPr>
          <w:p w14:paraId="5F02DE42">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0C158589">
            <w:pPr>
              <w:spacing w:line="240" w:lineRule="auto"/>
              <w:ind w:firstLine="0" w:firstLineChars="0"/>
              <w:jc w:val="center"/>
              <w:rPr>
                <w:rFonts w:cs="Times New Roman"/>
                <w:szCs w:val="21"/>
              </w:rPr>
            </w:pPr>
            <w:r>
              <w:rPr>
                <w:rFonts w:cs="Times New Roman"/>
                <w:sz w:val="21"/>
                <w:szCs w:val="21"/>
                <w:lang w:bidi="ar"/>
              </w:rPr>
              <w:t>18</w:t>
            </w:r>
          </w:p>
        </w:tc>
        <w:tc>
          <w:tcPr>
            <w:tcW w:w="588" w:type="pct"/>
            <w:tcBorders>
              <w:top w:val="single" w:color="auto" w:sz="4" w:space="0"/>
              <w:left w:val="single" w:color="auto" w:sz="4" w:space="0"/>
              <w:bottom w:val="single" w:color="auto" w:sz="4" w:space="0"/>
              <w:right w:val="single" w:color="auto" w:sz="4" w:space="0"/>
            </w:tcBorders>
            <w:vAlign w:val="center"/>
          </w:tcPr>
          <w:p w14:paraId="30B0A067">
            <w:pPr>
              <w:spacing w:line="240" w:lineRule="auto"/>
              <w:ind w:firstLine="0" w:firstLineChars="0"/>
              <w:jc w:val="center"/>
              <w:rPr>
                <w:rFonts w:cs="Times New Roman"/>
                <w:szCs w:val="21"/>
              </w:rPr>
            </w:pPr>
            <w:r>
              <w:rPr>
                <w:rFonts w:cs="Times New Roman"/>
                <w:sz w:val="21"/>
                <w:szCs w:val="21"/>
                <w:lang w:bidi="ar"/>
              </w:rPr>
              <w:t>3.31</w:t>
            </w:r>
          </w:p>
        </w:tc>
        <w:tc>
          <w:tcPr>
            <w:tcW w:w="588" w:type="pct"/>
            <w:tcBorders>
              <w:top w:val="single" w:color="auto" w:sz="4" w:space="0"/>
              <w:left w:val="single" w:color="auto" w:sz="4" w:space="0"/>
              <w:bottom w:val="single" w:color="auto" w:sz="4" w:space="0"/>
              <w:right w:val="single" w:color="auto" w:sz="4" w:space="0"/>
            </w:tcBorders>
            <w:vAlign w:val="center"/>
          </w:tcPr>
          <w:p w14:paraId="03065BC6">
            <w:pPr>
              <w:spacing w:line="240" w:lineRule="auto"/>
              <w:ind w:firstLine="0" w:firstLineChars="0"/>
              <w:jc w:val="center"/>
              <w:rPr>
                <w:rFonts w:cs="Times New Roman"/>
                <w:szCs w:val="21"/>
              </w:rPr>
            </w:pPr>
            <w:r>
              <w:rPr>
                <w:rFonts w:cs="Times New Roman"/>
                <w:sz w:val="21"/>
                <w:szCs w:val="21"/>
                <w:lang w:bidi="ar"/>
              </w:rPr>
              <w:t>0.99</w:t>
            </w:r>
          </w:p>
        </w:tc>
        <w:tc>
          <w:tcPr>
            <w:tcW w:w="588" w:type="pct"/>
            <w:tcBorders>
              <w:top w:val="single" w:color="auto" w:sz="4" w:space="0"/>
              <w:left w:val="single" w:color="auto" w:sz="4" w:space="0"/>
              <w:bottom w:val="single" w:color="auto" w:sz="4" w:space="0"/>
              <w:right w:val="single" w:color="auto" w:sz="4" w:space="0"/>
            </w:tcBorders>
            <w:vAlign w:val="center"/>
          </w:tcPr>
          <w:p w14:paraId="25FB71EE">
            <w:pPr>
              <w:spacing w:line="240" w:lineRule="auto"/>
              <w:ind w:firstLine="0" w:firstLineChars="0"/>
              <w:jc w:val="center"/>
              <w:rPr>
                <w:rFonts w:cs="Times New Roman"/>
                <w:szCs w:val="21"/>
              </w:rPr>
            </w:pPr>
            <w:r>
              <w:rPr>
                <w:rFonts w:cs="Times New Roman"/>
                <w:sz w:val="21"/>
                <w:szCs w:val="21"/>
                <w:lang w:bidi="ar"/>
              </w:rPr>
              <w:t>5.06</w:t>
            </w:r>
          </w:p>
        </w:tc>
        <w:tc>
          <w:tcPr>
            <w:tcW w:w="588" w:type="pct"/>
            <w:tcBorders>
              <w:top w:val="single" w:color="auto" w:sz="4" w:space="0"/>
              <w:left w:val="single" w:color="auto" w:sz="4" w:space="0"/>
              <w:bottom w:val="single" w:color="auto" w:sz="4" w:space="0"/>
              <w:right w:val="single" w:color="auto" w:sz="4" w:space="0"/>
            </w:tcBorders>
            <w:vAlign w:val="center"/>
          </w:tcPr>
          <w:p w14:paraId="3A4E7761">
            <w:pPr>
              <w:spacing w:line="240" w:lineRule="auto"/>
              <w:ind w:firstLine="0" w:firstLineChars="0"/>
              <w:jc w:val="center"/>
              <w:rPr>
                <w:rFonts w:cs="Times New Roman"/>
                <w:szCs w:val="21"/>
              </w:rPr>
            </w:pPr>
            <w:r>
              <w:rPr>
                <w:rFonts w:cs="Times New Roman"/>
                <w:sz w:val="21"/>
                <w:szCs w:val="21"/>
                <w:lang w:bidi="ar"/>
              </w:rPr>
              <w:t>1.75</w:t>
            </w:r>
          </w:p>
        </w:tc>
      </w:tr>
      <w:tr w14:paraId="26E1D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0084D576">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02FDD089">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5E35C1E1">
            <w:pPr>
              <w:spacing w:line="240" w:lineRule="auto"/>
              <w:ind w:firstLine="0" w:firstLineChars="0"/>
              <w:jc w:val="center"/>
              <w:rPr>
                <w:rFonts w:cs="Times New Roman"/>
                <w:szCs w:val="21"/>
              </w:rPr>
            </w:pPr>
            <w:r>
              <w:rPr>
                <w:rFonts w:cs="Times New Roman"/>
                <w:sz w:val="21"/>
                <w:szCs w:val="21"/>
                <w:lang w:bidi="ar"/>
              </w:rPr>
              <w:t>16</w:t>
            </w:r>
          </w:p>
        </w:tc>
        <w:tc>
          <w:tcPr>
            <w:tcW w:w="588" w:type="pct"/>
            <w:tcBorders>
              <w:top w:val="single" w:color="auto" w:sz="4" w:space="0"/>
              <w:left w:val="single" w:color="auto" w:sz="4" w:space="0"/>
              <w:bottom w:val="single" w:color="auto" w:sz="4" w:space="0"/>
              <w:right w:val="single" w:color="auto" w:sz="4" w:space="0"/>
            </w:tcBorders>
            <w:vAlign w:val="center"/>
          </w:tcPr>
          <w:p w14:paraId="4F5BBD39">
            <w:pPr>
              <w:spacing w:line="240" w:lineRule="auto"/>
              <w:ind w:firstLine="0" w:firstLineChars="0"/>
              <w:jc w:val="center"/>
              <w:rPr>
                <w:rFonts w:cs="Times New Roman"/>
                <w:szCs w:val="21"/>
              </w:rPr>
            </w:pPr>
            <w:r>
              <w:rPr>
                <w:rFonts w:cs="Times New Roman"/>
                <w:sz w:val="21"/>
                <w:szCs w:val="21"/>
                <w:lang w:bidi="ar"/>
              </w:rPr>
              <w:t>2.49</w:t>
            </w:r>
          </w:p>
        </w:tc>
        <w:tc>
          <w:tcPr>
            <w:tcW w:w="588" w:type="pct"/>
            <w:tcBorders>
              <w:top w:val="single" w:color="auto" w:sz="4" w:space="0"/>
              <w:left w:val="single" w:color="auto" w:sz="4" w:space="0"/>
              <w:bottom w:val="single" w:color="auto" w:sz="4" w:space="0"/>
              <w:right w:val="single" w:color="auto" w:sz="4" w:space="0"/>
            </w:tcBorders>
            <w:vAlign w:val="center"/>
          </w:tcPr>
          <w:p w14:paraId="0D771531">
            <w:pPr>
              <w:spacing w:line="240" w:lineRule="auto"/>
              <w:ind w:firstLine="0" w:firstLineChars="0"/>
              <w:jc w:val="center"/>
              <w:rPr>
                <w:rFonts w:cs="Times New Roman"/>
                <w:szCs w:val="21"/>
              </w:rPr>
            </w:pPr>
            <w:r>
              <w:rPr>
                <w:rFonts w:cs="Times New Roman"/>
                <w:sz w:val="21"/>
                <w:szCs w:val="21"/>
                <w:lang w:bidi="ar"/>
              </w:rPr>
              <w:t>0.93</w:t>
            </w:r>
          </w:p>
        </w:tc>
        <w:tc>
          <w:tcPr>
            <w:tcW w:w="588" w:type="pct"/>
            <w:tcBorders>
              <w:top w:val="single" w:color="auto" w:sz="4" w:space="0"/>
              <w:left w:val="single" w:color="auto" w:sz="4" w:space="0"/>
              <w:bottom w:val="single" w:color="auto" w:sz="4" w:space="0"/>
              <w:right w:val="single" w:color="auto" w:sz="4" w:space="0"/>
            </w:tcBorders>
            <w:vAlign w:val="center"/>
          </w:tcPr>
          <w:p w14:paraId="2C74B857">
            <w:pPr>
              <w:spacing w:line="240" w:lineRule="auto"/>
              <w:ind w:firstLine="0" w:firstLineChars="0"/>
              <w:jc w:val="center"/>
              <w:rPr>
                <w:rFonts w:cs="Times New Roman"/>
                <w:szCs w:val="21"/>
              </w:rPr>
            </w:pPr>
            <w:r>
              <w:rPr>
                <w:rFonts w:cs="Times New Roman"/>
                <w:sz w:val="21"/>
                <w:szCs w:val="21"/>
                <w:lang w:bidi="ar"/>
              </w:rPr>
              <w:t>3.02</w:t>
            </w:r>
          </w:p>
        </w:tc>
        <w:tc>
          <w:tcPr>
            <w:tcW w:w="588" w:type="pct"/>
            <w:tcBorders>
              <w:top w:val="single" w:color="auto" w:sz="4" w:space="0"/>
              <w:left w:val="single" w:color="auto" w:sz="4" w:space="0"/>
              <w:bottom w:val="single" w:color="auto" w:sz="4" w:space="0"/>
              <w:right w:val="single" w:color="auto" w:sz="4" w:space="0"/>
            </w:tcBorders>
            <w:vAlign w:val="center"/>
          </w:tcPr>
          <w:p w14:paraId="14D0BCA5">
            <w:pPr>
              <w:spacing w:line="240" w:lineRule="auto"/>
              <w:ind w:firstLine="0" w:firstLineChars="0"/>
              <w:jc w:val="center"/>
              <w:rPr>
                <w:rFonts w:cs="Times New Roman"/>
                <w:szCs w:val="21"/>
              </w:rPr>
            </w:pPr>
            <w:r>
              <w:rPr>
                <w:rFonts w:cs="Times New Roman"/>
                <w:sz w:val="21"/>
                <w:szCs w:val="21"/>
                <w:lang w:bidi="ar"/>
              </w:rPr>
              <w:t>1.09</w:t>
            </w:r>
          </w:p>
        </w:tc>
      </w:tr>
      <w:tr w14:paraId="0A785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408F81A2">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5C6CF812">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5B75AAAC">
            <w:pPr>
              <w:spacing w:line="240" w:lineRule="auto"/>
              <w:ind w:firstLine="0" w:firstLineChars="0"/>
              <w:jc w:val="center"/>
              <w:rPr>
                <w:rFonts w:cs="Times New Roman"/>
                <w:szCs w:val="21"/>
              </w:rPr>
            </w:pPr>
            <w:r>
              <w:rPr>
                <w:rFonts w:cs="Times New Roman"/>
                <w:sz w:val="21"/>
                <w:szCs w:val="21"/>
                <w:lang w:bidi="ar"/>
              </w:rPr>
              <w:t>44</w:t>
            </w:r>
          </w:p>
        </w:tc>
        <w:tc>
          <w:tcPr>
            <w:tcW w:w="588" w:type="pct"/>
            <w:tcBorders>
              <w:top w:val="single" w:color="auto" w:sz="4" w:space="0"/>
              <w:left w:val="single" w:color="auto" w:sz="4" w:space="0"/>
              <w:bottom w:val="single" w:color="auto" w:sz="4" w:space="0"/>
              <w:right w:val="single" w:color="auto" w:sz="4" w:space="0"/>
            </w:tcBorders>
            <w:vAlign w:val="center"/>
          </w:tcPr>
          <w:p w14:paraId="4C21640C">
            <w:pPr>
              <w:spacing w:line="240" w:lineRule="auto"/>
              <w:ind w:firstLine="0" w:firstLineChars="0"/>
              <w:jc w:val="center"/>
              <w:rPr>
                <w:rFonts w:cs="Times New Roman"/>
                <w:szCs w:val="21"/>
              </w:rPr>
            </w:pPr>
            <w:r>
              <w:rPr>
                <w:rFonts w:cs="Times New Roman"/>
                <w:sz w:val="21"/>
                <w:szCs w:val="21"/>
                <w:lang w:bidi="ar"/>
              </w:rPr>
              <w:t>5.54</w:t>
            </w:r>
          </w:p>
        </w:tc>
        <w:tc>
          <w:tcPr>
            <w:tcW w:w="588" w:type="pct"/>
            <w:tcBorders>
              <w:top w:val="single" w:color="auto" w:sz="4" w:space="0"/>
              <w:left w:val="single" w:color="auto" w:sz="4" w:space="0"/>
              <w:bottom w:val="single" w:color="auto" w:sz="4" w:space="0"/>
              <w:right w:val="single" w:color="auto" w:sz="4" w:space="0"/>
            </w:tcBorders>
            <w:vAlign w:val="center"/>
          </w:tcPr>
          <w:p w14:paraId="3807F8DA">
            <w:pPr>
              <w:spacing w:line="240" w:lineRule="auto"/>
              <w:ind w:firstLine="0" w:firstLineChars="0"/>
              <w:jc w:val="center"/>
              <w:rPr>
                <w:rFonts w:cs="Times New Roman"/>
                <w:szCs w:val="21"/>
              </w:rPr>
            </w:pPr>
            <w:r>
              <w:rPr>
                <w:rFonts w:cs="Times New Roman"/>
                <w:sz w:val="21"/>
                <w:szCs w:val="21"/>
                <w:lang w:bidi="ar"/>
              </w:rPr>
              <w:t>0.97</w:t>
            </w:r>
          </w:p>
        </w:tc>
        <w:tc>
          <w:tcPr>
            <w:tcW w:w="588" w:type="pct"/>
            <w:tcBorders>
              <w:top w:val="single" w:color="auto" w:sz="4" w:space="0"/>
              <w:left w:val="single" w:color="auto" w:sz="4" w:space="0"/>
              <w:bottom w:val="single" w:color="auto" w:sz="4" w:space="0"/>
              <w:right w:val="single" w:color="auto" w:sz="4" w:space="0"/>
            </w:tcBorders>
            <w:vAlign w:val="center"/>
          </w:tcPr>
          <w:p w14:paraId="24E28A87">
            <w:pPr>
              <w:spacing w:line="240" w:lineRule="auto"/>
              <w:ind w:firstLine="0" w:firstLineChars="0"/>
              <w:jc w:val="center"/>
              <w:rPr>
                <w:rFonts w:cs="Times New Roman"/>
                <w:szCs w:val="21"/>
              </w:rPr>
            </w:pPr>
            <w:r>
              <w:rPr>
                <w:rFonts w:cs="Times New Roman"/>
                <w:sz w:val="21"/>
                <w:szCs w:val="21"/>
                <w:lang w:bidi="ar"/>
              </w:rPr>
              <w:t>3.89</w:t>
            </w:r>
          </w:p>
        </w:tc>
        <w:tc>
          <w:tcPr>
            <w:tcW w:w="588" w:type="pct"/>
            <w:tcBorders>
              <w:top w:val="single" w:color="auto" w:sz="4" w:space="0"/>
              <w:left w:val="single" w:color="auto" w:sz="4" w:space="0"/>
              <w:bottom w:val="single" w:color="auto" w:sz="4" w:space="0"/>
              <w:right w:val="single" w:color="auto" w:sz="4" w:space="0"/>
            </w:tcBorders>
            <w:vAlign w:val="center"/>
          </w:tcPr>
          <w:p w14:paraId="21E933E3">
            <w:pPr>
              <w:spacing w:line="240" w:lineRule="auto"/>
              <w:ind w:firstLine="0" w:firstLineChars="0"/>
              <w:jc w:val="center"/>
              <w:rPr>
                <w:rFonts w:cs="Times New Roman"/>
                <w:szCs w:val="21"/>
              </w:rPr>
            </w:pPr>
            <w:r>
              <w:rPr>
                <w:rFonts w:cs="Times New Roman"/>
                <w:sz w:val="21"/>
                <w:szCs w:val="21"/>
                <w:lang w:bidi="ar"/>
              </w:rPr>
              <w:t>1.03</w:t>
            </w:r>
          </w:p>
        </w:tc>
      </w:tr>
      <w:tr w14:paraId="66F68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4512F2B1">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02F555E8">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18ED6473">
            <w:pPr>
              <w:spacing w:line="240" w:lineRule="auto"/>
              <w:ind w:firstLine="0" w:firstLineChars="0"/>
              <w:jc w:val="center"/>
              <w:rPr>
                <w:rFonts w:cs="Times New Roman"/>
                <w:szCs w:val="21"/>
              </w:rPr>
            </w:pPr>
            <w:r>
              <w:rPr>
                <w:rFonts w:cs="Times New Roman"/>
                <w:sz w:val="21"/>
                <w:szCs w:val="21"/>
                <w:lang w:bidi="ar"/>
              </w:rPr>
              <w:t>78</w:t>
            </w:r>
          </w:p>
        </w:tc>
        <w:tc>
          <w:tcPr>
            <w:tcW w:w="588" w:type="pct"/>
            <w:tcBorders>
              <w:top w:val="single" w:color="auto" w:sz="4" w:space="0"/>
              <w:left w:val="single" w:color="auto" w:sz="4" w:space="0"/>
              <w:bottom w:val="single" w:color="auto" w:sz="4" w:space="0"/>
              <w:right w:val="single" w:color="auto" w:sz="4" w:space="0"/>
            </w:tcBorders>
            <w:vAlign w:val="center"/>
          </w:tcPr>
          <w:p w14:paraId="663347F9">
            <w:pPr>
              <w:spacing w:line="240" w:lineRule="auto"/>
              <w:ind w:firstLine="0" w:firstLineChars="0"/>
              <w:jc w:val="center"/>
              <w:rPr>
                <w:rFonts w:cs="Times New Roman"/>
                <w:szCs w:val="21"/>
              </w:rPr>
            </w:pPr>
            <w:r>
              <w:rPr>
                <w:rFonts w:cs="Times New Roman"/>
                <w:sz w:val="21"/>
                <w:szCs w:val="21"/>
                <w:lang w:bidi="ar"/>
              </w:rPr>
              <w:t>9.64</w:t>
            </w:r>
          </w:p>
        </w:tc>
        <w:tc>
          <w:tcPr>
            <w:tcW w:w="588" w:type="pct"/>
            <w:tcBorders>
              <w:top w:val="single" w:color="auto" w:sz="4" w:space="0"/>
              <w:left w:val="single" w:color="auto" w:sz="4" w:space="0"/>
              <w:bottom w:val="single" w:color="auto" w:sz="4" w:space="0"/>
              <w:right w:val="single" w:color="auto" w:sz="4" w:space="0"/>
            </w:tcBorders>
            <w:vAlign w:val="center"/>
          </w:tcPr>
          <w:p w14:paraId="585D1524">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0600DF52">
            <w:pPr>
              <w:spacing w:line="240" w:lineRule="auto"/>
              <w:ind w:firstLine="0" w:firstLineChars="0"/>
              <w:jc w:val="center"/>
              <w:rPr>
                <w:rFonts w:cs="Times New Roman"/>
                <w:szCs w:val="21"/>
              </w:rPr>
            </w:pPr>
            <w:r>
              <w:rPr>
                <w:rFonts w:cs="Times New Roman"/>
                <w:sz w:val="21"/>
                <w:szCs w:val="21"/>
                <w:lang w:bidi="ar"/>
              </w:rPr>
              <w:t>4.46</w:t>
            </w:r>
          </w:p>
        </w:tc>
        <w:tc>
          <w:tcPr>
            <w:tcW w:w="588" w:type="pct"/>
            <w:tcBorders>
              <w:top w:val="single" w:color="auto" w:sz="4" w:space="0"/>
              <w:left w:val="single" w:color="auto" w:sz="4" w:space="0"/>
              <w:bottom w:val="single" w:color="auto" w:sz="4" w:space="0"/>
              <w:right w:val="single" w:color="auto" w:sz="4" w:space="0"/>
            </w:tcBorders>
            <w:vAlign w:val="center"/>
          </w:tcPr>
          <w:p w14:paraId="6A840D13">
            <w:pPr>
              <w:spacing w:line="240" w:lineRule="auto"/>
              <w:ind w:firstLine="0" w:firstLineChars="0"/>
              <w:jc w:val="center"/>
              <w:rPr>
                <w:rFonts w:cs="Times New Roman"/>
                <w:szCs w:val="21"/>
              </w:rPr>
            </w:pPr>
            <w:r>
              <w:rPr>
                <w:rFonts w:cs="Times New Roman"/>
                <w:sz w:val="21"/>
                <w:szCs w:val="21"/>
                <w:lang w:bidi="ar"/>
              </w:rPr>
              <w:t>1.02</w:t>
            </w:r>
          </w:p>
        </w:tc>
      </w:tr>
      <w:tr w14:paraId="5E786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1B6FB192">
            <w:pPr>
              <w:spacing w:line="240" w:lineRule="auto"/>
              <w:ind w:firstLine="0" w:firstLineChars="0"/>
              <w:jc w:val="center"/>
              <w:rPr>
                <w:rFonts w:cs="Times New Roman"/>
                <w:szCs w:val="21"/>
              </w:rPr>
            </w:pPr>
            <w:r>
              <w:rPr>
                <w:rFonts w:cs="Times New Roman"/>
                <w:sz w:val="21"/>
                <w:szCs w:val="21"/>
                <w:lang w:bidi="ar"/>
              </w:rPr>
              <w:t>E11</w:t>
            </w:r>
          </w:p>
        </w:tc>
        <w:tc>
          <w:tcPr>
            <w:tcW w:w="1109" w:type="pct"/>
            <w:tcBorders>
              <w:top w:val="single" w:color="auto" w:sz="4" w:space="0"/>
              <w:left w:val="single" w:color="auto" w:sz="4" w:space="0"/>
              <w:bottom w:val="single" w:color="auto" w:sz="4" w:space="0"/>
              <w:right w:val="single" w:color="auto" w:sz="4" w:space="0"/>
            </w:tcBorders>
            <w:vAlign w:val="center"/>
          </w:tcPr>
          <w:p w14:paraId="26FBEF9A">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2A23BE50">
            <w:pPr>
              <w:spacing w:line="240" w:lineRule="auto"/>
              <w:ind w:firstLine="0" w:firstLineChars="0"/>
              <w:jc w:val="center"/>
              <w:rPr>
                <w:rFonts w:cs="Times New Roman"/>
                <w:szCs w:val="21"/>
              </w:rPr>
            </w:pPr>
            <w:r>
              <w:rPr>
                <w:rFonts w:cs="Times New Roman"/>
                <w:sz w:val="21"/>
                <w:szCs w:val="21"/>
                <w:lang w:bidi="ar"/>
              </w:rPr>
              <w:t>13</w:t>
            </w:r>
          </w:p>
        </w:tc>
        <w:tc>
          <w:tcPr>
            <w:tcW w:w="588" w:type="pct"/>
            <w:tcBorders>
              <w:top w:val="single" w:color="auto" w:sz="4" w:space="0"/>
              <w:left w:val="single" w:color="auto" w:sz="4" w:space="0"/>
              <w:bottom w:val="single" w:color="auto" w:sz="4" w:space="0"/>
              <w:right w:val="single" w:color="auto" w:sz="4" w:space="0"/>
            </w:tcBorders>
            <w:vAlign w:val="center"/>
          </w:tcPr>
          <w:p w14:paraId="3848D4F6">
            <w:pPr>
              <w:spacing w:line="240" w:lineRule="auto"/>
              <w:ind w:firstLine="0" w:firstLineChars="0"/>
              <w:jc w:val="center"/>
              <w:rPr>
                <w:rFonts w:cs="Times New Roman"/>
                <w:szCs w:val="21"/>
              </w:rPr>
            </w:pPr>
            <w:r>
              <w:rPr>
                <w:rFonts w:cs="Times New Roman"/>
                <w:sz w:val="21"/>
                <w:szCs w:val="21"/>
                <w:lang w:bidi="ar"/>
              </w:rPr>
              <w:t>2.38</w:t>
            </w:r>
          </w:p>
        </w:tc>
        <w:tc>
          <w:tcPr>
            <w:tcW w:w="588" w:type="pct"/>
            <w:tcBorders>
              <w:top w:val="single" w:color="auto" w:sz="4" w:space="0"/>
              <w:left w:val="single" w:color="auto" w:sz="4" w:space="0"/>
              <w:bottom w:val="single" w:color="auto" w:sz="4" w:space="0"/>
              <w:right w:val="single" w:color="auto" w:sz="4" w:space="0"/>
            </w:tcBorders>
            <w:vAlign w:val="center"/>
          </w:tcPr>
          <w:p w14:paraId="5D1EA94C">
            <w:pPr>
              <w:spacing w:line="240" w:lineRule="auto"/>
              <w:ind w:firstLine="0" w:firstLineChars="0"/>
              <w:jc w:val="center"/>
              <w:rPr>
                <w:rFonts w:cs="Times New Roman"/>
                <w:szCs w:val="21"/>
              </w:rPr>
            </w:pPr>
            <w:r>
              <w:rPr>
                <w:rFonts w:cs="Times New Roman"/>
                <w:sz w:val="21"/>
                <w:szCs w:val="21"/>
                <w:lang w:bidi="ar"/>
              </w:rPr>
              <w:t>0.96</w:t>
            </w:r>
          </w:p>
        </w:tc>
        <w:tc>
          <w:tcPr>
            <w:tcW w:w="588" w:type="pct"/>
            <w:tcBorders>
              <w:top w:val="single" w:color="auto" w:sz="4" w:space="0"/>
              <w:left w:val="single" w:color="auto" w:sz="4" w:space="0"/>
              <w:bottom w:val="single" w:color="auto" w:sz="4" w:space="0"/>
              <w:right w:val="single" w:color="auto" w:sz="4" w:space="0"/>
            </w:tcBorders>
            <w:vAlign w:val="center"/>
          </w:tcPr>
          <w:p w14:paraId="7C51B0D5">
            <w:pPr>
              <w:spacing w:line="240" w:lineRule="auto"/>
              <w:ind w:firstLine="0" w:firstLineChars="0"/>
              <w:jc w:val="center"/>
              <w:rPr>
                <w:rFonts w:cs="Times New Roman"/>
                <w:szCs w:val="21"/>
              </w:rPr>
            </w:pPr>
            <w:r>
              <w:rPr>
                <w:rFonts w:cs="Times New Roman"/>
                <w:sz w:val="21"/>
                <w:szCs w:val="21"/>
                <w:lang w:bidi="ar"/>
              </w:rPr>
              <w:t>3.81</w:t>
            </w:r>
          </w:p>
        </w:tc>
        <w:tc>
          <w:tcPr>
            <w:tcW w:w="588" w:type="pct"/>
            <w:tcBorders>
              <w:top w:val="single" w:color="auto" w:sz="4" w:space="0"/>
              <w:left w:val="single" w:color="auto" w:sz="4" w:space="0"/>
              <w:bottom w:val="single" w:color="auto" w:sz="4" w:space="0"/>
              <w:right w:val="single" w:color="auto" w:sz="4" w:space="0"/>
            </w:tcBorders>
            <w:vAlign w:val="center"/>
          </w:tcPr>
          <w:p w14:paraId="64F9CE9E">
            <w:pPr>
              <w:spacing w:line="240" w:lineRule="auto"/>
              <w:ind w:firstLine="0" w:firstLineChars="0"/>
              <w:jc w:val="center"/>
              <w:rPr>
                <w:rFonts w:cs="Times New Roman"/>
                <w:szCs w:val="21"/>
              </w:rPr>
            </w:pPr>
            <w:r>
              <w:rPr>
                <w:rFonts w:cs="Times New Roman"/>
                <w:sz w:val="21"/>
                <w:szCs w:val="21"/>
                <w:lang w:bidi="ar"/>
              </w:rPr>
              <w:t>1.49</w:t>
            </w:r>
          </w:p>
        </w:tc>
      </w:tr>
      <w:tr w14:paraId="17D6A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4CBA2685">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1C648E37">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58B09BE9">
            <w:pPr>
              <w:spacing w:line="240" w:lineRule="auto"/>
              <w:ind w:firstLine="0" w:firstLineChars="0"/>
              <w:jc w:val="center"/>
              <w:rPr>
                <w:rFonts w:cs="Times New Roman"/>
                <w:szCs w:val="21"/>
              </w:rPr>
            </w:pPr>
            <w:r>
              <w:rPr>
                <w:rFonts w:cs="Times New Roman"/>
                <w:sz w:val="21"/>
                <w:szCs w:val="21"/>
                <w:lang w:bidi="ar"/>
              </w:rPr>
              <w:t>17</w:t>
            </w:r>
          </w:p>
        </w:tc>
        <w:tc>
          <w:tcPr>
            <w:tcW w:w="588" w:type="pct"/>
            <w:tcBorders>
              <w:top w:val="single" w:color="auto" w:sz="4" w:space="0"/>
              <w:left w:val="single" w:color="auto" w:sz="4" w:space="0"/>
              <w:bottom w:val="single" w:color="auto" w:sz="4" w:space="0"/>
              <w:right w:val="single" w:color="auto" w:sz="4" w:space="0"/>
            </w:tcBorders>
            <w:vAlign w:val="center"/>
          </w:tcPr>
          <w:p w14:paraId="0A5A21E0">
            <w:pPr>
              <w:spacing w:line="240" w:lineRule="auto"/>
              <w:ind w:firstLine="0" w:firstLineChars="0"/>
              <w:jc w:val="center"/>
              <w:rPr>
                <w:rFonts w:cs="Times New Roman"/>
                <w:szCs w:val="21"/>
              </w:rPr>
            </w:pPr>
            <w:r>
              <w:rPr>
                <w:rFonts w:cs="Times New Roman"/>
                <w:sz w:val="21"/>
                <w:szCs w:val="21"/>
                <w:lang w:bidi="ar"/>
              </w:rPr>
              <w:t>2.38</w:t>
            </w:r>
          </w:p>
        </w:tc>
        <w:tc>
          <w:tcPr>
            <w:tcW w:w="588" w:type="pct"/>
            <w:tcBorders>
              <w:top w:val="single" w:color="auto" w:sz="4" w:space="0"/>
              <w:left w:val="single" w:color="auto" w:sz="4" w:space="0"/>
              <w:bottom w:val="single" w:color="auto" w:sz="4" w:space="0"/>
              <w:right w:val="single" w:color="auto" w:sz="4" w:space="0"/>
            </w:tcBorders>
            <w:vAlign w:val="center"/>
          </w:tcPr>
          <w:p w14:paraId="3ED234E3">
            <w:pPr>
              <w:spacing w:line="240" w:lineRule="auto"/>
              <w:ind w:firstLine="0" w:firstLineChars="0"/>
              <w:jc w:val="center"/>
              <w:rPr>
                <w:rFonts w:cs="Times New Roman"/>
                <w:szCs w:val="21"/>
              </w:rPr>
            </w:pPr>
            <w:r>
              <w:rPr>
                <w:rFonts w:cs="Times New Roman"/>
                <w:sz w:val="21"/>
                <w:szCs w:val="21"/>
                <w:lang w:bidi="ar"/>
              </w:rPr>
              <w:t>0.95</w:t>
            </w:r>
          </w:p>
        </w:tc>
        <w:tc>
          <w:tcPr>
            <w:tcW w:w="588" w:type="pct"/>
            <w:tcBorders>
              <w:top w:val="single" w:color="auto" w:sz="4" w:space="0"/>
              <w:left w:val="single" w:color="auto" w:sz="4" w:space="0"/>
              <w:bottom w:val="single" w:color="auto" w:sz="4" w:space="0"/>
              <w:right w:val="single" w:color="auto" w:sz="4" w:space="0"/>
            </w:tcBorders>
            <w:vAlign w:val="center"/>
          </w:tcPr>
          <w:p w14:paraId="2143D03E">
            <w:pPr>
              <w:spacing w:line="240" w:lineRule="auto"/>
              <w:ind w:firstLine="0" w:firstLineChars="0"/>
              <w:jc w:val="center"/>
              <w:rPr>
                <w:rFonts w:cs="Times New Roman"/>
                <w:szCs w:val="21"/>
              </w:rPr>
            </w:pPr>
            <w:r>
              <w:rPr>
                <w:rFonts w:cs="Times New Roman"/>
                <w:sz w:val="21"/>
                <w:szCs w:val="21"/>
                <w:lang w:bidi="ar"/>
              </w:rPr>
              <w:t>3.21</w:t>
            </w:r>
          </w:p>
        </w:tc>
        <w:tc>
          <w:tcPr>
            <w:tcW w:w="588" w:type="pct"/>
            <w:tcBorders>
              <w:top w:val="single" w:color="auto" w:sz="4" w:space="0"/>
              <w:left w:val="single" w:color="auto" w:sz="4" w:space="0"/>
              <w:bottom w:val="single" w:color="auto" w:sz="4" w:space="0"/>
              <w:right w:val="single" w:color="auto" w:sz="4" w:space="0"/>
            </w:tcBorders>
            <w:vAlign w:val="center"/>
          </w:tcPr>
          <w:p w14:paraId="4198A3F4">
            <w:pPr>
              <w:spacing w:line="240" w:lineRule="auto"/>
              <w:ind w:firstLine="0" w:firstLineChars="0"/>
              <w:jc w:val="center"/>
              <w:rPr>
                <w:rFonts w:cs="Times New Roman"/>
                <w:szCs w:val="21"/>
              </w:rPr>
            </w:pPr>
            <w:r>
              <w:rPr>
                <w:rFonts w:cs="Times New Roman"/>
                <w:sz w:val="21"/>
                <w:szCs w:val="21"/>
                <w:lang w:bidi="ar"/>
              </w:rPr>
              <w:t>1.13</w:t>
            </w:r>
          </w:p>
        </w:tc>
      </w:tr>
      <w:tr w14:paraId="7035E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20093CD7">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1D6FCD03">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6518BBD0">
            <w:pPr>
              <w:spacing w:line="240" w:lineRule="auto"/>
              <w:ind w:firstLine="0" w:firstLineChars="0"/>
              <w:jc w:val="center"/>
              <w:rPr>
                <w:rFonts w:cs="Times New Roman"/>
                <w:szCs w:val="21"/>
              </w:rPr>
            </w:pPr>
            <w:r>
              <w:rPr>
                <w:rFonts w:cs="Times New Roman"/>
                <w:sz w:val="21"/>
                <w:szCs w:val="21"/>
                <w:lang w:bidi="ar"/>
              </w:rPr>
              <w:t>20</w:t>
            </w:r>
          </w:p>
        </w:tc>
        <w:tc>
          <w:tcPr>
            <w:tcW w:w="588" w:type="pct"/>
            <w:tcBorders>
              <w:top w:val="single" w:color="auto" w:sz="4" w:space="0"/>
              <w:left w:val="single" w:color="auto" w:sz="4" w:space="0"/>
              <w:bottom w:val="single" w:color="auto" w:sz="4" w:space="0"/>
              <w:right w:val="single" w:color="auto" w:sz="4" w:space="0"/>
            </w:tcBorders>
            <w:vAlign w:val="center"/>
          </w:tcPr>
          <w:p w14:paraId="00E9FE99">
            <w:pPr>
              <w:spacing w:line="240" w:lineRule="auto"/>
              <w:ind w:firstLine="0" w:firstLineChars="0"/>
              <w:jc w:val="center"/>
              <w:rPr>
                <w:rFonts w:cs="Times New Roman"/>
                <w:szCs w:val="21"/>
              </w:rPr>
            </w:pPr>
            <w:r>
              <w:rPr>
                <w:rFonts w:cs="Times New Roman"/>
                <w:sz w:val="21"/>
                <w:szCs w:val="21"/>
                <w:lang w:bidi="ar"/>
              </w:rPr>
              <w:t>2.55</w:t>
            </w:r>
          </w:p>
        </w:tc>
        <w:tc>
          <w:tcPr>
            <w:tcW w:w="588" w:type="pct"/>
            <w:tcBorders>
              <w:top w:val="single" w:color="auto" w:sz="4" w:space="0"/>
              <w:left w:val="single" w:color="auto" w:sz="4" w:space="0"/>
              <w:bottom w:val="single" w:color="auto" w:sz="4" w:space="0"/>
              <w:right w:val="single" w:color="auto" w:sz="4" w:space="0"/>
            </w:tcBorders>
            <w:vAlign w:val="center"/>
          </w:tcPr>
          <w:p w14:paraId="2BD8D381">
            <w:pPr>
              <w:spacing w:line="240" w:lineRule="auto"/>
              <w:ind w:firstLine="0" w:firstLineChars="0"/>
              <w:jc w:val="center"/>
              <w:rPr>
                <w:rFonts w:cs="Times New Roman"/>
                <w:szCs w:val="21"/>
              </w:rPr>
            </w:pPr>
            <w:r>
              <w:rPr>
                <w:rFonts w:cs="Times New Roman"/>
                <w:sz w:val="21"/>
                <w:szCs w:val="21"/>
                <w:lang w:bidi="ar"/>
              </w:rPr>
              <w:t>0.96</w:t>
            </w:r>
          </w:p>
        </w:tc>
        <w:tc>
          <w:tcPr>
            <w:tcW w:w="588" w:type="pct"/>
            <w:tcBorders>
              <w:top w:val="single" w:color="auto" w:sz="4" w:space="0"/>
              <w:left w:val="single" w:color="auto" w:sz="4" w:space="0"/>
              <w:bottom w:val="single" w:color="auto" w:sz="4" w:space="0"/>
              <w:right w:val="single" w:color="auto" w:sz="4" w:space="0"/>
            </w:tcBorders>
            <w:vAlign w:val="center"/>
          </w:tcPr>
          <w:p w14:paraId="3836BDE1">
            <w:pPr>
              <w:spacing w:line="240" w:lineRule="auto"/>
              <w:ind w:firstLine="0" w:firstLineChars="0"/>
              <w:jc w:val="center"/>
              <w:rPr>
                <w:rFonts w:cs="Times New Roman"/>
                <w:szCs w:val="21"/>
              </w:rPr>
            </w:pPr>
            <w:r>
              <w:rPr>
                <w:rFonts w:cs="Times New Roman"/>
                <w:sz w:val="21"/>
                <w:szCs w:val="21"/>
                <w:lang w:bidi="ar"/>
              </w:rPr>
              <w:t>3.49</w:t>
            </w:r>
          </w:p>
        </w:tc>
        <w:tc>
          <w:tcPr>
            <w:tcW w:w="588" w:type="pct"/>
            <w:tcBorders>
              <w:top w:val="single" w:color="auto" w:sz="4" w:space="0"/>
              <w:left w:val="single" w:color="auto" w:sz="4" w:space="0"/>
              <w:bottom w:val="single" w:color="auto" w:sz="4" w:space="0"/>
              <w:right w:val="single" w:color="auto" w:sz="4" w:space="0"/>
            </w:tcBorders>
            <w:vAlign w:val="center"/>
          </w:tcPr>
          <w:p w14:paraId="271F20B1">
            <w:pPr>
              <w:spacing w:line="240" w:lineRule="auto"/>
              <w:ind w:firstLine="0" w:firstLineChars="0"/>
              <w:jc w:val="center"/>
              <w:rPr>
                <w:rFonts w:cs="Times New Roman"/>
                <w:szCs w:val="21"/>
              </w:rPr>
            </w:pPr>
            <w:r>
              <w:rPr>
                <w:rFonts w:cs="Times New Roman"/>
                <w:sz w:val="21"/>
                <w:szCs w:val="21"/>
                <w:lang w:bidi="ar"/>
              </w:rPr>
              <w:t>1.16</w:t>
            </w:r>
          </w:p>
        </w:tc>
      </w:tr>
      <w:tr w14:paraId="04468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5FFB75EA">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4CE78D90">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6A2EBB4E">
            <w:pPr>
              <w:spacing w:line="240" w:lineRule="auto"/>
              <w:ind w:firstLine="0" w:firstLineChars="0"/>
              <w:jc w:val="center"/>
              <w:rPr>
                <w:rFonts w:cs="Times New Roman"/>
                <w:szCs w:val="21"/>
              </w:rPr>
            </w:pPr>
            <w:r>
              <w:rPr>
                <w:rFonts w:cs="Times New Roman"/>
                <w:sz w:val="21"/>
                <w:szCs w:val="21"/>
                <w:lang w:bidi="ar"/>
              </w:rPr>
              <w:t>50</w:t>
            </w:r>
          </w:p>
        </w:tc>
        <w:tc>
          <w:tcPr>
            <w:tcW w:w="588" w:type="pct"/>
            <w:tcBorders>
              <w:top w:val="single" w:color="auto" w:sz="4" w:space="0"/>
              <w:left w:val="single" w:color="auto" w:sz="4" w:space="0"/>
              <w:bottom w:val="single" w:color="auto" w:sz="4" w:space="0"/>
              <w:right w:val="single" w:color="auto" w:sz="4" w:space="0"/>
            </w:tcBorders>
            <w:vAlign w:val="center"/>
          </w:tcPr>
          <w:p w14:paraId="1DD4920E">
            <w:pPr>
              <w:spacing w:line="240" w:lineRule="auto"/>
              <w:ind w:firstLine="0" w:firstLineChars="0"/>
              <w:jc w:val="center"/>
              <w:rPr>
                <w:rFonts w:cs="Times New Roman"/>
                <w:szCs w:val="21"/>
              </w:rPr>
            </w:pPr>
            <w:r>
              <w:rPr>
                <w:rFonts w:cs="Times New Roman"/>
                <w:sz w:val="21"/>
                <w:szCs w:val="21"/>
                <w:lang w:bidi="ar"/>
              </w:rPr>
              <w:t>6.20</w:t>
            </w:r>
          </w:p>
        </w:tc>
        <w:tc>
          <w:tcPr>
            <w:tcW w:w="588" w:type="pct"/>
            <w:tcBorders>
              <w:top w:val="single" w:color="auto" w:sz="4" w:space="0"/>
              <w:left w:val="single" w:color="auto" w:sz="4" w:space="0"/>
              <w:bottom w:val="single" w:color="auto" w:sz="4" w:space="0"/>
              <w:right w:val="single" w:color="auto" w:sz="4" w:space="0"/>
            </w:tcBorders>
            <w:vAlign w:val="center"/>
          </w:tcPr>
          <w:p w14:paraId="7EF3DA14">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6C023DE7">
            <w:pPr>
              <w:spacing w:line="240" w:lineRule="auto"/>
              <w:ind w:firstLine="0" w:firstLineChars="0"/>
              <w:jc w:val="center"/>
              <w:rPr>
                <w:rFonts w:cs="Times New Roman"/>
                <w:szCs w:val="21"/>
              </w:rPr>
            </w:pPr>
            <w:r>
              <w:rPr>
                <w:rFonts w:cs="Times New Roman"/>
                <w:sz w:val="21"/>
                <w:szCs w:val="21"/>
                <w:lang w:bidi="ar"/>
              </w:rPr>
              <w:t>4.24</w:t>
            </w:r>
          </w:p>
        </w:tc>
        <w:tc>
          <w:tcPr>
            <w:tcW w:w="588" w:type="pct"/>
            <w:tcBorders>
              <w:top w:val="single" w:color="auto" w:sz="4" w:space="0"/>
              <w:left w:val="single" w:color="auto" w:sz="4" w:space="0"/>
              <w:bottom w:val="single" w:color="auto" w:sz="4" w:space="0"/>
              <w:right w:val="single" w:color="auto" w:sz="4" w:space="0"/>
            </w:tcBorders>
            <w:vAlign w:val="center"/>
          </w:tcPr>
          <w:p w14:paraId="2D0DC4E0">
            <w:pPr>
              <w:spacing w:line="240" w:lineRule="auto"/>
              <w:ind w:firstLine="0" w:firstLineChars="0"/>
              <w:jc w:val="center"/>
              <w:rPr>
                <w:rFonts w:cs="Times New Roman"/>
                <w:szCs w:val="21"/>
              </w:rPr>
            </w:pPr>
            <w:r>
              <w:rPr>
                <w:rFonts w:cs="Times New Roman"/>
                <w:sz w:val="21"/>
                <w:szCs w:val="21"/>
                <w:lang w:bidi="ar"/>
              </w:rPr>
              <w:t>1.08</w:t>
            </w:r>
          </w:p>
        </w:tc>
      </w:tr>
      <w:tr w14:paraId="0D42E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208B3E5E">
            <w:pPr>
              <w:spacing w:line="240" w:lineRule="auto"/>
              <w:ind w:firstLine="0" w:firstLineChars="0"/>
              <w:jc w:val="center"/>
              <w:rPr>
                <w:rFonts w:cs="Times New Roman"/>
                <w:szCs w:val="21"/>
              </w:rPr>
            </w:pPr>
            <w:r>
              <w:rPr>
                <w:rFonts w:cs="Times New Roman"/>
                <w:sz w:val="21"/>
                <w:szCs w:val="21"/>
                <w:lang w:bidi="ar"/>
              </w:rPr>
              <w:t>E12</w:t>
            </w:r>
          </w:p>
        </w:tc>
        <w:tc>
          <w:tcPr>
            <w:tcW w:w="1109" w:type="pct"/>
            <w:tcBorders>
              <w:top w:val="single" w:color="auto" w:sz="4" w:space="0"/>
              <w:left w:val="single" w:color="auto" w:sz="4" w:space="0"/>
              <w:bottom w:val="single" w:color="auto" w:sz="4" w:space="0"/>
              <w:right w:val="single" w:color="auto" w:sz="4" w:space="0"/>
            </w:tcBorders>
            <w:vAlign w:val="center"/>
          </w:tcPr>
          <w:p w14:paraId="18E45B04">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0B846B25">
            <w:pPr>
              <w:spacing w:line="240" w:lineRule="auto"/>
              <w:ind w:firstLine="0" w:firstLineChars="0"/>
              <w:jc w:val="center"/>
              <w:rPr>
                <w:rFonts w:cs="Times New Roman"/>
                <w:szCs w:val="21"/>
              </w:rPr>
            </w:pPr>
            <w:r>
              <w:rPr>
                <w:rFonts w:cs="Times New Roman"/>
                <w:sz w:val="21"/>
                <w:szCs w:val="21"/>
                <w:lang w:bidi="ar"/>
              </w:rPr>
              <w:t>14</w:t>
            </w:r>
          </w:p>
        </w:tc>
        <w:tc>
          <w:tcPr>
            <w:tcW w:w="588" w:type="pct"/>
            <w:tcBorders>
              <w:top w:val="single" w:color="auto" w:sz="4" w:space="0"/>
              <w:left w:val="single" w:color="auto" w:sz="4" w:space="0"/>
              <w:bottom w:val="single" w:color="auto" w:sz="4" w:space="0"/>
              <w:right w:val="single" w:color="auto" w:sz="4" w:space="0"/>
            </w:tcBorders>
            <w:vAlign w:val="center"/>
          </w:tcPr>
          <w:p w14:paraId="720F10E0">
            <w:pPr>
              <w:spacing w:line="240" w:lineRule="auto"/>
              <w:ind w:firstLine="0" w:firstLineChars="0"/>
              <w:jc w:val="center"/>
              <w:rPr>
                <w:rFonts w:cs="Times New Roman"/>
                <w:szCs w:val="21"/>
              </w:rPr>
            </w:pPr>
            <w:r>
              <w:rPr>
                <w:rFonts w:cs="Times New Roman"/>
                <w:sz w:val="21"/>
                <w:szCs w:val="21"/>
                <w:lang w:bidi="ar"/>
              </w:rPr>
              <w:t>2.48</w:t>
            </w:r>
          </w:p>
        </w:tc>
        <w:tc>
          <w:tcPr>
            <w:tcW w:w="588" w:type="pct"/>
            <w:tcBorders>
              <w:top w:val="single" w:color="auto" w:sz="4" w:space="0"/>
              <w:left w:val="single" w:color="auto" w:sz="4" w:space="0"/>
              <w:bottom w:val="single" w:color="auto" w:sz="4" w:space="0"/>
              <w:right w:val="single" w:color="auto" w:sz="4" w:space="0"/>
            </w:tcBorders>
            <w:vAlign w:val="center"/>
          </w:tcPr>
          <w:p w14:paraId="4707688C">
            <w:pPr>
              <w:spacing w:line="240" w:lineRule="auto"/>
              <w:ind w:firstLine="0" w:firstLineChars="0"/>
              <w:jc w:val="center"/>
              <w:rPr>
                <w:rFonts w:cs="Times New Roman"/>
                <w:szCs w:val="21"/>
              </w:rPr>
            </w:pPr>
            <w:r>
              <w:rPr>
                <w:rFonts w:cs="Times New Roman"/>
                <w:sz w:val="21"/>
                <w:szCs w:val="21"/>
                <w:lang w:bidi="ar"/>
              </w:rPr>
              <w:t>0.99</w:t>
            </w:r>
          </w:p>
        </w:tc>
        <w:tc>
          <w:tcPr>
            <w:tcW w:w="588" w:type="pct"/>
            <w:tcBorders>
              <w:top w:val="single" w:color="auto" w:sz="4" w:space="0"/>
              <w:left w:val="single" w:color="auto" w:sz="4" w:space="0"/>
              <w:bottom w:val="single" w:color="auto" w:sz="4" w:space="0"/>
              <w:right w:val="single" w:color="auto" w:sz="4" w:space="0"/>
            </w:tcBorders>
            <w:vAlign w:val="center"/>
          </w:tcPr>
          <w:p w14:paraId="0242906A">
            <w:pPr>
              <w:spacing w:line="240" w:lineRule="auto"/>
              <w:ind w:firstLine="0" w:firstLineChars="0"/>
              <w:jc w:val="center"/>
              <w:rPr>
                <w:rFonts w:cs="Times New Roman"/>
                <w:szCs w:val="21"/>
              </w:rPr>
            </w:pPr>
            <w:r>
              <w:rPr>
                <w:rFonts w:cs="Times New Roman"/>
                <w:sz w:val="21"/>
                <w:szCs w:val="21"/>
                <w:lang w:bidi="ar"/>
              </w:rPr>
              <w:t>5.19</w:t>
            </w:r>
          </w:p>
        </w:tc>
        <w:tc>
          <w:tcPr>
            <w:tcW w:w="588" w:type="pct"/>
            <w:tcBorders>
              <w:top w:val="single" w:color="auto" w:sz="4" w:space="0"/>
              <w:left w:val="single" w:color="auto" w:sz="4" w:space="0"/>
              <w:bottom w:val="single" w:color="auto" w:sz="4" w:space="0"/>
              <w:right w:val="single" w:color="auto" w:sz="4" w:space="0"/>
            </w:tcBorders>
            <w:vAlign w:val="center"/>
          </w:tcPr>
          <w:p w14:paraId="4EAAE5E8">
            <w:pPr>
              <w:spacing w:line="240" w:lineRule="auto"/>
              <w:ind w:firstLine="0" w:firstLineChars="0"/>
              <w:jc w:val="center"/>
              <w:rPr>
                <w:rFonts w:cs="Times New Roman"/>
                <w:szCs w:val="21"/>
              </w:rPr>
            </w:pPr>
            <w:r>
              <w:rPr>
                <w:rFonts w:cs="Times New Roman"/>
                <w:sz w:val="21"/>
                <w:szCs w:val="21"/>
                <w:lang w:bidi="ar"/>
              </w:rPr>
              <w:t>1.97</w:t>
            </w:r>
          </w:p>
        </w:tc>
      </w:tr>
      <w:tr w14:paraId="6AE89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5A8BD8D8">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420AC19E">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31B29A7F">
            <w:pPr>
              <w:spacing w:line="240" w:lineRule="auto"/>
              <w:ind w:firstLine="0" w:firstLineChars="0"/>
              <w:jc w:val="center"/>
              <w:rPr>
                <w:rFonts w:cs="Times New Roman"/>
                <w:szCs w:val="21"/>
              </w:rPr>
            </w:pPr>
            <w:r>
              <w:rPr>
                <w:rFonts w:cs="Times New Roman"/>
                <w:sz w:val="21"/>
                <w:szCs w:val="21"/>
                <w:lang w:bidi="ar"/>
              </w:rPr>
              <w:t>23</w:t>
            </w:r>
          </w:p>
        </w:tc>
        <w:tc>
          <w:tcPr>
            <w:tcW w:w="588" w:type="pct"/>
            <w:tcBorders>
              <w:top w:val="single" w:color="auto" w:sz="4" w:space="0"/>
              <w:left w:val="single" w:color="auto" w:sz="4" w:space="0"/>
              <w:bottom w:val="single" w:color="auto" w:sz="4" w:space="0"/>
              <w:right w:val="single" w:color="auto" w:sz="4" w:space="0"/>
            </w:tcBorders>
            <w:vAlign w:val="center"/>
          </w:tcPr>
          <w:p w14:paraId="2BDDDAA5">
            <w:pPr>
              <w:spacing w:line="240" w:lineRule="auto"/>
              <w:ind w:firstLine="0" w:firstLineChars="0"/>
              <w:jc w:val="center"/>
              <w:rPr>
                <w:rFonts w:cs="Times New Roman"/>
                <w:szCs w:val="21"/>
              </w:rPr>
            </w:pPr>
            <w:r>
              <w:rPr>
                <w:rFonts w:cs="Times New Roman"/>
                <w:sz w:val="21"/>
                <w:szCs w:val="21"/>
                <w:lang w:bidi="ar"/>
              </w:rPr>
              <w:t>3.49</w:t>
            </w:r>
          </w:p>
        </w:tc>
        <w:tc>
          <w:tcPr>
            <w:tcW w:w="588" w:type="pct"/>
            <w:tcBorders>
              <w:top w:val="single" w:color="auto" w:sz="4" w:space="0"/>
              <w:left w:val="single" w:color="auto" w:sz="4" w:space="0"/>
              <w:bottom w:val="single" w:color="auto" w:sz="4" w:space="0"/>
              <w:right w:val="single" w:color="auto" w:sz="4" w:space="0"/>
            </w:tcBorders>
            <w:vAlign w:val="center"/>
          </w:tcPr>
          <w:p w14:paraId="7919C3FB">
            <w:pPr>
              <w:spacing w:line="240" w:lineRule="auto"/>
              <w:ind w:firstLine="0" w:firstLineChars="0"/>
              <w:jc w:val="center"/>
              <w:rPr>
                <w:rFonts w:cs="Times New Roman"/>
                <w:szCs w:val="21"/>
              </w:rPr>
            </w:pPr>
            <w:r>
              <w:rPr>
                <w:rFonts w:cs="Times New Roman"/>
                <w:sz w:val="21"/>
                <w:szCs w:val="21"/>
                <w:lang w:bidi="ar"/>
              </w:rPr>
              <w:t>0.94</w:t>
            </w:r>
          </w:p>
        </w:tc>
        <w:tc>
          <w:tcPr>
            <w:tcW w:w="588" w:type="pct"/>
            <w:tcBorders>
              <w:top w:val="single" w:color="auto" w:sz="4" w:space="0"/>
              <w:left w:val="single" w:color="auto" w:sz="4" w:space="0"/>
              <w:bottom w:val="single" w:color="auto" w:sz="4" w:space="0"/>
              <w:right w:val="single" w:color="auto" w:sz="4" w:space="0"/>
            </w:tcBorders>
            <w:vAlign w:val="center"/>
          </w:tcPr>
          <w:p w14:paraId="6C805E6E">
            <w:pPr>
              <w:spacing w:line="240" w:lineRule="auto"/>
              <w:ind w:firstLine="0" w:firstLineChars="0"/>
              <w:jc w:val="center"/>
              <w:rPr>
                <w:rFonts w:cs="Times New Roman"/>
                <w:szCs w:val="21"/>
              </w:rPr>
            </w:pPr>
            <w:r>
              <w:rPr>
                <w:rFonts w:cs="Times New Roman"/>
                <w:sz w:val="21"/>
                <w:szCs w:val="21"/>
                <w:lang w:bidi="ar"/>
              </w:rPr>
              <w:t>3.22</w:t>
            </w:r>
          </w:p>
        </w:tc>
        <w:tc>
          <w:tcPr>
            <w:tcW w:w="588" w:type="pct"/>
            <w:tcBorders>
              <w:top w:val="single" w:color="auto" w:sz="4" w:space="0"/>
              <w:left w:val="single" w:color="auto" w:sz="4" w:space="0"/>
              <w:bottom w:val="single" w:color="auto" w:sz="4" w:space="0"/>
              <w:right w:val="single" w:color="auto" w:sz="4" w:space="0"/>
            </w:tcBorders>
            <w:vAlign w:val="center"/>
          </w:tcPr>
          <w:p w14:paraId="13B391AF">
            <w:pPr>
              <w:spacing w:line="240" w:lineRule="auto"/>
              <w:ind w:firstLine="0" w:firstLineChars="0"/>
              <w:jc w:val="center"/>
              <w:rPr>
                <w:rFonts w:cs="Times New Roman"/>
                <w:szCs w:val="21"/>
              </w:rPr>
            </w:pPr>
            <w:r>
              <w:rPr>
                <w:rFonts w:cs="Times New Roman"/>
                <w:sz w:val="21"/>
                <w:szCs w:val="21"/>
                <w:lang w:bidi="ar"/>
              </w:rPr>
              <w:t>1.03</w:t>
            </w:r>
          </w:p>
        </w:tc>
      </w:tr>
      <w:tr w14:paraId="6C746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776DC1C6">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48AFB3DA">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179393D4">
            <w:pPr>
              <w:spacing w:line="240" w:lineRule="auto"/>
              <w:ind w:firstLine="0" w:firstLineChars="0"/>
              <w:jc w:val="center"/>
              <w:rPr>
                <w:rFonts w:cs="Times New Roman"/>
                <w:szCs w:val="21"/>
              </w:rPr>
            </w:pPr>
            <w:r>
              <w:rPr>
                <w:rFonts w:cs="Times New Roman"/>
                <w:sz w:val="21"/>
                <w:szCs w:val="21"/>
                <w:lang w:bidi="ar"/>
              </w:rPr>
              <w:t>34</w:t>
            </w:r>
          </w:p>
        </w:tc>
        <w:tc>
          <w:tcPr>
            <w:tcW w:w="588" w:type="pct"/>
            <w:tcBorders>
              <w:top w:val="single" w:color="auto" w:sz="4" w:space="0"/>
              <w:left w:val="single" w:color="auto" w:sz="4" w:space="0"/>
              <w:bottom w:val="single" w:color="auto" w:sz="4" w:space="0"/>
              <w:right w:val="single" w:color="auto" w:sz="4" w:space="0"/>
            </w:tcBorders>
            <w:vAlign w:val="center"/>
          </w:tcPr>
          <w:p w14:paraId="139AF97F">
            <w:pPr>
              <w:spacing w:line="240" w:lineRule="auto"/>
              <w:ind w:firstLine="0" w:firstLineChars="0"/>
              <w:jc w:val="center"/>
              <w:rPr>
                <w:rFonts w:cs="Times New Roman"/>
                <w:szCs w:val="21"/>
              </w:rPr>
            </w:pPr>
            <w:r>
              <w:rPr>
                <w:rFonts w:cs="Times New Roman"/>
                <w:sz w:val="21"/>
                <w:szCs w:val="21"/>
                <w:lang w:bidi="ar"/>
              </w:rPr>
              <w:t>4.50</w:t>
            </w:r>
          </w:p>
        </w:tc>
        <w:tc>
          <w:tcPr>
            <w:tcW w:w="588" w:type="pct"/>
            <w:tcBorders>
              <w:top w:val="single" w:color="auto" w:sz="4" w:space="0"/>
              <w:left w:val="single" w:color="auto" w:sz="4" w:space="0"/>
              <w:bottom w:val="single" w:color="auto" w:sz="4" w:space="0"/>
              <w:right w:val="single" w:color="auto" w:sz="4" w:space="0"/>
            </w:tcBorders>
            <w:vAlign w:val="center"/>
          </w:tcPr>
          <w:p w14:paraId="3B622992">
            <w:pPr>
              <w:spacing w:line="240" w:lineRule="auto"/>
              <w:ind w:firstLine="0" w:firstLineChars="0"/>
              <w:jc w:val="center"/>
              <w:rPr>
                <w:rFonts w:cs="Times New Roman"/>
                <w:szCs w:val="21"/>
              </w:rPr>
            </w:pPr>
            <w:r>
              <w:rPr>
                <w:rFonts w:cs="Times New Roman"/>
                <w:sz w:val="21"/>
                <w:szCs w:val="21"/>
                <w:lang w:bidi="ar"/>
              </w:rPr>
              <w:t>0.97</w:t>
            </w:r>
          </w:p>
        </w:tc>
        <w:tc>
          <w:tcPr>
            <w:tcW w:w="588" w:type="pct"/>
            <w:tcBorders>
              <w:top w:val="single" w:color="auto" w:sz="4" w:space="0"/>
              <w:left w:val="single" w:color="auto" w:sz="4" w:space="0"/>
              <w:bottom w:val="single" w:color="auto" w:sz="4" w:space="0"/>
              <w:right w:val="single" w:color="auto" w:sz="4" w:space="0"/>
            </w:tcBorders>
            <w:vAlign w:val="center"/>
          </w:tcPr>
          <w:p w14:paraId="3FE194DD">
            <w:pPr>
              <w:spacing w:line="240" w:lineRule="auto"/>
              <w:ind w:firstLine="0" w:firstLineChars="0"/>
              <w:jc w:val="center"/>
              <w:rPr>
                <w:rFonts w:cs="Times New Roman"/>
                <w:szCs w:val="21"/>
              </w:rPr>
            </w:pPr>
            <w:r>
              <w:rPr>
                <w:rFonts w:cs="Times New Roman"/>
                <w:sz w:val="21"/>
                <w:szCs w:val="21"/>
                <w:lang w:bidi="ar"/>
              </w:rPr>
              <w:t>3.54</w:t>
            </w:r>
          </w:p>
        </w:tc>
        <w:tc>
          <w:tcPr>
            <w:tcW w:w="588" w:type="pct"/>
            <w:tcBorders>
              <w:top w:val="single" w:color="auto" w:sz="4" w:space="0"/>
              <w:left w:val="single" w:color="auto" w:sz="4" w:space="0"/>
              <w:bottom w:val="single" w:color="auto" w:sz="4" w:space="0"/>
              <w:right w:val="single" w:color="auto" w:sz="4" w:space="0"/>
            </w:tcBorders>
            <w:vAlign w:val="center"/>
          </w:tcPr>
          <w:p w14:paraId="4C18BF6C">
            <w:pPr>
              <w:spacing w:line="240" w:lineRule="auto"/>
              <w:ind w:firstLine="0" w:firstLineChars="0"/>
              <w:jc w:val="center"/>
              <w:rPr>
                <w:rFonts w:cs="Times New Roman"/>
                <w:szCs w:val="21"/>
              </w:rPr>
            </w:pPr>
            <w:r>
              <w:rPr>
                <w:rFonts w:cs="Times New Roman"/>
                <w:sz w:val="21"/>
                <w:szCs w:val="21"/>
                <w:lang w:bidi="ar"/>
              </w:rPr>
              <w:t>1.00</w:t>
            </w:r>
          </w:p>
        </w:tc>
      </w:tr>
      <w:tr w14:paraId="7B6D6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481E1530">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451FB139">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6BDEA8ED">
            <w:pPr>
              <w:spacing w:line="240" w:lineRule="auto"/>
              <w:ind w:firstLine="0" w:firstLineChars="0"/>
              <w:jc w:val="center"/>
              <w:rPr>
                <w:rFonts w:cs="Times New Roman"/>
                <w:szCs w:val="21"/>
              </w:rPr>
            </w:pPr>
            <w:r>
              <w:rPr>
                <w:rFonts w:cs="Times New Roman"/>
                <w:sz w:val="21"/>
                <w:szCs w:val="21"/>
                <w:lang w:bidi="ar"/>
              </w:rPr>
              <w:t>71</w:t>
            </w:r>
          </w:p>
        </w:tc>
        <w:tc>
          <w:tcPr>
            <w:tcW w:w="588" w:type="pct"/>
            <w:tcBorders>
              <w:top w:val="single" w:color="auto" w:sz="4" w:space="0"/>
              <w:left w:val="single" w:color="auto" w:sz="4" w:space="0"/>
              <w:bottom w:val="single" w:color="auto" w:sz="4" w:space="0"/>
              <w:right w:val="single" w:color="auto" w:sz="4" w:space="0"/>
            </w:tcBorders>
            <w:vAlign w:val="center"/>
          </w:tcPr>
          <w:p w14:paraId="58038867">
            <w:pPr>
              <w:spacing w:line="240" w:lineRule="auto"/>
              <w:ind w:firstLine="0" w:firstLineChars="0"/>
              <w:jc w:val="center"/>
              <w:rPr>
                <w:rFonts w:cs="Times New Roman"/>
                <w:szCs w:val="21"/>
              </w:rPr>
            </w:pPr>
            <w:r>
              <w:rPr>
                <w:rFonts w:cs="Times New Roman"/>
                <w:sz w:val="21"/>
                <w:szCs w:val="21"/>
                <w:lang w:bidi="ar"/>
              </w:rPr>
              <w:t>9.06</w:t>
            </w:r>
          </w:p>
        </w:tc>
        <w:tc>
          <w:tcPr>
            <w:tcW w:w="588" w:type="pct"/>
            <w:tcBorders>
              <w:top w:val="single" w:color="auto" w:sz="4" w:space="0"/>
              <w:left w:val="single" w:color="auto" w:sz="4" w:space="0"/>
              <w:bottom w:val="single" w:color="auto" w:sz="4" w:space="0"/>
              <w:right w:val="single" w:color="auto" w:sz="4" w:space="0"/>
            </w:tcBorders>
            <w:vAlign w:val="center"/>
          </w:tcPr>
          <w:p w14:paraId="1A94BE72">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575AEBE3">
            <w:pPr>
              <w:spacing w:line="240" w:lineRule="auto"/>
              <w:ind w:firstLine="0" w:firstLineChars="0"/>
              <w:jc w:val="center"/>
              <w:rPr>
                <w:rFonts w:cs="Times New Roman"/>
                <w:szCs w:val="21"/>
              </w:rPr>
            </w:pPr>
            <w:r>
              <w:rPr>
                <w:rFonts w:cs="Times New Roman"/>
                <w:sz w:val="21"/>
                <w:szCs w:val="21"/>
                <w:lang w:bidi="ar"/>
              </w:rPr>
              <w:t>4.47</w:t>
            </w:r>
          </w:p>
        </w:tc>
        <w:tc>
          <w:tcPr>
            <w:tcW w:w="588" w:type="pct"/>
            <w:tcBorders>
              <w:top w:val="single" w:color="auto" w:sz="4" w:space="0"/>
              <w:left w:val="single" w:color="auto" w:sz="4" w:space="0"/>
              <w:bottom w:val="single" w:color="auto" w:sz="4" w:space="0"/>
              <w:right w:val="single" w:color="auto" w:sz="4" w:space="0"/>
            </w:tcBorders>
            <w:vAlign w:val="center"/>
          </w:tcPr>
          <w:p w14:paraId="56184073">
            <w:pPr>
              <w:spacing w:line="240" w:lineRule="auto"/>
              <w:ind w:firstLine="0" w:firstLineChars="0"/>
              <w:jc w:val="center"/>
              <w:rPr>
                <w:rFonts w:cs="Times New Roman"/>
                <w:szCs w:val="21"/>
              </w:rPr>
            </w:pPr>
            <w:r>
              <w:rPr>
                <w:rFonts w:cs="Times New Roman"/>
                <w:sz w:val="21"/>
                <w:szCs w:val="21"/>
                <w:lang w:bidi="ar"/>
              </w:rPr>
              <w:t>1.05</w:t>
            </w:r>
          </w:p>
        </w:tc>
      </w:tr>
      <w:tr w14:paraId="745BB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2EDEA486">
            <w:pPr>
              <w:spacing w:line="240" w:lineRule="auto"/>
              <w:ind w:firstLine="0" w:firstLineChars="0"/>
              <w:jc w:val="center"/>
              <w:rPr>
                <w:rFonts w:cs="Times New Roman"/>
                <w:szCs w:val="21"/>
              </w:rPr>
            </w:pPr>
            <w:r>
              <w:rPr>
                <w:rFonts w:cs="Times New Roman"/>
                <w:sz w:val="21"/>
                <w:szCs w:val="21"/>
                <w:lang w:bidi="ar"/>
              </w:rPr>
              <w:t>E13</w:t>
            </w:r>
          </w:p>
        </w:tc>
        <w:tc>
          <w:tcPr>
            <w:tcW w:w="1109" w:type="pct"/>
            <w:tcBorders>
              <w:top w:val="single" w:color="auto" w:sz="4" w:space="0"/>
              <w:left w:val="single" w:color="auto" w:sz="4" w:space="0"/>
              <w:bottom w:val="single" w:color="auto" w:sz="4" w:space="0"/>
              <w:right w:val="single" w:color="auto" w:sz="4" w:space="0"/>
            </w:tcBorders>
            <w:vAlign w:val="center"/>
          </w:tcPr>
          <w:p w14:paraId="2E5A86B7">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61EEF2BF">
            <w:pPr>
              <w:spacing w:line="240" w:lineRule="auto"/>
              <w:ind w:firstLine="0" w:firstLineChars="0"/>
              <w:jc w:val="center"/>
              <w:rPr>
                <w:rFonts w:cs="Times New Roman"/>
                <w:szCs w:val="21"/>
              </w:rPr>
            </w:pPr>
            <w:r>
              <w:rPr>
                <w:rFonts w:cs="Times New Roman"/>
                <w:sz w:val="21"/>
                <w:szCs w:val="21"/>
                <w:lang w:bidi="ar"/>
              </w:rPr>
              <w:t>8</w:t>
            </w:r>
          </w:p>
        </w:tc>
        <w:tc>
          <w:tcPr>
            <w:tcW w:w="588" w:type="pct"/>
            <w:tcBorders>
              <w:top w:val="single" w:color="auto" w:sz="4" w:space="0"/>
              <w:left w:val="single" w:color="auto" w:sz="4" w:space="0"/>
              <w:bottom w:val="single" w:color="auto" w:sz="4" w:space="0"/>
              <w:right w:val="single" w:color="auto" w:sz="4" w:space="0"/>
            </w:tcBorders>
            <w:vAlign w:val="center"/>
          </w:tcPr>
          <w:p w14:paraId="26E3622E">
            <w:pPr>
              <w:spacing w:line="240" w:lineRule="auto"/>
              <w:ind w:firstLine="0" w:firstLineChars="0"/>
              <w:jc w:val="center"/>
              <w:rPr>
                <w:rFonts w:cs="Times New Roman"/>
                <w:szCs w:val="21"/>
              </w:rPr>
            </w:pPr>
            <w:r>
              <w:rPr>
                <w:rFonts w:cs="Times New Roman"/>
                <w:sz w:val="21"/>
                <w:szCs w:val="21"/>
                <w:lang w:bidi="ar"/>
              </w:rPr>
              <w:t>1.40</w:t>
            </w:r>
          </w:p>
        </w:tc>
        <w:tc>
          <w:tcPr>
            <w:tcW w:w="588" w:type="pct"/>
            <w:tcBorders>
              <w:top w:val="single" w:color="auto" w:sz="4" w:space="0"/>
              <w:left w:val="single" w:color="auto" w:sz="4" w:space="0"/>
              <w:bottom w:val="single" w:color="auto" w:sz="4" w:space="0"/>
              <w:right w:val="single" w:color="auto" w:sz="4" w:space="0"/>
            </w:tcBorders>
            <w:vAlign w:val="center"/>
          </w:tcPr>
          <w:p w14:paraId="7C3A3B8D">
            <w:pPr>
              <w:spacing w:line="240" w:lineRule="auto"/>
              <w:ind w:firstLine="0" w:firstLineChars="0"/>
              <w:jc w:val="center"/>
              <w:rPr>
                <w:rFonts w:cs="Times New Roman"/>
                <w:szCs w:val="21"/>
              </w:rPr>
            </w:pPr>
            <w:r>
              <w:rPr>
                <w:rFonts w:cs="Times New Roman"/>
                <w:sz w:val="21"/>
                <w:szCs w:val="21"/>
                <w:lang w:bidi="ar"/>
              </w:rPr>
              <w:t>0.91</w:t>
            </w:r>
          </w:p>
        </w:tc>
        <w:tc>
          <w:tcPr>
            <w:tcW w:w="588" w:type="pct"/>
            <w:tcBorders>
              <w:top w:val="single" w:color="auto" w:sz="4" w:space="0"/>
              <w:left w:val="single" w:color="auto" w:sz="4" w:space="0"/>
              <w:bottom w:val="single" w:color="auto" w:sz="4" w:space="0"/>
              <w:right w:val="single" w:color="auto" w:sz="4" w:space="0"/>
            </w:tcBorders>
            <w:vAlign w:val="center"/>
          </w:tcPr>
          <w:p w14:paraId="610B7CF1">
            <w:pPr>
              <w:spacing w:line="240" w:lineRule="auto"/>
              <w:ind w:firstLine="0" w:firstLineChars="0"/>
              <w:jc w:val="center"/>
              <w:rPr>
                <w:rFonts w:cs="Times New Roman"/>
                <w:szCs w:val="21"/>
              </w:rPr>
            </w:pPr>
            <w:r>
              <w:rPr>
                <w:rFonts w:cs="Times New Roman"/>
                <w:sz w:val="21"/>
                <w:szCs w:val="21"/>
                <w:lang w:bidi="ar"/>
              </w:rPr>
              <w:t>2.72</w:t>
            </w:r>
          </w:p>
        </w:tc>
        <w:tc>
          <w:tcPr>
            <w:tcW w:w="588" w:type="pct"/>
            <w:tcBorders>
              <w:top w:val="single" w:color="auto" w:sz="4" w:space="0"/>
              <w:left w:val="single" w:color="auto" w:sz="4" w:space="0"/>
              <w:bottom w:val="single" w:color="auto" w:sz="4" w:space="0"/>
              <w:right w:val="single" w:color="auto" w:sz="4" w:space="0"/>
            </w:tcBorders>
            <w:vAlign w:val="center"/>
          </w:tcPr>
          <w:p w14:paraId="10C518F9">
            <w:pPr>
              <w:spacing w:line="240" w:lineRule="auto"/>
              <w:ind w:firstLine="0" w:firstLineChars="0"/>
              <w:jc w:val="center"/>
              <w:rPr>
                <w:rFonts w:cs="Times New Roman"/>
                <w:szCs w:val="21"/>
              </w:rPr>
            </w:pPr>
            <w:r>
              <w:rPr>
                <w:rFonts w:cs="Times New Roman"/>
                <w:sz w:val="21"/>
                <w:szCs w:val="21"/>
                <w:lang w:bidi="ar"/>
              </w:rPr>
              <w:t>1.31</w:t>
            </w:r>
          </w:p>
        </w:tc>
      </w:tr>
      <w:tr w14:paraId="67616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7ED82AE6">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45F2A706">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08FE798F">
            <w:pPr>
              <w:spacing w:line="240" w:lineRule="auto"/>
              <w:ind w:firstLine="0" w:firstLineChars="0"/>
              <w:jc w:val="center"/>
              <w:rPr>
                <w:rFonts w:cs="Times New Roman"/>
                <w:szCs w:val="21"/>
              </w:rPr>
            </w:pPr>
            <w:r>
              <w:rPr>
                <w:rFonts w:cs="Times New Roman"/>
                <w:sz w:val="21"/>
                <w:szCs w:val="21"/>
                <w:lang w:bidi="ar"/>
              </w:rPr>
              <w:t>16</w:t>
            </w:r>
          </w:p>
        </w:tc>
        <w:tc>
          <w:tcPr>
            <w:tcW w:w="588" w:type="pct"/>
            <w:tcBorders>
              <w:top w:val="single" w:color="auto" w:sz="4" w:space="0"/>
              <w:left w:val="single" w:color="auto" w:sz="4" w:space="0"/>
              <w:bottom w:val="single" w:color="auto" w:sz="4" w:space="0"/>
              <w:right w:val="single" w:color="auto" w:sz="4" w:space="0"/>
            </w:tcBorders>
            <w:vAlign w:val="center"/>
          </w:tcPr>
          <w:p w14:paraId="258A1767">
            <w:pPr>
              <w:spacing w:line="240" w:lineRule="auto"/>
              <w:ind w:firstLine="0" w:firstLineChars="0"/>
              <w:jc w:val="center"/>
              <w:rPr>
                <w:rFonts w:cs="Times New Roman"/>
                <w:szCs w:val="21"/>
              </w:rPr>
            </w:pPr>
            <w:r>
              <w:rPr>
                <w:rFonts w:cs="Times New Roman"/>
                <w:sz w:val="21"/>
                <w:szCs w:val="21"/>
                <w:lang w:bidi="ar"/>
              </w:rPr>
              <w:t>2.31</w:t>
            </w:r>
          </w:p>
        </w:tc>
        <w:tc>
          <w:tcPr>
            <w:tcW w:w="588" w:type="pct"/>
            <w:tcBorders>
              <w:top w:val="single" w:color="auto" w:sz="4" w:space="0"/>
              <w:left w:val="single" w:color="auto" w:sz="4" w:space="0"/>
              <w:bottom w:val="single" w:color="auto" w:sz="4" w:space="0"/>
              <w:right w:val="single" w:color="auto" w:sz="4" w:space="0"/>
            </w:tcBorders>
            <w:vAlign w:val="center"/>
          </w:tcPr>
          <w:p w14:paraId="3DB08397">
            <w:pPr>
              <w:spacing w:line="240" w:lineRule="auto"/>
              <w:ind w:firstLine="0" w:firstLineChars="0"/>
              <w:jc w:val="center"/>
              <w:rPr>
                <w:rFonts w:cs="Times New Roman"/>
                <w:szCs w:val="21"/>
              </w:rPr>
            </w:pPr>
            <w:r>
              <w:rPr>
                <w:rFonts w:cs="Times New Roman"/>
                <w:sz w:val="21"/>
                <w:szCs w:val="21"/>
                <w:lang w:bidi="ar"/>
              </w:rPr>
              <w:t>0.94</w:t>
            </w:r>
          </w:p>
        </w:tc>
        <w:tc>
          <w:tcPr>
            <w:tcW w:w="588" w:type="pct"/>
            <w:tcBorders>
              <w:top w:val="single" w:color="auto" w:sz="4" w:space="0"/>
              <w:left w:val="single" w:color="auto" w:sz="4" w:space="0"/>
              <w:bottom w:val="single" w:color="auto" w:sz="4" w:space="0"/>
              <w:right w:val="single" w:color="auto" w:sz="4" w:space="0"/>
            </w:tcBorders>
            <w:vAlign w:val="center"/>
          </w:tcPr>
          <w:p w14:paraId="37B50209">
            <w:pPr>
              <w:spacing w:line="240" w:lineRule="auto"/>
              <w:ind w:firstLine="0" w:firstLineChars="0"/>
              <w:jc w:val="center"/>
              <w:rPr>
                <w:rFonts w:cs="Times New Roman"/>
                <w:szCs w:val="21"/>
              </w:rPr>
            </w:pPr>
            <w:r>
              <w:rPr>
                <w:rFonts w:cs="Times New Roman"/>
                <w:sz w:val="21"/>
                <w:szCs w:val="21"/>
                <w:lang w:bidi="ar"/>
              </w:rPr>
              <w:t>3.20</w:t>
            </w:r>
          </w:p>
        </w:tc>
        <w:tc>
          <w:tcPr>
            <w:tcW w:w="588" w:type="pct"/>
            <w:tcBorders>
              <w:top w:val="single" w:color="auto" w:sz="4" w:space="0"/>
              <w:left w:val="single" w:color="auto" w:sz="4" w:space="0"/>
              <w:bottom w:val="single" w:color="auto" w:sz="4" w:space="0"/>
              <w:right w:val="single" w:color="auto" w:sz="4" w:space="0"/>
            </w:tcBorders>
            <w:vAlign w:val="center"/>
          </w:tcPr>
          <w:p w14:paraId="361BE65E">
            <w:pPr>
              <w:spacing w:line="240" w:lineRule="auto"/>
              <w:ind w:firstLine="0" w:firstLineChars="0"/>
              <w:jc w:val="center"/>
              <w:rPr>
                <w:rFonts w:cs="Times New Roman"/>
                <w:szCs w:val="21"/>
              </w:rPr>
            </w:pPr>
            <w:r>
              <w:rPr>
                <w:rFonts w:cs="Times New Roman"/>
                <w:sz w:val="21"/>
                <w:szCs w:val="21"/>
                <w:lang w:bidi="ar"/>
              </w:rPr>
              <w:t>1.16</w:t>
            </w:r>
          </w:p>
        </w:tc>
      </w:tr>
      <w:tr w14:paraId="5477D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1EF229B3">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4B368AE6">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067B6F5A">
            <w:pPr>
              <w:spacing w:line="240" w:lineRule="auto"/>
              <w:ind w:firstLine="0" w:firstLineChars="0"/>
              <w:jc w:val="center"/>
              <w:rPr>
                <w:rFonts w:cs="Times New Roman"/>
                <w:szCs w:val="21"/>
              </w:rPr>
            </w:pPr>
            <w:r>
              <w:rPr>
                <w:rFonts w:cs="Times New Roman"/>
                <w:sz w:val="21"/>
                <w:szCs w:val="21"/>
                <w:lang w:bidi="ar"/>
              </w:rPr>
              <w:t>15</w:t>
            </w:r>
          </w:p>
        </w:tc>
        <w:tc>
          <w:tcPr>
            <w:tcW w:w="588" w:type="pct"/>
            <w:tcBorders>
              <w:top w:val="single" w:color="auto" w:sz="4" w:space="0"/>
              <w:left w:val="single" w:color="auto" w:sz="4" w:space="0"/>
              <w:bottom w:val="single" w:color="auto" w:sz="4" w:space="0"/>
              <w:right w:val="single" w:color="auto" w:sz="4" w:space="0"/>
            </w:tcBorders>
            <w:vAlign w:val="center"/>
          </w:tcPr>
          <w:p w14:paraId="486B8259">
            <w:pPr>
              <w:spacing w:line="240" w:lineRule="auto"/>
              <w:ind w:firstLine="0" w:firstLineChars="0"/>
              <w:jc w:val="center"/>
              <w:rPr>
                <w:rFonts w:cs="Times New Roman"/>
                <w:szCs w:val="21"/>
              </w:rPr>
            </w:pPr>
            <w:r>
              <w:rPr>
                <w:rFonts w:cs="Times New Roman"/>
                <w:sz w:val="21"/>
                <w:szCs w:val="21"/>
                <w:lang w:bidi="ar"/>
              </w:rPr>
              <w:t>1.79</w:t>
            </w:r>
          </w:p>
        </w:tc>
        <w:tc>
          <w:tcPr>
            <w:tcW w:w="588" w:type="pct"/>
            <w:tcBorders>
              <w:top w:val="single" w:color="auto" w:sz="4" w:space="0"/>
              <w:left w:val="single" w:color="auto" w:sz="4" w:space="0"/>
              <w:bottom w:val="single" w:color="auto" w:sz="4" w:space="0"/>
              <w:right w:val="single" w:color="auto" w:sz="4" w:space="0"/>
            </w:tcBorders>
            <w:vAlign w:val="center"/>
          </w:tcPr>
          <w:p w14:paraId="5F746214">
            <w:pPr>
              <w:spacing w:line="240" w:lineRule="auto"/>
              <w:ind w:firstLine="0" w:firstLineChars="0"/>
              <w:jc w:val="center"/>
              <w:rPr>
                <w:rFonts w:cs="Times New Roman"/>
                <w:szCs w:val="21"/>
              </w:rPr>
            </w:pPr>
            <w:r>
              <w:rPr>
                <w:rFonts w:cs="Times New Roman"/>
                <w:sz w:val="21"/>
                <w:szCs w:val="21"/>
                <w:lang w:bidi="ar"/>
              </w:rPr>
              <w:t>0.96</w:t>
            </w:r>
          </w:p>
        </w:tc>
        <w:tc>
          <w:tcPr>
            <w:tcW w:w="588" w:type="pct"/>
            <w:tcBorders>
              <w:top w:val="single" w:color="auto" w:sz="4" w:space="0"/>
              <w:left w:val="single" w:color="auto" w:sz="4" w:space="0"/>
              <w:bottom w:val="single" w:color="auto" w:sz="4" w:space="0"/>
              <w:right w:val="single" w:color="auto" w:sz="4" w:space="0"/>
            </w:tcBorders>
            <w:vAlign w:val="center"/>
          </w:tcPr>
          <w:p w14:paraId="0EE379A0">
            <w:pPr>
              <w:spacing w:line="240" w:lineRule="auto"/>
              <w:ind w:firstLine="0" w:firstLineChars="0"/>
              <w:jc w:val="center"/>
              <w:rPr>
                <w:rFonts w:cs="Times New Roman"/>
                <w:szCs w:val="21"/>
              </w:rPr>
            </w:pPr>
            <w:r>
              <w:rPr>
                <w:rFonts w:cs="Times New Roman"/>
                <w:sz w:val="21"/>
                <w:szCs w:val="21"/>
                <w:lang w:bidi="ar"/>
              </w:rPr>
              <w:t>3.43</w:t>
            </w:r>
          </w:p>
        </w:tc>
        <w:tc>
          <w:tcPr>
            <w:tcW w:w="588" w:type="pct"/>
            <w:tcBorders>
              <w:top w:val="single" w:color="auto" w:sz="4" w:space="0"/>
              <w:left w:val="single" w:color="auto" w:sz="4" w:space="0"/>
              <w:bottom w:val="single" w:color="auto" w:sz="4" w:space="0"/>
              <w:right w:val="single" w:color="auto" w:sz="4" w:space="0"/>
            </w:tcBorders>
            <w:vAlign w:val="center"/>
          </w:tcPr>
          <w:p w14:paraId="47BDB93B">
            <w:pPr>
              <w:spacing w:line="240" w:lineRule="auto"/>
              <w:ind w:firstLine="0" w:firstLineChars="0"/>
              <w:jc w:val="center"/>
              <w:rPr>
                <w:rFonts w:cs="Times New Roman"/>
                <w:szCs w:val="21"/>
              </w:rPr>
            </w:pPr>
            <w:r>
              <w:rPr>
                <w:rFonts w:cs="Times New Roman"/>
                <w:sz w:val="21"/>
                <w:szCs w:val="21"/>
                <w:lang w:bidi="ar"/>
              </w:rPr>
              <w:t>1.27</w:t>
            </w:r>
          </w:p>
        </w:tc>
      </w:tr>
      <w:tr w14:paraId="55AB6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14BBD4C5">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04DE55D9">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609015DC">
            <w:pPr>
              <w:spacing w:line="240" w:lineRule="auto"/>
              <w:ind w:firstLine="0" w:firstLineChars="0"/>
              <w:jc w:val="center"/>
              <w:rPr>
                <w:rFonts w:cs="Times New Roman"/>
                <w:szCs w:val="21"/>
              </w:rPr>
            </w:pPr>
            <w:r>
              <w:rPr>
                <w:rFonts w:cs="Times New Roman"/>
                <w:sz w:val="21"/>
                <w:szCs w:val="21"/>
                <w:lang w:bidi="ar"/>
              </w:rPr>
              <w:t>39</w:t>
            </w:r>
          </w:p>
        </w:tc>
        <w:tc>
          <w:tcPr>
            <w:tcW w:w="588" w:type="pct"/>
            <w:tcBorders>
              <w:top w:val="single" w:color="auto" w:sz="4" w:space="0"/>
              <w:left w:val="single" w:color="auto" w:sz="4" w:space="0"/>
              <w:bottom w:val="single" w:color="auto" w:sz="4" w:space="0"/>
              <w:right w:val="single" w:color="auto" w:sz="4" w:space="0"/>
            </w:tcBorders>
            <w:vAlign w:val="center"/>
          </w:tcPr>
          <w:p w14:paraId="12A38353">
            <w:pPr>
              <w:spacing w:line="240" w:lineRule="auto"/>
              <w:ind w:firstLine="0" w:firstLineChars="0"/>
              <w:jc w:val="center"/>
              <w:rPr>
                <w:rFonts w:cs="Times New Roman"/>
                <w:szCs w:val="21"/>
              </w:rPr>
            </w:pPr>
            <w:r>
              <w:rPr>
                <w:rFonts w:cs="Times New Roman"/>
                <w:sz w:val="21"/>
                <w:szCs w:val="21"/>
                <w:lang w:bidi="ar"/>
              </w:rPr>
              <w:t>4.69</w:t>
            </w:r>
          </w:p>
        </w:tc>
        <w:tc>
          <w:tcPr>
            <w:tcW w:w="588" w:type="pct"/>
            <w:tcBorders>
              <w:top w:val="single" w:color="auto" w:sz="4" w:space="0"/>
              <w:left w:val="single" w:color="auto" w:sz="4" w:space="0"/>
              <w:bottom w:val="single" w:color="auto" w:sz="4" w:space="0"/>
              <w:right w:val="single" w:color="auto" w:sz="4" w:space="0"/>
            </w:tcBorders>
            <w:vAlign w:val="center"/>
          </w:tcPr>
          <w:p w14:paraId="25F1B7EF">
            <w:pPr>
              <w:spacing w:line="240" w:lineRule="auto"/>
              <w:ind w:firstLine="0" w:firstLineChars="0"/>
              <w:jc w:val="center"/>
              <w:rPr>
                <w:rFonts w:cs="Times New Roman"/>
                <w:szCs w:val="21"/>
              </w:rPr>
            </w:pPr>
            <w:r>
              <w:rPr>
                <w:rFonts w:cs="Times New Roman"/>
                <w:sz w:val="21"/>
                <w:szCs w:val="21"/>
                <w:lang w:bidi="ar"/>
              </w:rPr>
              <w:t>0.97</w:t>
            </w:r>
          </w:p>
        </w:tc>
        <w:tc>
          <w:tcPr>
            <w:tcW w:w="588" w:type="pct"/>
            <w:tcBorders>
              <w:top w:val="single" w:color="auto" w:sz="4" w:space="0"/>
              <w:left w:val="single" w:color="auto" w:sz="4" w:space="0"/>
              <w:bottom w:val="single" w:color="auto" w:sz="4" w:space="0"/>
              <w:right w:val="single" w:color="auto" w:sz="4" w:space="0"/>
            </w:tcBorders>
            <w:vAlign w:val="center"/>
          </w:tcPr>
          <w:p w14:paraId="452A08D1">
            <w:pPr>
              <w:spacing w:line="240" w:lineRule="auto"/>
              <w:ind w:firstLine="0" w:firstLineChars="0"/>
              <w:jc w:val="center"/>
              <w:rPr>
                <w:rFonts w:cs="Times New Roman"/>
                <w:szCs w:val="21"/>
              </w:rPr>
            </w:pPr>
            <w:r>
              <w:rPr>
                <w:rFonts w:cs="Times New Roman"/>
                <w:sz w:val="21"/>
                <w:szCs w:val="21"/>
                <w:lang w:bidi="ar"/>
              </w:rPr>
              <w:t>4.03</w:t>
            </w:r>
          </w:p>
        </w:tc>
        <w:tc>
          <w:tcPr>
            <w:tcW w:w="588" w:type="pct"/>
            <w:tcBorders>
              <w:top w:val="single" w:color="auto" w:sz="4" w:space="0"/>
              <w:left w:val="single" w:color="auto" w:sz="4" w:space="0"/>
              <w:bottom w:val="single" w:color="auto" w:sz="4" w:space="0"/>
              <w:right w:val="single" w:color="auto" w:sz="4" w:space="0"/>
            </w:tcBorders>
            <w:vAlign w:val="center"/>
          </w:tcPr>
          <w:p w14:paraId="78A10E38">
            <w:pPr>
              <w:spacing w:line="240" w:lineRule="auto"/>
              <w:ind w:firstLine="0" w:firstLineChars="0"/>
              <w:jc w:val="center"/>
              <w:rPr>
                <w:rFonts w:cs="Times New Roman"/>
                <w:szCs w:val="21"/>
              </w:rPr>
            </w:pPr>
            <w:r>
              <w:rPr>
                <w:rFonts w:cs="Times New Roman"/>
                <w:sz w:val="21"/>
                <w:szCs w:val="21"/>
                <w:lang w:bidi="ar"/>
              </w:rPr>
              <w:t>1.10</w:t>
            </w:r>
          </w:p>
        </w:tc>
      </w:tr>
      <w:tr w14:paraId="2B644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2AC629DB">
            <w:pPr>
              <w:spacing w:line="240" w:lineRule="auto"/>
              <w:ind w:firstLine="0" w:firstLineChars="0"/>
              <w:jc w:val="center"/>
              <w:rPr>
                <w:rFonts w:cs="Times New Roman"/>
                <w:szCs w:val="21"/>
              </w:rPr>
            </w:pPr>
            <w:r>
              <w:rPr>
                <w:rFonts w:cs="Times New Roman"/>
                <w:sz w:val="21"/>
                <w:szCs w:val="21"/>
                <w:lang w:bidi="ar"/>
              </w:rPr>
              <w:t>E14</w:t>
            </w:r>
          </w:p>
        </w:tc>
        <w:tc>
          <w:tcPr>
            <w:tcW w:w="1109" w:type="pct"/>
            <w:tcBorders>
              <w:top w:val="single" w:color="auto" w:sz="4" w:space="0"/>
              <w:left w:val="single" w:color="auto" w:sz="4" w:space="0"/>
              <w:bottom w:val="single" w:color="auto" w:sz="4" w:space="0"/>
              <w:right w:val="single" w:color="auto" w:sz="4" w:space="0"/>
            </w:tcBorders>
            <w:vAlign w:val="center"/>
          </w:tcPr>
          <w:p w14:paraId="0F408F6D">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3ACB0C69">
            <w:pPr>
              <w:spacing w:line="240" w:lineRule="auto"/>
              <w:ind w:firstLine="0" w:firstLineChars="0"/>
              <w:jc w:val="center"/>
              <w:rPr>
                <w:rFonts w:cs="Times New Roman"/>
                <w:szCs w:val="21"/>
              </w:rPr>
            </w:pPr>
            <w:r>
              <w:rPr>
                <w:rFonts w:cs="Times New Roman"/>
                <w:sz w:val="21"/>
                <w:szCs w:val="21"/>
                <w:lang w:bidi="ar"/>
              </w:rPr>
              <w:t>10</w:t>
            </w:r>
          </w:p>
        </w:tc>
        <w:tc>
          <w:tcPr>
            <w:tcW w:w="588" w:type="pct"/>
            <w:tcBorders>
              <w:top w:val="single" w:color="auto" w:sz="4" w:space="0"/>
              <w:left w:val="single" w:color="auto" w:sz="4" w:space="0"/>
              <w:bottom w:val="single" w:color="auto" w:sz="4" w:space="0"/>
              <w:right w:val="single" w:color="auto" w:sz="4" w:space="0"/>
            </w:tcBorders>
            <w:vAlign w:val="center"/>
          </w:tcPr>
          <w:p w14:paraId="1AA7DA62">
            <w:pPr>
              <w:spacing w:line="240" w:lineRule="auto"/>
              <w:ind w:firstLine="0" w:firstLineChars="0"/>
              <w:jc w:val="center"/>
              <w:rPr>
                <w:rFonts w:cs="Times New Roman"/>
                <w:szCs w:val="21"/>
              </w:rPr>
            </w:pPr>
            <w:r>
              <w:rPr>
                <w:rFonts w:cs="Times New Roman"/>
                <w:sz w:val="21"/>
                <w:szCs w:val="21"/>
                <w:lang w:bidi="ar"/>
              </w:rPr>
              <w:t>2.01</w:t>
            </w:r>
          </w:p>
        </w:tc>
        <w:tc>
          <w:tcPr>
            <w:tcW w:w="588" w:type="pct"/>
            <w:tcBorders>
              <w:top w:val="single" w:color="auto" w:sz="4" w:space="0"/>
              <w:left w:val="single" w:color="auto" w:sz="4" w:space="0"/>
              <w:bottom w:val="single" w:color="auto" w:sz="4" w:space="0"/>
              <w:right w:val="single" w:color="auto" w:sz="4" w:space="0"/>
            </w:tcBorders>
            <w:vAlign w:val="center"/>
          </w:tcPr>
          <w:p w14:paraId="3471AAF5">
            <w:pPr>
              <w:spacing w:line="240" w:lineRule="auto"/>
              <w:ind w:firstLine="0" w:firstLineChars="0"/>
              <w:jc w:val="center"/>
              <w:rPr>
                <w:rFonts w:cs="Times New Roman"/>
                <w:szCs w:val="21"/>
              </w:rPr>
            </w:pPr>
            <w:r>
              <w:rPr>
                <w:rFonts w:cs="Times New Roman"/>
                <w:sz w:val="21"/>
                <w:szCs w:val="21"/>
                <w:lang w:bidi="ar"/>
              </w:rPr>
              <w:t>0.99</w:t>
            </w:r>
          </w:p>
        </w:tc>
        <w:tc>
          <w:tcPr>
            <w:tcW w:w="588" w:type="pct"/>
            <w:tcBorders>
              <w:top w:val="single" w:color="auto" w:sz="4" w:space="0"/>
              <w:left w:val="single" w:color="auto" w:sz="4" w:space="0"/>
              <w:bottom w:val="single" w:color="auto" w:sz="4" w:space="0"/>
              <w:right w:val="single" w:color="auto" w:sz="4" w:space="0"/>
            </w:tcBorders>
            <w:vAlign w:val="center"/>
          </w:tcPr>
          <w:p w14:paraId="07B84C2E">
            <w:pPr>
              <w:spacing w:line="240" w:lineRule="auto"/>
              <w:ind w:firstLine="0" w:firstLineChars="0"/>
              <w:jc w:val="center"/>
              <w:rPr>
                <w:rFonts w:cs="Times New Roman"/>
                <w:szCs w:val="21"/>
              </w:rPr>
            </w:pPr>
            <w:r>
              <w:rPr>
                <w:rFonts w:cs="Times New Roman"/>
                <w:sz w:val="21"/>
                <w:szCs w:val="21"/>
                <w:lang w:bidi="ar"/>
              </w:rPr>
              <w:t>4.48</w:t>
            </w:r>
          </w:p>
        </w:tc>
        <w:tc>
          <w:tcPr>
            <w:tcW w:w="588" w:type="pct"/>
            <w:tcBorders>
              <w:top w:val="single" w:color="auto" w:sz="4" w:space="0"/>
              <w:left w:val="single" w:color="auto" w:sz="4" w:space="0"/>
              <w:bottom w:val="single" w:color="auto" w:sz="4" w:space="0"/>
              <w:right w:val="single" w:color="auto" w:sz="4" w:space="0"/>
            </w:tcBorders>
            <w:vAlign w:val="center"/>
          </w:tcPr>
          <w:p w14:paraId="444F25A7">
            <w:pPr>
              <w:spacing w:line="240" w:lineRule="auto"/>
              <w:ind w:firstLine="0" w:firstLineChars="0"/>
              <w:jc w:val="center"/>
              <w:rPr>
                <w:rFonts w:cs="Times New Roman"/>
                <w:szCs w:val="21"/>
              </w:rPr>
            </w:pPr>
            <w:r>
              <w:rPr>
                <w:rFonts w:cs="Times New Roman"/>
                <w:sz w:val="21"/>
                <w:szCs w:val="21"/>
                <w:lang w:bidi="ar"/>
              </w:rPr>
              <w:t>1.94</w:t>
            </w:r>
          </w:p>
        </w:tc>
      </w:tr>
      <w:tr w14:paraId="75465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3FFFB7C6">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5039F933">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5B1A044D">
            <w:pPr>
              <w:spacing w:line="240" w:lineRule="auto"/>
              <w:ind w:firstLine="0" w:firstLineChars="0"/>
              <w:jc w:val="center"/>
              <w:rPr>
                <w:rFonts w:cs="Times New Roman"/>
                <w:szCs w:val="21"/>
              </w:rPr>
            </w:pPr>
            <w:r>
              <w:rPr>
                <w:rFonts w:cs="Times New Roman"/>
                <w:sz w:val="21"/>
                <w:szCs w:val="21"/>
                <w:lang w:bidi="ar"/>
              </w:rPr>
              <w:t>14</w:t>
            </w:r>
          </w:p>
        </w:tc>
        <w:tc>
          <w:tcPr>
            <w:tcW w:w="588" w:type="pct"/>
            <w:tcBorders>
              <w:top w:val="single" w:color="auto" w:sz="4" w:space="0"/>
              <w:left w:val="single" w:color="auto" w:sz="4" w:space="0"/>
              <w:bottom w:val="single" w:color="auto" w:sz="4" w:space="0"/>
              <w:right w:val="single" w:color="auto" w:sz="4" w:space="0"/>
            </w:tcBorders>
            <w:vAlign w:val="center"/>
          </w:tcPr>
          <w:p w14:paraId="1023D199">
            <w:pPr>
              <w:spacing w:line="240" w:lineRule="auto"/>
              <w:ind w:firstLine="0" w:firstLineChars="0"/>
              <w:jc w:val="center"/>
              <w:rPr>
                <w:rFonts w:cs="Times New Roman"/>
                <w:szCs w:val="21"/>
              </w:rPr>
            </w:pPr>
            <w:r>
              <w:rPr>
                <w:rFonts w:cs="Times New Roman"/>
                <w:sz w:val="21"/>
                <w:szCs w:val="21"/>
                <w:lang w:bidi="ar"/>
              </w:rPr>
              <w:t>2.25</w:t>
            </w:r>
          </w:p>
        </w:tc>
        <w:tc>
          <w:tcPr>
            <w:tcW w:w="588" w:type="pct"/>
            <w:tcBorders>
              <w:top w:val="single" w:color="auto" w:sz="4" w:space="0"/>
              <w:left w:val="single" w:color="auto" w:sz="4" w:space="0"/>
              <w:bottom w:val="single" w:color="auto" w:sz="4" w:space="0"/>
              <w:right w:val="single" w:color="auto" w:sz="4" w:space="0"/>
            </w:tcBorders>
            <w:vAlign w:val="center"/>
          </w:tcPr>
          <w:p w14:paraId="492C82F8">
            <w:pPr>
              <w:spacing w:line="240" w:lineRule="auto"/>
              <w:ind w:firstLine="0" w:firstLineChars="0"/>
              <w:jc w:val="center"/>
              <w:rPr>
                <w:rFonts w:cs="Times New Roman"/>
                <w:szCs w:val="21"/>
              </w:rPr>
            </w:pPr>
            <w:r>
              <w:rPr>
                <w:rFonts w:cs="Times New Roman"/>
                <w:sz w:val="21"/>
                <w:szCs w:val="21"/>
                <w:lang w:bidi="ar"/>
              </w:rPr>
              <w:t>0.91</w:t>
            </w:r>
          </w:p>
        </w:tc>
        <w:tc>
          <w:tcPr>
            <w:tcW w:w="588" w:type="pct"/>
            <w:tcBorders>
              <w:top w:val="single" w:color="auto" w:sz="4" w:space="0"/>
              <w:left w:val="single" w:color="auto" w:sz="4" w:space="0"/>
              <w:bottom w:val="single" w:color="auto" w:sz="4" w:space="0"/>
              <w:right w:val="single" w:color="auto" w:sz="4" w:space="0"/>
            </w:tcBorders>
            <w:vAlign w:val="center"/>
          </w:tcPr>
          <w:p w14:paraId="4BA93A43">
            <w:pPr>
              <w:spacing w:line="240" w:lineRule="auto"/>
              <w:ind w:firstLine="0" w:firstLineChars="0"/>
              <w:jc w:val="center"/>
              <w:rPr>
                <w:rFonts w:cs="Times New Roman"/>
                <w:szCs w:val="21"/>
              </w:rPr>
            </w:pPr>
            <w:r>
              <w:rPr>
                <w:rFonts w:cs="Times New Roman"/>
                <w:sz w:val="21"/>
                <w:szCs w:val="21"/>
                <w:lang w:bidi="ar"/>
              </w:rPr>
              <w:t>2.90</w:t>
            </w:r>
          </w:p>
        </w:tc>
        <w:tc>
          <w:tcPr>
            <w:tcW w:w="588" w:type="pct"/>
            <w:tcBorders>
              <w:top w:val="single" w:color="auto" w:sz="4" w:space="0"/>
              <w:left w:val="single" w:color="auto" w:sz="4" w:space="0"/>
              <w:bottom w:val="single" w:color="auto" w:sz="4" w:space="0"/>
              <w:right w:val="single" w:color="auto" w:sz="4" w:space="0"/>
            </w:tcBorders>
            <w:vAlign w:val="center"/>
          </w:tcPr>
          <w:p w14:paraId="362CF1D5">
            <w:pPr>
              <w:spacing w:line="240" w:lineRule="auto"/>
              <w:ind w:firstLine="0" w:firstLineChars="0"/>
              <w:jc w:val="center"/>
              <w:rPr>
                <w:rFonts w:cs="Times New Roman"/>
                <w:szCs w:val="21"/>
              </w:rPr>
            </w:pPr>
            <w:r>
              <w:rPr>
                <w:rFonts w:cs="Times New Roman"/>
                <w:sz w:val="21"/>
                <w:szCs w:val="21"/>
                <w:lang w:bidi="ar"/>
              </w:rPr>
              <w:t>1.10</w:t>
            </w:r>
          </w:p>
        </w:tc>
      </w:tr>
      <w:tr w14:paraId="24004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273FCF56">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5601CED0">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1E67E0B9">
            <w:pPr>
              <w:spacing w:line="240" w:lineRule="auto"/>
              <w:ind w:firstLine="0" w:firstLineChars="0"/>
              <w:jc w:val="center"/>
              <w:rPr>
                <w:rFonts w:cs="Times New Roman"/>
                <w:szCs w:val="21"/>
              </w:rPr>
            </w:pPr>
            <w:r>
              <w:rPr>
                <w:rFonts w:cs="Times New Roman"/>
                <w:sz w:val="21"/>
                <w:szCs w:val="21"/>
                <w:lang w:bidi="ar"/>
              </w:rPr>
              <w:t>38</w:t>
            </w:r>
          </w:p>
        </w:tc>
        <w:tc>
          <w:tcPr>
            <w:tcW w:w="588" w:type="pct"/>
            <w:tcBorders>
              <w:top w:val="single" w:color="auto" w:sz="4" w:space="0"/>
              <w:left w:val="single" w:color="auto" w:sz="4" w:space="0"/>
              <w:bottom w:val="single" w:color="auto" w:sz="4" w:space="0"/>
              <w:right w:val="single" w:color="auto" w:sz="4" w:space="0"/>
            </w:tcBorders>
            <w:vAlign w:val="center"/>
          </w:tcPr>
          <w:p w14:paraId="1224E6E9">
            <w:pPr>
              <w:spacing w:line="240" w:lineRule="auto"/>
              <w:ind w:firstLine="0" w:firstLineChars="0"/>
              <w:jc w:val="center"/>
              <w:rPr>
                <w:rFonts w:cs="Times New Roman"/>
                <w:szCs w:val="21"/>
              </w:rPr>
            </w:pPr>
            <w:r>
              <w:rPr>
                <w:rFonts w:cs="Times New Roman"/>
                <w:sz w:val="21"/>
                <w:szCs w:val="21"/>
                <w:lang w:bidi="ar"/>
              </w:rPr>
              <w:t>5.20</w:t>
            </w:r>
          </w:p>
        </w:tc>
        <w:tc>
          <w:tcPr>
            <w:tcW w:w="588" w:type="pct"/>
            <w:tcBorders>
              <w:top w:val="single" w:color="auto" w:sz="4" w:space="0"/>
              <w:left w:val="single" w:color="auto" w:sz="4" w:space="0"/>
              <w:bottom w:val="single" w:color="auto" w:sz="4" w:space="0"/>
              <w:right w:val="single" w:color="auto" w:sz="4" w:space="0"/>
            </w:tcBorders>
            <w:vAlign w:val="center"/>
          </w:tcPr>
          <w:p w14:paraId="2CBB39FC">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25AC3B03">
            <w:pPr>
              <w:spacing w:line="240" w:lineRule="auto"/>
              <w:ind w:firstLine="0" w:firstLineChars="0"/>
              <w:jc w:val="center"/>
              <w:rPr>
                <w:rFonts w:cs="Times New Roman"/>
                <w:szCs w:val="21"/>
              </w:rPr>
            </w:pPr>
            <w:r>
              <w:rPr>
                <w:rFonts w:cs="Times New Roman"/>
                <w:sz w:val="21"/>
                <w:szCs w:val="21"/>
                <w:lang w:bidi="ar"/>
              </w:rPr>
              <w:t>4.06</w:t>
            </w:r>
          </w:p>
        </w:tc>
        <w:tc>
          <w:tcPr>
            <w:tcW w:w="588" w:type="pct"/>
            <w:tcBorders>
              <w:top w:val="single" w:color="auto" w:sz="4" w:space="0"/>
              <w:left w:val="single" w:color="auto" w:sz="4" w:space="0"/>
              <w:bottom w:val="single" w:color="auto" w:sz="4" w:space="0"/>
              <w:right w:val="single" w:color="auto" w:sz="4" w:space="0"/>
            </w:tcBorders>
            <w:vAlign w:val="center"/>
          </w:tcPr>
          <w:p w14:paraId="5B6099FC">
            <w:pPr>
              <w:spacing w:line="240" w:lineRule="auto"/>
              <w:ind w:firstLine="0" w:firstLineChars="0"/>
              <w:jc w:val="center"/>
              <w:rPr>
                <w:rFonts w:cs="Times New Roman"/>
                <w:szCs w:val="21"/>
              </w:rPr>
            </w:pPr>
            <w:r>
              <w:rPr>
                <w:rFonts w:cs="Times New Roman"/>
                <w:sz w:val="21"/>
                <w:szCs w:val="21"/>
                <w:lang w:bidi="ar"/>
              </w:rPr>
              <w:t>1.12</w:t>
            </w:r>
          </w:p>
        </w:tc>
      </w:tr>
      <w:tr w14:paraId="4BB89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397F7045">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6902EB65">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300D63D9">
            <w:pPr>
              <w:spacing w:line="240" w:lineRule="auto"/>
              <w:ind w:firstLine="0" w:firstLineChars="0"/>
              <w:jc w:val="center"/>
              <w:rPr>
                <w:rFonts w:cs="Times New Roman"/>
                <w:szCs w:val="21"/>
              </w:rPr>
            </w:pPr>
            <w:r>
              <w:rPr>
                <w:rFonts w:cs="Times New Roman"/>
                <w:sz w:val="21"/>
                <w:szCs w:val="21"/>
                <w:lang w:bidi="ar"/>
              </w:rPr>
              <w:t>62</w:t>
            </w:r>
          </w:p>
        </w:tc>
        <w:tc>
          <w:tcPr>
            <w:tcW w:w="588" w:type="pct"/>
            <w:tcBorders>
              <w:top w:val="single" w:color="auto" w:sz="4" w:space="0"/>
              <w:left w:val="single" w:color="auto" w:sz="4" w:space="0"/>
              <w:bottom w:val="single" w:color="auto" w:sz="4" w:space="0"/>
              <w:right w:val="single" w:color="auto" w:sz="4" w:space="0"/>
            </w:tcBorders>
            <w:vAlign w:val="center"/>
          </w:tcPr>
          <w:p w14:paraId="0CBC53BA">
            <w:pPr>
              <w:spacing w:line="240" w:lineRule="auto"/>
              <w:ind w:firstLine="0" w:firstLineChars="0"/>
              <w:jc w:val="center"/>
              <w:rPr>
                <w:rFonts w:cs="Times New Roman"/>
                <w:szCs w:val="21"/>
              </w:rPr>
            </w:pPr>
            <w:r>
              <w:rPr>
                <w:rFonts w:cs="Times New Roman"/>
                <w:sz w:val="21"/>
                <w:szCs w:val="21"/>
                <w:lang w:bidi="ar"/>
              </w:rPr>
              <w:t>8.24</w:t>
            </w:r>
          </w:p>
        </w:tc>
        <w:tc>
          <w:tcPr>
            <w:tcW w:w="588" w:type="pct"/>
            <w:tcBorders>
              <w:top w:val="single" w:color="auto" w:sz="4" w:space="0"/>
              <w:left w:val="single" w:color="auto" w:sz="4" w:space="0"/>
              <w:bottom w:val="single" w:color="auto" w:sz="4" w:space="0"/>
              <w:right w:val="single" w:color="auto" w:sz="4" w:space="0"/>
            </w:tcBorders>
            <w:vAlign w:val="center"/>
          </w:tcPr>
          <w:p w14:paraId="2FE4BC85">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75210BC3">
            <w:pPr>
              <w:spacing w:line="240" w:lineRule="auto"/>
              <w:ind w:firstLine="0" w:firstLineChars="0"/>
              <w:jc w:val="center"/>
              <w:rPr>
                <w:rFonts w:cs="Times New Roman"/>
                <w:szCs w:val="21"/>
              </w:rPr>
            </w:pPr>
            <w:r>
              <w:rPr>
                <w:rFonts w:cs="Times New Roman"/>
                <w:sz w:val="21"/>
                <w:szCs w:val="21"/>
                <w:lang w:bidi="ar"/>
              </w:rPr>
              <w:t>4.55</w:t>
            </w:r>
          </w:p>
        </w:tc>
        <w:tc>
          <w:tcPr>
            <w:tcW w:w="588" w:type="pct"/>
            <w:tcBorders>
              <w:top w:val="single" w:color="auto" w:sz="4" w:space="0"/>
              <w:left w:val="single" w:color="auto" w:sz="4" w:space="0"/>
              <w:bottom w:val="single" w:color="auto" w:sz="4" w:space="0"/>
              <w:right w:val="single" w:color="auto" w:sz="4" w:space="0"/>
            </w:tcBorders>
            <w:vAlign w:val="center"/>
          </w:tcPr>
          <w:p w14:paraId="0FCD22B1">
            <w:pPr>
              <w:spacing w:line="240" w:lineRule="auto"/>
              <w:ind w:firstLine="0" w:firstLineChars="0"/>
              <w:jc w:val="center"/>
              <w:rPr>
                <w:rFonts w:cs="Times New Roman"/>
                <w:szCs w:val="21"/>
              </w:rPr>
            </w:pPr>
            <w:r>
              <w:rPr>
                <w:rFonts w:cs="Times New Roman"/>
                <w:sz w:val="21"/>
                <w:szCs w:val="21"/>
                <w:lang w:bidi="ar"/>
              </w:rPr>
              <w:t>1.10</w:t>
            </w:r>
          </w:p>
        </w:tc>
      </w:tr>
      <w:tr w14:paraId="5A3BA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032C896B">
            <w:pPr>
              <w:spacing w:line="240" w:lineRule="auto"/>
              <w:ind w:firstLine="0" w:firstLineChars="0"/>
              <w:jc w:val="center"/>
              <w:rPr>
                <w:rFonts w:cs="Times New Roman"/>
                <w:szCs w:val="21"/>
              </w:rPr>
            </w:pPr>
            <w:r>
              <w:rPr>
                <w:rFonts w:cs="Times New Roman"/>
                <w:sz w:val="21"/>
                <w:szCs w:val="21"/>
                <w:lang w:bidi="ar"/>
              </w:rPr>
              <w:t>E15</w:t>
            </w:r>
          </w:p>
        </w:tc>
        <w:tc>
          <w:tcPr>
            <w:tcW w:w="1109" w:type="pct"/>
            <w:tcBorders>
              <w:top w:val="single" w:color="auto" w:sz="4" w:space="0"/>
              <w:left w:val="single" w:color="auto" w:sz="4" w:space="0"/>
              <w:bottom w:val="single" w:color="auto" w:sz="4" w:space="0"/>
              <w:right w:val="single" w:color="auto" w:sz="4" w:space="0"/>
            </w:tcBorders>
            <w:vAlign w:val="center"/>
          </w:tcPr>
          <w:p w14:paraId="5EA075CE">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4CD458EC">
            <w:pPr>
              <w:spacing w:line="240" w:lineRule="auto"/>
              <w:ind w:firstLine="0" w:firstLineChars="0"/>
              <w:jc w:val="center"/>
              <w:rPr>
                <w:rFonts w:cs="Times New Roman"/>
                <w:szCs w:val="21"/>
              </w:rPr>
            </w:pPr>
            <w:r>
              <w:rPr>
                <w:rFonts w:cs="Times New Roman"/>
                <w:sz w:val="21"/>
                <w:szCs w:val="21"/>
                <w:lang w:bidi="ar"/>
              </w:rPr>
              <w:t>15</w:t>
            </w:r>
          </w:p>
        </w:tc>
        <w:tc>
          <w:tcPr>
            <w:tcW w:w="588" w:type="pct"/>
            <w:tcBorders>
              <w:top w:val="single" w:color="auto" w:sz="4" w:space="0"/>
              <w:left w:val="single" w:color="auto" w:sz="4" w:space="0"/>
              <w:bottom w:val="single" w:color="auto" w:sz="4" w:space="0"/>
              <w:right w:val="single" w:color="auto" w:sz="4" w:space="0"/>
            </w:tcBorders>
            <w:vAlign w:val="center"/>
          </w:tcPr>
          <w:p w14:paraId="09643499">
            <w:pPr>
              <w:spacing w:line="240" w:lineRule="auto"/>
              <w:ind w:firstLine="0" w:firstLineChars="0"/>
              <w:jc w:val="center"/>
              <w:rPr>
                <w:rFonts w:cs="Times New Roman"/>
                <w:szCs w:val="21"/>
              </w:rPr>
            </w:pPr>
            <w:r>
              <w:rPr>
                <w:rFonts w:cs="Times New Roman"/>
                <w:sz w:val="21"/>
                <w:szCs w:val="21"/>
                <w:lang w:bidi="ar"/>
              </w:rPr>
              <w:t>2.85</w:t>
            </w:r>
          </w:p>
        </w:tc>
        <w:tc>
          <w:tcPr>
            <w:tcW w:w="588" w:type="pct"/>
            <w:tcBorders>
              <w:top w:val="single" w:color="auto" w:sz="4" w:space="0"/>
              <w:left w:val="single" w:color="auto" w:sz="4" w:space="0"/>
              <w:bottom w:val="single" w:color="auto" w:sz="4" w:space="0"/>
              <w:right w:val="single" w:color="auto" w:sz="4" w:space="0"/>
            </w:tcBorders>
            <w:vAlign w:val="center"/>
          </w:tcPr>
          <w:p w14:paraId="64428368">
            <w:pPr>
              <w:spacing w:line="240" w:lineRule="auto"/>
              <w:ind w:firstLine="0" w:firstLineChars="0"/>
              <w:jc w:val="center"/>
              <w:rPr>
                <w:rFonts w:cs="Times New Roman"/>
                <w:szCs w:val="21"/>
              </w:rPr>
            </w:pPr>
            <w:r>
              <w:rPr>
                <w:rFonts w:cs="Times New Roman"/>
                <w:sz w:val="21"/>
                <w:szCs w:val="21"/>
                <w:lang w:bidi="ar"/>
              </w:rPr>
              <w:t>0.98</w:t>
            </w:r>
          </w:p>
        </w:tc>
        <w:tc>
          <w:tcPr>
            <w:tcW w:w="588" w:type="pct"/>
            <w:tcBorders>
              <w:top w:val="single" w:color="auto" w:sz="4" w:space="0"/>
              <w:left w:val="single" w:color="auto" w:sz="4" w:space="0"/>
              <w:bottom w:val="single" w:color="auto" w:sz="4" w:space="0"/>
              <w:right w:val="single" w:color="auto" w:sz="4" w:space="0"/>
            </w:tcBorders>
            <w:vAlign w:val="center"/>
          </w:tcPr>
          <w:p w14:paraId="66B824F7">
            <w:pPr>
              <w:spacing w:line="240" w:lineRule="auto"/>
              <w:ind w:firstLine="0" w:firstLineChars="0"/>
              <w:jc w:val="center"/>
              <w:rPr>
                <w:rFonts w:cs="Times New Roman"/>
                <w:szCs w:val="21"/>
              </w:rPr>
            </w:pPr>
            <w:r>
              <w:rPr>
                <w:rFonts w:cs="Times New Roman"/>
                <w:sz w:val="21"/>
                <w:szCs w:val="21"/>
                <w:lang w:bidi="ar"/>
              </w:rPr>
              <w:t>4.45</w:t>
            </w:r>
          </w:p>
        </w:tc>
        <w:tc>
          <w:tcPr>
            <w:tcW w:w="588" w:type="pct"/>
            <w:tcBorders>
              <w:top w:val="single" w:color="auto" w:sz="4" w:space="0"/>
              <w:left w:val="single" w:color="auto" w:sz="4" w:space="0"/>
              <w:bottom w:val="single" w:color="auto" w:sz="4" w:space="0"/>
              <w:right w:val="single" w:color="auto" w:sz="4" w:space="0"/>
            </w:tcBorders>
            <w:vAlign w:val="center"/>
          </w:tcPr>
          <w:p w14:paraId="416EFF0F">
            <w:pPr>
              <w:spacing w:line="240" w:lineRule="auto"/>
              <w:ind w:firstLine="0" w:firstLineChars="0"/>
              <w:jc w:val="center"/>
              <w:rPr>
                <w:rFonts w:cs="Times New Roman"/>
                <w:szCs w:val="21"/>
              </w:rPr>
            </w:pPr>
            <w:r>
              <w:rPr>
                <w:rFonts w:cs="Times New Roman"/>
                <w:sz w:val="21"/>
                <w:szCs w:val="21"/>
                <w:lang w:bidi="ar"/>
              </w:rPr>
              <w:t>1.64</w:t>
            </w:r>
          </w:p>
        </w:tc>
      </w:tr>
      <w:tr w14:paraId="480AB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3DB976D4">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0F1067F4">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0370B351">
            <w:pPr>
              <w:spacing w:line="240" w:lineRule="auto"/>
              <w:ind w:firstLine="0" w:firstLineChars="0"/>
              <w:jc w:val="center"/>
              <w:rPr>
                <w:rFonts w:cs="Times New Roman"/>
                <w:szCs w:val="21"/>
              </w:rPr>
            </w:pPr>
            <w:r>
              <w:rPr>
                <w:rFonts w:cs="Times New Roman"/>
                <w:sz w:val="21"/>
                <w:szCs w:val="21"/>
                <w:lang w:bidi="ar"/>
              </w:rPr>
              <w:t>19</w:t>
            </w:r>
          </w:p>
        </w:tc>
        <w:tc>
          <w:tcPr>
            <w:tcW w:w="588" w:type="pct"/>
            <w:tcBorders>
              <w:top w:val="single" w:color="auto" w:sz="4" w:space="0"/>
              <w:left w:val="single" w:color="auto" w:sz="4" w:space="0"/>
              <w:bottom w:val="single" w:color="auto" w:sz="4" w:space="0"/>
              <w:right w:val="single" w:color="auto" w:sz="4" w:space="0"/>
            </w:tcBorders>
            <w:vAlign w:val="center"/>
          </w:tcPr>
          <w:p w14:paraId="159BDC55">
            <w:pPr>
              <w:spacing w:line="240" w:lineRule="auto"/>
              <w:ind w:firstLine="0" w:firstLineChars="0"/>
              <w:jc w:val="center"/>
              <w:rPr>
                <w:rFonts w:cs="Times New Roman"/>
                <w:szCs w:val="21"/>
              </w:rPr>
            </w:pPr>
            <w:r>
              <w:rPr>
                <w:rFonts w:cs="Times New Roman"/>
                <w:sz w:val="21"/>
                <w:szCs w:val="21"/>
                <w:lang w:bidi="ar"/>
              </w:rPr>
              <w:t>3.07</w:t>
            </w:r>
          </w:p>
        </w:tc>
        <w:tc>
          <w:tcPr>
            <w:tcW w:w="588" w:type="pct"/>
            <w:tcBorders>
              <w:top w:val="single" w:color="auto" w:sz="4" w:space="0"/>
              <w:left w:val="single" w:color="auto" w:sz="4" w:space="0"/>
              <w:bottom w:val="single" w:color="auto" w:sz="4" w:space="0"/>
              <w:right w:val="single" w:color="auto" w:sz="4" w:space="0"/>
            </w:tcBorders>
            <w:vAlign w:val="center"/>
          </w:tcPr>
          <w:p w14:paraId="17605B4F">
            <w:pPr>
              <w:spacing w:line="240" w:lineRule="auto"/>
              <w:ind w:firstLine="0" w:firstLineChars="0"/>
              <w:jc w:val="center"/>
              <w:rPr>
                <w:rFonts w:cs="Times New Roman"/>
                <w:szCs w:val="21"/>
              </w:rPr>
            </w:pPr>
            <w:r>
              <w:rPr>
                <w:rFonts w:cs="Times New Roman"/>
                <w:sz w:val="21"/>
                <w:szCs w:val="21"/>
                <w:lang w:bidi="ar"/>
              </w:rPr>
              <w:t>0.92</w:t>
            </w:r>
          </w:p>
        </w:tc>
        <w:tc>
          <w:tcPr>
            <w:tcW w:w="588" w:type="pct"/>
            <w:tcBorders>
              <w:top w:val="single" w:color="auto" w:sz="4" w:space="0"/>
              <w:left w:val="single" w:color="auto" w:sz="4" w:space="0"/>
              <w:bottom w:val="single" w:color="auto" w:sz="4" w:space="0"/>
              <w:right w:val="single" w:color="auto" w:sz="4" w:space="0"/>
            </w:tcBorders>
            <w:vAlign w:val="center"/>
          </w:tcPr>
          <w:p w14:paraId="669BA28A">
            <w:pPr>
              <w:spacing w:line="240" w:lineRule="auto"/>
              <w:ind w:firstLine="0" w:firstLineChars="0"/>
              <w:jc w:val="center"/>
              <w:rPr>
                <w:rFonts w:cs="Times New Roman"/>
                <w:szCs w:val="21"/>
              </w:rPr>
            </w:pPr>
            <w:r>
              <w:rPr>
                <w:rFonts w:cs="Times New Roman"/>
                <w:sz w:val="21"/>
                <w:szCs w:val="21"/>
                <w:lang w:bidi="ar"/>
              </w:rPr>
              <w:t>2.84</w:t>
            </w:r>
          </w:p>
        </w:tc>
        <w:tc>
          <w:tcPr>
            <w:tcW w:w="588" w:type="pct"/>
            <w:tcBorders>
              <w:top w:val="single" w:color="auto" w:sz="4" w:space="0"/>
              <w:left w:val="single" w:color="auto" w:sz="4" w:space="0"/>
              <w:bottom w:val="single" w:color="auto" w:sz="4" w:space="0"/>
              <w:right w:val="single" w:color="auto" w:sz="4" w:space="0"/>
            </w:tcBorders>
            <w:vAlign w:val="center"/>
          </w:tcPr>
          <w:p w14:paraId="7BB774DA">
            <w:pPr>
              <w:spacing w:line="240" w:lineRule="auto"/>
              <w:ind w:firstLine="0" w:firstLineChars="0"/>
              <w:jc w:val="center"/>
              <w:rPr>
                <w:rFonts w:cs="Times New Roman"/>
                <w:szCs w:val="21"/>
              </w:rPr>
            </w:pPr>
            <w:r>
              <w:rPr>
                <w:rFonts w:cs="Times New Roman"/>
                <w:sz w:val="21"/>
                <w:szCs w:val="21"/>
                <w:lang w:bidi="ar"/>
              </w:rPr>
              <w:t>0.96</w:t>
            </w:r>
          </w:p>
        </w:tc>
      </w:tr>
      <w:tr w14:paraId="7CC4A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5F3C8AF9">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30AC604E">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5FF74EC0">
            <w:pPr>
              <w:spacing w:line="240" w:lineRule="auto"/>
              <w:ind w:firstLine="0" w:firstLineChars="0"/>
              <w:jc w:val="center"/>
              <w:rPr>
                <w:rFonts w:cs="Times New Roman"/>
                <w:szCs w:val="21"/>
              </w:rPr>
            </w:pPr>
            <w:r>
              <w:rPr>
                <w:rFonts w:cs="Times New Roman"/>
                <w:sz w:val="21"/>
                <w:szCs w:val="21"/>
                <w:lang w:bidi="ar"/>
              </w:rPr>
              <w:t>30</w:t>
            </w:r>
          </w:p>
        </w:tc>
        <w:tc>
          <w:tcPr>
            <w:tcW w:w="588" w:type="pct"/>
            <w:tcBorders>
              <w:top w:val="single" w:color="auto" w:sz="4" w:space="0"/>
              <w:left w:val="single" w:color="auto" w:sz="4" w:space="0"/>
              <w:bottom w:val="single" w:color="auto" w:sz="4" w:space="0"/>
              <w:right w:val="single" w:color="auto" w:sz="4" w:space="0"/>
            </w:tcBorders>
            <w:vAlign w:val="center"/>
          </w:tcPr>
          <w:p w14:paraId="2D95015B">
            <w:pPr>
              <w:spacing w:line="240" w:lineRule="auto"/>
              <w:ind w:firstLine="0" w:firstLineChars="0"/>
              <w:jc w:val="center"/>
              <w:rPr>
                <w:rFonts w:cs="Times New Roman"/>
                <w:szCs w:val="21"/>
              </w:rPr>
            </w:pPr>
            <w:r>
              <w:rPr>
                <w:rFonts w:cs="Times New Roman"/>
                <w:sz w:val="21"/>
                <w:szCs w:val="21"/>
                <w:lang w:bidi="ar"/>
              </w:rPr>
              <w:t>3.98</w:t>
            </w:r>
          </w:p>
        </w:tc>
        <w:tc>
          <w:tcPr>
            <w:tcW w:w="588" w:type="pct"/>
            <w:tcBorders>
              <w:top w:val="single" w:color="auto" w:sz="4" w:space="0"/>
              <w:left w:val="single" w:color="auto" w:sz="4" w:space="0"/>
              <w:bottom w:val="single" w:color="auto" w:sz="4" w:space="0"/>
              <w:right w:val="single" w:color="auto" w:sz="4" w:space="0"/>
            </w:tcBorders>
            <w:vAlign w:val="center"/>
          </w:tcPr>
          <w:p w14:paraId="4861BF39">
            <w:pPr>
              <w:spacing w:line="240" w:lineRule="auto"/>
              <w:ind w:firstLine="0" w:firstLineChars="0"/>
              <w:jc w:val="center"/>
              <w:rPr>
                <w:rFonts w:cs="Times New Roman"/>
                <w:szCs w:val="21"/>
              </w:rPr>
            </w:pPr>
            <w:r>
              <w:rPr>
                <w:rFonts w:cs="Times New Roman"/>
                <w:sz w:val="21"/>
                <w:szCs w:val="21"/>
                <w:lang w:bidi="ar"/>
              </w:rPr>
              <w:t>0.95</w:t>
            </w:r>
          </w:p>
        </w:tc>
        <w:tc>
          <w:tcPr>
            <w:tcW w:w="588" w:type="pct"/>
            <w:tcBorders>
              <w:top w:val="single" w:color="auto" w:sz="4" w:space="0"/>
              <w:left w:val="single" w:color="auto" w:sz="4" w:space="0"/>
              <w:bottom w:val="single" w:color="auto" w:sz="4" w:space="0"/>
              <w:right w:val="single" w:color="auto" w:sz="4" w:space="0"/>
            </w:tcBorders>
            <w:vAlign w:val="center"/>
          </w:tcPr>
          <w:p w14:paraId="68F1CC44">
            <w:pPr>
              <w:spacing w:line="240" w:lineRule="auto"/>
              <w:ind w:firstLine="0" w:firstLineChars="0"/>
              <w:jc w:val="center"/>
              <w:rPr>
                <w:rFonts w:cs="Times New Roman"/>
                <w:szCs w:val="21"/>
              </w:rPr>
            </w:pPr>
            <w:r>
              <w:rPr>
                <w:rFonts w:cs="Times New Roman"/>
                <w:sz w:val="21"/>
                <w:szCs w:val="21"/>
                <w:lang w:bidi="ar"/>
              </w:rPr>
              <w:t>3.36</w:t>
            </w:r>
          </w:p>
        </w:tc>
        <w:tc>
          <w:tcPr>
            <w:tcW w:w="588" w:type="pct"/>
            <w:tcBorders>
              <w:top w:val="single" w:color="auto" w:sz="4" w:space="0"/>
              <w:left w:val="single" w:color="auto" w:sz="4" w:space="0"/>
              <w:bottom w:val="single" w:color="auto" w:sz="4" w:space="0"/>
              <w:right w:val="single" w:color="auto" w:sz="4" w:space="0"/>
            </w:tcBorders>
            <w:vAlign w:val="center"/>
          </w:tcPr>
          <w:p w14:paraId="1F362F63">
            <w:pPr>
              <w:spacing w:line="240" w:lineRule="auto"/>
              <w:ind w:firstLine="0" w:firstLineChars="0"/>
              <w:jc w:val="center"/>
              <w:rPr>
                <w:rFonts w:cs="Times New Roman"/>
                <w:szCs w:val="21"/>
              </w:rPr>
            </w:pPr>
            <w:r>
              <w:rPr>
                <w:rFonts w:cs="Times New Roman"/>
                <w:sz w:val="21"/>
                <w:szCs w:val="21"/>
                <w:lang w:bidi="ar"/>
              </w:rPr>
              <w:t>0.99</w:t>
            </w:r>
          </w:p>
        </w:tc>
      </w:tr>
      <w:tr w14:paraId="180FA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1EF73E1C">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0E168C52">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1211D898">
            <w:pPr>
              <w:spacing w:line="240" w:lineRule="auto"/>
              <w:ind w:firstLine="0" w:firstLineChars="0"/>
              <w:jc w:val="center"/>
              <w:rPr>
                <w:rFonts w:cs="Times New Roman"/>
                <w:szCs w:val="21"/>
              </w:rPr>
            </w:pPr>
            <w:r>
              <w:rPr>
                <w:rFonts w:cs="Times New Roman"/>
                <w:sz w:val="21"/>
                <w:szCs w:val="21"/>
                <w:lang w:bidi="ar"/>
              </w:rPr>
              <w:t>64</w:t>
            </w:r>
          </w:p>
        </w:tc>
        <w:tc>
          <w:tcPr>
            <w:tcW w:w="588" w:type="pct"/>
            <w:tcBorders>
              <w:top w:val="single" w:color="auto" w:sz="4" w:space="0"/>
              <w:left w:val="single" w:color="auto" w:sz="4" w:space="0"/>
              <w:bottom w:val="single" w:color="auto" w:sz="4" w:space="0"/>
              <w:right w:val="single" w:color="auto" w:sz="4" w:space="0"/>
            </w:tcBorders>
            <w:vAlign w:val="center"/>
          </w:tcPr>
          <w:p w14:paraId="51AEF88A">
            <w:pPr>
              <w:spacing w:line="240" w:lineRule="auto"/>
              <w:ind w:firstLine="0" w:firstLineChars="0"/>
              <w:jc w:val="center"/>
              <w:rPr>
                <w:rFonts w:cs="Times New Roman"/>
                <w:szCs w:val="21"/>
              </w:rPr>
            </w:pPr>
            <w:r>
              <w:rPr>
                <w:rFonts w:cs="Times New Roman"/>
                <w:sz w:val="21"/>
                <w:szCs w:val="21"/>
                <w:lang w:bidi="ar"/>
              </w:rPr>
              <w:t>8.32</w:t>
            </w:r>
          </w:p>
        </w:tc>
        <w:tc>
          <w:tcPr>
            <w:tcW w:w="588" w:type="pct"/>
            <w:tcBorders>
              <w:top w:val="single" w:color="auto" w:sz="4" w:space="0"/>
              <w:left w:val="single" w:color="auto" w:sz="4" w:space="0"/>
              <w:bottom w:val="single" w:color="auto" w:sz="4" w:space="0"/>
              <w:right w:val="single" w:color="auto" w:sz="4" w:space="0"/>
            </w:tcBorders>
            <w:vAlign w:val="center"/>
          </w:tcPr>
          <w:p w14:paraId="40819E40">
            <w:pPr>
              <w:spacing w:line="240" w:lineRule="auto"/>
              <w:ind w:firstLine="0" w:firstLineChars="0"/>
              <w:jc w:val="center"/>
              <w:rPr>
                <w:rFonts w:cs="Times New Roman"/>
                <w:szCs w:val="21"/>
              </w:rPr>
            </w:pPr>
            <w:r>
              <w:rPr>
                <w:rFonts w:cs="Times New Roman"/>
                <w:sz w:val="21"/>
                <w:szCs w:val="21"/>
                <w:lang w:bidi="ar"/>
              </w:rPr>
              <w:t>0.97</w:t>
            </w:r>
          </w:p>
        </w:tc>
        <w:tc>
          <w:tcPr>
            <w:tcW w:w="588" w:type="pct"/>
            <w:tcBorders>
              <w:top w:val="single" w:color="auto" w:sz="4" w:space="0"/>
              <w:left w:val="single" w:color="auto" w:sz="4" w:space="0"/>
              <w:bottom w:val="single" w:color="auto" w:sz="4" w:space="0"/>
              <w:right w:val="single" w:color="auto" w:sz="4" w:space="0"/>
            </w:tcBorders>
            <w:vAlign w:val="center"/>
          </w:tcPr>
          <w:p w14:paraId="47A0C81A">
            <w:pPr>
              <w:spacing w:line="240" w:lineRule="auto"/>
              <w:ind w:firstLine="0" w:firstLineChars="0"/>
              <w:jc w:val="center"/>
              <w:rPr>
                <w:rFonts w:cs="Times New Roman"/>
                <w:szCs w:val="21"/>
              </w:rPr>
            </w:pPr>
            <w:r>
              <w:rPr>
                <w:rFonts w:cs="Times New Roman"/>
                <w:sz w:val="21"/>
                <w:szCs w:val="21"/>
                <w:lang w:bidi="ar"/>
              </w:rPr>
              <w:t>4.06</w:t>
            </w:r>
          </w:p>
        </w:tc>
        <w:tc>
          <w:tcPr>
            <w:tcW w:w="588" w:type="pct"/>
            <w:tcBorders>
              <w:top w:val="single" w:color="auto" w:sz="4" w:space="0"/>
              <w:left w:val="single" w:color="auto" w:sz="4" w:space="0"/>
              <w:bottom w:val="single" w:color="auto" w:sz="4" w:space="0"/>
              <w:right w:val="single" w:color="auto" w:sz="4" w:space="0"/>
            </w:tcBorders>
            <w:vAlign w:val="center"/>
          </w:tcPr>
          <w:p w14:paraId="7E2978E4">
            <w:pPr>
              <w:spacing w:line="240" w:lineRule="auto"/>
              <w:ind w:firstLine="0" w:firstLineChars="0"/>
              <w:jc w:val="center"/>
              <w:rPr>
                <w:rFonts w:cs="Times New Roman"/>
                <w:szCs w:val="21"/>
              </w:rPr>
            </w:pPr>
            <w:r>
              <w:rPr>
                <w:rFonts w:cs="Times New Roman"/>
                <w:sz w:val="21"/>
                <w:szCs w:val="21"/>
                <w:lang w:bidi="ar"/>
              </w:rPr>
              <w:t>0.98</w:t>
            </w:r>
          </w:p>
        </w:tc>
      </w:tr>
      <w:tr w14:paraId="3B607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restart"/>
            <w:tcBorders>
              <w:top w:val="single" w:color="auto" w:sz="4" w:space="0"/>
              <w:left w:val="single" w:color="auto" w:sz="4" w:space="0"/>
              <w:bottom w:val="single" w:color="auto" w:sz="4" w:space="0"/>
              <w:right w:val="single" w:color="auto" w:sz="4" w:space="0"/>
            </w:tcBorders>
            <w:vAlign w:val="center"/>
          </w:tcPr>
          <w:p w14:paraId="2CB1BE93">
            <w:pPr>
              <w:spacing w:line="240" w:lineRule="auto"/>
              <w:ind w:firstLine="0" w:firstLineChars="0"/>
              <w:jc w:val="center"/>
              <w:rPr>
                <w:rFonts w:cs="Times New Roman"/>
                <w:szCs w:val="21"/>
              </w:rPr>
            </w:pPr>
            <w:r>
              <w:rPr>
                <w:rFonts w:cs="Times New Roman"/>
                <w:sz w:val="21"/>
                <w:szCs w:val="21"/>
                <w:lang w:bidi="ar"/>
              </w:rPr>
              <w:t>E16</w:t>
            </w:r>
          </w:p>
        </w:tc>
        <w:tc>
          <w:tcPr>
            <w:tcW w:w="1109" w:type="pct"/>
            <w:tcBorders>
              <w:top w:val="single" w:color="auto" w:sz="4" w:space="0"/>
              <w:left w:val="single" w:color="auto" w:sz="4" w:space="0"/>
              <w:bottom w:val="single" w:color="auto" w:sz="4" w:space="0"/>
              <w:right w:val="single" w:color="auto" w:sz="4" w:space="0"/>
            </w:tcBorders>
            <w:vAlign w:val="center"/>
          </w:tcPr>
          <w:p w14:paraId="39E8C78C">
            <w:pPr>
              <w:spacing w:line="240" w:lineRule="auto"/>
              <w:ind w:firstLine="0" w:firstLineChars="0"/>
              <w:jc w:val="center"/>
              <w:rPr>
                <w:rFonts w:cs="Times New Roman"/>
                <w:szCs w:val="21"/>
              </w:rPr>
            </w:pPr>
            <w:r>
              <w:rPr>
                <w:rFonts w:hint="eastAsia" w:cs="Times New Roman"/>
                <w:sz w:val="21"/>
                <w:szCs w:val="21"/>
                <w:lang w:bidi="ar"/>
              </w:rPr>
              <w:t>乔木层</w:t>
            </w:r>
          </w:p>
        </w:tc>
        <w:tc>
          <w:tcPr>
            <w:tcW w:w="429" w:type="pct"/>
            <w:tcBorders>
              <w:top w:val="single" w:color="auto" w:sz="4" w:space="0"/>
              <w:left w:val="single" w:color="auto" w:sz="4" w:space="0"/>
              <w:bottom w:val="single" w:color="auto" w:sz="4" w:space="0"/>
              <w:right w:val="single" w:color="auto" w:sz="4" w:space="0"/>
            </w:tcBorders>
            <w:vAlign w:val="center"/>
          </w:tcPr>
          <w:p w14:paraId="323C1DE7">
            <w:pPr>
              <w:spacing w:line="240" w:lineRule="auto"/>
              <w:ind w:firstLine="0" w:firstLineChars="0"/>
              <w:jc w:val="center"/>
              <w:rPr>
                <w:rFonts w:cs="Times New Roman"/>
                <w:szCs w:val="21"/>
              </w:rPr>
            </w:pPr>
            <w:r>
              <w:rPr>
                <w:rFonts w:cs="Times New Roman"/>
                <w:sz w:val="21"/>
                <w:szCs w:val="21"/>
                <w:lang w:bidi="ar"/>
              </w:rPr>
              <w:t>9</w:t>
            </w:r>
          </w:p>
        </w:tc>
        <w:tc>
          <w:tcPr>
            <w:tcW w:w="588" w:type="pct"/>
            <w:tcBorders>
              <w:top w:val="single" w:color="auto" w:sz="4" w:space="0"/>
              <w:left w:val="single" w:color="auto" w:sz="4" w:space="0"/>
              <w:bottom w:val="single" w:color="auto" w:sz="4" w:space="0"/>
              <w:right w:val="single" w:color="auto" w:sz="4" w:space="0"/>
            </w:tcBorders>
            <w:vAlign w:val="center"/>
          </w:tcPr>
          <w:p w14:paraId="4753EACE">
            <w:pPr>
              <w:spacing w:line="240" w:lineRule="auto"/>
              <w:ind w:firstLine="0" w:firstLineChars="0"/>
              <w:jc w:val="center"/>
              <w:rPr>
                <w:rFonts w:cs="Times New Roman"/>
                <w:szCs w:val="21"/>
              </w:rPr>
            </w:pPr>
            <w:r>
              <w:rPr>
                <w:rFonts w:cs="Times New Roman"/>
                <w:sz w:val="21"/>
                <w:szCs w:val="21"/>
                <w:lang w:bidi="ar"/>
              </w:rPr>
              <w:t>1.95</w:t>
            </w:r>
          </w:p>
        </w:tc>
        <w:tc>
          <w:tcPr>
            <w:tcW w:w="588" w:type="pct"/>
            <w:tcBorders>
              <w:top w:val="single" w:color="auto" w:sz="4" w:space="0"/>
              <w:left w:val="single" w:color="auto" w:sz="4" w:space="0"/>
              <w:bottom w:val="single" w:color="auto" w:sz="4" w:space="0"/>
              <w:right w:val="single" w:color="auto" w:sz="4" w:space="0"/>
            </w:tcBorders>
            <w:vAlign w:val="center"/>
          </w:tcPr>
          <w:p w14:paraId="7963AA0A">
            <w:pPr>
              <w:spacing w:line="240" w:lineRule="auto"/>
              <w:ind w:firstLine="0" w:firstLineChars="0"/>
              <w:jc w:val="center"/>
              <w:rPr>
                <w:rFonts w:cs="Times New Roman"/>
                <w:szCs w:val="21"/>
              </w:rPr>
            </w:pPr>
            <w:r>
              <w:rPr>
                <w:rFonts w:cs="Times New Roman"/>
                <w:sz w:val="21"/>
                <w:szCs w:val="21"/>
                <w:lang w:bidi="ar"/>
              </w:rPr>
              <w:t>0.93</w:t>
            </w:r>
          </w:p>
        </w:tc>
        <w:tc>
          <w:tcPr>
            <w:tcW w:w="588" w:type="pct"/>
            <w:tcBorders>
              <w:top w:val="single" w:color="auto" w:sz="4" w:space="0"/>
              <w:left w:val="single" w:color="auto" w:sz="4" w:space="0"/>
              <w:bottom w:val="single" w:color="auto" w:sz="4" w:space="0"/>
              <w:right w:val="single" w:color="auto" w:sz="4" w:space="0"/>
            </w:tcBorders>
            <w:vAlign w:val="center"/>
          </w:tcPr>
          <w:p w14:paraId="7F7F2D3A">
            <w:pPr>
              <w:spacing w:line="240" w:lineRule="auto"/>
              <w:ind w:firstLine="0" w:firstLineChars="0"/>
              <w:jc w:val="center"/>
              <w:rPr>
                <w:rFonts w:cs="Times New Roman"/>
                <w:szCs w:val="21"/>
              </w:rPr>
            </w:pPr>
            <w:r>
              <w:rPr>
                <w:rFonts w:cs="Times New Roman"/>
                <w:sz w:val="21"/>
                <w:szCs w:val="21"/>
                <w:lang w:bidi="ar"/>
              </w:rPr>
              <w:t>3.16</w:t>
            </w:r>
          </w:p>
        </w:tc>
        <w:tc>
          <w:tcPr>
            <w:tcW w:w="588" w:type="pct"/>
            <w:tcBorders>
              <w:top w:val="single" w:color="auto" w:sz="4" w:space="0"/>
              <w:left w:val="single" w:color="auto" w:sz="4" w:space="0"/>
              <w:bottom w:val="single" w:color="auto" w:sz="4" w:space="0"/>
              <w:right w:val="single" w:color="auto" w:sz="4" w:space="0"/>
            </w:tcBorders>
            <w:vAlign w:val="center"/>
          </w:tcPr>
          <w:p w14:paraId="4CF703FA">
            <w:pPr>
              <w:spacing w:line="240" w:lineRule="auto"/>
              <w:ind w:firstLine="0" w:firstLineChars="0"/>
              <w:jc w:val="center"/>
              <w:rPr>
                <w:rFonts w:cs="Times New Roman"/>
                <w:szCs w:val="21"/>
              </w:rPr>
            </w:pPr>
            <w:r>
              <w:rPr>
                <w:rFonts w:cs="Times New Roman"/>
                <w:sz w:val="21"/>
                <w:szCs w:val="21"/>
                <w:lang w:bidi="ar"/>
              </w:rPr>
              <w:t>1.44</w:t>
            </w:r>
          </w:p>
        </w:tc>
      </w:tr>
      <w:tr w14:paraId="4F9ED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7F836CE3">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6FF537D3">
            <w:pPr>
              <w:spacing w:line="240" w:lineRule="auto"/>
              <w:ind w:firstLine="0" w:firstLineChars="0"/>
              <w:jc w:val="center"/>
              <w:rPr>
                <w:rFonts w:cs="Times New Roman"/>
                <w:szCs w:val="21"/>
              </w:rPr>
            </w:pPr>
            <w:r>
              <w:rPr>
                <w:rFonts w:hint="eastAsia" w:cs="Times New Roman"/>
                <w:sz w:val="21"/>
                <w:szCs w:val="21"/>
                <w:lang w:bidi="ar"/>
              </w:rPr>
              <w:t>灌木层</w:t>
            </w:r>
          </w:p>
        </w:tc>
        <w:tc>
          <w:tcPr>
            <w:tcW w:w="429" w:type="pct"/>
            <w:tcBorders>
              <w:top w:val="single" w:color="auto" w:sz="4" w:space="0"/>
              <w:left w:val="single" w:color="auto" w:sz="4" w:space="0"/>
              <w:bottom w:val="single" w:color="auto" w:sz="4" w:space="0"/>
              <w:right w:val="single" w:color="auto" w:sz="4" w:space="0"/>
            </w:tcBorders>
            <w:vAlign w:val="center"/>
          </w:tcPr>
          <w:p w14:paraId="2D6B8121">
            <w:pPr>
              <w:spacing w:line="240" w:lineRule="auto"/>
              <w:ind w:firstLine="0" w:firstLineChars="0"/>
              <w:jc w:val="center"/>
              <w:rPr>
                <w:rFonts w:cs="Times New Roman"/>
                <w:szCs w:val="21"/>
              </w:rPr>
            </w:pPr>
            <w:r>
              <w:rPr>
                <w:rFonts w:cs="Times New Roman"/>
                <w:sz w:val="21"/>
                <w:szCs w:val="21"/>
                <w:lang w:bidi="ar"/>
              </w:rPr>
              <w:t>23</w:t>
            </w:r>
          </w:p>
        </w:tc>
        <w:tc>
          <w:tcPr>
            <w:tcW w:w="588" w:type="pct"/>
            <w:tcBorders>
              <w:top w:val="single" w:color="auto" w:sz="4" w:space="0"/>
              <w:left w:val="single" w:color="auto" w:sz="4" w:space="0"/>
              <w:bottom w:val="single" w:color="auto" w:sz="4" w:space="0"/>
              <w:right w:val="single" w:color="auto" w:sz="4" w:space="0"/>
            </w:tcBorders>
            <w:vAlign w:val="center"/>
          </w:tcPr>
          <w:p w14:paraId="1045A2FC">
            <w:pPr>
              <w:spacing w:line="240" w:lineRule="auto"/>
              <w:ind w:firstLine="0" w:firstLineChars="0"/>
              <w:jc w:val="center"/>
              <w:rPr>
                <w:rFonts w:cs="Times New Roman"/>
                <w:szCs w:val="21"/>
              </w:rPr>
            </w:pPr>
            <w:r>
              <w:rPr>
                <w:rFonts w:cs="Times New Roman"/>
                <w:sz w:val="21"/>
                <w:szCs w:val="21"/>
                <w:lang w:bidi="ar"/>
              </w:rPr>
              <w:t>3.22</w:t>
            </w:r>
          </w:p>
        </w:tc>
        <w:tc>
          <w:tcPr>
            <w:tcW w:w="588" w:type="pct"/>
            <w:tcBorders>
              <w:top w:val="single" w:color="auto" w:sz="4" w:space="0"/>
              <w:left w:val="single" w:color="auto" w:sz="4" w:space="0"/>
              <w:bottom w:val="single" w:color="auto" w:sz="4" w:space="0"/>
              <w:right w:val="single" w:color="auto" w:sz="4" w:space="0"/>
            </w:tcBorders>
            <w:vAlign w:val="center"/>
          </w:tcPr>
          <w:p w14:paraId="5A8A68C6">
            <w:pPr>
              <w:spacing w:line="240" w:lineRule="auto"/>
              <w:ind w:firstLine="0" w:firstLineChars="0"/>
              <w:jc w:val="center"/>
              <w:rPr>
                <w:rFonts w:cs="Times New Roman"/>
                <w:szCs w:val="21"/>
              </w:rPr>
            </w:pPr>
            <w:r>
              <w:rPr>
                <w:rFonts w:cs="Times New Roman"/>
                <w:sz w:val="21"/>
                <w:szCs w:val="21"/>
                <w:lang w:bidi="ar"/>
              </w:rPr>
              <w:t>0.92</w:t>
            </w:r>
          </w:p>
        </w:tc>
        <w:tc>
          <w:tcPr>
            <w:tcW w:w="588" w:type="pct"/>
            <w:tcBorders>
              <w:top w:val="single" w:color="auto" w:sz="4" w:space="0"/>
              <w:left w:val="single" w:color="auto" w:sz="4" w:space="0"/>
              <w:bottom w:val="single" w:color="auto" w:sz="4" w:space="0"/>
              <w:right w:val="single" w:color="auto" w:sz="4" w:space="0"/>
            </w:tcBorders>
            <w:vAlign w:val="center"/>
          </w:tcPr>
          <w:p w14:paraId="0AE25BDC">
            <w:pPr>
              <w:spacing w:line="240" w:lineRule="auto"/>
              <w:ind w:firstLine="0" w:firstLineChars="0"/>
              <w:jc w:val="center"/>
              <w:rPr>
                <w:rFonts w:cs="Times New Roman"/>
                <w:szCs w:val="21"/>
              </w:rPr>
            </w:pPr>
            <w:r>
              <w:rPr>
                <w:rFonts w:cs="Times New Roman"/>
                <w:sz w:val="21"/>
                <w:szCs w:val="21"/>
                <w:lang w:bidi="ar"/>
              </w:rPr>
              <w:t>2.89</w:t>
            </w:r>
          </w:p>
        </w:tc>
        <w:tc>
          <w:tcPr>
            <w:tcW w:w="588" w:type="pct"/>
            <w:tcBorders>
              <w:top w:val="single" w:color="auto" w:sz="4" w:space="0"/>
              <w:left w:val="single" w:color="auto" w:sz="4" w:space="0"/>
              <w:bottom w:val="single" w:color="auto" w:sz="4" w:space="0"/>
              <w:right w:val="single" w:color="auto" w:sz="4" w:space="0"/>
            </w:tcBorders>
            <w:vAlign w:val="center"/>
          </w:tcPr>
          <w:p w14:paraId="28EAB7ED">
            <w:pPr>
              <w:spacing w:line="240" w:lineRule="auto"/>
              <w:ind w:firstLine="0" w:firstLineChars="0"/>
              <w:jc w:val="center"/>
              <w:rPr>
                <w:rFonts w:cs="Times New Roman"/>
                <w:szCs w:val="21"/>
              </w:rPr>
            </w:pPr>
            <w:r>
              <w:rPr>
                <w:rFonts w:cs="Times New Roman"/>
                <w:sz w:val="21"/>
                <w:szCs w:val="21"/>
                <w:lang w:bidi="ar"/>
              </w:rPr>
              <w:t>0.92</w:t>
            </w:r>
          </w:p>
        </w:tc>
      </w:tr>
      <w:tr w14:paraId="70136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1AC48E92">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019E38E8">
            <w:pPr>
              <w:spacing w:line="240" w:lineRule="auto"/>
              <w:ind w:firstLine="0" w:firstLineChars="0"/>
              <w:jc w:val="center"/>
              <w:rPr>
                <w:rFonts w:cs="Times New Roman"/>
                <w:szCs w:val="21"/>
              </w:rPr>
            </w:pPr>
            <w:r>
              <w:rPr>
                <w:rFonts w:hint="eastAsia" w:cs="Times New Roman"/>
                <w:sz w:val="21"/>
                <w:szCs w:val="21"/>
                <w:lang w:bidi="ar"/>
              </w:rPr>
              <w:t>草本层</w:t>
            </w:r>
          </w:p>
        </w:tc>
        <w:tc>
          <w:tcPr>
            <w:tcW w:w="429" w:type="pct"/>
            <w:tcBorders>
              <w:top w:val="single" w:color="auto" w:sz="4" w:space="0"/>
              <w:left w:val="single" w:color="auto" w:sz="4" w:space="0"/>
              <w:bottom w:val="single" w:color="auto" w:sz="4" w:space="0"/>
              <w:right w:val="single" w:color="auto" w:sz="4" w:space="0"/>
            </w:tcBorders>
            <w:vAlign w:val="center"/>
          </w:tcPr>
          <w:p w14:paraId="2DF9C2CC">
            <w:pPr>
              <w:spacing w:line="240" w:lineRule="auto"/>
              <w:ind w:firstLine="0" w:firstLineChars="0"/>
              <w:jc w:val="center"/>
              <w:rPr>
                <w:rFonts w:cs="Times New Roman"/>
                <w:szCs w:val="21"/>
              </w:rPr>
            </w:pPr>
            <w:r>
              <w:rPr>
                <w:rFonts w:cs="Times New Roman"/>
                <w:sz w:val="21"/>
                <w:szCs w:val="21"/>
                <w:lang w:bidi="ar"/>
              </w:rPr>
              <w:t>26</w:t>
            </w:r>
          </w:p>
        </w:tc>
        <w:tc>
          <w:tcPr>
            <w:tcW w:w="588" w:type="pct"/>
            <w:tcBorders>
              <w:top w:val="single" w:color="auto" w:sz="4" w:space="0"/>
              <w:left w:val="single" w:color="auto" w:sz="4" w:space="0"/>
              <w:bottom w:val="single" w:color="auto" w:sz="4" w:space="0"/>
              <w:right w:val="single" w:color="auto" w:sz="4" w:space="0"/>
            </w:tcBorders>
            <w:vAlign w:val="center"/>
          </w:tcPr>
          <w:p w14:paraId="61B2CD85">
            <w:pPr>
              <w:spacing w:line="240" w:lineRule="auto"/>
              <w:ind w:firstLine="0" w:firstLineChars="0"/>
              <w:jc w:val="center"/>
              <w:rPr>
                <w:rFonts w:cs="Times New Roman"/>
                <w:szCs w:val="21"/>
              </w:rPr>
            </w:pPr>
            <w:r>
              <w:rPr>
                <w:rFonts w:cs="Times New Roman"/>
                <w:sz w:val="21"/>
                <w:szCs w:val="21"/>
                <w:lang w:bidi="ar"/>
              </w:rPr>
              <w:t>3.64</w:t>
            </w:r>
          </w:p>
        </w:tc>
        <w:tc>
          <w:tcPr>
            <w:tcW w:w="588" w:type="pct"/>
            <w:tcBorders>
              <w:top w:val="single" w:color="auto" w:sz="4" w:space="0"/>
              <w:left w:val="single" w:color="auto" w:sz="4" w:space="0"/>
              <w:bottom w:val="single" w:color="auto" w:sz="4" w:space="0"/>
              <w:right w:val="single" w:color="auto" w:sz="4" w:space="0"/>
            </w:tcBorders>
            <w:vAlign w:val="center"/>
          </w:tcPr>
          <w:p w14:paraId="2383629D">
            <w:pPr>
              <w:spacing w:line="240" w:lineRule="auto"/>
              <w:ind w:firstLine="0" w:firstLineChars="0"/>
              <w:jc w:val="center"/>
              <w:rPr>
                <w:rFonts w:cs="Times New Roman"/>
                <w:szCs w:val="21"/>
              </w:rPr>
            </w:pPr>
            <w:r>
              <w:rPr>
                <w:rFonts w:cs="Times New Roman"/>
                <w:sz w:val="21"/>
                <w:szCs w:val="21"/>
                <w:lang w:bidi="ar"/>
              </w:rPr>
              <w:t>0.96</w:t>
            </w:r>
          </w:p>
        </w:tc>
        <w:tc>
          <w:tcPr>
            <w:tcW w:w="588" w:type="pct"/>
            <w:tcBorders>
              <w:top w:val="single" w:color="auto" w:sz="4" w:space="0"/>
              <w:left w:val="single" w:color="auto" w:sz="4" w:space="0"/>
              <w:bottom w:val="single" w:color="auto" w:sz="4" w:space="0"/>
              <w:right w:val="single" w:color="auto" w:sz="4" w:space="0"/>
            </w:tcBorders>
            <w:vAlign w:val="center"/>
          </w:tcPr>
          <w:p w14:paraId="026AE36D">
            <w:pPr>
              <w:spacing w:line="240" w:lineRule="auto"/>
              <w:ind w:firstLine="0" w:firstLineChars="0"/>
              <w:jc w:val="center"/>
              <w:rPr>
                <w:rFonts w:cs="Times New Roman"/>
                <w:szCs w:val="21"/>
              </w:rPr>
            </w:pPr>
            <w:r>
              <w:rPr>
                <w:rFonts w:cs="Times New Roman"/>
                <w:sz w:val="21"/>
                <w:szCs w:val="21"/>
                <w:lang w:bidi="ar"/>
              </w:rPr>
              <w:t>3.50</w:t>
            </w:r>
          </w:p>
        </w:tc>
        <w:tc>
          <w:tcPr>
            <w:tcW w:w="588" w:type="pct"/>
            <w:tcBorders>
              <w:top w:val="single" w:color="auto" w:sz="4" w:space="0"/>
              <w:left w:val="single" w:color="auto" w:sz="4" w:space="0"/>
              <w:bottom w:val="single" w:color="auto" w:sz="4" w:space="0"/>
              <w:right w:val="single" w:color="auto" w:sz="4" w:space="0"/>
            </w:tcBorders>
            <w:vAlign w:val="center"/>
          </w:tcPr>
          <w:p w14:paraId="59A37D86">
            <w:pPr>
              <w:spacing w:line="240" w:lineRule="auto"/>
              <w:ind w:firstLine="0" w:firstLineChars="0"/>
              <w:jc w:val="center"/>
              <w:rPr>
                <w:rFonts w:cs="Times New Roman"/>
                <w:szCs w:val="21"/>
              </w:rPr>
            </w:pPr>
            <w:r>
              <w:rPr>
                <w:rFonts w:cs="Times New Roman"/>
                <w:sz w:val="21"/>
                <w:szCs w:val="21"/>
                <w:lang w:bidi="ar"/>
              </w:rPr>
              <w:t>1.07</w:t>
            </w:r>
          </w:p>
        </w:tc>
      </w:tr>
      <w:tr w14:paraId="07D4D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09" w:type="pct"/>
            <w:vMerge w:val="continue"/>
            <w:tcBorders>
              <w:top w:val="single" w:color="auto" w:sz="4" w:space="0"/>
              <w:left w:val="single" w:color="auto" w:sz="4" w:space="0"/>
              <w:bottom w:val="single" w:color="auto" w:sz="4" w:space="0"/>
              <w:right w:val="single" w:color="auto" w:sz="4" w:space="0"/>
            </w:tcBorders>
            <w:vAlign w:val="center"/>
          </w:tcPr>
          <w:p w14:paraId="34952983">
            <w:pPr>
              <w:spacing w:line="240" w:lineRule="auto"/>
              <w:ind w:firstLine="0" w:firstLineChars="0"/>
              <w:rPr>
                <w:rFonts w:hint="eastAsia" w:ascii="等线" w:hAnsi="等线" w:eastAsia="等线" w:cs="等线"/>
                <w:sz w:val="21"/>
              </w:rPr>
            </w:pPr>
          </w:p>
        </w:tc>
        <w:tc>
          <w:tcPr>
            <w:tcW w:w="1109" w:type="pct"/>
            <w:tcBorders>
              <w:top w:val="single" w:color="auto" w:sz="4" w:space="0"/>
              <w:left w:val="single" w:color="auto" w:sz="4" w:space="0"/>
              <w:bottom w:val="single" w:color="auto" w:sz="4" w:space="0"/>
              <w:right w:val="single" w:color="auto" w:sz="4" w:space="0"/>
            </w:tcBorders>
            <w:vAlign w:val="center"/>
          </w:tcPr>
          <w:p w14:paraId="59666586">
            <w:pPr>
              <w:spacing w:line="240" w:lineRule="auto"/>
              <w:ind w:firstLine="0" w:firstLineChars="0"/>
              <w:jc w:val="center"/>
              <w:rPr>
                <w:rFonts w:cs="Times New Roman"/>
                <w:szCs w:val="21"/>
              </w:rPr>
            </w:pPr>
            <w:r>
              <w:rPr>
                <w:rFonts w:hint="eastAsia" w:cs="Times New Roman"/>
                <w:sz w:val="21"/>
                <w:szCs w:val="21"/>
                <w:lang w:bidi="ar"/>
              </w:rPr>
              <w:t>群落</w:t>
            </w:r>
          </w:p>
        </w:tc>
        <w:tc>
          <w:tcPr>
            <w:tcW w:w="429" w:type="pct"/>
            <w:tcBorders>
              <w:top w:val="single" w:color="auto" w:sz="4" w:space="0"/>
              <w:left w:val="single" w:color="auto" w:sz="4" w:space="0"/>
              <w:bottom w:val="single" w:color="auto" w:sz="4" w:space="0"/>
              <w:right w:val="single" w:color="auto" w:sz="4" w:space="0"/>
            </w:tcBorders>
            <w:vAlign w:val="center"/>
          </w:tcPr>
          <w:p w14:paraId="4851A4D7">
            <w:pPr>
              <w:spacing w:line="240" w:lineRule="auto"/>
              <w:ind w:firstLine="0" w:firstLineChars="0"/>
              <w:jc w:val="center"/>
              <w:rPr>
                <w:rFonts w:cs="Times New Roman"/>
                <w:szCs w:val="21"/>
              </w:rPr>
            </w:pPr>
            <w:r>
              <w:rPr>
                <w:rFonts w:cs="Times New Roman"/>
                <w:sz w:val="21"/>
                <w:szCs w:val="21"/>
                <w:lang w:bidi="ar"/>
              </w:rPr>
              <w:t>58</w:t>
            </w:r>
          </w:p>
        </w:tc>
        <w:tc>
          <w:tcPr>
            <w:tcW w:w="588" w:type="pct"/>
            <w:tcBorders>
              <w:top w:val="single" w:color="auto" w:sz="4" w:space="0"/>
              <w:left w:val="single" w:color="auto" w:sz="4" w:space="0"/>
              <w:bottom w:val="single" w:color="auto" w:sz="4" w:space="0"/>
              <w:right w:val="single" w:color="auto" w:sz="4" w:space="0"/>
            </w:tcBorders>
            <w:vAlign w:val="center"/>
          </w:tcPr>
          <w:p w14:paraId="7F2D99CD">
            <w:pPr>
              <w:spacing w:line="240" w:lineRule="auto"/>
              <w:ind w:firstLine="0" w:firstLineChars="0"/>
              <w:jc w:val="center"/>
              <w:rPr>
                <w:rFonts w:cs="Times New Roman"/>
                <w:szCs w:val="21"/>
              </w:rPr>
            </w:pPr>
            <w:r>
              <w:rPr>
                <w:rFonts w:cs="Times New Roman"/>
                <w:sz w:val="21"/>
                <w:szCs w:val="21"/>
                <w:lang w:bidi="ar"/>
              </w:rPr>
              <w:t>7.53</w:t>
            </w:r>
          </w:p>
        </w:tc>
        <w:tc>
          <w:tcPr>
            <w:tcW w:w="588" w:type="pct"/>
            <w:tcBorders>
              <w:top w:val="single" w:color="auto" w:sz="4" w:space="0"/>
              <w:left w:val="single" w:color="auto" w:sz="4" w:space="0"/>
              <w:bottom w:val="single" w:color="auto" w:sz="4" w:space="0"/>
              <w:right w:val="single" w:color="auto" w:sz="4" w:space="0"/>
            </w:tcBorders>
            <w:vAlign w:val="center"/>
          </w:tcPr>
          <w:p w14:paraId="13725B8A">
            <w:pPr>
              <w:spacing w:line="240" w:lineRule="auto"/>
              <w:ind w:firstLine="0" w:firstLineChars="0"/>
              <w:jc w:val="center"/>
              <w:rPr>
                <w:rFonts w:cs="Times New Roman"/>
                <w:szCs w:val="21"/>
              </w:rPr>
            </w:pPr>
            <w:r>
              <w:rPr>
                <w:rFonts w:cs="Times New Roman"/>
                <w:sz w:val="21"/>
                <w:szCs w:val="21"/>
                <w:lang w:bidi="ar"/>
              </w:rPr>
              <w:t>0.97</w:t>
            </w:r>
          </w:p>
        </w:tc>
        <w:tc>
          <w:tcPr>
            <w:tcW w:w="588" w:type="pct"/>
            <w:tcBorders>
              <w:top w:val="single" w:color="auto" w:sz="4" w:space="0"/>
              <w:left w:val="single" w:color="auto" w:sz="4" w:space="0"/>
              <w:bottom w:val="single" w:color="auto" w:sz="4" w:space="0"/>
              <w:right w:val="single" w:color="auto" w:sz="4" w:space="0"/>
            </w:tcBorders>
            <w:vAlign w:val="center"/>
          </w:tcPr>
          <w:p w14:paraId="252E7F99">
            <w:pPr>
              <w:spacing w:line="240" w:lineRule="auto"/>
              <w:ind w:firstLine="0" w:firstLineChars="0"/>
              <w:jc w:val="center"/>
              <w:rPr>
                <w:rFonts w:cs="Times New Roman"/>
                <w:szCs w:val="21"/>
              </w:rPr>
            </w:pPr>
            <w:r>
              <w:rPr>
                <w:rFonts w:cs="Times New Roman"/>
                <w:sz w:val="21"/>
                <w:szCs w:val="21"/>
                <w:lang w:bidi="ar"/>
              </w:rPr>
              <w:t>4.01</w:t>
            </w:r>
          </w:p>
        </w:tc>
        <w:tc>
          <w:tcPr>
            <w:tcW w:w="588" w:type="pct"/>
            <w:tcBorders>
              <w:top w:val="single" w:color="auto" w:sz="4" w:space="0"/>
              <w:left w:val="single" w:color="auto" w:sz="4" w:space="0"/>
              <w:bottom w:val="single" w:color="auto" w:sz="4" w:space="0"/>
              <w:right w:val="single" w:color="auto" w:sz="4" w:space="0"/>
            </w:tcBorders>
            <w:vAlign w:val="center"/>
          </w:tcPr>
          <w:p w14:paraId="03E1C87C">
            <w:pPr>
              <w:spacing w:line="240" w:lineRule="auto"/>
              <w:ind w:firstLine="0" w:firstLineChars="0"/>
              <w:jc w:val="center"/>
              <w:rPr>
                <w:rFonts w:cs="Times New Roman"/>
                <w:szCs w:val="21"/>
              </w:rPr>
            </w:pPr>
            <w:r>
              <w:rPr>
                <w:rFonts w:cs="Times New Roman"/>
                <w:sz w:val="21"/>
                <w:szCs w:val="21"/>
                <w:lang w:bidi="ar"/>
              </w:rPr>
              <w:t>0.99</w:t>
            </w:r>
          </w:p>
        </w:tc>
      </w:tr>
    </w:tbl>
    <w:p w14:paraId="0C41F734">
      <w:pPr>
        <w:ind w:firstLine="480"/>
        <w:rPr>
          <w:rFonts w:cs="Times New Roman"/>
          <w:szCs w:val="24"/>
        </w:rPr>
      </w:pPr>
      <w:r>
        <w:rPr>
          <w:rFonts w:hint="eastAsia" w:cs="Times New Roman"/>
          <w:szCs w:val="24"/>
          <w:lang w:bidi="ar"/>
        </w:rPr>
        <w:t>由表</w:t>
      </w:r>
      <w:r>
        <w:rPr>
          <w:rFonts w:cs="Times New Roman"/>
          <w:szCs w:val="24"/>
          <w:lang w:bidi="ar"/>
        </w:rPr>
        <w:t>3.</w:t>
      </w:r>
      <w:r>
        <w:rPr>
          <w:rFonts w:hint="eastAsia" w:cs="Times New Roman"/>
          <w:szCs w:val="24"/>
          <w:lang w:bidi="ar"/>
        </w:rPr>
        <w:t>6</w:t>
      </w:r>
      <w:r>
        <w:rPr>
          <w:rFonts w:cs="Times New Roman"/>
          <w:szCs w:val="24"/>
          <w:lang w:bidi="ar"/>
        </w:rPr>
        <w:t>-</w:t>
      </w:r>
      <w:r>
        <w:rPr>
          <w:rFonts w:hint="eastAsia" w:cs="Times New Roman"/>
          <w:szCs w:val="24"/>
          <w:lang w:bidi="ar"/>
        </w:rPr>
        <w:t>12可见，就物种丰富度指标而言，茅山旅游度假区内各群落在物种丰富度和</w:t>
      </w:r>
      <w:r>
        <w:rPr>
          <w:rFonts w:cs="Times New Roman"/>
          <w:i/>
          <w:iCs/>
          <w:szCs w:val="24"/>
          <w:lang w:bidi="ar"/>
        </w:rPr>
        <w:t>Marglef</w:t>
      </w:r>
      <w:r>
        <w:rPr>
          <w:rFonts w:hint="eastAsia" w:cs="Times New Roman"/>
          <w:szCs w:val="24"/>
          <w:lang w:bidi="ar"/>
        </w:rPr>
        <w:t>指数多表现为草本层</w:t>
      </w:r>
      <w:r>
        <w:rPr>
          <w:rFonts w:cs="Times New Roman"/>
          <w:szCs w:val="24"/>
          <w:lang w:bidi="ar"/>
        </w:rPr>
        <w:t>&gt;</w:t>
      </w:r>
      <w:r>
        <w:rPr>
          <w:rFonts w:hint="eastAsia" w:cs="Times New Roman"/>
          <w:szCs w:val="24"/>
          <w:lang w:bidi="ar"/>
        </w:rPr>
        <w:t>灌木层</w:t>
      </w:r>
      <w:r>
        <w:rPr>
          <w:rFonts w:cs="Times New Roman"/>
          <w:szCs w:val="24"/>
          <w:lang w:bidi="ar"/>
        </w:rPr>
        <w:t>&gt;</w:t>
      </w:r>
      <w:r>
        <w:rPr>
          <w:rFonts w:hint="eastAsia" w:cs="Times New Roman"/>
          <w:szCs w:val="24"/>
          <w:lang w:bidi="ar"/>
        </w:rPr>
        <w:t>乔木层，区域乔木层受人为干扰影响较大，种类稀少，而灌木和草本由于适应性较强，在物种丰富度上表现较好；</w:t>
      </w:r>
    </w:p>
    <w:p w14:paraId="59B543DB">
      <w:pPr>
        <w:ind w:firstLine="480"/>
        <w:rPr>
          <w:rFonts w:cs="Times New Roman"/>
          <w:szCs w:val="24"/>
        </w:rPr>
      </w:pPr>
      <w:r>
        <w:rPr>
          <w:rFonts w:hint="eastAsia" w:cs="Times New Roman"/>
          <w:szCs w:val="24"/>
          <w:lang w:bidi="ar"/>
        </w:rPr>
        <w:t>就物种均匀度指标而言，由于乔木层树种较少，组成单一，优势种明显，且多为次生性较强的先锋树种，对生境要求低，因此在各个样地均生长较好，表现最为均匀；草本层和灌木层物种数量多，对不同生境的适应性差异而导致分布不均，均匀度较差；</w:t>
      </w:r>
    </w:p>
    <w:p w14:paraId="19F90AB8">
      <w:pPr>
        <w:ind w:firstLine="480"/>
        <w:rPr>
          <w:rFonts w:cs="Times New Roman"/>
          <w:szCs w:val="24"/>
        </w:rPr>
      </w:pPr>
      <w:r>
        <w:rPr>
          <w:rFonts w:hint="eastAsia" w:cs="Times New Roman"/>
          <w:szCs w:val="24"/>
          <w:lang w:bidi="ar"/>
        </w:rPr>
        <w:t>就多样性指标而言，优势度和多样性指数表现为乔木层</w:t>
      </w:r>
      <w:r>
        <w:rPr>
          <w:rFonts w:cs="Times New Roman"/>
          <w:szCs w:val="24"/>
          <w:lang w:bidi="ar"/>
        </w:rPr>
        <w:t>&gt;</w:t>
      </w:r>
      <w:r>
        <w:rPr>
          <w:rFonts w:hint="eastAsia" w:cs="Times New Roman"/>
          <w:szCs w:val="24"/>
          <w:lang w:bidi="ar"/>
        </w:rPr>
        <w:t>草本层</w:t>
      </w:r>
      <w:r>
        <w:rPr>
          <w:rFonts w:cs="Times New Roman"/>
          <w:szCs w:val="24"/>
          <w:lang w:bidi="ar"/>
        </w:rPr>
        <w:t>&gt;</w:t>
      </w:r>
      <w:r>
        <w:rPr>
          <w:rFonts w:hint="eastAsia" w:cs="Times New Roman"/>
          <w:szCs w:val="24"/>
          <w:lang w:bidi="ar"/>
        </w:rPr>
        <w:t>灌木层。度假区乔木层虽然物种数最少，但由于其个体数量较高，在调查的各样地均有发现，因此个体分配均匀性增加，多样性指数最高；草本层均匀度较低，但层内种类、数量较大，因此多样性指数也较高。</w:t>
      </w:r>
    </w:p>
    <w:p w14:paraId="021CE660">
      <w:pPr>
        <w:ind w:firstLine="482"/>
        <w:rPr>
          <w:rFonts w:cs="Times New Roman"/>
          <w:b/>
          <w:bCs/>
          <w:szCs w:val="24"/>
        </w:rPr>
      </w:pPr>
      <w:r>
        <w:rPr>
          <w:rFonts w:hint="eastAsia" w:cs="Times New Roman"/>
          <w:b/>
          <w:bCs/>
          <w:szCs w:val="24"/>
          <w:lang w:bidi="ar"/>
        </w:rPr>
        <w:t>（</w:t>
      </w:r>
      <w:r>
        <w:rPr>
          <w:rFonts w:cs="Times New Roman"/>
          <w:b/>
          <w:bCs/>
          <w:szCs w:val="24"/>
          <w:lang w:bidi="ar"/>
        </w:rPr>
        <w:t>5</w:t>
      </w:r>
      <w:r>
        <w:rPr>
          <w:rFonts w:hint="eastAsia" w:cs="Times New Roman"/>
          <w:b/>
          <w:bCs/>
          <w:szCs w:val="24"/>
          <w:lang w:bidi="ar"/>
        </w:rPr>
        <w:t>）保护植物资源分析</w:t>
      </w:r>
    </w:p>
    <w:p w14:paraId="29BEA6D3">
      <w:pPr>
        <w:ind w:firstLine="480"/>
        <w:rPr>
          <w:rFonts w:cs="Times New Roman"/>
          <w:szCs w:val="24"/>
        </w:rPr>
      </w:pPr>
      <w:r>
        <w:rPr>
          <w:rFonts w:hint="eastAsia" w:cs="Times New Roman"/>
          <w:szCs w:val="24"/>
          <w:lang w:bidi="ar"/>
        </w:rPr>
        <w:t>对照《国家重点保护野生植物名录（第一批和第二批）》和《中国植物红皮书》，确定茅山旅游度假区内现有珍稀濒危植物共计</w:t>
      </w:r>
      <w:r>
        <w:rPr>
          <w:rFonts w:cs="Times New Roman"/>
          <w:szCs w:val="24"/>
          <w:lang w:bidi="ar"/>
        </w:rPr>
        <w:t>8</w:t>
      </w:r>
      <w:r>
        <w:rPr>
          <w:rFonts w:hint="eastAsia" w:cs="Times New Roman"/>
          <w:szCs w:val="24"/>
          <w:lang w:bidi="ar"/>
        </w:rPr>
        <w:t>种，均为单科单属。其中，中国稀有种</w:t>
      </w:r>
      <w:r>
        <w:rPr>
          <w:rFonts w:cs="Times New Roman"/>
          <w:szCs w:val="24"/>
          <w:lang w:bidi="ar"/>
        </w:rPr>
        <w:t>5</w:t>
      </w:r>
      <w:r>
        <w:rPr>
          <w:rFonts w:hint="eastAsia" w:cs="Times New Roman"/>
          <w:szCs w:val="24"/>
          <w:lang w:bidi="ar"/>
        </w:rPr>
        <w:t>种，渐危种</w:t>
      </w:r>
      <w:r>
        <w:rPr>
          <w:rFonts w:cs="Times New Roman"/>
          <w:szCs w:val="24"/>
          <w:lang w:bidi="ar"/>
        </w:rPr>
        <w:t>3</w:t>
      </w:r>
      <w:r>
        <w:rPr>
          <w:rFonts w:hint="eastAsia" w:cs="Times New Roman"/>
          <w:szCs w:val="24"/>
          <w:lang w:bidi="ar"/>
        </w:rPr>
        <w:t>种，详见表</w:t>
      </w:r>
      <w:r>
        <w:rPr>
          <w:rFonts w:cs="Times New Roman"/>
          <w:szCs w:val="24"/>
          <w:lang w:bidi="ar"/>
        </w:rPr>
        <w:t>3.</w:t>
      </w:r>
      <w:r>
        <w:rPr>
          <w:rFonts w:hint="eastAsia" w:cs="Times New Roman"/>
          <w:szCs w:val="24"/>
          <w:lang w:bidi="ar"/>
        </w:rPr>
        <w:t>6</w:t>
      </w:r>
      <w:r>
        <w:rPr>
          <w:rFonts w:cs="Times New Roman"/>
          <w:szCs w:val="24"/>
          <w:lang w:bidi="ar"/>
        </w:rPr>
        <w:t>-</w:t>
      </w:r>
      <w:r>
        <w:rPr>
          <w:rFonts w:hint="eastAsia" w:cs="Times New Roman"/>
          <w:szCs w:val="24"/>
          <w:lang w:bidi="ar"/>
        </w:rPr>
        <w:t>13。</w:t>
      </w:r>
    </w:p>
    <w:p w14:paraId="1212BE1B">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13</w:t>
      </w:r>
      <w:r>
        <w:rPr>
          <w:rFonts w:cs="Times New Roman"/>
        </w:rPr>
        <w:t xml:space="preserve"> </w:t>
      </w:r>
      <w:bookmarkStart w:id="80" w:name="_Hlk210646443"/>
      <w:r>
        <w:rPr>
          <w:rFonts w:hint="eastAsia" w:cs="Times New Roman"/>
        </w:rPr>
        <w:t>茅山旅游度假区珍稀濒危植物表</w:t>
      </w:r>
    </w:p>
    <w:tbl>
      <w:tblPr>
        <w:tblStyle w:val="25"/>
        <w:tblW w:w="500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826"/>
        <w:gridCol w:w="2448"/>
        <w:gridCol w:w="1026"/>
        <w:gridCol w:w="1026"/>
      </w:tblGrid>
      <w:tr w14:paraId="104B40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blHeader/>
        </w:trPr>
        <w:tc>
          <w:tcPr>
            <w:tcW w:w="2298" w:type="pct"/>
            <w:tcBorders>
              <w:top w:val="single" w:color="000000" w:sz="4" w:space="0"/>
              <w:left w:val="single" w:color="000000" w:sz="4" w:space="0"/>
              <w:bottom w:val="single" w:color="000000" w:sz="4" w:space="0"/>
              <w:right w:val="single" w:color="000000" w:sz="4" w:space="0"/>
            </w:tcBorders>
          </w:tcPr>
          <w:p w14:paraId="7413C6EE">
            <w:pPr>
              <w:spacing w:line="240" w:lineRule="auto"/>
              <w:ind w:firstLine="0" w:firstLineChars="0"/>
              <w:jc w:val="center"/>
              <w:rPr>
                <w:rFonts w:cs="Times New Roman"/>
                <w:b/>
                <w:bCs/>
                <w:szCs w:val="21"/>
              </w:rPr>
            </w:pPr>
            <w:r>
              <w:rPr>
                <w:rFonts w:cs="Times New Roman"/>
                <w:b/>
                <w:bCs/>
                <w:sz w:val="21"/>
                <w:szCs w:val="21"/>
                <w:lang w:bidi="ar"/>
              </w:rPr>
              <w:t>种名</w:t>
            </w:r>
          </w:p>
        </w:tc>
        <w:tc>
          <w:tcPr>
            <w:tcW w:w="1470" w:type="pct"/>
            <w:tcBorders>
              <w:top w:val="single" w:color="000000" w:sz="4" w:space="0"/>
              <w:left w:val="single" w:color="000000" w:sz="4" w:space="0"/>
              <w:bottom w:val="single" w:color="000000" w:sz="4" w:space="0"/>
              <w:right w:val="single" w:color="000000" w:sz="4" w:space="0"/>
            </w:tcBorders>
          </w:tcPr>
          <w:p w14:paraId="35C39059">
            <w:pPr>
              <w:spacing w:line="240" w:lineRule="auto"/>
              <w:ind w:firstLine="0" w:firstLineChars="0"/>
              <w:jc w:val="center"/>
              <w:rPr>
                <w:rFonts w:cs="Times New Roman"/>
                <w:b/>
                <w:bCs/>
                <w:szCs w:val="21"/>
              </w:rPr>
            </w:pPr>
            <w:r>
              <w:rPr>
                <w:rFonts w:cs="Times New Roman"/>
                <w:b/>
                <w:bCs/>
                <w:sz w:val="21"/>
                <w:szCs w:val="21"/>
                <w:lang w:bidi="ar"/>
              </w:rPr>
              <w:t>科名</w:t>
            </w:r>
          </w:p>
        </w:tc>
        <w:tc>
          <w:tcPr>
            <w:tcW w:w="616" w:type="pct"/>
            <w:tcBorders>
              <w:top w:val="single" w:color="000000" w:sz="4" w:space="0"/>
              <w:left w:val="single" w:color="000000" w:sz="4" w:space="0"/>
              <w:bottom w:val="single" w:color="000000" w:sz="4" w:space="0"/>
              <w:right w:val="single" w:color="000000" w:sz="4" w:space="0"/>
            </w:tcBorders>
          </w:tcPr>
          <w:p w14:paraId="2A8571C9">
            <w:pPr>
              <w:spacing w:line="240" w:lineRule="auto"/>
              <w:ind w:firstLine="0" w:firstLineChars="0"/>
              <w:jc w:val="center"/>
              <w:rPr>
                <w:rFonts w:cs="Times New Roman"/>
                <w:b/>
                <w:bCs/>
                <w:szCs w:val="21"/>
              </w:rPr>
            </w:pPr>
            <w:r>
              <w:rPr>
                <w:rFonts w:cs="Times New Roman"/>
                <w:b/>
                <w:bCs/>
                <w:sz w:val="21"/>
                <w:szCs w:val="21"/>
                <w:lang w:bidi="ar"/>
              </w:rPr>
              <w:t>濒危程度</w:t>
            </w:r>
          </w:p>
        </w:tc>
        <w:tc>
          <w:tcPr>
            <w:tcW w:w="616" w:type="pct"/>
            <w:tcBorders>
              <w:top w:val="single" w:color="000000" w:sz="4" w:space="0"/>
              <w:left w:val="single" w:color="000000" w:sz="4" w:space="0"/>
              <w:bottom w:val="single" w:color="000000" w:sz="4" w:space="0"/>
              <w:right w:val="single" w:color="000000" w:sz="4" w:space="0"/>
            </w:tcBorders>
          </w:tcPr>
          <w:p w14:paraId="5C6B027C">
            <w:pPr>
              <w:spacing w:line="240" w:lineRule="auto"/>
              <w:ind w:firstLine="0" w:firstLineChars="0"/>
              <w:jc w:val="center"/>
              <w:rPr>
                <w:rFonts w:cs="Times New Roman"/>
                <w:b/>
                <w:bCs/>
                <w:szCs w:val="21"/>
              </w:rPr>
            </w:pPr>
            <w:r>
              <w:rPr>
                <w:rFonts w:cs="Times New Roman"/>
                <w:b/>
                <w:bCs/>
                <w:sz w:val="21"/>
                <w:szCs w:val="21"/>
                <w:lang w:bidi="ar"/>
              </w:rPr>
              <w:t>保护级别</w:t>
            </w:r>
          </w:p>
        </w:tc>
      </w:tr>
      <w:tr w14:paraId="5FAF93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2298" w:type="pct"/>
            <w:tcBorders>
              <w:top w:val="single" w:color="000000" w:sz="4" w:space="0"/>
              <w:left w:val="single" w:color="000000" w:sz="4" w:space="0"/>
              <w:bottom w:val="single" w:color="000000" w:sz="4" w:space="0"/>
              <w:right w:val="single" w:color="000000" w:sz="4" w:space="0"/>
            </w:tcBorders>
          </w:tcPr>
          <w:p w14:paraId="31F2F588">
            <w:pPr>
              <w:spacing w:line="240" w:lineRule="auto"/>
              <w:ind w:firstLine="0" w:firstLineChars="0"/>
              <w:jc w:val="center"/>
              <w:rPr>
                <w:rFonts w:cs="Times New Roman"/>
                <w:szCs w:val="21"/>
              </w:rPr>
            </w:pPr>
            <w:r>
              <w:rPr>
                <w:rFonts w:cs="Times New Roman"/>
                <w:sz w:val="21"/>
                <w:szCs w:val="21"/>
                <w:lang w:bidi="ar"/>
              </w:rPr>
              <w:t xml:space="preserve">*苏铁 </w:t>
            </w:r>
            <w:r>
              <w:rPr>
                <w:rFonts w:cs="Times New Roman"/>
                <w:i/>
                <w:iCs/>
                <w:sz w:val="21"/>
                <w:szCs w:val="21"/>
                <w:lang w:bidi="ar"/>
              </w:rPr>
              <w:t>Cycas revoluta</w:t>
            </w:r>
          </w:p>
        </w:tc>
        <w:tc>
          <w:tcPr>
            <w:tcW w:w="1470" w:type="pct"/>
            <w:tcBorders>
              <w:top w:val="single" w:color="000000" w:sz="4" w:space="0"/>
              <w:left w:val="single" w:color="000000" w:sz="4" w:space="0"/>
              <w:bottom w:val="single" w:color="000000" w:sz="4" w:space="0"/>
              <w:right w:val="single" w:color="000000" w:sz="4" w:space="0"/>
            </w:tcBorders>
          </w:tcPr>
          <w:p w14:paraId="50C21FC6">
            <w:pPr>
              <w:spacing w:line="240" w:lineRule="auto"/>
              <w:ind w:firstLine="0" w:firstLineChars="0"/>
              <w:jc w:val="center"/>
              <w:rPr>
                <w:rFonts w:cs="Times New Roman"/>
                <w:szCs w:val="21"/>
              </w:rPr>
            </w:pPr>
            <w:r>
              <w:rPr>
                <w:rFonts w:cs="Times New Roman"/>
                <w:sz w:val="21"/>
                <w:szCs w:val="21"/>
                <w:lang w:bidi="ar"/>
              </w:rPr>
              <w:t>苏铁科 Cycadaceae</w:t>
            </w:r>
          </w:p>
        </w:tc>
        <w:tc>
          <w:tcPr>
            <w:tcW w:w="616" w:type="pct"/>
            <w:tcBorders>
              <w:top w:val="single" w:color="000000" w:sz="4" w:space="0"/>
              <w:left w:val="single" w:color="000000" w:sz="4" w:space="0"/>
              <w:bottom w:val="single" w:color="000000" w:sz="4" w:space="0"/>
              <w:right w:val="single" w:color="000000" w:sz="4" w:space="0"/>
            </w:tcBorders>
          </w:tcPr>
          <w:p w14:paraId="4249BFB4">
            <w:pPr>
              <w:spacing w:line="240" w:lineRule="auto"/>
              <w:ind w:firstLine="0" w:firstLineChars="0"/>
              <w:jc w:val="center"/>
              <w:rPr>
                <w:rFonts w:cs="Times New Roman"/>
                <w:szCs w:val="21"/>
              </w:rPr>
            </w:pPr>
            <w:r>
              <w:rPr>
                <w:rFonts w:cs="Times New Roman"/>
                <w:sz w:val="21"/>
                <w:szCs w:val="21"/>
                <w:lang w:bidi="ar"/>
              </w:rPr>
              <w:t>渐危</w:t>
            </w:r>
          </w:p>
        </w:tc>
        <w:tc>
          <w:tcPr>
            <w:tcW w:w="616" w:type="pct"/>
            <w:tcBorders>
              <w:top w:val="single" w:color="000000" w:sz="4" w:space="0"/>
              <w:left w:val="single" w:color="000000" w:sz="4" w:space="0"/>
              <w:bottom w:val="single" w:color="000000" w:sz="4" w:space="0"/>
              <w:right w:val="single" w:color="000000" w:sz="4" w:space="0"/>
            </w:tcBorders>
          </w:tcPr>
          <w:p w14:paraId="224C2EE4">
            <w:pPr>
              <w:spacing w:line="240" w:lineRule="auto"/>
              <w:ind w:firstLine="0" w:firstLineChars="0"/>
              <w:jc w:val="center"/>
              <w:rPr>
                <w:rFonts w:cs="Times New Roman"/>
                <w:szCs w:val="21"/>
              </w:rPr>
            </w:pPr>
            <w:r>
              <w:rPr>
                <w:rFonts w:cs="Times New Roman"/>
                <w:sz w:val="21"/>
                <w:szCs w:val="21"/>
                <w:lang w:bidi="ar"/>
              </w:rPr>
              <w:t>Ⅰ</w:t>
            </w:r>
          </w:p>
        </w:tc>
      </w:tr>
      <w:tr w14:paraId="609688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2298" w:type="pct"/>
            <w:tcBorders>
              <w:top w:val="single" w:color="000000" w:sz="4" w:space="0"/>
              <w:left w:val="single" w:color="000000" w:sz="4" w:space="0"/>
              <w:bottom w:val="single" w:color="000000" w:sz="4" w:space="0"/>
              <w:right w:val="single" w:color="000000" w:sz="4" w:space="0"/>
            </w:tcBorders>
          </w:tcPr>
          <w:p w14:paraId="6DC526E9">
            <w:pPr>
              <w:spacing w:line="240" w:lineRule="auto"/>
              <w:ind w:firstLine="0" w:firstLineChars="0"/>
              <w:jc w:val="center"/>
              <w:rPr>
                <w:rFonts w:cs="Times New Roman"/>
                <w:szCs w:val="21"/>
              </w:rPr>
            </w:pPr>
            <w:r>
              <w:rPr>
                <w:rFonts w:cs="Times New Roman"/>
                <w:sz w:val="21"/>
                <w:szCs w:val="21"/>
                <w:lang w:bidi="ar"/>
              </w:rPr>
              <w:t xml:space="preserve">*银杏 </w:t>
            </w:r>
            <w:r>
              <w:rPr>
                <w:rFonts w:cs="Times New Roman"/>
                <w:i/>
                <w:iCs/>
                <w:sz w:val="21"/>
                <w:szCs w:val="21"/>
                <w:lang w:bidi="ar"/>
              </w:rPr>
              <w:t>Ginkgo biloba</w:t>
            </w:r>
          </w:p>
        </w:tc>
        <w:tc>
          <w:tcPr>
            <w:tcW w:w="1470" w:type="pct"/>
            <w:tcBorders>
              <w:top w:val="single" w:color="000000" w:sz="4" w:space="0"/>
              <w:left w:val="single" w:color="000000" w:sz="4" w:space="0"/>
              <w:bottom w:val="single" w:color="000000" w:sz="4" w:space="0"/>
              <w:right w:val="single" w:color="000000" w:sz="4" w:space="0"/>
            </w:tcBorders>
          </w:tcPr>
          <w:p w14:paraId="3F72AEE2">
            <w:pPr>
              <w:spacing w:line="240" w:lineRule="auto"/>
              <w:ind w:firstLine="0" w:firstLineChars="0"/>
              <w:jc w:val="center"/>
              <w:rPr>
                <w:rFonts w:cs="Times New Roman"/>
                <w:szCs w:val="21"/>
              </w:rPr>
            </w:pPr>
            <w:r>
              <w:rPr>
                <w:rFonts w:cs="Times New Roman"/>
                <w:sz w:val="21"/>
                <w:szCs w:val="21"/>
                <w:lang w:bidi="ar"/>
              </w:rPr>
              <w:t>银杏科 Ginkgoaceae</w:t>
            </w:r>
          </w:p>
        </w:tc>
        <w:tc>
          <w:tcPr>
            <w:tcW w:w="616" w:type="pct"/>
            <w:tcBorders>
              <w:top w:val="single" w:color="000000" w:sz="4" w:space="0"/>
              <w:left w:val="single" w:color="000000" w:sz="4" w:space="0"/>
              <w:bottom w:val="single" w:color="000000" w:sz="4" w:space="0"/>
              <w:right w:val="single" w:color="000000" w:sz="4" w:space="0"/>
            </w:tcBorders>
          </w:tcPr>
          <w:p w14:paraId="2DABDFDB">
            <w:pPr>
              <w:spacing w:line="240" w:lineRule="auto"/>
              <w:ind w:firstLine="0" w:firstLineChars="0"/>
              <w:jc w:val="center"/>
              <w:rPr>
                <w:rFonts w:cs="Times New Roman"/>
                <w:szCs w:val="21"/>
              </w:rPr>
            </w:pPr>
            <w:r>
              <w:rPr>
                <w:rFonts w:cs="Times New Roman"/>
                <w:sz w:val="21"/>
                <w:szCs w:val="21"/>
                <w:lang w:bidi="ar"/>
              </w:rPr>
              <w:t>渐危</w:t>
            </w:r>
          </w:p>
        </w:tc>
        <w:tc>
          <w:tcPr>
            <w:tcW w:w="616" w:type="pct"/>
            <w:tcBorders>
              <w:top w:val="single" w:color="000000" w:sz="4" w:space="0"/>
              <w:left w:val="single" w:color="000000" w:sz="4" w:space="0"/>
              <w:bottom w:val="single" w:color="000000" w:sz="4" w:space="0"/>
              <w:right w:val="single" w:color="000000" w:sz="4" w:space="0"/>
            </w:tcBorders>
          </w:tcPr>
          <w:p w14:paraId="35B7A089">
            <w:pPr>
              <w:spacing w:line="240" w:lineRule="auto"/>
              <w:ind w:firstLine="0" w:firstLineChars="0"/>
              <w:jc w:val="center"/>
              <w:rPr>
                <w:rFonts w:cs="Times New Roman"/>
                <w:szCs w:val="21"/>
              </w:rPr>
            </w:pPr>
            <w:r>
              <w:rPr>
                <w:rFonts w:cs="Times New Roman"/>
                <w:sz w:val="21"/>
                <w:szCs w:val="21"/>
                <w:lang w:bidi="ar"/>
              </w:rPr>
              <w:t>Ⅰ</w:t>
            </w:r>
          </w:p>
        </w:tc>
      </w:tr>
      <w:tr w14:paraId="197513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2298" w:type="pct"/>
            <w:tcBorders>
              <w:top w:val="single" w:color="000000" w:sz="4" w:space="0"/>
              <w:left w:val="single" w:color="000000" w:sz="4" w:space="0"/>
              <w:bottom w:val="single" w:color="000000" w:sz="4" w:space="0"/>
              <w:right w:val="single" w:color="000000" w:sz="4" w:space="0"/>
            </w:tcBorders>
          </w:tcPr>
          <w:p w14:paraId="0A054331">
            <w:pPr>
              <w:spacing w:line="240" w:lineRule="auto"/>
              <w:ind w:firstLine="0" w:firstLineChars="0"/>
              <w:jc w:val="center"/>
              <w:rPr>
                <w:rFonts w:cs="Times New Roman"/>
                <w:szCs w:val="21"/>
              </w:rPr>
            </w:pPr>
            <w:r>
              <w:rPr>
                <w:rFonts w:cs="Times New Roman"/>
                <w:sz w:val="21"/>
                <w:szCs w:val="21"/>
                <w:lang w:bidi="ar"/>
              </w:rPr>
              <w:t xml:space="preserve">*水杉 </w:t>
            </w:r>
            <w:r>
              <w:rPr>
                <w:rFonts w:cs="Times New Roman"/>
                <w:i/>
                <w:iCs/>
                <w:sz w:val="21"/>
                <w:szCs w:val="21"/>
                <w:lang w:bidi="ar"/>
              </w:rPr>
              <w:t>Metasepuoia glyptostroboides</w:t>
            </w:r>
          </w:p>
        </w:tc>
        <w:tc>
          <w:tcPr>
            <w:tcW w:w="1470" w:type="pct"/>
            <w:tcBorders>
              <w:top w:val="single" w:color="000000" w:sz="4" w:space="0"/>
              <w:left w:val="single" w:color="000000" w:sz="4" w:space="0"/>
              <w:bottom w:val="single" w:color="000000" w:sz="4" w:space="0"/>
              <w:right w:val="single" w:color="000000" w:sz="4" w:space="0"/>
            </w:tcBorders>
          </w:tcPr>
          <w:p w14:paraId="06EF5E16">
            <w:pPr>
              <w:spacing w:line="240" w:lineRule="auto"/>
              <w:ind w:firstLine="0" w:firstLineChars="0"/>
              <w:jc w:val="center"/>
              <w:rPr>
                <w:rFonts w:cs="Times New Roman"/>
                <w:szCs w:val="21"/>
              </w:rPr>
            </w:pPr>
            <w:r>
              <w:rPr>
                <w:rFonts w:cs="Times New Roman"/>
                <w:sz w:val="21"/>
                <w:szCs w:val="21"/>
                <w:lang w:bidi="ar"/>
              </w:rPr>
              <w:t>杉科 Taxodiaceae</w:t>
            </w:r>
          </w:p>
        </w:tc>
        <w:tc>
          <w:tcPr>
            <w:tcW w:w="616" w:type="pct"/>
            <w:tcBorders>
              <w:top w:val="single" w:color="000000" w:sz="4" w:space="0"/>
              <w:left w:val="single" w:color="000000" w:sz="4" w:space="0"/>
              <w:bottom w:val="single" w:color="000000" w:sz="4" w:space="0"/>
              <w:right w:val="single" w:color="000000" w:sz="4" w:space="0"/>
            </w:tcBorders>
          </w:tcPr>
          <w:p w14:paraId="27F916B5">
            <w:pPr>
              <w:spacing w:line="240" w:lineRule="auto"/>
              <w:ind w:firstLine="0" w:firstLineChars="0"/>
              <w:jc w:val="center"/>
              <w:rPr>
                <w:rFonts w:cs="Times New Roman"/>
                <w:szCs w:val="21"/>
              </w:rPr>
            </w:pPr>
            <w:r>
              <w:rPr>
                <w:rFonts w:cs="Times New Roman"/>
                <w:sz w:val="21"/>
                <w:szCs w:val="21"/>
                <w:lang w:bidi="ar"/>
              </w:rPr>
              <w:t>稀有</w:t>
            </w:r>
          </w:p>
        </w:tc>
        <w:tc>
          <w:tcPr>
            <w:tcW w:w="616" w:type="pct"/>
            <w:tcBorders>
              <w:top w:val="single" w:color="000000" w:sz="4" w:space="0"/>
              <w:left w:val="single" w:color="000000" w:sz="4" w:space="0"/>
              <w:bottom w:val="single" w:color="000000" w:sz="4" w:space="0"/>
              <w:right w:val="single" w:color="000000" w:sz="4" w:space="0"/>
            </w:tcBorders>
          </w:tcPr>
          <w:p w14:paraId="19E8F7BF">
            <w:pPr>
              <w:spacing w:line="240" w:lineRule="auto"/>
              <w:ind w:firstLine="0" w:firstLineChars="0"/>
              <w:jc w:val="center"/>
              <w:rPr>
                <w:rFonts w:cs="Times New Roman"/>
                <w:szCs w:val="21"/>
              </w:rPr>
            </w:pPr>
            <w:r>
              <w:rPr>
                <w:rFonts w:cs="Times New Roman"/>
                <w:sz w:val="21"/>
                <w:szCs w:val="21"/>
                <w:lang w:bidi="ar"/>
              </w:rPr>
              <w:t>Ⅰ</w:t>
            </w:r>
          </w:p>
        </w:tc>
      </w:tr>
      <w:tr w14:paraId="34E036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2298" w:type="pct"/>
            <w:tcBorders>
              <w:top w:val="single" w:color="000000" w:sz="4" w:space="0"/>
              <w:left w:val="single" w:color="000000" w:sz="4" w:space="0"/>
              <w:bottom w:val="single" w:color="000000" w:sz="4" w:space="0"/>
              <w:right w:val="single" w:color="000000" w:sz="4" w:space="0"/>
            </w:tcBorders>
          </w:tcPr>
          <w:p w14:paraId="3B7EFF00">
            <w:pPr>
              <w:spacing w:line="240" w:lineRule="auto"/>
              <w:ind w:firstLine="0" w:firstLineChars="0"/>
              <w:jc w:val="center"/>
              <w:rPr>
                <w:rFonts w:cs="Times New Roman"/>
                <w:szCs w:val="21"/>
              </w:rPr>
            </w:pPr>
            <w:r>
              <w:rPr>
                <w:rFonts w:cs="Times New Roman"/>
                <w:sz w:val="21"/>
                <w:szCs w:val="21"/>
                <w:lang w:bidi="ar"/>
              </w:rPr>
              <w:t xml:space="preserve">杜仲 </w:t>
            </w:r>
            <w:r>
              <w:rPr>
                <w:rFonts w:cs="Times New Roman"/>
                <w:i/>
                <w:iCs/>
                <w:sz w:val="21"/>
                <w:szCs w:val="21"/>
                <w:lang w:bidi="ar"/>
              </w:rPr>
              <w:t>Eucommia ulmoides</w:t>
            </w:r>
          </w:p>
        </w:tc>
        <w:tc>
          <w:tcPr>
            <w:tcW w:w="1470" w:type="pct"/>
            <w:tcBorders>
              <w:top w:val="single" w:color="000000" w:sz="4" w:space="0"/>
              <w:left w:val="single" w:color="000000" w:sz="4" w:space="0"/>
              <w:bottom w:val="single" w:color="000000" w:sz="4" w:space="0"/>
              <w:right w:val="single" w:color="000000" w:sz="4" w:space="0"/>
            </w:tcBorders>
          </w:tcPr>
          <w:p w14:paraId="120971FA">
            <w:pPr>
              <w:spacing w:line="240" w:lineRule="auto"/>
              <w:ind w:firstLine="0" w:firstLineChars="0"/>
              <w:jc w:val="center"/>
              <w:rPr>
                <w:rFonts w:cs="Times New Roman"/>
                <w:szCs w:val="21"/>
              </w:rPr>
            </w:pPr>
            <w:r>
              <w:rPr>
                <w:rFonts w:cs="Times New Roman"/>
                <w:sz w:val="21"/>
                <w:szCs w:val="21"/>
                <w:lang w:bidi="ar"/>
              </w:rPr>
              <w:t>杜仲科 Eucommiaceae</w:t>
            </w:r>
          </w:p>
        </w:tc>
        <w:tc>
          <w:tcPr>
            <w:tcW w:w="616" w:type="pct"/>
            <w:tcBorders>
              <w:top w:val="single" w:color="000000" w:sz="4" w:space="0"/>
              <w:left w:val="single" w:color="000000" w:sz="4" w:space="0"/>
              <w:bottom w:val="single" w:color="000000" w:sz="4" w:space="0"/>
              <w:right w:val="single" w:color="000000" w:sz="4" w:space="0"/>
            </w:tcBorders>
          </w:tcPr>
          <w:p w14:paraId="0F664888">
            <w:pPr>
              <w:spacing w:line="240" w:lineRule="auto"/>
              <w:ind w:firstLine="0" w:firstLineChars="0"/>
              <w:jc w:val="center"/>
              <w:rPr>
                <w:rFonts w:cs="Times New Roman"/>
                <w:szCs w:val="21"/>
              </w:rPr>
            </w:pPr>
            <w:r>
              <w:rPr>
                <w:rFonts w:cs="Times New Roman"/>
                <w:sz w:val="21"/>
                <w:szCs w:val="21"/>
                <w:lang w:bidi="ar"/>
              </w:rPr>
              <w:t>稀有</w:t>
            </w:r>
          </w:p>
        </w:tc>
        <w:tc>
          <w:tcPr>
            <w:tcW w:w="616" w:type="pct"/>
            <w:tcBorders>
              <w:top w:val="single" w:color="000000" w:sz="4" w:space="0"/>
              <w:left w:val="single" w:color="000000" w:sz="4" w:space="0"/>
              <w:bottom w:val="single" w:color="000000" w:sz="4" w:space="0"/>
              <w:right w:val="single" w:color="000000" w:sz="4" w:space="0"/>
            </w:tcBorders>
          </w:tcPr>
          <w:p w14:paraId="61F95289">
            <w:pPr>
              <w:spacing w:line="240" w:lineRule="auto"/>
              <w:ind w:firstLine="0" w:firstLineChars="0"/>
              <w:jc w:val="center"/>
              <w:rPr>
                <w:rFonts w:cs="Times New Roman"/>
                <w:szCs w:val="21"/>
              </w:rPr>
            </w:pPr>
            <w:r>
              <w:rPr>
                <w:rFonts w:cs="Times New Roman"/>
                <w:sz w:val="21"/>
                <w:szCs w:val="21"/>
                <w:lang w:bidi="ar"/>
              </w:rPr>
              <w:t>Ⅱ</w:t>
            </w:r>
          </w:p>
        </w:tc>
      </w:tr>
      <w:tr w14:paraId="6A7886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2298" w:type="pct"/>
            <w:tcBorders>
              <w:top w:val="single" w:color="000000" w:sz="4" w:space="0"/>
              <w:left w:val="single" w:color="000000" w:sz="4" w:space="0"/>
              <w:bottom w:val="single" w:color="000000" w:sz="4" w:space="0"/>
              <w:right w:val="single" w:color="000000" w:sz="4" w:space="0"/>
            </w:tcBorders>
          </w:tcPr>
          <w:p w14:paraId="1893BEB9">
            <w:pPr>
              <w:spacing w:line="240" w:lineRule="auto"/>
              <w:ind w:firstLine="0" w:firstLineChars="0"/>
              <w:jc w:val="center"/>
              <w:rPr>
                <w:rFonts w:cs="Times New Roman"/>
                <w:szCs w:val="21"/>
              </w:rPr>
            </w:pPr>
            <w:r>
              <w:rPr>
                <w:rFonts w:cs="Times New Roman"/>
                <w:sz w:val="21"/>
                <w:szCs w:val="21"/>
                <w:lang w:bidi="ar"/>
              </w:rPr>
              <w:t xml:space="preserve">*喜树 </w:t>
            </w:r>
            <w:r>
              <w:rPr>
                <w:rFonts w:cs="Times New Roman"/>
                <w:i/>
                <w:iCs/>
                <w:sz w:val="21"/>
                <w:szCs w:val="21"/>
                <w:lang w:bidi="ar"/>
              </w:rPr>
              <w:t>Camptotheca acuminata</w:t>
            </w:r>
          </w:p>
        </w:tc>
        <w:tc>
          <w:tcPr>
            <w:tcW w:w="1470" w:type="pct"/>
            <w:tcBorders>
              <w:top w:val="single" w:color="000000" w:sz="4" w:space="0"/>
              <w:left w:val="single" w:color="000000" w:sz="4" w:space="0"/>
              <w:bottom w:val="single" w:color="000000" w:sz="4" w:space="0"/>
              <w:right w:val="single" w:color="000000" w:sz="4" w:space="0"/>
            </w:tcBorders>
          </w:tcPr>
          <w:p w14:paraId="7708869C">
            <w:pPr>
              <w:spacing w:line="240" w:lineRule="auto"/>
              <w:ind w:firstLine="0" w:firstLineChars="0"/>
              <w:jc w:val="center"/>
              <w:rPr>
                <w:rFonts w:cs="Times New Roman"/>
                <w:szCs w:val="21"/>
              </w:rPr>
            </w:pPr>
            <w:r>
              <w:rPr>
                <w:rFonts w:cs="Times New Roman"/>
                <w:sz w:val="21"/>
                <w:szCs w:val="21"/>
                <w:lang w:bidi="ar"/>
              </w:rPr>
              <w:t>蓝果树科 Nyssaceae</w:t>
            </w:r>
          </w:p>
        </w:tc>
        <w:tc>
          <w:tcPr>
            <w:tcW w:w="616" w:type="pct"/>
            <w:tcBorders>
              <w:top w:val="single" w:color="000000" w:sz="4" w:space="0"/>
              <w:left w:val="single" w:color="000000" w:sz="4" w:space="0"/>
              <w:bottom w:val="single" w:color="000000" w:sz="4" w:space="0"/>
              <w:right w:val="single" w:color="000000" w:sz="4" w:space="0"/>
            </w:tcBorders>
          </w:tcPr>
          <w:p w14:paraId="1D2112D9">
            <w:pPr>
              <w:spacing w:line="240" w:lineRule="auto"/>
              <w:ind w:firstLine="0" w:firstLineChars="0"/>
              <w:jc w:val="center"/>
              <w:rPr>
                <w:rFonts w:cs="Times New Roman"/>
                <w:szCs w:val="21"/>
              </w:rPr>
            </w:pPr>
            <w:r>
              <w:rPr>
                <w:rFonts w:cs="Times New Roman"/>
                <w:sz w:val="21"/>
                <w:szCs w:val="21"/>
                <w:lang w:bidi="ar"/>
              </w:rPr>
              <w:t>稀有</w:t>
            </w:r>
          </w:p>
        </w:tc>
        <w:tc>
          <w:tcPr>
            <w:tcW w:w="616" w:type="pct"/>
            <w:tcBorders>
              <w:top w:val="single" w:color="000000" w:sz="4" w:space="0"/>
              <w:left w:val="single" w:color="000000" w:sz="4" w:space="0"/>
              <w:bottom w:val="single" w:color="000000" w:sz="4" w:space="0"/>
              <w:right w:val="single" w:color="000000" w:sz="4" w:space="0"/>
            </w:tcBorders>
          </w:tcPr>
          <w:p w14:paraId="18DCD232">
            <w:pPr>
              <w:spacing w:line="240" w:lineRule="auto"/>
              <w:ind w:firstLine="0" w:firstLineChars="0"/>
              <w:jc w:val="center"/>
              <w:rPr>
                <w:rFonts w:cs="Times New Roman"/>
                <w:szCs w:val="21"/>
              </w:rPr>
            </w:pPr>
            <w:r>
              <w:rPr>
                <w:rFonts w:cs="Times New Roman"/>
                <w:sz w:val="21"/>
                <w:szCs w:val="21"/>
                <w:lang w:bidi="ar"/>
              </w:rPr>
              <w:t>Ⅱ</w:t>
            </w:r>
          </w:p>
        </w:tc>
      </w:tr>
      <w:tr w14:paraId="4B7C52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2298" w:type="pct"/>
            <w:tcBorders>
              <w:top w:val="single" w:color="000000" w:sz="4" w:space="0"/>
              <w:left w:val="single" w:color="000000" w:sz="4" w:space="0"/>
              <w:bottom w:val="single" w:color="000000" w:sz="4" w:space="0"/>
              <w:right w:val="single" w:color="000000" w:sz="4" w:space="0"/>
            </w:tcBorders>
          </w:tcPr>
          <w:p w14:paraId="2CDE20B9">
            <w:pPr>
              <w:spacing w:line="240" w:lineRule="auto"/>
              <w:ind w:firstLine="0" w:firstLineChars="0"/>
              <w:jc w:val="center"/>
              <w:rPr>
                <w:rFonts w:cs="Times New Roman"/>
                <w:szCs w:val="21"/>
              </w:rPr>
            </w:pPr>
            <w:r>
              <w:rPr>
                <w:rFonts w:cs="Times New Roman"/>
                <w:sz w:val="21"/>
                <w:szCs w:val="21"/>
                <w:lang w:bidi="ar"/>
              </w:rPr>
              <w:t xml:space="preserve">*香樟 </w:t>
            </w:r>
            <w:r>
              <w:rPr>
                <w:rFonts w:cs="Times New Roman"/>
                <w:i/>
                <w:iCs/>
                <w:sz w:val="21"/>
                <w:szCs w:val="21"/>
                <w:lang w:bidi="ar"/>
              </w:rPr>
              <w:t>Cinnamomum camphora</w:t>
            </w:r>
          </w:p>
        </w:tc>
        <w:tc>
          <w:tcPr>
            <w:tcW w:w="1470" w:type="pct"/>
            <w:tcBorders>
              <w:top w:val="single" w:color="000000" w:sz="4" w:space="0"/>
              <w:left w:val="single" w:color="000000" w:sz="4" w:space="0"/>
              <w:bottom w:val="single" w:color="000000" w:sz="4" w:space="0"/>
              <w:right w:val="single" w:color="000000" w:sz="4" w:space="0"/>
            </w:tcBorders>
          </w:tcPr>
          <w:p w14:paraId="609A2A21">
            <w:pPr>
              <w:spacing w:line="240" w:lineRule="auto"/>
              <w:ind w:firstLine="0" w:firstLineChars="0"/>
              <w:jc w:val="center"/>
              <w:rPr>
                <w:rFonts w:cs="Times New Roman"/>
                <w:szCs w:val="21"/>
              </w:rPr>
            </w:pPr>
            <w:r>
              <w:rPr>
                <w:rFonts w:cs="Times New Roman"/>
                <w:sz w:val="21"/>
                <w:szCs w:val="21"/>
                <w:lang w:bidi="ar"/>
              </w:rPr>
              <w:t>樟科 Lauraceae</w:t>
            </w:r>
          </w:p>
        </w:tc>
        <w:tc>
          <w:tcPr>
            <w:tcW w:w="616" w:type="pct"/>
            <w:tcBorders>
              <w:top w:val="single" w:color="000000" w:sz="4" w:space="0"/>
              <w:left w:val="single" w:color="000000" w:sz="4" w:space="0"/>
              <w:bottom w:val="single" w:color="000000" w:sz="4" w:space="0"/>
              <w:right w:val="single" w:color="000000" w:sz="4" w:space="0"/>
            </w:tcBorders>
          </w:tcPr>
          <w:p w14:paraId="154F146D">
            <w:pPr>
              <w:spacing w:line="240" w:lineRule="auto"/>
              <w:ind w:firstLine="0" w:firstLineChars="0"/>
              <w:jc w:val="center"/>
              <w:rPr>
                <w:rFonts w:cs="Times New Roman"/>
                <w:szCs w:val="21"/>
              </w:rPr>
            </w:pPr>
            <w:r>
              <w:rPr>
                <w:rFonts w:cs="Times New Roman"/>
                <w:sz w:val="21"/>
                <w:szCs w:val="21"/>
                <w:lang w:bidi="ar"/>
              </w:rPr>
              <w:t>稀有</w:t>
            </w:r>
          </w:p>
        </w:tc>
        <w:tc>
          <w:tcPr>
            <w:tcW w:w="616" w:type="pct"/>
            <w:tcBorders>
              <w:top w:val="single" w:color="000000" w:sz="4" w:space="0"/>
              <w:left w:val="single" w:color="000000" w:sz="4" w:space="0"/>
              <w:bottom w:val="single" w:color="000000" w:sz="4" w:space="0"/>
              <w:right w:val="single" w:color="000000" w:sz="4" w:space="0"/>
            </w:tcBorders>
          </w:tcPr>
          <w:p w14:paraId="15CF444F">
            <w:pPr>
              <w:spacing w:line="240" w:lineRule="auto"/>
              <w:ind w:firstLine="0" w:firstLineChars="0"/>
              <w:jc w:val="center"/>
              <w:rPr>
                <w:rFonts w:cs="Times New Roman"/>
                <w:szCs w:val="21"/>
              </w:rPr>
            </w:pPr>
            <w:r>
              <w:rPr>
                <w:rFonts w:cs="Times New Roman"/>
                <w:sz w:val="21"/>
                <w:szCs w:val="21"/>
                <w:lang w:bidi="ar"/>
              </w:rPr>
              <w:t>Ⅱ</w:t>
            </w:r>
          </w:p>
        </w:tc>
      </w:tr>
      <w:tr w14:paraId="185A96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2298" w:type="pct"/>
            <w:tcBorders>
              <w:top w:val="single" w:color="000000" w:sz="4" w:space="0"/>
              <w:left w:val="single" w:color="000000" w:sz="4" w:space="0"/>
              <w:bottom w:val="single" w:color="000000" w:sz="4" w:space="0"/>
              <w:right w:val="single" w:color="000000" w:sz="4" w:space="0"/>
            </w:tcBorders>
          </w:tcPr>
          <w:p w14:paraId="7B7DB295">
            <w:pPr>
              <w:spacing w:line="240" w:lineRule="auto"/>
              <w:ind w:firstLine="0" w:firstLineChars="0"/>
              <w:jc w:val="center"/>
              <w:rPr>
                <w:rFonts w:cs="Times New Roman"/>
                <w:szCs w:val="21"/>
              </w:rPr>
            </w:pPr>
            <w:r>
              <w:rPr>
                <w:rFonts w:cs="Times New Roman"/>
                <w:sz w:val="21"/>
                <w:szCs w:val="21"/>
                <w:lang w:bidi="ar"/>
              </w:rPr>
              <w:t xml:space="preserve">榉树 </w:t>
            </w:r>
            <w:r>
              <w:rPr>
                <w:rFonts w:cs="Times New Roman"/>
                <w:i/>
                <w:iCs/>
                <w:sz w:val="21"/>
                <w:szCs w:val="21"/>
                <w:lang w:bidi="ar"/>
              </w:rPr>
              <w:t>Zelkova schneideriana</w:t>
            </w:r>
          </w:p>
        </w:tc>
        <w:tc>
          <w:tcPr>
            <w:tcW w:w="1470" w:type="pct"/>
            <w:tcBorders>
              <w:top w:val="single" w:color="000000" w:sz="4" w:space="0"/>
              <w:left w:val="single" w:color="000000" w:sz="4" w:space="0"/>
              <w:bottom w:val="single" w:color="000000" w:sz="4" w:space="0"/>
              <w:right w:val="single" w:color="000000" w:sz="4" w:space="0"/>
            </w:tcBorders>
          </w:tcPr>
          <w:p w14:paraId="2038ED40">
            <w:pPr>
              <w:spacing w:line="240" w:lineRule="auto"/>
              <w:ind w:firstLine="0" w:firstLineChars="0"/>
              <w:jc w:val="center"/>
              <w:rPr>
                <w:rFonts w:cs="Times New Roman"/>
                <w:szCs w:val="21"/>
              </w:rPr>
            </w:pPr>
            <w:r>
              <w:rPr>
                <w:rFonts w:cs="Times New Roman"/>
                <w:sz w:val="21"/>
                <w:szCs w:val="21"/>
                <w:lang w:bidi="ar"/>
              </w:rPr>
              <w:t>榆科 Ulmaceae</w:t>
            </w:r>
          </w:p>
        </w:tc>
        <w:tc>
          <w:tcPr>
            <w:tcW w:w="616" w:type="pct"/>
            <w:tcBorders>
              <w:top w:val="single" w:color="000000" w:sz="4" w:space="0"/>
              <w:left w:val="single" w:color="000000" w:sz="4" w:space="0"/>
              <w:bottom w:val="single" w:color="000000" w:sz="4" w:space="0"/>
              <w:right w:val="single" w:color="000000" w:sz="4" w:space="0"/>
            </w:tcBorders>
          </w:tcPr>
          <w:p w14:paraId="42F2721D">
            <w:pPr>
              <w:spacing w:line="240" w:lineRule="auto"/>
              <w:ind w:firstLine="0" w:firstLineChars="0"/>
              <w:jc w:val="center"/>
              <w:rPr>
                <w:rFonts w:cs="Times New Roman"/>
                <w:szCs w:val="21"/>
              </w:rPr>
            </w:pPr>
            <w:r>
              <w:rPr>
                <w:rFonts w:cs="Times New Roman"/>
                <w:sz w:val="21"/>
                <w:szCs w:val="21"/>
                <w:lang w:bidi="ar"/>
              </w:rPr>
              <w:t>稀有</w:t>
            </w:r>
          </w:p>
        </w:tc>
        <w:tc>
          <w:tcPr>
            <w:tcW w:w="616" w:type="pct"/>
            <w:tcBorders>
              <w:top w:val="single" w:color="000000" w:sz="4" w:space="0"/>
              <w:left w:val="single" w:color="000000" w:sz="4" w:space="0"/>
              <w:bottom w:val="single" w:color="000000" w:sz="4" w:space="0"/>
              <w:right w:val="single" w:color="000000" w:sz="4" w:space="0"/>
            </w:tcBorders>
          </w:tcPr>
          <w:p w14:paraId="6A108F69">
            <w:pPr>
              <w:spacing w:line="240" w:lineRule="auto"/>
              <w:ind w:firstLine="0" w:firstLineChars="0"/>
              <w:jc w:val="center"/>
              <w:rPr>
                <w:rFonts w:cs="Times New Roman"/>
                <w:szCs w:val="21"/>
              </w:rPr>
            </w:pPr>
            <w:r>
              <w:rPr>
                <w:rFonts w:cs="Times New Roman"/>
                <w:sz w:val="21"/>
                <w:szCs w:val="21"/>
                <w:lang w:bidi="ar"/>
              </w:rPr>
              <w:t>Ⅱ</w:t>
            </w:r>
          </w:p>
        </w:tc>
      </w:tr>
      <w:tr w14:paraId="175A72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2298" w:type="pct"/>
            <w:tcBorders>
              <w:top w:val="single" w:color="000000" w:sz="4" w:space="0"/>
              <w:left w:val="single" w:color="000000" w:sz="4" w:space="0"/>
              <w:bottom w:val="single" w:color="000000" w:sz="4" w:space="0"/>
              <w:right w:val="single" w:color="000000" w:sz="4" w:space="0"/>
            </w:tcBorders>
          </w:tcPr>
          <w:p w14:paraId="665CA529">
            <w:pPr>
              <w:spacing w:line="240" w:lineRule="auto"/>
              <w:ind w:firstLine="0" w:firstLineChars="0"/>
              <w:jc w:val="center"/>
              <w:rPr>
                <w:rFonts w:cs="Times New Roman"/>
                <w:szCs w:val="21"/>
              </w:rPr>
            </w:pPr>
            <w:r>
              <w:rPr>
                <w:rFonts w:cs="Times New Roman"/>
                <w:sz w:val="21"/>
                <w:szCs w:val="21"/>
                <w:lang w:bidi="ar"/>
              </w:rPr>
              <w:t xml:space="preserve">*莲 </w:t>
            </w:r>
            <w:r>
              <w:rPr>
                <w:rFonts w:cs="Times New Roman"/>
                <w:i/>
                <w:iCs/>
                <w:sz w:val="21"/>
                <w:szCs w:val="21"/>
                <w:lang w:bidi="ar"/>
              </w:rPr>
              <w:t>Nelumbo nucifera</w:t>
            </w:r>
          </w:p>
        </w:tc>
        <w:tc>
          <w:tcPr>
            <w:tcW w:w="1470" w:type="pct"/>
            <w:tcBorders>
              <w:top w:val="single" w:color="000000" w:sz="4" w:space="0"/>
              <w:left w:val="single" w:color="000000" w:sz="4" w:space="0"/>
              <w:bottom w:val="single" w:color="000000" w:sz="4" w:space="0"/>
              <w:right w:val="single" w:color="000000" w:sz="4" w:space="0"/>
            </w:tcBorders>
          </w:tcPr>
          <w:p w14:paraId="0B391666">
            <w:pPr>
              <w:spacing w:line="240" w:lineRule="auto"/>
              <w:ind w:firstLine="0" w:firstLineChars="0"/>
              <w:jc w:val="center"/>
              <w:rPr>
                <w:rFonts w:cs="Times New Roman"/>
                <w:szCs w:val="21"/>
              </w:rPr>
            </w:pPr>
            <w:r>
              <w:rPr>
                <w:rFonts w:cs="Times New Roman"/>
                <w:sz w:val="21"/>
                <w:szCs w:val="21"/>
                <w:lang w:bidi="ar"/>
              </w:rPr>
              <w:t>睡莲科 Nymphaeaceae</w:t>
            </w:r>
          </w:p>
        </w:tc>
        <w:tc>
          <w:tcPr>
            <w:tcW w:w="616" w:type="pct"/>
            <w:tcBorders>
              <w:top w:val="single" w:color="000000" w:sz="4" w:space="0"/>
              <w:left w:val="single" w:color="000000" w:sz="4" w:space="0"/>
              <w:bottom w:val="single" w:color="000000" w:sz="4" w:space="0"/>
              <w:right w:val="single" w:color="000000" w:sz="4" w:space="0"/>
            </w:tcBorders>
          </w:tcPr>
          <w:p w14:paraId="281D0E3D">
            <w:pPr>
              <w:spacing w:line="240" w:lineRule="auto"/>
              <w:ind w:firstLine="0" w:firstLineChars="0"/>
              <w:jc w:val="center"/>
              <w:rPr>
                <w:rFonts w:cs="Times New Roman"/>
                <w:szCs w:val="21"/>
              </w:rPr>
            </w:pPr>
            <w:r>
              <w:rPr>
                <w:rFonts w:cs="Times New Roman"/>
                <w:sz w:val="21"/>
                <w:szCs w:val="21"/>
                <w:lang w:bidi="ar"/>
              </w:rPr>
              <w:t>渐危</w:t>
            </w:r>
          </w:p>
        </w:tc>
        <w:tc>
          <w:tcPr>
            <w:tcW w:w="616" w:type="pct"/>
            <w:tcBorders>
              <w:top w:val="single" w:color="000000" w:sz="4" w:space="0"/>
              <w:left w:val="single" w:color="000000" w:sz="4" w:space="0"/>
              <w:bottom w:val="single" w:color="000000" w:sz="4" w:space="0"/>
              <w:right w:val="single" w:color="000000" w:sz="4" w:space="0"/>
            </w:tcBorders>
          </w:tcPr>
          <w:p w14:paraId="7DB80310">
            <w:pPr>
              <w:spacing w:line="240" w:lineRule="auto"/>
              <w:ind w:firstLine="0" w:firstLineChars="0"/>
              <w:jc w:val="center"/>
              <w:rPr>
                <w:rFonts w:cs="Times New Roman"/>
                <w:szCs w:val="21"/>
              </w:rPr>
            </w:pPr>
            <w:r>
              <w:rPr>
                <w:rFonts w:cs="Times New Roman"/>
                <w:sz w:val="21"/>
                <w:szCs w:val="21"/>
                <w:lang w:bidi="ar"/>
              </w:rPr>
              <w:t>Ⅱ</w:t>
            </w:r>
          </w:p>
        </w:tc>
      </w:tr>
      <w:bookmarkEnd w:id="80"/>
    </w:tbl>
    <w:p w14:paraId="03F6C597">
      <w:pPr>
        <w:spacing w:line="570" w:lineRule="atLeast"/>
        <w:ind w:firstLine="420"/>
        <w:rPr>
          <w:rFonts w:cs="Times New Roman"/>
          <w:szCs w:val="21"/>
        </w:rPr>
      </w:pPr>
      <w:r>
        <w:rPr>
          <w:rFonts w:hint="eastAsia" w:cs="Times New Roman"/>
          <w:sz w:val="21"/>
          <w:szCs w:val="21"/>
          <w:lang w:bidi="ar"/>
        </w:rPr>
        <w:t>注：</w:t>
      </w:r>
      <w:r>
        <w:rPr>
          <w:rFonts w:cs="Times New Roman"/>
          <w:sz w:val="21"/>
          <w:szCs w:val="21"/>
          <w:lang w:bidi="ar"/>
        </w:rPr>
        <w:t>*</w:t>
      </w:r>
      <w:r>
        <w:rPr>
          <w:rFonts w:hint="eastAsia" w:cs="Times New Roman"/>
          <w:sz w:val="21"/>
          <w:szCs w:val="21"/>
          <w:lang w:bidi="ar"/>
        </w:rPr>
        <w:t>为栽培植物。</w:t>
      </w:r>
    </w:p>
    <w:p w14:paraId="2D06D1C7">
      <w:pPr>
        <w:spacing w:line="570" w:lineRule="atLeast"/>
        <w:ind w:firstLine="480"/>
        <w:rPr>
          <w:rFonts w:cs="Times New Roman"/>
          <w:szCs w:val="24"/>
        </w:rPr>
      </w:pPr>
      <w:r>
        <w:rPr>
          <w:rFonts w:hint="eastAsia" w:cs="Times New Roman"/>
          <w:szCs w:val="24"/>
          <w:lang w:bidi="ar"/>
        </w:rPr>
        <w:t>由表</w:t>
      </w:r>
      <w:r>
        <w:rPr>
          <w:rFonts w:cs="Times New Roman"/>
          <w:szCs w:val="24"/>
          <w:lang w:bidi="ar"/>
        </w:rPr>
        <w:t>3.</w:t>
      </w:r>
      <w:r>
        <w:rPr>
          <w:rFonts w:hint="eastAsia" w:cs="Times New Roman"/>
          <w:szCs w:val="24"/>
          <w:lang w:bidi="ar"/>
        </w:rPr>
        <w:t>6</w:t>
      </w:r>
      <w:r>
        <w:rPr>
          <w:rFonts w:cs="Times New Roman"/>
          <w:szCs w:val="24"/>
          <w:lang w:bidi="ar"/>
        </w:rPr>
        <w:t>-</w:t>
      </w:r>
      <w:r>
        <w:rPr>
          <w:rFonts w:hint="eastAsia" w:cs="Times New Roman"/>
          <w:szCs w:val="24"/>
          <w:lang w:bidi="ar"/>
        </w:rPr>
        <w:t>13可见，茅山旅游度假区珍稀濒危植物中仅香樟、杜仲和榉树有少量野生种出现，且在群落中长势较差，个体矮小，呈零星分布；其余种均为栽培种，多用作为附近村镇、道路、水塘等处的行道树、观赏树等观赏植物，其由于自然竞争压力较小，生存现状优于野生种。</w:t>
      </w:r>
    </w:p>
    <w:p w14:paraId="79AA814D">
      <w:pPr>
        <w:spacing w:line="570" w:lineRule="atLeast"/>
        <w:ind w:firstLine="0" w:firstLineChars="0"/>
        <w:outlineLvl w:val="3"/>
      </w:pPr>
      <w:r>
        <w:t>3.</w:t>
      </w:r>
      <w:r>
        <w:rPr>
          <w:rFonts w:hint="eastAsia"/>
        </w:rPr>
        <w:t>6.</w:t>
      </w:r>
      <w:r>
        <w:t>4.3</w:t>
      </w:r>
      <w:r>
        <w:rPr>
          <w:rFonts w:hint="eastAsia"/>
        </w:rPr>
        <w:t>昆虫资源现状调查与评价</w:t>
      </w:r>
    </w:p>
    <w:p w14:paraId="1D2F6827">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1</w:t>
      </w:r>
      <w:r>
        <w:rPr>
          <w:rFonts w:hint="eastAsia" w:cs="Times New Roman"/>
          <w:b/>
          <w:bCs/>
          <w:szCs w:val="24"/>
          <w:lang w:bidi="ar"/>
        </w:rPr>
        <w:t>）物种组成分析</w:t>
      </w:r>
    </w:p>
    <w:p w14:paraId="3EBB5957">
      <w:pPr>
        <w:spacing w:line="570" w:lineRule="atLeast"/>
        <w:ind w:firstLine="480"/>
        <w:rPr>
          <w:rFonts w:cs="Times New Roman"/>
          <w:szCs w:val="24"/>
        </w:rPr>
      </w:pPr>
      <w:r>
        <w:rPr>
          <w:rFonts w:hint="eastAsia" w:cs="Times New Roman"/>
          <w:szCs w:val="24"/>
          <w:lang w:bidi="ar"/>
        </w:rPr>
        <w:t>在本次现场调查基础上，结合历史调查资料，统计得到茅山旅游度假区内共有昆虫</w:t>
      </w:r>
      <w:r>
        <w:rPr>
          <w:rFonts w:cs="Times New Roman"/>
          <w:szCs w:val="24"/>
          <w:lang w:bidi="ar"/>
        </w:rPr>
        <w:t>507</w:t>
      </w:r>
      <w:r>
        <w:rPr>
          <w:rFonts w:hint="eastAsia" w:cs="Times New Roman"/>
          <w:szCs w:val="24"/>
          <w:lang w:bidi="ar"/>
        </w:rPr>
        <w:t>种（本次观测到</w:t>
      </w:r>
      <w:r>
        <w:rPr>
          <w:rFonts w:cs="Times New Roman"/>
          <w:szCs w:val="24"/>
          <w:lang w:bidi="ar"/>
        </w:rPr>
        <w:t>37</w:t>
      </w:r>
      <w:r>
        <w:rPr>
          <w:rFonts w:hint="eastAsia" w:cs="Times New Roman"/>
          <w:szCs w:val="24"/>
          <w:lang w:bidi="ar"/>
        </w:rPr>
        <w:t>种，附录</w:t>
      </w:r>
      <w:r>
        <w:rPr>
          <w:rFonts w:cs="Times New Roman"/>
          <w:szCs w:val="24"/>
          <w:lang w:bidi="ar"/>
        </w:rPr>
        <w:t>2</w:t>
      </w:r>
      <w:r>
        <w:rPr>
          <w:rFonts w:hint="eastAsia" w:cs="Times New Roman"/>
          <w:szCs w:val="24"/>
          <w:lang w:bidi="ar"/>
        </w:rPr>
        <w:t>），隶属</w:t>
      </w:r>
      <w:r>
        <w:rPr>
          <w:rFonts w:cs="Times New Roman"/>
          <w:szCs w:val="24"/>
          <w:lang w:bidi="ar"/>
        </w:rPr>
        <w:t>8</w:t>
      </w:r>
      <w:r>
        <w:rPr>
          <w:rFonts w:hint="eastAsia" w:cs="Times New Roman"/>
          <w:szCs w:val="24"/>
          <w:lang w:bidi="ar"/>
        </w:rPr>
        <w:t>目</w:t>
      </w:r>
      <w:r>
        <w:rPr>
          <w:rFonts w:cs="Times New Roman"/>
          <w:szCs w:val="24"/>
          <w:lang w:bidi="ar"/>
        </w:rPr>
        <w:t>122</w:t>
      </w:r>
      <w:r>
        <w:rPr>
          <w:rFonts w:hint="eastAsia" w:cs="Times New Roman"/>
          <w:szCs w:val="24"/>
          <w:lang w:bidi="ar"/>
        </w:rPr>
        <w:t>科。其中，物种数量较多的是鳞翅目</w:t>
      </w:r>
      <w:r>
        <w:rPr>
          <w:rFonts w:cs="Times New Roman"/>
          <w:szCs w:val="24"/>
          <w:lang w:bidi="ar"/>
        </w:rPr>
        <w:t>Lepidoptera</w:t>
      </w:r>
      <w:r>
        <w:rPr>
          <w:rFonts w:hint="eastAsia" w:cs="Times New Roman"/>
          <w:szCs w:val="24"/>
          <w:lang w:bidi="ar"/>
        </w:rPr>
        <w:t>，有</w:t>
      </w:r>
      <w:r>
        <w:rPr>
          <w:rFonts w:cs="Times New Roman"/>
          <w:szCs w:val="24"/>
          <w:lang w:bidi="ar"/>
        </w:rPr>
        <w:t>131</w:t>
      </w:r>
      <w:r>
        <w:rPr>
          <w:rFonts w:hint="eastAsia" w:cs="Times New Roman"/>
          <w:szCs w:val="24"/>
          <w:lang w:bidi="ar"/>
        </w:rPr>
        <w:t>种，隶属于</w:t>
      </w:r>
      <w:r>
        <w:rPr>
          <w:rFonts w:cs="Times New Roman"/>
          <w:szCs w:val="24"/>
          <w:lang w:bidi="ar"/>
        </w:rPr>
        <w:t>24</w:t>
      </w:r>
      <w:r>
        <w:rPr>
          <w:rFonts w:hint="eastAsia" w:cs="Times New Roman"/>
          <w:szCs w:val="24"/>
          <w:lang w:bidi="ar"/>
        </w:rPr>
        <w:t>科，占昆虫种类总数的</w:t>
      </w:r>
      <w:r>
        <w:rPr>
          <w:rFonts w:cs="Times New Roman"/>
          <w:szCs w:val="24"/>
          <w:lang w:bidi="ar"/>
        </w:rPr>
        <w:t>25.84%</w:t>
      </w:r>
      <w:r>
        <w:rPr>
          <w:rFonts w:hint="eastAsia" w:cs="Times New Roman"/>
          <w:szCs w:val="24"/>
          <w:lang w:bidi="ar"/>
        </w:rPr>
        <w:t>；其次为鞘翅目</w:t>
      </w:r>
      <w:r>
        <w:rPr>
          <w:rFonts w:cs="Times New Roman"/>
          <w:szCs w:val="24"/>
          <w:lang w:bidi="ar"/>
        </w:rPr>
        <w:t>Coleoptera</w:t>
      </w:r>
      <w:r>
        <w:rPr>
          <w:rFonts w:hint="eastAsia" w:cs="Times New Roman"/>
          <w:szCs w:val="24"/>
          <w:lang w:bidi="ar"/>
        </w:rPr>
        <w:t>，有</w:t>
      </w:r>
      <w:r>
        <w:rPr>
          <w:rFonts w:cs="Times New Roman"/>
          <w:szCs w:val="24"/>
          <w:lang w:bidi="ar"/>
        </w:rPr>
        <w:t>128</w:t>
      </w:r>
      <w:r>
        <w:rPr>
          <w:rFonts w:hint="eastAsia" w:cs="Times New Roman"/>
          <w:szCs w:val="24"/>
          <w:lang w:bidi="ar"/>
        </w:rPr>
        <w:t>种，隶属</w:t>
      </w:r>
      <w:r>
        <w:rPr>
          <w:rFonts w:cs="Times New Roman"/>
          <w:szCs w:val="24"/>
          <w:lang w:bidi="ar"/>
        </w:rPr>
        <w:t>24</w:t>
      </w:r>
      <w:r>
        <w:rPr>
          <w:rFonts w:hint="eastAsia" w:cs="Times New Roman"/>
          <w:szCs w:val="24"/>
          <w:lang w:bidi="ar"/>
        </w:rPr>
        <w:t>科，占</w:t>
      </w:r>
      <w:r>
        <w:rPr>
          <w:rFonts w:cs="Times New Roman"/>
          <w:szCs w:val="24"/>
          <w:lang w:bidi="ar"/>
        </w:rPr>
        <w:t>25.24%</w:t>
      </w:r>
      <w:r>
        <w:rPr>
          <w:rFonts w:hint="eastAsia" w:cs="Times New Roman"/>
          <w:szCs w:val="24"/>
          <w:lang w:bidi="ar"/>
        </w:rPr>
        <w:t>。在其他种类中，物种数量相对较多的依次为膜翅目</w:t>
      </w:r>
      <w:r>
        <w:rPr>
          <w:rFonts w:cs="Times New Roman"/>
          <w:szCs w:val="24"/>
          <w:lang w:bidi="ar"/>
        </w:rPr>
        <w:t>Hymenoptera</w:t>
      </w:r>
      <w:r>
        <w:rPr>
          <w:rFonts w:hint="eastAsia" w:cs="Times New Roman"/>
          <w:szCs w:val="24"/>
          <w:lang w:bidi="ar"/>
        </w:rPr>
        <w:t>、双翅目</w:t>
      </w:r>
      <w:r>
        <w:rPr>
          <w:rFonts w:cs="Times New Roman"/>
          <w:szCs w:val="24"/>
          <w:lang w:bidi="ar"/>
        </w:rPr>
        <w:t>Diptera</w:t>
      </w:r>
      <w:r>
        <w:rPr>
          <w:rFonts w:hint="eastAsia" w:cs="Times New Roman"/>
          <w:szCs w:val="24"/>
          <w:lang w:bidi="ar"/>
        </w:rPr>
        <w:t>、同翅目</w:t>
      </w:r>
      <w:r>
        <w:rPr>
          <w:rFonts w:cs="Times New Roman"/>
          <w:szCs w:val="24"/>
          <w:lang w:bidi="ar"/>
        </w:rPr>
        <w:t>Homoptera</w:t>
      </w:r>
      <w:r>
        <w:rPr>
          <w:rFonts w:hint="eastAsia" w:cs="Times New Roman"/>
          <w:szCs w:val="24"/>
          <w:lang w:bidi="ar"/>
        </w:rPr>
        <w:t>、半翅目</w:t>
      </w:r>
      <w:r>
        <w:rPr>
          <w:rFonts w:cs="Times New Roman"/>
          <w:szCs w:val="24"/>
          <w:lang w:bidi="ar"/>
        </w:rPr>
        <w:t>Hemiptera</w:t>
      </w:r>
      <w:r>
        <w:rPr>
          <w:rFonts w:hint="eastAsia" w:cs="Times New Roman"/>
          <w:szCs w:val="24"/>
          <w:lang w:bidi="ar"/>
        </w:rPr>
        <w:t>和直翅目</w:t>
      </w:r>
      <w:r>
        <w:rPr>
          <w:rFonts w:cs="Times New Roman"/>
          <w:szCs w:val="24"/>
          <w:lang w:bidi="ar"/>
        </w:rPr>
        <w:t>Orthoptera</w:t>
      </w:r>
      <w:r>
        <w:rPr>
          <w:rFonts w:hint="eastAsia" w:cs="Times New Roman"/>
          <w:szCs w:val="24"/>
          <w:lang w:bidi="ar"/>
        </w:rPr>
        <w:t>，具体组成分类见表</w:t>
      </w:r>
      <w:r>
        <w:rPr>
          <w:rFonts w:cs="Times New Roman"/>
          <w:szCs w:val="24"/>
          <w:lang w:bidi="ar"/>
        </w:rPr>
        <w:t>3.</w:t>
      </w:r>
      <w:r>
        <w:rPr>
          <w:rFonts w:hint="eastAsia" w:cs="Times New Roman"/>
          <w:szCs w:val="24"/>
          <w:lang w:bidi="ar"/>
        </w:rPr>
        <w:t>6</w:t>
      </w:r>
      <w:r>
        <w:rPr>
          <w:rFonts w:cs="Times New Roman"/>
          <w:szCs w:val="24"/>
          <w:lang w:bidi="ar"/>
        </w:rPr>
        <w:t>-</w:t>
      </w:r>
      <w:r>
        <w:rPr>
          <w:rFonts w:hint="eastAsia" w:cs="Times New Roman"/>
          <w:szCs w:val="24"/>
          <w:lang w:bidi="ar"/>
        </w:rPr>
        <w:t>14。</w:t>
      </w:r>
    </w:p>
    <w:p w14:paraId="345F28C9">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14</w:t>
      </w:r>
      <w:r>
        <w:rPr>
          <w:rFonts w:cs="Times New Roman"/>
        </w:rPr>
        <w:t xml:space="preserve"> </w:t>
      </w:r>
      <w:r>
        <w:rPr>
          <w:rFonts w:hint="eastAsia" w:cs="Times New Roman"/>
        </w:rPr>
        <w:t>茅山旅游度假区昆虫资源组成</w:t>
      </w:r>
    </w:p>
    <w:tbl>
      <w:tblPr>
        <w:tblStyle w:val="25"/>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90"/>
        <w:gridCol w:w="3312"/>
        <w:gridCol w:w="990"/>
        <w:gridCol w:w="990"/>
        <w:gridCol w:w="2240"/>
      </w:tblGrid>
      <w:tr w14:paraId="564B0A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blHeader/>
        </w:trPr>
        <w:tc>
          <w:tcPr>
            <w:tcW w:w="581" w:type="pct"/>
            <w:tcBorders>
              <w:top w:val="single" w:color="000000" w:sz="4" w:space="0"/>
              <w:left w:val="single" w:color="000000" w:sz="4" w:space="0"/>
              <w:bottom w:val="single" w:color="000000" w:sz="4" w:space="0"/>
              <w:right w:val="single" w:color="000000" w:sz="4" w:space="0"/>
            </w:tcBorders>
          </w:tcPr>
          <w:p w14:paraId="41AC7A1D">
            <w:pPr>
              <w:spacing w:line="240" w:lineRule="auto"/>
              <w:ind w:firstLine="0" w:firstLineChars="0"/>
              <w:jc w:val="center"/>
              <w:rPr>
                <w:rFonts w:cs="Times New Roman"/>
                <w:b/>
                <w:bCs/>
                <w:szCs w:val="21"/>
              </w:rPr>
            </w:pPr>
            <w:r>
              <w:rPr>
                <w:rFonts w:hint="eastAsia" w:cs="Times New Roman"/>
                <w:b/>
                <w:bCs/>
                <w:sz w:val="21"/>
                <w:szCs w:val="21"/>
                <w:lang w:bidi="ar"/>
              </w:rPr>
              <w:t>序号</w:t>
            </w:r>
          </w:p>
        </w:tc>
        <w:tc>
          <w:tcPr>
            <w:tcW w:w="1943" w:type="pct"/>
            <w:tcBorders>
              <w:top w:val="single" w:color="000000" w:sz="4" w:space="0"/>
              <w:left w:val="single" w:color="000000" w:sz="4" w:space="0"/>
              <w:bottom w:val="single" w:color="000000" w:sz="4" w:space="0"/>
              <w:right w:val="single" w:color="000000" w:sz="4" w:space="0"/>
            </w:tcBorders>
            <w:vAlign w:val="center"/>
          </w:tcPr>
          <w:p w14:paraId="10D5953C">
            <w:pPr>
              <w:spacing w:line="240" w:lineRule="auto"/>
              <w:ind w:firstLine="0" w:firstLineChars="0"/>
              <w:jc w:val="center"/>
              <w:rPr>
                <w:rFonts w:cs="Times New Roman"/>
                <w:b/>
                <w:bCs/>
                <w:szCs w:val="21"/>
              </w:rPr>
            </w:pPr>
            <w:r>
              <w:rPr>
                <w:rFonts w:hint="eastAsia" w:cs="Times New Roman"/>
                <w:b/>
                <w:bCs/>
                <w:sz w:val="21"/>
                <w:szCs w:val="21"/>
                <w:lang w:bidi="ar"/>
              </w:rPr>
              <w:t>目</w:t>
            </w:r>
          </w:p>
        </w:tc>
        <w:tc>
          <w:tcPr>
            <w:tcW w:w="581" w:type="pct"/>
            <w:tcBorders>
              <w:top w:val="single" w:color="000000" w:sz="4" w:space="0"/>
              <w:left w:val="single" w:color="000000" w:sz="4" w:space="0"/>
              <w:bottom w:val="single" w:color="000000" w:sz="4" w:space="0"/>
              <w:right w:val="single" w:color="000000" w:sz="4" w:space="0"/>
            </w:tcBorders>
            <w:vAlign w:val="center"/>
          </w:tcPr>
          <w:p w14:paraId="6CCAEB72">
            <w:pPr>
              <w:spacing w:line="240" w:lineRule="auto"/>
              <w:ind w:firstLine="0" w:firstLineChars="0"/>
              <w:jc w:val="center"/>
              <w:rPr>
                <w:rFonts w:cs="Times New Roman"/>
                <w:b/>
                <w:bCs/>
                <w:szCs w:val="21"/>
              </w:rPr>
            </w:pPr>
            <w:r>
              <w:rPr>
                <w:rFonts w:hint="eastAsia" w:cs="Times New Roman"/>
                <w:b/>
                <w:bCs/>
                <w:sz w:val="21"/>
                <w:szCs w:val="21"/>
                <w:lang w:bidi="ar"/>
              </w:rPr>
              <w:t>科数</w:t>
            </w:r>
          </w:p>
        </w:tc>
        <w:tc>
          <w:tcPr>
            <w:tcW w:w="581" w:type="pct"/>
            <w:tcBorders>
              <w:top w:val="single" w:color="000000" w:sz="4" w:space="0"/>
              <w:left w:val="single" w:color="000000" w:sz="4" w:space="0"/>
              <w:bottom w:val="single" w:color="000000" w:sz="4" w:space="0"/>
              <w:right w:val="single" w:color="000000" w:sz="4" w:space="0"/>
            </w:tcBorders>
            <w:vAlign w:val="center"/>
          </w:tcPr>
          <w:p w14:paraId="3FB76DA6">
            <w:pPr>
              <w:spacing w:line="240" w:lineRule="auto"/>
              <w:ind w:firstLine="0" w:firstLineChars="0"/>
              <w:jc w:val="center"/>
              <w:rPr>
                <w:rFonts w:cs="Times New Roman"/>
                <w:b/>
                <w:bCs/>
                <w:szCs w:val="21"/>
              </w:rPr>
            </w:pPr>
            <w:r>
              <w:rPr>
                <w:rFonts w:hint="eastAsia" w:cs="Times New Roman"/>
                <w:b/>
                <w:bCs/>
                <w:sz w:val="21"/>
                <w:szCs w:val="21"/>
                <w:lang w:bidi="ar"/>
              </w:rPr>
              <w:t>种数</w:t>
            </w:r>
          </w:p>
        </w:tc>
        <w:tc>
          <w:tcPr>
            <w:tcW w:w="1314" w:type="pct"/>
            <w:tcBorders>
              <w:top w:val="single" w:color="000000" w:sz="4" w:space="0"/>
              <w:left w:val="single" w:color="000000" w:sz="4" w:space="0"/>
              <w:bottom w:val="single" w:color="000000" w:sz="4" w:space="0"/>
              <w:right w:val="single" w:color="000000" w:sz="4" w:space="0"/>
            </w:tcBorders>
            <w:vAlign w:val="center"/>
          </w:tcPr>
          <w:p w14:paraId="7AF64F3F">
            <w:pPr>
              <w:spacing w:line="240" w:lineRule="auto"/>
              <w:ind w:firstLine="0" w:firstLineChars="0"/>
              <w:jc w:val="center"/>
              <w:rPr>
                <w:rFonts w:cs="Times New Roman"/>
                <w:b/>
                <w:bCs/>
                <w:szCs w:val="21"/>
              </w:rPr>
            </w:pPr>
            <w:r>
              <w:rPr>
                <w:rFonts w:hint="eastAsia" w:cs="Times New Roman"/>
                <w:b/>
                <w:bCs/>
                <w:sz w:val="21"/>
                <w:szCs w:val="21"/>
                <w:lang w:bidi="ar"/>
              </w:rPr>
              <w:t>百分比（</w:t>
            </w:r>
            <w:r>
              <w:rPr>
                <w:rFonts w:cs="Times New Roman"/>
                <w:b/>
                <w:bCs/>
                <w:sz w:val="21"/>
                <w:szCs w:val="21"/>
                <w:lang w:bidi="ar"/>
              </w:rPr>
              <w:t>%</w:t>
            </w:r>
            <w:r>
              <w:rPr>
                <w:rFonts w:hint="eastAsia" w:cs="Times New Roman"/>
                <w:b/>
                <w:bCs/>
                <w:sz w:val="21"/>
                <w:szCs w:val="21"/>
                <w:lang w:bidi="ar"/>
              </w:rPr>
              <w:t>）</w:t>
            </w:r>
          </w:p>
        </w:tc>
      </w:tr>
      <w:tr w14:paraId="44EAD0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17EBA3C3">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45F63885">
            <w:pPr>
              <w:spacing w:line="240" w:lineRule="auto"/>
              <w:ind w:firstLine="0" w:firstLineChars="0"/>
              <w:jc w:val="center"/>
              <w:rPr>
                <w:rFonts w:cs="Times New Roman"/>
                <w:szCs w:val="21"/>
              </w:rPr>
            </w:pPr>
            <w:r>
              <w:rPr>
                <w:rFonts w:hint="eastAsia" w:cs="Times New Roman"/>
                <w:sz w:val="21"/>
                <w:szCs w:val="21"/>
                <w:lang w:bidi="ar"/>
              </w:rPr>
              <w:t>弹尾目</w:t>
            </w:r>
            <w:r>
              <w:rPr>
                <w:rFonts w:cs="Times New Roman"/>
                <w:sz w:val="21"/>
                <w:szCs w:val="21"/>
                <w:lang w:bidi="ar"/>
              </w:rPr>
              <w:t xml:space="preserve"> Collembola</w:t>
            </w:r>
          </w:p>
        </w:tc>
        <w:tc>
          <w:tcPr>
            <w:tcW w:w="581" w:type="pct"/>
            <w:tcBorders>
              <w:top w:val="single" w:color="000000" w:sz="4" w:space="0"/>
              <w:left w:val="single" w:color="000000" w:sz="4" w:space="0"/>
              <w:bottom w:val="single" w:color="000000" w:sz="4" w:space="0"/>
              <w:right w:val="single" w:color="000000" w:sz="4" w:space="0"/>
            </w:tcBorders>
            <w:vAlign w:val="center"/>
          </w:tcPr>
          <w:p w14:paraId="11E32780">
            <w:pPr>
              <w:spacing w:line="240" w:lineRule="auto"/>
              <w:ind w:firstLine="0" w:firstLineChars="0"/>
              <w:jc w:val="center"/>
              <w:rPr>
                <w:rFonts w:cs="Times New Roman"/>
                <w:szCs w:val="21"/>
              </w:rPr>
            </w:pPr>
            <w:r>
              <w:rPr>
                <w:rFonts w:cs="Times New Roman"/>
                <w:sz w:val="21"/>
                <w:szCs w:val="21"/>
                <w:lang w:bidi="ar"/>
              </w:rPr>
              <w:t>1</w:t>
            </w:r>
          </w:p>
        </w:tc>
        <w:tc>
          <w:tcPr>
            <w:tcW w:w="581" w:type="pct"/>
            <w:tcBorders>
              <w:top w:val="single" w:color="000000" w:sz="4" w:space="0"/>
              <w:left w:val="single" w:color="000000" w:sz="4" w:space="0"/>
              <w:bottom w:val="single" w:color="000000" w:sz="4" w:space="0"/>
              <w:right w:val="single" w:color="000000" w:sz="4" w:space="0"/>
            </w:tcBorders>
            <w:vAlign w:val="center"/>
          </w:tcPr>
          <w:p w14:paraId="526F2387">
            <w:pPr>
              <w:spacing w:line="240" w:lineRule="auto"/>
              <w:ind w:firstLine="0" w:firstLineChars="0"/>
              <w:jc w:val="center"/>
              <w:rPr>
                <w:rFonts w:cs="Times New Roman"/>
                <w:szCs w:val="21"/>
              </w:rPr>
            </w:pPr>
            <w:r>
              <w:rPr>
                <w:rFonts w:cs="Times New Roman"/>
                <w:sz w:val="21"/>
                <w:szCs w:val="21"/>
                <w:lang w:bidi="ar"/>
              </w:rPr>
              <w:t>1</w:t>
            </w:r>
          </w:p>
        </w:tc>
        <w:tc>
          <w:tcPr>
            <w:tcW w:w="1314" w:type="pct"/>
            <w:tcBorders>
              <w:top w:val="single" w:color="000000" w:sz="4" w:space="0"/>
              <w:left w:val="single" w:color="000000" w:sz="4" w:space="0"/>
              <w:bottom w:val="single" w:color="000000" w:sz="4" w:space="0"/>
              <w:right w:val="single" w:color="000000" w:sz="4" w:space="0"/>
            </w:tcBorders>
            <w:vAlign w:val="center"/>
          </w:tcPr>
          <w:p w14:paraId="0CB2DD92">
            <w:pPr>
              <w:spacing w:line="240" w:lineRule="auto"/>
              <w:ind w:firstLine="0" w:firstLineChars="0"/>
              <w:jc w:val="center"/>
              <w:rPr>
                <w:rFonts w:cs="Times New Roman"/>
                <w:szCs w:val="21"/>
              </w:rPr>
            </w:pPr>
            <w:r>
              <w:rPr>
                <w:rFonts w:cs="Times New Roman"/>
                <w:sz w:val="21"/>
                <w:szCs w:val="21"/>
                <w:lang w:bidi="ar"/>
              </w:rPr>
              <w:t>0.2</w:t>
            </w:r>
          </w:p>
        </w:tc>
      </w:tr>
      <w:tr w14:paraId="553F78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7F441983">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7293B6DD">
            <w:pPr>
              <w:spacing w:line="240" w:lineRule="auto"/>
              <w:ind w:firstLine="0" w:firstLineChars="0"/>
              <w:jc w:val="center"/>
              <w:rPr>
                <w:rFonts w:cs="Times New Roman"/>
                <w:szCs w:val="21"/>
              </w:rPr>
            </w:pPr>
            <w:r>
              <w:rPr>
                <w:rFonts w:hint="eastAsia" w:cs="Times New Roman"/>
                <w:sz w:val="21"/>
                <w:szCs w:val="21"/>
                <w:lang w:bidi="ar"/>
              </w:rPr>
              <w:t>石</w:t>
            </w:r>
            <w:r>
              <w:rPr>
                <w:rFonts w:hint="eastAsia" w:ascii="仿宋" w:hAnsi="仿宋" w:eastAsia="仿宋" w:cs="微软雅黑"/>
                <w:sz w:val="21"/>
                <w:szCs w:val="21"/>
                <w:lang w:bidi="ar"/>
              </w:rPr>
              <w:t>蛃</w:t>
            </w:r>
            <w:r>
              <w:rPr>
                <w:rFonts w:hint="eastAsia" w:ascii="仿宋_GB2312" w:hAnsi="仿宋_GB2312" w:cs="仿宋_GB2312"/>
                <w:sz w:val="21"/>
                <w:szCs w:val="21"/>
                <w:lang w:bidi="ar"/>
              </w:rPr>
              <w:t>目</w:t>
            </w:r>
            <w:r>
              <w:rPr>
                <w:rFonts w:cs="Times New Roman"/>
                <w:sz w:val="21"/>
                <w:szCs w:val="21"/>
                <w:lang w:bidi="ar"/>
              </w:rPr>
              <w:t xml:space="preserve"> Archeognatha</w:t>
            </w:r>
          </w:p>
        </w:tc>
        <w:tc>
          <w:tcPr>
            <w:tcW w:w="581" w:type="pct"/>
            <w:tcBorders>
              <w:top w:val="single" w:color="000000" w:sz="4" w:space="0"/>
              <w:left w:val="single" w:color="000000" w:sz="4" w:space="0"/>
              <w:bottom w:val="single" w:color="000000" w:sz="4" w:space="0"/>
              <w:right w:val="single" w:color="000000" w:sz="4" w:space="0"/>
            </w:tcBorders>
            <w:vAlign w:val="center"/>
          </w:tcPr>
          <w:p w14:paraId="27DB3B4A">
            <w:pPr>
              <w:spacing w:line="240" w:lineRule="auto"/>
              <w:ind w:firstLine="0" w:firstLineChars="0"/>
              <w:jc w:val="center"/>
              <w:rPr>
                <w:rFonts w:cs="Times New Roman"/>
                <w:szCs w:val="21"/>
              </w:rPr>
            </w:pPr>
            <w:r>
              <w:rPr>
                <w:rFonts w:cs="Times New Roman"/>
                <w:sz w:val="21"/>
                <w:szCs w:val="21"/>
                <w:lang w:bidi="ar"/>
              </w:rPr>
              <w:t>1</w:t>
            </w:r>
          </w:p>
        </w:tc>
        <w:tc>
          <w:tcPr>
            <w:tcW w:w="581" w:type="pct"/>
            <w:tcBorders>
              <w:top w:val="single" w:color="000000" w:sz="4" w:space="0"/>
              <w:left w:val="single" w:color="000000" w:sz="4" w:space="0"/>
              <w:bottom w:val="single" w:color="000000" w:sz="4" w:space="0"/>
              <w:right w:val="single" w:color="000000" w:sz="4" w:space="0"/>
            </w:tcBorders>
            <w:vAlign w:val="center"/>
          </w:tcPr>
          <w:p w14:paraId="207E5B3A">
            <w:pPr>
              <w:spacing w:line="240" w:lineRule="auto"/>
              <w:ind w:firstLine="0" w:firstLineChars="0"/>
              <w:jc w:val="center"/>
              <w:rPr>
                <w:rFonts w:cs="Times New Roman"/>
                <w:szCs w:val="21"/>
              </w:rPr>
            </w:pPr>
            <w:r>
              <w:rPr>
                <w:rFonts w:cs="Times New Roman"/>
                <w:sz w:val="21"/>
                <w:szCs w:val="21"/>
                <w:lang w:bidi="ar"/>
              </w:rPr>
              <w:t>1</w:t>
            </w:r>
          </w:p>
        </w:tc>
        <w:tc>
          <w:tcPr>
            <w:tcW w:w="1314" w:type="pct"/>
            <w:tcBorders>
              <w:top w:val="single" w:color="000000" w:sz="4" w:space="0"/>
              <w:left w:val="single" w:color="000000" w:sz="4" w:space="0"/>
              <w:bottom w:val="single" w:color="000000" w:sz="4" w:space="0"/>
              <w:right w:val="single" w:color="000000" w:sz="4" w:space="0"/>
            </w:tcBorders>
            <w:vAlign w:val="center"/>
          </w:tcPr>
          <w:p w14:paraId="2A7E95A4">
            <w:pPr>
              <w:spacing w:line="240" w:lineRule="auto"/>
              <w:ind w:firstLine="0" w:firstLineChars="0"/>
              <w:jc w:val="center"/>
              <w:rPr>
                <w:rFonts w:cs="Times New Roman"/>
                <w:szCs w:val="21"/>
              </w:rPr>
            </w:pPr>
            <w:r>
              <w:rPr>
                <w:rFonts w:cs="Times New Roman"/>
                <w:sz w:val="21"/>
                <w:szCs w:val="21"/>
                <w:lang w:bidi="ar"/>
              </w:rPr>
              <w:t>0.2</w:t>
            </w:r>
          </w:p>
        </w:tc>
      </w:tr>
      <w:tr w14:paraId="7A2084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7F05D60B">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1DF16998">
            <w:pPr>
              <w:spacing w:line="240" w:lineRule="auto"/>
              <w:ind w:firstLine="0" w:firstLineChars="0"/>
              <w:jc w:val="center"/>
              <w:rPr>
                <w:rFonts w:cs="Times New Roman"/>
                <w:szCs w:val="21"/>
              </w:rPr>
            </w:pPr>
            <w:r>
              <w:rPr>
                <w:rFonts w:hint="eastAsia" w:cs="Times New Roman"/>
                <w:sz w:val="21"/>
                <w:szCs w:val="21"/>
                <w:lang w:bidi="ar"/>
              </w:rPr>
              <w:t>衣鱼目</w:t>
            </w:r>
            <w:r>
              <w:rPr>
                <w:rFonts w:cs="Times New Roman"/>
                <w:sz w:val="21"/>
                <w:szCs w:val="21"/>
                <w:lang w:bidi="ar"/>
              </w:rPr>
              <w:t xml:space="preserve"> Zygentoma</w:t>
            </w:r>
          </w:p>
        </w:tc>
        <w:tc>
          <w:tcPr>
            <w:tcW w:w="581" w:type="pct"/>
            <w:tcBorders>
              <w:top w:val="single" w:color="000000" w:sz="4" w:space="0"/>
              <w:left w:val="single" w:color="000000" w:sz="4" w:space="0"/>
              <w:bottom w:val="single" w:color="000000" w:sz="4" w:space="0"/>
              <w:right w:val="single" w:color="000000" w:sz="4" w:space="0"/>
            </w:tcBorders>
            <w:vAlign w:val="center"/>
          </w:tcPr>
          <w:p w14:paraId="516CC0F6">
            <w:pPr>
              <w:spacing w:line="240" w:lineRule="auto"/>
              <w:ind w:firstLine="0" w:firstLineChars="0"/>
              <w:jc w:val="center"/>
              <w:rPr>
                <w:rFonts w:cs="Times New Roman"/>
                <w:szCs w:val="21"/>
              </w:rPr>
            </w:pPr>
            <w:r>
              <w:rPr>
                <w:rFonts w:cs="Times New Roman"/>
                <w:sz w:val="21"/>
                <w:szCs w:val="21"/>
                <w:lang w:bidi="ar"/>
              </w:rPr>
              <w:t>1</w:t>
            </w:r>
          </w:p>
        </w:tc>
        <w:tc>
          <w:tcPr>
            <w:tcW w:w="581" w:type="pct"/>
            <w:tcBorders>
              <w:top w:val="single" w:color="000000" w:sz="4" w:space="0"/>
              <w:left w:val="single" w:color="000000" w:sz="4" w:space="0"/>
              <w:bottom w:val="single" w:color="000000" w:sz="4" w:space="0"/>
              <w:right w:val="single" w:color="000000" w:sz="4" w:space="0"/>
            </w:tcBorders>
            <w:vAlign w:val="center"/>
          </w:tcPr>
          <w:p w14:paraId="543387EA">
            <w:pPr>
              <w:spacing w:line="240" w:lineRule="auto"/>
              <w:ind w:firstLine="0" w:firstLineChars="0"/>
              <w:jc w:val="center"/>
              <w:rPr>
                <w:rFonts w:cs="Times New Roman"/>
                <w:szCs w:val="21"/>
              </w:rPr>
            </w:pPr>
            <w:r>
              <w:rPr>
                <w:rFonts w:cs="Times New Roman"/>
                <w:sz w:val="21"/>
                <w:szCs w:val="21"/>
                <w:lang w:bidi="ar"/>
              </w:rPr>
              <w:t>2</w:t>
            </w:r>
          </w:p>
        </w:tc>
        <w:tc>
          <w:tcPr>
            <w:tcW w:w="1314" w:type="pct"/>
            <w:tcBorders>
              <w:top w:val="single" w:color="000000" w:sz="4" w:space="0"/>
              <w:left w:val="single" w:color="000000" w:sz="4" w:space="0"/>
              <w:bottom w:val="single" w:color="000000" w:sz="4" w:space="0"/>
              <w:right w:val="single" w:color="000000" w:sz="4" w:space="0"/>
            </w:tcBorders>
            <w:vAlign w:val="center"/>
          </w:tcPr>
          <w:p w14:paraId="57F20116">
            <w:pPr>
              <w:spacing w:line="240" w:lineRule="auto"/>
              <w:ind w:firstLine="0" w:firstLineChars="0"/>
              <w:jc w:val="center"/>
              <w:rPr>
                <w:rFonts w:cs="Times New Roman"/>
                <w:szCs w:val="21"/>
              </w:rPr>
            </w:pPr>
            <w:r>
              <w:rPr>
                <w:rFonts w:cs="Times New Roman"/>
                <w:sz w:val="21"/>
                <w:szCs w:val="21"/>
                <w:lang w:bidi="ar"/>
              </w:rPr>
              <w:t>0.39</w:t>
            </w:r>
          </w:p>
        </w:tc>
      </w:tr>
      <w:tr w14:paraId="6AF779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4C78D4DA">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528A8F54">
            <w:pPr>
              <w:spacing w:line="240" w:lineRule="auto"/>
              <w:ind w:firstLine="0" w:firstLineChars="0"/>
              <w:jc w:val="center"/>
              <w:rPr>
                <w:rFonts w:cs="Times New Roman"/>
                <w:szCs w:val="21"/>
              </w:rPr>
            </w:pPr>
            <w:r>
              <w:rPr>
                <w:rFonts w:hint="eastAsia" w:cs="Times New Roman"/>
                <w:sz w:val="21"/>
                <w:szCs w:val="21"/>
                <w:lang w:bidi="ar"/>
              </w:rPr>
              <w:t>蜻蜓目</w:t>
            </w:r>
            <w:r>
              <w:rPr>
                <w:rFonts w:cs="Times New Roman"/>
                <w:sz w:val="21"/>
                <w:szCs w:val="21"/>
                <w:lang w:bidi="ar"/>
              </w:rPr>
              <w:t xml:space="preserve"> Odonata</w:t>
            </w:r>
          </w:p>
        </w:tc>
        <w:tc>
          <w:tcPr>
            <w:tcW w:w="581" w:type="pct"/>
            <w:tcBorders>
              <w:top w:val="single" w:color="000000" w:sz="4" w:space="0"/>
              <w:left w:val="single" w:color="000000" w:sz="4" w:space="0"/>
              <w:bottom w:val="single" w:color="000000" w:sz="4" w:space="0"/>
              <w:right w:val="single" w:color="000000" w:sz="4" w:space="0"/>
            </w:tcBorders>
            <w:vAlign w:val="center"/>
          </w:tcPr>
          <w:p w14:paraId="28A96514">
            <w:pPr>
              <w:spacing w:line="240" w:lineRule="auto"/>
              <w:ind w:firstLine="0" w:firstLineChars="0"/>
              <w:jc w:val="center"/>
              <w:rPr>
                <w:rFonts w:cs="Times New Roman"/>
                <w:szCs w:val="21"/>
              </w:rPr>
            </w:pPr>
            <w:r>
              <w:rPr>
                <w:rFonts w:cs="Times New Roman"/>
                <w:sz w:val="21"/>
                <w:szCs w:val="21"/>
                <w:lang w:bidi="ar"/>
              </w:rPr>
              <w:t>3</w:t>
            </w:r>
          </w:p>
        </w:tc>
        <w:tc>
          <w:tcPr>
            <w:tcW w:w="581" w:type="pct"/>
            <w:tcBorders>
              <w:top w:val="single" w:color="000000" w:sz="4" w:space="0"/>
              <w:left w:val="single" w:color="000000" w:sz="4" w:space="0"/>
              <w:bottom w:val="single" w:color="000000" w:sz="4" w:space="0"/>
              <w:right w:val="single" w:color="000000" w:sz="4" w:space="0"/>
            </w:tcBorders>
            <w:vAlign w:val="center"/>
          </w:tcPr>
          <w:p w14:paraId="059788C3">
            <w:pPr>
              <w:spacing w:line="240" w:lineRule="auto"/>
              <w:ind w:firstLine="0" w:firstLineChars="0"/>
              <w:jc w:val="center"/>
              <w:rPr>
                <w:rFonts w:cs="Times New Roman"/>
                <w:szCs w:val="21"/>
              </w:rPr>
            </w:pPr>
            <w:r>
              <w:rPr>
                <w:rFonts w:cs="Times New Roman"/>
                <w:sz w:val="21"/>
                <w:szCs w:val="21"/>
                <w:lang w:bidi="ar"/>
              </w:rPr>
              <w:t>10</w:t>
            </w:r>
          </w:p>
        </w:tc>
        <w:tc>
          <w:tcPr>
            <w:tcW w:w="1314" w:type="pct"/>
            <w:tcBorders>
              <w:top w:val="single" w:color="000000" w:sz="4" w:space="0"/>
              <w:left w:val="single" w:color="000000" w:sz="4" w:space="0"/>
              <w:bottom w:val="single" w:color="000000" w:sz="4" w:space="0"/>
              <w:right w:val="single" w:color="000000" w:sz="4" w:space="0"/>
            </w:tcBorders>
            <w:vAlign w:val="center"/>
          </w:tcPr>
          <w:p w14:paraId="216641CF">
            <w:pPr>
              <w:spacing w:line="240" w:lineRule="auto"/>
              <w:ind w:firstLine="0" w:firstLineChars="0"/>
              <w:jc w:val="center"/>
              <w:rPr>
                <w:rFonts w:cs="Times New Roman"/>
                <w:szCs w:val="21"/>
              </w:rPr>
            </w:pPr>
            <w:r>
              <w:rPr>
                <w:rFonts w:cs="Times New Roman"/>
                <w:sz w:val="21"/>
                <w:szCs w:val="21"/>
                <w:lang w:bidi="ar"/>
              </w:rPr>
              <w:t>1.97</w:t>
            </w:r>
          </w:p>
        </w:tc>
      </w:tr>
      <w:tr w14:paraId="6DFECD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32EB627B">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0B2DC741">
            <w:pPr>
              <w:spacing w:line="240" w:lineRule="auto"/>
              <w:ind w:firstLine="0" w:firstLineChars="0"/>
              <w:jc w:val="center"/>
              <w:rPr>
                <w:rFonts w:cs="Times New Roman"/>
                <w:szCs w:val="21"/>
              </w:rPr>
            </w:pPr>
            <w:r>
              <w:rPr>
                <w:rFonts w:hint="eastAsia" w:cs="Times New Roman"/>
                <w:sz w:val="21"/>
                <w:szCs w:val="21"/>
                <w:lang w:bidi="ar"/>
              </w:rPr>
              <w:t>蜚蠊目</w:t>
            </w:r>
            <w:r>
              <w:rPr>
                <w:rFonts w:cs="Times New Roman"/>
                <w:sz w:val="21"/>
                <w:szCs w:val="21"/>
                <w:lang w:bidi="ar"/>
              </w:rPr>
              <w:t xml:space="preserve"> Blattodea</w:t>
            </w:r>
          </w:p>
        </w:tc>
        <w:tc>
          <w:tcPr>
            <w:tcW w:w="581" w:type="pct"/>
            <w:tcBorders>
              <w:top w:val="single" w:color="000000" w:sz="4" w:space="0"/>
              <w:left w:val="single" w:color="000000" w:sz="4" w:space="0"/>
              <w:bottom w:val="single" w:color="000000" w:sz="4" w:space="0"/>
              <w:right w:val="single" w:color="000000" w:sz="4" w:space="0"/>
            </w:tcBorders>
            <w:vAlign w:val="center"/>
          </w:tcPr>
          <w:p w14:paraId="7641AF6C">
            <w:pPr>
              <w:spacing w:line="240" w:lineRule="auto"/>
              <w:ind w:firstLine="0" w:firstLineChars="0"/>
              <w:jc w:val="center"/>
              <w:rPr>
                <w:rFonts w:cs="Times New Roman"/>
                <w:szCs w:val="21"/>
              </w:rPr>
            </w:pPr>
            <w:r>
              <w:rPr>
                <w:rFonts w:cs="Times New Roman"/>
                <w:sz w:val="21"/>
                <w:szCs w:val="21"/>
                <w:lang w:bidi="ar"/>
              </w:rPr>
              <w:t>1</w:t>
            </w:r>
          </w:p>
        </w:tc>
        <w:tc>
          <w:tcPr>
            <w:tcW w:w="581" w:type="pct"/>
            <w:tcBorders>
              <w:top w:val="single" w:color="000000" w:sz="4" w:space="0"/>
              <w:left w:val="single" w:color="000000" w:sz="4" w:space="0"/>
              <w:bottom w:val="single" w:color="000000" w:sz="4" w:space="0"/>
              <w:right w:val="single" w:color="000000" w:sz="4" w:space="0"/>
            </w:tcBorders>
            <w:vAlign w:val="center"/>
          </w:tcPr>
          <w:p w14:paraId="50F3C5E2">
            <w:pPr>
              <w:spacing w:line="240" w:lineRule="auto"/>
              <w:ind w:firstLine="0" w:firstLineChars="0"/>
              <w:jc w:val="center"/>
              <w:rPr>
                <w:rFonts w:cs="Times New Roman"/>
                <w:szCs w:val="21"/>
              </w:rPr>
            </w:pPr>
            <w:r>
              <w:rPr>
                <w:rFonts w:cs="Times New Roman"/>
                <w:sz w:val="21"/>
                <w:szCs w:val="21"/>
                <w:lang w:bidi="ar"/>
              </w:rPr>
              <w:t>4</w:t>
            </w:r>
          </w:p>
        </w:tc>
        <w:tc>
          <w:tcPr>
            <w:tcW w:w="1314" w:type="pct"/>
            <w:tcBorders>
              <w:top w:val="single" w:color="000000" w:sz="4" w:space="0"/>
              <w:left w:val="single" w:color="000000" w:sz="4" w:space="0"/>
              <w:bottom w:val="single" w:color="000000" w:sz="4" w:space="0"/>
              <w:right w:val="single" w:color="000000" w:sz="4" w:space="0"/>
            </w:tcBorders>
            <w:vAlign w:val="center"/>
          </w:tcPr>
          <w:p w14:paraId="32FB4E7D">
            <w:pPr>
              <w:spacing w:line="240" w:lineRule="auto"/>
              <w:ind w:firstLine="0" w:firstLineChars="0"/>
              <w:jc w:val="center"/>
              <w:rPr>
                <w:rFonts w:cs="Times New Roman"/>
                <w:szCs w:val="21"/>
              </w:rPr>
            </w:pPr>
            <w:r>
              <w:rPr>
                <w:rFonts w:cs="Times New Roman"/>
                <w:sz w:val="21"/>
                <w:szCs w:val="21"/>
                <w:lang w:bidi="ar"/>
              </w:rPr>
              <w:t>0.79</w:t>
            </w:r>
          </w:p>
        </w:tc>
      </w:tr>
      <w:tr w14:paraId="5EBB3B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63245B01">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04C41F64">
            <w:pPr>
              <w:spacing w:line="240" w:lineRule="auto"/>
              <w:ind w:firstLine="0" w:firstLineChars="0"/>
              <w:jc w:val="center"/>
              <w:rPr>
                <w:rFonts w:cs="Times New Roman"/>
                <w:szCs w:val="21"/>
              </w:rPr>
            </w:pPr>
            <w:r>
              <w:rPr>
                <w:rFonts w:hint="eastAsia" w:cs="Times New Roman"/>
                <w:sz w:val="21"/>
                <w:szCs w:val="21"/>
                <w:lang w:bidi="ar"/>
              </w:rPr>
              <w:t>螳螂目</w:t>
            </w:r>
            <w:r>
              <w:rPr>
                <w:rFonts w:cs="Times New Roman"/>
                <w:sz w:val="21"/>
                <w:szCs w:val="21"/>
                <w:lang w:bidi="ar"/>
              </w:rPr>
              <w:t xml:space="preserve"> Mantedea</w:t>
            </w:r>
          </w:p>
        </w:tc>
        <w:tc>
          <w:tcPr>
            <w:tcW w:w="581" w:type="pct"/>
            <w:tcBorders>
              <w:top w:val="single" w:color="000000" w:sz="4" w:space="0"/>
              <w:left w:val="single" w:color="000000" w:sz="4" w:space="0"/>
              <w:bottom w:val="single" w:color="000000" w:sz="4" w:space="0"/>
              <w:right w:val="single" w:color="000000" w:sz="4" w:space="0"/>
            </w:tcBorders>
            <w:vAlign w:val="center"/>
          </w:tcPr>
          <w:p w14:paraId="72F4F3A0">
            <w:pPr>
              <w:spacing w:line="240" w:lineRule="auto"/>
              <w:ind w:firstLine="0" w:firstLineChars="0"/>
              <w:jc w:val="center"/>
              <w:rPr>
                <w:rFonts w:cs="Times New Roman"/>
                <w:szCs w:val="21"/>
              </w:rPr>
            </w:pPr>
            <w:r>
              <w:rPr>
                <w:rFonts w:cs="Times New Roman"/>
                <w:sz w:val="21"/>
                <w:szCs w:val="21"/>
                <w:lang w:bidi="ar"/>
              </w:rPr>
              <w:t>1</w:t>
            </w:r>
          </w:p>
        </w:tc>
        <w:tc>
          <w:tcPr>
            <w:tcW w:w="581" w:type="pct"/>
            <w:tcBorders>
              <w:top w:val="single" w:color="000000" w:sz="4" w:space="0"/>
              <w:left w:val="single" w:color="000000" w:sz="4" w:space="0"/>
              <w:bottom w:val="single" w:color="000000" w:sz="4" w:space="0"/>
              <w:right w:val="single" w:color="000000" w:sz="4" w:space="0"/>
            </w:tcBorders>
            <w:vAlign w:val="center"/>
          </w:tcPr>
          <w:p w14:paraId="3A333916">
            <w:pPr>
              <w:spacing w:line="240" w:lineRule="auto"/>
              <w:ind w:firstLine="0" w:firstLineChars="0"/>
              <w:jc w:val="center"/>
              <w:rPr>
                <w:rFonts w:cs="Times New Roman"/>
                <w:szCs w:val="21"/>
              </w:rPr>
            </w:pPr>
            <w:r>
              <w:rPr>
                <w:rFonts w:cs="Times New Roman"/>
                <w:sz w:val="21"/>
                <w:szCs w:val="21"/>
                <w:lang w:bidi="ar"/>
              </w:rPr>
              <w:t>6</w:t>
            </w:r>
          </w:p>
        </w:tc>
        <w:tc>
          <w:tcPr>
            <w:tcW w:w="1314" w:type="pct"/>
            <w:tcBorders>
              <w:top w:val="single" w:color="000000" w:sz="4" w:space="0"/>
              <w:left w:val="single" w:color="000000" w:sz="4" w:space="0"/>
              <w:bottom w:val="single" w:color="000000" w:sz="4" w:space="0"/>
              <w:right w:val="single" w:color="000000" w:sz="4" w:space="0"/>
            </w:tcBorders>
            <w:vAlign w:val="center"/>
          </w:tcPr>
          <w:p w14:paraId="5A21D37D">
            <w:pPr>
              <w:spacing w:line="240" w:lineRule="auto"/>
              <w:ind w:firstLine="0" w:firstLineChars="0"/>
              <w:jc w:val="center"/>
              <w:rPr>
                <w:rFonts w:cs="Times New Roman"/>
                <w:szCs w:val="21"/>
              </w:rPr>
            </w:pPr>
            <w:r>
              <w:rPr>
                <w:rFonts w:cs="Times New Roman"/>
                <w:sz w:val="21"/>
                <w:szCs w:val="21"/>
                <w:lang w:bidi="ar"/>
              </w:rPr>
              <w:t>1.18</w:t>
            </w:r>
          </w:p>
        </w:tc>
      </w:tr>
      <w:tr w14:paraId="7CBEA9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4FEF15D4">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222535E4">
            <w:pPr>
              <w:spacing w:line="240" w:lineRule="auto"/>
              <w:ind w:firstLine="0" w:firstLineChars="0"/>
              <w:jc w:val="center"/>
              <w:rPr>
                <w:rFonts w:cs="Times New Roman"/>
                <w:szCs w:val="21"/>
              </w:rPr>
            </w:pPr>
            <w:r>
              <w:rPr>
                <w:rFonts w:hint="eastAsia" w:cs="Times New Roman"/>
                <w:sz w:val="21"/>
                <w:szCs w:val="21"/>
                <w:lang w:bidi="ar"/>
              </w:rPr>
              <w:t>等翅目</w:t>
            </w:r>
            <w:r>
              <w:rPr>
                <w:rFonts w:cs="Times New Roman"/>
                <w:sz w:val="21"/>
                <w:szCs w:val="21"/>
                <w:lang w:bidi="ar"/>
              </w:rPr>
              <w:t xml:space="preserve"> Isoptera</w:t>
            </w:r>
          </w:p>
        </w:tc>
        <w:tc>
          <w:tcPr>
            <w:tcW w:w="581" w:type="pct"/>
            <w:tcBorders>
              <w:top w:val="single" w:color="000000" w:sz="4" w:space="0"/>
              <w:left w:val="single" w:color="000000" w:sz="4" w:space="0"/>
              <w:bottom w:val="single" w:color="000000" w:sz="4" w:space="0"/>
              <w:right w:val="single" w:color="000000" w:sz="4" w:space="0"/>
            </w:tcBorders>
            <w:vAlign w:val="center"/>
          </w:tcPr>
          <w:p w14:paraId="0891376F">
            <w:pPr>
              <w:spacing w:line="240" w:lineRule="auto"/>
              <w:ind w:firstLine="0" w:firstLineChars="0"/>
              <w:jc w:val="center"/>
              <w:rPr>
                <w:rFonts w:cs="Times New Roman"/>
                <w:szCs w:val="21"/>
              </w:rPr>
            </w:pPr>
            <w:r>
              <w:rPr>
                <w:rFonts w:cs="Times New Roman"/>
                <w:sz w:val="21"/>
                <w:szCs w:val="21"/>
                <w:lang w:bidi="ar"/>
              </w:rPr>
              <w:t>1</w:t>
            </w:r>
          </w:p>
        </w:tc>
        <w:tc>
          <w:tcPr>
            <w:tcW w:w="581" w:type="pct"/>
            <w:tcBorders>
              <w:top w:val="single" w:color="000000" w:sz="4" w:space="0"/>
              <w:left w:val="single" w:color="000000" w:sz="4" w:space="0"/>
              <w:bottom w:val="single" w:color="000000" w:sz="4" w:space="0"/>
              <w:right w:val="single" w:color="000000" w:sz="4" w:space="0"/>
            </w:tcBorders>
            <w:vAlign w:val="center"/>
          </w:tcPr>
          <w:p w14:paraId="46085B5D">
            <w:pPr>
              <w:spacing w:line="240" w:lineRule="auto"/>
              <w:ind w:firstLine="0" w:firstLineChars="0"/>
              <w:jc w:val="center"/>
              <w:rPr>
                <w:rFonts w:cs="Times New Roman"/>
                <w:szCs w:val="21"/>
              </w:rPr>
            </w:pPr>
            <w:r>
              <w:rPr>
                <w:rFonts w:cs="Times New Roman"/>
                <w:sz w:val="21"/>
                <w:szCs w:val="21"/>
                <w:lang w:bidi="ar"/>
              </w:rPr>
              <w:t>1</w:t>
            </w:r>
          </w:p>
        </w:tc>
        <w:tc>
          <w:tcPr>
            <w:tcW w:w="1314" w:type="pct"/>
            <w:tcBorders>
              <w:top w:val="single" w:color="000000" w:sz="4" w:space="0"/>
              <w:left w:val="single" w:color="000000" w:sz="4" w:space="0"/>
              <w:bottom w:val="single" w:color="000000" w:sz="4" w:space="0"/>
              <w:right w:val="single" w:color="000000" w:sz="4" w:space="0"/>
            </w:tcBorders>
            <w:vAlign w:val="center"/>
          </w:tcPr>
          <w:p w14:paraId="49A5E7E9">
            <w:pPr>
              <w:spacing w:line="240" w:lineRule="auto"/>
              <w:ind w:firstLine="0" w:firstLineChars="0"/>
              <w:jc w:val="center"/>
              <w:rPr>
                <w:rFonts w:cs="Times New Roman"/>
                <w:szCs w:val="21"/>
              </w:rPr>
            </w:pPr>
            <w:r>
              <w:rPr>
                <w:rFonts w:cs="Times New Roman"/>
                <w:sz w:val="21"/>
                <w:szCs w:val="21"/>
                <w:lang w:bidi="ar"/>
              </w:rPr>
              <w:t>0.2</w:t>
            </w:r>
          </w:p>
        </w:tc>
      </w:tr>
      <w:tr w14:paraId="5982F6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39762432">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0457602B">
            <w:pPr>
              <w:spacing w:line="240" w:lineRule="auto"/>
              <w:ind w:firstLine="0" w:firstLineChars="0"/>
              <w:jc w:val="center"/>
              <w:rPr>
                <w:rFonts w:cs="Times New Roman"/>
                <w:szCs w:val="21"/>
              </w:rPr>
            </w:pPr>
            <w:r>
              <w:rPr>
                <w:rFonts w:hint="eastAsia" w:cs="Times New Roman"/>
                <w:sz w:val="21"/>
                <w:szCs w:val="21"/>
                <w:lang w:bidi="ar"/>
              </w:rPr>
              <w:t>直翅目</w:t>
            </w:r>
            <w:r>
              <w:rPr>
                <w:rFonts w:cs="Times New Roman"/>
                <w:sz w:val="21"/>
                <w:szCs w:val="21"/>
                <w:lang w:bidi="ar"/>
              </w:rPr>
              <w:t xml:space="preserve"> Orthoptera</w:t>
            </w:r>
          </w:p>
        </w:tc>
        <w:tc>
          <w:tcPr>
            <w:tcW w:w="581" w:type="pct"/>
            <w:tcBorders>
              <w:top w:val="single" w:color="000000" w:sz="4" w:space="0"/>
              <w:left w:val="single" w:color="000000" w:sz="4" w:space="0"/>
              <w:bottom w:val="single" w:color="000000" w:sz="4" w:space="0"/>
              <w:right w:val="single" w:color="000000" w:sz="4" w:space="0"/>
            </w:tcBorders>
            <w:vAlign w:val="center"/>
          </w:tcPr>
          <w:p w14:paraId="27110878">
            <w:pPr>
              <w:spacing w:line="240" w:lineRule="auto"/>
              <w:ind w:firstLine="0" w:firstLineChars="0"/>
              <w:jc w:val="center"/>
              <w:rPr>
                <w:rFonts w:cs="Times New Roman"/>
                <w:szCs w:val="21"/>
              </w:rPr>
            </w:pPr>
            <w:r>
              <w:rPr>
                <w:rFonts w:cs="Times New Roman"/>
                <w:sz w:val="21"/>
                <w:szCs w:val="21"/>
                <w:lang w:bidi="ar"/>
              </w:rPr>
              <w:t>7</w:t>
            </w:r>
          </w:p>
        </w:tc>
        <w:tc>
          <w:tcPr>
            <w:tcW w:w="581" w:type="pct"/>
            <w:tcBorders>
              <w:top w:val="single" w:color="000000" w:sz="4" w:space="0"/>
              <w:left w:val="single" w:color="000000" w:sz="4" w:space="0"/>
              <w:bottom w:val="single" w:color="000000" w:sz="4" w:space="0"/>
              <w:right w:val="single" w:color="000000" w:sz="4" w:space="0"/>
            </w:tcBorders>
            <w:vAlign w:val="center"/>
          </w:tcPr>
          <w:p w14:paraId="537EBBEF">
            <w:pPr>
              <w:spacing w:line="240" w:lineRule="auto"/>
              <w:ind w:firstLine="0" w:firstLineChars="0"/>
              <w:jc w:val="center"/>
              <w:rPr>
                <w:rFonts w:cs="Times New Roman"/>
                <w:szCs w:val="21"/>
              </w:rPr>
            </w:pPr>
            <w:r>
              <w:rPr>
                <w:rFonts w:cs="Times New Roman"/>
                <w:sz w:val="21"/>
                <w:szCs w:val="21"/>
                <w:lang w:bidi="ar"/>
              </w:rPr>
              <w:t>27</w:t>
            </w:r>
          </w:p>
        </w:tc>
        <w:tc>
          <w:tcPr>
            <w:tcW w:w="1314" w:type="pct"/>
            <w:tcBorders>
              <w:top w:val="single" w:color="000000" w:sz="4" w:space="0"/>
              <w:left w:val="single" w:color="000000" w:sz="4" w:space="0"/>
              <w:bottom w:val="single" w:color="000000" w:sz="4" w:space="0"/>
              <w:right w:val="single" w:color="000000" w:sz="4" w:space="0"/>
            </w:tcBorders>
            <w:vAlign w:val="center"/>
          </w:tcPr>
          <w:p w14:paraId="3FFC9F95">
            <w:pPr>
              <w:spacing w:line="240" w:lineRule="auto"/>
              <w:ind w:firstLine="0" w:firstLineChars="0"/>
              <w:jc w:val="center"/>
              <w:rPr>
                <w:rFonts w:cs="Times New Roman"/>
                <w:szCs w:val="21"/>
              </w:rPr>
            </w:pPr>
            <w:r>
              <w:rPr>
                <w:rFonts w:cs="Times New Roman"/>
                <w:sz w:val="21"/>
                <w:szCs w:val="21"/>
                <w:lang w:bidi="ar"/>
              </w:rPr>
              <w:t>5.33</w:t>
            </w:r>
          </w:p>
        </w:tc>
      </w:tr>
      <w:tr w14:paraId="45EA9B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102C62B7">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11D3CBF1">
            <w:pPr>
              <w:spacing w:line="240" w:lineRule="auto"/>
              <w:ind w:firstLine="0" w:firstLineChars="0"/>
              <w:jc w:val="center"/>
              <w:rPr>
                <w:rFonts w:cs="Times New Roman"/>
                <w:szCs w:val="21"/>
              </w:rPr>
            </w:pPr>
            <w:r>
              <w:rPr>
                <w:rFonts w:hint="eastAsia" w:cs="Times New Roman"/>
                <w:sz w:val="21"/>
                <w:szCs w:val="21"/>
                <w:lang w:bidi="ar"/>
              </w:rPr>
              <w:t>革翅目</w:t>
            </w:r>
            <w:r>
              <w:rPr>
                <w:rFonts w:cs="Times New Roman"/>
                <w:sz w:val="21"/>
                <w:szCs w:val="21"/>
                <w:lang w:bidi="ar"/>
              </w:rPr>
              <w:t xml:space="preserve"> Dermaptera</w:t>
            </w:r>
          </w:p>
        </w:tc>
        <w:tc>
          <w:tcPr>
            <w:tcW w:w="581" w:type="pct"/>
            <w:tcBorders>
              <w:top w:val="single" w:color="000000" w:sz="4" w:space="0"/>
              <w:left w:val="single" w:color="000000" w:sz="4" w:space="0"/>
              <w:bottom w:val="single" w:color="000000" w:sz="4" w:space="0"/>
              <w:right w:val="single" w:color="000000" w:sz="4" w:space="0"/>
            </w:tcBorders>
            <w:vAlign w:val="center"/>
          </w:tcPr>
          <w:p w14:paraId="05439EA4">
            <w:pPr>
              <w:spacing w:line="240" w:lineRule="auto"/>
              <w:ind w:firstLine="0" w:firstLineChars="0"/>
              <w:jc w:val="center"/>
              <w:rPr>
                <w:rFonts w:cs="Times New Roman"/>
                <w:szCs w:val="21"/>
              </w:rPr>
            </w:pPr>
            <w:r>
              <w:rPr>
                <w:rFonts w:cs="Times New Roman"/>
                <w:sz w:val="21"/>
                <w:szCs w:val="21"/>
                <w:lang w:bidi="ar"/>
              </w:rPr>
              <w:t>1</w:t>
            </w:r>
          </w:p>
        </w:tc>
        <w:tc>
          <w:tcPr>
            <w:tcW w:w="581" w:type="pct"/>
            <w:tcBorders>
              <w:top w:val="single" w:color="000000" w:sz="4" w:space="0"/>
              <w:left w:val="single" w:color="000000" w:sz="4" w:space="0"/>
              <w:bottom w:val="single" w:color="000000" w:sz="4" w:space="0"/>
              <w:right w:val="single" w:color="000000" w:sz="4" w:space="0"/>
            </w:tcBorders>
            <w:vAlign w:val="center"/>
          </w:tcPr>
          <w:p w14:paraId="0E29B500">
            <w:pPr>
              <w:spacing w:line="240" w:lineRule="auto"/>
              <w:ind w:firstLine="0" w:firstLineChars="0"/>
              <w:jc w:val="center"/>
              <w:rPr>
                <w:rFonts w:cs="Times New Roman"/>
                <w:szCs w:val="21"/>
              </w:rPr>
            </w:pPr>
            <w:r>
              <w:rPr>
                <w:rFonts w:cs="Times New Roman"/>
                <w:sz w:val="21"/>
                <w:szCs w:val="21"/>
                <w:lang w:bidi="ar"/>
              </w:rPr>
              <w:t>1</w:t>
            </w:r>
          </w:p>
        </w:tc>
        <w:tc>
          <w:tcPr>
            <w:tcW w:w="1314" w:type="pct"/>
            <w:tcBorders>
              <w:top w:val="single" w:color="000000" w:sz="4" w:space="0"/>
              <w:left w:val="single" w:color="000000" w:sz="4" w:space="0"/>
              <w:bottom w:val="single" w:color="000000" w:sz="4" w:space="0"/>
              <w:right w:val="single" w:color="000000" w:sz="4" w:space="0"/>
            </w:tcBorders>
            <w:vAlign w:val="center"/>
          </w:tcPr>
          <w:p w14:paraId="7111760C">
            <w:pPr>
              <w:spacing w:line="240" w:lineRule="auto"/>
              <w:ind w:firstLine="0" w:firstLineChars="0"/>
              <w:jc w:val="center"/>
              <w:rPr>
                <w:rFonts w:cs="Times New Roman"/>
                <w:szCs w:val="21"/>
              </w:rPr>
            </w:pPr>
            <w:r>
              <w:rPr>
                <w:rFonts w:cs="Times New Roman"/>
                <w:sz w:val="21"/>
                <w:szCs w:val="21"/>
                <w:lang w:bidi="ar"/>
              </w:rPr>
              <w:t>0.2</w:t>
            </w:r>
          </w:p>
        </w:tc>
      </w:tr>
      <w:tr w14:paraId="3AFFD3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5453C271">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2C57461D">
            <w:pPr>
              <w:spacing w:line="240" w:lineRule="auto"/>
              <w:ind w:firstLine="0" w:firstLineChars="0"/>
              <w:jc w:val="center"/>
              <w:rPr>
                <w:rFonts w:cs="Times New Roman"/>
                <w:szCs w:val="21"/>
              </w:rPr>
            </w:pPr>
            <w:r>
              <w:rPr>
                <w:rFonts w:hint="eastAsia" w:cs="Times New Roman"/>
                <w:sz w:val="21"/>
                <w:szCs w:val="21"/>
                <w:lang w:bidi="ar"/>
              </w:rPr>
              <w:t>食毛目</w:t>
            </w:r>
            <w:r>
              <w:rPr>
                <w:rFonts w:cs="Times New Roman"/>
                <w:sz w:val="21"/>
                <w:szCs w:val="21"/>
                <w:lang w:bidi="ar"/>
              </w:rPr>
              <w:t xml:space="preserve"> Mallophaga</w:t>
            </w:r>
          </w:p>
        </w:tc>
        <w:tc>
          <w:tcPr>
            <w:tcW w:w="581" w:type="pct"/>
            <w:tcBorders>
              <w:top w:val="single" w:color="000000" w:sz="4" w:space="0"/>
              <w:left w:val="single" w:color="000000" w:sz="4" w:space="0"/>
              <w:bottom w:val="single" w:color="000000" w:sz="4" w:space="0"/>
              <w:right w:val="single" w:color="000000" w:sz="4" w:space="0"/>
            </w:tcBorders>
            <w:vAlign w:val="center"/>
          </w:tcPr>
          <w:p w14:paraId="2B2990F1">
            <w:pPr>
              <w:spacing w:line="240" w:lineRule="auto"/>
              <w:ind w:firstLine="0" w:firstLineChars="0"/>
              <w:jc w:val="center"/>
              <w:rPr>
                <w:rFonts w:cs="Times New Roman"/>
                <w:szCs w:val="21"/>
              </w:rPr>
            </w:pPr>
            <w:r>
              <w:rPr>
                <w:rFonts w:cs="Times New Roman"/>
                <w:sz w:val="21"/>
                <w:szCs w:val="21"/>
                <w:lang w:bidi="ar"/>
              </w:rPr>
              <w:t>1</w:t>
            </w:r>
          </w:p>
        </w:tc>
        <w:tc>
          <w:tcPr>
            <w:tcW w:w="581" w:type="pct"/>
            <w:tcBorders>
              <w:top w:val="single" w:color="000000" w:sz="4" w:space="0"/>
              <w:left w:val="single" w:color="000000" w:sz="4" w:space="0"/>
              <w:bottom w:val="single" w:color="000000" w:sz="4" w:space="0"/>
              <w:right w:val="single" w:color="000000" w:sz="4" w:space="0"/>
            </w:tcBorders>
            <w:vAlign w:val="center"/>
          </w:tcPr>
          <w:p w14:paraId="74AA2F2F">
            <w:pPr>
              <w:spacing w:line="240" w:lineRule="auto"/>
              <w:ind w:firstLine="0" w:firstLineChars="0"/>
              <w:jc w:val="center"/>
              <w:rPr>
                <w:rFonts w:cs="Times New Roman"/>
                <w:szCs w:val="21"/>
              </w:rPr>
            </w:pPr>
            <w:r>
              <w:rPr>
                <w:rFonts w:cs="Times New Roman"/>
                <w:sz w:val="21"/>
                <w:szCs w:val="21"/>
                <w:lang w:bidi="ar"/>
              </w:rPr>
              <w:t>1</w:t>
            </w:r>
          </w:p>
        </w:tc>
        <w:tc>
          <w:tcPr>
            <w:tcW w:w="1314" w:type="pct"/>
            <w:tcBorders>
              <w:top w:val="single" w:color="000000" w:sz="4" w:space="0"/>
              <w:left w:val="single" w:color="000000" w:sz="4" w:space="0"/>
              <w:bottom w:val="single" w:color="000000" w:sz="4" w:space="0"/>
              <w:right w:val="single" w:color="000000" w:sz="4" w:space="0"/>
            </w:tcBorders>
            <w:vAlign w:val="center"/>
          </w:tcPr>
          <w:p w14:paraId="3FE122C6">
            <w:pPr>
              <w:spacing w:line="240" w:lineRule="auto"/>
              <w:ind w:firstLine="0" w:firstLineChars="0"/>
              <w:jc w:val="center"/>
              <w:rPr>
                <w:rFonts w:cs="Times New Roman"/>
                <w:szCs w:val="21"/>
              </w:rPr>
            </w:pPr>
            <w:r>
              <w:rPr>
                <w:rFonts w:cs="Times New Roman"/>
                <w:sz w:val="21"/>
                <w:szCs w:val="21"/>
                <w:lang w:bidi="ar"/>
              </w:rPr>
              <w:t>0.2</w:t>
            </w:r>
          </w:p>
        </w:tc>
      </w:tr>
      <w:tr w14:paraId="2503B9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036C6EEF">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71E8810A">
            <w:pPr>
              <w:spacing w:line="240" w:lineRule="auto"/>
              <w:ind w:firstLine="0" w:firstLineChars="0"/>
              <w:jc w:val="center"/>
              <w:rPr>
                <w:rFonts w:cs="Times New Roman"/>
                <w:szCs w:val="21"/>
              </w:rPr>
            </w:pPr>
            <w:r>
              <w:rPr>
                <w:rFonts w:hint="eastAsia" w:cs="Times New Roman"/>
                <w:sz w:val="21"/>
                <w:szCs w:val="21"/>
                <w:lang w:bidi="ar"/>
              </w:rPr>
              <w:t>虱目</w:t>
            </w:r>
            <w:r>
              <w:rPr>
                <w:rFonts w:cs="Times New Roman"/>
                <w:sz w:val="21"/>
                <w:szCs w:val="21"/>
                <w:lang w:bidi="ar"/>
              </w:rPr>
              <w:t xml:space="preserve"> Anoplura</w:t>
            </w:r>
          </w:p>
        </w:tc>
        <w:tc>
          <w:tcPr>
            <w:tcW w:w="581" w:type="pct"/>
            <w:tcBorders>
              <w:top w:val="single" w:color="000000" w:sz="4" w:space="0"/>
              <w:left w:val="single" w:color="000000" w:sz="4" w:space="0"/>
              <w:bottom w:val="single" w:color="000000" w:sz="4" w:space="0"/>
              <w:right w:val="single" w:color="000000" w:sz="4" w:space="0"/>
            </w:tcBorders>
            <w:vAlign w:val="center"/>
          </w:tcPr>
          <w:p w14:paraId="7FAB6200">
            <w:pPr>
              <w:spacing w:line="240" w:lineRule="auto"/>
              <w:ind w:firstLine="0" w:firstLineChars="0"/>
              <w:jc w:val="center"/>
              <w:rPr>
                <w:rFonts w:cs="Times New Roman"/>
                <w:szCs w:val="21"/>
              </w:rPr>
            </w:pPr>
            <w:r>
              <w:rPr>
                <w:rFonts w:cs="Times New Roman"/>
                <w:sz w:val="21"/>
                <w:szCs w:val="21"/>
                <w:lang w:bidi="ar"/>
              </w:rPr>
              <w:t>1</w:t>
            </w:r>
          </w:p>
        </w:tc>
        <w:tc>
          <w:tcPr>
            <w:tcW w:w="581" w:type="pct"/>
            <w:tcBorders>
              <w:top w:val="single" w:color="000000" w:sz="4" w:space="0"/>
              <w:left w:val="single" w:color="000000" w:sz="4" w:space="0"/>
              <w:bottom w:val="single" w:color="000000" w:sz="4" w:space="0"/>
              <w:right w:val="single" w:color="000000" w:sz="4" w:space="0"/>
            </w:tcBorders>
            <w:vAlign w:val="center"/>
          </w:tcPr>
          <w:p w14:paraId="6CDBA67D">
            <w:pPr>
              <w:spacing w:line="240" w:lineRule="auto"/>
              <w:ind w:firstLine="0" w:firstLineChars="0"/>
              <w:jc w:val="center"/>
              <w:rPr>
                <w:rFonts w:cs="Times New Roman"/>
                <w:szCs w:val="21"/>
              </w:rPr>
            </w:pPr>
            <w:r>
              <w:rPr>
                <w:rFonts w:cs="Times New Roman"/>
                <w:sz w:val="21"/>
                <w:szCs w:val="21"/>
                <w:lang w:bidi="ar"/>
              </w:rPr>
              <w:t>2</w:t>
            </w:r>
          </w:p>
        </w:tc>
        <w:tc>
          <w:tcPr>
            <w:tcW w:w="1314" w:type="pct"/>
            <w:tcBorders>
              <w:top w:val="single" w:color="000000" w:sz="4" w:space="0"/>
              <w:left w:val="single" w:color="000000" w:sz="4" w:space="0"/>
              <w:bottom w:val="single" w:color="000000" w:sz="4" w:space="0"/>
              <w:right w:val="single" w:color="000000" w:sz="4" w:space="0"/>
            </w:tcBorders>
            <w:vAlign w:val="center"/>
          </w:tcPr>
          <w:p w14:paraId="418EF96E">
            <w:pPr>
              <w:spacing w:line="240" w:lineRule="auto"/>
              <w:ind w:firstLine="0" w:firstLineChars="0"/>
              <w:jc w:val="center"/>
              <w:rPr>
                <w:rFonts w:cs="Times New Roman"/>
                <w:szCs w:val="21"/>
              </w:rPr>
            </w:pPr>
            <w:r>
              <w:rPr>
                <w:rFonts w:cs="Times New Roman"/>
                <w:sz w:val="21"/>
                <w:szCs w:val="21"/>
                <w:lang w:bidi="ar"/>
              </w:rPr>
              <w:t>0.39</w:t>
            </w:r>
          </w:p>
        </w:tc>
      </w:tr>
      <w:tr w14:paraId="77FE43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1AF889A2">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4BC4D1C2">
            <w:pPr>
              <w:spacing w:line="240" w:lineRule="auto"/>
              <w:ind w:firstLine="0" w:firstLineChars="0"/>
              <w:jc w:val="center"/>
              <w:rPr>
                <w:rFonts w:cs="Times New Roman"/>
                <w:szCs w:val="21"/>
              </w:rPr>
            </w:pPr>
            <w:r>
              <w:rPr>
                <w:rFonts w:hint="eastAsia" w:cs="Times New Roman"/>
                <w:sz w:val="21"/>
                <w:szCs w:val="21"/>
                <w:lang w:bidi="ar"/>
              </w:rPr>
              <w:t>同翅目</w:t>
            </w:r>
            <w:r>
              <w:rPr>
                <w:rFonts w:cs="Times New Roman"/>
                <w:sz w:val="21"/>
                <w:szCs w:val="21"/>
                <w:lang w:bidi="ar"/>
              </w:rPr>
              <w:t xml:space="preserve"> Homoptera</w:t>
            </w:r>
          </w:p>
        </w:tc>
        <w:tc>
          <w:tcPr>
            <w:tcW w:w="581" w:type="pct"/>
            <w:tcBorders>
              <w:top w:val="single" w:color="000000" w:sz="4" w:space="0"/>
              <w:left w:val="single" w:color="000000" w:sz="4" w:space="0"/>
              <w:bottom w:val="single" w:color="000000" w:sz="4" w:space="0"/>
              <w:right w:val="single" w:color="000000" w:sz="4" w:space="0"/>
            </w:tcBorders>
            <w:vAlign w:val="center"/>
          </w:tcPr>
          <w:p w14:paraId="58AFEB5F">
            <w:pPr>
              <w:spacing w:line="240" w:lineRule="auto"/>
              <w:ind w:firstLine="0" w:firstLineChars="0"/>
              <w:jc w:val="center"/>
              <w:rPr>
                <w:rFonts w:cs="Times New Roman"/>
                <w:szCs w:val="21"/>
              </w:rPr>
            </w:pPr>
            <w:r>
              <w:rPr>
                <w:rFonts w:cs="Times New Roman"/>
                <w:sz w:val="21"/>
                <w:szCs w:val="21"/>
                <w:lang w:bidi="ar"/>
              </w:rPr>
              <w:t>13</w:t>
            </w:r>
          </w:p>
        </w:tc>
        <w:tc>
          <w:tcPr>
            <w:tcW w:w="581" w:type="pct"/>
            <w:tcBorders>
              <w:top w:val="single" w:color="000000" w:sz="4" w:space="0"/>
              <w:left w:val="single" w:color="000000" w:sz="4" w:space="0"/>
              <w:bottom w:val="single" w:color="000000" w:sz="4" w:space="0"/>
              <w:right w:val="single" w:color="000000" w:sz="4" w:space="0"/>
            </w:tcBorders>
            <w:vAlign w:val="center"/>
          </w:tcPr>
          <w:p w14:paraId="6FE58AED">
            <w:pPr>
              <w:spacing w:line="240" w:lineRule="auto"/>
              <w:ind w:firstLine="0" w:firstLineChars="0"/>
              <w:jc w:val="center"/>
              <w:rPr>
                <w:rFonts w:cs="Times New Roman"/>
                <w:szCs w:val="21"/>
              </w:rPr>
            </w:pPr>
            <w:r>
              <w:rPr>
                <w:rFonts w:cs="Times New Roman"/>
                <w:sz w:val="21"/>
                <w:szCs w:val="21"/>
                <w:lang w:bidi="ar"/>
              </w:rPr>
              <w:t>43</w:t>
            </w:r>
          </w:p>
        </w:tc>
        <w:tc>
          <w:tcPr>
            <w:tcW w:w="1314" w:type="pct"/>
            <w:tcBorders>
              <w:top w:val="single" w:color="000000" w:sz="4" w:space="0"/>
              <w:left w:val="single" w:color="000000" w:sz="4" w:space="0"/>
              <w:bottom w:val="single" w:color="000000" w:sz="4" w:space="0"/>
              <w:right w:val="single" w:color="000000" w:sz="4" w:space="0"/>
            </w:tcBorders>
            <w:vAlign w:val="center"/>
          </w:tcPr>
          <w:p w14:paraId="540FAA1F">
            <w:pPr>
              <w:spacing w:line="240" w:lineRule="auto"/>
              <w:ind w:firstLine="0" w:firstLineChars="0"/>
              <w:jc w:val="center"/>
              <w:rPr>
                <w:rFonts w:cs="Times New Roman"/>
                <w:szCs w:val="21"/>
              </w:rPr>
            </w:pPr>
            <w:r>
              <w:rPr>
                <w:rFonts w:cs="Times New Roman"/>
                <w:sz w:val="21"/>
                <w:szCs w:val="21"/>
                <w:lang w:bidi="ar"/>
              </w:rPr>
              <w:t>8.48</w:t>
            </w:r>
          </w:p>
        </w:tc>
      </w:tr>
      <w:tr w14:paraId="09E187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7064D07E">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669F7160">
            <w:pPr>
              <w:spacing w:line="240" w:lineRule="auto"/>
              <w:ind w:firstLine="0" w:firstLineChars="0"/>
              <w:jc w:val="center"/>
              <w:rPr>
                <w:rFonts w:cs="Times New Roman"/>
                <w:szCs w:val="21"/>
              </w:rPr>
            </w:pPr>
            <w:r>
              <w:rPr>
                <w:rFonts w:hint="eastAsia" w:cs="Times New Roman"/>
                <w:sz w:val="21"/>
                <w:szCs w:val="21"/>
                <w:lang w:bidi="ar"/>
              </w:rPr>
              <w:t>半翅目</w:t>
            </w:r>
            <w:r>
              <w:rPr>
                <w:rFonts w:cs="Times New Roman"/>
                <w:sz w:val="21"/>
                <w:szCs w:val="21"/>
                <w:lang w:bidi="ar"/>
              </w:rPr>
              <w:t xml:space="preserve"> Hemiptera</w:t>
            </w:r>
          </w:p>
        </w:tc>
        <w:tc>
          <w:tcPr>
            <w:tcW w:w="581" w:type="pct"/>
            <w:tcBorders>
              <w:top w:val="single" w:color="000000" w:sz="4" w:space="0"/>
              <w:left w:val="single" w:color="000000" w:sz="4" w:space="0"/>
              <w:bottom w:val="single" w:color="000000" w:sz="4" w:space="0"/>
              <w:right w:val="single" w:color="000000" w:sz="4" w:space="0"/>
            </w:tcBorders>
            <w:vAlign w:val="center"/>
          </w:tcPr>
          <w:p w14:paraId="0DCD569B">
            <w:pPr>
              <w:spacing w:line="240" w:lineRule="auto"/>
              <w:ind w:firstLine="0" w:firstLineChars="0"/>
              <w:jc w:val="center"/>
              <w:rPr>
                <w:rFonts w:cs="Times New Roman"/>
                <w:szCs w:val="21"/>
              </w:rPr>
            </w:pPr>
            <w:r>
              <w:rPr>
                <w:rFonts w:cs="Times New Roman"/>
                <w:sz w:val="21"/>
                <w:szCs w:val="21"/>
                <w:lang w:bidi="ar"/>
              </w:rPr>
              <w:t>13</w:t>
            </w:r>
          </w:p>
        </w:tc>
        <w:tc>
          <w:tcPr>
            <w:tcW w:w="581" w:type="pct"/>
            <w:tcBorders>
              <w:top w:val="single" w:color="000000" w:sz="4" w:space="0"/>
              <w:left w:val="single" w:color="000000" w:sz="4" w:space="0"/>
              <w:bottom w:val="single" w:color="000000" w:sz="4" w:space="0"/>
              <w:right w:val="single" w:color="000000" w:sz="4" w:space="0"/>
            </w:tcBorders>
            <w:vAlign w:val="center"/>
          </w:tcPr>
          <w:p w14:paraId="19802CE9">
            <w:pPr>
              <w:spacing w:line="240" w:lineRule="auto"/>
              <w:ind w:firstLine="0" w:firstLineChars="0"/>
              <w:jc w:val="center"/>
              <w:rPr>
                <w:rFonts w:cs="Times New Roman"/>
                <w:szCs w:val="21"/>
              </w:rPr>
            </w:pPr>
            <w:r>
              <w:rPr>
                <w:rFonts w:cs="Times New Roman"/>
                <w:sz w:val="21"/>
                <w:szCs w:val="21"/>
                <w:lang w:bidi="ar"/>
              </w:rPr>
              <w:t>41</w:t>
            </w:r>
          </w:p>
        </w:tc>
        <w:tc>
          <w:tcPr>
            <w:tcW w:w="1314" w:type="pct"/>
            <w:tcBorders>
              <w:top w:val="single" w:color="000000" w:sz="4" w:space="0"/>
              <w:left w:val="single" w:color="000000" w:sz="4" w:space="0"/>
              <w:bottom w:val="single" w:color="000000" w:sz="4" w:space="0"/>
              <w:right w:val="single" w:color="000000" w:sz="4" w:space="0"/>
            </w:tcBorders>
            <w:vAlign w:val="center"/>
          </w:tcPr>
          <w:p w14:paraId="6547ADC0">
            <w:pPr>
              <w:spacing w:line="240" w:lineRule="auto"/>
              <w:ind w:firstLine="0" w:firstLineChars="0"/>
              <w:jc w:val="center"/>
              <w:rPr>
                <w:rFonts w:cs="Times New Roman"/>
                <w:szCs w:val="21"/>
              </w:rPr>
            </w:pPr>
            <w:r>
              <w:rPr>
                <w:rFonts w:cs="Times New Roman"/>
                <w:sz w:val="21"/>
                <w:szCs w:val="21"/>
                <w:lang w:bidi="ar"/>
              </w:rPr>
              <w:t>8.09</w:t>
            </w:r>
          </w:p>
        </w:tc>
      </w:tr>
      <w:tr w14:paraId="19EA5C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2C06D192">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1CA28B55">
            <w:pPr>
              <w:spacing w:line="240" w:lineRule="auto"/>
              <w:ind w:firstLine="0" w:firstLineChars="0"/>
              <w:jc w:val="center"/>
              <w:rPr>
                <w:rFonts w:cs="Times New Roman"/>
                <w:szCs w:val="21"/>
              </w:rPr>
            </w:pPr>
            <w:r>
              <w:rPr>
                <w:rFonts w:hint="eastAsia" w:cs="Times New Roman"/>
                <w:sz w:val="21"/>
                <w:szCs w:val="21"/>
                <w:lang w:bidi="ar"/>
              </w:rPr>
              <w:t>脉翅目</w:t>
            </w:r>
            <w:r>
              <w:rPr>
                <w:rFonts w:cs="Times New Roman"/>
                <w:sz w:val="21"/>
                <w:szCs w:val="21"/>
                <w:lang w:bidi="ar"/>
              </w:rPr>
              <w:t xml:space="preserve"> Neuroptere</w:t>
            </w:r>
          </w:p>
        </w:tc>
        <w:tc>
          <w:tcPr>
            <w:tcW w:w="581" w:type="pct"/>
            <w:tcBorders>
              <w:top w:val="single" w:color="000000" w:sz="4" w:space="0"/>
              <w:left w:val="single" w:color="000000" w:sz="4" w:space="0"/>
              <w:bottom w:val="single" w:color="000000" w:sz="4" w:space="0"/>
              <w:right w:val="single" w:color="000000" w:sz="4" w:space="0"/>
            </w:tcBorders>
            <w:vAlign w:val="center"/>
          </w:tcPr>
          <w:p w14:paraId="22C805AF">
            <w:pPr>
              <w:spacing w:line="240" w:lineRule="auto"/>
              <w:ind w:firstLine="0" w:firstLineChars="0"/>
              <w:jc w:val="center"/>
              <w:rPr>
                <w:rFonts w:cs="Times New Roman"/>
                <w:szCs w:val="21"/>
              </w:rPr>
            </w:pPr>
            <w:r>
              <w:rPr>
                <w:rFonts w:cs="Times New Roman"/>
                <w:sz w:val="21"/>
                <w:szCs w:val="21"/>
                <w:lang w:bidi="ar"/>
              </w:rPr>
              <w:t>2</w:t>
            </w:r>
          </w:p>
        </w:tc>
        <w:tc>
          <w:tcPr>
            <w:tcW w:w="581" w:type="pct"/>
            <w:tcBorders>
              <w:top w:val="single" w:color="000000" w:sz="4" w:space="0"/>
              <w:left w:val="single" w:color="000000" w:sz="4" w:space="0"/>
              <w:bottom w:val="single" w:color="000000" w:sz="4" w:space="0"/>
              <w:right w:val="single" w:color="000000" w:sz="4" w:space="0"/>
            </w:tcBorders>
            <w:vAlign w:val="center"/>
          </w:tcPr>
          <w:p w14:paraId="6E8EE130">
            <w:pPr>
              <w:spacing w:line="240" w:lineRule="auto"/>
              <w:ind w:firstLine="0" w:firstLineChars="0"/>
              <w:jc w:val="center"/>
              <w:rPr>
                <w:rFonts w:cs="Times New Roman"/>
                <w:szCs w:val="21"/>
              </w:rPr>
            </w:pPr>
            <w:r>
              <w:rPr>
                <w:rFonts w:cs="Times New Roman"/>
                <w:sz w:val="21"/>
                <w:szCs w:val="21"/>
                <w:lang w:bidi="ar"/>
              </w:rPr>
              <w:t>2</w:t>
            </w:r>
          </w:p>
        </w:tc>
        <w:tc>
          <w:tcPr>
            <w:tcW w:w="1314" w:type="pct"/>
            <w:tcBorders>
              <w:top w:val="single" w:color="000000" w:sz="4" w:space="0"/>
              <w:left w:val="single" w:color="000000" w:sz="4" w:space="0"/>
              <w:bottom w:val="single" w:color="000000" w:sz="4" w:space="0"/>
              <w:right w:val="single" w:color="000000" w:sz="4" w:space="0"/>
            </w:tcBorders>
            <w:vAlign w:val="center"/>
          </w:tcPr>
          <w:p w14:paraId="7A61EDBD">
            <w:pPr>
              <w:spacing w:line="240" w:lineRule="auto"/>
              <w:ind w:firstLine="0" w:firstLineChars="0"/>
              <w:jc w:val="center"/>
              <w:rPr>
                <w:rFonts w:cs="Times New Roman"/>
                <w:szCs w:val="21"/>
              </w:rPr>
            </w:pPr>
            <w:r>
              <w:rPr>
                <w:rFonts w:cs="Times New Roman"/>
                <w:sz w:val="21"/>
                <w:szCs w:val="21"/>
                <w:lang w:bidi="ar"/>
              </w:rPr>
              <w:t>0.39</w:t>
            </w:r>
          </w:p>
        </w:tc>
      </w:tr>
      <w:tr w14:paraId="715C44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4EF9E8E6">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64688C21">
            <w:pPr>
              <w:spacing w:line="240" w:lineRule="auto"/>
              <w:ind w:firstLine="0" w:firstLineChars="0"/>
              <w:jc w:val="center"/>
              <w:rPr>
                <w:rFonts w:cs="Times New Roman"/>
                <w:szCs w:val="21"/>
              </w:rPr>
            </w:pPr>
            <w:r>
              <w:rPr>
                <w:rFonts w:hint="eastAsia" w:cs="Times New Roman"/>
                <w:sz w:val="21"/>
                <w:szCs w:val="21"/>
                <w:lang w:bidi="ar"/>
              </w:rPr>
              <w:t>鞘翅目</w:t>
            </w:r>
            <w:r>
              <w:rPr>
                <w:rFonts w:cs="Times New Roman"/>
                <w:sz w:val="21"/>
                <w:szCs w:val="21"/>
                <w:lang w:bidi="ar"/>
              </w:rPr>
              <w:t xml:space="preserve"> Coleoptera</w:t>
            </w:r>
          </w:p>
        </w:tc>
        <w:tc>
          <w:tcPr>
            <w:tcW w:w="581" w:type="pct"/>
            <w:tcBorders>
              <w:top w:val="single" w:color="000000" w:sz="4" w:space="0"/>
              <w:left w:val="single" w:color="000000" w:sz="4" w:space="0"/>
              <w:bottom w:val="single" w:color="000000" w:sz="4" w:space="0"/>
              <w:right w:val="single" w:color="000000" w:sz="4" w:space="0"/>
            </w:tcBorders>
            <w:vAlign w:val="center"/>
          </w:tcPr>
          <w:p w14:paraId="19D4C042">
            <w:pPr>
              <w:spacing w:line="240" w:lineRule="auto"/>
              <w:ind w:firstLine="0" w:firstLineChars="0"/>
              <w:jc w:val="center"/>
              <w:rPr>
                <w:rFonts w:cs="Times New Roman"/>
                <w:szCs w:val="21"/>
              </w:rPr>
            </w:pPr>
            <w:r>
              <w:rPr>
                <w:rFonts w:cs="Times New Roman"/>
                <w:sz w:val="21"/>
                <w:szCs w:val="21"/>
                <w:lang w:bidi="ar"/>
              </w:rPr>
              <w:t>24</w:t>
            </w:r>
          </w:p>
        </w:tc>
        <w:tc>
          <w:tcPr>
            <w:tcW w:w="581" w:type="pct"/>
            <w:tcBorders>
              <w:top w:val="single" w:color="000000" w:sz="4" w:space="0"/>
              <w:left w:val="single" w:color="000000" w:sz="4" w:space="0"/>
              <w:bottom w:val="single" w:color="000000" w:sz="4" w:space="0"/>
              <w:right w:val="single" w:color="000000" w:sz="4" w:space="0"/>
            </w:tcBorders>
            <w:vAlign w:val="center"/>
          </w:tcPr>
          <w:p w14:paraId="11E05788">
            <w:pPr>
              <w:spacing w:line="240" w:lineRule="auto"/>
              <w:ind w:firstLine="0" w:firstLineChars="0"/>
              <w:jc w:val="center"/>
              <w:rPr>
                <w:rFonts w:cs="Times New Roman"/>
                <w:szCs w:val="21"/>
              </w:rPr>
            </w:pPr>
            <w:r>
              <w:rPr>
                <w:rFonts w:cs="Times New Roman"/>
                <w:sz w:val="21"/>
                <w:szCs w:val="21"/>
                <w:lang w:bidi="ar"/>
              </w:rPr>
              <w:t>128</w:t>
            </w:r>
          </w:p>
        </w:tc>
        <w:tc>
          <w:tcPr>
            <w:tcW w:w="1314" w:type="pct"/>
            <w:tcBorders>
              <w:top w:val="single" w:color="000000" w:sz="4" w:space="0"/>
              <w:left w:val="single" w:color="000000" w:sz="4" w:space="0"/>
              <w:bottom w:val="single" w:color="000000" w:sz="4" w:space="0"/>
              <w:right w:val="single" w:color="000000" w:sz="4" w:space="0"/>
            </w:tcBorders>
            <w:vAlign w:val="center"/>
          </w:tcPr>
          <w:p w14:paraId="668AAEAE">
            <w:pPr>
              <w:spacing w:line="240" w:lineRule="auto"/>
              <w:ind w:firstLine="0" w:firstLineChars="0"/>
              <w:jc w:val="center"/>
              <w:rPr>
                <w:rFonts w:cs="Times New Roman"/>
                <w:szCs w:val="21"/>
              </w:rPr>
            </w:pPr>
            <w:r>
              <w:rPr>
                <w:rFonts w:cs="Times New Roman"/>
                <w:sz w:val="21"/>
                <w:szCs w:val="21"/>
                <w:lang w:bidi="ar"/>
              </w:rPr>
              <w:t>25.24</w:t>
            </w:r>
          </w:p>
        </w:tc>
      </w:tr>
      <w:tr w14:paraId="0B89B1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7BC9E111">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0ACC37D9">
            <w:pPr>
              <w:spacing w:line="240" w:lineRule="auto"/>
              <w:ind w:firstLine="0" w:firstLineChars="0"/>
              <w:jc w:val="center"/>
              <w:rPr>
                <w:rFonts w:cs="Times New Roman"/>
                <w:szCs w:val="21"/>
              </w:rPr>
            </w:pPr>
            <w:r>
              <w:rPr>
                <w:rFonts w:hint="eastAsia" w:cs="Times New Roman"/>
                <w:sz w:val="21"/>
                <w:szCs w:val="21"/>
                <w:lang w:bidi="ar"/>
              </w:rPr>
              <w:t>双翅目</w:t>
            </w:r>
            <w:r>
              <w:rPr>
                <w:rFonts w:cs="Times New Roman"/>
                <w:sz w:val="21"/>
                <w:szCs w:val="21"/>
                <w:lang w:bidi="ar"/>
              </w:rPr>
              <w:t xml:space="preserve"> Diptera</w:t>
            </w:r>
          </w:p>
        </w:tc>
        <w:tc>
          <w:tcPr>
            <w:tcW w:w="581" w:type="pct"/>
            <w:tcBorders>
              <w:top w:val="single" w:color="000000" w:sz="4" w:space="0"/>
              <w:left w:val="single" w:color="000000" w:sz="4" w:space="0"/>
              <w:bottom w:val="single" w:color="000000" w:sz="4" w:space="0"/>
              <w:right w:val="single" w:color="000000" w:sz="4" w:space="0"/>
            </w:tcBorders>
            <w:vAlign w:val="center"/>
          </w:tcPr>
          <w:p w14:paraId="57873E3F">
            <w:pPr>
              <w:spacing w:line="240" w:lineRule="auto"/>
              <w:ind w:firstLine="0" w:firstLineChars="0"/>
              <w:jc w:val="center"/>
              <w:rPr>
                <w:rFonts w:cs="Times New Roman"/>
                <w:szCs w:val="21"/>
              </w:rPr>
            </w:pPr>
            <w:r>
              <w:rPr>
                <w:rFonts w:cs="Times New Roman"/>
                <w:sz w:val="21"/>
                <w:szCs w:val="21"/>
                <w:lang w:bidi="ar"/>
              </w:rPr>
              <w:t>13</w:t>
            </w:r>
          </w:p>
        </w:tc>
        <w:tc>
          <w:tcPr>
            <w:tcW w:w="581" w:type="pct"/>
            <w:tcBorders>
              <w:top w:val="single" w:color="000000" w:sz="4" w:space="0"/>
              <w:left w:val="single" w:color="000000" w:sz="4" w:space="0"/>
              <w:bottom w:val="single" w:color="000000" w:sz="4" w:space="0"/>
              <w:right w:val="single" w:color="000000" w:sz="4" w:space="0"/>
            </w:tcBorders>
            <w:vAlign w:val="center"/>
          </w:tcPr>
          <w:p w14:paraId="7A6BDC7C">
            <w:pPr>
              <w:spacing w:line="240" w:lineRule="auto"/>
              <w:ind w:firstLine="0" w:firstLineChars="0"/>
              <w:jc w:val="center"/>
              <w:rPr>
                <w:rFonts w:cs="Times New Roman"/>
                <w:szCs w:val="21"/>
              </w:rPr>
            </w:pPr>
            <w:r>
              <w:rPr>
                <w:rFonts w:cs="Times New Roman"/>
                <w:sz w:val="21"/>
                <w:szCs w:val="21"/>
                <w:lang w:bidi="ar"/>
              </w:rPr>
              <w:t>45</w:t>
            </w:r>
          </w:p>
        </w:tc>
        <w:tc>
          <w:tcPr>
            <w:tcW w:w="1314" w:type="pct"/>
            <w:tcBorders>
              <w:top w:val="single" w:color="000000" w:sz="4" w:space="0"/>
              <w:left w:val="single" w:color="000000" w:sz="4" w:space="0"/>
              <w:bottom w:val="single" w:color="000000" w:sz="4" w:space="0"/>
              <w:right w:val="single" w:color="000000" w:sz="4" w:space="0"/>
            </w:tcBorders>
            <w:vAlign w:val="center"/>
          </w:tcPr>
          <w:p w14:paraId="16F68CF1">
            <w:pPr>
              <w:spacing w:line="240" w:lineRule="auto"/>
              <w:ind w:firstLine="0" w:firstLineChars="0"/>
              <w:jc w:val="center"/>
              <w:rPr>
                <w:rFonts w:cs="Times New Roman"/>
                <w:szCs w:val="21"/>
              </w:rPr>
            </w:pPr>
            <w:r>
              <w:rPr>
                <w:rFonts w:cs="Times New Roman"/>
                <w:sz w:val="21"/>
                <w:szCs w:val="21"/>
                <w:lang w:bidi="ar"/>
              </w:rPr>
              <w:t>8.88</w:t>
            </w:r>
          </w:p>
        </w:tc>
      </w:tr>
      <w:tr w14:paraId="66ADA7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3C77AEF0">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567F0B5F">
            <w:pPr>
              <w:spacing w:line="240" w:lineRule="auto"/>
              <w:ind w:firstLine="0" w:firstLineChars="0"/>
              <w:jc w:val="center"/>
              <w:rPr>
                <w:rFonts w:cs="Times New Roman"/>
                <w:szCs w:val="21"/>
              </w:rPr>
            </w:pPr>
            <w:r>
              <w:rPr>
                <w:rFonts w:hint="eastAsia" w:cs="Times New Roman"/>
                <w:sz w:val="21"/>
                <w:szCs w:val="21"/>
                <w:lang w:bidi="ar"/>
              </w:rPr>
              <w:t>鳞翅目</w:t>
            </w:r>
            <w:r>
              <w:rPr>
                <w:rFonts w:cs="Times New Roman"/>
                <w:sz w:val="21"/>
                <w:szCs w:val="21"/>
                <w:lang w:bidi="ar"/>
              </w:rPr>
              <w:t xml:space="preserve"> Lepidoptera</w:t>
            </w:r>
          </w:p>
        </w:tc>
        <w:tc>
          <w:tcPr>
            <w:tcW w:w="581" w:type="pct"/>
            <w:tcBorders>
              <w:top w:val="single" w:color="000000" w:sz="4" w:space="0"/>
              <w:left w:val="single" w:color="000000" w:sz="4" w:space="0"/>
              <w:bottom w:val="single" w:color="000000" w:sz="4" w:space="0"/>
              <w:right w:val="single" w:color="000000" w:sz="4" w:space="0"/>
            </w:tcBorders>
            <w:vAlign w:val="center"/>
          </w:tcPr>
          <w:p w14:paraId="62E421B6">
            <w:pPr>
              <w:spacing w:line="240" w:lineRule="auto"/>
              <w:ind w:firstLine="0" w:firstLineChars="0"/>
              <w:jc w:val="center"/>
              <w:rPr>
                <w:rFonts w:cs="Times New Roman"/>
                <w:szCs w:val="21"/>
              </w:rPr>
            </w:pPr>
            <w:r>
              <w:rPr>
                <w:rFonts w:cs="Times New Roman"/>
                <w:sz w:val="21"/>
                <w:szCs w:val="21"/>
                <w:lang w:bidi="ar"/>
              </w:rPr>
              <w:t>24</w:t>
            </w:r>
          </w:p>
        </w:tc>
        <w:tc>
          <w:tcPr>
            <w:tcW w:w="581" w:type="pct"/>
            <w:tcBorders>
              <w:top w:val="single" w:color="000000" w:sz="4" w:space="0"/>
              <w:left w:val="single" w:color="000000" w:sz="4" w:space="0"/>
              <w:bottom w:val="single" w:color="000000" w:sz="4" w:space="0"/>
              <w:right w:val="single" w:color="000000" w:sz="4" w:space="0"/>
            </w:tcBorders>
            <w:vAlign w:val="center"/>
          </w:tcPr>
          <w:p w14:paraId="64EE3A07">
            <w:pPr>
              <w:spacing w:line="240" w:lineRule="auto"/>
              <w:ind w:firstLine="0" w:firstLineChars="0"/>
              <w:jc w:val="center"/>
              <w:rPr>
                <w:rFonts w:cs="Times New Roman"/>
                <w:szCs w:val="21"/>
              </w:rPr>
            </w:pPr>
            <w:r>
              <w:rPr>
                <w:rFonts w:cs="Times New Roman"/>
                <w:sz w:val="21"/>
                <w:szCs w:val="21"/>
                <w:lang w:bidi="ar"/>
              </w:rPr>
              <w:t>131</w:t>
            </w:r>
          </w:p>
        </w:tc>
        <w:tc>
          <w:tcPr>
            <w:tcW w:w="1314" w:type="pct"/>
            <w:tcBorders>
              <w:top w:val="single" w:color="000000" w:sz="4" w:space="0"/>
              <w:left w:val="single" w:color="000000" w:sz="4" w:space="0"/>
              <w:bottom w:val="single" w:color="000000" w:sz="4" w:space="0"/>
              <w:right w:val="single" w:color="000000" w:sz="4" w:space="0"/>
            </w:tcBorders>
            <w:vAlign w:val="center"/>
          </w:tcPr>
          <w:p w14:paraId="22350280">
            <w:pPr>
              <w:spacing w:line="240" w:lineRule="auto"/>
              <w:ind w:firstLine="0" w:firstLineChars="0"/>
              <w:jc w:val="center"/>
              <w:rPr>
                <w:rFonts w:cs="Times New Roman"/>
                <w:szCs w:val="21"/>
              </w:rPr>
            </w:pPr>
            <w:r>
              <w:rPr>
                <w:rFonts w:cs="Times New Roman"/>
                <w:sz w:val="21"/>
                <w:szCs w:val="21"/>
                <w:lang w:bidi="ar"/>
              </w:rPr>
              <w:t>25.84</w:t>
            </w:r>
          </w:p>
        </w:tc>
      </w:tr>
      <w:tr w14:paraId="55BFCF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2F0BC30F">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7146F0E3">
            <w:pPr>
              <w:spacing w:line="240" w:lineRule="auto"/>
              <w:ind w:firstLine="0" w:firstLineChars="0"/>
              <w:jc w:val="center"/>
              <w:rPr>
                <w:rFonts w:cs="Times New Roman"/>
                <w:szCs w:val="21"/>
              </w:rPr>
            </w:pPr>
            <w:r>
              <w:rPr>
                <w:rFonts w:hint="eastAsia" w:cs="Times New Roman"/>
                <w:sz w:val="21"/>
                <w:szCs w:val="21"/>
                <w:lang w:bidi="ar"/>
              </w:rPr>
              <w:t>膜翅目</w:t>
            </w:r>
            <w:r>
              <w:rPr>
                <w:rFonts w:cs="Times New Roman"/>
                <w:sz w:val="21"/>
                <w:szCs w:val="21"/>
                <w:lang w:bidi="ar"/>
              </w:rPr>
              <w:t xml:space="preserve"> Hymenoptera</w:t>
            </w:r>
          </w:p>
        </w:tc>
        <w:tc>
          <w:tcPr>
            <w:tcW w:w="581" w:type="pct"/>
            <w:tcBorders>
              <w:top w:val="single" w:color="000000" w:sz="4" w:space="0"/>
              <w:left w:val="single" w:color="000000" w:sz="4" w:space="0"/>
              <w:bottom w:val="single" w:color="000000" w:sz="4" w:space="0"/>
              <w:right w:val="single" w:color="000000" w:sz="4" w:space="0"/>
            </w:tcBorders>
            <w:vAlign w:val="center"/>
          </w:tcPr>
          <w:p w14:paraId="49941785">
            <w:pPr>
              <w:spacing w:line="240" w:lineRule="auto"/>
              <w:ind w:firstLine="0" w:firstLineChars="0"/>
              <w:jc w:val="center"/>
              <w:rPr>
                <w:rFonts w:cs="Times New Roman"/>
                <w:szCs w:val="21"/>
              </w:rPr>
            </w:pPr>
            <w:r>
              <w:rPr>
                <w:rFonts w:cs="Times New Roman"/>
                <w:sz w:val="21"/>
                <w:szCs w:val="21"/>
                <w:lang w:bidi="ar"/>
              </w:rPr>
              <w:t>14</w:t>
            </w:r>
          </w:p>
        </w:tc>
        <w:tc>
          <w:tcPr>
            <w:tcW w:w="581" w:type="pct"/>
            <w:tcBorders>
              <w:top w:val="single" w:color="000000" w:sz="4" w:space="0"/>
              <w:left w:val="single" w:color="000000" w:sz="4" w:space="0"/>
              <w:bottom w:val="single" w:color="000000" w:sz="4" w:space="0"/>
              <w:right w:val="single" w:color="000000" w:sz="4" w:space="0"/>
            </w:tcBorders>
            <w:vAlign w:val="center"/>
          </w:tcPr>
          <w:p w14:paraId="51572840">
            <w:pPr>
              <w:spacing w:line="240" w:lineRule="auto"/>
              <w:ind w:firstLine="0" w:firstLineChars="0"/>
              <w:jc w:val="center"/>
              <w:rPr>
                <w:rFonts w:cs="Times New Roman"/>
                <w:szCs w:val="21"/>
              </w:rPr>
            </w:pPr>
            <w:r>
              <w:rPr>
                <w:rFonts w:cs="Times New Roman"/>
                <w:sz w:val="21"/>
                <w:szCs w:val="21"/>
                <w:lang w:bidi="ar"/>
              </w:rPr>
              <w:t>61</w:t>
            </w:r>
          </w:p>
        </w:tc>
        <w:tc>
          <w:tcPr>
            <w:tcW w:w="1314" w:type="pct"/>
            <w:tcBorders>
              <w:top w:val="single" w:color="000000" w:sz="4" w:space="0"/>
              <w:left w:val="single" w:color="000000" w:sz="4" w:space="0"/>
              <w:bottom w:val="single" w:color="000000" w:sz="4" w:space="0"/>
              <w:right w:val="single" w:color="000000" w:sz="4" w:space="0"/>
            </w:tcBorders>
            <w:vAlign w:val="center"/>
          </w:tcPr>
          <w:p w14:paraId="17AFFE69">
            <w:pPr>
              <w:spacing w:line="240" w:lineRule="auto"/>
              <w:ind w:firstLine="0" w:firstLineChars="0"/>
              <w:jc w:val="center"/>
              <w:rPr>
                <w:rFonts w:cs="Times New Roman"/>
                <w:szCs w:val="21"/>
              </w:rPr>
            </w:pPr>
            <w:r>
              <w:rPr>
                <w:rFonts w:cs="Times New Roman"/>
                <w:sz w:val="21"/>
                <w:szCs w:val="21"/>
                <w:lang w:bidi="ar"/>
              </w:rPr>
              <w:t>12.03</w:t>
            </w:r>
          </w:p>
        </w:tc>
      </w:tr>
      <w:tr w14:paraId="25198A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81" w:type="pct"/>
            <w:tcBorders>
              <w:top w:val="single" w:color="000000" w:sz="4" w:space="0"/>
              <w:left w:val="single" w:color="000000" w:sz="4" w:space="0"/>
              <w:bottom w:val="single" w:color="000000" w:sz="4" w:space="0"/>
              <w:right w:val="single" w:color="000000" w:sz="4" w:space="0"/>
            </w:tcBorders>
          </w:tcPr>
          <w:p w14:paraId="3A95792C">
            <w:pPr>
              <w:pStyle w:val="113"/>
              <w:widowControl/>
              <w:numPr>
                <w:ilvl w:val="0"/>
                <w:numId w:val="17"/>
              </w:numPr>
              <w:spacing w:line="240" w:lineRule="auto"/>
              <w:ind w:left="0" w:firstLine="0" w:firstLineChars="0"/>
              <w:jc w:val="center"/>
              <w:rPr>
                <w:rFonts w:hint="default" w:ascii="Times New Roman" w:hAnsi="Times New Roman" w:eastAsia="仿宋_GB2312"/>
                <w:szCs w:val="21"/>
              </w:rPr>
            </w:pPr>
          </w:p>
        </w:tc>
        <w:tc>
          <w:tcPr>
            <w:tcW w:w="1943" w:type="pct"/>
            <w:tcBorders>
              <w:top w:val="single" w:color="000000" w:sz="4" w:space="0"/>
              <w:left w:val="single" w:color="000000" w:sz="4" w:space="0"/>
              <w:bottom w:val="single" w:color="000000" w:sz="4" w:space="0"/>
              <w:right w:val="single" w:color="000000" w:sz="4" w:space="0"/>
            </w:tcBorders>
            <w:vAlign w:val="center"/>
          </w:tcPr>
          <w:p w14:paraId="13564F73">
            <w:pPr>
              <w:spacing w:line="240" w:lineRule="auto"/>
              <w:ind w:firstLine="0" w:firstLineChars="0"/>
              <w:jc w:val="center"/>
              <w:rPr>
                <w:rFonts w:cs="Times New Roman"/>
                <w:szCs w:val="21"/>
              </w:rPr>
            </w:pPr>
            <w:r>
              <w:rPr>
                <w:rFonts w:hint="eastAsia" w:cs="Times New Roman"/>
                <w:sz w:val="21"/>
                <w:szCs w:val="21"/>
                <w:lang w:bidi="ar"/>
              </w:rPr>
              <w:t>合计</w:t>
            </w:r>
          </w:p>
        </w:tc>
        <w:tc>
          <w:tcPr>
            <w:tcW w:w="581" w:type="pct"/>
            <w:tcBorders>
              <w:top w:val="single" w:color="000000" w:sz="4" w:space="0"/>
              <w:left w:val="single" w:color="000000" w:sz="4" w:space="0"/>
              <w:bottom w:val="single" w:color="000000" w:sz="4" w:space="0"/>
              <w:right w:val="single" w:color="000000" w:sz="4" w:space="0"/>
            </w:tcBorders>
            <w:vAlign w:val="center"/>
          </w:tcPr>
          <w:p w14:paraId="7132A6AC">
            <w:pPr>
              <w:spacing w:line="240" w:lineRule="auto"/>
              <w:ind w:firstLine="0" w:firstLineChars="0"/>
              <w:jc w:val="center"/>
              <w:rPr>
                <w:rFonts w:cs="Times New Roman"/>
                <w:szCs w:val="21"/>
              </w:rPr>
            </w:pPr>
            <w:r>
              <w:rPr>
                <w:rFonts w:cs="Times New Roman"/>
                <w:sz w:val="21"/>
                <w:szCs w:val="21"/>
                <w:lang w:bidi="ar"/>
              </w:rPr>
              <w:t>122</w:t>
            </w:r>
          </w:p>
        </w:tc>
        <w:tc>
          <w:tcPr>
            <w:tcW w:w="581" w:type="pct"/>
            <w:tcBorders>
              <w:top w:val="single" w:color="000000" w:sz="4" w:space="0"/>
              <w:left w:val="single" w:color="000000" w:sz="4" w:space="0"/>
              <w:bottom w:val="single" w:color="000000" w:sz="4" w:space="0"/>
              <w:right w:val="single" w:color="000000" w:sz="4" w:space="0"/>
            </w:tcBorders>
            <w:vAlign w:val="center"/>
          </w:tcPr>
          <w:p w14:paraId="3F3101A8">
            <w:pPr>
              <w:spacing w:line="240" w:lineRule="auto"/>
              <w:ind w:firstLine="0" w:firstLineChars="0"/>
              <w:jc w:val="center"/>
              <w:rPr>
                <w:rFonts w:cs="Times New Roman"/>
                <w:szCs w:val="21"/>
              </w:rPr>
            </w:pPr>
            <w:r>
              <w:rPr>
                <w:rFonts w:cs="Times New Roman"/>
                <w:sz w:val="21"/>
                <w:szCs w:val="21"/>
                <w:lang w:bidi="ar"/>
              </w:rPr>
              <w:t>507</w:t>
            </w:r>
          </w:p>
        </w:tc>
        <w:tc>
          <w:tcPr>
            <w:tcW w:w="1314" w:type="pct"/>
            <w:tcBorders>
              <w:top w:val="single" w:color="000000" w:sz="4" w:space="0"/>
              <w:left w:val="single" w:color="000000" w:sz="4" w:space="0"/>
              <w:bottom w:val="single" w:color="000000" w:sz="4" w:space="0"/>
              <w:right w:val="single" w:color="000000" w:sz="4" w:space="0"/>
            </w:tcBorders>
            <w:vAlign w:val="center"/>
          </w:tcPr>
          <w:p w14:paraId="56195688">
            <w:pPr>
              <w:spacing w:line="240" w:lineRule="auto"/>
              <w:ind w:firstLine="0" w:firstLineChars="0"/>
              <w:jc w:val="center"/>
              <w:rPr>
                <w:rFonts w:cs="Times New Roman"/>
                <w:szCs w:val="21"/>
              </w:rPr>
            </w:pPr>
            <w:r>
              <w:rPr>
                <w:rFonts w:cs="Times New Roman"/>
                <w:sz w:val="21"/>
                <w:szCs w:val="21"/>
                <w:lang w:bidi="ar"/>
              </w:rPr>
              <w:t>100</w:t>
            </w:r>
          </w:p>
        </w:tc>
      </w:tr>
    </w:tbl>
    <w:p w14:paraId="5FEAF96D">
      <w:pPr>
        <w:spacing w:line="240" w:lineRule="auto"/>
        <w:ind w:firstLine="0" w:firstLineChars="0"/>
        <w:rPr>
          <w:rFonts w:cs="Times New Roman"/>
          <w:b/>
          <w:bCs/>
          <w:szCs w:val="24"/>
        </w:rPr>
      </w:pPr>
      <w:r>
        <w:rPr>
          <w:rFonts w:hint="eastAsia" w:ascii="等线" w:hAnsi="等线" w:eastAsia="等线" w:cs="Times New Roman"/>
          <w:sz w:val="21"/>
          <w:lang w:bidi="ar"/>
        </w:rPr>
        <w:drawing>
          <wp:inline distT="0" distB="0" distL="114300" distR="114300">
            <wp:extent cx="2590800" cy="1800225"/>
            <wp:effectExtent l="0" t="0" r="0" b="9525"/>
            <wp:docPr id="49" name="图片 5"/>
            <wp:cNvGraphicFramePr/>
            <a:graphic xmlns:a="http://schemas.openxmlformats.org/drawingml/2006/main">
              <a:graphicData uri="http://schemas.openxmlformats.org/drawingml/2006/picture">
                <pic:pic xmlns:pic="http://schemas.openxmlformats.org/drawingml/2006/picture">
                  <pic:nvPicPr>
                    <pic:cNvPr id="49" name="图片 5"/>
                    <pic:cNvPicPr/>
                  </pic:nvPicPr>
                  <pic:blipFill>
                    <a:blip r:embed="rId46"/>
                    <a:stretch>
                      <a:fillRect/>
                    </a:stretch>
                  </pic:blipFill>
                  <pic:spPr>
                    <a:xfrm>
                      <a:off x="0" y="0"/>
                      <a:ext cx="2590800" cy="1800225"/>
                    </a:xfrm>
                    <a:prstGeom prst="rect">
                      <a:avLst/>
                    </a:prstGeom>
                    <a:noFill/>
                    <a:ln>
                      <a:noFill/>
                    </a:ln>
                  </pic:spPr>
                </pic:pic>
              </a:graphicData>
            </a:graphic>
          </wp:inline>
        </w:drawing>
      </w:r>
      <w:r>
        <w:rPr>
          <w:rFonts w:hint="eastAsia" w:ascii="等线" w:hAnsi="等线" w:eastAsia="等线" w:cs="Times New Roman"/>
          <w:sz w:val="21"/>
          <w:lang w:bidi="ar"/>
        </w:rPr>
        <w:t xml:space="preserve"> </w:t>
      </w:r>
      <w:r>
        <w:rPr>
          <w:rFonts w:hint="eastAsia" w:ascii="等线" w:hAnsi="等线" w:eastAsia="等线" w:cs="Times New Roman"/>
          <w:sz w:val="21"/>
          <w:lang w:bidi="ar"/>
        </w:rPr>
        <w:drawing>
          <wp:inline distT="0" distB="0" distL="114300" distR="114300">
            <wp:extent cx="2590800" cy="1809750"/>
            <wp:effectExtent l="0" t="0" r="0" b="0"/>
            <wp:docPr id="45" name="图片 6"/>
            <wp:cNvGraphicFramePr/>
            <a:graphic xmlns:a="http://schemas.openxmlformats.org/drawingml/2006/main">
              <a:graphicData uri="http://schemas.openxmlformats.org/drawingml/2006/picture">
                <pic:pic xmlns:pic="http://schemas.openxmlformats.org/drawingml/2006/picture">
                  <pic:nvPicPr>
                    <pic:cNvPr id="45" name="图片 6"/>
                    <pic:cNvPicPr/>
                  </pic:nvPicPr>
                  <pic:blipFill>
                    <a:blip r:embed="rId47"/>
                    <a:stretch>
                      <a:fillRect/>
                    </a:stretch>
                  </pic:blipFill>
                  <pic:spPr>
                    <a:xfrm>
                      <a:off x="0" y="0"/>
                      <a:ext cx="2590800" cy="1809750"/>
                    </a:xfrm>
                    <a:prstGeom prst="rect">
                      <a:avLst/>
                    </a:prstGeom>
                    <a:noFill/>
                    <a:ln>
                      <a:noFill/>
                    </a:ln>
                  </pic:spPr>
                </pic:pic>
              </a:graphicData>
            </a:graphic>
          </wp:inline>
        </w:drawing>
      </w:r>
    </w:p>
    <w:p w14:paraId="546FA2DD">
      <w:pPr>
        <w:spacing w:line="240" w:lineRule="auto"/>
        <w:ind w:firstLine="0" w:firstLineChars="0"/>
        <w:jc w:val="center"/>
        <w:rPr>
          <w:rFonts w:cs="Times New Roman"/>
          <w:b/>
          <w:bCs/>
          <w:kern w:val="0"/>
          <w:szCs w:val="21"/>
        </w:rPr>
      </w:pPr>
      <w:r>
        <w:rPr>
          <w:rFonts w:hint="eastAsia" w:cs="Times New Roman"/>
          <w:b/>
          <w:bCs/>
          <w:kern w:val="0"/>
          <w:sz w:val="21"/>
          <w:szCs w:val="21"/>
          <w:lang w:bidi="ar"/>
        </w:rPr>
        <w:t>白粉蝶</w:t>
      </w:r>
      <w:r>
        <w:rPr>
          <w:rFonts w:cs="Times New Roman"/>
          <w:b/>
          <w:bCs/>
          <w:kern w:val="0"/>
          <w:sz w:val="21"/>
          <w:szCs w:val="21"/>
          <w:lang w:bidi="ar"/>
        </w:rPr>
        <w:t xml:space="preserve">                                    </w:t>
      </w:r>
      <w:r>
        <w:rPr>
          <w:rFonts w:hint="eastAsia" w:cs="Times New Roman"/>
          <w:b/>
          <w:bCs/>
          <w:kern w:val="0"/>
          <w:sz w:val="21"/>
          <w:szCs w:val="21"/>
          <w:lang w:bidi="ar"/>
        </w:rPr>
        <w:t>黑腹果蝇</w:t>
      </w:r>
    </w:p>
    <w:p w14:paraId="59C7D113">
      <w:pPr>
        <w:spacing w:line="240" w:lineRule="auto"/>
        <w:ind w:firstLine="0" w:firstLineChars="0"/>
        <w:rPr>
          <w:rFonts w:cs="Times New Roman"/>
          <w:b/>
          <w:bCs/>
          <w:szCs w:val="24"/>
        </w:rPr>
      </w:pPr>
      <w:r>
        <w:rPr>
          <w:rFonts w:hint="eastAsia" w:ascii="等线" w:hAnsi="等线" w:eastAsia="等线" w:cs="Times New Roman"/>
          <w:sz w:val="21"/>
          <w:lang w:bidi="ar"/>
        </w:rPr>
        <w:drawing>
          <wp:inline distT="0" distB="0" distL="114300" distR="114300">
            <wp:extent cx="2590800" cy="1809750"/>
            <wp:effectExtent l="0" t="0" r="0" b="0"/>
            <wp:docPr id="40" name="图片 7"/>
            <wp:cNvGraphicFramePr/>
            <a:graphic xmlns:a="http://schemas.openxmlformats.org/drawingml/2006/main">
              <a:graphicData uri="http://schemas.openxmlformats.org/drawingml/2006/picture">
                <pic:pic xmlns:pic="http://schemas.openxmlformats.org/drawingml/2006/picture">
                  <pic:nvPicPr>
                    <pic:cNvPr id="40" name="图片 7"/>
                    <pic:cNvPicPr/>
                  </pic:nvPicPr>
                  <pic:blipFill>
                    <a:blip r:embed="rId48"/>
                    <a:stretch>
                      <a:fillRect/>
                    </a:stretch>
                  </pic:blipFill>
                  <pic:spPr>
                    <a:xfrm>
                      <a:off x="0" y="0"/>
                      <a:ext cx="2590800" cy="1809750"/>
                    </a:xfrm>
                    <a:prstGeom prst="rect">
                      <a:avLst/>
                    </a:prstGeom>
                    <a:noFill/>
                    <a:ln>
                      <a:noFill/>
                    </a:ln>
                  </pic:spPr>
                </pic:pic>
              </a:graphicData>
            </a:graphic>
          </wp:inline>
        </w:drawing>
      </w:r>
      <w:r>
        <w:rPr>
          <w:rFonts w:cs="Times New Roman"/>
          <w:b/>
          <w:bCs/>
          <w:szCs w:val="24"/>
          <w:lang w:bidi="ar"/>
        </w:rPr>
        <w:t xml:space="preserve"> </w:t>
      </w:r>
      <w:r>
        <w:rPr>
          <w:rFonts w:hint="eastAsia" w:ascii="等线" w:hAnsi="等线" w:eastAsia="等线" w:cs="Times New Roman"/>
          <w:sz w:val="21"/>
          <w:lang w:bidi="ar"/>
        </w:rPr>
        <w:drawing>
          <wp:inline distT="0" distB="0" distL="114300" distR="114300">
            <wp:extent cx="2590800" cy="1809750"/>
            <wp:effectExtent l="0" t="0" r="0" b="0"/>
            <wp:docPr id="46" name="图片 8"/>
            <wp:cNvGraphicFramePr/>
            <a:graphic xmlns:a="http://schemas.openxmlformats.org/drawingml/2006/main">
              <a:graphicData uri="http://schemas.openxmlformats.org/drawingml/2006/picture">
                <pic:pic xmlns:pic="http://schemas.openxmlformats.org/drawingml/2006/picture">
                  <pic:nvPicPr>
                    <pic:cNvPr id="46" name="图片 8"/>
                    <pic:cNvPicPr/>
                  </pic:nvPicPr>
                  <pic:blipFill>
                    <a:blip r:embed="rId49"/>
                    <a:stretch>
                      <a:fillRect/>
                    </a:stretch>
                  </pic:blipFill>
                  <pic:spPr>
                    <a:xfrm>
                      <a:off x="0" y="0"/>
                      <a:ext cx="2590800" cy="1809750"/>
                    </a:xfrm>
                    <a:prstGeom prst="rect">
                      <a:avLst/>
                    </a:prstGeom>
                    <a:noFill/>
                    <a:ln>
                      <a:noFill/>
                    </a:ln>
                  </pic:spPr>
                </pic:pic>
              </a:graphicData>
            </a:graphic>
          </wp:inline>
        </w:drawing>
      </w:r>
    </w:p>
    <w:p w14:paraId="61ACA91B">
      <w:pPr>
        <w:spacing w:line="240" w:lineRule="auto"/>
        <w:ind w:firstLine="0" w:firstLineChars="0"/>
        <w:jc w:val="center"/>
        <w:rPr>
          <w:rFonts w:cs="Times New Roman"/>
          <w:b/>
          <w:bCs/>
          <w:szCs w:val="24"/>
        </w:rPr>
      </w:pPr>
      <w:r>
        <w:rPr>
          <w:rFonts w:hint="eastAsia" w:cs="Times New Roman"/>
          <w:b/>
          <w:bCs/>
          <w:kern w:val="0"/>
          <w:sz w:val="21"/>
          <w:szCs w:val="21"/>
          <w:lang w:bidi="ar"/>
        </w:rPr>
        <w:t>中国胡蜂</w:t>
      </w:r>
      <w:r>
        <w:rPr>
          <w:rFonts w:cs="Times New Roman"/>
          <w:b/>
          <w:bCs/>
          <w:kern w:val="0"/>
          <w:sz w:val="21"/>
          <w:szCs w:val="21"/>
          <w:lang w:bidi="ar"/>
        </w:rPr>
        <w:t xml:space="preserve">                                  </w:t>
      </w:r>
      <w:r>
        <w:rPr>
          <w:rFonts w:hint="eastAsia" w:cs="Times New Roman"/>
          <w:b/>
          <w:bCs/>
          <w:kern w:val="0"/>
          <w:sz w:val="21"/>
          <w:szCs w:val="21"/>
          <w:lang w:bidi="ar"/>
        </w:rPr>
        <w:t>大头赤蚁</w:t>
      </w:r>
    </w:p>
    <w:p w14:paraId="37E05D88">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2</w:t>
      </w:r>
      <w:r>
        <w:rPr>
          <w:rFonts w:hint="eastAsia" w:cs="Times New Roman"/>
          <w:b/>
          <w:bCs/>
          <w:szCs w:val="24"/>
          <w:lang w:bidi="ar"/>
        </w:rPr>
        <w:t>）生态学属性分析</w:t>
      </w:r>
    </w:p>
    <w:p w14:paraId="3570F363">
      <w:pPr>
        <w:spacing w:line="570" w:lineRule="atLeast"/>
        <w:ind w:firstLine="480"/>
        <w:rPr>
          <w:rFonts w:cs="Times New Roman"/>
          <w:szCs w:val="24"/>
        </w:rPr>
      </w:pPr>
      <w:r>
        <w:rPr>
          <w:rFonts w:hint="eastAsia" w:cs="Times New Roman"/>
          <w:szCs w:val="24"/>
          <w:u w:val="single"/>
          <w:lang w:bidi="ar"/>
        </w:rPr>
        <w:t>食用昆虫。</w:t>
      </w:r>
      <w:r>
        <w:rPr>
          <w:rFonts w:hint="eastAsia" w:cs="Times New Roman"/>
          <w:szCs w:val="24"/>
          <w:lang w:bidi="ar"/>
        </w:rPr>
        <w:t>茅山旅游度假区内可以作为食用动物资源的种类包括家蚕</w:t>
      </w:r>
      <w:r>
        <w:rPr>
          <w:rFonts w:cs="Times New Roman"/>
          <w:i/>
          <w:iCs/>
          <w:szCs w:val="24"/>
          <w:lang w:bidi="ar"/>
        </w:rPr>
        <w:t>Bombyx mori</w:t>
      </w:r>
      <w:r>
        <w:rPr>
          <w:rFonts w:hint="eastAsia" w:cs="Times New Roman"/>
          <w:szCs w:val="24"/>
          <w:lang w:bidi="ar"/>
        </w:rPr>
        <w:t>、柞蚕</w:t>
      </w:r>
      <w:r>
        <w:rPr>
          <w:rFonts w:cs="Times New Roman"/>
          <w:i/>
          <w:iCs/>
          <w:szCs w:val="24"/>
          <w:lang w:bidi="ar"/>
        </w:rPr>
        <w:t>Antheraea pernyi</w:t>
      </w:r>
      <w:r>
        <w:rPr>
          <w:rFonts w:hint="eastAsia" w:cs="Times New Roman"/>
          <w:szCs w:val="24"/>
          <w:lang w:bidi="ar"/>
        </w:rPr>
        <w:t>、中华稻蝗</w:t>
      </w:r>
      <w:r>
        <w:rPr>
          <w:rFonts w:cs="Times New Roman"/>
          <w:i/>
          <w:iCs/>
          <w:szCs w:val="24"/>
          <w:lang w:bidi="ar"/>
        </w:rPr>
        <w:t>Oxya chinensis</w:t>
      </w:r>
      <w:r>
        <w:rPr>
          <w:rFonts w:hint="eastAsia" w:cs="Times New Roman"/>
          <w:szCs w:val="24"/>
          <w:lang w:bidi="ar"/>
        </w:rPr>
        <w:t>、蟋蟀</w:t>
      </w:r>
      <w:r>
        <w:rPr>
          <w:rFonts w:cs="Times New Roman"/>
          <w:i/>
          <w:iCs/>
          <w:szCs w:val="24"/>
          <w:lang w:bidi="ar"/>
        </w:rPr>
        <w:t>Scapsipedus asperes</w:t>
      </w:r>
      <w:r>
        <w:rPr>
          <w:rFonts w:hint="eastAsia" w:cs="Times New Roman"/>
          <w:szCs w:val="24"/>
          <w:lang w:bidi="ar"/>
        </w:rPr>
        <w:t>、中华蜜蜂</w:t>
      </w:r>
      <w:r>
        <w:rPr>
          <w:rFonts w:cs="Times New Roman"/>
          <w:i/>
          <w:iCs/>
          <w:szCs w:val="24"/>
          <w:lang w:bidi="ar"/>
        </w:rPr>
        <w:t>Apis cerana</w:t>
      </w:r>
      <w:r>
        <w:rPr>
          <w:rFonts w:hint="eastAsia" w:cs="Times New Roman"/>
          <w:szCs w:val="24"/>
          <w:lang w:bidi="ar"/>
        </w:rPr>
        <w:t>等。</w:t>
      </w:r>
    </w:p>
    <w:p w14:paraId="4935F3A8">
      <w:pPr>
        <w:spacing w:line="570" w:lineRule="atLeast"/>
        <w:ind w:firstLine="480"/>
        <w:rPr>
          <w:rFonts w:cs="Times New Roman"/>
          <w:szCs w:val="24"/>
        </w:rPr>
      </w:pPr>
      <w:r>
        <w:rPr>
          <w:rFonts w:hint="eastAsia" w:cs="Times New Roman"/>
          <w:szCs w:val="24"/>
          <w:u w:val="single"/>
          <w:lang w:bidi="ar"/>
        </w:rPr>
        <w:t>传粉昆虫。</w:t>
      </w:r>
      <w:r>
        <w:rPr>
          <w:rFonts w:hint="eastAsia" w:cs="Times New Roman"/>
          <w:szCs w:val="24"/>
          <w:lang w:bidi="ar"/>
        </w:rPr>
        <w:t>度假区内传粉昆虫种类较多，主要属</w:t>
      </w:r>
      <w:r>
        <w:rPr>
          <w:rFonts w:cs="Times New Roman"/>
          <w:szCs w:val="24"/>
          <w:lang w:bidi="ar"/>
        </w:rPr>
        <w:t>4</w:t>
      </w:r>
      <w:r>
        <w:rPr>
          <w:rFonts w:hint="eastAsia" w:cs="Times New Roman"/>
          <w:szCs w:val="24"/>
          <w:lang w:bidi="ar"/>
        </w:rPr>
        <w:t>个目，即鞘翅目、双翅目、鳞翅目和半翅目。鞘翅目传粉昆虫主要包括金龟子科</w:t>
      </w:r>
      <w:r>
        <w:rPr>
          <w:rFonts w:cs="Times New Roman"/>
          <w:szCs w:val="24"/>
          <w:lang w:bidi="ar"/>
        </w:rPr>
        <w:t>Scarabaeidae</w:t>
      </w:r>
      <w:r>
        <w:rPr>
          <w:rFonts w:hint="eastAsia" w:cs="Times New Roman"/>
          <w:szCs w:val="24"/>
          <w:lang w:bidi="ar"/>
        </w:rPr>
        <w:t>、叶甲科</w:t>
      </w:r>
      <w:r>
        <w:rPr>
          <w:rFonts w:cs="Times New Roman"/>
          <w:szCs w:val="24"/>
          <w:lang w:bidi="ar"/>
        </w:rPr>
        <w:t>Chrysomelidae</w:t>
      </w:r>
      <w:r>
        <w:rPr>
          <w:rFonts w:hint="eastAsia" w:cs="Times New Roman"/>
          <w:szCs w:val="24"/>
          <w:lang w:bidi="ar"/>
        </w:rPr>
        <w:t>、芫菁科</w:t>
      </w:r>
      <w:r>
        <w:rPr>
          <w:rFonts w:cs="Times New Roman"/>
          <w:szCs w:val="24"/>
          <w:lang w:bidi="ar"/>
        </w:rPr>
        <w:t>Meloidae</w:t>
      </w:r>
      <w:r>
        <w:rPr>
          <w:rFonts w:hint="eastAsia" w:cs="Times New Roman"/>
          <w:szCs w:val="24"/>
          <w:lang w:bidi="ar"/>
        </w:rPr>
        <w:t>和天牛科</w:t>
      </w:r>
      <w:r>
        <w:rPr>
          <w:rFonts w:cs="Times New Roman"/>
          <w:szCs w:val="24"/>
          <w:lang w:bidi="ar"/>
        </w:rPr>
        <w:t>Cerambycidae</w:t>
      </w:r>
      <w:r>
        <w:rPr>
          <w:rFonts w:hint="eastAsia" w:cs="Times New Roman"/>
          <w:szCs w:val="24"/>
          <w:lang w:bidi="ar"/>
        </w:rPr>
        <w:t>的种类；双翅目中许多小型的昆虫如瘿蚊、摇蚊、蚋、蠓等也被认为是原始的传粉昆虫；鳞翅目中的蝶和蛾具虹吸式口器，善于吸食花蜜；半翅目能传授花粉的种类很多，如度假区内缘蝽科</w:t>
      </w:r>
      <w:r>
        <w:rPr>
          <w:rFonts w:cs="Times New Roman"/>
          <w:szCs w:val="24"/>
          <w:lang w:bidi="ar"/>
        </w:rPr>
        <w:t>Coreidae</w:t>
      </w:r>
      <w:r>
        <w:rPr>
          <w:rFonts w:hint="eastAsia" w:cs="Times New Roman"/>
          <w:szCs w:val="24"/>
          <w:lang w:bidi="ar"/>
        </w:rPr>
        <w:t>和蝽科</w:t>
      </w:r>
      <w:r>
        <w:rPr>
          <w:rFonts w:cs="Times New Roman"/>
          <w:szCs w:val="24"/>
          <w:lang w:bidi="ar"/>
        </w:rPr>
        <w:t>Pentatomidae</w:t>
      </w:r>
      <w:r>
        <w:rPr>
          <w:rFonts w:hint="eastAsia" w:cs="Times New Roman"/>
          <w:szCs w:val="24"/>
          <w:lang w:bidi="ar"/>
        </w:rPr>
        <w:t>等科的昆虫，它们从菊科、伞形科等植物获取</w:t>
      </w:r>
      <w:r>
        <w:rPr>
          <w:rFonts w:cs="Times New Roman"/>
          <w:szCs w:val="24"/>
          <w:lang w:bidi="ar"/>
        </w:rPr>
        <w:t xml:space="preserve"> </w:t>
      </w:r>
      <w:r>
        <w:rPr>
          <w:rFonts w:hint="eastAsia" w:cs="Times New Roman"/>
          <w:szCs w:val="24"/>
          <w:lang w:bidi="ar"/>
        </w:rPr>
        <w:t>蜜汁，同时也传播花粉。</w:t>
      </w:r>
    </w:p>
    <w:p w14:paraId="35D153F1">
      <w:pPr>
        <w:spacing w:line="570" w:lineRule="atLeast"/>
        <w:ind w:firstLine="480"/>
        <w:rPr>
          <w:rFonts w:cs="Times New Roman"/>
          <w:szCs w:val="24"/>
        </w:rPr>
      </w:pPr>
      <w:r>
        <w:rPr>
          <w:rFonts w:hint="eastAsia" w:cs="Times New Roman"/>
          <w:szCs w:val="24"/>
          <w:u w:val="single"/>
          <w:lang w:bidi="ar"/>
        </w:rPr>
        <w:t>寄生性昆虫。</w:t>
      </w:r>
      <w:r>
        <w:rPr>
          <w:rFonts w:hint="eastAsia" w:cs="Times New Roman"/>
          <w:szCs w:val="24"/>
          <w:lang w:bidi="ar"/>
        </w:rPr>
        <w:t>寄生性昆虫大部分出现在膜翅目和双翅目中，即寄生蜂类和寄生蝇类。度假区昆虫中，卵寄生蜂有天蛾卵平腹小蜂</w:t>
      </w:r>
      <w:r>
        <w:rPr>
          <w:rFonts w:cs="Times New Roman"/>
          <w:i/>
          <w:iCs/>
          <w:szCs w:val="24"/>
          <w:lang w:bidi="ar"/>
        </w:rPr>
        <w:t>Anastatus acherontiae</w:t>
      </w:r>
      <w:r>
        <w:rPr>
          <w:rFonts w:hint="eastAsia" w:cs="Times New Roman"/>
          <w:szCs w:val="24"/>
          <w:lang w:bidi="ar"/>
        </w:rPr>
        <w:t>、玉米螟赤眼蜂</w:t>
      </w:r>
      <w:r>
        <w:rPr>
          <w:rFonts w:cs="Times New Roman"/>
          <w:i/>
          <w:iCs/>
          <w:szCs w:val="24"/>
          <w:lang w:bidi="ar"/>
        </w:rPr>
        <w:t>Trichogramma ostriniae</w:t>
      </w:r>
      <w:r>
        <w:rPr>
          <w:rFonts w:hint="eastAsia" w:cs="Times New Roman"/>
          <w:szCs w:val="24"/>
          <w:lang w:bidi="ar"/>
        </w:rPr>
        <w:t>、稻螟赤眼蜂</w:t>
      </w:r>
      <w:r>
        <w:rPr>
          <w:rFonts w:cs="Times New Roman"/>
          <w:i/>
          <w:iCs/>
          <w:szCs w:val="24"/>
          <w:lang w:bidi="ar"/>
        </w:rPr>
        <w:t>Trichogramma japonicum</w:t>
      </w:r>
      <w:r>
        <w:rPr>
          <w:rFonts w:hint="eastAsia" w:cs="Times New Roman"/>
          <w:szCs w:val="24"/>
          <w:lang w:bidi="ar"/>
        </w:rPr>
        <w:t>等；寄蝇主要为寄蝇科种类，共发现</w:t>
      </w:r>
      <w:r>
        <w:rPr>
          <w:rFonts w:cs="Times New Roman"/>
          <w:szCs w:val="24"/>
          <w:lang w:bidi="ar"/>
        </w:rPr>
        <w:t>6</w:t>
      </w:r>
      <w:r>
        <w:rPr>
          <w:rFonts w:hint="eastAsia" w:cs="Times New Roman"/>
          <w:szCs w:val="24"/>
          <w:lang w:bidi="ar"/>
        </w:rPr>
        <w:t>种，常见种类为家蚕追寄蝇</w:t>
      </w:r>
      <w:r>
        <w:rPr>
          <w:rFonts w:cs="Times New Roman"/>
          <w:i/>
          <w:iCs/>
          <w:szCs w:val="24"/>
          <w:lang w:bidi="ar"/>
        </w:rPr>
        <w:t>Exorista sorbillans</w:t>
      </w:r>
      <w:r>
        <w:rPr>
          <w:rFonts w:hint="eastAsia" w:cs="Times New Roman"/>
          <w:szCs w:val="24"/>
          <w:lang w:bidi="ar"/>
        </w:rPr>
        <w:t>、稻苞虫赛寄蝇</w:t>
      </w:r>
      <w:r>
        <w:rPr>
          <w:rFonts w:cs="Times New Roman"/>
          <w:i/>
          <w:iCs/>
          <w:szCs w:val="24"/>
          <w:lang w:bidi="ar"/>
        </w:rPr>
        <w:t>Pseudoperichaeta insdiosa</w:t>
      </w:r>
      <w:r>
        <w:rPr>
          <w:rFonts w:hint="eastAsia" w:cs="Times New Roman"/>
          <w:szCs w:val="24"/>
          <w:lang w:bidi="ar"/>
        </w:rPr>
        <w:t>、玉米螟厉寄蝇</w:t>
      </w:r>
      <w:r>
        <w:rPr>
          <w:rFonts w:cs="Times New Roman"/>
          <w:i/>
          <w:iCs/>
          <w:szCs w:val="24"/>
          <w:lang w:bidi="ar"/>
        </w:rPr>
        <w:t>Lydella grsescens</w:t>
      </w:r>
      <w:r>
        <w:rPr>
          <w:rFonts w:hint="eastAsia" w:cs="Times New Roman"/>
          <w:szCs w:val="24"/>
          <w:lang w:bidi="ar"/>
        </w:rPr>
        <w:t>等。</w:t>
      </w:r>
    </w:p>
    <w:p w14:paraId="3A8E0B35">
      <w:pPr>
        <w:spacing w:line="570" w:lineRule="atLeast"/>
        <w:ind w:firstLine="480"/>
        <w:rPr>
          <w:rFonts w:cs="Times New Roman"/>
          <w:szCs w:val="24"/>
        </w:rPr>
      </w:pPr>
      <w:r>
        <w:rPr>
          <w:rFonts w:hint="eastAsia" w:cs="Times New Roman"/>
          <w:szCs w:val="24"/>
          <w:u w:val="single"/>
          <w:lang w:bidi="ar"/>
        </w:rPr>
        <w:t>捕食性昆虫。</w:t>
      </w:r>
      <w:r>
        <w:rPr>
          <w:rFonts w:hint="eastAsia" w:cs="Times New Roman"/>
          <w:szCs w:val="24"/>
          <w:lang w:bidi="ar"/>
        </w:rPr>
        <w:t>茅山旅游度假区内捕食性天敌昆虫种类很多。其中，螳螂目</w:t>
      </w:r>
      <w:r>
        <w:rPr>
          <w:rFonts w:cs="Times New Roman"/>
          <w:szCs w:val="24"/>
          <w:lang w:bidi="ar"/>
        </w:rPr>
        <w:t>6</w:t>
      </w:r>
      <w:r>
        <w:rPr>
          <w:rFonts w:hint="eastAsia" w:cs="Times New Roman"/>
          <w:szCs w:val="24"/>
          <w:lang w:bidi="ar"/>
        </w:rPr>
        <w:t>种，常见种类有薄翅螳螂</w:t>
      </w:r>
      <w:r>
        <w:rPr>
          <w:rFonts w:cs="Times New Roman"/>
          <w:i/>
          <w:iCs/>
          <w:szCs w:val="24"/>
          <w:lang w:bidi="ar"/>
        </w:rPr>
        <w:t>Mantis religiosa</w:t>
      </w:r>
      <w:r>
        <w:rPr>
          <w:rFonts w:hint="eastAsia" w:cs="Times New Roman"/>
          <w:szCs w:val="24"/>
          <w:lang w:bidi="ar"/>
        </w:rPr>
        <w:t>、小刀螳螂</w:t>
      </w:r>
      <w:r>
        <w:rPr>
          <w:rFonts w:cs="Times New Roman"/>
          <w:i/>
          <w:iCs/>
          <w:szCs w:val="24"/>
          <w:lang w:bidi="ar"/>
        </w:rPr>
        <w:t>Statilia maculata</w:t>
      </w:r>
      <w:r>
        <w:rPr>
          <w:rFonts w:hint="eastAsia" w:cs="Times New Roman"/>
          <w:szCs w:val="24"/>
          <w:lang w:bidi="ar"/>
        </w:rPr>
        <w:t>；鞘翅目中瓢虫科属于捕食性的约占瓢虫科的</w:t>
      </w:r>
      <w:r>
        <w:rPr>
          <w:rFonts w:cs="Times New Roman"/>
          <w:szCs w:val="24"/>
          <w:lang w:bidi="ar"/>
        </w:rPr>
        <w:t>4/5</w:t>
      </w:r>
      <w:r>
        <w:rPr>
          <w:rFonts w:hint="eastAsia" w:cs="Times New Roman"/>
          <w:szCs w:val="24"/>
          <w:lang w:bidi="ar"/>
        </w:rPr>
        <w:t>，以蚜虫、介壳虫、粉虱、叶螨及其他节肢动物为食，常见瓢虫种类包括大红瓢虫</w:t>
      </w:r>
      <w:r>
        <w:rPr>
          <w:rFonts w:cs="Times New Roman"/>
          <w:i/>
          <w:iCs/>
          <w:szCs w:val="24"/>
          <w:lang w:bidi="ar"/>
        </w:rPr>
        <w:t>Rodolia rufopilosa</w:t>
      </w:r>
      <w:r>
        <w:rPr>
          <w:rFonts w:hint="eastAsia" w:cs="Times New Roman"/>
          <w:szCs w:val="24"/>
          <w:lang w:bidi="ar"/>
        </w:rPr>
        <w:t>等；半翅目昆虫小部分种类捕食其它昆虫，有猎蝽科的黄足猎蝽</w:t>
      </w:r>
      <w:r>
        <w:rPr>
          <w:rFonts w:cs="Times New Roman"/>
          <w:i/>
          <w:iCs/>
          <w:szCs w:val="24"/>
          <w:lang w:bidi="ar"/>
        </w:rPr>
        <w:t>Sirthenea flavipes</w:t>
      </w:r>
      <w:r>
        <w:rPr>
          <w:rFonts w:hint="eastAsia" w:cs="Times New Roman"/>
          <w:szCs w:val="24"/>
          <w:lang w:bidi="ar"/>
        </w:rPr>
        <w:t>、日月猎蝽</w:t>
      </w:r>
      <w:r>
        <w:rPr>
          <w:rFonts w:cs="Times New Roman"/>
          <w:i/>
          <w:iCs/>
          <w:szCs w:val="24"/>
          <w:lang w:bidi="ar"/>
        </w:rPr>
        <w:t>Pirates arcuatus</w:t>
      </w:r>
      <w:r>
        <w:rPr>
          <w:rFonts w:hint="eastAsia" w:cs="Times New Roman"/>
          <w:szCs w:val="24"/>
          <w:lang w:bidi="ar"/>
        </w:rPr>
        <w:t>等；脉翅目昆虫的成虫和幼虫均为捕食性，其捕食对象除蚜虫、介壳虫、红蜘蛛外，其他如叶蝉、木虱、粉虱、蛾蝶幼虫、甲虫幼虫及各种虫卵均可捕食；蜻蜓目昆虫都是肉食性，捕食小型蛾类、浮尘子、蚊虫等，是一类很重要的益虫，常见种类如黄衣</w:t>
      </w:r>
      <w:r>
        <w:rPr>
          <w:rFonts w:cs="Times New Roman"/>
          <w:i/>
          <w:iCs/>
          <w:szCs w:val="24"/>
          <w:lang w:bidi="ar"/>
        </w:rPr>
        <w:t>Pantala flavescens</w:t>
      </w:r>
      <w:r>
        <w:rPr>
          <w:rFonts w:hint="eastAsia" w:cs="Times New Roman"/>
          <w:szCs w:val="24"/>
          <w:lang w:bidi="ar"/>
        </w:rPr>
        <w:t>。</w:t>
      </w:r>
    </w:p>
    <w:p w14:paraId="7650D51B">
      <w:pPr>
        <w:spacing w:line="570" w:lineRule="atLeast"/>
        <w:ind w:firstLine="0" w:firstLineChars="0"/>
        <w:outlineLvl w:val="3"/>
      </w:pPr>
      <w:r>
        <w:t>3.</w:t>
      </w:r>
      <w:r>
        <w:rPr>
          <w:rFonts w:hint="eastAsia"/>
        </w:rPr>
        <w:t>6.</w:t>
      </w:r>
      <w:r>
        <w:t>4.4</w:t>
      </w:r>
      <w:r>
        <w:rPr>
          <w:rFonts w:hint="eastAsia"/>
        </w:rPr>
        <w:t>鱼类资源现状调查与评价</w:t>
      </w:r>
    </w:p>
    <w:p w14:paraId="160C5962">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1</w:t>
      </w:r>
      <w:r>
        <w:rPr>
          <w:rFonts w:hint="eastAsia" w:cs="Times New Roman"/>
          <w:b/>
          <w:bCs/>
          <w:szCs w:val="24"/>
          <w:lang w:bidi="ar"/>
        </w:rPr>
        <w:t>）物种组成分析</w:t>
      </w:r>
    </w:p>
    <w:p w14:paraId="72CDBFB8">
      <w:pPr>
        <w:spacing w:line="570" w:lineRule="atLeast"/>
        <w:ind w:firstLine="480"/>
        <w:rPr>
          <w:rFonts w:cs="Times New Roman"/>
          <w:szCs w:val="24"/>
          <w:lang w:bidi="ar"/>
        </w:rPr>
      </w:pPr>
      <w:r>
        <w:rPr>
          <w:rFonts w:hint="eastAsia" w:cs="Times New Roman"/>
          <w:szCs w:val="24"/>
          <w:lang w:bidi="ar"/>
        </w:rPr>
        <w:t>在本次现场调查基础上，结合历史调查资料，统计得到茅山旅游度假区内共有鱼类</w:t>
      </w:r>
      <w:r>
        <w:rPr>
          <w:rFonts w:cs="Times New Roman"/>
          <w:szCs w:val="24"/>
          <w:lang w:bidi="ar"/>
        </w:rPr>
        <w:t>49</w:t>
      </w:r>
      <w:r>
        <w:rPr>
          <w:rFonts w:hint="eastAsia" w:cs="Times New Roman"/>
          <w:szCs w:val="24"/>
          <w:lang w:bidi="ar"/>
        </w:rPr>
        <w:t>种（本次调查实际观测到</w:t>
      </w:r>
      <w:r>
        <w:rPr>
          <w:rFonts w:cs="Times New Roman"/>
          <w:szCs w:val="24"/>
          <w:lang w:bidi="ar"/>
        </w:rPr>
        <w:t>11</w:t>
      </w:r>
      <w:r>
        <w:rPr>
          <w:rFonts w:hint="eastAsia" w:cs="Times New Roman"/>
          <w:szCs w:val="24"/>
          <w:lang w:bidi="ar"/>
        </w:rPr>
        <w:t>种，附录</w:t>
      </w:r>
      <w:r>
        <w:rPr>
          <w:rFonts w:cs="Times New Roman"/>
          <w:szCs w:val="24"/>
          <w:lang w:bidi="ar"/>
        </w:rPr>
        <w:t>3</w:t>
      </w:r>
      <w:r>
        <w:rPr>
          <w:rFonts w:hint="eastAsia" w:cs="Times New Roman"/>
          <w:szCs w:val="24"/>
          <w:lang w:bidi="ar"/>
        </w:rPr>
        <w:t>），隶属</w:t>
      </w:r>
      <w:r>
        <w:rPr>
          <w:rFonts w:cs="Times New Roman"/>
          <w:szCs w:val="24"/>
          <w:lang w:bidi="ar"/>
        </w:rPr>
        <w:t>7</w:t>
      </w:r>
      <w:r>
        <w:rPr>
          <w:rFonts w:hint="eastAsia" w:cs="Times New Roman"/>
          <w:szCs w:val="24"/>
          <w:lang w:bidi="ar"/>
        </w:rPr>
        <w:t>目</w:t>
      </w:r>
      <w:r>
        <w:rPr>
          <w:rFonts w:cs="Times New Roman"/>
          <w:szCs w:val="24"/>
          <w:lang w:bidi="ar"/>
        </w:rPr>
        <w:t>10</w:t>
      </w:r>
      <w:r>
        <w:rPr>
          <w:rFonts w:hint="eastAsia" w:cs="Times New Roman"/>
          <w:szCs w:val="24"/>
          <w:lang w:bidi="ar"/>
        </w:rPr>
        <w:t>科。其中，鲤形目是种类最多，有</w:t>
      </w:r>
      <w:r>
        <w:rPr>
          <w:rFonts w:cs="Times New Roman"/>
          <w:szCs w:val="24"/>
          <w:lang w:bidi="ar"/>
        </w:rPr>
        <w:t>2</w:t>
      </w:r>
      <w:r>
        <w:rPr>
          <w:rFonts w:hint="eastAsia" w:cs="Times New Roman"/>
          <w:szCs w:val="24"/>
          <w:lang w:bidi="ar"/>
        </w:rPr>
        <w:t>科</w:t>
      </w:r>
      <w:r>
        <w:rPr>
          <w:rFonts w:cs="Times New Roman"/>
          <w:szCs w:val="24"/>
          <w:lang w:bidi="ar"/>
        </w:rPr>
        <w:t>36</w:t>
      </w:r>
      <w:r>
        <w:rPr>
          <w:rFonts w:hint="eastAsia" w:cs="Times New Roman"/>
          <w:szCs w:val="24"/>
          <w:lang w:bidi="ar"/>
        </w:rPr>
        <w:t>种（鲤科</w:t>
      </w:r>
      <w:r>
        <w:rPr>
          <w:rFonts w:cs="Times New Roman"/>
          <w:szCs w:val="24"/>
          <w:lang w:bidi="ar"/>
        </w:rPr>
        <w:t>33</w:t>
      </w:r>
      <w:r>
        <w:rPr>
          <w:rFonts w:hint="eastAsia" w:cs="Times New Roman"/>
          <w:szCs w:val="24"/>
          <w:lang w:bidi="ar"/>
        </w:rPr>
        <w:t>种，鳅科</w:t>
      </w:r>
      <w:r>
        <w:rPr>
          <w:rFonts w:cs="Times New Roman"/>
          <w:szCs w:val="24"/>
          <w:lang w:bidi="ar"/>
        </w:rPr>
        <w:t>3</w:t>
      </w:r>
      <w:r>
        <w:rPr>
          <w:rFonts w:hint="eastAsia" w:cs="Times New Roman"/>
          <w:szCs w:val="24"/>
          <w:lang w:bidi="ar"/>
        </w:rPr>
        <w:t>种）；其次是鲈形目，有</w:t>
      </w:r>
      <w:r>
        <w:rPr>
          <w:rFonts w:cs="Times New Roman"/>
          <w:szCs w:val="24"/>
          <w:lang w:bidi="ar"/>
        </w:rPr>
        <w:t>4</w:t>
      </w:r>
      <w:r>
        <w:rPr>
          <w:rFonts w:hint="eastAsia" w:cs="Times New Roman"/>
          <w:szCs w:val="24"/>
          <w:lang w:bidi="ar"/>
        </w:rPr>
        <w:t>科</w:t>
      </w:r>
      <w:r>
        <w:rPr>
          <w:rFonts w:cs="Times New Roman"/>
          <w:szCs w:val="24"/>
          <w:lang w:bidi="ar"/>
        </w:rPr>
        <w:t>6</w:t>
      </w:r>
      <w:r>
        <w:rPr>
          <w:rFonts w:hint="eastAsia" w:cs="Times New Roman"/>
          <w:szCs w:val="24"/>
          <w:lang w:bidi="ar"/>
        </w:rPr>
        <w:t>种，分别是攀鲈科</w:t>
      </w:r>
      <w:r>
        <w:rPr>
          <w:rFonts w:cs="Times New Roman"/>
          <w:szCs w:val="24"/>
          <w:lang w:bidi="ar"/>
        </w:rPr>
        <w:t>1</w:t>
      </w:r>
      <w:r>
        <w:rPr>
          <w:rFonts w:hint="eastAsia" w:cs="Times New Roman"/>
          <w:szCs w:val="24"/>
          <w:lang w:bidi="ar"/>
        </w:rPr>
        <w:t>种、塘鳢科</w:t>
      </w:r>
      <w:r>
        <w:rPr>
          <w:rFonts w:cs="Times New Roman"/>
          <w:szCs w:val="24"/>
          <w:lang w:bidi="ar"/>
        </w:rPr>
        <w:t>2</w:t>
      </w:r>
      <w:r>
        <w:rPr>
          <w:rFonts w:hint="eastAsia" w:cs="Times New Roman"/>
          <w:szCs w:val="24"/>
          <w:lang w:bidi="ar"/>
        </w:rPr>
        <w:t>种、</w:t>
      </w:r>
      <w:r>
        <w:rPr>
          <w:rFonts w:hint="eastAsia" w:ascii="仿宋" w:hAnsi="仿宋" w:eastAsia="仿宋" w:cs="Times New Roman"/>
          <w:szCs w:val="24"/>
          <w:lang w:bidi="ar"/>
        </w:rPr>
        <w:t>鰕</w:t>
      </w:r>
      <w:r>
        <w:rPr>
          <w:rFonts w:hint="eastAsia" w:ascii="仿宋_GB2312" w:hAnsi="仿宋_GB2312" w:cs="仿宋_GB2312"/>
          <w:szCs w:val="24"/>
          <w:lang w:bidi="ar"/>
        </w:rPr>
        <w:t>虎鱼科</w:t>
      </w:r>
      <w:r>
        <w:rPr>
          <w:rFonts w:cs="Times New Roman"/>
          <w:szCs w:val="24"/>
          <w:lang w:bidi="ar"/>
        </w:rPr>
        <w:t>1</w:t>
      </w:r>
      <w:r>
        <w:rPr>
          <w:rFonts w:hint="eastAsia" w:cs="Times New Roman"/>
          <w:szCs w:val="24"/>
          <w:lang w:bidi="ar"/>
        </w:rPr>
        <w:t>种、鳢科</w:t>
      </w:r>
      <w:r>
        <w:rPr>
          <w:rFonts w:cs="Times New Roman"/>
          <w:szCs w:val="24"/>
          <w:lang w:bidi="ar"/>
        </w:rPr>
        <w:t>2</w:t>
      </w:r>
      <w:r>
        <w:rPr>
          <w:rFonts w:hint="eastAsia" w:cs="Times New Roman"/>
          <w:szCs w:val="24"/>
          <w:lang w:bidi="ar"/>
        </w:rPr>
        <w:t>种；鲇形目</w:t>
      </w:r>
      <w:r>
        <w:rPr>
          <w:rFonts w:cs="Times New Roman"/>
          <w:szCs w:val="24"/>
          <w:lang w:bidi="ar"/>
        </w:rPr>
        <w:t>1</w:t>
      </w:r>
      <w:r>
        <w:rPr>
          <w:rFonts w:hint="eastAsia" w:cs="Times New Roman"/>
          <w:szCs w:val="24"/>
          <w:lang w:bidi="ar"/>
        </w:rPr>
        <w:t>科</w:t>
      </w:r>
      <w:r>
        <w:rPr>
          <w:rFonts w:cs="Times New Roman"/>
          <w:szCs w:val="24"/>
          <w:lang w:bidi="ar"/>
        </w:rPr>
        <w:t>4</w:t>
      </w:r>
      <w:r>
        <w:rPr>
          <w:rFonts w:hint="eastAsia" w:cs="Times New Roman"/>
          <w:szCs w:val="24"/>
          <w:lang w:bidi="ar"/>
        </w:rPr>
        <w:t>种；鳗鲡目</w:t>
      </w:r>
      <w:r>
        <w:rPr>
          <w:rFonts w:cs="Times New Roman"/>
          <w:szCs w:val="24"/>
          <w:lang w:bidi="ar"/>
        </w:rPr>
        <w:t>1</w:t>
      </w:r>
      <w:r>
        <w:rPr>
          <w:rFonts w:hint="eastAsia" w:cs="Times New Roman"/>
          <w:szCs w:val="24"/>
          <w:lang w:bidi="ar"/>
        </w:rPr>
        <w:t>科</w:t>
      </w:r>
      <w:r>
        <w:rPr>
          <w:rFonts w:cs="Times New Roman"/>
          <w:szCs w:val="24"/>
          <w:lang w:bidi="ar"/>
        </w:rPr>
        <w:t>1</w:t>
      </w:r>
      <w:r>
        <w:rPr>
          <w:rFonts w:hint="eastAsia" w:cs="Times New Roman"/>
          <w:szCs w:val="24"/>
          <w:lang w:bidi="ar"/>
        </w:rPr>
        <w:t>种；鲻形目</w:t>
      </w:r>
      <w:r>
        <w:rPr>
          <w:rFonts w:cs="Times New Roman"/>
          <w:szCs w:val="24"/>
          <w:lang w:bidi="ar"/>
        </w:rPr>
        <w:t>1</w:t>
      </w:r>
      <w:r>
        <w:rPr>
          <w:rFonts w:hint="eastAsia" w:cs="Times New Roman"/>
          <w:szCs w:val="24"/>
          <w:lang w:bidi="ar"/>
        </w:rPr>
        <w:t>科</w:t>
      </w:r>
      <w:r>
        <w:rPr>
          <w:rFonts w:cs="Times New Roman"/>
          <w:szCs w:val="24"/>
          <w:lang w:bidi="ar"/>
        </w:rPr>
        <w:t>1</w:t>
      </w:r>
      <w:r>
        <w:rPr>
          <w:rFonts w:hint="eastAsia" w:cs="Times New Roman"/>
          <w:szCs w:val="24"/>
          <w:lang w:bidi="ar"/>
        </w:rPr>
        <w:t>种；合鳃目</w:t>
      </w:r>
      <w:r>
        <w:rPr>
          <w:rFonts w:cs="Times New Roman"/>
          <w:szCs w:val="24"/>
          <w:lang w:bidi="ar"/>
        </w:rPr>
        <w:t>1</w:t>
      </w:r>
      <w:r>
        <w:rPr>
          <w:rFonts w:hint="eastAsia" w:cs="Times New Roman"/>
          <w:szCs w:val="24"/>
          <w:lang w:bidi="ar"/>
        </w:rPr>
        <w:t>科</w:t>
      </w:r>
      <w:r>
        <w:rPr>
          <w:rFonts w:cs="Times New Roman"/>
          <w:szCs w:val="24"/>
          <w:lang w:bidi="ar"/>
        </w:rPr>
        <w:t>1</w:t>
      </w:r>
      <w:r>
        <w:rPr>
          <w:rFonts w:hint="eastAsia" w:cs="Times New Roman"/>
          <w:szCs w:val="24"/>
          <w:lang w:bidi="ar"/>
        </w:rPr>
        <w:t>种，具体见表</w:t>
      </w:r>
      <w:r>
        <w:rPr>
          <w:rFonts w:cs="Times New Roman"/>
          <w:szCs w:val="24"/>
          <w:lang w:bidi="ar"/>
        </w:rPr>
        <w:t>3.</w:t>
      </w:r>
      <w:r>
        <w:rPr>
          <w:rFonts w:hint="eastAsia" w:cs="Times New Roman"/>
          <w:szCs w:val="24"/>
          <w:lang w:bidi="ar"/>
        </w:rPr>
        <w:t>6</w:t>
      </w:r>
      <w:r>
        <w:rPr>
          <w:rFonts w:cs="Times New Roman"/>
          <w:szCs w:val="24"/>
          <w:lang w:bidi="ar"/>
        </w:rPr>
        <w:t>-</w:t>
      </w:r>
      <w:r>
        <w:rPr>
          <w:rFonts w:hint="eastAsia" w:cs="Times New Roman"/>
          <w:szCs w:val="24"/>
          <w:lang w:bidi="ar"/>
        </w:rPr>
        <w:t>15。从科、种分布情况看，鲤科鱼类为茅山旅游度假区优势资源。</w:t>
      </w:r>
    </w:p>
    <w:p w14:paraId="5A40DBBF">
      <w:pPr>
        <w:spacing w:line="570" w:lineRule="atLeast"/>
        <w:ind w:firstLine="480"/>
        <w:rPr>
          <w:rFonts w:cs="Times New Roman"/>
          <w:szCs w:val="24"/>
          <w:lang w:bidi="ar"/>
        </w:rPr>
      </w:pPr>
    </w:p>
    <w:p w14:paraId="053B096E">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15</w:t>
      </w:r>
      <w:r>
        <w:rPr>
          <w:rFonts w:cs="Times New Roman"/>
        </w:rPr>
        <w:t xml:space="preserve"> </w:t>
      </w:r>
      <w:r>
        <w:rPr>
          <w:rFonts w:hint="eastAsia" w:cs="Times New Roman"/>
        </w:rPr>
        <w:t>茅山旅游度假区鱼类资源组成</w:t>
      </w:r>
    </w:p>
    <w:tbl>
      <w:tblPr>
        <w:tblStyle w:val="25"/>
        <w:tblW w:w="500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27"/>
        <w:gridCol w:w="4026"/>
        <w:gridCol w:w="730"/>
        <w:gridCol w:w="730"/>
        <w:gridCol w:w="2113"/>
      </w:tblGrid>
      <w:tr w14:paraId="54B3F8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437" w:type="pct"/>
            <w:tcBorders>
              <w:top w:val="single" w:color="000000" w:sz="4" w:space="0"/>
              <w:left w:val="single" w:color="000000" w:sz="4" w:space="0"/>
              <w:bottom w:val="single" w:color="000000" w:sz="4" w:space="0"/>
              <w:right w:val="single" w:color="000000" w:sz="4" w:space="0"/>
            </w:tcBorders>
          </w:tcPr>
          <w:p w14:paraId="44E568AC">
            <w:pPr>
              <w:spacing w:line="240" w:lineRule="auto"/>
              <w:ind w:firstLine="0" w:firstLineChars="0"/>
              <w:jc w:val="center"/>
              <w:rPr>
                <w:rFonts w:cs="Times New Roman"/>
                <w:szCs w:val="21"/>
              </w:rPr>
            </w:pPr>
            <w:r>
              <w:rPr>
                <w:rFonts w:hint="eastAsia" w:cs="Times New Roman"/>
                <w:sz w:val="21"/>
                <w:szCs w:val="21"/>
                <w:lang w:bidi="ar"/>
              </w:rPr>
              <w:t>序号</w:t>
            </w:r>
          </w:p>
        </w:tc>
        <w:tc>
          <w:tcPr>
            <w:tcW w:w="2416" w:type="pct"/>
            <w:tcBorders>
              <w:top w:val="single" w:color="000000" w:sz="4" w:space="0"/>
              <w:left w:val="single" w:color="000000" w:sz="4" w:space="0"/>
              <w:bottom w:val="single" w:color="000000" w:sz="4" w:space="0"/>
              <w:right w:val="single" w:color="000000" w:sz="4" w:space="0"/>
            </w:tcBorders>
          </w:tcPr>
          <w:p w14:paraId="2FED72AA">
            <w:pPr>
              <w:spacing w:line="240" w:lineRule="auto"/>
              <w:ind w:firstLine="0" w:firstLineChars="0"/>
              <w:jc w:val="center"/>
              <w:rPr>
                <w:rFonts w:cs="Times New Roman"/>
                <w:szCs w:val="21"/>
              </w:rPr>
            </w:pPr>
            <w:r>
              <w:rPr>
                <w:rFonts w:hint="eastAsia" w:cs="Times New Roman"/>
                <w:sz w:val="21"/>
                <w:szCs w:val="21"/>
                <w:lang w:bidi="ar"/>
              </w:rPr>
              <w:t>目</w:t>
            </w:r>
          </w:p>
        </w:tc>
        <w:tc>
          <w:tcPr>
            <w:tcW w:w="438" w:type="pct"/>
            <w:tcBorders>
              <w:top w:val="single" w:color="000000" w:sz="4" w:space="0"/>
              <w:left w:val="single" w:color="000000" w:sz="4" w:space="0"/>
              <w:bottom w:val="single" w:color="000000" w:sz="4" w:space="0"/>
              <w:right w:val="single" w:color="000000" w:sz="4" w:space="0"/>
            </w:tcBorders>
          </w:tcPr>
          <w:p w14:paraId="4354B7FA">
            <w:pPr>
              <w:spacing w:line="240" w:lineRule="auto"/>
              <w:ind w:firstLine="0" w:firstLineChars="0"/>
              <w:jc w:val="center"/>
              <w:rPr>
                <w:rFonts w:cs="Times New Roman"/>
                <w:szCs w:val="21"/>
              </w:rPr>
            </w:pPr>
            <w:r>
              <w:rPr>
                <w:rFonts w:hint="eastAsia" w:cs="Times New Roman"/>
                <w:sz w:val="21"/>
                <w:szCs w:val="21"/>
                <w:lang w:bidi="ar"/>
              </w:rPr>
              <w:t>科数</w:t>
            </w:r>
          </w:p>
        </w:tc>
        <w:tc>
          <w:tcPr>
            <w:tcW w:w="438" w:type="pct"/>
            <w:tcBorders>
              <w:top w:val="single" w:color="000000" w:sz="4" w:space="0"/>
              <w:left w:val="single" w:color="000000" w:sz="4" w:space="0"/>
              <w:bottom w:val="single" w:color="000000" w:sz="4" w:space="0"/>
              <w:right w:val="single" w:color="000000" w:sz="4" w:space="0"/>
            </w:tcBorders>
          </w:tcPr>
          <w:p w14:paraId="2422D1F5">
            <w:pPr>
              <w:spacing w:line="240" w:lineRule="auto"/>
              <w:ind w:firstLine="0" w:firstLineChars="0"/>
              <w:jc w:val="center"/>
              <w:rPr>
                <w:rFonts w:cs="Times New Roman"/>
                <w:szCs w:val="21"/>
              </w:rPr>
            </w:pPr>
            <w:r>
              <w:rPr>
                <w:rFonts w:hint="eastAsia" w:cs="Times New Roman"/>
                <w:sz w:val="21"/>
                <w:szCs w:val="21"/>
                <w:lang w:bidi="ar"/>
              </w:rPr>
              <w:t>种数</w:t>
            </w:r>
          </w:p>
        </w:tc>
        <w:tc>
          <w:tcPr>
            <w:tcW w:w="1268" w:type="pct"/>
            <w:tcBorders>
              <w:top w:val="single" w:color="000000" w:sz="4" w:space="0"/>
              <w:left w:val="single" w:color="000000" w:sz="4" w:space="0"/>
              <w:bottom w:val="single" w:color="000000" w:sz="4" w:space="0"/>
              <w:right w:val="single" w:color="000000" w:sz="4" w:space="0"/>
            </w:tcBorders>
          </w:tcPr>
          <w:p w14:paraId="66DD5933">
            <w:pPr>
              <w:spacing w:line="240" w:lineRule="auto"/>
              <w:ind w:firstLine="0" w:firstLineChars="0"/>
              <w:jc w:val="center"/>
              <w:rPr>
                <w:rFonts w:cs="Times New Roman"/>
                <w:szCs w:val="21"/>
              </w:rPr>
            </w:pPr>
            <w:r>
              <w:rPr>
                <w:rFonts w:hint="eastAsia" w:cs="Times New Roman"/>
                <w:sz w:val="21"/>
                <w:szCs w:val="21"/>
                <w:lang w:bidi="ar"/>
              </w:rPr>
              <w:t>百分比（</w:t>
            </w:r>
            <w:r>
              <w:rPr>
                <w:rFonts w:cs="Times New Roman"/>
                <w:sz w:val="21"/>
                <w:szCs w:val="21"/>
                <w:lang w:bidi="ar"/>
              </w:rPr>
              <w:t>%</w:t>
            </w:r>
            <w:r>
              <w:rPr>
                <w:rFonts w:hint="eastAsia" w:cs="Times New Roman"/>
                <w:sz w:val="21"/>
                <w:szCs w:val="21"/>
                <w:lang w:bidi="ar"/>
              </w:rPr>
              <w:t>）</w:t>
            </w:r>
          </w:p>
        </w:tc>
      </w:tr>
      <w:tr w14:paraId="238F8C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437" w:type="pct"/>
            <w:tcBorders>
              <w:top w:val="single" w:color="000000" w:sz="4" w:space="0"/>
              <w:left w:val="single" w:color="000000" w:sz="4" w:space="0"/>
              <w:bottom w:val="single" w:color="000000" w:sz="4" w:space="0"/>
              <w:right w:val="single" w:color="000000" w:sz="4" w:space="0"/>
            </w:tcBorders>
          </w:tcPr>
          <w:p w14:paraId="174C8EF0">
            <w:pPr>
              <w:pStyle w:val="113"/>
              <w:widowControl/>
              <w:numPr>
                <w:ilvl w:val="0"/>
                <w:numId w:val="18"/>
              </w:numPr>
              <w:spacing w:line="240" w:lineRule="auto"/>
              <w:ind w:left="0" w:firstLine="0" w:firstLineChars="0"/>
              <w:jc w:val="center"/>
              <w:rPr>
                <w:rFonts w:hint="default" w:ascii="Times New Roman" w:hAnsi="Times New Roman" w:eastAsia="仿宋_GB2312"/>
                <w:szCs w:val="21"/>
              </w:rPr>
            </w:pPr>
          </w:p>
        </w:tc>
        <w:tc>
          <w:tcPr>
            <w:tcW w:w="2416" w:type="pct"/>
            <w:tcBorders>
              <w:top w:val="single" w:color="000000" w:sz="4" w:space="0"/>
              <w:left w:val="single" w:color="000000" w:sz="4" w:space="0"/>
              <w:bottom w:val="single" w:color="000000" w:sz="4" w:space="0"/>
              <w:right w:val="single" w:color="000000" w:sz="4" w:space="0"/>
            </w:tcBorders>
          </w:tcPr>
          <w:p w14:paraId="6F143DAA">
            <w:pPr>
              <w:spacing w:line="240" w:lineRule="auto"/>
              <w:ind w:firstLine="0" w:firstLineChars="0"/>
              <w:jc w:val="center"/>
              <w:rPr>
                <w:rFonts w:cs="Times New Roman"/>
                <w:szCs w:val="21"/>
              </w:rPr>
            </w:pPr>
            <w:r>
              <w:rPr>
                <w:rFonts w:hint="eastAsia" w:cs="Times New Roman"/>
                <w:sz w:val="21"/>
                <w:szCs w:val="21"/>
                <w:lang w:bidi="ar"/>
              </w:rPr>
              <w:t>鲤形目</w:t>
            </w:r>
            <w:r>
              <w:rPr>
                <w:rFonts w:cs="Times New Roman"/>
                <w:sz w:val="21"/>
                <w:szCs w:val="21"/>
                <w:lang w:bidi="ar"/>
              </w:rPr>
              <w:t xml:space="preserve"> Cypriniformes</w:t>
            </w:r>
          </w:p>
        </w:tc>
        <w:tc>
          <w:tcPr>
            <w:tcW w:w="438" w:type="pct"/>
            <w:tcBorders>
              <w:top w:val="single" w:color="000000" w:sz="4" w:space="0"/>
              <w:left w:val="single" w:color="000000" w:sz="4" w:space="0"/>
              <w:bottom w:val="single" w:color="000000" w:sz="4" w:space="0"/>
              <w:right w:val="single" w:color="000000" w:sz="4" w:space="0"/>
            </w:tcBorders>
          </w:tcPr>
          <w:p w14:paraId="768E909A">
            <w:pPr>
              <w:spacing w:line="240" w:lineRule="auto"/>
              <w:ind w:firstLine="0" w:firstLineChars="0"/>
              <w:jc w:val="center"/>
              <w:rPr>
                <w:rFonts w:cs="Times New Roman"/>
                <w:szCs w:val="21"/>
              </w:rPr>
            </w:pPr>
            <w:r>
              <w:rPr>
                <w:rFonts w:cs="Times New Roman"/>
                <w:sz w:val="21"/>
                <w:szCs w:val="21"/>
                <w:lang w:bidi="ar"/>
              </w:rPr>
              <w:t>2</w:t>
            </w:r>
          </w:p>
        </w:tc>
        <w:tc>
          <w:tcPr>
            <w:tcW w:w="438" w:type="pct"/>
            <w:tcBorders>
              <w:top w:val="single" w:color="000000" w:sz="4" w:space="0"/>
              <w:left w:val="single" w:color="000000" w:sz="4" w:space="0"/>
              <w:bottom w:val="single" w:color="000000" w:sz="4" w:space="0"/>
              <w:right w:val="single" w:color="000000" w:sz="4" w:space="0"/>
            </w:tcBorders>
          </w:tcPr>
          <w:p w14:paraId="564E48DF">
            <w:pPr>
              <w:spacing w:line="240" w:lineRule="auto"/>
              <w:ind w:firstLine="0" w:firstLineChars="0"/>
              <w:jc w:val="center"/>
              <w:rPr>
                <w:rFonts w:cs="Times New Roman"/>
                <w:szCs w:val="21"/>
              </w:rPr>
            </w:pPr>
            <w:r>
              <w:rPr>
                <w:rFonts w:cs="Times New Roman"/>
                <w:sz w:val="21"/>
                <w:szCs w:val="21"/>
                <w:lang w:bidi="ar"/>
              </w:rPr>
              <w:t>36</w:t>
            </w:r>
          </w:p>
        </w:tc>
        <w:tc>
          <w:tcPr>
            <w:tcW w:w="1268" w:type="pct"/>
            <w:tcBorders>
              <w:top w:val="single" w:color="000000" w:sz="4" w:space="0"/>
              <w:left w:val="single" w:color="000000" w:sz="4" w:space="0"/>
              <w:bottom w:val="single" w:color="000000" w:sz="4" w:space="0"/>
              <w:right w:val="single" w:color="000000" w:sz="4" w:space="0"/>
            </w:tcBorders>
          </w:tcPr>
          <w:p w14:paraId="144E86A1">
            <w:pPr>
              <w:spacing w:line="240" w:lineRule="auto"/>
              <w:ind w:firstLine="0" w:firstLineChars="0"/>
              <w:jc w:val="center"/>
              <w:rPr>
                <w:rFonts w:cs="Times New Roman"/>
                <w:szCs w:val="21"/>
              </w:rPr>
            </w:pPr>
            <w:r>
              <w:rPr>
                <w:rFonts w:cs="Times New Roman"/>
                <w:sz w:val="21"/>
                <w:szCs w:val="21"/>
                <w:lang w:bidi="ar"/>
              </w:rPr>
              <w:t>73.47</w:t>
            </w:r>
          </w:p>
        </w:tc>
      </w:tr>
      <w:tr w14:paraId="6C06BE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437" w:type="pct"/>
            <w:tcBorders>
              <w:top w:val="single" w:color="000000" w:sz="4" w:space="0"/>
              <w:left w:val="single" w:color="000000" w:sz="4" w:space="0"/>
              <w:bottom w:val="single" w:color="000000" w:sz="4" w:space="0"/>
              <w:right w:val="single" w:color="000000" w:sz="4" w:space="0"/>
            </w:tcBorders>
          </w:tcPr>
          <w:p w14:paraId="5509406D">
            <w:pPr>
              <w:pStyle w:val="113"/>
              <w:widowControl/>
              <w:numPr>
                <w:ilvl w:val="0"/>
                <w:numId w:val="18"/>
              </w:numPr>
              <w:spacing w:line="240" w:lineRule="auto"/>
              <w:ind w:left="0" w:firstLine="0" w:firstLineChars="0"/>
              <w:jc w:val="center"/>
              <w:rPr>
                <w:rFonts w:hint="default" w:ascii="Times New Roman" w:hAnsi="Times New Roman" w:eastAsia="仿宋_GB2312"/>
                <w:szCs w:val="21"/>
              </w:rPr>
            </w:pPr>
          </w:p>
        </w:tc>
        <w:tc>
          <w:tcPr>
            <w:tcW w:w="2416" w:type="pct"/>
            <w:tcBorders>
              <w:top w:val="single" w:color="000000" w:sz="4" w:space="0"/>
              <w:left w:val="single" w:color="000000" w:sz="4" w:space="0"/>
              <w:bottom w:val="single" w:color="000000" w:sz="4" w:space="0"/>
              <w:right w:val="single" w:color="000000" w:sz="4" w:space="0"/>
            </w:tcBorders>
          </w:tcPr>
          <w:p w14:paraId="5EF9719C">
            <w:pPr>
              <w:spacing w:line="240" w:lineRule="auto"/>
              <w:ind w:firstLine="0" w:firstLineChars="0"/>
              <w:jc w:val="center"/>
              <w:rPr>
                <w:rFonts w:cs="Times New Roman"/>
                <w:szCs w:val="21"/>
              </w:rPr>
            </w:pPr>
            <w:r>
              <w:rPr>
                <w:rFonts w:hint="eastAsia" w:cs="Times New Roman"/>
                <w:sz w:val="21"/>
                <w:szCs w:val="21"/>
                <w:lang w:bidi="ar"/>
              </w:rPr>
              <w:t>鲈形目</w:t>
            </w:r>
            <w:r>
              <w:rPr>
                <w:rFonts w:cs="Times New Roman"/>
                <w:sz w:val="21"/>
                <w:szCs w:val="21"/>
                <w:lang w:bidi="ar"/>
              </w:rPr>
              <w:t xml:space="preserve"> Perciformes</w:t>
            </w:r>
          </w:p>
        </w:tc>
        <w:tc>
          <w:tcPr>
            <w:tcW w:w="438" w:type="pct"/>
            <w:tcBorders>
              <w:top w:val="single" w:color="000000" w:sz="4" w:space="0"/>
              <w:left w:val="single" w:color="000000" w:sz="4" w:space="0"/>
              <w:bottom w:val="single" w:color="000000" w:sz="4" w:space="0"/>
              <w:right w:val="single" w:color="000000" w:sz="4" w:space="0"/>
            </w:tcBorders>
          </w:tcPr>
          <w:p w14:paraId="2288499C">
            <w:pPr>
              <w:spacing w:line="240" w:lineRule="auto"/>
              <w:ind w:firstLine="0" w:firstLineChars="0"/>
              <w:jc w:val="center"/>
              <w:rPr>
                <w:rFonts w:cs="Times New Roman"/>
                <w:szCs w:val="21"/>
              </w:rPr>
            </w:pPr>
            <w:r>
              <w:rPr>
                <w:rFonts w:cs="Times New Roman"/>
                <w:sz w:val="21"/>
                <w:szCs w:val="21"/>
                <w:lang w:bidi="ar"/>
              </w:rPr>
              <w:t>4</w:t>
            </w:r>
          </w:p>
        </w:tc>
        <w:tc>
          <w:tcPr>
            <w:tcW w:w="438" w:type="pct"/>
            <w:tcBorders>
              <w:top w:val="single" w:color="000000" w:sz="4" w:space="0"/>
              <w:left w:val="single" w:color="000000" w:sz="4" w:space="0"/>
              <w:bottom w:val="single" w:color="000000" w:sz="4" w:space="0"/>
              <w:right w:val="single" w:color="000000" w:sz="4" w:space="0"/>
            </w:tcBorders>
          </w:tcPr>
          <w:p w14:paraId="617CBAA4">
            <w:pPr>
              <w:spacing w:line="240" w:lineRule="auto"/>
              <w:ind w:firstLine="0" w:firstLineChars="0"/>
              <w:jc w:val="center"/>
              <w:rPr>
                <w:rFonts w:cs="Times New Roman"/>
                <w:szCs w:val="21"/>
              </w:rPr>
            </w:pPr>
            <w:r>
              <w:rPr>
                <w:rFonts w:cs="Times New Roman"/>
                <w:sz w:val="21"/>
                <w:szCs w:val="21"/>
                <w:lang w:bidi="ar"/>
              </w:rPr>
              <w:t>6</w:t>
            </w:r>
          </w:p>
        </w:tc>
        <w:tc>
          <w:tcPr>
            <w:tcW w:w="1268" w:type="pct"/>
            <w:tcBorders>
              <w:top w:val="single" w:color="000000" w:sz="4" w:space="0"/>
              <w:left w:val="single" w:color="000000" w:sz="4" w:space="0"/>
              <w:bottom w:val="single" w:color="000000" w:sz="4" w:space="0"/>
              <w:right w:val="single" w:color="000000" w:sz="4" w:space="0"/>
            </w:tcBorders>
          </w:tcPr>
          <w:p w14:paraId="0910FEAC">
            <w:pPr>
              <w:spacing w:line="240" w:lineRule="auto"/>
              <w:ind w:firstLine="0" w:firstLineChars="0"/>
              <w:jc w:val="center"/>
              <w:rPr>
                <w:rFonts w:cs="Times New Roman"/>
                <w:szCs w:val="21"/>
              </w:rPr>
            </w:pPr>
            <w:r>
              <w:rPr>
                <w:rFonts w:cs="Times New Roman"/>
                <w:sz w:val="21"/>
                <w:szCs w:val="21"/>
                <w:lang w:bidi="ar"/>
              </w:rPr>
              <w:t>12.25</w:t>
            </w:r>
          </w:p>
        </w:tc>
      </w:tr>
      <w:tr w14:paraId="47AB3C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437" w:type="pct"/>
            <w:tcBorders>
              <w:top w:val="single" w:color="000000" w:sz="4" w:space="0"/>
              <w:left w:val="single" w:color="000000" w:sz="4" w:space="0"/>
              <w:bottom w:val="single" w:color="000000" w:sz="4" w:space="0"/>
              <w:right w:val="single" w:color="000000" w:sz="4" w:space="0"/>
            </w:tcBorders>
          </w:tcPr>
          <w:p w14:paraId="59D3F3FA">
            <w:pPr>
              <w:pStyle w:val="113"/>
              <w:widowControl/>
              <w:numPr>
                <w:ilvl w:val="0"/>
                <w:numId w:val="18"/>
              </w:numPr>
              <w:spacing w:line="240" w:lineRule="auto"/>
              <w:ind w:left="0" w:firstLine="0" w:firstLineChars="0"/>
              <w:jc w:val="center"/>
              <w:rPr>
                <w:rFonts w:hint="default" w:ascii="Times New Roman" w:hAnsi="Times New Roman" w:eastAsia="仿宋_GB2312"/>
                <w:szCs w:val="21"/>
              </w:rPr>
            </w:pPr>
          </w:p>
        </w:tc>
        <w:tc>
          <w:tcPr>
            <w:tcW w:w="2416" w:type="pct"/>
            <w:tcBorders>
              <w:top w:val="single" w:color="000000" w:sz="4" w:space="0"/>
              <w:left w:val="single" w:color="000000" w:sz="4" w:space="0"/>
              <w:bottom w:val="single" w:color="000000" w:sz="4" w:space="0"/>
              <w:right w:val="single" w:color="000000" w:sz="4" w:space="0"/>
            </w:tcBorders>
          </w:tcPr>
          <w:p w14:paraId="3343AEBD">
            <w:pPr>
              <w:spacing w:line="240" w:lineRule="auto"/>
              <w:ind w:firstLine="0" w:firstLineChars="0"/>
              <w:jc w:val="center"/>
              <w:rPr>
                <w:rFonts w:cs="Times New Roman"/>
                <w:szCs w:val="21"/>
              </w:rPr>
            </w:pPr>
            <w:r>
              <w:rPr>
                <w:rFonts w:hint="eastAsia" w:cs="Times New Roman"/>
                <w:sz w:val="21"/>
                <w:szCs w:val="21"/>
                <w:lang w:bidi="ar"/>
              </w:rPr>
              <w:t>鲇形目</w:t>
            </w:r>
            <w:r>
              <w:rPr>
                <w:rFonts w:cs="Times New Roman"/>
                <w:sz w:val="21"/>
                <w:szCs w:val="21"/>
                <w:lang w:bidi="ar"/>
              </w:rPr>
              <w:t xml:space="preserve"> Siluriformes</w:t>
            </w:r>
          </w:p>
        </w:tc>
        <w:tc>
          <w:tcPr>
            <w:tcW w:w="438" w:type="pct"/>
            <w:tcBorders>
              <w:top w:val="single" w:color="000000" w:sz="4" w:space="0"/>
              <w:left w:val="single" w:color="000000" w:sz="4" w:space="0"/>
              <w:bottom w:val="single" w:color="000000" w:sz="4" w:space="0"/>
              <w:right w:val="single" w:color="000000" w:sz="4" w:space="0"/>
            </w:tcBorders>
          </w:tcPr>
          <w:p w14:paraId="4693583C">
            <w:pPr>
              <w:spacing w:line="240" w:lineRule="auto"/>
              <w:ind w:firstLine="0" w:firstLineChars="0"/>
              <w:jc w:val="center"/>
              <w:rPr>
                <w:rFonts w:cs="Times New Roman"/>
                <w:szCs w:val="21"/>
              </w:rPr>
            </w:pPr>
            <w:r>
              <w:rPr>
                <w:rFonts w:cs="Times New Roman"/>
                <w:sz w:val="21"/>
                <w:szCs w:val="21"/>
                <w:lang w:bidi="ar"/>
              </w:rPr>
              <w:t>1</w:t>
            </w:r>
          </w:p>
        </w:tc>
        <w:tc>
          <w:tcPr>
            <w:tcW w:w="438" w:type="pct"/>
            <w:tcBorders>
              <w:top w:val="single" w:color="000000" w:sz="4" w:space="0"/>
              <w:left w:val="single" w:color="000000" w:sz="4" w:space="0"/>
              <w:bottom w:val="single" w:color="000000" w:sz="4" w:space="0"/>
              <w:right w:val="single" w:color="000000" w:sz="4" w:space="0"/>
            </w:tcBorders>
          </w:tcPr>
          <w:p w14:paraId="1DACCBE4">
            <w:pPr>
              <w:spacing w:line="240" w:lineRule="auto"/>
              <w:ind w:firstLine="0" w:firstLineChars="0"/>
              <w:jc w:val="center"/>
              <w:rPr>
                <w:rFonts w:cs="Times New Roman"/>
                <w:szCs w:val="21"/>
              </w:rPr>
            </w:pPr>
            <w:r>
              <w:rPr>
                <w:rFonts w:cs="Times New Roman"/>
                <w:sz w:val="21"/>
                <w:szCs w:val="21"/>
                <w:lang w:bidi="ar"/>
              </w:rPr>
              <w:t>4</w:t>
            </w:r>
          </w:p>
        </w:tc>
        <w:tc>
          <w:tcPr>
            <w:tcW w:w="1268" w:type="pct"/>
            <w:tcBorders>
              <w:top w:val="single" w:color="000000" w:sz="4" w:space="0"/>
              <w:left w:val="single" w:color="000000" w:sz="4" w:space="0"/>
              <w:bottom w:val="single" w:color="000000" w:sz="4" w:space="0"/>
              <w:right w:val="single" w:color="000000" w:sz="4" w:space="0"/>
            </w:tcBorders>
          </w:tcPr>
          <w:p w14:paraId="0916B85B">
            <w:pPr>
              <w:spacing w:line="240" w:lineRule="auto"/>
              <w:ind w:firstLine="0" w:firstLineChars="0"/>
              <w:jc w:val="center"/>
              <w:rPr>
                <w:rFonts w:cs="Times New Roman"/>
                <w:szCs w:val="21"/>
              </w:rPr>
            </w:pPr>
            <w:r>
              <w:rPr>
                <w:rFonts w:cs="Times New Roman"/>
                <w:sz w:val="21"/>
                <w:szCs w:val="21"/>
                <w:lang w:bidi="ar"/>
              </w:rPr>
              <w:t>8.16</w:t>
            </w:r>
          </w:p>
        </w:tc>
      </w:tr>
      <w:tr w14:paraId="117100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437" w:type="pct"/>
            <w:tcBorders>
              <w:top w:val="single" w:color="000000" w:sz="4" w:space="0"/>
              <w:left w:val="single" w:color="000000" w:sz="4" w:space="0"/>
              <w:bottom w:val="single" w:color="000000" w:sz="4" w:space="0"/>
              <w:right w:val="single" w:color="000000" w:sz="4" w:space="0"/>
            </w:tcBorders>
          </w:tcPr>
          <w:p w14:paraId="0F35F7A6">
            <w:pPr>
              <w:pStyle w:val="113"/>
              <w:widowControl/>
              <w:numPr>
                <w:ilvl w:val="0"/>
                <w:numId w:val="18"/>
              </w:numPr>
              <w:spacing w:line="240" w:lineRule="auto"/>
              <w:ind w:left="0" w:firstLine="0" w:firstLineChars="0"/>
              <w:jc w:val="center"/>
              <w:rPr>
                <w:rFonts w:hint="default" w:ascii="Times New Roman" w:hAnsi="Times New Roman" w:eastAsia="仿宋_GB2312"/>
                <w:szCs w:val="21"/>
              </w:rPr>
            </w:pPr>
          </w:p>
        </w:tc>
        <w:tc>
          <w:tcPr>
            <w:tcW w:w="2416" w:type="pct"/>
            <w:tcBorders>
              <w:top w:val="single" w:color="000000" w:sz="4" w:space="0"/>
              <w:left w:val="single" w:color="000000" w:sz="4" w:space="0"/>
              <w:bottom w:val="single" w:color="000000" w:sz="4" w:space="0"/>
              <w:right w:val="single" w:color="000000" w:sz="4" w:space="0"/>
            </w:tcBorders>
          </w:tcPr>
          <w:p w14:paraId="246A5753">
            <w:pPr>
              <w:spacing w:line="240" w:lineRule="auto"/>
              <w:ind w:firstLine="0" w:firstLineChars="0"/>
              <w:jc w:val="center"/>
              <w:rPr>
                <w:rFonts w:cs="Times New Roman"/>
                <w:szCs w:val="21"/>
              </w:rPr>
            </w:pPr>
            <w:r>
              <w:rPr>
                <w:rFonts w:hint="eastAsia" w:cs="Times New Roman"/>
                <w:sz w:val="21"/>
                <w:szCs w:val="21"/>
                <w:lang w:bidi="ar"/>
              </w:rPr>
              <w:t>鳗鲡目</w:t>
            </w:r>
            <w:r>
              <w:rPr>
                <w:rFonts w:cs="Times New Roman"/>
                <w:sz w:val="21"/>
                <w:szCs w:val="21"/>
                <w:lang w:bidi="ar"/>
              </w:rPr>
              <w:t xml:space="preserve"> Anguilliformes</w:t>
            </w:r>
          </w:p>
        </w:tc>
        <w:tc>
          <w:tcPr>
            <w:tcW w:w="438" w:type="pct"/>
            <w:tcBorders>
              <w:top w:val="single" w:color="000000" w:sz="4" w:space="0"/>
              <w:left w:val="single" w:color="000000" w:sz="4" w:space="0"/>
              <w:bottom w:val="single" w:color="000000" w:sz="4" w:space="0"/>
              <w:right w:val="single" w:color="000000" w:sz="4" w:space="0"/>
            </w:tcBorders>
          </w:tcPr>
          <w:p w14:paraId="1EA4D196">
            <w:pPr>
              <w:spacing w:line="240" w:lineRule="auto"/>
              <w:ind w:firstLine="0" w:firstLineChars="0"/>
              <w:jc w:val="center"/>
              <w:rPr>
                <w:rFonts w:cs="Times New Roman"/>
                <w:szCs w:val="21"/>
              </w:rPr>
            </w:pPr>
            <w:r>
              <w:rPr>
                <w:rFonts w:cs="Times New Roman"/>
                <w:sz w:val="21"/>
                <w:szCs w:val="21"/>
                <w:lang w:bidi="ar"/>
              </w:rPr>
              <w:t>1</w:t>
            </w:r>
          </w:p>
        </w:tc>
        <w:tc>
          <w:tcPr>
            <w:tcW w:w="438" w:type="pct"/>
            <w:tcBorders>
              <w:top w:val="single" w:color="000000" w:sz="4" w:space="0"/>
              <w:left w:val="single" w:color="000000" w:sz="4" w:space="0"/>
              <w:bottom w:val="single" w:color="000000" w:sz="4" w:space="0"/>
              <w:right w:val="single" w:color="000000" w:sz="4" w:space="0"/>
            </w:tcBorders>
          </w:tcPr>
          <w:p w14:paraId="34093771">
            <w:pPr>
              <w:spacing w:line="240" w:lineRule="auto"/>
              <w:ind w:firstLine="0" w:firstLineChars="0"/>
              <w:jc w:val="center"/>
              <w:rPr>
                <w:rFonts w:cs="Times New Roman"/>
                <w:szCs w:val="21"/>
              </w:rPr>
            </w:pPr>
            <w:r>
              <w:rPr>
                <w:rFonts w:cs="Times New Roman"/>
                <w:sz w:val="21"/>
                <w:szCs w:val="21"/>
                <w:lang w:bidi="ar"/>
              </w:rPr>
              <w:t>1</w:t>
            </w:r>
          </w:p>
        </w:tc>
        <w:tc>
          <w:tcPr>
            <w:tcW w:w="1268" w:type="pct"/>
            <w:tcBorders>
              <w:top w:val="single" w:color="000000" w:sz="4" w:space="0"/>
              <w:left w:val="single" w:color="000000" w:sz="4" w:space="0"/>
              <w:bottom w:val="single" w:color="000000" w:sz="4" w:space="0"/>
              <w:right w:val="single" w:color="000000" w:sz="4" w:space="0"/>
            </w:tcBorders>
          </w:tcPr>
          <w:p w14:paraId="60A0BC9F">
            <w:pPr>
              <w:spacing w:line="240" w:lineRule="auto"/>
              <w:ind w:firstLine="0" w:firstLineChars="0"/>
              <w:jc w:val="center"/>
              <w:rPr>
                <w:rFonts w:cs="Times New Roman"/>
                <w:szCs w:val="21"/>
              </w:rPr>
            </w:pPr>
            <w:r>
              <w:rPr>
                <w:rFonts w:cs="Times New Roman"/>
                <w:sz w:val="21"/>
                <w:szCs w:val="21"/>
                <w:lang w:bidi="ar"/>
              </w:rPr>
              <w:t>2.04</w:t>
            </w:r>
          </w:p>
        </w:tc>
      </w:tr>
      <w:tr w14:paraId="68A5F5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437" w:type="pct"/>
            <w:tcBorders>
              <w:top w:val="single" w:color="000000" w:sz="4" w:space="0"/>
              <w:left w:val="single" w:color="000000" w:sz="4" w:space="0"/>
              <w:bottom w:val="single" w:color="000000" w:sz="4" w:space="0"/>
              <w:right w:val="single" w:color="000000" w:sz="4" w:space="0"/>
            </w:tcBorders>
          </w:tcPr>
          <w:p w14:paraId="371B8F7F">
            <w:pPr>
              <w:pStyle w:val="113"/>
              <w:widowControl/>
              <w:numPr>
                <w:ilvl w:val="0"/>
                <w:numId w:val="18"/>
              </w:numPr>
              <w:spacing w:line="240" w:lineRule="auto"/>
              <w:ind w:left="0" w:firstLine="0" w:firstLineChars="0"/>
              <w:jc w:val="center"/>
              <w:rPr>
                <w:rFonts w:hint="default" w:ascii="Times New Roman" w:hAnsi="Times New Roman" w:eastAsia="仿宋_GB2312"/>
                <w:szCs w:val="21"/>
              </w:rPr>
            </w:pPr>
          </w:p>
        </w:tc>
        <w:tc>
          <w:tcPr>
            <w:tcW w:w="2416" w:type="pct"/>
            <w:tcBorders>
              <w:top w:val="single" w:color="000000" w:sz="4" w:space="0"/>
              <w:left w:val="single" w:color="000000" w:sz="4" w:space="0"/>
              <w:bottom w:val="single" w:color="000000" w:sz="4" w:space="0"/>
              <w:right w:val="single" w:color="000000" w:sz="4" w:space="0"/>
            </w:tcBorders>
          </w:tcPr>
          <w:p w14:paraId="375CCB63">
            <w:pPr>
              <w:spacing w:line="240" w:lineRule="auto"/>
              <w:ind w:firstLine="0" w:firstLineChars="0"/>
              <w:jc w:val="center"/>
              <w:rPr>
                <w:rFonts w:cs="Times New Roman"/>
                <w:szCs w:val="21"/>
              </w:rPr>
            </w:pPr>
            <w:r>
              <w:rPr>
                <w:rFonts w:hint="eastAsia" w:cs="Times New Roman"/>
                <w:sz w:val="21"/>
                <w:szCs w:val="21"/>
                <w:lang w:bidi="ar"/>
              </w:rPr>
              <w:t>鲻形目</w:t>
            </w:r>
            <w:r>
              <w:rPr>
                <w:rFonts w:cs="Times New Roman"/>
                <w:sz w:val="21"/>
                <w:szCs w:val="21"/>
                <w:lang w:bidi="ar"/>
              </w:rPr>
              <w:t xml:space="preserve"> Mugiliformes</w:t>
            </w:r>
          </w:p>
        </w:tc>
        <w:tc>
          <w:tcPr>
            <w:tcW w:w="438" w:type="pct"/>
            <w:tcBorders>
              <w:top w:val="single" w:color="000000" w:sz="4" w:space="0"/>
              <w:left w:val="single" w:color="000000" w:sz="4" w:space="0"/>
              <w:bottom w:val="single" w:color="000000" w:sz="4" w:space="0"/>
              <w:right w:val="single" w:color="000000" w:sz="4" w:space="0"/>
            </w:tcBorders>
          </w:tcPr>
          <w:p w14:paraId="7DF35D0B">
            <w:pPr>
              <w:spacing w:line="240" w:lineRule="auto"/>
              <w:ind w:firstLine="0" w:firstLineChars="0"/>
              <w:jc w:val="center"/>
              <w:rPr>
                <w:rFonts w:cs="Times New Roman"/>
                <w:szCs w:val="21"/>
              </w:rPr>
            </w:pPr>
            <w:r>
              <w:rPr>
                <w:rFonts w:cs="Times New Roman"/>
                <w:sz w:val="21"/>
                <w:szCs w:val="21"/>
                <w:lang w:bidi="ar"/>
              </w:rPr>
              <w:t>1</w:t>
            </w:r>
          </w:p>
        </w:tc>
        <w:tc>
          <w:tcPr>
            <w:tcW w:w="438" w:type="pct"/>
            <w:tcBorders>
              <w:top w:val="single" w:color="000000" w:sz="4" w:space="0"/>
              <w:left w:val="single" w:color="000000" w:sz="4" w:space="0"/>
              <w:bottom w:val="single" w:color="000000" w:sz="4" w:space="0"/>
              <w:right w:val="single" w:color="000000" w:sz="4" w:space="0"/>
            </w:tcBorders>
          </w:tcPr>
          <w:p w14:paraId="7C456528">
            <w:pPr>
              <w:spacing w:line="240" w:lineRule="auto"/>
              <w:ind w:firstLine="0" w:firstLineChars="0"/>
              <w:jc w:val="center"/>
              <w:rPr>
                <w:rFonts w:cs="Times New Roman"/>
                <w:szCs w:val="21"/>
              </w:rPr>
            </w:pPr>
            <w:r>
              <w:rPr>
                <w:rFonts w:cs="Times New Roman"/>
                <w:sz w:val="21"/>
                <w:szCs w:val="21"/>
                <w:lang w:bidi="ar"/>
              </w:rPr>
              <w:t>1</w:t>
            </w:r>
          </w:p>
        </w:tc>
        <w:tc>
          <w:tcPr>
            <w:tcW w:w="1268" w:type="pct"/>
            <w:tcBorders>
              <w:top w:val="single" w:color="000000" w:sz="4" w:space="0"/>
              <w:left w:val="single" w:color="000000" w:sz="4" w:space="0"/>
              <w:bottom w:val="single" w:color="000000" w:sz="4" w:space="0"/>
              <w:right w:val="single" w:color="000000" w:sz="4" w:space="0"/>
            </w:tcBorders>
          </w:tcPr>
          <w:p w14:paraId="0D469A9B">
            <w:pPr>
              <w:spacing w:line="240" w:lineRule="auto"/>
              <w:ind w:firstLine="0" w:firstLineChars="0"/>
              <w:jc w:val="center"/>
              <w:rPr>
                <w:rFonts w:cs="Times New Roman"/>
                <w:szCs w:val="21"/>
              </w:rPr>
            </w:pPr>
            <w:r>
              <w:rPr>
                <w:rFonts w:cs="Times New Roman"/>
                <w:sz w:val="21"/>
                <w:szCs w:val="21"/>
                <w:lang w:bidi="ar"/>
              </w:rPr>
              <w:t>2.04</w:t>
            </w:r>
          </w:p>
        </w:tc>
      </w:tr>
      <w:tr w14:paraId="06C7DF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437" w:type="pct"/>
            <w:tcBorders>
              <w:top w:val="single" w:color="000000" w:sz="4" w:space="0"/>
              <w:left w:val="single" w:color="000000" w:sz="4" w:space="0"/>
              <w:bottom w:val="single" w:color="000000" w:sz="4" w:space="0"/>
              <w:right w:val="single" w:color="000000" w:sz="4" w:space="0"/>
            </w:tcBorders>
          </w:tcPr>
          <w:p w14:paraId="41C88E30">
            <w:pPr>
              <w:pStyle w:val="113"/>
              <w:widowControl/>
              <w:numPr>
                <w:ilvl w:val="0"/>
                <w:numId w:val="18"/>
              </w:numPr>
              <w:spacing w:line="240" w:lineRule="auto"/>
              <w:ind w:left="0" w:firstLine="0" w:firstLineChars="0"/>
              <w:jc w:val="center"/>
              <w:rPr>
                <w:rFonts w:hint="default" w:ascii="Times New Roman" w:hAnsi="Times New Roman" w:eastAsia="仿宋_GB2312"/>
                <w:szCs w:val="21"/>
              </w:rPr>
            </w:pPr>
          </w:p>
        </w:tc>
        <w:tc>
          <w:tcPr>
            <w:tcW w:w="2416" w:type="pct"/>
            <w:tcBorders>
              <w:top w:val="single" w:color="000000" w:sz="4" w:space="0"/>
              <w:left w:val="single" w:color="000000" w:sz="4" w:space="0"/>
              <w:bottom w:val="single" w:color="000000" w:sz="4" w:space="0"/>
              <w:right w:val="single" w:color="000000" w:sz="4" w:space="0"/>
            </w:tcBorders>
          </w:tcPr>
          <w:p w14:paraId="46039AFC">
            <w:pPr>
              <w:spacing w:line="240" w:lineRule="auto"/>
              <w:ind w:firstLine="0" w:firstLineChars="0"/>
              <w:jc w:val="center"/>
              <w:rPr>
                <w:rFonts w:cs="Times New Roman"/>
                <w:szCs w:val="21"/>
              </w:rPr>
            </w:pPr>
            <w:r>
              <w:rPr>
                <w:rFonts w:hint="eastAsia" w:cs="Times New Roman"/>
                <w:sz w:val="21"/>
                <w:szCs w:val="21"/>
                <w:lang w:bidi="ar"/>
              </w:rPr>
              <w:t>合鳃目</w:t>
            </w:r>
            <w:r>
              <w:rPr>
                <w:rFonts w:cs="Times New Roman"/>
                <w:sz w:val="21"/>
                <w:szCs w:val="21"/>
                <w:lang w:bidi="ar"/>
              </w:rPr>
              <w:t xml:space="preserve"> Symbranchiformes</w:t>
            </w:r>
          </w:p>
        </w:tc>
        <w:tc>
          <w:tcPr>
            <w:tcW w:w="438" w:type="pct"/>
            <w:tcBorders>
              <w:top w:val="single" w:color="000000" w:sz="4" w:space="0"/>
              <w:left w:val="single" w:color="000000" w:sz="4" w:space="0"/>
              <w:bottom w:val="single" w:color="000000" w:sz="4" w:space="0"/>
              <w:right w:val="single" w:color="000000" w:sz="4" w:space="0"/>
            </w:tcBorders>
          </w:tcPr>
          <w:p w14:paraId="135D7D55">
            <w:pPr>
              <w:spacing w:line="240" w:lineRule="auto"/>
              <w:ind w:firstLine="0" w:firstLineChars="0"/>
              <w:jc w:val="center"/>
              <w:rPr>
                <w:rFonts w:cs="Times New Roman"/>
                <w:szCs w:val="21"/>
              </w:rPr>
            </w:pPr>
            <w:r>
              <w:rPr>
                <w:rFonts w:cs="Times New Roman"/>
                <w:sz w:val="21"/>
                <w:szCs w:val="21"/>
                <w:lang w:bidi="ar"/>
              </w:rPr>
              <w:t>1</w:t>
            </w:r>
          </w:p>
        </w:tc>
        <w:tc>
          <w:tcPr>
            <w:tcW w:w="438" w:type="pct"/>
            <w:tcBorders>
              <w:top w:val="single" w:color="000000" w:sz="4" w:space="0"/>
              <w:left w:val="single" w:color="000000" w:sz="4" w:space="0"/>
              <w:bottom w:val="single" w:color="000000" w:sz="4" w:space="0"/>
              <w:right w:val="single" w:color="000000" w:sz="4" w:space="0"/>
            </w:tcBorders>
          </w:tcPr>
          <w:p w14:paraId="049DD9CF">
            <w:pPr>
              <w:spacing w:line="240" w:lineRule="auto"/>
              <w:ind w:firstLine="0" w:firstLineChars="0"/>
              <w:jc w:val="center"/>
              <w:rPr>
                <w:rFonts w:cs="Times New Roman"/>
                <w:szCs w:val="21"/>
              </w:rPr>
            </w:pPr>
            <w:r>
              <w:rPr>
                <w:rFonts w:cs="Times New Roman"/>
                <w:sz w:val="21"/>
                <w:szCs w:val="21"/>
                <w:lang w:bidi="ar"/>
              </w:rPr>
              <w:t>1</w:t>
            </w:r>
          </w:p>
        </w:tc>
        <w:tc>
          <w:tcPr>
            <w:tcW w:w="1268" w:type="pct"/>
            <w:tcBorders>
              <w:top w:val="single" w:color="000000" w:sz="4" w:space="0"/>
              <w:left w:val="single" w:color="000000" w:sz="4" w:space="0"/>
              <w:bottom w:val="single" w:color="000000" w:sz="4" w:space="0"/>
              <w:right w:val="single" w:color="000000" w:sz="4" w:space="0"/>
            </w:tcBorders>
          </w:tcPr>
          <w:p w14:paraId="36B988F5">
            <w:pPr>
              <w:spacing w:line="240" w:lineRule="auto"/>
              <w:ind w:firstLine="0" w:firstLineChars="0"/>
              <w:jc w:val="center"/>
              <w:rPr>
                <w:rFonts w:cs="Times New Roman"/>
                <w:szCs w:val="21"/>
              </w:rPr>
            </w:pPr>
            <w:r>
              <w:rPr>
                <w:rFonts w:cs="Times New Roman"/>
                <w:sz w:val="21"/>
                <w:szCs w:val="21"/>
                <w:lang w:bidi="ar"/>
              </w:rPr>
              <w:t>2.04</w:t>
            </w:r>
          </w:p>
        </w:tc>
      </w:tr>
    </w:tbl>
    <w:p w14:paraId="3CDC7398">
      <w:pPr>
        <w:spacing w:line="240" w:lineRule="auto"/>
        <w:ind w:firstLine="0" w:firstLineChars="0"/>
        <w:jc w:val="center"/>
        <w:rPr>
          <w:rFonts w:cs="Times New Roman"/>
          <w:b/>
          <w:bCs/>
          <w:szCs w:val="24"/>
        </w:rPr>
      </w:pPr>
      <w:r>
        <w:rPr>
          <w:rFonts w:cs="Times New Roman"/>
          <w:b/>
          <w:szCs w:val="24"/>
          <w:lang w:bidi="ar"/>
        </w:rPr>
        <w:drawing>
          <wp:inline distT="0" distB="0" distL="114300" distR="114300">
            <wp:extent cx="2590800" cy="1809750"/>
            <wp:effectExtent l="0" t="0" r="0" b="0"/>
            <wp:docPr id="47" name="图片 13"/>
            <wp:cNvGraphicFramePr/>
            <a:graphic xmlns:a="http://schemas.openxmlformats.org/drawingml/2006/main">
              <a:graphicData uri="http://schemas.openxmlformats.org/drawingml/2006/picture">
                <pic:pic xmlns:pic="http://schemas.openxmlformats.org/drawingml/2006/picture">
                  <pic:nvPicPr>
                    <pic:cNvPr id="47" name="图片 13"/>
                    <pic:cNvPicPr/>
                  </pic:nvPicPr>
                  <pic:blipFill>
                    <a:blip r:embed="rId50"/>
                    <a:stretch>
                      <a:fillRect/>
                    </a:stretch>
                  </pic:blipFill>
                  <pic:spPr>
                    <a:xfrm>
                      <a:off x="0" y="0"/>
                      <a:ext cx="2590800" cy="1809750"/>
                    </a:xfrm>
                    <a:prstGeom prst="rect">
                      <a:avLst/>
                    </a:prstGeom>
                    <a:noFill/>
                    <a:ln>
                      <a:noFill/>
                    </a:ln>
                  </pic:spPr>
                </pic:pic>
              </a:graphicData>
            </a:graphic>
          </wp:inline>
        </w:drawing>
      </w:r>
      <w:r>
        <w:rPr>
          <w:rFonts w:cs="Times New Roman"/>
          <w:b/>
          <w:szCs w:val="24"/>
          <w:lang w:bidi="ar"/>
        </w:rPr>
        <w:drawing>
          <wp:inline distT="0" distB="0" distL="114300" distR="114300">
            <wp:extent cx="2590800" cy="1800225"/>
            <wp:effectExtent l="0" t="0" r="0" b="9525"/>
            <wp:docPr id="41" name="图片 14"/>
            <wp:cNvGraphicFramePr/>
            <a:graphic xmlns:a="http://schemas.openxmlformats.org/drawingml/2006/main">
              <a:graphicData uri="http://schemas.openxmlformats.org/drawingml/2006/picture">
                <pic:pic xmlns:pic="http://schemas.openxmlformats.org/drawingml/2006/picture">
                  <pic:nvPicPr>
                    <pic:cNvPr id="41" name="图片 14"/>
                    <pic:cNvPicPr/>
                  </pic:nvPicPr>
                  <pic:blipFill>
                    <a:blip r:embed="rId51"/>
                    <a:stretch>
                      <a:fillRect/>
                    </a:stretch>
                  </pic:blipFill>
                  <pic:spPr>
                    <a:xfrm>
                      <a:off x="0" y="0"/>
                      <a:ext cx="2590800" cy="1800225"/>
                    </a:xfrm>
                    <a:prstGeom prst="rect">
                      <a:avLst/>
                    </a:prstGeom>
                    <a:noFill/>
                    <a:ln>
                      <a:noFill/>
                    </a:ln>
                  </pic:spPr>
                </pic:pic>
              </a:graphicData>
            </a:graphic>
          </wp:inline>
        </w:drawing>
      </w:r>
    </w:p>
    <w:p w14:paraId="704B6B34">
      <w:pPr>
        <w:spacing w:line="240" w:lineRule="auto"/>
        <w:ind w:firstLine="0" w:firstLineChars="0"/>
        <w:jc w:val="center"/>
        <w:rPr>
          <w:rFonts w:cs="Times New Roman"/>
          <w:b/>
          <w:bCs/>
          <w:kern w:val="0"/>
          <w:szCs w:val="21"/>
        </w:rPr>
      </w:pPr>
      <w:r>
        <w:rPr>
          <w:rFonts w:hint="eastAsia" w:cs="Times New Roman"/>
          <w:b/>
          <w:bCs/>
          <w:kern w:val="0"/>
          <w:sz w:val="21"/>
          <w:szCs w:val="21"/>
          <w:lang w:bidi="ar"/>
        </w:rPr>
        <w:t>鲤鱼</w:t>
      </w:r>
      <w:r>
        <w:rPr>
          <w:rFonts w:cs="Times New Roman"/>
          <w:b/>
          <w:bCs/>
          <w:kern w:val="0"/>
          <w:sz w:val="21"/>
          <w:szCs w:val="21"/>
          <w:lang w:bidi="ar"/>
        </w:rPr>
        <w:t xml:space="preserve">                                       </w:t>
      </w:r>
      <w:r>
        <w:rPr>
          <w:rFonts w:hint="eastAsia" w:cs="Times New Roman"/>
          <w:b/>
          <w:bCs/>
          <w:kern w:val="0"/>
          <w:sz w:val="21"/>
          <w:szCs w:val="21"/>
          <w:lang w:bidi="ar"/>
        </w:rPr>
        <w:t>鲫鱼</w:t>
      </w:r>
    </w:p>
    <w:p w14:paraId="185C93B1">
      <w:pPr>
        <w:spacing w:line="240" w:lineRule="auto"/>
        <w:ind w:firstLine="0" w:firstLineChars="0"/>
        <w:jc w:val="center"/>
        <w:rPr>
          <w:rFonts w:cs="Times New Roman"/>
          <w:b/>
          <w:bCs/>
          <w:szCs w:val="24"/>
        </w:rPr>
      </w:pPr>
      <w:r>
        <w:rPr>
          <w:rFonts w:cs="Times New Roman"/>
          <w:b/>
          <w:szCs w:val="24"/>
          <w:lang w:bidi="ar"/>
        </w:rPr>
        <w:drawing>
          <wp:inline distT="0" distB="0" distL="114300" distR="114300">
            <wp:extent cx="2590800" cy="1809750"/>
            <wp:effectExtent l="0" t="0" r="0" b="0"/>
            <wp:docPr id="42" name="图片 15"/>
            <wp:cNvGraphicFramePr/>
            <a:graphic xmlns:a="http://schemas.openxmlformats.org/drawingml/2006/main">
              <a:graphicData uri="http://schemas.openxmlformats.org/drawingml/2006/picture">
                <pic:pic xmlns:pic="http://schemas.openxmlformats.org/drawingml/2006/picture">
                  <pic:nvPicPr>
                    <pic:cNvPr id="42" name="图片 15"/>
                    <pic:cNvPicPr/>
                  </pic:nvPicPr>
                  <pic:blipFill>
                    <a:blip r:embed="rId52"/>
                    <a:stretch>
                      <a:fillRect/>
                    </a:stretch>
                  </pic:blipFill>
                  <pic:spPr>
                    <a:xfrm>
                      <a:off x="0" y="0"/>
                      <a:ext cx="2590800" cy="1809750"/>
                    </a:xfrm>
                    <a:prstGeom prst="rect">
                      <a:avLst/>
                    </a:prstGeom>
                    <a:noFill/>
                    <a:ln>
                      <a:noFill/>
                    </a:ln>
                  </pic:spPr>
                </pic:pic>
              </a:graphicData>
            </a:graphic>
          </wp:inline>
        </w:drawing>
      </w:r>
      <w:r>
        <w:rPr>
          <w:rFonts w:cs="Times New Roman"/>
          <w:b/>
          <w:bCs/>
          <w:szCs w:val="24"/>
          <w:lang w:bidi="ar"/>
        </w:rPr>
        <w:t xml:space="preserve"> </w:t>
      </w:r>
      <w:r>
        <w:rPr>
          <w:rFonts w:cs="Times New Roman"/>
          <w:b/>
          <w:szCs w:val="24"/>
          <w:lang w:bidi="ar"/>
        </w:rPr>
        <w:drawing>
          <wp:inline distT="0" distB="0" distL="114300" distR="114300">
            <wp:extent cx="2590800" cy="1809750"/>
            <wp:effectExtent l="0" t="0" r="0" b="0"/>
            <wp:docPr id="38" name="图片 16"/>
            <wp:cNvGraphicFramePr/>
            <a:graphic xmlns:a="http://schemas.openxmlformats.org/drawingml/2006/main">
              <a:graphicData uri="http://schemas.openxmlformats.org/drawingml/2006/picture">
                <pic:pic xmlns:pic="http://schemas.openxmlformats.org/drawingml/2006/picture">
                  <pic:nvPicPr>
                    <pic:cNvPr id="38" name="图片 16"/>
                    <pic:cNvPicPr/>
                  </pic:nvPicPr>
                  <pic:blipFill>
                    <a:blip r:embed="rId53"/>
                    <a:stretch>
                      <a:fillRect/>
                    </a:stretch>
                  </pic:blipFill>
                  <pic:spPr>
                    <a:xfrm>
                      <a:off x="0" y="0"/>
                      <a:ext cx="2590800" cy="1809750"/>
                    </a:xfrm>
                    <a:prstGeom prst="rect">
                      <a:avLst/>
                    </a:prstGeom>
                    <a:noFill/>
                    <a:ln>
                      <a:noFill/>
                    </a:ln>
                  </pic:spPr>
                </pic:pic>
              </a:graphicData>
            </a:graphic>
          </wp:inline>
        </w:drawing>
      </w:r>
    </w:p>
    <w:p w14:paraId="329AB30F">
      <w:pPr>
        <w:spacing w:line="240" w:lineRule="auto"/>
        <w:ind w:firstLine="0" w:firstLineChars="0"/>
        <w:jc w:val="center"/>
        <w:rPr>
          <w:rFonts w:cs="Times New Roman"/>
          <w:b/>
          <w:bCs/>
          <w:kern w:val="0"/>
          <w:szCs w:val="21"/>
        </w:rPr>
      </w:pPr>
      <w:r>
        <w:rPr>
          <w:rFonts w:hint="eastAsia" w:cs="Times New Roman"/>
          <w:b/>
          <w:bCs/>
          <w:kern w:val="0"/>
          <w:sz w:val="21"/>
          <w:szCs w:val="21"/>
          <w:lang w:bidi="ar"/>
        </w:rPr>
        <w:t>草鱼</w:t>
      </w:r>
      <w:r>
        <w:rPr>
          <w:rFonts w:cs="Times New Roman"/>
          <w:b/>
          <w:bCs/>
          <w:kern w:val="0"/>
          <w:sz w:val="21"/>
          <w:szCs w:val="21"/>
          <w:lang w:bidi="ar"/>
        </w:rPr>
        <w:t xml:space="preserve">                                           </w:t>
      </w:r>
      <w:r>
        <w:rPr>
          <w:rFonts w:hint="eastAsia" w:cs="Times New Roman"/>
          <w:b/>
          <w:bCs/>
          <w:kern w:val="0"/>
          <w:sz w:val="21"/>
          <w:szCs w:val="21"/>
          <w:lang w:bidi="ar"/>
        </w:rPr>
        <w:t>鳙鱼</w:t>
      </w:r>
    </w:p>
    <w:p w14:paraId="73D42468">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2</w:t>
      </w:r>
      <w:r>
        <w:rPr>
          <w:rFonts w:hint="eastAsia" w:cs="Times New Roman"/>
          <w:b/>
          <w:bCs/>
          <w:szCs w:val="24"/>
          <w:lang w:bidi="ar"/>
        </w:rPr>
        <w:t>）区系组成分析</w:t>
      </w:r>
    </w:p>
    <w:p w14:paraId="2C85A171">
      <w:pPr>
        <w:spacing w:line="570" w:lineRule="atLeast"/>
        <w:ind w:firstLine="480"/>
        <w:rPr>
          <w:rFonts w:cs="Times New Roman"/>
          <w:szCs w:val="24"/>
        </w:rPr>
      </w:pPr>
      <w:r>
        <w:rPr>
          <w:rFonts w:hint="eastAsia" w:cs="Times New Roman"/>
          <w:szCs w:val="24"/>
          <w:lang w:bidi="ar"/>
        </w:rPr>
        <w:t>就茅山旅游度假区鱼类的区系组成而言，鲤形目占主体，其中又以鲤科鱼类种群最大。鲤科鱼类在整个温、热带欧亚大陆的淡水鱼类区系中占有优势地位，为纯淡水鱼类中最大科，其多数种类为我国特有。因此，茅山旅游度假区鱼类区系组成中鲤形目以及鲤科鱼类为其主体，与我国淡水鱼类区系组成特征相符，亦与长江水系鱼类区系组成特点相一致。</w:t>
      </w:r>
    </w:p>
    <w:p w14:paraId="1D8F490A">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3</w:t>
      </w:r>
      <w:r>
        <w:rPr>
          <w:rFonts w:hint="eastAsia" w:cs="Times New Roman"/>
          <w:b/>
          <w:bCs/>
          <w:szCs w:val="24"/>
          <w:lang w:bidi="ar"/>
        </w:rPr>
        <w:t>）生态类型分析</w:t>
      </w:r>
    </w:p>
    <w:p w14:paraId="1CF1C812">
      <w:pPr>
        <w:spacing w:line="570" w:lineRule="atLeast"/>
        <w:ind w:firstLine="480"/>
        <w:rPr>
          <w:rFonts w:cs="Times New Roman"/>
          <w:szCs w:val="24"/>
        </w:rPr>
      </w:pPr>
      <w:r>
        <w:rPr>
          <w:rFonts w:cs="Times New Roman"/>
          <w:szCs w:val="24"/>
          <w:u w:val="single"/>
          <w:lang w:bidi="ar"/>
        </w:rPr>
        <w:t>垂直分布分类。</w:t>
      </w:r>
      <w:r>
        <w:rPr>
          <w:rFonts w:cs="Times New Roman"/>
          <w:szCs w:val="24"/>
          <w:lang w:bidi="ar"/>
        </w:rPr>
        <w:t>上层鱼类：飘鱼、鯵鲦、鲢鱼、宽鳍镴、青鱼、马口鱼等；中上层鱼类：银鱼、鳙鱼、似鱼乔、赤眼鳟、短颌鲚、鰟鮍亚科等；中下层鱼类：鲂、青、草、鳊、河鲀、银色颌须鯝、麦穗鱼、铜鱼、似鳊等；底层鱼类：鲤亚科、鯝亚科、鮠科、黑鳍鰁、华鰁、棒花鱼、蛇鮈等；底栖鱼类：花鱼骨、刺鳅、黄鳝、鳗鲡、吻鰕虎鱼、鳅科、塘鳢科、鮨等。</w:t>
      </w:r>
    </w:p>
    <w:p w14:paraId="0295204D">
      <w:pPr>
        <w:spacing w:line="570" w:lineRule="atLeast"/>
        <w:ind w:firstLine="480"/>
        <w:rPr>
          <w:rFonts w:cs="Times New Roman"/>
          <w:szCs w:val="24"/>
        </w:rPr>
      </w:pPr>
      <w:r>
        <w:rPr>
          <w:rFonts w:cs="Times New Roman"/>
          <w:szCs w:val="24"/>
          <w:u w:val="single"/>
          <w:lang w:bidi="ar"/>
        </w:rPr>
        <w:t>洄游习性分类。</w:t>
      </w:r>
      <w:r>
        <w:rPr>
          <w:rFonts w:cs="Times New Roman"/>
          <w:szCs w:val="24"/>
          <w:lang w:bidi="ar"/>
        </w:rPr>
        <w:t>降河洄游性鱼类：鳗鲡；溯河产卵洄游类：银鱼、刀鲚、似鳊等；半洄游性鱼类：青鱼、草鱼、鲢鱼、鳙鱼；定居性鱼类：除上述鱼以外的所有鱼类。</w:t>
      </w:r>
    </w:p>
    <w:p w14:paraId="2E04E192">
      <w:pPr>
        <w:spacing w:line="570" w:lineRule="atLeast"/>
        <w:ind w:firstLine="480"/>
        <w:rPr>
          <w:rFonts w:cs="Times New Roman"/>
          <w:szCs w:val="24"/>
        </w:rPr>
      </w:pPr>
      <w:r>
        <w:rPr>
          <w:rFonts w:cs="Times New Roman"/>
          <w:szCs w:val="24"/>
          <w:u w:val="single"/>
          <w:lang w:bidi="ar"/>
        </w:rPr>
        <w:t>鱼类食性分类。</w:t>
      </w:r>
      <w:r>
        <w:rPr>
          <w:rFonts w:cs="Times New Roman"/>
          <w:szCs w:val="24"/>
          <w:lang w:bidi="ar"/>
        </w:rPr>
        <w:t>凶猛类：乌鳢、鲇和鳜等；以底栖生物为食的有青鱼、黄颡鱼等；以草丛生物和腐屑为食的有泥鳅、中华花鳅等；以浮游生物为食的有鲢、鳙、短颌鲚、银飘鱼等；以水生植物为食的有草鱼、似鳊等；其它杂食性鱼类有鲤、鲫、赤眼鳟、宽鳍鑞、铜鱼、华鰁等。其中以浮游生物食性的鱼类群体 数量最大。</w:t>
      </w:r>
    </w:p>
    <w:p w14:paraId="0C4E6F58">
      <w:pPr>
        <w:spacing w:line="570" w:lineRule="atLeast"/>
        <w:ind w:firstLine="480"/>
        <w:rPr>
          <w:rFonts w:cs="Times New Roman"/>
          <w:szCs w:val="24"/>
        </w:rPr>
      </w:pPr>
      <w:r>
        <w:rPr>
          <w:rFonts w:cs="Times New Roman"/>
          <w:szCs w:val="24"/>
          <w:u w:val="single"/>
          <w:lang w:bidi="ar"/>
        </w:rPr>
        <w:t>栖息习性分类。</w:t>
      </w:r>
      <w:r>
        <w:rPr>
          <w:rFonts w:cs="Times New Roman"/>
          <w:szCs w:val="24"/>
          <w:lang w:bidi="ar"/>
        </w:rPr>
        <w:t>湖泊定居性鱼类，如鲤、鲫和乌鳢等；河湖洄游性鱼类，如青鱼、草鱼、鲢、鳙等；河流性鱼类，如三角鲂及铜鱼等。其中以定居性的鱼类居多。</w:t>
      </w:r>
    </w:p>
    <w:p w14:paraId="38122A28">
      <w:pPr>
        <w:spacing w:line="570" w:lineRule="atLeast"/>
        <w:ind w:firstLine="0" w:firstLineChars="0"/>
        <w:outlineLvl w:val="3"/>
      </w:pPr>
      <w:r>
        <w:t>3.</w:t>
      </w:r>
      <w:r>
        <w:rPr>
          <w:rFonts w:hint="eastAsia"/>
        </w:rPr>
        <w:t>6.</w:t>
      </w:r>
      <w:r>
        <w:t>4.5</w:t>
      </w:r>
      <w:r>
        <w:rPr>
          <w:rFonts w:hint="eastAsia"/>
        </w:rPr>
        <w:t>两栖类资源现状调查与评价</w:t>
      </w:r>
    </w:p>
    <w:p w14:paraId="2BE81A4C">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1</w:t>
      </w:r>
      <w:r>
        <w:rPr>
          <w:rFonts w:hint="eastAsia" w:cs="Times New Roman"/>
          <w:b/>
          <w:bCs/>
          <w:szCs w:val="24"/>
          <w:lang w:bidi="ar"/>
        </w:rPr>
        <w:t>）物种组成分析</w:t>
      </w:r>
    </w:p>
    <w:p w14:paraId="0245A051">
      <w:pPr>
        <w:spacing w:line="570" w:lineRule="atLeast"/>
        <w:ind w:firstLine="480"/>
        <w:rPr>
          <w:rFonts w:cs="Times New Roman"/>
          <w:szCs w:val="24"/>
        </w:rPr>
      </w:pPr>
      <w:r>
        <w:rPr>
          <w:rFonts w:hint="eastAsia" w:cs="Times New Roman"/>
          <w:szCs w:val="24"/>
          <w:lang w:bidi="ar"/>
        </w:rPr>
        <w:t>在本次现场调查基础上，结合历史调查资料，统计得到茅山旅游度假区内共有两栖类</w:t>
      </w:r>
      <w:r>
        <w:rPr>
          <w:rFonts w:cs="Times New Roman"/>
          <w:szCs w:val="24"/>
          <w:lang w:bidi="ar"/>
        </w:rPr>
        <w:t>10</w:t>
      </w:r>
      <w:r>
        <w:rPr>
          <w:rFonts w:hint="eastAsia" w:cs="Times New Roman"/>
          <w:szCs w:val="24"/>
          <w:lang w:bidi="ar"/>
        </w:rPr>
        <w:t>种，包括有尾目和无尾目</w:t>
      </w:r>
      <w:r>
        <w:rPr>
          <w:rFonts w:cs="Times New Roman"/>
          <w:szCs w:val="24"/>
          <w:lang w:bidi="ar"/>
        </w:rPr>
        <w:t>2</w:t>
      </w:r>
      <w:r>
        <w:rPr>
          <w:rFonts w:hint="eastAsia" w:cs="Times New Roman"/>
          <w:szCs w:val="24"/>
          <w:lang w:bidi="ar"/>
        </w:rPr>
        <w:t>目</w:t>
      </w:r>
      <w:r>
        <w:rPr>
          <w:rFonts w:cs="Times New Roman"/>
          <w:szCs w:val="24"/>
          <w:lang w:bidi="ar"/>
        </w:rPr>
        <w:t>5</w:t>
      </w:r>
      <w:r>
        <w:rPr>
          <w:rFonts w:hint="eastAsia" w:cs="Times New Roman"/>
          <w:szCs w:val="24"/>
          <w:lang w:bidi="ar"/>
        </w:rPr>
        <w:t>科（本次调查实际观测到</w:t>
      </w:r>
      <w:r>
        <w:rPr>
          <w:rFonts w:cs="Times New Roman"/>
          <w:szCs w:val="24"/>
          <w:lang w:bidi="ar"/>
        </w:rPr>
        <w:t>4</w:t>
      </w:r>
      <w:r>
        <w:rPr>
          <w:rFonts w:hint="eastAsia" w:cs="Times New Roman"/>
          <w:szCs w:val="24"/>
          <w:lang w:bidi="ar"/>
        </w:rPr>
        <w:t>种，附录</w:t>
      </w:r>
      <w:r>
        <w:rPr>
          <w:rFonts w:cs="Times New Roman"/>
          <w:szCs w:val="24"/>
          <w:lang w:bidi="ar"/>
        </w:rPr>
        <w:t>4</w:t>
      </w:r>
      <w:r>
        <w:rPr>
          <w:rFonts w:hint="eastAsia" w:cs="Times New Roman"/>
          <w:szCs w:val="24"/>
          <w:lang w:bidi="ar"/>
        </w:rPr>
        <w:t>）。其中，有尾目共</w:t>
      </w:r>
      <w:r>
        <w:rPr>
          <w:rFonts w:cs="Times New Roman"/>
          <w:szCs w:val="24"/>
          <w:lang w:bidi="ar"/>
        </w:rPr>
        <w:t>1</w:t>
      </w:r>
      <w:r>
        <w:rPr>
          <w:rFonts w:hint="eastAsia" w:cs="Times New Roman"/>
          <w:szCs w:val="24"/>
          <w:lang w:bidi="ar"/>
        </w:rPr>
        <w:t>科</w:t>
      </w:r>
      <w:r>
        <w:rPr>
          <w:rFonts w:cs="Times New Roman"/>
          <w:szCs w:val="24"/>
          <w:lang w:bidi="ar"/>
        </w:rPr>
        <w:t>1</w:t>
      </w:r>
      <w:r>
        <w:rPr>
          <w:rFonts w:hint="eastAsia" w:cs="Times New Roman"/>
          <w:szCs w:val="24"/>
          <w:lang w:bidi="ar"/>
        </w:rPr>
        <w:t>种，即蝾螈科的东方蝾螈；无尾目共</w:t>
      </w:r>
      <w:r>
        <w:rPr>
          <w:rFonts w:cs="Times New Roman"/>
          <w:szCs w:val="24"/>
          <w:lang w:bidi="ar"/>
        </w:rPr>
        <w:t>4</w:t>
      </w:r>
      <w:r>
        <w:rPr>
          <w:rFonts w:hint="eastAsia" w:cs="Times New Roman"/>
          <w:szCs w:val="24"/>
          <w:lang w:bidi="ar"/>
        </w:rPr>
        <w:t>科</w:t>
      </w:r>
      <w:r>
        <w:rPr>
          <w:rFonts w:cs="Times New Roman"/>
          <w:szCs w:val="24"/>
          <w:lang w:bidi="ar"/>
        </w:rPr>
        <w:t>9</w:t>
      </w:r>
      <w:r>
        <w:rPr>
          <w:rFonts w:hint="eastAsia" w:cs="Times New Roman"/>
          <w:szCs w:val="24"/>
          <w:lang w:bidi="ar"/>
        </w:rPr>
        <w:t>种，占总数的</w:t>
      </w:r>
      <w:r>
        <w:rPr>
          <w:rFonts w:cs="Times New Roman"/>
          <w:szCs w:val="24"/>
          <w:lang w:bidi="ar"/>
        </w:rPr>
        <w:t>90%</w:t>
      </w:r>
      <w:r>
        <w:rPr>
          <w:rFonts w:hint="eastAsia" w:cs="Times New Roman"/>
          <w:szCs w:val="24"/>
          <w:lang w:bidi="ar"/>
        </w:rPr>
        <w:t>，</w:t>
      </w:r>
      <w:r>
        <w:rPr>
          <w:rFonts w:cs="Times New Roman"/>
          <w:szCs w:val="24"/>
          <w:lang w:bidi="ar"/>
        </w:rPr>
        <w:t>4</w:t>
      </w:r>
      <w:r>
        <w:rPr>
          <w:rFonts w:hint="eastAsia" w:cs="Times New Roman"/>
          <w:szCs w:val="24"/>
          <w:lang w:bidi="ar"/>
        </w:rPr>
        <w:t>个科分别为蟾蜍科、雨蛙科、蛙科、姬蛙科，又以蛙科种类为多，有</w:t>
      </w:r>
      <w:r>
        <w:rPr>
          <w:rFonts w:cs="Times New Roman"/>
          <w:szCs w:val="24"/>
          <w:lang w:bidi="ar"/>
        </w:rPr>
        <w:t>4</w:t>
      </w:r>
      <w:r>
        <w:rPr>
          <w:rFonts w:hint="eastAsia" w:cs="Times New Roman"/>
          <w:szCs w:val="24"/>
          <w:lang w:bidi="ar"/>
        </w:rPr>
        <w:t>种，占总数的</w:t>
      </w:r>
      <w:r>
        <w:rPr>
          <w:rFonts w:cs="Times New Roman"/>
          <w:szCs w:val="24"/>
          <w:lang w:bidi="ar"/>
        </w:rPr>
        <w:t>40%</w:t>
      </w:r>
      <w:r>
        <w:rPr>
          <w:rFonts w:hint="eastAsia" w:cs="Times New Roman"/>
          <w:szCs w:val="24"/>
          <w:lang w:bidi="ar"/>
        </w:rPr>
        <w:t>；其次是姬蛙科和雨蛙科，各有</w:t>
      </w:r>
      <w:r>
        <w:rPr>
          <w:rFonts w:cs="Times New Roman"/>
          <w:szCs w:val="24"/>
          <w:lang w:bidi="ar"/>
        </w:rPr>
        <w:t>2</w:t>
      </w:r>
      <w:r>
        <w:rPr>
          <w:rFonts w:hint="eastAsia" w:cs="Times New Roman"/>
          <w:szCs w:val="24"/>
          <w:lang w:bidi="ar"/>
        </w:rPr>
        <w:t>种，各占总数的</w:t>
      </w:r>
      <w:r>
        <w:rPr>
          <w:rFonts w:cs="Times New Roman"/>
          <w:szCs w:val="24"/>
          <w:lang w:bidi="ar"/>
        </w:rPr>
        <w:t>20%</w:t>
      </w:r>
      <w:r>
        <w:rPr>
          <w:rFonts w:hint="eastAsia" w:cs="Times New Roman"/>
          <w:szCs w:val="24"/>
          <w:lang w:bidi="ar"/>
        </w:rPr>
        <w:t>；最后是蟾蜍科，</w:t>
      </w:r>
      <w:r>
        <w:rPr>
          <w:rFonts w:cs="Times New Roman"/>
          <w:szCs w:val="24"/>
          <w:lang w:bidi="ar"/>
        </w:rPr>
        <w:t>1</w:t>
      </w:r>
      <w:r>
        <w:rPr>
          <w:rFonts w:hint="eastAsia" w:cs="Times New Roman"/>
          <w:szCs w:val="24"/>
          <w:lang w:bidi="ar"/>
        </w:rPr>
        <w:t>种，占总数的</w:t>
      </w:r>
      <w:r>
        <w:rPr>
          <w:rFonts w:cs="Times New Roman"/>
          <w:szCs w:val="24"/>
          <w:lang w:bidi="ar"/>
        </w:rPr>
        <w:t>10%</w:t>
      </w:r>
      <w:r>
        <w:rPr>
          <w:rFonts w:hint="eastAsia" w:cs="Times New Roman"/>
          <w:szCs w:val="24"/>
          <w:lang w:bidi="ar"/>
        </w:rPr>
        <w:t>。</w:t>
      </w:r>
    </w:p>
    <w:p w14:paraId="4423FA93">
      <w:pPr>
        <w:spacing w:line="570" w:lineRule="atLeast"/>
        <w:ind w:firstLine="480"/>
        <w:rPr>
          <w:rFonts w:cs="Times New Roman"/>
          <w:szCs w:val="24"/>
        </w:rPr>
      </w:pPr>
      <w:r>
        <w:rPr>
          <w:rFonts w:hint="eastAsia" w:cs="Times New Roman"/>
          <w:szCs w:val="24"/>
          <w:lang w:bidi="ar"/>
        </w:rPr>
        <w:t>茅山旅游度假区两栖类中有江苏省重点保护动物</w:t>
      </w:r>
      <w:r>
        <w:rPr>
          <w:rFonts w:cs="Times New Roman"/>
          <w:szCs w:val="24"/>
          <w:lang w:bidi="ar"/>
        </w:rPr>
        <w:t>5</w:t>
      </w:r>
      <w:r>
        <w:rPr>
          <w:rFonts w:hint="eastAsia" w:cs="Times New Roman"/>
          <w:szCs w:val="24"/>
          <w:lang w:bidi="ar"/>
        </w:rPr>
        <w:t>种：东方蝾螈、中华蟾蜍、金线侧褶蛙、黑斑侧褶蛙、棘胸蛙；濒危动物红皮书收录一种，即棘胸蛙；</w:t>
      </w:r>
      <w:r>
        <w:rPr>
          <w:rFonts w:cs="Times New Roman"/>
          <w:szCs w:val="24"/>
          <w:lang w:bidi="ar"/>
        </w:rPr>
        <w:t>“</w:t>
      </w:r>
      <w:r>
        <w:rPr>
          <w:rFonts w:hint="eastAsia" w:cs="Times New Roman"/>
          <w:szCs w:val="24"/>
          <w:lang w:bidi="ar"/>
        </w:rPr>
        <w:t>三有</w:t>
      </w:r>
      <w:r>
        <w:rPr>
          <w:rFonts w:cs="Times New Roman"/>
          <w:szCs w:val="24"/>
          <w:lang w:bidi="ar"/>
        </w:rPr>
        <w:t>”</w:t>
      </w:r>
      <w:r>
        <w:rPr>
          <w:rFonts w:hint="eastAsia" w:cs="Times New Roman"/>
          <w:szCs w:val="24"/>
          <w:lang w:bidi="ar"/>
        </w:rPr>
        <w:t>保护动物</w:t>
      </w:r>
      <w:r>
        <w:rPr>
          <w:rFonts w:cs="Times New Roman"/>
          <w:szCs w:val="24"/>
          <w:lang w:bidi="ar"/>
        </w:rPr>
        <w:t>8</w:t>
      </w:r>
      <w:r>
        <w:rPr>
          <w:rFonts w:hint="eastAsia" w:cs="Times New Roman"/>
          <w:szCs w:val="24"/>
          <w:lang w:bidi="ar"/>
        </w:rPr>
        <w:t>种，即除了中国雨蛙和无斑雨蛙的所有种。</w:t>
      </w:r>
    </w:p>
    <w:p w14:paraId="3350A742">
      <w:pPr>
        <w:spacing w:line="240" w:lineRule="auto"/>
        <w:ind w:firstLine="0" w:firstLineChars="0"/>
        <w:jc w:val="center"/>
        <w:rPr>
          <w:rFonts w:cs="Times New Roman"/>
          <w:szCs w:val="24"/>
        </w:rPr>
      </w:pPr>
      <w:r>
        <w:rPr>
          <w:rFonts w:hint="eastAsia" w:ascii="等线" w:hAnsi="等线" w:eastAsia="等线" w:cs="Times New Roman"/>
          <w:sz w:val="21"/>
          <w:lang w:bidi="ar"/>
        </w:rPr>
        <w:drawing>
          <wp:inline distT="0" distB="0" distL="114300" distR="114300">
            <wp:extent cx="2590800" cy="1943100"/>
            <wp:effectExtent l="0" t="0" r="0" b="0"/>
            <wp:docPr id="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5"/>
                    <pic:cNvPicPr>
                      <a:picLocks noChangeAspect="1"/>
                    </pic:cNvPicPr>
                  </pic:nvPicPr>
                  <pic:blipFill>
                    <a:blip r:embed="rId54"/>
                    <a:stretch>
                      <a:fillRect/>
                    </a:stretch>
                  </pic:blipFill>
                  <pic:spPr>
                    <a:xfrm>
                      <a:off x="0" y="0"/>
                      <a:ext cx="2590800" cy="1943100"/>
                    </a:xfrm>
                    <a:prstGeom prst="rect">
                      <a:avLst/>
                    </a:prstGeom>
                    <a:noFill/>
                    <a:ln>
                      <a:noFill/>
                    </a:ln>
                  </pic:spPr>
                </pic:pic>
              </a:graphicData>
            </a:graphic>
          </wp:inline>
        </w:drawing>
      </w:r>
      <w:r>
        <w:rPr>
          <w:rFonts w:cs="Times New Roman"/>
          <w:szCs w:val="24"/>
          <w:lang w:bidi="ar"/>
        </w:rPr>
        <w:t xml:space="preserve"> </w:t>
      </w:r>
      <w:r>
        <w:rPr>
          <w:rFonts w:hint="eastAsia" w:ascii="等线" w:hAnsi="等线" w:eastAsia="等线" w:cs="Times New Roman"/>
          <w:sz w:val="21"/>
          <w:lang w:bidi="ar"/>
        </w:rPr>
        <w:drawing>
          <wp:inline distT="0" distB="0" distL="114300" distR="114300">
            <wp:extent cx="2590800" cy="1943100"/>
            <wp:effectExtent l="0" t="0" r="0" b="0"/>
            <wp:docPr id="5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6"/>
                    <pic:cNvPicPr>
                      <a:picLocks noChangeAspect="1"/>
                    </pic:cNvPicPr>
                  </pic:nvPicPr>
                  <pic:blipFill>
                    <a:blip r:embed="rId55"/>
                    <a:stretch>
                      <a:fillRect/>
                    </a:stretch>
                  </pic:blipFill>
                  <pic:spPr>
                    <a:xfrm>
                      <a:off x="0" y="0"/>
                      <a:ext cx="2590800" cy="1943100"/>
                    </a:xfrm>
                    <a:prstGeom prst="rect">
                      <a:avLst/>
                    </a:prstGeom>
                    <a:noFill/>
                    <a:ln>
                      <a:noFill/>
                    </a:ln>
                  </pic:spPr>
                </pic:pic>
              </a:graphicData>
            </a:graphic>
          </wp:inline>
        </w:drawing>
      </w:r>
    </w:p>
    <w:p w14:paraId="382D4EE4">
      <w:pPr>
        <w:spacing w:line="240" w:lineRule="auto"/>
        <w:ind w:firstLine="0" w:firstLineChars="0"/>
        <w:jc w:val="center"/>
        <w:rPr>
          <w:rFonts w:cs="Times New Roman"/>
          <w:b/>
          <w:bCs/>
          <w:szCs w:val="21"/>
        </w:rPr>
      </w:pPr>
      <w:r>
        <w:rPr>
          <w:rFonts w:hint="eastAsia" w:cs="Times New Roman"/>
          <w:b/>
          <w:bCs/>
          <w:sz w:val="21"/>
          <w:szCs w:val="21"/>
          <w:lang w:bidi="ar"/>
        </w:rPr>
        <w:t>金线侧褶蛙</w:t>
      </w:r>
      <w:r>
        <w:rPr>
          <w:rFonts w:cs="Times New Roman"/>
          <w:b/>
          <w:bCs/>
          <w:sz w:val="21"/>
          <w:szCs w:val="21"/>
          <w:lang w:bidi="ar"/>
        </w:rPr>
        <w:t xml:space="preserve">                                 </w:t>
      </w:r>
      <w:r>
        <w:rPr>
          <w:rFonts w:hint="eastAsia" w:cs="Times New Roman"/>
          <w:b/>
          <w:bCs/>
          <w:sz w:val="21"/>
          <w:szCs w:val="21"/>
          <w:lang w:bidi="ar"/>
        </w:rPr>
        <w:t>中华蟾蜍</w:t>
      </w:r>
    </w:p>
    <w:p w14:paraId="3D385858">
      <w:pPr>
        <w:ind w:firstLine="482"/>
        <w:rPr>
          <w:rFonts w:cs="Times New Roman"/>
          <w:b/>
          <w:bCs/>
          <w:szCs w:val="24"/>
        </w:rPr>
      </w:pPr>
      <w:r>
        <w:rPr>
          <w:rFonts w:hint="eastAsia" w:cs="Times New Roman"/>
          <w:b/>
          <w:bCs/>
          <w:szCs w:val="24"/>
          <w:lang w:bidi="ar"/>
        </w:rPr>
        <w:t>（</w:t>
      </w:r>
      <w:r>
        <w:rPr>
          <w:rFonts w:cs="Times New Roman"/>
          <w:b/>
          <w:bCs/>
          <w:szCs w:val="24"/>
          <w:lang w:bidi="ar"/>
        </w:rPr>
        <w:t>2</w:t>
      </w:r>
      <w:r>
        <w:rPr>
          <w:rFonts w:hint="eastAsia" w:cs="Times New Roman"/>
          <w:b/>
          <w:bCs/>
          <w:szCs w:val="24"/>
          <w:lang w:bidi="ar"/>
        </w:rPr>
        <w:t>）区系组成分析</w:t>
      </w:r>
    </w:p>
    <w:p w14:paraId="35A207CE">
      <w:pPr>
        <w:ind w:firstLine="480"/>
        <w:rPr>
          <w:rFonts w:cs="Times New Roman"/>
          <w:szCs w:val="24"/>
        </w:rPr>
      </w:pPr>
      <w:r>
        <w:rPr>
          <w:rFonts w:hint="eastAsia" w:cs="Times New Roman"/>
          <w:szCs w:val="24"/>
          <w:lang w:bidi="ar"/>
        </w:rPr>
        <w:t>就茅山旅游度假区现存的</w:t>
      </w:r>
      <w:r>
        <w:rPr>
          <w:rFonts w:cs="Times New Roman"/>
          <w:szCs w:val="24"/>
          <w:lang w:bidi="ar"/>
        </w:rPr>
        <w:t>10</w:t>
      </w:r>
      <w:r>
        <w:rPr>
          <w:rFonts w:hint="eastAsia" w:cs="Times New Roman"/>
          <w:szCs w:val="24"/>
          <w:lang w:bidi="ar"/>
        </w:rPr>
        <w:t>种两栖动物而言，属广布种的有</w:t>
      </w:r>
      <w:r>
        <w:rPr>
          <w:rFonts w:cs="Times New Roman"/>
          <w:szCs w:val="24"/>
          <w:lang w:bidi="ar"/>
        </w:rPr>
        <w:t>4</w:t>
      </w:r>
      <w:r>
        <w:rPr>
          <w:rFonts w:hint="eastAsia" w:cs="Times New Roman"/>
          <w:szCs w:val="24"/>
          <w:lang w:bidi="ar"/>
        </w:rPr>
        <w:t>种，占总数的</w:t>
      </w:r>
      <w:r>
        <w:rPr>
          <w:rFonts w:cs="Times New Roman"/>
          <w:szCs w:val="24"/>
          <w:lang w:bidi="ar"/>
        </w:rPr>
        <w:t>40%</w:t>
      </w:r>
      <w:r>
        <w:rPr>
          <w:rFonts w:hint="eastAsia" w:cs="Times New Roman"/>
          <w:szCs w:val="24"/>
          <w:lang w:bidi="ar"/>
        </w:rPr>
        <w:t>，占江苏省两栖类广布种的全部，分别为中华蟾蜍、金线侧褶蛙、黑斑侧褶蛙、无斑雨蛙；属东洋界的有</w:t>
      </w:r>
      <w:r>
        <w:rPr>
          <w:rFonts w:cs="Times New Roman"/>
          <w:szCs w:val="24"/>
          <w:lang w:bidi="ar"/>
        </w:rPr>
        <w:t>6</w:t>
      </w:r>
      <w:r>
        <w:rPr>
          <w:rFonts w:hint="eastAsia" w:cs="Times New Roman"/>
          <w:szCs w:val="24"/>
          <w:lang w:bidi="ar"/>
        </w:rPr>
        <w:t>种，占</w:t>
      </w:r>
      <w:r>
        <w:rPr>
          <w:rFonts w:cs="Times New Roman"/>
          <w:szCs w:val="24"/>
          <w:lang w:bidi="ar"/>
        </w:rPr>
        <w:t>60%</w:t>
      </w:r>
      <w:r>
        <w:rPr>
          <w:rFonts w:hint="eastAsia" w:cs="Times New Roman"/>
          <w:szCs w:val="24"/>
          <w:lang w:bidi="ar"/>
        </w:rPr>
        <w:t>，占江苏省两栖类东洋种的</w:t>
      </w:r>
      <w:r>
        <w:rPr>
          <w:rFonts w:cs="Times New Roman"/>
          <w:szCs w:val="24"/>
          <w:lang w:bidi="ar"/>
        </w:rPr>
        <w:t>50%</w:t>
      </w:r>
      <w:r>
        <w:rPr>
          <w:rFonts w:hint="eastAsia" w:cs="Times New Roman"/>
          <w:szCs w:val="24"/>
          <w:lang w:bidi="ar"/>
        </w:rPr>
        <w:t>，分别为东方蝾螈、泽陆蛙、棘胸蛙、中国雨蛙、小弧姬蛙、饰纹姬蛙。从区系组成可见，东洋界的种类是组成区域两栖类的主体，广布种次之。</w:t>
      </w:r>
    </w:p>
    <w:p w14:paraId="24122987">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16</w:t>
      </w:r>
      <w:r>
        <w:rPr>
          <w:rFonts w:cs="Times New Roman"/>
        </w:rPr>
        <w:t xml:space="preserve"> </w:t>
      </w:r>
      <w:r>
        <w:rPr>
          <w:rFonts w:hint="eastAsia" w:cs="Times New Roman"/>
        </w:rPr>
        <w:t>茅山旅游度假区两栖类区系组成</w:t>
      </w:r>
    </w:p>
    <w:tbl>
      <w:tblPr>
        <w:tblStyle w:val="25"/>
        <w:tblW w:w="500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592"/>
        <w:gridCol w:w="1564"/>
        <w:gridCol w:w="1564"/>
        <w:gridCol w:w="1564"/>
        <w:gridCol w:w="1042"/>
      </w:tblGrid>
      <w:tr w14:paraId="422F3E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0" w:hRule="atLeast"/>
        </w:trPr>
        <w:tc>
          <w:tcPr>
            <w:tcW w:w="1557" w:type="pct"/>
            <w:tcBorders>
              <w:top w:val="single" w:color="000000" w:sz="4" w:space="0"/>
              <w:left w:val="single" w:color="000000" w:sz="4" w:space="0"/>
              <w:bottom w:val="single" w:color="000000" w:sz="4" w:space="0"/>
              <w:right w:val="single" w:color="000000" w:sz="4" w:space="0"/>
            </w:tcBorders>
          </w:tcPr>
          <w:p w14:paraId="67CFE2A7">
            <w:pPr>
              <w:spacing w:line="240" w:lineRule="auto"/>
              <w:ind w:firstLine="0" w:firstLineChars="0"/>
              <w:jc w:val="center"/>
              <w:rPr>
                <w:rFonts w:cs="Times New Roman"/>
                <w:b/>
                <w:bCs/>
                <w:szCs w:val="21"/>
              </w:rPr>
            </w:pPr>
            <w:r>
              <w:rPr>
                <w:rFonts w:hint="eastAsia" w:cs="Times New Roman"/>
                <w:b/>
                <w:bCs/>
                <w:sz w:val="21"/>
                <w:szCs w:val="21"/>
                <w:lang w:bidi="ar"/>
              </w:rPr>
              <w:t>区域</w:t>
            </w:r>
          </w:p>
        </w:tc>
        <w:tc>
          <w:tcPr>
            <w:tcW w:w="939" w:type="pct"/>
            <w:tcBorders>
              <w:top w:val="single" w:color="000000" w:sz="4" w:space="0"/>
              <w:left w:val="single" w:color="000000" w:sz="4" w:space="0"/>
              <w:bottom w:val="single" w:color="000000" w:sz="4" w:space="0"/>
              <w:right w:val="single" w:color="000000" w:sz="4" w:space="0"/>
            </w:tcBorders>
          </w:tcPr>
          <w:p w14:paraId="2D370CDE">
            <w:pPr>
              <w:spacing w:line="240" w:lineRule="auto"/>
              <w:ind w:firstLine="0" w:firstLineChars="0"/>
              <w:jc w:val="center"/>
              <w:rPr>
                <w:rFonts w:cs="Times New Roman"/>
                <w:b/>
                <w:bCs/>
                <w:szCs w:val="21"/>
              </w:rPr>
            </w:pPr>
            <w:r>
              <w:rPr>
                <w:rFonts w:hint="eastAsia" w:cs="Times New Roman"/>
                <w:b/>
                <w:bCs/>
                <w:sz w:val="21"/>
                <w:szCs w:val="21"/>
                <w:lang w:bidi="ar"/>
              </w:rPr>
              <w:t>东洋种</w:t>
            </w:r>
          </w:p>
        </w:tc>
        <w:tc>
          <w:tcPr>
            <w:tcW w:w="939" w:type="pct"/>
            <w:tcBorders>
              <w:top w:val="single" w:color="000000" w:sz="4" w:space="0"/>
              <w:left w:val="single" w:color="000000" w:sz="4" w:space="0"/>
              <w:bottom w:val="single" w:color="000000" w:sz="4" w:space="0"/>
              <w:right w:val="single" w:color="000000" w:sz="4" w:space="0"/>
            </w:tcBorders>
          </w:tcPr>
          <w:p w14:paraId="33F55F37">
            <w:pPr>
              <w:spacing w:line="240" w:lineRule="auto"/>
              <w:ind w:firstLine="0" w:firstLineChars="0"/>
              <w:jc w:val="center"/>
              <w:rPr>
                <w:rFonts w:cs="Times New Roman"/>
                <w:b/>
                <w:bCs/>
                <w:szCs w:val="21"/>
              </w:rPr>
            </w:pPr>
            <w:r>
              <w:rPr>
                <w:rFonts w:hint="eastAsia" w:cs="Times New Roman"/>
                <w:b/>
                <w:bCs/>
                <w:sz w:val="21"/>
                <w:szCs w:val="21"/>
                <w:lang w:bidi="ar"/>
              </w:rPr>
              <w:t>广布种</w:t>
            </w:r>
          </w:p>
        </w:tc>
        <w:tc>
          <w:tcPr>
            <w:tcW w:w="939" w:type="pct"/>
            <w:tcBorders>
              <w:top w:val="single" w:color="000000" w:sz="4" w:space="0"/>
              <w:left w:val="single" w:color="000000" w:sz="4" w:space="0"/>
              <w:bottom w:val="single" w:color="000000" w:sz="4" w:space="0"/>
              <w:right w:val="single" w:color="000000" w:sz="4" w:space="0"/>
            </w:tcBorders>
          </w:tcPr>
          <w:p w14:paraId="67528E28">
            <w:pPr>
              <w:spacing w:line="240" w:lineRule="auto"/>
              <w:ind w:firstLine="0" w:firstLineChars="0"/>
              <w:jc w:val="center"/>
              <w:rPr>
                <w:rFonts w:cs="Times New Roman"/>
                <w:b/>
                <w:bCs/>
                <w:szCs w:val="21"/>
              </w:rPr>
            </w:pPr>
            <w:r>
              <w:rPr>
                <w:rFonts w:hint="eastAsia" w:cs="Times New Roman"/>
                <w:b/>
                <w:bCs/>
                <w:sz w:val="21"/>
                <w:szCs w:val="21"/>
                <w:lang w:bidi="ar"/>
              </w:rPr>
              <w:t>古北种</w:t>
            </w:r>
          </w:p>
        </w:tc>
        <w:tc>
          <w:tcPr>
            <w:tcW w:w="626" w:type="pct"/>
            <w:tcBorders>
              <w:top w:val="single" w:color="000000" w:sz="4" w:space="0"/>
              <w:left w:val="single" w:color="000000" w:sz="4" w:space="0"/>
              <w:bottom w:val="single" w:color="000000" w:sz="4" w:space="0"/>
              <w:right w:val="single" w:color="000000" w:sz="4" w:space="0"/>
            </w:tcBorders>
          </w:tcPr>
          <w:p w14:paraId="652471D1">
            <w:pPr>
              <w:spacing w:line="240" w:lineRule="auto"/>
              <w:ind w:firstLine="0" w:firstLineChars="0"/>
              <w:jc w:val="center"/>
              <w:rPr>
                <w:rFonts w:cs="Times New Roman"/>
                <w:b/>
                <w:bCs/>
                <w:szCs w:val="21"/>
              </w:rPr>
            </w:pPr>
            <w:r>
              <w:rPr>
                <w:rFonts w:hint="eastAsia" w:cs="Times New Roman"/>
                <w:b/>
                <w:bCs/>
                <w:sz w:val="21"/>
                <w:szCs w:val="21"/>
                <w:lang w:bidi="ar"/>
              </w:rPr>
              <w:t>合计</w:t>
            </w:r>
          </w:p>
        </w:tc>
      </w:tr>
      <w:tr w14:paraId="474D9E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557" w:type="pct"/>
            <w:tcBorders>
              <w:top w:val="single" w:color="000000" w:sz="4" w:space="0"/>
              <w:left w:val="single" w:color="000000" w:sz="4" w:space="0"/>
              <w:bottom w:val="single" w:color="000000" w:sz="4" w:space="0"/>
              <w:right w:val="single" w:color="000000" w:sz="4" w:space="0"/>
            </w:tcBorders>
          </w:tcPr>
          <w:p w14:paraId="29735F70">
            <w:pPr>
              <w:spacing w:line="240" w:lineRule="auto"/>
              <w:ind w:firstLine="0" w:firstLineChars="0"/>
              <w:jc w:val="center"/>
              <w:rPr>
                <w:rFonts w:cs="Times New Roman"/>
                <w:szCs w:val="21"/>
              </w:rPr>
            </w:pPr>
            <w:r>
              <w:rPr>
                <w:rFonts w:hint="eastAsia" w:cs="Times New Roman"/>
                <w:sz w:val="21"/>
                <w:szCs w:val="21"/>
                <w:lang w:bidi="ar"/>
              </w:rPr>
              <w:t>度假区</w:t>
            </w:r>
          </w:p>
        </w:tc>
        <w:tc>
          <w:tcPr>
            <w:tcW w:w="939" w:type="pct"/>
            <w:tcBorders>
              <w:top w:val="single" w:color="000000" w:sz="4" w:space="0"/>
              <w:left w:val="single" w:color="000000" w:sz="4" w:space="0"/>
              <w:bottom w:val="single" w:color="000000" w:sz="4" w:space="0"/>
              <w:right w:val="single" w:color="000000" w:sz="4" w:space="0"/>
            </w:tcBorders>
          </w:tcPr>
          <w:p w14:paraId="4A2104C8">
            <w:pPr>
              <w:spacing w:line="240" w:lineRule="auto"/>
              <w:ind w:firstLine="0" w:firstLineChars="0"/>
              <w:jc w:val="center"/>
              <w:rPr>
                <w:rFonts w:cs="Times New Roman"/>
                <w:szCs w:val="21"/>
              </w:rPr>
            </w:pPr>
            <w:r>
              <w:rPr>
                <w:rFonts w:cs="Times New Roman"/>
                <w:sz w:val="21"/>
                <w:szCs w:val="21"/>
                <w:lang w:bidi="ar"/>
              </w:rPr>
              <w:t>6</w:t>
            </w:r>
          </w:p>
        </w:tc>
        <w:tc>
          <w:tcPr>
            <w:tcW w:w="939" w:type="pct"/>
            <w:tcBorders>
              <w:top w:val="single" w:color="000000" w:sz="4" w:space="0"/>
              <w:left w:val="single" w:color="000000" w:sz="4" w:space="0"/>
              <w:bottom w:val="single" w:color="000000" w:sz="4" w:space="0"/>
              <w:right w:val="single" w:color="000000" w:sz="4" w:space="0"/>
            </w:tcBorders>
          </w:tcPr>
          <w:p w14:paraId="6FC1563A">
            <w:pPr>
              <w:spacing w:line="240" w:lineRule="auto"/>
              <w:ind w:firstLine="0" w:firstLineChars="0"/>
              <w:jc w:val="center"/>
              <w:rPr>
                <w:rFonts w:cs="Times New Roman"/>
                <w:szCs w:val="21"/>
              </w:rPr>
            </w:pPr>
            <w:r>
              <w:rPr>
                <w:rFonts w:cs="Times New Roman"/>
                <w:sz w:val="21"/>
                <w:szCs w:val="21"/>
                <w:lang w:bidi="ar"/>
              </w:rPr>
              <w:t>4</w:t>
            </w:r>
          </w:p>
        </w:tc>
        <w:tc>
          <w:tcPr>
            <w:tcW w:w="939" w:type="pct"/>
            <w:tcBorders>
              <w:top w:val="single" w:color="000000" w:sz="4" w:space="0"/>
              <w:left w:val="single" w:color="000000" w:sz="4" w:space="0"/>
              <w:bottom w:val="single" w:color="000000" w:sz="4" w:space="0"/>
              <w:right w:val="single" w:color="000000" w:sz="4" w:space="0"/>
            </w:tcBorders>
          </w:tcPr>
          <w:p w14:paraId="6715ECA6">
            <w:pPr>
              <w:spacing w:line="240" w:lineRule="auto"/>
              <w:ind w:firstLine="0" w:firstLineChars="0"/>
              <w:jc w:val="center"/>
              <w:rPr>
                <w:rFonts w:cs="Times New Roman"/>
                <w:szCs w:val="21"/>
              </w:rPr>
            </w:pPr>
            <w:r>
              <w:rPr>
                <w:rFonts w:cs="Times New Roman"/>
                <w:sz w:val="21"/>
                <w:szCs w:val="21"/>
                <w:lang w:bidi="ar"/>
              </w:rPr>
              <w:t>0</w:t>
            </w:r>
          </w:p>
        </w:tc>
        <w:tc>
          <w:tcPr>
            <w:tcW w:w="626" w:type="pct"/>
            <w:tcBorders>
              <w:top w:val="single" w:color="000000" w:sz="4" w:space="0"/>
              <w:left w:val="single" w:color="000000" w:sz="4" w:space="0"/>
              <w:bottom w:val="single" w:color="000000" w:sz="4" w:space="0"/>
              <w:right w:val="single" w:color="000000" w:sz="4" w:space="0"/>
            </w:tcBorders>
          </w:tcPr>
          <w:p w14:paraId="4F2486A1">
            <w:pPr>
              <w:spacing w:line="240" w:lineRule="auto"/>
              <w:ind w:firstLine="0" w:firstLineChars="0"/>
              <w:jc w:val="center"/>
              <w:rPr>
                <w:rFonts w:cs="Times New Roman"/>
                <w:szCs w:val="21"/>
              </w:rPr>
            </w:pPr>
            <w:r>
              <w:rPr>
                <w:rFonts w:cs="Times New Roman"/>
                <w:sz w:val="21"/>
                <w:szCs w:val="21"/>
                <w:lang w:bidi="ar"/>
              </w:rPr>
              <w:t>10</w:t>
            </w:r>
          </w:p>
        </w:tc>
      </w:tr>
      <w:tr w14:paraId="195BE4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557" w:type="pct"/>
            <w:tcBorders>
              <w:top w:val="single" w:color="000000" w:sz="4" w:space="0"/>
              <w:left w:val="single" w:color="000000" w:sz="4" w:space="0"/>
              <w:bottom w:val="single" w:color="000000" w:sz="4" w:space="0"/>
              <w:right w:val="single" w:color="000000" w:sz="4" w:space="0"/>
            </w:tcBorders>
          </w:tcPr>
          <w:p w14:paraId="07CCA0E0">
            <w:pPr>
              <w:spacing w:line="240" w:lineRule="auto"/>
              <w:ind w:firstLine="0" w:firstLineChars="0"/>
              <w:jc w:val="center"/>
              <w:rPr>
                <w:rFonts w:cs="Times New Roman"/>
                <w:szCs w:val="21"/>
              </w:rPr>
            </w:pPr>
            <w:r>
              <w:rPr>
                <w:rFonts w:hint="eastAsia" w:cs="Times New Roman"/>
                <w:sz w:val="21"/>
                <w:szCs w:val="21"/>
                <w:lang w:bidi="ar"/>
              </w:rPr>
              <w:t>江苏省</w:t>
            </w:r>
          </w:p>
        </w:tc>
        <w:tc>
          <w:tcPr>
            <w:tcW w:w="939" w:type="pct"/>
            <w:tcBorders>
              <w:top w:val="single" w:color="000000" w:sz="4" w:space="0"/>
              <w:left w:val="single" w:color="000000" w:sz="4" w:space="0"/>
              <w:bottom w:val="single" w:color="000000" w:sz="4" w:space="0"/>
              <w:right w:val="single" w:color="000000" w:sz="4" w:space="0"/>
            </w:tcBorders>
          </w:tcPr>
          <w:p w14:paraId="50445EEE">
            <w:pPr>
              <w:spacing w:line="240" w:lineRule="auto"/>
              <w:ind w:firstLine="0" w:firstLineChars="0"/>
              <w:jc w:val="center"/>
              <w:rPr>
                <w:rFonts w:cs="Times New Roman"/>
                <w:szCs w:val="21"/>
              </w:rPr>
            </w:pPr>
            <w:r>
              <w:rPr>
                <w:rFonts w:cs="Times New Roman"/>
                <w:sz w:val="21"/>
                <w:szCs w:val="21"/>
                <w:lang w:bidi="ar"/>
              </w:rPr>
              <w:t>12</w:t>
            </w:r>
          </w:p>
        </w:tc>
        <w:tc>
          <w:tcPr>
            <w:tcW w:w="939" w:type="pct"/>
            <w:tcBorders>
              <w:top w:val="single" w:color="000000" w:sz="4" w:space="0"/>
              <w:left w:val="single" w:color="000000" w:sz="4" w:space="0"/>
              <w:bottom w:val="single" w:color="000000" w:sz="4" w:space="0"/>
              <w:right w:val="single" w:color="000000" w:sz="4" w:space="0"/>
            </w:tcBorders>
          </w:tcPr>
          <w:p w14:paraId="69FABB15">
            <w:pPr>
              <w:spacing w:line="240" w:lineRule="auto"/>
              <w:ind w:firstLine="0" w:firstLineChars="0"/>
              <w:jc w:val="center"/>
              <w:rPr>
                <w:rFonts w:cs="Times New Roman"/>
                <w:szCs w:val="21"/>
              </w:rPr>
            </w:pPr>
            <w:r>
              <w:rPr>
                <w:rFonts w:cs="Times New Roman"/>
                <w:sz w:val="21"/>
                <w:szCs w:val="21"/>
                <w:lang w:bidi="ar"/>
              </w:rPr>
              <w:t>4</w:t>
            </w:r>
          </w:p>
        </w:tc>
        <w:tc>
          <w:tcPr>
            <w:tcW w:w="939" w:type="pct"/>
            <w:tcBorders>
              <w:top w:val="single" w:color="000000" w:sz="4" w:space="0"/>
              <w:left w:val="single" w:color="000000" w:sz="4" w:space="0"/>
              <w:bottom w:val="single" w:color="000000" w:sz="4" w:space="0"/>
              <w:right w:val="single" w:color="000000" w:sz="4" w:space="0"/>
            </w:tcBorders>
          </w:tcPr>
          <w:p w14:paraId="52E800AD">
            <w:pPr>
              <w:spacing w:line="240" w:lineRule="auto"/>
              <w:ind w:firstLine="0" w:firstLineChars="0"/>
              <w:jc w:val="center"/>
              <w:rPr>
                <w:rFonts w:cs="Times New Roman"/>
                <w:szCs w:val="21"/>
              </w:rPr>
            </w:pPr>
            <w:r>
              <w:rPr>
                <w:rFonts w:cs="Times New Roman"/>
                <w:sz w:val="21"/>
                <w:szCs w:val="21"/>
                <w:lang w:bidi="ar"/>
              </w:rPr>
              <w:t>3</w:t>
            </w:r>
          </w:p>
        </w:tc>
        <w:tc>
          <w:tcPr>
            <w:tcW w:w="626" w:type="pct"/>
            <w:tcBorders>
              <w:top w:val="single" w:color="000000" w:sz="4" w:space="0"/>
              <w:left w:val="single" w:color="000000" w:sz="4" w:space="0"/>
              <w:bottom w:val="single" w:color="000000" w:sz="4" w:space="0"/>
              <w:right w:val="single" w:color="000000" w:sz="4" w:space="0"/>
            </w:tcBorders>
          </w:tcPr>
          <w:p w14:paraId="296EC3D7">
            <w:pPr>
              <w:spacing w:line="240" w:lineRule="auto"/>
              <w:ind w:firstLine="0" w:firstLineChars="0"/>
              <w:jc w:val="center"/>
              <w:rPr>
                <w:rFonts w:cs="Times New Roman"/>
                <w:szCs w:val="21"/>
              </w:rPr>
            </w:pPr>
            <w:r>
              <w:rPr>
                <w:rFonts w:cs="Times New Roman"/>
                <w:sz w:val="21"/>
                <w:szCs w:val="21"/>
                <w:lang w:bidi="ar"/>
              </w:rPr>
              <w:t>19</w:t>
            </w:r>
          </w:p>
        </w:tc>
      </w:tr>
    </w:tbl>
    <w:p w14:paraId="755AC537">
      <w:pPr>
        <w:spacing w:line="570" w:lineRule="atLeast"/>
        <w:ind w:firstLine="480"/>
        <w:rPr>
          <w:rFonts w:cs="Times New Roman"/>
          <w:szCs w:val="24"/>
        </w:rPr>
      </w:pPr>
      <w:r>
        <w:rPr>
          <w:rFonts w:hint="eastAsia" w:cs="Times New Roman"/>
          <w:szCs w:val="24"/>
          <w:lang w:bidi="ar"/>
        </w:rPr>
        <w:t>茅山旅游度假区在中国陆地脊椎动物地理区划上属</w:t>
      </w:r>
      <w:r>
        <w:rPr>
          <w:rFonts w:cs="Times New Roman"/>
          <w:szCs w:val="24"/>
          <w:lang w:bidi="ar"/>
        </w:rPr>
        <w:t>VIA-</w:t>
      </w:r>
      <w:r>
        <w:rPr>
          <w:rFonts w:hint="eastAsia" w:cs="Times New Roman"/>
          <w:szCs w:val="24"/>
          <w:lang w:bidi="ar"/>
        </w:rPr>
        <w:t>东洋界、华中区、东部丘陵平原亚区，地处东洋界华中区北缘，与古北界华北区接近。总体而言，华中区的主体动物属东洋界成分，由于东洋界和古北界这两个区域之间地形平坦无天然的地理阻隔，使得古北界动物容易南下分布形成南北种类混杂和过渡的局面。如中华大蟾蜍、金线侧褶蛙、黑斑侧褶蛙原属古北成分的蛙类，南侵遍布本省成为广布种。</w:t>
      </w:r>
    </w:p>
    <w:p w14:paraId="364CB555">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3</w:t>
      </w:r>
      <w:r>
        <w:rPr>
          <w:rFonts w:hint="eastAsia" w:cs="Times New Roman"/>
          <w:b/>
          <w:bCs/>
          <w:szCs w:val="24"/>
          <w:lang w:bidi="ar"/>
        </w:rPr>
        <w:t>）生态类型分析</w:t>
      </w:r>
    </w:p>
    <w:p w14:paraId="37D55C84">
      <w:pPr>
        <w:spacing w:line="570" w:lineRule="atLeast"/>
        <w:ind w:firstLine="480"/>
        <w:rPr>
          <w:rFonts w:cs="Times New Roman"/>
          <w:szCs w:val="24"/>
        </w:rPr>
      </w:pPr>
      <w:r>
        <w:rPr>
          <w:rFonts w:hint="eastAsia" w:cs="Times New Roman"/>
          <w:szCs w:val="24"/>
          <w:u w:val="single"/>
          <w:lang w:bidi="ar"/>
        </w:rPr>
        <w:t>静水型。</w:t>
      </w:r>
      <w:r>
        <w:rPr>
          <w:rFonts w:hint="eastAsia" w:cs="Times New Roman"/>
          <w:szCs w:val="24"/>
          <w:lang w:bidi="ar"/>
        </w:rPr>
        <w:t>整个个体发育均要或完全在静水水域的种类，如茅山旅游度假区内分布的金线侧褶蛙、黑斑侧褶蛙；</w:t>
      </w:r>
    </w:p>
    <w:p w14:paraId="0F4AF73E">
      <w:pPr>
        <w:spacing w:line="570" w:lineRule="atLeast"/>
        <w:ind w:firstLine="480"/>
        <w:rPr>
          <w:rFonts w:cs="Times New Roman"/>
          <w:szCs w:val="24"/>
        </w:rPr>
      </w:pPr>
      <w:r>
        <w:rPr>
          <w:rFonts w:hint="eastAsia" w:cs="Times New Roman"/>
          <w:szCs w:val="24"/>
          <w:u w:val="single"/>
          <w:lang w:bidi="ar"/>
        </w:rPr>
        <w:t>陆栖</w:t>
      </w:r>
      <w:r>
        <w:rPr>
          <w:rFonts w:cs="Times New Roman"/>
          <w:szCs w:val="24"/>
          <w:u w:val="single"/>
          <w:lang w:bidi="ar"/>
        </w:rPr>
        <w:t>-</w:t>
      </w:r>
      <w:r>
        <w:rPr>
          <w:rFonts w:hint="eastAsia" w:cs="Times New Roman"/>
          <w:szCs w:val="24"/>
          <w:u w:val="single"/>
          <w:lang w:bidi="ar"/>
        </w:rPr>
        <w:t>静水型。</w:t>
      </w:r>
      <w:r>
        <w:rPr>
          <w:rFonts w:hint="eastAsia" w:cs="Times New Roman"/>
          <w:szCs w:val="24"/>
          <w:lang w:bidi="ar"/>
        </w:rPr>
        <w:t>非繁殖期成体多营陆生而胚胎发育及变态在静水水域中的种类，如东方蝾螈、中华蟾蜍、泽陆蛙、饰纹姬蛙、小弧斑姬蛙；</w:t>
      </w:r>
    </w:p>
    <w:p w14:paraId="49FBBD58">
      <w:pPr>
        <w:spacing w:line="570" w:lineRule="atLeast"/>
        <w:ind w:firstLine="480"/>
        <w:rPr>
          <w:rFonts w:cs="Times New Roman"/>
          <w:szCs w:val="24"/>
        </w:rPr>
      </w:pPr>
      <w:r>
        <w:rPr>
          <w:rFonts w:hint="eastAsia" w:cs="Times New Roman"/>
          <w:szCs w:val="24"/>
          <w:u w:val="single"/>
          <w:lang w:bidi="ar"/>
        </w:rPr>
        <w:t>流水型。</w:t>
      </w:r>
      <w:r>
        <w:rPr>
          <w:rFonts w:hint="eastAsia" w:cs="Times New Roman"/>
          <w:szCs w:val="24"/>
          <w:lang w:bidi="ar"/>
        </w:rPr>
        <w:t>整个个体发育均要或完全在流水水域中的种类，如棘胸蛙；</w:t>
      </w:r>
    </w:p>
    <w:p w14:paraId="599BBF2B">
      <w:pPr>
        <w:spacing w:line="570" w:lineRule="atLeast"/>
        <w:ind w:firstLine="480"/>
        <w:rPr>
          <w:rFonts w:cs="Times New Roman"/>
          <w:szCs w:val="24"/>
        </w:rPr>
      </w:pPr>
      <w:r>
        <w:rPr>
          <w:rFonts w:hint="eastAsia" w:cs="Times New Roman"/>
          <w:szCs w:val="24"/>
          <w:u w:val="single"/>
          <w:lang w:bidi="ar"/>
        </w:rPr>
        <w:t>陆栖</w:t>
      </w:r>
      <w:r>
        <w:rPr>
          <w:rFonts w:cs="Times New Roman"/>
          <w:szCs w:val="24"/>
          <w:u w:val="single"/>
          <w:lang w:bidi="ar"/>
        </w:rPr>
        <w:t>-</w:t>
      </w:r>
      <w:r>
        <w:rPr>
          <w:rFonts w:hint="eastAsia" w:cs="Times New Roman"/>
          <w:szCs w:val="24"/>
          <w:u w:val="single"/>
          <w:lang w:bidi="ar"/>
        </w:rPr>
        <w:t>流水型。</w:t>
      </w:r>
      <w:r>
        <w:rPr>
          <w:rFonts w:hint="eastAsia" w:cs="Times New Roman"/>
          <w:szCs w:val="24"/>
          <w:lang w:bidi="ar"/>
        </w:rPr>
        <w:t>非繁殖期成体多营陆生而胚胎发育及变态在流水水域的种类，此类两栖常州无分布；</w:t>
      </w:r>
    </w:p>
    <w:p w14:paraId="4701CB88">
      <w:pPr>
        <w:spacing w:line="570" w:lineRule="atLeast"/>
        <w:ind w:firstLine="480"/>
        <w:rPr>
          <w:rFonts w:cs="Times New Roman"/>
          <w:szCs w:val="24"/>
        </w:rPr>
      </w:pPr>
      <w:r>
        <w:rPr>
          <w:rFonts w:hint="eastAsia" w:cs="Times New Roman"/>
          <w:szCs w:val="24"/>
          <w:u w:val="single"/>
          <w:lang w:bidi="ar"/>
        </w:rPr>
        <w:t>树栖型。</w:t>
      </w:r>
      <w:r>
        <w:rPr>
          <w:rFonts w:hint="eastAsia" w:cs="Times New Roman"/>
          <w:szCs w:val="24"/>
          <w:lang w:bidi="ar"/>
        </w:rPr>
        <w:t>成体以树栖为主，胚胎发育及变态在静水水域的种类，如中国雨蛙、无斑雨蛙。</w:t>
      </w:r>
    </w:p>
    <w:p w14:paraId="2AEA045D">
      <w:pPr>
        <w:spacing w:line="570" w:lineRule="atLeast"/>
        <w:ind w:firstLine="480"/>
        <w:rPr>
          <w:rFonts w:cs="Times New Roman"/>
          <w:szCs w:val="24"/>
        </w:rPr>
      </w:pPr>
      <w:r>
        <w:rPr>
          <w:rFonts w:hint="eastAsia" w:cs="Times New Roman"/>
          <w:szCs w:val="24"/>
          <w:lang w:bidi="ar"/>
        </w:rPr>
        <w:t>从两栖动物生态类群的起源与演化来看，静水群应是祖先群，由此分化出流溪群和陆栖群，从陆栖群中适应分化出树栖群，而陆栖</w:t>
      </w:r>
      <w:r>
        <w:rPr>
          <w:rFonts w:cs="Times New Roman"/>
          <w:szCs w:val="24"/>
          <w:lang w:bidi="ar"/>
        </w:rPr>
        <w:t>-</w:t>
      </w:r>
      <w:r>
        <w:rPr>
          <w:rFonts w:hint="eastAsia" w:cs="Times New Roman"/>
          <w:szCs w:val="24"/>
          <w:lang w:bidi="ar"/>
        </w:rPr>
        <w:t>静水型和陆栖</w:t>
      </w:r>
      <w:r>
        <w:rPr>
          <w:rFonts w:cs="Times New Roman"/>
          <w:szCs w:val="24"/>
          <w:lang w:bidi="ar"/>
        </w:rPr>
        <w:t>-</w:t>
      </w:r>
      <w:r>
        <w:rPr>
          <w:rFonts w:hint="eastAsia" w:cs="Times New Roman"/>
          <w:szCs w:val="24"/>
          <w:lang w:bidi="ar"/>
        </w:rPr>
        <w:t>流水型是两个过渡型。</w:t>
      </w:r>
    </w:p>
    <w:p w14:paraId="6EB62319">
      <w:pPr>
        <w:spacing w:line="570" w:lineRule="atLeast"/>
        <w:ind w:firstLine="0" w:firstLineChars="0"/>
        <w:outlineLvl w:val="3"/>
      </w:pPr>
      <w:r>
        <w:t>3.</w:t>
      </w:r>
      <w:r>
        <w:rPr>
          <w:rFonts w:hint="eastAsia"/>
        </w:rPr>
        <w:t>6.</w:t>
      </w:r>
      <w:r>
        <w:t>4.6</w:t>
      </w:r>
      <w:r>
        <w:rPr>
          <w:rFonts w:hint="eastAsia"/>
        </w:rPr>
        <w:t>爬行类资源现状调查与评价</w:t>
      </w:r>
    </w:p>
    <w:p w14:paraId="5C6D6294">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1</w:t>
      </w:r>
      <w:r>
        <w:rPr>
          <w:rFonts w:hint="eastAsia" w:cs="Times New Roman"/>
          <w:b/>
          <w:bCs/>
          <w:szCs w:val="24"/>
          <w:lang w:bidi="ar"/>
        </w:rPr>
        <w:t>）物种组成分析</w:t>
      </w:r>
    </w:p>
    <w:p w14:paraId="6B6BA234">
      <w:pPr>
        <w:spacing w:line="570" w:lineRule="atLeast"/>
        <w:ind w:firstLine="480"/>
        <w:rPr>
          <w:rFonts w:cs="Times New Roman"/>
          <w:szCs w:val="24"/>
        </w:rPr>
      </w:pPr>
      <w:r>
        <w:rPr>
          <w:rFonts w:hint="eastAsia" w:cs="Times New Roman"/>
          <w:szCs w:val="24"/>
          <w:lang w:bidi="ar"/>
        </w:rPr>
        <w:t>在本次现场调查基础上，结合历史调查资料，统计得到茅山旅游度假区内共有爬行类</w:t>
      </w:r>
      <w:r>
        <w:rPr>
          <w:rFonts w:cs="Times New Roman"/>
          <w:szCs w:val="24"/>
          <w:lang w:bidi="ar"/>
        </w:rPr>
        <w:t>2</w:t>
      </w:r>
      <w:r>
        <w:rPr>
          <w:rFonts w:hint="eastAsia" w:cs="Times New Roman"/>
          <w:szCs w:val="24"/>
          <w:lang w:bidi="ar"/>
        </w:rPr>
        <w:t>目</w:t>
      </w:r>
      <w:r>
        <w:rPr>
          <w:rFonts w:cs="Times New Roman"/>
          <w:szCs w:val="24"/>
          <w:lang w:bidi="ar"/>
        </w:rPr>
        <w:t>7</w:t>
      </w:r>
      <w:r>
        <w:rPr>
          <w:rFonts w:hint="eastAsia" w:cs="Times New Roman"/>
          <w:szCs w:val="24"/>
          <w:lang w:bidi="ar"/>
        </w:rPr>
        <w:t>科</w:t>
      </w:r>
      <w:r>
        <w:rPr>
          <w:rFonts w:cs="Times New Roman"/>
          <w:szCs w:val="24"/>
          <w:lang w:bidi="ar"/>
        </w:rPr>
        <w:t>23</w:t>
      </w:r>
      <w:r>
        <w:rPr>
          <w:rFonts w:hint="eastAsia" w:cs="Times New Roman"/>
          <w:szCs w:val="24"/>
          <w:lang w:bidi="ar"/>
        </w:rPr>
        <w:t>种（本次调查实际观测到</w:t>
      </w:r>
      <w:r>
        <w:rPr>
          <w:rFonts w:cs="Times New Roman"/>
          <w:szCs w:val="24"/>
          <w:lang w:bidi="ar"/>
        </w:rPr>
        <w:t>6</w:t>
      </w:r>
      <w:r>
        <w:rPr>
          <w:rFonts w:hint="eastAsia" w:cs="Times New Roman"/>
          <w:szCs w:val="24"/>
          <w:lang w:bidi="ar"/>
        </w:rPr>
        <w:t>种，附录</w:t>
      </w:r>
      <w:r>
        <w:rPr>
          <w:rFonts w:cs="Times New Roman"/>
          <w:szCs w:val="24"/>
          <w:lang w:bidi="ar"/>
        </w:rPr>
        <w:t>5</w:t>
      </w:r>
      <w:r>
        <w:rPr>
          <w:rFonts w:hint="eastAsia" w:cs="Times New Roman"/>
          <w:szCs w:val="24"/>
          <w:lang w:bidi="ar"/>
        </w:rPr>
        <w:t>）。其中，龟鳖目</w:t>
      </w:r>
      <w:r>
        <w:rPr>
          <w:rFonts w:cs="Times New Roman"/>
          <w:szCs w:val="24"/>
          <w:lang w:bidi="ar"/>
        </w:rPr>
        <w:t>2</w:t>
      </w:r>
      <w:r>
        <w:rPr>
          <w:rFonts w:hint="eastAsia" w:cs="Times New Roman"/>
          <w:szCs w:val="24"/>
          <w:lang w:bidi="ar"/>
        </w:rPr>
        <w:t>科</w:t>
      </w:r>
      <w:r>
        <w:rPr>
          <w:rFonts w:cs="Times New Roman"/>
          <w:szCs w:val="24"/>
          <w:lang w:bidi="ar"/>
        </w:rPr>
        <w:t>5</w:t>
      </w:r>
      <w:r>
        <w:rPr>
          <w:rFonts w:hint="eastAsia" w:cs="Times New Roman"/>
          <w:szCs w:val="24"/>
          <w:lang w:bidi="ar"/>
        </w:rPr>
        <w:t>种，占总种数的</w:t>
      </w:r>
      <w:r>
        <w:rPr>
          <w:rFonts w:cs="Times New Roman"/>
          <w:szCs w:val="24"/>
          <w:lang w:bidi="ar"/>
        </w:rPr>
        <w:t>21.7%</w:t>
      </w:r>
      <w:r>
        <w:rPr>
          <w:rFonts w:hint="eastAsia" w:cs="Times New Roman"/>
          <w:szCs w:val="24"/>
          <w:lang w:bidi="ar"/>
        </w:rPr>
        <w:t>；有鳞目</w:t>
      </w:r>
      <w:r>
        <w:rPr>
          <w:rFonts w:cs="Times New Roman"/>
          <w:szCs w:val="24"/>
          <w:lang w:bidi="ar"/>
        </w:rPr>
        <w:t>5</w:t>
      </w:r>
      <w:r>
        <w:rPr>
          <w:rFonts w:hint="eastAsia" w:cs="Times New Roman"/>
          <w:szCs w:val="24"/>
          <w:lang w:bidi="ar"/>
        </w:rPr>
        <w:t>科</w:t>
      </w:r>
      <w:r>
        <w:rPr>
          <w:rFonts w:cs="Times New Roman"/>
          <w:szCs w:val="24"/>
          <w:lang w:bidi="ar"/>
        </w:rPr>
        <w:t>18</w:t>
      </w:r>
      <w:r>
        <w:rPr>
          <w:rFonts w:hint="eastAsia" w:cs="Times New Roman"/>
          <w:szCs w:val="24"/>
          <w:lang w:bidi="ar"/>
        </w:rPr>
        <w:t>种，占</w:t>
      </w:r>
      <w:r>
        <w:rPr>
          <w:rFonts w:cs="Times New Roman"/>
          <w:szCs w:val="24"/>
          <w:lang w:bidi="ar"/>
        </w:rPr>
        <w:t>78.3%</w:t>
      </w:r>
      <w:r>
        <w:rPr>
          <w:rFonts w:hint="eastAsia" w:cs="Times New Roman"/>
          <w:szCs w:val="24"/>
          <w:lang w:bidi="ar"/>
        </w:rPr>
        <w:t>。</w:t>
      </w:r>
    </w:p>
    <w:p w14:paraId="1B3A87F3">
      <w:pPr>
        <w:spacing w:line="570" w:lineRule="atLeast"/>
        <w:ind w:firstLine="480"/>
        <w:rPr>
          <w:rFonts w:cs="Times New Roman"/>
          <w:szCs w:val="24"/>
        </w:rPr>
      </w:pPr>
      <w:r>
        <w:rPr>
          <w:rFonts w:hint="eastAsia" w:cs="Times New Roman"/>
          <w:szCs w:val="24"/>
          <w:lang w:bidi="ar"/>
        </w:rPr>
        <w:t>茅山旅游度假区爬行类中有江苏省重点保护动物</w:t>
      </w:r>
      <w:r>
        <w:rPr>
          <w:rFonts w:cs="Times New Roman"/>
          <w:szCs w:val="24"/>
          <w:lang w:bidi="ar"/>
        </w:rPr>
        <w:t>8</w:t>
      </w:r>
      <w:r>
        <w:rPr>
          <w:rFonts w:hint="eastAsia" w:cs="Times New Roman"/>
          <w:szCs w:val="24"/>
          <w:lang w:bidi="ar"/>
        </w:rPr>
        <w:t>种：乌龟、大头乌龟、黄喉拟水龟、中华花龟、火赤链蛇、乌梢蛇、王锦蛇、黑眉锦蛇；中国濒危动物红皮书收录</w:t>
      </w:r>
      <w:r>
        <w:rPr>
          <w:rFonts w:cs="Times New Roman"/>
          <w:szCs w:val="24"/>
          <w:lang w:bidi="ar"/>
        </w:rPr>
        <w:t>7</w:t>
      </w:r>
      <w:r>
        <w:rPr>
          <w:rFonts w:hint="eastAsia" w:cs="Times New Roman"/>
          <w:szCs w:val="24"/>
          <w:lang w:bidi="ar"/>
        </w:rPr>
        <w:t>种：淡水龟科的大头乌龟、黄喉拟水龟和中华花龟，以及鳖、王锦蛇、黑眉锦蛇和短尾蝮；“三有”保护动物</w:t>
      </w:r>
      <w:r>
        <w:rPr>
          <w:rFonts w:cs="Times New Roman"/>
          <w:szCs w:val="24"/>
          <w:lang w:bidi="ar"/>
        </w:rPr>
        <w:t>23</w:t>
      </w:r>
      <w:r>
        <w:rPr>
          <w:rFonts w:hint="eastAsia" w:cs="Times New Roman"/>
          <w:szCs w:val="24"/>
          <w:lang w:bidi="ar"/>
        </w:rPr>
        <w:t>种。</w:t>
      </w:r>
    </w:p>
    <w:p w14:paraId="2F7E2DD9">
      <w:pPr>
        <w:spacing w:line="240" w:lineRule="auto"/>
        <w:ind w:firstLine="0" w:firstLineChars="0"/>
      </w:pPr>
      <w:r>
        <w:rPr>
          <w:rFonts w:hint="eastAsia" w:ascii="等线" w:hAnsi="等线" w:eastAsia="等线" w:cs="Times New Roman"/>
          <w:sz w:val="21"/>
          <w:lang w:bidi="ar"/>
        </w:rPr>
        <w:drawing>
          <wp:inline distT="0" distB="0" distL="114300" distR="114300">
            <wp:extent cx="2590800" cy="1943100"/>
            <wp:effectExtent l="0" t="0" r="0" b="0"/>
            <wp:docPr id="5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7"/>
                    <pic:cNvPicPr>
                      <a:picLocks noChangeAspect="1"/>
                    </pic:cNvPicPr>
                  </pic:nvPicPr>
                  <pic:blipFill>
                    <a:blip r:embed="rId56"/>
                    <a:stretch>
                      <a:fillRect/>
                    </a:stretch>
                  </pic:blipFill>
                  <pic:spPr>
                    <a:xfrm>
                      <a:off x="0" y="0"/>
                      <a:ext cx="2590800" cy="1943100"/>
                    </a:xfrm>
                    <a:prstGeom prst="rect">
                      <a:avLst/>
                    </a:prstGeom>
                    <a:noFill/>
                    <a:ln>
                      <a:noFill/>
                    </a:ln>
                  </pic:spPr>
                </pic:pic>
              </a:graphicData>
            </a:graphic>
          </wp:inline>
        </w:drawing>
      </w:r>
      <w:r>
        <w:rPr>
          <w:rFonts w:hint="eastAsia" w:ascii="等线" w:hAnsi="等线" w:eastAsia="等线" w:cs="Times New Roman"/>
          <w:sz w:val="21"/>
          <w:lang w:bidi="ar"/>
        </w:rPr>
        <w:t xml:space="preserve"> </w:t>
      </w:r>
      <w:r>
        <w:rPr>
          <w:rFonts w:hint="eastAsia" w:ascii="等线" w:hAnsi="等线" w:eastAsia="等线" w:cs="Times New Roman"/>
          <w:sz w:val="21"/>
          <w:lang w:bidi="ar"/>
        </w:rPr>
        <w:drawing>
          <wp:inline distT="0" distB="0" distL="114300" distR="114300">
            <wp:extent cx="2590800" cy="1943100"/>
            <wp:effectExtent l="0" t="0" r="0" b="0"/>
            <wp:docPr id="52" name="图片 2"/>
            <wp:cNvGraphicFramePr/>
            <a:graphic xmlns:a="http://schemas.openxmlformats.org/drawingml/2006/main">
              <a:graphicData uri="http://schemas.openxmlformats.org/drawingml/2006/picture">
                <pic:pic xmlns:pic="http://schemas.openxmlformats.org/drawingml/2006/picture">
                  <pic:nvPicPr>
                    <pic:cNvPr id="52" name="图片 2"/>
                    <pic:cNvPicPr/>
                  </pic:nvPicPr>
                  <pic:blipFill>
                    <a:blip r:embed="rId57"/>
                    <a:stretch>
                      <a:fillRect/>
                    </a:stretch>
                  </pic:blipFill>
                  <pic:spPr>
                    <a:xfrm>
                      <a:off x="0" y="0"/>
                      <a:ext cx="2590800" cy="1943100"/>
                    </a:xfrm>
                    <a:prstGeom prst="rect">
                      <a:avLst/>
                    </a:prstGeom>
                    <a:noFill/>
                    <a:ln>
                      <a:noFill/>
                    </a:ln>
                  </pic:spPr>
                </pic:pic>
              </a:graphicData>
            </a:graphic>
          </wp:inline>
        </w:drawing>
      </w:r>
    </w:p>
    <w:p w14:paraId="16B1BCFE">
      <w:pPr>
        <w:spacing w:line="240" w:lineRule="auto"/>
        <w:ind w:firstLine="0" w:firstLineChars="0"/>
        <w:jc w:val="center"/>
        <w:rPr>
          <w:rFonts w:cs="Times New Roman"/>
          <w:b/>
          <w:bCs/>
          <w:szCs w:val="24"/>
        </w:rPr>
      </w:pPr>
      <w:r>
        <w:rPr>
          <w:rFonts w:hint="eastAsia" w:cs="Times New Roman"/>
          <w:b/>
          <w:bCs/>
          <w:sz w:val="21"/>
          <w:lang w:bidi="ar"/>
        </w:rPr>
        <w:t>赤链蛇</w:t>
      </w:r>
      <w:r>
        <w:rPr>
          <w:rFonts w:cs="Times New Roman"/>
          <w:b/>
          <w:bCs/>
          <w:sz w:val="21"/>
          <w:lang w:bidi="ar"/>
        </w:rPr>
        <w:t xml:space="preserve">                                </w:t>
      </w:r>
      <w:r>
        <w:rPr>
          <w:rFonts w:hint="eastAsia" w:cs="Times New Roman"/>
          <w:b/>
          <w:bCs/>
          <w:sz w:val="21"/>
          <w:lang w:bidi="ar"/>
        </w:rPr>
        <w:t>多疣壁虎</w:t>
      </w:r>
    </w:p>
    <w:p w14:paraId="3BAC29FA">
      <w:pPr>
        <w:ind w:firstLine="482"/>
        <w:rPr>
          <w:rFonts w:cs="Times New Roman"/>
          <w:b/>
          <w:bCs/>
          <w:szCs w:val="24"/>
        </w:rPr>
      </w:pPr>
      <w:r>
        <w:rPr>
          <w:rFonts w:hint="eastAsia" w:cs="Times New Roman"/>
          <w:b/>
          <w:bCs/>
          <w:szCs w:val="24"/>
          <w:lang w:bidi="ar"/>
        </w:rPr>
        <w:t>（</w:t>
      </w:r>
      <w:r>
        <w:rPr>
          <w:rFonts w:cs="Times New Roman"/>
          <w:b/>
          <w:bCs/>
          <w:szCs w:val="24"/>
          <w:lang w:bidi="ar"/>
        </w:rPr>
        <w:t>2</w:t>
      </w:r>
      <w:r>
        <w:rPr>
          <w:rFonts w:hint="eastAsia" w:cs="Times New Roman"/>
          <w:b/>
          <w:bCs/>
          <w:szCs w:val="24"/>
          <w:lang w:bidi="ar"/>
        </w:rPr>
        <w:t>）区系组成分析</w:t>
      </w:r>
    </w:p>
    <w:p w14:paraId="56D31D28">
      <w:pPr>
        <w:ind w:firstLine="480"/>
        <w:rPr>
          <w:rFonts w:cs="Times New Roman"/>
          <w:szCs w:val="24"/>
        </w:rPr>
      </w:pPr>
      <w:r>
        <w:rPr>
          <w:rFonts w:hint="eastAsia" w:cs="Times New Roman"/>
          <w:szCs w:val="24"/>
          <w:lang w:bidi="ar"/>
        </w:rPr>
        <w:t>茅山旅游度假区内现存的</w:t>
      </w:r>
      <w:r>
        <w:rPr>
          <w:rFonts w:cs="Times New Roman"/>
          <w:szCs w:val="24"/>
          <w:lang w:bidi="ar"/>
        </w:rPr>
        <w:t>23</w:t>
      </w:r>
      <w:r>
        <w:rPr>
          <w:rFonts w:hint="eastAsia" w:cs="Times New Roman"/>
          <w:szCs w:val="24"/>
          <w:lang w:bidi="ar"/>
        </w:rPr>
        <w:t>种爬行动物中，属于东洋界的有</w:t>
      </w:r>
      <w:r>
        <w:rPr>
          <w:rFonts w:cs="Times New Roman"/>
          <w:szCs w:val="24"/>
          <w:lang w:bidi="ar"/>
        </w:rPr>
        <w:t>14</w:t>
      </w:r>
      <w:r>
        <w:rPr>
          <w:rFonts w:hint="eastAsia" w:cs="Times New Roman"/>
          <w:szCs w:val="24"/>
          <w:lang w:bidi="ar"/>
        </w:rPr>
        <w:t>种，占爬行类总数的</w:t>
      </w:r>
      <w:r>
        <w:rPr>
          <w:rFonts w:cs="Times New Roman"/>
          <w:szCs w:val="24"/>
          <w:lang w:bidi="ar"/>
        </w:rPr>
        <w:t>60.9%</w:t>
      </w:r>
      <w:r>
        <w:rPr>
          <w:rFonts w:hint="eastAsia" w:cs="Times New Roman"/>
          <w:szCs w:val="24"/>
          <w:lang w:bidi="ar"/>
        </w:rPr>
        <w:t>，分别为大头乌龟、黄喉拟水龟、中华花龟、多疣壁虎、北方草蜥、铜蜓蜥、中国石龙子、蓝尾石龙子、乌梢蛇、双斑锦蛇、王锦蛇、黑头剑蛇、水赤链游蛇、中国水蛇；属广泛分布的有</w:t>
      </w:r>
      <w:r>
        <w:rPr>
          <w:rFonts w:cs="Times New Roman"/>
          <w:szCs w:val="24"/>
          <w:lang w:bidi="ar"/>
        </w:rPr>
        <w:t>9</w:t>
      </w:r>
      <w:r>
        <w:rPr>
          <w:rFonts w:hint="eastAsia" w:cs="Times New Roman"/>
          <w:szCs w:val="24"/>
          <w:lang w:bidi="ar"/>
        </w:rPr>
        <w:t>种，分别为乌龟、鳖、白条草蜥、宁波滑蜥、虎斑颈槽蛇、火赤链蛇、红点锦蛇、黑眉锦蛇、短尾蝮（表</w:t>
      </w:r>
      <w:r>
        <w:rPr>
          <w:rFonts w:cs="Times New Roman"/>
          <w:szCs w:val="24"/>
          <w:lang w:bidi="ar"/>
        </w:rPr>
        <w:t>3.4-9</w:t>
      </w:r>
      <w:r>
        <w:rPr>
          <w:rFonts w:hint="eastAsia" w:cs="Times New Roman"/>
          <w:szCs w:val="24"/>
          <w:lang w:bidi="ar"/>
        </w:rPr>
        <w:t>）。从茅山旅游度假区爬行类区系组成课件，东洋界的种类是组成常州市爬行类的主体，广布种次之。</w:t>
      </w:r>
    </w:p>
    <w:p w14:paraId="7C12705A">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17</w:t>
      </w:r>
      <w:r>
        <w:rPr>
          <w:rFonts w:cs="Times New Roman"/>
        </w:rPr>
        <w:t xml:space="preserve"> </w:t>
      </w:r>
      <w:r>
        <w:rPr>
          <w:rFonts w:hint="eastAsia" w:cs="Times New Roman"/>
        </w:rPr>
        <w:t>度假区爬行类区系组成</w:t>
      </w:r>
    </w:p>
    <w:tbl>
      <w:tblPr>
        <w:tblStyle w:val="25"/>
        <w:tblW w:w="500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772"/>
        <w:gridCol w:w="2781"/>
        <w:gridCol w:w="2773"/>
      </w:tblGrid>
      <w:tr w14:paraId="1E181B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0" w:hRule="atLeast"/>
        </w:trPr>
        <w:tc>
          <w:tcPr>
            <w:tcW w:w="1664" w:type="pct"/>
            <w:tcBorders>
              <w:top w:val="single" w:color="000000" w:sz="4" w:space="0"/>
              <w:left w:val="single" w:color="000000" w:sz="4" w:space="0"/>
              <w:bottom w:val="single" w:color="000000" w:sz="4" w:space="0"/>
              <w:right w:val="single" w:color="000000" w:sz="4" w:space="0"/>
            </w:tcBorders>
          </w:tcPr>
          <w:p w14:paraId="6A6D3151">
            <w:pPr>
              <w:spacing w:line="240" w:lineRule="auto"/>
              <w:ind w:firstLine="0" w:firstLineChars="0"/>
              <w:jc w:val="center"/>
              <w:rPr>
                <w:rFonts w:cs="Times New Roman"/>
                <w:b/>
                <w:bCs/>
                <w:szCs w:val="21"/>
              </w:rPr>
            </w:pPr>
            <w:r>
              <w:rPr>
                <w:rFonts w:hint="eastAsia" w:cs="Times New Roman"/>
                <w:b/>
                <w:bCs/>
                <w:sz w:val="21"/>
                <w:szCs w:val="21"/>
                <w:lang w:bidi="ar"/>
              </w:rPr>
              <w:t>区域</w:t>
            </w:r>
          </w:p>
        </w:tc>
        <w:tc>
          <w:tcPr>
            <w:tcW w:w="1669" w:type="pct"/>
            <w:tcBorders>
              <w:top w:val="single" w:color="000000" w:sz="4" w:space="0"/>
              <w:left w:val="single" w:color="000000" w:sz="4" w:space="0"/>
              <w:bottom w:val="single" w:color="000000" w:sz="4" w:space="0"/>
              <w:right w:val="single" w:color="000000" w:sz="4" w:space="0"/>
            </w:tcBorders>
          </w:tcPr>
          <w:p w14:paraId="7A09DDBE">
            <w:pPr>
              <w:spacing w:line="240" w:lineRule="auto"/>
              <w:ind w:firstLine="0" w:firstLineChars="0"/>
              <w:jc w:val="center"/>
              <w:rPr>
                <w:rFonts w:cs="Times New Roman"/>
                <w:b/>
                <w:bCs/>
                <w:szCs w:val="21"/>
              </w:rPr>
            </w:pPr>
            <w:r>
              <w:rPr>
                <w:rFonts w:hint="eastAsia" w:cs="Times New Roman"/>
                <w:b/>
                <w:bCs/>
                <w:sz w:val="21"/>
                <w:szCs w:val="21"/>
                <w:lang w:bidi="ar"/>
              </w:rPr>
              <w:t>东洋种</w:t>
            </w:r>
          </w:p>
        </w:tc>
        <w:tc>
          <w:tcPr>
            <w:tcW w:w="1664" w:type="pct"/>
            <w:tcBorders>
              <w:top w:val="single" w:color="000000" w:sz="4" w:space="0"/>
              <w:left w:val="single" w:color="000000" w:sz="4" w:space="0"/>
              <w:bottom w:val="single" w:color="000000" w:sz="4" w:space="0"/>
              <w:right w:val="single" w:color="000000" w:sz="4" w:space="0"/>
            </w:tcBorders>
          </w:tcPr>
          <w:p w14:paraId="678CC2C0">
            <w:pPr>
              <w:spacing w:line="240" w:lineRule="auto"/>
              <w:ind w:firstLine="0" w:firstLineChars="0"/>
              <w:jc w:val="center"/>
              <w:rPr>
                <w:rFonts w:cs="Times New Roman"/>
                <w:b/>
                <w:bCs/>
                <w:szCs w:val="21"/>
              </w:rPr>
            </w:pPr>
            <w:r>
              <w:rPr>
                <w:rFonts w:hint="eastAsia" w:cs="Times New Roman"/>
                <w:b/>
                <w:bCs/>
                <w:sz w:val="21"/>
                <w:szCs w:val="21"/>
                <w:lang w:bidi="ar"/>
              </w:rPr>
              <w:t>广布种</w:t>
            </w:r>
          </w:p>
        </w:tc>
      </w:tr>
      <w:tr w14:paraId="5EC7DF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664" w:type="pct"/>
            <w:tcBorders>
              <w:top w:val="single" w:color="000000" w:sz="4" w:space="0"/>
              <w:left w:val="single" w:color="000000" w:sz="4" w:space="0"/>
              <w:bottom w:val="single" w:color="000000" w:sz="4" w:space="0"/>
              <w:right w:val="single" w:color="000000" w:sz="4" w:space="0"/>
            </w:tcBorders>
          </w:tcPr>
          <w:p w14:paraId="1DF68364">
            <w:pPr>
              <w:spacing w:line="240" w:lineRule="auto"/>
              <w:ind w:firstLine="0" w:firstLineChars="0"/>
              <w:jc w:val="center"/>
              <w:rPr>
                <w:rFonts w:cs="Times New Roman"/>
                <w:szCs w:val="21"/>
              </w:rPr>
            </w:pPr>
            <w:r>
              <w:rPr>
                <w:rFonts w:hint="eastAsia" w:cs="Times New Roman"/>
                <w:sz w:val="21"/>
                <w:szCs w:val="21"/>
                <w:lang w:bidi="ar"/>
              </w:rPr>
              <w:t>度假区</w:t>
            </w:r>
          </w:p>
        </w:tc>
        <w:tc>
          <w:tcPr>
            <w:tcW w:w="1669" w:type="pct"/>
            <w:tcBorders>
              <w:top w:val="single" w:color="000000" w:sz="4" w:space="0"/>
              <w:left w:val="single" w:color="000000" w:sz="4" w:space="0"/>
              <w:bottom w:val="single" w:color="000000" w:sz="4" w:space="0"/>
              <w:right w:val="single" w:color="000000" w:sz="4" w:space="0"/>
            </w:tcBorders>
          </w:tcPr>
          <w:p w14:paraId="151B5BF0">
            <w:pPr>
              <w:spacing w:line="240" w:lineRule="auto"/>
              <w:ind w:firstLine="0" w:firstLineChars="0"/>
              <w:jc w:val="center"/>
              <w:rPr>
                <w:rFonts w:cs="Times New Roman"/>
                <w:szCs w:val="21"/>
              </w:rPr>
            </w:pPr>
            <w:r>
              <w:rPr>
                <w:rFonts w:cs="Times New Roman"/>
                <w:sz w:val="21"/>
                <w:szCs w:val="21"/>
                <w:lang w:bidi="ar"/>
              </w:rPr>
              <w:t>14</w:t>
            </w:r>
          </w:p>
        </w:tc>
        <w:tc>
          <w:tcPr>
            <w:tcW w:w="1664" w:type="pct"/>
            <w:tcBorders>
              <w:top w:val="single" w:color="000000" w:sz="4" w:space="0"/>
              <w:left w:val="single" w:color="000000" w:sz="4" w:space="0"/>
              <w:bottom w:val="single" w:color="000000" w:sz="4" w:space="0"/>
              <w:right w:val="single" w:color="000000" w:sz="4" w:space="0"/>
            </w:tcBorders>
          </w:tcPr>
          <w:p w14:paraId="55A2BA09">
            <w:pPr>
              <w:spacing w:line="240" w:lineRule="auto"/>
              <w:ind w:firstLine="0" w:firstLineChars="0"/>
              <w:jc w:val="center"/>
              <w:rPr>
                <w:rFonts w:cs="Times New Roman"/>
                <w:szCs w:val="21"/>
              </w:rPr>
            </w:pPr>
            <w:r>
              <w:rPr>
                <w:rFonts w:cs="Times New Roman"/>
                <w:sz w:val="21"/>
                <w:szCs w:val="21"/>
                <w:lang w:bidi="ar"/>
              </w:rPr>
              <w:t>9</w:t>
            </w:r>
          </w:p>
        </w:tc>
      </w:tr>
      <w:tr w14:paraId="6AE5FD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664" w:type="pct"/>
            <w:tcBorders>
              <w:top w:val="single" w:color="000000" w:sz="4" w:space="0"/>
              <w:left w:val="single" w:color="000000" w:sz="4" w:space="0"/>
              <w:bottom w:val="single" w:color="000000" w:sz="4" w:space="0"/>
              <w:right w:val="single" w:color="000000" w:sz="4" w:space="0"/>
            </w:tcBorders>
          </w:tcPr>
          <w:p w14:paraId="34E0E6CE">
            <w:pPr>
              <w:spacing w:line="240" w:lineRule="auto"/>
              <w:ind w:firstLine="0" w:firstLineChars="0"/>
              <w:jc w:val="center"/>
              <w:rPr>
                <w:rFonts w:cs="Times New Roman"/>
                <w:szCs w:val="21"/>
              </w:rPr>
            </w:pPr>
            <w:r>
              <w:rPr>
                <w:rFonts w:hint="eastAsia" w:cs="Times New Roman"/>
                <w:sz w:val="21"/>
                <w:szCs w:val="21"/>
                <w:lang w:bidi="ar"/>
              </w:rPr>
              <w:t>江苏省</w:t>
            </w:r>
          </w:p>
        </w:tc>
        <w:tc>
          <w:tcPr>
            <w:tcW w:w="1669" w:type="pct"/>
            <w:tcBorders>
              <w:top w:val="single" w:color="000000" w:sz="4" w:space="0"/>
              <w:left w:val="single" w:color="000000" w:sz="4" w:space="0"/>
              <w:bottom w:val="single" w:color="000000" w:sz="4" w:space="0"/>
              <w:right w:val="single" w:color="000000" w:sz="4" w:space="0"/>
            </w:tcBorders>
          </w:tcPr>
          <w:p w14:paraId="33033CEF">
            <w:pPr>
              <w:spacing w:line="240" w:lineRule="auto"/>
              <w:ind w:firstLine="0" w:firstLineChars="0"/>
              <w:jc w:val="center"/>
              <w:rPr>
                <w:rFonts w:cs="Times New Roman"/>
                <w:szCs w:val="21"/>
              </w:rPr>
            </w:pPr>
            <w:r>
              <w:rPr>
                <w:rFonts w:cs="Times New Roman"/>
                <w:sz w:val="21"/>
                <w:szCs w:val="21"/>
                <w:lang w:bidi="ar"/>
              </w:rPr>
              <w:t>32</w:t>
            </w:r>
          </w:p>
        </w:tc>
        <w:tc>
          <w:tcPr>
            <w:tcW w:w="1664" w:type="pct"/>
            <w:tcBorders>
              <w:top w:val="single" w:color="000000" w:sz="4" w:space="0"/>
              <w:left w:val="single" w:color="000000" w:sz="4" w:space="0"/>
              <w:bottom w:val="single" w:color="000000" w:sz="4" w:space="0"/>
              <w:right w:val="single" w:color="000000" w:sz="4" w:space="0"/>
            </w:tcBorders>
          </w:tcPr>
          <w:p w14:paraId="1E457D56">
            <w:pPr>
              <w:spacing w:line="240" w:lineRule="auto"/>
              <w:ind w:firstLine="0" w:firstLineChars="0"/>
              <w:jc w:val="center"/>
              <w:rPr>
                <w:rFonts w:cs="Times New Roman"/>
                <w:szCs w:val="21"/>
              </w:rPr>
            </w:pPr>
            <w:r>
              <w:rPr>
                <w:rFonts w:cs="Times New Roman"/>
                <w:sz w:val="21"/>
                <w:szCs w:val="21"/>
                <w:lang w:bidi="ar"/>
              </w:rPr>
              <w:t>9</w:t>
            </w:r>
          </w:p>
        </w:tc>
      </w:tr>
    </w:tbl>
    <w:p w14:paraId="144B0A9F">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3</w:t>
      </w:r>
      <w:r>
        <w:rPr>
          <w:rFonts w:hint="eastAsia" w:cs="Times New Roman"/>
          <w:b/>
          <w:bCs/>
          <w:szCs w:val="24"/>
          <w:lang w:bidi="ar"/>
        </w:rPr>
        <w:t>）生态类型分析</w:t>
      </w:r>
    </w:p>
    <w:p w14:paraId="1DE33F1E">
      <w:pPr>
        <w:spacing w:line="570" w:lineRule="atLeast"/>
        <w:ind w:firstLine="480"/>
        <w:rPr>
          <w:rFonts w:cs="Times New Roman"/>
          <w:szCs w:val="24"/>
        </w:rPr>
      </w:pPr>
      <w:r>
        <w:rPr>
          <w:rFonts w:hint="eastAsia" w:cs="Times New Roman"/>
          <w:szCs w:val="24"/>
          <w:lang w:bidi="ar"/>
        </w:rPr>
        <w:t>按生活环境，茅山旅游度假区内爬行类可分为地面上爬行种类、树栖种类、穴居种类和水栖种类</w:t>
      </w:r>
      <w:r>
        <w:rPr>
          <w:rFonts w:cs="Times New Roman"/>
          <w:szCs w:val="24"/>
          <w:lang w:bidi="ar"/>
        </w:rPr>
        <w:t>4</w:t>
      </w:r>
      <w:r>
        <w:rPr>
          <w:rFonts w:hint="eastAsia" w:cs="Times New Roman"/>
          <w:szCs w:val="24"/>
          <w:lang w:bidi="ar"/>
        </w:rPr>
        <w:t>类。其中，蛇类的栖息环境可分为水生性和陆栖性两种，陆栖性蛇科细分为地面性、树栖性和穴居性</w:t>
      </w:r>
      <w:r>
        <w:rPr>
          <w:rFonts w:cs="Times New Roman"/>
          <w:szCs w:val="24"/>
          <w:lang w:bidi="ar"/>
        </w:rPr>
        <w:t>3</w:t>
      </w:r>
      <w:r>
        <w:rPr>
          <w:rFonts w:hint="eastAsia" w:cs="Times New Roman"/>
          <w:szCs w:val="24"/>
          <w:lang w:bidi="ar"/>
        </w:rPr>
        <w:t>种。区内赤链蛇、黑眉锦蛇和短尾蝮蛇为山林中蛇的数量优势种；石龙子和蜥蜴类为蜥蜴亚目中的数量优势种，在区内居民住宅附近、水塘及附近林灌丛中均有一定数量的分布；野生龟鳖类数量和种类相对较少，主要为乌龟和鳖两种。</w:t>
      </w:r>
    </w:p>
    <w:p w14:paraId="31F93512">
      <w:pPr>
        <w:spacing w:line="570" w:lineRule="atLeast"/>
        <w:ind w:firstLine="0" w:firstLineChars="0"/>
        <w:outlineLvl w:val="3"/>
      </w:pPr>
      <w:r>
        <w:t>3.</w:t>
      </w:r>
      <w:r>
        <w:rPr>
          <w:rFonts w:hint="eastAsia"/>
        </w:rPr>
        <w:t>6.</w:t>
      </w:r>
      <w:r>
        <w:t>4.7</w:t>
      </w:r>
      <w:r>
        <w:rPr>
          <w:rFonts w:hint="eastAsia"/>
        </w:rPr>
        <w:t>鸟类资源现状调查与评价</w:t>
      </w:r>
    </w:p>
    <w:p w14:paraId="4075BED8">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1</w:t>
      </w:r>
      <w:r>
        <w:rPr>
          <w:rFonts w:hint="eastAsia" w:cs="Times New Roman"/>
          <w:b/>
          <w:bCs/>
          <w:szCs w:val="24"/>
          <w:lang w:bidi="ar"/>
        </w:rPr>
        <w:t>）物种组成分析</w:t>
      </w:r>
    </w:p>
    <w:p w14:paraId="00272D01">
      <w:pPr>
        <w:spacing w:line="570" w:lineRule="atLeast"/>
        <w:ind w:firstLine="480"/>
        <w:rPr>
          <w:rFonts w:cs="Times New Roman"/>
          <w:szCs w:val="24"/>
        </w:rPr>
      </w:pPr>
      <w:r>
        <w:rPr>
          <w:rFonts w:hint="eastAsia" w:cs="Times New Roman"/>
          <w:szCs w:val="24"/>
          <w:lang w:bidi="ar"/>
        </w:rPr>
        <w:t>在本次现场调查基础上，结合历史调查资料，统计得到茅山旅游度假区内共有鸟类</w:t>
      </w:r>
      <w:r>
        <w:rPr>
          <w:rFonts w:cs="Times New Roman"/>
          <w:szCs w:val="24"/>
          <w:lang w:bidi="ar"/>
        </w:rPr>
        <w:t>122</w:t>
      </w:r>
      <w:r>
        <w:rPr>
          <w:rFonts w:hint="eastAsia" w:cs="Times New Roman"/>
          <w:szCs w:val="24"/>
          <w:lang w:bidi="ar"/>
        </w:rPr>
        <w:t>种（本次调查实际观测到</w:t>
      </w:r>
      <w:r>
        <w:rPr>
          <w:rFonts w:cs="Times New Roman"/>
          <w:szCs w:val="24"/>
          <w:lang w:bidi="ar"/>
        </w:rPr>
        <w:t>40</w:t>
      </w:r>
      <w:r>
        <w:rPr>
          <w:rFonts w:hint="eastAsia" w:cs="Times New Roman"/>
          <w:szCs w:val="24"/>
          <w:lang w:bidi="ar"/>
        </w:rPr>
        <w:t>种，附录</w:t>
      </w:r>
      <w:r>
        <w:rPr>
          <w:rFonts w:cs="Times New Roman"/>
          <w:szCs w:val="24"/>
          <w:lang w:bidi="ar"/>
        </w:rPr>
        <w:t>6</w:t>
      </w:r>
      <w:r>
        <w:rPr>
          <w:rFonts w:hint="eastAsia" w:cs="Times New Roman"/>
          <w:szCs w:val="24"/>
          <w:lang w:bidi="ar"/>
        </w:rPr>
        <w:t>），隶属</w:t>
      </w:r>
      <w:r>
        <w:rPr>
          <w:rFonts w:cs="Times New Roman"/>
          <w:szCs w:val="24"/>
          <w:lang w:bidi="ar"/>
        </w:rPr>
        <w:t>15</w:t>
      </w:r>
      <w:r>
        <w:rPr>
          <w:rFonts w:hint="eastAsia" w:cs="Times New Roman"/>
          <w:szCs w:val="24"/>
          <w:lang w:bidi="ar"/>
        </w:rPr>
        <w:t>目</w:t>
      </w:r>
      <w:r>
        <w:rPr>
          <w:rFonts w:cs="Times New Roman"/>
          <w:szCs w:val="24"/>
          <w:lang w:bidi="ar"/>
        </w:rPr>
        <w:t>38</w:t>
      </w:r>
      <w:r>
        <w:rPr>
          <w:rFonts w:hint="eastAsia" w:cs="Times New Roman"/>
          <w:szCs w:val="24"/>
          <w:lang w:bidi="ar"/>
        </w:rPr>
        <w:t>科。其中，物种数在</w:t>
      </w:r>
      <w:r>
        <w:rPr>
          <w:rFonts w:cs="Times New Roman"/>
          <w:szCs w:val="24"/>
          <w:lang w:bidi="ar"/>
        </w:rPr>
        <w:t>10</w:t>
      </w:r>
      <w:r>
        <w:rPr>
          <w:rFonts w:hint="eastAsia" w:cs="Times New Roman"/>
          <w:szCs w:val="24"/>
          <w:lang w:bidi="ar"/>
        </w:rPr>
        <w:t>种以上的目有雀形目</w:t>
      </w:r>
      <w:r>
        <w:rPr>
          <w:rFonts w:cs="Times New Roman"/>
          <w:szCs w:val="24"/>
          <w:lang w:bidi="ar"/>
        </w:rPr>
        <w:t>54</w:t>
      </w:r>
      <w:r>
        <w:rPr>
          <w:rFonts w:hint="eastAsia" w:cs="Times New Roman"/>
          <w:szCs w:val="24"/>
          <w:lang w:bidi="ar"/>
        </w:rPr>
        <w:t>种，占总数的</w:t>
      </w:r>
      <w:r>
        <w:rPr>
          <w:rFonts w:cs="Times New Roman"/>
          <w:szCs w:val="24"/>
          <w:lang w:bidi="ar"/>
        </w:rPr>
        <w:t>44.26%</w:t>
      </w:r>
      <w:r>
        <w:rPr>
          <w:rFonts w:hint="eastAsia" w:cs="Times New Roman"/>
          <w:szCs w:val="24"/>
          <w:lang w:bidi="ar"/>
        </w:rPr>
        <w:t>；</w:t>
      </w:r>
      <w:r>
        <w:rPr>
          <w:rFonts w:hint="eastAsia" w:ascii="仿宋" w:hAnsi="仿宋" w:eastAsia="仿宋" w:cs="微软雅黑"/>
          <w:szCs w:val="24"/>
          <w:lang w:bidi="ar"/>
        </w:rPr>
        <w:t>鸻</w:t>
      </w:r>
      <w:r>
        <w:rPr>
          <w:rFonts w:hint="eastAsia" w:ascii="仿宋_GB2312" w:hAnsi="仿宋_GB2312" w:cs="仿宋_GB2312"/>
          <w:szCs w:val="24"/>
          <w:lang w:bidi="ar"/>
        </w:rPr>
        <w:t>形目</w:t>
      </w:r>
      <w:r>
        <w:rPr>
          <w:rFonts w:cs="Times New Roman"/>
          <w:szCs w:val="24"/>
          <w:lang w:bidi="ar"/>
        </w:rPr>
        <w:t>16</w:t>
      </w:r>
      <w:r>
        <w:rPr>
          <w:rFonts w:hint="eastAsia" w:cs="Times New Roman"/>
          <w:szCs w:val="24"/>
          <w:lang w:bidi="ar"/>
        </w:rPr>
        <w:t>种，占</w:t>
      </w:r>
      <w:r>
        <w:rPr>
          <w:rFonts w:cs="Times New Roman"/>
          <w:szCs w:val="24"/>
          <w:lang w:bidi="ar"/>
        </w:rPr>
        <w:t>13.11%</w:t>
      </w:r>
      <w:r>
        <w:rPr>
          <w:rFonts w:hint="eastAsia" w:cs="Times New Roman"/>
          <w:szCs w:val="24"/>
          <w:lang w:bidi="ar"/>
        </w:rPr>
        <w:t>；鹳形目</w:t>
      </w:r>
      <w:r>
        <w:rPr>
          <w:rFonts w:cs="Times New Roman"/>
          <w:szCs w:val="24"/>
          <w:lang w:bidi="ar"/>
        </w:rPr>
        <w:t>12</w:t>
      </w:r>
      <w:r>
        <w:rPr>
          <w:rFonts w:hint="eastAsia" w:cs="Times New Roman"/>
          <w:szCs w:val="24"/>
          <w:lang w:bidi="ar"/>
        </w:rPr>
        <w:t>种，占</w:t>
      </w:r>
      <w:r>
        <w:rPr>
          <w:rFonts w:cs="Times New Roman"/>
          <w:szCs w:val="24"/>
          <w:lang w:bidi="ar"/>
        </w:rPr>
        <w:t>9.84%</w:t>
      </w:r>
      <w:r>
        <w:rPr>
          <w:rFonts w:hint="eastAsia" w:cs="Times New Roman"/>
          <w:szCs w:val="24"/>
          <w:lang w:bidi="ar"/>
        </w:rPr>
        <w:t>和雁形目</w:t>
      </w:r>
      <w:r>
        <w:rPr>
          <w:rFonts w:cs="Times New Roman"/>
          <w:szCs w:val="24"/>
          <w:lang w:bidi="ar"/>
        </w:rPr>
        <w:t>10</w:t>
      </w:r>
      <w:r>
        <w:rPr>
          <w:rFonts w:hint="eastAsia" w:cs="Times New Roman"/>
          <w:szCs w:val="24"/>
          <w:lang w:bidi="ar"/>
        </w:rPr>
        <w:t>种，占</w:t>
      </w:r>
      <w:r>
        <w:rPr>
          <w:rFonts w:cs="Times New Roman"/>
          <w:szCs w:val="24"/>
          <w:lang w:bidi="ar"/>
        </w:rPr>
        <w:t>9.09%</w:t>
      </w:r>
      <w:r>
        <w:rPr>
          <w:rFonts w:hint="eastAsia" w:cs="Times New Roman"/>
          <w:szCs w:val="24"/>
          <w:lang w:bidi="ar"/>
        </w:rPr>
        <w:t>，具体组成分类见表</w:t>
      </w:r>
      <w:r>
        <w:rPr>
          <w:rFonts w:cs="Times New Roman"/>
          <w:szCs w:val="24"/>
          <w:lang w:bidi="ar"/>
        </w:rPr>
        <w:t>3.</w:t>
      </w:r>
      <w:r>
        <w:rPr>
          <w:rFonts w:hint="eastAsia" w:cs="Times New Roman"/>
          <w:szCs w:val="24"/>
          <w:lang w:bidi="ar"/>
        </w:rPr>
        <w:t>6</w:t>
      </w:r>
      <w:r>
        <w:rPr>
          <w:rFonts w:cs="Times New Roman"/>
          <w:szCs w:val="24"/>
          <w:lang w:bidi="ar"/>
        </w:rPr>
        <w:t>-1</w:t>
      </w:r>
      <w:r>
        <w:rPr>
          <w:rFonts w:hint="eastAsia" w:cs="Times New Roman"/>
          <w:szCs w:val="24"/>
          <w:lang w:bidi="ar"/>
        </w:rPr>
        <w:t>8。</w:t>
      </w:r>
    </w:p>
    <w:p w14:paraId="79F62C3E">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-1</w:t>
      </w:r>
      <w:r>
        <w:rPr>
          <w:rFonts w:hint="eastAsia" w:cs="Times New Roman"/>
        </w:rPr>
        <w:t>8</w:t>
      </w:r>
      <w:r>
        <w:rPr>
          <w:rFonts w:cs="Times New Roman"/>
        </w:rPr>
        <w:t xml:space="preserve"> </w:t>
      </w:r>
      <w:r>
        <w:rPr>
          <w:rFonts w:hint="eastAsia" w:cs="Times New Roman"/>
        </w:rPr>
        <w:t>茅山旅游度假区鸟类资源组成</w:t>
      </w:r>
    </w:p>
    <w:tbl>
      <w:tblPr>
        <w:tblStyle w:val="25"/>
        <w:tblW w:w="500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51"/>
        <w:gridCol w:w="3906"/>
        <w:gridCol w:w="751"/>
        <w:gridCol w:w="751"/>
        <w:gridCol w:w="2167"/>
      </w:tblGrid>
      <w:tr w14:paraId="08AB78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blHeader/>
          <w:jc w:val="center"/>
        </w:trPr>
        <w:tc>
          <w:tcPr>
            <w:tcW w:w="451" w:type="pct"/>
            <w:tcBorders>
              <w:top w:val="single" w:color="000000" w:sz="4" w:space="0"/>
              <w:left w:val="single" w:color="000000" w:sz="4" w:space="0"/>
              <w:bottom w:val="single" w:color="000000" w:sz="4" w:space="0"/>
              <w:right w:val="single" w:color="000000" w:sz="4" w:space="0"/>
            </w:tcBorders>
          </w:tcPr>
          <w:p w14:paraId="740C3F28">
            <w:pPr>
              <w:spacing w:line="240" w:lineRule="auto"/>
              <w:ind w:firstLine="0" w:firstLineChars="0"/>
              <w:jc w:val="center"/>
              <w:rPr>
                <w:rFonts w:cs="Times New Roman"/>
                <w:b/>
                <w:bCs/>
                <w:szCs w:val="21"/>
              </w:rPr>
            </w:pPr>
            <w:r>
              <w:rPr>
                <w:rFonts w:hint="eastAsia" w:cs="Times New Roman"/>
                <w:b/>
                <w:bCs/>
                <w:sz w:val="21"/>
                <w:szCs w:val="21"/>
                <w:lang w:bidi="ar"/>
              </w:rPr>
              <w:t>序号</w:t>
            </w:r>
          </w:p>
        </w:tc>
        <w:tc>
          <w:tcPr>
            <w:tcW w:w="2344" w:type="pct"/>
            <w:tcBorders>
              <w:top w:val="single" w:color="000000" w:sz="4" w:space="0"/>
              <w:left w:val="single" w:color="000000" w:sz="4" w:space="0"/>
              <w:bottom w:val="single" w:color="000000" w:sz="4" w:space="0"/>
              <w:right w:val="single" w:color="000000" w:sz="4" w:space="0"/>
            </w:tcBorders>
          </w:tcPr>
          <w:p w14:paraId="14DFDAB1">
            <w:pPr>
              <w:spacing w:line="240" w:lineRule="auto"/>
              <w:ind w:firstLine="0" w:firstLineChars="0"/>
              <w:jc w:val="center"/>
              <w:rPr>
                <w:rFonts w:cs="Times New Roman"/>
                <w:b/>
                <w:bCs/>
                <w:szCs w:val="21"/>
              </w:rPr>
            </w:pPr>
            <w:r>
              <w:rPr>
                <w:rFonts w:hint="eastAsia" w:cs="Times New Roman"/>
                <w:b/>
                <w:bCs/>
                <w:sz w:val="21"/>
                <w:szCs w:val="21"/>
                <w:lang w:bidi="ar"/>
              </w:rPr>
              <w:t>目</w:t>
            </w:r>
          </w:p>
        </w:tc>
        <w:tc>
          <w:tcPr>
            <w:tcW w:w="451" w:type="pct"/>
            <w:tcBorders>
              <w:top w:val="single" w:color="000000" w:sz="4" w:space="0"/>
              <w:left w:val="single" w:color="000000" w:sz="4" w:space="0"/>
              <w:bottom w:val="single" w:color="000000" w:sz="4" w:space="0"/>
              <w:right w:val="single" w:color="000000" w:sz="4" w:space="0"/>
            </w:tcBorders>
          </w:tcPr>
          <w:p w14:paraId="6AD58733">
            <w:pPr>
              <w:spacing w:line="240" w:lineRule="auto"/>
              <w:ind w:firstLine="0" w:firstLineChars="0"/>
              <w:jc w:val="center"/>
              <w:rPr>
                <w:rFonts w:cs="Times New Roman"/>
                <w:b/>
                <w:bCs/>
                <w:szCs w:val="21"/>
              </w:rPr>
            </w:pPr>
            <w:r>
              <w:rPr>
                <w:rFonts w:hint="eastAsia" w:cs="Times New Roman"/>
                <w:b/>
                <w:bCs/>
                <w:sz w:val="21"/>
                <w:szCs w:val="21"/>
                <w:lang w:bidi="ar"/>
              </w:rPr>
              <w:t>科数</w:t>
            </w:r>
          </w:p>
        </w:tc>
        <w:tc>
          <w:tcPr>
            <w:tcW w:w="451" w:type="pct"/>
            <w:tcBorders>
              <w:top w:val="single" w:color="000000" w:sz="4" w:space="0"/>
              <w:left w:val="single" w:color="000000" w:sz="4" w:space="0"/>
              <w:bottom w:val="single" w:color="000000" w:sz="4" w:space="0"/>
              <w:right w:val="single" w:color="000000" w:sz="4" w:space="0"/>
            </w:tcBorders>
          </w:tcPr>
          <w:p w14:paraId="1CB093A2">
            <w:pPr>
              <w:spacing w:line="240" w:lineRule="auto"/>
              <w:ind w:firstLine="0" w:firstLineChars="0"/>
              <w:jc w:val="center"/>
              <w:rPr>
                <w:rFonts w:cs="Times New Roman"/>
                <w:b/>
                <w:bCs/>
                <w:szCs w:val="21"/>
              </w:rPr>
            </w:pPr>
            <w:r>
              <w:rPr>
                <w:rFonts w:hint="eastAsia" w:cs="Times New Roman"/>
                <w:b/>
                <w:bCs/>
                <w:sz w:val="21"/>
                <w:szCs w:val="21"/>
                <w:lang w:bidi="ar"/>
              </w:rPr>
              <w:t>种数</w:t>
            </w:r>
          </w:p>
        </w:tc>
        <w:tc>
          <w:tcPr>
            <w:tcW w:w="1300" w:type="pct"/>
            <w:tcBorders>
              <w:top w:val="single" w:color="000000" w:sz="4" w:space="0"/>
              <w:left w:val="single" w:color="000000" w:sz="4" w:space="0"/>
              <w:bottom w:val="single" w:color="000000" w:sz="4" w:space="0"/>
              <w:right w:val="single" w:color="000000" w:sz="4" w:space="0"/>
            </w:tcBorders>
          </w:tcPr>
          <w:p w14:paraId="3D1C7B1A">
            <w:pPr>
              <w:spacing w:line="240" w:lineRule="auto"/>
              <w:ind w:firstLine="0" w:firstLineChars="0"/>
              <w:jc w:val="center"/>
              <w:rPr>
                <w:rFonts w:cs="Times New Roman"/>
                <w:b/>
                <w:bCs/>
                <w:szCs w:val="21"/>
              </w:rPr>
            </w:pPr>
            <w:r>
              <w:rPr>
                <w:rFonts w:hint="eastAsia" w:cs="Times New Roman"/>
                <w:b/>
                <w:bCs/>
                <w:sz w:val="21"/>
                <w:szCs w:val="21"/>
                <w:lang w:bidi="ar"/>
              </w:rPr>
              <w:t>占比（</w:t>
            </w:r>
            <w:r>
              <w:rPr>
                <w:rFonts w:cs="Times New Roman"/>
                <w:b/>
                <w:bCs/>
                <w:sz w:val="21"/>
                <w:szCs w:val="21"/>
                <w:lang w:bidi="ar"/>
              </w:rPr>
              <w:t>%</w:t>
            </w:r>
            <w:r>
              <w:rPr>
                <w:rFonts w:hint="eastAsia" w:cs="Times New Roman"/>
                <w:b/>
                <w:bCs/>
                <w:sz w:val="21"/>
                <w:szCs w:val="21"/>
                <w:lang w:bidi="ar"/>
              </w:rPr>
              <w:t>）</w:t>
            </w:r>
          </w:p>
        </w:tc>
      </w:tr>
      <w:tr w14:paraId="1A5D72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35424637">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4A8C87FE">
            <w:pPr>
              <w:spacing w:line="240" w:lineRule="auto"/>
              <w:ind w:firstLine="0" w:firstLineChars="0"/>
              <w:jc w:val="center"/>
              <w:rPr>
                <w:rFonts w:cs="Times New Roman"/>
                <w:szCs w:val="21"/>
              </w:rPr>
            </w:pPr>
            <w:r>
              <w:rPr>
                <w:rFonts w:cs="Times New Roman"/>
                <w:sz w:val="21"/>
                <w:szCs w:val="21"/>
                <w:lang w:bidi="ar"/>
              </w:rPr>
              <w:t>鷿鷈目 Podicipediformes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0C49F737">
            <w:pPr>
              <w:spacing w:line="240" w:lineRule="auto"/>
              <w:ind w:firstLine="0" w:firstLineChars="0"/>
              <w:jc w:val="center"/>
              <w:rPr>
                <w:rFonts w:cs="Times New Roman"/>
                <w:szCs w:val="21"/>
              </w:rPr>
            </w:pPr>
            <w:r>
              <w:rPr>
                <w:rFonts w:cs="Times New Roman"/>
                <w:sz w:val="21"/>
                <w:szCs w:val="21"/>
                <w:lang w:bidi="ar"/>
              </w:rPr>
              <w:t>1</w:t>
            </w:r>
          </w:p>
        </w:tc>
        <w:tc>
          <w:tcPr>
            <w:tcW w:w="451" w:type="pct"/>
            <w:tcBorders>
              <w:top w:val="single" w:color="000000" w:sz="4" w:space="0"/>
              <w:left w:val="single" w:color="000000" w:sz="4" w:space="0"/>
              <w:bottom w:val="single" w:color="000000" w:sz="4" w:space="0"/>
              <w:right w:val="single" w:color="000000" w:sz="4" w:space="0"/>
            </w:tcBorders>
            <w:vAlign w:val="center"/>
          </w:tcPr>
          <w:p w14:paraId="0C9DA797">
            <w:pPr>
              <w:spacing w:line="240" w:lineRule="auto"/>
              <w:ind w:firstLine="0" w:firstLineChars="0"/>
              <w:jc w:val="center"/>
              <w:rPr>
                <w:rFonts w:cs="Times New Roman"/>
                <w:szCs w:val="21"/>
              </w:rPr>
            </w:pPr>
            <w:r>
              <w:rPr>
                <w:rFonts w:cs="Times New Roman"/>
                <w:sz w:val="21"/>
                <w:szCs w:val="21"/>
                <w:lang w:bidi="ar"/>
              </w:rPr>
              <w:t>2</w:t>
            </w:r>
          </w:p>
        </w:tc>
        <w:tc>
          <w:tcPr>
            <w:tcW w:w="1300" w:type="pct"/>
            <w:tcBorders>
              <w:top w:val="single" w:color="000000" w:sz="4" w:space="0"/>
              <w:left w:val="single" w:color="000000" w:sz="4" w:space="0"/>
              <w:bottom w:val="single" w:color="000000" w:sz="4" w:space="0"/>
              <w:right w:val="single" w:color="000000" w:sz="4" w:space="0"/>
            </w:tcBorders>
            <w:vAlign w:val="center"/>
          </w:tcPr>
          <w:p w14:paraId="1732FE96">
            <w:pPr>
              <w:spacing w:line="240" w:lineRule="auto"/>
              <w:ind w:firstLine="0" w:firstLineChars="0"/>
              <w:jc w:val="center"/>
              <w:rPr>
                <w:rFonts w:cs="Times New Roman"/>
                <w:szCs w:val="21"/>
              </w:rPr>
            </w:pPr>
            <w:r>
              <w:rPr>
                <w:rFonts w:cs="Times New Roman"/>
                <w:sz w:val="21"/>
                <w:szCs w:val="21"/>
                <w:lang w:bidi="ar"/>
              </w:rPr>
              <w:t>1.64</w:t>
            </w:r>
          </w:p>
        </w:tc>
      </w:tr>
      <w:tr w14:paraId="451403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0E0BA4B5">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6FBA7E3B">
            <w:pPr>
              <w:spacing w:line="240" w:lineRule="auto"/>
              <w:ind w:firstLine="0" w:firstLineChars="0"/>
              <w:jc w:val="center"/>
              <w:rPr>
                <w:rFonts w:cs="Times New Roman"/>
                <w:szCs w:val="21"/>
              </w:rPr>
            </w:pPr>
            <w:r>
              <w:rPr>
                <w:rFonts w:cs="Times New Roman"/>
                <w:sz w:val="21"/>
                <w:szCs w:val="21"/>
                <w:lang w:bidi="ar"/>
              </w:rPr>
              <w:t>鹈形目 Pelecaniformes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60898C67">
            <w:pPr>
              <w:spacing w:line="240" w:lineRule="auto"/>
              <w:ind w:firstLine="0" w:firstLineChars="0"/>
              <w:jc w:val="center"/>
              <w:rPr>
                <w:rFonts w:cs="Times New Roman"/>
                <w:szCs w:val="21"/>
              </w:rPr>
            </w:pPr>
            <w:r>
              <w:rPr>
                <w:rFonts w:cs="Times New Roman"/>
                <w:sz w:val="21"/>
                <w:szCs w:val="21"/>
                <w:lang w:bidi="ar"/>
              </w:rPr>
              <w:t>1</w:t>
            </w:r>
          </w:p>
        </w:tc>
        <w:tc>
          <w:tcPr>
            <w:tcW w:w="451" w:type="pct"/>
            <w:tcBorders>
              <w:top w:val="single" w:color="000000" w:sz="4" w:space="0"/>
              <w:left w:val="single" w:color="000000" w:sz="4" w:space="0"/>
              <w:bottom w:val="single" w:color="000000" w:sz="4" w:space="0"/>
              <w:right w:val="single" w:color="000000" w:sz="4" w:space="0"/>
            </w:tcBorders>
            <w:vAlign w:val="center"/>
          </w:tcPr>
          <w:p w14:paraId="17DC25B6">
            <w:pPr>
              <w:spacing w:line="240" w:lineRule="auto"/>
              <w:ind w:firstLine="0" w:firstLineChars="0"/>
              <w:jc w:val="center"/>
              <w:rPr>
                <w:rFonts w:cs="Times New Roman"/>
                <w:szCs w:val="21"/>
              </w:rPr>
            </w:pPr>
            <w:r>
              <w:rPr>
                <w:rFonts w:cs="Times New Roman"/>
                <w:sz w:val="21"/>
                <w:szCs w:val="21"/>
                <w:lang w:bidi="ar"/>
              </w:rPr>
              <w:t>1</w:t>
            </w:r>
          </w:p>
        </w:tc>
        <w:tc>
          <w:tcPr>
            <w:tcW w:w="1300" w:type="pct"/>
            <w:tcBorders>
              <w:top w:val="single" w:color="000000" w:sz="4" w:space="0"/>
              <w:left w:val="single" w:color="000000" w:sz="4" w:space="0"/>
              <w:bottom w:val="single" w:color="000000" w:sz="4" w:space="0"/>
              <w:right w:val="single" w:color="000000" w:sz="4" w:space="0"/>
            </w:tcBorders>
            <w:vAlign w:val="center"/>
          </w:tcPr>
          <w:p w14:paraId="739F65DF">
            <w:pPr>
              <w:spacing w:line="240" w:lineRule="auto"/>
              <w:ind w:firstLine="0" w:firstLineChars="0"/>
              <w:jc w:val="center"/>
              <w:rPr>
                <w:rFonts w:cs="Times New Roman"/>
                <w:szCs w:val="21"/>
              </w:rPr>
            </w:pPr>
            <w:r>
              <w:rPr>
                <w:rFonts w:cs="Times New Roman"/>
                <w:sz w:val="21"/>
                <w:szCs w:val="21"/>
                <w:lang w:bidi="ar"/>
              </w:rPr>
              <w:t>0.82</w:t>
            </w:r>
          </w:p>
        </w:tc>
      </w:tr>
      <w:tr w14:paraId="7B7388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2BC5672F">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4F1433AA">
            <w:pPr>
              <w:spacing w:line="240" w:lineRule="auto"/>
              <w:ind w:firstLine="0" w:firstLineChars="0"/>
              <w:jc w:val="center"/>
              <w:rPr>
                <w:rFonts w:cs="Times New Roman"/>
                <w:szCs w:val="21"/>
              </w:rPr>
            </w:pPr>
            <w:r>
              <w:rPr>
                <w:rFonts w:cs="Times New Roman"/>
                <w:sz w:val="21"/>
                <w:szCs w:val="21"/>
                <w:lang w:bidi="ar"/>
              </w:rPr>
              <w:t>鹳形目 Ciconniformes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550EE66F">
            <w:pPr>
              <w:spacing w:line="240" w:lineRule="auto"/>
              <w:ind w:firstLine="0" w:firstLineChars="0"/>
              <w:jc w:val="center"/>
              <w:rPr>
                <w:rFonts w:cs="Times New Roman"/>
                <w:szCs w:val="21"/>
              </w:rPr>
            </w:pPr>
            <w:r>
              <w:rPr>
                <w:rFonts w:cs="Times New Roman"/>
                <w:sz w:val="21"/>
                <w:szCs w:val="21"/>
                <w:lang w:bidi="ar"/>
              </w:rPr>
              <w:t>1</w:t>
            </w:r>
          </w:p>
        </w:tc>
        <w:tc>
          <w:tcPr>
            <w:tcW w:w="451" w:type="pct"/>
            <w:tcBorders>
              <w:top w:val="single" w:color="000000" w:sz="4" w:space="0"/>
              <w:left w:val="single" w:color="000000" w:sz="4" w:space="0"/>
              <w:bottom w:val="single" w:color="000000" w:sz="4" w:space="0"/>
              <w:right w:val="single" w:color="000000" w:sz="4" w:space="0"/>
            </w:tcBorders>
            <w:vAlign w:val="center"/>
          </w:tcPr>
          <w:p w14:paraId="37AB1CD2">
            <w:pPr>
              <w:spacing w:line="240" w:lineRule="auto"/>
              <w:ind w:firstLine="0" w:firstLineChars="0"/>
              <w:jc w:val="center"/>
              <w:rPr>
                <w:rFonts w:cs="Times New Roman"/>
                <w:szCs w:val="21"/>
              </w:rPr>
            </w:pPr>
            <w:r>
              <w:rPr>
                <w:rFonts w:cs="Times New Roman"/>
                <w:sz w:val="21"/>
                <w:szCs w:val="21"/>
                <w:lang w:bidi="ar"/>
              </w:rPr>
              <w:t>12</w:t>
            </w:r>
          </w:p>
        </w:tc>
        <w:tc>
          <w:tcPr>
            <w:tcW w:w="1300" w:type="pct"/>
            <w:tcBorders>
              <w:top w:val="single" w:color="000000" w:sz="4" w:space="0"/>
              <w:left w:val="single" w:color="000000" w:sz="4" w:space="0"/>
              <w:bottom w:val="single" w:color="000000" w:sz="4" w:space="0"/>
              <w:right w:val="single" w:color="000000" w:sz="4" w:space="0"/>
            </w:tcBorders>
            <w:vAlign w:val="center"/>
          </w:tcPr>
          <w:p w14:paraId="3A7D7EBA">
            <w:pPr>
              <w:spacing w:line="240" w:lineRule="auto"/>
              <w:ind w:firstLine="0" w:firstLineChars="0"/>
              <w:jc w:val="center"/>
              <w:rPr>
                <w:rFonts w:cs="Times New Roman"/>
                <w:szCs w:val="21"/>
              </w:rPr>
            </w:pPr>
            <w:r>
              <w:rPr>
                <w:rFonts w:cs="Times New Roman"/>
                <w:sz w:val="21"/>
                <w:szCs w:val="21"/>
                <w:lang w:bidi="ar"/>
              </w:rPr>
              <w:t>9.84</w:t>
            </w:r>
          </w:p>
        </w:tc>
      </w:tr>
      <w:tr w14:paraId="18C602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1A4D40E9">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20BFFBF2">
            <w:pPr>
              <w:spacing w:line="240" w:lineRule="auto"/>
              <w:ind w:firstLine="0" w:firstLineChars="0"/>
              <w:jc w:val="center"/>
              <w:rPr>
                <w:rFonts w:cs="Times New Roman"/>
                <w:szCs w:val="21"/>
              </w:rPr>
            </w:pPr>
            <w:r>
              <w:rPr>
                <w:rFonts w:cs="Times New Roman"/>
                <w:sz w:val="21"/>
                <w:szCs w:val="21"/>
                <w:lang w:bidi="ar"/>
              </w:rPr>
              <w:t>雁形目 Anseriformes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00312977">
            <w:pPr>
              <w:spacing w:line="240" w:lineRule="auto"/>
              <w:ind w:firstLine="0" w:firstLineChars="0"/>
              <w:jc w:val="center"/>
              <w:rPr>
                <w:rFonts w:cs="Times New Roman"/>
                <w:szCs w:val="21"/>
              </w:rPr>
            </w:pPr>
            <w:r>
              <w:rPr>
                <w:rFonts w:cs="Times New Roman"/>
                <w:sz w:val="21"/>
                <w:szCs w:val="21"/>
                <w:lang w:bidi="ar"/>
              </w:rPr>
              <w:t>1</w:t>
            </w:r>
          </w:p>
        </w:tc>
        <w:tc>
          <w:tcPr>
            <w:tcW w:w="451" w:type="pct"/>
            <w:tcBorders>
              <w:top w:val="single" w:color="000000" w:sz="4" w:space="0"/>
              <w:left w:val="single" w:color="000000" w:sz="4" w:space="0"/>
              <w:bottom w:val="single" w:color="000000" w:sz="4" w:space="0"/>
              <w:right w:val="single" w:color="000000" w:sz="4" w:space="0"/>
            </w:tcBorders>
            <w:vAlign w:val="center"/>
          </w:tcPr>
          <w:p w14:paraId="791076B2">
            <w:pPr>
              <w:spacing w:line="240" w:lineRule="auto"/>
              <w:ind w:firstLine="0" w:firstLineChars="0"/>
              <w:jc w:val="center"/>
              <w:rPr>
                <w:rFonts w:cs="Times New Roman"/>
                <w:szCs w:val="21"/>
              </w:rPr>
            </w:pPr>
            <w:r>
              <w:rPr>
                <w:rFonts w:cs="Times New Roman"/>
                <w:sz w:val="21"/>
                <w:szCs w:val="21"/>
                <w:lang w:bidi="ar"/>
              </w:rPr>
              <w:t>10</w:t>
            </w:r>
          </w:p>
        </w:tc>
        <w:tc>
          <w:tcPr>
            <w:tcW w:w="1300" w:type="pct"/>
            <w:tcBorders>
              <w:top w:val="single" w:color="000000" w:sz="4" w:space="0"/>
              <w:left w:val="single" w:color="000000" w:sz="4" w:space="0"/>
              <w:bottom w:val="single" w:color="000000" w:sz="4" w:space="0"/>
              <w:right w:val="single" w:color="000000" w:sz="4" w:space="0"/>
            </w:tcBorders>
            <w:vAlign w:val="center"/>
          </w:tcPr>
          <w:p w14:paraId="07A67AE9">
            <w:pPr>
              <w:spacing w:line="240" w:lineRule="auto"/>
              <w:ind w:firstLine="0" w:firstLineChars="0"/>
              <w:jc w:val="center"/>
              <w:rPr>
                <w:rFonts w:cs="Times New Roman"/>
                <w:szCs w:val="21"/>
              </w:rPr>
            </w:pPr>
            <w:r>
              <w:rPr>
                <w:rFonts w:cs="Times New Roman"/>
                <w:sz w:val="21"/>
                <w:szCs w:val="21"/>
                <w:lang w:bidi="ar"/>
              </w:rPr>
              <w:t>8.20</w:t>
            </w:r>
          </w:p>
        </w:tc>
      </w:tr>
      <w:tr w14:paraId="298EEA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7F5147A2">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6C3611C0">
            <w:pPr>
              <w:spacing w:line="240" w:lineRule="auto"/>
              <w:ind w:firstLine="0" w:firstLineChars="0"/>
              <w:jc w:val="center"/>
              <w:rPr>
                <w:rFonts w:cs="Times New Roman"/>
                <w:szCs w:val="21"/>
              </w:rPr>
            </w:pPr>
            <w:r>
              <w:rPr>
                <w:rFonts w:cs="Times New Roman"/>
                <w:sz w:val="21"/>
                <w:szCs w:val="21"/>
                <w:lang w:bidi="ar"/>
              </w:rPr>
              <w:t>隼形目 Falconiformes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7153F559">
            <w:pPr>
              <w:spacing w:line="240" w:lineRule="auto"/>
              <w:ind w:firstLine="0" w:firstLineChars="0"/>
              <w:jc w:val="center"/>
              <w:rPr>
                <w:rFonts w:cs="Times New Roman"/>
                <w:szCs w:val="21"/>
              </w:rPr>
            </w:pPr>
            <w:r>
              <w:rPr>
                <w:rFonts w:cs="Times New Roman"/>
                <w:sz w:val="21"/>
                <w:szCs w:val="21"/>
                <w:lang w:bidi="ar"/>
              </w:rPr>
              <w:t>2</w:t>
            </w:r>
          </w:p>
        </w:tc>
        <w:tc>
          <w:tcPr>
            <w:tcW w:w="451" w:type="pct"/>
            <w:tcBorders>
              <w:top w:val="single" w:color="000000" w:sz="4" w:space="0"/>
              <w:left w:val="single" w:color="000000" w:sz="4" w:space="0"/>
              <w:bottom w:val="single" w:color="000000" w:sz="4" w:space="0"/>
              <w:right w:val="single" w:color="000000" w:sz="4" w:space="0"/>
            </w:tcBorders>
            <w:vAlign w:val="center"/>
          </w:tcPr>
          <w:p w14:paraId="3CF84840">
            <w:pPr>
              <w:spacing w:line="240" w:lineRule="auto"/>
              <w:ind w:firstLine="0" w:firstLineChars="0"/>
              <w:jc w:val="center"/>
              <w:rPr>
                <w:rFonts w:cs="Times New Roman"/>
                <w:szCs w:val="21"/>
              </w:rPr>
            </w:pPr>
            <w:r>
              <w:rPr>
                <w:rFonts w:cs="Times New Roman"/>
                <w:sz w:val="21"/>
                <w:szCs w:val="21"/>
                <w:lang w:bidi="ar"/>
              </w:rPr>
              <w:t>8</w:t>
            </w:r>
          </w:p>
        </w:tc>
        <w:tc>
          <w:tcPr>
            <w:tcW w:w="1300" w:type="pct"/>
            <w:tcBorders>
              <w:top w:val="single" w:color="000000" w:sz="4" w:space="0"/>
              <w:left w:val="single" w:color="000000" w:sz="4" w:space="0"/>
              <w:bottom w:val="single" w:color="000000" w:sz="4" w:space="0"/>
              <w:right w:val="single" w:color="000000" w:sz="4" w:space="0"/>
            </w:tcBorders>
            <w:vAlign w:val="center"/>
          </w:tcPr>
          <w:p w14:paraId="1BF88EE7">
            <w:pPr>
              <w:spacing w:line="240" w:lineRule="auto"/>
              <w:ind w:firstLine="0" w:firstLineChars="0"/>
              <w:jc w:val="center"/>
              <w:rPr>
                <w:rFonts w:cs="Times New Roman"/>
                <w:szCs w:val="21"/>
              </w:rPr>
            </w:pPr>
            <w:r>
              <w:rPr>
                <w:rFonts w:cs="Times New Roman"/>
                <w:sz w:val="21"/>
                <w:szCs w:val="21"/>
                <w:lang w:bidi="ar"/>
              </w:rPr>
              <w:t>6.56</w:t>
            </w:r>
          </w:p>
        </w:tc>
      </w:tr>
      <w:tr w14:paraId="36BEF7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6ACB79CD">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1B0C957A">
            <w:pPr>
              <w:spacing w:line="240" w:lineRule="auto"/>
              <w:ind w:firstLine="0" w:firstLineChars="0"/>
              <w:jc w:val="center"/>
              <w:rPr>
                <w:rFonts w:cs="Times New Roman"/>
                <w:szCs w:val="21"/>
              </w:rPr>
            </w:pPr>
            <w:r>
              <w:rPr>
                <w:rFonts w:cs="Times New Roman"/>
                <w:sz w:val="21"/>
                <w:szCs w:val="21"/>
                <w:lang w:bidi="ar"/>
              </w:rPr>
              <w:t>鸡形目 Galliformes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4CCF214B">
            <w:pPr>
              <w:spacing w:line="240" w:lineRule="auto"/>
              <w:ind w:firstLine="0" w:firstLineChars="0"/>
              <w:jc w:val="center"/>
              <w:rPr>
                <w:rFonts w:cs="Times New Roman"/>
                <w:szCs w:val="21"/>
              </w:rPr>
            </w:pPr>
            <w:r>
              <w:rPr>
                <w:rFonts w:cs="Times New Roman"/>
                <w:sz w:val="21"/>
                <w:szCs w:val="21"/>
                <w:lang w:bidi="ar"/>
              </w:rPr>
              <w:t>1</w:t>
            </w:r>
          </w:p>
        </w:tc>
        <w:tc>
          <w:tcPr>
            <w:tcW w:w="451" w:type="pct"/>
            <w:tcBorders>
              <w:top w:val="single" w:color="000000" w:sz="4" w:space="0"/>
              <w:left w:val="single" w:color="000000" w:sz="4" w:space="0"/>
              <w:bottom w:val="single" w:color="000000" w:sz="4" w:space="0"/>
              <w:right w:val="single" w:color="000000" w:sz="4" w:space="0"/>
            </w:tcBorders>
            <w:vAlign w:val="center"/>
          </w:tcPr>
          <w:p w14:paraId="413D0806">
            <w:pPr>
              <w:spacing w:line="240" w:lineRule="auto"/>
              <w:ind w:firstLine="0" w:firstLineChars="0"/>
              <w:jc w:val="center"/>
              <w:rPr>
                <w:rFonts w:cs="Times New Roman"/>
                <w:szCs w:val="21"/>
              </w:rPr>
            </w:pPr>
            <w:r>
              <w:rPr>
                <w:rFonts w:cs="Times New Roman"/>
                <w:sz w:val="21"/>
                <w:szCs w:val="21"/>
                <w:lang w:bidi="ar"/>
              </w:rPr>
              <w:t>2</w:t>
            </w:r>
          </w:p>
        </w:tc>
        <w:tc>
          <w:tcPr>
            <w:tcW w:w="1300" w:type="pct"/>
            <w:tcBorders>
              <w:top w:val="single" w:color="000000" w:sz="4" w:space="0"/>
              <w:left w:val="single" w:color="000000" w:sz="4" w:space="0"/>
              <w:bottom w:val="single" w:color="000000" w:sz="4" w:space="0"/>
              <w:right w:val="single" w:color="000000" w:sz="4" w:space="0"/>
            </w:tcBorders>
            <w:vAlign w:val="center"/>
          </w:tcPr>
          <w:p w14:paraId="5D69967C">
            <w:pPr>
              <w:spacing w:line="240" w:lineRule="auto"/>
              <w:ind w:firstLine="0" w:firstLineChars="0"/>
              <w:jc w:val="center"/>
              <w:rPr>
                <w:rFonts w:cs="Times New Roman"/>
                <w:szCs w:val="21"/>
              </w:rPr>
            </w:pPr>
            <w:r>
              <w:rPr>
                <w:rFonts w:cs="Times New Roman"/>
                <w:sz w:val="21"/>
                <w:szCs w:val="21"/>
                <w:lang w:bidi="ar"/>
              </w:rPr>
              <w:t>1.64</w:t>
            </w:r>
          </w:p>
        </w:tc>
      </w:tr>
      <w:tr w14:paraId="51A070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57335F62">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68DF1C40">
            <w:pPr>
              <w:spacing w:line="240" w:lineRule="auto"/>
              <w:ind w:firstLine="0" w:firstLineChars="0"/>
              <w:jc w:val="center"/>
              <w:rPr>
                <w:rFonts w:cs="Times New Roman"/>
                <w:szCs w:val="21"/>
              </w:rPr>
            </w:pPr>
            <w:r>
              <w:rPr>
                <w:rFonts w:cs="Times New Roman"/>
                <w:sz w:val="21"/>
                <w:szCs w:val="21"/>
                <w:lang w:bidi="ar"/>
              </w:rPr>
              <w:t>鹤形目 Gruiformes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524BA16F">
            <w:pPr>
              <w:spacing w:line="240" w:lineRule="auto"/>
              <w:ind w:firstLine="0" w:firstLineChars="0"/>
              <w:jc w:val="center"/>
              <w:rPr>
                <w:rFonts w:cs="Times New Roman"/>
                <w:szCs w:val="21"/>
              </w:rPr>
            </w:pPr>
            <w:r>
              <w:rPr>
                <w:rFonts w:cs="Times New Roman"/>
                <w:sz w:val="21"/>
                <w:szCs w:val="21"/>
                <w:lang w:bidi="ar"/>
              </w:rPr>
              <w:t>1</w:t>
            </w:r>
          </w:p>
        </w:tc>
        <w:tc>
          <w:tcPr>
            <w:tcW w:w="451" w:type="pct"/>
            <w:tcBorders>
              <w:top w:val="single" w:color="000000" w:sz="4" w:space="0"/>
              <w:left w:val="single" w:color="000000" w:sz="4" w:space="0"/>
              <w:bottom w:val="single" w:color="000000" w:sz="4" w:space="0"/>
              <w:right w:val="single" w:color="000000" w:sz="4" w:space="0"/>
            </w:tcBorders>
            <w:vAlign w:val="center"/>
          </w:tcPr>
          <w:p w14:paraId="3A7D0587">
            <w:pPr>
              <w:spacing w:line="240" w:lineRule="auto"/>
              <w:ind w:firstLine="0" w:firstLineChars="0"/>
              <w:jc w:val="center"/>
              <w:rPr>
                <w:rFonts w:cs="Times New Roman"/>
                <w:szCs w:val="21"/>
              </w:rPr>
            </w:pPr>
            <w:r>
              <w:rPr>
                <w:rFonts w:cs="Times New Roman"/>
                <w:sz w:val="21"/>
                <w:szCs w:val="21"/>
                <w:lang w:bidi="ar"/>
              </w:rPr>
              <w:t>3</w:t>
            </w:r>
          </w:p>
        </w:tc>
        <w:tc>
          <w:tcPr>
            <w:tcW w:w="1300" w:type="pct"/>
            <w:tcBorders>
              <w:top w:val="single" w:color="000000" w:sz="4" w:space="0"/>
              <w:left w:val="single" w:color="000000" w:sz="4" w:space="0"/>
              <w:bottom w:val="single" w:color="000000" w:sz="4" w:space="0"/>
              <w:right w:val="single" w:color="000000" w:sz="4" w:space="0"/>
            </w:tcBorders>
            <w:vAlign w:val="center"/>
          </w:tcPr>
          <w:p w14:paraId="6949DC97">
            <w:pPr>
              <w:spacing w:line="240" w:lineRule="auto"/>
              <w:ind w:firstLine="0" w:firstLineChars="0"/>
              <w:jc w:val="center"/>
              <w:rPr>
                <w:rFonts w:cs="Times New Roman"/>
                <w:szCs w:val="21"/>
              </w:rPr>
            </w:pPr>
            <w:r>
              <w:rPr>
                <w:rFonts w:cs="Times New Roman"/>
                <w:sz w:val="21"/>
                <w:szCs w:val="21"/>
                <w:lang w:bidi="ar"/>
              </w:rPr>
              <w:t>2.46</w:t>
            </w:r>
          </w:p>
        </w:tc>
      </w:tr>
      <w:tr w14:paraId="125EC4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13149AE1">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18866FE0">
            <w:pPr>
              <w:spacing w:line="240" w:lineRule="auto"/>
              <w:ind w:firstLine="0" w:firstLineChars="0"/>
              <w:jc w:val="center"/>
              <w:rPr>
                <w:rFonts w:cs="Times New Roman"/>
                <w:szCs w:val="21"/>
              </w:rPr>
            </w:pPr>
            <w:r>
              <w:rPr>
                <w:rFonts w:cs="Times New Roman"/>
                <w:sz w:val="21"/>
                <w:szCs w:val="21"/>
                <w:lang w:bidi="ar"/>
              </w:rPr>
              <w:t>鸻形目 Charadriiformes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787E9872">
            <w:pPr>
              <w:spacing w:line="240" w:lineRule="auto"/>
              <w:ind w:firstLine="0" w:firstLineChars="0"/>
              <w:jc w:val="center"/>
              <w:rPr>
                <w:rFonts w:cs="Times New Roman"/>
                <w:szCs w:val="21"/>
              </w:rPr>
            </w:pPr>
            <w:r>
              <w:rPr>
                <w:rFonts w:cs="Times New Roman"/>
                <w:sz w:val="21"/>
                <w:szCs w:val="21"/>
                <w:lang w:bidi="ar"/>
              </w:rPr>
              <w:t>4</w:t>
            </w:r>
          </w:p>
        </w:tc>
        <w:tc>
          <w:tcPr>
            <w:tcW w:w="451" w:type="pct"/>
            <w:tcBorders>
              <w:top w:val="single" w:color="000000" w:sz="4" w:space="0"/>
              <w:left w:val="single" w:color="000000" w:sz="4" w:space="0"/>
              <w:bottom w:val="single" w:color="000000" w:sz="4" w:space="0"/>
              <w:right w:val="single" w:color="000000" w:sz="4" w:space="0"/>
            </w:tcBorders>
            <w:vAlign w:val="center"/>
          </w:tcPr>
          <w:p w14:paraId="2BAB56D6">
            <w:pPr>
              <w:spacing w:line="240" w:lineRule="auto"/>
              <w:ind w:firstLine="0" w:firstLineChars="0"/>
              <w:jc w:val="center"/>
              <w:rPr>
                <w:rFonts w:cs="Times New Roman"/>
                <w:szCs w:val="21"/>
              </w:rPr>
            </w:pPr>
            <w:r>
              <w:rPr>
                <w:rFonts w:cs="Times New Roman"/>
                <w:sz w:val="21"/>
                <w:szCs w:val="21"/>
                <w:lang w:bidi="ar"/>
              </w:rPr>
              <w:t>16</w:t>
            </w:r>
          </w:p>
        </w:tc>
        <w:tc>
          <w:tcPr>
            <w:tcW w:w="1300" w:type="pct"/>
            <w:tcBorders>
              <w:top w:val="single" w:color="000000" w:sz="4" w:space="0"/>
              <w:left w:val="single" w:color="000000" w:sz="4" w:space="0"/>
              <w:bottom w:val="single" w:color="000000" w:sz="4" w:space="0"/>
              <w:right w:val="single" w:color="000000" w:sz="4" w:space="0"/>
            </w:tcBorders>
            <w:vAlign w:val="center"/>
          </w:tcPr>
          <w:p w14:paraId="672F0850">
            <w:pPr>
              <w:spacing w:line="240" w:lineRule="auto"/>
              <w:ind w:firstLine="0" w:firstLineChars="0"/>
              <w:jc w:val="center"/>
              <w:rPr>
                <w:rFonts w:cs="Times New Roman"/>
                <w:szCs w:val="21"/>
              </w:rPr>
            </w:pPr>
            <w:r>
              <w:rPr>
                <w:rFonts w:cs="Times New Roman"/>
                <w:sz w:val="21"/>
                <w:szCs w:val="21"/>
                <w:lang w:bidi="ar"/>
              </w:rPr>
              <w:t>13.11</w:t>
            </w:r>
          </w:p>
        </w:tc>
      </w:tr>
      <w:tr w14:paraId="56F3A7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589A8C68">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3C09597C">
            <w:pPr>
              <w:spacing w:line="240" w:lineRule="auto"/>
              <w:ind w:firstLine="0" w:firstLineChars="0"/>
              <w:jc w:val="center"/>
              <w:rPr>
                <w:rFonts w:cs="Times New Roman"/>
                <w:szCs w:val="21"/>
              </w:rPr>
            </w:pPr>
            <w:r>
              <w:rPr>
                <w:rFonts w:cs="Times New Roman"/>
                <w:sz w:val="21"/>
                <w:szCs w:val="21"/>
                <w:lang w:bidi="ar"/>
              </w:rPr>
              <w:t>鸽形目 Columbiformes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4DBAAC82">
            <w:pPr>
              <w:spacing w:line="240" w:lineRule="auto"/>
              <w:ind w:firstLine="0" w:firstLineChars="0"/>
              <w:jc w:val="center"/>
              <w:rPr>
                <w:rFonts w:cs="Times New Roman"/>
                <w:szCs w:val="21"/>
              </w:rPr>
            </w:pPr>
            <w:r>
              <w:rPr>
                <w:rFonts w:cs="Times New Roman"/>
                <w:sz w:val="21"/>
                <w:szCs w:val="21"/>
                <w:lang w:bidi="ar"/>
              </w:rPr>
              <w:t>1</w:t>
            </w:r>
          </w:p>
        </w:tc>
        <w:tc>
          <w:tcPr>
            <w:tcW w:w="451" w:type="pct"/>
            <w:tcBorders>
              <w:top w:val="single" w:color="000000" w:sz="4" w:space="0"/>
              <w:left w:val="single" w:color="000000" w:sz="4" w:space="0"/>
              <w:bottom w:val="single" w:color="000000" w:sz="4" w:space="0"/>
              <w:right w:val="single" w:color="000000" w:sz="4" w:space="0"/>
            </w:tcBorders>
            <w:vAlign w:val="center"/>
          </w:tcPr>
          <w:p w14:paraId="0D78D57D">
            <w:pPr>
              <w:spacing w:line="240" w:lineRule="auto"/>
              <w:ind w:firstLine="0" w:firstLineChars="0"/>
              <w:jc w:val="center"/>
              <w:rPr>
                <w:rFonts w:cs="Times New Roman"/>
                <w:szCs w:val="21"/>
              </w:rPr>
            </w:pPr>
            <w:r>
              <w:rPr>
                <w:rFonts w:cs="Times New Roman"/>
                <w:sz w:val="21"/>
                <w:szCs w:val="21"/>
                <w:lang w:bidi="ar"/>
              </w:rPr>
              <w:t>4</w:t>
            </w:r>
          </w:p>
        </w:tc>
        <w:tc>
          <w:tcPr>
            <w:tcW w:w="1300" w:type="pct"/>
            <w:tcBorders>
              <w:top w:val="single" w:color="000000" w:sz="4" w:space="0"/>
              <w:left w:val="single" w:color="000000" w:sz="4" w:space="0"/>
              <w:bottom w:val="single" w:color="000000" w:sz="4" w:space="0"/>
              <w:right w:val="single" w:color="000000" w:sz="4" w:space="0"/>
            </w:tcBorders>
            <w:vAlign w:val="center"/>
          </w:tcPr>
          <w:p w14:paraId="6FA2E337">
            <w:pPr>
              <w:spacing w:line="240" w:lineRule="auto"/>
              <w:ind w:firstLine="0" w:firstLineChars="0"/>
              <w:jc w:val="center"/>
              <w:rPr>
                <w:rFonts w:cs="Times New Roman"/>
                <w:szCs w:val="21"/>
              </w:rPr>
            </w:pPr>
            <w:r>
              <w:rPr>
                <w:rFonts w:cs="Times New Roman"/>
                <w:sz w:val="21"/>
                <w:szCs w:val="21"/>
                <w:lang w:bidi="ar"/>
              </w:rPr>
              <w:t>3.28</w:t>
            </w:r>
          </w:p>
        </w:tc>
      </w:tr>
      <w:tr w14:paraId="32BE8E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5C7814E5">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05C6775A">
            <w:pPr>
              <w:spacing w:line="240" w:lineRule="auto"/>
              <w:ind w:firstLine="0" w:firstLineChars="0"/>
              <w:jc w:val="center"/>
              <w:rPr>
                <w:rFonts w:cs="Times New Roman"/>
                <w:szCs w:val="21"/>
              </w:rPr>
            </w:pPr>
            <w:r>
              <w:rPr>
                <w:rFonts w:cs="Times New Roman"/>
                <w:sz w:val="21"/>
                <w:szCs w:val="21"/>
                <w:lang w:bidi="ar"/>
              </w:rPr>
              <w:t>鹃形目 Cuculiformes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29DD6939">
            <w:pPr>
              <w:spacing w:line="240" w:lineRule="auto"/>
              <w:ind w:firstLine="0" w:firstLineChars="0"/>
              <w:jc w:val="center"/>
              <w:rPr>
                <w:rFonts w:cs="Times New Roman"/>
                <w:szCs w:val="21"/>
              </w:rPr>
            </w:pPr>
            <w:r>
              <w:rPr>
                <w:rFonts w:cs="Times New Roman"/>
                <w:sz w:val="21"/>
                <w:szCs w:val="21"/>
                <w:lang w:bidi="ar"/>
              </w:rPr>
              <w:t>1</w:t>
            </w:r>
          </w:p>
        </w:tc>
        <w:tc>
          <w:tcPr>
            <w:tcW w:w="451" w:type="pct"/>
            <w:tcBorders>
              <w:top w:val="single" w:color="000000" w:sz="4" w:space="0"/>
              <w:left w:val="single" w:color="000000" w:sz="4" w:space="0"/>
              <w:bottom w:val="single" w:color="000000" w:sz="4" w:space="0"/>
              <w:right w:val="single" w:color="000000" w:sz="4" w:space="0"/>
            </w:tcBorders>
            <w:vAlign w:val="center"/>
          </w:tcPr>
          <w:p w14:paraId="2E1A8C05">
            <w:pPr>
              <w:spacing w:line="240" w:lineRule="auto"/>
              <w:ind w:firstLine="0" w:firstLineChars="0"/>
              <w:jc w:val="center"/>
              <w:rPr>
                <w:rFonts w:cs="Times New Roman"/>
                <w:szCs w:val="21"/>
              </w:rPr>
            </w:pPr>
            <w:r>
              <w:rPr>
                <w:rFonts w:cs="Times New Roman"/>
                <w:sz w:val="21"/>
                <w:szCs w:val="21"/>
                <w:lang w:bidi="ar"/>
              </w:rPr>
              <w:t>4</w:t>
            </w:r>
          </w:p>
        </w:tc>
        <w:tc>
          <w:tcPr>
            <w:tcW w:w="1300" w:type="pct"/>
            <w:tcBorders>
              <w:top w:val="single" w:color="000000" w:sz="4" w:space="0"/>
              <w:left w:val="single" w:color="000000" w:sz="4" w:space="0"/>
              <w:bottom w:val="single" w:color="000000" w:sz="4" w:space="0"/>
              <w:right w:val="single" w:color="000000" w:sz="4" w:space="0"/>
            </w:tcBorders>
            <w:vAlign w:val="center"/>
          </w:tcPr>
          <w:p w14:paraId="4B7A6D43">
            <w:pPr>
              <w:spacing w:line="240" w:lineRule="auto"/>
              <w:ind w:firstLine="0" w:firstLineChars="0"/>
              <w:jc w:val="center"/>
              <w:rPr>
                <w:rFonts w:cs="Times New Roman"/>
                <w:szCs w:val="21"/>
              </w:rPr>
            </w:pPr>
            <w:r>
              <w:rPr>
                <w:rFonts w:cs="Times New Roman"/>
                <w:sz w:val="21"/>
                <w:szCs w:val="21"/>
                <w:lang w:bidi="ar"/>
              </w:rPr>
              <w:t>3.28</w:t>
            </w:r>
          </w:p>
        </w:tc>
      </w:tr>
      <w:tr w14:paraId="3A6F04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5361A206">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6391B12B">
            <w:pPr>
              <w:spacing w:line="240" w:lineRule="auto"/>
              <w:ind w:firstLine="0" w:firstLineChars="0"/>
              <w:jc w:val="center"/>
              <w:rPr>
                <w:rFonts w:cs="Times New Roman"/>
                <w:szCs w:val="21"/>
              </w:rPr>
            </w:pPr>
            <w:r>
              <w:rPr>
                <w:rFonts w:cs="Times New Roman"/>
                <w:sz w:val="21"/>
                <w:szCs w:val="21"/>
                <w:lang w:bidi="ar"/>
              </w:rPr>
              <w:t>鸮形目 Strigiformes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6746BB86">
            <w:pPr>
              <w:spacing w:line="240" w:lineRule="auto"/>
              <w:ind w:firstLine="0" w:firstLineChars="0"/>
              <w:jc w:val="center"/>
              <w:rPr>
                <w:rFonts w:cs="Times New Roman"/>
                <w:szCs w:val="21"/>
              </w:rPr>
            </w:pPr>
            <w:r>
              <w:rPr>
                <w:rFonts w:cs="Times New Roman"/>
                <w:sz w:val="21"/>
                <w:szCs w:val="21"/>
                <w:lang w:bidi="ar"/>
              </w:rPr>
              <w:t>1</w:t>
            </w:r>
          </w:p>
        </w:tc>
        <w:tc>
          <w:tcPr>
            <w:tcW w:w="451" w:type="pct"/>
            <w:tcBorders>
              <w:top w:val="single" w:color="000000" w:sz="4" w:space="0"/>
              <w:left w:val="single" w:color="000000" w:sz="4" w:space="0"/>
              <w:bottom w:val="single" w:color="000000" w:sz="4" w:space="0"/>
              <w:right w:val="single" w:color="000000" w:sz="4" w:space="0"/>
            </w:tcBorders>
            <w:vAlign w:val="center"/>
          </w:tcPr>
          <w:p w14:paraId="1F94FC04">
            <w:pPr>
              <w:spacing w:line="240" w:lineRule="auto"/>
              <w:ind w:firstLine="0" w:firstLineChars="0"/>
              <w:jc w:val="center"/>
              <w:rPr>
                <w:rFonts w:cs="Times New Roman"/>
                <w:szCs w:val="21"/>
              </w:rPr>
            </w:pPr>
            <w:r>
              <w:rPr>
                <w:rFonts w:cs="Times New Roman"/>
                <w:sz w:val="21"/>
                <w:szCs w:val="21"/>
                <w:lang w:bidi="ar"/>
              </w:rPr>
              <w:t>2</w:t>
            </w:r>
          </w:p>
        </w:tc>
        <w:tc>
          <w:tcPr>
            <w:tcW w:w="1300" w:type="pct"/>
            <w:tcBorders>
              <w:top w:val="single" w:color="000000" w:sz="4" w:space="0"/>
              <w:left w:val="single" w:color="000000" w:sz="4" w:space="0"/>
              <w:bottom w:val="single" w:color="000000" w:sz="4" w:space="0"/>
              <w:right w:val="single" w:color="000000" w:sz="4" w:space="0"/>
            </w:tcBorders>
            <w:vAlign w:val="center"/>
          </w:tcPr>
          <w:p w14:paraId="3194F45B">
            <w:pPr>
              <w:spacing w:line="240" w:lineRule="auto"/>
              <w:ind w:firstLine="0" w:firstLineChars="0"/>
              <w:jc w:val="center"/>
              <w:rPr>
                <w:rFonts w:cs="Times New Roman"/>
                <w:szCs w:val="21"/>
              </w:rPr>
            </w:pPr>
            <w:r>
              <w:rPr>
                <w:rFonts w:cs="Times New Roman"/>
                <w:sz w:val="21"/>
                <w:szCs w:val="21"/>
                <w:lang w:bidi="ar"/>
              </w:rPr>
              <w:t>1.64</w:t>
            </w:r>
          </w:p>
        </w:tc>
      </w:tr>
      <w:tr w14:paraId="3F80A4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5017F9B9">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42D41276">
            <w:pPr>
              <w:spacing w:line="240" w:lineRule="auto"/>
              <w:ind w:firstLine="0" w:firstLineChars="0"/>
              <w:jc w:val="center"/>
              <w:rPr>
                <w:rFonts w:cs="Times New Roman"/>
                <w:szCs w:val="21"/>
              </w:rPr>
            </w:pPr>
            <w:r>
              <w:rPr>
                <w:rFonts w:cs="Times New Roman"/>
                <w:sz w:val="21"/>
                <w:szCs w:val="21"/>
                <w:lang w:bidi="ar"/>
              </w:rPr>
              <w:t>佛法僧目 Coraciformes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5CD5140E">
            <w:pPr>
              <w:spacing w:line="240" w:lineRule="auto"/>
              <w:ind w:firstLine="0" w:firstLineChars="0"/>
              <w:jc w:val="center"/>
              <w:rPr>
                <w:rFonts w:cs="Times New Roman"/>
                <w:szCs w:val="21"/>
              </w:rPr>
            </w:pPr>
            <w:r>
              <w:rPr>
                <w:rFonts w:cs="Times New Roman"/>
                <w:sz w:val="21"/>
                <w:szCs w:val="21"/>
                <w:lang w:bidi="ar"/>
              </w:rPr>
              <w:t>1</w:t>
            </w:r>
          </w:p>
        </w:tc>
        <w:tc>
          <w:tcPr>
            <w:tcW w:w="451" w:type="pct"/>
            <w:tcBorders>
              <w:top w:val="single" w:color="000000" w:sz="4" w:space="0"/>
              <w:left w:val="single" w:color="000000" w:sz="4" w:space="0"/>
              <w:bottom w:val="single" w:color="000000" w:sz="4" w:space="0"/>
              <w:right w:val="single" w:color="000000" w:sz="4" w:space="0"/>
            </w:tcBorders>
            <w:vAlign w:val="center"/>
          </w:tcPr>
          <w:p w14:paraId="756F3918">
            <w:pPr>
              <w:spacing w:line="240" w:lineRule="auto"/>
              <w:ind w:firstLine="0" w:firstLineChars="0"/>
              <w:jc w:val="center"/>
              <w:rPr>
                <w:rFonts w:cs="Times New Roman"/>
                <w:szCs w:val="21"/>
              </w:rPr>
            </w:pPr>
            <w:r>
              <w:rPr>
                <w:rFonts w:cs="Times New Roman"/>
                <w:sz w:val="21"/>
                <w:szCs w:val="21"/>
                <w:lang w:bidi="ar"/>
              </w:rPr>
              <w:t>1</w:t>
            </w:r>
          </w:p>
        </w:tc>
        <w:tc>
          <w:tcPr>
            <w:tcW w:w="1300" w:type="pct"/>
            <w:tcBorders>
              <w:top w:val="single" w:color="000000" w:sz="4" w:space="0"/>
              <w:left w:val="single" w:color="000000" w:sz="4" w:space="0"/>
              <w:bottom w:val="single" w:color="000000" w:sz="4" w:space="0"/>
              <w:right w:val="single" w:color="000000" w:sz="4" w:space="0"/>
            </w:tcBorders>
            <w:vAlign w:val="center"/>
          </w:tcPr>
          <w:p w14:paraId="46EE5005">
            <w:pPr>
              <w:spacing w:line="240" w:lineRule="auto"/>
              <w:ind w:firstLine="0" w:firstLineChars="0"/>
              <w:jc w:val="center"/>
              <w:rPr>
                <w:rFonts w:cs="Times New Roman"/>
                <w:szCs w:val="21"/>
              </w:rPr>
            </w:pPr>
            <w:r>
              <w:rPr>
                <w:rFonts w:cs="Times New Roman"/>
                <w:sz w:val="21"/>
                <w:szCs w:val="21"/>
                <w:lang w:bidi="ar"/>
              </w:rPr>
              <w:t>0.82</w:t>
            </w:r>
          </w:p>
        </w:tc>
      </w:tr>
      <w:tr w14:paraId="2856EF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45416BFB">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79D850C6">
            <w:pPr>
              <w:spacing w:line="240" w:lineRule="auto"/>
              <w:ind w:firstLine="0" w:firstLineChars="0"/>
              <w:jc w:val="center"/>
              <w:rPr>
                <w:rFonts w:cs="Times New Roman"/>
                <w:szCs w:val="21"/>
              </w:rPr>
            </w:pPr>
            <w:r>
              <w:rPr>
                <w:rFonts w:cs="Times New Roman"/>
                <w:sz w:val="21"/>
                <w:szCs w:val="21"/>
                <w:lang w:bidi="ar"/>
              </w:rPr>
              <w:t>戴胜目 Upupiformes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7A9FBEE7">
            <w:pPr>
              <w:spacing w:line="240" w:lineRule="auto"/>
              <w:ind w:firstLine="0" w:firstLineChars="0"/>
              <w:jc w:val="center"/>
              <w:rPr>
                <w:rFonts w:cs="Times New Roman"/>
                <w:szCs w:val="21"/>
              </w:rPr>
            </w:pPr>
            <w:r>
              <w:rPr>
                <w:rFonts w:cs="Times New Roman"/>
                <w:sz w:val="21"/>
                <w:szCs w:val="21"/>
                <w:lang w:bidi="ar"/>
              </w:rPr>
              <w:t>1</w:t>
            </w:r>
          </w:p>
        </w:tc>
        <w:tc>
          <w:tcPr>
            <w:tcW w:w="451" w:type="pct"/>
            <w:tcBorders>
              <w:top w:val="single" w:color="000000" w:sz="4" w:space="0"/>
              <w:left w:val="single" w:color="000000" w:sz="4" w:space="0"/>
              <w:bottom w:val="single" w:color="000000" w:sz="4" w:space="0"/>
              <w:right w:val="single" w:color="000000" w:sz="4" w:space="0"/>
            </w:tcBorders>
            <w:vAlign w:val="center"/>
          </w:tcPr>
          <w:p w14:paraId="5D6B913D">
            <w:pPr>
              <w:spacing w:line="240" w:lineRule="auto"/>
              <w:ind w:firstLine="0" w:firstLineChars="0"/>
              <w:jc w:val="center"/>
              <w:rPr>
                <w:rFonts w:cs="Times New Roman"/>
                <w:szCs w:val="21"/>
              </w:rPr>
            </w:pPr>
            <w:r>
              <w:rPr>
                <w:rFonts w:cs="Times New Roman"/>
                <w:sz w:val="21"/>
                <w:szCs w:val="21"/>
                <w:lang w:bidi="ar"/>
              </w:rPr>
              <w:t>1</w:t>
            </w:r>
          </w:p>
        </w:tc>
        <w:tc>
          <w:tcPr>
            <w:tcW w:w="1300" w:type="pct"/>
            <w:tcBorders>
              <w:top w:val="single" w:color="000000" w:sz="4" w:space="0"/>
              <w:left w:val="single" w:color="000000" w:sz="4" w:space="0"/>
              <w:bottom w:val="single" w:color="000000" w:sz="4" w:space="0"/>
              <w:right w:val="single" w:color="000000" w:sz="4" w:space="0"/>
            </w:tcBorders>
            <w:vAlign w:val="center"/>
          </w:tcPr>
          <w:p w14:paraId="02AFAB9A">
            <w:pPr>
              <w:spacing w:line="240" w:lineRule="auto"/>
              <w:ind w:firstLine="0" w:firstLineChars="0"/>
              <w:jc w:val="center"/>
              <w:rPr>
                <w:rFonts w:cs="Times New Roman"/>
                <w:szCs w:val="21"/>
              </w:rPr>
            </w:pPr>
            <w:r>
              <w:rPr>
                <w:rFonts w:cs="Times New Roman"/>
                <w:sz w:val="21"/>
                <w:szCs w:val="21"/>
                <w:lang w:bidi="ar"/>
              </w:rPr>
              <w:t>0.82</w:t>
            </w:r>
          </w:p>
        </w:tc>
      </w:tr>
      <w:tr w14:paraId="137DE2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2A341F01">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2C962B3A">
            <w:pPr>
              <w:spacing w:line="240" w:lineRule="auto"/>
              <w:ind w:firstLine="0" w:firstLineChars="0"/>
              <w:jc w:val="center"/>
              <w:rPr>
                <w:rFonts w:cs="Times New Roman"/>
                <w:szCs w:val="21"/>
              </w:rPr>
            </w:pPr>
            <w:r>
              <w:rPr>
                <w:rFonts w:cs="Times New Roman"/>
                <w:sz w:val="21"/>
                <w:szCs w:val="21"/>
                <w:lang w:bidi="ar"/>
              </w:rPr>
              <w:t>鴷形目 Piciformes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18051CF3">
            <w:pPr>
              <w:spacing w:line="240" w:lineRule="auto"/>
              <w:ind w:firstLine="0" w:firstLineChars="0"/>
              <w:jc w:val="center"/>
              <w:rPr>
                <w:rFonts w:cs="Times New Roman"/>
                <w:szCs w:val="21"/>
              </w:rPr>
            </w:pPr>
            <w:r>
              <w:rPr>
                <w:rFonts w:cs="Times New Roman"/>
                <w:sz w:val="21"/>
                <w:szCs w:val="21"/>
                <w:lang w:bidi="ar"/>
              </w:rPr>
              <w:t>1</w:t>
            </w:r>
          </w:p>
        </w:tc>
        <w:tc>
          <w:tcPr>
            <w:tcW w:w="451" w:type="pct"/>
            <w:tcBorders>
              <w:top w:val="single" w:color="000000" w:sz="4" w:space="0"/>
              <w:left w:val="single" w:color="000000" w:sz="4" w:space="0"/>
              <w:bottom w:val="single" w:color="000000" w:sz="4" w:space="0"/>
              <w:right w:val="single" w:color="000000" w:sz="4" w:space="0"/>
            </w:tcBorders>
            <w:vAlign w:val="center"/>
          </w:tcPr>
          <w:p w14:paraId="173457B1">
            <w:pPr>
              <w:spacing w:line="240" w:lineRule="auto"/>
              <w:ind w:firstLine="0" w:firstLineChars="0"/>
              <w:jc w:val="center"/>
              <w:rPr>
                <w:rFonts w:cs="Times New Roman"/>
                <w:szCs w:val="21"/>
              </w:rPr>
            </w:pPr>
            <w:r>
              <w:rPr>
                <w:rFonts w:cs="Times New Roman"/>
                <w:sz w:val="21"/>
                <w:szCs w:val="21"/>
                <w:lang w:bidi="ar"/>
              </w:rPr>
              <w:t>2</w:t>
            </w:r>
          </w:p>
        </w:tc>
        <w:tc>
          <w:tcPr>
            <w:tcW w:w="1300" w:type="pct"/>
            <w:tcBorders>
              <w:top w:val="single" w:color="000000" w:sz="4" w:space="0"/>
              <w:left w:val="single" w:color="000000" w:sz="4" w:space="0"/>
              <w:bottom w:val="single" w:color="000000" w:sz="4" w:space="0"/>
              <w:right w:val="single" w:color="000000" w:sz="4" w:space="0"/>
            </w:tcBorders>
            <w:vAlign w:val="center"/>
          </w:tcPr>
          <w:p w14:paraId="4E14EABB">
            <w:pPr>
              <w:spacing w:line="240" w:lineRule="auto"/>
              <w:ind w:firstLine="0" w:firstLineChars="0"/>
              <w:jc w:val="center"/>
              <w:rPr>
                <w:rFonts w:cs="Times New Roman"/>
                <w:szCs w:val="21"/>
              </w:rPr>
            </w:pPr>
            <w:r>
              <w:rPr>
                <w:rFonts w:cs="Times New Roman"/>
                <w:sz w:val="21"/>
                <w:szCs w:val="21"/>
                <w:lang w:bidi="ar"/>
              </w:rPr>
              <w:t>1.64</w:t>
            </w:r>
          </w:p>
        </w:tc>
      </w:tr>
      <w:tr w14:paraId="5AC2D5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451" w:type="pct"/>
            <w:tcBorders>
              <w:top w:val="single" w:color="000000" w:sz="4" w:space="0"/>
              <w:left w:val="single" w:color="000000" w:sz="4" w:space="0"/>
              <w:bottom w:val="single" w:color="000000" w:sz="4" w:space="0"/>
              <w:right w:val="single" w:color="000000" w:sz="4" w:space="0"/>
            </w:tcBorders>
          </w:tcPr>
          <w:p w14:paraId="5F56BA15">
            <w:pPr>
              <w:pStyle w:val="113"/>
              <w:widowControl/>
              <w:numPr>
                <w:ilvl w:val="0"/>
                <w:numId w:val="19"/>
              </w:numPr>
              <w:spacing w:line="240" w:lineRule="auto"/>
              <w:ind w:left="0" w:firstLine="0" w:firstLineChars="0"/>
              <w:jc w:val="center"/>
              <w:rPr>
                <w:rFonts w:hint="default" w:ascii="Times New Roman" w:hAnsi="Times New Roman" w:eastAsia="仿宋_GB2312"/>
                <w:szCs w:val="21"/>
              </w:rPr>
            </w:pPr>
          </w:p>
        </w:tc>
        <w:tc>
          <w:tcPr>
            <w:tcW w:w="2344" w:type="pct"/>
            <w:tcBorders>
              <w:top w:val="single" w:color="000000" w:sz="4" w:space="0"/>
              <w:left w:val="single" w:color="000000" w:sz="4" w:space="0"/>
              <w:bottom w:val="single" w:color="000000" w:sz="4" w:space="0"/>
              <w:right w:val="single" w:color="000000" w:sz="4" w:space="0"/>
            </w:tcBorders>
          </w:tcPr>
          <w:p w14:paraId="1D2DA6E6">
            <w:pPr>
              <w:spacing w:line="240" w:lineRule="auto"/>
              <w:ind w:firstLine="0" w:firstLineChars="0"/>
              <w:jc w:val="center"/>
              <w:rPr>
                <w:rFonts w:cs="Times New Roman"/>
                <w:szCs w:val="21"/>
              </w:rPr>
            </w:pPr>
            <w:r>
              <w:rPr>
                <w:rFonts w:cs="Times New Roman"/>
                <w:sz w:val="21"/>
                <w:szCs w:val="21"/>
                <w:lang w:bidi="ar"/>
              </w:rPr>
              <w:t>雀形目 Passeriformes</w:t>
            </w:r>
          </w:p>
        </w:tc>
        <w:tc>
          <w:tcPr>
            <w:tcW w:w="451" w:type="pct"/>
            <w:tcBorders>
              <w:top w:val="single" w:color="000000" w:sz="4" w:space="0"/>
              <w:left w:val="single" w:color="000000" w:sz="4" w:space="0"/>
              <w:bottom w:val="single" w:color="000000" w:sz="4" w:space="0"/>
              <w:right w:val="single" w:color="000000" w:sz="4" w:space="0"/>
            </w:tcBorders>
            <w:vAlign w:val="center"/>
          </w:tcPr>
          <w:p w14:paraId="7B689546">
            <w:pPr>
              <w:spacing w:line="240" w:lineRule="auto"/>
              <w:ind w:firstLine="0" w:firstLineChars="0"/>
              <w:jc w:val="center"/>
              <w:rPr>
                <w:rFonts w:cs="Times New Roman"/>
                <w:szCs w:val="21"/>
              </w:rPr>
            </w:pPr>
            <w:r>
              <w:rPr>
                <w:rFonts w:cs="Times New Roman"/>
                <w:sz w:val="21"/>
                <w:szCs w:val="21"/>
                <w:lang w:bidi="ar"/>
              </w:rPr>
              <w:t>20</w:t>
            </w:r>
          </w:p>
        </w:tc>
        <w:tc>
          <w:tcPr>
            <w:tcW w:w="451" w:type="pct"/>
            <w:tcBorders>
              <w:top w:val="single" w:color="000000" w:sz="4" w:space="0"/>
              <w:left w:val="single" w:color="000000" w:sz="4" w:space="0"/>
              <w:bottom w:val="single" w:color="000000" w:sz="4" w:space="0"/>
              <w:right w:val="single" w:color="000000" w:sz="4" w:space="0"/>
            </w:tcBorders>
            <w:vAlign w:val="center"/>
          </w:tcPr>
          <w:p w14:paraId="7633A8D2">
            <w:pPr>
              <w:spacing w:line="240" w:lineRule="auto"/>
              <w:ind w:firstLine="0" w:firstLineChars="0"/>
              <w:jc w:val="center"/>
              <w:rPr>
                <w:rFonts w:cs="Times New Roman"/>
                <w:szCs w:val="21"/>
              </w:rPr>
            </w:pPr>
            <w:r>
              <w:rPr>
                <w:rFonts w:cs="Times New Roman"/>
                <w:sz w:val="21"/>
                <w:szCs w:val="21"/>
                <w:lang w:bidi="ar"/>
              </w:rPr>
              <w:t>54</w:t>
            </w:r>
          </w:p>
        </w:tc>
        <w:tc>
          <w:tcPr>
            <w:tcW w:w="1300" w:type="pct"/>
            <w:tcBorders>
              <w:top w:val="single" w:color="000000" w:sz="4" w:space="0"/>
              <w:left w:val="single" w:color="000000" w:sz="4" w:space="0"/>
              <w:bottom w:val="single" w:color="000000" w:sz="4" w:space="0"/>
              <w:right w:val="single" w:color="000000" w:sz="4" w:space="0"/>
            </w:tcBorders>
            <w:vAlign w:val="center"/>
          </w:tcPr>
          <w:p w14:paraId="36E06D03">
            <w:pPr>
              <w:spacing w:line="240" w:lineRule="auto"/>
              <w:ind w:firstLine="0" w:firstLineChars="0"/>
              <w:jc w:val="center"/>
              <w:rPr>
                <w:rFonts w:cs="Times New Roman"/>
                <w:szCs w:val="21"/>
              </w:rPr>
            </w:pPr>
            <w:r>
              <w:rPr>
                <w:rFonts w:cs="Times New Roman"/>
                <w:sz w:val="21"/>
                <w:szCs w:val="21"/>
                <w:lang w:bidi="ar"/>
              </w:rPr>
              <w:t>44.26</w:t>
            </w:r>
          </w:p>
        </w:tc>
      </w:tr>
      <w:tr w14:paraId="4F3579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2796" w:type="pct"/>
            <w:gridSpan w:val="2"/>
            <w:tcBorders>
              <w:top w:val="single" w:color="000000" w:sz="4" w:space="0"/>
              <w:left w:val="single" w:color="000000" w:sz="4" w:space="0"/>
              <w:bottom w:val="single" w:color="000000" w:sz="4" w:space="0"/>
              <w:right w:val="single" w:color="000000" w:sz="4" w:space="0"/>
            </w:tcBorders>
          </w:tcPr>
          <w:p w14:paraId="7F77CA19">
            <w:pPr>
              <w:spacing w:line="240" w:lineRule="auto"/>
              <w:ind w:firstLine="0" w:firstLineChars="0"/>
              <w:jc w:val="center"/>
              <w:rPr>
                <w:rFonts w:cs="Times New Roman"/>
                <w:szCs w:val="21"/>
              </w:rPr>
            </w:pPr>
            <w:r>
              <w:rPr>
                <w:rFonts w:cs="Times New Roman"/>
                <w:sz w:val="21"/>
                <w:szCs w:val="21"/>
                <w:lang w:bidi="ar"/>
              </w:rPr>
              <w:t>合计</w:t>
            </w:r>
          </w:p>
        </w:tc>
        <w:tc>
          <w:tcPr>
            <w:tcW w:w="451" w:type="pct"/>
            <w:tcBorders>
              <w:top w:val="single" w:color="000000" w:sz="4" w:space="0"/>
              <w:left w:val="single" w:color="000000" w:sz="4" w:space="0"/>
              <w:bottom w:val="single" w:color="000000" w:sz="4" w:space="0"/>
              <w:right w:val="single" w:color="000000" w:sz="4" w:space="0"/>
            </w:tcBorders>
            <w:vAlign w:val="center"/>
          </w:tcPr>
          <w:p w14:paraId="3191233C">
            <w:pPr>
              <w:spacing w:line="240" w:lineRule="auto"/>
              <w:ind w:firstLine="0" w:firstLineChars="0"/>
              <w:jc w:val="center"/>
              <w:rPr>
                <w:rFonts w:cs="Times New Roman"/>
                <w:szCs w:val="21"/>
              </w:rPr>
            </w:pPr>
            <w:r>
              <w:rPr>
                <w:rFonts w:cs="Times New Roman"/>
                <w:sz w:val="21"/>
                <w:szCs w:val="21"/>
                <w:lang w:bidi="ar"/>
              </w:rPr>
              <w:t>38</w:t>
            </w:r>
          </w:p>
        </w:tc>
        <w:tc>
          <w:tcPr>
            <w:tcW w:w="451" w:type="pct"/>
            <w:tcBorders>
              <w:top w:val="single" w:color="000000" w:sz="4" w:space="0"/>
              <w:left w:val="single" w:color="000000" w:sz="4" w:space="0"/>
              <w:bottom w:val="single" w:color="000000" w:sz="4" w:space="0"/>
              <w:right w:val="single" w:color="000000" w:sz="4" w:space="0"/>
            </w:tcBorders>
            <w:vAlign w:val="center"/>
          </w:tcPr>
          <w:p w14:paraId="28017BE8">
            <w:pPr>
              <w:spacing w:line="240" w:lineRule="auto"/>
              <w:ind w:firstLine="0" w:firstLineChars="0"/>
              <w:jc w:val="center"/>
              <w:rPr>
                <w:rFonts w:cs="Times New Roman"/>
                <w:szCs w:val="21"/>
              </w:rPr>
            </w:pPr>
            <w:r>
              <w:rPr>
                <w:rFonts w:cs="Times New Roman"/>
                <w:sz w:val="21"/>
                <w:szCs w:val="21"/>
                <w:lang w:bidi="ar"/>
              </w:rPr>
              <w:t>122</w:t>
            </w:r>
          </w:p>
        </w:tc>
        <w:tc>
          <w:tcPr>
            <w:tcW w:w="1300" w:type="pct"/>
            <w:tcBorders>
              <w:top w:val="single" w:color="000000" w:sz="4" w:space="0"/>
              <w:left w:val="single" w:color="000000" w:sz="4" w:space="0"/>
              <w:bottom w:val="single" w:color="000000" w:sz="4" w:space="0"/>
              <w:right w:val="single" w:color="000000" w:sz="4" w:space="0"/>
            </w:tcBorders>
            <w:vAlign w:val="center"/>
          </w:tcPr>
          <w:p w14:paraId="5BFB3537">
            <w:pPr>
              <w:spacing w:line="240" w:lineRule="auto"/>
              <w:ind w:firstLine="0" w:firstLineChars="0"/>
              <w:jc w:val="center"/>
              <w:rPr>
                <w:rFonts w:cs="Times New Roman"/>
                <w:szCs w:val="21"/>
              </w:rPr>
            </w:pPr>
            <w:r>
              <w:rPr>
                <w:rFonts w:cs="Times New Roman"/>
                <w:sz w:val="21"/>
                <w:szCs w:val="21"/>
                <w:lang w:bidi="ar"/>
              </w:rPr>
              <w:t>100</w:t>
            </w:r>
          </w:p>
        </w:tc>
      </w:tr>
    </w:tbl>
    <w:p w14:paraId="51770A17">
      <w:pPr>
        <w:spacing w:line="240" w:lineRule="auto"/>
        <w:ind w:firstLine="0" w:firstLineChars="0"/>
        <w:rPr>
          <w:rFonts w:cs="Times New Roman"/>
          <w:b/>
          <w:bCs/>
          <w:szCs w:val="24"/>
        </w:rPr>
      </w:pPr>
      <w:r>
        <w:rPr>
          <w:rFonts w:hint="eastAsia" w:ascii="等线" w:hAnsi="等线" w:eastAsia="等线" w:cs="Times New Roman"/>
          <w:sz w:val="21"/>
          <w:lang w:bidi="ar"/>
        </w:rPr>
        <w:drawing>
          <wp:inline distT="0" distB="0" distL="114300" distR="114300">
            <wp:extent cx="2590800" cy="1809750"/>
            <wp:effectExtent l="0" t="0" r="0" b="0"/>
            <wp:docPr id="53" name="图片 29"/>
            <wp:cNvGraphicFramePr/>
            <a:graphic xmlns:a="http://schemas.openxmlformats.org/drawingml/2006/main">
              <a:graphicData uri="http://schemas.openxmlformats.org/drawingml/2006/picture">
                <pic:pic xmlns:pic="http://schemas.openxmlformats.org/drawingml/2006/picture">
                  <pic:nvPicPr>
                    <pic:cNvPr id="53" name="图片 29"/>
                    <pic:cNvPicPr/>
                  </pic:nvPicPr>
                  <pic:blipFill>
                    <a:blip r:embed="rId58"/>
                    <a:stretch>
                      <a:fillRect/>
                    </a:stretch>
                  </pic:blipFill>
                  <pic:spPr>
                    <a:xfrm>
                      <a:off x="0" y="0"/>
                      <a:ext cx="2590800" cy="1809750"/>
                    </a:xfrm>
                    <a:prstGeom prst="rect">
                      <a:avLst/>
                    </a:prstGeom>
                    <a:noFill/>
                    <a:ln>
                      <a:noFill/>
                    </a:ln>
                  </pic:spPr>
                </pic:pic>
              </a:graphicData>
            </a:graphic>
          </wp:inline>
        </w:drawing>
      </w:r>
      <w:r>
        <w:rPr>
          <w:rFonts w:hint="eastAsia" w:ascii="等线" w:hAnsi="等线" w:eastAsia="等线" w:cs="Times New Roman"/>
          <w:sz w:val="21"/>
          <w:lang w:bidi="ar"/>
        </w:rPr>
        <w:t xml:space="preserve"> </w:t>
      </w:r>
      <w:r>
        <w:rPr>
          <w:rFonts w:hint="eastAsia" w:ascii="等线" w:hAnsi="等线" w:eastAsia="等线" w:cs="Times New Roman"/>
          <w:sz w:val="21"/>
          <w:lang w:bidi="ar"/>
        </w:rPr>
        <w:drawing>
          <wp:inline distT="0" distB="0" distL="114300" distR="114300">
            <wp:extent cx="2590800" cy="1809750"/>
            <wp:effectExtent l="0" t="0" r="0" b="0"/>
            <wp:docPr id="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
                    <pic:cNvPicPr>
                      <a:picLocks noChangeAspect="1"/>
                    </pic:cNvPicPr>
                  </pic:nvPicPr>
                  <pic:blipFill>
                    <a:blip r:embed="rId59"/>
                    <a:stretch>
                      <a:fillRect/>
                    </a:stretch>
                  </pic:blipFill>
                  <pic:spPr>
                    <a:xfrm>
                      <a:off x="0" y="0"/>
                      <a:ext cx="2590800" cy="1809750"/>
                    </a:xfrm>
                    <a:prstGeom prst="rect">
                      <a:avLst/>
                    </a:prstGeom>
                    <a:noFill/>
                    <a:ln>
                      <a:noFill/>
                    </a:ln>
                  </pic:spPr>
                </pic:pic>
              </a:graphicData>
            </a:graphic>
          </wp:inline>
        </w:drawing>
      </w:r>
    </w:p>
    <w:p w14:paraId="5ECB0486">
      <w:pPr>
        <w:spacing w:line="240" w:lineRule="auto"/>
        <w:ind w:firstLine="0" w:firstLineChars="0"/>
        <w:jc w:val="center"/>
        <w:rPr>
          <w:rFonts w:ascii="仿宋_GB2312" w:cs="Times New Roman"/>
          <w:b/>
          <w:bCs/>
          <w:kern w:val="0"/>
          <w:szCs w:val="21"/>
        </w:rPr>
      </w:pPr>
      <w:r>
        <w:rPr>
          <w:rFonts w:hint="eastAsia" w:cs="Times New Roman"/>
          <w:b/>
          <w:bCs/>
          <w:kern w:val="0"/>
          <w:sz w:val="21"/>
          <w:szCs w:val="21"/>
          <w:lang w:bidi="ar"/>
        </w:rPr>
        <w:t>灰喜鹊</w:t>
      </w:r>
      <w:r>
        <w:rPr>
          <w:rFonts w:cs="Times New Roman"/>
          <w:b/>
          <w:bCs/>
          <w:kern w:val="0"/>
          <w:sz w:val="21"/>
          <w:szCs w:val="21"/>
          <w:lang w:bidi="ar"/>
        </w:rPr>
        <w:t xml:space="preserve">                                        </w:t>
      </w:r>
      <w:r>
        <w:rPr>
          <w:rFonts w:hint="eastAsia" w:ascii="仿宋_GB2312" w:cs="Times New Roman"/>
          <w:b/>
          <w:bCs/>
          <w:kern w:val="0"/>
          <w:sz w:val="21"/>
          <w:szCs w:val="21"/>
          <w:lang w:bidi="ar"/>
        </w:rPr>
        <w:t>灰头麦鸡</w:t>
      </w:r>
    </w:p>
    <w:p w14:paraId="2D795F4C">
      <w:pPr>
        <w:spacing w:line="240" w:lineRule="auto"/>
        <w:ind w:firstLine="0" w:firstLineChars="0"/>
        <w:rPr>
          <w:rFonts w:cs="Times New Roman"/>
          <w:b/>
          <w:bCs/>
          <w:szCs w:val="24"/>
        </w:rPr>
      </w:pPr>
      <w:r>
        <w:rPr>
          <w:rFonts w:hint="eastAsia" w:ascii="等线" w:hAnsi="等线" w:eastAsia="等线" w:cs="Times New Roman"/>
          <w:sz w:val="21"/>
          <w:lang w:bidi="ar"/>
        </w:rPr>
        <w:drawing>
          <wp:inline distT="0" distB="0" distL="114300" distR="114300">
            <wp:extent cx="2590800" cy="1828800"/>
            <wp:effectExtent l="0" t="0" r="0" b="0"/>
            <wp:docPr id="5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1"/>
                    <pic:cNvPicPr>
                      <a:picLocks noChangeAspect="1"/>
                    </pic:cNvPicPr>
                  </pic:nvPicPr>
                  <pic:blipFill>
                    <a:blip r:embed="rId60"/>
                    <a:stretch>
                      <a:fillRect/>
                    </a:stretch>
                  </pic:blipFill>
                  <pic:spPr>
                    <a:xfrm>
                      <a:off x="0" y="0"/>
                      <a:ext cx="2590800" cy="1828800"/>
                    </a:xfrm>
                    <a:prstGeom prst="rect">
                      <a:avLst/>
                    </a:prstGeom>
                    <a:noFill/>
                    <a:ln>
                      <a:noFill/>
                    </a:ln>
                  </pic:spPr>
                </pic:pic>
              </a:graphicData>
            </a:graphic>
          </wp:inline>
        </w:drawing>
      </w:r>
      <w:r>
        <w:rPr>
          <w:rFonts w:hint="eastAsia" w:ascii="等线" w:hAnsi="等线" w:eastAsia="等线" w:cs="Times New Roman"/>
          <w:sz w:val="21"/>
          <w:lang w:bidi="ar"/>
        </w:rPr>
        <w:t xml:space="preserve"> </w:t>
      </w:r>
      <w:r>
        <w:rPr>
          <w:rFonts w:hint="eastAsia" w:ascii="等线" w:hAnsi="等线" w:eastAsia="等线" w:cs="Times New Roman"/>
          <w:sz w:val="21"/>
          <w:lang w:bidi="ar"/>
        </w:rPr>
        <w:drawing>
          <wp:inline distT="0" distB="0" distL="114300" distR="114300">
            <wp:extent cx="2590800" cy="1857375"/>
            <wp:effectExtent l="0" t="0" r="0" b="9525"/>
            <wp:docPr id="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2"/>
                    <pic:cNvPicPr>
                      <a:picLocks noChangeAspect="1"/>
                    </pic:cNvPicPr>
                  </pic:nvPicPr>
                  <pic:blipFill>
                    <a:blip r:embed="rId61"/>
                    <a:stretch>
                      <a:fillRect/>
                    </a:stretch>
                  </pic:blipFill>
                  <pic:spPr>
                    <a:xfrm>
                      <a:off x="0" y="0"/>
                      <a:ext cx="2590800" cy="1857375"/>
                    </a:xfrm>
                    <a:prstGeom prst="rect">
                      <a:avLst/>
                    </a:prstGeom>
                    <a:noFill/>
                    <a:ln>
                      <a:noFill/>
                    </a:ln>
                  </pic:spPr>
                </pic:pic>
              </a:graphicData>
            </a:graphic>
          </wp:inline>
        </w:drawing>
      </w:r>
    </w:p>
    <w:p w14:paraId="2449BF8D">
      <w:pPr>
        <w:spacing w:line="240" w:lineRule="auto"/>
        <w:ind w:firstLine="0" w:firstLineChars="0"/>
        <w:jc w:val="center"/>
        <w:rPr>
          <w:rFonts w:ascii="仿宋_GB2312" w:cs="Times New Roman"/>
          <w:b/>
          <w:bCs/>
          <w:kern w:val="0"/>
          <w:szCs w:val="21"/>
        </w:rPr>
      </w:pPr>
      <w:r>
        <w:rPr>
          <w:rFonts w:hint="eastAsia" w:cs="Times New Roman"/>
          <w:b/>
          <w:bCs/>
          <w:kern w:val="0"/>
          <w:sz w:val="21"/>
          <w:szCs w:val="21"/>
          <w:lang w:bidi="ar"/>
        </w:rPr>
        <w:t>绿翅鸭</w:t>
      </w:r>
      <w:r>
        <w:rPr>
          <w:rFonts w:cs="Times New Roman"/>
          <w:b/>
          <w:bCs/>
          <w:kern w:val="0"/>
          <w:sz w:val="21"/>
          <w:szCs w:val="21"/>
          <w:lang w:bidi="ar"/>
        </w:rPr>
        <w:t xml:space="preserve">                                         </w:t>
      </w:r>
      <w:r>
        <w:rPr>
          <w:rFonts w:hint="eastAsia" w:ascii="仿宋_GB2312" w:cs="Times New Roman"/>
          <w:b/>
          <w:bCs/>
          <w:kern w:val="0"/>
          <w:sz w:val="21"/>
          <w:szCs w:val="21"/>
          <w:lang w:bidi="ar"/>
        </w:rPr>
        <w:t>乌鸫</w:t>
      </w:r>
    </w:p>
    <w:p w14:paraId="3C464F00">
      <w:pPr>
        <w:ind w:firstLine="482"/>
        <w:rPr>
          <w:rFonts w:cs="Times New Roman"/>
          <w:b/>
          <w:bCs/>
          <w:szCs w:val="24"/>
        </w:rPr>
      </w:pPr>
      <w:r>
        <w:rPr>
          <w:rFonts w:hint="eastAsia" w:cs="Times New Roman"/>
          <w:b/>
          <w:bCs/>
          <w:szCs w:val="24"/>
          <w:lang w:bidi="ar"/>
        </w:rPr>
        <w:t>（</w:t>
      </w:r>
      <w:r>
        <w:rPr>
          <w:rFonts w:cs="Times New Roman"/>
          <w:b/>
          <w:bCs/>
          <w:szCs w:val="24"/>
          <w:lang w:bidi="ar"/>
        </w:rPr>
        <w:t>2</w:t>
      </w:r>
      <w:r>
        <w:rPr>
          <w:rFonts w:hint="eastAsia" w:cs="Times New Roman"/>
          <w:b/>
          <w:bCs/>
          <w:szCs w:val="24"/>
          <w:lang w:bidi="ar"/>
        </w:rPr>
        <w:t>）区系组成分析</w:t>
      </w:r>
    </w:p>
    <w:p w14:paraId="7051977A">
      <w:pPr>
        <w:ind w:firstLine="480"/>
        <w:rPr>
          <w:rFonts w:cs="Times New Roman"/>
          <w:szCs w:val="24"/>
        </w:rPr>
      </w:pPr>
      <w:r>
        <w:rPr>
          <w:rFonts w:hint="eastAsia" w:cs="Times New Roman"/>
          <w:szCs w:val="24"/>
          <w:lang w:bidi="ar"/>
        </w:rPr>
        <w:t>茅山旅游度假区鸟类群落兼有南、北方种类，加之区域地处东亚至澳大利亚候鸟迁徙大通道，候鸟、旅鸟、留鸟使区域鸟类区系复杂。茅山旅游度假区鸟类以古北界鸟类为主，共</w:t>
      </w:r>
      <w:r>
        <w:rPr>
          <w:rFonts w:cs="Times New Roman"/>
          <w:szCs w:val="24"/>
          <w:lang w:bidi="ar"/>
        </w:rPr>
        <w:t>47</w:t>
      </w:r>
      <w:r>
        <w:rPr>
          <w:rFonts w:hint="eastAsia" w:cs="Times New Roman"/>
          <w:szCs w:val="24"/>
          <w:lang w:bidi="ar"/>
        </w:rPr>
        <w:t>种，占鸟类种数的</w:t>
      </w:r>
      <w:r>
        <w:rPr>
          <w:rFonts w:cs="Times New Roman"/>
          <w:szCs w:val="24"/>
          <w:lang w:bidi="ar"/>
        </w:rPr>
        <w:t>38.62%</w:t>
      </w:r>
      <w:r>
        <w:rPr>
          <w:rFonts w:hint="eastAsia" w:cs="Times New Roman"/>
          <w:szCs w:val="24"/>
          <w:lang w:bidi="ar"/>
        </w:rPr>
        <w:t>；广布种鸟类</w:t>
      </w:r>
      <w:r>
        <w:rPr>
          <w:rFonts w:cs="Times New Roman"/>
          <w:szCs w:val="24"/>
          <w:lang w:bidi="ar"/>
        </w:rPr>
        <w:t>45</w:t>
      </w:r>
      <w:r>
        <w:rPr>
          <w:rFonts w:hint="eastAsia" w:cs="Times New Roman"/>
          <w:szCs w:val="24"/>
          <w:lang w:bidi="ar"/>
        </w:rPr>
        <w:t>种，占</w:t>
      </w:r>
      <w:r>
        <w:rPr>
          <w:rFonts w:cs="Times New Roman"/>
          <w:szCs w:val="24"/>
          <w:lang w:bidi="ar"/>
        </w:rPr>
        <w:t>36.89%</w:t>
      </w:r>
      <w:r>
        <w:rPr>
          <w:rFonts w:hint="eastAsia" w:cs="Times New Roman"/>
          <w:szCs w:val="24"/>
          <w:lang w:bidi="ar"/>
        </w:rPr>
        <w:t>；东洋界鸟类所占的比例较小，共</w:t>
      </w:r>
      <w:r>
        <w:rPr>
          <w:rFonts w:cs="Times New Roman"/>
          <w:szCs w:val="24"/>
          <w:lang w:bidi="ar"/>
        </w:rPr>
        <w:t>30</w:t>
      </w:r>
      <w:r>
        <w:rPr>
          <w:rFonts w:hint="eastAsia" w:cs="Times New Roman"/>
          <w:szCs w:val="24"/>
          <w:lang w:bidi="ar"/>
        </w:rPr>
        <w:t>种，占</w:t>
      </w:r>
      <w:r>
        <w:rPr>
          <w:rFonts w:cs="Times New Roman"/>
          <w:szCs w:val="24"/>
          <w:lang w:bidi="ar"/>
        </w:rPr>
        <w:t>24.59%</w:t>
      </w:r>
      <w:r>
        <w:rPr>
          <w:rFonts w:hint="eastAsia" w:cs="Times New Roman"/>
          <w:szCs w:val="24"/>
          <w:lang w:bidi="ar"/>
        </w:rPr>
        <w:t>。度假区内鸟类古北界种数高于东洋界种和广布种，与区域地理位置和栖息地生境关系密切。</w:t>
      </w:r>
    </w:p>
    <w:p w14:paraId="052D136B">
      <w:pPr>
        <w:ind w:firstLine="480"/>
        <w:rPr>
          <w:rFonts w:cs="Times New Roman"/>
          <w:szCs w:val="24"/>
        </w:rPr>
      </w:pPr>
      <w:r>
        <w:rPr>
          <w:rFonts w:hint="eastAsia" w:cs="Times New Roman"/>
          <w:szCs w:val="24"/>
          <w:lang w:bidi="ar"/>
        </w:rPr>
        <w:t>考虑到鸟类区系多以繁殖鸟为依据（郑作新，</w:t>
      </w:r>
      <w:r>
        <w:rPr>
          <w:rFonts w:cs="Times New Roman"/>
          <w:szCs w:val="24"/>
          <w:lang w:bidi="ar"/>
        </w:rPr>
        <w:t>1964</w:t>
      </w:r>
      <w:r>
        <w:rPr>
          <w:rFonts w:hint="eastAsia" w:cs="Times New Roman"/>
          <w:szCs w:val="24"/>
          <w:lang w:bidi="ar"/>
        </w:rPr>
        <w:t>），度假区繁殖鸟（留鸟和夏候鸟）鸟类区系组成中，东洋界种</w:t>
      </w:r>
      <w:r>
        <w:rPr>
          <w:rFonts w:cs="Times New Roman"/>
          <w:szCs w:val="24"/>
          <w:lang w:bidi="ar"/>
        </w:rPr>
        <w:t>30</w:t>
      </w:r>
      <w:r>
        <w:rPr>
          <w:rFonts w:hint="eastAsia" w:cs="Times New Roman"/>
          <w:szCs w:val="24"/>
          <w:lang w:bidi="ar"/>
        </w:rPr>
        <w:t>种，占繁殖鸟类种数（</w:t>
      </w:r>
      <w:r>
        <w:rPr>
          <w:rFonts w:cs="Times New Roman"/>
          <w:szCs w:val="24"/>
          <w:lang w:bidi="ar"/>
        </w:rPr>
        <w:t>75</w:t>
      </w:r>
      <w:r>
        <w:rPr>
          <w:rFonts w:hint="eastAsia" w:cs="Times New Roman"/>
          <w:szCs w:val="24"/>
          <w:lang w:bidi="ar"/>
        </w:rPr>
        <w:t>种）的</w:t>
      </w:r>
      <w:r>
        <w:rPr>
          <w:rFonts w:cs="Times New Roman"/>
          <w:szCs w:val="24"/>
          <w:lang w:bidi="ar"/>
        </w:rPr>
        <w:t>40%</w:t>
      </w:r>
      <w:r>
        <w:rPr>
          <w:rFonts w:hint="eastAsia" w:cs="Times New Roman"/>
          <w:szCs w:val="24"/>
          <w:lang w:bidi="ar"/>
        </w:rPr>
        <w:t>；古北界种</w:t>
      </w:r>
      <w:r>
        <w:rPr>
          <w:rFonts w:cs="Times New Roman"/>
          <w:szCs w:val="24"/>
          <w:lang w:bidi="ar"/>
        </w:rPr>
        <w:t>11</w:t>
      </w:r>
      <w:r>
        <w:rPr>
          <w:rFonts w:hint="eastAsia" w:cs="Times New Roman"/>
          <w:szCs w:val="24"/>
          <w:lang w:bidi="ar"/>
        </w:rPr>
        <w:t>种，占</w:t>
      </w:r>
      <w:r>
        <w:rPr>
          <w:rFonts w:cs="Times New Roman"/>
          <w:szCs w:val="24"/>
          <w:lang w:bidi="ar"/>
        </w:rPr>
        <w:t>14.67%</w:t>
      </w:r>
      <w:r>
        <w:rPr>
          <w:rFonts w:hint="eastAsia" w:cs="Times New Roman"/>
          <w:szCs w:val="24"/>
          <w:lang w:bidi="ar"/>
        </w:rPr>
        <w:t>，广布种鸟类</w:t>
      </w:r>
      <w:r>
        <w:rPr>
          <w:rFonts w:cs="Times New Roman"/>
          <w:szCs w:val="24"/>
          <w:lang w:bidi="ar"/>
        </w:rPr>
        <w:t>35</w:t>
      </w:r>
      <w:r>
        <w:rPr>
          <w:rFonts w:hint="eastAsia" w:cs="Times New Roman"/>
          <w:szCs w:val="24"/>
          <w:lang w:bidi="ar"/>
        </w:rPr>
        <w:t>种，占</w:t>
      </w:r>
      <w:r>
        <w:rPr>
          <w:rFonts w:cs="Times New Roman"/>
          <w:szCs w:val="24"/>
          <w:lang w:bidi="ar"/>
        </w:rPr>
        <w:t>45.33%</w:t>
      </w:r>
      <w:r>
        <w:rPr>
          <w:rFonts w:hint="eastAsia" w:cs="Times New Roman"/>
          <w:szCs w:val="24"/>
          <w:lang w:bidi="ar"/>
        </w:rPr>
        <w:t>。繁殖鸟类中东洋界种略占优势，说明茅山旅游度假区地区位于古北界和东洋界的过渡区域，区域鸟类兼有古北界和东洋界鸟类的双重特征。</w:t>
      </w:r>
    </w:p>
    <w:p w14:paraId="2D4E9928">
      <w:pPr>
        <w:ind w:firstLine="482"/>
        <w:rPr>
          <w:rFonts w:cs="Times New Roman"/>
          <w:b/>
          <w:bCs/>
          <w:szCs w:val="24"/>
        </w:rPr>
      </w:pPr>
      <w:r>
        <w:rPr>
          <w:rFonts w:hint="eastAsia" w:cs="Times New Roman"/>
          <w:b/>
          <w:bCs/>
          <w:szCs w:val="24"/>
          <w:lang w:bidi="ar"/>
        </w:rPr>
        <w:t>（</w:t>
      </w:r>
      <w:r>
        <w:rPr>
          <w:rFonts w:cs="Times New Roman"/>
          <w:b/>
          <w:bCs/>
          <w:szCs w:val="24"/>
          <w:lang w:bidi="ar"/>
        </w:rPr>
        <w:t>3</w:t>
      </w:r>
      <w:r>
        <w:rPr>
          <w:rFonts w:hint="eastAsia" w:cs="Times New Roman"/>
          <w:b/>
          <w:bCs/>
          <w:szCs w:val="24"/>
          <w:lang w:bidi="ar"/>
        </w:rPr>
        <w:t>）季节变化分析</w:t>
      </w:r>
    </w:p>
    <w:p w14:paraId="3B567098">
      <w:pPr>
        <w:ind w:firstLine="480"/>
        <w:rPr>
          <w:rFonts w:cs="Times New Roman"/>
          <w:szCs w:val="24"/>
        </w:rPr>
      </w:pPr>
      <w:r>
        <w:rPr>
          <w:rFonts w:hint="eastAsia" w:cs="Times New Roman"/>
          <w:szCs w:val="24"/>
          <w:lang w:bidi="ar"/>
        </w:rPr>
        <w:t>茅山旅游度假区位于我国东部沿海迁徙通道重要地段，随着季相的更迭，鸟类群落发生明显的季节变化。</w:t>
      </w:r>
    </w:p>
    <w:p w14:paraId="7E2A419E">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-1</w:t>
      </w:r>
      <w:r>
        <w:rPr>
          <w:rFonts w:hint="eastAsia" w:cs="Times New Roman"/>
        </w:rPr>
        <w:t>9</w:t>
      </w:r>
      <w:r>
        <w:rPr>
          <w:rFonts w:cs="Times New Roman"/>
        </w:rPr>
        <w:t xml:space="preserve"> </w:t>
      </w:r>
      <w:r>
        <w:rPr>
          <w:rFonts w:hint="eastAsia" w:cs="Times New Roman"/>
        </w:rPr>
        <w:t>三类候鸟在茅山旅游度假区出现的时间分化</w:t>
      </w:r>
    </w:p>
    <w:tbl>
      <w:tblPr>
        <w:tblStyle w:val="1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525"/>
        <w:gridCol w:w="525"/>
        <w:gridCol w:w="525"/>
        <w:gridCol w:w="525"/>
        <w:gridCol w:w="525"/>
        <w:gridCol w:w="525"/>
        <w:gridCol w:w="525"/>
        <w:gridCol w:w="525"/>
        <w:gridCol w:w="525"/>
        <w:gridCol w:w="696"/>
        <w:gridCol w:w="684"/>
        <w:gridCol w:w="692"/>
      </w:tblGrid>
      <w:tr w14:paraId="7D329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1012" w:type="pct"/>
            <w:tcBorders>
              <w:top w:val="single" w:color="auto" w:sz="4" w:space="0"/>
              <w:left w:val="single" w:color="auto" w:sz="4" w:space="0"/>
              <w:bottom w:val="single" w:color="auto" w:sz="4" w:space="0"/>
              <w:right w:val="single" w:color="auto" w:sz="4" w:space="0"/>
            </w:tcBorders>
            <w:vAlign w:val="center"/>
          </w:tcPr>
          <w:p w14:paraId="362458C3">
            <w:pPr>
              <w:spacing w:line="240" w:lineRule="auto"/>
              <w:ind w:firstLine="0" w:firstLineChars="0"/>
              <w:jc w:val="center"/>
              <w:rPr>
                <w:rFonts w:hint="eastAsia" w:ascii="等线" w:hAnsi="等线" w:cs="Times New Roman"/>
                <w:b/>
                <w:bCs/>
                <w:szCs w:val="21"/>
              </w:rPr>
            </w:pPr>
            <w:r>
              <w:rPr>
                <w:rFonts w:hint="eastAsia" w:ascii="等线" w:hAnsi="等线" w:cs="Times New Roman"/>
                <w:b/>
                <w:bCs/>
                <w:sz w:val="21"/>
                <w:szCs w:val="21"/>
                <w:lang w:bidi="ar"/>
              </w:rPr>
              <w:t>月份</w:t>
            </w:r>
          </w:p>
        </w:tc>
        <w:tc>
          <w:tcPr>
            <w:tcW w:w="308" w:type="pct"/>
            <w:tcBorders>
              <w:top w:val="single" w:color="auto" w:sz="4" w:space="0"/>
              <w:left w:val="single" w:color="auto" w:sz="4" w:space="0"/>
              <w:bottom w:val="single" w:color="auto" w:sz="4" w:space="0"/>
              <w:right w:val="single" w:color="auto" w:sz="4" w:space="0"/>
            </w:tcBorders>
            <w:vAlign w:val="center"/>
          </w:tcPr>
          <w:p w14:paraId="2B6E0F2D">
            <w:pPr>
              <w:spacing w:line="240" w:lineRule="auto"/>
              <w:ind w:firstLine="0" w:firstLineChars="0"/>
              <w:jc w:val="center"/>
              <w:rPr>
                <w:rFonts w:hint="default" w:ascii="Times New Roman" w:hAnsi="Times New Roman" w:cs="Times New Roman"/>
                <w:b/>
                <w:bCs/>
                <w:szCs w:val="21"/>
              </w:rPr>
            </w:pPr>
            <w:r>
              <w:rPr>
                <w:rFonts w:hint="default" w:ascii="Times New Roman" w:hAnsi="Times New Roman" w:cs="Times New Roman"/>
                <w:b/>
                <w:bCs/>
                <w:sz w:val="21"/>
                <w:szCs w:val="21"/>
                <w:lang w:bidi="ar"/>
              </w:rPr>
              <w:t>1</w:t>
            </w:r>
          </w:p>
        </w:tc>
        <w:tc>
          <w:tcPr>
            <w:tcW w:w="308" w:type="pct"/>
            <w:tcBorders>
              <w:top w:val="single" w:color="auto" w:sz="4" w:space="0"/>
              <w:left w:val="single" w:color="auto" w:sz="4" w:space="0"/>
              <w:bottom w:val="single" w:color="auto" w:sz="4" w:space="0"/>
              <w:right w:val="single" w:color="auto" w:sz="4" w:space="0"/>
            </w:tcBorders>
            <w:vAlign w:val="center"/>
          </w:tcPr>
          <w:p w14:paraId="3848FF20">
            <w:pPr>
              <w:spacing w:line="240" w:lineRule="auto"/>
              <w:ind w:firstLine="0" w:firstLineChars="0"/>
              <w:jc w:val="center"/>
              <w:rPr>
                <w:rFonts w:hint="default" w:ascii="Times New Roman" w:hAnsi="Times New Roman" w:cs="Times New Roman"/>
                <w:b/>
                <w:bCs/>
                <w:szCs w:val="21"/>
              </w:rPr>
            </w:pPr>
            <w:r>
              <w:rPr>
                <w:rFonts w:hint="default" w:ascii="Times New Roman" w:hAnsi="Times New Roman" w:cs="Times New Roman"/>
                <w:b/>
                <w:bCs/>
                <w:sz w:val="21"/>
                <w:szCs w:val="21"/>
                <w:lang w:bidi="ar"/>
              </w:rPr>
              <w:t>2</w:t>
            </w:r>
          </w:p>
        </w:tc>
        <w:tc>
          <w:tcPr>
            <w:tcW w:w="308" w:type="pct"/>
            <w:tcBorders>
              <w:top w:val="single" w:color="auto" w:sz="4" w:space="0"/>
              <w:left w:val="single" w:color="auto" w:sz="4" w:space="0"/>
              <w:bottom w:val="single" w:color="auto" w:sz="4" w:space="0"/>
              <w:right w:val="single" w:color="auto" w:sz="4" w:space="0"/>
            </w:tcBorders>
            <w:vAlign w:val="center"/>
          </w:tcPr>
          <w:p w14:paraId="637036EE">
            <w:pPr>
              <w:spacing w:line="240" w:lineRule="auto"/>
              <w:ind w:firstLine="0" w:firstLineChars="0"/>
              <w:jc w:val="center"/>
              <w:rPr>
                <w:rFonts w:hint="default" w:ascii="Times New Roman" w:hAnsi="Times New Roman" w:cs="Times New Roman"/>
                <w:b/>
                <w:bCs/>
                <w:szCs w:val="21"/>
              </w:rPr>
            </w:pPr>
            <w:r>
              <w:rPr>
                <w:rFonts w:hint="default" w:ascii="Times New Roman" w:hAnsi="Times New Roman" w:cs="Times New Roman"/>
                <w:b/>
                <w:bCs/>
                <w:sz w:val="21"/>
                <w:szCs w:val="21"/>
                <w:lang w:bidi="ar"/>
              </w:rPr>
              <w:t>3</w:t>
            </w:r>
          </w:p>
        </w:tc>
        <w:tc>
          <w:tcPr>
            <w:tcW w:w="308" w:type="pct"/>
            <w:tcBorders>
              <w:top w:val="single" w:color="auto" w:sz="4" w:space="0"/>
              <w:left w:val="single" w:color="auto" w:sz="4" w:space="0"/>
              <w:bottom w:val="single" w:color="auto" w:sz="4" w:space="0"/>
              <w:right w:val="single" w:color="auto" w:sz="4" w:space="0"/>
            </w:tcBorders>
            <w:vAlign w:val="center"/>
          </w:tcPr>
          <w:p w14:paraId="62F82D2A">
            <w:pPr>
              <w:spacing w:line="240" w:lineRule="auto"/>
              <w:ind w:firstLine="0" w:firstLineChars="0"/>
              <w:jc w:val="center"/>
              <w:rPr>
                <w:rFonts w:hint="default" w:ascii="Times New Roman" w:hAnsi="Times New Roman" w:cs="Times New Roman"/>
                <w:b/>
                <w:bCs/>
                <w:szCs w:val="21"/>
              </w:rPr>
            </w:pPr>
            <w:r>
              <w:rPr>
                <w:rFonts w:hint="default" w:ascii="Times New Roman" w:hAnsi="Times New Roman" w:cs="Times New Roman"/>
                <w:b/>
                <w:bCs/>
                <w:sz w:val="21"/>
                <w:szCs w:val="21"/>
                <w:lang w:bidi="ar"/>
              </w:rPr>
              <w:t>4</w:t>
            </w:r>
          </w:p>
        </w:tc>
        <w:tc>
          <w:tcPr>
            <w:tcW w:w="308" w:type="pct"/>
            <w:tcBorders>
              <w:top w:val="single" w:color="auto" w:sz="4" w:space="0"/>
              <w:left w:val="single" w:color="auto" w:sz="4" w:space="0"/>
              <w:bottom w:val="single" w:color="auto" w:sz="4" w:space="0"/>
              <w:right w:val="single" w:color="auto" w:sz="4" w:space="0"/>
            </w:tcBorders>
            <w:vAlign w:val="center"/>
          </w:tcPr>
          <w:p w14:paraId="65E982E4">
            <w:pPr>
              <w:spacing w:line="240" w:lineRule="auto"/>
              <w:ind w:firstLine="0" w:firstLineChars="0"/>
              <w:jc w:val="center"/>
              <w:rPr>
                <w:rFonts w:hint="default" w:ascii="Times New Roman" w:hAnsi="Times New Roman" w:cs="Times New Roman"/>
                <w:b/>
                <w:bCs/>
                <w:szCs w:val="21"/>
              </w:rPr>
            </w:pPr>
            <w:r>
              <w:rPr>
                <w:rFonts w:hint="default" w:ascii="Times New Roman" w:hAnsi="Times New Roman" w:cs="Times New Roman"/>
                <w:b/>
                <w:bCs/>
                <w:sz w:val="21"/>
                <w:szCs w:val="21"/>
                <w:lang w:bidi="ar"/>
              </w:rPr>
              <w:t>5</w:t>
            </w:r>
          </w:p>
        </w:tc>
        <w:tc>
          <w:tcPr>
            <w:tcW w:w="308" w:type="pct"/>
            <w:tcBorders>
              <w:top w:val="single" w:color="auto" w:sz="4" w:space="0"/>
              <w:left w:val="single" w:color="auto" w:sz="4" w:space="0"/>
              <w:bottom w:val="single" w:color="auto" w:sz="4" w:space="0"/>
              <w:right w:val="single" w:color="auto" w:sz="4" w:space="0"/>
            </w:tcBorders>
            <w:vAlign w:val="center"/>
          </w:tcPr>
          <w:p w14:paraId="4A4F4E7A">
            <w:pPr>
              <w:spacing w:line="240" w:lineRule="auto"/>
              <w:ind w:firstLine="0" w:firstLineChars="0"/>
              <w:jc w:val="center"/>
              <w:rPr>
                <w:rFonts w:hint="default" w:ascii="Times New Roman" w:hAnsi="Times New Roman" w:cs="Times New Roman"/>
                <w:b/>
                <w:bCs/>
                <w:szCs w:val="21"/>
              </w:rPr>
            </w:pPr>
            <w:r>
              <w:rPr>
                <w:rFonts w:hint="default" w:ascii="Times New Roman" w:hAnsi="Times New Roman" w:cs="Times New Roman"/>
                <w:b/>
                <w:bCs/>
                <w:sz w:val="21"/>
                <w:szCs w:val="21"/>
                <w:lang w:bidi="ar"/>
              </w:rPr>
              <w:t>6</w:t>
            </w:r>
          </w:p>
        </w:tc>
        <w:tc>
          <w:tcPr>
            <w:tcW w:w="308" w:type="pct"/>
            <w:tcBorders>
              <w:top w:val="single" w:color="auto" w:sz="4" w:space="0"/>
              <w:left w:val="single" w:color="auto" w:sz="4" w:space="0"/>
              <w:bottom w:val="single" w:color="auto" w:sz="4" w:space="0"/>
              <w:right w:val="single" w:color="auto" w:sz="4" w:space="0"/>
            </w:tcBorders>
            <w:vAlign w:val="center"/>
          </w:tcPr>
          <w:p w14:paraId="5F827C81">
            <w:pPr>
              <w:spacing w:line="240" w:lineRule="auto"/>
              <w:ind w:firstLine="0" w:firstLineChars="0"/>
              <w:jc w:val="center"/>
              <w:rPr>
                <w:rFonts w:hint="default" w:ascii="Times New Roman" w:hAnsi="Times New Roman" w:cs="Times New Roman"/>
                <w:b/>
                <w:bCs/>
                <w:szCs w:val="21"/>
              </w:rPr>
            </w:pPr>
            <w:r>
              <w:rPr>
                <w:rFonts w:hint="default" w:ascii="Times New Roman" w:hAnsi="Times New Roman" w:cs="Times New Roman"/>
                <w:b/>
                <w:bCs/>
                <w:sz w:val="21"/>
                <w:szCs w:val="21"/>
                <w:lang w:bidi="ar"/>
              </w:rPr>
              <w:t>7</w:t>
            </w:r>
          </w:p>
        </w:tc>
        <w:tc>
          <w:tcPr>
            <w:tcW w:w="308" w:type="pct"/>
            <w:tcBorders>
              <w:top w:val="single" w:color="auto" w:sz="4" w:space="0"/>
              <w:left w:val="single" w:color="auto" w:sz="4" w:space="0"/>
              <w:bottom w:val="single" w:color="auto" w:sz="4" w:space="0"/>
              <w:right w:val="single" w:color="auto" w:sz="4" w:space="0"/>
            </w:tcBorders>
            <w:vAlign w:val="center"/>
          </w:tcPr>
          <w:p w14:paraId="2BEF4711">
            <w:pPr>
              <w:spacing w:line="240" w:lineRule="auto"/>
              <w:ind w:firstLine="0" w:firstLineChars="0"/>
              <w:jc w:val="center"/>
              <w:rPr>
                <w:rFonts w:hint="default" w:ascii="Times New Roman" w:hAnsi="Times New Roman" w:cs="Times New Roman"/>
                <w:b/>
                <w:bCs/>
                <w:szCs w:val="21"/>
              </w:rPr>
            </w:pPr>
            <w:r>
              <w:rPr>
                <w:rFonts w:hint="default" w:ascii="Times New Roman" w:hAnsi="Times New Roman" w:cs="Times New Roman"/>
                <w:b/>
                <w:bCs/>
                <w:sz w:val="21"/>
                <w:szCs w:val="21"/>
                <w:lang w:bidi="ar"/>
              </w:rPr>
              <w:t>8</w:t>
            </w:r>
          </w:p>
        </w:tc>
        <w:tc>
          <w:tcPr>
            <w:tcW w:w="308" w:type="pct"/>
            <w:tcBorders>
              <w:top w:val="single" w:color="auto" w:sz="4" w:space="0"/>
              <w:left w:val="single" w:color="auto" w:sz="4" w:space="0"/>
              <w:bottom w:val="single" w:color="auto" w:sz="4" w:space="0"/>
              <w:right w:val="single" w:color="auto" w:sz="4" w:space="0"/>
            </w:tcBorders>
            <w:vAlign w:val="center"/>
          </w:tcPr>
          <w:p w14:paraId="158627BA">
            <w:pPr>
              <w:spacing w:line="240" w:lineRule="auto"/>
              <w:ind w:firstLine="0" w:firstLineChars="0"/>
              <w:jc w:val="center"/>
              <w:rPr>
                <w:rFonts w:hint="default" w:ascii="Times New Roman" w:hAnsi="Times New Roman" w:cs="Times New Roman"/>
                <w:b/>
                <w:bCs/>
                <w:szCs w:val="21"/>
              </w:rPr>
            </w:pPr>
            <w:r>
              <w:rPr>
                <w:rFonts w:hint="default" w:ascii="Times New Roman" w:hAnsi="Times New Roman" w:cs="Times New Roman"/>
                <w:b/>
                <w:bCs/>
                <w:sz w:val="21"/>
                <w:szCs w:val="21"/>
                <w:lang w:bidi="ar"/>
              </w:rPr>
              <w:t>9</w:t>
            </w:r>
          </w:p>
        </w:tc>
        <w:tc>
          <w:tcPr>
            <w:tcW w:w="408" w:type="pct"/>
            <w:tcBorders>
              <w:top w:val="single" w:color="auto" w:sz="4" w:space="0"/>
              <w:left w:val="single" w:color="auto" w:sz="4" w:space="0"/>
              <w:bottom w:val="single" w:color="auto" w:sz="4" w:space="0"/>
              <w:right w:val="single" w:color="auto" w:sz="4" w:space="0"/>
            </w:tcBorders>
            <w:vAlign w:val="center"/>
          </w:tcPr>
          <w:p w14:paraId="56AEC829">
            <w:pPr>
              <w:spacing w:line="240" w:lineRule="auto"/>
              <w:ind w:firstLine="0" w:firstLineChars="0"/>
              <w:jc w:val="center"/>
              <w:rPr>
                <w:rFonts w:hint="default" w:ascii="Times New Roman" w:hAnsi="Times New Roman" w:cs="Times New Roman"/>
                <w:b/>
                <w:bCs/>
                <w:szCs w:val="21"/>
              </w:rPr>
            </w:pPr>
            <w:r>
              <w:rPr>
                <w:rFonts w:hint="default" w:ascii="Times New Roman" w:hAnsi="Times New Roman" w:cs="Times New Roman"/>
                <w:b/>
                <w:bCs/>
                <w:sz w:val="21"/>
                <w:szCs w:val="21"/>
                <w:lang w:bidi="ar"/>
              </w:rPr>
              <w:t>10</w:t>
            </w:r>
          </w:p>
        </w:tc>
        <w:tc>
          <w:tcPr>
            <w:tcW w:w="401" w:type="pct"/>
            <w:tcBorders>
              <w:top w:val="single" w:color="auto" w:sz="4" w:space="0"/>
              <w:left w:val="single" w:color="auto" w:sz="4" w:space="0"/>
              <w:bottom w:val="single" w:color="auto" w:sz="4" w:space="0"/>
              <w:right w:val="single" w:color="auto" w:sz="4" w:space="0"/>
            </w:tcBorders>
            <w:vAlign w:val="center"/>
          </w:tcPr>
          <w:p w14:paraId="0A41B293">
            <w:pPr>
              <w:spacing w:line="240" w:lineRule="auto"/>
              <w:ind w:firstLine="0" w:firstLineChars="0"/>
              <w:jc w:val="center"/>
              <w:rPr>
                <w:rFonts w:hint="default" w:ascii="Times New Roman" w:hAnsi="Times New Roman" w:cs="Times New Roman"/>
                <w:b/>
                <w:bCs/>
                <w:szCs w:val="21"/>
              </w:rPr>
            </w:pPr>
            <w:r>
              <w:rPr>
                <w:rFonts w:hint="default" w:ascii="Times New Roman" w:hAnsi="Times New Roman" w:cs="Times New Roman"/>
                <w:b/>
                <w:bCs/>
                <w:sz w:val="21"/>
                <w:szCs w:val="21"/>
                <w:lang w:bidi="ar"/>
              </w:rPr>
              <w:t>11</w:t>
            </w:r>
          </w:p>
        </w:tc>
        <w:tc>
          <w:tcPr>
            <w:tcW w:w="406" w:type="pct"/>
            <w:tcBorders>
              <w:top w:val="single" w:color="auto" w:sz="4" w:space="0"/>
              <w:left w:val="single" w:color="auto" w:sz="4" w:space="0"/>
              <w:bottom w:val="single" w:color="auto" w:sz="4" w:space="0"/>
              <w:right w:val="single" w:color="auto" w:sz="4" w:space="0"/>
            </w:tcBorders>
            <w:vAlign w:val="center"/>
          </w:tcPr>
          <w:p w14:paraId="156C778A">
            <w:pPr>
              <w:spacing w:line="240" w:lineRule="auto"/>
              <w:ind w:firstLine="0" w:firstLineChars="0"/>
              <w:jc w:val="center"/>
              <w:rPr>
                <w:rFonts w:hint="default" w:ascii="Times New Roman" w:hAnsi="Times New Roman" w:cs="Times New Roman"/>
                <w:b/>
                <w:bCs/>
                <w:szCs w:val="21"/>
              </w:rPr>
            </w:pPr>
            <w:r>
              <w:rPr>
                <w:rFonts w:hint="default" w:ascii="Times New Roman" w:hAnsi="Times New Roman" w:cs="Times New Roman"/>
                <w:b/>
                <w:bCs/>
                <w:sz w:val="21"/>
                <w:szCs w:val="21"/>
                <w:lang w:bidi="ar"/>
              </w:rPr>
              <w:t>12</w:t>
            </w:r>
          </w:p>
        </w:tc>
      </w:tr>
      <w:tr w14:paraId="49167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2" w:type="pct"/>
            <w:tcBorders>
              <w:top w:val="single" w:color="auto" w:sz="4" w:space="0"/>
              <w:left w:val="single" w:color="auto" w:sz="4" w:space="0"/>
              <w:bottom w:val="single" w:color="auto" w:sz="4" w:space="0"/>
              <w:right w:val="single" w:color="auto" w:sz="4" w:space="0"/>
            </w:tcBorders>
            <w:vAlign w:val="center"/>
          </w:tcPr>
          <w:p w14:paraId="19C5DD50">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过境候鸟</w:t>
            </w:r>
          </w:p>
        </w:tc>
        <w:tc>
          <w:tcPr>
            <w:tcW w:w="308" w:type="pct"/>
            <w:tcBorders>
              <w:top w:val="single" w:color="auto" w:sz="4" w:space="0"/>
              <w:left w:val="single" w:color="auto" w:sz="4" w:space="0"/>
              <w:bottom w:val="single" w:color="auto" w:sz="4" w:space="0"/>
              <w:right w:val="single" w:color="auto" w:sz="4" w:space="0"/>
            </w:tcBorders>
            <w:vAlign w:val="center"/>
          </w:tcPr>
          <w:p w14:paraId="56C7FEA2">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vAlign w:val="center"/>
          </w:tcPr>
          <w:p w14:paraId="51806C02">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vAlign w:val="center"/>
          </w:tcPr>
          <w:p w14:paraId="46BC7CCA">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shd w:val="clear" w:color="auto" w:fill="D9D9D9"/>
            <w:vAlign w:val="center"/>
          </w:tcPr>
          <w:p w14:paraId="480C3915">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308" w:type="pct"/>
            <w:tcBorders>
              <w:top w:val="single" w:color="auto" w:sz="4" w:space="0"/>
              <w:left w:val="single" w:color="auto" w:sz="4" w:space="0"/>
              <w:bottom w:val="single" w:color="auto" w:sz="4" w:space="0"/>
              <w:right w:val="single" w:color="auto" w:sz="4" w:space="0"/>
            </w:tcBorders>
            <w:shd w:val="clear" w:color="auto" w:fill="D9D9D9"/>
            <w:vAlign w:val="center"/>
          </w:tcPr>
          <w:p w14:paraId="17F6C375">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308" w:type="pct"/>
            <w:tcBorders>
              <w:top w:val="single" w:color="auto" w:sz="4" w:space="0"/>
              <w:left w:val="single" w:color="auto" w:sz="4" w:space="0"/>
              <w:bottom w:val="single" w:color="auto" w:sz="4" w:space="0"/>
              <w:right w:val="single" w:color="auto" w:sz="4" w:space="0"/>
            </w:tcBorders>
            <w:vAlign w:val="center"/>
          </w:tcPr>
          <w:p w14:paraId="70B51766">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vAlign w:val="center"/>
          </w:tcPr>
          <w:p w14:paraId="6E4F9139">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vAlign w:val="center"/>
          </w:tcPr>
          <w:p w14:paraId="7D832A92">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shd w:val="clear" w:color="auto" w:fill="D9D9D9"/>
          </w:tcPr>
          <w:p w14:paraId="2C050E6A">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408" w:type="pct"/>
            <w:tcBorders>
              <w:top w:val="single" w:color="auto" w:sz="4" w:space="0"/>
              <w:left w:val="single" w:color="auto" w:sz="4" w:space="0"/>
              <w:bottom w:val="single" w:color="auto" w:sz="4" w:space="0"/>
              <w:right w:val="single" w:color="auto" w:sz="4" w:space="0"/>
            </w:tcBorders>
            <w:shd w:val="clear" w:color="auto" w:fill="D9D9D9"/>
          </w:tcPr>
          <w:p w14:paraId="5906B739">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401" w:type="pct"/>
            <w:tcBorders>
              <w:top w:val="single" w:color="auto" w:sz="4" w:space="0"/>
              <w:left w:val="single" w:color="auto" w:sz="4" w:space="0"/>
              <w:bottom w:val="single" w:color="auto" w:sz="4" w:space="0"/>
              <w:right w:val="single" w:color="auto" w:sz="4" w:space="0"/>
            </w:tcBorders>
            <w:shd w:val="clear" w:color="auto" w:fill="D9D9D9"/>
          </w:tcPr>
          <w:p w14:paraId="71AFE0D1">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406" w:type="pct"/>
            <w:tcBorders>
              <w:top w:val="single" w:color="auto" w:sz="4" w:space="0"/>
              <w:left w:val="single" w:color="auto" w:sz="4" w:space="0"/>
              <w:bottom w:val="single" w:color="auto" w:sz="4" w:space="0"/>
              <w:right w:val="single" w:color="auto" w:sz="4" w:space="0"/>
            </w:tcBorders>
            <w:vAlign w:val="center"/>
          </w:tcPr>
          <w:p w14:paraId="0350AD56">
            <w:pPr>
              <w:spacing w:line="240" w:lineRule="auto"/>
              <w:ind w:firstLine="0" w:firstLineChars="0"/>
              <w:jc w:val="center"/>
              <w:rPr>
                <w:rFonts w:hint="eastAsia" w:ascii="等线" w:hAnsi="等线" w:cs="Times New Roman"/>
                <w:szCs w:val="21"/>
              </w:rPr>
            </w:pPr>
          </w:p>
        </w:tc>
      </w:tr>
      <w:tr w14:paraId="0DFD6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2" w:type="pct"/>
            <w:tcBorders>
              <w:top w:val="single" w:color="auto" w:sz="4" w:space="0"/>
              <w:left w:val="single" w:color="auto" w:sz="4" w:space="0"/>
              <w:bottom w:val="single" w:color="auto" w:sz="4" w:space="0"/>
              <w:right w:val="single" w:color="auto" w:sz="4" w:space="0"/>
            </w:tcBorders>
            <w:vAlign w:val="center"/>
          </w:tcPr>
          <w:p w14:paraId="7DBA2CA7">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冬候鸟</w:t>
            </w:r>
          </w:p>
        </w:tc>
        <w:tc>
          <w:tcPr>
            <w:tcW w:w="308" w:type="pct"/>
            <w:tcBorders>
              <w:top w:val="single" w:color="auto" w:sz="4" w:space="0"/>
              <w:left w:val="single" w:color="auto" w:sz="4" w:space="0"/>
              <w:bottom w:val="single" w:color="auto" w:sz="4" w:space="0"/>
              <w:right w:val="single" w:color="auto" w:sz="4" w:space="0"/>
            </w:tcBorders>
            <w:shd w:val="clear" w:color="auto" w:fill="D9D9D9"/>
          </w:tcPr>
          <w:p w14:paraId="6A4FF229">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308" w:type="pct"/>
            <w:tcBorders>
              <w:top w:val="single" w:color="auto" w:sz="4" w:space="0"/>
              <w:left w:val="single" w:color="auto" w:sz="4" w:space="0"/>
              <w:bottom w:val="single" w:color="auto" w:sz="4" w:space="0"/>
              <w:right w:val="single" w:color="auto" w:sz="4" w:space="0"/>
            </w:tcBorders>
            <w:shd w:val="clear" w:color="auto" w:fill="D9D9D9"/>
          </w:tcPr>
          <w:p w14:paraId="1809F387">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308" w:type="pct"/>
            <w:tcBorders>
              <w:top w:val="single" w:color="auto" w:sz="4" w:space="0"/>
              <w:left w:val="single" w:color="auto" w:sz="4" w:space="0"/>
              <w:bottom w:val="single" w:color="auto" w:sz="4" w:space="0"/>
              <w:right w:val="single" w:color="auto" w:sz="4" w:space="0"/>
            </w:tcBorders>
            <w:shd w:val="clear" w:color="auto" w:fill="D9D9D9"/>
          </w:tcPr>
          <w:p w14:paraId="50D03358">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308" w:type="pct"/>
            <w:tcBorders>
              <w:top w:val="single" w:color="auto" w:sz="4" w:space="0"/>
              <w:left w:val="single" w:color="auto" w:sz="4" w:space="0"/>
              <w:bottom w:val="single" w:color="auto" w:sz="4" w:space="0"/>
              <w:right w:val="single" w:color="auto" w:sz="4" w:space="0"/>
            </w:tcBorders>
          </w:tcPr>
          <w:p w14:paraId="5E4EA4BD">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vAlign w:val="center"/>
          </w:tcPr>
          <w:p w14:paraId="0A12C479">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vAlign w:val="center"/>
          </w:tcPr>
          <w:p w14:paraId="0D081952">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vAlign w:val="center"/>
          </w:tcPr>
          <w:p w14:paraId="0AC01D95">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vAlign w:val="center"/>
          </w:tcPr>
          <w:p w14:paraId="073B98DA">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shd w:val="clear" w:color="auto" w:fill="D9D9D9"/>
            <w:vAlign w:val="center"/>
          </w:tcPr>
          <w:p w14:paraId="14638DC2">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408" w:type="pct"/>
            <w:tcBorders>
              <w:top w:val="single" w:color="auto" w:sz="4" w:space="0"/>
              <w:left w:val="single" w:color="auto" w:sz="4" w:space="0"/>
              <w:bottom w:val="single" w:color="auto" w:sz="4" w:space="0"/>
              <w:right w:val="single" w:color="auto" w:sz="4" w:space="0"/>
            </w:tcBorders>
            <w:shd w:val="clear" w:color="auto" w:fill="D9D9D9"/>
          </w:tcPr>
          <w:p w14:paraId="4A42058C">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401" w:type="pct"/>
            <w:tcBorders>
              <w:top w:val="single" w:color="auto" w:sz="4" w:space="0"/>
              <w:left w:val="single" w:color="auto" w:sz="4" w:space="0"/>
              <w:bottom w:val="single" w:color="auto" w:sz="4" w:space="0"/>
              <w:right w:val="single" w:color="auto" w:sz="4" w:space="0"/>
            </w:tcBorders>
            <w:shd w:val="clear" w:color="auto" w:fill="D9D9D9"/>
          </w:tcPr>
          <w:p w14:paraId="61DB9CEE">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406" w:type="pct"/>
            <w:tcBorders>
              <w:top w:val="single" w:color="auto" w:sz="4" w:space="0"/>
              <w:left w:val="single" w:color="auto" w:sz="4" w:space="0"/>
              <w:bottom w:val="single" w:color="auto" w:sz="4" w:space="0"/>
              <w:right w:val="single" w:color="auto" w:sz="4" w:space="0"/>
            </w:tcBorders>
            <w:shd w:val="clear" w:color="auto" w:fill="D9D9D9"/>
          </w:tcPr>
          <w:p w14:paraId="412044D5">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r>
      <w:tr w14:paraId="6567E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2" w:type="pct"/>
            <w:tcBorders>
              <w:top w:val="single" w:color="auto" w:sz="4" w:space="0"/>
              <w:left w:val="single" w:color="auto" w:sz="4" w:space="0"/>
              <w:bottom w:val="single" w:color="auto" w:sz="4" w:space="0"/>
              <w:right w:val="single" w:color="auto" w:sz="4" w:space="0"/>
            </w:tcBorders>
            <w:vAlign w:val="center"/>
          </w:tcPr>
          <w:p w14:paraId="4D93A85F">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夏候鸟</w:t>
            </w:r>
          </w:p>
        </w:tc>
        <w:tc>
          <w:tcPr>
            <w:tcW w:w="308" w:type="pct"/>
            <w:tcBorders>
              <w:top w:val="single" w:color="auto" w:sz="4" w:space="0"/>
              <w:left w:val="single" w:color="auto" w:sz="4" w:space="0"/>
              <w:bottom w:val="single" w:color="auto" w:sz="4" w:space="0"/>
              <w:right w:val="single" w:color="auto" w:sz="4" w:space="0"/>
            </w:tcBorders>
            <w:vAlign w:val="center"/>
          </w:tcPr>
          <w:p w14:paraId="34AF2CAA">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vAlign w:val="center"/>
          </w:tcPr>
          <w:p w14:paraId="3F513BAB">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vAlign w:val="center"/>
          </w:tcPr>
          <w:p w14:paraId="2A6AD4A8">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tcPr>
          <w:p w14:paraId="5F6CFA16">
            <w:pPr>
              <w:spacing w:line="240" w:lineRule="auto"/>
              <w:ind w:firstLine="0" w:firstLineChars="0"/>
              <w:jc w:val="center"/>
              <w:rPr>
                <w:rFonts w:hint="eastAsia" w:ascii="等线" w:hAnsi="等线" w:cs="Times New Roman"/>
                <w:szCs w:val="21"/>
              </w:rPr>
            </w:pPr>
          </w:p>
        </w:tc>
        <w:tc>
          <w:tcPr>
            <w:tcW w:w="308" w:type="pct"/>
            <w:tcBorders>
              <w:top w:val="single" w:color="auto" w:sz="4" w:space="0"/>
              <w:left w:val="single" w:color="auto" w:sz="4" w:space="0"/>
              <w:bottom w:val="single" w:color="auto" w:sz="4" w:space="0"/>
              <w:right w:val="single" w:color="auto" w:sz="4" w:space="0"/>
            </w:tcBorders>
            <w:shd w:val="clear" w:color="auto" w:fill="D9D9D9"/>
          </w:tcPr>
          <w:p w14:paraId="72C2FBA6">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308" w:type="pct"/>
            <w:tcBorders>
              <w:top w:val="single" w:color="auto" w:sz="4" w:space="0"/>
              <w:left w:val="single" w:color="auto" w:sz="4" w:space="0"/>
              <w:bottom w:val="single" w:color="auto" w:sz="4" w:space="0"/>
              <w:right w:val="single" w:color="auto" w:sz="4" w:space="0"/>
            </w:tcBorders>
            <w:shd w:val="clear" w:color="auto" w:fill="D9D9D9"/>
          </w:tcPr>
          <w:p w14:paraId="3D3D1175">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308" w:type="pct"/>
            <w:tcBorders>
              <w:top w:val="single" w:color="auto" w:sz="4" w:space="0"/>
              <w:left w:val="single" w:color="auto" w:sz="4" w:space="0"/>
              <w:bottom w:val="single" w:color="auto" w:sz="4" w:space="0"/>
              <w:right w:val="single" w:color="auto" w:sz="4" w:space="0"/>
            </w:tcBorders>
            <w:shd w:val="clear" w:color="auto" w:fill="D9D9D9"/>
          </w:tcPr>
          <w:p w14:paraId="6AD37C9C">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308" w:type="pct"/>
            <w:tcBorders>
              <w:top w:val="single" w:color="auto" w:sz="4" w:space="0"/>
              <w:left w:val="single" w:color="auto" w:sz="4" w:space="0"/>
              <w:bottom w:val="single" w:color="auto" w:sz="4" w:space="0"/>
              <w:right w:val="single" w:color="auto" w:sz="4" w:space="0"/>
            </w:tcBorders>
            <w:shd w:val="clear" w:color="auto" w:fill="D9D9D9"/>
          </w:tcPr>
          <w:p w14:paraId="4E6054F9">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308" w:type="pct"/>
            <w:tcBorders>
              <w:top w:val="single" w:color="auto" w:sz="4" w:space="0"/>
              <w:left w:val="single" w:color="auto" w:sz="4" w:space="0"/>
              <w:bottom w:val="single" w:color="auto" w:sz="4" w:space="0"/>
              <w:right w:val="single" w:color="auto" w:sz="4" w:space="0"/>
            </w:tcBorders>
            <w:shd w:val="clear" w:color="auto" w:fill="D9D9D9"/>
          </w:tcPr>
          <w:p w14:paraId="60A8A84D">
            <w:pPr>
              <w:spacing w:line="240" w:lineRule="auto"/>
              <w:ind w:firstLine="0" w:firstLineChars="0"/>
              <w:jc w:val="center"/>
              <w:rPr>
                <w:rFonts w:hint="eastAsia" w:ascii="等线" w:hAnsi="等线" w:cs="Times New Roman"/>
                <w:szCs w:val="21"/>
              </w:rPr>
            </w:pPr>
            <w:r>
              <w:rPr>
                <w:rFonts w:hint="eastAsia" w:ascii="等线" w:hAnsi="等线" w:cs="Times New Roman"/>
                <w:sz w:val="21"/>
                <w:szCs w:val="21"/>
                <w:lang w:bidi="ar"/>
              </w:rPr>
              <w:t>√</w:t>
            </w:r>
          </w:p>
        </w:tc>
        <w:tc>
          <w:tcPr>
            <w:tcW w:w="408" w:type="pct"/>
            <w:tcBorders>
              <w:top w:val="single" w:color="auto" w:sz="4" w:space="0"/>
              <w:left w:val="single" w:color="auto" w:sz="4" w:space="0"/>
              <w:bottom w:val="single" w:color="auto" w:sz="4" w:space="0"/>
              <w:right w:val="single" w:color="auto" w:sz="4" w:space="0"/>
            </w:tcBorders>
            <w:vAlign w:val="center"/>
          </w:tcPr>
          <w:p w14:paraId="414D75A1">
            <w:pPr>
              <w:spacing w:line="240" w:lineRule="auto"/>
              <w:ind w:firstLine="0" w:firstLineChars="0"/>
              <w:jc w:val="center"/>
              <w:rPr>
                <w:rFonts w:hint="eastAsia" w:ascii="等线" w:hAnsi="等线" w:cs="Times New Roman"/>
                <w:szCs w:val="21"/>
              </w:rPr>
            </w:pPr>
          </w:p>
        </w:tc>
        <w:tc>
          <w:tcPr>
            <w:tcW w:w="401" w:type="pct"/>
            <w:tcBorders>
              <w:top w:val="single" w:color="auto" w:sz="4" w:space="0"/>
              <w:left w:val="single" w:color="auto" w:sz="4" w:space="0"/>
              <w:bottom w:val="single" w:color="auto" w:sz="4" w:space="0"/>
              <w:right w:val="single" w:color="auto" w:sz="4" w:space="0"/>
            </w:tcBorders>
            <w:vAlign w:val="center"/>
          </w:tcPr>
          <w:p w14:paraId="53A66B4B">
            <w:pPr>
              <w:spacing w:line="240" w:lineRule="auto"/>
              <w:ind w:firstLine="0" w:firstLineChars="0"/>
              <w:jc w:val="center"/>
              <w:rPr>
                <w:rFonts w:hint="eastAsia" w:ascii="等线" w:hAnsi="等线" w:cs="Times New Roman"/>
                <w:szCs w:val="21"/>
              </w:rPr>
            </w:pPr>
          </w:p>
        </w:tc>
        <w:tc>
          <w:tcPr>
            <w:tcW w:w="406" w:type="pct"/>
            <w:tcBorders>
              <w:top w:val="single" w:color="auto" w:sz="4" w:space="0"/>
              <w:left w:val="single" w:color="auto" w:sz="4" w:space="0"/>
              <w:bottom w:val="single" w:color="auto" w:sz="4" w:space="0"/>
              <w:right w:val="single" w:color="auto" w:sz="4" w:space="0"/>
            </w:tcBorders>
            <w:vAlign w:val="center"/>
          </w:tcPr>
          <w:p w14:paraId="326EF2DD">
            <w:pPr>
              <w:spacing w:line="240" w:lineRule="auto"/>
              <w:ind w:firstLine="0" w:firstLineChars="0"/>
              <w:jc w:val="center"/>
              <w:rPr>
                <w:rFonts w:hint="eastAsia" w:ascii="等线" w:hAnsi="等线" w:cs="Times New Roman"/>
                <w:szCs w:val="21"/>
              </w:rPr>
            </w:pPr>
          </w:p>
        </w:tc>
      </w:tr>
    </w:tbl>
    <w:p w14:paraId="5D3838D9">
      <w:pPr>
        <w:spacing w:line="570" w:lineRule="atLeast"/>
        <w:ind w:firstLine="480"/>
        <w:rPr>
          <w:rFonts w:cs="Times New Roman"/>
          <w:szCs w:val="24"/>
        </w:rPr>
      </w:pPr>
      <w:r>
        <w:rPr>
          <w:rFonts w:hint="eastAsia" w:cs="Times New Roman"/>
          <w:szCs w:val="24"/>
          <w:u w:val="single"/>
          <w:lang w:bidi="ar"/>
        </w:rPr>
        <w:t>春季迁徙期。</w:t>
      </w:r>
      <w:r>
        <w:rPr>
          <w:rFonts w:hint="eastAsia" w:cs="Times New Roman"/>
          <w:szCs w:val="24"/>
          <w:lang w:bidi="ar"/>
        </w:rPr>
        <w:t>鸟类数量较多的季节，一般为每年</w:t>
      </w:r>
      <w:r>
        <w:rPr>
          <w:rFonts w:cs="Times New Roman"/>
          <w:szCs w:val="24"/>
          <w:lang w:bidi="ar"/>
        </w:rPr>
        <w:t>3</w:t>
      </w:r>
      <w:r>
        <w:rPr>
          <w:rFonts w:hint="eastAsia" w:cs="Times New Roman"/>
          <w:szCs w:val="24"/>
          <w:lang w:bidi="ar"/>
        </w:rPr>
        <w:t>月底至</w:t>
      </w:r>
      <w:r>
        <w:rPr>
          <w:rFonts w:cs="Times New Roman"/>
          <w:szCs w:val="24"/>
          <w:lang w:bidi="ar"/>
        </w:rPr>
        <w:t>5</w:t>
      </w:r>
      <w:r>
        <w:rPr>
          <w:rFonts w:hint="eastAsia" w:cs="Times New Roman"/>
          <w:szCs w:val="24"/>
          <w:lang w:bidi="ar"/>
        </w:rPr>
        <w:t>月初。这期间，鸟类群落变化较大，主要表现在冬候鸟开始向北方繁殖地迁徙，从越冬地迁出，南方越冬旅鸟陆续到达度假区，留经一定时间觅食，继续向北迁飞。该阶段鸟类群落的主体为</w:t>
      </w:r>
      <w:r>
        <w:rPr>
          <w:rFonts w:hint="eastAsia" w:ascii="仿宋" w:hAnsi="仿宋" w:eastAsia="仿宋" w:cs="微软雅黑"/>
          <w:szCs w:val="24"/>
          <w:lang w:bidi="ar"/>
        </w:rPr>
        <w:t>鸻</w:t>
      </w:r>
      <w:r>
        <w:rPr>
          <w:rFonts w:hint="eastAsia" w:ascii="仿宋_GB2312" w:hAnsi="仿宋_GB2312" w:cs="仿宋_GB2312"/>
          <w:szCs w:val="24"/>
          <w:lang w:bidi="ar"/>
        </w:rPr>
        <w:t>鹬类，优势种主要有矶</w:t>
      </w:r>
      <w:r>
        <w:rPr>
          <w:rFonts w:hint="eastAsia" w:cs="Times New Roman"/>
          <w:szCs w:val="24"/>
          <w:lang w:bidi="ar"/>
        </w:rPr>
        <w:t>鹬等。</w:t>
      </w:r>
    </w:p>
    <w:p w14:paraId="50E9C14F">
      <w:pPr>
        <w:spacing w:line="570" w:lineRule="atLeast"/>
        <w:ind w:firstLine="480"/>
        <w:rPr>
          <w:rFonts w:cs="Times New Roman"/>
          <w:szCs w:val="24"/>
        </w:rPr>
      </w:pPr>
      <w:r>
        <w:rPr>
          <w:rFonts w:hint="eastAsia" w:cs="Times New Roman"/>
          <w:szCs w:val="24"/>
          <w:u w:val="single"/>
          <w:lang w:bidi="ar"/>
        </w:rPr>
        <w:t>夏季鸟类繁殖期。</w:t>
      </w:r>
      <w:r>
        <w:rPr>
          <w:rFonts w:hint="eastAsia" w:cs="Times New Roman"/>
          <w:szCs w:val="24"/>
          <w:lang w:bidi="ar"/>
        </w:rPr>
        <w:t>一般为每年</w:t>
      </w:r>
      <w:r>
        <w:rPr>
          <w:rFonts w:cs="Times New Roman"/>
          <w:szCs w:val="24"/>
          <w:lang w:bidi="ar"/>
        </w:rPr>
        <w:t>5</w:t>
      </w:r>
      <w:r>
        <w:rPr>
          <w:rFonts w:hint="eastAsia" w:cs="Times New Roman"/>
          <w:szCs w:val="24"/>
          <w:lang w:bidi="ar"/>
        </w:rPr>
        <w:t>月初至</w:t>
      </w:r>
      <w:r>
        <w:rPr>
          <w:rFonts w:cs="Times New Roman"/>
          <w:szCs w:val="24"/>
          <w:lang w:bidi="ar"/>
        </w:rPr>
        <w:t>9</w:t>
      </w:r>
      <w:r>
        <w:rPr>
          <w:rFonts w:hint="eastAsia" w:cs="Times New Roman"/>
          <w:szCs w:val="24"/>
          <w:lang w:bidi="ar"/>
        </w:rPr>
        <w:t>初，该时期是鸟类种类和数量较多的时期，栖息在茅山旅游度假区的鸟类主要有鹭类、黑水鸡等。</w:t>
      </w:r>
    </w:p>
    <w:p w14:paraId="32A9E3CB">
      <w:pPr>
        <w:spacing w:line="570" w:lineRule="atLeast"/>
        <w:ind w:firstLine="480"/>
        <w:rPr>
          <w:rFonts w:cs="Times New Roman"/>
          <w:szCs w:val="24"/>
        </w:rPr>
      </w:pPr>
      <w:r>
        <w:rPr>
          <w:rFonts w:hint="eastAsia" w:cs="Times New Roman"/>
          <w:szCs w:val="24"/>
          <w:u w:val="single"/>
          <w:lang w:bidi="ar"/>
        </w:rPr>
        <w:t>秋季迁徙期。</w:t>
      </w:r>
      <w:r>
        <w:rPr>
          <w:rFonts w:hint="eastAsia" w:cs="Times New Roman"/>
          <w:szCs w:val="24"/>
          <w:lang w:bidi="ar"/>
        </w:rPr>
        <w:t>鸟类迁徙期自每年</w:t>
      </w:r>
      <w:r>
        <w:rPr>
          <w:rFonts w:cs="Times New Roman"/>
          <w:szCs w:val="24"/>
          <w:lang w:bidi="ar"/>
        </w:rPr>
        <w:t>9</w:t>
      </w:r>
      <w:r>
        <w:rPr>
          <w:rFonts w:hint="eastAsia" w:cs="Times New Roman"/>
          <w:szCs w:val="24"/>
          <w:lang w:bidi="ar"/>
        </w:rPr>
        <w:t>月初至</w:t>
      </w:r>
      <w:r>
        <w:rPr>
          <w:rFonts w:cs="Times New Roman"/>
          <w:szCs w:val="24"/>
          <w:lang w:bidi="ar"/>
        </w:rPr>
        <w:t>11</w:t>
      </w:r>
      <w:r>
        <w:rPr>
          <w:rFonts w:hint="eastAsia" w:cs="Times New Roman"/>
          <w:szCs w:val="24"/>
          <w:lang w:bidi="ar"/>
        </w:rPr>
        <w:t>月，该时期鸟类群落变化比较大，旅鸟在北方繁殖后开始向南越冬地迁徙，茅山旅游度假区再度成为鸟类能量补给站。秋季迁徙期时间较春季迁徙期更长，一般可达</w:t>
      </w:r>
      <w:r>
        <w:rPr>
          <w:rFonts w:cs="Times New Roman"/>
          <w:szCs w:val="24"/>
          <w:lang w:bidi="ar"/>
        </w:rPr>
        <w:t>130~150</w:t>
      </w:r>
      <w:r>
        <w:rPr>
          <w:rFonts w:hint="eastAsia" w:cs="Times New Roman"/>
          <w:szCs w:val="24"/>
          <w:lang w:bidi="ar"/>
        </w:rPr>
        <w:t>天，因此，秋季迁徙期过境鸟类到达密度相对较小，但随着冬候鸟的不断迁入，区域鸟类群落中的种类和数量逐渐增加。</w:t>
      </w:r>
    </w:p>
    <w:p w14:paraId="3A94B265">
      <w:pPr>
        <w:spacing w:line="570" w:lineRule="atLeast"/>
        <w:ind w:firstLine="480"/>
        <w:rPr>
          <w:rFonts w:cs="Times New Roman"/>
          <w:szCs w:val="24"/>
        </w:rPr>
      </w:pPr>
      <w:r>
        <w:rPr>
          <w:rFonts w:hint="eastAsia" w:cs="Times New Roman"/>
          <w:szCs w:val="24"/>
          <w:u w:val="single"/>
          <w:lang w:bidi="ar"/>
        </w:rPr>
        <w:t>越冬期。</w:t>
      </w:r>
      <w:r>
        <w:rPr>
          <w:rFonts w:hint="eastAsia" w:cs="Times New Roman"/>
          <w:szCs w:val="24"/>
          <w:lang w:bidi="ar"/>
        </w:rPr>
        <w:t>鸟类越冬期一般为每年</w:t>
      </w:r>
      <w:r>
        <w:rPr>
          <w:rFonts w:cs="Times New Roman"/>
          <w:szCs w:val="24"/>
          <w:lang w:bidi="ar"/>
        </w:rPr>
        <w:t>9</w:t>
      </w:r>
      <w:r>
        <w:rPr>
          <w:rFonts w:hint="eastAsia" w:cs="Times New Roman"/>
          <w:szCs w:val="24"/>
          <w:lang w:bidi="ar"/>
        </w:rPr>
        <w:t>月下旬至翌年</w:t>
      </w:r>
      <w:r>
        <w:rPr>
          <w:rFonts w:cs="Times New Roman"/>
          <w:szCs w:val="24"/>
          <w:lang w:bidi="ar"/>
        </w:rPr>
        <w:t>3</w:t>
      </w:r>
      <w:r>
        <w:rPr>
          <w:rFonts w:hint="eastAsia" w:cs="Times New Roman"/>
          <w:szCs w:val="24"/>
          <w:lang w:bidi="ar"/>
        </w:rPr>
        <w:t>月底，该时期鸟类群落主要以雁鸭类、鹤类、鸥类、</w:t>
      </w:r>
      <w:r>
        <w:rPr>
          <w:rFonts w:hint="eastAsia" w:ascii="仿宋" w:hAnsi="仿宋" w:eastAsia="仿宋" w:cs="微软雅黑"/>
          <w:szCs w:val="24"/>
          <w:lang w:bidi="ar"/>
        </w:rPr>
        <w:t>鸻</w:t>
      </w:r>
      <w:r>
        <w:rPr>
          <w:rFonts w:hint="eastAsia" w:ascii="仿宋_GB2312" w:hAnsi="仿宋_GB2312" w:cs="仿宋_GB2312"/>
          <w:szCs w:val="24"/>
          <w:lang w:bidi="ar"/>
        </w:rPr>
        <w:t>鹬类和鹭类为主。优势种包括绿头鸭、斑嘴鸭</w:t>
      </w:r>
      <w:r>
        <w:rPr>
          <w:rFonts w:hint="eastAsia" w:cs="Times New Roman"/>
          <w:szCs w:val="24"/>
          <w:lang w:bidi="ar"/>
        </w:rPr>
        <w:t>等。</w:t>
      </w:r>
    </w:p>
    <w:p w14:paraId="758CA9C0">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4</w:t>
      </w:r>
      <w:r>
        <w:rPr>
          <w:rFonts w:hint="eastAsia" w:cs="Times New Roman"/>
          <w:b/>
          <w:bCs/>
          <w:szCs w:val="24"/>
          <w:lang w:bidi="ar"/>
        </w:rPr>
        <w:t>）生态类型分析</w:t>
      </w:r>
    </w:p>
    <w:p w14:paraId="30591B85">
      <w:pPr>
        <w:spacing w:line="570" w:lineRule="atLeast"/>
        <w:ind w:firstLine="480"/>
        <w:rPr>
          <w:rFonts w:cs="Times New Roman"/>
          <w:szCs w:val="24"/>
        </w:rPr>
      </w:pPr>
      <w:r>
        <w:rPr>
          <w:rFonts w:hint="eastAsia" w:cs="Times New Roman"/>
          <w:szCs w:val="24"/>
          <w:lang w:bidi="ar"/>
        </w:rPr>
        <w:t>经统计，茅山旅游度假区共涉及</w:t>
      </w:r>
      <w:r>
        <w:rPr>
          <w:rFonts w:cs="Times New Roman"/>
          <w:szCs w:val="24"/>
          <w:lang w:bidi="ar"/>
        </w:rPr>
        <w:t>6</w:t>
      </w:r>
      <w:r>
        <w:rPr>
          <w:rFonts w:hint="eastAsia" w:cs="Times New Roman"/>
          <w:szCs w:val="24"/>
          <w:lang w:bidi="ar"/>
        </w:rPr>
        <w:t>种鸟类生境，包括河流、居民区、林地、道路、农田和水塘。其中，水塘记录到的鸟类种类最多。各生境鸟类分布情况具体如下：</w:t>
      </w:r>
    </w:p>
    <w:p w14:paraId="65817F07">
      <w:pPr>
        <w:spacing w:line="570" w:lineRule="atLeast"/>
        <w:ind w:firstLine="480"/>
        <w:rPr>
          <w:rFonts w:cs="Times New Roman"/>
          <w:szCs w:val="24"/>
        </w:rPr>
      </w:pPr>
      <w:r>
        <w:rPr>
          <w:rFonts w:hint="eastAsia" w:cs="Times New Roman"/>
          <w:szCs w:val="24"/>
          <w:u w:val="single"/>
          <w:lang w:bidi="ar"/>
        </w:rPr>
        <w:t>河流。</w:t>
      </w:r>
      <w:r>
        <w:rPr>
          <w:rFonts w:cs="Times New Roman"/>
          <w:szCs w:val="24"/>
          <w:lang w:bidi="ar"/>
        </w:rPr>
        <w:t>6</w:t>
      </w:r>
      <w:r>
        <w:rPr>
          <w:rFonts w:hint="eastAsia" w:cs="Times New Roman"/>
          <w:szCs w:val="24"/>
          <w:lang w:bidi="ar"/>
        </w:rPr>
        <w:t>目</w:t>
      </w:r>
      <w:r>
        <w:rPr>
          <w:rFonts w:cs="Times New Roman"/>
          <w:szCs w:val="24"/>
          <w:lang w:bidi="ar"/>
        </w:rPr>
        <w:t>9</w:t>
      </w:r>
      <w:r>
        <w:rPr>
          <w:rFonts w:hint="eastAsia" w:cs="Times New Roman"/>
          <w:szCs w:val="24"/>
          <w:lang w:bidi="ar"/>
        </w:rPr>
        <w:t>科</w:t>
      </w:r>
      <w:r>
        <w:rPr>
          <w:rFonts w:cs="Times New Roman"/>
          <w:szCs w:val="24"/>
          <w:lang w:bidi="ar"/>
        </w:rPr>
        <w:t>14</w:t>
      </w:r>
      <w:r>
        <w:rPr>
          <w:rFonts w:hint="eastAsia" w:cs="Times New Roman"/>
          <w:szCs w:val="24"/>
          <w:lang w:bidi="ar"/>
        </w:rPr>
        <w:t>种，优势种为小</w:t>
      </w:r>
      <w:r>
        <w:rPr>
          <w:rFonts w:hint="eastAsia" w:ascii="仿宋" w:hAnsi="仿宋" w:eastAsia="仿宋" w:cs="Times New Roman"/>
          <w:szCs w:val="24"/>
          <w:lang w:bidi="ar"/>
        </w:rPr>
        <w:t>鷿鷈</w:t>
      </w:r>
      <w:r>
        <w:rPr>
          <w:rFonts w:cs="Times New Roman"/>
          <w:i/>
          <w:iCs/>
          <w:szCs w:val="24"/>
          <w:lang w:bidi="ar"/>
        </w:rPr>
        <w:t>Tachybaptus ruficolli</w:t>
      </w:r>
      <w:r>
        <w:rPr>
          <w:rFonts w:cs="Times New Roman"/>
          <w:szCs w:val="24"/>
          <w:lang w:bidi="ar"/>
        </w:rPr>
        <w:t>s</w:t>
      </w:r>
      <w:r>
        <w:rPr>
          <w:rFonts w:hint="eastAsia" w:cs="Times New Roman"/>
          <w:szCs w:val="24"/>
          <w:lang w:bidi="ar"/>
        </w:rPr>
        <w:t>、黑水鸡</w:t>
      </w:r>
      <w:r>
        <w:rPr>
          <w:rFonts w:cs="Times New Roman"/>
          <w:i/>
          <w:iCs/>
          <w:szCs w:val="24"/>
          <w:lang w:bidi="ar"/>
        </w:rPr>
        <w:t>Gallinula chloropus</w:t>
      </w:r>
      <w:r>
        <w:rPr>
          <w:rFonts w:hint="eastAsia" w:cs="Times New Roman"/>
          <w:szCs w:val="24"/>
          <w:lang w:bidi="ar"/>
        </w:rPr>
        <w:t>等。</w:t>
      </w:r>
    </w:p>
    <w:p w14:paraId="33F314D9">
      <w:pPr>
        <w:spacing w:line="570" w:lineRule="atLeast"/>
        <w:ind w:firstLine="480"/>
        <w:rPr>
          <w:rFonts w:cs="Times New Roman"/>
          <w:szCs w:val="24"/>
        </w:rPr>
      </w:pPr>
      <w:r>
        <w:rPr>
          <w:rFonts w:hint="eastAsia" w:cs="Times New Roman"/>
          <w:szCs w:val="24"/>
          <w:u w:val="single"/>
          <w:lang w:bidi="ar"/>
        </w:rPr>
        <w:t>居民区。</w:t>
      </w:r>
      <w:r>
        <w:rPr>
          <w:rFonts w:cs="Times New Roman"/>
          <w:szCs w:val="24"/>
          <w:lang w:bidi="ar"/>
        </w:rPr>
        <w:t>2</w:t>
      </w:r>
      <w:r>
        <w:rPr>
          <w:rFonts w:hint="eastAsia" w:cs="Times New Roman"/>
          <w:szCs w:val="24"/>
          <w:lang w:bidi="ar"/>
        </w:rPr>
        <w:t>目</w:t>
      </w:r>
      <w:r>
        <w:rPr>
          <w:rFonts w:cs="Times New Roman"/>
          <w:szCs w:val="24"/>
          <w:lang w:bidi="ar"/>
        </w:rPr>
        <w:t>13</w:t>
      </w:r>
      <w:r>
        <w:rPr>
          <w:rFonts w:hint="eastAsia" w:cs="Times New Roman"/>
          <w:szCs w:val="24"/>
          <w:lang w:bidi="ar"/>
        </w:rPr>
        <w:t>科</w:t>
      </w:r>
      <w:r>
        <w:rPr>
          <w:rFonts w:cs="Times New Roman"/>
          <w:szCs w:val="24"/>
          <w:lang w:bidi="ar"/>
        </w:rPr>
        <w:t>12</w:t>
      </w:r>
      <w:r>
        <w:rPr>
          <w:rFonts w:hint="eastAsia" w:cs="Times New Roman"/>
          <w:szCs w:val="24"/>
          <w:lang w:bidi="ar"/>
        </w:rPr>
        <w:t>种。优势种为麻雀</w:t>
      </w:r>
      <w:r>
        <w:rPr>
          <w:rFonts w:cs="Times New Roman"/>
          <w:i/>
          <w:iCs/>
          <w:szCs w:val="24"/>
          <w:lang w:bidi="ar"/>
        </w:rPr>
        <w:t>Passer montanus</w:t>
      </w:r>
      <w:r>
        <w:rPr>
          <w:rFonts w:hint="eastAsia" w:cs="Times New Roman"/>
          <w:szCs w:val="24"/>
          <w:lang w:bidi="ar"/>
        </w:rPr>
        <w:t>、珠颈斑鸠</w:t>
      </w:r>
      <w:r>
        <w:rPr>
          <w:rFonts w:cs="Times New Roman"/>
          <w:i/>
          <w:iCs/>
          <w:szCs w:val="24"/>
          <w:lang w:bidi="ar"/>
        </w:rPr>
        <w:t>Streptopelia chinensis</w:t>
      </w:r>
      <w:r>
        <w:rPr>
          <w:rFonts w:hint="eastAsia" w:cs="Times New Roman"/>
          <w:szCs w:val="24"/>
          <w:lang w:bidi="ar"/>
        </w:rPr>
        <w:t>等。</w:t>
      </w:r>
    </w:p>
    <w:p w14:paraId="0F73927D">
      <w:pPr>
        <w:spacing w:line="570" w:lineRule="atLeast"/>
        <w:ind w:firstLine="480"/>
        <w:rPr>
          <w:rFonts w:cs="Times New Roman"/>
          <w:szCs w:val="24"/>
        </w:rPr>
      </w:pPr>
      <w:r>
        <w:rPr>
          <w:rFonts w:hint="eastAsia" w:cs="Times New Roman"/>
          <w:szCs w:val="24"/>
          <w:u w:val="single"/>
          <w:lang w:bidi="ar"/>
        </w:rPr>
        <w:t>林地。</w:t>
      </w:r>
      <w:r>
        <w:rPr>
          <w:rFonts w:cs="Times New Roman"/>
          <w:szCs w:val="24"/>
          <w:lang w:bidi="ar"/>
        </w:rPr>
        <w:t>4</w:t>
      </w:r>
      <w:r>
        <w:rPr>
          <w:rFonts w:hint="eastAsia" w:cs="Times New Roman"/>
          <w:szCs w:val="24"/>
          <w:lang w:bidi="ar"/>
        </w:rPr>
        <w:t>目</w:t>
      </w:r>
      <w:r>
        <w:rPr>
          <w:rFonts w:cs="Times New Roman"/>
          <w:szCs w:val="24"/>
          <w:lang w:bidi="ar"/>
        </w:rPr>
        <w:t>16</w:t>
      </w:r>
      <w:r>
        <w:rPr>
          <w:rFonts w:hint="eastAsia" w:cs="Times New Roman"/>
          <w:szCs w:val="24"/>
          <w:lang w:bidi="ar"/>
        </w:rPr>
        <w:t>科</w:t>
      </w:r>
      <w:r>
        <w:rPr>
          <w:rFonts w:cs="Times New Roman"/>
          <w:szCs w:val="24"/>
          <w:lang w:bidi="ar"/>
        </w:rPr>
        <w:t>25</w:t>
      </w:r>
      <w:r>
        <w:rPr>
          <w:rFonts w:hint="eastAsia" w:cs="Times New Roman"/>
          <w:szCs w:val="24"/>
          <w:lang w:bidi="ar"/>
        </w:rPr>
        <w:t>种。优势种为珠颈斑鸠</w:t>
      </w:r>
      <w:r>
        <w:rPr>
          <w:rFonts w:cs="Times New Roman"/>
          <w:i/>
          <w:iCs/>
          <w:szCs w:val="24"/>
          <w:lang w:bidi="ar"/>
        </w:rPr>
        <w:t>Streptopelia chinensis</w:t>
      </w:r>
      <w:r>
        <w:rPr>
          <w:rFonts w:hint="eastAsia" w:cs="Times New Roman"/>
          <w:szCs w:val="24"/>
          <w:lang w:bidi="ar"/>
        </w:rPr>
        <w:t>、八哥</w:t>
      </w:r>
      <w:r>
        <w:rPr>
          <w:rFonts w:cs="Times New Roman"/>
          <w:i/>
          <w:iCs/>
          <w:szCs w:val="24"/>
          <w:lang w:bidi="ar"/>
        </w:rPr>
        <w:t>Acridotheres cristatellus</w:t>
      </w:r>
      <w:r>
        <w:rPr>
          <w:rFonts w:hint="eastAsia" w:cs="Times New Roman"/>
          <w:szCs w:val="24"/>
          <w:lang w:bidi="ar"/>
        </w:rPr>
        <w:t>。</w:t>
      </w:r>
    </w:p>
    <w:p w14:paraId="5FC78E17">
      <w:pPr>
        <w:spacing w:line="570" w:lineRule="atLeast"/>
        <w:ind w:firstLine="480"/>
        <w:rPr>
          <w:rFonts w:cs="Times New Roman"/>
          <w:szCs w:val="24"/>
        </w:rPr>
      </w:pPr>
      <w:r>
        <w:rPr>
          <w:rFonts w:hint="eastAsia" w:cs="Times New Roman"/>
          <w:szCs w:val="24"/>
          <w:u w:val="single"/>
          <w:lang w:bidi="ar"/>
        </w:rPr>
        <w:t>道路。</w:t>
      </w:r>
      <w:r>
        <w:rPr>
          <w:rFonts w:cs="Times New Roman"/>
          <w:szCs w:val="24"/>
          <w:lang w:bidi="ar"/>
        </w:rPr>
        <w:t>3</w:t>
      </w:r>
      <w:r>
        <w:rPr>
          <w:rFonts w:hint="eastAsia" w:cs="Times New Roman"/>
          <w:szCs w:val="24"/>
          <w:lang w:bidi="ar"/>
        </w:rPr>
        <w:t>目</w:t>
      </w:r>
      <w:r>
        <w:rPr>
          <w:rFonts w:cs="Times New Roman"/>
          <w:szCs w:val="24"/>
          <w:lang w:bidi="ar"/>
        </w:rPr>
        <w:t>12</w:t>
      </w:r>
      <w:r>
        <w:rPr>
          <w:rFonts w:hint="eastAsia" w:cs="Times New Roman"/>
          <w:szCs w:val="24"/>
          <w:lang w:bidi="ar"/>
        </w:rPr>
        <w:t>科</w:t>
      </w:r>
      <w:r>
        <w:rPr>
          <w:rFonts w:cs="Times New Roman"/>
          <w:szCs w:val="24"/>
          <w:lang w:bidi="ar"/>
        </w:rPr>
        <w:t>9</w:t>
      </w:r>
      <w:r>
        <w:rPr>
          <w:rFonts w:hint="eastAsia" w:cs="Times New Roman"/>
          <w:szCs w:val="24"/>
          <w:lang w:bidi="ar"/>
        </w:rPr>
        <w:t>种。优势种为麻雀</w:t>
      </w:r>
      <w:r>
        <w:rPr>
          <w:rFonts w:cs="Times New Roman"/>
          <w:i/>
          <w:iCs/>
          <w:szCs w:val="24"/>
          <w:lang w:bidi="ar"/>
        </w:rPr>
        <w:t>Passer montanus</w:t>
      </w:r>
      <w:r>
        <w:rPr>
          <w:rFonts w:hint="eastAsia" w:cs="Times New Roman"/>
          <w:szCs w:val="24"/>
          <w:lang w:bidi="ar"/>
        </w:rPr>
        <w:t>、白头鹎</w:t>
      </w:r>
      <w:r>
        <w:rPr>
          <w:rFonts w:cs="Times New Roman"/>
          <w:i/>
          <w:iCs/>
          <w:szCs w:val="24"/>
          <w:lang w:bidi="ar"/>
        </w:rPr>
        <w:t>Pycnonotus sinensis</w:t>
      </w:r>
      <w:r>
        <w:rPr>
          <w:rFonts w:hint="eastAsia" w:cs="Times New Roman"/>
          <w:szCs w:val="24"/>
          <w:lang w:bidi="ar"/>
        </w:rPr>
        <w:t>。</w:t>
      </w:r>
    </w:p>
    <w:p w14:paraId="05A2E98B">
      <w:pPr>
        <w:spacing w:line="570" w:lineRule="atLeast"/>
        <w:ind w:firstLine="480"/>
        <w:rPr>
          <w:rFonts w:cs="Times New Roman"/>
          <w:szCs w:val="24"/>
        </w:rPr>
      </w:pPr>
      <w:r>
        <w:rPr>
          <w:rFonts w:hint="eastAsia" w:cs="Times New Roman"/>
          <w:szCs w:val="24"/>
          <w:u w:val="single"/>
          <w:lang w:bidi="ar"/>
        </w:rPr>
        <w:t>农田。</w:t>
      </w:r>
      <w:r>
        <w:rPr>
          <w:rFonts w:cs="Times New Roman"/>
          <w:szCs w:val="24"/>
          <w:lang w:bidi="ar"/>
        </w:rPr>
        <w:t>5</w:t>
      </w:r>
      <w:r>
        <w:rPr>
          <w:rFonts w:hint="eastAsia" w:cs="Times New Roman"/>
          <w:szCs w:val="24"/>
          <w:lang w:bidi="ar"/>
        </w:rPr>
        <w:t>目</w:t>
      </w:r>
      <w:r>
        <w:rPr>
          <w:rFonts w:cs="Times New Roman"/>
          <w:szCs w:val="24"/>
          <w:lang w:bidi="ar"/>
        </w:rPr>
        <w:t>14</w:t>
      </w:r>
      <w:r>
        <w:rPr>
          <w:rFonts w:hint="eastAsia" w:cs="Times New Roman"/>
          <w:szCs w:val="24"/>
          <w:lang w:bidi="ar"/>
        </w:rPr>
        <w:t>科</w:t>
      </w:r>
      <w:r>
        <w:rPr>
          <w:rFonts w:cs="Times New Roman"/>
          <w:szCs w:val="24"/>
          <w:lang w:bidi="ar"/>
        </w:rPr>
        <w:t>24</w:t>
      </w:r>
      <w:r>
        <w:rPr>
          <w:rFonts w:hint="eastAsia" w:cs="Times New Roman"/>
          <w:szCs w:val="24"/>
          <w:lang w:bidi="ar"/>
        </w:rPr>
        <w:t>种。优势种为牛背鹭</w:t>
      </w:r>
      <w:r>
        <w:rPr>
          <w:rFonts w:cs="Times New Roman"/>
          <w:i/>
          <w:iCs/>
          <w:szCs w:val="24"/>
          <w:lang w:bidi="ar"/>
        </w:rPr>
        <w:t>Bubulcus ibis</w:t>
      </w:r>
      <w:r>
        <w:rPr>
          <w:rFonts w:hint="eastAsia" w:cs="Times New Roman"/>
          <w:szCs w:val="24"/>
          <w:lang w:bidi="ar"/>
        </w:rPr>
        <w:t>、池鹭</w:t>
      </w:r>
      <w:r>
        <w:rPr>
          <w:rFonts w:cs="Times New Roman"/>
          <w:i/>
          <w:iCs/>
          <w:szCs w:val="24"/>
          <w:lang w:bidi="ar"/>
        </w:rPr>
        <w:t>Ardeola bacchus</w:t>
      </w:r>
      <w:r>
        <w:rPr>
          <w:rFonts w:hint="eastAsia" w:cs="Times New Roman"/>
          <w:szCs w:val="24"/>
          <w:lang w:bidi="ar"/>
        </w:rPr>
        <w:t>。</w:t>
      </w:r>
    </w:p>
    <w:p w14:paraId="55E61D29">
      <w:pPr>
        <w:spacing w:line="570" w:lineRule="atLeast"/>
        <w:ind w:firstLine="480"/>
        <w:rPr>
          <w:rFonts w:cs="Times New Roman"/>
          <w:szCs w:val="24"/>
        </w:rPr>
      </w:pPr>
      <w:r>
        <w:rPr>
          <w:rFonts w:hint="eastAsia" w:cs="Times New Roman"/>
          <w:szCs w:val="24"/>
          <w:u w:val="single"/>
          <w:lang w:bidi="ar"/>
        </w:rPr>
        <w:t>水塘。</w:t>
      </w:r>
      <w:r>
        <w:rPr>
          <w:rFonts w:cs="Times New Roman"/>
          <w:szCs w:val="24"/>
          <w:lang w:bidi="ar"/>
        </w:rPr>
        <w:t>5</w:t>
      </w:r>
      <w:r>
        <w:rPr>
          <w:rFonts w:hint="eastAsia" w:cs="Times New Roman"/>
          <w:szCs w:val="24"/>
          <w:lang w:bidi="ar"/>
        </w:rPr>
        <w:t>目</w:t>
      </w:r>
      <w:r>
        <w:rPr>
          <w:rFonts w:cs="Times New Roman"/>
          <w:szCs w:val="24"/>
          <w:lang w:bidi="ar"/>
        </w:rPr>
        <w:t>6</w:t>
      </w:r>
      <w:r>
        <w:rPr>
          <w:rFonts w:hint="eastAsia" w:cs="Times New Roman"/>
          <w:szCs w:val="24"/>
          <w:lang w:bidi="ar"/>
        </w:rPr>
        <w:t>科</w:t>
      </w:r>
      <w:r>
        <w:rPr>
          <w:rFonts w:cs="Times New Roman"/>
          <w:szCs w:val="24"/>
          <w:lang w:bidi="ar"/>
        </w:rPr>
        <w:t>31</w:t>
      </w:r>
      <w:r>
        <w:rPr>
          <w:rFonts w:hint="eastAsia" w:cs="Times New Roman"/>
          <w:szCs w:val="24"/>
          <w:lang w:bidi="ar"/>
        </w:rPr>
        <w:t>种。优势种为小</w:t>
      </w:r>
      <w:r>
        <w:rPr>
          <w:rFonts w:hint="eastAsia" w:ascii="仿宋" w:hAnsi="仿宋" w:eastAsia="仿宋" w:cs="Times New Roman"/>
          <w:szCs w:val="24"/>
          <w:lang w:bidi="ar"/>
        </w:rPr>
        <w:t>鷿鷈</w:t>
      </w:r>
      <w:r>
        <w:rPr>
          <w:rFonts w:cs="Times New Roman"/>
          <w:i/>
          <w:iCs/>
          <w:szCs w:val="24"/>
          <w:lang w:bidi="ar"/>
        </w:rPr>
        <w:t>Tachybaptus ruficollis</w:t>
      </w:r>
      <w:r>
        <w:rPr>
          <w:rFonts w:hint="eastAsia" w:cs="Times New Roman"/>
          <w:szCs w:val="24"/>
          <w:lang w:bidi="ar"/>
        </w:rPr>
        <w:t>、黑水鸡</w:t>
      </w:r>
      <w:r>
        <w:rPr>
          <w:rFonts w:cs="Times New Roman"/>
          <w:i/>
          <w:iCs/>
          <w:szCs w:val="24"/>
          <w:lang w:bidi="ar"/>
        </w:rPr>
        <w:t>Gallinula chloropus</w:t>
      </w:r>
      <w:r>
        <w:rPr>
          <w:rFonts w:hint="eastAsia" w:cs="Times New Roman"/>
          <w:szCs w:val="24"/>
          <w:lang w:bidi="ar"/>
        </w:rPr>
        <w:t>。</w:t>
      </w:r>
    </w:p>
    <w:p w14:paraId="77F9996A">
      <w:pPr>
        <w:spacing w:line="570" w:lineRule="atLeast"/>
        <w:ind w:firstLine="480"/>
        <w:rPr>
          <w:rFonts w:cs="Times New Roman"/>
          <w:szCs w:val="24"/>
        </w:rPr>
      </w:pPr>
      <w:r>
        <w:rPr>
          <w:rFonts w:hint="eastAsia" w:cs="Times New Roman"/>
          <w:szCs w:val="24"/>
          <w:lang w:bidi="ar"/>
        </w:rPr>
        <w:t>根据</w:t>
      </w:r>
      <w:r>
        <w:rPr>
          <w:rFonts w:cs="Times New Roman"/>
          <w:i/>
          <w:iCs/>
          <w:szCs w:val="24"/>
          <w:lang w:bidi="ar"/>
        </w:rPr>
        <w:t>Shannon-Wiener</w:t>
      </w:r>
      <w:r>
        <w:rPr>
          <w:rFonts w:hint="eastAsia" w:cs="Times New Roman"/>
          <w:szCs w:val="24"/>
          <w:lang w:bidi="ar"/>
        </w:rPr>
        <w:t>指数计算结果，水塘鸟类物种多样性最高，其次为林地、农田、河流、居民区以及道路。茅山旅游度假区内水塘及灌丛生境为区域鸟类提供了较为有利的栖息场所，因此物种多样性最高，而道路人为干扰大，使得鸟类分布较少，物种多样性较低。</w:t>
      </w:r>
    </w:p>
    <w:p w14:paraId="3D7F6A73">
      <w:pPr>
        <w:pStyle w:val="45"/>
        <w:spacing w:line="570" w:lineRule="atLeast"/>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20</w:t>
      </w:r>
      <w:r>
        <w:rPr>
          <w:rFonts w:cs="Times New Roman"/>
        </w:rPr>
        <w:t xml:space="preserve"> </w:t>
      </w:r>
      <w:r>
        <w:rPr>
          <w:rFonts w:hint="eastAsia" w:cs="Times New Roman"/>
        </w:rPr>
        <w:t>不同生境类型鸟类群落物种多样性</w:t>
      </w:r>
    </w:p>
    <w:tbl>
      <w:tblPr>
        <w:tblStyle w:val="25"/>
        <w:tblW w:w="500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695"/>
        <w:gridCol w:w="1066"/>
        <w:gridCol w:w="714"/>
        <w:gridCol w:w="714"/>
        <w:gridCol w:w="714"/>
        <w:gridCol w:w="714"/>
        <w:gridCol w:w="709"/>
      </w:tblGrid>
      <w:tr w14:paraId="7CAA5F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2219" w:type="pct"/>
            <w:tcBorders>
              <w:top w:val="single" w:color="000000" w:sz="4" w:space="0"/>
              <w:left w:val="single" w:color="000000" w:sz="4" w:space="0"/>
              <w:bottom w:val="single" w:color="000000" w:sz="4" w:space="0"/>
              <w:right w:val="single" w:color="000000" w:sz="4" w:space="0"/>
            </w:tcBorders>
          </w:tcPr>
          <w:p w14:paraId="5C2389D4">
            <w:pPr>
              <w:spacing w:line="240" w:lineRule="auto"/>
              <w:ind w:firstLine="0" w:firstLineChars="0"/>
              <w:jc w:val="center"/>
              <w:rPr>
                <w:rFonts w:cs="Times New Roman"/>
                <w:b/>
                <w:bCs/>
                <w:szCs w:val="21"/>
              </w:rPr>
            </w:pPr>
            <w:r>
              <w:rPr>
                <w:rFonts w:hint="eastAsia" w:cs="Times New Roman"/>
                <w:b/>
                <w:bCs/>
                <w:sz w:val="21"/>
                <w:szCs w:val="21"/>
                <w:lang w:bidi="ar"/>
              </w:rPr>
              <w:t>生境</w:t>
            </w:r>
          </w:p>
        </w:tc>
        <w:tc>
          <w:tcPr>
            <w:tcW w:w="640" w:type="pct"/>
            <w:tcBorders>
              <w:top w:val="single" w:color="000000" w:sz="4" w:space="0"/>
              <w:left w:val="single" w:color="000000" w:sz="4" w:space="0"/>
              <w:bottom w:val="single" w:color="000000" w:sz="4" w:space="0"/>
              <w:right w:val="single" w:color="000000" w:sz="4" w:space="0"/>
            </w:tcBorders>
          </w:tcPr>
          <w:p w14:paraId="5A6B71DD">
            <w:pPr>
              <w:spacing w:line="240" w:lineRule="auto"/>
              <w:ind w:firstLine="0" w:firstLineChars="0"/>
              <w:jc w:val="center"/>
              <w:rPr>
                <w:rFonts w:cs="Times New Roman"/>
                <w:b/>
                <w:bCs/>
                <w:szCs w:val="21"/>
              </w:rPr>
            </w:pPr>
            <w:r>
              <w:rPr>
                <w:rFonts w:hint="eastAsia" w:cs="Times New Roman"/>
                <w:b/>
                <w:bCs/>
                <w:sz w:val="21"/>
                <w:szCs w:val="21"/>
                <w:lang w:bidi="ar"/>
              </w:rPr>
              <w:t>居民区</w:t>
            </w:r>
          </w:p>
        </w:tc>
        <w:tc>
          <w:tcPr>
            <w:tcW w:w="429" w:type="pct"/>
            <w:tcBorders>
              <w:top w:val="single" w:color="000000" w:sz="4" w:space="0"/>
              <w:left w:val="single" w:color="000000" w:sz="4" w:space="0"/>
              <w:bottom w:val="single" w:color="000000" w:sz="4" w:space="0"/>
              <w:right w:val="single" w:color="000000" w:sz="4" w:space="0"/>
            </w:tcBorders>
          </w:tcPr>
          <w:p w14:paraId="66FC220B">
            <w:pPr>
              <w:spacing w:line="240" w:lineRule="auto"/>
              <w:ind w:firstLine="0" w:firstLineChars="0"/>
              <w:jc w:val="center"/>
              <w:rPr>
                <w:rFonts w:cs="Times New Roman"/>
                <w:b/>
                <w:bCs/>
                <w:szCs w:val="21"/>
              </w:rPr>
            </w:pPr>
            <w:r>
              <w:rPr>
                <w:rFonts w:hint="eastAsia" w:cs="Times New Roman"/>
                <w:b/>
                <w:bCs/>
                <w:sz w:val="21"/>
                <w:szCs w:val="21"/>
                <w:lang w:bidi="ar"/>
              </w:rPr>
              <w:t>农田</w:t>
            </w:r>
          </w:p>
        </w:tc>
        <w:tc>
          <w:tcPr>
            <w:tcW w:w="429" w:type="pct"/>
            <w:tcBorders>
              <w:top w:val="single" w:color="000000" w:sz="4" w:space="0"/>
              <w:left w:val="single" w:color="000000" w:sz="4" w:space="0"/>
              <w:bottom w:val="single" w:color="000000" w:sz="4" w:space="0"/>
              <w:right w:val="single" w:color="000000" w:sz="4" w:space="0"/>
            </w:tcBorders>
          </w:tcPr>
          <w:p w14:paraId="71B2FC60">
            <w:pPr>
              <w:spacing w:line="240" w:lineRule="auto"/>
              <w:ind w:firstLine="0" w:firstLineChars="0"/>
              <w:jc w:val="center"/>
              <w:rPr>
                <w:rFonts w:cs="Times New Roman"/>
                <w:b/>
                <w:bCs/>
                <w:szCs w:val="21"/>
              </w:rPr>
            </w:pPr>
            <w:r>
              <w:rPr>
                <w:rFonts w:hint="eastAsia" w:cs="Times New Roman"/>
                <w:b/>
                <w:bCs/>
                <w:sz w:val="21"/>
                <w:szCs w:val="21"/>
                <w:lang w:bidi="ar"/>
              </w:rPr>
              <w:t>林地</w:t>
            </w:r>
          </w:p>
        </w:tc>
        <w:tc>
          <w:tcPr>
            <w:tcW w:w="429" w:type="pct"/>
            <w:tcBorders>
              <w:top w:val="single" w:color="000000" w:sz="4" w:space="0"/>
              <w:left w:val="single" w:color="000000" w:sz="4" w:space="0"/>
              <w:bottom w:val="single" w:color="000000" w:sz="4" w:space="0"/>
              <w:right w:val="single" w:color="000000" w:sz="4" w:space="0"/>
            </w:tcBorders>
          </w:tcPr>
          <w:p w14:paraId="7A88DCCB">
            <w:pPr>
              <w:spacing w:line="240" w:lineRule="auto"/>
              <w:ind w:firstLine="0" w:firstLineChars="0"/>
              <w:jc w:val="center"/>
              <w:rPr>
                <w:rFonts w:cs="Times New Roman"/>
                <w:b/>
                <w:bCs/>
                <w:szCs w:val="21"/>
              </w:rPr>
            </w:pPr>
            <w:r>
              <w:rPr>
                <w:rFonts w:hint="eastAsia" w:cs="Times New Roman"/>
                <w:b/>
                <w:bCs/>
                <w:sz w:val="21"/>
                <w:szCs w:val="21"/>
                <w:lang w:bidi="ar"/>
              </w:rPr>
              <w:t>道路</w:t>
            </w:r>
          </w:p>
        </w:tc>
        <w:tc>
          <w:tcPr>
            <w:tcW w:w="429" w:type="pct"/>
            <w:tcBorders>
              <w:top w:val="single" w:color="000000" w:sz="4" w:space="0"/>
              <w:left w:val="single" w:color="000000" w:sz="4" w:space="0"/>
              <w:bottom w:val="single" w:color="000000" w:sz="4" w:space="0"/>
              <w:right w:val="single" w:color="000000" w:sz="4" w:space="0"/>
            </w:tcBorders>
          </w:tcPr>
          <w:p w14:paraId="6F8B4391">
            <w:pPr>
              <w:spacing w:line="240" w:lineRule="auto"/>
              <w:ind w:firstLine="0" w:firstLineChars="0"/>
              <w:jc w:val="center"/>
              <w:rPr>
                <w:rFonts w:cs="Times New Roman"/>
                <w:b/>
                <w:bCs/>
                <w:szCs w:val="21"/>
              </w:rPr>
            </w:pPr>
            <w:r>
              <w:rPr>
                <w:rFonts w:hint="eastAsia" w:cs="Times New Roman"/>
                <w:b/>
                <w:bCs/>
                <w:sz w:val="21"/>
                <w:szCs w:val="21"/>
                <w:lang w:bidi="ar"/>
              </w:rPr>
              <w:t>河流</w:t>
            </w:r>
          </w:p>
        </w:tc>
        <w:tc>
          <w:tcPr>
            <w:tcW w:w="425" w:type="pct"/>
            <w:tcBorders>
              <w:top w:val="single" w:color="000000" w:sz="4" w:space="0"/>
              <w:left w:val="single" w:color="000000" w:sz="4" w:space="0"/>
              <w:bottom w:val="single" w:color="000000" w:sz="4" w:space="0"/>
              <w:right w:val="single" w:color="000000" w:sz="4" w:space="0"/>
            </w:tcBorders>
          </w:tcPr>
          <w:p w14:paraId="4CABFA33">
            <w:pPr>
              <w:spacing w:line="240" w:lineRule="auto"/>
              <w:ind w:firstLine="0" w:firstLineChars="0"/>
              <w:jc w:val="center"/>
              <w:rPr>
                <w:rFonts w:cs="Times New Roman"/>
                <w:b/>
                <w:bCs/>
                <w:szCs w:val="21"/>
              </w:rPr>
            </w:pPr>
            <w:r>
              <w:rPr>
                <w:rFonts w:hint="eastAsia" w:cs="Times New Roman"/>
                <w:b/>
                <w:bCs/>
                <w:sz w:val="21"/>
                <w:szCs w:val="21"/>
                <w:lang w:bidi="ar"/>
              </w:rPr>
              <w:t>水塘</w:t>
            </w:r>
          </w:p>
        </w:tc>
      </w:tr>
      <w:tr w14:paraId="5DD41F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2219" w:type="pct"/>
            <w:tcBorders>
              <w:top w:val="single" w:color="000000" w:sz="4" w:space="0"/>
              <w:left w:val="single" w:color="000000" w:sz="4" w:space="0"/>
              <w:bottom w:val="single" w:color="000000" w:sz="4" w:space="0"/>
              <w:right w:val="single" w:color="000000" w:sz="4" w:space="0"/>
            </w:tcBorders>
          </w:tcPr>
          <w:p w14:paraId="2F18DDF5">
            <w:pPr>
              <w:spacing w:line="240" w:lineRule="auto"/>
              <w:ind w:firstLine="0" w:firstLineChars="0"/>
              <w:jc w:val="center"/>
              <w:rPr>
                <w:rFonts w:cs="Times New Roman"/>
                <w:szCs w:val="21"/>
              </w:rPr>
            </w:pPr>
            <w:r>
              <w:rPr>
                <w:rFonts w:hint="eastAsia" w:cs="Times New Roman"/>
                <w:sz w:val="21"/>
                <w:szCs w:val="21"/>
                <w:lang w:bidi="ar"/>
              </w:rPr>
              <w:t>物种数</w:t>
            </w:r>
          </w:p>
        </w:tc>
        <w:tc>
          <w:tcPr>
            <w:tcW w:w="640" w:type="pct"/>
            <w:tcBorders>
              <w:top w:val="single" w:color="000000" w:sz="4" w:space="0"/>
              <w:left w:val="single" w:color="000000" w:sz="4" w:space="0"/>
              <w:bottom w:val="single" w:color="000000" w:sz="4" w:space="0"/>
              <w:right w:val="single" w:color="000000" w:sz="4" w:space="0"/>
            </w:tcBorders>
          </w:tcPr>
          <w:p w14:paraId="6807C6F5">
            <w:pPr>
              <w:spacing w:line="240" w:lineRule="auto"/>
              <w:ind w:firstLine="0" w:firstLineChars="0"/>
              <w:jc w:val="center"/>
              <w:rPr>
                <w:rFonts w:cs="Times New Roman"/>
                <w:szCs w:val="21"/>
              </w:rPr>
            </w:pPr>
            <w:r>
              <w:rPr>
                <w:rFonts w:cs="Times New Roman"/>
                <w:sz w:val="21"/>
                <w:szCs w:val="21"/>
                <w:lang w:bidi="ar"/>
              </w:rPr>
              <w:t>12</w:t>
            </w:r>
          </w:p>
        </w:tc>
        <w:tc>
          <w:tcPr>
            <w:tcW w:w="429" w:type="pct"/>
            <w:tcBorders>
              <w:top w:val="single" w:color="000000" w:sz="4" w:space="0"/>
              <w:left w:val="single" w:color="000000" w:sz="4" w:space="0"/>
              <w:bottom w:val="single" w:color="000000" w:sz="4" w:space="0"/>
              <w:right w:val="single" w:color="000000" w:sz="4" w:space="0"/>
            </w:tcBorders>
          </w:tcPr>
          <w:p w14:paraId="0D68A5BC">
            <w:pPr>
              <w:spacing w:line="240" w:lineRule="auto"/>
              <w:ind w:firstLine="0" w:firstLineChars="0"/>
              <w:jc w:val="center"/>
              <w:rPr>
                <w:rFonts w:cs="Times New Roman"/>
                <w:szCs w:val="21"/>
              </w:rPr>
            </w:pPr>
            <w:r>
              <w:rPr>
                <w:rFonts w:cs="Times New Roman"/>
                <w:sz w:val="21"/>
                <w:szCs w:val="21"/>
                <w:lang w:bidi="ar"/>
              </w:rPr>
              <w:t>24</w:t>
            </w:r>
          </w:p>
        </w:tc>
        <w:tc>
          <w:tcPr>
            <w:tcW w:w="429" w:type="pct"/>
            <w:tcBorders>
              <w:top w:val="single" w:color="000000" w:sz="4" w:space="0"/>
              <w:left w:val="single" w:color="000000" w:sz="4" w:space="0"/>
              <w:bottom w:val="single" w:color="000000" w:sz="4" w:space="0"/>
              <w:right w:val="single" w:color="000000" w:sz="4" w:space="0"/>
            </w:tcBorders>
          </w:tcPr>
          <w:p w14:paraId="02AAD306">
            <w:pPr>
              <w:spacing w:line="240" w:lineRule="auto"/>
              <w:ind w:firstLine="0" w:firstLineChars="0"/>
              <w:jc w:val="center"/>
              <w:rPr>
                <w:rFonts w:cs="Times New Roman"/>
                <w:szCs w:val="21"/>
              </w:rPr>
            </w:pPr>
            <w:r>
              <w:rPr>
                <w:rFonts w:cs="Times New Roman"/>
                <w:sz w:val="21"/>
                <w:szCs w:val="21"/>
                <w:lang w:bidi="ar"/>
              </w:rPr>
              <w:t>25</w:t>
            </w:r>
          </w:p>
        </w:tc>
        <w:tc>
          <w:tcPr>
            <w:tcW w:w="429" w:type="pct"/>
            <w:tcBorders>
              <w:top w:val="single" w:color="000000" w:sz="4" w:space="0"/>
              <w:left w:val="single" w:color="000000" w:sz="4" w:space="0"/>
              <w:bottom w:val="single" w:color="000000" w:sz="4" w:space="0"/>
              <w:right w:val="single" w:color="000000" w:sz="4" w:space="0"/>
            </w:tcBorders>
          </w:tcPr>
          <w:p w14:paraId="6E6E49B8">
            <w:pPr>
              <w:spacing w:line="240" w:lineRule="auto"/>
              <w:ind w:firstLine="0" w:firstLineChars="0"/>
              <w:jc w:val="center"/>
              <w:rPr>
                <w:rFonts w:cs="Times New Roman"/>
                <w:szCs w:val="21"/>
              </w:rPr>
            </w:pPr>
            <w:r>
              <w:rPr>
                <w:rFonts w:cs="Times New Roman"/>
                <w:sz w:val="21"/>
                <w:szCs w:val="21"/>
                <w:lang w:bidi="ar"/>
              </w:rPr>
              <w:t>9</w:t>
            </w:r>
          </w:p>
        </w:tc>
        <w:tc>
          <w:tcPr>
            <w:tcW w:w="429" w:type="pct"/>
            <w:tcBorders>
              <w:top w:val="single" w:color="000000" w:sz="4" w:space="0"/>
              <w:left w:val="single" w:color="000000" w:sz="4" w:space="0"/>
              <w:bottom w:val="single" w:color="000000" w:sz="4" w:space="0"/>
              <w:right w:val="single" w:color="000000" w:sz="4" w:space="0"/>
            </w:tcBorders>
          </w:tcPr>
          <w:p w14:paraId="180F0F0F">
            <w:pPr>
              <w:spacing w:line="240" w:lineRule="auto"/>
              <w:ind w:firstLine="0" w:firstLineChars="0"/>
              <w:jc w:val="center"/>
              <w:rPr>
                <w:rFonts w:cs="Times New Roman"/>
                <w:szCs w:val="21"/>
              </w:rPr>
            </w:pPr>
            <w:r>
              <w:rPr>
                <w:rFonts w:cs="Times New Roman"/>
                <w:sz w:val="21"/>
                <w:szCs w:val="21"/>
                <w:lang w:bidi="ar"/>
              </w:rPr>
              <w:t>14</w:t>
            </w:r>
          </w:p>
        </w:tc>
        <w:tc>
          <w:tcPr>
            <w:tcW w:w="425" w:type="pct"/>
            <w:tcBorders>
              <w:top w:val="single" w:color="000000" w:sz="4" w:space="0"/>
              <w:left w:val="single" w:color="000000" w:sz="4" w:space="0"/>
              <w:bottom w:val="single" w:color="000000" w:sz="4" w:space="0"/>
              <w:right w:val="single" w:color="000000" w:sz="4" w:space="0"/>
            </w:tcBorders>
          </w:tcPr>
          <w:p w14:paraId="14C17C8E">
            <w:pPr>
              <w:spacing w:line="240" w:lineRule="auto"/>
              <w:ind w:firstLine="0" w:firstLineChars="0"/>
              <w:jc w:val="center"/>
              <w:rPr>
                <w:rFonts w:cs="Times New Roman"/>
                <w:szCs w:val="21"/>
              </w:rPr>
            </w:pPr>
            <w:r>
              <w:rPr>
                <w:rFonts w:cs="Times New Roman"/>
                <w:sz w:val="21"/>
                <w:szCs w:val="21"/>
                <w:lang w:bidi="ar"/>
              </w:rPr>
              <w:t>31</w:t>
            </w:r>
          </w:p>
        </w:tc>
      </w:tr>
      <w:tr w14:paraId="789272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0" w:hRule="atLeast"/>
        </w:trPr>
        <w:tc>
          <w:tcPr>
            <w:tcW w:w="2219" w:type="pct"/>
            <w:tcBorders>
              <w:top w:val="single" w:color="000000" w:sz="4" w:space="0"/>
              <w:left w:val="single" w:color="000000" w:sz="4" w:space="0"/>
              <w:bottom w:val="single" w:color="000000" w:sz="4" w:space="0"/>
              <w:right w:val="single" w:color="000000" w:sz="4" w:space="0"/>
            </w:tcBorders>
          </w:tcPr>
          <w:p w14:paraId="2DD177F0">
            <w:pPr>
              <w:spacing w:line="240" w:lineRule="auto"/>
              <w:ind w:firstLine="0" w:firstLineChars="0"/>
              <w:jc w:val="center"/>
              <w:rPr>
                <w:rFonts w:cs="Times New Roman"/>
                <w:szCs w:val="21"/>
              </w:rPr>
            </w:pPr>
            <w:r>
              <w:rPr>
                <w:rFonts w:cs="Times New Roman"/>
                <w:i/>
                <w:iCs/>
                <w:sz w:val="21"/>
                <w:szCs w:val="21"/>
                <w:lang w:bidi="ar"/>
              </w:rPr>
              <w:t>Shannon-Wiener</w:t>
            </w:r>
            <w:r>
              <w:rPr>
                <w:rFonts w:hint="eastAsia" w:cs="Times New Roman"/>
                <w:sz w:val="21"/>
                <w:szCs w:val="21"/>
                <w:lang w:bidi="ar"/>
              </w:rPr>
              <w:t>指数</w:t>
            </w:r>
          </w:p>
        </w:tc>
        <w:tc>
          <w:tcPr>
            <w:tcW w:w="640" w:type="pct"/>
            <w:tcBorders>
              <w:top w:val="single" w:color="000000" w:sz="4" w:space="0"/>
              <w:left w:val="single" w:color="000000" w:sz="4" w:space="0"/>
              <w:bottom w:val="single" w:color="000000" w:sz="4" w:space="0"/>
              <w:right w:val="single" w:color="000000" w:sz="4" w:space="0"/>
            </w:tcBorders>
          </w:tcPr>
          <w:p w14:paraId="57F2FE77">
            <w:pPr>
              <w:spacing w:line="240" w:lineRule="auto"/>
              <w:ind w:firstLine="0" w:firstLineChars="0"/>
              <w:jc w:val="center"/>
              <w:rPr>
                <w:rFonts w:cs="Times New Roman"/>
                <w:szCs w:val="21"/>
              </w:rPr>
            </w:pPr>
            <w:r>
              <w:rPr>
                <w:rFonts w:cs="Times New Roman"/>
                <w:sz w:val="21"/>
                <w:szCs w:val="21"/>
                <w:lang w:bidi="ar"/>
              </w:rPr>
              <w:t>1.52</w:t>
            </w:r>
          </w:p>
        </w:tc>
        <w:tc>
          <w:tcPr>
            <w:tcW w:w="429" w:type="pct"/>
            <w:tcBorders>
              <w:top w:val="single" w:color="000000" w:sz="4" w:space="0"/>
              <w:left w:val="single" w:color="000000" w:sz="4" w:space="0"/>
              <w:bottom w:val="single" w:color="000000" w:sz="4" w:space="0"/>
              <w:right w:val="single" w:color="000000" w:sz="4" w:space="0"/>
            </w:tcBorders>
          </w:tcPr>
          <w:p w14:paraId="2018F1A0">
            <w:pPr>
              <w:spacing w:line="240" w:lineRule="auto"/>
              <w:ind w:firstLine="0" w:firstLineChars="0"/>
              <w:jc w:val="center"/>
              <w:rPr>
                <w:rFonts w:cs="Times New Roman"/>
                <w:szCs w:val="21"/>
              </w:rPr>
            </w:pPr>
            <w:r>
              <w:rPr>
                <w:rFonts w:cs="Times New Roman"/>
                <w:sz w:val="21"/>
                <w:szCs w:val="21"/>
                <w:lang w:bidi="ar"/>
              </w:rPr>
              <w:t>2.48</w:t>
            </w:r>
          </w:p>
        </w:tc>
        <w:tc>
          <w:tcPr>
            <w:tcW w:w="429" w:type="pct"/>
            <w:tcBorders>
              <w:top w:val="single" w:color="000000" w:sz="4" w:space="0"/>
              <w:left w:val="single" w:color="000000" w:sz="4" w:space="0"/>
              <w:bottom w:val="single" w:color="000000" w:sz="4" w:space="0"/>
              <w:right w:val="single" w:color="000000" w:sz="4" w:space="0"/>
            </w:tcBorders>
          </w:tcPr>
          <w:p w14:paraId="77FA4B28">
            <w:pPr>
              <w:spacing w:line="240" w:lineRule="auto"/>
              <w:ind w:firstLine="0" w:firstLineChars="0"/>
              <w:jc w:val="center"/>
              <w:rPr>
                <w:rFonts w:cs="Times New Roman"/>
                <w:szCs w:val="21"/>
              </w:rPr>
            </w:pPr>
            <w:r>
              <w:rPr>
                <w:rFonts w:cs="Times New Roman"/>
                <w:sz w:val="21"/>
                <w:szCs w:val="21"/>
                <w:lang w:bidi="ar"/>
              </w:rPr>
              <w:t>2.54</w:t>
            </w:r>
          </w:p>
        </w:tc>
        <w:tc>
          <w:tcPr>
            <w:tcW w:w="429" w:type="pct"/>
            <w:tcBorders>
              <w:top w:val="single" w:color="000000" w:sz="4" w:space="0"/>
              <w:left w:val="single" w:color="000000" w:sz="4" w:space="0"/>
              <w:bottom w:val="single" w:color="000000" w:sz="4" w:space="0"/>
              <w:right w:val="single" w:color="000000" w:sz="4" w:space="0"/>
            </w:tcBorders>
          </w:tcPr>
          <w:p w14:paraId="58223B09">
            <w:pPr>
              <w:spacing w:line="240" w:lineRule="auto"/>
              <w:ind w:firstLine="0" w:firstLineChars="0"/>
              <w:jc w:val="center"/>
              <w:rPr>
                <w:rFonts w:cs="Times New Roman"/>
                <w:szCs w:val="21"/>
              </w:rPr>
            </w:pPr>
            <w:r>
              <w:rPr>
                <w:rFonts w:cs="Times New Roman"/>
                <w:sz w:val="21"/>
                <w:szCs w:val="21"/>
                <w:lang w:bidi="ar"/>
              </w:rPr>
              <w:t>1.06</w:t>
            </w:r>
          </w:p>
        </w:tc>
        <w:tc>
          <w:tcPr>
            <w:tcW w:w="429" w:type="pct"/>
            <w:tcBorders>
              <w:top w:val="single" w:color="000000" w:sz="4" w:space="0"/>
              <w:left w:val="single" w:color="000000" w:sz="4" w:space="0"/>
              <w:bottom w:val="single" w:color="000000" w:sz="4" w:space="0"/>
              <w:right w:val="single" w:color="000000" w:sz="4" w:space="0"/>
            </w:tcBorders>
          </w:tcPr>
          <w:p w14:paraId="343FABB3">
            <w:pPr>
              <w:spacing w:line="240" w:lineRule="auto"/>
              <w:ind w:firstLine="0" w:firstLineChars="0"/>
              <w:jc w:val="center"/>
              <w:rPr>
                <w:rFonts w:cs="Times New Roman"/>
                <w:szCs w:val="21"/>
              </w:rPr>
            </w:pPr>
            <w:r>
              <w:rPr>
                <w:rFonts w:cs="Times New Roman"/>
                <w:sz w:val="21"/>
                <w:szCs w:val="21"/>
                <w:lang w:bidi="ar"/>
              </w:rPr>
              <w:t>1.64</w:t>
            </w:r>
          </w:p>
        </w:tc>
        <w:tc>
          <w:tcPr>
            <w:tcW w:w="425" w:type="pct"/>
            <w:tcBorders>
              <w:top w:val="single" w:color="000000" w:sz="4" w:space="0"/>
              <w:left w:val="single" w:color="000000" w:sz="4" w:space="0"/>
              <w:bottom w:val="single" w:color="000000" w:sz="4" w:space="0"/>
              <w:right w:val="single" w:color="000000" w:sz="4" w:space="0"/>
            </w:tcBorders>
          </w:tcPr>
          <w:p w14:paraId="09AACD4B">
            <w:pPr>
              <w:spacing w:line="240" w:lineRule="auto"/>
              <w:ind w:firstLine="0" w:firstLineChars="0"/>
              <w:jc w:val="center"/>
              <w:rPr>
                <w:rFonts w:cs="Times New Roman"/>
                <w:szCs w:val="21"/>
              </w:rPr>
            </w:pPr>
            <w:r>
              <w:rPr>
                <w:rFonts w:cs="Times New Roman"/>
                <w:sz w:val="21"/>
                <w:szCs w:val="21"/>
                <w:lang w:bidi="ar"/>
              </w:rPr>
              <w:t>3.62</w:t>
            </w:r>
          </w:p>
        </w:tc>
      </w:tr>
    </w:tbl>
    <w:p w14:paraId="254D601A">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5</w:t>
      </w:r>
      <w:r>
        <w:rPr>
          <w:rFonts w:hint="eastAsia" w:cs="Times New Roman"/>
          <w:b/>
          <w:bCs/>
          <w:szCs w:val="24"/>
          <w:lang w:bidi="ar"/>
        </w:rPr>
        <w:t>）保护鸟类资源分析</w:t>
      </w:r>
    </w:p>
    <w:p w14:paraId="246C9ACA">
      <w:pPr>
        <w:spacing w:line="570" w:lineRule="atLeast"/>
        <w:ind w:firstLine="480"/>
        <w:rPr>
          <w:rFonts w:cs="Times New Roman"/>
          <w:szCs w:val="24"/>
        </w:rPr>
      </w:pPr>
      <w:r>
        <w:rPr>
          <w:rFonts w:hint="eastAsia" w:cs="Times New Roman"/>
          <w:szCs w:val="24"/>
          <w:u w:val="single"/>
          <w:lang w:bidi="ar"/>
        </w:rPr>
        <w:t>国家保护鸟类。</w:t>
      </w:r>
      <w:r>
        <w:rPr>
          <w:rFonts w:hint="eastAsia" w:cs="Times New Roman"/>
          <w:szCs w:val="24"/>
          <w:lang w:bidi="ar"/>
        </w:rPr>
        <w:t>对照《国家重点保护野生动物名录》，茅山旅游度假区国家保护鸟类以迁徙性猛禽为主，包括凤头蜂鹰</w:t>
      </w:r>
      <w:r>
        <w:rPr>
          <w:rFonts w:cs="Times New Roman"/>
          <w:i/>
          <w:iCs/>
          <w:szCs w:val="24"/>
          <w:lang w:bidi="ar"/>
        </w:rPr>
        <w:t>Pernis ptilorhynchus</w:t>
      </w:r>
      <w:r>
        <w:rPr>
          <w:rFonts w:hint="eastAsia" w:cs="Times New Roman"/>
          <w:szCs w:val="24"/>
          <w:lang w:bidi="ar"/>
        </w:rPr>
        <w:t>、黑翅鸢</w:t>
      </w:r>
      <w:r>
        <w:rPr>
          <w:rFonts w:cs="Times New Roman"/>
          <w:i/>
          <w:iCs/>
          <w:szCs w:val="24"/>
          <w:lang w:bidi="ar"/>
        </w:rPr>
        <w:t>Elanus caeruleus</w:t>
      </w:r>
      <w:r>
        <w:rPr>
          <w:rFonts w:hint="eastAsia" w:cs="Times New Roman"/>
          <w:szCs w:val="24"/>
          <w:lang w:bidi="ar"/>
        </w:rPr>
        <w:t>、黑耳鸢</w:t>
      </w:r>
      <w:r>
        <w:rPr>
          <w:rFonts w:cs="Times New Roman"/>
          <w:i/>
          <w:iCs/>
          <w:szCs w:val="24"/>
          <w:lang w:bidi="ar"/>
        </w:rPr>
        <w:t>Milvus lineatus</w:t>
      </w:r>
      <w:r>
        <w:rPr>
          <w:rFonts w:hint="eastAsia" w:cs="Times New Roman"/>
          <w:szCs w:val="24"/>
          <w:lang w:bidi="ar"/>
        </w:rPr>
        <w:t>、赤腹鹰</w:t>
      </w:r>
      <w:r>
        <w:rPr>
          <w:rFonts w:cs="Times New Roman"/>
          <w:i/>
          <w:iCs/>
          <w:szCs w:val="24"/>
          <w:lang w:bidi="ar"/>
        </w:rPr>
        <w:t>Acipiter soloensis</w:t>
      </w:r>
      <w:r>
        <w:rPr>
          <w:rFonts w:hint="eastAsia" w:cs="Times New Roman"/>
          <w:szCs w:val="24"/>
          <w:lang w:bidi="ar"/>
        </w:rPr>
        <w:t>等国家</w:t>
      </w:r>
      <w:r>
        <w:rPr>
          <w:rFonts w:cs="Times New Roman"/>
          <w:szCs w:val="24"/>
          <w:lang w:bidi="ar"/>
        </w:rPr>
        <w:t>Ⅱ</w:t>
      </w:r>
      <w:r>
        <w:rPr>
          <w:rFonts w:hint="eastAsia" w:cs="Times New Roman"/>
          <w:szCs w:val="24"/>
          <w:lang w:bidi="ar"/>
        </w:rPr>
        <w:t>级重点保护鸟类</w:t>
      </w:r>
      <w:r>
        <w:rPr>
          <w:rFonts w:cs="Times New Roman"/>
          <w:szCs w:val="24"/>
          <w:lang w:bidi="ar"/>
        </w:rPr>
        <w:t>11</w:t>
      </w:r>
      <w:r>
        <w:rPr>
          <w:rFonts w:hint="eastAsia" w:cs="Times New Roman"/>
          <w:szCs w:val="24"/>
          <w:lang w:bidi="ar"/>
        </w:rPr>
        <w:t>种。此外，还分布有大白鹭</w:t>
      </w:r>
      <w:r>
        <w:rPr>
          <w:rFonts w:cs="Times New Roman"/>
          <w:i/>
          <w:iCs/>
          <w:szCs w:val="24"/>
          <w:lang w:bidi="ar"/>
        </w:rPr>
        <w:t>Casmerodius albus</w:t>
      </w:r>
      <w:r>
        <w:rPr>
          <w:rFonts w:hint="eastAsia" w:cs="Times New Roman"/>
          <w:szCs w:val="24"/>
          <w:lang w:bidi="ar"/>
        </w:rPr>
        <w:t>、罗纹鸭</w:t>
      </w:r>
      <w:r>
        <w:rPr>
          <w:rFonts w:cs="Times New Roman"/>
          <w:i/>
          <w:iCs/>
          <w:szCs w:val="24"/>
          <w:lang w:bidi="ar"/>
        </w:rPr>
        <w:t>Anas falcate</w:t>
      </w:r>
      <w:r>
        <w:rPr>
          <w:rFonts w:hint="eastAsia" w:cs="Times New Roman"/>
          <w:szCs w:val="24"/>
          <w:lang w:bidi="ar"/>
        </w:rPr>
        <w:t>和灰胸竹鸡</w:t>
      </w:r>
      <w:r>
        <w:rPr>
          <w:rFonts w:cs="Times New Roman"/>
          <w:i/>
          <w:iCs/>
          <w:szCs w:val="24"/>
          <w:lang w:bidi="ar"/>
        </w:rPr>
        <w:t>Bambusicola thoracica</w:t>
      </w:r>
      <w:r>
        <w:rPr>
          <w:rFonts w:hint="eastAsia" w:cs="Times New Roman"/>
          <w:szCs w:val="24"/>
          <w:lang w:bidi="ar"/>
        </w:rPr>
        <w:t>等江苏省省级重点保护鸟类</w:t>
      </w:r>
      <w:r>
        <w:rPr>
          <w:rFonts w:cs="Times New Roman"/>
          <w:szCs w:val="24"/>
          <w:lang w:bidi="ar"/>
        </w:rPr>
        <w:t>63</w:t>
      </w:r>
      <w:r>
        <w:rPr>
          <w:rFonts w:hint="eastAsia" w:cs="Times New Roman"/>
          <w:szCs w:val="24"/>
          <w:lang w:bidi="ar"/>
        </w:rPr>
        <w:t>种（表</w:t>
      </w:r>
      <w:r>
        <w:rPr>
          <w:rFonts w:cs="Times New Roman"/>
          <w:szCs w:val="24"/>
          <w:lang w:bidi="ar"/>
        </w:rPr>
        <w:t>3.4-13</w:t>
      </w:r>
      <w:r>
        <w:rPr>
          <w:rFonts w:hint="eastAsia" w:cs="Times New Roman"/>
          <w:szCs w:val="24"/>
          <w:lang w:bidi="ar"/>
        </w:rPr>
        <w:t>）。</w:t>
      </w:r>
    </w:p>
    <w:p w14:paraId="757B0CF3">
      <w:pPr>
        <w:spacing w:line="570" w:lineRule="atLeast"/>
        <w:ind w:firstLine="480"/>
        <w:rPr>
          <w:rFonts w:cs="Times New Roman"/>
          <w:szCs w:val="24"/>
        </w:rPr>
      </w:pPr>
      <w:r>
        <w:rPr>
          <w:rFonts w:hint="eastAsia" w:cs="Times New Roman"/>
          <w:szCs w:val="24"/>
          <w:u w:val="single"/>
          <w:lang w:bidi="ar"/>
        </w:rPr>
        <w:t>国际保护鸟类。</w:t>
      </w:r>
      <w:r>
        <w:rPr>
          <w:rFonts w:hint="eastAsia" w:cs="Times New Roman"/>
          <w:szCs w:val="24"/>
          <w:lang w:bidi="ar"/>
        </w:rPr>
        <w:t>对照《世界自然保护联盟（</w:t>
      </w:r>
      <w:r>
        <w:rPr>
          <w:rFonts w:cs="Times New Roman"/>
          <w:i/>
          <w:iCs/>
          <w:szCs w:val="24"/>
          <w:lang w:bidi="ar"/>
        </w:rPr>
        <w:t>IUCN</w:t>
      </w:r>
      <w:r>
        <w:rPr>
          <w:rFonts w:hint="eastAsia" w:cs="Times New Roman"/>
          <w:szCs w:val="24"/>
          <w:lang w:bidi="ar"/>
        </w:rPr>
        <w:t>）濒危物种红色名录》（</w:t>
      </w:r>
      <w:r>
        <w:rPr>
          <w:rFonts w:cs="Times New Roman"/>
          <w:i/>
          <w:iCs/>
          <w:szCs w:val="24"/>
          <w:lang w:bidi="ar"/>
        </w:rPr>
        <w:t>IUCN Red List of Threatened Species</w:t>
      </w:r>
      <w:r>
        <w:rPr>
          <w:rFonts w:hint="eastAsia" w:cs="Times New Roman"/>
          <w:szCs w:val="24"/>
          <w:lang w:bidi="ar"/>
        </w:rPr>
        <w:t>），茅山旅游度假区现有</w:t>
      </w:r>
      <w:r>
        <w:rPr>
          <w:rFonts w:cs="Times New Roman"/>
          <w:szCs w:val="24"/>
          <w:lang w:bidi="ar"/>
        </w:rPr>
        <w:t>3</w:t>
      </w:r>
      <w:r>
        <w:rPr>
          <w:rFonts w:hint="eastAsia" w:cs="Times New Roman"/>
          <w:szCs w:val="24"/>
          <w:lang w:bidi="ar"/>
        </w:rPr>
        <w:t>种鸟列入世界自然保护联盟濒危物种红色名录受威胁级别，均为易危级：凤头蜂鹰</w:t>
      </w:r>
      <w:r>
        <w:rPr>
          <w:rFonts w:cs="Times New Roman"/>
          <w:szCs w:val="24"/>
          <w:lang w:bidi="ar"/>
        </w:rPr>
        <w:t xml:space="preserve"> </w:t>
      </w:r>
      <w:r>
        <w:rPr>
          <w:rFonts w:cs="Times New Roman"/>
          <w:i/>
          <w:iCs/>
          <w:szCs w:val="24"/>
          <w:lang w:bidi="ar"/>
        </w:rPr>
        <w:t>Pernis ptilorhynchus</w:t>
      </w:r>
      <w:r>
        <w:rPr>
          <w:rFonts w:hint="eastAsia" w:cs="Times New Roman"/>
          <w:szCs w:val="24"/>
          <w:lang w:bidi="ar"/>
        </w:rPr>
        <w:t>、黑翅鸢</w:t>
      </w:r>
      <w:r>
        <w:rPr>
          <w:rFonts w:cs="Times New Roman"/>
          <w:i/>
          <w:iCs/>
          <w:szCs w:val="24"/>
          <w:lang w:bidi="ar"/>
        </w:rPr>
        <w:t>Milvus lineatus</w:t>
      </w:r>
      <w:r>
        <w:rPr>
          <w:rFonts w:hint="eastAsia" w:cs="Times New Roman"/>
          <w:szCs w:val="24"/>
          <w:lang w:bidi="ar"/>
        </w:rPr>
        <w:t>和小鸦鹃</w:t>
      </w:r>
      <w:r>
        <w:rPr>
          <w:rFonts w:cs="Times New Roman"/>
          <w:i/>
          <w:iCs/>
          <w:szCs w:val="24"/>
          <w:lang w:bidi="ar"/>
        </w:rPr>
        <w:t>Centropus toulou</w:t>
      </w:r>
      <w:r>
        <w:rPr>
          <w:rFonts w:hint="eastAsia" w:cs="Times New Roman"/>
          <w:szCs w:val="24"/>
          <w:lang w:bidi="ar"/>
        </w:rPr>
        <w:t>等。</w:t>
      </w:r>
    </w:p>
    <w:p w14:paraId="0CACB0C1">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21</w:t>
      </w:r>
      <w:r>
        <w:rPr>
          <w:rFonts w:cs="Times New Roman"/>
        </w:rPr>
        <w:t xml:space="preserve"> </w:t>
      </w:r>
      <w:r>
        <w:rPr>
          <w:rFonts w:hint="eastAsia" w:cs="Times New Roman"/>
        </w:rPr>
        <w:t>茅山旅游度假区重点保护鸟类种类组成</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46"/>
        <w:gridCol w:w="850"/>
        <w:gridCol w:w="3261"/>
        <w:gridCol w:w="2246"/>
        <w:gridCol w:w="1093"/>
      </w:tblGrid>
      <w:tr w14:paraId="46C1F0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blHeader/>
        </w:trPr>
        <w:tc>
          <w:tcPr>
            <w:tcW w:w="846" w:type="dxa"/>
            <w:tcBorders>
              <w:top w:val="single" w:color="000000" w:sz="4" w:space="0"/>
              <w:left w:val="single" w:color="000000" w:sz="4" w:space="0"/>
              <w:bottom w:val="single" w:color="000000" w:sz="4" w:space="0"/>
              <w:right w:val="single" w:color="000000" w:sz="4" w:space="0"/>
            </w:tcBorders>
            <w:vAlign w:val="center"/>
          </w:tcPr>
          <w:p w14:paraId="580593EF">
            <w:pPr>
              <w:widowControl/>
              <w:spacing w:line="240" w:lineRule="auto"/>
              <w:ind w:firstLine="0" w:firstLineChars="0"/>
              <w:jc w:val="center"/>
              <w:rPr>
                <w:rFonts w:cs="Times New Roman"/>
                <w:b/>
                <w:bCs/>
                <w:kern w:val="0"/>
                <w:szCs w:val="21"/>
              </w:rPr>
            </w:pPr>
            <w:r>
              <w:rPr>
                <w:rFonts w:cs="Times New Roman"/>
                <w:b/>
                <w:bCs/>
                <w:kern w:val="0"/>
                <w:sz w:val="21"/>
                <w:szCs w:val="21"/>
                <w:lang w:bidi="ar"/>
              </w:rPr>
              <w:t>目</w:t>
            </w:r>
          </w:p>
        </w:tc>
        <w:tc>
          <w:tcPr>
            <w:tcW w:w="850" w:type="dxa"/>
            <w:tcBorders>
              <w:top w:val="single" w:color="000000" w:sz="4" w:space="0"/>
              <w:left w:val="single" w:color="000000" w:sz="4" w:space="0"/>
              <w:bottom w:val="single" w:color="000000" w:sz="4" w:space="0"/>
              <w:right w:val="single" w:color="000000" w:sz="4" w:space="0"/>
            </w:tcBorders>
            <w:vAlign w:val="center"/>
          </w:tcPr>
          <w:p w14:paraId="69091E06">
            <w:pPr>
              <w:widowControl/>
              <w:spacing w:line="240" w:lineRule="auto"/>
              <w:ind w:firstLine="0" w:firstLineChars="0"/>
              <w:jc w:val="center"/>
              <w:rPr>
                <w:rFonts w:cs="Times New Roman"/>
                <w:b/>
                <w:bCs/>
                <w:kern w:val="0"/>
                <w:szCs w:val="21"/>
              </w:rPr>
            </w:pPr>
            <w:r>
              <w:rPr>
                <w:rFonts w:cs="Times New Roman"/>
                <w:b/>
                <w:bCs/>
                <w:kern w:val="0"/>
                <w:sz w:val="21"/>
                <w:szCs w:val="21"/>
                <w:lang w:bidi="ar"/>
              </w:rPr>
              <w:t>科名</w:t>
            </w:r>
          </w:p>
        </w:tc>
        <w:tc>
          <w:tcPr>
            <w:tcW w:w="3261" w:type="dxa"/>
            <w:tcBorders>
              <w:top w:val="single" w:color="000000" w:sz="4" w:space="0"/>
              <w:left w:val="single" w:color="000000" w:sz="4" w:space="0"/>
              <w:bottom w:val="single" w:color="000000" w:sz="4" w:space="0"/>
              <w:right w:val="single" w:color="000000" w:sz="4" w:space="0"/>
            </w:tcBorders>
            <w:vAlign w:val="center"/>
          </w:tcPr>
          <w:p w14:paraId="1DD1C318">
            <w:pPr>
              <w:widowControl/>
              <w:spacing w:line="240" w:lineRule="auto"/>
              <w:ind w:firstLine="0" w:firstLineChars="0"/>
              <w:jc w:val="center"/>
              <w:rPr>
                <w:rFonts w:cs="Times New Roman"/>
                <w:b/>
                <w:bCs/>
                <w:kern w:val="0"/>
                <w:szCs w:val="21"/>
              </w:rPr>
            </w:pPr>
            <w:r>
              <w:rPr>
                <w:rFonts w:cs="Times New Roman"/>
                <w:b/>
                <w:bCs/>
                <w:kern w:val="0"/>
                <w:sz w:val="21"/>
                <w:szCs w:val="21"/>
                <w:lang w:bidi="ar"/>
              </w:rPr>
              <w:t>种名</w:t>
            </w:r>
          </w:p>
        </w:tc>
        <w:tc>
          <w:tcPr>
            <w:tcW w:w="2246" w:type="dxa"/>
            <w:tcBorders>
              <w:top w:val="single" w:color="000000" w:sz="4" w:space="0"/>
              <w:left w:val="single" w:color="000000" w:sz="4" w:space="0"/>
              <w:bottom w:val="single" w:color="000000" w:sz="4" w:space="0"/>
              <w:right w:val="single" w:color="000000" w:sz="4" w:space="0"/>
            </w:tcBorders>
            <w:vAlign w:val="center"/>
          </w:tcPr>
          <w:p w14:paraId="13362D50">
            <w:pPr>
              <w:widowControl/>
              <w:spacing w:line="240" w:lineRule="auto"/>
              <w:ind w:firstLine="0" w:firstLineChars="0"/>
              <w:jc w:val="center"/>
              <w:rPr>
                <w:rFonts w:cs="Times New Roman"/>
                <w:b/>
                <w:bCs/>
                <w:kern w:val="0"/>
                <w:szCs w:val="21"/>
              </w:rPr>
            </w:pPr>
            <w:r>
              <w:rPr>
                <w:rFonts w:cs="Times New Roman"/>
                <w:b/>
                <w:bCs/>
                <w:kern w:val="0"/>
                <w:sz w:val="21"/>
                <w:szCs w:val="21"/>
                <w:lang w:bidi="ar"/>
              </w:rPr>
              <w:t>栖息环境</w:t>
            </w:r>
          </w:p>
        </w:tc>
        <w:tc>
          <w:tcPr>
            <w:tcW w:w="1093" w:type="dxa"/>
            <w:tcBorders>
              <w:top w:val="single" w:color="000000" w:sz="4" w:space="0"/>
              <w:left w:val="single" w:color="000000" w:sz="4" w:space="0"/>
              <w:bottom w:val="single" w:color="000000" w:sz="4" w:space="0"/>
              <w:right w:val="single" w:color="000000" w:sz="4" w:space="0"/>
            </w:tcBorders>
            <w:vAlign w:val="center"/>
          </w:tcPr>
          <w:p w14:paraId="20751561">
            <w:pPr>
              <w:widowControl/>
              <w:spacing w:line="240" w:lineRule="auto"/>
              <w:ind w:firstLine="0" w:firstLineChars="0"/>
              <w:jc w:val="center"/>
              <w:rPr>
                <w:rFonts w:cs="Times New Roman"/>
                <w:b/>
                <w:bCs/>
                <w:kern w:val="0"/>
                <w:szCs w:val="21"/>
              </w:rPr>
            </w:pPr>
            <w:r>
              <w:rPr>
                <w:rFonts w:cs="Times New Roman"/>
                <w:b/>
                <w:bCs/>
                <w:kern w:val="0"/>
                <w:sz w:val="21"/>
                <w:szCs w:val="21"/>
                <w:lang w:bidi="ar"/>
              </w:rPr>
              <w:t>保护级别</w:t>
            </w:r>
          </w:p>
        </w:tc>
      </w:tr>
      <w:tr w14:paraId="542845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restart"/>
            <w:tcBorders>
              <w:top w:val="single" w:color="000000" w:sz="4" w:space="0"/>
              <w:left w:val="single" w:color="000000" w:sz="4" w:space="0"/>
              <w:bottom w:val="single" w:color="000000" w:sz="4" w:space="0"/>
              <w:right w:val="single" w:color="000000" w:sz="4" w:space="0"/>
            </w:tcBorders>
            <w:vAlign w:val="center"/>
          </w:tcPr>
          <w:p w14:paraId="192F46F4">
            <w:pPr>
              <w:widowControl/>
              <w:spacing w:line="240" w:lineRule="auto"/>
              <w:ind w:firstLine="0" w:firstLineChars="0"/>
              <w:jc w:val="center"/>
              <w:rPr>
                <w:rFonts w:cs="Times New Roman"/>
                <w:kern w:val="0"/>
                <w:szCs w:val="21"/>
              </w:rPr>
            </w:pPr>
            <w:r>
              <w:rPr>
                <w:rFonts w:cs="Times New Roman"/>
                <w:kern w:val="0"/>
                <w:sz w:val="21"/>
                <w:szCs w:val="21"/>
                <w:lang w:bidi="ar"/>
              </w:rPr>
              <w:t>鸊鷉目</w:t>
            </w:r>
          </w:p>
        </w:tc>
        <w:tc>
          <w:tcPr>
            <w:tcW w:w="850" w:type="dxa"/>
            <w:vMerge w:val="restart"/>
            <w:tcBorders>
              <w:top w:val="single" w:color="000000" w:sz="4" w:space="0"/>
              <w:left w:val="single" w:color="000000" w:sz="4" w:space="0"/>
              <w:bottom w:val="single" w:color="000000" w:sz="4" w:space="0"/>
              <w:right w:val="single" w:color="000000" w:sz="4" w:space="0"/>
            </w:tcBorders>
            <w:vAlign w:val="center"/>
          </w:tcPr>
          <w:p w14:paraId="45C1BB55">
            <w:pPr>
              <w:widowControl/>
              <w:spacing w:line="240" w:lineRule="auto"/>
              <w:ind w:firstLine="0" w:firstLineChars="0"/>
              <w:jc w:val="center"/>
              <w:rPr>
                <w:rFonts w:cs="Times New Roman"/>
                <w:kern w:val="0"/>
                <w:szCs w:val="21"/>
              </w:rPr>
            </w:pPr>
            <w:r>
              <w:rPr>
                <w:rFonts w:cs="Times New Roman"/>
                <w:kern w:val="0"/>
                <w:sz w:val="21"/>
                <w:szCs w:val="21"/>
                <w:lang w:bidi="ar"/>
              </w:rPr>
              <w:t>鸊鷉科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343C8AAA">
            <w:pPr>
              <w:widowControl/>
              <w:spacing w:line="240" w:lineRule="auto"/>
              <w:ind w:firstLine="0" w:firstLineChars="0"/>
              <w:jc w:val="left"/>
              <w:rPr>
                <w:rFonts w:cs="Times New Roman"/>
                <w:kern w:val="0"/>
                <w:szCs w:val="21"/>
              </w:rPr>
            </w:pPr>
            <w:r>
              <w:rPr>
                <w:rFonts w:cs="Times New Roman"/>
                <w:kern w:val="0"/>
                <w:sz w:val="21"/>
                <w:szCs w:val="21"/>
                <w:lang w:bidi="ar"/>
              </w:rPr>
              <w:t xml:space="preserve">小鸊鷉 </w:t>
            </w:r>
            <w:r>
              <w:rPr>
                <w:rFonts w:cs="Times New Roman"/>
                <w:i/>
                <w:iCs/>
                <w:kern w:val="0"/>
                <w:sz w:val="21"/>
                <w:szCs w:val="21"/>
                <w:lang w:bidi="ar"/>
              </w:rPr>
              <w:t>Tachybapus ruficollis</w:t>
            </w:r>
          </w:p>
        </w:tc>
        <w:tc>
          <w:tcPr>
            <w:tcW w:w="2246" w:type="dxa"/>
            <w:tcBorders>
              <w:top w:val="single" w:color="000000" w:sz="4" w:space="0"/>
              <w:left w:val="single" w:color="000000" w:sz="4" w:space="0"/>
              <w:bottom w:val="single" w:color="000000" w:sz="4" w:space="0"/>
              <w:right w:val="single" w:color="000000" w:sz="4" w:space="0"/>
            </w:tcBorders>
            <w:vAlign w:val="center"/>
          </w:tcPr>
          <w:p w14:paraId="11A06CFC">
            <w:pPr>
              <w:widowControl/>
              <w:spacing w:line="240" w:lineRule="auto"/>
              <w:ind w:firstLine="0" w:firstLineChars="0"/>
              <w:jc w:val="center"/>
              <w:rPr>
                <w:rFonts w:cs="Times New Roman"/>
                <w:kern w:val="0"/>
                <w:szCs w:val="21"/>
              </w:rPr>
            </w:pPr>
            <w:r>
              <w:rPr>
                <w:rFonts w:cs="Times New Roman"/>
                <w:kern w:val="0"/>
                <w:sz w:val="21"/>
                <w:szCs w:val="21"/>
                <w:lang w:bidi="ar"/>
              </w:rPr>
              <w:t>湖泊、沼泽、河流</w:t>
            </w:r>
          </w:p>
        </w:tc>
        <w:tc>
          <w:tcPr>
            <w:tcW w:w="1093" w:type="dxa"/>
            <w:tcBorders>
              <w:top w:val="single" w:color="000000" w:sz="4" w:space="0"/>
              <w:left w:val="single" w:color="000000" w:sz="4" w:space="0"/>
              <w:bottom w:val="single" w:color="000000" w:sz="4" w:space="0"/>
              <w:right w:val="single" w:color="000000" w:sz="4" w:space="0"/>
            </w:tcBorders>
            <w:vAlign w:val="center"/>
          </w:tcPr>
          <w:p w14:paraId="5281AF20">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4CEA00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28020846">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7104202C">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46532169">
            <w:pPr>
              <w:widowControl/>
              <w:spacing w:line="240" w:lineRule="auto"/>
              <w:ind w:firstLine="0" w:firstLineChars="0"/>
              <w:jc w:val="left"/>
              <w:rPr>
                <w:rFonts w:cs="Times New Roman"/>
                <w:kern w:val="0"/>
                <w:szCs w:val="21"/>
              </w:rPr>
            </w:pPr>
            <w:r>
              <w:rPr>
                <w:rFonts w:cs="Times New Roman"/>
                <w:kern w:val="0"/>
                <w:sz w:val="21"/>
                <w:szCs w:val="21"/>
                <w:lang w:bidi="ar"/>
              </w:rPr>
              <w:t xml:space="preserve">凤头鸊鷉 </w:t>
            </w:r>
            <w:r>
              <w:rPr>
                <w:rFonts w:cs="Times New Roman"/>
                <w:i/>
                <w:iCs/>
                <w:kern w:val="0"/>
                <w:sz w:val="21"/>
                <w:szCs w:val="21"/>
                <w:lang w:bidi="ar"/>
              </w:rPr>
              <w:t>Podiceps cristatus</w:t>
            </w:r>
          </w:p>
        </w:tc>
        <w:tc>
          <w:tcPr>
            <w:tcW w:w="2246" w:type="dxa"/>
            <w:tcBorders>
              <w:top w:val="single" w:color="000000" w:sz="4" w:space="0"/>
              <w:left w:val="single" w:color="000000" w:sz="4" w:space="0"/>
              <w:bottom w:val="single" w:color="000000" w:sz="4" w:space="0"/>
              <w:right w:val="single" w:color="000000" w:sz="4" w:space="0"/>
            </w:tcBorders>
            <w:vAlign w:val="center"/>
          </w:tcPr>
          <w:p w14:paraId="7E35827F">
            <w:pPr>
              <w:widowControl/>
              <w:spacing w:line="240" w:lineRule="auto"/>
              <w:ind w:firstLine="0" w:firstLineChars="0"/>
              <w:jc w:val="center"/>
              <w:rPr>
                <w:rFonts w:cs="Times New Roman"/>
                <w:kern w:val="0"/>
                <w:szCs w:val="21"/>
              </w:rPr>
            </w:pPr>
            <w:r>
              <w:rPr>
                <w:rFonts w:cs="Times New Roman"/>
                <w:kern w:val="0"/>
                <w:sz w:val="21"/>
                <w:szCs w:val="21"/>
                <w:lang w:bidi="ar"/>
              </w:rPr>
              <w:t>湖泊、沼泽、河流</w:t>
            </w:r>
          </w:p>
        </w:tc>
        <w:tc>
          <w:tcPr>
            <w:tcW w:w="1093" w:type="dxa"/>
            <w:tcBorders>
              <w:top w:val="single" w:color="000000" w:sz="4" w:space="0"/>
              <w:left w:val="single" w:color="000000" w:sz="4" w:space="0"/>
              <w:bottom w:val="single" w:color="000000" w:sz="4" w:space="0"/>
              <w:right w:val="single" w:color="000000" w:sz="4" w:space="0"/>
            </w:tcBorders>
            <w:vAlign w:val="center"/>
          </w:tcPr>
          <w:p w14:paraId="65DC3BAB">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25B0D9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restart"/>
            <w:tcBorders>
              <w:top w:val="single" w:color="000000" w:sz="4" w:space="0"/>
              <w:left w:val="single" w:color="000000" w:sz="4" w:space="0"/>
              <w:bottom w:val="single" w:color="000000" w:sz="4" w:space="0"/>
              <w:right w:val="single" w:color="000000" w:sz="4" w:space="0"/>
            </w:tcBorders>
            <w:vAlign w:val="center"/>
          </w:tcPr>
          <w:p w14:paraId="4832CDA8">
            <w:pPr>
              <w:spacing w:line="240" w:lineRule="auto"/>
              <w:ind w:firstLine="0" w:firstLineChars="0"/>
              <w:jc w:val="center"/>
              <w:rPr>
                <w:rFonts w:cs="Times New Roman"/>
                <w:kern w:val="0"/>
                <w:szCs w:val="21"/>
              </w:rPr>
            </w:pPr>
            <w:r>
              <w:rPr>
                <w:rFonts w:cs="Times New Roman"/>
                <w:kern w:val="0"/>
                <w:sz w:val="21"/>
                <w:szCs w:val="21"/>
                <w:lang w:bidi="ar"/>
              </w:rPr>
              <w:t>鹳形目</w:t>
            </w:r>
          </w:p>
        </w:tc>
        <w:tc>
          <w:tcPr>
            <w:tcW w:w="850" w:type="dxa"/>
            <w:vMerge w:val="restart"/>
            <w:tcBorders>
              <w:top w:val="single" w:color="000000" w:sz="4" w:space="0"/>
              <w:left w:val="single" w:color="000000" w:sz="4" w:space="0"/>
              <w:bottom w:val="single" w:color="000000" w:sz="4" w:space="0"/>
              <w:right w:val="single" w:color="000000" w:sz="4" w:space="0"/>
            </w:tcBorders>
            <w:vAlign w:val="center"/>
          </w:tcPr>
          <w:p w14:paraId="60087108">
            <w:pPr>
              <w:spacing w:line="240" w:lineRule="auto"/>
              <w:ind w:firstLine="0" w:firstLineChars="0"/>
              <w:jc w:val="center"/>
              <w:rPr>
                <w:rFonts w:cs="Times New Roman"/>
                <w:kern w:val="0"/>
                <w:szCs w:val="21"/>
              </w:rPr>
            </w:pPr>
            <w:r>
              <w:rPr>
                <w:rFonts w:cs="Times New Roman"/>
                <w:kern w:val="0"/>
                <w:sz w:val="21"/>
                <w:szCs w:val="21"/>
                <w:lang w:bidi="ar"/>
              </w:rPr>
              <w:t>鹭科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3EE5394A">
            <w:pPr>
              <w:widowControl/>
              <w:spacing w:line="240" w:lineRule="auto"/>
              <w:ind w:firstLine="0" w:firstLineChars="0"/>
              <w:jc w:val="left"/>
              <w:rPr>
                <w:rFonts w:cs="Times New Roman"/>
                <w:kern w:val="0"/>
                <w:szCs w:val="21"/>
              </w:rPr>
            </w:pPr>
            <w:r>
              <w:rPr>
                <w:rFonts w:cs="Times New Roman"/>
                <w:kern w:val="0"/>
                <w:sz w:val="21"/>
                <w:szCs w:val="21"/>
                <w:lang w:bidi="ar"/>
              </w:rPr>
              <w:t xml:space="preserve">白鹭 </w:t>
            </w:r>
            <w:r>
              <w:rPr>
                <w:rFonts w:cs="Times New Roman"/>
                <w:i/>
                <w:iCs/>
                <w:kern w:val="0"/>
                <w:sz w:val="21"/>
                <w:szCs w:val="21"/>
                <w:lang w:bidi="ar"/>
              </w:rPr>
              <w:t>Egretta garzetta</w:t>
            </w:r>
          </w:p>
        </w:tc>
        <w:tc>
          <w:tcPr>
            <w:tcW w:w="2246" w:type="dxa"/>
            <w:tcBorders>
              <w:top w:val="single" w:color="000000" w:sz="4" w:space="0"/>
              <w:left w:val="single" w:color="000000" w:sz="4" w:space="0"/>
              <w:bottom w:val="single" w:color="000000" w:sz="4" w:space="0"/>
              <w:right w:val="single" w:color="000000" w:sz="4" w:space="0"/>
            </w:tcBorders>
            <w:vAlign w:val="center"/>
          </w:tcPr>
          <w:p w14:paraId="7AD3AF9C">
            <w:pPr>
              <w:widowControl/>
              <w:spacing w:line="240" w:lineRule="auto"/>
              <w:ind w:firstLine="0" w:firstLineChars="0"/>
              <w:jc w:val="center"/>
              <w:rPr>
                <w:rFonts w:cs="Times New Roman"/>
                <w:kern w:val="0"/>
                <w:szCs w:val="21"/>
              </w:rPr>
            </w:pPr>
            <w:r>
              <w:rPr>
                <w:rFonts w:cs="Times New Roman"/>
                <w:kern w:val="0"/>
                <w:sz w:val="21"/>
                <w:szCs w:val="21"/>
                <w:lang w:bidi="ar"/>
              </w:rPr>
              <w:t>稻田、湖泊、沼泽、滩涂</w:t>
            </w:r>
          </w:p>
        </w:tc>
        <w:tc>
          <w:tcPr>
            <w:tcW w:w="1093" w:type="dxa"/>
            <w:tcBorders>
              <w:top w:val="single" w:color="000000" w:sz="4" w:space="0"/>
              <w:left w:val="single" w:color="000000" w:sz="4" w:space="0"/>
              <w:bottom w:val="single" w:color="000000" w:sz="4" w:space="0"/>
              <w:right w:val="single" w:color="000000" w:sz="4" w:space="0"/>
            </w:tcBorders>
            <w:vAlign w:val="center"/>
          </w:tcPr>
          <w:p w14:paraId="2604EACF">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4B5DF3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0CA21AB9">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41E7EA39">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79115D54">
            <w:pPr>
              <w:widowControl/>
              <w:spacing w:line="240" w:lineRule="auto"/>
              <w:ind w:firstLine="0" w:firstLineChars="0"/>
              <w:jc w:val="left"/>
              <w:rPr>
                <w:rFonts w:cs="Times New Roman"/>
                <w:kern w:val="0"/>
                <w:szCs w:val="21"/>
              </w:rPr>
            </w:pPr>
            <w:r>
              <w:rPr>
                <w:rFonts w:cs="Times New Roman"/>
                <w:kern w:val="0"/>
                <w:sz w:val="21"/>
                <w:szCs w:val="21"/>
                <w:lang w:bidi="ar"/>
              </w:rPr>
              <w:t xml:space="preserve">苍鹭 </w:t>
            </w:r>
            <w:r>
              <w:rPr>
                <w:rFonts w:cs="Times New Roman"/>
                <w:i/>
                <w:iCs/>
                <w:kern w:val="0"/>
                <w:sz w:val="21"/>
                <w:szCs w:val="21"/>
                <w:lang w:bidi="ar"/>
              </w:rPr>
              <w:t>Ardea cinerea</w:t>
            </w:r>
          </w:p>
        </w:tc>
        <w:tc>
          <w:tcPr>
            <w:tcW w:w="2246" w:type="dxa"/>
            <w:tcBorders>
              <w:top w:val="single" w:color="000000" w:sz="4" w:space="0"/>
              <w:left w:val="single" w:color="000000" w:sz="4" w:space="0"/>
              <w:bottom w:val="single" w:color="000000" w:sz="4" w:space="0"/>
              <w:right w:val="single" w:color="000000" w:sz="4" w:space="0"/>
            </w:tcBorders>
            <w:vAlign w:val="center"/>
          </w:tcPr>
          <w:p w14:paraId="2A364A71">
            <w:pPr>
              <w:widowControl/>
              <w:spacing w:line="240" w:lineRule="auto"/>
              <w:ind w:firstLine="0" w:firstLineChars="0"/>
              <w:jc w:val="center"/>
              <w:rPr>
                <w:rFonts w:cs="Times New Roman"/>
                <w:kern w:val="0"/>
                <w:szCs w:val="21"/>
              </w:rPr>
            </w:pPr>
            <w:r>
              <w:rPr>
                <w:rFonts w:cs="Times New Roman"/>
                <w:kern w:val="0"/>
                <w:sz w:val="21"/>
                <w:szCs w:val="21"/>
                <w:lang w:bidi="ar"/>
              </w:rPr>
              <w:t>湖泊、沼泽、河流</w:t>
            </w:r>
          </w:p>
        </w:tc>
        <w:tc>
          <w:tcPr>
            <w:tcW w:w="1093" w:type="dxa"/>
            <w:tcBorders>
              <w:top w:val="single" w:color="000000" w:sz="4" w:space="0"/>
              <w:left w:val="single" w:color="000000" w:sz="4" w:space="0"/>
              <w:bottom w:val="single" w:color="000000" w:sz="4" w:space="0"/>
              <w:right w:val="single" w:color="000000" w:sz="4" w:space="0"/>
            </w:tcBorders>
            <w:vAlign w:val="center"/>
          </w:tcPr>
          <w:p w14:paraId="7FD28C51">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455E1B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6E4A4AA5">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331E9F11">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38C92438">
            <w:pPr>
              <w:widowControl/>
              <w:spacing w:line="240" w:lineRule="auto"/>
              <w:ind w:firstLine="0" w:firstLineChars="0"/>
              <w:jc w:val="left"/>
              <w:rPr>
                <w:rFonts w:cs="Times New Roman"/>
                <w:kern w:val="0"/>
                <w:szCs w:val="21"/>
              </w:rPr>
            </w:pPr>
            <w:r>
              <w:rPr>
                <w:rFonts w:cs="Times New Roman"/>
                <w:kern w:val="0"/>
                <w:sz w:val="21"/>
                <w:szCs w:val="21"/>
                <w:lang w:bidi="ar"/>
              </w:rPr>
              <w:t xml:space="preserve">草鹭 </w:t>
            </w:r>
            <w:r>
              <w:rPr>
                <w:rFonts w:cs="Times New Roman"/>
                <w:i/>
                <w:iCs/>
                <w:kern w:val="0"/>
                <w:sz w:val="21"/>
                <w:szCs w:val="21"/>
                <w:lang w:bidi="ar"/>
              </w:rPr>
              <w:t>Ardea purpurea</w:t>
            </w:r>
          </w:p>
        </w:tc>
        <w:tc>
          <w:tcPr>
            <w:tcW w:w="2246" w:type="dxa"/>
            <w:tcBorders>
              <w:top w:val="single" w:color="000000" w:sz="4" w:space="0"/>
              <w:left w:val="single" w:color="000000" w:sz="4" w:space="0"/>
              <w:bottom w:val="single" w:color="000000" w:sz="4" w:space="0"/>
              <w:right w:val="single" w:color="000000" w:sz="4" w:space="0"/>
            </w:tcBorders>
            <w:vAlign w:val="center"/>
          </w:tcPr>
          <w:p w14:paraId="177F5868">
            <w:pPr>
              <w:widowControl/>
              <w:spacing w:line="240" w:lineRule="auto"/>
              <w:ind w:firstLine="0" w:firstLineChars="0"/>
              <w:jc w:val="center"/>
              <w:rPr>
                <w:rFonts w:cs="Times New Roman"/>
                <w:kern w:val="0"/>
                <w:szCs w:val="21"/>
              </w:rPr>
            </w:pPr>
            <w:r>
              <w:rPr>
                <w:rFonts w:cs="Times New Roman"/>
                <w:kern w:val="0"/>
                <w:sz w:val="21"/>
                <w:szCs w:val="21"/>
                <w:lang w:bidi="ar"/>
              </w:rPr>
              <w:t>稻田、湖泊、沼泽、滩涂</w:t>
            </w:r>
          </w:p>
        </w:tc>
        <w:tc>
          <w:tcPr>
            <w:tcW w:w="1093" w:type="dxa"/>
            <w:tcBorders>
              <w:top w:val="single" w:color="000000" w:sz="4" w:space="0"/>
              <w:left w:val="single" w:color="000000" w:sz="4" w:space="0"/>
              <w:bottom w:val="single" w:color="000000" w:sz="4" w:space="0"/>
              <w:right w:val="single" w:color="000000" w:sz="4" w:space="0"/>
            </w:tcBorders>
            <w:vAlign w:val="center"/>
          </w:tcPr>
          <w:p w14:paraId="0B6F3C04">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3A3107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46598F59">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74DD23B1">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62AF3FC0">
            <w:pPr>
              <w:widowControl/>
              <w:spacing w:line="240" w:lineRule="auto"/>
              <w:ind w:firstLine="0" w:firstLineChars="0"/>
              <w:jc w:val="left"/>
              <w:rPr>
                <w:rFonts w:cs="Times New Roman"/>
                <w:kern w:val="0"/>
                <w:szCs w:val="21"/>
              </w:rPr>
            </w:pPr>
            <w:r>
              <w:rPr>
                <w:rFonts w:cs="Times New Roman"/>
                <w:kern w:val="0"/>
                <w:sz w:val="21"/>
                <w:szCs w:val="21"/>
                <w:lang w:bidi="ar"/>
              </w:rPr>
              <w:t xml:space="preserve">中白鹭 </w:t>
            </w:r>
            <w:r>
              <w:rPr>
                <w:rFonts w:cs="Times New Roman"/>
                <w:i/>
                <w:iCs/>
                <w:kern w:val="0"/>
                <w:sz w:val="21"/>
                <w:szCs w:val="21"/>
                <w:lang w:bidi="ar"/>
              </w:rPr>
              <w:t>Egretta intermedia</w:t>
            </w:r>
          </w:p>
        </w:tc>
        <w:tc>
          <w:tcPr>
            <w:tcW w:w="2246" w:type="dxa"/>
            <w:tcBorders>
              <w:top w:val="single" w:color="000000" w:sz="4" w:space="0"/>
              <w:left w:val="single" w:color="000000" w:sz="4" w:space="0"/>
              <w:bottom w:val="single" w:color="000000" w:sz="4" w:space="0"/>
              <w:right w:val="single" w:color="000000" w:sz="4" w:space="0"/>
            </w:tcBorders>
            <w:vAlign w:val="center"/>
          </w:tcPr>
          <w:p w14:paraId="782D8BBA">
            <w:pPr>
              <w:widowControl/>
              <w:spacing w:line="240" w:lineRule="auto"/>
              <w:ind w:firstLine="0" w:firstLineChars="0"/>
              <w:jc w:val="center"/>
              <w:rPr>
                <w:rFonts w:cs="Times New Roman"/>
                <w:kern w:val="0"/>
                <w:szCs w:val="21"/>
              </w:rPr>
            </w:pPr>
            <w:r>
              <w:rPr>
                <w:rFonts w:cs="Times New Roman"/>
                <w:kern w:val="0"/>
                <w:sz w:val="21"/>
                <w:szCs w:val="21"/>
                <w:lang w:bidi="ar"/>
              </w:rPr>
              <w:t>稻田、湖泊、沼泽、滩涂</w:t>
            </w:r>
          </w:p>
        </w:tc>
        <w:tc>
          <w:tcPr>
            <w:tcW w:w="1093" w:type="dxa"/>
            <w:tcBorders>
              <w:top w:val="single" w:color="000000" w:sz="4" w:space="0"/>
              <w:left w:val="single" w:color="000000" w:sz="4" w:space="0"/>
              <w:bottom w:val="single" w:color="000000" w:sz="4" w:space="0"/>
              <w:right w:val="single" w:color="000000" w:sz="4" w:space="0"/>
            </w:tcBorders>
            <w:vAlign w:val="center"/>
          </w:tcPr>
          <w:p w14:paraId="06565CC1">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349DD0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05E9F94A">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7C0D4FFD">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25C2A163">
            <w:pPr>
              <w:widowControl/>
              <w:spacing w:line="240" w:lineRule="auto"/>
              <w:ind w:firstLine="0" w:firstLineChars="0"/>
              <w:jc w:val="left"/>
              <w:rPr>
                <w:rFonts w:cs="Times New Roman"/>
                <w:kern w:val="0"/>
                <w:szCs w:val="21"/>
              </w:rPr>
            </w:pPr>
            <w:r>
              <w:rPr>
                <w:rFonts w:cs="Times New Roman"/>
                <w:kern w:val="0"/>
                <w:sz w:val="21"/>
                <w:szCs w:val="21"/>
                <w:lang w:bidi="ar"/>
              </w:rPr>
              <w:t xml:space="preserve">大白鹭 </w:t>
            </w:r>
            <w:r>
              <w:rPr>
                <w:rFonts w:cs="Times New Roman"/>
                <w:i/>
                <w:iCs/>
                <w:kern w:val="0"/>
                <w:sz w:val="21"/>
                <w:szCs w:val="21"/>
                <w:lang w:bidi="ar"/>
              </w:rPr>
              <w:t>Casmerodius albus</w:t>
            </w:r>
          </w:p>
        </w:tc>
        <w:tc>
          <w:tcPr>
            <w:tcW w:w="2246" w:type="dxa"/>
            <w:tcBorders>
              <w:top w:val="single" w:color="000000" w:sz="4" w:space="0"/>
              <w:left w:val="single" w:color="000000" w:sz="4" w:space="0"/>
              <w:bottom w:val="single" w:color="000000" w:sz="4" w:space="0"/>
              <w:right w:val="single" w:color="000000" w:sz="4" w:space="0"/>
            </w:tcBorders>
            <w:vAlign w:val="center"/>
          </w:tcPr>
          <w:p w14:paraId="36B60BD6">
            <w:pPr>
              <w:widowControl/>
              <w:spacing w:line="240" w:lineRule="auto"/>
              <w:ind w:firstLine="0" w:firstLineChars="0"/>
              <w:jc w:val="center"/>
              <w:rPr>
                <w:rFonts w:cs="Times New Roman"/>
                <w:kern w:val="0"/>
                <w:szCs w:val="21"/>
              </w:rPr>
            </w:pPr>
            <w:r>
              <w:rPr>
                <w:rFonts w:cs="Times New Roman"/>
                <w:kern w:val="0"/>
                <w:sz w:val="21"/>
                <w:szCs w:val="21"/>
                <w:lang w:bidi="ar"/>
              </w:rPr>
              <w:t>稻田、湖泊、沼泽、滩涂</w:t>
            </w:r>
          </w:p>
        </w:tc>
        <w:tc>
          <w:tcPr>
            <w:tcW w:w="1093" w:type="dxa"/>
            <w:tcBorders>
              <w:top w:val="single" w:color="000000" w:sz="4" w:space="0"/>
              <w:left w:val="single" w:color="000000" w:sz="4" w:space="0"/>
              <w:bottom w:val="single" w:color="000000" w:sz="4" w:space="0"/>
              <w:right w:val="single" w:color="000000" w:sz="4" w:space="0"/>
            </w:tcBorders>
            <w:vAlign w:val="center"/>
          </w:tcPr>
          <w:p w14:paraId="00F0E56A">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2BCEEE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255D3269">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0363A606">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20E4F508">
            <w:pPr>
              <w:widowControl/>
              <w:spacing w:line="240" w:lineRule="auto"/>
              <w:ind w:firstLine="0" w:firstLineChars="0"/>
              <w:jc w:val="left"/>
              <w:rPr>
                <w:rFonts w:cs="Times New Roman"/>
                <w:kern w:val="0"/>
                <w:szCs w:val="21"/>
              </w:rPr>
            </w:pPr>
            <w:r>
              <w:rPr>
                <w:rFonts w:cs="Times New Roman"/>
                <w:kern w:val="0"/>
                <w:sz w:val="21"/>
                <w:szCs w:val="21"/>
                <w:lang w:bidi="ar"/>
              </w:rPr>
              <w:t xml:space="preserve">牛背鹭 </w:t>
            </w:r>
            <w:r>
              <w:rPr>
                <w:rFonts w:cs="Times New Roman"/>
                <w:i/>
                <w:iCs/>
                <w:kern w:val="0"/>
                <w:sz w:val="21"/>
                <w:szCs w:val="21"/>
                <w:lang w:bidi="ar"/>
              </w:rPr>
              <w:t>Bubulcus ibis</w:t>
            </w:r>
          </w:p>
        </w:tc>
        <w:tc>
          <w:tcPr>
            <w:tcW w:w="2246" w:type="dxa"/>
            <w:tcBorders>
              <w:top w:val="single" w:color="000000" w:sz="4" w:space="0"/>
              <w:left w:val="single" w:color="000000" w:sz="4" w:space="0"/>
              <w:bottom w:val="single" w:color="000000" w:sz="4" w:space="0"/>
              <w:right w:val="single" w:color="000000" w:sz="4" w:space="0"/>
            </w:tcBorders>
            <w:vAlign w:val="center"/>
          </w:tcPr>
          <w:p w14:paraId="0A99029F">
            <w:pPr>
              <w:widowControl/>
              <w:spacing w:line="240" w:lineRule="auto"/>
              <w:ind w:firstLine="0" w:firstLineChars="0"/>
              <w:jc w:val="center"/>
              <w:rPr>
                <w:rFonts w:cs="Times New Roman"/>
                <w:kern w:val="0"/>
                <w:szCs w:val="21"/>
              </w:rPr>
            </w:pPr>
            <w:r>
              <w:rPr>
                <w:rFonts w:cs="Times New Roman"/>
                <w:kern w:val="0"/>
                <w:sz w:val="21"/>
                <w:szCs w:val="21"/>
                <w:lang w:bidi="ar"/>
              </w:rPr>
              <w:t>沼泽、稻田</w:t>
            </w:r>
          </w:p>
        </w:tc>
        <w:tc>
          <w:tcPr>
            <w:tcW w:w="1093" w:type="dxa"/>
            <w:tcBorders>
              <w:top w:val="single" w:color="000000" w:sz="4" w:space="0"/>
              <w:left w:val="single" w:color="000000" w:sz="4" w:space="0"/>
              <w:bottom w:val="single" w:color="000000" w:sz="4" w:space="0"/>
              <w:right w:val="single" w:color="000000" w:sz="4" w:space="0"/>
            </w:tcBorders>
            <w:vAlign w:val="center"/>
          </w:tcPr>
          <w:p w14:paraId="2B064D44">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4781E4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3C903238">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02E37257">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6AA62342">
            <w:pPr>
              <w:widowControl/>
              <w:spacing w:line="240" w:lineRule="auto"/>
              <w:ind w:firstLine="0" w:firstLineChars="0"/>
              <w:jc w:val="left"/>
              <w:rPr>
                <w:rFonts w:cs="Times New Roman"/>
                <w:kern w:val="0"/>
                <w:szCs w:val="21"/>
              </w:rPr>
            </w:pPr>
            <w:r>
              <w:rPr>
                <w:rFonts w:cs="Times New Roman"/>
                <w:kern w:val="0"/>
                <w:sz w:val="21"/>
                <w:szCs w:val="21"/>
                <w:lang w:bidi="ar"/>
              </w:rPr>
              <w:t xml:space="preserve">池鹭 </w:t>
            </w:r>
            <w:r>
              <w:rPr>
                <w:rFonts w:cs="Times New Roman"/>
                <w:i/>
                <w:iCs/>
                <w:kern w:val="0"/>
                <w:sz w:val="21"/>
                <w:szCs w:val="21"/>
                <w:lang w:bidi="ar"/>
              </w:rPr>
              <w:t>Ardeola bacchus</w:t>
            </w:r>
          </w:p>
        </w:tc>
        <w:tc>
          <w:tcPr>
            <w:tcW w:w="2246" w:type="dxa"/>
            <w:tcBorders>
              <w:top w:val="single" w:color="000000" w:sz="4" w:space="0"/>
              <w:left w:val="single" w:color="000000" w:sz="4" w:space="0"/>
              <w:bottom w:val="single" w:color="000000" w:sz="4" w:space="0"/>
              <w:right w:val="single" w:color="000000" w:sz="4" w:space="0"/>
            </w:tcBorders>
            <w:vAlign w:val="center"/>
          </w:tcPr>
          <w:p w14:paraId="02A388E7">
            <w:pPr>
              <w:widowControl/>
              <w:spacing w:line="240" w:lineRule="auto"/>
              <w:ind w:firstLine="0" w:firstLineChars="0"/>
              <w:jc w:val="center"/>
              <w:rPr>
                <w:rFonts w:cs="Times New Roman"/>
                <w:kern w:val="0"/>
                <w:szCs w:val="21"/>
              </w:rPr>
            </w:pPr>
            <w:r>
              <w:rPr>
                <w:rFonts w:cs="Times New Roman"/>
                <w:kern w:val="0"/>
                <w:sz w:val="21"/>
                <w:szCs w:val="21"/>
                <w:lang w:bidi="ar"/>
              </w:rPr>
              <w:t>池塘、沼泽、稻田</w:t>
            </w:r>
          </w:p>
        </w:tc>
        <w:tc>
          <w:tcPr>
            <w:tcW w:w="1093" w:type="dxa"/>
            <w:tcBorders>
              <w:top w:val="single" w:color="000000" w:sz="4" w:space="0"/>
              <w:left w:val="single" w:color="000000" w:sz="4" w:space="0"/>
              <w:bottom w:val="single" w:color="000000" w:sz="4" w:space="0"/>
              <w:right w:val="single" w:color="000000" w:sz="4" w:space="0"/>
            </w:tcBorders>
            <w:vAlign w:val="center"/>
          </w:tcPr>
          <w:p w14:paraId="56C7BBF1">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44BFC1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5D39D575">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0EBEE1C4">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4BE7E422">
            <w:pPr>
              <w:widowControl/>
              <w:spacing w:line="240" w:lineRule="auto"/>
              <w:ind w:firstLine="0" w:firstLineChars="0"/>
              <w:jc w:val="left"/>
              <w:rPr>
                <w:rFonts w:cs="Times New Roman"/>
                <w:kern w:val="0"/>
                <w:szCs w:val="21"/>
              </w:rPr>
            </w:pPr>
            <w:r>
              <w:rPr>
                <w:rFonts w:cs="Times New Roman"/>
                <w:kern w:val="0"/>
                <w:sz w:val="21"/>
                <w:szCs w:val="21"/>
                <w:lang w:bidi="ar"/>
              </w:rPr>
              <w:t xml:space="preserve">绿鹭 </w:t>
            </w:r>
            <w:r>
              <w:rPr>
                <w:rFonts w:cs="Times New Roman"/>
                <w:i/>
                <w:iCs/>
                <w:kern w:val="0"/>
                <w:sz w:val="21"/>
                <w:szCs w:val="21"/>
                <w:lang w:bidi="ar"/>
              </w:rPr>
              <w:t>Butorides striatus</w:t>
            </w:r>
          </w:p>
        </w:tc>
        <w:tc>
          <w:tcPr>
            <w:tcW w:w="2246" w:type="dxa"/>
            <w:tcBorders>
              <w:top w:val="single" w:color="000000" w:sz="4" w:space="0"/>
              <w:left w:val="single" w:color="000000" w:sz="4" w:space="0"/>
              <w:bottom w:val="single" w:color="000000" w:sz="4" w:space="0"/>
              <w:right w:val="single" w:color="000000" w:sz="4" w:space="0"/>
            </w:tcBorders>
            <w:vAlign w:val="center"/>
          </w:tcPr>
          <w:p w14:paraId="1A27D494">
            <w:pPr>
              <w:widowControl/>
              <w:spacing w:line="240" w:lineRule="auto"/>
              <w:ind w:firstLine="0" w:firstLineChars="0"/>
              <w:jc w:val="center"/>
              <w:rPr>
                <w:rFonts w:cs="Times New Roman"/>
                <w:kern w:val="0"/>
                <w:szCs w:val="21"/>
              </w:rPr>
            </w:pPr>
            <w:r>
              <w:rPr>
                <w:rFonts w:cs="Times New Roman"/>
                <w:kern w:val="0"/>
                <w:sz w:val="21"/>
                <w:szCs w:val="21"/>
                <w:lang w:bidi="ar"/>
              </w:rPr>
              <w:t>山间溪流、湖泊、滩涂</w:t>
            </w:r>
          </w:p>
        </w:tc>
        <w:tc>
          <w:tcPr>
            <w:tcW w:w="1093" w:type="dxa"/>
            <w:tcBorders>
              <w:top w:val="single" w:color="000000" w:sz="4" w:space="0"/>
              <w:left w:val="single" w:color="000000" w:sz="4" w:space="0"/>
              <w:bottom w:val="single" w:color="000000" w:sz="4" w:space="0"/>
              <w:right w:val="single" w:color="000000" w:sz="4" w:space="0"/>
            </w:tcBorders>
            <w:vAlign w:val="center"/>
          </w:tcPr>
          <w:p w14:paraId="0512FEA5">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6889EE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0B69897E">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6ACC5A8C">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3CBA9A68">
            <w:pPr>
              <w:widowControl/>
              <w:spacing w:line="240" w:lineRule="auto"/>
              <w:ind w:firstLine="0" w:firstLineChars="0"/>
              <w:jc w:val="left"/>
              <w:rPr>
                <w:rFonts w:cs="Times New Roman"/>
                <w:kern w:val="0"/>
                <w:szCs w:val="21"/>
              </w:rPr>
            </w:pPr>
            <w:r>
              <w:rPr>
                <w:rFonts w:cs="Times New Roman"/>
                <w:kern w:val="0"/>
                <w:sz w:val="21"/>
                <w:szCs w:val="21"/>
                <w:lang w:bidi="ar"/>
              </w:rPr>
              <w:t xml:space="preserve">夜鹭 Nycticorax </w:t>
            </w:r>
            <w:r>
              <w:rPr>
                <w:rFonts w:cs="Times New Roman"/>
                <w:i/>
                <w:iCs/>
                <w:kern w:val="0"/>
                <w:sz w:val="21"/>
                <w:szCs w:val="21"/>
                <w:lang w:bidi="ar"/>
              </w:rPr>
              <w:t>nycticorax</w:t>
            </w:r>
          </w:p>
        </w:tc>
        <w:tc>
          <w:tcPr>
            <w:tcW w:w="2246" w:type="dxa"/>
            <w:tcBorders>
              <w:top w:val="single" w:color="000000" w:sz="4" w:space="0"/>
              <w:left w:val="single" w:color="000000" w:sz="4" w:space="0"/>
              <w:bottom w:val="single" w:color="000000" w:sz="4" w:space="0"/>
              <w:right w:val="single" w:color="000000" w:sz="4" w:space="0"/>
            </w:tcBorders>
            <w:vAlign w:val="center"/>
          </w:tcPr>
          <w:p w14:paraId="5DC250D6">
            <w:pPr>
              <w:widowControl/>
              <w:spacing w:line="240" w:lineRule="auto"/>
              <w:ind w:firstLine="0" w:firstLineChars="0"/>
              <w:jc w:val="center"/>
              <w:rPr>
                <w:rFonts w:cs="Times New Roman"/>
                <w:kern w:val="0"/>
                <w:szCs w:val="21"/>
              </w:rPr>
            </w:pPr>
            <w:r>
              <w:rPr>
                <w:rFonts w:cs="Times New Roman"/>
                <w:kern w:val="0"/>
                <w:sz w:val="21"/>
                <w:szCs w:val="21"/>
                <w:lang w:bidi="ar"/>
              </w:rPr>
              <w:t>农田、河坝、池塘、沼泽</w:t>
            </w:r>
          </w:p>
        </w:tc>
        <w:tc>
          <w:tcPr>
            <w:tcW w:w="1093" w:type="dxa"/>
            <w:tcBorders>
              <w:top w:val="single" w:color="000000" w:sz="4" w:space="0"/>
              <w:left w:val="single" w:color="000000" w:sz="4" w:space="0"/>
              <w:bottom w:val="single" w:color="000000" w:sz="4" w:space="0"/>
              <w:right w:val="single" w:color="000000" w:sz="4" w:space="0"/>
            </w:tcBorders>
            <w:vAlign w:val="center"/>
          </w:tcPr>
          <w:p w14:paraId="02A3FF68">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28CEEE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0E842E4B">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7FF09EDA">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4D0B0675">
            <w:pPr>
              <w:widowControl/>
              <w:spacing w:line="240" w:lineRule="auto"/>
              <w:ind w:firstLine="0" w:firstLineChars="0"/>
              <w:jc w:val="left"/>
              <w:rPr>
                <w:rFonts w:cs="Times New Roman"/>
                <w:kern w:val="0"/>
                <w:szCs w:val="21"/>
              </w:rPr>
            </w:pPr>
            <w:r>
              <w:rPr>
                <w:rFonts w:cs="Times New Roman"/>
                <w:kern w:val="0"/>
                <w:sz w:val="21"/>
                <w:szCs w:val="21"/>
                <w:lang w:bidi="ar"/>
              </w:rPr>
              <w:t xml:space="preserve">黄苇鳽 </w:t>
            </w:r>
            <w:r>
              <w:rPr>
                <w:rFonts w:cs="Times New Roman"/>
                <w:i/>
                <w:iCs/>
                <w:kern w:val="0"/>
                <w:sz w:val="21"/>
                <w:szCs w:val="21"/>
                <w:lang w:bidi="ar"/>
              </w:rPr>
              <w:t>Ixobrychus sinensis</w:t>
            </w:r>
          </w:p>
        </w:tc>
        <w:tc>
          <w:tcPr>
            <w:tcW w:w="2246" w:type="dxa"/>
            <w:tcBorders>
              <w:top w:val="single" w:color="000000" w:sz="4" w:space="0"/>
              <w:left w:val="single" w:color="000000" w:sz="4" w:space="0"/>
              <w:bottom w:val="single" w:color="000000" w:sz="4" w:space="0"/>
              <w:right w:val="single" w:color="000000" w:sz="4" w:space="0"/>
            </w:tcBorders>
            <w:vAlign w:val="center"/>
          </w:tcPr>
          <w:p w14:paraId="3B039AAF">
            <w:pPr>
              <w:widowControl/>
              <w:spacing w:line="240" w:lineRule="auto"/>
              <w:ind w:firstLine="0" w:firstLineChars="0"/>
              <w:jc w:val="center"/>
              <w:rPr>
                <w:rFonts w:cs="Times New Roman"/>
                <w:kern w:val="0"/>
                <w:szCs w:val="21"/>
              </w:rPr>
            </w:pPr>
            <w:r>
              <w:rPr>
                <w:rFonts w:cs="Times New Roman"/>
                <w:kern w:val="0"/>
                <w:sz w:val="21"/>
                <w:szCs w:val="21"/>
                <w:lang w:bidi="ar"/>
              </w:rPr>
              <w:t>稻田、河湖水边</w:t>
            </w:r>
          </w:p>
        </w:tc>
        <w:tc>
          <w:tcPr>
            <w:tcW w:w="1093" w:type="dxa"/>
            <w:tcBorders>
              <w:top w:val="single" w:color="000000" w:sz="4" w:space="0"/>
              <w:left w:val="single" w:color="000000" w:sz="4" w:space="0"/>
              <w:bottom w:val="single" w:color="000000" w:sz="4" w:space="0"/>
              <w:right w:val="single" w:color="000000" w:sz="4" w:space="0"/>
            </w:tcBorders>
            <w:vAlign w:val="center"/>
          </w:tcPr>
          <w:p w14:paraId="1451FFCC">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05BEAB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25AF094D">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4704A776">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18994791">
            <w:pPr>
              <w:widowControl/>
              <w:spacing w:line="240" w:lineRule="auto"/>
              <w:ind w:firstLine="0" w:firstLineChars="0"/>
              <w:jc w:val="left"/>
              <w:rPr>
                <w:rFonts w:cs="Times New Roman"/>
                <w:kern w:val="0"/>
                <w:szCs w:val="21"/>
              </w:rPr>
            </w:pPr>
            <w:r>
              <w:rPr>
                <w:rFonts w:cs="Times New Roman"/>
                <w:kern w:val="0"/>
                <w:sz w:val="21"/>
                <w:szCs w:val="21"/>
                <w:lang w:bidi="ar"/>
              </w:rPr>
              <w:t xml:space="preserve">栗苇鳽 </w:t>
            </w:r>
            <w:r>
              <w:rPr>
                <w:rFonts w:cs="Times New Roman"/>
                <w:i/>
                <w:iCs/>
                <w:kern w:val="0"/>
                <w:sz w:val="21"/>
                <w:szCs w:val="21"/>
                <w:lang w:bidi="ar"/>
              </w:rPr>
              <w:t>Ixobrychus cinnamomeus</w:t>
            </w:r>
          </w:p>
        </w:tc>
        <w:tc>
          <w:tcPr>
            <w:tcW w:w="2246" w:type="dxa"/>
            <w:tcBorders>
              <w:top w:val="single" w:color="000000" w:sz="4" w:space="0"/>
              <w:left w:val="single" w:color="000000" w:sz="4" w:space="0"/>
              <w:bottom w:val="single" w:color="000000" w:sz="4" w:space="0"/>
              <w:right w:val="single" w:color="000000" w:sz="4" w:space="0"/>
            </w:tcBorders>
            <w:vAlign w:val="center"/>
          </w:tcPr>
          <w:p w14:paraId="4B5B3627">
            <w:pPr>
              <w:widowControl/>
              <w:spacing w:line="240" w:lineRule="auto"/>
              <w:ind w:firstLine="0" w:firstLineChars="0"/>
              <w:jc w:val="center"/>
              <w:rPr>
                <w:rFonts w:cs="Times New Roman"/>
                <w:kern w:val="0"/>
                <w:szCs w:val="21"/>
              </w:rPr>
            </w:pPr>
            <w:r>
              <w:rPr>
                <w:rFonts w:cs="Times New Roman"/>
                <w:kern w:val="0"/>
                <w:sz w:val="21"/>
                <w:szCs w:val="21"/>
                <w:lang w:bidi="ar"/>
              </w:rPr>
              <w:t>沼泽、稻田</w:t>
            </w:r>
          </w:p>
        </w:tc>
        <w:tc>
          <w:tcPr>
            <w:tcW w:w="1093" w:type="dxa"/>
            <w:tcBorders>
              <w:top w:val="single" w:color="000000" w:sz="4" w:space="0"/>
              <w:left w:val="single" w:color="000000" w:sz="4" w:space="0"/>
              <w:bottom w:val="single" w:color="000000" w:sz="4" w:space="0"/>
              <w:right w:val="single" w:color="000000" w:sz="4" w:space="0"/>
            </w:tcBorders>
            <w:vAlign w:val="center"/>
          </w:tcPr>
          <w:p w14:paraId="05396404">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16FA06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7ED4493F">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310B01C7">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0E500DEE">
            <w:pPr>
              <w:widowControl/>
              <w:spacing w:line="240" w:lineRule="auto"/>
              <w:ind w:firstLine="0" w:firstLineChars="0"/>
              <w:jc w:val="left"/>
              <w:rPr>
                <w:rFonts w:cs="Times New Roman"/>
                <w:kern w:val="0"/>
                <w:szCs w:val="21"/>
              </w:rPr>
            </w:pPr>
            <w:r>
              <w:rPr>
                <w:rFonts w:cs="Times New Roman"/>
                <w:kern w:val="0"/>
                <w:sz w:val="21"/>
                <w:szCs w:val="21"/>
                <w:lang w:bidi="ar"/>
              </w:rPr>
              <w:t xml:space="preserve">黑鳽 </w:t>
            </w:r>
            <w:r>
              <w:rPr>
                <w:rFonts w:cs="Times New Roman"/>
                <w:i/>
                <w:iCs/>
                <w:kern w:val="0"/>
                <w:sz w:val="21"/>
                <w:szCs w:val="21"/>
                <w:lang w:bidi="ar"/>
              </w:rPr>
              <w:t>Dupetor flavicollis</w:t>
            </w:r>
          </w:p>
        </w:tc>
        <w:tc>
          <w:tcPr>
            <w:tcW w:w="2246" w:type="dxa"/>
            <w:tcBorders>
              <w:top w:val="single" w:color="000000" w:sz="4" w:space="0"/>
              <w:left w:val="single" w:color="000000" w:sz="4" w:space="0"/>
              <w:bottom w:val="single" w:color="000000" w:sz="4" w:space="0"/>
              <w:right w:val="single" w:color="000000" w:sz="4" w:space="0"/>
            </w:tcBorders>
            <w:vAlign w:val="center"/>
          </w:tcPr>
          <w:p w14:paraId="303326BF">
            <w:pPr>
              <w:widowControl/>
              <w:spacing w:line="240" w:lineRule="auto"/>
              <w:ind w:firstLine="0" w:firstLineChars="0"/>
              <w:jc w:val="center"/>
              <w:rPr>
                <w:rFonts w:cs="Times New Roman"/>
                <w:kern w:val="0"/>
                <w:szCs w:val="21"/>
              </w:rPr>
            </w:pPr>
            <w:r>
              <w:rPr>
                <w:rFonts w:cs="Times New Roman"/>
                <w:kern w:val="0"/>
                <w:sz w:val="21"/>
                <w:szCs w:val="21"/>
                <w:lang w:bidi="ar"/>
              </w:rPr>
              <w:t>沼泽、滩涂</w:t>
            </w:r>
          </w:p>
        </w:tc>
        <w:tc>
          <w:tcPr>
            <w:tcW w:w="1093" w:type="dxa"/>
            <w:tcBorders>
              <w:top w:val="single" w:color="000000" w:sz="4" w:space="0"/>
              <w:left w:val="single" w:color="000000" w:sz="4" w:space="0"/>
              <w:bottom w:val="single" w:color="000000" w:sz="4" w:space="0"/>
              <w:right w:val="single" w:color="000000" w:sz="4" w:space="0"/>
            </w:tcBorders>
            <w:vAlign w:val="center"/>
          </w:tcPr>
          <w:p w14:paraId="35624B93">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778818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restart"/>
            <w:tcBorders>
              <w:top w:val="single" w:color="000000" w:sz="4" w:space="0"/>
              <w:left w:val="single" w:color="000000" w:sz="4" w:space="0"/>
              <w:bottom w:val="single" w:color="000000" w:sz="4" w:space="0"/>
              <w:right w:val="single" w:color="000000" w:sz="4" w:space="0"/>
            </w:tcBorders>
            <w:vAlign w:val="center"/>
          </w:tcPr>
          <w:p w14:paraId="10CE4913">
            <w:pPr>
              <w:widowControl/>
              <w:spacing w:line="240" w:lineRule="auto"/>
              <w:ind w:firstLine="0" w:firstLineChars="0"/>
              <w:jc w:val="center"/>
              <w:rPr>
                <w:rFonts w:cs="Times New Roman"/>
                <w:kern w:val="0"/>
                <w:szCs w:val="21"/>
              </w:rPr>
            </w:pPr>
            <w:r>
              <w:rPr>
                <w:rFonts w:cs="Times New Roman"/>
                <w:kern w:val="0"/>
                <w:sz w:val="21"/>
                <w:szCs w:val="21"/>
                <w:lang w:bidi="ar"/>
              </w:rPr>
              <w:t>雁形目</w:t>
            </w:r>
          </w:p>
        </w:tc>
        <w:tc>
          <w:tcPr>
            <w:tcW w:w="850" w:type="dxa"/>
            <w:vMerge w:val="restart"/>
            <w:tcBorders>
              <w:top w:val="single" w:color="000000" w:sz="4" w:space="0"/>
              <w:left w:val="single" w:color="000000" w:sz="4" w:space="0"/>
              <w:bottom w:val="single" w:color="000000" w:sz="4" w:space="0"/>
              <w:right w:val="single" w:color="000000" w:sz="4" w:space="0"/>
            </w:tcBorders>
            <w:vAlign w:val="center"/>
          </w:tcPr>
          <w:p w14:paraId="54D61B7E">
            <w:pPr>
              <w:widowControl/>
              <w:spacing w:line="240" w:lineRule="auto"/>
              <w:ind w:firstLine="0" w:firstLineChars="0"/>
              <w:jc w:val="center"/>
              <w:rPr>
                <w:rFonts w:cs="Times New Roman"/>
                <w:kern w:val="0"/>
                <w:szCs w:val="21"/>
              </w:rPr>
            </w:pPr>
            <w:r>
              <w:rPr>
                <w:rFonts w:cs="Times New Roman"/>
                <w:kern w:val="0"/>
                <w:sz w:val="21"/>
                <w:szCs w:val="21"/>
                <w:lang w:bidi="ar"/>
              </w:rPr>
              <w:t>鸭科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34E99674">
            <w:pPr>
              <w:widowControl/>
              <w:spacing w:line="240" w:lineRule="auto"/>
              <w:ind w:firstLine="0" w:firstLineChars="0"/>
              <w:jc w:val="left"/>
              <w:rPr>
                <w:rFonts w:cs="Times New Roman"/>
                <w:kern w:val="0"/>
                <w:szCs w:val="21"/>
              </w:rPr>
            </w:pPr>
            <w:r>
              <w:rPr>
                <w:rFonts w:cs="Times New Roman"/>
                <w:kern w:val="0"/>
                <w:sz w:val="21"/>
                <w:szCs w:val="21"/>
                <w:lang w:bidi="ar"/>
              </w:rPr>
              <w:t xml:space="preserve">赤麻鸭 </w:t>
            </w:r>
            <w:r>
              <w:rPr>
                <w:rFonts w:cs="Times New Roman"/>
                <w:i/>
                <w:iCs/>
                <w:kern w:val="0"/>
                <w:sz w:val="21"/>
                <w:szCs w:val="21"/>
                <w:lang w:bidi="ar"/>
              </w:rPr>
              <w:t>Tadorna ferruginea</w:t>
            </w:r>
          </w:p>
        </w:tc>
        <w:tc>
          <w:tcPr>
            <w:tcW w:w="2246" w:type="dxa"/>
            <w:tcBorders>
              <w:top w:val="single" w:color="000000" w:sz="4" w:space="0"/>
              <w:left w:val="single" w:color="000000" w:sz="4" w:space="0"/>
              <w:bottom w:val="single" w:color="000000" w:sz="4" w:space="0"/>
              <w:right w:val="single" w:color="000000" w:sz="4" w:space="0"/>
            </w:tcBorders>
            <w:vAlign w:val="center"/>
          </w:tcPr>
          <w:p w14:paraId="003DA647">
            <w:pPr>
              <w:widowControl/>
              <w:spacing w:line="240" w:lineRule="auto"/>
              <w:ind w:firstLine="0" w:firstLineChars="0"/>
              <w:jc w:val="center"/>
              <w:rPr>
                <w:rFonts w:cs="Times New Roman"/>
                <w:kern w:val="0"/>
                <w:szCs w:val="21"/>
              </w:rPr>
            </w:pPr>
            <w:r>
              <w:rPr>
                <w:rFonts w:cs="Times New Roman"/>
                <w:kern w:val="0"/>
                <w:sz w:val="21"/>
                <w:szCs w:val="21"/>
                <w:lang w:bidi="ar"/>
              </w:rPr>
              <w:t>湖泊、河流</w:t>
            </w:r>
          </w:p>
        </w:tc>
        <w:tc>
          <w:tcPr>
            <w:tcW w:w="1093" w:type="dxa"/>
            <w:tcBorders>
              <w:top w:val="single" w:color="000000" w:sz="4" w:space="0"/>
              <w:left w:val="single" w:color="000000" w:sz="4" w:space="0"/>
              <w:bottom w:val="single" w:color="000000" w:sz="4" w:space="0"/>
              <w:right w:val="single" w:color="000000" w:sz="4" w:space="0"/>
            </w:tcBorders>
            <w:vAlign w:val="center"/>
          </w:tcPr>
          <w:p w14:paraId="5820A5DE">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02EE74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3B289E90">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2057C6D1">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627304DC">
            <w:pPr>
              <w:widowControl/>
              <w:spacing w:line="240" w:lineRule="auto"/>
              <w:ind w:firstLine="0" w:firstLineChars="0"/>
              <w:jc w:val="left"/>
              <w:rPr>
                <w:rFonts w:cs="Times New Roman"/>
                <w:kern w:val="0"/>
                <w:szCs w:val="21"/>
              </w:rPr>
            </w:pPr>
            <w:r>
              <w:rPr>
                <w:rFonts w:cs="Times New Roman"/>
                <w:kern w:val="0"/>
                <w:sz w:val="21"/>
                <w:szCs w:val="21"/>
                <w:lang w:bidi="ar"/>
              </w:rPr>
              <w:t xml:space="preserve">罗纹鸭 </w:t>
            </w:r>
            <w:r>
              <w:rPr>
                <w:rFonts w:cs="Times New Roman"/>
                <w:i/>
                <w:iCs/>
                <w:kern w:val="0"/>
                <w:sz w:val="21"/>
                <w:szCs w:val="21"/>
                <w:lang w:bidi="ar"/>
              </w:rPr>
              <w:t>Anas falcate</w:t>
            </w:r>
          </w:p>
        </w:tc>
        <w:tc>
          <w:tcPr>
            <w:tcW w:w="2246" w:type="dxa"/>
            <w:tcBorders>
              <w:top w:val="single" w:color="000000" w:sz="4" w:space="0"/>
              <w:left w:val="single" w:color="000000" w:sz="4" w:space="0"/>
              <w:bottom w:val="single" w:color="000000" w:sz="4" w:space="0"/>
              <w:right w:val="single" w:color="000000" w:sz="4" w:space="0"/>
            </w:tcBorders>
            <w:vAlign w:val="center"/>
          </w:tcPr>
          <w:p w14:paraId="718E49F4">
            <w:pPr>
              <w:widowControl/>
              <w:spacing w:line="240" w:lineRule="auto"/>
              <w:ind w:firstLine="0" w:firstLineChars="0"/>
              <w:jc w:val="center"/>
              <w:rPr>
                <w:rFonts w:cs="Times New Roman"/>
                <w:kern w:val="0"/>
                <w:szCs w:val="21"/>
              </w:rPr>
            </w:pPr>
            <w:r>
              <w:rPr>
                <w:rFonts w:cs="Times New Roman"/>
                <w:kern w:val="0"/>
                <w:sz w:val="21"/>
                <w:szCs w:val="21"/>
                <w:lang w:bidi="ar"/>
              </w:rPr>
              <w:t>湖泊、河流</w:t>
            </w:r>
          </w:p>
        </w:tc>
        <w:tc>
          <w:tcPr>
            <w:tcW w:w="1093" w:type="dxa"/>
            <w:tcBorders>
              <w:top w:val="single" w:color="000000" w:sz="4" w:space="0"/>
              <w:left w:val="single" w:color="000000" w:sz="4" w:space="0"/>
              <w:bottom w:val="single" w:color="000000" w:sz="4" w:space="0"/>
              <w:right w:val="single" w:color="000000" w:sz="4" w:space="0"/>
            </w:tcBorders>
            <w:vAlign w:val="center"/>
          </w:tcPr>
          <w:p w14:paraId="7AB81444">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489262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10E53B95">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452B8837">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32158298">
            <w:pPr>
              <w:widowControl/>
              <w:spacing w:line="240" w:lineRule="auto"/>
              <w:ind w:firstLine="0" w:firstLineChars="0"/>
              <w:jc w:val="left"/>
              <w:rPr>
                <w:rFonts w:cs="Times New Roman"/>
                <w:kern w:val="0"/>
                <w:szCs w:val="21"/>
              </w:rPr>
            </w:pPr>
            <w:r>
              <w:rPr>
                <w:rFonts w:cs="Times New Roman"/>
                <w:kern w:val="0"/>
                <w:sz w:val="21"/>
                <w:szCs w:val="21"/>
                <w:lang w:bidi="ar"/>
              </w:rPr>
              <w:t xml:space="preserve">赤颈鸭 </w:t>
            </w:r>
            <w:r>
              <w:rPr>
                <w:rFonts w:cs="Times New Roman"/>
                <w:i/>
                <w:iCs/>
                <w:kern w:val="0"/>
                <w:sz w:val="21"/>
                <w:szCs w:val="21"/>
                <w:lang w:bidi="ar"/>
              </w:rPr>
              <w:t>Anas penelope</w:t>
            </w:r>
          </w:p>
        </w:tc>
        <w:tc>
          <w:tcPr>
            <w:tcW w:w="2246" w:type="dxa"/>
            <w:tcBorders>
              <w:top w:val="single" w:color="000000" w:sz="4" w:space="0"/>
              <w:left w:val="single" w:color="000000" w:sz="4" w:space="0"/>
              <w:bottom w:val="single" w:color="000000" w:sz="4" w:space="0"/>
              <w:right w:val="single" w:color="000000" w:sz="4" w:space="0"/>
            </w:tcBorders>
            <w:vAlign w:val="center"/>
          </w:tcPr>
          <w:p w14:paraId="7E3FC82C">
            <w:pPr>
              <w:widowControl/>
              <w:spacing w:line="240" w:lineRule="auto"/>
              <w:ind w:firstLine="0" w:firstLineChars="0"/>
              <w:jc w:val="center"/>
              <w:rPr>
                <w:rFonts w:cs="Times New Roman"/>
                <w:kern w:val="0"/>
                <w:szCs w:val="21"/>
              </w:rPr>
            </w:pPr>
            <w:r>
              <w:rPr>
                <w:rFonts w:cs="Times New Roman"/>
                <w:kern w:val="0"/>
                <w:sz w:val="21"/>
                <w:szCs w:val="21"/>
                <w:lang w:bidi="ar"/>
              </w:rPr>
              <w:t>湖泊、沼泽、河口</w:t>
            </w:r>
          </w:p>
        </w:tc>
        <w:tc>
          <w:tcPr>
            <w:tcW w:w="1093" w:type="dxa"/>
            <w:tcBorders>
              <w:top w:val="single" w:color="000000" w:sz="4" w:space="0"/>
              <w:left w:val="single" w:color="000000" w:sz="4" w:space="0"/>
              <w:bottom w:val="single" w:color="000000" w:sz="4" w:space="0"/>
              <w:right w:val="single" w:color="000000" w:sz="4" w:space="0"/>
            </w:tcBorders>
            <w:vAlign w:val="center"/>
          </w:tcPr>
          <w:p w14:paraId="6FEF40B5">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715CBF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32D4079D">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0B34E19D">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06BFF3C5">
            <w:pPr>
              <w:widowControl/>
              <w:spacing w:line="240" w:lineRule="auto"/>
              <w:ind w:firstLine="0" w:firstLineChars="0"/>
              <w:jc w:val="left"/>
              <w:rPr>
                <w:rFonts w:cs="Times New Roman"/>
                <w:kern w:val="0"/>
                <w:szCs w:val="21"/>
              </w:rPr>
            </w:pPr>
            <w:r>
              <w:rPr>
                <w:rFonts w:cs="Times New Roman"/>
                <w:kern w:val="0"/>
                <w:sz w:val="21"/>
                <w:szCs w:val="21"/>
                <w:lang w:bidi="ar"/>
              </w:rPr>
              <w:t xml:space="preserve">绿头鸭 </w:t>
            </w:r>
            <w:r>
              <w:rPr>
                <w:rFonts w:cs="Times New Roman"/>
                <w:i/>
                <w:iCs/>
                <w:kern w:val="0"/>
                <w:sz w:val="21"/>
                <w:szCs w:val="21"/>
                <w:lang w:bidi="ar"/>
              </w:rPr>
              <w:t>Anas platyrhynchos</w:t>
            </w:r>
          </w:p>
        </w:tc>
        <w:tc>
          <w:tcPr>
            <w:tcW w:w="2246" w:type="dxa"/>
            <w:tcBorders>
              <w:top w:val="single" w:color="000000" w:sz="4" w:space="0"/>
              <w:left w:val="single" w:color="000000" w:sz="4" w:space="0"/>
              <w:bottom w:val="single" w:color="000000" w:sz="4" w:space="0"/>
              <w:right w:val="single" w:color="000000" w:sz="4" w:space="0"/>
            </w:tcBorders>
            <w:vAlign w:val="center"/>
          </w:tcPr>
          <w:p w14:paraId="0CF774BB">
            <w:pPr>
              <w:widowControl/>
              <w:spacing w:line="240" w:lineRule="auto"/>
              <w:ind w:firstLine="0" w:firstLineChars="0"/>
              <w:jc w:val="center"/>
              <w:rPr>
                <w:rFonts w:cs="Times New Roman"/>
                <w:kern w:val="0"/>
                <w:szCs w:val="21"/>
              </w:rPr>
            </w:pPr>
            <w:r>
              <w:rPr>
                <w:rFonts w:cs="Times New Roman"/>
                <w:kern w:val="0"/>
                <w:sz w:val="21"/>
                <w:szCs w:val="21"/>
                <w:lang w:bidi="ar"/>
              </w:rPr>
              <w:t>湖泊、河流</w:t>
            </w:r>
          </w:p>
        </w:tc>
        <w:tc>
          <w:tcPr>
            <w:tcW w:w="1093" w:type="dxa"/>
            <w:tcBorders>
              <w:top w:val="single" w:color="000000" w:sz="4" w:space="0"/>
              <w:left w:val="single" w:color="000000" w:sz="4" w:space="0"/>
              <w:bottom w:val="single" w:color="000000" w:sz="4" w:space="0"/>
              <w:right w:val="single" w:color="000000" w:sz="4" w:space="0"/>
            </w:tcBorders>
            <w:vAlign w:val="center"/>
          </w:tcPr>
          <w:p w14:paraId="0C45EB33">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6A63DF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0E190533">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70E93C08">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3EB0FC30">
            <w:pPr>
              <w:widowControl/>
              <w:spacing w:line="240" w:lineRule="auto"/>
              <w:ind w:firstLine="0" w:firstLineChars="0"/>
              <w:jc w:val="left"/>
              <w:rPr>
                <w:rFonts w:cs="Times New Roman"/>
                <w:kern w:val="0"/>
                <w:szCs w:val="21"/>
              </w:rPr>
            </w:pPr>
            <w:r>
              <w:rPr>
                <w:rFonts w:cs="Times New Roman"/>
                <w:kern w:val="0"/>
                <w:sz w:val="21"/>
                <w:szCs w:val="21"/>
                <w:lang w:bidi="ar"/>
              </w:rPr>
              <w:t xml:space="preserve">斑嘴鸭 </w:t>
            </w:r>
            <w:r>
              <w:rPr>
                <w:rFonts w:cs="Times New Roman"/>
                <w:i/>
                <w:iCs/>
                <w:kern w:val="0"/>
                <w:sz w:val="21"/>
                <w:szCs w:val="21"/>
                <w:lang w:bidi="ar"/>
              </w:rPr>
              <w:t>Anas poecilorhyncha</w:t>
            </w:r>
          </w:p>
        </w:tc>
        <w:tc>
          <w:tcPr>
            <w:tcW w:w="2246" w:type="dxa"/>
            <w:tcBorders>
              <w:top w:val="single" w:color="000000" w:sz="4" w:space="0"/>
              <w:left w:val="single" w:color="000000" w:sz="4" w:space="0"/>
              <w:bottom w:val="single" w:color="000000" w:sz="4" w:space="0"/>
              <w:right w:val="single" w:color="000000" w:sz="4" w:space="0"/>
            </w:tcBorders>
            <w:vAlign w:val="center"/>
          </w:tcPr>
          <w:p w14:paraId="26C78BE4">
            <w:pPr>
              <w:widowControl/>
              <w:spacing w:line="240" w:lineRule="auto"/>
              <w:ind w:firstLine="0" w:firstLineChars="0"/>
              <w:jc w:val="center"/>
              <w:rPr>
                <w:rFonts w:cs="Times New Roman"/>
                <w:kern w:val="0"/>
                <w:szCs w:val="21"/>
              </w:rPr>
            </w:pPr>
            <w:r>
              <w:rPr>
                <w:rFonts w:cs="Times New Roman"/>
                <w:kern w:val="0"/>
                <w:sz w:val="21"/>
                <w:szCs w:val="21"/>
                <w:lang w:bidi="ar"/>
              </w:rPr>
              <w:t>湖泊、河流</w:t>
            </w:r>
          </w:p>
        </w:tc>
        <w:tc>
          <w:tcPr>
            <w:tcW w:w="1093" w:type="dxa"/>
            <w:tcBorders>
              <w:top w:val="single" w:color="000000" w:sz="4" w:space="0"/>
              <w:left w:val="single" w:color="000000" w:sz="4" w:space="0"/>
              <w:bottom w:val="single" w:color="000000" w:sz="4" w:space="0"/>
              <w:right w:val="single" w:color="000000" w:sz="4" w:space="0"/>
            </w:tcBorders>
            <w:vAlign w:val="center"/>
          </w:tcPr>
          <w:p w14:paraId="504E641F">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72BB5E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1478092B">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5C048093">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33C56BF5">
            <w:pPr>
              <w:widowControl/>
              <w:spacing w:line="240" w:lineRule="auto"/>
              <w:ind w:firstLine="0" w:firstLineChars="0"/>
              <w:jc w:val="left"/>
              <w:rPr>
                <w:rFonts w:cs="Times New Roman"/>
                <w:kern w:val="0"/>
                <w:szCs w:val="21"/>
              </w:rPr>
            </w:pPr>
            <w:r>
              <w:rPr>
                <w:rFonts w:cs="Times New Roman"/>
                <w:kern w:val="0"/>
                <w:sz w:val="21"/>
                <w:szCs w:val="21"/>
                <w:lang w:bidi="ar"/>
              </w:rPr>
              <w:t xml:space="preserve">琵嘴鸭 </w:t>
            </w:r>
            <w:r>
              <w:rPr>
                <w:rFonts w:cs="Times New Roman"/>
                <w:i/>
                <w:iCs/>
                <w:kern w:val="0"/>
                <w:sz w:val="21"/>
                <w:szCs w:val="21"/>
                <w:lang w:bidi="ar"/>
              </w:rPr>
              <w:t>Anas clypeata</w:t>
            </w:r>
          </w:p>
        </w:tc>
        <w:tc>
          <w:tcPr>
            <w:tcW w:w="2246" w:type="dxa"/>
            <w:tcBorders>
              <w:top w:val="single" w:color="000000" w:sz="4" w:space="0"/>
              <w:left w:val="single" w:color="000000" w:sz="4" w:space="0"/>
              <w:bottom w:val="single" w:color="000000" w:sz="4" w:space="0"/>
              <w:right w:val="single" w:color="000000" w:sz="4" w:space="0"/>
            </w:tcBorders>
            <w:vAlign w:val="center"/>
          </w:tcPr>
          <w:p w14:paraId="37CB66B4">
            <w:pPr>
              <w:widowControl/>
              <w:spacing w:line="240" w:lineRule="auto"/>
              <w:ind w:firstLine="0" w:firstLineChars="0"/>
              <w:jc w:val="center"/>
              <w:rPr>
                <w:rFonts w:cs="Times New Roman"/>
                <w:kern w:val="0"/>
                <w:szCs w:val="21"/>
              </w:rPr>
            </w:pPr>
            <w:r>
              <w:rPr>
                <w:rFonts w:cs="Times New Roman"/>
                <w:kern w:val="0"/>
                <w:sz w:val="21"/>
                <w:szCs w:val="21"/>
                <w:lang w:bidi="ar"/>
              </w:rPr>
              <w:t>池塘、湖泊</w:t>
            </w:r>
          </w:p>
        </w:tc>
        <w:tc>
          <w:tcPr>
            <w:tcW w:w="1093" w:type="dxa"/>
            <w:tcBorders>
              <w:top w:val="single" w:color="000000" w:sz="4" w:space="0"/>
              <w:left w:val="single" w:color="000000" w:sz="4" w:space="0"/>
              <w:bottom w:val="single" w:color="000000" w:sz="4" w:space="0"/>
              <w:right w:val="single" w:color="000000" w:sz="4" w:space="0"/>
            </w:tcBorders>
            <w:vAlign w:val="center"/>
          </w:tcPr>
          <w:p w14:paraId="112FD2EC">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266E86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1930F216">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05C3E32E">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46EEFD21">
            <w:pPr>
              <w:widowControl/>
              <w:spacing w:line="240" w:lineRule="auto"/>
              <w:ind w:firstLine="0" w:firstLineChars="0"/>
              <w:jc w:val="left"/>
              <w:rPr>
                <w:rFonts w:cs="Times New Roman"/>
                <w:kern w:val="0"/>
                <w:szCs w:val="21"/>
              </w:rPr>
            </w:pPr>
            <w:r>
              <w:rPr>
                <w:rFonts w:cs="Times New Roman"/>
                <w:kern w:val="0"/>
                <w:sz w:val="21"/>
                <w:szCs w:val="21"/>
                <w:lang w:bidi="ar"/>
              </w:rPr>
              <w:t xml:space="preserve">针尾鸭 </w:t>
            </w:r>
            <w:r>
              <w:rPr>
                <w:rFonts w:cs="Times New Roman"/>
                <w:i/>
                <w:iCs/>
                <w:kern w:val="0"/>
                <w:sz w:val="21"/>
                <w:szCs w:val="21"/>
                <w:lang w:bidi="ar"/>
              </w:rPr>
              <w:t>Anas acuta</w:t>
            </w:r>
          </w:p>
        </w:tc>
        <w:tc>
          <w:tcPr>
            <w:tcW w:w="2246" w:type="dxa"/>
            <w:tcBorders>
              <w:top w:val="single" w:color="000000" w:sz="4" w:space="0"/>
              <w:left w:val="single" w:color="000000" w:sz="4" w:space="0"/>
              <w:bottom w:val="single" w:color="000000" w:sz="4" w:space="0"/>
              <w:right w:val="single" w:color="000000" w:sz="4" w:space="0"/>
            </w:tcBorders>
            <w:vAlign w:val="center"/>
          </w:tcPr>
          <w:p w14:paraId="5971B547">
            <w:pPr>
              <w:widowControl/>
              <w:spacing w:line="240" w:lineRule="auto"/>
              <w:ind w:firstLine="0" w:firstLineChars="0"/>
              <w:jc w:val="center"/>
              <w:rPr>
                <w:rFonts w:cs="Times New Roman"/>
                <w:kern w:val="0"/>
                <w:szCs w:val="21"/>
              </w:rPr>
            </w:pPr>
            <w:r>
              <w:rPr>
                <w:rFonts w:cs="Times New Roman"/>
                <w:kern w:val="0"/>
                <w:sz w:val="21"/>
                <w:szCs w:val="21"/>
                <w:lang w:bidi="ar"/>
              </w:rPr>
              <w:t>湖泊、河流</w:t>
            </w:r>
          </w:p>
        </w:tc>
        <w:tc>
          <w:tcPr>
            <w:tcW w:w="1093" w:type="dxa"/>
            <w:tcBorders>
              <w:top w:val="single" w:color="000000" w:sz="4" w:space="0"/>
              <w:left w:val="single" w:color="000000" w:sz="4" w:space="0"/>
              <w:bottom w:val="single" w:color="000000" w:sz="4" w:space="0"/>
              <w:right w:val="single" w:color="000000" w:sz="4" w:space="0"/>
            </w:tcBorders>
            <w:vAlign w:val="center"/>
          </w:tcPr>
          <w:p w14:paraId="7A4439E9">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78470D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79314507">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723227DC">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093008C1">
            <w:pPr>
              <w:widowControl/>
              <w:spacing w:line="240" w:lineRule="auto"/>
              <w:ind w:firstLine="0" w:firstLineChars="0"/>
              <w:jc w:val="left"/>
              <w:rPr>
                <w:rFonts w:cs="Times New Roman"/>
                <w:kern w:val="0"/>
                <w:szCs w:val="21"/>
              </w:rPr>
            </w:pPr>
            <w:r>
              <w:rPr>
                <w:rFonts w:cs="Times New Roman"/>
                <w:kern w:val="0"/>
                <w:sz w:val="21"/>
                <w:szCs w:val="21"/>
                <w:lang w:bidi="ar"/>
              </w:rPr>
              <w:t xml:space="preserve">白眉鸭 </w:t>
            </w:r>
            <w:r>
              <w:rPr>
                <w:rFonts w:cs="Times New Roman"/>
                <w:i/>
                <w:iCs/>
                <w:kern w:val="0"/>
                <w:sz w:val="21"/>
                <w:szCs w:val="21"/>
                <w:lang w:bidi="ar"/>
              </w:rPr>
              <w:t>Anas querquedula</w:t>
            </w:r>
          </w:p>
        </w:tc>
        <w:tc>
          <w:tcPr>
            <w:tcW w:w="2246" w:type="dxa"/>
            <w:tcBorders>
              <w:top w:val="single" w:color="000000" w:sz="4" w:space="0"/>
              <w:left w:val="single" w:color="000000" w:sz="4" w:space="0"/>
              <w:bottom w:val="single" w:color="000000" w:sz="4" w:space="0"/>
              <w:right w:val="single" w:color="000000" w:sz="4" w:space="0"/>
            </w:tcBorders>
            <w:vAlign w:val="center"/>
          </w:tcPr>
          <w:p w14:paraId="12CC81E6">
            <w:pPr>
              <w:widowControl/>
              <w:spacing w:line="240" w:lineRule="auto"/>
              <w:ind w:firstLine="0" w:firstLineChars="0"/>
              <w:jc w:val="center"/>
              <w:rPr>
                <w:rFonts w:cs="Times New Roman"/>
                <w:kern w:val="0"/>
                <w:szCs w:val="21"/>
              </w:rPr>
            </w:pPr>
            <w:r>
              <w:rPr>
                <w:rFonts w:cs="Times New Roman"/>
                <w:kern w:val="0"/>
                <w:sz w:val="21"/>
                <w:szCs w:val="21"/>
                <w:lang w:bidi="ar"/>
              </w:rPr>
              <w:t>湖泊、河流</w:t>
            </w:r>
          </w:p>
        </w:tc>
        <w:tc>
          <w:tcPr>
            <w:tcW w:w="1093" w:type="dxa"/>
            <w:tcBorders>
              <w:top w:val="single" w:color="000000" w:sz="4" w:space="0"/>
              <w:left w:val="single" w:color="000000" w:sz="4" w:space="0"/>
              <w:bottom w:val="single" w:color="000000" w:sz="4" w:space="0"/>
              <w:right w:val="single" w:color="000000" w:sz="4" w:space="0"/>
            </w:tcBorders>
            <w:vAlign w:val="center"/>
          </w:tcPr>
          <w:p w14:paraId="4AA0075B">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040119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58E70A23">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327CD1EF">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798E82E8">
            <w:pPr>
              <w:widowControl/>
              <w:spacing w:line="240" w:lineRule="auto"/>
              <w:ind w:firstLine="0" w:firstLineChars="0"/>
              <w:jc w:val="left"/>
              <w:rPr>
                <w:rFonts w:cs="Times New Roman"/>
                <w:kern w:val="0"/>
                <w:szCs w:val="21"/>
              </w:rPr>
            </w:pPr>
            <w:r>
              <w:rPr>
                <w:rFonts w:cs="Times New Roman"/>
                <w:kern w:val="0"/>
                <w:sz w:val="21"/>
                <w:szCs w:val="21"/>
                <w:lang w:bidi="ar"/>
              </w:rPr>
              <w:t xml:space="preserve">花脸鸭 </w:t>
            </w:r>
            <w:r>
              <w:rPr>
                <w:rFonts w:cs="Times New Roman"/>
                <w:i/>
                <w:iCs/>
                <w:kern w:val="0"/>
                <w:sz w:val="21"/>
                <w:szCs w:val="21"/>
                <w:lang w:bidi="ar"/>
              </w:rPr>
              <w:t>Anas formosa</w:t>
            </w:r>
          </w:p>
        </w:tc>
        <w:tc>
          <w:tcPr>
            <w:tcW w:w="2246" w:type="dxa"/>
            <w:tcBorders>
              <w:top w:val="single" w:color="000000" w:sz="4" w:space="0"/>
              <w:left w:val="single" w:color="000000" w:sz="4" w:space="0"/>
              <w:bottom w:val="single" w:color="000000" w:sz="4" w:space="0"/>
              <w:right w:val="single" w:color="000000" w:sz="4" w:space="0"/>
            </w:tcBorders>
          </w:tcPr>
          <w:p w14:paraId="6B40EA40">
            <w:pPr>
              <w:widowControl/>
              <w:spacing w:line="240" w:lineRule="auto"/>
              <w:ind w:firstLine="0" w:firstLineChars="0"/>
              <w:jc w:val="center"/>
              <w:rPr>
                <w:rFonts w:cs="Times New Roman"/>
                <w:kern w:val="0"/>
                <w:szCs w:val="21"/>
              </w:rPr>
            </w:pPr>
            <w:r>
              <w:rPr>
                <w:rFonts w:cs="Times New Roman"/>
                <w:kern w:val="0"/>
                <w:sz w:val="21"/>
                <w:szCs w:val="21"/>
                <w:lang w:bidi="ar"/>
              </w:rPr>
              <w:t>湖泊、河流</w:t>
            </w:r>
          </w:p>
        </w:tc>
        <w:tc>
          <w:tcPr>
            <w:tcW w:w="1093" w:type="dxa"/>
            <w:tcBorders>
              <w:top w:val="single" w:color="000000" w:sz="4" w:space="0"/>
              <w:left w:val="single" w:color="000000" w:sz="4" w:space="0"/>
              <w:bottom w:val="single" w:color="000000" w:sz="4" w:space="0"/>
              <w:right w:val="single" w:color="000000" w:sz="4" w:space="0"/>
            </w:tcBorders>
            <w:vAlign w:val="center"/>
          </w:tcPr>
          <w:p w14:paraId="34678FB6">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267654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3943C70A">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78378A65">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05C534A3">
            <w:pPr>
              <w:widowControl/>
              <w:spacing w:line="240" w:lineRule="auto"/>
              <w:ind w:firstLine="0" w:firstLineChars="0"/>
              <w:jc w:val="left"/>
              <w:rPr>
                <w:rFonts w:cs="Times New Roman"/>
                <w:kern w:val="0"/>
                <w:szCs w:val="21"/>
              </w:rPr>
            </w:pPr>
            <w:r>
              <w:rPr>
                <w:rFonts w:cs="Times New Roman"/>
                <w:kern w:val="0"/>
                <w:sz w:val="21"/>
                <w:szCs w:val="21"/>
                <w:lang w:bidi="ar"/>
              </w:rPr>
              <w:t xml:space="preserve">绿翅鸭 </w:t>
            </w:r>
            <w:r>
              <w:rPr>
                <w:rFonts w:cs="Times New Roman"/>
                <w:i/>
                <w:iCs/>
                <w:kern w:val="0"/>
                <w:sz w:val="21"/>
                <w:szCs w:val="21"/>
                <w:lang w:bidi="ar"/>
              </w:rPr>
              <w:t>Anas crecca</w:t>
            </w:r>
          </w:p>
        </w:tc>
        <w:tc>
          <w:tcPr>
            <w:tcW w:w="2246" w:type="dxa"/>
            <w:tcBorders>
              <w:top w:val="single" w:color="000000" w:sz="4" w:space="0"/>
              <w:left w:val="single" w:color="000000" w:sz="4" w:space="0"/>
              <w:bottom w:val="single" w:color="000000" w:sz="4" w:space="0"/>
              <w:right w:val="single" w:color="000000" w:sz="4" w:space="0"/>
            </w:tcBorders>
          </w:tcPr>
          <w:p w14:paraId="79811313">
            <w:pPr>
              <w:widowControl/>
              <w:spacing w:line="240" w:lineRule="auto"/>
              <w:ind w:firstLine="0" w:firstLineChars="0"/>
              <w:jc w:val="center"/>
              <w:rPr>
                <w:rFonts w:cs="Times New Roman"/>
                <w:kern w:val="0"/>
                <w:szCs w:val="21"/>
              </w:rPr>
            </w:pPr>
            <w:r>
              <w:rPr>
                <w:rFonts w:cs="Times New Roman"/>
                <w:kern w:val="0"/>
                <w:sz w:val="21"/>
                <w:szCs w:val="21"/>
                <w:lang w:bidi="ar"/>
              </w:rPr>
              <w:t>湖泊、河流</w:t>
            </w:r>
          </w:p>
        </w:tc>
        <w:tc>
          <w:tcPr>
            <w:tcW w:w="1093" w:type="dxa"/>
            <w:tcBorders>
              <w:top w:val="single" w:color="000000" w:sz="4" w:space="0"/>
              <w:left w:val="single" w:color="000000" w:sz="4" w:space="0"/>
              <w:bottom w:val="single" w:color="000000" w:sz="4" w:space="0"/>
              <w:right w:val="single" w:color="000000" w:sz="4" w:space="0"/>
            </w:tcBorders>
            <w:vAlign w:val="center"/>
          </w:tcPr>
          <w:p w14:paraId="67C5B324">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0082E9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restart"/>
            <w:tcBorders>
              <w:top w:val="single" w:color="000000" w:sz="4" w:space="0"/>
              <w:left w:val="single" w:color="000000" w:sz="4" w:space="0"/>
              <w:bottom w:val="single" w:color="000000" w:sz="4" w:space="0"/>
              <w:right w:val="single" w:color="000000" w:sz="4" w:space="0"/>
            </w:tcBorders>
            <w:vAlign w:val="center"/>
          </w:tcPr>
          <w:p w14:paraId="248181BB">
            <w:pPr>
              <w:spacing w:line="240" w:lineRule="auto"/>
              <w:ind w:firstLine="0" w:firstLineChars="0"/>
              <w:jc w:val="center"/>
              <w:rPr>
                <w:rFonts w:cs="Times New Roman"/>
                <w:kern w:val="0"/>
                <w:szCs w:val="21"/>
              </w:rPr>
            </w:pPr>
            <w:r>
              <w:rPr>
                <w:rFonts w:cs="Times New Roman"/>
                <w:kern w:val="0"/>
                <w:sz w:val="21"/>
                <w:szCs w:val="21"/>
                <w:lang w:bidi="ar"/>
              </w:rPr>
              <w:t>隼形目</w:t>
            </w:r>
          </w:p>
        </w:tc>
        <w:tc>
          <w:tcPr>
            <w:tcW w:w="850" w:type="dxa"/>
            <w:vMerge w:val="restart"/>
            <w:tcBorders>
              <w:top w:val="single" w:color="000000" w:sz="4" w:space="0"/>
              <w:left w:val="single" w:color="000000" w:sz="4" w:space="0"/>
              <w:bottom w:val="single" w:color="000000" w:sz="4" w:space="0"/>
              <w:right w:val="single" w:color="000000" w:sz="4" w:space="0"/>
            </w:tcBorders>
            <w:vAlign w:val="center"/>
          </w:tcPr>
          <w:p w14:paraId="175AB4D5">
            <w:pPr>
              <w:spacing w:line="240" w:lineRule="auto"/>
              <w:ind w:firstLine="0" w:firstLineChars="0"/>
              <w:jc w:val="center"/>
              <w:rPr>
                <w:rFonts w:cs="Times New Roman"/>
                <w:kern w:val="0"/>
                <w:szCs w:val="21"/>
              </w:rPr>
            </w:pPr>
            <w:r>
              <w:rPr>
                <w:rFonts w:cs="Times New Roman"/>
                <w:kern w:val="0"/>
                <w:sz w:val="21"/>
                <w:szCs w:val="21"/>
                <w:lang w:bidi="ar"/>
              </w:rPr>
              <w:t>鹰科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0DD81750">
            <w:pPr>
              <w:widowControl/>
              <w:spacing w:line="240" w:lineRule="auto"/>
              <w:ind w:firstLine="0" w:firstLineChars="0"/>
              <w:jc w:val="left"/>
              <w:rPr>
                <w:rFonts w:cs="Times New Roman"/>
                <w:kern w:val="0"/>
                <w:szCs w:val="21"/>
              </w:rPr>
            </w:pPr>
            <w:r>
              <w:rPr>
                <w:rFonts w:cs="Times New Roman"/>
                <w:kern w:val="0"/>
                <w:sz w:val="21"/>
                <w:szCs w:val="21"/>
                <w:lang w:bidi="ar"/>
              </w:rPr>
              <w:t xml:space="preserve">凤头蜂鹰 </w:t>
            </w:r>
            <w:r>
              <w:rPr>
                <w:rFonts w:cs="Times New Roman"/>
                <w:i/>
                <w:iCs/>
                <w:kern w:val="0"/>
                <w:sz w:val="21"/>
                <w:szCs w:val="21"/>
                <w:lang w:bidi="ar"/>
              </w:rPr>
              <w:t>Pernis ptilorhynchus</w:t>
            </w:r>
          </w:p>
        </w:tc>
        <w:tc>
          <w:tcPr>
            <w:tcW w:w="2246" w:type="dxa"/>
            <w:tcBorders>
              <w:top w:val="single" w:color="000000" w:sz="4" w:space="0"/>
              <w:left w:val="single" w:color="000000" w:sz="4" w:space="0"/>
              <w:bottom w:val="single" w:color="000000" w:sz="4" w:space="0"/>
              <w:right w:val="single" w:color="000000" w:sz="4" w:space="0"/>
            </w:tcBorders>
            <w:vAlign w:val="center"/>
          </w:tcPr>
          <w:p w14:paraId="360319ED">
            <w:pPr>
              <w:widowControl/>
              <w:spacing w:line="240" w:lineRule="auto"/>
              <w:ind w:firstLine="0" w:firstLineChars="0"/>
              <w:jc w:val="center"/>
              <w:rPr>
                <w:rFonts w:cs="Times New Roman"/>
                <w:kern w:val="0"/>
                <w:szCs w:val="21"/>
              </w:rPr>
            </w:pPr>
            <w:r>
              <w:rPr>
                <w:rFonts w:cs="Times New Roman"/>
                <w:kern w:val="0"/>
                <w:sz w:val="21"/>
                <w:szCs w:val="21"/>
                <w:lang w:bidi="ar"/>
              </w:rPr>
              <w:t>森林</w:t>
            </w:r>
          </w:p>
        </w:tc>
        <w:tc>
          <w:tcPr>
            <w:tcW w:w="1093" w:type="dxa"/>
            <w:tcBorders>
              <w:top w:val="single" w:color="000000" w:sz="4" w:space="0"/>
              <w:left w:val="single" w:color="000000" w:sz="4" w:space="0"/>
              <w:bottom w:val="single" w:color="000000" w:sz="4" w:space="0"/>
              <w:right w:val="single" w:color="000000" w:sz="4" w:space="0"/>
            </w:tcBorders>
            <w:vAlign w:val="center"/>
          </w:tcPr>
          <w:p w14:paraId="300665FA">
            <w:pPr>
              <w:widowControl/>
              <w:spacing w:line="240" w:lineRule="auto"/>
              <w:ind w:firstLine="0" w:firstLineChars="0"/>
              <w:jc w:val="center"/>
              <w:rPr>
                <w:rFonts w:cs="Times New Roman"/>
                <w:kern w:val="0"/>
                <w:szCs w:val="21"/>
              </w:rPr>
            </w:pPr>
            <w:r>
              <w:rPr>
                <w:rFonts w:cs="Times New Roman"/>
                <w:kern w:val="0"/>
                <w:sz w:val="21"/>
                <w:szCs w:val="21"/>
                <w:lang w:bidi="ar"/>
              </w:rPr>
              <w:t>Ⅱ，V</w:t>
            </w:r>
          </w:p>
        </w:tc>
      </w:tr>
      <w:tr w14:paraId="6EF3BE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393A6C3A">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1156C737">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49253543">
            <w:pPr>
              <w:widowControl/>
              <w:spacing w:line="240" w:lineRule="auto"/>
              <w:ind w:firstLine="0" w:firstLineChars="0"/>
              <w:jc w:val="left"/>
              <w:rPr>
                <w:rFonts w:cs="Times New Roman"/>
                <w:kern w:val="0"/>
                <w:szCs w:val="21"/>
              </w:rPr>
            </w:pPr>
            <w:r>
              <w:rPr>
                <w:rFonts w:cs="Times New Roman"/>
                <w:kern w:val="0"/>
                <w:sz w:val="21"/>
                <w:szCs w:val="21"/>
                <w:lang w:bidi="ar"/>
              </w:rPr>
              <w:t xml:space="preserve">黑翅鸢 </w:t>
            </w:r>
            <w:r>
              <w:rPr>
                <w:rFonts w:cs="Times New Roman"/>
                <w:i/>
                <w:iCs/>
                <w:kern w:val="0"/>
                <w:sz w:val="21"/>
                <w:szCs w:val="21"/>
                <w:lang w:bidi="ar"/>
              </w:rPr>
              <w:t>Elanus caeruleus</w:t>
            </w:r>
          </w:p>
        </w:tc>
        <w:tc>
          <w:tcPr>
            <w:tcW w:w="2246" w:type="dxa"/>
            <w:tcBorders>
              <w:top w:val="single" w:color="000000" w:sz="4" w:space="0"/>
              <w:left w:val="single" w:color="000000" w:sz="4" w:space="0"/>
              <w:bottom w:val="single" w:color="000000" w:sz="4" w:space="0"/>
              <w:right w:val="single" w:color="000000" w:sz="4" w:space="0"/>
            </w:tcBorders>
            <w:vAlign w:val="center"/>
          </w:tcPr>
          <w:p w14:paraId="33793298">
            <w:pPr>
              <w:widowControl/>
              <w:spacing w:line="240" w:lineRule="auto"/>
              <w:ind w:firstLine="0" w:firstLineChars="0"/>
              <w:jc w:val="center"/>
              <w:rPr>
                <w:rFonts w:cs="Times New Roman"/>
                <w:kern w:val="0"/>
                <w:szCs w:val="21"/>
              </w:rPr>
            </w:pPr>
            <w:r>
              <w:rPr>
                <w:rFonts w:cs="Times New Roman"/>
                <w:kern w:val="0"/>
                <w:sz w:val="21"/>
                <w:szCs w:val="21"/>
                <w:lang w:bidi="ar"/>
              </w:rPr>
              <w:t>山地森林</w:t>
            </w:r>
          </w:p>
        </w:tc>
        <w:tc>
          <w:tcPr>
            <w:tcW w:w="1093" w:type="dxa"/>
            <w:tcBorders>
              <w:top w:val="single" w:color="000000" w:sz="4" w:space="0"/>
              <w:left w:val="single" w:color="000000" w:sz="4" w:space="0"/>
              <w:bottom w:val="single" w:color="000000" w:sz="4" w:space="0"/>
              <w:right w:val="single" w:color="000000" w:sz="4" w:space="0"/>
            </w:tcBorders>
            <w:vAlign w:val="center"/>
          </w:tcPr>
          <w:p w14:paraId="4B96B03C">
            <w:pPr>
              <w:widowControl/>
              <w:spacing w:line="240" w:lineRule="auto"/>
              <w:ind w:firstLine="0" w:firstLineChars="0"/>
              <w:jc w:val="center"/>
              <w:rPr>
                <w:rFonts w:cs="Times New Roman"/>
                <w:kern w:val="0"/>
                <w:szCs w:val="21"/>
              </w:rPr>
            </w:pPr>
            <w:r>
              <w:rPr>
                <w:rFonts w:cs="Times New Roman"/>
                <w:kern w:val="0"/>
                <w:sz w:val="21"/>
                <w:szCs w:val="21"/>
                <w:lang w:bidi="ar"/>
              </w:rPr>
              <w:t>Ⅱ，V</w:t>
            </w:r>
          </w:p>
        </w:tc>
      </w:tr>
      <w:tr w14:paraId="132D7B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17DCF9CC">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1367C261">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0E98D0B8">
            <w:pPr>
              <w:widowControl/>
              <w:spacing w:line="240" w:lineRule="auto"/>
              <w:ind w:firstLine="0" w:firstLineChars="0"/>
              <w:jc w:val="left"/>
              <w:rPr>
                <w:rFonts w:cs="Times New Roman"/>
                <w:kern w:val="0"/>
                <w:szCs w:val="21"/>
              </w:rPr>
            </w:pPr>
            <w:r>
              <w:rPr>
                <w:rFonts w:cs="Times New Roman"/>
                <w:kern w:val="0"/>
                <w:sz w:val="21"/>
                <w:szCs w:val="21"/>
                <w:lang w:bidi="ar"/>
              </w:rPr>
              <w:t xml:space="preserve">黑耳鸢 </w:t>
            </w:r>
            <w:r>
              <w:rPr>
                <w:rFonts w:cs="Times New Roman"/>
                <w:i/>
                <w:iCs/>
                <w:kern w:val="0"/>
                <w:sz w:val="21"/>
                <w:szCs w:val="21"/>
                <w:lang w:bidi="ar"/>
              </w:rPr>
              <w:t>Milvus lineatus</w:t>
            </w:r>
          </w:p>
        </w:tc>
        <w:tc>
          <w:tcPr>
            <w:tcW w:w="2246" w:type="dxa"/>
            <w:tcBorders>
              <w:top w:val="single" w:color="000000" w:sz="4" w:space="0"/>
              <w:left w:val="single" w:color="000000" w:sz="4" w:space="0"/>
              <w:bottom w:val="single" w:color="000000" w:sz="4" w:space="0"/>
              <w:right w:val="single" w:color="000000" w:sz="4" w:space="0"/>
            </w:tcBorders>
            <w:vAlign w:val="center"/>
          </w:tcPr>
          <w:p w14:paraId="178BCF47">
            <w:pPr>
              <w:widowControl/>
              <w:spacing w:line="240" w:lineRule="auto"/>
              <w:ind w:firstLine="0" w:firstLineChars="0"/>
              <w:jc w:val="center"/>
              <w:rPr>
                <w:rFonts w:cs="Times New Roman"/>
                <w:kern w:val="0"/>
                <w:szCs w:val="21"/>
              </w:rPr>
            </w:pPr>
            <w:r>
              <w:rPr>
                <w:rFonts w:cs="Times New Roman"/>
                <w:kern w:val="0"/>
                <w:sz w:val="21"/>
                <w:szCs w:val="21"/>
                <w:lang w:bidi="ar"/>
              </w:rPr>
              <w:t>山地森林</w:t>
            </w:r>
          </w:p>
        </w:tc>
        <w:tc>
          <w:tcPr>
            <w:tcW w:w="1093" w:type="dxa"/>
            <w:tcBorders>
              <w:top w:val="single" w:color="000000" w:sz="4" w:space="0"/>
              <w:left w:val="single" w:color="000000" w:sz="4" w:space="0"/>
              <w:bottom w:val="single" w:color="000000" w:sz="4" w:space="0"/>
              <w:right w:val="single" w:color="000000" w:sz="4" w:space="0"/>
            </w:tcBorders>
            <w:vAlign w:val="center"/>
          </w:tcPr>
          <w:p w14:paraId="699BA59E">
            <w:pPr>
              <w:widowControl/>
              <w:spacing w:line="240" w:lineRule="auto"/>
              <w:ind w:firstLine="0" w:firstLineChars="0"/>
              <w:jc w:val="center"/>
              <w:rPr>
                <w:rFonts w:cs="Times New Roman"/>
                <w:kern w:val="0"/>
                <w:szCs w:val="21"/>
              </w:rPr>
            </w:pPr>
            <w:r>
              <w:rPr>
                <w:rFonts w:cs="Times New Roman"/>
                <w:kern w:val="0"/>
                <w:sz w:val="21"/>
                <w:szCs w:val="21"/>
                <w:lang w:bidi="ar"/>
              </w:rPr>
              <w:t>Ⅱ</w:t>
            </w:r>
          </w:p>
        </w:tc>
      </w:tr>
      <w:tr w14:paraId="38375D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4"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52E90824">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50EA30F5">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436505B7">
            <w:pPr>
              <w:widowControl/>
              <w:spacing w:line="240" w:lineRule="auto"/>
              <w:ind w:firstLine="0" w:firstLineChars="0"/>
              <w:jc w:val="left"/>
              <w:rPr>
                <w:rFonts w:cs="Times New Roman"/>
                <w:kern w:val="0"/>
                <w:szCs w:val="21"/>
              </w:rPr>
            </w:pPr>
            <w:r>
              <w:rPr>
                <w:rFonts w:cs="Times New Roman"/>
                <w:kern w:val="0"/>
                <w:sz w:val="21"/>
                <w:szCs w:val="21"/>
                <w:lang w:bidi="ar"/>
              </w:rPr>
              <w:t xml:space="preserve">赤腹鹰 </w:t>
            </w:r>
            <w:r>
              <w:rPr>
                <w:rFonts w:cs="Times New Roman"/>
                <w:i/>
                <w:iCs/>
                <w:kern w:val="0"/>
                <w:sz w:val="21"/>
                <w:szCs w:val="21"/>
                <w:lang w:bidi="ar"/>
              </w:rPr>
              <w:t>Acipiter soloensis</w:t>
            </w:r>
          </w:p>
        </w:tc>
        <w:tc>
          <w:tcPr>
            <w:tcW w:w="2246" w:type="dxa"/>
            <w:tcBorders>
              <w:top w:val="single" w:color="000000" w:sz="4" w:space="0"/>
              <w:left w:val="single" w:color="000000" w:sz="4" w:space="0"/>
              <w:bottom w:val="single" w:color="000000" w:sz="4" w:space="0"/>
              <w:right w:val="single" w:color="000000" w:sz="4" w:space="0"/>
            </w:tcBorders>
            <w:vAlign w:val="center"/>
          </w:tcPr>
          <w:p w14:paraId="159907BD">
            <w:pPr>
              <w:widowControl/>
              <w:spacing w:line="240" w:lineRule="auto"/>
              <w:ind w:firstLine="0" w:firstLineChars="0"/>
              <w:jc w:val="center"/>
              <w:rPr>
                <w:rFonts w:cs="Times New Roman"/>
                <w:kern w:val="0"/>
                <w:szCs w:val="21"/>
              </w:rPr>
            </w:pPr>
            <w:r>
              <w:rPr>
                <w:rFonts w:cs="Times New Roman"/>
                <w:kern w:val="0"/>
                <w:sz w:val="21"/>
                <w:szCs w:val="21"/>
                <w:lang w:bidi="ar"/>
              </w:rPr>
              <w:t>山地森林、林缘地带</w:t>
            </w:r>
          </w:p>
        </w:tc>
        <w:tc>
          <w:tcPr>
            <w:tcW w:w="1093" w:type="dxa"/>
            <w:tcBorders>
              <w:top w:val="single" w:color="000000" w:sz="4" w:space="0"/>
              <w:left w:val="single" w:color="000000" w:sz="4" w:space="0"/>
              <w:bottom w:val="single" w:color="000000" w:sz="4" w:space="0"/>
              <w:right w:val="single" w:color="000000" w:sz="4" w:space="0"/>
            </w:tcBorders>
            <w:vAlign w:val="center"/>
          </w:tcPr>
          <w:p w14:paraId="2ACA915D">
            <w:pPr>
              <w:widowControl/>
              <w:spacing w:line="240" w:lineRule="auto"/>
              <w:ind w:firstLine="0" w:firstLineChars="0"/>
              <w:jc w:val="center"/>
              <w:rPr>
                <w:rFonts w:cs="Times New Roman"/>
                <w:kern w:val="0"/>
                <w:szCs w:val="21"/>
              </w:rPr>
            </w:pPr>
            <w:r>
              <w:rPr>
                <w:rFonts w:cs="Times New Roman"/>
                <w:kern w:val="0"/>
                <w:sz w:val="21"/>
                <w:szCs w:val="21"/>
                <w:lang w:bidi="ar"/>
              </w:rPr>
              <w:t>Ⅱ</w:t>
            </w:r>
          </w:p>
        </w:tc>
      </w:tr>
      <w:tr w14:paraId="6D06E9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3EF79607">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3B4359E5">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21DC6762">
            <w:pPr>
              <w:widowControl/>
              <w:spacing w:line="240" w:lineRule="auto"/>
              <w:ind w:firstLine="0" w:firstLineChars="0"/>
              <w:jc w:val="left"/>
              <w:rPr>
                <w:rFonts w:cs="Times New Roman"/>
                <w:kern w:val="0"/>
                <w:szCs w:val="21"/>
              </w:rPr>
            </w:pPr>
            <w:r>
              <w:rPr>
                <w:rFonts w:cs="Times New Roman"/>
                <w:kern w:val="0"/>
                <w:sz w:val="21"/>
                <w:szCs w:val="21"/>
                <w:lang w:bidi="ar"/>
              </w:rPr>
              <w:t xml:space="preserve">日本松雀鹰 </w:t>
            </w:r>
            <w:r>
              <w:rPr>
                <w:rFonts w:cs="Times New Roman"/>
                <w:i/>
                <w:iCs/>
                <w:kern w:val="0"/>
                <w:sz w:val="21"/>
                <w:szCs w:val="21"/>
                <w:lang w:bidi="ar"/>
              </w:rPr>
              <w:t>Acipiter gularis</w:t>
            </w:r>
          </w:p>
        </w:tc>
        <w:tc>
          <w:tcPr>
            <w:tcW w:w="2246" w:type="dxa"/>
            <w:tcBorders>
              <w:top w:val="single" w:color="000000" w:sz="4" w:space="0"/>
              <w:left w:val="single" w:color="000000" w:sz="4" w:space="0"/>
              <w:bottom w:val="single" w:color="000000" w:sz="4" w:space="0"/>
              <w:right w:val="single" w:color="000000" w:sz="4" w:space="0"/>
            </w:tcBorders>
            <w:vAlign w:val="center"/>
          </w:tcPr>
          <w:p w14:paraId="1F76CF21">
            <w:pPr>
              <w:widowControl/>
              <w:spacing w:line="240" w:lineRule="auto"/>
              <w:ind w:firstLine="0" w:firstLineChars="0"/>
              <w:jc w:val="center"/>
              <w:rPr>
                <w:rFonts w:cs="Times New Roman"/>
                <w:kern w:val="0"/>
                <w:szCs w:val="21"/>
              </w:rPr>
            </w:pPr>
            <w:r>
              <w:rPr>
                <w:rFonts w:cs="Times New Roman"/>
                <w:kern w:val="0"/>
                <w:sz w:val="21"/>
                <w:szCs w:val="21"/>
                <w:lang w:bidi="ar"/>
              </w:rPr>
              <w:t>山地森林、林缘地带</w:t>
            </w:r>
          </w:p>
        </w:tc>
        <w:tc>
          <w:tcPr>
            <w:tcW w:w="1093" w:type="dxa"/>
            <w:tcBorders>
              <w:top w:val="single" w:color="000000" w:sz="4" w:space="0"/>
              <w:left w:val="single" w:color="000000" w:sz="4" w:space="0"/>
              <w:bottom w:val="single" w:color="000000" w:sz="4" w:space="0"/>
              <w:right w:val="single" w:color="000000" w:sz="4" w:space="0"/>
            </w:tcBorders>
            <w:vAlign w:val="center"/>
          </w:tcPr>
          <w:p w14:paraId="2BF4E521">
            <w:pPr>
              <w:widowControl/>
              <w:spacing w:line="240" w:lineRule="auto"/>
              <w:ind w:firstLine="0" w:firstLineChars="0"/>
              <w:jc w:val="center"/>
              <w:rPr>
                <w:rFonts w:cs="Times New Roman"/>
                <w:kern w:val="0"/>
                <w:szCs w:val="21"/>
              </w:rPr>
            </w:pPr>
            <w:r>
              <w:rPr>
                <w:rFonts w:cs="Times New Roman"/>
                <w:kern w:val="0"/>
                <w:sz w:val="21"/>
                <w:szCs w:val="21"/>
                <w:lang w:bidi="ar"/>
              </w:rPr>
              <w:t>Ⅱ</w:t>
            </w:r>
          </w:p>
        </w:tc>
      </w:tr>
      <w:tr w14:paraId="68ED7E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3D2744D4">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26886058">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58E4D5F3">
            <w:pPr>
              <w:widowControl/>
              <w:spacing w:line="240" w:lineRule="auto"/>
              <w:ind w:firstLine="0" w:firstLineChars="0"/>
              <w:jc w:val="left"/>
              <w:rPr>
                <w:rFonts w:cs="Times New Roman"/>
                <w:kern w:val="0"/>
                <w:szCs w:val="21"/>
              </w:rPr>
            </w:pPr>
            <w:r>
              <w:rPr>
                <w:rFonts w:cs="Times New Roman"/>
                <w:kern w:val="0"/>
                <w:sz w:val="21"/>
                <w:szCs w:val="21"/>
                <w:lang w:bidi="ar"/>
              </w:rPr>
              <w:t xml:space="preserve">松雀鹰 </w:t>
            </w:r>
            <w:r>
              <w:rPr>
                <w:rFonts w:cs="Times New Roman"/>
                <w:i/>
                <w:iCs/>
                <w:kern w:val="0"/>
                <w:sz w:val="21"/>
                <w:szCs w:val="21"/>
                <w:lang w:bidi="ar"/>
              </w:rPr>
              <w:t>Accipiter virgatus</w:t>
            </w:r>
          </w:p>
        </w:tc>
        <w:tc>
          <w:tcPr>
            <w:tcW w:w="2246" w:type="dxa"/>
            <w:tcBorders>
              <w:top w:val="single" w:color="000000" w:sz="4" w:space="0"/>
              <w:left w:val="single" w:color="000000" w:sz="4" w:space="0"/>
              <w:bottom w:val="single" w:color="000000" w:sz="4" w:space="0"/>
              <w:right w:val="single" w:color="000000" w:sz="4" w:space="0"/>
            </w:tcBorders>
            <w:vAlign w:val="center"/>
          </w:tcPr>
          <w:p w14:paraId="5DF0BE24">
            <w:pPr>
              <w:widowControl/>
              <w:spacing w:line="240" w:lineRule="auto"/>
              <w:ind w:firstLine="0" w:firstLineChars="0"/>
              <w:jc w:val="center"/>
              <w:rPr>
                <w:rFonts w:cs="Times New Roman"/>
                <w:kern w:val="0"/>
                <w:szCs w:val="21"/>
              </w:rPr>
            </w:pPr>
            <w:r>
              <w:rPr>
                <w:rFonts w:cs="Times New Roman"/>
                <w:kern w:val="0"/>
                <w:sz w:val="21"/>
                <w:szCs w:val="21"/>
                <w:lang w:bidi="ar"/>
              </w:rPr>
              <w:t>山地森林、林缘地带</w:t>
            </w:r>
          </w:p>
        </w:tc>
        <w:tc>
          <w:tcPr>
            <w:tcW w:w="1093" w:type="dxa"/>
            <w:tcBorders>
              <w:top w:val="single" w:color="000000" w:sz="4" w:space="0"/>
              <w:left w:val="single" w:color="000000" w:sz="4" w:space="0"/>
              <w:bottom w:val="single" w:color="000000" w:sz="4" w:space="0"/>
              <w:right w:val="single" w:color="000000" w:sz="4" w:space="0"/>
            </w:tcBorders>
            <w:vAlign w:val="center"/>
          </w:tcPr>
          <w:p w14:paraId="77BB565F">
            <w:pPr>
              <w:widowControl/>
              <w:spacing w:line="240" w:lineRule="auto"/>
              <w:ind w:firstLine="0" w:firstLineChars="0"/>
              <w:jc w:val="center"/>
              <w:rPr>
                <w:rFonts w:cs="Times New Roman"/>
                <w:kern w:val="0"/>
                <w:szCs w:val="21"/>
              </w:rPr>
            </w:pPr>
            <w:r>
              <w:rPr>
                <w:rFonts w:cs="Times New Roman"/>
                <w:kern w:val="0"/>
                <w:sz w:val="21"/>
                <w:szCs w:val="21"/>
                <w:lang w:bidi="ar"/>
              </w:rPr>
              <w:t>Ⅱ</w:t>
            </w:r>
          </w:p>
        </w:tc>
      </w:tr>
      <w:tr w14:paraId="2F54A0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7A2A88FB">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4CD60B4E">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4A7C8E92">
            <w:pPr>
              <w:widowControl/>
              <w:spacing w:line="240" w:lineRule="auto"/>
              <w:ind w:firstLine="0" w:firstLineChars="0"/>
              <w:jc w:val="left"/>
              <w:rPr>
                <w:rFonts w:cs="Times New Roman"/>
                <w:kern w:val="0"/>
                <w:szCs w:val="21"/>
              </w:rPr>
            </w:pPr>
            <w:r>
              <w:rPr>
                <w:rFonts w:cs="Times New Roman"/>
                <w:kern w:val="0"/>
                <w:sz w:val="21"/>
                <w:szCs w:val="21"/>
                <w:lang w:bidi="ar"/>
              </w:rPr>
              <w:t xml:space="preserve">雀鹰 </w:t>
            </w:r>
            <w:r>
              <w:rPr>
                <w:rFonts w:cs="Times New Roman"/>
                <w:i/>
                <w:iCs/>
                <w:kern w:val="0"/>
                <w:sz w:val="21"/>
                <w:szCs w:val="21"/>
                <w:lang w:bidi="ar"/>
              </w:rPr>
              <w:t>Acipiter nisus</w:t>
            </w:r>
          </w:p>
        </w:tc>
        <w:tc>
          <w:tcPr>
            <w:tcW w:w="2246" w:type="dxa"/>
            <w:tcBorders>
              <w:top w:val="single" w:color="000000" w:sz="4" w:space="0"/>
              <w:left w:val="single" w:color="000000" w:sz="4" w:space="0"/>
              <w:bottom w:val="single" w:color="000000" w:sz="4" w:space="0"/>
              <w:right w:val="single" w:color="000000" w:sz="4" w:space="0"/>
            </w:tcBorders>
            <w:vAlign w:val="center"/>
          </w:tcPr>
          <w:p w14:paraId="27764BB6">
            <w:pPr>
              <w:widowControl/>
              <w:spacing w:line="240" w:lineRule="auto"/>
              <w:ind w:firstLine="0" w:firstLineChars="0"/>
              <w:jc w:val="center"/>
              <w:rPr>
                <w:rFonts w:cs="Times New Roman"/>
                <w:kern w:val="0"/>
                <w:szCs w:val="21"/>
              </w:rPr>
            </w:pPr>
            <w:r>
              <w:rPr>
                <w:rFonts w:cs="Times New Roman"/>
                <w:kern w:val="0"/>
                <w:sz w:val="21"/>
                <w:szCs w:val="21"/>
                <w:lang w:bidi="ar"/>
              </w:rPr>
              <w:t>山地森林、林缘地带</w:t>
            </w:r>
          </w:p>
        </w:tc>
        <w:tc>
          <w:tcPr>
            <w:tcW w:w="1093" w:type="dxa"/>
            <w:tcBorders>
              <w:top w:val="single" w:color="000000" w:sz="4" w:space="0"/>
              <w:left w:val="single" w:color="000000" w:sz="4" w:space="0"/>
              <w:bottom w:val="single" w:color="000000" w:sz="4" w:space="0"/>
              <w:right w:val="single" w:color="000000" w:sz="4" w:space="0"/>
            </w:tcBorders>
            <w:vAlign w:val="center"/>
          </w:tcPr>
          <w:p w14:paraId="00434256">
            <w:pPr>
              <w:widowControl/>
              <w:spacing w:line="240" w:lineRule="auto"/>
              <w:ind w:firstLine="0" w:firstLineChars="0"/>
              <w:jc w:val="center"/>
              <w:rPr>
                <w:rFonts w:cs="Times New Roman"/>
                <w:kern w:val="0"/>
                <w:szCs w:val="21"/>
              </w:rPr>
            </w:pPr>
            <w:r>
              <w:rPr>
                <w:rFonts w:cs="Times New Roman"/>
                <w:kern w:val="0"/>
                <w:sz w:val="21"/>
                <w:szCs w:val="21"/>
                <w:lang w:bidi="ar"/>
              </w:rPr>
              <w:t>Ⅱ</w:t>
            </w:r>
          </w:p>
        </w:tc>
      </w:tr>
      <w:tr w14:paraId="588210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5C8DFA01">
            <w:pPr>
              <w:spacing w:line="240" w:lineRule="auto"/>
              <w:ind w:firstLine="0" w:firstLineChars="0"/>
              <w:rPr>
                <w:rFonts w:cs="Times New Roman"/>
                <w:sz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4DBCDF50">
            <w:pPr>
              <w:widowControl/>
              <w:spacing w:line="240" w:lineRule="auto"/>
              <w:ind w:firstLine="0" w:firstLineChars="0"/>
              <w:jc w:val="center"/>
              <w:rPr>
                <w:rFonts w:cs="Times New Roman"/>
                <w:kern w:val="0"/>
                <w:szCs w:val="21"/>
              </w:rPr>
            </w:pPr>
            <w:r>
              <w:rPr>
                <w:rFonts w:cs="Times New Roman"/>
                <w:kern w:val="0"/>
                <w:sz w:val="21"/>
                <w:szCs w:val="21"/>
                <w:lang w:bidi="ar"/>
              </w:rPr>
              <w:t>隼科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61CFEFEE">
            <w:pPr>
              <w:widowControl/>
              <w:spacing w:line="240" w:lineRule="auto"/>
              <w:ind w:firstLine="0" w:firstLineChars="0"/>
              <w:rPr>
                <w:rFonts w:cs="Times New Roman"/>
                <w:kern w:val="0"/>
                <w:szCs w:val="21"/>
              </w:rPr>
            </w:pPr>
            <w:r>
              <w:rPr>
                <w:rFonts w:cs="Times New Roman"/>
                <w:kern w:val="0"/>
                <w:sz w:val="21"/>
                <w:szCs w:val="21"/>
                <w:lang w:bidi="ar"/>
              </w:rPr>
              <w:t xml:space="preserve">红隼 </w:t>
            </w:r>
            <w:r>
              <w:rPr>
                <w:rFonts w:cs="Times New Roman"/>
                <w:i/>
                <w:iCs/>
                <w:kern w:val="0"/>
                <w:sz w:val="21"/>
                <w:szCs w:val="21"/>
                <w:lang w:bidi="ar"/>
              </w:rPr>
              <w:t>Falco tinnunculus</w:t>
            </w:r>
          </w:p>
        </w:tc>
        <w:tc>
          <w:tcPr>
            <w:tcW w:w="2246" w:type="dxa"/>
            <w:tcBorders>
              <w:top w:val="single" w:color="000000" w:sz="4" w:space="0"/>
              <w:left w:val="single" w:color="000000" w:sz="4" w:space="0"/>
              <w:bottom w:val="single" w:color="000000" w:sz="4" w:space="0"/>
              <w:right w:val="single" w:color="000000" w:sz="4" w:space="0"/>
            </w:tcBorders>
            <w:vAlign w:val="center"/>
          </w:tcPr>
          <w:p w14:paraId="01345E92">
            <w:pPr>
              <w:widowControl/>
              <w:spacing w:line="240" w:lineRule="auto"/>
              <w:ind w:firstLine="0" w:firstLineChars="0"/>
              <w:jc w:val="center"/>
              <w:rPr>
                <w:rFonts w:cs="Times New Roman"/>
                <w:kern w:val="0"/>
                <w:szCs w:val="21"/>
              </w:rPr>
            </w:pPr>
            <w:r>
              <w:rPr>
                <w:rFonts w:cs="Times New Roman"/>
                <w:kern w:val="0"/>
                <w:sz w:val="21"/>
                <w:szCs w:val="21"/>
                <w:lang w:bidi="ar"/>
              </w:rPr>
              <w:t>山地、旷野</w:t>
            </w:r>
          </w:p>
        </w:tc>
        <w:tc>
          <w:tcPr>
            <w:tcW w:w="1093" w:type="dxa"/>
            <w:tcBorders>
              <w:top w:val="single" w:color="000000" w:sz="4" w:space="0"/>
              <w:left w:val="single" w:color="000000" w:sz="4" w:space="0"/>
              <w:bottom w:val="single" w:color="000000" w:sz="4" w:space="0"/>
              <w:right w:val="single" w:color="000000" w:sz="4" w:space="0"/>
            </w:tcBorders>
            <w:vAlign w:val="center"/>
          </w:tcPr>
          <w:p w14:paraId="511CCA19">
            <w:pPr>
              <w:widowControl/>
              <w:spacing w:line="240" w:lineRule="auto"/>
              <w:ind w:firstLine="0" w:firstLineChars="0"/>
              <w:jc w:val="center"/>
              <w:rPr>
                <w:rFonts w:cs="Times New Roman"/>
                <w:kern w:val="0"/>
                <w:szCs w:val="21"/>
              </w:rPr>
            </w:pPr>
            <w:r>
              <w:rPr>
                <w:rFonts w:cs="Times New Roman"/>
                <w:kern w:val="0"/>
                <w:sz w:val="21"/>
                <w:szCs w:val="21"/>
                <w:lang w:bidi="ar"/>
              </w:rPr>
              <w:t>Ⅱ</w:t>
            </w:r>
          </w:p>
        </w:tc>
      </w:tr>
      <w:tr w14:paraId="06B4B2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tcBorders>
              <w:top w:val="single" w:color="000000" w:sz="4" w:space="0"/>
              <w:left w:val="single" w:color="000000" w:sz="4" w:space="0"/>
              <w:bottom w:val="single" w:color="000000" w:sz="4" w:space="0"/>
              <w:right w:val="single" w:color="000000" w:sz="4" w:space="0"/>
            </w:tcBorders>
            <w:vAlign w:val="center"/>
          </w:tcPr>
          <w:p w14:paraId="10C8873D">
            <w:pPr>
              <w:widowControl/>
              <w:spacing w:line="240" w:lineRule="auto"/>
              <w:ind w:firstLine="0" w:firstLineChars="0"/>
              <w:jc w:val="center"/>
              <w:rPr>
                <w:rFonts w:cs="Times New Roman"/>
                <w:kern w:val="0"/>
                <w:szCs w:val="21"/>
              </w:rPr>
            </w:pPr>
            <w:r>
              <w:rPr>
                <w:rFonts w:cs="Times New Roman"/>
                <w:kern w:val="0"/>
                <w:sz w:val="21"/>
                <w:szCs w:val="21"/>
                <w:lang w:bidi="ar"/>
              </w:rPr>
              <w:t>鸡形目</w:t>
            </w:r>
          </w:p>
        </w:tc>
        <w:tc>
          <w:tcPr>
            <w:tcW w:w="850" w:type="dxa"/>
            <w:tcBorders>
              <w:top w:val="single" w:color="000000" w:sz="4" w:space="0"/>
              <w:left w:val="single" w:color="000000" w:sz="4" w:space="0"/>
              <w:bottom w:val="single" w:color="000000" w:sz="4" w:space="0"/>
              <w:right w:val="single" w:color="000000" w:sz="4" w:space="0"/>
            </w:tcBorders>
            <w:vAlign w:val="center"/>
          </w:tcPr>
          <w:p w14:paraId="77F8F690">
            <w:pPr>
              <w:widowControl/>
              <w:spacing w:line="240" w:lineRule="auto"/>
              <w:ind w:firstLine="0" w:firstLineChars="0"/>
              <w:jc w:val="center"/>
              <w:rPr>
                <w:rFonts w:cs="Times New Roman"/>
                <w:kern w:val="0"/>
                <w:szCs w:val="21"/>
              </w:rPr>
            </w:pPr>
            <w:r>
              <w:rPr>
                <w:rFonts w:cs="Times New Roman"/>
                <w:kern w:val="0"/>
                <w:sz w:val="21"/>
                <w:szCs w:val="21"/>
                <w:lang w:bidi="ar"/>
              </w:rPr>
              <w:t>雉科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2517F67D">
            <w:pPr>
              <w:widowControl/>
              <w:spacing w:line="240" w:lineRule="auto"/>
              <w:ind w:firstLine="0" w:firstLineChars="0"/>
              <w:jc w:val="left"/>
              <w:rPr>
                <w:rFonts w:cs="Times New Roman"/>
                <w:kern w:val="0"/>
                <w:szCs w:val="21"/>
              </w:rPr>
            </w:pPr>
            <w:r>
              <w:rPr>
                <w:rFonts w:cs="Times New Roman"/>
                <w:kern w:val="0"/>
                <w:sz w:val="21"/>
                <w:szCs w:val="21"/>
                <w:lang w:bidi="ar"/>
              </w:rPr>
              <w:t xml:space="preserve">灰胸竹鸡 </w:t>
            </w:r>
            <w:r>
              <w:rPr>
                <w:rFonts w:cs="Times New Roman"/>
                <w:i/>
                <w:iCs/>
                <w:kern w:val="0"/>
                <w:sz w:val="21"/>
                <w:szCs w:val="21"/>
                <w:lang w:bidi="ar"/>
              </w:rPr>
              <w:t>Bambusicola thoracica</w:t>
            </w:r>
          </w:p>
        </w:tc>
        <w:tc>
          <w:tcPr>
            <w:tcW w:w="2246" w:type="dxa"/>
            <w:tcBorders>
              <w:top w:val="single" w:color="000000" w:sz="4" w:space="0"/>
              <w:left w:val="single" w:color="000000" w:sz="4" w:space="0"/>
              <w:bottom w:val="single" w:color="000000" w:sz="4" w:space="0"/>
              <w:right w:val="single" w:color="000000" w:sz="4" w:space="0"/>
            </w:tcBorders>
            <w:vAlign w:val="center"/>
          </w:tcPr>
          <w:p w14:paraId="2357DCC6">
            <w:pPr>
              <w:widowControl/>
              <w:spacing w:line="240" w:lineRule="auto"/>
              <w:ind w:firstLine="0" w:firstLineChars="0"/>
              <w:jc w:val="center"/>
              <w:rPr>
                <w:rFonts w:cs="Times New Roman"/>
                <w:kern w:val="0"/>
                <w:szCs w:val="21"/>
              </w:rPr>
            </w:pPr>
            <w:r>
              <w:rPr>
                <w:rFonts w:cs="Times New Roman"/>
                <w:kern w:val="0"/>
                <w:sz w:val="21"/>
                <w:szCs w:val="21"/>
                <w:lang w:bidi="ar"/>
              </w:rPr>
              <w:t>矮树丛、竹林灌丛</w:t>
            </w:r>
          </w:p>
        </w:tc>
        <w:tc>
          <w:tcPr>
            <w:tcW w:w="1093" w:type="dxa"/>
            <w:tcBorders>
              <w:top w:val="single" w:color="000000" w:sz="4" w:space="0"/>
              <w:left w:val="single" w:color="000000" w:sz="4" w:space="0"/>
              <w:bottom w:val="single" w:color="000000" w:sz="4" w:space="0"/>
              <w:right w:val="single" w:color="000000" w:sz="4" w:space="0"/>
            </w:tcBorders>
            <w:vAlign w:val="center"/>
          </w:tcPr>
          <w:p w14:paraId="7CBD56B7">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6A61B7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restart"/>
            <w:tcBorders>
              <w:top w:val="single" w:color="000000" w:sz="4" w:space="0"/>
              <w:left w:val="single" w:color="000000" w:sz="4" w:space="0"/>
              <w:bottom w:val="single" w:color="000000" w:sz="4" w:space="0"/>
              <w:right w:val="single" w:color="000000" w:sz="4" w:space="0"/>
            </w:tcBorders>
            <w:vAlign w:val="center"/>
          </w:tcPr>
          <w:p w14:paraId="5D40FF18">
            <w:pPr>
              <w:spacing w:line="240" w:lineRule="auto"/>
              <w:ind w:firstLine="0" w:firstLineChars="0"/>
              <w:jc w:val="center"/>
              <w:rPr>
                <w:rFonts w:cs="Times New Roman"/>
                <w:kern w:val="0"/>
                <w:szCs w:val="21"/>
              </w:rPr>
            </w:pPr>
            <w:r>
              <w:rPr>
                <w:rFonts w:cs="Times New Roman"/>
                <w:kern w:val="0"/>
                <w:sz w:val="21"/>
                <w:szCs w:val="21"/>
                <w:lang w:bidi="ar"/>
              </w:rPr>
              <w:t>鸻形目</w:t>
            </w:r>
          </w:p>
        </w:tc>
        <w:tc>
          <w:tcPr>
            <w:tcW w:w="850" w:type="dxa"/>
            <w:vMerge w:val="restart"/>
            <w:tcBorders>
              <w:top w:val="single" w:color="000000" w:sz="4" w:space="0"/>
              <w:left w:val="single" w:color="000000" w:sz="4" w:space="0"/>
              <w:bottom w:val="single" w:color="000000" w:sz="4" w:space="0"/>
              <w:right w:val="single" w:color="000000" w:sz="4" w:space="0"/>
            </w:tcBorders>
            <w:vAlign w:val="center"/>
          </w:tcPr>
          <w:p w14:paraId="2187231F">
            <w:pPr>
              <w:widowControl/>
              <w:spacing w:line="240" w:lineRule="auto"/>
              <w:ind w:firstLine="0" w:firstLineChars="0"/>
              <w:jc w:val="center"/>
              <w:rPr>
                <w:rFonts w:cs="Times New Roman"/>
                <w:kern w:val="0"/>
                <w:szCs w:val="21"/>
              </w:rPr>
            </w:pPr>
            <w:r>
              <w:rPr>
                <w:rFonts w:cs="Times New Roman"/>
                <w:kern w:val="0"/>
                <w:sz w:val="21"/>
                <w:szCs w:val="21"/>
                <w:lang w:bidi="ar"/>
              </w:rPr>
              <w:t>鸻科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585B2936">
            <w:pPr>
              <w:widowControl/>
              <w:spacing w:line="240" w:lineRule="auto"/>
              <w:ind w:firstLine="0" w:firstLineChars="0"/>
              <w:jc w:val="left"/>
              <w:rPr>
                <w:rFonts w:cs="Times New Roman"/>
                <w:kern w:val="0"/>
                <w:szCs w:val="21"/>
              </w:rPr>
            </w:pPr>
            <w:r>
              <w:rPr>
                <w:rFonts w:cs="Times New Roman"/>
                <w:kern w:val="0"/>
                <w:sz w:val="21"/>
                <w:szCs w:val="21"/>
                <w:lang w:bidi="ar"/>
              </w:rPr>
              <w:t xml:space="preserve">金斑鸻 </w:t>
            </w:r>
            <w:r>
              <w:rPr>
                <w:rFonts w:cs="Times New Roman"/>
                <w:i/>
                <w:iCs/>
                <w:kern w:val="0"/>
                <w:sz w:val="21"/>
                <w:szCs w:val="21"/>
                <w:lang w:bidi="ar"/>
              </w:rPr>
              <w:t>Pluvialis fulva</w:t>
            </w:r>
          </w:p>
        </w:tc>
        <w:tc>
          <w:tcPr>
            <w:tcW w:w="2246" w:type="dxa"/>
            <w:tcBorders>
              <w:top w:val="single" w:color="000000" w:sz="4" w:space="0"/>
              <w:left w:val="single" w:color="000000" w:sz="4" w:space="0"/>
              <w:bottom w:val="single" w:color="000000" w:sz="4" w:space="0"/>
              <w:right w:val="single" w:color="000000" w:sz="4" w:space="0"/>
            </w:tcBorders>
            <w:vAlign w:val="center"/>
          </w:tcPr>
          <w:p w14:paraId="3C48EB5D">
            <w:pPr>
              <w:widowControl/>
              <w:spacing w:line="240" w:lineRule="auto"/>
              <w:ind w:firstLine="0" w:firstLineChars="0"/>
              <w:jc w:val="center"/>
              <w:rPr>
                <w:rFonts w:cs="Times New Roman"/>
                <w:kern w:val="0"/>
                <w:szCs w:val="21"/>
              </w:rPr>
            </w:pPr>
            <w:r>
              <w:rPr>
                <w:rFonts w:cs="Times New Roman"/>
                <w:kern w:val="0"/>
                <w:sz w:val="21"/>
                <w:szCs w:val="21"/>
                <w:lang w:bidi="ar"/>
              </w:rPr>
              <w:t>沿海滩涂、沙滩、草地</w:t>
            </w:r>
          </w:p>
        </w:tc>
        <w:tc>
          <w:tcPr>
            <w:tcW w:w="1093" w:type="dxa"/>
            <w:tcBorders>
              <w:top w:val="single" w:color="000000" w:sz="4" w:space="0"/>
              <w:left w:val="single" w:color="000000" w:sz="4" w:space="0"/>
              <w:bottom w:val="single" w:color="000000" w:sz="4" w:space="0"/>
              <w:right w:val="single" w:color="000000" w:sz="4" w:space="0"/>
            </w:tcBorders>
            <w:vAlign w:val="center"/>
          </w:tcPr>
          <w:p w14:paraId="547A1418">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13B7CD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41BF3C75">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607F2F2A">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0A415639">
            <w:pPr>
              <w:widowControl/>
              <w:spacing w:line="240" w:lineRule="auto"/>
              <w:ind w:firstLine="0" w:firstLineChars="0"/>
              <w:jc w:val="left"/>
              <w:rPr>
                <w:rFonts w:cs="Times New Roman"/>
                <w:kern w:val="0"/>
                <w:szCs w:val="21"/>
              </w:rPr>
            </w:pPr>
            <w:r>
              <w:rPr>
                <w:rFonts w:cs="Times New Roman"/>
                <w:kern w:val="0"/>
                <w:sz w:val="21"/>
                <w:szCs w:val="21"/>
                <w:lang w:bidi="ar"/>
              </w:rPr>
              <w:t xml:space="preserve">长嘴剑鸻 </w:t>
            </w:r>
            <w:r>
              <w:rPr>
                <w:rFonts w:cs="Times New Roman"/>
                <w:i/>
                <w:iCs/>
                <w:kern w:val="0"/>
                <w:sz w:val="21"/>
                <w:szCs w:val="21"/>
                <w:lang w:bidi="ar"/>
              </w:rPr>
              <w:t>Charadrius placidus</w:t>
            </w:r>
          </w:p>
        </w:tc>
        <w:tc>
          <w:tcPr>
            <w:tcW w:w="2246" w:type="dxa"/>
            <w:tcBorders>
              <w:top w:val="single" w:color="000000" w:sz="4" w:space="0"/>
              <w:left w:val="single" w:color="000000" w:sz="4" w:space="0"/>
              <w:bottom w:val="single" w:color="000000" w:sz="4" w:space="0"/>
              <w:right w:val="single" w:color="000000" w:sz="4" w:space="0"/>
            </w:tcBorders>
            <w:vAlign w:val="center"/>
          </w:tcPr>
          <w:p w14:paraId="079574C5">
            <w:pPr>
              <w:widowControl/>
              <w:spacing w:line="240" w:lineRule="auto"/>
              <w:ind w:firstLine="0" w:firstLineChars="0"/>
              <w:jc w:val="center"/>
              <w:rPr>
                <w:rFonts w:cs="Times New Roman"/>
                <w:kern w:val="0"/>
                <w:szCs w:val="21"/>
              </w:rPr>
            </w:pPr>
            <w:r>
              <w:rPr>
                <w:rFonts w:cs="Times New Roman"/>
                <w:kern w:val="0"/>
                <w:sz w:val="21"/>
                <w:szCs w:val="21"/>
                <w:lang w:bidi="ar"/>
              </w:rPr>
              <w:t>河边、滩涂</w:t>
            </w:r>
          </w:p>
        </w:tc>
        <w:tc>
          <w:tcPr>
            <w:tcW w:w="1093" w:type="dxa"/>
            <w:tcBorders>
              <w:top w:val="single" w:color="000000" w:sz="4" w:space="0"/>
              <w:left w:val="single" w:color="000000" w:sz="4" w:space="0"/>
              <w:bottom w:val="single" w:color="000000" w:sz="4" w:space="0"/>
              <w:right w:val="single" w:color="000000" w:sz="4" w:space="0"/>
            </w:tcBorders>
            <w:vAlign w:val="center"/>
          </w:tcPr>
          <w:p w14:paraId="0BAD558E">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33861D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0D575C73">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6B825089">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015890C8">
            <w:pPr>
              <w:widowControl/>
              <w:spacing w:line="240" w:lineRule="auto"/>
              <w:ind w:firstLine="0" w:firstLineChars="0"/>
              <w:jc w:val="left"/>
              <w:rPr>
                <w:rFonts w:cs="Times New Roman"/>
                <w:kern w:val="0"/>
                <w:szCs w:val="21"/>
              </w:rPr>
            </w:pPr>
            <w:r>
              <w:rPr>
                <w:rFonts w:cs="Times New Roman"/>
                <w:kern w:val="0"/>
                <w:sz w:val="21"/>
                <w:szCs w:val="21"/>
                <w:lang w:bidi="ar"/>
              </w:rPr>
              <w:t xml:space="preserve">金眶鸻 </w:t>
            </w:r>
            <w:r>
              <w:rPr>
                <w:rFonts w:cs="Times New Roman"/>
                <w:i/>
                <w:iCs/>
                <w:kern w:val="0"/>
                <w:sz w:val="21"/>
                <w:szCs w:val="21"/>
                <w:lang w:bidi="ar"/>
              </w:rPr>
              <w:t>Charadrius dubius</w:t>
            </w:r>
          </w:p>
        </w:tc>
        <w:tc>
          <w:tcPr>
            <w:tcW w:w="2246" w:type="dxa"/>
            <w:tcBorders>
              <w:top w:val="single" w:color="000000" w:sz="4" w:space="0"/>
              <w:left w:val="single" w:color="000000" w:sz="4" w:space="0"/>
              <w:bottom w:val="single" w:color="000000" w:sz="4" w:space="0"/>
              <w:right w:val="single" w:color="000000" w:sz="4" w:space="0"/>
            </w:tcBorders>
            <w:vAlign w:val="center"/>
          </w:tcPr>
          <w:p w14:paraId="3DB7099F">
            <w:pPr>
              <w:widowControl/>
              <w:spacing w:line="240" w:lineRule="auto"/>
              <w:ind w:firstLine="0" w:firstLineChars="0"/>
              <w:jc w:val="center"/>
              <w:rPr>
                <w:rFonts w:cs="Times New Roman"/>
                <w:kern w:val="0"/>
                <w:szCs w:val="21"/>
              </w:rPr>
            </w:pPr>
            <w:r>
              <w:rPr>
                <w:rFonts w:cs="Times New Roman"/>
                <w:kern w:val="0"/>
                <w:sz w:val="21"/>
                <w:szCs w:val="21"/>
                <w:lang w:bidi="ar"/>
              </w:rPr>
              <w:t>沿海、河边、沙滩</w:t>
            </w:r>
          </w:p>
        </w:tc>
        <w:tc>
          <w:tcPr>
            <w:tcW w:w="1093" w:type="dxa"/>
            <w:tcBorders>
              <w:top w:val="single" w:color="000000" w:sz="4" w:space="0"/>
              <w:left w:val="single" w:color="000000" w:sz="4" w:space="0"/>
              <w:bottom w:val="single" w:color="000000" w:sz="4" w:space="0"/>
              <w:right w:val="single" w:color="000000" w:sz="4" w:space="0"/>
            </w:tcBorders>
            <w:vAlign w:val="center"/>
          </w:tcPr>
          <w:p w14:paraId="31F8DEBF">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07ACDB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3B20E8FA">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78968C25">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428B52AA">
            <w:pPr>
              <w:widowControl/>
              <w:spacing w:line="240" w:lineRule="auto"/>
              <w:ind w:firstLine="0" w:firstLineChars="0"/>
              <w:jc w:val="left"/>
              <w:rPr>
                <w:rFonts w:cs="Times New Roman"/>
                <w:kern w:val="0"/>
                <w:szCs w:val="21"/>
              </w:rPr>
            </w:pPr>
            <w:r>
              <w:rPr>
                <w:rFonts w:cs="Times New Roman"/>
                <w:kern w:val="0"/>
                <w:sz w:val="21"/>
                <w:szCs w:val="21"/>
                <w:lang w:bidi="ar"/>
              </w:rPr>
              <w:t xml:space="preserve">环颈鸻 </w:t>
            </w:r>
            <w:r>
              <w:rPr>
                <w:rFonts w:cs="Times New Roman"/>
                <w:i/>
                <w:iCs/>
                <w:kern w:val="0"/>
                <w:sz w:val="21"/>
                <w:szCs w:val="21"/>
                <w:lang w:bidi="ar"/>
              </w:rPr>
              <w:t>Charadrius alexandrinus</w:t>
            </w:r>
          </w:p>
        </w:tc>
        <w:tc>
          <w:tcPr>
            <w:tcW w:w="2246" w:type="dxa"/>
            <w:tcBorders>
              <w:top w:val="single" w:color="000000" w:sz="4" w:space="0"/>
              <w:left w:val="single" w:color="000000" w:sz="4" w:space="0"/>
              <w:bottom w:val="single" w:color="000000" w:sz="4" w:space="0"/>
              <w:right w:val="single" w:color="000000" w:sz="4" w:space="0"/>
            </w:tcBorders>
            <w:vAlign w:val="center"/>
          </w:tcPr>
          <w:p w14:paraId="75EF1AE5">
            <w:pPr>
              <w:widowControl/>
              <w:spacing w:line="240" w:lineRule="auto"/>
              <w:ind w:firstLine="0" w:firstLineChars="0"/>
              <w:jc w:val="center"/>
              <w:rPr>
                <w:rFonts w:cs="Times New Roman"/>
                <w:kern w:val="0"/>
                <w:szCs w:val="21"/>
              </w:rPr>
            </w:pPr>
            <w:r>
              <w:rPr>
                <w:rFonts w:cs="Times New Roman"/>
                <w:kern w:val="0"/>
                <w:sz w:val="21"/>
                <w:szCs w:val="21"/>
                <w:lang w:bidi="ar"/>
              </w:rPr>
              <w:t>沿海、河边、沙滩</w:t>
            </w:r>
          </w:p>
        </w:tc>
        <w:tc>
          <w:tcPr>
            <w:tcW w:w="1093" w:type="dxa"/>
            <w:tcBorders>
              <w:top w:val="single" w:color="000000" w:sz="4" w:space="0"/>
              <w:left w:val="single" w:color="000000" w:sz="4" w:space="0"/>
              <w:bottom w:val="single" w:color="000000" w:sz="4" w:space="0"/>
              <w:right w:val="single" w:color="000000" w:sz="4" w:space="0"/>
            </w:tcBorders>
            <w:vAlign w:val="center"/>
          </w:tcPr>
          <w:p w14:paraId="70E7CCE8">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7D15EC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0D5DD01C">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630571F9">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62F25950">
            <w:pPr>
              <w:widowControl/>
              <w:spacing w:line="240" w:lineRule="auto"/>
              <w:ind w:firstLine="0" w:firstLineChars="0"/>
              <w:rPr>
                <w:rFonts w:cs="Times New Roman"/>
                <w:kern w:val="0"/>
                <w:szCs w:val="21"/>
              </w:rPr>
            </w:pPr>
            <w:r>
              <w:rPr>
                <w:rFonts w:cs="Times New Roman"/>
                <w:kern w:val="0"/>
                <w:sz w:val="21"/>
                <w:szCs w:val="21"/>
                <w:lang w:bidi="ar"/>
              </w:rPr>
              <w:t xml:space="preserve">凤头麦鸡 </w:t>
            </w:r>
            <w:r>
              <w:rPr>
                <w:rFonts w:cs="Times New Roman"/>
                <w:i/>
                <w:iCs/>
                <w:kern w:val="0"/>
                <w:sz w:val="21"/>
                <w:szCs w:val="21"/>
                <w:lang w:bidi="ar"/>
              </w:rPr>
              <w:t>Vanellus vanellus</w:t>
            </w:r>
          </w:p>
        </w:tc>
        <w:tc>
          <w:tcPr>
            <w:tcW w:w="2246" w:type="dxa"/>
            <w:tcBorders>
              <w:top w:val="single" w:color="000000" w:sz="4" w:space="0"/>
              <w:left w:val="single" w:color="000000" w:sz="4" w:space="0"/>
              <w:bottom w:val="single" w:color="000000" w:sz="4" w:space="0"/>
              <w:right w:val="single" w:color="000000" w:sz="4" w:space="0"/>
            </w:tcBorders>
            <w:vAlign w:val="center"/>
          </w:tcPr>
          <w:p w14:paraId="06593592">
            <w:pPr>
              <w:widowControl/>
              <w:spacing w:line="240" w:lineRule="auto"/>
              <w:ind w:firstLine="0" w:firstLineChars="0"/>
              <w:jc w:val="center"/>
              <w:rPr>
                <w:rFonts w:cs="Times New Roman"/>
                <w:kern w:val="0"/>
                <w:szCs w:val="21"/>
              </w:rPr>
            </w:pPr>
            <w:r>
              <w:rPr>
                <w:rFonts w:cs="Times New Roman"/>
                <w:kern w:val="0"/>
                <w:sz w:val="21"/>
                <w:szCs w:val="21"/>
                <w:lang w:bidi="ar"/>
              </w:rPr>
              <w:t>湖泊、沼泽、河流、林间草甸</w:t>
            </w:r>
          </w:p>
        </w:tc>
        <w:tc>
          <w:tcPr>
            <w:tcW w:w="1093" w:type="dxa"/>
            <w:tcBorders>
              <w:top w:val="single" w:color="000000" w:sz="4" w:space="0"/>
              <w:left w:val="single" w:color="000000" w:sz="4" w:space="0"/>
              <w:bottom w:val="single" w:color="000000" w:sz="4" w:space="0"/>
              <w:right w:val="single" w:color="000000" w:sz="4" w:space="0"/>
            </w:tcBorders>
            <w:vAlign w:val="center"/>
          </w:tcPr>
          <w:p w14:paraId="2768DDE9">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32E9EB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4D10F945">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1F379DF7">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33B3D4AA">
            <w:pPr>
              <w:widowControl/>
              <w:spacing w:line="240" w:lineRule="auto"/>
              <w:ind w:firstLine="0" w:firstLineChars="0"/>
              <w:rPr>
                <w:rFonts w:cs="Times New Roman"/>
                <w:kern w:val="0"/>
                <w:szCs w:val="21"/>
              </w:rPr>
            </w:pPr>
            <w:r>
              <w:rPr>
                <w:rFonts w:cs="Times New Roman"/>
                <w:kern w:val="0"/>
                <w:sz w:val="21"/>
                <w:szCs w:val="21"/>
                <w:lang w:bidi="ar"/>
              </w:rPr>
              <w:t xml:space="preserve">灰头麦鸡 </w:t>
            </w:r>
            <w:r>
              <w:rPr>
                <w:rFonts w:cs="Times New Roman"/>
                <w:i/>
                <w:iCs/>
                <w:kern w:val="0"/>
                <w:sz w:val="21"/>
                <w:szCs w:val="21"/>
                <w:lang w:bidi="ar"/>
              </w:rPr>
              <w:t>Vanellus cinereus</w:t>
            </w:r>
          </w:p>
        </w:tc>
        <w:tc>
          <w:tcPr>
            <w:tcW w:w="2246" w:type="dxa"/>
            <w:tcBorders>
              <w:top w:val="single" w:color="000000" w:sz="4" w:space="0"/>
              <w:left w:val="single" w:color="000000" w:sz="4" w:space="0"/>
              <w:bottom w:val="single" w:color="000000" w:sz="4" w:space="0"/>
              <w:right w:val="single" w:color="000000" w:sz="4" w:space="0"/>
            </w:tcBorders>
            <w:vAlign w:val="center"/>
          </w:tcPr>
          <w:p w14:paraId="14F23F9F">
            <w:pPr>
              <w:widowControl/>
              <w:spacing w:line="240" w:lineRule="auto"/>
              <w:ind w:firstLine="0" w:firstLineChars="0"/>
              <w:jc w:val="center"/>
              <w:rPr>
                <w:rFonts w:cs="Times New Roman"/>
                <w:kern w:val="0"/>
                <w:szCs w:val="21"/>
              </w:rPr>
            </w:pPr>
            <w:r>
              <w:rPr>
                <w:rFonts w:cs="Times New Roman"/>
                <w:kern w:val="0"/>
                <w:sz w:val="21"/>
                <w:szCs w:val="21"/>
                <w:lang w:bidi="ar"/>
              </w:rPr>
              <w:t>近水的开阔地带、河滩、沼泽</w:t>
            </w:r>
          </w:p>
        </w:tc>
        <w:tc>
          <w:tcPr>
            <w:tcW w:w="1093" w:type="dxa"/>
            <w:tcBorders>
              <w:top w:val="single" w:color="000000" w:sz="4" w:space="0"/>
              <w:left w:val="single" w:color="000000" w:sz="4" w:space="0"/>
              <w:bottom w:val="single" w:color="000000" w:sz="4" w:space="0"/>
              <w:right w:val="single" w:color="000000" w:sz="4" w:space="0"/>
            </w:tcBorders>
            <w:vAlign w:val="center"/>
          </w:tcPr>
          <w:p w14:paraId="2C7F83A4">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1B6EB4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530F38B4">
            <w:pPr>
              <w:spacing w:line="240" w:lineRule="auto"/>
              <w:ind w:firstLine="0" w:firstLineChars="0"/>
              <w:rPr>
                <w:rFonts w:cs="Times New Roman"/>
                <w:sz w:val="21"/>
              </w:rPr>
            </w:pPr>
          </w:p>
        </w:tc>
        <w:tc>
          <w:tcPr>
            <w:tcW w:w="850" w:type="dxa"/>
            <w:vMerge w:val="restart"/>
            <w:tcBorders>
              <w:top w:val="single" w:color="000000" w:sz="4" w:space="0"/>
              <w:left w:val="single" w:color="000000" w:sz="4" w:space="0"/>
              <w:bottom w:val="single" w:color="000000" w:sz="4" w:space="0"/>
              <w:right w:val="single" w:color="000000" w:sz="4" w:space="0"/>
            </w:tcBorders>
            <w:vAlign w:val="center"/>
          </w:tcPr>
          <w:p w14:paraId="09FF2B88">
            <w:pPr>
              <w:widowControl/>
              <w:spacing w:line="240" w:lineRule="auto"/>
              <w:ind w:firstLine="0" w:firstLineChars="0"/>
              <w:jc w:val="center"/>
              <w:rPr>
                <w:rFonts w:cs="Times New Roman"/>
                <w:kern w:val="0"/>
                <w:szCs w:val="21"/>
              </w:rPr>
            </w:pPr>
            <w:r>
              <w:rPr>
                <w:rFonts w:cs="Times New Roman"/>
                <w:kern w:val="0"/>
                <w:sz w:val="21"/>
                <w:szCs w:val="21"/>
                <w:lang w:bidi="ar"/>
              </w:rPr>
              <w:t>鹬科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1D35C797">
            <w:pPr>
              <w:widowControl/>
              <w:spacing w:line="240" w:lineRule="auto"/>
              <w:ind w:firstLine="0" w:firstLineChars="0"/>
              <w:jc w:val="left"/>
              <w:rPr>
                <w:rFonts w:cs="Times New Roman"/>
                <w:kern w:val="0"/>
                <w:szCs w:val="21"/>
              </w:rPr>
            </w:pPr>
            <w:r>
              <w:rPr>
                <w:rFonts w:cs="Times New Roman"/>
                <w:kern w:val="0"/>
                <w:sz w:val="21"/>
                <w:szCs w:val="21"/>
                <w:lang w:bidi="ar"/>
              </w:rPr>
              <w:t xml:space="preserve">矶鹬 </w:t>
            </w:r>
            <w:r>
              <w:rPr>
                <w:rFonts w:cs="Times New Roman"/>
                <w:i/>
                <w:iCs/>
                <w:kern w:val="0"/>
                <w:sz w:val="21"/>
                <w:szCs w:val="21"/>
                <w:lang w:bidi="ar"/>
              </w:rPr>
              <w:t>Actitis hypoleucos</w:t>
            </w:r>
          </w:p>
        </w:tc>
        <w:tc>
          <w:tcPr>
            <w:tcW w:w="2246" w:type="dxa"/>
            <w:tcBorders>
              <w:top w:val="single" w:color="000000" w:sz="4" w:space="0"/>
              <w:left w:val="single" w:color="000000" w:sz="4" w:space="0"/>
              <w:bottom w:val="single" w:color="000000" w:sz="4" w:space="0"/>
              <w:right w:val="single" w:color="000000" w:sz="4" w:space="0"/>
            </w:tcBorders>
            <w:vAlign w:val="center"/>
          </w:tcPr>
          <w:p w14:paraId="3336B4C3">
            <w:pPr>
              <w:widowControl/>
              <w:spacing w:line="240" w:lineRule="auto"/>
              <w:ind w:firstLine="0" w:firstLineChars="0"/>
              <w:jc w:val="center"/>
              <w:rPr>
                <w:rFonts w:cs="Times New Roman"/>
                <w:kern w:val="0"/>
                <w:szCs w:val="21"/>
              </w:rPr>
            </w:pPr>
            <w:r>
              <w:rPr>
                <w:rFonts w:cs="Times New Roman"/>
                <w:kern w:val="0"/>
                <w:sz w:val="21"/>
                <w:szCs w:val="21"/>
                <w:lang w:bidi="ar"/>
              </w:rPr>
              <w:t>沼泽、湖泊、河边</w:t>
            </w:r>
          </w:p>
        </w:tc>
        <w:tc>
          <w:tcPr>
            <w:tcW w:w="1093" w:type="dxa"/>
            <w:tcBorders>
              <w:top w:val="single" w:color="000000" w:sz="4" w:space="0"/>
              <w:left w:val="single" w:color="000000" w:sz="4" w:space="0"/>
              <w:bottom w:val="single" w:color="000000" w:sz="4" w:space="0"/>
              <w:right w:val="single" w:color="000000" w:sz="4" w:space="0"/>
            </w:tcBorders>
            <w:vAlign w:val="center"/>
          </w:tcPr>
          <w:p w14:paraId="54C16C90">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093FB4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01095A41">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5ED831A0">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26F4A1F1">
            <w:pPr>
              <w:widowControl/>
              <w:spacing w:line="240" w:lineRule="auto"/>
              <w:ind w:firstLine="0" w:firstLineChars="0"/>
              <w:jc w:val="left"/>
              <w:rPr>
                <w:rFonts w:cs="Times New Roman"/>
                <w:kern w:val="0"/>
                <w:szCs w:val="21"/>
              </w:rPr>
            </w:pPr>
            <w:r>
              <w:rPr>
                <w:rFonts w:cs="Times New Roman"/>
                <w:kern w:val="0"/>
                <w:sz w:val="21"/>
                <w:szCs w:val="21"/>
                <w:lang w:bidi="ar"/>
              </w:rPr>
              <w:t xml:space="preserve">鹤鹬 </w:t>
            </w:r>
            <w:r>
              <w:rPr>
                <w:rFonts w:cs="Times New Roman"/>
                <w:i/>
                <w:iCs/>
                <w:kern w:val="0"/>
                <w:sz w:val="21"/>
                <w:szCs w:val="21"/>
                <w:lang w:bidi="ar"/>
              </w:rPr>
              <w:t>Tringa erythropus</w:t>
            </w:r>
          </w:p>
        </w:tc>
        <w:tc>
          <w:tcPr>
            <w:tcW w:w="2246" w:type="dxa"/>
            <w:tcBorders>
              <w:top w:val="single" w:color="000000" w:sz="4" w:space="0"/>
              <w:left w:val="single" w:color="000000" w:sz="4" w:space="0"/>
              <w:bottom w:val="single" w:color="000000" w:sz="4" w:space="0"/>
              <w:right w:val="single" w:color="000000" w:sz="4" w:space="0"/>
            </w:tcBorders>
            <w:vAlign w:val="center"/>
          </w:tcPr>
          <w:p w14:paraId="11F55F30">
            <w:pPr>
              <w:widowControl/>
              <w:spacing w:line="240" w:lineRule="auto"/>
              <w:ind w:firstLine="0" w:firstLineChars="0"/>
              <w:jc w:val="center"/>
              <w:rPr>
                <w:rFonts w:cs="Times New Roman"/>
                <w:kern w:val="0"/>
                <w:szCs w:val="21"/>
              </w:rPr>
            </w:pPr>
            <w:r>
              <w:rPr>
                <w:rFonts w:cs="Times New Roman"/>
                <w:kern w:val="0"/>
                <w:sz w:val="21"/>
                <w:szCs w:val="21"/>
                <w:lang w:bidi="ar"/>
              </w:rPr>
              <w:t>鱼塘、滩涂、沼泽</w:t>
            </w:r>
          </w:p>
        </w:tc>
        <w:tc>
          <w:tcPr>
            <w:tcW w:w="1093" w:type="dxa"/>
            <w:tcBorders>
              <w:top w:val="single" w:color="000000" w:sz="4" w:space="0"/>
              <w:left w:val="single" w:color="000000" w:sz="4" w:space="0"/>
              <w:bottom w:val="single" w:color="000000" w:sz="4" w:space="0"/>
              <w:right w:val="single" w:color="000000" w:sz="4" w:space="0"/>
            </w:tcBorders>
            <w:vAlign w:val="center"/>
          </w:tcPr>
          <w:p w14:paraId="0D51769A">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77AF4E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6BF5F82B">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563E7AE9">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35FE2F10">
            <w:pPr>
              <w:widowControl/>
              <w:spacing w:line="240" w:lineRule="auto"/>
              <w:ind w:firstLine="0" w:firstLineChars="0"/>
              <w:jc w:val="left"/>
              <w:rPr>
                <w:rFonts w:cs="Times New Roman"/>
                <w:kern w:val="0"/>
                <w:szCs w:val="21"/>
              </w:rPr>
            </w:pPr>
            <w:r>
              <w:rPr>
                <w:rFonts w:cs="Times New Roman"/>
                <w:kern w:val="0"/>
                <w:sz w:val="21"/>
                <w:szCs w:val="21"/>
                <w:lang w:bidi="ar"/>
              </w:rPr>
              <w:t xml:space="preserve">白腰草鹬 </w:t>
            </w:r>
            <w:r>
              <w:rPr>
                <w:rFonts w:cs="Times New Roman"/>
                <w:i/>
                <w:iCs/>
                <w:kern w:val="0"/>
                <w:sz w:val="21"/>
                <w:szCs w:val="21"/>
                <w:lang w:bidi="ar"/>
              </w:rPr>
              <w:t>Tringa ochropus</w:t>
            </w:r>
          </w:p>
        </w:tc>
        <w:tc>
          <w:tcPr>
            <w:tcW w:w="2246" w:type="dxa"/>
            <w:tcBorders>
              <w:top w:val="single" w:color="000000" w:sz="4" w:space="0"/>
              <w:left w:val="single" w:color="000000" w:sz="4" w:space="0"/>
              <w:bottom w:val="single" w:color="000000" w:sz="4" w:space="0"/>
              <w:right w:val="single" w:color="000000" w:sz="4" w:space="0"/>
            </w:tcBorders>
            <w:vAlign w:val="center"/>
          </w:tcPr>
          <w:p w14:paraId="73603A4C">
            <w:pPr>
              <w:widowControl/>
              <w:spacing w:line="240" w:lineRule="auto"/>
              <w:ind w:firstLine="0" w:firstLineChars="0"/>
              <w:jc w:val="center"/>
              <w:rPr>
                <w:rFonts w:cs="Times New Roman"/>
                <w:kern w:val="0"/>
                <w:szCs w:val="21"/>
              </w:rPr>
            </w:pPr>
            <w:r>
              <w:rPr>
                <w:rFonts w:cs="Times New Roman"/>
                <w:kern w:val="0"/>
                <w:sz w:val="21"/>
                <w:szCs w:val="21"/>
                <w:lang w:bidi="ar"/>
              </w:rPr>
              <w:t>沼泽、湖泊、河边</w:t>
            </w:r>
          </w:p>
        </w:tc>
        <w:tc>
          <w:tcPr>
            <w:tcW w:w="1093" w:type="dxa"/>
            <w:tcBorders>
              <w:top w:val="single" w:color="000000" w:sz="4" w:space="0"/>
              <w:left w:val="single" w:color="000000" w:sz="4" w:space="0"/>
              <w:bottom w:val="single" w:color="000000" w:sz="4" w:space="0"/>
              <w:right w:val="single" w:color="000000" w:sz="4" w:space="0"/>
            </w:tcBorders>
            <w:vAlign w:val="center"/>
          </w:tcPr>
          <w:p w14:paraId="4DA96C5F">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458FAB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1B675ED6">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67ADF901">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18367D39">
            <w:pPr>
              <w:widowControl/>
              <w:spacing w:line="240" w:lineRule="auto"/>
              <w:ind w:firstLine="0" w:firstLineChars="0"/>
              <w:jc w:val="left"/>
              <w:rPr>
                <w:rFonts w:cs="Times New Roman"/>
                <w:kern w:val="0"/>
                <w:szCs w:val="21"/>
              </w:rPr>
            </w:pPr>
            <w:r>
              <w:rPr>
                <w:rFonts w:cs="Times New Roman"/>
                <w:kern w:val="0"/>
                <w:sz w:val="21"/>
                <w:szCs w:val="21"/>
                <w:lang w:bidi="ar"/>
              </w:rPr>
              <w:t xml:space="preserve">林鹬 </w:t>
            </w:r>
            <w:r>
              <w:rPr>
                <w:rFonts w:cs="Times New Roman"/>
                <w:i/>
                <w:iCs/>
                <w:kern w:val="0"/>
                <w:sz w:val="21"/>
                <w:szCs w:val="21"/>
                <w:lang w:bidi="ar"/>
              </w:rPr>
              <w:t>Tringa glareola</w:t>
            </w:r>
          </w:p>
        </w:tc>
        <w:tc>
          <w:tcPr>
            <w:tcW w:w="2246" w:type="dxa"/>
            <w:tcBorders>
              <w:top w:val="single" w:color="000000" w:sz="4" w:space="0"/>
              <w:left w:val="single" w:color="000000" w:sz="4" w:space="0"/>
              <w:bottom w:val="single" w:color="000000" w:sz="4" w:space="0"/>
              <w:right w:val="single" w:color="000000" w:sz="4" w:space="0"/>
            </w:tcBorders>
            <w:vAlign w:val="center"/>
          </w:tcPr>
          <w:p w14:paraId="7D6EAFB9">
            <w:pPr>
              <w:widowControl/>
              <w:spacing w:line="240" w:lineRule="auto"/>
              <w:ind w:firstLine="0" w:firstLineChars="0"/>
              <w:jc w:val="center"/>
              <w:rPr>
                <w:rFonts w:cs="Times New Roman"/>
                <w:kern w:val="0"/>
                <w:szCs w:val="21"/>
              </w:rPr>
            </w:pPr>
            <w:r>
              <w:rPr>
                <w:rFonts w:cs="Times New Roman"/>
                <w:kern w:val="0"/>
                <w:sz w:val="21"/>
                <w:szCs w:val="21"/>
                <w:lang w:bidi="ar"/>
              </w:rPr>
              <w:t>沼泽、湖泊、河边</w:t>
            </w:r>
          </w:p>
        </w:tc>
        <w:tc>
          <w:tcPr>
            <w:tcW w:w="1093" w:type="dxa"/>
            <w:tcBorders>
              <w:top w:val="single" w:color="000000" w:sz="4" w:space="0"/>
              <w:left w:val="single" w:color="000000" w:sz="4" w:space="0"/>
              <w:bottom w:val="single" w:color="000000" w:sz="4" w:space="0"/>
              <w:right w:val="single" w:color="000000" w:sz="4" w:space="0"/>
            </w:tcBorders>
            <w:vAlign w:val="center"/>
          </w:tcPr>
          <w:p w14:paraId="1A583901">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5766E6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restart"/>
            <w:tcBorders>
              <w:top w:val="single" w:color="000000" w:sz="4" w:space="0"/>
              <w:left w:val="single" w:color="000000" w:sz="4" w:space="0"/>
              <w:bottom w:val="single" w:color="000000" w:sz="4" w:space="0"/>
              <w:right w:val="single" w:color="000000" w:sz="4" w:space="0"/>
            </w:tcBorders>
            <w:vAlign w:val="center"/>
          </w:tcPr>
          <w:p w14:paraId="33ABEEA2">
            <w:pPr>
              <w:widowControl/>
              <w:spacing w:line="240" w:lineRule="auto"/>
              <w:ind w:firstLine="0" w:firstLineChars="0"/>
              <w:jc w:val="center"/>
              <w:rPr>
                <w:rFonts w:cs="Times New Roman"/>
                <w:kern w:val="0"/>
                <w:szCs w:val="21"/>
              </w:rPr>
            </w:pPr>
            <w:r>
              <w:rPr>
                <w:rFonts w:cs="Times New Roman"/>
                <w:kern w:val="0"/>
                <w:sz w:val="21"/>
                <w:szCs w:val="21"/>
                <w:lang w:bidi="ar"/>
              </w:rPr>
              <w:t>鸥形目</w:t>
            </w:r>
          </w:p>
        </w:tc>
        <w:tc>
          <w:tcPr>
            <w:tcW w:w="850" w:type="dxa"/>
            <w:vMerge w:val="restart"/>
            <w:tcBorders>
              <w:top w:val="single" w:color="000000" w:sz="4" w:space="0"/>
              <w:left w:val="single" w:color="000000" w:sz="4" w:space="0"/>
              <w:bottom w:val="single" w:color="000000" w:sz="4" w:space="0"/>
              <w:right w:val="single" w:color="000000" w:sz="4" w:space="0"/>
            </w:tcBorders>
            <w:vAlign w:val="center"/>
          </w:tcPr>
          <w:p w14:paraId="65EE9D22">
            <w:pPr>
              <w:widowControl/>
              <w:spacing w:line="240" w:lineRule="auto"/>
              <w:ind w:firstLine="0" w:firstLineChars="0"/>
              <w:jc w:val="center"/>
              <w:rPr>
                <w:rFonts w:cs="Times New Roman"/>
                <w:kern w:val="0"/>
                <w:szCs w:val="21"/>
              </w:rPr>
            </w:pPr>
            <w:r>
              <w:rPr>
                <w:rFonts w:cs="Times New Roman"/>
                <w:kern w:val="0"/>
                <w:sz w:val="21"/>
                <w:szCs w:val="21"/>
                <w:lang w:bidi="ar"/>
              </w:rPr>
              <w:t>鸥科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0E0F0ADB">
            <w:pPr>
              <w:widowControl/>
              <w:spacing w:line="240" w:lineRule="auto"/>
              <w:ind w:firstLine="0" w:firstLineChars="0"/>
              <w:jc w:val="left"/>
              <w:rPr>
                <w:rFonts w:cs="Times New Roman"/>
                <w:kern w:val="0"/>
                <w:szCs w:val="21"/>
              </w:rPr>
            </w:pPr>
            <w:r>
              <w:rPr>
                <w:rFonts w:cs="Times New Roman"/>
                <w:kern w:val="0"/>
                <w:sz w:val="21"/>
                <w:szCs w:val="21"/>
                <w:lang w:bidi="ar"/>
              </w:rPr>
              <w:t xml:space="preserve">银鸥 </w:t>
            </w:r>
            <w:r>
              <w:rPr>
                <w:rFonts w:cs="Times New Roman"/>
                <w:i/>
                <w:iCs/>
                <w:kern w:val="0"/>
                <w:sz w:val="21"/>
                <w:szCs w:val="21"/>
                <w:lang w:bidi="ar"/>
              </w:rPr>
              <w:t>Larus argentatus</w:t>
            </w:r>
          </w:p>
        </w:tc>
        <w:tc>
          <w:tcPr>
            <w:tcW w:w="2246" w:type="dxa"/>
            <w:tcBorders>
              <w:top w:val="single" w:color="000000" w:sz="4" w:space="0"/>
              <w:left w:val="single" w:color="000000" w:sz="4" w:space="0"/>
              <w:bottom w:val="single" w:color="000000" w:sz="4" w:space="0"/>
              <w:right w:val="single" w:color="000000" w:sz="4" w:space="0"/>
            </w:tcBorders>
            <w:vAlign w:val="center"/>
          </w:tcPr>
          <w:p w14:paraId="72201D71">
            <w:pPr>
              <w:widowControl/>
              <w:spacing w:line="240" w:lineRule="auto"/>
              <w:ind w:firstLine="0" w:firstLineChars="0"/>
              <w:jc w:val="center"/>
              <w:rPr>
                <w:rFonts w:cs="Times New Roman"/>
                <w:kern w:val="0"/>
                <w:szCs w:val="21"/>
              </w:rPr>
            </w:pPr>
            <w:r>
              <w:rPr>
                <w:rFonts w:cs="Times New Roman"/>
                <w:kern w:val="0"/>
                <w:sz w:val="21"/>
                <w:szCs w:val="21"/>
                <w:lang w:bidi="ar"/>
              </w:rPr>
              <w:t>河流、湖泊、海岸</w:t>
            </w:r>
          </w:p>
        </w:tc>
        <w:tc>
          <w:tcPr>
            <w:tcW w:w="1093" w:type="dxa"/>
            <w:tcBorders>
              <w:top w:val="single" w:color="000000" w:sz="4" w:space="0"/>
              <w:left w:val="single" w:color="000000" w:sz="4" w:space="0"/>
              <w:bottom w:val="single" w:color="000000" w:sz="4" w:space="0"/>
              <w:right w:val="single" w:color="000000" w:sz="4" w:space="0"/>
            </w:tcBorders>
            <w:vAlign w:val="center"/>
          </w:tcPr>
          <w:p w14:paraId="5516667E">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460A83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2195AC91">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0609F099">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465FE0B8">
            <w:pPr>
              <w:widowControl/>
              <w:spacing w:line="240" w:lineRule="auto"/>
              <w:ind w:firstLine="0" w:firstLineChars="0"/>
              <w:jc w:val="left"/>
              <w:rPr>
                <w:rFonts w:cs="Times New Roman"/>
                <w:kern w:val="0"/>
                <w:szCs w:val="21"/>
              </w:rPr>
            </w:pPr>
            <w:r>
              <w:rPr>
                <w:rFonts w:cs="Times New Roman"/>
                <w:kern w:val="0"/>
                <w:sz w:val="21"/>
                <w:szCs w:val="21"/>
                <w:lang w:bidi="ar"/>
              </w:rPr>
              <w:t xml:space="preserve">织女银鸥 </w:t>
            </w:r>
            <w:r>
              <w:rPr>
                <w:rFonts w:cs="Times New Roman"/>
                <w:i/>
                <w:iCs/>
                <w:kern w:val="0"/>
                <w:sz w:val="21"/>
                <w:szCs w:val="21"/>
                <w:lang w:bidi="ar"/>
              </w:rPr>
              <w:t>Larus vegae</w:t>
            </w:r>
          </w:p>
        </w:tc>
        <w:tc>
          <w:tcPr>
            <w:tcW w:w="2246" w:type="dxa"/>
            <w:tcBorders>
              <w:top w:val="single" w:color="000000" w:sz="4" w:space="0"/>
              <w:left w:val="single" w:color="000000" w:sz="4" w:space="0"/>
              <w:bottom w:val="single" w:color="000000" w:sz="4" w:space="0"/>
              <w:right w:val="single" w:color="000000" w:sz="4" w:space="0"/>
            </w:tcBorders>
            <w:vAlign w:val="center"/>
          </w:tcPr>
          <w:p w14:paraId="673CC317">
            <w:pPr>
              <w:widowControl/>
              <w:spacing w:line="240" w:lineRule="auto"/>
              <w:ind w:firstLine="0" w:firstLineChars="0"/>
              <w:jc w:val="center"/>
              <w:rPr>
                <w:rFonts w:cs="Times New Roman"/>
                <w:kern w:val="0"/>
                <w:szCs w:val="21"/>
              </w:rPr>
            </w:pPr>
            <w:r>
              <w:rPr>
                <w:rFonts w:cs="Times New Roman"/>
                <w:kern w:val="0"/>
                <w:sz w:val="21"/>
                <w:szCs w:val="21"/>
                <w:lang w:bidi="ar"/>
              </w:rPr>
              <w:t>河流、湖泊、海岸</w:t>
            </w:r>
          </w:p>
        </w:tc>
        <w:tc>
          <w:tcPr>
            <w:tcW w:w="1093" w:type="dxa"/>
            <w:tcBorders>
              <w:top w:val="single" w:color="000000" w:sz="4" w:space="0"/>
              <w:left w:val="single" w:color="000000" w:sz="4" w:space="0"/>
              <w:bottom w:val="single" w:color="000000" w:sz="4" w:space="0"/>
              <w:right w:val="single" w:color="000000" w:sz="4" w:space="0"/>
            </w:tcBorders>
            <w:vAlign w:val="center"/>
          </w:tcPr>
          <w:p w14:paraId="211537CD">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536220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1C5AD911">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64462356">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71C682FD">
            <w:pPr>
              <w:widowControl/>
              <w:spacing w:line="240" w:lineRule="auto"/>
              <w:ind w:firstLine="0" w:firstLineChars="0"/>
              <w:jc w:val="left"/>
              <w:rPr>
                <w:rFonts w:cs="Times New Roman"/>
                <w:kern w:val="0"/>
                <w:szCs w:val="21"/>
              </w:rPr>
            </w:pPr>
            <w:r>
              <w:rPr>
                <w:rFonts w:cs="Times New Roman"/>
                <w:kern w:val="0"/>
                <w:sz w:val="21"/>
                <w:szCs w:val="21"/>
                <w:lang w:bidi="ar"/>
              </w:rPr>
              <w:t xml:space="preserve">黄脚银鸥 </w:t>
            </w:r>
            <w:r>
              <w:rPr>
                <w:rFonts w:cs="Times New Roman"/>
                <w:i/>
                <w:iCs/>
                <w:kern w:val="0"/>
                <w:sz w:val="21"/>
                <w:szCs w:val="21"/>
                <w:lang w:bidi="ar"/>
              </w:rPr>
              <w:t>Larus cachinnans</w:t>
            </w:r>
          </w:p>
        </w:tc>
        <w:tc>
          <w:tcPr>
            <w:tcW w:w="2246" w:type="dxa"/>
            <w:tcBorders>
              <w:top w:val="single" w:color="000000" w:sz="4" w:space="0"/>
              <w:left w:val="single" w:color="000000" w:sz="4" w:space="0"/>
              <w:bottom w:val="single" w:color="000000" w:sz="4" w:space="0"/>
              <w:right w:val="single" w:color="000000" w:sz="4" w:space="0"/>
            </w:tcBorders>
            <w:vAlign w:val="center"/>
          </w:tcPr>
          <w:p w14:paraId="679C2190">
            <w:pPr>
              <w:widowControl/>
              <w:spacing w:line="240" w:lineRule="auto"/>
              <w:ind w:firstLine="0" w:firstLineChars="0"/>
              <w:jc w:val="center"/>
              <w:rPr>
                <w:rFonts w:cs="Times New Roman"/>
                <w:kern w:val="0"/>
                <w:szCs w:val="21"/>
              </w:rPr>
            </w:pPr>
            <w:r>
              <w:rPr>
                <w:rFonts w:cs="Times New Roman"/>
                <w:kern w:val="0"/>
                <w:sz w:val="21"/>
                <w:szCs w:val="21"/>
                <w:lang w:bidi="ar"/>
              </w:rPr>
              <w:t>河流、湖泊、海岸</w:t>
            </w:r>
          </w:p>
        </w:tc>
        <w:tc>
          <w:tcPr>
            <w:tcW w:w="1093" w:type="dxa"/>
            <w:tcBorders>
              <w:top w:val="single" w:color="000000" w:sz="4" w:space="0"/>
              <w:left w:val="single" w:color="000000" w:sz="4" w:space="0"/>
              <w:bottom w:val="single" w:color="000000" w:sz="4" w:space="0"/>
              <w:right w:val="single" w:color="000000" w:sz="4" w:space="0"/>
            </w:tcBorders>
            <w:vAlign w:val="center"/>
          </w:tcPr>
          <w:p w14:paraId="6BC082AD">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6A6324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767B5B29">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75652B07">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4530A48D">
            <w:pPr>
              <w:widowControl/>
              <w:spacing w:line="240" w:lineRule="auto"/>
              <w:ind w:firstLine="0" w:firstLineChars="0"/>
              <w:jc w:val="left"/>
              <w:rPr>
                <w:rFonts w:cs="Times New Roman"/>
                <w:kern w:val="0"/>
                <w:szCs w:val="21"/>
              </w:rPr>
            </w:pPr>
            <w:r>
              <w:rPr>
                <w:rFonts w:cs="Times New Roman"/>
                <w:kern w:val="0"/>
                <w:sz w:val="21"/>
                <w:szCs w:val="21"/>
                <w:lang w:bidi="ar"/>
              </w:rPr>
              <w:t xml:space="preserve">红嘴鸥 </w:t>
            </w:r>
            <w:r>
              <w:rPr>
                <w:rFonts w:cs="Times New Roman"/>
                <w:i/>
                <w:iCs/>
                <w:kern w:val="0"/>
                <w:sz w:val="21"/>
                <w:szCs w:val="21"/>
                <w:lang w:bidi="ar"/>
              </w:rPr>
              <w:t>Larus ridibundus</w:t>
            </w:r>
          </w:p>
        </w:tc>
        <w:tc>
          <w:tcPr>
            <w:tcW w:w="2246" w:type="dxa"/>
            <w:tcBorders>
              <w:top w:val="single" w:color="000000" w:sz="4" w:space="0"/>
              <w:left w:val="single" w:color="000000" w:sz="4" w:space="0"/>
              <w:bottom w:val="single" w:color="000000" w:sz="4" w:space="0"/>
              <w:right w:val="single" w:color="000000" w:sz="4" w:space="0"/>
            </w:tcBorders>
            <w:vAlign w:val="center"/>
          </w:tcPr>
          <w:p w14:paraId="76259C8C">
            <w:pPr>
              <w:widowControl/>
              <w:spacing w:line="240" w:lineRule="auto"/>
              <w:ind w:firstLine="0" w:firstLineChars="0"/>
              <w:jc w:val="center"/>
              <w:rPr>
                <w:rFonts w:cs="Times New Roman"/>
                <w:kern w:val="0"/>
                <w:szCs w:val="21"/>
              </w:rPr>
            </w:pPr>
            <w:r>
              <w:rPr>
                <w:rFonts w:cs="Times New Roman"/>
                <w:kern w:val="0"/>
                <w:sz w:val="21"/>
                <w:szCs w:val="21"/>
                <w:lang w:bidi="ar"/>
              </w:rPr>
              <w:t>沼泽、湖泊、河边</w:t>
            </w:r>
          </w:p>
        </w:tc>
        <w:tc>
          <w:tcPr>
            <w:tcW w:w="1093" w:type="dxa"/>
            <w:tcBorders>
              <w:top w:val="single" w:color="000000" w:sz="4" w:space="0"/>
              <w:left w:val="single" w:color="000000" w:sz="4" w:space="0"/>
              <w:bottom w:val="single" w:color="000000" w:sz="4" w:space="0"/>
              <w:right w:val="single" w:color="000000" w:sz="4" w:space="0"/>
            </w:tcBorders>
            <w:vAlign w:val="center"/>
          </w:tcPr>
          <w:p w14:paraId="1BF39335">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33B6A1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restart"/>
            <w:tcBorders>
              <w:top w:val="single" w:color="000000" w:sz="4" w:space="0"/>
              <w:left w:val="single" w:color="000000" w:sz="4" w:space="0"/>
              <w:bottom w:val="single" w:color="000000" w:sz="4" w:space="0"/>
              <w:right w:val="single" w:color="000000" w:sz="4" w:space="0"/>
            </w:tcBorders>
            <w:vAlign w:val="center"/>
          </w:tcPr>
          <w:p w14:paraId="788BAB26">
            <w:pPr>
              <w:widowControl/>
              <w:spacing w:line="240" w:lineRule="auto"/>
              <w:ind w:firstLine="0" w:firstLineChars="0"/>
              <w:jc w:val="center"/>
              <w:rPr>
                <w:rFonts w:cs="Times New Roman"/>
                <w:kern w:val="0"/>
                <w:szCs w:val="21"/>
              </w:rPr>
            </w:pPr>
            <w:r>
              <w:rPr>
                <w:rFonts w:cs="Times New Roman"/>
                <w:kern w:val="0"/>
                <w:sz w:val="21"/>
                <w:szCs w:val="21"/>
                <w:lang w:bidi="ar"/>
              </w:rPr>
              <w:t>鹃形目</w:t>
            </w:r>
          </w:p>
        </w:tc>
        <w:tc>
          <w:tcPr>
            <w:tcW w:w="850" w:type="dxa"/>
            <w:vMerge w:val="restart"/>
            <w:tcBorders>
              <w:top w:val="single" w:color="000000" w:sz="4" w:space="0"/>
              <w:left w:val="single" w:color="000000" w:sz="4" w:space="0"/>
              <w:bottom w:val="single" w:color="000000" w:sz="4" w:space="0"/>
              <w:right w:val="single" w:color="000000" w:sz="4" w:space="0"/>
            </w:tcBorders>
            <w:vAlign w:val="center"/>
          </w:tcPr>
          <w:p w14:paraId="2131CCF7">
            <w:pPr>
              <w:widowControl/>
              <w:spacing w:line="240" w:lineRule="auto"/>
              <w:ind w:firstLine="0" w:firstLineChars="0"/>
              <w:jc w:val="center"/>
              <w:rPr>
                <w:rFonts w:cs="Times New Roman"/>
                <w:kern w:val="0"/>
                <w:szCs w:val="21"/>
              </w:rPr>
            </w:pPr>
            <w:r>
              <w:rPr>
                <w:rFonts w:cs="Times New Roman"/>
                <w:kern w:val="0"/>
                <w:sz w:val="21"/>
                <w:szCs w:val="21"/>
                <w:lang w:bidi="ar"/>
              </w:rPr>
              <w:t>杜鹃科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0E90D276">
            <w:pPr>
              <w:widowControl/>
              <w:spacing w:line="240" w:lineRule="auto"/>
              <w:ind w:firstLine="0" w:firstLineChars="0"/>
              <w:jc w:val="left"/>
              <w:rPr>
                <w:rFonts w:cs="Times New Roman"/>
                <w:kern w:val="0"/>
                <w:szCs w:val="21"/>
              </w:rPr>
            </w:pPr>
            <w:r>
              <w:rPr>
                <w:rFonts w:cs="Times New Roman"/>
                <w:kern w:val="0"/>
                <w:sz w:val="21"/>
                <w:szCs w:val="21"/>
                <w:lang w:bidi="ar"/>
              </w:rPr>
              <w:t xml:space="preserve">鹰鹃 </w:t>
            </w:r>
            <w:r>
              <w:rPr>
                <w:rFonts w:cs="Times New Roman"/>
                <w:i/>
                <w:iCs/>
                <w:kern w:val="0"/>
                <w:sz w:val="21"/>
                <w:szCs w:val="21"/>
                <w:lang w:bidi="ar"/>
              </w:rPr>
              <w:t>Cuculus sparverioides</w:t>
            </w:r>
          </w:p>
        </w:tc>
        <w:tc>
          <w:tcPr>
            <w:tcW w:w="2246" w:type="dxa"/>
            <w:tcBorders>
              <w:top w:val="single" w:color="000000" w:sz="4" w:space="0"/>
              <w:left w:val="single" w:color="000000" w:sz="4" w:space="0"/>
              <w:bottom w:val="single" w:color="000000" w:sz="4" w:space="0"/>
              <w:right w:val="single" w:color="000000" w:sz="4" w:space="0"/>
            </w:tcBorders>
            <w:vAlign w:val="center"/>
          </w:tcPr>
          <w:p w14:paraId="64E6AB38">
            <w:pPr>
              <w:widowControl/>
              <w:spacing w:line="240" w:lineRule="auto"/>
              <w:ind w:firstLine="0" w:firstLineChars="0"/>
              <w:jc w:val="center"/>
              <w:rPr>
                <w:rFonts w:cs="Times New Roman"/>
                <w:kern w:val="0"/>
                <w:szCs w:val="21"/>
              </w:rPr>
            </w:pPr>
            <w:r>
              <w:rPr>
                <w:rFonts w:cs="Times New Roman"/>
                <w:kern w:val="0"/>
                <w:sz w:val="21"/>
                <w:szCs w:val="21"/>
                <w:lang w:bidi="ar"/>
              </w:rPr>
              <w:t>林地</w:t>
            </w:r>
          </w:p>
        </w:tc>
        <w:tc>
          <w:tcPr>
            <w:tcW w:w="1093" w:type="dxa"/>
            <w:tcBorders>
              <w:top w:val="single" w:color="000000" w:sz="4" w:space="0"/>
              <w:left w:val="single" w:color="000000" w:sz="4" w:space="0"/>
              <w:bottom w:val="single" w:color="000000" w:sz="4" w:space="0"/>
              <w:right w:val="single" w:color="000000" w:sz="4" w:space="0"/>
            </w:tcBorders>
            <w:vAlign w:val="center"/>
          </w:tcPr>
          <w:p w14:paraId="00435F96">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5724A2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0062A648">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6391DA64">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6D741E0C">
            <w:pPr>
              <w:widowControl/>
              <w:spacing w:line="240" w:lineRule="auto"/>
              <w:ind w:firstLine="0" w:firstLineChars="0"/>
              <w:jc w:val="left"/>
              <w:rPr>
                <w:rFonts w:cs="Times New Roman"/>
                <w:kern w:val="0"/>
                <w:szCs w:val="21"/>
              </w:rPr>
            </w:pPr>
            <w:r>
              <w:rPr>
                <w:rFonts w:cs="Times New Roman"/>
                <w:kern w:val="0"/>
                <w:sz w:val="21"/>
                <w:szCs w:val="21"/>
                <w:lang w:bidi="ar"/>
              </w:rPr>
              <w:t xml:space="preserve">四声杜鹃 </w:t>
            </w:r>
            <w:r>
              <w:rPr>
                <w:rFonts w:cs="Times New Roman"/>
                <w:i/>
                <w:iCs/>
                <w:kern w:val="0"/>
                <w:sz w:val="21"/>
                <w:szCs w:val="21"/>
                <w:lang w:bidi="ar"/>
              </w:rPr>
              <w:t>Cuculus micropterus</w:t>
            </w:r>
          </w:p>
        </w:tc>
        <w:tc>
          <w:tcPr>
            <w:tcW w:w="2246" w:type="dxa"/>
            <w:tcBorders>
              <w:top w:val="single" w:color="000000" w:sz="4" w:space="0"/>
              <w:left w:val="single" w:color="000000" w:sz="4" w:space="0"/>
              <w:bottom w:val="single" w:color="000000" w:sz="4" w:space="0"/>
              <w:right w:val="single" w:color="000000" w:sz="4" w:space="0"/>
            </w:tcBorders>
            <w:vAlign w:val="center"/>
          </w:tcPr>
          <w:p w14:paraId="1AB193EB">
            <w:pPr>
              <w:widowControl/>
              <w:spacing w:line="240" w:lineRule="auto"/>
              <w:ind w:firstLine="0" w:firstLineChars="0"/>
              <w:jc w:val="center"/>
              <w:rPr>
                <w:rFonts w:cs="Times New Roman"/>
                <w:kern w:val="0"/>
                <w:szCs w:val="21"/>
              </w:rPr>
            </w:pPr>
            <w:r>
              <w:rPr>
                <w:rFonts w:cs="Times New Roman"/>
                <w:kern w:val="0"/>
                <w:sz w:val="21"/>
                <w:szCs w:val="21"/>
                <w:lang w:bidi="ar"/>
              </w:rPr>
              <w:t>林地</w:t>
            </w:r>
          </w:p>
        </w:tc>
        <w:tc>
          <w:tcPr>
            <w:tcW w:w="1093" w:type="dxa"/>
            <w:tcBorders>
              <w:top w:val="single" w:color="000000" w:sz="4" w:space="0"/>
              <w:left w:val="single" w:color="000000" w:sz="4" w:space="0"/>
              <w:bottom w:val="single" w:color="000000" w:sz="4" w:space="0"/>
              <w:right w:val="single" w:color="000000" w:sz="4" w:space="0"/>
            </w:tcBorders>
            <w:vAlign w:val="center"/>
          </w:tcPr>
          <w:p w14:paraId="29846508">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428031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3376E943">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73DF90BE">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62C0CE52">
            <w:pPr>
              <w:widowControl/>
              <w:spacing w:line="240" w:lineRule="auto"/>
              <w:ind w:firstLine="0" w:firstLineChars="0"/>
              <w:jc w:val="left"/>
              <w:rPr>
                <w:rFonts w:cs="Times New Roman"/>
                <w:kern w:val="0"/>
                <w:szCs w:val="21"/>
              </w:rPr>
            </w:pPr>
            <w:r>
              <w:rPr>
                <w:rFonts w:cs="Times New Roman"/>
                <w:kern w:val="0"/>
                <w:sz w:val="21"/>
                <w:szCs w:val="21"/>
                <w:lang w:bidi="ar"/>
              </w:rPr>
              <w:t xml:space="preserve">噪鹃 </w:t>
            </w:r>
            <w:r>
              <w:rPr>
                <w:rFonts w:cs="Times New Roman"/>
                <w:i/>
                <w:iCs/>
                <w:kern w:val="0"/>
                <w:sz w:val="21"/>
                <w:szCs w:val="21"/>
                <w:lang w:bidi="ar"/>
              </w:rPr>
              <w:t>Eudynamys scolopacea</w:t>
            </w:r>
          </w:p>
        </w:tc>
        <w:tc>
          <w:tcPr>
            <w:tcW w:w="2246" w:type="dxa"/>
            <w:tcBorders>
              <w:top w:val="single" w:color="000000" w:sz="4" w:space="0"/>
              <w:left w:val="single" w:color="000000" w:sz="4" w:space="0"/>
              <w:bottom w:val="single" w:color="000000" w:sz="4" w:space="0"/>
              <w:right w:val="single" w:color="000000" w:sz="4" w:space="0"/>
            </w:tcBorders>
            <w:vAlign w:val="center"/>
          </w:tcPr>
          <w:p w14:paraId="19B7FF07">
            <w:pPr>
              <w:widowControl/>
              <w:spacing w:line="240" w:lineRule="auto"/>
              <w:ind w:firstLine="0" w:firstLineChars="0"/>
              <w:jc w:val="center"/>
              <w:rPr>
                <w:rFonts w:cs="Times New Roman"/>
                <w:kern w:val="0"/>
                <w:szCs w:val="21"/>
              </w:rPr>
            </w:pPr>
            <w:r>
              <w:rPr>
                <w:rFonts w:cs="Times New Roman"/>
                <w:kern w:val="0"/>
                <w:sz w:val="21"/>
                <w:szCs w:val="21"/>
                <w:lang w:bidi="ar"/>
              </w:rPr>
              <w:t>林地</w:t>
            </w:r>
          </w:p>
        </w:tc>
        <w:tc>
          <w:tcPr>
            <w:tcW w:w="1093" w:type="dxa"/>
            <w:tcBorders>
              <w:top w:val="single" w:color="000000" w:sz="4" w:space="0"/>
              <w:left w:val="single" w:color="000000" w:sz="4" w:space="0"/>
              <w:bottom w:val="single" w:color="000000" w:sz="4" w:space="0"/>
              <w:right w:val="single" w:color="000000" w:sz="4" w:space="0"/>
            </w:tcBorders>
            <w:vAlign w:val="center"/>
          </w:tcPr>
          <w:p w14:paraId="42BF5DD9">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77783C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vAlign w:val="center"/>
          </w:tcPr>
          <w:p w14:paraId="4AF47258">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1ED374B6">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31311C52">
            <w:pPr>
              <w:widowControl/>
              <w:spacing w:line="240" w:lineRule="auto"/>
              <w:ind w:firstLine="0" w:firstLineChars="0"/>
              <w:jc w:val="left"/>
              <w:rPr>
                <w:rFonts w:cs="Times New Roman"/>
                <w:kern w:val="0"/>
                <w:szCs w:val="21"/>
              </w:rPr>
            </w:pPr>
            <w:r>
              <w:rPr>
                <w:rFonts w:cs="Times New Roman"/>
                <w:kern w:val="0"/>
                <w:sz w:val="21"/>
                <w:szCs w:val="21"/>
                <w:lang w:bidi="ar"/>
              </w:rPr>
              <w:t xml:space="preserve">小鸦鹃 </w:t>
            </w:r>
            <w:r>
              <w:rPr>
                <w:rFonts w:cs="Times New Roman"/>
                <w:i/>
                <w:iCs/>
                <w:kern w:val="0"/>
                <w:sz w:val="21"/>
                <w:szCs w:val="21"/>
                <w:lang w:bidi="ar"/>
              </w:rPr>
              <w:t>Centropus toulou</w:t>
            </w:r>
          </w:p>
        </w:tc>
        <w:tc>
          <w:tcPr>
            <w:tcW w:w="2246" w:type="dxa"/>
            <w:tcBorders>
              <w:top w:val="single" w:color="000000" w:sz="4" w:space="0"/>
              <w:left w:val="single" w:color="000000" w:sz="4" w:space="0"/>
              <w:bottom w:val="single" w:color="000000" w:sz="4" w:space="0"/>
              <w:right w:val="single" w:color="000000" w:sz="4" w:space="0"/>
            </w:tcBorders>
            <w:vAlign w:val="center"/>
          </w:tcPr>
          <w:p w14:paraId="44184417">
            <w:pPr>
              <w:widowControl/>
              <w:spacing w:line="240" w:lineRule="auto"/>
              <w:ind w:firstLine="0" w:firstLineChars="0"/>
              <w:jc w:val="center"/>
              <w:rPr>
                <w:rFonts w:cs="Times New Roman"/>
                <w:kern w:val="0"/>
                <w:szCs w:val="21"/>
              </w:rPr>
            </w:pPr>
            <w:r>
              <w:rPr>
                <w:rFonts w:cs="Times New Roman"/>
                <w:kern w:val="0"/>
                <w:sz w:val="21"/>
                <w:szCs w:val="21"/>
                <w:lang w:bidi="ar"/>
              </w:rPr>
              <w:t>林地</w:t>
            </w:r>
          </w:p>
        </w:tc>
        <w:tc>
          <w:tcPr>
            <w:tcW w:w="1093" w:type="dxa"/>
            <w:tcBorders>
              <w:top w:val="single" w:color="000000" w:sz="4" w:space="0"/>
              <w:left w:val="single" w:color="000000" w:sz="4" w:space="0"/>
              <w:bottom w:val="single" w:color="000000" w:sz="4" w:space="0"/>
              <w:right w:val="single" w:color="000000" w:sz="4" w:space="0"/>
            </w:tcBorders>
            <w:vAlign w:val="center"/>
          </w:tcPr>
          <w:p w14:paraId="71F8F913">
            <w:pPr>
              <w:widowControl/>
              <w:spacing w:line="240" w:lineRule="auto"/>
              <w:ind w:firstLine="0" w:firstLineChars="0"/>
              <w:jc w:val="center"/>
              <w:rPr>
                <w:rFonts w:cs="Times New Roman"/>
                <w:kern w:val="0"/>
                <w:szCs w:val="21"/>
              </w:rPr>
            </w:pPr>
            <w:r>
              <w:rPr>
                <w:rFonts w:cs="Times New Roman"/>
                <w:kern w:val="0"/>
                <w:sz w:val="21"/>
                <w:szCs w:val="21"/>
                <w:lang w:bidi="ar"/>
              </w:rPr>
              <w:t>Ⅱ，V</w:t>
            </w:r>
          </w:p>
        </w:tc>
      </w:tr>
      <w:tr w14:paraId="19A28E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tcBorders>
              <w:top w:val="single" w:color="000000" w:sz="4" w:space="0"/>
              <w:left w:val="single" w:color="000000" w:sz="4" w:space="0"/>
              <w:bottom w:val="single" w:color="000000" w:sz="4" w:space="0"/>
              <w:right w:val="single" w:color="000000" w:sz="4" w:space="0"/>
            </w:tcBorders>
            <w:noWrap/>
            <w:vAlign w:val="center"/>
          </w:tcPr>
          <w:p w14:paraId="5AA75298">
            <w:pPr>
              <w:widowControl/>
              <w:spacing w:line="240" w:lineRule="auto"/>
              <w:ind w:firstLine="0" w:firstLineChars="0"/>
              <w:jc w:val="center"/>
              <w:rPr>
                <w:rFonts w:cs="Times New Roman"/>
                <w:kern w:val="0"/>
                <w:szCs w:val="21"/>
              </w:rPr>
            </w:pPr>
            <w:r>
              <w:rPr>
                <w:rFonts w:cs="Times New Roman"/>
                <w:kern w:val="0"/>
                <w:sz w:val="21"/>
                <w:szCs w:val="21"/>
                <w:lang w:bidi="ar"/>
              </w:rPr>
              <w:t>鸮形目</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60186942">
            <w:pPr>
              <w:widowControl/>
              <w:spacing w:line="240" w:lineRule="auto"/>
              <w:ind w:firstLine="0" w:firstLineChars="0"/>
              <w:jc w:val="center"/>
              <w:rPr>
                <w:rFonts w:cs="Times New Roman"/>
                <w:kern w:val="0"/>
                <w:szCs w:val="21"/>
              </w:rPr>
            </w:pPr>
            <w:r>
              <w:rPr>
                <w:rFonts w:cs="Times New Roman"/>
                <w:kern w:val="0"/>
                <w:sz w:val="21"/>
                <w:szCs w:val="21"/>
                <w:lang w:bidi="ar"/>
              </w:rPr>
              <w:t>鸱鸮科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238AF33A">
            <w:pPr>
              <w:widowControl/>
              <w:spacing w:line="240" w:lineRule="auto"/>
              <w:ind w:firstLine="0" w:firstLineChars="0"/>
              <w:jc w:val="left"/>
              <w:rPr>
                <w:rFonts w:cs="Times New Roman"/>
                <w:kern w:val="0"/>
                <w:szCs w:val="21"/>
              </w:rPr>
            </w:pPr>
            <w:r>
              <w:rPr>
                <w:rFonts w:cs="Times New Roman"/>
                <w:kern w:val="0"/>
                <w:sz w:val="21"/>
                <w:szCs w:val="21"/>
                <w:lang w:bidi="ar"/>
              </w:rPr>
              <w:t xml:space="preserve">领鸺鹠 </w:t>
            </w:r>
            <w:r>
              <w:rPr>
                <w:rFonts w:cs="Times New Roman"/>
                <w:i/>
                <w:iCs/>
                <w:kern w:val="0"/>
                <w:sz w:val="21"/>
                <w:szCs w:val="21"/>
                <w:lang w:bidi="ar"/>
              </w:rPr>
              <w:t>Glaucidium brodiei</w:t>
            </w:r>
          </w:p>
        </w:tc>
        <w:tc>
          <w:tcPr>
            <w:tcW w:w="2246" w:type="dxa"/>
            <w:tcBorders>
              <w:top w:val="single" w:color="000000" w:sz="4" w:space="0"/>
              <w:left w:val="single" w:color="000000" w:sz="4" w:space="0"/>
              <w:bottom w:val="single" w:color="000000" w:sz="4" w:space="0"/>
              <w:right w:val="single" w:color="000000" w:sz="4" w:space="0"/>
            </w:tcBorders>
            <w:vAlign w:val="center"/>
          </w:tcPr>
          <w:p w14:paraId="24A1C147">
            <w:pPr>
              <w:widowControl/>
              <w:spacing w:line="240" w:lineRule="auto"/>
              <w:ind w:firstLine="0" w:firstLineChars="0"/>
              <w:jc w:val="center"/>
              <w:rPr>
                <w:rFonts w:cs="Times New Roman"/>
                <w:kern w:val="0"/>
                <w:szCs w:val="21"/>
              </w:rPr>
            </w:pPr>
            <w:r>
              <w:rPr>
                <w:rFonts w:cs="Times New Roman"/>
                <w:kern w:val="0"/>
                <w:sz w:val="21"/>
                <w:szCs w:val="21"/>
                <w:lang w:bidi="ar"/>
              </w:rPr>
              <w:t>林地</w:t>
            </w:r>
          </w:p>
        </w:tc>
        <w:tc>
          <w:tcPr>
            <w:tcW w:w="1093" w:type="dxa"/>
            <w:tcBorders>
              <w:top w:val="single" w:color="000000" w:sz="4" w:space="0"/>
              <w:left w:val="single" w:color="000000" w:sz="4" w:space="0"/>
              <w:bottom w:val="single" w:color="000000" w:sz="4" w:space="0"/>
              <w:right w:val="single" w:color="000000" w:sz="4" w:space="0"/>
            </w:tcBorders>
            <w:vAlign w:val="center"/>
          </w:tcPr>
          <w:p w14:paraId="6C808606">
            <w:pPr>
              <w:widowControl/>
              <w:spacing w:line="240" w:lineRule="auto"/>
              <w:ind w:firstLine="0" w:firstLineChars="0"/>
              <w:jc w:val="center"/>
              <w:rPr>
                <w:rFonts w:cs="Times New Roman"/>
                <w:kern w:val="0"/>
                <w:szCs w:val="21"/>
              </w:rPr>
            </w:pPr>
            <w:r>
              <w:rPr>
                <w:rFonts w:cs="Times New Roman"/>
                <w:kern w:val="0"/>
                <w:sz w:val="21"/>
                <w:szCs w:val="21"/>
                <w:lang w:bidi="ar"/>
              </w:rPr>
              <w:t>Ⅱ</w:t>
            </w:r>
          </w:p>
        </w:tc>
      </w:tr>
      <w:tr w14:paraId="480AC5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restart"/>
            <w:tcBorders>
              <w:top w:val="single" w:color="000000" w:sz="4" w:space="0"/>
              <w:left w:val="single" w:color="000000" w:sz="4" w:space="0"/>
              <w:bottom w:val="single" w:color="000000" w:sz="4" w:space="0"/>
              <w:right w:val="single" w:color="000000" w:sz="4" w:space="0"/>
            </w:tcBorders>
            <w:noWrap/>
            <w:vAlign w:val="center"/>
          </w:tcPr>
          <w:p w14:paraId="0C31D037">
            <w:pPr>
              <w:widowControl/>
              <w:spacing w:line="240" w:lineRule="auto"/>
              <w:ind w:firstLine="0" w:firstLineChars="0"/>
              <w:jc w:val="center"/>
              <w:rPr>
                <w:rFonts w:cs="Times New Roman"/>
                <w:kern w:val="0"/>
                <w:szCs w:val="21"/>
              </w:rPr>
            </w:pPr>
            <w:r>
              <w:rPr>
                <w:rFonts w:cs="Times New Roman"/>
                <w:kern w:val="0"/>
                <w:sz w:val="21"/>
                <w:szCs w:val="21"/>
                <w:lang w:bidi="ar"/>
              </w:rPr>
              <w:t>雀形目</w:t>
            </w:r>
          </w:p>
        </w:tc>
        <w:tc>
          <w:tcPr>
            <w:tcW w:w="850" w:type="dxa"/>
            <w:vMerge w:val="restart"/>
            <w:tcBorders>
              <w:top w:val="single" w:color="000000" w:sz="4" w:space="0"/>
              <w:left w:val="single" w:color="000000" w:sz="4" w:space="0"/>
              <w:bottom w:val="single" w:color="000000" w:sz="4" w:space="0"/>
              <w:right w:val="single" w:color="000000" w:sz="4" w:space="0"/>
            </w:tcBorders>
            <w:noWrap/>
            <w:vAlign w:val="center"/>
          </w:tcPr>
          <w:p w14:paraId="6E0D88DF">
            <w:pPr>
              <w:widowControl/>
              <w:spacing w:line="240" w:lineRule="auto"/>
              <w:ind w:firstLine="0" w:firstLineChars="0"/>
              <w:jc w:val="center"/>
              <w:rPr>
                <w:rFonts w:cs="Times New Roman"/>
                <w:kern w:val="0"/>
                <w:szCs w:val="21"/>
              </w:rPr>
            </w:pPr>
            <w:r>
              <w:rPr>
                <w:rFonts w:cs="Times New Roman"/>
                <w:kern w:val="0"/>
                <w:sz w:val="21"/>
                <w:szCs w:val="21"/>
                <w:lang w:bidi="ar"/>
              </w:rPr>
              <w:t>鹡鸰科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1848CA60">
            <w:pPr>
              <w:widowControl/>
              <w:spacing w:line="240" w:lineRule="auto"/>
              <w:ind w:firstLine="0" w:firstLineChars="0"/>
              <w:jc w:val="left"/>
              <w:rPr>
                <w:rFonts w:cs="Times New Roman"/>
                <w:kern w:val="0"/>
                <w:szCs w:val="21"/>
              </w:rPr>
            </w:pPr>
            <w:r>
              <w:rPr>
                <w:rFonts w:cs="Times New Roman"/>
                <w:kern w:val="0"/>
                <w:sz w:val="21"/>
                <w:szCs w:val="21"/>
                <w:lang w:bidi="ar"/>
              </w:rPr>
              <w:t xml:space="preserve">白鹡鸰 </w:t>
            </w:r>
            <w:r>
              <w:rPr>
                <w:rFonts w:cs="Times New Roman"/>
                <w:i/>
                <w:iCs/>
                <w:kern w:val="0"/>
                <w:sz w:val="21"/>
                <w:szCs w:val="21"/>
                <w:lang w:bidi="ar"/>
              </w:rPr>
              <w:t>Motacilla alba</w:t>
            </w:r>
          </w:p>
        </w:tc>
        <w:tc>
          <w:tcPr>
            <w:tcW w:w="2246" w:type="dxa"/>
            <w:tcBorders>
              <w:top w:val="single" w:color="000000" w:sz="4" w:space="0"/>
              <w:left w:val="single" w:color="000000" w:sz="4" w:space="0"/>
              <w:bottom w:val="single" w:color="000000" w:sz="4" w:space="0"/>
              <w:right w:val="single" w:color="000000" w:sz="4" w:space="0"/>
            </w:tcBorders>
            <w:vAlign w:val="center"/>
          </w:tcPr>
          <w:p w14:paraId="3B8885FD">
            <w:pPr>
              <w:widowControl/>
              <w:spacing w:line="240" w:lineRule="auto"/>
              <w:ind w:firstLine="0" w:firstLineChars="0"/>
              <w:jc w:val="center"/>
              <w:rPr>
                <w:rFonts w:cs="Times New Roman"/>
                <w:kern w:val="0"/>
                <w:szCs w:val="21"/>
              </w:rPr>
            </w:pPr>
            <w:r>
              <w:rPr>
                <w:rFonts w:cs="Times New Roman"/>
                <w:kern w:val="0"/>
                <w:sz w:val="21"/>
                <w:szCs w:val="21"/>
                <w:lang w:bidi="ar"/>
              </w:rPr>
              <w:t>湖泊、河流的岸边、草地、泥 滩、农田</w:t>
            </w:r>
          </w:p>
        </w:tc>
        <w:tc>
          <w:tcPr>
            <w:tcW w:w="1093" w:type="dxa"/>
            <w:tcBorders>
              <w:top w:val="single" w:color="000000" w:sz="4" w:space="0"/>
              <w:left w:val="single" w:color="000000" w:sz="4" w:space="0"/>
              <w:bottom w:val="single" w:color="000000" w:sz="4" w:space="0"/>
              <w:right w:val="single" w:color="000000" w:sz="4" w:space="0"/>
            </w:tcBorders>
            <w:vAlign w:val="center"/>
          </w:tcPr>
          <w:p w14:paraId="7F890ED4">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5F987F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604CEA56">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noWrap/>
            <w:vAlign w:val="center"/>
          </w:tcPr>
          <w:p w14:paraId="01C6C335">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413B7330">
            <w:pPr>
              <w:widowControl/>
              <w:spacing w:line="240" w:lineRule="auto"/>
              <w:ind w:firstLine="0" w:firstLineChars="0"/>
              <w:jc w:val="left"/>
              <w:rPr>
                <w:rFonts w:cs="Times New Roman"/>
                <w:kern w:val="0"/>
                <w:szCs w:val="21"/>
              </w:rPr>
            </w:pPr>
            <w:r>
              <w:rPr>
                <w:rFonts w:cs="Times New Roman"/>
                <w:kern w:val="0"/>
                <w:sz w:val="21"/>
                <w:szCs w:val="21"/>
                <w:lang w:bidi="ar"/>
              </w:rPr>
              <w:t xml:space="preserve">灰鹡鸰 </w:t>
            </w:r>
            <w:r>
              <w:rPr>
                <w:rFonts w:cs="Times New Roman"/>
                <w:i/>
                <w:iCs/>
                <w:kern w:val="0"/>
                <w:sz w:val="21"/>
                <w:szCs w:val="21"/>
                <w:lang w:bidi="ar"/>
              </w:rPr>
              <w:t>Motacilla cinerea</w:t>
            </w:r>
          </w:p>
        </w:tc>
        <w:tc>
          <w:tcPr>
            <w:tcW w:w="2246" w:type="dxa"/>
            <w:tcBorders>
              <w:top w:val="single" w:color="000000" w:sz="4" w:space="0"/>
              <w:left w:val="single" w:color="000000" w:sz="4" w:space="0"/>
              <w:bottom w:val="single" w:color="000000" w:sz="4" w:space="0"/>
              <w:right w:val="single" w:color="000000" w:sz="4" w:space="0"/>
            </w:tcBorders>
            <w:vAlign w:val="center"/>
          </w:tcPr>
          <w:p w14:paraId="20BED55A">
            <w:pPr>
              <w:widowControl/>
              <w:spacing w:line="240" w:lineRule="auto"/>
              <w:ind w:firstLine="0" w:firstLineChars="0"/>
              <w:jc w:val="center"/>
              <w:rPr>
                <w:rFonts w:cs="Times New Roman"/>
                <w:kern w:val="0"/>
                <w:szCs w:val="21"/>
              </w:rPr>
            </w:pPr>
            <w:r>
              <w:rPr>
                <w:rFonts w:cs="Times New Roman"/>
                <w:kern w:val="0"/>
                <w:sz w:val="21"/>
                <w:szCs w:val="21"/>
                <w:lang w:bidi="ar"/>
              </w:rPr>
              <w:t>稻田、沼泽、草地</w:t>
            </w:r>
          </w:p>
        </w:tc>
        <w:tc>
          <w:tcPr>
            <w:tcW w:w="1093" w:type="dxa"/>
            <w:tcBorders>
              <w:top w:val="single" w:color="000000" w:sz="4" w:space="0"/>
              <w:left w:val="single" w:color="000000" w:sz="4" w:space="0"/>
              <w:bottom w:val="single" w:color="000000" w:sz="4" w:space="0"/>
              <w:right w:val="single" w:color="000000" w:sz="4" w:space="0"/>
            </w:tcBorders>
            <w:vAlign w:val="center"/>
          </w:tcPr>
          <w:p w14:paraId="540BB12A">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292168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785DA3BB">
            <w:pPr>
              <w:spacing w:line="240" w:lineRule="auto"/>
              <w:ind w:firstLine="0" w:firstLineChars="0"/>
              <w:rPr>
                <w:rFonts w:cs="Times New Roman"/>
                <w:sz w:val="21"/>
              </w:rPr>
            </w:pPr>
          </w:p>
        </w:tc>
        <w:tc>
          <w:tcPr>
            <w:tcW w:w="850" w:type="dxa"/>
            <w:vMerge w:val="restart"/>
            <w:tcBorders>
              <w:top w:val="single" w:color="000000" w:sz="4" w:space="0"/>
              <w:left w:val="single" w:color="000000" w:sz="4" w:space="0"/>
              <w:bottom w:val="single" w:color="000000" w:sz="4" w:space="0"/>
              <w:right w:val="single" w:color="000000" w:sz="4" w:space="0"/>
            </w:tcBorders>
            <w:noWrap/>
            <w:vAlign w:val="center"/>
          </w:tcPr>
          <w:p w14:paraId="3B5F380B">
            <w:pPr>
              <w:widowControl/>
              <w:spacing w:line="240" w:lineRule="auto"/>
              <w:ind w:firstLine="0" w:firstLineChars="0"/>
              <w:jc w:val="center"/>
              <w:rPr>
                <w:rFonts w:cs="Times New Roman"/>
                <w:kern w:val="0"/>
                <w:szCs w:val="21"/>
              </w:rPr>
            </w:pPr>
            <w:r>
              <w:rPr>
                <w:rFonts w:cs="Times New Roman"/>
                <w:kern w:val="0"/>
                <w:sz w:val="21"/>
                <w:szCs w:val="21"/>
                <w:lang w:bidi="ar"/>
              </w:rPr>
              <w:t>鸦科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4EF5C241">
            <w:pPr>
              <w:widowControl/>
              <w:spacing w:line="240" w:lineRule="auto"/>
              <w:ind w:firstLine="0" w:firstLineChars="0"/>
              <w:jc w:val="left"/>
              <w:rPr>
                <w:rFonts w:cs="Times New Roman"/>
                <w:kern w:val="0"/>
                <w:szCs w:val="21"/>
              </w:rPr>
            </w:pPr>
            <w:r>
              <w:rPr>
                <w:rFonts w:cs="Times New Roman"/>
                <w:kern w:val="0"/>
                <w:sz w:val="21"/>
                <w:szCs w:val="21"/>
                <w:lang w:bidi="ar"/>
              </w:rPr>
              <w:t xml:space="preserve">红嘴蓝鹊 </w:t>
            </w:r>
            <w:r>
              <w:rPr>
                <w:rFonts w:cs="Times New Roman"/>
                <w:i/>
                <w:iCs/>
                <w:kern w:val="0"/>
                <w:sz w:val="21"/>
                <w:szCs w:val="21"/>
                <w:lang w:bidi="ar"/>
              </w:rPr>
              <w:t>Urocissa erythrorhyncha</w:t>
            </w:r>
          </w:p>
        </w:tc>
        <w:tc>
          <w:tcPr>
            <w:tcW w:w="2246" w:type="dxa"/>
            <w:tcBorders>
              <w:top w:val="single" w:color="000000" w:sz="4" w:space="0"/>
              <w:left w:val="single" w:color="000000" w:sz="4" w:space="0"/>
              <w:bottom w:val="single" w:color="000000" w:sz="4" w:space="0"/>
              <w:right w:val="single" w:color="000000" w:sz="4" w:space="0"/>
            </w:tcBorders>
            <w:vAlign w:val="center"/>
          </w:tcPr>
          <w:p w14:paraId="452A23A9">
            <w:pPr>
              <w:widowControl/>
              <w:spacing w:line="240" w:lineRule="auto"/>
              <w:ind w:firstLine="0" w:firstLineChars="0"/>
              <w:jc w:val="center"/>
              <w:rPr>
                <w:rFonts w:cs="Times New Roman"/>
                <w:kern w:val="0"/>
                <w:szCs w:val="21"/>
              </w:rPr>
            </w:pPr>
            <w:r>
              <w:rPr>
                <w:rFonts w:cs="Times New Roman"/>
                <w:kern w:val="0"/>
                <w:sz w:val="21"/>
                <w:szCs w:val="21"/>
                <w:lang w:bidi="ar"/>
              </w:rPr>
              <w:t>山区、开阔的农田和村落林 地、丘陵、平原</w:t>
            </w:r>
          </w:p>
        </w:tc>
        <w:tc>
          <w:tcPr>
            <w:tcW w:w="1093" w:type="dxa"/>
            <w:tcBorders>
              <w:top w:val="single" w:color="000000" w:sz="4" w:space="0"/>
              <w:left w:val="single" w:color="000000" w:sz="4" w:space="0"/>
              <w:bottom w:val="single" w:color="000000" w:sz="4" w:space="0"/>
              <w:right w:val="single" w:color="000000" w:sz="4" w:space="0"/>
            </w:tcBorders>
            <w:vAlign w:val="center"/>
          </w:tcPr>
          <w:p w14:paraId="7CA6E162">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682CBB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01AE5424">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noWrap/>
            <w:vAlign w:val="center"/>
          </w:tcPr>
          <w:p w14:paraId="17DEA912">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5408CFA9">
            <w:pPr>
              <w:widowControl/>
              <w:spacing w:line="240" w:lineRule="auto"/>
              <w:ind w:firstLine="0" w:firstLineChars="0"/>
              <w:jc w:val="left"/>
              <w:rPr>
                <w:rFonts w:cs="Times New Roman"/>
                <w:kern w:val="0"/>
                <w:szCs w:val="21"/>
              </w:rPr>
            </w:pPr>
            <w:r>
              <w:rPr>
                <w:rFonts w:cs="Times New Roman"/>
                <w:kern w:val="0"/>
                <w:sz w:val="21"/>
                <w:szCs w:val="21"/>
                <w:lang w:bidi="ar"/>
              </w:rPr>
              <w:t xml:space="preserve">灰喜鹊 </w:t>
            </w:r>
            <w:r>
              <w:rPr>
                <w:rFonts w:cs="Times New Roman"/>
                <w:i/>
                <w:iCs/>
                <w:kern w:val="0"/>
                <w:sz w:val="21"/>
                <w:szCs w:val="21"/>
                <w:lang w:bidi="ar"/>
              </w:rPr>
              <w:t>Cyanopica cyana</w:t>
            </w:r>
          </w:p>
        </w:tc>
        <w:tc>
          <w:tcPr>
            <w:tcW w:w="2246" w:type="dxa"/>
            <w:tcBorders>
              <w:top w:val="single" w:color="000000" w:sz="4" w:space="0"/>
              <w:left w:val="single" w:color="000000" w:sz="4" w:space="0"/>
              <w:bottom w:val="single" w:color="000000" w:sz="4" w:space="0"/>
              <w:right w:val="single" w:color="000000" w:sz="4" w:space="0"/>
            </w:tcBorders>
            <w:vAlign w:val="center"/>
          </w:tcPr>
          <w:p w14:paraId="7113791B">
            <w:pPr>
              <w:widowControl/>
              <w:spacing w:line="240" w:lineRule="auto"/>
              <w:ind w:firstLine="0" w:firstLineChars="0"/>
              <w:jc w:val="center"/>
              <w:rPr>
                <w:rFonts w:cs="Times New Roman"/>
                <w:kern w:val="0"/>
                <w:szCs w:val="21"/>
              </w:rPr>
            </w:pPr>
            <w:r>
              <w:rPr>
                <w:rFonts w:cs="Times New Roman"/>
                <w:kern w:val="0"/>
                <w:sz w:val="21"/>
                <w:szCs w:val="21"/>
                <w:lang w:bidi="ar"/>
              </w:rPr>
              <w:t>平原或山脚地带林地</w:t>
            </w:r>
          </w:p>
        </w:tc>
        <w:tc>
          <w:tcPr>
            <w:tcW w:w="1093" w:type="dxa"/>
            <w:tcBorders>
              <w:top w:val="single" w:color="000000" w:sz="4" w:space="0"/>
              <w:left w:val="single" w:color="000000" w:sz="4" w:space="0"/>
              <w:bottom w:val="single" w:color="000000" w:sz="4" w:space="0"/>
              <w:right w:val="single" w:color="000000" w:sz="4" w:space="0"/>
            </w:tcBorders>
            <w:vAlign w:val="center"/>
          </w:tcPr>
          <w:p w14:paraId="131A0489">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2BEC6F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172EBFD6">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noWrap/>
            <w:vAlign w:val="center"/>
          </w:tcPr>
          <w:p w14:paraId="778225F8">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56F781E5">
            <w:pPr>
              <w:widowControl/>
              <w:spacing w:line="240" w:lineRule="auto"/>
              <w:ind w:firstLine="0" w:firstLineChars="0"/>
              <w:jc w:val="left"/>
              <w:rPr>
                <w:rFonts w:cs="Times New Roman"/>
                <w:kern w:val="0"/>
                <w:szCs w:val="21"/>
              </w:rPr>
            </w:pPr>
            <w:r>
              <w:rPr>
                <w:rFonts w:cs="Times New Roman"/>
                <w:kern w:val="0"/>
                <w:sz w:val="21"/>
                <w:szCs w:val="21"/>
                <w:lang w:bidi="ar"/>
              </w:rPr>
              <w:t xml:space="preserve">喜鹊 </w:t>
            </w:r>
            <w:r>
              <w:rPr>
                <w:rFonts w:cs="Times New Roman"/>
                <w:i/>
                <w:iCs/>
                <w:kern w:val="0"/>
                <w:sz w:val="21"/>
                <w:szCs w:val="21"/>
                <w:lang w:bidi="ar"/>
              </w:rPr>
              <w:t>Pica pica</w:t>
            </w:r>
          </w:p>
        </w:tc>
        <w:tc>
          <w:tcPr>
            <w:tcW w:w="2246" w:type="dxa"/>
            <w:tcBorders>
              <w:top w:val="single" w:color="000000" w:sz="4" w:space="0"/>
              <w:left w:val="single" w:color="000000" w:sz="4" w:space="0"/>
              <w:bottom w:val="single" w:color="000000" w:sz="4" w:space="0"/>
              <w:right w:val="single" w:color="000000" w:sz="4" w:space="0"/>
            </w:tcBorders>
            <w:vAlign w:val="center"/>
          </w:tcPr>
          <w:p w14:paraId="703F101F">
            <w:pPr>
              <w:widowControl/>
              <w:spacing w:line="240" w:lineRule="auto"/>
              <w:ind w:firstLine="0" w:firstLineChars="0"/>
              <w:jc w:val="center"/>
              <w:rPr>
                <w:rFonts w:cs="Times New Roman"/>
                <w:kern w:val="0"/>
                <w:szCs w:val="21"/>
              </w:rPr>
            </w:pPr>
            <w:r>
              <w:rPr>
                <w:rFonts w:cs="Times New Roman"/>
                <w:kern w:val="0"/>
                <w:sz w:val="21"/>
                <w:szCs w:val="21"/>
                <w:lang w:bidi="ar"/>
              </w:rPr>
              <w:t>村落、平原或山区林地</w:t>
            </w:r>
          </w:p>
        </w:tc>
        <w:tc>
          <w:tcPr>
            <w:tcW w:w="1093" w:type="dxa"/>
            <w:tcBorders>
              <w:top w:val="single" w:color="000000" w:sz="4" w:space="0"/>
              <w:left w:val="single" w:color="000000" w:sz="4" w:space="0"/>
              <w:bottom w:val="single" w:color="000000" w:sz="4" w:space="0"/>
              <w:right w:val="single" w:color="000000" w:sz="4" w:space="0"/>
            </w:tcBorders>
            <w:vAlign w:val="center"/>
          </w:tcPr>
          <w:p w14:paraId="3E5A5E9D">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349803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287E3966">
            <w:pPr>
              <w:spacing w:line="240" w:lineRule="auto"/>
              <w:ind w:firstLine="0" w:firstLineChars="0"/>
              <w:rPr>
                <w:rFonts w:cs="Times New Roman"/>
                <w:sz w:val="21"/>
              </w:rPr>
            </w:pPr>
          </w:p>
        </w:tc>
        <w:tc>
          <w:tcPr>
            <w:tcW w:w="850" w:type="dxa"/>
            <w:vMerge w:val="restart"/>
            <w:tcBorders>
              <w:top w:val="single" w:color="000000" w:sz="4" w:space="0"/>
              <w:left w:val="single" w:color="000000" w:sz="4" w:space="0"/>
              <w:bottom w:val="single" w:color="000000" w:sz="4" w:space="0"/>
              <w:right w:val="single" w:color="000000" w:sz="4" w:space="0"/>
            </w:tcBorders>
            <w:noWrap/>
            <w:vAlign w:val="center"/>
          </w:tcPr>
          <w:p w14:paraId="0D6CC4DE">
            <w:pPr>
              <w:widowControl/>
              <w:spacing w:line="240" w:lineRule="auto"/>
              <w:ind w:firstLine="0" w:firstLineChars="0"/>
              <w:jc w:val="center"/>
              <w:rPr>
                <w:rFonts w:cs="Times New Roman"/>
                <w:kern w:val="0"/>
                <w:szCs w:val="21"/>
              </w:rPr>
            </w:pPr>
            <w:r>
              <w:rPr>
                <w:rFonts w:cs="Times New Roman"/>
                <w:kern w:val="0"/>
                <w:sz w:val="21"/>
                <w:szCs w:val="21"/>
                <w:lang w:bidi="ar"/>
              </w:rPr>
              <w:t>画眉科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20C91EB7">
            <w:pPr>
              <w:widowControl/>
              <w:spacing w:line="240" w:lineRule="auto"/>
              <w:ind w:firstLine="0" w:firstLineChars="0"/>
              <w:jc w:val="left"/>
              <w:rPr>
                <w:rFonts w:cs="Times New Roman"/>
                <w:kern w:val="0"/>
                <w:szCs w:val="21"/>
              </w:rPr>
            </w:pPr>
            <w:r>
              <w:rPr>
                <w:rFonts w:cs="Times New Roman"/>
                <w:kern w:val="0"/>
                <w:sz w:val="21"/>
                <w:szCs w:val="21"/>
                <w:lang w:bidi="ar"/>
              </w:rPr>
              <w:t xml:space="preserve">画眉 </w:t>
            </w:r>
            <w:r>
              <w:rPr>
                <w:rFonts w:cs="Times New Roman"/>
                <w:i/>
                <w:iCs/>
                <w:kern w:val="0"/>
                <w:sz w:val="21"/>
                <w:szCs w:val="21"/>
                <w:lang w:bidi="ar"/>
              </w:rPr>
              <w:t>Garrulax canorus</w:t>
            </w:r>
          </w:p>
        </w:tc>
        <w:tc>
          <w:tcPr>
            <w:tcW w:w="2246" w:type="dxa"/>
            <w:tcBorders>
              <w:top w:val="single" w:color="000000" w:sz="4" w:space="0"/>
              <w:left w:val="single" w:color="000000" w:sz="4" w:space="0"/>
              <w:bottom w:val="single" w:color="000000" w:sz="4" w:space="0"/>
              <w:right w:val="single" w:color="000000" w:sz="4" w:space="0"/>
            </w:tcBorders>
            <w:vAlign w:val="center"/>
          </w:tcPr>
          <w:p w14:paraId="5EAC1072">
            <w:pPr>
              <w:widowControl/>
              <w:spacing w:line="240" w:lineRule="auto"/>
              <w:ind w:firstLine="0" w:firstLineChars="0"/>
              <w:jc w:val="center"/>
              <w:rPr>
                <w:rFonts w:cs="Times New Roman"/>
                <w:kern w:val="0"/>
                <w:szCs w:val="21"/>
              </w:rPr>
            </w:pPr>
            <w:r>
              <w:rPr>
                <w:rFonts w:cs="Times New Roman"/>
                <w:kern w:val="0"/>
                <w:sz w:val="21"/>
                <w:szCs w:val="21"/>
                <w:lang w:bidi="ar"/>
              </w:rPr>
              <w:t>林地</w:t>
            </w:r>
          </w:p>
        </w:tc>
        <w:tc>
          <w:tcPr>
            <w:tcW w:w="1093" w:type="dxa"/>
            <w:tcBorders>
              <w:top w:val="single" w:color="000000" w:sz="4" w:space="0"/>
              <w:left w:val="single" w:color="000000" w:sz="4" w:space="0"/>
              <w:bottom w:val="single" w:color="000000" w:sz="4" w:space="0"/>
              <w:right w:val="single" w:color="000000" w:sz="4" w:space="0"/>
            </w:tcBorders>
            <w:vAlign w:val="center"/>
          </w:tcPr>
          <w:p w14:paraId="09FFC793">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09C8BA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46DB9DC6">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noWrap/>
            <w:vAlign w:val="center"/>
          </w:tcPr>
          <w:p w14:paraId="72408660">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306FFBB9">
            <w:pPr>
              <w:widowControl/>
              <w:spacing w:line="240" w:lineRule="auto"/>
              <w:ind w:firstLine="0" w:firstLineChars="0"/>
              <w:jc w:val="left"/>
              <w:rPr>
                <w:rFonts w:cs="Times New Roman"/>
                <w:kern w:val="0"/>
                <w:szCs w:val="21"/>
              </w:rPr>
            </w:pPr>
            <w:r>
              <w:rPr>
                <w:rFonts w:cs="Times New Roman"/>
                <w:kern w:val="0"/>
                <w:sz w:val="21"/>
                <w:szCs w:val="21"/>
                <w:lang w:bidi="ar"/>
              </w:rPr>
              <w:t xml:space="preserve">红嘴相思鸟 </w:t>
            </w:r>
            <w:r>
              <w:rPr>
                <w:rFonts w:cs="Times New Roman"/>
                <w:i/>
                <w:iCs/>
                <w:kern w:val="0"/>
                <w:sz w:val="21"/>
                <w:szCs w:val="21"/>
                <w:lang w:bidi="ar"/>
              </w:rPr>
              <w:t>Leiothrix lutea</w:t>
            </w:r>
          </w:p>
        </w:tc>
        <w:tc>
          <w:tcPr>
            <w:tcW w:w="2246" w:type="dxa"/>
            <w:tcBorders>
              <w:top w:val="single" w:color="000000" w:sz="4" w:space="0"/>
              <w:left w:val="single" w:color="000000" w:sz="4" w:space="0"/>
              <w:bottom w:val="single" w:color="000000" w:sz="4" w:space="0"/>
              <w:right w:val="single" w:color="000000" w:sz="4" w:space="0"/>
            </w:tcBorders>
            <w:vAlign w:val="center"/>
          </w:tcPr>
          <w:p w14:paraId="5318C2F2">
            <w:pPr>
              <w:widowControl/>
              <w:spacing w:line="240" w:lineRule="auto"/>
              <w:ind w:firstLine="0" w:firstLineChars="0"/>
              <w:jc w:val="center"/>
              <w:rPr>
                <w:rFonts w:cs="Times New Roman"/>
                <w:kern w:val="0"/>
                <w:szCs w:val="21"/>
              </w:rPr>
            </w:pPr>
            <w:r>
              <w:rPr>
                <w:rFonts w:cs="Times New Roman"/>
                <w:kern w:val="0"/>
                <w:sz w:val="21"/>
                <w:szCs w:val="21"/>
                <w:lang w:bidi="ar"/>
              </w:rPr>
              <w:t>次生林的林下植被</w:t>
            </w:r>
          </w:p>
        </w:tc>
        <w:tc>
          <w:tcPr>
            <w:tcW w:w="1093" w:type="dxa"/>
            <w:tcBorders>
              <w:top w:val="single" w:color="000000" w:sz="4" w:space="0"/>
              <w:left w:val="single" w:color="000000" w:sz="4" w:space="0"/>
              <w:bottom w:val="single" w:color="000000" w:sz="4" w:space="0"/>
              <w:right w:val="single" w:color="000000" w:sz="4" w:space="0"/>
            </w:tcBorders>
            <w:vAlign w:val="center"/>
          </w:tcPr>
          <w:p w14:paraId="77FB967A">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6B43F6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74BA2857">
            <w:pPr>
              <w:spacing w:line="240" w:lineRule="auto"/>
              <w:ind w:firstLine="0" w:firstLineChars="0"/>
              <w:rPr>
                <w:rFonts w:cs="Times New Roman"/>
                <w:sz w:val="21"/>
              </w:rPr>
            </w:pPr>
          </w:p>
        </w:tc>
        <w:tc>
          <w:tcPr>
            <w:tcW w:w="850" w:type="dxa"/>
            <w:vMerge w:val="restart"/>
            <w:tcBorders>
              <w:top w:val="single" w:color="000000" w:sz="4" w:space="0"/>
              <w:left w:val="single" w:color="000000" w:sz="4" w:space="0"/>
              <w:bottom w:val="single" w:color="000000" w:sz="4" w:space="0"/>
              <w:right w:val="single" w:color="000000" w:sz="4" w:space="0"/>
            </w:tcBorders>
            <w:noWrap/>
            <w:vAlign w:val="center"/>
          </w:tcPr>
          <w:p w14:paraId="24AA86CC">
            <w:pPr>
              <w:widowControl/>
              <w:spacing w:line="240" w:lineRule="auto"/>
              <w:ind w:firstLine="0" w:firstLineChars="0"/>
              <w:jc w:val="center"/>
              <w:rPr>
                <w:rFonts w:cs="Times New Roman"/>
                <w:kern w:val="0"/>
                <w:szCs w:val="21"/>
              </w:rPr>
            </w:pPr>
            <w:r>
              <w:rPr>
                <w:rFonts w:cs="Times New Roman"/>
                <w:kern w:val="0"/>
                <w:sz w:val="21"/>
                <w:szCs w:val="21"/>
                <w:lang w:bidi="ar"/>
              </w:rPr>
              <w:t>长尾山雀科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3D01F6E2">
            <w:pPr>
              <w:widowControl/>
              <w:spacing w:line="240" w:lineRule="auto"/>
              <w:ind w:firstLine="0" w:firstLineChars="0"/>
              <w:jc w:val="left"/>
              <w:rPr>
                <w:rFonts w:cs="Times New Roman"/>
                <w:kern w:val="0"/>
                <w:szCs w:val="21"/>
              </w:rPr>
            </w:pPr>
            <w:r>
              <w:rPr>
                <w:rFonts w:cs="Times New Roman"/>
                <w:kern w:val="0"/>
                <w:sz w:val="21"/>
                <w:szCs w:val="21"/>
                <w:lang w:bidi="ar"/>
              </w:rPr>
              <w:t xml:space="preserve">银喉长尾山雀 </w:t>
            </w:r>
            <w:r>
              <w:rPr>
                <w:rFonts w:cs="Times New Roman"/>
                <w:i/>
                <w:iCs/>
                <w:kern w:val="0"/>
                <w:sz w:val="21"/>
                <w:szCs w:val="21"/>
                <w:lang w:bidi="ar"/>
              </w:rPr>
              <w:t>Aegithalos caudatus</w:t>
            </w:r>
          </w:p>
        </w:tc>
        <w:tc>
          <w:tcPr>
            <w:tcW w:w="2246" w:type="dxa"/>
            <w:tcBorders>
              <w:top w:val="single" w:color="000000" w:sz="4" w:space="0"/>
              <w:left w:val="single" w:color="000000" w:sz="4" w:space="0"/>
              <w:bottom w:val="single" w:color="000000" w:sz="4" w:space="0"/>
              <w:right w:val="single" w:color="000000" w:sz="4" w:space="0"/>
            </w:tcBorders>
            <w:vAlign w:val="center"/>
          </w:tcPr>
          <w:p w14:paraId="0F690D7A">
            <w:pPr>
              <w:widowControl/>
              <w:spacing w:line="240" w:lineRule="auto"/>
              <w:ind w:firstLine="0" w:firstLineChars="0"/>
              <w:jc w:val="center"/>
              <w:rPr>
                <w:rFonts w:cs="Times New Roman"/>
                <w:kern w:val="0"/>
                <w:szCs w:val="21"/>
              </w:rPr>
            </w:pPr>
            <w:r>
              <w:rPr>
                <w:rFonts w:cs="Times New Roman"/>
                <w:kern w:val="0"/>
                <w:sz w:val="21"/>
                <w:szCs w:val="21"/>
                <w:lang w:bidi="ar"/>
              </w:rPr>
              <w:t>林地、林缘、公园</w:t>
            </w:r>
          </w:p>
        </w:tc>
        <w:tc>
          <w:tcPr>
            <w:tcW w:w="1093" w:type="dxa"/>
            <w:tcBorders>
              <w:top w:val="single" w:color="000000" w:sz="4" w:space="0"/>
              <w:left w:val="single" w:color="000000" w:sz="4" w:space="0"/>
              <w:bottom w:val="single" w:color="000000" w:sz="4" w:space="0"/>
              <w:right w:val="single" w:color="000000" w:sz="4" w:space="0"/>
            </w:tcBorders>
            <w:vAlign w:val="center"/>
          </w:tcPr>
          <w:p w14:paraId="4C36BED6">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5F1031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29528A65">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noWrap/>
            <w:vAlign w:val="center"/>
          </w:tcPr>
          <w:p w14:paraId="5E941ED4">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736F988F">
            <w:pPr>
              <w:widowControl/>
              <w:spacing w:line="240" w:lineRule="auto"/>
              <w:ind w:firstLine="0" w:firstLineChars="0"/>
              <w:jc w:val="left"/>
              <w:rPr>
                <w:rFonts w:cs="Times New Roman"/>
                <w:kern w:val="0"/>
                <w:szCs w:val="21"/>
              </w:rPr>
            </w:pPr>
            <w:r>
              <w:rPr>
                <w:rFonts w:cs="Times New Roman"/>
                <w:kern w:val="0"/>
                <w:sz w:val="21"/>
                <w:szCs w:val="21"/>
                <w:lang w:bidi="ar"/>
              </w:rPr>
              <w:t xml:space="preserve">红头长尾山雀 </w:t>
            </w:r>
            <w:r>
              <w:rPr>
                <w:rFonts w:cs="Times New Roman"/>
                <w:i/>
                <w:iCs/>
                <w:kern w:val="0"/>
                <w:sz w:val="21"/>
                <w:szCs w:val="21"/>
                <w:lang w:bidi="ar"/>
              </w:rPr>
              <w:t>Aegithalos concinnus</w:t>
            </w:r>
          </w:p>
        </w:tc>
        <w:tc>
          <w:tcPr>
            <w:tcW w:w="2246" w:type="dxa"/>
            <w:tcBorders>
              <w:top w:val="single" w:color="000000" w:sz="4" w:space="0"/>
              <w:left w:val="single" w:color="000000" w:sz="4" w:space="0"/>
              <w:bottom w:val="single" w:color="000000" w:sz="4" w:space="0"/>
              <w:right w:val="single" w:color="000000" w:sz="4" w:space="0"/>
            </w:tcBorders>
            <w:vAlign w:val="center"/>
          </w:tcPr>
          <w:p w14:paraId="1B3C9538">
            <w:pPr>
              <w:widowControl/>
              <w:spacing w:line="240" w:lineRule="auto"/>
              <w:ind w:firstLine="0" w:firstLineChars="0"/>
              <w:jc w:val="center"/>
              <w:rPr>
                <w:rFonts w:cs="Times New Roman"/>
                <w:kern w:val="0"/>
                <w:szCs w:val="21"/>
              </w:rPr>
            </w:pPr>
            <w:r>
              <w:rPr>
                <w:rFonts w:cs="Times New Roman"/>
                <w:kern w:val="0"/>
                <w:sz w:val="21"/>
                <w:szCs w:val="21"/>
                <w:lang w:bidi="ar"/>
              </w:rPr>
              <w:t>林地、林缘、公园</w:t>
            </w:r>
          </w:p>
        </w:tc>
        <w:tc>
          <w:tcPr>
            <w:tcW w:w="1093" w:type="dxa"/>
            <w:tcBorders>
              <w:top w:val="single" w:color="000000" w:sz="4" w:space="0"/>
              <w:left w:val="single" w:color="000000" w:sz="4" w:space="0"/>
              <w:bottom w:val="single" w:color="000000" w:sz="4" w:space="0"/>
              <w:right w:val="single" w:color="000000" w:sz="4" w:space="0"/>
            </w:tcBorders>
            <w:vAlign w:val="center"/>
          </w:tcPr>
          <w:p w14:paraId="7E355524">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6F4263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0B378E6E">
            <w:pPr>
              <w:spacing w:line="240" w:lineRule="auto"/>
              <w:ind w:firstLine="0" w:firstLineChars="0"/>
              <w:rPr>
                <w:rFonts w:cs="Times New Roman"/>
                <w:sz w:val="21"/>
              </w:rPr>
            </w:pP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6D5FD458">
            <w:pPr>
              <w:widowControl/>
              <w:spacing w:line="240" w:lineRule="auto"/>
              <w:ind w:firstLine="0" w:firstLineChars="0"/>
              <w:jc w:val="center"/>
              <w:rPr>
                <w:rFonts w:cs="Times New Roman"/>
                <w:kern w:val="0"/>
                <w:szCs w:val="21"/>
              </w:rPr>
            </w:pPr>
            <w:r>
              <w:rPr>
                <w:rFonts w:cs="Times New Roman"/>
                <w:kern w:val="0"/>
                <w:sz w:val="21"/>
                <w:szCs w:val="21"/>
                <w:lang w:bidi="ar"/>
              </w:rPr>
              <w:t>山雀科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106231A0">
            <w:pPr>
              <w:widowControl/>
              <w:spacing w:line="240" w:lineRule="auto"/>
              <w:ind w:firstLine="0" w:firstLineChars="0"/>
              <w:jc w:val="left"/>
              <w:rPr>
                <w:rFonts w:cs="Times New Roman"/>
                <w:kern w:val="0"/>
                <w:szCs w:val="21"/>
              </w:rPr>
            </w:pPr>
            <w:r>
              <w:rPr>
                <w:rFonts w:cs="Times New Roman"/>
                <w:kern w:val="0"/>
                <w:sz w:val="21"/>
                <w:szCs w:val="21"/>
                <w:lang w:bidi="ar"/>
              </w:rPr>
              <w:t xml:space="preserve">大山雀 </w:t>
            </w:r>
            <w:r>
              <w:rPr>
                <w:rFonts w:cs="Times New Roman"/>
                <w:i/>
                <w:iCs/>
                <w:kern w:val="0"/>
                <w:sz w:val="21"/>
                <w:szCs w:val="21"/>
                <w:lang w:bidi="ar"/>
              </w:rPr>
              <w:t>Parus major</w:t>
            </w:r>
          </w:p>
        </w:tc>
        <w:tc>
          <w:tcPr>
            <w:tcW w:w="2246" w:type="dxa"/>
            <w:tcBorders>
              <w:top w:val="single" w:color="000000" w:sz="4" w:space="0"/>
              <w:left w:val="single" w:color="000000" w:sz="4" w:space="0"/>
              <w:bottom w:val="single" w:color="000000" w:sz="4" w:space="0"/>
              <w:right w:val="single" w:color="000000" w:sz="4" w:space="0"/>
            </w:tcBorders>
            <w:vAlign w:val="center"/>
          </w:tcPr>
          <w:p w14:paraId="22169221">
            <w:pPr>
              <w:widowControl/>
              <w:spacing w:line="240" w:lineRule="auto"/>
              <w:ind w:firstLine="0" w:firstLineChars="0"/>
              <w:jc w:val="center"/>
              <w:rPr>
                <w:rFonts w:cs="Times New Roman"/>
                <w:kern w:val="0"/>
                <w:szCs w:val="21"/>
              </w:rPr>
            </w:pPr>
            <w:r>
              <w:rPr>
                <w:rFonts w:cs="Times New Roman"/>
                <w:kern w:val="0"/>
                <w:sz w:val="21"/>
                <w:szCs w:val="21"/>
                <w:lang w:bidi="ar"/>
              </w:rPr>
              <w:t>林地、林缘、公园、开阔林</w:t>
            </w:r>
          </w:p>
        </w:tc>
        <w:tc>
          <w:tcPr>
            <w:tcW w:w="1093" w:type="dxa"/>
            <w:tcBorders>
              <w:top w:val="single" w:color="000000" w:sz="4" w:space="0"/>
              <w:left w:val="single" w:color="000000" w:sz="4" w:space="0"/>
              <w:bottom w:val="single" w:color="000000" w:sz="4" w:space="0"/>
              <w:right w:val="single" w:color="000000" w:sz="4" w:space="0"/>
            </w:tcBorders>
            <w:vAlign w:val="center"/>
          </w:tcPr>
          <w:p w14:paraId="56F0CF02">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0A5D5A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60EE5046">
            <w:pPr>
              <w:spacing w:line="240" w:lineRule="auto"/>
              <w:ind w:firstLine="0" w:firstLineChars="0"/>
              <w:rPr>
                <w:rFonts w:cs="Times New Roman"/>
                <w:sz w:val="21"/>
              </w:rPr>
            </w:pPr>
          </w:p>
        </w:tc>
        <w:tc>
          <w:tcPr>
            <w:tcW w:w="850" w:type="dxa"/>
            <w:vMerge w:val="restart"/>
            <w:tcBorders>
              <w:top w:val="single" w:color="000000" w:sz="4" w:space="0"/>
              <w:left w:val="single" w:color="000000" w:sz="4" w:space="0"/>
              <w:bottom w:val="single" w:color="000000" w:sz="4" w:space="0"/>
              <w:right w:val="single" w:color="000000" w:sz="4" w:space="0"/>
            </w:tcBorders>
            <w:noWrap/>
            <w:vAlign w:val="center"/>
          </w:tcPr>
          <w:p w14:paraId="318A8671">
            <w:pPr>
              <w:widowControl/>
              <w:spacing w:line="240" w:lineRule="auto"/>
              <w:ind w:firstLine="0" w:firstLineChars="0"/>
              <w:jc w:val="center"/>
              <w:rPr>
                <w:rFonts w:cs="Times New Roman"/>
                <w:kern w:val="0"/>
                <w:szCs w:val="21"/>
              </w:rPr>
            </w:pPr>
            <w:r>
              <w:rPr>
                <w:rFonts w:cs="Times New Roman"/>
                <w:kern w:val="0"/>
                <w:sz w:val="21"/>
                <w:szCs w:val="21"/>
                <w:lang w:bidi="ar"/>
              </w:rPr>
              <w:t>燕雀科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2A545DF1">
            <w:pPr>
              <w:widowControl/>
              <w:spacing w:line="240" w:lineRule="auto"/>
              <w:ind w:firstLine="0" w:firstLineChars="0"/>
              <w:jc w:val="left"/>
              <w:rPr>
                <w:rFonts w:cs="Times New Roman"/>
                <w:kern w:val="0"/>
                <w:szCs w:val="21"/>
              </w:rPr>
            </w:pPr>
            <w:r>
              <w:rPr>
                <w:rFonts w:cs="Times New Roman"/>
                <w:kern w:val="0"/>
                <w:sz w:val="21"/>
                <w:szCs w:val="21"/>
                <w:lang w:bidi="ar"/>
              </w:rPr>
              <w:t xml:space="preserve">金翅雀 </w:t>
            </w:r>
            <w:r>
              <w:rPr>
                <w:rFonts w:cs="Times New Roman"/>
                <w:i/>
                <w:iCs/>
                <w:kern w:val="0"/>
                <w:sz w:val="21"/>
                <w:szCs w:val="21"/>
                <w:lang w:bidi="ar"/>
              </w:rPr>
              <w:t>Carduelis sinica</w:t>
            </w:r>
          </w:p>
        </w:tc>
        <w:tc>
          <w:tcPr>
            <w:tcW w:w="2246" w:type="dxa"/>
            <w:tcBorders>
              <w:top w:val="single" w:color="000000" w:sz="4" w:space="0"/>
              <w:left w:val="single" w:color="000000" w:sz="4" w:space="0"/>
              <w:bottom w:val="single" w:color="000000" w:sz="4" w:space="0"/>
              <w:right w:val="single" w:color="000000" w:sz="4" w:space="0"/>
            </w:tcBorders>
            <w:vAlign w:val="center"/>
          </w:tcPr>
          <w:p w14:paraId="01A4A592">
            <w:pPr>
              <w:widowControl/>
              <w:spacing w:line="240" w:lineRule="auto"/>
              <w:ind w:firstLine="0" w:firstLineChars="0"/>
              <w:jc w:val="center"/>
              <w:rPr>
                <w:rFonts w:cs="Times New Roman"/>
                <w:kern w:val="0"/>
                <w:szCs w:val="21"/>
              </w:rPr>
            </w:pPr>
            <w:r>
              <w:rPr>
                <w:rFonts w:cs="Times New Roman"/>
                <w:kern w:val="0"/>
                <w:sz w:val="21"/>
                <w:szCs w:val="21"/>
                <w:lang w:bidi="ar"/>
              </w:rPr>
              <w:t>灌丛、旷野、人工林、林园、林缘地带</w:t>
            </w:r>
          </w:p>
        </w:tc>
        <w:tc>
          <w:tcPr>
            <w:tcW w:w="1093" w:type="dxa"/>
            <w:tcBorders>
              <w:top w:val="single" w:color="000000" w:sz="4" w:space="0"/>
              <w:left w:val="single" w:color="000000" w:sz="4" w:space="0"/>
              <w:bottom w:val="single" w:color="000000" w:sz="4" w:space="0"/>
              <w:right w:val="single" w:color="000000" w:sz="4" w:space="0"/>
            </w:tcBorders>
            <w:vAlign w:val="center"/>
          </w:tcPr>
          <w:p w14:paraId="24707C4D">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10CE0D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3A670077">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noWrap/>
            <w:vAlign w:val="center"/>
          </w:tcPr>
          <w:p w14:paraId="1C89AA64">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685A6F54">
            <w:pPr>
              <w:widowControl/>
              <w:spacing w:line="240" w:lineRule="auto"/>
              <w:ind w:firstLine="0" w:firstLineChars="0"/>
              <w:jc w:val="left"/>
              <w:rPr>
                <w:rFonts w:cs="Times New Roman"/>
                <w:kern w:val="0"/>
                <w:szCs w:val="21"/>
              </w:rPr>
            </w:pPr>
            <w:r>
              <w:rPr>
                <w:rFonts w:cs="Times New Roman"/>
                <w:kern w:val="0"/>
                <w:sz w:val="21"/>
                <w:szCs w:val="21"/>
                <w:lang w:bidi="ar"/>
              </w:rPr>
              <w:t xml:space="preserve">黄雀 </w:t>
            </w:r>
            <w:r>
              <w:rPr>
                <w:rFonts w:cs="Times New Roman"/>
                <w:i/>
                <w:iCs/>
                <w:kern w:val="0"/>
                <w:sz w:val="21"/>
                <w:szCs w:val="21"/>
                <w:lang w:bidi="ar"/>
              </w:rPr>
              <w:t>Carduelis spinus</w:t>
            </w:r>
          </w:p>
        </w:tc>
        <w:tc>
          <w:tcPr>
            <w:tcW w:w="2246" w:type="dxa"/>
            <w:tcBorders>
              <w:top w:val="single" w:color="000000" w:sz="4" w:space="0"/>
              <w:left w:val="single" w:color="000000" w:sz="4" w:space="0"/>
              <w:bottom w:val="single" w:color="000000" w:sz="4" w:space="0"/>
              <w:right w:val="single" w:color="000000" w:sz="4" w:space="0"/>
            </w:tcBorders>
            <w:vAlign w:val="center"/>
          </w:tcPr>
          <w:p w14:paraId="706DE1C6">
            <w:pPr>
              <w:widowControl/>
              <w:spacing w:line="240" w:lineRule="auto"/>
              <w:ind w:firstLine="0" w:firstLineChars="0"/>
              <w:jc w:val="center"/>
              <w:rPr>
                <w:rFonts w:cs="Times New Roman"/>
                <w:kern w:val="0"/>
                <w:szCs w:val="21"/>
              </w:rPr>
            </w:pPr>
            <w:r>
              <w:rPr>
                <w:rFonts w:cs="Times New Roman"/>
                <w:kern w:val="0"/>
                <w:sz w:val="21"/>
                <w:szCs w:val="21"/>
                <w:lang w:bidi="ar"/>
              </w:rPr>
              <w:t>林地</w:t>
            </w:r>
          </w:p>
        </w:tc>
        <w:tc>
          <w:tcPr>
            <w:tcW w:w="1093" w:type="dxa"/>
            <w:tcBorders>
              <w:top w:val="single" w:color="000000" w:sz="4" w:space="0"/>
              <w:left w:val="single" w:color="000000" w:sz="4" w:space="0"/>
              <w:bottom w:val="single" w:color="000000" w:sz="4" w:space="0"/>
              <w:right w:val="single" w:color="000000" w:sz="4" w:space="0"/>
            </w:tcBorders>
            <w:vAlign w:val="center"/>
          </w:tcPr>
          <w:p w14:paraId="427B5739">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52DEDA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4BF956B3">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noWrap/>
            <w:vAlign w:val="center"/>
          </w:tcPr>
          <w:p w14:paraId="377FF8CE">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4378C044">
            <w:pPr>
              <w:widowControl/>
              <w:spacing w:line="240" w:lineRule="auto"/>
              <w:ind w:firstLine="0" w:firstLineChars="0"/>
              <w:jc w:val="left"/>
              <w:rPr>
                <w:rFonts w:cs="Times New Roman"/>
                <w:kern w:val="0"/>
                <w:szCs w:val="21"/>
              </w:rPr>
            </w:pPr>
            <w:r>
              <w:rPr>
                <w:rFonts w:cs="Times New Roman"/>
                <w:kern w:val="0"/>
                <w:sz w:val="21"/>
                <w:szCs w:val="21"/>
                <w:lang w:bidi="ar"/>
              </w:rPr>
              <w:t xml:space="preserve">黑尾蜡嘴雀 </w:t>
            </w:r>
            <w:r>
              <w:rPr>
                <w:rFonts w:cs="Times New Roman"/>
                <w:i/>
                <w:iCs/>
                <w:kern w:val="0"/>
                <w:sz w:val="21"/>
                <w:szCs w:val="21"/>
                <w:lang w:bidi="ar"/>
              </w:rPr>
              <w:t>Eophona migratoria</w:t>
            </w:r>
          </w:p>
        </w:tc>
        <w:tc>
          <w:tcPr>
            <w:tcW w:w="2246" w:type="dxa"/>
            <w:tcBorders>
              <w:top w:val="single" w:color="000000" w:sz="4" w:space="0"/>
              <w:left w:val="single" w:color="000000" w:sz="4" w:space="0"/>
              <w:bottom w:val="single" w:color="000000" w:sz="4" w:space="0"/>
              <w:right w:val="single" w:color="000000" w:sz="4" w:space="0"/>
            </w:tcBorders>
            <w:vAlign w:val="center"/>
          </w:tcPr>
          <w:p w14:paraId="0A74CAD8">
            <w:pPr>
              <w:widowControl/>
              <w:spacing w:line="240" w:lineRule="auto"/>
              <w:ind w:firstLine="0" w:firstLineChars="0"/>
              <w:jc w:val="center"/>
              <w:rPr>
                <w:rFonts w:cs="Times New Roman"/>
                <w:kern w:val="0"/>
                <w:szCs w:val="21"/>
              </w:rPr>
            </w:pPr>
            <w:r>
              <w:rPr>
                <w:rFonts w:cs="Times New Roman"/>
                <w:kern w:val="0"/>
                <w:sz w:val="21"/>
                <w:szCs w:val="21"/>
                <w:lang w:bidi="ar"/>
              </w:rPr>
              <w:t>林地、果园、公园、农田</w:t>
            </w:r>
          </w:p>
        </w:tc>
        <w:tc>
          <w:tcPr>
            <w:tcW w:w="1093" w:type="dxa"/>
            <w:tcBorders>
              <w:top w:val="single" w:color="000000" w:sz="4" w:space="0"/>
              <w:left w:val="single" w:color="000000" w:sz="4" w:space="0"/>
              <w:bottom w:val="single" w:color="000000" w:sz="4" w:space="0"/>
              <w:right w:val="single" w:color="000000" w:sz="4" w:space="0"/>
            </w:tcBorders>
            <w:vAlign w:val="center"/>
          </w:tcPr>
          <w:p w14:paraId="3D9687A7">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2D2A05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4A740920">
            <w:pPr>
              <w:spacing w:line="240" w:lineRule="auto"/>
              <w:ind w:firstLine="0" w:firstLineChars="0"/>
              <w:rPr>
                <w:rFonts w:cs="Times New Roman"/>
                <w:sz w:val="21"/>
              </w:rPr>
            </w:pPr>
          </w:p>
        </w:tc>
        <w:tc>
          <w:tcPr>
            <w:tcW w:w="850" w:type="dxa"/>
            <w:vMerge w:val="restart"/>
            <w:tcBorders>
              <w:top w:val="single" w:color="000000" w:sz="4" w:space="0"/>
              <w:left w:val="single" w:color="000000" w:sz="4" w:space="0"/>
              <w:bottom w:val="single" w:color="000000" w:sz="4" w:space="0"/>
              <w:right w:val="single" w:color="000000" w:sz="4" w:space="0"/>
            </w:tcBorders>
            <w:noWrap/>
            <w:vAlign w:val="center"/>
          </w:tcPr>
          <w:p w14:paraId="608EF4A7">
            <w:pPr>
              <w:widowControl/>
              <w:spacing w:line="240" w:lineRule="auto"/>
              <w:ind w:firstLine="0" w:firstLineChars="0"/>
              <w:jc w:val="center"/>
              <w:rPr>
                <w:rFonts w:cs="Times New Roman"/>
                <w:kern w:val="0"/>
                <w:szCs w:val="21"/>
              </w:rPr>
            </w:pPr>
            <w:r>
              <w:rPr>
                <w:rFonts w:cs="Times New Roman"/>
                <w:kern w:val="0"/>
                <w:sz w:val="21"/>
                <w:szCs w:val="21"/>
                <w:lang w:bidi="ar"/>
              </w:rPr>
              <w:t>鹀科</w:t>
            </w:r>
          </w:p>
        </w:tc>
        <w:tc>
          <w:tcPr>
            <w:tcW w:w="3261" w:type="dxa"/>
            <w:tcBorders>
              <w:top w:val="single" w:color="000000" w:sz="4" w:space="0"/>
              <w:left w:val="single" w:color="000000" w:sz="4" w:space="0"/>
              <w:bottom w:val="single" w:color="000000" w:sz="4" w:space="0"/>
              <w:right w:val="single" w:color="000000" w:sz="4" w:space="0"/>
            </w:tcBorders>
            <w:vAlign w:val="center"/>
          </w:tcPr>
          <w:p w14:paraId="674C9750">
            <w:pPr>
              <w:widowControl/>
              <w:spacing w:line="240" w:lineRule="auto"/>
              <w:ind w:firstLine="0" w:firstLineChars="0"/>
              <w:jc w:val="left"/>
              <w:rPr>
                <w:rFonts w:cs="Times New Roman"/>
                <w:kern w:val="0"/>
                <w:szCs w:val="21"/>
              </w:rPr>
            </w:pPr>
            <w:r>
              <w:rPr>
                <w:rFonts w:cs="Times New Roman"/>
                <w:kern w:val="0"/>
                <w:sz w:val="21"/>
                <w:szCs w:val="21"/>
                <w:lang w:bidi="ar"/>
              </w:rPr>
              <w:t xml:space="preserve">三道眉草鹀 </w:t>
            </w:r>
            <w:r>
              <w:rPr>
                <w:rFonts w:cs="Times New Roman"/>
                <w:i/>
                <w:iCs/>
                <w:kern w:val="0"/>
                <w:sz w:val="21"/>
                <w:szCs w:val="21"/>
                <w:lang w:bidi="ar"/>
              </w:rPr>
              <w:t>Emberiza cioides</w:t>
            </w:r>
          </w:p>
        </w:tc>
        <w:tc>
          <w:tcPr>
            <w:tcW w:w="2246" w:type="dxa"/>
            <w:tcBorders>
              <w:top w:val="single" w:color="000000" w:sz="4" w:space="0"/>
              <w:left w:val="single" w:color="000000" w:sz="4" w:space="0"/>
              <w:bottom w:val="single" w:color="000000" w:sz="4" w:space="0"/>
              <w:right w:val="single" w:color="000000" w:sz="4" w:space="0"/>
            </w:tcBorders>
            <w:vAlign w:val="center"/>
          </w:tcPr>
          <w:p w14:paraId="0055C071">
            <w:pPr>
              <w:widowControl/>
              <w:spacing w:line="240" w:lineRule="auto"/>
              <w:ind w:firstLine="0" w:firstLineChars="0"/>
              <w:jc w:val="center"/>
              <w:rPr>
                <w:rFonts w:cs="Times New Roman"/>
                <w:kern w:val="0"/>
                <w:szCs w:val="21"/>
              </w:rPr>
            </w:pPr>
            <w:r>
              <w:rPr>
                <w:rFonts w:cs="Times New Roman"/>
                <w:kern w:val="0"/>
                <w:sz w:val="21"/>
                <w:szCs w:val="21"/>
                <w:lang w:bidi="ar"/>
              </w:rPr>
              <w:t>高山丘陵的开阔灌丛、林缘</w:t>
            </w:r>
          </w:p>
        </w:tc>
        <w:tc>
          <w:tcPr>
            <w:tcW w:w="1093" w:type="dxa"/>
            <w:tcBorders>
              <w:top w:val="single" w:color="000000" w:sz="4" w:space="0"/>
              <w:left w:val="single" w:color="000000" w:sz="4" w:space="0"/>
              <w:bottom w:val="single" w:color="000000" w:sz="4" w:space="0"/>
              <w:right w:val="single" w:color="000000" w:sz="4" w:space="0"/>
            </w:tcBorders>
            <w:vAlign w:val="center"/>
          </w:tcPr>
          <w:p w14:paraId="74C4637F">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4FD824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401002E9">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noWrap/>
            <w:vAlign w:val="center"/>
          </w:tcPr>
          <w:p w14:paraId="414C79EA">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2DEDD49C">
            <w:pPr>
              <w:widowControl/>
              <w:spacing w:line="240" w:lineRule="auto"/>
              <w:ind w:firstLine="0" w:firstLineChars="0"/>
              <w:jc w:val="left"/>
              <w:rPr>
                <w:rFonts w:cs="Times New Roman"/>
                <w:kern w:val="0"/>
                <w:szCs w:val="21"/>
              </w:rPr>
            </w:pPr>
            <w:r>
              <w:rPr>
                <w:rFonts w:cs="Times New Roman"/>
                <w:kern w:val="0"/>
                <w:sz w:val="21"/>
                <w:szCs w:val="21"/>
                <w:lang w:bidi="ar"/>
              </w:rPr>
              <w:t xml:space="preserve">白眉鹀 </w:t>
            </w:r>
            <w:r>
              <w:rPr>
                <w:rFonts w:cs="Times New Roman"/>
                <w:i/>
                <w:iCs/>
                <w:kern w:val="0"/>
                <w:sz w:val="21"/>
                <w:szCs w:val="21"/>
                <w:lang w:bidi="ar"/>
              </w:rPr>
              <w:t>Emberiza tristrami</w:t>
            </w:r>
          </w:p>
        </w:tc>
        <w:tc>
          <w:tcPr>
            <w:tcW w:w="2246" w:type="dxa"/>
            <w:tcBorders>
              <w:top w:val="single" w:color="000000" w:sz="4" w:space="0"/>
              <w:left w:val="single" w:color="000000" w:sz="4" w:space="0"/>
              <w:bottom w:val="single" w:color="000000" w:sz="4" w:space="0"/>
              <w:right w:val="single" w:color="000000" w:sz="4" w:space="0"/>
            </w:tcBorders>
            <w:vAlign w:val="center"/>
          </w:tcPr>
          <w:p w14:paraId="18022CE8">
            <w:pPr>
              <w:widowControl/>
              <w:spacing w:line="240" w:lineRule="auto"/>
              <w:ind w:firstLine="0" w:firstLineChars="0"/>
              <w:jc w:val="center"/>
              <w:rPr>
                <w:rFonts w:cs="Times New Roman"/>
                <w:kern w:val="0"/>
                <w:szCs w:val="21"/>
              </w:rPr>
            </w:pPr>
            <w:r>
              <w:rPr>
                <w:rFonts w:cs="Times New Roman"/>
                <w:kern w:val="0"/>
                <w:sz w:val="21"/>
                <w:szCs w:val="21"/>
                <w:lang w:bidi="ar"/>
              </w:rPr>
              <w:t>山坡林下的浓密棘丛</w:t>
            </w:r>
          </w:p>
        </w:tc>
        <w:tc>
          <w:tcPr>
            <w:tcW w:w="1093" w:type="dxa"/>
            <w:tcBorders>
              <w:top w:val="single" w:color="000000" w:sz="4" w:space="0"/>
              <w:left w:val="single" w:color="000000" w:sz="4" w:space="0"/>
              <w:bottom w:val="single" w:color="000000" w:sz="4" w:space="0"/>
              <w:right w:val="single" w:color="000000" w:sz="4" w:space="0"/>
            </w:tcBorders>
            <w:vAlign w:val="center"/>
          </w:tcPr>
          <w:p w14:paraId="268177A8">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2776A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31FA2C83">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noWrap/>
            <w:vAlign w:val="center"/>
          </w:tcPr>
          <w:p w14:paraId="658A58EE">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07829D46">
            <w:pPr>
              <w:widowControl/>
              <w:spacing w:line="240" w:lineRule="auto"/>
              <w:ind w:firstLine="0" w:firstLineChars="0"/>
              <w:jc w:val="left"/>
              <w:rPr>
                <w:rFonts w:cs="Times New Roman"/>
                <w:kern w:val="0"/>
                <w:szCs w:val="21"/>
              </w:rPr>
            </w:pPr>
            <w:r>
              <w:rPr>
                <w:rFonts w:cs="Times New Roman"/>
                <w:kern w:val="0"/>
                <w:sz w:val="21"/>
                <w:szCs w:val="21"/>
                <w:lang w:bidi="ar"/>
              </w:rPr>
              <w:t xml:space="preserve">灰头鹀 </w:t>
            </w:r>
            <w:r>
              <w:rPr>
                <w:rFonts w:cs="Times New Roman"/>
                <w:i/>
                <w:iCs/>
                <w:kern w:val="0"/>
                <w:sz w:val="21"/>
                <w:szCs w:val="21"/>
                <w:lang w:bidi="ar"/>
              </w:rPr>
              <w:t>Emberiza spodocephala</w:t>
            </w:r>
          </w:p>
        </w:tc>
        <w:tc>
          <w:tcPr>
            <w:tcW w:w="2246" w:type="dxa"/>
            <w:tcBorders>
              <w:top w:val="single" w:color="000000" w:sz="4" w:space="0"/>
              <w:left w:val="single" w:color="000000" w:sz="4" w:space="0"/>
              <w:bottom w:val="single" w:color="000000" w:sz="4" w:space="0"/>
              <w:right w:val="single" w:color="000000" w:sz="4" w:space="0"/>
            </w:tcBorders>
            <w:vAlign w:val="center"/>
          </w:tcPr>
          <w:p w14:paraId="38D82EBE">
            <w:pPr>
              <w:widowControl/>
              <w:spacing w:line="240" w:lineRule="auto"/>
              <w:ind w:firstLine="0" w:firstLineChars="0"/>
              <w:jc w:val="center"/>
              <w:rPr>
                <w:rFonts w:cs="Times New Roman"/>
                <w:kern w:val="0"/>
                <w:szCs w:val="21"/>
              </w:rPr>
            </w:pPr>
            <w:r>
              <w:rPr>
                <w:rFonts w:cs="Times New Roman"/>
                <w:kern w:val="0"/>
                <w:sz w:val="21"/>
                <w:szCs w:val="21"/>
                <w:lang w:bidi="ar"/>
              </w:rPr>
              <w:t>森林、林地、林缘、灌丛</w:t>
            </w:r>
          </w:p>
        </w:tc>
        <w:tc>
          <w:tcPr>
            <w:tcW w:w="1093" w:type="dxa"/>
            <w:tcBorders>
              <w:top w:val="single" w:color="000000" w:sz="4" w:space="0"/>
              <w:left w:val="single" w:color="000000" w:sz="4" w:space="0"/>
              <w:bottom w:val="single" w:color="000000" w:sz="4" w:space="0"/>
              <w:right w:val="single" w:color="000000" w:sz="4" w:space="0"/>
            </w:tcBorders>
            <w:vAlign w:val="center"/>
          </w:tcPr>
          <w:p w14:paraId="5885FE39">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2A792F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0E70EEEC">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noWrap/>
            <w:vAlign w:val="center"/>
          </w:tcPr>
          <w:p w14:paraId="1D8A9320">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683AFFB9">
            <w:pPr>
              <w:widowControl/>
              <w:spacing w:line="240" w:lineRule="auto"/>
              <w:ind w:firstLine="0" w:firstLineChars="0"/>
              <w:jc w:val="left"/>
              <w:rPr>
                <w:rFonts w:cs="Times New Roman"/>
                <w:kern w:val="0"/>
                <w:szCs w:val="21"/>
              </w:rPr>
            </w:pPr>
            <w:r>
              <w:rPr>
                <w:rFonts w:cs="Times New Roman"/>
                <w:kern w:val="0"/>
                <w:sz w:val="21"/>
                <w:szCs w:val="21"/>
                <w:lang w:bidi="ar"/>
              </w:rPr>
              <w:t xml:space="preserve">苇鹀 </w:t>
            </w:r>
            <w:r>
              <w:rPr>
                <w:rFonts w:cs="Times New Roman"/>
                <w:i/>
                <w:iCs/>
                <w:kern w:val="0"/>
                <w:sz w:val="21"/>
                <w:szCs w:val="21"/>
                <w:lang w:bidi="ar"/>
              </w:rPr>
              <w:t>Emberiza pallasi</w:t>
            </w:r>
          </w:p>
        </w:tc>
        <w:tc>
          <w:tcPr>
            <w:tcW w:w="2246" w:type="dxa"/>
            <w:tcBorders>
              <w:top w:val="single" w:color="000000" w:sz="4" w:space="0"/>
              <w:left w:val="single" w:color="000000" w:sz="4" w:space="0"/>
              <w:bottom w:val="single" w:color="000000" w:sz="4" w:space="0"/>
              <w:right w:val="single" w:color="000000" w:sz="4" w:space="0"/>
            </w:tcBorders>
            <w:vAlign w:val="center"/>
          </w:tcPr>
          <w:p w14:paraId="3A7158E3">
            <w:pPr>
              <w:widowControl/>
              <w:spacing w:line="240" w:lineRule="auto"/>
              <w:ind w:firstLine="0" w:firstLineChars="0"/>
              <w:jc w:val="center"/>
              <w:rPr>
                <w:rFonts w:cs="Times New Roman"/>
                <w:kern w:val="0"/>
                <w:szCs w:val="21"/>
              </w:rPr>
            </w:pPr>
            <w:r>
              <w:rPr>
                <w:rFonts w:cs="Times New Roman"/>
                <w:kern w:val="0"/>
                <w:sz w:val="21"/>
                <w:szCs w:val="21"/>
                <w:lang w:bidi="ar"/>
              </w:rPr>
              <w:t>灌丛、草丛</w:t>
            </w:r>
          </w:p>
        </w:tc>
        <w:tc>
          <w:tcPr>
            <w:tcW w:w="1093" w:type="dxa"/>
            <w:tcBorders>
              <w:top w:val="single" w:color="000000" w:sz="4" w:space="0"/>
              <w:left w:val="single" w:color="000000" w:sz="4" w:space="0"/>
              <w:bottom w:val="single" w:color="000000" w:sz="4" w:space="0"/>
              <w:right w:val="single" w:color="000000" w:sz="4" w:space="0"/>
            </w:tcBorders>
            <w:vAlign w:val="center"/>
          </w:tcPr>
          <w:p w14:paraId="296BDFE5">
            <w:pPr>
              <w:widowControl/>
              <w:spacing w:line="240" w:lineRule="auto"/>
              <w:ind w:firstLine="0" w:firstLineChars="0"/>
              <w:jc w:val="center"/>
              <w:rPr>
                <w:rFonts w:cs="Times New Roman"/>
                <w:kern w:val="0"/>
                <w:szCs w:val="21"/>
              </w:rPr>
            </w:pPr>
            <w:r>
              <w:rPr>
                <w:rFonts w:cs="Times New Roman"/>
                <w:kern w:val="0"/>
                <w:sz w:val="21"/>
                <w:szCs w:val="21"/>
                <w:lang w:bidi="ar"/>
              </w:rPr>
              <w:t>★，▲</w:t>
            </w:r>
          </w:p>
        </w:tc>
      </w:tr>
      <w:tr w14:paraId="33C149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846" w:type="dxa"/>
            <w:vMerge w:val="continue"/>
            <w:tcBorders>
              <w:top w:val="single" w:color="000000" w:sz="4" w:space="0"/>
              <w:left w:val="single" w:color="000000" w:sz="4" w:space="0"/>
              <w:bottom w:val="single" w:color="000000" w:sz="4" w:space="0"/>
              <w:right w:val="single" w:color="000000" w:sz="4" w:space="0"/>
            </w:tcBorders>
            <w:noWrap/>
            <w:vAlign w:val="center"/>
          </w:tcPr>
          <w:p w14:paraId="061E5820">
            <w:pPr>
              <w:spacing w:line="240" w:lineRule="auto"/>
              <w:ind w:firstLine="0" w:firstLineChars="0"/>
              <w:rPr>
                <w:rFonts w:cs="Times New Roman"/>
                <w:sz w:val="21"/>
              </w:rPr>
            </w:pPr>
          </w:p>
        </w:tc>
        <w:tc>
          <w:tcPr>
            <w:tcW w:w="850" w:type="dxa"/>
            <w:vMerge w:val="continue"/>
            <w:tcBorders>
              <w:top w:val="single" w:color="000000" w:sz="4" w:space="0"/>
              <w:left w:val="single" w:color="000000" w:sz="4" w:space="0"/>
              <w:bottom w:val="single" w:color="000000" w:sz="4" w:space="0"/>
              <w:right w:val="single" w:color="000000" w:sz="4" w:space="0"/>
            </w:tcBorders>
            <w:noWrap/>
            <w:vAlign w:val="center"/>
          </w:tcPr>
          <w:p w14:paraId="55277514">
            <w:pPr>
              <w:spacing w:line="240" w:lineRule="auto"/>
              <w:ind w:firstLine="0" w:firstLineChars="0"/>
              <w:rPr>
                <w:rFonts w:cs="Times New Roman"/>
                <w:sz w:val="21"/>
              </w:rPr>
            </w:pPr>
          </w:p>
        </w:tc>
        <w:tc>
          <w:tcPr>
            <w:tcW w:w="3261" w:type="dxa"/>
            <w:tcBorders>
              <w:top w:val="single" w:color="000000" w:sz="4" w:space="0"/>
              <w:left w:val="single" w:color="000000" w:sz="4" w:space="0"/>
              <w:bottom w:val="single" w:color="000000" w:sz="4" w:space="0"/>
              <w:right w:val="single" w:color="000000" w:sz="4" w:space="0"/>
            </w:tcBorders>
            <w:vAlign w:val="center"/>
          </w:tcPr>
          <w:p w14:paraId="65C3559B">
            <w:pPr>
              <w:widowControl/>
              <w:spacing w:line="240" w:lineRule="auto"/>
              <w:ind w:firstLine="0" w:firstLineChars="0"/>
              <w:jc w:val="left"/>
              <w:rPr>
                <w:rFonts w:cs="Times New Roman"/>
                <w:kern w:val="0"/>
                <w:szCs w:val="21"/>
              </w:rPr>
            </w:pPr>
            <w:r>
              <w:rPr>
                <w:rFonts w:cs="Times New Roman"/>
                <w:kern w:val="0"/>
                <w:sz w:val="21"/>
                <w:szCs w:val="21"/>
                <w:lang w:bidi="ar"/>
              </w:rPr>
              <w:t xml:space="preserve">芦鹀 </w:t>
            </w:r>
            <w:r>
              <w:rPr>
                <w:rFonts w:cs="Times New Roman"/>
                <w:i/>
                <w:iCs/>
                <w:kern w:val="0"/>
                <w:sz w:val="21"/>
                <w:szCs w:val="21"/>
                <w:lang w:bidi="ar"/>
              </w:rPr>
              <w:t>Emberiza schoeniclus</w:t>
            </w:r>
          </w:p>
        </w:tc>
        <w:tc>
          <w:tcPr>
            <w:tcW w:w="2246" w:type="dxa"/>
            <w:tcBorders>
              <w:top w:val="single" w:color="000000" w:sz="4" w:space="0"/>
              <w:left w:val="single" w:color="000000" w:sz="4" w:space="0"/>
              <w:bottom w:val="single" w:color="000000" w:sz="4" w:space="0"/>
              <w:right w:val="single" w:color="000000" w:sz="4" w:space="0"/>
            </w:tcBorders>
            <w:vAlign w:val="center"/>
          </w:tcPr>
          <w:p w14:paraId="11B8173E">
            <w:pPr>
              <w:widowControl/>
              <w:spacing w:line="240" w:lineRule="auto"/>
              <w:ind w:firstLine="0" w:firstLineChars="0"/>
              <w:jc w:val="center"/>
              <w:rPr>
                <w:rFonts w:cs="Times New Roman"/>
                <w:kern w:val="0"/>
                <w:szCs w:val="21"/>
              </w:rPr>
            </w:pPr>
            <w:r>
              <w:rPr>
                <w:rFonts w:cs="Times New Roman"/>
                <w:kern w:val="0"/>
                <w:sz w:val="21"/>
                <w:szCs w:val="21"/>
                <w:lang w:bidi="ar"/>
              </w:rPr>
              <w:t>灌丛、草丛</w:t>
            </w:r>
          </w:p>
        </w:tc>
        <w:tc>
          <w:tcPr>
            <w:tcW w:w="1093" w:type="dxa"/>
            <w:tcBorders>
              <w:top w:val="single" w:color="000000" w:sz="4" w:space="0"/>
              <w:left w:val="single" w:color="000000" w:sz="4" w:space="0"/>
              <w:bottom w:val="single" w:color="000000" w:sz="4" w:space="0"/>
              <w:right w:val="single" w:color="000000" w:sz="4" w:space="0"/>
            </w:tcBorders>
            <w:vAlign w:val="center"/>
          </w:tcPr>
          <w:p w14:paraId="5E6069A2">
            <w:pPr>
              <w:widowControl/>
              <w:spacing w:line="240" w:lineRule="auto"/>
              <w:ind w:firstLine="0" w:firstLineChars="0"/>
              <w:jc w:val="center"/>
              <w:rPr>
                <w:rFonts w:cs="Times New Roman"/>
                <w:kern w:val="0"/>
                <w:szCs w:val="21"/>
              </w:rPr>
            </w:pPr>
            <w:r>
              <w:rPr>
                <w:rFonts w:cs="Times New Roman"/>
                <w:kern w:val="0"/>
                <w:sz w:val="21"/>
                <w:szCs w:val="21"/>
                <w:lang w:bidi="ar"/>
              </w:rPr>
              <w:t>★，▲</w:t>
            </w:r>
          </w:p>
        </w:tc>
      </w:tr>
    </w:tbl>
    <w:p w14:paraId="193F419B">
      <w:pPr>
        <w:spacing w:line="240" w:lineRule="auto"/>
        <w:ind w:firstLine="420"/>
        <w:rPr>
          <w:rFonts w:cs="Times New Roman"/>
          <w:szCs w:val="21"/>
        </w:rPr>
      </w:pPr>
      <w:r>
        <w:rPr>
          <w:rFonts w:hint="eastAsia" w:cs="Times New Roman"/>
          <w:sz w:val="21"/>
          <w:szCs w:val="21"/>
          <w:lang w:bidi="ar"/>
        </w:rPr>
        <w:t>注：★</w:t>
      </w:r>
      <w:r>
        <w:rPr>
          <w:rFonts w:cs="Times New Roman"/>
          <w:sz w:val="21"/>
          <w:szCs w:val="21"/>
          <w:lang w:bidi="ar"/>
        </w:rPr>
        <w:t>--</w:t>
      </w:r>
      <w:r>
        <w:rPr>
          <w:rFonts w:hint="eastAsia" w:cs="Times New Roman"/>
          <w:sz w:val="21"/>
          <w:szCs w:val="21"/>
          <w:lang w:bidi="ar"/>
        </w:rPr>
        <w:t>江苏省重点保护动物，</w:t>
      </w:r>
      <w:r>
        <w:rPr>
          <w:rFonts w:cs="Times New Roman"/>
          <w:sz w:val="21"/>
          <w:szCs w:val="21"/>
          <w:lang w:bidi="ar"/>
        </w:rPr>
        <w:t>▲--“</w:t>
      </w:r>
      <w:r>
        <w:rPr>
          <w:rFonts w:hint="eastAsia" w:cs="Times New Roman"/>
          <w:sz w:val="21"/>
          <w:szCs w:val="21"/>
          <w:lang w:bidi="ar"/>
        </w:rPr>
        <w:t>三有</w:t>
      </w:r>
      <w:r>
        <w:rPr>
          <w:rFonts w:cs="Times New Roman"/>
          <w:sz w:val="21"/>
          <w:szCs w:val="21"/>
          <w:lang w:bidi="ar"/>
        </w:rPr>
        <w:t>”</w:t>
      </w:r>
      <w:r>
        <w:rPr>
          <w:rFonts w:hint="eastAsia" w:cs="Times New Roman"/>
          <w:sz w:val="21"/>
          <w:szCs w:val="21"/>
          <w:lang w:bidi="ar"/>
        </w:rPr>
        <w:t>动物（有益、有重要经济价值、有重要科研价值的动物），</w:t>
      </w:r>
      <w:r>
        <w:rPr>
          <w:rFonts w:cs="Times New Roman"/>
          <w:sz w:val="21"/>
          <w:szCs w:val="21"/>
          <w:lang w:bidi="ar"/>
        </w:rPr>
        <w:t>V--</w:t>
      </w:r>
      <w:r>
        <w:rPr>
          <w:rFonts w:hint="eastAsia" w:cs="Times New Roman"/>
          <w:sz w:val="21"/>
          <w:szCs w:val="21"/>
          <w:lang w:bidi="ar"/>
        </w:rPr>
        <w:t>易危，</w:t>
      </w:r>
      <w:r>
        <w:rPr>
          <w:rFonts w:cs="Times New Roman"/>
          <w:sz w:val="21"/>
          <w:szCs w:val="21"/>
          <w:lang w:bidi="ar"/>
        </w:rPr>
        <w:t>Ⅱ--</w:t>
      </w:r>
      <w:r>
        <w:rPr>
          <w:rFonts w:hint="eastAsia" w:cs="Times New Roman"/>
          <w:sz w:val="21"/>
          <w:szCs w:val="21"/>
          <w:lang w:bidi="ar"/>
        </w:rPr>
        <w:t>国家二级保护动物。</w:t>
      </w:r>
    </w:p>
    <w:p w14:paraId="2AC4859E">
      <w:pPr>
        <w:spacing w:line="570" w:lineRule="atLeast"/>
        <w:ind w:firstLine="0" w:firstLineChars="0"/>
        <w:outlineLvl w:val="3"/>
      </w:pPr>
      <w:r>
        <w:t>3.</w:t>
      </w:r>
      <w:r>
        <w:rPr>
          <w:rFonts w:hint="eastAsia"/>
        </w:rPr>
        <w:t>6.</w:t>
      </w:r>
      <w:r>
        <w:t>4.8</w:t>
      </w:r>
      <w:r>
        <w:rPr>
          <w:rFonts w:hint="eastAsia"/>
        </w:rPr>
        <w:t>哺乳类资源现状调查与评价</w:t>
      </w:r>
    </w:p>
    <w:p w14:paraId="5046BB9D">
      <w:pPr>
        <w:ind w:firstLine="482"/>
        <w:rPr>
          <w:rFonts w:cs="Times New Roman"/>
          <w:b/>
          <w:bCs/>
          <w:szCs w:val="24"/>
        </w:rPr>
      </w:pPr>
      <w:r>
        <w:rPr>
          <w:rFonts w:hint="eastAsia" w:cs="Times New Roman"/>
          <w:b/>
          <w:bCs/>
          <w:szCs w:val="24"/>
          <w:lang w:bidi="ar"/>
        </w:rPr>
        <w:t>（</w:t>
      </w:r>
      <w:r>
        <w:rPr>
          <w:rFonts w:cs="Times New Roman"/>
          <w:b/>
          <w:bCs/>
          <w:szCs w:val="24"/>
          <w:lang w:bidi="ar"/>
        </w:rPr>
        <w:t>1</w:t>
      </w:r>
      <w:r>
        <w:rPr>
          <w:rFonts w:hint="eastAsia" w:cs="Times New Roman"/>
          <w:b/>
          <w:bCs/>
          <w:szCs w:val="24"/>
          <w:lang w:bidi="ar"/>
        </w:rPr>
        <w:t>）物种组成分析</w:t>
      </w:r>
    </w:p>
    <w:p w14:paraId="44985F3C">
      <w:pPr>
        <w:ind w:firstLine="480"/>
        <w:rPr>
          <w:rFonts w:cs="Times New Roman"/>
          <w:szCs w:val="24"/>
        </w:rPr>
      </w:pPr>
      <w:r>
        <w:rPr>
          <w:rFonts w:hint="eastAsia" w:cs="Times New Roman"/>
          <w:szCs w:val="24"/>
          <w:lang w:bidi="ar"/>
        </w:rPr>
        <w:t>在本次现场调查基础上，结合历史调查资料，统计得到茅山旅游度假区共有兽类</w:t>
      </w:r>
      <w:r>
        <w:rPr>
          <w:rFonts w:cs="Times New Roman"/>
          <w:szCs w:val="24"/>
          <w:lang w:bidi="ar"/>
        </w:rPr>
        <w:t>5</w:t>
      </w:r>
      <w:r>
        <w:rPr>
          <w:rFonts w:hint="eastAsia" w:cs="Times New Roman"/>
          <w:szCs w:val="24"/>
          <w:lang w:bidi="ar"/>
        </w:rPr>
        <w:t>目</w:t>
      </w:r>
      <w:r>
        <w:rPr>
          <w:rFonts w:cs="Times New Roman"/>
          <w:szCs w:val="24"/>
          <w:lang w:bidi="ar"/>
        </w:rPr>
        <w:t>16</w:t>
      </w:r>
      <w:r>
        <w:rPr>
          <w:rFonts w:hint="eastAsia" w:cs="Times New Roman"/>
          <w:szCs w:val="24"/>
          <w:lang w:bidi="ar"/>
        </w:rPr>
        <w:t>科</w:t>
      </w:r>
      <w:r>
        <w:rPr>
          <w:rFonts w:cs="Times New Roman"/>
          <w:szCs w:val="24"/>
          <w:lang w:bidi="ar"/>
        </w:rPr>
        <w:t>29</w:t>
      </w:r>
      <w:r>
        <w:rPr>
          <w:rFonts w:hint="eastAsia" w:cs="Times New Roman"/>
          <w:szCs w:val="24"/>
          <w:lang w:bidi="ar"/>
        </w:rPr>
        <w:t>种（本次调查实际观测到</w:t>
      </w:r>
      <w:r>
        <w:rPr>
          <w:rFonts w:cs="Times New Roman"/>
          <w:szCs w:val="24"/>
          <w:lang w:bidi="ar"/>
        </w:rPr>
        <w:t>10</w:t>
      </w:r>
      <w:r>
        <w:rPr>
          <w:rFonts w:hint="eastAsia" w:cs="Times New Roman"/>
          <w:szCs w:val="24"/>
          <w:lang w:bidi="ar"/>
        </w:rPr>
        <w:t>种，详见附录</w:t>
      </w:r>
      <w:r>
        <w:rPr>
          <w:rFonts w:cs="Times New Roman"/>
          <w:szCs w:val="24"/>
          <w:lang w:bidi="ar"/>
        </w:rPr>
        <w:t>7</w:t>
      </w:r>
      <w:r>
        <w:rPr>
          <w:rFonts w:hint="eastAsia" w:cs="Times New Roman"/>
          <w:szCs w:val="24"/>
          <w:lang w:bidi="ar"/>
        </w:rPr>
        <w:t>）。其中，食虫目</w:t>
      </w:r>
      <w:r>
        <w:rPr>
          <w:rFonts w:cs="Times New Roman"/>
          <w:szCs w:val="24"/>
          <w:lang w:bidi="ar"/>
        </w:rPr>
        <w:t>3</w:t>
      </w:r>
      <w:r>
        <w:rPr>
          <w:rFonts w:hint="eastAsia" w:cs="Times New Roman"/>
          <w:szCs w:val="24"/>
          <w:lang w:bidi="ar"/>
        </w:rPr>
        <w:t>科</w:t>
      </w:r>
      <w:r>
        <w:rPr>
          <w:rFonts w:cs="Times New Roman"/>
          <w:szCs w:val="24"/>
          <w:lang w:bidi="ar"/>
        </w:rPr>
        <w:t>4</w:t>
      </w:r>
      <w:r>
        <w:rPr>
          <w:rFonts w:hint="eastAsia" w:cs="Times New Roman"/>
          <w:szCs w:val="24"/>
          <w:lang w:bidi="ar"/>
        </w:rPr>
        <w:t>种，翼手目</w:t>
      </w:r>
      <w:r>
        <w:rPr>
          <w:rFonts w:cs="Times New Roman"/>
          <w:szCs w:val="24"/>
          <w:lang w:bidi="ar"/>
        </w:rPr>
        <w:t>3</w:t>
      </w:r>
      <w:r>
        <w:rPr>
          <w:rFonts w:hint="eastAsia" w:cs="Times New Roman"/>
          <w:szCs w:val="24"/>
          <w:lang w:bidi="ar"/>
        </w:rPr>
        <w:t>科</w:t>
      </w:r>
      <w:r>
        <w:rPr>
          <w:rFonts w:cs="Times New Roman"/>
          <w:szCs w:val="24"/>
          <w:lang w:bidi="ar"/>
        </w:rPr>
        <w:t>3</w:t>
      </w:r>
      <w:r>
        <w:rPr>
          <w:rFonts w:hint="eastAsia" w:cs="Times New Roman"/>
          <w:szCs w:val="24"/>
          <w:lang w:bidi="ar"/>
        </w:rPr>
        <w:t>种，兔形目</w:t>
      </w:r>
      <w:r>
        <w:rPr>
          <w:rFonts w:cs="Times New Roman"/>
          <w:szCs w:val="24"/>
          <w:lang w:bidi="ar"/>
        </w:rPr>
        <w:t>1</w:t>
      </w:r>
      <w:r>
        <w:rPr>
          <w:rFonts w:hint="eastAsia" w:cs="Times New Roman"/>
          <w:szCs w:val="24"/>
          <w:lang w:bidi="ar"/>
        </w:rPr>
        <w:t>科</w:t>
      </w:r>
      <w:r>
        <w:rPr>
          <w:rFonts w:cs="Times New Roman"/>
          <w:szCs w:val="24"/>
          <w:lang w:bidi="ar"/>
        </w:rPr>
        <w:t>2</w:t>
      </w:r>
      <w:r>
        <w:rPr>
          <w:rFonts w:hint="eastAsia" w:cs="Times New Roman"/>
          <w:szCs w:val="24"/>
          <w:lang w:bidi="ar"/>
        </w:rPr>
        <w:t>种，啮齿目</w:t>
      </w:r>
      <w:r>
        <w:rPr>
          <w:rFonts w:cs="Times New Roman"/>
          <w:szCs w:val="24"/>
          <w:lang w:bidi="ar"/>
        </w:rPr>
        <w:t>5</w:t>
      </w:r>
      <w:r>
        <w:rPr>
          <w:rFonts w:hint="eastAsia" w:cs="Times New Roman"/>
          <w:szCs w:val="24"/>
          <w:lang w:bidi="ar"/>
        </w:rPr>
        <w:t>科</w:t>
      </w:r>
      <w:r>
        <w:rPr>
          <w:rFonts w:cs="Times New Roman"/>
          <w:szCs w:val="24"/>
          <w:lang w:bidi="ar"/>
        </w:rPr>
        <w:t>13</w:t>
      </w:r>
      <w:r>
        <w:rPr>
          <w:rFonts w:hint="eastAsia" w:cs="Times New Roman"/>
          <w:szCs w:val="24"/>
          <w:lang w:bidi="ar"/>
        </w:rPr>
        <w:t>种，食肉目</w:t>
      </w:r>
      <w:r>
        <w:rPr>
          <w:rFonts w:cs="Times New Roman"/>
          <w:szCs w:val="24"/>
          <w:lang w:bidi="ar"/>
        </w:rPr>
        <w:t>4</w:t>
      </w:r>
      <w:r>
        <w:rPr>
          <w:rFonts w:hint="eastAsia" w:cs="Times New Roman"/>
          <w:szCs w:val="24"/>
          <w:lang w:bidi="ar"/>
        </w:rPr>
        <w:t>科</w:t>
      </w:r>
      <w:r>
        <w:rPr>
          <w:rFonts w:cs="Times New Roman"/>
          <w:szCs w:val="24"/>
          <w:lang w:bidi="ar"/>
        </w:rPr>
        <w:t>7</w:t>
      </w:r>
      <w:r>
        <w:rPr>
          <w:rFonts w:hint="eastAsia" w:cs="Times New Roman"/>
          <w:szCs w:val="24"/>
          <w:lang w:bidi="ar"/>
        </w:rPr>
        <w:t>种。</w:t>
      </w:r>
    </w:p>
    <w:p w14:paraId="248A5B89">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22</w:t>
      </w:r>
      <w:r>
        <w:rPr>
          <w:rFonts w:cs="Times New Roman"/>
        </w:rPr>
        <w:t xml:space="preserve"> </w:t>
      </w:r>
      <w:r>
        <w:rPr>
          <w:rFonts w:hint="eastAsia" w:cs="Times New Roman"/>
        </w:rPr>
        <w:t>茅山旅游度假区兽类资源组成</w:t>
      </w:r>
    </w:p>
    <w:tbl>
      <w:tblPr>
        <w:tblStyle w:val="25"/>
        <w:tblW w:w="500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829"/>
        <w:gridCol w:w="666"/>
        <w:gridCol w:w="2245"/>
        <w:gridCol w:w="666"/>
        <w:gridCol w:w="1920"/>
      </w:tblGrid>
      <w:tr w14:paraId="69EEA4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blHeader/>
        </w:trPr>
        <w:tc>
          <w:tcPr>
            <w:tcW w:w="1698" w:type="pct"/>
            <w:tcBorders>
              <w:top w:val="single" w:color="000000" w:sz="4" w:space="0"/>
              <w:left w:val="single" w:color="000000" w:sz="4" w:space="0"/>
              <w:bottom w:val="single" w:color="000000" w:sz="4" w:space="0"/>
              <w:right w:val="single" w:color="000000" w:sz="4" w:space="0"/>
            </w:tcBorders>
          </w:tcPr>
          <w:p w14:paraId="6AE66F55">
            <w:pPr>
              <w:spacing w:line="240" w:lineRule="auto"/>
              <w:ind w:firstLine="0" w:firstLineChars="0"/>
              <w:jc w:val="center"/>
              <w:rPr>
                <w:rFonts w:cs="Times New Roman"/>
                <w:b/>
                <w:bCs/>
                <w:szCs w:val="21"/>
              </w:rPr>
            </w:pPr>
            <w:r>
              <w:rPr>
                <w:rFonts w:hint="eastAsia" w:cs="Times New Roman"/>
                <w:b/>
                <w:bCs/>
                <w:sz w:val="21"/>
                <w:szCs w:val="21"/>
                <w:lang w:bidi="ar"/>
              </w:rPr>
              <w:t>目</w:t>
            </w:r>
          </w:p>
        </w:tc>
        <w:tc>
          <w:tcPr>
            <w:tcW w:w="400" w:type="pct"/>
            <w:tcBorders>
              <w:top w:val="single" w:color="000000" w:sz="4" w:space="0"/>
              <w:left w:val="single" w:color="000000" w:sz="4" w:space="0"/>
              <w:bottom w:val="single" w:color="000000" w:sz="4" w:space="0"/>
              <w:right w:val="single" w:color="000000" w:sz="4" w:space="0"/>
            </w:tcBorders>
          </w:tcPr>
          <w:p w14:paraId="254A048B">
            <w:pPr>
              <w:spacing w:line="240" w:lineRule="auto"/>
              <w:ind w:firstLine="0" w:firstLineChars="0"/>
              <w:jc w:val="center"/>
              <w:rPr>
                <w:rFonts w:cs="Times New Roman"/>
                <w:b/>
                <w:bCs/>
                <w:szCs w:val="21"/>
              </w:rPr>
            </w:pPr>
            <w:r>
              <w:rPr>
                <w:rFonts w:hint="eastAsia" w:cs="Times New Roman"/>
                <w:b/>
                <w:bCs/>
                <w:sz w:val="21"/>
                <w:szCs w:val="21"/>
                <w:lang w:bidi="ar"/>
              </w:rPr>
              <w:t>科数</w:t>
            </w:r>
          </w:p>
        </w:tc>
        <w:tc>
          <w:tcPr>
            <w:tcW w:w="1348" w:type="pct"/>
            <w:tcBorders>
              <w:top w:val="single" w:color="000000" w:sz="4" w:space="0"/>
              <w:left w:val="single" w:color="000000" w:sz="4" w:space="0"/>
              <w:bottom w:val="single" w:color="000000" w:sz="4" w:space="0"/>
              <w:right w:val="single" w:color="000000" w:sz="4" w:space="0"/>
            </w:tcBorders>
          </w:tcPr>
          <w:p w14:paraId="239D1B4B">
            <w:pPr>
              <w:spacing w:line="240" w:lineRule="auto"/>
              <w:ind w:firstLine="0" w:firstLineChars="0"/>
              <w:jc w:val="center"/>
              <w:rPr>
                <w:rFonts w:cs="Times New Roman"/>
                <w:b/>
                <w:bCs/>
                <w:szCs w:val="21"/>
              </w:rPr>
            </w:pPr>
            <w:r>
              <w:rPr>
                <w:rFonts w:hint="eastAsia" w:cs="Times New Roman"/>
                <w:b/>
                <w:bCs/>
                <w:sz w:val="21"/>
                <w:szCs w:val="21"/>
                <w:lang w:bidi="ar"/>
              </w:rPr>
              <w:t>占总科数（</w:t>
            </w:r>
            <w:r>
              <w:rPr>
                <w:rFonts w:cs="Times New Roman"/>
                <w:b/>
                <w:bCs/>
                <w:sz w:val="21"/>
                <w:szCs w:val="21"/>
                <w:lang w:bidi="ar"/>
              </w:rPr>
              <w:t>%</w:t>
            </w:r>
            <w:r>
              <w:rPr>
                <w:rFonts w:hint="eastAsia" w:cs="Times New Roman"/>
                <w:b/>
                <w:bCs/>
                <w:sz w:val="21"/>
                <w:szCs w:val="21"/>
                <w:lang w:bidi="ar"/>
              </w:rPr>
              <w:t>）</w:t>
            </w:r>
          </w:p>
        </w:tc>
        <w:tc>
          <w:tcPr>
            <w:tcW w:w="400" w:type="pct"/>
            <w:tcBorders>
              <w:top w:val="single" w:color="000000" w:sz="4" w:space="0"/>
              <w:left w:val="single" w:color="000000" w:sz="4" w:space="0"/>
              <w:bottom w:val="single" w:color="000000" w:sz="4" w:space="0"/>
              <w:right w:val="single" w:color="000000" w:sz="4" w:space="0"/>
            </w:tcBorders>
          </w:tcPr>
          <w:p w14:paraId="5D2CDB12">
            <w:pPr>
              <w:spacing w:line="240" w:lineRule="auto"/>
              <w:ind w:firstLine="0" w:firstLineChars="0"/>
              <w:jc w:val="center"/>
              <w:rPr>
                <w:rFonts w:cs="Times New Roman"/>
                <w:b/>
                <w:bCs/>
                <w:szCs w:val="21"/>
              </w:rPr>
            </w:pPr>
            <w:r>
              <w:rPr>
                <w:rFonts w:hint="eastAsia" w:cs="Times New Roman"/>
                <w:b/>
                <w:bCs/>
                <w:sz w:val="21"/>
                <w:szCs w:val="21"/>
                <w:lang w:bidi="ar"/>
              </w:rPr>
              <w:t>种数</w:t>
            </w:r>
          </w:p>
        </w:tc>
        <w:tc>
          <w:tcPr>
            <w:tcW w:w="1152" w:type="pct"/>
            <w:tcBorders>
              <w:top w:val="single" w:color="000000" w:sz="4" w:space="0"/>
              <w:left w:val="single" w:color="000000" w:sz="4" w:space="0"/>
              <w:bottom w:val="single" w:color="000000" w:sz="4" w:space="0"/>
              <w:right w:val="single" w:color="000000" w:sz="4" w:space="0"/>
            </w:tcBorders>
          </w:tcPr>
          <w:p w14:paraId="1CDD1EAD">
            <w:pPr>
              <w:spacing w:line="240" w:lineRule="auto"/>
              <w:ind w:firstLine="0" w:firstLineChars="0"/>
              <w:jc w:val="center"/>
              <w:rPr>
                <w:rFonts w:cs="Times New Roman"/>
                <w:b/>
                <w:bCs/>
                <w:szCs w:val="21"/>
              </w:rPr>
            </w:pPr>
            <w:r>
              <w:rPr>
                <w:rFonts w:hint="eastAsia" w:cs="Times New Roman"/>
                <w:b/>
                <w:bCs/>
                <w:sz w:val="21"/>
                <w:szCs w:val="21"/>
                <w:lang w:bidi="ar"/>
              </w:rPr>
              <w:t>占总种数（</w:t>
            </w:r>
            <w:r>
              <w:rPr>
                <w:rFonts w:cs="Times New Roman"/>
                <w:b/>
                <w:bCs/>
                <w:sz w:val="21"/>
                <w:szCs w:val="21"/>
                <w:lang w:bidi="ar"/>
              </w:rPr>
              <w:t>%</w:t>
            </w:r>
            <w:r>
              <w:rPr>
                <w:rFonts w:hint="eastAsia" w:cs="Times New Roman"/>
                <w:b/>
                <w:bCs/>
                <w:sz w:val="21"/>
                <w:szCs w:val="21"/>
                <w:lang w:bidi="ar"/>
              </w:rPr>
              <w:t>）</w:t>
            </w:r>
          </w:p>
        </w:tc>
      </w:tr>
      <w:tr w14:paraId="522BF0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698" w:type="pct"/>
            <w:tcBorders>
              <w:top w:val="single" w:color="000000" w:sz="4" w:space="0"/>
              <w:left w:val="single" w:color="000000" w:sz="4" w:space="0"/>
              <w:bottom w:val="single" w:color="000000" w:sz="4" w:space="0"/>
              <w:right w:val="single" w:color="000000" w:sz="4" w:space="0"/>
            </w:tcBorders>
          </w:tcPr>
          <w:p w14:paraId="031EDC3A">
            <w:pPr>
              <w:spacing w:line="240" w:lineRule="auto"/>
              <w:ind w:firstLine="0" w:firstLineChars="0"/>
              <w:jc w:val="center"/>
              <w:rPr>
                <w:rFonts w:cs="Times New Roman"/>
                <w:szCs w:val="21"/>
              </w:rPr>
            </w:pPr>
            <w:r>
              <w:rPr>
                <w:rFonts w:hint="eastAsia" w:cs="Times New Roman"/>
                <w:sz w:val="21"/>
                <w:szCs w:val="21"/>
                <w:lang w:bidi="ar"/>
              </w:rPr>
              <w:t>食虫目</w:t>
            </w:r>
            <w:r>
              <w:rPr>
                <w:rFonts w:cs="Times New Roman"/>
                <w:sz w:val="21"/>
                <w:szCs w:val="21"/>
                <w:lang w:bidi="ar"/>
              </w:rPr>
              <w:t xml:space="preserve"> Insectivora</w:t>
            </w:r>
          </w:p>
        </w:tc>
        <w:tc>
          <w:tcPr>
            <w:tcW w:w="400" w:type="pct"/>
            <w:tcBorders>
              <w:top w:val="single" w:color="000000" w:sz="4" w:space="0"/>
              <w:left w:val="single" w:color="000000" w:sz="4" w:space="0"/>
              <w:bottom w:val="single" w:color="000000" w:sz="4" w:space="0"/>
              <w:right w:val="single" w:color="000000" w:sz="4" w:space="0"/>
            </w:tcBorders>
          </w:tcPr>
          <w:p w14:paraId="51F3556A">
            <w:pPr>
              <w:spacing w:line="240" w:lineRule="auto"/>
              <w:ind w:firstLine="0" w:firstLineChars="0"/>
              <w:jc w:val="center"/>
              <w:rPr>
                <w:rFonts w:cs="Times New Roman"/>
                <w:szCs w:val="21"/>
              </w:rPr>
            </w:pPr>
            <w:r>
              <w:rPr>
                <w:rFonts w:cs="Times New Roman"/>
                <w:sz w:val="21"/>
                <w:szCs w:val="21"/>
                <w:lang w:bidi="ar"/>
              </w:rPr>
              <w:t>3</w:t>
            </w:r>
          </w:p>
        </w:tc>
        <w:tc>
          <w:tcPr>
            <w:tcW w:w="1348" w:type="pct"/>
            <w:tcBorders>
              <w:top w:val="single" w:color="000000" w:sz="4" w:space="0"/>
              <w:left w:val="single" w:color="000000" w:sz="4" w:space="0"/>
              <w:bottom w:val="single" w:color="000000" w:sz="4" w:space="0"/>
              <w:right w:val="single" w:color="000000" w:sz="4" w:space="0"/>
            </w:tcBorders>
          </w:tcPr>
          <w:p w14:paraId="7F20B420">
            <w:pPr>
              <w:spacing w:line="240" w:lineRule="auto"/>
              <w:ind w:firstLine="0" w:firstLineChars="0"/>
              <w:jc w:val="center"/>
              <w:rPr>
                <w:rFonts w:cs="Times New Roman"/>
                <w:szCs w:val="21"/>
              </w:rPr>
            </w:pPr>
            <w:r>
              <w:rPr>
                <w:rFonts w:cs="Times New Roman"/>
                <w:sz w:val="21"/>
                <w:szCs w:val="21"/>
                <w:lang w:bidi="ar"/>
              </w:rPr>
              <w:t>18.75</w:t>
            </w:r>
          </w:p>
        </w:tc>
        <w:tc>
          <w:tcPr>
            <w:tcW w:w="400" w:type="pct"/>
            <w:tcBorders>
              <w:top w:val="single" w:color="000000" w:sz="4" w:space="0"/>
              <w:left w:val="single" w:color="000000" w:sz="4" w:space="0"/>
              <w:bottom w:val="single" w:color="000000" w:sz="4" w:space="0"/>
              <w:right w:val="single" w:color="000000" w:sz="4" w:space="0"/>
            </w:tcBorders>
          </w:tcPr>
          <w:p w14:paraId="24AB20B2">
            <w:pPr>
              <w:spacing w:line="240" w:lineRule="auto"/>
              <w:ind w:firstLine="0" w:firstLineChars="0"/>
              <w:jc w:val="center"/>
              <w:rPr>
                <w:rFonts w:cs="Times New Roman"/>
                <w:szCs w:val="21"/>
              </w:rPr>
            </w:pPr>
            <w:r>
              <w:rPr>
                <w:rFonts w:cs="Times New Roman"/>
                <w:sz w:val="21"/>
                <w:szCs w:val="21"/>
                <w:lang w:bidi="ar"/>
              </w:rPr>
              <w:t>4</w:t>
            </w:r>
          </w:p>
        </w:tc>
        <w:tc>
          <w:tcPr>
            <w:tcW w:w="1152" w:type="pct"/>
            <w:tcBorders>
              <w:top w:val="single" w:color="000000" w:sz="4" w:space="0"/>
              <w:left w:val="single" w:color="000000" w:sz="4" w:space="0"/>
              <w:bottom w:val="single" w:color="000000" w:sz="4" w:space="0"/>
              <w:right w:val="single" w:color="000000" w:sz="4" w:space="0"/>
            </w:tcBorders>
          </w:tcPr>
          <w:p w14:paraId="541203E3">
            <w:pPr>
              <w:spacing w:line="240" w:lineRule="auto"/>
              <w:ind w:firstLine="0" w:firstLineChars="0"/>
              <w:jc w:val="center"/>
              <w:rPr>
                <w:rFonts w:cs="Times New Roman"/>
                <w:szCs w:val="21"/>
              </w:rPr>
            </w:pPr>
            <w:r>
              <w:rPr>
                <w:rFonts w:cs="Times New Roman"/>
                <w:sz w:val="21"/>
                <w:szCs w:val="21"/>
                <w:lang w:bidi="ar"/>
              </w:rPr>
              <w:t>13.79</w:t>
            </w:r>
          </w:p>
        </w:tc>
      </w:tr>
      <w:tr w14:paraId="41641C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698" w:type="pct"/>
            <w:tcBorders>
              <w:top w:val="single" w:color="000000" w:sz="4" w:space="0"/>
              <w:left w:val="single" w:color="000000" w:sz="4" w:space="0"/>
              <w:bottom w:val="single" w:color="000000" w:sz="4" w:space="0"/>
              <w:right w:val="single" w:color="000000" w:sz="4" w:space="0"/>
            </w:tcBorders>
          </w:tcPr>
          <w:p w14:paraId="7AADEBAB">
            <w:pPr>
              <w:spacing w:line="240" w:lineRule="auto"/>
              <w:ind w:firstLine="0" w:firstLineChars="0"/>
              <w:jc w:val="center"/>
              <w:rPr>
                <w:rFonts w:cs="Times New Roman"/>
                <w:szCs w:val="21"/>
              </w:rPr>
            </w:pPr>
            <w:r>
              <w:rPr>
                <w:rFonts w:hint="eastAsia" w:cs="Times New Roman"/>
                <w:sz w:val="21"/>
                <w:szCs w:val="21"/>
                <w:lang w:bidi="ar"/>
              </w:rPr>
              <w:t>翼手目</w:t>
            </w:r>
            <w:r>
              <w:rPr>
                <w:rFonts w:cs="Times New Roman"/>
                <w:sz w:val="21"/>
                <w:szCs w:val="21"/>
                <w:lang w:bidi="ar"/>
              </w:rPr>
              <w:t xml:space="preserve"> Chiroptera</w:t>
            </w:r>
          </w:p>
        </w:tc>
        <w:tc>
          <w:tcPr>
            <w:tcW w:w="400" w:type="pct"/>
            <w:tcBorders>
              <w:top w:val="single" w:color="000000" w:sz="4" w:space="0"/>
              <w:left w:val="single" w:color="000000" w:sz="4" w:space="0"/>
              <w:bottom w:val="single" w:color="000000" w:sz="4" w:space="0"/>
              <w:right w:val="single" w:color="000000" w:sz="4" w:space="0"/>
            </w:tcBorders>
          </w:tcPr>
          <w:p w14:paraId="7D370670">
            <w:pPr>
              <w:spacing w:line="240" w:lineRule="auto"/>
              <w:ind w:firstLine="0" w:firstLineChars="0"/>
              <w:jc w:val="center"/>
              <w:rPr>
                <w:rFonts w:cs="Times New Roman"/>
                <w:szCs w:val="21"/>
              </w:rPr>
            </w:pPr>
            <w:r>
              <w:rPr>
                <w:rFonts w:cs="Times New Roman"/>
                <w:sz w:val="21"/>
                <w:szCs w:val="21"/>
                <w:lang w:bidi="ar"/>
              </w:rPr>
              <w:t>3</w:t>
            </w:r>
          </w:p>
        </w:tc>
        <w:tc>
          <w:tcPr>
            <w:tcW w:w="1348" w:type="pct"/>
            <w:tcBorders>
              <w:top w:val="single" w:color="000000" w:sz="4" w:space="0"/>
              <w:left w:val="single" w:color="000000" w:sz="4" w:space="0"/>
              <w:bottom w:val="single" w:color="000000" w:sz="4" w:space="0"/>
              <w:right w:val="single" w:color="000000" w:sz="4" w:space="0"/>
            </w:tcBorders>
          </w:tcPr>
          <w:p w14:paraId="42FEF8B0">
            <w:pPr>
              <w:spacing w:line="240" w:lineRule="auto"/>
              <w:ind w:firstLine="0" w:firstLineChars="0"/>
              <w:jc w:val="center"/>
              <w:rPr>
                <w:rFonts w:cs="Times New Roman"/>
                <w:szCs w:val="21"/>
              </w:rPr>
            </w:pPr>
            <w:r>
              <w:rPr>
                <w:rFonts w:cs="Times New Roman"/>
                <w:sz w:val="21"/>
                <w:szCs w:val="21"/>
                <w:lang w:bidi="ar"/>
              </w:rPr>
              <w:t>18.75</w:t>
            </w:r>
          </w:p>
        </w:tc>
        <w:tc>
          <w:tcPr>
            <w:tcW w:w="400" w:type="pct"/>
            <w:tcBorders>
              <w:top w:val="single" w:color="000000" w:sz="4" w:space="0"/>
              <w:left w:val="single" w:color="000000" w:sz="4" w:space="0"/>
              <w:bottom w:val="single" w:color="000000" w:sz="4" w:space="0"/>
              <w:right w:val="single" w:color="000000" w:sz="4" w:space="0"/>
            </w:tcBorders>
          </w:tcPr>
          <w:p w14:paraId="4A975779">
            <w:pPr>
              <w:spacing w:line="240" w:lineRule="auto"/>
              <w:ind w:firstLine="0" w:firstLineChars="0"/>
              <w:jc w:val="center"/>
              <w:rPr>
                <w:rFonts w:cs="Times New Roman"/>
                <w:szCs w:val="21"/>
              </w:rPr>
            </w:pPr>
            <w:r>
              <w:rPr>
                <w:rFonts w:cs="Times New Roman"/>
                <w:sz w:val="21"/>
                <w:szCs w:val="21"/>
                <w:lang w:bidi="ar"/>
              </w:rPr>
              <w:t>3</w:t>
            </w:r>
          </w:p>
        </w:tc>
        <w:tc>
          <w:tcPr>
            <w:tcW w:w="1152" w:type="pct"/>
            <w:tcBorders>
              <w:top w:val="single" w:color="000000" w:sz="4" w:space="0"/>
              <w:left w:val="single" w:color="000000" w:sz="4" w:space="0"/>
              <w:bottom w:val="single" w:color="000000" w:sz="4" w:space="0"/>
              <w:right w:val="single" w:color="000000" w:sz="4" w:space="0"/>
            </w:tcBorders>
          </w:tcPr>
          <w:p w14:paraId="2B038723">
            <w:pPr>
              <w:spacing w:line="240" w:lineRule="auto"/>
              <w:ind w:firstLine="0" w:firstLineChars="0"/>
              <w:jc w:val="center"/>
              <w:rPr>
                <w:rFonts w:cs="Times New Roman"/>
                <w:szCs w:val="21"/>
              </w:rPr>
            </w:pPr>
            <w:r>
              <w:rPr>
                <w:rFonts w:cs="Times New Roman"/>
                <w:sz w:val="21"/>
                <w:szCs w:val="21"/>
                <w:lang w:bidi="ar"/>
              </w:rPr>
              <w:t>10.34</w:t>
            </w:r>
          </w:p>
        </w:tc>
      </w:tr>
      <w:tr w14:paraId="46F853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698" w:type="pct"/>
            <w:tcBorders>
              <w:top w:val="single" w:color="000000" w:sz="4" w:space="0"/>
              <w:left w:val="single" w:color="000000" w:sz="4" w:space="0"/>
              <w:bottom w:val="single" w:color="000000" w:sz="4" w:space="0"/>
              <w:right w:val="single" w:color="000000" w:sz="4" w:space="0"/>
            </w:tcBorders>
          </w:tcPr>
          <w:p w14:paraId="38B21BE6">
            <w:pPr>
              <w:spacing w:line="240" w:lineRule="auto"/>
              <w:ind w:firstLine="0" w:firstLineChars="0"/>
              <w:jc w:val="center"/>
              <w:rPr>
                <w:rFonts w:cs="Times New Roman"/>
                <w:szCs w:val="21"/>
              </w:rPr>
            </w:pPr>
            <w:r>
              <w:rPr>
                <w:rFonts w:hint="eastAsia" w:cs="Times New Roman"/>
                <w:sz w:val="21"/>
                <w:szCs w:val="21"/>
                <w:lang w:bidi="ar"/>
              </w:rPr>
              <w:t>兔形目</w:t>
            </w:r>
            <w:r>
              <w:rPr>
                <w:rFonts w:cs="Times New Roman"/>
                <w:sz w:val="21"/>
                <w:szCs w:val="21"/>
                <w:lang w:bidi="ar"/>
              </w:rPr>
              <w:t xml:space="preserve"> Lagomorpha</w:t>
            </w:r>
          </w:p>
        </w:tc>
        <w:tc>
          <w:tcPr>
            <w:tcW w:w="400" w:type="pct"/>
            <w:tcBorders>
              <w:top w:val="single" w:color="000000" w:sz="4" w:space="0"/>
              <w:left w:val="single" w:color="000000" w:sz="4" w:space="0"/>
              <w:bottom w:val="single" w:color="000000" w:sz="4" w:space="0"/>
              <w:right w:val="single" w:color="000000" w:sz="4" w:space="0"/>
            </w:tcBorders>
          </w:tcPr>
          <w:p w14:paraId="23E51335">
            <w:pPr>
              <w:spacing w:line="240" w:lineRule="auto"/>
              <w:ind w:firstLine="0" w:firstLineChars="0"/>
              <w:jc w:val="center"/>
              <w:rPr>
                <w:rFonts w:cs="Times New Roman"/>
                <w:szCs w:val="21"/>
              </w:rPr>
            </w:pPr>
            <w:r>
              <w:rPr>
                <w:rFonts w:cs="Times New Roman"/>
                <w:sz w:val="21"/>
                <w:szCs w:val="21"/>
                <w:lang w:bidi="ar"/>
              </w:rPr>
              <w:t>1</w:t>
            </w:r>
          </w:p>
        </w:tc>
        <w:tc>
          <w:tcPr>
            <w:tcW w:w="1348" w:type="pct"/>
            <w:tcBorders>
              <w:top w:val="single" w:color="000000" w:sz="4" w:space="0"/>
              <w:left w:val="single" w:color="000000" w:sz="4" w:space="0"/>
              <w:bottom w:val="single" w:color="000000" w:sz="4" w:space="0"/>
              <w:right w:val="single" w:color="000000" w:sz="4" w:space="0"/>
            </w:tcBorders>
          </w:tcPr>
          <w:p w14:paraId="261EAB20">
            <w:pPr>
              <w:spacing w:line="240" w:lineRule="auto"/>
              <w:ind w:firstLine="0" w:firstLineChars="0"/>
              <w:jc w:val="center"/>
              <w:rPr>
                <w:rFonts w:cs="Times New Roman"/>
                <w:szCs w:val="21"/>
              </w:rPr>
            </w:pPr>
            <w:r>
              <w:rPr>
                <w:rFonts w:cs="Times New Roman"/>
                <w:sz w:val="21"/>
                <w:szCs w:val="21"/>
                <w:lang w:bidi="ar"/>
              </w:rPr>
              <w:t>6.25</w:t>
            </w:r>
          </w:p>
        </w:tc>
        <w:tc>
          <w:tcPr>
            <w:tcW w:w="400" w:type="pct"/>
            <w:tcBorders>
              <w:top w:val="single" w:color="000000" w:sz="4" w:space="0"/>
              <w:left w:val="single" w:color="000000" w:sz="4" w:space="0"/>
              <w:bottom w:val="single" w:color="000000" w:sz="4" w:space="0"/>
              <w:right w:val="single" w:color="000000" w:sz="4" w:space="0"/>
            </w:tcBorders>
          </w:tcPr>
          <w:p w14:paraId="0197C06C">
            <w:pPr>
              <w:spacing w:line="240" w:lineRule="auto"/>
              <w:ind w:firstLine="0" w:firstLineChars="0"/>
              <w:jc w:val="center"/>
              <w:rPr>
                <w:rFonts w:cs="Times New Roman"/>
                <w:szCs w:val="21"/>
              </w:rPr>
            </w:pPr>
            <w:r>
              <w:rPr>
                <w:rFonts w:cs="Times New Roman"/>
                <w:sz w:val="21"/>
                <w:szCs w:val="21"/>
                <w:lang w:bidi="ar"/>
              </w:rPr>
              <w:t>2</w:t>
            </w:r>
          </w:p>
        </w:tc>
        <w:tc>
          <w:tcPr>
            <w:tcW w:w="1152" w:type="pct"/>
            <w:tcBorders>
              <w:top w:val="single" w:color="000000" w:sz="4" w:space="0"/>
              <w:left w:val="single" w:color="000000" w:sz="4" w:space="0"/>
              <w:bottom w:val="single" w:color="000000" w:sz="4" w:space="0"/>
              <w:right w:val="single" w:color="000000" w:sz="4" w:space="0"/>
            </w:tcBorders>
          </w:tcPr>
          <w:p w14:paraId="35BDA1E3">
            <w:pPr>
              <w:spacing w:line="240" w:lineRule="auto"/>
              <w:ind w:firstLine="0" w:firstLineChars="0"/>
              <w:jc w:val="center"/>
              <w:rPr>
                <w:rFonts w:cs="Times New Roman"/>
                <w:szCs w:val="21"/>
              </w:rPr>
            </w:pPr>
            <w:r>
              <w:rPr>
                <w:rFonts w:cs="Times New Roman"/>
                <w:sz w:val="21"/>
                <w:szCs w:val="21"/>
                <w:lang w:bidi="ar"/>
              </w:rPr>
              <w:t>6.90</w:t>
            </w:r>
          </w:p>
        </w:tc>
      </w:tr>
      <w:tr w14:paraId="54263E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698" w:type="pct"/>
            <w:tcBorders>
              <w:top w:val="single" w:color="000000" w:sz="4" w:space="0"/>
              <w:left w:val="single" w:color="000000" w:sz="4" w:space="0"/>
              <w:bottom w:val="single" w:color="000000" w:sz="4" w:space="0"/>
              <w:right w:val="single" w:color="000000" w:sz="4" w:space="0"/>
            </w:tcBorders>
          </w:tcPr>
          <w:p w14:paraId="3F9D2A70">
            <w:pPr>
              <w:spacing w:line="240" w:lineRule="auto"/>
              <w:ind w:firstLine="0" w:firstLineChars="0"/>
              <w:jc w:val="center"/>
              <w:rPr>
                <w:rFonts w:cs="Times New Roman"/>
                <w:szCs w:val="21"/>
              </w:rPr>
            </w:pPr>
            <w:r>
              <w:rPr>
                <w:rFonts w:hint="eastAsia" w:cs="Times New Roman"/>
                <w:sz w:val="21"/>
                <w:szCs w:val="21"/>
                <w:lang w:bidi="ar"/>
              </w:rPr>
              <w:t>啮齿目</w:t>
            </w:r>
            <w:r>
              <w:rPr>
                <w:rFonts w:cs="Times New Roman"/>
                <w:sz w:val="21"/>
                <w:szCs w:val="21"/>
                <w:lang w:bidi="ar"/>
              </w:rPr>
              <w:t xml:space="preserve"> Rodentia</w:t>
            </w:r>
          </w:p>
        </w:tc>
        <w:tc>
          <w:tcPr>
            <w:tcW w:w="400" w:type="pct"/>
            <w:tcBorders>
              <w:top w:val="single" w:color="000000" w:sz="4" w:space="0"/>
              <w:left w:val="single" w:color="000000" w:sz="4" w:space="0"/>
              <w:bottom w:val="single" w:color="000000" w:sz="4" w:space="0"/>
              <w:right w:val="single" w:color="000000" w:sz="4" w:space="0"/>
            </w:tcBorders>
          </w:tcPr>
          <w:p w14:paraId="0B71F324">
            <w:pPr>
              <w:spacing w:line="240" w:lineRule="auto"/>
              <w:ind w:firstLine="0" w:firstLineChars="0"/>
              <w:jc w:val="center"/>
              <w:rPr>
                <w:rFonts w:cs="Times New Roman"/>
                <w:szCs w:val="21"/>
              </w:rPr>
            </w:pPr>
            <w:r>
              <w:rPr>
                <w:rFonts w:cs="Times New Roman"/>
                <w:sz w:val="21"/>
                <w:szCs w:val="21"/>
                <w:lang w:bidi="ar"/>
              </w:rPr>
              <w:t>5</w:t>
            </w:r>
          </w:p>
        </w:tc>
        <w:tc>
          <w:tcPr>
            <w:tcW w:w="1348" w:type="pct"/>
            <w:tcBorders>
              <w:top w:val="single" w:color="000000" w:sz="4" w:space="0"/>
              <w:left w:val="single" w:color="000000" w:sz="4" w:space="0"/>
              <w:bottom w:val="single" w:color="000000" w:sz="4" w:space="0"/>
              <w:right w:val="single" w:color="000000" w:sz="4" w:space="0"/>
            </w:tcBorders>
          </w:tcPr>
          <w:p w14:paraId="2D89677F">
            <w:pPr>
              <w:spacing w:line="240" w:lineRule="auto"/>
              <w:ind w:firstLine="0" w:firstLineChars="0"/>
              <w:jc w:val="center"/>
              <w:rPr>
                <w:rFonts w:cs="Times New Roman"/>
                <w:szCs w:val="21"/>
              </w:rPr>
            </w:pPr>
            <w:r>
              <w:rPr>
                <w:rFonts w:cs="Times New Roman"/>
                <w:sz w:val="21"/>
                <w:szCs w:val="21"/>
                <w:lang w:bidi="ar"/>
              </w:rPr>
              <w:t>31.25</w:t>
            </w:r>
          </w:p>
        </w:tc>
        <w:tc>
          <w:tcPr>
            <w:tcW w:w="400" w:type="pct"/>
            <w:tcBorders>
              <w:top w:val="single" w:color="000000" w:sz="4" w:space="0"/>
              <w:left w:val="single" w:color="000000" w:sz="4" w:space="0"/>
              <w:bottom w:val="single" w:color="000000" w:sz="4" w:space="0"/>
              <w:right w:val="single" w:color="000000" w:sz="4" w:space="0"/>
            </w:tcBorders>
          </w:tcPr>
          <w:p w14:paraId="0B544E8E">
            <w:pPr>
              <w:spacing w:line="240" w:lineRule="auto"/>
              <w:ind w:firstLine="0" w:firstLineChars="0"/>
              <w:jc w:val="center"/>
              <w:rPr>
                <w:rFonts w:cs="Times New Roman"/>
                <w:szCs w:val="21"/>
              </w:rPr>
            </w:pPr>
            <w:r>
              <w:rPr>
                <w:rFonts w:cs="Times New Roman"/>
                <w:sz w:val="21"/>
                <w:szCs w:val="21"/>
                <w:lang w:bidi="ar"/>
              </w:rPr>
              <w:t>13</w:t>
            </w:r>
          </w:p>
        </w:tc>
        <w:tc>
          <w:tcPr>
            <w:tcW w:w="1152" w:type="pct"/>
            <w:tcBorders>
              <w:top w:val="single" w:color="000000" w:sz="4" w:space="0"/>
              <w:left w:val="single" w:color="000000" w:sz="4" w:space="0"/>
              <w:bottom w:val="single" w:color="000000" w:sz="4" w:space="0"/>
              <w:right w:val="single" w:color="000000" w:sz="4" w:space="0"/>
            </w:tcBorders>
          </w:tcPr>
          <w:p w14:paraId="3C5641C7">
            <w:pPr>
              <w:spacing w:line="240" w:lineRule="auto"/>
              <w:ind w:firstLine="0" w:firstLineChars="0"/>
              <w:jc w:val="center"/>
              <w:rPr>
                <w:rFonts w:cs="Times New Roman"/>
                <w:szCs w:val="21"/>
              </w:rPr>
            </w:pPr>
            <w:r>
              <w:rPr>
                <w:rFonts w:cs="Times New Roman"/>
                <w:sz w:val="21"/>
                <w:szCs w:val="21"/>
                <w:lang w:bidi="ar"/>
              </w:rPr>
              <w:t>44.83</w:t>
            </w:r>
          </w:p>
        </w:tc>
      </w:tr>
      <w:tr w14:paraId="3790B7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698" w:type="pct"/>
            <w:tcBorders>
              <w:top w:val="single" w:color="000000" w:sz="4" w:space="0"/>
              <w:left w:val="single" w:color="000000" w:sz="4" w:space="0"/>
              <w:bottom w:val="single" w:color="000000" w:sz="4" w:space="0"/>
              <w:right w:val="single" w:color="000000" w:sz="4" w:space="0"/>
            </w:tcBorders>
          </w:tcPr>
          <w:p w14:paraId="5A46A0BD">
            <w:pPr>
              <w:spacing w:line="240" w:lineRule="auto"/>
              <w:ind w:firstLine="0" w:firstLineChars="0"/>
              <w:jc w:val="center"/>
              <w:rPr>
                <w:rFonts w:cs="Times New Roman"/>
                <w:szCs w:val="21"/>
              </w:rPr>
            </w:pPr>
            <w:r>
              <w:rPr>
                <w:rFonts w:hint="eastAsia" w:cs="Times New Roman"/>
                <w:sz w:val="21"/>
                <w:szCs w:val="21"/>
                <w:lang w:bidi="ar"/>
              </w:rPr>
              <w:t>食肉目</w:t>
            </w:r>
            <w:r>
              <w:rPr>
                <w:rFonts w:cs="Times New Roman"/>
                <w:sz w:val="21"/>
                <w:szCs w:val="21"/>
                <w:lang w:bidi="ar"/>
              </w:rPr>
              <w:t xml:space="preserve"> Carnivora</w:t>
            </w:r>
          </w:p>
        </w:tc>
        <w:tc>
          <w:tcPr>
            <w:tcW w:w="400" w:type="pct"/>
            <w:tcBorders>
              <w:top w:val="single" w:color="000000" w:sz="4" w:space="0"/>
              <w:left w:val="single" w:color="000000" w:sz="4" w:space="0"/>
              <w:bottom w:val="single" w:color="000000" w:sz="4" w:space="0"/>
              <w:right w:val="single" w:color="000000" w:sz="4" w:space="0"/>
            </w:tcBorders>
          </w:tcPr>
          <w:p w14:paraId="6291678C">
            <w:pPr>
              <w:spacing w:line="240" w:lineRule="auto"/>
              <w:ind w:firstLine="0" w:firstLineChars="0"/>
              <w:jc w:val="center"/>
              <w:rPr>
                <w:rFonts w:cs="Times New Roman"/>
                <w:szCs w:val="21"/>
              </w:rPr>
            </w:pPr>
            <w:r>
              <w:rPr>
                <w:rFonts w:cs="Times New Roman"/>
                <w:sz w:val="21"/>
                <w:szCs w:val="21"/>
                <w:lang w:bidi="ar"/>
              </w:rPr>
              <w:t>4</w:t>
            </w:r>
          </w:p>
        </w:tc>
        <w:tc>
          <w:tcPr>
            <w:tcW w:w="1348" w:type="pct"/>
            <w:tcBorders>
              <w:top w:val="single" w:color="000000" w:sz="4" w:space="0"/>
              <w:left w:val="single" w:color="000000" w:sz="4" w:space="0"/>
              <w:bottom w:val="single" w:color="000000" w:sz="4" w:space="0"/>
              <w:right w:val="single" w:color="000000" w:sz="4" w:space="0"/>
            </w:tcBorders>
          </w:tcPr>
          <w:p w14:paraId="7F3E4D7B">
            <w:pPr>
              <w:spacing w:line="240" w:lineRule="auto"/>
              <w:ind w:firstLine="0" w:firstLineChars="0"/>
              <w:jc w:val="center"/>
              <w:rPr>
                <w:rFonts w:cs="Times New Roman"/>
                <w:szCs w:val="21"/>
              </w:rPr>
            </w:pPr>
            <w:r>
              <w:rPr>
                <w:rFonts w:cs="Times New Roman"/>
                <w:sz w:val="21"/>
                <w:szCs w:val="21"/>
                <w:lang w:bidi="ar"/>
              </w:rPr>
              <w:t>25</w:t>
            </w:r>
          </w:p>
        </w:tc>
        <w:tc>
          <w:tcPr>
            <w:tcW w:w="400" w:type="pct"/>
            <w:tcBorders>
              <w:top w:val="single" w:color="000000" w:sz="4" w:space="0"/>
              <w:left w:val="single" w:color="000000" w:sz="4" w:space="0"/>
              <w:bottom w:val="single" w:color="000000" w:sz="4" w:space="0"/>
              <w:right w:val="single" w:color="000000" w:sz="4" w:space="0"/>
            </w:tcBorders>
          </w:tcPr>
          <w:p w14:paraId="142F6FE8">
            <w:pPr>
              <w:spacing w:line="240" w:lineRule="auto"/>
              <w:ind w:firstLine="0" w:firstLineChars="0"/>
              <w:jc w:val="center"/>
              <w:rPr>
                <w:rFonts w:cs="Times New Roman"/>
                <w:szCs w:val="21"/>
              </w:rPr>
            </w:pPr>
            <w:r>
              <w:rPr>
                <w:rFonts w:cs="Times New Roman"/>
                <w:sz w:val="21"/>
                <w:szCs w:val="21"/>
                <w:lang w:bidi="ar"/>
              </w:rPr>
              <w:t>7</w:t>
            </w:r>
          </w:p>
        </w:tc>
        <w:tc>
          <w:tcPr>
            <w:tcW w:w="1152" w:type="pct"/>
            <w:tcBorders>
              <w:top w:val="single" w:color="000000" w:sz="4" w:space="0"/>
              <w:left w:val="single" w:color="000000" w:sz="4" w:space="0"/>
              <w:bottom w:val="single" w:color="000000" w:sz="4" w:space="0"/>
              <w:right w:val="single" w:color="000000" w:sz="4" w:space="0"/>
            </w:tcBorders>
          </w:tcPr>
          <w:p w14:paraId="7AE4D372">
            <w:pPr>
              <w:spacing w:line="240" w:lineRule="auto"/>
              <w:ind w:firstLine="0" w:firstLineChars="0"/>
              <w:jc w:val="center"/>
              <w:rPr>
                <w:rFonts w:cs="Times New Roman"/>
                <w:szCs w:val="21"/>
              </w:rPr>
            </w:pPr>
            <w:r>
              <w:rPr>
                <w:rFonts w:cs="Times New Roman"/>
                <w:sz w:val="21"/>
                <w:szCs w:val="21"/>
                <w:lang w:bidi="ar"/>
              </w:rPr>
              <w:t>24.14</w:t>
            </w:r>
          </w:p>
        </w:tc>
      </w:tr>
      <w:tr w14:paraId="102D8E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698" w:type="pct"/>
            <w:tcBorders>
              <w:top w:val="single" w:color="000000" w:sz="4" w:space="0"/>
              <w:left w:val="single" w:color="000000" w:sz="4" w:space="0"/>
              <w:bottom w:val="single" w:color="000000" w:sz="4" w:space="0"/>
              <w:right w:val="single" w:color="000000" w:sz="4" w:space="0"/>
            </w:tcBorders>
          </w:tcPr>
          <w:p w14:paraId="45CEF4A9">
            <w:pPr>
              <w:spacing w:line="240" w:lineRule="auto"/>
              <w:ind w:firstLine="0" w:firstLineChars="0"/>
              <w:jc w:val="center"/>
              <w:rPr>
                <w:rFonts w:cs="Times New Roman"/>
                <w:szCs w:val="21"/>
              </w:rPr>
            </w:pPr>
            <w:r>
              <w:rPr>
                <w:rFonts w:hint="eastAsia" w:cs="Times New Roman"/>
                <w:sz w:val="21"/>
                <w:szCs w:val="21"/>
                <w:lang w:bidi="ar"/>
              </w:rPr>
              <w:t>合计</w:t>
            </w:r>
          </w:p>
        </w:tc>
        <w:tc>
          <w:tcPr>
            <w:tcW w:w="400" w:type="pct"/>
            <w:tcBorders>
              <w:top w:val="single" w:color="000000" w:sz="4" w:space="0"/>
              <w:left w:val="single" w:color="000000" w:sz="4" w:space="0"/>
              <w:bottom w:val="single" w:color="000000" w:sz="4" w:space="0"/>
              <w:right w:val="single" w:color="000000" w:sz="4" w:space="0"/>
            </w:tcBorders>
          </w:tcPr>
          <w:p w14:paraId="2F8CD8A7">
            <w:pPr>
              <w:spacing w:line="240" w:lineRule="auto"/>
              <w:ind w:firstLine="0" w:firstLineChars="0"/>
              <w:jc w:val="center"/>
              <w:rPr>
                <w:rFonts w:cs="Times New Roman"/>
                <w:szCs w:val="21"/>
              </w:rPr>
            </w:pPr>
            <w:r>
              <w:rPr>
                <w:rFonts w:cs="Times New Roman"/>
                <w:sz w:val="21"/>
                <w:szCs w:val="21"/>
                <w:lang w:bidi="ar"/>
              </w:rPr>
              <w:t>16</w:t>
            </w:r>
          </w:p>
        </w:tc>
        <w:tc>
          <w:tcPr>
            <w:tcW w:w="1348" w:type="pct"/>
            <w:tcBorders>
              <w:top w:val="single" w:color="000000" w:sz="4" w:space="0"/>
              <w:left w:val="single" w:color="000000" w:sz="4" w:space="0"/>
              <w:bottom w:val="single" w:color="000000" w:sz="4" w:space="0"/>
              <w:right w:val="single" w:color="000000" w:sz="4" w:space="0"/>
            </w:tcBorders>
          </w:tcPr>
          <w:p w14:paraId="49604FAA">
            <w:pPr>
              <w:spacing w:line="240" w:lineRule="auto"/>
              <w:ind w:firstLine="0" w:firstLineChars="0"/>
              <w:jc w:val="center"/>
              <w:rPr>
                <w:rFonts w:cs="Times New Roman"/>
                <w:szCs w:val="21"/>
              </w:rPr>
            </w:pPr>
            <w:r>
              <w:rPr>
                <w:rFonts w:cs="Times New Roman"/>
                <w:sz w:val="21"/>
                <w:szCs w:val="21"/>
                <w:lang w:bidi="ar"/>
              </w:rPr>
              <w:t>100</w:t>
            </w:r>
          </w:p>
        </w:tc>
        <w:tc>
          <w:tcPr>
            <w:tcW w:w="400" w:type="pct"/>
            <w:tcBorders>
              <w:top w:val="single" w:color="000000" w:sz="4" w:space="0"/>
              <w:left w:val="single" w:color="000000" w:sz="4" w:space="0"/>
              <w:bottom w:val="single" w:color="000000" w:sz="4" w:space="0"/>
              <w:right w:val="single" w:color="000000" w:sz="4" w:space="0"/>
            </w:tcBorders>
          </w:tcPr>
          <w:p w14:paraId="0EDD142A">
            <w:pPr>
              <w:spacing w:line="240" w:lineRule="auto"/>
              <w:ind w:firstLine="0" w:firstLineChars="0"/>
              <w:jc w:val="center"/>
              <w:rPr>
                <w:rFonts w:cs="Times New Roman"/>
                <w:szCs w:val="21"/>
              </w:rPr>
            </w:pPr>
            <w:r>
              <w:rPr>
                <w:rFonts w:cs="Times New Roman"/>
                <w:sz w:val="21"/>
                <w:szCs w:val="21"/>
                <w:lang w:bidi="ar"/>
              </w:rPr>
              <w:t>29</w:t>
            </w:r>
          </w:p>
        </w:tc>
        <w:tc>
          <w:tcPr>
            <w:tcW w:w="1152" w:type="pct"/>
            <w:tcBorders>
              <w:top w:val="single" w:color="000000" w:sz="4" w:space="0"/>
              <w:left w:val="single" w:color="000000" w:sz="4" w:space="0"/>
              <w:bottom w:val="single" w:color="000000" w:sz="4" w:space="0"/>
              <w:right w:val="single" w:color="000000" w:sz="4" w:space="0"/>
            </w:tcBorders>
          </w:tcPr>
          <w:p w14:paraId="525B35D8">
            <w:pPr>
              <w:spacing w:line="240" w:lineRule="auto"/>
              <w:ind w:firstLine="0" w:firstLineChars="0"/>
              <w:jc w:val="center"/>
              <w:rPr>
                <w:rFonts w:cs="Times New Roman"/>
                <w:szCs w:val="21"/>
              </w:rPr>
            </w:pPr>
            <w:r>
              <w:rPr>
                <w:rFonts w:cs="Times New Roman"/>
                <w:sz w:val="21"/>
                <w:szCs w:val="21"/>
                <w:lang w:bidi="ar"/>
              </w:rPr>
              <w:t>100</w:t>
            </w:r>
          </w:p>
        </w:tc>
      </w:tr>
    </w:tbl>
    <w:p w14:paraId="3EB5994A">
      <w:pPr>
        <w:spacing w:line="500" w:lineRule="exact"/>
        <w:ind w:firstLine="480"/>
        <w:rPr>
          <w:rFonts w:cs="Times New Roman"/>
          <w:szCs w:val="24"/>
        </w:rPr>
      </w:pPr>
      <w:r>
        <w:rPr>
          <w:rFonts w:hint="eastAsia" w:cs="Times New Roman"/>
          <w:szCs w:val="24"/>
          <w:lang w:bidi="ar"/>
        </w:rPr>
        <w:t>茅山旅游度假区兽类组成中，有江苏省重点保护动物</w:t>
      </w:r>
      <w:r>
        <w:rPr>
          <w:rFonts w:cs="Times New Roman"/>
          <w:szCs w:val="24"/>
          <w:lang w:bidi="ar"/>
        </w:rPr>
        <w:t>8</w:t>
      </w:r>
      <w:r>
        <w:rPr>
          <w:rFonts w:hint="eastAsia" w:cs="Times New Roman"/>
          <w:szCs w:val="24"/>
          <w:lang w:bidi="ar"/>
        </w:rPr>
        <w:t>种：刺猬、松鼠科、兔科、赤狐等；</w:t>
      </w:r>
      <w:r>
        <w:rPr>
          <w:rFonts w:cs="Times New Roman"/>
          <w:szCs w:val="24"/>
          <w:lang w:bidi="ar"/>
        </w:rPr>
        <w:t>“</w:t>
      </w:r>
      <w:r>
        <w:rPr>
          <w:rFonts w:hint="eastAsia" w:cs="Times New Roman"/>
          <w:szCs w:val="24"/>
          <w:lang w:bidi="ar"/>
        </w:rPr>
        <w:t>三有</w:t>
      </w:r>
      <w:r>
        <w:rPr>
          <w:rFonts w:cs="Times New Roman"/>
          <w:szCs w:val="24"/>
          <w:lang w:bidi="ar"/>
        </w:rPr>
        <w:t>”</w:t>
      </w:r>
      <w:r>
        <w:rPr>
          <w:rFonts w:hint="eastAsia" w:cs="Times New Roman"/>
          <w:szCs w:val="24"/>
          <w:lang w:bidi="ar"/>
        </w:rPr>
        <w:t>保护动物</w:t>
      </w:r>
      <w:r>
        <w:rPr>
          <w:rFonts w:cs="Times New Roman"/>
          <w:szCs w:val="24"/>
          <w:lang w:bidi="ar"/>
        </w:rPr>
        <w:t>1</w:t>
      </w:r>
      <w:r>
        <w:rPr>
          <w:rFonts w:hint="eastAsia" w:cs="Times New Roman"/>
          <w:szCs w:val="24"/>
          <w:lang w:bidi="ar"/>
        </w:rPr>
        <w:t>种，包括所有江苏省重点保护动物和草兔等经济效益比较高的动物。</w:t>
      </w:r>
    </w:p>
    <w:p w14:paraId="57C68665">
      <w:pPr>
        <w:spacing w:line="240" w:lineRule="auto"/>
        <w:ind w:firstLine="0" w:firstLineChars="0"/>
        <w:rPr>
          <w:rFonts w:cs="Times New Roman"/>
          <w:szCs w:val="24"/>
        </w:rPr>
      </w:pPr>
      <w:r>
        <w:rPr>
          <w:rFonts w:cs="Times New Roman"/>
          <w:szCs w:val="24"/>
          <w:lang w:bidi="ar"/>
        </w:rPr>
        <w:drawing>
          <wp:inline distT="0" distB="0" distL="114300" distR="114300">
            <wp:extent cx="2590800" cy="1809750"/>
            <wp:effectExtent l="0" t="0" r="0" b="0"/>
            <wp:docPr id="58" name="图片 4"/>
            <wp:cNvGraphicFramePr/>
            <a:graphic xmlns:a="http://schemas.openxmlformats.org/drawingml/2006/main">
              <a:graphicData uri="http://schemas.openxmlformats.org/drawingml/2006/picture">
                <pic:pic xmlns:pic="http://schemas.openxmlformats.org/drawingml/2006/picture">
                  <pic:nvPicPr>
                    <pic:cNvPr id="58" name="图片 4"/>
                    <pic:cNvPicPr/>
                  </pic:nvPicPr>
                  <pic:blipFill>
                    <a:blip r:embed="rId62"/>
                    <a:stretch>
                      <a:fillRect/>
                    </a:stretch>
                  </pic:blipFill>
                  <pic:spPr>
                    <a:xfrm>
                      <a:off x="0" y="0"/>
                      <a:ext cx="2590800" cy="1809750"/>
                    </a:xfrm>
                    <a:prstGeom prst="rect">
                      <a:avLst/>
                    </a:prstGeom>
                    <a:noFill/>
                    <a:ln>
                      <a:noFill/>
                    </a:ln>
                  </pic:spPr>
                </pic:pic>
              </a:graphicData>
            </a:graphic>
          </wp:inline>
        </w:drawing>
      </w:r>
      <w:r>
        <w:rPr>
          <w:rFonts w:cs="Times New Roman"/>
          <w:szCs w:val="24"/>
          <w:lang w:bidi="ar"/>
        </w:rPr>
        <w:t xml:space="preserve"> </w:t>
      </w:r>
      <w:r>
        <w:rPr>
          <w:rFonts w:hint="eastAsia" w:ascii="等线" w:hAnsi="等线" w:eastAsia="等线" w:cs="Times New Roman"/>
          <w:sz w:val="21"/>
          <w:lang w:bidi="ar"/>
        </w:rPr>
        <w:drawing>
          <wp:inline distT="0" distB="0" distL="114300" distR="114300">
            <wp:extent cx="2590800" cy="1800225"/>
            <wp:effectExtent l="0" t="0" r="0" b="9525"/>
            <wp:docPr id="59" name="图片 34"/>
            <wp:cNvGraphicFramePr/>
            <a:graphic xmlns:a="http://schemas.openxmlformats.org/drawingml/2006/main">
              <a:graphicData uri="http://schemas.openxmlformats.org/drawingml/2006/picture">
                <pic:pic xmlns:pic="http://schemas.openxmlformats.org/drawingml/2006/picture">
                  <pic:nvPicPr>
                    <pic:cNvPr id="59" name="图片 34"/>
                    <pic:cNvPicPr/>
                  </pic:nvPicPr>
                  <pic:blipFill>
                    <a:blip r:embed="rId63"/>
                    <a:stretch>
                      <a:fillRect/>
                    </a:stretch>
                  </pic:blipFill>
                  <pic:spPr>
                    <a:xfrm>
                      <a:off x="0" y="0"/>
                      <a:ext cx="2590800" cy="1800225"/>
                    </a:xfrm>
                    <a:prstGeom prst="rect">
                      <a:avLst/>
                    </a:prstGeom>
                    <a:noFill/>
                    <a:ln>
                      <a:noFill/>
                    </a:ln>
                  </pic:spPr>
                </pic:pic>
              </a:graphicData>
            </a:graphic>
          </wp:inline>
        </w:drawing>
      </w:r>
    </w:p>
    <w:p w14:paraId="761EBAB6">
      <w:pPr>
        <w:spacing w:line="240" w:lineRule="auto"/>
        <w:ind w:firstLine="0" w:firstLineChars="0"/>
        <w:jc w:val="center"/>
        <w:rPr>
          <w:rFonts w:cs="Times New Roman"/>
          <w:b/>
          <w:bCs/>
          <w:kern w:val="0"/>
          <w:szCs w:val="21"/>
        </w:rPr>
      </w:pPr>
      <w:r>
        <w:rPr>
          <w:rFonts w:hint="eastAsia" w:cs="Times New Roman"/>
          <w:b/>
          <w:bCs/>
          <w:kern w:val="0"/>
          <w:sz w:val="21"/>
          <w:szCs w:val="21"/>
          <w:lang w:bidi="ar"/>
        </w:rPr>
        <w:t>褐家鼠</w:t>
      </w:r>
      <w:r>
        <w:rPr>
          <w:rFonts w:cs="Times New Roman"/>
          <w:b/>
          <w:bCs/>
          <w:kern w:val="0"/>
          <w:sz w:val="21"/>
          <w:szCs w:val="21"/>
          <w:lang w:bidi="ar"/>
        </w:rPr>
        <w:t xml:space="preserve">                                   </w:t>
      </w:r>
      <w:r>
        <w:rPr>
          <w:rFonts w:hint="eastAsia" w:cs="Times New Roman"/>
          <w:b/>
          <w:bCs/>
          <w:kern w:val="0"/>
          <w:sz w:val="21"/>
          <w:szCs w:val="21"/>
          <w:lang w:bidi="ar"/>
        </w:rPr>
        <w:t>刺猬</w:t>
      </w:r>
    </w:p>
    <w:p w14:paraId="13EDD926">
      <w:pPr>
        <w:spacing w:line="240" w:lineRule="auto"/>
        <w:ind w:firstLine="0" w:firstLineChars="0"/>
        <w:rPr>
          <w:rFonts w:cs="Times New Roman"/>
          <w:szCs w:val="24"/>
        </w:rPr>
      </w:pPr>
      <w:r>
        <w:rPr>
          <w:rFonts w:hint="eastAsia" w:ascii="等线" w:hAnsi="等线" w:eastAsia="等线" w:cs="Times New Roman"/>
          <w:sz w:val="21"/>
          <w:lang w:bidi="ar"/>
        </w:rPr>
        <w:drawing>
          <wp:inline distT="0" distB="0" distL="114300" distR="114300">
            <wp:extent cx="2590800" cy="1809750"/>
            <wp:effectExtent l="0" t="0" r="0" b="0"/>
            <wp:docPr id="56" name="图片 1"/>
            <wp:cNvGraphicFramePr/>
            <a:graphic xmlns:a="http://schemas.openxmlformats.org/drawingml/2006/main">
              <a:graphicData uri="http://schemas.openxmlformats.org/drawingml/2006/picture">
                <pic:pic xmlns:pic="http://schemas.openxmlformats.org/drawingml/2006/picture">
                  <pic:nvPicPr>
                    <pic:cNvPr id="56" name="图片 1"/>
                    <pic:cNvPicPr/>
                  </pic:nvPicPr>
                  <pic:blipFill>
                    <a:blip r:embed="rId64"/>
                    <a:stretch>
                      <a:fillRect/>
                    </a:stretch>
                  </pic:blipFill>
                  <pic:spPr>
                    <a:xfrm>
                      <a:off x="0" y="0"/>
                      <a:ext cx="2590800" cy="1809750"/>
                    </a:xfrm>
                    <a:prstGeom prst="rect">
                      <a:avLst/>
                    </a:prstGeom>
                    <a:noFill/>
                    <a:ln>
                      <a:noFill/>
                    </a:ln>
                  </pic:spPr>
                </pic:pic>
              </a:graphicData>
            </a:graphic>
          </wp:inline>
        </w:drawing>
      </w:r>
      <w:r>
        <w:rPr>
          <w:rFonts w:cs="Times New Roman"/>
          <w:szCs w:val="24"/>
          <w:lang w:bidi="ar"/>
        </w:rPr>
        <w:t xml:space="preserve"> </w:t>
      </w:r>
      <w:r>
        <w:rPr>
          <w:rFonts w:cs="Times New Roman"/>
          <w:szCs w:val="24"/>
          <w:lang w:bidi="ar"/>
        </w:rPr>
        <w:drawing>
          <wp:inline distT="0" distB="0" distL="114300" distR="114300">
            <wp:extent cx="2590800" cy="1809750"/>
            <wp:effectExtent l="0" t="0" r="0" b="0"/>
            <wp:docPr id="37" name="图片 3"/>
            <wp:cNvGraphicFramePr/>
            <a:graphic xmlns:a="http://schemas.openxmlformats.org/drawingml/2006/main">
              <a:graphicData uri="http://schemas.openxmlformats.org/drawingml/2006/picture">
                <pic:pic xmlns:pic="http://schemas.openxmlformats.org/drawingml/2006/picture">
                  <pic:nvPicPr>
                    <pic:cNvPr id="37" name="图片 3"/>
                    <pic:cNvPicPr/>
                  </pic:nvPicPr>
                  <pic:blipFill>
                    <a:blip r:embed="rId65"/>
                    <a:stretch>
                      <a:fillRect/>
                    </a:stretch>
                  </pic:blipFill>
                  <pic:spPr>
                    <a:xfrm>
                      <a:off x="0" y="0"/>
                      <a:ext cx="2590800" cy="1809750"/>
                    </a:xfrm>
                    <a:prstGeom prst="rect">
                      <a:avLst/>
                    </a:prstGeom>
                    <a:noFill/>
                    <a:ln>
                      <a:noFill/>
                    </a:ln>
                  </pic:spPr>
                </pic:pic>
              </a:graphicData>
            </a:graphic>
          </wp:inline>
        </w:drawing>
      </w:r>
    </w:p>
    <w:p w14:paraId="26B03231">
      <w:pPr>
        <w:spacing w:line="240" w:lineRule="auto"/>
        <w:ind w:firstLine="0" w:firstLineChars="0"/>
        <w:jc w:val="center"/>
        <w:rPr>
          <w:rFonts w:cs="Times New Roman"/>
          <w:b/>
          <w:bCs/>
          <w:kern w:val="0"/>
          <w:szCs w:val="21"/>
        </w:rPr>
      </w:pPr>
      <w:r>
        <w:rPr>
          <w:rFonts w:hint="eastAsia" w:cs="Times New Roman"/>
          <w:b/>
          <w:bCs/>
          <w:kern w:val="0"/>
          <w:sz w:val="21"/>
          <w:szCs w:val="21"/>
          <w:lang w:bidi="ar"/>
        </w:rPr>
        <w:t>貂</w:t>
      </w:r>
      <w:r>
        <w:rPr>
          <w:rFonts w:cs="Times New Roman"/>
          <w:b/>
          <w:bCs/>
          <w:kern w:val="0"/>
          <w:sz w:val="21"/>
          <w:szCs w:val="21"/>
          <w:lang w:bidi="ar"/>
        </w:rPr>
        <w:t xml:space="preserve">          </w:t>
      </w:r>
      <w:r>
        <w:rPr>
          <w:rFonts w:hint="eastAsia" w:cs="Times New Roman"/>
          <w:b/>
          <w:bCs/>
          <w:kern w:val="0"/>
          <w:sz w:val="21"/>
          <w:szCs w:val="21"/>
          <w:lang w:bidi="ar"/>
        </w:rPr>
        <w:t xml:space="preserve">      </w:t>
      </w:r>
      <w:r>
        <w:rPr>
          <w:rFonts w:cs="Times New Roman"/>
          <w:b/>
          <w:bCs/>
          <w:kern w:val="0"/>
          <w:sz w:val="21"/>
          <w:szCs w:val="21"/>
          <w:lang w:bidi="ar"/>
        </w:rPr>
        <w:t xml:space="preserve">                      </w:t>
      </w:r>
      <w:r>
        <w:rPr>
          <w:rFonts w:hint="eastAsia" w:cs="Times New Roman"/>
          <w:b/>
          <w:bCs/>
          <w:kern w:val="0"/>
          <w:sz w:val="21"/>
          <w:szCs w:val="21"/>
          <w:lang w:bidi="ar"/>
        </w:rPr>
        <w:t>华南兔</w:t>
      </w:r>
    </w:p>
    <w:p w14:paraId="50823BCB">
      <w:pPr>
        <w:ind w:firstLine="482"/>
        <w:rPr>
          <w:rFonts w:cs="Times New Roman"/>
          <w:b/>
          <w:bCs/>
          <w:szCs w:val="24"/>
        </w:rPr>
      </w:pPr>
      <w:r>
        <w:rPr>
          <w:rFonts w:hint="eastAsia" w:cs="Times New Roman"/>
          <w:b/>
          <w:bCs/>
          <w:szCs w:val="24"/>
          <w:lang w:bidi="ar"/>
        </w:rPr>
        <w:t>（</w:t>
      </w:r>
      <w:r>
        <w:rPr>
          <w:rFonts w:cs="Times New Roman"/>
          <w:b/>
          <w:bCs/>
          <w:szCs w:val="24"/>
          <w:lang w:bidi="ar"/>
        </w:rPr>
        <w:t>2</w:t>
      </w:r>
      <w:r>
        <w:rPr>
          <w:rFonts w:hint="eastAsia" w:cs="Times New Roman"/>
          <w:b/>
          <w:bCs/>
          <w:szCs w:val="24"/>
          <w:lang w:bidi="ar"/>
        </w:rPr>
        <w:t>）区系组成分析</w:t>
      </w:r>
    </w:p>
    <w:p w14:paraId="2F3CCB37">
      <w:pPr>
        <w:ind w:firstLine="480"/>
        <w:rPr>
          <w:rFonts w:cs="Times New Roman"/>
          <w:szCs w:val="24"/>
        </w:rPr>
      </w:pPr>
      <w:r>
        <w:rPr>
          <w:rFonts w:hint="eastAsia" w:cs="Times New Roman"/>
          <w:szCs w:val="24"/>
          <w:lang w:bidi="ar"/>
        </w:rPr>
        <w:t>据黄文几（</w:t>
      </w:r>
      <w:r>
        <w:rPr>
          <w:rFonts w:cs="Times New Roman"/>
          <w:szCs w:val="24"/>
          <w:lang w:bidi="ar"/>
        </w:rPr>
        <w:t>1966</w:t>
      </w:r>
      <w:r>
        <w:rPr>
          <w:rFonts w:hint="eastAsia" w:cs="Times New Roman"/>
          <w:szCs w:val="24"/>
          <w:lang w:bidi="ar"/>
        </w:rPr>
        <w:t>年）等人的研究，江苏省哺乳类动物分为北部丘陵平原、中部平原和南部丘陵平原三个动物地理区。茅山旅游度假区位于苏南丘陵平原区，为长江下游冲积平原的一部分，属海洋性气候，气候较为温和，生境类型较多，因此哺乳动物种类较苏北、苏中两区丰富。茅山旅游度假区在中国陆地脊椎动物地理区划上属于</w:t>
      </w:r>
      <w:r>
        <w:rPr>
          <w:rFonts w:cs="Times New Roman"/>
          <w:szCs w:val="24"/>
          <w:lang w:bidi="ar"/>
        </w:rPr>
        <w:t>VIA-</w:t>
      </w:r>
      <w:r>
        <w:rPr>
          <w:rFonts w:hint="eastAsia" w:cs="Times New Roman"/>
          <w:szCs w:val="24"/>
          <w:lang w:bidi="ar"/>
        </w:rPr>
        <w:t>东洋界华中区东部丘陵平原亚区，处于东洋界华中区北缘，与古北界华北区接近。总体而言，由于东洋界和古北界两个区域间地形平坦无天然的地理阻隔，古北界动物易南下分布形成南北种类混杂和过渡局面，因此区内东洋种和古北种的数量差并不明显。度假区内现存的</w:t>
      </w:r>
      <w:r>
        <w:rPr>
          <w:rFonts w:cs="Times New Roman"/>
          <w:szCs w:val="24"/>
          <w:lang w:bidi="ar"/>
        </w:rPr>
        <w:t>29</w:t>
      </w:r>
      <w:r>
        <w:rPr>
          <w:rFonts w:hint="eastAsia" w:cs="Times New Roman"/>
          <w:szCs w:val="24"/>
          <w:lang w:bidi="ar"/>
        </w:rPr>
        <w:t>种哺乳动物中，古北种有</w:t>
      </w:r>
      <w:r>
        <w:rPr>
          <w:rFonts w:cs="Times New Roman"/>
          <w:szCs w:val="24"/>
          <w:lang w:bidi="ar"/>
        </w:rPr>
        <w:t>14</w:t>
      </w:r>
      <w:r>
        <w:rPr>
          <w:rFonts w:hint="eastAsia" w:cs="Times New Roman"/>
          <w:szCs w:val="24"/>
          <w:lang w:bidi="ar"/>
        </w:rPr>
        <w:t>种，占总数的</w:t>
      </w:r>
      <w:r>
        <w:rPr>
          <w:rFonts w:cs="Times New Roman"/>
          <w:szCs w:val="24"/>
          <w:lang w:bidi="ar"/>
        </w:rPr>
        <w:t>48.3%</w:t>
      </w:r>
      <w:r>
        <w:rPr>
          <w:rFonts w:hint="eastAsia" w:cs="Times New Roman"/>
          <w:szCs w:val="24"/>
          <w:lang w:bidi="ar"/>
        </w:rPr>
        <w:t>，东洋种有</w:t>
      </w:r>
      <w:r>
        <w:rPr>
          <w:rFonts w:cs="Times New Roman"/>
          <w:szCs w:val="24"/>
          <w:lang w:bidi="ar"/>
        </w:rPr>
        <w:t>14</w:t>
      </w:r>
      <w:r>
        <w:rPr>
          <w:rFonts w:hint="eastAsia" w:cs="Times New Roman"/>
          <w:szCs w:val="24"/>
          <w:lang w:bidi="ar"/>
        </w:rPr>
        <w:t>种，占总数</w:t>
      </w:r>
      <w:r>
        <w:rPr>
          <w:rFonts w:cs="Times New Roman"/>
          <w:szCs w:val="24"/>
          <w:lang w:bidi="ar"/>
        </w:rPr>
        <w:t>48.3%</w:t>
      </w:r>
      <w:r>
        <w:rPr>
          <w:rFonts w:hint="eastAsia" w:cs="Times New Roman"/>
          <w:szCs w:val="24"/>
          <w:lang w:bidi="ar"/>
        </w:rPr>
        <w:t>。</w:t>
      </w:r>
    </w:p>
    <w:p w14:paraId="4A4CC91B">
      <w:pPr>
        <w:ind w:firstLine="482"/>
        <w:rPr>
          <w:rFonts w:cs="Times New Roman"/>
          <w:b/>
          <w:bCs/>
          <w:szCs w:val="24"/>
        </w:rPr>
      </w:pPr>
      <w:r>
        <w:rPr>
          <w:rFonts w:hint="eastAsia" w:cs="Times New Roman"/>
          <w:b/>
          <w:bCs/>
          <w:szCs w:val="24"/>
          <w:lang w:bidi="ar"/>
        </w:rPr>
        <w:t>（</w:t>
      </w:r>
      <w:r>
        <w:rPr>
          <w:rFonts w:cs="Times New Roman"/>
          <w:b/>
          <w:bCs/>
          <w:szCs w:val="24"/>
          <w:lang w:bidi="ar"/>
        </w:rPr>
        <w:t>3</w:t>
      </w:r>
      <w:r>
        <w:rPr>
          <w:rFonts w:hint="eastAsia" w:cs="Times New Roman"/>
          <w:b/>
          <w:bCs/>
          <w:szCs w:val="24"/>
          <w:lang w:bidi="ar"/>
        </w:rPr>
        <w:t>）生态类型分析</w:t>
      </w:r>
    </w:p>
    <w:p w14:paraId="7ECBFFA0">
      <w:pPr>
        <w:ind w:firstLine="480"/>
        <w:rPr>
          <w:rFonts w:cs="Times New Roman"/>
          <w:szCs w:val="24"/>
        </w:rPr>
      </w:pPr>
      <w:r>
        <w:rPr>
          <w:rFonts w:hint="eastAsia" w:cs="Times New Roman"/>
          <w:szCs w:val="24"/>
          <w:lang w:bidi="ar"/>
        </w:rPr>
        <w:t>茅山旅游度假区哺乳类按其生活环境和习性的不同，可分为以下</w:t>
      </w:r>
      <w:r>
        <w:rPr>
          <w:rFonts w:cs="Times New Roman"/>
          <w:szCs w:val="24"/>
          <w:lang w:bidi="ar"/>
        </w:rPr>
        <w:t>6</w:t>
      </w:r>
      <w:r>
        <w:rPr>
          <w:rFonts w:hint="eastAsia" w:cs="Times New Roman"/>
          <w:szCs w:val="24"/>
          <w:lang w:bidi="ar"/>
        </w:rPr>
        <w:t>种生活类群：</w:t>
      </w:r>
    </w:p>
    <w:p w14:paraId="731A8FC3">
      <w:pPr>
        <w:ind w:firstLine="480"/>
        <w:rPr>
          <w:rFonts w:cs="Times New Roman"/>
          <w:szCs w:val="24"/>
        </w:rPr>
      </w:pPr>
      <w:r>
        <w:rPr>
          <w:rFonts w:hint="eastAsia" w:cs="Times New Roman"/>
          <w:szCs w:val="24"/>
          <w:u w:val="single"/>
          <w:lang w:bidi="ar"/>
        </w:rPr>
        <w:t>空中类群。</w:t>
      </w:r>
      <w:r>
        <w:rPr>
          <w:rFonts w:hint="eastAsia" w:cs="Times New Roman"/>
          <w:szCs w:val="24"/>
          <w:lang w:bidi="ar"/>
        </w:rPr>
        <w:t>主要包括翼手目的大蝙蝠等，栖居于屋檐、墙缝、树洞等处。以及树栖种类赤腹松鼠，主要栖息于混交林、针叶林、次生灌丛等生境。</w:t>
      </w:r>
    </w:p>
    <w:p w14:paraId="5D0A28BE">
      <w:pPr>
        <w:ind w:firstLine="480"/>
        <w:rPr>
          <w:rFonts w:cs="Times New Roman"/>
          <w:szCs w:val="24"/>
        </w:rPr>
      </w:pPr>
      <w:r>
        <w:rPr>
          <w:rFonts w:hint="eastAsia" w:cs="Times New Roman"/>
          <w:szCs w:val="24"/>
          <w:u w:val="single"/>
          <w:lang w:bidi="ar"/>
        </w:rPr>
        <w:t>天然荒草地、沼泽芦苇地、天然或人工林地类群。</w:t>
      </w:r>
      <w:r>
        <w:rPr>
          <w:rFonts w:hint="eastAsia" w:cs="Times New Roman"/>
          <w:szCs w:val="24"/>
          <w:lang w:bidi="ar"/>
        </w:rPr>
        <w:t>包括草食性兽类，食肉目的黄鼬、猪獾、狗獾、赤狐、豹猫等；食虫目的刺猬等；兔形目的草兔以及啮齿目的鼠类。</w:t>
      </w:r>
    </w:p>
    <w:p w14:paraId="69C9F96E">
      <w:pPr>
        <w:ind w:firstLine="480"/>
        <w:rPr>
          <w:rFonts w:cs="Times New Roman"/>
          <w:szCs w:val="24"/>
        </w:rPr>
      </w:pPr>
      <w:r>
        <w:rPr>
          <w:rFonts w:hint="eastAsia" w:cs="Times New Roman"/>
          <w:szCs w:val="24"/>
          <w:u w:val="single"/>
          <w:lang w:bidi="ar"/>
        </w:rPr>
        <w:t>农田类群。</w:t>
      </w:r>
      <w:r>
        <w:rPr>
          <w:rFonts w:hint="eastAsia" w:cs="Times New Roman"/>
          <w:szCs w:val="24"/>
          <w:lang w:bidi="ar"/>
        </w:rPr>
        <w:t>主要包括啮齿目、食虫目等种类，优势种有黑线姬鼠、长尾大麝</w:t>
      </w:r>
      <w:r>
        <w:rPr>
          <w:rFonts w:hint="eastAsia" w:ascii="仿宋" w:hAnsi="仿宋" w:eastAsia="仿宋" w:cs="微软雅黑"/>
          <w:szCs w:val="24"/>
          <w:lang w:bidi="ar"/>
        </w:rPr>
        <w:t>鼩</w:t>
      </w:r>
      <w:r>
        <w:rPr>
          <w:rFonts w:hint="eastAsia" w:ascii="仿宋_GB2312" w:hAnsi="仿宋_GB2312" w:cs="仿宋_GB2312"/>
          <w:szCs w:val="24"/>
          <w:lang w:bidi="ar"/>
        </w:rPr>
        <w:t>等</w:t>
      </w:r>
      <w:r>
        <w:rPr>
          <w:rFonts w:hint="eastAsia" w:cs="Times New Roman"/>
          <w:szCs w:val="24"/>
          <w:lang w:bidi="ar"/>
        </w:rPr>
        <w:t>。</w:t>
      </w:r>
    </w:p>
    <w:p w14:paraId="0472ED32">
      <w:pPr>
        <w:ind w:firstLine="480"/>
        <w:rPr>
          <w:rFonts w:cs="Times New Roman"/>
          <w:szCs w:val="24"/>
        </w:rPr>
      </w:pPr>
      <w:r>
        <w:rPr>
          <w:rFonts w:hint="eastAsia" w:cs="Times New Roman"/>
          <w:szCs w:val="24"/>
          <w:u w:val="single"/>
          <w:lang w:bidi="ar"/>
        </w:rPr>
        <w:t>居室类群。</w:t>
      </w:r>
      <w:r>
        <w:rPr>
          <w:rFonts w:hint="eastAsia" w:cs="Times New Roman"/>
          <w:szCs w:val="24"/>
          <w:lang w:bidi="ar"/>
        </w:rPr>
        <w:t>作为人类伴生动物，包括褐家鼠、小家鼠、黄胸鼠等，一般栖居在城乡住宅、仓库及其附近的田野里，活动在阴沟、厨房、畜禽厩舍、垃圾堆、农田、草地及荒地等处。</w:t>
      </w:r>
    </w:p>
    <w:p w14:paraId="480250C9">
      <w:pPr>
        <w:spacing w:line="570" w:lineRule="atLeast"/>
        <w:ind w:firstLine="0" w:firstLineChars="0"/>
        <w:outlineLvl w:val="3"/>
      </w:pPr>
      <w:bookmarkStart w:id="81" w:name="_Hlk192172779"/>
      <w:r>
        <w:t>3.</w:t>
      </w:r>
      <w:r>
        <w:rPr>
          <w:rFonts w:hint="eastAsia"/>
        </w:rPr>
        <w:t>6.</w:t>
      </w:r>
      <w:r>
        <w:t>4.</w:t>
      </w:r>
      <w:r>
        <w:rPr>
          <w:rFonts w:hint="eastAsia"/>
        </w:rPr>
        <w:t>9生物多样性现状调查与评价</w:t>
      </w:r>
    </w:p>
    <w:bookmarkEnd w:id="81"/>
    <w:p w14:paraId="1BE1FCA6">
      <w:pPr>
        <w:ind w:firstLine="480"/>
        <w:rPr>
          <w:rFonts w:cs="Times New Roman"/>
          <w:szCs w:val="24"/>
        </w:rPr>
      </w:pPr>
      <w:r>
        <w:rPr>
          <w:rFonts w:hint="eastAsia" w:cs="Times New Roman"/>
          <w:szCs w:val="24"/>
          <w:lang w:bidi="ar"/>
        </w:rPr>
        <w:t>以《区域生物多样性评价标准》（</w:t>
      </w:r>
      <w:r>
        <w:rPr>
          <w:rFonts w:cs="Times New Roman"/>
          <w:szCs w:val="24"/>
          <w:lang w:bidi="ar"/>
        </w:rPr>
        <w:t>HJ623-2011</w:t>
      </w:r>
      <w:r>
        <w:rPr>
          <w:rFonts w:hint="eastAsia" w:cs="Times New Roman"/>
          <w:szCs w:val="24"/>
          <w:lang w:bidi="ar"/>
        </w:rPr>
        <w:t>）作为本次生物多样性调查的评价标准，从动植物丰富度、外来物种入侵度、物种特有性、受威胁物种的丰富度等角度进行分析计算，综合得出茅山旅游度假现状生物多样性指数。</w:t>
      </w:r>
    </w:p>
    <w:p w14:paraId="47A626AC">
      <w:pPr>
        <w:ind w:firstLine="482"/>
        <w:rPr>
          <w:rFonts w:cs="Times New Roman"/>
          <w:b/>
          <w:bCs/>
          <w:szCs w:val="24"/>
        </w:rPr>
      </w:pPr>
      <w:r>
        <w:rPr>
          <w:rFonts w:hint="eastAsia" w:cs="Times New Roman"/>
          <w:b/>
          <w:bCs/>
          <w:szCs w:val="24"/>
          <w:lang w:bidi="ar"/>
        </w:rPr>
        <w:t>（</w:t>
      </w:r>
      <w:r>
        <w:rPr>
          <w:rFonts w:cs="Times New Roman"/>
          <w:b/>
          <w:bCs/>
          <w:szCs w:val="24"/>
          <w:lang w:bidi="ar"/>
        </w:rPr>
        <w:t>1</w:t>
      </w:r>
      <w:r>
        <w:rPr>
          <w:rFonts w:hint="eastAsia" w:cs="Times New Roman"/>
          <w:b/>
          <w:bCs/>
          <w:szCs w:val="24"/>
          <w:lang w:bidi="ar"/>
        </w:rPr>
        <w:t>）动植物丰富度</w:t>
      </w:r>
    </w:p>
    <w:p w14:paraId="4C26816E">
      <w:pPr>
        <w:ind w:firstLine="480"/>
        <w:rPr>
          <w:rFonts w:cs="Times New Roman"/>
          <w:szCs w:val="24"/>
        </w:rPr>
      </w:pPr>
      <w:r>
        <w:rPr>
          <w:rFonts w:hint="eastAsia" w:cs="Times New Roman"/>
          <w:szCs w:val="24"/>
          <w:lang w:bidi="ar"/>
        </w:rPr>
        <w:t>评价标准中指出，其评价分析公式中所指的野生动物包括哺乳类、鸟类、爬行类、两栖类、淡水鱼类和蝶类；野生植物指维管束植物，包括野生蕨类植物、裸子植物和被子植物。</w:t>
      </w:r>
    </w:p>
    <w:p w14:paraId="7C4036D8">
      <w:pPr>
        <w:ind w:firstLine="480"/>
        <w:rPr>
          <w:rFonts w:cs="Times New Roman"/>
          <w:szCs w:val="24"/>
        </w:rPr>
      </w:pPr>
      <w:r>
        <w:rPr>
          <w:rFonts w:hint="eastAsia" w:cs="Times New Roman"/>
          <w:szCs w:val="24"/>
          <w:lang w:bidi="ar"/>
        </w:rPr>
        <w:t>因此，根据本次调查结果，茅山旅游度假区野生动物</w:t>
      </w:r>
      <w:r>
        <w:rPr>
          <w:rFonts w:cs="Times New Roman"/>
          <w:szCs w:val="24"/>
          <w:lang w:bidi="ar"/>
        </w:rPr>
        <w:t>233</w:t>
      </w:r>
      <w:r>
        <w:rPr>
          <w:rFonts w:hint="eastAsia" w:cs="Times New Roman"/>
          <w:szCs w:val="24"/>
          <w:lang w:bidi="ar"/>
        </w:rPr>
        <w:t>种，野生植物</w:t>
      </w:r>
      <w:r>
        <w:rPr>
          <w:rFonts w:cs="Times New Roman"/>
          <w:szCs w:val="24"/>
          <w:lang w:bidi="ar"/>
        </w:rPr>
        <w:t>425</w:t>
      </w:r>
      <w:r>
        <w:rPr>
          <w:rFonts w:hint="eastAsia" w:cs="Times New Roman"/>
          <w:szCs w:val="24"/>
          <w:lang w:bidi="ar"/>
        </w:rPr>
        <w:t>种。</w:t>
      </w:r>
    </w:p>
    <w:p w14:paraId="4684ED29">
      <w:pPr>
        <w:ind w:firstLine="482"/>
        <w:rPr>
          <w:rFonts w:cs="Times New Roman"/>
          <w:b/>
          <w:bCs/>
          <w:szCs w:val="24"/>
        </w:rPr>
      </w:pPr>
      <w:r>
        <w:rPr>
          <w:rFonts w:hint="eastAsia" w:cs="Times New Roman"/>
          <w:b/>
          <w:bCs/>
          <w:szCs w:val="24"/>
          <w:lang w:bidi="ar"/>
        </w:rPr>
        <w:t>（</w:t>
      </w:r>
      <w:r>
        <w:rPr>
          <w:rFonts w:cs="Times New Roman"/>
          <w:b/>
          <w:bCs/>
          <w:szCs w:val="24"/>
          <w:lang w:bidi="ar"/>
        </w:rPr>
        <w:t>2</w:t>
      </w:r>
      <w:r>
        <w:rPr>
          <w:rFonts w:hint="eastAsia" w:cs="Times New Roman"/>
          <w:b/>
          <w:bCs/>
          <w:szCs w:val="24"/>
          <w:lang w:bidi="ar"/>
        </w:rPr>
        <w:t>）外来物种入侵度</w:t>
      </w:r>
    </w:p>
    <w:p w14:paraId="748B1EEC">
      <w:pPr>
        <w:ind w:firstLine="480"/>
        <w:rPr>
          <w:rFonts w:cs="Times New Roman"/>
          <w:szCs w:val="24"/>
        </w:rPr>
      </w:pPr>
      <w:r>
        <w:rPr>
          <w:rFonts w:hint="eastAsia" w:cs="Times New Roman"/>
          <w:szCs w:val="24"/>
          <w:lang w:bidi="ar"/>
        </w:rPr>
        <w:t>外来物种入侵是指生物物种由原产地通过自然或人为的途径迁移至新的生态环境的过程。外来物种在新的生态环境中缺乏天敌，自行繁殖与扩散，在与当地物种的资源竞争中占有绝对的优势，最终明显影响当地生态环境，损害当地生物多样性。</w:t>
      </w:r>
    </w:p>
    <w:p w14:paraId="182E4C8E">
      <w:pPr>
        <w:ind w:firstLine="480"/>
        <w:rPr>
          <w:rFonts w:cs="Times New Roman"/>
          <w:szCs w:val="24"/>
        </w:rPr>
      </w:pPr>
      <w:r>
        <w:rPr>
          <w:rFonts w:hint="eastAsia" w:cs="Times New Roman"/>
          <w:szCs w:val="24"/>
          <w:lang w:bidi="ar"/>
        </w:rPr>
        <w:t>据调查，对照中国外来入侵物种名单（第一批</w:t>
      </w:r>
      <w:r>
        <w:rPr>
          <w:rFonts w:cs="Times New Roman"/>
          <w:szCs w:val="24"/>
          <w:lang w:bidi="ar"/>
        </w:rPr>
        <w:t>~</w:t>
      </w:r>
      <w:r>
        <w:rPr>
          <w:rFonts w:hint="eastAsia" w:cs="Times New Roman"/>
          <w:szCs w:val="24"/>
          <w:lang w:bidi="ar"/>
        </w:rPr>
        <w:t>第四批），茅山旅游度假区内主要外来入侵植物</w:t>
      </w:r>
      <w:r>
        <w:rPr>
          <w:rFonts w:cs="Times New Roman"/>
          <w:szCs w:val="24"/>
          <w:lang w:bidi="ar"/>
        </w:rPr>
        <w:t>12</w:t>
      </w:r>
      <w:r>
        <w:rPr>
          <w:rFonts w:hint="eastAsia" w:cs="Times New Roman"/>
          <w:szCs w:val="24"/>
          <w:lang w:bidi="ar"/>
        </w:rPr>
        <w:t>种，具体见下表。</w:t>
      </w:r>
    </w:p>
    <w:p w14:paraId="433BB123">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23</w:t>
      </w:r>
      <w:r>
        <w:rPr>
          <w:rFonts w:cs="Times New Roman"/>
        </w:rPr>
        <w:t xml:space="preserve"> </w:t>
      </w:r>
      <w:r>
        <w:rPr>
          <w:rFonts w:hint="eastAsia" w:cs="Times New Roman"/>
        </w:rPr>
        <w:t>外来入侵植物名录</w:t>
      </w:r>
    </w:p>
    <w:p w14:paraId="6407657A">
      <w:pPr>
        <w:kinsoku w:val="0"/>
        <w:overflowPunct w:val="0"/>
        <w:spacing w:before="5" w:line="20" w:lineRule="exact"/>
        <w:ind w:firstLine="40"/>
        <w:rPr>
          <w:sz w:val="2"/>
          <w:szCs w:val="2"/>
        </w:rPr>
      </w:pPr>
    </w:p>
    <w:tbl>
      <w:tblPr>
        <w:tblStyle w:val="25"/>
        <w:tblW w:w="500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716"/>
        <w:gridCol w:w="2347"/>
        <w:gridCol w:w="1577"/>
        <w:gridCol w:w="686"/>
      </w:tblGrid>
      <w:tr w14:paraId="32E9DE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exact"/>
          <w:tblHeader/>
        </w:trPr>
        <w:tc>
          <w:tcPr>
            <w:tcW w:w="2231" w:type="pct"/>
            <w:tcBorders>
              <w:top w:val="single" w:color="000000" w:sz="4" w:space="0"/>
              <w:left w:val="single" w:color="000000" w:sz="4" w:space="0"/>
              <w:bottom w:val="single" w:color="000000" w:sz="4" w:space="0"/>
              <w:right w:val="single" w:color="000000" w:sz="4" w:space="0"/>
            </w:tcBorders>
            <w:vAlign w:val="center"/>
          </w:tcPr>
          <w:p w14:paraId="0ACCEA64">
            <w:pPr>
              <w:pStyle w:val="120"/>
              <w:widowControl/>
              <w:kinsoku w:val="0"/>
              <w:overflowPunct w:val="0"/>
              <w:spacing w:line="240" w:lineRule="auto"/>
              <w:ind w:firstLine="0" w:firstLineChars="0"/>
              <w:jc w:val="center"/>
              <w:rPr>
                <w:rFonts w:eastAsia="仿宋_GB2312"/>
                <w:b/>
                <w:bCs/>
              </w:rPr>
            </w:pPr>
            <w:r>
              <w:rPr>
                <w:rFonts w:hint="eastAsia" w:eastAsia="仿宋_GB2312" w:cs="仿宋_GB2312"/>
                <w:b/>
                <w:bCs/>
                <w:sz w:val="21"/>
                <w:szCs w:val="21"/>
              </w:rPr>
              <w:t>种名</w:t>
            </w:r>
          </w:p>
        </w:tc>
        <w:tc>
          <w:tcPr>
            <w:tcW w:w="1409" w:type="pct"/>
            <w:tcBorders>
              <w:top w:val="single" w:color="000000" w:sz="4" w:space="0"/>
              <w:left w:val="single" w:color="000000" w:sz="4" w:space="0"/>
              <w:bottom w:val="single" w:color="000000" w:sz="4" w:space="0"/>
              <w:right w:val="single" w:color="000000" w:sz="4" w:space="0"/>
            </w:tcBorders>
            <w:vAlign w:val="center"/>
          </w:tcPr>
          <w:p w14:paraId="7248B579">
            <w:pPr>
              <w:pStyle w:val="120"/>
              <w:widowControl/>
              <w:kinsoku w:val="0"/>
              <w:overflowPunct w:val="0"/>
              <w:spacing w:line="240" w:lineRule="auto"/>
              <w:ind w:firstLine="0" w:firstLineChars="0"/>
              <w:jc w:val="center"/>
              <w:rPr>
                <w:rFonts w:eastAsia="仿宋_GB2312"/>
                <w:b/>
                <w:bCs/>
              </w:rPr>
            </w:pPr>
            <w:r>
              <w:rPr>
                <w:rFonts w:hint="eastAsia" w:eastAsia="仿宋_GB2312" w:cs="仿宋_GB2312"/>
                <w:b/>
                <w:bCs/>
                <w:sz w:val="21"/>
                <w:szCs w:val="21"/>
              </w:rPr>
              <w:t>科名</w:t>
            </w:r>
          </w:p>
        </w:tc>
        <w:tc>
          <w:tcPr>
            <w:tcW w:w="947" w:type="pct"/>
            <w:tcBorders>
              <w:top w:val="single" w:color="000000" w:sz="4" w:space="0"/>
              <w:left w:val="single" w:color="000000" w:sz="4" w:space="0"/>
              <w:bottom w:val="single" w:color="000000" w:sz="4" w:space="0"/>
              <w:right w:val="single" w:color="000000" w:sz="4" w:space="0"/>
            </w:tcBorders>
            <w:vAlign w:val="center"/>
          </w:tcPr>
          <w:p w14:paraId="6A66D72B">
            <w:pPr>
              <w:pStyle w:val="120"/>
              <w:widowControl/>
              <w:kinsoku w:val="0"/>
              <w:overflowPunct w:val="0"/>
              <w:spacing w:line="240" w:lineRule="auto"/>
              <w:ind w:firstLine="0" w:firstLineChars="0"/>
              <w:jc w:val="center"/>
              <w:rPr>
                <w:rFonts w:eastAsia="仿宋_GB2312"/>
                <w:b/>
                <w:bCs/>
              </w:rPr>
            </w:pPr>
            <w:r>
              <w:rPr>
                <w:rFonts w:hint="eastAsia" w:eastAsia="仿宋_GB2312" w:cs="仿宋_GB2312"/>
                <w:b/>
                <w:bCs/>
                <w:sz w:val="21"/>
                <w:szCs w:val="21"/>
              </w:rPr>
              <w:t>生活型</w:t>
            </w:r>
          </w:p>
        </w:tc>
        <w:tc>
          <w:tcPr>
            <w:tcW w:w="412" w:type="pct"/>
            <w:tcBorders>
              <w:top w:val="single" w:color="000000" w:sz="4" w:space="0"/>
              <w:left w:val="single" w:color="000000" w:sz="4" w:space="0"/>
              <w:bottom w:val="single" w:color="000000" w:sz="4" w:space="0"/>
              <w:right w:val="single" w:color="000000" w:sz="4" w:space="0"/>
            </w:tcBorders>
            <w:vAlign w:val="center"/>
          </w:tcPr>
          <w:p w14:paraId="06598256">
            <w:pPr>
              <w:pStyle w:val="120"/>
              <w:widowControl/>
              <w:kinsoku w:val="0"/>
              <w:overflowPunct w:val="0"/>
              <w:spacing w:line="240" w:lineRule="auto"/>
              <w:ind w:firstLine="0" w:firstLineChars="0"/>
              <w:jc w:val="center"/>
              <w:rPr>
                <w:rFonts w:eastAsia="仿宋_GB2312"/>
                <w:b/>
                <w:bCs/>
              </w:rPr>
            </w:pPr>
            <w:r>
              <w:rPr>
                <w:rFonts w:hint="eastAsia" w:eastAsia="仿宋_GB2312" w:cs="仿宋_GB2312"/>
                <w:b/>
                <w:bCs/>
                <w:sz w:val="21"/>
                <w:szCs w:val="21"/>
              </w:rPr>
              <w:t>原产地</w:t>
            </w:r>
          </w:p>
        </w:tc>
      </w:tr>
      <w:tr w14:paraId="0B4323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 w:hRule="exact"/>
        </w:trPr>
        <w:tc>
          <w:tcPr>
            <w:tcW w:w="2231" w:type="pct"/>
            <w:tcBorders>
              <w:top w:val="single" w:color="000000" w:sz="4" w:space="0"/>
              <w:left w:val="single" w:color="000000" w:sz="4" w:space="0"/>
              <w:bottom w:val="single" w:color="000000" w:sz="4" w:space="0"/>
              <w:right w:val="single" w:color="000000" w:sz="4" w:space="0"/>
            </w:tcBorders>
            <w:vAlign w:val="center"/>
          </w:tcPr>
          <w:p w14:paraId="5106FCD9">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野老</w:t>
            </w:r>
            <w:r>
              <w:rPr>
                <w:rFonts w:hint="eastAsia" w:eastAsia="仿宋_GB2312" w:cs="仿宋_GB2312"/>
                <w:spacing w:val="-3"/>
                <w:sz w:val="21"/>
                <w:szCs w:val="21"/>
              </w:rPr>
              <w:t>鹳</w:t>
            </w:r>
            <w:r>
              <w:rPr>
                <w:rFonts w:hint="eastAsia" w:eastAsia="仿宋_GB2312" w:cs="仿宋_GB2312"/>
                <w:sz w:val="21"/>
                <w:szCs w:val="21"/>
              </w:rPr>
              <w:t>草</w:t>
            </w:r>
            <w:r>
              <w:rPr>
                <w:rFonts w:eastAsia="仿宋_GB2312"/>
                <w:spacing w:val="40"/>
                <w:sz w:val="21"/>
                <w:szCs w:val="21"/>
              </w:rPr>
              <w:t xml:space="preserve"> </w:t>
            </w:r>
            <w:r>
              <w:rPr>
                <w:rFonts w:eastAsia="仿宋_GB2312"/>
                <w:i/>
                <w:iCs/>
                <w:sz w:val="21"/>
                <w:szCs w:val="21"/>
              </w:rPr>
              <w:t>Ge</w:t>
            </w:r>
            <w:r>
              <w:rPr>
                <w:rFonts w:eastAsia="仿宋_GB2312"/>
                <w:i/>
                <w:iCs/>
                <w:spacing w:val="-1"/>
                <w:sz w:val="21"/>
                <w:szCs w:val="21"/>
              </w:rPr>
              <w:t>r</w:t>
            </w:r>
            <w:r>
              <w:rPr>
                <w:rFonts w:eastAsia="仿宋_GB2312"/>
                <w:i/>
                <w:iCs/>
                <w:spacing w:val="-3"/>
                <w:sz w:val="21"/>
                <w:szCs w:val="21"/>
              </w:rPr>
              <w:t>a</w:t>
            </w:r>
            <w:r>
              <w:rPr>
                <w:rFonts w:eastAsia="仿宋_GB2312"/>
                <w:i/>
                <w:iCs/>
                <w:sz w:val="21"/>
                <w:szCs w:val="21"/>
              </w:rPr>
              <w:t>n</w:t>
            </w:r>
            <w:r>
              <w:rPr>
                <w:rFonts w:eastAsia="仿宋_GB2312"/>
                <w:i/>
                <w:iCs/>
                <w:spacing w:val="-2"/>
                <w:sz w:val="21"/>
                <w:szCs w:val="21"/>
              </w:rPr>
              <w:t>i</w:t>
            </w:r>
            <w:r>
              <w:rPr>
                <w:rFonts w:eastAsia="仿宋_GB2312"/>
                <w:i/>
                <w:iCs/>
                <w:sz w:val="21"/>
                <w:szCs w:val="21"/>
              </w:rPr>
              <w:t>um</w:t>
            </w:r>
            <w:r>
              <w:rPr>
                <w:rFonts w:eastAsia="仿宋_GB2312"/>
                <w:i/>
                <w:iCs/>
                <w:spacing w:val="-2"/>
                <w:sz w:val="21"/>
                <w:szCs w:val="21"/>
              </w:rPr>
              <w:t xml:space="preserve"> </w:t>
            </w:r>
            <w:r>
              <w:rPr>
                <w:rFonts w:eastAsia="仿宋_GB2312"/>
                <w:i/>
                <w:iCs/>
                <w:sz w:val="21"/>
                <w:szCs w:val="21"/>
              </w:rPr>
              <w:t>ca</w:t>
            </w:r>
            <w:r>
              <w:rPr>
                <w:rFonts w:eastAsia="仿宋_GB2312"/>
                <w:i/>
                <w:iCs/>
                <w:spacing w:val="-1"/>
                <w:sz w:val="21"/>
                <w:szCs w:val="21"/>
              </w:rPr>
              <w:t>r</w:t>
            </w:r>
            <w:r>
              <w:rPr>
                <w:rFonts w:eastAsia="仿宋_GB2312"/>
                <w:i/>
                <w:iCs/>
                <w:sz w:val="21"/>
                <w:szCs w:val="21"/>
              </w:rPr>
              <w:t>o</w:t>
            </w:r>
            <w:r>
              <w:rPr>
                <w:rFonts w:eastAsia="仿宋_GB2312"/>
                <w:i/>
                <w:iCs/>
                <w:spacing w:val="-2"/>
                <w:sz w:val="21"/>
                <w:szCs w:val="21"/>
              </w:rPr>
              <w:t>li</w:t>
            </w:r>
            <w:r>
              <w:rPr>
                <w:rFonts w:eastAsia="仿宋_GB2312"/>
                <w:i/>
                <w:iCs/>
                <w:spacing w:val="-3"/>
                <w:sz w:val="21"/>
                <w:szCs w:val="21"/>
              </w:rPr>
              <w:t>n</w:t>
            </w:r>
            <w:r>
              <w:rPr>
                <w:rFonts w:eastAsia="仿宋_GB2312"/>
                <w:i/>
                <w:iCs/>
                <w:spacing w:val="-2"/>
                <w:sz w:val="21"/>
                <w:szCs w:val="21"/>
              </w:rPr>
              <w:t>i</w:t>
            </w:r>
            <w:r>
              <w:rPr>
                <w:rFonts w:eastAsia="仿宋_GB2312"/>
                <w:i/>
                <w:iCs/>
                <w:sz w:val="21"/>
                <w:szCs w:val="21"/>
              </w:rPr>
              <w:t>anum</w:t>
            </w:r>
          </w:p>
        </w:tc>
        <w:tc>
          <w:tcPr>
            <w:tcW w:w="1409" w:type="pct"/>
            <w:tcBorders>
              <w:top w:val="single" w:color="000000" w:sz="4" w:space="0"/>
              <w:left w:val="single" w:color="000000" w:sz="4" w:space="0"/>
              <w:bottom w:val="single" w:color="000000" w:sz="4" w:space="0"/>
              <w:right w:val="single" w:color="000000" w:sz="4" w:space="0"/>
            </w:tcBorders>
            <w:vAlign w:val="center"/>
          </w:tcPr>
          <w:p w14:paraId="141EF756">
            <w:pPr>
              <w:pStyle w:val="120"/>
              <w:widowControl/>
              <w:kinsoku w:val="0"/>
              <w:overflowPunct w:val="0"/>
              <w:spacing w:line="240" w:lineRule="auto"/>
              <w:ind w:firstLine="0" w:firstLineChars="0"/>
              <w:jc w:val="center"/>
              <w:rPr>
                <w:rFonts w:eastAsia="仿宋_GB2312"/>
              </w:rPr>
            </w:pPr>
            <w:r>
              <w:rPr>
                <w:rFonts w:hint="eastAsia" w:ascii="仿宋" w:hAnsi="仿宋" w:eastAsia="仿宋" w:cs="仿宋"/>
                <w:sz w:val="21"/>
                <w:szCs w:val="21"/>
              </w:rPr>
              <w:t>牻</w:t>
            </w:r>
            <w:r>
              <w:rPr>
                <w:rFonts w:hint="eastAsia" w:eastAsia="仿宋_GB2312" w:cs="仿宋_GB2312"/>
                <w:sz w:val="21"/>
                <w:szCs w:val="21"/>
              </w:rPr>
              <w:t>牛</w:t>
            </w:r>
            <w:r>
              <w:rPr>
                <w:rFonts w:hint="eastAsia" w:eastAsia="仿宋_GB2312" w:cs="仿宋_GB2312"/>
                <w:spacing w:val="-3"/>
                <w:sz w:val="21"/>
                <w:szCs w:val="21"/>
              </w:rPr>
              <w:t>儿苗</w:t>
            </w:r>
            <w:r>
              <w:rPr>
                <w:rFonts w:hint="eastAsia" w:eastAsia="仿宋_GB2312" w:cs="仿宋_GB2312"/>
                <w:sz w:val="21"/>
                <w:szCs w:val="21"/>
              </w:rPr>
              <w:t>科</w:t>
            </w:r>
            <w:r>
              <w:rPr>
                <w:rFonts w:eastAsia="仿宋_GB2312"/>
                <w:spacing w:val="-10"/>
                <w:sz w:val="21"/>
                <w:szCs w:val="21"/>
              </w:rPr>
              <w:t xml:space="preserve"> </w:t>
            </w:r>
            <w:r>
              <w:rPr>
                <w:rFonts w:eastAsia="仿宋_GB2312"/>
                <w:spacing w:val="-2"/>
                <w:sz w:val="21"/>
                <w:szCs w:val="21"/>
              </w:rPr>
              <w:t>G</w:t>
            </w:r>
            <w:r>
              <w:rPr>
                <w:rFonts w:eastAsia="仿宋_GB2312"/>
                <w:sz w:val="21"/>
                <w:szCs w:val="21"/>
              </w:rPr>
              <w:t>e</w:t>
            </w:r>
            <w:r>
              <w:rPr>
                <w:rFonts w:eastAsia="仿宋_GB2312"/>
                <w:spacing w:val="-1"/>
                <w:sz w:val="21"/>
                <w:szCs w:val="21"/>
              </w:rPr>
              <w:t>r</w:t>
            </w:r>
            <w:r>
              <w:rPr>
                <w:rFonts w:eastAsia="仿宋_GB2312"/>
                <w:sz w:val="21"/>
                <w:szCs w:val="21"/>
              </w:rPr>
              <w:t>an</w:t>
            </w:r>
            <w:r>
              <w:rPr>
                <w:rFonts w:eastAsia="仿宋_GB2312"/>
                <w:spacing w:val="-2"/>
                <w:sz w:val="21"/>
                <w:szCs w:val="21"/>
              </w:rPr>
              <w:t>i</w:t>
            </w:r>
            <w:r>
              <w:rPr>
                <w:rFonts w:eastAsia="仿宋_GB2312"/>
                <w:sz w:val="21"/>
                <w:szCs w:val="21"/>
              </w:rPr>
              <w:t>ace</w:t>
            </w:r>
            <w:r>
              <w:rPr>
                <w:rFonts w:eastAsia="仿宋_GB2312"/>
                <w:spacing w:val="-1"/>
                <w:sz w:val="21"/>
                <w:szCs w:val="21"/>
              </w:rPr>
              <w:t>a</w:t>
            </w:r>
            <w:r>
              <w:rPr>
                <w:rFonts w:eastAsia="仿宋_GB2312"/>
                <w:sz w:val="21"/>
                <w:szCs w:val="21"/>
              </w:rPr>
              <w:t>e</w:t>
            </w:r>
          </w:p>
        </w:tc>
        <w:tc>
          <w:tcPr>
            <w:tcW w:w="947" w:type="pct"/>
            <w:tcBorders>
              <w:top w:val="single" w:color="000000" w:sz="4" w:space="0"/>
              <w:left w:val="single" w:color="000000" w:sz="4" w:space="0"/>
              <w:bottom w:val="single" w:color="000000" w:sz="4" w:space="0"/>
              <w:right w:val="single" w:color="000000" w:sz="4" w:space="0"/>
            </w:tcBorders>
            <w:vAlign w:val="center"/>
          </w:tcPr>
          <w:p w14:paraId="0303644E">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一二</w:t>
            </w:r>
            <w:r>
              <w:rPr>
                <w:rFonts w:hint="eastAsia" w:eastAsia="仿宋_GB2312" w:cs="仿宋_GB2312"/>
                <w:spacing w:val="-3"/>
                <w:sz w:val="21"/>
                <w:szCs w:val="21"/>
              </w:rPr>
              <w:t>年</w:t>
            </w:r>
            <w:r>
              <w:rPr>
                <w:rFonts w:hint="eastAsia" w:eastAsia="仿宋_GB2312" w:cs="仿宋_GB2312"/>
                <w:sz w:val="21"/>
                <w:szCs w:val="21"/>
              </w:rPr>
              <w:t>生</w:t>
            </w:r>
            <w:r>
              <w:rPr>
                <w:rFonts w:hint="eastAsia" w:eastAsia="仿宋_GB2312" w:cs="仿宋_GB2312"/>
                <w:spacing w:val="-3"/>
                <w:sz w:val="21"/>
                <w:szCs w:val="21"/>
              </w:rPr>
              <w:t>草</w:t>
            </w:r>
            <w:r>
              <w:rPr>
                <w:rFonts w:hint="eastAsia" w:eastAsia="仿宋_GB2312" w:cs="仿宋_GB2312"/>
                <w:sz w:val="21"/>
                <w:szCs w:val="21"/>
              </w:rPr>
              <w:t>本</w:t>
            </w:r>
          </w:p>
        </w:tc>
        <w:tc>
          <w:tcPr>
            <w:tcW w:w="412" w:type="pct"/>
            <w:tcBorders>
              <w:top w:val="single" w:color="000000" w:sz="4" w:space="0"/>
              <w:left w:val="single" w:color="000000" w:sz="4" w:space="0"/>
              <w:bottom w:val="single" w:color="000000" w:sz="4" w:space="0"/>
              <w:right w:val="single" w:color="000000" w:sz="4" w:space="0"/>
            </w:tcBorders>
            <w:vAlign w:val="center"/>
          </w:tcPr>
          <w:p w14:paraId="342BB172">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美洲</w:t>
            </w:r>
          </w:p>
        </w:tc>
      </w:tr>
      <w:tr w14:paraId="1D7F74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 w:hRule="exact"/>
        </w:trPr>
        <w:tc>
          <w:tcPr>
            <w:tcW w:w="2231" w:type="pct"/>
            <w:tcBorders>
              <w:top w:val="single" w:color="000000" w:sz="4" w:space="0"/>
              <w:left w:val="single" w:color="000000" w:sz="4" w:space="0"/>
              <w:bottom w:val="single" w:color="000000" w:sz="4" w:space="0"/>
              <w:right w:val="single" w:color="000000" w:sz="4" w:space="0"/>
            </w:tcBorders>
            <w:vAlign w:val="center"/>
          </w:tcPr>
          <w:p w14:paraId="29AB5D7C">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美洲</w:t>
            </w:r>
            <w:r>
              <w:rPr>
                <w:rFonts w:hint="eastAsia" w:eastAsia="仿宋_GB2312" w:cs="仿宋_GB2312"/>
                <w:spacing w:val="-3"/>
                <w:sz w:val="21"/>
                <w:szCs w:val="21"/>
              </w:rPr>
              <w:t>商</w:t>
            </w:r>
            <w:r>
              <w:rPr>
                <w:rFonts w:hint="eastAsia" w:eastAsia="仿宋_GB2312" w:cs="仿宋_GB2312"/>
                <w:sz w:val="21"/>
                <w:szCs w:val="21"/>
              </w:rPr>
              <w:t>陆</w:t>
            </w:r>
            <w:r>
              <w:rPr>
                <w:rFonts w:eastAsia="仿宋_GB2312"/>
                <w:spacing w:val="40"/>
                <w:sz w:val="21"/>
                <w:szCs w:val="21"/>
              </w:rPr>
              <w:t xml:space="preserve"> </w:t>
            </w:r>
            <w:r>
              <w:rPr>
                <w:rFonts w:eastAsia="仿宋_GB2312"/>
                <w:i/>
                <w:iCs/>
                <w:sz w:val="21"/>
                <w:szCs w:val="21"/>
              </w:rPr>
              <w:t>Phy</w:t>
            </w:r>
            <w:r>
              <w:rPr>
                <w:rFonts w:eastAsia="仿宋_GB2312"/>
                <w:i/>
                <w:iCs/>
                <w:spacing w:val="-1"/>
                <w:sz w:val="21"/>
                <w:szCs w:val="21"/>
              </w:rPr>
              <w:t>t</w:t>
            </w:r>
            <w:r>
              <w:rPr>
                <w:rFonts w:eastAsia="仿宋_GB2312"/>
                <w:i/>
                <w:iCs/>
                <w:sz w:val="21"/>
                <w:szCs w:val="21"/>
              </w:rPr>
              <w:t>o</w:t>
            </w:r>
            <w:r>
              <w:rPr>
                <w:rFonts w:eastAsia="仿宋_GB2312"/>
                <w:i/>
                <w:iCs/>
                <w:spacing w:val="-2"/>
                <w:sz w:val="21"/>
                <w:szCs w:val="21"/>
              </w:rPr>
              <w:t>l</w:t>
            </w:r>
            <w:r>
              <w:rPr>
                <w:rFonts w:eastAsia="仿宋_GB2312"/>
                <w:i/>
                <w:iCs/>
                <w:sz w:val="21"/>
                <w:szCs w:val="21"/>
              </w:rPr>
              <w:t>ac</w:t>
            </w:r>
            <w:r>
              <w:rPr>
                <w:rFonts w:eastAsia="仿宋_GB2312"/>
                <w:i/>
                <w:iCs/>
                <w:spacing w:val="-3"/>
                <w:sz w:val="21"/>
                <w:szCs w:val="21"/>
              </w:rPr>
              <w:t>c</w:t>
            </w:r>
            <w:r>
              <w:rPr>
                <w:rFonts w:eastAsia="仿宋_GB2312"/>
                <w:i/>
                <w:iCs/>
                <w:sz w:val="21"/>
                <w:szCs w:val="21"/>
              </w:rPr>
              <w:t xml:space="preserve">a </w:t>
            </w:r>
            <w:r>
              <w:rPr>
                <w:rFonts w:eastAsia="仿宋_GB2312"/>
                <w:i/>
                <w:iCs/>
                <w:spacing w:val="-3"/>
                <w:sz w:val="21"/>
                <w:szCs w:val="21"/>
              </w:rPr>
              <w:t>a</w:t>
            </w:r>
            <w:r>
              <w:rPr>
                <w:rFonts w:eastAsia="仿宋_GB2312"/>
                <w:i/>
                <w:iCs/>
                <w:sz w:val="21"/>
                <w:szCs w:val="21"/>
              </w:rPr>
              <w:t>me</w:t>
            </w:r>
            <w:r>
              <w:rPr>
                <w:rFonts w:eastAsia="仿宋_GB2312"/>
                <w:i/>
                <w:iCs/>
                <w:spacing w:val="-1"/>
                <w:sz w:val="21"/>
                <w:szCs w:val="21"/>
              </w:rPr>
              <w:t>r</w:t>
            </w:r>
            <w:r>
              <w:rPr>
                <w:rFonts w:eastAsia="仿宋_GB2312"/>
                <w:i/>
                <w:iCs/>
                <w:spacing w:val="-4"/>
                <w:sz w:val="21"/>
                <w:szCs w:val="21"/>
              </w:rPr>
              <w:t>i</w:t>
            </w:r>
            <w:r>
              <w:rPr>
                <w:rFonts w:eastAsia="仿宋_GB2312"/>
                <w:i/>
                <w:iCs/>
                <w:sz w:val="21"/>
                <w:szCs w:val="21"/>
              </w:rPr>
              <w:t>cana</w:t>
            </w:r>
          </w:p>
        </w:tc>
        <w:tc>
          <w:tcPr>
            <w:tcW w:w="1409" w:type="pct"/>
            <w:tcBorders>
              <w:top w:val="single" w:color="000000" w:sz="4" w:space="0"/>
              <w:left w:val="single" w:color="000000" w:sz="4" w:space="0"/>
              <w:bottom w:val="single" w:color="000000" w:sz="4" w:space="0"/>
              <w:right w:val="single" w:color="000000" w:sz="4" w:space="0"/>
            </w:tcBorders>
            <w:vAlign w:val="center"/>
          </w:tcPr>
          <w:p w14:paraId="2E2E29BA">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商</w:t>
            </w:r>
            <w:r>
              <w:rPr>
                <w:rFonts w:hint="eastAsia" w:eastAsia="仿宋_GB2312" w:cs="仿宋_GB2312"/>
                <w:spacing w:val="-3"/>
                <w:sz w:val="21"/>
                <w:szCs w:val="21"/>
              </w:rPr>
              <w:t>陆</w:t>
            </w:r>
            <w:r>
              <w:rPr>
                <w:rFonts w:hint="eastAsia" w:eastAsia="仿宋_GB2312" w:cs="仿宋_GB2312"/>
                <w:sz w:val="21"/>
                <w:szCs w:val="21"/>
              </w:rPr>
              <w:t>科</w:t>
            </w:r>
            <w:r>
              <w:rPr>
                <w:rFonts w:eastAsia="仿宋_GB2312"/>
                <w:spacing w:val="-12"/>
                <w:sz w:val="21"/>
                <w:szCs w:val="21"/>
              </w:rPr>
              <w:t xml:space="preserve"> </w:t>
            </w:r>
            <w:r>
              <w:rPr>
                <w:rFonts w:eastAsia="仿宋_GB2312"/>
                <w:spacing w:val="2"/>
                <w:sz w:val="21"/>
                <w:szCs w:val="21"/>
              </w:rPr>
              <w:t>P</w:t>
            </w:r>
            <w:r>
              <w:rPr>
                <w:rFonts w:eastAsia="仿宋_GB2312"/>
                <w:sz w:val="21"/>
                <w:szCs w:val="21"/>
              </w:rPr>
              <w:t>h</w:t>
            </w:r>
            <w:r>
              <w:rPr>
                <w:rFonts w:eastAsia="仿宋_GB2312"/>
                <w:spacing w:val="-5"/>
                <w:sz w:val="21"/>
                <w:szCs w:val="21"/>
              </w:rPr>
              <w:t>y</w:t>
            </w:r>
            <w:r>
              <w:rPr>
                <w:rFonts w:eastAsia="仿宋_GB2312"/>
                <w:spacing w:val="-2"/>
                <w:sz w:val="21"/>
                <w:szCs w:val="21"/>
              </w:rPr>
              <w:t>t</w:t>
            </w:r>
            <w:r>
              <w:rPr>
                <w:rFonts w:eastAsia="仿宋_GB2312"/>
                <w:sz w:val="21"/>
                <w:szCs w:val="21"/>
              </w:rPr>
              <w:t>o</w:t>
            </w:r>
            <w:r>
              <w:rPr>
                <w:rFonts w:eastAsia="仿宋_GB2312"/>
                <w:spacing w:val="-2"/>
                <w:sz w:val="21"/>
                <w:szCs w:val="21"/>
              </w:rPr>
              <w:t>l</w:t>
            </w:r>
            <w:r>
              <w:rPr>
                <w:rFonts w:eastAsia="仿宋_GB2312"/>
                <w:sz w:val="21"/>
                <w:szCs w:val="21"/>
              </w:rPr>
              <w:t>acc</w:t>
            </w:r>
            <w:r>
              <w:rPr>
                <w:rFonts w:eastAsia="仿宋_GB2312"/>
                <w:spacing w:val="-1"/>
                <w:sz w:val="21"/>
                <w:szCs w:val="21"/>
              </w:rPr>
              <w:t>a</w:t>
            </w:r>
            <w:r>
              <w:rPr>
                <w:rFonts w:eastAsia="仿宋_GB2312"/>
                <w:sz w:val="21"/>
                <w:szCs w:val="21"/>
              </w:rPr>
              <w:t>ceae</w:t>
            </w:r>
          </w:p>
        </w:tc>
        <w:tc>
          <w:tcPr>
            <w:tcW w:w="947" w:type="pct"/>
            <w:tcBorders>
              <w:top w:val="single" w:color="000000" w:sz="4" w:space="0"/>
              <w:left w:val="single" w:color="000000" w:sz="4" w:space="0"/>
              <w:bottom w:val="single" w:color="000000" w:sz="4" w:space="0"/>
              <w:right w:val="single" w:color="000000" w:sz="4" w:space="0"/>
            </w:tcBorders>
            <w:vAlign w:val="center"/>
          </w:tcPr>
          <w:p w14:paraId="3C038994">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一年</w:t>
            </w:r>
            <w:r>
              <w:rPr>
                <w:rFonts w:hint="eastAsia" w:eastAsia="仿宋_GB2312" w:cs="仿宋_GB2312"/>
                <w:spacing w:val="-3"/>
                <w:sz w:val="21"/>
                <w:szCs w:val="21"/>
              </w:rPr>
              <w:t>生</w:t>
            </w:r>
            <w:r>
              <w:rPr>
                <w:rFonts w:hint="eastAsia" w:eastAsia="仿宋_GB2312" w:cs="仿宋_GB2312"/>
                <w:sz w:val="21"/>
                <w:szCs w:val="21"/>
              </w:rPr>
              <w:t>草本</w:t>
            </w:r>
          </w:p>
        </w:tc>
        <w:tc>
          <w:tcPr>
            <w:tcW w:w="412" w:type="pct"/>
            <w:tcBorders>
              <w:top w:val="single" w:color="000000" w:sz="4" w:space="0"/>
              <w:left w:val="single" w:color="000000" w:sz="4" w:space="0"/>
              <w:bottom w:val="single" w:color="000000" w:sz="4" w:space="0"/>
              <w:right w:val="single" w:color="000000" w:sz="4" w:space="0"/>
            </w:tcBorders>
            <w:vAlign w:val="center"/>
          </w:tcPr>
          <w:p w14:paraId="6EC1D7C4">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北美洲</w:t>
            </w:r>
          </w:p>
        </w:tc>
      </w:tr>
      <w:tr w14:paraId="6D39A1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 w:hRule="exact"/>
        </w:trPr>
        <w:tc>
          <w:tcPr>
            <w:tcW w:w="2231" w:type="pct"/>
            <w:tcBorders>
              <w:top w:val="single" w:color="000000" w:sz="4" w:space="0"/>
              <w:left w:val="single" w:color="000000" w:sz="4" w:space="0"/>
              <w:bottom w:val="single" w:color="000000" w:sz="4" w:space="0"/>
              <w:right w:val="single" w:color="000000" w:sz="4" w:space="0"/>
            </w:tcBorders>
            <w:vAlign w:val="center"/>
          </w:tcPr>
          <w:p w14:paraId="3DAD435B">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反枝苋</w:t>
            </w:r>
            <w:r>
              <w:rPr>
                <w:rFonts w:eastAsia="仿宋_GB2312"/>
                <w:spacing w:val="40"/>
                <w:sz w:val="21"/>
                <w:szCs w:val="21"/>
              </w:rPr>
              <w:t xml:space="preserve"> </w:t>
            </w:r>
            <w:r>
              <w:rPr>
                <w:rFonts w:eastAsia="仿宋_GB2312"/>
                <w:i/>
                <w:iCs/>
                <w:spacing w:val="-2"/>
                <w:sz w:val="21"/>
                <w:szCs w:val="21"/>
              </w:rPr>
              <w:t>A</w:t>
            </w:r>
            <w:r>
              <w:rPr>
                <w:rFonts w:eastAsia="仿宋_GB2312"/>
                <w:i/>
                <w:iCs/>
                <w:sz w:val="21"/>
                <w:szCs w:val="21"/>
              </w:rPr>
              <w:t>ma</w:t>
            </w:r>
            <w:r>
              <w:rPr>
                <w:rFonts w:eastAsia="仿宋_GB2312"/>
                <w:i/>
                <w:iCs/>
                <w:spacing w:val="-3"/>
                <w:sz w:val="21"/>
                <w:szCs w:val="21"/>
              </w:rPr>
              <w:t>r</w:t>
            </w:r>
            <w:r>
              <w:rPr>
                <w:rFonts w:eastAsia="仿宋_GB2312"/>
                <w:i/>
                <w:iCs/>
                <w:sz w:val="21"/>
                <w:szCs w:val="21"/>
              </w:rPr>
              <w:t>an</w:t>
            </w:r>
            <w:r>
              <w:rPr>
                <w:rFonts w:eastAsia="仿宋_GB2312"/>
                <w:i/>
                <w:iCs/>
                <w:spacing w:val="-2"/>
                <w:sz w:val="21"/>
                <w:szCs w:val="21"/>
              </w:rPr>
              <w:t>t</w:t>
            </w:r>
            <w:r>
              <w:rPr>
                <w:rFonts w:eastAsia="仿宋_GB2312"/>
                <w:i/>
                <w:iCs/>
                <w:sz w:val="21"/>
                <w:szCs w:val="21"/>
              </w:rPr>
              <w:t xml:space="preserve">hus </w:t>
            </w:r>
            <w:r>
              <w:rPr>
                <w:rFonts w:eastAsia="仿宋_GB2312"/>
                <w:i/>
                <w:iCs/>
                <w:spacing w:val="-2"/>
                <w:sz w:val="21"/>
                <w:szCs w:val="21"/>
              </w:rPr>
              <w:t>r</w:t>
            </w:r>
            <w:r>
              <w:rPr>
                <w:rFonts w:eastAsia="仿宋_GB2312"/>
                <w:i/>
                <w:iCs/>
                <w:sz w:val="21"/>
                <w:szCs w:val="21"/>
              </w:rPr>
              <w:t>e</w:t>
            </w:r>
            <w:r>
              <w:rPr>
                <w:rFonts w:eastAsia="仿宋_GB2312"/>
                <w:i/>
                <w:iCs/>
                <w:spacing w:val="-2"/>
                <w:sz w:val="21"/>
                <w:szCs w:val="21"/>
              </w:rPr>
              <w:t>t</w:t>
            </w:r>
            <w:r>
              <w:rPr>
                <w:rFonts w:eastAsia="仿宋_GB2312"/>
                <w:i/>
                <w:iCs/>
                <w:sz w:val="21"/>
                <w:szCs w:val="21"/>
              </w:rPr>
              <w:t>ro</w:t>
            </w:r>
            <w:r>
              <w:rPr>
                <w:rFonts w:eastAsia="仿宋_GB2312"/>
                <w:i/>
                <w:iCs/>
                <w:spacing w:val="-2"/>
                <w:sz w:val="21"/>
                <w:szCs w:val="21"/>
              </w:rPr>
              <w:t>fl</w:t>
            </w:r>
            <w:r>
              <w:rPr>
                <w:rFonts w:eastAsia="仿宋_GB2312"/>
                <w:i/>
                <w:iCs/>
                <w:spacing w:val="-3"/>
                <w:sz w:val="21"/>
                <w:szCs w:val="21"/>
              </w:rPr>
              <w:t>e</w:t>
            </w:r>
            <w:r>
              <w:rPr>
                <w:rFonts w:eastAsia="仿宋_GB2312"/>
                <w:i/>
                <w:iCs/>
                <w:sz w:val="21"/>
                <w:szCs w:val="21"/>
              </w:rPr>
              <w:t>xus</w:t>
            </w:r>
          </w:p>
        </w:tc>
        <w:tc>
          <w:tcPr>
            <w:tcW w:w="1409" w:type="pct"/>
            <w:tcBorders>
              <w:top w:val="single" w:color="000000" w:sz="4" w:space="0"/>
              <w:left w:val="single" w:color="000000" w:sz="4" w:space="0"/>
              <w:bottom w:val="single" w:color="000000" w:sz="4" w:space="0"/>
              <w:right w:val="single" w:color="000000" w:sz="4" w:space="0"/>
            </w:tcBorders>
            <w:vAlign w:val="center"/>
          </w:tcPr>
          <w:p w14:paraId="3AFDE0B6">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苋科</w:t>
            </w:r>
            <w:r>
              <w:rPr>
                <w:rFonts w:eastAsia="仿宋_GB2312"/>
                <w:spacing w:val="-12"/>
                <w:sz w:val="21"/>
                <w:szCs w:val="21"/>
              </w:rPr>
              <w:t xml:space="preserve"> </w:t>
            </w:r>
            <w:r>
              <w:rPr>
                <w:rFonts w:eastAsia="仿宋_GB2312"/>
                <w:sz w:val="21"/>
                <w:szCs w:val="21"/>
              </w:rPr>
              <w:t>A</w:t>
            </w:r>
            <w:r>
              <w:rPr>
                <w:rFonts w:eastAsia="仿宋_GB2312"/>
                <w:spacing w:val="-4"/>
                <w:sz w:val="21"/>
                <w:szCs w:val="21"/>
              </w:rPr>
              <w:t>m</w:t>
            </w:r>
            <w:r>
              <w:rPr>
                <w:rFonts w:eastAsia="仿宋_GB2312"/>
                <w:sz w:val="21"/>
                <w:szCs w:val="21"/>
              </w:rPr>
              <w:t>a</w:t>
            </w:r>
            <w:r>
              <w:rPr>
                <w:rFonts w:eastAsia="仿宋_GB2312"/>
                <w:spacing w:val="-1"/>
                <w:sz w:val="21"/>
                <w:szCs w:val="21"/>
              </w:rPr>
              <w:t>r</w:t>
            </w:r>
            <w:r>
              <w:rPr>
                <w:rFonts w:eastAsia="仿宋_GB2312"/>
                <w:sz w:val="21"/>
                <w:szCs w:val="21"/>
              </w:rPr>
              <w:t>an</w:t>
            </w:r>
            <w:r>
              <w:rPr>
                <w:rFonts w:eastAsia="仿宋_GB2312"/>
                <w:spacing w:val="-2"/>
                <w:sz w:val="21"/>
                <w:szCs w:val="21"/>
              </w:rPr>
              <w:t>t</w:t>
            </w:r>
            <w:r>
              <w:rPr>
                <w:rFonts w:eastAsia="仿宋_GB2312"/>
                <w:sz w:val="21"/>
                <w:szCs w:val="21"/>
              </w:rPr>
              <w:t>hace</w:t>
            </w:r>
            <w:r>
              <w:rPr>
                <w:rFonts w:eastAsia="仿宋_GB2312"/>
                <w:spacing w:val="-1"/>
                <w:sz w:val="21"/>
                <w:szCs w:val="21"/>
              </w:rPr>
              <w:t>a</w:t>
            </w:r>
            <w:r>
              <w:rPr>
                <w:rFonts w:eastAsia="仿宋_GB2312"/>
                <w:sz w:val="21"/>
                <w:szCs w:val="21"/>
              </w:rPr>
              <w:t>e</w:t>
            </w:r>
          </w:p>
        </w:tc>
        <w:tc>
          <w:tcPr>
            <w:tcW w:w="947" w:type="pct"/>
            <w:tcBorders>
              <w:top w:val="single" w:color="000000" w:sz="4" w:space="0"/>
              <w:left w:val="single" w:color="000000" w:sz="4" w:space="0"/>
              <w:bottom w:val="single" w:color="000000" w:sz="4" w:space="0"/>
              <w:right w:val="single" w:color="000000" w:sz="4" w:space="0"/>
            </w:tcBorders>
            <w:vAlign w:val="center"/>
          </w:tcPr>
          <w:p w14:paraId="38A27A1D">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一年</w:t>
            </w:r>
            <w:r>
              <w:rPr>
                <w:rFonts w:hint="eastAsia" w:eastAsia="仿宋_GB2312" w:cs="仿宋_GB2312"/>
                <w:spacing w:val="-3"/>
                <w:sz w:val="21"/>
                <w:szCs w:val="21"/>
              </w:rPr>
              <w:t>生</w:t>
            </w:r>
            <w:r>
              <w:rPr>
                <w:rFonts w:hint="eastAsia" w:eastAsia="仿宋_GB2312" w:cs="仿宋_GB2312"/>
                <w:sz w:val="21"/>
                <w:szCs w:val="21"/>
              </w:rPr>
              <w:t>草本</w:t>
            </w:r>
          </w:p>
        </w:tc>
        <w:tc>
          <w:tcPr>
            <w:tcW w:w="412" w:type="pct"/>
            <w:tcBorders>
              <w:top w:val="single" w:color="000000" w:sz="4" w:space="0"/>
              <w:left w:val="single" w:color="000000" w:sz="4" w:space="0"/>
              <w:bottom w:val="single" w:color="000000" w:sz="4" w:space="0"/>
              <w:right w:val="single" w:color="000000" w:sz="4" w:space="0"/>
            </w:tcBorders>
            <w:vAlign w:val="center"/>
          </w:tcPr>
          <w:p w14:paraId="4C3375C3">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美洲</w:t>
            </w:r>
          </w:p>
        </w:tc>
      </w:tr>
      <w:tr w14:paraId="041337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 w:hRule="exact"/>
        </w:trPr>
        <w:tc>
          <w:tcPr>
            <w:tcW w:w="2231" w:type="pct"/>
            <w:tcBorders>
              <w:top w:val="single" w:color="000000" w:sz="4" w:space="0"/>
              <w:left w:val="single" w:color="000000" w:sz="4" w:space="0"/>
              <w:bottom w:val="single" w:color="000000" w:sz="4" w:space="0"/>
              <w:right w:val="single" w:color="000000" w:sz="4" w:space="0"/>
            </w:tcBorders>
            <w:vAlign w:val="center"/>
          </w:tcPr>
          <w:p w14:paraId="56FFB392">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喜旱</w:t>
            </w:r>
            <w:r>
              <w:rPr>
                <w:rFonts w:hint="eastAsia" w:eastAsia="仿宋_GB2312" w:cs="仿宋_GB2312"/>
                <w:spacing w:val="-3"/>
                <w:sz w:val="21"/>
                <w:szCs w:val="21"/>
              </w:rPr>
              <w:t>莲</w:t>
            </w:r>
            <w:r>
              <w:rPr>
                <w:rFonts w:hint="eastAsia" w:eastAsia="仿宋_GB2312" w:cs="仿宋_GB2312"/>
                <w:sz w:val="21"/>
                <w:szCs w:val="21"/>
              </w:rPr>
              <w:t>子草</w:t>
            </w:r>
            <w:r>
              <w:rPr>
                <w:rFonts w:eastAsia="仿宋_GB2312"/>
                <w:spacing w:val="-27"/>
                <w:sz w:val="21"/>
                <w:szCs w:val="21"/>
              </w:rPr>
              <w:t xml:space="preserve"> </w:t>
            </w:r>
            <w:r>
              <w:rPr>
                <w:rFonts w:eastAsia="仿宋_GB2312"/>
                <w:i/>
                <w:iCs/>
                <w:sz w:val="21"/>
                <w:szCs w:val="21"/>
              </w:rPr>
              <w:t>Al</w:t>
            </w:r>
            <w:r>
              <w:rPr>
                <w:rFonts w:eastAsia="仿宋_GB2312"/>
                <w:i/>
                <w:iCs/>
                <w:spacing w:val="-2"/>
                <w:sz w:val="21"/>
                <w:szCs w:val="21"/>
              </w:rPr>
              <w:t>t</w:t>
            </w:r>
            <w:r>
              <w:rPr>
                <w:rFonts w:eastAsia="仿宋_GB2312"/>
                <w:i/>
                <w:iCs/>
                <w:sz w:val="21"/>
                <w:szCs w:val="21"/>
              </w:rPr>
              <w:t>e</w:t>
            </w:r>
            <w:r>
              <w:rPr>
                <w:rFonts w:eastAsia="仿宋_GB2312"/>
                <w:i/>
                <w:iCs/>
                <w:spacing w:val="-1"/>
                <w:sz w:val="21"/>
                <w:szCs w:val="21"/>
              </w:rPr>
              <w:t>r</w:t>
            </w:r>
            <w:r>
              <w:rPr>
                <w:rFonts w:eastAsia="仿宋_GB2312"/>
                <w:i/>
                <w:iCs/>
                <w:sz w:val="21"/>
                <w:szCs w:val="21"/>
              </w:rPr>
              <w:t>nan</w:t>
            </w:r>
            <w:r>
              <w:rPr>
                <w:rFonts w:eastAsia="仿宋_GB2312"/>
                <w:i/>
                <w:iCs/>
                <w:spacing w:val="-2"/>
                <w:sz w:val="21"/>
                <w:szCs w:val="21"/>
              </w:rPr>
              <w:t>t</w:t>
            </w:r>
            <w:r>
              <w:rPr>
                <w:rFonts w:eastAsia="仿宋_GB2312"/>
                <w:i/>
                <w:iCs/>
                <w:sz w:val="21"/>
                <w:szCs w:val="21"/>
              </w:rPr>
              <w:t>he</w:t>
            </w:r>
            <w:r>
              <w:rPr>
                <w:rFonts w:eastAsia="仿宋_GB2312"/>
                <w:i/>
                <w:iCs/>
                <w:spacing w:val="-1"/>
                <w:sz w:val="21"/>
                <w:szCs w:val="21"/>
              </w:rPr>
              <w:t>r</w:t>
            </w:r>
            <w:r>
              <w:rPr>
                <w:rFonts w:eastAsia="仿宋_GB2312"/>
                <w:i/>
                <w:iCs/>
                <w:sz w:val="21"/>
                <w:szCs w:val="21"/>
              </w:rPr>
              <w:t>a</w:t>
            </w:r>
            <w:r>
              <w:rPr>
                <w:rFonts w:eastAsia="仿宋_GB2312"/>
                <w:i/>
                <w:iCs/>
                <w:spacing w:val="-3"/>
                <w:sz w:val="21"/>
                <w:szCs w:val="21"/>
              </w:rPr>
              <w:t xml:space="preserve"> p</w:t>
            </w:r>
            <w:r>
              <w:rPr>
                <w:rFonts w:eastAsia="仿宋_GB2312"/>
                <w:i/>
                <w:iCs/>
                <w:sz w:val="21"/>
                <w:szCs w:val="21"/>
              </w:rPr>
              <w:t>h</w:t>
            </w:r>
            <w:r>
              <w:rPr>
                <w:rFonts w:eastAsia="仿宋_GB2312"/>
                <w:i/>
                <w:iCs/>
                <w:spacing w:val="-2"/>
                <w:sz w:val="21"/>
                <w:szCs w:val="21"/>
              </w:rPr>
              <w:t>il</w:t>
            </w:r>
            <w:r>
              <w:rPr>
                <w:rFonts w:eastAsia="仿宋_GB2312"/>
                <w:i/>
                <w:iCs/>
                <w:sz w:val="21"/>
                <w:szCs w:val="21"/>
              </w:rPr>
              <w:t>oxe</w:t>
            </w:r>
            <w:r>
              <w:rPr>
                <w:rFonts w:eastAsia="仿宋_GB2312"/>
                <w:i/>
                <w:iCs/>
                <w:spacing w:val="-1"/>
                <w:sz w:val="21"/>
                <w:szCs w:val="21"/>
              </w:rPr>
              <w:t>r</w:t>
            </w:r>
            <w:r>
              <w:rPr>
                <w:rFonts w:eastAsia="仿宋_GB2312"/>
                <w:i/>
                <w:iCs/>
                <w:sz w:val="21"/>
                <w:szCs w:val="21"/>
              </w:rPr>
              <w:t>o</w:t>
            </w:r>
            <w:r>
              <w:rPr>
                <w:rFonts w:eastAsia="仿宋_GB2312"/>
                <w:i/>
                <w:iCs/>
                <w:spacing w:val="-2"/>
                <w:sz w:val="21"/>
                <w:szCs w:val="21"/>
              </w:rPr>
              <w:t>i</w:t>
            </w:r>
            <w:r>
              <w:rPr>
                <w:rFonts w:eastAsia="仿宋_GB2312"/>
                <w:i/>
                <w:iCs/>
                <w:sz w:val="21"/>
                <w:szCs w:val="21"/>
              </w:rPr>
              <w:t>des</w:t>
            </w:r>
          </w:p>
        </w:tc>
        <w:tc>
          <w:tcPr>
            <w:tcW w:w="1409" w:type="pct"/>
            <w:tcBorders>
              <w:top w:val="single" w:color="000000" w:sz="4" w:space="0"/>
              <w:left w:val="single" w:color="000000" w:sz="4" w:space="0"/>
              <w:bottom w:val="single" w:color="000000" w:sz="4" w:space="0"/>
              <w:right w:val="single" w:color="000000" w:sz="4" w:space="0"/>
            </w:tcBorders>
            <w:vAlign w:val="center"/>
          </w:tcPr>
          <w:p w14:paraId="2A98BA16">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苋科</w:t>
            </w:r>
            <w:r>
              <w:rPr>
                <w:rFonts w:eastAsia="仿宋_GB2312"/>
                <w:spacing w:val="-12"/>
                <w:sz w:val="21"/>
                <w:szCs w:val="21"/>
              </w:rPr>
              <w:t xml:space="preserve"> </w:t>
            </w:r>
            <w:r>
              <w:rPr>
                <w:rFonts w:eastAsia="仿宋_GB2312"/>
                <w:sz w:val="21"/>
                <w:szCs w:val="21"/>
              </w:rPr>
              <w:t>A</w:t>
            </w:r>
            <w:r>
              <w:rPr>
                <w:rFonts w:eastAsia="仿宋_GB2312"/>
                <w:spacing w:val="-4"/>
                <w:sz w:val="21"/>
                <w:szCs w:val="21"/>
              </w:rPr>
              <w:t>m</w:t>
            </w:r>
            <w:r>
              <w:rPr>
                <w:rFonts w:eastAsia="仿宋_GB2312"/>
                <w:sz w:val="21"/>
                <w:szCs w:val="21"/>
              </w:rPr>
              <w:t>a</w:t>
            </w:r>
            <w:r>
              <w:rPr>
                <w:rFonts w:eastAsia="仿宋_GB2312"/>
                <w:spacing w:val="-1"/>
                <w:sz w:val="21"/>
                <w:szCs w:val="21"/>
              </w:rPr>
              <w:t>r</w:t>
            </w:r>
            <w:r>
              <w:rPr>
                <w:rFonts w:eastAsia="仿宋_GB2312"/>
                <w:sz w:val="21"/>
                <w:szCs w:val="21"/>
              </w:rPr>
              <w:t>an</w:t>
            </w:r>
            <w:r>
              <w:rPr>
                <w:rFonts w:eastAsia="仿宋_GB2312"/>
                <w:spacing w:val="-2"/>
                <w:sz w:val="21"/>
                <w:szCs w:val="21"/>
              </w:rPr>
              <w:t>t</w:t>
            </w:r>
            <w:r>
              <w:rPr>
                <w:rFonts w:eastAsia="仿宋_GB2312"/>
                <w:sz w:val="21"/>
                <w:szCs w:val="21"/>
              </w:rPr>
              <w:t>hace</w:t>
            </w:r>
            <w:r>
              <w:rPr>
                <w:rFonts w:eastAsia="仿宋_GB2312"/>
                <w:spacing w:val="-1"/>
                <w:sz w:val="21"/>
                <w:szCs w:val="21"/>
              </w:rPr>
              <w:t>a</w:t>
            </w:r>
            <w:r>
              <w:rPr>
                <w:rFonts w:eastAsia="仿宋_GB2312"/>
                <w:sz w:val="21"/>
                <w:szCs w:val="21"/>
              </w:rPr>
              <w:t>e</w:t>
            </w:r>
          </w:p>
        </w:tc>
        <w:tc>
          <w:tcPr>
            <w:tcW w:w="947" w:type="pct"/>
            <w:tcBorders>
              <w:top w:val="single" w:color="000000" w:sz="4" w:space="0"/>
              <w:left w:val="single" w:color="000000" w:sz="4" w:space="0"/>
              <w:bottom w:val="single" w:color="000000" w:sz="4" w:space="0"/>
              <w:right w:val="single" w:color="000000" w:sz="4" w:space="0"/>
            </w:tcBorders>
            <w:vAlign w:val="center"/>
          </w:tcPr>
          <w:p w14:paraId="4027B3DC">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多年</w:t>
            </w:r>
            <w:r>
              <w:rPr>
                <w:rFonts w:hint="eastAsia" w:eastAsia="仿宋_GB2312" w:cs="仿宋_GB2312"/>
                <w:spacing w:val="-3"/>
                <w:sz w:val="21"/>
                <w:szCs w:val="21"/>
              </w:rPr>
              <w:t>生</w:t>
            </w:r>
            <w:r>
              <w:rPr>
                <w:rFonts w:hint="eastAsia" w:eastAsia="仿宋_GB2312" w:cs="仿宋_GB2312"/>
                <w:sz w:val="21"/>
                <w:szCs w:val="21"/>
              </w:rPr>
              <w:t>宿</w:t>
            </w:r>
            <w:r>
              <w:rPr>
                <w:rFonts w:hint="eastAsia" w:eastAsia="仿宋_GB2312" w:cs="仿宋_GB2312"/>
                <w:spacing w:val="-3"/>
                <w:sz w:val="21"/>
                <w:szCs w:val="21"/>
              </w:rPr>
              <w:t>根</w:t>
            </w:r>
            <w:r>
              <w:rPr>
                <w:rFonts w:hint="eastAsia" w:eastAsia="仿宋_GB2312" w:cs="仿宋_GB2312"/>
                <w:sz w:val="21"/>
                <w:szCs w:val="21"/>
              </w:rPr>
              <w:t>草本</w:t>
            </w:r>
          </w:p>
        </w:tc>
        <w:tc>
          <w:tcPr>
            <w:tcW w:w="412" w:type="pct"/>
            <w:tcBorders>
              <w:top w:val="single" w:color="000000" w:sz="4" w:space="0"/>
              <w:left w:val="single" w:color="000000" w:sz="4" w:space="0"/>
              <w:bottom w:val="single" w:color="000000" w:sz="4" w:space="0"/>
              <w:right w:val="single" w:color="000000" w:sz="4" w:space="0"/>
            </w:tcBorders>
            <w:vAlign w:val="center"/>
          </w:tcPr>
          <w:p w14:paraId="4E2BDEE8">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南美洲</w:t>
            </w:r>
          </w:p>
        </w:tc>
      </w:tr>
      <w:tr w14:paraId="38BDE3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 w:hRule="exact"/>
        </w:trPr>
        <w:tc>
          <w:tcPr>
            <w:tcW w:w="2231" w:type="pct"/>
            <w:tcBorders>
              <w:top w:val="single" w:color="000000" w:sz="4" w:space="0"/>
              <w:left w:val="single" w:color="000000" w:sz="4" w:space="0"/>
              <w:bottom w:val="single" w:color="000000" w:sz="4" w:space="0"/>
              <w:right w:val="single" w:color="000000" w:sz="4" w:space="0"/>
            </w:tcBorders>
            <w:vAlign w:val="center"/>
          </w:tcPr>
          <w:p w14:paraId="7054A003">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一年蓬</w:t>
            </w:r>
            <w:r>
              <w:rPr>
                <w:rFonts w:eastAsia="仿宋_GB2312"/>
                <w:spacing w:val="40"/>
                <w:sz w:val="21"/>
                <w:szCs w:val="21"/>
              </w:rPr>
              <w:t xml:space="preserve"> </w:t>
            </w:r>
            <w:r>
              <w:rPr>
                <w:rFonts w:eastAsia="仿宋_GB2312"/>
                <w:i/>
                <w:iCs/>
                <w:sz w:val="21"/>
                <w:szCs w:val="21"/>
              </w:rPr>
              <w:t>Er</w:t>
            </w:r>
            <w:r>
              <w:rPr>
                <w:rFonts w:eastAsia="仿宋_GB2312"/>
                <w:i/>
                <w:iCs/>
                <w:spacing w:val="-2"/>
                <w:sz w:val="21"/>
                <w:szCs w:val="21"/>
              </w:rPr>
              <w:t>i</w:t>
            </w:r>
            <w:r>
              <w:rPr>
                <w:rFonts w:eastAsia="仿宋_GB2312"/>
                <w:i/>
                <w:iCs/>
                <w:sz w:val="21"/>
                <w:szCs w:val="21"/>
              </w:rPr>
              <w:t>ge</w:t>
            </w:r>
            <w:r>
              <w:rPr>
                <w:rFonts w:eastAsia="仿宋_GB2312"/>
                <w:i/>
                <w:iCs/>
                <w:spacing w:val="-4"/>
                <w:sz w:val="21"/>
                <w:szCs w:val="21"/>
              </w:rPr>
              <w:t>r</w:t>
            </w:r>
            <w:r>
              <w:rPr>
                <w:rFonts w:eastAsia="仿宋_GB2312"/>
                <w:i/>
                <w:iCs/>
                <w:sz w:val="21"/>
                <w:szCs w:val="21"/>
              </w:rPr>
              <w:t>on a</w:t>
            </w:r>
            <w:r>
              <w:rPr>
                <w:rFonts w:eastAsia="仿宋_GB2312"/>
                <w:i/>
                <w:iCs/>
                <w:spacing w:val="-3"/>
                <w:sz w:val="21"/>
                <w:szCs w:val="21"/>
              </w:rPr>
              <w:t>n</w:t>
            </w:r>
            <w:r>
              <w:rPr>
                <w:rFonts w:eastAsia="仿宋_GB2312"/>
                <w:i/>
                <w:iCs/>
                <w:sz w:val="21"/>
                <w:szCs w:val="21"/>
              </w:rPr>
              <w:t>nuus</w:t>
            </w:r>
          </w:p>
        </w:tc>
        <w:tc>
          <w:tcPr>
            <w:tcW w:w="1409" w:type="pct"/>
            <w:tcBorders>
              <w:top w:val="single" w:color="000000" w:sz="4" w:space="0"/>
              <w:left w:val="single" w:color="000000" w:sz="4" w:space="0"/>
              <w:bottom w:val="single" w:color="000000" w:sz="4" w:space="0"/>
              <w:right w:val="single" w:color="000000" w:sz="4" w:space="0"/>
            </w:tcBorders>
            <w:vAlign w:val="center"/>
          </w:tcPr>
          <w:p w14:paraId="798B8008">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菊科</w:t>
            </w:r>
            <w:r>
              <w:rPr>
                <w:rFonts w:eastAsia="仿宋_GB2312"/>
                <w:spacing w:val="-12"/>
                <w:sz w:val="21"/>
                <w:szCs w:val="21"/>
              </w:rPr>
              <w:t xml:space="preserve"> </w:t>
            </w:r>
            <w:r>
              <w:rPr>
                <w:rFonts w:eastAsia="仿宋_GB2312"/>
                <w:sz w:val="21"/>
                <w:szCs w:val="21"/>
              </w:rPr>
              <w:t>As</w:t>
            </w:r>
            <w:r>
              <w:rPr>
                <w:rFonts w:eastAsia="仿宋_GB2312"/>
                <w:spacing w:val="-2"/>
                <w:sz w:val="21"/>
                <w:szCs w:val="21"/>
              </w:rPr>
              <w:t>t</w:t>
            </w:r>
            <w:r>
              <w:rPr>
                <w:rFonts w:eastAsia="仿宋_GB2312"/>
                <w:sz w:val="21"/>
                <w:szCs w:val="21"/>
              </w:rPr>
              <w:t>e</w:t>
            </w:r>
            <w:r>
              <w:rPr>
                <w:rFonts w:eastAsia="仿宋_GB2312"/>
                <w:spacing w:val="-1"/>
                <w:sz w:val="21"/>
                <w:szCs w:val="21"/>
              </w:rPr>
              <w:t>r</w:t>
            </w:r>
            <w:r>
              <w:rPr>
                <w:rFonts w:eastAsia="仿宋_GB2312"/>
                <w:sz w:val="21"/>
                <w:szCs w:val="21"/>
              </w:rPr>
              <w:t>ace</w:t>
            </w:r>
            <w:r>
              <w:rPr>
                <w:rFonts w:eastAsia="仿宋_GB2312"/>
                <w:spacing w:val="-1"/>
                <w:sz w:val="21"/>
                <w:szCs w:val="21"/>
              </w:rPr>
              <w:t>a</w:t>
            </w:r>
            <w:r>
              <w:rPr>
                <w:rFonts w:eastAsia="仿宋_GB2312"/>
                <w:sz w:val="21"/>
                <w:szCs w:val="21"/>
              </w:rPr>
              <w:t>e</w:t>
            </w:r>
          </w:p>
        </w:tc>
        <w:tc>
          <w:tcPr>
            <w:tcW w:w="947" w:type="pct"/>
            <w:tcBorders>
              <w:top w:val="single" w:color="000000" w:sz="4" w:space="0"/>
              <w:left w:val="single" w:color="000000" w:sz="4" w:space="0"/>
              <w:bottom w:val="single" w:color="000000" w:sz="4" w:space="0"/>
              <w:right w:val="single" w:color="000000" w:sz="4" w:space="0"/>
            </w:tcBorders>
            <w:vAlign w:val="center"/>
          </w:tcPr>
          <w:p w14:paraId="77BBB74D">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一二</w:t>
            </w:r>
            <w:r>
              <w:rPr>
                <w:rFonts w:hint="eastAsia" w:eastAsia="仿宋_GB2312" w:cs="仿宋_GB2312"/>
                <w:spacing w:val="-3"/>
                <w:sz w:val="21"/>
                <w:szCs w:val="21"/>
              </w:rPr>
              <w:t>年</w:t>
            </w:r>
            <w:r>
              <w:rPr>
                <w:rFonts w:hint="eastAsia" w:eastAsia="仿宋_GB2312" w:cs="仿宋_GB2312"/>
                <w:sz w:val="21"/>
                <w:szCs w:val="21"/>
              </w:rPr>
              <w:t>生</w:t>
            </w:r>
            <w:r>
              <w:rPr>
                <w:rFonts w:hint="eastAsia" w:eastAsia="仿宋_GB2312" w:cs="仿宋_GB2312"/>
                <w:spacing w:val="-3"/>
                <w:sz w:val="21"/>
                <w:szCs w:val="21"/>
              </w:rPr>
              <w:t>草</w:t>
            </w:r>
            <w:r>
              <w:rPr>
                <w:rFonts w:hint="eastAsia" w:eastAsia="仿宋_GB2312" w:cs="仿宋_GB2312"/>
                <w:sz w:val="21"/>
                <w:szCs w:val="21"/>
              </w:rPr>
              <w:t>本</w:t>
            </w:r>
          </w:p>
        </w:tc>
        <w:tc>
          <w:tcPr>
            <w:tcW w:w="412" w:type="pct"/>
            <w:tcBorders>
              <w:top w:val="single" w:color="000000" w:sz="4" w:space="0"/>
              <w:left w:val="single" w:color="000000" w:sz="4" w:space="0"/>
              <w:bottom w:val="single" w:color="000000" w:sz="4" w:space="0"/>
              <w:right w:val="single" w:color="000000" w:sz="4" w:space="0"/>
            </w:tcBorders>
            <w:vAlign w:val="center"/>
          </w:tcPr>
          <w:p w14:paraId="777403AC">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北美洲</w:t>
            </w:r>
          </w:p>
        </w:tc>
      </w:tr>
      <w:tr w14:paraId="582530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6" w:hRule="exact"/>
        </w:trPr>
        <w:tc>
          <w:tcPr>
            <w:tcW w:w="2231" w:type="pct"/>
            <w:tcBorders>
              <w:top w:val="single" w:color="000000" w:sz="4" w:space="0"/>
              <w:left w:val="single" w:color="000000" w:sz="4" w:space="0"/>
              <w:bottom w:val="single" w:color="000000" w:sz="4" w:space="0"/>
              <w:right w:val="single" w:color="000000" w:sz="4" w:space="0"/>
            </w:tcBorders>
            <w:vAlign w:val="center"/>
          </w:tcPr>
          <w:p w14:paraId="67D47056">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加拿</w:t>
            </w:r>
            <w:r>
              <w:rPr>
                <w:rFonts w:hint="eastAsia" w:eastAsia="仿宋_GB2312" w:cs="仿宋_GB2312"/>
                <w:spacing w:val="-3"/>
                <w:sz w:val="21"/>
                <w:szCs w:val="21"/>
              </w:rPr>
              <w:t>大</w:t>
            </w:r>
            <w:r>
              <w:rPr>
                <w:rFonts w:hint="eastAsia" w:eastAsia="仿宋_GB2312" w:cs="仿宋_GB2312"/>
                <w:sz w:val="21"/>
                <w:szCs w:val="21"/>
              </w:rPr>
              <w:t>一</w:t>
            </w:r>
            <w:r>
              <w:rPr>
                <w:rFonts w:hint="eastAsia" w:eastAsia="仿宋_GB2312" w:cs="仿宋_GB2312"/>
                <w:spacing w:val="-3"/>
                <w:sz w:val="21"/>
                <w:szCs w:val="21"/>
              </w:rPr>
              <w:t>枝黄</w:t>
            </w:r>
            <w:r>
              <w:rPr>
                <w:rFonts w:hint="eastAsia" w:eastAsia="仿宋_GB2312" w:cs="仿宋_GB2312"/>
                <w:sz w:val="21"/>
                <w:szCs w:val="21"/>
              </w:rPr>
              <w:t>花</w:t>
            </w:r>
            <w:r>
              <w:rPr>
                <w:rFonts w:eastAsia="仿宋_GB2312"/>
                <w:spacing w:val="-10"/>
                <w:sz w:val="21"/>
                <w:szCs w:val="21"/>
              </w:rPr>
              <w:t xml:space="preserve"> </w:t>
            </w:r>
            <w:r>
              <w:rPr>
                <w:rFonts w:eastAsia="仿宋_GB2312"/>
                <w:i/>
                <w:iCs/>
                <w:sz w:val="21"/>
                <w:szCs w:val="21"/>
              </w:rPr>
              <w:t>So</w:t>
            </w:r>
            <w:r>
              <w:rPr>
                <w:rFonts w:eastAsia="仿宋_GB2312"/>
                <w:i/>
                <w:iCs/>
                <w:spacing w:val="-2"/>
                <w:sz w:val="21"/>
                <w:szCs w:val="21"/>
              </w:rPr>
              <w:t>li</w:t>
            </w:r>
            <w:r>
              <w:rPr>
                <w:rFonts w:eastAsia="仿宋_GB2312"/>
                <w:i/>
                <w:iCs/>
                <w:sz w:val="21"/>
                <w:szCs w:val="21"/>
              </w:rPr>
              <w:t>dago</w:t>
            </w:r>
            <w:r>
              <w:rPr>
                <w:rFonts w:eastAsia="仿宋_GB2312"/>
                <w:i/>
                <w:iCs/>
                <w:spacing w:val="-3"/>
                <w:sz w:val="21"/>
                <w:szCs w:val="21"/>
              </w:rPr>
              <w:t xml:space="preserve"> c</w:t>
            </w:r>
            <w:r>
              <w:rPr>
                <w:rFonts w:eastAsia="仿宋_GB2312"/>
                <w:i/>
                <w:iCs/>
                <w:sz w:val="21"/>
                <w:szCs w:val="21"/>
              </w:rPr>
              <w:t>anaden</w:t>
            </w:r>
            <w:r>
              <w:rPr>
                <w:rFonts w:eastAsia="仿宋_GB2312"/>
                <w:i/>
                <w:iCs/>
                <w:spacing w:val="-1"/>
                <w:sz w:val="21"/>
                <w:szCs w:val="21"/>
              </w:rPr>
              <w:t>s</w:t>
            </w:r>
            <w:r>
              <w:rPr>
                <w:rFonts w:eastAsia="仿宋_GB2312"/>
                <w:i/>
                <w:iCs/>
                <w:spacing w:val="-2"/>
                <w:sz w:val="21"/>
                <w:szCs w:val="21"/>
              </w:rPr>
              <w:t>i</w:t>
            </w:r>
            <w:r>
              <w:rPr>
                <w:rFonts w:eastAsia="仿宋_GB2312"/>
                <w:i/>
                <w:iCs/>
                <w:sz w:val="21"/>
                <w:szCs w:val="21"/>
              </w:rPr>
              <w:t>s</w:t>
            </w:r>
          </w:p>
        </w:tc>
        <w:tc>
          <w:tcPr>
            <w:tcW w:w="1409" w:type="pct"/>
            <w:tcBorders>
              <w:top w:val="single" w:color="000000" w:sz="4" w:space="0"/>
              <w:left w:val="single" w:color="000000" w:sz="4" w:space="0"/>
              <w:bottom w:val="single" w:color="000000" w:sz="4" w:space="0"/>
              <w:right w:val="single" w:color="000000" w:sz="4" w:space="0"/>
            </w:tcBorders>
            <w:vAlign w:val="center"/>
          </w:tcPr>
          <w:p w14:paraId="5BE6832F">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菊科</w:t>
            </w:r>
            <w:r>
              <w:rPr>
                <w:rFonts w:eastAsia="仿宋_GB2312"/>
                <w:spacing w:val="-12"/>
                <w:sz w:val="21"/>
                <w:szCs w:val="21"/>
              </w:rPr>
              <w:t xml:space="preserve"> </w:t>
            </w:r>
            <w:r>
              <w:rPr>
                <w:rFonts w:eastAsia="仿宋_GB2312"/>
                <w:sz w:val="21"/>
                <w:szCs w:val="21"/>
              </w:rPr>
              <w:t>As</w:t>
            </w:r>
            <w:r>
              <w:rPr>
                <w:rFonts w:eastAsia="仿宋_GB2312"/>
                <w:spacing w:val="-2"/>
                <w:sz w:val="21"/>
                <w:szCs w:val="21"/>
              </w:rPr>
              <w:t>t</w:t>
            </w:r>
            <w:r>
              <w:rPr>
                <w:rFonts w:eastAsia="仿宋_GB2312"/>
                <w:sz w:val="21"/>
                <w:szCs w:val="21"/>
              </w:rPr>
              <w:t>e</w:t>
            </w:r>
            <w:r>
              <w:rPr>
                <w:rFonts w:eastAsia="仿宋_GB2312"/>
                <w:spacing w:val="-1"/>
                <w:sz w:val="21"/>
                <w:szCs w:val="21"/>
              </w:rPr>
              <w:t>r</w:t>
            </w:r>
            <w:r>
              <w:rPr>
                <w:rFonts w:eastAsia="仿宋_GB2312"/>
                <w:sz w:val="21"/>
                <w:szCs w:val="21"/>
              </w:rPr>
              <w:t>ace</w:t>
            </w:r>
            <w:r>
              <w:rPr>
                <w:rFonts w:eastAsia="仿宋_GB2312"/>
                <w:spacing w:val="-1"/>
                <w:sz w:val="21"/>
                <w:szCs w:val="21"/>
              </w:rPr>
              <w:t>a</w:t>
            </w:r>
            <w:r>
              <w:rPr>
                <w:rFonts w:eastAsia="仿宋_GB2312"/>
                <w:sz w:val="21"/>
                <w:szCs w:val="21"/>
              </w:rPr>
              <w:t>e</w:t>
            </w:r>
          </w:p>
        </w:tc>
        <w:tc>
          <w:tcPr>
            <w:tcW w:w="947" w:type="pct"/>
            <w:tcBorders>
              <w:top w:val="single" w:color="000000" w:sz="4" w:space="0"/>
              <w:left w:val="single" w:color="000000" w:sz="4" w:space="0"/>
              <w:bottom w:val="single" w:color="000000" w:sz="4" w:space="0"/>
              <w:right w:val="single" w:color="000000" w:sz="4" w:space="0"/>
            </w:tcBorders>
            <w:vAlign w:val="center"/>
          </w:tcPr>
          <w:p w14:paraId="35438A27">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多年</w:t>
            </w:r>
            <w:r>
              <w:rPr>
                <w:rFonts w:hint="eastAsia" w:eastAsia="仿宋_GB2312" w:cs="仿宋_GB2312"/>
                <w:spacing w:val="-3"/>
                <w:sz w:val="21"/>
                <w:szCs w:val="21"/>
              </w:rPr>
              <w:t>生</w:t>
            </w:r>
            <w:r>
              <w:rPr>
                <w:rFonts w:hint="eastAsia" w:eastAsia="仿宋_GB2312" w:cs="仿宋_GB2312"/>
                <w:sz w:val="21"/>
                <w:szCs w:val="21"/>
              </w:rPr>
              <w:t>草本</w:t>
            </w:r>
          </w:p>
        </w:tc>
        <w:tc>
          <w:tcPr>
            <w:tcW w:w="412" w:type="pct"/>
            <w:tcBorders>
              <w:top w:val="single" w:color="000000" w:sz="4" w:space="0"/>
              <w:left w:val="single" w:color="000000" w:sz="4" w:space="0"/>
              <w:bottom w:val="single" w:color="000000" w:sz="4" w:space="0"/>
              <w:right w:val="single" w:color="000000" w:sz="4" w:space="0"/>
            </w:tcBorders>
            <w:vAlign w:val="center"/>
          </w:tcPr>
          <w:p w14:paraId="7B17B91B">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北美洲</w:t>
            </w:r>
          </w:p>
        </w:tc>
      </w:tr>
      <w:tr w14:paraId="36F9BC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6" w:hRule="exact"/>
        </w:trPr>
        <w:tc>
          <w:tcPr>
            <w:tcW w:w="2231" w:type="pct"/>
            <w:tcBorders>
              <w:top w:val="single" w:color="000000" w:sz="4" w:space="0"/>
              <w:left w:val="single" w:color="000000" w:sz="4" w:space="0"/>
              <w:bottom w:val="single" w:color="000000" w:sz="4" w:space="0"/>
              <w:right w:val="single" w:color="000000" w:sz="4" w:space="0"/>
            </w:tcBorders>
            <w:vAlign w:val="center"/>
          </w:tcPr>
          <w:p w14:paraId="25CEFDC6">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小飞蓬</w:t>
            </w:r>
            <w:r>
              <w:rPr>
                <w:rFonts w:eastAsia="仿宋_GB2312"/>
                <w:spacing w:val="40"/>
                <w:sz w:val="21"/>
                <w:szCs w:val="21"/>
              </w:rPr>
              <w:t xml:space="preserve"> </w:t>
            </w:r>
            <w:r>
              <w:rPr>
                <w:rFonts w:eastAsia="仿宋_GB2312"/>
                <w:i/>
                <w:iCs/>
                <w:spacing w:val="-2"/>
                <w:sz w:val="21"/>
                <w:szCs w:val="21"/>
              </w:rPr>
              <w:t>C</w:t>
            </w:r>
            <w:r>
              <w:rPr>
                <w:rFonts w:eastAsia="仿宋_GB2312"/>
                <w:i/>
                <w:iCs/>
                <w:sz w:val="21"/>
                <w:szCs w:val="21"/>
              </w:rPr>
              <w:t>ony</w:t>
            </w:r>
            <w:r>
              <w:rPr>
                <w:rFonts w:eastAsia="仿宋_GB2312"/>
                <w:i/>
                <w:iCs/>
                <w:spacing w:val="-1"/>
                <w:sz w:val="21"/>
                <w:szCs w:val="21"/>
              </w:rPr>
              <w:t>z</w:t>
            </w:r>
            <w:r>
              <w:rPr>
                <w:rFonts w:eastAsia="仿宋_GB2312"/>
                <w:i/>
                <w:iCs/>
                <w:sz w:val="21"/>
                <w:szCs w:val="21"/>
              </w:rPr>
              <w:t xml:space="preserve">a </w:t>
            </w:r>
            <w:r>
              <w:rPr>
                <w:rFonts w:eastAsia="仿宋_GB2312"/>
                <w:i/>
                <w:iCs/>
                <w:spacing w:val="-3"/>
                <w:sz w:val="21"/>
                <w:szCs w:val="21"/>
              </w:rPr>
              <w:t>c</w:t>
            </w:r>
            <w:r>
              <w:rPr>
                <w:rFonts w:eastAsia="仿宋_GB2312"/>
                <w:i/>
                <w:iCs/>
                <w:sz w:val="21"/>
                <w:szCs w:val="21"/>
              </w:rPr>
              <w:t>ana</w:t>
            </w:r>
            <w:r>
              <w:rPr>
                <w:rFonts w:eastAsia="仿宋_GB2312"/>
                <w:i/>
                <w:iCs/>
                <w:spacing w:val="-3"/>
                <w:sz w:val="21"/>
                <w:szCs w:val="21"/>
              </w:rPr>
              <w:t>d</w:t>
            </w:r>
            <w:r>
              <w:rPr>
                <w:rFonts w:eastAsia="仿宋_GB2312"/>
                <w:i/>
                <w:iCs/>
                <w:sz w:val="21"/>
                <w:szCs w:val="21"/>
              </w:rPr>
              <w:t>en</w:t>
            </w:r>
            <w:r>
              <w:rPr>
                <w:rFonts w:eastAsia="仿宋_GB2312"/>
                <w:i/>
                <w:iCs/>
                <w:spacing w:val="-1"/>
                <w:sz w:val="21"/>
                <w:szCs w:val="21"/>
              </w:rPr>
              <w:t>s</w:t>
            </w:r>
            <w:r>
              <w:rPr>
                <w:rFonts w:eastAsia="仿宋_GB2312"/>
                <w:i/>
                <w:iCs/>
                <w:spacing w:val="-2"/>
                <w:sz w:val="21"/>
                <w:szCs w:val="21"/>
              </w:rPr>
              <w:t>i</w:t>
            </w:r>
            <w:r>
              <w:rPr>
                <w:rFonts w:eastAsia="仿宋_GB2312"/>
                <w:i/>
                <w:iCs/>
                <w:sz w:val="21"/>
                <w:szCs w:val="21"/>
              </w:rPr>
              <w:t>s</w:t>
            </w:r>
          </w:p>
        </w:tc>
        <w:tc>
          <w:tcPr>
            <w:tcW w:w="1409" w:type="pct"/>
            <w:tcBorders>
              <w:top w:val="single" w:color="000000" w:sz="4" w:space="0"/>
              <w:left w:val="single" w:color="000000" w:sz="4" w:space="0"/>
              <w:bottom w:val="single" w:color="000000" w:sz="4" w:space="0"/>
              <w:right w:val="single" w:color="000000" w:sz="4" w:space="0"/>
            </w:tcBorders>
            <w:vAlign w:val="center"/>
          </w:tcPr>
          <w:p w14:paraId="10EA56B8">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菊科</w:t>
            </w:r>
            <w:r>
              <w:rPr>
                <w:rFonts w:eastAsia="仿宋_GB2312"/>
                <w:spacing w:val="-12"/>
                <w:sz w:val="21"/>
                <w:szCs w:val="21"/>
              </w:rPr>
              <w:t xml:space="preserve"> </w:t>
            </w:r>
            <w:r>
              <w:rPr>
                <w:rFonts w:eastAsia="仿宋_GB2312"/>
                <w:sz w:val="21"/>
                <w:szCs w:val="21"/>
              </w:rPr>
              <w:t>As</w:t>
            </w:r>
            <w:r>
              <w:rPr>
                <w:rFonts w:eastAsia="仿宋_GB2312"/>
                <w:spacing w:val="-2"/>
                <w:sz w:val="21"/>
                <w:szCs w:val="21"/>
              </w:rPr>
              <w:t>t</w:t>
            </w:r>
            <w:r>
              <w:rPr>
                <w:rFonts w:eastAsia="仿宋_GB2312"/>
                <w:sz w:val="21"/>
                <w:szCs w:val="21"/>
              </w:rPr>
              <w:t>e</w:t>
            </w:r>
            <w:r>
              <w:rPr>
                <w:rFonts w:eastAsia="仿宋_GB2312"/>
                <w:spacing w:val="-1"/>
                <w:sz w:val="21"/>
                <w:szCs w:val="21"/>
              </w:rPr>
              <w:t>r</w:t>
            </w:r>
            <w:r>
              <w:rPr>
                <w:rFonts w:eastAsia="仿宋_GB2312"/>
                <w:sz w:val="21"/>
                <w:szCs w:val="21"/>
              </w:rPr>
              <w:t>ace</w:t>
            </w:r>
            <w:r>
              <w:rPr>
                <w:rFonts w:eastAsia="仿宋_GB2312"/>
                <w:spacing w:val="-1"/>
                <w:sz w:val="21"/>
                <w:szCs w:val="21"/>
              </w:rPr>
              <w:t>a</w:t>
            </w:r>
            <w:r>
              <w:rPr>
                <w:rFonts w:eastAsia="仿宋_GB2312"/>
                <w:sz w:val="21"/>
                <w:szCs w:val="21"/>
              </w:rPr>
              <w:t>e</w:t>
            </w:r>
          </w:p>
        </w:tc>
        <w:tc>
          <w:tcPr>
            <w:tcW w:w="947" w:type="pct"/>
            <w:tcBorders>
              <w:top w:val="single" w:color="000000" w:sz="4" w:space="0"/>
              <w:left w:val="single" w:color="000000" w:sz="4" w:space="0"/>
              <w:bottom w:val="single" w:color="000000" w:sz="4" w:space="0"/>
              <w:right w:val="single" w:color="000000" w:sz="4" w:space="0"/>
            </w:tcBorders>
            <w:vAlign w:val="center"/>
          </w:tcPr>
          <w:p w14:paraId="090D96C1">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一年</w:t>
            </w:r>
            <w:r>
              <w:rPr>
                <w:rFonts w:hint="eastAsia" w:eastAsia="仿宋_GB2312" w:cs="仿宋_GB2312"/>
                <w:spacing w:val="-3"/>
                <w:sz w:val="21"/>
                <w:szCs w:val="21"/>
              </w:rPr>
              <w:t>生</w:t>
            </w:r>
            <w:r>
              <w:rPr>
                <w:rFonts w:hint="eastAsia" w:eastAsia="仿宋_GB2312" w:cs="仿宋_GB2312"/>
                <w:sz w:val="21"/>
                <w:szCs w:val="21"/>
              </w:rPr>
              <w:t>草本</w:t>
            </w:r>
          </w:p>
        </w:tc>
        <w:tc>
          <w:tcPr>
            <w:tcW w:w="412" w:type="pct"/>
            <w:tcBorders>
              <w:top w:val="single" w:color="000000" w:sz="4" w:space="0"/>
              <w:left w:val="single" w:color="000000" w:sz="4" w:space="0"/>
              <w:bottom w:val="single" w:color="000000" w:sz="4" w:space="0"/>
              <w:right w:val="single" w:color="000000" w:sz="4" w:space="0"/>
            </w:tcBorders>
            <w:vAlign w:val="center"/>
          </w:tcPr>
          <w:p w14:paraId="695D2FA5">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北美洲</w:t>
            </w:r>
          </w:p>
        </w:tc>
      </w:tr>
      <w:tr w14:paraId="2FF181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6" w:hRule="exact"/>
        </w:trPr>
        <w:tc>
          <w:tcPr>
            <w:tcW w:w="2231" w:type="pct"/>
            <w:tcBorders>
              <w:top w:val="single" w:color="000000" w:sz="4" w:space="0"/>
              <w:left w:val="single" w:color="000000" w:sz="4" w:space="0"/>
              <w:bottom w:val="single" w:color="000000" w:sz="4" w:space="0"/>
              <w:right w:val="single" w:color="000000" w:sz="4" w:space="0"/>
            </w:tcBorders>
            <w:vAlign w:val="center"/>
          </w:tcPr>
          <w:p w14:paraId="25BBF316">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鬼针草</w:t>
            </w:r>
            <w:r>
              <w:rPr>
                <w:rFonts w:eastAsia="仿宋_GB2312"/>
                <w:spacing w:val="40"/>
                <w:sz w:val="21"/>
                <w:szCs w:val="21"/>
              </w:rPr>
              <w:t xml:space="preserve"> </w:t>
            </w:r>
            <w:r>
              <w:rPr>
                <w:rFonts w:eastAsia="仿宋_GB2312"/>
                <w:i/>
                <w:iCs/>
                <w:sz w:val="21"/>
                <w:szCs w:val="21"/>
              </w:rPr>
              <w:t>Bid</w:t>
            </w:r>
            <w:r>
              <w:rPr>
                <w:rFonts w:eastAsia="仿宋_GB2312"/>
                <w:i/>
                <w:iCs/>
                <w:spacing w:val="-4"/>
                <w:sz w:val="21"/>
                <w:szCs w:val="21"/>
              </w:rPr>
              <w:t>e</w:t>
            </w:r>
            <w:r>
              <w:rPr>
                <w:rFonts w:eastAsia="仿宋_GB2312"/>
                <w:i/>
                <w:iCs/>
                <w:sz w:val="21"/>
                <w:szCs w:val="21"/>
              </w:rPr>
              <w:t>ns p</w:t>
            </w:r>
            <w:r>
              <w:rPr>
                <w:rFonts w:eastAsia="仿宋_GB2312"/>
                <w:i/>
                <w:iCs/>
                <w:spacing w:val="-2"/>
                <w:sz w:val="21"/>
                <w:szCs w:val="21"/>
              </w:rPr>
              <w:t>il</w:t>
            </w:r>
            <w:r>
              <w:rPr>
                <w:rFonts w:eastAsia="仿宋_GB2312"/>
                <w:i/>
                <w:iCs/>
                <w:sz w:val="21"/>
                <w:szCs w:val="21"/>
              </w:rPr>
              <w:t>osa</w:t>
            </w:r>
          </w:p>
        </w:tc>
        <w:tc>
          <w:tcPr>
            <w:tcW w:w="1409" w:type="pct"/>
            <w:tcBorders>
              <w:top w:val="single" w:color="000000" w:sz="4" w:space="0"/>
              <w:left w:val="single" w:color="000000" w:sz="4" w:space="0"/>
              <w:bottom w:val="single" w:color="000000" w:sz="4" w:space="0"/>
              <w:right w:val="single" w:color="000000" w:sz="4" w:space="0"/>
            </w:tcBorders>
            <w:vAlign w:val="center"/>
          </w:tcPr>
          <w:p w14:paraId="3669486B">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菊科</w:t>
            </w:r>
            <w:r>
              <w:rPr>
                <w:rFonts w:eastAsia="仿宋_GB2312"/>
                <w:spacing w:val="-12"/>
                <w:sz w:val="21"/>
                <w:szCs w:val="21"/>
              </w:rPr>
              <w:t xml:space="preserve"> </w:t>
            </w:r>
            <w:r>
              <w:rPr>
                <w:rFonts w:eastAsia="仿宋_GB2312"/>
                <w:sz w:val="21"/>
                <w:szCs w:val="21"/>
              </w:rPr>
              <w:t>As</w:t>
            </w:r>
            <w:r>
              <w:rPr>
                <w:rFonts w:eastAsia="仿宋_GB2312"/>
                <w:spacing w:val="-2"/>
                <w:sz w:val="21"/>
                <w:szCs w:val="21"/>
              </w:rPr>
              <w:t>t</w:t>
            </w:r>
            <w:r>
              <w:rPr>
                <w:rFonts w:eastAsia="仿宋_GB2312"/>
                <w:sz w:val="21"/>
                <w:szCs w:val="21"/>
              </w:rPr>
              <w:t>e</w:t>
            </w:r>
            <w:r>
              <w:rPr>
                <w:rFonts w:eastAsia="仿宋_GB2312"/>
                <w:spacing w:val="-1"/>
                <w:sz w:val="21"/>
                <w:szCs w:val="21"/>
              </w:rPr>
              <w:t>r</w:t>
            </w:r>
            <w:r>
              <w:rPr>
                <w:rFonts w:eastAsia="仿宋_GB2312"/>
                <w:sz w:val="21"/>
                <w:szCs w:val="21"/>
              </w:rPr>
              <w:t>ace</w:t>
            </w:r>
            <w:r>
              <w:rPr>
                <w:rFonts w:eastAsia="仿宋_GB2312"/>
                <w:spacing w:val="-1"/>
                <w:sz w:val="21"/>
                <w:szCs w:val="21"/>
              </w:rPr>
              <w:t>a</w:t>
            </w:r>
            <w:r>
              <w:rPr>
                <w:rFonts w:eastAsia="仿宋_GB2312"/>
                <w:sz w:val="21"/>
                <w:szCs w:val="21"/>
              </w:rPr>
              <w:t>e</w:t>
            </w:r>
          </w:p>
        </w:tc>
        <w:tc>
          <w:tcPr>
            <w:tcW w:w="947" w:type="pct"/>
            <w:tcBorders>
              <w:top w:val="single" w:color="000000" w:sz="4" w:space="0"/>
              <w:left w:val="single" w:color="000000" w:sz="4" w:space="0"/>
              <w:bottom w:val="single" w:color="000000" w:sz="4" w:space="0"/>
              <w:right w:val="single" w:color="000000" w:sz="4" w:space="0"/>
            </w:tcBorders>
            <w:vAlign w:val="center"/>
          </w:tcPr>
          <w:p w14:paraId="000BF7E8">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一二</w:t>
            </w:r>
            <w:r>
              <w:rPr>
                <w:rFonts w:hint="eastAsia" w:eastAsia="仿宋_GB2312" w:cs="仿宋_GB2312"/>
                <w:spacing w:val="-3"/>
                <w:sz w:val="21"/>
                <w:szCs w:val="21"/>
              </w:rPr>
              <w:t>年</w:t>
            </w:r>
            <w:r>
              <w:rPr>
                <w:rFonts w:hint="eastAsia" w:eastAsia="仿宋_GB2312" w:cs="仿宋_GB2312"/>
                <w:sz w:val="21"/>
                <w:szCs w:val="21"/>
              </w:rPr>
              <w:t>生</w:t>
            </w:r>
            <w:r>
              <w:rPr>
                <w:rFonts w:hint="eastAsia" w:eastAsia="仿宋_GB2312" w:cs="仿宋_GB2312"/>
                <w:spacing w:val="-3"/>
                <w:sz w:val="21"/>
                <w:szCs w:val="21"/>
              </w:rPr>
              <w:t>草</w:t>
            </w:r>
            <w:r>
              <w:rPr>
                <w:rFonts w:hint="eastAsia" w:eastAsia="仿宋_GB2312" w:cs="仿宋_GB2312"/>
                <w:sz w:val="21"/>
                <w:szCs w:val="21"/>
              </w:rPr>
              <w:t>本</w:t>
            </w:r>
          </w:p>
        </w:tc>
        <w:tc>
          <w:tcPr>
            <w:tcW w:w="412" w:type="pct"/>
            <w:tcBorders>
              <w:top w:val="single" w:color="000000" w:sz="4" w:space="0"/>
              <w:left w:val="single" w:color="000000" w:sz="4" w:space="0"/>
              <w:bottom w:val="single" w:color="000000" w:sz="4" w:space="0"/>
              <w:right w:val="single" w:color="000000" w:sz="4" w:space="0"/>
            </w:tcBorders>
            <w:vAlign w:val="center"/>
          </w:tcPr>
          <w:p w14:paraId="66323A3F">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南美洲</w:t>
            </w:r>
          </w:p>
        </w:tc>
      </w:tr>
      <w:tr w14:paraId="3135C9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exact"/>
        </w:trPr>
        <w:tc>
          <w:tcPr>
            <w:tcW w:w="2231" w:type="pct"/>
            <w:tcBorders>
              <w:top w:val="single" w:color="000000" w:sz="4" w:space="0"/>
              <w:left w:val="single" w:color="000000" w:sz="4" w:space="0"/>
              <w:bottom w:val="single" w:color="000000" w:sz="4" w:space="0"/>
              <w:right w:val="single" w:color="000000" w:sz="4" w:space="0"/>
            </w:tcBorders>
            <w:vAlign w:val="center"/>
          </w:tcPr>
          <w:p w14:paraId="5EF70BE5">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豚草</w:t>
            </w:r>
            <w:r>
              <w:rPr>
                <w:rFonts w:eastAsia="仿宋_GB2312"/>
                <w:spacing w:val="40"/>
                <w:sz w:val="21"/>
                <w:szCs w:val="21"/>
              </w:rPr>
              <w:t xml:space="preserve"> </w:t>
            </w:r>
            <w:r>
              <w:rPr>
                <w:rFonts w:eastAsia="仿宋_GB2312"/>
                <w:i/>
                <w:iCs/>
                <w:spacing w:val="-2"/>
                <w:sz w:val="21"/>
                <w:szCs w:val="21"/>
              </w:rPr>
              <w:t>A</w:t>
            </w:r>
            <w:r>
              <w:rPr>
                <w:rFonts w:eastAsia="仿宋_GB2312"/>
                <w:i/>
                <w:iCs/>
                <w:sz w:val="21"/>
                <w:szCs w:val="21"/>
              </w:rPr>
              <w:t>mbro</w:t>
            </w:r>
            <w:r>
              <w:rPr>
                <w:rFonts w:eastAsia="仿宋_GB2312"/>
                <w:i/>
                <w:iCs/>
                <w:spacing w:val="-2"/>
                <w:sz w:val="21"/>
                <w:szCs w:val="21"/>
              </w:rPr>
              <w:t>si</w:t>
            </w:r>
            <w:r>
              <w:rPr>
                <w:rFonts w:eastAsia="仿宋_GB2312"/>
                <w:i/>
                <w:iCs/>
                <w:sz w:val="21"/>
                <w:szCs w:val="21"/>
              </w:rPr>
              <w:t>a ar</w:t>
            </w:r>
            <w:r>
              <w:rPr>
                <w:rFonts w:eastAsia="仿宋_GB2312"/>
                <w:i/>
                <w:iCs/>
                <w:spacing w:val="-2"/>
                <w:sz w:val="21"/>
                <w:szCs w:val="21"/>
              </w:rPr>
              <w:t>t</w:t>
            </w:r>
            <w:r>
              <w:rPr>
                <w:rFonts w:eastAsia="仿宋_GB2312"/>
                <w:i/>
                <w:iCs/>
                <w:spacing w:val="-3"/>
                <w:sz w:val="21"/>
                <w:szCs w:val="21"/>
              </w:rPr>
              <w:t>e</w:t>
            </w:r>
            <w:r>
              <w:rPr>
                <w:rFonts w:eastAsia="仿宋_GB2312"/>
                <w:i/>
                <w:iCs/>
                <w:sz w:val="21"/>
                <w:szCs w:val="21"/>
              </w:rPr>
              <w:t>m</w:t>
            </w:r>
            <w:r>
              <w:rPr>
                <w:rFonts w:eastAsia="仿宋_GB2312"/>
                <w:i/>
                <w:iCs/>
                <w:spacing w:val="-2"/>
                <w:sz w:val="21"/>
                <w:szCs w:val="21"/>
              </w:rPr>
              <w:t>i</w:t>
            </w:r>
            <w:r>
              <w:rPr>
                <w:rFonts w:eastAsia="仿宋_GB2312"/>
                <w:i/>
                <w:iCs/>
                <w:sz w:val="21"/>
                <w:szCs w:val="21"/>
              </w:rPr>
              <w:t>s</w:t>
            </w:r>
            <w:r>
              <w:rPr>
                <w:rFonts w:eastAsia="仿宋_GB2312"/>
                <w:i/>
                <w:iCs/>
                <w:spacing w:val="-2"/>
                <w:sz w:val="21"/>
                <w:szCs w:val="21"/>
              </w:rPr>
              <w:t>iif</w:t>
            </w:r>
            <w:r>
              <w:rPr>
                <w:rFonts w:eastAsia="仿宋_GB2312"/>
                <w:i/>
                <w:iCs/>
                <w:sz w:val="21"/>
                <w:szCs w:val="21"/>
              </w:rPr>
              <w:t>o</w:t>
            </w:r>
            <w:r>
              <w:rPr>
                <w:rFonts w:eastAsia="仿宋_GB2312"/>
                <w:i/>
                <w:iCs/>
                <w:spacing w:val="-2"/>
                <w:sz w:val="21"/>
                <w:szCs w:val="21"/>
              </w:rPr>
              <w:t>l</w:t>
            </w:r>
            <w:r>
              <w:rPr>
                <w:rFonts w:eastAsia="仿宋_GB2312"/>
                <w:i/>
                <w:iCs/>
                <w:spacing w:val="1"/>
                <w:sz w:val="21"/>
                <w:szCs w:val="21"/>
              </w:rPr>
              <w:t>i</w:t>
            </w:r>
            <w:r>
              <w:rPr>
                <w:rFonts w:eastAsia="仿宋_GB2312"/>
                <w:i/>
                <w:iCs/>
                <w:sz w:val="21"/>
                <w:szCs w:val="21"/>
              </w:rPr>
              <w:t>a</w:t>
            </w:r>
          </w:p>
        </w:tc>
        <w:tc>
          <w:tcPr>
            <w:tcW w:w="1409" w:type="pct"/>
            <w:tcBorders>
              <w:top w:val="single" w:color="000000" w:sz="4" w:space="0"/>
              <w:left w:val="single" w:color="000000" w:sz="4" w:space="0"/>
              <w:bottom w:val="single" w:color="000000" w:sz="4" w:space="0"/>
              <w:right w:val="single" w:color="000000" w:sz="4" w:space="0"/>
            </w:tcBorders>
            <w:vAlign w:val="center"/>
          </w:tcPr>
          <w:p w14:paraId="46904621">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菊科</w:t>
            </w:r>
            <w:r>
              <w:rPr>
                <w:rFonts w:eastAsia="仿宋_GB2312"/>
                <w:spacing w:val="-12"/>
                <w:sz w:val="21"/>
                <w:szCs w:val="21"/>
              </w:rPr>
              <w:t xml:space="preserve"> </w:t>
            </w:r>
            <w:r>
              <w:rPr>
                <w:rFonts w:eastAsia="仿宋_GB2312"/>
                <w:sz w:val="21"/>
                <w:szCs w:val="21"/>
              </w:rPr>
              <w:t>As</w:t>
            </w:r>
            <w:r>
              <w:rPr>
                <w:rFonts w:eastAsia="仿宋_GB2312"/>
                <w:spacing w:val="-2"/>
                <w:sz w:val="21"/>
                <w:szCs w:val="21"/>
              </w:rPr>
              <w:t>t</w:t>
            </w:r>
            <w:r>
              <w:rPr>
                <w:rFonts w:eastAsia="仿宋_GB2312"/>
                <w:sz w:val="21"/>
                <w:szCs w:val="21"/>
              </w:rPr>
              <w:t>e</w:t>
            </w:r>
            <w:r>
              <w:rPr>
                <w:rFonts w:eastAsia="仿宋_GB2312"/>
                <w:spacing w:val="-1"/>
                <w:sz w:val="21"/>
                <w:szCs w:val="21"/>
              </w:rPr>
              <w:t>r</w:t>
            </w:r>
            <w:r>
              <w:rPr>
                <w:rFonts w:eastAsia="仿宋_GB2312"/>
                <w:sz w:val="21"/>
                <w:szCs w:val="21"/>
              </w:rPr>
              <w:t>ace</w:t>
            </w:r>
            <w:r>
              <w:rPr>
                <w:rFonts w:eastAsia="仿宋_GB2312"/>
                <w:spacing w:val="-1"/>
                <w:sz w:val="21"/>
                <w:szCs w:val="21"/>
              </w:rPr>
              <w:t>a</w:t>
            </w:r>
            <w:r>
              <w:rPr>
                <w:rFonts w:eastAsia="仿宋_GB2312"/>
                <w:sz w:val="21"/>
                <w:szCs w:val="21"/>
              </w:rPr>
              <w:t>e</w:t>
            </w:r>
          </w:p>
        </w:tc>
        <w:tc>
          <w:tcPr>
            <w:tcW w:w="947" w:type="pct"/>
            <w:tcBorders>
              <w:top w:val="single" w:color="000000" w:sz="4" w:space="0"/>
              <w:left w:val="single" w:color="000000" w:sz="4" w:space="0"/>
              <w:bottom w:val="single" w:color="000000" w:sz="4" w:space="0"/>
              <w:right w:val="single" w:color="000000" w:sz="4" w:space="0"/>
            </w:tcBorders>
            <w:vAlign w:val="center"/>
          </w:tcPr>
          <w:p w14:paraId="27DF3615">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一年</w:t>
            </w:r>
            <w:r>
              <w:rPr>
                <w:rFonts w:hint="eastAsia" w:eastAsia="仿宋_GB2312" w:cs="仿宋_GB2312"/>
                <w:spacing w:val="-3"/>
                <w:sz w:val="21"/>
                <w:szCs w:val="21"/>
              </w:rPr>
              <w:t>生</w:t>
            </w:r>
            <w:r>
              <w:rPr>
                <w:rFonts w:hint="eastAsia" w:eastAsia="仿宋_GB2312" w:cs="仿宋_GB2312"/>
                <w:sz w:val="21"/>
                <w:szCs w:val="21"/>
              </w:rPr>
              <w:t>草本</w:t>
            </w:r>
          </w:p>
        </w:tc>
        <w:tc>
          <w:tcPr>
            <w:tcW w:w="412" w:type="pct"/>
            <w:tcBorders>
              <w:top w:val="single" w:color="000000" w:sz="4" w:space="0"/>
              <w:left w:val="single" w:color="000000" w:sz="4" w:space="0"/>
              <w:bottom w:val="single" w:color="000000" w:sz="4" w:space="0"/>
              <w:right w:val="single" w:color="000000" w:sz="4" w:space="0"/>
            </w:tcBorders>
            <w:vAlign w:val="center"/>
          </w:tcPr>
          <w:p w14:paraId="392A9228">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北美洲</w:t>
            </w:r>
          </w:p>
        </w:tc>
      </w:tr>
      <w:tr w14:paraId="254EFB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6" w:hRule="exact"/>
        </w:trPr>
        <w:tc>
          <w:tcPr>
            <w:tcW w:w="2231" w:type="pct"/>
            <w:tcBorders>
              <w:top w:val="single" w:color="000000" w:sz="4" w:space="0"/>
              <w:left w:val="single" w:color="000000" w:sz="4" w:space="0"/>
              <w:bottom w:val="single" w:color="000000" w:sz="4" w:space="0"/>
              <w:right w:val="single" w:color="000000" w:sz="4" w:space="0"/>
            </w:tcBorders>
            <w:vAlign w:val="center"/>
          </w:tcPr>
          <w:p w14:paraId="778B5299">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紫茉莉</w:t>
            </w:r>
            <w:r>
              <w:rPr>
                <w:rFonts w:eastAsia="仿宋_GB2312"/>
                <w:spacing w:val="40"/>
                <w:sz w:val="21"/>
                <w:szCs w:val="21"/>
              </w:rPr>
              <w:t xml:space="preserve"> </w:t>
            </w:r>
            <w:r>
              <w:rPr>
                <w:rFonts w:eastAsia="仿宋_GB2312"/>
                <w:i/>
                <w:iCs/>
                <w:spacing w:val="-1"/>
                <w:sz w:val="21"/>
                <w:szCs w:val="21"/>
              </w:rPr>
              <w:t>M</w:t>
            </w:r>
            <w:r>
              <w:rPr>
                <w:rFonts w:eastAsia="仿宋_GB2312"/>
                <w:i/>
                <w:iCs/>
                <w:spacing w:val="-2"/>
                <w:sz w:val="21"/>
                <w:szCs w:val="21"/>
              </w:rPr>
              <w:t>i</w:t>
            </w:r>
            <w:r>
              <w:rPr>
                <w:rFonts w:eastAsia="仿宋_GB2312"/>
                <w:i/>
                <w:iCs/>
                <w:sz w:val="21"/>
                <w:szCs w:val="21"/>
              </w:rPr>
              <w:t>rab</w:t>
            </w:r>
            <w:r>
              <w:rPr>
                <w:rFonts w:eastAsia="仿宋_GB2312"/>
                <w:i/>
                <w:iCs/>
                <w:spacing w:val="-2"/>
                <w:sz w:val="21"/>
                <w:szCs w:val="21"/>
              </w:rPr>
              <w:t>ili</w:t>
            </w:r>
            <w:r>
              <w:rPr>
                <w:rFonts w:eastAsia="仿宋_GB2312"/>
                <w:i/>
                <w:iCs/>
                <w:sz w:val="21"/>
                <w:szCs w:val="21"/>
              </w:rPr>
              <w:t xml:space="preserve">s </w:t>
            </w:r>
            <w:r>
              <w:rPr>
                <w:rFonts w:eastAsia="仿宋_GB2312"/>
                <w:i/>
                <w:iCs/>
                <w:spacing w:val="-2"/>
                <w:sz w:val="21"/>
                <w:szCs w:val="21"/>
              </w:rPr>
              <w:t>j</w:t>
            </w:r>
            <w:r>
              <w:rPr>
                <w:rFonts w:eastAsia="仿宋_GB2312"/>
                <w:i/>
                <w:iCs/>
                <w:sz w:val="21"/>
                <w:szCs w:val="21"/>
              </w:rPr>
              <w:t>a</w:t>
            </w:r>
            <w:r>
              <w:rPr>
                <w:rFonts w:eastAsia="仿宋_GB2312"/>
                <w:i/>
                <w:iCs/>
                <w:spacing w:val="-2"/>
                <w:sz w:val="21"/>
                <w:szCs w:val="21"/>
              </w:rPr>
              <w:t>l</w:t>
            </w:r>
            <w:r>
              <w:rPr>
                <w:rFonts w:eastAsia="仿宋_GB2312"/>
                <w:i/>
                <w:iCs/>
                <w:sz w:val="21"/>
                <w:szCs w:val="21"/>
              </w:rPr>
              <w:t>apa</w:t>
            </w:r>
          </w:p>
        </w:tc>
        <w:tc>
          <w:tcPr>
            <w:tcW w:w="1409" w:type="pct"/>
            <w:tcBorders>
              <w:top w:val="single" w:color="000000" w:sz="4" w:space="0"/>
              <w:left w:val="single" w:color="000000" w:sz="4" w:space="0"/>
              <w:bottom w:val="single" w:color="000000" w:sz="4" w:space="0"/>
              <w:right w:val="single" w:color="000000" w:sz="4" w:space="0"/>
            </w:tcBorders>
            <w:vAlign w:val="center"/>
          </w:tcPr>
          <w:p w14:paraId="36ECC054">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紫茉</w:t>
            </w:r>
            <w:r>
              <w:rPr>
                <w:rFonts w:hint="eastAsia" w:eastAsia="仿宋_GB2312" w:cs="仿宋_GB2312"/>
                <w:spacing w:val="-3"/>
                <w:sz w:val="21"/>
                <w:szCs w:val="21"/>
              </w:rPr>
              <w:t>莉</w:t>
            </w:r>
            <w:r>
              <w:rPr>
                <w:rFonts w:hint="eastAsia" w:eastAsia="仿宋_GB2312" w:cs="仿宋_GB2312"/>
                <w:sz w:val="21"/>
                <w:szCs w:val="21"/>
              </w:rPr>
              <w:t>科</w:t>
            </w:r>
            <w:r>
              <w:rPr>
                <w:rFonts w:eastAsia="仿宋_GB2312"/>
                <w:spacing w:val="-12"/>
                <w:sz w:val="21"/>
                <w:szCs w:val="21"/>
              </w:rPr>
              <w:t xml:space="preserve"> </w:t>
            </w:r>
            <w:r>
              <w:rPr>
                <w:rFonts w:eastAsia="仿宋_GB2312"/>
                <w:sz w:val="21"/>
                <w:szCs w:val="21"/>
              </w:rPr>
              <w:t>N</w:t>
            </w:r>
            <w:r>
              <w:rPr>
                <w:rFonts w:eastAsia="仿宋_GB2312"/>
                <w:spacing w:val="-5"/>
                <w:sz w:val="21"/>
                <w:szCs w:val="21"/>
              </w:rPr>
              <w:t>y</w:t>
            </w:r>
            <w:r>
              <w:rPr>
                <w:rFonts w:eastAsia="仿宋_GB2312"/>
                <w:sz w:val="21"/>
                <w:szCs w:val="21"/>
              </w:rPr>
              <w:t>c</w:t>
            </w:r>
            <w:r>
              <w:rPr>
                <w:rFonts w:eastAsia="仿宋_GB2312"/>
                <w:spacing w:val="-2"/>
                <w:sz w:val="21"/>
                <w:szCs w:val="21"/>
              </w:rPr>
              <w:t>t</w:t>
            </w:r>
            <w:r>
              <w:rPr>
                <w:rFonts w:eastAsia="仿宋_GB2312"/>
                <w:sz w:val="21"/>
                <w:szCs w:val="21"/>
              </w:rPr>
              <w:t>ag</w:t>
            </w:r>
            <w:r>
              <w:rPr>
                <w:rFonts w:eastAsia="仿宋_GB2312"/>
                <w:spacing w:val="-2"/>
                <w:sz w:val="21"/>
                <w:szCs w:val="21"/>
              </w:rPr>
              <w:t>i</w:t>
            </w:r>
            <w:r>
              <w:rPr>
                <w:rFonts w:eastAsia="仿宋_GB2312"/>
                <w:sz w:val="21"/>
                <w:szCs w:val="21"/>
              </w:rPr>
              <w:t>nace</w:t>
            </w:r>
            <w:r>
              <w:rPr>
                <w:rFonts w:eastAsia="仿宋_GB2312"/>
                <w:spacing w:val="-1"/>
                <w:sz w:val="21"/>
                <w:szCs w:val="21"/>
              </w:rPr>
              <w:t>a</w:t>
            </w:r>
            <w:r>
              <w:rPr>
                <w:rFonts w:eastAsia="仿宋_GB2312"/>
                <w:sz w:val="21"/>
                <w:szCs w:val="21"/>
              </w:rPr>
              <w:t>e</w:t>
            </w:r>
          </w:p>
        </w:tc>
        <w:tc>
          <w:tcPr>
            <w:tcW w:w="947" w:type="pct"/>
            <w:tcBorders>
              <w:top w:val="single" w:color="000000" w:sz="4" w:space="0"/>
              <w:left w:val="single" w:color="000000" w:sz="4" w:space="0"/>
              <w:bottom w:val="single" w:color="000000" w:sz="4" w:space="0"/>
              <w:right w:val="single" w:color="000000" w:sz="4" w:space="0"/>
            </w:tcBorders>
            <w:vAlign w:val="center"/>
          </w:tcPr>
          <w:p w14:paraId="339B1D06">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多年生</w:t>
            </w:r>
            <w:r>
              <w:rPr>
                <w:rFonts w:hint="eastAsia" w:eastAsia="仿宋_GB2312" w:cs="仿宋_GB2312"/>
                <w:spacing w:val="-3"/>
                <w:sz w:val="21"/>
                <w:szCs w:val="21"/>
              </w:rPr>
              <w:t>草</w:t>
            </w:r>
            <w:r>
              <w:rPr>
                <w:rFonts w:hint="eastAsia" w:eastAsia="仿宋_GB2312" w:cs="仿宋_GB2312"/>
                <w:sz w:val="21"/>
                <w:szCs w:val="21"/>
              </w:rPr>
              <w:t>本</w:t>
            </w:r>
          </w:p>
        </w:tc>
        <w:tc>
          <w:tcPr>
            <w:tcW w:w="412" w:type="pct"/>
            <w:tcBorders>
              <w:top w:val="single" w:color="000000" w:sz="4" w:space="0"/>
              <w:left w:val="single" w:color="000000" w:sz="4" w:space="0"/>
              <w:bottom w:val="single" w:color="000000" w:sz="4" w:space="0"/>
              <w:right w:val="single" w:color="000000" w:sz="4" w:space="0"/>
            </w:tcBorders>
            <w:vAlign w:val="center"/>
          </w:tcPr>
          <w:p w14:paraId="60B54618">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南美洲</w:t>
            </w:r>
          </w:p>
        </w:tc>
      </w:tr>
      <w:tr w14:paraId="144AF3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6" w:hRule="exact"/>
        </w:trPr>
        <w:tc>
          <w:tcPr>
            <w:tcW w:w="2231" w:type="pct"/>
            <w:tcBorders>
              <w:top w:val="single" w:color="000000" w:sz="4" w:space="0"/>
              <w:left w:val="single" w:color="000000" w:sz="4" w:space="0"/>
              <w:bottom w:val="single" w:color="000000" w:sz="4" w:space="0"/>
              <w:right w:val="single" w:color="000000" w:sz="4" w:space="0"/>
            </w:tcBorders>
            <w:vAlign w:val="center"/>
          </w:tcPr>
          <w:p w14:paraId="62147110">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水葫芦</w:t>
            </w:r>
            <w:r>
              <w:rPr>
                <w:rFonts w:eastAsia="仿宋_GB2312"/>
                <w:spacing w:val="40"/>
                <w:sz w:val="21"/>
                <w:szCs w:val="21"/>
              </w:rPr>
              <w:t xml:space="preserve"> </w:t>
            </w:r>
            <w:r>
              <w:rPr>
                <w:rFonts w:eastAsia="仿宋_GB2312"/>
                <w:i/>
                <w:iCs/>
                <w:sz w:val="21"/>
                <w:szCs w:val="21"/>
              </w:rPr>
              <w:t>Ei</w:t>
            </w:r>
            <w:r>
              <w:rPr>
                <w:rFonts w:eastAsia="仿宋_GB2312"/>
                <w:i/>
                <w:iCs/>
                <w:spacing w:val="-1"/>
                <w:sz w:val="21"/>
                <w:szCs w:val="21"/>
              </w:rPr>
              <w:t>c</w:t>
            </w:r>
            <w:r>
              <w:rPr>
                <w:rFonts w:eastAsia="仿宋_GB2312"/>
                <w:i/>
                <w:iCs/>
                <w:spacing w:val="-3"/>
                <w:sz w:val="21"/>
                <w:szCs w:val="21"/>
              </w:rPr>
              <w:t>h</w:t>
            </w:r>
            <w:r>
              <w:rPr>
                <w:rFonts w:eastAsia="仿宋_GB2312"/>
                <w:i/>
                <w:iCs/>
                <w:sz w:val="21"/>
                <w:szCs w:val="21"/>
              </w:rPr>
              <w:t>horn</w:t>
            </w:r>
            <w:r>
              <w:rPr>
                <w:rFonts w:eastAsia="仿宋_GB2312"/>
                <w:i/>
                <w:iCs/>
                <w:spacing w:val="-2"/>
                <w:sz w:val="21"/>
                <w:szCs w:val="21"/>
              </w:rPr>
              <w:t>i</w:t>
            </w:r>
            <w:r>
              <w:rPr>
                <w:rFonts w:eastAsia="仿宋_GB2312"/>
                <w:i/>
                <w:iCs/>
                <w:sz w:val="21"/>
                <w:szCs w:val="21"/>
              </w:rPr>
              <w:t>a c</w:t>
            </w:r>
            <w:r>
              <w:rPr>
                <w:rFonts w:eastAsia="仿宋_GB2312"/>
                <w:i/>
                <w:iCs/>
                <w:spacing w:val="-1"/>
                <w:sz w:val="21"/>
                <w:szCs w:val="21"/>
              </w:rPr>
              <w:t>r</w:t>
            </w:r>
            <w:r>
              <w:rPr>
                <w:rFonts w:eastAsia="仿宋_GB2312"/>
                <w:i/>
                <w:iCs/>
                <w:sz w:val="21"/>
                <w:szCs w:val="21"/>
              </w:rPr>
              <w:t>as</w:t>
            </w:r>
            <w:r>
              <w:rPr>
                <w:rFonts w:eastAsia="仿宋_GB2312"/>
                <w:i/>
                <w:iCs/>
                <w:spacing w:val="-2"/>
                <w:sz w:val="21"/>
                <w:szCs w:val="21"/>
              </w:rPr>
              <w:t>si</w:t>
            </w:r>
            <w:r>
              <w:rPr>
                <w:rFonts w:eastAsia="仿宋_GB2312"/>
                <w:i/>
                <w:iCs/>
                <w:sz w:val="21"/>
                <w:szCs w:val="21"/>
              </w:rPr>
              <w:t>p</w:t>
            </w:r>
            <w:r>
              <w:rPr>
                <w:rFonts w:eastAsia="仿宋_GB2312"/>
                <w:i/>
                <w:iCs/>
                <w:spacing w:val="-3"/>
                <w:sz w:val="21"/>
                <w:szCs w:val="21"/>
              </w:rPr>
              <w:t>e</w:t>
            </w:r>
            <w:r>
              <w:rPr>
                <w:rFonts w:eastAsia="仿宋_GB2312"/>
                <w:i/>
                <w:iCs/>
                <w:sz w:val="21"/>
                <w:szCs w:val="21"/>
              </w:rPr>
              <w:t>s</w:t>
            </w:r>
          </w:p>
        </w:tc>
        <w:tc>
          <w:tcPr>
            <w:tcW w:w="1409" w:type="pct"/>
            <w:tcBorders>
              <w:top w:val="single" w:color="000000" w:sz="4" w:space="0"/>
              <w:left w:val="single" w:color="000000" w:sz="4" w:space="0"/>
              <w:bottom w:val="single" w:color="000000" w:sz="4" w:space="0"/>
              <w:right w:val="single" w:color="000000" w:sz="4" w:space="0"/>
            </w:tcBorders>
            <w:vAlign w:val="center"/>
          </w:tcPr>
          <w:p w14:paraId="454258CA">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雨久</w:t>
            </w:r>
            <w:r>
              <w:rPr>
                <w:rFonts w:hint="eastAsia" w:eastAsia="仿宋_GB2312" w:cs="仿宋_GB2312"/>
                <w:spacing w:val="-3"/>
                <w:sz w:val="21"/>
                <w:szCs w:val="21"/>
              </w:rPr>
              <w:t>花</w:t>
            </w:r>
            <w:r>
              <w:rPr>
                <w:rFonts w:hint="eastAsia" w:eastAsia="仿宋_GB2312" w:cs="仿宋_GB2312"/>
                <w:sz w:val="21"/>
                <w:szCs w:val="21"/>
              </w:rPr>
              <w:t>科</w:t>
            </w:r>
            <w:r>
              <w:rPr>
                <w:rFonts w:eastAsia="仿宋_GB2312"/>
                <w:spacing w:val="-12"/>
                <w:sz w:val="21"/>
                <w:szCs w:val="21"/>
              </w:rPr>
              <w:t xml:space="preserve"> </w:t>
            </w:r>
            <w:r>
              <w:rPr>
                <w:rFonts w:eastAsia="仿宋_GB2312"/>
                <w:sz w:val="21"/>
                <w:szCs w:val="21"/>
              </w:rPr>
              <w:t>Pon</w:t>
            </w:r>
            <w:r>
              <w:rPr>
                <w:rFonts w:eastAsia="仿宋_GB2312"/>
                <w:spacing w:val="-1"/>
                <w:sz w:val="21"/>
                <w:szCs w:val="21"/>
              </w:rPr>
              <w:t>t</w:t>
            </w:r>
            <w:r>
              <w:rPr>
                <w:rFonts w:eastAsia="仿宋_GB2312"/>
                <w:sz w:val="21"/>
                <w:szCs w:val="21"/>
              </w:rPr>
              <w:t>ede</w:t>
            </w:r>
            <w:r>
              <w:rPr>
                <w:rFonts w:eastAsia="仿宋_GB2312"/>
                <w:spacing w:val="-2"/>
                <w:sz w:val="21"/>
                <w:szCs w:val="21"/>
              </w:rPr>
              <w:t>ri</w:t>
            </w:r>
            <w:r>
              <w:rPr>
                <w:rFonts w:eastAsia="仿宋_GB2312"/>
                <w:sz w:val="21"/>
                <w:szCs w:val="21"/>
              </w:rPr>
              <w:t>ace</w:t>
            </w:r>
            <w:r>
              <w:rPr>
                <w:rFonts w:eastAsia="仿宋_GB2312"/>
                <w:spacing w:val="-4"/>
                <w:sz w:val="21"/>
                <w:szCs w:val="21"/>
              </w:rPr>
              <w:t>a</w:t>
            </w:r>
            <w:r>
              <w:rPr>
                <w:rFonts w:eastAsia="仿宋_GB2312"/>
                <w:sz w:val="21"/>
                <w:szCs w:val="21"/>
              </w:rPr>
              <w:t>e</w:t>
            </w:r>
          </w:p>
        </w:tc>
        <w:tc>
          <w:tcPr>
            <w:tcW w:w="947" w:type="pct"/>
            <w:tcBorders>
              <w:top w:val="single" w:color="000000" w:sz="4" w:space="0"/>
              <w:left w:val="single" w:color="000000" w:sz="4" w:space="0"/>
              <w:bottom w:val="single" w:color="000000" w:sz="4" w:space="0"/>
              <w:right w:val="single" w:color="000000" w:sz="4" w:space="0"/>
            </w:tcBorders>
            <w:vAlign w:val="center"/>
          </w:tcPr>
          <w:p w14:paraId="1D551F64">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多年生</w:t>
            </w:r>
            <w:r>
              <w:rPr>
                <w:rFonts w:hint="eastAsia" w:eastAsia="仿宋_GB2312" w:cs="仿宋_GB2312"/>
                <w:spacing w:val="-3"/>
                <w:sz w:val="21"/>
                <w:szCs w:val="21"/>
              </w:rPr>
              <w:t>草</w:t>
            </w:r>
            <w:r>
              <w:rPr>
                <w:rFonts w:hint="eastAsia" w:eastAsia="仿宋_GB2312" w:cs="仿宋_GB2312"/>
                <w:sz w:val="21"/>
                <w:szCs w:val="21"/>
              </w:rPr>
              <w:t>本</w:t>
            </w:r>
          </w:p>
        </w:tc>
        <w:tc>
          <w:tcPr>
            <w:tcW w:w="412" w:type="pct"/>
            <w:tcBorders>
              <w:top w:val="single" w:color="000000" w:sz="4" w:space="0"/>
              <w:left w:val="single" w:color="000000" w:sz="4" w:space="0"/>
              <w:bottom w:val="single" w:color="000000" w:sz="4" w:space="0"/>
              <w:right w:val="single" w:color="000000" w:sz="4" w:space="0"/>
            </w:tcBorders>
            <w:vAlign w:val="center"/>
          </w:tcPr>
          <w:p w14:paraId="65A20948">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南美洲</w:t>
            </w:r>
          </w:p>
        </w:tc>
      </w:tr>
      <w:tr w14:paraId="37452C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8" w:hRule="exact"/>
        </w:trPr>
        <w:tc>
          <w:tcPr>
            <w:tcW w:w="2231" w:type="pct"/>
            <w:tcBorders>
              <w:top w:val="single" w:color="000000" w:sz="4" w:space="0"/>
              <w:left w:val="single" w:color="000000" w:sz="4" w:space="0"/>
              <w:bottom w:val="single" w:color="000000" w:sz="4" w:space="0"/>
              <w:right w:val="single" w:color="000000" w:sz="4" w:space="0"/>
            </w:tcBorders>
            <w:vAlign w:val="center"/>
          </w:tcPr>
          <w:p w14:paraId="1A745DD1">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满</w:t>
            </w:r>
            <w:r>
              <w:rPr>
                <w:rFonts w:hint="eastAsia" w:eastAsia="仿宋_GB2312" w:cs="仿宋_GB2312"/>
                <w:spacing w:val="-3"/>
                <w:sz w:val="21"/>
                <w:szCs w:val="21"/>
              </w:rPr>
              <w:t>江</w:t>
            </w:r>
            <w:r>
              <w:rPr>
                <w:rFonts w:hint="eastAsia" w:eastAsia="仿宋_GB2312" w:cs="仿宋_GB2312"/>
                <w:sz w:val="21"/>
                <w:szCs w:val="21"/>
              </w:rPr>
              <w:t>红</w:t>
            </w:r>
            <w:r>
              <w:rPr>
                <w:rFonts w:eastAsia="仿宋_GB2312"/>
                <w:spacing w:val="-10"/>
                <w:sz w:val="21"/>
                <w:szCs w:val="21"/>
              </w:rPr>
              <w:t xml:space="preserve"> </w:t>
            </w:r>
            <w:r>
              <w:rPr>
                <w:rFonts w:eastAsia="仿宋_GB2312"/>
                <w:i/>
                <w:iCs/>
                <w:sz w:val="21"/>
                <w:szCs w:val="21"/>
              </w:rPr>
              <w:t>Azo</w:t>
            </w:r>
            <w:r>
              <w:rPr>
                <w:rFonts w:eastAsia="仿宋_GB2312"/>
                <w:i/>
                <w:iCs/>
                <w:spacing w:val="-2"/>
                <w:sz w:val="21"/>
                <w:szCs w:val="21"/>
              </w:rPr>
              <w:t>ll</w:t>
            </w:r>
            <w:r>
              <w:rPr>
                <w:rFonts w:eastAsia="仿宋_GB2312"/>
                <w:i/>
                <w:iCs/>
                <w:sz w:val="21"/>
                <w:szCs w:val="21"/>
              </w:rPr>
              <w:t>a p</w:t>
            </w:r>
            <w:r>
              <w:rPr>
                <w:rFonts w:eastAsia="仿宋_GB2312"/>
                <w:i/>
                <w:iCs/>
                <w:spacing w:val="-2"/>
                <w:sz w:val="21"/>
                <w:szCs w:val="21"/>
              </w:rPr>
              <w:t>i</w:t>
            </w:r>
            <w:r>
              <w:rPr>
                <w:rFonts w:eastAsia="仿宋_GB2312"/>
                <w:i/>
                <w:iCs/>
                <w:spacing w:val="-3"/>
                <w:sz w:val="21"/>
                <w:szCs w:val="21"/>
              </w:rPr>
              <w:t>n</w:t>
            </w:r>
            <w:r>
              <w:rPr>
                <w:rFonts w:eastAsia="仿宋_GB2312"/>
                <w:i/>
                <w:iCs/>
                <w:sz w:val="21"/>
                <w:szCs w:val="21"/>
              </w:rPr>
              <w:t>na</w:t>
            </w:r>
            <w:r>
              <w:rPr>
                <w:rFonts w:eastAsia="仿宋_GB2312"/>
                <w:i/>
                <w:iCs/>
                <w:spacing w:val="-2"/>
                <w:sz w:val="21"/>
                <w:szCs w:val="21"/>
              </w:rPr>
              <w:t>t</w:t>
            </w:r>
            <w:r>
              <w:rPr>
                <w:rFonts w:eastAsia="仿宋_GB2312"/>
                <w:i/>
                <w:iCs/>
                <w:sz w:val="21"/>
                <w:szCs w:val="21"/>
              </w:rPr>
              <w:t xml:space="preserve">a </w:t>
            </w:r>
            <w:r>
              <w:rPr>
                <w:rFonts w:eastAsia="仿宋_GB2312"/>
                <w:sz w:val="21"/>
                <w:szCs w:val="21"/>
              </w:rPr>
              <w:t>sub</w:t>
            </w:r>
            <w:r>
              <w:rPr>
                <w:rFonts w:eastAsia="仿宋_GB2312"/>
                <w:spacing w:val="-2"/>
                <w:sz w:val="21"/>
                <w:szCs w:val="21"/>
              </w:rPr>
              <w:t>s</w:t>
            </w:r>
            <w:r>
              <w:rPr>
                <w:rFonts w:eastAsia="仿宋_GB2312"/>
                <w:spacing w:val="-3"/>
                <w:sz w:val="21"/>
                <w:szCs w:val="21"/>
              </w:rPr>
              <w:t>p</w:t>
            </w:r>
            <w:r>
              <w:rPr>
                <w:rFonts w:eastAsia="仿宋_GB2312"/>
                <w:sz w:val="21"/>
                <w:szCs w:val="21"/>
              </w:rPr>
              <w:t xml:space="preserve">. </w:t>
            </w:r>
            <w:r>
              <w:rPr>
                <w:rFonts w:eastAsia="仿宋_GB2312"/>
                <w:i/>
                <w:iCs/>
                <w:sz w:val="21"/>
                <w:szCs w:val="21"/>
              </w:rPr>
              <w:t>as</w:t>
            </w:r>
            <w:r>
              <w:rPr>
                <w:rFonts w:eastAsia="仿宋_GB2312"/>
                <w:i/>
                <w:iCs/>
                <w:spacing w:val="-2"/>
                <w:sz w:val="21"/>
                <w:szCs w:val="21"/>
              </w:rPr>
              <w:t>i</w:t>
            </w:r>
            <w:r>
              <w:rPr>
                <w:rFonts w:eastAsia="仿宋_GB2312"/>
                <w:i/>
                <w:iCs/>
                <w:sz w:val="21"/>
                <w:szCs w:val="21"/>
              </w:rPr>
              <w:t>a</w:t>
            </w:r>
            <w:r>
              <w:rPr>
                <w:rFonts w:eastAsia="仿宋_GB2312"/>
                <w:i/>
                <w:iCs/>
                <w:spacing w:val="-2"/>
                <w:sz w:val="21"/>
                <w:szCs w:val="21"/>
              </w:rPr>
              <w:t>ti</w:t>
            </w:r>
            <w:r>
              <w:rPr>
                <w:rFonts w:eastAsia="仿宋_GB2312"/>
                <w:i/>
                <w:iCs/>
                <w:sz w:val="21"/>
                <w:szCs w:val="21"/>
              </w:rPr>
              <w:t>ca</w:t>
            </w:r>
          </w:p>
        </w:tc>
        <w:tc>
          <w:tcPr>
            <w:tcW w:w="1409" w:type="pct"/>
            <w:tcBorders>
              <w:top w:val="single" w:color="000000" w:sz="4" w:space="0"/>
              <w:left w:val="single" w:color="000000" w:sz="4" w:space="0"/>
              <w:bottom w:val="single" w:color="000000" w:sz="4" w:space="0"/>
              <w:right w:val="single" w:color="000000" w:sz="4" w:space="0"/>
            </w:tcBorders>
            <w:vAlign w:val="center"/>
          </w:tcPr>
          <w:p w14:paraId="7D3FE673">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满江</w:t>
            </w:r>
            <w:r>
              <w:rPr>
                <w:rFonts w:hint="eastAsia" w:eastAsia="仿宋_GB2312" w:cs="仿宋_GB2312"/>
                <w:spacing w:val="-3"/>
                <w:sz w:val="21"/>
                <w:szCs w:val="21"/>
              </w:rPr>
              <w:t>红</w:t>
            </w:r>
            <w:r>
              <w:rPr>
                <w:rFonts w:hint="eastAsia" w:eastAsia="仿宋_GB2312" w:cs="仿宋_GB2312"/>
                <w:sz w:val="21"/>
                <w:szCs w:val="21"/>
              </w:rPr>
              <w:t>科</w:t>
            </w:r>
            <w:r>
              <w:rPr>
                <w:rFonts w:eastAsia="仿宋_GB2312"/>
                <w:spacing w:val="-12"/>
                <w:sz w:val="21"/>
                <w:szCs w:val="21"/>
              </w:rPr>
              <w:t xml:space="preserve"> </w:t>
            </w:r>
            <w:r>
              <w:rPr>
                <w:rFonts w:eastAsia="仿宋_GB2312"/>
                <w:sz w:val="21"/>
                <w:szCs w:val="21"/>
              </w:rPr>
              <w:t>Azo</w:t>
            </w:r>
            <w:r>
              <w:rPr>
                <w:rFonts w:eastAsia="仿宋_GB2312"/>
                <w:spacing w:val="-2"/>
                <w:sz w:val="21"/>
                <w:szCs w:val="21"/>
              </w:rPr>
              <w:t>ll</w:t>
            </w:r>
            <w:r>
              <w:rPr>
                <w:rFonts w:eastAsia="仿宋_GB2312"/>
                <w:sz w:val="21"/>
                <w:szCs w:val="21"/>
              </w:rPr>
              <w:t>ace</w:t>
            </w:r>
            <w:r>
              <w:rPr>
                <w:rFonts w:eastAsia="仿宋_GB2312"/>
                <w:spacing w:val="-1"/>
                <w:sz w:val="21"/>
                <w:szCs w:val="21"/>
              </w:rPr>
              <w:t>a</w:t>
            </w:r>
            <w:r>
              <w:rPr>
                <w:rFonts w:eastAsia="仿宋_GB2312"/>
                <w:sz w:val="21"/>
                <w:szCs w:val="21"/>
              </w:rPr>
              <w:t>e</w:t>
            </w:r>
          </w:p>
        </w:tc>
        <w:tc>
          <w:tcPr>
            <w:tcW w:w="947" w:type="pct"/>
            <w:tcBorders>
              <w:top w:val="single" w:color="000000" w:sz="4" w:space="0"/>
              <w:left w:val="single" w:color="000000" w:sz="4" w:space="0"/>
              <w:bottom w:val="single" w:color="000000" w:sz="4" w:space="0"/>
              <w:right w:val="single" w:color="000000" w:sz="4" w:space="0"/>
            </w:tcBorders>
            <w:vAlign w:val="center"/>
          </w:tcPr>
          <w:p w14:paraId="1778CD94">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小型</w:t>
            </w:r>
            <w:r>
              <w:rPr>
                <w:rFonts w:hint="eastAsia" w:eastAsia="仿宋_GB2312" w:cs="仿宋_GB2312"/>
                <w:spacing w:val="-3"/>
                <w:sz w:val="21"/>
                <w:szCs w:val="21"/>
              </w:rPr>
              <w:t>漂</w:t>
            </w:r>
            <w:r>
              <w:rPr>
                <w:rFonts w:hint="eastAsia" w:eastAsia="仿宋_GB2312" w:cs="仿宋_GB2312"/>
                <w:sz w:val="21"/>
                <w:szCs w:val="21"/>
              </w:rPr>
              <w:t>浮</w:t>
            </w:r>
            <w:r>
              <w:rPr>
                <w:rFonts w:hint="eastAsia" w:eastAsia="仿宋_GB2312" w:cs="仿宋_GB2312"/>
                <w:spacing w:val="-3"/>
                <w:sz w:val="21"/>
                <w:szCs w:val="21"/>
              </w:rPr>
              <w:t>植</w:t>
            </w:r>
            <w:r>
              <w:rPr>
                <w:rFonts w:hint="eastAsia" w:eastAsia="仿宋_GB2312" w:cs="仿宋_GB2312"/>
                <w:sz w:val="21"/>
                <w:szCs w:val="21"/>
              </w:rPr>
              <w:t>物</w:t>
            </w:r>
          </w:p>
        </w:tc>
        <w:tc>
          <w:tcPr>
            <w:tcW w:w="412" w:type="pct"/>
            <w:tcBorders>
              <w:top w:val="single" w:color="000000" w:sz="4" w:space="0"/>
              <w:left w:val="single" w:color="000000" w:sz="4" w:space="0"/>
              <w:bottom w:val="single" w:color="000000" w:sz="4" w:space="0"/>
              <w:right w:val="single" w:color="000000" w:sz="4" w:space="0"/>
            </w:tcBorders>
            <w:vAlign w:val="center"/>
          </w:tcPr>
          <w:p w14:paraId="10736DBA">
            <w:pPr>
              <w:pStyle w:val="120"/>
              <w:widowControl/>
              <w:kinsoku w:val="0"/>
              <w:overflowPunct w:val="0"/>
              <w:spacing w:line="240" w:lineRule="auto"/>
              <w:ind w:firstLine="0" w:firstLineChars="0"/>
              <w:jc w:val="center"/>
              <w:rPr>
                <w:rFonts w:eastAsia="仿宋_GB2312"/>
              </w:rPr>
            </w:pPr>
            <w:r>
              <w:rPr>
                <w:rFonts w:hint="eastAsia" w:eastAsia="仿宋_GB2312" w:cs="仿宋_GB2312"/>
                <w:sz w:val="21"/>
                <w:szCs w:val="21"/>
              </w:rPr>
              <w:t>南美洲</w:t>
            </w:r>
          </w:p>
        </w:tc>
      </w:tr>
    </w:tbl>
    <w:p w14:paraId="73CBB920">
      <w:pPr>
        <w:spacing w:line="570" w:lineRule="atLeast"/>
        <w:ind w:firstLine="480"/>
        <w:rPr>
          <w:rFonts w:cs="Times New Roman"/>
          <w:szCs w:val="24"/>
        </w:rPr>
      </w:pPr>
      <w:r>
        <w:rPr>
          <w:rFonts w:hint="eastAsia" w:cs="Times New Roman"/>
          <w:szCs w:val="24"/>
          <w:lang w:bidi="ar"/>
        </w:rPr>
        <w:t>外来物种入侵度计算公式如下：</w:t>
      </w:r>
    </w:p>
    <w:p w14:paraId="6989E387">
      <w:pPr>
        <w:spacing w:line="570" w:lineRule="atLeast"/>
        <w:ind w:firstLine="480"/>
        <w:jc w:val="center"/>
        <w:rPr>
          <w:rFonts w:cs="Times New Roman"/>
          <w:szCs w:val="24"/>
        </w:rPr>
      </w:pPr>
      <w:r>
        <w:rPr>
          <w:rFonts w:cs="Times New Roman"/>
          <w:position w:val="-32"/>
          <w:szCs w:val="24"/>
          <w:lang w:bidi="ar"/>
        </w:rPr>
        <w:drawing>
          <wp:inline distT="0" distB="0" distL="114300" distR="114300">
            <wp:extent cx="1057275" cy="476250"/>
            <wp:effectExtent l="0" t="0" r="9525" b="0"/>
            <wp:docPr id="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3"/>
                    <pic:cNvPicPr>
                      <a:picLocks noChangeAspect="1"/>
                    </pic:cNvPicPr>
                  </pic:nvPicPr>
                  <pic:blipFill>
                    <a:blip r:embed="rId66"/>
                    <a:stretch>
                      <a:fillRect/>
                    </a:stretch>
                  </pic:blipFill>
                  <pic:spPr>
                    <a:xfrm>
                      <a:off x="0" y="0"/>
                      <a:ext cx="1057275" cy="476250"/>
                    </a:xfrm>
                    <a:prstGeom prst="rect">
                      <a:avLst/>
                    </a:prstGeom>
                    <a:noFill/>
                    <a:ln>
                      <a:noFill/>
                    </a:ln>
                  </pic:spPr>
                </pic:pic>
              </a:graphicData>
            </a:graphic>
          </wp:inline>
        </w:drawing>
      </w:r>
    </w:p>
    <w:p w14:paraId="69EAA940">
      <w:pPr>
        <w:spacing w:line="570" w:lineRule="atLeast"/>
        <w:ind w:firstLine="480"/>
        <w:rPr>
          <w:rFonts w:cs="Times New Roman"/>
          <w:szCs w:val="24"/>
        </w:rPr>
      </w:pPr>
      <w:r>
        <w:rPr>
          <w:rFonts w:hint="eastAsia" w:cs="Times New Roman"/>
          <w:szCs w:val="24"/>
          <w:lang w:bidi="ar"/>
        </w:rPr>
        <w:t>其中，</w:t>
      </w:r>
      <w:r>
        <w:rPr>
          <w:rFonts w:cs="Times New Roman"/>
          <w:i/>
          <w:szCs w:val="24"/>
          <w:lang w:bidi="ar"/>
        </w:rPr>
        <w:t>E</w:t>
      </w:r>
      <w:r>
        <w:rPr>
          <w:rFonts w:cs="Times New Roman"/>
          <w:i/>
          <w:szCs w:val="24"/>
          <w:vertAlign w:val="subscript"/>
          <w:lang w:bidi="ar"/>
        </w:rPr>
        <w:t>I</w:t>
      </w:r>
      <w:r>
        <w:rPr>
          <w:rFonts w:cs="Times New Roman"/>
          <w:szCs w:val="24"/>
          <w:lang w:bidi="ar"/>
        </w:rPr>
        <w:t>—</w:t>
      </w:r>
      <w:r>
        <w:rPr>
          <w:rFonts w:hint="eastAsia" w:cs="Times New Roman"/>
          <w:szCs w:val="24"/>
          <w:lang w:bidi="ar"/>
        </w:rPr>
        <w:t>外来物种入侵度；</w:t>
      </w:r>
    </w:p>
    <w:p w14:paraId="6A6BFC13">
      <w:pPr>
        <w:spacing w:line="570" w:lineRule="atLeast"/>
        <w:ind w:firstLine="1200" w:firstLineChars="500"/>
        <w:rPr>
          <w:rFonts w:cs="Times New Roman"/>
          <w:szCs w:val="24"/>
        </w:rPr>
      </w:pPr>
      <w:r>
        <w:rPr>
          <w:rFonts w:cs="Times New Roman"/>
          <w:i/>
          <w:szCs w:val="24"/>
          <w:lang w:bidi="ar"/>
        </w:rPr>
        <w:t>N</w:t>
      </w:r>
      <w:r>
        <w:rPr>
          <w:rFonts w:cs="Times New Roman"/>
          <w:i/>
          <w:szCs w:val="24"/>
          <w:vertAlign w:val="subscript"/>
          <w:lang w:bidi="ar"/>
        </w:rPr>
        <w:t>I</w:t>
      </w:r>
      <w:r>
        <w:rPr>
          <w:rFonts w:cs="Times New Roman"/>
          <w:szCs w:val="24"/>
          <w:lang w:bidi="ar"/>
        </w:rPr>
        <w:t>—</w:t>
      </w:r>
      <w:r>
        <w:rPr>
          <w:rFonts w:hint="eastAsia" w:cs="Times New Roman"/>
          <w:szCs w:val="24"/>
          <w:lang w:bidi="ar"/>
        </w:rPr>
        <w:t>被评价区域内外来入侵物种数；</w:t>
      </w:r>
    </w:p>
    <w:p w14:paraId="4BB26075">
      <w:pPr>
        <w:spacing w:line="570" w:lineRule="atLeast"/>
        <w:ind w:firstLine="1200" w:firstLineChars="500"/>
        <w:rPr>
          <w:rFonts w:cs="Times New Roman"/>
          <w:szCs w:val="24"/>
        </w:rPr>
      </w:pPr>
      <w:r>
        <w:rPr>
          <w:rFonts w:cs="Times New Roman"/>
          <w:i/>
          <w:szCs w:val="24"/>
          <w:lang w:bidi="ar"/>
        </w:rPr>
        <w:t>N</w:t>
      </w:r>
      <w:r>
        <w:rPr>
          <w:rFonts w:cs="Times New Roman"/>
          <w:i/>
          <w:szCs w:val="24"/>
          <w:vertAlign w:val="subscript"/>
          <w:lang w:bidi="ar"/>
        </w:rPr>
        <w:t>v</w:t>
      </w:r>
      <w:r>
        <w:rPr>
          <w:rFonts w:cs="Times New Roman"/>
          <w:szCs w:val="24"/>
          <w:lang w:bidi="ar"/>
        </w:rPr>
        <w:t>—</w:t>
      </w:r>
      <w:r>
        <w:rPr>
          <w:rFonts w:hint="eastAsia" w:cs="Times New Roman"/>
          <w:szCs w:val="24"/>
          <w:lang w:bidi="ar"/>
        </w:rPr>
        <w:t>被评价区域内野生动物的种数；</w:t>
      </w:r>
    </w:p>
    <w:p w14:paraId="152B5680">
      <w:pPr>
        <w:spacing w:line="570" w:lineRule="atLeast"/>
        <w:ind w:firstLine="1200" w:firstLineChars="500"/>
        <w:rPr>
          <w:rFonts w:cs="Times New Roman"/>
          <w:szCs w:val="24"/>
        </w:rPr>
      </w:pPr>
      <w:r>
        <w:rPr>
          <w:rFonts w:cs="Times New Roman"/>
          <w:i/>
          <w:szCs w:val="24"/>
          <w:lang w:bidi="ar"/>
        </w:rPr>
        <w:t>N</w:t>
      </w:r>
      <w:r>
        <w:rPr>
          <w:rFonts w:cs="Times New Roman"/>
          <w:i/>
          <w:szCs w:val="24"/>
          <w:vertAlign w:val="subscript"/>
          <w:lang w:bidi="ar"/>
        </w:rPr>
        <w:t>p</w:t>
      </w:r>
      <w:r>
        <w:rPr>
          <w:rFonts w:cs="Times New Roman"/>
          <w:szCs w:val="24"/>
          <w:lang w:bidi="ar"/>
        </w:rPr>
        <w:t>—</w:t>
      </w:r>
      <w:r>
        <w:rPr>
          <w:rFonts w:hint="eastAsia" w:cs="Times New Roman"/>
          <w:szCs w:val="24"/>
          <w:lang w:bidi="ar"/>
        </w:rPr>
        <w:t>被评价区域内野生维管束植物的种数。</w:t>
      </w:r>
    </w:p>
    <w:p w14:paraId="3AA238DA">
      <w:pPr>
        <w:spacing w:line="570" w:lineRule="atLeast"/>
        <w:ind w:firstLine="480"/>
        <w:rPr>
          <w:rFonts w:cs="Times New Roman"/>
          <w:szCs w:val="24"/>
        </w:rPr>
      </w:pPr>
      <w:r>
        <w:rPr>
          <w:rFonts w:hint="eastAsia" w:cs="Times New Roman"/>
          <w:szCs w:val="24"/>
          <w:lang w:bidi="ar"/>
        </w:rPr>
        <w:t>根据表</w:t>
      </w:r>
      <w:r>
        <w:rPr>
          <w:rFonts w:cs="Times New Roman"/>
          <w:szCs w:val="24"/>
          <w:lang w:bidi="ar"/>
        </w:rPr>
        <w:t>3.4-35</w:t>
      </w:r>
      <w:r>
        <w:rPr>
          <w:rFonts w:hint="eastAsia" w:cs="Times New Roman"/>
          <w:szCs w:val="24"/>
          <w:lang w:bidi="ar"/>
        </w:rPr>
        <w:t>，计算得到茅山旅游度假区外来物种入侵度为</w:t>
      </w:r>
      <w:r>
        <w:rPr>
          <w:rFonts w:cs="Times New Roman"/>
          <w:szCs w:val="24"/>
          <w:lang w:bidi="ar"/>
        </w:rPr>
        <w:t>0.0182</w:t>
      </w:r>
      <w:r>
        <w:rPr>
          <w:rFonts w:hint="eastAsia" w:cs="Times New Roman"/>
          <w:szCs w:val="24"/>
          <w:lang w:bidi="ar"/>
        </w:rPr>
        <w:t>。</w:t>
      </w:r>
    </w:p>
    <w:p w14:paraId="7C6BE08D">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3</w:t>
      </w:r>
      <w:r>
        <w:rPr>
          <w:rFonts w:hint="eastAsia" w:cs="Times New Roman"/>
          <w:b/>
          <w:bCs/>
          <w:szCs w:val="24"/>
          <w:lang w:bidi="ar"/>
        </w:rPr>
        <w:t>）物种特有性</w:t>
      </w:r>
    </w:p>
    <w:p w14:paraId="51928DDD">
      <w:pPr>
        <w:spacing w:line="570" w:lineRule="atLeast"/>
        <w:ind w:firstLine="480"/>
        <w:rPr>
          <w:rFonts w:cs="Times New Roman"/>
          <w:szCs w:val="24"/>
        </w:rPr>
      </w:pPr>
      <w:r>
        <w:rPr>
          <w:rFonts w:hint="eastAsia" w:cs="Times New Roman"/>
          <w:szCs w:val="24"/>
          <w:lang w:bidi="ar"/>
        </w:rPr>
        <w:t>物种特有性计算公式如下：</w:t>
      </w:r>
    </w:p>
    <w:p w14:paraId="7E592EDF">
      <w:pPr>
        <w:spacing w:line="570" w:lineRule="atLeast"/>
        <w:ind w:firstLine="0" w:firstLineChars="0"/>
        <w:jc w:val="center"/>
        <w:rPr>
          <w:rFonts w:hint="eastAsia" w:ascii="华文仿宋" w:hAnsi="华文仿宋" w:eastAsia="华文仿宋" w:cs="华文仿宋"/>
          <w:szCs w:val="24"/>
        </w:rPr>
      </w:pPr>
      <w:r>
        <w:rPr>
          <w:rFonts w:hint="eastAsia" w:ascii="等线" w:hAnsi="等线" w:eastAsia="等线" w:cs="Times New Roman"/>
          <w:sz w:val="21"/>
          <w:lang w:bidi="ar"/>
        </w:rPr>
        <w:drawing>
          <wp:inline distT="0" distB="0" distL="114300" distR="114300">
            <wp:extent cx="1543050" cy="525145"/>
            <wp:effectExtent l="0" t="0" r="0" b="8255"/>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67"/>
                    <a:stretch>
                      <a:fillRect/>
                    </a:stretch>
                  </pic:blipFill>
                  <pic:spPr>
                    <a:xfrm>
                      <a:off x="0" y="0"/>
                      <a:ext cx="1543050" cy="525145"/>
                    </a:xfrm>
                    <a:prstGeom prst="rect">
                      <a:avLst/>
                    </a:prstGeom>
                    <a:noFill/>
                    <a:ln>
                      <a:noFill/>
                    </a:ln>
                  </pic:spPr>
                </pic:pic>
              </a:graphicData>
            </a:graphic>
          </wp:inline>
        </w:drawing>
      </w:r>
    </w:p>
    <w:p w14:paraId="3E682E2D">
      <w:pPr>
        <w:spacing w:line="570" w:lineRule="atLeast"/>
        <w:ind w:firstLine="504" w:firstLineChars="210"/>
        <w:rPr>
          <w:rFonts w:cs="Times New Roman"/>
          <w:szCs w:val="24"/>
        </w:rPr>
      </w:pPr>
      <w:r>
        <w:rPr>
          <w:rFonts w:hint="eastAsia" w:cs="Times New Roman"/>
          <w:szCs w:val="24"/>
          <w:lang w:bidi="ar"/>
        </w:rPr>
        <w:t>其中，</w:t>
      </w:r>
      <w:r>
        <w:rPr>
          <w:rFonts w:cs="Times New Roman"/>
          <w:i/>
          <w:szCs w:val="24"/>
          <w:lang w:bidi="ar"/>
        </w:rPr>
        <w:t>E</w:t>
      </w:r>
      <w:r>
        <w:rPr>
          <w:rFonts w:cs="Times New Roman"/>
          <w:i/>
          <w:szCs w:val="24"/>
          <w:vertAlign w:val="subscript"/>
          <w:lang w:bidi="ar"/>
        </w:rPr>
        <w:t>D</w:t>
      </w:r>
      <w:r>
        <w:rPr>
          <w:rFonts w:cs="Times New Roman"/>
          <w:szCs w:val="24"/>
          <w:lang w:bidi="ar"/>
        </w:rPr>
        <w:t>—</w:t>
      </w:r>
      <w:r>
        <w:rPr>
          <w:rFonts w:hint="eastAsia" w:cs="Times New Roman"/>
          <w:szCs w:val="24"/>
          <w:lang w:bidi="ar"/>
        </w:rPr>
        <w:t>物种特有性；</w:t>
      </w:r>
    </w:p>
    <w:p w14:paraId="3DC05648">
      <w:pPr>
        <w:spacing w:line="570" w:lineRule="atLeast"/>
        <w:ind w:firstLine="1221" w:firstLineChars="509"/>
        <w:rPr>
          <w:rFonts w:cs="Times New Roman"/>
          <w:szCs w:val="24"/>
        </w:rPr>
      </w:pPr>
      <w:r>
        <w:rPr>
          <w:rFonts w:cs="Times New Roman"/>
          <w:i/>
          <w:szCs w:val="24"/>
          <w:lang w:bidi="ar"/>
        </w:rPr>
        <w:t>N</w:t>
      </w:r>
      <w:r>
        <w:rPr>
          <w:rFonts w:cs="Times New Roman"/>
          <w:i/>
          <w:szCs w:val="24"/>
          <w:vertAlign w:val="subscript"/>
          <w:lang w:bidi="ar"/>
        </w:rPr>
        <w:t>EV</w:t>
      </w:r>
      <w:r>
        <w:rPr>
          <w:rFonts w:cs="Times New Roman"/>
          <w:szCs w:val="24"/>
          <w:lang w:bidi="ar"/>
        </w:rPr>
        <w:t>—</w:t>
      </w:r>
      <w:r>
        <w:rPr>
          <w:rFonts w:hint="eastAsia" w:cs="Times New Roman"/>
          <w:szCs w:val="24"/>
          <w:lang w:bidi="ar"/>
        </w:rPr>
        <w:t>被评价区域内中国特有的野生动物的种数；</w:t>
      </w:r>
    </w:p>
    <w:p w14:paraId="16BACB25">
      <w:pPr>
        <w:spacing w:line="570" w:lineRule="atLeast"/>
        <w:ind w:firstLine="1221" w:firstLineChars="509"/>
        <w:rPr>
          <w:rFonts w:cs="Times New Roman"/>
          <w:szCs w:val="24"/>
        </w:rPr>
      </w:pPr>
      <w:r>
        <w:rPr>
          <w:rFonts w:cs="Times New Roman"/>
          <w:i/>
          <w:szCs w:val="24"/>
          <w:lang w:bidi="ar"/>
        </w:rPr>
        <w:t>N</w:t>
      </w:r>
      <w:r>
        <w:rPr>
          <w:rFonts w:cs="Times New Roman"/>
          <w:i/>
          <w:szCs w:val="24"/>
          <w:vertAlign w:val="subscript"/>
          <w:lang w:bidi="ar"/>
        </w:rPr>
        <w:t>EP</w:t>
      </w:r>
      <w:r>
        <w:rPr>
          <w:rFonts w:cs="Times New Roman"/>
          <w:szCs w:val="24"/>
          <w:lang w:bidi="ar"/>
        </w:rPr>
        <w:t>—</w:t>
      </w:r>
      <w:r>
        <w:rPr>
          <w:rFonts w:hint="eastAsia" w:cs="Times New Roman"/>
          <w:szCs w:val="24"/>
          <w:lang w:bidi="ar"/>
        </w:rPr>
        <w:t>被评价区域内中国特有的野生维管束植物的种数；</w:t>
      </w:r>
    </w:p>
    <w:p w14:paraId="17100CC1">
      <w:pPr>
        <w:spacing w:line="570" w:lineRule="atLeast"/>
        <w:ind w:firstLine="1221" w:firstLineChars="509"/>
        <w:rPr>
          <w:rFonts w:cs="Times New Roman"/>
          <w:szCs w:val="24"/>
        </w:rPr>
      </w:pPr>
      <w:r>
        <w:rPr>
          <w:rFonts w:cs="Times New Roman"/>
          <w:szCs w:val="24"/>
          <w:lang w:bidi="ar"/>
        </w:rPr>
        <w:t>385—</w:t>
      </w:r>
      <w:r>
        <w:rPr>
          <w:rFonts w:hint="eastAsia" w:cs="Times New Roman"/>
          <w:szCs w:val="24"/>
          <w:lang w:bidi="ar"/>
        </w:rPr>
        <w:t>县域野生动物种数的最大值，数据取自《常州市金坛区生物多样性本底调查技术报告》（</w:t>
      </w:r>
      <w:r>
        <w:rPr>
          <w:rFonts w:cs="Times New Roman"/>
          <w:szCs w:val="24"/>
          <w:lang w:bidi="ar"/>
        </w:rPr>
        <w:t>2019</w:t>
      </w:r>
      <w:r>
        <w:rPr>
          <w:rFonts w:hint="eastAsia" w:cs="Times New Roman"/>
          <w:szCs w:val="24"/>
          <w:lang w:bidi="ar"/>
        </w:rPr>
        <w:t>年</w:t>
      </w:r>
      <w:r>
        <w:rPr>
          <w:rFonts w:cs="Times New Roman"/>
          <w:szCs w:val="24"/>
          <w:lang w:bidi="ar"/>
        </w:rPr>
        <w:t>10</w:t>
      </w:r>
      <w:r>
        <w:rPr>
          <w:rFonts w:hint="eastAsia" w:cs="Times New Roman"/>
          <w:szCs w:val="24"/>
          <w:lang w:bidi="ar"/>
        </w:rPr>
        <w:t>月）；</w:t>
      </w:r>
    </w:p>
    <w:p w14:paraId="5DC6186F">
      <w:pPr>
        <w:spacing w:line="570" w:lineRule="atLeast"/>
        <w:ind w:firstLine="1221" w:firstLineChars="509"/>
        <w:rPr>
          <w:rFonts w:cs="Times New Roman"/>
          <w:szCs w:val="24"/>
        </w:rPr>
      </w:pPr>
      <w:r>
        <w:rPr>
          <w:rFonts w:cs="Times New Roman"/>
          <w:szCs w:val="24"/>
          <w:lang w:bidi="ar"/>
        </w:rPr>
        <w:t>611—</w:t>
      </w:r>
      <w:r>
        <w:rPr>
          <w:rFonts w:hint="eastAsia" w:cs="Times New Roman"/>
          <w:szCs w:val="24"/>
          <w:lang w:bidi="ar"/>
        </w:rPr>
        <w:t>县域野生维管束植物种数的最大值，数据取自《常州市金坛区生物多样性本底调查技术报告》（</w:t>
      </w:r>
      <w:r>
        <w:rPr>
          <w:rFonts w:cs="Times New Roman"/>
          <w:szCs w:val="24"/>
          <w:lang w:bidi="ar"/>
        </w:rPr>
        <w:t>2019</w:t>
      </w:r>
      <w:r>
        <w:rPr>
          <w:rFonts w:hint="eastAsia" w:cs="Times New Roman"/>
          <w:szCs w:val="24"/>
          <w:lang w:bidi="ar"/>
        </w:rPr>
        <w:t>年</w:t>
      </w:r>
      <w:r>
        <w:rPr>
          <w:rFonts w:cs="Times New Roman"/>
          <w:szCs w:val="24"/>
          <w:lang w:bidi="ar"/>
        </w:rPr>
        <w:t>10</w:t>
      </w:r>
      <w:r>
        <w:rPr>
          <w:rFonts w:hint="eastAsia" w:cs="Times New Roman"/>
          <w:szCs w:val="24"/>
          <w:lang w:bidi="ar"/>
        </w:rPr>
        <w:t>月）。</w:t>
      </w:r>
    </w:p>
    <w:p w14:paraId="13A44FBD">
      <w:pPr>
        <w:spacing w:line="570" w:lineRule="atLeast"/>
        <w:ind w:firstLine="504" w:firstLineChars="210"/>
        <w:rPr>
          <w:rFonts w:cs="Times New Roman"/>
          <w:szCs w:val="24"/>
        </w:rPr>
      </w:pPr>
      <w:r>
        <w:rPr>
          <w:rFonts w:hint="eastAsia" w:cs="Times New Roman"/>
          <w:szCs w:val="24"/>
          <w:lang w:bidi="ar"/>
        </w:rPr>
        <w:t>茅山旅游度假区内野生中国特有植物</w:t>
      </w:r>
      <w:r>
        <w:rPr>
          <w:rFonts w:cs="Times New Roman"/>
          <w:szCs w:val="24"/>
          <w:lang w:bidi="ar"/>
        </w:rPr>
        <w:t>3</w:t>
      </w:r>
      <w:r>
        <w:rPr>
          <w:rFonts w:hint="eastAsia" w:cs="Times New Roman"/>
          <w:szCs w:val="24"/>
          <w:lang w:bidi="ar"/>
        </w:rPr>
        <w:t>种，无中国特有动物，计算得到茅山旅游度假区物种特有性为</w:t>
      </w:r>
      <w:r>
        <w:rPr>
          <w:rFonts w:cs="Times New Roman"/>
          <w:szCs w:val="24"/>
          <w:lang w:bidi="ar"/>
        </w:rPr>
        <w:t>0.00245</w:t>
      </w:r>
      <w:r>
        <w:rPr>
          <w:rFonts w:hint="eastAsia" w:cs="Times New Roman"/>
          <w:szCs w:val="24"/>
          <w:lang w:bidi="ar"/>
        </w:rPr>
        <w:t>。</w:t>
      </w:r>
    </w:p>
    <w:p w14:paraId="2193D157">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24</w:t>
      </w:r>
      <w:r>
        <w:rPr>
          <w:rFonts w:cs="Times New Roman"/>
        </w:rPr>
        <w:t xml:space="preserve"> </w:t>
      </w:r>
      <w:r>
        <w:rPr>
          <w:rFonts w:hint="eastAsia" w:cs="Times New Roman"/>
        </w:rPr>
        <w:t>茅山旅游度假区内中国特有动植物表</w:t>
      </w:r>
    </w:p>
    <w:tbl>
      <w:tblPr>
        <w:tblStyle w:val="1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924"/>
        <w:gridCol w:w="2308"/>
        <w:gridCol w:w="4595"/>
      </w:tblGrid>
      <w:tr w14:paraId="00E47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 w:type="pct"/>
            <w:tcBorders>
              <w:top w:val="single" w:color="auto" w:sz="4" w:space="0"/>
              <w:left w:val="single" w:color="auto" w:sz="4" w:space="0"/>
              <w:bottom w:val="single" w:color="auto" w:sz="4" w:space="0"/>
              <w:right w:val="single" w:color="auto" w:sz="4" w:space="0"/>
            </w:tcBorders>
            <w:vAlign w:val="center"/>
          </w:tcPr>
          <w:p w14:paraId="3ED2BB9D">
            <w:pPr>
              <w:pStyle w:val="120"/>
              <w:widowControl/>
              <w:kinsoku w:val="0"/>
              <w:overflowPunct w:val="0"/>
              <w:spacing w:line="240" w:lineRule="auto"/>
              <w:ind w:firstLine="0" w:firstLineChars="0"/>
              <w:jc w:val="center"/>
              <w:rPr>
                <w:rFonts w:hint="eastAsia" w:ascii="等线" w:hAnsi="等线" w:eastAsia="仿宋_GB2312"/>
                <w:b/>
                <w:bCs/>
                <w:sz w:val="21"/>
                <w:szCs w:val="21"/>
              </w:rPr>
            </w:pPr>
            <w:r>
              <w:rPr>
                <w:rFonts w:hint="eastAsia" w:ascii="等线" w:hAnsi="等线" w:eastAsia="仿宋_GB2312" w:cs="仿宋_GB2312"/>
                <w:b/>
                <w:bCs/>
                <w:sz w:val="21"/>
                <w:szCs w:val="21"/>
              </w:rPr>
              <w:t>类别</w:t>
            </w:r>
          </w:p>
        </w:tc>
        <w:tc>
          <w:tcPr>
            <w:tcW w:w="542" w:type="pct"/>
            <w:tcBorders>
              <w:top w:val="single" w:color="auto" w:sz="4" w:space="0"/>
              <w:left w:val="single" w:color="auto" w:sz="4" w:space="0"/>
              <w:bottom w:val="single" w:color="auto" w:sz="4" w:space="0"/>
              <w:right w:val="single" w:color="auto" w:sz="4" w:space="0"/>
            </w:tcBorders>
            <w:vAlign w:val="center"/>
          </w:tcPr>
          <w:p w14:paraId="35745B0A">
            <w:pPr>
              <w:pStyle w:val="120"/>
              <w:widowControl/>
              <w:kinsoku w:val="0"/>
              <w:overflowPunct w:val="0"/>
              <w:spacing w:line="240" w:lineRule="auto"/>
              <w:ind w:firstLine="0" w:firstLineChars="0"/>
              <w:jc w:val="center"/>
              <w:rPr>
                <w:rFonts w:hint="eastAsia" w:ascii="等线" w:hAnsi="等线" w:eastAsia="仿宋_GB2312"/>
                <w:b/>
                <w:bCs/>
                <w:sz w:val="21"/>
                <w:szCs w:val="21"/>
              </w:rPr>
            </w:pPr>
            <w:r>
              <w:rPr>
                <w:rFonts w:hint="eastAsia" w:ascii="等线" w:hAnsi="等线" w:eastAsia="仿宋_GB2312" w:cs="仿宋_GB2312"/>
                <w:b/>
                <w:bCs/>
                <w:sz w:val="21"/>
                <w:szCs w:val="21"/>
              </w:rPr>
              <w:t>种名</w:t>
            </w:r>
          </w:p>
        </w:tc>
        <w:tc>
          <w:tcPr>
            <w:tcW w:w="1354" w:type="pct"/>
            <w:tcBorders>
              <w:top w:val="single" w:color="auto" w:sz="4" w:space="0"/>
              <w:left w:val="single" w:color="auto" w:sz="4" w:space="0"/>
              <w:bottom w:val="single" w:color="auto" w:sz="4" w:space="0"/>
              <w:right w:val="single" w:color="auto" w:sz="4" w:space="0"/>
            </w:tcBorders>
            <w:vAlign w:val="center"/>
          </w:tcPr>
          <w:p w14:paraId="4BD562C7">
            <w:pPr>
              <w:pStyle w:val="120"/>
              <w:widowControl/>
              <w:kinsoku w:val="0"/>
              <w:overflowPunct w:val="0"/>
              <w:spacing w:line="240" w:lineRule="auto"/>
              <w:ind w:firstLine="0" w:firstLineChars="0"/>
              <w:jc w:val="center"/>
              <w:rPr>
                <w:rFonts w:hint="eastAsia" w:ascii="等线" w:hAnsi="等线" w:eastAsia="仿宋_GB2312"/>
                <w:b/>
                <w:bCs/>
                <w:sz w:val="21"/>
                <w:szCs w:val="21"/>
              </w:rPr>
            </w:pPr>
            <w:r>
              <w:rPr>
                <w:rFonts w:hint="eastAsia" w:ascii="等线" w:hAnsi="等线" w:eastAsia="仿宋_GB2312" w:cs="仿宋_GB2312"/>
                <w:b/>
                <w:bCs/>
                <w:sz w:val="21"/>
                <w:szCs w:val="21"/>
              </w:rPr>
              <w:t>拉丁名</w:t>
            </w:r>
          </w:p>
        </w:tc>
        <w:tc>
          <w:tcPr>
            <w:tcW w:w="2696" w:type="pct"/>
            <w:tcBorders>
              <w:top w:val="single" w:color="auto" w:sz="4" w:space="0"/>
              <w:left w:val="single" w:color="auto" w:sz="4" w:space="0"/>
              <w:bottom w:val="single" w:color="auto" w:sz="4" w:space="0"/>
              <w:right w:val="single" w:color="auto" w:sz="4" w:space="0"/>
            </w:tcBorders>
            <w:vAlign w:val="center"/>
          </w:tcPr>
          <w:p w14:paraId="543B4575">
            <w:pPr>
              <w:pStyle w:val="120"/>
              <w:widowControl/>
              <w:kinsoku w:val="0"/>
              <w:overflowPunct w:val="0"/>
              <w:spacing w:line="240" w:lineRule="auto"/>
              <w:ind w:firstLine="0" w:firstLineChars="0"/>
              <w:jc w:val="center"/>
              <w:rPr>
                <w:rFonts w:hint="eastAsia" w:ascii="等线" w:hAnsi="等线" w:eastAsia="仿宋_GB2312"/>
                <w:b/>
                <w:bCs/>
                <w:sz w:val="21"/>
                <w:szCs w:val="21"/>
              </w:rPr>
            </w:pPr>
            <w:r>
              <w:rPr>
                <w:rFonts w:hint="eastAsia" w:ascii="等线" w:hAnsi="等线" w:eastAsia="仿宋_GB2312" w:cs="仿宋_GB2312"/>
                <w:b/>
                <w:bCs/>
                <w:sz w:val="21"/>
                <w:szCs w:val="21"/>
              </w:rPr>
              <w:t>栽培状况</w:t>
            </w:r>
          </w:p>
        </w:tc>
      </w:tr>
      <w:tr w14:paraId="2A9D0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 w:type="pct"/>
            <w:vMerge w:val="restart"/>
            <w:tcBorders>
              <w:top w:val="single" w:color="auto" w:sz="4" w:space="0"/>
              <w:left w:val="single" w:color="auto" w:sz="4" w:space="0"/>
              <w:bottom w:val="single" w:color="auto" w:sz="4" w:space="0"/>
              <w:right w:val="single" w:color="auto" w:sz="4" w:space="0"/>
            </w:tcBorders>
            <w:vAlign w:val="center"/>
          </w:tcPr>
          <w:p w14:paraId="5809FE8D">
            <w:pPr>
              <w:pStyle w:val="120"/>
              <w:widowControl/>
              <w:kinsoku w:val="0"/>
              <w:overflowPunct w:val="0"/>
              <w:spacing w:line="240" w:lineRule="auto"/>
              <w:ind w:firstLine="0" w:firstLineChars="0"/>
              <w:jc w:val="center"/>
              <w:rPr>
                <w:rFonts w:hint="eastAsia" w:ascii="等线" w:hAnsi="等线" w:eastAsia="仿宋_GB2312"/>
                <w:sz w:val="21"/>
                <w:szCs w:val="21"/>
              </w:rPr>
            </w:pPr>
            <w:r>
              <w:rPr>
                <w:rFonts w:hint="eastAsia" w:ascii="等线" w:hAnsi="等线" w:eastAsia="仿宋_GB2312" w:cs="仿宋_GB2312"/>
                <w:sz w:val="21"/>
                <w:szCs w:val="21"/>
              </w:rPr>
              <w:t>植物</w:t>
            </w:r>
          </w:p>
        </w:tc>
        <w:tc>
          <w:tcPr>
            <w:tcW w:w="542" w:type="pct"/>
            <w:tcBorders>
              <w:top w:val="single" w:color="auto" w:sz="4" w:space="0"/>
              <w:left w:val="single" w:color="auto" w:sz="4" w:space="0"/>
              <w:bottom w:val="single" w:color="auto" w:sz="4" w:space="0"/>
              <w:right w:val="single" w:color="auto" w:sz="4" w:space="0"/>
            </w:tcBorders>
            <w:vAlign w:val="center"/>
          </w:tcPr>
          <w:p w14:paraId="12775872">
            <w:pPr>
              <w:pStyle w:val="120"/>
              <w:widowControl/>
              <w:kinsoku w:val="0"/>
              <w:overflowPunct w:val="0"/>
              <w:spacing w:line="240" w:lineRule="auto"/>
              <w:ind w:firstLine="0" w:firstLineChars="0"/>
              <w:jc w:val="center"/>
              <w:rPr>
                <w:rFonts w:hint="eastAsia" w:ascii="等线" w:hAnsi="等线" w:eastAsia="仿宋_GB2312"/>
                <w:sz w:val="21"/>
                <w:szCs w:val="21"/>
              </w:rPr>
            </w:pPr>
            <w:r>
              <w:rPr>
                <w:rFonts w:hint="eastAsia" w:ascii="等线" w:hAnsi="等线" w:eastAsia="仿宋_GB2312" w:cs="仿宋_GB2312"/>
                <w:sz w:val="21"/>
                <w:szCs w:val="21"/>
              </w:rPr>
              <w:t>银杏</w:t>
            </w:r>
          </w:p>
        </w:tc>
        <w:tc>
          <w:tcPr>
            <w:tcW w:w="1354" w:type="pct"/>
            <w:tcBorders>
              <w:top w:val="single" w:color="auto" w:sz="4" w:space="0"/>
              <w:left w:val="single" w:color="auto" w:sz="4" w:space="0"/>
              <w:bottom w:val="single" w:color="auto" w:sz="4" w:space="0"/>
              <w:right w:val="single" w:color="auto" w:sz="4" w:space="0"/>
            </w:tcBorders>
            <w:vAlign w:val="center"/>
          </w:tcPr>
          <w:p w14:paraId="0788B79A">
            <w:pPr>
              <w:pStyle w:val="120"/>
              <w:widowControl/>
              <w:kinsoku w:val="0"/>
              <w:overflowPunct w:val="0"/>
              <w:spacing w:line="240" w:lineRule="auto"/>
              <w:ind w:firstLine="0" w:firstLineChars="0"/>
              <w:jc w:val="center"/>
              <w:rPr>
                <w:rFonts w:hint="eastAsia" w:ascii="等线" w:hAnsi="等线" w:eastAsia="仿宋_GB2312"/>
                <w:i/>
                <w:iCs/>
                <w:sz w:val="21"/>
                <w:szCs w:val="21"/>
              </w:rPr>
            </w:pPr>
            <w:r>
              <w:rPr>
                <w:rFonts w:hint="eastAsia" w:ascii="等线" w:hAnsi="等线" w:eastAsia="仿宋_GB2312"/>
                <w:i/>
                <w:iCs/>
                <w:sz w:val="21"/>
                <w:szCs w:val="21"/>
              </w:rPr>
              <w:t>Ginkgo biloba</w:t>
            </w:r>
          </w:p>
        </w:tc>
        <w:tc>
          <w:tcPr>
            <w:tcW w:w="2696" w:type="pct"/>
            <w:tcBorders>
              <w:top w:val="single" w:color="auto" w:sz="4" w:space="0"/>
              <w:left w:val="single" w:color="auto" w:sz="4" w:space="0"/>
              <w:bottom w:val="single" w:color="auto" w:sz="4" w:space="0"/>
              <w:right w:val="single" w:color="auto" w:sz="4" w:space="0"/>
            </w:tcBorders>
            <w:vAlign w:val="center"/>
          </w:tcPr>
          <w:p w14:paraId="22F84C8A">
            <w:pPr>
              <w:pStyle w:val="120"/>
              <w:widowControl/>
              <w:kinsoku w:val="0"/>
              <w:overflowPunct w:val="0"/>
              <w:spacing w:line="240" w:lineRule="auto"/>
              <w:ind w:firstLine="0" w:firstLineChars="0"/>
              <w:jc w:val="center"/>
              <w:rPr>
                <w:rFonts w:hint="eastAsia" w:ascii="等线" w:hAnsi="等线" w:eastAsia="仿宋_GB2312"/>
                <w:sz w:val="21"/>
                <w:szCs w:val="21"/>
              </w:rPr>
            </w:pPr>
            <w:r>
              <w:rPr>
                <w:rFonts w:hint="eastAsia" w:ascii="等线" w:hAnsi="等线" w:eastAsia="仿宋_GB2312" w:cs="仿宋_GB2312"/>
                <w:sz w:val="21"/>
                <w:szCs w:val="21"/>
              </w:rPr>
              <w:t>野生或栽培做木材、食用、药用或用于观赏</w:t>
            </w:r>
          </w:p>
        </w:tc>
      </w:tr>
      <w:tr w14:paraId="46169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 w:type="pct"/>
            <w:vMerge w:val="continue"/>
            <w:tcBorders>
              <w:top w:val="single" w:color="auto" w:sz="4" w:space="0"/>
              <w:left w:val="single" w:color="auto" w:sz="4" w:space="0"/>
              <w:bottom w:val="single" w:color="auto" w:sz="4" w:space="0"/>
              <w:right w:val="single" w:color="auto" w:sz="4" w:space="0"/>
            </w:tcBorders>
            <w:vAlign w:val="center"/>
          </w:tcPr>
          <w:p w14:paraId="658046E9">
            <w:pPr>
              <w:widowControl/>
              <w:spacing w:line="240" w:lineRule="auto"/>
              <w:ind w:firstLine="0" w:firstLineChars="0"/>
              <w:rPr>
                <w:rFonts w:hint="eastAsia" w:ascii="等线" w:hAnsi="等线" w:eastAsia="等线" w:cs="等线"/>
                <w:sz w:val="21"/>
              </w:rPr>
            </w:pPr>
          </w:p>
        </w:tc>
        <w:tc>
          <w:tcPr>
            <w:tcW w:w="542" w:type="pct"/>
            <w:tcBorders>
              <w:top w:val="single" w:color="auto" w:sz="4" w:space="0"/>
              <w:left w:val="single" w:color="auto" w:sz="4" w:space="0"/>
              <w:bottom w:val="single" w:color="auto" w:sz="4" w:space="0"/>
              <w:right w:val="single" w:color="auto" w:sz="4" w:space="0"/>
            </w:tcBorders>
            <w:vAlign w:val="center"/>
          </w:tcPr>
          <w:p w14:paraId="052D3316">
            <w:pPr>
              <w:pStyle w:val="120"/>
              <w:widowControl/>
              <w:kinsoku w:val="0"/>
              <w:overflowPunct w:val="0"/>
              <w:spacing w:line="240" w:lineRule="auto"/>
              <w:ind w:firstLine="0" w:firstLineChars="0"/>
              <w:jc w:val="center"/>
              <w:rPr>
                <w:rFonts w:hint="eastAsia" w:ascii="等线" w:hAnsi="等线" w:eastAsia="仿宋_GB2312"/>
                <w:sz w:val="21"/>
                <w:szCs w:val="21"/>
              </w:rPr>
            </w:pPr>
            <w:r>
              <w:rPr>
                <w:rFonts w:hint="eastAsia" w:ascii="等线" w:hAnsi="等线" w:eastAsia="仿宋_GB2312" w:cs="仿宋_GB2312"/>
                <w:sz w:val="21"/>
                <w:szCs w:val="21"/>
              </w:rPr>
              <w:t>水杉</w:t>
            </w:r>
          </w:p>
        </w:tc>
        <w:tc>
          <w:tcPr>
            <w:tcW w:w="1354" w:type="pct"/>
            <w:tcBorders>
              <w:top w:val="single" w:color="auto" w:sz="4" w:space="0"/>
              <w:left w:val="single" w:color="auto" w:sz="4" w:space="0"/>
              <w:bottom w:val="single" w:color="auto" w:sz="4" w:space="0"/>
              <w:right w:val="single" w:color="auto" w:sz="4" w:space="0"/>
            </w:tcBorders>
            <w:vAlign w:val="center"/>
          </w:tcPr>
          <w:p w14:paraId="320D8FAF">
            <w:pPr>
              <w:pStyle w:val="120"/>
              <w:widowControl/>
              <w:kinsoku w:val="0"/>
              <w:overflowPunct w:val="0"/>
              <w:spacing w:line="240" w:lineRule="auto"/>
              <w:ind w:firstLine="0" w:firstLineChars="0"/>
              <w:jc w:val="center"/>
              <w:rPr>
                <w:rFonts w:hint="eastAsia" w:ascii="等线" w:hAnsi="等线" w:eastAsia="仿宋_GB2312"/>
                <w:i/>
                <w:iCs/>
                <w:sz w:val="21"/>
                <w:szCs w:val="21"/>
              </w:rPr>
            </w:pPr>
            <w:r>
              <w:rPr>
                <w:rFonts w:hint="eastAsia" w:ascii="等线" w:hAnsi="等线" w:eastAsia="仿宋_GB2312"/>
                <w:i/>
                <w:iCs/>
                <w:sz w:val="21"/>
                <w:szCs w:val="21"/>
              </w:rPr>
              <w:t>Metasequoia glyptostroboides</w:t>
            </w:r>
          </w:p>
        </w:tc>
        <w:tc>
          <w:tcPr>
            <w:tcW w:w="2696" w:type="pct"/>
            <w:tcBorders>
              <w:top w:val="single" w:color="auto" w:sz="4" w:space="0"/>
              <w:left w:val="single" w:color="auto" w:sz="4" w:space="0"/>
              <w:bottom w:val="single" w:color="auto" w:sz="4" w:space="0"/>
              <w:right w:val="single" w:color="auto" w:sz="4" w:space="0"/>
            </w:tcBorders>
            <w:vAlign w:val="center"/>
          </w:tcPr>
          <w:p w14:paraId="4D4E0B5C">
            <w:pPr>
              <w:pStyle w:val="120"/>
              <w:widowControl/>
              <w:kinsoku w:val="0"/>
              <w:overflowPunct w:val="0"/>
              <w:spacing w:line="240" w:lineRule="auto"/>
              <w:ind w:firstLine="0" w:firstLineChars="0"/>
              <w:jc w:val="center"/>
              <w:rPr>
                <w:rFonts w:hint="eastAsia" w:ascii="等线" w:hAnsi="等线" w:eastAsia="仿宋_GB2312"/>
                <w:sz w:val="21"/>
                <w:szCs w:val="21"/>
              </w:rPr>
            </w:pPr>
            <w:r>
              <w:rPr>
                <w:rFonts w:hint="eastAsia" w:ascii="等线" w:hAnsi="等线" w:eastAsia="仿宋_GB2312" w:cs="仿宋_GB2312"/>
                <w:sz w:val="21"/>
                <w:szCs w:val="21"/>
              </w:rPr>
              <w:t>生或栽培做造林用及工业原料</w:t>
            </w:r>
          </w:p>
        </w:tc>
      </w:tr>
      <w:tr w14:paraId="02A02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 w:type="pct"/>
            <w:vMerge w:val="continue"/>
            <w:tcBorders>
              <w:top w:val="single" w:color="auto" w:sz="4" w:space="0"/>
              <w:left w:val="single" w:color="auto" w:sz="4" w:space="0"/>
              <w:bottom w:val="single" w:color="auto" w:sz="4" w:space="0"/>
              <w:right w:val="single" w:color="auto" w:sz="4" w:space="0"/>
            </w:tcBorders>
            <w:vAlign w:val="center"/>
          </w:tcPr>
          <w:p w14:paraId="6C1124E2">
            <w:pPr>
              <w:widowControl/>
              <w:spacing w:line="240" w:lineRule="auto"/>
              <w:ind w:firstLine="0" w:firstLineChars="0"/>
              <w:rPr>
                <w:rFonts w:hint="eastAsia" w:ascii="等线" w:hAnsi="等线" w:eastAsia="等线" w:cs="等线"/>
                <w:sz w:val="21"/>
              </w:rPr>
            </w:pPr>
          </w:p>
        </w:tc>
        <w:tc>
          <w:tcPr>
            <w:tcW w:w="542" w:type="pct"/>
            <w:tcBorders>
              <w:top w:val="single" w:color="auto" w:sz="4" w:space="0"/>
              <w:left w:val="single" w:color="auto" w:sz="4" w:space="0"/>
              <w:bottom w:val="single" w:color="auto" w:sz="4" w:space="0"/>
              <w:right w:val="single" w:color="auto" w:sz="4" w:space="0"/>
            </w:tcBorders>
            <w:vAlign w:val="center"/>
          </w:tcPr>
          <w:p w14:paraId="68C0D90D">
            <w:pPr>
              <w:pStyle w:val="120"/>
              <w:widowControl/>
              <w:kinsoku w:val="0"/>
              <w:overflowPunct w:val="0"/>
              <w:spacing w:line="240" w:lineRule="auto"/>
              <w:ind w:firstLine="0" w:firstLineChars="0"/>
              <w:jc w:val="center"/>
              <w:rPr>
                <w:rFonts w:hint="eastAsia" w:ascii="等线" w:hAnsi="等线" w:eastAsia="仿宋_GB2312"/>
                <w:sz w:val="21"/>
                <w:szCs w:val="21"/>
              </w:rPr>
            </w:pPr>
            <w:r>
              <w:rPr>
                <w:rFonts w:hint="eastAsia" w:ascii="等线" w:hAnsi="等线" w:eastAsia="仿宋_GB2312" w:cs="仿宋_GB2312"/>
                <w:sz w:val="21"/>
                <w:szCs w:val="21"/>
              </w:rPr>
              <w:t>鹅掌楸</w:t>
            </w:r>
          </w:p>
        </w:tc>
        <w:tc>
          <w:tcPr>
            <w:tcW w:w="1354" w:type="pct"/>
            <w:tcBorders>
              <w:top w:val="single" w:color="auto" w:sz="4" w:space="0"/>
              <w:left w:val="single" w:color="auto" w:sz="4" w:space="0"/>
              <w:bottom w:val="single" w:color="auto" w:sz="4" w:space="0"/>
              <w:right w:val="single" w:color="auto" w:sz="4" w:space="0"/>
            </w:tcBorders>
            <w:vAlign w:val="center"/>
          </w:tcPr>
          <w:p w14:paraId="4953B7BD">
            <w:pPr>
              <w:pStyle w:val="120"/>
              <w:widowControl/>
              <w:kinsoku w:val="0"/>
              <w:overflowPunct w:val="0"/>
              <w:spacing w:line="240" w:lineRule="auto"/>
              <w:ind w:firstLine="0" w:firstLineChars="0"/>
              <w:jc w:val="center"/>
              <w:rPr>
                <w:rFonts w:hint="eastAsia" w:ascii="等线" w:hAnsi="等线" w:eastAsia="仿宋_GB2312"/>
                <w:sz w:val="21"/>
                <w:szCs w:val="21"/>
              </w:rPr>
            </w:pPr>
            <w:r>
              <w:rPr>
                <w:rFonts w:hint="eastAsia" w:ascii="等线" w:hAnsi="等线" w:eastAsia="仿宋_GB2312"/>
                <w:sz w:val="21"/>
                <w:szCs w:val="21"/>
              </w:rPr>
              <w:t>Liriodendron chinense</w:t>
            </w:r>
          </w:p>
        </w:tc>
        <w:tc>
          <w:tcPr>
            <w:tcW w:w="2696" w:type="pct"/>
            <w:tcBorders>
              <w:top w:val="single" w:color="auto" w:sz="4" w:space="0"/>
              <w:left w:val="single" w:color="auto" w:sz="4" w:space="0"/>
              <w:bottom w:val="single" w:color="auto" w:sz="4" w:space="0"/>
              <w:right w:val="single" w:color="auto" w:sz="4" w:space="0"/>
            </w:tcBorders>
            <w:vAlign w:val="center"/>
          </w:tcPr>
          <w:p w14:paraId="2BBCBCB5">
            <w:pPr>
              <w:pStyle w:val="120"/>
              <w:widowControl/>
              <w:kinsoku w:val="0"/>
              <w:overflowPunct w:val="0"/>
              <w:spacing w:line="240" w:lineRule="auto"/>
              <w:ind w:firstLine="0" w:firstLineChars="0"/>
              <w:jc w:val="center"/>
              <w:rPr>
                <w:rFonts w:hint="eastAsia" w:ascii="等线" w:hAnsi="等线" w:eastAsia="仿宋_GB2312"/>
                <w:sz w:val="21"/>
                <w:szCs w:val="21"/>
              </w:rPr>
            </w:pPr>
            <w:r>
              <w:rPr>
                <w:rFonts w:hint="eastAsia" w:ascii="等线" w:hAnsi="等线" w:eastAsia="仿宋_GB2312" w:cs="仿宋_GB2312"/>
                <w:sz w:val="21"/>
                <w:szCs w:val="21"/>
              </w:rPr>
              <w:t>野生、栽培作园林观赏用</w:t>
            </w:r>
          </w:p>
        </w:tc>
      </w:tr>
      <w:tr w14:paraId="4B837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 w:type="pct"/>
            <w:tcBorders>
              <w:top w:val="single" w:color="auto" w:sz="4" w:space="0"/>
              <w:left w:val="single" w:color="auto" w:sz="4" w:space="0"/>
              <w:bottom w:val="single" w:color="auto" w:sz="4" w:space="0"/>
              <w:right w:val="single" w:color="auto" w:sz="4" w:space="0"/>
            </w:tcBorders>
            <w:vAlign w:val="center"/>
          </w:tcPr>
          <w:p w14:paraId="54F49F6E">
            <w:pPr>
              <w:pStyle w:val="120"/>
              <w:widowControl/>
              <w:kinsoku w:val="0"/>
              <w:overflowPunct w:val="0"/>
              <w:spacing w:line="240" w:lineRule="auto"/>
              <w:ind w:firstLine="0" w:firstLineChars="0"/>
              <w:jc w:val="center"/>
              <w:rPr>
                <w:rFonts w:hint="eastAsia" w:ascii="等线" w:hAnsi="等线" w:eastAsia="仿宋_GB2312"/>
                <w:sz w:val="21"/>
                <w:szCs w:val="21"/>
              </w:rPr>
            </w:pPr>
            <w:r>
              <w:rPr>
                <w:rFonts w:hint="eastAsia" w:ascii="等线" w:hAnsi="等线" w:eastAsia="仿宋_GB2312" w:cs="仿宋_GB2312"/>
                <w:sz w:val="21"/>
                <w:szCs w:val="21"/>
              </w:rPr>
              <w:t>动物</w:t>
            </w:r>
          </w:p>
        </w:tc>
        <w:tc>
          <w:tcPr>
            <w:tcW w:w="1896" w:type="pct"/>
            <w:gridSpan w:val="2"/>
            <w:tcBorders>
              <w:top w:val="single" w:color="auto" w:sz="4" w:space="0"/>
              <w:left w:val="single" w:color="auto" w:sz="4" w:space="0"/>
              <w:bottom w:val="single" w:color="auto" w:sz="4" w:space="0"/>
              <w:right w:val="single" w:color="auto" w:sz="4" w:space="0"/>
            </w:tcBorders>
            <w:vAlign w:val="center"/>
          </w:tcPr>
          <w:p w14:paraId="47952A7C">
            <w:pPr>
              <w:pStyle w:val="120"/>
              <w:widowControl/>
              <w:kinsoku w:val="0"/>
              <w:overflowPunct w:val="0"/>
              <w:spacing w:line="240" w:lineRule="auto"/>
              <w:ind w:firstLine="0" w:firstLineChars="0"/>
              <w:jc w:val="center"/>
              <w:rPr>
                <w:rFonts w:hint="eastAsia" w:ascii="等线" w:hAnsi="等线" w:eastAsia="仿宋_GB2312"/>
                <w:sz w:val="21"/>
                <w:szCs w:val="21"/>
              </w:rPr>
            </w:pPr>
            <w:r>
              <w:rPr>
                <w:rFonts w:hint="eastAsia" w:ascii="等线" w:hAnsi="等线" w:eastAsia="仿宋_GB2312"/>
                <w:sz w:val="21"/>
                <w:szCs w:val="21"/>
              </w:rPr>
              <w:t>/</w:t>
            </w:r>
          </w:p>
        </w:tc>
        <w:tc>
          <w:tcPr>
            <w:tcW w:w="2696" w:type="pct"/>
            <w:tcBorders>
              <w:top w:val="single" w:color="auto" w:sz="4" w:space="0"/>
              <w:left w:val="single" w:color="auto" w:sz="4" w:space="0"/>
              <w:bottom w:val="single" w:color="auto" w:sz="4" w:space="0"/>
              <w:right w:val="single" w:color="auto" w:sz="4" w:space="0"/>
            </w:tcBorders>
            <w:vAlign w:val="center"/>
          </w:tcPr>
          <w:p w14:paraId="408BBAA0">
            <w:pPr>
              <w:pStyle w:val="120"/>
              <w:widowControl/>
              <w:kinsoku w:val="0"/>
              <w:overflowPunct w:val="0"/>
              <w:spacing w:line="240" w:lineRule="auto"/>
              <w:ind w:firstLine="0" w:firstLineChars="0"/>
              <w:jc w:val="center"/>
              <w:rPr>
                <w:rFonts w:hint="eastAsia" w:ascii="等线" w:hAnsi="等线" w:eastAsia="仿宋_GB2312"/>
                <w:sz w:val="21"/>
                <w:szCs w:val="21"/>
              </w:rPr>
            </w:pPr>
            <w:r>
              <w:rPr>
                <w:rFonts w:hint="eastAsia" w:ascii="等线" w:hAnsi="等线" w:eastAsia="仿宋_GB2312"/>
                <w:sz w:val="21"/>
                <w:szCs w:val="21"/>
              </w:rPr>
              <w:t>/</w:t>
            </w:r>
          </w:p>
        </w:tc>
      </w:tr>
    </w:tbl>
    <w:p w14:paraId="0D38CBE5">
      <w:pPr>
        <w:spacing w:line="570" w:lineRule="atLeast"/>
        <w:ind w:firstLine="482"/>
        <w:rPr>
          <w:rFonts w:cs="Times New Roman"/>
          <w:b/>
          <w:bCs/>
          <w:szCs w:val="24"/>
        </w:rPr>
      </w:pPr>
      <w:r>
        <w:rPr>
          <w:rFonts w:hint="eastAsia" w:cs="Times New Roman"/>
          <w:b/>
          <w:bCs/>
          <w:szCs w:val="24"/>
          <w:lang w:bidi="ar"/>
        </w:rPr>
        <w:t>（</w:t>
      </w:r>
      <w:r>
        <w:rPr>
          <w:rFonts w:cs="Times New Roman"/>
          <w:b/>
          <w:bCs/>
          <w:szCs w:val="24"/>
          <w:lang w:bidi="ar"/>
        </w:rPr>
        <w:t>4</w:t>
      </w:r>
      <w:r>
        <w:rPr>
          <w:rFonts w:hint="eastAsia" w:cs="Times New Roman"/>
          <w:b/>
          <w:bCs/>
          <w:szCs w:val="24"/>
          <w:lang w:bidi="ar"/>
        </w:rPr>
        <w:t>）受威胁物种的丰富度</w:t>
      </w:r>
    </w:p>
    <w:p w14:paraId="56F2C264">
      <w:pPr>
        <w:spacing w:line="570" w:lineRule="atLeast"/>
        <w:ind w:firstLine="480"/>
        <w:rPr>
          <w:rFonts w:cs="Times New Roman"/>
          <w:szCs w:val="24"/>
        </w:rPr>
      </w:pPr>
      <w:r>
        <w:rPr>
          <w:rFonts w:hint="eastAsia" w:cs="Times New Roman"/>
          <w:szCs w:val="24"/>
          <w:lang w:bidi="ar"/>
        </w:rPr>
        <w:t>受威胁物种计算公式如下：</w:t>
      </w:r>
    </w:p>
    <w:p w14:paraId="3A186AFE">
      <w:pPr>
        <w:spacing w:line="570" w:lineRule="atLeast"/>
        <w:ind w:firstLine="0" w:firstLineChars="0"/>
        <w:jc w:val="center"/>
        <w:rPr>
          <w:rFonts w:hint="eastAsia" w:ascii="华文仿宋" w:hAnsi="华文仿宋" w:eastAsia="华文仿宋" w:cs="华文仿宋"/>
        </w:rPr>
      </w:pPr>
      <w:r>
        <w:rPr>
          <w:rFonts w:hint="eastAsia" w:ascii="等线" w:hAnsi="等线" w:eastAsia="等线" w:cs="Times New Roman"/>
          <w:sz w:val="21"/>
          <w:lang w:bidi="ar"/>
        </w:rPr>
        <w:drawing>
          <wp:inline distT="0" distB="0" distL="114300" distR="114300">
            <wp:extent cx="1381760" cy="477520"/>
            <wp:effectExtent l="0" t="0" r="8890" b="1778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68"/>
                    <a:stretch>
                      <a:fillRect/>
                    </a:stretch>
                  </pic:blipFill>
                  <pic:spPr>
                    <a:xfrm>
                      <a:off x="0" y="0"/>
                      <a:ext cx="1381760" cy="477520"/>
                    </a:xfrm>
                    <a:prstGeom prst="rect">
                      <a:avLst/>
                    </a:prstGeom>
                    <a:noFill/>
                    <a:ln>
                      <a:noFill/>
                    </a:ln>
                  </pic:spPr>
                </pic:pic>
              </a:graphicData>
            </a:graphic>
          </wp:inline>
        </w:drawing>
      </w:r>
    </w:p>
    <w:p w14:paraId="55CD64FE">
      <w:pPr>
        <w:spacing w:line="570" w:lineRule="atLeast"/>
        <w:ind w:firstLine="480"/>
        <w:rPr>
          <w:rFonts w:cs="Times New Roman"/>
          <w:szCs w:val="24"/>
        </w:rPr>
      </w:pPr>
      <w:r>
        <w:rPr>
          <w:rFonts w:hint="eastAsia" w:cs="Times New Roman"/>
          <w:szCs w:val="24"/>
          <w:lang w:bidi="ar"/>
        </w:rPr>
        <w:t>其中，</w:t>
      </w:r>
      <w:r>
        <w:rPr>
          <w:rFonts w:cs="Times New Roman"/>
          <w:i/>
          <w:szCs w:val="24"/>
          <w:lang w:bidi="ar"/>
        </w:rPr>
        <w:t>R</w:t>
      </w:r>
      <w:r>
        <w:rPr>
          <w:rFonts w:cs="Times New Roman"/>
          <w:i/>
          <w:szCs w:val="24"/>
          <w:vertAlign w:val="subscript"/>
          <w:lang w:bidi="ar"/>
        </w:rPr>
        <w:t>T</w:t>
      </w:r>
      <w:r>
        <w:rPr>
          <w:rFonts w:cs="Times New Roman"/>
          <w:szCs w:val="24"/>
          <w:lang w:bidi="ar"/>
        </w:rPr>
        <w:t>—</w:t>
      </w:r>
      <w:r>
        <w:rPr>
          <w:rFonts w:hint="eastAsia" w:cs="Times New Roman"/>
          <w:szCs w:val="24"/>
          <w:lang w:bidi="ar"/>
        </w:rPr>
        <w:t>受威胁物种的丰富度；</w:t>
      </w:r>
    </w:p>
    <w:p w14:paraId="43A8527E">
      <w:pPr>
        <w:spacing w:line="570" w:lineRule="atLeast"/>
        <w:ind w:firstLine="1200" w:firstLineChars="500"/>
        <w:rPr>
          <w:rFonts w:cs="Times New Roman"/>
          <w:szCs w:val="24"/>
        </w:rPr>
      </w:pPr>
      <w:r>
        <w:rPr>
          <w:rFonts w:cs="Times New Roman"/>
          <w:i/>
          <w:szCs w:val="24"/>
          <w:lang w:bidi="ar"/>
        </w:rPr>
        <w:t>N</w:t>
      </w:r>
      <w:r>
        <w:rPr>
          <w:rFonts w:cs="Times New Roman"/>
          <w:i/>
          <w:szCs w:val="24"/>
          <w:vertAlign w:val="subscript"/>
          <w:lang w:bidi="ar"/>
        </w:rPr>
        <w:t>TV</w:t>
      </w:r>
      <w:r>
        <w:rPr>
          <w:rFonts w:cs="Times New Roman"/>
          <w:szCs w:val="24"/>
          <w:lang w:bidi="ar"/>
        </w:rPr>
        <w:t>—</w:t>
      </w:r>
      <w:r>
        <w:rPr>
          <w:rFonts w:hint="eastAsia" w:cs="Times New Roman"/>
          <w:szCs w:val="24"/>
          <w:lang w:bidi="ar"/>
        </w:rPr>
        <w:t>被评价区域内受威胁的野生动物的种数；</w:t>
      </w:r>
    </w:p>
    <w:p w14:paraId="2B718D08">
      <w:pPr>
        <w:spacing w:line="570" w:lineRule="atLeast"/>
        <w:ind w:firstLine="1200" w:firstLineChars="500"/>
        <w:rPr>
          <w:rFonts w:cs="Times New Roman"/>
          <w:szCs w:val="24"/>
        </w:rPr>
      </w:pPr>
      <w:r>
        <w:rPr>
          <w:rFonts w:cs="Times New Roman"/>
          <w:i/>
          <w:szCs w:val="24"/>
          <w:lang w:bidi="ar"/>
        </w:rPr>
        <w:t>N</w:t>
      </w:r>
      <w:r>
        <w:rPr>
          <w:rFonts w:cs="Times New Roman"/>
          <w:i/>
          <w:szCs w:val="24"/>
          <w:vertAlign w:val="subscript"/>
          <w:lang w:bidi="ar"/>
        </w:rPr>
        <w:t>TP</w:t>
      </w:r>
      <w:r>
        <w:rPr>
          <w:rFonts w:cs="Times New Roman"/>
          <w:szCs w:val="24"/>
          <w:lang w:bidi="ar"/>
        </w:rPr>
        <w:t>—</w:t>
      </w:r>
      <w:r>
        <w:rPr>
          <w:rFonts w:hint="eastAsia" w:cs="Times New Roman"/>
          <w:szCs w:val="24"/>
          <w:lang w:bidi="ar"/>
        </w:rPr>
        <w:t>被评价区域内受威胁的野生维管束植物的种数；</w:t>
      </w:r>
    </w:p>
    <w:p w14:paraId="3E3C3CE7">
      <w:pPr>
        <w:spacing w:line="570" w:lineRule="atLeast"/>
        <w:ind w:firstLine="1221" w:firstLineChars="509"/>
        <w:rPr>
          <w:rFonts w:cs="Times New Roman"/>
          <w:szCs w:val="24"/>
        </w:rPr>
      </w:pPr>
      <w:r>
        <w:rPr>
          <w:rFonts w:cs="Times New Roman"/>
          <w:szCs w:val="24"/>
          <w:lang w:bidi="ar"/>
        </w:rPr>
        <w:t>385—</w:t>
      </w:r>
      <w:r>
        <w:rPr>
          <w:rFonts w:hint="eastAsia" w:cs="Times New Roman"/>
          <w:szCs w:val="24"/>
          <w:lang w:bidi="ar"/>
        </w:rPr>
        <w:t>县域野生动物种数的最大值，数据取自</w:t>
      </w:r>
      <w:bookmarkStart w:id="82" w:name="_Hlk192172798"/>
      <w:r>
        <w:rPr>
          <w:rFonts w:hint="eastAsia" w:cs="Times New Roman"/>
          <w:szCs w:val="24"/>
          <w:lang w:bidi="ar"/>
        </w:rPr>
        <w:t>《常州市金坛区生物多样性本底调查技术报告》（</w:t>
      </w:r>
      <w:r>
        <w:rPr>
          <w:rFonts w:cs="Times New Roman"/>
          <w:szCs w:val="24"/>
          <w:lang w:bidi="ar"/>
        </w:rPr>
        <w:t>2019</w:t>
      </w:r>
      <w:r>
        <w:rPr>
          <w:rFonts w:hint="eastAsia" w:cs="Times New Roman"/>
          <w:szCs w:val="24"/>
          <w:lang w:bidi="ar"/>
        </w:rPr>
        <w:t>年</w:t>
      </w:r>
      <w:r>
        <w:rPr>
          <w:rFonts w:cs="Times New Roman"/>
          <w:szCs w:val="24"/>
          <w:lang w:bidi="ar"/>
        </w:rPr>
        <w:t>10</w:t>
      </w:r>
      <w:r>
        <w:rPr>
          <w:rFonts w:hint="eastAsia" w:cs="Times New Roman"/>
          <w:szCs w:val="24"/>
          <w:lang w:bidi="ar"/>
        </w:rPr>
        <w:t>月）</w:t>
      </w:r>
      <w:bookmarkEnd w:id="82"/>
      <w:r>
        <w:rPr>
          <w:rFonts w:hint="eastAsia" w:cs="Times New Roman"/>
          <w:szCs w:val="24"/>
          <w:lang w:bidi="ar"/>
        </w:rPr>
        <w:t>；</w:t>
      </w:r>
    </w:p>
    <w:p w14:paraId="27F95152">
      <w:pPr>
        <w:spacing w:line="570" w:lineRule="atLeast"/>
        <w:ind w:firstLine="1221" w:firstLineChars="509"/>
        <w:rPr>
          <w:rFonts w:cs="Times New Roman"/>
          <w:szCs w:val="24"/>
        </w:rPr>
      </w:pPr>
      <w:r>
        <w:rPr>
          <w:rFonts w:cs="Times New Roman"/>
          <w:szCs w:val="24"/>
          <w:lang w:bidi="ar"/>
        </w:rPr>
        <w:t>611—</w:t>
      </w:r>
      <w:r>
        <w:rPr>
          <w:rFonts w:hint="eastAsia" w:cs="Times New Roman"/>
          <w:szCs w:val="24"/>
          <w:lang w:bidi="ar"/>
        </w:rPr>
        <w:t>县域野生维管束植物种数的最大值，数据取自《常州市金坛区生物多样性本底调查技术报告》（</w:t>
      </w:r>
      <w:r>
        <w:rPr>
          <w:rFonts w:cs="Times New Roman"/>
          <w:szCs w:val="24"/>
          <w:lang w:bidi="ar"/>
        </w:rPr>
        <w:t>2019</w:t>
      </w:r>
      <w:r>
        <w:rPr>
          <w:rFonts w:hint="eastAsia" w:cs="Times New Roman"/>
          <w:szCs w:val="24"/>
          <w:lang w:bidi="ar"/>
        </w:rPr>
        <w:t>年</w:t>
      </w:r>
      <w:r>
        <w:rPr>
          <w:rFonts w:cs="Times New Roman"/>
          <w:szCs w:val="24"/>
          <w:lang w:bidi="ar"/>
        </w:rPr>
        <w:t>10</w:t>
      </w:r>
      <w:r>
        <w:rPr>
          <w:rFonts w:hint="eastAsia" w:cs="Times New Roman"/>
          <w:szCs w:val="24"/>
          <w:lang w:bidi="ar"/>
        </w:rPr>
        <w:t>月）。</w:t>
      </w:r>
    </w:p>
    <w:p w14:paraId="22B183BE">
      <w:pPr>
        <w:spacing w:line="570" w:lineRule="atLeast"/>
        <w:ind w:firstLine="504" w:firstLineChars="210"/>
        <w:rPr>
          <w:rFonts w:cs="Times New Roman"/>
          <w:szCs w:val="24"/>
        </w:rPr>
      </w:pPr>
      <w:r>
        <w:rPr>
          <w:rFonts w:hint="eastAsia" w:cs="Times New Roman"/>
          <w:szCs w:val="24"/>
          <w:lang w:bidi="ar"/>
        </w:rPr>
        <w:t>茅山旅游度假区内未发现受威胁物种，计算得到红线区受威胁物种的丰富度为</w:t>
      </w:r>
      <w:r>
        <w:rPr>
          <w:rFonts w:cs="Times New Roman"/>
          <w:szCs w:val="24"/>
          <w:lang w:bidi="ar"/>
        </w:rPr>
        <w:t>0</w:t>
      </w:r>
      <w:r>
        <w:rPr>
          <w:rFonts w:hint="eastAsia" w:cs="Times New Roman"/>
          <w:szCs w:val="24"/>
          <w:lang w:bidi="ar"/>
        </w:rPr>
        <w:t>。</w:t>
      </w:r>
    </w:p>
    <w:p w14:paraId="0F17D868">
      <w:pPr>
        <w:spacing w:line="570" w:lineRule="atLeast"/>
        <w:ind w:firstLine="482"/>
        <w:rPr>
          <w:rFonts w:cs="Times New Roman"/>
          <w:b/>
          <w:bCs/>
          <w:szCs w:val="24"/>
        </w:rPr>
      </w:pPr>
      <w:bookmarkStart w:id="83" w:name="_Toc530567591"/>
      <w:r>
        <w:rPr>
          <w:rFonts w:hint="eastAsia" w:cs="Times New Roman"/>
          <w:b/>
          <w:bCs/>
          <w:szCs w:val="24"/>
          <w:lang w:bidi="ar"/>
        </w:rPr>
        <w:t>（</w:t>
      </w:r>
      <w:r>
        <w:rPr>
          <w:rFonts w:cs="Times New Roman"/>
          <w:b/>
          <w:bCs/>
          <w:szCs w:val="24"/>
          <w:lang w:bidi="ar"/>
        </w:rPr>
        <w:t>5</w:t>
      </w:r>
      <w:r>
        <w:rPr>
          <w:rFonts w:hint="eastAsia" w:cs="Times New Roman"/>
          <w:b/>
          <w:bCs/>
          <w:szCs w:val="24"/>
          <w:lang w:bidi="ar"/>
        </w:rPr>
        <w:t>）生物多样性指数</w:t>
      </w:r>
      <w:bookmarkEnd w:id="83"/>
    </w:p>
    <w:p w14:paraId="20D5D318">
      <w:pPr>
        <w:spacing w:line="570" w:lineRule="atLeast"/>
        <w:ind w:firstLine="504" w:firstLineChars="210"/>
        <w:rPr>
          <w:rFonts w:cs="Times New Roman"/>
          <w:bCs/>
          <w:szCs w:val="24"/>
          <w:u w:val="single"/>
        </w:rPr>
      </w:pPr>
      <w:r>
        <w:rPr>
          <w:rFonts w:hint="eastAsia" w:cs="Times New Roman"/>
          <w:bCs/>
          <w:szCs w:val="24"/>
          <w:u w:val="single"/>
          <w:lang w:bidi="ar"/>
        </w:rPr>
        <w:t>评价指标的归一化处理。</w:t>
      </w:r>
      <w:r>
        <w:rPr>
          <w:rFonts w:hint="eastAsia" w:cs="Times New Roman"/>
          <w:bCs/>
          <w:szCs w:val="24"/>
          <w:lang w:bidi="ar"/>
        </w:rPr>
        <w:t>归一化处理计算公式如下：</w:t>
      </w:r>
    </w:p>
    <w:p w14:paraId="460FF3DE">
      <w:pPr>
        <w:spacing w:line="570" w:lineRule="atLeast"/>
        <w:ind w:firstLine="480"/>
        <w:jc w:val="center"/>
        <w:rPr>
          <w:rFonts w:cs="Times New Roman"/>
          <w:szCs w:val="24"/>
        </w:rPr>
      </w:pPr>
      <w:r>
        <w:rPr>
          <w:rFonts w:hint="eastAsia" w:cs="Times New Roman"/>
          <w:szCs w:val="24"/>
          <w:lang w:bidi="ar"/>
        </w:rPr>
        <w:t>归一化后的评价指标</w:t>
      </w:r>
      <w:r>
        <w:rPr>
          <w:rFonts w:cs="Times New Roman"/>
          <w:szCs w:val="24"/>
          <w:lang w:bidi="ar"/>
        </w:rPr>
        <w:t>=</w:t>
      </w:r>
      <w:r>
        <w:rPr>
          <w:rFonts w:hint="eastAsia" w:cs="Times New Roman"/>
          <w:szCs w:val="24"/>
          <w:lang w:bidi="ar"/>
        </w:rPr>
        <w:t>归一化前的评价指标</w:t>
      </w:r>
      <w:r>
        <w:rPr>
          <w:rFonts w:cs="Times New Roman"/>
          <w:szCs w:val="24"/>
          <w:lang w:bidi="ar"/>
        </w:rPr>
        <w:t>×</w:t>
      </w:r>
      <w:r>
        <w:rPr>
          <w:rFonts w:hint="eastAsia" w:cs="Times New Roman"/>
          <w:szCs w:val="24"/>
          <w:lang w:bidi="ar"/>
        </w:rPr>
        <w:t>归一化系数</w:t>
      </w:r>
    </w:p>
    <w:p w14:paraId="6D0B75AB">
      <w:pPr>
        <w:spacing w:line="570" w:lineRule="atLeast"/>
        <w:ind w:firstLine="504" w:firstLineChars="210"/>
        <w:rPr>
          <w:rFonts w:cs="Times New Roman"/>
          <w:szCs w:val="24"/>
        </w:rPr>
      </w:pPr>
      <w:r>
        <w:rPr>
          <w:rFonts w:hint="eastAsia" w:cs="Times New Roman"/>
          <w:szCs w:val="24"/>
          <w:lang w:bidi="ar"/>
        </w:rPr>
        <w:t>其中，归一化系数</w:t>
      </w:r>
      <w:r>
        <w:rPr>
          <w:rFonts w:cs="Times New Roman"/>
          <w:szCs w:val="24"/>
          <w:lang w:bidi="ar"/>
        </w:rPr>
        <w:t>=100/A</w:t>
      </w:r>
      <w:r>
        <w:rPr>
          <w:rFonts w:hint="eastAsia" w:cs="Times New Roman"/>
          <w:szCs w:val="24"/>
          <w:lang w:bidi="ar"/>
        </w:rPr>
        <w:t>最大值。</w:t>
      </w:r>
      <w:r>
        <w:rPr>
          <w:rFonts w:cs="Times New Roman"/>
          <w:szCs w:val="24"/>
          <w:lang w:bidi="ar"/>
        </w:rPr>
        <w:t>A</w:t>
      </w:r>
      <w:r>
        <w:rPr>
          <w:rFonts w:hint="eastAsia" w:cs="Times New Roman"/>
          <w:szCs w:val="24"/>
          <w:lang w:bidi="ar"/>
        </w:rPr>
        <w:t>最大值为被计算指标归一化处理前的最大值。各指标的参考最大值和归一化结果见表</w:t>
      </w:r>
      <w:r>
        <w:rPr>
          <w:rFonts w:cs="Times New Roman"/>
          <w:szCs w:val="24"/>
          <w:lang w:bidi="ar"/>
        </w:rPr>
        <w:t>3.</w:t>
      </w:r>
      <w:r>
        <w:rPr>
          <w:rFonts w:hint="eastAsia" w:cs="Times New Roman"/>
          <w:szCs w:val="24"/>
          <w:lang w:bidi="ar"/>
        </w:rPr>
        <w:t>6</w:t>
      </w:r>
      <w:r>
        <w:rPr>
          <w:rFonts w:cs="Times New Roman"/>
          <w:szCs w:val="24"/>
          <w:lang w:bidi="ar"/>
        </w:rPr>
        <w:t>-</w:t>
      </w:r>
      <w:r>
        <w:rPr>
          <w:rFonts w:hint="eastAsia" w:cs="Times New Roman"/>
          <w:szCs w:val="24"/>
          <w:lang w:bidi="ar"/>
        </w:rPr>
        <w:t>25。</w:t>
      </w:r>
    </w:p>
    <w:p w14:paraId="6BAE2225">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25</w:t>
      </w:r>
      <w:r>
        <w:rPr>
          <w:rFonts w:cs="Times New Roman"/>
        </w:rPr>
        <w:t xml:space="preserve"> </w:t>
      </w:r>
      <w:r>
        <w:rPr>
          <w:rFonts w:hint="eastAsia" w:cs="Times New Roman"/>
        </w:rPr>
        <w:t>相关评价指标的参考最大值</w:t>
      </w:r>
    </w:p>
    <w:tbl>
      <w:tblPr>
        <w:tblStyle w:val="7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0"/>
        <w:gridCol w:w="1599"/>
        <w:gridCol w:w="1601"/>
        <w:gridCol w:w="2562"/>
      </w:tblGrid>
      <w:tr w14:paraId="5466A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619" w:type="pct"/>
            <w:tcBorders>
              <w:top w:val="single" w:color="auto" w:sz="4" w:space="0"/>
              <w:left w:val="single" w:color="auto" w:sz="4" w:space="0"/>
              <w:bottom w:val="single" w:color="auto" w:sz="4" w:space="0"/>
              <w:right w:val="single" w:color="auto" w:sz="4" w:space="0"/>
            </w:tcBorders>
          </w:tcPr>
          <w:p w14:paraId="1260DD8E">
            <w:pPr>
              <w:spacing w:line="240" w:lineRule="auto"/>
              <w:ind w:firstLine="0" w:firstLineChars="0"/>
              <w:jc w:val="center"/>
              <w:rPr>
                <w:rFonts w:cs="Times New Roman"/>
                <w:b/>
                <w:kern w:val="0"/>
                <w:szCs w:val="21"/>
              </w:rPr>
            </w:pPr>
            <w:r>
              <w:rPr>
                <w:rFonts w:hint="eastAsia" w:ascii="等线" w:hAnsi="等线" w:cs="Times New Roman"/>
                <w:b/>
                <w:kern w:val="0"/>
                <w:sz w:val="21"/>
                <w:szCs w:val="21"/>
                <w:lang w:bidi="ar"/>
              </w:rPr>
              <w:t>指标</w:t>
            </w:r>
          </w:p>
        </w:tc>
        <w:tc>
          <w:tcPr>
            <w:tcW w:w="938" w:type="pct"/>
            <w:tcBorders>
              <w:top w:val="single" w:color="auto" w:sz="4" w:space="0"/>
              <w:left w:val="single" w:color="auto" w:sz="4" w:space="0"/>
              <w:bottom w:val="single" w:color="auto" w:sz="4" w:space="0"/>
              <w:right w:val="single" w:color="auto" w:sz="4" w:space="0"/>
            </w:tcBorders>
          </w:tcPr>
          <w:p w14:paraId="29204AA8">
            <w:pPr>
              <w:spacing w:line="240" w:lineRule="auto"/>
              <w:ind w:firstLine="0" w:firstLineChars="0"/>
              <w:jc w:val="center"/>
              <w:rPr>
                <w:rFonts w:cs="Times New Roman"/>
                <w:b/>
                <w:kern w:val="0"/>
                <w:szCs w:val="21"/>
              </w:rPr>
            </w:pPr>
            <w:r>
              <w:rPr>
                <w:rFonts w:hint="eastAsia" w:ascii="等线" w:hAnsi="等线" w:cs="Times New Roman"/>
                <w:b/>
                <w:kern w:val="0"/>
                <w:sz w:val="21"/>
                <w:szCs w:val="21"/>
                <w:lang w:bidi="ar"/>
              </w:rPr>
              <w:t>参考最大值</w:t>
            </w:r>
          </w:p>
        </w:tc>
        <w:tc>
          <w:tcPr>
            <w:tcW w:w="939" w:type="pct"/>
            <w:tcBorders>
              <w:top w:val="single" w:color="auto" w:sz="4" w:space="0"/>
              <w:left w:val="single" w:color="auto" w:sz="4" w:space="0"/>
              <w:bottom w:val="single" w:color="auto" w:sz="4" w:space="0"/>
              <w:right w:val="single" w:color="auto" w:sz="4" w:space="0"/>
            </w:tcBorders>
          </w:tcPr>
          <w:p w14:paraId="56DCE01A">
            <w:pPr>
              <w:spacing w:line="240" w:lineRule="auto"/>
              <w:ind w:firstLine="0" w:firstLineChars="0"/>
              <w:jc w:val="center"/>
              <w:rPr>
                <w:rFonts w:cs="Times New Roman"/>
                <w:b/>
                <w:kern w:val="0"/>
                <w:szCs w:val="21"/>
              </w:rPr>
            </w:pPr>
            <w:r>
              <w:rPr>
                <w:rFonts w:hint="eastAsia" w:ascii="等线" w:hAnsi="等线" w:cs="Times New Roman"/>
                <w:b/>
                <w:kern w:val="0"/>
                <w:sz w:val="21"/>
                <w:szCs w:val="21"/>
                <w:lang w:bidi="ar"/>
              </w:rPr>
              <w:t>归一化系数</w:t>
            </w:r>
          </w:p>
        </w:tc>
        <w:tc>
          <w:tcPr>
            <w:tcW w:w="1503" w:type="pct"/>
            <w:tcBorders>
              <w:top w:val="single" w:color="auto" w:sz="4" w:space="0"/>
              <w:left w:val="single" w:color="auto" w:sz="4" w:space="0"/>
              <w:bottom w:val="single" w:color="auto" w:sz="4" w:space="0"/>
              <w:right w:val="single" w:color="auto" w:sz="4" w:space="0"/>
            </w:tcBorders>
          </w:tcPr>
          <w:p w14:paraId="728E33D0">
            <w:pPr>
              <w:spacing w:line="240" w:lineRule="auto"/>
              <w:ind w:firstLine="0" w:firstLineChars="0"/>
              <w:jc w:val="center"/>
              <w:rPr>
                <w:rFonts w:cs="Times New Roman"/>
                <w:b/>
                <w:kern w:val="0"/>
                <w:szCs w:val="21"/>
              </w:rPr>
            </w:pPr>
            <w:r>
              <w:rPr>
                <w:rFonts w:hint="eastAsia" w:ascii="等线" w:hAnsi="等线" w:cs="Times New Roman"/>
                <w:b/>
                <w:kern w:val="0"/>
                <w:sz w:val="21"/>
                <w:szCs w:val="21"/>
                <w:lang w:bidi="ar"/>
              </w:rPr>
              <w:t>归一化后的评价指标</w:t>
            </w:r>
          </w:p>
        </w:tc>
      </w:tr>
      <w:tr w14:paraId="0069F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9" w:type="pct"/>
            <w:tcBorders>
              <w:top w:val="single" w:color="auto" w:sz="4" w:space="0"/>
              <w:left w:val="single" w:color="auto" w:sz="4" w:space="0"/>
              <w:bottom w:val="single" w:color="auto" w:sz="4" w:space="0"/>
              <w:right w:val="single" w:color="auto" w:sz="4" w:space="0"/>
            </w:tcBorders>
          </w:tcPr>
          <w:p w14:paraId="0058583C">
            <w:pPr>
              <w:spacing w:line="240" w:lineRule="auto"/>
              <w:ind w:firstLine="0" w:firstLineChars="0"/>
              <w:jc w:val="center"/>
              <w:rPr>
                <w:rFonts w:cs="Times New Roman"/>
                <w:bCs/>
                <w:kern w:val="0"/>
                <w:szCs w:val="21"/>
              </w:rPr>
            </w:pPr>
            <w:r>
              <w:rPr>
                <w:rFonts w:hint="eastAsia" w:ascii="等线" w:hAnsi="等线" w:cs="Times New Roman"/>
                <w:bCs/>
                <w:kern w:val="0"/>
                <w:sz w:val="21"/>
                <w:szCs w:val="21"/>
                <w:lang w:bidi="ar"/>
              </w:rPr>
              <w:t>野生维管束植物丰富度</w:t>
            </w:r>
          </w:p>
        </w:tc>
        <w:tc>
          <w:tcPr>
            <w:tcW w:w="938" w:type="pct"/>
            <w:tcBorders>
              <w:top w:val="single" w:color="auto" w:sz="4" w:space="0"/>
              <w:left w:val="single" w:color="auto" w:sz="4" w:space="0"/>
              <w:bottom w:val="single" w:color="auto" w:sz="4" w:space="0"/>
              <w:right w:val="single" w:color="auto" w:sz="4" w:space="0"/>
            </w:tcBorders>
          </w:tcPr>
          <w:p w14:paraId="583DB795">
            <w:pPr>
              <w:spacing w:line="240" w:lineRule="auto"/>
              <w:ind w:firstLine="0" w:firstLineChars="0"/>
              <w:jc w:val="center"/>
              <w:rPr>
                <w:rFonts w:cs="Times New Roman"/>
                <w:bCs/>
                <w:kern w:val="0"/>
                <w:szCs w:val="21"/>
              </w:rPr>
            </w:pPr>
            <w:r>
              <w:rPr>
                <w:rFonts w:cs="Times New Roman"/>
                <w:bCs/>
                <w:kern w:val="0"/>
                <w:sz w:val="20"/>
                <w:szCs w:val="21"/>
                <w:lang w:bidi="ar"/>
              </w:rPr>
              <w:t>611</w:t>
            </w:r>
          </w:p>
        </w:tc>
        <w:tc>
          <w:tcPr>
            <w:tcW w:w="939" w:type="pct"/>
            <w:tcBorders>
              <w:top w:val="single" w:color="auto" w:sz="4" w:space="0"/>
              <w:left w:val="single" w:color="auto" w:sz="4" w:space="0"/>
              <w:bottom w:val="single" w:color="auto" w:sz="4" w:space="0"/>
              <w:right w:val="single" w:color="auto" w:sz="4" w:space="0"/>
            </w:tcBorders>
          </w:tcPr>
          <w:p w14:paraId="52B8BB67">
            <w:pPr>
              <w:spacing w:line="240" w:lineRule="auto"/>
              <w:ind w:firstLine="0" w:firstLineChars="0"/>
              <w:jc w:val="center"/>
              <w:rPr>
                <w:rFonts w:cs="Times New Roman"/>
                <w:bCs/>
                <w:kern w:val="0"/>
                <w:szCs w:val="21"/>
              </w:rPr>
            </w:pPr>
            <w:r>
              <w:rPr>
                <w:rFonts w:cs="Times New Roman"/>
                <w:bCs/>
                <w:kern w:val="0"/>
                <w:sz w:val="20"/>
                <w:szCs w:val="21"/>
                <w:lang w:bidi="ar"/>
              </w:rPr>
              <w:t>0.164</w:t>
            </w:r>
          </w:p>
        </w:tc>
        <w:tc>
          <w:tcPr>
            <w:tcW w:w="1503" w:type="pct"/>
            <w:tcBorders>
              <w:top w:val="single" w:color="auto" w:sz="4" w:space="0"/>
              <w:left w:val="single" w:color="auto" w:sz="4" w:space="0"/>
              <w:bottom w:val="single" w:color="auto" w:sz="4" w:space="0"/>
              <w:right w:val="single" w:color="auto" w:sz="4" w:space="0"/>
            </w:tcBorders>
          </w:tcPr>
          <w:p w14:paraId="13FA3257">
            <w:pPr>
              <w:spacing w:line="240" w:lineRule="auto"/>
              <w:ind w:firstLine="0" w:firstLineChars="0"/>
              <w:jc w:val="center"/>
              <w:rPr>
                <w:rFonts w:cs="Times New Roman"/>
                <w:bCs/>
                <w:kern w:val="0"/>
                <w:szCs w:val="21"/>
              </w:rPr>
            </w:pPr>
            <w:r>
              <w:rPr>
                <w:rFonts w:cs="Times New Roman"/>
                <w:bCs/>
                <w:kern w:val="0"/>
                <w:sz w:val="20"/>
                <w:szCs w:val="21"/>
                <w:lang w:bidi="ar"/>
              </w:rPr>
              <w:t>69.7</w:t>
            </w:r>
          </w:p>
        </w:tc>
      </w:tr>
      <w:tr w14:paraId="66F0A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9" w:type="pct"/>
            <w:tcBorders>
              <w:top w:val="single" w:color="auto" w:sz="4" w:space="0"/>
              <w:left w:val="single" w:color="auto" w:sz="4" w:space="0"/>
              <w:bottom w:val="single" w:color="auto" w:sz="4" w:space="0"/>
              <w:right w:val="single" w:color="auto" w:sz="4" w:space="0"/>
            </w:tcBorders>
          </w:tcPr>
          <w:p w14:paraId="7C56C554">
            <w:pPr>
              <w:spacing w:line="240" w:lineRule="auto"/>
              <w:ind w:firstLine="0" w:firstLineChars="0"/>
              <w:jc w:val="center"/>
              <w:rPr>
                <w:rFonts w:cs="Times New Roman"/>
                <w:bCs/>
                <w:kern w:val="0"/>
                <w:szCs w:val="21"/>
              </w:rPr>
            </w:pPr>
            <w:r>
              <w:rPr>
                <w:rFonts w:hint="eastAsia" w:ascii="等线" w:hAnsi="等线" w:cs="Times New Roman"/>
                <w:bCs/>
                <w:kern w:val="0"/>
                <w:sz w:val="21"/>
                <w:szCs w:val="21"/>
                <w:lang w:bidi="ar"/>
              </w:rPr>
              <w:t>野生动物丰富度</w:t>
            </w:r>
          </w:p>
        </w:tc>
        <w:tc>
          <w:tcPr>
            <w:tcW w:w="938" w:type="pct"/>
            <w:tcBorders>
              <w:top w:val="single" w:color="auto" w:sz="4" w:space="0"/>
              <w:left w:val="single" w:color="auto" w:sz="4" w:space="0"/>
              <w:bottom w:val="single" w:color="auto" w:sz="4" w:space="0"/>
              <w:right w:val="single" w:color="auto" w:sz="4" w:space="0"/>
            </w:tcBorders>
          </w:tcPr>
          <w:p w14:paraId="27DD24E0">
            <w:pPr>
              <w:spacing w:line="240" w:lineRule="auto"/>
              <w:ind w:firstLine="0" w:firstLineChars="0"/>
              <w:jc w:val="center"/>
              <w:rPr>
                <w:rFonts w:cs="Times New Roman"/>
                <w:bCs/>
                <w:kern w:val="0"/>
                <w:szCs w:val="21"/>
              </w:rPr>
            </w:pPr>
            <w:r>
              <w:rPr>
                <w:rFonts w:cs="Times New Roman"/>
                <w:bCs/>
                <w:kern w:val="0"/>
                <w:sz w:val="20"/>
                <w:szCs w:val="21"/>
                <w:lang w:bidi="ar"/>
              </w:rPr>
              <w:t>385</w:t>
            </w:r>
          </w:p>
        </w:tc>
        <w:tc>
          <w:tcPr>
            <w:tcW w:w="939" w:type="pct"/>
            <w:tcBorders>
              <w:top w:val="single" w:color="auto" w:sz="4" w:space="0"/>
              <w:left w:val="single" w:color="auto" w:sz="4" w:space="0"/>
              <w:bottom w:val="single" w:color="auto" w:sz="4" w:space="0"/>
              <w:right w:val="single" w:color="auto" w:sz="4" w:space="0"/>
            </w:tcBorders>
          </w:tcPr>
          <w:p w14:paraId="69DC62E4">
            <w:pPr>
              <w:spacing w:line="240" w:lineRule="auto"/>
              <w:ind w:firstLine="0" w:firstLineChars="0"/>
              <w:jc w:val="center"/>
              <w:rPr>
                <w:rFonts w:cs="Times New Roman"/>
                <w:bCs/>
                <w:kern w:val="0"/>
                <w:szCs w:val="21"/>
              </w:rPr>
            </w:pPr>
            <w:r>
              <w:rPr>
                <w:rFonts w:cs="Times New Roman"/>
                <w:bCs/>
                <w:kern w:val="0"/>
                <w:sz w:val="20"/>
                <w:szCs w:val="21"/>
                <w:lang w:bidi="ar"/>
              </w:rPr>
              <w:t>0.260</w:t>
            </w:r>
          </w:p>
        </w:tc>
        <w:tc>
          <w:tcPr>
            <w:tcW w:w="1503" w:type="pct"/>
            <w:tcBorders>
              <w:top w:val="single" w:color="auto" w:sz="4" w:space="0"/>
              <w:left w:val="single" w:color="auto" w:sz="4" w:space="0"/>
              <w:bottom w:val="single" w:color="auto" w:sz="4" w:space="0"/>
              <w:right w:val="single" w:color="auto" w:sz="4" w:space="0"/>
            </w:tcBorders>
          </w:tcPr>
          <w:p w14:paraId="46CAA38A">
            <w:pPr>
              <w:spacing w:line="240" w:lineRule="auto"/>
              <w:ind w:firstLine="0" w:firstLineChars="0"/>
              <w:jc w:val="center"/>
              <w:rPr>
                <w:rFonts w:cs="Times New Roman"/>
                <w:bCs/>
                <w:kern w:val="0"/>
                <w:szCs w:val="21"/>
              </w:rPr>
            </w:pPr>
            <w:r>
              <w:rPr>
                <w:rFonts w:cs="Times New Roman"/>
                <w:bCs/>
                <w:kern w:val="0"/>
                <w:sz w:val="20"/>
                <w:szCs w:val="21"/>
                <w:lang w:bidi="ar"/>
              </w:rPr>
              <w:t>60.58</w:t>
            </w:r>
          </w:p>
        </w:tc>
      </w:tr>
      <w:tr w14:paraId="29A34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9" w:type="pct"/>
            <w:tcBorders>
              <w:top w:val="single" w:color="auto" w:sz="4" w:space="0"/>
              <w:left w:val="single" w:color="auto" w:sz="4" w:space="0"/>
              <w:bottom w:val="single" w:color="auto" w:sz="4" w:space="0"/>
              <w:right w:val="single" w:color="auto" w:sz="4" w:space="0"/>
            </w:tcBorders>
          </w:tcPr>
          <w:p w14:paraId="3A854308">
            <w:pPr>
              <w:spacing w:line="240" w:lineRule="auto"/>
              <w:ind w:firstLine="0" w:firstLineChars="0"/>
              <w:jc w:val="center"/>
              <w:rPr>
                <w:rFonts w:cs="Times New Roman"/>
                <w:bCs/>
                <w:kern w:val="0"/>
                <w:szCs w:val="21"/>
              </w:rPr>
            </w:pPr>
            <w:r>
              <w:rPr>
                <w:rFonts w:hint="eastAsia" w:ascii="等线" w:hAnsi="等线" w:cs="Times New Roman"/>
                <w:bCs/>
                <w:kern w:val="0"/>
                <w:sz w:val="21"/>
                <w:szCs w:val="21"/>
                <w:lang w:bidi="ar"/>
              </w:rPr>
              <w:t>生态系统类型多样性</w:t>
            </w:r>
          </w:p>
        </w:tc>
        <w:tc>
          <w:tcPr>
            <w:tcW w:w="938" w:type="pct"/>
            <w:tcBorders>
              <w:top w:val="single" w:color="auto" w:sz="4" w:space="0"/>
              <w:left w:val="single" w:color="auto" w:sz="4" w:space="0"/>
              <w:bottom w:val="single" w:color="auto" w:sz="4" w:space="0"/>
              <w:right w:val="single" w:color="auto" w:sz="4" w:space="0"/>
            </w:tcBorders>
          </w:tcPr>
          <w:p w14:paraId="25694A1F">
            <w:pPr>
              <w:spacing w:line="240" w:lineRule="auto"/>
              <w:ind w:firstLine="0" w:firstLineChars="0"/>
              <w:jc w:val="center"/>
              <w:rPr>
                <w:rFonts w:cs="Times New Roman"/>
                <w:bCs/>
                <w:kern w:val="0"/>
                <w:szCs w:val="21"/>
              </w:rPr>
            </w:pPr>
            <w:r>
              <w:rPr>
                <w:rFonts w:cs="Times New Roman"/>
                <w:bCs/>
                <w:kern w:val="0"/>
                <w:sz w:val="20"/>
                <w:szCs w:val="21"/>
                <w:lang w:bidi="ar"/>
              </w:rPr>
              <w:t>124</w:t>
            </w:r>
          </w:p>
        </w:tc>
        <w:tc>
          <w:tcPr>
            <w:tcW w:w="939" w:type="pct"/>
            <w:tcBorders>
              <w:top w:val="single" w:color="auto" w:sz="4" w:space="0"/>
              <w:left w:val="single" w:color="auto" w:sz="4" w:space="0"/>
              <w:bottom w:val="single" w:color="auto" w:sz="4" w:space="0"/>
              <w:right w:val="single" w:color="auto" w:sz="4" w:space="0"/>
            </w:tcBorders>
          </w:tcPr>
          <w:p w14:paraId="534D544A">
            <w:pPr>
              <w:spacing w:line="240" w:lineRule="auto"/>
              <w:ind w:firstLine="0" w:firstLineChars="0"/>
              <w:jc w:val="center"/>
              <w:rPr>
                <w:rFonts w:cs="Times New Roman"/>
                <w:bCs/>
                <w:kern w:val="0"/>
                <w:szCs w:val="21"/>
              </w:rPr>
            </w:pPr>
            <w:r>
              <w:rPr>
                <w:rFonts w:cs="Times New Roman"/>
                <w:bCs/>
                <w:kern w:val="0"/>
                <w:sz w:val="20"/>
                <w:szCs w:val="21"/>
                <w:lang w:bidi="ar"/>
              </w:rPr>
              <w:t>0.8065</w:t>
            </w:r>
          </w:p>
        </w:tc>
        <w:tc>
          <w:tcPr>
            <w:tcW w:w="1503" w:type="pct"/>
            <w:tcBorders>
              <w:top w:val="single" w:color="auto" w:sz="4" w:space="0"/>
              <w:left w:val="single" w:color="auto" w:sz="4" w:space="0"/>
              <w:bottom w:val="single" w:color="auto" w:sz="4" w:space="0"/>
              <w:right w:val="single" w:color="auto" w:sz="4" w:space="0"/>
            </w:tcBorders>
          </w:tcPr>
          <w:p w14:paraId="58A76A3B">
            <w:pPr>
              <w:spacing w:line="240" w:lineRule="auto"/>
              <w:ind w:firstLine="0" w:firstLineChars="0"/>
              <w:jc w:val="center"/>
              <w:rPr>
                <w:rFonts w:cs="Times New Roman"/>
                <w:bCs/>
                <w:kern w:val="0"/>
                <w:szCs w:val="21"/>
              </w:rPr>
            </w:pPr>
            <w:r>
              <w:rPr>
                <w:rFonts w:cs="Times New Roman"/>
                <w:bCs/>
                <w:kern w:val="0"/>
                <w:sz w:val="20"/>
                <w:szCs w:val="21"/>
                <w:lang w:bidi="ar"/>
              </w:rPr>
              <w:t>3.23</w:t>
            </w:r>
          </w:p>
        </w:tc>
      </w:tr>
      <w:tr w14:paraId="23CA8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9" w:type="pct"/>
            <w:tcBorders>
              <w:top w:val="single" w:color="auto" w:sz="4" w:space="0"/>
              <w:left w:val="single" w:color="auto" w:sz="4" w:space="0"/>
              <w:bottom w:val="single" w:color="auto" w:sz="4" w:space="0"/>
              <w:right w:val="single" w:color="auto" w:sz="4" w:space="0"/>
            </w:tcBorders>
          </w:tcPr>
          <w:p w14:paraId="7700DE6F">
            <w:pPr>
              <w:spacing w:line="240" w:lineRule="auto"/>
              <w:ind w:firstLine="0" w:firstLineChars="0"/>
              <w:jc w:val="center"/>
              <w:rPr>
                <w:rFonts w:cs="Times New Roman"/>
                <w:bCs/>
                <w:kern w:val="0"/>
                <w:szCs w:val="21"/>
              </w:rPr>
            </w:pPr>
            <w:r>
              <w:rPr>
                <w:rFonts w:hint="eastAsia" w:ascii="等线" w:hAnsi="等线" w:cs="Times New Roman"/>
                <w:bCs/>
                <w:kern w:val="0"/>
                <w:sz w:val="21"/>
                <w:szCs w:val="21"/>
                <w:lang w:bidi="ar"/>
              </w:rPr>
              <w:t>物种特有性</w:t>
            </w:r>
          </w:p>
        </w:tc>
        <w:tc>
          <w:tcPr>
            <w:tcW w:w="938" w:type="pct"/>
            <w:tcBorders>
              <w:top w:val="single" w:color="auto" w:sz="4" w:space="0"/>
              <w:left w:val="single" w:color="auto" w:sz="4" w:space="0"/>
              <w:bottom w:val="single" w:color="auto" w:sz="4" w:space="0"/>
              <w:right w:val="single" w:color="auto" w:sz="4" w:space="0"/>
            </w:tcBorders>
          </w:tcPr>
          <w:p w14:paraId="77622ED3">
            <w:pPr>
              <w:spacing w:line="240" w:lineRule="auto"/>
              <w:ind w:firstLine="0" w:firstLineChars="0"/>
              <w:jc w:val="center"/>
              <w:rPr>
                <w:rFonts w:cs="Times New Roman"/>
                <w:bCs/>
                <w:kern w:val="0"/>
                <w:szCs w:val="21"/>
              </w:rPr>
            </w:pPr>
            <w:r>
              <w:rPr>
                <w:rFonts w:cs="Times New Roman"/>
                <w:bCs/>
                <w:kern w:val="0"/>
                <w:sz w:val="20"/>
                <w:szCs w:val="21"/>
                <w:lang w:bidi="ar"/>
              </w:rPr>
              <w:t>0.3070</w:t>
            </w:r>
          </w:p>
        </w:tc>
        <w:tc>
          <w:tcPr>
            <w:tcW w:w="939" w:type="pct"/>
            <w:tcBorders>
              <w:top w:val="single" w:color="auto" w:sz="4" w:space="0"/>
              <w:left w:val="single" w:color="auto" w:sz="4" w:space="0"/>
              <w:bottom w:val="single" w:color="auto" w:sz="4" w:space="0"/>
              <w:right w:val="single" w:color="auto" w:sz="4" w:space="0"/>
            </w:tcBorders>
          </w:tcPr>
          <w:p w14:paraId="0CAB4114">
            <w:pPr>
              <w:spacing w:line="240" w:lineRule="auto"/>
              <w:ind w:firstLine="0" w:firstLineChars="0"/>
              <w:jc w:val="center"/>
              <w:rPr>
                <w:rFonts w:cs="Times New Roman"/>
                <w:bCs/>
                <w:kern w:val="0"/>
                <w:szCs w:val="21"/>
              </w:rPr>
            </w:pPr>
            <w:r>
              <w:rPr>
                <w:rFonts w:cs="Times New Roman"/>
                <w:bCs/>
                <w:kern w:val="0"/>
                <w:sz w:val="20"/>
                <w:szCs w:val="21"/>
                <w:lang w:bidi="ar"/>
              </w:rPr>
              <w:t>325.7329</w:t>
            </w:r>
          </w:p>
        </w:tc>
        <w:tc>
          <w:tcPr>
            <w:tcW w:w="1503" w:type="pct"/>
            <w:tcBorders>
              <w:top w:val="single" w:color="auto" w:sz="4" w:space="0"/>
              <w:left w:val="single" w:color="auto" w:sz="4" w:space="0"/>
              <w:bottom w:val="single" w:color="auto" w:sz="4" w:space="0"/>
              <w:right w:val="single" w:color="auto" w:sz="4" w:space="0"/>
            </w:tcBorders>
          </w:tcPr>
          <w:p w14:paraId="20EC4973">
            <w:pPr>
              <w:spacing w:line="240" w:lineRule="auto"/>
              <w:ind w:firstLine="0" w:firstLineChars="0"/>
              <w:jc w:val="center"/>
              <w:rPr>
                <w:rFonts w:cs="Times New Roman"/>
                <w:bCs/>
                <w:kern w:val="0"/>
                <w:szCs w:val="21"/>
              </w:rPr>
            </w:pPr>
            <w:r>
              <w:rPr>
                <w:rFonts w:cs="Times New Roman"/>
                <w:bCs/>
                <w:kern w:val="0"/>
                <w:sz w:val="20"/>
                <w:szCs w:val="21"/>
                <w:lang w:bidi="ar"/>
              </w:rPr>
              <w:t>0.798</w:t>
            </w:r>
          </w:p>
        </w:tc>
      </w:tr>
      <w:tr w14:paraId="56982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9" w:type="pct"/>
            <w:tcBorders>
              <w:top w:val="single" w:color="auto" w:sz="4" w:space="0"/>
              <w:left w:val="single" w:color="auto" w:sz="4" w:space="0"/>
              <w:bottom w:val="single" w:color="auto" w:sz="4" w:space="0"/>
              <w:right w:val="single" w:color="auto" w:sz="4" w:space="0"/>
            </w:tcBorders>
          </w:tcPr>
          <w:p w14:paraId="2BE5B03D">
            <w:pPr>
              <w:spacing w:line="240" w:lineRule="auto"/>
              <w:ind w:firstLine="0" w:firstLineChars="0"/>
              <w:jc w:val="center"/>
              <w:rPr>
                <w:rFonts w:cs="Times New Roman"/>
                <w:bCs/>
                <w:kern w:val="0"/>
                <w:szCs w:val="21"/>
              </w:rPr>
            </w:pPr>
            <w:r>
              <w:rPr>
                <w:rFonts w:hint="eastAsia" w:ascii="等线" w:hAnsi="等线" w:cs="Times New Roman"/>
                <w:bCs/>
                <w:kern w:val="0"/>
                <w:sz w:val="21"/>
                <w:szCs w:val="21"/>
                <w:lang w:bidi="ar"/>
              </w:rPr>
              <w:t>受威胁物种的丰富度</w:t>
            </w:r>
          </w:p>
        </w:tc>
        <w:tc>
          <w:tcPr>
            <w:tcW w:w="938" w:type="pct"/>
            <w:tcBorders>
              <w:top w:val="single" w:color="auto" w:sz="4" w:space="0"/>
              <w:left w:val="single" w:color="auto" w:sz="4" w:space="0"/>
              <w:bottom w:val="single" w:color="auto" w:sz="4" w:space="0"/>
              <w:right w:val="single" w:color="auto" w:sz="4" w:space="0"/>
            </w:tcBorders>
          </w:tcPr>
          <w:p w14:paraId="25A6E948">
            <w:pPr>
              <w:spacing w:line="240" w:lineRule="auto"/>
              <w:ind w:firstLine="0" w:firstLineChars="0"/>
              <w:jc w:val="center"/>
              <w:rPr>
                <w:rFonts w:cs="Times New Roman"/>
                <w:bCs/>
                <w:kern w:val="0"/>
                <w:szCs w:val="21"/>
              </w:rPr>
            </w:pPr>
            <w:r>
              <w:rPr>
                <w:rFonts w:cs="Times New Roman"/>
                <w:bCs/>
                <w:kern w:val="0"/>
                <w:sz w:val="20"/>
                <w:szCs w:val="21"/>
                <w:lang w:bidi="ar"/>
              </w:rPr>
              <w:t>0.1572</w:t>
            </w:r>
          </w:p>
        </w:tc>
        <w:tc>
          <w:tcPr>
            <w:tcW w:w="939" w:type="pct"/>
            <w:tcBorders>
              <w:top w:val="single" w:color="auto" w:sz="4" w:space="0"/>
              <w:left w:val="single" w:color="auto" w:sz="4" w:space="0"/>
              <w:bottom w:val="single" w:color="auto" w:sz="4" w:space="0"/>
              <w:right w:val="single" w:color="auto" w:sz="4" w:space="0"/>
            </w:tcBorders>
          </w:tcPr>
          <w:p w14:paraId="0F502FD3">
            <w:pPr>
              <w:spacing w:line="240" w:lineRule="auto"/>
              <w:ind w:firstLine="0" w:firstLineChars="0"/>
              <w:jc w:val="center"/>
              <w:rPr>
                <w:rFonts w:cs="Times New Roman"/>
                <w:bCs/>
                <w:kern w:val="0"/>
                <w:szCs w:val="21"/>
              </w:rPr>
            </w:pPr>
            <w:r>
              <w:rPr>
                <w:rFonts w:cs="Times New Roman"/>
                <w:bCs/>
                <w:kern w:val="0"/>
                <w:sz w:val="20"/>
                <w:szCs w:val="21"/>
                <w:lang w:bidi="ar"/>
              </w:rPr>
              <w:t>636.1323</w:t>
            </w:r>
          </w:p>
        </w:tc>
        <w:tc>
          <w:tcPr>
            <w:tcW w:w="1503" w:type="pct"/>
            <w:tcBorders>
              <w:top w:val="single" w:color="auto" w:sz="4" w:space="0"/>
              <w:left w:val="single" w:color="auto" w:sz="4" w:space="0"/>
              <w:bottom w:val="single" w:color="auto" w:sz="4" w:space="0"/>
              <w:right w:val="single" w:color="auto" w:sz="4" w:space="0"/>
            </w:tcBorders>
          </w:tcPr>
          <w:p w14:paraId="12475BC4">
            <w:pPr>
              <w:spacing w:line="240" w:lineRule="auto"/>
              <w:ind w:firstLine="0" w:firstLineChars="0"/>
              <w:jc w:val="center"/>
              <w:rPr>
                <w:rFonts w:cs="Times New Roman"/>
                <w:bCs/>
                <w:kern w:val="0"/>
                <w:szCs w:val="21"/>
              </w:rPr>
            </w:pPr>
            <w:r>
              <w:rPr>
                <w:rFonts w:cs="Times New Roman"/>
                <w:bCs/>
                <w:kern w:val="0"/>
                <w:sz w:val="20"/>
                <w:szCs w:val="21"/>
                <w:lang w:bidi="ar"/>
              </w:rPr>
              <w:t>0</w:t>
            </w:r>
          </w:p>
        </w:tc>
      </w:tr>
      <w:tr w14:paraId="33F9E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9" w:type="pct"/>
            <w:tcBorders>
              <w:top w:val="single" w:color="auto" w:sz="4" w:space="0"/>
              <w:left w:val="single" w:color="auto" w:sz="4" w:space="0"/>
              <w:bottom w:val="single" w:color="auto" w:sz="4" w:space="0"/>
              <w:right w:val="single" w:color="auto" w:sz="4" w:space="0"/>
            </w:tcBorders>
          </w:tcPr>
          <w:p w14:paraId="25C99C74">
            <w:pPr>
              <w:spacing w:line="240" w:lineRule="auto"/>
              <w:ind w:firstLine="0" w:firstLineChars="0"/>
              <w:jc w:val="center"/>
              <w:rPr>
                <w:rFonts w:cs="Times New Roman"/>
                <w:bCs/>
                <w:kern w:val="0"/>
                <w:sz w:val="20"/>
                <w:szCs w:val="21"/>
              </w:rPr>
            </w:pPr>
            <w:r>
              <w:rPr>
                <w:rFonts w:hint="eastAsia" w:cs="Times New Roman"/>
                <w:bCs/>
                <w:kern w:val="0"/>
                <w:sz w:val="20"/>
                <w:szCs w:val="21"/>
                <w:lang w:bidi="ar"/>
              </w:rPr>
              <w:t>外来物种入侵度</w:t>
            </w:r>
          </w:p>
        </w:tc>
        <w:tc>
          <w:tcPr>
            <w:tcW w:w="938" w:type="pct"/>
            <w:tcBorders>
              <w:top w:val="single" w:color="auto" w:sz="4" w:space="0"/>
              <w:left w:val="single" w:color="auto" w:sz="4" w:space="0"/>
              <w:bottom w:val="single" w:color="auto" w:sz="4" w:space="0"/>
              <w:right w:val="single" w:color="auto" w:sz="4" w:space="0"/>
            </w:tcBorders>
          </w:tcPr>
          <w:p w14:paraId="4283D3E6">
            <w:pPr>
              <w:spacing w:line="240" w:lineRule="auto"/>
              <w:ind w:firstLine="0" w:firstLineChars="0"/>
              <w:jc w:val="center"/>
              <w:rPr>
                <w:rFonts w:cs="Times New Roman"/>
                <w:bCs/>
                <w:kern w:val="0"/>
                <w:sz w:val="20"/>
                <w:szCs w:val="21"/>
              </w:rPr>
            </w:pPr>
            <w:r>
              <w:rPr>
                <w:rFonts w:cs="Times New Roman"/>
                <w:bCs/>
                <w:kern w:val="0"/>
                <w:sz w:val="20"/>
                <w:szCs w:val="21"/>
                <w:lang w:bidi="ar"/>
              </w:rPr>
              <w:t>0.0331</w:t>
            </w:r>
          </w:p>
        </w:tc>
        <w:tc>
          <w:tcPr>
            <w:tcW w:w="939" w:type="pct"/>
            <w:tcBorders>
              <w:top w:val="single" w:color="auto" w:sz="4" w:space="0"/>
              <w:left w:val="single" w:color="auto" w:sz="4" w:space="0"/>
              <w:bottom w:val="single" w:color="auto" w:sz="4" w:space="0"/>
              <w:right w:val="single" w:color="auto" w:sz="4" w:space="0"/>
            </w:tcBorders>
          </w:tcPr>
          <w:p w14:paraId="5664FC84">
            <w:pPr>
              <w:spacing w:line="240" w:lineRule="auto"/>
              <w:ind w:firstLine="0" w:firstLineChars="0"/>
              <w:jc w:val="center"/>
              <w:rPr>
                <w:rFonts w:cs="Times New Roman"/>
                <w:bCs/>
                <w:kern w:val="0"/>
                <w:sz w:val="20"/>
                <w:szCs w:val="21"/>
              </w:rPr>
            </w:pPr>
            <w:r>
              <w:rPr>
                <w:rFonts w:cs="Times New Roman"/>
                <w:bCs/>
                <w:kern w:val="0"/>
                <w:sz w:val="20"/>
                <w:szCs w:val="21"/>
                <w:lang w:bidi="ar"/>
              </w:rPr>
              <w:t>3021.15</w:t>
            </w:r>
          </w:p>
        </w:tc>
        <w:tc>
          <w:tcPr>
            <w:tcW w:w="1503" w:type="pct"/>
            <w:tcBorders>
              <w:top w:val="single" w:color="auto" w:sz="4" w:space="0"/>
              <w:left w:val="single" w:color="auto" w:sz="4" w:space="0"/>
              <w:bottom w:val="single" w:color="auto" w:sz="4" w:space="0"/>
              <w:right w:val="single" w:color="auto" w:sz="4" w:space="0"/>
            </w:tcBorders>
          </w:tcPr>
          <w:p w14:paraId="7B38253F">
            <w:pPr>
              <w:spacing w:line="240" w:lineRule="auto"/>
              <w:ind w:firstLine="0" w:firstLineChars="0"/>
              <w:jc w:val="center"/>
              <w:rPr>
                <w:rFonts w:cs="Times New Roman"/>
                <w:bCs/>
                <w:kern w:val="0"/>
                <w:sz w:val="20"/>
                <w:szCs w:val="21"/>
              </w:rPr>
            </w:pPr>
            <w:r>
              <w:rPr>
                <w:rFonts w:cs="Times New Roman"/>
                <w:bCs/>
                <w:kern w:val="0"/>
                <w:sz w:val="20"/>
                <w:szCs w:val="21"/>
                <w:lang w:bidi="ar"/>
              </w:rPr>
              <w:t>54.98</w:t>
            </w:r>
          </w:p>
        </w:tc>
      </w:tr>
    </w:tbl>
    <w:p w14:paraId="14D938BA">
      <w:pPr>
        <w:ind w:firstLine="504" w:firstLineChars="210"/>
        <w:rPr>
          <w:rFonts w:cs="Times New Roman"/>
          <w:szCs w:val="24"/>
        </w:rPr>
      </w:pPr>
      <w:r>
        <w:rPr>
          <w:rFonts w:hint="eastAsia" w:cs="Times New Roman"/>
          <w:bCs/>
          <w:szCs w:val="24"/>
          <w:u w:val="single"/>
          <w:lang w:bidi="ar"/>
        </w:rPr>
        <w:t>生物多样性指数计算。</w:t>
      </w:r>
      <w:r>
        <w:rPr>
          <w:rFonts w:hint="eastAsia" w:cs="Times New Roman"/>
          <w:szCs w:val="24"/>
          <w:lang w:bidi="ar"/>
        </w:rPr>
        <w:t>生物多样性指数计算公式如下：</w:t>
      </w:r>
    </w:p>
    <w:p w14:paraId="6C620172">
      <w:pPr>
        <w:spacing w:line="240" w:lineRule="auto"/>
        <w:ind w:left="435" w:leftChars="50" w:hanging="315" w:hangingChars="150"/>
        <w:rPr>
          <w:rFonts w:cs="Times New Roman"/>
          <w:szCs w:val="24"/>
        </w:rPr>
      </w:pPr>
      <w:r>
        <w:rPr>
          <w:rFonts w:ascii="华文仿宋" w:hAnsi="华文仿宋" w:eastAsia="华文仿宋" w:cs="Times New Roman"/>
          <w:sz w:val="21"/>
          <w:lang w:bidi="ar"/>
        </w:rPr>
        <w:pict>
          <v:shape id="_x0000_i1026" o:spt="75" type="#_x0000_t75" style="height:23.65pt;width:408.35pt;" filled="f" o:preferrelative="t" stroked="f" coordsize="21600,21600">
            <v:path/>
            <v:fill on="f" focussize="0,0"/>
            <v:stroke on="f" joinstyle="miter"/>
            <v:imagedata r:id="rId69" o:title=""/>
            <o:lock v:ext="edit" aspectratio="t"/>
            <w10:wrap type="none"/>
            <w10:anchorlock/>
          </v:shape>
        </w:pict>
      </w:r>
      <w:r>
        <w:rPr>
          <w:rFonts w:hint="eastAsia" w:ascii="华文仿宋" w:hAnsi="华文仿宋" w:eastAsia="华文仿宋" w:cs="Times New Roman"/>
          <w:sz w:val="21"/>
          <w:lang w:bidi="ar"/>
        </w:rPr>
        <w:t xml:space="preserve"> </w:t>
      </w:r>
      <w:r>
        <w:rPr>
          <w:rFonts w:hint="eastAsia" w:cs="Times New Roman"/>
          <w:szCs w:val="24"/>
          <w:lang w:bidi="ar"/>
        </w:rPr>
        <w:t>其中，</w:t>
      </w:r>
      <w:r>
        <w:rPr>
          <w:rFonts w:cs="Times New Roman"/>
          <w:i/>
          <w:szCs w:val="24"/>
          <w:lang w:bidi="ar"/>
        </w:rPr>
        <w:t>BI</w:t>
      </w:r>
      <w:r>
        <w:rPr>
          <w:rFonts w:hint="eastAsia" w:cs="Times New Roman"/>
          <w:szCs w:val="24"/>
          <w:lang w:bidi="ar"/>
        </w:rPr>
        <w:t>—生物多样性指数；</w:t>
      </w:r>
    </w:p>
    <w:p w14:paraId="06DE765E">
      <w:pPr>
        <w:ind w:left="360" w:leftChars="150" w:firstLine="720" w:firstLineChars="300"/>
        <w:rPr>
          <w:rFonts w:cs="Times New Roman"/>
          <w:szCs w:val="24"/>
        </w:rPr>
      </w:pPr>
      <w:r>
        <w:rPr>
          <w:rFonts w:cs="Times New Roman"/>
          <w:i/>
          <w:szCs w:val="24"/>
          <w:lang w:bidi="ar"/>
        </w:rPr>
        <w:t>R</w:t>
      </w:r>
      <w:r>
        <w:rPr>
          <w:rFonts w:cs="Times New Roman"/>
          <w:i/>
          <w:szCs w:val="24"/>
          <w:vertAlign w:val="subscript"/>
          <w:lang w:bidi="ar"/>
        </w:rPr>
        <w:t>V</w:t>
      </w:r>
      <w:r>
        <w:rPr>
          <w:rFonts w:cs="Times New Roman"/>
          <w:i/>
          <w:szCs w:val="24"/>
          <w:lang w:bidi="ar"/>
        </w:rPr>
        <w:t>’</w:t>
      </w:r>
      <w:r>
        <w:rPr>
          <w:rFonts w:cs="Times New Roman"/>
          <w:szCs w:val="24"/>
          <w:lang w:bidi="ar"/>
        </w:rPr>
        <w:t>—</w:t>
      </w:r>
      <w:r>
        <w:rPr>
          <w:rFonts w:hint="eastAsia" w:cs="Times New Roman"/>
          <w:szCs w:val="24"/>
          <w:lang w:bidi="ar"/>
        </w:rPr>
        <w:t>归一化后的野生动物丰富度；</w:t>
      </w:r>
    </w:p>
    <w:p w14:paraId="1F6FA2AE">
      <w:pPr>
        <w:ind w:left="360" w:leftChars="150" w:firstLine="720" w:firstLineChars="300"/>
        <w:rPr>
          <w:rFonts w:cs="Times New Roman"/>
          <w:szCs w:val="24"/>
        </w:rPr>
      </w:pPr>
      <w:r>
        <w:rPr>
          <w:rFonts w:cs="Times New Roman"/>
          <w:i/>
          <w:szCs w:val="24"/>
          <w:lang w:bidi="ar"/>
        </w:rPr>
        <w:t>R</w:t>
      </w:r>
      <w:r>
        <w:rPr>
          <w:rFonts w:cs="Times New Roman"/>
          <w:i/>
          <w:szCs w:val="24"/>
          <w:vertAlign w:val="subscript"/>
          <w:lang w:bidi="ar"/>
        </w:rPr>
        <w:t>P</w:t>
      </w:r>
      <w:r>
        <w:rPr>
          <w:rFonts w:cs="Times New Roman"/>
          <w:i/>
          <w:szCs w:val="24"/>
          <w:lang w:bidi="ar"/>
        </w:rPr>
        <w:t>’</w:t>
      </w:r>
      <w:r>
        <w:rPr>
          <w:rFonts w:cs="Times New Roman"/>
          <w:szCs w:val="24"/>
          <w:lang w:bidi="ar"/>
        </w:rPr>
        <w:t>—</w:t>
      </w:r>
      <w:r>
        <w:rPr>
          <w:rFonts w:hint="eastAsia" w:cs="Times New Roman"/>
          <w:szCs w:val="24"/>
          <w:lang w:bidi="ar"/>
        </w:rPr>
        <w:t>归一化后的野生维管束植物丰富度；</w:t>
      </w:r>
    </w:p>
    <w:p w14:paraId="18C0BF56">
      <w:pPr>
        <w:ind w:left="360" w:leftChars="150" w:firstLine="720" w:firstLineChars="300"/>
        <w:rPr>
          <w:rFonts w:cs="Times New Roman"/>
          <w:szCs w:val="24"/>
        </w:rPr>
      </w:pPr>
      <w:r>
        <w:rPr>
          <w:rFonts w:cs="Times New Roman"/>
          <w:i/>
          <w:szCs w:val="24"/>
          <w:lang w:bidi="ar"/>
        </w:rPr>
        <w:t>D</w:t>
      </w:r>
      <w:r>
        <w:rPr>
          <w:rFonts w:cs="Times New Roman"/>
          <w:i/>
          <w:szCs w:val="24"/>
          <w:vertAlign w:val="subscript"/>
          <w:lang w:bidi="ar"/>
        </w:rPr>
        <w:t>E</w:t>
      </w:r>
      <w:r>
        <w:rPr>
          <w:rFonts w:cs="Times New Roman"/>
          <w:i/>
          <w:szCs w:val="24"/>
          <w:lang w:bidi="ar"/>
        </w:rPr>
        <w:t>’</w:t>
      </w:r>
      <w:r>
        <w:rPr>
          <w:rFonts w:cs="Times New Roman"/>
          <w:szCs w:val="24"/>
          <w:lang w:bidi="ar"/>
        </w:rPr>
        <w:t>—</w:t>
      </w:r>
      <w:r>
        <w:rPr>
          <w:rFonts w:hint="eastAsia" w:cs="Times New Roman"/>
          <w:szCs w:val="24"/>
          <w:lang w:bidi="ar"/>
        </w:rPr>
        <w:t>归一化后的生态系统类型多样性；</w:t>
      </w:r>
    </w:p>
    <w:p w14:paraId="3578FCB7">
      <w:pPr>
        <w:ind w:left="360" w:leftChars="150" w:firstLine="720" w:firstLineChars="300"/>
        <w:rPr>
          <w:rFonts w:cs="Times New Roman"/>
          <w:szCs w:val="24"/>
        </w:rPr>
      </w:pPr>
      <w:r>
        <w:rPr>
          <w:rFonts w:cs="Times New Roman"/>
          <w:i/>
          <w:szCs w:val="24"/>
          <w:lang w:bidi="ar"/>
        </w:rPr>
        <w:t>E</w:t>
      </w:r>
      <w:r>
        <w:rPr>
          <w:rFonts w:cs="Times New Roman"/>
          <w:i/>
          <w:szCs w:val="24"/>
          <w:vertAlign w:val="subscript"/>
          <w:lang w:bidi="ar"/>
        </w:rPr>
        <w:t>D</w:t>
      </w:r>
      <w:r>
        <w:rPr>
          <w:rFonts w:cs="Times New Roman"/>
          <w:i/>
          <w:szCs w:val="24"/>
          <w:lang w:bidi="ar"/>
        </w:rPr>
        <w:t>’</w:t>
      </w:r>
      <w:r>
        <w:rPr>
          <w:rFonts w:cs="Times New Roman"/>
          <w:szCs w:val="24"/>
          <w:lang w:bidi="ar"/>
        </w:rPr>
        <w:t>—</w:t>
      </w:r>
      <w:r>
        <w:rPr>
          <w:rFonts w:hint="eastAsia" w:cs="Times New Roman"/>
          <w:szCs w:val="24"/>
          <w:lang w:bidi="ar"/>
        </w:rPr>
        <w:t>归一化后的物种特有性；</w:t>
      </w:r>
    </w:p>
    <w:p w14:paraId="7D83D457">
      <w:pPr>
        <w:ind w:left="360" w:leftChars="150" w:firstLine="720" w:firstLineChars="300"/>
        <w:rPr>
          <w:rFonts w:cs="Times New Roman"/>
          <w:szCs w:val="24"/>
        </w:rPr>
      </w:pPr>
      <w:r>
        <w:rPr>
          <w:rFonts w:cs="Times New Roman"/>
          <w:i/>
          <w:szCs w:val="24"/>
          <w:lang w:bidi="ar"/>
        </w:rPr>
        <w:t>R</w:t>
      </w:r>
      <w:r>
        <w:rPr>
          <w:rFonts w:cs="Times New Roman"/>
          <w:i/>
          <w:szCs w:val="24"/>
          <w:vertAlign w:val="subscript"/>
          <w:lang w:bidi="ar"/>
        </w:rPr>
        <w:t>T</w:t>
      </w:r>
      <w:r>
        <w:rPr>
          <w:rFonts w:cs="Times New Roman"/>
          <w:i/>
          <w:szCs w:val="24"/>
          <w:lang w:bidi="ar"/>
        </w:rPr>
        <w:t>’</w:t>
      </w:r>
      <w:r>
        <w:rPr>
          <w:rFonts w:cs="Times New Roman"/>
          <w:szCs w:val="24"/>
          <w:lang w:bidi="ar"/>
        </w:rPr>
        <w:t>—</w:t>
      </w:r>
      <w:r>
        <w:rPr>
          <w:rFonts w:hint="eastAsia" w:cs="Times New Roman"/>
          <w:szCs w:val="24"/>
          <w:lang w:bidi="ar"/>
        </w:rPr>
        <w:t>归一化后的受威胁物种的丰富度；</w:t>
      </w:r>
    </w:p>
    <w:p w14:paraId="457601F8">
      <w:pPr>
        <w:ind w:left="360" w:leftChars="150" w:firstLine="720" w:firstLineChars="300"/>
        <w:rPr>
          <w:rFonts w:cs="Times New Roman"/>
          <w:szCs w:val="24"/>
        </w:rPr>
      </w:pPr>
      <w:r>
        <w:rPr>
          <w:rFonts w:cs="Times New Roman"/>
          <w:i/>
          <w:szCs w:val="24"/>
          <w:lang w:bidi="ar"/>
        </w:rPr>
        <w:t>E</w:t>
      </w:r>
      <w:r>
        <w:rPr>
          <w:rFonts w:cs="Times New Roman"/>
          <w:i/>
          <w:szCs w:val="24"/>
          <w:vertAlign w:val="subscript"/>
          <w:lang w:bidi="ar"/>
        </w:rPr>
        <w:t>I</w:t>
      </w:r>
      <w:r>
        <w:rPr>
          <w:rFonts w:cs="Times New Roman"/>
          <w:i/>
          <w:szCs w:val="24"/>
          <w:lang w:bidi="ar"/>
        </w:rPr>
        <w:t>’</w:t>
      </w:r>
      <w:r>
        <w:rPr>
          <w:rFonts w:cs="Times New Roman"/>
          <w:szCs w:val="24"/>
          <w:lang w:bidi="ar"/>
        </w:rPr>
        <w:t>—</w:t>
      </w:r>
      <w:r>
        <w:rPr>
          <w:rFonts w:hint="eastAsia" w:cs="Times New Roman"/>
          <w:szCs w:val="24"/>
          <w:lang w:bidi="ar"/>
        </w:rPr>
        <w:t>归一化后的外来物种入侵度。</w:t>
      </w:r>
    </w:p>
    <w:p w14:paraId="5B366461">
      <w:pPr>
        <w:ind w:firstLine="504" w:firstLineChars="210"/>
        <w:rPr>
          <w:rFonts w:cs="Times New Roman"/>
          <w:szCs w:val="24"/>
        </w:rPr>
      </w:pPr>
      <w:r>
        <w:rPr>
          <w:rFonts w:hint="eastAsia" w:cs="Times New Roman"/>
          <w:szCs w:val="24"/>
          <w:lang w:bidi="ar"/>
        </w:rPr>
        <w:t>经计算，茅山旅游度假区生物多样性指数为</w:t>
      </w:r>
      <w:r>
        <w:rPr>
          <w:rFonts w:cs="Times New Roman"/>
          <w:szCs w:val="24"/>
          <w:lang w:bidi="ar"/>
        </w:rPr>
        <w:t>32.002</w:t>
      </w:r>
      <w:r>
        <w:rPr>
          <w:rFonts w:hint="eastAsia" w:cs="Times New Roman"/>
          <w:szCs w:val="24"/>
          <w:lang w:bidi="ar"/>
        </w:rPr>
        <w:t>。</w:t>
      </w:r>
    </w:p>
    <w:p w14:paraId="50B5BC8C">
      <w:pPr>
        <w:ind w:firstLine="482"/>
        <w:rPr>
          <w:rFonts w:cs="Times New Roman"/>
          <w:b/>
          <w:bCs/>
          <w:szCs w:val="24"/>
        </w:rPr>
      </w:pPr>
      <w:r>
        <w:rPr>
          <w:rFonts w:hint="eastAsia" w:cs="Times New Roman"/>
          <w:b/>
          <w:bCs/>
          <w:szCs w:val="24"/>
          <w:lang w:bidi="ar"/>
        </w:rPr>
        <w:t>（</w:t>
      </w:r>
      <w:r>
        <w:rPr>
          <w:rFonts w:cs="Times New Roman"/>
          <w:b/>
          <w:bCs/>
          <w:szCs w:val="24"/>
          <w:lang w:bidi="ar"/>
        </w:rPr>
        <w:t>6</w:t>
      </w:r>
      <w:r>
        <w:rPr>
          <w:rFonts w:hint="eastAsia" w:cs="Times New Roman"/>
          <w:b/>
          <w:bCs/>
          <w:szCs w:val="24"/>
          <w:lang w:bidi="ar"/>
        </w:rPr>
        <w:t>）评价结果</w:t>
      </w:r>
    </w:p>
    <w:p w14:paraId="670F227F">
      <w:pPr>
        <w:ind w:firstLine="480"/>
        <w:rPr>
          <w:rFonts w:cs="Times New Roman"/>
          <w:szCs w:val="24"/>
        </w:rPr>
      </w:pPr>
      <w:r>
        <w:rPr>
          <w:rFonts w:hint="eastAsia" w:cs="Times New Roman"/>
          <w:szCs w:val="24"/>
          <w:lang w:bidi="ar"/>
        </w:rPr>
        <w:t>根据生物多样性指数（</w:t>
      </w:r>
      <w:r>
        <w:rPr>
          <w:rFonts w:cs="Times New Roman"/>
          <w:i/>
          <w:iCs/>
          <w:szCs w:val="24"/>
          <w:lang w:bidi="ar"/>
        </w:rPr>
        <w:t>BI</w:t>
      </w:r>
      <w:r>
        <w:rPr>
          <w:rFonts w:hint="eastAsia" w:cs="Times New Roman"/>
          <w:szCs w:val="24"/>
          <w:lang w:bidi="ar"/>
        </w:rPr>
        <w:t>）将生物多样性状况分为</w:t>
      </w:r>
      <w:r>
        <w:rPr>
          <w:rFonts w:cs="Times New Roman"/>
          <w:szCs w:val="24"/>
          <w:lang w:bidi="ar"/>
        </w:rPr>
        <w:t>4</w:t>
      </w:r>
      <w:r>
        <w:rPr>
          <w:rFonts w:hint="eastAsia" w:cs="Times New Roman"/>
          <w:szCs w:val="24"/>
          <w:lang w:bidi="ar"/>
        </w:rPr>
        <w:t>级，即：高、中、一般和低。根据上述计算结果，茅山旅游度假区生物多样性状况属中级水平。</w:t>
      </w:r>
    </w:p>
    <w:p w14:paraId="4AAB4198">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26</w:t>
      </w:r>
      <w:r>
        <w:rPr>
          <w:rFonts w:cs="Times New Roman"/>
        </w:rPr>
        <w:t xml:space="preserve"> </w:t>
      </w:r>
      <w:r>
        <w:rPr>
          <w:rFonts w:hint="eastAsia" w:cs="Times New Roman"/>
        </w:rPr>
        <w:t>生物多样性状况的分级标准</w:t>
      </w:r>
    </w:p>
    <w:tbl>
      <w:tblPr>
        <w:tblStyle w:val="130"/>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06"/>
        <w:gridCol w:w="1614"/>
        <w:gridCol w:w="5106"/>
      </w:tblGrid>
      <w:tr w14:paraId="58A0F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965" w:type="pct"/>
            <w:tcBorders>
              <w:top w:val="single" w:color="auto" w:sz="4" w:space="0"/>
              <w:left w:val="single" w:color="auto" w:sz="4" w:space="0"/>
              <w:bottom w:val="single" w:color="auto" w:sz="4" w:space="0"/>
              <w:right w:val="single" w:color="auto" w:sz="4" w:space="0"/>
            </w:tcBorders>
            <w:vAlign w:val="center"/>
          </w:tcPr>
          <w:p w14:paraId="27004DCB">
            <w:pPr>
              <w:spacing w:line="240" w:lineRule="auto"/>
              <w:ind w:firstLine="0" w:firstLineChars="0"/>
              <w:jc w:val="center"/>
              <w:rPr>
                <w:rFonts w:hint="eastAsia" w:ascii="等线" w:hAnsi="等线" w:cs="Times New Roman"/>
                <w:b/>
                <w:szCs w:val="21"/>
              </w:rPr>
            </w:pPr>
            <w:r>
              <w:rPr>
                <w:rFonts w:hint="eastAsia" w:ascii="等线" w:hAnsi="等线" w:cs="Times New Roman"/>
                <w:b/>
                <w:sz w:val="21"/>
                <w:szCs w:val="21"/>
                <w:lang w:bidi="ar"/>
              </w:rPr>
              <w:t>生物多样性等级</w:t>
            </w:r>
          </w:p>
        </w:tc>
        <w:tc>
          <w:tcPr>
            <w:tcW w:w="969" w:type="pct"/>
            <w:tcBorders>
              <w:top w:val="single" w:color="auto" w:sz="4" w:space="0"/>
              <w:left w:val="single" w:color="auto" w:sz="4" w:space="0"/>
              <w:bottom w:val="single" w:color="auto" w:sz="4" w:space="0"/>
              <w:right w:val="single" w:color="auto" w:sz="4" w:space="0"/>
            </w:tcBorders>
            <w:vAlign w:val="center"/>
          </w:tcPr>
          <w:p w14:paraId="51B53BF6">
            <w:pPr>
              <w:spacing w:line="240" w:lineRule="auto"/>
              <w:ind w:firstLine="0" w:firstLineChars="0"/>
              <w:jc w:val="center"/>
              <w:rPr>
                <w:rFonts w:hint="eastAsia" w:ascii="等线" w:hAnsi="等线" w:cs="Times New Roman"/>
                <w:b/>
                <w:szCs w:val="21"/>
              </w:rPr>
            </w:pPr>
            <w:r>
              <w:rPr>
                <w:rFonts w:hint="eastAsia" w:ascii="等线" w:hAnsi="等线" w:cs="Times New Roman"/>
                <w:b/>
                <w:sz w:val="21"/>
                <w:szCs w:val="21"/>
                <w:lang w:bidi="ar"/>
              </w:rPr>
              <w:t>生物多样性指数</w:t>
            </w:r>
          </w:p>
        </w:tc>
        <w:tc>
          <w:tcPr>
            <w:tcW w:w="3066" w:type="pct"/>
            <w:tcBorders>
              <w:top w:val="single" w:color="auto" w:sz="4" w:space="0"/>
              <w:left w:val="single" w:color="auto" w:sz="4" w:space="0"/>
              <w:bottom w:val="single" w:color="auto" w:sz="4" w:space="0"/>
              <w:right w:val="single" w:color="auto" w:sz="4" w:space="0"/>
            </w:tcBorders>
            <w:vAlign w:val="center"/>
          </w:tcPr>
          <w:p w14:paraId="30CA36B1">
            <w:pPr>
              <w:spacing w:line="240" w:lineRule="auto"/>
              <w:ind w:firstLine="0" w:firstLineChars="0"/>
              <w:jc w:val="center"/>
              <w:rPr>
                <w:rFonts w:hint="eastAsia" w:ascii="等线" w:hAnsi="等线" w:cs="Times New Roman"/>
                <w:b/>
                <w:szCs w:val="21"/>
              </w:rPr>
            </w:pPr>
            <w:r>
              <w:rPr>
                <w:rFonts w:hint="eastAsia" w:ascii="等线" w:hAnsi="等线" w:cs="Times New Roman"/>
                <w:b/>
                <w:sz w:val="21"/>
                <w:szCs w:val="21"/>
                <w:lang w:bidi="ar"/>
              </w:rPr>
              <w:t>生物多样性状况</w:t>
            </w:r>
          </w:p>
        </w:tc>
      </w:tr>
      <w:tr w14:paraId="2177B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65" w:type="pct"/>
            <w:tcBorders>
              <w:top w:val="single" w:color="auto" w:sz="4" w:space="0"/>
              <w:left w:val="single" w:color="auto" w:sz="4" w:space="0"/>
              <w:bottom w:val="single" w:color="auto" w:sz="4" w:space="0"/>
              <w:right w:val="single" w:color="auto" w:sz="4" w:space="0"/>
            </w:tcBorders>
            <w:vAlign w:val="center"/>
          </w:tcPr>
          <w:p w14:paraId="31CFAD6F">
            <w:pPr>
              <w:spacing w:line="240" w:lineRule="auto"/>
              <w:ind w:firstLine="0" w:firstLineChars="0"/>
              <w:jc w:val="center"/>
              <w:rPr>
                <w:rFonts w:hint="eastAsia" w:ascii="等线" w:hAnsi="等线" w:cs="Times New Roman"/>
                <w:bCs/>
                <w:szCs w:val="21"/>
              </w:rPr>
            </w:pPr>
            <w:r>
              <w:rPr>
                <w:rFonts w:hint="eastAsia" w:ascii="等线" w:hAnsi="等线" w:cs="Times New Roman"/>
                <w:bCs/>
                <w:sz w:val="21"/>
                <w:szCs w:val="21"/>
                <w:lang w:bidi="ar"/>
              </w:rPr>
              <w:t>高</w:t>
            </w:r>
          </w:p>
        </w:tc>
        <w:tc>
          <w:tcPr>
            <w:tcW w:w="969" w:type="pct"/>
            <w:tcBorders>
              <w:top w:val="single" w:color="auto" w:sz="4" w:space="0"/>
              <w:left w:val="single" w:color="auto" w:sz="4" w:space="0"/>
              <w:bottom w:val="single" w:color="auto" w:sz="4" w:space="0"/>
              <w:right w:val="single" w:color="auto" w:sz="4" w:space="0"/>
            </w:tcBorders>
            <w:vAlign w:val="center"/>
          </w:tcPr>
          <w:p w14:paraId="073D4F3F">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i/>
                <w:sz w:val="21"/>
                <w:szCs w:val="21"/>
                <w:lang w:bidi="ar"/>
              </w:rPr>
              <w:t>BI</w:t>
            </w:r>
            <w:r>
              <w:rPr>
                <w:rFonts w:hint="default" w:ascii="Times New Roman" w:hAnsi="Times New Roman" w:cs="Times New Roman"/>
                <w:bCs/>
                <w:sz w:val="21"/>
                <w:szCs w:val="21"/>
                <w:lang w:bidi="ar"/>
              </w:rPr>
              <w:t>≥60</w:t>
            </w:r>
          </w:p>
        </w:tc>
        <w:tc>
          <w:tcPr>
            <w:tcW w:w="3066" w:type="pct"/>
            <w:tcBorders>
              <w:top w:val="single" w:color="auto" w:sz="4" w:space="0"/>
              <w:left w:val="single" w:color="auto" w:sz="4" w:space="0"/>
              <w:bottom w:val="single" w:color="auto" w:sz="4" w:space="0"/>
              <w:right w:val="single" w:color="auto" w:sz="4" w:space="0"/>
            </w:tcBorders>
            <w:vAlign w:val="center"/>
          </w:tcPr>
          <w:p w14:paraId="5615E825">
            <w:pPr>
              <w:spacing w:line="240" w:lineRule="auto"/>
              <w:ind w:firstLine="0" w:firstLineChars="0"/>
              <w:jc w:val="center"/>
              <w:rPr>
                <w:rFonts w:hint="eastAsia" w:ascii="等线" w:hAnsi="等线" w:cs="Times New Roman"/>
                <w:bCs/>
                <w:szCs w:val="21"/>
              </w:rPr>
            </w:pPr>
            <w:r>
              <w:rPr>
                <w:rFonts w:hint="eastAsia" w:ascii="等线" w:hAnsi="等线" w:cs="Times New Roman"/>
                <w:bCs/>
                <w:sz w:val="21"/>
                <w:szCs w:val="21"/>
                <w:lang w:bidi="ar"/>
              </w:rPr>
              <w:t>物种高度丰富，特有属、种多，生态系统丰富多样</w:t>
            </w:r>
          </w:p>
        </w:tc>
      </w:tr>
      <w:tr w14:paraId="716D2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65" w:type="pct"/>
            <w:tcBorders>
              <w:top w:val="single" w:color="auto" w:sz="4" w:space="0"/>
              <w:left w:val="single" w:color="auto" w:sz="4" w:space="0"/>
              <w:bottom w:val="single" w:color="auto" w:sz="4" w:space="0"/>
              <w:right w:val="single" w:color="auto" w:sz="4" w:space="0"/>
            </w:tcBorders>
            <w:vAlign w:val="center"/>
          </w:tcPr>
          <w:p w14:paraId="09F9F568">
            <w:pPr>
              <w:spacing w:line="240" w:lineRule="auto"/>
              <w:ind w:firstLine="0" w:firstLineChars="0"/>
              <w:jc w:val="center"/>
              <w:rPr>
                <w:rFonts w:hint="eastAsia" w:ascii="等线" w:hAnsi="等线" w:cs="Times New Roman"/>
                <w:bCs/>
                <w:szCs w:val="21"/>
              </w:rPr>
            </w:pPr>
            <w:r>
              <w:rPr>
                <w:rFonts w:hint="eastAsia" w:ascii="等线" w:hAnsi="等线" w:cs="Times New Roman"/>
                <w:bCs/>
                <w:sz w:val="21"/>
                <w:szCs w:val="21"/>
                <w:lang w:bidi="ar"/>
              </w:rPr>
              <w:t>中</w:t>
            </w:r>
          </w:p>
        </w:tc>
        <w:tc>
          <w:tcPr>
            <w:tcW w:w="969" w:type="pct"/>
            <w:tcBorders>
              <w:top w:val="single" w:color="auto" w:sz="4" w:space="0"/>
              <w:left w:val="single" w:color="auto" w:sz="4" w:space="0"/>
              <w:bottom w:val="single" w:color="auto" w:sz="4" w:space="0"/>
              <w:right w:val="single" w:color="auto" w:sz="4" w:space="0"/>
            </w:tcBorders>
            <w:vAlign w:val="center"/>
          </w:tcPr>
          <w:p w14:paraId="554845D6">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sz w:val="21"/>
                <w:szCs w:val="21"/>
                <w:lang w:bidi="ar"/>
              </w:rPr>
              <w:t>30≤</w:t>
            </w:r>
            <w:r>
              <w:rPr>
                <w:rFonts w:hint="default" w:ascii="Times New Roman" w:hAnsi="Times New Roman" w:cs="Times New Roman"/>
                <w:bCs/>
                <w:i/>
                <w:sz w:val="21"/>
                <w:szCs w:val="21"/>
                <w:lang w:bidi="ar"/>
              </w:rPr>
              <w:t>BI</w:t>
            </w:r>
            <w:r>
              <w:rPr>
                <w:rFonts w:hint="default" w:ascii="Times New Roman" w:hAnsi="Times New Roman" w:cs="Times New Roman"/>
                <w:bCs/>
                <w:sz w:val="21"/>
                <w:szCs w:val="21"/>
                <w:lang w:bidi="ar"/>
              </w:rPr>
              <w:t>＜60</w:t>
            </w:r>
          </w:p>
        </w:tc>
        <w:tc>
          <w:tcPr>
            <w:tcW w:w="3066" w:type="pct"/>
            <w:tcBorders>
              <w:top w:val="single" w:color="auto" w:sz="4" w:space="0"/>
              <w:left w:val="single" w:color="auto" w:sz="4" w:space="0"/>
              <w:bottom w:val="single" w:color="auto" w:sz="4" w:space="0"/>
              <w:right w:val="single" w:color="auto" w:sz="4" w:space="0"/>
            </w:tcBorders>
            <w:vAlign w:val="center"/>
          </w:tcPr>
          <w:p w14:paraId="50ABFF47">
            <w:pPr>
              <w:spacing w:line="240" w:lineRule="auto"/>
              <w:ind w:firstLine="0" w:firstLineChars="0"/>
              <w:jc w:val="center"/>
              <w:rPr>
                <w:rFonts w:hint="eastAsia" w:ascii="等线" w:hAnsi="等线" w:cs="Times New Roman"/>
                <w:bCs/>
                <w:szCs w:val="21"/>
              </w:rPr>
            </w:pPr>
            <w:r>
              <w:rPr>
                <w:rFonts w:hint="eastAsia" w:ascii="等线" w:hAnsi="等线" w:cs="Times New Roman"/>
                <w:bCs/>
                <w:sz w:val="21"/>
                <w:szCs w:val="21"/>
                <w:lang w:bidi="ar"/>
              </w:rPr>
              <w:t>物种较丰富，特有属、种较多，生态系统类型较多，局部地区生物多样性高度丰富</w:t>
            </w:r>
          </w:p>
        </w:tc>
      </w:tr>
      <w:tr w14:paraId="79000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65" w:type="pct"/>
            <w:tcBorders>
              <w:top w:val="single" w:color="auto" w:sz="4" w:space="0"/>
              <w:left w:val="single" w:color="auto" w:sz="4" w:space="0"/>
              <w:bottom w:val="single" w:color="auto" w:sz="4" w:space="0"/>
              <w:right w:val="single" w:color="auto" w:sz="4" w:space="0"/>
            </w:tcBorders>
            <w:vAlign w:val="center"/>
          </w:tcPr>
          <w:p w14:paraId="0469C2EE">
            <w:pPr>
              <w:spacing w:line="240" w:lineRule="auto"/>
              <w:ind w:firstLine="0" w:firstLineChars="0"/>
              <w:jc w:val="center"/>
              <w:rPr>
                <w:rFonts w:hint="eastAsia" w:ascii="等线" w:hAnsi="等线" w:cs="Times New Roman"/>
                <w:bCs/>
                <w:szCs w:val="21"/>
              </w:rPr>
            </w:pPr>
            <w:r>
              <w:rPr>
                <w:rFonts w:hint="eastAsia" w:ascii="等线" w:hAnsi="等线" w:cs="Times New Roman"/>
                <w:bCs/>
                <w:sz w:val="21"/>
                <w:szCs w:val="21"/>
                <w:lang w:bidi="ar"/>
              </w:rPr>
              <w:t>一般</w:t>
            </w:r>
          </w:p>
        </w:tc>
        <w:tc>
          <w:tcPr>
            <w:tcW w:w="969" w:type="pct"/>
            <w:tcBorders>
              <w:top w:val="single" w:color="auto" w:sz="4" w:space="0"/>
              <w:left w:val="single" w:color="auto" w:sz="4" w:space="0"/>
              <w:bottom w:val="single" w:color="auto" w:sz="4" w:space="0"/>
              <w:right w:val="single" w:color="auto" w:sz="4" w:space="0"/>
            </w:tcBorders>
            <w:vAlign w:val="center"/>
          </w:tcPr>
          <w:p w14:paraId="6867D9E2">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sz w:val="21"/>
                <w:szCs w:val="21"/>
                <w:lang w:bidi="ar"/>
              </w:rPr>
              <w:t>20≤</w:t>
            </w:r>
            <w:r>
              <w:rPr>
                <w:rFonts w:hint="default" w:ascii="Times New Roman" w:hAnsi="Times New Roman" w:cs="Times New Roman"/>
                <w:bCs/>
                <w:i/>
                <w:sz w:val="21"/>
                <w:szCs w:val="21"/>
                <w:lang w:bidi="ar"/>
              </w:rPr>
              <w:t>BI</w:t>
            </w:r>
            <w:r>
              <w:rPr>
                <w:rFonts w:hint="default" w:ascii="Times New Roman" w:hAnsi="Times New Roman" w:cs="Times New Roman"/>
                <w:bCs/>
                <w:sz w:val="21"/>
                <w:szCs w:val="21"/>
                <w:lang w:bidi="ar"/>
              </w:rPr>
              <w:t>＜30</w:t>
            </w:r>
          </w:p>
        </w:tc>
        <w:tc>
          <w:tcPr>
            <w:tcW w:w="3066" w:type="pct"/>
            <w:tcBorders>
              <w:top w:val="single" w:color="auto" w:sz="4" w:space="0"/>
              <w:left w:val="single" w:color="auto" w:sz="4" w:space="0"/>
              <w:bottom w:val="single" w:color="auto" w:sz="4" w:space="0"/>
              <w:right w:val="single" w:color="auto" w:sz="4" w:space="0"/>
            </w:tcBorders>
            <w:vAlign w:val="center"/>
          </w:tcPr>
          <w:p w14:paraId="731EA07E">
            <w:pPr>
              <w:spacing w:line="240" w:lineRule="auto"/>
              <w:ind w:firstLine="0" w:firstLineChars="0"/>
              <w:jc w:val="center"/>
              <w:rPr>
                <w:rFonts w:hint="eastAsia" w:ascii="等线" w:hAnsi="等线" w:cs="Times New Roman"/>
                <w:bCs/>
                <w:szCs w:val="21"/>
              </w:rPr>
            </w:pPr>
            <w:r>
              <w:rPr>
                <w:rFonts w:hint="eastAsia" w:ascii="等线" w:hAnsi="等线" w:cs="Times New Roman"/>
                <w:bCs/>
                <w:sz w:val="21"/>
                <w:szCs w:val="21"/>
                <w:lang w:bidi="ar"/>
              </w:rPr>
              <w:t>物种较少，特有属、种不多，局部地区生物多样性较丰富，但生物多样性总体水平一般</w:t>
            </w:r>
          </w:p>
        </w:tc>
      </w:tr>
      <w:tr w14:paraId="1EC85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65" w:type="pct"/>
            <w:tcBorders>
              <w:top w:val="single" w:color="auto" w:sz="4" w:space="0"/>
              <w:left w:val="single" w:color="auto" w:sz="4" w:space="0"/>
              <w:bottom w:val="single" w:color="auto" w:sz="4" w:space="0"/>
              <w:right w:val="single" w:color="auto" w:sz="4" w:space="0"/>
            </w:tcBorders>
            <w:vAlign w:val="center"/>
          </w:tcPr>
          <w:p w14:paraId="117818A3">
            <w:pPr>
              <w:spacing w:line="240" w:lineRule="auto"/>
              <w:ind w:firstLine="0" w:firstLineChars="0"/>
              <w:jc w:val="center"/>
              <w:rPr>
                <w:rFonts w:hint="eastAsia" w:ascii="等线" w:hAnsi="等线" w:cs="Times New Roman"/>
                <w:bCs/>
                <w:szCs w:val="21"/>
              </w:rPr>
            </w:pPr>
            <w:r>
              <w:rPr>
                <w:rFonts w:hint="eastAsia" w:ascii="等线" w:hAnsi="等线" w:cs="Times New Roman"/>
                <w:bCs/>
                <w:sz w:val="21"/>
                <w:szCs w:val="21"/>
                <w:lang w:bidi="ar"/>
              </w:rPr>
              <w:t>低</w:t>
            </w:r>
          </w:p>
        </w:tc>
        <w:tc>
          <w:tcPr>
            <w:tcW w:w="969" w:type="pct"/>
            <w:tcBorders>
              <w:top w:val="single" w:color="auto" w:sz="4" w:space="0"/>
              <w:left w:val="single" w:color="auto" w:sz="4" w:space="0"/>
              <w:bottom w:val="single" w:color="auto" w:sz="4" w:space="0"/>
              <w:right w:val="single" w:color="auto" w:sz="4" w:space="0"/>
            </w:tcBorders>
            <w:vAlign w:val="center"/>
          </w:tcPr>
          <w:p w14:paraId="4755E92D">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i/>
                <w:sz w:val="21"/>
                <w:szCs w:val="21"/>
                <w:lang w:bidi="ar"/>
              </w:rPr>
              <w:t>BI</w:t>
            </w:r>
            <w:r>
              <w:rPr>
                <w:rFonts w:hint="default" w:ascii="Times New Roman" w:hAnsi="Times New Roman" w:cs="Times New Roman"/>
                <w:bCs/>
                <w:sz w:val="21"/>
                <w:szCs w:val="21"/>
                <w:lang w:bidi="ar"/>
              </w:rPr>
              <w:t>＜20</w:t>
            </w:r>
          </w:p>
        </w:tc>
        <w:tc>
          <w:tcPr>
            <w:tcW w:w="3066" w:type="pct"/>
            <w:tcBorders>
              <w:top w:val="single" w:color="auto" w:sz="4" w:space="0"/>
              <w:left w:val="single" w:color="auto" w:sz="4" w:space="0"/>
              <w:bottom w:val="single" w:color="auto" w:sz="4" w:space="0"/>
              <w:right w:val="single" w:color="auto" w:sz="4" w:space="0"/>
            </w:tcBorders>
            <w:vAlign w:val="center"/>
          </w:tcPr>
          <w:p w14:paraId="45DF3385">
            <w:pPr>
              <w:spacing w:line="240" w:lineRule="auto"/>
              <w:ind w:firstLine="0" w:firstLineChars="0"/>
              <w:jc w:val="center"/>
              <w:rPr>
                <w:rFonts w:hint="eastAsia" w:ascii="等线" w:hAnsi="等线" w:cs="Times New Roman"/>
                <w:bCs/>
                <w:szCs w:val="21"/>
              </w:rPr>
            </w:pPr>
            <w:r>
              <w:rPr>
                <w:rFonts w:hint="eastAsia" w:ascii="等线" w:hAnsi="等线" w:cs="Times New Roman"/>
                <w:bCs/>
                <w:sz w:val="21"/>
                <w:szCs w:val="21"/>
                <w:lang w:bidi="ar"/>
              </w:rPr>
              <w:t>物种贫乏，生态系统类型单一、脆弱，生物多样性极低</w:t>
            </w:r>
          </w:p>
        </w:tc>
      </w:tr>
    </w:tbl>
    <w:p w14:paraId="079CABAB">
      <w:pPr>
        <w:ind w:firstLine="482"/>
        <w:rPr>
          <w:rFonts w:cs="Times New Roman"/>
          <w:b/>
          <w:bCs/>
          <w:szCs w:val="24"/>
        </w:rPr>
      </w:pPr>
      <w:r>
        <w:rPr>
          <w:rFonts w:hint="eastAsia" w:cs="Times New Roman"/>
          <w:b/>
          <w:bCs/>
          <w:szCs w:val="24"/>
          <w:lang w:bidi="ar"/>
        </w:rPr>
        <w:t>（</w:t>
      </w:r>
      <w:r>
        <w:rPr>
          <w:rFonts w:cs="Times New Roman"/>
          <w:b/>
          <w:bCs/>
          <w:szCs w:val="24"/>
          <w:lang w:bidi="ar"/>
        </w:rPr>
        <w:t>7</w:t>
      </w:r>
      <w:r>
        <w:rPr>
          <w:rFonts w:hint="eastAsia" w:cs="Times New Roman"/>
          <w:b/>
          <w:bCs/>
          <w:szCs w:val="24"/>
          <w:lang w:bidi="ar"/>
        </w:rPr>
        <w:t>）与其他地区生物多样性对比分析</w:t>
      </w:r>
    </w:p>
    <w:p w14:paraId="20728362">
      <w:pPr>
        <w:ind w:firstLine="480"/>
        <w:rPr>
          <w:rFonts w:cs="Times New Roman"/>
          <w:szCs w:val="24"/>
        </w:rPr>
      </w:pPr>
      <w:r>
        <w:rPr>
          <w:rFonts w:hint="eastAsia" w:cs="Times New Roman"/>
          <w:szCs w:val="24"/>
          <w:lang w:bidi="ar"/>
        </w:rPr>
        <w:t>考虑到茅山旅游度假区范围较小，仅计算生物多样性指数无法完整表现区域生物多样性水平，特选取南通市通州区、太湖（武进区）重要保护区</w:t>
      </w:r>
      <w:r>
        <w:rPr>
          <w:rFonts w:cs="Times New Roman"/>
          <w:szCs w:val="24"/>
          <w:lang w:bidi="ar"/>
        </w:rPr>
        <w:t>2</w:t>
      </w:r>
      <w:r>
        <w:rPr>
          <w:rFonts w:hint="eastAsia" w:cs="Times New Roman"/>
          <w:szCs w:val="24"/>
          <w:lang w:bidi="ar"/>
        </w:rPr>
        <w:t>地与茅山旅游度假区进行生物多样性对比分析。</w:t>
      </w:r>
    </w:p>
    <w:p w14:paraId="64270C48">
      <w:pPr>
        <w:ind w:firstLine="480"/>
        <w:rPr>
          <w:rFonts w:cs="Times New Roman"/>
          <w:szCs w:val="24"/>
          <w:lang w:bidi="ar"/>
        </w:rPr>
      </w:pPr>
      <w:r>
        <w:rPr>
          <w:rFonts w:hint="eastAsia" w:cs="Times New Roman"/>
          <w:szCs w:val="24"/>
          <w:lang w:bidi="ar"/>
        </w:rPr>
        <w:t>参考《南通市通州区生物多样性调查报告》《太湖（武进区）重要保护区生态资源调查报告》，三地生物多样性指数对比见下表。</w:t>
      </w:r>
    </w:p>
    <w:p w14:paraId="490F2383">
      <w:pPr>
        <w:pStyle w:val="45"/>
        <w:rPr>
          <w:rFonts w:cs="Times New Roman"/>
        </w:rPr>
      </w:pPr>
      <w:r>
        <w:rPr>
          <w:rFonts w:hint="eastAsia" w:cs="Times New Roman"/>
        </w:rPr>
        <w:t>表</w:t>
      </w:r>
      <w:r>
        <w:rPr>
          <w:rFonts w:cs="Times New Roman"/>
        </w:rPr>
        <w:t>3.</w:t>
      </w:r>
      <w:r>
        <w:rPr>
          <w:rFonts w:hint="eastAsia" w:cs="Times New Roman"/>
        </w:rPr>
        <w:t>6</w:t>
      </w:r>
      <w:r>
        <w:rPr>
          <w:rFonts w:cs="Times New Roman"/>
        </w:rPr>
        <w:t>-</w:t>
      </w:r>
      <w:r>
        <w:rPr>
          <w:rFonts w:hint="eastAsia" w:cs="Times New Roman"/>
        </w:rPr>
        <w:t>27</w:t>
      </w:r>
      <w:r>
        <w:rPr>
          <w:rFonts w:cs="Times New Roman"/>
        </w:rPr>
        <w:t xml:space="preserve"> </w:t>
      </w:r>
      <w:r>
        <w:rPr>
          <w:rFonts w:hint="eastAsia" w:cs="Times New Roman"/>
        </w:rPr>
        <w:t>生物多样性指数对比表</w:t>
      </w:r>
    </w:p>
    <w:tbl>
      <w:tblPr>
        <w:tblStyle w:val="1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0"/>
        <w:gridCol w:w="1702"/>
        <w:gridCol w:w="1702"/>
        <w:gridCol w:w="2064"/>
      </w:tblGrid>
      <w:tr w14:paraId="4FEDD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Borders>
              <w:top w:val="single" w:color="auto" w:sz="4" w:space="0"/>
              <w:left w:val="single" w:color="auto" w:sz="4" w:space="0"/>
              <w:bottom w:val="single" w:color="auto" w:sz="4" w:space="0"/>
              <w:right w:val="single" w:color="auto" w:sz="4" w:space="0"/>
            </w:tcBorders>
            <w:vAlign w:val="center"/>
          </w:tcPr>
          <w:p w14:paraId="64D22E02">
            <w:pPr>
              <w:spacing w:line="240" w:lineRule="auto"/>
              <w:ind w:firstLine="0" w:firstLineChars="0"/>
              <w:jc w:val="center"/>
              <w:rPr>
                <w:rFonts w:hint="eastAsia" w:ascii="等线" w:hAnsi="等线" w:cs="Times New Roman"/>
                <w:b/>
                <w:szCs w:val="21"/>
              </w:rPr>
            </w:pPr>
            <w:r>
              <w:rPr>
                <w:rFonts w:hint="eastAsia" w:ascii="等线" w:hAnsi="等线" w:cs="Times New Roman"/>
                <w:b/>
                <w:sz w:val="21"/>
                <w:szCs w:val="21"/>
                <w:lang w:bidi="ar"/>
              </w:rPr>
              <w:t>区域</w:t>
            </w:r>
          </w:p>
        </w:tc>
        <w:tc>
          <w:tcPr>
            <w:tcW w:w="1702" w:type="dxa"/>
            <w:tcBorders>
              <w:top w:val="single" w:color="auto" w:sz="4" w:space="0"/>
              <w:left w:val="single" w:color="auto" w:sz="4" w:space="0"/>
              <w:bottom w:val="single" w:color="auto" w:sz="4" w:space="0"/>
              <w:right w:val="single" w:color="auto" w:sz="4" w:space="0"/>
            </w:tcBorders>
            <w:vAlign w:val="center"/>
          </w:tcPr>
          <w:p w14:paraId="6E3BDF43">
            <w:pPr>
              <w:spacing w:line="240" w:lineRule="auto"/>
              <w:ind w:firstLine="0" w:firstLineChars="0"/>
              <w:jc w:val="center"/>
              <w:rPr>
                <w:rFonts w:hint="eastAsia" w:ascii="等线" w:hAnsi="等线" w:cs="Times New Roman"/>
                <w:b/>
                <w:szCs w:val="21"/>
              </w:rPr>
            </w:pPr>
            <w:r>
              <w:rPr>
                <w:rFonts w:hint="eastAsia" w:ascii="等线" w:hAnsi="等线" w:cs="Times New Roman"/>
                <w:b/>
                <w:sz w:val="21"/>
                <w:szCs w:val="21"/>
                <w:lang w:bidi="ar"/>
              </w:rPr>
              <w:t>生物多样性指数</w:t>
            </w:r>
          </w:p>
        </w:tc>
        <w:tc>
          <w:tcPr>
            <w:tcW w:w="1702" w:type="dxa"/>
            <w:tcBorders>
              <w:top w:val="single" w:color="auto" w:sz="4" w:space="0"/>
              <w:left w:val="single" w:color="auto" w:sz="4" w:space="0"/>
              <w:bottom w:val="single" w:color="auto" w:sz="4" w:space="0"/>
              <w:right w:val="single" w:color="auto" w:sz="4" w:space="0"/>
            </w:tcBorders>
            <w:vAlign w:val="center"/>
          </w:tcPr>
          <w:p w14:paraId="09F0F3B2">
            <w:pPr>
              <w:spacing w:line="240" w:lineRule="auto"/>
              <w:ind w:firstLine="0" w:firstLineChars="0"/>
              <w:jc w:val="center"/>
              <w:rPr>
                <w:rFonts w:hint="eastAsia" w:ascii="等线" w:hAnsi="等线" w:cs="Times New Roman"/>
                <w:b/>
                <w:szCs w:val="21"/>
              </w:rPr>
            </w:pPr>
            <w:r>
              <w:rPr>
                <w:rFonts w:hint="eastAsia" w:ascii="等线" w:hAnsi="等线" w:cs="Times New Roman"/>
                <w:b/>
                <w:sz w:val="21"/>
                <w:szCs w:val="21"/>
                <w:lang w:bidi="ar"/>
              </w:rPr>
              <w:t>面积</w:t>
            </w:r>
            <w:r>
              <w:rPr>
                <w:rFonts w:hint="default" w:ascii="等线" w:hAnsi="等线" w:cs="Times New Roman"/>
                <w:b/>
                <w:sz w:val="21"/>
                <w:szCs w:val="21"/>
                <w:lang w:bidi="ar"/>
              </w:rPr>
              <w:t>/km</w:t>
            </w:r>
            <w:r>
              <w:rPr>
                <w:rFonts w:hint="default" w:ascii="等线" w:hAnsi="等线" w:cs="Times New Roman"/>
                <w:b/>
                <w:sz w:val="21"/>
                <w:szCs w:val="21"/>
                <w:vertAlign w:val="superscript"/>
                <w:lang w:bidi="ar"/>
              </w:rPr>
              <w:t>2</w:t>
            </w:r>
          </w:p>
        </w:tc>
        <w:tc>
          <w:tcPr>
            <w:tcW w:w="2064" w:type="dxa"/>
            <w:tcBorders>
              <w:top w:val="single" w:color="auto" w:sz="4" w:space="0"/>
              <w:left w:val="single" w:color="auto" w:sz="4" w:space="0"/>
              <w:bottom w:val="single" w:color="auto" w:sz="4" w:space="0"/>
              <w:right w:val="single" w:color="auto" w:sz="4" w:space="0"/>
            </w:tcBorders>
            <w:vAlign w:val="center"/>
          </w:tcPr>
          <w:p w14:paraId="7BC1ABEF">
            <w:pPr>
              <w:spacing w:line="240" w:lineRule="auto"/>
              <w:ind w:firstLine="0" w:firstLineChars="0"/>
              <w:jc w:val="center"/>
              <w:rPr>
                <w:rFonts w:hint="eastAsia" w:ascii="等线" w:hAnsi="等线" w:cs="Times New Roman"/>
                <w:b/>
                <w:szCs w:val="21"/>
              </w:rPr>
            </w:pPr>
            <w:r>
              <w:rPr>
                <w:rFonts w:hint="eastAsia" w:ascii="等线" w:hAnsi="等线" w:cs="Times New Roman"/>
                <w:b/>
                <w:sz w:val="21"/>
                <w:szCs w:val="21"/>
                <w:lang w:bidi="ar"/>
              </w:rPr>
              <w:t>单位面积生物多样性指数</w:t>
            </w:r>
          </w:p>
        </w:tc>
      </w:tr>
      <w:tr w14:paraId="4E3C2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Borders>
              <w:top w:val="single" w:color="auto" w:sz="4" w:space="0"/>
              <w:left w:val="single" w:color="auto" w:sz="4" w:space="0"/>
              <w:bottom w:val="single" w:color="auto" w:sz="4" w:space="0"/>
              <w:right w:val="single" w:color="auto" w:sz="4" w:space="0"/>
            </w:tcBorders>
            <w:vAlign w:val="center"/>
          </w:tcPr>
          <w:p w14:paraId="72BCD54A">
            <w:pPr>
              <w:spacing w:line="240" w:lineRule="auto"/>
              <w:ind w:firstLine="0" w:firstLineChars="0"/>
              <w:jc w:val="center"/>
              <w:rPr>
                <w:rFonts w:hint="eastAsia" w:ascii="等线" w:hAnsi="等线" w:cs="Times New Roman"/>
                <w:bCs/>
                <w:szCs w:val="21"/>
              </w:rPr>
            </w:pPr>
            <w:r>
              <w:rPr>
                <w:rFonts w:hint="eastAsia" w:ascii="等线" w:hAnsi="等线" w:cs="Times New Roman"/>
                <w:bCs/>
                <w:sz w:val="21"/>
                <w:szCs w:val="21"/>
                <w:lang w:bidi="ar"/>
              </w:rPr>
              <w:t>南通市通州区</w:t>
            </w:r>
          </w:p>
        </w:tc>
        <w:tc>
          <w:tcPr>
            <w:tcW w:w="1702" w:type="dxa"/>
            <w:tcBorders>
              <w:top w:val="single" w:color="auto" w:sz="4" w:space="0"/>
              <w:left w:val="single" w:color="auto" w:sz="4" w:space="0"/>
              <w:bottom w:val="single" w:color="auto" w:sz="4" w:space="0"/>
              <w:right w:val="single" w:color="auto" w:sz="4" w:space="0"/>
            </w:tcBorders>
            <w:vAlign w:val="center"/>
          </w:tcPr>
          <w:p w14:paraId="514F6C05">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sz w:val="21"/>
                <w:szCs w:val="21"/>
                <w:lang w:bidi="ar"/>
              </w:rPr>
              <w:t>21.504</w:t>
            </w:r>
          </w:p>
        </w:tc>
        <w:tc>
          <w:tcPr>
            <w:tcW w:w="1702" w:type="dxa"/>
            <w:tcBorders>
              <w:top w:val="single" w:color="auto" w:sz="4" w:space="0"/>
              <w:left w:val="single" w:color="auto" w:sz="4" w:space="0"/>
              <w:bottom w:val="single" w:color="auto" w:sz="4" w:space="0"/>
              <w:right w:val="single" w:color="auto" w:sz="4" w:space="0"/>
            </w:tcBorders>
            <w:vAlign w:val="center"/>
          </w:tcPr>
          <w:p w14:paraId="6EEFEAA2">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sz w:val="21"/>
                <w:szCs w:val="21"/>
                <w:lang w:bidi="ar"/>
              </w:rPr>
              <w:t>239.14（红线区面积）</w:t>
            </w:r>
          </w:p>
        </w:tc>
        <w:tc>
          <w:tcPr>
            <w:tcW w:w="2064" w:type="dxa"/>
            <w:tcBorders>
              <w:top w:val="single" w:color="auto" w:sz="4" w:space="0"/>
              <w:left w:val="single" w:color="auto" w:sz="4" w:space="0"/>
              <w:bottom w:val="single" w:color="auto" w:sz="4" w:space="0"/>
              <w:right w:val="single" w:color="auto" w:sz="4" w:space="0"/>
            </w:tcBorders>
            <w:vAlign w:val="center"/>
          </w:tcPr>
          <w:p w14:paraId="05093B7F">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sz w:val="21"/>
                <w:szCs w:val="21"/>
                <w:lang w:bidi="ar"/>
              </w:rPr>
              <w:t>0.090</w:t>
            </w:r>
          </w:p>
        </w:tc>
      </w:tr>
      <w:tr w14:paraId="4AC39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Borders>
              <w:top w:val="single" w:color="auto" w:sz="4" w:space="0"/>
              <w:left w:val="single" w:color="auto" w:sz="4" w:space="0"/>
              <w:bottom w:val="single" w:color="auto" w:sz="4" w:space="0"/>
              <w:right w:val="single" w:color="auto" w:sz="4" w:space="0"/>
            </w:tcBorders>
            <w:vAlign w:val="center"/>
          </w:tcPr>
          <w:p w14:paraId="74BD2065">
            <w:pPr>
              <w:spacing w:line="240" w:lineRule="auto"/>
              <w:ind w:firstLine="0" w:firstLineChars="0"/>
              <w:jc w:val="center"/>
              <w:rPr>
                <w:rFonts w:hint="eastAsia" w:ascii="等线" w:hAnsi="等线" w:cs="Times New Roman"/>
                <w:bCs/>
                <w:szCs w:val="21"/>
              </w:rPr>
            </w:pPr>
            <w:r>
              <w:rPr>
                <w:rFonts w:hint="eastAsia" w:ascii="等线" w:hAnsi="等线" w:cs="Times New Roman"/>
                <w:bCs/>
                <w:sz w:val="21"/>
                <w:szCs w:val="21"/>
                <w:lang w:bidi="ar"/>
              </w:rPr>
              <w:t>太湖（武进区）重要保护区</w:t>
            </w:r>
          </w:p>
        </w:tc>
        <w:tc>
          <w:tcPr>
            <w:tcW w:w="1702" w:type="dxa"/>
            <w:tcBorders>
              <w:top w:val="single" w:color="auto" w:sz="4" w:space="0"/>
              <w:left w:val="single" w:color="auto" w:sz="4" w:space="0"/>
              <w:bottom w:val="single" w:color="auto" w:sz="4" w:space="0"/>
              <w:right w:val="single" w:color="auto" w:sz="4" w:space="0"/>
            </w:tcBorders>
            <w:vAlign w:val="center"/>
          </w:tcPr>
          <w:p w14:paraId="1690B7F5">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sz w:val="21"/>
                <w:szCs w:val="21"/>
                <w:lang w:bidi="ar"/>
              </w:rPr>
              <w:t>19.2757</w:t>
            </w:r>
          </w:p>
        </w:tc>
        <w:tc>
          <w:tcPr>
            <w:tcW w:w="1702" w:type="dxa"/>
            <w:tcBorders>
              <w:top w:val="single" w:color="auto" w:sz="4" w:space="0"/>
              <w:left w:val="single" w:color="auto" w:sz="4" w:space="0"/>
              <w:bottom w:val="single" w:color="auto" w:sz="4" w:space="0"/>
              <w:right w:val="single" w:color="auto" w:sz="4" w:space="0"/>
            </w:tcBorders>
            <w:vAlign w:val="center"/>
          </w:tcPr>
          <w:p w14:paraId="48EDEFD2">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sz w:val="21"/>
                <w:szCs w:val="21"/>
                <w:lang w:bidi="ar"/>
              </w:rPr>
              <w:t>93.93</w:t>
            </w:r>
          </w:p>
        </w:tc>
        <w:tc>
          <w:tcPr>
            <w:tcW w:w="2064" w:type="dxa"/>
            <w:tcBorders>
              <w:top w:val="single" w:color="auto" w:sz="4" w:space="0"/>
              <w:left w:val="single" w:color="auto" w:sz="4" w:space="0"/>
              <w:bottom w:val="single" w:color="auto" w:sz="4" w:space="0"/>
              <w:right w:val="single" w:color="auto" w:sz="4" w:space="0"/>
            </w:tcBorders>
            <w:vAlign w:val="center"/>
          </w:tcPr>
          <w:p w14:paraId="6B161F82">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sz w:val="21"/>
                <w:szCs w:val="21"/>
                <w:lang w:bidi="ar"/>
              </w:rPr>
              <w:t>0.21</w:t>
            </w:r>
          </w:p>
        </w:tc>
      </w:tr>
      <w:tr w14:paraId="2CD90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tcBorders>
              <w:top w:val="single" w:color="auto" w:sz="4" w:space="0"/>
              <w:left w:val="single" w:color="auto" w:sz="4" w:space="0"/>
              <w:bottom w:val="single" w:color="auto" w:sz="4" w:space="0"/>
              <w:right w:val="single" w:color="auto" w:sz="4" w:space="0"/>
            </w:tcBorders>
            <w:vAlign w:val="center"/>
          </w:tcPr>
          <w:p w14:paraId="4D9F0B0F">
            <w:pPr>
              <w:spacing w:line="240" w:lineRule="auto"/>
              <w:ind w:firstLine="0" w:firstLineChars="0"/>
              <w:jc w:val="center"/>
              <w:rPr>
                <w:rFonts w:hint="eastAsia" w:ascii="等线" w:hAnsi="等线" w:cs="Times New Roman"/>
                <w:bCs/>
                <w:szCs w:val="21"/>
              </w:rPr>
            </w:pPr>
            <w:r>
              <w:rPr>
                <w:rFonts w:hint="eastAsia" w:ascii="等线" w:hAnsi="等线" w:cs="Times New Roman"/>
                <w:bCs/>
                <w:sz w:val="21"/>
                <w:szCs w:val="21"/>
                <w:lang w:bidi="ar"/>
              </w:rPr>
              <w:t>茅山旅游度假区</w:t>
            </w:r>
          </w:p>
        </w:tc>
        <w:tc>
          <w:tcPr>
            <w:tcW w:w="1702" w:type="dxa"/>
            <w:tcBorders>
              <w:top w:val="single" w:color="auto" w:sz="4" w:space="0"/>
              <w:left w:val="single" w:color="auto" w:sz="4" w:space="0"/>
              <w:bottom w:val="single" w:color="auto" w:sz="4" w:space="0"/>
              <w:right w:val="single" w:color="auto" w:sz="4" w:space="0"/>
            </w:tcBorders>
            <w:vAlign w:val="center"/>
          </w:tcPr>
          <w:p w14:paraId="69781DE8">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sz w:val="21"/>
                <w:szCs w:val="21"/>
                <w:lang w:bidi="ar"/>
              </w:rPr>
              <w:t>32.002</w:t>
            </w:r>
          </w:p>
        </w:tc>
        <w:tc>
          <w:tcPr>
            <w:tcW w:w="1702" w:type="dxa"/>
            <w:tcBorders>
              <w:top w:val="single" w:color="auto" w:sz="4" w:space="0"/>
              <w:left w:val="single" w:color="auto" w:sz="4" w:space="0"/>
              <w:bottom w:val="single" w:color="auto" w:sz="4" w:space="0"/>
              <w:right w:val="single" w:color="auto" w:sz="4" w:space="0"/>
            </w:tcBorders>
            <w:vAlign w:val="center"/>
          </w:tcPr>
          <w:p w14:paraId="402036DB">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sz w:val="21"/>
                <w:szCs w:val="21"/>
                <w:lang w:bidi="ar"/>
              </w:rPr>
              <w:t>18.6</w:t>
            </w:r>
          </w:p>
        </w:tc>
        <w:tc>
          <w:tcPr>
            <w:tcW w:w="2064" w:type="dxa"/>
            <w:tcBorders>
              <w:top w:val="single" w:color="auto" w:sz="4" w:space="0"/>
              <w:left w:val="single" w:color="auto" w:sz="4" w:space="0"/>
              <w:bottom w:val="single" w:color="auto" w:sz="4" w:space="0"/>
              <w:right w:val="single" w:color="auto" w:sz="4" w:space="0"/>
            </w:tcBorders>
            <w:vAlign w:val="center"/>
          </w:tcPr>
          <w:p w14:paraId="2EE546C7">
            <w:pPr>
              <w:spacing w:line="240" w:lineRule="auto"/>
              <w:ind w:firstLine="0" w:firstLineChars="0"/>
              <w:jc w:val="center"/>
              <w:rPr>
                <w:rFonts w:hint="default" w:ascii="Times New Roman" w:hAnsi="Times New Roman" w:cs="Times New Roman"/>
                <w:bCs/>
                <w:szCs w:val="21"/>
              </w:rPr>
            </w:pPr>
            <w:r>
              <w:rPr>
                <w:rFonts w:hint="default" w:ascii="Times New Roman" w:hAnsi="Times New Roman" w:cs="Times New Roman"/>
                <w:bCs/>
                <w:sz w:val="21"/>
                <w:szCs w:val="21"/>
                <w:lang w:bidi="ar"/>
              </w:rPr>
              <w:t>1.72</w:t>
            </w:r>
          </w:p>
        </w:tc>
      </w:tr>
    </w:tbl>
    <w:p w14:paraId="1C8501CA">
      <w:pPr>
        <w:ind w:firstLine="480"/>
        <w:rPr>
          <w:rFonts w:cs="Times New Roman"/>
          <w:szCs w:val="24"/>
        </w:rPr>
      </w:pPr>
      <w:r>
        <w:rPr>
          <w:rFonts w:hint="eastAsia" w:cs="Times New Roman"/>
          <w:szCs w:val="24"/>
          <w:lang w:bidi="ar"/>
        </w:rPr>
        <w:t>由表3.6-27可见，虽然茅山旅游度假区生物多样性指数高于南通市通州区、太湖（武进区）重要保护区。同时考虑到区域面积影响因素，与南通市通州区、太湖（武进区）重要保护区相比较，单位面积生物多样性指数茅山旅游度假区也远大于以上两者。</w:t>
      </w:r>
    </w:p>
    <w:p w14:paraId="35A2637F">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3.6.</w:t>
      </w:r>
      <w:r>
        <w:rPr>
          <w:rFonts w:hint="eastAsia" w:eastAsia="方正楷体_GBK" w:cs="Times New Roman"/>
          <w:b/>
          <w:bCs/>
          <w:szCs w:val="28"/>
          <w14:ligatures w14:val="none"/>
        </w:rPr>
        <w:t>5生态红线、生态空间管控区域保护现状</w:t>
      </w:r>
    </w:p>
    <w:p w14:paraId="31CFD30F">
      <w:pPr>
        <w:ind w:firstLine="480"/>
      </w:pPr>
      <w:r>
        <w:rPr>
          <w:rFonts w:hint="eastAsia"/>
        </w:rPr>
        <w:t>依据江苏省最新报批自然资源部办公厅“三区三线”划定成果，度假区生态评价范围涉及生态保护红线区域1处，为江苏常州金坛茅东省级森林公园，生态保护红线范围18.978km</w:t>
      </w:r>
      <w:r>
        <w:rPr>
          <w:vertAlign w:val="superscript"/>
        </w:rPr>
        <w:t>2</w:t>
      </w:r>
      <w:r>
        <w:rPr>
          <w:rFonts w:hint="eastAsia"/>
        </w:rPr>
        <w:t>，主导生态功能为自然与人文景观保护。该生态保护红线为原《江苏省国家级生态保护红线规划》《江苏省生态空间管控区域规划》中茅东省级森林公园、茅山省级风景名胜区（金坛区）2处国家级生态保护红线范围的整合优化，红线范围内包含自然保护区、风景名胜区、饮用水水源保护区等区域划分，分别依照法律法规执行相应保护要求。</w:t>
      </w:r>
    </w:p>
    <w:p w14:paraId="0CE0AAB6">
      <w:pPr>
        <w:ind w:firstLine="480"/>
      </w:pPr>
      <w:r>
        <w:rPr>
          <w:rFonts w:hint="eastAsia"/>
        </w:rPr>
        <w:t>依据《江苏省自然资源厅关于常州市金坛区2023年度生态空间管控区域调整方案的复函》（苏自然资函〔2023〕209号），度假区内生态空间管控区域3类4处，面积共计</w:t>
      </w:r>
      <w:r>
        <w:t>71.30</w:t>
      </w:r>
      <w:r>
        <w:rPr>
          <w:rFonts w:hint="eastAsia"/>
        </w:rPr>
        <w:t>km</w:t>
      </w:r>
      <w:r>
        <w:rPr>
          <w:rFonts w:hint="eastAsia"/>
          <w:vertAlign w:val="superscript"/>
        </w:rPr>
        <w:t>2</w:t>
      </w:r>
      <w:r>
        <w:rPr>
          <w:rFonts w:hint="eastAsia"/>
        </w:rPr>
        <w:t>，其中，主导生态功能为水源涵养的共2处，分别为茅东山地水源涵养区、向阳水库水源涵养区；主导生态功能为水土保持的1处，为四棚洼生态公益林；主导生态功能为自然与人文景观保护的1处，为方山（金坛区）森林公园。</w:t>
      </w:r>
    </w:p>
    <w:p w14:paraId="2201CDCD">
      <w:pPr>
        <w:ind w:firstLine="480"/>
      </w:pPr>
      <w:r>
        <w:rPr>
          <w:rFonts w:hint="eastAsia"/>
        </w:rPr>
        <w:t>按照生态空间管控监督管理目标要求，部门间建立了协同配合工作机制，形成了共同治理、系统修复的工作格局。根据2</w:t>
      </w:r>
      <w:r>
        <w:t>022</w:t>
      </w:r>
      <w:r>
        <w:rPr>
          <w:rFonts w:hint="eastAsia"/>
        </w:rPr>
        <w:t>、2</w:t>
      </w:r>
      <w:r>
        <w:t>023</w:t>
      </w:r>
      <w:r>
        <w:rPr>
          <w:rFonts w:hint="eastAsia"/>
        </w:rPr>
        <w:t>年金坛区对生态空间管控区域开展的监督管理和自评估结果，度假区内生态空间管控区域2022—2023年内未发生违法违规开发建设活动，未发生因土地整治项目侵占、破坏生态空间管控区域内土地、水域等行为，未发生盗伐林木，猎捕采伐、破坏珍稀濒危和受保护物种等行为，未发生非法直接或间接排放废水、废气、固体废弃物等行为，未发生移动和破坏生态保护设施行为。度假区生态评价范围内的生态保护红线和生态空间管控区域保护状况良好，水生态系统良好，整体上人类活动较少，区域得到了较好保护，生态空间区域基本达到了“功能不降低、面积不减少、性质不改变”的要求。</w:t>
      </w:r>
    </w:p>
    <w:p w14:paraId="3A410877">
      <w:pPr>
        <w:pStyle w:val="3"/>
        <w:ind w:firstLine="0" w:firstLineChars="0"/>
        <w:rPr>
          <w:rFonts w:cs="Times New Roman"/>
        </w:rPr>
      </w:pPr>
      <w:bookmarkStart w:id="84" w:name="_Toc217294047"/>
      <w:r>
        <w:rPr>
          <w:rFonts w:cs="Times New Roman"/>
        </w:rPr>
        <w:t>3.</w:t>
      </w:r>
      <w:r>
        <w:rPr>
          <w:rFonts w:hint="eastAsia" w:cs="Times New Roman"/>
        </w:rPr>
        <w:t>7上一轮规划环评审查意见落实情况</w:t>
      </w:r>
      <w:bookmarkEnd w:id="84"/>
    </w:p>
    <w:p w14:paraId="6BEE92A5">
      <w:pPr>
        <w:ind w:firstLine="480"/>
      </w:pPr>
      <w:r>
        <w:rPr>
          <w:rFonts w:hint="eastAsia"/>
        </w:rPr>
        <w:t>2012年，茅管办委托常州市环境科学研究院编制了《“金坛市茅山风景旅游区总体规划”环境影响报告书》，并于2012年12月25日取得金坛市环境保护局的审查意见（坛环服复〔2012〕67号），上一轮规划环评审查意见落实情况具体如下。</w:t>
      </w:r>
    </w:p>
    <w:p w14:paraId="3A7CC6D8">
      <w:pPr>
        <w:ind w:firstLine="480"/>
      </w:pPr>
      <w:r>
        <w:rPr>
          <w:rFonts w:hint="eastAsia"/>
        </w:rPr>
        <w:t>（1）意见1：按照《国家生态旅游示范区建设与运营规范》的要求来规划建设、运行和管理金坛市茅山风景旅游区，严格控制开发强度。</w:t>
      </w:r>
    </w:p>
    <w:p w14:paraId="5FE50C88">
      <w:pPr>
        <w:ind w:firstLine="480"/>
      </w:pPr>
      <w:r>
        <w:rPr>
          <w:rFonts w:hint="eastAsia"/>
        </w:rPr>
        <w:t>落实情况：茅山旅游度假区严格按照《国家生态旅游示范区建设与运营规范》要求，编制《金坛茅山旅游度假区总体规划（2024~2035年）》，满足规范中示范区示范要求；依托《常州市金坛区生物多样性本底调查》，梳理区域生态资源，满足规范中生态旅游资源要求；依托《金坛区生态红线区域保护情况评估报告》，就发现的问题开展整治，区域内已建成1座大气自动检测站，茅东水库设置1个省控地表水监测断面，东进水库、海底水库、向阳水库、瓦沟水库、新浮山水库等设置5个市控地表水监测断面，满足规范中生态环境质量要求；积极构建排水、供气、环卫等基础设施，实现污水收集治理、燃气供给、生活垃圾收集全覆盖，满足规范中基础设施要求；建成各项旅游服设施目，增加片区旅游与接待服务资源，满足规范中服务设施及内容要求。同时，项目在建设前均落实环评、环保管理等相关手续，严格控制其开发强度。</w:t>
      </w:r>
    </w:p>
    <w:p w14:paraId="711EA2DB">
      <w:pPr>
        <w:ind w:firstLine="480"/>
      </w:pPr>
      <w:r>
        <w:rPr>
          <w:rFonts w:hint="eastAsia"/>
        </w:rPr>
        <w:t>（2）意见2：对规划区域涉及的4个重要生态功能区严格对照省级重要生态功能区保护要求规划建设项目；基本农田范围内禁止一切可能导致农业污染、土地环境破坏的基本经营活动。</w:t>
      </w:r>
    </w:p>
    <w:p w14:paraId="3F5AA983">
      <w:pPr>
        <w:ind w:firstLine="480"/>
      </w:pPr>
      <w:r>
        <w:rPr>
          <w:rFonts w:hint="eastAsia"/>
        </w:rPr>
        <w:t>落实情况：规划范围涉及江苏常州金坛茅东省级森林公园、茅东山地水源涵养区、向阳水库水源涵养区、方山（金坛区）森林公园、四棚洼生态公益林等生态空间保护区域，度假区严格落实生态保护红线、生态空间管控区域中项目准入和管控要求，保护区域范围内仅开展对生态功能不造成破坏的有限人为活动，并严格做好项目监督管理。同时，严格按照《基本农田保护条例》要求，规划范围内已建、规划建设项目均不涉及基本农田占用。</w:t>
      </w:r>
    </w:p>
    <w:p w14:paraId="1425ED78">
      <w:pPr>
        <w:ind w:firstLine="480"/>
      </w:pPr>
      <w:r>
        <w:rPr>
          <w:rFonts w:hint="eastAsia"/>
        </w:rPr>
        <w:t>（3）意见3：加快矿山宕口关闭的时序进度，完成矿山宕口的生态修复。对规模小、污染大的轧石场立即予以关停，并对采石场开展生态恢复整治。</w:t>
      </w:r>
    </w:p>
    <w:p w14:paraId="0E13D722">
      <w:pPr>
        <w:ind w:firstLine="480"/>
      </w:pPr>
      <w:r>
        <w:rPr>
          <w:rFonts w:hint="eastAsia"/>
        </w:rPr>
        <w:t>落实情况：</w:t>
      </w:r>
      <w:r>
        <w:rPr>
          <w:rFonts w:hint="eastAsia" w:cs="Times New Roman"/>
        </w:rPr>
        <w:t>本轮规划范围内涉及渚山矿、双山矿、营盘山矿、石家山矿、大石包、朝阳洞共计6个矿区，其中仅大石包、朝阳洞2个矿区仍在开采，其余矿区均已完成生态修复</w:t>
      </w:r>
      <w:r>
        <w:rPr>
          <w:rFonts w:hint="eastAsia"/>
        </w:rPr>
        <w:t>。</w:t>
      </w:r>
      <w:r>
        <w:rPr>
          <w:rFonts w:hint="eastAsia" w:cs="Times New Roman"/>
        </w:rPr>
        <w:t>大石包地块预计于2027年完成关停，朝阳洞地块后续有序关停。</w:t>
      </w:r>
    </w:p>
    <w:p w14:paraId="2A30F238">
      <w:pPr>
        <w:ind w:firstLine="480"/>
      </w:pPr>
      <w:r>
        <w:rPr>
          <w:rFonts w:hint="eastAsia"/>
        </w:rPr>
        <w:t>（4）意见4：重点加强对区内水体尤其是茅东水库、海底水库的保护，严格控制周边土地的开发，禁止开发与供水设施和保护水源无关的建设项目。新浮、东进、向阳等重要水体参照饮用水源保护区管理原则强化管理，切实保护旅游区水体资源。</w:t>
      </w:r>
    </w:p>
    <w:p w14:paraId="32C91108">
      <w:pPr>
        <w:ind w:firstLine="480"/>
      </w:pPr>
      <w:r>
        <w:rPr>
          <w:rFonts w:hint="eastAsia"/>
        </w:rPr>
        <w:t>落实情况：本次规划范围内茅东水库、海底水库管理严格参照《饮用水水源保护区污染防治管理规定》第十一条要求，禁止一切破坏水环境生态平衡的活动。同时，在茅东水库设置省考断面，海底水库设置市考断面，对水库水质实施实时监控，根据近年地表水监测数据，水库水质保持较好水平。</w:t>
      </w:r>
    </w:p>
    <w:p w14:paraId="669F2CB5">
      <w:pPr>
        <w:ind w:firstLine="480"/>
      </w:pPr>
      <w:r>
        <w:rPr>
          <w:rFonts w:hint="eastAsia"/>
        </w:rPr>
        <w:t>（5）意见5：合理控制建设用地的比例，严格控制占用林地、灌丛和基本农田等植被较好的地域。注重区内生物多样性保护，保护乡土物种，控制外来物种的引进。</w:t>
      </w:r>
    </w:p>
    <w:p w14:paraId="0382FC91">
      <w:pPr>
        <w:ind w:firstLine="480"/>
      </w:pPr>
      <w:r>
        <w:rPr>
          <w:rFonts w:hint="eastAsia"/>
        </w:rPr>
        <w:t>落实情况：规划范围内已建项目在建设前均落实环评、水保等手续，严格控制其开发强度，规划建设项目均不涉及基本农田占用。依托《常州市金坛区生物多样性本底调查》中提出的生物多样性问题，茅管办积极开展了包括“防治外来入侵物种威胁”“加强区城生境治理与恢复”“加大污染控制与监测力度”“进一步严格红线区保护责任”等多项修复与保护对策，区域生物多样性持续向好。同时，本次规划也提出，以“宜乔则乔、宜灌则灌、宜草则草”为方针，科学配置林种、树种结构，逐步改变茅东山地相对单一的乔木树种，构建乔、灌、草相结合的公益林体系，推进生态效益与经济效益的相结合，实现红线区乔、灌木比例持续提升，以进一步提升区域自然与人文景观保护，以及水源涵养功能。</w:t>
      </w:r>
    </w:p>
    <w:p w14:paraId="531FEDDD">
      <w:pPr>
        <w:ind w:firstLine="480"/>
      </w:pPr>
      <w:r>
        <w:rPr>
          <w:rFonts w:hint="eastAsia"/>
        </w:rPr>
        <w:t>（6）意见6：认真落实各项拆迁政策，完善拆迁的居民生态安置方案，有序实施分散居民点拆迁安置，切实化解居民拆迁过程中的社会风险。</w:t>
      </w:r>
    </w:p>
    <w:p w14:paraId="0AF5110E">
      <w:pPr>
        <w:ind w:firstLine="480"/>
      </w:pPr>
      <w:r>
        <w:rPr>
          <w:rFonts w:hint="eastAsia"/>
        </w:rPr>
        <w:t>落实情况：拆迁安置前，茅管办均会于金坛区人民政府网站上发布《拟转用土地公告》，明确拟转用土地用途、拟转用土地范围以及工作安排等。本次规划范围相关拆迁安置工作均已较好完成，相关居民已妥善安置，拆迁过程中未引发相关社会问题。</w:t>
      </w:r>
    </w:p>
    <w:p w14:paraId="769BEA6C">
      <w:pPr>
        <w:ind w:firstLine="480"/>
      </w:pPr>
      <w:r>
        <w:rPr>
          <w:rFonts w:hint="eastAsia"/>
        </w:rPr>
        <w:t>（7）意见7：加快旅游区的环境保护基础设施的建设，建立健全旅游区环境管理机构，完善环境管理、监测和风险防范体系。适时编制旅游区环境保护与生态建设规划、分区控制性详细规划等专项规划。</w:t>
      </w:r>
    </w:p>
    <w:p w14:paraId="567D351B">
      <w:pPr>
        <w:ind w:firstLine="480"/>
      </w:pPr>
      <w:r>
        <w:rPr>
          <w:rFonts w:hint="eastAsia"/>
        </w:rPr>
        <w:t>落实情况：规划范围内通过构建排水、供气、环卫等基础设施，现状已实现污水收集治理、燃气供给、生活垃圾收集全覆盖；已组建区域管理机构“江苏省金坛茅山旅游度假区管理办公室”，下设生态环境科，实施区域环境管理；建成茅管会大气监测站、重点水库省控、市控监测站点，实现环境管理、监测和风险防范；本次编制的《金坛茅山旅游度假区总体规划（2024~2035年）》，内容说囊括生态建设规划、用地规划等。</w:t>
      </w:r>
    </w:p>
    <w:p w14:paraId="1C6B4106">
      <w:pPr>
        <w:ind w:firstLine="480"/>
      </w:pPr>
      <w:r>
        <w:rPr>
          <w:rFonts w:hint="eastAsia"/>
        </w:rPr>
        <w:t>（8）意见8：在规划实施过程中，每隔五年左右进行一次环境影响跟踪评价。在规划修编时应重新编制环境影响报告书。</w:t>
      </w:r>
    </w:p>
    <w:p w14:paraId="59AA5274">
      <w:pPr>
        <w:ind w:firstLine="480"/>
      </w:pPr>
      <w:r>
        <w:rPr>
          <w:rFonts w:hint="eastAsia"/>
        </w:rPr>
        <w:t>落实情况：本次规划属茅山旅游度假区重新编制的总体规划，本报告即重新编制环境影响报告书。</w:t>
      </w:r>
    </w:p>
    <w:p w14:paraId="762A0CB8">
      <w:pPr>
        <w:pStyle w:val="3"/>
        <w:ind w:firstLine="0" w:firstLineChars="0"/>
        <w:rPr>
          <w:rFonts w:cs="Times New Roman"/>
        </w:rPr>
      </w:pPr>
      <w:bookmarkStart w:id="85" w:name="_Toc217294048"/>
      <w:r>
        <w:rPr>
          <w:rFonts w:cs="Times New Roman"/>
        </w:rPr>
        <w:t>3.</w:t>
      </w:r>
      <w:r>
        <w:rPr>
          <w:rFonts w:hint="eastAsia" w:cs="Times New Roman"/>
        </w:rPr>
        <w:t>8制约因素和现状问题分析</w:t>
      </w:r>
      <w:bookmarkEnd w:id="85"/>
    </w:p>
    <w:p w14:paraId="4636F437">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w:t>
      </w:r>
      <w:r>
        <w:rPr>
          <w:rFonts w:hint="eastAsia" w:eastAsia="方正楷体_GBK" w:cs="Times New Roman"/>
          <w:b/>
          <w:bCs/>
          <w:szCs w:val="28"/>
          <w14:ligatures w14:val="none"/>
        </w:rPr>
        <w:t>8</w:t>
      </w:r>
      <w:r>
        <w:rPr>
          <w:rFonts w:eastAsia="方正楷体_GBK" w:cs="Times New Roman"/>
          <w:b/>
          <w:bCs/>
          <w:szCs w:val="28"/>
          <w14:ligatures w14:val="none"/>
        </w:rPr>
        <w:t>.</w:t>
      </w:r>
      <w:r>
        <w:rPr>
          <w:rFonts w:hint="eastAsia" w:eastAsia="方正楷体_GBK" w:cs="Times New Roman"/>
          <w:b/>
          <w:bCs/>
          <w:szCs w:val="28"/>
          <w14:ligatures w14:val="none"/>
        </w:rPr>
        <w:t>1主要环境问题及解决建议</w:t>
      </w:r>
    </w:p>
    <w:p w14:paraId="4543C81C">
      <w:pPr>
        <w:ind w:firstLine="480"/>
      </w:pPr>
      <w:r>
        <w:t>结合现状调研，并对照相关环境管理要求，梳理出度假区存在的主要环境问题及相应的整改措施和建议，见表</w:t>
      </w:r>
      <w:r>
        <w:rPr>
          <w:rFonts w:hint="eastAsia"/>
        </w:rPr>
        <w:t>3</w:t>
      </w:r>
      <w:r>
        <w:t>.</w:t>
      </w:r>
      <w:r>
        <w:rPr>
          <w:rFonts w:hint="eastAsia"/>
        </w:rPr>
        <w:t>8</w:t>
      </w:r>
      <w:r>
        <w:t>-1。</w:t>
      </w:r>
    </w:p>
    <w:p w14:paraId="5460A3C0">
      <w:pPr>
        <w:pStyle w:val="45"/>
        <w:rPr>
          <w:rFonts w:cs="Times New Roman"/>
        </w:rPr>
      </w:pPr>
      <w:r>
        <w:rPr>
          <w:rFonts w:hint="eastAsia" w:cs="Times New Roman"/>
        </w:rPr>
        <w:t xml:space="preserve">表3.8-1 </w:t>
      </w:r>
      <w:r>
        <w:rPr>
          <w:rFonts w:cs="Times New Roman"/>
        </w:rPr>
        <w:t xml:space="preserve"> </w:t>
      </w:r>
      <w:r>
        <w:rPr>
          <w:rFonts w:hint="eastAsia" w:cs="Times New Roman"/>
        </w:rPr>
        <w:t>度假区主要环境问题及其解决方案一览表</w:t>
      </w:r>
    </w:p>
    <w:tbl>
      <w:tblPr>
        <w:tblStyle w:val="25"/>
        <w:tblW w:w="51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588"/>
        <w:gridCol w:w="3134"/>
        <w:gridCol w:w="2268"/>
        <w:gridCol w:w="1106"/>
      </w:tblGrid>
      <w:tr w14:paraId="79A24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4" w:type="pct"/>
            <w:vAlign w:val="center"/>
          </w:tcPr>
          <w:p w14:paraId="1A76E4D4">
            <w:pPr>
              <w:pStyle w:val="70"/>
              <w:rPr>
                <w:b/>
                <w:bCs/>
              </w:rPr>
            </w:pPr>
            <w:r>
              <w:rPr>
                <w:rFonts w:hint="eastAsia"/>
                <w:b/>
                <w:bCs/>
              </w:rPr>
              <w:t>要点</w:t>
            </w:r>
          </w:p>
        </w:tc>
        <w:tc>
          <w:tcPr>
            <w:tcW w:w="909" w:type="pct"/>
            <w:vAlign w:val="center"/>
          </w:tcPr>
          <w:p w14:paraId="5E3557F4">
            <w:pPr>
              <w:pStyle w:val="70"/>
              <w:rPr>
                <w:b/>
                <w:bCs/>
              </w:rPr>
            </w:pPr>
            <w:r>
              <w:rPr>
                <w:rFonts w:hint="eastAsia"/>
                <w:b/>
                <w:bCs/>
              </w:rPr>
              <w:t>主要环境问题</w:t>
            </w:r>
          </w:p>
        </w:tc>
        <w:tc>
          <w:tcPr>
            <w:tcW w:w="1794" w:type="pct"/>
            <w:vAlign w:val="center"/>
          </w:tcPr>
          <w:p w14:paraId="3F7C1BA9">
            <w:pPr>
              <w:pStyle w:val="70"/>
              <w:rPr>
                <w:b/>
                <w:bCs/>
              </w:rPr>
            </w:pPr>
            <w:r>
              <w:rPr>
                <w:rFonts w:hint="eastAsia"/>
                <w:b/>
                <w:bCs/>
              </w:rPr>
              <w:t>整改建议/解决途径</w:t>
            </w:r>
          </w:p>
        </w:tc>
        <w:tc>
          <w:tcPr>
            <w:tcW w:w="1298" w:type="pct"/>
            <w:vAlign w:val="center"/>
          </w:tcPr>
          <w:p w14:paraId="173DEB14">
            <w:pPr>
              <w:pStyle w:val="70"/>
              <w:rPr>
                <w:b/>
                <w:bCs/>
              </w:rPr>
            </w:pPr>
            <w:r>
              <w:rPr>
                <w:rFonts w:hint="eastAsia"/>
                <w:b/>
                <w:bCs/>
              </w:rPr>
              <w:t>完成</w:t>
            </w:r>
          </w:p>
          <w:p w14:paraId="3D701916">
            <w:pPr>
              <w:pStyle w:val="70"/>
              <w:rPr>
                <w:b/>
                <w:bCs/>
              </w:rPr>
            </w:pPr>
            <w:r>
              <w:rPr>
                <w:rFonts w:hint="eastAsia"/>
                <w:b/>
                <w:bCs/>
              </w:rPr>
              <w:t>时间</w:t>
            </w:r>
          </w:p>
        </w:tc>
        <w:tc>
          <w:tcPr>
            <w:tcW w:w="633" w:type="pct"/>
            <w:vAlign w:val="center"/>
          </w:tcPr>
          <w:p w14:paraId="107F2B06">
            <w:pPr>
              <w:pStyle w:val="70"/>
              <w:rPr>
                <w:b/>
                <w:bCs/>
              </w:rPr>
            </w:pPr>
            <w:r>
              <w:rPr>
                <w:rFonts w:hint="eastAsia"/>
                <w:b/>
                <w:bCs/>
              </w:rPr>
              <w:t>责任部门</w:t>
            </w:r>
          </w:p>
        </w:tc>
      </w:tr>
      <w:tr w14:paraId="62FA9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4" w:type="pct"/>
            <w:vAlign w:val="center"/>
          </w:tcPr>
          <w:p w14:paraId="620AB82E">
            <w:pPr>
              <w:pStyle w:val="70"/>
            </w:pPr>
            <w:r>
              <w:rPr>
                <w:rFonts w:hint="eastAsia"/>
              </w:rPr>
              <w:t>环境质量</w:t>
            </w:r>
          </w:p>
        </w:tc>
        <w:tc>
          <w:tcPr>
            <w:tcW w:w="909" w:type="pct"/>
            <w:vAlign w:val="center"/>
          </w:tcPr>
          <w:p w14:paraId="5048AF20">
            <w:pPr>
              <w:pStyle w:val="70"/>
            </w:pPr>
            <w:r>
              <w:rPr>
                <w:rFonts w:hint="eastAsia"/>
              </w:rPr>
              <w:t>区域所在区域大气臭氧不达标</w:t>
            </w:r>
          </w:p>
        </w:tc>
        <w:tc>
          <w:tcPr>
            <w:tcW w:w="1794" w:type="pct"/>
            <w:vAlign w:val="center"/>
          </w:tcPr>
          <w:p w14:paraId="0F73467B">
            <w:pPr>
              <w:pStyle w:val="70"/>
              <w:jc w:val="both"/>
              <w:rPr>
                <w:lang w:val="zh-CN"/>
              </w:rPr>
            </w:pPr>
            <w:r>
              <w:rPr>
                <w:rFonts w:hint="eastAsia"/>
                <w:lang w:val="zh-CN"/>
              </w:rPr>
              <w:t>针对</w:t>
            </w:r>
            <w:r>
              <w:rPr>
                <w:rFonts w:hint="eastAsia"/>
              </w:rPr>
              <w:t>区域</w:t>
            </w:r>
            <w:r>
              <w:rPr>
                <w:rFonts w:hint="eastAsia"/>
                <w:lang w:val="zh-CN"/>
              </w:rPr>
              <w:t>内现状工业，计划逐步实施停转迁，加强发展清洁能源和新能源，加大绿色建筑推广力度，在全镇域范围持续深化臭氧与细颗粒物协同治理，推进多污染物协同控制和精细化管理，突出细颗粒物和臭氧协同控制，严格落实“双控双减”，分类实施区域空气质量稳定达标管理，开展大气分区施策。</w:t>
            </w:r>
          </w:p>
        </w:tc>
        <w:tc>
          <w:tcPr>
            <w:tcW w:w="1298" w:type="pct"/>
            <w:vAlign w:val="center"/>
          </w:tcPr>
          <w:p w14:paraId="546386B8">
            <w:pPr>
              <w:pStyle w:val="70"/>
            </w:pPr>
            <w:r>
              <w:rPr>
                <w:rFonts w:hint="eastAsia"/>
              </w:rPr>
              <w:t>持续推进</w:t>
            </w:r>
          </w:p>
        </w:tc>
        <w:tc>
          <w:tcPr>
            <w:tcW w:w="633" w:type="pct"/>
            <w:vAlign w:val="center"/>
          </w:tcPr>
          <w:p w14:paraId="093416DD">
            <w:pPr>
              <w:pStyle w:val="70"/>
            </w:pPr>
            <w:r>
              <w:rPr>
                <w:rFonts w:hint="eastAsia"/>
              </w:rPr>
              <w:t>江苏省金</w:t>
            </w:r>
          </w:p>
          <w:p w14:paraId="2E5DE3D8">
            <w:pPr>
              <w:pStyle w:val="70"/>
            </w:pPr>
            <w:r>
              <w:rPr>
                <w:rFonts w:hint="eastAsia"/>
              </w:rPr>
              <w:t>坛茅山旅游度假区管理办公室、薛埠镇政府</w:t>
            </w:r>
          </w:p>
        </w:tc>
      </w:tr>
      <w:tr w14:paraId="17628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364" w:type="pct"/>
            <w:vMerge w:val="restart"/>
            <w:vAlign w:val="center"/>
          </w:tcPr>
          <w:p w14:paraId="43137EAD">
            <w:pPr>
              <w:pStyle w:val="70"/>
            </w:pPr>
            <w:r>
              <w:rPr>
                <w:rFonts w:hint="eastAsia"/>
              </w:rPr>
              <w:t>产业结构</w:t>
            </w:r>
          </w:p>
        </w:tc>
        <w:tc>
          <w:tcPr>
            <w:tcW w:w="909" w:type="pct"/>
            <w:vMerge w:val="restart"/>
            <w:vAlign w:val="center"/>
          </w:tcPr>
          <w:p w14:paraId="5DEF98C0">
            <w:pPr>
              <w:pStyle w:val="70"/>
            </w:pPr>
            <w:r>
              <w:rPr>
                <w:rFonts w:hint="eastAsia"/>
              </w:rPr>
              <w:t>区内现状企业中存在规模较小，环境管理水平较低，环保手续不齐全，与度假区规划重点发展的旅游度假产业定位不相符的企业</w:t>
            </w:r>
          </w:p>
        </w:tc>
        <w:tc>
          <w:tcPr>
            <w:tcW w:w="1794" w:type="pct"/>
            <w:vMerge w:val="restart"/>
            <w:vAlign w:val="center"/>
          </w:tcPr>
          <w:p w14:paraId="4BC3D8CA">
            <w:pPr>
              <w:pStyle w:val="70"/>
              <w:jc w:val="both"/>
              <w:rPr>
                <w:lang w:val="zh-CN"/>
              </w:rPr>
            </w:pPr>
            <w:r>
              <w:rPr>
                <w:rFonts w:hint="eastAsia"/>
                <w:lang w:val="zh-CN"/>
              </w:rPr>
              <w:t>综合考虑区内企业环评手续、排污许可执行情况以及度假区近期重点建设项目等因素，有计划、分步骤对区内现有工业企业实施停转迁；对于符合产业政策规划和环境保护管理要求的企业，应尽快完善环保手续，并优先考虑搬迁至周边工业区内，企业原址土地根据度假区规划进行开发建设。</w:t>
            </w:r>
          </w:p>
        </w:tc>
        <w:tc>
          <w:tcPr>
            <w:tcW w:w="1298" w:type="pct"/>
            <w:vAlign w:val="center"/>
          </w:tcPr>
          <w:p w14:paraId="33608B76">
            <w:pPr>
              <w:pStyle w:val="70"/>
            </w:pPr>
            <w:r>
              <w:rPr>
                <w:rFonts w:hint="eastAsia" w:cstheme="minorBidi"/>
              </w:rPr>
              <w:t>短期以整治提升为主，2030年底前完成常州市金坛区新朋建筑材料厂、常州市金坛创新建材有限公司、常州市金坛鼎盛建材厂、常州金坛江豚钙业有限公司、金坛东运钙业有限公司共5家建材、石灰石膏企业搬迁退出</w:t>
            </w:r>
          </w:p>
        </w:tc>
        <w:tc>
          <w:tcPr>
            <w:tcW w:w="633" w:type="pct"/>
            <w:vMerge w:val="restart"/>
            <w:vAlign w:val="center"/>
          </w:tcPr>
          <w:p w14:paraId="19D2EBB0">
            <w:pPr>
              <w:pStyle w:val="70"/>
            </w:pPr>
            <w:r>
              <w:rPr>
                <w:rFonts w:hint="eastAsia"/>
              </w:rPr>
              <w:t>江苏省金</w:t>
            </w:r>
          </w:p>
          <w:p w14:paraId="4BA86CCB">
            <w:pPr>
              <w:pStyle w:val="70"/>
            </w:pPr>
            <w:r>
              <w:rPr>
                <w:rFonts w:hint="eastAsia"/>
              </w:rPr>
              <w:t>坛茅山旅游度假区管理办公室、薛埠镇政府</w:t>
            </w:r>
          </w:p>
        </w:tc>
      </w:tr>
      <w:tr w14:paraId="3B789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364" w:type="pct"/>
            <w:vMerge w:val="continue"/>
            <w:vAlign w:val="center"/>
          </w:tcPr>
          <w:p w14:paraId="3A039E4D">
            <w:pPr>
              <w:pStyle w:val="70"/>
            </w:pPr>
          </w:p>
        </w:tc>
        <w:tc>
          <w:tcPr>
            <w:tcW w:w="909" w:type="pct"/>
            <w:vMerge w:val="continue"/>
            <w:vAlign w:val="center"/>
          </w:tcPr>
          <w:p w14:paraId="37DCC877">
            <w:pPr>
              <w:pStyle w:val="70"/>
            </w:pPr>
          </w:p>
        </w:tc>
        <w:tc>
          <w:tcPr>
            <w:tcW w:w="1794" w:type="pct"/>
            <w:vMerge w:val="continue"/>
            <w:vAlign w:val="center"/>
          </w:tcPr>
          <w:p w14:paraId="2C034490">
            <w:pPr>
              <w:pStyle w:val="70"/>
              <w:rPr>
                <w:lang w:val="zh-CN"/>
              </w:rPr>
            </w:pPr>
          </w:p>
        </w:tc>
        <w:tc>
          <w:tcPr>
            <w:tcW w:w="1298" w:type="pct"/>
            <w:vAlign w:val="center"/>
          </w:tcPr>
          <w:p w14:paraId="146A1F28">
            <w:pPr>
              <w:pStyle w:val="70"/>
            </w:pPr>
            <w:r>
              <w:rPr>
                <w:rFonts w:hint="eastAsia"/>
              </w:rPr>
              <w:t>2035年完成金坛市金星包装有限公司、常州市金坛麦宝食品有限公司、金坛市金陶农配有限公司3家企业搬迁退出</w:t>
            </w:r>
          </w:p>
        </w:tc>
        <w:tc>
          <w:tcPr>
            <w:tcW w:w="633" w:type="pct"/>
            <w:vMerge w:val="continue"/>
            <w:vAlign w:val="center"/>
          </w:tcPr>
          <w:p w14:paraId="463A0903">
            <w:pPr>
              <w:pStyle w:val="70"/>
            </w:pPr>
          </w:p>
        </w:tc>
      </w:tr>
      <w:tr w14:paraId="5DDB2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364" w:type="pct"/>
            <w:vAlign w:val="center"/>
          </w:tcPr>
          <w:p w14:paraId="1D26D641">
            <w:pPr>
              <w:pStyle w:val="70"/>
            </w:pPr>
            <w:r>
              <w:rPr>
                <w:rFonts w:hint="eastAsia"/>
              </w:rPr>
              <w:t>环境管理</w:t>
            </w:r>
          </w:p>
        </w:tc>
        <w:tc>
          <w:tcPr>
            <w:tcW w:w="909" w:type="pct"/>
            <w:vAlign w:val="center"/>
          </w:tcPr>
          <w:p w14:paraId="75F63AC6">
            <w:pPr>
              <w:pStyle w:val="70"/>
            </w:pPr>
            <w:r>
              <w:rPr>
                <w:rFonts w:hint="eastAsia"/>
              </w:rPr>
              <w:t>度假区区域涉及生态敏感区，环保投诉、信访问题以及生态保护区内违法违规建设问题需进一步提高重视和管理</w:t>
            </w:r>
          </w:p>
        </w:tc>
        <w:tc>
          <w:tcPr>
            <w:tcW w:w="1794" w:type="pct"/>
            <w:vAlign w:val="center"/>
          </w:tcPr>
          <w:p w14:paraId="0239C2DB">
            <w:pPr>
              <w:pStyle w:val="70"/>
              <w:jc w:val="both"/>
            </w:pPr>
            <w:r>
              <w:rPr>
                <w:rFonts w:hint="eastAsia"/>
                <w:lang w:val="zh-CN"/>
              </w:rPr>
              <w:t>一是落实信访工作责任制，做好初信初访化解工作，实现矛盾纠纷“早预防、早处置、早化解”；二是组织定期开展矛盾纠纷排查行动，及时发现各类苗头性、倾向性问题。三是常态化开展《信访工作条例》学习宣传活动，引导群众依法理性表达诉求、维护自身合法权益；四是定期开展生态空间保护区域监督管理自查自纠，合理利用遥感影像和现场踏勘相结合的方式及时发现和查处生态保护区域内违法违规开发建设和人类活动破坏自然生态行为。</w:t>
            </w:r>
            <w:r>
              <w:rPr>
                <w:rFonts w:hint="eastAsia"/>
              </w:rPr>
              <w:t>四是加快推进环保督察信访问题整改，把督察交办问题整改作为重要工作任务，全力以赴推动问题解决。</w:t>
            </w:r>
          </w:p>
        </w:tc>
        <w:tc>
          <w:tcPr>
            <w:tcW w:w="1298" w:type="pct"/>
            <w:vAlign w:val="center"/>
          </w:tcPr>
          <w:p w14:paraId="7CF50806">
            <w:pPr>
              <w:pStyle w:val="70"/>
            </w:pPr>
            <w:r>
              <w:rPr>
                <w:rFonts w:hint="eastAsia"/>
              </w:rPr>
              <w:t>长期坚持</w:t>
            </w:r>
          </w:p>
        </w:tc>
        <w:tc>
          <w:tcPr>
            <w:tcW w:w="633" w:type="pct"/>
            <w:vAlign w:val="center"/>
          </w:tcPr>
          <w:p w14:paraId="5F41BE6C">
            <w:pPr>
              <w:pStyle w:val="70"/>
            </w:pPr>
            <w:r>
              <w:rPr>
                <w:rFonts w:hint="eastAsia"/>
              </w:rPr>
              <w:t>江苏省金</w:t>
            </w:r>
          </w:p>
          <w:p w14:paraId="783329E5">
            <w:pPr>
              <w:pStyle w:val="70"/>
            </w:pPr>
            <w:r>
              <w:rPr>
                <w:rFonts w:hint="eastAsia"/>
              </w:rPr>
              <w:t>坛茅山旅游度假区管理办公室、薛埠镇政府</w:t>
            </w:r>
          </w:p>
        </w:tc>
      </w:tr>
      <w:tr w14:paraId="6C35E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Merge w:val="restart"/>
            <w:vAlign w:val="center"/>
          </w:tcPr>
          <w:p w14:paraId="3CB17EA6">
            <w:pPr>
              <w:pStyle w:val="70"/>
            </w:pPr>
            <w:r>
              <w:rPr>
                <w:rFonts w:hint="eastAsia"/>
              </w:rPr>
              <w:t>旅游项目</w:t>
            </w:r>
          </w:p>
        </w:tc>
        <w:tc>
          <w:tcPr>
            <w:tcW w:w="909" w:type="pct"/>
            <w:vAlign w:val="center"/>
          </w:tcPr>
          <w:p w14:paraId="00548791">
            <w:pPr>
              <w:pStyle w:val="70"/>
            </w:pPr>
            <w:r>
              <w:rPr>
                <w:rFonts w:hint="eastAsia"/>
              </w:rPr>
              <w:t>度假区部分规划旅游项目建设位置位于生态空间保护区域</w:t>
            </w:r>
          </w:p>
        </w:tc>
        <w:tc>
          <w:tcPr>
            <w:tcW w:w="1794" w:type="pct"/>
            <w:vAlign w:val="center"/>
          </w:tcPr>
          <w:p w14:paraId="45E1704F">
            <w:pPr>
              <w:pStyle w:val="70"/>
              <w:jc w:val="both"/>
              <w:rPr>
                <w:lang w:val="zh-CN"/>
              </w:rPr>
            </w:pPr>
            <w:r>
              <w:rPr>
                <w:rFonts w:hint="eastAsia"/>
                <w:lang w:val="zh-CN"/>
              </w:rPr>
              <w:t>本轮规划涉及生态保护红线、生态空间管控区域的规划新建项目建设应在符合生态保护红线、生态空间管控区内项目准入和管控要求的前提下开展；其余现有项目的改造提升，也需严格执行管理办法中“运行和维护不扩大现有规模”“不增加区域污染物”“仅开展不造成生态破坏的有限人类活动”等管控要求。</w:t>
            </w:r>
          </w:p>
        </w:tc>
        <w:tc>
          <w:tcPr>
            <w:tcW w:w="1298" w:type="pct"/>
            <w:vAlign w:val="center"/>
          </w:tcPr>
          <w:p w14:paraId="749E6E19">
            <w:pPr>
              <w:pStyle w:val="70"/>
            </w:pPr>
            <w:r>
              <w:rPr>
                <w:rFonts w:hint="eastAsia"/>
              </w:rPr>
              <w:t>规划全时期</w:t>
            </w:r>
          </w:p>
        </w:tc>
        <w:tc>
          <w:tcPr>
            <w:tcW w:w="633" w:type="pct"/>
            <w:vAlign w:val="center"/>
          </w:tcPr>
          <w:p w14:paraId="7CF2B6C8">
            <w:pPr>
              <w:pStyle w:val="70"/>
            </w:pPr>
            <w:r>
              <w:rPr>
                <w:rFonts w:hint="eastAsia"/>
              </w:rPr>
              <w:t>江苏省金</w:t>
            </w:r>
          </w:p>
          <w:p w14:paraId="065B00AF">
            <w:pPr>
              <w:pStyle w:val="70"/>
            </w:pPr>
            <w:r>
              <w:rPr>
                <w:rFonts w:hint="eastAsia"/>
              </w:rPr>
              <w:t>坛茅山旅游度假区管理办公室、薛埠镇政府</w:t>
            </w:r>
          </w:p>
        </w:tc>
      </w:tr>
      <w:tr w14:paraId="162D1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Merge w:val="continue"/>
            <w:vAlign w:val="center"/>
          </w:tcPr>
          <w:p w14:paraId="6BF65BD7">
            <w:pPr>
              <w:pStyle w:val="70"/>
            </w:pPr>
          </w:p>
        </w:tc>
        <w:tc>
          <w:tcPr>
            <w:tcW w:w="909" w:type="pct"/>
            <w:vAlign w:val="center"/>
          </w:tcPr>
          <w:p w14:paraId="652E3BEB">
            <w:pPr>
              <w:pStyle w:val="70"/>
            </w:pPr>
            <w:r>
              <w:rPr>
                <w:rFonts w:hint="eastAsia"/>
              </w:rPr>
              <w:t>部分规划项目建设涉及新增建设用地</w:t>
            </w:r>
          </w:p>
        </w:tc>
        <w:tc>
          <w:tcPr>
            <w:tcW w:w="1794" w:type="pct"/>
            <w:vAlign w:val="center"/>
          </w:tcPr>
          <w:p w14:paraId="39BD871B">
            <w:pPr>
              <w:pStyle w:val="70"/>
              <w:jc w:val="both"/>
            </w:pPr>
            <w:r>
              <w:t>度假区各类开发建设活动应符合国土空间规划等相关要求</w:t>
            </w:r>
            <w:r>
              <w:rPr>
                <w:rFonts w:hint="eastAsia"/>
              </w:rPr>
              <w:t>，严禁占用永久基本农田。新增建设用地项目若涉及占用部分一般农用地，应及时办理农用地转用审批手续，报自然资源部门批准，并按照有偿征用的原则给予补偿。引进的建设项目需占用耕地的，必须严格执行耕地占补平衡“占一补一”的原则以及国家和地方的相关规定，通过土地复垦等措施，补充数量相等、质量相当的耕地。实行占用林地总量控制，确需占用林地的，应当经林业主管部门审核同意，依法办理建设用地审批手续，确保林地保有量不减少。</w:t>
            </w:r>
          </w:p>
        </w:tc>
        <w:tc>
          <w:tcPr>
            <w:tcW w:w="1298" w:type="pct"/>
            <w:vAlign w:val="center"/>
          </w:tcPr>
          <w:p w14:paraId="36F4DD64">
            <w:pPr>
              <w:pStyle w:val="70"/>
            </w:pPr>
            <w:r>
              <w:rPr>
                <w:rFonts w:hint="eastAsia"/>
              </w:rPr>
              <w:t>规划全时期</w:t>
            </w:r>
          </w:p>
        </w:tc>
        <w:tc>
          <w:tcPr>
            <w:tcW w:w="633" w:type="pct"/>
            <w:vAlign w:val="center"/>
          </w:tcPr>
          <w:p w14:paraId="6ADE2336">
            <w:pPr>
              <w:pStyle w:val="70"/>
            </w:pPr>
            <w:r>
              <w:rPr>
                <w:rFonts w:hint="eastAsia"/>
              </w:rPr>
              <w:t>江苏省金</w:t>
            </w:r>
          </w:p>
          <w:p w14:paraId="66F9BF4F">
            <w:pPr>
              <w:pStyle w:val="70"/>
            </w:pPr>
            <w:r>
              <w:rPr>
                <w:rFonts w:hint="eastAsia"/>
              </w:rPr>
              <w:t>坛茅山旅游度假区管理办公室、薛埠镇政府</w:t>
            </w:r>
          </w:p>
        </w:tc>
      </w:tr>
    </w:tbl>
    <w:p w14:paraId="5B675A63">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3.</w:t>
      </w:r>
      <w:r>
        <w:rPr>
          <w:rFonts w:hint="eastAsia" w:eastAsia="方正楷体_GBK" w:cs="Times New Roman"/>
          <w:b/>
          <w:bCs/>
          <w:szCs w:val="28"/>
          <w14:ligatures w14:val="none"/>
        </w:rPr>
        <w:t>8</w:t>
      </w:r>
      <w:r>
        <w:rPr>
          <w:rFonts w:eastAsia="方正楷体_GBK" w:cs="Times New Roman"/>
          <w:b/>
          <w:bCs/>
          <w:szCs w:val="28"/>
          <w14:ligatures w14:val="none"/>
        </w:rPr>
        <w:t>.</w:t>
      </w:r>
      <w:r>
        <w:rPr>
          <w:rFonts w:hint="eastAsia" w:eastAsia="方正楷体_GBK" w:cs="Times New Roman"/>
          <w:b/>
          <w:bCs/>
          <w:szCs w:val="28"/>
          <w14:ligatures w14:val="none"/>
        </w:rPr>
        <w:t>2资源与环境制约因素分析</w:t>
      </w:r>
    </w:p>
    <w:p w14:paraId="27037BBB">
      <w:pPr>
        <w:ind w:firstLine="482"/>
        <w:rPr>
          <w:b/>
          <w:bCs/>
        </w:rPr>
      </w:pPr>
      <w:r>
        <w:rPr>
          <w:rFonts w:hint="eastAsia"/>
          <w:b/>
          <w:bCs/>
        </w:rPr>
        <w:t>（1）度假区内仍存在不符合区域定位的工业企业</w:t>
      </w:r>
    </w:p>
    <w:p w14:paraId="4BAE80C3">
      <w:pPr>
        <w:ind w:firstLine="480"/>
      </w:pPr>
      <w:r>
        <w:rPr>
          <w:rFonts w:hint="eastAsia"/>
        </w:rPr>
        <w:t>本轮规划度假区主导发展旅游度假产业，根据现状工业企业调查，现状区域内仍有8家不符合规划产业定位的工业企业，需有计划、分步骤对区内现有工业企业实施停转迁。其中4家石灰和石膏制造企业（常州市金坛创新建材有限公司、常州市金坛鼎盛建材厂、常州金坛江豚钙业有限公司、金坛东运钙业有限公司）纳入整治清单，短期上以环保整治为主，2030年底前完成搬迁退出；常州市金坛区新朋建筑材料厂（普通合伙），2030年底前计划搬迁退出；其余3家企业（金坛市金星包装有限公司、常州市金坛麦宝食品有限公司、金坛市金陶农配有限公司）在2035年底前引导企业自主搬迁退出。在实施企业停转迁的过程中</w:t>
      </w:r>
      <w:r>
        <w:rPr>
          <w:rFonts w:hint="eastAsia"/>
          <w:szCs w:val="28"/>
        </w:rPr>
        <w:t>，度假区需要结合项目的引入，通过关、停、并、转、迁等措施逐步合理调整区内用地，但仍</w:t>
      </w:r>
      <w:r>
        <w:rPr>
          <w:rFonts w:hint="eastAsia"/>
        </w:rPr>
        <w:t>受资金、职工安置、搬迁地条件等各方面因素制约</w:t>
      </w:r>
      <w:r>
        <w:rPr>
          <w:rFonts w:hint="eastAsia" w:cs="Times New Roman"/>
          <w:szCs w:val="28"/>
        </w:rPr>
        <w:t>。</w:t>
      </w:r>
    </w:p>
    <w:p w14:paraId="008E8BCA">
      <w:pPr>
        <w:ind w:firstLine="480"/>
        <w:rPr>
          <w:rFonts w:cs="Times New Roman"/>
          <w:szCs w:val="28"/>
        </w:rPr>
      </w:pPr>
      <w:r>
        <w:rPr>
          <w:rFonts w:hint="eastAsia" w:cs="Times New Roman"/>
          <w:szCs w:val="28"/>
        </w:rPr>
        <w:t>（2）区内用地性质转变制约度假区的发展</w:t>
      </w:r>
    </w:p>
    <w:p w14:paraId="77957AC7">
      <w:pPr>
        <w:ind w:firstLine="480"/>
        <w:rPr>
          <w:rFonts w:cs="Times New Roman"/>
          <w:szCs w:val="28"/>
        </w:rPr>
      </w:pPr>
      <w:r>
        <w:rPr>
          <w:rFonts w:hint="eastAsia" w:cs="Times New Roman"/>
          <w:szCs w:val="28"/>
        </w:rPr>
        <w:t>度假区各类开发建设活动应符合国土空间规划等相关要求，严禁占用永久基本农田。本轮规划拟建设的部分旅游项目涉及新增建设用地，其中占用一般农用地，应及时办理农用地转用审批手续，报自然资源部门批准，并按照有偿征用的原则给予补偿。规划的建设项目需占用耕地的，必须按照“占一补一”的原则以及国家和地方的相关规定，通过土地复垦等措施，补充数量相等、质量相当的耕地，严格执行耕地占补平衡政策；需占用林地的，应当经林业主管部门审核同意，依法办理建设用地审批手续，确保林地保有量不减少。因此农林用地的调整与占补平衡进度是区域开发的制约因素之一。</w:t>
      </w:r>
    </w:p>
    <w:p w14:paraId="3C941F8D">
      <w:pPr>
        <w:ind w:firstLine="480"/>
        <w:rPr>
          <w:rFonts w:cs="Times New Roman"/>
          <w:szCs w:val="28"/>
        </w:rPr>
      </w:pPr>
      <w:r>
        <w:rPr>
          <w:rFonts w:hint="eastAsia" w:cs="Times New Roman"/>
          <w:szCs w:val="28"/>
        </w:rPr>
        <w:t>（3）区域环境质量改善要求制约</w:t>
      </w:r>
    </w:p>
    <w:p w14:paraId="198B41F6">
      <w:pPr>
        <w:ind w:firstLine="480"/>
        <w:rPr>
          <w:rFonts w:cs="Times New Roman"/>
          <w:szCs w:val="28"/>
        </w:rPr>
      </w:pPr>
      <w:r>
        <w:rPr>
          <w:rFonts w:hint="eastAsia" w:cs="Times New Roman"/>
          <w:szCs w:val="28"/>
        </w:rPr>
        <w:t>本轮规划实施期间，开发强度、游客规模及人口数量等的增加必然会导致总能耗水耗的增加，污染物排放对环境的压力加剧，尤其是旅游旺季，高峰期游客量的增加给区域污水处理带来压力。目前，常州市大气环境质量尚未达标。目前已是十四五收官之年，国家、省、市对大气环境、水环境质量改善提出更高的要求，加之碳达峰、碳中和目标的提出，使得茅山旅游度假区规划规模、开发强度的增加与环境质量改善之间矛盾不断加剧。茅山旅游度假区作为对环境质量要求较高的区域，须积极采取各种污染控制与防治措施，以改善环境质量。</w:t>
      </w:r>
    </w:p>
    <w:p w14:paraId="0E6E36C3">
      <w:pPr>
        <w:pStyle w:val="2"/>
        <w:ind w:firstLine="0" w:firstLineChars="0"/>
      </w:pPr>
      <w:bookmarkStart w:id="86" w:name="_Toc217294049"/>
      <w:r>
        <w:t>4</w:t>
      </w:r>
      <w:r>
        <w:rPr>
          <w:rFonts w:hint="eastAsia"/>
        </w:rPr>
        <w:t>环境影响识别与评价指标体系</w:t>
      </w:r>
      <w:bookmarkEnd w:id="86"/>
    </w:p>
    <w:p w14:paraId="353799C0">
      <w:pPr>
        <w:pStyle w:val="3"/>
        <w:ind w:firstLine="0" w:firstLineChars="0"/>
        <w:rPr>
          <w:rFonts w:cs="Times New Roman"/>
        </w:rPr>
      </w:pPr>
      <w:bookmarkStart w:id="87" w:name="_Toc217294050"/>
      <w:r>
        <w:rPr>
          <w:rFonts w:cs="Times New Roman"/>
        </w:rPr>
        <w:t>4.1</w:t>
      </w:r>
      <w:r>
        <w:rPr>
          <w:rFonts w:hint="eastAsia" w:cs="Times New Roman"/>
        </w:rPr>
        <w:t>环境影响因素识别</w:t>
      </w:r>
      <w:bookmarkEnd w:id="87"/>
    </w:p>
    <w:p w14:paraId="31123C75">
      <w:pPr>
        <w:ind w:firstLine="480"/>
      </w:pPr>
      <w:r>
        <w:rPr>
          <w:rFonts w:hint="eastAsia"/>
        </w:rPr>
        <w:t>度假区开发前、开发过程中、开发后的主要环境影响因素见表</w:t>
      </w:r>
      <w:r>
        <w:t>4</w:t>
      </w:r>
      <w:r>
        <w:rPr>
          <w:rFonts w:hint="eastAsia"/>
        </w:rPr>
        <w:t>.1-1。</w:t>
      </w:r>
    </w:p>
    <w:p w14:paraId="23A628F3">
      <w:pPr>
        <w:pStyle w:val="45"/>
        <w:rPr>
          <w:rFonts w:cs="Times New Roman"/>
        </w:rPr>
      </w:pPr>
      <w:r>
        <w:rPr>
          <w:rFonts w:hint="eastAsia" w:cs="Times New Roman"/>
        </w:rPr>
        <w:t>表4</w:t>
      </w:r>
      <w:r>
        <w:rPr>
          <w:rFonts w:cs="Times New Roman"/>
        </w:rPr>
        <w:t>.1</w:t>
      </w:r>
      <w:r>
        <w:rPr>
          <w:rFonts w:hint="eastAsia" w:cs="Times New Roman"/>
        </w:rPr>
        <w:t>-</w:t>
      </w:r>
      <w:r>
        <w:rPr>
          <w:rFonts w:cs="Times New Roman"/>
        </w:rPr>
        <w:t xml:space="preserve">1  </w:t>
      </w:r>
      <w:r>
        <w:rPr>
          <w:rFonts w:hint="eastAsia" w:cs="Times New Roman"/>
        </w:rPr>
        <w:t>度假区各开发阶段主要环境影响因素</w:t>
      </w:r>
    </w:p>
    <w:tbl>
      <w:tblPr>
        <w:tblStyle w:val="5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1648"/>
        <w:gridCol w:w="5715"/>
      </w:tblGrid>
      <w:tr w14:paraId="41B25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80" w:type="pct"/>
            <w:tcBorders>
              <w:top w:val="single" w:color="auto" w:sz="4" w:space="0"/>
              <w:left w:val="single" w:color="auto" w:sz="4" w:space="0"/>
              <w:bottom w:val="single" w:color="auto" w:sz="4" w:space="0"/>
              <w:right w:val="single" w:color="auto" w:sz="4" w:space="0"/>
            </w:tcBorders>
            <w:vAlign w:val="center"/>
          </w:tcPr>
          <w:p w14:paraId="387DC0F4">
            <w:pPr>
              <w:widowControl/>
              <w:spacing w:line="240" w:lineRule="auto"/>
              <w:ind w:firstLine="0" w:firstLineChars="0"/>
              <w:jc w:val="center"/>
              <w:rPr>
                <w:rFonts w:ascii="Calibri" w:hAnsi="Calibri" w:cs="Times New Roman"/>
                <w:b/>
                <w:bCs/>
                <w:kern w:val="0"/>
                <w:sz w:val="21"/>
                <w:szCs w:val="21"/>
                <w14:ligatures w14:val="none"/>
              </w:rPr>
            </w:pPr>
            <w:r>
              <w:rPr>
                <w:rFonts w:hint="eastAsia" w:ascii="Calibri" w:hAnsi="Calibri" w:cs="Times New Roman"/>
                <w:b/>
                <w:bCs/>
                <w:kern w:val="0"/>
                <w:sz w:val="21"/>
                <w:szCs w:val="21"/>
                <w14:ligatures w14:val="none"/>
              </w:rPr>
              <w:t>开发阶段</w:t>
            </w:r>
          </w:p>
        </w:tc>
        <w:tc>
          <w:tcPr>
            <w:tcW w:w="4320" w:type="pct"/>
            <w:gridSpan w:val="2"/>
            <w:tcBorders>
              <w:top w:val="single" w:color="auto" w:sz="4" w:space="0"/>
              <w:left w:val="single" w:color="auto" w:sz="4" w:space="0"/>
              <w:bottom w:val="single" w:color="auto" w:sz="4" w:space="0"/>
              <w:right w:val="single" w:color="auto" w:sz="4" w:space="0"/>
            </w:tcBorders>
            <w:vAlign w:val="center"/>
          </w:tcPr>
          <w:p w14:paraId="4B601FD7">
            <w:pPr>
              <w:widowControl/>
              <w:spacing w:line="240" w:lineRule="auto"/>
              <w:ind w:firstLine="0" w:firstLineChars="0"/>
              <w:jc w:val="center"/>
              <w:rPr>
                <w:rFonts w:ascii="Calibri" w:hAnsi="Calibri" w:cs="Times New Roman"/>
                <w:b/>
                <w:bCs/>
                <w:kern w:val="0"/>
                <w:sz w:val="21"/>
                <w:szCs w:val="21"/>
                <w14:ligatures w14:val="none"/>
              </w:rPr>
            </w:pPr>
            <w:r>
              <w:rPr>
                <w:rFonts w:hint="eastAsia" w:ascii="Calibri" w:hAnsi="Calibri" w:cs="Times New Roman"/>
                <w:b/>
                <w:bCs/>
                <w:kern w:val="0"/>
                <w:sz w:val="21"/>
                <w:szCs w:val="21"/>
                <w14:ligatures w14:val="none"/>
              </w:rPr>
              <w:t>环境影响因素</w:t>
            </w:r>
          </w:p>
        </w:tc>
      </w:tr>
      <w:tr w14:paraId="57AC5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680" w:type="pct"/>
            <w:tcBorders>
              <w:top w:val="single" w:color="auto" w:sz="4" w:space="0"/>
              <w:left w:val="single" w:color="auto" w:sz="4" w:space="0"/>
              <w:bottom w:val="single" w:color="auto" w:sz="4" w:space="0"/>
              <w:right w:val="single" w:color="auto" w:sz="4" w:space="0"/>
            </w:tcBorders>
            <w:vAlign w:val="center"/>
          </w:tcPr>
          <w:p w14:paraId="7168F9F9">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开发前</w:t>
            </w:r>
          </w:p>
        </w:tc>
        <w:tc>
          <w:tcPr>
            <w:tcW w:w="4320" w:type="pct"/>
            <w:gridSpan w:val="2"/>
            <w:tcBorders>
              <w:top w:val="single" w:color="auto" w:sz="4" w:space="0"/>
              <w:left w:val="single" w:color="auto" w:sz="4" w:space="0"/>
              <w:bottom w:val="single" w:color="auto" w:sz="4" w:space="0"/>
              <w:right w:val="single" w:color="auto" w:sz="4" w:space="0"/>
            </w:tcBorders>
            <w:vAlign w:val="center"/>
          </w:tcPr>
          <w:p w14:paraId="634AAB35">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农业污染源：农业耕作使用的化肥、农药流失产生环境污染</w:t>
            </w:r>
          </w:p>
          <w:p w14:paraId="429703DE">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工业污染源：现状工业企业生产过程中产生的废水、废气、噪声和固废</w:t>
            </w:r>
          </w:p>
          <w:p w14:paraId="367C3FE7">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生活污染源：当地居民和游客游览住宿产生的生活污水、餐饮油烟、噪声和生活垃圾</w:t>
            </w:r>
          </w:p>
        </w:tc>
      </w:tr>
      <w:tr w14:paraId="6D1D9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restart"/>
            <w:tcBorders>
              <w:top w:val="single" w:color="auto" w:sz="4" w:space="0"/>
              <w:left w:val="single" w:color="auto" w:sz="4" w:space="0"/>
              <w:bottom w:val="single" w:color="auto" w:sz="4" w:space="0"/>
              <w:right w:val="single" w:color="auto" w:sz="4" w:space="0"/>
            </w:tcBorders>
            <w:vAlign w:val="center"/>
          </w:tcPr>
          <w:p w14:paraId="0A5653D3">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开发过程中</w:t>
            </w:r>
          </w:p>
        </w:tc>
        <w:tc>
          <w:tcPr>
            <w:tcW w:w="967" w:type="pct"/>
            <w:vMerge w:val="restart"/>
            <w:tcBorders>
              <w:top w:val="single" w:color="auto" w:sz="4" w:space="0"/>
              <w:left w:val="single" w:color="auto" w:sz="4" w:space="0"/>
              <w:bottom w:val="single" w:color="auto" w:sz="4" w:space="0"/>
              <w:right w:val="single" w:color="auto" w:sz="4" w:space="0"/>
            </w:tcBorders>
            <w:vAlign w:val="center"/>
          </w:tcPr>
          <w:p w14:paraId="2CDA7B3A">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水环境影响因素</w:t>
            </w:r>
          </w:p>
        </w:tc>
        <w:tc>
          <w:tcPr>
            <w:tcW w:w="3352" w:type="pct"/>
            <w:tcBorders>
              <w:top w:val="single" w:color="auto" w:sz="4" w:space="0"/>
              <w:left w:val="single" w:color="auto" w:sz="4" w:space="0"/>
              <w:bottom w:val="single" w:color="auto" w:sz="4" w:space="0"/>
              <w:right w:val="single" w:color="auto" w:sz="4" w:space="0"/>
            </w:tcBorders>
            <w:vAlign w:val="center"/>
          </w:tcPr>
          <w:p w14:paraId="54B6350A">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施工机械跑、冒、滴、漏的污油及露天机械被雨水等冲刷后产生的污水</w:t>
            </w:r>
          </w:p>
        </w:tc>
      </w:tr>
      <w:tr w14:paraId="3FFDB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239F26ED">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2BA507F9">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752FA5EF">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露天堆放的建筑材料、废弃物被雨水冲刷或淋溶产生的污染物</w:t>
            </w:r>
          </w:p>
        </w:tc>
      </w:tr>
      <w:tr w14:paraId="72BB6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0274360A">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3F49CC63">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0D32D8FF">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雨水对地面冲刷形成的被污染的地面径流</w:t>
            </w:r>
          </w:p>
        </w:tc>
      </w:tr>
      <w:tr w14:paraId="70423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1BBAECAC">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6D1646BE">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0AA4D313">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部分建筑材料、砂石在运输及使用过程中洒落到水体中产生的污染</w:t>
            </w:r>
          </w:p>
        </w:tc>
      </w:tr>
      <w:tr w14:paraId="0B9AD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36526691">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12359D20">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2DD97CF0">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施工人员产生的生活污水</w:t>
            </w:r>
          </w:p>
        </w:tc>
      </w:tr>
      <w:tr w14:paraId="07D91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4D85F994">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restart"/>
            <w:tcBorders>
              <w:top w:val="single" w:color="auto" w:sz="4" w:space="0"/>
              <w:left w:val="single" w:color="auto" w:sz="4" w:space="0"/>
              <w:bottom w:val="single" w:color="auto" w:sz="4" w:space="0"/>
              <w:right w:val="single" w:color="auto" w:sz="4" w:space="0"/>
            </w:tcBorders>
            <w:vAlign w:val="center"/>
          </w:tcPr>
          <w:p w14:paraId="27C485E6">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大气环境影响因素</w:t>
            </w:r>
          </w:p>
        </w:tc>
        <w:tc>
          <w:tcPr>
            <w:tcW w:w="3352" w:type="pct"/>
            <w:tcBorders>
              <w:top w:val="single" w:color="auto" w:sz="4" w:space="0"/>
              <w:left w:val="single" w:color="auto" w:sz="4" w:space="0"/>
              <w:bottom w:val="single" w:color="auto" w:sz="4" w:space="0"/>
              <w:right w:val="single" w:color="auto" w:sz="4" w:space="0"/>
            </w:tcBorders>
            <w:vAlign w:val="center"/>
          </w:tcPr>
          <w:p w14:paraId="395187F2">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运输车辆及施工机械引起的扬尘及燃油尾气污染物</w:t>
            </w:r>
          </w:p>
        </w:tc>
      </w:tr>
      <w:tr w14:paraId="11D53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2F149BC6">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44A8B7FF">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17A78CE7">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建筑材料的装卸、运输和使用过程中产生的大量粉尘和扬尘</w:t>
            </w:r>
          </w:p>
        </w:tc>
      </w:tr>
      <w:tr w14:paraId="7468A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3B99FD96">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1DA238D7">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736B3F4F">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建筑施工场地裸露地表的风吹起的扬尘</w:t>
            </w:r>
          </w:p>
        </w:tc>
      </w:tr>
      <w:tr w14:paraId="1461A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6D6F0A2B">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57E5F9E6">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2CB0C426">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临时生活设施产生的废气</w:t>
            </w:r>
          </w:p>
        </w:tc>
      </w:tr>
      <w:tr w14:paraId="10600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01337A75">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restart"/>
            <w:tcBorders>
              <w:top w:val="single" w:color="auto" w:sz="4" w:space="0"/>
              <w:left w:val="single" w:color="auto" w:sz="4" w:space="0"/>
              <w:bottom w:val="single" w:color="auto" w:sz="4" w:space="0"/>
              <w:right w:val="single" w:color="auto" w:sz="4" w:space="0"/>
            </w:tcBorders>
            <w:vAlign w:val="center"/>
          </w:tcPr>
          <w:p w14:paraId="2EED9D7E">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声环境影响因素</w:t>
            </w:r>
          </w:p>
        </w:tc>
        <w:tc>
          <w:tcPr>
            <w:tcW w:w="3352" w:type="pct"/>
            <w:tcBorders>
              <w:top w:val="single" w:color="auto" w:sz="4" w:space="0"/>
              <w:left w:val="single" w:color="auto" w:sz="4" w:space="0"/>
              <w:bottom w:val="single" w:color="auto" w:sz="4" w:space="0"/>
              <w:right w:val="single" w:color="auto" w:sz="4" w:space="0"/>
            </w:tcBorders>
            <w:vAlign w:val="center"/>
          </w:tcPr>
          <w:p w14:paraId="6CBFAD15">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运输车辆产生的交通噪声</w:t>
            </w:r>
          </w:p>
        </w:tc>
      </w:tr>
      <w:tr w14:paraId="4CA78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4E0C2FA9">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448D4926">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7B3C2013">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施工机械产生的施工噪声</w:t>
            </w:r>
          </w:p>
        </w:tc>
      </w:tr>
      <w:tr w14:paraId="07A06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510BA4E7">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restart"/>
            <w:tcBorders>
              <w:top w:val="single" w:color="auto" w:sz="4" w:space="0"/>
              <w:left w:val="single" w:color="auto" w:sz="4" w:space="0"/>
              <w:bottom w:val="single" w:color="auto" w:sz="4" w:space="0"/>
              <w:right w:val="single" w:color="auto" w:sz="4" w:space="0"/>
            </w:tcBorders>
            <w:vAlign w:val="center"/>
          </w:tcPr>
          <w:p w14:paraId="46C20098">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固体废物环境影响因素</w:t>
            </w:r>
          </w:p>
        </w:tc>
        <w:tc>
          <w:tcPr>
            <w:tcW w:w="3352" w:type="pct"/>
            <w:tcBorders>
              <w:top w:val="single" w:color="auto" w:sz="4" w:space="0"/>
              <w:left w:val="single" w:color="auto" w:sz="4" w:space="0"/>
              <w:bottom w:val="single" w:color="auto" w:sz="4" w:space="0"/>
              <w:right w:val="single" w:color="auto" w:sz="4" w:space="0"/>
            </w:tcBorders>
            <w:vAlign w:val="center"/>
          </w:tcPr>
          <w:p w14:paraId="1B9D966C">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施工人员生活垃圾</w:t>
            </w:r>
          </w:p>
        </w:tc>
      </w:tr>
      <w:tr w14:paraId="4F09F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2EA2582E">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251D9C1A">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7BFA5E8B">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建筑余泥渣土</w:t>
            </w:r>
          </w:p>
        </w:tc>
      </w:tr>
      <w:tr w14:paraId="6BB07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4C5C5CC7">
            <w:pPr>
              <w:widowControl/>
              <w:spacing w:line="240" w:lineRule="auto"/>
              <w:ind w:firstLine="0" w:firstLineChars="0"/>
              <w:jc w:val="left"/>
              <w:rPr>
                <w:rFonts w:ascii="Calibri" w:hAnsi="Calibri" w:cs="Times New Roman"/>
                <w:bCs/>
                <w:kern w:val="0"/>
                <w:sz w:val="21"/>
                <w:szCs w:val="21"/>
                <w14:ligatures w14: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0E60198F">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生态环境影响因素</w:t>
            </w:r>
          </w:p>
        </w:tc>
        <w:tc>
          <w:tcPr>
            <w:tcW w:w="3352" w:type="pct"/>
            <w:tcBorders>
              <w:top w:val="single" w:color="auto" w:sz="4" w:space="0"/>
              <w:left w:val="single" w:color="auto" w:sz="4" w:space="0"/>
              <w:bottom w:val="single" w:color="auto" w:sz="4" w:space="0"/>
              <w:right w:val="single" w:color="auto" w:sz="4" w:space="0"/>
            </w:tcBorders>
            <w:vAlign w:val="center"/>
          </w:tcPr>
          <w:p w14:paraId="17C13F92">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施工临时占地、永久占地造成水土流失，破坏植被和野生动物生境，影响动植物生存</w:t>
            </w:r>
          </w:p>
        </w:tc>
      </w:tr>
      <w:tr w14:paraId="594E9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top w:val="single" w:color="auto" w:sz="4" w:space="0"/>
              <w:left w:val="single" w:color="auto" w:sz="4" w:space="0"/>
              <w:bottom w:val="single" w:color="auto" w:sz="4" w:space="0"/>
              <w:right w:val="single" w:color="auto" w:sz="4" w:space="0"/>
            </w:tcBorders>
            <w:vAlign w:val="center"/>
          </w:tcPr>
          <w:p w14:paraId="6B98381D">
            <w:pPr>
              <w:widowControl/>
              <w:spacing w:line="240" w:lineRule="auto"/>
              <w:ind w:firstLine="0" w:firstLineChars="0"/>
              <w:jc w:val="left"/>
              <w:rPr>
                <w:rFonts w:ascii="Calibri" w:hAnsi="Calibri" w:cs="Times New Roman"/>
                <w:bCs/>
                <w:kern w:val="0"/>
                <w:sz w:val="21"/>
                <w:szCs w:val="21"/>
                <w14:ligatures w14: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49ADAC8B">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社会经济影响因素</w:t>
            </w:r>
          </w:p>
        </w:tc>
        <w:tc>
          <w:tcPr>
            <w:tcW w:w="3352" w:type="pct"/>
            <w:tcBorders>
              <w:top w:val="single" w:color="auto" w:sz="4" w:space="0"/>
              <w:left w:val="single" w:color="auto" w:sz="4" w:space="0"/>
              <w:bottom w:val="single" w:color="auto" w:sz="4" w:space="0"/>
              <w:right w:val="single" w:color="auto" w:sz="4" w:space="0"/>
            </w:tcBorders>
            <w:vAlign w:val="center"/>
          </w:tcPr>
          <w:p w14:paraId="26C11BA7">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开发过程中对当地居民生活质量、区域交通、文物保护等产生影响</w:t>
            </w:r>
          </w:p>
        </w:tc>
      </w:tr>
      <w:tr w14:paraId="47701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restart"/>
            <w:tcBorders>
              <w:top w:val="single" w:color="auto" w:sz="4" w:space="0"/>
              <w:left w:val="single" w:color="auto" w:sz="4" w:space="0"/>
              <w:right w:val="single" w:color="auto" w:sz="4" w:space="0"/>
            </w:tcBorders>
            <w:vAlign w:val="center"/>
          </w:tcPr>
          <w:p w14:paraId="360135D4">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开发后</w:t>
            </w:r>
          </w:p>
        </w:tc>
        <w:tc>
          <w:tcPr>
            <w:tcW w:w="967" w:type="pct"/>
            <w:vMerge w:val="restart"/>
            <w:tcBorders>
              <w:top w:val="single" w:color="auto" w:sz="4" w:space="0"/>
              <w:left w:val="single" w:color="auto" w:sz="4" w:space="0"/>
              <w:bottom w:val="single" w:color="auto" w:sz="4" w:space="0"/>
              <w:right w:val="single" w:color="auto" w:sz="4" w:space="0"/>
            </w:tcBorders>
            <w:vAlign w:val="center"/>
          </w:tcPr>
          <w:p w14:paraId="677AD789">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水环境影响因素</w:t>
            </w:r>
          </w:p>
        </w:tc>
        <w:tc>
          <w:tcPr>
            <w:tcW w:w="3352" w:type="pct"/>
            <w:tcBorders>
              <w:top w:val="single" w:color="auto" w:sz="4" w:space="0"/>
              <w:left w:val="single" w:color="auto" w:sz="4" w:space="0"/>
              <w:bottom w:val="single" w:color="auto" w:sz="4" w:space="0"/>
              <w:right w:val="single" w:color="auto" w:sz="4" w:space="0"/>
            </w:tcBorders>
            <w:vAlign w:val="center"/>
          </w:tcPr>
          <w:p w14:paraId="6EAB9495">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当地居民及游客游览住宿产生的生活污水，主要污染物为BOD</w:t>
            </w:r>
            <w:r>
              <w:rPr>
                <w:rFonts w:hint="eastAsia" w:ascii="Calibri" w:hAnsi="Calibri" w:cs="Times New Roman"/>
                <w:bCs/>
                <w:kern w:val="0"/>
                <w:sz w:val="21"/>
                <w:szCs w:val="21"/>
                <w:vertAlign w:val="subscript"/>
                <w14:ligatures w14:val="none"/>
              </w:rPr>
              <w:t>5</w:t>
            </w:r>
            <w:r>
              <w:rPr>
                <w:rFonts w:hint="eastAsia" w:ascii="Calibri" w:hAnsi="Calibri" w:cs="Times New Roman"/>
                <w:bCs/>
                <w:kern w:val="0"/>
                <w:sz w:val="21"/>
                <w:szCs w:val="21"/>
                <w14:ligatures w14:val="none"/>
              </w:rPr>
              <w:t>、COD、氨氮、SS、动植物油等</w:t>
            </w:r>
          </w:p>
        </w:tc>
      </w:tr>
      <w:tr w14:paraId="16152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31E0EC85">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1CDE8B47">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2091D7EB">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餐饮厨房排放的含油污水，主要污染物为BOD</w:t>
            </w:r>
            <w:r>
              <w:rPr>
                <w:rFonts w:hint="eastAsia" w:ascii="Calibri" w:hAnsi="Calibri" w:cs="Times New Roman"/>
                <w:bCs/>
                <w:kern w:val="0"/>
                <w:sz w:val="21"/>
                <w:szCs w:val="21"/>
                <w:vertAlign w:val="subscript"/>
                <w14:ligatures w14:val="none"/>
              </w:rPr>
              <w:t>5</w:t>
            </w:r>
            <w:r>
              <w:rPr>
                <w:rFonts w:hint="eastAsia" w:ascii="Calibri" w:hAnsi="Calibri" w:cs="Times New Roman"/>
                <w:bCs/>
                <w:kern w:val="0"/>
                <w:sz w:val="21"/>
                <w:szCs w:val="21"/>
                <w14:ligatures w14:val="none"/>
              </w:rPr>
              <w:t>、COD、氨氮、SS、动植物油等</w:t>
            </w:r>
          </w:p>
        </w:tc>
      </w:tr>
      <w:tr w14:paraId="7E69B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440ED3A5">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07DA376A">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598C8226">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雨水冲刷地面形成地表径流，主要污染物为BOD</w:t>
            </w:r>
            <w:r>
              <w:rPr>
                <w:rFonts w:hint="eastAsia" w:ascii="Calibri" w:hAnsi="Calibri" w:cs="Times New Roman"/>
                <w:bCs/>
                <w:kern w:val="0"/>
                <w:sz w:val="21"/>
                <w:szCs w:val="21"/>
                <w:vertAlign w:val="subscript"/>
                <w14:ligatures w14:val="none"/>
              </w:rPr>
              <w:t>5</w:t>
            </w:r>
            <w:r>
              <w:rPr>
                <w:rFonts w:hint="eastAsia" w:ascii="Calibri" w:hAnsi="Calibri" w:cs="Times New Roman"/>
                <w:bCs/>
                <w:kern w:val="0"/>
                <w:sz w:val="21"/>
                <w:szCs w:val="21"/>
                <w14:ligatures w14:val="none"/>
              </w:rPr>
              <w:t>、COD、氨氮、SS、总磷等</w:t>
            </w:r>
          </w:p>
        </w:tc>
      </w:tr>
      <w:tr w14:paraId="756DE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39CA8862">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29DEE873">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67885D3D">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污水管道发生破裂，造成污水外溢，主要污染物为BOD</w:t>
            </w:r>
            <w:r>
              <w:rPr>
                <w:rFonts w:hint="eastAsia" w:ascii="Calibri" w:hAnsi="Calibri" w:cs="Times New Roman"/>
                <w:bCs/>
                <w:kern w:val="0"/>
                <w:sz w:val="21"/>
                <w:szCs w:val="21"/>
                <w:vertAlign w:val="subscript"/>
                <w14:ligatures w14:val="none"/>
              </w:rPr>
              <w:t>5</w:t>
            </w:r>
            <w:r>
              <w:rPr>
                <w:rFonts w:hint="eastAsia" w:ascii="Calibri" w:hAnsi="Calibri" w:cs="Times New Roman"/>
                <w:bCs/>
                <w:kern w:val="0"/>
                <w:sz w:val="21"/>
                <w:szCs w:val="21"/>
                <w14:ligatures w14:val="none"/>
              </w:rPr>
              <w:t>、COD、氨氮、SS、动植物油等</w:t>
            </w:r>
          </w:p>
        </w:tc>
      </w:tr>
      <w:tr w14:paraId="30BF5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1485A27A">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restart"/>
            <w:tcBorders>
              <w:top w:val="single" w:color="auto" w:sz="4" w:space="0"/>
              <w:left w:val="single" w:color="auto" w:sz="4" w:space="0"/>
              <w:bottom w:val="single" w:color="auto" w:sz="4" w:space="0"/>
              <w:right w:val="single" w:color="auto" w:sz="4" w:space="0"/>
            </w:tcBorders>
            <w:vAlign w:val="center"/>
          </w:tcPr>
          <w:p w14:paraId="65B6EEAC">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大气环境影响因素</w:t>
            </w:r>
          </w:p>
        </w:tc>
        <w:tc>
          <w:tcPr>
            <w:tcW w:w="3352" w:type="pct"/>
            <w:tcBorders>
              <w:top w:val="single" w:color="auto" w:sz="4" w:space="0"/>
              <w:left w:val="single" w:color="auto" w:sz="4" w:space="0"/>
              <w:bottom w:val="single" w:color="auto" w:sz="4" w:space="0"/>
              <w:right w:val="single" w:color="auto" w:sz="4" w:space="0"/>
            </w:tcBorders>
            <w:vAlign w:val="center"/>
          </w:tcPr>
          <w:p w14:paraId="35EF19D9">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餐饮业油烟废气</w:t>
            </w:r>
          </w:p>
        </w:tc>
      </w:tr>
      <w:tr w14:paraId="6A48D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37E2CBE7">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12B53CC1">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4DE877CD">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道路机动车行驶排放的机动车尾气（NOx、CO、PM</w:t>
            </w:r>
            <w:r>
              <w:rPr>
                <w:rFonts w:hint="eastAsia" w:ascii="Calibri" w:hAnsi="Calibri" w:cs="Times New Roman"/>
                <w:bCs/>
                <w:kern w:val="0"/>
                <w:sz w:val="21"/>
                <w:szCs w:val="21"/>
                <w:vertAlign w:val="subscript"/>
                <w14:ligatures w14:val="none"/>
              </w:rPr>
              <w:t>10</w:t>
            </w:r>
            <w:r>
              <w:rPr>
                <w:rFonts w:hint="eastAsia" w:ascii="Calibri" w:hAnsi="Calibri" w:cs="Times New Roman"/>
                <w:bCs/>
                <w:kern w:val="0"/>
                <w:sz w:val="21"/>
                <w:szCs w:val="21"/>
                <w14:ligatures w14:val="none"/>
              </w:rPr>
              <w:t>等）</w:t>
            </w:r>
          </w:p>
        </w:tc>
      </w:tr>
      <w:tr w14:paraId="3D490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083DED9D">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4AD15E9A">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5D27071F">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度假区内公共厕所、垃圾桶产生的恶臭气体</w:t>
            </w:r>
          </w:p>
        </w:tc>
      </w:tr>
      <w:tr w14:paraId="7D2CB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3699932B">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restart"/>
            <w:tcBorders>
              <w:top w:val="single" w:color="auto" w:sz="4" w:space="0"/>
              <w:left w:val="single" w:color="auto" w:sz="4" w:space="0"/>
              <w:bottom w:val="single" w:color="auto" w:sz="4" w:space="0"/>
              <w:right w:val="single" w:color="auto" w:sz="4" w:space="0"/>
            </w:tcBorders>
            <w:vAlign w:val="center"/>
          </w:tcPr>
          <w:p w14:paraId="3CAFB442">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声环境影响因素</w:t>
            </w:r>
          </w:p>
        </w:tc>
        <w:tc>
          <w:tcPr>
            <w:tcW w:w="3352" w:type="pct"/>
            <w:tcBorders>
              <w:top w:val="single" w:color="auto" w:sz="4" w:space="0"/>
              <w:left w:val="single" w:color="auto" w:sz="4" w:space="0"/>
              <w:bottom w:val="single" w:color="auto" w:sz="4" w:space="0"/>
              <w:right w:val="single" w:color="auto" w:sz="4" w:space="0"/>
            </w:tcBorders>
            <w:vAlign w:val="center"/>
          </w:tcPr>
          <w:p w14:paraId="3BA32770">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餐饮区设备噪声</w:t>
            </w:r>
          </w:p>
        </w:tc>
      </w:tr>
      <w:tr w14:paraId="233B5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37716CC6">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1566ABE4">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1EDD1A01">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游客游览过程中产生噪声</w:t>
            </w:r>
          </w:p>
        </w:tc>
      </w:tr>
      <w:tr w14:paraId="03F9D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36E4713E">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74D91BC8">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480BB3B4">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各类水泵等设备噪声</w:t>
            </w:r>
          </w:p>
        </w:tc>
      </w:tr>
      <w:tr w14:paraId="645EE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22CE5FC3">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top w:val="single" w:color="auto" w:sz="4" w:space="0"/>
              <w:left w:val="single" w:color="auto" w:sz="4" w:space="0"/>
              <w:bottom w:val="single" w:color="auto" w:sz="4" w:space="0"/>
              <w:right w:val="single" w:color="auto" w:sz="4" w:space="0"/>
            </w:tcBorders>
            <w:vAlign w:val="center"/>
          </w:tcPr>
          <w:p w14:paraId="623C9022">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48724F74">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汽车产生的交通噪声等</w:t>
            </w:r>
          </w:p>
        </w:tc>
      </w:tr>
      <w:tr w14:paraId="54C17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28A6E8FF">
            <w:pPr>
              <w:widowControl/>
              <w:spacing w:line="240" w:lineRule="auto"/>
              <w:ind w:firstLine="0" w:firstLineChars="0"/>
              <w:jc w:val="left"/>
              <w:rPr>
                <w:rFonts w:ascii="Calibri" w:hAnsi="Calibri" w:cs="Times New Roman"/>
                <w:bCs/>
                <w:kern w:val="0"/>
                <w:sz w:val="21"/>
                <w:szCs w:val="21"/>
                <w14:ligatures w14: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26454273">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固体废物环境影响因素</w:t>
            </w:r>
          </w:p>
        </w:tc>
        <w:tc>
          <w:tcPr>
            <w:tcW w:w="3352" w:type="pct"/>
            <w:tcBorders>
              <w:top w:val="single" w:color="auto" w:sz="4" w:space="0"/>
              <w:left w:val="single" w:color="auto" w:sz="4" w:space="0"/>
              <w:bottom w:val="single" w:color="auto" w:sz="4" w:space="0"/>
              <w:right w:val="single" w:color="auto" w:sz="4" w:space="0"/>
            </w:tcBorders>
            <w:vAlign w:val="center"/>
          </w:tcPr>
          <w:p w14:paraId="4A12F803">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居民生活垃圾及游客游览产生的垃圾</w:t>
            </w:r>
          </w:p>
        </w:tc>
      </w:tr>
      <w:tr w14:paraId="16091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1D912A5F">
            <w:pPr>
              <w:widowControl/>
              <w:spacing w:line="240" w:lineRule="auto"/>
              <w:ind w:firstLine="0" w:firstLineChars="0"/>
              <w:jc w:val="left"/>
              <w:rPr>
                <w:rFonts w:ascii="Calibri" w:hAnsi="Calibri" w:cs="Times New Roman"/>
                <w:bCs/>
                <w:kern w:val="0"/>
                <w:sz w:val="21"/>
                <w:szCs w:val="21"/>
                <w14:ligatures w14:val="none"/>
              </w:rPr>
            </w:pPr>
          </w:p>
        </w:tc>
        <w:tc>
          <w:tcPr>
            <w:tcW w:w="967" w:type="pct"/>
            <w:tcBorders>
              <w:top w:val="single" w:color="auto" w:sz="4" w:space="0"/>
              <w:left w:val="single" w:color="auto" w:sz="4" w:space="0"/>
              <w:bottom w:val="single" w:color="auto" w:sz="4" w:space="0"/>
              <w:right w:val="single" w:color="auto" w:sz="4" w:space="0"/>
            </w:tcBorders>
            <w:vAlign w:val="center"/>
          </w:tcPr>
          <w:p w14:paraId="651349D0">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生态环境影响因素</w:t>
            </w:r>
          </w:p>
        </w:tc>
        <w:tc>
          <w:tcPr>
            <w:tcW w:w="3352" w:type="pct"/>
            <w:tcBorders>
              <w:top w:val="single" w:color="auto" w:sz="4" w:space="0"/>
              <w:left w:val="single" w:color="auto" w:sz="4" w:space="0"/>
              <w:bottom w:val="single" w:color="auto" w:sz="4" w:space="0"/>
              <w:right w:val="single" w:color="auto" w:sz="4" w:space="0"/>
            </w:tcBorders>
            <w:vAlign w:val="center"/>
          </w:tcPr>
          <w:p w14:paraId="30039F75">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游客活动扰动自然生态系统，破坏自然植被和野生动物生境，影响动植物生存</w:t>
            </w:r>
          </w:p>
        </w:tc>
      </w:tr>
      <w:tr w14:paraId="1B8B0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76ED7E05">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restart"/>
            <w:tcBorders>
              <w:top w:val="single" w:color="auto" w:sz="4" w:space="0"/>
              <w:left w:val="single" w:color="auto" w:sz="4" w:space="0"/>
              <w:right w:val="single" w:color="auto" w:sz="4" w:space="0"/>
            </w:tcBorders>
            <w:vAlign w:val="center"/>
          </w:tcPr>
          <w:p w14:paraId="10087098">
            <w:pPr>
              <w:widowControl/>
              <w:spacing w:line="240" w:lineRule="auto"/>
              <w:ind w:firstLine="0" w:firstLineChars="0"/>
              <w:jc w:val="center"/>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社会经济影响因素</w:t>
            </w:r>
          </w:p>
        </w:tc>
        <w:tc>
          <w:tcPr>
            <w:tcW w:w="3352" w:type="pct"/>
            <w:tcBorders>
              <w:top w:val="single" w:color="auto" w:sz="4" w:space="0"/>
              <w:left w:val="single" w:color="auto" w:sz="4" w:space="0"/>
              <w:bottom w:val="single" w:color="auto" w:sz="4" w:space="0"/>
              <w:right w:val="single" w:color="auto" w:sz="4" w:space="0"/>
            </w:tcBorders>
            <w:vAlign w:val="center"/>
          </w:tcPr>
          <w:p w14:paraId="2ED4248D">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区域经济、社会、旅游业发展水平及综合实力会提升</w:t>
            </w:r>
          </w:p>
        </w:tc>
      </w:tr>
      <w:tr w14:paraId="0D5CC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402F9199">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left w:val="single" w:color="auto" w:sz="4" w:space="0"/>
              <w:right w:val="single" w:color="auto" w:sz="4" w:space="0"/>
            </w:tcBorders>
            <w:vAlign w:val="center"/>
          </w:tcPr>
          <w:p w14:paraId="7BF17072">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7873CBC2">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区域景观、繁荣程度、可持续发展水平会促进</w:t>
            </w:r>
          </w:p>
        </w:tc>
      </w:tr>
      <w:tr w14:paraId="0FBC8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3B1326E9">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left w:val="single" w:color="auto" w:sz="4" w:space="0"/>
              <w:right w:val="single" w:color="auto" w:sz="4" w:space="0"/>
            </w:tcBorders>
            <w:vAlign w:val="center"/>
          </w:tcPr>
          <w:p w14:paraId="68C88212">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6F32ED0A">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人口规模、结构等会发生变化</w:t>
            </w:r>
          </w:p>
        </w:tc>
      </w:tr>
      <w:tr w14:paraId="04B25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right w:val="single" w:color="auto" w:sz="4" w:space="0"/>
            </w:tcBorders>
            <w:vAlign w:val="center"/>
          </w:tcPr>
          <w:p w14:paraId="4E745BC4">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left w:val="single" w:color="auto" w:sz="4" w:space="0"/>
              <w:right w:val="single" w:color="auto" w:sz="4" w:space="0"/>
            </w:tcBorders>
            <w:vAlign w:val="center"/>
          </w:tcPr>
          <w:p w14:paraId="60F14BDD">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23F83913">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周边社区的变化，区域居民生活质量、生活习惯会发生变化</w:t>
            </w:r>
          </w:p>
        </w:tc>
      </w:tr>
      <w:tr w14:paraId="64C54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tcBorders>
              <w:left w:val="single" w:color="auto" w:sz="4" w:space="0"/>
              <w:bottom w:val="single" w:color="auto" w:sz="4" w:space="0"/>
              <w:right w:val="single" w:color="auto" w:sz="4" w:space="0"/>
            </w:tcBorders>
            <w:vAlign w:val="center"/>
          </w:tcPr>
          <w:p w14:paraId="48713628">
            <w:pPr>
              <w:widowControl/>
              <w:spacing w:line="240" w:lineRule="auto"/>
              <w:ind w:firstLine="0" w:firstLineChars="0"/>
              <w:jc w:val="left"/>
              <w:rPr>
                <w:rFonts w:ascii="Calibri" w:hAnsi="Calibri" w:cs="Times New Roman"/>
                <w:bCs/>
                <w:kern w:val="0"/>
                <w:sz w:val="21"/>
                <w:szCs w:val="21"/>
                <w14:ligatures w14:val="none"/>
              </w:rPr>
            </w:pPr>
          </w:p>
        </w:tc>
        <w:tc>
          <w:tcPr>
            <w:tcW w:w="967" w:type="pct"/>
            <w:vMerge w:val="continue"/>
            <w:tcBorders>
              <w:left w:val="single" w:color="auto" w:sz="4" w:space="0"/>
              <w:bottom w:val="single" w:color="auto" w:sz="4" w:space="0"/>
              <w:right w:val="single" w:color="auto" w:sz="4" w:space="0"/>
            </w:tcBorders>
            <w:vAlign w:val="center"/>
          </w:tcPr>
          <w:p w14:paraId="3A37747F">
            <w:pPr>
              <w:widowControl/>
              <w:spacing w:line="240" w:lineRule="auto"/>
              <w:ind w:firstLine="0" w:firstLineChars="0"/>
              <w:jc w:val="left"/>
              <w:rPr>
                <w:rFonts w:ascii="Calibri" w:hAnsi="Calibri" w:cs="Times New Roman"/>
                <w:bCs/>
                <w:kern w:val="0"/>
                <w:sz w:val="21"/>
                <w:szCs w:val="21"/>
                <w14:ligatures w14:val="none"/>
              </w:rPr>
            </w:pPr>
          </w:p>
        </w:tc>
        <w:tc>
          <w:tcPr>
            <w:tcW w:w="3352" w:type="pct"/>
            <w:tcBorders>
              <w:top w:val="single" w:color="auto" w:sz="4" w:space="0"/>
              <w:left w:val="single" w:color="auto" w:sz="4" w:space="0"/>
              <w:bottom w:val="single" w:color="auto" w:sz="4" w:space="0"/>
              <w:right w:val="single" w:color="auto" w:sz="4" w:space="0"/>
            </w:tcBorders>
            <w:vAlign w:val="center"/>
          </w:tcPr>
          <w:p w14:paraId="7C7D0F6A">
            <w:pPr>
              <w:widowControl/>
              <w:spacing w:line="240" w:lineRule="auto"/>
              <w:ind w:firstLine="0" w:firstLineChars="0"/>
              <w:rPr>
                <w:rFonts w:ascii="Calibri" w:hAnsi="Calibri" w:cs="Times New Roman"/>
                <w:bCs/>
                <w:kern w:val="0"/>
                <w:sz w:val="21"/>
                <w:szCs w:val="21"/>
                <w14:ligatures w14:val="none"/>
              </w:rPr>
            </w:pPr>
            <w:r>
              <w:rPr>
                <w:rFonts w:hint="eastAsia" w:ascii="Calibri" w:hAnsi="Calibri" w:cs="Times New Roman"/>
                <w:bCs/>
                <w:kern w:val="0"/>
                <w:sz w:val="21"/>
                <w:szCs w:val="21"/>
                <w14:ligatures w14:val="none"/>
              </w:rPr>
              <w:t>游览过程中对区内文物资源的影响</w:t>
            </w:r>
          </w:p>
        </w:tc>
      </w:tr>
    </w:tbl>
    <w:p w14:paraId="7F95EE62">
      <w:pPr>
        <w:ind w:firstLine="480"/>
        <w:rPr>
          <w:rFonts w:cs="Times New Roman"/>
        </w:rPr>
      </w:pPr>
      <w:r>
        <w:rPr>
          <w:rFonts w:cs="Times New Roman"/>
        </w:rPr>
        <w:br w:type="page"/>
      </w:r>
    </w:p>
    <w:p w14:paraId="35E72308">
      <w:pPr>
        <w:pStyle w:val="3"/>
        <w:ind w:firstLine="0" w:firstLineChars="0"/>
        <w:rPr>
          <w:rFonts w:cs="Times New Roman"/>
        </w:rPr>
      </w:pPr>
      <w:bookmarkStart w:id="88" w:name="_Toc217294051"/>
      <w:r>
        <w:rPr>
          <w:rFonts w:cs="Times New Roman"/>
        </w:rPr>
        <w:t>4.2</w:t>
      </w:r>
      <w:r>
        <w:rPr>
          <w:rFonts w:hint="eastAsia" w:cs="Times New Roman"/>
        </w:rPr>
        <w:t>环境影响因子识别</w:t>
      </w:r>
      <w:bookmarkEnd w:id="88"/>
    </w:p>
    <w:p w14:paraId="7F37C670">
      <w:pPr>
        <w:ind w:firstLine="480"/>
      </w:pPr>
      <w:r>
        <w:rPr>
          <w:rFonts w:hint="eastAsia"/>
        </w:rPr>
        <w:t>根据度假区总体规划的发展定位、发展目标、规划结构、功能分区、用地布局、景观风貌、综合交通规划、市政公用设施规划等，结合所在区域的资源能源利用情况、环境质量现状等，在充分分析区域现有主要问题及资源环境制约因素的基础上，识别规划方案实施后可能对资源能源、生态环境、环境质量和社会经济等方面的影响，具体见表</w:t>
      </w:r>
      <w:r>
        <w:t>4</w:t>
      </w:r>
      <w:r>
        <w:rPr>
          <w:rFonts w:hint="eastAsia"/>
        </w:rPr>
        <w:t>.</w:t>
      </w:r>
      <w:r>
        <w:t>2</w:t>
      </w:r>
      <w:r>
        <w:rPr>
          <w:rFonts w:hint="eastAsia"/>
        </w:rPr>
        <w:t>-</w:t>
      </w:r>
      <w:r>
        <w:t>1</w:t>
      </w:r>
      <w:r>
        <w:rPr>
          <w:rFonts w:hint="eastAsia"/>
        </w:rPr>
        <w:t>。</w:t>
      </w:r>
    </w:p>
    <w:p w14:paraId="19C4C368">
      <w:pPr>
        <w:ind w:firstLine="480" w:firstLineChars="0"/>
        <w:rPr>
          <w:b/>
          <w:bCs/>
        </w:rPr>
      </w:pPr>
      <w:r>
        <w:rPr>
          <w:rFonts w:hint="eastAsia"/>
          <w:b/>
          <w:bCs/>
        </w:rPr>
        <w:t>（1）资源能源</w:t>
      </w:r>
    </w:p>
    <w:p w14:paraId="2C89250E">
      <w:pPr>
        <w:ind w:firstLine="480"/>
      </w:pPr>
      <w:r>
        <w:rPr>
          <w:rFonts w:hint="eastAsia"/>
        </w:rPr>
        <w:t>土地资源：度假区发展将增加土地资源的压力，合理的用地规划有利于提高土地资源利用效益；生态环境保护建设有利于改善土地资源的质量。</w:t>
      </w:r>
    </w:p>
    <w:p w14:paraId="245F4D60">
      <w:pPr>
        <w:ind w:firstLine="480"/>
      </w:pPr>
      <w:r>
        <w:rPr>
          <w:rFonts w:hint="eastAsia"/>
        </w:rPr>
        <w:t>水资源：度假区规划产业的发展增加水资源消耗量，规划期内积极推行再生水回用对区域的水环境质量改善具有有利的影响。</w:t>
      </w:r>
    </w:p>
    <w:p w14:paraId="772813B2">
      <w:pPr>
        <w:ind w:firstLine="480"/>
      </w:pPr>
      <w:r>
        <w:rPr>
          <w:rFonts w:hint="eastAsia"/>
        </w:rPr>
        <w:t>资源能源：度假区开发建设对资源能源的影响主要表现在随着开发建设规模的增大，区内搬迁撤并村庄建设用地转化为以旅游度假功能为主的商业服务用地，发展特色民宿、餐饮、体验类旅游项目和设施。资源能源消耗需求量增大；同时，度假区将坚持低能耗、循环再利用，加快推广应用先进节能减排技术，促进度假区“减污降碳”，为实现度假区碳达峰、碳中和目标指标提供重要保障。</w:t>
      </w:r>
    </w:p>
    <w:p w14:paraId="578879DD">
      <w:pPr>
        <w:ind w:firstLine="482"/>
        <w:rPr>
          <w:b/>
          <w:bCs/>
        </w:rPr>
      </w:pPr>
      <w:r>
        <w:rPr>
          <w:rFonts w:hint="eastAsia"/>
          <w:b/>
          <w:bCs/>
        </w:rPr>
        <w:t>（2）生态环境</w:t>
      </w:r>
    </w:p>
    <w:p w14:paraId="29B80A33">
      <w:pPr>
        <w:ind w:firstLine="480"/>
      </w:pPr>
      <w:r>
        <w:rPr>
          <w:rFonts w:hint="eastAsia"/>
        </w:rPr>
        <w:t>度假区开发建设活动对环境质量的不利影响主要表现为开发建设活动及建成运营期间，将会向大气、水体、土壤等环境要素排放一定量的污染物，对区域环境产生一定不利影响；同时，在严格落实绿地系统建设、污水收集处理、区域河道水系环境综合整治等规划措施情况下将在一定程度上对区域环境产生有利影响。</w:t>
      </w:r>
    </w:p>
    <w:p w14:paraId="146C041F">
      <w:pPr>
        <w:ind w:firstLine="482"/>
        <w:rPr>
          <w:b/>
          <w:bCs/>
        </w:rPr>
      </w:pPr>
      <w:r>
        <w:rPr>
          <w:rFonts w:hint="eastAsia"/>
          <w:b/>
          <w:bCs/>
        </w:rPr>
        <w:t>（3）环境质量</w:t>
      </w:r>
    </w:p>
    <w:p w14:paraId="0EE6D894">
      <w:pPr>
        <w:ind w:firstLine="480"/>
      </w:pPr>
      <w:r>
        <w:rPr>
          <w:rFonts w:hint="eastAsia"/>
        </w:rPr>
        <w:t>大气环境：度假区开发建设活动及建成运营期间，将进一步扩大产业发展进程，交通运输量的增加将加重大气环境压力。</w:t>
      </w:r>
    </w:p>
    <w:p w14:paraId="490F6BE6">
      <w:pPr>
        <w:ind w:firstLine="480"/>
      </w:pPr>
      <w:r>
        <w:rPr>
          <w:rFonts w:hint="eastAsia"/>
        </w:rPr>
        <w:t>地表水环境：人口规模的增加将增加生活污水的排放，但随着度假区内污水管网的完善，区域水环境综合整治方案的落实，度假区内污水严格达标接管，在一定程度上削减了污染物排放量，具有较为显著的环境正效应。</w:t>
      </w:r>
    </w:p>
    <w:p w14:paraId="6FAB30FE">
      <w:pPr>
        <w:ind w:firstLine="480"/>
      </w:pPr>
      <w:r>
        <w:rPr>
          <w:rFonts w:hint="eastAsia"/>
        </w:rPr>
        <w:t>地下水和土壤环境：规划后期度假区内建设用地面积的增大，人口规模和游客规模的增加，对度假区内土壤环境和地下水环境有一定程度的不利影响。</w:t>
      </w:r>
    </w:p>
    <w:p w14:paraId="15836355">
      <w:pPr>
        <w:ind w:firstLine="482"/>
        <w:rPr>
          <w:b/>
          <w:bCs/>
        </w:rPr>
      </w:pPr>
      <w:r>
        <w:rPr>
          <w:rFonts w:hint="eastAsia"/>
          <w:b/>
          <w:bCs/>
        </w:rPr>
        <w:t>（4）社会经济</w:t>
      </w:r>
    </w:p>
    <w:p w14:paraId="6C866C73">
      <w:pPr>
        <w:ind w:firstLine="480"/>
      </w:pPr>
      <w:r>
        <w:rPr>
          <w:rFonts w:hint="eastAsia"/>
        </w:rPr>
        <w:t>经济发展：随着度假区规划产业的建设，度假区的主要经济和社会发展指标将稳步提高，实现发展质量和效益提升，进而提升其区域发展的支撑度和贡献度。</w:t>
      </w:r>
    </w:p>
    <w:p w14:paraId="7BFB56EF">
      <w:pPr>
        <w:ind w:firstLine="480"/>
      </w:pPr>
      <w:r>
        <w:rPr>
          <w:rFonts w:hint="eastAsia"/>
        </w:rPr>
        <w:t>交通运输：度假区的开发建设将带动区域交通基础设施的建设，加强区域与周边地区的联系。</w:t>
      </w:r>
    </w:p>
    <w:p w14:paraId="74430309">
      <w:pPr>
        <w:ind w:firstLine="480"/>
        <w:sectPr>
          <w:pgSz w:w="11906" w:h="16838"/>
          <w:pgMar w:top="1440" w:right="1800" w:bottom="1440" w:left="1800" w:header="851" w:footer="992" w:gutter="0"/>
          <w:cols w:space="425" w:num="1"/>
          <w:docGrid w:type="lines" w:linePitch="312" w:charSpace="0"/>
        </w:sectPr>
      </w:pPr>
      <w:r>
        <w:rPr>
          <w:rFonts w:hint="eastAsia"/>
        </w:rPr>
        <w:t>人居环境：区域内三废排放将可能对区域环境质量产生一定影响，对区内外的人居环境造成一定的影响。</w:t>
      </w:r>
    </w:p>
    <w:p w14:paraId="49D865FB">
      <w:pPr>
        <w:pStyle w:val="45"/>
        <w:rPr>
          <w:rFonts w:cs="Times New Roman"/>
        </w:rPr>
      </w:pPr>
      <w:r>
        <w:rPr>
          <w:rFonts w:hint="eastAsia" w:cs="Times New Roman"/>
        </w:rPr>
        <w:t>表4</w:t>
      </w:r>
      <w:r>
        <w:rPr>
          <w:rFonts w:cs="Times New Roman"/>
        </w:rPr>
        <w:t>.2</w:t>
      </w:r>
      <w:r>
        <w:rPr>
          <w:rFonts w:hint="eastAsia" w:cs="Times New Roman"/>
        </w:rPr>
        <w:t>-</w:t>
      </w:r>
      <w:r>
        <w:rPr>
          <w:rFonts w:cs="Times New Roman"/>
        </w:rPr>
        <w:t>1  规划环境影响识别矩阵清单表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1782"/>
        <w:gridCol w:w="677"/>
        <w:gridCol w:w="674"/>
        <w:gridCol w:w="678"/>
        <w:gridCol w:w="689"/>
        <w:gridCol w:w="695"/>
        <w:gridCol w:w="695"/>
        <w:gridCol w:w="695"/>
        <w:gridCol w:w="695"/>
        <w:gridCol w:w="695"/>
        <w:gridCol w:w="703"/>
        <w:gridCol w:w="695"/>
        <w:gridCol w:w="697"/>
        <w:gridCol w:w="578"/>
        <w:gridCol w:w="697"/>
        <w:gridCol w:w="717"/>
        <w:gridCol w:w="729"/>
        <w:gridCol w:w="624"/>
      </w:tblGrid>
      <w:tr w14:paraId="3F68E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97" w:type="pct"/>
            <w:gridSpan w:val="2"/>
            <w:vMerge w:val="restart"/>
            <w:vAlign w:val="center"/>
          </w:tcPr>
          <w:p w14:paraId="0DCD35D0">
            <w:pPr>
              <w:tabs>
                <w:tab w:val="left" w:pos="8789"/>
              </w:tabs>
              <w:spacing w:line="240" w:lineRule="auto"/>
              <w:ind w:firstLine="0" w:firstLineChars="0"/>
              <w:jc w:val="center"/>
              <w:rPr>
                <w:rFonts w:cs="Times New Roman"/>
                <w:b/>
                <w:sz w:val="21"/>
                <w:szCs w:val="21"/>
              </w:rPr>
            </w:pPr>
            <w:r>
              <w:rPr>
                <w:rFonts w:hint="eastAsia" w:cs="Times New Roman"/>
                <w:b/>
                <w:sz w:val="21"/>
                <w:szCs w:val="21"/>
              </w:rPr>
              <w:t>规划内容</w:t>
            </w:r>
          </w:p>
        </w:tc>
        <w:tc>
          <w:tcPr>
            <w:tcW w:w="959" w:type="pct"/>
            <w:gridSpan w:val="4"/>
            <w:vAlign w:val="center"/>
          </w:tcPr>
          <w:p w14:paraId="1496280F">
            <w:pPr>
              <w:tabs>
                <w:tab w:val="left" w:pos="8789"/>
              </w:tabs>
              <w:spacing w:line="240" w:lineRule="auto"/>
              <w:ind w:firstLine="0" w:firstLineChars="0"/>
              <w:jc w:val="center"/>
              <w:rPr>
                <w:rFonts w:cs="Times New Roman"/>
                <w:b/>
                <w:sz w:val="21"/>
                <w:szCs w:val="21"/>
              </w:rPr>
            </w:pPr>
            <w:r>
              <w:rPr>
                <w:rFonts w:hint="eastAsia" w:cs="Times New Roman"/>
                <w:b/>
                <w:sz w:val="21"/>
                <w:szCs w:val="21"/>
              </w:rPr>
              <w:t>资源能源</w:t>
            </w:r>
          </w:p>
        </w:tc>
        <w:tc>
          <w:tcPr>
            <w:tcW w:w="1472" w:type="pct"/>
            <w:gridSpan w:val="6"/>
            <w:vAlign w:val="center"/>
          </w:tcPr>
          <w:p w14:paraId="5F8B8377">
            <w:pPr>
              <w:tabs>
                <w:tab w:val="left" w:pos="8789"/>
              </w:tabs>
              <w:spacing w:line="240" w:lineRule="auto"/>
              <w:ind w:firstLine="0" w:firstLineChars="0"/>
              <w:jc w:val="center"/>
              <w:rPr>
                <w:rFonts w:cs="Times New Roman"/>
                <w:b/>
                <w:sz w:val="21"/>
                <w:szCs w:val="21"/>
              </w:rPr>
            </w:pPr>
            <w:r>
              <w:rPr>
                <w:rFonts w:hint="eastAsia" w:cs="Times New Roman"/>
                <w:b/>
                <w:sz w:val="21"/>
                <w:szCs w:val="21"/>
              </w:rPr>
              <w:t>环境质量</w:t>
            </w:r>
          </w:p>
        </w:tc>
        <w:tc>
          <w:tcPr>
            <w:tcW w:w="491" w:type="pct"/>
            <w:gridSpan w:val="2"/>
            <w:vAlign w:val="center"/>
          </w:tcPr>
          <w:p w14:paraId="063F5908">
            <w:pPr>
              <w:tabs>
                <w:tab w:val="left" w:pos="8789"/>
              </w:tabs>
              <w:spacing w:line="240" w:lineRule="auto"/>
              <w:ind w:firstLine="0" w:firstLineChars="0"/>
              <w:jc w:val="center"/>
              <w:rPr>
                <w:rFonts w:cs="Times New Roman"/>
                <w:b/>
                <w:sz w:val="21"/>
                <w:szCs w:val="21"/>
              </w:rPr>
            </w:pPr>
            <w:r>
              <w:rPr>
                <w:rFonts w:hint="eastAsia" w:cs="Times New Roman"/>
                <w:b/>
                <w:sz w:val="21"/>
                <w:szCs w:val="21"/>
              </w:rPr>
              <w:t>生态环境</w:t>
            </w:r>
          </w:p>
        </w:tc>
        <w:tc>
          <w:tcPr>
            <w:tcW w:w="204" w:type="pct"/>
            <w:vMerge w:val="restart"/>
            <w:vAlign w:val="center"/>
          </w:tcPr>
          <w:p w14:paraId="4747317E">
            <w:pPr>
              <w:tabs>
                <w:tab w:val="left" w:pos="8789"/>
              </w:tabs>
              <w:spacing w:line="240" w:lineRule="auto"/>
              <w:ind w:firstLine="0" w:firstLineChars="0"/>
              <w:jc w:val="center"/>
              <w:rPr>
                <w:rFonts w:cs="Times New Roman"/>
                <w:b/>
                <w:sz w:val="21"/>
                <w:szCs w:val="21"/>
              </w:rPr>
            </w:pPr>
            <w:r>
              <w:rPr>
                <w:rFonts w:hint="eastAsia" w:cs="Times New Roman"/>
                <w:b/>
                <w:sz w:val="21"/>
                <w:szCs w:val="21"/>
              </w:rPr>
              <w:t>环境风险</w:t>
            </w:r>
          </w:p>
        </w:tc>
        <w:tc>
          <w:tcPr>
            <w:tcW w:w="977" w:type="pct"/>
            <w:gridSpan w:val="4"/>
            <w:vAlign w:val="center"/>
          </w:tcPr>
          <w:p w14:paraId="11428159">
            <w:pPr>
              <w:tabs>
                <w:tab w:val="left" w:pos="8789"/>
              </w:tabs>
              <w:spacing w:line="240" w:lineRule="auto"/>
              <w:ind w:firstLine="0" w:firstLineChars="0"/>
              <w:jc w:val="center"/>
              <w:rPr>
                <w:rFonts w:cs="Times New Roman"/>
                <w:b/>
                <w:sz w:val="21"/>
                <w:szCs w:val="21"/>
              </w:rPr>
            </w:pPr>
            <w:r>
              <w:rPr>
                <w:rFonts w:hint="eastAsia" w:cs="Times New Roman"/>
                <w:b/>
                <w:sz w:val="21"/>
                <w:szCs w:val="21"/>
              </w:rPr>
              <w:t>社会经济</w:t>
            </w:r>
          </w:p>
        </w:tc>
      </w:tr>
      <w:tr w14:paraId="53865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97" w:type="pct"/>
            <w:gridSpan w:val="2"/>
            <w:vMerge w:val="continue"/>
            <w:vAlign w:val="center"/>
          </w:tcPr>
          <w:p w14:paraId="376299C0">
            <w:pPr>
              <w:tabs>
                <w:tab w:val="left" w:pos="8789"/>
              </w:tabs>
              <w:spacing w:line="240" w:lineRule="auto"/>
              <w:ind w:firstLine="0" w:firstLineChars="0"/>
              <w:jc w:val="center"/>
              <w:rPr>
                <w:rFonts w:cs="Times New Roman"/>
                <w:b/>
                <w:sz w:val="21"/>
                <w:szCs w:val="21"/>
              </w:rPr>
            </w:pPr>
          </w:p>
        </w:tc>
        <w:tc>
          <w:tcPr>
            <w:tcW w:w="239" w:type="pct"/>
            <w:vAlign w:val="center"/>
          </w:tcPr>
          <w:p w14:paraId="5CB12AFF">
            <w:pPr>
              <w:tabs>
                <w:tab w:val="left" w:pos="8789"/>
              </w:tabs>
              <w:spacing w:line="240" w:lineRule="auto"/>
              <w:ind w:firstLine="0" w:firstLineChars="0"/>
              <w:jc w:val="center"/>
              <w:rPr>
                <w:rFonts w:cs="Times New Roman"/>
                <w:b/>
                <w:sz w:val="21"/>
                <w:szCs w:val="21"/>
              </w:rPr>
            </w:pPr>
            <w:r>
              <w:rPr>
                <w:rFonts w:hint="eastAsia" w:cs="Times New Roman"/>
                <w:b/>
                <w:sz w:val="21"/>
                <w:szCs w:val="21"/>
              </w:rPr>
              <w:t>土地资源</w:t>
            </w:r>
          </w:p>
        </w:tc>
        <w:tc>
          <w:tcPr>
            <w:tcW w:w="238" w:type="pct"/>
            <w:vAlign w:val="center"/>
          </w:tcPr>
          <w:p w14:paraId="13CB6716">
            <w:pPr>
              <w:tabs>
                <w:tab w:val="left" w:pos="8789"/>
              </w:tabs>
              <w:spacing w:line="240" w:lineRule="auto"/>
              <w:ind w:firstLine="0" w:firstLineChars="0"/>
              <w:jc w:val="center"/>
              <w:rPr>
                <w:rFonts w:cs="Times New Roman"/>
                <w:b/>
                <w:sz w:val="21"/>
                <w:szCs w:val="21"/>
              </w:rPr>
            </w:pPr>
            <w:r>
              <w:rPr>
                <w:rFonts w:hint="eastAsia" w:cs="Times New Roman"/>
                <w:b/>
                <w:sz w:val="21"/>
                <w:szCs w:val="21"/>
              </w:rPr>
              <w:t>水资源</w:t>
            </w:r>
          </w:p>
        </w:tc>
        <w:tc>
          <w:tcPr>
            <w:tcW w:w="239" w:type="pct"/>
            <w:vAlign w:val="center"/>
          </w:tcPr>
          <w:p w14:paraId="7D3E606D">
            <w:pPr>
              <w:tabs>
                <w:tab w:val="left" w:pos="8789"/>
              </w:tabs>
              <w:spacing w:line="240" w:lineRule="auto"/>
              <w:ind w:firstLine="0" w:firstLineChars="0"/>
              <w:jc w:val="center"/>
              <w:rPr>
                <w:rFonts w:cs="Times New Roman"/>
                <w:b/>
                <w:sz w:val="21"/>
                <w:szCs w:val="21"/>
              </w:rPr>
            </w:pPr>
            <w:r>
              <w:rPr>
                <w:rFonts w:hint="eastAsia" w:cs="Times New Roman"/>
                <w:b/>
                <w:sz w:val="21"/>
                <w:szCs w:val="21"/>
              </w:rPr>
              <w:t>旅游资源</w:t>
            </w:r>
          </w:p>
        </w:tc>
        <w:tc>
          <w:tcPr>
            <w:tcW w:w="243" w:type="pct"/>
            <w:vAlign w:val="center"/>
          </w:tcPr>
          <w:p w14:paraId="5D062098">
            <w:pPr>
              <w:tabs>
                <w:tab w:val="left" w:pos="8789"/>
              </w:tabs>
              <w:spacing w:line="240" w:lineRule="auto"/>
              <w:ind w:firstLine="0" w:firstLineChars="0"/>
              <w:jc w:val="center"/>
              <w:rPr>
                <w:rFonts w:cs="Times New Roman"/>
                <w:b/>
                <w:sz w:val="21"/>
                <w:szCs w:val="21"/>
              </w:rPr>
            </w:pPr>
            <w:r>
              <w:rPr>
                <w:rFonts w:hint="eastAsia" w:cs="Times New Roman"/>
                <w:b/>
                <w:sz w:val="21"/>
                <w:szCs w:val="21"/>
              </w:rPr>
              <w:t>能源</w:t>
            </w:r>
          </w:p>
        </w:tc>
        <w:tc>
          <w:tcPr>
            <w:tcW w:w="245" w:type="pct"/>
            <w:vAlign w:val="center"/>
          </w:tcPr>
          <w:p w14:paraId="4F1D4FBE">
            <w:pPr>
              <w:tabs>
                <w:tab w:val="left" w:pos="8789"/>
              </w:tabs>
              <w:spacing w:line="240" w:lineRule="auto"/>
              <w:ind w:firstLine="0" w:firstLineChars="0"/>
              <w:jc w:val="center"/>
              <w:rPr>
                <w:rFonts w:cs="Times New Roman"/>
                <w:b/>
                <w:sz w:val="21"/>
                <w:szCs w:val="21"/>
              </w:rPr>
            </w:pPr>
            <w:r>
              <w:rPr>
                <w:rFonts w:hint="eastAsia" w:cs="Times New Roman"/>
                <w:b/>
                <w:sz w:val="21"/>
                <w:szCs w:val="21"/>
              </w:rPr>
              <w:t>大气环境</w:t>
            </w:r>
          </w:p>
        </w:tc>
        <w:tc>
          <w:tcPr>
            <w:tcW w:w="245" w:type="pct"/>
            <w:vAlign w:val="center"/>
          </w:tcPr>
          <w:p w14:paraId="328914C6">
            <w:pPr>
              <w:tabs>
                <w:tab w:val="left" w:pos="8789"/>
              </w:tabs>
              <w:spacing w:line="240" w:lineRule="auto"/>
              <w:ind w:firstLine="0" w:firstLineChars="0"/>
              <w:jc w:val="center"/>
              <w:rPr>
                <w:rFonts w:cs="Times New Roman"/>
                <w:b/>
                <w:sz w:val="21"/>
                <w:szCs w:val="21"/>
              </w:rPr>
            </w:pPr>
            <w:r>
              <w:rPr>
                <w:rFonts w:hint="eastAsia" w:cs="Times New Roman"/>
                <w:b/>
                <w:sz w:val="21"/>
                <w:szCs w:val="21"/>
              </w:rPr>
              <w:t>地表水环境</w:t>
            </w:r>
          </w:p>
        </w:tc>
        <w:tc>
          <w:tcPr>
            <w:tcW w:w="245" w:type="pct"/>
            <w:vAlign w:val="center"/>
          </w:tcPr>
          <w:p w14:paraId="4FEEC738">
            <w:pPr>
              <w:tabs>
                <w:tab w:val="left" w:pos="8789"/>
              </w:tabs>
              <w:spacing w:line="240" w:lineRule="auto"/>
              <w:ind w:firstLine="0" w:firstLineChars="0"/>
              <w:jc w:val="center"/>
              <w:rPr>
                <w:rFonts w:cs="Times New Roman"/>
                <w:b/>
                <w:sz w:val="21"/>
                <w:szCs w:val="21"/>
              </w:rPr>
            </w:pPr>
            <w:r>
              <w:rPr>
                <w:rFonts w:hint="eastAsia" w:cs="Times New Roman"/>
                <w:b/>
                <w:sz w:val="21"/>
                <w:szCs w:val="21"/>
              </w:rPr>
              <w:t>地下水环境</w:t>
            </w:r>
          </w:p>
        </w:tc>
        <w:tc>
          <w:tcPr>
            <w:tcW w:w="245" w:type="pct"/>
            <w:vAlign w:val="center"/>
          </w:tcPr>
          <w:p w14:paraId="165DA0A3">
            <w:pPr>
              <w:tabs>
                <w:tab w:val="left" w:pos="8789"/>
              </w:tabs>
              <w:spacing w:line="240" w:lineRule="auto"/>
              <w:ind w:firstLine="0" w:firstLineChars="0"/>
              <w:jc w:val="center"/>
              <w:rPr>
                <w:rFonts w:cs="Times New Roman"/>
                <w:b/>
                <w:sz w:val="21"/>
                <w:szCs w:val="21"/>
              </w:rPr>
            </w:pPr>
            <w:r>
              <w:rPr>
                <w:rFonts w:hint="eastAsia" w:cs="Times New Roman"/>
                <w:b/>
                <w:sz w:val="21"/>
                <w:szCs w:val="21"/>
              </w:rPr>
              <w:t>土壤环境</w:t>
            </w:r>
          </w:p>
        </w:tc>
        <w:tc>
          <w:tcPr>
            <w:tcW w:w="245" w:type="pct"/>
            <w:vAlign w:val="center"/>
          </w:tcPr>
          <w:p w14:paraId="20E85945">
            <w:pPr>
              <w:tabs>
                <w:tab w:val="left" w:pos="8789"/>
              </w:tabs>
              <w:spacing w:line="240" w:lineRule="auto"/>
              <w:ind w:firstLine="0" w:firstLineChars="0"/>
              <w:jc w:val="center"/>
              <w:rPr>
                <w:rFonts w:cs="Times New Roman"/>
                <w:b/>
                <w:sz w:val="21"/>
                <w:szCs w:val="21"/>
              </w:rPr>
            </w:pPr>
            <w:r>
              <w:rPr>
                <w:rFonts w:hint="eastAsia" w:cs="Times New Roman"/>
                <w:b/>
                <w:sz w:val="21"/>
                <w:szCs w:val="21"/>
              </w:rPr>
              <w:t>声环境</w:t>
            </w:r>
          </w:p>
        </w:tc>
        <w:tc>
          <w:tcPr>
            <w:tcW w:w="248" w:type="pct"/>
            <w:vAlign w:val="center"/>
          </w:tcPr>
          <w:p w14:paraId="0CB56D8F">
            <w:pPr>
              <w:tabs>
                <w:tab w:val="left" w:pos="8789"/>
              </w:tabs>
              <w:spacing w:line="240" w:lineRule="auto"/>
              <w:ind w:firstLine="0" w:firstLineChars="0"/>
              <w:jc w:val="center"/>
              <w:rPr>
                <w:rFonts w:cs="Times New Roman"/>
                <w:b/>
                <w:sz w:val="21"/>
                <w:szCs w:val="21"/>
              </w:rPr>
            </w:pPr>
            <w:r>
              <w:rPr>
                <w:rFonts w:hint="eastAsia" w:cs="Times New Roman"/>
                <w:b/>
                <w:sz w:val="21"/>
                <w:szCs w:val="21"/>
              </w:rPr>
              <w:t>电磁辐射</w:t>
            </w:r>
          </w:p>
        </w:tc>
        <w:tc>
          <w:tcPr>
            <w:tcW w:w="245" w:type="pct"/>
            <w:vAlign w:val="center"/>
          </w:tcPr>
          <w:p w14:paraId="2738B0FC">
            <w:pPr>
              <w:tabs>
                <w:tab w:val="left" w:pos="8789"/>
              </w:tabs>
              <w:spacing w:line="240" w:lineRule="auto"/>
              <w:ind w:firstLine="0" w:firstLineChars="0"/>
              <w:jc w:val="center"/>
              <w:rPr>
                <w:rFonts w:cs="Times New Roman"/>
                <w:b/>
                <w:sz w:val="21"/>
                <w:szCs w:val="21"/>
              </w:rPr>
            </w:pPr>
            <w:r>
              <w:rPr>
                <w:rFonts w:hint="eastAsia" w:cs="Times New Roman"/>
                <w:b/>
                <w:sz w:val="21"/>
                <w:szCs w:val="21"/>
              </w:rPr>
              <w:t>陆生生态</w:t>
            </w:r>
          </w:p>
        </w:tc>
        <w:tc>
          <w:tcPr>
            <w:tcW w:w="246" w:type="pct"/>
            <w:vAlign w:val="center"/>
          </w:tcPr>
          <w:p w14:paraId="44EA8991">
            <w:pPr>
              <w:tabs>
                <w:tab w:val="left" w:pos="8789"/>
              </w:tabs>
              <w:spacing w:line="240" w:lineRule="auto"/>
              <w:ind w:firstLine="0" w:firstLineChars="0"/>
              <w:jc w:val="center"/>
              <w:rPr>
                <w:rFonts w:cs="Times New Roman"/>
                <w:b/>
                <w:sz w:val="21"/>
                <w:szCs w:val="21"/>
              </w:rPr>
            </w:pPr>
            <w:r>
              <w:rPr>
                <w:rFonts w:hint="eastAsia" w:cs="Times New Roman"/>
                <w:b/>
                <w:sz w:val="21"/>
                <w:szCs w:val="21"/>
              </w:rPr>
              <w:t>水生生态</w:t>
            </w:r>
          </w:p>
        </w:tc>
        <w:tc>
          <w:tcPr>
            <w:tcW w:w="204" w:type="pct"/>
            <w:vMerge w:val="continue"/>
            <w:vAlign w:val="center"/>
          </w:tcPr>
          <w:p w14:paraId="74AC473B">
            <w:pPr>
              <w:tabs>
                <w:tab w:val="left" w:pos="8789"/>
              </w:tabs>
              <w:spacing w:line="240" w:lineRule="auto"/>
              <w:ind w:firstLine="0" w:firstLineChars="0"/>
              <w:jc w:val="center"/>
              <w:rPr>
                <w:rFonts w:cs="Times New Roman"/>
                <w:b/>
                <w:sz w:val="21"/>
                <w:szCs w:val="21"/>
              </w:rPr>
            </w:pPr>
          </w:p>
        </w:tc>
        <w:tc>
          <w:tcPr>
            <w:tcW w:w="246" w:type="pct"/>
            <w:vAlign w:val="center"/>
          </w:tcPr>
          <w:p w14:paraId="10358E2F">
            <w:pPr>
              <w:tabs>
                <w:tab w:val="left" w:pos="8789"/>
              </w:tabs>
              <w:spacing w:line="240" w:lineRule="auto"/>
              <w:ind w:firstLine="0" w:firstLineChars="0"/>
              <w:jc w:val="center"/>
              <w:rPr>
                <w:rFonts w:cs="Times New Roman"/>
                <w:b/>
                <w:sz w:val="21"/>
                <w:szCs w:val="21"/>
              </w:rPr>
            </w:pPr>
            <w:r>
              <w:rPr>
                <w:rFonts w:hint="eastAsia" w:cs="Times New Roman"/>
                <w:b/>
                <w:sz w:val="21"/>
                <w:szCs w:val="21"/>
              </w:rPr>
              <w:t>经济发展</w:t>
            </w:r>
          </w:p>
        </w:tc>
        <w:tc>
          <w:tcPr>
            <w:tcW w:w="253" w:type="pct"/>
            <w:vAlign w:val="center"/>
          </w:tcPr>
          <w:p w14:paraId="719C5C57">
            <w:pPr>
              <w:tabs>
                <w:tab w:val="left" w:pos="8789"/>
              </w:tabs>
              <w:spacing w:line="240" w:lineRule="auto"/>
              <w:ind w:firstLine="0" w:firstLineChars="0"/>
              <w:jc w:val="center"/>
              <w:rPr>
                <w:rFonts w:cs="Times New Roman"/>
                <w:b/>
                <w:sz w:val="21"/>
                <w:szCs w:val="21"/>
              </w:rPr>
            </w:pPr>
            <w:r>
              <w:rPr>
                <w:rFonts w:hint="eastAsia" w:cs="Times New Roman"/>
                <w:b/>
                <w:sz w:val="21"/>
                <w:szCs w:val="21"/>
              </w:rPr>
              <w:t>交通运输</w:t>
            </w:r>
          </w:p>
        </w:tc>
        <w:tc>
          <w:tcPr>
            <w:tcW w:w="257" w:type="pct"/>
            <w:vAlign w:val="center"/>
          </w:tcPr>
          <w:p w14:paraId="168F6973">
            <w:pPr>
              <w:tabs>
                <w:tab w:val="left" w:pos="8789"/>
              </w:tabs>
              <w:spacing w:line="240" w:lineRule="auto"/>
              <w:ind w:firstLine="0" w:firstLineChars="0"/>
              <w:jc w:val="center"/>
              <w:rPr>
                <w:rFonts w:cs="Times New Roman"/>
                <w:b/>
                <w:sz w:val="21"/>
                <w:szCs w:val="21"/>
              </w:rPr>
            </w:pPr>
            <w:r>
              <w:rPr>
                <w:rFonts w:hint="eastAsia" w:cs="Times New Roman"/>
                <w:b/>
                <w:sz w:val="21"/>
                <w:szCs w:val="21"/>
              </w:rPr>
              <w:t>人居环境</w:t>
            </w:r>
          </w:p>
        </w:tc>
        <w:tc>
          <w:tcPr>
            <w:tcW w:w="221" w:type="pct"/>
            <w:vAlign w:val="center"/>
          </w:tcPr>
          <w:p w14:paraId="16CD0D5D">
            <w:pPr>
              <w:tabs>
                <w:tab w:val="left" w:pos="8789"/>
              </w:tabs>
              <w:spacing w:line="240" w:lineRule="auto"/>
              <w:ind w:firstLine="0" w:firstLineChars="0"/>
              <w:jc w:val="center"/>
              <w:rPr>
                <w:rFonts w:cs="Times New Roman"/>
                <w:b/>
                <w:sz w:val="21"/>
                <w:szCs w:val="21"/>
              </w:rPr>
            </w:pPr>
            <w:r>
              <w:rPr>
                <w:rFonts w:hint="eastAsia" w:cs="Times New Roman"/>
                <w:b/>
                <w:sz w:val="21"/>
                <w:szCs w:val="21"/>
              </w:rPr>
              <w:t>文物保护</w:t>
            </w:r>
          </w:p>
        </w:tc>
      </w:tr>
      <w:tr w14:paraId="030F2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restart"/>
            <w:vAlign w:val="center"/>
          </w:tcPr>
          <w:p w14:paraId="64FE62F7">
            <w:pPr>
              <w:tabs>
                <w:tab w:val="left" w:pos="8789"/>
              </w:tabs>
              <w:spacing w:line="240" w:lineRule="auto"/>
              <w:ind w:firstLine="0" w:firstLineChars="0"/>
              <w:jc w:val="center"/>
              <w:rPr>
                <w:rFonts w:cs="Times New Roman"/>
                <w:sz w:val="21"/>
                <w:szCs w:val="21"/>
              </w:rPr>
            </w:pPr>
            <w:r>
              <w:rPr>
                <w:rFonts w:hint="eastAsia" w:cs="Times New Roman"/>
                <w:sz w:val="21"/>
                <w:szCs w:val="21"/>
              </w:rPr>
              <w:t>规划</w:t>
            </w:r>
          </w:p>
          <w:p w14:paraId="0E279638">
            <w:pPr>
              <w:tabs>
                <w:tab w:val="left" w:pos="8789"/>
              </w:tabs>
              <w:spacing w:line="240" w:lineRule="auto"/>
              <w:ind w:firstLine="0" w:firstLineChars="0"/>
              <w:jc w:val="center"/>
              <w:rPr>
                <w:rFonts w:cs="Times New Roman"/>
                <w:sz w:val="21"/>
                <w:szCs w:val="21"/>
              </w:rPr>
            </w:pPr>
            <w:r>
              <w:rPr>
                <w:rFonts w:hint="eastAsia" w:cs="Times New Roman"/>
                <w:sz w:val="21"/>
                <w:szCs w:val="21"/>
              </w:rPr>
              <w:t>规模</w:t>
            </w:r>
          </w:p>
        </w:tc>
        <w:tc>
          <w:tcPr>
            <w:tcW w:w="628" w:type="pct"/>
            <w:vAlign w:val="center"/>
          </w:tcPr>
          <w:p w14:paraId="1FBA98D2">
            <w:pPr>
              <w:tabs>
                <w:tab w:val="left" w:pos="8789"/>
              </w:tabs>
              <w:spacing w:line="240" w:lineRule="auto"/>
              <w:ind w:firstLine="0" w:firstLineChars="0"/>
              <w:jc w:val="center"/>
              <w:rPr>
                <w:rFonts w:cs="Times New Roman"/>
                <w:sz w:val="21"/>
                <w:szCs w:val="21"/>
              </w:rPr>
            </w:pPr>
            <w:r>
              <w:rPr>
                <w:rFonts w:hint="eastAsia" w:cs="Times New Roman"/>
                <w:sz w:val="21"/>
                <w:szCs w:val="21"/>
              </w:rPr>
              <w:t>城市化率提高</w:t>
            </w:r>
          </w:p>
        </w:tc>
        <w:tc>
          <w:tcPr>
            <w:tcW w:w="239" w:type="pct"/>
            <w:vAlign w:val="center"/>
          </w:tcPr>
          <w:p w14:paraId="548565C9">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38" w:type="pct"/>
            <w:vAlign w:val="center"/>
          </w:tcPr>
          <w:p w14:paraId="1C9EC463">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39" w:type="pct"/>
            <w:vAlign w:val="center"/>
          </w:tcPr>
          <w:p w14:paraId="11E0C0D1">
            <w:pPr>
              <w:tabs>
                <w:tab w:val="left" w:pos="8789"/>
              </w:tabs>
              <w:spacing w:line="240" w:lineRule="auto"/>
              <w:ind w:firstLine="0" w:firstLineChars="0"/>
              <w:jc w:val="center"/>
              <w:rPr>
                <w:rFonts w:cs="Times New Roman"/>
                <w:sz w:val="21"/>
                <w:szCs w:val="21"/>
              </w:rPr>
            </w:pPr>
            <w:r>
              <w:rPr>
                <w:rFonts w:hint="eastAsia" w:eastAsia="仿宋"/>
                <w:color w:val="000000"/>
                <w:sz w:val="21"/>
                <w:szCs w:val="21"/>
              </w:rPr>
              <w:t>-L2</w:t>
            </w:r>
          </w:p>
        </w:tc>
        <w:tc>
          <w:tcPr>
            <w:tcW w:w="243" w:type="pct"/>
            <w:vAlign w:val="center"/>
          </w:tcPr>
          <w:p w14:paraId="7651C3E6">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39D554AD">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481E5015">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4DF30A4C">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7FDEE92F">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25A4BFA4">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8" w:type="pct"/>
            <w:vAlign w:val="center"/>
          </w:tcPr>
          <w:p w14:paraId="3C58AAF4">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30A32B35">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6" w:type="pct"/>
            <w:vAlign w:val="center"/>
          </w:tcPr>
          <w:p w14:paraId="7EBD5E8D">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04" w:type="pct"/>
            <w:vAlign w:val="center"/>
          </w:tcPr>
          <w:p w14:paraId="41E1404F">
            <w:pPr>
              <w:tabs>
                <w:tab w:val="left" w:pos="8789"/>
              </w:tabs>
              <w:spacing w:line="240" w:lineRule="auto"/>
              <w:ind w:firstLine="0" w:firstLineChars="0"/>
              <w:jc w:val="center"/>
              <w:rPr>
                <w:rFonts w:cs="Times New Roman"/>
                <w:kern w:val="0"/>
                <w:sz w:val="21"/>
                <w:szCs w:val="21"/>
              </w:rPr>
            </w:pPr>
            <w:r>
              <w:rPr>
                <w:rFonts w:hint="eastAsia" w:cs="Times New Roman"/>
                <w:sz w:val="21"/>
                <w:szCs w:val="21"/>
              </w:rPr>
              <w:t>-L2</w:t>
            </w:r>
          </w:p>
        </w:tc>
        <w:tc>
          <w:tcPr>
            <w:tcW w:w="246" w:type="pct"/>
            <w:vAlign w:val="center"/>
          </w:tcPr>
          <w:p w14:paraId="796CDE8D">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53" w:type="pct"/>
            <w:vAlign w:val="center"/>
          </w:tcPr>
          <w:p w14:paraId="60A2CED7">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57" w:type="pct"/>
            <w:vAlign w:val="center"/>
          </w:tcPr>
          <w:p w14:paraId="60E6059D">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21" w:type="pct"/>
            <w:vAlign w:val="center"/>
          </w:tcPr>
          <w:p w14:paraId="73724D5F">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r>
      <w:tr w14:paraId="47FC7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continue"/>
            <w:vAlign w:val="center"/>
          </w:tcPr>
          <w:p w14:paraId="7661E3B2">
            <w:pPr>
              <w:tabs>
                <w:tab w:val="left" w:pos="8789"/>
              </w:tabs>
              <w:spacing w:line="240" w:lineRule="auto"/>
              <w:ind w:firstLine="0" w:firstLineChars="0"/>
              <w:jc w:val="center"/>
              <w:rPr>
                <w:rFonts w:cs="Times New Roman"/>
                <w:sz w:val="21"/>
                <w:szCs w:val="21"/>
              </w:rPr>
            </w:pPr>
          </w:p>
        </w:tc>
        <w:tc>
          <w:tcPr>
            <w:tcW w:w="628" w:type="pct"/>
            <w:vAlign w:val="center"/>
          </w:tcPr>
          <w:p w14:paraId="24690F44">
            <w:pPr>
              <w:tabs>
                <w:tab w:val="left" w:pos="8789"/>
              </w:tabs>
              <w:spacing w:line="240" w:lineRule="auto"/>
              <w:ind w:firstLine="0" w:firstLineChars="0"/>
              <w:jc w:val="center"/>
              <w:rPr>
                <w:rFonts w:cs="Times New Roman"/>
                <w:sz w:val="21"/>
                <w:szCs w:val="21"/>
              </w:rPr>
            </w:pPr>
            <w:r>
              <w:rPr>
                <w:rFonts w:hint="eastAsia" w:cs="Times New Roman"/>
                <w:sz w:val="21"/>
                <w:szCs w:val="21"/>
              </w:rPr>
              <w:t>人口规模增大</w:t>
            </w:r>
          </w:p>
        </w:tc>
        <w:tc>
          <w:tcPr>
            <w:tcW w:w="239" w:type="pct"/>
            <w:vAlign w:val="center"/>
          </w:tcPr>
          <w:p w14:paraId="6D7B67F6">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38" w:type="pct"/>
            <w:vAlign w:val="center"/>
          </w:tcPr>
          <w:p w14:paraId="3250346A">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39" w:type="pct"/>
            <w:vAlign w:val="center"/>
          </w:tcPr>
          <w:p w14:paraId="49F79DA6">
            <w:pPr>
              <w:tabs>
                <w:tab w:val="left" w:pos="8789"/>
              </w:tabs>
              <w:spacing w:line="240" w:lineRule="auto"/>
              <w:ind w:firstLine="0" w:firstLineChars="0"/>
              <w:jc w:val="center"/>
              <w:rPr>
                <w:rFonts w:cs="Times New Roman"/>
                <w:sz w:val="21"/>
                <w:szCs w:val="21"/>
              </w:rPr>
            </w:pPr>
            <w:r>
              <w:rPr>
                <w:rFonts w:hint="eastAsia" w:eastAsia="仿宋"/>
                <w:color w:val="000000"/>
                <w:sz w:val="21"/>
                <w:szCs w:val="21"/>
              </w:rPr>
              <w:t>-L3</w:t>
            </w:r>
          </w:p>
        </w:tc>
        <w:tc>
          <w:tcPr>
            <w:tcW w:w="243" w:type="pct"/>
            <w:vAlign w:val="center"/>
          </w:tcPr>
          <w:p w14:paraId="3B67CCA9">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182343B1">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1BE89E0B">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4603BD13">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18795AC5">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029BFB61">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8" w:type="pct"/>
            <w:vAlign w:val="center"/>
          </w:tcPr>
          <w:p w14:paraId="35077A7A">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7AF263AD">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6" w:type="pct"/>
            <w:vAlign w:val="center"/>
          </w:tcPr>
          <w:p w14:paraId="3FE6CE05">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04" w:type="pct"/>
            <w:vAlign w:val="center"/>
          </w:tcPr>
          <w:p w14:paraId="147A7E7F">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6" w:type="pct"/>
            <w:vAlign w:val="center"/>
          </w:tcPr>
          <w:p w14:paraId="3A537819">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53" w:type="pct"/>
            <w:vAlign w:val="center"/>
          </w:tcPr>
          <w:p w14:paraId="2F332622">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57" w:type="pct"/>
            <w:vAlign w:val="center"/>
          </w:tcPr>
          <w:p w14:paraId="584AB207">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21" w:type="pct"/>
            <w:vAlign w:val="center"/>
          </w:tcPr>
          <w:p w14:paraId="449CA1EA">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r>
      <w:tr w14:paraId="377A7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Align w:val="center"/>
          </w:tcPr>
          <w:p w14:paraId="3AD50E3C">
            <w:pPr>
              <w:tabs>
                <w:tab w:val="left" w:pos="8789"/>
              </w:tabs>
              <w:spacing w:line="240" w:lineRule="auto"/>
              <w:ind w:firstLine="0" w:firstLineChars="0"/>
              <w:jc w:val="center"/>
              <w:rPr>
                <w:rFonts w:cs="Times New Roman"/>
                <w:sz w:val="21"/>
                <w:szCs w:val="21"/>
              </w:rPr>
            </w:pPr>
            <w:r>
              <w:rPr>
                <w:rFonts w:hint="eastAsia" w:cs="Times New Roman"/>
                <w:sz w:val="21"/>
                <w:szCs w:val="21"/>
              </w:rPr>
              <w:t>产业</w:t>
            </w:r>
          </w:p>
          <w:p w14:paraId="1A8FECF7">
            <w:pPr>
              <w:tabs>
                <w:tab w:val="left" w:pos="8789"/>
              </w:tabs>
              <w:spacing w:line="240" w:lineRule="auto"/>
              <w:ind w:firstLine="0" w:firstLineChars="0"/>
              <w:jc w:val="center"/>
              <w:rPr>
                <w:rFonts w:cs="Times New Roman"/>
                <w:sz w:val="21"/>
                <w:szCs w:val="21"/>
              </w:rPr>
            </w:pPr>
            <w:r>
              <w:rPr>
                <w:rFonts w:hint="eastAsia" w:cs="Times New Roman"/>
                <w:sz w:val="21"/>
                <w:szCs w:val="21"/>
              </w:rPr>
              <w:t>发展</w:t>
            </w:r>
          </w:p>
        </w:tc>
        <w:tc>
          <w:tcPr>
            <w:tcW w:w="628" w:type="pct"/>
            <w:vAlign w:val="center"/>
          </w:tcPr>
          <w:p w14:paraId="1E82790E">
            <w:pPr>
              <w:tabs>
                <w:tab w:val="left" w:pos="8789"/>
              </w:tabs>
              <w:spacing w:line="240" w:lineRule="auto"/>
              <w:ind w:firstLine="0" w:firstLineChars="0"/>
              <w:jc w:val="center"/>
              <w:rPr>
                <w:rFonts w:cs="Times New Roman"/>
                <w:sz w:val="21"/>
                <w:szCs w:val="21"/>
              </w:rPr>
            </w:pPr>
            <w:r>
              <w:rPr>
                <w:rFonts w:hint="eastAsia" w:cs="Times New Roman"/>
                <w:sz w:val="21"/>
                <w:szCs w:val="21"/>
              </w:rPr>
              <w:t>旅游度假产业</w:t>
            </w:r>
          </w:p>
        </w:tc>
        <w:tc>
          <w:tcPr>
            <w:tcW w:w="239" w:type="pct"/>
            <w:vAlign w:val="center"/>
          </w:tcPr>
          <w:p w14:paraId="0E6ABFD7">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38" w:type="pct"/>
            <w:vAlign w:val="center"/>
          </w:tcPr>
          <w:p w14:paraId="304E65F6">
            <w:pPr>
              <w:spacing w:line="240" w:lineRule="auto"/>
              <w:ind w:firstLine="0" w:firstLineChars="0"/>
              <w:jc w:val="center"/>
              <w:rPr>
                <w:rFonts w:cs="Times New Roman"/>
                <w:sz w:val="21"/>
                <w:szCs w:val="21"/>
              </w:rPr>
            </w:pPr>
            <w:r>
              <w:rPr>
                <w:rFonts w:hint="eastAsia" w:cs="Times New Roman"/>
                <w:sz w:val="21"/>
                <w:szCs w:val="21"/>
              </w:rPr>
              <w:t>-L2</w:t>
            </w:r>
          </w:p>
        </w:tc>
        <w:tc>
          <w:tcPr>
            <w:tcW w:w="239" w:type="pct"/>
            <w:vAlign w:val="center"/>
          </w:tcPr>
          <w:p w14:paraId="4AAA5373">
            <w:pPr>
              <w:spacing w:line="240" w:lineRule="auto"/>
              <w:ind w:firstLine="0" w:firstLineChars="0"/>
              <w:jc w:val="center"/>
              <w:rPr>
                <w:rFonts w:cs="Times New Roman"/>
                <w:sz w:val="21"/>
                <w:szCs w:val="21"/>
              </w:rPr>
            </w:pPr>
            <w:r>
              <w:rPr>
                <w:rFonts w:hint="eastAsia" w:cs="Times New Roman"/>
                <w:sz w:val="21"/>
                <w:szCs w:val="21"/>
              </w:rPr>
              <w:t>-L1</w:t>
            </w:r>
          </w:p>
        </w:tc>
        <w:tc>
          <w:tcPr>
            <w:tcW w:w="243" w:type="pct"/>
            <w:vAlign w:val="center"/>
          </w:tcPr>
          <w:p w14:paraId="03504EC1">
            <w:pPr>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3AE9EBC6">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3B06E479">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1277C2C3">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17776D49">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5BA85712">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8" w:type="pct"/>
            <w:vAlign w:val="center"/>
          </w:tcPr>
          <w:p w14:paraId="6421274D">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66EDA60A">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6" w:type="pct"/>
            <w:vAlign w:val="center"/>
          </w:tcPr>
          <w:p w14:paraId="4607AB25">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04" w:type="pct"/>
            <w:vAlign w:val="center"/>
          </w:tcPr>
          <w:p w14:paraId="2F3D784B">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6" w:type="pct"/>
            <w:vAlign w:val="center"/>
          </w:tcPr>
          <w:p w14:paraId="643CA485">
            <w:pPr>
              <w:spacing w:line="240" w:lineRule="auto"/>
              <w:ind w:firstLine="0" w:firstLineChars="0"/>
              <w:jc w:val="center"/>
              <w:rPr>
                <w:rFonts w:cs="Times New Roman"/>
                <w:sz w:val="21"/>
                <w:szCs w:val="21"/>
              </w:rPr>
            </w:pPr>
            <w:r>
              <w:rPr>
                <w:rFonts w:hint="eastAsia" w:cs="Times New Roman"/>
                <w:sz w:val="21"/>
                <w:szCs w:val="21"/>
              </w:rPr>
              <w:t>+L3</w:t>
            </w:r>
          </w:p>
        </w:tc>
        <w:tc>
          <w:tcPr>
            <w:tcW w:w="253" w:type="pct"/>
            <w:vAlign w:val="center"/>
          </w:tcPr>
          <w:p w14:paraId="058062E7">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57" w:type="pct"/>
            <w:vAlign w:val="center"/>
          </w:tcPr>
          <w:p w14:paraId="295EF091">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21" w:type="pct"/>
            <w:vAlign w:val="center"/>
          </w:tcPr>
          <w:p w14:paraId="3A3FAA71">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r>
      <w:tr w14:paraId="4730E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restart"/>
            <w:vAlign w:val="center"/>
          </w:tcPr>
          <w:p w14:paraId="70BF5A90">
            <w:pPr>
              <w:tabs>
                <w:tab w:val="left" w:pos="8789"/>
              </w:tabs>
              <w:spacing w:line="240" w:lineRule="auto"/>
              <w:ind w:firstLine="0" w:firstLineChars="0"/>
              <w:jc w:val="center"/>
              <w:rPr>
                <w:rFonts w:cs="Times New Roman"/>
                <w:sz w:val="21"/>
                <w:szCs w:val="21"/>
              </w:rPr>
            </w:pPr>
            <w:r>
              <w:rPr>
                <w:rFonts w:hint="eastAsia" w:cs="Times New Roman"/>
                <w:sz w:val="21"/>
                <w:szCs w:val="21"/>
              </w:rPr>
              <w:t>规划</w:t>
            </w:r>
          </w:p>
          <w:p w14:paraId="78022B9D">
            <w:pPr>
              <w:tabs>
                <w:tab w:val="left" w:pos="8789"/>
              </w:tabs>
              <w:spacing w:line="240" w:lineRule="auto"/>
              <w:ind w:firstLine="0" w:firstLineChars="0"/>
              <w:jc w:val="center"/>
              <w:rPr>
                <w:rFonts w:cs="Times New Roman"/>
                <w:sz w:val="21"/>
                <w:szCs w:val="21"/>
              </w:rPr>
            </w:pPr>
            <w:r>
              <w:rPr>
                <w:rFonts w:hint="eastAsia" w:cs="Times New Roman"/>
                <w:sz w:val="21"/>
                <w:szCs w:val="21"/>
              </w:rPr>
              <w:t>布局</w:t>
            </w:r>
          </w:p>
        </w:tc>
        <w:tc>
          <w:tcPr>
            <w:tcW w:w="628" w:type="pct"/>
            <w:vAlign w:val="center"/>
          </w:tcPr>
          <w:p w14:paraId="0650160F">
            <w:pPr>
              <w:tabs>
                <w:tab w:val="left" w:pos="8789"/>
              </w:tabs>
              <w:spacing w:line="240" w:lineRule="auto"/>
              <w:ind w:firstLine="0" w:firstLineChars="0"/>
              <w:jc w:val="center"/>
              <w:rPr>
                <w:rFonts w:cs="Times New Roman"/>
                <w:sz w:val="21"/>
                <w:szCs w:val="21"/>
              </w:rPr>
            </w:pPr>
            <w:r>
              <w:rPr>
                <w:rFonts w:hint="eastAsia" w:cs="Times New Roman"/>
                <w:sz w:val="21"/>
                <w:szCs w:val="21"/>
              </w:rPr>
              <w:t>空间结构布局</w:t>
            </w:r>
          </w:p>
        </w:tc>
        <w:tc>
          <w:tcPr>
            <w:tcW w:w="239" w:type="pct"/>
            <w:vAlign w:val="center"/>
          </w:tcPr>
          <w:p w14:paraId="496ADFD7">
            <w:pPr>
              <w:spacing w:line="240" w:lineRule="auto"/>
              <w:ind w:firstLine="0" w:firstLineChars="0"/>
              <w:jc w:val="center"/>
              <w:rPr>
                <w:rFonts w:cs="Times New Roman"/>
                <w:sz w:val="21"/>
                <w:szCs w:val="21"/>
              </w:rPr>
            </w:pPr>
            <w:r>
              <w:rPr>
                <w:rFonts w:hint="eastAsia" w:cs="Times New Roman"/>
                <w:sz w:val="21"/>
                <w:szCs w:val="21"/>
              </w:rPr>
              <w:t>-L1</w:t>
            </w:r>
          </w:p>
        </w:tc>
        <w:tc>
          <w:tcPr>
            <w:tcW w:w="238" w:type="pct"/>
            <w:vAlign w:val="center"/>
          </w:tcPr>
          <w:p w14:paraId="241A2342">
            <w:pPr>
              <w:spacing w:line="240" w:lineRule="auto"/>
              <w:ind w:firstLine="0" w:firstLineChars="0"/>
              <w:jc w:val="center"/>
              <w:rPr>
                <w:rFonts w:cs="Times New Roman"/>
                <w:sz w:val="21"/>
                <w:szCs w:val="21"/>
              </w:rPr>
            </w:pPr>
            <w:r>
              <w:rPr>
                <w:rFonts w:hint="eastAsia" w:cs="Times New Roman"/>
                <w:sz w:val="21"/>
                <w:szCs w:val="21"/>
              </w:rPr>
              <w:t>-L1</w:t>
            </w:r>
          </w:p>
        </w:tc>
        <w:tc>
          <w:tcPr>
            <w:tcW w:w="239" w:type="pct"/>
            <w:vAlign w:val="center"/>
          </w:tcPr>
          <w:p w14:paraId="19C760E3">
            <w:pPr>
              <w:spacing w:line="240" w:lineRule="auto"/>
              <w:ind w:firstLine="0" w:firstLineChars="0"/>
              <w:jc w:val="center"/>
              <w:rPr>
                <w:rFonts w:cs="Times New Roman"/>
                <w:sz w:val="21"/>
                <w:szCs w:val="21"/>
              </w:rPr>
            </w:pPr>
            <w:r>
              <w:rPr>
                <w:rFonts w:hint="eastAsia" w:cs="Times New Roman"/>
                <w:sz w:val="21"/>
                <w:szCs w:val="21"/>
              </w:rPr>
              <w:t>-L1</w:t>
            </w:r>
          </w:p>
        </w:tc>
        <w:tc>
          <w:tcPr>
            <w:tcW w:w="243" w:type="pct"/>
            <w:vAlign w:val="center"/>
          </w:tcPr>
          <w:p w14:paraId="10DCAA00">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7C728B0D">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514D75BF">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23AAFC53">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719ED11E">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74C96B59">
            <w:pPr>
              <w:spacing w:line="240" w:lineRule="auto"/>
              <w:ind w:firstLine="0" w:firstLineChars="0"/>
              <w:jc w:val="center"/>
              <w:rPr>
                <w:rFonts w:cs="Times New Roman"/>
                <w:sz w:val="21"/>
                <w:szCs w:val="21"/>
              </w:rPr>
            </w:pPr>
            <w:r>
              <w:rPr>
                <w:rFonts w:hint="eastAsia" w:cs="Times New Roman"/>
                <w:sz w:val="21"/>
                <w:szCs w:val="21"/>
              </w:rPr>
              <w:t>-L1</w:t>
            </w:r>
          </w:p>
        </w:tc>
        <w:tc>
          <w:tcPr>
            <w:tcW w:w="248" w:type="pct"/>
            <w:vAlign w:val="center"/>
          </w:tcPr>
          <w:p w14:paraId="6E28347C">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17725C54">
            <w:pPr>
              <w:spacing w:line="240" w:lineRule="auto"/>
              <w:ind w:firstLine="0" w:firstLineChars="0"/>
              <w:jc w:val="center"/>
              <w:rPr>
                <w:rFonts w:cs="Times New Roman"/>
                <w:sz w:val="21"/>
                <w:szCs w:val="21"/>
              </w:rPr>
            </w:pPr>
            <w:r>
              <w:rPr>
                <w:rFonts w:hint="eastAsia" w:cs="Times New Roman"/>
                <w:sz w:val="21"/>
                <w:szCs w:val="21"/>
              </w:rPr>
              <w:t>-L1</w:t>
            </w:r>
          </w:p>
        </w:tc>
        <w:tc>
          <w:tcPr>
            <w:tcW w:w="246" w:type="pct"/>
            <w:vAlign w:val="center"/>
          </w:tcPr>
          <w:p w14:paraId="194CCFEB">
            <w:pPr>
              <w:spacing w:line="240" w:lineRule="auto"/>
              <w:ind w:firstLine="0" w:firstLineChars="0"/>
              <w:jc w:val="center"/>
              <w:rPr>
                <w:rFonts w:cs="Times New Roman"/>
                <w:sz w:val="21"/>
                <w:szCs w:val="21"/>
              </w:rPr>
            </w:pPr>
            <w:r>
              <w:rPr>
                <w:rFonts w:hint="eastAsia" w:cs="Times New Roman"/>
                <w:sz w:val="21"/>
                <w:szCs w:val="21"/>
              </w:rPr>
              <w:t>-L1</w:t>
            </w:r>
          </w:p>
        </w:tc>
        <w:tc>
          <w:tcPr>
            <w:tcW w:w="204" w:type="pct"/>
            <w:vAlign w:val="center"/>
          </w:tcPr>
          <w:p w14:paraId="32D13633">
            <w:pPr>
              <w:spacing w:line="240" w:lineRule="auto"/>
              <w:ind w:firstLine="0" w:firstLineChars="0"/>
              <w:jc w:val="center"/>
              <w:rPr>
                <w:rFonts w:cs="Times New Roman"/>
                <w:sz w:val="21"/>
                <w:szCs w:val="21"/>
              </w:rPr>
            </w:pPr>
            <w:r>
              <w:rPr>
                <w:rFonts w:hint="eastAsia" w:cs="Times New Roman"/>
                <w:sz w:val="21"/>
                <w:szCs w:val="21"/>
              </w:rPr>
              <w:t>-L1</w:t>
            </w:r>
          </w:p>
        </w:tc>
        <w:tc>
          <w:tcPr>
            <w:tcW w:w="246" w:type="pct"/>
            <w:vAlign w:val="center"/>
          </w:tcPr>
          <w:p w14:paraId="1F19157A">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53" w:type="pct"/>
            <w:vAlign w:val="center"/>
          </w:tcPr>
          <w:p w14:paraId="20599FB8">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57" w:type="pct"/>
            <w:vAlign w:val="center"/>
          </w:tcPr>
          <w:p w14:paraId="29512ABD">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21" w:type="pct"/>
            <w:vAlign w:val="center"/>
          </w:tcPr>
          <w:p w14:paraId="29E166C9">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r>
      <w:tr w14:paraId="5C6A9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continue"/>
            <w:vAlign w:val="center"/>
          </w:tcPr>
          <w:p w14:paraId="399434A3">
            <w:pPr>
              <w:tabs>
                <w:tab w:val="left" w:pos="8789"/>
              </w:tabs>
              <w:spacing w:line="240" w:lineRule="auto"/>
              <w:ind w:firstLine="0" w:firstLineChars="0"/>
              <w:jc w:val="center"/>
              <w:rPr>
                <w:rFonts w:cs="Times New Roman"/>
                <w:sz w:val="21"/>
                <w:szCs w:val="21"/>
              </w:rPr>
            </w:pPr>
          </w:p>
        </w:tc>
        <w:tc>
          <w:tcPr>
            <w:tcW w:w="628" w:type="pct"/>
            <w:vAlign w:val="center"/>
          </w:tcPr>
          <w:p w14:paraId="05B41F38">
            <w:pPr>
              <w:tabs>
                <w:tab w:val="left" w:pos="8789"/>
              </w:tabs>
              <w:spacing w:line="240" w:lineRule="auto"/>
              <w:ind w:firstLine="0" w:firstLineChars="0"/>
              <w:jc w:val="center"/>
              <w:rPr>
                <w:rFonts w:cs="Times New Roman"/>
                <w:sz w:val="21"/>
                <w:szCs w:val="21"/>
              </w:rPr>
            </w:pPr>
            <w:r>
              <w:rPr>
                <w:rFonts w:hint="eastAsia" w:cs="Times New Roman"/>
                <w:sz w:val="21"/>
                <w:szCs w:val="21"/>
              </w:rPr>
              <w:t>产业用地布局</w:t>
            </w:r>
          </w:p>
        </w:tc>
        <w:tc>
          <w:tcPr>
            <w:tcW w:w="239" w:type="pct"/>
            <w:vAlign w:val="center"/>
          </w:tcPr>
          <w:p w14:paraId="6A1E5E30">
            <w:pPr>
              <w:spacing w:line="240" w:lineRule="auto"/>
              <w:ind w:firstLine="0" w:firstLineChars="0"/>
              <w:jc w:val="center"/>
              <w:rPr>
                <w:rFonts w:cs="Times New Roman"/>
                <w:sz w:val="21"/>
                <w:szCs w:val="21"/>
              </w:rPr>
            </w:pPr>
            <w:r>
              <w:rPr>
                <w:rFonts w:hint="eastAsia" w:cs="Times New Roman"/>
                <w:sz w:val="21"/>
                <w:szCs w:val="21"/>
              </w:rPr>
              <w:t>-L1</w:t>
            </w:r>
          </w:p>
        </w:tc>
        <w:tc>
          <w:tcPr>
            <w:tcW w:w="238" w:type="pct"/>
            <w:vAlign w:val="center"/>
          </w:tcPr>
          <w:p w14:paraId="2A105625">
            <w:pPr>
              <w:spacing w:line="240" w:lineRule="auto"/>
              <w:ind w:firstLine="0" w:firstLineChars="0"/>
              <w:jc w:val="center"/>
              <w:rPr>
                <w:rFonts w:cs="Times New Roman"/>
                <w:sz w:val="21"/>
                <w:szCs w:val="21"/>
              </w:rPr>
            </w:pPr>
            <w:r>
              <w:rPr>
                <w:rFonts w:hint="eastAsia" w:cs="Times New Roman"/>
                <w:sz w:val="21"/>
                <w:szCs w:val="21"/>
              </w:rPr>
              <w:t>-L1</w:t>
            </w:r>
          </w:p>
        </w:tc>
        <w:tc>
          <w:tcPr>
            <w:tcW w:w="239" w:type="pct"/>
            <w:vAlign w:val="center"/>
          </w:tcPr>
          <w:p w14:paraId="4FC582D6">
            <w:pPr>
              <w:spacing w:line="240" w:lineRule="auto"/>
              <w:ind w:firstLine="0" w:firstLineChars="0"/>
              <w:jc w:val="center"/>
              <w:rPr>
                <w:rFonts w:cs="Times New Roman"/>
                <w:sz w:val="21"/>
                <w:szCs w:val="21"/>
              </w:rPr>
            </w:pPr>
            <w:r>
              <w:rPr>
                <w:rFonts w:hint="eastAsia" w:cs="Times New Roman"/>
                <w:sz w:val="21"/>
                <w:szCs w:val="21"/>
              </w:rPr>
              <w:t>-L1</w:t>
            </w:r>
          </w:p>
        </w:tc>
        <w:tc>
          <w:tcPr>
            <w:tcW w:w="243" w:type="pct"/>
            <w:vAlign w:val="center"/>
          </w:tcPr>
          <w:p w14:paraId="67392AD3">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172CCDC0">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2CDE0436">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5C544DB4">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2935D42C">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11197766">
            <w:pPr>
              <w:spacing w:line="240" w:lineRule="auto"/>
              <w:ind w:firstLine="0" w:firstLineChars="0"/>
              <w:jc w:val="center"/>
              <w:rPr>
                <w:rFonts w:cs="Times New Roman"/>
                <w:sz w:val="21"/>
                <w:szCs w:val="21"/>
              </w:rPr>
            </w:pPr>
            <w:r>
              <w:rPr>
                <w:rFonts w:hint="eastAsia" w:cs="Times New Roman"/>
                <w:sz w:val="21"/>
                <w:szCs w:val="21"/>
              </w:rPr>
              <w:t>-L1</w:t>
            </w:r>
          </w:p>
        </w:tc>
        <w:tc>
          <w:tcPr>
            <w:tcW w:w="248" w:type="pct"/>
            <w:vAlign w:val="center"/>
          </w:tcPr>
          <w:p w14:paraId="19064E9C">
            <w:pPr>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2202863F">
            <w:pPr>
              <w:spacing w:line="240" w:lineRule="auto"/>
              <w:ind w:firstLine="0" w:firstLineChars="0"/>
              <w:jc w:val="center"/>
              <w:rPr>
                <w:rFonts w:cs="Times New Roman"/>
                <w:sz w:val="21"/>
                <w:szCs w:val="21"/>
              </w:rPr>
            </w:pPr>
            <w:r>
              <w:rPr>
                <w:rFonts w:hint="eastAsia" w:cs="Times New Roman"/>
                <w:sz w:val="21"/>
                <w:szCs w:val="21"/>
              </w:rPr>
              <w:t>-L1</w:t>
            </w:r>
          </w:p>
        </w:tc>
        <w:tc>
          <w:tcPr>
            <w:tcW w:w="246" w:type="pct"/>
            <w:vAlign w:val="center"/>
          </w:tcPr>
          <w:p w14:paraId="55E4F4FA">
            <w:pPr>
              <w:spacing w:line="240" w:lineRule="auto"/>
              <w:ind w:firstLine="0" w:firstLineChars="0"/>
              <w:jc w:val="center"/>
              <w:rPr>
                <w:rFonts w:cs="Times New Roman"/>
                <w:sz w:val="21"/>
                <w:szCs w:val="21"/>
              </w:rPr>
            </w:pPr>
            <w:r>
              <w:rPr>
                <w:rFonts w:hint="eastAsia" w:cs="Times New Roman"/>
                <w:sz w:val="21"/>
                <w:szCs w:val="21"/>
              </w:rPr>
              <w:t>-L1</w:t>
            </w:r>
          </w:p>
        </w:tc>
        <w:tc>
          <w:tcPr>
            <w:tcW w:w="204" w:type="pct"/>
            <w:vAlign w:val="center"/>
          </w:tcPr>
          <w:p w14:paraId="4B970FB5">
            <w:pPr>
              <w:spacing w:line="240" w:lineRule="auto"/>
              <w:ind w:firstLine="0" w:firstLineChars="0"/>
              <w:jc w:val="center"/>
              <w:rPr>
                <w:rFonts w:cs="Times New Roman"/>
                <w:sz w:val="21"/>
                <w:szCs w:val="21"/>
              </w:rPr>
            </w:pPr>
            <w:r>
              <w:rPr>
                <w:rFonts w:hint="eastAsia" w:cs="Times New Roman"/>
                <w:sz w:val="21"/>
                <w:szCs w:val="21"/>
              </w:rPr>
              <w:t>-L1</w:t>
            </w:r>
          </w:p>
        </w:tc>
        <w:tc>
          <w:tcPr>
            <w:tcW w:w="246" w:type="pct"/>
            <w:vAlign w:val="center"/>
          </w:tcPr>
          <w:p w14:paraId="7D427A60">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53" w:type="pct"/>
            <w:vAlign w:val="center"/>
          </w:tcPr>
          <w:p w14:paraId="7A5DBD17">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57" w:type="pct"/>
            <w:vAlign w:val="center"/>
          </w:tcPr>
          <w:p w14:paraId="792C243F">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21" w:type="pct"/>
            <w:vAlign w:val="center"/>
          </w:tcPr>
          <w:p w14:paraId="2D777FB2">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r>
      <w:tr w14:paraId="7D10B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continue"/>
            <w:vAlign w:val="center"/>
          </w:tcPr>
          <w:p w14:paraId="014C1EAE">
            <w:pPr>
              <w:tabs>
                <w:tab w:val="left" w:pos="8789"/>
              </w:tabs>
              <w:spacing w:line="240" w:lineRule="auto"/>
              <w:ind w:firstLine="0" w:firstLineChars="0"/>
              <w:jc w:val="center"/>
              <w:rPr>
                <w:rFonts w:cs="Times New Roman"/>
                <w:sz w:val="21"/>
                <w:szCs w:val="21"/>
              </w:rPr>
            </w:pPr>
          </w:p>
        </w:tc>
        <w:tc>
          <w:tcPr>
            <w:tcW w:w="628" w:type="pct"/>
            <w:vAlign w:val="center"/>
          </w:tcPr>
          <w:p w14:paraId="6041A857">
            <w:pPr>
              <w:tabs>
                <w:tab w:val="left" w:pos="8789"/>
              </w:tabs>
              <w:spacing w:line="240" w:lineRule="auto"/>
              <w:ind w:firstLine="0" w:firstLineChars="0"/>
              <w:jc w:val="center"/>
              <w:rPr>
                <w:rFonts w:cs="Times New Roman"/>
                <w:sz w:val="21"/>
                <w:szCs w:val="21"/>
              </w:rPr>
            </w:pPr>
            <w:r>
              <w:rPr>
                <w:rFonts w:hint="eastAsia" w:cs="Times New Roman"/>
                <w:sz w:val="21"/>
                <w:szCs w:val="21"/>
              </w:rPr>
              <w:t>居住用地布局</w:t>
            </w:r>
          </w:p>
        </w:tc>
        <w:tc>
          <w:tcPr>
            <w:tcW w:w="239" w:type="pct"/>
            <w:vAlign w:val="center"/>
          </w:tcPr>
          <w:p w14:paraId="51E3F51C">
            <w:pPr>
              <w:spacing w:line="240" w:lineRule="auto"/>
              <w:ind w:firstLine="0" w:firstLineChars="0"/>
              <w:jc w:val="center"/>
              <w:rPr>
                <w:rFonts w:cs="Times New Roman"/>
                <w:sz w:val="21"/>
                <w:szCs w:val="21"/>
              </w:rPr>
            </w:pPr>
            <w:r>
              <w:rPr>
                <w:rFonts w:hint="eastAsia" w:cs="Times New Roman"/>
                <w:sz w:val="21"/>
                <w:szCs w:val="21"/>
              </w:rPr>
              <w:t>-L1</w:t>
            </w:r>
          </w:p>
        </w:tc>
        <w:tc>
          <w:tcPr>
            <w:tcW w:w="238" w:type="pct"/>
            <w:vAlign w:val="center"/>
          </w:tcPr>
          <w:p w14:paraId="313F20DE">
            <w:pPr>
              <w:spacing w:line="240" w:lineRule="auto"/>
              <w:ind w:firstLine="0" w:firstLineChars="0"/>
              <w:jc w:val="center"/>
              <w:rPr>
                <w:rFonts w:cs="Times New Roman"/>
                <w:sz w:val="21"/>
                <w:szCs w:val="21"/>
              </w:rPr>
            </w:pPr>
            <w:r>
              <w:rPr>
                <w:rFonts w:hint="eastAsia" w:cs="Times New Roman"/>
                <w:sz w:val="21"/>
                <w:szCs w:val="21"/>
              </w:rPr>
              <w:t>-L1</w:t>
            </w:r>
          </w:p>
        </w:tc>
        <w:tc>
          <w:tcPr>
            <w:tcW w:w="239" w:type="pct"/>
            <w:vAlign w:val="center"/>
          </w:tcPr>
          <w:p w14:paraId="5DDCBB7D">
            <w:pPr>
              <w:spacing w:line="240" w:lineRule="auto"/>
              <w:ind w:firstLine="0" w:firstLineChars="0"/>
              <w:jc w:val="center"/>
              <w:rPr>
                <w:rFonts w:cs="Times New Roman"/>
                <w:sz w:val="21"/>
                <w:szCs w:val="21"/>
              </w:rPr>
            </w:pPr>
            <w:r>
              <w:rPr>
                <w:rFonts w:hint="eastAsia" w:cs="Times New Roman"/>
                <w:sz w:val="21"/>
                <w:szCs w:val="21"/>
              </w:rPr>
              <w:t>-L1</w:t>
            </w:r>
          </w:p>
        </w:tc>
        <w:tc>
          <w:tcPr>
            <w:tcW w:w="243" w:type="pct"/>
            <w:vAlign w:val="center"/>
          </w:tcPr>
          <w:p w14:paraId="78119840">
            <w:pPr>
              <w:spacing w:line="240" w:lineRule="auto"/>
              <w:ind w:firstLine="0" w:firstLineChars="0"/>
              <w:jc w:val="center"/>
              <w:rPr>
                <w:rFonts w:cs="Times New Roman"/>
                <w:sz w:val="21"/>
                <w:szCs w:val="21"/>
              </w:rPr>
            </w:pPr>
            <w:r>
              <w:rPr>
                <w:rFonts w:hint="eastAsia" w:eastAsia="仿宋"/>
                <w:color w:val="000000"/>
                <w:sz w:val="21"/>
                <w:szCs w:val="21"/>
              </w:rPr>
              <w:t>-L1</w:t>
            </w:r>
          </w:p>
        </w:tc>
        <w:tc>
          <w:tcPr>
            <w:tcW w:w="245" w:type="pct"/>
            <w:vAlign w:val="center"/>
          </w:tcPr>
          <w:p w14:paraId="560ADA64">
            <w:pPr>
              <w:spacing w:line="240" w:lineRule="auto"/>
              <w:ind w:firstLine="0" w:firstLineChars="0"/>
              <w:jc w:val="center"/>
              <w:rPr>
                <w:rFonts w:cs="Times New Roman"/>
                <w:sz w:val="21"/>
                <w:szCs w:val="21"/>
              </w:rPr>
            </w:pPr>
            <w:r>
              <w:rPr>
                <w:rFonts w:hint="eastAsia" w:eastAsia="仿宋"/>
                <w:color w:val="000000"/>
                <w:sz w:val="21"/>
                <w:szCs w:val="21"/>
              </w:rPr>
              <w:t>-L1</w:t>
            </w:r>
          </w:p>
        </w:tc>
        <w:tc>
          <w:tcPr>
            <w:tcW w:w="245" w:type="pct"/>
            <w:vAlign w:val="center"/>
          </w:tcPr>
          <w:p w14:paraId="79691401">
            <w:pPr>
              <w:spacing w:line="240" w:lineRule="auto"/>
              <w:ind w:firstLine="0" w:firstLineChars="0"/>
              <w:jc w:val="center"/>
              <w:rPr>
                <w:rFonts w:cs="Times New Roman"/>
                <w:sz w:val="21"/>
                <w:szCs w:val="21"/>
              </w:rPr>
            </w:pPr>
            <w:r>
              <w:rPr>
                <w:rFonts w:hint="eastAsia" w:eastAsia="仿宋"/>
                <w:color w:val="000000"/>
                <w:sz w:val="21"/>
                <w:szCs w:val="21"/>
              </w:rPr>
              <w:t>-L1</w:t>
            </w:r>
          </w:p>
        </w:tc>
        <w:tc>
          <w:tcPr>
            <w:tcW w:w="245" w:type="pct"/>
            <w:vAlign w:val="center"/>
          </w:tcPr>
          <w:p w14:paraId="4F3156DC">
            <w:pPr>
              <w:spacing w:line="240" w:lineRule="auto"/>
              <w:ind w:firstLine="0" w:firstLineChars="0"/>
              <w:jc w:val="center"/>
              <w:rPr>
                <w:rFonts w:cs="Times New Roman"/>
                <w:sz w:val="21"/>
                <w:szCs w:val="21"/>
              </w:rPr>
            </w:pPr>
            <w:r>
              <w:rPr>
                <w:rFonts w:hint="eastAsia" w:eastAsia="仿宋"/>
                <w:color w:val="000000"/>
                <w:sz w:val="21"/>
                <w:szCs w:val="21"/>
              </w:rPr>
              <w:t>-L1</w:t>
            </w:r>
          </w:p>
        </w:tc>
        <w:tc>
          <w:tcPr>
            <w:tcW w:w="245" w:type="pct"/>
            <w:vAlign w:val="center"/>
          </w:tcPr>
          <w:p w14:paraId="32DE105D">
            <w:pPr>
              <w:spacing w:line="240" w:lineRule="auto"/>
              <w:ind w:firstLine="0" w:firstLineChars="0"/>
              <w:jc w:val="center"/>
              <w:rPr>
                <w:rFonts w:cs="Times New Roman"/>
                <w:sz w:val="21"/>
                <w:szCs w:val="21"/>
              </w:rPr>
            </w:pPr>
            <w:r>
              <w:rPr>
                <w:rFonts w:hint="eastAsia" w:eastAsia="仿宋"/>
                <w:color w:val="000000"/>
                <w:sz w:val="21"/>
                <w:szCs w:val="21"/>
              </w:rPr>
              <w:t>-L1</w:t>
            </w:r>
          </w:p>
        </w:tc>
        <w:tc>
          <w:tcPr>
            <w:tcW w:w="245" w:type="pct"/>
            <w:vAlign w:val="center"/>
          </w:tcPr>
          <w:p w14:paraId="0C267C7B">
            <w:pPr>
              <w:spacing w:line="240" w:lineRule="auto"/>
              <w:ind w:firstLine="0" w:firstLineChars="0"/>
              <w:jc w:val="center"/>
              <w:rPr>
                <w:rFonts w:cs="Times New Roman"/>
                <w:sz w:val="21"/>
                <w:szCs w:val="21"/>
              </w:rPr>
            </w:pPr>
            <w:r>
              <w:rPr>
                <w:rFonts w:hint="eastAsia" w:eastAsia="仿宋"/>
                <w:color w:val="000000"/>
                <w:sz w:val="21"/>
                <w:szCs w:val="21"/>
              </w:rPr>
              <w:t>-L1</w:t>
            </w:r>
          </w:p>
        </w:tc>
        <w:tc>
          <w:tcPr>
            <w:tcW w:w="248" w:type="pct"/>
            <w:vAlign w:val="center"/>
          </w:tcPr>
          <w:p w14:paraId="3B82331B">
            <w:pPr>
              <w:spacing w:line="240" w:lineRule="auto"/>
              <w:ind w:firstLine="0" w:firstLineChars="0"/>
              <w:jc w:val="center"/>
              <w:rPr>
                <w:rFonts w:cs="Times New Roman"/>
                <w:sz w:val="21"/>
                <w:szCs w:val="21"/>
              </w:rPr>
            </w:pPr>
            <w:r>
              <w:rPr>
                <w:rFonts w:hint="eastAsia" w:eastAsia="仿宋"/>
                <w:color w:val="000000"/>
                <w:sz w:val="21"/>
                <w:szCs w:val="21"/>
              </w:rPr>
              <w:t>/</w:t>
            </w:r>
          </w:p>
        </w:tc>
        <w:tc>
          <w:tcPr>
            <w:tcW w:w="245" w:type="pct"/>
            <w:vAlign w:val="center"/>
          </w:tcPr>
          <w:p w14:paraId="0CEF6409">
            <w:pPr>
              <w:spacing w:line="240" w:lineRule="auto"/>
              <w:ind w:firstLine="0" w:firstLineChars="0"/>
              <w:jc w:val="center"/>
              <w:rPr>
                <w:rFonts w:cs="Times New Roman"/>
                <w:sz w:val="21"/>
                <w:szCs w:val="21"/>
              </w:rPr>
            </w:pPr>
            <w:r>
              <w:rPr>
                <w:rFonts w:hint="eastAsia" w:eastAsia="仿宋"/>
                <w:color w:val="000000"/>
                <w:sz w:val="21"/>
                <w:szCs w:val="21"/>
              </w:rPr>
              <w:t>-L1</w:t>
            </w:r>
          </w:p>
        </w:tc>
        <w:tc>
          <w:tcPr>
            <w:tcW w:w="246" w:type="pct"/>
            <w:vAlign w:val="center"/>
          </w:tcPr>
          <w:p w14:paraId="56DD5CD9">
            <w:pPr>
              <w:spacing w:line="240" w:lineRule="auto"/>
              <w:ind w:firstLine="0" w:firstLineChars="0"/>
              <w:jc w:val="center"/>
              <w:rPr>
                <w:rFonts w:cs="Times New Roman"/>
                <w:sz w:val="21"/>
                <w:szCs w:val="21"/>
              </w:rPr>
            </w:pPr>
            <w:r>
              <w:rPr>
                <w:rFonts w:hint="eastAsia" w:eastAsia="仿宋"/>
                <w:color w:val="000000"/>
                <w:sz w:val="21"/>
                <w:szCs w:val="21"/>
              </w:rPr>
              <w:t>-L1</w:t>
            </w:r>
          </w:p>
        </w:tc>
        <w:tc>
          <w:tcPr>
            <w:tcW w:w="204" w:type="pct"/>
            <w:vAlign w:val="center"/>
          </w:tcPr>
          <w:p w14:paraId="053FD7CA">
            <w:pPr>
              <w:spacing w:line="240" w:lineRule="auto"/>
              <w:ind w:firstLine="0" w:firstLineChars="0"/>
              <w:jc w:val="center"/>
              <w:rPr>
                <w:rFonts w:cs="Times New Roman"/>
                <w:sz w:val="21"/>
                <w:szCs w:val="21"/>
              </w:rPr>
            </w:pPr>
            <w:r>
              <w:rPr>
                <w:rFonts w:hint="eastAsia" w:eastAsia="仿宋"/>
                <w:color w:val="000000"/>
                <w:sz w:val="21"/>
                <w:szCs w:val="21"/>
              </w:rPr>
              <w:t>/</w:t>
            </w:r>
          </w:p>
        </w:tc>
        <w:tc>
          <w:tcPr>
            <w:tcW w:w="246" w:type="pct"/>
            <w:vAlign w:val="center"/>
          </w:tcPr>
          <w:p w14:paraId="7D460385">
            <w:pPr>
              <w:tabs>
                <w:tab w:val="left" w:pos="8789"/>
              </w:tabs>
              <w:spacing w:line="240" w:lineRule="auto"/>
              <w:ind w:firstLine="0" w:firstLineChars="0"/>
              <w:jc w:val="center"/>
              <w:rPr>
                <w:rFonts w:cs="Times New Roman"/>
                <w:sz w:val="21"/>
                <w:szCs w:val="21"/>
              </w:rPr>
            </w:pPr>
            <w:r>
              <w:rPr>
                <w:rFonts w:hint="eastAsia" w:eastAsia="仿宋"/>
                <w:color w:val="000000"/>
                <w:sz w:val="21"/>
                <w:szCs w:val="21"/>
              </w:rPr>
              <w:t>+L3</w:t>
            </w:r>
          </w:p>
        </w:tc>
        <w:tc>
          <w:tcPr>
            <w:tcW w:w="253" w:type="pct"/>
            <w:vAlign w:val="center"/>
          </w:tcPr>
          <w:p w14:paraId="02020CCA">
            <w:pPr>
              <w:tabs>
                <w:tab w:val="left" w:pos="8789"/>
              </w:tabs>
              <w:spacing w:line="240" w:lineRule="auto"/>
              <w:ind w:firstLine="0" w:firstLineChars="0"/>
              <w:jc w:val="center"/>
              <w:rPr>
                <w:rFonts w:cs="Times New Roman"/>
                <w:sz w:val="21"/>
                <w:szCs w:val="21"/>
              </w:rPr>
            </w:pPr>
            <w:r>
              <w:rPr>
                <w:rFonts w:hint="eastAsia" w:eastAsia="仿宋"/>
                <w:color w:val="000000"/>
                <w:sz w:val="21"/>
                <w:szCs w:val="21"/>
              </w:rPr>
              <w:t>+L3</w:t>
            </w:r>
          </w:p>
        </w:tc>
        <w:tc>
          <w:tcPr>
            <w:tcW w:w="257" w:type="pct"/>
            <w:vAlign w:val="center"/>
          </w:tcPr>
          <w:p w14:paraId="23B16472">
            <w:pPr>
              <w:tabs>
                <w:tab w:val="left" w:pos="8789"/>
              </w:tabs>
              <w:spacing w:line="240" w:lineRule="auto"/>
              <w:ind w:firstLine="0" w:firstLineChars="0"/>
              <w:jc w:val="center"/>
              <w:rPr>
                <w:rFonts w:cs="Times New Roman"/>
                <w:sz w:val="21"/>
                <w:szCs w:val="21"/>
              </w:rPr>
            </w:pPr>
            <w:r>
              <w:rPr>
                <w:rFonts w:hint="eastAsia" w:eastAsia="仿宋"/>
                <w:color w:val="000000"/>
                <w:sz w:val="21"/>
                <w:szCs w:val="21"/>
              </w:rPr>
              <w:t>+L3</w:t>
            </w:r>
          </w:p>
        </w:tc>
        <w:tc>
          <w:tcPr>
            <w:tcW w:w="221" w:type="pct"/>
            <w:vAlign w:val="center"/>
          </w:tcPr>
          <w:p w14:paraId="676732B2">
            <w:pPr>
              <w:tabs>
                <w:tab w:val="left" w:pos="8789"/>
              </w:tabs>
              <w:spacing w:line="240" w:lineRule="auto"/>
              <w:ind w:firstLine="0" w:firstLineChars="0"/>
              <w:jc w:val="center"/>
              <w:rPr>
                <w:rFonts w:eastAsia="仿宋"/>
                <w:color w:val="000000"/>
                <w:sz w:val="21"/>
                <w:szCs w:val="21"/>
              </w:rPr>
            </w:pPr>
            <w:r>
              <w:rPr>
                <w:rFonts w:hint="eastAsia" w:eastAsia="仿宋"/>
                <w:color w:val="000000"/>
                <w:sz w:val="21"/>
                <w:szCs w:val="21"/>
              </w:rPr>
              <w:t>/</w:t>
            </w:r>
          </w:p>
        </w:tc>
      </w:tr>
      <w:tr w14:paraId="0870D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restart"/>
            <w:vAlign w:val="center"/>
          </w:tcPr>
          <w:p w14:paraId="05B76660">
            <w:pPr>
              <w:tabs>
                <w:tab w:val="left" w:pos="8789"/>
              </w:tabs>
              <w:spacing w:line="240" w:lineRule="auto"/>
              <w:ind w:firstLine="0" w:firstLineChars="0"/>
              <w:jc w:val="center"/>
              <w:rPr>
                <w:rFonts w:cs="Times New Roman"/>
                <w:sz w:val="21"/>
                <w:szCs w:val="21"/>
              </w:rPr>
            </w:pPr>
            <w:r>
              <w:rPr>
                <w:rFonts w:hint="eastAsia" w:cs="Times New Roman"/>
                <w:sz w:val="21"/>
                <w:szCs w:val="21"/>
              </w:rPr>
              <w:t>生态</w:t>
            </w:r>
          </w:p>
          <w:p w14:paraId="67DF1391">
            <w:pPr>
              <w:tabs>
                <w:tab w:val="left" w:pos="8789"/>
              </w:tabs>
              <w:spacing w:line="240" w:lineRule="auto"/>
              <w:ind w:firstLine="0" w:firstLineChars="0"/>
              <w:jc w:val="center"/>
              <w:rPr>
                <w:rFonts w:cs="Times New Roman"/>
                <w:sz w:val="21"/>
                <w:szCs w:val="21"/>
              </w:rPr>
            </w:pPr>
            <w:r>
              <w:rPr>
                <w:rFonts w:hint="eastAsia" w:cs="Times New Roman"/>
                <w:sz w:val="21"/>
                <w:szCs w:val="21"/>
              </w:rPr>
              <w:t>建设</w:t>
            </w:r>
          </w:p>
        </w:tc>
        <w:tc>
          <w:tcPr>
            <w:tcW w:w="628" w:type="pct"/>
            <w:vAlign w:val="center"/>
          </w:tcPr>
          <w:p w14:paraId="73FE7F55">
            <w:pPr>
              <w:tabs>
                <w:tab w:val="left" w:pos="8789"/>
              </w:tabs>
              <w:spacing w:line="240" w:lineRule="auto"/>
              <w:ind w:firstLine="0" w:firstLineChars="0"/>
              <w:jc w:val="center"/>
              <w:rPr>
                <w:rFonts w:cs="Times New Roman"/>
                <w:sz w:val="21"/>
                <w:szCs w:val="21"/>
              </w:rPr>
            </w:pPr>
            <w:r>
              <w:rPr>
                <w:rFonts w:hint="eastAsia" w:cs="Times New Roman"/>
                <w:sz w:val="21"/>
                <w:szCs w:val="21"/>
              </w:rPr>
              <w:t>生态建设</w:t>
            </w:r>
          </w:p>
        </w:tc>
        <w:tc>
          <w:tcPr>
            <w:tcW w:w="239" w:type="pct"/>
            <w:vAlign w:val="center"/>
          </w:tcPr>
          <w:p w14:paraId="0567E209">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38" w:type="pct"/>
            <w:vAlign w:val="center"/>
          </w:tcPr>
          <w:p w14:paraId="7D571403">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39" w:type="pct"/>
            <w:vAlign w:val="center"/>
          </w:tcPr>
          <w:p w14:paraId="10A79F65">
            <w:pPr>
              <w:tabs>
                <w:tab w:val="left" w:pos="8789"/>
              </w:tabs>
              <w:spacing w:line="240" w:lineRule="auto"/>
              <w:ind w:firstLine="0" w:firstLineChars="0"/>
              <w:jc w:val="center"/>
              <w:rPr>
                <w:rFonts w:cs="Times New Roman"/>
                <w:sz w:val="21"/>
                <w:szCs w:val="21"/>
              </w:rPr>
            </w:pPr>
            <w:r>
              <w:rPr>
                <w:rFonts w:hint="eastAsia" w:eastAsia="仿宋"/>
                <w:color w:val="000000"/>
                <w:sz w:val="21"/>
                <w:szCs w:val="21"/>
              </w:rPr>
              <w:t>+L3</w:t>
            </w:r>
          </w:p>
        </w:tc>
        <w:tc>
          <w:tcPr>
            <w:tcW w:w="243" w:type="pct"/>
            <w:vAlign w:val="center"/>
          </w:tcPr>
          <w:p w14:paraId="099A932D">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0A0CE2A5">
            <w:pPr>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2B5F7762">
            <w:pPr>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0873C139">
            <w:pPr>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5BC85A48">
            <w:pPr>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303C6D4D">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8" w:type="pct"/>
            <w:vAlign w:val="center"/>
          </w:tcPr>
          <w:p w14:paraId="1939E117">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5C7CF915">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6" w:type="pct"/>
            <w:vAlign w:val="center"/>
          </w:tcPr>
          <w:p w14:paraId="416C90A4">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04" w:type="pct"/>
            <w:vAlign w:val="center"/>
          </w:tcPr>
          <w:p w14:paraId="7CF5C0A3">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6" w:type="pct"/>
            <w:vAlign w:val="center"/>
          </w:tcPr>
          <w:p w14:paraId="7AEC1DFB">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53" w:type="pct"/>
            <w:vAlign w:val="center"/>
          </w:tcPr>
          <w:p w14:paraId="4F470E42">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57" w:type="pct"/>
            <w:vAlign w:val="center"/>
          </w:tcPr>
          <w:p w14:paraId="73FADF5A">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21" w:type="pct"/>
            <w:vAlign w:val="center"/>
          </w:tcPr>
          <w:p w14:paraId="7A5776AE">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r>
      <w:tr w14:paraId="4D081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continue"/>
            <w:vAlign w:val="center"/>
          </w:tcPr>
          <w:p w14:paraId="6CB9E5FB">
            <w:pPr>
              <w:tabs>
                <w:tab w:val="left" w:pos="8789"/>
              </w:tabs>
              <w:spacing w:line="240" w:lineRule="auto"/>
              <w:ind w:firstLine="0" w:firstLineChars="0"/>
              <w:jc w:val="center"/>
              <w:rPr>
                <w:rFonts w:cs="Times New Roman"/>
                <w:sz w:val="21"/>
                <w:szCs w:val="21"/>
              </w:rPr>
            </w:pPr>
          </w:p>
        </w:tc>
        <w:tc>
          <w:tcPr>
            <w:tcW w:w="628" w:type="pct"/>
            <w:vAlign w:val="center"/>
          </w:tcPr>
          <w:p w14:paraId="32B8C206">
            <w:pPr>
              <w:tabs>
                <w:tab w:val="left" w:pos="8789"/>
              </w:tabs>
              <w:spacing w:line="240" w:lineRule="auto"/>
              <w:ind w:firstLine="0" w:firstLineChars="0"/>
              <w:jc w:val="center"/>
              <w:rPr>
                <w:rFonts w:cs="Times New Roman"/>
                <w:sz w:val="21"/>
                <w:szCs w:val="21"/>
              </w:rPr>
            </w:pPr>
            <w:r>
              <w:rPr>
                <w:rFonts w:hint="eastAsia" w:cs="Times New Roman"/>
                <w:sz w:val="21"/>
                <w:szCs w:val="21"/>
              </w:rPr>
              <w:t>绿化建设</w:t>
            </w:r>
          </w:p>
        </w:tc>
        <w:tc>
          <w:tcPr>
            <w:tcW w:w="239" w:type="pct"/>
            <w:vAlign w:val="center"/>
          </w:tcPr>
          <w:p w14:paraId="74F8331F">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38" w:type="pct"/>
            <w:vAlign w:val="center"/>
          </w:tcPr>
          <w:p w14:paraId="70CE2F62">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39" w:type="pct"/>
            <w:vAlign w:val="center"/>
          </w:tcPr>
          <w:p w14:paraId="30FCBE02">
            <w:pPr>
              <w:tabs>
                <w:tab w:val="left" w:pos="8789"/>
              </w:tabs>
              <w:spacing w:line="240" w:lineRule="auto"/>
              <w:ind w:firstLine="0" w:firstLineChars="0"/>
              <w:jc w:val="center"/>
              <w:rPr>
                <w:rFonts w:cs="Times New Roman"/>
                <w:sz w:val="21"/>
                <w:szCs w:val="21"/>
              </w:rPr>
            </w:pPr>
            <w:r>
              <w:rPr>
                <w:rFonts w:hint="eastAsia" w:eastAsia="仿宋"/>
                <w:color w:val="000000"/>
                <w:sz w:val="21"/>
                <w:szCs w:val="21"/>
              </w:rPr>
              <w:t>+L3</w:t>
            </w:r>
          </w:p>
        </w:tc>
        <w:tc>
          <w:tcPr>
            <w:tcW w:w="243" w:type="pct"/>
            <w:vAlign w:val="center"/>
          </w:tcPr>
          <w:p w14:paraId="6B1232DB">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3435FD7C">
            <w:pPr>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164A56B1">
            <w:pPr>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3CEC7335">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560C86DA">
            <w:pPr>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399E47CA">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8" w:type="pct"/>
            <w:vAlign w:val="center"/>
          </w:tcPr>
          <w:p w14:paraId="0834EE1F">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719FD7A7">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6" w:type="pct"/>
            <w:vAlign w:val="center"/>
          </w:tcPr>
          <w:p w14:paraId="1C210AF2">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04" w:type="pct"/>
            <w:vAlign w:val="center"/>
          </w:tcPr>
          <w:p w14:paraId="3AADA155">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6" w:type="pct"/>
            <w:vAlign w:val="center"/>
          </w:tcPr>
          <w:p w14:paraId="3213154B">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53" w:type="pct"/>
            <w:vAlign w:val="center"/>
          </w:tcPr>
          <w:p w14:paraId="2124A8CD">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57" w:type="pct"/>
            <w:vAlign w:val="center"/>
          </w:tcPr>
          <w:p w14:paraId="166C900D">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21" w:type="pct"/>
            <w:vAlign w:val="center"/>
          </w:tcPr>
          <w:p w14:paraId="5DDEF273">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r>
      <w:tr w14:paraId="280A3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continue"/>
            <w:vAlign w:val="center"/>
          </w:tcPr>
          <w:p w14:paraId="4AF3D362">
            <w:pPr>
              <w:tabs>
                <w:tab w:val="left" w:pos="8789"/>
              </w:tabs>
              <w:spacing w:line="240" w:lineRule="auto"/>
              <w:ind w:firstLine="0" w:firstLineChars="0"/>
              <w:jc w:val="center"/>
              <w:rPr>
                <w:rFonts w:cs="Times New Roman"/>
                <w:sz w:val="21"/>
                <w:szCs w:val="21"/>
              </w:rPr>
            </w:pPr>
          </w:p>
        </w:tc>
        <w:tc>
          <w:tcPr>
            <w:tcW w:w="628" w:type="pct"/>
            <w:vAlign w:val="center"/>
          </w:tcPr>
          <w:p w14:paraId="07013876">
            <w:pPr>
              <w:tabs>
                <w:tab w:val="left" w:pos="8789"/>
              </w:tabs>
              <w:spacing w:line="240" w:lineRule="auto"/>
              <w:ind w:firstLine="0" w:firstLineChars="0"/>
              <w:jc w:val="center"/>
              <w:rPr>
                <w:rFonts w:cs="Times New Roman"/>
                <w:sz w:val="21"/>
                <w:szCs w:val="21"/>
              </w:rPr>
            </w:pPr>
            <w:r>
              <w:rPr>
                <w:rFonts w:hint="eastAsia" w:cs="Times New Roman"/>
                <w:sz w:val="21"/>
                <w:szCs w:val="21"/>
              </w:rPr>
              <w:t>环境保护</w:t>
            </w:r>
          </w:p>
        </w:tc>
        <w:tc>
          <w:tcPr>
            <w:tcW w:w="239" w:type="pct"/>
            <w:vAlign w:val="center"/>
          </w:tcPr>
          <w:p w14:paraId="54DFC2E2">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38" w:type="pct"/>
            <w:vAlign w:val="center"/>
          </w:tcPr>
          <w:p w14:paraId="274444E6">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39" w:type="pct"/>
            <w:vAlign w:val="center"/>
          </w:tcPr>
          <w:p w14:paraId="0113FB82">
            <w:pPr>
              <w:tabs>
                <w:tab w:val="left" w:pos="8789"/>
              </w:tabs>
              <w:spacing w:line="240" w:lineRule="auto"/>
              <w:ind w:firstLine="0" w:firstLineChars="0"/>
              <w:jc w:val="center"/>
              <w:rPr>
                <w:rFonts w:cs="Times New Roman"/>
                <w:sz w:val="21"/>
                <w:szCs w:val="21"/>
              </w:rPr>
            </w:pPr>
            <w:r>
              <w:rPr>
                <w:rFonts w:hint="eastAsia" w:eastAsia="仿宋"/>
                <w:color w:val="000000"/>
                <w:sz w:val="21"/>
                <w:szCs w:val="21"/>
              </w:rPr>
              <w:t>+L3</w:t>
            </w:r>
          </w:p>
        </w:tc>
        <w:tc>
          <w:tcPr>
            <w:tcW w:w="243" w:type="pct"/>
            <w:vAlign w:val="center"/>
          </w:tcPr>
          <w:p w14:paraId="76A4566E">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1994C09C">
            <w:pPr>
              <w:spacing w:line="240" w:lineRule="auto"/>
              <w:ind w:firstLine="0" w:firstLineChars="0"/>
              <w:jc w:val="center"/>
              <w:rPr>
                <w:rFonts w:cs="Times New Roman"/>
                <w:sz w:val="21"/>
                <w:szCs w:val="21"/>
              </w:rPr>
            </w:pPr>
            <w:r>
              <w:rPr>
                <w:rFonts w:hint="eastAsia" w:cs="Times New Roman"/>
                <w:sz w:val="21"/>
                <w:szCs w:val="21"/>
              </w:rPr>
              <w:t>+L3</w:t>
            </w:r>
          </w:p>
        </w:tc>
        <w:tc>
          <w:tcPr>
            <w:tcW w:w="245" w:type="pct"/>
            <w:vAlign w:val="center"/>
          </w:tcPr>
          <w:p w14:paraId="7AADEF6B">
            <w:pPr>
              <w:spacing w:line="240" w:lineRule="auto"/>
              <w:ind w:firstLine="0" w:firstLineChars="0"/>
              <w:jc w:val="center"/>
              <w:rPr>
                <w:rFonts w:cs="Times New Roman"/>
                <w:sz w:val="21"/>
                <w:szCs w:val="21"/>
              </w:rPr>
            </w:pPr>
            <w:r>
              <w:rPr>
                <w:rFonts w:hint="eastAsia" w:cs="Times New Roman"/>
                <w:sz w:val="21"/>
                <w:szCs w:val="21"/>
              </w:rPr>
              <w:t>+L3</w:t>
            </w:r>
          </w:p>
        </w:tc>
        <w:tc>
          <w:tcPr>
            <w:tcW w:w="245" w:type="pct"/>
            <w:vAlign w:val="center"/>
          </w:tcPr>
          <w:p w14:paraId="7DC6D866">
            <w:pPr>
              <w:spacing w:line="240" w:lineRule="auto"/>
              <w:ind w:firstLine="0" w:firstLineChars="0"/>
              <w:jc w:val="center"/>
              <w:rPr>
                <w:rFonts w:cs="Times New Roman"/>
                <w:sz w:val="21"/>
                <w:szCs w:val="21"/>
              </w:rPr>
            </w:pPr>
            <w:r>
              <w:rPr>
                <w:rFonts w:hint="eastAsia" w:cs="Times New Roman"/>
                <w:sz w:val="21"/>
                <w:szCs w:val="21"/>
              </w:rPr>
              <w:t>+L3</w:t>
            </w:r>
          </w:p>
        </w:tc>
        <w:tc>
          <w:tcPr>
            <w:tcW w:w="245" w:type="pct"/>
            <w:vAlign w:val="center"/>
          </w:tcPr>
          <w:p w14:paraId="5068BD0F">
            <w:pPr>
              <w:spacing w:line="240" w:lineRule="auto"/>
              <w:ind w:firstLine="0" w:firstLineChars="0"/>
              <w:jc w:val="center"/>
              <w:rPr>
                <w:rFonts w:cs="Times New Roman"/>
                <w:sz w:val="21"/>
                <w:szCs w:val="21"/>
              </w:rPr>
            </w:pPr>
            <w:r>
              <w:rPr>
                <w:rFonts w:hint="eastAsia" w:cs="Times New Roman"/>
                <w:sz w:val="21"/>
                <w:szCs w:val="21"/>
              </w:rPr>
              <w:t>+L3</w:t>
            </w:r>
          </w:p>
        </w:tc>
        <w:tc>
          <w:tcPr>
            <w:tcW w:w="245" w:type="pct"/>
            <w:vAlign w:val="center"/>
          </w:tcPr>
          <w:p w14:paraId="5D29D9F7">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8" w:type="pct"/>
            <w:vAlign w:val="center"/>
          </w:tcPr>
          <w:p w14:paraId="299BB9B0">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5" w:type="pct"/>
            <w:vAlign w:val="center"/>
          </w:tcPr>
          <w:p w14:paraId="562F706D">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6" w:type="pct"/>
            <w:vAlign w:val="center"/>
          </w:tcPr>
          <w:p w14:paraId="74F8D71E">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04" w:type="pct"/>
            <w:vAlign w:val="center"/>
          </w:tcPr>
          <w:p w14:paraId="09618BB8">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6" w:type="pct"/>
            <w:vAlign w:val="center"/>
          </w:tcPr>
          <w:p w14:paraId="7E39C205">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53" w:type="pct"/>
            <w:vAlign w:val="center"/>
          </w:tcPr>
          <w:p w14:paraId="08D53228">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57" w:type="pct"/>
            <w:vAlign w:val="center"/>
          </w:tcPr>
          <w:p w14:paraId="75F1D137">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21" w:type="pct"/>
            <w:vAlign w:val="center"/>
          </w:tcPr>
          <w:p w14:paraId="58F41D05">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r>
      <w:tr w14:paraId="0A52D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restart"/>
            <w:vAlign w:val="center"/>
          </w:tcPr>
          <w:p w14:paraId="2A86BA2F">
            <w:pPr>
              <w:tabs>
                <w:tab w:val="left" w:pos="8789"/>
              </w:tabs>
              <w:spacing w:line="240" w:lineRule="auto"/>
              <w:ind w:firstLine="0" w:firstLineChars="0"/>
              <w:jc w:val="center"/>
              <w:rPr>
                <w:rFonts w:cs="Times New Roman"/>
                <w:sz w:val="21"/>
                <w:szCs w:val="21"/>
              </w:rPr>
            </w:pPr>
            <w:r>
              <w:rPr>
                <w:rFonts w:hint="eastAsia" w:cs="Times New Roman"/>
                <w:sz w:val="21"/>
                <w:szCs w:val="21"/>
              </w:rPr>
              <w:t>综合</w:t>
            </w:r>
          </w:p>
          <w:p w14:paraId="0DA168FB">
            <w:pPr>
              <w:tabs>
                <w:tab w:val="left" w:pos="8789"/>
              </w:tabs>
              <w:spacing w:line="240" w:lineRule="auto"/>
              <w:ind w:firstLine="0" w:firstLineChars="0"/>
              <w:jc w:val="center"/>
              <w:rPr>
                <w:rFonts w:cs="Times New Roman"/>
                <w:sz w:val="21"/>
                <w:szCs w:val="21"/>
              </w:rPr>
            </w:pPr>
            <w:r>
              <w:rPr>
                <w:rFonts w:hint="eastAsia" w:cs="Times New Roman"/>
                <w:sz w:val="21"/>
                <w:szCs w:val="21"/>
              </w:rPr>
              <w:t>交通</w:t>
            </w:r>
          </w:p>
        </w:tc>
        <w:tc>
          <w:tcPr>
            <w:tcW w:w="628" w:type="pct"/>
            <w:vAlign w:val="center"/>
          </w:tcPr>
          <w:p w14:paraId="044518BD">
            <w:pPr>
              <w:tabs>
                <w:tab w:val="left" w:pos="8789"/>
              </w:tabs>
              <w:spacing w:line="240" w:lineRule="auto"/>
              <w:ind w:firstLine="0" w:firstLineChars="0"/>
              <w:jc w:val="center"/>
              <w:rPr>
                <w:rFonts w:cs="Times New Roman"/>
                <w:sz w:val="21"/>
                <w:szCs w:val="21"/>
              </w:rPr>
            </w:pPr>
            <w:r>
              <w:rPr>
                <w:rFonts w:hint="eastAsia" w:cs="Times New Roman"/>
                <w:sz w:val="21"/>
                <w:szCs w:val="21"/>
              </w:rPr>
              <w:t>城市道路</w:t>
            </w:r>
          </w:p>
        </w:tc>
        <w:tc>
          <w:tcPr>
            <w:tcW w:w="239" w:type="pct"/>
            <w:vAlign w:val="center"/>
          </w:tcPr>
          <w:p w14:paraId="69D2BCEF">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38" w:type="pct"/>
            <w:vAlign w:val="center"/>
          </w:tcPr>
          <w:p w14:paraId="54A71874">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39" w:type="pct"/>
            <w:vAlign w:val="center"/>
          </w:tcPr>
          <w:p w14:paraId="29620F1B">
            <w:pPr>
              <w:tabs>
                <w:tab w:val="left" w:pos="8789"/>
              </w:tabs>
              <w:spacing w:line="240" w:lineRule="auto"/>
              <w:ind w:firstLine="0" w:firstLineChars="0"/>
              <w:jc w:val="center"/>
              <w:rPr>
                <w:rFonts w:cs="Times New Roman"/>
                <w:sz w:val="21"/>
                <w:szCs w:val="21"/>
              </w:rPr>
            </w:pPr>
            <w:r>
              <w:rPr>
                <w:rFonts w:hint="eastAsia" w:eastAsia="仿宋"/>
                <w:color w:val="000000"/>
                <w:sz w:val="21"/>
                <w:szCs w:val="21"/>
              </w:rPr>
              <w:t>+L3</w:t>
            </w:r>
          </w:p>
        </w:tc>
        <w:tc>
          <w:tcPr>
            <w:tcW w:w="243" w:type="pct"/>
            <w:vAlign w:val="center"/>
          </w:tcPr>
          <w:p w14:paraId="31EA470A">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03B4285F">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317D80E8">
            <w:pPr>
              <w:tabs>
                <w:tab w:val="left" w:pos="8789"/>
              </w:tabs>
              <w:spacing w:line="240" w:lineRule="auto"/>
              <w:ind w:firstLine="0" w:firstLineChars="0"/>
              <w:jc w:val="center"/>
              <w:rPr>
                <w:rFonts w:cs="Times New Roman"/>
                <w:sz w:val="21"/>
                <w:szCs w:val="21"/>
              </w:rPr>
            </w:pPr>
            <w:r>
              <w:rPr>
                <w:rFonts w:hint="eastAsia" w:cs="Times New Roman"/>
                <w:sz w:val="21"/>
                <w:szCs w:val="21"/>
              </w:rPr>
              <w:t>-S1</w:t>
            </w:r>
          </w:p>
        </w:tc>
        <w:tc>
          <w:tcPr>
            <w:tcW w:w="245" w:type="pct"/>
            <w:vAlign w:val="center"/>
          </w:tcPr>
          <w:p w14:paraId="36C70731">
            <w:pPr>
              <w:tabs>
                <w:tab w:val="left" w:pos="8789"/>
              </w:tabs>
              <w:spacing w:line="240" w:lineRule="auto"/>
              <w:ind w:firstLine="0" w:firstLineChars="0"/>
              <w:jc w:val="center"/>
              <w:rPr>
                <w:rFonts w:cs="Times New Roman"/>
                <w:sz w:val="21"/>
                <w:szCs w:val="21"/>
              </w:rPr>
            </w:pPr>
            <w:r>
              <w:rPr>
                <w:rFonts w:hint="eastAsia" w:cs="Times New Roman"/>
                <w:sz w:val="21"/>
                <w:szCs w:val="21"/>
              </w:rPr>
              <w:t>-S1</w:t>
            </w:r>
          </w:p>
        </w:tc>
        <w:tc>
          <w:tcPr>
            <w:tcW w:w="245" w:type="pct"/>
            <w:vAlign w:val="center"/>
          </w:tcPr>
          <w:p w14:paraId="0C6BC483">
            <w:pPr>
              <w:tabs>
                <w:tab w:val="left" w:pos="8789"/>
              </w:tabs>
              <w:spacing w:line="240" w:lineRule="auto"/>
              <w:ind w:firstLine="0" w:firstLineChars="0"/>
              <w:jc w:val="center"/>
              <w:rPr>
                <w:rFonts w:cs="Times New Roman"/>
                <w:sz w:val="21"/>
                <w:szCs w:val="21"/>
              </w:rPr>
            </w:pPr>
            <w:r>
              <w:rPr>
                <w:rFonts w:hint="eastAsia" w:cs="Times New Roman"/>
                <w:sz w:val="21"/>
                <w:szCs w:val="21"/>
              </w:rPr>
              <w:t>-S1</w:t>
            </w:r>
          </w:p>
        </w:tc>
        <w:tc>
          <w:tcPr>
            <w:tcW w:w="245" w:type="pct"/>
            <w:vAlign w:val="center"/>
          </w:tcPr>
          <w:p w14:paraId="1D5E83AC">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8" w:type="pct"/>
            <w:vAlign w:val="center"/>
          </w:tcPr>
          <w:p w14:paraId="4DEE2C29">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4520F018">
            <w:pPr>
              <w:tabs>
                <w:tab w:val="left" w:pos="8789"/>
              </w:tabs>
              <w:spacing w:line="240" w:lineRule="auto"/>
              <w:ind w:firstLine="0" w:firstLineChars="0"/>
              <w:jc w:val="center"/>
              <w:rPr>
                <w:rFonts w:cs="Times New Roman"/>
                <w:sz w:val="21"/>
                <w:szCs w:val="21"/>
              </w:rPr>
            </w:pPr>
            <w:r>
              <w:rPr>
                <w:rFonts w:hint="eastAsia" w:cs="Times New Roman"/>
                <w:sz w:val="21"/>
                <w:szCs w:val="21"/>
              </w:rPr>
              <w:t>-S1</w:t>
            </w:r>
          </w:p>
        </w:tc>
        <w:tc>
          <w:tcPr>
            <w:tcW w:w="246" w:type="pct"/>
            <w:vAlign w:val="center"/>
          </w:tcPr>
          <w:p w14:paraId="1BA7A256">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04" w:type="pct"/>
            <w:vAlign w:val="center"/>
          </w:tcPr>
          <w:p w14:paraId="090B7A03">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6" w:type="pct"/>
            <w:vAlign w:val="center"/>
          </w:tcPr>
          <w:p w14:paraId="1854847B">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53" w:type="pct"/>
            <w:vAlign w:val="center"/>
          </w:tcPr>
          <w:p w14:paraId="7D6B2FC8">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57" w:type="pct"/>
            <w:vAlign w:val="center"/>
          </w:tcPr>
          <w:p w14:paraId="14150857">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21" w:type="pct"/>
            <w:vAlign w:val="center"/>
          </w:tcPr>
          <w:p w14:paraId="05EDAEAD">
            <w:pPr>
              <w:tabs>
                <w:tab w:val="left" w:pos="8789"/>
              </w:tabs>
              <w:spacing w:line="240" w:lineRule="auto"/>
              <w:ind w:firstLine="0" w:firstLineChars="0"/>
              <w:jc w:val="center"/>
              <w:rPr>
                <w:rFonts w:cs="Times New Roman"/>
                <w:sz w:val="21"/>
                <w:szCs w:val="21"/>
              </w:rPr>
            </w:pPr>
          </w:p>
        </w:tc>
      </w:tr>
      <w:tr w14:paraId="74CD4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continue"/>
            <w:vAlign w:val="center"/>
          </w:tcPr>
          <w:p w14:paraId="272B9D5E">
            <w:pPr>
              <w:tabs>
                <w:tab w:val="left" w:pos="8789"/>
              </w:tabs>
              <w:spacing w:line="240" w:lineRule="auto"/>
              <w:ind w:firstLine="0" w:firstLineChars="0"/>
              <w:jc w:val="center"/>
              <w:rPr>
                <w:rFonts w:cs="Times New Roman"/>
                <w:sz w:val="21"/>
                <w:szCs w:val="21"/>
              </w:rPr>
            </w:pPr>
          </w:p>
        </w:tc>
        <w:tc>
          <w:tcPr>
            <w:tcW w:w="628" w:type="pct"/>
            <w:vAlign w:val="center"/>
          </w:tcPr>
          <w:p w14:paraId="4F40F6F7">
            <w:pPr>
              <w:tabs>
                <w:tab w:val="left" w:pos="8789"/>
              </w:tabs>
              <w:spacing w:line="240" w:lineRule="auto"/>
              <w:ind w:firstLine="0" w:firstLineChars="0"/>
              <w:jc w:val="center"/>
              <w:rPr>
                <w:rFonts w:cs="Times New Roman"/>
                <w:sz w:val="21"/>
                <w:szCs w:val="21"/>
              </w:rPr>
            </w:pPr>
            <w:r>
              <w:rPr>
                <w:rFonts w:hint="eastAsia" w:cs="Times New Roman"/>
                <w:sz w:val="21"/>
                <w:szCs w:val="21"/>
              </w:rPr>
              <w:t>公共交通</w:t>
            </w:r>
          </w:p>
        </w:tc>
        <w:tc>
          <w:tcPr>
            <w:tcW w:w="239" w:type="pct"/>
            <w:vAlign w:val="center"/>
          </w:tcPr>
          <w:p w14:paraId="0A4F3714">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38" w:type="pct"/>
            <w:vAlign w:val="center"/>
          </w:tcPr>
          <w:p w14:paraId="1C00A979">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39" w:type="pct"/>
            <w:vAlign w:val="center"/>
          </w:tcPr>
          <w:p w14:paraId="60724B11">
            <w:pPr>
              <w:tabs>
                <w:tab w:val="left" w:pos="8789"/>
              </w:tabs>
              <w:spacing w:line="240" w:lineRule="auto"/>
              <w:ind w:firstLine="0" w:firstLineChars="0"/>
              <w:jc w:val="center"/>
              <w:rPr>
                <w:rFonts w:cs="Times New Roman"/>
                <w:sz w:val="21"/>
                <w:szCs w:val="21"/>
              </w:rPr>
            </w:pPr>
            <w:r>
              <w:rPr>
                <w:rFonts w:hint="eastAsia" w:eastAsia="仿宋"/>
                <w:color w:val="000000"/>
                <w:sz w:val="21"/>
                <w:szCs w:val="21"/>
              </w:rPr>
              <w:t>+L3</w:t>
            </w:r>
          </w:p>
        </w:tc>
        <w:tc>
          <w:tcPr>
            <w:tcW w:w="243" w:type="pct"/>
            <w:vAlign w:val="center"/>
          </w:tcPr>
          <w:p w14:paraId="1BB6A94A">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498934C1">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2FB9A4C9">
            <w:pPr>
              <w:tabs>
                <w:tab w:val="left" w:pos="8789"/>
              </w:tabs>
              <w:spacing w:line="240" w:lineRule="auto"/>
              <w:ind w:firstLine="0" w:firstLineChars="0"/>
              <w:jc w:val="center"/>
              <w:rPr>
                <w:rFonts w:cs="Times New Roman"/>
                <w:sz w:val="21"/>
                <w:szCs w:val="21"/>
              </w:rPr>
            </w:pPr>
            <w:r>
              <w:rPr>
                <w:rFonts w:hint="eastAsia" w:cs="Times New Roman"/>
                <w:sz w:val="21"/>
                <w:szCs w:val="21"/>
              </w:rPr>
              <w:t>-S1</w:t>
            </w:r>
          </w:p>
        </w:tc>
        <w:tc>
          <w:tcPr>
            <w:tcW w:w="245" w:type="pct"/>
            <w:vAlign w:val="center"/>
          </w:tcPr>
          <w:p w14:paraId="7FF3703B">
            <w:pPr>
              <w:tabs>
                <w:tab w:val="left" w:pos="8789"/>
              </w:tabs>
              <w:spacing w:line="240" w:lineRule="auto"/>
              <w:ind w:firstLine="0" w:firstLineChars="0"/>
              <w:jc w:val="center"/>
              <w:rPr>
                <w:rFonts w:cs="Times New Roman"/>
                <w:sz w:val="21"/>
                <w:szCs w:val="21"/>
              </w:rPr>
            </w:pPr>
            <w:r>
              <w:rPr>
                <w:rFonts w:hint="eastAsia" w:cs="Times New Roman"/>
                <w:sz w:val="21"/>
                <w:szCs w:val="21"/>
              </w:rPr>
              <w:t>-S1</w:t>
            </w:r>
          </w:p>
        </w:tc>
        <w:tc>
          <w:tcPr>
            <w:tcW w:w="245" w:type="pct"/>
            <w:vAlign w:val="center"/>
          </w:tcPr>
          <w:p w14:paraId="392596FF">
            <w:pPr>
              <w:tabs>
                <w:tab w:val="left" w:pos="8789"/>
              </w:tabs>
              <w:spacing w:line="240" w:lineRule="auto"/>
              <w:ind w:firstLine="0" w:firstLineChars="0"/>
              <w:jc w:val="center"/>
              <w:rPr>
                <w:rFonts w:cs="Times New Roman"/>
                <w:sz w:val="21"/>
                <w:szCs w:val="21"/>
              </w:rPr>
            </w:pPr>
            <w:r>
              <w:rPr>
                <w:rFonts w:hint="eastAsia" w:cs="Times New Roman"/>
                <w:sz w:val="21"/>
                <w:szCs w:val="21"/>
              </w:rPr>
              <w:t>-S1</w:t>
            </w:r>
          </w:p>
        </w:tc>
        <w:tc>
          <w:tcPr>
            <w:tcW w:w="245" w:type="pct"/>
            <w:vAlign w:val="center"/>
          </w:tcPr>
          <w:p w14:paraId="721E8F5F">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8" w:type="pct"/>
            <w:vAlign w:val="center"/>
          </w:tcPr>
          <w:p w14:paraId="196F2E71">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59557380">
            <w:pPr>
              <w:tabs>
                <w:tab w:val="left" w:pos="8789"/>
              </w:tabs>
              <w:spacing w:line="240" w:lineRule="auto"/>
              <w:ind w:firstLine="0" w:firstLineChars="0"/>
              <w:jc w:val="center"/>
              <w:rPr>
                <w:rFonts w:cs="Times New Roman"/>
                <w:sz w:val="21"/>
                <w:szCs w:val="21"/>
              </w:rPr>
            </w:pPr>
            <w:r>
              <w:rPr>
                <w:rFonts w:hint="eastAsia" w:cs="Times New Roman"/>
                <w:sz w:val="21"/>
                <w:szCs w:val="21"/>
              </w:rPr>
              <w:t>-S1</w:t>
            </w:r>
          </w:p>
        </w:tc>
        <w:tc>
          <w:tcPr>
            <w:tcW w:w="246" w:type="pct"/>
            <w:vAlign w:val="center"/>
          </w:tcPr>
          <w:p w14:paraId="3E3CD628">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04" w:type="pct"/>
            <w:vAlign w:val="center"/>
          </w:tcPr>
          <w:p w14:paraId="3EF0A282">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6" w:type="pct"/>
            <w:vAlign w:val="center"/>
          </w:tcPr>
          <w:p w14:paraId="3097373C">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53" w:type="pct"/>
            <w:vAlign w:val="center"/>
          </w:tcPr>
          <w:p w14:paraId="342EC2C1">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57" w:type="pct"/>
            <w:vAlign w:val="center"/>
          </w:tcPr>
          <w:p w14:paraId="00F2244F">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21" w:type="pct"/>
            <w:vAlign w:val="center"/>
          </w:tcPr>
          <w:p w14:paraId="64679508">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r>
      <w:tr w14:paraId="1B2FA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restart"/>
            <w:vAlign w:val="center"/>
          </w:tcPr>
          <w:p w14:paraId="01FB8C03">
            <w:pPr>
              <w:tabs>
                <w:tab w:val="left" w:pos="8789"/>
              </w:tabs>
              <w:spacing w:line="240" w:lineRule="auto"/>
              <w:ind w:firstLine="0" w:firstLineChars="0"/>
              <w:jc w:val="center"/>
              <w:rPr>
                <w:rFonts w:cs="Times New Roman"/>
                <w:sz w:val="21"/>
                <w:szCs w:val="21"/>
              </w:rPr>
            </w:pPr>
            <w:r>
              <w:rPr>
                <w:rFonts w:hint="eastAsia" w:cs="Times New Roman"/>
                <w:sz w:val="21"/>
                <w:szCs w:val="21"/>
              </w:rPr>
              <w:t>基础</w:t>
            </w:r>
          </w:p>
          <w:p w14:paraId="2A370DF5">
            <w:pPr>
              <w:tabs>
                <w:tab w:val="left" w:pos="8789"/>
              </w:tabs>
              <w:spacing w:line="240" w:lineRule="auto"/>
              <w:ind w:firstLine="0" w:firstLineChars="0"/>
              <w:jc w:val="center"/>
              <w:rPr>
                <w:rFonts w:cs="Times New Roman"/>
                <w:sz w:val="21"/>
                <w:szCs w:val="21"/>
              </w:rPr>
            </w:pPr>
            <w:r>
              <w:rPr>
                <w:rFonts w:hint="eastAsia" w:cs="Times New Roman"/>
                <w:sz w:val="21"/>
                <w:szCs w:val="21"/>
              </w:rPr>
              <w:t>设施</w:t>
            </w:r>
          </w:p>
        </w:tc>
        <w:tc>
          <w:tcPr>
            <w:tcW w:w="628" w:type="pct"/>
            <w:vAlign w:val="center"/>
          </w:tcPr>
          <w:p w14:paraId="1D1F32B2">
            <w:pPr>
              <w:tabs>
                <w:tab w:val="left" w:pos="8789"/>
              </w:tabs>
              <w:spacing w:line="240" w:lineRule="auto"/>
              <w:ind w:firstLine="0" w:firstLineChars="0"/>
              <w:jc w:val="center"/>
              <w:rPr>
                <w:rFonts w:cs="Times New Roman"/>
                <w:sz w:val="21"/>
                <w:szCs w:val="21"/>
              </w:rPr>
            </w:pPr>
            <w:r>
              <w:rPr>
                <w:rFonts w:hint="eastAsia" w:cs="Times New Roman"/>
                <w:sz w:val="21"/>
                <w:szCs w:val="21"/>
              </w:rPr>
              <w:t>供水设施</w:t>
            </w:r>
          </w:p>
        </w:tc>
        <w:tc>
          <w:tcPr>
            <w:tcW w:w="239" w:type="pct"/>
            <w:vAlign w:val="center"/>
          </w:tcPr>
          <w:p w14:paraId="50E8941B">
            <w:pPr>
              <w:tabs>
                <w:tab w:val="left" w:pos="8789"/>
              </w:tabs>
              <w:spacing w:line="240" w:lineRule="auto"/>
              <w:ind w:firstLine="0" w:firstLineChars="0"/>
              <w:jc w:val="center"/>
              <w:rPr>
                <w:rFonts w:cs="Times New Roman"/>
                <w:sz w:val="21"/>
                <w:szCs w:val="21"/>
              </w:rPr>
            </w:pPr>
            <w:r>
              <w:rPr>
                <w:rFonts w:hint="eastAsia" w:cs="Times New Roman"/>
                <w:sz w:val="21"/>
                <w:szCs w:val="21"/>
              </w:rPr>
              <w:t>-S1</w:t>
            </w:r>
          </w:p>
        </w:tc>
        <w:tc>
          <w:tcPr>
            <w:tcW w:w="238" w:type="pct"/>
            <w:vAlign w:val="center"/>
          </w:tcPr>
          <w:p w14:paraId="0586A78E">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39" w:type="pct"/>
            <w:vAlign w:val="center"/>
          </w:tcPr>
          <w:p w14:paraId="19D69A9A">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3" w:type="pct"/>
            <w:vAlign w:val="center"/>
          </w:tcPr>
          <w:p w14:paraId="58F5B945">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65D1762A">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2FAF0AE4">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69419A4D">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14C97522">
            <w:pPr>
              <w:tabs>
                <w:tab w:val="left" w:pos="8789"/>
              </w:tabs>
              <w:spacing w:line="240" w:lineRule="auto"/>
              <w:ind w:firstLine="0" w:firstLineChars="0"/>
              <w:jc w:val="center"/>
              <w:rPr>
                <w:rFonts w:cs="Times New Roman"/>
                <w:sz w:val="21"/>
                <w:szCs w:val="21"/>
              </w:rPr>
            </w:pPr>
            <w:r>
              <w:rPr>
                <w:rFonts w:hint="eastAsia" w:cs="Times New Roman"/>
                <w:sz w:val="21"/>
                <w:szCs w:val="21"/>
              </w:rPr>
              <w:t>+L1</w:t>
            </w:r>
          </w:p>
        </w:tc>
        <w:tc>
          <w:tcPr>
            <w:tcW w:w="245" w:type="pct"/>
            <w:vAlign w:val="center"/>
          </w:tcPr>
          <w:p w14:paraId="0F9F682E">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8" w:type="pct"/>
            <w:vAlign w:val="center"/>
          </w:tcPr>
          <w:p w14:paraId="716C637B">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66315D6B">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6" w:type="pct"/>
            <w:vAlign w:val="center"/>
          </w:tcPr>
          <w:p w14:paraId="0ED9B5E7">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04" w:type="pct"/>
            <w:vAlign w:val="center"/>
          </w:tcPr>
          <w:p w14:paraId="51242533">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6" w:type="pct"/>
            <w:vAlign w:val="center"/>
          </w:tcPr>
          <w:p w14:paraId="72B3FDE6">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53" w:type="pct"/>
            <w:vAlign w:val="center"/>
          </w:tcPr>
          <w:p w14:paraId="7E2061BA">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57" w:type="pct"/>
            <w:vAlign w:val="center"/>
          </w:tcPr>
          <w:p w14:paraId="3B522278">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21" w:type="pct"/>
            <w:vAlign w:val="center"/>
          </w:tcPr>
          <w:p w14:paraId="59011FD9">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r>
      <w:tr w14:paraId="57F8F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continue"/>
            <w:vAlign w:val="center"/>
          </w:tcPr>
          <w:p w14:paraId="0D62B4C6">
            <w:pPr>
              <w:tabs>
                <w:tab w:val="left" w:pos="8789"/>
              </w:tabs>
              <w:spacing w:line="240" w:lineRule="auto"/>
              <w:ind w:firstLine="0" w:firstLineChars="0"/>
              <w:jc w:val="center"/>
              <w:rPr>
                <w:rFonts w:cs="Times New Roman"/>
                <w:sz w:val="21"/>
                <w:szCs w:val="21"/>
              </w:rPr>
            </w:pPr>
          </w:p>
        </w:tc>
        <w:tc>
          <w:tcPr>
            <w:tcW w:w="628" w:type="pct"/>
            <w:vAlign w:val="center"/>
          </w:tcPr>
          <w:p w14:paraId="1EBDB698">
            <w:pPr>
              <w:tabs>
                <w:tab w:val="left" w:pos="8789"/>
              </w:tabs>
              <w:spacing w:line="240" w:lineRule="auto"/>
              <w:ind w:firstLine="0" w:firstLineChars="0"/>
              <w:jc w:val="center"/>
              <w:rPr>
                <w:rFonts w:cs="Times New Roman"/>
                <w:sz w:val="21"/>
                <w:szCs w:val="21"/>
              </w:rPr>
            </w:pPr>
            <w:r>
              <w:rPr>
                <w:rFonts w:hint="eastAsia" w:cs="Times New Roman"/>
                <w:sz w:val="21"/>
                <w:szCs w:val="21"/>
              </w:rPr>
              <w:t>排水设施</w:t>
            </w:r>
          </w:p>
        </w:tc>
        <w:tc>
          <w:tcPr>
            <w:tcW w:w="239" w:type="pct"/>
            <w:vAlign w:val="center"/>
          </w:tcPr>
          <w:p w14:paraId="6F12B491">
            <w:pPr>
              <w:tabs>
                <w:tab w:val="left" w:pos="8789"/>
              </w:tabs>
              <w:spacing w:line="240" w:lineRule="auto"/>
              <w:ind w:firstLine="0" w:firstLineChars="0"/>
              <w:jc w:val="center"/>
              <w:rPr>
                <w:rFonts w:cs="Times New Roman"/>
                <w:sz w:val="21"/>
                <w:szCs w:val="21"/>
              </w:rPr>
            </w:pPr>
            <w:r>
              <w:rPr>
                <w:rFonts w:hint="eastAsia" w:cs="Times New Roman"/>
                <w:sz w:val="21"/>
                <w:szCs w:val="21"/>
              </w:rPr>
              <w:t>-S1</w:t>
            </w:r>
          </w:p>
        </w:tc>
        <w:tc>
          <w:tcPr>
            <w:tcW w:w="238" w:type="pct"/>
            <w:vAlign w:val="center"/>
          </w:tcPr>
          <w:p w14:paraId="3BA6063A">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39" w:type="pct"/>
            <w:vAlign w:val="center"/>
          </w:tcPr>
          <w:p w14:paraId="6B49BA1B">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3" w:type="pct"/>
            <w:vAlign w:val="center"/>
          </w:tcPr>
          <w:p w14:paraId="06759240">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67785F37">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0FE9A324">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5" w:type="pct"/>
            <w:vAlign w:val="center"/>
          </w:tcPr>
          <w:p w14:paraId="11244D9C">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5" w:type="pct"/>
            <w:vAlign w:val="center"/>
          </w:tcPr>
          <w:p w14:paraId="38C20F9F">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5" w:type="pct"/>
            <w:vAlign w:val="center"/>
          </w:tcPr>
          <w:p w14:paraId="07DE1836">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8" w:type="pct"/>
            <w:vAlign w:val="center"/>
          </w:tcPr>
          <w:p w14:paraId="6E539419">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17658409">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6" w:type="pct"/>
            <w:vAlign w:val="center"/>
          </w:tcPr>
          <w:p w14:paraId="2C8717F9">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04" w:type="pct"/>
            <w:vAlign w:val="center"/>
          </w:tcPr>
          <w:p w14:paraId="55AF88F7">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6" w:type="pct"/>
            <w:vAlign w:val="center"/>
          </w:tcPr>
          <w:p w14:paraId="4A265FF2">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53" w:type="pct"/>
            <w:vAlign w:val="center"/>
          </w:tcPr>
          <w:p w14:paraId="3D3B9630">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57" w:type="pct"/>
            <w:vAlign w:val="center"/>
          </w:tcPr>
          <w:p w14:paraId="31FD9005">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21" w:type="pct"/>
            <w:vAlign w:val="center"/>
          </w:tcPr>
          <w:p w14:paraId="678AEED3">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r>
      <w:tr w14:paraId="457D4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 w:type="pct"/>
            <w:vMerge w:val="continue"/>
            <w:vAlign w:val="center"/>
          </w:tcPr>
          <w:p w14:paraId="05B9943D">
            <w:pPr>
              <w:tabs>
                <w:tab w:val="left" w:pos="8789"/>
              </w:tabs>
              <w:spacing w:line="240" w:lineRule="auto"/>
              <w:ind w:firstLine="0" w:firstLineChars="0"/>
              <w:jc w:val="center"/>
              <w:rPr>
                <w:rFonts w:cs="Times New Roman"/>
                <w:sz w:val="21"/>
                <w:szCs w:val="21"/>
              </w:rPr>
            </w:pPr>
          </w:p>
        </w:tc>
        <w:tc>
          <w:tcPr>
            <w:tcW w:w="628" w:type="pct"/>
            <w:vAlign w:val="center"/>
          </w:tcPr>
          <w:p w14:paraId="3B78A9DF">
            <w:pPr>
              <w:tabs>
                <w:tab w:val="left" w:pos="8789"/>
              </w:tabs>
              <w:spacing w:line="240" w:lineRule="auto"/>
              <w:ind w:firstLine="0" w:firstLineChars="0"/>
              <w:jc w:val="center"/>
              <w:rPr>
                <w:rFonts w:cs="Times New Roman"/>
                <w:sz w:val="21"/>
                <w:szCs w:val="21"/>
              </w:rPr>
            </w:pPr>
            <w:r>
              <w:rPr>
                <w:rFonts w:hint="eastAsia" w:cs="Times New Roman"/>
                <w:sz w:val="21"/>
                <w:szCs w:val="21"/>
              </w:rPr>
              <w:t>环卫设施</w:t>
            </w:r>
          </w:p>
        </w:tc>
        <w:tc>
          <w:tcPr>
            <w:tcW w:w="239" w:type="pct"/>
            <w:vAlign w:val="center"/>
          </w:tcPr>
          <w:p w14:paraId="1F19B551">
            <w:pPr>
              <w:tabs>
                <w:tab w:val="left" w:pos="8789"/>
              </w:tabs>
              <w:spacing w:line="240" w:lineRule="auto"/>
              <w:ind w:firstLine="0" w:firstLineChars="0"/>
              <w:jc w:val="center"/>
              <w:rPr>
                <w:rFonts w:cs="Times New Roman"/>
                <w:sz w:val="21"/>
                <w:szCs w:val="21"/>
              </w:rPr>
            </w:pPr>
            <w:r>
              <w:rPr>
                <w:rFonts w:hint="eastAsia" w:cs="Times New Roman"/>
                <w:sz w:val="21"/>
                <w:szCs w:val="21"/>
              </w:rPr>
              <w:t>-S1</w:t>
            </w:r>
          </w:p>
        </w:tc>
        <w:tc>
          <w:tcPr>
            <w:tcW w:w="238" w:type="pct"/>
            <w:vAlign w:val="center"/>
          </w:tcPr>
          <w:p w14:paraId="384DAE15">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39" w:type="pct"/>
            <w:vAlign w:val="center"/>
          </w:tcPr>
          <w:p w14:paraId="171C2450">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3" w:type="pct"/>
            <w:vAlign w:val="center"/>
          </w:tcPr>
          <w:p w14:paraId="2DA9CBE2">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65FF6721">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12244883">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14FE962B">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05D3BB87">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5" w:type="pct"/>
            <w:vAlign w:val="center"/>
          </w:tcPr>
          <w:p w14:paraId="26CDDD98">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8" w:type="pct"/>
            <w:vAlign w:val="center"/>
          </w:tcPr>
          <w:p w14:paraId="42BAE8DC">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45" w:type="pct"/>
            <w:vAlign w:val="center"/>
          </w:tcPr>
          <w:p w14:paraId="17841531">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46" w:type="pct"/>
            <w:vAlign w:val="center"/>
          </w:tcPr>
          <w:p w14:paraId="412DC767">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04" w:type="pct"/>
            <w:vAlign w:val="center"/>
          </w:tcPr>
          <w:p w14:paraId="144782A7">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46" w:type="pct"/>
            <w:vAlign w:val="center"/>
          </w:tcPr>
          <w:p w14:paraId="166BF80B">
            <w:pPr>
              <w:tabs>
                <w:tab w:val="left" w:pos="8789"/>
              </w:tabs>
              <w:spacing w:line="240" w:lineRule="auto"/>
              <w:ind w:firstLine="0" w:firstLineChars="0"/>
              <w:jc w:val="center"/>
              <w:rPr>
                <w:rFonts w:cs="Times New Roman"/>
                <w:sz w:val="21"/>
                <w:szCs w:val="21"/>
              </w:rPr>
            </w:pPr>
            <w:r>
              <w:rPr>
                <w:rFonts w:hint="eastAsia" w:cs="Times New Roman"/>
                <w:sz w:val="21"/>
                <w:szCs w:val="21"/>
              </w:rPr>
              <w:t>+L2</w:t>
            </w:r>
          </w:p>
        </w:tc>
        <w:tc>
          <w:tcPr>
            <w:tcW w:w="253" w:type="pct"/>
            <w:vAlign w:val="center"/>
          </w:tcPr>
          <w:p w14:paraId="47177A63">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c>
          <w:tcPr>
            <w:tcW w:w="257" w:type="pct"/>
            <w:vAlign w:val="center"/>
          </w:tcPr>
          <w:p w14:paraId="6ABF113D">
            <w:pPr>
              <w:tabs>
                <w:tab w:val="left" w:pos="8789"/>
              </w:tabs>
              <w:spacing w:line="240" w:lineRule="auto"/>
              <w:ind w:firstLine="0" w:firstLineChars="0"/>
              <w:jc w:val="center"/>
              <w:rPr>
                <w:rFonts w:cs="Times New Roman"/>
                <w:sz w:val="21"/>
                <w:szCs w:val="21"/>
              </w:rPr>
            </w:pPr>
            <w:r>
              <w:rPr>
                <w:rFonts w:hint="eastAsia" w:cs="Times New Roman"/>
                <w:sz w:val="21"/>
                <w:szCs w:val="21"/>
              </w:rPr>
              <w:t>+L3</w:t>
            </w:r>
          </w:p>
        </w:tc>
        <w:tc>
          <w:tcPr>
            <w:tcW w:w="221" w:type="pct"/>
            <w:vAlign w:val="center"/>
          </w:tcPr>
          <w:p w14:paraId="3F0532DE">
            <w:pPr>
              <w:tabs>
                <w:tab w:val="left" w:pos="8789"/>
              </w:tabs>
              <w:spacing w:line="240" w:lineRule="auto"/>
              <w:ind w:firstLine="0" w:firstLineChars="0"/>
              <w:jc w:val="center"/>
              <w:rPr>
                <w:rFonts w:cs="Times New Roman"/>
                <w:sz w:val="21"/>
                <w:szCs w:val="21"/>
              </w:rPr>
            </w:pPr>
            <w:r>
              <w:rPr>
                <w:rFonts w:hint="eastAsia" w:cs="Times New Roman"/>
                <w:sz w:val="21"/>
                <w:szCs w:val="21"/>
              </w:rPr>
              <w:t>/</w:t>
            </w:r>
          </w:p>
        </w:tc>
      </w:tr>
    </w:tbl>
    <w:p w14:paraId="7183BE64">
      <w:pPr>
        <w:spacing w:line="240" w:lineRule="auto"/>
        <w:ind w:firstLine="0" w:firstLineChars="0"/>
        <w:rPr>
          <w:rFonts w:cs="Times New Roman"/>
          <w:sz w:val="21"/>
          <w:szCs w:val="24"/>
        </w:rPr>
      </w:pPr>
      <w:r>
        <w:rPr>
          <w:rFonts w:cs="Times New Roman"/>
          <w:sz w:val="21"/>
          <w:szCs w:val="24"/>
        </w:rPr>
        <w:t>注：表中“+”表示有利影响，“</w:t>
      </w:r>
      <w:r>
        <w:rPr>
          <w:rFonts w:hint="eastAsia" w:cs="Times New Roman"/>
          <w:sz w:val="21"/>
          <w:szCs w:val="24"/>
        </w:rPr>
        <w:t>－</w:t>
      </w:r>
      <w:r>
        <w:rPr>
          <w:rFonts w:cs="Times New Roman"/>
          <w:sz w:val="21"/>
          <w:szCs w:val="24"/>
        </w:rPr>
        <w:t>”表示不利影响；“S”表示短期影响，“L”表示长期影响；“3”表示重大影响，“2”表示中等影响，“1”表示轻微影响。</w:t>
      </w:r>
    </w:p>
    <w:p w14:paraId="662BF7E3">
      <w:pPr>
        <w:ind w:firstLine="0" w:firstLineChars="0"/>
        <w:sectPr>
          <w:pgSz w:w="16838" w:h="11906" w:orient="landscape"/>
          <w:pgMar w:top="1800" w:right="1440" w:bottom="1800" w:left="1440" w:header="851" w:footer="992" w:gutter="0"/>
          <w:cols w:space="425" w:num="1"/>
          <w:docGrid w:type="lines" w:linePitch="326" w:charSpace="0"/>
        </w:sectPr>
      </w:pPr>
    </w:p>
    <w:p w14:paraId="3FD1BF85">
      <w:pPr>
        <w:pStyle w:val="3"/>
        <w:ind w:firstLine="0" w:firstLineChars="0"/>
        <w:rPr>
          <w:rFonts w:cs="Times New Roman"/>
        </w:rPr>
      </w:pPr>
      <w:bookmarkStart w:id="89" w:name="_Toc217294052"/>
      <w:r>
        <w:rPr>
          <w:rFonts w:cs="Times New Roman"/>
        </w:rPr>
        <w:t>4.3</w:t>
      </w:r>
      <w:r>
        <w:rPr>
          <w:rFonts w:hint="eastAsia" w:cs="Times New Roman"/>
        </w:rPr>
        <w:t>环境影响评价指标体系</w:t>
      </w:r>
      <w:bookmarkEnd w:id="89"/>
    </w:p>
    <w:p w14:paraId="6CAD150D">
      <w:pPr>
        <w:ind w:firstLine="480"/>
      </w:pPr>
      <w:r>
        <w:rPr>
          <w:rFonts w:hint="eastAsia"/>
        </w:rPr>
        <w:t>本次评价以环境影响识别为基础，基于度假区本次规划、环境背景调查情况及规划涉及的区域环境保护目标，参考江苏省、常州市和金坛区“十四五”生态环境保护规划中相关要求，考虑可定量数据的获取，以及确定的资源与环境制约因素，建立规划环境影响评价指标体系，指标体系主要有5类17项，包括环境质量、污染集中治理、生态保护、减污降碳、环境管理5个方面，具体见表</w:t>
      </w:r>
      <w:r>
        <w:t>4</w:t>
      </w:r>
      <w:r>
        <w:rPr>
          <w:rFonts w:hint="eastAsia"/>
        </w:rPr>
        <w:t>.</w:t>
      </w:r>
      <w:r>
        <w:t>3</w:t>
      </w:r>
      <w:r>
        <w:rPr>
          <w:rFonts w:hint="eastAsia"/>
        </w:rPr>
        <w:t>-1。</w:t>
      </w:r>
    </w:p>
    <w:p w14:paraId="470D755B">
      <w:pPr>
        <w:pStyle w:val="45"/>
        <w:rPr>
          <w:rFonts w:cs="Times New Roman"/>
        </w:rPr>
      </w:pPr>
      <w:bookmarkStart w:id="90" w:name="_Hlk166679381"/>
      <w:r>
        <w:rPr>
          <w:rFonts w:hint="eastAsia" w:cs="Times New Roman"/>
        </w:rPr>
        <w:t>表</w:t>
      </w:r>
      <w:r>
        <w:rPr>
          <w:rFonts w:cs="Times New Roman"/>
        </w:rPr>
        <w:t>4</w:t>
      </w:r>
      <w:r>
        <w:rPr>
          <w:rFonts w:hint="eastAsia" w:cs="Times New Roman"/>
        </w:rPr>
        <w:t>.</w:t>
      </w:r>
      <w:r>
        <w:rPr>
          <w:rFonts w:cs="Times New Roman"/>
        </w:rPr>
        <w:t>3</w:t>
      </w:r>
      <w:r>
        <w:rPr>
          <w:rFonts w:hint="eastAsia" w:cs="Times New Roman"/>
        </w:rPr>
        <w:t xml:space="preserve">-1 </w:t>
      </w:r>
      <w:r>
        <w:rPr>
          <w:rFonts w:cs="Times New Roman"/>
        </w:rPr>
        <w:t xml:space="preserve"> </w:t>
      </w:r>
      <w:r>
        <w:rPr>
          <w:rFonts w:hint="eastAsia" w:cs="Times New Roman"/>
        </w:rPr>
        <w:t>规划环境影响评价指标体系表</w:t>
      </w:r>
    </w:p>
    <w:tbl>
      <w:tblPr>
        <w:tblStyle w:val="25"/>
        <w:tblW w:w="52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406"/>
        <w:gridCol w:w="2147"/>
        <w:gridCol w:w="784"/>
        <w:gridCol w:w="1239"/>
        <w:gridCol w:w="1381"/>
        <w:gridCol w:w="1383"/>
        <w:gridCol w:w="1022"/>
      </w:tblGrid>
      <w:tr w14:paraId="3A287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blHeader/>
          <w:jc w:val="center"/>
        </w:trPr>
        <w:tc>
          <w:tcPr>
            <w:tcW w:w="369" w:type="pct"/>
            <w:vAlign w:val="center"/>
          </w:tcPr>
          <w:p w14:paraId="6A5BF19B">
            <w:pPr>
              <w:adjustRightInd w:val="0"/>
              <w:spacing w:line="240" w:lineRule="auto"/>
              <w:ind w:firstLine="0" w:firstLineChars="0"/>
              <w:jc w:val="center"/>
              <w:rPr>
                <w:rFonts w:cs="Times New Roman"/>
                <w:b/>
                <w:sz w:val="21"/>
                <w:szCs w:val="21"/>
              </w:rPr>
            </w:pPr>
            <w:r>
              <w:rPr>
                <w:rFonts w:hint="eastAsia" w:cs="Times New Roman"/>
                <w:b/>
                <w:sz w:val="21"/>
                <w:szCs w:val="21"/>
              </w:rPr>
              <w:t>类型</w:t>
            </w:r>
          </w:p>
        </w:tc>
        <w:tc>
          <w:tcPr>
            <w:tcW w:w="225" w:type="pct"/>
            <w:vAlign w:val="center"/>
          </w:tcPr>
          <w:p w14:paraId="6450C76F">
            <w:pPr>
              <w:adjustRightInd w:val="0"/>
              <w:spacing w:line="240" w:lineRule="auto"/>
              <w:ind w:firstLine="0" w:firstLineChars="0"/>
              <w:jc w:val="center"/>
              <w:rPr>
                <w:rFonts w:cs="Times New Roman"/>
                <w:b/>
                <w:sz w:val="21"/>
                <w:szCs w:val="21"/>
              </w:rPr>
            </w:pPr>
            <w:r>
              <w:rPr>
                <w:rFonts w:hint="eastAsia" w:cs="Times New Roman"/>
                <w:b/>
                <w:sz w:val="21"/>
                <w:szCs w:val="21"/>
              </w:rPr>
              <w:t>序号</w:t>
            </w:r>
          </w:p>
        </w:tc>
        <w:tc>
          <w:tcPr>
            <w:tcW w:w="1188" w:type="pct"/>
            <w:vAlign w:val="center"/>
          </w:tcPr>
          <w:p w14:paraId="09FFDE65">
            <w:pPr>
              <w:adjustRightInd w:val="0"/>
              <w:spacing w:line="240" w:lineRule="auto"/>
              <w:ind w:firstLine="0" w:firstLineChars="0"/>
              <w:jc w:val="center"/>
              <w:rPr>
                <w:rFonts w:cs="Times New Roman"/>
                <w:b/>
                <w:sz w:val="21"/>
                <w:szCs w:val="21"/>
              </w:rPr>
            </w:pPr>
            <w:r>
              <w:rPr>
                <w:rFonts w:hint="eastAsia" w:cs="Times New Roman"/>
                <w:b/>
                <w:sz w:val="21"/>
                <w:szCs w:val="21"/>
              </w:rPr>
              <w:t>指标</w:t>
            </w:r>
          </w:p>
        </w:tc>
        <w:tc>
          <w:tcPr>
            <w:tcW w:w="434" w:type="pct"/>
            <w:vAlign w:val="center"/>
          </w:tcPr>
          <w:p w14:paraId="38037FD7">
            <w:pPr>
              <w:adjustRightInd w:val="0"/>
              <w:spacing w:line="240" w:lineRule="auto"/>
              <w:ind w:firstLine="0" w:firstLineChars="0"/>
              <w:jc w:val="center"/>
              <w:rPr>
                <w:rFonts w:cs="Times New Roman"/>
                <w:b/>
                <w:sz w:val="21"/>
                <w:szCs w:val="21"/>
              </w:rPr>
            </w:pPr>
            <w:r>
              <w:rPr>
                <w:rFonts w:hint="eastAsia" w:cs="Times New Roman"/>
                <w:b/>
                <w:sz w:val="21"/>
                <w:szCs w:val="21"/>
              </w:rPr>
              <w:t>单位</w:t>
            </w:r>
          </w:p>
        </w:tc>
        <w:tc>
          <w:tcPr>
            <w:tcW w:w="685" w:type="pct"/>
            <w:vAlign w:val="center"/>
          </w:tcPr>
          <w:p w14:paraId="794C28F4">
            <w:pPr>
              <w:adjustRightInd w:val="0"/>
              <w:spacing w:line="240" w:lineRule="auto"/>
              <w:ind w:firstLine="0" w:firstLineChars="0"/>
              <w:jc w:val="center"/>
              <w:rPr>
                <w:rFonts w:cs="Times New Roman"/>
                <w:b/>
                <w:sz w:val="21"/>
                <w:szCs w:val="21"/>
              </w:rPr>
            </w:pPr>
            <w:r>
              <w:rPr>
                <w:rFonts w:hint="eastAsia" w:cs="Times New Roman"/>
                <w:b/>
                <w:sz w:val="21"/>
                <w:szCs w:val="21"/>
              </w:rPr>
              <w:t>现状值</w:t>
            </w:r>
          </w:p>
          <w:p w14:paraId="79CC0E46">
            <w:pPr>
              <w:adjustRightInd w:val="0"/>
              <w:spacing w:line="240" w:lineRule="auto"/>
              <w:ind w:firstLine="0" w:firstLineChars="0"/>
              <w:jc w:val="center"/>
              <w:rPr>
                <w:rFonts w:cs="Times New Roman"/>
                <w:b/>
                <w:sz w:val="21"/>
                <w:szCs w:val="21"/>
              </w:rPr>
            </w:pPr>
            <w:r>
              <w:rPr>
                <w:rFonts w:hint="eastAsia" w:cs="Times New Roman"/>
                <w:b/>
                <w:sz w:val="21"/>
                <w:szCs w:val="21"/>
              </w:rPr>
              <w:t>（2023年）</w:t>
            </w:r>
          </w:p>
        </w:tc>
        <w:tc>
          <w:tcPr>
            <w:tcW w:w="764" w:type="pct"/>
            <w:vAlign w:val="center"/>
          </w:tcPr>
          <w:p w14:paraId="244C9A87">
            <w:pPr>
              <w:adjustRightInd w:val="0"/>
              <w:spacing w:line="240" w:lineRule="auto"/>
              <w:ind w:firstLine="0" w:firstLineChars="0"/>
              <w:jc w:val="center"/>
              <w:rPr>
                <w:rFonts w:cs="Times New Roman"/>
                <w:b/>
                <w:sz w:val="21"/>
                <w:szCs w:val="21"/>
              </w:rPr>
            </w:pPr>
            <w:r>
              <w:rPr>
                <w:rFonts w:hint="eastAsia" w:cs="Times New Roman"/>
                <w:b/>
                <w:sz w:val="21"/>
                <w:szCs w:val="21"/>
              </w:rPr>
              <w:t>规划中期目标值</w:t>
            </w:r>
          </w:p>
          <w:p w14:paraId="29D0F3B4">
            <w:pPr>
              <w:adjustRightInd w:val="0"/>
              <w:spacing w:line="240" w:lineRule="auto"/>
              <w:ind w:firstLine="0" w:firstLineChars="0"/>
              <w:jc w:val="center"/>
              <w:rPr>
                <w:rFonts w:cs="Times New Roman"/>
                <w:b/>
                <w:sz w:val="21"/>
                <w:szCs w:val="21"/>
              </w:rPr>
            </w:pPr>
            <w:r>
              <w:rPr>
                <w:rFonts w:hint="eastAsia" w:cs="Times New Roman"/>
                <w:b/>
                <w:sz w:val="21"/>
                <w:szCs w:val="21"/>
              </w:rPr>
              <w:t>（2030年）</w:t>
            </w:r>
          </w:p>
        </w:tc>
        <w:tc>
          <w:tcPr>
            <w:tcW w:w="765" w:type="pct"/>
            <w:vAlign w:val="center"/>
          </w:tcPr>
          <w:p w14:paraId="5021FEE1">
            <w:pPr>
              <w:adjustRightInd w:val="0"/>
              <w:spacing w:line="240" w:lineRule="auto"/>
              <w:ind w:firstLine="0" w:firstLineChars="0"/>
              <w:jc w:val="center"/>
              <w:rPr>
                <w:rFonts w:cs="Times New Roman"/>
                <w:b/>
                <w:sz w:val="21"/>
                <w:szCs w:val="21"/>
              </w:rPr>
            </w:pPr>
            <w:r>
              <w:rPr>
                <w:rFonts w:hint="eastAsia" w:cs="Times New Roman"/>
                <w:b/>
                <w:sz w:val="21"/>
                <w:szCs w:val="21"/>
              </w:rPr>
              <w:t>规划远期目标值</w:t>
            </w:r>
          </w:p>
          <w:p w14:paraId="433BEA4F">
            <w:pPr>
              <w:adjustRightInd w:val="0"/>
              <w:spacing w:line="240" w:lineRule="auto"/>
              <w:ind w:firstLine="0" w:firstLineChars="0"/>
              <w:rPr>
                <w:rFonts w:cs="Times New Roman"/>
                <w:b/>
                <w:sz w:val="21"/>
                <w:szCs w:val="21"/>
              </w:rPr>
            </w:pPr>
            <w:r>
              <w:rPr>
                <w:rFonts w:hint="eastAsia" w:cs="Times New Roman"/>
                <w:b/>
                <w:sz w:val="21"/>
                <w:szCs w:val="21"/>
              </w:rPr>
              <w:t>（2035年）</w:t>
            </w:r>
          </w:p>
        </w:tc>
        <w:tc>
          <w:tcPr>
            <w:tcW w:w="566" w:type="pct"/>
            <w:vAlign w:val="center"/>
          </w:tcPr>
          <w:p w14:paraId="6C98BA1B">
            <w:pPr>
              <w:adjustRightInd w:val="0"/>
              <w:spacing w:line="240" w:lineRule="auto"/>
              <w:ind w:firstLine="0" w:firstLineChars="0"/>
              <w:jc w:val="center"/>
              <w:rPr>
                <w:rFonts w:cs="Times New Roman"/>
                <w:b/>
                <w:sz w:val="21"/>
                <w:szCs w:val="21"/>
              </w:rPr>
            </w:pPr>
            <w:r>
              <w:rPr>
                <w:rFonts w:hint="eastAsia" w:cs="Times New Roman"/>
                <w:b/>
                <w:sz w:val="21"/>
                <w:szCs w:val="21"/>
              </w:rPr>
              <w:t>指标参考依据*</w:t>
            </w:r>
          </w:p>
        </w:tc>
      </w:tr>
      <w:tr w14:paraId="1D21E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restart"/>
            <w:vAlign w:val="center"/>
          </w:tcPr>
          <w:p w14:paraId="3E466442">
            <w:pPr>
              <w:adjustRightInd w:val="0"/>
              <w:spacing w:line="240" w:lineRule="auto"/>
              <w:ind w:firstLine="0" w:firstLineChars="0"/>
              <w:jc w:val="center"/>
              <w:rPr>
                <w:rFonts w:cs="Times New Roman"/>
                <w:sz w:val="21"/>
                <w:szCs w:val="21"/>
              </w:rPr>
            </w:pPr>
            <w:r>
              <w:rPr>
                <w:rFonts w:hint="eastAsia" w:cs="Times New Roman"/>
                <w:sz w:val="21"/>
                <w:szCs w:val="21"/>
              </w:rPr>
              <w:t>环境</w:t>
            </w:r>
          </w:p>
          <w:p w14:paraId="2D810CA6">
            <w:pPr>
              <w:adjustRightInd w:val="0"/>
              <w:spacing w:line="240" w:lineRule="auto"/>
              <w:ind w:firstLine="0" w:firstLineChars="0"/>
              <w:jc w:val="center"/>
              <w:rPr>
                <w:rFonts w:cs="Times New Roman"/>
                <w:sz w:val="21"/>
                <w:szCs w:val="21"/>
              </w:rPr>
            </w:pPr>
            <w:r>
              <w:rPr>
                <w:rFonts w:hint="eastAsia" w:cs="Times New Roman"/>
                <w:sz w:val="21"/>
                <w:szCs w:val="21"/>
              </w:rPr>
              <w:t>质量</w:t>
            </w:r>
          </w:p>
        </w:tc>
        <w:tc>
          <w:tcPr>
            <w:tcW w:w="225" w:type="pct"/>
            <w:vAlign w:val="center"/>
          </w:tcPr>
          <w:p w14:paraId="4ACEF985">
            <w:pPr>
              <w:numPr>
                <w:ilvl w:val="0"/>
                <w:numId w:val="20"/>
              </w:numPr>
              <w:adjustRightInd w:val="0"/>
              <w:spacing w:line="240" w:lineRule="auto"/>
              <w:ind w:firstLineChars="0"/>
              <w:jc w:val="center"/>
              <w:rPr>
                <w:rFonts w:cs="Times New Roman"/>
                <w:sz w:val="21"/>
                <w:szCs w:val="21"/>
              </w:rPr>
            </w:pPr>
          </w:p>
        </w:tc>
        <w:tc>
          <w:tcPr>
            <w:tcW w:w="1188" w:type="pct"/>
            <w:vAlign w:val="center"/>
          </w:tcPr>
          <w:p w14:paraId="01474C85">
            <w:pPr>
              <w:adjustRightInd w:val="0"/>
              <w:spacing w:line="240" w:lineRule="auto"/>
              <w:ind w:firstLine="0" w:firstLineChars="0"/>
              <w:jc w:val="center"/>
              <w:rPr>
                <w:rFonts w:cs="Times New Roman"/>
                <w:sz w:val="21"/>
                <w:szCs w:val="21"/>
              </w:rPr>
            </w:pPr>
            <w:r>
              <w:rPr>
                <w:rFonts w:hint="eastAsia" w:cs="Times New Roman"/>
                <w:kern w:val="0"/>
                <w:sz w:val="21"/>
                <w:szCs w:val="21"/>
              </w:rPr>
              <w:t>环境空气质量优良天数比率</w:t>
            </w:r>
          </w:p>
        </w:tc>
        <w:tc>
          <w:tcPr>
            <w:tcW w:w="434" w:type="pct"/>
            <w:vAlign w:val="center"/>
          </w:tcPr>
          <w:p w14:paraId="274F3EB1">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2624E4DE">
            <w:pPr>
              <w:adjustRightInd w:val="0"/>
              <w:spacing w:line="240" w:lineRule="auto"/>
              <w:ind w:firstLine="0" w:firstLineChars="0"/>
              <w:jc w:val="center"/>
              <w:rPr>
                <w:rFonts w:cs="Times New Roman"/>
                <w:sz w:val="21"/>
                <w:szCs w:val="21"/>
              </w:rPr>
            </w:pPr>
            <w:r>
              <w:rPr>
                <w:rFonts w:hint="eastAsia" w:cs="Times New Roman"/>
                <w:sz w:val="21"/>
                <w:szCs w:val="21"/>
              </w:rPr>
              <w:t>76.2</w:t>
            </w:r>
          </w:p>
        </w:tc>
        <w:tc>
          <w:tcPr>
            <w:tcW w:w="764" w:type="pct"/>
            <w:vAlign w:val="center"/>
          </w:tcPr>
          <w:p w14:paraId="706CF273">
            <w:pPr>
              <w:adjustRightInd w:val="0"/>
              <w:spacing w:line="240" w:lineRule="auto"/>
              <w:ind w:firstLine="0" w:firstLineChars="0"/>
              <w:jc w:val="center"/>
              <w:rPr>
                <w:rFonts w:cs="Times New Roman"/>
                <w:sz w:val="21"/>
                <w:szCs w:val="21"/>
              </w:rPr>
            </w:pPr>
            <w:r>
              <w:rPr>
                <w:rFonts w:hint="eastAsia" w:cs="Times New Roman"/>
                <w:sz w:val="21"/>
                <w:szCs w:val="21"/>
              </w:rPr>
              <w:t>≥83.3</w:t>
            </w:r>
          </w:p>
        </w:tc>
        <w:tc>
          <w:tcPr>
            <w:tcW w:w="765" w:type="pct"/>
            <w:vAlign w:val="center"/>
          </w:tcPr>
          <w:p w14:paraId="1E9E0726">
            <w:pPr>
              <w:adjustRightInd w:val="0"/>
              <w:spacing w:line="240" w:lineRule="auto"/>
              <w:ind w:firstLine="0" w:firstLineChars="0"/>
              <w:jc w:val="center"/>
              <w:rPr>
                <w:rFonts w:cs="Times New Roman"/>
                <w:sz w:val="21"/>
                <w:szCs w:val="21"/>
              </w:rPr>
            </w:pPr>
            <w:r>
              <w:rPr>
                <w:rFonts w:hint="eastAsia" w:cs="Times New Roman"/>
                <w:sz w:val="21"/>
                <w:szCs w:val="21"/>
              </w:rPr>
              <w:t>≥85.0</w:t>
            </w:r>
          </w:p>
        </w:tc>
        <w:tc>
          <w:tcPr>
            <w:tcW w:w="566" w:type="pct"/>
            <w:vAlign w:val="center"/>
          </w:tcPr>
          <w:p w14:paraId="2F85051D">
            <w:pPr>
              <w:adjustRightInd w:val="0"/>
              <w:spacing w:line="240" w:lineRule="auto"/>
              <w:ind w:firstLine="0" w:firstLineChars="0"/>
              <w:jc w:val="center"/>
              <w:rPr>
                <w:rFonts w:cs="Times New Roman"/>
                <w:sz w:val="21"/>
                <w:szCs w:val="21"/>
              </w:rPr>
            </w:pPr>
            <w:r>
              <w:rPr>
                <w:rFonts w:hint="eastAsia" w:cs="Times New Roman"/>
                <w:sz w:val="21"/>
                <w:szCs w:val="21"/>
              </w:rPr>
              <w:t>[1][2][3]</w:t>
            </w:r>
          </w:p>
        </w:tc>
      </w:tr>
      <w:tr w14:paraId="3EC3B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continue"/>
            <w:vAlign w:val="center"/>
          </w:tcPr>
          <w:p w14:paraId="38C95B03">
            <w:pPr>
              <w:adjustRightInd w:val="0"/>
              <w:spacing w:line="240" w:lineRule="auto"/>
              <w:ind w:firstLine="0" w:firstLineChars="0"/>
              <w:jc w:val="center"/>
              <w:rPr>
                <w:rFonts w:cs="Times New Roman"/>
                <w:sz w:val="21"/>
                <w:szCs w:val="21"/>
              </w:rPr>
            </w:pPr>
          </w:p>
        </w:tc>
        <w:tc>
          <w:tcPr>
            <w:tcW w:w="225" w:type="pct"/>
            <w:vAlign w:val="center"/>
          </w:tcPr>
          <w:p w14:paraId="1FB54561">
            <w:pPr>
              <w:numPr>
                <w:ilvl w:val="0"/>
                <w:numId w:val="20"/>
              </w:numPr>
              <w:adjustRightInd w:val="0"/>
              <w:spacing w:line="240" w:lineRule="auto"/>
              <w:ind w:firstLineChars="0"/>
              <w:jc w:val="center"/>
              <w:rPr>
                <w:rFonts w:cs="Times New Roman"/>
                <w:sz w:val="21"/>
                <w:szCs w:val="21"/>
              </w:rPr>
            </w:pPr>
          </w:p>
        </w:tc>
        <w:tc>
          <w:tcPr>
            <w:tcW w:w="1188" w:type="pct"/>
            <w:vAlign w:val="center"/>
          </w:tcPr>
          <w:p w14:paraId="08335210">
            <w:pPr>
              <w:adjustRightInd w:val="0"/>
              <w:spacing w:line="240" w:lineRule="auto"/>
              <w:ind w:firstLine="0" w:firstLineChars="0"/>
              <w:jc w:val="center"/>
              <w:rPr>
                <w:rFonts w:cs="Times New Roman"/>
                <w:kern w:val="0"/>
                <w:sz w:val="21"/>
                <w:szCs w:val="21"/>
              </w:rPr>
            </w:pPr>
            <w:r>
              <w:rPr>
                <w:rFonts w:hint="eastAsia" w:cs="Times New Roman"/>
                <w:kern w:val="0"/>
                <w:sz w:val="21"/>
                <w:szCs w:val="21"/>
              </w:rPr>
              <w:t>细颗粒物（PM</w:t>
            </w:r>
            <w:r>
              <w:rPr>
                <w:rFonts w:hint="eastAsia" w:cs="Times New Roman"/>
                <w:kern w:val="0"/>
                <w:sz w:val="21"/>
                <w:szCs w:val="21"/>
                <w:vertAlign w:val="subscript"/>
              </w:rPr>
              <w:t>2.5</w:t>
            </w:r>
            <w:r>
              <w:rPr>
                <w:rFonts w:hint="eastAsia" w:cs="Times New Roman"/>
                <w:kern w:val="0"/>
                <w:sz w:val="21"/>
                <w:szCs w:val="21"/>
              </w:rPr>
              <w:t>）年均浓度</w:t>
            </w:r>
          </w:p>
        </w:tc>
        <w:tc>
          <w:tcPr>
            <w:tcW w:w="434" w:type="pct"/>
            <w:vAlign w:val="center"/>
          </w:tcPr>
          <w:p w14:paraId="33DFEFA7">
            <w:pPr>
              <w:adjustRightInd w:val="0"/>
              <w:spacing w:line="240" w:lineRule="auto"/>
              <w:ind w:firstLine="0" w:firstLineChars="0"/>
              <w:jc w:val="center"/>
              <w:rPr>
                <w:rFonts w:cs="Times New Roman"/>
                <w:sz w:val="21"/>
                <w:szCs w:val="21"/>
              </w:rPr>
            </w:pPr>
            <w:r>
              <w:rPr>
                <w:rFonts w:cs="Times New Roman"/>
                <w:sz w:val="21"/>
              </w:rPr>
              <w:t>μ</w:t>
            </w:r>
            <w:r>
              <w:rPr>
                <w:rFonts w:hint="eastAsia"/>
                <w:sz w:val="21"/>
              </w:rPr>
              <w:t>g/m</w:t>
            </w:r>
            <w:r>
              <w:rPr>
                <w:rFonts w:hint="eastAsia"/>
                <w:sz w:val="21"/>
                <w:vertAlign w:val="superscript"/>
              </w:rPr>
              <w:t>3</w:t>
            </w:r>
          </w:p>
        </w:tc>
        <w:tc>
          <w:tcPr>
            <w:tcW w:w="685" w:type="pct"/>
            <w:vAlign w:val="center"/>
          </w:tcPr>
          <w:p w14:paraId="30F9AA38">
            <w:pPr>
              <w:adjustRightInd w:val="0"/>
              <w:spacing w:line="240" w:lineRule="auto"/>
              <w:ind w:firstLine="0" w:firstLineChars="0"/>
              <w:jc w:val="center"/>
              <w:rPr>
                <w:rFonts w:cs="Times New Roman"/>
                <w:sz w:val="21"/>
                <w:szCs w:val="21"/>
              </w:rPr>
            </w:pPr>
            <w:r>
              <w:rPr>
                <w:rFonts w:hint="eastAsia" w:cs="Times New Roman"/>
                <w:sz w:val="21"/>
                <w:szCs w:val="21"/>
              </w:rPr>
              <w:t>32.7</w:t>
            </w:r>
          </w:p>
        </w:tc>
        <w:tc>
          <w:tcPr>
            <w:tcW w:w="764" w:type="pct"/>
            <w:vAlign w:val="center"/>
          </w:tcPr>
          <w:p w14:paraId="7503E3EF">
            <w:pPr>
              <w:adjustRightInd w:val="0"/>
              <w:spacing w:line="240" w:lineRule="auto"/>
              <w:ind w:firstLine="0" w:firstLineChars="0"/>
              <w:jc w:val="center"/>
              <w:rPr>
                <w:rFonts w:cs="Times New Roman"/>
                <w:sz w:val="21"/>
                <w:szCs w:val="21"/>
              </w:rPr>
            </w:pPr>
            <w:r>
              <w:rPr>
                <w:rFonts w:hint="eastAsia" w:cs="Times New Roman"/>
                <w:sz w:val="21"/>
                <w:szCs w:val="21"/>
              </w:rPr>
              <w:t>达到相应功能区标准</w:t>
            </w:r>
          </w:p>
        </w:tc>
        <w:tc>
          <w:tcPr>
            <w:tcW w:w="765" w:type="pct"/>
            <w:vAlign w:val="center"/>
          </w:tcPr>
          <w:p w14:paraId="314C2D81">
            <w:pPr>
              <w:adjustRightInd w:val="0"/>
              <w:spacing w:line="240" w:lineRule="auto"/>
              <w:ind w:firstLine="0" w:firstLineChars="0"/>
              <w:jc w:val="center"/>
              <w:rPr>
                <w:rFonts w:cs="Times New Roman"/>
                <w:sz w:val="21"/>
                <w:szCs w:val="21"/>
              </w:rPr>
            </w:pPr>
            <w:r>
              <w:rPr>
                <w:rFonts w:hint="eastAsia" w:cs="Times New Roman"/>
                <w:sz w:val="21"/>
                <w:szCs w:val="21"/>
              </w:rPr>
              <w:t>达到相应功能区标准</w:t>
            </w:r>
          </w:p>
        </w:tc>
        <w:tc>
          <w:tcPr>
            <w:tcW w:w="566" w:type="pct"/>
            <w:vAlign w:val="center"/>
          </w:tcPr>
          <w:p w14:paraId="527A7412">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16313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continue"/>
            <w:vAlign w:val="center"/>
          </w:tcPr>
          <w:p w14:paraId="75749DD8">
            <w:pPr>
              <w:adjustRightInd w:val="0"/>
              <w:spacing w:line="240" w:lineRule="auto"/>
              <w:ind w:firstLine="0" w:firstLineChars="0"/>
              <w:jc w:val="center"/>
              <w:rPr>
                <w:rFonts w:cs="Times New Roman"/>
                <w:sz w:val="21"/>
                <w:szCs w:val="21"/>
              </w:rPr>
            </w:pPr>
          </w:p>
        </w:tc>
        <w:tc>
          <w:tcPr>
            <w:tcW w:w="225" w:type="pct"/>
            <w:vAlign w:val="center"/>
          </w:tcPr>
          <w:p w14:paraId="15D86CFE">
            <w:pPr>
              <w:numPr>
                <w:ilvl w:val="0"/>
                <w:numId w:val="20"/>
              </w:numPr>
              <w:adjustRightInd w:val="0"/>
              <w:spacing w:line="240" w:lineRule="auto"/>
              <w:ind w:firstLineChars="0"/>
              <w:jc w:val="center"/>
              <w:rPr>
                <w:rFonts w:cs="Times New Roman"/>
                <w:sz w:val="21"/>
                <w:szCs w:val="21"/>
              </w:rPr>
            </w:pPr>
          </w:p>
        </w:tc>
        <w:tc>
          <w:tcPr>
            <w:tcW w:w="1188" w:type="pct"/>
            <w:vAlign w:val="center"/>
          </w:tcPr>
          <w:p w14:paraId="2ADA1A20">
            <w:pPr>
              <w:adjustRightInd w:val="0"/>
              <w:spacing w:line="240" w:lineRule="auto"/>
              <w:ind w:firstLine="0" w:firstLineChars="0"/>
              <w:jc w:val="center"/>
              <w:rPr>
                <w:rFonts w:cs="Times New Roman"/>
                <w:sz w:val="21"/>
                <w:szCs w:val="21"/>
              </w:rPr>
            </w:pPr>
            <w:r>
              <w:rPr>
                <w:rFonts w:hint="eastAsia" w:cs="Times New Roman"/>
                <w:kern w:val="0"/>
                <w:sz w:val="21"/>
                <w:szCs w:val="21"/>
              </w:rPr>
              <w:t>地表水达到或优于</w:t>
            </w:r>
            <w:r>
              <w:rPr>
                <w:rFonts w:cs="Times New Roman"/>
                <w:kern w:val="0"/>
                <w:sz w:val="21"/>
                <w:szCs w:val="21"/>
              </w:rPr>
              <w:t>Ⅲ类</w:t>
            </w:r>
            <w:r>
              <w:rPr>
                <w:rFonts w:hint="eastAsia" w:cs="Times New Roman"/>
                <w:kern w:val="0"/>
                <w:sz w:val="21"/>
                <w:szCs w:val="21"/>
              </w:rPr>
              <w:t>水质的比例</w:t>
            </w:r>
          </w:p>
        </w:tc>
        <w:tc>
          <w:tcPr>
            <w:tcW w:w="434" w:type="pct"/>
            <w:vAlign w:val="center"/>
          </w:tcPr>
          <w:p w14:paraId="0C290CE7">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1DE0B424">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764" w:type="pct"/>
            <w:vAlign w:val="center"/>
          </w:tcPr>
          <w:p w14:paraId="506B81B9">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765" w:type="pct"/>
            <w:vAlign w:val="center"/>
          </w:tcPr>
          <w:p w14:paraId="475C7C56">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566" w:type="pct"/>
            <w:vAlign w:val="center"/>
          </w:tcPr>
          <w:p w14:paraId="421AB8D2">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56EB4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continue"/>
            <w:vAlign w:val="center"/>
          </w:tcPr>
          <w:p w14:paraId="794C2D16">
            <w:pPr>
              <w:adjustRightInd w:val="0"/>
              <w:spacing w:line="240" w:lineRule="auto"/>
              <w:ind w:firstLine="0" w:firstLineChars="0"/>
              <w:jc w:val="center"/>
              <w:rPr>
                <w:rFonts w:cs="Times New Roman"/>
                <w:sz w:val="21"/>
                <w:szCs w:val="21"/>
              </w:rPr>
            </w:pPr>
          </w:p>
        </w:tc>
        <w:tc>
          <w:tcPr>
            <w:tcW w:w="225" w:type="pct"/>
            <w:vAlign w:val="center"/>
          </w:tcPr>
          <w:p w14:paraId="7A6A9502">
            <w:pPr>
              <w:numPr>
                <w:ilvl w:val="0"/>
                <w:numId w:val="20"/>
              </w:numPr>
              <w:adjustRightInd w:val="0"/>
              <w:spacing w:line="240" w:lineRule="auto"/>
              <w:ind w:firstLineChars="0"/>
              <w:jc w:val="center"/>
              <w:rPr>
                <w:rFonts w:cs="Times New Roman"/>
                <w:sz w:val="21"/>
                <w:szCs w:val="21"/>
              </w:rPr>
            </w:pPr>
          </w:p>
        </w:tc>
        <w:tc>
          <w:tcPr>
            <w:tcW w:w="1188" w:type="pct"/>
            <w:vAlign w:val="center"/>
          </w:tcPr>
          <w:p w14:paraId="65E35CD8">
            <w:pPr>
              <w:adjustRightInd w:val="0"/>
              <w:spacing w:line="240" w:lineRule="auto"/>
              <w:ind w:firstLine="0" w:firstLineChars="0"/>
              <w:jc w:val="center"/>
              <w:rPr>
                <w:rFonts w:cs="Times New Roman"/>
                <w:sz w:val="21"/>
                <w:szCs w:val="21"/>
              </w:rPr>
            </w:pPr>
            <w:r>
              <w:rPr>
                <w:rFonts w:hint="eastAsia" w:cs="Times New Roman"/>
                <w:sz w:val="21"/>
                <w:szCs w:val="21"/>
              </w:rPr>
              <w:t>声环境功能区达标率</w:t>
            </w:r>
          </w:p>
        </w:tc>
        <w:tc>
          <w:tcPr>
            <w:tcW w:w="434" w:type="pct"/>
            <w:vAlign w:val="center"/>
          </w:tcPr>
          <w:p w14:paraId="5E6DB2B1">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316D238B">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764" w:type="pct"/>
            <w:vAlign w:val="center"/>
          </w:tcPr>
          <w:p w14:paraId="42F94CE9">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765" w:type="pct"/>
            <w:vAlign w:val="center"/>
          </w:tcPr>
          <w:p w14:paraId="71085012">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566" w:type="pct"/>
            <w:vAlign w:val="center"/>
          </w:tcPr>
          <w:p w14:paraId="66F4C30A">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1F5AB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continue"/>
            <w:vAlign w:val="center"/>
          </w:tcPr>
          <w:p w14:paraId="1AA6417D">
            <w:pPr>
              <w:adjustRightInd w:val="0"/>
              <w:spacing w:line="240" w:lineRule="auto"/>
              <w:ind w:firstLine="0" w:firstLineChars="0"/>
              <w:jc w:val="center"/>
              <w:rPr>
                <w:rFonts w:cs="Times New Roman"/>
                <w:sz w:val="21"/>
                <w:szCs w:val="21"/>
              </w:rPr>
            </w:pPr>
          </w:p>
        </w:tc>
        <w:tc>
          <w:tcPr>
            <w:tcW w:w="225" w:type="pct"/>
            <w:vAlign w:val="center"/>
          </w:tcPr>
          <w:p w14:paraId="772B2402">
            <w:pPr>
              <w:numPr>
                <w:ilvl w:val="0"/>
                <w:numId w:val="20"/>
              </w:numPr>
              <w:adjustRightInd w:val="0"/>
              <w:spacing w:line="240" w:lineRule="auto"/>
              <w:ind w:firstLineChars="0"/>
              <w:jc w:val="center"/>
              <w:rPr>
                <w:rFonts w:cs="Times New Roman"/>
                <w:sz w:val="21"/>
                <w:szCs w:val="21"/>
              </w:rPr>
            </w:pPr>
          </w:p>
        </w:tc>
        <w:tc>
          <w:tcPr>
            <w:tcW w:w="1188" w:type="pct"/>
            <w:vAlign w:val="center"/>
          </w:tcPr>
          <w:p w14:paraId="4D116B7E">
            <w:pPr>
              <w:adjustRightInd w:val="0"/>
              <w:spacing w:line="240" w:lineRule="auto"/>
              <w:ind w:firstLine="0" w:firstLineChars="0"/>
              <w:jc w:val="center"/>
              <w:rPr>
                <w:rFonts w:cs="Times New Roman"/>
                <w:sz w:val="21"/>
                <w:szCs w:val="21"/>
              </w:rPr>
            </w:pPr>
            <w:r>
              <w:rPr>
                <w:rFonts w:hint="eastAsia" w:cs="Times New Roman"/>
                <w:sz w:val="21"/>
                <w:szCs w:val="21"/>
              </w:rPr>
              <w:t>重点建设用地安全利用率</w:t>
            </w:r>
          </w:p>
        </w:tc>
        <w:tc>
          <w:tcPr>
            <w:tcW w:w="434" w:type="pct"/>
            <w:vAlign w:val="center"/>
          </w:tcPr>
          <w:p w14:paraId="3055A9E6">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6163B053">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764" w:type="pct"/>
            <w:vAlign w:val="center"/>
          </w:tcPr>
          <w:p w14:paraId="48703CD7">
            <w:pPr>
              <w:adjustRightInd w:val="0"/>
              <w:spacing w:line="240" w:lineRule="auto"/>
              <w:ind w:firstLine="0" w:firstLineChars="0"/>
              <w:jc w:val="center"/>
              <w:rPr>
                <w:rFonts w:cs="Times New Roman"/>
                <w:sz w:val="21"/>
                <w:szCs w:val="21"/>
              </w:rPr>
            </w:pPr>
            <w:r>
              <w:rPr>
                <w:rFonts w:hint="eastAsia" w:cs="Times New Roman"/>
                <w:sz w:val="21"/>
                <w:szCs w:val="21"/>
              </w:rPr>
              <w:t>完成上级目标</w:t>
            </w:r>
          </w:p>
        </w:tc>
        <w:tc>
          <w:tcPr>
            <w:tcW w:w="765" w:type="pct"/>
            <w:vAlign w:val="center"/>
          </w:tcPr>
          <w:p w14:paraId="14DAD209">
            <w:pPr>
              <w:adjustRightInd w:val="0"/>
              <w:spacing w:line="240" w:lineRule="auto"/>
              <w:ind w:firstLine="0" w:firstLineChars="0"/>
              <w:jc w:val="center"/>
              <w:rPr>
                <w:rFonts w:cs="Times New Roman"/>
                <w:sz w:val="21"/>
                <w:szCs w:val="21"/>
              </w:rPr>
            </w:pPr>
            <w:r>
              <w:rPr>
                <w:rFonts w:hint="eastAsia" w:cs="Times New Roman"/>
                <w:sz w:val="21"/>
                <w:szCs w:val="21"/>
              </w:rPr>
              <w:t>完成上级目标</w:t>
            </w:r>
          </w:p>
        </w:tc>
        <w:tc>
          <w:tcPr>
            <w:tcW w:w="566" w:type="pct"/>
            <w:vAlign w:val="center"/>
          </w:tcPr>
          <w:p w14:paraId="29B85327">
            <w:pPr>
              <w:adjustRightInd w:val="0"/>
              <w:spacing w:line="240" w:lineRule="auto"/>
              <w:ind w:firstLine="0" w:firstLineChars="0"/>
              <w:jc w:val="center"/>
              <w:rPr>
                <w:rFonts w:cs="Times New Roman"/>
                <w:sz w:val="21"/>
                <w:szCs w:val="21"/>
              </w:rPr>
            </w:pPr>
            <w:r>
              <w:rPr>
                <w:rFonts w:hint="eastAsia" w:cs="Times New Roman"/>
                <w:sz w:val="21"/>
                <w:szCs w:val="21"/>
              </w:rPr>
              <w:t>[1][2][3]</w:t>
            </w:r>
          </w:p>
        </w:tc>
      </w:tr>
      <w:tr w14:paraId="6CC3B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restart"/>
            <w:vAlign w:val="center"/>
          </w:tcPr>
          <w:p w14:paraId="75E8D115">
            <w:pPr>
              <w:adjustRightInd w:val="0"/>
              <w:spacing w:line="240" w:lineRule="auto"/>
              <w:ind w:firstLine="0" w:firstLineChars="0"/>
              <w:jc w:val="center"/>
              <w:rPr>
                <w:rFonts w:cs="Times New Roman"/>
                <w:sz w:val="21"/>
                <w:szCs w:val="21"/>
              </w:rPr>
            </w:pPr>
            <w:r>
              <w:rPr>
                <w:rFonts w:hint="eastAsia" w:cs="Times New Roman"/>
                <w:sz w:val="21"/>
                <w:szCs w:val="21"/>
              </w:rPr>
              <w:t>污染集中治理</w:t>
            </w:r>
          </w:p>
        </w:tc>
        <w:tc>
          <w:tcPr>
            <w:tcW w:w="225" w:type="pct"/>
            <w:vAlign w:val="center"/>
          </w:tcPr>
          <w:p w14:paraId="7FAA1B98">
            <w:pPr>
              <w:numPr>
                <w:ilvl w:val="0"/>
                <w:numId w:val="20"/>
              </w:numPr>
              <w:adjustRightInd w:val="0"/>
              <w:spacing w:line="240" w:lineRule="auto"/>
              <w:ind w:firstLineChars="0"/>
              <w:jc w:val="center"/>
              <w:rPr>
                <w:rFonts w:cs="Times New Roman"/>
                <w:sz w:val="21"/>
                <w:szCs w:val="21"/>
              </w:rPr>
            </w:pPr>
          </w:p>
        </w:tc>
        <w:tc>
          <w:tcPr>
            <w:tcW w:w="1188" w:type="pct"/>
            <w:vAlign w:val="center"/>
          </w:tcPr>
          <w:p w14:paraId="3BF197EC">
            <w:pPr>
              <w:adjustRightInd w:val="0"/>
              <w:spacing w:line="240" w:lineRule="auto"/>
              <w:ind w:firstLine="0" w:firstLineChars="0"/>
              <w:jc w:val="center"/>
              <w:rPr>
                <w:rFonts w:cs="Times New Roman"/>
                <w:sz w:val="21"/>
                <w:szCs w:val="21"/>
              </w:rPr>
            </w:pPr>
            <w:r>
              <w:rPr>
                <w:rFonts w:hint="eastAsia" w:cs="Times New Roman"/>
                <w:sz w:val="21"/>
                <w:szCs w:val="21"/>
              </w:rPr>
              <w:t>农村生活污水治理率（农户治理覆盖率）</w:t>
            </w:r>
          </w:p>
        </w:tc>
        <w:tc>
          <w:tcPr>
            <w:tcW w:w="434" w:type="pct"/>
            <w:vAlign w:val="center"/>
          </w:tcPr>
          <w:p w14:paraId="3E5DFC65">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36A8895B">
            <w:pPr>
              <w:adjustRightInd w:val="0"/>
              <w:spacing w:line="240" w:lineRule="auto"/>
              <w:ind w:firstLine="0" w:firstLineChars="0"/>
              <w:jc w:val="center"/>
              <w:rPr>
                <w:rFonts w:cs="Times New Roman"/>
                <w:sz w:val="21"/>
                <w:szCs w:val="21"/>
              </w:rPr>
            </w:pPr>
            <w:r>
              <w:rPr>
                <w:rFonts w:hint="eastAsia" w:cs="Times New Roman"/>
                <w:sz w:val="21"/>
                <w:szCs w:val="21"/>
              </w:rPr>
              <w:t>91*</w:t>
            </w:r>
          </w:p>
        </w:tc>
        <w:tc>
          <w:tcPr>
            <w:tcW w:w="764" w:type="pct"/>
            <w:vAlign w:val="center"/>
          </w:tcPr>
          <w:p w14:paraId="7AAA39A7">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765" w:type="pct"/>
            <w:vAlign w:val="center"/>
          </w:tcPr>
          <w:p w14:paraId="6F72B473">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566" w:type="pct"/>
            <w:vAlign w:val="center"/>
          </w:tcPr>
          <w:p w14:paraId="1E81987D">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4F6A1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continue"/>
            <w:vAlign w:val="center"/>
          </w:tcPr>
          <w:p w14:paraId="2C7DFAC1">
            <w:pPr>
              <w:adjustRightInd w:val="0"/>
              <w:spacing w:line="240" w:lineRule="auto"/>
              <w:ind w:firstLine="0" w:firstLineChars="0"/>
              <w:jc w:val="center"/>
              <w:rPr>
                <w:rFonts w:cs="Times New Roman"/>
                <w:sz w:val="21"/>
                <w:szCs w:val="21"/>
              </w:rPr>
            </w:pPr>
          </w:p>
        </w:tc>
        <w:tc>
          <w:tcPr>
            <w:tcW w:w="225" w:type="pct"/>
            <w:vAlign w:val="center"/>
          </w:tcPr>
          <w:p w14:paraId="78098943">
            <w:pPr>
              <w:numPr>
                <w:ilvl w:val="0"/>
                <w:numId w:val="20"/>
              </w:numPr>
              <w:adjustRightInd w:val="0"/>
              <w:spacing w:line="240" w:lineRule="auto"/>
              <w:ind w:firstLineChars="0"/>
              <w:jc w:val="center"/>
              <w:rPr>
                <w:rFonts w:cs="Times New Roman"/>
                <w:sz w:val="21"/>
                <w:szCs w:val="21"/>
              </w:rPr>
            </w:pPr>
          </w:p>
        </w:tc>
        <w:tc>
          <w:tcPr>
            <w:tcW w:w="1188" w:type="pct"/>
            <w:vAlign w:val="center"/>
          </w:tcPr>
          <w:p w14:paraId="20E3D6AA">
            <w:pPr>
              <w:adjustRightInd w:val="0"/>
              <w:spacing w:line="240" w:lineRule="auto"/>
              <w:ind w:firstLine="0" w:firstLineChars="0"/>
              <w:jc w:val="center"/>
              <w:rPr>
                <w:rFonts w:cs="Times New Roman"/>
                <w:sz w:val="21"/>
                <w:szCs w:val="21"/>
              </w:rPr>
            </w:pPr>
            <w:r>
              <w:rPr>
                <w:rFonts w:hint="eastAsia" w:cs="Times New Roman"/>
                <w:sz w:val="21"/>
                <w:szCs w:val="21"/>
              </w:rPr>
              <w:t>生活垃圾分类集中收集率</w:t>
            </w:r>
          </w:p>
        </w:tc>
        <w:tc>
          <w:tcPr>
            <w:tcW w:w="434" w:type="pct"/>
            <w:vAlign w:val="center"/>
          </w:tcPr>
          <w:p w14:paraId="5FAEED08">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54C82B5D">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764" w:type="pct"/>
            <w:vAlign w:val="center"/>
          </w:tcPr>
          <w:p w14:paraId="1E34785D">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765" w:type="pct"/>
            <w:vAlign w:val="center"/>
          </w:tcPr>
          <w:p w14:paraId="5DFA38A3">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566" w:type="pct"/>
            <w:vAlign w:val="center"/>
          </w:tcPr>
          <w:p w14:paraId="635BAF89">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00089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continue"/>
            <w:vAlign w:val="center"/>
          </w:tcPr>
          <w:p w14:paraId="3326C4D0">
            <w:pPr>
              <w:adjustRightInd w:val="0"/>
              <w:spacing w:line="240" w:lineRule="auto"/>
              <w:ind w:firstLine="0" w:firstLineChars="0"/>
              <w:jc w:val="center"/>
              <w:rPr>
                <w:rFonts w:cs="Times New Roman"/>
                <w:sz w:val="21"/>
                <w:szCs w:val="21"/>
              </w:rPr>
            </w:pPr>
          </w:p>
        </w:tc>
        <w:tc>
          <w:tcPr>
            <w:tcW w:w="225" w:type="pct"/>
            <w:vAlign w:val="center"/>
          </w:tcPr>
          <w:p w14:paraId="7159337B">
            <w:pPr>
              <w:numPr>
                <w:ilvl w:val="0"/>
                <w:numId w:val="20"/>
              </w:numPr>
              <w:adjustRightInd w:val="0"/>
              <w:spacing w:line="240" w:lineRule="auto"/>
              <w:ind w:firstLineChars="0"/>
              <w:jc w:val="center"/>
              <w:rPr>
                <w:rFonts w:cs="Times New Roman"/>
                <w:sz w:val="21"/>
                <w:szCs w:val="21"/>
              </w:rPr>
            </w:pPr>
          </w:p>
        </w:tc>
        <w:tc>
          <w:tcPr>
            <w:tcW w:w="1188" w:type="pct"/>
            <w:vAlign w:val="center"/>
          </w:tcPr>
          <w:p w14:paraId="0618E04F">
            <w:pPr>
              <w:adjustRightInd w:val="0"/>
              <w:spacing w:line="240" w:lineRule="auto"/>
              <w:ind w:firstLine="0" w:firstLineChars="0"/>
              <w:jc w:val="center"/>
              <w:rPr>
                <w:rFonts w:cs="Times New Roman"/>
                <w:sz w:val="21"/>
                <w:szCs w:val="21"/>
              </w:rPr>
            </w:pPr>
            <w:r>
              <w:rPr>
                <w:rFonts w:hint="eastAsia" w:cs="Times New Roman"/>
                <w:sz w:val="21"/>
                <w:szCs w:val="21"/>
              </w:rPr>
              <w:t>农药包装废弃物无害化处理率</w:t>
            </w:r>
          </w:p>
        </w:tc>
        <w:tc>
          <w:tcPr>
            <w:tcW w:w="434" w:type="pct"/>
            <w:vAlign w:val="center"/>
          </w:tcPr>
          <w:p w14:paraId="0361FC76">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611EF276">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764" w:type="pct"/>
            <w:vAlign w:val="center"/>
          </w:tcPr>
          <w:p w14:paraId="7B489086">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765" w:type="pct"/>
            <w:vAlign w:val="center"/>
          </w:tcPr>
          <w:p w14:paraId="29DD67F5">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566" w:type="pct"/>
            <w:vAlign w:val="center"/>
          </w:tcPr>
          <w:p w14:paraId="2DE9DE79">
            <w:pPr>
              <w:adjustRightInd w:val="0"/>
              <w:spacing w:line="240" w:lineRule="auto"/>
              <w:ind w:firstLine="0" w:firstLineChars="0"/>
              <w:jc w:val="center"/>
              <w:rPr>
                <w:rFonts w:cs="Times New Roman"/>
                <w:sz w:val="21"/>
                <w:szCs w:val="21"/>
              </w:rPr>
            </w:pPr>
            <w:r>
              <w:rPr>
                <w:rFonts w:hint="eastAsia" w:cs="Times New Roman"/>
                <w:sz w:val="21"/>
                <w:szCs w:val="21"/>
              </w:rPr>
              <w:t>[1][2][3]</w:t>
            </w:r>
          </w:p>
        </w:tc>
      </w:tr>
      <w:tr w14:paraId="3609F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restart"/>
            <w:vAlign w:val="center"/>
          </w:tcPr>
          <w:p w14:paraId="63CF9C53">
            <w:pPr>
              <w:adjustRightInd w:val="0"/>
              <w:spacing w:line="240" w:lineRule="auto"/>
              <w:ind w:firstLine="0" w:firstLineChars="0"/>
              <w:jc w:val="center"/>
              <w:rPr>
                <w:rFonts w:cs="Times New Roman"/>
                <w:sz w:val="21"/>
                <w:szCs w:val="21"/>
              </w:rPr>
            </w:pPr>
            <w:r>
              <w:rPr>
                <w:rFonts w:hint="eastAsia" w:cs="Times New Roman"/>
                <w:sz w:val="21"/>
                <w:szCs w:val="21"/>
              </w:rPr>
              <w:t>生态保护</w:t>
            </w:r>
          </w:p>
        </w:tc>
        <w:tc>
          <w:tcPr>
            <w:tcW w:w="225" w:type="pct"/>
            <w:vAlign w:val="center"/>
          </w:tcPr>
          <w:p w14:paraId="2EAD1756">
            <w:pPr>
              <w:numPr>
                <w:ilvl w:val="0"/>
                <w:numId w:val="20"/>
              </w:numPr>
              <w:adjustRightInd w:val="0"/>
              <w:spacing w:line="240" w:lineRule="auto"/>
              <w:ind w:firstLineChars="0"/>
              <w:jc w:val="center"/>
              <w:rPr>
                <w:rFonts w:cs="Times New Roman"/>
                <w:sz w:val="21"/>
                <w:szCs w:val="21"/>
              </w:rPr>
            </w:pPr>
          </w:p>
        </w:tc>
        <w:tc>
          <w:tcPr>
            <w:tcW w:w="1188" w:type="pct"/>
            <w:vAlign w:val="center"/>
          </w:tcPr>
          <w:p w14:paraId="41651708">
            <w:pPr>
              <w:adjustRightInd w:val="0"/>
              <w:spacing w:line="240" w:lineRule="auto"/>
              <w:ind w:firstLine="0" w:firstLineChars="0"/>
              <w:jc w:val="center"/>
              <w:rPr>
                <w:rFonts w:cs="Times New Roman"/>
                <w:sz w:val="21"/>
                <w:szCs w:val="21"/>
              </w:rPr>
            </w:pPr>
            <w:r>
              <w:rPr>
                <w:rFonts w:hint="eastAsia" w:cs="Times New Roman"/>
                <w:sz w:val="21"/>
                <w:szCs w:val="21"/>
              </w:rPr>
              <w:t>国家级生态保护红线占陆域国土面积比例</w:t>
            </w:r>
          </w:p>
        </w:tc>
        <w:tc>
          <w:tcPr>
            <w:tcW w:w="434" w:type="pct"/>
            <w:vAlign w:val="center"/>
          </w:tcPr>
          <w:p w14:paraId="5E31711C">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29CD2BE5">
            <w:pPr>
              <w:adjustRightInd w:val="0"/>
              <w:spacing w:line="240" w:lineRule="auto"/>
              <w:ind w:firstLine="0" w:firstLineChars="0"/>
              <w:jc w:val="center"/>
              <w:rPr>
                <w:rFonts w:cs="Times New Roman"/>
                <w:sz w:val="21"/>
                <w:szCs w:val="21"/>
              </w:rPr>
            </w:pPr>
            <w:r>
              <w:rPr>
                <w:rFonts w:hint="eastAsia" w:cs="Times New Roman"/>
                <w:sz w:val="21"/>
                <w:szCs w:val="21"/>
              </w:rPr>
              <w:t>14.59</w:t>
            </w:r>
          </w:p>
        </w:tc>
        <w:tc>
          <w:tcPr>
            <w:tcW w:w="764" w:type="pct"/>
            <w:vAlign w:val="center"/>
          </w:tcPr>
          <w:p w14:paraId="3F19B92C">
            <w:pPr>
              <w:adjustRightInd w:val="0"/>
              <w:spacing w:line="240" w:lineRule="auto"/>
              <w:ind w:firstLine="0" w:firstLineChars="0"/>
              <w:jc w:val="center"/>
              <w:rPr>
                <w:rFonts w:cs="Times New Roman"/>
                <w:sz w:val="21"/>
                <w:szCs w:val="21"/>
              </w:rPr>
            </w:pPr>
            <w:r>
              <w:rPr>
                <w:rFonts w:hint="eastAsia" w:cs="Times New Roman"/>
                <w:sz w:val="21"/>
                <w:szCs w:val="21"/>
              </w:rPr>
              <w:t>不降低</w:t>
            </w:r>
          </w:p>
        </w:tc>
        <w:tc>
          <w:tcPr>
            <w:tcW w:w="765" w:type="pct"/>
            <w:vAlign w:val="center"/>
          </w:tcPr>
          <w:p w14:paraId="58E1A3AD">
            <w:pPr>
              <w:adjustRightInd w:val="0"/>
              <w:spacing w:line="240" w:lineRule="auto"/>
              <w:ind w:firstLine="0" w:firstLineChars="0"/>
              <w:jc w:val="center"/>
              <w:rPr>
                <w:rFonts w:cs="Times New Roman"/>
                <w:sz w:val="21"/>
                <w:szCs w:val="21"/>
              </w:rPr>
            </w:pPr>
            <w:r>
              <w:rPr>
                <w:rFonts w:hint="eastAsia" w:cs="Times New Roman"/>
                <w:sz w:val="21"/>
                <w:szCs w:val="21"/>
              </w:rPr>
              <w:t>不降低</w:t>
            </w:r>
          </w:p>
        </w:tc>
        <w:tc>
          <w:tcPr>
            <w:tcW w:w="566" w:type="pct"/>
            <w:vAlign w:val="center"/>
          </w:tcPr>
          <w:p w14:paraId="635103C1">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58096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continue"/>
            <w:vAlign w:val="center"/>
          </w:tcPr>
          <w:p w14:paraId="364E2D35">
            <w:pPr>
              <w:adjustRightInd w:val="0"/>
              <w:spacing w:line="240" w:lineRule="auto"/>
              <w:ind w:firstLine="0" w:firstLineChars="0"/>
              <w:jc w:val="center"/>
              <w:rPr>
                <w:rFonts w:cs="Times New Roman"/>
                <w:sz w:val="21"/>
                <w:szCs w:val="21"/>
              </w:rPr>
            </w:pPr>
          </w:p>
        </w:tc>
        <w:tc>
          <w:tcPr>
            <w:tcW w:w="225" w:type="pct"/>
            <w:vAlign w:val="center"/>
          </w:tcPr>
          <w:p w14:paraId="70291076">
            <w:pPr>
              <w:numPr>
                <w:ilvl w:val="0"/>
                <w:numId w:val="20"/>
              </w:numPr>
              <w:adjustRightInd w:val="0"/>
              <w:spacing w:line="240" w:lineRule="auto"/>
              <w:ind w:firstLineChars="0"/>
              <w:jc w:val="center"/>
              <w:rPr>
                <w:rFonts w:cs="Times New Roman"/>
                <w:sz w:val="21"/>
                <w:szCs w:val="21"/>
              </w:rPr>
            </w:pPr>
          </w:p>
        </w:tc>
        <w:tc>
          <w:tcPr>
            <w:tcW w:w="1188" w:type="pct"/>
            <w:vAlign w:val="center"/>
          </w:tcPr>
          <w:p w14:paraId="72696045">
            <w:pPr>
              <w:adjustRightInd w:val="0"/>
              <w:spacing w:line="240" w:lineRule="auto"/>
              <w:ind w:firstLine="0" w:firstLineChars="0"/>
              <w:jc w:val="center"/>
              <w:rPr>
                <w:rFonts w:cs="Times New Roman"/>
                <w:sz w:val="21"/>
                <w:szCs w:val="21"/>
              </w:rPr>
            </w:pPr>
            <w:r>
              <w:rPr>
                <w:rFonts w:hint="eastAsia" w:cs="Times New Roman"/>
                <w:sz w:val="21"/>
                <w:szCs w:val="21"/>
              </w:rPr>
              <w:t>生态空间管控区域占陆域国土面积比例</w:t>
            </w:r>
          </w:p>
        </w:tc>
        <w:tc>
          <w:tcPr>
            <w:tcW w:w="434" w:type="pct"/>
            <w:vAlign w:val="center"/>
          </w:tcPr>
          <w:p w14:paraId="4F9F3C5D">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2ADB9B05">
            <w:pPr>
              <w:adjustRightInd w:val="0"/>
              <w:spacing w:line="240" w:lineRule="auto"/>
              <w:ind w:firstLine="0" w:firstLineChars="0"/>
              <w:jc w:val="center"/>
              <w:rPr>
                <w:rFonts w:cs="Times New Roman"/>
                <w:sz w:val="21"/>
                <w:szCs w:val="21"/>
              </w:rPr>
            </w:pPr>
            <w:r>
              <w:rPr>
                <w:rFonts w:hint="eastAsia" w:cs="Times New Roman"/>
                <w:sz w:val="21"/>
                <w:szCs w:val="21"/>
              </w:rPr>
              <w:t>50.99</w:t>
            </w:r>
          </w:p>
        </w:tc>
        <w:tc>
          <w:tcPr>
            <w:tcW w:w="764" w:type="pct"/>
            <w:vAlign w:val="center"/>
          </w:tcPr>
          <w:p w14:paraId="45D6E37C">
            <w:pPr>
              <w:adjustRightInd w:val="0"/>
              <w:spacing w:line="240" w:lineRule="auto"/>
              <w:ind w:firstLine="0" w:firstLineChars="0"/>
              <w:jc w:val="center"/>
              <w:rPr>
                <w:rFonts w:cs="Times New Roman"/>
                <w:sz w:val="21"/>
                <w:szCs w:val="21"/>
              </w:rPr>
            </w:pPr>
            <w:r>
              <w:rPr>
                <w:rFonts w:hint="eastAsia" w:cs="Times New Roman"/>
                <w:sz w:val="21"/>
                <w:szCs w:val="21"/>
              </w:rPr>
              <w:t>不降低</w:t>
            </w:r>
          </w:p>
        </w:tc>
        <w:tc>
          <w:tcPr>
            <w:tcW w:w="765" w:type="pct"/>
            <w:vAlign w:val="center"/>
          </w:tcPr>
          <w:p w14:paraId="5FE1EFA0">
            <w:pPr>
              <w:adjustRightInd w:val="0"/>
              <w:spacing w:line="240" w:lineRule="auto"/>
              <w:ind w:firstLine="0" w:firstLineChars="0"/>
              <w:jc w:val="center"/>
              <w:rPr>
                <w:rFonts w:cs="Times New Roman"/>
                <w:sz w:val="21"/>
                <w:szCs w:val="21"/>
              </w:rPr>
            </w:pPr>
            <w:r>
              <w:rPr>
                <w:rFonts w:hint="eastAsia" w:cs="Times New Roman"/>
                <w:sz w:val="21"/>
                <w:szCs w:val="21"/>
              </w:rPr>
              <w:t>不降低</w:t>
            </w:r>
          </w:p>
        </w:tc>
        <w:tc>
          <w:tcPr>
            <w:tcW w:w="566" w:type="pct"/>
            <w:vAlign w:val="center"/>
          </w:tcPr>
          <w:p w14:paraId="79B2B652">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01B5C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continue"/>
            <w:vAlign w:val="center"/>
          </w:tcPr>
          <w:p w14:paraId="7C09CB77">
            <w:pPr>
              <w:adjustRightInd w:val="0"/>
              <w:spacing w:line="240" w:lineRule="auto"/>
              <w:ind w:firstLine="0" w:firstLineChars="0"/>
              <w:jc w:val="center"/>
              <w:rPr>
                <w:rFonts w:cs="Times New Roman"/>
                <w:sz w:val="21"/>
                <w:szCs w:val="21"/>
              </w:rPr>
            </w:pPr>
          </w:p>
        </w:tc>
        <w:tc>
          <w:tcPr>
            <w:tcW w:w="225" w:type="pct"/>
            <w:vAlign w:val="center"/>
          </w:tcPr>
          <w:p w14:paraId="1ECF8FDD">
            <w:pPr>
              <w:numPr>
                <w:ilvl w:val="0"/>
                <w:numId w:val="20"/>
              </w:numPr>
              <w:adjustRightInd w:val="0"/>
              <w:spacing w:line="240" w:lineRule="auto"/>
              <w:ind w:firstLineChars="0"/>
              <w:jc w:val="center"/>
              <w:rPr>
                <w:rFonts w:cs="Times New Roman"/>
                <w:sz w:val="21"/>
                <w:szCs w:val="21"/>
              </w:rPr>
            </w:pPr>
          </w:p>
        </w:tc>
        <w:tc>
          <w:tcPr>
            <w:tcW w:w="1188" w:type="pct"/>
            <w:vAlign w:val="center"/>
          </w:tcPr>
          <w:p w14:paraId="1BCEE00A">
            <w:pPr>
              <w:adjustRightInd w:val="0"/>
              <w:spacing w:line="240" w:lineRule="auto"/>
              <w:ind w:firstLine="0" w:firstLineChars="0"/>
              <w:jc w:val="center"/>
              <w:rPr>
                <w:rFonts w:cs="Times New Roman"/>
                <w:sz w:val="21"/>
                <w:szCs w:val="21"/>
                <w:highlight w:val="yellow"/>
              </w:rPr>
            </w:pPr>
            <w:r>
              <w:rPr>
                <w:rFonts w:hint="eastAsia" w:cs="Times New Roman"/>
                <w:sz w:val="21"/>
                <w:szCs w:val="21"/>
              </w:rPr>
              <w:t>林木覆盖率</w:t>
            </w:r>
          </w:p>
        </w:tc>
        <w:tc>
          <w:tcPr>
            <w:tcW w:w="434" w:type="pct"/>
            <w:vAlign w:val="center"/>
          </w:tcPr>
          <w:p w14:paraId="6A758F6F">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3B0C912E">
            <w:pPr>
              <w:adjustRightInd w:val="0"/>
              <w:spacing w:line="240" w:lineRule="auto"/>
              <w:ind w:firstLine="0" w:firstLineChars="0"/>
              <w:jc w:val="center"/>
              <w:rPr>
                <w:rFonts w:cs="Times New Roman"/>
                <w:sz w:val="21"/>
                <w:szCs w:val="21"/>
              </w:rPr>
            </w:pPr>
            <w:r>
              <w:rPr>
                <w:rFonts w:hint="eastAsia" w:cs="Times New Roman"/>
                <w:sz w:val="21"/>
                <w:szCs w:val="21"/>
              </w:rPr>
              <w:t>56</w:t>
            </w:r>
          </w:p>
        </w:tc>
        <w:tc>
          <w:tcPr>
            <w:tcW w:w="764" w:type="pct"/>
            <w:vAlign w:val="center"/>
          </w:tcPr>
          <w:p w14:paraId="6C2A7537">
            <w:pPr>
              <w:adjustRightInd w:val="0"/>
              <w:spacing w:line="240" w:lineRule="auto"/>
              <w:ind w:firstLine="0" w:firstLineChars="0"/>
              <w:jc w:val="center"/>
              <w:rPr>
                <w:rFonts w:cs="Times New Roman"/>
                <w:sz w:val="21"/>
                <w:szCs w:val="21"/>
              </w:rPr>
            </w:pPr>
            <w:r>
              <w:rPr>
                <w:rFonts w:hint="eastAsia" w:cs="Times New Roman"/>
                <w:sz w:val="21"/>
                <w:szCs w:val="21"/>
              </w:rPr>
              <w:t>不降低</w:t>
            </w:r>
          </w:p>
        </w:tc>
        <w:tc>
          <w:tcPr>
            <w:tcW w:w="765" w:type="pct"/>
            <w:vAlign w:val="center"/>
          </w:tcPr>
          <w:p w14:paraId="33DFA136">
            <w:pPr>
              <w:adjustRightInd w:val="0"/>
              <w:spacing w:line="240" w:lineRule="auto"/>
              <w:ind w:firstLine="0" w:firstLineChars="0"/>
              <w:jc w:val="center"/>
              <w:rPr>
                <w:rFonts w:cs="Times New Roman"/>
                <w:sz w:val="21"/>
                <w:szCs w:val="21"/>
              </w:rPr>
            </w:pPr>
            <w:r>
              <w:rPr>
                <w:rFonts w:hint="eastAsia" w:cs="Times New Roman"/>
                <w:sz w:val="21"/>
                <w:szCs w:val="21"/>
              </w:rPr>
              <w:t>不降低</w:t>
            </w:r>
          </w:p>
        </w:tc>
        <w:tc>
          <w:tcPr>
            <w:tcW w:w="566" w:type="pct"/>
            <w:vAlign w:val="center"/>
          </w:tcPr>
          <w:p w14:paraId="2538738E">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74409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continue"/>
            <w:vAlign w:val="center"/>
          </w:tcPr>
          <w:p w14:paraId="35AEC84E">
            <w:pPr>
              <w:adjustRightInd w:val="0"/>
              <w:spacing w:line="240" w:lineRule="auto"/>
              <w:ind w:firstLine="0" w:firstLineChars="0"/>
              <w:jc w:val="center"/>
              <w:rPr>
                <w:rFonts w:cs="Times New Roman"/>
                <w:sz w:val="21"/>
                <w:szCs w:val="21"/>
              </w:rPr>
            </w:pPr>
          </w:p>
        </w:tc>
        <w:tc>
          <w:tcPr>
            <w:tcW w:w="225" w:type="pct"/>
            <w:vAlign w:val="center"/>
          </w:tcPr>
          <w:p w14:paraId="0D4719AE">
            <w:pPr>
              <w:numPr>
                <w:ilvl w:val="0"/>
                <w:numId w:val="20"/>
              </w:numPr>
              <w:adjustRightInd w:val="0"/>
              <w:spacing w:line="240" w:lineRule="auto"/>
              <w:ind w:firstLineChars="0"/>
              <w:jc w:val="center"/>
              <w:rPr>
                <w:rFonts w:cs="Times New Roman"/>
                <w:sz w:val="21"/>
                <w:szCs w:val="21"/>
              </w:rPr>
            </w:pPr>
          </w:p>
        </w:tc>
        <w:tc>
          <w:tcPr>
            <w:tcW w:w="1188" w:type="pct"/>
            <w:vAlign w:val="center"/>
          </w:tcPr>
          <w:p w14:paraId="7BB0DB4F">
            <w:pPr>
              <w:adjustRightInd w:val="0"/>
              <w:spacing w:line="240" w:lineRule="auto"/>
              <w:ind w:firstLine="0" w:firstLineChars="0"/>
              <w:jc w:val="center"/>
              <w:rPr>
                <w:rFonts w:cs="Times New Roman"/>
                <w:sz w:val="21"/>
                <w:szCs w:val="21"/>
              </w:rPr>
            </w:pPr>
            <w:r>
              <w:rPr>
                <w:rFonts w:hint="eastAsia" w:cs="Times New Roman"/>
                <w:sz w:val="21"/>
                <w:szCs w:val="21"/>
              </w:rPr>
              <w:t>生物多样性指数</w:t>
            </w:r>
          </w:p>
        </w:tc>
        <w:tc>
          <w:tcPr>
            <w:tcW w:w="434" w:type="pct"/>
            <w:vAlign w:val="center"/>
          </w:tcPr>
          <w:p w14:paraId="4ADA6141">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36D1E8AF">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764" w:type="pct"/>
            <w:vAlign w:val="center"/>
          </w:tcPr>
          <w:p w14:paraId="2DD854E5">
            <w:pPr>
              <w:adjustRightInd w:val="0"/>
              <w:spacing w:line="240" w:lineRule="auto"/>
              <w:ind w:firstLine="0" w:firstLineChars="0"/>
              <w:jc w:val="center"/>
              <w:rPr>
                <w:rFonts w:cs="Times New Roman"/>
                <w:sz w:val="21"/>
                <w:szCs w:val="21"/>
              </w:rPr>
            </w:pPr>
            <w:r>
              <w:rPr>
                <w:rFonts w:hint="eastAsia" w:cs="Times New Roman"/>
                <w:sz w:val="21"/>
                <w:szCs w:val="21"/>
              </w:rPr>
              <w:t>维持现状或略有增加</w:t>
            </w:r>
          </w:p>
        </w:tc>
        <w:tc>
          <w:tcPr>
            <w:tcW w:w="765" w:type="pct"/>
            <w:vAlign w:val="center"/>
          </w:tcPr>
          <w:p w14:paraId="5F3DAE6E">
            <w:pPr>
              <w:adjustRightInd w:val="0"/>
              <w:spacing w:line="240" w:lineRule="auto"/>
              <w:ind w:firstLine="0" w:firstLineChars="0"/>
              <w:jc w:val="center"/>
              <w:rPr>
                <w:rFonts w:cs="Times New Roman"/>
                <w:sz w:val="21"/>
                <w:szCs w:val="21"/>
              </w:rPr>
            </w:pPr>
            <w:r>
              <w:rPr>
                <w:rFonts w:hint="eastAsia" w:cs="Times New Roman"/>
                <w:sz w:val="21"/>
                <w:szCs w:val="21"/>
              </w:rPr>
              <w:t>维持现状或略有增加</w:t>
            </w:r>
          </w:p>
        </w:tc>
        <w:tc>
          <w:tcPr>
            <w:tcW w:w="566" w:type="pct"/>
            <w:vAlign w:val="center"/>
          </w:tcPr>
          <w:p w14:paraId="5C59989C">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742D4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continue"/>
            <w:vAlign w:val="center"/>
          </w:tcPr>
          <w:p w14:paraId="6C556522">
            <w:pPr>
              <w:adjustRightInd w:val="0"/>
              <w:spacing w:line="240" w:lineRule="auto"/>
              <w:ind w:firstLine="0" w:firstLineChars="0"/>
              <w:jc w:val="center"/>
              <w:rPr>
                <w:rFonts w:cs="Times New Roman"/>
                <w:sz w:val="21"/>
                <w:szCs w:val="21"/>
              </w:rPr>
            </w:pPr>
          </w:p>
        </w:tc>
        <w:tc>
          <w:tcPr>
            <w:tcW w:w="225" w:type="pct"/>
            <w:vAlign w:val="center"/>
          </w:tcPr>
          <w:p w14:paraId="2315B147">
            <w:pPr>
              <w:numPr>
                <w:ilvl w:val="0"/>
                <w:numId w:val="20"/>
              </w:numPr>
              <w:adjustRightInd w:val="0"/>
              <w:spacing w:line="240" w:lineRule="auto"/>
              <w:ind w:firstLineChars="0"/>
              <w:jc w:val="center"/>
              <w:rPr>
                <w:rFonts w:cs="Times New Roman"/>
                <w:sz w:val="21"/>
                <w:szCs w:val="21"/>
              </w:rPr>
            </w:pPr>
          </w:p>
        </w:tc>
        <w:tc>
          <w:tcPr>
            <w:tcW w:w="1188" w:type="pct"/>
            <w:vAlign w:val="center"/>
          </w:tcPr>
          <w:p w14:paraId="123EC83D">
            <w:pPr>
              <w:adjustRightInd w:val="0"/>
              <w:spacing w:line="240" w:lineRule="auto"/>
              <w:ind w:firstLine="0" w:firstLineChars="0"/>
              <w:jc w:val="center"/>
              <w:rPr>
                <w:rFonts w:cs="Times New Roman"/>
                <w:sz w:val="21"/>
                <w:szCs w:val="21"/>
              </w:rPr>
            </w:pPr>
            <w:r>
              <w:rPr>
                <w:rFonts w:hint="eastAsia" w:cs="Times New Roman"/>
                <w:sz w:val="21"/>
                <w:szCs w:val="21"/>
              </w:rPr>
              <w:t>碳汇能力</w:t>
            </w:r>
          </w:p>
        </w:tc>
        <w:tc>
          <w:tcPr>
            <w:tcW w:w="434" w:type="pct"/>
            <w:vAlign w:val="center"/>
          </w:tcPr>
          <w:p w14:paraId="0D947EAA">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14CC0392">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764" w:type="pct"/>
            <w:vAlign w:val="center"/>
          </w:tcPr>
          <w:p w14:paraId="71B1BA46">
            <w:pPr>
              <w:adjustRightInd w:val="0"/>
              <w:spacing w:line="240" w:lineRule="auto"/>
              <w:ind w:firstLine="0" w:firstLineChars="0"/>
              <w:jc w:val="center"/>
              <w:rPr>
                <w:rFonts w:cs="Times New Roman"/>
                <w:sz w:val="21"/>
                <w:szCs w:val="21"/>
              </w:rPr>
            </w:pPr>
            <w:r>
              <w:rPr>
                <w:rFonts w:hint="eastAsia" w:cs="Times New Roman"/>
                <w:sz w:val="21"/>
                <w:szCs w:val="21"/>
              </w:rPr>
              <w:t>不降低</w:t>
            </w:r>
          </w:p>
        </w:tc>
        <w:tc>
          <w:tcPr>
            <w:tcW w:w="765" w:type="pct"/>
            <w:vAlign w:val="center"/>
          </w:tcPr>
          <w:p w14:paraId="4A43FF26">
            <w:pPr>
              <w:adjustRightInd w:val="0"/>
              <w:spacing w:line="240" w:lineRule="auto"/>
              <w:ind w:firstLine="0" w:firstLineChars="0"/>
              <w:jc w:val="center"/>
              <w:rPr>
                <w:rFonts w:cs="Times New Roman"/>
                <w:sz w:val="21"/>
                <w:szCs w:val="21"/>
              </w:rPr>
            </w:pPr>
            <w:r>
              <w:rPr>
                <w:rFonts w:hint="eastAsia" w:cs="Times New Roman"/>
                <w:sz w:val="21"/>
                <w:szCs w:val="21"/>
              </w:rPr>
              <w:t>不降低</w:t>
            </w:r>
          </w:p>
        </w:tc>
        <w:tc>
          <w:tcPr>
            <w:tcW w:w="566" w:type="pct"/>
            <w:vAlign w:val="center"/>
          </w:tcPr>
          <w:p w14:paraId="2DA0280D">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15FE1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restart"/>
            <w:vAlign w:val="center"/>
          </w:tcPr>
          <w:p w14:paraId="08EF970D">
            <w:pPr>
              <w:adjustRightInd w:val="0"/>
              <w:spacing w:line="240" w:lineRule="auto"/>
              <w:ind w:firstLine="0" w:firstLineChars="0"/>
              <w:jc w:val="center"/>
              <w:rPr>
                <w:rFonts w:cs="Times New Roman"/>
                <w:sz w:val="21"/>
                <w:szCs w:val="21"/>
              </w:rPr>
            </w:pPr>
            <w:r>
              <w:rPr>
                <w:rFonts w:hint="eastAsia" w:cs="Times New Roman"/>
                <w:sz w:val="21"/>
                <w:szCs w:val="21"/>
              </w:rPr>
              <w:t>减污降碳</w:t>
            </w:r>
          </w:p>
        </w:tc>
        <w:tc>
          <w:tcPr>
            <w:tcW w:w="225" w:type="pct"/>
            <w:vAlign w:val="center"/>
          </w:tcPr>
          <w:p w14:paraId="6A827B0D">
            <w:pPr>
              <w:numPr>
                <w:ilvl w:val="0"/>
                <w:numId w:val="20"/>
              </w:numPr>
              <w:adjustRightInd w:val="0"/>
              <w:spacing w:line="240" w:lineRule="auto"/>
              <w:ind w:firstLineChars="0"/>
              <w:jc w:val="center"/>
              <w:rPr>
                <w:rFonts w:cs="Times New Roman"/>
                <w:sz w:val="21"/>
                <w:szCs w:val="21"/>
              </w:rPr>
            </w:pPr>
          </w:p>
        </w:tc>
        <w:tc>
          <w:tcPr>
            <w:tcW w:w="1188" w:type="pct"/>
            <w:vAlign w:val="center"/>
          </w:tcPr>
          <w:p w14:paraId="2AB79DCE">
            <w:pPr>
              <w:adjustRightInd w:val="0"/>
              <w:spacing w:line="240" w:lineRule="auto"/>
              <w:ind w:firstLine="0" w:firstLineChars="0"/>
              <w:jc w:val="center"/>
              <w:rPr>
                <w:rFonts w:cs="Times New Roman"/>
                <w:sz w:val="21"/>
                <w:szCs w:val="21"/>
              </w:rPr>
            </w:pPr>
            <w:r>
              <w:rPr>
                <w:rFonts w:hint="eastAsia" w:cs="Times New Roman"/>
                <w:sz w:val="21"/>
                <w:szCs w:val="21"/>
              </w:rPr>
              <w:t>城镇绿色建筑占新建建筑比例</w:t>
            </w:r>
          </w:p>
        </w:tc>
        <w:tc>
          <w:tcPr>
            <w:tcW w:w="434" w:type="pct"/>
            <w:vAlign w:val="center"/>
          </w:tcPr>
          <w:p w14:paraId="612DB9E1">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3240E8F8">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764" w:type="pct"/>
            <w:vAlign w:val="center"/>
          </w:tcPr>
          <w:p w14:paraId="7F365213">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765" w:type="pct"/>
            <w:vAlign w:val="center"/>
          </w:tcPr>
          <w:p w14:paraId="61F796E4">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566" w:type="pct"/>
            <w:vAlign w:val="center"/>
          </w:tcPr>
          <w:p w14:paraId="7264898F">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004A8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continue"/>
            <w:vAlign w:val="center"/>
          </w:tcPr>
          <w:p w14:paraId="511A723A">
            <w:pPr>
              <w:adjustRightInd w:val="0"/>
              <w:spacing w:line="240" w:lineRule="auto"/>
              <w:ind w:firstLine="0" w:firstLineChars="0"/>
              <w:jc w:val="center"/>
              <w:rPr>
                <w:rFonts w:cs="Times New Roman"/>
                <w:sz w:val="21"/>
                <w:szCs w:val="21"/>
              </w:rPr>
            </w:pPr>
          </w:p>
        </w:tc>
        <w:tc>
          <w:tcPr>
            <w:tcW w:w="225" w:type="pct"/>
            <w:vAlign w:val="center"/>
          </w:tcPr>
          <w:p w14:paraId="7E9CF355">
            <w:pPr>
              <w:numPr>
                <w:ilvl w:val="0"/>
                <w:numId w:val="20"/>
              </w:numPr>
              <w:adjustRightInd w:val="0"/>
              <w:spacing w:line="240" w:lineRule="auto"/>
              <w:ind w:firstLineChars="0"/>
              <w:jc w:val="center"/>
              <w:rPr>
                <w:rFonts w:cs="Times New Roman"/>
                <w:sz w:val="21"/>
                <w:szCs w:val="21"/>
              </w:rPr>
            </w:pPr>
          </w:p>
        </w:tc>
        <w:tc>
          <w:tcPr>
            <w:tcW w:w="1188" w:type="pct"/>
            <w:vAlign w:val="center"/>
          </w:tcPr>
          <w:p w14:paraId="66300308">
            <w:pPr>
              <w:adjustRightInd w:val="0"/>
              <w:spacing w:line="240" w:lineRule="auto"/>
              <w:ind w:firstLine="0" w:firstLineChars="0"/>
              <w:jc w:val="center"/>
              <w:rPr>
                <w:rFonts w:cs="Times New Roman"/>
                <w:sz w:val="21"/>
                <w:szCs w:val="21"/>
              </w:rPr>
            </w:pPr>
            <w:r>
              <w:rPr>
                <w:rFonts w:hint="eastAsia" w:cs="Times New Roman"/>
                <w:sz w:val="21"/>
                <w:szCs w:val="21"/>
              </w:rPr>
              <w:t>新购清洁能源和新能源公交车辆占比</w:t>
            </w:r>
          </w:p>
        </w:tc>
        <w:tc>
          <w:tcPr>
            <w:tcW w:w="434" w:type="pct"/>
            <w:vAlign w:val="center"/>
          </w:tcPr>
          <w:p w14:paraId="5AF12D2F">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715F57C3">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764" w:type="pct"/>
            <w:vAlign w:val="center"/>
          </w:tcPr>
          <w:p w14:paraId="71B6BF0F">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765" w:type="pct"/>
            <w:vAlign w:val="center"/>
          </w:tcPr>
          <w:p w14:paraId="0ACC9FF5">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566" w:type="pct"/>
            <w:vAlign w:val="center"/>
          </w:tcPr>
          <w:p w14:paraId="67213712">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0BF3E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restart"/>
            <w:vAlign w:val="center"/>
          </w:tcPr>
          <w:p w14:paraId="466F0374">
            <w:pPr>
              <w:adjustRightInd w:val="0"/>
              <w:spacing w:line="240" w:lineRule="auto"/>
              <w:ind w:firstLine="0" w:firstLineChars="0"/>
              <w:jc w:val="center"/>
              <w:rPr>
                <w:rFonts w:cs="Times New Roman"/>
                <w:sz w:val="21"/>
                <w:szCs w:val="21"/>
              </w:rPr>
            </w:pPr>
            <w:r>
              <w:rPr>
                <w:rFonts w:hint="eastAsia" w:cs="Times New Roman"/>
                <w:sz w:val="21"/>
                <w:szCs w:val="21"/>
              </w:rPr>
              <w:t>环境管理</w:t>
            </w:r>
          </w:p>
        </w:tc>
        <w:tc>
          <w:tcPr>
            <w:tcW w:w="225" w:type="pct"/>
            <w:vAlign w:val="center"/>
          </w:tcPr>
          <w:p w14:paraId="2BE450F6">
            <w:pPr>
              <w:numPr>
                <w:ilvl w:val="0"/>
                <w:numId w:val="20"/>
              </w:numPr>
              <w:adjustRightInd w:val="0"/>
              <w:spacing w:line="240" w:lineRule="auto"/>
              <w:ind w:firstLineChars="0"/>
              <w:jc w:val="center"/>
              <w:rPr>
                <w:rFonts w:cs="Times New Roman"/>
                <w:sz w:val="21"/>
                <w:szCs w:val="21"/>
              </w:rPr>
            </w:pPr>
          </w:p>
        </w:tc>
        <w:tc>
          <w:tcPr>
            <w:tcW w:w="1188" w:type="pct"/>
            <w:vAlign w:val="center"/>
          </w:tcPr>
          <w:p w14:paraId="7102AABB">
            <w:pPr>
              <w:adjustRightInd w:val="0"/>
              <w:spacing w:line="240" w:lineRule="auto"/>
              <w:ind w:firstLine="0" w:firstLineChars="0"/>
              <w:jc w:val="center"/>
              <w:rPr>
                <w:rFonts w:cs="Times New Roman"/>
                <w:sz w:val="21"/>
                <w:szCs w:val="21"/>
              </w:rPr>
            </w:pPr>
            <w:r>
              <w:rPr>
                <w:rFonts w:hint="eastAsia" w:cs="Times New Roman"/>
                <w:sz w:val="21"/>
                <w:szCs w:val="21"/>
              </w:rPr>
              <w:t>环境管理能力完善度</w:t>
            </w:r>
          </w:p>
        </w:tc>
        <w:tc>
          <w:tcPr>
            <w:tcW w:w="434" w:type="pct"/>
            <w:vAlign w:val="center"/>
          </w:tcPr>
          <w:p w14:paraId="0E5CBF13">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171AE830">
            <w:pPr>
              <w:adjustRightInd w:val="0"/>
              <w:spacing w:line="240" w:lineRule="auto"/>
              <w:ind w:firstLine="0" w:firstLineChars="0"/>
              <w:jc w:val="center"/>
              <w:rPr>
                <w:rFonts w:cs="Times New Roman"/>
                <w:sz w:val="21"/>
                <w:szCs w:val="21"/>
              </w:rPr>
            </w:pPr>
            <w:r>
              <w:rPr>
                <w:rFonts w:hint="eastAsia" w:cs="Times New Roman"/>
                <w:sz w:val="21"/>
                <w:szCs w:val="21"/>
              </w:rPr>
              <w:t>待完善</w:t>
            </w:r>
          </w:p>
        </w:tc>
        <w:tc>
          <w:tcPr>
            <w:tcW w:w="764" w:type="pct"/>
            <w:vAlign w:val="center"/>
          </w:tcPr>
          <w:p w14:paraId="7E4A3A52">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765" w:type="pct"/>
            <w:vAlign w:val="center"/>
          </w:tcPr>
          <w:p w14:paraId="00AC6789">
            <w:pPr>
              <w:adjustRightInd w:val="0"/>
              <w:spacing w:line="240" w:lineRule="auto"/>
              <w:ind w:firstLine="0" w:firstLineChars="0"/>
              <w:jc w:val="center"/>
              <w:rPr>
                <w:rFonts w:cs="Times New Roman"/>
                <w:sz w:val="21"/>
                <w:szCs w:val="21"/>
              </w:rPr>
            </w:pPr>
            <w:r>
              <w:rPr>
                <w:rFonts w:hint="eastAsia" w:cs="Times New Roman"/>
                <w:sz w:val="21"/>
                <w:szCs w:val="21"/>
              </w:rPr>
              <w:t>100</w:t>
            </w:r>
          </w:p>
        </w:tc>
        <w:tc>
          <w:tcPr>
            <w:tcW w:w="566" w:type="pct"/>
            <w:vAlign w:val="center"/>
          </w:tcPr>
          <w:p w14:paraId="710C9D1A">
            <w:pPr>
              <w:adjustRightInd w:val="0"/>
              <w:spacing w:line="240" w:lineRule="auto"/>
              <w:ind w:firstLine="0" w:firstLineChars="0"/>
              <w:jc w:val="center"/>
              <w:rPr>
                <w:rFonts w:cs="Times New Roman"/>
                <w:sz w:val="21"/>
                <w:szCs w:val="21"/>
              </w:rPr>
            </w:pPr>
            <w:r>
              <w:rPr>
                <w:rFonts w:hint="eastAsia" w:cs="Times New Roman"/>
                <w:sz w:val="21"/>
                <w:szCs w:val="21"/>
              </w:rPr>
              <w:t>[4]</w:t>
            </w:r>
          </w:p>
        </w:tc>
      </w:tr>
      <w:tr w14:paraId="01B4C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9" w:type="pct"/>
            <w:vMerge w:val="continue"/>
            <w:vAlign w:val="center"/>
          </w:tcPr>
          <w:p w14:paraId="25F22C38">
            <w:pPr>
              <w:adjustRightInd w:val="0"/>
              <w:spacing w:line="240" w:lineRule="auto"/>
              <w:ind w:firstLine="0" w:firstLineChars="0"/>
              <w:jc w:val="center"/>
              <w:rPr>
                <w:rFonts w:cs="Times New Roman"/>
                <w:sz w:val="21"/>
                <w:szCs w:val="21"/>
              </w:rPr>
            </w:pPr>
          </w:p>
        </w:tc>
        <w:tc>
          <w:tcPr>
            <w:tcW w:w="225" w:type="pct"/>
            <w:vAlign w:val="center"/>
          </w:tcPr>
          <w:p w14:paraId="5697262D">
            <w:pPr>
              <w:numPr>
                <w:ilvl w:val="0"/>
                <w:numId w:val="20"/>
              </w:numPr>
              <w:adjustRightInd w:val="0"/>
              <w:spacing w:line="240" w:lineRule="auto"/>
              <w:ind w:firstLineChars="0"/>
              <w:jc w:val="center"/>
              <w:rPr>
                <w:rFonts w:cs="Times New Roman"/>
                <w:sz w:val="21"/>
                <w:szCs w:val="21"/>
              </w:rPr>
            </w:pPr>
          </w:p>
        </w:tc>
        <w:tc>
          <w:tcPr>
            <w:tcW w:w="1188" w:type="pct"/>
            <w:vAlign w:val="center"/>
          </w:tcPr>
          <w:p w14:paraId="7FA07146">
            <w:pPr>
              <w:adjustRightInd w:val="0"/>
              <w:spacing w:line="240" w:lineRule="auto"/>
              <w:ind w:firstLine="0" w:firstLineChars="0"/>
              <w:jc w:val="center"/>
              <w:rPr>
                <w:rFonts w:cs="Times New Roman"/>
                <w:sz w:val="21"/>
                <w:szCs w:val="21"/>
              </w:rPr>
            </w:pPr>
            <w:r>
              <w:rPr>
                <w:rFonts w:hint="eastAsia" w:cs="Times New Roman"/>
                <w:sz w:val="21"/>
                <w:szCs w:val="21"/>
              </w:rPr>
              <w:t>公众对环境质量改善满意度</w:t>
            </w:r>
          </w:p>
        </w:tc>
        <w:tc>
          <w:tcPr>
            <w:tcW w:w="434" w:type="pct"/>
            <w:vAlign w:val="center"/>
          </w:tcPr>
          <w:p w14:paraId="49267DF8">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685" w:type="pct"/>
            <w:vAlign w:val="center"/>
          </w:tcPr>
          <w:p w14:paraId="64BB7087">
            <w:pPr>
              <w:adjustRightInd w:val="0"/>
              <w:spacing w:line="240" w:lineRule="auto"/>
              <w:ind w:firstLine="0" w:firstLineChars="0"/>
              <w:jc w:val="center"/>
              <w:rPr>
                <w:rFonts w:cs="Times New Roman"/>
                <w:sz w:val="21"/>
                <w:szCs w:val="21"/>
              </w:rPr>
            </w:pPr>
            <w:r>
              <w:rPr>
                <w:rFonts w:hint="eastAsia" w:cs="Times New Roman"/>
                <w:sz w:val="21"/>
                <w:szCs w:val="21"/>
              </w:rPr>
              <w:t>/</w:t>
            </w:r>
          </w:p>
        </w:tc>
        <w:tc>
          <w:tcPr>
            <w:tcW w:w="764" w:type="pct"/>
            <w:vAlign w:val="center"/>
          </w:tcPr>
          <w:p w14:paraId="05D8D84B">
            <w:pPr>
              <w:adjustRightInd w:val="0"/>
              <w:spacing w:line="240" w:lineRule="auto"/>
              <w:ind w:firstLine="0" w:firstLineChars="0"/>
              <w:jc w:val="center"/>
              <w:rPr>
                <w:rFonts w:cs="Times New Roman"/>
                <w:sz w:val="21"/>
                <w:szCs w:val="21"/>
              </w:rPr>
            </w:pPr>
            <w:r>
              <w:rPr>
                <w:rFonts w:hint="eastAsia" w:cs="Times New Roman"/>
                <w:sz w:val="21"/>
                <w:szCs w:val="21"/>
              </w:rPr>
              <w:t>≥95</w:t>
            </w:r>
          </w:p>
        </w:tc>
        <w:tc>
          <w:tcPr>
            <w:tcW w:w="765" w:type="pct"/>
            <w:vAlign w:val="center"/>
          </w:tcPr>
          <w:p w14:paraId="6AEE6247">
            <w:pPr>
              <w:adjustRightInd w:val="0"/>
              <w:spacing w:line="240" w:lineRule="auto"/>
              <w:ind w:firstLine="0" w:firstLineChars="0"/>
              <w:jc w:val="center"/>
              <w:rPr>
                <w:rFonts w:cs="Times New Roman"/>
                <w:sz w:val="21"/>
                <w:szCs w:val="21"/>
              </w:rPr>
            </w:pPr>
            <w:r>
              <w:rPr>
                <w:rFonts w:hint="eastAsia" w:cs="Times New Roman"/>
                <w:sz w:val="21"/>
                <w:szCs w:val="21"/>
              </w:rPr>
              <w:t>≥98</w:t>
            </w:r>
          </w:p>
        </w:tc>
        <w:tc>
          <w:tcPr>
            <w:tcW w:w="566" w:type="pct"/>
            <w:vAlign w:val="center"/>
          </w:tcPr>
          <w:p w14:paraId="563D1E00">
            <w:pPr>
              <w:adjustRightInd w:val="0"/>
              <w:spacing w:line="240" w:lineRule="auto"/>
              <w:ind w:firstLine="0" w:firstLineChars="0"/>
              <w:jc w:val="center"/>
              <w:rPr>
                <w:rFonts w:cs="Times New Roman"/>
                <w:sz w:val="21"/>
                <w:szCs w:val="21"/>
              </w:rPr>
            </w:pPr>
            <w:r>
              <w:rPr>
                <w:rFonts w:hint="eastAsia" w:cs="Times New Roman"/>
                <w:sz w:val="21"/>
                <w:szCs w:val="21"/>
              </w:rPr>
              <w:t>[1][2][3]</w:t>
            </w:r>
          </w:p>
        </w:tc>
      </w:tr>
    </w:tbl>
    <w:p w14:paraId="0F7DDDC7">
      <w:pPr>
        <w:spacing w:line="240" w:lineRule="auto"/>
        <w:ind w:firstLine="0" w:firstLineChars="0"/>
        <w:rPr>
          <w:sz w:val="21"/>
          <w:szCs w:val="21"/>
        </w:rPr>
      </w:pPr>
      <w:r>
        <w:rPr>
          <w:rFonts w:hint="eastAsia"/>
          <w:sz w:val="21"/>
          <w:szCs w:val="21"/>
        </w:rPr>
        <w:t>注：  [</w:t>
      </w:r>
      <w:r>
        <w:rPr>
          <w:sz w:val="21"/>
          <w:szCs w:val="21"/>
        </w:rPr>
        <w:t>1]</w:t>
      </w:r>
      <w:r>
        <w:rPr>
          <w:rFonts w:hint="eastAsia"/>
          <w:sz w:val="21"/>
          <w:szCs w:val="21"/>
        </w:rPr>
        <w:t xml:space="preserve"> 《江苏省“十四五”生态环境保护规划》；</w:t>
      </w:r>
    </w:p>
    <w:p w14:paraId="6AB1E300">
      <w:pPr>
        <w:spacing w:line="240" w:lineRule="auto"/>
        <w:ind w:firstLine="0" w:firstLineChars="0"/>
        <w:rPr>
          <w:sz w:val="21"/>
          <w:szCs w:val="21"/>
        </w:rPr>
      </w:pPr>
      <w:r>
        <w:rPr>
          <w:rFonts w:hint="eastAsia"/>
          <w:sz w:val="21"/>
          <w:szCs w:val="21"/>
        </w:rPr>
        <w:t xml:space="preserve"> </w:t>
      </w:r>
      <w:r>
        <w:rPr>
          <w:sz w:val="21"/>
          <w:szCs w:val="21"/>
        </w:rPr>
        <w:t xml:space="preserve">     [2]</w:t>
      </w:r>
      <w:r>
        <w:rPr>
          <w:rFonts w:hint="eastAsia" w:cs="Times New Roman"/>
          <w:kern w:val="0"/>
          <w:sz w:val="21"/>
          <w:szCs w:val="21"/>
        </w:rPr>
        <w:t xml:space="preserve"> </w:t>
      </w:r>
      <w:r>
        <w:rPr>
          <w:rFonts w:hint="eastAsia"/>
          <w:sz w:val="21"/>
          <w:szCs w:val="21"/>
        </w:rPr>
        <w:t>《</w:t>
      </w:r>
      <w:r>
        <w:rPr>
          <w:rFonts w:hint="eastAsia" w:cs="Times New Roman"/>
          <w:kern w:val="0"/>
          <w:sz w:val="21"/>
          <w:szCs w:val="21"/>
        </w:rPr>
        <w:t>常州市“十四五”生态环境保护规划</w:t>
      </w:r>
      <w:r>
        <w:rPr>
          <w:rFonts w:hint="eastAsia"/>
          <w:sz w:val="21"/>
          <w:szCs w:val="21"/>
        </w:rPr>
        <w:t>》</w:t>
      </w:r>
      <w:r>
        <w:rPr>
          <w:rFonts w:hint="eastAsia" w:cs="Times New Roman"/>
          <w:kern w:val="0"/>
          <w:sz w:val="21"/>
          <w:szCs w:val="21"/>
        </w:rPr>
        <w:t xml:space="preserve">； </w:t>
      </w:r>
    </w:p>
    <w:p w14:paraId="455E6153">
      <w:pPr>
        <w:spacing w:line="240" w:lineRule="auto"/>
        <w:ind w:firstLine="0" w:firstLineChars="0"/>
        <w:rPr>
          <w:sz w:val="21"/>
          <w:szCs w:val="21"/>
        </w:rPr>
      </w:pPr>
      <w:r>
        <w:rPr>
          <w:rFonts w:hint="eastAsia"/>
          <w:sz w:val="21"/>
          <w:szCs w:val="21"/>
        </w:rPr>
        <w:t xml:space="preserve"> </w:t>
      </w:r>
      <w:r>
        <w:rPr>
          <w:sz w:val="21"/>
          <w:szCs w:val="21"/>
        </w:rPr>
        <w:t xml:space="preserve">     [3]</w:t>
      </w:r>
      <w:r>
        <w:rPr>
          <w:rFonts w:hint="eastAsia" w:cs="Times New Roman"/>
          <w:kern w:val="0"/>
          <w:sz w:val="21"/>
          <w:szCs w:val="21"/>
        </w:rPr>
        <w:t xml:space="preserve"> </w:t>
      </w:r>
      <w:r>
        <w:rPr>
          <w:rFonts w:hint="eastAsia"/>
          <w:sz w:val="21"/>
          <w:szCs w:val="21"/>
        </w:rPr>
        <w:t>《</w:t>
      </w:r>
      <w:r>
        <w:rPr>
          <w:rFonts w:hint="eastAsia" w:cs="Times New Roman"/>
          <w:kern w:val="0"/>
          <w:sz w:val="21"/>
          <w:szCs w:val="21"/>
        </w:rPr>
        <w:t>常州市金坛区“十四五”生态环境保护规划</w:t>
      </w:r>
      <w:r>
        <w:rPr>
          <w:rFonts w:hint="eastAsia"/>
          <w:sz w:val="21"/>
          <w:szCs w:val="21"/>
        </w:rPr>
        <w:t>》</w:t>
      </w:r>
      <w:r>
        <w:rPr>
          <w:rFonts w:hint="eastAsia" w:cs="Times New Roman"/>
          <w:kern w:val="0"/>
          <w:sz w:val="21"/>
          <w:szCs w:val="21"/>
        </w:rPr>
        <w:t>；</w:t>
      </w:r>
    </w:p>
    <w:p w14:paraId="50C87D53">
      <w:pPr>
        <w:spacing w:line="240" w:lineRule="auto"/>
        <w:ind w:firstLine="630" w:firstLineChars="300"/>
        <w:rPr>
          <w:rFonts w:cs="Times New Roman"/>
          <w:kern w:val="0"/>
          <w:sz w:val="21"/>
          <w:szCs w:val="21"/>
        </w:rPr>
      </w:pPr>
      <w:r>
        <w:rPr>
          <w:sz w:val="21"/>
          <w:szCs w:val="21"/>
        </w:rPr>
        <w:t xml:space="preserve">[4] </w:t>
      </w:r>
      <w:r>
        <w:rPr>
          <w:rFonts w:hint="eastAsia" w:cs="Times New Roman"/>
          <w:kern w:val="0"/>
          <w:sz w:val="21"/>
          <w:szCs w:val="21"/>
        </w:rPr>
        <w:t>根据度假区实际情况计算确定；</w:t>
      </w:r>
    </w:p>
    <w:p w14:paraId="367CC0A1">
      <w:pPr>
        <w:spacing w:line="240" w:lineRule="auto"/>
        <w:ind w:firstLine="630" w:firstLineChars="300"/>
        <w:rPr>
          <w:rFonts w:cs="Times New Roman"/>
          <w:kern w:val="0"/>
          <w:sz w:val="21"/>
          <w:szCs w:val="21"/>
        </w:rPr>
      </w:pPr>
      <w:r>
        <w:rPr>
          <w:rFonts w:hint="eastAsia" w:cs="Times New Roman"/>
          <w:kern w:val="0"/>
          <w:sz w:val="21"/>
          <w:szCs w:val="21"/>
        </w:rPr>
        <w:t>*  规划区域内自然村农村生活污水治理率已达100%，农户治理覆盖率暂未达100%。</w:t>
      </w:r>
    </w:p>
    <w:bookmarkEnd w:id="90"/>
    <w:p w14:paraId="6AF6B468">
      <w:pPr>
        <w:pStyle w:val="2"/>
        <w:ind w:firstLine="0" w:firstLineChars="0"/>
      </w:pPr>
      <w:bookmarkStart w:id="91" w:name="_Toc217294053"/>
      <w:r>
        <w:t>5</w:t>
      </w:r>
      <w:r>
        <w:rPr>
          <w:rFonts w:hint="eastAsia"/>
        </w:rPr>
        <w:t>环境影响预测与评价</w:t>
      </w:r>
      <w:bookmarkEnd w:id="91"/>
    </w:p>
    <w:p w14:paraId="1573E468">
      <w:pPr>
        <w:pStyle w:val="3"/>
        <w:ind w:firstLine="0" w:firstLineChars="0"/>
        <w:rPr>
          <w:rFonts w:cs="Times New Roman"/>
        </w:rPr>
      </w:pPr>
      <w:bookmarkStart w:id="92" w:name="_Toc217294054"/>
      <w:r>
        <w:rPr>
          <w:rFonts w:cs="Times New Roman"/>
        </w:rPr>
        <w:t>5.1</w:t>
      </w:r>
      <w:r>
        <w:rPr>
          <w:rFonts w:hint="eastAsia" w:cs="Times New Roman"/>
        </w:rPr>
        <w:t>资源能源消耗预测分析</w:t>
      </w:r>
      <w:bookmarkEnd w:id="92"/>
    </w:p>
    <w:p w14:paraId="1A0E2F8B">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5.1.1人口预测</w:t>
      </w:r>
    </w:p>
    <w:p w14:paraId="2D429F18">
      <w:pPr>
        <w:ind w:firstLine="480"/>
      </w:pPr>
      <w:r>
        <w:rPr>
          <w:rFonts w:hint="eastAsia"/>
        </w:rPr>
        <w:t>根据2.1.4的规划发展规模，本轮规划近期（~2030年）规划范围内常住人口达34595人，度假区年游客量将达558.6万人；至规划远期（~2035年）规划范围内常住人口达36360人，年游客量将达685.7万人。</w:t>
      </w:r>
    </w:p>
    <w:p w14:paraId="6FDE2D03">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5.1.1</w:t>
      </w:r>
      <w:r>
        <w:rPr>
          <w:rFonts w:hint="eastAsia" w:eastAsia="方正楷体_GBK" w:cs="Times New Roman"/>
          <w:b/>
          <w:bCs/>
          <w:szCs w:val="28"/>
          <w14:ligatures w14:val="none"/>
        </w:rPr>
        <w:t>水资源消耗预测</w:t>
      </w:r>
    </w:p>
    <w:p w14:paraId="3971CF5D">
      <w:pPr>
        <w:ind w:firstLine="480"/>
      </w:pPr>
      <w:r>
        <w:rPr>
          <w:rFonts w:hint="eastAsia"/>
        </w:rPr>
        <w:t>根据《江苏省服务业和生活用水定额》（2019年修订），按照城镇居民每人每天生活用水量100 L/（人·d）计，则至规划近期度假区内居民生活用水总量125.92万t/a，至规划远期度假区内居民生活用水总量132.86万t/a，具体见表5.1-1。</w:t>
      </w:r>
    </w:p>
    <w:p w14:paraId="5E2D059D">
      <w:pPr>
        <w:pStyle w:val="45"/>
        <w:rPr>
          <w:rFonts w:cs="Times New Roman"/>
        </w:rPr>
      </w:pPr>
      <w:r>
        <w:rPr>
          <w:rFonts w:hint="eastAsia" w:cs="Times New Roman"/>
        </w:rPr>
        <w:t>表5</w:t>
      </w:r>
      <w:r>
        <w:rPr>
          <w:rFonts w:cs="Times New Roman"/>
        </w:rPr>
        <w:t xml:space="preserve">.1-1  </w:t>
      </w:r>
      <w:r>
        <w:rPr>
          <w:rFonts w:hint="eastAsia" w:cs="Times New Roman"/>
        </w:rPr>
        <w:t>规划期度假区居民生活用水量预测表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9"/>
        <w:gridCol w:w="1383"/>
        <w:gridCol w:w="1481"/>
        <w:gridCol w:w="1831"/>
        <w:gridCol w:w="943"/>
        <w:gridCol w:w="1642"/>
      </w:tblGrid>
      <w:tr w14:paraId="6EAEB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27" w:type="pct"/>
            <w:vAlign w:val="center"/>
          </w:tcPr>
          <w:p w14:paraId="003D4848">
            <w:pPr>
              <w:spacing w:line="240" w:lineRule="auto"/>
              <w:ind w:firstLine="0" w:firstLineChars="0"/>
              <w:jc w:val="center"/>
              <w:rPr>
                <w:b/>
                <w:bCs/>
                <w:sz w:val="21"/>
              </w:rPr>
            </w:pPr>
            <w:r>
              <w:rPr>
                <w:rFonts w:hint="eastAsia"/>
                <w:b/>
                <w:bCs/>
                <w:sz w:val="21"/>
              </w:rPr>
              <w:t>时限</w:t>
            </w:r>
          </w:p>
        </w:tc>
        <w:tc>
          <w:tcPr>
            <w:tcW w:w="811" w:type="pct"/>
            <w:vAlign w:val="center"/>
          </w:tcPr>
          <w:p w14:paraId="4A0AA961">
            <w:pPr>
              <w:spacing w:line="240" w:lineRule="auto"/>
              <w:ind w:firstLine="0" w:firstLineChars="0"/>
              <w:jc w:val="center"/>
              <w:rPr>
                <w:b/>
                <w:bCs/>
                <w:sz w:val="21"/>
              </w:rPr>
            </w:pPr>
            <w:r>
              <w:rPr>
                <w:rFonts w:hint="eastAsia"/>
                <w:b/>
                <w:bCs/>
                <w:sz w:val="21"/>
              </w:rPr>
              <w:t>人口规模</w:t>
            </w:r>
          </w:p>
          <w:p w14:paraId="1610C310">
            <w:pPr>
              <w:spacing w:line="240" w:lineRule="auto"/>
              <w:ind w:firstLine="0" w:firstLineChars="0"/>
              <w:jc w:val="center"/>
              <w:rPr>
                <w:b/>
                <w:bCs/>
                <w:sz w:val="21"/>
              </w:rPr>
            </w:pPr>
            <w:r>
              <w:rPr>
                <w:rFonts w:hint="eastAsia"/>
                <w:b/>
                <w:bCs/>
                <w:sz w:val="21"/>
              </w:rPr>
              <w:t>（万人）</w:t>
            </w:r>
          </w:p>
        </w:tc>
        <w:tc>
          <w:tcPr>
            <w:tcW w:w="869" w:type="pct"/>
            <w:vAlign w:val="center"/>
          </w:tcPr>
          <w:p w14:paraId="1C17EFFE">
            <w:pPr>
              <w:spacing w:line="240" w:lineRule="auto"/>
              <w:ind w:firstLine="0" w:firstLineChars="0"/>
              <w:jc w:val="center"/>
              <w:rPr>
                <w:b/>
                <w:bCs/>
                <w:sz w:val="21"/>
              </w:rPr>
            </w:pPr>
            <w:r>
              <w:rPr>
                <w:rFonts w:hint="eastAsia"/>
                <w:b/>
                <w:bCs/>
                <w:sz w:val="21"/>
              </w:rPr>
              <w:t>用水标准</w:t>
            </w:r>
          </w:p>
          <w:p w14:paraId="5D5E9912">
            <w:pPr>
              <w:spacing w:line="240" w:lineRule="auto"/>
              <w:ind w:firstLine="0" w:firstLineChars="0"/>
              <w:jc w:val="center"/>
              <w:rPr>
                <w:b/>
                <w:bCs/>
                <w:sz w:val="21"/>
              </w:rPr>
            </w:pPr>
            <w:r>
              <w:rPr>
                <w:rFonts w:hint="eastAsia"/>
                <w:b/>
                <w:bCs/>
                <w:sz w:val="21"/>
              </w:rPr>
              <w:t>（L/人</w:t>
            </w:r>
            <w:r>
              <w:rPr>
                <w:rFonts w:hint="eastAsia" w:cs="Times New Roman"/>
                <w:b/>
                <w:bCs/>
                <w:sz w:val="21"/>
              </w:rPr>
              <w:t>·</w:t>
            </w:r>
            <w:r>
              <w:rPr>
                <w:rFonts w:hint="eastAsia"/>
                <w:b/>
                <w:bCs/>
                <w:sz w:val="21"/>
              </w:rPr>
              <w:t>d）</w:t>
            </w:r>
          </w:p>
        </w:tc>
        <w:tc>
          <w:tcPr>
            <w:tcW w:w="1074" w:type="pct"/>
            <w:vAlign w:val="center"/>
          </w:tcPr>
          <w:p w14:paraId="1123316A">
            <w:pPr>
              <w:spacing w:line="240" w:lineRule="auto"/>
              <w:ind w:firstLine="0" w:firstLineChars="0"/>
              <w:jc w:val="center"/>
              <w:rPr>
                <w:b/>
                <w:bCs/>
                <w:sz w:val="21"/>
              </w:rPr>
            </w:pPr>
            <w:r>
              <w:rPr>
                <w:rFonts w:hint="eastAsia"/>
                <w:b/>
                <w:bCs/>
                <w:sz w:val="21"/>
              </w:rPr>
              <w:t>用水量（万t/d）</w:t>
            </w:r>
          </w:p>
        </w:tc>
        <w:tc>
          <w:tcPr>
            <w:tcW w:w="553" w:type="pct"/>
            <w:vAlign w:val="center"/>
          </w:tcPr>
          <w:p w14:paraId="0E2B7C3D">
            <w:pPr>
              <w:spacing w:line="240" w:lineRule="auto"/>
              <w:ind w:firstLine="0" w:firstLineChars="0"/>
              <w:jc w:val="center"/>
              <w:rPr>
                <w:b/>
                <w:bCs/>
                <w:sz w:val="21"/>
              </w:rPr>
            </w:pPr>
            <w:r>
              <w:rPr>
                <w:rFonts w:hint="eastAsia"/>
                <w:b/>
                <w:bCs/>
                <w:sz w:val="21"/>
              </w:rPr>
              <w:t>天数</w:t>
            </w:r>
          </w:p>
        </w:tc>
        <w:tc>
          <w:tcPr>
            <w:tcW w:w="963" w:type="pct"/>
            <w:vAlign w:val="center"/>
          </w:tcPr>
          <w:p w14:paraId="3549E3A3">
            <w:pPr>
              <w:spacing w:line="240" w:lineRule="auto"/>
              <w:ind w:firstLine="0" w:firstLineChars="0"/>
              <w:jc w:val="center"/>
              <w:rPr>
                <w:b/>
                <w:bCs/>
                <w:sz w:val="21"/>
              </w:rPr>
            </w:pPr>
            <w:r>
              <w:rPr>
                <w:rFonts w:hint="eastAsia"/>
                <w:b/>
                <w:bCs/>
                <w:sz w:val="21"/>
              </w:rPr>
              <w:t>用水量（万t/a）</w:t>
            </w:r>
          </w:p>
        </w:tc>
      </w:tr>
      <w:tr w14:paraId="72AB7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3F849EDB">
            <w:pPr>
              <w:spacing w:line="240" w:lineRule="auto"/>
              <w:ind w:firstLine="0" w:firstLineChars="0"/>
              <w:jc w:val="center"/>
              <w:rPr>
                <w:sz w:val="21"/>
              </w:rPr>
            </w:pPr>
            <w:r>
              <w:rPr>
                <w:rFonts w:hint="eastAsia"/>
                <w:sz w:val="21"/>
              </w:rPr>
              <w:t>规划近期</w:t>
            </w:r>
          </w:p>
        </w:tc>
        <w:tc>
          <w:tcPr>
            <w:tcW w:w="811" w:type="pct"/>
            <w:vAlign w:val="center"/>
          </w:tcPr>
          <w:p w14:paraId="5DCF05DB">
            <w:pPr>
              <w:spacing w:line="240" w:lineRule="auto"/>
              <w:ind w:firstLine="0" w:firstLineChars="0"/>
              <w:jc w:val="center"/>
              <w:rPr>
                <w:sz w:val="21"/>
              </w:rPr>
            </w:pPr>
            <w:r>
              <w:rPr>
                <w:rFonts w:hint="eastAsia"/>
                <w:sz w:val="21"/>
              </w:rPr>
              <w:t>3.45</w:t>
            </w:r>
          </w:p>
        </w:tc>
        <w:tc>
          <w:tcPr>
            <w:tcW w:w="869" w:type="pct"/>
            <w:vMerge w:val="restart"/>
            <w:vAlign w:val="center"/>
          </w:tcPr>
          <w:p w14:paraId="6A209BA4">
            <w:pPr>
              <w:spacing w:line="240" w:lineRule="auto"/>
              <w:ind w:firstLine="0" w:firstLineChars="0"/>
              <w:jc w:val="center"/>
              <w:rPr>
                <w:sz w:val="21"/>
              </w:rPr>
            </w:pPr>
            <w:r>
              <w:rPr>
                <w:rFonts w:hint="eastAsia"/>
                <w:sz w:val="21"/>
              </w:rPr>
              <w:t>100</w:t>
            </w:r>
          </w:p>
        </w:tc>
        <w:tc>
          <w:tcPr>
            <w:tcW w:w="1074" w:type="pct"/>
            <w:vAlign w:val="center"/>
          </w:tcPr>
          <w:p w14:paraId="7FFFD0CB">
            <w:pPr>
              <w:spacing w:line="240" w:lineRule="auto"/>
              <w:ind w:firstLine="0" w:firstLineChars="0"/>
              <w:jc w:val="center"/>
              <w:rPr>
                <w:sz w:val="21"/>
              </w:rPr>
            </w:pPr>
            <w:r>
              <w:rPr>
                <w:rFonts w:hint="eastAsia"/>
                <w:sz w:val="21"/>
              </w:rPr>
              <w:t>0.345</w:t>
            </w:r>
          </w:p>
        </w:tc>
        <w:tc>
          <w:tcPr>
            <w:tcW w:w="553" w:type="pct"/>
            <w:vMerge w:val="restart"/>
            <w:vAlign w:val="center"/>
          </w:tcPr>
          <w:p w14:paraId="13FA035F">
            <w:pPr>
              <w:spacing w:line="240" w:lineRule="auto"/>
              <w:ind w:firstLine="0" w:firstLineChars="0"/>
              <w:jc w:val="center"/>
              <w:rPr>
                <w:sz w:val="21"/>
              </w:rPr>
            </w:pPr>
            <w:r>
              <w:rPr>
                <w:rFonts w:hint="eastAsia"/>
                <w:sz w:val="21"/>
              </w:rPr>
              <w:t>365</w:t>
            </w:r>
          </w:p>
        </w:tc>
        <w:tc>
          <w:tcPr>
            <w:tcW w:w="963" w:type="pct"/>
            <w:vAlign w:val="center"/>
          </w:tcPr>
          <w:p w14:paraId="795FFE4B">
            <w:pPr>
              <w:spacing w:line="240" w:lineRule="auto"/>
              <w:ind w:firstLine="0" w:firstLineChars="0"/>
              <w:jc w:val="center"/>
              <w:rPr>
                <w:sz w:val="21"/>
              </w:rPr>
            </w:pPr>
            <w:r>
              <w:rPr>
                <w:rFonts w:hint="eastAsia"/>
                <w:sz w:val="21"/>
              </w:rPr>
              <w:t>125.92</w:t>
            </w:r>
          </w:p>
        </w:tc>
      </w:tr>
      <w:tr w14:paraId="0EC14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373DD75A">
            <w:pPr>
              <w:spacing w:line="240" w:lineRule="auto"/>
              <w:ind w:firstLine="0" w:firstLineChars="0"/>
              <w:jc w:val="center"/>
              <w:rPr>
                <w:sz w:val="21"/>
              </w:rPr>
            </w:pPr>
            <w:r>
              <w:rPr>
                <w:rFonts w:hint="eastAsia"/>
                <w:sz w:val="21"/>
              </w:rPr>
              <w:t>规划远期</w:t>
            </w:r>
          </w:p>
        </w:tc>
        <w:tc>
          <w:tcPr>
            <w:tcW w:w="811" w:type="pct"/>
            <w:vAlign w:val="center"/>
          </w:tcPr>
          <w:p w14:paraId="5A7B6ED6">
            <w:pPr>
              <w:spacing w:line="240" w:lineRule="auto"/>
              <w:ind w:firstLine="0" w:firstLineChars="0"/>
              <w:jc w:val="center"/>
              <w:rPr>
                <w:sz w:val="21"/>
              </w:rPr>
            </w:pPr>
            <w:r>
              <w:rPr>
                <w:rFonts w:hint="eastAsia"/>
                <w:sz w:val="21"/>
              </w:rPr>
              <w:t>3.64</w:t>
            </w:r>
          </w:p>
        </w:tc>
        <w:tc>
          <w:tcPr>
            <w:tcW w:w="869" w:type="pct"/>
            <w:vMerge w:val="continue"/>
            <w:vAlign w:val="center"/>
          </w:tcPr>
          <w:p w14:paraId="4C57EB19">
            <w:pPr>
              <w:spacing w:line="240" w:lineRule="auto"/>
              <w:ind w:firstLine="0" w:firstLineChars="0"/>
              <w:jc w:val="center"/>
              <w:rPr>
                <w:sz w:val="21"/>
              </w:rPr>
            </w:pPr>
          </w:p>
        </w:tc>
        <w:tc>
          <w:tcPr>
            <w:tcW w:w="1074" w:type="pct"/>
            <w:vAlign w:val="center"/>
          </w:tcPr>
          <w:p w14:paraId="63E2F260">
            <w:pPr>
              <w:spacing w:line="240" w:lineRule="auto"/>
              <w:ind w:firstLine="0" w:firstLineChars="0"/>
              <w:jc w:val="center"/>
              <w:rPr>
                <w:sz w:val="21"/>
              </w:rPr>
            </w:pPr>
            <w:r>
              <w:rPr>
                <w:rFonts w:hint="eastAsia"/>
                <w:sz w:val="21"/>
              </w:rPr>
              <w:t>0.364</w:t>
            </w:r>
          </w:p>
        </w:tc>
        <w:tc>
          <w:tcPr>
            <w:tcW w:w="553" w:type="pct"/>
            <w:vMerge w:val="continue"/>
            <w:vAlign w:val="center"/>
          </w:tcPr>
          <w:p w14:paraId="147933FB">
            <w:pPr>
              <w:spacing w:line="240" w:lineRule="auto"/>
              <w:ind w:firstLine="0" w:firstLineChars="0"/>
              <w:jc w:val="center"/>
              <w:rPr>
                <w:sz w:val="21"/>
              </w:rPr>
            </w:pPr>
          </w:p>
        </w:tc>
        <w:tc>
          <w:tcPr>
            <w:tcW w:w="963" w:type="pct"/>
            <w:vAlign w:val="center"/>
          </w:tcPr>
          <w:p w14:paraId="08CBD544">
            <w:pPr>
              <w:spacing w:line="240" w:lineRule="auto"/>
              <w:ind w:firstLine="0" w:firstLineChars="0"/>
              <w:jc w:val="center"/>
              <w:rPr>
                <w:sz w:val="21"/>
              </w:rPr>
            </w:pPr>
            <w:r>
              <w:rPr>
                <w:rFonts w:hint="eastAsia"/>
                <w:sz w:val="21"/>
              </w:rPr>
              <w:t>132.86</w:t>
            </w:r>
          </w:p>
        </w:tc>
      </w:tr>
    </w:tbl>
    <w:p w14:paraId="27626911">
      <w:pPr>
        <w:ind w:firstLine="480"/>
      </w:pPr>
      <w:r>
        <w:rPr>
          <w:rFonts w:hint="eastAsia"/>
        </w:rPr>
        <w:t>根据阶段预测结果，至规划近期（~2030年），度假区年游客量将达558.6万人；至规划远期（~2035年），年游客量将达685.7万人。根据《江苏省服务业与生活用水定额》（2</w:t>
      </w:r>
      <w:r>
        <w:t>019</w:t>
      </w:r>
      <w:r>
        <w:rPr>
          <w:rFonts w:hint="eastAsia"/>
        </w:rPr>
        <w:t>年修订），住宿游客用水量按80</w:t>
      </w:r>
      <w:r>
        <w:t xml:space="preserve"> L/</w:t>
      </w:r>
      <w:r>
        <w:rPr>
          <w:rFonts w:hint="eastAsia"/>
        </w:rPr>
        <w:t>人次计，则规划近期度假区预计游客用水量为44.69万t/a，则至规划远期度假区游客用水量为54.86万t/a，具体见表5</w:t>
      </w:r>
      <w:r>
        <w:t>.1-2</w:t>
      </w:r>
      <w:r>
        <w:rPr>
          <w:rFonts w:hint="eastAsia"/>
        </w:rPr>
        <w:t>。</w:t>
      </w:r>
    </w:p>
    <w:p w14:paraId="0565736B">
      <w:pPr>
        <w:pStyle w:val="45"/>
        <w:rPr>
          <w:rFonts w:cs="Times New Roman"/>
        </w:rPr>
      </w:pPr>
      <w:r>
        <w:rPr>
          <w:rFonts w:hint="eastAsia" w:cs="Times New Roman"/>
        </w:rPr>
        <w:t>表5</w:t>
      </w:r>
      <w:r>
        <w:rPr>
          <w:rFonts w:cs="Times New Roman"/>
        </w:rPr>
        <w:t xml:space="preserve">.1-2  </w:t>
      </w:r>
      <w:r>
        <w:rPr>
          <w:rFonts w:hint="eastAsia" w:cs="Times New Roman"/>
        </w:rPr>
        <w:t>规划期度假区游客生活需水量预测表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1"/>
        <w:gridCol w:w="2115"/>
        <w:gridCol w:w="2476"/>
        <w:gridCol w:w="2630"/>
      </w:tblGrid>
      <w:tr w14:paraId="2A3C6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Align w:val="center"/>
          </w:tcPr>
          <w:p w14:paraId="200972DD">
            <w:pPr>
              <w:spacing w:line="240" w:lineRule="auto"/>
              <w:ind w:firstLine="0" w:firstLineChars="0"/>
              <w:jc w:val="center"/>
              <w:rPr>
                <w:b/>
                <w:bCs/>
                <w:sz w:val="21"/>
              </w:rPr>
            </w:pPr>
            <w:r>
              <w:rPr>
                <w:rFonts w:hint="eastAsia"/>
                <w:b/>
                <w:bCs/>
                <w:sz w:val="21"/>
              </w:rPr>
              <w:t>时限</w:t>
            </w:r>
          </w:p>
        </w:tc>
        <w:tc>
          <w:tcPr>
            <w:tcW w:w="1240" w:type="pct"/>
            <w:vAlign w:val="center"/>
          </w:tcPr>
          <w:p w14:paraId="25885B75">
            <w:pPr>
              <w:spacing w:line="240" w:lineRule="auto"/>
              <w:ind w:firstLine="0" w:firstLineChars="0"/>
              <w:jc w:val="center"/>
              <w:rPr>
                <w:b/>
                <w:bCs/>
                <w:sz w:val="21"/>
              </w:rPr>
            </w:pPr>
            <w:r>
              <w:rPr>
                <w:rFonts w:hint="eastAsia"/>
                <w:b/>
                <w:bCs/>
                <w:sz w:val="21"/>
              </w:rPr>
              <w:t>游客规模（万人）</w:t>
            </w:r>
          </w:p>
        </w:tc>
        <w:tc>
          <w:tcPr>
            <w:tcW w:w="1452" w:type="pct"/>
            <w:vAlign w:val="center"/>
          </w:tcPr>
          <w:p w14:paraId="7B2962CE">
            <w:pPr>
              <w:spacing w:line="240" w:lineRule="auto"/>
              <w:ind w:firstLine="0" w:firstLineChars="0"/>
              <w:jc w:val="center"/>
              <w:rPr>
                <w:b/>
                <w:bCs/>
                <w:sz w:val="21"/>
              </w:rPr>
            </w:pPr>
            <w:r>
              <w:rPr>
                <w:rFonts w:hint="eastAsia"/>
                <w:b/>
                <w:bCs/>
                <w:sz w:val="21"/>
              </w:rPr>
              <w:t>用水系数</w:t>
            </w:r>
          </w:p>
          <w:p w14:paraId="7DC067BA">
            <w:pPr>
              <w:spacing w:line="240" w:lineRule="auto"/>
              <w:ind w:firstLine="0" w:firstLineChars="0"/>
              <w:jc w:val="center"/>
              <w:rPr>
                <w:b/>
                <w:bCs/>
                <w:sz w:val="21"/>
              </w:rPr>
            </w:pPr>
            <w:r>
              <w:rPr>
                <w:rFonts w:hint="eastAsia"/>
                <w:b/>
                <w:bCs/>
                <w:sz w:val="21"/>
              </w:rPr>
              <w:t>（L/人次）</w:t>
            </w:r>
          </w:p>
        </w:tc>
        <w:tc>
          <w:tcPr>
            <w:tcW w:w="1542" w:type="pct"/>
            <w:vAlign w:val="center"/>
          </w:tcPr>
          <w:p w14:paraId="5958442D">
            <w:pPr>
              <w:spacing w:line="240" w:lineRule="auto"/>
              <w:ind w:firstLine="0" w:firstLineChars="0"/>
              <w:jc w:val="center"/>
              <w:rPr>
                <w:b/>
                <w:bCs/>
                <w:sz w:val="21"/>
              </w:rPr>
            </w:pPr>
            <w:r>
              <w:rPr>
                <w:rFonts w:hint="eastAsia"/>
                <w:b/>
                <w:bCs/>
                <w:sz w:val="21"/>
              </w:rPr>
              <w:t>用水量（万t/a）</w:t>
            </w:r>
          </w:p>
        </w:tc>
      </w:tr>
      <w:tr w14:paraId="2A9BD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Align w:val="center"/>
          </w:tcPr>
          <w:p w14:paraId="6AE3E9D3">
            <w:pPr>
              <w:spacing w:line="240" w:lineRule="auto"/>
              <w:ind w:firstLine="0" w:firstLineChars="0"/>
              <w:jc w:val="center"/>
              <w:rPr>
                <w:sz w:val="21"/>
              </w:rPr>
            </w:pPr>
            <w:r>
              <w:rPr>
                <w:rFonts w:hint="eastAsia"/>
                <w:sz w:val="21"/>
              </w:rPr>
              <w:t>规划近期</w:t>
            </w:r>
          </w:p>
        </w:tc>
        <w:tc>
          <w:tcPr>
            <w:tcW w:w="1240" w:type="pct"/>
            <w:vAlign w:val="center"/>
          </w:tcPr>
          <w:p w14:paraId="448E3984">
            <w:pPr>
              <w:spacing w:line="240" w:lineRule="auto"/>
              <w:ind w:firstLine="0" w:firstLineChars="0"/>
              <w:jc w:val="center"/>
              <w:rPr>
                <w:sz w:val="21"/>
              </w:rPr>
            </w:pPr>
            <w:r>
              <w:rPr>
                <w:rFonts w:hint="eastAsia"/>
                <w:sz w:val="21"/>
              </w:rPr>
              <w:t>558.6</w:t>
            </w:r>
          </w:p>
        </w:tc>
        <w:tc>
          <w:tcPr>
            <w:tcW w:w="1452" w:type="pct"/>
            <w:vMerge w:val="restart"/>
            <w:vAlign w:val="center"/>
          </w:tcPr>
          <w:p w14:paraId="1F414C28">
            <w:pPr>
              <w:spacing w:line="240" w:lineRule="auto"/>
              <w:ind w:firstLine="0" w:firstLineChars="0"/>
              <w:jc w:val="center"/>
              <w:rPr>
                <w:sz w:val="21"/>
              </w:rPr>
            </w:pPr>
            <w:r>
              <w:rPr>
                <w:rFonts w:hint="eastAsia"/>
                <w:sz w:val="21"/>
              </w:rPr>
              <w:t>80</w:t>
            </w:r>
          </w:p>
        </w:tc>
        <w:tc>
          <w:tcPr>
            <w:tcW w:w="1542" w:type="pct"/>
            <w:vAlign w:val="center"/>
          </w:tcPr>
          <w:p w14:paraId="27134DC9">
            <w:pPr>
              <w:spacing w:line="240" w:lineRule="auto"/>
              <w:ind w:firstLine="0" w:firstLineChars="0"/>
              <w:jc w:val="center"/>
              <w:rPr>
                <w:sz w:val="21"/>
              </w:rPr>
            </w:pPr>
            <w:r>
              <w:rPr>
                <w:rFonts w:hint="eastAsia"/>
                <w:sz w:val="21"/>
              </w:rPr>
              <w:t>44.69</w:t>
            </w:r>
          </w:p>
        </w:tc>
      </w:tr>
      <w:tr w14:paraId="59E30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Align w:val="center"/>
          </w:tcPr>
          <w:p w14:paraId="373F08C6">
            <w:pPr>
              <w:spacing w:line="240" w:lineRule="auto"/>
              <w:ind w:firstLine="0" w:firstLineChars="0"/>
              <w:jc w:val="center"/>
              <w:rPr>
                <w:sz w:val="21"/>
              </w:rPr>
            </w:pPr>
            <w:r>
              <w:rPr>
                <w:rFonts w:hint="eastAsia"/>
                <w:sz w:val="21"/>
              </w:rPr>
              <w:t>规划远期</w:t>
            </w:r>
          </w:p>
        </w:tc>
        <w:tc>
          <w:tcPr>
            <w:tcW w:w="1240" w:type="pct"/>
            <w:vAlign w:val="center"/>
          </w:tcPr>
          <w:p w14:paraId="08406109">
            <w:pPr>
              <w:spacing w:line="240" w:lineRule="auto"/>
              <w:ind w:firstLine="0" w:firstLineChars="0"/>
              <w:jc w:val="center"/>
              <w:rPr>
                <w:sz w:val="21"/>
              </w:rPr>
            </w:pPr>
            <w:r>
              <w:rPr>
                <w:rFonts w:hint="eastAsia"/>
                <w:sz w:val="21"/>
              </w:rPr>
              <w:t>685.7</w:t>
            </w:r>
          </w:p>
        </w:tc>
        <w:tc>
          <w:tcPr>
            <w:tcW w:w="1452" w:type="pct"/>
            <w:vMerge w:val="continue"/>
            <w:vAlign w:val="center"/>
          </w:tcPr>
          <w:p w14:paraId="28D7463A">
            <w:pPr>
              <w:spacing w:line="240" w:lineRule="auto"/>
              <w:ind w:firstLine="0" w:firstLineChars="0"/>
              <w:jc w:val="center"/>
              <w:rPr>
                <w:sz w:val="21"/>
              </w:rPr>
            </w:pPr>
          </w:p>
        </w:tc>
        <w:tc>
          <w:tcPr>
            <w:tcW w:w="1542" w:type="pct"/>
            <w:vAlign w:val="center"/>
          </w:tcPr>
          <w:p w14:paraId="65ADDC23">
            <w:pPr>
              <w:spacing w:line="240" w:lineRule="auto"/>
              <w:ind w:firstLine="0" w:firstLineChars="0"/>
              <w:jc w:val="center"/>
              <w:rPr>
                <w:sz w:val="21"/>
              </w:rPr>
            </w:pPr>
            <w:r>
              <w:rPr>
                <w:rFonts w:hint="eastAsia"/>
                <w:sz w:val="21"/>
              </w:rPr>
              <w:t>54.86</w:t>
            </w:r>
          </w:p>
        </w:tc>
      </w:tr>
    </w:tbl>
    <w:p w14:paraId="75692ACC">
      <w:pPr>
        <w:ind w:firstLine="480"/>
      </w:pPr>
      <w:r>
        <w:t>根据地均指标法预测</w:t>
      </w:r>
      <w:r>
        <w:rPr>
          <w:rFonts w:hint="eastAsia"/>
        </w:rPr>
        <w:t>度假区内绿地浇洒用水、农业用水和道路浇洒用地</w:t>
      </w:r>
      <w:r>
        <w:t>用水量</w:t>
      </w:r>
      <w:r>
        <w:rPr>
          <w:rFonts w:hint="eastAsia"/>
        </w:rPr>
        <w:t>，参考城市用水相关指标，</w:t>
      </w:r>
      <w:r>
        <w:t>绿地</w:t>
      </w:r>
      <w:r>
        <w:rPr>
          <w:rFonts w:hint="eastAsia"/>
        </w:rPr>
        <w:t>浇洒用水</w:t>
      </w:r>
      <w:r>
        <w:t>和道路</w:t>
      </w:r>
      <w:r>
        <w:rPr>
          <w:rFonts w:hint="eastAsia"/>
        </w:rPr>
        <w:t>浇洒</w:t>
      </w:r>
      <w:r>
        <w:t>用地指标分别为0</w:t>
      </w:r>
      <w:r>
        <w:rPr>
          <w:rFonts w:hint="eastAsia"/>
        </w:rPr>
        <w:t>.</w:t>
      </w:r>
      <w:r>
        <w:t>1</w:t>
      </w:r>
      <w:r>
        <w:rPr>
          <w:rFonts w:hint="eastAsia"/>
        </w:rPr>
        <w:t>万</w:t>
      </w:r>
      <w:r>
        <w:t>m</w:t>
      </w:r>
      <w:r>
        <w:rPr>
          <w:vertAlign w:val="superscript"/>
        </w:rPr>
        <w:t>3</w:t>
      </w:r>
      <w:r>
        <w:t>/</w:t>
      </w:r>
      <w:r>
        <w:rPr>
          <w:rFonts w:hint="eastAsia"/>
        </w:rPr>
        <w:t>（</w:t>
      </w:r>
      <w:r>
        <w:t>km</w:t>
      </w:r>
      <w:r>
        <w:rPr>
          <w:vertAlign w:val="superscript"/>
        </w:rPr>
        <w:t>2</w:t>
      </w:r>
      <w:r>
        <w:rPr>
          <w:rFonts w:hint="eastAsia"/>
        </w:rPr>
        <w:t>·</w:t>
      </w:r>
      <w:r>
        <w:t>d</w:t>
      </w:r>
      <w:r>
        <w:rPr>
          <w:rFonts w:hint="eastAsia"/>
        </w:rPr>
        <w:t>）</w:t>
      </w:r>
      <w:r>
        <w:t>、0</w:t>
      </w:r>
      <w:r>
        <w:rPr>
          <w:rFonts w:hint="eastAsia"/>
        </w:rPr>
        <w:t>.</w:t>
      </w:r>
      <w:r>
        <w:t>2</w:t>
      </w:r>
      <w:r>
        <w:rPr>
          <w:rFonts w:hint="eastAsia"/>
        </w:rPr>
        <w:t>万</w:t>
      </w:r>
      <w:r>
        <w:t>m</w:t>
      </w:r>
      <w:r>
        <w:rPr>
          <w:vertAlign w:val="superscript"/>
        </w:rPr>
        <w:t>3</w:t>
      </w:r>
      <w:r>
        <w:t>/（km</w:t>
      </w:r>
      <w:r>
        <w:rPr>
          <w:vertAlign w:val="superscript"/>
        </w:rPr>
        <w:t>2</w:t>
      </w:r>
      <w:r>
        <w:t>·d），</w:t>
      </w:r>
      <w:r>
        <w:rPr>
          <w:rFonts w:hint="eastAsia"/>
        </w:rPr>
        <w:t>其中绿地和道路用地按规划用地中最大用地面积计算，绿地和道路浇洒频率按平均每周浇灌1天计算，全年预计20%的时间需要浇灌（即52天）。另外考虑区内农林用地灌溉用水，参考《江苏省农业灌溉用水定额》（2</w:t>
      </w:r>
      <w:r>
        <w:t>019</w:t>
      </w:r>
      <w:r>
        <w:rPr>
          <w:rFonts w:hint="eastAsia"/>
        </w:rPr>
        <w:t>本）中太湖湖西平原区农业用水指标60</w:t>
      </w:r>
      <w:r>
        <w:t>0 m</w:t>
      </w:r>
      <w:r>
        <w:rPr>
          <w:vertAlign w:val="superscript"/>
        </w:rPr>
        <w:t>3</w:t>
      </w:r>
      <w:r>
        <w:t xml:space="preserve">/667 </w:t>
      </w:r>
      <w:r>
        <w:rPr>
          <w:rFonts w:hint="eastAsia"/>
        </w:rPr>
        <w:t>m</w:t>
      </w:r>
      <w:r>
        <w:rPr>
          <w:vertAlign w:val="superscript"/>
        </w:rPr>
        <w:t>2</w:t>
      </w:r>
      <w:r>
        <w:rPr>
          <w:rFonts w:hint="eastAsia"/>
        </w:rPr>
        <w:t>，</w:t>
      </w:r>
      <w:r>
        <w:t>则</w:t>
      </w:r>
      <w:r>
        <w:rPr>
          <w:rFonts w:hint="eastAsia"/>
        </w:rPr>
        <w:t>规划近期和规划远期</w:t>
      </w:r>
      <w:r>
        <w:t>度假区</w:t>
      </w:r>
      <w:r>
        <w:rPr>
          <w:rFonts w:hint="eastAsia"/>
        </w:rPr>
        <w:t>最大用水总</w:t>
      </w:r>
      <w:r>
        <w:t>量</w:t>
      </w:r>
      <w:r>
        <w:rPr>
          <w:rFonts w:hint="eastAsia"/>
        </w:rPr>
        <w:t>分别为8960.69</w:t>
      </w:r>
      <w:r>
        <w:t>万m</w:t>
      </w:r>
      <w:r>
        <w:rPr>
          <w:vertAlign w:val="superscript"/>
        </w:rPr>
        <w:t>3</w:t>
      </w:r>
      <w:r>
        <w:rPr>
          <w:rFonts w:hint="eastAsia"/>
        </w:rPr>
        <w:t>、9026.87</w:t>
      </w:r>
      <w:r>
        <w:t>万m</w:t>
      </w:r>
      <w:r>
        <w:rPr>
          <w:vertAlign w:val="superscript"/>
        </w:rPr>
        <w:t>3</w:t>
      </w:r>
      <w:r>
        <w:t>，</w:t>
      </w:r>
      <w:r>
        <w:rPr>
          <w:rFonts w:hint="eastAsia"/>
        </w:rPr>
        <w:t>但绿地浇洒用水、道路浇洒用水和农业用水的排水不会进入城市污水管网。度假区规划近期和远期绿地浇洒用水、农业用水和道路浇洒用地用水量详见表5.1-3。</w:t>
      </w:r>
    </w:p>
    <w:p w14:paraId="5E9BD249">
      <w:pPr>
        <w:pStyle w:val="45"/>
        <w:rPr>
          <w:rFonts w:cs="Times New Roman"/>
        </w:rPr>
      </w:pPr>
      <w:r>
        <w:rPr>
          <w:rFonts w:hint="eastAsia" w:cs="Times New Roman"/>
        </w:rPr>
        <w:t>表5</w:t>
      </w:r>
      <w:r>
        <w:rPr>
          <w:rFonts w:cs="Times New Roman"/>
        </w:rPr>
        <w:t xml:space="preserve">.1-3  </w:t>
      </w:r>
      <w:r>
        <w:rPr>
          <w:rFonts w:hint="eastAsia" w:cs="Times New Roman"/>
        </w:rPr>
        <w:t>规划期度假区浇洒、灌溉用水预测表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948"/>
        <w:gridCol w:w="1786"/>
        <w:gridCol w:w="1665"/>
        <w:gridCol w:w="1738"/>
        <w:gridCol w:w="1443"/>
      </w:tblGrid>
      <w:tr w14:paraId="42277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pct"/>
            <w:vAlign w:val="center"/>
          </w:tcPr>
          <w:p w14:paraId="1ADF363B">
            <w:pPr>
              <w:spacing w:line="240" w:lineRule="auto"/>
              <w:ind w:firstLine="0" w:firstLineChars="0"/>
              <w:jc w:val="center"/>
              <w:rPr>
                <w:b/>
                <w:bCs/>
                <w:sz w:val="21"/>
              </w:rPr>
            </w:pPr>
            <w:r>
              <w:rPr>
                <w:rFonts w:hint="eastAsia"/>
                <w:b/>
                <w:bCs/>
                <w:sz w:val="21"/>
              </w:rPr>
              <w:t>时限</w:t>
            </w:r>
          </w:p>
        </w:tc>
        <w:tc>
          <w:tcPr>
            <w:tcW w:w="556" w:type="pct"/>
            <w:vAlign w:val="center"/>
          </w:tcPr>
          <w:p w14:paraId="003024A5">
            <w:pPr>
              <w:spacing w:line="240" w:lineRule="auto"/>
              <w:ind w:firstLine="0" w:firstLineChars="0"/>
              <w:jc w:val="center"/>
              <w:rPr>
                <w:b/>
                <w:bCs/>
                <w:sz w:val="21"/>
              </w:rPr>
            </w:pPr>
            <w:r>
              <w:rPr>
                <w:rFonts w:hint="eastAsia"/>
                <w:b/>
                <w:bCs/>
                <w:sz w:val="21"/>
              </w:rPr>
              <w:t>序号</w:t>
            </w:r>
          </w:p>
        </w:tc>
        <w:tc>
          <w:tcPr>
            <w:tcW w:w="1048" w:type="pct"/>
            <w:vAlign w:val="center"/>
          </w:tcPr>
          <w:p w14:paraId="51FA6BB0">
            <w:pPr>
              <w:spacing w:line="240" w:lineRule="auto"/>
              <w:ind w:firstLine="0" w:firstLineChars="0"/>
              <w:jc w:val="center"/>
              <w:rPr>
                <w:b/>
                <w:bCs/>
                <w:sz w:val="21"/>
              </w:rPr>
            </w:pPr>
            <w:r>
              <w:rPr>
                <w:rFonts w:hint="eastAsia"/>
                <w:b/>
                <w:bCs/>
                <w:sz w:val="21"/>
              </w:rPr>
              <w:t>用地性质</w:t>
            </w:r>
          </w:p>
        </w:tc>
        <w:tc>
          <w:tcPr>
            <w:tcW w:w="977" w:type="pct"/>
            <w:vAlign w:val="center"/>
          </w:tcPr>
          <w:p w14:paraId="0F021D0D">
            <w:pPr>
              <w:spacing w:line="240" w:lineRule="auto"/>
              <w:ind w:firstLine="0" w:firstLineChars="0"/>
              <w:jc w:val="center"/>
              <w:rPr>
                <w:b/>
                <w:bCs/>
                <w:sz w:val="21"/>
              </w:rPr>
            </w:pPr>
            <w:r>
              <w:rPr>
                <w:rFonts w:hint="eastAsia"/>
                <w:b/>
                <w:bCs/>
                <w:sz w:val="21"/>
              </w:rPr>
              <w:t>用地面积（km</w:t>
            </w:r>
            <w:r>
              <w:rPr>
                <w:rFonts w:hint="eastAsia"/>
                <w:b/>
                <w:bCs/>
                <w:sz w:val="21"/>
                <w:vertAlign w:val="superscript"/>
              </w:rPr>
              <w:t>2</w:t>
            </w:r>
            <w:r>
              <w:rPr>
                <w:rFonts w:hint="eastAsia"/>
                <w:b/>
                <w:bCs/>
                <w:sz w:val="21"/>
              </w:rPr>
              <w:t>）</w:t>
            </w:r>
          </w:p>
        </w:tc>
        <w:tc>
          <w:tcPr>
            <w:tcW w:w="1020" w:type="pct"/>
            <w:vAlign w:val="center"/>
          </w:tcPr>
          <w:p w14:paraId="5F2142FA">
            <w:pPr>
              <w:spacing w:line="240" w:lineRule="auto"/>
              <w:ind w:firstLine="0" w:firstLineChars="0"/>
              <w:jc w:val="center"/>
              <w:rPr>
                <w:b/>
                <w:bCs/>
                <w:sz w:val="21"/>
              </w:rPr>
            </w:pPr>
            <w:r>
              <w:rPr>
                <w:rFonts w:hint="eastAsia"/>
                <w:b/>
                <w:bCs/>
                <w:sz w:val="21"/>
              </w:rPr>
              <w:t>用水指标</w:t>
            </w:r>
          </w:p>
          <w:p w14:paraId="1A13670F">
            <w:pPr>
              <w:spacing w:line="240" w:lineRule="auto"/>
              <w:ind w:firstLine="0" w:firstLineChars="0"/>
              <w:rPr>
                <w:b/>
                <w:bCs/>
                <w:sz w:val="21"/>
              </w:rPr>
            </w:pPr>
            <w:r>
              <w:rPr>
                <w:rFonts w:hint="eastAsia"/>
                <w:b/>
                <w:sz w:val="21"/>
                <w:szCs w:val="21"/>
              </w:rPr>
              <w:t>万m</w:t>
            </w:r>
            <w:r>
              <w:rPr>
                <w:rFonts w:hint="eastAsia"/>
                <w:b/>
                <w:sz w:val="21"/>
                <w:szCs w:val="21"/>
                <w:vertAlign w:val="superscript"/>
              </w:rPr>
              <w:t>3</w:t>
            </w:r>
            <w:r>
              <w:rPr>
                <w:rFonts w:hint="eastAsia"/>
                <w:sz w:val="21"/>
                <w:szCs w:val="18"/>
              </w:rPr>
              <w:t>/</w:t>
            </w:r>
            <w:r>
              <w:rPr>
                <w:rFonts w:hint="eastAsia"/>
                <w:b/>
                <w:sz w:val="21"/>
                <w:szCs w:val="21"/>
              </w:rPr>
              <w:t>（km</w:t>
            </w:r>
            <w:r>
              <w:rPr>
                <w:rFonts w:hint="eastAsia"/>
                <w:b/>
                <w:sz w:val="21"/>
                <w:szCs w:val="21"/>
                <w:vertAlign w:val="superscript"/>
              </w:rPr>
              <w:t>2</w:t>
            </w:r>
            <w:r>
              <w:rPr>
                <w:rFonts w:hint="eastAsia"/>
                <w:b/>
                <w:sz w:val="21"/>
                <w:szCs w:val="21"/>
              </w:rPr>
              <w:t>·d）</w:t>
            </w:r>
          </w:p>
        </w:tc>
        <w:tc>
          <w:tcPr>
            <w:tcW w:w="846" w:type="pct"/>
            <w:vAlign w:val="center"/>
          </w:tcPr>
          <w:p w14:paraId="7565760D">
            <w:pPr>
              <w:spacing w:line="240" w:lineRule="auto"/>
              <w:ind w:firstLine="0" w:firstLineChars="0"/>
              <w:jc w:val="center"/>
              <w:rPr>
                <w:b/>
                <w:bCs/>
                <w:sz w:val="21"/>
              </w:rPr>
            </w:pPr>
            <w:r>
              <w:rPr>
                <w:rFonts w:hint="eastAsia"/>
                <w:b/>
                <w:bCs/>
                <w:sz w:val="21"/>
              </w:rPr>
              <w:t>用水量</w:t>
            </w:r>
          </w:p>
          <w:p w14:paraId="506EB520">
            <w:pPr>
              <w:spacing w:line="240" w:lineRule="auto"/>
              <w:ind w:firstLine="0" w:firstLineChars="0"/>
              <w:jc w:val="center"/>
              <w:rPr>
                <w:b/>
                <w:bCs/>
                <w:sz w:val="21"/>
              </w:rPr>
            </w:pPr>
            <w:r>
              <w:rPr>
                <w:rFonts w:hint="eastAsia"/>
                <w:b/>
                <w:bCs/>
                <w:sz w:val="21"/>
              </w:rPr>
              <w:t>（万m</w:t>
            </w:r>
            <w:r>
              <w:rPr>
                <w:rFonts w:hint="eastAsia"/>
                <w:b/>
                <w:bCs/>
                <w:sz w:val="21"/>
                <w:vertAlign w:val="superscript"/>
              </w:rPr>
              <w:t>3</w:t>
            </w:r>
            <w:r>
              <w:rPr>
                <w:rFonts w:hint="eastAsia"/>
                <w:b/>
                <w:bCs/>
                <w:sz w:val="21"/>
              </w:rPr>
              <w:t>/a）</w:t>
            </w:r>
          </w:p>
        </w:tc>
      </w:tr>
      <w:tr w14:paraId="4FDFA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1" w:type="pct"/>
            <w:vMerge w:val="restart"/>
            <w:vAlign w:val="center"/>
          </w:tcPr>
          <w:p w14:paraId="7EDD1A84">
            <w:pPr>
              <w:spacing w:line="240" w:lineRule="auto"/>
              <w:ind w:firstLine="0" w:firstLineChars="0"/>
              <w:jc w:val="center"/>
              <w:rPr>
                <w:sz w:val="21"/>
              </w:rPr>
            </w:pPr>
            <w:r>
              <w:rPr>
                <w:rFonts w:hint="eastAsia"/>
                <w:sz w:val="21"/>
              </w:rPr>
              <w:t>规划近期</w:t>
            </w:r>
          </w:p>
        </w:tc>
        <w:tc>
          <w:tcPr>
            <w:tcW w:w="556" w:type="pct"/>
            <w:vAlign w:val="center"/>
          </w:tcPr>
          <w:p w14:paraId="034F3D02">
            <w:pPr>
              <w:spacing w:line="240" w:lineRule="auto"/>
              <w:ind w:firstLine="0" w:firstLineChars="0"/>
              <w:jc w:val="center"/>
              <w:rPr>
                <w:sz w:val="21"/>
              </w:rPr>
            </w:pPr>
            <w:r>
              <w:rPr>
                <w:rFonts w:hint="eastAsia"/>
                <w:sz w:val="21"/>
              </w:rPr>
              <w:t>1</w:t>
            </w:r>
          </w:p>
        </w:tc>
        <w:tc>
          <w:tcPr>
            <w:tcW w:w="1048" w:type="pct"/>
            <w:vAlign w:val="center"/>
          </w:tcPr>
          <w:p w14:paraId="11E41D5E">
            <w:pPr>
              <w:spacing w:line="240" w:lineRule="auto"/>
              <w:ind w:firstLine="0" w:firstLineChars="0"/>
              <w:jc w:val="center"/>
              <w:rPr>
                <w:sz w:val="21"/>
              </w:rPr>
            </w:pPr>
            <w:r>
              <w:rPr>
                <w:rFonts w:hint="eastAsia"/>
                <w:sz w:val="21"/>
              </w:rPr>
              <w:t>绿地</w:t>
            </w:r>
          </w:p>
        </w:tc>
        <w:tc>
          <w:tcPr>
            <w:tcW w:w="977" w:type="pct"/>
            <w:vAlign w:val="center"/>
          </w:tcPr>
          <w:p w14:paraId="774755FF">
            <w:pPr>
              <w:spacing w:line="240" w:lineRule="auto"/>
              <w:ind w:firstLine="0" w:firstLineChars="0"/>
              <w:jc w:val="center"/>
              <w:rPr>
                <w:sz w:val="21"/>
              </w:rPr>
            </w:pPr>
            <w:r>
              <w:rPr>
                <w:rFonts w:hint="eastAsia"/>
                <w:sz w:val="21"/>
              </w:rPr>
              <w:t>0.023</w:t>
            </w:r>
          </w:p>
        </w:tc>
        <w:tc>
          <w:tcPr>
            <w:tcW w:w="1020" w:type="pct"/>
            <w:vAlign w:val="center"/>
          </w:tcPr>
          <w:p w14:paraId="06BB06FC">
            <w:pPr>
              <w:spacing w:line="240" w:lineRule="auto"/>
              <w:ind w:firstLine="0" w:firstLineChars="0"/>
              <w:jc w:val="center"/>
              <w:rPr>
                <w:sz w:val="21"/>
              </w:rPr>
            </w:pPr>
            <w:r>
              <w:rPr>
                <w:rFonts w:hint="eastAsia"/>
                <w:sz w:val="21"/>
              </w:rPr>
              <w:t>0.1</w:t>
            </w:r>
          </w:p>
        </w:tc>
        <w:tc>
          <w:tcPr>
            <w:tcW w:w="846" w:type="pct"/>
            <w:vAlign w:val="center"/>
          </w:tcPr>
          <w:p w14:paraId="5007A206">
            <w:pPr>
              <w:spacing w:line="240" w:lineRule="auto"/>
              <w:ind w:firstLine="0" w:firstLineChars="0"/>
              <w:jc w:val="center"/>
              <w:rPr>
                <w:sz w:val="21"/>
              </w:rPr>
            </w:pPr>
            <w:r>
              <w:rPr>
                <w:rFonts w:hint="eastAsia"/>
                <w:sz w:val="21"/>
              </w:rPr>
              <w:t>0.12</w:t>
            </w:r>
          </w:p>
        </w:tc>
      </w:tr>
      <w:tr w14:paraId="00AB9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1" w:type="pct"/>
            <w:vMerge w:val="continue"/>
            <w:vAlign w:val="center"/>
          </w:tcPr>
          <w:p w14:paraId="532400F5">
            <w:pPr>
              <w:spacing w:line="240" w:lineRule="auto"/>
              <w:ind w:firstLine="0" w:firstLineChars="0"/>
              <w:jc w:val="center"/>
              <w:rPr>
                <w:sz w:val="21"/>
              </w:rPr>
            </w:pPr>
          </w:p>
        </w:tc>
        <w:tc>
          <w:tcPr>
            <w:tcW w:w="556" w:type="pct"/>
            <w:vAlign w:val="center"/>
          </w:tcPr>
          <w:p w14:paraId="27459C9C">
            <w:pPr>
              <w:spacing w:line="240" w:lineRule="auto"/>
              <w:ind w:firstLine="0" w:firstLineChars="0"/>
              <w:jc w:val="center"/>
              <w:rPr>
                <w:sz w:val="21"/>
              </w:rPr>
            </w:pPr>
            <w:r>
              <w:rPr>
                <w:rFonts w:hint="eastAsia"/>
                <w:sz w:val="21"/>
              </w:rPr>
              <w:t>2</w:t>
            </w:r>
          </w:p>
        </w:tc>
        <w:tc>
          <w:tcPr>
            <w:tcW w:w="1048" w:type="pct"/>
            <w:vAlign w:val="center"/>
          </w:tcPr>
          <w:p w14:paraId="3495CBD6">
            <w:pPr>
              <w:spacing w:line="240" w:lineRule="auto"/>
              <w:ind w:firstLine="0" w:firstLineChars="0"/>
              <w:jc w:val="center"/>
              <w:rPr>
                <w:sz w:val="21"/>
              </w:rPr>
            </w:pPr>
            <w:r>
              <w:rPr>
                <w:rFonts w:hint="eastAsia"/>
                <w:sz w:val="21"/>
              </w:rPr>
              <w:t>道路用地</w:t>
            </w:r>
          </w:p>
        </w:tc>
        <w:tc>
          <w:tcPr>
            <w:tcW w:w="977" w:type="pct"/>
            <w:vAlign w:val="center"/>
          </w:tcPr>
          <w:p w14:paraId="71B9AF4D">
            <w:pPr>
              <w:spacing w:line="240" w:lineRule="auto"/>
              <w:ind w:firstLine="0" w:firstLineChars="0"/>
              <w:jc w:val="center"/>
              <w:rPr>
                <w:sz w:val="21"/>
              </w:rPr>
            </w:pPr>
            <w:r>
              <w:rPr>
                <w:rFonts w:hint="eastAsia"/>
                <w:sz w:val="21"/>
              </w:rPr>
              <w:t>2.79</w:t>
            </w:r>
          </w:p>
        </w:tc>
        <w:tc>
          <w:tcPr>
            <w:tcW w:w="1020" w:type="pct"/>
            <w:vAlign w:val="center"/>
          </w:tcPr>
          <w:p w14:paraId="7B86FFA6">
            <w:pPr>
              <w:spacing w:line="240" w:lineRule="auto"/>
              <w:ind w:firstLine="0" w:firstLineChars="0"/>
              <w:jc w:val="center"/>
              <w:rPr>
                <w:sz w:val="21"/>
              </w:rPr>
            </w:pPr>
            <w:r>
              <w:rPr>
                <w:rFonts w:hint="eastAsia"/>
                <w:sz w:val="21"/>
              </w:rPr>
              <w:t>0.2</w:t>
            </w:r>
          </w:p>
        </w:tc>
        <w:tc>
          <w:tcPr>
            <w:tcW w:w="846" w:type="pct"/>
            <w:vAlign w:val="center"/>
          </w:tcPr>
          <w:p w14:paraId="050A8C0E">
            <w:pPr>
              <w:spacing w:line="240" w:lineRule="auto"/>
              <w:ind w:firstLine="0" w:firstLineChars="0"/>
              <w:jc w:val="center"/>
              <w:rPr>
                <w:sz w:val="21"/>
              </w:rPr>
            </w:pPr>
            <w:r>
              <w:rPr>
                <w:rFonts w:hint="eastAsia"/>
                <w:sz w:val="21"/>
              </w:rPr>
              <w:t>28.91</w:t>
            </w:r>
          </w:p>
        </w:tc>
      </w:tr>
      <w:tr w14:paraId="0960C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1" w:type="pct"/>
            <w:vMerge w:val="continue"/>
            <w:vAlign w:val="center"/>
          </w:tcPr>
          <w:p w14:paraId="5188CF5A">
            <w:pPr>
              <w:spacing w:line="240" w:lineRule="auto"/>
              <w:ind w:firstLine="0" w:firstLineChars="0"/>
              <w:jc w:val="center"/>
              <w:rPr>
                <w:sz w:val="21"/>
              </w:rPr>
            </w:pPr>
          </w:p>
        </w:tc>
        <w:tc>
          <w:tcPr>
            <w:tcW w:w="556" w:type="pct"/>
            <w:vAlign w:val="center"/>
          </w:tcPr>
          <w:p w14:paraId="08877E26">
            <w:pPr>
              <w:spacing w:line="240" w:lineRule="auto"/>
              <w:ind w:firstLine="0" w:firstLineChars="0"/>
              <w:jc w:val="center"/>
              <w:rPr>
                <w:sz w:val="21"/>
              </w:rPr>
            </w:pPr>
            <w:r>
              <w:rPr>
                <w:rFonts w:hint="eastAsia"/>
                <w:sz w:val="21"/>
              </w:rPr>
              <w:t>3</w:t>
            </w:r>
          </w:p>
        </w:tc>
        <w:tc>
          <w:tcPr>
            <w:tcW w:w="1048" w:type="pct"/>
            <w:vAlign w:val="center"/>
          </w:tcPr>
          <w:p w14:paraId="50FF3D90">
            <w:pPr>
              <w:spacing w:line="240" w:lineRule="auto"/>
              <w:ind w:firstLine="0" w:firstLineChars="0"/>
              <w:jc w:val="center"/>
              <w:rPr>
                <w:sz w:val="21"/>
              </w:rPr>
            </w:pPr>
            <w:r>
              <w:rPr>
                <w:rFonts w:hint="eastAsia"/>
                <w:sz w:val="21"/>
              </w:rPr>
              <w:t>农林用地</w:t>
            </w:r>
          </w:p>
        </w:tc>
        <w:tc>
          <w:tcPr>
            <w:tcW w:w="977" w:type="pct"/>
            <w:vAlign w:val="center"/>
          </w:tcPr>
          <w:p w14:paraId="6AE99B45">
            <w:pPr>
              <w:spacing w:line="240" w:lineRule="auto"/>
              <w:ind w:firstLine="0" w:firstLineChars="0"/>
              <w:jc w:val="center"/>
              <w:rPr>
                <w:sz w:val="21"/>
              </w:rPr>
            </w:pPr>
            <w:r>
              <w:rPr>
                <w:rFonts w:hint="eastAsia"/>
                <w:sz w:val="21"/>
              </w:rPr>
              <w:t>99.613</w:t>
            </w:r>
          </w:p>
        </w:tc>
        <w:tc>
          <w:tcPr>
            <w:tcW w:w="1020" w:type="pct"/>
            <w:vAlign w:val="center"/>
          </w:tcPr>
          <w:p w14:paraId="1EF69DBB">
            <w:pPr>
              <w:spacing w:line="240" w:lineRule="auto"/>
              <w:ind w:firstLine="0" w:firstLineChars="0"/>
              <w:jc w:val="center"/>
              <w:rPr>
                <w:sz w:val="21"/>
              </w:rPr>
            </w:pPr>
            <w:r>
              <w:rPr>
                <w:rFonts w:hint="eastAsia"/>
                <w:sz w:val="21"/>
              </w:rPr>
              <w:t>600 m</w:t>
            </w:r>
            <w:r>
              <w:rPr>
                <w:rFonts w:hint="eastAsia"/>
                <w:sz w:val="21"/>
                <w:vertAlign w:val="superscript"/>
              </w:rPr>
              <w:t>3</w:t>
            </w:r>
            <w:r>
              <w:rPr>
                <w:rFonts w:hint="eastAsia"/>
                <w:sz w:val="21"/>
              </w:rPr>
              <w:t>/667 m</w:t>
            </w:r>
            <w:r>
              <w:rPr>
                <w:rFonts w:hint="eastAsia"/>
                <w:sz w:val="21"/>
                <w:vertAlign w:val="superscript"/>
              </w:rPr>
              <w:t>2</w:t>
            </w:r>
          </w:p>
        </w:tc>
        <w:tc>
          <w:tcPr>
            <w:tcW w:w="846" w:type="pct"/>
            <w:vAlign w:val="center"/>
          </w:tcPr>
          <w:p w14:paraId="760DC58E">
            <w:pPr>
              <w:spacing w:line="240" w:lineRule="auto"/>
              <w:ind w:firstLine="0" w:firstLineChars="0"/>
              <w:jc w:val="center"/>
              <w:rPr>
                <w:sz w:val="21"/>
              </w:rPr>
            </w:pPr>
            <w:r>
              <w:rPr>
                <w:rFonts w:hint="eastAsia"/>
                <w:sz w:val="21"/>
              </w:rPr>
              <w:t>8960.69</w:t>
            </w:r>
          </w:p>
        </w:tc>
      </w:tr>
      <w:tr w14:paraId="70030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1" w:type="pct"/>
            <w:vMerge w:val="continue"/>
            <w:vAlign w:val="center"/>
          </w:tcPr>
          <w:p w14:paraId="600E15B9">
            <w:pPr>
              <w:spacing w:line="240" w:lineRule="auto"/>
              <w:ind w:firstLine="0" w:firstLineChars="0"/>
              <w:jc w:val="center"/>
              <w:rPr>
                <w:sz w:val="21"/>
              </w:rPr>
            </w:pPr>
          </w:p>
        </w:tc>
        <w:tc>
          <w:tcPr>
            <w:tcW w:w="3601" w:type="pct"/>
            <w:gridSpan w:val="4"/>
            <w:vAlign w:val="center"/>
          </w:tcPr>
          <w:p w14:paraId="1764382B">
            <w:pPr>
              <w:spacing w:line="240" w:lineRule="auto"/>
              <w:ind w:firstLine="0" w:firstLineChars="0"/>
              <w:jc w:val="center"/>
              <w:rPr>
                <w:sz w:val="21"/>
              </w:rPr>
            </w:pPr>
            <w:r>
              <w:rPr>
                <w:rFonts w:hint="eastAsia"/>
                <w:sz w:val="21"/>
              </w:rPr>
              <w:t>合计</w:t>
            </w:r>
          </w:p>
        </w:tc>
        <w:tc>
          <w:tcPr>
            <w:tcW w:w="846" w:type="pct"/>
            <w:vAlign w:val="center"/>
          </w:tcPr>
          <w:p w14:paraId="7ACB9AEA">
            <w:pPr>
              <w:spacing w:line="240" w:lineRule="auto"/>
              <w:ind w:firstLine="0" w:firstLineChars="0"/>
              <w:jc w:val="center"/>
              <w:rPr>
                <w:sz w:val="21"/>
              </w:rPr>
            </w:pPr>
            <w:r>
              <w:rPr>
                <w:rFonts w:hint="eastAsia"/>
                <w:sz w:val="21"/>
              </w:rPr>
              <w:t>8989.72</w:t>
            </w:r>
          </w:p>
        </w:tc>
      </w:tr>
      <w:tr w14:paraId="07160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1" w:type="pct"/>
            <w:vMerge w:val="restart"/>
            <w:vAlign w:val="center"/>
          </w:tcPr>
          <w:p w14:paraId="3F14DAFD">
            <w:pPr>
              <w:spacing w:line="240" w:lineRule="auto"/>
              <w:ind w:firstLine="0" w:firstLineChars="0"/>
              <w:jc w:val="center"/>
              <w:rPr>
                <w:sz w:val="21"/>
              </w:rPr>
            </w:pPr>
            <w:r>
              <w:rPr>
                <w:rFonts w:hint="eastAsia"/>
                <w:sz w:val="21"/>
              </w:rPr>
              <w:t>规划远期</w:t>
            </w:r>
          </w:p>
        </w:tc>
        <w:tc>
          <w:tcPr>
            <w:tcW w:w="556" w:type="pct"/>
            <w:vAlign w:val="center"/>
          </w:tcPr>
          <w:p w14:paraId="1E21E5DE">
            <w:pPr>
              <w:spacing w:line="240" w:lineRule="auto"/>
              <w:ind w:firstLine="0" w:firstLineChars="0"/>
              <w:jc w:val="center"/>
              <w:rPr>
                <w:sz w:val="21"/>
              </w:rPr>
            </w:pPr>
            <w:r>
              <w:rPr>
                <w:rFonts w:hint="eastAsia"/>
                <w:sz w:val="21"/>
              </w:rPr>
              <w:t>1</w:t>
            </w:r>
          </w:p>
        </w:tc>
        <w:tc>
          <w:tcPr>
            <w:tcW w:w="1048" w:type="pct"/>
            <w:vAlign w:val="center"/>
          </w:tcPr>
          <w:p w14:paraId="157C33D8">
            <w:pPr>
              <w:spacing w:line="240" w:lineRule="auto"/>
              <w:ind w:firstLine="0" w:firstLineChars="0"/>
              <w:jc w:val="center"/>
              <w:rPr>
                <w:sz w:val="21"/>
              </w:rPr>
            </w:pPr>
            <w:r>
              <w:rPr>
                <w:rFonts w:hint="eastAsia"/>
                <w:sz w:val="21"/>
              </w:rPr>
              <w:t>绿地</w:t>
            </w:r>
          </w:p>
        </w:tc>
        <w:tc>
          <w:tcPr>
            <w:tcW w:w="977" w:type="pct"/>
            <w:vAlign w:val="center"/>
          </w:tcPr>
          <w:p w14:paraId="58DD8FCD">
            <w:pPr>
              <w:spacing w:line="240" w:lineRule="auto"/>
              <w:ind w:firstLine="0" w:firstLineChars="0"/>
              <w:jc w:val="center"/>
              <w:rPr>
                <w:sz w:val="21"/>
              </w:rPr>
            </w:pPr>
            <w:r>
              <w:rPr>
                <w:rFonts w:hint="eastAsia" w:eastAsia="宋体"/>
                <w:sz w:val="21"/>
              </w:rPr>
              <w:t>0.023</w:t>
            </w:r>
          </w:p>
        </w:tc>
        <w:tc>
          <w:tcPr>
            <w:tcW w:w="1020" w:type="pct"/>
            <w:vAlign w:val="center"/>
          </w:tcPr>
          <w:p w14:paraId="46E29D5D">
            <w:pPr>
              <w:spacing w:line="240" w:lineRule="auto"/>
              <w:ind w:firstLine="0" w:firstLineChars="0"/>
              <w:jc w:val="center"/>
              <w:rPr>
                <w:sz w:val="21"/>
              </w:rPr>
            </w:pPr>
            <w:r>
              <w:rPr>
                <w:rFonts w:hint="eastAsia"/>
                <w:sz w:val="21"/>
              </w:rPr>
              <w:t>0.1</w:t>
            </w:r>
          </w:p>
        </w:tc>
        <w:tc>
          <w:tcPr>
            <w:tcW w:w="846" w:type="pct"/>
            <w:vAlign w:val="center"/>
          </w:tcPr>
          <w:p w14:paraId="7EBBD638">
            <w:pPr>
              <w:spacing w:line="240" w:lineRule="auto"/>
              <w:ind w:firstLine="0" w:firstLineChars="0"/>
              <w:jc w:val="center"/>
              <w:rPr>
                <w:sz w:val="21"/>
              </w:rPr>
            </w:pPr>
            <w:r>
              <w:rPr>
                <w:rFonts w:hint="eastAsia"/>
                <w:sz w:val="21"/>
              </w:rPr>
              <w:t>0.12</w:t>
            </w:r>
          </w:p>
        </w:tc>
      </w:tr>
      <w:tr w14:paraId="4A579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1" w:type="pct"/>
            <w:vMerge w:val="continue"/>
            <w:vAlign w:val="center"/>
          </w:tcPr>
          <w:p w14:paraId="7460E766">
            <w:pPr>
              <w:spacing w:line="240" w:lineRule="auto"/>
              <w:ind w:firstLine="0" w:firstLineChars="0"/>
              <w:jc w:val="center"/>
              <w:rPr>
                <w:sz w:val="21"/>
              </w:rPr>
            </w:pPr>
          </w:p>
        </w:tc>
        <w:tc>
          <w:tcPr>
            <w:tcW w:w="556" w:type="pct"/>
            <w:vAlign w:val="center"/>
          </w:tcPr>
          <w:p w14:paraId="449A2233">
            <w:pPr>
              <w:spacing w:line="240" w:lineRule="auto"/>
              <w:ind w:firstLine="0" w:firstLineChars="0"/>
              <w:jc w:val="center"/>
              <w:rPr>
                <w:sz w:val="21"/>
              </w:rPr>
            </w:pPr>
            <w:r>
              <w:rPr>
                <w:rFonts w:hint="eastAsia"/>
                <w:sz w:val="21"/>
              </w:rPr>
              <w:t>2</w:t>
            </w:r>
          </w:p>
        </w:tc>
        <w:tc>
          <w:tcPr>
            <w:tcW w:w="1048" w:type="pct"/>
            <w:vAlign w:val="center"/>
          </w:tcPr>
          <w:p w14:paraId="681ED8F7">
            <w:pPr>
              <w:spacing w:line="240" w:lineRule="auto"/>
              <w:ind w:firstLine="0" w:firstLineChars="0"/>
              <w:jc w:val="center"/>
              <w:rPr>
                <w:sz w:val="21"/>
              </w:rPr>
            </w:pPr>
            <w:r>
              <w:rPr>
                <w:rFonts w:hint="eastAsia"/>
                <w:sz w:val="21"/>
              </w:rPr>
              <w:t>道路用地</w:t>
            </w:r>
          </w:p>
        </w:tc>
        <w:tc>
          <w:tcPr>
            <w:tcW w:w="977" w:type="pct"/>
            <w:vAlign w:val="center"/>
          </w:tcPr>
          <w:p w14:paraId="02765ECA">
            <w:pPr>
              <w:spacing w:line="240" w:lineRule="auto"/>
              <w:ind w:firstLine="0" w:firstLineChars="0"/>
              <w:jc w:val="center"/>
              <w:rPr>
                <w:sz w:val="21"/>
              </w:rPr>
            </w:pPr>
            <w:r>
              <w:rPr>
                <w:rFonts w:hint="eastAsia" w:eastAsia="宋体"/>
                <w:sz w:val="21"/>
              </w:rPr>
              <w:t>2.79</w:t>
            </w:r>
          </w:p>
        </w:tc>
        <w:tc>
          <w:tcPr>
            <w:tcW w:w="1020" w:type="pct"/>
            <w:vAlign w:val="center"/>
          </w:tcPr>
          <w:p w14:paraId="121F23CF">
            <w:pPr>
              <w:spacing w:line="240" w:lineRule="auto"/>
              <w:ind w:firstLine="0" w:firstLineChars="0"/>
              <w:jc w:val="center"/>
              <w:rPr>
                <w:sz w:val="21"/>
              </w:rPr>
            </w:pPr>
            <w:r>
              <w:rPr>
                <w:rFonts w:hint="eastAsia"/>
                <w:sz w:val="21"/>
              </w:rPr>
              <w:t>0.2</w:t>
            </w:r>
          </w:p>
        </w:tc>
        <w:tc>
          <w:tcPr>
            <w:tcW w:w="846" w:type="pct"/>
            <w:vAlign w:val="center"/>
          </w:tcPr>
          <w:p w14:paraId="4FAD670F">
            <w:pPr>
              <w:spacing w:line="240" w:lineRule="auto"/>
              <w:ind w:firstLine="0" w:firstLineChars="0"/>
              <w:jc w:val="center"/>
              <w:rPr>
                <w:sz w:val="21"/>
              </w:rPr>
            </w:pPr>
            <w:r>
              <w:rPr>
                <w:rFonts w:hint="eastAsia"/>
                <w:sz w:val="21"/>
              </w:rPr>
              <w:t>28.91</w:t>
            </w:r>
          </w:p>
        </w:tc>
      </w:tr>
      <w:tr w14:paraId="151AF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1" w:type="pct"/>
            <w:vMerge w:val="continue"/>
            <w:vAlign w:val="center"/>
          </w:tcPr>
          <w:p w14:paraId="1D57DB94">
            <w:pPr>
              <w:spacing w:line="240" w:lineRule="auto"/>
              <w:ind w:firstLine="0" w:firstLineChars="0"/>
              <w:jc w:val="center"/>
              <w:rPr>
                <w:sz w:val="21"/>
              </w:rPr>
            </w:pPr>
          </w:p>
        </w:tc>
        <w:tc>
          <w:tcPr>
            <w:tcW w:w="556" w:type="pct"/>
            <w:vAlign w:val="center"/>
          </w:tcPr>
          <w:p w14:paraId="4E8F8718">
            <w:pPr>
              <w:spacing w:line="240" w:lineRule="auto"/>
              <w:ind w:firstLine="0" w:firstLineChars="0"/>
              <w:jc w:val="center"/>
              <w:rPr>
                <w:sz w:val="21"/>
              </w:rPr>
            </w:pPr>
            <w:r>
              <w:rPr>
                <w:rFonts w:hint="eastAsia"/>
                <w:sz w:val="21"/>
              </w:rPr>
              <w:t>3</w:t>
            </w:r>
          </w:p>
        </w:tc>
        <w:tc>
          <w:tcPr>
            <w:tcW w:w="1048" w:type="pct"/>
            <w:vAlign w:val="center"/>
          </w:tcPr>
          <w:p w14:paraId="733E84C0">
            <w:pPr>
              <w:spacing w:line="240" w:lineRule="auto"/>
              <w:ind w:firstLine="0" w:firstLineChars="0"/>
              <w:jc w:val="center"/>
              <w:rPr>
                <w:sz w:val="21"/>
              </w:rPr>
            </w:pPr>
            <w:r>
              <w:rPr>
                <w:rFonts w:hint="eastAsia"/>
                <w:sz w:val="21"/>
              </w:rPr>
              <w:t>农林用地</w:t>
            </w:r>
          </w:p>
        </w:tc>
        <w:tc>
          <w:tcPr>
            <w:tcW w:w="977" w:type="pct"/>
            <w:vAlign w:val="center"/>
          </w:tcPr>
          <w:p w14:paraId="40779C35">
            <w:pPr>
              <w:spacing w:line="240" w:lineRule="auto"/>
              <w:ind w:firstLine="0" w:firstLineChars="0"/>
              <w:jc w:val="center"/>
              <w:rPr>
                <w:sz w:val="21"/>
              </w:rPr>
            </w:pPr>
            <w:r>
              <w:rPr>
                <w:rFonts w:hint="eastAsia"/>
                <w:sz w:val="21"/>
              </w:rPr>
              <w:t>100.026</w:t>
            </w:r>
          </w:p>
        </w:tc>
        <w:tc>
          <w:tcPr>
            <w:tcW w:w="1020" w:type="pct"/>
            <w:vAlign w:val="center"/>
          </w:tcPr>
          <w:p w14:paraId="47B06ACE">
            <w:pPr>
              <w:spacing w:line="240" w:lineRule="auto"/>
              <w:ind w:firstLine="0" w:firstLineChars="0"/>
              <w:jc w:val="center"/>
              <w:rPr>
                <w:sz w:val="21"/>
              </w:rPr>
            </w:pPr>
            <w:r>
              <w:rPr>
                <w:rFonts w:hint="eastAsia"/>
                <w:sz w:val="21"/>
              </w:rPr>
              <w:t>600 m</w:t>
            </w:r>
            <w:r>
              <w:rPr>
                <w:rFonts w:hint="eastAsia"/>
                <w:sz w:val="21"/>
                <w:vertAlign w:val="superscript"/>
              </w:rPr>
              <w:t>3</w:t>
            </w:r>
            <w:r>
              <w:rPr>
                <w:rFonts w:hint="eastAsia"/>
                <w:sz w:val="21"/>
              </w:rPr>
              <w:t>/667 m</w:t>
            </w:r>
            <w:r>
              <w:rPr>
                <w:rFonts w:hint="eastAsia"/>
                <w:sz w:val="21"/>
                <w:vertAlign w:val="superscript"/>
              </w:rPr>
              <w:t>2</w:t>
            </w:r>
          </w:p>
        </w:tc>
        <w:tc>
          <w:tcPr>
            <w:tcW w:w="846" w:type="pct"/>
            <w:vAlign w:val="center"/>
          </w:tcPr>
          <w:p w14:paraId="55FE3A99">
            <w:pPr>
              <w:widowControl/>
              <w:spacing w:line="240" w:lineRule="auto"/>
              <w:ind w:firstLine="0" w:firstLineChars="0"/>
              <w:jc w:val="center"/>
              <w:rPr>
                <w:sz w:val="21"/>
              </w:rPr>
            </w:pPr>
            <w:r>
              <w:rPr>
                <w:rFonts w:hint="eastAsia"/>
                <w:sz w:val="21"/>
              </w:rPr>
              <w:t>8997.84</w:t>
            </w:r>
          </w:p>
        </w:tc>
      </w:tr>
      <w:tr w14:paraId="32FF1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1" w:type="pct"/>
            <w:vMerge w:val="continue"/>
            <w:vAlign w:val="center"/>
          </w:tcPr>
          <w:p w14:paraId="458EEDD1">
            <w:pPr>
              <w:spacing w:line="240" w:lineRule="auto"/>
              <w:ind w:firstLine="0" w:firstLineChars="0"/>
              <w:jc w:val="center"/>
              <w:rPr>
                <w:sz w:val="21"/>
              </w:rPr>
            </w:pPr>
          </w:p>
        </w:tc>
        <w:tc>
          <w:tcPr>
            <w:tcW w:w="3601" w:type="pct"/>
            <w:gridSpan w:val="4"/>
            <w:vAlign w:val="center"/>
          </w:tcPr>
          <w:p w14:paraId="174638C7">
            <w:pPr>
              <w:spacing w:line="240" w:lineRule="auto"/>
              <w:ind w:firstLine="0" w:firstLineChars="0"/>
              <w:jc w:val="center"/>
              <w:rPr>
                <w:sz w:val="21"/>
              </w:rPr>
            </w:pPr>
            <w:r>
              <w:rPr>
                <w:rFonts w:hint="eastAsia"/>
                <w:sz w:val="21"/>
              </w:rPr>
              <w:t>合计</w:t>
            </w:r>
          </w:p>
        </w:tc>
        <w:tc>
          <w:tcPr>
            <w:tcW w:w="846" w:type="pct"/>
            <w:vAlign w:val="center"/>
          </w:tcPr>
          <w:p w14:paraId="7BFCF990">
            <w:pPr>
              <w:spacing w:line="240" w:lineRule="auto"/>
              <w:ind w:firstLine="0" w:firstLineChars="0"/>
              <w:jc w:val="center"/>
              <w:rPr>
                <w:sz w:val="21"/>
              </w:rPr>
            </w:pPr>
            <w:r>
              <w:rPr>
                <w:rFonts w:hint="eastAsia"/>
                <w:sz w:val="21"/>
              </w:rPr>
              <w:t>9026.87</w:t>
            </w:r>
          </w:p>
        </w:tc>
      </w:tr>
    </w:tbl>
    <w:p w14:paraId="7E1F930F">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5.1.2</w:t>
      </w:r>
      <w:r>
        <w:rPr>
          <w:rFonts w:hint="eastAsia" w:eastAsia="方正楷体_GBK" w:cs="Times New Roman"/>
          <w:b/>
          <w:bCs/>
          <w:szCs w:val="28"/>
          <w14:ligatures w14:val="none"/>
        </w:rPr>
        <w:t>能源消耗预测</w:t>
      </w:r>
    </w:p>
    <w:p w14:paraId="1C59938C">
      <w:pPr>
        <w:ind w:firstLine="480"/>
      </w:pPr>
      <w:r>
        <w:rPr>
          <w:rFonts w:hint="eastAsia"/>
        </w:rPr>
        <w:t>能源消耗方面，规划期度假区消耗的能源种类主要为电力、天然气。根据规划方案，规划近期（~2030年）规划范围内常住人口达34595人，度假区年游客量将达558.6万人；至规划远期（~2035年）规划范围内常住人口达36360万人，年游客量将达685.7万人。预计度假区规划近期和规划远期年最大用电量分别为62214万千瓦、76360万千瓦。度假区天然气使用主要分为居民用气和游客用气，根据规划方案，预计度假区规划近期天然气消耗总量为836万m</w:t>
      </w:r>
      <w:r>
        <w:rPr>
          <w:rFonts w:hint="eastAsia"/>
          <w:vertAlign w:val="superscript"/>
        </w:rPr>
        <w:t>3</w:t>
      </w:r>
      <w:r>
        <w:rPr>
          <w:rFonts w:hint="eastAsia"/>
        </w:rPr>
        <w:t>/a，液化石油气消耗总量为586 t/a；规划远期天然气消耗总量为1027万m</w:t>
      </w:r>
      <w:r>
        <w:rPr>
          <w:rFonts w:hint="eastAsia"/>
          <w:vertAlign w:val="superscript"/>
        </w:rPr>
        <w:t>3</w:t>
      </w:r>
      <w:r>
        <w:rPr>
          <w:rFonts w:hint="eastAsia"/>
        </w:rPr>
        <w:t>/a，液化石油气消耗总量为720 t/a。</w:t>
      </w:r>
    </w:p>
    <w:p w14:paraId="337E2752">
      <w:pPr>
        <w:pStyle w:val="3"/>
        <w:ind w:firstLine="0" w:firstLineChars="0"/>
        <w:rPr>
          <w:rFonts w:cs="Times New Roman"/>
        </w:rPr>
      </w:pPr>
      <w:bookmarkStart w:id="93" w:name="_Toc217294055"/>
      <w:r>
        <w:rPr>
          <w:rFonts w:cs="Times New Roman"/>
        </w:rPr>
        <w:t>5.2</w:t>
      </w:r>
      <w:r>
        <w:rPr>
          <w:rFonts w:hint="eastAsia" w:cs="Times New Roman"/>
        </w:rPr>
        <w:t>主要污染源预测</w:t>
      </w:r>
      <w:bookmarkEnd w:id="93"/>
    </w:p>
    <w:p w14:paraId="09B736E1">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2</w:t>
      </w:r>
      <w:r>
        <w:rPr>
          <w:rFonts w:eastAsia="方正楷体_GBK" w:cs="Times New Roman"/>
          <w:b/>
          <w:bCs/>
          <w:szCs w:val="28"/>
          <w14:ligatures w14:val="none"/>
        </w:rPr>
        <w:t>.1</w:t>
      </w:r>
      <w:r>
        <w:rPr>
          <w:rFonts w:hint="eastAsia" w:eastAsia="方正楷体_GBK" w:cs="Times New Roman"/>
          <w:b/>
          <w:bCs/>
          <w:szCs w:val="28"/>
          <w14:ligatures w14:val="none"/>
        </w:rPr>
        <w:t>废气污染源强估算</w:t>
      </w:r>
    </w:p>
    <w:p w14:paraId="54C11128">
      <w:pPr>
        <w:ind w:firstLine="482"/>
        <w:rPr>
          <w:b/>
          <w:bCs/>
        </w:rPr>
      </w:pPr>
      <w:r>
        <w:rPr>
          <w:rFonts w:hint="eastAsia"/>
          <w:b/>
          <w:bCs/>
        </w:rPr>
        <w:t>（1）工业源</w:t>
      </w:r>
    </w:p>
    <w:p w14:paraId="0DBC06F2">
      <w:pPr>
        <w:ind w:firstLine="480"/>
      </w:pPr>
      <w:r>
        <w:rPr>
          <w:rFonts w:hint="eastAsia"/>
        </w:rPr>
        <w:t>根据度假区范围内企业规划，规划中期（2030年）主要开展企业环保整治提升和部分企业逐步关停退出，污染物削减幅度参考国务院2023年印发的《空气质量持续改善行动计划》（国发〔2023〕24号）“全国地级及以上城市PM</w:t>
      </w:r>
      <w:r>
        <w:rPr>
          <w:rFonts w:hint="eastAsia"/>
          <w:vertAlign w:val="subscript"/>
        </w:rPr>
        <w:t>2.5</w:t>
      </w:r>
      <w:r>
        <w:rPr>
          <w:rFonts w:hint="eastAsia"/>
        </w:rPr>
        <w:t>浓度比2020年下降10%；氮氧化物和VOCs排放总量比2020年分别下降10%以上”的相关要求，本次以下降幅度达15%进行预测，预计规划中期企业大气污染物削减量分别为颗粒物3.32t/a、粉尘3.12t/a、氮氧化物18.97t/a、二氧化硫3.88t/a。规划末期（2035年）随着工业企业的全部关停退出，度假区内将不再有工业企业废气产生或排放，度假区废气削减污染源强主要为规划期末全部退出的工业企业，废气污染物削减量分别为颗粒物22.13t/a、粉尘20.79t/a、氮氧化物126.49t/a、二氧化硫25.84t/a。</w:t>
      </w:r>
    </w:p>
    <w:p w14:paraId="01633C79">
      <w:pPr>
        <w:ind w:firstLine="482"/>
        <w:rPr>
          <w:b/>
          <w:bCs/>
        </w:rPr>
      </w:pPr>
      <w:r>
        <w:rPr>
          <w:rFonts w:hint="eastAsia"/>
          <w:b/>
          <w:bCs/>
        </w:rPr>
        <w:t>（2）生活源燃烧废气</w:t>
      </w:r>
    </w:p>
    <w:p w14:paraId="5713972B">
      <w:pPr>
        <w:ind w:firstLine="480"/>
      </w:pPr>
      <w:r>
        <w:rPr>
          <w:rFonts w:hint="eastAsia"/>
        </w:rPr>
        <w:t>度假区天然气供气对象主要考虑居民和游客。根据规划方案，预计度假区规划近期年最大用电量为62214万千瓦，天然气消耗总量为836万m</w:t>
      </w:r>
      <w:r>
        <w:rPr>
          <w:rFonts w:hint="eastAsia"/>
          <w:vertAlign w:val="superscript"/>
        </w:rPr>
        <w:t>3</w:t>
      </w:r>
      <w:r>
        <w:rPr>
          <w:rFonts w:hint="eastAsia"/>
        </w:rPr>
        <w:t>/a，液化石油气消耗总量为586 t/a；规划远期年最大用电量为76360万千瓦，天然气消耗总量为1027万m</w:t>
      </w:r>
      <w:r>
        <w:rPr>
          <w:rFonts w:hint="eastAsia"/>
          <w:vertAlign w:val="superscript"/>
        </w:rPr>
        <w:t>3</w:t>
      </w:r>
      <w:r>
        <w:rPr>
          <w:rFonts w:hint="eastAsia"/>
        </w:rPr>
        <w:t>/a，液化石油气消耗总量为720 t/a。</w:t>
      </w:r>
    </w:p>
    <w:p w14:paraId="259B22B8">
      <w:pPr>
        <w:ind w:firstLine="480"/>
        <w:rPr>
          <w:rFonts w:cs="Times New Roman"/>
          <w:szCs w:val="24"/>
        </w:rPr>
      </w:pPr>
      <w:r>
        <w:rPr>
          <w:rFonts w:hint="eastAsia" w:cs="Times New Roman"/>
          <w:szCs w:val="24"/>
        </w:rPr>
        <w:t>天然气燃烧排放的废气主要为SO</w:t>
      </w:r>
      <w:r>
        <w:rPr>
          <w:rFonts w:hint="eastAsia" w:cs="Times New Roman"/>
          <w:szCs w:val="24"/>
          <w:vertAlign w:val="subscript"/>
        </w:rPr>
        <w:t>2</w:t>
      </w:r>
      <w:r>
        <w:rPr>
          <w:rFonts w:hint="eastAsia" w:cs="Times New Roman"/>
          <w:szCs w:val="24"/>
        </w:rPr>
        <w:t>、NO</w:t>
      </w:r>
      <w:r>
        <w:rPr>
          <w:rFonts w:hint="eastAsia" w:cs="Times New Roman"/>
          <w:szCs w:val="24"/>
          <w:vertAlign w:val="subscript"/>
        </w:rPr>
        <w:t>X</w:t>
      </w:r>
      <w:r>
        <w:rPr>
          <w:rFonts w:hint="eastAsia" w:cs="Times New Roman"/>
          <w:szCs w:val="24"/>
        </w:rPr>
        <w:t>（以NO</w:t>
      </w:r>
      <w:r>
        <w:rPr>
          <w:rFonts w:hint="eastAsia" w:cs="Times New Roman"/>
          <w:szCs w:val="24"/>
          <w:vertAlign w:val="subscript"/>
        </w:rPr>
        <w:t>2</w:t>
      </w:r>
      <w:r>
        <w:rPr>
          <w:rFonts w:hint="eastAsia" w:cs="Times New Roman"/>
          <w:szCs w:val="24"/>
        </w:rPr>
        <w:t>计）和颗粒物。根据《第二次全国污染源普查 生活污染源产排污系数手册》中城乡居民生活能源消费大气污染物排污系数表的天然气产排污系数，每燃烧1万m</w:t>
      </w:r>
      <w:r>
        <w:rPr>
          <w:rFonts w:hint="eastAsia" w:cs="Times New Roman"/>
          <w:szCs w:val="24"/>
          <w:vertAlign w:val="superscript"/>
        </w:rPr>
        <w:t>3</w:t>
      </w:r>
      <w:r>
        <w:rPr>
          <w:rFonts w:hint="eastAsia" w:cs="Times New Roman"/>
          <w:szCs w:val="24"/>
        </w:rPr>
        <w:t>天然气，所产生的污染物的量分别为SO</w:t>
      </w:r>
      <w:r>
        <w:rPr>
          <w:rFonts w:hint="eastAsia" w:cs="Times New Roman"/>
          <w:szCs w:val="24"/>
          <w:vertAlign w:val="subscript"/>
        </w:rPr>
        <w:t>2</w:t>
      </w:r>
      <w:r>
        <w:rPr>
          <w:rFonts w:hint="eastAsia" w:cs="Times New Roman"/>
          <w:szCs w:val="24"/>
        </w:rPr>
        <w:t xml:space="preserve"> 0.005kg、NO</w:t>
      </w:r>
      <w:r>
        <w:rPr>
          <w:rFonts w:hint="eastAsia" w:cs="Times New Roman"/>
          <w:szCs w:val="24"/>
          <w:vertAlign w:val="subscript"/>
        </w:rPr>
        <w:t>X</w:t>
      </w:r>
      <w:r>
        <w:rPr>
          <w:rFonts w:cs="Times New Roman"/>
          <w:szCs w:val="24"/>
          <w:vertAlign w:val="subscript"/>
        </w:rPr>
        <w:t xml:space="preserve"> </w:t>
      </w:r>
      <w:r>
        <w:rPr>
          <w:rFonts w:hint="eastAsia" w:cs="Times New Roman"/>
          <w:szCs w:val="24"/>
        </w:rPr>
        <w:t>12.48 kg、挥发性有机物</w:t>
      </w:r>
      <w:r>
        <w:rPr>
          <w:rFonts w:cs="Times New Roman"/>
          <w:szCs w:val="24"/>
        </w:rPr>
        <w:t xml:space="preserve"> </w:t>
      </w:r>
      <w:r>
        <w:rPr>
          <w:rFonts w:hint="eastAsia" w:cs="Times New Roman"/>
          <w:szCs w:val="24"/>
        </w:rPr>
        <w:t>0.92 kg、颗粒物1.14 kg；每燃烧1吨液化石油气，所产生的废气污染物量分别为SO</w:t>
      </w:r>
      <w:r>
        <w:rPr>
          <w:rFonts w:hint="eastAsia" w:cs="Times New Roman"/>
          <w:szCs w:val="24"/>
          <w:vertAlign w:val="subscript"/>
        </w:rPr>
        <w:t>2</w:t>
      </w:r>
      <w:r>
        <w:rPr>
          <w:rFonts w:hint="eastAsia" w:cs="Times New Roman"/>
          <w:szCs w:val="24"/>
        </w:rPr>
        <w:t xml:space="preserve"> 0.001 kg、NO</w:t>
      </w:r>
      <w:r>
        <w:rPr>
          <w:rFonts w:hint="eastAsia" w:cs="Times New Roman"/>
          <w:szCs w:val="24"/>
          <w:vertAlign w:val="subscript"/>
        </w:rPr>
        <w:t>X</w:t>
      </w:r>
      <w:r>
        <w:rPr>
          <w:rFonts w:hint="eastAsia" w:cs="Times New Roman"/>
          <w:szCs w:val="24"/>
        </w:rPr>
        <w:t xml:space="preserve"> 1.08 kg、挥发性有机物3.77kg、颗粒物0.039 kg。通过计算可得到度假区规划期末居民、游客生活燃料燃烧所产生的大气污染物排放量，具体见表5.2-</w:t>
      </w:r>
      <w:r>
        <w:rPr>
          <w:rFonts w:cs="Times New Roman"/>
          <w:szCs w:val="24"/>
        </w:rPr>
        <w:t>1</w:t>
      </w:r>
      <w:r>
        <w:rPr>
          <w:rFonts w:hint="eastAsia" w:cs="Times New Roman"/>
          <w:szCs w:val="24"/>
        </w:rPr>
        <w:t>。</w:t>
      </w:r>
    </w:p>
    <w:p w14:paraId="4B8FA078">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2-</w:t>
      </w:r>
      <w:r>
        <w:rPr>
          <w:rFonts w:cs="Times New Roman"/>
        </w:rPr>
        <w:t xml:space="preserve">1  </w:t>
      </w:r>
      <w:r>
        <w:rPr>
          <w:rFonts w:hint="eastAsia" w:cs="Times New Roman"/>
        </w:rPr>
        <w:t>规划期度假区燃料燃烧废气污染物排放量估算表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0"/>
        <w:gridCol w:w="1416"/>
        <w:gridCol w:w="2328"/>
        <w:gridCol w:w="965"/>
        <w:gridCol w:w="856"/>
        <w:gridCol w:w="1079"/>
        <w:gridCol w:w="965"/>
      </w:tblGrid>
      <w:tr w14:paraId="7DDF9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34" w:type="pct"/>
            <w:vAlign w:val="center"/>
          </w:tcPr>
          <w:p w14:paraId="600BFB33">
            <w:pPr>
              <w:spacing w:line="240" w:lineRule="auto"/>
              <w:ind w:firstLine="0" w:firstLineChars="0"/>
              <w:jc w:val="center"/>
              <w:rPr>
                <w:b/>
                <w:bCs/>
                <w:sz w:val="21"/>
              </w:rPr>
            </w:pPr>
            <w:r>
              <w:rPr>
                <w:rFonts w:hint="eastAsia"/>
                <w:b/>
                <w:bCs/>
                <w:sz w:val="21"/>
              </w:rPr>
              <w:t>时限</w:t>
            </w:r>
          </w:p>
        </w:tc>
        <w:tc>
          <w:tcPr>
            <w:tcW w:w="831" w:type="pct"/>
            <w:vAlign w:val="center"/>
          </w:tcPr>
          <w:p w14:paraId="46B0CB0A">
            <w:pPr>
              <w:spacing w:line="240" w:lineRule="auto"/>
              <w:ind w:firstLine="0" w:firstLineChars="0"/>
              <w:jc w:val="center"/>
              <w:rPr>
                <w:b/>
                <w:bCs/>
                <w:sz w:val="21"/>
              </w:rPr>
            </w:pPr>
            <w:r>
              <w:rPr>
                <w:rFonts w:hint="eastAsia"/>
                <w:b/>
                <w:bCs/>
                <w:sz w:val="21"/>
              </w:rPr>
              <w:t>燃料类别</w:t>
            </w:r>
          </w:p>
        </w:tc>
        <w:tc>
          <w:tcPr>
            <w:tcW w:w="1366" w:type="pct"/>
            <w:vAlign w:val="center"/>
          </w:tcPr>
          <w:p w14:paraId="076A0D9C">
            <w:pPr>
              <w:spacing w:line="240" w:lineRule="auto"/>
              <w:ind w:firstLine="0" w:firstLineChars="0"/>
              <w:jc w:val="center"/>
              <w:rPr>
                <w:b/>
                <w:bCs/>
                <w:sz w:val="21"/>
              </w:rPr>
            </w:pPr>
            <w:r>
              <w:rPr>
                <w:rFonts w:hint="eastAsia"/>
                <w:b/>
                <w:bCs/>
                <w:sz w:val="21"/>
              </w:rPr>
              <w:t>项目</w:t>
            </w:r>
          </w:p>
        </w:tc>
        <w:tc>
          <w:tcPr>
            <w:tcW w:w="566" w:type="pct"/>
            <w:vAlign w:val="center"/>
          </w:tcPr>
          <w:p w14:paraId="0A98DE62">
            <w:pPr>
              <w:spacing w:line="240" w:lineRule="auto"/>
              <w:ind w:firstLine="0" w:firstLineChars="0"/>
              <w:jc w:val="center"/>
              <w:rPr>
                <w:b/>
                <w:bCs/>
                <w:sz w:val="21"/>
              </w:rPr>
            </w:pPr>
            <w:r>
              <w:rPr>
                <w:rFonts w:hint="eastAsia"/>
                <w:b/>
                <w:bCs/>
                <w:sz w:val="21"/>
              </w:rPr>
              <w:t>SO</w:t>
            </w:r>
            <w:r>
              <w:rPr>
                <w:rFonts w:hint="eastAsia"/>
                <w:b/>
                <w:bCs/>
                <w:sz w:val="21"/>
                <w:vertAlign w:val="subscript"/>
              </w:rPr>
              <w:t>2</w:t>
            </w:r>
          </w:p>
        </w:tc>
        <w:tc>
          <w:tcPr>
            <w:tcW w:w="502" w:type="pct"/>
            <w:vAlign w:val="center"/>
          </w:tcPr>
          <w:p w14:paraId="25981EBC">
            <w:pPr>
              <w:spacing w:line="240" w:lineRule="auto"/>
              <w:ind w:firstLine="0" w:firstLineChars="0"/>
              <w:jc w:val="center"/>
              <w:rPr>
                <w:b/>
                <w:bCs/>
                <w:sz w:val="21"/>
              </w:rPr>
            </w:pPr>
            <w:r>
              <w:rPr>
                <w:rFonts w:hint="eastAsia"/>
                <w:b/>
                <w:bCs/>
                <w:sz w:val="21"/>
              </w:rPr>
              <w:t>NO</w:t>
            </w:r>
            <w:r>
              <w:rPr>
                <w:rFonts w:hint="eastAsia"/>
                <w:b/>
                <w:bCs/>
                <w:sz w:val="21"/>
                <w:vertAlign w:val="subscript"/>
              </w:rPr>
              <w:t>X</w:t>
            </w:r>
          </w:p>
        </w:tc>
        <w:tc>
          <w:tcPr>
            <w:tcW w:w="633" w:type="pct"/>
            <w:vAlign w:val="center"/>
          </w:tcPr>
          <w:p w14:paraId="57DFD090">
            <w:pPr>
              <w:spacing w:line="240" w:lineRule="auto"/>
              <w:ind w:firstLine="0" w:firstLineChars="0"/>
              <w:jc w:val="center"/>
              <w:rPr>
                <w:b/>
                <w:bCs/>
                <w:sz w:val="21"/>
              </w:rPr>
            </w:pPr>
            <w:r>
              <w:rPr>
                <w:rFonts w:hint="eastAsia"/>
                <w:b/>
                <w:bCs/>
                <w:sz w:val="21"/>
              </w:rPr>
              <w:t>挥发性有机物</w:t>
            </w:r>
          </w:p>
        </w:tc>
        <w:tc>
          <w:tcPr>
            <w:tcW w:w="566" w:type="pct"/>
            <w:vAlign w:val="center"/>
          </w:tcPr>
          <w:p w14:paraId="4050FBFB">
            <w:pPr>
              <w:spacing w:line="240" w:lineRule="auto"/>
              <w:ind w:firstLine="0" w:firstLineChars="0"/>
              <w:jc w:val="center"/>
              <w:rPr>
                <w:b/>
                <w:bCs/>
                <w:sz w:val="21"/>
              </w:rPr>
            </w:pPr>
            <w:r>
              <w:rPr>
                <w:rFonts w:hint="eastAsia"/>
                <w:b/>
                <w:bCs/>
                <w:sz w:val="21"/>
              </w:rPr>
              <w:t>颗粒物</w:t>
            </w:r>
          </w:p>
        </w:tc>
      </w:tr>
      <w:tr w14:paraId="57E4B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34" w:type="pct"/>
            <w:vMerge w:val="restart"/>
            <w:vAlign w:val="center"/>
          </w:tcPr>
          <w:p w14:paraId="052DE5AB">
            <w:pPr>
              <w:spacing w:line="240" w:lineRule="auto"/>
              <w:ind w:firstLine="0" w:firstLineChars="0"/>
              <w:jc w:val="center"/>
              <w:rPr>
                <w:sz w:val="21"/>
              </w:rPr>
            </w:pPr>
            <w:r>
              <w:rPr>
                <w:rFonts w:hint="eastAsia"/>
                <w:sz w:val="21"/>
              </w:rPr>
              <w:t>规划近期</w:t>
            </w:r>
          </w:p>
        </w:tc>
        <w:tc>
          <w:tcPr>
            <w:tcW w:w="831" w:type="pct"/>
            <w:vMerge w:val="restart"/>
            <w:vAlign w:val="center"/>
          </w:tcPr>
          <w:p w14:paraId="4CD0947B">
            <w:pPr>
              <w:spacing w:line="240" w:lineRule="auto"/>
              <w:ind w:firstLine="0" w:firstLineChars="0"/>
              <w:jc w:val="center"/>
              <w:rPr>
                <w:sz w:val="21"/>
              </w:rPr>
            </w:pPr>
            <w:r>
              <w:rPr>
                <w:rFonts w:hint="eastAsia"/>
                <w:sz w:val="21"/>
              </w:rPr>
              <w:t>天然气</w:t>
            </w:r>
          </w:p>
        </w:tc>
        <w:tc>
          <w:tcPr>
            <w:tcW w:w="1366" w:type="pct"/>
            <w:vAlign w:val="center"/>
          </w:tcPr>
          <w:p w14:paraId="78DD17D5">
            <w:pPr>
              <w:spacing w:line="240" w:lineRule="auto"/>
              <w:ind w:firstLine="0" w:firstLineChars="0"/>
              <w:jc w:val="center"/>
              <w:rPr>
                <w:sz w:val="21"/>
              </w:rPr>
            </w:pPr>
            <w:r>
              <w:rPr>
                <w:rFonts w:hint="eastAsia"/>
                <w:sz w:val="21"/>
              </w:rPr>
              <w:t>产排污系数（kg/10</w:t>
            </w:r>
            <w:r>
              <w:rPr>
                <w:rFonts w:hint="eastAsia"/>
                <w:sz w:val="21"/>
                <w:vertAlign w:val="superscript"/>
              </w:rPr>
              <w:t>4</w:t>
            </w:r>
            <w:r>
              <w:rPr>
                <w:rFonts w:hint="eastAsia"/>
                <w:sz w:val="21"/>
              </w:rPr>
              <w:t xml:space="preserve"> m</w:t>
            </w:r>
            <w:r>
              <w:rPr>
                <w:rFonts w:hint="eastAsia"/>
                <w:sz w:val="21"/>
                <w:vertAlign w:val="superscript"/>
              </w:rPr>
              <w:t>3</w:t>
            </w:r>
            <w:r>
              <w:rPr>
                <w:rFonts w:hint="eastAsia"/>
                <w:sz w:val="21"/>
              </w:rPr>
              <w:t>）</w:t>
            </w:r>
          </w:p>
        </w:tc>
        <w:tc>
          <w:tcPr>
            <w:tcW w:w="566" w:type="pct"/>
            <w:vAlign w:val="center"/>
          </w:tcPr>
          <w:p w14:paraId="54E84ED3">
            <w:pPr>
              <w:spacing w:line="240" w:lineRule="auto"/>
              <w:ind w:firstLine="0" w:firstLineChars="0"/>
              <w:jc w:val="center"/>
              <w:rPr>
                <w:sz w:val="21"/>
              </w:rPr>
            </w:pPr>
            <w:r>
              <w:rPr>
                <w:rFonts w:hint="eastAsia"/>
                <w:sz w:val="21"/>
              </w:rPr>
              <w:t>0.005</w:t>
            </w:r>
          </w:p>
        </w:tc>
        <w:tc>
          <w:tcPr>
            <w:tcW w:w="502" w:type="pct"/>
            <w:vAlign w:val="center"/>
          </w:tcPr>
          <w:p w14:paraId="6F24C5A6">
            <w:pPr>
              <w:spacing w:line="240" w:lineRule="auto"/>
              <w:ind w:firstLine="0" w:firstLineChars="0"/>
              <w:jc w:val="center"/>
              <w:rPr>
                <w:sz w:val="21"/>
              </w:rPr>
            </w:pPr>
            <w:r>
              <w:rPr>
                <w:rFonts w:hint="eastAsia"/>
                <w:sz w:val="21"/>
              </w:rPr>
              <w:t>12.48</w:t>
            </w:r>
          </w:p>
        </w:tc>
        <w:tc>
          <w:tcPr>
            <w:tcW w:w="633" w:type="pct"/>
            <w:vAlign w:val="center"/>
          </w:tcPr>
          <w:p w14:paraId="70BF58B4">
            <w:pPr>
              <w:spacing w:line="240" w:lineRule="auto"/>
              <w:ind w:firstLine="0" w:firstLineChars="0"/>
              <w:jc w:val="center"/>
              <w:rPr>
                <w:sz w:val="21"/>
              </w:rPr>
            </w:pPr>
            <w:r>
              <w:rPr>
                <w:rFonts w:hint="eastAsia"/>
                <w:sz w:val="21"/>
              </w:rPr>
              <w:t>0.92</w:t>
            </w:r>
          </w:p>
        </w:tc>
        <w:tc>
          <w:tcPr>
            <w:tcW w:w="566" w:type="pct"/>
            <w:vAlign w:val="center"/>
          </w:tcPr>
          <w:p w14:paraId="77BAE4B4">
            <w:pPr>
              <w:spacing w:line="240" w:lineRule="auto"/>
              <w:ind w:firstLine="0" w:firstLineChars="0"/>
              <w:jc w:val="center"/>
              <w:rPr>
                <w:sz w:val="21"/>
              </w:rPr>
            </w:pPr>
            <w:r>
              <w:rPr>
                <w:rFonts w:hint="eastAsia"/>
                <w:sz w:val="21"/>
              </w:rPr>
              <w:t>1.14</w:t>
            </w:r>
          </w:p>
        </w:tc>
      </w:tr>
      <w:tr w14:paraId="6BEC4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pct"/>
            <w:vMerge w:val="continue"/>
            <w:vAlign w:val="center"/>
          </w:tcPr>
          <w:p w14:paraId="7D152FF7">
            <w:pPr>
              <w:spacing w:line="240" w:lineRule="auto"/>
              <w:ind w:firstLine="0" w:firstLineChars="0"/>
              <w:jc w:val="center"/>
              <w:rPr>
                <w:sz w:val="21"/>
              </w:rPr>
            </w:pPr>
          </w:p>
        </w:tc>
        <w:tc>
          <w:tcPr>
            <w:tcW w:w="831" w:type="pct"/>
            <w:vMerge w:val="continue"/>
            <w:vAlign w:val="center"/>
          </w:tcPr>
          <w:p w14:paraId="30DE1A75">
            <w:pPr>
              <w:spacing w:line="240" w:lineRule="auto"/>
              <w:ind w:firstLine="0" w:firstLineChars="0"/>
              <w:jc w:val="center"/>
              <w:rPr>
                <w:sz w:val="21"/>
              </w:rPr>
            </w:pPr>
          </w:p>
        </w:tc>
        <w:tc>
          <w:tcPr>
            <w:tcW w:w="1366" w:type="pct"/>
            <w:vAlign w:val="center"/>
          </w:tcPr>
          <w:p w14:paraId="53A9BA91">
            <w:pPr>
              <w:spacing w:line="240" w:lineRule="auto"/>
              <w:ind w:firstLine="0" w:firstLineChars="0"/>
              <w:jc w:val="center"/>
              <w:rPr>
                <w:sz w:val="21"/>
              </w:rPr>
            </w:pPr>
            <w:r>
              <w:rPr>
                <w:rFonts w:hint="eastAsia"/>
                <w:sz w:val="21"/>
              </w:rPr>
              <w:t>污染物排放量（t/a）</w:t>
            </w:r>
          </w:p>
        </w:tc>
        <w:tc>
          <w:tcPr>
            <w:tcW w:w="965" w:type="dxa"/>
            <w:vAlign w:val="center"/>
          </w:tcPr>
          <w:p w14:paraId="31673221">
            <w:pPr>
              <w:spacing w:line="240" w:lineRule="auto"/>
              <w:ind w:firstLine="0" w:firstLineChars="0"/>
              <w:jc w:val="center"/>
              <w:rPr>
                <w:sz w:val="21"/>
              </w:rPr>
            </w:pPr>
            <w:r>
              <w:rPr>
                <w:sz w:val="21"/>
              </w:rPr>
              <w:t>0.004</w:t>
            </w:r>
          </w:p>
        </w:tc>
        <w:tc>
          <w:tcPr>
            <w:tcW w:w="856" w:type="dxa"/>
            <w:vAlign w:val="center"/>
          </w:tcPr>
          <w:p w14:paraId="5EFAF394">
            <w:pPr>
              <w:spacing w:line="240" w:lineRule="auto"/>
              <w:ind w:firstLine="0" w:firstLineChars="0"/>
              <w:jc w:val="center"/>
              <w:rPr>
                <w:sz w:val="21"/>
              </w:rPr>
            </w:pPr>
            <w:r>
              <w:rPr>
                <w:sz w:val="21"/>
              </w:rPr>
              <w:t>10.44</w:t>
            </w:r>
          </w:p>
        </w:tc>
        <w:tc>
          <w:tcPr>
            <w:tcW w:w="1079" w:type="dxa"/>
            <w:vAlign w:val="center"/>
          </w:tcPr>
          <w:p w14:paraId="5C5F5B91">
            <w:pPr>
              <w:spacing w:line="240" w:lineRule="auto"/>
              <w:ind w:firstLine="0" w:firstLineChars="0"/>
              <w:jc w:val="center"/>
              <w:rPr>
                <w:sz w:val="21"/>
              </w:rPr>
            </w:pPr>
            <w:r>
              <w:rPr>
                <w:sz w:val="21"/>
              </w:rPr>
              <w:t>0.77</w:t>
            </w:r>
          </w:p>
        </w:tc>
        <w:tc>
          <w:tcPr>
            <w:tcW w:w="965" w:type="dxa"/>
            <w:vAlign w:val="center"/>
          </w:tcPr>
          <w:p w14:paraId="5148AB9B">
            <w:pPr>
              <w:spacing w:line="240" w:lineRule="auto"/>
              <w:ind w:firstLine="0" w:firstLineChars="0"/>
              <w:jc w:val="center"/>
              <w:rPr>
                <w:sz w:val="21"/>
              </w:rPr>
            </w:pPr>
            <w:r>
              <w:rPr>
                <w:sz w:val="21"/>
              </w:rPr>
              <w:t>0.95</w:t>
            </w:r>
          </w:p>
        </w:tc>
      </w:tr>
      <w:tr w14:paraId="29278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pct"/>
            <w:vMerge w:val="continue"/>
            <w:vAlign w:val="center"/>
          </w:tcPr>
          <w:p w14:paraId="61C60FB4">
            <w:pPr>
              <w:spacing w:line="240" w:lineRule="auto"/>
              <w:ind w:firstLine="0" w:firstLineChars="0"/>
              <w:jc w:val="center"/>
              <w:rPr>
                <w:sz w:val="21"/>
              </w:rPr>
            </w:pPr>
          </w:p>
        </w:tc>
        <w:tc>
          <w:tcPr>
            <w:tcW w:w="831" w:type="pct"/>
            <w:vMerge w:val="restart"/>
            <w:vAlign w:val="center"/>
          </w:tcPr>
          <w:p w14:paraId="06556328">
            <w:pPr>
              <w:spacing w:line="240" w:lineRule="auto"/>
              <w:ind w:firstLine="0" w:firstLineChars="0"/>
              <w:jc w:val="center"/>
              <w:rPr>
                <w:sz w:val="21"/>
              </w:rPr>
            </w:pPr>
            <w:r>
              <w:rPr>
                <w:rFonts w:hint="eastAsia"/>
                <w:sz w:val="21"/>
              </w:rPr>
              <w:t>液化石油气</w:t>
            </w:r>
          </w:p>
        </w:tc>
        <w:tc>
          <w:tcPr>
            <w:tcW w:w="1366" w:type="pct"/>
            <w:vAlign w:val="center"/>
          </w:tcPr>
          <w:p w14:paraId="14C9A530">
            <w:pPr>
              <w:spacing w:line="240" w:lineRule="auto"/>
              <w:ind w:firstLine="0" w:firstLineChars="0"/>
              <w:jc w:val="center"/>
              <w:rPr>
                <w:sz w:val="21"/>
              </w:rPr>
            </w:pPr>
            <w:r>
              <w:rPr>
                <w:rFonts w:hint="eastAsia"/>
                <w:sz w:val="21"/>
              </w:rPr>
              <w:t>产排污系数（kg/t）</w:t>
            </w:r>
          </w:p>
        </w:tc>
        <w:tc>
          <w:tcPr>
            <w:tcW w:w="566" w:type="pct"/>
            <w:vAlign w:val="center"/>
          </w:tcPr>
          <w:p w14:paraId="16D2E9FF">
            <w:pPr>
              <w:spacing w:line="240" w:lineRule="auto"/>
              <w:ind w:firstLine="0" w:firstLineChars="0"/>
              <w:jc w:val="center"/>
              <w:rPr>
                <w:sz w:val="21"/>
              </w:rPr>
            </w:pPr>
            <w:r>
              <w:rPr>
                <w:rFonts w:hint="eastAsia"/>
                <w:sz w:val="21"/>
              </w:rPr>
              <w:t>0.001</w:t>
            </w:r>
          </w:p>
        </w:tc>
        <w:tc>
          <w:tcPr>
            <w:tcW w:w="502" w:type="pct"/>
            <w:vAlign w:val="center"/>
          </w:tcPr>
          <w:p w14:paraId="3467A105">
            <w:pPr>
              <w:spacing w:line="240" w:lineRule="auto"/>
              <w:ind w:firstLine="0" w:firstLineChars="0"/>
              <w:jc w:val="center"/>
              <w:rPr>
                <w:sz w:val="21"/>
              </w:rPr>
            </w:pPr>
            <w:r>
              <w:rPr>
                <w:rFonts w:hint="eastAsia"/>
                <w:sz w:val="21"/>
              </w:rPr>
              <w:t>1.08</w:t>
            </w:r>
          </w:p>
        </w:tc>
        <w:tc>
          <w:tcPr>
            <w:tcW w:w="633" w:type="pct"/>
            <w:vAlign w:val="center"/>
          </w:tcPr>
          <w:p w14:paraId="06991E4D">
            <w:pPr>
              <w:spacing w:line="240" w:lineRule="auto"/>
              <w:ind w:firstLine="0" w:firstLineChars="0"/>
              <w:jc w:val="center"/>
              <w:rPr>
                <w:sz w:val="21"/>
              </w:rPr>
            </w:pPr>
            <w:r>
              <w:rPr>
                <w:rFonts w:hint="eastAsia"/>
                <w:sz w:val="21"/>
              </w:rPr>
              <w:t>3.77</w:t>
            </w:r>
          </w:p>
        </w:tc>
        <w:tc>
          <w:tcPr>
            <w:tcW w:w="566" w:type="pct"/>
            <w:vAlign w:val="center"/>
          </w:tcPr>
          <w:p w14:paraId="3B2C2F83">
            <w:pPr>
              <w:spacing w:line="240" w:lineRule="auto"/>
              <w:ind w:firstLine="0" w:firstLineChars="0"/>
              <w:jc w:val="center"/>
              <w:rPr>
                <w:sz w:val="21"/>
              </w:rPr>
            </w:pPr>
            <w:r>
              <w:rPr>
                <w:rFonts w:hint="eastAsia"/>
                <w:sz w:val="21"/>
              </w:rPr>
              <w:t>0.039</w:t>
            </w:r>
          </w:p>
        </w:tc>
      </w:tr>
      <w:tr w14:paraId="548AC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pct"/>
            <w:vMerge w:val="continue"/>
            <w:vAlign w:val="center"/>
          </w:tcPr>
          <w:p w14:paraId="6DBDE190">
            <w:pPr>
              <w:spacing w:line="240" w:lineRule="auto"/>
              <w:ind w:firstLine="0" w:firstLineChars="0"/>
              <w:jc w:val="center"/>
              <w:rPr>
                <w:sz w:val="21"/>
              </w:rPr>
            </w:pPr>
          </w:p>
        </w:tc>
        <w:tc>
          <w:tcPr>
            <w:tcW w:w="831" w:type="pct"/>
            <w:vMerge w:val="continue"/>
            <w:vAlign w:val="center"/>
          </w:tcPr>
          <w:p w14:paraId="2883357E">
            <w:pPr>
              <w:spacing w:line="240" w:lineRule="auto"/>
              <w:ind w:firstLine="0" w:firstLineChars="0"/>
              <w:jc w:val="center"/>
              <w:rPr>
                <w:sz w:val="21"/>
              </w:rPr>
            </w:pPr>
          </w:p>
        </w:tc>
        <w:tc>
          <w:tcPr>
            <w:tcW w:w="1366" w:type="pct"/>
            <w:vAlign w:val="center"/>
          </w:tcPr>
          <w:p w14:paraId="4CA7F711">
            <w:pPr>
              <w:spacing w:line="240" w:lineRule="auto"/>
              <w:ind w:firstLine="0" w:firstLineChars="0"/>
              <w:jc w:val="center"/>
              <w:rPr>
                <w:sz w:val="21"/>
              </w:rPr>
            </w:pPr>
            <w:r>
              <w:rPr>
                <w:rFonts w:hint="eastAsia"/>
                <w:sz w:val="21"/>
              </w:rPr>
              <w:t>污染物排放量（t/a）</w:t>
            </w:r>
          </w:p>
        </w:tc>
        <w:tc>
          <w:tcPr>
            <w:tcW w:w="965" w:type="dxa"/>
            <w:vAlign w:val="center"/>
          </w:tcPr>
          <w:p w14:paraId="62BE2E46">
            <w:pPr>
              <w:spacing w:line="240" w:lineRule="auto"/>
              <w:ind w:firstLine="0" w:firstLineChars="0"/>
              <w:jc w:val="center"/>
              <w:rPr>
                <w:sz w:val="21"/>
              </w:rPr>
            </w:pPr>
            <w:r>
              <w:rPr>
                <w:sz w:val="21"/>
              </w:rPr>
              <w:t>0.006</w:t>
            </w:r>
          </w:p>
        </w:tc>
        <w:tc>
          <w:tcPr>
            <w:tcW w:w="856" w:type="dxa"/>
            <w:vAlign w:val="center"/>
          </w:tcPr>
          <w:p w14:paraId="3502313C">
            <w:pPr>
              <w:spacing w:line="240" w:lineRule="auto"/>
              <w:ind w:firstLine="0" w:firstLineChars="0"/>
              <w:jc w:val="center"/>
              <w:rPr>
                <w:sz w:val="21"/>
              </w:rPr>
            </w:pPr>
            <w:r>
              <w:rPr>
                <w:sz w:val="21"/>
              </w:rPr>
              <w:t>0.64</w:t>
            </w:r>
          </w:p>
        </w:tc>
        <w:tc>
          <w:tcPr>
            <w:tcW w:w="1079" w:type="dxa"/>
            <w:vAlign w:val="center"/>
          </w:tcPr>
          <w:p w14:paraId="3027A3AA">
            <w:pPr>
              <w:spacing w:line="240" w:lineRule="auto"/>
              <w:ind w:firstLine="0" w:firstLineChars="0"/>
              <w:jc w:val="center"/>
              <w:rPr>
                <w:sz w:val="21"/>
              </w:rPr>
            </w:pPr>
            <w:r>
              <w:rPr>
                <w:sz w:val="21"/>
              </w:rPr>
              <w:t>2.21</w:t>
            </w:r>
          </w:p>
        </w:tc>
        <w:tc>
          <w:tcPr>
            <w:tcW w:w="965" w:type="dxa"/>
            <w:vAlign w:val="center"/>
          </w:tcPr>
          <w:p w14:paraId="7BBE7491">
            <w:pPr>
              <w:spacing w:line="240" w:lineRule="auto"/>
              <w:ind w:firstLine="0" w:firstLineChars="0"/>
              <w:jc w:val="center"/>
              <w:rPr>
                <w:sz w:val="21"/>
              </w:rPr>
            </w:pPr>
            <w:r>
              <w:rPr>
                <w:sz w:val="21"/>
              </w:rPr>
              <w:t>0.02</w:t>
            </w:r>
          </w:p>
        </w:tc>
      </w:tr>
      <w:tr w14:paraId="4E93C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pct"/>
            <w:vMerge w:val="continue"/>
            <w:vAlign w:val="center"/>
          </w:tcPr>
          <w:p w14:paraId="6B0BB825">
            <w:pPr>
              <w:spacing w:line="240" w:lineRule="auto"/>
              <w:ind w:firstLine="0" w:firstLineChars="0"/>
              <w:jc w:val="center"/>
              <w:rPr>
                <w:sz w:val="21"/>
              </w:rPr>
            </w:pPr>
          </w:p>
        </w:tc>
        <w:tc>
          <w:tcPr>
            <w:tcW w:w="2197" w:type="pct"/>
            <w:gridSpan w:val="2"/>
            <w:vAlign w:val="center"/>
          </w:tcPr>
          <w:p w14:paraId="3BA45CFA">
            <w:pPr>
              <w:spacing w:line="240" w:lineRule="auto"/>
              <w:ind w:firstLine="0" w:firstLineChars="0"/>
              <w:jc w:val="center"/>
              <w:rPr>
                <w:b/>
                <w:bCs/>
                <w:sz w:val="21"/>
              </w:rPr>
            </w:pPr>
            <w:r>
              <w:rPr>
                <w:rFonts w:hint="eastAsia"/>
                <w:b/>
                <w:bCs/>
                <w:sz w:val="21"/>
              </w:rPr>
              <w:t>合计</w:t>
            </w:r>
          </w:p>
        </w:tc>
        <w:tc>
          <w:tcPr>
            <w:tcW w:w="566" w:type="pct"/>
            <w:vAlign w:val="center"/>
          </w:tcPr>
          <w:p w14:paraId="2B8FAE46">
            <w:pPr>
              <w:spacing w:line="240" w:lineRule="auto"/>
              <w:ind w:firstLine="0" w:firstLineChars="0"/>
              <w:jc w:val="center"/>
              <w:rPr>
                <w:b/>
                <w:bCs/>
                <w:sz w:val="21"/>
              </w:rPr>
            </w:pPr>
            <w:r>
              <w:rPr>
                <w:rFonts w:hint="eastAsia"/>
                <w:b/>
                <w:bCs/>
                <w:sz w:val="21"/>
              </w:rPr>
              <w:t>0.01</w:t>
            </w:r>
          </w:p>
        </w:tc>
        <w:tc>
          <w:tcPr>
            <w:tcW w:w="502" w:type="pct"/>
            <w:vAlign w:val="center"/>
          </w:tcPr>
          <w:p w14:paraId="421D89E6">
            <w:pPr>
              <w:spacing w:line="240" w:lineRule="auto"/>
              <w:ind w:firstLine="0" w:firstLineChars="0"/>
              <w:jc w:val="center"/>
              <w:rPr>
                <w:b/>
                <w:bCs/>
                <w:sz w:val="21"/>
              </w:rPr>
            </w:pPr>
            <w:r>
              <w:rPr>
                <w:rFonts w:hint="eastAsia"/>
                <w:b/>
                <w:bCs/>
                <w:sz w:val="21"/>
              </w:rPr>
              <w:t>11.08</w:t>
            </w:r>
          </w:p>
        </w:tc>
        <w:tc>
          <w:tcPr>
            <w:tcW w:w="633" w:type="pct"/>
            <w:vAlign w:val="center"/>
          </w:tcPr>
          <w:p w14:paraId="02400790">
            <w:pPr>
              <w:spacing w:line="240" w:lineRule="auto"/>
              <w:ind w:firstLine="0" w:firstLineChars="0"/>
              <w:jc w:val="center"/>
              <w:rPr>
                <w:b/>
                <w:bCs/>
                <w:sz w:val="21"/>
              </w:rPr>
            </w:pPr>
            <w:r>
              <w:rPr>
                <w:rFonts w:hint="eastAsia"/>
                <w:b/>
                <w:bCs/>
                <w:sz w:val="21"/>
              </w:rPr>
              <w:t>2.98</w:t>
            </w:r>
          </w:p>
        </w:tc>
        <w:tc>
          <w:tcPr>
            <w:tcW w:w="566" w:type="pct"/>
            <w:vAlign w:val="center"/>
          </w:tcPr>
          <w:p w14:paraId="6D6ECBF8">
            <w:pPr>
              <w:spacing w:line="240" w:lineRule="auto"/>
              <w:ind w:firstLine="0" w:firstLineChars="0"/>
              <w:jc w:val="center"/>
              <w:rPr>
                <w:b/>
                <w:bCs/>
                <w:sz w:val="21"/>
              </w:rPr>
            </w:pPr>
            <w:r>
              <w:rPr>
                <w:rFonts w:hint="eastAsia"/>
                <w:b/>
                <w:bCs/>
                <w:sz w:val="21"/>
              </w:rPr>
              <w:t>0.98</w:t>
            </w:r>
          </w:p>
        </w:tc>
      </w:tr>
      <w:tr w14:paraId="4F3BE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pct"/>
            <w:vMerge w:val="restart"/>
            <w:vAlign w:val="center"/>
          </w:tcPr>
          <w:p w14:paraId="1725A26E">
            <w:pPr>
              <w:spacing w:line="240" w:lineRule="auto"/>
              <w:ind w:firstLine="0" w:firstLineChars="0"/>
              <w:jc w:val="center"/>
              <w:rPr>
                <w:sz w:val="21"/>
              </w:rPr>
            </w:pPr>
            <w:r>
              <w:rPr>
                <w:rFonts w:hint="eastAsia"/>
                <w:sz w:val="21"/>
              </w:rPr>
              <w:t>规划远期</w:t>
            </w:r>
          </w:p>
        </w:tc>
        <w:tc>
          <w:tcPr>
            <w:tcW w:w="831" w:type="pct"/>
            <w:vMerge w:val="restart"/>
            <w:vAlign w:val="center"/>
          </w:tcPr>
          <w:p w14:paraId="19D51F65">
            <w:pPr>
              <w:spacing w:line="240" w:lineRule="auto"/>
              <w:ind w:firstLine="0" w:firstLineChars="0"/>
              <w:jc w:val="center"/>
              <w:rPr>
                <w:sz w:val="21"/>
              </w:rPr>
            </w:pPr>
            <w:r>
              <w:rPr>
                <w:rFonts w:hint="eastAsia"/>
                <w:sz w:val="21"/>
              </w:rPr>
              <w:t>天然气</w:t>
            </w:r>
          </w:p>
        </w:tc>
        <w:tc>
          <w:tcPr>
            <w:tcW w:w="1366" w:type="pct"/>
            <w:vAlign w:val="center"/>
          </w:tcPr>
          <w:p w14:paraId="20221978">
            <w:pPr>
              <w:spacing w:line="240" w:lineRule="auto"/>
              <w:ind w:firstLine="0" w:firstLineChars="0"/>
              <w:jc w:val="center"/>
              <w:rPr>
                <w:sz w:val="21"/>
              </w:rPr>
            </w:pPr>
            <w:r>
              <w:rPr>
                <w:rFonts w:hint="eastAsia"/>
                <w:sz w:val="21"/>
              </w:rPr>
              <w:t>产排污系数（kg/10</w:t>
            </w:r>
            <w:r>
              <w:rPr>
                <w:rFonts w:hint="eastAsia"/>
                <w:sz w:val="21"/>
                <w:vertAlign w:val="superscript"/>
              </w:rPr>
              <w:t>4</w:t>
            </w:r>
            <w:r>
              <w:rPr>
                <w:rFonts w:hint="eastAsia"/>
                <w:sz w:val="21"/>
              </w:rPr>
              <w:t xml:space="preserve"> m</w:t>
            </w:r>
            <w:r>
              <w:rPr>
                <w:rFonts w:hint="eastAsia"/>
                <w:sz w:val="21"/>
                <w:vertAlign w:val="superscript"/>
              </w:rPr>
              <w:t>3</w:t>
            </w:r>
            <w:r>
              <w:rPr>
                <w:rFonts w:hint="eastAsia"/>
                <w:sz w:val="21"/>
              </w:rPr>
              <w:t>）</w:t>
            </w:r>
          </w:p>
        </w:tc>
        <w:tc>
          <w:tcPr>
            <w:tcW w:w="566" w:type="pct"/>
            <w:vAlign w:val="center"/>
          </w:tcPr>
          <w:p w14:paraId="5737D7C6">
            <w:pPr>
              <w:spacing w:line="240" w:lineRule="auto"/>
              <w:ind w:firstLine="0" w:firstLineChars="0"/>
              <w:jc w:val="center"/>
              <w:rPr>
                <w:sz w:val="21"/>
              </w:rPr>
            </w:pPr>
            <w:r>
              <w:rPr>
                <w:rFonts w:hint="eastAsia"/>
                <w:sz w:val="21"/>
              </w:rPr>
              <w:t>0.005</w:t>
            </w:r>
          </w:p>
        </w:tc>
        <w:tc>
          <w:tcPr>
            <w:tcW w:w="502" w:type="pct"/>
            <w:vAlign w:val="center"/>
          </w:tcPr>
          <w:p w14:paraId="145DB634">
            <w:pPr>
              <w:spacing w:line="240" w:lineRule="auto"/>
              <w:ind w:firstLine="0" w:firstLineChars="0"/>
              <w:jc w:val="center"/>
              <w:rPr>
                <w:sz w:val="21"/>
              </w:rPr>
            </w:pPr>
            <w:r>
              <w:rPr>
                <w:rFonts w:hint="eastAsia"/>
                <w:sz w:val="21"/>
              </w:rPr>
              <w:t>12.48</w:t>
            </w:r>
          </w:p>
        </w:tc>
        <w:tc>
          <w:tcPr>
            <w:tcW w:w="633" w:type="pct"/>
            <w:vAlign w:val="center"/>
          </w:tcPr>
          <w:p w14:paraId="6A239240">
            <w:pPr>
              <w:spacing w:line="240" w:lineRule="auto"/>
              <w:ind w:firstLine="0" w:firstLineChars="0"/>
              <w:jc w:val="center"/>
              <w:rPr>
                <w:sz w:val="21"/>
              </w:rPr>
            </w:pPr>
            <w:r>
              <w:rPr>
                <w:rFonts w:hint="eastAsia"/>
                <w:sz w:val="21"/>
              </w:rPr>
              <w:t>0.92</w:t>
            </w:r>
          </w:p>
        </w:tc>
        <w:tc>
          <w:tcPr>
            <w:tcW w:w="566" w:type="pct"/>
            <w:vAlign w:val="center"/>
          </w:tcPr>
          <w:p w14:paraId="71AE8547">
            <w:pPr>
              <w:spacing w:line="240" w:lineRule="auto"/>
              <w:ind w:firstLine="0" w:firstLineChars="0"/>
              <w:jc w:val="center"/>
              <w:rPr>
                <w:sz w:val="21"/>
              </w:rPr>
            </w:pPr>
            <w:r>
              <w:rPr>
                <w:rFonts w:hint="eastAsia"/>
                <w:sz w:val="21"/>
              </w:rPr>
              <w:t>1.14</w:t>
            </w:r>
          </w:p>
        </w:tc>
      </w:tr>
      <w:tr w14:paraId="26871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pct"/>
            <w:vMerge w:val="continue"/>
            <w:vAlign w:val="center"/>
          </w:tcPr>
          <w:p w14:paraId="47446E36">
            <w:pPr>
              <w:spacing w:line="240" w:lineRule="auto"/>
              <w:ind w:firstLine="0" w:firstLineChars="0"/>
              <w:jc w:val="center"/>
              <w:rPr>
                <w:sz w:val="21"/>
              </w:rPr>
            </w:pPr>
          </w:p>
        </w:tc>
        <w:tc>
          <w:tcPr>
            <w:tcW w:w="831" w:type="pct"/>
            <w:vMerge w:val="continue"/>
            <w:vAlign w:val="center"/>
          </w:tcPr>
          <w:p w14:paraId="2744F65E">
            <w:pPr>
              <w:spacing w:line="240" w:lineRule="auto"/>
              <w:ind w:firstLine="0" w:firstLineChars="0"/>
              <w:jc w:val="center"/>
              <w:rPr>
                <w:sz w:val="21"/>
              </w:rPr>
            </w:pPr>
          </w:p>
        </w:tc>
        <w:tc>
          <w:tcPr>
            <w:tcW w:w="1366" w:type="pct"/>
            <w:vAlign w:val="center"/>
          </w:tcPr>
          <w:p w14:paraId="1BAC4B71">
            <w:pPr>
              <w:spacing w:line="240" w:lineRule="auto"/>
              <w:ind w:firstLine="0" w:firstLineChars="0"/>
              <w:jc w:val="center"/>
              <w:rPr>
                <w:sz w:val="21"/>
              </w:rPr>
            </w:pPr>
            <w:r>
              <w:rPr>
                <w:rFonts w:hint="eastAsia"/>
                <w:sz w:val="21"/>
              </w:rPr>
              <w:t>污染物排放量（t/a）</w:t>
            </w:r>
          </w:p>
        </w:tc>
        <w:tc>
          <w:tcPr>
            <w:tcW w:w="566" w:type="pct"/>
            <w:vAlign w:val="center"/>
          </w:tcPr>
          <w:p w14:paraId="3BD6F8FB">
            <w:pPr>
              <w:spacing w:line="240" w:lineRule="auto"/>
              <w:ind w:firstLine="0" w:firstLineChars="0"/>
              <w:jc w:val="center"/>
              <w:rPr>
                <w:sz w:val="21"/>
              </w:rPr>
            </w:pPr>
            <w:r>
              <w:rPr>
                <w:rFonts w:hint="eastAsia"/>
                <w:sz w:val="21"/>
              </w:rPr>
              <w:t>0.005</w:t>
            </w:r>
          </w:p>
        </w:tc>
        <w:tc>
          <w:tcPr>
            <w:tcW w:w="502" w:type="pct"/>
            <w:vAlign w:val="center"/>
          </w:tcPr>
          <w:p w14:paraId="411A813C">
            <w:pPr>
              <w:spacing w:line="240" w:lineRule="auto"/>
              <w:ind w:firstLine="0" w:firstLineChars="0"/>
              <w:jc w:val="center"/>
              <w:rPr>
                <w:sz w:val="21"/>
              </w:rPr>
            </w:pPr>
            <w:r>
              <w:rPr>
                <w:rFonts w:hint="eastAsia"/>
                <w:sz w:val="21"/>
              </w:rPr>
              <w:t>12.82</w:t>
            </w:r>
          </w:p>
        </w:tc>
        <w:tc>
          <w:tcPr>
            <w:tcW w:w="633" w:type="pct"/>
            <w:vAlign w:val="center"/>
          </w:tcPr>
          <w:p w14:paraId="30DCC2A6">
            <w:pPr>
              <w:spacing w:line="240" w:lineRule="auto"/>
              <w:ind w:firstLine="0" w:firstLineChars="0"/>
              <w:jc w:val="center"/>
              <w:rPr>
                <w:sz w:val="21"/>
              </w:rPr>
            </w:pPr>
            <w:r>
              <w:rPr>
                <w:rFonts w:hint="eastAsia"/>
                <w:sz w:val="21"/>
              </w:rPr>
              <w:t>0.95</w:t>
            </w:r>
          </w:p>
        </w:tc>
        <w:tc>
          <w:tcPr>
            <w:tcW w:w="566" w:type="pct"/>
            <w:vAlign w:val="center"/>
          </w:tcPr>
          <w:p w14:paraId="20242AB4">
            <w:pPr>
              <w:spacing w:line="240" w:lineRule="auto"/>
              <w:ind w:firstLine="0" w:firstLineChars="0"/>
              <w:jc w:val="center"/>
              <w:rPr>
                <w:sz w:val="21"/>
              </w:rPr>
            </w:pPr>
            <w:r>
              <w:rPr>
                <w:rFonts w:hint="eastAsia"/>
                <w:sz w:val="21"/>
              </w:rPr>
              <w:t>1.17</w:t>
            </w:r>
          </w:p>
        </w:tc>
      </w:tr>
      <w:tr w14:paraId="4EEA1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pct"/>
            <w:vMerge w:val="continue"/>
            <w:vAlign w:val="center"/>
          </w:tcPr>
          <w:p w14:paraId="26B3B0B4">
            <w:pPr>
              <w:spacing w:line="240" w:lineRule="auto"/>
              <w:ind w:firstLine="0" w:firstLineChars="0"/>
              <w:jc w:val="center"/>
              <w:rPr>
                <w:sz w:val="21"/>
              </w:rPr>
            </w:pPr>
          </w:p>
        </w:tc>
        <w:tc>
          <w:tcPr>
            <w:tcW w:w="831" w:type="pct"/>
            <w:vMerge w:val="restart"/>
            <w:vAlign w:val="center"/>
          </w:tcPr>
          <w:p w14:paraId="568EAEC6">
            <w:pPr>
              <w:spacing w:line="240" w:lineRule="auto"/>
              <w:ind w:firstLine="0" w:firstLineChars="0"/>
              <w:jc w:val="center"/>
              <w:rPr>
                <w:sz w:val="21"/>
              </w:rPr>
            </w:pPr>
            <w:r>
              <w:rPr>
                <w:rFonts w:hint="eastAsia"/>
                <w:sz w:val="21"/>
              </w:rPr>
              <w:t>液化石油气</w:t>
            </w:r>
          </w:p>
        </w:tc>
        <w:tc>
          <w:tcPr>
            <w:tcW w:w="1366" w:type="pct"/>
            <w:vAlign w:val="center"/>
          </w:tcPr>
          <w:p w14:paraId="3AD3C369">
            <w:pPr>
              <w:spacing w:line="240" w:lineRule="auto"/>
              <w:ind w:firstLine="0" w:firstLineChars="0"/>
              <w:jc w:val="center"/>
              <w:rPr>
                <w:sz w:val="21"/>
              </w:rPr>
            </w:pPr>
            <w:r>
              <w:rPr>
                <w:rFonts w:hint="eastAsia"/>
                <w:sz w:val="21"/>
              </w:rPr>
              <w:t>产排污系数（kg/t）</w:t>
            </w:r>
          </w:p>
        </w:tc>
        <w:tc>
          <w:tcPr>
            <w:tcW w:w="566" w:type="pct"/>
            <w:vAlign w:val="center"/>
          </w:tcPr>
          <w:p w14:paraId="68FC790B">
            <w:pPr>
              <w:spacing w:line="240" w:lineRule="auto"/>
              <w:ind w:firstLine="0" w:firstLineChars="0"/>
              <w:jc w:val="center"/>
              <w:rPr>
                <w:sz w:val="21"/>
              </w:rPr>
            </w:pPr>
            <w:r>
              <w:rPr>
                <w:rFonts w:hint="eastAsia"/>
                <w:sz w:val="21"/>
              </w:rPr>
              <w:t>0.001</w:t>
            </w:r>
          </w:p>
        </w:tc>
        <w:tc>
          <w:tcPr>
            <w:tcW w:w="502" w:type="pct"/>
            <w:vAlign w:val="center"/>
          </w:tcPr>
          <w:p w14:paraId="38BC9C66">
            <w:pPr>
              <w:spacing w:line="240" w:lineRule="auto"/>
              <w:ind w:firstLine="0" w:firstLineChars="0"/>
              <w:jc w:val="center"/>
              <w:rPr>
                <w:sz w:val="21"/>
              </w:rPr>
            </w:pPr>
            <w:r>
              <w:rPr>
                <w:rFonts w:hint="eastAsia"/>
                <w:sz w:val="21"/>
              </w:rPr>
              <w:t>1.08</w:t>
            </w:r>
          </w:p>
        </w:tc>
        <w:tc>
          <w:tcPr>
            <w:tcW w:w="633" w:type="pct"/>
            <w:vAlign w:val="center"/>
          </w:tcPr>
          <w:p w14:paraId="36C8C321">
            <w:pPr>
              <w:spacing w:line="240" w:lineRule="auto"/>
              <w:ind w:firstLine="0" w:firstLineChars="0"/>
              <w:jc w:val="center"/>
              <w:rPr>
                <w:sz w:val="21"/>
              </w:rPr>
            </w:pPr>
            <w:r>
              <w:rPr>
                <w:rFonts w:hint="eastAsia"/>
                <w:sz w:val="21"/>
              </w:rPr>
              <w:t>3.77</w:t>
            </w:r>
          </w:p>
        </w:tc>
        <w:tc>
          <w:tcPr>
            <w:tcW w:w="566" w:type="pct"/>
            <w:vAlign w:val="center"/>
          </w:tcPr>
          <w:p w14:paraId="4EF2AD2B">
            <w:pPr>
              <w:spacing w:line="240" w:lineRule="auto"/>
              <w:ind w:firstLine="0" w:firstLineChars="0"/>
              <w:jc w:val="center"/>
              <w:rPr>
                <w:sz w:val="21"/>
              </w:rPr>
            </w:pPr>
            <w:r>
              <w:rPr>
                <w:rFonts w:hint="eastAsia"/>
                <w:sz w:val="21"/>
              </w:rPr>
              <w:t>0.039</w:t>
            </w:r>
          </w:p>
        </w:tc>
      </w:tr>
      <w:tr w14:paraId="71DDE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pct"/>
            <w:vMerge w:val="continue"/>
            <w:vAlign w:val="center"/>
          </w:tcPr>
          <w:p w14:paraId="06ADFE3E">
            <w:pPr>
              <w:spacing w:line="240" w:lineRule="auto"/>
              <w:ind w:firstLine="0" w:firstLineChars="0"/>
              <w:jc w:val="center"/>
              <w:rPr>
                <w:sz w:val="21"/>
              </w:rPr>
            </w:pPr>
          </w:p>
        </w:tc>
        <w:tc>
          <w:tcPr>
            <w:tcW w:w="831" w:type="pct"/>
            <w:vMerge w:val="continue"/>
            <w:vAlign w:val="center"/>
          </w:tcPr>
          <w:p w14:paraId="5BFF45B9">
            <w:pPr>
              <w:spacing w:line="240" w:lineRule="auto"/>
              <w:ind w:firstLine="0" w:firstLineChars="0"/>
              <w:jc w:val="center"/>
              <w:rPr>
                <w:sz w:val="21"/>
              </w:rPr>
            </w:pPr>
          </w:p>
        </w:tc>
        <w:tc>
          <w:tcPr>
            <w:tcW w:w="1366" w:type="pct"/>
            <w:vAlign w:val="center"/>
          </w:tcPr>
          <w:p w14:paraId="6B22A2B2">
            <w:pPr>
              <w:spacing w:line="240" w:lineRule="auto"/>
              <w:ind w:firstLine="0" w:firstLineChars="0"/>
              <w:jc w:val="center"/>
              <w:rPr>
                <w:sz w:val="21"/>
              </w:rPr>
            </w:pPr>
            <w:r>
              <w:rPr>
                <w:rFonts w:hint="eastAsia"/>
                <w:sz w:val="21"/>
              </w:rPr>
              <w:t>污染物排放量（t/a）</w:t>
            </w:r>
          </w:p>
        </w:tc>
        <w:tc>
          <w:tcPr>
            <w:tcW w:w="566" w:type="pct"/>
            <w:vAlign w:val="center"/>
          </w:tcPr>
          <w:p w14:paraId="2AC8745C">
            <w:pPr>
              <w:spacing w:line="240" w:lineRule="auto"/>
              <w:ind w:firstLine="0" w:firstLineChars="0"/>
              <w:jc w:val="center"/>
              <w:rPr>
                <w:sz w:val="21"/>
              </w:rPr>
            </w:pPr>
            <w:r>
              <w:rPr>
                <w:rFonts w:hint="eastAsia"/>
                <w:sz w:val="21"/>
              </w:rPr>
              <w:t>0.007</w:t>
            </w:r>
          </w:p>
        </w:tc>
        <w:tc>
          <w:tcPr>
            <w:tcW w:w="502" w:type="pct"/>
            <w:vAlign w:val="center"/>
          </w:tcPr>
          <w:p w14:paraId="6724C443">
            <w:pPr>
              <w:spacing w:line="240" w:lineRule="auto"/>
              <w:ind w:firstLine="0" w:firstLineChars="0"/>
              <w:jc w:val="center"/>
              <w:rPr>
                <w:sz w:val="21"/>
              </w:rPr>
            </w:pPr>
            <w:r>
              <w:rPr>
                <w:rFonts w:hint="eastAsia"/>
                <w:sz w:val="21"/>
              </w:rPr>
              <w:t>0.78</w:t>
            </w:r>
          </w:p>
        </w:tc>
        <w:tc>
          <w:tcPr>
            <w:tcW w:w="633" w:type="pct"/>
            <w:vAlign w:val="center"/>
          </w:tcPr>
          <w:p w14:paraId="088A2C30">
            <w:pPr>
              <w:spacing w:line="240" w:lineRule="auto"/>
              <w:ind w:firstLine="0" w:firstLineChars="0"/>
              <w:jc w:val="center"/>
              <w:rPr>
                <w:sz w:val="21"/>
              </w:rPr>
            </w:pPr>
            <w:r>
              <w:rPr>
                <w:rFonts w:hint="eastAsia"/>
                <w:sz w:val="21"/>
              </w:rPr>
              <w:t>2.71</w:t>
            </w:r>
          </w:p>
        </w:tc>
        <w:tc>
          <w:tcPr>
            <w:tcW w:w="566" w:type="pct"/>
            <w:vAlign w:val="center"/>
          </w:tcPr>
          <w:p w14:paraId="37CDEBDB">
            <w:pPr>
              <w:spacing w:line="240" w:lineRule="auto"/>
              <w:ind w:firstLine="0" w:firstLineChars="0"/>
              <w:jc w:val="center"/>
              <w:rPr>
                <w:sz w:val="21"/>
              </w:rPr>
            </w:pPr>
            <w:r>
              <w:rPr>
                <w:rFonts w:hint="eastAsia"/>
                <w:sz w:val="21"/>
              </w:rPr>
              <w:t>0.03</w:t>
            </w:r>
          </w:p>
        </w:tc>
      </w:tr>
      <w:tr w14:paraId="779E9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pct"/>
            <w:vMerge w:val="continue"/>
            <w:vAlign w:val="center"/>
          </w:tcPr>
          <w:p w14:paraId="6A454AA3">
            <w:pPr>
              <w:spacing w:line="240" w:lineRule="auto"/>
              <w:ind w:firstLine="0" w:firstLineChars="0"/>
              <w:jc w:val="center"/>
              <w:rPr>
                <w:sz w:val="21"/>
              </w:rPr>
            </w:pPr>
          </w:p>
        </w:tc>
        <w:tc>
          <w:tcPr>
            <w:tcW w:w="2197" w:type="pct"/>
            <w:gridSpan w:val="2"/>
            <w:vAlign w:val="center"/>
          </w:tcPr>
          <w:p w14:paraId="7F4D2DD9">
            <w:pPr>
              <w:spacing w:line="240" w:lineRule="auto"/>
              <w:ind w:firstLine="0" w:firstLineChars="0"/>
              <w:jc w:val="center"/>
              <w:rPr>
                <w:b/>
                <w:bCs/>
                <w:sz w:val="21"/>
              </w:rPr>
            </w:pPr>
            <w:r>
              <w:rPr>
                <w:rFonts w:hint="eastAsia"/>
                <w:b/>
                <w:bCs/>
                <w:sz w:val="21"/>
              </w:rPr>
              <w:t>合计</w:t>
            </w:r>
          </w:p>
        </w:tc>
        <w:tc>
          <w:tcPr>
            <w:tcW w:w="566" w:type="pct"/>
            <w:vAlign w:val="center"/>
          </w:tcPr>
          <w:p w14:paraId="4EE4C77B">
            <w:pPr>
              <w:spacing w:line="240" w:lineRule="auto"/>
              <w:ind w:firstLine="0" w:firstLineChars="0"/>
              <w:jc w:val="center"/>
              <w:rPr>
                <w:b/>
                <w:bCs/>
                <w:sz w:val="21"/>
              </w:rPr>
            </w:pPr>
            <w:r>
              <w:rPr>
                <w:rFonts w:hint="eastAsia"/>
                <w:b/>
                <w:bCs/>
                <w:sz w:val="21"/>
              </w:rPr>
              <w:t>0.012</w:t>
            </w:r>
          </w:p>
        </w:tc>
        <w:tc>
          <w:tcPr>
            <w:tcW w:w="502" w:type="pct"/>
            <w:vAlign w:val="center"/>
          </w:tcPr>
          <w:p w14:paraId="39C59805">
            <w:pPr>
              <w:spacing w:line="240" w:lineRule="auto"/>
              <w:ind w:firstLine="0" w:firstLineChars="0"/>
              <w:jc w:val="center"/>
              <w:rPr>
                <w:b/>
                <w:bCs/>
                <w:sz w:val="21"/>
              </w:rPr>
            </w:pPr>
            <w:r>
              <w:rPr>
                <w:rFonts w:hint="eastAsia"/>
                <w:b/>
                <w:bCs/>
                <w:sz w:val="21"/>
              </w:rPr>
              <w:t>13.60</w:t>
            </w:r>
          </w:p>
        </w:tc>
        <w:tc>
          <w:tcPr>
            <w:tcW w:w="633" w:type="pct"/>
            <w:vAlign w:val="center"/>
          </w:tcPr>
          <w:p w14:paraId="6C65C597">
            <w:pPr>
              <w:spacing w:line="240" w:lineRule="auto"/>
              <w:ind w:firstLine="0" w:firstLineChars="0"/>
              <w:jc w:val="center"/>
              <w:rPr>
                <w:b/>
                <w:bCs/>
                <w:sz w:val="21"/>
              </w:rPr>
            </w:pPr>
            <w:r>
              <w:rPr>
                <w:rFonts w:hint="eastAsia"/>
                <w:b/>
                <w:bCs/>
                <w:sz w:val="21"/>
              </w:rPr>
              <w:t>3.66</w:t>
            </w:r>
          </w:p>
        </w:tc>
        <w:tc>
          <w:tcPr>
            <w:tcW w:w="566" w:type="pct"/>
            <w:vAlign w:val="center"/>
          </w:tcPr>
          <w:p w14:paraId="175A2087">
            <w:pPr>
              <w:spacing w:line="240" w:lineRule="auto"/>
              <w:ind w:firstLine="0" w:firstLineChars="0"/>
              <w:jc w:val="center"/>
              <w:rPr>
                <w:b/>
                <w:bCs/>
                <w:sz w:val="21"/>
              </w:rPr>
            </w:pPr>
            <w:r>
              <w:rPr>
                <w:rFonts w:hint="eastAsia"/>
                <w:b/>
                <w:bCs/>
                <w:sz w:val="21"/>
              </w:rPr>
              <w:t>1.20</w:t>
            </w:r>
          </w:p>
        </w:tc>
      </w:tr>
    </w:tbl>
    <w:p w14:paraId="1A72031C">
      <w:pPr>
        <w:ind w:firstLine="482"/>
        <w:rPr>
          <w:b/>
          <w:bCs/>
        </w:rPr>
      </w:pPr>
      <w:r>
        <w:rPr>
          <w:rFonts w:hint="eastAsia"/>
          <w:b/>
          <w:bCs/>
        </w:rPr>
        <w:t>（3）餐饮油烟</w:t>
      </w:r>
    </w:p>
    <w:p w14:paraId="22EE0857">
      <w:pPr>
        <w:ind w:firstLine="480"/>
        <w:rPr>
          <w:rFonts w:cs="Times New Roman"/>
          <w:szCs w:val="24"/>
        </w:rPr>
      </w:pPr>
      <w:r>
        <w:rPr>
          <w:rFonts w:hint="eastAsia" w:cs="Times New Roman"/>
          <w:szCs w:val="24"/>
        </w:rPr>
        <w:t>度假区</w:t>
      </w:r>
      <w:r>
        <w:rPr>
          <w:rFonts w:cs="Times New Roman"/>
          <w:szCs w:val="24"/>
        </w:rPr>
        <w:t>居民在食品烹饪过程中会产生少量油烟废气，一般居民食用耗油系数为30 g/（人</w:t>
      </w:r>
      <w:r>
        <w:rPr>
          <w:rFonts w:hint="eastAsia" w:cs="Times New Roman"/>
          <w:szCs w:val="24"/>
        </w:rPr>
        <w:t>·</w:t>
      </w:r>
      <w:r>
        <w:rPr>
          <w:rFonts w:cs="Times New Roman"/>
          <w:szCs w:val="24"/>
        </w:rPr>
        <w:t>d），对餐饮企业的类比调查可知一般油烟挥发量占总耗油量的2</w:t>
      </w:r>
      <w:r>
        <w:rPr>
          <w:rFonts w:hint="eastAsia" w:cs="Times New Roman"/>
          <w:szCs w:val="24"/>
        </w:rPr>
        <w:t>%～</w:t>
      </w:r>
      <w:r>
        <w:rPr>
          <w:rFonts w:cs="Times New Roman"/>
          <w:szCs w:val="24"/>
        </w:rPr>
        <w:t>4%，平均为2.83%。但住宅与餐饮企业相比，食用油耗量和炒、炸、煎等烹调工序均较少，因此居民住宅油烟挥发率取</w:t>
      </w:r>
      <w:r>
        <w:rPr>
          <w:rFonts w:hint="eastAsia" w:cs="Times New Roman"/>
          <w:szCs w:val="24"/>
        </w:rPr>
        <w:t>2.0</w:t>
      </w:r>
      <w:r>
        <w:rPr>
          <w:rFonts w:cs="Times New Roman"/>
          <w:szCs w:val="24"/>
        </w:rPr>
        <w:t>%。油烟废气均经过油烟机脱油烟处理，油烟去除效率可按60%</w:t>
      </w:r>
      <w:r>
        <w:rPr>
          <w:rFonts w:hint="eastAsia" w:cs="Times New Roman"/>
          <w:szCs w:val="24"/>
        </w:rPr>
        <w:t>计算</w:t>
      </w:r>
      <w:r>
        <w:rPr>
          <w:rFonts w:cs="Times New Roman"/>
          <w:szCs w:val="24"/>
        </w:rPr>
        <w:t>，</w:t>
      </w:r>
      <w:r>
        <w:rPr>
          <w:rFonts w:hint="eastAsia" w:cs="Times New Roman"/>
          <w:szCs w:val="24"/>
        </w:rPr>
        <w:t>则规划期</w:t>
      </w:r>
      <w:r>
        <w:rPr>
          <w:rFonts w:cs="Times New Roman"/>
          <w:szCs w:val="24"/>
        </w:rPr>
        <w:t>居民油烟排放量见表</w:t>
      </w:r>
      <w:r>
        <w:rPr>
          <w:rFonts w:hint="eastAsia" w:cs="Times New Roman"/>
          <w:szCs w:val="24"/>
        </w:rPr>
        <w:t>5</w:t>
      </w:r>
      <w:r>
        <w:rPr>
          <w:rFonts w:cs="Times New Roman"/>
          <w:szCs w:val="24"/>
        </w:rPr>
        <w:t>.</w:t>
      </w:r>
      <w:r>
        <w:rPr>
          <w:rFonts w:hint="eastAsia" w:cs="Times New Roman"/>
          <w:szCs w:val="24"/>
        </w:rPr>
        <w:t>2</w:t>
      </w:r>
      <w:r>
        <w:rPr>
          <w:rFonts w:cs="Times New Roman"/>
          <w:szCs w:val="24"/>
        </w:rPr>
        <w:t>-</w:t>
      </w:r>
      <w:r>
        <w:rPr>
          <w:rFonts w:hint="eastAsia" w:cs="Times New Roman"/>
          <w:szCs w:val="24"/>
        </w:rPr>
        <w:t>2</w:t>
      </w:r>
      <w:r>
        <w:rPr>
          <w:rFonts w:cs="Times New Roman"/>
          <w:szCs w:val="24"/>
        </w:rPr>
        <w:t>。</w:t>
      </w:r>
    </w:p>
    <w:p w14:paraId="20C2A9CE">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2</w:t>
      </w:r>
      <w:r>
        <w:rPr>
          <w:rFonts w:cs="Times New Roman"/>
        </w:rPr>
        <w:t>-</w:t>
      </w:r>
      <w:r>
        <w:rPr>
          <w:rFonts w:hint="eastAsia" w:cs="Times New Roman"/>
        </w:rPr>
        <w:t>2</w:t>
      </w:r>
      <w:r>
        <w:rPr>
          <w:rFonts w:cs="Times New Roman"/>
        </w:rPr>
        <w:t xml:space="preserve">  </w:t>
      </w:r>
      <w:r>
        <w:rPr>
          <w:rFonts w:hint="eastAsia" w:cs="Times New Roman"/>
        </w:rPr>
        <w:t>规划期度假区</w:t>
      </w:r>
      <w:r>
        <w:rPr>
          <w:rFonts w:cs="Times New Roman"/>
        </w:rPr>
        <w:t>餐饮油烟现状排放情况表</w:t>
      </w:r>
    </w:p>
    <w:tbl>
      <w:tblPr>
        <w:tblStyle w:val="2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1276"/>
        <w:gridCol w:w="755"/>
        <w:gridCol w:w="1387"/>
        <w:gridCol w:w="1000"/>
        <w:gridCol w:w="917"/>
        <w:gridCol w:w="1034"/>
        <w:gridCol w:w="872"/>
      </w:tblGrid>
      <w:tr w14:paraId="43B68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49" w:type="pct"/>
            <w:vAlign w:val="center"/>
          </w:tcPr>
          <w:p w14:paraId="66F90027">
            <w:pPr>
              <w:spacing w:line="240" w:lineRule="auto"/>
              <w:ind w:firstLine="0" w:firstLineChars="0"/>
              <w:jc w:val="center"/>
              <w:rPr>
                <w:b/>
                <w:bCs/>
                <w:sz w:val="21"/>
              </w:rPr>
            </w:pPr>
            <w:r>
              <w:rPr>
                <w:rFonts w:hint="eastAsia"/>
                <w:b/>
                <w:bCs/>
                <w:sz w:val="21"/>
              </w:rPr>
              <w:t>时限</w:t>
            </w:r>
          </w:p>
        </w:tc>
        <w:tc>
          <w:tcPr>
            <w:tcW w:w="749" w:type="pct"/>
            <w:vAlign w:val="center"/>
          </w:tcPr>
          <w:p w14:paraId="7987BA78">
            <w:pPr>
              <w:spacing w:line="240" w:lineRule="auto"/>
              <w:ind w:firstLine="0" w:firstLineChars="0"/>
              <w:jc w:val="center"/>
              <w:rPr>
                <w:b/>
                <w:bCs/>
                <w:sz w:val="21"/>
              </w:rPr>
            </w:pPr>
            <w:r>
              <w:rPr>
                <w:rFonts w:hint="eastAsia"/>
                <w:b/>
                <w:bCs/>
                <w:sz w:val="21"/>
              </w:rPr>
              <w:t>规模</w:t>
            </w:r>
          </w:p>
          <w:p w14:paraId="670999C8">
            <w:pPr>
              <w:spacing w:line="240" w:lineRule="auto"/>
              <w:ind w:firstLine="0" w:firstLineChars="0"/>
              <w:jc w:val="center"/>
              <w:rPr>
                <w:b/>
                <w:bCs/>
                <w:sz w:val="21"/>
              </w:rPr>
            </w:pPr>
            <w:r>
              <w:rPr>
                <w:rFonts w:hint="eastAsia"/>
                <w:b/>
                <w:bCs/>
                <w:sz w:val="21"/>
              </w:rPr>
              <w:t>（万人/d）</w:t>
            </w:r>
          </w:p>
        </w:tc>
        <w:tc>
          <w:tcPr>
            <w:tcW w:w="443" w:type="pct"/>
            <w:vAlign w:val="center"/>
          </w:tcPr>
          <w:p w14:paraId="765D8829">
            <w:pPr>
              <w:spacing w:line="240" w:lineRule="auto"/>
              <w:ind w:firstLine="0" w:firstLineChars="0"/>
              <w:jc w:val="center"/>
              <w:rPr>
                <w:b/>
                <w:bCs/>
                <w:sz w:val="21"/>
                <w:shd w:val="pct10" w:color="auto" w:fill="FFFFFF"/>
              </w:rPr>
            </w:pPr>
            <w:r>
              <w:rPr>
                <w:rFonts w:hint="eastAsia"/>
                <w:b/>
                <w:bCs/>
                <w:sz w:val="21"/>
              </w:rPr>
              <w:t>天数（d）</w:t>
            </w:r>
          </w:p>
        </w:tc>
        <w:tc>
          <w:tcPr>
            <w:tcW w:w="814" w:type="pct"/>
            <w:vAlign w:val="center"/>
          </w:tcPr>
          <w:p w14:paraId="7D3D8C6B">
            <w:pPr>
              <w:spacing w:line="240" w:lineRule="auto"/>
              <w:ind w:firstLine="0" w:firstLineChars="0"/>
              <w:jc w:val="center"/>
              <w:rPr>
                <w:b/>
                <w:bCs/>
                <w:sz w:val="21"/>
              </w:rPr>
            </w:pPr>
            <w:r>
              <w:rPr>
                <w:rFonts w:hint="eastAsia"/>
                <w:b/>
                <w:bCs/>
                <w:sz w:val="21"/>
              </w:rPr>
              <w:t>核算指标</w:t>
            </w:r>
          </w:p>
          <w:p w14:paraId="3D40EB11">
            <w:pPr>
              <w:spacing w:line="240" w:lineRule="auto"/>
              <w:ind w:firstLine="0" w:firstLineChars="0"/>
              <w:jc w:val="center"/>
              <w:rPr>
                <w:b/>
                <w:bCs/>
                <w:sz w:val="21"/>
              </w:rPr>
            </w:pPr>
            <w:r>
              <w:rPr>
                <w:rFonts w:hint="eastAsia"/>
                <w:b/>
                <w:bCs/>
                <w:sz w:val="21"/>
              </w:rPr>
              <w:t>（g/（人·d））</w:t>
            </w:r>
          </w:p>
        </w:tc>
        <w:tc>
          <w:tcPr>
            <w:tcW w:w="587" w:type="pct"/>
            <w:vAlign w:val="center"/>
          </w:tcPr>
          <w:p w14:paraId="7E86D14D">
            <w:pPr>
              <w:spacing w:line="240" w:lineRule="auto"/>
              <w:ind w:firstLine="0" w:firstLineChars="0"/>
              <w:jc w:val="center"/>
              <w:rPr>
                <w:b/>
                <w:bCs/>
                <w:sz w:val="21"/>
              </w:rPr>
            </w:pPr>
            <w:r>
              <w:rPr>
                <w:rFonts w:hint="eastAsia"/>
                <w:b/>
                <w:bCs/>
                <w:sz w:val="21"/>
              </w:rPr>
              <w:t>食用油用量（t/a）</w:t>
            </w:r>
          </w:p>
        </w:tc>
        <w:tc>
          <w:tcPr>
            <w:tcW w:w="538" w:type="pct"/>
            <w:vAlign w:val="center"/>
          </w:tcPr>
          <w:p w14:paraId="151866EB">
            <w:pPr>
              <w:spacing w:line="240" w:lineRule="auto"/>
              <w:ind w:firstLine="0" w:firstLineChars="0"/>
              <w:jc w:val="center"/>
              <w:rPr>
                <w:b/>
                <w:bCs/>
                <w:sz w:val="21"/>
              </w:rPr>
            </w:pPr>
            <w:r>
              <w:rPr>
                <w:rFonts w:hint="eastAsia"/>
                <w:b/>
                <w:bCs/>
                <w:sz w:val="21"/>
              </w:rPr>
              <w:t>油烟挥发率（%）</w:t>
            </w:r>
          </w:p>
        </w:tc>
        <w:tc>
          <w:tcPr>
            <w:tcW w:w="607" w:type="pct"/>
            <w:vAlign w:val="center"/>
          </w:tcPr>
          <w:p w14:paraId="6431073B">
            <w:pPr>
              <w:spacing w:line="240" w:lineRule="auto"/>
              <w:ind w:firstLine="0" w:firstLineChars="0"/>
              <w:jc w:val="center"/>
              <w:rPr>
                <w:b/>
                <w:bCs/>
                <w:sz w:val="21"/>
              </w:rPr>
            </w:pPr>
            <w:r>
              <w:rPr>
                <w:rFonts w:hint="eastAsia"/>
                <w:b/>
                <w:bCs/>
                <w:sz w:val="21"/>
              </w:rPr>
              <w:t>油烟去除效率（%）</w:t>
            </w:r>
          </w:p>
        </w:tc>
        <w:tc>
          <w:tcPr>
            <w:tcW w:w="511" w:type="pct"/>
            <w:vAlign w:val="center"/>
          </w:tcPr>
          <w:p w14:paraId="47EF55AC">
            <w:pPr>
              <w:spacing w:line="240" w:lineRule="auto"/>
              <w:ind w:firstLine="0" w:firstLineChars="0"/>
              <w:jc w:val="center"/>
              <w:rPr>
                <w:b/>
                <w:bCs/>
                <w:sz w:val="21"/>
              </w:rPr>
            </w:pPr>
            <w:r>
              <w:rPr>
                <w:rFonts w:hint="eastAsia"/>
                <w:b/>
                <w:bCs/>
                <w:sz w:val="21"/>
              </w:rPr>
              <w:t>排放量（t/a）</w:t>
            </w:r>
          </w:p>
        </w:tc>
      </w:tr>
      <w:tr w14:paraId="4154D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9" w:type="pct"/>
            <w:vAlign w:val="center"/>
          </w:tcPr>
          <w:p w14:paraId="4DA2C6C5">
            <w:pPr>
              <w:spacing w:line="240" w:lineRule="auto"/>
              <w:ind w:firstLine="0" w:firstLineChars="0"/>
              <w:jc w:val="center"/>
              <w:rPr>
                <w:sz w:val="21"/>
              </w:rPr>
            </w:pPr>
            <w:r>
              <w:rPr>
                <w:rFonts w:hint="eastAsia"/>
                <w:sz w:val="21"/>
              </w:rPr>
              <w:t>规划近期</w:t>
            </w:r>
          </w:p>
        </w:tc>
        <w:tc>
          <w:tcPr>
            <w:tcW w:w="749" w:type="pct"/>
            <w:vAlign w:val="center"/>
          </w:tcPr>
          <w:p w14:paraId="78B04DB4">
            <w:pPr>
              <w:spacing w:line="240" w:lineRule="auto"/>
              <w:ind w:firstLine="0" w:firstLineChars="0"/>
              <w:jc w:val="center"/>
              <w:rPr>
                <w:sz w:val="21"/>
              </w:rPr>
            </w:pPr>
            <w:r>
              <w:rPr>
                <w:rFonts w:hint="eastAsia"/>
                <w:sz w:val="21"/>
              </w:rPr>
              <w:t>3.45</w:t>
            </w:r>
          </w:p>
        </w:tc>
        <w:tc>
          <w:tcPr>
            <w:tcW w:w="443" w:type="pct"/>
            <w:vAlign w:val="center"/>
          </w:tcPr>
          <w:p w14:paraId="1EA1DFF0">
            <w:pPr>
              <w:spacing w:line="240" w:lineRule="auto"/>
              <w:ind w:firstLine="0" w:firstLineChars="0"/>
              <w:jc w:val="center"/>
              <w:rPr>
                <w:sz w:val="21"/>
              </w:rPr>
            </w:pPr>
            <w:r>
              <w:rPr>
                <w:rFonts w:hint="eastAsia"/>
                <w:sz w:val="21"/>
              </w:rPr>
              <w:t>365</w:t>
            </w:r>
          </w:p>
        </w:tc>
        <w:tc>
          <w:tcPr>
            <w:tcW w:w="814" w:type="pct"/>
            <w:vAlign w:val="center"/>
          </w:tcPr>
          <w:p w14:paraId="4318C33E">
            <w:pPr>
              <w:spacing w:line="240" w:lineRule="auto"/>
              <w:ind w:firstLine="0" w:firstLineChars="0"/>
              <w:jc w:val="center"/>
              <w:rPr>
                <w:sz w:val="21"/>
              </w:rPr>
            </w:pPr>
            <w:r>
              <w:rPr>
                <w:rFonts w:hint="eastAsia"/>
                <w:sz w:val="21"/>
              </w:rPr>
              <w:t>30</w:t>
            </w:r>
          </w:p>
        </w:tc>
        <w:tc>
          <w:tcPr>
            <w:tcW w:w="587" w:type="pct"/>
            <w:vAlign w:val="center"/>
          </w:tcPr>
          <w:p w14:paraId="2806FF30">
            <w:pPr>
              <w:spacing w:line="240" w:lineRule="auto"/>
              <w:ind w:firstLine="0" w:firstLineChars="0"/>
              <w:jc w:val="center"/>
              <w:rPr>
                <w:sz w:val="21"/>
              </w:rPr>
            </w:pPr>
            <w:r>
              <w:rPr>
                <w:rFonts w:hint="eastAsia"/>
                <w:sz w:val="21"/>
              </w:rPr>
              <w:t>399.67</w:t>
            </w:r>
          </w:p>
        </w:tc>
        <w:tc>
          <w:tcPr>
            <w:tcW w:w="538" w:type="pct"/>
            <w:vAlign w:val="center"/>
          </w:tcPr>
          <w:p w14:paraId="2F7889DD">
            <w:pPr>
              <w:spacing w:line="240" w:lineRule="auto"/>
              <w:ind w:firstLine="0" w:firstLineChars="0"/>
              <w:jc w:val="center"/>
              <w:rPr>
                <w:sz w:val="21"/>
              </w:rPr>
            </w:pPr>
            <w:r>
              <w:rPr>
                <w:rFonts w:hint="eastAsia"/>
                <w:sz w:val="21"/>
              </w:rPr>
              <w:t>2.0</w:t>
            </w:r>
          </w:p>
        </w:tc>
        <w:tc>
          <w:tcPr>
            <w:tcW w:w="607" w:type="pct"/>
            <w:vAlign w:val="center"/>
          </w:tcPr>
          <w:p w14:paraId="3E4DAA51">
            <w:pPr>
              <w:spacing w:line="240" w:lineRule="auto"/>
              <w:ind w:firstLine="0" w:firstLineChars="0"/>
              <w:jc w:val="center"/>
              <w:rPr>
                <w:sz w:val="21"/>
              </w:rPr>
            </w:pPr>
            <w:r>
              <w:rPr>
                <w:rFonts w:hint="eastAsia"/>
                <w:sz w:val="21"/>
              </w:rPr>
              <w:t>60</w:t>
            </w:r>
          </w:p>
        </w:tc>
        <w:tc>
          <w:tcPr>
            <w:tcW w:w="511" w:type="pct"/>
            <w:vAlign w:val="center"/>
          </w:tcPr>
          <w:p w14:paraId="448BC6C2">
            <w:pPr>
              <w:spacing w:line="240" w:lineRule="auto"/>
              <w:ind w:firstLine="0" w:firstLineChars="0"/>
              <w:jc w:val="center"/>
              <w:rPr>
                <w:sz w:val="21"/>
              </w:rPr>
            </w:pPr>
            <w:r>
              <w:rPr>
                <w:rFonts w:hint="eastAsia"/>
                <w:sz w:val="21"/>
              </w:rPr>
              <w:t>3.19</w:t>
            </w:r>
          </w:p>
        </w:tc>
      </w:tr>
      <w:tr w14:paraId="6BEFF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9" w:type="pct"/>
            <w:vAlign w:val="center"/>
          </w:tcPr>
          <w:p w14:paraId="6F004A54">
            <w:pPr>
              <w:spacing w:line="240" w:lineRule="auto"/>
              <w:ind w:firstLine="0" w:firstLineChars="0"/>
              <w:jc w:val="center"/>
              <w:rPr>
                <w:sz w:val="21"/>
              </w:rPr>
            </w:pPr>
            <w:r>
              <w:rPr>
                <w:rFonts w:hint="eastAsia"/>
                <w:sz w:val="21"/>
              </w:rPr>
              <w:t>规划远期</w:t>
            </w:r>
          </w:p>
        </w:tc>
        <w:tc>
          <w:tcPr>
            <w:tcW w:w="749" w:type="pct"/>
            <w:vAlign w:val="center"/>
          </w:tcPr>
          <w:p w14:paraId="79306C34">
            <w:pPr>
              <w:spacing w:line="240" w:lineRule="auto"/>
              <w:ind w:firstLine="0" w:firstLineChars="0"/>
              <w:jc w:val="center"/>
              <w:rPr>
                <w:sz w:val="21"/>
              </w:rPr>
            </w:pPr>
            <w:r>
              <w:rPr>
                <w:rFonts w:hint="eastAsia"/>
                <w:sz w:val="21"/>
              </w:rPr>
              <w:t>3.64</w:t>
            </w:r>
          </w:p>
        </w:tc>
        <w:tc>
          <w:tcPr>
            <w:tcW w:w="443" w:type="pct"/>
            <w:vAlign w:val="center"/>
          </w:tcPr>
          <w:p w14:paraId="51B3F21D">
            <w:pPr>
              <w:spacing w:line="240" w:lineRule="auto"/>
              <w:ind w:firstLine="0" w:firstLineChars="0"/>
              <w:jc w:val="center"/>
              <w:rPr>
                <w:sz w:val="21"/>
              </w:rPr>
            </w:pPr>
            <w:r>
              <w:rPr>
                <w:rFonts w:hint="eastAsia"/>
                <w:sz w:val="21"/>
              </w:rPr>
              <w:t>365</w:t>
            </w:r>
          </w:p>
        </w:tc>
        <w:tc>
          <w:tcPr>
            <w:tcW w:w="814" w:type="pct"/>
            <w:vAlign w:val="center"/>
          </w:tcPr>
          <w:p w14:paraId="7F5C19AC">
            <w:pPr>
              <w:spacing w:line="240" w:lineRule="auto"/>
              <w:ind w:firstLine="0" w:firstLineChars="0"/>
              <w:jc w:val="center"/>
              <w:rPr>
                <w:sz w:val="21"/>
              </w:rPr>
            </w:pPr>
            <w:r>
              <w:rPr>
                <w:rFonts w:hint="eastAsia"/>
                <w:sz w:val="21"/>
              </w:rPr>
              <w:t>30</w:t>
            </w:r>
          </w:p>
        </w:tc>
        <w:tc>
          <w:tcPr>
            <w:tcW w:w="587" w:type="pct"/>
            <w:vAlign w:val="center"/>
          </w:tcPr>
          <w:p w14:paraId="0B51E535">
            <w:pPr>
              <w:spacing w:line="240" w:lineRule="auto"/>
              <w:ind w:firstLine="0" w:firstLineChars="0"/>
              <w:jc w:val="center"/>
              <w:rPr>
                <w:sz w:val="21"/>
              </w:rPr>
            </w:pPr>
            <w:r>
              <w:rPr>
                <w:rFonts w:hint="eastAsia"/>
                <w:sz w:val="21"/>
              </w:rPr>
              <w:t>480.71</w:t>
            </w:r>
          </w:p>
        </w:tc>
        <w:tc>
          <w:tcPr>
            <w:tcW w:w="538" w:type="pct"/>
            <w:vAlign w:val="center"/>
          </w:tcPr>
          <w:p w14:paraId="5FD2D055">
            <w:pPr>
              <w:spacing w:line="240" w:lineRule="auto"/>
              <w:ind w:firstLine="0" w:firstLineChars="0"/>
              <w:jc w:val="center"/>
              <w:rPr>
                <w:sz w:val="21"/>
              </w:rPr>
            </w:pPr>
            <w:r>
              <w:rPr>
                <w:rFonts w:hint="eastAsia"/>
                <w:sz w:val="21"/>
              </w:rPr>
              <w:t>2.0</w:t>
            </w:r>
          </w:p>
        </w:tc>
        <w:tc>
          <w:tcPr>
            <w:tcW w:w="607" w:type="pct"/>
            <w:vAlign w:val="center"/>
          </w:tcPr>
          <w:p w14:paraId="358F41EB">
            <w:pPr>
              <w:spacing w:line="240" w:lineRule="auto"/>
              <w:ind w:firstLine="0" w:firstLineChars="0"/>
              <w:jc w:val="center"/>
              <w:rPr>
                <w:sz w:val="21"/>
              </w:rPr>
            </w:pPr>
            <w:r>
              <w:rPr>
                <w:rFonts w:hint="eastAsia"/>
                <w:sz w:val="21"/>
              </w:rPr>
              <w:t>60</w:t>
            </w:r>
          </w:p>
        </w:tc>
        <w:tc>
          <w:tcPr>
            <w:tcW w:w="511" w:type="pct"/>
            <w:vAlign w:val="center"/>
          </w:tcPr>
          <w:p w14:paraId="53E0A392">
            <w:pPr>
              <w:spacing w:line="240" w:lineRule="auto"/>
              <w:ind w:firstLine="0" w:firstLineChars="0"/>
              <w:jc w:val="center"/>
              <w:rPr>
                <w:sz w:val="21"/>
              </w:rPr>
            </w:pPr>
            <w:r>
              <w:rPr>
                <w:rFonts w:hint="eastAsia"/>
                <w:sz w:val="21"/>
              </w:rPr>
              <w:t>3.85</w:t>
            </w:r>
          </w:p>
        </w:tc>
      </w:tr>
    </w:tbl>
    <w:p w14:paraId="6F1676CC">
      <w:pPr>
        <w:ind w:firstLine="482"/>
        <w:rPr>
          <w:b/>
          <w:bCs/>
        </w:rPr>
      </w:pPr>
      <w:r>
        <w:rPr>
          <w:rFonts w:hint="eastAsia"/>
          <w:b/>
          <w:bCs/>
        </w:rPr>
        <w:t>（4）移动源</w:t>
      </w:r>
    </w:p>
    <w:p w14:paraId="4BD855F0">
      <w:pPr>
        <w:ind w:firstLine="480"/>
      </w:pPr>
      <w:r>
        <w:rPr>
          <w:rFonts w:hint="eastAsia"/>
        </w:rPr>
        <w:t>汽车尾气是空气中氮氧化物、一氧化碳、碳氢化合物等污染物的重要来源之一，载客汽车是度假区空气的主要污染源，外部到达交通主要包括公共交通（常规公共交通、旅游客运专线、旅游巴士）和自驾车（含出租车）等方式。根据度假区地理位置和旅游特点，并考虑到绿色公共交通的发展趋势，本次预测假设游客乘坐公共交通客车的比例为60%，自驾车比例占40%。自驾车平均载客以3人次计，客车平均载客以40人次计，则规划末期度假区旅游车辆如表5.2-3所示。</w:t>
      </w:r>
    </w:p>
    <w:p w14:paraId="4565AC55">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2</w:t>
      </w:r>
      <w:r>
        <w:rPr>
          <w:rFonts w:cs="Times New Roman"/>
        </w:rPr>
        <w:t>-</w:t>
      </w:r>
      <w:r>
        <w:rPr>
          <w:rFonts w:hint="eastAsia" w:cs="Times New Roman"/>
        </w:rPr>
        <w:t>3</w:t>
      </w:r>
      <w:r>
        <w:rPr>
          <w:rFonts w:cs="Times New Roman"/>
        </w:rPr>
        <w:t xml:space="preserve">  度假区规划</w:t>
      </w:r>
      <w:r>
        <w:rPr>
          <w:rFonts w:hint="eastAsia" w:cs="Times New Roman"/>
        </w:rPr>
        <w:t>期</w:t>
      </w:r>
      <w:r>
        <w:rPr>
          <w:rFonts w:cs="Times New Roman"/>
        </w:rPr>
        <w:t>旅游车辆估算一览表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2"/>
        <w:gridCol w:w="2747"/>
        <w:gridCol w:w="2199"/>
        <w:gridCol w:w="1924"/>
      </w:tblGrid>
      <w:tr w14:paraId="14A50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9" w:type="pct"/>
            <w:vAlign w:val="center"/>
          </w:tcPr>
          <w:p w14:paraId="6891120B">
            <w:pPr>
              <w:widowControl/>
              <w:spacing w:line="240" w:lineRule="auto"/>
              <w:ind w:firstLine="0" w:firstLineChars="0"/>
              <w:jc w:val="center"/>
              <w:rPr>
                <w:rFonts w:cs="Times New Roman"/>
                <w:b/>
                <w:kern w:val="0"/>
                <w:sz w:val="21"/>
                <w:szCs w:val="21"/>
              </w:rPr>
            </w:pPr>
            <w:r>
              <w:rPr>
                <w:rFonts w:hint="eastAsia" w:cs="Times New Roman"/>
                <w:b/>
                <w:kern w:val="0"/>
                <w:sz w:val="21"/>
                <w:szCs w:val="21"/>
              </w:rPr>
              <w:t>规划期限</w:t>
            </w:r>
          </w:p>
        </w:tc>
        <w:tc>
          <w:tcPr>
            <w:tcW w:w="1612" w:type="pct"/>
            <w:vAlign w:val="center"/>
          </w:tcPr>
          <w:p w14:paraId="206E0FAF">
            <w:pPr>
              <w:widowControl/>
              <w:spacing w:line="240" w:lineRule="auto"/>
              <w:ind w:firstLine="0" w:firstLineChars="0"/>
              <w:jc w:val="center"/>
              <w:rPr>
                <w:rFonts w:cs="Times New Roman"/>
                <w:b/>
                <w:kern w:val="0"/>
                <w:sz w:val="21"/>
                <w:szCs w:val="21"/>
              </w:rPr>
            </w:pPr>
            <w:r>
              <w:rPr>
                <w:rFonts w:hint="eastAsia" w:cs="Times New Roman"/>
                <w:b/>
                <w:kern w:val="0"/>
                <w:sz w:val="21"/>
                <w:szCs w:val="21"/>
              </w:rPr>
              <w:t>游客总数（万人/年）</w:t>
            </w:r>
          </w:p>
        </w:tc>
        <w:tc>
          <w:tcPr>
            <w:tcW w:w="1290" w:type="pct"/>
            <w:vAlign w:val="center"/>
          </w:tcPr>
          <w:p w14:paraId="395C5E54">
            <w:pPr>
              <w:widowControl/>
              <w:spacing w:line="240" w:lineRule="auto"/>
              <w:ind w:firstLine="0" w:firstLineChars="0"/>
              <w:jc w:val="center"/>
              <w:rPr>
                <w:rFonts w:cs="Times New Roman"/>
                <w:b/>
                <w:kern w:val="0"/>
                <w:sz w:val="21"/>
                <w:szCs w:val="21"/>
              </w:rPr>
            </w:pPr>
            <w:r>
              <w:rPr>
                <w:rFonts w:hint="eastAsia" w:cs="Times New Roman"/>
                <w:b/>
                <w:kern w:val="0"/>
                <w:sz w:val="21"/>
                <w:szCs w:val="21"/>
              </w:rPr>
              <w:t>自驾车（万辆/年）</w:t>
            </w:r>
          </w:p>
        </w:tc>
        <w:tc>
          <w:tcPr>
            <w:tcW w:w="1129" w:type="pct"/>
            <w:vAlign w:val="center"/>
          </w:tcPr>
          <w:p w14:paraId="279B875F">
            <w:pPr>
              <w:widowControl/>
              <w:spacing w:line="240" w:lineRule="auto"/>
              <w:ind w:firstLine="0" w:firstLineChars="0"/>
              <w:jc w:val="center"/>
              <w:rPr>
                <w:rFonts w:cs="Times New Roman"/>
                <w:b/>
                <w:kern w:val="0"/>
                <w:sz w:val="21"/>
                <w:szCs w:val="21"/>
              </w:rPr>
            </w:pPr>
            <w:r>
              <w:rPr>
                <w:rFonts w:hint="eastAsia" w:cs="Times New Roman"/>
                <w:b/>
                <w:kern w:val="0"/>
                <w:sz w:val="21"/>
                <w:szCs w:val="21"/>
              </w:rPr>
              <w:t>客车（万辆/年）</w:t>
            </w:r>
          </w:p>
        </w:tc>
      </w:tr>
      <w:tr w14:paraId="6D3F8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9" w:type="pct"/>
            <w:vAlign w:val="center"/>
          </w:tcPr>
          <w:p w14:paraId="1AE10F31">
            <w:pPr>
              <w:widowControl/>
              <w:spacing w:line="240" w:lineRule="auto"/>
              <w:ind w:firstLine="0" w:firstLineChars="0"/>
              <w:jc w:val="center"/>
              <w:rPr>
                <w:rFonts w:cs="Times New Roman"/>
                <w:kern w:val="0"/>
                <w:sz w:val="21"/>
                <w:szCs w:val="21"/>
              </w:rPr>
            </w:pPr>
            <w:r>
              <w:rPr>
                <w:rFonts w:hint="eastAsia" w:cs="Times New Roman"/>
                <w:kern w:val="0"/>
                <w:sz w:val="21"/>
                <w:szCs w:val="21"/>
              </w:rPr>
              <w:t>~2030年</w:t>
            </w:r>
          </w:p>
        </w:tc>
        <w:tc>
          <w:tcPr>
            <w:tcW w:w="1612" w:type="pct"/>
            <w:vAlign w:val="center"/>
          </w:tcPr>
          <w:p w14:paraId="47109AD3">
            <w:pPr>
              <w:widowControl/>
              <w:spacing w:line="240" w:lineRule="auto"/>
              <w:ind w:firstLine="0" w:firstLineChars="0"/>
              <w:jc w:val="center"/>
              <w:rPr>
                <w:rFonts w:cs="Times New Roman"/>
                <w:kern w:val="0"/>
                <w:sz w:val="21"/>
                <w:szCs w:val="21"/>
              </w:rPr>
            </w:pPr>
            <w:r>
              <w:rPr>
                <w:rFonts w:hint="eastAsia" w:cs="Times New Roman"/>
                <w:kern w:val="0"/>
                <w:sz w:val="21"/>
                <w:szCs w:val="21"/>
              </w:rPr>
              <w:t>558.6</w:t>
            </w:r>
          </w:p>
        </w:tc>
        <w:tc>
          <w:tcPr>
            <w:tcW w:w="1290" w:type="pct"/>
            <w:vAlign w:val="center"/>
          </w:tcPr>
          <w:p w14:paraId="63106A31">
            <w:pPr>
              <w:widowControl/>
              <w:spacing w:line="240" w:lineRule="auto"/>
              <w:ind w:firstLine="0" w:firstLineChars="0"/>
              <w:jc w:val="center"/>
              <w:rPr>
                <w:rFonts w:cs="Times New Roman"/>
                <w:kern w:val="0"/>
                <w:sz w:val="21"/>
                <w:szCs w:val="21"/>
              </w:rPr>
            </w:pPr>
            <w:r>
              <w:rPr>
                <w:rFonts w:hint="eastAsia" w:cs="Times New Roman"/>
                <w:kern w:val="0"/>
                <w:sz w:val="21"/>
                <w:szCs w:val="21"/>
              </w:rPr>
              <w:t>74.5</w:t>
            </w:r>
          </w:p>
        </w:tc>
        <w:tc>
          <w:tcPr>
            <w:tcW w:w="1129" w:type="pct"/>
            <w:vAlign w:val="center"/>
          </w:tcPr>
          <w:p w14:paraId="07C6B5F7">
            <w:pPr>
              <w:widowControl/>
              <w:spacing w:line="240" w:lineRule="auto"/>
              <w:ind w:firstLine="0" w:firstLineChars="0"/>
              <w:jc w:val="center"/>
              <w:rPr>
                <w:rFonts w:cs="Times New Roman"/>
                <w:kern w:val="0"/>
                <w:sz w:val="21"/>
                <w:szCs w:val="21"/>
              </w:rPr>
            </w:pPr>
            <w:r>
              <w:rPr>
                <w:rFonts w:hint="eastAsia" w:cs="Times New Roman"/>
                <w:kern w:val="0"/>
                <w:sz w:val="21"/>
                <w:szCs w:val="21"/>
              </w:rPr>
              <w:t>8.4</w:t>
            </w:r>
          </w:p>
        </w:tc>
      </w:tr>
      <w:tr w14:paraId="4BE71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9" w:type="pct"/>
            <w:vAlign w:val="center"/>
          </w:tcPr>
          <w:p w14:paraId="395A7F40">
            <w:pPr>
              <w:widowControl/>
              <w:spacing w:line="240" w:lineRule="auto"/>
              <w:ind w:firstLine="0" w:firstLineChars="0"/>
              <w:jc w:val="center"/>
              <w:rPr>
                <w:rFonts w:cs="Times New Roman"/>
                <w:kern w:val="0"/>
                <w:sz w:val="21"/>
                <w:szCs w:val="21"/>
              </w:rPr>
            </w:pPr>
            <w:r>
              <w:rPr>
                <w:rFonts w:hint="eastAsia" w:cs="Times New Roman"/>
                <w:kern w:val="0"/>
                <w:sz w:val="21"/>
                <w:szCs w:val="21"/>
              </w:rPr>
              <w:t>~2035年</w:t>
            </w:r>
          </w:p>
        </w:tc>
        <w:tc>
          <w:tcPr>
            <w:tcW w:w="1612" w:type="pct"/>
            <w:vAlign w:val="center"/>
          </w:tcPr>
          <w:p w14:paraId="5FD09416">
            <w:pPr>
              <w:widowControl/>
              <w:spacing w:line="240" w:lineRule="auto"/>
              <w:ind w:firstLine="0" w:firstLineChars="0"/>
              <w:jc w:val="center"/>
              <w:rPr>
                <w:rFonts w:cs="Times New Roman"/>
                <w:kern w:val="0"/>
                <w:sz w:val="21"/>
                <w:szCs w:val="21"/>
              </w:rPr>
            </w:pPr>
            <w:r>
              <w:rPr>
                <w:rFonts w:hint="eastAsia" w:cs="Times New Roman"/>
                <w:kern w:val="0"/>
                <w:sz w:val="21"/>
                <w:szCs w:val="21"/>
              </w:rPr>
              <w:t>685.7</w:t>
            </w:r>
          </w:p>
        </w:tc>
        <w:tc>
          <w:tcPr>
            <w:tcW w:w="1290" w:type="pct"/>
            <w:vAlign w:val="center"/>
          </w:tcPr>
          <w:p w14:paraId="5FCE0807">
            <w:pPr>
              <w:widowControl/>
              <w:spacing w:line="240" w:lineRule="auto"/>
              <w:ind w:firstLine="0" w:firstLineChars="0"/>
              <w:jc w:val="center"/>
              <w:rPr>
                <w:rFonts w:cs="Times New Roman"/>
                <w:kern w:val="0"/>
                <w:sz w:val="21"/>
                <w:szCs w:val="21"/>
              </w:rPr>
            </w:pPr>
            <w:r>
              <w:rPr>
                <w:rFonts w:hint="eastAsia" w:cs="Times New Roman"/>
                <w:kern w:val="0"/>
                <w:sz w:val="21"/>
                <w:szCs w:val="21"/>
              </w:rPr>
              <w:t>91.4</w:t>
            </w:r>
          </w:p>
        </w:tc>
        <w:tc>
          <w:tcPr>
            <w:tcW w:w="1129" w:type="pct"/>
            <w:vAlign w:val="center"/>
          </w:tcPr>
          <w:p w14:paraId="7E16CDEE">
            <w:pPr>
              <w:widowControl/>
              <w:spacing w:line="240" w:lineRule="auto"/>
              <w:ind w:firstLine="0" w:firstLineChars="0"/>
              <w:jc w:val="center"/>
              <w:rPr>
                <w:rFonts w:cs="Times New Roman"/>
                <w:kern w:val="0"/>
                <w:sz w:val="21"/>
                <w:szCs w:val="21"/>
              </w:rPr>
            </w:pPr>
            <w:r>
              <w:rPr>
                <w:rFonts w:hint="eastAsia" w:cs="Times New Roman"/>
                <w:kern w:val="0"/>
                <w:sz w:val="21"/>
                <w:szCs w:val="21"/>
              </w:rPr>
              <w:t>10.3</w:t>
            </w:r>
          </w:p>
        </w:tc>
      </w:tr>
    </w:tbl>
    <w:p w14:paraId="7B927679">
      <w:pPr>
        <w:ind w:firstLine="480"/>
      </w:pPr>
      <w:r>
        <w:rPr>
          <w:rFonts w:hint="eastAsia"/>
        </w:rPr>
        <w:t>参考《轻型汽车污染物排放限值及测量方法（中国第六阶段）》（G</w:t>
      </w:r>
      <w:r>
        <w:t>B 18352.6-2016</w:t>
      </w:r>
      <w:r>
        <w:rPr>
          <w:rFonts w:hint="eastAsia"/>
        </w:rPr>
        <w:t>）的试验计算结果，取试验排放限值（6</w:t>
      </w:r>
      <w:r>
        <w:t>a</w:t>
      </w:r>
      <w:r>
        <w:rPr>
          <w:rFonts w:hint="eastAsia"/>
        </w:rPr>
        <w:t>阶段）作为度假区规划区内各类旅游汽车的主要污染物排放因子，如表5.2-4所示。</w:t>
      </w:r>
    </w:p>
    <w:p w14:paraId="3CD7F24C">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2</w:t>
      </w:r>
      <w:r>
        <w:rPr>
          <w:rFonts w:cs="Times New Roman"/>
        </w:rPr>
        <w:t>-</w:t>
      </w:r>
      <w:r>
        <w:rPr>
          <w:rFonts w:hint="eastAsia" w:cs="Times New Roman"/>
        </w:rPr>
        <w:t>4</w:t>
      </w:r>
      <w:r>
        <w:rPr>
          <w:rFonts w:cs="Times New Roman"/>
        </w:rPr>
        <w:t xml:space="preserve">  旅游车辆主要污染物排放因子一览表</w:t>
      </w:r>
      <w:r>
        <w:rPr>
          <w:rFonts w:hint="eastAsia" w:cs="Times New Roman"/>
        </w:rPr>
        <w:t>（m</w:t>
      </w:r>
      <w:r>
        <w:rPr>
          <w:rFonts w:cs="Times New Roman"/>
        </w:rPr>
        <w:t>g/km</w:t>
      </w:r>
      <w:r>
        <w:rPr>
          <w:rFonts w:hint="eastAsia" w:cs="Times New Roman"/>
        </w:rPr>
        <w:t>）</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8"/>
        <w:gridCol w:w="1089"/>
        <w:gridCol w:w="1089"/>
        <w:gridCol w:w="1089"/>
        <w:gridCol w:w="1089"/>
        <w:gridCol w:w="1088"/>
      </w:tblGrid>
      <w:tr w14:paraId="5D0A6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6" w:type="pct"/>
            <w:vAlign w:val="center"/>
          </w:tcPr>
          <w:p w14:paraId="43772EA4">
            <w:pPr>
              <w:widowControl/>
              <w:spacing w:line="240" w:lineRule="auto"/>
              <w:ind w:firstLine="0" w:firstLineChars="0"/>
              <w:jc w:val="center"/>
              <w:rPr>
                <w:rFonts w:cs="Times New Roman"/>
                <w:b/>
                <w:kern w:val="0"/>
                <w:sz w:val="21"/>
                <w:szCs w:val="21"/>
              </w:rPr>
            </w:pPr>
            <w:r>
              <w:rPr>
                <w:rFonts w:hint="eastAsia" w:cs="Times New Roman"/>
                <w:b/>
                <w:kern w:val="0"/>
                <w:sz w:val="21"/>
                <w:szCs w:val="21"/>
              </w:rPr>
              <w:t>车辆类别</w:t>
            </w:r>
          </w:p>
        </w:tc>
        <w:tc>
          <w:tcPr>
            <w:tcW w:w="639" w:type="pct"/>
            <w:vAlign w:val="center"/>
          </w:tcPr>
          <w:p w14:paraId="4E452C09">
            <w:pPr>
              <w:widowControl/>
              <w:spacing w:line="240" w:lineRule="auto"/>
              <w:ind w:firstLine="0" w:firstLineChars="0"/>
              <w:jc w:val="center"/>
              <w:rPr>
                <w:rFonts w:cs="Times New Roman"/>
                <w:b/>
                <w:kern w:val="0"/>
                <w:sz w:val="21"/>
                <w:szCs w:val="21"/>
              </w:rPr>
            </w:pPr>
            <w:r>
              <w:rPr>
                <w:rFonts w:hint="eastAsia" w:cs="Times New Roman"/>
                <w:b/>
                <w:kern w:val="0"/>
                <w:sz w:val="21"/>
                <w:szCs w:val="21"/>
              </w:rPr>
              <w:t>CO</w:t>
            </w:r>
          </w:p>
        </w:tc>
        <w:tc>
          <w:tcPr>
            <w:tcW w:w="639" w:type="pct"/>
            <w:vAlign w:val="center"/>
          </w:tcPr>
          <w:p w14:paraId="4EB722AB">
            <w:pPr>
              <w:widowControl/>
              <w:spacing w:line="240" w:lineRule="auto"/>
              <w:ind w:firstLine="0" w:firstLineChars="0"/>
              <w:jc w:val="center"/>
              <w:rPr>
                <w:rFonts w:cs="Times New Roman"/>
                <w:b/>
                <w:kern w:val="0"/>
                <w:sz w:val="21"/>
                <w:szCs w:val="21"/>
              </w:rPr>
            </w:pPr>
            <w:r>
              <w:rPr>
                <w:rFonts w:hint="eastAsia" w:cs="Times New Roman"/>
                <w:b/>
                <w:kern w:val="0"/>
                <w:sz w:val="21"/>
                <w:szCs w:val="21"/>
              </w:rPr>
              <w:t>NOx</w:t>
            </w:r>
          </w:p>
        </w:tc>
        <w:tc>
          <w:tcPr>
            <w:tcW w:w="639" w:type="pct"/>
            <w:vAlign w:val="center"/>
          </w:tcPr>
          <w:p w14:paraId="62B9EC4F">
            <w:pPr>
              <w:widowControl/>
              <w:spacing w:line="240" w:lineRule="auto"/>
              <w:ind w:firstLine="0" w:firstLineChars="0"/>
              <w:jc w:val="center"/>
              <w:rPr>
                <w:rFonts w:cs="Times New Roman"/>
                <w:b/>
                <w:kern w:val="0"/>
                <w:sz w:val="21"/>
                <w:szCs w:val="21"/>
              </w:rPr>
            </w:pPr>
            <w:r>
              <w:rPr>
                <w:rFonts w:hint="eastAsia" w:cs="Times New Roman"/>
                <w:b/>
                <w:kern w:val="0"/>
                <w:sz w:val="21"/>
                <w:szCs w:val="21"/>
              </w:rPr>
              <w:t>HC</w:t>
            </w:r>
          </w:p>
        </w:tc>
        <w:tc>
          <w:tcPr>
            <w:tcW w:w="639" w:type="pct"/>
            <w:vAlign w:val="center"/>
          </w:tcPr>
          <w:p w14:paraId="11AB8C03">
            <w:pPr>
              <w:widowControl/>
              <w:spacing w:line="240" w:lineRule="auto"/>
              <w:ind w:firstLine="0" w:firstLineChars="0"/>
              <w:jc w:val="center"/>
              <w:rPr>
                <w:rFonts w:cs="Times New Roman"/>
                <w:b/>
                <w:kern w:val="0"/>
                <w:sz w:val="21"/>
                <w:szCs w:val="21"/>
              </w:rPr>
            </w:pPr>
            <w:r>
              <w:rPr>
                <w:rFonts w:hint="eastAsia" w:cs="Times New Roman"/>
                <w:b/>
                <w:kern w:val="0"/>
                <w:sz w:val="21"/>
                <w:szCs w:val="21"/>
              </w:rPr>
              <w:t>PM</w:t>
            </w:r>
          </w:p>
        </w:tc>
        <w:tc>
          <w:tcPr>
            <w:tcW w:w="639" w:type="pct"/>
            <w:vAlign w:val="center"/>
          </w:tcPr>
          <w:p w14:paraId="7D27057C">
            <w:pPr>
              <w:widowControl/>
              <w:spacing w:line="240" w:lineRule="auto"/>
              <w:ind w:firstLine="0" w:firstLineChars="0"/>
              <w:jc w:val="center"/>
              <w:rPr>
                <w:rFonts w:cs="Times New Roman"/>
                <w:b/>
                <w:kern w:val="0"/>
                <w:sz w:val="21"/>
                <w:szCs w:val="21"/>
              </w:rPr>
            </w:pPr>
            <w:r>
              <w:rPr>
                <w:rFonts w:hint="eastAsia" w:cs="Times New Roman"/>
                <w:b/>
                <w:kern w:val="0"/>
                <w:sz w:val="21"/>
                <w:szCs w:val="21"/>
              </w:rPr>
              <w:t>NMHC</w:t>
            </w:r>
          </w:p>
        </w:tc>
      </w:tr>
      <w:tr w14:paraId="32655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6" w:type="pct"/>
            <w:vAlign w:val="center"/>
          </w:tcPr>
          <w:p w14:paraId="7243BF88">
            <w:pPr>
              <w:widowControl/>
              <w:spacing w:line="240" w:lineRule="auto"/>
              <w:ind w:firstLine="0" w:firstLineChars="0"/>
              <w:jc w:val="center"/>
              <w:rPr>
                <w:rFonts w:cs="Times New Roman"/>
                <w:kern w:val="0"/>
                <w:sz w:val="21"/>
                <w:szCs w:val="21"/>
              </w:rPr>
            </w:pPr>
            <w:r>
              <w:rPr>
                <w:rFonts w:hint="eastAsia" w:cs="Times New Roman"/>
                <w:kern w:val="0"/>
                <w:sz w:val="21"/>
                <w:szCs w:val="21"/>
              </w:rPr>
              <w:t>自驾车 1305~1760 kg</w:t>
            </w:r>
          </w:p>
        </w:tc>
        <w:tc>
          <w:tcPr>
            <w:tcW w:w="639" w:type="pct"/>
            <w:vAlign w:val="center"/>
          </w:tcPr>
          <w:p w14:paraId="2C17A836">
            <w:pPr>
              <w:widowControl/>
              <w:spacing w:line="240" w:lineRule="auto"/>
              <w:ind w:firstLine="0" w:firstLineChars="0"/>
              <w:jc w:val="center"/>
              <w:rPr>
                <w:rFonts w:cs="Times New Roman"/>
                <w:kern w:val="0"/>
                <w:sz w:val="21"/>
                <w:szCs w:val="21"/>
              </w:rPr>
            </w:pPr>
            <w:r>
              <w:rPr>
                <w:rFonts w:hint="eastAsia" w:cs="Times New Roman"/>
                <w:kern w:val="0"/>
                <w:sz w:val="21"/>
                <w:szCs w:val="21"/>
              </w:rPr>
              <w:t>880</w:t>
            </w:r>
          </w:p>
        </w:tc>
        <w:tc>
          <w:tcPr>
            <w:tcW w:w="639" w:type="pct"/>
            <w:vAlign w:val="center"/>
          </w:tcPr>
          <w:p w14:paraId="229CF75C">
            <w:pPr>
              <w:widowControl/>
              <w:spacing w:line="240" w:lineRule="auto"/>
              <w:ind w:firstLine="0" w:firstLineChars="0"/>
              <w:jc w:val="center"/>
              <w:rPr>
                <w:rFonts w:cs="Times New Roman"/>
                <w:kern w:val="0"/>
                <w:sz w:val="21"/>
                <w:szCs w:val="21"/>
              </w:rPr>
            </w:pPr>
            <w:r>
              <w:rPr>
                <w:rFonts w:hint="eastAsia" w:cs="Times New Roman"/>
                <w:kern w:val="0"/>
                <w:sz w:val="21"/>
                <w:szCs w:val="21"/>
              </w:rPr>
              <w:t>75</w:t>
            </w:r>
          </w:p>
        </w:tc>
        <w:tc>
          <w:tcPr>
            <w:tcW w:w="639" w:type="pct"/>
            <w:vAlign w:val="center"/>
          </w:tcPr>
          <w:p w14:paraId="7ACA52CB">
            <w:pPr>
              <w:widowControl/>
              <w:spacing w:line="240" w:lineRule="auto"/>
              <w:ind w:firstLine="0" w:firstLineChars="0"/>
              <w:jc w:val="center"/>
              <w:rPr>
                <w:rFonts w:cs="Times New Roman"/>
                <w:kern w:val="0"/>
                <w:sz w:val="21"/>
                <w:szCs w:val="21"/>
              </w:rPr>
            </w:pPr>
            <w:r>
              <w:rPr>
                <w:rFonts w:hint="eastAsia" w:cs="Times New Roman"/>
                <w:kern w:val="0"/>
                <w:sz w:val="21"/>
                <w:szCs w:val="21"/>
              </w:rPr>
              <w:t>130</w:t>
            </w:r>
          </w:p>
        </w:tc>
        <w:tc>
          <w:tcPr>
            <w:tcW w:w="639" w:type="pct"/>
            <w:vAlign w:val="center"/>
          </w:tcPr>
          <w:p w14:paraId="3ED735CD">
            <w:pPr>
              <w:widowControl/>
              <w:spacing w:line="240" w:lineRule="auto"/>
              <w:ind w:firstLine="0" w:firstLineChars="0"/>
              <w:jc w:val="center"/>
              <w:rPr>
                <w:rFonts w:cs="Times New Roman"/>
                <w:kern w:val="0"/>
                <w:sz w:val="21"/>
                <w:szCs w:val="21"/>
              </w:rPr>
            </w:pPr>
            <w:r>
              <w:rPr>
                <w:rFonts w:hint="eastAsia" w:cs="Times New Roman"/>
                <w:kern w:val="0"/>
                <w:sz w:val="21"/>
                <w:szCs w:val="21"/>
              </w:rPr>
              <w:t>4.5</w:t>
            </w:r>
          </w:p>
        </w:tc>
        <w:tc>
          <w:tcPr>
            <w:tcW w:w="639" w:type="pct"/>
            <w:vAlign w:val="center"/>
          </w:tcPr>
          <w:p w14:paraId="6137BD48">
            <w:pPr>
              <w:widowControl/>
              <w:spacing w:line="240" w:lineRule="auto"/>
              <w:ind w:firstLine="0" w:firstLineChars="0"/>
              <w:jc w:val="center"/>
              <w:rPr>
                <w:rFonts w:cs="Times New Roman"/>
                <w:kern w:val="0"/>
                <w:sz w:val="21"/>
                <w:szCs w:val="21"/>
              </w:rPr>
            </w:pPr>
            <w:r>
              <w:rPr>
                <w:rFonts w:hint="eastAsia" w:cs="Times New Roman"/>
                <w:kern w:val="0"/>
                <w:sz w:val="21"/>
                <w:szCs w:val="21"/>
              </w:rPr>
              <w:t>90</w:t>
            </w:r>
          </w:p>
        </w:tc>
      </w:tr>
      <w:tr w14:paraId="69204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6" w:type="pct"/>
            <w:vAlign w:val="center"/>
          </w:tcPr>
          <w:p w14:paraId="757DEAD4">
            <w:pPr>
              <w:widowControl/>
              <w:spacing w:line="240" w:lineRule="auto"/>
              <w:ind w:firstLine="0" w:firstLineChars="0"/>
              <w:jc w:val="center"/>
              <w:rPr>
                <w:rFonts w:cs="Times New Roman"/>
                <w:kern w:val="0"/>
                <w:sz w:val="21"/>
                <w:szCs w:val="21"/>
              </w:rPr>
            </w:pPr>
            <w:r>
              <w:rPr>
                <w:rFonts w:hint="eastAsia" w:cs="Times New Roman"/>
                <w:kern w:val="0"/>
                <w:sz w:val="21"/>
                <w:szCs w:val="21"/>
              </w:rPr>
              <w:t>公共交通客车，＞1760 kg</w:t>
            </w:r>
          </w:p>
        </w:tc>
        <w:tc>
          <w:tcPr>
            <w:tcW w:w="639" w:type="pct"/>
            <w:vAlign w:val="center"/>
          </w:tcPr>
          <w:p w14:paraId="7AA6C08C">
            <w:pPr>
              <w:widowControl/>
              <w:spacing w:line="240" w:lineRule="auto"/>
              <w:ind w:firstLine="0" w:firstLineChars="0"/>
              <w:jc w:val="center"/>
              <w:rPr>
                <w:rFonts w:cs="Times New Roman"/>
                <w:kern w:val="0"/>
                <w:sz w:val="21"/>
                <w:szCs w:val="21"/>
              </w:rPr>
            </w:pPr>
            <w:r>
              <w:rPr>
                <w:rFonts w:hint="eastAsia" w:cs="Times New Roman"/>
                <w:kern w:val="0"/>
                <w:sz w:val="21"/>
                <w:szCs w:val="21"/>
              </w:rPr>
              <w:t>1000</w:t>
            </w:r>
          </w:p>
        </w:tc>
        <w:tc>
          <w:tcPr>
            <w:tcW w:w="639" w:type="pct"/>
            <w:vAlign w:val="center"/>
          </w:tcPr>
          <w:p w14:paraId="6A35ACAC">
            <w:pPr>
              <w:widowControl/>
              <w:spacing w:line="240" w:lineRule="auto"/>
              <w:ind w:firstLine="0" w:firstLineChars="0"/>
              <w:jc w:val="center"/>
              <w:rPr>
                <w:rFonts w:cs="Times New Roman"/>
                <w:kern w:val="0"/>
                <w:sz w:val="21"/>
                <w:szCs w:val="21"/>
              </w:rPr>
            </w:pPr>
            <w:r>
              <w:rPr>
                <w:rFonts w:hint="eastAsia" w:cs="Times New Roman"/>
                <w:kern w:val="0"/>
                <w:sz w:val="21"/>
                <w:szCs w:val="21"/>
              </w:rPr>
              <w:t>82</w:t>
            </w:r>
          </w:p>
        </w:tc>
        <w:tc>
          <w:tcPr>
            <w:tcW w:w="639" w:type="pct"/>
            <w:vAlign w:val="center"/>
          </w:tcPr>
          <w:p w14:paraId="282E3F64">
            <w:pPr>
              <w:widowControl/>
              <w:spacing w:line="240" w:lineRule="auto"/>
              <w:ind w:firstLine="0" w:firstLineChars="0"/>
              <w:jc w:val="center"/>
              <w:rPr>
                <w:rFonts w:cs="Times New Roman"/>
                <w:kern w:val="0"/>
                <w:sz w:val="21"/>
                <w:szCs w:val="21"/>
              </w:rPr>
            </w:pPr>
            <w:r>
              <w:rPr>
                <w:rFonts w:hint="eastAsia" w:cs="Times New Roman"/>
                <w:kern w:val="0"/>
                <w:sz w:val="21"/>
                <w:szCs w:val="21"/>
              </w:rPr>
              <w:t>160</w:t>
            </w:r>
          </w:p>
        </w:tc>
        <w:tc>
          <w:tcPr>
            <w:tcW w:w="639" w:type="pct"/>
            <w:vAlign w:val="center"/>
          </w:tcPr>
          <w:p w14:paraId="1142B14E">
            <w:pPr>
              <w:widowControl/>
              <w:spacing w:line="240" w:lineRule="auto"/>
              <w:ind w:firstLine="0" w:firstLineChars="0"/>
              <w:jc w:val="center"/>
              <w:rPr>
                <w:rFonts w:cs="Times New Roman"/>
                <w:kern w:val="0"/>
                <w:sz w:val="21"/>
                <w:szCs w:val="21"/>
              </w:rPr>
            </w:pPr>
            <w:r>
              <w:rPr>
                <w:rFonts w:hint="eastAsia" w:cs="Times New Roman"/>
                <w:kern w:val="0"/>
                <w:sz w:val="21"/>
                <w:szCs w:val="21"/>
              </w:rPr>
              <w:t>4.5</w:t>
            </w:r>
          </w:p>
        </w:tc>
        <w:tc>
          <w:tcPr>
            <w:tcW w:w="639" w:type="pct"/>
            <w:vAlign w:val="center"/>
          </w:tcPr>
          <w:p w14:paraId="4698A5DF">
            <w:pPr>
              <w:widowControl/>
              <w:spacing w:line="240" w:lineRule="auto"/>
              <w:ind w:firstLine="0" w:firstLineChars="0"/>
              <w:jc w:val="center"/>
              <w:rPr>
                <w:rFonts w:cs="Times New Roman"/>
                <w:kern w:val="0"/>
                <w:sz w:val="21"/>
                <w:szCs w:val="21"/>
              </w:rPr>
            </w:pPr>
            <w:r>
              <w:rPr>
                <w:rFonts w:hint="eastAsia" w:cs="Times New Roman"/>
                <w:kern w:val="0"/>
                <w:sz w:val="21"/>
                <w:szCs w:val="21"/>
              </w:rPr>
              <w:t>108</w:t>
            </w:r>
          </w:p>
        </w:tc>
      </w:tr>
    </w:tbl>
    <w:p w14:paraId="15488C27">
      <w:pPr>
        <w:ind w:firstLine="480"/>
      </w:pPr>
      <w:r>
        <w:rPr>
          <w:rFonts w:hint="eastAsia"/>
        </w:rPr>
        <w:t>各类旅游车辆进出度假区按一次计，则旅游车辆在度假区内平均行驶距离取50公里，规划末期机动车主要污染物年排放量如表5</w:t>
      </w:r>
      <w:r>
        <w:t>.</w:t>
      </w:r>
      <w:r>
        <w:rPr>
          <w:rFonts w:hint="eastAsia"/>
        </w:rPr>
        <w:t>2</w:t>
      </w:r>
      <w:r>
        <w:t>-</w:t>
      </w:r>
      <w:r>
        <w:rPr>
          <w:rFonts w:hint="eastAsia"/>
        </w:rPr>
        <w:t>5所示。</w:t>
      </w:r>
    </w:p>
    <w:p w14:paraId="1B357210">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2</w:t>
      </w:r>
      <w:r>
        <w:rPr>
          <w:rFonts w:cs="Times New Roman"/>
        </w:rPr>
        <w:t>-</w:t>
      </w:r>
      <w:r>
        <w:rPr>
          <w:rFonts w:hint="eastAsia" w:cs="Times New Roman"/>
        </w:rPr>
        <w:t>5</w:t>
      </w:r>
      <w:r>
        <w:rPr>
          <w:rFonts w:cs="Times New Roman"/>
        </w:rPr>
        <w:t xml:space="preserve">  旅游车辆尾气主要污染物年排放量估算表</w:t>
      </w:r>
      <w:r>
        <w:rPr>
          <w:rFonts w:hint="eastAsia" w:cs="Times New Roman"/>
        </w:rPr>
        <w:t>（</w:t>
      </w:r>
      <w:r>
        <w:rPr>
          <w:rFonts w:cs="Times New Roman"/>
        </w:rPr>
        <w:t>t/</w:t>
      </w:r>
      <w:r>
        <w:rPr>
          <w:rFonts w:hint="eastAsia" w:cs="Times New Roman"/>
        </w:rPr>
        <w:t>a）</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1531"/>
        <w:gridCol w:w="1248"/>
        <w:gridCol w:w="1132"/>
        <w:gridCol w:w="1057"/>
        <w:gridCol w:w="1324"/>
        <w:gridCol w:w="1070"/>
      </w:tblGrid>
      <w:tr w14:paraId="11507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78" w:type="pct"/>
            <w:gridSpan w:val="2"/>
            <w:vAlign w:val="center"/>
          </w:tcPr>
          <w:p w14:paraId="6C6584A2">
            <w:pPr>
              <w:widowControl/>
              <w:spacing w:line="240" w:lineRule="auto"/>
              <w:ind w:firstLine="0" w:firstLineChars="0"/>
              <w:jc w:val="center"/>
              <w:rPr>
                <w:rFonts w:cs="Times New Roman"/>
                <w:b/>
                <w:kern w:val="0"/>
                <w:sz w:val="21"/>
                <w:szCs w:val="21"/>
              </w:rPr>
            </w:pPr>
            <w:r>
              <w:rPr>
                <w:rFonts w:hint="eastAsia" w:cs="Times New Roman"/>
                <w:b/>
                <w:kern w:val="0"/>
                <w:sz w:val="21"/>
                <w:szCs w:val="21"/>
              </w:rPr>
              <w:t>规划目标年</w:t>
            </w:r>
          </w:p>
        </w:tc>
        <w:tc>
          <w:tcPr>
            <w:tcW w:w="732" w:type="pct"/>
            <w:vAlign w:val="center"/>
          </w:tcPr>
          <w:p w14:paraId="0D9E3D3B">
            <w:pPr>
              <w:widowControl/>
              <w:spacing w:line="240" w:lineRule="auto"/>
              <w:ind w:firstLine="0" w:firstLineChars="0"/>
              <w:jc w:val="center"/>
              <w:rPr>
                <w:rFonts w:cs="Times New Roman"/>
                <w:b/>
                <w:kern w:val="0"/>
                <w:sz w:val="21"/>
                <w:szCs w:val="21"/>
              </w:rPr>
            </w:pPr>
            <w:r>
              <w:rPr>
                <w:rFonts w:hint="eastAsia" w:cs="Times New Roman"/>
                <w:b/>
                <w:kern w:val="0"/>
                <w:sz w:val="21"/>
                <w:szCs w:val="21"/>
              </w:rPr>
              <w:t>CO</w:t>
            </w:r>
          </w:p>
        </w:tc>
        <w:tc>
          <w:tcPr>
            <w:tcW w:w="664" w:type="pct"/>
            <w:vAlign w:val="center"/>
          </w:tcPr>
          <w:p w14:paraId="0A9FB603">
            <w:pPr>
              <w:widowControl/>
              <w:spacing w:line="240" w:lineRule="auto"/>
              <w:ind w:firstLine="0" w:firstLineChars="0"/>
              <w:jc w:val="center"/>
              <w:rPr>
                <w:rFonts w:cs="Times New Roman"/>
                <w:b/>
                <w:kern w:val="0"/>
                <w:sz w:val="21"/>
                <w:szCs w:val="21"/>
              </w:rPr>
            </w:pPr>
            <w:r>
              <w:rPr>
                <w:rFonts w:hint="eastAsia" w:cs="Times New Roman"/>
                <w:b/>
                <w:kern w:val="0"/>
                <w:sz w:val="21"/>
                <w:szCs w:val="21"/>
              </w:rPr>
              <w:t>NOx</w:t>
            </w:r>
          </w:p>
        </w:tc>
        <w:tc>
          <w:tcPr>
            <w:tcW w:w="620" w:type="pct"/>
            <w:vAlign w:val="center"/>
          </w:tcPr>
          <w:p w14:paraId="2C163FB2">
            <w:pPr>
              <w:widowControl/>
              <w:spacing w:line="240" w:lineRule="auto"/>
              <w:ind w:firstLine="0" w:firstLineChars="0"/>
              <w:jc w:val="center"/>
              <w:rPr>
                <w:rFonts w:cs="Times New Roman"/>
                <w:b/>
                <w:kern w:val="0"/>
                <w:sz w:val="21"/>
                <w:szCs w:val="21"/>
              </w:rPr>
            </w:pPr>
            <w:r>
              <w:rPr>
                <w:rFonts w:hint="eastAsia" w:cs="Times New Roman"/>
                <w:b/>
                <w:kern w:val="0"/>
                <w:sz w:val="21"/>
                <w:szCs w:val="21"/>
              </w:rPr>
              <w:t>HC</w:t>
            </w:r>
          </w:p>
        </w:tc>
        <w:tc>
          <w:tcPr>
            <w:tcW w:w="776" w:type="pct"/>
            <w:vAlign w:val="center"/>
          </w:tcPr>
          <w:p w14:paraId="6C9668C0">
            <w:pPr>
              <w:widowControl/>
              <w:spacing w:line="240" w:lineRule="auto"/>
              <w:ind w:firstLine="0" w:firstLineChars="0"/>
              <w:jc w:val="center"/>
              <w:rPr>
                <w:rFonts w:cs="Times New Roman"/>
                <w:b/>
                <w:kern w:val="0"/>
                <w:sz w:val="21"/>
                <w:szCs w:val="21"/>
              </w:rPr>
            </w:pPr>
            <w:r>
              <w:rPr>
                <w:rFonts w:hint="eastAsia" w:cs="Times New Roman"/>
                <w:b/>
                <w:kern w:val="0"/>
                <w:sz w:val="21"/>
                <w:szCs w:val="21"/>
              </w:rPr>
              <w:t>PM</w:t>
            </w:r>
          </w:p>
        </w:tc>
        <w:tc>
          <w:tcPr>
            <w:tcW w:w="627" w:type="pct"/>
            <w:vAlign w:val="center"/>
          </w:tcPr>
          <w:p w14:paraId="613D8CD4">
            <w:pPr>
              <w:widowControl/>
              <w:spacing w:line="240" w:lineRule="auto"/>
              <w:ind w:firstLine="0" w:firstLineChars="0"/>
              <w:jc w:val="center"/>
              <w:rPr>
                <w:rFonts w:cs="Times New Roman"/>
                <w:b/>
                <w:kern w:val="0"/>
                <w:sz w:val="21"/>
                <w:szCs w:val="21"/>
              </w:rPr>
            </w:pPr>
            <w:r>
              <w:rPr>
                <w:rFonts w:hint="eastAsia" w:cs="Times New Roman"/>
                <w:b/>
                <w:kern w:val="0"/>
                <w:sz w:val="21"/>
                <w:szCs w:val="21"/>
              </w:rPr>
              <w:t>NMHC</w:t>
            </w:r>
          </w:p>
        </w:tc>
      </w:tr>
      <w:tr w14:paraId="035CD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restart"/>
            <w:vAlign w:val="center"/>
          </w:tcPr>
          <w:p w14:paraId="57E1F117">
            <w:pPr>
              <w:widowControl/>
              <w:spacing w:line="240" w:lineRule="auto"/>
              <w:ind w:firstLine="0" w:firstLineChars="0"/>
              <w:jc w:val="center"/>
              <w:rPr>
                <w:rFonts w:cs="Times New Roman"/>
                <w:kern w:val="0"/>
                <w:sz w:val="21"/>
                <w:szCs w:val="21"/>
              </w:rPr>
            </w:pPr>
            <w:r>
              <w:rPr>
                <w:rFonts w:hint="eastAsia" w:cs="Times New Roman"/>
                <w:kern w:val="0"/>
                <w:sz w:val="21"/>
                <w:szCs w:val="21"/>
              </w:rPr>
              <w:t>规划近期</w:t>
            </w:r>
          </w:p>
        </w:tc>
        <w:tc>
          <w:tcPr>
            <w:tcW w:w="1531" w:type="dxa"/>
            <w:vAlign w:val="center"/>
          </w:tcPr>
          <w:p w14:paraId="11EAEE54">
            <w:pPr>
              <w:widowControl/>
              <w:spacing w:line="240" w:lineRule="auto"/>
              <w:ind w:firstLine="0" w:firstLineChars="0"/>
              <w:jc w:val="center"/>
              <w:rPr>
                <w:rFonts w:cs="Times New Roman"/>
                <w:kern w:val="0"/>
                <w:sz w:val="21"/>
                <w:szCs w:val="21"/>
              </w:rPr>
            </w:pPr>
            <w:r>
              <w:rPr>
                <w:rFonts w:hint="eastAsia" w:cs="Times New Roman"/>
                <w:kern w:val="0"/>
                <w:sz w:val="21"/>
                <w:szCs w:val="21"/>
              </w:rPr>
              <w:t>自驾车</w:t>
            </w:r>
          </w:p>
        </w:tc>
        <w:tc>
          <w:tcPr>
            <w:tcW w:w="1248" w:type="dxa"/>
            <w:vAlign w:val="center"/>
          </w:tcPr>
          <w:p w14:paraId="7CC5C05D">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32.77</w:t>
            </w:r>
          </w:p>
        </w:tc>
        <w:tc>
          <w:tcPr>
            <w:tcW w:w="1132" w:type="dxa"/>
            <w:vAlign w:val="center"/>
          </w:tcPr>
          <w:p w14:paraId="4971A44C">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2.79</w:t>
            </w:r>
          </w:p>
        </w:tc>
        <w:tc>
          <w:tcPr>
            <w:tcW w:w="1057" w:type="dxa"/>
            <w:vAlign w:val="center"/>
          </w:tcPr>
          <w:p w14:paraId="27B8E2D5">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4.84</w:t>
            </w:r>
          </w:p>
        </w:tc>
        <w:tc>
          <w:tcPr>
            <w:tcW w:w="1324" w:type="dxa"/>
            <w:vAlign w:val="center"/>
          </w:tcPr>
          <w:p w14:paraId="7AE2DC71">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0.17</w:t>
            </w:r>
          </w:p>
        </w:tc>
        <w:tc>
          <w:tcPr>
            <w:tcW w:w="1070" w:type="dxa"/>
            <w:vAlign w:val="center"/>
          </w:tcPr>
          <w:p w14:paraId="6C2FDDCC">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3.35</w:t>
            </w:r>
          </w:p>
        </w:tc>
      </w:tr>
      <w:tr w14:paraId="6E776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vAlign w:val="center"/>
          </w:tcPr>
          <w:p w14:paraId="1C22A024">
            <w:pPr>
              <w:widowControl/>
              <w:spacing w:line="240" w:lineRule="auto"/>
              <w:ind w:firstLine="0" w:firstLineChars="0"/>
              <w:jc w:val="center"/>
              <w:rPr>
                <w:rFonts w:cs="Times New Roman"/>
                <w:kern w:val="0"/>
                <w:sz w:val="21"/>
                <w:szCs w:val="21"/>
              </w:rPr>
            </w:pPr>
          </w:p>
        </w:tc>
        <w:tc>
          <w:tcPr>
            <w:tcW w:w="1531" w:type="dxa"/>
            <w:vAlign w:val="center"/>
          </w:tcPr>
          <w:p w14:paraId="77663C86">
            <w:pPr>
              <w:widowControl/>
              <w:spacing w:line="240" w:lineRule="auto"/>
              <w:ind w:firstLine="0" w:firstLineChars="0"/>
              <w:jc w:val="center"/>
              <w:rPr>
                <w:rFonts w:cs="Times New Roman"/>
                <w:kern w:val="0"/>
                <w:sz w:val="21"/>
                <w:szCs w:val="21"/>
              </w:rPr>
            </w:pPr>
            <w:r>
              <w:rPr>
                <w:rFonts w:hint="eastAsia" w:cs="Times New Roman"/>
                <w:kern w:val="0"/>
                <w:sz w:val="21"/>
                <w:szCs w:val="21"/>
              </w:rPr>
              <w:t>公共交通客车</w:t>
            </w:r>
          </w:p>
        </w:tc>
        <w:tc>
          <w:tcPr>
            <w:tcW w:w="1248" w:type="dxa"/>
            <w:vAlign w:val="center"/>
          </w:tcPr>
          <w:p w14:paraId="282CCA68">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4.19</w:t>
            </w:r>
          </w:p>
        </w:tc>
        <w:tc>
          <w:tcPr>
            <w:tcW w:w="1132" w:type="dxa"/>
            <w:vAlign w:val="center"/>
          </w:tcPr>
          <w:p w14:paraId="595DB6A5">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0.34</w:t>
            </w:r>
          </w:p>
        </w:tc>
        <w:tc>
          <w:tcPr>
            <w:tcW w:w="1057" w:type="dxa"/>
            <w:vAlign w:val="center"/>
          </w:tcPr>
          <w:p w14:paraId="7B34C0FD">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0.67</w:t>
            </w:r>
          </w:p>
        </w:tc>
        <w:tc>
          <w:tcPr>
            <w:tcW w:w="1324" w:type="dxa"/>
            <w:vAlign w:val="center"/>
          </w:tcPr>
          <w:p w14:paraId="31DC9D13">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0.02</w:t>
            </w:r>
          </w:p>
        </w:tc>
        <w:tc>
          <w:tcPr>
            <w:tcW w:w="1070" w:type="dxa"/>
            <w:vAlign w:val="center"/>
          </w:tcPr>
          <w:p w14:paraId="7782C2C8">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0.45</w:t>
            </w:r>
          </w:p>
        </w:tc>
      </w:tr>
      <w:tr w14:paraId="4446E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vAlign w:val="center"/>
          </w:tcPr>
          <w:p w14:paraId="76B21CC6">
            <w:pPr>
              <w:widowControl/>
              <w:spacing w:line="240" w:lineRule="auto"/>
              <w:ind w:firstLine="0" w:firstLineChars="0"/>
              <w:jc w:val="center"/>
              <w:rPr>
                <w:rFonts w:cs="Times New Roman"/>
                <w:kern w:val="0"/>
                <w:sz w:val="21"/>
                <w:szCs w:val="21"/>
              </w:rPr>
            </w:pPr>
          </w:p>
        </w:tc>
        <w:tc>
          <w:tcPr>
            <w:tcW w:w="1531" w:type="dxa"/>
            <w:vAlign w:val="center"/>
          </w:tcPr>
          <w:p w14:paraId="2A06C973">
            <w:pPr>
              <w:widowControl/>
              <w:spacing w:line="240" w:lineRule="auto"/>
              <w:ind w:firstLine="0" w:firstLineChars="0"/>
              <w:jc w:val="center"/>
              <w:rPr>
                <w:rFonts w:cs="Times New Roman"/>
                <w:kern w:val="0"/>
                <w:sz w:val="21"/>
                <w:szCs w:val="21"/>
              </w:rPr>
            </w:pPr>
            <w:r>
              <w:rPr>
                <w:rFonts w:hint="eastAsia" w:cs="Times New Roman"/>
                <w:b/>
                <w:kern w:val="0"/>
                <w:sz w:val="21"/>
                <w:szCs w:val="21"/>
              </w:rPr>
              <w:t>合计</w:t>
            </w:r>
          </w:p>
        </w:tc>
        <w:tc>
          <w:tcPr>
            <w:tcW w:w="1248" w:type="dxa"/>
            <w:vAlign w:val="center"/>
          </w:tcPr>
          <w:p w14:paraId="616AFB72">
            <w:pPr>
              <w:widowControl/>
              <w:spacing w:line="240" w:lineRule="auto"/>
              <w:ind w:firstLine="0" w:firstLineChars="0"/>
              <w:jc w:val="center"/>
              <w:textAlignment w:val="center"/>
              <w:rPr>
                <w:rFonts w:cs="Times New Roman"/>
                <w:b/>
                <w:bCs/>
                <w:kern w:val="0"/>
                <w:sz w:val="21"/>
                <w:szCs w:val="21"/>
              </w:rPr>
            </w:pPr>
            <w:r>
              <w:rPr>
                <w:rFonts w:eastAsia="宋体" w:cs="Times New Roman"/>
                <w:b/>
                <w:bCs/>
                <w:color w:val="000000"/>
                <w:kern w:val="0"/>
                <w:sz w:val="21"/>
                <w:szCs w:val="21"/>
                <w:lang w:bidi="ar"/>
              </w:rPr>
              <w:t>36.96</w:t>
            </w:r>
          </w:p>
        </w:tc>
        <w:tc>
          <w:tcPr>
            <w:tcW w:w="1132" w:type="dxa"/>
            <w:vAlign w:val="center"/>
          </w:tcPr>
          <w:p w14:paraId="603D26DE">
            <w:pPr>
              <w:widowControl/>
              <w:spacing w:line="240" w:lineRule="auto"/>
              <w:ind w:firstLine="0" w:firstLineChars="0"/>
              <w:jc w:val="center"/>
              <w:textAlignment w:val="center"/>
              <w:rPr>
                <w:rFonts w:cs="Times New Roman"/>
                <w:b/>
                <w:bCs/>
                <w:kern w:val="0"/>
                <w:sz w:val="21"/>
                <w:szCs w:val="21"/>
              </w:rPr>
            </w:pPr>
            <w:r>
              <w:rPr>
                <w:rFonts w:eastAsia="宋体" w:cs="Times New Roman"/>
                <w:b/>
                <w:bCs/>
                <w:color w:val="000000"/>
                <w:kern w:val="0"/>
                <w:sz w:val="21"/>
                <w:szCs w:val="21"/>
                <w:lang w:bidi="ar"/>
              </w:rPr>
              <w:t>3.14</w:t>
            </w:r>
          </w:p>
        </w:tc>
        <w:tc>
          <w:tcPr>
            <w:tcW w:w="1057" w:type="dxa"/>
            <w:vAlign w:val="center"/>
          </w:tcPr>
          <w:p w14:paraId="2509066A">
            <w:pPr>
              <w:widowControl/>
              <w:spacing w:line="240" w:lineRule="auto"/>
              <w:ind w:firstLine="0" w:firstLineChars="0"/>
              <w:jc w:val="center"/>
              <w:textAlignment w:val="center"/>
              <w:rPr>
                <w:rFonts w:cs="Times New Roman"/>
                <w:b/>
                <w:bCs/>
                <w:kern w:val="0"/>
                <w:sz w:val="21"/>
                <w:szCs w:val="21"/>
              </w:rPr>
            </w:pPr>
            <w:r>
              <w:rPr>
                <w:rFonts w:eastAsia="宋体" w:cs="Times New Roman"/>
                <w:b/>
                <w:bCs/>
                <w:color w:val="000000"/>
                <w:kern w:val="0"/>
                <w:sz w:val="21"/>
                <w:szCs w:val="21"/>
                <w:lang w:bidi="ar"/>
              </w:rPr>
              <w:t>5.51</w:t>
            </w:r>
          </w:p>
        </w:tc>
        <w:tc>
          <w:tcPr>
            <w:tcW w:w="1324" w:type="dxa"/>
            <w:vAlign w:val="center"/>
          </w:tcPr>
          <w:p w14:paraId="6647DC55">
            <w:pPr>
              <w:widowControl/>
              <w:spacing w:line="240" w:lineRule="auto"/>
              <w:ind w:firstLine="0" w:firstLineChars="0"/>
              <w:jc w:val="center"/>
              <w:textAlignment w:val="center"/>
              <w:rPr>
                <w:rFonts w:cs="Times New Roman"/>
                <w:b/>
                <w:bCs/>
                <w:kern w:val="0"/>
                <w:sz w:val="21"/>
                <w:szCs w:val="21"/>
              </w:rPr>
            </w:pPr>
            <w:r>
              <w:rPr>
                <w:rFonts w:eastAsia="宋体" w:cs="Times New Roman"/>
                <w:b/>
                <w:bCs/>
                <w:color w:val="000000"/>
                <w:kern w:val="0"/>
                <w:sz w:val="21"/>
                <w:szCs w:val="21"/>
                <w:lang w:bidi="ar"/>
              </w:rPr>
              <w:t>0.19</w:t>
            </w:r>
          </w:p>
        </w:tc>
        <w:tc>
          <w:tcPr>
            <w:tcW w:w="1070" w:type="dxa"/>
            <w:vAlign w:val="center"/>
          </w:tcPr>
          <w:p w14:paraId="6DDCA22F">
            <w:pPr>
              <w:widowControl/>
              <w:spacing w:line="240" w:lineRule="auto"/>
              <w:ind w:firstLine="0" w:firstLineChars="0"/>
              <w:jc w:val="center"/>
              <w:textAlignment w:val="center"/>
              <w:rPr>
                <w:rFonts w:cs="Times New Roman"/>
                <w:b/>
                <w:bCs/>
                <w:kern w:val="0"/>
                <w:sz w:val="21"/>
                <w:szCs w:val="21"/>
              </w:rPr>
            </w:pPr>
            <w:r>
              <w:rPr>
                <w:rFonts w:eastAsia="宋体" w:cs="Times New Roman"/>
                <w:b/>
                <w:bCs/>
                <w:color w:val="000000"/>
                <w:kern w:val="0"/>
                <w:sz w:val="21"/>
                <w:szCs w:val="21"/>
                <w:lang w:bidi="ar"/>
              </w:rPr>
              <w:t>3.80</w:t>
            </w:r>
          </w:p>
        </w:tc>
      </w:tr>
      <w:tr w14:paraId="5BD6B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restart"/>
            <w:vAlign w:val="center"/>
          </w:tcPr>
          <w:p w14:paraId="6F46C192">
            <w:pPr>
              <w:widowControl/>
              <w:spacing w:line="240" w:lineRule="auto"/>
              <w:ind w:firstLine="0" w:firstLineChars="0"/>
              <w:jc w:val="center"/>
              <w:rPr>
                <w:rFonts w:cs="Times New Roman"/>
                <w:kern w:val="0"/>
                <w:sz w:val="21"/>
                <w:szCs w:val="21"/>
              </w:rPr>
            </w:pPr>
            <w:r>
              <w:rPr>
                <w:rFonts w:hint="eastAsia" w:cs="Times New Roman"/>
                <w:kern w:val="0"/>
                <w:sz w:val="21"/>
                <w:szCs w:val="21"/>
              </w:rPr>
              <w:t>规划远期</w:t>
            </w:r>
          </w:p>
        </w:tc>
        <w:tc>
          <w:tcPr>
            <w:tcW w:w="898" w:type="pct"/>
            <w:vAlign w:val="center"/>
          </w:tcPr>
          <w:p w14:paraId="087CDE1A">
            <w:pPr>
              <w:widowControl/>
              <w:spacing w:line="240" w:lineRule="auto"/>
              <w:ind w:firstLine="0" w:firstLineChars="0"/>
              <w:jc w:val="center"/>
              <w:rPr>
                <w:rFonts w:cs="Times New Roman"/>
                <w:kern w:val="0"/>
                <w:sz w:val="21"/>
                <w:szCs w:val="21"/>
              </w:rPr>
            </w:pPr>
            <w:r>
              <w:rPr>
                <w:rFonts w:hint="eastAsia" w:cs="Times New Roman"/>
                <w:kern w:val="0"/>
                <w:sz w:val="21"/>
                <w:szCs w:val="21"/>
              </w:rPr>
              <w:t>自驾车</w:t>
            </w:r>
          </w:p>
        </w:tc>
        <w:tc>
          <w:tcPr>
            <w:tcW w:w="1248" w:type="dxa"/>
            <w:vAlign w:val="center"/>
          </w:tcPr>
          <w:p w14:paraId="396139D4">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 xml:space="preserve">40.23 </w:t>
            </w:r>
          </w:p>
        </w:tc>
        <w:tc>
          <w:tcPr>
            <w:tcW w:w="1132" w:type="dxa"/>
            <w:vAlign w:val="center"/>
          </w:tcPr>
          <w:p w14:paraId="61F43E33">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 xml:space="preserve">3.43 </w:t>
            </w:r>
          </w:p>
        </w:tc>
        <w:tc>
          <w:tcPr>
            <w:tcW w:w="1057" w:type="dxa"/>
            <w:vAlign w:val="center"/>
          </w:tcPr>
          <w:p w14:paraId="72030F9A">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 xml:space="preserve">5.94 </w:t>
            </w:r>
          </w:p>
        </w:tc>
        <w:tc>
          <w:tcPr>
            <w:tcW w:w="1324" w:type="dxa"/>
            <w:vAlign w:val="center"/>
          </w:tcPr>
          <w:p w14:paraId="7A7A886B">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 xml:space="preserve">0.21 </w:t>
            </w:r>
          </w:p>
        </w:tc>
        <w:tc>
          <w:tcPr>
            <w:tcW w:w="1070" w:type="dxa"/>
            <w:vAlign w:val="center"/>
          </w:tcPr>
          <w:p w14:paraId="49D06C47">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 xml:space="preserve">4.11 </w:t>
            </w:r>
          </w:p>
        </w:tc>
      </w:tr>
      <w:tr w14:paraId="02839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vAlign w:val="center"/>
          </w:tcPr>
          <w:p w14:paraId="588DC2A9">
            <w:pPr>
              <w:widowControl/>
              <w:spacing w:line="240" w:lineRule="auto"/>
              <w:ind w:firstLine="0" w:firstLineChars="0"/>
              <w:jc w:val="center"/>
              <w:rPr>
                <w:rFonts w:cs="Times New Roman"/>
                <w:kern w:val="0"/>
                <w:sz w:val="21"/>
                <w:szCs w:val="21"/>
              </w:rPr>
            </w:pPr>
          </w:p>
        </w:tc>
        <w:tc>
          <w:tcPr>
            <w:tcW w:w="898" w:type="pct"/>
            <w:vAlign w:val="center"/>
          </w:tcPr>
          <w:p w14:paraId="5171A5E2">
            <w:pPr>
              <w:widowControl/>
              <w:spacing w:line="240" w:lineRule="auto"/>
              <w:ind w:firstLine="0" w:firstLineChars="0"/>
              <w:jc w:val="center"/>
              <w:rPr>
                <w:rFonts w:cs="Times New Roman"/>
                <w:kern w:val="0"/>
                <w:sz w:val="21"/>
                <w:szCs w:val="21"/>
              </w:rPr>
            </w:pPr>
            <w:r>
              <w:rPr>
                <w:rFonts w:hint="eastAsia" w:cs="Times New Roman"/>
                <w:kern w:val="0"/>
                <w:sz w:val="21"/>
                <w:szCs w:val="21"/>
              </w:rPr>
              <w:t>公共交通客车</w:t>
            </w:r>
          </w:p>
        </w:tc>
        <w:tc>
          <w:tcPr>
            <w:tcW w:w="1248" w:type="dxa"/>
            <w:vAlign w:val="center"/>
          </w:tcPr>
          <w:p w14:paraId="0FF5BCCD">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 xml:space="preserve">5.14 </w:t>
            </w:r>
          </w:p>
        </w:tc>
        <w:tc>
          <w:tcPr>
            <w:tcW w:w="1132" w:type="dxa"/>
            <w:vAlign w:val="center"/>
          </w:tcPr>
          <w:p w14:paraId="6158B4F3">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 xml:space="preserve">0.42 </w:t>
            </w:r>
          </w:p>
        </w:tc>
        <w:tc>
          <w:tcPr>
            <w:tcW w:w="1057" w:type="dxa"/>
            <w:vAlign w:val="center"/>
          </w:tcPr>
          <w:p w14:paraId="2322BC20">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 xml:space="preserve">0.82 </w:t>
            </w:r>
          </w:p>
        </w:tc>
        <w:tc>
          <w:tcPr>
            <w:tcW w:w="1324" w:type="dxa"/>
            <w:vAlign w:val="center"/>
          </w:tcPr>
          <w:p w14:paraId="0697D60B">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 xml:space="preserve">0.02 </w:t>
            </w:r>
          </w:p>
        </w:tc>
        <w:tc>
          <w:tcPr>
            <w:tcW w:w="1070" w:type="dxa"/>
            <w:vAlign w:val="center"/>
          </w:tcPr>
          <w:p w14:paraId="09FB233D">
            <w:pPr>
              <w:widowControl/>
              <w:spacing w:line="240" w:lineRule="auto"/>
              <w:ind w:firstLine="0" w:firstLineChars="0"/>
              <w:jc w:val="center"/>
              <w:textAlignment w:val="center"/>
              <w:rPr>
                <w:rFonts w:cs="Times New Roman"/>
                <w:kern w:val="0"/>
                <w:sz w:val="21"/>
                <w:szCs w:val="21"/>
              </w:rPr>
            </w:pPr>
            <w:r>
              <w:rPr>
                <w:rFonts w:eastAsia="宋体" w:cs="Times New Roman"/>
                <w:color w:val="000000"/>
                <w:kern w:val="0"/>
                <w:sz w:val="21"/>
                <w:szCs w:val="21"/>
                <w:lang w:bidi="ar"/>
              </w:rPr>
              <w:t xml:space="preserve">0.56 </w:t>
            </w:r>
          </w:p>
        </w:tc>
      </w:tr>
      <w:tr w14:paraId="020A5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vMerge w:val="continue"/>
            <w:vAlign w:val="center"/>
          </w:tcPr>
          <w:p w14:paraId="0DC440B7">
            <w:pPr>
              <w:widowControl/>
              <w:spacing w:line="240" w:lineRule="auto"/>
              <w:ind w:firstLine="0" w:firstLineChars="0"/>
              <w:jc w:val="center"/>
              <w:rPr>
                <w:rFonts w:cs="Times New Roman"/>
                <w:kern w:val="0"/>
                <w:sz w:val="21"/>
                <w:szCs w:val="21"/>
              </w:rPr>
            </w:pPr>
          </w:p>
        </w:tc>
        <w:tc>
          <w:tcPr>
            <w:tcW w:w="898" w:type="pct"/>
            <w:vAlign w:val="center"/>
          </w:tcPr>
          <w:p w14:paraId="3CF368CD">
            <w:pPr>
              <w:widowControl/>
              <w:spacing w:line="240" w:lineRule="auto"/>
              <w:ind w:firstLine="0" w:firstLineChars="0"/>
              <w:jc w:val="center"/>
              <w:rPr>
                <w:rFonts w:cs="Times New Roman"/>
                <w:b/>
                <w:kern w:val="0"/>
                <w:sz w:val="21"/>
                <w:szCs w:val="21"/>
              </w:rPr>
            </w:pPr>
            <w:r>
              <w:rPr>
                <w:rFonts w:hint="eastAsia" w:cs="Times New Roman"/>
                <w:b/>
                <w:kern w:val="0"/>
                <w:sz w:val="21"/>
                <w:szCs w:val="21"/>
              </w:rPr>
              <w:t>合计</w:t>
            </w:r>
          </w:p>
        </w:tc>
        <w:tc>
          <w:tcPr>
            <w:tcW w:w="1248" w:type="dxa"/>
            <w:vAlign w:val="center"/>
          </w:tcPr>
          <w:p w14:paraId="6108536B">
            <w:pPr>
              <w:widowControl/>
              <w:spacing w:line="240" w:lineRule="auto"/>
              <w:ind w:firstLine="0" w:firstLineChars="0"/>
              <w:jc w:val="center"/>
              <w:textAlignment w:val="center"/>
              <w:rPr>
                <w:rFonts w:cs="Times New Roman"/>
                <w:b/>
                <w:bCs/>
                <w:kern w:val="0"/>
                <w:sz w:val="21"/>
                <w:szCs w:val="21"/>
              </w:rPr>
            </w:pPr>
            <w:r>
              <w:rPr>
                <w:rFonts w:eastAsia="宋体" w:cs="Times New Roman"/>
                <w:b/>
                <w:bCs/>
                <w:color w:val="000000"/>
                <w:kern w:val="0"/>
                <w:sz w:val="21"/>
                <w:szCs w:val="21"/>
                <w:lang w:bidi="ar"/>
              </w:rPr>
              <w:t xml:space="preserve">45.37 </w:t>
            </w:r>
          </w:p>
        </w:tc>
        <w:tc>
          <w:tcPr>
            <w:tcW w:w="1132" w:type="dxa"/>
            <w:vAlign w:val="center"/>
          </w:tcPr>
          <w:p w14:paraId="17750CA3">
            <w:pPr>
              <w:widowControl/>
              <w:spacing w:line="240" w:lineRule="auto"/>
              <w:ind w:firstLine="0" w:firstLineChars="0"/>
              <w:jc w:val="center"/>
              <w:textAlignment w:val="center"/>
              <w:rPr>
                <w:rFonts w:cs="Times New Roman"/>
                <w:b/>
                <w:bCs/>
                <w:kern w:val="0"/>
                <w:sz w:val="21"/>
                <w:szCs w:val="21"/>
              </w:rPr>
            </w:pPr>
            <w:r>
              <w:rPr>
                <w:rFonts w:eastAsia="宋体" w:cs="Times New Roman"/>
                <w:b/>
                <w:bCs/>
                <w:color w:val="000000"/>
                <w:kern w:val="0"/>
                <w:sz w:val="21"/>
                <w:szCs w:val="21"/>
                <w:lang w:bidi="ar"/>
              </w:rPr>
              <w:t xml:space="preserve">3.85 </w:t>
            </w:r>
          </w:p>
        </w:tc>
        <w:tc>
          <w:tcPr>
            <w:tcW w:w="1057" w:type="dxa"/>
            <w:vAlign w:val="center"/>
          </w:tcPr>
          <w:p w14:paraId="007277C0">
            <w:pPr>
              <w:widowControl/>
              <w:spacing w:line="240" w:lineRule="auto"/>
              <w:ind w:firstLine="0" w:firstLineChars="0"/>
              <w:jc w:val="center"/>
              <w:textAlignment w:val="center"/>
              <w:rPr>
                <w:rFonts w:cs="Times New Roman"/>
                <w:b/>
                <w:bCs/>
                <w:kern w:val="0"/>
                <w:sz w:val="21"/>
                <w:szCs w:val="21"/>
              </w:rPr>
            </w:pPr>
            <w:r>
              <w:rPr>
                <w:rFonts w:eastAsia="宋体" w:cs="Times New Roman"/>
                <w:b/>
                <w:bCs/>
                <w:color w:val="000000"/>
                <w:kern w:val="0"/>
                <w:sz w:val="21"/>
                <w:szCs w:val="21"/>
                <w:lang w:bidi="ar"/>
              </w:rPr>
              <w:t xml:space="preserve">6.77 </w:t>
            </w:r>
          </w:p>
        </w:tc>
        <w:tc>
          <w:tcPr>
            <w:tcW w:w="1324" w:type="dxa"/>
            <w:vAlign w:val="center"/>
          </w:tcPr>
          <w:p w14:paraId="4268AC82">
            <w:pPr>
              <w:widowControl/>
              <w:spacing w:line="240" w:lineRule="auto"/>
              <w:ind w:firstLine="0" w:firstLineChars="0"/>
              <w:jc w:val="center"/>
              <w:textAlignment w:val="center"/>
              <w:rPr>
                <w:rFonts w:cs="Times New Roman"/>
                <w:b/>
                <w:bCs/>
                <w:kern w:val="0"/>
                <w:sz w:val="21"/>
                <w:szCs w:val="21"/>
              </w:rPr>
            </w:pPr>
            <w:r>
              <w:rPr>
                <w:rFonts w:eastAsia="宋体" w:cs="Times New Roman"/>
                <w:b/>
                <w:bCs/>
                <w:color w:val="000000"/>
                <w:kern w:val="0"/>
                <w:sz w:val="21"/>
                <w:szCs w:val="21"/>
                <w:lang w:bidi="ar"/>
              </w:rPr>
              <w:t xml:space="preserve">0.23 </w:t>
            </w:r>
          </w:p>
        </w:tc>
        <w:tc>
          <w:tcPr>
            <w:tcW w:w="1070" w:type="dxa"/>
            <w:vAlign w:val="center"/>
          </w:tcPr>
          <w:p w14:paraId="44AED410">
            <w:pPr>
              <w:widowControl/>
              <w:spacing w:line="240" w:lineRule="auto"/>
              <w:ind w:firstLine="0" w:firstLineChars="0"/>
              <w:jc w:val="center"/>
              <w:textAlignment w:val="center"/>
              <w:rPr>
                <w:rFonts w:cs="Times New Roman"/>
                <w:b/>
                <w:bCs/>
                <w:kern w:val="0"/>
                <w:sz w:val="21"/>
                <w:szCs w:val="21"/>
              </w:rPr>
            </w:pPr>
            <w:r>
              <w:rPr>
                <w:rFonts w:eastAsia="宋体" w:cs="Times New Roman"/>
                <w:b/>
                <w:bCs/>
                <w:color w:val="000000"/>
                <w:kern w:val="0"/>
                <w:sz w:val="21"/>
                <w:szCs w:val="21"/>
                <w:lang w:bidi="ar"/>
              </w:rPr>
              <w:t xml:space="preserve">4.67 </w:t>
            </w:r>
          </w:p>
        </w:tc>
      </w:tr>
    </w:tbl>
    <w:p w14:paraId="60D7980F">
      <w:pPr>
        <w:ind w:firstLine="480"/>
      </w:pPr>
      <w:r>
        <w:rPr>
          <w:rFonts w:hint="eastAsia"/>
        </w:rPr>
        <w:t>（5）废气污染源汇总</w:t>
      </w:r>
    </w:p>
    <w:p w14:paraId="49F16A51">
      <w:pPr>
        <w:ind w:firstLine="480"/>
        <w:rPr>
          <w:rFonts w:cs="Times New Roman"/>
          <w:szCs w:val="24"/>
        </w:rPr>
      </w:pPr>
      <w:r>
        <w:rPr>
          <w:rFonts w:hint="eastAsia" w:cs="Times New Roman"/>
          <w:szCs w:val="24"/>
        </w:rPr>
        <w:t>规划期度假区大气污染物排放量汇总见表5</w:t>
      </w:r>
      <w:r>
        <w:rPr>
          <w:rFonts w:cs="Times New Roman"/>
          <w:szCs w:val="24"/>
        </w:rPr>
        <w:t>.</w:t>
      </w:r>
      <w:r>
        <w:rPr>
          <w:rFonts w:hint="eastAsia" w:cs="Times New Roman"/>
          <w:szCs w:val="24"/>
        </w:rPr>
        <w:t>2</w:t>
      </w:r>
      <w:r>
        <w:rPr>
          <w:rFonts w:cs="Times New Roman"/>
          <w:szCs w:val="24"/>
        </w:rPr>
        <w:t>-</w:t>
      </w:r>
      <w:r>
        <w:rPr>
          <w:rFonts w:hint="eastAsia" w:cs="Times New Roman"/>
          <w:szCs w:val="24"/>
        </w:rPr>
        <w:t>6。</w:t>
      </w:r>
    </w:p>
    <w:p w14:paraId="4D88815D">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2</w:t>
      </w:r>
      <w:r>
        <w:rPr>
          <w:rFonts w:cs="Times New Roman"/>
        </w:rPr>
        <w:t>-</w:t>
      </w:r>
      <w:r>
        <w:rPr>
          <w:rFonts w:hint="eastAsia" w:cs="Times New Roman"/>
        </w:rPr>
        <w:t>6</w:t>
      </w:r>
      <w:r>
        <w:rPr>
          <w:rFonts w:cs="Times New Roman"/>
        </w:rPr>
        <w:t xml:space="preserve">  规划</w:t>
      </w:r>
      <w:r>
        <w:rPr>
          <w:rFonts w:hint="eastAsia" w:cs="Times New Roman"/>
        </w:rPr>
        <w:t>期度假</w:t>
      </w:r>
      <w:r>
        <w:rPr>
          <w:rFonts w:cs="Times New Roman"/>
        </w:rPr>
        <w:t>区</w:t>
      </w:r>
      <w:r>
        <w:rPr>
          <w:rFonts w:hint="eastAsia" w:cs="Times New Roman"/>
        </w:rPr>
        <w:t>大气</w:t>
      </w:r>
      <w:r>
        <w:rPr>
          <w:rFonts w:cs="Times New Roman"/>
        </w:rPr>
        <w:t>污染物排放量</w:t>
      </w:r>
      <w:r>
        <w:rPr>
          <w:rFonts w:hint="eastAsia" w:cs="Times New Roman"/>
        </w:rPr>
        <w:t>汇总</w:t>
      </w:r>
      <w:r>
        <w:rPr>
          <w:rFonts w:cs="Times New Roman"/>
        </w:rPr>
        <w:t>表（t/a）</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5"/>
        <w:gridCol w:w="1626"/>
        <w:gridCol w:w="1214"/>
        <w:gridCol w:w="1485"/>
        <w:gridCol w:w="1420"/>
        <w:gridCol w:w="1419"/>
      </w:tblGrid>
      <w:tr w14:paraId="7F68C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95" w:type="pct"/>
            <w:vAlign w:val="center"/>
          </w:tcPr>
          <w:p w14:paraId="08D7A1C2">
            <w:pPr>
              <w:spacing w:line="240" w:lineRule="auto"/>
              <w:ind w:firstLine="0" w:firstLineChars="0"/>
              <w:jc w:val="center"/>
              <w:rPr>
                <w:rFonts w:cs="Times New Roman"/>
                <w:b/>
                <w:kern w:val="0"/>
                <w:sz w:val="21"/>
                <w:szCs w:val="21"/>
              </w:rPr>
            </w:pPr>
            <w:r>
              <w:rPr>
                <w:rFonts w:hint="eastAsia" w:cs="Times New Roman"/>
                <w:b/>
                <w:kern w:val="0"/>
                <w:sz w:val="21"/>
                <w:szCs w:val="21"/>
              </w:rPr>
              <w:t>规划时期</w:t>
            </w:r>
          </w:p>
        </w:tc>
        <w:tc>
          <w:tcPr>
            <w:tcW w:w="954" w:type="pct"/>
            <w:vAlign w:val="center"/>
          </w:tcPr>
          <w:p w14:paraId="53654234">
            <w:pPr>
              <w:spacing w:line="240" w:lineRule="auto"/>
              <w:ind w:firstLine="0" w:firstLineChars="0"/>
              <w:jc w:val="center"/>
              <w:rPr>
                <w:rFonts w:cs="Times New Roman"/>
                <w:b/>
                <w:kern w:val="0"/>
                <w:sz w:val="21"/>
                <w:szCs w:val="21"/>
              </w:rPr>
            </w:pPr>
            <w:r>
              <w:rPr>
                <w:rFonts w:hint="eastAsia" w:cs="Times New Roman"/>
                <w:b/>
                <w:kern w:val="0"/>
                <w:sz w:val="21"/>
                <w:szCs w:val="21"/>
              </w:rPr>
              <w:t>污染物</w:t>
            </w:r>
          </w:p>
        </w:tc>
        <w:tc>
          <w:tcPr>
            <w:tcW w:w="712" w:type="pct"/>
            <w:vAlign w:val="center"/>
          </w:tcPr>
          <w:p w14:paraId="6EA99D9A">
            <w:pPr>
              <w:spacing w:line="240" w:lineRule="auto"/>
              <w:ind w:firstLine="0" w:firstLineChars="0"/>
              <w:jc w:val="center"/>
              <w:rPr>
                <w:rFonts w:cs="Times New Roman"/>
                <w:b/>
                <w:kern w:val="0"/>
                <w:sz w:val="21"/>
                <w:szCs w:val="21"/>
              </w:rPr>
            </w:pPr>
            <w:r>
              <w:rPr>
                <w:rFonts w:hint="eastAsia" w:cs="Times New Roman"/>
                <w:b/>
                <w:kern w:val="0"/>
                <w:sz w:val="21"/>
                <w:szCs w:val="21"/>
              </w:rPr>
              <w:t>企业废气</w:t>
            </w:r>
          </w:p>
        </w:tc>
        <w:tc>
          <w:tcPr>
            <w:tcW w:w="871" w:type="pct"/>
            <w:vAlign w:val="center"/>
          </w:tcPr>
          <w:p w14:paraId="7C101F8B">
            <w:pPr>
              <w:spacing w:line="240" w:lineRule="auto"/>
              <w:ind w:firstLine="0" w:firstLineChars="0"/>
              <w:jc w:val="center"/>
              <w:rPr>
                <w:rFonts w:cs="Times New Roman"/>
                <w:b/>
                <w:kern w:val="0"/>
                <w:sz w:val="21"/>
                <w:szCs w:val="21"/>
              </w:rPr>
            </w:pPr>
            <w:r>
              <w:rPr>
                <w:rFonts w:hint="eastAsia" w:cs="Times New Roman"/>
                <w:b/>
                <w:kern w:val="0"/>
                <w:sz w:val="21"/>
                <w:szCs w:val="21"/>
              </w:rPr>
              <w:t>居民与游客生活废气</w:t>
            </w:r>
          </w:p>
        </w:tc>
        <w:tc>
          <w:tcPr>
            <w:tcW w:w="833" w:type="pct"/>
            <w:vAlign w:val="center"/>
          </w:tcPr>
          <w:p w14:paraId="1197086B">
            <w:pPr>
              <w:spacing w:line="240" w:lineRule="auto"/>
              <w:ind w:firstLine="0" w:firstLineChars="0"/>
              <w:jc w:val="center"/>
              <w:rPr>
                <w:rFonts w:cs="Times New Roman"/>
                <w:b/>
                <w:kern w:val="0"/>
                <w:sz w:val="21"/>
                <w:szCs w:val="21"/>
              </w:rPr>
            </w:pPr>
            <w:r>
              <w:rPr>
                <w:rFonts w:hint="eastAsia" w:cs="Times New Roman"/>
                <w:b/>
                <w:kern w:val="0"/>
                <w:sz w:val="21"/>
                <w:szCs w:val="21"/>
              </w:rPr>
              <w:t>机动车尾气</w:t>
            </w:r>
          </w:p>
        </w:tc>
        <w:tc>
          <w:tcPr>
            <w:tcW w:w="832" w:type="pct"/>
            <w:vAlign w:val="center"/>
          </w:tcPr>
          <w:p w14:paraId="6A2A9A28">
            <w:pPr>
              <w:spacing w:line="240" w:lineRule="auto"/>
              <w:ind w:firstLine="0" w:firstLineChars="0"/>
              <w:jc w:val="center"/>
              <w:rPr>
                <w:rFonts w:cs="Times New Roman"/>
                <w:b/>
                <w:kern w:val="0"/>
                <w:sz w:val="21"/>
                <w:szCs w:val="21"/>
              </w:rPr>
            </w:pPr>
            <w:r>
              <w:rPr>
                <w:rFonts w:hint="eastAsia" w:cs="Times New Roman"/>
                <w:b/>
                <w:kern w:val="0"/>
                <w:sz w:val="21"/>
                <w:szCs w:val="21"/>
              </w:rPr>
              <w:t>总计</w:t>
            </w:r>
          </w:p>
        </w:tc>
      </w:tr>
      <w:tr w14:paraId="75253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restart"/>
            <w:vAlign w:val="center"/>
          </w:tcPr>
          <w:p w14:paraId="72A40A9F">
            <w:pPr>
              <w:spacing w:line="240" w:lineRule="auto"/>
              <w:ind w:firstLine="0" w:firstLineChars="0"/>
              <w:jc w:val="center"/>
              <w:rPr>
                <w:rFonts w:cs="Times New Roman"/>
                <w:kern w:val="0"/>
                <w:sz w:val="21"/>
                <w:szCs w:val="21"/>
              </w:rPr>
            </w:pPr>
            <w:r>
              <w:rPr>
                <w:rFonts w:hint="eastAsia" w:cs="Times New Roman"/>
                <w:kern w:val="0"/>
                <w:sz w:val="21"/>
                <w:szCs w:val="21"/>
              </w:rPr>
              <w:t>规划近期（~2030年）</w:t>
            </w:r>
          </w:p>
        </w:tc>
        <w:tc>
          <w:tcPr>
            <w:tcW w:w="954" w:type="pct"/>
            <w:vAlign w:val="center"/>
          </w:tcPr>
          <w:p w14:paraId="1A385DD7">
            <w:pPr>
              <w:spacing w:line="240" w:lineRule="auto"/>
              <w:ind w:firstLine="0" w:firstLineChars="0"/>
              <w:jc w:val="center"/>
              <w:rPr>
                <w:rFonts w:cs="Times New Roman"/>
                <w:kern w:val="0"/>
                <w:sz w:val="21"/>
                <w:szCs w:val="21"/>
              </w:rPr>
            </w:pPr>
            <w:r>
              <w:rPr>
                <w:rFonts w:hint="eastAsia" w:cs="Times New Roman"/>
                <w:kern w:val="0"/>
                <w:sz w:val="21"/>
                <w:szCs w:val="21"/>
              </w:rPr>
              <w:t>CO</w:t>
            </w:r>
          </w:p>
        </w:tc>
        <w:tc>
          <w:tcPr>
            <w:tcW w:w="712" w:type="pct"/>
            <w:vAlign w:val="center"/>
          </w:tcPr>
          <w:p w14:paraId="7F74C01E">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71" w:type="pct"/>
            <w:vAlign w:val="center"/>
          </w:tcPr>
          <w:p w14:paraId="3CFB35E3">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33" w:type="pct"/>
            <w:vAlign w:val="center"/>
          </w:tcPr>
          <w:p w14:paraId="0C4F0A07">
            <w:pPr>
              <w:spacing w:line="240" w:lineRule="auto"/>
              <w:ind w:firstLine="0" w:firstLineChars="0"/>
              <w:jc w:val="center"/>
              <w:rPr>
                <w:rFonts w:cs="Times New Roman"/>
                <w:bCs/>
                <w:kern w:val="0"/>
                <w:sz w:val="21"/>
                <w:szCs w:val="21"/>
              </w:rPr>
            </w:pPr>
            <w:r>
              <w:rPr>
                <w:rFonts w:cs="Times New Roman"/>
                <w:bCs/>
                <w:kern w:val="0"/>
                <w:sz w:val="21"/>
                <w:szCs w:val="21"/>
              </w:rPr>
              <w:t>36.96</w:t>
            </w:r>
          </w:p>
        </w:tc>
        <w:tc>
          <w:tcPr>
            <w:tcW w:w="832" w:type="pct"/>
            <w:vAlign w:val="center"/>
          </w:tcPr>
          <w:p w14:paraId="4F4069BC">
            <w:pPr>
              <w:spacing w:line="240" w:lineRule="auto"/>
              <w:ind w:firstLine="0" w:firstLineChars="0"/>
              <w:jc w:val="center"/>
              <w:rPr>
                <w:rFonts w:cs="Times New Roman"/>
                <w:bCs/>
                <w:kern w:val="0"/>
                <w:sz w:val="21"/>
                <w:szCs w:val="21"/>
              </w:rPr>
            </w:pPr>
            <w:r>
              <w:rPr>
                <w:rFonts w:cs="Times New Roman"/>
                <w:bCs/>
                <w:kern w:val="0"/>
                <w:sz w:val="21"/>
                <w:szCs w:val="21"/>
              </w:rPr>
              <w:t>36.96</w:t>
            </w:r>
          </w:p>
        </w:tc>
      </w:tr>
      <w:tr w14:paraId="145A1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30CECE8A">
            <w:pPr>
              <w:spacing w:line="240" w:lineRule="auto"/>
              <w:ind w:firstLine="0" w:firstLineChars="0"/>
              <w:jc w:val="center"/>
              <w:rPr>
                <w:rFonts w:cs="Times New Roman"/>
                <w:kern w:val="0"/>
                <w:sz w:val="21"/>
                <w:szCs w:val="21"/>
              </w:rPr>
            </w:pPr>
          </w:p>
        </w:tc>
        <w:tc>
          <w:tcPr>
            <w:tcW w:w="954" w:type="pct"/>
            <w:vAlign w:val="center"/>
          </w:tcPr>
          <w:p w14:paraId="08D65296">
            <w:pPr>
              <w:spacing w:line="240" w:lineRule="auto"/>
              <w:ind w:firstLine="0" w:firstLineChars="0"/>
              <w:jc w:val="center"/>
              <w:rPr>
                <w:rFonts w:cs="Times New Roman"/>
                <w:kern w:val="0"/>
                <w:sz w:val="21"/>
                <w:szCs w:val="21"/>
              </w:rPr>
            </w:pPr>
            <w:r>
              <w:rPr>
                <w:rFonts w:hint="eastAsia" w:cs="Times New Roman"/>
                <w:kern w:val="0"/>
                <w:sz w:val="21"/>
                <w:szCs w:val="21"/>
              </w:rPr>
              <w:t>HC</w:t>
            </w:r>
          </w:p>
        </w:tc>
        <w:tc>
          <w:tcPr>
            <w:tcW w:w="712" w:type="pct"/>
            <w:vAlign w:val="center"/>
          </w:tcPr>
          <w:p w14:paraId="212AFECA">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71" w:type="pct"/>
            <w:vAlign w:val="center"/>
          </w:tcPr>
          <w:p w14:paraId="097D4B00">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33" w:type="pct"/>
            <w:vAlign w:val="center"/>
          </w:tcPr>
          <w:p w14:paraId="26B2FAA5">
            <w:pPr>
              <w:spacing w:line="240" w:lineRule="auto"/>
              <w:ind w:firstLine="0" w:firstLineChars="0"/>
              <w:jc w:val="center"/>
              <w:rPr>
                <w:rFonts w:cs="Times New Roman"/>
                <w:bCs/>
                <w:kern w:val="0"/>
                <w:sz w:val="21"/>
                <w:szCs w:val="21"/>
              </w:rPr>
            </w:pPr>
            <w:r>
              <w:rPr>
                <w:rFonts w:cs="Times New Roman"/>
                <w:bCs/>
                <w:kern w:val="0"/>
                <w:sz w:val="21"/>
                <w:szCs w:val="21"/>
              </w:rPr>
              <w:t>5.51</w:t>
            </w:r>
          </w:p>
        </w:tc>
        <w:tc>
          <w:tcPr>
            <w:tcW w:w="832" w:type="pct"/>
            <w:vAlign w:val="center"/>
          </w:tcPr>
          <w:p w14:paraId="3B4655E5">
            <w:pPr>
              <w:spacing w:line="240" w:lineRule="auto"/>
              <w:ind w:firstLine="0" w:firstLineChars="0"/>
              <w:jc w:val="center"/>
              <w:rPr>
                <w:rFonts w:cs="Times New Roman"/>
                <w:bCs/>
                <w:kern w:val="0"/>
                <w:sz w:val="21"/>
                <w:szCs w:val="21"/>
              </w:rPr>
            </w:pPr>
            <w:r>
              <w:rPr>
                <w:rFonts w:cs="Times New Roman"/>
                <w:bCs/>
                <w:kern w:val="0"/>
                <w:sz w:val="21"/>
                <w:szCs w:val="21"/>
              </w:rPr>
              <w:t>5.51</w:t>
            </w:r>
          </w:p>
        </w:tc>
      </w:tr>
      <w:tr w14:paraId="08CE1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5F276E15">
            <w:pPr>
              <w:spacing w:line="240" w:lineRule="auto"/>
              <w:ind w:firstLine="0" w:firstLineChars="0"/>
              <w:jc w:val="center"/>
              <w:rPr>
                <w:rFonts w:cs="Times New Roman"/>
                <w:bCs/>
                <w:kern w:val="0"/>
                <w:sz w:val="21"/>
                <w:szCs w:val="21"/>
              </w:rPr>
            </w:pPr>
            <w:bookmarkStart w:id="94" w:name="_Hlk171925944"/>
          </w:p>
        </w:tc>
        <w:tc>
          <w:tcPr>
            <w:tcW w:w="954" w:type="pct"/>
            <w:vAlign w:val="center"/>
          </w:tcPr>
          <w:p w14:paraId="06B70D86">
            <w:pPr>
              <w:spacing w:line="240" w:lineRule="auto"/>
              <w:ind w:firstLine="0" w:firstLineChars="0"/>
              <w:jc w:val="center"/>
              <w:rPr>
                <w:rFonts w:cs="Times New Roman"/>
                <w:kern w:val="0"/>
                <w:sz w:val="21"/>
                <w:szCs w:val="21"/>
              </w:rPr>
            </w:pPr>
            <w:r>
              <w:rPr>
                <w:rFonts w:hint="eastAsia" w:cs="Times New Roman"/>
                <w:bCs/>
                <w:kern w:val="0"/>
                <w:sz w:val="21"/>
                <w:szCs w:val="21"/>
              </w:rPr>
              <w:t>SO</w:t>
            </w:r>
            <w:r>
              <w:rPr>
                <w:rFonts w:hint="eastAsia" w:cs="Times New Roman"/>
                <w:bCs/>
                <w:kern w:val="0"/>
                <w:sz w:val="21"/>
                <w:szCs w:val="21"/>
                <w:vertAlign w:val="subscript"/>
              </w:rPr>
              <w:t>2</w:t>
            </w:r>
          </w:p>
        </w:tc>
        <w:tc>
          <w:tcPr>
            <w:tcW w:w="712" w:type="pct"/>
            <w:vAlign w:val="center"/>
          </w:tcPr>
          <w:p w14:paraId="378E84C1">
            <w:pPr>
              <w:spacing w:line="240" w:lineRule="auto"/>
              <w:ind w:firstLine="0" w:firstLineChars="0"/>
              <w:jc w:val="center"/>
              <w:rPr>
                <w:rFonts w:cs="Times New Roman"/>
                <w:bCs/>
                <w:kern w:val="0"/>
                <w:sz w:val="21"/>
                <w:szCs w:val="21"/>
              </w:rPr>
            </w:pPr>
            <w:r>
              <w:rPr>
                <w:rFonts w:hint="eastAsia" w:cs="Times New Roman"/>
                <w:bCs/>
                <w:kern w:val="0"/>
                <w:sz w:val="21"/>
                <w:szCs w:val="21"/>
              </w:rPr>
              <w:t>21.96</w:t>
            </w:r>
          </w:p>
        </w:tc>
        <w:tc>
          <w:tcPr>
            <w:tcW w:w="871" w:type="pct"/>
            <w:vAlign w:val="center"/>
          </w:tcPr>
          <w:p w14:paraId="7187A6FE">
            <w:pPr>
              <w:spacing w:line="240" w:lineRule="auto"/>
              <w:ind w:firstLine="0" w:firstLineChars="0"/>
              <w:jc w:val="center"/>
              <w:rPr>
                <w:rFonts w:cs="Times New Roman"/>
                <w:bCs/>
                <w:kern w:val="0"/>
                <w:sz w:val="21"/>
                <w:szCs w:val="21"/>
              </w:rPr>
            </w:pPr>
            <w:r>
              <w:rPr>
                <w:rFonts w:hint="eastAsia" w:cs="Times New Roman"/>
                <w:bCs/>
                <w:kern w:val="0"/>
                <w:sz w:val="21"/>
                <w:szCs w:val="21"/>
              </w:rPr>
              <w:t>0.10</w:t>
            </w:r>
          </w:p>
        </w:tc>
        <w:tc>
          <w:tcPr>
            <w:tcW w:w="833" w:type="pct"/>
            <w:vAlign w:val="center"/>
          </w:tcPr>
          <w:p w14:paraId="7C1E5807">
            <w:pPr>
              <w:spacing w:line="240" w:lineRule="auto"/>
              <w:ind w:firstLine="0" w:firstLineChars="0"/>
              <w:jc w:val="center"/>
              <w:rPr>
                <w:rFonts w:cs="Times New Roman"/>
                <w:bCs/>
                <w:kern w:val="0"/>
                <w:sz w:val="21"/>
                <w:szCs w:val="21"/>
              </w:rPr>
            </w:pPr>
            <w:r>
              <w:rPr>
                <w:rFonts w:cs="Times New Roman"/>
                <w:bCs/>
                <w:kern w:val="0"/>
                <w:sz w:val="21"/>
                <w:szCs w:val="21"/>
              </w:rPr>
              <w:t>/</w:t>
            </w:r>
          </w:p>
        </w:tc>
        <w:tc>
          <w:tcPr>
            <w:tcW w:w="1419" w:type="dxa"/>
            <w:vAlign w:val="center"/>
          </w:tcPr>
          <w:p w14:paraId="33240B31">
            <w:pPr>
              <w:spacing w:line="240" w:lineRule="auto"/>
              <w:ind w:firstLine="0" w:firstLineChars="0"/>
              <w:jc w:val="center"/>
              <w:rPr>
                <w:rFonts w:cs="Times New Roman"/>
                <w:bCs/>
                <w:kern w:val="0"/>
                <w:sz w:val="21"/>
                <w:szCs w:val="21"/>
              </w:rPr>
            </w:pPr>
            <w:r>
              <w:rPr>
                <w:rFonts w:cs="Times New Roman"/>
                <w:bCs/>
                <w:kern w:val="0"/>
                <w:sz w:val="21"/>
                <w:szCs w:val="21"/>
              </w:rPr>
              <w:t>22.06</w:t>
            </w:r>
          </w:p>
        </w:tc>
      </w:tr>
      <w:tr w14:paraId="2BA53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65C8BC4E">
            <w:pPr>
              <w:spacing w:line="240" w:lineRule="auto"/>
              <w:ind w:firstLine="0" w:firstLineChars="0"/>
              <w:jc w:val="center"/>
              <w:rPr>
                <w:rFonts w:cs="Times New Roman"/>
                <w:bCs/>
                <w:kern w:val="0"/>
                <w:sz w:val="21"/>
                <w:szCs w:val="21"/>
              </w:rPr>
            </w:pPr>
          </w:p>
        </w:tc>
        <w:tc>
          <w:tcPr>
            <w:tcW w:w="954" w:type="pct"/>
            <w:vAlign w:val="center"/>
          </w:tcPr>
          <w:p w14:paraId="60ECE6A8">
            <w:pPr>
              <w:spacing w:line="240" w:lineRule="auto"/>
              <w:ind w:firstLine="0" w:firstLineChars="0"/>
              <w:jc w:val="center"/>
              <w:rPr>
                <w:rFonts w:cs="Times New Roman"/>
                <w:kern w:val="0"/>
                <w:sz w:val="21"/>
                <w:szCs w:val="21"/>
              </w:rPr>
            </w:pPr>
            <w:r>
              <w:rPr>
                <w:rFonts w:hint="eastAsia" w:cs="Times New Roman"/>
                <w:bCs/>
                <w:kern w:val="0"/>
                <w:sz w:val="21"/>
                <w:szCs w:val="21"/>
              </w:rPr>
              <w:t>NOx</w:t>
            </w:r>
          </w:p>
        </w:tc>
        <w:tc>
          <w:tcPr>
            <w:tcW w:w="712" w:type="pct"/>
            <w:vAlign w:val="center"/>
          </w:tcPr>
          <w:p w14:paraId="7B59B191">
            <w:pPr>
              <w:spacing w:line="240" w:lineRule="auto"/>
              <w:ind w:firstLine="0" w:firstLineChars="0"/>
              <w:jc w:val="center"/>
              <w:rPr>
                <w:rFonts w:cs="Times New Roman"/>
                <w:bCs/>
                <w:kern w:val="0"/>
                <w:sz w:val="21"/>
                <w:szCs w:val="21"/>
              </w:rPr>
            </w:pPr>
            <w:r>
              <w:rPr>
                <w:rFonts w:hint="eastAsia" w:cs="Times New Roman"/>
                <w:bCs/>
                <w:kern w:val="0"/>
                <w:sz w:val="21"/>
                <w:szCs w:val="21"/>
              </w:rPr>
              <w:t>107.52</w:t>
            </w:r>
          </w:p>
        </w:tc>
        <w:tc>
          <w:tcPr>
            <w:tcW w:w="871" w:type="pct"/>
            <w:vAlign w:val="center"/>
          </w:tcPr>
          <w:p w14:paraId="3AFDEF27">
            <w:pPr>
              <w:spacing w:line="240" w:lineRule="auto"/>
              <w:ind w:firstLine="0" w:firstLineChars="0"/>
              <w:jc w:val="center"/>
              <w:rPr>
                <w:rFonts w:cs="Times New Roman"/>
                <w:bCs/>
                <w:kern w:val="0"/>
                <w:sz w:val="21"/>
                <w:szCs w:val="21"/>
              </w:rPr>
            </w:pPr>
            <w:r>
              <w:rPr>
                <w:rFonts w:hint="eastAsia" w:cs="Times New Roman"/>
                <w:bCs/>
                <w:kern w:val="0"/>
                <w:sz w:val="21"/>
                <w:szCs w:val="21"/>
              </w:rPr>
              <w:t>11.08</w:t>
            </w:r>
          </w:p>
        </w:tc>
        <w:tc>
          <w:tcPr>
            <w:tcW w:w="833" w:type="pct"/>
            <w:vAlign w:val="center"/>
          </w:tcPr>
          <w:p w14:paraId="3ACC7F2A">
            <w:pPr>
              <w:spacing w:line="240" w:lineRule="auto"/>
              <w:ind w:firstLine="0" w:firstLineChars="0"/>
              <w:jc w:val="center"/>
              <w:rPr>
                <w:rFonts w:cs="Times New Roman"/>
                <w:bCs/>
                <w:kern w:val="0"/>
                <w:sz w:val="21"/>
                <w:szCs w:val="21"/>
              </w:rPr>
            </w:pPr>
            <w:r>
              <w:rPr>
                <w:rFonts w:cs="Times New Roman"/>
                <w:bCs/>
                <w:kern w:val="0"/>
                <w:sz w:val="21"/>
                <w:szCs w:val="21"/>
              </w:rPr>
              <w:t>3.14</w:t>
            </w:r>
          </w:p>
        </w:tc>
        <w:tc>
          <w:tcPr>
            <w:tcW w:w="1419" w:type="dxa"/>
            <w:vAlign w:val="center"/>
          </w:tcPr>
          <w:p w14:paraId="5237397C">
            <w:pPr>
              <w:spacing w:line="240" w:lineRule="auto"/>
              <w:ind w:firstLine="0" w:firstLineChars="0"/>
              <w:jc w:val="center"/>
              <w:rPr>
                <w:rFonts w:cs="Times New Roman"/>
                <w:bCs/>
                <w:kern w:val="0"/>
                <w:sz w:val="21"/>
                <w:szCs w:val="21"/>
              </w:rPr>
            </w:pPr>
            <w:r>
              <w:rPr>
                <w:rFonts w:cs="Times New Roman"/>
                <w:bCs/>
                <w:kern w:val="0"/>
                <w:sz w:val="21"/>
                <w:szCs w:val="21"/>
              </w:rPr>
              <w:t>121.74</w:t>
            </w:r>
          </w:p>
        </w:tc>
      </w:tr>
      <w:tr w14:paraId="57330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7B7AF4D2">
            <w:pPr>
              <w:spacing w:line="240" w:lineRule="auto"/>
              <w:ind w:firstLine="0" w:firstLineChars="0"/>
              <w:jc w:val="center"/>
              <w:rPr>
                <w:rFonts w:cs="Times New Roman"/>
                <w:bCs/>
                <w:kern w:val="0"/>
                <w:sz w:val="21"/>
                <w:szCs w:val="21"/>
              </w:rPr>
            </w:pPr>
          </w:p>
        </w:tc>
        <w:tc>
          <w:tcPr>
            <w:tcW w:w="954" w:type="pct"/>
            <w:vAlign w:val="center"/>
          </w:tcPr>
          <w:p w14:paraId="370F148D">
            <w:pPr>
              <w:spacing w:line="240" w:lineRule="auto"/>
              <w:ind w:firstLine="0" w:firstLineChars="0"/>
              <w:jc w:val="center"/>
              <w:rPr>
                <w:rFonts w:cs="Times New Roman"/>
                <w:kern w:val="0"/>
                <w:sz w:val="21"/>
                <w:szCs w:val="21"/>
              </w:rPr>
            </w:pPr>
            <w:r>
              <w:rPr>
                <w:rFonts w:hint="eastAsia" w:cs="Times New Roman"/>
                <w:bCs/>
                <w:kern w:val="0"/>
                <w:sz w:val="21"/>
                <w:szCs w:val="21"/>
              </w:rPr>
              <w:t>VOCs</w:t>
            </w:r>
          </w:p>
        </w:tc>
        <w:tc>
          <w:tcPr>
            <w:tcW w:w="712" w:type="pct"/>
            <w:vAlign w:val="center"/>
          </w:tcPr>
          <w:p w14:paraId="58942D3A">
            <w:pPr>
              <w:spacing w:line="240" w:lineRule="auto"/>
              <w:ind w:firstLine="0" w:firstLineChars="0"/>
              <w:jc w:val="center"/>
              <w:rPr>
                <w:rFonts w:cs="Times New Roman"/>
                <w:bCs/>
                <w:kern w:val="0"/>
                <w:sz w:val="21"/>
                <w:szCs w:val="21"/>
              </w:rPr>
            </w:pPr>
            <w:r>
              <w:rPr>
                <w:rFonts w:hint="eastAsia" w:cs="Times New Roman"/>
                <w:kern w:val="0"/>
                <w:sz w:val="21"/>
                <w:szCs w:val="21"/>
              </w:rPr>
              <w:t>/</w:t>
            </w:r>
          </w:p>
        </w:tc>
        <w:tc>
          <w:tcPr>
            <w:tcW w:w="871" w:type="pct"/>
            <w:vAlign w:val="center"/>
          </w:tcPr>
          <w:p w14:paraId="4797F944">
            <w:pPr>
              <w:spacing w:line="240" w:lineRule="auto"/>
              <w:ind w:firstLine="0" w:firstLineChars="0"/>
              <w:jc w:val="center"/>
              <w:rPr>
                <w:rFonts w:cs="Times New Roman"/>
                <w:bCs/>
                <w:kern w:val="0"/>
                <w:sz w:val="21"/>
                <w:szCs w:val="21"/>
              </w:rPr>
            </w:pPr>
            <w:r>
              <w:rPr>
                <w:rFonts w:hint="eastAsia" w:cs="Times New Roman"/>
                <w:bCs/>
                <w:kern w:val="0"/>
                <w:sz w:val="21"/>
                <w:szCs w:val="21"/>
              </w:rPr>
              <w:t>2.98</w:t>
            </w:r>
          </w:p>
        </w:tc>
        <w:tc>
          <w:tcPr>
            <w:tcW w:w="833" w:type="pct"/>
            <w:vAlign w:val="center"/>
          </w:tcPr>
          <w:p w14:paraId="2C426E76">
            <w:pPr>
              <w:spacing w:line="240" w:lineRule="auto"/>
              <w:ind w:firstLine="0" w:firstLineChars="0"/>
              <w:jc w:val="center"/>
              <w:rPr>
                <w:rFonts w:cs="Times New Roman"/>
                <w:bCs/>
                <w:kern w:val="0"/>
                <w:sz w:val="21"/>
                <w:szCs w:val="21"/>
              </w:rPr>
            </w:pPr>
            <w:r>
              <w:rPr>
                <w:rFonts w:cs="Times New Roman"/>
                <w:bCs/>
                <w:kern w:val="0"/>
                <w:sz w:val="21"/>
                <w:szCs w:val="21"/>
              </w:rPr>
              <w:t>3.80</w:t>
            </w:r>
          </w:p>
        </w:tc>
        <w:tc>
          <w:tcPr>
            <w:tcW w:w="1419" w:type="dxa"/>
            <w:vAlign w:val="center"/>
          </w:tcPr>
          <w:p w14:paraId="0B9466A8">
            <w:pPr>
              <w:spacing w:line="240" w:lineRule="auto"/>
              <w:ind w:firstLine="0" w:firstLineChars="0"/>
              <w:jc w:val="center"/>
              <w:rPr>
                <w:rFonts w:cs="Times New Roman"/>
                <w:bCs/>
                <w:kern w:val="0"/>
                <w:sz w:val="21"/>
                <w:szCs w:val="21"/>
              </w:rPr>
            </w:pPr>
            <w:r>
              <w:rPr>
                <w:rFonts w:cs="Times New Roman"/>
                <w:bCs/>
                <w:kern w:val="0"/>
                <w:sz w:val="21"/>
                <w:szCs w:val="21"/>
              </w:rPr>
              <w:t>6.78</w:t>
            </w:r>
          </w:p>
        </w:tc>
      </w:tr>
      <w:tr w14:paraId="6CC80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5AB7E315">
            <w:pPr>
              <w:spacing w:line="240" w:lineRule="auto"/>
              <w:ind w:firstLine="0" w:firstLineChars="0"/>
              <w:jc w:val="center"/>
              <w:rPr>
                <w:rFonts w:cs="Times New Roman"/>
                <w:kern w:val="0"/>
                <w:sz w:val="21"/>
                <w:szCs w:val="21"/>
              </w:rPr>
            </w:pPr>
          </w:p>
        </w:tc>
        <w:tc>
          <w:tcPr>
            <w:tcW w:w="954" w:type="pct"/>
            <w:vAlign w:val="center"/>
          </w:tcPr>
          <w:p w14:paraId="5B8F8C0C">
            <w:pPr>
              <w:spacing w:line="240" w:lineRule="auto"/>
              <w:ind w:firstLine="0" w:firstLineChars="0"/>
              <w:jc w:val="center"/>
              <w:rPr>
                <w:rFonts w:cs="Times New Roman"/>
                <w:kern w:val="0"/>
                <w:sz w:val="21"/>
                <w:szCs w:val="21"/>
              </w:rPr>
            </w:pPr>
            <w:r>
              <w:rPr>
                <w:rFonts w:hint="eastAsia" w:cs="Times New Roman"/>
                <w:kern w:val="0"/>
                <w:sz w:val="21"/>
                <w:szCs w:val="21"/>
              </w:rPr>
              <w:t>颗粒物</w:t>
            </w:r>
          </w:p>
        </w:tc>
        <w:tc>
          <w:tcPr>
            <w:tcW w:w="712" w:type="pct"/>
            <w:vAlign w:val="center"/>
          </w:tcPr>
          <w:p w14:paraId="2CFC8605">
            <w:pPr>
              <w:spacing w:line="240" w:lineRule="auto"/>
              <w:ind w:firstLine="0" w:firstLineChars="0"/>
              <w:jc w:val="center"/>
              <w:rPr>
                <w:rFonts w:cs="Times New Roman"/>
                <w:bCs/>
                <w:kern w:val="0"/>
                <w:sz w:val="21"/>
                <w:szCs w:val="21"/>
              </w:rPr>
            </w:pPr>
            <w:r>
              <w:rPr>
                <w:rFonts w:hint="eastAsia" w:cs="Times New Roman"/>
                <w:bCs/>
                <w:kern w:val="0"/>
                <w:sz w:val="21"/>
                <w:szCs w:val="21"/>
              </w:rPr>
              <w:t>18.81</w:t>
            </w:r>
          </w:p>
        </w:tc>
        <w:tc>
          <w:tcPr>
            <w:tcW w:w="871" w:type="pct"/>
            <w:vAlign w:val="center"/>
          </w:tcPr>
          <w:p w14:paraId="6EAE499A">
            <w:pPr>
              <w:spacing w:line="240" w:lineRule="auto"/>
              <w:ind w:firstLine="0" w:firstLineChars="0"/>
              <w:jc w:val="center"/>
              <w:rPr>
                <w:rFonts w:cs="Times New Roman"/>
                <w:bCs/>
                <w:kern w:val="0"/>
                <w:sz w:val="21"/>
                <w:szCs w:val="21"/>
              </w:rPr>
            </w:pPr>
            <w:r>
              <w:rPr>
                <w:rFonts w:hint="eastAsia" w:cs="Times New Roman"/>
                <w:bCs/>
                <w:kern w:val="0"/>
                <w:sz w:val="21"/>
                <w:szCs w:val="21"/>
              </w:rPr>
              <w:t>0.98</w:t>
            </w:r>
          </w:p>
        </w:tc>
        <w:tc>
          <w:tcPr>
            <w:tcW w:w="833" w:type="pct"/>
            <w:vAlign w:val="center"/>
          </w:tcPr>
          <w:p w14:paraId="2F4A8658">
            <w:pPr>
              <w:spacing w:line="240" w:lineRule="auto"/>
              <w:ind w:firstLine="0" w:firstLineChars="0"/>
              <w:jc w:val="center"/>
              <w:rPr>
                <w:rFonts w:cs="Times New Roman"/>
                <w:bCs/>
                <w:kern w:val="0"/>
                <w:sz w:val="21"/>
                <w:szCs w:val="21"/>
              </w:rPr>
            </w:pPr>
            <w:r>
              <w:rPr>
                <w:rFonts w:cs="Times New Roman"/>
                <w:bCs/>
                <w:kern w:val="0"/>
                <w:sz w:val="21"/>
                <w:szCs w:val="21"/>
              </w:rPr>
              <w:t>0.19</w:t>
            </w:r>
          </w:p>
        </w:tc>
        <w:tc>
          <w:tcPr>
            <w:tcW w:w="1419" w:type="dxa"/>
            <w:vAlign w:val="center"/>
          </w:tcPr>
          <w:p w14:paraId="591098F0">
            <w:pPr>
              <w:spacing w:line="240" w:lineRule="auto"/>
              <w:ind w:firstLine="0" w:firstLineChars="0"/>
              <w:jc w:val="center"/>
              <w:rPr>
                <w:rFonts w:cs="Times New Roman"/>
                <w:bCs/>
                <w:kern w:val="0"/>
                <w:sz w:val="21"/>
                <w:szCs w:val="21"/>
              </w:rPr>
            </w:pPr>
            <w:r>
              <w:rPr>
                <w:rFonts w:cs="Times New Roman"/>
                <w:bCs/>
                <w:kern w:val="0"/>
                <w:sz w:val="21"/>
                <w:szCs w:val="21"/>
              </w:rPr>
              <w:t>19.98</w:t>
            </w:r>
          </w:p>
        </w:tc>
      </w:tr>
      <w:bookmarkEnd w:id="94"/>
      <w:tr w14:paraId="17808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50C74672">
            <w:pPr>
              <w:spacing w:line="240" w:lineRule="auto"/>
              <w:ind w:firstLine="0" w:firstLineChars="0"/>
              <w:jc w:val="center"/>
              <w:rPr>
                <w:rFonts w:cs="Times New Roman"/>
                <w:kern w:val="0"/>
                <w:sz w:val="21"/>
                <w:szCs w:val="21"/>
              </w:rPr>
            </w:pPr>
          </w:p>
        </w:tc>
        <w:tc>
          <w:tcPr>
            <w:tcW w:w="954" w:type="pct"/>
            <w:vAlign w:val="center"/>
          </w:tcPr>
          <w:p w14:paraId="07E6772F">
            <w:pPr>
              <w:spacing w:line="240" w:lineRule="auto"/>
              <w:ind w:firstLine="0" w:firstLineChars="0"/>
              <w:jc w:val="center"/>
              <w:rPr>
                <w:rFonts w:cs="Times New Roman"/>
                <w:kern w:val="0"/>
                <w:sz w:val="21"/>
                <w:szCs w:val="21"/>
              </w:rPr>
            </w:pPr>
            <w:r>
              <w:rPr>
                <w:rFonts w:hint="eastAsia" w:cs="Times New Roman"/>
                <w:kern w:val="0"/>
                <w:sz w:val="21"/>
                <w:szCs w:val="21"/>
              </w:rPr>
              <w:t>油烟</w:t>
            </w:r>
          </w:p>
        </w:tc>
        <w:tc>
          <w:tcPr>
            <w:tcW w:w="712" w:type="pct"/>
            <w:vAlign w:val="center"/>
          </w:tcPr>
          <w:p w14:paraId="2F76EB8A">
            <w:pPr>
              <w:spacing w:line="240" w:lineRule="auto"/>
              <w:ind w:firstLine="0" w:firstLineChars="0"/>
              <w:jc w:val="center"/>
              <w:rPr>
                <w:rFonts w:cs="Times New Roman"/>
                <w:bCs/>
                <w:kern w:val="0"/>
                <w:sz w:val="21"/>
                <w:szCs w:val="21"/>
              </w:rPr>
            </w:pPr>
            <w:r>
              <w:rPr>
                <w:rFonts w:hint="eastAsia" w:cs="Times New Roman"/>
                <w:kern w:val="0"/>
                <w:sz w:val="21"/>
                <w:szCs w:val="21"/>
              </w:rPr>
              <w:t>/</w:t>
            </w:r>
          </w:p>
        </w:tc>
        <w:tc>
          <w:tcPr>
            <w:tcW w:w="871" w:type="pct"/>
            <w:vAlign w:val="center"/>
          </w:tcPr>
          <w:p w14:paraId="0036E015">
            <w:pPr>
              <w:spacing w:line="240" w:lineRule="auto"/>
              <w:ind w:firstLine="0" w:firstLineChars="0"/>
              <w:jc w:val="center"/>
              <w:rPr>
                <w:rFonts w:cs="Times New Roman"/>
                <w:bCs/>
                <w:kern w:val="0"/>
                <w:sz w:val="21"/>
                <w:szCs w:val="21"/>
              </w:rPr>
            </w:pPr>
            <w:r>
              <w:rPr>
                <w:rFonts w:hint="eastAsia" w:cs="Times New Roman"/>
                <w:bCs/>
                <w:kern w:val="0"/>
                <w:sz w:val="21"/>
                <w:szCs w:val="21"/>
              </w:rPr>
              <w:t>3.19</w:t>
            </w:r>
          </w:p>
        </w:tc>
        <w:tc>
          <w:tcPr>
            <w:tcW w:w="833" w:type="pct"/>
            <w:vAlign w:val="center"/>
          </w:tcPr>
          <w:p w14:paraId="543F3C07">
            <w:pPr>
              <w:spacing w:line="240" w:lineRule="auto"/>
              <w:ind w:firstLine="0" w:firstLineChars="0"/>
              <w:jc w:val="center"/>
              <w:rPr>
                <w:rFonts w:cs="Times New Roman"/>
                <w:bCs/>
                <w:kern w:val="0"/>
                <w:sz w:val="21"/>
                <w:szCs w:val="21"/>
              </w:rPr>
            </w:pPr>
            <w:r>
              <w:rPr>
                <w:rFonts w:cs="Times New Roman"/>
                <w:bCs/>
                <w:kern w:val="0"/>
                <w:sz w:val="21"/>
                <w:szCs w:val="21"/>
              </w:rPr>
              <w:t>/</w:t>
            </w:r>
          </w:p>
        </w:tc>
        <w:tc>
          <w:tcPr>
            <w:tcW w:w="832" w:type="pct"/>
            <w:vAlign w:val="center"/>
          </w:tcPr>
          <w:p w14:paraId="18EEAD71">
            <w:pPr>
              <w:spacing w:line="240" w:lineRule="auto"/>
              <w:ind w:firstLine="0" w:firstLineChars="0"/>
              <w:jc w:val="center"/>
              <w:rPr>
                <w:rFonts w:cs="Times New Roman"/>
                <w:kern w:val="0"/>
                <w:sz w:val="21"/>
                <w:szCs w:val="21"/>
              </w:rPr>
            </w:pPr>
            <w:r>
              <w:rPr>
                <w:rFonts w:hint="eastAsia" w:cs="Times New Roman"/>
                <w:kern w:val="0"/>
                <w:sz w:val="21"/>
                <w:szCs w:val="21"/>
              </w:rPr>
              <w:t>3.19</w:t>
            </w:r>
          </w:p>
        </w:tc>
      </w:tr>
      <w:tr w14:paraId="688C1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restart"/>
            <w:vAlign w:val="center"/>
          </w:tcPr>
          <w:p w14:paraId="380F9035">
            <w:pPr>
              <w:spacing w:line="240" w:lineRule="auto"/>
              <w:ind w:firstLine="0" w:firstLineChars="0"/>
              <w:jc w:val="center"/>
              <w:rPr>
                <w:rFonts w:cs="Times New Roman"/>
                <w:kern w:val="0"/>
                <w:sz w:val="21"/>
                <w:szCs w:val="21"/>
              </w:rPr>
            </w:pPr>
            <w:r>
              <w:rPr>
                <w:rFonts w:hint="eastAsia" w:cs="Times New Roman"/>
                <w:kern w:val="0"/>
                <w:sz w:val="21"/>
                <w:szCs w:val="21"/>
              </w:rPr>
              <w:t>规划远期（~2035年）</w:t>
            </w:r>
          </w:p>
        </w:tc>
        <w:tc>
          <w:tcPr>
            <w:tcW w:w="954" w:type="pct"/>
            <w:vAlign w:val="center"/>
          </w:tcPr>
          <w:p w14:paraId="481C0524">
            <w:pPr>
              <w:spacing w:line="240" w:lineRule="auto"/>
              <w:ind w:firstLine="0" w:firstLineChars="0"/>
              <w:jc w:val="center"/>
              <w:rPr>
                <w:rFonts w:cs="Times New Roman"/>
                <w:kern w:val="0"/>
                <w:sz w:val="21"/>
                <w:szCs w:val="21"/>
              </w:rPr>
            </w:pPr>
            <w:r>
              <w:rPr>
                <w:rFonts w:hint="eastAsia" w:cs="Times New Roman"/>
                <w:kern w:val="0"/>
                <w:sz w:val="21"/>
                <w:szCs w:val="21"/>
              </w:rPr>
              <w:t>CO</w:t>
            </w:r>
          </w:p>
        </w:tc>
        <w:tc>
          <w:tcPr>
            <w:tcW w:w="712" w:type="pct"/>
            <w:vAlign w:val="center"/>
          </w:tcPr>
          <w:p w14:paraId="75FDFF48">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71" w:type="pct"/>
            <w:vAlign w:val="center"/>
          </w:tcPr>
          <w:p w14:paraId="2C3758C1">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33" w:type="pct"/>
            <w:vAlign w:val="center"/>
          </w:tcPr>
          <w:p w14:paraId="6254B7A8">
            <w:pPr>
              <w:spacing w:line="240" w:lineRule="auto"/>
              <w:ind w:firstLine="0" w:firstLineChars="0"/>
              <w:jc w:val="center"/>
              <w:rPr>
                <w:rFonts w:cs="Times New Roman"/>
                <w:bCs/>
                <w:kern w:val="0"/>
                <w:sz w:val="21"/>
                <w:szCs w:val="21"/>
              </w:rPr>
            </w:pPr>
            <w:r>
              <w:rPr>
                <w:rFonts w:cs="Times New Roman"/>
                <w:bCs/>
                <w:kern w:val="0"/>
                <w:sz w:val="21"/>
                <w:szCs w:val="21"/>
              </w:rPr>
              <w:t>45.37</w:t>
            </w:r>
          </w:p>
        </w:tc>
        <w:tc>
          <w:tcPr>
            <w:tcW w:w="832" w:type="pct"/>
            <w:vAlign w:val="center"/>
          </w:tcPr>
          <w:p w14:paraId="6716962C">
            <w:pPr>
              <w:spacing w:line="240" w:lineRule="auto"/>
              <w:ind w:firstLine="0" w:firstLineChars="0"/>
              <w:jc w:val="center"/>
              <w:rPr>
                <w:rFonts w:cs="Times New Roman"/>
                <w:bCs/>
                <w:kern w:val="0"/>
                <w:sz w:val="21"/>
                <w:szCs w:val="21"/>
              </w:rPr>
            </w:pPr>
            <w:r>
              <w:rPr>
                <w:rFonts w:cs="Times New Roman"/>
                <w:bCs/>
                <w:kern w:val="0"/>
                <w:sz w:val="21"/>
                <w:szCs w:val="21"/>
              </w:rPr>
              <w:t>45.37</w:t>
            </w:r>
          </w:p>
        </w:tc>
      </w:tr>
      <w:tr w14:paraId="2783E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614D4055">
            <w:pPr>
              <w:spacing w:line="240" w:lineRule="auto"/>
              <w:ind w:firstLine="0" w:firstLineChars="0"/>
              <w:jc w:val="center"/>
              <w:rPr>
                <w:rFonts w:cs="Times New Roman"/>
                <w:kern w:val="0"/>
                <w:sz w:val="21"/>
                <w:szCs w:val="21"/>
              </w:rPr>
            </w:pPr>
          </w:p>
        </w:tc>
        <w:tc>
          <w:tcPr>
            <w:tcW w:w="954" w:type="pct"/>
            <w:vAlign w:val="center"/>
          </w:tcPr>
          <w:p w14:paraId="6BA9E3E7">
            <w:pPr>
              <w:spacing w:line="240" w:lineRule="auto"/>
              <w:ind w:firstLine="0" w:firstLineChars="0"/>
              <w:jc w:val="center"/>
              <w:rPr>
                <w:rFonts w:cs="Times New Roman"/>
                <w:kern w:val="0"/>
                <w:sz w:val="21"/>
                <w:szCs w:val="21"/>
              </w:rPr>
            </w:pPr>
            <w:r>
              <w:rPr>
                <w:rFonts w:hint="eastAsia" w:cs="Times New Roman"/>
                <w:kern w:val="0"/>
                <w:sz w:val="21"/>
                <w:szCs w:val="21"/>
              </w:rPr>
              <w:t>HC</w:t>
            </w:r>
          </w:p>
        </w:tc>
        <w:tc>
          <w:tcPr>
            <w:tcW w:w="712" w:type="pct"/>
            <w:vAlign w:val="center"/>
          </w:tcPr>
          <w:p w14:paraId="6F990BC0">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71" w:type="pct"/>
            <w:vAlign w:val="center"/>
          </w:tcPr>
          <w:p w14:paraId="5D64C83F">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33" w:type="pct"/>
            <w:vAlign w:val="center"/>
          </w:tcPr>
          <w:p w14:paraId="7E6310B2">
            <w:pPr>
              <w:spacing w:line="240" w:lineRule="auto"/>
              <w:ind w:firstLine="0" w:firstLineChars="0"/>
              <w:jc w:val="center"/>
              <w:rPr>
                <w:rFonts w:cs="Times New Roman"/>
                <w:bCs/>
                <w:kern w:val="0"/>
                <w:sz w:val="21"/>
                <w:szCs w:val="21"/>
              </w:rPr>
            </w:pPr>
            <w:r>
              <w:rPr>
                <w:rFonts w:cs="Times New Roman"/>
                <w:bCs/>
                <w:kern w:val="0"/>
                <w:sz w:val="21"/>
                <w:szCs w:val="21"/>
              </w:rPr>
              <w:t>6.77</w:t>
            </w:r>
          </w:p>
        </w:tc>
        <w:tc>
          <w:tcPr>
            <w:tcW w:w="832" w:type="pct"/>
            <w:vAlign w:val="center"/>
          </w:tcPr>
          <w:p w14:paraId="39846783">
            <w:pPr>
              <w:spacing w:line="240" w:lineRule="auto"/>
              <w:ind w:firstLine="0" w:firstLineChars="0"/>
              <w:jc w:val="center"/>
              <w:rPr>
                <w:rFonts w:cs="Times New Roman"/>
                <w:bCs/>
                <w:kern w:val="0"/>
                <w:sz w:val="21"/>
                <w:szCs w:val="21"/>
              </w:rPr>
            </w:pPr>
            <w:r>
              <w:rPr>
                <w:rFonts w:cs="Times New Roman"/>
                <w:bCs/>
                <w:kern w:val="0"/>
                <w:sz w:val="21"/>
                <w:szCs w:val="21"/>
              </w:rPr>
              <w:t>6.77</w:t>
            </w:r>
          </w:p>
        </w:tc>
      </w:tr>
      <w:tr w14:paraId="259A2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0A4E5A16">
            <w:pPr>
              <w:spacing w:line="240" w:lineRule="auto"/>
              <w:ind w:firstLine="0" w:firstLineChars="0"/>
              <w:jc w:val="center"/>
              <w:rPr>
                <w:rFonts w:cs="Times New Roman"/>
                <w:kern w:val="0"/>
                <w:sz w:val="21"/>
                <w:szCs w:val="21"/>
              </w:rPr>
            </w:pPr>
          </w:p>
        </w:tc>
        <w:tc>
          <w:tcPr>
            <w:tcW w:w="954" w:type="pct"/>
            <w:vAlign w:val="center"/>
          </w:tcPr>
          <w:p w14:paraId="7AE2A5ED">
            <w:pPr>
              <w:spacing w:line="240" w:lineRule="auto"/>
              <w:ind w:firstLine="0" w:firstLineChars="0"/>
              <w:jc w:val="center"/>
              <w:rPr>
                <w:rFonts w:cs="Times New Roman"/>
                <w:kern w:val="0"/>
                <w:sz w:val="21"/>
                <w:szCs w:val="21"/>
              </w:rPr>
            </w:pPr>
            <w:r>
              <w:rPr>
                <w:rFonts w:hint="eastAsia" w:cs="Times New Roman"/>
                <w:bCs/>
                <w:kern w:val="0"/>
                <w:sz w:val="21"/>
                <w:szCs w:val="21"/>
              </w:rPr>
              <w:t>SO</w:t>
            </w:r>
            <w:r>
              <w:rPr>
                <w:rFonts w:hint="eastAsia" w:cs="Times New Roman"/>
                <w:bCs/>
                <w:kern w:val="0"/>
                <w:sz w:val="21"/>
                <w:szCs w:val="21"/>
                <w:vertAlign w:val="subscript"/>
              </w:rPr>
              <w:t>2</w:t>
            </w:r>
          </w:p>
        </w:tc>
        <w:tc>
          <w:tcPr>
            <w:tcW w:w="712" w:type="pct"/>
            <w:vAlign w:val="center"/>
          </w:tcPr>
          <w:p w14:paraId="64046E2E">
            <w:pPr>
              <w:spacing w:line="240" w:lineRule="auto"/>
              <w:ind w:firstLine="0" w:firstLineChars="0"/>
              <w:jc w:val="center"/>
              <w:rPr>
                <w:rFonts w:cs="Times New Roman"/>
                <w:bCs/>
                <w:kern w:val="0"/>
                <w:sz w:val="21"/>
                <w:szCs w:val="21"/>
              </w:rPr>
            </w:pPr>
            <w:r>
              <w:rPr>
                <w:rFonts w:hint="eastAsia" w:cs="Times New Roman"/>
                <w:kern w:val="0"/>
                <w:sz w:val="21"/>
                <w:szCs w:val="21"/>
              </w:rPr>
              <w:t>/</w:t>
            </w:r>
          </w:p>
        </w:tc>
        <w:tc>
          <w:tcPr>
            <w:tcW w:w="871" w:type="pct"/>
            <w:vAlign w:val="center"/>
          </w:tcPr>
          <w:p w14:paraId="1903C8EF">
            <w:pPr>
              <w:spacing w:line="240" w:lineRule="auto"/>
              <w:ind w:firstLine="0" w:firstLineChars="0"/>
              <w:jc w:val="center"/>
              <w:rPr>
                <w:rFonts w:cs="Times New Roman"/>
                <w:bCs/>
                <w:kern w:val="0"/>
                <w:sz w:val="21"/>
                <w:szCs w:val="21"/>
              </w:rPr>
            </w:pPr>
            <w:r>
              <w:rPr>
                <w:rFonts w:hint="eastAsia" w:cs="Times New Roman"/>
                <w:bCs/>
                <w:kern w:val="0"/>
                <w:sz w:val="21"/>
                <w:szCs w:val="21"/>
              </w:rPr>
              <w:t>0.012</w:t>
            </w:r>
          </w:p>
        </w:tc>
        <w:tc>
          <w:tcPr>
            <w:tcW w:w="833" w:type="pct"/>
            <w:vAlign w:val="center"/>
          </w:tcPr>
          <w:p w14:paraId="414033B8">
            <w:pPr>
              <w:spacing w:line="240" w:lineRule="auto"/>
              <w:ind w:firstLine="0" w:firstLineChars="0"/>
              <w:jc w:val="center"/>
              <w:rPr>
                <w:rFonts w:cs="Times New Roman"/>
                <w:bCs/>
                <w:kern w:val="0"/>
                <w:sz w:val="21"/>
                <w:szCs w:val="21"/>
              </w:rPr>
            </w:pPr>
            <w:r>
              <w:rPr>
                <w:rFonts w:cs="Times New Roman"/>
                <w:bCs/>
                <w:kern w:val="0"/>
                <w:sz w:val="21"/>
                <w:szCs w:val="21"/>
              </w:rPr>
              <w:t>/</w:t>
            </w:r>
          </w:p>
        </w:tc>
        <w:tc>
          <w:tcPr>
            <w:tcW w:w="832" w:type="pct"/>
            <w:vAlign w:val="center"/>
          </w:tcPr>
          <w:p w14:paraId="570CEAD7">
            <w:pPr>
              <w:spacing w:line="240" w:lineRule="auto"/>
              <w:ind w:firstLine="0" w:firstLineChars="0"/>
              <w:jc w:val="center"/>
              <w:rPr>
                <w:rFonts w:cs="Times New Roman"/>
                <w:kern w:val="0"/>
                <w:sz w:val="21"/>
                <w:szCs w:val="21"/>
              </w:rPr>
            </w:pPr>
            <w:r>
              <w:rPr>
                <w:rFonts w:hint="eastAsia" w:cs="Times New Roman"/>
                <w:bCs/>
                <w:kern w:val="0"/>
                <w:sz w:val="21"/>
                <w:szCs w:val="21"/>
              </w:rPr>
              <w:t>0.012</w:t>
            </w:r>
          </w:p>
        </w:tc>
      </w:tr>
      <w:tr w14:paraId="48D0C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2504452E">
            <w:pPr>
              <w:spacing w:line="240" w:lineRule="auto"/>
              <w:ind w:firstLine="0" w:firstLineChars="0"/>
              <w:jc w:val="center"/>
              <w:rPr>
                <w:rFonts w:cs="Times New Roman"/>
                <w:kern w:val="0"/>
                <w:sz w:val="21"/>
                <w:szCs w:val="21"/>
              </w:rPr>
            </w:pPr>
          </w:p>
        </w:tc>
        <w:tc>
          <w:tcPr>
            <w:tcW w:w="954" w:type="pct"/>
            <w:vAlign w:val="center"/>
          </w:tcPr>
          <w:p w14:paraId="2FDEBE18">
            <w:pPr>
              <w:spacing w:line="240" w:lineRule="auto"/>
              <w:ind w:firstLine="0" w:firstLineChars="0"/>
              <w:jc w:val="center"/>
              <w:rPr>
                <w:rFonts w:cs="Times New Roman"/>
                <w:kern w:val="0"/>
                <w:sz w:val="21"/>
                <w:szCs w:val="21"/>
              </w:rPr>
            </w:pPr>
            <w:r>
              <w:rPr>
                <w:rFonts w:hint="eastAsia" w:cs="Times New Roman"/>
                <w:bCs/>
                <w:kern w:val="0"/>
                <w:sz w:val="21"/>
                <w:szCs w:val="21"/>
              </w:rPr>
              <w:t>NOx</w:t>
            </w:r>
          </w:p>
        </w:tc>
        <w:tc>
          <w:tcPr>
            <w:tcW w:w="712" w:type="pct"/>
            <w:vAlign w:val="center"/>
          </w:tcPr>
          <w:p w14:paraId="0F2F6408">
            <w:pPr>
              <w:spacing w:line="240" w:lineRule="auto"/>
              <w:ind w:firstLine="0" w:firstLineChars="0"/>
              <w:jc w:val="center"/>
              <w:rPr>
                <w:rFonts w:cs="Times New Roman"/>
                <w:bCs/>
                <w:kern w:val="0"/>
                <w:sz w:val="21"/>
                <w:szCs w:val="21"/>
              </w:rPr>
            </w:pPr>
            <w:r>
              <w:rPr>
                <w:rFonts w:hint="eastAsia" w:cs="Times New Roman"/>
                <w:kern w:val="0"/>
                <w:sz w:val="21"/>
                <w:szCs w:val="21"/>
              </w:rPr>
              <w:t>/</w:t>
            </w:r>
          </w:p>
        </w:tc>
        <w:tc>
          <w:tcPr>
            <w:tcW w:w="871" w:type="pct"/>
            <w:vAlign w:val="center"/>
          </w:tcPr>
          <w:p w14:paraId="281D3B0F">
            <w:pPr>
              <w:spacing w:line="240" w:lineRule="auto"/>
              <w:ind w:firstLine="0" w:firstLineChars="0"/>
              <w:jc w:val="center"/>
              <w:rPr>
                <w:rFonts w:cs="Times New Roman"/>
                <w:bCs/>
                <w:kern w:val="0"/>
                <w:sz w:val="21"/>
                <w:szCs w:val="21"/>
              </w:rPr>
            </w:pPr>
            <w:r>
              <w:rPr>
                <w:rFonts w:hint="eastAsia" w:cs="Times New Roman"/>
                <w:bCs/>
                <w:kern w:val="0"/>
                <w:sz w:val="21"/>
                <w:szCs w:val="21"/>
              </w:rPr>
              <w:t>13.6</w:t>
            </w:r>
          </w:p>
        </w:tc>
        <w:tc>
          <w:tcPr>
            <w:tcW w:w="833" w:type="pct"/>
            <w:vAlign w:val="center"/>
          </w:tcPr>
          <w:p w14:paraId="046F721D">
            <w:pPr>
              <w:spacing w:line="240" w:lineRule="auto"/>
              <w:ind w:firstLine="0" w:firstLineChars="0"/>
              <w:jc w:val="center"/>
              <w:rPr>
                <w:rFonts w:cs="Times New Roman"/>
                <w:bCs/>
                <w:kern w:val="0"/>
                <w:sz w:val="21"/>
                <w:szCs w:val="21"/>
              </w:rPr>
            </w:pPr>
            <w:r>
              <w:rPr>
                <w:rFonts w:cs="Times New Roman"/>
                <w:bCs/>
                <w:kern w:val="0"/>
                <w:sz w:val="21"/>
                <w:szCs w:val="21"/>
              </w:rPr>
              <w:t>3.85</w:t>
            </w:r>
          </w:p>
        </w:tc>
        <w:tc>
          <w:tcPr>
            <w:tcW w:w="1419" w:type="dxa"/>
            <w:vAlign w:val="center"/>
          </w:tcPr>
          <w:p w14:paraId="427976D6">
            <w:pPr>
              <w:spacing w:line="240" w:lineRule="auto"/>
              <w:ind w:firstLine="0" w:firstLineChars="0"/>
              <w:jc w:val="center"/>
              <w:rPr>
                <w:rFonts w:cs="Times New Roman"/>
                <w:bCs/>
                <w:kern w:val="0"/>
                <w:sz w:val="21"/>
                <w:szCs w:val="21"/>
              </w:rPr>
            </w:pPr>
            <w:r>
              <w:rPr>
                <w:rFonts w:hint="eastAsia" w:cs="Times New Roman"/>
                <w:bCs/>
                <w:kern w:val="0"/>
                <w:sz w:val="21"/>
                <w:szCs w:val="21"/>
              </w:rPr>
              <w:t>17.45</w:t>
            </w:r>
          </w:p>
        </w:tc>
      </w:tr>
      <w:tr w14:paraId="28096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0B95F908">
            <w:pPr>
              <w:spacing w:line="240" w:lineRule="auto"/>
              <w:ind w:firstLine="0" w:firstLineChars="0"/>
              <w:jc w:val="center"/>
              <w:rPr>
                <w:rFonts w:cs="Times New Roman"/>
                <w:kern w:val="0"/>
                <w:sz w:val="21"/>
                <w:szCs w:val="21"/>
              </w:rPr>
            </w:pPr>
          </w:p>
        </w:tc>
        <w:tc>
          <w:tcPr>
            <w:tcW w:w="954" w:type="pct"/>
            <w:vAlign w:val="center"/>
          </w:tcPr>
          <w:p w14:paraId="137F53E4">
            <w:pPr>
              <w:spacing w:line="240" w:lineRule="auto"/>
              <w:ind w:firstLine="0" w:firstLineChars="0"/>
              <w:jc w:val="center"/>
              <w:rPr>
                <w:rFonts w:cs="Times New Roman"/>
                <w:kern w:val="0"/>
                <w:sz w:val="21"/>
                <w:szCs w:val="21"/>
              </w:rPr>
            </w:pPr>
            <w:r>
              <w:rPr>
                <w:rFonts w:hint="eastAsia" w:cs="Times New Roman"/>
                <w:bCs/>
                <w:kern w:val="0"/>
                <w:sz w:val="21"/>
                <w:szCs w:val="21"/>
              </w:rPr>
              <w:t>VOCs</w:t>
            </w:r>
          </w:p>
        </w:tc>
        <w:tc>
          <w:tcPr>
            <w:tcW w:w="712" w:type="pct"/>
            <w:vAlign w:val="center"/>
          </w:tcPr>
          <w:p w14:paraId="16C21D35">
            <w:pPr>
              <w:spacing w:line="240" w:lineRule="auto"/>
              <w:ind w:firstLine="0" w:firstLineChars="0"/>
              <w:jc w:val="center"/>
              <w:rPr>
                <w:rFonts w:cs="Times New Roman"/>
                <w:bCs/>
                <w:kern w:val="0"/>
                <w:sz w:val="21"/>
                <w:szCs w:val="21"/>
              </w:rPr>
            </w:pPr>
            <w:r>
              <w:rPr>
                <w:rFonts w:hint="eastAsia" w:cs="Times New Roman"/>
                <w:kern w:val="0"/>
                <w:sz w:val="21"/>
                <w:szCs w:val="21"/>
              </w:rPr>
              <w:t>/</w:t>
            </w:r>
          </w:p>
        </w:tc>
        <w:tc>
          <w:tcPr>
            <w:tcW w:w="871" w:type="pct"/>
            <w:vAlign w:val="center"/>
          </w:tcPr>
          <w:p w14:paraId="2FE749C1">
            <w:pPr>
              <w:spacing w:line="240" w:lineRule="auto"/>
              <w:ind w:firstLine="0" w:firstLineChars="0"/>
              <w:jc w:val="center"/>
              <w:rPr>
                <w:rFonts w:cs="Times New Roman"/>
                <w:bCs/>
                <w:kern w:val="0"/>
                <w:sz w:val="21"/>
                <w:szCs w:val="21"/>
              </w:rPr>
            </w:pPr>
            <w:r>
              <w:rPr>
                <w:rFonts w:hint="eastAsia" w:cs="Times New Roman"/>
                <w:bCs/>
                <w:kern w:val="0"/>
                <w:sz w:val="21"/>
                <w:szCs w:val="21"/>
              </w:rPr>
              <w:t>3.66</w:t>
            </w:r>
          </w:p>
        </w:tc>
        <w:tc>
          <w:tcPr>
            <w:tcW w:w="833" w:type="pct"/>
            <w:vAlign w:val="center"/>
          </w:tcPr>
          <w:p w14:paraId="5705403D">
            <w:pPr>
              <w:spacing w:line="240" w:lineRule="auto"/>
              <w:ind w:firstLine="0" w:firstLineChars="0"/>
              <w:jc w:val="center"/>
              <w:rPr>
                <w:rFonts w:cs="Times New Roman"/>
                <w:bCs/>
                <w:kern w:val="0"/>
                <w:sz w:val="21"/>
                <w:szCs w:val="21"/>
              </w:rPr>
            </w:pPr>
            <w:r>
              <w:rPr>
                <w:rFonts w:cs="Times New Roman"/>
                <w:bCs/>
                <w:kern w:val="0"/>
                <w:sz w:val="21"/>
                <w:szCs w:val="21"/>
              </w:rPr>
              <w:t>4.67</w:t>
            </w:r>
          </w:p>
        </w:tc>
        <w:tc>
          <w:tcPr>
            <w:tcW w:w="1419" w:type="dxa"/>
            <w:vAlign w:val="center"/>
          </w:tcPr>
          <w:p w14:paraId="7F7E36CD">
            <w:pPr>
              <w:spacing w:line="240" w:lineRule="auto"/>
              <w:ind w:firstLine="0" w:firstLineChars="0"/>
              <w:jc w:val="center"/>
              <w:rPr>
                <w:rFonts w:cs="Times New Roman"/>
                <w:bCs/>
                <w:kern w:val="0"/>
                <w:sz w:val="21"/>
                <w:szCs w:val="21"/>
              </w:rPr>
            </w:pPr>
            <w:r>
              <w:rPr>
                <w:rFonts w:hint="eastAsia" w:cs="Times New Roman"/>
                <w:bCs/>
                <w:kern w:val="0"/>
                <w:sz w:val="21"/>
                <w:szCs w:val="21"/>
              </w:rPr>
              <w:t>8.33</w:t>
            </w:r>
          </w:p>
        </w:tc>
      </w:tr>
      <w:tr w14:paraId="02131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0B518586">
            <w:pPr>
              <w:spacing w:line="240" w:lineRule="auto"/>
              <w:ind w:firstLine="0" w:firstLineChars="0"/>
              <w:jc w:val="center"/>
              <w:rPr>
                <w:rFonts w:cs="Times New Roman"/>
                <w:kern w:val="0"/>
                <w:sz w:val="21"/>
                <w:szCs w:val="21"/>
              </w:rPr>
            </w:pPr>
          </w:p>
        </w:tc>
        <w:tc>
          <w:tcPr>
            <w:tcW w:w="954" w:type="pct"/>
            <w:vAlign w:val="center"/>
          </w:tcPr>
          <w:p w14:paraId="517C1DE0">
            <w:pPr>
              <w:spacing w:line="240" w:lineRule="auto"/>
              <w:ind w:firstLine="0" w:firstLineChars="0"/>
              <w:jc w:val="center"/>
              <w:rPr>
                <w:rFonts w:cs="Times New Roman"/>
                <w:kern w:val="0"/>
                <w:sz w:val="21"/>
                <w:szCs w:val="21"/>
              </w:rPr>
            </w:pPr>
            <w:r>
              <w:rPr>
                <w:rFonts w:hint="eastAsia" w:cs="Times New Roman"/>
                <w:kern w:val="0"/>
                <w:sz w:val="21"/>
                <w:szCs w:val="21"/>
              </w:rPr>
              <w:t>颗粒物</w:t>
            </w:r>
          </w:p>
        </w:tc>
        <w:tc>
          <w:tcPr>
            <w:tcW w:w="712" w:type="pct"/>
            <w:vAlign w:val="center"/>
          </w:tcPr>
          <w:p w14:paraId="2192FD0F">
            <w:pPr>
              <w:spacing w:line="240" w:lineRule="auto"/>
              <w:ind w:firstLine="0" w:firstLineChars="0"/>
              <w:jc w:val="center"/>
              <w:rPr>
                <w:rFonts w:cs="Times New Roman"/>
                <w:bCs/>
                <w:kern w:val="0"/>
                <w:sz w:val="21"/>
                <w:szCs w:val="21"/>
              </w:rPr>
            </w:pPr>
            <w:r>
              <w:rPr>
                <w:rFonts w:hint="eastAsia" w:cs="Times New Roman"/>
                <w:kern w:val="0"/>
                <w:sz w:val="21"/>
                <w:szCs w:val="21"/>
              </w:rPr>
              <w:t>/</w:t>
            </w:r>
          </w:p>
        </w:tc>
        <w:tc>
          <w:tcPr>
            <w:tcW w:w="871" w:type="pct"/>
            <w:vAlign w:val="center"/>
          </w:tcPr>
          <w:p w14:paraId="1F02E465">
            <w:pPr>
              <w:spacing w:line="240" w:lineRule="auto"/>
              <w:ind w:firstLine="0" w:firstLineChars="0"/>
              <w:jc w:val="center"/>
              <w:rPr>
                <w:rFonts w:cs="Times New Roman"/>
                <w:bCs/>
                <w:kern w:val="0"/>
                <w:sz w:val="21"/>
                <w:szCs w:val="21"/>
              </w:rPr>
            </w:pPr>
            <w:r>
              <w:rPr>
                <w:rFonts w:hint="eastAsia" w:cs="Times New Roman"/>
                <w:bCs/>
                <w:kern w:val="0"/>
                <w:sz w:val="21"/>
                <w:szCs w:val="21"/>
              </w:rPr>
              <w:t>0.98</w:t>
            </w:r>
          </w:p>
        </w:tc>
        <w:tc>
          <w:tcPr>
            <w:tcW w:w="833" w:type="pct"/>
            <w:vAlign w:val="center"/>
          </w:tcPr>
          <w:p w14:paraId="4D00B628">
            <w:pPr>
              <w:spacing w:line="240" w:lineRule="auto"/>
              <w:ind w:firstLine="0" w:firstLineChars="0"/>
              <w:jc w:val="center"/>
              <w:rPr>
                <w:rFonts w:cs="Times New Roman"/>
                <w:bCs/>
                <w:kern w:val="0"/>
                <w:sz w:val="21"/>
                <w:szCs w:val="21"/>
              </w:rPr>
            </w:pPr>
            <w:r>
              <w:rPr>
                <w:rFonts w:cs="Times New Roman"/>
                <w:bCs/>
                <w:kern w:val="0"/>
                <w:sz w:val="21"/>
                <w:szCs w:val="21"/>
              </w:rPr>
              <w:t>0.23</w:t>
            </w:r>
          </w:p>
        </w:tc>
        <w:tc>
          <w:tcPr>
            <w:tcW w:w="1419" w:type="dxa"/>
            <w:vAlign w:val="center"/>
          </w:tcPr>
          <w:p w14:paraId="2F58F09A">
            <w:pPr>
              <w:spacing w:line="240" w:lineRule="auto"/>
              <w:ind w:firstLine="0" w:firstLineChars="0"/>
              <w:jc w:val="center"/>
              <w:rPr>
                <w:rFonts w:cs="Times New Roman"/>
                <w:bCs/>
                <w:kern w:val="0"/>
                <w:sz w:val="21"/>
                <w:szCs w:val="21"/>
              </w:rPr>
            </w:pPr>
            <w:r>
              <w:rPr>
                <w:rFonts w:hint="eastAsia" w:cs="Times New Roman"/>
                <w:bCs/>
                <w:kern w:val="0"/>
                <w:sz w:val="21"/>
                <w:szCs w:val="21"/>
              </w:rPr>
              <w:t>1.21</w:t>
            </w:r>
          </w:p>
        </w:tc>
      </w:tr>
      <w:tr w14:paraId="0BD60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vAlign w:val="center"/>
          </w:tcPr>
          <w:p w14:paraId="314546E2">
            <w:pPr>
              <w:spacing w:line="240" w:lineRule="auto"/>
              <w:ind w:firstLine="0" w:firstLineChars="0"/>
              <w:jc w:val="center"/>
              <w:rPr>
                <w:rFonts w:cs="Times New Roman"/>
                <w:kern w:val="0"/>
                <w:sz w:val="21"/>
                <w:szCs w:val="21"/>
              </w:rPr>
            </w:pPr>
          </w:p>
        </w:tc>
        <w:tc>
          <w:tcPr>
            <w:tcW w:w="954" w:type="pct"/>
            <w:vAlign w:val="center"/>
          </w:tcPr>
          <w:p w14:paraId="49BD23D8">
            <w:pPr>
              <w:spacing w:line="240" w:lineRule="auto"/>
              <w:ind w:firstLine="0" w:firstLineChars="0"/>
              <w:jc w:val="center"/>
              <w:rPr>
                <w:rFonts w:cs="Times New Roman"/>
                <w:kern w:val="0"/>
                <w:sz w:val="21"/>
                <w:szCs w:val="21"/>
              </w:rPr>
            </w:pPr>
            <w:r>
              <w:rPr>
                <w:rFonts w:hint="eastAsia" w:cs="Times New Roman"/>
                <w:kern w:val="0"/>
                <w:sz w:val="21"/>
                <w:szCs w:val="21"/>
              </w:rPr>
              <w:t>油烟</w:t>
            </w:r>
          </w:p>
        </w:tc>
        <w:tc>
          <w:tcPr>
            <w:tcW w:w="712" w:type="pct"/>
            <w:vAlign w:val="center"/>
          </w:tcPr>
          <w:p w14:paraId="7814FAD8">
            <w:pPr>
              <w:spacing w:line="240" w:lineRule="auto"/>
              <w:ind w:firstLine="0" w:firstLineChars="0"/>
              <w:jc w:val="center"/>
              <w:rPr>
                <w:rFonts w:cs="Times New Roman"/>
                <w:bCs/>
                <w:kern w:val="0"/>
                <w:sz w:val="21"/>
                <w:szCs w:val="21"/>
              </w:rPr>
            </w:pPr>
            <w:r>
              <w:rPr>
                <w:rFonts w:hint="eastAsia" w:cs="Times New Roman"/>
                <w:kern w:val="0"/>
                <w:sz w:val="21"/>
                <w:szCs w:val="21"/>
              </w:rPr>
              <w:t>/</w:t>
            </w:r>
          </w:p>
        </w:tc>
        <w:tc>
          <w:tcPr>
            <w:tcW w:w="871" w:type="pct"/>
            <w:vAlign w:val="center"/>
          </w:tcPr>
          <w:p w14:paraId="57E82774">
            <w:pPr>
              <w:spacing w:line="240" w:lineRule="auto"/>
              <w:ind w:firstLine="0" w:firstLineChars="0"/>
              <w:jc w:val="center"/>
              <w:rPr>
                <w:rFonts w:cs="Times New Roman"/>
                <w:bCs/>
                <w:kern w:val="0"/>
                <w:sz w:val="21"/>
                <w:szCs w:val="21"/>
              </w:rPr>
            </w:pPr>
            <w:r>
              <w:rPr>
                <w:rFonts w:hint="eastAsia" w:cs="Times New Roman"/>
                <w:bCs/>
                <w:kern w:val="0"/>
                <w:sz w:val="21"/>
                <w:szCs w:val="21"/>
              </w:rPr>
              <w:t>3.85</w:t>
            </w:r>
          </w:p>
        </w:tc>
        <w:tc>
          <w:tcPr>
            <w:tcW w:w="833" w:type="pct"/>
            <w:vAlign w:val="center"/>
          </w:tcPr>
          <w:p w14:paraId="003E7811">
            <w:pPr>
              <w:spacing w:line="240" w:lineRule="auto"/>
              <w:ind w:firstLine="0" w:firstLineChars="0"/>
              <w:jc w:val="center"/>
              <w:rPr>
                <w:rFonts w:cs="Times New Roman"/>
                <w:bCs/>
                <w:kern w:val="0"/>
                <w:sz w:val="21"/>
                <w:szCs w:val="21"/>
              </w:rPr>
            </w:pPr>
            <w:r>
              <w:rPr>
                <w:rFonts w:cs="Times New Roman"/>
                <w:bCs/>
                <w:kern w:val="0"/>
                <w:sz w:val="21"/>
                <w:szCs w:val="21"/>
              </w:rPr>
              <w:t>/</w:t>
            </w:r>
          </w:p>
        </w:tc>
        <w:tc>
          <w:tcPr>
            <w:tcW w:w="832" w:type="pct"/>
            <w:vAlign w:val="center"/>
          </w:tcPr>
          <w:p w14:paraId="7790DF5E">
            <w:pPr>
              <w:spacing w:line="240" w:lineRule="auto"/>
              <w:ind w:firstLine="0" w:firstLineChars="0"/>
              <w:jc w:val="center"/>
              <w:rPr>
                <w:rFonts w:cs="Times New Roman"/>
                <w:kern w:val="0"/>
                <w:sz w:val="21"/>
                <w:szCs w:val="21"/>
              </w:rPr>
            </w:pPr>
            <w:r>
              <w:rPr>
                <w:rFonts w:hint="eastAsia" w:cs="Times New Roman"/>
                <w:kern w:val="0"/>
                <w:sz w:val="21"/>
                <w:szCs w:val="21"/>
              </w:rPr>
              <w:t>3.85</w:t>
            </w:r>
          </w:p>
        </w:tc>
      </w:tr>
    </w:tbl>
    <w:p w14:paraId="2CB1D332">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2</w:t>
      </w:r>
      <w:r>
        <w:rPr>
          <w:rFonts w:eastAsia="方正楷体_GBK" w:cs="Times New Roman"/>
          <w:b/>
          <w:bCs/>
          <w:szCs w:val="28"/>
          <w14:ligatures w14:val="none"/>
        </w:rPr>
        <w:t>.</w:t>
      </w:r>
      <w:r>
        <w:rPr>
          <w:rFonts w:hint="eastAsia" w:eastAsia="方正楷体_GBK" w:cs="Times New Roman"/>
          <w:b/>
          <w:bCs/>
          <w:szCs w:val="28"/>
          <w14:ligatures w14:val="none"/>
        </w:rPr>
        <w:t>2废水污染源强估算</w:t>
      </w:r>
    </w:p>
    <w:p w14:paraId="3CFFF5CA">
      <w:pPr>
        <w:ind w:firstLine="482"/>
        <w:rPr>
          <w:b/>
          <w:bCs/>
        </w:rPr>
      </w:pPr>
      <w:r>
        <w:rPr>
          <w:b/>
          <w:bCs/>
        </w:rPr>
        <w:t>（</w:t>
      </w:r>
      <w:r>
        <w:rPr>
          <w:rFonts w:hint="eastAsia"/>
          <w:b/>
          <w:bCs/>
        </w:rPr>
        <w:t>1）工业源</w:t>
      </w:r>
    </w:p>
    <w:p w14:paraId="42850AF1">
      <w:pPr>
        <w:ind w:firstLine="480"/>
      </w:pPr>
      <w:r>
        <w:rPr>
          <w:rFonts w:hint="eastAsia"/>
        </w:rPr>
        <w:t>目前规划范围内工业企业均无工业废水排放，工业企业排放的均为生活污水。随着规划末期工业企业的逐步关闭退出，度假区内也不再有工业废水污染源。</w:t>
      </w:r>
    </w:p>
    <w:p w14:paraId="0501A11D">
      <w:pPr>
        <w:ind w:firstLine="482"/>
        <w:rPr>
          <w:b/>
          <w:bCs/>
        </w:rPr>
      </w:pPr>
      <w:r>
        <w:rPr>
          <w:b/>
          <w:bCs/>
        </w:rPr>
        <w:t>（</w:t>
      </w:r>
      <w:r>
        <w:rPr>
          <w:rFonts w:hint="eastAsia"/>
          <w:b/>
          <w:bCs/>
        </w:rPr>
        <w:t>2）生活源</w:t>
      </w:r>
    </w:p>
    <w:p w14:paraId="2A8E75AE">
      <w:pPr>
        <w:ind w:firstLine="480"/>
      </w:pPr>
      <w:r>
        <w:rPr>
          <w:rFonts w:hint="eastAsia"/>
        </w:rPr>
        <w:t>根据5.1.1章节规划期度假区水资源消耗预测情况，产污系数按0.8计，则规划近期居民生活污水和游客生活污水排放总量为136.48万t/a；规划远期居民生活污水和游客生活污水排放总量为150.17万t/a。根据处置方式的不同，茅东污水处理厂根据2023-2024年出水水质情况，COD、氨氮、总磷、总氮排放浓度取均值18.21mg/L、0.18mg/L、0.04mg/L和5.19mg/L，农村分散式处理设施COD、氨氮、总磷、总氮排放浓度取75mg/L、8mg/L、1mg/L和15mg/L，计算得到度假区规划期主要水污染物COD、氨氮、总磷总氮排放量见表5.2-7。</w:t>
      </w:r>
    </w:p>
    <w:p w14:paraId="36456B21">
      <w:pPr>
        <w:ind w:firstLine="480"/>
      </w:pPr>
      <w:r>
        <w:rPr>
          <w:rFonts w:hint="eastAsia"/>
        </w:rPr>
        <w:t>目前茅东污水处理厂的污水处理能力为10000 m</w:t>
      </w:r>
      <w:r>
        <w:rPr>
          <w:rFonts w:hint="eastAsia"/>
          <w:vertAlign w:val="superscript"/>
        </w:rPr>
        <w:t>3</w:t>
      </w:r>
      <w:r>
        <w:rPr>
          <w:rFonts w:hint="eastAsia"/>
        </w:rPr>
        <w:t>/d，远期规划处置能力达15000 m</w:t>
      </w:r>
      <w:r>
        <w:rPr>
          <w:rFonts w:hint="eastAsia"/>
          <w:vertAlign w:val="superscript"/>
        </w:rPr>
        <w:t>3</w:t>
      </w:r>
      <w:r>
        <w:rPr>
          <w:rFonts w:hint="eastAsia"/>
        </w:rPr>
        <w:t>/d，远期规划处置能力能够满足规划末期度假区内最大生活污水量处置需求。</w:t>
      </w:r>
    </w:p>
    <w:p w14:paraId="202B9F71">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2</w:t>
      </w:r>
      <w:r>
        <w:rPr>
          <w:rFonts w:cs="Times New Roman"/>
        </w:rPr>
        <w:t>-</w:t>
      </w:r>
      <w:r>
        <w:rPr>
          <w:rFonts w:hint="eastAsia" w:cs="Times New Roman"/>
        </w:rPr>
        <w:t>7</w:t>
      </w:r>
      <w:r>
        <w:rPr>
          <w:rFonts w:cs="Times New Roman"/>
        </w:rPr>
        <w:t xml:space="preserve">  规划</w:t>
      </w:r>
      <w:r>
        <w:rPr>
          <w:rFonts w:hint="eastAsia" w:cs="Times New Roman"/>
        </w:rPr>
        <w:t>期度假</w:t>
      </w:r>
      <w:r>
        <w:rPr>
          <w:rFonts w:cs="Times New Roman"/>
        </w:rPr>
        <w:t>区</w:t>
      </w:r>
      <w:r>
        <w:rPr>
          <w:rFonts w:hint="eastAsia" w:cs="Times New Roman"/>
        </w:rPr>
        <w:t>生活污水</w:t>
      </w:r>
      <w:r>
        <w:rPr>
          <w:rFonts w:cs="Times New Roman"/>
        </w:rPr>
        <w:t>污染物排放量</w:t>
      </w:r>
      <w:r>
        <w:rPr>
          <w:rFonts w:hint="eastAsia" w:cs="Times New Roman"/>
        </w:rPr>
        <w:t>汇总</w:t>
      </w:r>
      <w:r>
        <w:rPr>
          <w:rFonts w:cs="Times New Roman"/>
        </w:rPr>
        <w:t>表</w:t>
      </w:r>
    </w:p>
    <w:tbl>
      <w:tblPr>
        <w:tblStyle w:val="26"/>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3"/>
        <w:gridCol w:w="1714"/>
        <w:gridCol w:w="1076"/>
        <w:gridCol w:w="1076"/>
        <w:gridCol w:w="1076"/>
        <w:gridCol w:w="1083"/>
      </w:tblGrid>
      <w:tr w14:paraId="2AB63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9" w:type="pct"/>
            <w:vMerge w:val="restart"/>
            <w:vAlign w:val="center"/>
          </w:tcPr>
          <w:p w14:paraId="44906C58">
            <w:pPr>
              <w:spacing w:line="240" w:lineRule="auto"/>
              <w:ind w:firstLine="0" w:firstLineChars="0"/>
              <w:jc w:val="center"/>
              <w:rPr>
                <w:b/>
                <w:bCs/>
                <w:sz w:val="21"/>
                <w:szCs w:val="21"/>
              </w:rPr>
            </w:pPr>
            <w:r>
              <w:rPr>
                <w:rFonts w:hint="eastAsia"/>
                <w:b/>
                <w:bCs/>
                <w:sz w:val="21"/>
                <w:szCs w:val="21"/>
              </w:rPr>
              <w:t>规划时期</w:t>
            </w:r>
          </w:p>
        </w:tc>
        <w:tc>
          <w:tcPr>
            <w:tcW w:w="1007" w:type="pct"/>
            <w:vMerge w:val="restart"/>
            <w:vAlign w:val="center"/>
          </w:tcPr>
          <w:p w14:paraId="739951F1">
            <w:pPr>
              <w:spacing w:line="240" w:lineRule="auto"/>
              <w:ind w:firstLine="0" w:firstLineChars="0"/>
              <w:jc w:val="center"/>
              <w:rPr>
                <w:b/>
                <w:bCs/>
                <w:sz w:val="21"/>
                <w:szCs w:val="21"/>
              </w:rPr>
            </w:pPr>
            <w:r>
              <w:rPr>
                <w:rFonts w:hint="eastAsia"/>
                <w:b/>
                <w:bCs/>
                <w:sz w:val="21"/>
                <w:szCs w:val="21"/>
              </w:rPr>
              <w:t>生活废水排放总量</w:t>
            </w:r>
            <w:r>
              <w:rPr>
                <w:rFonts w:hint="eastAsia" w:eastAsia="宋体"/>
                <w:b/>
                <w:bCs/>
                <w:sz w:val="21"/>
                <w:szCs w:val="21"/>
              </w:rPr>
              <w:t>（t/a）</w:t>
            </w:r>
          </w:p>
        </w:tc>
        <w:tc>
          <w:tcPr>
            <w:tcW w:w="2532" w:type="pct"/>
            <w:gridSpan w:val="4"/>
            <w:vAlign w:val="center"/>
          </w:tcPr>
          <w:p w14:paraId="5BE992EB">
            <w:pPr>
              <w:spacing w:line="240" w:lineRule="auto"/>
              <w:ind w:firstLine="0" w:firstLineChars="0"/>
              <w:jc w:val="center"/>
              <w:rPr>
                <w:b/>
                <w:bCs/>
                <w:sz w:val="21"/>
                <w:szCs w:val="21"/>
              </w:rPr>
            </w:pPr>
            <w:r>
              <w:rPr>
                <w:rFonts w:hint="eastAsia"/>
                <w:b/>
                <w:bCs/>
                <w:sz w:val="21"/>
                <w:szCs w:val="21"/>
              </w:rPr>
              <w:t>污染物排放量（t/a）</w:t>
            </w:r>
          </w:p>
        </w:tc>
      </w:tr>
      <w:tr w14:paraId="44A4B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9" w:type="pct"/>
            <w:vMerge w:val="continue"/>
            <w:vAlign w:val="center"/>
          </w:tcPr>
          <w:p w14:paraId="2A9D117E">
            <w:pPr>
              <w:spacing w:line="240" w:lineRule="auto"/>
              <w:ind w:firstLine="0" w:firstLineChars="0"/>
              <w:jc w:val="center"/>
              <w:rPr>
                <w:b/>
                <w:bCs/>
                <w:sz w:val="21"/>
                <w:szCs w:val="21"/>
              </w:rPr>
            </w:pPr>
          </w:p>
        </w:tc>
        <w:tc>
          <w:tcPr>
            <w:tcW w:w="1007" w:type="pct"/>
            <w:vMerge w:val="continue"/>
            <w:vAlign w:val="center"/>
          </w:tcPr>
          <w:p w14:paraId="66B4DF78">
            <w:pPr>
              <w:spacing w:line="240" w:lineRule="auto"/>
              <w:ind w:firstLine="0" w:firstLineChars="0"/>
              <w:jc w:val="center"/>
              <w:rPr>
                <w:b/>
                <w:bCs/>
                <w:sz w:val="21"/>
                <w:szCs w:val="21"/>
              </w:rPr>
            </w:pPr>
          </w:p>
        </w:tc>
        <w:tc>
          <w:tcPr>
            <w:tcW w:w="632" w:type="pct"/>
            <w:vAlign w:val="center"/>
          </w:tcPr>
          <w:p w14:paraId="43EDF07C">
            <w:pPr>
              <w:spacing w:line="240" w:lineRule="auto"/>
              <w:ind w:firstLine="0" w:firstLineChars="0"/>
              <w:jc w:val="center"/>
              <w:rPr>
                <w:b/>
                <w:bCs/>
                <w:sz w:val="21"/>
                <w:szCs w:val="21"/>
              </w:rPr>
            </w:pPr>
            <w:r>
              <w:rPr>
                <w:rFonts w:hint="eastAsia"/>
                <w:b/>
                <w:bCs/>
                <w:sz w:val="21"/>
                <w:szCs w:val="21"/>
              </w:rPr>
              <w:t>COD</w:t>
            </w:r>
          </w:p>
        </w:tc>
        <w:tc>
          <w:tcPr>
            <w:tcW w:w="632" w:type="pct"/>
            <w:vAlign w:val="center"/>
          </w:tcPr>
          <w:p w14:paraId="1A2FA27C">
            <w:pPr>
              <w:spacing w:line="240" w:lineRule="auto"/>
              <w:ind w:firstLine="0" w:firstLineChars="0"/>
              <w:jc w:val="center"/>
              <w:rPr>
                <w:b/>
                <w:bCs/>
                <w:sz w:val="21"/>
                <w:szCs w:val="21"/>
              </w:rPr>
            </w:pPr>
            <w:r>
              <w:rPr>
                <w:rFonts w:hint="eastAsia"/>
                <w:b/>
                <w:bCs/>
                <w:sz w:val="21"/>
                <w:szCs w:val="21"/>
              </w:rPr>
              <w:t>氨氮</w:t>
            </w:r>
          </w:p>
        </w:tc>
        <w:tc>
          <w:tcPr>
            <w:tcW w:w="632" w:type="pct"/>
            <w:vAlign w:val="center"/>
          </w:tcPr>
          <w:p w14:paraId="307935EE">
            <w:pPr>
              <w:spacing w:line="240" w:lineRule="auto"/>
              <w:ind w:firstLine="0" w:firstLineChars="0"/>
              <w:jc w:val="center"/>
              <w:rPr>
                <w:b/>
                <w:bCs/>
                <w:sz w:val="21"/>
                <w:szCs w:val="21"/>
              </w:rPr>
            </w:pPr>
            <w:r>
              <w:rPr>
                <w:rFonts w:hint="eastAsia"/>
                <w:b/>
                <w:bCs/>
                <w:sz w:val="21"/>
                <w:szCs w:val="21"/>
              </w:rPr>
              <w:t>总磷</w:t>
            </w:r>
          </w:p>
        </w:tc>
        <w:tc>
          <w:tcPr>
            <w:tcW w:w="635" w:type="pct"/>
            <w:vAlign w:val="center"/>
          </w:tcPr>
          <w:p w14:paraId="3516BEDB">
            <w:pPr>
              <w:spacing w:line="240" w:lineRule="auto"/>
              <w:ind w:firstLine="0" w:firstLineChars="0"/>
              <w:jc w:val="center"/>
              <w:rPr>
                <w:b/>
                <w:bCs/>
                <w:sz w:val="21"/>
                <w:szCs w:val="21"/>
              </w:rPr>
            </w:pPr>
            <w:r>
              <w:rPr>
                <w:rFonts w:hint="eastAsia"/>
                <w:b/>
                <w:bCs/>
                <w:sz w:val="21"/>
                <w:szCs w:val="21"/>
              </w:rPr>
              <w:t>总氮</w:t>
            </w:r>
          </w:p>
        </w:tc>
      </w:tr>
      <w:tr w14:paraId="2D342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9" w:type="pct"/>
            <w:vAlign w:val="center"/>
          </w:tcPr>
          <w:p w14:paraId="7E2ABCBB">
            <w:pPr>
              <w:spacing w:line="240" w:lineRule="auto"/>
              <w:ind w:firstLine="0" w:firstLineChars="0"/>
              <w:jc w:val="center"/>
              <w:rPr>
                <w:sz w:val="21"/>
                <w:szCs w:val="21"/>
              </w:rPr>
            </w:pPr>
            <w:r>
              <w:rPr>
                <w:rFonts w:hint="eastAsia" w:cs="Times New Roman"/>
                <w:kern w:val="0"/>
                <w:sz w:val="21"/>
                <w:szCs w:val="21"/>
              </w:rPr>
              <w:t>规划近期（~2030年）</w:t>
            </w:r>
          </w:p>
        </w:tc>
        <w:tc>
          <w:tcPr>
            <w:tcW w:w="1007" w:type="pct"/>
            <w:vAlign w:val="center"/>
          </w:tcPr>
          <w:p w14:paraId="48974CAA">
            <w:pPr>
              <w:spacing w:line="240" w:lineRule="auto"/>
              <w:ind w:firstLine="0" w:firstLineChars="0"/>
              <w:jc w:val="center"/>
              <w:rPr>
                <w:sz w:val="21"/>
                <w:szCs w:val="21"/>
              </w:rPr>
            </w:pPr>
            <w:r>
              <w:rPr>
                <w:rFonts w:hint="eastAsia"/>
                <w:sz w:val="21"/>
                <w:szCs w:val="21"/>
              </w:rPr>
              <w:t>136.48万</w:t>
            </w:r>
          </w:p>
        </w:tc>
        <w:tc>
          <w:tcPr>
            <w:tcW w:w="632" w:type="pct"/>
            <w:vAlign w:val="center"/>
          </w:tcPr>
          <w:p w14:paraId="6F6503FA">
            <w:pPr>
              <w:spacing w:line="240" w:lineRule="auto"/>
              <w:ind w:firstLine="0" w:firstLineChars="0"/>
              <w:jc w:val="center"/>
              <w:rPr>
                <w:sz w:val="21"/>
                <w:szCs w:val="21"/>
              </w:rPr>
            </w:pPr>
            <w:r>
              <w:rPr>
                <w:rFonts w:hint="eastAsia"/>
                <w:sz w:val="21"/>
                <w:szCs w:val="21"/>
              </w:rPr>
              <w:t>30.19</w:t>
            </w:r>
          </w:p>
        </w:tc>
        <w:tc>
          <w:tcPr>
            <w:tcW w:w="632" w:type="pct"/>
            <w:vAlign w:val="center"/>
          </w:tcPr>
          <w:p w14:paraId="11566F15">
            <w:pPr>
              <w:spacing w:line="240" w:lineRule="auto"/>
              <w:ind w:firstLine="0" w:firstLineChars="0"/>
              <w:jc w:val="center"/>
              <w:rPr>
                <w:sz w:val="21"/>
                <w:szCs w:val="21"/>
              </w:rPr>
            </w:pPr>
            <w:r>
              <w:rPr>
                <w:rFonts w:hint="eastAsia"/>
                <w:sz w:val="21"/>
                <w:szCs w:val="21"/>
              </w:rPr>
              <w:t>0.29</w:t>
            </w:r>
          </w:p>
        </w:tc>
        <w:tc>
          <w:tcPr>
            <w:tcW w:w="632" w:type="pct"/>
            <w:vAlign w:val="center"/>
          </w:tcPr>
          <w:p w14:paraId="3BF0236A">
            <w:pPr>
              <w:spacing w:line="240" w:lineRule="auto"/>
              <w:ind w:firstLine="0" w:firstLineChars="0"/>
              <w:jc w:val="center"/>
              <w:rPr>
                <w:sz w:val="21"/>
                <w:szCs w:val="21"/>
              </w:rPr>
            </w:pPr>
            <w:r>
              <w:rPr>
                <w:rFonts w:hint="eastAsia"/>
                <w:sz w:val="21"/>
                <w:szCs w:val="21"/>
              </w:rPr>
              <w:t>0.07</w:t>
            </w:r>
          </w:p>
        </w:tc>
        <w:tc>
          <w:tcPr>
            <w:tcW w:w="635" w:type="pct"/>
            <w:vAlign w:val="center"/>
          </w:tcPr>
          <w:p w14:paraId="068B687C">
            <w:pPr>
              <w:spacing w:line="240" w:lineRule="auto"/>
              <w:ind w:firstLine="0" w:firstLineChars="0"/>
              <w:jc w:val="center"/>
              <w:rPr>
                <w:sz w:val="21"/>
                <w:szCs w:val="21"/>
              </w:rPr>
            </w:pPr>
            <w:r>
              <w:rPr>
                <w:rFonts w:hint="eastAsia"/>
                <w:sz w:val="21"/>
                <w:szCs w:val="21"/>
              </w:rPr>
              <w:t>8.61</w:t>
            </w:r>
          </w:p>
        </w:tc>
      </w:tr>
      <w:tr w14:paraId="49643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9" w:type="pct"/>
            <w:vAlign w:val="center"/>
          </w:tcPr>
          <w:p w14:paraId="43FFD89B">
            <w:pPr>
              <w:spacing w:line="240" w:lineRule="auto"/>
              <w:ind w:firstLine="0" w:firstLineChars="0"/>
              <w:jc w:val="center"/>
              <w:rPr>
                <w:sz w:val="21"/>
                <w:szCs w:val="21"/>
              </w:rPr>
            </w:pPr>
            <w:r>
              <w:rPr>
                <w:rFonts w:hint="eastAsia" w:cs="Times New Roman"/>
                <w:kern w:val="0"/>
                <w:sz w:val="21"/>
                <w:szCs w:val="21"/>
              </w:rPr>
              <w:t>规划远期（~2035年）</w:t>
            </w:r>
          </w:p>
        </w:tc>
        <w:tc>
          <w:tcPr>
            <w:tcW w:w="1007" w:type="pct"/>
            <w:vAlign w:val="center"/>
          </w:tcPr>
          <w:p w14:paraId="492596F0">
            <w:pPr>
              <w:spacing w:line="240" w:lineRule="auto"/>
              <w:ind w:firstLine="0" w:firstLineChars="0"/>
              <w:jc w:val="center"/>
              <w:rPr>
                <w:sz w:val="21"/>
                <w:szCs w:val="21"/>
              </w:rPr>
            </w:pPr>
            <w:r>
              <w:rPr>
                <w:rFonts w:hint="eastAsia"/>
                <w:sz w:val="21"/>
                <w:szCs w:val="21"/>
              </w:rPr>
              <w:t>150.17万</w:t>
            </w:r>
          </w:p>
        </w:tc>
        <w:tc>
          <w:tcPr>
            <w:tcW w:w="632" w:type="pct"/>
            <w:vAlign w:val="center"/>
          </w:tcPr>
          <w:p w14:paraId="421C4CDB">
            <w:pPr>
              <w:spacing w:line="240" w:lineRule="auto"/>
              <w:ind w:firstLine="0" w:firstLineChars="0"/>
              <w:jc w:val="center"/>
              <w:rPr>
                <w:sz w:val="21"/>
                <w:szCs w:val="21"/>
              </w:rPr>
            </w:pPr>
            <w:r>
              <w:rPr>
                <w:rFonts w:hint="eastAsia"/>
                <w:sz w:val="21"/>
                <w:szCs w:val="21"/>
              </w:rPr>
              <w:t>36.50</w:t>
            </w:r>
          </w:p>
        </w:tc>
        <w:tc>
          <w:tcPr>
            <w:tcW w:w="632" w:type="pct"/>
            <w:vAlign w:val="center"/>
          </w:tcPr>
          <w:p w14:paraId="52BD34F7">
            <w:pPr>
              <w:spacing w:line="240" w:lineRule="auto"/>
              <w:ind w:firstLine="0" w:firstLineChars="0"/>
              <w:jc w:val="center"/>
              <w:rPr>
                <w:sz w:val="21"/>
                <w:szCs w:val="21"/>
              </w:rPr>
            </w:pPr>
            <w:r>
              <w:rPr>
                <w:rFonts w:hint="eastAsia"/>
                <w:sz w:val="21"/>
                <w:szCs w:val="21"/>
              </w:rPr>
              <w:t>0.35</w:t>
            </w:r>
          </w:p>
        </w:tc>
        <w:tc>
          <w:tcPr>
            <w:tcW w:w="632" w:type="pct"/>
            <w:vAlign w:val="center"/>
          </w:tcPr>
          <w:p w14:paraId="3FA5C58B">
            <w:pPr>
              <w:spacing w:line="240" w:lineRule="auto"/>
              <w:ind w:firstLine="0" w:firstLineChars="0"/>
              <w:jc w:val="center"/>
              <w:rPr>
                <w:sz w:val="21"/>
                <w:szCs w:val="21"/>
              </w:rPr>
            </w:pPr>
            <w:r>
              <w:rPr>
                <w:rFonts w:hint="eastAsia"/>
                <w:sz w:val="21"/>
                <w:szCs w:val="21"/>
              </w:rPr>
              <w:t>0.08</w:t>
            </w:r>
          </w:p>
        </w:tc>
        <w:tc>
          <w:tcPr>
            <w:tcW w:w="635" w:type="pct"/>
            <w:vAlign w:val="center"/>
          </w:tcPr>
          <w:p w14:paraId="559828DB">
            <w:pPr>
              <w:spacing w:line="240" w:lineRule="auto"/>
              <w:ind w:firstLine="0" w:firstLineChars="0"/>
              <w:jc w:val="center"/>
              <w:rPr>
                <w:sz w:val="21"/>
                <w:szCs w:val="21"/>
              </w:rPr>
            </w:pPr>
            <w:r>
              <w:rPr>
                <w:rFonts w:hint="eastAsia"/>
                <w:sz w:val="21"/>
                <w:szCs w:val="21"/>
              </w:rPr>
              <w:t>10.41</w:t>
            </w:r>
          </w:p>
        </w:tc>
      </w:tr>
    </w:tbl>
    <w:p w14:paraId="25C6AE33">
      <w:pPr>
        <w:ind w:firstLine="482"/>
        <w:rPr>
          <w:b/>
          <w:bCs/>
        </w:rPr>
      </w:pPr>
      <w:r>
        <w:rPr>
          <w:b/>
          <w:bCs/>
        </w:rPr>
        <w:t>（</w:t>
      </w:r>
      <w:r>
        <w:rPr>
          <w:rFonts w:hint="eastAsia"/>
          <w:b/>
          <w:bCs/>
        </w:rPr>
        <w:t>3）农业面源</w:t>
      </w:r>
    </w:p>
    <w:p w14:paraId="5215AB73">
      <w:pPr>
        <w:ind w:firstLine="480"/>
      </w:pPr>
      <w:r>
        <w:rPr>
          <w:rFonts w:hint="eastAsia"/>
        </w:rPr>
        <w:t>度假区的农业面源污染主要来自区农业种植，规划末期度假区内农林用地面积约</w:t>
      </w:r>
      <w:r>
        <w:t>10031.54</w:t>
      </w:r>
      <w:r>
        <w:rPr>
          <w:rFonts w:hint="eastAsia"/>
        </w:rPr>
        <w:t>公顷，参考第二次全国污染源普查《排放源统计调查产排污核算方法和系数手册》附表1农业污染源产排污系数手册中的种植业氮磷排放（流失）系数，农田排放（流失）系数按氨氮0.928 kg/（公顷·a），总磷0.701 kg/（公顷·a），总氮6.484 kg/（公顷·a），园地排放（流失）系数按氨氮0.325 kg/（公顷·a），总磷0.171 kg/（公顷·a），总氮6.679 kg/（公顷·a）计算得到面源污染物的排放量见表5.2-8。</w:t>
      </w:r>
    </w:p>
    <w:p w14:paraId="245F3B36">
      <w:pPr>
        <w:ind w:firstLine="480"/>
      </w:pPr>
      <w:r>
        <w:rPr>
          <w:rFonts w:hint="eastAsia"/>
        </w:rPr>
        <w:br w:type="page"/>
      </w:r>
    </w:p>
    <w:p w14:paraId="746F57B0">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2</w:t>
      </w:r>
      <w:r>
        <w:rPr>
          <w:rFonts w:cs="Times New Roman"/>
        </w:rPr>
        <w:t>-</w:t>
      </w:r>
      <w:r>
        <w:rPr>
          <w:rFonts w:hint="eastAsia" w:cs="Times New Roman"/>
        </w:rPr>
        <w:t>8</w:t>
      </w:r>
      <w:r>
        <w:rPr>
          <w:rFonts w:cs="Times New Roman"/>
        </w:rPr>
        <w:t xml:space="preserve">  规划</w:t>
      </w:r>
      <w:r>
        <w:rPr>
          <w:rFonts w:hint="eastAsia" w:cs="Times New Roman"/>
        </w:rPr>
        <w:t>期度假</w:t>
      </w:r>
      <w:r>
        <w:rPr>
          <w:rFonts w:cs="Times New Roman"/>
        </w:rPr>
        <w:t>区</w:t>
      </w:r>
      <w:r>
        <w:rPr>
          <w:rFonts w:hint="eastAsia" w:cs="Times New Roman"/>
        </w:rPr>
        <w:t>农业面源</w:t>
      </w:r>
      <w:r>
        <w:rPr>
          <w:rFonts w:cs="Times New Roman"/>
        </w:rPr>
        <w:t>污染物排放量</w:t>
      </w:r>
      <w:r>
        <w:rPr>
          <w:rFonts w:hint="eastAsia" w:cs="Times New Roman"/>
        </w:rPr>
        <w:t>汇总</w:t>
      </w:r>
      <w:r>
        <w:rPr>
          <w:rFonts w:cs="Times New Roman"/>
        </w:rPr>
        <w:t>表</w:t>
      </w:r>
    </w:p>
    <w:tbl>
      <w:tblPr>
        <w:tblStyle w:val="26"/>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3"/>
        <w:gridCol w:w="848"/>
        <w:gridCol w:w="12"/>
        <w:gridCol w:w="963"/>
        <w:gridCol w:w="1431"/>
        <w:gridCol w:w="1431"/>
        <w:gridCol w:w="1440"/>
      </w:tblGrid>
      <w:tr w14:paraId="2B4CD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400" w:type="pct"/>
            <w:vMerge w:val="restart"/>
            <w:vAlign w:val="center"/>
          </w:tcPr>
          <w:p w14:paraId="6E83E94E">
            <w:pPr>
              <w:spacing w:line="240" w:lineRule="auto"/>
              <w:ind w:firstLine="0" w:firstLineChars="0"/>
              <w:jc w:val="center"/>
              <w:rPr>
                <w:b/>
                <w:bCs/>
                <w:sz w:val="21"/>
                <w:szCs w:val="21"/>
              </w:rPr>
            </w:pPr>
            <w:r>
              <w:rPr>
                <w:rFonts w:hint="eastAsia"/>
                <w:b/>
                <w:bCs/>
                <w:sz w:val="21"/>
                <w:szCs w:val="21"/>
              </w:rPr>
              <w:t>规划时期</w:t>
            </w:r>
          </w:p>
        </w:tc>
        <w:tc>
          <w:tcPr>
            <w:tcW w:w="498" w:type="pct"/>
            <w:vMerge w:val="restart"/>
            <w:vAlign w:val="center"/>
          </w:tcPr>
          <w:p w14:paraId="559A449A">
            <w:pPr>
              <w:spacing w:line="240" w:lineRule="auto"/>
              <w:ind w:firstLine="0" w:firstLineChars="0"/>
              <w:jc w:val="center"/>
              <w:rPr>
                <w:b/>
                <w:bCs/>
                <w:sz w:val="21"/>
                <w:szCs w:val="21"/>
              </w:rPr>
            </w:pPr>
            <w:r>
              <w:rPr>
                <w:rFonts w:hint="eastAsia"/>
                <w:b/>
                <w:bCs/>
                <w:sz w:val="21"/>
                <w:szCs w:val="21"/>
              </w:rPr>
              <w:t>类型</w:t>
            </w:r>
          </w:p>
        </w:tc>
        <w:tc>
          <w:tcPr>
            <w:tcW w:w="572" w:type="pct"/>
            <w:gridSpan w:val="2"/>
            <w:vMerge w:val="restart"/>
            <w:vAlign w:val="center"/>
          </w:tcPr>
          <w:p w14:paraId="1A46BE1C">
            <w:pPr>
              <w:spacing w:line="240" w:lineRule="auto"/>
              <w:ind w:firstLine="0" w:firstLineChars="0"/>
              <w:jc w:val="center"/>
              <w:rPr>
                <w:b/>
                <w:bCs/>
                <w:sz w:val="21"/>
                <w:szCs w:val="21"/>
              </w:rPr>
            </w:pPr>
            <w:r>
              <w:rPr>
                <w:rFonts w:hint="eastAsia"/>
                <w:b/>
                <w:bCs/>
                <w:sz w:val="21"/>
                <w:szCs w:val="21"/>
              </w:rPr>
              <w:t>面积</w:t>
            </w:r>
          </w:p>
          <w:p w14:paraId="26F7FCCF">
            <w:pPr>
              <w:spacing w:line="240" w:lineRule="auto"/>
              <w:ind w:firstLine="0" w:firstLineChars="0"/>
              <w:jc w:val="center"/>
              <w:rPr>
                <w:b/>
                <w:bCs/>
                <w:sz w:val="21"/>
                <w:szCs w:val="21"/>
              </w:rPr>
            </w:pPr>
            <w:r>
              <w:rPr>
                <w:rFonts w:hint="eastAsia"/>
                <w:b/>
                <w:bCs/>
                <w:sz w:val="21"/>
                <w:szCs w:val="21"/>
              </w:rPr>
              <w:t>（公顷）</w:t>
            </w:r>
          </w:p>
        </w:tc>
        <w:tc>
          <w:tcPr>
            <w:tcW w:w="2528" w:type="pct"/>
            <w:gridSpan w:val="3"/>
            <w:vAlign w:val="center"/>
          </w:tcPr>
          <w:p w14:paraId="12AA535D">
            <w:pPr>
              <w:spacing w:line="240" w:lineRule="auto"/>
              <w:ind w:firstLine="0" w:firstLineChars="0"/>
              <w:jc w:val="center"/>
              <w:rPr>
                <w:b/>
                <w:bCs/>
                <w:sz w:val="21"/>
                <w:szCs w:val="21"/>
              </w:rPr>
            </w:pPr>
            <w:r>
              <w:rPr>
                <w:rFonts w:hint="eastAsia"/>
                <w:b/>
                <w:bCs/>
                <w:sz w:val="21"/>
                <w:szCs w:val="21"/>
              </w:rPr>
              <w:t>污染物排放量</w:t>
            </w:r>
            <w:r>
              <w:rPr>
                <w:rFonts w:hint="eastAsia" w:eastAsia="宋体"/>
                <w:b/>
                <w:bCs/>
                <w:sz w:val="21"/>
                <w:szCs w:val="21"/>
              </w:rPr>
              <w:t>（t/a）</w:t>
            </w:r>
          </w:p>
        </w:tc>
      </w:tr>
      <w:tr w14:paraId="52A32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400" w:type="pct"/>
            <w:vMerge w:val="continue"/>
            <w:vAlign w:val="center"/>
          </w:tcPr>
          <w:p w14:paraId="3E344447">
            <w:pPr>
              <w:spacing w:line="240" w:lineRule="auto"/>
              <w:ind w:firstLine="0" w:firstLineChars="0"/>
              <w:jc w:val="center"/>
              <w:rPr>
                <w:b/>
                <w:bCs/>
                <w:sz w:val="21"/>
                <w:szCs w:val="21"/>
              </w:rPr>
            </w:pPr>
          </w:p>
        </w:tc>
        <w:tc>
          <w:tcPr>
            <w:tcW w:w="498" w:type="pct"/>
            <w:vMerge w:val="continue"/>
            <w:vAlign w:val="center"/>
          </w:tcPr>
          <w:p w14:paraId="762C22B8">
            <w:pPr>
              <w:spacing w:line="240" w:lineRule="auto"/>
              <w:ind w:firstLine="0" w:firstLineChars="0"/>
              <w:jc w:val="center"/>
              <w:rPr>
                <w:b/>
                <w:bCs/>
                <w:sz w:val="21"/>
                <w:szCs w:val="21"/>
              </w:rPr>
            </w:pPr>
          </w:p>
        </w:tc>
        <w:tc>
          <w:tcPr>
            <w:tcW w:w="572" w:type="pct"/>
            <w:gridSpan w:val="2"/>
            <w:vMerge w:val="continue"/>
            <w:vAlign w:val="center"/>
          </w:tcPr>
          <w:p w14:paraId="163CDF43">
            <w:pPr>
              <w:spacing w:line="240" w:lineRule="auto"/>
              <w:ind w:firstLine="0" w:firstLineChars="0"/>
              <w:jc w:val="center"/>
              <w:rPr>
                <w:b/>
                <w:bCs/>
                <w:sz w:val="21"/>
                <w:szCs w:val="21"/>
              </w:rPr>
            </w:pPr>
          </w:p>
        </w:tc>
        <w:tc>
          <w:tcPr>
            <w:tcW w:w="841" w:type="pct"/>
            <w:vAlign w:val="center"/>
          </w:tcPr>
          <w:p w14:paraId="384DCEE7">
            <w:pPr>
              <w:spacing w:line="240" w:lineRule="auto"/>
              <w:ind w:firstLine="0" w:firstLineChars="0"/>
              <w:jc w:val="center"/>
              <w:rPr>
                <w:b/>
                <w:bCs/>
                <w:sz w:val="21"/>
                <w:szCs w:val="21"/>
              </w:rPr>
            </w:pPr>
            <w:r>
              <w:rPr>
                <w:rFonts w:hint="eastAsia"/>
                <w:b/>
                <w:bCs/>
                <w:sz w:val="21"/>
                <w:szCs w:val="21"/>
              </w:rPr>
              <w:t>氨氮</w:t>
            </w:r>
          </w:p>
        </w:tc>
        <w:tc>
          <w:tcPr>
            <w:tcW w:w="841" w:type="pct"/>
            <w:vAlign w:val="center"/>
          </w:tcPr>
          <w:p w14:paraId="1C074B49">
            <w:pPr>
              <w:spacing w:line="240" w:lineRule="auto"/>
              <w:ind w:firstLine="0" w:firstLineChars="0"/>
              <w:jc w:val="center"/>
              <w:rPr>
                <w:b/>
                <w:bCs/>
                <w:sz w:val="21"/>
                <w:szCs w:val="21"/>
              </w:rPr>
            </w:pPr>
            <w:r>
              <w:rPr>
                <w:rFonts w:hint="eastAsia"/>
                <w:b/>
                <w:bCs/>
                <w:sz w:val="21"/>
                <w:szCs w:val="21"/>
              </w:rPr>
              <w:t>总氮</w:t>
            </w:r>
          </w:p>
        </w:tc>
        <w:tc>
          <w:tcPr>
            <w:tcW w:w="846" w:type="pct"/>
            <w:vAlign w:val="center"/>
          </w:tcPr>
          <w:p w14:paraId="5EE0016A">
            <w:pPr>
              <w:spacing w:line="240" w:lineRule="auto"/>
              <w:ind w:firstLine="0" w:firstLineChars="0"/>
              <w:jc w:val="center"/>
              <w:rPr>
                <w:b/>
                <w:bCs/>
                <w:sz w:val="21"/>
                <w:szCs w:val="21"/>
              </w:rPr>
            </w:pPr>
            <w:r>
              <w:rPr>
                <w:rFonts w:hint="eastAsia"/>
                <w:b/>
                <w:bCs/>
                <w:sz w:val="21"/>
                <w:szCs w:val="21"/>
              </w:rPr>
              <w:t>总磷</w:t>
            </w:r>
          </w:p>
        </w:tc>
      </w:tr>
      <w:tr w14:paraId="6F5E0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0" w:type="pct"/>
            <w:vMerge w:val="restart"/>
            <w:vAlign w:val="center"/>
          </w:tcPr>
          <w:p w14:paraId="5920F9B2">
            <w:pPr>
              <w:spacing w:line="240" w:lineRule="auto"/>
              <w:ind w:firstLine="0" w:firstLineChars="0"/>
              <w:jc w:val="center"/>
              <w:rPr>
                <w:sz w:val="21"/>
                <w:szCs w:val="21"/>
              </w:rPr>
            </w:pPr>
            <w:r>
              <w:rPr>
                <w:rFonts w:hint="eastAsia" w:cs="Times New Roman"/>
                <w:kern w:val="0"/>
                <w:sz w:val="21"/>
                <w:szCs w:val="21"/>
              </w:rPr>
              <w:t>规划近期（~2030年）</w:t>
            </w:r>
          </w:p>
        </w:tc>
        <w:tc>
          <w:tcPr>
            <w:tcW w:w="498" w:type="pct"/>
            <w:vAlign w:val="center"/>
          </w:tcPr>
          <w:p w14:paraId="611814E7">
            <w:pPr>
              <w:spacing w:line="240" w:lineRule="auto"/>
              <w:ind w:firstLine="0" w:firstLineChars="0"/>
              <w:jc w:val="center"/>
              <w:rPr>
                <w:sz w:val="21"/>
                <w:szCs w:val="21"/>
              </w:rPr>
            </w:pPr>
            <w:r>
              <w:rPr>
                <w:rFonts w:hint="eastAsia"/>
                <w:sz w:val="21"/>
                <w:szCs w:val="21"/>
              </w:rPr>
              <w:t>农田</w:t>
            </w:r>
          </w:p>
        </w:tc>
        <w:tc>
          <w:tcPr>
            <w:tcW w:w="572" w:type="pct"/>
            <w:gridSpan w:val="2"/>
            <w:vAlign w:val="center"/>
          </w:tcPr>
          <w:p w14:paraId="73E6C9B1">
            <w:pPr>
              <w:spacing w:line="240" w:lineRule="auto"/>
              <w:ind w:firstLine="0" w:firstLineChars="0"/>
              <w:jc w:val="center"/>
              <w:rPr>
                <w:sz w:val="21"/>
                <w:szCs w:val="21"/>
              </w:rPr>
            </w:pPr>
            <w:r>
              <w:rPr>
                <w:rFonts w:hint="eastAsia"/>
                <w:sz w:val="21"/>
                <w:szCs w:val="21"/>
              </w:rPr>
              <w:t>1210.5</w:t>
            </w:r>
          </w:p>
        </w:tc>
        <w:tc>
          <w:tcPr>
            <w:tcW w:w="841" w:type="pct"/>
            <w:vAlign w:val="center"/>
          </w:tcPr>
          <w:p w14:paraId="77D47B17">
            <w:pPr>
              <w:spacing w:line="240" w:lineRule="auto"/>
              <w:ind w:firstLine="0" w:firstLineChars="0"/>
              <w:jc w:val="center"/>
              <w:rPr>
                <w:sz w:val="21"/>
                <w:szCs w:val="21"/>
              </w:rPr>
            </w:pPr>
            <w:r>
              <w:rPr>
                <w:rFonts w:hint="eastAsia"/>
                <w:sz w:val="21"/>
                <w:szCs w:val="21"/>
              </w:rPr>
              <w:t>1.123</w:t>
            </w:r>
          </w:p>
        </w:tc>
        <w:tc>
          <w:tcPr>
            <w:tcW w:w="841" w:type="pct"/>
            <w:vAlign w:val="center"/>
          </w:tcPr>
          <w:p w14:paraId="2D8321DC">
            <w:pPr>
              <w:spacing w:line="240" w:lineRule="auto"/>
              <w:ind w:firstLine="0" w:firstLineChars="0"/>
              <w:jc w:val="center"/>
              <w:rPr>
                <w:sz w:val="21"/>
                <w:szCs w:val="21"/>
              </w:rPr>
            </w:pPr>
            <w:r>
              <w:rPr>
                <w:rFonts w:hint="eastAsia"/>
                <w:sz w:val="21"/>
                <w:szCs w:val="21"/>
              </w:rPr>
              <w:t>7.849</w:t>
            </w:r>
          </w:p>
        </w:tc>
        <w:tc>
          <w:tcPr>
            <w:tcW w:w="846" w:type="pct"/>
            <w:vAlign w:val="center"/>
          </w:tcPr>
          <w:p w14:paraId="1AB6BC2E">
            <w:pPr>
              <w:spacing w:line="240" w:lineRule="auto"/>
              <w:ind w:firstLine="0" w:firstLineChars="0"/>
              <w:jc w:val="center"/>
              <w:rPr>
                <w:sz w:val="21"/>
                <w:szCs w:val="21"/>
              </w:rPr>
            </w:pPr>
            <w:r>
              <w:rPr>
                <w:rFonts w:hint="eastAsia"/>
                <w:sz w:val="21"/>
                <w:szCs w:val="21"/>
              </w:rPr>
              <w:t>0.849</w:t>
            </w:r>
          </w:p>
        </w:tc>
      </w:tr>
      <w:tr w14:paraId="26A9F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0" w:type="pct"/>
            <w:vMerge w:val="continue"/>
            <w:vAlign w:val="center"/>
          </w:tcPr>
          <w:p w14:paraId="04494619">
            <w:pPr>
              <w:spacing w:line="240" w:lineRule="auto"/>
              <w:ind w:firstLine="0" w:firstLineChars="0"/>
              <w:jc w:val="center"/>
              <w:rPr>
                <w:sz w:val="21"/>
                <w:szCs w:val="21"/>
              </w:rPr>
            </w:pPr>
          </w:p>
        </w:tc>
        <w:tc>
          <w:tcPr>
            <w:tcW w:w="498" w:type="pct"/>
            <w:vAlign w:val="center"/>
          </w:tcPr>
          <w:p w14:paraId="0A12EB34">
            <w:pPr>
              <w:spacing w:line="240" w:lineRule="auto"/>
              <w:ind w:firstLine="0" w:firstLineChars="0"/>
              <w:jc w:val="center"/>
              <w:rPr>
                <w:sz w:val="21"/>
                <w:szCs w:val="21"/>
              </w:rPr>
            </w:pPr>
            <w:r>
              <w:rPr>
                <w:rFonts w:hint="eastAsia"/>
                <w:sz w:val="21"/>
                <w:szCs w:val="21"/>
              </w:rPr>
              <w:t>园地</w:t>
            </w:r>
          </w:p>
        </w:tc>
        <w:tc>
          <w:tcPr>
            <w:tcW w:w="572" w:type="pct"/>
            <w:gridSpan w:val="2"/>
            <w:vAlign w:val="center"/>
          </w:tcPr>
          <w:p w14:paraId="12D5CD43">
            <w:pPr>
              <w:spacing w:line="240" w:lineRule="auto"/>
              <w:ind w:firstLine="0" w:firstLineChars="0"/>
              <w:jc w:val="center"/>
              <w:rPr>
                <w:sz w:val="21"/>
                <w:szCs w:val="21"/>
              </w:rPr>
            </w:pPr>
            <w:r>
              <w:rPr>
                <w:rFonts w:hint="eastAsia"/>
                <w:sz w:val="21"/>
                <w:szCs w:val="21"/>
              </w:rPr>
              <w:t>927.4</w:t>
            </w:r>
          </w:p>
        </w:tc>
        <w:tc>
          <w:tcPr>
            <w:tcW w:w="841" w:type="pct"/>
            <w:vAlign w:val="center"/>
          </w:tcPr>
          <w:p w14:paraId="2F302CA0">
            <w:pPr>
              <w:spacing w:line="240" w:lineRule="auto"/>
              <w:ind w:firstLine="0" w:firstLineChars="0"/>
              <w:jc w:val="center"/>
              <w:rPr>
                <w:sz w:val="21"/>
                <w:szCs w:val="21"/>
              </w:rPr>
            </w:pPr>
            <w:r>
              <w:rPr>
                <w:rFonts w:hint="eastAsia"/>
                <w:sz w:val="21"/>
                <w:szCs w:val="21"/>
              </w:rPr>
              <w:t>0.301</w:t>
            </w:r>
          </w:p>
        </w:tc>
        <w:tc>
          <w:tcPr>
            <w:tcW w:w="841" w:type="pct"/>
            <w:vAlign w:val="center"/>
          </w:tcPr>
          <w:p w14:paraId="662CD32F">
            <w:pPr>
              <w:spacing w:line="240" w:lineRule="auto"/>
              <w:ind w:firstLine="0" w:firstLineChars="0"/>
              <w:jc w:val="center"/>
              <w:rPr>
                <w:sz w:val="21"/>
                <w:szCs w:val="21"/>
              </w:rPr>
            </w:pPr>
            <w:r>
              <w:rPr>
                <w:rFonts w:hint="eastAsia"/>
                <w:sz w:val="21"/>
                <w:szCs w:val="21"/>
              </w:rPr>
              <w:t>6.194</w:t>
            </w:r>
          </w:p>
        </w:tc>
        <w:tc>
          <w:tcPr>
            <w:tcW w:w="846" w:type="pct"/>
            <w:vAlign w:val="center"/>
          </w:tcPr>
          <w:p w14:paraId="60AEA2D7">
            <w:pPr>
              <w:spacing w:line="240" w:lineRule="auto"/>
              <w:ind w:firstLine="0" w:firstLineChars="0"/>
              <w:jc w:val="center"/>
              <w:rPr>
                <w:sz w:val="21"/>
                <w:szCs w:val="21"/>
              </w:rPr>
            </w:pPr>
            <w:r>
              <w:rPr>
                <w:rFonts w:hint="eastAsia"/>
                <w:sz w:val="21"/>
                <w:szCs w:val="21"/>
              </w:rPr>
              <w:t>0.159</w:t>
            </w:r>
          </w:p>
        </w:tc>
      </w:tr>
      <w:tr w14:paraId="35EC8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1" w:type="pct"/>
            <w:gridSpan w:val="4"/>
            <w:vAlign w:val="center"/>
          </w:tcPr>
          <w:p w14:paraId="61ECBC24">
            <w:pPr>
              <w:spacing w:line="240" w:lineRule="auto"/>
              <w:ind w:firstLine="0" w:firstLineChars="0"/>
              <w:jc w:val="center"/>
              <w:rPr>
                <w:b/>
                <w:bCs/>
                <w:sz w:val="21"/>
                <w:szCs w:val="21"/>
              </w:rPr>
            </w:pPr>
            <w:r>
              <w:rPr>
                <w:rFonts w:hint="eastAsia"/>
                <w:b/>
                <w:bCs/>
                <w:sz w:val="21"/>
                <w:szCs w:val="21"/>
              </w:rPr>
              <w:t>合计</w:t>
            </w:r>
          </w:p>
        </w:tc>
        <w:tc>
          <w:tcPr>
            <w:tcW w:w="841" w:type="pct"/>
            <w:vAlign w:val="center"/>
          </w:tcPr>
          <w:p w14:paraId="51FAA537">
            <w:pPr>
              <w:widowControl/>
              <w:spacing w:line="240" w:lineRule="auto"/>
              <w:ind w:firstLine="0" w:firstLineChars="0"/>
              <w:jc w:val="center"/>
              <w:textAlignment w:val="center"/>
              <w:rPr>
                <w:rFonts w:cs="Times New Roman"/>
                <w:b/>
                <w:bCs/>
                <w:sz w:val="21"/>
                <w:szCs w:val="21"/>
              </w:rPr>
            </w:pPr>
            <w:r>
              <w:rPr>
                <w:rFonts w:cs="Times New Roman"/>
                <w:b/>
                <w:bCs/>
                <w:sz w:val="21"/>
                <w:szCs w:val="21"/>
              </w:rPr>
              <w:t>1.42</w:t>
            </w:r>
            <w:r>
              <w:rPr>
                <w:rFonts w:hint="eastAsia" w:cs="Times New Roman"/>
                <w:b/>
                <w:bCs/>
                <w:sz w:val="21"/>
                <w:szCs w:val="21"/>
              </w:rPr>
              <w:t>4</w:t>
            </w:r>
          </w:p>
        </w:tc>
        <w:tc>
          <w:tcPr>
            <w:tcW w:w="841" w:type="pct"/>
            <w:vAlign w:val="center"/>
          </w:tcPr>
          <w:p w14:paraId="17A11DA7">
            <w:pPr>
              <w:widowControl/>
              <w:spacing w:line="240" w:lineRule="auto"/>
              <w:ind w:firstLine="0" w:firstLineChars="0"/>
              <w:jc w:val="center"/>
              <w:textAlignment w:val="center"/>
              <w:rPr>
                <w:rFonts w:cs="Times New Roman"/>
                <w:b/>
                <w:bCs/>
                <w:sz w:val="21"/>
                <w:szCs w:val="21"/>
              </w:rPr>
            </w:pPr>
            <w:r>
              <w:rPr>
                <w:rFonts w:cs="Times New Roman"/>
                <w:b/>
                <w:bCs/>
                <w:sz w:val="21"/>
                <w:szCs w:val="21"/>
              </w:rPr>
              <w:t>14.04</w:t>
            </w:r>
            <w:r>
              <w:rPr>
                <w:rFonts w:hint="eastAsia" w:cs="Times New Roman"/>
                <w:b/>
                <w:bCs/>
                <w:sz w:val="21"/>
                <w:szCs w:val="21"/>
              </w:rPr>
              <w:t>3</w:t>
            </w:r>
          </w:p>
        </w:tc>
        <w:tc>
          <w:tcPr>
            <w:tcW w:w="846" w:type="pct"/>
            <w:vAlign w:val="center"/>
          </w:tcPr>
          <w:p w14:paraId="1AFB4E03">
            <w:pPr>
              <w:widowControl/>
              <w:spacing w:line="240" w:lineRule="auto"/>
              <w:ind w:firstLine="0" w:firstLineChars="0"/>
              <w:jc w:val="center"/>
              <w:textAlignment w:val="center"/>
              <w:rPr>
                <w:rFonts w:cs="Times New Roman"/>
                <w:b/>
                <w:bCs/>
                <w:sz w:val="21"/>
                <w:szCs w:val="21"/>
              </w:rPr>
            </w:pPr>
            <w:r>
              <w:rPr>
                <w:rFonts w:cs="Times New Roman"/>
                <w:b/>
                <w:bCs/>
                <w:sz w:val="21"/>
                <w:szCs w:val="21"/>
              </w:rPr>
              <w:t>1.007</w:t>
            </w:r>
          </w:p>
        </w:tc>
      </w:tr>
      <w:tr w14:paraId="7478C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0" w:type="pct"/>
            <w:vMerge w:val="restart"/>
            <w:vAlign w:val="center"/>
          </w:tcPr>
          <w:p w14:paraId="4D2B9012">
            <w:pPr>
              <w:spacing w:line="240" w:lineRule="auto"/>
              <w:ind w:firstLine="0" w:firstLineChars="0"/>
              <w:jc w:val="center"/>
              <w:rPr>
                <w:rFonts w:cs="Times New Roman"/>
                <w:kern w:val="0"/>
                <w:sz w:val="21"/>
                <w:szCs w:val="21"/>
              </w:rPr>
            </w:pPr>
            <w:r>
              <w:rPr>
                <w:rFonts w:hint="eastAsia" w:cs="Times New Roman"/>
                <w:kern w:val="0"/>
                <w:sz w:val="21"/>
                <w:szCs w:val="21"/>
              </w:rPr>
              <w:t>规划远期（~2035年）</w:t>
            </w:r>
          </w:p>
        </w:tc>
        <w:tc>
          <w:tcPr>
            <w:tcW w:w="505" w:type="pct"/>
            <w:gridSpan w:val="2"/>
            <w:vAlign w:val="center"/>
          </w:tcPr>
          <w:p w14:paraId="1B42E0BA">
            <w:pPr>
              <w:spacing w:line="240" w:lineRule="auto"/>
              <w:ind w:firstLine="0" w:firstLineChars="0"/>
              <w:jc w:val="center"/>
              <w:rPr>
                <w:sz w:val="21"/>
                <w:szCs w:val="21"/>
              </w:rPr>
            </w:pPr>
            <w:r>
              <w:rPr>
                <w:rFonts w:hint="eastAsia"/>
                <w:sz w:val="21"/>
                <w:szCs w:val="21"/>
              </w:rPr>
              <w:t>农田</w:t>
            </w:r>
          </w:p>
        </w:tc>
        <w:tc>
          <w:tcPr>
            <w:tcW w:w="564" w:type="pct"/>
            <w:vAlign w:val="center"/>
          </w:tcPr>
          <w:p w14:paraId="6FB3FF68">
            <w:pPr>
              <w:spacing w:line="240" w:lineRule="auto"/>
              <w:ind w:firstLine="0" w:firstLineChars="0"/>
              <w:jc w:val="center"/>
              <w:rPr>
                <w:sz w:val="21"/>
                <w:szCs w:val="21"/>
              </w:rPr>
            </w:pPr>
            <w:r>
              <w:rPr>
                <w:rFonts w:hint="eastAsia"/>
                <w:sz w:val="21"/>
                <w:szCs w:val="21"/>
              </w:rPr>
              <w:t>1229.7</w:t>
            </w:r>
          </w:p>
        </w:tc>
        <w:tc>
          <w:tcPr>
            <w:tcW w:w="841" w:type="pct"/>
            <w:vAlign w:val="center"/>
          </w:tcPr>
          <w:p w14:paraId="675A2FB1">
            <w:pPr>
              <w:spacing w:line="240" w:lineRule="auto"/>
              <w:ind w:firstLine="0" w:firstLineChars="0"/>
              <w:jc w:val="center"/>
              <w:rPr>
                <w:sz w:val="21"/>
                <w:szCs w:val="21"/>
              </w:rPr>
            </w:pPr>
            <w:r>
              <w:rPr>
                <w:rFonts w:hint="eastAsia"/>
                <w:sz w:val="21"/>
                <w:szCs w:val="21"/>
              </w:rPr>
              <w:t xml:space="preserve">1.141 </w:t>
            </w:r>
          </w:p>
        </w:tc>
        <w:tc>
          <w:tcPr>
            <w:tcW w:w="841" w:type="pct"/>
            <w:vAlign w:val="center"/>
          </w:tcPr>
          <w:p w14:paraId="09E47D55">
            <w:pPr>
              <w:spacing w:line="240" w:lineRule="auto"/>
              <w:ind w:firstLine="0" w:firstLineChars="0"/>
              <w:jc w:val="center"/>
              <w:rPr>
                <w:sz w:val="21"/>
                <w:szCs w:val="21"/>
              </w:rPr>
            </w:pPr>
            <w:r>
              <w:rPr>
                <w:rFonts w:hint="eastAsia"/>
                <w:sz w:val="21"/>
                <w:szCs w:val="21"/>
              </w:rPr>
              <w:t xml:space="preserve">7.973 </w:t>
            </w:r>
          </w:p>
        </w:tc>
        <w:tc>
          <w:tcPr>
            <w:tcW w:w="846" w:type="pct"/>
            <w:vAlign w:val="center"/>
          </w:tcPr>
          <w:p w14:paraId="1DA8EC2A">
            <w:pPr>
              <w:spacing w:line="240" w:lineRule="auto"/>
              <w:ind w:firstLine="0" w:firstLineChars="0"/>
              <w:jc w:val="center"/>
              <w:rPr>
                <w:sz w:val="21"/>
                <w:szCs w:val="21"/>
              </w:rPr>
            </w:pPr>
            <w:r>
              <w:rPr>
                <w:rFonts w:hint="eastAsia"/>
                <w:sz w:val="21"/>
                <w:szCs w:val="21"/>
              </w:rPr>
              <w:t xml:space="preserve">0.862 </w:t>
            </w:r>
          </w:p>
        </w:tc>
      </w:tr>
      <w:tr w14:paraId="0BF12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0" w:type="pct"/>
            <w:vMerge w:val="continue"/>
            <w:vAlign w:val="center"/>
          </w:tcPr>
          <w:p w14:paraId="58CE36E1">
            <w:pPr>
              <w:spacing w:line="240" w:lineRule="auto"/>
              <w:ind w:firstLine="0" w:firstLineChars="0"/>
              <w:jc w:val="center"/>
              <w:rPr>
                <w:rFonts w:cs="Times New Roman"/>
                <w:kern w:val="0"/>
                <w:sz w:val="21"/>
                <w:szCs w:val="21"/>
              </w:rPr>
            </w:pPr>
          </w:p>
        </w:tc>
        <w:tc>
          <w:tcPr>
            <w:tcW w:w="505" w:type="pct"/>
            <w:gridSpan w:val="2"/>
            <w:vAlign w:val="center"/>
          </w:tcPr>
          <w:p w14:paraId="7A1C3545">
            <w:pPr>
              <w:spacing w:line="240" w:lineRule="auto"/>
              <w:ind w:firstLine="0" w:firstLineChars="0"/>
              <w:jc w:val="center"/>
              <w:rPr>
                <w:sz w:val="21"/>
                <w:szCs w:val="21"/>
              </w:rPr>
            </w:pPr>
            <w:r>
              <w:rPr>
                <w:rFonts w:hint="eastAsia"/>
                <w:sz w:val="21"/>
                <w:szCs w:val="21"/>
              </w:rPr>
              <w:t>园地</w:t>
            </w:r>
          </w:p>
        </w:tc>
        <w:tc>
          <w:tcPr>
            <w:tcW w:w="564" w:type="pct"/>
            <w:vAlign w:val="center"/>
          </w:tcPr>
          <w:p w14:paraId="2734889C">
            <w:pPr>
              <w:spacing w:line="240" w:lineRule="auto"/>
              <w:ind w:firstLine="0" w:firstLineChars="0"/>
              <w:jc w:val="center"/>
              <w:rPr>
                <w:sz w:val="21"/>
                <w:szCs w:val="21"/>
              </w:rPr>
            </w:pPr>
            <w:r>
              <w:rPr>
                <w:rFonts w:hint="eastAsia"/>
                <w:sz w:val="21"/>
                <w:szCs w:val="21"/>
              </w:rPr>
              <w:t>927.4</w:t>
            </w:r>
          </w:p>
        </w:tc>
        <w:tc>
          <w:tcPr>
            <w:tcW w:w="841" w:type="pct"/>
            <w:vAlign w:val="center"/>
          </w:tcPr>
          <w:p w14:paraId="25699BEB">
            <w:pPr>
              <w:spacing w:line="240" w:lineRule="auto"/>
              <w:ind w:firstLine="0" w:firstLineChars="0"/>
              <w:jc w:val="center"/>
              <w:rPr>
                <w:sz w:val="21"/>
                <w:szCs w:val="21"/>
              </w:rPr>
            </w:pPr>
            <w:r>
              <w:rPr>
                <w:rFonts w:hint="eastAsia"/>
                <w:sz w:val="21"/>
                <w:szCs w:val="21"/>
              </w:rPr>
              <w:t>0.301</w:t>
            </w:r>
          </w:p>
        </w:tc>
        <w:tc>
          <w:tcPr>
            <w:tcW w:w="841" w:type="pct"/>
            <w:vAlign w:val="center"/>
          </w:tcPr>
          <w:p w14:paraId="5F8F58A4">
            <w:pPr>
              <w:spacing w:line="240" w:lineRule="auto"/>
              <w:ind w:firstLine="0" w:firstLineChars="0"/>
              <w:jc w:val="center"/>
              <w:rPr>
                <w:sz w:val="21"/>
                <w:szCs w:val="21"/>
              </w:rPr>
            </w:pPr>
            <w:r>
              <w:rPr>
                <w:rFonts w:hint="eastAsia"/>
                <w:sz w:val="21"/>
                <w:szCs w:val="21"/>
              </w:rPr>
              <w:t>6.194</w:t>
            </w:r>
          </w:p>
        </w:tc>
        <w:tc>
          <w:tcPr>
            <w:tcW w:w="846" w:type="pct"/>
            <w:vAlign w:val="center"/>
          </w:tcPr>
          <w:p w14:paraId="1948765B">
            <w:pPr>
              <w:spacing w:line="240" w:lineRule="auto"/>
              <w:ind w:firstLine="0" w:firstLineChars="0"/>
              <w:jc w:val="center"/>
              <w:rPr>
                <w:sz w:val="21"/>
                <w:szCs w:val="21"/>
              </w:rPr>
            </w:pPr>
            <w:r>
              <w:rPr>
                <w:rFonts w:hint="eastAsia"/>
                <w:sz w:val="21"/>
                <w:szCs w:val="21"/>
              </w:rPr>
              <w:t>0.159</w:t>
            </w:r>
          </w:p>
        </w:tc>
      </w:tr>
      <w:tr w14:paraId="13348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1" w:type="pct"/>
            <w:gridSpan w:val="4"/>
            <w:vAlign w:val="center"/>
          </w:tcPr>
          <w:p w14:paraId="3E8AA82D">
            <w:pPr>
              <w:spacing w:line="240" w:lineRule="auto"/>
              <w:ind w:firstLine="0" w:firstLineChars="0"/>
              <w:jc w:val="center"/>
              <w:rPr>
                <w:b/>
                <w:bCs/>
                <w:sz w:val="21"/>
                <w:szCs w:val="21"/>
              </w:rPr>
            </w:pPr>
            <w:r>
              <w:rPr>
                <w:rFonts w:hint="eastAsia"/>
                <w:b/>
                <w:bCs/>
                <w:sz w:val="21"/>
                <w:szCs w:val="21"/>
              </w:rPr>
              <w:t>合计</w:t>
            </w:r>
          </w:p>
        </w:tc>
        <w:tc>
          <w:tcPr>
            <w:tcW w:w="841" w:type="pct"/>
            <w:vAlign w:val="center"/>
          </w:tcPr>
          <w:p w14:paraId="68629C83">
            <w:pPr>
              <w:widowControl/>
              <w:spacing w:line="240" w:lineRule="auto"/>
              <w:ind w:firstLine="0" w:firstLineChars="0"/>
              <w:jc w:val="center"/>
              <w:textAlignment w:val="center"/>
              <w:rPr>
                <w:rFonts w:cs="Times New Roman"/>
                <w:b/>
                <w:bCs/>
                <w:sz w:val="21"/>
                <w:szCs w:val="21"/>
              </w:rPr>
            </w:pPr>
            <w:r>
              <w:rPr>
                <w:rFonts w:cs="Times New Roman"/>
                <w:b/>
                <w:bCs/>
                <w:sz w:val="21"/>
                <w:szCs w:val="21"/>
              </w:rPr>
              <w:t>1.442</w:t>
            </w:r>
          </w:p>
        </w:tc>
        <w:tc>
          <w:tcPr>
            <w:tcW w:w="841" w:type="pct"/>
            <w:vAlign w:val="center"/>
          </w:tcPr>
          <w:p w14:paraId="2A1B4973">
            <w:pPr>
              <w:widowControl/>
              <w:spacing w:line="240" w:lineRule="auto"/>
              <w:ind w:firstLine="0" w:firstLineChars="0"/>
              <w:jc w:val="center"/>
              <w:textAlignment w:val="center"/>
              <w:rPr>
                <w:rFonts w:cs="Times New Roman"/>
                <w:b/>
                <w:bCs/>
                <w:sz w:val="21"/>
                <w:szCs w:val="21"/>
              </w:rPr>
            </w:pPr>
            <w:r>
              <w:rPr>
                <w:rFonts w:cs="Times New Roman"/>
                <w:b/>
                <w:bCs/>
                <w:sz w:val="21"/>
                <w:szCs w:val="21"/>
              </w:rPr>
              <w:t>14.167</w:t>
            </w:r>
          </w:p>
        </w:tc>
        <w:tc>
          <w:tcPr>
            <w:tcW w:w="846" w:type="pct"/>
            <w:vAlign w:val="center"/>
          </w:tcPr>
          <w:p w14:paraId="73DD7DEA">
            <w:pPr>
              <w:widowControl/>
              <w:spacing w:line="240" w:lineRule="auto"/>
              <w:ind w:firstLine="0" w:firstLineChars="0"/>
              <w:jc w:val="center"/>
              <w:textAlignment w:val="center"/>
              <w:rPr>
                <w:rFonts w:cs="Times New Roman"/>
                <w:b/>
                <w:bCs/>
                <w:sz w:val="21"/>
                <w:szCs w:val="21"/>
              </w:rPr>
            </w:pPr>
            <w:r>
              <w:rPr>
                <w:rFonts w:cs="Times New Roman"/>
                <w:b/>
                <w:bCs/>
                <w:sz w:val="21"/>
                <w:szCs w:val="21"/>
              </w:rPr>
              <w:t>1.02</w:t>
            </w:r>
            <w:r>
              <w:rPr>
                <w:rFonts w:hint="eastAsia" w:cs="Times New Roman"/>
                <w:b/>
                <w:bCs/>
                <w:sz w:val="21"/>
                <w:szCs w:val="21"/>
              </w:rPr>
              <w:t>1</w:t>
            </w:r>
          </w:p>
        </w:tc>
      </w:tr>
    </w:tbl>
    <w:p w14:paraId="60832CE1">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2</w:t>
      </w:r>
      <w:r>
        <w:rPr>
          <w:rFonts w:eastAsia="方正楷体_GBK" w:cs="Times New Roman"/>
          <w:b/>
          <w:bCs/>
          <w:szCs w:val="28"/>
          <w14:ligatures w14:val="none"/>
        </w:rPr>
        <w:t>.</w:t>
      </w:r>
      <w:r>
        <w:rPr>
          <w:rFonts w:hint="eastAsia" w:eastAsia="方正楷体_GBK" w:cs="Times New Roman"/>
          <w:b/>
          <w:bCs/>
          <w:szCs w:val="28"/>
          <w14:ligatures w14:val="none"/>
        </w:rPr>
        <w:t>3固体废物产生量估算</w:t>
      </w:r>
    </w:p>
    <w:p w14:paraId="235D92E6">
      <w:pPr>
        <w:ind w:firstLine="482"/>
        <w:rPr>
          <w:b/>
          <w:bCs/>
        </w:rPr>
      </w:pPr>
      <w:r>
        <w:rPr>
          <w:rFonts w:hint="eastAsia"/>
          <w:b/>
          <w:bCs/>
        </w:rPr>
        <w:t>（1）工业固体废物</w:t>
      </w:r>
    </w:p>
    <w:p w14:paraId="57D94F41">
      <w:pPr>
        <w:ind w:firstLine="480"/>
      </w:pPr>
      <w:r>
        <w:rPr>
          <w:rFonts w:hint="eastAsia"/>
        </w:rPr>
        <w:t>根据度假区现状工业企业调查，现状工业企业产生的工业固体废物主要为粉尘、废布袋、脱硫渣等大气污染治理设施产生的一般工业固体废物，均由企业自行回收处置利用，危险废物主要为HW08废矿物油与含矿物油废物，由企业委托有资质单位处置。随着规划末期现有工业企业的逐步退出，将不再有工业企业的一般工业固废和危险废物产生。</w:t>
      </w:r>
    </w:p>
    <w:p w14:paraId="46C25850">
      <w:pPr>
        <w:ind w:firstLine="482"/>
        <w:rPr>
          <w:b/>
          <w:bCs/>
        </w:rPr>
      </w:pPr>
      <w:r>
        <w:rPr>
          <w:rFonts w:hint="eastAsia"/>
          <w:b/>
          <w:bCs/>
        </w:rPr>
        <w:t>（2）生活垃圾</w:t>
      </w:r>
    </w:p>
    <w:p w14:paraId="28C2DDE4">
      <w:pPr>
        <w:ind w:firstLine="480"/>
        <w:rPr>
          <w:szCs w:val="24"/>
        </w:rPr>
      </w:pPr>
      <w:r>
        <w:rPr>
          <w:rFonts w:hint="eastAsia"/>
        </w:rPr>
        <w:t>根据区域规划时期内常住人口和游客规模，</w:t>
      </w:r>
      <w:r>
        <w:rPr>
          <w:rFonts w:cs="Times New Roman"/>
        </w:rPr>
        <w:t>常住居民生活垃圾产生量按1.0 kg/（人·d）估算，游客垃圾产生量按0.5 kg/人次计</w:t>
      </w:r>
      <w:r>
        <w:rPr>
          <w:rFonts w:cs="Times New Roman"/>
          <w:szCs w:val="24"/>
        </w:rPr>
        <w:t>，</w:t>
      </w:r>
      <w:r>
        <w:rPr>
          <w:rFonts w:hint="eastAsia" w:cs="Times New Roman"/>
          <w:szCs w:val="24"/>
        </w:rPr>
        <w:t>规划区域</w:t>
      </w:r>
      <w:r>
        <w:rPr>
          <w:rFonts w:cs="Times New Roman"/>
          <w:szCs w:val="24"/>
        </w:rPr>
        <w:t>生活垃圾年产生量</w:t>
      </w:r>
      <w:r>
        <w:rPr>
          <w:rFonts w:hint="eastAsia" w:cs="Times New Roman"/>
          <w:szCs w:val="24"/>
        </w:rPr>
        <w:t>情况见表5.2-9。规划度假区片区北部地区生活垃圾送至茅麓转运站，度假区核心区及薛埠镇区送至薛埠集镇转运站，南部地区送至罗村转运站，三处转运站规模均为30t/d（换算1.1万</w:t>
      </w:r>
      <w:r>
        <w:rPr>
          <w:rFonts w:hint="eastAsia" w:cs="Times New Roman"/>
          <w:kern w:val="0"/>
          <w:sz w:val="21"/>
          <w:szCs w:val="21"/>
        </w:rPr>
        <w:t>t/a</w:t>
      </w:r>
      <w:r>
        <w:rPr>
          <w:rFonts w:hint="eastAsia" w:cs="Times New Roman"/>
          <w:szCs w:val="24"/>
        </w:rPr>
        <w:t>）；花山转运站规划进行提标改造，规模60t/d（换算2.2万</w:t>
      </w:r>
      <w:r>
        <w:rPr>
          <w:rFonts w:hint="eastAsia" w:cs="Times New Roman"/>
          <w:kern w:val="0"/>
          <w:sz w:val="21"/>
          <w:szCs w:val="21"/>
        </w:rPr>
        <w:t>t/a</w:t>
      </w:r>
      <w:r>
        <w:rPr>
          <w:rFonts w:hint="eastAsia" w:cs="Times New Roman"/>
          <w:szCs w:val="24"/>
        </w:rPr>
        <w:t>），故区域</w:t>
      </w:r>
      <w:r>
        <w:rPr>
          <w:rFonts w:hint="eastAsia"/>
          <w:szCs w:val="24"/>
        </w:rPr>
        <w:t>垃圾转运站转运能力能够满足规划时期生活垃圾转运需求。</w:t>
      </w:r>
    </w:p>
    <w:p w14:paraId="56C72BB9">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2</w:t>
      </w:r>
      <w:r>
        <w:rPr>
          <w:rFonts w:cs="Times New Roman"/>
        </w:rPr>
        <w:t>-</w:t>
      </w:r>
      <w:r>
        <w:rPr>
          <w:rFonts w:hint="eastAsia" w:cs="Times New Roman"/>
        </w:rPr>
        <w:t>8</w:t>
      </w:r>
      <w:r>
        <w:rPr>
          <w:rFonts w:cs="Times New Roman"/>
        </w:rPr>
        <w:t xml:space="preserve">  规划</w:t>
      </w:r>
      <w:r>
        <w:rPr>
          <w:rFonts w:hint="eastAsia" w:cs="Times New Roman"/>
        </w:rPr>
        <w:t>期度假</w:t>
      </w:r>
      <w:r>
        <w:rPr>
          <w:rFonts w:cs="Times New Roman"/>
        </w:rPr>
        <w:t>区</w:t>
      </w:r>
      <w:r>
        <w:rPr>
          <w:rFonts w:hint="eastAsia" w:cs="Times New Roman"/>
        </w:rPr>
        <w:t>生活垃圾</w:t>
      </w:r>
      <w:r>
        <w:rPr>
          <w:rFonts w:cs="Times New Roman"/>
        </w:rPr>
        <w:t>排放量</w:t>
      </w:r>
      <w:r>
        <w:rPr>
          <w:rFonts w:hint="eastAsia" w:cs="Times New Roman"/>
        </w:rPr>
        <w:t>汇总</w:t>
      </w:r>
      <w:r>
        <w:rPr>
          <w:rFonts w:cs="Times New Roman"/>
        </w:rPr>
        <w:t>表</w:t>
      </w:r>
    </w:p>
    <w:tbl>
      <w:tblPr>
        <w:tblStyle w:val="2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0"/>
        <w:gridCol w:w="1702"/>
        <w:gridCol w:w="1704"/>
        <w:gridCol w:w="1707"/>
        <w:gridCol w:w="1704"/>
      </w:tblGrid>
      <w:tr w14:paraId="66894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98" w:type="pct"/>
            <w:vAlign w:val="center"/>
          </w:tcPr>
          <w:p w14:paraId="31E54561">
            <w:pPr>
              <w:spacing w:line="240" w:lineRule="auto"/>
              <w:ind w:firstLine="0" w:firstLineChars="0"/>
              <w:jc w:val="center"/>
              <w:rPr>
                <w:rFonts w:cs="Times New Roman"/>
                <w:b/>
                <w:bCs/>
                <w:kern w:val="0"/>
                <w:sz w:val="21"/>
                <w:szCs w:val="21"/>
              </w:rPr>
            </w:pPr>
            <w:r>
              <w:rPr>
                <w:rFonts w:hint="eastAsia"/>
                <w:b/>
                <w:bCs/>
                <w:sz w:val="21"/>
                <w:szCs w:val="21"/>
              </w:rPr>
              <w:t>规划时期</w:t>
            </w:r>
          </w:p>
        </w:tc>
        <w:tc>
          <w:tcPr>
            <w:tcW w:w="999" w:type="pct"/>
            <w:vAlign w:val="center"/>
          </w:tcPr>
          <w:p w14:paraId="43A366AA">
            <w:pPr>
              <w:spacing w:line="240" w:lineRule="auto"/>
              <w:ind w:firstLine="0" w:firstLineChars="0"/>
              <w:jc w:val="center"/>
              <w:rPr>
                <w:rFonts w:cs="Times New Roman"/>
                <w:b/>
                <w:bCs/>
                <w:kern w:val="0"/>
                <w:sz w:val="21"/>
                <w:szCs w:val="21"/>
              </w:rPr>
            </w:pPr>
            <w:r>
              <w:rPr>
                <w:rFonts w:hint="eastAsia" w:cs="Times New Roman"/>
                <w:b/>
                <w:bCs/>
                <w:kern w:val="0"/>
                <w:sz w:val="21"/>
                <w:szCs w:val="21"/>
              </w:rPr>
              <w:t>项目</w:t>
            </w:r>
          </w:p>
        </w:tc>
        <w:tc>
          <w:tcPr>
            <w:tcW w:w="1000" w:type="pct"/>
            <w:vAlign w:val="center"/>
          </w:tcPr>
          <w:p w14:paraId="6EA66C16">
            <w:pPr>
              <w:spacing w:line="240" w:lineRule="auto"/>
              <w:ind w:firstLine="0" w:firstLineChars="0"/>
              <w:jc w:val="center"/>
              <w:rPr>
                <w:rFonts w:cs="Times New Roman"/>
                <w:b/>
                <w:bCs/>
                <w:kern w:val="0"/>
                <w:sz w:val="21"/>
                <w:szCs w:val="21"/>
              </w:rPr>
            </w:pPr>
            <w:r>
              <w:rPr>
                <w:rFonts w:hint="eastAsia" w:cs="Times New Roman"/>
                <w:b/>
                <w:bCs/>
                <w:kern w:val="0"/>
                <w:sz w:val="21"/>
                <w:szCs w:val="21"/>
              </w:rPr>
              <w:t>人口数（万人）</w:t>
            </w:r>
          </w:p>
        </w:tc>
        <w:tc>
          <w:tcPr>
            <w:tcW w:w="1002" w:type="pct"/>
            <w:vAlign w:val="center"/>
          </w:tcPr>
          <w:p w14:paraId="018D6A27">
            <w:pPr>
              <w:spacing w:line="240" w:lineRule="auto"/>
              <w:ind w:firstLine="0" w:firstLineChars="0"/>
              <w:jc w:val="center"/>
              <w:rPr>
                <w:rFonts w:cs="Times New Roman"/>
                <w:b/>
                <w:bCs/>
                <w:kern w:val="0"/>
                <w:sz w:val="21"/>
                <w:szCs w:val="21"/>
              </w:rPr>
            </w:pPr>
            <w:r>
              <w:rPr>
                <w:rFonts w:hint="eastAsia" w:cs="Times New Roman"/>
                <w:b/>
                <w:bCs/>
                <w:kern w:val="0"/>
                <w:sz w:val="21"/>
                <w:szCs w:val="21"/>
              </w:rPr>
              <w:t>生活垃圾产生量指标</w:t>
            </w:r>
          </w:p>
        </w:tc>
        <w:tc>
          <w:tcPr>
            <w:tcW w:w="1000" w:type="pct"/>
            <w:vAlign w:val="center"/>
          </w:tcPr>
          <w:p w14:paraId="292E0BD9">
            <w:pPr>
              <w:spacing w:line="240" w:lineRule="auto"/>
              <w:ind w:firstLine="0" w:firstLineChars="0"/>
              <w:jc w:val="center"/>
              <w:rPr>
                <w:rFonts w:cs="Times New Roman"/>
                <w:b/>
                <w:bCs/>
                <w:kern w:val="0"/>
                <w:sz w:val="21"/>
                <w:szCs w:val="21"/>
              </w:rPr>
            </w:pPr>
            <w:r>
              <w:rPr>
                <w:rFonts w:hint="eastAsia" w:cs="Times New Roman"/>
                <w:b/>
                <w:bCs/>
                <w:kern w:val="0"/>
                <w:sz w:val="21"/>
                <w:szCs w:val="21"/>
              </w:rPr>
              <w:t>生活垃圾产生量（万t/a）</w:t>
            </w:r>
          </w:p>
        </w:tc>
      </w:tr>
      <w:tr w14:paraId="13968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 w:type="pct"/>
            <w:vMerge w:val="restart"/>
            <w:vAlign w:val="center"/>
          </w:tcPr>
          <w:p w14:paraId="3B91328D">
            <w:pPr>
              <w:spacing w:line="240" w:lineRule="auto"/>
              <w:ind w:firstLine="0" w:firstLineChars="0"/>
              <w:jc w:val="center"/>
              <w:rPr>
                <w:rFonts w:cs="Times New Roman"/>
                <w:kern w:val="0"/>
                <w:sz w:val="21"/>
                <w:szCs w:val="21"/>
              </w:rPr>
            </w:pPr>
            <w:r>
              <w:rPr>
                <w:rFonts w:hint="eastAsia" w:cs="Times New Roman"/>
                <w:kern w:val="0"/>
                <w:sz w:val="21"/>
                <w:szCs w:val="21"/>
              </w:rPr>
              <w:t>规划近期</w:t>
            </w:r>
          </w:p>
        </w:tc>
        <w:tc>
          <w:tcPr>
            <w:tcW w:w="999" w:type="pct"/>
            <w:vAlign w:val="center"/>
          </w:tcPr>
          <w:p w14:paraId="4C4D1F24">
            <w:pPr>
              <w:spacing w:line="240" w:lineRule="auto"/>
              <w:ind w:firstLine="0" w:firstLineChars="0"/>
              <w:jc w:val="center"/>
              <w:rPr>
                <w:rFonts w:cs="Times New Roman"/>
                <w:kern w:val="0"/>
                <w:sz w:val="21"/>
                <w:szCs w:val="21"/>
              </w:rPr>
            </w:pPr>
            <w:r>
              <w:rPr>
                <w:rFonts w:hint="eastAsia" w:cs="Times New Roman"/>
                <w:kern w:val="0"/>
                <w:sz w:val="21"/>
                <w:szCs w:val="21"/>
              </w:rPr>
              <w:t>常住人口</w:t>
            </w:r>
          </w:p>
        </w:tc>
        <w:tc>
          <w:tcPr>
            <w:tcW w:w="1704" w:type="dxa"/>
            <w:vAlign w:val="center"/>
          </w:tcPr>
          <w:p w14:paraId="45B092B3">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3.45</w:t>
            </w:r>
          </w:p>
        </w:tc>
        <w:tc>
          <w:tcPr>
            <w:tcW w:w="1707" w:type="dxa"/>
            <w:vAlign w:val="center"/>
          </w:tcPr>
          <w:p w14:paraId="21F8C913">
            <w:pPr>
              <w:spacing w:line="240" w:lineRule="auto"/>
              <w:ind w:firstLine="0" w:firstLineChars="0"/>
              <w:jc w:val="center"/>
              <w:rPr>
                <w:rFonts w:cs="Times New Roman"/>
                <w:kern w:val="0"/>
                <w:sz w:val="21"/>
                <w:szCs w:val="21"/>
              </w:rPr>
            </w:pPr>
            <w:r>
              <w:rPr>
                <w:rFonts w:cs="Times New Roman"/>
                <w:kern w:val="0"/>
                <w:sz w:val="21"/>
                <w:szCs w:val="21"/>
              </w:rPr>
              <w:t>1.0 kg/</w:t>
            </w:r>
            <w:r>
              <w:rPr>
                <w:rFonts w:hint="eastAsia" w:cs="Times New Roman"/>
                <w:kern w:val="0"/>
                <w:sz w:val="21"/>
                <w:szCs w:val="21"/>
              </w:rPr>
              <w:t>（人·</w:t>
            </w:r>
            <w:r>
              <w:rPr>
                <w:rFonts w:cs="Times New Roman"/>
                <w:kern w:val="0"/>
                <w:sz w:val="21"/>
                <w:szCs w:val="21"/>
              </w:rPr>
              <w:t>d</w:t>
            </w:r>
            <w:r>
              <w:rPr>
                <w:rFonts w:hint="eastAsia" w:cs="Times New Roman"/>
                <w:kern w:val="0"/>
                <w:sz w:val="21"/>
                <w:szCs w:val="21"/>
              </w:rPr>
              <w:t>）</w:t>
            </w:r>
          </w:p>
        </w:tc>
        <w:tc>
          <w:tcPr>
            <w:tcW w:w="1704" w:type="dxa"/>
            <w:vAlign w:val="center"/>
          </w:tcPr>
          <w:p w14:paraId="6046B4E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1.33</w:t>
            </w:r>
          </w:p>
        </w:tc>
      </w:tr>
      <w:tr w14:paraId="3B1D3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 w:type="pct"/>
            <w:vMerge w:val="continue"/>
            <w:vAlign w:val="center"/>
          </w:tcPr>
          <w:p w14:paraId="11505F36">
            <w:pPr>
              <w:spacing w:line="240" w:lineRule="auto"/>
              <w:ind w:firstLine="0" w:firstLineChars="0"/>
              <w:jc w:val="center"/>
              <w:rPr>
                <w:rFonts w:cs="Times New Roman"/>
                <w:kern w:val="0"/>
                <w:sz w:val="21"/>
                <w:szCs w:val="21"/>
              </w:rPr>
            </w:pPr>
          </w:p>
        </w:tc>
        <w:tc>
          <w:tcPr>
            <w:tcW w:w="999" w:type="pct"/>
            <w:vAlign w:val="center"/>
          </w:tcPr>
          <w:p w14:paraId="53615A9B">
            <w:pPr>
              <w:spacing w:line="240" w:lineRule="auto"/>
              <w:ind w:firstLine="0" w:firstLineChars="0"/>
              <w:jc w:val="center"/>
              <w:rPr>
                <w:rFonts w:cs="Times New Roman"/>
                <w:kern w:val="0"/>
                <w:sz w:val="21"/>
                <w:szCs w:val="21"/>
              </w:rPr>
            </w:pPr>
            <w:r>
              <w:rPr>
                <w:rFonts w:hint="eastAsia" w:cs="Times New Roman"/>
                <w:kern w:val="0"/>
                <w:sz w:val="21"/>
                <w:szCs w:val="21"/>
              </w:rPr>
              <w:t>游客人数</w:t>
            </w:r>
          </w:p>
        </w:tc>
        <w:tc>
          <w:tcPr>
            <w:tcW w:w="1704" w:type="dxa"/>
            <w:vAlign w:val="center"/>
          </w:tcPr>
          <w:p w14:paraId="58DDCAC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558.6</w:t>
            </w:r>
          </w:p>
        </w:tc>
        <w:tc>
          <w:tcPr>
            <w:tcW w:w="1707" w:type="dxa"/>
            <w:vAlign w:val="center"/>
          </w:tcPr>
          <w:p w14:paraId="4FB9A975">
            <w:pPr>
              <w:spacing w:line="240" w:lineRule="auto"/>
              <w:ind w:firstLine="0" w:firstLineChars="0"/>
              <w:jc w:val="center"/>
              <w:rPr>
                <w:rFonts w:cs="Times New Roman"/>
                <w:kern w:val="0"/>
                <w:sz w:val="21"/>
                <w:szCs w:val="21"/>
              </w:rPr>
            </w:pPr>
            <w:r>
              <w:rPr>
                <w:rFonts w:cs="Times New Roman"/>
                <w:kern w:val="0"/>
                <w:sz w:val="21"/>
                <w:szCs w:val="21"/>
              </w:rPr>
              <w:t>0.5 kg/</w:t>
            </w:r>
            <w:r>
              <w:rPr>
                <w:rFonts w:hint="eastAsia" w:cs="Times New Roman"/>
                <w:kern w:val="0"/>
                <w:sz w:val="21"/>
                <w:szCs w:val="21"/>
              </w:rPr>
              <w:t>人次</w:t>
            </w:r>
          </w:p>
        </w:tc>
        <w:tc>
          <w:tcPr>
            <w:tcW w:w="1704" w:type="dxa"/>
            <w:vAlign w:val="center"/>
          </w:tcPr>
          <w:p w14:paraId="20A6D3E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0.28</w:t>
            </w:r>
          </w:p>
        </w:tc>
      </w:tr>
      <w:tr w14:paraId="133EC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99" w:type="pct"/>
            <w:gridSpan w:val="4"/>
            <w:vAlign w:val="center"/>
          </w:tcPr>
          <w:p w14:paraId="6AD08699">
            <w:pPr>
              <w:spacing w:line="240" w:lineRule="auto"/>
              <w:ind w:firstLine="0" w:firstLineChars="0"/>
              <w:jc w:val="center"/>
              <w:rPr>
                <w:rFonts w:cs="Times New Roman"/>
                <w:b/>
                <w:bCs/>
                <w:kern w:val="0"/>
                <w:sz w:val="21"/>
                <w:szCs w:val="21"/>
              </w:rPr>
            </w:pPr>
            <w:r>
              <w:rPr>
                <w:rFonts w:hint="eastAsia" w:cs="Times New Roman"/>
                <w:b/>
                <w:bCs/>
                <w:kern w:val="0"/>
                <w:sz w:val="21"/>
                <w:szCs w:val="21"/>
              </w:rPr>
              <w:t>合计</w:t>
            </w:r>
          </w:p>
        </w:tc>
        <w:tc>
          <w:tcPr>
            <w:tcW w:w="1704" w:type="dxa"/>
            <w:vAlign w:val="center"/>
          </w:tcPr>
          <w:p w14:paraId="5CC88262">
            <w:pPr>
              <w:widowControl/>
              <w:spacing w:line="240" w:lineRule="auto"/>
              <w:ind w:firstLine="0" w:firstLineChars="0"/>
              <w:jc w:val="center"/>
              <w:textAlignment w:val="center"/>
              <w:rPr>
                <w:rFonts w:cs="Times New Roman"/>
                <w:b/>
                <w:bCs/>
                <w:color w:val="000000"/>
                <w:kern w:val="0"/>
                <w:sz w:val="21"/>
                <w:szCs w:val="21"/>
                <w:lang w:bidi="ar"/>
              </w:rPr>
            </w:pPr>
            <w:r>
              <w:rPr>
                <w:rFonts w:hint="eastAsia" w:cs="Times New Roman"/>
                <w:b/>
                <w:bCs/>
                <w:color w:val="000000"/>
                <w:kern w:val="0"/>
                <w:sz w:val="21"/>
                <w:szCs w:val="21"/>
                <w:lang w:bidi="ar"/>
              </w:rPr>
              <w:t>1.61</w:t>
            </w:r>
          </w:p>
        </w:tc>
      </w:tr>
      <w:tr w14:paraId="11824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 w:type="pct"/>
            <w:vMerge w:val="restart"/>
            <w:vAlign w:val="center"/>
          </w:tcPr>
          <w:p w14:paraId="6B1309C1">
            <w:pPr>
              <w:spacing w:line="240" w:lineRule="auto"/>
              <w:ind w:firstLine="0" w:firstLineChars="0"/>
              <w:jc w:val="center"/>
              <w:rPr>
                <w:rFonts w:cs="Times New Roman"/>
                <w:kern w:val="0"/>
                <w:sz w:val="21"/>
                <w:szCs w:val="21"/>
              </w:rPr>
            </w:pPr>
            <w:r>
              <w:rPr>
                <w:rFonts w:hint="eastAsia" w:cs="Times New Roman"/>
                <w:kern w:val="0"/>
                <w:sz w:val="21"/>
                <w:szCs w:val="21"/>
              </w:rPr>
              <w:t>规划远期</w:t>
            </w:r>
          </w:p>
        </w:tc>
        <w:tc>
          <w:tcPr>
            <w:tcW w:w="999" w:type="pct"/>
            <w:vAlign w:val="center"/>
          </w:tcPr>
          <w:p w14:paraId="546A19CA">
            <w:pPr>
              <w:spacing w:line="240" w:lineRule="auto"/>
              <w:ind w:firstLine="0" w:firstLineChars="0"/>
              <w:jc w:val="center"/>
              <w:rPr>
                <w:rFonts w:cs="Times New Roman"/>
                <w:kern w:val="0"/>
                <w:sz w:val="21"/>
                <w:szCs w:val="21"/>
              </w:rPr>
            </w:pPr>
            <w:r>
              <w:rPr>
                <w:rFonts w:hint="eastAsia" w:cs="Times New Roman"/>
                <w:kern w:val="0"/>
                <w:sz w:val="21"/>
                <w:szCs w:val="21"/>
              </w:rPr>
              <w:t>常住人口</w:t>
            </w:r>
          </w:p>
        </w:tc>
        <w:tc>
          <w:tcPr>
            <w:tcW w:w="1704" w:type="dxa"/>
            <w:vAlign w:val="center"/>
          </w:tcPr>
          <w:p w14:paraId="056C2AC9">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3.63</w:t>
            </w:r>
          </w:p>
        </w:tc>
        <w:tc>
          <w:tcPr>
            <w:tcW w:w="1707" w:type="dxa"/>
            <w:vAlign w:val="center"/>
          </w:tcPr>
          <w:p w14:paraId="21B210AD">
            <w:pPr>
              <w:spacing w:line="240" w:lineRule="auto"/>
              <w:ind w:firstLine="0" w:firstLineChars="0"/>
              <w:jc w:val="center"/>
              <w:rPr>
                <w:rFonts w:cs="Times New Roman"/>
                <w:kern w:val="0"/>
                <w:sz w:val="21"/>
                <w:szCs w:val="21"/>
              </w:rPr>
            </w:pPr>
            <w:r>
              <w:rPr>
                <w:rFonts w:cs="Times New Roman"/>
                <w:kern w:val="0"/>
                <w:sz w:val="21"/>
                <w:szCs w:val="21"/>
              </w:rPr>
              <w:t>1.0 kg/</w:t>
            </w:r>
            <w:r>
              <w:rPr>
                <w:rFonts w:hint="eastAsia" w:cs="Times New Roman"/>
                <w:kern w:val="0"/>
                <w:sz w:val="21"/>
                <w:szCs w:val="21"/>
              </w:rPr>
              <w:t>（人·</w:t>
            </w:r>
            <w:r>
              <w:rPr>
                <w:rFonts w:cs="Times New Roman"/>
                <w:kern w:val="0"/>
                <w:sz w:val="21"/>
                <w:szCs w:val="21"/>
              </w:rPr>
              <w:t>d</w:t>
            </w:r>
            <w:r>
              <w:rPr>
                <w:rFonts w:hint="eastAsia" w:cs="Times New Roman"/>
                <w:kern w:val="0"/>
                <w:sz w:val="21"/>
                <w:szCs w:val="21"/>
              </w:rPr>
              <w:t>）</w:t>
            </w:r>
          </w:p>
        </w:tc>
        <w:tc>
          <w:tcPr>
            <w:tcW w:w="1704" w:type="dxa"/>
            <w:vAlign w:val="center"/>
          </w:tcPr>
          <w:p w14:paraId="4736846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w:t>
            </w:r>
            <w:r>
              <w:rPr>
                <w:rFonts w:hint="eastAsia" w:cs="Times New Roman"/>
                <w:color w:val="000000"/>
                <w:kern w:val="0"/>
                <w:sz w:val="21"/>
                <w:szCs w:val="21"/>
                <w:lang w:bidi="ar"/>
              </w:rPr>
              <w:t>4</w:t>
            </w:r>
            <w:r>
              <w:rPr>
                <w:rFonts w:cs="Times New Roman"/>
                <w:color w:val="000000"/>
                <w:kern w:val="0"/>
                <w:sz w:val="21"/>
                <w:szCs w:val="21"/>
                <w:lang w:bidi="ar"/>
              </w:rPr>
              <w:t>0</w:t>
            </w:r>
          </w:p>
        </w:tc>
      </w:tr>
      <w:tr w14:paraId="06FA0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 w:type="pct"/>
            <w:vMerge w:val="continue"/>
            <w:vAlign w:val="center"/>
          </w:tcPr>
          <w:p w14:paraId="4F23DFBD">
            <w:pPr>
              <w:spacing w:line="240" w:lineRule="auto"/>
              <w:ind w:firstLine="0" w:firstLineChars="0"/>
              <w:jc w:val="center"/>
              <w:rPr>
                <w:rFonts w:cs="Times New Roman"/>
                <w:kern w:val="0"/>
                <w:sz w:val="21"/>
                <w:szCs w:val="21"/>
              </w:rPr>
            </w:pPr>
          </w:p>
        </w:tc>
        <w:tc>
          <w:tcPr>
            <w:tcW w:w="999" w:type="pct"/>
            <w:vAlign w:val="center"/>
          </w:tcPr>
          <w:p w14:paraId="2E4B3B90">
            <w:pPr>
              <w:spacing w:line="240" w:lineRule="auto"/>
              <w:ind w:firstLine="0" w:firstLineChars="0"/>
              <w:jc w:val="center"/>
              <w:rPr>
                <w:rFonts w:cs="Times New Roman"/>
                <w:kern w:val="0"/>
                <w:sz w:val="21"/>
                <w:szCs w:val="21"/>
              </w:rPr>
            </w:pPr>
            <w:r>
              <w:rPr>
                <w:rFonts w:hint="eastAsia" w:cs="Times New Roman"/>
                <w:kern w:val="0"/>
                <w:sz w:val="21"/>
                <w:szCs w:val="21"/>
              </w:rPr>
              <w:t>游客人数</w:t>
            </w:r>
          </w:p>
        </w:tc>
        <w:tc>
          <w:tcPr>
            <w:tcW w:w="1704" w:type="dxa"/>
            <w:vAlign w:val="center"/>
          </w:tcPr>
          <w:p w14:paraId="1738DE5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685.7</w:t>
            </w:r>
          </w:p>
        </w:tc>
        <w:tc>
          <w:tcPr>
            <w:tcW w:w="1707" w:type="dxa"/>
            <w:vAlign w:val="center"/>
          </w:tcPr>
          <w:p w14:paraId="7BB6F0C4">
            <w:pPr>
              <w:spacing w:line="240" w:lineRule="auto"/>
              <w:ind w:firstLine="0" w:firstLineChars="0"/>
              <w:jc w:val="center"/>
              <w:rPr>
                <w:rFonts w:cs="Times New Roman"/>
                <w:kern w:val="0"/>
                <w:sz w:val="21"/>
                <w:szCs w:val="21"/>
              </w:rPr>
            </w:pPr>
            <w:r>
              <w:rPr>
                <w:rFonts w:cs="Times New Roman"/>
                <w:kern w:val="0"/>
                <w:sz w:val="21"/>
                <w:szCs w:val="21"/>
              </w:rPr>
              <w:t>0.5 kg/</w:t>
            </w:r>
            <w:r>
              <w:rPr>
                <w:rFonts w:hint="eastAsia" w:cs="Times New Roman"/>
                <w:kern w:val="0"/>
                <w:sz w:val="21"/>
                <w:szCs w:val="21"/>
              </w:rPr>
              <w:t>人次</w:t>
            </w:r>
          </w:p>
        </w:tc>
        <w:tc>
          <w:tcPr>
            <w:tcW w:w="1704" w:type="dxa"/>
            <w:vAlign w:val="center"/>
          </w:tcPr>
          <w:p w14:paraId="343F99B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0.34</w:t>
            </w:r>
          </w:p>
        </w:tc>
      </w:tr>
      <w:tr w14:paraId="51EBA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99" w:type="pct"/>
            <w:gridSpan w:val="4"/>
            <w:vAlign w:val="center"/>
          </w:tcPr>
          <w:p w14:paraId="412BE250">
            <w:pPr>
              <w:spacing w:line="240" w:lineRule="auto"/>
              <w:ind w:firstLine="0" w:firstLineChars="0"/>
              <w:jc w:val="center"/>
              <w:rPr>
                <w:rFonts w:cs="Times New Roman"/>
                <w:b/>
                <w:bCs/>
                <w:kern w:val="0"/>
                <w:sz w:val="21"/>
                <w:szCs w:val="21"/>
              </w:rPr>
            </w:pPr>
            <w:r>
              <w:rPr>
                <w:rFonts w:hint="eastAsia" w:cs="Times New Roman"/>
                <w:b/>
                <w:bCs/>
                <w:kern w:val="0"/>
                <w:sz w:val="21"/>
                <w:szCs w:val="21"/>
              </w:rPr>
              <w:t>合计</w:t>
            </w:r>
          </w:p>
        </w:tc>
        <w:tc>
          <w:tcPr>
            <w:tcW w:w="1704" w:type="dxa"/>
            <w:vAlign w:val="center"/>
          </w:tcPr>
          <w:p w14:paraId="4B95EE81">
            <w:pPr>
              <w:widowControl/>
              <w:spacing w:line="240" w:lineRule="auto"/>
              <w:ind w:firstLine="0" w:firstLineChars="0"/>
              <w:jc w:val="center"/>
              <w:textAlignment w:val="center"/>
              <w:rPr>
                <w:rFonts w:cs="Times New Roman"/>
                <w:b/>
                <w:bCs/>
                <w:color w:val="000000"/>
                <w:kern w:val="0"/>
                <w:sz w:val="21"/>
                <w:szCs w:val="21"/>
                <w:lang w:bidi="ar"/>
              </w:rPr>
            </w:pPr>
            <w:r>
              <w:rPr>
                <w:rFonts w:hint="eastAsia" w:cs="Times New Roman"/>
                <w:b/>
                <w:bCs/>
                <w:color w:val="000000"/>
                <w:kern w:val="0"/>
                <w:sz w:val="21"/>
                <w:szCs w:val="21"/>
                <w:lang w:bidi="ar"/>
              </w:rPr>
              <w:t>1.74</w:t>
            </w:r>
          </w:p>
        </w:tc>
      </w:tr>
    </w:tbl>
    <w:p w14:paraId="57F500BE">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2</w:t>
      </w:r>
      <w:r>
        <w:rPr>
          <w:rFonts w:eastAsia="方正楷体_GBK" w:cs="Times New Roman"/>
          <w:b/>
          <w:bCs/>
          <w:szCs w:val="28"/>
          <w14:ligatures w14:val="none"/>
        </w:rPr>
        <w:t>.</w:t>
      </w:r>
      <w:r>
        <w:rPr>
          <w:rFonts w:hint="eastAsia" w:eastAsia="方正楷体_GBK" w:cs="Times New Roman"/>
          <w:b/>
          <w:bCs/>
          <w:szCs w:val="28"/>
          <w14:ligatures w14:val="none"/>
        </w:rPr>
        <w:t>4噪声污染源强估算</w:t>
      </w:r>
    </w:p>
    <w:p w14:paraId="6D2A619F">
      <w:pPr>
        <w:ind w:firstLine="480"/>
      </w:pPr>
      <w:r>
        <w:rPr>
          <w:rFonts w:hint="eastAsia"/>
        </w:rPr>
        <w:t>规划期度假区内的</w:t>
      </w:r>
      <w:r>
        <w:t>噪声</w:t>
      </w:r>
      <w:r>
        <w:rPr>
          <w:rFonts w:hint="eastAsia"/>
        </w:rPr>
        <w:t>源</w:t>
      </w:r>
      <w:r>
        <w:t>主要有餐饮区噪声、游客游览过程中产生噪声和来自各类水泵等设备噪声，以及汽车出入</w:t>
      </w:r>
      <w:r>
        <w:rPr>
          <w:rFonts w:hint="eastAsia"/>
        </w:rPr>
        <w:t>度假</w:t>
      </w:r>
      <w:r>
        <w:t>区的交通噪声等。</w:t>
      </w:r>
    </w:p>
    <w:p w14:paraId="0DF0007C">
      <w:pPr>
        <w:ind w:firstLine="480"/>
      </w:pPr>
      <w:r>
        <w:t>餐饮区噪声源主要为厨房设备、排风机及就餐顾客产生的噪声，噪声值约为70~80 dB</w:t>
      </w:r>
      <w:r>
        <w:rPr>
          <w:rFonts w:hint="eastAsia"/>
        </w:rPr>
        <w:t>（</w:t>
      </w:r>
      <w:r>
        <w:t>A</w:t>
      </w:r>
      <w:r>
        <w:rPr>
          <w:rFonts w:hint="eastAsia"/>
        </w:rPr>
        <w:t>）；</w:t>
      </w:r>
      <w:r>
        <w:t>游客噪声值约为50~60 dB</w:t>
      </w:r>
      <w:r>
        <w:rPr>
          <w:rFonts w:hint="eastAsia"/>
        </w:rPr>
        <w:t>（</w:t>
      </w:r>
      <w:r>
        <w:t>A</w:t>
      </w:r>
      <w:r>
        <w:rPr>
          <w:rFonts w:hint="eastAsia"/>
        </w:rPr>
        <w:t>）</w:t>
      </w:r>
      <w:r>
        <w:t>。</w:t>
      </w:r>
      <w:r>
        <w:rPr>
          <w:rFonts w:hint="eastAsia"/>
        </w:rPr>
        <w:t>度</w:t>
      </w:r>
      <w:r>
        <w:t>假区泵房及其他设备噪声和交通噪声采用类比实测的平均声级确定其声源源强见表</w:t>
      </w:r>
      <w:r>
        <w:rPr>
          <w:rFonts w:hint="eastAsia"/>
        </w:rPr>
        <w:t>5</w:t>
      </w:r>
      <w:r>
        <w:t>.</w:t>
      </w:r>
      <w:r>
        <w:rPr>
          <w:rFonts w:hint="eastAsia"/>
        </w:rPr>
        <w:t>2</w:t>
      </w:r>
      <w:r>
        <w:t>-</w:t>
      </w:r>
      <w:r>
        <w:rPr>
          <w:rFonts w:hint="eastAsia"/>
        </w:rPr>
        <w:t>9</w:t>
      </w:r>
      <w:r>
        <w:t>和表</w:t>
      </w:r>
      <w:r>
        <w:rPr>
          <w:rFonts w:hint="eastAsia"/>
        </w:rPr>
        <w:t>5</w:t>
      </w:r>
      <w:r>
        <w:t>.</w:t>
      </w:r>
      <w:r>
        <w:rPr>
          <w:rFonts w:hint="eastAsia"/>
        </w:rPr>
        <w:t>2</w:t>
      </w:r>
      <w:r>
        <w:t>-</w:t>
      </w:r>
      <w:r>
        <w:rPr>
          <w:rFonts w:hint="eastAsia"/>
        </w:rPr>
        <w:t>10</w:t>
      </w:r>
      <w:r>
        <w:t>。</w:t>
      </w:r>
    </w:p>
    <w:p w14:paraId="4B4F41EE">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2</w:t>
      </w:r>
      <w:r>
        <w:rPr>
          <w:rFonts w:cs="Times New Roman"/>
        </w:rPr>
        <w:t>-</w:t>
      </w:r>
      <w:r>
        <w:rPr>
          <w:rFonts w:hint="eastAsia" w:cs="Times New Roman"/>
        </w:rPr>
        <w:t>9</w:t>
      </w:r>
      <w:r>
        <w:rPr>
          <w:rFonts w:cs="Times New Roman"/>
        </w:rPr>
        <w:t xml:space="preserve">  度假区</w:t>
      </w:r>
      <w:r>
        <w:rPr>
          <w:rFonts w:hint="eastAsia" w:cs="Times New Roman"/>
        </w:rPr>
        <w:t>各类设备</w:t>
      </w:r>
      <w:r>
        <w:rPr>
          <w:rFonts w:cs="Times New Roman"/>
        </w:rPr>
        <w:t>噪声源平均声级值</w:t>
      </w:r>
    </w:p>
    <w:tbl>
      <w:tblPr>
        <w:tblStyle w:val="6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1"/>
        <w:gridCol w:w="3809"/>
        <w:gridCol w:w="2842"/>
      </w:tblGrid>
      <w:tr w14:paraId="1EB26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98" w:type="pct"/>
            <w:vAlign w:val="center"/>
          </w:tcPr>
          <w:p w14:paraId="3AA119BC">
            <w:pPr>
              <w:spacing w:line="240" w:lineRule="auto"/>
              <w:ind w:firstLine="0" w:firstLineChars="0"/>
              <w:jc w:val="center"/>
              <w:rPr>
                <w:b/>
                <w:sz w:val="21"/>
                <w14:ligatures w14:val="none"/>
              </w:rPr>
            </w:pPr>
            <w:r>
              <w:rPr>
                <w:rFonts w:hint="eastAsia"/>
                <w:b/>
                <w:sz w:val="21"/>
                <w14:ligatures w14:val="none"/>
              </w:rPr>
              <w:t>序号</w:t>
            </w:r>
          </w:p>
        </w:tc>
        <w:tc>
          <w:tcPr>
            <w:tcW w:w="2235" w:type="pct"/>
            <w:vAlign w:val="center"/>
          </w:tcPr>
          <w:p w14:paraId="516505B5">
            <w:pPr>
              <w:spacing w:line="240" w:lineRule="auto"/>
              <w:ind w:firstLine="0" w:firstLineChars="0"/>
              <w:jc w:val="center"/>
              <w:rPr>
                <w:b/>
                <w:sz w:val="21"/>
                <w:szCs w:val="21"/>
                <w14:ligatures w14:val="none"/>
              </w:rPr>
            </w:pPr>
            <w:r>
              <w:rPr>
                <w:rFonts w:hint="eastAsia"/>
                <w:b/>
                <w:sz w:val="21"/>
                <w:szCs w:val="21"/>
                <w14:ligatures w14:val="none"/>
              </w:rPr>
              <w:t>库（房）名称</w:t>
            </w:r>
          </w:p>
        </w:tc>
        <w:tc>
          <w:tcPr>
            <w:tcW w:w="1667" w:type="pct"/>
            <w:vAlign w:val="center"/>
          </w:tcPr>
          <w:p w14:paraId="2B98C460">
            <w:pPr>
              <w:spacing w:line="240" w:lineRule="auto"/>
              <w:ind w:firstLine="0" w:firstLineChars="0"/>
              <w:jc w:val="center"/>
              <w:rPr>
                <w:b/>
                <w:sz w:val="21"/>
                <w:szCs w:val="21"/>
                <w14:ligatures w14:val="none"/>
              </w:rPr>
            </w:pPr>
            <w:r>
              <w:rPr>
                <w:rFonts w:hint="eastAsia"/>
                <w:b/>
                <w:sz w:val="21"/>
                <w:szCs w:val="21"/>
                <w14:ligatures w14:val="none"/>
              </w:rPr>
              <w:t>平均声级dB（A）</w:t>
            </w:r>
          </w:p>
        </w:tc>
      </w:tr>
      <w:tr w14:paraId="40BF7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Align w:val="center"/>
          </w:tcPr>
          <w:p w14:paraId="3CF1814B">
            <w:pPr>
              <w:spacing w:line="240" w:lineRule="auto"/>
              <w:ind w:firstLine="0" w:firstLineChars="0"/>
              <w:jc w:val="center"/>
              <w:rPr>
                <w:sz w:val="21"/>
                <w:szCs w:val="21"/>
                <w14:ligatures w14:val="none"/>
              </w:rPr>
            </w:pPr>
            <w:r>
              <w:rPr>
                <w:rFonts w:hint="eastAsia"/>
                <w:sz w:val="21"/>
                <w:szCs w:val="21"/>
                <w14:ligatures w14:val="none"/>
              </w:rPr>
              <w:t>1</w:t>
            </w:r>
          </w:p>
        </w:tc>
        <w:tc>
          <w:tcPr>
            <w:tcW w:w="2235" w:type="pct"/>
            <w:vAlign w:val="center"/>
          </w:tcPr>
          <w:p w14:paraId="17F9EFBE">
            <w:pPr>
              <w:spacing w:line="240" w:lineRule="auto"/>
              <w:ind w:firstLine="0" w:firstLineChars="0"/>
              <w:jc w:val="center"/>
              <w:rPr>
                <w:sz w:val="21"/>
                <w:szCs w:val="21"/>
                <w14:ligatures w14:val="none"/>
              </w:rPr>
            </w:pPr>
            <w:r>
              <w:rPr>
                <w:rFonts w:hint="eastAsia"/>
                <w:sz w:val="21"/>
                <w:szCs w:val="21"/>
                <w14:ligatures w14:val="none"/>
              </w:rPr>
              <w:t>水泵房</w:t>
            </w:r>
          </w:p>
        </w:tc>
        <w:tc>
          <w:tcPr>
            <w:tcW w:w="1667" w:type="pct"/>
            <w:vAlign w:val="center"/>
          </w:tcPr>
          <w:p w14:paraId="6A6F092A">
            <w:pPr>
              <w:spacing w:line="240" w:lineRule="auto"/>
              <w:ind w:firstLine="0" w:firstLineChars="0"/>
              <w:jc w:val="center"/>
              <w:rPr>
                <w:sz w:val="21"/>
                <w:szCs w:val="21"/>
                <w14:ligatures w14:val="none"/>
              </w:rPr>
            </w:pPr>
            <w:r>
              <w:rPr>
                <w:rFonts w:hint="eastAsia"/>
                <w:sz w:val="21"/>
                <w:szCs w:val="21"/>
                <w14:ligatures w14:val="none"/>
              </w:rPr>
              <w:t>80-85</w:t>
            </w:r>
          </w:p>
        </w:tc>
      </w:tr>
      <w:tr w14:paraId="0E483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Align w:val="center"/>
          </w:tcPr>
          <w:p w14:paraId="0B980446">
            <w:pPr>
              <w:spacing w:line="240" w:lineRule="auto"/>
              <w:ind w:firstLine="0" w:firstLineChars="0"/>
              <w:jc w:val="center"/>
              <w:rPr>
                <w:sz w:val="21"/>
                <w:szCs w:val="21"/>
                <w14:ligatures w14:val="none"/>
              </w:rPr>
            </w:pPr>
            <w:r>
              <w:rPr>
                <w:rFonts w:hint="eastAsia"/>
                <w:sz w:val="21"/>
                <w:szCs w:val="21"/>
                <w14:ligatures w14:val="none"/>
              </w:rPr>
              <w:t>2</w:t>
            </w:r>
          </w:p>
        </w:tc>
        <w:tc>
          <w:tcPr>
            <w:tcW w:w="2235" w:type="pct"/>
            <w:vAlign w:val="center"/>
          </w:tcPr>
          <w:p w14:paraId="61E8A341">
            <w:pPr>
              <w:spacing w:line="240" w:lineRule="auto"/>
              <w:ind w:firstLine="0" w:firstLineChars="0"/>
              <w:jc w:val="center"/>
              <w:rPr>
                <w:sz w:val="21"/>
                <w:szCs w:val="21"/>
                <w14:ligatures w14:val="none"/>
              </w:rPr>
            </w:pPr>
            <w:r>
              <w:rPr>
                <w:rFonts w:hint="eastAsia"/>
                <w:sz w:val="21"/>
                <w:szCs w:val="21"/>
                <w14:ligatures w14:val="none"/>
              </w:rPr>
              <w:t>风机房</w:t>
            </w:r>
          </w:p>
        </w:tc>
        <w:tc>
          <w:tcPr>
            <w:tcW w:w="1667" w:type="pct"/>
            <w:vAlign w:val="center"/>
          </w:tcPr>
          <w:p w14:paraId="34CBECCD">
            <w:pPr>
              <w:spacing w:line="240" w:lineRule="auto"/>
              <w:ind w:firstLine="0" w:firstLineChars="0"/>
              <w:jc w:val="center"/>
              <w:rPr>
                <w:sz w:val="21"/>
                <w:szCs w:val="21"/>
                <w14:ligatures w14:val="none"/>
              </w:rPr>
            </w:pPr>
            <w:r>
              <w:rPr>
                <w:rFonts w:hint="eastAsia"/>
                <w:sz w:val="21"/>
                <w:szCs w:val="21"/>
                <w14:ligatures w14:val="none"/>
              </w:rPr>
              <w:t>85</w:t>
            </w:r>
          </w:p>
        </w:tc>
      </w:tr>
      <w:tr w14:paraId="3A473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Align w:val="center"/>
          </w:tcPr>
          <w:p w14:paraId="0336CFAD">
            <w:pPr>
              <w:spacing w:line="240" w:lineRule="auto"/>
              <w:ind w:firstLine="0" w:firstLineChars="0"/>
              <w:jc w:val="center"/>
              <w:rPr>
                <w:sz w:val="21"/>
                <w:szCs w:val="21"/>
                <w14:ligatures w14:val="none"/>
              </w:rPr>
            </w:pPr>
            <w:r>
              <w:rPr>
                <w:rFonts w:hint="eastAsia"/>
                <w:sz w:val="21"/>
                <w:szCs w:val="21"/>
                <w14:ligatures w14:val="none"/>
              </w:rPr>
              <w:t>3</w:t>
            </w:r>
          </w:p>
        </w:tc>
        <w:tc>
          <w:tcPr>
            <w:tcW w:w="2235" w:type="pct"/>
            <w:vAlign w:val="center"/>
          </w:tcPr>
          <w:p w14:paraId="68C9C5FC">
            <w:pPr>
              <w:spacing w:line="240" w:lineRule="auto"/>
              <w:ind w:firstLine="0" w:firstLineChars="0"/>
              <w:jc w:val="center"/>
              <w:rPr>
                <w:sz w:val="21"/>
                <w:szCs w:val="21"/>
                <w14:ligatures w14:val="none"/>
              </w:rPr>
            </w:pPr>
            <w:r>
              <w:rPr>
                <w:rFonts w:hint="eastAsia"/>
                <w:sz w:val="21"/>
                <w:szCs w:val="21"/>
                <w14:ligatures w14:val="none"/>
              </w:rPr>
              <w:t>变电箱</w:t>
            </w:r>
          </w:p>
        </w:tc>
        <w:tc>
          <w:tcPr>
            <w:tcW w:w="1667" w:type="pct"/>
            <w:vAlign w:val="center"/>
          </w:tcPr>
          <w:p w14:paraId="1FBD3FD9">
            <w:pPr>
              <w:spacing w:line="240" w:lineRule="auto"/>
              <w:ind w:firstLine="0" w:firstLineChars="0"/>
              <w:jc w:val="center"/>
              <w:rPr>
                <w:sz w:val="21"/>
                <w:szCs w:val="21"/>
                <w14:ligatures w14:val="none"/>
              </w:rPr>
            </w:pPr>
            <w:r>
              <w:rPr>
                <w:rFonts w:hint="eastAsia"/>
                <w:sz w:val="21"/>
                <w:szCs w:val="21"/>
                <w14:ligatures w14:val="none"/>
              </w:rPr>
              <w:t>75</w:t>
            </w:r>
          </w:p>
        </w:tc>
      </w:tr>
      <w:tr w14:paraId="2FCFC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Align w:val="center"/>
          </w:tcPr>
          <w:p w14:paraId="5902E86D">
            <w:pPr>
              <w:spacing w:line="240" w:lineRule="auto"/>
              <w:ind w:firstLine="0" w:firstLineChars="0"/>
              <w:jc w:val="center"/>
              <w:rPr>
                <w:sz w:val="21"/>
                <w:szCs w:val="21"/>
                <w14:ligatures w14:val="none"/>
              </w:rPr>
            </w:pPr>
            <w:r>
              <w:rPr>
                <w:rFonts w:hint="eastAsia"/>
                <w:sz w:val="21"/>
                <w:szCs w:val="21"/>
                <w14:ligatures w14:val="none"/>
              </w:rPr>
              <w:t>4</w:t>
            </w:r>
          </w:p>
        </w:tc>
        <w:tc>
          <w:tcPr>
            <w:tcW w:w="2235" w:type="pct"/>
            <w:vAlign w:val="center"/>
          </w:tcPr>
          <w:p w14:paraId="5F9B7736">
            <w:pPr>
              <w:spacing w:line="240" w:lineRule="auto"/>
              <w:ind w:firstLine="0" w:firstLineChars="0"/>
              <w:jc w:val="center"/>
              <w:rPr>
                <w:sz w:val="21"/>
                <w:szCs w:val="21"/>
                <w14:ligatures w14:val="none"/>
              </w:rPr>
            </w:pPr>
            <w:r>
              <w:rPr>
                <w:rFonts w:hint="eastAsia"/>
                <w:sz w:val="21"/>
                <w:szCs w:val="21"/>
                <w14:ligatures w14:val="none"/>
              </w:rPr>
              <w:t>配电间</w:t>
            </w:r>
          </w:p>
        </w:tc>
        <w:tc>
          <w:tcPr>
            <w:tcW w:w="1667" w:type="pct"/>
            <w:vAlign w:val="center"/>
          </w:tcPr>
          <w:p w14:paraId="6A3935BF">
            <w:pPr>
              <w:spacing w:line="240" w:lineRule="auto"/>
              <w:ind w:firstLine="0" w:firstLineChars="0"/>
              <w:jc w:val="center"/>
              <w:rPr>
                <w:sz w:val="21"/>
                <w:szCs w:val="21"/>
                <w14:ligatures w14:val="none"/>
              </w:rPr>
            </w:pPr>
            <w:r>
              <w:rPr>
                <w:rFonts w:hint="eastAsia"/>
                <w:sz w:val="21"/>
                <w:szCs w:val="21"/>
                <w14:ligatures w14:val="none"/>
              </w:rPr>
              <w:t>68-75</w:t>
            </w:r>
          </w:p>
        </w:tc>
      </w:tr>
    </w:tbl>
    <w:p w14:paraId="50F1202E">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2</w:t>
      </w:r>
      <w:r>
        <w:rPr>
          <w:rFonts w:cs="Times New Roman"/>
        </w:rPr>
        <w:t>-</w:t>
      </w:r>
      <w:r>
        <w:rPr>
          <w:rFonts w:hint="eastAsia" w:cs="Times New Roman"/>
        </w:rPr>
        <w:t>10</w:t>
      </w:r>
      <w:r>
        <w:rPr>
          <w:rFonts w:cs="Times New Roman"/>
        </w:rPr>
        <w:t xml:space="preserve">  度假区</w:t>
      </w:r>
      <w:r>
        <w:rPr>
          <w:rFonts w:hint="eastAsia" w:cs="Times New Roman"/>
        </w:rPr>
        <w:t>交通</w:t>
      </w:r>
      <w:r>
        <w:rPr>
          <w:rFonts w:cs="Times New Roman"/>
        </w:rPr>
        <w:t>噪声源平均声级值</w:t>
      </w:r>
    </w:p>
    <w:tbl>
      <w:tblPr>
        <w:tblStyle w:val="6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1"/>
        <w:gridCol w:w="3809"/>
        <w:gridCol w:w="2842"/>
      </w:tblGrid>
      <w:tr w14:paraId="725D8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98" w:type="pct"/>
            <w:vAlign w:val="center"/>
          </w:tcPr>
          <w:p w14:paraId="4D6C5B07">
            <w:pPr>
              <w:spacing w:line="240" w:lineRule="auto"/>
              <w:ind w:firstLine="0" w:firstLineChars="0"/>
              <w:jc w:val="center"/>
              <w:rPr>
                <w:b/>
                <w:sz w:val="21"/>
                <w14:ligatures w14:val="none"/>
              </w:rPr>
            </w:pPr>
            <w:r>
              <w:rPr>
                <w:rFonts w:hint="eastAsia"/>
                <w:b/>
                <w:sz w:val="21"/>
                <w14:ligatures w14:val="none"/>
              </w:rPr>
              <w:t>声源</w:t>
            </w:r>
          </w:p>
        </w:tc>
        <w:tc>
          <w:tcPr>
            <w:tcW w:w="2235" w:type="pct"/>
            <w:vAlign w:val="center"/>
          </w:tcPr>
          <w:p w14:paraId="50ECFEF9">
            <w:pPr>
              <w:spacing w:line="240" w:lineRule="auto"/>
              <w:ind w:firstLine="0" w:firstLineChars="0"/>
              <w:jc w:val="center"/>
              <w:rPr>
                <w:b/>
                <w:sz w:val="21"/>
                <w14:ligatures w14:val="none"/>
              </w:rPr>
            </w:pPr>
            <w:r>
              <w:rPr>
                <w:rFonts w:hint="eastAsia"/>
                <w:b/>
                <w:sz w:val="21"/>
                <w14:ligatures w14:val="none"/>
              </w:rPr>
              <w:t>运行状况</w:t>
            </w:r>
          </w:p>
        </w:tc>
        <w:tc>
          <w:tcPr>
            <w:tcW w:w="1667" w:type="pct"/>
            <w:vAlign w:val="center"/>
          </w:tcPr>
          <w:p w14:paraId="2EFE71B9">
            <w:pPr>
              <w:spacing w:line="240" w:lineRule="auto"/>
              <w:ind w:firstLine="0" w:firstLineChars="0"/>
              <w:jc w:val="center"/>
              <w:rPr>
                <w:b/>
                <w:sz w:val="21"/>
                <w14:ligatures w14:val="none"/>
              </w:rPr>
            </w:pPr>
            <w:r>
              <w:rPr>
                <w:rFonts w:hint="eastAsia"/>
                <w:b/>
                <w:sz w:val="21"/>
                <w14:ligatures w14:val="none"/>
              </w:rPr>
              <w:t>声级dB（A）</w:t>
            </w:r>
          </w:p>
        </w:tc>
      </w:tr>
      <w:tr w14:paraId="38A0B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Merge w:val="restart"/>
            <w:vAlign w:val="center"/>
          </w:tcPr>
          <w:p w14:paraId="0870B079">
            <w:pPr>
              <w:spacing w:line="240" w:lineRule="auto"/>
              <w:ind w:firstLine="0" w:firstLineChars="0"/>
              <w:jc w:val="center"/>
              <w:rPr>
                <w:sz w:val="21"/>
                <w14:ligatures w14:val="none"/>
              </w:rPr>
            </w:pPr>
            <w:r>
              <w:rPr>
                <w:rFonts w:hint="eastAsia"/>
                <w:sz w:val="21"/>
                <w14:ligatures w14:val="none"/>
              </w:rPr>
              <w:t>小型车</w:t>
            </w:r>
          </w:p>
        </w:tc>
        <w:tc>
          <w:tcPr>
            <w:tcW w:w="2235" w:type="pct"/>
            <w:vAlign w:val="center"/>
          </w:tcPr>
          <w:p w14:paraId="662EC0EF">
            <w:pPr>
              <w:spacing w:line="240" w:lineRule="auto"/>
              <w:ind w:firstLine="0" w:firstLineChars="0"/>
              <w:jc w:val="center"/>
              <w:rPr>
                <w:sz w:val="21"/>
                <w14:ligatures w14:val="none"/>
              </w:rPr>
            </w:pPr>
            <w:r>
              <w:rPr>
                <w:rFonts w:hint="eastAsia"/>
                <w:sz w:val="21"/>
                <w14:ligatures w14:val="none"/>
              </w:rPr>
              <w:t>怠速行驶</w:t>
            </w:r>
          </w:p>
        </w:tc>
        <w:tc>
          <w:tcPr>
            <w:tcW w:w="1667" w:type="pct"/>
            <w:vAlign w:val="center"/>
          </w:tcPr>
          <w:p w14:paraId="2AAC8CC2">
            <w:pPr>
              <w:spacing w:line="240" w:lineRule="auto"/>
              <w:ind w:firstLine="0" w:firstLineChars="0"/>
              <w:jc w:val="center"/>
              <w:rPr>
                <w:sz w:val="21"/>
                <w14:ligatures w14:val="none"/>
              </w:rPr>
            </w:pPr>
            <w:r>
              <w:rPr>
                <w:rFonts w:hint="eastAsia"/>
                <w:sz w:val="21"/>
                <w14:ligatures w14:val="none"/>
              </w:rPr>
              <w:t>59-76</w:t>
            </w:r>
          </w:p>
        </w:tc>
      </w:tr>
      <w:tr w14:paraId="549C7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Merge w:val="continue"/>
            <w:vAlign w:val="center"/>
          </w:tcPr>
          <w:p w14:paraId="07F0029B">
            <w:pPr>
              <w:spacing w:line="240" w:lineRule="auto"/>
              <w:ind w:firstLine="0" w:firstLineChars="0"/>
              <w:jc w:val="center"/>
              <w:rPr>
                <w:sz w:val="21"/>
                <w14:ligatures w14:val="none"/>
              </w:rPr>
            </w:pPr>
          </w:p>
        </w:tc>
        <w:tc>
          <w:tcPr>
            <w:tcW w:w="2235" w:type="pct"/>
            <w:vAlign w:val="center"/>
          </w:tcPr>
          <w:p w14:paraId="1DA0AD2E">
            <w:pPr>
              <w:spacing w:line="240" w:lineRule="auto"/>
              <w:ind w:firstLine="0" w:firstLineChars="0"/>
              <w:jc w:val="center"/>
              <w:rPr>
                <w:sz w:val="21"/>
                <w14:ligatures w14:val="none"/>
              </w:rPr>
            </w:pPr>
            <w:r>
              <w:rPr>
                <w:rFonts w:hint="eastAsia"/>
                <w:sz w:val="21"/>
                <w14:ligatures w14:val="none"/>
              </w:rPr>
              <w:t>正常行驶</w:t>
            </w:r>
          </w:p>
        </w:tc>
        <w:tc>
          <w:tcPr>
            <w:tcW w:w="1667" w:type="pct"/>
            <w:vAlign w:val="center"/>
          </w:tcPr>
          <w:p w14:paraId="38209261">
            <w:pPr>
              <w:spacing w:line="240" w:lineRule="auto"/>
              <w:ind w:firstLine="0" w:firstLineChars="0"/>
              <w:jc w:val="center"/>
              <w:rPr>
                <w:sz w:val="21"/>
                <w14:ligatures w14:val="none"/>
              </w:rPr>
            </w:pPr>
            <w:r>
              <w:rPr>
                <w:rFonts w:hint="eastAsia"/>
                <w:sz w:val="21"/>
                <w14:ligatures w14:val="none"/>
              </w:rPr>
              <w:t>61-70</w:t>
            </w:r>
          </w:p>
        </w:tc>
      </w:tr>
      <w:tr w14:paraId="0E19C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Merge w:val="continue"/>
            <w:vAlign w:val="center"/>
          </w:tcPr>
          <w:p w14:paraId="11871921">
            <w:pPr>
              <w:spacing w:line="240" w:lineRule="auto"/>
              <w:ind w:firstLine="0" w:firstLineChars="0"/>
              <w:jc w:val="center"/>
              <w:rPr>
                <w:sz w:val="21"/>
                <w14:ligatures w14:val="none"/>
              </w:rPr>
            </w:pPr>
          </w:p>
        </w:tc>
        <w:tc>
          <w:tcPr>
            <w:tcW w:w="2235" w:type="pct"/>
            <w:vAlign w:val="center"/>
          </w:tcPr>
          <w:p w14:paraId="06DBBB5E">
            <w:pPr>
              <w:spacing w:line="240" w:lineRule="auto"/>
              <w:ind w:firstLine="0" w:firstLineChars="0"/>
              <w:jc w:val="center"/>
              <w:rPr>
                <w:sz w:val="21"/>
                <w14:ligatures w14:val="none"/>
              </w:rPr>
            </w:pPr>
            <w:r>
              <w:rPr>
                <w:rFonts w:hint="eastAsia"/>
                <w:sz w:val="21"/>
                <w14:ligatures w14:val="none"/>
              </w:rPr>
              <w:t>鸣笛</w:t>
            </w:r>
          </w:p>
        </w:tc>
        <w:tc>
          <w:tcPr>
            <w:tcW w:w="1667" w:type="pct"/>
            <w:vAlign w:val="center"/>
          </w:tcPr>
          <w:p w14:paraId="36AFB75A">
            <w:pPr>
              <w:spacing w:line="240" w:lineRule="auto"/>
              <w:ind w:firstLine="0" w:firstLineChars="0"/>
              <w:jc w:val="center"/>
              <w:rPr>
                <w:sz w:val="21"/>
                <w14:ligatures w14:val="none"/>
              </w:rPr>
            </w:pPr>
            <w:r>
              <w:rPr>
                <w:rFonts w:hint="eastAsia"/>
                <w:sz w:val="21"/>
                <w14:ligatures w14:val="none"/>
              </w:rPr>
              <w:t>78-84</w:t>
            </w:r>
          </w:p>
        </w:tc>
      </w:tr>
      <w:tr w14:paraId="5794E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Merge w:val="restart"/>
            <w:vAlign w:val="center"/>
          </w:tcPr>
          <w:p w14:paraId="0DCD9A5C">
            <w:pPr>
              <w:spacing w:line="240" w:lineRule="auto"/>
              <w:ind w:firstLine="0" w:firstLineChars="0"/>
              <w:jc w:val="center"/>
              <w:rPr>
                <w:sz w:val="21"/>
                <w14:ligatures w14:val="none"/>
              </w:rPr>
            </w:pPr>
            <w:r>
              <w:rPr>
                <w:rFonts w:hint="eastAsia"/>
                <w:sz w:val="21"/>
                <w14:ligatures w14:val="none"/>
              </w:rPr>
              <w:t>中型车</w:t>
            </w:r>
          </w:p>
        </w:tc>
        <w:tc>
          <w:tcPr>
            <w:tcW w:w="2235" w:type="pct"/>
            <w:vAlign w:val="center"/>
          </w:tcPr>
          <w:p w14:paraId="23A78348">
            <w:pPr>
              <w:spacing w:line="240" w:lineRule="auto"/>
              <w:ind w:firstLine="0" w:firstLineChars="0"/>
              <w:jc w:val="center"/>
              <w:rPr>
                <w:sz w:val="21"/>
                <w14:ligatures w14:val="none"/>
              </w:rPr>
            </w:pPr>
            <w:r>
              <w:rPr>
                <w:rFonts w:hint="eastAsia"/>
                <w:sz w:val="21"/>
                <w14:ligatures w14:val="none"/>
              </w:rPr>
              <w:t>怠速行驶</w:t>
            </w:r>
          </w:p>
        </w:tc>
        <w:tc>
          <w:tcPr>
            <w:tcW w:w="1667" w:type="pct"/>
            <w:vAlign w:val="center"/>
          </w:tcPr>
          <w:p w14:paraId="6C641C0C">
            <w:pPr>
              <w:spacing w:line="240" w:lineRule="auto"/>
              <w:ind w:firstLine="0" w:firstLineChars="0"/>
              <w:jc w:val="center"/>
              <w:rPr>
                <w:sz w:val="21"/>
                <w14:ligatures w14:val="none"/>
              </w:rPr>
            </w:pPr>
            <w:r>
              <w:rPr>
                <w:rFonts w:hint="eastAsia"/>
                <w:sz w:val="21"/>
                <w14:ligatures w14:val="none"/>
              </w:rPr>
              <w:t>62-76</w:t>
            </w:r>
          </w:p>
        </w:tc>
      </w:tr>
      <w:tr w14:paraId="601E3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Merge w:val="continue"/>
            <w:vAlign w:val="center"/>
          </w:tcPr>
          <w:p w14:paraId="07BD4D53">
            <w:pPr>
              <w:spacing w:line="240" w:lineRule="auto"/>
              <w:ind w:firstLine="0" w:firstLineChars="0"/>
              <w:jc w:val="center"/>
              <w:rPr>
                <w:sz w:val="21"/>
                <w14:ligatures w14:val="none"/>
              </w:rPr>
            </w:pPr>
          </w:p>
        </w:tc>
        <w:tc>
          <w:tcPr>
            <w:tcW w:w="2235" w:type="pct"/>
            <w:vAlign w:val="center"/>
          </w:tcPr>
          <w:p w14:paraId="044C16B6">
            <w:pPr>
              <w:spacing w:line="240" w:lineRule="auto"/>
              <w:ind w:firstLine="0" w:firstLineChars="0"/>
              <w:jc w:val="center"/>
              <w:rPr>
                <w:sz w:val="21"/>
                <w14:ligatures w14:val="none"/>
              </w:rPr>
            </w:pPr>
            <w:r>
              <w:rPr>
                <w:rFonts w:hint="eastAsia"/>
                <w:sz w:val="21"/>
                <w14:ligatures w14:val="none"/>
              </w:rPr>
              <w:t>正常行驶</w:t>
            </w:r>
          </w:p>
        </w:tc>
        <w:tc>
          <w:tcPr>
            <w:tcW w:w="1667" w:type="pct"/>
            <w:vAlign w:val="center"/>
          </w:tcPr>
          <w:p w14:paraId="76100860">
            <w:pPr>
              <w:spacing w:line="240" w:lineRule="auto"/>
              <w:ind w:firstLine="0" w:firstLineChars="0"/>
              <w:jc w:val="center"/>
              <w:rPr>
                <w:sz w:val="21"/>
                <w14:ligatures w14:val="none"/>
              </w:rPr>
            </w:pPr>
            <w:r>
              <w:rPr>
                <w:rFonts w:hint="eastAsia"/>
                <w:sz w:val="21"/>
                <w14:ligatures w14:val="none"/>
              </w:rPr>
              <w:t>62-72</w:t>
            </w:r>
          </w:p>
        </w:tc>
      </w:tr>
      <w:tr w14:paraId="255B0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Merge w:val="continue"/>
            <w:vAlign w:val="center"/>
          </w:tcPr>
          <w:p w14:paraId="022DD2E1">
            <w:pPr>
              <w:spacing w:line="240" w:lineRule="auto"/>
              <w:ind w:firstLine="0" w:firstLineChars="0"/>
              <w:jc w:val="center"/>
              <w:rPr>
                <w:sz w:val="21"/>
                <w14:ligatures w14:val="none"/>
              </w:rPr>
            </w:pPr>
          </w:p>
        </w:tc>
        <w:tc>
          <w:tcPr>
            <w:tcW w:w="2235" w:type="pct"/>
            <w:vAlign w:val="center"/>
          </w:tcPr>
          <w:p w14:paraId="32FFBEBB">
            <w:pPr>
              <w:spacing w:line="240" w:lineRule="auto"/>
              <w:ind w:firstLine="0" w:firstLineChars="0"/>
              <w:jc w:val="center"/>
              <w:rPr>
                <w:sz w:val="21"/>
                <w14:ligatures w14:val="none"/>
              </w:rPr>
            </w:pPr>
            <w:r>
              <w:rPr>
                <w:rFonts w:hint="eastAsia"/>
                <w:sz w:val="21"/>
                <w14:ligatures w14:val="none"/>
              </w:rPr>
              <w:t>鸣笛</w:t>
            </w:r>
          </w:p>
        </w:tc>
        <w:tc>
          <w:tcPr>
            <w:tcW w:w="1667" w:type="pct"/>
            <w:vAlign w:val="center"/>
          </w:tcPr>
          <w:p w14:paraId="1844E03C">
            <w:pPr>
              <w:spacing w:line="240" w:lineRule="auto"/>
              <w:ind w:firstLine="0" w:firstLineChars="0"/>
              <w:jc w:val="center"/>
              <w:rPr>
                <w:sz w:val="21"/>
                <w14:ligatures w14:val="none"/>
              </w:rPr>
            </w:pPr>
            <w:r>
              <w:rPr>
                <w:rFonts w:hint="eastAsia"/>
                <w:sz w:val="21"/>
                <w14:ligatures w14:val="none"/>
              </w:rPr>
              <w:t>75-85</w:t>
            </w:r>
          </w:p>
        </w:tc>
      </w:tr>
      <w:tr w14:paraId="65C90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Merge w:val="restart"/>
            <w:vAlign w:val="center"/>
          </w:tcPr>
          <w:p w14:paraId="3161FFB9">
            <w:pPr>
              <w:spacing w:line="240" w:lineRule="auto"/>
              <w:ind w:firstLine="0" w:firstLineChars="0"/>
              <w:jc w:val="center"/>
              <w:rPr>
                <w:sz w:val="21"/>
                <w14:ligatures w14:val="none"/>
              </w:rPr>
            </w:pPr>
            <w:r>
              <w:rPr>
                <w:rFonts w:hint="eastAsia"/>
                <w:sz w:val="21"/>
                <w14:ligatures w14:val="none"/>
              </w:rPr>
              <w:t>大型车</w:t>
            </w:r>
          </w:p>
        </w:tc>
        <w:tc>
          <w:tcPr>
            <w:tcW w:w="2235" w:type="pct"/>
            <w:vAlign w:val="center"/>
          </w:tcPr>
          <w:p w14:paraId="179C35E6">
            <w:pPr>
              <w:spacing w:line="240" w:lineRule="auto"/>
              <w:ind w:firstLine="0" w:firstLineChars="0"/>
              <w:jc w:val="center"/>
              <w:rPr>
                <w:sz w:val="21"/>
                <w14:ligatures w14:val="none"/>
              </w:rPr>
            </w:pPr>
            <w:r>
              <w:rPr>
                <w:rFonts w:hint="eastAsia"/>
                <w:sz w:val="21"/>
                <w14:ligatures w14:val="none"/>
              </w:rPr>
              <w:t>怠速行驶</w:t>
            </w:r>
          </w:p>
        </w:tc>
        <w:tc>
          <w:tcPr>
            <w:tcW w:w="1667" w:type="pct"/>
            <w:vAlign w:val="center"/>
          </w:tcPr>
          <w:p w14:paraId="5ECC7C4A">
            <w:pPr>
              <w:spacing w:line="240" w:lineRule="auto"/>
              <w:ind w:firstLine="0" w:firstLineChars="0"/>
              <w:jc w:val="center"/>
              <w:rPr>
                <w:sz w:val="21"/>
                <w14:ligatures w14:val="none"/>
              </w:rPr>
            </w:pPr>
            <w:r>
              <w:rPr>
                <w:rFonts w:hint="eastAsia"/>
                <w:sz w:val="21"/>
                <w14:ligatures w14:val="none"/>
              </w:rPr>
              <w:t>65-78</w:t>
            </w:r>
          </w:p>
        </w:tc>
      </w:tr>
      <w:tr w14:paraId="14136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Merge w:val="continue"/>
            <w:vAlign w:val="center"/>
          </w:tcPr>
          <w:p w14:paraId="6BBF096D">
            <w:pPr>
              <w:spacing w:line="240" w:lineRule="auto"/>
              <w:ind w:firstLine="0" w:firstLineChars="0"/>
              <w:jc w:val="center"/>
              <w:rPr>
                <w:sz w:val="21"/>
                <w14:ligatures w14:val="none"/>
              </w:rPr>
            </w:pPr>
          </w:p>
        </w:tc>
        <w:tc>
          <w:tcPr>
            <w:tcW w:w="2235" w:type="pct"/>
            <w:vAlign w:val="center"/>
          </w:tcPr>
          <w:p w14:paraId="1AD993C2">
            <w:pPr>
              <w:spacing w:line="240" w:lineRule="auto"/>
              <w:ind w:firstLine="0" w:firstLineChars="0"/>
              <w:jc w:val="center"/>
              <w:rPr>
                <w:sz w:val="21"/>
                <w14:ligatures w14:val="none"/>
              </w:rPr>
            </w:pPr>
            <w:r>
              <w:rPr>
                <w:rFonts w:hint="eastAsia"/>
                <w:sz w:val="21"/>
                <w14:ligatures w14:val="none"/>
              </w:rPr>
              <w:t>正常行驶</w:t>
            </w:r>
          </w:p>
        </w:tc>
        <w:tc>
          <w:tcPr>
            <w:tcW w:w="1667" w:type="pct"/>
            <w:vAlign w:val="center"/>
          </w:tcPr>
          <w:p w14:paraId="28064861">
            <w:pPr>
              <w:spacing w:line="240" w:lineRule="auto"/>
              <w:ind w:firstLine="0" w:firstLineChars="0"/>
              <w:jc w:val="center"/>
              <w:rPr>
                <w:sz w:val="21"/>
                <w14:ligatures w14:val="none"/>
              </w:rPr>
            </w:pPr>
            <w:r>
              <w:rPr>
                <w:rFonts w:hint="eastAsia"/>
                <w:sz w:val="21"/>
                <w14:ligatures w14:val="none"/>
              </w:rPr>
              <w:t>65-80</w:t>
            </w:r>
          </w:p>
        </w:tc>
      </w:tr>
      <w:tr w14:paraId="78226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vMerge w:val="continue"/>
            <w:vAlign w:val="center"/>
          </w:tcPr>
          <w:p w14:paraId="4895606F">
            <w:pPr>
              <w:spacing w:line="240" w:lineRule="auto"/>
              <w:ind w:firstLine="0" w:firstLineChars="0"/>
              <w:jc w:val="center"/>
              <w:rPr>
                <w:sz w:val="21"/>
                <w14:ligatures w14:val="none"/>
              </w:rPr>
            </w:pPr>
          </w:p>
        </w:tc>
        <w:tc>
          <w:tcPr>
            <w:tcW w:w="2235" w:type="pct"/>
            <w:vAlign w:val="center"/>
          </w:tcPr>
          <w:p w14:paraId="25A16695">
            <w:pPr>
              <w:spacing w:line="240" w:lineRule="auto"/>
              <w:ind w:firstLine="0" w:firstLineChars="0"/>
              <w:jc w:val="center"/>
              <w:rPr>
                <w:sz w:val="21"/>
                <w14:ligatures w14:val="none"/>
              </w:rPr>
            </w:pPr>
            <w:r>
              <w:rPr>
                <w:rFonts w:hint="eastAsia"/>
                <w:sz w:val="21"/>
                <w14:ligatures w14:val="none"/>
              </w:rPr>
              <w:t>鸣笛</w:t>
            </w:r>
          </w:p>
        </w:tc>
        <w:tc>
          <w:tcPr>
            <w:tcW w:w="1667" w:type="pct"/>
            <w:vAlign w:val="center"/>
          </w:tcPr>
          <w:p w14:paraId="3BE916F4">
            <w:pPr>
              <w:spacing w:line="240" w:lineRule="auto"/>
              <w:ind w:firstLine="0" w:firstLineChars="0"/>
              <w:jc w:val="center"/>
              <w:rPr>
                <w:sz w:val="21"/>
                <w14:ligatures w14:val="none"/>
              </w:rPr>
            </w:pPr>
            <w:r>
              <w:rPr>
                <w:rFonts w:hint="eastAsia"/>
                <w:sz w:val="21"/>
                <w14:ligatures w14:val="none"/>
              </w:rPr>
              <w:t>75-85</w:t>
            </w:r>
          </w:p>
        </w:tc>
      </w:tr>
    </w:tbl>
    <w:p w14:paraId="5B62649B">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2</w:t>
      </w:r>
      <w:r>
        <w:rPr>
          <w:rFonts w:eastAsia="方正楷体_GBK" w:cs="Times New Roman"/>
          <w:b/>
          <w:bCs/>
          <w:szCs w:val="28"/>
          <w14:ligatures w14:val="none"/>
        </w:rPr>
        <w:t>.</w:t>
      </w:r>
      <w:r>
        <w:rPr>
          <w:rFonts w:hint="eastAsia" w:eastAsia="方正楷体_GBK" w:cs="Times New Roman"/>
          <w:b/>
          <w:bCs/>
          <w:szCs w:val="28"/>
          <w14:ligatures w14:val="none"/>
        </w:rPr>
        <w:t>5污染源排放总量汇总</w:t>
      </w:r>
    </w:p>
    <w:p w14:paraId="68BA635A">
      <w:pPr>
        <w:ind w:firstLine="480"/>
      </w:pPr>
      <w:r>
        <w:rPr>
          <w:rFonts w:hint="eastAsia"/>
        </w:rPr>
        <w:t>度假区内各类污染源规划年排放量见表5.2-11。</w:t>
      </w:r>
    </w:p>
    <w:p w14:paraId="518253C1">
      <w:pPr>
        <w:ind w:firstLine="480"/>
      </w:pPr>
      <w:r>
        <w:rPr>
          <w:rFonts w:hint="eastAsia"/>
        </w:rPr>
        <w:br w:type="page"/>
      </w:r>
    </w:p>
    <w:p w14:paraId="0FD3E7B6">
      <w:pPr>
        <w:pStyle w:val="45"/>
        <w:rPr>
          <w:rFonts w:cs="Times New Roman"/>
        </w:rPr>
      </w:pPr>
      <w:r>
        <w:rPr>
          <w:rFonts w:hint="eastAsia" w:cs="Times New Roman"/>
        </w:rPr>
        <w:t>表5.2-11</w:t>
      </w:r>
      <w:r>
        <w:rPr>
          <w:rFonts w:cs="Times New Roman"/>
        </w:rPr>
        <w:t xml:space="preserve"> 各类污染源规划年排放一览量</w:t>
      </w:r>
      <w:r>
        <w:rPr>
          <w:rFonts w:hint="eastAsia" w:cs="Times New Roman"/>
        </w:rPr>
        <w:t xml:space="preserve"> （单位：t/a）</w:t>
      </w:r>
    </w:p>
    <w:tbl>
      <w:tblPr>
        <w:tblStyle w:val="26"/>
        <w:tblW w:w="507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1510"/>
        <w:gridCol w:w="1347"/>
        <w:gridCol w:w="1179"/>
        <w:gridCol w:w="1116"/>
        <w:gridCol w:w="1239"/>
        <w:gridCol w:w="1206"/>
      </w:tblGrid>
      <w:tr w14:paraId="4B22E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12" w:type="pct"/>
            <w:vMerge w:val="restart"/>
            <w:vAlign w:val="center"/>
          </w:tcPr>
          <w:p w14:paraId="4F6CE75D">
            <w:pPr>
              <w:snapToGrid w:val="0"/>
              <w:spacing w:line="240" w:lineRule="auto"/>
              <w:ind w:firstLine="0" w:firstLineChars="0"/>
              <w:jc w:val="center"/>
              <w:rPr>
                <w:b/>
                <w:bCs/>
                <w:sz w:val="21"/>
                <w:szCs w:val="21"/>
                <w14:ligatures w14:val="none"/>
              </w:rPr>
            </w:pPr>
            <w:r>
              <w:rPr>
                <w:rFonts w:hint="eastAsia"/>
                <w:b/>
                <w:bCs/>
                <w:sz w:val="21"/>
                <w:szCs w:val="21"/>
                <w14:ligatures w14:val="none"/>
              </w:rPr>
              <w:t>污染物种类</w:t>
            </w:r>
          </w:p>
        </w:tc>
        <w:tc>
          <w:tcPr>
            <w:tcW w:w="872" w:type="pct"/>
            <w:vMerge w:val="restart"/>
            <w:vAlign w:val="center"/>
          </w:tcPr>
          <w:p w14:paraId="1FF4C81C">
            <w:pPr>
              <w:snapToGrid w:val="0"/>
              <w:spacing w:line="240" w:lineRule="auto"/>
              <w:ind w:firstLine="0" w:firstLineChars="0"/>
              <w:jc w:val="center"/>
              <w:rPr>
                <w:b/>
                <w:bCs/>
                <w:sz w:val="21"/>
                <w:szCs w:val="21"/>
                <w14:ligatures w14:val="none"/>
              </w:rPr>
            </w:pPr>
            <w:r>
              <w:rPr>
                <w:rFonts w:hint="eastAsia"/>
                <w:b/>
                <w:bCs/>
                <w:sz w:val="21"/>
                <w:szCs w:val="21"/>
                <w14:ligatures w14:val="none"/>
              </w:rPr>
              <w:t>项目</w:t>
            </w:r>
          </w:p>
        </w:tc>
        <w:tc>
          <w:tcPr>
            <w:tcW w:w="778" w:type="pct"/>
            <w:vMerge w:val="restart"/>
            <w:vAlign w:val="center"/>
          </w:tcPr>
          <w:p w14:paraId="0CAD8E2D">
            <w:pPr>
              <w:snapToGrid w:val="0"/>
              <w:spacing w:line="240" w:lineRule="auto"/>
              <w:ind w:firstLine="0" w:firstLineChars="0"/>
              <w:jc w:val="center"/>
              <w:rPr>
                <w:b/>
                <w:bCs/>
                <w:sz w:val="21"/>
                <w:szCs w:val="21"/>
                <w14:ligatures w14:val="none"/>
              </w:rPr>
            </w:pPr>
            <w:r>
              <w:rPr>
                <w:rFonts w:hint="eastAsia"/>
                <w:b/>
                <w:bCs/>
                <w:sz w:val="21"/>
                <w:szCs w:val="21"/>
                <w14:ligatures w14:val="none"/>
              </w:rPr>
              <w:t>现状排放量</w:t>
            </w:r>
          </w:p>
        </w:tc>
        <w:tc>
          <w:tcPr>
            <w:tcW w:w="1325" w:type="pct"/>
            <w:gridSpan w:val="2"/>
            <w:vAlign w:val="center"/>
          </w:tcPr>
          <w:p w14:paraId="79340A11">
            <w:pPr>
              <w:snapToGrid w:val="0"/>
              <w:spacing w:line="240" w:lineRule="auto"/>
              <w:ind w:firstLine="0" w:firstLineChars="0"/>
              <w:jc w:val="center"/>
              <w:rPr>
                <w:b/>
                <w:bCs/>
                <w:sz w:val="21"/>
                <w:szCs w:val="21"/>
                <w14:ligatures w14:val="none"/>
              </w:rPr>
            </w:pPr>
            <w:r>
              <w:rPr>
                <w:rFonts w:hint="eastAsia"/>
                <w:b/>
                <w:bCs/>
                <w:sz w:val="21"/>
                <w:szCs w:val="21"/>
                <w14:ligatures w14:val="none"/>
              </w:rPr>
              <w:t>规划近期（2030年）</w:t>
            </w:r>
          </w:p>
        </w:tc>
        <w:tc>
          <w:tcPr>
            <w:tcW w:w="1411" w:type="pct"/>
            <w:gridSpan w:val="2"/>
            <w:vAlign w:val="center"/>
          </w:tcPr>
          <w:p w14:paraId="5C733771">
            <w:pPr>
              <w:snapToGrid w:val="0"/>
              <w:spacing w:line="240" w:lineRule="auto"/>
              <w:ind w:firstLine="0" w:firstLineChars="0"/>
              <w:jc w:val="center"/>
              <w:rPr>
                <w:b/>
                <w:bCs/>
                <w:sz w:val="21"/>
                <w:szCs w:val="21"/>
                <w14:ligatures w14:val="none"/>
              </w:rPr>
            </w:pPr>
            <w:r>
              <w:rPr>
                <w:rFonts w:hint="eastAsia"/>
                <w:b/>
                <w:bCs/>
                <w:sz w:val="21"/>
                <w:szCs w:val="21"/>
                <w14:ligatures w14:val="none"/>
              </w:rPr>
              <w:t>规划远期（2035年）</w:t>
            </w:r>
          </w:p>
        </w:tc>
      </w:tr>
      <w:tr w14:paraId="08B43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12" w:type="pct"/>
            <w:vMerge w:val="continue"/>
            <w:vAlign w:val="center"/>
          </w:tcPr>
          <w:p w14:paraId="1428A0CF">
            <w:pPr>
              <w:snapToGrid w:val="0"/>
              <w:spacing w:line="240" w:lineRule="auto"/>
              <w:ind w:firstLine="0" w:firstLineChars="0"/>
              <w:jc w:val="center"/>
              <w:rPr>
                <w:b/>
                <w:bCs/>
                <w:sz w:val="21"/>
                <w:szCs w:val="21"/>
                <w14:ligatures w14:val="none"/>
              </w:rPr>
            </w:pPr>
          </w:p>
        </w:tc>
        <w:tc>
          <w:tcPr>
            <w:tcW w:w="872" w:type="pct"/>
            <w:vMerge w:val="continue"/>
            <w:vAlign w:val="center"/>
          </w:tcPr>
          <w:p w14:paraId="75ADD407">
            <w:pPr>
              <w:snapToGrid w:val="0"/>
              <w:spacing w:line="240" w:lineRule="auto"/>
              <w:ind w:firstLine="0" w:firstLineChars="0"/>
              <w:jc w:val="center"/>
              <w:rPr>
                <w:b/>
                <w:bCs/>
                <w:sz w:val="21"/>
                <w:szCs w:val="21"/>
                <w14:ligatures w14:val="none"/>
              </w:rPr>
            </w:pPr>
          </w:p>
        </w:tc>
        <w:tc>
          <w:tcPr>
            <w:tcW w:w="778" w:type="pct"/>
            <w:vMerge w:val="continue"/>
            <w:vAlign w:val="center"/>
          </w:tcPr>
          <w:p w14:paraId="28ABFE8A">
            <w:pPr>
              <w:snapToGrid w:val="0"/>
              <w:spacing w:line="240" w:lineRule="auto"/>
              <w:ind w:firstLine="0" w:firstLineChars="0"/>
              <w:jc w:val="center"/>
              <w:rPr>
                <w:b/>
                <w:bCs/>
                <w:sz w:val="21"/>
                <w:szCs w:val="21"/>
                <w14:ligatures w14:val="none"/>
              </w:rPr>
            </w:pPr>
          </w:p>
        </w:tc>
        <w:tc>
          <w:tcPr>
            <w:tcW w:w="681" w:type="pct"/>
            <w:vAlign w:val="center"/>
          </w:tcPr>
          <w:p w14:paraId="6950C07C">
            <w:pPr>
              <w:snapToGrid w:val="0"/>
              <w:spacing w:line="240" w:lineRule="auto"/>
              <w:ind w:firstLine="0" w:firstLineChars="0"/>
              <w:jc w:val="center"/>
              <w:rPr>
                <w:b/>
                <w:bCs/>
                <w:sz w:val="21"/>
                <w:szCs w:val="21"/>
                <w14:ligatures w14:val="none"/>
              </w:rPr>
            </w:pPr>
            <w:r>
              <w:rPr>
                <w:rFonts w:hint="eastAsia"/>
                <w:b/>
                <w:bCs/>
                <w:sz w:val="21"/>
                <w:szCs w:val="21"/>
                <w14:ligatures w14:val="none"/>
              </w:rPr>
              <w:t>排放量</w:t>
            </w:r>
          </w:p>
        </w:tc>
        <w:tc>
          <w:tcPr>
            <w:tcW w:w="644" w:type="pct"/>
            <w:vAlign w:val="center"/>
          </w:tcPr>
          <w:p w14:paraId="59F53268">
            <w:pPr>
              <w:snapToGrid w:val="0"/>
              <w:spacing w:line="240" w:lineRule="auto"/>
              <w:ind w:firstLine="0" w:firstLineChars="0"/>
              <w:jc w:val="center"/>
              <w:rPr>
                <w:b/>
                <w:bCs/>
                <w:sz w:val="21"/>
                <w:szCs w:val="21"/>
                <w14:ligatures w14:val="none"/>
              </w:rPr>
            </w:pPr>
            <w:r>
              <w:rPr>
                <w:rFonts w:hint="eastAsia"/>
                <w:b/>
                <w:bCs/>
                <w:sz w:val="21"/>
                <w:szCs w:val="21"/>
                <w14:ligatures w14:val="none"/>
              </w:rPr>
              <w:t>增减量</w:t>
            </w:r>
          </w:p>
        </w:tc>
        <w:tc>
          <w:tcPr>
            <w:tcW w:w="715" w:type="pct"/>
            <w:vAlign w:val="center"/>
          </w:tcPr>
          <w:p w14:paraId="2E9BA60F">
            <w:pPr>
              <w:snapToGrid w:val="0"/>
              <w:spacing w:line="240" w:lineRule="auto"/>
              <w:ind w:firstLine="0" w:firstLineChars="0"/>
              <w:jc w:val="center"/>
              <w:rPr>
                <w:b/>
                <w:bCs/>
                <w:sz w:val="21"/>
                <w:szCs w:val="21"/>
                <w14:ligatures w14:val="none"/>
              </w:rPr>
            </w:pPr>
            <w:r>
              <w:rPr>
                <w:rFonts w:hint="eastAsia"/>
                <w:b/>
                <w:bCs/>
                <w:sz w:val="21"/>
                <w:szCs w:val="21"/>
                <w14:ligatures w14:val="none"/>
              </w:rPr>
              <w:t>排放量</w:t>
            </w:r>
          </w:p>
        </w:tc>
        <w:tc>
          <w:tcPr>
            <w:tcW w:w="695" w:type="pct"/>
            <w:vAlign w:val="center"/>
          </w:tcPr>
          <w:p w14:paraId="243E64F8">
            <w:pPr>
              <w:snapToGrid w:val="0"/>
              <w:spacing w:line="240" w:lineRule="auto"/>
              <w:ind w:firstLine="0" w:firstLineChars="0"/>
              <w:jc w:val="center"/>
              <w:rPr>
                <w:b/>
                <w:bCs/>
                <w:sz w:val="21"/>
                <w:szCs w:val="21"/>
                <w14:ligatures w14:val="none"/>
              </w:rPr>
            </w:pPr>
            <w:r>
              <w:rPr>
                <w:rFonts w:hint="eastAsia"/>
                <w:b/>
                <w:bCs/>
                <w:sz w:val="21"/>
                <w:szCs w:val="21"/>
                <w14:ligatures w14:val="none"/>
              </w:rPr>
              <w:t>增减量</w:t>
            </w:r>
          </w:p>
        </w:tc>
      </w:tr>
      <w:tr w14:paraId="5487C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12" w:type="pct"/>
            <w:vMerge w:val="restart"/>
            <w:vAlign w:val="center"/>
          </w:tcPr>
          <w:p w14:paraId="04C4755E">
            <w:pPr>
              <w:snapToGrid w:val="0"/>
              <w:spacing w:line="240" w:lineRule="auto"/>
              <w:ind w:firstLine="0" w:firstLineChars="0"/>
              <w:jc w:val="center"/>
              <w:rPr>
                <w:sz w:val="21"/>
                <w:szCs w:val="21"/>
                <w14:ligatures w14:val="none"/>
              </w:rPr>
            </w:pPr>
            <w:r>
              <w:rPr>
                <w:rFonts w:hint="eastAsia"/>
                <w:sz w:val="21"/>
                <w:szCs w:val="21"/>
                <w14:ligatures w14:val="none"/>
              </w:rPr>
              <w:t>废气污染物</w:t>
            </w:r>
            <w:r>
              <w:rPr>
                <w:rFonts w:hint="eastAsia" w:cs="Times New Roman"/>
                <w:sz w:val="21"/>
                <w:szCs w:val="21"/>
                <w14:ligatures w14:val="none"/>
              </w:rPr>
              <w:t>*</w:t>
            </w:r>
          </w:p>
        </w:tc>
        <w:tc>
          <w:tcPr>
            <w:tcW w:w="872" w:type="pct"/>
            <w:vAlign w:val="center"/>
          </w:tcPr>
          <w:p w14:paraId="7FD759C2">
            <w:pPr>
              <w:snapToGrid w:val="0"/>
              <w:spacing w:line="240" w:lineRule="auto"/>
              <w:ind w:firstLine="0" w:firstLineChars="0"/>
              <w:jc w:val="center"/>
              <w:rPr>
                <w:sz w:val="21"/>
                <w:szCs w:val="21"/>
                <w14:ligatures w14:val="none"/>
              </w:rPr>
            </w:pPr>
            <w:r>
              <w:rPr>
                <w:rFonts w:hint="eastAsia"/>
                <w:sz w:val="21"/>
                <w:szCs w:val="21"/>
                <w14:ligatures w14:val="none"/>
              </w:rPr>
              <w:t>SO</w:t>
            </w:r>
            <w:r>
              <w:rPr>
                <w:rFonts w:hint="eastAsia"/>
                <w:sz w:val="21"/>
                <w:szCs w:val="21"/>
                <w:vertAlign w:val="subscript"/>
                <w14:ligatures w14:val="none"/>
              </w:rPr>
              <w:t>2</w:t>
            </w:r>
          </w:p>
        </w:tc>
        <w:tc>
          <w:tcPr>
            <w:tcW w:w="778" w:type="pct"/>
            <w:vAlign w:val="center"/>
          </w:tcPr>
          <w:p w14:paraId="039B53AD">
            <w:pPr>
              <w:snapToGrid w:val="0"/>
              <w:spacing w:line="240" w:lineRule="auto"/>
              <w:ind w:firstLine="0" w:firstLineChars="0"/>
              <w:jc w:val="center"/>
              <w:rPr>
                <w:sz w:val="21"/>
                <w:szCs w:val="21"/>
                <w14:ligatures w14:val="none"/>
              </w:rPr>
            </w:pPr>
            <w:r>
              <w:rPr>
                <w:rFonts w:hint="eastAsia"/>
                <w:sz w:val="21"/>
                <w:szCs w:val="21"/>
                <w14:ligatures w14:val="none"/>
              </w:rPr>
              <w:t>25.84</w:t>
            </w:r>
          </w:p>
        </w:tc>
        <w:tc>
          <w:tcPr>
            <w:tcW w:w="681" w:type="pct"/>
            <w:vAlign w:val="center"/>
          </w:tcPr>
          <w:p w14:paraId="78E5D269">
            <w:pPr>
              <w:snapToGrid w:val="0"/>
              <w:spacing w:line="240" w:lineRule="auto"/>
              <w:ind w:firstLine="0" w:firstLineChars="0"/>
              <w:jc w:val="center"/>
              <w:rPr>
                <w:sz w:val="21"/>
                <w:szCs w:val="21"/>
                <w14:ligatures w14:val="none"/>
              </w:rPr>
            </w:pPr>
            <w:r>
              <w:rPr>
                <w:rFonts w:hint="eastAsia"/>
                <w:sz w:val="21"/>
                <w:szCs w:val="21"/>
                <w14:ligatures w14:val="none"/>
              </w:rPr>
              <w:t>22.06</w:t>
            </w:r>
          </w:p>
        </w:tc>
        <w:tc>
          <w:tcPr>
            <w:tcW w:w="644" w:type="pct"/>
            <w:vAlign w:val="center"/>
          </w:tcPr>
          <w:p w14:paraId="23C5F9B0">
            <w:pPr>
              <w:snapToGrid w:val="0"/>
              <w:spacing w:line="240" w:lineRule="auto"/>
              <w:ind w:firstLine="0" w:firstLineChars="0"/>
              <w:jc w:val="center"/>
              <w:rPr>
                <w:sz w:val="21"/>
                <w:szCs w:val="21"/>
                <w14:ligatures w14:val="none"/>
              </w:rPr>
            </w:pPr>
            <w:r>
              <w:rPr>
                <w:rFonts w:hint="eastAsia"/>
                <w:sz w:val="21"/>
                <w:szCs w:val="21"/>
                <w14:ligatures w14:val="none"/>
              </w:rPr>
              <w:t>-3.78</w:t>
            </w:r>
          </w:p>
        </w:tc>
        <w:tc>
          <w:tcPr>
            <w:tcW w:w="715" w:type="pct"/>
            <w:vAlign w:val="center"/>
          </w:tcPr>
          <w:p w14:paraId="7D088C02">
            <w:pPr>
              <w:snapToGrid w:val="0"/>
              <w:spacing w:line="240" w:lineRule="auto"/>
              <w:ind w:firstLine="0" w:firstLineChars="0"/>
              <w:jc w:val="center"/>
              <w:rPr>
                <w:sz w:val="21"/>
                <w:szCs w:val="21"/>
                <w14:ligatures w14:val="none"/>
              </w:rPr>
            </w:pPr>
            <w:r>
              <w:rPr>
                <w:rFonts w:hint="eastAsia"/>
                <w:sz w:val="21"/>
                <w:szCs w:val="21"/>
                <w14:ligatures w14:val="none"/>
              </w:rPr>
              <w:t>0.012</w:t>
            </w:r>
          </w:p>
        </w:tc>
        <w:tc>
          <w:tcPr>
            <w:tcW w:w="695" w:type="pct"/>
            <w:vAlign w:val="center"/>
          </w:tcPr>
          <w:p w14:paraId="4BF015F9">
            <w:pPr>
              <w:snapToGrid w:val="0"/>
              <w:spacing w:line="240" w:lineRule="auto"/>
              <w:ind w:firstLine="0" w:firstLineChars="0"/>
              <w:jc w:val="center"/>
              <w:rPr>
                <w:sz w:val="21"/>
                <w:szCs w:val="21"/>
                <w14:ligatures w14:val="none"/>
              </w:rPr>
            </w:pPr>
            <w:r>
              <w:rPr>
                <w:rFonts w:hint="eastAsia"/>
                <w:sz w:val="21"/>
                <w:szCs w:val="21"/>
                <w14:ligatures w14:val="none"/>
              </w:rPr>
              <w:t>-25.83</w:t>
            </w:r>
          </w:p>
        </w:tc>
      </w:tr>
      <w:tr w14:paraId="5CF45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12" w:type="pct"/>
            <w:vMerge w:val="continue"/>
            <w:vAlign w:val="center"/>
          </w:tcPr>
          <w:p w14:paraId="779D7F24">
            <w:pPr>
              <w:snapToGrid w:val="0"/>
              <w:spacing w:line="240" w:lineRule="auto"/>
              <w:ind w:firstLine="0" w:firstLineChars="0"/>
              <w:jc w:val="center"/>
              <w:rPr>
                <w:sz w:val="21"/>
                <w:szCs w:val="21"/>
                <w14:ligatures w14:val="none"/>
              </w:rPr>
            </w:pPr>
          </w:p>
        </w:tc>
        <w:tc>
          <w:tcPr>
            <w:tcW w:w="872" w:type="pct"/>
            <w:vAlign w:val="center"/>
          </w:tcPr>
          <w:p w14:paraId="702388BA">
            <w:pPr>
              <w:snapToGrid w:val="0"/>
              <w:spacing w:line="240" w:lineRule="auto"/>
              <w:ind w:firstLine="0" w:firstLineChars="0"/>
              <w:jc w:val="center"/>
              <w:rPr>
                <w:sz w:val="21"/>
                <w:szCs w:val="21"/>
                <w14:ligatures w14:val="none"/>
              </w:rPr>
            </w:pPr>
            <w:r>
              <w:rPr>
                <w:rFonts w:hint="eastAsia"/>
                <w:sz w:val="21"/>
                <w:szCs w:val="21"/>
                <w14:ligatures w14:val="none"/>
              </w:rPr>
              <w:t>NOx</w:t>
            </w:r>
          </w:p>
        </w:tc>
        <w:tc>
          <w:tcPr>
            <w:tcW w:w="778" w:type="pct"/>
            <w:vAlign w:val="center"/>
          </w:tcPr>
          <w:p w14:paraId="1E414321">
            <w:pPr>
              <w:snapToGrid w:val="0"/>
              <w:spacing w:line="240" w:lineRule="auto"/>
              <w:ind w:firstLine="0" w:firstLineChars="0"/>
              <w:jc w:val="center"/>
              <w:rPr>
                <w:sz w:val="21"/>
                <w:szCs w:val="21"/>
                <w14:ligatures w14:val="none"/>
              </w:rPr>
            </w:pPr>
            <w:r>
              <w:rPr>
                <w:rFonts w:hint="eastAsia"/>
                <w:sz w:val="21"/>
                <w:szCs w:val="21"/>
                <w14:ligatures w14:val="none"/>
              </w:rPr>
              <w:t>130.93</w:t>
            </w:r>
          </w:p>
        </w:tc>
        <w:tc>
          <w:tcPr>
            <w:tcW w:w="681" w:type="pct"/>
            <w:vAlign w:val="center"/>
          </w:tcPr>
          <w:p w14:paraId="48B910B2">
            <w:pPr>
              <w:snapToGrid w:val="0"/>
              <w:spacing w:line="240" w:lineRule="auto"/>
              <w:ind w:firstLine="0" w:firstLineChars="0"/>
              <w:jc w:val="center"/>
              <w:rPr>
                <w:sz w:val="21"/>
                <w:szCs w:val="21"/>
                <w14:ligatures w14:val="none"/>
              </w:rPr>
            </w:pPr>
            <w:r>
              <w:rPr>
                <w:rFonts w:hint="eastAsia"/>
                <w:sz w:val="21"/>
                <w:szCs w:val="21"/>
                <w14:ligatures w14:val="none"/>
              </w:rPr>
              <w:t>118.6</w:t>
            </w:r>
          </w:p>
        </w:tc>
        <w:tc>
          <w:tcPr>
            <w:tcW w:w="644" w:type="pct"/>
            <w:vAlign w:val="center"/>
          </w:tcPr>
          <w:p w14:paraId="7EC24FFB">
            <w:pPr>
              <w:snapToGrid w:val="0"/>
              <w:spacing w:line="240" w:lineRule="auto"/>
              <w:ind w:firstLine="0" w:firstLineChars="0"/>
              <w:jc w:val="center"/>
              <w:rPr>
                <w:sz w:val="21"/>
                <w:szCs w:val="21"/>
                <w14:ligatures w14:val="none"/>
              </w:rPr>
            </w:pPr>
            <w:r>
              <w:rPr>
                <w:rFonts w:hint="eastAsia"/>
                <w:sz w:val="21"/>
                <w:szCs w:val="21"/>
                <w14:ligatures w14:val="none"/>
              </w:rPr>
              <w:t>-12.33</w:t>
            </w:r>
          </w:p>
        </w:tc>
        <w:tc>
          <w:tcPr>
            <w:tcW w:w="715" w:type="pct"/>
            <w:vAlign w:val="center"/>
          </w:tcPr>
          <w:p w14:paraId="7F834FC8">
            <w:pPr>
              <w:snapToGrid w:val="0"/>
              <w:spacing w:line="240" w:lineRule="auto"/>
              <w:ind w:firstLine="0" w:firstLineChars="0"/>
              <w:jc w:val="center"/>
              <w:rPr>
                <w:sz w:val="21"/>
                <w:szCs w:val="21"/>
                <w14:ligatures w14:val="none"/>
              </w:rPr>
            </w:pPr>
            <w:r>
              <w:rPr>
                <w:rFonts w:hint="eastAsia"/>
                <w:sz w:val="21"/>
                <w:szCs w:val="21"/>
                <w14:ligatures w14:val="none"/>
              </w:rPr>
              <w:t>13.6</w:t>
            </w:r>
          </w:p>
        </w:tc>
        <w:tc>
          <w:tcPr>
            <w:tcW w:w="695" w:type="pct"/>
            <w:vAlign w:val="center"/>
          </w:tcPr>
          <w:p w14:paraId="6B98B8BE">
            <w:pPr>
              <w:snapToGrid w:val="0"/>
              <w:spacing w:line="240" w:lineRule="auto"/>
              <w:ind w:firstLine="0" w:firstLineChars="0"/>
              <w:jc w:val="center"/>
              <w:rPr>
                <w:sz w:val="21"/>
                <w:szCs w:val="21"/>
                <w14:ligatures w14:val="none"/>
              </w:rPr>
            </w:pPr>
            <w:r>
              <w:rPr>
                <w:rFonts w:hint="eastAsia"/>
                <w:sz w:val="21"/>
                <w:szCs w:val="21"/>
                <w14:ligatures w14:val="none"/>
              </w:rPr>
              <w:t>-117.33</w:t>
            </w:r>
          </w:p>
        </w:tc>
      </w:tr>
      <w:tr w14:paraId="0A893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12" w:type="pct"/>
            <w:vMerge w:val="continue"/>
            <w:vAlign w:val="center"/>
          </w:tcPr>
          <w:p w14:paraId="240AEDC0">
            <w:pPr>
              <w:snapToGrid w:val="0"/>
              <w:spacing w:line="240" w:lineRule="auto"/>
              <w:ind w:firstLine="0" w:firstLineChars="0"/>
              <w:jc w:val="center"/>
              <w:rPr>
                <w:sz w:val="21"/>
                <w:szCs w:val="21"/>
                <w14:ligatures w14:val="none"/>
              </w:rPr>
            </w:pPr>
          </w:p>
        </w:tc>
        <w:tc>
          <w:tcPr>
            <w:tcW w:w="872" w:type="pct"/>
            <w:vAlign w:val="center"/>
          </w:tcPr>
          <w:p w14:paraId="524FA389">
            <w:pPr>
              <w:snapToGrid w:val="0"/>
              <w:spacing w:line="240" w:lineRule="auto"/>
              <w:ind w:firstLine="0" w:firstLineChars="0"/>
              <w:jc w:val="center"/>
              <w:rPr>
                <w:sz w:val="21"/>
                <w:szCs w:val="21"/>
                <w14:ligatures w14:val="none"/>
              </w:rPr>
            </w:pPr>
            <w:r>
              <w:rPr>
                <w:rFonts w:hint="eastAsia"/>
                <w:sz w:val="21"/>
                <w:szCs w:val="21"/>
                <w14:ligatures w14:val="none"/>
              </w:rPr>
              <w:t>颗粒物</w:t>
            </w:r>
          </w:p>
        </w:tc>
        <w:tc>
          <w:tcPr>
            <w:tcW w:w="778" w:type="pct"/>
            <w:vAlign w:val="center"/>
          </w:tcPr>
          <w:p w14:paraId="54418EDE">
            <w:pPr>
              <w:snapToGrid w:val="0"/>
              <w:spacing w:line="240" w:lineRule="auto"/>
              <w:ind w:firstLine="0" w:firstLineChars="0"/>
              <w:jc w:val="center"/>
              <w:rPr>
                <w:sz w:val="21"/>
                <w:szCs w:val="21"/>
                <w14:ligatures w14:val="none"/>
              </w:rPr>
            </w:pPr>
            <w:r>
              <w:rPr>
                <w:rFonts w:hint="eastAsia"/>
                <w:sz w:val="21"/>
                <w:szCs w:val="21"/>
                <w14:ligatures w14:val="none"/>
              </w:rPr>
              <w:t>22.49</w:t>
            </w:r>
          </w:p>
        </w:tc>
        <w:tc>
          <w:tcPr>
            <w:tcW w:w="681" w:type="pct"/>
            <w:vAlign w:val="center"/>
          </w:tcPr>
          <w:p w14:paraId="7212BB27">
            <w:pPr>
              <w:snapToGrid w:val="0"/>
              <w:spacing w:line="240" w:lineRule="auto"/>
              <w:ind w:firstLine="0" w:firstLineChars="0"/>
              <w:jc w:val="center"/>
              <w:rPr>
                <w:sz w:val="21"/>
                <w:szCs w:val="21"/>
                <w14:ligatures w14:val="none"/>
              </w:rPr>
            </w:pPr>
            <w:r>
              <w:rPr>
                <w:rFonts w:hint="eastAsia"/>
                <w:sz w:val="21"/>
                <w:szCs w:val="21"/>
                <w14:ligatures w14:val="none"/>
              </w:rPr>
              <w:t>19.79</w:t>
            </w:r>
          </w:p>
        </w:tc>
        <w:tc>
          <w:tcPr>
            <w:tcW w:w="644" w:type="pct"/>
            <w:vAlign w:val="center"/>
          </w:tcPr>
          <w:p w14:paraId="53A2C592">
            <w:pPr>
              <w:snapToGrid w:val="0"/>
              <w:spacing w:line="240" w:lineRule="auto"/>
              <w:ind w:firstLine="0" w:firstLineChars="0"/>
              <w:jc w:val="center"/>
              <w:rPr>
                <w:sz w:val="21"/>
                <w:szCs w:val="21"/>
                <w14:ligatures w14:val="none"/>
              </w:rPr>
            </w:pPr>
            <w:r>
              <w:rPr>
                <w:rFonts w:hint="eastAsia"/>
                <w:sz w:val="21"/>
                <w:szCs w:val="21"/>
                <w14:ligatures w14:val="none"/>
              </w:rPr>
              <w:t>-2.7</w:t>
            </w:r>
          </w:p>
        </w:tc>
        <w:tc>
          <w:tcPr>
            <w:tcW w:w="715" w:type="pct"/>
            <w:vAlign w:val="center"/>
          </w:tcPr>
          <w:p w14:paraId="26825C5D">
            <w:pPr>
              <w:snapToGrid w:val="0"/>
              <w:spacing w:line="240" w:lineRule="auto"/>
              <w:ind w:firstLine="0" w:firstLineChars="0"/>
              <w:jc w:val="center"/>
              <w:rPr>
                <w:sz w:val="21"/>
                <w:szCs w:val="21"/>
                <w14:ligatures w14:val="none"/>
              </w:rPr>
            </w:pPr>
            <w:r>
              <w:rPr>
                <w:rFonts w:hint="eastAsia"/>
                <w:sz w:val="21"/>
                <w:szCs w:val="21"/>
                <w14:ligatures w14:val="none"/>
              </w:rPr>
              <w:t>0.98</w:t>
            </w:r>
          </w:p>
        </w:tc>
        <w:tc>
          <w:tcPr>
            <w:tcW w:w="695" w:type="pct"/>
            <w:vAlign w:val="center"/>
          </w:tcPr>
          <w:p w14:paraId="721E2BF5">
            <w:pPr>
              <w:snapToGrid w:val="0"/>
              <w:spacing w:line="240" w:lineRule="auto"/>
              <w:ind w:firstLine="0" w:firstLineChars="0"/>
              <w:jc w:val="center"/>
              <w:rPr>
                <w:sz w:val="21"/>
                <w:szCs w:val="21"/>
                <w14:ligatures w14:val="none"/>
              </w:rPr>
            </w:pPr>
            <w:r>
              <w:rPr>
                <w:rFonts w:hint="eastAsia"/>
                <w:sz w:val="21"/>
                <w:szCs w:val="21"/>
                <w14:ligatures w14:val="none"/>
              </w:rPr>
              <w:t>-21.51</w:t>
            </w:r>
          </w:p>
        </w:tc>
      </w:tr>
      <w:tr w14:paraId="35E32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12" w:type="pct"/>
            <w:vMerge w:val="continue"/>
            <w:vAlign w:val="center"/>
          </w:tcPr>
          <w:p w14:paraId="4E086BAD">
            <w:pPr>
              <w:snapToGrid w:val="0"/>
              <w:spacing w:line="240" w:lineRule="auto"/>
              <w:ind w:firstLine="0" w:firstLineChars="0"/>
              <w:jc w:val="center"/>
              <w:rPr>
                <w:sz w:val="21"/>
                <w:szCs w:val="21"/>
                <w14:ligatures w14:val="none"/>
              </w:rPr>
            </w:pPr>
          </w:p>
        </w:tc>
        <w:tc>
          <w:tcPr>
            <w:tcW w:w="872" w:type="pct"/>
            <w:vAlign w:val="center"/>
          </w:tcPr>
          <w:p w14:paraId="3417BD71">
            <w:pPr>
              <w:snapToGrid w:val="0"/>
              <w:spacing w:line="240" w:lineRule="auto"/>
              <w:ind w:firstLine="0" w:firstLineChars="0"/>
              <w:jc w:val="center"/>
              <w:rPr>
                <w:sz w:val="21"/>
                <w:szCs w:val="21"/>
                <w14:ligatures w14:val="none"/>
              </w:rPr>
            </w:pPr>
            <w:r>
              <w:rPr>
                <w:rFonts w:hint="eastAsia"/>
                <w:sz w:val="21"/>
                <w:szCs w:val="21"/>
                <w14:ligatures w14:val="none"/>
              </w:rPr>
              <w:t>VOCs</w:t>
            </w:r>
          </w:p>
        </w:tc>
        <w:tc>
          <w:tcPr>
            <w:tcW w:w="778" w:type="pct"/>
            <w:vAlign w:val="center"/>
          </w:tcPr>
          <w:p w14:paraId="0DCB599E">
            <w:pPr>
              <w:snapToGrid w:val="0"/>
              <w:spacing w:line="240" w:lineRule="auto"/>
              <w:ind w:firstLine="0" w:firstLineChars="0"/>
              <w:jc w:val="center"/>
              <w:rPr>
                <w:sz w:val="21"/>
                <w:szCs w:val="21"/>
                <w14:ligatures w14:val="none"/>
              </w:rPr>
            </w:pPr>
            <w:r>
              <w:rPr>
                <w:sz w:val="21"/>
                <w:szCs w:val="21"/>
                <w14:ligatures w14:val="none"/>
              </w:rPr>
              <w:t>3.03</w:t>
            </w:r>
          </w:p>
        </w:tc>
        <w:tc>
          <w:tcPr>
            <w:tcW w:w="681" w:type="pct"/>
            <w:vAlign w:val="center"/>
          </w:tcPr>
          <w:p w14:paraId="4D39B367">
            <w:pPr>
              <w:snapToGrid w:val="0"/>
              <w:spacing w:line="240" w:lineRule="auto"/>
              <w:ind w:firstLine="0" w:firstLineChars="0"/>
              <w:jc w:val="center"/>
              <w:rPr>
                <w:sz w:val="21"/>
                <w:szCs w:val="21"/>
                <w14:ligatures w14:val="none"/>
              </w:rPr>
            </w:pPr>
            <w:r>
              <w:rPr>
                <w:rFonts w:hint="eastAsia"/>
                <w:sz w:val="21"/>
                <w:szCs w:val="21"/>
                <w14:ligatures w14:val="none"/>
              </w:rPr>
              <w:t>2.98</w:t>
            </w:r>
          </w:p>
        </w:tc>
        <w:tc>
          <w:tcPr>
            <w:tcW w:w="644" w:type="pct"/>
            <w:vAlign w:val="center"/>
          </w:tcPr>
          <w:p w14:paraId="39A44851">
            <w:pPr>
              <w:snapToGrid w:val="0"/>
              <w:spacing w:line="240" w:lineRule="auto"/>
              <w:ind w:firstLine="0" w:firstLineChars="0"/>
              <w:jc w:val="center"/>
              <w:rPr>
                <w:sz w:val="21"/>
                <w:szCs w:val="21"/>
                <w14:ligatures w14:val="none"/>
              </w:rPr>
            </w:pPr>
            <w:r>
              <w:rPr>
                <w:rFonts w:hint="eastAsia"/>
                <w:sz w:val="21"/>
                <w:szCs w:val="21"/>
                <w14:ligatures w14:val="none"/>
              </w:rPr>
              <w:t>-0.05</w:t>
            </w:r>
          </w:p>
        </w:tc>
        <w:tc>
          <w:tcPr>
            <w:tcW w:w="715" w:type="pct"/>
            <w:vAlign w:val="center"/>
          </w:tcPr>
          <w:p w14:paraId="6E77135B">
            <w:pPr>
              <w:snapToGrid w:val="0"/>
              <w:spacing w:line="240" w:lineRule="auto"/>
              <w:ind w:firstLine="0" w:firstLineChars="0"/>
              <w:jc w:val="center"/>
              <w:rPr>
                <w:sz w:val="21"/>
                <w:szCs w:val="21"/>
                <w14:ligatures w14:val="none"/>
              </w:rPr>
            </w:pPr>
            <w:r>
              <w:rPr>
                <w:rFonts w:hint="eastAsia"/>
                <w:sz w:val="21"/>
                <w:szCs w:val="21"/>
                <w14:ligatures w14:val="none"/>
              </w:rPr>
              <w:t>3.66</w:t>
            </w:r>
          </w:p>
        </w:tc>
        <w:tc>
          <w:tcPr>
            <w:tcW w:w="695" w:type="pct"/>
            <w:vAlign w:val="center"/>
          </w:tcPr>
          <w:p w14:paraId="692E7248">
            <w:pPr>
              <w:snapToGrid w:val="0"/>
              <w:spacing w:line="240" w:lineRule="auto"/>
              <w:ind w:firstLine="0" w:firstLineChars="0"/>
              <w:jc w:val="center"/>
              <w:rPr>
                <w:sz w:val="21"/>
                <w:szCs w:val="21"/>
                <w14:ligatures w14:val="none"/>
              </w:rPr>
            </w:pPr>
            <w:r>
              <w:rPr>
                <w:rFonts w:hint="eastAsia" w:eastAsia="宋体"/>
                <w:sz w:val="21"/>
                <w:szCs w:val="21"/>
                <w14:ligatures w14:val="none"/>
              </w:rPr>
              <w:t>+</w:t>
            </w:r>
            <w:r>
              <w:rPr>
                <w:rFonts w:hint="eastAsia"/>
                <w:sz w:val="21"/>
                <w:szCs w:val="21"/>
                <w14:ligatures w14:val="none"/>
              </w:rPr>
              <w:t>0.63</w:t>
            </w:r>
          </w:p>
        </w:tc>
      </w:tr>
      <w:tr w14:paraId="5C3AC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12" w:type="pct"/>
            <w:vMerge w:val="continue"/>
            <w:vAlign w:val="center"/>
          </w:tcPr>
          <w:p w14:paraId="666E1556">
            <w:pPr>
              <w:snapToGrid w:val="0"/>
              <w:spacing w:line="240" w:lineRule="auto"/>
              <w:ind w:firstLine="0" w:firstLineChars="0"/>
              <w:jc w:val="center"/>
              <w:rPr>
                <w:sz w:val="21"/>
                <w:szCs w:val="21"/>
                <w14:ligatures w14:val="none"/>
              </w:rPr>
            </w:pPr>
          </w:p>
        </w:tc>
        <w:tc>
          <w:tcPr>
            <w:tcW w:w="872" w:type="pct"/>
            <w:vAlign w:val="center"/>
          </w:tcPr>
          <w:p w14:paraId="28356FEA">
            <w:pPr>
              <w:snapToGrid w:val="0"/>
              <w:spacing w:line="240" w:lineRule="auto"/>
              <w:ind w:firstLine="0" w:firstLineChars="0"/>
              <w:jc w:val="center"/>
              <w:rPr>
                <w:sz w:val="21"/>
                <w:szCs w:val="21"/>
                <w14:ligatures w14:val="none"/>
              </w:rPr>
            </w:pPr>
            <w:r>
              <w:rPr>
                <w:rFonts w:hint="eastAsia"/>
                <w:sz w:val="21"/>
                <w:szCs w:val="21"/>
                <w14:ligatures w14:val="none"/>
              </w:rPr>
              <w:t>油烟</w:t>
            </w:r>
          </w:p>
        </w:tc>
        <w:tc>
          <w:tcPr>
            <w:tcW w:w="778" w:type="pct"/>
            <w:vAlign w:val="center"/>
          </w:tcPr>
          <w:p w14:paraId="25133E86">
            <w:pPr>
              <w:snapToGrid w:val="0"/>
              <w:spacing w:line="240" w:lineRule="auto"/>
              <w:ind w:firstLine="0" w:firstLineChars="0"/>
              <w:jc w:val="center"/>
              <w:rPr>
                <w:sz w:val="21"/>
                <w:szCs w:val="21"/>
                <w14:ligatures w14:val="none"/>
              </w:rPr>
            </w:pPr>
            <w:r>
              <w:rPr>
                <w:sz w:val="21"/>
                <w:szCs w:val="21"/>
                <w14:ligatures w14:val="none"/>
              </w:rPr>
              <w:t>3.94</w:t>
            </w:r>
          </w:p>
        </w:tc>
        <w:tc>
          <w:tcPr>
            <w:tcW w:w="681" w:type="pct"/>
            <w:vAlign w:val="center"/>
          </w:tcPr>
          <w:p w14:paraId="6E525E56">
            <w:pPr>
              <w:snapToGrid w:val="0"/>
              <w:spacing w:line="240" w:lineRule="auto"/>
              <w:ind w:firstLine="0" w:firstLineChars="0"/>
              <w:jc w:val="center"/>
              <w:rPr>
                <w:sz w:val="21"/>
                <w:szCs w:val="21"/>
                <w14:ligatures w14:val="none"/>
              </w:rPr>
            </w:pPr>
            <w:r>
              <w:rPr>
                <w:sz w:val="21"/>
                <w:szCs w:val="21"/>
                <w14:ligatures w14:val="none"/>
              </w:rPr>
              <w:t>3.19</w:t>
            </w:r>
          </w:p>
        </w:tc>
        <w:tc>
          <w:tcPr>
            <w:tcW w:w="644" w:type="pct"/>
            <w:vAlign w:val="center"/>
          </w:tcPr>
          <w:p w14:paraId="68FA0A44">
            <w:pPr>
              <w:snapToGrid w:val="0"/>
              <w:spacing w:line="240" w:lineRule="auto"/>
              <w:ind w:firstLine="0" w:firstLineChars="0"/>
              <w:jc w:val="center"/>
              <w:rPr>
                <w:sz w:val="21"/>
                <w:szCs w:val="21"/>
                <w14:ligatures w14:val="none"/>
              </w:rPr>
            </w:pPr>
            <w:r>
              <w:rPr>
                <w:rFonts w:hint="eastAsia"/>
                <w:sz w:val="21"/>
                <w:szCs w:val="21"/>
                <w14:ligatures w14:val="none"/>
              </w:rPr>
              <w:t>-0.75</w:t>
            </w:r>
          </w:p>
        </w:tc>
        <w:tc>
          <w:tcPr>
            <w:tcW w:w="715" w:type="pct"/>
            <w:vAlign w:val="center"/>
          </w:tcPr>
          <w:p w14:paraId="5B68CAD0">
            <w:pPr>
              <w:snapToGrid w:val="0"/>
              <w:spacing w:line="240" w:lineRule="auto"/>
              <w:ind w:firstLine="0" w:firstLineChars="0"/>
              <w:jc w:val="center"/>
              <w:rPr>
                <w:sz w:val="21"/>
                <w:szCs w:val="21"/>
                <w14:ligatures w14:val="none"/>
              </w:rPr>
            </w:pPr>
            <w:r>
              <w:rPr>
                <w:sz w:val="21"/>
                <w:szCs w:val="21"/>
                <w14:ligatures w14:val="none"/>
              </w:rPr>
              <w:t>3.85</w:t>
            </w:r>
          </w:p>
        </w:tc>
        <w:tc>
          <w:tcPr>
            <w:tcW w:w="695" w:type="pct"/>
            <w:vAlign w:val="center"/>
          </w:tcPr>
          <w:p w14:paraId="5E396DEB">
            <w:pPr>
              <w:snapToGrid w:val="0"/>
              <w:spacing w:line="240" w:lineRule="auto"/>
              <w:ind w:firstLine="0" w:firstLineChars="0"/>
              <w:jc w:val="center"/>
              <w:rPr>
                <w:sz w:val="21"/>
                <w:szCs w:val="21"/>
                <w14:ligatures w14:val="none"/>
              </w:rPr>
            </w:pPr>
            <w:r>
              <w:rPr>
                <w:rFonts w:hint="eastAsia"/>
                <w:sz w:val="21"/>
                <w:szCs w:val="21"/>
                <w14:ligatures w14:val="none"/>
              </w:rPr>
              <w:t>-0.09</w:t>
            </w:r>
          </w:p>
        </w:tc>
      </w:tr>
      <w:tr w14:paraId="62EA7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12" w:type="pct"/>
            <w:vMerge w:val="restart"/>
            <w:vAlign w:val="center"/>
          </w:tcPr>
          <w:p w14:paraId="5504C43B">
            <w:pPr>
              <w:snapToGrid w:val="0"/>
              <w:spacing w:line="240" w:lineRule="auto"/>
              <w:ind w:firstLine="0" w:firstLineChars="0"/>
              <w:jc w:val="center"/>
              <w:rPr>
                <w:sz w:val="21"/>
                <w:szCs w:val="21"/>
                <w14:ligatures w14:val="none"/>
              </w:rPr>
            </w:pPr>
            <w:r>
              <w:rPr>
                <w:rFonts w:hint="eastAsia" w:cs="Times New Roman"/>
                <w:sz w:val="21"/>
                <w:szCs w:val="21"/>
                <w14:ligatures w14:val="none"/>
              </w:rPr>
              <w:t>废水</w:t>
            </w:r>
            <w:r>
              <w:rPr>
                <w:rFonts w:hint="eastAsia"/>
                <w:sz w:val="21"/>
                <w:szCs w:val="21"/>
                <w14:ligatures w14:val="none"/>
              </w:rPr>
              <w:t>污染物</w:t>
            </w:r>
            <w:r>
              <w:rPr>
                <w:rFonts w:hint="eastAsia" w:cs="Times New Roman"/>
                <w:sz w:val="21"/>
                <w:szCs w:val="21"/>
                <w14:ligatures w14:val="none"/>
              </w:rPr>
              <w:t>*</w:t>
            </w:r>
          </w:p>
        </w:tc>
        <w:tc>
          <w:tcPr>
            <w:tcW w:w="872" w:type="pct"/>
            <w:vAlign w:val="center"/>
          </w:tcPr>
          <w:p w14:paraId="32E8FA41">
            <w:pPr>
              <w:snapToGrid w:val="0"/>
              <w:spacing w:line="240" w:lineRule="auto"/>
              <w:ind w:firstLine="0" w:firstLineChars="0"/>
              <w:jc w:val="center"/>
              <w:rPr>
                <w:sz w:val="21"/>
                <w:szCs w:val="21"/>
                <w14:ligatures w14:val="none"/>
              </w:rPr>
            </w:pPr>
            <w:r>
              <w:rPr>
                <w:rFonts w:hint="eastAsia" w:cs="Times New Roman"/>
                <w:sz w:val="21"/>
                <w:szCs w:val="21"/>
                <w14:ligatures w14:val="none"/>
              </w:rPr>
              <w:t>废水量</w:t>
            </w:r>
          </w:p>
        </w:tc>
        <w:tc>
          <w:tcPr>
            <w:tcW w:w="778" w:type="pct"/>
            <w:vAlign w:val="center"/>
          </w:tcPr>
          <w:p w14:paraId="2ED55BE4">
            <w:pPr>
              <w:snapToGrid w:val="0"/>
              <w:spacing w:line="240" w:lineRule="auto"/>
              <w:ind w:firstLine="0" w:firstLineChars="0"/>
              <w:jc w:val="center"/>
              <w:rPr>
                <w:sz w:val="21"/>
                <w:szCs w:val="21"/>
                <w14:ligatures w14:val="none"/>
              </w:rPr>
            </w:pPr>
            <w:r>
              <w:rPr>
                <w:rFonts w:hint="eastAsia"/>
                <w:sz w:val="21"/>
                <w:szCs w:val="21"/>
                <w14:ligatures w14:val="none"/>
              </w:rPr>
              <w:t>97.68万</w:t>
            </w:r>
          </w:p>
        </w:tc>
        <w:tc>
          <w:tcPr>
            <w:tcW w:w="681" w:type="pct"/>
            <w:vAlign w:val="center"/>
          </w:tcPr>
          <w:p w14:paraId="4A331038">
            <w:pPr>
              <w:snapToGrid w:val="0"/>
              <w:spacing w:line="240" w:lineRule="auto"/>
              <w:ind w:firstLine="0" w:firstLineChars="0"/>
              <w:jc w:val="center"/>
              <w:rPr>
                <w:sz w:val="21"/>
                <w:szCs w:val="21"/>
                <w14:ligatures w14:val="none"/>
              </w:rPr>
            </w:pPr>
            <w:r>
              <w:rPr>
                <w:rFonts w:hint="eastAsia"/>
                <w:sz w:val="21"/>
                <w:szCs w:val="21"/>
                <w14:ligatures w14:val="none"/>
              </w:rPr>
              <w:t>136.48万</w:t>
            </w:r>
          </w:p>
        </w:tc>
        <w:tc>
          <w:tcPr>
            <w:tcW w:w="644" w:type="pct"/>
            <w:vAlign w:val="center"/>
          </w:tcPr>
          <w:p w14:paraId="24021EBE">
            <w:pPr>
              <w:snapToGrid w:val="0"/>
              <w:spacing w:line="240" w:lineRule="auto"/>
              <w:ind w:firstLine="0" w:firstLineChars="0"/>
              <w:jc w:val="center"/>
              <w:rPr>
                <w:sz w:val="21"/>
                <w:szCs w:val="21"/>
                <w14:ligatures w14:val="none"/>
              </w:rPr>
            </w:pPr>
            <w:r>
              <w:rPr>
                <w:rFonts w:hint="eastAsia"/>
                <w:sz w:val="21"/>
                <w:szCs w:val="21"/>
                <w14:ligatures w14:val="none"/>
              </w:rPr>
              <w:t>+38.8万</w:t>
            </w:r>
          </w:p>
        </w:tc>
        <w:tc>
          <w:tcPr>
            <w:tcW w:w="715" w:type="pct"/>
            <w:vAlign w:val="center"/>
          </w:tcPr>
          <w:p w14:paraId="0062362B">
            <w:pPr>
              <w:snapToGrid w:val="0"/>
              <w:spacing w:line="240" w:lineRule="auto"/>
              <w:ind w:firstLine="0" w:firstLineChars="0"/>
              <w:jc w:val="center"/>
              <w:rPr>
                <w:sz w:val="21"/>
                <w:szCs w:val="21"/>
                <w14:ligatures w14:val="none"/>
              </w:rPr>
            </w:pPr>
            <w:r>
              <w:rPr>
                <w:rFonts w:hint="eastAsia"/>
                <w:sz w:val="21"/>
                <w:szCs w:val="21"/>
                <w14:ligatures w14:val="none"/>
              </w:rPr>
              <w:t>150.17万</w:t>
            </w:r>
          </w:p>
        </w:tc>
        <w:tc>
          <w:tcPr>
            <w:tcW w:w="695" w:type="pct"/>
            <w:vAlign w:val="center"/>
          </w:tcPr>
          <w:p w14:paraId="52C4CC9D">
            <w:pPr>
              <w:snapToGrid w:val="0"/>
              <w:spacing w:line="240" w:lineRule="auto"/>
              <w:ind w:firstLine="0" w:firstLineChars="0"/>
              <w:jc w:val="center"/>
              <w:rPr>
                <w:sz w:val="21"/>
                <w:szCs w:val="21"/>
                <w14:ligatures w14:val="none"/>
              </w:rPr>
            </w:pPr>
            <w:r>
              <w:rPr>
                <w:rFonts w:hint="eastAsia" w:eastAsia="宋体"/>
                <w:sz w:val="21"/>
                <w:szCs w:val="21"/>
                <w14:ligatures w14:val="none"/>
              </w:rPr>
              <w:t>+</w:t>
            </w:r>
            <w:r>
              <w:rPr>
                <w:rFonts w:hint="eastAsia"/>
                <w:sz w:val="21"/>
                <w:szCs w:val="21"/>
                <w14:ligatures w14:val="none"/>
              </w:rPr>
              <w:t>52.49万</w:t>
            </w:r>
          </w:p>
        </w:tc>
      </w:tr>
      <w:tr w14:paraId="47AA7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12" w:type="pct"/>
            <w:vMerge w:val="continue"/>
            <w:vAlign w:val="center"/>
          </w:tcPr>
          <w:p w14:paraId="57F0C701">
            <w:pPr>
              <w:snapToGrid w:val="0"/>
              <w:spacing w:line="240" w:lineRule="auto"/>
              <w:ind w:firstLine="0" w:firstLineChars="0"/>
              <w:jc w:val="center"/>
              <w:rPr>
                <w:sz w:val="21"/>
                <w:szCs w:val="21"/>
                <w14:ligatures w14:val="none"/>
              </w:rPr>
            </w:pPr>
          </w:p>
        </w:tc>
        <w:tc>
          <w:tcPr>
            <w:tcW w:w="872" w:type="pct"/>
            <w:vAlign w:val="center"/>
          </w:tcPr>
          <w:p w14:paraId="4B0F4402">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COD</w:t>
            </w:r>
          </w:p>
        </w:tc>
        <w:tc>
          <w:tcPr>
            <w:tcW w:w="778" w:type="pct"/>
            <w:vAlign w:val="center"/>
          </w:tcPr>
          <w:p w14:paraId="23B0E7FB">
            <w:pPr>
              <w:snapToGrid w:val="0"/>
              <w:spacing w:line="240" w:lineRule="auto"/>
              <w:ind w:firstLine="0" w:firstLineChars="0"/>
              <w:jc w:val="center"/>
              <w:rPr>
                <w:sz w:val="21"/>
                <w:szCs w:val="21"/>
                <w14:ligatures w14:val="none"/>
              </w:rPr>
            </w:pPr>
            <w:r>
              <w:rPr>
                <w:rFonts w:hint="eastAsia"/>
                <w:sz w:val="21"/>
                <w:szCs w:val="21"/>
                <w14:ligatures w14:val="none"/>
              </w:rPr>
              <w:t>20.72</w:t>
            </w:r>
          </w:p>
        </w:tc>
        <w:tc>
          <w:tcPr>
            <w:tcW w:w="681" w:type="pct"/>
            <w:vAlign w:val="center"/>
          </w:tcPr>
          <w:p w14:paraId="54C04733">
            <w:pPr>
              <w:snapToGrid w:val="0"/>
              <w:spacing w:line="240" w:lineRule="auto"/>
              <w:ind w:firstLine="0" w:firstLineChars="0"/>
              <w:jc w:val="center"/>
              <w:rPr>
                <w:sz w:val="21"/>
                <w:szCs w:val="21"/>
                <w14:ligatures w14:val="none"/>
              </w:rPr>
            </w:pPr>
            <w:r>
              <w:rPr>
                <w:rFonts w:hint="eastAsia"/>
                <w:sz w:val="21"/>
                <w:szCs w:val="21"/>
                <w14:ligatures w14:val="none"/>
              </w:rPr>
              <w:t>30.19</w:t>
            </w:r>
          </w:p>
        </w:tc>
        <w:tc>
          <w:tcPr>
            <w:tcW w:w="644" w:type="pct"/>
            <w:vAlign w:val="center"/>
          </w:tcPr>
          <w:p w14:paraId="6F784026">
            <w:pPr>
              <w:snapToGrid w:val="0"/>
              <w:spacing w:line="240" w:lineRule="auto"/>
              <w:ind w:firstLine="0" w:firstLineChars="0"/>
              <w:jc w:val="center"/>
              <w:rPr>
                <w:sz w:val="21"/>
                <w:szCs w:val="21"/>
                <w14:ligatures w14:val="none"/>
              </w:rPr>
            </w:pPr>
            <w:r>
              <w:rPr>
                <w:rFonts w:hint="eastAsia" w:eastAsia="宋体"/>
                <w:sz w:val="21"/>
                <w:szCs w:val="21"/>
                <w14:ligatures w14:val="none"/>
              </w:rPr>
              <w:t>+</w:t>
            </w:r>
            <w:r>
              <w:rPr>
                <w:rFonts w:hint="eastAsia"/>
                <w:sz w:val="21"/>
                <w:szCs w:val="21"/>
                <w14:ligatures w14:val="none"/>
              </w:rPr>
              <w:t>9.47</w:t>
            </w:r>
          </w:p>
        </w:tc>
        <w:tc>
          <w:tcPr>
            <w:tcW w:w="715" w:type="pct"/>
            <w:vAlign w:val="center"/>
          </w:tcPr>
          <w:p w14:paraId="7341DCB9">
            <w:pPr>
              <w:snapToGrid w:val="0"/>
              <w:spacing w:line="240" w:lineRule="auto"/>
              <w:ind w:firstLine="0" w:firstLineChars="0"/>
              <w:jc w:val="center"/>
              <w:rPr>
                <w:sz w:val="21"/>
                <w:szCs w:val="21"/>
                <w14:ligatures w14:val="none"/>
              </w:rPr>
            </w:pPr>
            <w:r>
              <w:rPr>
                <w:rFonts w:hint="eastAsia"/>
                <w:sz w:val="21"/>
                <w:szCs w:val="21"/>
                <w14:ligatures w14:val="none"/>
              </w:rPr>
              <w:t>36.50</w:t>
            </w:r>
          </w:p>
        </w:tc>
        <w:tc>
          <w:tcPr>
            <w:tcW w:w="695" w:type="pct"/>
            <w:vAlign w:val="center"/>
          </w:tcPr>
          <w:p w14:paraId="40BDAD34">
            <w:pPr>
              <w:snapToGrid w:val="0"/>
              <w:spacing w:line="240" w:lineRule="auto"/>
              <w:ind w:firstLine="0" w:firstLineChars="0"/>
              <w:jc w:val="center"/>
              <w:rPr>
                <w:sz w:val="21"/>
                <w:szCs w:val="21"/>
                <w14:ligatures w14:val="none"/>
              </w:rPr>
            </w:pPr>
            <w:r>
              <w:rPr>
                <w:rFonts w:hint="eastAsia" w:eastAsia="宋体"/>
                <w:sz w:val="21"/>
                <w:szCs w:val="21"/>
                <w14:ligatures w14:val="none"/>
              </w:rPr>
              <w:t>+</w:t>
            </w:r>
            <w:r>
              <w:rPr>
                <w:rFonts w:hint="eastAsia"/>
                <w:sz w:val="21"/>
                <w:szCs w:val="21"/>
                <w14:ligatures w14:val="none"/>
              </w:rPr>
              <w:t>15.78</w:t>
            </w:r>
          </w:p>
        </w:tc>
      </w:tr>
      <w:tr w14:paraId="623FA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12" w:type="pct"/>
            <w:vMerge w:val="continue"/>
            <w:vAlign w:val="center"/>
          </w:tcPr>
          <w:p w14:paraId="70CED5D0">
            <w:pPr>
              <w:snapToGrid w:val="0"/>
              <w:spacing w:line="240" w:lineRule="auto"/>
              <w:ind w:firstLine="0" w:firstLineChars="0"/>
              <w:jc w:val="center"/>
              <w:rPr>
                <w:sz w:val="21"/>
                <w:szCs w:val="21"/>
                <w14:ligatures w14:val="none"/>
              </w:rPr>
            </w:pPr>
          </w:p>
        </w:tc>
        <w:tc>
          <w:tcPr>
            <w:tcW w:w="872" w:type="pct"/>
            <w:vAlign w:val="center"/>
          </w:tcPr>
          <w:p w14:paraId="49ED7DA1">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氨氮</w:t>
            </w:r>
          </w:p>
        </w:tc>
        <w:tc>
          <w:tcPr>
            <w:tcW w:w="778" w:type="pct"/>
            <w:vAlign w:val="center"/>
          </w:tcPr>
          <w:p w14:paraId="36F96713">
            <w:pPr>
              <w:snapToGrid w:val="0"/>
              <w:spacing w:line="240" w:lineRule="auto"/>
              <w:ind w:firstLine="0" w:firstLineChars="0"/>
              <w:jc w:val="center"/>
              <w:rPr>
                <w:sz w:val="21"/>
                <w:szCs w:val="21"/>
                <w14:ligatures w14:val="none"/>
              </w:rPr>
            </w:pPr>
            <w:r>
              <w:rPr>
                <w:rFonts w:hint="eastAsia"/>
                <w:sz w:val="21"/>
                <w:szCs w:val="21"/>
                <w14:ligatures w14:val="none"/>
              </w:rPr>
              <w:t>0.2</w:t>
            </w:r>
          </w:p>
        </w:tc>
        <w:tc>
          <w:tcPr>
            <w:tcW w:w="681" w:type="pct"/>
            <w:vAlign w:val="center"/>
          </w:tcPr>
          <w:p w14:paraId="18F418B9">
            <w:pPr>
              <w:snapToGrid w:val="0"/>
              <w:spacing w:line="240" w:lineRule="auto"/>
              <w:ind w:firstLine="0" w:firstLineChars="0"/>
              <w:jc w:val="center"/>
              <w:rPr>
                <w:sz w:val="21"/>
                <w:szCs w:val="21"/>
                <w14:ligatures w14:val="none"/>
              </w:rPr>
            </w:pPr>
            <w:r>
              <w:rPr>
                <w:rFonts w:hint="eastAsia"/>
                <w:sz w:val="21"/>
                <w:szCs w:val="21"/>
                <w14:ligatures w14:val="none"/>
              </w:rPr>
              <w:t>0.29</w:t>
            </w:r>
          </w:p>
        </w:tc>
        <w:tc>
          <w:tcPr>
            <w:tcW w:w="644" w:type="pct"/>
            <w:vAlign w:val="center"/>
          </w:tcPr>
          <w:p w14:paraId="67653C5C">
            <w:pPr>
              <w:snapToGrid w:val="0"/>
              <w:spacing w:line="240" w:lineRule="auto"/>
              <w:ind w:firstLine="0" w:firstLineChars="0"/>
              <w:jc w:val="center"/>
              <w:rPr>
                <w:sz w:val="21"/>
                <w:szCs w:val="21"/>
                <w14:ligatures w14:val="none"/>
              </w:rPr>
            </w:pPr>
            <w:r>
              <w:rPr>
                <w:rFonts w:hint="eastAsia" w:eastAsia="宋体"/>
                <w:sz w:val="21"/>
                <w:szCs w:val="21"/>
                <w14:ligatures w14:val="none"/>
              </w:rPr>
              <w:t>+</w:t>
            </w:r>
            <w:r>
              <w:rPr>
                <w:rFonts w:hint="eastAsia"/>
                <w:sz w:val="21"/>
                <w:szCs w:val="21"/>
                <w14:ligatures w14:val="none"/>
              </w:rPr>
              <w:t>0.09</w:t>
            </w:r>
          </w:p>
        </w:tc>
        <w:tc>
          <w:tcPr>
            <w:tcW w:w="715" w:type="pct"/>
            <w:vAlign w:val="center"/>
          </w:tcPr>
          <w:p w14:paraId="31C97661">
            <w:pPr>
              <w:snapToGrid w:val="0"/>
              <w:spacing w:line="240" w:lineRule="auto"/>
              <w:ind w:firstLine="0" w:firstLineChars="0"/>
              <w:jc w:val="center"/>
              <w:rPr>
                <w:sz w:val="21"/>
                <w:szCs w:val="21"/>
                <w14:ligatures w14:val="none"/>
              </w:rPr>
            </w:pPr>
            <w:r>
              <w:rPr>
                <w:rFonts w:hint="eastAsia"/>
                <w:sz w:val="21"/>
                <w:szCs w:val="21"/>
                <w14:ligatures w14:val="none"/>
              </w:rPr>
              <w:t>0.35</w:t>
            </w:r>
          </w:p>
        </w:tc>
        <w:tc>
          <w:tcPr>
            <w:tcW w:w="695" w:type="pct"/>
            <w:vAlign w:val="center"/>
          </w:tcPr>
          <w:p w14:paraId="18CF42BA">
            <w:pPr>
              <w:snapToGrid w:val="0"/>
              <w:spacing w:line="240" w:lineRule="auto"/>
              <w:ind w:firstLine="0" w:firstLineChars="0"/>
              <w:jc w:val="center"/>
              <w:rPr>
                <w:sz w:val="21"/>
                <w:szCs w:val="21"/>
                <w14:ligatures w14:val="none"/>
              </w:rPr>
            </w:pPr>
            <w:r>
              <w:rPr>
                <w:rFonts w:hint="eastAsia" w:eastAsia="宋体"/>
                <w:sz w:val="21"/>
                <w:szCs w:val="21"/>
                <w14:ligatures w14:val="none"/>
              </w:rPr>
              <w:t>+</w:t>
            </w:r>
            <w:r>
              <w:rPr>
                <w:rFonts w:hint="eastAsia"/>
                <w:sz w:val="21"/>
                <w:szCs w:val="21"/>
                <w14:ligatures w14:val="none"/>
              </w:rPr>
              <w:t>0.15</w:t>
            </w:r>
          </w:p>
        </w:tc>
      </w:tr>
      <w:tr w14:paraId="7DB48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12" w:type="pct"/>
            <w:vMerge w:val="continue"/>
            <w:vAlign w:val="center"/>
          </w:tcPr>
          <w:p w14:paraId="3F93832C">
            <w:pPr>
              <w:snapToGrid w:val="0"/>
              <w:spacing w:line="240" w:lineRule="auto"/>
              <w:ind w:firstLine="0" w:firstLineChars="0"/>
              <w:jc w:val="center"/>
              <w:rPr>
                <w:sz w:val="21"/>
                <w:szCs w:val="21"/>
                <w14:ligatures w14:val="none"/>
              </w:rPr>
            </w:pPr>
          </w:p>
        </w:tc>
        <w:tc>
          <w:tcPr>
            <w:tcW w:w="872" w:type="pct"/>
            <w:vAlign w:val="center"/>
          </w:tcPr>
          <w:p w14:paraId="191C0574">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总磷</w:t>
            </w:r>
          </w:p>
        </w:tc>
        <w:tc>
          <w:tcPr>
            <w:tcW w:w="778" w:type="pct"/>
            <w:vAlign w:val="center"/>
          </w:tcPr>
          <w:p w14:paraId="6309FE24">
            <w:pPr>
              <w:snapToGrid w:val="0"/>
              <w:spacing w:line="240" w:lineRule="auto"/>
              <w:ind w:firstLine="0" w:firstLineChars="0"/>
              <w:jc w:val="center"/>
              <w:rPr>
                <w:sz w:val="21"/>
                <w:szCs w:val="21"/>
                <w14:ligatures w14:val="none"/>
              </w:rPr>
            </w:pPr>
            <w:r>
              <w:rPr>
                <w:rFonts w:hint="eastAsia"/>
                <w:sz w:val="21"/>
                <w:szCs w:val="21"/>
                <w14:ligatures w14:val="none"/>
              </w:rPr>
              <w:t>0.045</w:t>
            </w:r>
          </w:p>
        </w:tc>
        <w:tc>
          <w:tcPr>
            <w:tcW w:w="681" w:type="pct"/>
            <w:vAlign w:val="center"/>
          </w:tcPr>
          <w:p w14:paraId="1167A477">
            <w:pPr>
              <w:snapToGrid w:val="0"/>
              <w:spacing w:line="240" w:lineRule="auto"/>
              <w:ind w:firstLine="0" w:firstLineChars="0"/>
              <w:jc w:val="center"/>
              <w:rPr>
                <w:sz w:val="21"/>
                <w:szCs w:val="21"/>
                <w14:ligatures w14:val="none"/>
              </w:rPr>
            </w:pPr>
            <w:r>
              <w:rPr>
                <w:rFonts w:hint="eastAsia"/>
                <w:sz w:val="21"/>
                <w:szCs w:val="21"/>
                <w14:ligatures w14:val="none"/>
              </w:rPr>
              <w:t>0.07</w:t>
            </w:r>
          </w:p>
        </w:tc>
        <w:tc>
          <w:tcPr>
            <w:tcW w:w="644" w:type="pct"/>
            <w:vAlign w:val="center"/>
          </w:tcPr>
          <w:p w14:paraId="501D2699">
            <w:pPr>
              <w:snapToGrid w:val="0"/>
              <w:spacing w:line="240" w:lineRule="auto"/>
              <w:ind w:firstLine="0" w:firstLineChars="0"/>
              <w:jc w:val="center"/>
              <w:rPr>
                <w:sz w:val="21"/>
                <w:szCs w:val="21"/>
                <w14:ligatures w14:val="none"/>
              </w:rPr>
            </w:pPr>
            <w:r>
              <w:rPr>
                <w:rFonts w:hint="eastAsia" w:eastAsia="宋体"/>
                <w:sz w:val="21"/>
                <w:szCs w:val="21"/>
                <w14:ligatures w14:val="none"/>
              </w:rPr>
              <w:t>+</w:t>
            </w:r>
            <w:r>
              <w:rPr>
                <w:rFonts w:hint="eastAsia"/>
                <w:sz w:val="21"/>
                <w:szCs w:val="21"/>
                <w14:ligatures w14:val="none"/>
              </w:rPr>
              <w:t>0.025</w:t>
            </w:r>
          </w:p>
        </w:tc>
        <w:tc>
          <w:tcPr>
            <w:tcW w:w="715" w:type="pct"/>
            <w:vAlign w:val="center"/>
          </w:tcPr>
          <w:p w14:paraId="095E8C5C">
            <w:pPr>
              <w:snapToGrid w:val="0"/>
              <w:spacing w:line="240" w:lineRule="auto"/>
              <w:ind w:firstLine="0" w:firstLineChars="0"/>
              <w:jc w:val="center"/>
              <w:rPr>
                <w:sz w:val="21"/>
                <w:szCs w:val="21"/>
                <w14:ligatures w14:val="none"/>
              </w:rPr>
            </w:pPr>
            <w:r>
              <w:rPr>
                <w:rFonts w:hint="eastAsia"/>
                <w:sz w:val="21"/>
                <w:szCs w:val="21"/>
                <w14:ligatures w14:val="none"/>
              </w:rPr>
              <w:t>0.08</w:t>
            </w:r>
          </w:p>
        </w:tc>
        <w:tc>
          <w:tcPr>
            <w:tcW w:w="695" w:type="pct"/>
            <w:vAlign w:val="center"/>
          </w:tcPr>
          <w:p w14:paraId="0B3B518F">
            <w:pPr>
              <w:snapToGrid w:val="0"/>
              <w:spacing w:line="240" w:lineRule="auto"/>
              <w:ind w:firstLine="0" w:firstLineChars="0"/>
              <w:jc w:val="center"/>
              <w:rPr>
                <w:sz w:val="21"/>
                <w:szCs w:val="21"/>
                <w14:ligatures w14:val="none"/>
              </w:rPr>
            </w:pPr>
            <w:r>
              <w:rPr>
                <w:rFonts w:hint="eastAsia" w:eastAsia="宋体"/>
                <w:sz w:val="21"/>
                <w:szCs w:val="21"/>
                <w14:ligatures w14:val="none"/>
              </w:rPr>
              <w:t>+</w:t>
            </w:r>
            <w:r>
              <w:rPr>
                <w:rFonts w:hint="eastAsia"/>
                <w:sz w:val="21"/>
                <w:szCs w:val="21"/>
                <w14:ligatures w14:val="none"/>
              </w:rPr>
              <w:t>0.035</w:t>
            </w:r>
          </w:p>
        </w:tc>
      </w:tr>
      <w:tr w14:paraId="5C33C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12" w:type="pct"/>
            <w:vMerge w:val="continue"/>
            <w:vAlign w:val="center"/>
          </w:tcPr>
          <w:p w14:paraId="12B49E2E">
            <w:pPr>
              <w:snapToGrid w:val="0"/>
              <w:spacing w:line="240" w:lineRule="auto"/>
              <w:ind w:firstLine="0" w:firstLineChars="0"/>
              <w:jc w:val="center"/>
              <w:rPr>
                <w:sz w:val="21"/>
                <w:szCs w:val="21"/>
                <w14:ligatures w14:val="none"/>
              </w:rPr>
            </w:pPr>
          </w:p>
        </w:tc>
        <w:tc>
          <w:tcPr>
            <w:tcW w:w="872" w:type="pct"/>
            <w:vAlign w:val="center"/>
          </w:tcPr>
          <w:p w14:paraId="3624F44C">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总氮</w:t>
            </w:r>
          </w:p>
        </w:tc>
        <w:tc>
          <w:tcPr>
            <w:tcW w:w="778" w:type="pct"/>
            <w:vAlign w:val="center"/>
          </w:tcPr>
          <w:p w14:paraId="42BCDA2E">
            <w:pPr>
              <w:snapToGrid w:val="0"/>
              <w:spacing w:line="240" w:lineRule="auto"/>
              <w:ind w:firstLine="0" w:firstLineChars="0"/>
              <w:jc w:val="center"/>
              <w:rPr>
                <w:sz w:val="21"/>
                <w:szCs w:val="21"/>
                <w14:ligatures w14:val="none"/>
              </w:rPr>
            </w:pPr>
            <w:r>
              <w:rPr>
                <w:rFonts w:hint="eastAsia"/>
                <w:sz w:val="21"/>
                <w:szCs w:val="21"/>
                <w14:ligatures w14:val="none"/>
              </w:rPr>
              <w:t>5.91</w:t>
            </w:r>
          </w:p>
        </w:tc>
        <w:tc>
          <w:tcPr>
            <w:tcW w:w="681" w:type="pct"/>
            <w:vAlign w:val="center"/>
          </w:tcPr>
          <w:p w14:paraId="620AF6FE">
            <w:pPr>
              <w:snapToGrid w:val="0"/>
              <w:spacing w:line="240" w:lineRule="auto"/>
              <w:ind w:firstLine="0" w:firstLineChars="0"/>
              <w:jc w:val="center"/>
              <w:rPr>
                <w:sz w:val="21"/>
                <w:szCs w:val="21"/>
                <w14:ligatures w14:val="none"/>
              </w:rPr>
            </w:pPr>
            <w:r>
              <w:rPr>
                <w:rFonts w:hint="eastAsia"/>
                <w:sz w:val="21"/>
                <w:szCs w:val="21"/>
                <w14:ligatures w14:val="none"/>
              </w:rPr>
              <w:t>8.61</w:t>
            </w:r>
          </w:p>
        </w:tc>
        <w:tc>
          <w:tcPr>
            <w:tcW w:w="644" w:type="pct"/>
            <w:vAlign w:val="center"/>
          </w:tcPr>
          <w:p w14:paraId="59B257C5">
            <w:pPr>
              <w:snapToGrid w:val="0"/>
              <w:spacing w:line="240" w:lineRule="auto"/>
              <w:ind w:firstLine="0" w:firstLineChars="0"/>
              <w:jc w:val="center"/>
              <w:rPr>
                <w:sz w:val="21"/>
                <w:szCs w:val="21"/>
                <w14:ligatures w14:val="none"/>
              </w:rPr>
            </w:pPr>
            <w:r>
              <w:rPr>
                <w:rFonts w:hint="eastAsia" w:eastAsia="宋体"/>
                <w:sz w:val="21"/>
                <w:szCs w:val="21"/>
                <w14:ligatures w14:val="none"/>
              </w:rPr>
              <w:t>+</w:t>
            </w:r>
            <w:r>
              <w:rPr>
                <w:rFonts w:hint="eastAsia"/>
                <w:sz w:val="21"/>
                <w:szCs w:val="21"/>
                <w14:ligatures w14:val="none"/>
              </w:rPr>
              <w:t>2.7</w:t>
            </w:r>
          </w:p>
        </w:tc>
        <w:tc>
          <w:tcPr>
            <w:tcW w:w="715" w:type="pct"/>
            <w:vAlign w:val="center"/>
          </w:tcPr>
          <w:p w14:paraId="29DE172E">
            <w:pPr>
              <w:snapToGrid w:val="0"/>
              <w:spacing w:line="240" w:lineRule="auto"/>
              <w:ind w:firstLine="0" w:firstLineChars="0"/>
              <w:jc w:val="center"/>
              <w:rPr>
                <w:sz w:val="21"/>
                <w:szCs w:val="21"/>
                <w14:ligatures w14:val="none"/>
              </w:rPr>
            </w:pPr>
            <w:r>
              <w:rPr>
                <w:rFonts w:hint="eastAsia"/>
                <w:sz w:val="21"/>
                <w:szCs w:val="21"/>
                <w14:ligatures w14:val="none"/>
              </w:rPr>
              <w:t>10.41</w:t>
            </w:r>
          </w:p>
        </w:tc>
        <w:tc>
          <w:tcPr>
            <w:tcW w:w="695" w:type="pct"/>
            <w:vAlign w:val="center"/>
          </w:tcPr>
          <w:p w14:paraId="482C07CB">
            <w:pPr>
              <w:snapToGrid w:val="0"/>
              <w:spacing w:line="240" w:lineRule="auto"/>
              <w:ind w:firstLine="0" w:firstLineChars="0"/>
              <w:jc w:val="center"/>
              <w:rPr>
                <w:sz w:val="21"/>
                <w:szCs w:val="21"/>
                <w14:ligatures w14:val="none"/>
              </w:rPr>
            </w:pPr>
            <w:r>
              <w:rPr>
                <w:rFonts w:hint="eastAsia" w:eastAsia="宋体"/>
                <w:sz w:val="21"/>
                <w:szCs w:val="21"/>
                <w14:ligatures w14:val="none"/>
              </w:rPr>
              <w:t>+</w:t>
            </w:r>
            <w:r>
              <w:rPr>
                <w:rFonts w:hint="eastAsia"/>
                <w:sz w:val="21"/>
                <w:szCs w:val="21"/>
                <w14:ligatures w14:val="none"/>
              </w:rPr>
              <w:t>4.5</w:t>
            </w:r>
          </w:p>
        </w:tc>
      </w:tr>
      <w:tr w14:paraId="10253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12" w:type="pct"/>
            <w:vAlign w:val="center"/>
          </w:tcPr>
          <w:p w14:paraId="4954AD7E">
            <w:pPr>
              <w:snapToGrid w:val="0"/>
              <w:spacing w:line="240" w:lineRule="auto"/>
              <w:ind w:firstLine="0" w:firstLineChars="0"/>
              <w:jc w:val="center"/>
              <w:rPr>
                <w:sz w:val="21"/>
                <w:szCs w:val="21"/>
                <w14:ligatures w14:val="none"/>
              </w:rPr>
            </w:pPr>
            <w:r>
              <w:rPr>
                <w:rFonts w:hint="eastAsia" w:cs="Times New Roman"/>
                <w:sz w:val="21"/>
                <w:szCs w:val="21"/>
                <w14:ligatures w14:val="none"/>
              </w:rPr>
              <w:t>固废</w:t>
            </w:r>
            <w:r>
              <w:rPr>
                <w:rFonts w:hint="eastAsia"/>
                <w:sz w:val="21"/>
                <w:szCs w:val="21"/>
                <w14:ligatures w14:val="none"/>
              </w:rPr>
              <w:t>污染物</w:t>
            </w:r>
          </w:p>
        </w:tc>
        <w:tc>
          <w:tcPr>
            <w:tcW w:w="872" w:type="pct"/>
            <w:vAlign w:val="center"/>
          </w:tcPr>
          <w:p w14:paraId="5090A34C">
            <w:pPr>
              <w:snapToGrid w:val="0"/>
              <w:spacing w:line="240" w:lineRule="auto"/>
              <w:ind w:firstLine="0" w:firstLineChars="0"/>
              <w:jc w:val="center"/>
              <w:rPr>
                <w:rFonts w:cs="Times New Roman"/>
                <w:sz w:val="21"/>
                <w:szCs w:val="21"/>
                <w14:ligatures w14:val="none"/>
              </w:rPr>
            </w:pPr>
            <w:r>
              <w:rPr>
                <w:rFonts w:hint="eastAsia" w:cs="Times New Roman"/>
                <w:sz w:val="21"/>
                <w:szCs w:val="21"/>
                <w14:ligatures w14:val="none"/>
              </w:rPr>
              <w:t>生活垃圾</w:t>
            </w:r>
          </w:p>
        </w:tc>
        <w:tc>
          <w:tcPr>
            <w:tcW w:w="778" w:type="pct"/>
            <w:vAlign w:val="center"/>
          </w:tcPr>
          <w:p w14:paraId="57D5835C">
            <w:pPr>
              <w:snapToGrid w:val="0"/>
              <w:spacing w:line="240" w:lineRule="auto"/>
              <w:ind w:firstLine="0" w:firstLineChars="0"/>
              <w:jc w:val="center"/>
              <w:rPr>
                <w:sz w:val="21"/>
                <w:szCs w:val="21"/>
                <w14:ligatures w14:val="none"/>
              </w:rPr>
            </w:pPr>
            <w:r>
              <w:rPr>
                <w:rFonts w:hint="eastAsia"/>
                <w:sz w:val="21"/>
                <w:szCs w:val="21"/>
                <w14:ligatures w14:val="none"/>
              </w:rPr>
              <w:t>1.21万</w:t>
            </w:r>
          </w:p>
        </w:tc>
        <w:tc>
          <w:tcPr>
            <w:tcW w:w="681" w:type="pct"/>
            <w:vAlign w:val="center"/>
          </w:tcPr>
          <w:p w14:paraId="351D37B7">
            <w:pPr>
              <w:snapToGrid w:val="0"/>
              <w:spacing w:line="240" w:lineRule="auto"/>
              <w:ind w:firstLine="0" w:firstLineChars="0"/>
              <w:jc w:val="center"/>
              <w:rPr>
                <w:sz w:val="21"/>
                <w:szCs w:val="21"/>
                <w14:ligatures w14:val="none"/>
              </w:rPr>
            </w:pPr>
            <w:r>
              <w:rPr>
                <w:rFonts w:hint="eastAsia"/>
                <w:sz w:val="21"/>
                <w:szCs w:val="21"/>
                <w14:ligatures w14:val="none"/>
              </w:rPr>
              <w:t>1.61万</w:t>
            </w:r>
          </w:p>
        </w:tc>
        <w:tc>
          <w:tcPr>
            <w:tcW w:w="644" w:type="pct"/>
            <w:vAlign w:val="center"/>
          </w:tcPr>
          <w:p w14:paraId="3CEF3269">
            <w:pPr>
              <w:snapToGrid w:val="0"/>
              <w:spacing w:line="240" w:lineRule="auto"/>
              <w:ind w:firstLine="0" w:firstLineChars="0"/>
              <w:jc w:val="center"/>
              <w:rPr>
                <w:sz w:val="21"/>
                <w:szCs w:val="21"/>
                <w14:ligatures w14:val="none"/>
              </w:rPr>
            </w:pPr>
            <w:r>
              <w:rPr>
                <w:rFonts w:hint="eastAsia"/>
                <w:sz w:val="21"/>
                <w:szCs w:val="21"/>
                <w14:ligatures w14:val="none"/>
              </w:rPr>
              <w:t>+0.4万</w:t>
            </w:r>
          </w:p>
        </w:tc>
        <w:tc>
          <w:tcPr>
            <w:tcW w:w="715" w:type="pct"/>
            <w:vAlign w:val="center"/>
          </w:tcPr>
          <w:p w14:paraId="3F6DB232">
            <w:pPr>
              <w:snapToGrid w:val="0"/>
              <w:spacing w:line="240" w:lineRule="auto"/>
              <w:ind w:firstLine="0" w:firstLineChars="0"/>
              <w:jc w:val="center"/>
              <w:rPr>
                <w:sz w:val="21"/>
                <w:szCs w:val="21"/>
                <w14:ligatures w14:val="none"/>
              </w:rPr>
            </w:pPr>
            <w:r>
              <w:rPr>
                <w:rFonts w:hint="eastAsia"/>
                <w:sz w:val="21"/>
                <w:szCs w:val="21"/>
                <w14:ligatures w14:val="none"/>
              </w:rPr>
              <w:t>1.74万</w:t>
            </w:r>
          </w:p>
        </w:tc>
        <w:tc>
          <w:tcPr>
            <w:tcW w:w="695" w:type="pct"/>
            <w:vAlign w:val="center"/>
          </w:tcPr>
          <w:p w14:paraId="6E5A1003">
            <w:pPr>
              <w:snapToGrid w:val="0"/>
              <w:spacing w:line="240" w:lineRule="auto"/>
              <w:ind w:firstLine="0" w:firstLineChars="0"/>
              <w:jc w:val="center"/>
              <w:rPr>
                <w:sz w:val="21"/>
                <w:szCs w:val="21"/>
                <w14:ligatures w14:val="none"/>
              </w:rPr>
            </w:pPr>
            <w:r>
              <w:rPr>
                <w:rFonts w:hint="eastAsia"/>
                <w:sz w:val="21"/>
                <w:szCs w:val="21"/>
                <w14:ligatures w14:val="none"/>
              </w:rPr>
              <w:t>+0.53万</w:t>
            </w:r>
          </w:p>
        </w:tc>
      </w:tr>
    </w:tbl>
    <w:p w14:paraId="7F293649">
      <w:pPr>
        <w:snapToGrid w:val="0"/>
        <w:spacing w:line="240" w:lineRule="auto"/>
        <w:ind w:firstLine="0" w:firstLineChars="0"/>
        <w:jc w:val="left"/>
        <w:rPr>
          <w:rFonts w:cs="Times New Roman"/>
          <w:sz w:val="21"/>
          <w:szCs w:val="21"/>
          <w14:ligatures w14:val="none"/>
        </w:rPr>
      </w:pPr>
      <w:r>
        <w:rPr>
          <w:rFonts w:hint="eastAsia" w:cs="Times New Roman"/>
          <w:sz w:val="21"/>
          <w:szCs w:val="21"/>
          <w14:ligatures w14:val="none"/>
        </w:rPr>
        <w:t>注：废水污染物中不包含农业面源水污染物；废气污染物中不包含机动车尾气污染物。</w:t>
      </w:r>
    </w:p>
    <w:p w14:paraId="6B148368">
      <w:pPr>
        <w:pStyle w:val="3"/>
        <w:ind w:firstLine="0" w:firstLineChars="0"/>
        <w:rPr>
          <w:rFonts w:cs="Times New Roman"/>
        </w:rPr>
      </w:pPr>
      <w:bookmarkStart w:id="95" w:name="_Toc217294056"/>
      <w:r>
        <w:rPr>
          <w:rFonts w:cs="Times New Roman"/>
        </w:rPr>
        <w:t>5.3</w:t>
      </w:r>
      <w:r>
        <w:rPr>
          <w:rFonts w:hint="eastAsia" w:cs="Times New Roman"/>
        </w:rPr>
        <w:t>大气环境影响预测分析</w:t>
      </w:r>
      <w:bookmarkEnd w:id="95"/>
    </w:p>
    <w:p w14:paraId="0D021469">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3</w:t>
      </w:r>
      <w:r>
        <w:rPr>
          <w:rFonts w:eastAsia="方正楷体_GBK" w:cs="Times New Roman"/>
          <w:b/>
          <w:bCs/>
          <w:szCs w:val="28"/>
          <w14:ligatures w14:val="none"/>
        </w:rPr>
        <w:t>.</w:t>
      </w:r>
      <w:r>
        <w:rPr>
          <w:rFonts w:hint="eastAsia" w:eastAsia="方正楷体_GBK" w:cs="Times New Roman"/>
          <w:b/>
          <w:bCs/>
          <w:szCs w:val="28"/>
          <w14:ligatures w14:val="none"/>
        </w:rPr>
        <w:t>1度假区内大气环境影响因素</w:t>
      </w:r>
    </w:p>
    <w:p w14:paraId="23D5BBB7">
      <w:pPr>
        <w:ind w:firstLine="480"/>
      </w:pPr>
      <w:r>
        <w:rPr>
          <w:rFonts w:hint="eastAsia"/>
        </w:rPr>
        <w:t>根据度假区本轮规划，规划末期区内未规划工业用地，区内现有的工业企业均将在规划期内逐步关停搬迁，故区内大气环境污染源主要来自酒店、民宿、餐饮单位和交通工具，具体影响因素体现在燃气燃烧废气、餐饮业油烟、机动车尾气等。</w:t>
      </w:r>
    </w:p>
    <w:p w14:paraId="598F1E77">
      <w:pPr>
        <w:ind w:firstLine="480" w:firstLineChars="0"/>
        <w:rPr>
          <w:b/>
          <w:bCs/>
        </w:rPr>
      </w:pPr>
      <w:r>
        <w:rPr>
          <w:rFonts w:hint="eastAsia"/>
          <w:b/>
          <w:bCs/>
        </w:rPr>
        <w:t>（1）燃气燃烧废气</w:t>
      </w:r>
    </w:p>
    <w:p w14:paraId="6290A3E7">
      <w:pPr>
        <w:ind w:firstLine="480"/>
      </w:pPr>
      <w:r>
        <w:rPr>
          <w:rFonts w:hint="eastAsia"/>
        </w:rPr>
        <w:t>酒店、民宿厨房使用清洁能源天然气，燃烧废气产生的污染物排放量相对较少，不会对周围大气环境产生明显不利影响。</w:t>
      </w:r>
    </w:p>
    <w:p w14:paraId="61ECCB9A">
      <w:pPr>
        <w:ind w:firstLine="482"/>
        <w:rPr>
          <w:b/>
          <w:bCs/>
        </w:rPr>
      </w:pPr>
      <w:r>
        <w:rPr>
          <w:rFonts w:hint="eastAsia"/>
          <w:b/>
          <w:bCs/>
        </w:rPr>
        <w:t>（2）餐饮业油烟废气</w:t>
      </w:r>
    </w:p>
    <w:p w14:paraId="544BC85B">
      <w:pPr>
        <w:ind w:firstLine="480"/>
      </w:pPr>
      <w:r>
        <w:rPr>
          <w:rFonts w:hint="eastAsia"/>
        </w:rPr>
        <w:t>餐饮业油烟的成分复杂，食用油加热到150~200℃时产生的气态污染物含有200多种化学物质，油烟废气污染物若直接通过通风装置排入空气中，会污染环境，为此国家制定了《饮食业油烟排放标准》（GB 18283-2001）。规划实施后，旅游餐饮业的大力发展，产生的餐饮油烟会对环境产生一定的不利影响。若对餐饮油烟处理不当，会影响度假区整体形象。因此，规划实施中，区内餐饮单位必须做好餐饮油烟的处理工作，减少其对环境的影响。度假区应要求各种规模的餐饮单位安装油烟净化设施，在按照《饮食业油烟排放标准》（GB 18483-2001）要求配套相应的油烟净化装置后，其排放的油烟浓度可以达标，不会对环境造成明显不利影响。</w:t>
      </w:r>
    </w:p>
    <w:p w14:paraId="7A523D19">
      <w:pPr>
        <w:ind w:firstLine="482"/>
        <w:rPr>
          <w:b/>
          <w:bCs/>
        </w:rPr>
      </w:pPr>
      <w:r>
        <w:rPr>
          <w:rFonts w:hint="eastAsia"/>
          <w:b/>
          <w:bCs/>
        </w:rPr>
        <w:t>（3）机动车尾气</w:t>
      </w:r>
    </w:p>
    <w:p w14:paraId="3FFED374">
      <w:pPr>
        <w:ind w:firstLine="480"/>
      </w:pPr>
      <w:r>
        <w:rPr>
          <w:rFonts w:hint="eastAsia"/>
        </w:rPr>
        <w:t>伴随着规划区的发展，游客数量大幅增长，度假区内汽车数量显著增加。汽车尾气中主要污染物CO、NOx、HC和颗粒物等，在空气中及太阳光作用下，将进一步发生化学反应，产生的二次污染物如臭氧、醛类等，并会形成光化学烟雾，对人和动物产生较大的危害，对周围大气环境产生不良影响。同时，汽车尾气中的悬浮颗粒物也会造成空气质量下降。</w:t>
      </w:r>
    </w:p>
    <w:p w14:paraId="2E02EE38">
      <w:pPr>
        <w:ind w:firstLine="480"/>
      </w:pPr>
      <w:r>
        <w:rPr>
          <w:rFonts w:hint="eastAsia"/>
        </w:rPr>
        <w:t>汽车出入停车场怠速和慢速行驶时会产生汽车尾气，其排放量与车型、车况和车辆数等有关。鉴于茅山旅游度假区内交通车辆以到达、驶离为主，考虑各停车场分布较分散、地表空气流动较大、停车场汽车尾气为间歇性排气、排放的污染物数量少、停车场周边有绿化及建筑围护、新能源电动车的普及和燃油汽车排放标准提高等因素，度假区停车场汽车尾气对周围的环境影响较小。此外，茅山旅游度假区规划鼓励区内采用电瓶车、自行车等清洁交通工具，并在交通道路沿线两侧种植乔灌结合的绿化带，吸收汽车尾气，进而降低汽车尾气对区域大气环境产生的不利影响。</w:t>
      </w:r>
    </w:p>
    <w:p w14:paraId="4179B575">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3</w:t>
      </w:r>
      <w:r>
        <w:rPr>
          <w:rFonts w:eastAsia="方正楷体_GBK" w:cs="Times New Roman"/>
          <w:b/>
          <w:bCs/>
          <w:szCs w:val="28"/>
          <w14:ligatures w14:val="none"/>
        </w:rPr>
        <w:t>.</w:t>
      </w:r>
      <w:r>
        <w:rPr>
          <w:rFonts w:hint="eastAsia" w:eastAsia="方正楷体_GBK" w:cs="Times New Roman"/>
          <w:b/>
          <w:bCs/>
          <w:szCs w:val="28"/>
          <w14:ligatures w14:val="none"/>
        </w:rPr>
        <w:t>2度假区外大气环境影响因素</w:t>
      </w:r>
    </w:p>
    <w:p w14:paraId="75331E8B">
      <w:pPr>
        <w:spacing w:line="540" w:lineRule="exact"/>
        <w:ind w:firstLine="480"/>
        <w:rPr>
          <w:bCs/>
          <w:szCs w:val="24"/>
        </w:rPr>
      </w:pPr>
      <w:r>
        <w:rPr>
          <w:rFonts w:hint="eastAsia"/>
        </w:rPr>
        <w:t>本轮规划范围中心区域东南侧临近江苏省金坛经济开发区薛埠现代产业园，园区面积总计5.47平方公里，距离度假区边界范围直线距离约2km。引用《江苏省金坛经济开发区薛埠现代产业园（先行区）开发建设规划（2024-2030年）环境影响报告书》中大气环境影响预测章节内容，</w:t>
      </w:r>
      <w:r>
        <w:rPr>
          <w:szCs w:val="24"/>
        </w:rPr>
        <w:t>预测结果表明</w:t>
      </w:r>
      <w:r>
        <w:rPr>
          <w:rFonts w:hint="eastAsia"/>
          <w:szCs w:val="24"/>
        </w:rPr>
        <w:t>，</w:t>
      </w:r>
      <w:r>
        <w:rPr>
          <w:rFonts w:hint="eastAsia"/>
        </w:rPr>
        <w:t>产业园区范围及其边界外扩2.5km范围</w:t>
      </w:r>
      <w:r>
        <w:rPr>
          <w:szCs w:val="24"/>
        </w:rPr>
        <w:t>叠加现状值之后SO</w:t>
      </w:r>
      <w:r>
        <w:rPr>
          <w:szCs w:val="24"/>
          <w:vertAlign w:val="subscript"/>
        </w:rPr>
        <w:t>2</w:t>
      </w:r>
      <w:r>
        <w:rPr>
          <w:szCs w:val="24"/>
        </w:rPr>
        <w:t>、NO</w:t>
      </w:r>
      <w:r>
        <w:rPr>
          <w:szCs w:val="24"/>
          <w:vertAlign w:val="subscript"/>
        </w:rPr>
        <w:t>2</w:t>
      </w:r>
      <w:r>
        <w:rPr>
          <w:szCs w:val="24"/>
        </w:rPr>
        <w:t>、PM</w:t>
      </w:r>
      <w:r>
        <w:rPr>
          <w:szCs w:val="24"/>
          <w:vertAlign w:val="subscript"/>
        </w:rPr>
        <w:t>10</w:t>
      </w:r>
      <w:r>
        <w:rPr>
          <w:szCs w:val="24"/>
        </w:rPr>
        <w:t>保证率日平均质量浓度及年均浓度占标率均小于100%，TSP、非甲烷总烃、氟化物、甲苯、二甲苯短期浓度占标率均小于100%</w:t>
      </w:r>
      <w:r>
        <w:rPr>
          <w:rFonts w:hint="eastAsia"/>
          <w:szCs w:val="24"/>
        </w:rPr>
        <w:t>，大气环境影响可接受。考虑到产业园区主要位于度假区下风向，故产业园区的规划开发对茅山旅游度假区的生态环境影响较小。</w:t>
      </w:r>
    </w:p>
    <w:p w14:paraId="4527C0EB">
      <w:pPr>
        <w:pStyle w:val="3"/>
        <w:ind w:firstLine="0" w:firstLineChars="0"/>
        <w:rPr>
          <w:rFonts w:cs="Times New Roman"/>
        </w:rPr>
      </w:pPr>
      <w:bookmarkStart w:id="96" w:name="_Toc217294057"/>
      <w:r>
        <w:rPr>
          <w:rFonts w:cs="Times New Roman"/>
        </w:rPr>
        <w:t>5.4</w:t>
      </w:r>
      <w:r>
        <w:rPr>
          <w:rFonts w:hint="eastAsia" w:cs="Times New Roman"/>
        </w:rPr>
        <w:t>地表水环境影响预测分析</w:t>
      </w:r>
      <w:bookmarkEnd w:id="96"/>
    </w:p>
    <w:p w14:paraId="2120CC1E">
      <w:pPr>
        <w:ind w:firstLine="480"/>
      </w:pPr>
      <w:r>
        <w:rPr>
          <w:rFonts w:hint="eastAsia"/>
        </w:rPr>
        <w:t>度假区现状污水主要包括居民、游客生活污水、餐饮污水等，区域内现存工业企业主要为石灰和石膏制造、木质纸质包装材料制造、茶制品制造等企业，无工业废水排放。</w:t>
      </w:r>
    </w:p>
    <w:p w14:paraId="02435F16">
      <w:pPr>
        <w:ind w:firstLine="480"/>
      </w:pPr>
      <w:r>
        <w:rPr>
          <w:rFonts w:hint="eastAsia"/>
        </w:rPr>
        <w:t>根据度假区污水工程规划，度假区采用雨污分流排水体制，污水采用集中处理为主，分散处理为辅的原则。度假区核心区产生的居民、游客生活污水均接管至茅东污水处理厂，目前茅东污水处理厂现状处理规模1万m</w:t>
      </w:r>
      <w:r>
        <w:rPr>
          <w:rFonts w:hint="eastAsia"/>
          <w:vertAlign w:val="superscript"/>
        </w:rPr>
        <w:t>3</w:t>
      </w:r>
      <w:r>
        <w:rPr>
          <w:rFonts w:hint="eastAsia"/>
        </w:rPr>
        <w:t>/d，处理工艺采用“预处理+改良A/A/O反应池+高效沉淀池+深床反硝化滤池+次氯酸钠消毒”工艺，污水处理厂处理工艺较成熟，同时根据已批复的《金坛区茅东污水处理厂扩建项目环境影响报告表》（常金环审〔2019〕150号）对接管废水提出的相关要求，本次规划属旅游度假区总体规划，水污染源主要为居民和游客生活污水，水质相对简单，具体污染物为COD、氨氮、总磷、总氮等，排放浓度满足常州市金坛区茅东污水处理厂水质接管要求；不产生工业废水，不涉及上述接管要求中提及的不接纳的铅、砷、汞、铬、镉等重金属以及含N、P、难降解有机污染物、有毒有害物和三致物（致癌、致畸、致突变）物质。因此，茅山旅游度假区内水污染物水质可满足常州市金坛区茅东污水处理厂接管要求。</w:t>
      </w:r>
    </w:p>
    <w:p w14:paraId="6DA38DB4">
      <w:pPr>
        <w:pStyle w:val="3"/>
        <w:ind w:firstLine="0" w:firstLineChars="0"/>
        <w:rPr>
          <w:rFonts w:cs="Times New Roman"/>
        </w:rPr>
      </w:pPr>
      <w:bookmarkStart w:id="97" w:name="_Toc217294058"/>
      <w:r>
        <w:rPr>
          <w:rFonts w:cs="Times New Roman"/>
        </w:rPr>
        <w:t>5.</w:t>
      </w:r>
      <w:r>
        <w:rPr>
          <w:rFonts w:hint="eastAsia" w:cs="Times New Roman"/>
        </w:rPr>
        <w:t>5固体废弃物处置影响分析</w:t>
      </w:r>
      <w:bookmarkEnd w:id="97"/>
    </w:p>
    <w:p w14:paraId="368033DF">
      <w:pPr>
        <w:ind w:firstLine="480"/>
      </w:pPr>
      <w:r>
        <w:rPr>
          <w:rFonts w:hint="eastAsia"/>
        </w:rPr>
        <w:t>（1）现状工业企业固废处理处置影响分析</w:t>
      </w:r>
    </w:p>
    <w:p w14:paraId="6F52B7C4">
      <w:pPr>
        <w:ind w:firstLine="480"/>
      </w:pPr>
      <w:r>
        <w:rPr>
          <w:rFonts w:hint="eastAsia"/>
        </w:rPr>
        <w:t>度假区内现状工业企业仍会产生一般工业固体废物和危险废物，度假区管理部门在规划期内继续贯彻固体废弃物“减量化、无害化、资源化”的原则，强化工业固体废弃物和生活垃圾的管理、处置。其中，一般工业固体废弃物尽量进行综合利用，暂时不能综合利用的，则采取必要的处置和堆存措施；危险废物经分类收集后，均委托有资质的危险废物处置单位进行安全处置；日常生活垃圾分类收集至垃圾转运站。</w:t>
      </w:r>
    </w:p>
    <w:p w14:paraId="5360DE87">
      <w:pPr>
        <w:ind w:firstLine="480"/>
      </w:pPr>
      <w:r>
        <w:rPr>
          <w:rFonts w:hint="eastAsia"/>
        </w:rPr>
        <w:t>度假区内产生的固体废物中，部分可能具有腐蚀性、浸出毒性等危险特性，对人体或环境有直接或潜在的危害。固体废物的堆放，不仅占用区域有限的土地资源，若堆放不当还有可能污染土壤，经雨水淋溶后，将会逐渐迁移影响地表水和地下水的水质。固体废物在收运、堆放过程中未做密封处理，有的经日晒、风吹等作用，挥发出粉尘等废气，有的则经发酵分解后产生有毒气体，向大气中逸散，造成大气污染。因此，固体废物的不适当堆置或处置，将对视觉景观、环境卫生、人体健康和生态环境造成影响，现状企业应加强对其产生的固废特别是危险废物的管理，按照废物性质和特点进行减量化、无害化、资源化处理，不向环境中排放，以确保不造成环境危害。</w:t>
      </w:r>
    </w:p>
    <w:p w14:paraId="4645B27D">
      <w:pPr>
        <w:ind w:firstLine="480"/>
      </w:pPr>
      <w:r>
        <w:rPr>
          <w:rFonts w:hint="eastAsia"/>
        </w:rPr>
        <w:t>（2）固体废物临时堆放储存场所的环境污染分析</w:t>
      </w:r>
    </w:p>
    <w:p w14:paraId="7ADD5041">
      <w:pPr>
        <w:ind w:firstLine="480"/>
      </w:pPr>
      <w:r>
        <w:rPr>
          <w:rFonts w:hint="eastAsia"/>
        </w:rPr>
        <w:t>度假区内固废临时堆放储存场所的环境污染情况主要为：固废临时堆放储存场所产生臭气以及滋生蚊蝇，影响周围环境；生活垃圾在转运站装箱、压缩时，会产生垃圾渗水，污染周围环境；固体废弃物堆积处置时间不当会影响风景区观瞻；因此，生活垃圾收集站（点）的位置要与居民点、自然保护区保持足够的距离。</w:t>
      </w:r>
    </w:p>
    <w:p w14:paraId="175CCE91">
      <w:pPr>
        <w:ind w:firstLine="480"/>
      </w:pPr>
      <w:r>
        <w:rPr>
          <w:rFonts w:hint="eastAsia"/>
        </w:rPr>
        <w:t>（3）垃圾中转站与运输路线影响分析</w:t>
      </w:r>
    </w:p>
    <w:p w14:paraId="5E6D5B61">
      <w:pPr>
        <w:ind w:firstLine="480"/>
      </w:pPr>
      <w:r>
        <w:rPr>
          <w:rFonts w:hint="eastAsia"/>
        </w:rPr>
        <w:t>由于度假区内未规划垃圾处置场所，区内生活垃圾由垃圾清运车送至花山生活垃圾中转站、罗村生活垃圾中转站、石马生活垃圾中转站、薛埠生活垃圾中转站，经中转站压缩打包后至市区垃圾处理设施处理。生活垃圾清运必须注意以下问题：</w:t>
      </w:r>
    </w:p>
    <w:p w14:paraId="245775C0">
      <w:pPr>
        <w:ind w:firstLine="480" w:firstLineChars="0"/>
      </w:pPr>
      <w:r>
        <w:rPr>
          <w:rFonts w:hint="eastAsia"/>
        </w:rPr>
        <w:t>①应远离运输沿线居民和旅游活动场所，避免造成环境污染影响。</w:t>
      </w:r>
    </w:p>
    <w:p w14:paraId="4A4D149A">
      <w:pPr>
        <w:ind w:firstLine="480"/>
      </w:pPr>
      <w:r>
        <w:rPr>
          <w:rFonts w:hint="eastAsia"/>
        </w:rPr>
        <w:t>②度假区内收集垃圾的车辆行车路线必须为单行线路，选择游客稀少时间作业。</w:t>
      </w:r>
    </w:p>
    <w:p w14:paraId="0A1C2739">
      <w:pPr>
        <w:ind w:firstLine="480"/>
      </w:pPr>
      <w:r>
        <w:rPr>
          <w:rFonts w:hint="eastAsia"/>
        </w:rPr>
        <w:t>③收集垃圾的车辆须保持密闭性，防止运输过程泄漏。</w:t>
      </w:r>
    </w:p>
    <w:p w14:paraId="75196FEC">
      <w:pPr>
        <w:ind w:firstLine="480"/>
      </w:pPr>
      <w:r>
        <w:rPr>
          <w:rFonts w:hint="eastAsia"/>
        </w:rPr>
        <w:t>④建议采用压入装箱式工艺，其具有以下优点：箱内垃圾有较高密实度，对所转运垃圾性质的适应性强；实现了全封闭化操作，作业过程中的臭气扩散和蚊蝇滋生可大大减少；设备投资、运行费用适中；压入装箱式工艺较完善，在国内外已得到广泛应用。</w:t>
      </w:r>
    </w:p>
    <w:p w14:paraId="6BE7B61B">
      <w:pPr>
        <w:ind w:firstLine="480"/>
      </w:pPr>
      <w:r>
        <w:rPr>
          <w:rFonts w:hint="eastAsia"/>
        </w:rPr>
        <w:t>通过以上措施，规划期内度假区产生的固体废物均可得到妥善处理处置，对周围环境及人体不会造成明显不利影响。</w:t>
      </w:r>
    </w:p>
    <w:p w14:paraId="33420FF0">
      <w:pPr>
        <w:pStyle w:val="3"/>
        <w:ind w:firstLine="0" w:firstLineChars="0"/>
        <w:rPr>
          <w:rFonts w:cs="Times New Roman"/>
        </w:rPr>
      </w:pPr>
      <w:bookmarkStart w:id="98" w:name="_Toc217294059"/>
      <w:r>
        <w:rPr>
          <w:rFonts w:cs="Times New Roman"/>
        </w:rPr>
        <w:t>5.6</w:t>
      </w:r>
      <w:r>
        <w:rPr>
          <w:rFonts w:hint="eastAsia" w:cs="Times New Roman"/>
        </w:rPr>
        <w:t>声环境影响预测分析</w:t>
      </w:r>
      <w:bookmarkEnd w:id="98"/>
    </w:p>
    <w:p w14:paraId="086A33D9">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6</w:t>
      </w:r>
      <w:r>
        <w:rPr>
          <w:rFonts w:eastAsia="方正楷体_GBK" w:cs="Times New Roman"/>
          <w:b/>
          <w:bCs/>
          <w:szCs w:val="28"/>
          <w14:ligatures w14:val="none"/>
        </w:rPr>
        <w:t>.1</w:t>
      </w:r>
      <w:r>
        <w:rPr>
          <w:rFonts w:hint="eastAsia" w:eastAsia="方正楷体_GBK" w:cs="Times New Roman"/>
          <w:b/>
          <w:bCs/>
          <w:szCs w:val="28"/>
          <w14:ligatures w14:val="none"/>
        </w:rPr>
        <w:t>施工期声环境影响分析</w:t>
      </w:r>
    </w:p>
    <w:p w14:paraId="6D53AE26">
      <w:pPr>
        <w:ind w:firstLine="480"/>
      </w:pPr>
      <w:r>
        <w:t>度假区建设期的噪声源主要来自各类施工设备和运输施工材料的车辆，主要有：装载机、推土机、挖掘机、搅拌机、打桩机等，噪声一般在80</w:t>
      </w:r>
      <w:r>
        <w:rPr>
          <w:rFonts w:hint="eastAsia"/>
        </w:rPr>
        <w:t>~</w:t>
      </w:r>
      <w:r>
        <w:t>105 dB</w:t>
      </w:r>
      <w:r>
        <w:rPr>
          <w:rFonts w:hint="eastAsia"/>
        </w:rPr>
        <w:t>（</w:t>
      </w:r>
      <w:r>
        <w:t>A</w:t>
      </w:r>
      <w:r>
        <w:rPr>
          <w:rFonts w:hint="eastAsia"/>
        </w:rPr>
        <w:t>）</w:t>
      </w:r>
      <w:r>
        <w:t>。</w:t>
      </w:r>
    </w:p>
    <w:p w14:paraId="3E4CC8FD">
      <w:pPr>
        <w:ind w:firstLine="480"/>
      </w:pPr>
      <w:r>
        <w:t>施工过程所产生的噪声主要属中低频噪声，随距离自然衰减较快，表</w:t>
      </w:r>
      <w:r>
        <w:rPr>
          <w:rFonts w:hint="eastAsia"/>
        </w:rPr>
        <w:t>5</w:t>
      </w:r>
      <w:r>
        <w:t>.</w:t>
      </w:r>
      <w:r>
        <w:rPr>
          <w:rFonts w:hint="eastAsia"/>
        </w:rPr>
        <w:t>6</w:t>
      </w:r>
      <w:r>
        <w:t>-1是几种主要施工设备噪声随距离自然衰减情况。可见，昼间施工设备噪声超标的范围为100米以内；夜间在不使用打桩机情况下，噪声超标的范围为200</w:t>
      </w:r>
      <w:r>
        <w:rPr>
          <w:rFonts w:hint="eastAsia"/>
        </w:rPr>
        <w:t>～</w:t>
      </w:r>
      <w:r>
        <w:t>300米。</w:t>
      </w:r>
    </w:p>
    <w:p w14:paraId="22C75C04">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6</w:t>
      </w:r>
      <w:r>
        <w:rPr>
          <w:rFonts w:cs="Times New Roman"/>
        </w:rPr>
        <w:t>-1  几种主要施工设备不同距离处的噪声值（dB</w:t>
      </w:r>
      <w:r>
        <w:rPr>
          <w:rFonts w:hint="eastAsia" w:cs="Times New Roman"/>
        </w:rPr>
        <w:t>（</w:t>
      </w:r>
      <w:r>
        <w:rPr>
          <w:rFonts w:cs="Times New Roman"/>
        </w:rPr>
        <w:t>A</w:t>
      </w:r>
      <w:r>
        <w:rPr>
          <w:rFonts w:hint="eastAsia" w:cs="Times New Roman"/>
        </w:rPr>
        <w:t>）</w:t>
      </w:r>
      <w:r>
        <w:rPr>
          <w:rFonts w:cs="Times New Roman"/>
        </w:rPr>
        <w:t>）</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4"/>
        <w:gridCol w:w="625"/>
        <w:gridCol w:w="750"/>
        <w:gridCol w:w="749"/>
        <w:gridCol w:w="749"/>
        <w:gridCol w:w="749"/>
        <w:gridCol w:w="749"/>
        <w:gridCol w:w="749"/>
        <w:gridCol w:w="749"/>
      </w:tblGrid>
      <w:tr w14:paraId="45FCF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857" w:type="dxa"/>
            <w:vAlign w:val="center"/>
          </w:tcPr>
          <w:p w14:paraId="5521D194">
            <w:pPr>
              <w:widowControl/>
              <w:snapToGrid w:val="0"/>
              <w:spacing w:line="240" w:lineRule="auto"/>
              <w:ind w:firstLine="0" w:firstLineChars="0"/>
              <w:jc w:val="center"/>
              <w:rPr>
                <w:rFonts w:cs="Times New Roman"/>
                <w:b/>
                <w:sz w:val="21"/>
                <w:szCs w:val="21"/>
              </w:rPr>
            </w:pPr>
            <w:r>
              <w:rPr>
                <w:rFonts w:hint="eastAsia" w:cs="Times New Roman"/>
                <w:b/>
                <w:sz w:val="21"/>
                <w:szCs w:val="21"/>
              </w:rPr>
              <w:t>噪声源</w:t>
            </w:r>
          </w:p>
        </w:tc>
        <w:tc>
          <w:tcPr>
            <w:tcW w:w="650" w:type="dxa"/>
            <w:vAlign w:val="center"/>
          </w:tcPr>
          <w:p w14:paraId="0D720997">
            <w:pPr>
              <w:widowControl/>
              <w:snapToGrid w:val="0"/>
              <w:spacing w:line="240" w:lineRule="auto"/>
              <w:ind w:firstLine="0" w:firstLineChars="0"/>
              <w:jc w:val="center"/>
              <w:rPr>
                <w:rFonts w:cs="Times New Roman"/>
                <w:b/>
                <w:sz w:val="21"/>
                <w:szCs w:val="21"/>
              </w:rPr>
            </w:pPr>
            <w:r>
              <w:rPr>
                <w:rFonts w:hint="eastAsia" w:cs="Times New Roman"/>
                <w:b/>
                <w:sz w:val="21"/>
                <w:szCs w:val="21"/>
              </w:rPr>
              <w:t>10m</w:t>
            </w:r>
          </w:p>
        </w:tc>
        <w:tc>
          <w:tcPr>
            <w:tcW w:w="787" w:type="dxa"/>
            <w:vAlign w:val="center"/>
          </w:tcPr>
          <w:p w14:paraId="6AE68BC4">
            <w:pPr>
              <w:widowControl/>
              <w:snapToGrid w:val="0"/>
              <w:spacing w:line="240" w:lineRule="auto"/>
              <w:ind w:firstLine="0" w:firstLineChars="0"/>
              <w:jc w:val="center"/>
              <w:rPr>
                <w:rFonts w:cs="Times New Roman"/>
                <w:b/>
                <w:sz w:val="21"/>
                <w:szCs w:val="21"/>
              </w:rPr>
            </w:pPr>
            <w:r>
              <w:rPr>
                <w:rFonts w:hint="eastAsia" w:cs="Times New Roman"/>
                <w:b/>
                <w:sz w:val="21"/>
                <w:szCs w:val="21"/>
              </w:rPr>
              <w:t>20m</w:t>
            </w:r>
          </w:p>
        </w:tc>
        <w:tc>
          <w:tcPr>
            <w:tcW w:w="787" w:type="dxa"/>
            <w:vAlign w:val="center"/>
          </w:tcPr>
          <w:p w14:paraId="298CDAF6">
            <w:pPr>
              <w:widowControl/>
              <w:snapToGrid w:val="0"/>
              <w:spacing w:line="240" w:lineRule="auto"/>
              <w:ind w:firstLine="0" w:firstLineChars="0"/>
              <w:jc w:val="center"/>
              <w:rPr>
                <w:rFonts w:cs="Times New Roman"/>
                <w:b/>
                <w:sz w:val="21"/>
                <w:szCs w:val="21"/>
              </w:rPr>
            </w:pPr>
            <w:r>
              <w:rPr>
                <w:rFonts w:hint="eastAsia" w:cs="Times New Roman"/>
                <w:b/>
                <w:sz w:val="21"/>
                <w:szCs w:val="21"/>
              </w:rPr>
              <w:t>40m</w:t>
            </w:r>
          </w:p>
        </w:tc>
        <w:tc>
          <w:tcPr>
            <w:tcW w:w="787" w:type="dxa"/>
            <w:vAlign w:val="center"/>
          </w:tcPr>
          <w:p w14:paraId="1BB8D37B">
            <w:pPr>
              <w:widowControl/>
              <w:snapToGrid w:val="0"/>
              <w:spacing w:line="240" w:lineRule="auto"/>
              <w:ind w:firstLine="0" w:firstLineChars="0"/>
              <w:jc w:val="center"/>
              <w:rPr>
                <w:rFonts w:cs="Times New Roman"/>
                <w:b/>
                <w:sz w:val="21"/>
                <w:szCs w:val="21"/>
              </w:rPr>
            </w:pPr>
            <w:r>
              <w:rPr>
                <w:rFonts w:hint="eastAsia" w:cs="Times New Roman"/>
                <w:b/>
                <w:sz w:val="21"/>
                <w:szCs w:val="21"/>
              </w:rPr>
              <w:t>60m</w:t>
            </w:r>
          </w:p>
        </w:tc>
        <w:tc>
          <w:tcPr>
            <w:tcW w:w="787" w:type="dxa"/>
            <w:vAlign w:val="center"/>
          </w:tcPr>
          <w:p w14:paraId="1C95CD6F">
            <w:pPr>
              <w:widowControl/>
              <w:snapToGrid w:val="0"/>
              <w:spacing w:line="240" w:lineRule="auto"/>
              <w:ind w:firstLine="0" w:firstLineChars="0"/>
              <w:jc w:val="center"/>
              <w:rPr>
                <w:rFonts w:cs="Times New Roman"/>
                <w:b/>
                <w:sz w:val="21"/>
                <w:szCs w:val="21"/>
              </w:rPr>
            </w:pPr>
            <w:r>
              <w:rPr>
                <w:rFonts w:hint="eastAsia" w:cs="Times New Roman"/>
                <w:b/>
                <w:sz w:val="21"/>
                <w:szCs w:val="21"/>
              </w:rPr>
              <w:t>100m</w:t>
            </w:r>
          </w:p>
        </w:tc>
        <w:tc>
          <w:tcPr>
            <w:tcW w:w="787" w:type="dxa"/>
            <w:vAlign w:val="center"/>
          </w:tcPr>
          <w:p w14:paraId="39F6D432">
            <w:pPr>
              <w:widowControl/>
              <w:snapToGrid w:val="0"/>
              <w:spacing w:line="240" w:lineRule="auto"/>
              <w:ind w:firstLine="0" w:firstLineChars="0"/>
              <w:jc w:val="center"/>
              <w:rPr>
                <w:rFonts w:cs="Times New Roman"/>
                <w:b/>
                <w:sz w:val="21"/>
                <w:szCs w:val="21"/>
              </w:rPr>
            </w:pPr>
            <w:r>
              <w:rPr>
                <w:rFonts w:hint="eastAsia" w:cs="Times New Roman"/>
                <w:b/>
                <w:sz w:val="21"/>
                <w:szCs w:val="21"/>
              </w:rPr>
              <w:t>150m</w:t>
            </w:r>
          </w:p>
        </w:tc>
        <w:tc>
          <w:tcPr>
            <w:tcW w:w="787" w:type="dxa"/>
            <w:vAlign w:val="center"/>
          </w:tcPr>
          <w:p w14:paraId="4D3756D5">
            <w:pPr>
              <w:widowControl/>
              <w:snapToGrid w:val="0"/>
              <w:spacing w:line="240" w:lineRule="auto"/>
              <w:ind w:firstLine="0" w:firstLineChars="0"/>
              <w:jc w:val="center"/>
              <w:rPr>
                <w:rFonts w:cs="Times New Roman"/>
                <w:b/>
                <w:sz w:val="21"/>
                <w:szCs w:val="21"/>
              </w:rPr>
            </w:pPr>
            <w:r>
              <w:rPr>
                <w:rFonts w:hint="eastAsia" w:cs="Times New Roman"/>
                <w:b/>
                <w:sz w:val="21"/>
                <w:szCs w:val="21"/>
              </w:rPr>
              <w:t>200m</w:t>
            </w:r>
          </w:p>
        </w:tc>
        <w:tc>
          <w:tcPr>
            <w:tcW w:w="787" w:type="dxa"/>
            <w:vAlign w:val="center"/>
          </w:tcPr>
          <w:p w14:paraId="5F0B0CF5">
            <w:pPr>
              <w:widowControl/>
              <w:snapToGrid w:val="0"/>
              <w:spacing w:line="240" w:lineRule="auto"/>
              <w:ind w:firstLine="0" w:firstLineChars="0"/>
              <w:jc w:val="center"/>
              <w:rPr>
                <w:rFonts w:cs="Times New Roman"/>
                <w:b/>
                <w:sz w:val="21"/>
                <w:szCs w:val="21"/>
              </w:rPr>
            </w:pPr>
            <w:r>
              <w:rPr>
                <w:rFonts w:hint="eastAsia" w:cs="Times New Roman"/>
                <w:b/>
                <w:sz w:val="21"/>
                <w:szCs w:val="21"/>
              </w:rPr>
              <w:t>300m</w:t>
            </w:r>
          </w:p>
        </w:tc>
      </w:tr>
      <w:tr w14:paraId="128FB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857" w:type="dxa"/>
            <w:vAlign w:val="center"/>
          </w:tcPr>
          <w:p w14:paraId="156431A2">
            <w:pPr>
              <w:widowControl/>
              <w:snapToGrid w:val="0"/>
              <w:spacing w:line="240" w:lineRule="auto"/>
              <w:ind w:firstLine="0" w:firstLineChars="0"/>
              <w:jc w:val="center"/>
              <w:rPr>
                <w:rFonts w:cs="Times New Roman"/>
                <w:sz w:val="21"/>
                <w:szCs w:val="21"/>
              </w:rPr>
            </w:pPr>
            <w:r>
              <w:rPr>
                <w:rFonts w:hint="eastAsia" w:cs="Times New Roman"/>
                <w:sz w:val="21"/>
                <w:szCs w:val="21"/>
              </w:rPr>
              <w:t>装载机、平土机、搅拌机</w:t>
            </w:r>
          </w:p>
        </w:tc>
        <w:tc>
          <w:tcPr>
            <w:tcW w:w="650" w:type="dxa"/>
            <w:vAlign w:val="center"/>
          </w:tcPr>
          <w:p w14:paraId="3FD0C60E">
            <w:pPr>
              <w:widowControl/>
              <w:snapToGrid w:val="0"/>
              <w:spacing w:line="240" w:lineRule="auto"/>
              <w:ind w:firstLine="0" w:firstLineChars="0"/>
              <w:jc w:val="center"/>
              <w:rPr>
                <w:rFonts w:cs="Times New Roman"/>
                <w:sz w:val="21"/>
                <w:szCs w:val="21"/>
              </w:rPr>
            </w:pPr>
            <w:r>
              <w:rPr>
                <w:rFonts w:hint="eastAsia" w:cs="Times New Roman"/>
                <w:sz w:val="21"/>
                <w:szCs w:val="21"/>
              </w:rPr>
              <w:t>84</w:t>
            </w:r>
          </w:p>
        </w:tc>
        <w:tc>
          <w:tcPr>
            <w:tcW w:w="787" w:type="dxa"/>
            <w:vAlign w:val="center"/>
          </w:tcPr>
          <w:p w14:paraId="474AD563">
            <w:pPr>
              <w:widowControl/>
              <w:snapToGrid w:val="0"/>
              <w:spacing w:line="240" w:lineRule="auto"/>
              <w:ind w:firstLine="0" w:firstLineChars="0"/>
              <w:jc w:val="center"/>
              <w:rPr>
                <w:rFonts w:cs="Times New Roman"/>
                <w:sz w:val="21"/>
                <w:szCs w:val="21"/>
              </w:rPr>
            </w:pPr>
            <w:r>
              <w:rPr>
                <w:rFonts w:hint="eastAsia" w:cs="Times New Roman"/>
                <w:sz w:val="21"/>
                <w:szCs w:val="21"/>
              </w:rPr>
              <w:t>78</w:t>
            </w:r>
          </w:p>
        </w:tc>
        <w:tc>
          <w:tcPr>
            <w:tcW w:w="787" w:type="dxa"/>
            <w:vAlign w:val="center"/>
          </w:tcPr>
          <w:p w14:paraId="1CE909B0">
            <w:pPr>
              <w:widowControl/>
              <w:snapToGrid w:val="0"/>
              <w:spacing w:line="240" w:lineRule="auto"/>
              <w:ind w:firstLine="0" w:firstLineChars="0"/>
              <w:jc w:val="center"/>
              <w:rPr>
                <w:rFonts w:cs="Times New Roman"/>
                <w:sz w:val="21"/>
                <w:szCs w:val="21"/>
              </w:rPr>
            </w:pPr>
            <w:r>
              <w:rPr>
                <w:rFonts w:hint="eastAsia" w:cs="Times New Roman"/>
                <w:sz w:val="21"/>
                <w:szCs w:val="21"/>
              </w:rPr>
              <w:t>72</w:t>
            </w:r>
          </w:p>
        </w:tc>
        <w:tc>
          <w:tcPr>
            <w:tcW w:w="787" w:type="dxa"/>
            <w:vAlign w:val="center"/>
          </w:tcPr>
          <w:p w14:paraId="33256CCB">
            <w:pPr>
              <w:widowControl/>
              <w:snapToGrid w:val="0"/>
              <w:spacing w:line="240" w:lineRule="auto"/>
              <w:ind w:firstLine="0" w:firstLineChars="0"/>
              <w:jc w:val="center"/>
              <w:rPr>
                <w:rFonts w:cs="Times New Roman"/>
                <w:sz w:val="21"/>
                <w:szCs w:val="21"/>
              </w:rPr>
            </w:pPr>
            <w:r>
              <w:rPr>
                <w:rFonts w:hint="eastAsia" w:cs="Times New Roman"/>
                <w:sz w:val="21"/>
                <w:szCs w:val="21"/>
              </w:rPr>
              <w:t>69</w:t>
            </w:r>
          </w:p>
        </w:tc>
        <w:tc>
          <w:tcPr>
            <w:tcW w:w="787" w:type="dxa"/>
            <w:vAlign w:val="center"/>
          </w:tcPr>
          <w:p w14:paraId="3DCB8901">
            <w:pPr>
              <w:widowControl/>
              <w:snapToGrid w:val="0"/>
              <w:spacing w:line="240" w:lineRule="auto"/>
              <w:ind w:firstLine="0" w:firstLineChars="0"/>
              <w:jc w:val="center"/>
              <w:rPr>
                <w:rFonts w:cs="Times New Roman"/>
                <w:sz w:val="21"/>
                <w:szCs w:val="21"/>
              </w:rPr>
            </w:pPr>
            <w:r>
              <w:rPr>
                <w:rFonts w:hint="eastAsia" w:cs="Times New Roman"/>
                <w:sz w:val="21"/>
                <w:szCs w:val="21"/>
              </w:rPr>
              <w:t>64</w:t>
            </w:r>
          </w:p>
        </w:tc>
        <w:tc>
          <w:tcPr>
            <w:tcW w:w="787" w:type="dxa"/>
            <w:vAlign w:val="center"/>
          </w:tcPr>
          <w:p w14:paraId="4453BC5C">
            <w:pPr>
              <w:widowControl/>
              <w:snapToGrid w:val="0"/>
              <w:spacing w:line="240" w:lineRule="auto"/>
              <w:ind w:firstLine="0" w:firstLineChars="0"/>
              <w:jc w:val="center"/>
              <w:rPr>
                <w:rFonts w:cs="Times New Roman"/>
                <w:sz w:val="21"/>
                <w:szCs w:val="21"/>
              </w:rPr>
            </w:pPr>
            <w:r>
              <w:rPr>
                <w:rFonts w:hint="eastAsia" w:cs="Times New Roman"/>
                <w:sz w:val="21"/>
                <w:szCs w:val="21"/>
              </w:rPr>
              <w:t>61</w:t>
            </w:r>
          </w:p>
        </w:tc>
        <w:tc>
          <w:tcPr>
            <w:tcW w:w="787" w:type="dxa"/>
            <w:vAlign w:val="center"/>
          </w:tcPr>
          <w:p w14:paraId="5B6DFCD2">
            <w:pPr>
              <w:widowControl/>
              <w:snapToGrid w:val="0"/>
              <w:spacing w:line="240" w:lineRule="auto"/>
              <w:ind w:firstLine="0" w:firstLineChars="0"/>
              <w:jc w:val="center"/>
              <w:rPr>
                <w:rFonts w:cs="Times New Roman"/>
                <w:sz w:val="21"/>
                <w:szCs w:val="21"/>
              </w:rPr>
            </w:pPr>
            <w:r>
              <w:rPr>
                <w:rFonts w:hint="eastAsia" w:cs="Times New Roman"/>
                <w:sz w:val="21"/>
                <w:szCs w:val="21"/>
              </w:rPr>
              <w:t>58</w:t>
            </w:r>
          </w:p>
        </w:tc>
        <w:tc>
          <w:tcPr>
            <w:tcW w:w="787" w:type="dxa"/>
            <w:vAlign w:val="center"/>
          </w:tcPr>
          <w:p w14:paraId="2588F79B">
            <w:pPr>
              <w:widowControl/>
              <w:snapToGrid w:val="0"/>
              <w:spacing w:line="240" w:lineRule="auto"/>
              <w:ind w:firstLine="0" w:firstLineChars="0"/>
              <w:jc w:val="center"/>
              <w:rPr>
                <w:rFonts w:cs="Times New Roman"/>
                <w:sz w:val="21"/>
                <w:szCs w:val="21"/>
              </w:rPr>
            </w:pPr>
            <w:r>
              <w:rPr>
                <w:rFonts w:hint="eastAsia" w:cs="Times New Roman"/>
                <w:sz w:val="21"/>
                <w:szCs w:val="21"/>
              </w:rPr>
              <w:t>54</w:t>
            </w:r>
          </w:p>
        </w:tc>
      </w:tr>
      <w:tr w14:paraId="48B68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857" w:type="dxa"/>
            <w:vAlign w:val="center"/>
          </w:tcPr>
          <w:p w14:paraId="2F6CF49C">
            <w:pPr>
              <w:widowControl/>
              <w:snapToGrid w:val="0"/>
              <w:spacing w:line="240" w:lineRule="auto"/>
              <w:ind w:firstLine="0" w:firstLineChars="0"/>
              <w:jc w:val="center"/>
              <w:rPr>
                <w:rFonts w:cs="Times New Roman"/>
                <w:sz w:val="21"/>
                <w:szCs w:val="21"/>
              </w:rPr>
            </w:pPr>
            <w:r>
              <w:rPr>
                <w:rFonts w:hint="eastAsia" w:cs="Times New Roman"/>
                <w:sz w:val="21"/>
                <w:szCs w:val="21"/>
              </w:rPr>
              <w:t>打桩机</w:t>
            </w:r>
          </w:p>
        </w:tc>
        <w:tc>
          <w:tcPr>
            <w:tcW w:w="650" w:type="dxa"/>
            <w:vAlign w:val="center"/>
          </w:tcPr>
          <w:p w14:paraId="01F0DF30">
            <w:pPr>
              <w:widowControl/>
              <w:snapToGrid w:val="0"/>
              <w:spacing w:line="240" w:lineRule="auto"/>
              <w:ind w:firstLine="0" w:firstLineChars="0"/>
              <w:jc w:val="center"/>
              <w:rPr>
                <w:rFonts w:cs="Times New Roman"/>
                <w:sz w:val="21"/>
                <w:szCs w:val="21"/>
              </w:rPr>
            </w:pPr>
            <w:r>
              <w:rPr>
                <w:rFonts w:hint="eastAsia" w:cs="Times New Roman"/>
                <w:sz w:val="21"/>
                <w:szCs w:val="21"/>
              </w:rPr>
              <w:t>105</w:t>
            </w:r>
          </w:p>
        </w:tc>
        <w:tc>
          <w:tcPr>
            <w:tcW w:w="787" w:type="dxa"/>
            <w:vAlign w:val="center"/>
          </w:tcPr>
          <w:p w14:paraId="10AEF81A">
            <w:pPr>
              <w:widowControl/>
              <w:snapToGrid w:val="0"/>
              <w:spacing w:line="240" w:lineRule="auto"/>
              <w:ind w:firstLine="0" w:firstLineChars="0"/>
              <w:jc w:val="center"/>
              <w:rPr>
                <w:rFonts w:cs="Times New Roman"/>
                <w:sz w:val="21"/>
                <w:szCs w:val="21"/>
              </w:rPr>
            </w:pPr>
            <w:r>
              <w:rPr>
                <w:rFonts w:hint="eastAsia" w:cs="Times New Roman"/>
                <w:sz w:val="21"/>
                <w:szCs w:val="21"/>
              </w:rPr>
              <w:t>99</w:t>
            </w:r>
          </w:p>
        </w:tc>
        <w:tc>
          <w:tcPr>
            <w:tcW w:w="787" w:type="dxa"/>
            <w:vAlign w:val="center"/>
          </w:tcPr>
          <w:p w14:paraId="2370B1C0">
            <w:pPr>
              <w:widowControl/>
              <w:snapToGrid w:val="0"/>
              <w:spacing w:line="240" w:lineRule="auto"/>
              <w:ind w:firstLine="0" w:firstLineChars="0"/>
              <w:jc w:val="center"/>
              <w:rPr>
                <w:rFonts w:cs="Times New Roman"/>
                <w:sz w:val="21"/>
                <w:szCs w:val="21"/>
              </w:rPr>
            </w:pPr>
            <w:r>
              <w:rPr>
                <w:rFonts w:hint="eastAsia" w:cs="Times New Roman"/>
                <w:sz w:val="21"/>
                <w:szCs w:val="21"/>
              </w:rPr>
              <w:t>93</w:t>
            </w:r>
          </w:p>
        </w:tc>
        <w:tc>
          <w:tcPr>
            <w:tcW w:w="787" w:type="dxa"/>
            <w:vAlign w:val="center"/>
          </w:tcPr>
          <w:p w14:paraId="355FD4FD">
            <w:pPr>
              <w:widowControl/>
              <w:snapToGrid w:val="0"/>
              <w:spacing w:line="240" w:lineRule="auto"/>
              <w:ind w:firstLine="0" w:firstLineChars="0"/>
              <w:jc w:val="center"/>
              <w:rPr>
                <w:rFonts w:cs="Times New Roman"/>
                <w:sz w:val="21"/>
                <w:szCs w:val="21"/>
              </w:rPr>
            </w:pPr>
            <w:r>
              <w:rPr>
                <w:rFonts w:hint="eastAsia" w:cs="Times New Roman"/>
                <w:sz w:val="21"/>
                <w:szCs w:val="21"/>
              </w:rPr>
              <w:t>90</w:t>
            </w:r>
          </w:p>
        </w:tc>
        <w:tc>
          <w:tcPr>
            <w:tcW w:w="787" w:type="dxa"/>
            <w:vAlign w:val="center"/>
          </w:tcPr>
          <w:p w14:paraId="387AB744">
            <w:pPr>
              <w:widowControl/>
              <w:snapToGrid w:val="0"/>
              <w:spacing w:line="240" w:lineRule="auto"/>
              <w:ind w:firstLine="0" w:firstLineChars="0"/>
              <w:jc w:val="center"/>
              <w:rPr>
                <w:rFonts w:cs="Times New Roman"/>
                <w:sz w:val="21"/>
                <w:szCs w:val="21"/>
              </w:rPr>
            </w:pPr>
            <w:r>
              <w:rPr>
                <w:rFonts w:hint="eastAsia" w:cs="Times New Roman"/>
                <w:sz w:val="21"/>
                <w:szCs w:val="21"/>
              </w:rPr>
              <w:t>85</w:t>
            </w:r>
          </w:p>
        </w:tc>
        <w:tc>
          <w:tcPr>
            <w:tcW w:w="787" w:type="dxa"/>
            <w:vAlign w:val="center"/>
          </w:tcPr>
          <w:p w14:paraId="56D57EDF">
            <w:pPr>
              <w:widowControl/>
              <w:snapToGrid w:val="0"/>
              <w:spacing w:line="240" w:lineRule="auto"/>
              <w:ind w:firstLine="0" w:firstLineChars="0"/>
              <w:jc w:val="center"/>
              <w:rPr>
                <w:rFonts w:cs="Times New Roman"/>
                <w:sz w:val="21"/>
                <w:szCs w:val="21"/>
              </w:rPr>
            </w:pPr>
            <w:r>
              <w:rPr>
                <w:rFonts w:hint="eastAsia" w:cs="Times New Roman"/>
                <w:sz w:val="21"/>
                <w:szCs w:val="21"/>
              </w:rPr>
              <w:t>82</w:t>
            </w:r>
          </w:p>
        </w:tc>
        <w:tc>
          <w:tcPr>
            <w:tcW w:w="787" w:type="dxa"/>
            <w:vAlign w:val="center"/>
          </w:tcPr>
          <w:p w14:paraId="577122AD">
            <w:pPr>
              <w:widowControl/>
              <w:snapToGrid w:val="0"/>
              <w:spacing w:line="240" w:lineRule="auto"/>
              <w:ind w:firstLine="0" w:firstLineChars="0"/>
              <w:jc w:val="center"/>
              <w:rPr>
                <w:rFonts w:cs="Times New Roman"/>
                <w:sz w:val="21"/>
                <w:szCs w:val="21"/>
              </w:rPr>
            </w:pPr>
            <w:r>
              <w:rPr>
                <w:rFonts w:hint="eastAsia" w:cs="Times New Roman"/>
                <w:sz w:val="21"/>
                <w:szCs w:val="21"/>
              </w:rPr>
              <w:t>79</w:t>
            </w:r>
          </w:p>
        </w:tc>
        <w:tc>
          <w:tcPr>
            <w:tcW w:w="787" w:type="dxa"/>
            <w:vAlign w:val="center"/>
          </w:tcPr>
          <w:p w14:paraId="2A4C35BE">
            <w:pPr>
              <w:widowControl/>
              <w:snapToGrid w:val="0"/>
              <w:spacing w:line="240" w:lineRule="auto"/>
              <w:ind w:firstLine="0" w:firstLineChars="0"/>
              <w:jc w:val="center"/>
              <w:rPr>
                <w:rFonts w:cs="Times New Roman"/>
                <w:sz w:val="21"/>
                <w:szCs w:val="21"/>
              </w:rPr>
            </w:pPr>
            <w:r>
              <w:rPr>
                <w:rFonts w:hint="eastAsia" w:cs="Times New Roman"/>
                <w:sz w:val="21"/>
                <w:szCs w:val="21"/>
              </w:rPr>
              <w:t>75</w:t>
            </w:r>
          </w:p>
        </w:tc>
      </w:tr>
      <w:tr w14:paraId="19710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857" w:type="dxa"/>
            <w:vAlign w:val="center"/>
          </w:tcPr>
          <w:p w14:paraId="1E566257">
            <w:pPr>
              <w:widowControl/>
              <w:snapToGrid w:val="0"/>
              <w:spacing w:line="240" w:lineRule="auto"/>
              <w:ind w:firstLine="0" w:firstLineChars="0"/>
              <w:jc w:val="center"/>
              <w:rPr>
                <w:rFonts w:cs="Times New Roman"/>
                <w:sz w:val="21"/>
                <w:szCs w:val="21"/>
              </w:rPr>
            </w:pPr>
            <w:r>
              <w:rPr>
                <w:rFonts w:hint="eastAsia" w:cs="Times New Roman"/>
                <w:sz w:val="21"/>
                <w:szCs w:val="21"/>
              </w:rPr>
              <w:t>挖掘机、压路机、起重机</w:t>
            </w:r>
          </w:p>
        </w:tc>
        <w:tc>
          <w:tcPr>
            <w:tcW w:w="650" w:type="dxa"/>
            <w:vAlign w:val="center"/>
          </w:tcPr>
          <w:p w14:paraId="73076803">
            <w:pPr>
              <w:widowControl/>
              <w:snapToGrid w:val="0"/>
              <w:spacing w:line="240" w:lineRule="auto"/>
              <w:ind w:firstLine="0" w:firstLineChars="0"/>
              <w:jc w:val="center"/>
              <w:rPr>
                <w:rFonts w:cs="Times New Roman"/>
                <w:sz w:val="21"/>
                <w:szCs w:val="21"/>
              </w:rPr>
            </w:pPr>
            <w:r>
              <w:rPr>
                <w:rFonts w:hint="eastAsia" w:cs="Times New Roman"/>
                <w:sz w:val="21"/>
                <w:szCs w:val="21"/>
              </w:rPr>
              <w:t>82</w:t>
            </w:r>
          </w:p>
        </w:tc>
        <w:tc>
          <w:tcPr>
            <w:tcW w:w="787" w:type="dxa"/>
            <w:vAlign w:val="center"/>
          </w:tcPr>
          <w:p w14:paraId="7E2E3512">
            <w:pPr>
              <w:widowControl/>
              <w:snapToGrid w:val="0"/>
              <w:spacing w:line="240" w:lineRule="auto"/>
              <w:ind w:firstLine="0" w:firstLineChars="0"/>
              <w:jc w:val="center"/>
              <w:rPr>
                <w:rFonts w:cs="Times New Roman"/>
                <w:sz w:val="21"/>
                <w:szCs w:val="21"/>
              </w:rPr>
            </w:pPr>
            <w:r>
              <w:rPr>
                <w:rFonts w:hint="eastAsia" w:cs="Times New Roman"/>
                <w:sz w:val="21"/>
                <w:szCs w:val="21"/>
              </w:rPr>
              <w:t>76</w:t>
            </w:r>
          </w:p>
        </w:tc>
        <w:tc>
          <w:tcPr>
            <w:tcW w:w="787" w:type="dxa"/>
            <w:vAlign w:val="center"/>
          </w:tcPr>
          <w:p w14:paraId="4DB6E8A7">
            <w:pPr>
              <w:widowControl/>
              <w:snapToGrid w:val="0"/>
              <w:spacing w:line="240" w:lineRule="auto"/>
              <w:ind w:firstLine="0" w:firstLineChars="0"/>
              <w:jc w:val="center"/>
              <w:rPr>
                <w:rFonts w:cs="Times New Roman"/>
                <w:sz w:val="21"/>
                <w:szCs w:val="21"/>
              </w:rPr>
            </w:pPr>
            <w:r>
              <w:rPr>
                <w:rFonts w:hint="eastAsia" w:cs="Times New Roman"/>
                <w:sz w:val="21"/>
                <w:szCs w:val="21"/>
              </w:rPr>
              <w:t>70</w:t>
            </w:r>
          </w:p>
        </w:tc>
        <w:tc>
          <w:tcPr>
            <w:tcW w:w="787" w:type="dxa"/>
            <w:vAlign w:val="center"/>
          </w:tcPr>
          <w:p w14:paraId="7D0824E8">
            <w:pPr>
              <w:widowControl/>
              <w:snapToGrid w:val="0"/>
              <w:spacing w:line="240" w:lineRule="auto"/>
              <w:ind w:firstLine="0" w:firstLineChars="0"/>
              <w:jc w:val="center"/>
              <w:rPr>
                <w:rFonts w:cs="Times New Roman"/>
                <w:sz w:val="21"/>
                <w:szCs w:val="21"/>
              </w:rPr>
            </w:pPr>
            <w:r>
              <w:rPr>
                <w:rFonts w:hint="eastAsia" w:cs="Times New Roman"/>
                <w:sz w:val="21"/>
                <w:szCs w:val="21"/>
              </w:rPr>
              <w:t>67</w:t>
            </w:r>
          </w:p>
        </w:tc>
        <w:tc>
          <w:tcPr>
            <w:tcW w:w="787" w:type="dxa"/>
            <w:vAlign w:val="center"/>
          </w:tcPr>
          <w:p w14:paraId="3C7CDB1B">
            <w:pPr>
              <w:widowControl/>
              <w:snapToGrid w:val="0"/>
              <w:spacing w:line="240" w:lineRule="auto"/>
              <w:ind w:firstLine="0" w:firstLineChars="0"/>
              <w:jc w:val="center"/>
              <w:rPr>
                <w:rFonts w:cs="Times New Roman"/>
                <w:sz w:val="21"/>
                <w:szCs w:val="21"/>
              </w:rPr>
            </w:pPr>
            <w:r>
              <w:rPr>
                <w:rFonts w:hint="eastAsia" w:cs="Times New Roman"/>
                <w:sz w:val="21"/>
                <w:szCs w:val="21"/>
              </w:rPr>
              <w:t>62</w:t>
            </w:r>
          </w:p>
        </w:tc>
        <w:tc>
          <w:tcPr>
            <w:tcW w:w="787" w:type="dxa"/>
            <w:vAlign w:val="center"/>
          </w:tcPr>
          <w:p w14:paraId="1CEE7A58">
            <w:pPr>
              <w:widowControl/>
              <w:snapToGrid w:val="0"/>
              <w:spacing w:line="240" w:lineRule="auto"/>
              <w:ind w:firstLine="0" w:firstLineChars="0"/>
              <w:jc w:val="center"/>
              <w:rPr>
                <w:rFonts w:cs="Times New Roman"/>
                <w:sz w:val="21"/>
                <w:szCs w:val="21"/>
              </w:rPr>
            </w:pPr>
            <w:r>
              <w:rPr>
                <w:rFonts w:hint="eastAsia" w:cs="Times New Roman"/>
                <w:sz w:val="21"/>
                <w:szCs w:val="21"/>
              </w:rPr>
              <w:t>59</w:t>
            </w:r>
          </w:p>
        </w:tc>
        <w:tc>
          <w:tcPr>
            <w:tcW w:w="787" w:type="dxa"/>
            <w:vAlign w:val="center"/>
          </w:tcPr>
          <w:p w14:paraId="03D84C27">
            <w:pPr>
              <w:widowControl/>
              <w:snapToGrid w:val="0"/>
              <w:spacing w:line="240" w:lineRule="auto"/>
              <w:ind w:firstLine="0" w:firstLineChars="0"/>
              <w:jc w:val="center"/>
              <w:rPr>
                <w:rFonts w:cs="Times New Roman"/>
                <w:sz w:val="21"/>
                <w:szCs w:val="21"/>
              </w:rPr>
            </w:pPr>
            <w:r>
              <w:rPr>
                <w:rFonts w:hint="eastAsia" w:cs="Times New Roman"/>
                <w:sz w:val="21"/>
                <w:szCs w:val="21"/>
              </w:rPr>
              <w:t>56</w:t>
            </w:r>
          </w:p>
        </w:tc>
        <w:tc>
          <w:tcPr>
            <w:tcW w:w="787" w:type="dxa"/>
            <w:vAlign w:val="center"/>
          </w:tcPr>
          <w:p w14:paraId="1BEE20E7">
            <w:pPr>
              <w:widowControl/>
              <w:snapToGrid w:val="0"/>
              <w:spacing w:line="240" w:lineRule="auto"/>
              <w:ind w:firstLine="0" w:firstLineChars="0"/>
              <w:jc w:val="center"/>
              <w:rPr>
                <w:rFonts w:cs="Times New Roman"/>
                <w:sz w:val="21"/>
                <w:szCs w:val="21"/>
              </w:rPr>
            </w:pPr>
            <w:r>
              <w:rPr>
                <w:rFonts w:hint="eastAsia" w:cs="Times New Roman"/>
                <w:sz w:val="21"/>
                <w:szCs w:val="21"/>
              </w:rPr>
              <w:t>52</w:t>
            </w:r>
          </w:p>
        </w:tc>
      </w:tr>
      <w:tr w14:paraId="515B2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857" w:type="dxa"/>
            <w:vAlign w:val="center"/>
          </w:tcPr>
          <w:p w14:paraId="1F704444">
            <w:pPr>
              <w:widowControl/>
              <w:snapToGrid w:val="0"/>
              <w:spacing w:line="240" w:lineRule="auto"/>
              <w:ind w:firstLine="0" w:firstLineChars="0"/>
              <w:jc w:val="center"/>
              <w:rPr>
                <w:rFonts w:cs="Times New Roman"/>
                <w:sz w:val="21"/>
                <w:szCs w:val="21"/>
              </w:rPr>
            </w:pPr>
            <w:r>
              <w:rPr>
                <w:rFonts w:hint="eastAsia" w:cs="Times New Roman"/>
                <w:sz w:val="21"/>
                <w:szCs w:val="21"/>
              </w:rPr>
              <w:t>推土机</w:t>
            </w:r>
          </w:p>
        </w:tc>
        <w:tc>
          <w:tcPr>
            <w:tcW w:w="650" w:type="dxa"/>
            <w:vAlign w:val="center"/>
          </w:tcPr>
          <w:p w14:paraId="30F7B793">
            <w:pPr>
              <w:widowControl/>
              <w:snapToGrid w:val="0"/>
              <w:spacing w:line="240" w:lineRule="auto"/>
              <w:ind w:firstLine="0" w:firstLineChars="0"/>
              <w:jc w:val="center"/>
              <w:rPr>
                <w:rFonts w:cs="Times New Roman"/>
                <w:sz w:val="21"/>
                <w:szCs w:val="21"/>
              </w:rPr>
            </w:pPr>
            <w:r>
              <w:rPr>
                <w:rFonts w:hint="eastAsia" w:cs="Times New Roman"/>
                <w:sz w:val="21"/>
                <w:szCs w:val="21"/>
              </w:rPr>
              <w:t>76</w:t>
            </w:r>
          </w:p>
        </w:tc>
        <w:tc>
          <w:tcPr>
            <w:tcW w:w="787" w:type="dxa"/>
            <w:vAlign w:val="center"/>
          </w:tcPr>
          <w:p w14:paraId="2A4A5832">
            <w:pPr>
              <w:widowControl/>
              <w:snapToGrid w:val="0"/>
              <w:spacing w:line="240" w:lineRule="auto"/>
              <w:ind w:firstLine="0" w:firstLineChars="0"/>
              <w:jc w:val="center"/>
              <w:rPr>
                <w:rFonts w:cs="Times New Roman"/>
                <w:sz w:val="21"/>
                <w:szCs w:val="21"/>
              </w:rPr>
            </w:pPr>
            <w:r>
              <w:rPr>
                <w:rFonts w:hint="eastAsia" w:cs="Times New Roman"/>
                <w:sz w:val="21"/>
                <w:szCs w:val="21"/>
              </w:rPr>
              <w:t>70</w:t>
            </w:r>
          </w:p>
        </w:tc>
        <w:tc>
          <w:tcPr>
            <w:tcW w:w="787" w:type="dxa"/>
            <w:vAlign w:val="center"/>
          </w:tcPr>
          <w:p w14:paraId="01264F2F">
            <w:pPr>
              <w:widowControl/>
              <w:snapToGrid w:val="0"/>
              <w:spacing w:line="240" w:lineRule="auto"/>
              <w:ind w:firstLine="0" w:firstLineChars="0"/>
              <w:jc w:val="center"/>
              <w:rPr>
                <w:rFonts w:cs="Times New Roman"/>
                <w:sz w:val="21"/>
                <w:szCs w:val="21"/>
              </w:rPr>
            </w:pPr>
            <w:r>
              <w:rPr>
                <w:rFonts w:hint="eastAsia" w:cs="Times New Roman"/>
                <w:sz w:val="21"/>
                <w:szCs w:val="21"/>
              </w:rPr>
              <w:t>64</w:t>
            </w:r>
          </w:p>
        </w:tc>
        <w:tc>
          <w:tcPr>
            <w:tcW w:w="787" w:type="dxa"/>
            <w:vAlign w:val="center"/>
          </w:tcPr>
          <w:p w14:paraId="35B86975">
            <w:pPr>
              <w:widowControl/>
              <w:snapToGrid w:val="0"/>
              <w:spacing w:line="240" w:lineRule="auto"/>
              <w:ind w:firstLine="0" w:firstLineChars="0"/>
              <w:jc w:val="center"/>
              <w:rPr>
                <w:rFonts w:cs="Times New Roman"/>
                <w:sz w:val="21"/>
                <w:szCs w:val="21"/>
              </w:rPr>
            </w:pPr>
            <w:r>
              <w:rPr>
                <w:rFonts w:hint="eastAsia" w:cs="Times New Roman"/>
                <w:sz w:val="21"/>
                <w:szCs w:val="21"/>
              </w:rPr>
              <w:t>61</w:t>
            </w:r>
          </w:p>
        </w:tc>
        <w:tc>
          <w:tcPr>
            <w:tcW w:w="787" w:type="dxa"/>
            <w:vAlign w:val="center"/>
          </w:tcPr>
          <w:p w14:paraId="7EB28DDC">
            <w:pPr>
              <w:widowControl/>
              <w:snapToGrid w:val="0"/>
              <w:spacing w:line="240" w:lineRule="auto"/>
              <w:ind w:firstLine="0" w:firstLineChars="0"/>
              <w:jc w:val="center"/>
              <w:rPr>
                <w:rFonts w:cs="Times New Roman"/>
                <w:sz w:val="21"/>
                <w:szCs w:val="21"/>
              </w:rPr>
            </w:pPr>
            <w:r>
              <w:rPr>
                <w:rFonts w:hint="eastAsia" w:cs="Times New Roman"/>
                <w:sz w:val="21"/>
                <w:szCs w:val="21"/>
              </w:rPr>
              <w:t>56</w:t>
            </w:r>
          </w:p>
        </w:tc>
        <w:tc>
          <w:tcPr>
            <w:tcW w:w="787" w:type="dxa"/>
            <w:vAlign w:val="center"/>
          </w:tcPr>
          <w:p w14:paraId="22F92CDB">
            <w:pPr>
              <w:widowControl/>
              <w:snapToGrid w:val="0"/>
              <w:spacing w:line="240" w:lineRule="auto"/>
              <w:ind w:firstLine="0" w:firstLineChars="0"/>
              <w:jc w:val="center"/>
              <w:rPr>
                <w:rFonts w:cs="Times New Roman"/>
                <w:sz w:val="21"/>
                <w:szCs w:val="21"/>
              </w:rPr>
            </w:pPr>
            <w:r>
              <w:rPr>
                <w:rFonts w:hint="eastAsia" w:cs="Times New Roman"/>
                <w:sz w:val="21"/>
                <w:szCs w:val="21"/>
              </w:rPr>
              <w:t>53</w:t>
            </w:r>
          </w:p>
        </w:tc>
        <w:tc>
          <w:tcPr>
            <w:tcW w:w="787" w:type="dxa"/>
            <w:vAlign w:val="center"/>
          </w:tcPr>
          <w:p w14:paraId="4C3A91D1">
            <w:pPr>
              <w:widowControl/>
              <w:snapToGrid w:val="0"/>
              <w:spacing w:line="240" w:lineRule="auto"/>
              <w:ind w:firstLine="0" w:firstLineChars="0"/>
              <w:jc w:val="center"/>
              <w:rPr>
                <w:rFonts w:cs="Times New Roman"/>
                <w:sz w:val="21"/>
                <w:szCs w:val="21"/>
              </w:rPr>
            </w:pPr>
            <w:r>
              <w:rPr>
                <w:rFonts w:hint="eastAsia" w:cs="Times New Roman"/>
                <w:sz w:val="21"/>
                <w:szCs w:val="21"/>
              </w:rPr>
              <w:t>50</w:t>
            </w:r>
          </w:p>
        </w:tc>
        <w:tc>
          <w:tcPr>
            <w:tcW w:w="787" w:type="dxa"/>
            <w:vAlign w:val="center"/>
          </w:tcPr>
          <w:p w14:paraId="7DF8EAF8">
            <w:pPr>
              <w:widowControl/>
              <w:snapToGrid w:val="0"/>
              <w:spacing w:line="240" w:lineRule="auto"/>
              <w:ind w:firstLine="0" w:firstLineChars="0"/>
              <w:jc w:val="center"/>
              <w:rPr>
                <w:rFonts w:cs="Times New Roman"/>
                <w:sz w:val="21"/>
                <w:szCs w:val="21"/>
              </w:rPr>
            </w:pPr>
            <w:r>
              <w:rPr>
                <w:rFonts w:hint="eastAsia" w:cs="Times New Roman"/>
                <w:sz w:val="21"/>
                <w:szCs w:val="21"/>
              </w:rPr>
              <w:t>46</w:t>
            </w:r>
          </w:p>
        </w:tc>
      </w:tr>
    </w:tbl>
    <w:p w14:paraId="3151F646">
      <w:pPr>
        <w:ind w:firstLine="480"/>
      </w:pPr>
      <w:r>
        <w:t>基础设施建设过</w:t>
      </w:r>
      <w:r>
        <w:rPr>
          <w:rFonts w:hint="eastAsia"/>
        </w:rPr>
        <w:t>程中</w:t>
      </w:r>
      <w:r>
        <w:t>，噪声的影响是不可避免的，但也是暂时的，施工结束后就可恢复正常。</w:t>
      </w:r>
    </w:p>
    <w:p w14:paraId="30619893">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6</w:t>
      </w:r>
      <w:r>
        <w:rPr>
          <w:rFonts w:eastAsia="方正楷体_GBK" w:cs="Times New Roman"/>
          <w:b/>
          <w:bCs/>
          <w:szCs w:val="28"/>
          <w14:ligatures w14:val="none"/>
        </w:rPr>
        <w:t>.</w:t>
      </w:r>
      <w:r>
        <w:rPr>
          <w:rFonts w:hint="eastAsia" w:eastAsia="方正楷体_GBK" w:cs="Times New Roman"/>
          <w:b/>
          <w:bCs/>
          <w:szCs w:val="28"/>
          <w14:ligatures w14:val="none"/>
        </w:rPr>
        <w:t>2区域环境噪声预测</w:t>
      </w:r>
    </w:p>
    <w:p w14:paraId="2B26FB46">
      <w:pPr>
        <w:ind w:firstLine="482"/>
        <w:rPr>
          <w:b/>
          <w:bCs/>
          <w:snapToGrid w:val="0"/>
        </w:rPr>
      </w:pPr>
      <w:r>
        <w:rPr>
          <w:rFonts w:hint="eastAsia"/>
          <w:b/>
          <w:bCs/>
          <w:snapToGrid w:val="0"/>
        </w:rPr>
        <w:t>（1）预测模式</w:t>
      </w:r>
    </w:p>
    <w:p w14:paraId="118264EE">
      <w:pPr>
        <w:pStyle w:val="65"/>
        <w:spacing w:before="120"/>
        <w:rPr>
          <w:b w:val="0"/>
          <w:bCs/>
        </w:rPr>
      </w:pPr>
      <m:oMathPara>
        <m:oMath>
          <m:sSub>
            <m:sSubPr>
              <m:ctrlPr>
                <w:rPr>
                  <w:rFonts w:ascii="Cambria Math" w:hAnsi="Cambria Math"/>
                  <w:b w:val="0"/>
                  <w:bCs/>
                  <w:i/>
                  <w:snapToGrid w:val="0"/>
                </w:rPr>
              </m:ctrlPr>
            </m:sSubPr>
            <m:e>
              <m:r>
                <m:rPr>
                  <m:sty m:val="bi"/>
                </m:rPr>
                <w:rPr>
                  <w:rFonts w:ascii="Cambria Math" w:hAnsi="Cambria Math"/>
                  <w:snapToGrid w:val="0"/>
                </w:rPr>
                <m:t>L</m:t>
              </m:r>
              <m:ctrlPr>
                <w:rPr>
                  <w:rFonts w:ascii="Cambria Math" w:hAnsi="Cambria Math"/>
                  <w:b w:val="0"/>
                  <w:bCs/>
                  <w:i/>
                  <w:snapToGrid w:val="0"/>
                </w:rPr>
              </m:ctrlPr>
            </m:e>
            <m:sub>
              <m:r>
                <m:rPr>
                  <m:sty m:val="bi"/>
                </m:rPr>
                <w:rPr>
                  <w:rFonts w:ascii="Cambria Math" w:hAnsi="Cambria Math"/>
                  <w:snapToGrid w:val="0"/>
                </w:rPr>
                <m:t>dn</m:t>
              </m:r>
              <m:ctrlPr>
                <w:rPr>
                  <w:rFonts w:ascii="Cambria Math" w:hAnsi="Cambria Math"/>
                  <w:b w:val="0"/>
                  <w:bCs/>
                  <w:i/>
                  <w:snapToGrid w:val="0"/>
                </w:rPr>
              </m:ctrlPr>
            </m:sub>
          </m:sSub>
          <m:r>
            <m:rPr>
              <m:sty m:val="bi"/>
            </m:rPr>
            <w:rPr>
              <w:rFonts w:ascii="Cambria Math" w:hAnsi="Cambria Math"/>
              <w:snapToGrid w:val="0"/>
            </w:rPr>
            <m:t>=ALgρ+K</m:t>
          </m:r>
        </m:oMath>
      </m:oMathPara>
    </w:p>
    <w:p w14:paraId="5266B04A">
      <w:pPr>
        <w:ind w:firstLine="480"/>
        <w:rPr>
          <w:snapToGrid w:val="0"/>
        </w:rPr>
      </w:pPr>
      <w:r>
        <w:rPr>
          <w:snapToGrid w:val="0"/>
        </w:rPr>
        <w:t>式中：L</w:t>
      </w:r>
      <w:r>
        <w:rPr>
          <w:snapToGrid w:val="0"/>
          <w:vertAlign w:val="subscript"/>
        </w:rPr>
        <w:t>dn</w:t>
      </w:r>
      <w:r>
        <w:rPr>
          <w:snapToGrid w:val="0"/>
        </w:rPr>
        <w:t>—预测区域环境噪声等效声级；</w:t>
      </w:r>
    </w:p>
    <w:p w14:paraId="4885D8B4">
      <w:pPr>
        <w:ind w:firstLine="480"/>
        <w:rPr>
          <w:snapToGrid w:val="0"/>
        </w:rPr>
      </w:pPr>
      <w:r>
        <w:rPr>
          <w:snapToGrid w:val="0"/>
        </w:rPr>
        <w:t>ρ—预测年区域人口密度，</w:t>
      </w:r>
      <w:r>
        <w:t>人/km</w:t>
      </w:r>
      <w:r>
        <w:rPr>
          <w:vertAlign w:val="superscript"/>
        </w:rPr>
        <w:t>2</w:t>
      </w:r>
      <w:r>
        <w:rPr>
          <w:snapToGrid w:val="0"/>
        </w:rPr>
        <w:t>；</w:t>
      </w:r>
    </w:p>
    <w:p w14:paraId="51D758B7">
      <w:pPr>
        <w:ind w:firstLine="480"/>
      </w:pPr>
      <w:r>
        <w:rPr>
          <w:snapToGrid w:val="0"/>
        </w:rPr>
        <w:t>A、K为常数，A取8.54，K取25.87。</w:t>
      </w:r>
    </w:p>
    <w:p w14:paraId="4D7350D4">
      <w:pPr>
        <w:ind w:firstLine="482"/>
        <w:rPr>
          <w:b/>
          <w:bCs/>
          <w:snapToGrid w:val="0"/>
        </w:rPr>
      </w:pPr>
      <w:r>
        <w:rPr>
          <w:rFonts w:hint="eastAsia"/>
          <w:b/>
          <w:bCs/>
          <w:snapToGrid w:val="0"/>
        </w:rPr>
        <w:t>（2）预测结果分析</w:t>
      </w:r>
    </w:p>
    <w:p w14:paraId="5BF0A184">
      <w:pPr>
        <w:ind w:firstLine="480"/>
      </w:pPr>
      <w:r>
        <w:rPr>
          <w:rFonts w:hint="eastAsia"/>
        </w:rPr>
        <w:t>度假区规划面积109.4平方公里，规划期末人口约3.64人，区域人口密度分布不均匀，人口以农村生活人口为主。经计算，区域人口密度约为400人/平方公里。由预测公式计算得出，规划度假区昼间环境噪声等效声级为45.1 d</w:t>
      </w:r>
      <w:r>
        <w:t>B</w:t>
      </w:r>
      <w:r>
        <w:rPr>
          <w:rFonts w:hint="eastAsia"/>
        </w:rPr>
        <w:t>（</w:t>
      </w:r>
      <w:r>
        <w:t>A</w:t>
      </w:r>
      <w:r>
        <w:rPr>
          <w:rFonts w:hint="eastAsia"/>
        </w:rPr>
        <w:t>），低于《国家声环境质量标准》（GB3096-2008）2类标准（60 d</w:t>
      </w:r>
      <w:r>
        <w:t>B</w:t>
      </w:r>
      <w:r>
        <w:rPr>
          <w:rFonts w:hint="eastAsia"/>
        </w:rPr>
        <w:t>（</w:t>
      </w:r>
      <w:r>
        <w:t>A</w:t>
      </w:r>
      <w:r>
        <w:rPr>
          <w:rFonts w:hint="eastAsia"/>
        </w:rPr>
        <w:t>））。2类声环境功能区是指以商业金融、集市贸易为主要功能，或以居住、商业、工业混杂需要维护住宅安静的区域的功能要求，符合度假区核心区以旅游产业为主的功能定位，因此区域环境噪声可以满足度假区声环境功能要求。</w:t>
      </w:r>
    </w:p>
    <w:p w14:paraId="39713040">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6</w:t>
      </w:r>
      <w:r>
        <w:rPr>
          <w:rFonts w:eastAsia="方正楷体_GBK" w:cs="Times New Roman"/>
          <w:b/>
          <w:bCs/>
          <w:szCs w:val="28"/>
          <w14:ligatures w14:val="none"/>
        </w:rPr>
        <w:t>.</w:t>
      </w:r>
      <w:r>
        <w:rPr>
          <w:rFonts w:hint="eastAsia" w:eastAsia="方正楷体_GBK" w:cs="Times New Roman"/>
          <w:b/>
          <w:bCs/>
          <w:szCs w:val="28"/>
          <w14:ligatures w14:val="none"/>
        </w:rPr>
        <w:t>3道路交通噪声预测</w:t>
      </w:r>
    </w:p>
    <w:p w14:paraId="4654E549">
      <w:pPr>
        <w:ind w:firstLine="482"/>
        <w:rPr>
          <w:b/>
          <w:bCs/>
        </w:rPr>
      </w:pPr>
      <w:r>
        <w:rPr>
          <w:rFonts w:hint="eastAsia"/>
          <w:b/>
          <w:bCs/>
        </w:rPr>
        <w:t>（1）预测模型</w:t>
      </w:r>
    </w:p>
    <w:p w14:paraId="41ECF9C9">
      <w:pPr>
        <w:ind w:firstLine="480"/>
      </w:pPr>
      <w:r>
        <w:t>《环境影响评价技术导则 声环境》</w:t>
      </w:r>
      <w:r>
        <w:rPr>
          <w:rFonts w:hint="eastAsia"/>
        </w:rPr>
        <w:t>（</w:t>
      </w:r>
      <w:r>
        <w:t>HJ2.4-20</w:t>
      </w:r>
      <w:r>
        <w:rPr>
          <w:rFonts w:hint="eastAsia"/>
        </w:rPr>
        <w:t>21）</w:t>
      </w:r>
      <w:r>
        <w:t>中的公路（道路）交通运输噪声预测模式，拟采用下列模型计算其衰减量。</w:t>
      </w:r>
    </w:p>
    <w:p w14:paraId="3B376CCF">
      <w:pPr>
        <w:ind w:firstLine="480"/>
        <w:jc w:val="center"/>
      </w:pPr>
      <m:oMath>
        <m:sSub>
          <m:sSubPr>
            <m:ctrlPr>
              <w:rPr>
                <w:rFonts w:ascii="Cambria Math" w:hAnsi="Cambria Math"/>
              </w:rPr>
            </m:ctrlPr>
          </m:sSubPr>
          <m:e>
            <m:r>
              <m:rPr/>
              <w:rPr>
                <w:rFonts w:ascii="Cambria Math" w:hAnsi="Cambria Math"/>
              </w:rPr>
              <m:t>L</m:t>
            </m:r>
            <m:ctrlPr>
              <w:rPr>
                <w:rFonts w:ascii="Cambria Math" w:hAnsi="Cambria Math"/>
              </w:rPr>
            </m:ctrlPr>
          </m:e>
          <m:sub>
            <m:r>
              <m:rPr/>
              <w:rPr>
                <w:rFonts w:ascii="Cambria Math" w:hAnsi="Cambria Math"/>
              </w:rPr>
              <m:t>eq</m:t>
            </m:r>
            <m:ctrlPr>
              <w:rPr>
                <w:rFonts w:ascii="Cambria Math" w:hAnsi="Cambria Math"/>
              </w:rPr>
            </m:ctrlPr>
          </m:sub>
        </m:sSub>
        <m:r>
          <m:rPr>
            <m:sty m:val="p"/>
          </m:rPr>
          <w:rPr>
            <w:rFonts w:ascii="Cambria Math" w:hAnsi="Cambria Math"/>
          </w:rPr>
          <m:t>(</m:t>
        </m:r>
        <m:r>
          <m:rPr/>
          <w:rPr>
            <w:rFonts w:ascii="Cambria Math" w:hAnsi="Cambria Math"/>
          </w:rPr>
          <m:t>h</m:t>
        </m:r>
        <m:sSub>
          <m:sSubPr>
            <m:ctrlPr>
              <w:rPr>
                <w:rFonts w:ascii="Cambria Math" w:hAnsi="Cambria Math"/>
              </w:rPr>
            </m:ctrlPr>
          </m:sSubPr>
          <m:e>
            <m:r>
              <m:rPr>
                <m:sty m:val="p"/>
              </m:rPr>
              <w:rPr>
                <w:rFonts w:ascii="Cambria Math" w:hAnsi="Cambria Math"/>
              </w:rPr>
              <m:t>)</m:t>
            </m:r>
            <m:ctrlPr>
              <w:rPr>
                <w:rFonts w:ascii="Cambria Math" w:hAnsi="Cambria Math"/>
              </w:rPr>
            </m:ctrlPr>
          </m:e>
          <m:sub>
            <m:r>
              <m:rPr/>
              <w:rPr>
                <w:rFonts w:ascii="Cambria Math" w:hAnsi="Cambria Math"/>
              </w:rPr>
              <m:t>i</m:t>
            </m:r>
            <m:ctrlPr>
              <w:rPr>
                <w:rFonts w:ascii="Cambria Math" w:hAnsi="Cambria Math"/>
              </w:rPr>
            </m:ctrlPr>
          </m:sub>
        </m:sSub>
        <m:r>
          <m:rPr>
            <m:sty m:val="p"/>
          </m:rPr>
          <w:rPr>
            <w:rFonts w:ascii="Cambria Math" w:hAnsi="Cambria Math"/>
          </w:rPr>
          <m:t>=(</m:t>
        </m:r>
        <m:bar>
          <m:barPr>
            <m:pos m:val="top"/>
            <m:ctrlPr>
              <w:rPr>
                <w:rFonts w:ascii="Cambria Math" w:hAnsi="Cambria Math"/>
              </w:rPr>
            </m:ctrlPr>
          </m:barPr>
          <m:e>
            <m:sSub>
              <m:sSubPr>
                <m:ctrlPr>
                  <w:rPr>
                    <w:rFonts w:ascii="Cambria Math" w:hAnsi="Cambria Math"/>
                  </w:rPr>
                </m:ctrlPr>
              </m:sSubPr>
              <m:e>
                <m:r>
                  <m:rPr/>
                  <w:rPr>
                    <w:rFonts w:ascii="Cambria Math" w:hAnsi="Cambria Math"/>
                  </w:rPr>
                  <m:t>L</m:t>
                </m:r>
                <m:ctrlPr>
                  <w:rPr>
                    <w:rFonts w:ascii="Cambria Math" w:hAnsi="Cambria Math"/>
                  </w:rPr>
                </m:ctrlPr>
              </m:e>
              <m:sub>
                <m:r>
                  <m:rPr>
                    <m:sty m:val="p"/>
                  </m:rPr>
                  <w:rPr>
                    <w:rFonts w:ascii="Cambria Math" w:hAnsi="Cambria Math"/>
                  </w:rPr>
                  <m:t>0</m:t>
                </m:r>
                <m:r>
                  <m:rPr/>
                  <w:rPr>
                    <w:rFonts w:ascii="Cambria Math" w:hAnsi="Cambria Math"/>
                  </w:rPr>
                  <m:t>E</m:t>
                </m:r>
                <m:ctrlPr>
                  <w:rPr>
                    <w:rFonts w:ascii="Cambria Math" w:hAnsi="Cambria Math"/>
                  </w:rPr>
                </m:ctrlPr>
              </m:sub>
            </m:sSub>
            <m:ctrlPr>
              <w:rPr>
                <w:rFonts w:ascii="Cambria Math" w:hAnsi="Cambria Math"/>
              </w:rPr>
            </m:ctrlPr>
          </m:e>
        </m:bar>
        <m:sSub>
          <m:sSubPr>
            <m:ctrlPr>
              <w:rPr>
                <w:rFonts w:ascii="Cambria Math" w:hAnsi="Cambria Math"/>
              </w:rPr>
            </m:ctrlPr>
          </m:sSubPr>
          <m:e>
            <m:r>
              <m:rPr>
                <m:sty m:val="p"/>
              </m:rPr>
              <w:rPr>
                <w:rFonts w:ascii="Cambria Math" w:hAnsi="Cambria Math"/>
              </w:rPr>
              <m:t>)</m:t>
            </m:r>
            <m:ctrlPr>
              <w:rPr>
                <w:rFonts w:ascii="Cambria Math" w:hAnsi="Cambria Math"/>
              </w:rPr>
            </m:ctrlPr>
          </m:e>
          <m:sub>
            <m:r>
              <m:rPr/>
              <w:rPr>
                <w:rFonts w:ascii="Cambria Math" w:hAnsi="Cambria Math"/>
              </w:rPr>
              <m:t>i</m:t>
            </m:r>
            <m:ctrlPr>
              <w:rPr>
                <w:rFonts w:ascii="Cambria Math" w:hAnsi="Cambria Math"/>
              </w:rPr>
            </m:ctrlPr>
          </m:sub>
        </m:sSub>
        <m:r>
          <m:rPr>
            <m:sty m:val="p"/>
          </m:rPr>
          <w:rPr>
            <w:rFonts w:ascii="Cambria Math" w:hAnsi="Cambria Math"/>
          </w:rPr>
          <m:t>+10</m:t>
        </m:r>
        <m:func>
          <m:funcPr>
            <m:ctrlPr>
              <w:rPr>
                <w:rFonts w:ascii="Cambria Math" w:hAnsi="Cambria Math"/>
              </w:rPr>
            </m:ctrlPr>
          </m:funcPr>
          <m:fName>
            <m:r>
              <m:rPr/>
              <w:rPr>
                <w:rFonts w:ascii="Cambria Math" w:hAnsi="Cambria Math"/>
              </w:rPr>
              <m:t>lg</m:t>
            </m:r>
            <m:ctrlPr>
              <w:rPr>
                <w:rFonts w:ascii="Cambria Math" w:hAnsi="Cambria Math"/>
              </w:rPr>
            </m:ctrlPr>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w:rPr>
                            <w:rFonts w:ascii="Cambria Math" w:hAnsi="Cambria Math"/>
                          </w:rPr>
                          <m:t>N</m:t>
                        </m:r>
                        <m:ctrlPr>
                          <w:rPr>
                            <w:rFonts w:ascii="Cambria Math" w:hAnsi="Cambria Math"/>
                          </w:rPr>
                        </m:ctrlPr>
                      </m:e>
                      <m:sub>
                        <m:r>
                          <m:rPr/>
                          <w:rPr>
                            <w:rFonts w:ascii="Cambria Math" w:hAnsi="Cambria Math"/>
                          </w:rPr>
                          <m:t>i</m:t>
                        </m:r>
                        <m:ctrlPr>
                          <w:rPr>
                            <w:rFonts w:ascii="Cambria Math" w:hAnsi="Cambria Math"/>
                          </w:rPr>
                        </m:ctrlPr>
                      </m:sub>
                    </m:sSub>
                    <m:ctrlPr>
                      <w:rPr>
                        <w:rFonts w:ascii="Cambria Math" w:hAnsi="Cambria Math"/>
                      </w:rPr>
                    </m:ctrlPr>
                  </m:num>
                  <m:den>
                    <m:sSub>
                      <m:sSubPr>
                        <m:ctrlPr>
                          <w:rPr>
                            <w:rFonts w:ascii="Cambria Math" w:hAnsi="Cambria Math"/>
                          </w:rPr>
                        </m:ctrlPr>
                      </m:sSubPr>
                      <m:e>
                        <m:r>
                          <m:rPr/>
                          <w:rPr>
                            <w:rFonts w:ascii="Cambria Math" w:hAnsi="Cambria Math"/>
                          </w:rPr>
                          <m:t>V</m:t>
                        </m:r>
                        <m:ctrlPr>
                          <w:rPr>
                            <w:rFonts w:ascii="Cambria Math" w:hAnsi="Cambria Math"/>
                          </w:rPr>
                        </m:ctrlPr>
                      </m:e>
                      <m:sub>
                        <m:r>
                          <m:rPr/>
                          <w:rPr>
                            <w:rFonts w:ascii="Cambria Math" w:hAnsi="Cambria Math"/>
                          </w:rPr>
                          <m:t>i</m:t>
                        </m:r>
                        <m:ctrlPr>
                          <w:rPr>
                            <w:rFonts w:ascii="Cambria Math" w:hAnsi="Cambria Math"/>
                          </w:rPr>
                        </m:ctrlPr>
                      </m:sub>
                    </m:sSub>
                    <m:r>
                      <m:rPr/>
                      <w:rPr>
                        <w:rFonts w:ascii="Cambria Math" w:hAnsi="Cambria Math"/>
                      </w:rPr>
                      <m:t>T</m:t>
                    </m:r>
                    <m:ctrlPr>
                      <w:rPr>
                        <w:rFonts w:ascii="Cambria Math" w:hAnsi="Cambria Math"/>
                      </w:rPr>
                    </m:ctrlPr>
                  </m:den>
                </m:f>
                <m:ctrlPr>
                  <w:rPr>
                    <w:rFonts w:ascii="Cambria Math" w:hAnsi="Cambria Math"/>
                  </w:rPr>
                </m:ctrlPr>
              </m:e>
            </m:d>
            <m:ctrlPr>
              <w:rPr>
                <w:rFonts w:ascii="Cambria Math" w:hAnsi="Cambria Math"/>
              </w:rPr>
            </m:ctrlPr>
          </m:e>
        </m:func>
        <m:r>
          <m:rPr>
            <m:sty m:val="p"/>
          </m:rPr>
          <w:rPr>
            <w:rFonts w:ascii="Cambria Math" w:hAnsi="Cambria Math"/>
          </w:rPr>
          <m:t>+</m:t>
        </m:r>
        <m:sSub>
          <m:sSubPr>
            <m:ctrlPr>
              <w:rPr>
                <w:rFonts w:ascii="Cambria Math" w:hAnsi="Cambria Math" w:cs="Times New Roman"/>
                <w:szCs w:val="24"/>
              </w:rPr>
            </m:ctrlPr>
          </m:sSubPr>
          <m:e>
            <m:r>
              <m:rPr>
                <m:sty m:val="p"/>
              </m:rPr>
              <w:rPr>
                <w:rFonts w:ascii="Cambria Math" w:hAnsi="Cambria Math"/>
              </w:rPr>
              <m:t>Δ</m:t>
            </m:r>
            <m:r>
              <m:rPr/>
              <w:rPr>
                <w:rFonts w:ascii="Cambria Math" w:hAnsi="Cambria Math"/>
              </w:rPr>
              <m:t>L</m:t>
            </m:r>
            <m:ctrlPr>
              <w:rPr>
                <w:rFonts w:ascii="Cambria Math" w:hAnsi="Cambria Math" w:cs="Times New Roman"/>
                <w:szCs w:val="24"/>
              </w:rPr>
            </m:ctrlPr>
          </m:e>
          <m:sub>
            <m:r>
              <m:rPr>
                <m:sty m:val="p"/>
              </m:rPr>
              <w:rPr>
                <w:rFonts w:hint="eastAsia" w:ascii="Cambria Math" w:hAnsi="Cambria Math"/>
              </w:rPr>
              <m:t>距离</m:t>
            </m:r>
            <m:ctrlPr>
              <w:rPr>
                <w:rFonts w:ascii="Cambria Math" w:hAnsi="Cambria Math" w:cs="Times New Roman"/>
                <w:szCs w:val="24"/>
              </w:rPr>
            </m:ctrlPr>
          </m:sub>
        </m:sSub>
        <m:r>
          <m:rPr>
            <m:sty m:val="p"/>
          </m:rPr>
          <w:rPr>
            <w:rFonts w:ascii="Cambria Math" w:hAnsi="Cambria Math"/>
          </w:rPr>
          <m:t>+10</m:t>
        </m:r>
        <m:func>
          <m:funcPr>
            <m:ctrlPr>
              <w:rPr>
                <w:rFonts w:ascii="Cambria Math" w:hAnsi="Cambria Math"/>
              </w:rPr>
            </m:ctrlPr>
          </m:funcPr>
          <m:fName>
            <m:r>
              <m:rPr/>
              <w:rPr>
                <w:rFonts w:ascii="Cambria Math" w:hAnsi="Cambria Math"/>
              </w:rPr>
              <m:t>lg</m:t>
            </m:r>
            <m:ctrlPr>
              <w:rPr>
                <w:rFonts w:ascii="Cambria Math" w:hAnsi="Cambria Math"/>
              </w:rPr>
            </m:ctrlPr>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w:rPr>
                            <w:rFonts w:ascii="Cambria Math" w:hAnsi="Cambria Math"/>
                          </w:rPr>
                          <m:t>ψ</m:t>
                        </m:r>
                        <m:ctrlPr>
                          <w:rPr>
                            <w:rFonts w:ascii="Cambria Math" w:hAnsi="Cambria Math"/>
                          </w:rPr>
                        </m:ctrlPr>
                      </m:e>
                      <m:sub>
                        <m:r>
                          <m:rPr>
                            <m:sty m:val="p"/>
                          </m:rPr>
                          <w:rPr>
                            <w:rFonts w:ascii="Cambria Math" w:hAnsi="Cambria Math"/>
                          </w:rPr>
                          <m:t>1</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w:rPr>
                            <w:rFonts w:ascii="Cambria Math" w:hAnsi="Cambria Math"/>
                          </w:rPr>
                          <m:t>ψ</m:t>
                        </m:r>
                        <m:ctrlPr>
                          <w:rPr>
                            <w:rFonts w:ascii="Cambria Math" w:hAnsi="Cambria Math"/>
                          </w:rPr>
                        </m:ctrlPr>
                      </m:e>
                      <m:sub>
                        <m:r>
                          <m:rPr>
                            <m:sty m:val="p"/>
                          </m:rPr>
                          <w:rPr>
                            <w:rFonts w:ascii="Cambria Math" w:hAnsi="Cambria Math"/>
                          </w:rPr>
                          <m:t>2</m:t>
                        </m:r>
                        <m:ctrlPr>
                          <w:rPr>
                            <w:rFonts w:ascii="Cambria Math" w:hAnsi="Cambria Math"/>
                          </w:rPr>
                        </m:ctrlPr>
                      </m:sub>
                    </m:sSub>
                    <m:ctrlPr>
                      <w:rPr>
                        <w:rFonts w:ascii="Cambria Math" w:hAnsi="Cambria Math"/>
                      </w:rPr>
                    </m:ctrlPr>
                  </m:num>
                  <m:den>
                    <m:r>
                      <m:rPr/>
                      <w:rPr>
                        <w:rFonts w:ascii="Cambria Math" w:hAnsi="Cambria Math"/>
                      </w:rPr>
                      <m:t>π</m:t>
                    </m:r>
                    <m:ctrlPr>
                      <w:rPr>
                        <w:rFonts w:ascii="Cambria Math" w:hAnsi="Cambria Math"/>
                      </w:rPr>
                    </m:ctrlPr>
                  </m:den>
                </m:f>
                <m:ctrlPr>
                  <w:rPr>
                    <w:rFonts w:ascii="Cambria Math" w:hAnsi="Cambria Math"/>
                  </w:rPr>
                </m:ctrlPr>
              </m:e>
            </m:d>
            <m:ctrlPr>
              <w:rPr>
                <w:rFonts w:ascii="Cambria Math" w:hAnsi="Cambria Math"/>
              </w:rPr>
            </m:ctrlPr>
          </m:e>
        </m:func>
        <m:r>
          <m:rPr>
            <m:sty m:val="p"/>
          </m:rPr>
          <w:rPr>
            <w:rFonts w:ascii="Cambria Math" w:hAnsi="Cambria Math"/>
          </w:rPr>
          <m:t>+Δ</m:t>
        </m:r>
        <m:r>
          <m:rPr/>
          <w:rPr>
            <w:rFonts w:ascii="Cambria Math" w:hAnsi="Cambria Math"/>
          </w:rPr>
          <m:t>L</m:t>
        </m:r>
        <m:r>
          <m:rPr>
            <m:sty m:val="p"/>
          </m:rPr>
          <w:rPr>
            <w:rFonts w:ascii="Cambria Math" w:hAnsi="Cambria Math"/>
          </w:rPr>
          <m:t>−16</m:t>
        </m:r>
      </m:oMath>
      <w:r>
        <w:rPr>
          <w:rFonts w:hint="eastAsia"/>
        </w:rPr>
        <w:t xml:space="preserve">  （1）</w:t>
      </w:r>
    </w:p>
    <w:p w14:paraId="58562467">
      <w:pPr>
        <w:ind w:firstLine="480"/>
      </w:pPr>
      <w:r>
        <w:t>式中：</w:t>
      </w:r>
    </w:p>
    <w:p w14:paraId="7BBF7023">
      <w:pPr>
        <w:ind w:firstLine="480"/>
      </w:pPr>
      <m:oMath>
        <m:sSub>
          <m:sSubPr>
            <m:ctrlPr>
              <w:rPr>
                <w:rFonts w:ascii="Cambria Math" w:hAnsi="Cambria Math"/>
              </w:rPr>
            </m:ctrlPr>
          </m:sSubPr>
          <m:e>
            <m:r>
              <m:rPr/>
              <w:rPr>
                <w:rFonts w:ascii="Cambria Math" w:hAnsi="Cambria Math"/>
              </w:rPr>
              <m:t>L</m:t>
            </m:r>
            <m:ctrlPr>
              <w:rPr>
                <w:rFonts w:ascii="Cambria Math" w:hAnsi="Cambria Math"/>
              </w:rPr>
            </m:ctrlPr>
          </m:e>
          <m:sub>
            <m:r>
              <m:rPr/>
              <w:rPr>
                <w:rFonts w:ascii="Cambria Math" w:hAnsi="Cambria Math"/>
              </w:rPr>
              <m:t>eq</m:t>
            </m:r>
            <m:ctrlPr>
              <w:rPr>
                <w:rFonts w:ascii="Cambria Math" w:hAnsi="Cambria Math"/>
              </w:rPr>
            </m:ctrlPr>
          </m:sub>
        </m:sSub>
        <m:r>
          <m:rPr>
            <m:sty m:val="p"/>
          </m:rPr>
          <w:rPr>
            <w:rFonts w:ascii="Cambria Math" w:hAnsi="Cambria Math"/>
          </w:rPr>
          <m:t>(</m:t>
        </m:r>
        <m:r>
          <m:rPr/>
          <w:rPr>
            <w:rFonts w:ascii="Cambria Math" w:hAnsi="Cambria Math"/>
          </w:rPr>
          <m:t>h</m:t>
        </m:r>
        <m:sSub>
          <m:sSubPr>
            <m:ctrlPr>
              <w:rPr>
                <w:rFonts w:ascii="Cambria Math" w:hAnsi="Cambria Math"/>
              </w:rPr>
            </m:ctrlPr>
          </m:sSubPr>
          <m:e>
            <m:r>
              <m:rPr>
                <m:sty m:val="p"/>
              </m:rPr>
              <w:rPr>
                <w:rFonts w:ascii="Cambria Math" w:hAnsi="Cambria Math"/>
              </w:rPr>
              <m:t>)</m:t>
            </m:r>
            <m:ctrlPr>
              <w:rPr>
                <w:rFonts w:ascii="Cambria Math" w:hAnsi="Cambria Math"/>
              </w:rPr>
            </m:ctrlPr>
          </m:e>
          <m:sub>
            <m:r>
              <m:rPr/>
              <w:rPr>
                <w:rFonts w:ascii="Cambria Math" w:hAnsi="Cambria Math"/>
              </w:rPr>
              <m:t>i</m:t>
            </m:r>
            <m:ctrlPr>
              <w:rPr>
                <w:rFonts w:ascii="Cambria Math" w:hAnsi="Cambria Math"/>
              </w:rPr>
            </m:ctrlPr>
          </m:sub>
        </m:sSub>
      </m:oMath>
      <w:r>
        <w:t>——第i类车的小时等效声级，dB</w:t>
      </w:r>
      <w:r>
        <w:rPr>
          <w:rFonts w:hint="eastAsia"/>
        </w:rPr>
        <w:t>（</w:t>
      </w:r>
      <w:r>
        <w:t>A</w:t>
      </w:r>
      <w:r>
        <w:rPr>
          <w:rFonts w:hint="eastAsia"/>
        </w:rPr>
        <w:t>）</w:t>
      </w:r>
      <w:r>
        <w:t>；</w:t>
      </w:r>
    </w:p>
    <w:p w14:paraId="7A3DDE0E">
      <w:pPr>
        <w:ind w:firstLine="480"/>
      </w:pPr>
      <m:oMath>
        <m:r>
          <m:rPr>
            <m:sty m:val="p"/>
          </m:rPr>
          <w:rPr>
            <w:rFonts w:ascii="Cambria Math" w:hAnsi="Cambria Math"/>
          </w:rPr>
          <m:t>(</m:t>
        </m:r>
        <m:bar>
          <m:barPr>
            <m:pos m:val="top"/>
            <m:ctrlPr>
              <w:rPr>
                <w:rFonts w:ascii="Cambria Math" w:hAnsi="Cambria Math"/>
              </w:rPr>
            </m:ctrlPr>
          </m:barPr>
          <m:e>
            <m:sSub>
              <m:sSubPr>
                <m:ctrlPr>
                  <w:rPr>
                    <w:rFonts w:ascii="Cambria Math" w:hAnsi="Cambria Math"/>
                  </w:rPr>
                </m:ctrlPr>
              </m:sSubPr>
              <m:e>
                <m:r>
                  <m:rPr/>
                  <w:rPr>
                    <w:rFonts w:ascii="Cambria Math" w:hAnsi="Cambria Math"/>
                  </w:rPr>
                  <m:t>L</m:t>
                </m:r>
                <m:ctrlPr>
                  <w:rPr>
                    <w:rFonts w:ascii="Cambria Math" w:hAnsi="Cambria Math"/>
                  </w:rPr>
                </m:ctrlPr>
              </m:e>
              <m:sub>
                <m:r>
                  <m:rPr>
                    <m:sty m:val="p"/>
                  </m:rPr>
                  <w:rPr>
                    <w:rFonts w:ascii="Cambria Math" w:hAnsi="Cambria Math"/>
                  </w:rPr>
                  <m:t>0</m:t>
                </m:r>
                <m:r>
                  <m:rPr/>
                  <w:rPr>
                    <w:rFonts w:ascii="Cambria Math" w:hAnsi="Cambria Math"/>
                  </w:rPr>
                  <m:t>E</m:t>
                </m:r>
                <m:ctrlPr>
                  <w:rPr>
                    <w:rFonts w:ascii="Cambria Math" w:hAnsi="Cambria Math"/>
                  </w:rPr>
                </m:ctrlPr>
              </m:sub>
            </m:sSub>
            <m:ctrlPr>
              <w:rPr>
                <w:rFonts w:ascii="Cambria Math" w:hAnsi="Cambria Math"/>
              </w:rPr>
            </m:ctrlPr>
          </m:e>
        </m:bar>
        <m:sSub>
          <m:sSubPr>
            <m:ctrlPr>
              <w:rPr>
                <w:rFonts w:ascii="Cambria Math" w:hAnsi="Cambria Math"/>
              </w:rPr>
            </m:ctrlPr>
          </m:sSubPr>
          <m:e>
            <m:r>
              <m:rPr>
                <m:sty m:val="p"/>
              </m:rPr>
              <w:rPr>
                <w:rFonts w:ascii="Cambria Math" w:hAnsi="Cambria Math"/>
              </w:rPr>
              <m:t>)</m:t>
            </m:r>
            <m:ctrlPr>
              <w:rPr>
                <w:rFonts w:ascii="Cambria Math" w:hAnsi="Cambria Math"/>
              </w:rPr>
            </m:ctrlPr>
          </m:e>
          <m:sub>
            <m:r>
              <m:rPr/>
              <w:rPr>
                <w:rFonts w:ascii="Cambria Math" w:hAnsi="Cambria Math"/>
              </w:rPr>
              <m:t>i</m:t>
            </m:r>
            <m:ctrlPr>
              <w:rPr>
                <w:rFonts w:ascii="Cambria Math" w:hAnsi="Cambria Math"/>
              </w:rPr>
            </m:ctrlPr>
          </m:sub>
        </m:sSub>
      </m:oMath>
      <w:r>
        <w:t>——第</w:t>
      </w:r>
      <w:r>
        <w:rPr>
          <w:rFonts w:hint="eastAsia"/>
        </w:rPr>
        <w:t>i</w:t>
      </w:r>
      <w:r>
        <w:t>类车在速度为Vi</w:t>
      </w:r>
      <w:r>
        <w:rPr>
          <w:rFonts w:hint="eastAsia"/>
        </w:rPr>
        <w:t>（</w:t>
      </w:r>
      <w:r>
        <w:t>km/h</w:t>
      </w:r>
      <w:r>
        <w:rPr>
          <w:rFonts w:hint="eastAsia"/>
        </w:rPr>
        <w:t>）</w:t>
      </w:r>
      <w:r>
        <w:t>，水平距离为7.5 m处的能量平均A声级，dB</w:t>
      </w:r>
      <w:r>
        <w:rPr>
          <w:rFonts w:hint="eastAsia"/>
        </w:rPr>
        <w:t>（</w:t>
      </w:r>
      <w:r>
        <w:t>A</w:t>
      </w:r>
      <w:r>
        <w:rPr>
          <w:rFonts w:hint="eastAsia"/>
        </w:rPr>
        <w:t>）</w:t>
      </w:r>
      <w:r>
        <w:t>；</w:t>
      </w:r>
    </w:p>
    <w:p w14:paraId="327CBC4B">
      <w:pPr>
        <w:ind w:firstLine="480"/>
      </w:pPr>
      <w:r>
        <w:t>N</w:t>
      </w:r>
      <w:r>
        <w:rPr>
          <w:vertAlign w:val="subscript"/>
        </w:rPr>
        <w:t>i</w:t>
      </w:r>
      <w:r>
        <w:t>——昼间、夜间通过某个预测点的第i类车平均小时车流量，辆/h；</w:t>
      </w:r>
    </w:p>
    <w:p w14:paraId="765050CD">
      <w:pPr>
        <w:ind w:firstLine="480"/>
      </w:pPr>
      <w:r>
        <w:t>V</w:t>
      </w:r>
      <w:r>
        <w:rPr>
          <w:vertAlign w:val="subscript"/>
        </w:rPr>
        <w:t>i</w:t>
      </w:r>
      <w:r>
        <w:t>——第I类车平均车速，km/h；</w:t>
      </w:r>
    </w:p>
    <w:p w14:paraId="0238B439">
      <w:pPr>
        <w:ind w:firstLine="480"/>
      </w:pPr>
      <w:r>
        <w:t>T——计算等效声级的时间，1 h；</w:t>
      </w:r>
    </w:p>
    <w:p w14:paraId="5466A9F9">
      <w:pPr>
        <w:ind w:firstLine="480"/>
      </w:pPr>
      <m:oMath>
        <m:sSub>
          <m:sSubPr>
            <m:ctrlPr>
              <w:rPr>
                <w:rFonts w:ascii="Cambria Math" w:hAnsi="Cambria Math" w:cs="Times New Roman"/>
                <w:szCs w:val="24"/>
              </w:rPr>
            </m:ctrlPr>
          </m:sSubPr>
          <m:e>
            <m:r>
              <m:rPr>
                <m:sty m:val="p"/>
              </m:rPr>
              <w:rPr>
                <w:rFonts w:ascii="Cambria Math" w:hAnsi="Cambria Math"/>
              </w:rPr>
              <m:t>Δ</m:t>
            </m:r>
            <m:r>
              <m:rPr/>
              <w:rPr>
                <w:rFonts w:ascii="Cambria Math" w:hAnsi="Cambria Math"/>
              </w:rPr>
              <m:t>L</m:t>
            </m:r>
            <m:ctrlPr>
              <w:rPr>
                <w:rFonts w:ascii="Cambria Math" w:hAnsi="Cambria Math" w:cs="Times New Roman"/>
                <w:szCs w:val="24"/>
              </w:rPr>
            </m:ctrlPr>
          </m:e>
          <m:sub>
            <m:r>
              <m:rPr>
                <m:sty m:val="p"/>
              </m:rPr>
              <w:rPr>
                <w:rFonts w:hint="eastAsia" w:ascii="Cambria Math" w:hAnsi="Cambria Math"/>
              </w:rPr>
              <m:t>距离</m:t>
            </m:r>
            <m:ctrlPr>
              <w:rPr>
                <w:rFonts w:ascii="Cambria Math" w:hAnsi="Cambria Math" w:cs="Times New Roman"/>
                <w:szCs w:val="24"/>
              </w:rPr>
            </m:ctrlPr>
          </m:sub>
        </m:sSub>
      </m:oMath>
      <w:r>
        <w:t>——</w:t>
      </w:r>
      <w:r>
        <w:rPr>
          <w:rFonts w:hint="eastAsia"/>
        </w:rPr>
        <w:t>距离衰减量，dB(A），小时车流量大于等于300辆/小时：</w:t>
      </w:r>
      <m:oMath>
        <m:sSub>
          <m:sSubPr>
            <m:ctrlPr>
              <w:rPr>
                <w:rFonts w:ascii="Cambria Math" w:hAnsi="Cambria Math" w:cs="Times New Roman"/>
                <w:szCs w:val="24"/>
              </w:rPr>
            </m:ctrlPr>
          </m:sSubPr>
          <m:e>
            <m:r>
              <m:rPr>
                <m:sty m:val="p"/>
              </m:rPr>
              <w:rPr>
                <w:rFonts w:ascii="Cambria Math" w:hAnsi="Cambria Math"/>
              </w:rPr>
              <m:t>Δ</m:t>
            </m:r>
            <m:r>
              <m:rPr/>
              <w:rPr>
                <w:rFonts w:ascii="Cambria Math" w:hAnsi="Cambria Math"/>
              </w:rPr>
              <m:t>L</m:t>
            </m:r>
            <m:ctrlPr>
              <w:rPr>
                <w:rFonts w:ascii="Cambria Math" w:hAnsi="Cambria Math" w:cs="Times New Roman"/>
                <w:szCs w:val="24"/>
              </w:rPr>
            </m:ctrlPr>
          </m:e>
          <m:sub>
            <m:r>
              <m:rPr>
                <m:sty m:val="p"/>
              </m:rPr>
              <w:rPr>
                <w:rFonts w:hint="eastAsia" w:ascii="Cambria Math" w:hAnsi="Cambria Math"/>
              </w:rPr>
              <m:t>距离</m:t>
            </m:r>
            <m:ctrlPr>
              <w:rPr>
                <w:rFonts w:ascii="Cambria Math" w:hAnsi="Cambria Math" w:cs="Times New Roman"/>
                <w:szCs w:val="24"/>
              </w:rPr>
            </m:ctrlPr>
          </m:sub>
        </m:sSub>
        <m:r>
          <m:rPr>
            <m:sty m:val="p"/>
          </m:rPr>
          <w:rPr>
            <w:rFonts w:ascii="Cambria Math" w:hAnsi="Cambria Math"/>
          </w:rPr>
          <m:t>=10</m:t>
        </m:r>
        <m:func>
          <m:funcPr>
            <m:ctrlPr>
              <w:rPr>
                <w:rFonts w:ascii="Cambria Math" w:hAnsi="Cambria Math"/>
              </w:rPr>
            </m:ctrlPr>
          </m:funcPr>
          <m:fName>
            <m:r>
              <m:rPr/>
              <w:rPr>
                <w:rFonts w:ascii="Cambria Math" w:hAnsi="Cambria Math"/>
              </w:rPr>
              <m:t>lg</m:t>
            </m:r>
            <m:ctrlPr>
              <w:rPr>
                <w:rFonts w:ascii="Cambria Math" w:hAnsi="Cambria Math"/>
              </w:rPr>
            </m:ctrlPr>
          </m:fName>
          <m:e>
            <m:d>
              <m:dPr>
                <m:ctrlPr>
                  <w:rPr>
                    <w:rFonts w:ascii="Cambria Math" w:hAnsi="Cambria Math"/>
                  </w:rPr>
                </m:ctrlPr>
              </m:dPr>
              <m:e>
                <m:f>
                  <m:fPr>
                    <m:ctrlPr>
                      <w:rPr>
                        <w:rFonts w:ascii="Cambria Math" w:hAnsi="Cambria Math"/>
                      </w:rPr>
                    </m:ctrlPr>
                  </m:fPr>
                  <m:num>
                    <m:r>
                      <m:rPr>
                        <m:sty m:val="p"/>
                      </m:rPr>
                      <w:rPr>
                        <w:rFonts w:ascii="Cambria Math" w:hAnsi="Cambria Math"/>
                      </w:rPr>
                      <m:t>7.5</m:t>
                    </m:r>
                    <m:ctrlPr>
                      <w:rPr>
                        <w:rFonts w:ascii="Cambria Math" w:hAnsi="Cambria Math"/>
                      </w:rPr>
                    </m:ctrlPr>
                  </m:num>
                  <m:den>
                    <m:r>
                      <m:rPr/>
                      <w:rPr>
                        <w:rFonts w:ascii="Cambria Math" w:hAnsi="Cambria Math"/>
                      </w:rPr>
                      <m:t>r</m:t>
                    </m:r>
                    <m:ctrlPr>
                      <w:rPr>
                        <w:rFonts w:ascii="Cambria Math" w:hAnsi="Cambria Math"/>
                      </w:rPr>
                    </m:ctrlPr>
                  </m:den>
                </m:f>
                <m:ctrlPr>
                  <w:rPr>
                    <w:rFonts w:ascii="Cambria Math" w:hAnsi="Cambria Math"/>
                  </w:rPr>
                </m:ctrlPr>
              </m:e>
            </m:d>
            <m:ctrlPr>
              <w:rPr>
                <w:rFonts w:ascii="Cambria Math" w:hAnsi="Cambria Math"/>
              </w:rPr>
            </m:ctrlPr>
          </m:e>
        </m:func>
      </m:oMath>
      <w:r>
        <w:rPr>
          <w:rFonts w:hint="eastAsia"/>
        </w:rPr>
        <w:t>，小时车流量小于300辆/小时：</w:t>
      </w:r>
      <m:oMath>
        <m:sSub>
          <m:sSubPr>
            <m:ctrlPr>
              <w:rPr>
                <w:rFonts w:ascii="Cambria Math" w:hAnsi="Cambria Math" w:cs="Times New Roman"/>
                <w:szCs w:val="24"/>
              </w:rPr>
            </m:ctrlPr>
          </m:sSubPr>
          <m:e>
            <m:r>
              <m:rPr>
                <m:sty m:val="p"/>
              </m:rPr>
              <w:rPr>
                <w:rFonts w:ascii="Cambria Math" w:hAnsi="Cambria Math"/>
              </w:rPr>
              <m:t>Δ</m:t>
            </m:r>
            <m:r>
              <m:rPr/>
              <w:rPr>
                <w:rFonts w:ascii="Cambria Math" w:hAnsi="Cambria Math"/>
              </w:rPr>
              <m:t>L</m:t>
            </m:r>
            <m:ctrlPr>
              <w:rPr>
                <w:rFonts w:ascii="Cambria Math" w:hAnsi="Cambria Math" w:cs="Times New Roman"/>
                <w:szCs w:val="24"/>
              </w:rPr>
            </m:ctrlPr>
          </m:e>
          <m:sub>
            <m:r>
              <m:rPr>
                <m:sty m:val="p"/>
              </m:rPr>
              <w:rPr>
                <w:rFonts w:hint="eastAsia" w:ascii="Cambria Math" w:hAnsi="Cambria Math"/>
              </w:rPr>
              <m:t>距离</m:t>
            </m:r>
            <m:ctrlPr>
              <w:rPr>
                <w:rFonts w:ascii="Cambria Math" w:hAnsi="Cambria Math" w:cs="Times New Roman"/>
                <w:szCs w:val="24"/>
              </w:rPr>
            </m:ctrlPr>
          </m:sub>
        </m:sSub>
        <m:r>
          <m:rPr>
            <m:sty m:val="p"/>
          </m:rPr>
          <w:rPr>
            <w:rFonts w:ascii="Cambria Math" w:hAnsi="Cambria Math"/>
          </w:rPr>
          <m:t>=15</m:t>
        </m:r>
        <m:func>
          <m:funcPr>
            <m:ctrlPr>
              <w:rPr>
                <w:rFonts w:ascii="Cambria Math" w:hAnsi="Cambria Math"/>
              </w:rPr>
            </m:ctrlPr>
          </m:funcPr>
          <m:fName>
            <m:r>
              <m:rPr/>
              <w:rPr>
                <w:rFonts w:ascii="Cambria Math" w:hAnsi="Cambria Math"/>
              </w:rPr>
              <m:t>lg</m:t>
            </m:r>
            <m:ctrlPr>
              <w:rPr>
                <w:rFonts w:ascii="Cambria Math" w:hAnsi="Cambria Math"/>
              </w:rPr>
            </m:ctrlPr>
          </m:fName>
          <m:e>
            <m:d>
              <m:dPr>
                <m:ctrlPr>
                  <w:rPr>
                    <w:rFonts w:ascii="Cambria Math" w:hAnsi="Cambria Math"/>
                  </w:rPr>
                </m:ctrlPr>
              </m:dPr>
              <m:e>
                <m:f>
                  <m:fPr>
                    <m:ctrlPr>
                      <w:rPr>
                        <w:rFonts w:ascii="Cambria Math" w:hAnsi="Cambria Math"/>
                      </w:rPr>
                    </m:ctrlPr>
                  </m:fPr>
                  <m:num>
                    <m:r>
                      <m:rPr>
                        <m:sty m:val="p"/>
                      </m:rPr>
                      <w:rPr>
                        <w:rFonts w:ascii="Cambria Math" w:hAnsi="Cambria Math"/>
                      </w:rPr>
                      <m:t>7.5</m:t>
                    </m:r>
                    <m:ctrlPr>
                      <w:rPr>
                        <w:rFonts w:ascii="Cambria Math" w:hAnsi="Cambria Math"/>
                      </w:rPr>
                    </m:ctrlPr>
                  </m:num>
                  <m:den>
                    <m:r>
                      <m:rPr/>
                      <w:rPr>
                        <w:rFonts w:ascii="Cambria Math" w:hAnsi="Cambria Math"/>
                      </w:rPr>
                      <m:t>r</m:t>
                    </m:r>
                    <m:ctrlPr>
                      <w:rPr>
                        <w:rFonts w:ascii="Cambria Math" w:hAnsi="Cambria Math"/>
                      </w:rPr>
                    </m:ctrlPr>
                  </m:den>
                </m:f>
                <m:ctrlPr>
                  <w:rPr>
                    <w:rFonts w:ascii="Cambria Math" w:hAnsi="Cambria Math"/>
                  </w:rPr>
                </m:ctrlPr>
              </m:e>
            </m:d>
            <m:ctrlPr>
              <w:rPr>
                <w:rFonts w:ascii="Cambria Math" w:hAnsi="Cambria Math"/>
              </w:rPr>
            </m:ctrlPr>
          </m:e>
        </m:func>
      </m:oMath>
    </w:p>
    <w:p w14:paraId="0193A94D">
      <w:pPr>
        <w:ind w:firstLine="480"/>
      </w:pPr>
      <w:r>
        <w:rPr>
          <w:rFonts w:hint="eastAsia"/>
        </w:rPr>
        <w:t>r</w:t>
      </w:r>
      <w:r>
        <w:t>——从车道中心线到预测点的距离，m（</w:t>
      </w:r>
      <w:r>
        <w:rPr>
          <w:rFonts w:hint="eastAsia"/>
        </w:rPr>
        <w:t>式（1）适用于</w:t>
      </w:r>
      <w:r>
        <w:t>r&gt;7.5m</w:t>
      </w:r>
      <w:r>
        <w:rPr>
          <w:rFonts w:hint="eastAsia"/>
        </w:rPr>
        <w:t>预测点的噪声预测</w:t>
      </w:r>
      <w:r>
        <w:t>）；</w:t>
      </w:r>
    </w:p>
    <w:p w14:paraId="18D2B269">
      <w:pPr>
        <w:ind w:firstLine="480"/>
      </w:pPr>
      <w:r>
        <w:t>ψ1、ψ2——预测点到有限长路段两端的张角，弧度；</w:t>
      </w:r>
    </w:p>
    <w:p w14:paraId="66132BE7">
      <w:pPr>
        <w:ind w:firstLine="480"/>
      </w:pPr>
      <w:r>
        <w:rPr>
          <w:rFonts w:hint="eastAsia"/>
        </w:rPr>
        <w:t>由其他</w:t>
      </w:r>
      <w:r>
        <w:t>因素引起的修正量</w:t>
      </w:r>
      <w:r>
        <w:rPr>
          <w:rFonts w:hint="eastAsia"/>
        </w:rPr>
        <w:t>（</w:t>
      </w:r>
      <m:oMath>
        <m:r>
          <m:rPr>
            <m:sty m:val="p"/>
          </m:rPr>
          <w:rPr>
            <w:rFonts w:ascii="Cambria Math" w:hAnsi="Cambria Math"/>
          </w:rPr>
          <m:t>Δ</m:t>
        </m:r>
        <m:r>
          <m:rPr/>
          <w:rPr>
            <w:rFonts w:ascii="Cambria Math" w:hAnsi="Cambria Math"/>
          </w:rPr>
          <m:t>L</m:t>
        </m:r>
      </m:oMath>
      <w:r>
        <w:rPr>
          <w:rFonts w:hint="eastAsia"/>
        </w:rPr>
        <w:t>）可按下式计算：</w:t>
      </w:r>
    </w:p>
    <w:p w14:paraId="08882662">
      <w:pPr>
        <w:ind w:firstLine="480"/>
        <w:jc w:val="center"/>
      </w:pPr>
      <m:oMath>
        <m:r>
          <m:rPr>
            <m:sty m:val="p"/>
          </m:rPr>
          <w:rPr>
            <w:rFonts w:ascii="Cambria Math" w:hAnsi="Cambria Math"/>
          </w:rPr>
          <m:t>Δ</m:t>
        </m:r>
        <m:r>
          <m:rPr/>
          <w:rPr>
            <w:rFonts w:ascii="Cambria Math" w:hAnsi="Cambria Math"/>
          </w:rPr>
          <m:t>L</m:t>
        </m:r>
      </m:oMath>
      <w:r>
        <w:t>=</w:t>
      </w:r>
      <m:oMath>
        <m:r>
          <m:rPr>
            <m:sty m:val="p"/>
          </m:rPr>
          <w:rPr>
            <w:rFonts w:ascii="Cambria Math" w:hAnsi="Cambria Math"/>
          </w:rPr>
          <m:t>Δ</m:t>
        </m:r>
        <m:sSub>
          <m:sSubPr>
            <m:ctrlPr>
              <w:rPr>
                <w:rFonts w:ascii="Cambria Math" w:hAnsi="Cambria Math"/>
              </w:rPr>
            </m:ctrlPr>
          </m:sSubPr>
          <m:e>
            <m:r>
              <m:rPr/>
              <w:rPr>
                <w:rFonts w:ascii="Cambria Math" w:hAnsi="Cambria Math"/>
              </w:rPr>
              <m:t>L</m:t>
            </m:r>
            <m:ctrlPr>
              <w:rPr>
                <w:rFonts w:ascii="Cambria Math" w:hAnsi="Cambria Math"/>
              </w:rPr>
            </m:ctrlPr>
          </m:e>
          <m:sub>
            <m:r>
              <m:rPr>
                <m:sty m:val="p"/>
              </m:rPr>
              <w:rPr>
                <w:rFonts w:ascii="Cambria Math" w:hAnsi="Cambria Math"/>
              </w:rPr>
              <m:t>1</m:t>
            </m:r>
            <m:ctrlPr>
              <w:rPr>
                <w:rFonts w:ascii="Cambria Math" w:hAnsi="Cambria Math"/>
              </w:rPr>
            </m:ctrlPr>
          </m:sub>
        </m:sSub>
      </m:oMath>
      <w:r>
        <w:t>-</w:t>
      </w:r>
      <m:oMath>
        <m:r>
          <m:rPr>
            <m:sty m:val="p"/>
          </m:rPr>
          <w:rPr>
            <w:rFonts w:ascii="Cambria Math" w:hAnsi="Cambria Math"/>
          </w:rPr>
          <m:t>Δ</m:t>
        </m:r>
        <m:sSub>
          <m:sSubPr>
            <m:ctrlPr>
              <w:rPr>
                <w:rFonts w:ascii="Cambria Math" w:hAnsi="Cambria Math"/>
              </w:rPr>
            </m:ctrlPr>
          </m:sSubPr>
          <m:e>
            <m:r>
              <m:rPr/>
              <w:rPr>
                <w:rFonts w:ascii="Cambria Math" w:hAnsi="Cambria Math"/>
              </w:rPr>
              <m:t>L</m:t>
            </m:r>
            <m:ctrlPr>
              <w:rPr>
                <w:rFonts w:ascii="Cambria Math" w:hAnsi="Cambria Math"/>
              </w:rPr>
            </m:ctrlPr>
          </m:e>
          <m:sub>
            <m:r>
              <m:rPr>
                <m:sty m:val="p"/>
              </m:rPr>
              <w:rPr>
                <w:rFonts w:ascii="Cambria Math" w:hAnsi="Cambria Math"/>
              </w:rPr>
              <m:t>2</m:t>
            </m:r>
            <m:ctrlPr>
              <w:rPr>
                <w:rFonts w:ascii="Cambria Math" w:hAnsi="Cambria Math"/>
              </w:rPr>
            </m:ctrlPr>
          </m:sub>
        </m:sSub>
      </m:oMath>
      <w:r>
        <w:t>+</w:t>
      </w:r>
      <m:oMath>
        <m:r>
          <m:rPr>
            <m:sty m:val="p"/>
          </m:rPr>
          <w:rPr>
            <w:rFonts w:ascii="Cambria Math" w:hAnsi="Cambria Math"/>
          </w:rPr>
          <m:t>Δ</m:t>
        </m:r>
        <m:sSub>
          <m:sSubPr>
            <m:ctrlPr>
              <w:rPr>
                <w:rFonts w:ascii="Cambria Math" w:hAnsi="Cambria Math"/>
              </w:rPr>
            </m:ctrlPr>
          </m:sSubPr>
          <m:e>
            <m:r>
              <m:rPr/>
              <w:rPr>
                <w:rFonts w:ascii="Cambria Math" w:hAnsi="Cambria Math"/>
              </w:rPr>
              <m:t>L</m:t>
            </m:r>
            <m:ctrlPr>
              <w:rPr>
                <w:rFonts w:ascii="Cambria Math" w:hAnsi="Cambria Math"/>
              </w:rPr>
            </m:ctrlPr>
          </m:e>
          <m:sub>
            <m:r>
              <m:rPr>
                <m:sty m:val="p"/>
              </m:rPr>
              <w:rPr>
                <w:rFonts w:ascii="Cambria Math" w:hAnsi="Cambria Math"/>
              </w:rPr>
              <m:t>3</m:t>
            </m:r>
            <m:ctrlPr>
              <w:rPr>
                <w:rFonts w:ascii="Cambria Math" w:hAnsi="Cambria Math"/>
              </w:rPr>
            </m:ctrlPr>
          </m:sub>
        </m:sSub>
      </m:oMath>
      <w:r>
        <w:rPr>
          <w:rFonts w:hint="eastAsia"/>
        </w:rPr>
        <w:t xml:space="preserve">                             （2）</w:t>
      </w:r>
    </w:p>
    <w:p w14:paraId="6A353725">
      <w:pPr>
        <w:ind w:firstLine="480"/>
        <w:jc w:val="center"/>
      </w:pPr>
      <m:oMath>
        <m:r>
          <m:rPr>
            <m:sty m:val="p"/>
          </m:rPr>
          <w:rPr>
            <w:rFonts w:ascii="Cambria Math" w:hAnsi="Cambria Math"/>
          </w:rPr>
          <m:t>Δ</m:t>
        </m:r>
        <m:sSub>
          <m:sSubPr>
            <m:ctrlPr>
              <w:rPr>
                <w:rFonts w:ascii="Cambria Math" w:hAnsi="Cambria Math"/>
              </w:rPr>
            </m:ctrlPr>
          </m:sSubPr>
          <m:e>
            <m:r>
              <m:rPr/>
              <w:rPr>
                <w:rFonts w:ascii="Cambria Math" w:hAnsi="Cambria Math"/>
              </w:rPr>
              <m:t>L</m:t>
            </m:r>
            <m:ctrlPr>
              <w:rPr>
                <w:rFonts w:ascii="Cambria Math" w:hAnsi="Cambria Math"/>
              </w:rPr>
            </m:ctrlPr>
          </m:e>
          <m:sub>
            <m:r>
              <m:rPr>
                <m:sty m:val="p"/>
              </m:rPr>
              <w:rPr>
                <w:rFonts w:ascii="Cambria Math" w:hAnsi="Cambria Math"/>
              </w:rPr>
              <m:t>1</m:t>
            </m:r>
            <m:ctrlPr>
              <w:rPr>
                <w:rFonts w:ascii="Cambria Math" w:hAnsi="Cambria Math"/>
              </w:rPr>
            </m:ctrlPr>
          </m:sub>
        </m:sSub>
      </m:oMath>
      <w:r>
        <w:t>=</w:t>
      </w:r>
      <m:oMath>
        <m:r>
          <m:rPr>
            <m:sty m:val="p"/>
          </m:rPr>
          <w:rPr>
            <w:rFonts w:ascii="Cambria Math" w:hAnsi="Cambria Math"/>
          </w:rPr>
          <m:t>Δ</m:t>
        </m:r>
        <m:sSub>
          <m:sSubPr>
            <m:ctrlPr>
              <w:rPr>
                <w:rFonts w:ascii="Cambria Math" w:hAnsi="Cambria Math"/>
              </w:rPr>
            </m:ctrlPr>
          </m:sSubPr>
          <m:e>
            <m:r>
              <m:rPr/>
              <w:rPr>
                <w:rFonts w:ascii="Cambria Math" w:hAnsi="Cambria Math"/>
              </w:rPr>
              <m:t>L</m:t>
            </m:r>
            <m:ctrlPr>
              <w:rPr>
                <w:rFonts w:ascii="Cambria Math" w:hAnsi="Cambria Math"/>
              </w:rPr>
            </m:ctrlPr>
          </m:e>
          <m:sub>
            <m:r>
              <m:rPr>
                <m:sty m:val="p"/>
              </m:rPr>
              <w:rPr>
                <w:rFonts w:ascii="Cambria Math" w:hAnsi="Cambria Math"/>
              </w:rPr>
              <m:t>坡度</m:t>
            </m:r>
            <m:ctrlPr>
              <w:rPr>
                <w:rFonts w:ascii="Cambria Math" w:hAnsi="Cambria Math"/>
              </w:rPr>
            </m:ctrlPr>
          </m:sub>
        </m:sSub>
      </m:oMath>
      <w:r>
        <w:t>+</w:t>
      </w:r>
      <m:oMath>
        <m:r>
          <m:rPr>
            <m:sty m:val="p"/>
          </m:rPr>
          <w:rPr>
            <w:rFonts w:ascii="Cambria Math" w:hAnsi="Cambria Math"/>
          </w:rPr>
          <m:t>Δ</m:t>
        </m:r>
        <m:sSub>
          <m:sSubPr>
            <m:ctrlPr>
              <w:rPr>
                <w:rFonts w:ascii="Cambria Math" w:hAnsi="Cambria Math"/>
              </w:rPr>
            </m:ctrlPr>
          </m:sSubPr>
          <m:e>
            <m:r>
              <m:rPr/>
              <w:rPr>
                <w:rFonts w:ascii="Cambria Math" w:hAnsi="Cambria Math"/>
              </w:rPr>
              <m:t>L</m:t>
            </m:r>
            <m:ctrlPr>
              <w:rPr>
                <w:rFonts w:ascii="Cambria Math" w:hAnsi="Cambria Math"/>
              </w:rPr>
            </m:ctrlPr>
          </m:e>
          <m:sub>
            <m:r>
              <m:rPr>
                <m:sty m:val="p"/>
              </m:rPr>
              <w:rPr>
                <w:rFonts w:ascii="Cambria Math" w:hAnsi="Cambria Math"/>
              </w:rPr>
              <m:t>路面</m:t>
            </m:r>
            <m:ctrlPr>
              <w:rPr>
                <w:rFonts w:ascii="Cambria Math" w:hAnsi="Cambria Math"/>
              </w:rPr>
            </m:ctrlPr>
          </m:sub>
        </m:sSub>
      </m:oMath>
      <w:r>
        <w:rPr>
          <w:rFonts w:hint="eastAsia"/>
        </w:rPr>
        <w:t xml:space="preserve">                            （3）</w:t>
      </w:r>
    </w:p>
    <w:p w14:paraId="16917377">
      <w:pPr>
        <w:ind w:firstLine="480"/>
        <w:jc w:val="center"/>
      </w:pPr>
      <m:oMath>
        <m:r>
          <m:rPr>
            <m:sty m:val="p"/>
          </m:rPr>
          <w:rPr>
            <w:rFonts w:ascii="Cambria Math" w:hAnsi="Cambria Math"/>
          </w:rPr>
          <m:t>Δ</m:t>
        </m:r>
        <m:sSub>
          <m:sSubPr>
            <m:ctrlPr>
              <w:rPr>
                <w:rFonts w:ascii="Cambria Math" w:hAnsi="Cambria Math"/>
              </w:rPr>
            </m:ctrlPr>
          </m:sSubPr>
          <m:e>
            <m:r>
              <m:rPr/>
              <w:rPr>
                <w:rFonts w:ascii="Cambria Math" w:hAnsi="Cambria Math"/>
              </w:rPr>
              <m:t>L</m:t>
            </m:r>
            <m:ctrlPr>
              <w:rPr>
                <w:rFonts w:ascii="Cambria Math" w:hAnsi="Cambria Math"/>
              </w:rPr>
            </m:ctrlPr>
          </m:e>
          <m:sub>
            <m:r>
              <m:rPr>
                <m:sty m:val="p"/>
              </m:rPr>
              <w:rPr>
                <w:rFonts w:ascii="Cambria Math" w:hAnsi="Cambria Math"/>
              </w:rPr>
              <m:t>2</m:t>
            </m:r>
            <m:ctrlPr>
              <w:rPr>
                <w:rFonts w:ascii="Cambria Math" w:hAnsi="Cambria Math"/>
              </w:rPr>
            </m:ctrlPr>
          </m:sub>
        </m:sSub>
      </m:oMath>
      <w:r>
        <w:t>=A</w:t>
      </w:r>
      <w:r>
        <w:rPr>
          <w:vertAlign w:val="subscript"/>
        </w:rPr>
        <w:t>atm</w:t>
      </w:r>
      <w:r>
        <w:t>+A</w:t>
      </w:r>
      <w:r>
        <w:rPr>
          <w:vertAlign w:val="subscript"/>
        </w:rPr>
        <w:t>gr</w:t>
      </w:r>
      <w:r>
        <w:t>+A</w:t>
      </w:r>
      <w:r>
        <w:rPr>
          <w:vertAlign w:val="subscript"/>
        </w:rPr>
        <w:t>bar</w:t>
      </w:r>
      <w:r>
        <w:t>+A</w:t>
      </w:r>
      <w:r>
        <w:rPr>
          <w:vertAlign w:val="subscript"/>
        </w:rPr>
        <w:t>misc</w:t>
      </w:r>
      <w:r>
        <w:rPr>
          <w:rFonts w:hint="eastAsia"/>
        </w:rPr>
        <w:t xml:space="preserve">                       （4）</w:t>
      </w:r>
    </w:p>
    <w:p w14:paraId="65075AB8">
      <w:pPr>
        <w:ind w:firstLine="480"/>
      </w:pPr>
      <w:r>
        <w:t>式中：</w:t>
      </w:r>
      <m:oMath>
        <m:r>
          <m:rPr/>
          <w:rPr>
            <w:rFonts w:ascii="Cambria Math"/>
          </w:rPr>
          <m:t>Δ</m:t>
        </m:r>
        <m:sSub>
          <m:sSubPr>
            <m:ctrlPr>
              <w:rPr>
                <w:rFonts w:ascii="Cambria Math" w:hAnsi="Cambria Math"/>
                <w:i/>
              </w:rPr>
            </m:ctrlPr>
          </m:sSubPr>
          <m:e>
            <m:r>
              <m:rPr/>
              <w:rPr>
                <w:rFonts w:ascii="Cambria Math"/>
              </w:rPr>
              <m:t>L</m:t>
            </m:r>
            <m:ctrlPr>
              <w:rPr>
                <w:rFonts w:ascii="Cambria Math" w:hAnsi="Cambria Math"/>
                <w:i/>
              </w:rPr>
            </m:ctrlPr>
          </m:e>
          <m:sub>
            <m:r>
              <m:rPr/>
              <w:rPr>
                <w:rFonts w:ascii="Cambria Math"/>
              </w:rPr>
              <m:t>1</m:t>
            </m:r>
            <m:ctrlPr>
              <w:rPr>
                <w:rFonts w:ascii="Cambria Math" w:hAnsi="Cambria Math"/>
                <w:i/>
              </w:rPr>
            </m:ctrlPr>
          </m:sub>
        </m:sSub>
      </m:oMath>
      <w:r>
        <w:t>为线路因素引起的修正量，dB</w:t>
      </w:r>
      <w:r>
        <w:rPr>
          <w:rFonts w:hint="eastAsia"/>
        </w:rPr>
        <w:t>（</w:t>
      </w:r>
      <w:r>
        <w:t>A</w:t>
      </w:r>
      <w:r>
        <w:rPr>
          <w:rFonts w:hint="eastAsia"/>
        </w:rPr>
        <w:t>）</w:t>
      </w:r>
      <w:r>
        <w:t>；</w:t>
      </w:r>
      <m:oMath>
        <m:r>
          <m:rPr/>
          <w:rPr>
            <w:rFonts w:ascii="Cambria Math"/>
          </w:rPr>
          <m:t>Δ</m:t>
        </m:r>
        <m:sSub>
          <m:sSubPr>
            <m:ctrlPr>
              <w:rPr>
                <w:rFonts w:ascii="Cambria Math" w:hAnsi="Cambria Math"/>
                <w:i/>
              </w:rPr>
            </m:ctrlPr>
          </m:sSubPr>
          <m:e>
            <m:r>
              <m:rPr/>
              <w:rPr>
                <w:rFonts w:ascii="Cambria Math"/>
              </w:rPr>
              <m:t>L</m:t>
            </m:r>
            <m:ctrlPr>
              <w:rPr>
                <w:rFonts w:ascii="Cambria Math" w:hAnsi="Cambria Math"/>
                <w:i/>
              </w:rPr>
            </m:ctrlPr>
          </m:e>
          <m:sub>
            <m:r>
              <m:rPr/>
              <w:rPr>
                <w:rFonts w:ascii="Cambria Math"/>
              </w:rPr>
              <m:t>坡度</m:t>
            </m:r>
            <m:ctrlPr>
              <w:rPr>
                <w:rFonts w:ascii="Cambria Math" w:hAnsi="Cambria Math"/>
                <w:i/>
              </w:rPr>
            </m:ctrlPr>
          </m:sub>
        </m:sSub>
      </m:oMath>
      <w:r>
        <w:t>为公路纵坡修正量，dB</w:t>
      </w:r>
      <w:r>
        <w:rPr>
          <w:rFonts w:hint="eastAsia"/>
        </w:rPr>
        <w:t>（</w:t>
      </w:r>
      <w:r>
        <w:t>A</w:t>
      </w:r>
      <w:r>
        <w:rPr>
          <w:rFonts w:hint="eastAsia"/>
        </w:rPr>
        <w:t>）</w:t>
      </w:r>
      <w:r>
        <w:t>；</w:t>
      </w:r>
      <m:oMath>
        <m:r>
          <m:rPr/>
          <w:rPr>
            <w:rFonts w:ascii="Cambria Math"/>
          </w:rPr>
          <m:t>Δ</m:t>
        </m:r>
        <m:sSub>
          <m:sSubPr>
            <m:ctrlPr>
              <w:rPr>
                <w:rFonts w:ascii="Cambria Math" w:hAnsi="Cambria Math"/>
                <w:i/>
              </w:rPr>
            </m:ctrlPr>
          </m:sSubPr>
          <m:e>
            <m:r>
              <m:rPr/>
              <w:rPr>
                <w:rFonts w:ascii="Cambria Math"/>
              </w:rPr>
              <m:t>L</m:t>
            </m:r>
            <m:ctrlPr>
              <w:rPr>
                <w:rFonts w:ascii="Cambria Math" w:hAnsi="Cambria Math"/>
                <w:i/>
              </w:rPr>
            </m:ctrlPr>
          </m:e>
          <m:sub>
            <m:r>
              <m:rPr/>
              <w:rPr>
                <w:rFonts w:ascii="Cambria Math"/>
              </w:rPr>
              <m:t>路面</m:t>
            </m:r>
            <m:ctrlPr>
              <w:rPr>
                <w:rFonts w:ascii="Cambria Math" w:hAnsi="Cambria Math"/>
                <w:i/>
              </w:rPr>
            </m:ctrlPr>
          </m:sub>
        </m:sSub>
      </m:oMath>
      <w:r>
        <w:t>为公路路面材料引起的修正量，dB</w:t>
      </w:r>
      <w:r>
        <w:rPr>
          <w:rFonts w:hint="eastAsia"/>
        </w:rPr>
        <w:t>（</w:t>
      </w:r>
      <w:r>
        <w:t>A</w:t>
      </w:r>
      <w:r>
        <w:rPr>
          <w:rFonts w:hint="eastAsia"/>
        </w:rPr>
        <w:t>）</w:t>
      </w:r>
      <w:r>
        <w:t>；</w:t>
      </w:r>
      <m:oMath>
        <m:r>
          <m:rPr/>
          <w:rPr>
            <w:rFonts w:ascii="Cambria Math"/>
          </w:rPr>
          <m:t>Δ</m:t>
        </m:r>
        <m:sSub>
          <m:sSubPr>
            <m:ctrlPr>
              <w:rPr>
                <w:rFonts w:ascii="Cambria Math" w:hAnsi="Cambria Math"/>
                <w:i/>
              </w:rPr>
            </m:ctrlPr>
          </m:sSubPr>
          <m:e>
            <m:r>
              <m:rPr/>
              <w:rPr>
                <w:rFonts w:ascii="Cambria Math"/>
              </w:rPr>
              <m:t>L</m:t>
            </m:r>
            <m:ctrlPr>
              <w:rPr>
                <w:rFonts w:ascii="Cambria Math" w:hAnsi="Cambria Math"/>
                <w:i/>
              </w:rPr>
            </m:ctrlPr>
          </m:e>
          <m:sub>
            <m:r>
              <m:rPr/>
              <w:rPr>
                <w:rFonts w:ascii="Cambria Math"/>
              </w:rPr>
              <m:t>2</m:t>
            </m:r>
            <m:ctrlPr>
              <w:rPr>
                <w:rFonts w:ascii="Cambria Math" w:hAnsi="Cambria Math"/>
                <w:i/>
              </w:rPr>
            </m:ctrlPr>
          </m:sub>
        </m:sSub>
      </m:oMath>
      <w:r>
        <w:t>为声波传播途径引起的衰减量，dB</w:t>
      </w:r>
      <w:r>
        <w:rPr>
          <w:rFonts w:hint="eastAsia"/>
        </w:rPr>
        <w:t>（</w:t>
      </w:r>
      <w:r>
        <w:t>A</w:t>
      </w:r>
      <w:r>
        <w:rPr>
          <w:rFonts w:hint="eastAsia"/>
        </w:rPr>
        <w:t>）</w:t>
      </w:r>
      <w:r>
        <w:t>；</w:t>
      </w:r>
      <m:oMath>
        <m:r>
          <m:rPr/>
          <w:rPr>
            <w:rFonts w:ascii="Cambria Math"/>
          </w:rPr>
          <m:t>Δ</m:t>
        </m:r>
        <m:sSub>
          <m:sSubPr>
            <m:ctrlPr>
              <w:rPr>
                <w:rFonts w:ascii="Cambria Math" w:hAnsi="Cambria Math"/>
                <w:i/>
              </w:rPr>
            </m:ctrlPr>
          </m:sSubPr>
          <m:e>
            <m:r>
              <m:rPr/>
              <w:rPr>
                <w:rFonts w:ascii="Cambria Math"/>
              </w:rPr>
              <m:t>L</m:t>
            </m:r>
            <m:ctrlPr>
              <w:rPr>
                <w:rFonts w:ascii="Cambria Math" w:hAnsi="Cambria Math"/>
                <w:i/>
              </w:rPr>
            </m:ctrlPr>
          </m:e>
          <m:sub>
            <m:r>
              <m:rPr/>
              <w:rPr>
                <w:rFonts w:ascii="Cambria Math"/>
              </w:rPr>
              <m:t>3</m:t>
            </m:r>
            <m:ctrlPr>
              <w:rPr>
                <w:rFonts w:ascii="Cambria Math" w:hAnsi="Cambria Math"/>
                <w:i/>
              </w:rPr>
            </m:ctrlPr>
          </m:sub>
        </m:sSub>
      </m:oMath>
      <w:r>
        <w:t>为由反射等引起的修正量，dB</w:t>
      </w:r>
      <w:r>
        <w:rPr>
          <w:rFonts w:hint="eastAsia"/>
        </w:rPr>
        <w:t>（</w:t>
      </w:r>
      <w:r>
        <w:t>A</w:t>
      </w:r>
      <w:r>
        <w:rPr>
          <w:rFonts w:hint="eastAsia"/>
        </w:rPr>
        <w:t>）</w:t>
      </w:r>
      <w:r>
        <w:t>；</w:t>
      </w:r>
      <m:oMath>
        <m:sSub>
          <m:sSubPr>
            <m:ctrlPr>
              <w:rPr>
                <w:rFonts w:ascii="Cambria Math" w:hAnsi="Cambria Math"/>
                <w:i/>
              </w:rPr>
            </m:ctrlPr>
          </m:sSubPr>
          <m:e>
            <m:r>
              <m:rPr/>
              <w:rPr>
                <w:rFonts w:ascii="Cambria Math"/>
              </w:rPr>
              <m:t>A</m:t>
            </m:r>
            <m:ctrlPr>
              <w:rPr>
                <w:rFonts w:ascii="Cambria Math" w:hAnsi="Cambria Math"/>
                <w:i/>
              </w:rPr>
            </m:ctrlPr>
          </m:e>
          <m:sub>
            <m:r>
              <m:rPr/>
              <w:rPr>
                <w:rFonts w:ascii="Cambria Math"/>
              </w:rPr>
              <m:t>atm</m:t>
            </m:r>
            <m:ctrlPr>
              <w:rPr>
                <w:rFonts w:ascii="Cambria Math" w:hAnsi="Cambria Math"/>
                <w:i/>
              </w:rPr>
            </m:ctrlPr>
          </m:sub>
        </m:sSub>
      </m:oMath>
      <w:r>
        <w:t>为大气吸收引起的倍频带衰减，dB；</w:t>
      </w:r>
      <m:oMath>
        <m:sSub>
          <m:sSubPr>
            <m:ctrlPr>
              <w:rPr>
                <w:rFonts w:ascii="Cambria Math" w:hAnsi="Cambria Math"/>
                <w:i/>
              </w:rPr>
            </m:ctrlPr>
          </m:sSubPr>
          <m:e>
            <m:r>
              <m:rPr/>
              <w:rPr>
                <w:rFonts w:ascii="Cambria Math"/>
              </w:rPr>
              <m:t>A</m:t>
            </m:r>
            <m:ctrlPr>
              <w:rPr>
                <w:rFonts w:ascii="Cambria Math" w:hAnsi="Cambria Math"/>
                <w:i/>
              </w:rPr>
            </m:ctrlPr>
          </m:e>
          <m:sub>
            <m:r>
              <m:rPr/>
              <w:rPr>
                <w:rFonts w:ascii="Cambria Math"/>
              </w:rPr>
              <m:t>gr</m:t>
            </m:r>
            <m:ctrlPr>
              <w:rPr>
                <w:rFonts w:ascii="Cambria Math" w:hAnsi="Cambria Math"/>
                <w:i/>
              </w:rPr>
            </m:ctrlPr>
          </m:sub>
        </m:sSub>
      </m:oMath>
      <w:r>
        <w:t>为地面效应引起的倍频带衰减，dB；</w:t>
      </w:r>
      <m:oMath>
        <m:sSub>
          <m:sSubPr>
            <m:ctrlPr>
              <w:rPr>
                <w:rFonts w:ascii="Cambria Math" w:hAnsi="Cambria Math"/>
                <w:i/>
              </w:rPr>
            </m:ctrlPr>
          </m:sSubPr>
          <m:e>
            <m:r>
              <m:rPr/>
              <w:rPr>
                <w:rFonts w:ascii="Cambria Math"/>
              </w:rPr>
              <m:t>A</m:t>
            </m:r>
            <m:ctrlPr>
              <w:rPr>
                <w:rFonts w:ascii="Cambria Math" w:hAnsi="Cambria Math"/>
                <w:i/>
              </w:rPr>
            </m:ctrlPr>
          </m:e>
          <m:sub>
            <m:r>
              <m:rPr/>
              <w:rPr>
                <w:rFonts w:ascii="Cambria Math"/>
              </w:rPr>
              <m:t>bar</m:t>
            </m:r>
            <m:ctrlPr>
              <w:rPr>
                <w:rFonts w:ascii="Cambria Math" w:hAnsi="Cambria Math"/>
                <w:i/>
              </w:rPr>
            </m:ctrlPr>
          </m:sub>
        </m:sSub>
      </m:oMath>
      <w:r>
        <w:t>为声屏障引起的倍频带衰减，dB；</w:t>
      </w:r>
      <m:oMath>
        <m:sSub>
          <m:sSubPr>
            <m:ctrlPr>
              <w:rPr>
                <w:rFonts w:ascii="Cambria Math" w:hAnsi="Cambria Math"/>
                <w:i/>
              </w:rPr>
            </m:ctrlPr>
          </m:sSubPr>
          <m:e>
            <m:r>
              <m:rPr/>
              <w:rPr>
                <w:rFonts w:ascii="Cambria Math"/>
              </w:rPr>
              <m:t>A</m:t>
            </m:r>
            <m:ctrlPr>
              <w:rPr>
                <w:rFonts w:ascii="Cambria Math" w:hAnsi="Cambria Math"/>
                <w:i/>
              </w:rPr>
            </m:ctrlPr>
          </m:e>
          <m:sub>
            <m:r>
              <m:rPr/>
              <w:rPr>
                <w:rFonts w:ascii="Cambria Math"/>
              </w:rPr>
              <m:t>misc</m:t>
            </m:r>
            <m:ctrlPr>
              <w:rPr>
                <w:rFonts w:ascii="Cambria Math" w:hAnsi="Cambria Math"/>
                <w:i/>
              </w:rPr>
            </m:ctrlPr>
          </m:sub>
        </m:sSub>
      </m:oMath>
      <w:r>
        <w:t>为其他多方面效应引起的倍频带衰减，dB。</w:t>
      </w:r>
    </w:p>
    <w:p w14:paraId="6630316A">
      <w:pPr>
        <w:ind w:firstLine="480"/>
      </w:pPr>
      <w:r>
        <w:rPr>
          <w:rFonts w:hint="eastAsia"/>
        </w:rPr>
        <w:t>总车流等效声级按下式计算：</w:t>
      </w:r>
    </w:p>
    <w:p w14:paraId="61E490EA">
      <w:pPr>
        <w:ind w:firstLine="480"/>
        <w:rPr>
          <w:bCs/>
        </w:rPr>
      </w:pPr>
      <m:oMathPara>
        <m:oMath>
          <m:sSub>
            <m:sSubPr>
              <m:ctrlPr>
                <w:rPr>
                  <w:rFonts w:ascii="Cambria Math" w:hAnsi="Cambria Math" w:cs="Times New Roman"/>
                  <w:bCs/>
                  <w:i/>
                  <w:szCs w:val="24"/>
                </w:rPr>
              </m:ctrlPr>
            </m:sSubPr>
            <m:e>
              <m:r>
                <m:rPr/>
                <w:rPr>
                  <w:rFonts w:ascii="Cambria Math" w:cs="Times New Roman"/>
                  <w:szCs w:val="24"/>
                </w:rPr>
                <m:t>L</m:t>
              </m:r>
              <m:ctrlPr>
                <w:rPr>
                  <w:rFonts w:ascii="Cambria Math" w:hAnsi="Cambria Math" w:cs="Times New Roman"/>
                  <w:bCs/>
                  <w:i/>
                  <w:szCs w:val="24"/>
                </w:rPr>
              </m:ctrlPr>
            </m:e>
            <m:sub>
              <m:r>
                <m:rPr/>
                <w:rPr>
                  <w:rFonts w:hint="eastAsia" w:ascii="Cambria Math" w:cs="Times New Roman"/>
                  <w:szCs w:val="24"/>
                </w:rPr>
                <m:t>e</m:t>
              </m:r>
              <m:r>
                <m:rPr/>
                <w:rPr>
                  <w:rFonts w:ascii="Cambria Math" w:cs="Times New Roman"/>
                  <w:szCs w:val="24"/>
                </w:rPr>
                <m:t>q</m:t>
              </m:r>
              <m:ctrlPr>
                <w:rPr>
                  <w:rFonts w:ascii="Cambria Math" w:hAnsi="Cambria Math" w:cs="Times New Roman"/>
                  <w:bCs/>
                  <w:i/>
                  <w:szCs w:val="24"/>
                </w:rPr>
              </m:ctrlPr>
            </m:sub>
          </m:sSub>
          <m:r>
            <m:rPr/>
            <w:rPr>
              <w:rFonts w:ascii="Cambria Math"/>
            </w:rPr>
            <m:t>(T)=10lg</m:t>
          </m:r>
          <m:d>
            <m:dPr>
              <m:begChr m:val="["/>
              <m:endChr m:val="]"/>
              <m:ctrlPr>
                <w:rPr>
                  <w:rFonts w:ascii="Cambria Math" w:hAnsi="Cambria Math"/>
                  <w:bCs/>
                  <w:i/>
                </w:rPr>
              </m:ctrlPr>
            </m:dPr>
            <m:e>
              <m:sSup>
                <m:sSupPr>
                  <m:ctrlPr>
                    <w:rPr>
                      <w:rFonts w:ascii="Cambria Math" w:hAnsi="Cambria Math"/>
                      <w:bCs/>
                      <w:i/>
                    </w:rPr>
                  </m:ctrlPr>
                </m:sSupPr>
                <m:e>
                  <m:r>
                    <m:rPr/>
                    <w:rPr>
                      <w:rFonts w:ascii="Cambria Math"/>
                    </w:rPr>
                    <m:t>10</m:t>
                  </m:r>
                  <m:ctrlPr>
                    <w:rPr>
                      <w:rFonts w:ascii="Cambria Math" w:hAnsi="Cambria Math"/>
                      <w:bCs/>
                      <w:i/>
                    </w:rPr>
                  </m:ctrlPr>
                </m:e>
                <m:sup>
                  <m:r>
                    <m:rPr/>
                    <w:rPr>
                      <w:rFonts w:ascii="Cambria Math"/>
                    </w:rPr>
                    <m:t>0.1Leq</m:t>
                  </m:r>
                  <m:d>
                    <m:dPr>
                      <m:ctrlPr>
                        <w:rPr>
                          <w:rFonts w:ascii="Cambria Math" w:hAnsi="Cambria Math"/>
                          <w:bCs/>
                          <w:i/>
                        </w:rPr>
                      </m:ctrlPr>
                    </m:dPr>
                    <m:e>
                      <m:r>
                        <m:rPr/>
                        <w:rPr>
                          <w:rFonts w:ascii="Cambria Math"/>
                        </w:rPr>
                        <m:t>h</m:t>
                      </m:r>
                      <m:ctrlPr>
                        <w:rPr>
                          <w:rFonts w:ascii="Cambria Math" w:hAnsi="Cambria Math"/>
                          <w:bCs/>
                          <w:i/>
                        </w:rPr>
                      </m:ctrlPr>
                    </m:e>
                  </m:d>
                  <m:r>
                    <m:rPr/>
                    <w:rPr>
                      <w:rFonts w:hint="eastAsia" w:ascii="Cambria Math"/>
                    </w:rPr>
                    <m:t>大</m:t>
                  </m:r>
                  <m:ctrlPr>
                    <w:rPr>
                      <w:rFonts w:ascii="Cambria Math" w:hAnsi="Cambria Math"/>
                      <w:bCs/>
                      <w:i/>
                    </w:rPr>
                  </m:ctrlPr>
                </m:sup>
              </m:sSup>
              <m:r>
                <m:rPr/>
                <w:rPr>
                  <w:rFonts w:hint="eastAsia" w:ascii="Cambria Math"/>
                </w:rPr>
                <m:t>+</m:t>
              </m:r>
              <m:sSup>
                <m:sSupPr>
                  <m:ctrlPr>
                    <w:rPr>
                      <w:rFonts w:ascii="Cambria Math" w:hAnsi="Cambria Math"/>
                      <w:bCs/>
                      <w:i/>
                    </w:rPr>
                  </m:ctrlPr>
                </m:sSupPr>
                <m:e>
                  <m:r>
                    <m:rPr/>
                    <w:rPr>
                      <w:rFonts w:ascii="Cambria Math"/>
                    </w:rPr>
                    <m:t>10</m:t>
                  </m:r>
                  <m:ctrlPr>
                    <w:rPr>
                      <w:rFonts w:ascii="Cambria Math" w:hAnsi="Cambria Math"/>
                      <w:bCs/>
                      <w:i/>
                    </w:rPr>
                  </m:ctrlPr>
                </m:e>
                <m:sup>
                  <m:r>
                    <m:rPr/>
                    <w:rPr>
                      <w:rFonts w:ascii="Cambria Math"/>
                    </w:rPr>
                    <m:t>0.1Leq</m:t>
                  </m:r>
                  <m:d>
                    <m:dPr>
                      <m:ctrlPr>
                        <w:rPr>
                          <w:rFonts w:ascii="Cambria Math" w:hAnsi="Cambria Math"/>
                          <w:bCs/>
                          <w:i/>
                        </w:rPr>
                      </m:ctrlPr>
                    </m:dPr>
                    <m:e>
                      <m:r>
                        <m:rPr/>
                        <w:rPr>
                          <w:rFonts w:ascii="Cambria Math"/>
                        </w:rPr>
                        <m:t>h</m:t>
                      </m:r>
                      <m:ctrlPr>
                        <w:rPr>
                          <w:rFonts w:ascii="Cambria Math" w:hAnsi="Cambria Math"/>
                          <w:bCs/>
                          <w:i/>
                        </w:rPr>
                      </m:ctrlPr>
                    </m:e>
                  </m:d>
                  <m:r>
                    <m:rPr/>
                    <w:rPr>
                      <w:rFonts w:hint="eastAsia" w:ascii="Cambria Math"/>
                    </w:rPr>
                    <m:t>中</m:t>
                  </m:r>
                  <m:ctrlPr>
                    <w:rPr>
                      <w:rFonts w:ascii="Cambria Math" w:hAnsi="Cambria Math"/>
                      <w:bCs/>
                      <w:i/>
                    </w:rPr>
                  </m:ctrlPr>
                </m:sup>
              </m:sSup>
              <m:sSup>
                <m:sSupPr>
                  <m:ctrlPr>
                    <w:rPr>
                      <w:rFonts w:ascii="Cambria Math" w:hAnsi="Cambria Math"/>
                      <w:bCs/>
                      <w:i/>
                    </w:rPr>
                  </m:ctrlPr>
                </m:sSupPr>
                <m:e>
                  <m:r>
                    <m:rPr/>
                    <w:rPr>
                      <w:rFonts w:hint="eastAsia" w:ascii="Cambria Math"/>
                    </w:rPr>
                    <m:t>+</m:t>
                  </m:r>
                  <m:r>
                    <m:rPr/>
                    <w:rPr>
                      <w:rFonts w:ascii="Cambria Math"/>
                    </w:rPr>
                    <m:t>10</m:t>
                  </m:r>
                  <m:ctrlPr>
                    <w:rPr>
                      <w:rFonts w:ascii="Cambria Math" w:hAnsi="Cambria Math"/>
                      <w:bCs/>
                      <w:i/>
                    </w:rPr>
                  </m:ctrlPr>
                </m:e>
                <m:sup>
                  <m:r>
                    <m:rPr/>
                    <w:rPr>
                      <w:rFonts w:ascii="Cambria Math"/>
                    </w:rPr>
                    <m:t>0.1Leq</m:t>
                  </m:r>
                  <m:d>
                    <m:dPr>
                      <m:ctrlPr>
                        <w:rPr>
                          <w:rFonts w:ascii="Cambria Math" w:hAnsi="Cambria Math"/>
                          <w:bCs/>
                          <w:i/>
                        </w:rPr>
                      </m:ctrlPr>
                    </m:dPr>
                    <m:e>
                      <m:r>
                        <m:rPr/>
                        <w:rPr>
                          <w:rFonts w:ascii="Cambria Math"/>
                        </w:rPr>
                        <m:t>h</m:t>
                      </m:r>
                      <m:ctrlPr>
                        <w:rPr>
                          <w:rFonts w:ascii="Cambria Math" w:hAnsi="Cambria Math"/>
                          <w:bCs/>
                          <w:i/>
                        </w:rPr>
                      </m:ctrlPr>
                    </m:e>
                  </m:d>
                  <m:r>
                    <m:rPr/>
                    <w:rPr>
                      <w:rFonts w:hint="eastAsia" w:ascii="Cambria Math"/>
                    </w:rPr>
                    <m:t>小</m:t>
                  </m:r>
                  <m:ctrlPr>
                    <w:rPr>
                      <w:rFonts w:ascii="Cambria Math" w:hAnsi="Cambria Math"/>
                      <w:bCs/>
                      <w:i/>
                    </w:rPr>
                  </m:ctrlPr>
                </m:sup>
              </m:sSup>
              <m:ctrlPr>
                <w:rPr>
                  <w:rFonts w:ascii="Cambria Math" w:hAnsi="Cambria Math"/>
                  <w:bCs/>
                  <w:i/>
                </w:rPr>
              </m:ctrlPr>
            </m:e>
          </m:d>
        </m:oMath>
      </m:oMathPara>
    </w:p>
    <w:p w14:paraId="18983FF2">
      <w:pPr>
        <w:ind w:firstLine="480"/>
        <w:rPr>
          <w:bCs/>
        </w:rPr>
      </w:pPr>
      <w:r>
        <w:rPr>
          <w:rFonts w:hint="eastAsia"/>
          <w:bCs/>
        </w:rPr>
        <w:t>式中：</w:t>
      </w:r>
    </w:p>
    <w:p w14:paraId="23D9DFB6">
      <w:pPr>
        <w:ind w:firstLine="480"/>
      </w:pPr>
      <m:oMath>
        <m:sSub>
          <m:sSubPr>
            <m:ctrlPr>
              <w:rPr>
                <w:rFonts w:ascii="Cambria Math" w:hAnsi="Cambria Math" w:cs="Times New Roman"/>
                <w:bCs/>
                <w:i/>
                <w:szCs w:val="24"/>
              </w:rPr>
            </m:ctrlPr>
          </m:sSubPr>
          <m:e>
            <m:r>
              <m:rPr/>
              <w:rPr>
                <w:rFonts w:ascii="Cambria Math" w:cs="Times New Roman"/>
                <w:szCs w:val="24"/>
              </w:rPr>
              <m:t>L</m:t>
            </m:r>
            <m:ctrlPr>
              <w:rPr>
                <w:rFonts w:ascii="Cambria Math" w:hAnsi="Cambria Math" w:cs="Times New Roman"/>
                <w:bCs/>
                <w:i/>
                <w:szCs w:val="24"/>
              </w:rPr>
            </m:ctrlPr>
          </m:e>
          <m:sub>
            <m:r>
              <m:rPr/>
              <w:rPr>
                <w:rFonts w:hint="eastAsia" w:ascii="Cambria Math" w:cs="Times New Roman"/>
                <w:szCs w:val="24"/>
              </w:rPr>
              <m:t>e</m:t>
            </m:r>
            <m:r>
              <m:rPr/>
              <w:rPr>
                <w:rFonts w:ascii="Cambria Math" w:cs="Times New Roman"/>
                <w:szCs w:val="24"/>
              </w:rPr>
              <m:t>q</m:t>
            </m:r>
            <m:ctrlPr>
              <w:rPr>
                <w:rFonts w:ascii="Cambria Math" w:hAnsi="Cambria Math" w:cs="Times New Roman"/>
                <w:bCs/>
                <w:i/>
                <w:szCs w:val="24"/>
              </w:rPr>
            </m:ctrlPr>
          </m:sub>
        </m:sSub>
        <m:r>
          <m:rPr/>
          <w:rPr>
            <w:rFonts w:ascii="Cambria Math"/>
          </w:rPr>
          <m:t>(T)</m:t>
        </m:r>
      </m:oMath>
      <w:r>
        <w:t>——</w:t>
      </w:r>
      <w:r>
        <w:rPr>
          <w:rFonts w:hint="eastAsia"/>
        </w:rPr>
        <w:t>总车流等效声级，dB（A）；</w:t>
      </w:r>
    </w:p>
    <w:p w14:paraId="786816D1">
      <w:pPr>
        <w:ind w:firstLine="480"/>
        <w:rPr>
          <w:bCs/>
        </w:rPr>
      </w:pPr>
      <m:oMath>
        <m:sSub>
          <m:sSubPr>
            <m:ctrlPr>
              <w:rPr>
                <w:rFonts w:ascii="Cambria Math" w:hAnsi="Cambria Math"/>
              </w:rPr>
            </m:ctrlPr>
          </m:sSubPr>
          <m:e>
            <m:r>
              <m:rPr/>
              <w:rPr>
                <w:rFonts w:ascii="Cambria Math" w:hAnsi="Cambria Math"/>
              </w:rPr>
              <m:t>L</m:t>
            </m:r>
            <m:ctrlPr>
              <w:rPr>
                <w:rFonts w:ascii="Cambria Math" w:hAnsi="Cambria Math"/>
              </w:rPr>
            </m:ctrlPr>
          </m:e>
          <m:sub>
            <m:r>
              <m:rPr/>
              <w:rPr>
                <w:rFonts w:hint="eastAsia" w:ascii="Cambria Math" w:hAnsi="Cambria Math"/>
              </w:rPr>
              <m:t>e</m:t>
            </m:r>
            <m:r>
              <m:rPr/>
              <w:rPr>
                <w:rFonts w:ascii="Cambria Math" w:hAnsi="Cambria Math"/>
              </w:rPr>
              <m:t>q</m:t>
            </m:r>
            <m:ctrlPr>
              <w:rPr>
                <w:rFonts w:ascii="Cambria Math" w:hAnsi="Cambria Math"/>
              </w:rPr>
            </m:ctrlPr>
          </m:sub>
        </m:sSub>
        <m:d>
          <m:dPr>
            <m:ctrlPr>
              <w:rPr>
                <w:rFonts w:ascii="Cambria Math" w:hAnsi="Cambria Math"/>
                <w:bCs/>
                <w:i/>
              </w:rPr>
            </m:ctrlPr>
          </m:dPr>
          <m:e>
            <m:r>
              <m:rPr/>
              <w:rPr>
                <w:rFonts w:hint="eastAsia" w:ascii="MS Gothic" w:hAnsi="MS Gothic" w:eastAsia="MS Gothic" w:cs="MS Gothic"/>
              </w:rPr>
              <m:t>h</m:t>
            </m:r>
            <m:ctrlPr>
              <w:rPr>
                <w:rFonts w:ascii="Cambria Math" w:hAnsi="Cambria Math"/>
                <w:bCs/>
                <w:i/>
              </w:rPr>
            </m:ctrlPr>
          </m:e>
        </m:d>
        <m:r>
          <m:rPr/>
          <w:rPr>
            <w:rFonts w:hint="eastAsia" w:ascii="Cambria Math" w:hAnsi="Cambria Math"/>
          </w:rPr>
          <m:t>大</m:t>
        </m:r>
      </m:oMath>
      <w:r>
        <w:t>、</w:t>
      </w:r>
      <m:oMath>
        <m:sSub>
          <m:sSubPr>
            <m:ctrlPr>
              <w:rPr>
                <w:rFonts w:ascii="Cambria Math" w:hAnsi="Cambria Math"/>
              </w:rPr>
            </m:ctrlPr>
          </m:sSubPr>
          <m:e>
            <m:r>
              <m:rPr/>
              <w:rPr>
                <w:rFonts w:ascii="Cambria Math" w:hAnsi="Cambria Math"/>
              </w:rPr>
              <m:t>L</m:t>
            </m:r>
            <m:ctrlPr>
              <w:rPr>
                <w:rFonts w:ascii="Cambria Math" w:hAnsi="Cambria Math"/>
              </w:rPr>
            </m:ctrlPr>
          </m:e>
          <m:sub>
            <m:r>
              <m:rPr/>
              <w:rPr>
                <w:rFonts w:hint="eastAsia" w:ascii="Cambria Math" w:hAnsi="Cambria Math"/>
              </w:rPr>
              <m:t>e</m:t>
            </m:r>
            <m:r>
              <m:rPr/>
              <w:rPr>
                <w:rFonts w:ascii="Cambria Math" w:hAnsi="Cambria Math"/>
              </w:rPr>
              <m:t>q</m:t>
            </m:r>
            <m:ctrlPr>
              <w:rPr>
                <w:rFonts w:ascii="Cambria Math" w:hAnsi="Cambria Math"/>
              </w:rPr>
            </m:ctrlPr>
          </m:sub>
        </m:sSub>
        <m:d>
          <m:dPr>
            <m:ctrlPr>
              <w:rPr>
                <w:rFonts w:ascii="Cambria Math" w:hAnsi="Cambria Math"/>
                <w:bCs/>
                <w:i/>
              </w:rPr>
            </m:ctrlPr>
          </m:dPr>
          <m:e>
            <m:r>
              <m:rPr/>
              <w:rPr>
                <w:rFonts w:hint="eastAsia" w:ascii="MS Gothic" w:hAnsi="MS Gothic" w:eastAsia="MS Gothic" w:cs="MS Gothic"/>
              </w:rPr>
              <m:t>h</m:t>
            </m:r>
            <m:ctrlPr>
              <w:rPr>
                <w:rFonts w:ascii="Cambria Math" w:hAnsi="Cambria Math"/>
                <w:bCs/>
                <w:i/>
              </w:rPr>
            </m:ctrlPr>
          </m:e>
        </m:d>
        <m:r>
          <m:rPr/>
          <w:rPr>
            <w:rFonts w:hint="eastAsia" w:ascii="Cambria Math" w:hAnsi="Cambria Math"/>
          </w:rPr>
          <m:t>中</m:t>
        </m:r>
      </m:oMath>
      <w:r>
        <w:rPr>
          <w:rFonts w:hint="eastAsia"/>
        </w:rPr>
        <w:t>、</w:t>
      </w:r>
      <m:oMath>
        <m:sSub>
          <m:sSubPr>
            <m:ctrlPr>
              <w:rPr>
                <w:rFonts w:ascii="Cambria Math" w:hAnsi="Cambria Math"/>
              </w:rPr>
            </m:ctrlPr>
          </m:sSubPr>
          <m:e>
            <m:r>
              <m:rPr/>
              <w:rPr>
                <w:rFonts w:ascii="Cambria Math" w:hAnsi="Cambria Math"/>
              </w:rPr>
              <m:t>L</m:t>
            </m:r>
            <m:ctrlPr>
              <w:rPr>
                <w:rFonts w:ascii="Cambria Math" w:hAnsi="Cambria Math"/>
              </w:rPr>
            </m:ctrlPr>
          </m:e>
          <m:sub>
            <m:r>
              <m:rPr/>
              <w:rPr>
                <w:rFonts w:hint="eastAsia" w:ascii="Cambria Math" w:hAnsi="Cambria Math"/>
              </w:rPr>
              <m:t>e</m:t>
            </m:r>
            <m:r>
              <m:rPr/>
              <w:rPr>
                <w:rFonts w:ascii="Cambria Math" w:hAnsi="Cambria Math"/>
              </w:rPr>
              <m:t>q</m:t>
            </m:r>
            <m:ctrlPr>
              <w:rPr>
                <w:rFonts w:ascii="Cambria Math" w:hAnsi="Cambria Math"/>
              </w:rPr>
            </m:ctrlPr>
          </m:sub>
        </m:sSub>
        <m:d>
          <m:dPr>
            <m:ctrlPr>
              <w:rPr>
                <w:rFonts w:ascii="Cambria Math" w:hAnsi="Cambria Math"/>
                <w:bCs/>
                <w:i/>
              </w:rPr>
            </m:ctrlPr>
          </m:dPr>
          <m:e>
            <m:r>
              <m:rPr/>
              <w:rPr>
                <w:rFonts w:hint="eastAsia" w:ascii="MS Gothic" w:hAnsi="MS Gothic" w:eastAsia="MS Gothic" w:cs="MS Gothic"/>
              </w:rPr>
              <m:t>h</m:t>
            </m:r>
            <m:ctrlPr>
              <w:rPr>
                <w:rFonts w:ascii="Cambria Math" w:hAnsi="Cambria Math"/>
                <w:bCs/>
                <w:i/>
              </w:rPr>
            </m:ctrlPr>
          </m:e>
        </m:d>
        <m:r>
          <m:rPr/>
          <w:rPr>
            <w:rFonts w:hint="eastAsia" w:ascii="Cambria Math" w:hAnsi="Cambria Math"/>
          </w:rPr>
          <m:t>小</m:t>
        </m:r>
      </m:oMath>
      <w:r>
        <w:t>——</w:t>
      </w:r>
      <w:r>
        <w:rPr>
          <w:rFonts w:hint="eastAsia"/>
        </w:rPr>
        <w:t>大、中、小型车的小时等效声级，dB(A)，</w:t>
      </w:r>
      <w:r>
        <w:rPr>
          <w:bCs/>
        </w:rPr>
        <w:t xml:space="preserve"> </w:t>
      </w:r>
    </w:p>
    <w:p w14:paraId="4C4037A0">
      <w:pPr>
        <w:ind w:firstLine="482"/>
        <w:rPr>
          <w:b/>
          <w:bCs/>
        </w:rPr>
      </w:pPr>
      <w:r>
        <w:rPr>
          <w:rFonts w:hint="eastAsia"/>
          <w:b/>
          <w:bCs/>
        </w:rPr>
        <w:t>（2）预测参数确定</w:t>
      </w:r>
    </w:p>
    <w:p w14:paraId="56A2DDF3">
      <w:pPr>
        <w:ind w:firstLine="480"/>
      </w:pPr>
      <w:r>
        <w:t>根据类比调查，本次评价对主干路、次干路的交通噪声影响进行预测分析，有关参数选取详见表</w:t>
      </w:r>
      <w:r>
        <w:rPr>
          <w:rFonts w:hint="eastAsia"/>
        </w:rPr>
        <w:t>5</w:t>
      </w:r>
      <w:r>
        <w:t>.</w:t>
      </w:r>
      <w:r>
        <w:rPr>
          <w:rFonts w:hint="eastAsia"/>
        </w:rPr>
        <w:t>6</w:t>
      </w:r>
      <w:r>
        <w:t>-2。</w:t>
      </w:r>
    </w:p>
    <w:p w14:paraId="4129918A">
      <w:pPr>
        <w:pStyle w:val="45"/>
        <w:rPr>
          <w:rFonts w:cs="Times New Roman"/>
        </w:rPr>
      </w:pPr>
      <w:r>
        <w:rPr>
          <w:rFonts w:cs="Times New Roman"/>
        </w:rPr>
        <w:t>表</w:t>
      </w:r>
      <w:r>
        <w:rPr>
          <w:rFonts w:hint="eastAsia" w:cs="Times New Roman"/>
        </w:rPr>
        <w:t>5</w:t>
      </w:r>
      <w:r>
        <w:rPr>
          <w:rFonts w:cs="Times New Roman"/>
        </w:rPr>
        <w:t>.</w:t>
      </w:r>
      <w:r>
        <w:rPr>
          <w:rFonts w:hint="eastAsia" w:cs="Times New Roman"/>
        </w:rPr>
        <w:t>6</w:t>
      </w:r>
      <w:r>
        <w:rPr>
          <w:rFonts w:cs="Times New Roman"/>
        </w:rPr>
        <w:t>-2  规划期末度假区道路交通噪声预测参数表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3"/>
        <w:gridCol w:w="1720"/>
        <w:gridCol w:w="1309"/>
        <w:gridCol w:w="1457"/>
        <w:gridCol w:w="1832"/>
        <w:gridCol w:w="1161"/>
      </w:tblGrid>
      <w:tr w14:paraId="32C09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12" w:type="pct"/>
            <w:vAlign w:val="center"/>
          </w:tcPr>
          <w:p w14:paraId="72C121F0">
            <w:pPr>
              <w:widowControl/>
              <w:snapToGrid w:val="0"/>
              <w:spacing w:line="240" w:lineRule="auto"/>
              <w:ind w:firstLine="0" w:firstLineChars="0"/>
              <w:jc w:val="center"/>
              <w:rPr>
                <w:rFonts w:cs="Times New Roman"/>
                <w:b/>
                <w:sz w:val="21"/>
                <w:szCs w:val="21"/>
              </w:rPr>
            </w:pPr>
            <w:r>
              <w:rPr>
                <w:rFonts w:hint="eastAsia" w:cs="Times New Roman"/>
                <w:b/>
                <w:sz w:val="21"/>
                <w:szCs w:val="21"/>
              </w:rPr>
              <w:t>道路类型</w:t>
            </w:r>
          </w:p>
        </w:tc>
        <w:tc>
          <w:tcPr>
            <w:tcW w:w="1009" w:type="pct"/>
            <w:vAlign w:val="center"/>
          </w:tcPr>
          <w:p w14:paraId="763FE6FA">
            <w:pPr>
              <w:widowControl/>
              <w:snapToGrid w:val="0"/>
              <w:spacing w:line="240" w:lineRule="auto"/>
              <w:ind w:firstLine="0" w:firstLineChars="0"/>
              <w:jc w:val="center"/>
              <w:rPr>
                <w:rFonts w:cs="Times New Roman"/>
                <w:b/>
                <w:sz w:val="21"/>
                <w:szCs w:val="21"/>
              </w:rPr>
            </w:pPr>
            <w:r>
              <w:rPr>
                <w:rFonts w:hint="eastAsia" w:cs="Times New Roman"/>
                <w:b/>
                <w:sz w:val="21"/>
                <w:szCs w:val="21"/>
              </w:rPr>
              <w:t>高峰时车流量</w:t>
            </w:r>
          </w:p>
          <w:p w14:paraId="0C8CE927">
            <w:pPr>
              <w:widowControl/>
              <w:snapToGrid w:val="0"/>
              <w:spacing w:line="240" w:lineRule="auto"/>
              <w:ind w:firstLine="0" w:firstLineChars="0"/>
              <w:jc w:val="center"/>
              <w:rPr>
                <w:rFonts w:cs="Times New Roman"/>
                <w:b/>
                <w:sz w:val="21"/>
                <w:szCs w:val="21"/>
              </w:rPr>
            </w:pPr>
            <w:r>
              <w:rPr>
                <w:rFonts w:hint="eastAsia" w:cs="Times New Roman"/>
                <w:b/>
                <w:sz w:val="21"/>
                <w:szCs w:val="21"/>
              </w:rPr>
              <w:t>（辆/小时）</w:t>
            </w:r>
          </w:p>
        </w:tc>
        <w:tc>
          <w:tcPr>
            <w:tcW w:w="768" w:type="pct"/>
            <w:vAlign w:val="center"/>
          </w:tcPr>
          <w:p w14:paraId="14D9390A">
            <w:pPr>
              <w:widowControl/>
              <w:snapToGrid w:val="0"/>
              <w:spacing w:line="240" w:lineRule="auto"/>
              <w:ind w:firstLine="0" w:firstLineChars="0"/>
              <w:jc w:val="center"/>
              <w:rPr>
                <w:rFonts w:cs="Times New Roman"/>
                <w:b/>
                <w:sz w:val="21"/>
                <w:szCs w:val="21"/>
              </w:rPr>
            </w:pPr>
            <w:r>
              <w:rPr>
                <w:rFonts w:hint="eastAsia" w:cs="Times New Roman"/>
                <w:b/>
                <w:sz w:val="21"/>
                <w:szCs w:val="21"/>
              </w:rPr>
              <w:t>车型比</w:t>
            </w:r>
          </w:p>
          <w:p w14:paraId="6C6DED20">
            <w:pPr>
              <w:widowControl/>
              <w:snapToGrid w:val="0"/>
              <w:spacing w:line="240" w:lineRule="auto"/>
              <w:ind w:firstLine="0" w:firstLineChars="0"/>
              <w:jc w:val="center"/>
              <w:rPr>
                <w:rFonts w:cs="Times New Roman"/>
                <w:b/>
                <w:sz w:val="21"/>
                <w:szCs w:val="21"/>
              </w:rPr>
            </w:pPr>
            <w:r>
              <w:rPr>
                <w:rFonts w:hint="eastAsia" w:cs="Times New Roman"/>
                <w:b/>
                <w:sz w:val="21"/>
                <w:szCs w:val="21"/>
              </w:rPr>
              <w:t>（%）</w:t>
            </w:r>
          </w:p>
        </w:tc>
        <w:tc>
          <w:tcPr>
            <w:tcW w:w="855" w:type="pct"/>
            <w:vAlign w:val="center"/>
          </w:tcPr>
          <w:p w14:paraId="502EE32E">
            <w:pPr>
              <w:widowControl/>
              <w:snapToGrid w:val="0"/>
              <w:spacing w:line="240" w:lineRule="auto"/>
              <w:ind w:firstLine="0" w:firstLineChars="0"/>
              <w:jc w:val="center"/>
              <w:rPr>
                <w:rFonts w:cs="Times New Roman"/>
                <w:b/>
                <w:sz w:val="21"/>
                <w:szCs w:val="21"/>
              </w:rPr>
            </w:pPr>
            <w:r>
              <w:rPr>
                <w:rFonts w:hint="eastAsia" w:cs="Times New Roman"/>
                <w:b/>
                <w:sz w:val="21"/>
                <w:szCs w:val="21"/>
              </w:rPr>
              <w:t>平均车流量</w:t>
            </w:r>
          </w:p>
          <w:p w14:paraId="31CE2D9C">
            <w:pPr>
              <w:widowControl/>
              <w:snapToGrid w:val="0"/>
              <w:spacing w:line="240" w:lineRule="auto"/>
              <w:ind w:firstLine="0" w:firstLineChars="0"/>
              <w:jc w:val="center"/>
              <w:rPr>
                <w:rFonts w:cs="Times New Roman"/>
                <w:b/>
                <w:sz w:val="21"/>
                <w:szCs w:val="21"/>
              </w:rPr>
            </w:pPr>
            <w:r>
              <w:rPr>
                <w:rFonts w:hint="eastAsia" w:cs="Times New Roman"/>
                <w:b/>
                <w:sz w:val="21"/>
                <w:szCs w:val="21"/>
              </w:rPr>
              <w:t>（辆/小时）</w:t>
            </w:r>
          </w:p>
        </w:tc>
        <w:tc>
          <w:tcPr>
            <w:tcW w:w="1075" w:type="pct"/>
            <w:vAlign w:val="center"/>
          </w:tcPr>
          <w:p w14:paraId="4DB8819A">
            <w:pPr>
              <w:widowControl/>
              <w:snapToGrid w:val="0"/>
              <w:spacing w:line="240" w:lineRule="auto"/>
              <w:ind w:firstLine="0" w:firstLineChars="0"/>
              <w:jc w:val="center"/>
              <w:rPr>
                <w:rFonts w:cs="Times New Roman"/>
                <w:b/>
                <w:sz w:val="21"/>
                <w:szCs w:val="21"/>
              </w:rPr>
            </w:pPr>
            <w:r>
              <w:rPr>
                <w:rFonts w:hint="eastAsia" w:cs="Times New Roman"/>
                <w:b/>
                <w:sz w:val="21"/>
                <w:szCs w:val="21"/>
              </w:rPr>
              <w:t>能量平均噪声级</w:t>
            </w:r>
          </w:p>
          <w:p w14:paraId="3A50D92C">
            <w:pPr>
              <w:widowControl/>
              <w:snapToGrid w:val="0"/>
              <w:spacing w:line="240" w:lineRule="auto"/>
              <w:ind w:firstLine="0" w:firstLineChars="0"/>
              <w:jc w:val="center"/>
              <w:rPr>
                <w:rFonts w:cs="Times New Roman"/>
                <w:b/>
                <w:sz w:val="21"/>
                <w:szCs w:val="21"/>
              </w:rPr>
            </w:pPr>
            <w:r>
              <w:rPr>
                <w:rFonts w:hint="eastAsia" w:cs="Times New Roman"/>
                <w:b/>
                <w:sz w:val="21"/>
                <w:szCs w:val="21"/>
              </w:rPr>
              <w:t>（dB（A））</w:t>
            </w:r>
          </w:p>
        </w:tc>
        <w:tc>
          <w:tcPr>
            <w:tcW w:w="681" w:type="pct"/>
            <w:vAlign w:val="center"/>
          </w:tcPr>
          <w:p w14:paraId="4AA839DC">
            <w:pPr>
              <w:widowControl/>
              <w:snapToGrid w:val="0"/>
              <w:spacing w:line="240" w:lineRule="auto"/>
              <w:ind w:firstLine="0" w:firstLineChars="0"/>
              <w:jc w:val="center"/>
              <w:rPr>
                <w:rFonts w:cs="Times New Roman"/>
                <w:b/>
                <w:sz w:val="21"/>
                <w:szCs w:val="21"/>
              </w:rPr>
            </w:pPr>
            <w:r>
              <w:rPr>
                <w:rFonts w:hint="eastAsia" w:cs="Times New Roman"/>
                <w:b/>
                <w:sz w:val="21"/>
                <w:szCs w:val="21"/>
              </w:rPr>
              <w:t>平均车速（km/h）</w:t>
            </w:r>
          </w:p>
        </w:tc>
      </w:tr>
      <w:tr w14:paraId="13350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2" w:type="pct"/>
            <w:vMerge w:val="restart"/>
            <w:vAlign w:val="center"/>
          </w:tcPr>
          <w:p w14:paraId="21156076">
            <w:pPr>
              <w:widowControl/>
              <w:snapToGrid w:val="0"/>
              <w:spacing w:line="240" w:lineRule="auto"/>
              <w:ind w:firstLine="0" w:firstLineChars="0"/>
              <w:jc w:val="center"/>
              <w:rPr>
                <w:rFonts w:cs="Times New Roman"/>
                <w:sz w:val="21"/>
                <w:szCs w:val="21"/>
              </w:rPr>
            </w:pPr>
            <w:r>
              <w:rPr>
                <w:rFonts w:hint="eastAsia" w:cs="Times New Roman"/>
                <w:sz w:val="21"/>
                <w:szCs w:val="21"/>
              </w:rPr>
              <w:t>主干路</w:t>
            </w:r>
          </w:p>
        </w:tc>
        <w:tc>
          <w:tcPr>
            <w:tcW w:w="1009" w:type="pct"/>
            <w:vMerge w:val="restart"/>
            <w:vAlign w:val="center"/>
          </w:tcPr>
          <w:p w14:paraId="4C2242A4">
            <w:pPr>
              <w:widowControl/>
              <w:snapToGrid w:val="0"/>
              <w:spacing w:line="240" w:lineRule="auto"/>
              <w:ind w:firstLine="0" w:firstLineChars="0"/>
              <w:jc w:val="center"/>
              <w:rPr>
                <w:rFonts w:cs="Times New Roman"/>
                <w:sz w:val="21"/>
                <w:szCs w:val="21"/>
              </w:rPr>
            </w:pPr>
            <w:r>
              <w:rPr>
                <w:rFonts w:hint="eastAsia" w:cs="Times New Roman"/>
                <w:sz w:val="21"/>
                <w:szCs w:val="21"/>
              </w:rPr>
              <w:t>1500</w:t>
            </w:r>
          </w:p>
        </w:tc>
        <w:tc>
          <w:tcPr>
            <w:tcW w:w="768" w:type="pct"/>
            <w:vAlign w:val="center"/>
          </w:tcPr>
          <w:p w14:paraId="59637B1F">
            <w:pPr>
              <w:widowControl/>
              <w:snapToGrid w:val="0"/>
              <w:spacing w:line="240" w:lineRule="auto"/>
              <w:ind w:firstLine="0" w:firstLineChars="0"/>
              <w:jc w:val="center"/>
              <w:rPr>
                <w:rFonts w:cs="Times New Roman"/>
                <w:sz w:val="21"/>
                <w:szCs w:val="21"/>
              </w:rPr>
            </w:pPr>
            <w:r>
              <w:rPr>
                <w:rFonts w:hint="eastAsia" w:cs="Times New Roman"/>
                <w:sz w:val="21"/>
                <w:szCs w:val="21"/>
              </w:rPr>
              <w:t>大型车5</w:t>
            </w:r>
          </w:p>
        </w:tc>
        <w:tc>
          <w:tcPr>
            <w:tcW w:w="855" w:type="pct"/>
            <w:vAlign w:val="center"/>
          </w:tcPr>
          <w:p w14:paraId="58774387">
            <w:pPr>
              <w:widowControl/>
              <w:snapToGrid w:val="0"/>
              <w:spacing w:line="240" w:lineRule="auto"/>
              <w:ind w:firstLine="0" w:firstLineChars="0"/>
              <w:jc w:val="center"/>
              <w:rPr>
                <w:rFonts w:cs="Times New Roman"/>
                <w:sz w:val="21"/>
                <w:szCs w:val="21"/>
              </w:rPr>
            </w:pPr>
            <w:r>
              <w:rPr>
                <w:rFonts w:hint="eastAsia" w:cs="Times New Roman"/>
                <w:sz w:val="21"/>
                <w:szCs w:val="21"/>
              </w:rPr>
              <w:t>75</w:t>
            </w:r>
          </w:p>
        </w:tc>
        <w:tc>
          <w:tcPr>
            <w:tcW w:w="1075" w:type="pct"/>
            <w:vAlign w:val="center"/>
          </w:tcPr>
          <w:p w14:paraId="72668821">
            <w:pPr>
              <w:widowControl/>
              <w:snapToGrid w:val="0"/>
              <w:spacing w:line="240" w:lineRule="auto"/>
              <w:ind w:firstLine="0" w:firstLineChars="0"/>
              <w:jc w:val="center"/>
              <w:rPr>
                <w:rFonts w:cs="Times New Roman"/>
                <w:sz w:val="21"/>
                <w:szCs w:val="21"/>
              </w:rPr>
            </w:pPr>
            <w:r>
              <w:rPr>
                <w:rFonts w:hint="eastAsia" w:cs="Times New Roman"/>
                <w:sz w:val="21"/>
                <w:szCs w:val="21"/>
              </w:rPr>
              <w:t>83.05</w:t>
            </w:r>
          </w:p>
        </w:tc>
        <w:tc>
          <w:tcPr>
            <w:tcW w:w="681" w:type="pct"/>
            <w:vAlign w:val="center"/>
          </w:tcPr>
          <w:p w14:paraId="62813E04">
            <w:pPr>
              <w:widowControl/>
              <w:snapToGrid w:val="0"/>
              <w:spacing w:line="240" w:lineRule="auto"/>
              <w:ind w:firstLine="0" w:firstLineChars="0"/>
              <w:jc w:val="center"/>
              <w:rPr>
                <w:rFonts w:cs="Times New Roman"/>
                <w:sz w:val="21"/>
                <w:szCs w:val="21"/>
              </w:rPr>
            </w:pPr>
            <w:r>
              <w:rPr>
                <w:rFonts w:hint="eastAsia" w:cs="Times New Roman"/>
                <w:sz w:val="21"/>
                <w:szCs w:val="21"/>
              </w:rPr>
              <w:t>47.95</w:t>
            </w:r>
          </w:p>
        </w:tc>
      </w:tr>
      <w:tr w14:paraId="58C8B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2" w:type="pct"/>
            <w:vMerge w:val="continue"/>
            <w:vAlign w:val="center"/>
          </w:tcPr>
          <w:p w14:paraId="7520E353">
            <w:pPr>
              <w:widowControl/>
              <w:snapToGrid w:val="0"/>
              <w:spacing w:line="240" w:lineRule="auto"/>
              <w:ind w:firstLine="0" w:firstLineChars="0"/>
              <w:jc w:val="center"/>
              <w:rPr>
                <w:rFonts w:cs="Times New Roman"/>
                <w:sz w:val="21"/>
                <w:szCs w:val="21"/>
              </w:rPr>
            </w:pPr>
          </w:p>
        </w:tc>
        <w:tc>
          <w:tcPr>
            <w:tcW w:w="1009" w:type="pct"/>
            <w:vMerge w:val="continue"/>
            <w:vAlign w:val="center"/>
          </w:tcPr>
          <w:p w14:paraId="09BDE436">
            <w:pPr>
              <w:widowControl/>
              <w:snapToGrid w:val="0"/>
              <w:spacing w:line="240" w:lineRule="auto"/>
              <w:ind w:firstLine="0" w:firstLineChars="0"/>
              <w:jc w:val="center"/>
              <w:rPr>
                <w:rFonts w:cs="Times New Roman"/>
                <w:sz w:val="21"/>
                <w:szCs w:val="21"/>
              </w:rPr>
            </w:pPr>
          </w:p>
        </w:tc>
        <w:tc>
          <w:tcPr>
            <w:tcW w:w="768" w:type="pct"/>
            <w:vAlign w:val="center"/>
          </w:tcPr>
          <w:p w14:paraId="54E8A53C">
            <w:pPr>
              <w:widowControl/>
              <w:snapToGrid w:val="0"/>
              <w:spacing w:line="240" w:lineRule="auto"/>
              <w:ind w:firstLine="0" w:firstLineChars="0"/>
              <w:jc w:val="center"/>
              <w:rPr>
                <w:rFonts w:cs="Times New Roman"/>
                <w:sz w:val="21"/>
                <w:szCs w:val="21"/>
              </w:rPr>
            </w:pPr>
            <w:r>
              <w:rPr>
                <w:rFonts w:hint="eastAsia" w:cs="Times New Roman"/>
                <w:sz w:val="21"/>
                <w:szCs w:val="21"/>
              </w:rPr>
              <w:t>中型车15</w:t>
            </w:r>
          </w:p>
        </w:tc>
        <w:tc>
          <w:tcPr>
            <w:tcW w:w="855" w:type="pct"/>
            <w:vAlign w:val="center"/>
          </w:tcPr>
          <w:p w14:paraId="7C17E2C8">
            <w:pPr>
              <w:widowControl/>
              <w:snapToGrid w:val="0"/>
              <w:spacing w:line="240" w:lineRule="auto"/>
              <w:ind w:firstLine="0" w:firstLineChars="0"/>
              <w:jc w:val="center"/>
              <w:rPr>
                <w:rFonts w:cs="Times New Roman"/>
                <w:sz w:val="21"/>
                <w:szCs w:val="21"/>
              </w:rPr>
            </w:pPr>
            <w:r>
              <w:rPr>
                <w:rFonts w:hint="eastAsia" w:cs="Times New Roman"/>
                <w:sz w:val="21"/>
                <w:szCs w:val="21"/>
              </w:rPr>
              <w:t>225</w:t>
            </w:r>
          </w:p>
        </w:tc>
        <w:tc>
          <w:tcPr>
            <w:tcW w:w="1075" w:type="pct"/>
            <w:vAlign w:val="center"/>
          </w:tcPr>
          <w:p w14:paraId="3B6419C1">
            <w:pPr>
              <w:widowControl/>
              <w:snapToGrid w:val="0"/>
              <w:spacing w:line="240" w:lineRule="auto"/>
              <w:ind w:firstLine="0" w:firstLineChars="0"/>
              <w:jc w:val="center"/>
              <w:rPr>
                <w:rFonts w:cs="Times New Roman"/>
                <w:sz w:val="21"/>
                <w:szCs w:val="21"/>
              </w:rPr>
            </w:pPr>
            <w:r>
              <w:rPr>
                <w:rFonts w:hint="eastAsia" w:cs="Times New Roman"/>
                <w:sz w:val="21"/>
                <w:szCs w:val="21"/>
              </w:rPr>
              <w:t>76.91</w:t>
            </w:r>
          </w:p>
        </w:tc>
        <w:tc>
          <w:tcPr>
            <w:tcW w:w="681" w:type="pct"/>
            <w:vAlign w:val="center"/>
          </w:tcPr>
          <w:p w14:paraId="0A3CC7C6">
            <w:pPr>
              <w:widowControl/>
              <w:snapToGrid w:val="0"/>
              <w:spacing w:line="240" w:lineRule="auto"/>
              <w:ind w:firstLine="0" w:firstLineChars="0"/>
              <w:jc w:val="center"/>
              <w:rPr>
                <w:rFonts w:cs="Times New Roman"/>
                <w:sz w:val="21"/>
                <w:szCs w:val="21"/>
              </w:rPr>
            </w:pPr>
            <w:r>
              <w:rPr>
                <w:rFonts w:hint="eastAsia" w:cs="Times New Roman"/>
                <w:sz w:val="21"/>
                <w:szCs w:val="21"/>
              </w:rPr>
              <w:t>48.14</w:t>
            </w:r>
          </w:p>
        </w:tc>
      </w:tr>
      <w:tr w14:paraId="04FC8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2" w:type="pct"/>
            <w:vMerge w:val="continue"/>
            <w:vAlign w:val="center"/>
          </w:tcPr>
          <w:p w14:paraId="26E4B672">
            <w:pPr>
              <w:widowControl/>
              <w:snapToGrid w:val="0"/>
              <w:spacing w:line="240" w:lineRule="auto"/>
              <w:ind w:firstLine="0" w:firstLineChars="0"/>
              <w:jc w:val="center"/>
              <w:rPr>
                <w:rFonts w:cs="Times New Roman"/>
                <w:sz w:val="21"/>
                <w:szCs w:val="21"/>
              </w:rPr>
            </w:pPr>
          </w:p>
        </w:tc>
        <w:tc>
          <w:tcPr>
            <w:tcW w:w="1009" w:type="pct"/>
            <w:vMerge w:val="continue"/>
            <w:vAlign w:val="center"/>
          </w:tcPr>
          <w:p w14:paraId="2F37EE75">
            <w:pPr>
              <w:widowControl/>
              <w:snapToGrid w:val="0"/>
              <w:spacing w:line="240" w:lineRule="auto"/>
              <w:ind w:firstLine="0" w:firstLineChars="0"/>
              <w:jc w:val="center"/>
              <w:rPr>
                <w:rFonts w:cs="Times New Roman"/>
                <w:sz w:val="21"/>
                <w:szCs w:val="21"/>
              </w:rPr>
            </w:pPr>
          </w:p>
        </w:tc>
        <w:tc>
          <w:tcPr>
            <w:tcW w:w="768" w:type="pct"/>
            <w:vAlign w:val="center"/>
          </w:tcPr>
          <w:p w14:paraId="0FC3DD71">
            <w:pPr>
              <w:widowControl/>
              <w:snapToGrid w:val="0"/>
              <w:spacing w:line="240" w:lineRule="auto"/>
              <w:ind w:firstLine="0" w:firstLineChars="0"/>
              <w:jc w:val="center"/>
              <w:rPr>
                <w:rFonts w:cs="Times New Roman"/>
                <w:sz w:val="21"/>
                <w:szCs w:val="21"/>
              </w:rPr>
            </w:pPr>
            <w:r>
              <w:rPr>
                <w:rFonts w:hint="eastAsia" w:cs="Times New Roman"/>
                <w:sz w:val="21"/>
                <w:szCs w:val="21"/>
              </w:rPr>
              <w:t>小型车80</w:t>
            </w:r>
          </w:p>
        </w:tc>
        <w:tc>
          <w:tcPr>
            <w:tcW w:w="855" w:type="pct"/>
            <w:vAlign w:val="center"/>
          </w:tcPr>
          <w:p w14:paraId="6812F0D8">
            <w:pPr>
              <w:widowControl/>
              <w:snapToGrid w:val="0"/>
              <w:spacing w:line="240" w:lineRule="auto"/>
              <w:ind w:firstLine="0" w:firstLineChars="0"/>
              <w:jc w:val="center"/>
              <w:rPr>
                <w:rFonts w:cs="Times New Roman"/>
                <w:sz w:val="21"/>
                <w:szCs w:val="21"/>
              </w:rPr>
            </w:pPr>
            <w:r>
              <w:rPr>
                <w:rFonts w:hint="eastAsia" w:cs="Times New Roman"/>
                <w:sz w:val="21"/>
                <w:szCs w:val="21"/>
              </w:rPr>
              <w:t>1200</w:t>
            </w:r>
          </w:p>
        </w:tc>
        <w:tc>
          <w:tcPr>
            <w:tcW w:w="1075" w:type="pct"/>
            <w:vAlign w:val="center"/>
          </w:tcPr>
          <w:p w14:paraId="39AE8289">
            <w:pPr>
              <w:widowControl/>
              <w:snapToGrid w:val="0"/>
              <w:spacing w:line="240" w:lineRule="auto"/>
              <w:ind w:firstLine="0" w:firstLineChars="0"/>
              <w:jc w:val="center"/>
              <w:rPr>
                <w:rFonts w:cs="Times New Roman"/>
                <w:sz w:val="21"/>
                <w:szCs w:val="21"/>
              </w:rPr>
            </w:pPr>
            <w:r>
              <w:rPr>
                <w:rFonts w:hint="eastAsia" w:cs="Times New Roman"/>
                <w:sz w:val="21"/>
                <w:szCs w:val="21"/>
              </w:rPr>
              <w:t>76.03</w:t>
            </w:r>
          </w:p>
        </w:tc>
        <w:tc>
          <w:tcPr>
            <w:tcW w:w="681" w:type="pct"/>
            <w:vAlign w:val="center"/>
          </w:tcPr>
          <w:p w14:paraId="76D2831B">
            <w:pPr>
              <w:widowControl/>
              <w:snapToGrid w:val="0"/>
              <w:spacing w:line="240" w:lineRule="auto"/>
              <w:ind w:firstLine="0" w:firstLineChars="0"/>
              <w:jc w:val="center"/>
              <w:rPr>
                <w:rFonts w:cs="Times New Roman"/>
                <w:sz w:val="21"/>
                <w:szCs w:val="21"/>
              </w:rPr>
            </w:pPr>
            <w:r>
              <w:rPr>
                <w:rFonts w:hint="eastAsia" w:cs="Times New Roman"/>
                <w:sz w:val="21"/>
                <w:szCs w:val="21"/>
              </w:rPr>
              <w:t>67.06</w:t>
            </w:r>
          </w:p>
        </w:tc>
      </w:tr>
      <w:tr w14:paraId="35745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2" w:type="pct"/>
            <w:vMerge w:val="restart"/>
            <w:vAlign w:val="center"/>
          </w:tcPr>
          <w:p w14:paraId="6785A42F">
            <w:pPr>
              <w:widowControl/>
              <w:snapToGrid w:val="0"/>
              <w:spacing w:line="240" w:lineRule="auto"/>
              <w:ind w:firstLine="0" w:firstLineChars="0"/>
              <w:jc w:val="center"/>
              <w:rPr>
                <w:rFonts w:cs="Times New Roman"/>
                <w:sz w:val="21"/>
                <w:szCs w:val="21"/>
              </w:rPr>
            </w:pPr>
            <w:r>
              <w:rPr>
                <w:rFonts w:hint="eastAsia" w:cs="Times New Roman"/>
                <w:sz w:val="21"/>
                <w:szCs w:val="21"/>
              </w:rPr>
              <w:t>次干路</w:t>
            </w:r>
          </w:p>
        </w:tc>
        <w:tc>
          <w:tcPr>
            <w:tcW w:w="1009" w:type="pct"/>
            <w:vMerge w:val="restart"/>
            <w:vAlign w:val="center"/>
          </w:tcPr>
          <w:p w14:paraId="0CF89337">
            <w:pPr>
              <w:widowControl/>
              <w:snapToGrid w:val="0"/>
              <w:spacing w:line="240" w:lineRule="auto"/>
              <w:ind w:firstLine="0" w:firstLineChars="0"/>
              <w:jc w:val="center"/>
              <w:rPr>
                <w:rFonts w:cs="Times New Roman"/>
                <w:sz w:val="21"/>
                <w:szCs w:val="21"/>
              </w:rPr>
            </w:pPr>
            <w:r>
              <w:rPr>
                <w:rFonts w:hint="eastAsia" w:cs="Times New Roman"/>
                <w:sz w:val="21"/>
                <w:szCs w:val="21"/>
              </w:rPr>
              <w:t>500</w:t>
            </w:r>
          </w:p>
        </w:tc>
        <w:tc>
          <w:tcPr>
            <w:tcW w:w="768" w:type="pct"/>
            <w:vAlign w:val="center"/>
          </w:tcPr>
          <w:p w14:paraId="37346D4A">
            <w:pPr>
              <w:widowControl/>
              <w:snapToGrid w:val="0"/>
              <w:spacing w:line="240" w:lineRule="auto"/>
              <w:ind w:firstLine="0" w:firstLineChars="0"/>
              <w:jc w:val="center"/>
              <w:rPr>
                <w:rFonts w:cs="Times New Roman"/>
                <w:sz w:val="21"/>
                <w:szCs w:val="21"/>
              </w:rPr>
            </w:pPr>
            <w:r>
              <w:rPr>
                <w:rFonts w:hint="eastAsia" w:cs="Times New Roman"/>
                <w:sz w:val="21"/>
                <w:szCs w:val="21"/>
              </w:rPr>
              <w:t>大型车5</w:t>
            </w:r>
          </w:p>
        </w:tc>
        <w:tc>
          <w:tcPr>
            <w:tcW w:w="855" w:type="pct"/>
            <w:vAlign w:val="center"/>
          </w:tcPr>
          <w:p w14:paraId="71516E38">
            <w:pPr>
              <w:widowControl/>
              <w:snapToGrid w:val="0"/>
              <w:spacing w:line="240" w:lineRule="auto"/>
              <w:ind w:firstLine="0" w:firstLineChars="0"/>
              <w:jc w:val="center"/>
              <w:rPr>
                <w:rFonts w:cs="Times New Roman"/>
                <w:sz w:val="21"/>
                <w:szCs w:val="21"/>
              </w:rPr>
            </w:pPr>
            <w:r>
              <w:rPr>
                <w:rFonts w:hint="eastAsia" w:cs="Times New Roman"/>
                <w:sz w:val="21"/>
                <w:szCs w:val="21"/>
              </w:rPr>
              <w:t>25</w:t>
            </w:r>
          </w:p>
        </w:tc>
        <w:tc>
          <w:tcPr>
            <w:tcW w:w="1075" w:type="pct"/>
            <w:vAlign w:val="center"/>
          </w:tcPr>
          <w:p w14:paraId="5BFE5F57">
            <w:pPr>
              <w:widowControl/>
              <w:snapToGrid w:val="0"/>
              <w:spacing w:line="240" w:lineRule="auto"/>
              <w:ind w:firstLine="0" w:firstLineChars="0"/>
              <w:jc w:val="center"/>
              <w:rPr>
                <w:rFonts w:cs="Times New Roman"/>
                <w:sz w:val="21"/>
                <w:szCs w:val="21"/>
              </w:rPr>
            </w:pPr>
            <w:r>
              <w:rPr>
                <w:rFonts w:hint="eastAsia" w:cs="Times New Roman"/>
                <w:sz w:val="21"/>
                <w:szCs w:val="21"/>
              </w:rPr>
              <w:t>78.63</w:t>
            </w:r>
          </w:p>
        </w:tc>
        <w:tc>
          <w:tcPr>
            <w:tcW w:w="681" w:type="pct"/>
            <w:vAlign w:val="center"/>
          </w:tcPr>
          <w:p w14:paraId="489C7654">
            <w:pPr>
              <w:widowControl/>
              <w:snapToGrid w:val="0"/>
              <w:spacing w:line="240" w:lineRule="auto"/>
              <w:ind w:firstLine="0" w:firstLineChars="0"/>
              <w:jc w:val="center"/>
              <w:rPr>
                <w:rFonts w:cs="Times New Roman"/>
                <w:sz w:val="21"/>
                <w:szCs w:val="21"/>
              </w:rPr>
            </w:pPr>
            <w:r>
              <w:rPr>
                <w:rFonts w:hint="eastAsia" w:cs="Times New Roman"/>
                <w:sz w:val="21"/>
                <w:szCs w:val="21"/>
              </w:rPr>
              <w:t>36.24</w:t>
            </w:r>
          </w:p>
        </w:tc>
      </w:tr>
      <w:tr w14:paraId="2AB9B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2" w:type="pct"/>
            <w:vMerge w:val="continue"/>
            <w:vAlign w:val="center"/>
          </w:tcPr>
          <w:p w14:paraId="4BA0D734">
            <w:pPr>
              <w:widowControl/>
              <w:snapToGrid w:val="0"/>
              <w:spacing w:line="240" w:lineRule="auto"/>
              <w:ind w:firstLine="0" w:firstLineChars="0"/>
              <w:jc w:val="center"/>
              <w:rPr>
                <w:rFonts w:cs="Times New Roman"/>
                <w:sz w:val="21"/>
                <w:szCs w:val="21"/>
              </w:rPr>
            </w:pPr>
          </w:p>
        </w:tc>
        <w:tc>
          <w:tcPr>
            <w:tcW w:w="1009" w:type="pct"/>
            <w:vMerge w:val="continue"/>
            <w:vAlign w:val="center"/>
          </w:tcPr>
          <w:p w14:paraId="746CB6CF">
            <w:pPr>
              <w:widowControl/>
              <w:snapToGrid w:val="0"/>
              <w:spacing w:line="240" w:lineRule="auto"/>
              <w:ind w:firstLine="0" w:firstLineChars="0"/>
              <w:jc w:val="center"/>
              <w:rPr>
                <w:rFonts w:cs="Times New Roman"/>
                <w:sz w:val="21"/>
                <w:szCs w:val="21"/>
              </w:rPr>
            </w:pPr>
          </w:p>
        </w:tc>
        <w:tc>
          <w:tcPr>
            <w:tcW w:w="768" w:type="pct"/>
            <w:vAlign w:val="center"/>
          </w:tcPr>
          <w:p w14:paraId="09AE2A00">
            <w:pPr>
              <w:widowControl/>
              <w:snapToGrid w:val="0"/>
              <w:spacing w:line="240" w:lineRule="auto"/>
              <w:ind w:firstLine="0" w:firstLineChars="0"/>
              <w:jc w:val="center"/>
              <w:rPr>
                <w:rFonts w:cs="Times New Roman"/>
                <w:sz w:val="21"/>
                <w:szCs w:val="21"/>
              </w:rPr>
            </w:pPr>
            <w:r>
              <w:rPr>
                <w:rFonts w:hint="eastAsia" w:cs="Times New Roman"/>
                <w:sz w:val="21"/>
                <w:szCs w:val="21"/>
              </w:rPr>
              <w:t>中型车15</w:t>
            </w:r>
          </w:p>
        </w:tc>
        <w:tc>
          <w:tcPr>
            <w:tcW w:w="855" w:type="pct"/>
            <w:vAlign w:val="center"/>
          </w:tcPr>
          <w:p w14:paraId="798DECC8">
            <w:pPr>
              <w:widowControl/>
              <w:snapToGrid w:val="0"/>
              <w:spacing w:line="240" w:lineRule="auto"/>
              <w:ind w:firstLine="0" w:firstLineChars="0"/>
              <w:jc w:val="center"/>
              <w:rPr>
                <w:rFonts w:cs="Times New Roman"/>
                <w:sz w:val="21"/>
                <w:szCs w:val="21"/>
              </w:rPr>
            </w:pPr>
            <w:r>
              <w:rPr>
                <w:rFonts w:hint="eastAsia" w:cs="Times New Roman"/>
                <w:sz w:val="21"/>
                <w:szCs w:val="21"/>
              </w:rPr>
              <w:t>75</w:t>
            </w:r>
          </w:p>
        </w:tc>
        <w:tc>
          <w:tcPr>
            <w:tcW w:w="1075" w:type="pct"/>
            <w:vAlign w:val="center"/>
          </w:tcPr>
          <w:p w14:paraId="54C1A9FE">
            <w:pPr>
              <w:widowControl/>
              <w:snapToGrid w:val="0"/>
              <w:spacing w:line="240" w:lineRule="auto"/>
              <w:ind w:firstLine="0" w:firstLineChars="0"/>
              <w:jc w:val="center"/>
              <w:rPr>
                <w:rFonts w:cs="Times New Roman"/>
                <w:sz w:val="21"/>
                <w:szCs w:val="21"/>
              </w:rPr>
            </w:pPr>
            <w:r>
              <w:rPr>
                <w:rFonts w:hint="eastAsia" w:cs="Times New Roman"/>
                <w:sz w:val="21"/>
                <w:szCs w:val="21"/>
              </w:rPr>
              <w:t>72.02</w:t>
            </w:r>
          </w:p>
        </w:tc>
        <w:tc>
          <w:tcPr>
            <w:tcW w:w="681" w:type="pct"/>
            <w:vAlign w:val="center"/>
          </w:tcPr>
          <w:p w14:paraId="24A3607F">
            <w:pPr>
              <w:widowControl/>
              <w:snapToGrid w:val="0"/>
              <w:spacing w:line="240" w:lineRule="auto"/>
              <w:ind w:firstLine="0" w:firstLineChars="0"/>
              <w:jc w:val="center"/>
              <w:rPr>
                <w:rFonts w:cs="Times New Roman"/>
                <w:sz w:val="21"/>
                <w:szCs w:val="21"/>
              </w:rPr>
            </w:pPr>
            <w:r>
              <w:rPr>
                <w:rFonts w:hint="eastAsia" w:cs="Times New Roman"/>
                <w:sz w:val="21"/>
                <w:szCs w:val="21"/>
              </w:rPr>
              <w:t>36.46</w:t>
            </w:r>
          </w:p>
        </w:tc>
      </w:tr>
      <w:tr w14:paraId="5BC81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2" w:type="pct"/>
            <w:vMerge w:val="continue"/>
            <w:vAlign w:val="center"/>
          </w:tcPr>
          <w:p w14:paraId="32E90A47">
            <w:pPr>
              <w:widowControl/>
              <w:snapToGrid w:val="0"/>
              <w:spacing w:line="240" w:lineRule="auto"/>
              <w:ind w:firstLine="0" w:firstLineChars="0"/>
              <w:jc w:val="center"/>
              <w:rPr>
                <w:rFonts w:cs="Times New Roman"/>
                <w:sz w:val="21"/>
                <w:szCs w:val="21"/>
              </w:rPr>
            </w:pPr>
          </w:p>
        </w:tc>
        <w:tc>
          <w:tcPr>
            <w:tcW w:w="1009" w:type="pct"/>
            <w:vMerge w:val="continue"/>
            <w:vAlign w:val="center"/>
          </w:tcPr>
          <w:p w14:paraId="313C1E36">
            <w:pPr>
              <w:widowControl/>
              <w:snapToGrid w:val="0"/>
              <w:spacing w:line="240" w:lineRule="auto"/>
              <w:ind w:firstLine="0" w:firstLineChars="0"/>
              <w:jc w:val="center"/>
              <w:rPr>
                <w:rFonts w:cs="Times New Roman"/>
                <w:sz w:val="21"/>
                <w:szCs w:val="21"/>
              </w:rPr>
            </w:pPr>
          </w:p>
        </w:tc>
        <w:tc>
          <w:tcPr>
            <w:tcW w:w="768" w:type="pct"/>
            <w:vAlign w:val="center"/>
          </w:tcPr>
          <w:p w14:paraId="6A5FBDFA">
            <w:pPr>
              <w:widowControl/>
              <w:snapToGrid w:val="0"/>
              <w:spacing w:line="240" w:lineRule="auto"/>
              <w:ind w:firstLine="0" w:firstLineChars="0"/>
              <w:jc w:val="center"/>
              <w:rPr>
                <w:rFonts w:cs="Times New Roman"/>
                <w:sz w:val="21"/>
                <w:szCs w:val="21"/>
              </w:rPr>
            </w:pPr>
            <w:r>
              <w:rPr>
                <w:rFonts w:hint="eastAsia" w:cs="Times New Roman"/>
                <w:sz w:val="21"/>
                <w:szCs w:val="21"/>
              </w:rPr>
              <w:t>小型车80</w:t>
            </w:r>
          </w:p>
        </w:tc>
        <w:tc>
          <w:tcPr>
            <w:tcW w:w="855" w:type="pct"/>
            <w:vAlign w:val="center"/>
          </w:tcPr>
          <w:p w14:paraId="76082125">
            <w:pPr>
              <w:widowControl/>
              <w:snapToGrid w:val="0"/>
              <w:spacing w:line="240" w:lineRule="auto"/>
              <w:ind w:firstLine="0" w:firstLineChars="0"/>
              <w:jc w:val="center"/>
              <w:rPr>
                <w:rFonts w:cs="Times New Roman"/>
                <w:sz w:val="21"/>
                <w:szCs w:val="21"/>
              </w:rPr>
            </w:pPr>
            <w:r>
              <w:rPr>
                <w:rFonts w:hint="eastAsia" w:cs="Times New Roman"/>
                <w:sz w:val="21"/>
                <w:szCs w:val="21"/>
              </w:rPr>
              <w:t>400</w:t>
            </w:r>
          </w:p>
        </w:tc>
        <w:tc>
          <w:tcPr>
            <w:tcW w:w="1075" w:type="pct"/>
            <w:vAlign w:val="center"/>
          </w:tcPr>
          <w:p w14:paraId="30EC75EA">
            <w:pPr>
              <w:widowControl/>
              <w:snapToGrid w:val="0"/>
              <w:spacing w:line="240" w:lineRule="auto"/>
              <w:ind w:firstLine="0" w:firstLineChars="0"/>
              <w:jc w:val="center"/>
              <w:rPr>
                <w:rFonts w:cs="Times New Roman"/>
                <w:sz w:val="21"/>
                <w:szCs w:val="21"/>
              </w:rPr>
            </w:pPr>
            <w:r>
              <w:rPr>
                <w:rFonts w:hint="eastAsia" w:cs="Times New Roman"/>
                <w:sz w:val="21"/>
                <w:szCs w:val="21"/>
              </w:rPr>
              <w:t>71.59</w:t>
            </w:r>
          </w:p>
        </w:tc>
        <w:tc>
          <w:tcPr>
            <w:tcW w:w="681" w:type="pct"/>
            <w:vAlign w:val="center"/>
          </w:tcPr>
          <w:p w14:paraId="7A745404">
            <w:pPr>
              <w:widowControl/>
              <w:snapToGrid w:val="0"/>
              <w:spacing w:line="240" w:lineRule="auto"/>
              <w:ind w:firstLine="0" w:firstLineChars="0"/>
              <w:jc w:val="center"/>
              <w:rPr>
                <w:rFonts w:cs="Times New Roman"/>
                <w:sz w:val="21"/>
                <w:szCs w:val="21"/>
              </w:rPr>
            </w:pPr>
            <w:r>
              <w:rPr>
                <w:rFonts w:hint="eastAsia" w:cs="Times New Roman"/>
                <w:sz w:val="21"/>
                <w:szCs w:val="21"/>
              </w:rPr>
              <w:t>49.95</w:t>
            </w:r>
          </w:p>
        </w:tc>
      </w:tr>
    </w:tbl>
    <w:p w14:paraId="274BE606">
      <w:pPr>
        <w:ind w:firstLine="482"/>
        <w:rPr>
          <w:b/>
          <w:bCs/>
        </w:rPr>
      </w:pPr>
      <w:r>
        <w:rPr>
          <w:rFonts w:hint="eastAsia"/>
          <w:b/>
          <w:bCs/>
        </w:rPr>
        <w:t>（3）预测结果分析</w:t>
      </w:r>
    </w:p>
    <w:p w14:paraId="25C43E5C">
      <w:pPr>
        <w:ind w:firstLine="480"/>
      </w:pPr>
      <w:r>
        <w:rPr>
          <w:rFonts w:hint="eastAsia"/>
        </w:rPr>
        <w:t>本次评价对距离道路红线20米和40米处的道路交通噪声分别进行了预测和分析，预测结果见表5.6-3。由预测结果可知，在道路旁无任何声阻碍物（如绿化带）的情况下，对照交通干线的声环境质量标准，主干路道路两侧20米范围内和40米范围将超过国家4a类交通噪声标准，超出范围为4.10~7.54 dB（A）。次干路道路两侧20米范围内和40米范围将达到国家4a类交通噪声标准。</w:t>
      </w:r>
    </w:p>
    <w:p w14:paraId="74992284">
      <w:pPr>
        <w:ind w:firstLine="480"/>
      </w:pPr>
      <w:r>
        <w:rPr>
          <w:rFonts w:hint="eastAsia"/>
        </w:rPr>
        <w:t>因此，本次评价建议度假区在开发建设过程中，并在主干路两侧均将实行绿化工程，在主要道路两侧建设10～50米宽的立体防护绿化带，这样就可降低交通噪声5~10 dB（A）。如噪声降低10 dB（A），主干路道路两侧20米范围内和40米范围昼间声环境质量将全部达标。同时，在交通道路周边应科学规划公路两侧建筑物的布局，临路第一排建筑宜规划为商业、办公用房等非噪声敏感建筑。对于不能满足控制距离要求的现状区域，如有居民反映噪声扰民或投诉时，建议结合噪声监测结果，针对沿路两侧敏感点的实际环境特征，采取设置声屏障、安装隔声窗、建设绿化林带等有效措施，确保敏感点满足相应声环境功能区标准要求。</w:t>
      </w:r>
    </w:p>
    <w:p w14:paraId="31CE0CA7">
      <w:pPr>
        <w:pStyle w:val="45"/>
        <w:rPr>
          <w:rFonts w:cs="Times New Roman"/>
        </w:rPr>
      </w:pPr>
      <w:r>
        <w:rPr>
          <w:rFonts w:cs="Times New Roman"/>
        </w:rPr>
        <w:t>表</w:t>
      </w:r>
      <w:r>
        <w:rPr>
          <w:rFonts w:hint="eastAsia" w:cs="Times New Roman"/>
        </w:rPr>
        <w:t>5.6</w:t>
      </w:r>
      <w:r>
        <w:rPr>
          <w:rFonts w:cs="Times New Roman"/>
        </w:rPr>
        <w:t>-3  规划期末度假区主要道路交通噪声预测结果表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9"/>
        <w:gridCol w:w="1319"/>
        <w:gridCol w:w="2913"/>
        <w:gridCol w:w="2971"/>
      </w:tblGrid>
      <w:tr w14:paraId="640AD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48" w:type="pct"/>
            <w:gridSpan w:val="2"/>
            <w:vAlign w:val="center"/>
          </w:tcPr>
          <w:p w14:paraId="48C82F52">
            <w:pPr>
              <w:widowControl/>
              <w:snapToGrid w:val="0"/>
              <w:spacing w:line="240" w:lineRule="auto"/>
              <w:ind w:firstLine="0" w:firstLineChars="0"/>
              <w:jc w:val="center"/>
              <w:rPr>
                <w:rFonts w:cs="Times New Roman"/>
                <w:b/>
                <w:sz w:val="21"/>
                <w:szCs w:val="21"/>
              </w:rPr>
            </w:pPr>
            <w:r>
              <w:rPr>
                <w:rFonts w:hint="eastAsia" w:cs="Times New Roman"/>
                <w:b/>
                <w:sz w:val="21"/>
                <w:szCs w:val="21"/>
              </w:rPr>
              <w:t>道路</w:t>
            </w:r>
          </w:p>
        </w:tc>
        <w:tc>
          <w:tcPr>
            <w:tcW w:w="1709" w:type="pct"/>
            <w:vAlign w:val="center"/>
          </w:tcPr>
          <w:p w14:paraId="42CC2FA9">
            <w:pPr>
              <w:widowControl/>
              <w:snapToGrid w:val="0"/>
              <w:spacing w:line="240" w:lineRule="auto"/>
              <w:ind w:firstLine="0" w:firstLineChars="0"/>
              <w:jc w:val="center"/>
              <w:rPr>
                <w:rFonts w:cs="Times New Roman"/>
                <w:b/>
                <w:sz w:val="21"/>
                <w:szCs w:val="21"/>
              </w:rPr>
            </w:pPr>
            <w:r>
              <w:rPr>
                <w:rFonts w:hint="eastAsia" w:cs="Times New Roman"/>
                <w:b/>
                <w:sz w:val="21"/>
                <w:szCs w:val="21"/>
              </w:rPr>
              <w:t>20米处平均等效声级（dB（A））</w:t>
            </w:r>
          </w:p>
        </w:tc>
        <w:tc>
          <w:tcPr>
            <w:tcW w:w="1743" w:type="pct"/>
            <w:vAlign w:val="center"/>
          </w:tcPr>
          <w:p w14:paraId="2E4D3C30">
            <w:pPr>
              <w:widowControl/>
              <w:snapToGrid w:val="0"/>
              <w:spacing w:line="240" w:lineRule="auto"/>
              <w:ind w:firstLine="0" w:firstLineChars="0"/>
              <w:jc w:val="center"/>
              <w:rPr>
                <w:rFonts w:cs="Times New Roman"/>
                <w:b/>
                <w:sz w:val="21"/>
                <w:szCs w:val="21"/>
              </w:rPr>
            </w:pPr>
            <w:r>
              <w:rPr>
                <w:rFonts w:hint="eastAsia" w:cs="Times New Roman"/>
                <w:b/>
                <w:sz w:val="21"/>
                <w:szCs w:val="21"/>
              </w:rPr>
              <w:t>40米处平均等效声级（dB（A））</w:t>
            </w:r>
          </w:p>
        </w:tc>
      </w:tr>
      <w:tr w14:paraId="15425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8" w:type="pct"/>
            <w:gridSpan w:val="2"/>
            <w:vAlign w:val="center"/>
          </w:tcPr>
          <w:p w14:paraId="0ED1F1E4">
            <w:pPr>
              <w:widowControl/>
              <w:snapToGrid w:val="0"/>
              <w:spacing w:line="240" w:lineRule="auto"/>
              <w:ind w:firstLine="0" w:firstLineChars="0"/>
              <w:jc w:val="center"/>
              <w:rPr>
                <w:rFonts w:cs="Times New Roman"/>
                <w:sz w:val="21"/>
                <w:szCs w:val="21"/>
              </w:rPr>
            </w:pPr>
            <w:r>
              <w:rPr>
                <w:rFonts w:hint="eastAsia" w:cs="Times New Roman"/>
                <w:sz w:val="21"/>
                <w:szCs w:val="21"/>
              </w:rPr>
              <w:t>主干路</w:t>
            </w:r>
          </w:p>
        </w:tc>
        <w:tc>
          <w:tcPr>
            <w:tcW w:w="1709" w:type="pct"/>
            <w:vAlign w:val="center"/>
          </w:tcPr>
          <w:p w14:paraId="273971D3">
            <w:pPr>
              <w:widowControl/>
              <w:snapToGrid w:val="0"/>
              <w:spacing w:line="240" w:lineRule="auto"/>
              <w:ind w:firstLine="0" w:firstLineChars="0"/>
              <w:jc w:val="center"/>
              <w:rPr>
                <w:rFonts w:cs="Times New Roman"/>
                <w:sz w:val="21"/>
                <w:szCs w:val="21"/>
              </w:rPr>
            </w:pPr>
            <w:r>
              <w:rPr>
                <w:rFonts w:hint="eastAsia" w:cs="Times New Roman"/>
                <w:sz w:val="21"/>
                <w:szCs w:val="21"/>
              </w:rPr>
              <w:t>77.54</w:t>
            </w:r>
          </w:p>
        </w:tc>
        <w:tc>
          <w:tcPr>
            <w:tcW w:w="1743" w:type="pct"/>
            <w:vAlign w:val="center"/>
          </w:tcPr>
          <w:p w14:paraId="61D075C1">
            <w:pPr>
              <w:widowControl/>
              <w:snapToGrid w:val="0"/>
              <w:spacing w:line="240" w:lineRule="auto"/>
              <w:ind w:firstLine="0" w:firstLineChars="0"/>
              <w:jc w:val="center"/>
              <w:rPr>
                <w:rFonts w:cs="Times New Roman"/>
                <w:sz w:val="21"/>
                <w:szCs w:val="21"/>
              </w:rPr>
            </w:pPr>
            <w:r>
              <w:rPr>
                <w:rFonts w:hint="eastAsia" w:cs="Times New Roman"/>
                <w:sz w:val="21"/>
                <w:szCs w:val="21"/>
              </w:rPr>
              <w:t>74.10</w:t>
            </w:r>
          </w:p>
        </w:tc>
      </w:tr>
      <w:tr w14:paraId="63313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8" w:type="pct"/>
            <w:gridSpan w:val="2"/>
            <w:vAlign w:val="center"/>
          </w:tcPr>
          <w:p w14:paraId="2E5A85C4">
            <w:pPr>
              <w:widowControl/>
              <w:snapToGrid w:val="0"/>
              <w:spacing w:line="240" w:lineRule="auto"/>
              <w:ind w:firstLine="0" w:firstLineChars="0"/>
              <w:jc w:val="center"/>
              <w:rPr>
                <w:rFonts w:cs="Times New Roman"/>
                <w:sz w:val="21"/>
                <w:szCs w:val="21"/>
              </w:rPr>
            </w:pPr>
            <w:r>
              <w:rPr>
                <w:rFonts w:hint="eastAsia" w:cs="Times New Roman"/>
                <w:sz w:val="21"/>
                <w:szCs w:val="21"/>
              </w:rPr>
              <w:t>次干路</w:t>
            </w:r>
          </w:p>
        </w:tc>
        <w:tc>
          <w:tcPr>
            <w:tcW w:w="1709" w:type="pct"/>
            <w:vAlign w:val="center"/>
          </w:tcPr>
          <w:p w14:paraId="61CA7C7A">
            <w:pPr>
              <w:widowControl/>
              <w:snapToGrid w:val="0"/>
              <w:spacing w:line="240" w:lineRule="auto"/>
              <w:ind w:firstLine="0" w:firstLineChars="0"/>
              <w:jc w:val="center"/>
              <w:rPr>
                <w:rFonts w:cs="Times New Roman"/>
                <w:sz w:val="21"/>
                <w:szCs w:val="21"/>
              </w:rPr>
            </w:pPr>
            <w:r>
              <w:rPr>
                <w:rFonts w:hint="eastAsia" w:cs="Times New Roman"/>
                <w:sz w:val="21"/>
                <w:szCs w:val="21"/>
              </w:rPr>
              <w:t>69.53</w:t>
            </w:r>
          </w:p>
        </w:tc>
        <w:tc>
          <w:tcPr>
            <w:tcW w:w="1743" w:type="pct"/>
            <w:vAlign w:val="center"/>
          </w:tcPr>
          <w:p w14:paraId="30165114">
            <w:pPr>
              <w:widowControl/>
              <w:snapToGrid w:val="0"/>
              <w:spacing w:line="240" w:lineRule="auto"/>
              <w:ind w:firstLine="0" w:firstLineChars="0"/>
              <w:jc w:val="center"/>
              <w:rPr>
                <w:rFonts w:cs="Times New Roman"/>
                <w:sz w:val="21"/>
                <w:szCs w:val="21"/>
              </w:rPr>
            </w:pPr>
            <w:r>
              <w:rPr>
                <w:rFonts w:hint="eastAsia" w:cs="Times New Roman"/>
                <w:sz w:val="21"/>
                <w:szCs w:val="21"/>
              </w:rPr>
              <w:t>66.11</w:t>
            </w:r>
          </w:p>
        </w:tc>
      </w:tr>
      <w:tr w14:paraId="3ED45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pct"/>
            <w:vMerge w:val="restart"/>
            <w:vAlign w:val="center"/>
          </w:tcPr>
          <w:p w14:paraId="7116D11D">
            <w:pPr>
              <w:widowControl/>
              <w:snapToGrid w:val="0"/>
              <w:spacing w:line="240" w:lineRule="auto"/>
              <w:ind w:firstLine="0" w:firstLineChars="0"/>
              <w:jc w:val="center"/>
              <w:rPr>
                <w:rFonts w:cs="Times New Roman"/>
                <w:sz w:val="21"/>
                <w:szCs w:val="21"/>
              </w:rPr>
            </w:pPr>
            <w:r>
              <w:rPr>
                <w:rFonts w:hint="eastAsia" w:cs="Times New Roman"/>
                <w:sz w:val="21"/>
                <w:szCs w:val="21"/>
              </w:rPr>
              <w:t>标准</w:t>
            </w:r>
          </w:p>
        </w:tc>
        <w:tc>
          <w:tcPr>
            <w:tcW w:w="774" w:type="pct"/>
            <w:vAlign w:val="center"/>
          </w:tcPr>
          <w:p w14:paraId="136128E5">
            <w:pPr>
              <w:widowControl/>
              <w:snapToGrid w:val="0"/>
              <w:spacing w:line="240" w:lineRule="auto"/>
              <w:ind w:firstLine="0" w:firstLineChars="0"/>
              <w:jc w:val="center"/>
              <w:rPr>
                <w:rFonts w:cs="Times New Roman"/>
                <w:sz w:val="21"/>
                <w:szCs w:val="21"/>
              </w:rPr>
            </w:pPr>
            <w:r>
              <w:rPr>
                <w:rFonts w:hint="eastAsia" w:cs="Times New Roman"/>
                <w:sz w:val="21"/>
                <w:szCs w:val="21"/>
              </w:rPr>
              <w:t>4类区</w:t>
            </w:r>
          </w:p>
        </w:tc>
        <w:tc>
          <w:tcPr>
            <w:tcW w:w="3452" w:type="pct"/>
            <w:gridSpan w:val="2"/>
            <w:vAlign w:val="center"/>
          </w:tcPr>
          <w:p w14:paraId="116A8747">
            <w:pPr>
              <w:widowControl/>
              <w:snapToGrid w:val="0"/>
              <w:spacing w:line="240" w:lineRule="auto"/>
              <w:ind w:firstLine="0" w:firstLineChars="0"/>
              <w:jc w:val="center"/>
              <w:rPr>
                <w:rFonts w:cs="Times New Roman"/>
                <w:sz w:val="21"/>
                <w:szCs w:val="21"/>
              </w:rPr>
            </w:pPr>
            <w:r>
              <w:rPr>
                <w:rFonts w:hint="eastAsia" w:cs="Times New Roman"/>
                <w:sz w:val="21"/>
                <w:szCs w:val="21"/>
              </w:rPr>
              <w:t>70</w:t>
            </w:r>
          </w:p>
        </w:tc>
      </w:tr>
      <w:tr w14:paraId="66C4F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pct"/>
            <w:vMerge w:val="continue"/>
            <w:vAlign w:val="center"/>
          </w:tcPr>
          <w:p w14:paraId="731E7601">
            <w:pPr>
              <w:widowControl/>
              <w:snapToGrid w:val="0"/>
              <w:spacing w:line="240" w:lineRule="auto"/>
              <w:ind w:firstLine="0" w:firstLineChars="0"/>
              <w:jc w:val="center"/>
              <w:rPr>
                <w:rFonts w:cs="Times New Roman"/>
                <w:sz w:val="21"/>
                <w:szCs w:val="21"/>
              </w:rPr>
            </w:pPr>
          </w:p>
        </w:tc>
        <w:tc>
          <w:tcPr>
            <w:tcW w:w="774" w:type="pct"/>
            <w:vAlign w:val="center"/>
          </w:tcPr>
          <w:p w14:paraId="72A20457">
            <w:pPr>
              <w:widowControl/>
              <w:snapToGrid w:val="0"/>
              <w:spacing w:line="240" w:lineRule="auto"/>
              <w:ind w:firstLine="0" w:firstLineChars="0"/>
              <w:jc w:val="center"/>
              <w:rPr>
                <w:rFonts w:cs="Times New Roman"/>
                <w:sz w:val="21"/>
                <w:szCs w:val="21"/>
              </w:rPr>
            </w:pPr>
            <w:r>
              <w:rPr>
                <w:rFonts w:hint="eastAsia" w:cs="Times New Roman"/>
                <w:sz w:val="21"/>
                <w:szCs w:val="21"/>
              </w:rPr>
              <w:t>2类区</w:t>
            </w:r>
          </w:p>
        </w:tc>
        <w:tc>
          <w:tcPr>
            <w:tcW w:w="3452" w:type="pct"/>
            <w:gridSpan w:val="2"/>
            <w:vAlign w:val="center"/>
          </w:tcPr>
          <w:p w14:paraId="4C8D60BC">
            <w:pPr>
              <w:widowControl/>
              <w:snapToGrid w:val="0"/>
              <w:spacing w:line="240" w:lineRule="auto"/>
              <w:ind w:firstLine="0" w:firstLineChars="0"/>
              <w:jc w:val="center"/>
              <w:rPr>
                <w:rFonts w:cs="Times New Roman"/>
                <w:sz w:val="21"/>
                <w:szCs w:val="21"/>
              </w:rPr>
            </w:pPr>
            <w:r>
              <w:rPr>
                <w:rFonts w:hint="eastAsia" w:cs="Times New Roman"/>
                <w:sz w:val="21"/>
                <w:szCs w:val="21"/>
              </w:rPr>
              <w:t>60</w:t>
            </w:r>
          </w:p>
        </w:tc>
      </w:tr>
    </w:tbl>
    <w:p w14:paraId="2C8989B2">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6</w:t>
      </w:r>
      <w:r>
        <w:rPr>
          <w:rFonts w:eastAsia="方正楷体_GBK" w:cs="Times New Roman"/>
          <w:b/>
          <w:bCs/>
          <w:szCs w:val="28"/>
          <w14:ligatures w14:val="none"/>
        </w:rPr>
        <w:t>.</w:t>
      </w:r>
      <w:r>
        <w:rPr>
          <w:rFonts w:hint="eastAsia" w:eastAsia="方正楷体_GBK" w:cs="Times New Roman"/>
          <w:b/>
          <w:bCs/>
          <w:szCs w:val="28"/>
          <w14:ligatures w14:val="none"/>
        </w:rPr>
        <w:t>4区域铁路噪声分析</w:t>
      </w:r>
    </w:p>
    <w:p w14:paraId="337443DD">
      <w:pPr>
        <w:ind w:firstLine="480"/>
      </w:pPr>
      <w:r>
        <w:rPr>
          <w:rFonts w:hint="eastAsia"/>
        </w:rPr>
        <w:t>度假区范围内苏南沿江城际铁路两沿西北侧横跨度假区域，根据本次噪声监测数据结果，距离铁路两侧最近的监测点位N12本达村（约200米）与N14阳山村（约400米）的噪声昼间和夜间均符合《声环境质量标准》（GB 3096-2008）中2类声功能区标准要求。建议度假区在开发建设过程中，严格执行噪声防护距离要求，在铁路外轨中心线两侧200m内不宜新建居民住宅、学校和医院等噪声敏感建筑物。</w:t>
      </w:r>
    </w:p>
    <w:p w14:paraId="0E5C32BB">
      <w:pPr>
        <w:pStyle w:val="3"/>
        <w:ind w:firstLine="0" w:firstLineChars="0"/>
        <w:rPr>
          <w:rFonts w:cs="Times New Roman"/>
        </w:rPr>
      </w:pPr>
      <w:bookmarkStart w:id="99" w:name="_Toc217294060"/>
      <w:r>
        <w:rPr>
          <w:rFonts w:cs="Times New Roman"/>
        </w:rPr>
        <w:t>5.7</w:t>
      </w:r>
      <w:r>
        <w:rPr>
          <w:rFonts w:hint="eastAsia" w:cs="Times New Roman"/>
        </w:rPr>
        <w:t>土壤环境影响分析</w:t>
      </w:r>
      <w:bookmarkEnd w:id="99"/>
    </w:p>
    <w:p w14:paraId="0212E151">
      <w:pPr>
        <w:ind w:firstLine="480"/>
      </w:pPr>
      <w:r>
        <w:rPr>
          <w:rFonts w:hint="eastAsia"/>
        </w:rPr>
        <w:t>度假区规划实施过程中，各种建设项目施工期将不可避免地改变现有地表植被，损坏现有水土保持设施，但是施工期结束后将不再造成新的水土流失。在居住区或者道路与交通设施未建设期间，植被将受到一定程度的破坏，土壤处于完全裸露状态，水土流失情况可能较严重。水土流失量主要与降雨量、降雨强度、地面径流系数、地面坡度、土地裸露面积等有关。植被覆盖度的快速提高可在较短时段内使土壤基本或完全达到正常水土保持功能，但在建设项目营运初期，由于地表植被覆盖度相对较小，也可能存在一定程度的水土流失现象。在度假区规划实施过程中，各种建设项目施工期是水土流失发生和防治的重点时段。因此，度假区在土地征用后应采取平整一块使用一块，尽量减少土地裸露的时间，以减少水土流失对土壤环境的影响。</w:t>
      </w:r>
    </w:p>
    <w:p w14:paraId="295A8870">
      <w:pPr>
        <w:pStyle w:val="3"/>
        <w:ind w:firstLine="0" w:firstLineChars="0"/>
        <w:rPr>
          <w:rFonts w:cs="Times New Roman"/>
        </w:rPr>
      </w:pPr>
      <w:bookmarkStart w:id="100" w:name="_Toc217294061"/>
      <w:r>
        <w:rPr>
          <w:rFonts w:cs="Times New Roman"/>
        </w:rPr>
        <w:t>5.8</w:t>
      </w:r>
      <w:r>
        <w:rPr>
          <w:rFonts w:hint="eastAsia" w:cs="Times New Roman"/>
        </w:rPr>
        <w:t>地下水环境影响预测分析</w:t>
      </w:r>
      <w:bookmarkEnd w:id="100"/>
    </w:p>
    <w:p w14:paraId="11310A62">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8</w:t>
      </w:r>
      <w:r>
        <w:rPr>
          <w:rFonts w:eastAsia="方正楷体_GBK" w:cs="Times New Roman"/>
          <w:b/>
          <w:bCs/>
          <w:szCs w:val="28"/>
          <w14:ligatures w14:val="none"/>
        </w:rPr>
        <w:t>.</w:t>
      </w:r>
      <w:r>
        <w:rPr>
          <w:rFonts w:hint="eastAsia" w:eastAsia="方正楷体_GBK" w:cs="Times New Roman"/>
          <w:b/>
          <w:bCs/>
          <w:szCs w:val="28"/>
          <w14:ligatures w14:val="none"/>
        </w:rPr>
        <w:t>1地下水影响分析</w:t>
      </w:r>
    </w:p>
    <w:p w14:paraId="216805FB">
      <w:pPr>
        <w:ind w:firstLine="480"/>
        <w:rPr>
          <w:rFonts w:cs="Times New Roman"/>
        </w:rPr>
      </w:pPr>
      <w:r>
        <w:rPr>
          <w:rFonts w:cs="Times New Roman"/>
        </w:rPr>
        <w:t>规划区内度假区内建设项目对地下水的污染主要是污染物通过土层垂直下渗，首先经过表土，再进入包气带，在包气带污染可以得到一定程度的净化，有机污染物可以通过生物作用降解，不能被净化或固定的污染物随渗水进入地下水层。无机物在自然界不能降解，在下渗的过程中靠吸附或生成难溶化合物滞留于土层中。</w:t>
      </w:r>
    </w:p>
    <w:p w14:paraId="2EBA2063">
      <w:pPr>
        <w:ind w:firstLine="480"/>
        <w:rPr>
          <w:rFonts w:cs="Times New Roman"/>
        </w:rPr>
      </w:pPr>
      <w:r>
        <w:rPr>
          <w:rFonts w:cs="Times New Roman"/>
        </w:rPr>
        <w:t>根据度假区地下水现状监测</w:t>
      </w:r>
      <w:r>
        <w:rPr>
          <w:rFonts w:hint="eastAsia" w:cs="Times New Roman"/>
        </w:rPr>
        <w:t>数据</w:t>
      </w:r>
      <w:r>
        <w:rPr>
          <w:rFonts w:cs="Times New Roman"/>
        </w:rPr>
        <w:t>，监测期间各监测点位所测因子（除细菌总数外）均可达到《地下水质量标准》（GB/T 4848-2017）Ⅲ类标准。</w:t>
      </w:r>
    </w:p>
    <w:p w14:paraId="35794444">
      <w:pPr>
        <w:ind w:firstLine="480"/>
        <w:rPr>
          <w:rFonts w:cs="Times New Roman"/>
        </w:rPr>
      </w:pPr>
      <w:r>
        <w:rPr>
          <w:rFonts w:cs="Times New Roman"/>
        </w:rPr>
        <w:t>规划期内度假区无生产废水产生，产生的废水主要为生活污水。随着度假区规划供、排水管网的不断完善，新增生活污水均经污水管网进入区外污水处理厂集中处理。在度假区对区内污水管网、厕所、生活垃圾收集设施等采取严格的防渗措施，加强日常维护的情况下，规划期度假区内产生的生活污水对区域地下水水质基本没有影响。</w:t>
      </w:r>
    </w:p>
    <w:p w14:paraId="083CB76D">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w:t>
      </w:r>
      <w:r>
        <w:rPr>
          <w:rFonts w:hint="eastAsia" w:eastAsia="方正楷体_GBK" w:cs="Times New Roman"/>
          <w:b/>
          <w:bCs/>
          <w:szCs w:val="28"/>
          <w14:ligatures w14:val="none"/>
        </w:rPr>
        <w:t>8</w:t>
      </w:r>
      <w:r>
        <w:rPr>
          <w:rFonts w:eastAsia="方正楷体_GBK" w:cs="Times New Roman"/>
          <w:b/>
          <w:bCs/>
          <w:szCs w:val="28"/>
          <w14:ligatures w14:val="none"/>
        </w:rPr>
        <w:t>.</w:t>
      </w:r>
      <w:r>
        <w:rPr>
          <w:rFonts w:hint="eastAsia" w:eastAsia="方正楷体_GBK" w:cs="Times New Roman"/>
          <w:b/>
          <w:bCs/>
          <w:szCs w:val="28"/>
          <w14:ligatures w14:val="none"/>
        </w:rPr>
        <w:t>2地下水影响预测</w:t>
      </w:r>
    </w:p>
    <w:p w14:paraId="1C559875">
      <w:pPr>
        <w:ind w:firstLine="482"/>
        <w:rPr>
          <w:rFonts w:cs="Times New Roman"/>
          <w:b/>
          <w:bCs/>
          <w:szCs w:val="24"/>
        </w:rPr>
      </w:pPr>
      <w:r>
        <w:rPr>
          <w:rFonts w:hint="eastAsia" w:cs="Times New Roman"/>
          <w:b/>
          <w:bCs/>
          <w:szCs w:val="24"/>
        </w:rPr>
        <w:t>（</w:t>
      </w:r>
      <w:r>
        <w:rPr>
          <w:rFonts w:cs="Times New Roman"/>
          <w:b/>
          <w:bCs/>
          <w:szCs w:val="24"/>
        </w:rPr>
        <w:t>1</w:t>
      </w:r>
      <w:r>
        <w:rPr>
          <w:rFonts w:hint="eastAsia" w:cs="Times New Roman"/>
          <w:b/>
          <w:bCs/>
          <w:szCs w:val="24"/>
        </w:rPr>
        <w:t>）预测情景</w:t>
      </w:r>
    </w:p>
    <w:p w14:paraId="1AC67B66">
      <w:pPr>
        <w:ind w:firstLine="480"/>
        <w:rPr>
          <w:rFonts w:cs="Times New Roman"/>
          <w:szCs w:val="24"/>
        </w:rPr>
      </w:pPr>
      <w:r>
        <w:rPr>
          <w:rFonts w:hint="eastAsia" w:cs="Times New Roman"/>
          <w:szCs w:val="24"/>
        </w:rPr>
        <w:t>茅山旅游度假区内污水输送管线位于地下，管道腐蚀老化发生泄漏在短时间内不易被发现，长时间泄漏将对地下水环境产生影响；因此本次地下水环境影响预测与评价主要考虑地下污水输送管道因腐蚀老化导致污水直接渗入地下水的情况，代表性泄漏点设定为：茅山旅游度假区污水输运管网发生渗漏，并进入地下水。</w:t>
      </w:r>
    </w:p>
    <w:p w14:paraId="4B78C90D">
      <w:pPr>
        <w:ind w:firstLine="482"/>
        <w:rPr>
          <w:rFonts w:cs="Times New Roman"/>
          <w:b/>
          <w:bCs/>
          <w:szCs w:val="28"/>
        </w:rPr>
      </w:pPr>
      <w:bookmarkStart w:id="101" w:name="_Toc21357"/>
      <w:r>
        <w:rPr>
          <w:rFonts w:hint="eastAsia" w:cs="Times New Roman"/>
          <w:b/>
          <w:bCs/>
          <w:szCs w:val="28"/>
        </w:rPr>
        <w:t>（</w:t>
      </w:r>
      <w:r>
        <w:rPr>
          <w:rFonts w:cs="Times New Roman"/>
          <w:b/>
          <w:bCs/>
          <w:szCs w:val="28"/>
        </w:rPr>
        <w:t>2</w:t>
      </w:r>
      <w:r>
        <w:rPr>
          <w:rFonts w:hint="eastAsia" w:cs="Times New Roman"/>
          <w:b/>
          <w:bCs/>
          <w:szCs w:val="28"/>
        </w:rPr>
        <w:t>）预测因子、源强与预测时段</w:t>
      </w:r>
      <w:bookmarkEnd w:id="101"/>
    </w:p>
    <w:p w14:paraId="73C5DF1F">
      <w:pPr>
        <w:ind w:firstLine="480"/>
        <w:rPr>
          <w:rFonts w:cs="Times New Roman"/>
          <w:szCs w:val="24"/>
        </w:rPr>
      </w:pPr>
      <w:r>
        <w:rPr>
          <w:rFonts w:cs="Times New Roman"/>
          <w:szCs w:val="24"/>
        </w:rPr>
        <w:t>根据</w:t>
      </w:r>
      <w:r>
        <w:rPr>
          <w:rFonts w:hint="eastAsia" w:cs="Times New Roman"/>
          <w:szCs w:val="24"/>
        </w:rPr>
        <w:t>常州市金坛区茅东污水处理厂</w:t>
      </w:r>
      <w:r>
        <w:rPr>
          <w:rFonts w:cs="Times New Roman"/>
          <w:szCs w:val="24"/>
        </w:rPr>
        <w:t>处理水污染物分析，废水中主要污染物为COD、氨氮。以高锰酸钾溶液为氧化剂测得的化学耗氧量，称为高锰酸盐指数；以酸性重铬酸钾法测得的值称为化学需氧量（COD），两者都是氧化剂，氧化水中的有机污染物，通过计算氧化剂的消耗量，计算水中含有有机物耗氧量的多少。但在地下水中，一般采用高锰酸盐指数法，因此模拟和预测污染物在地下水中的迁移扩散时，用高锰酸盐指数代替COD。</w:t>
      </w:r>
    </w:p>
    <w:p w14:paraId="090D9B94">
      <w:pPr>
        <w:ind w:firstLine="480"/>
        <w:rPr>
          <w:rFonts w:cs="Times New Roman"/>
          <w:szCs w:val="24"/>
        </w:rPr>
      </w:pPr>
      <w:r>
        <w:rPr>
          <w:rFonts w:hint="eastAsia" w:cs="Times New Roman"/>
          <w:szCs w:val="24"/>
        </w:rPr>
        <w:t>茅山旅游度假区内</w:t>
      </w:r>
      <w:r>
        <w:rPr>
          <w:rFonts w:cs="Times New Roman"/>
          <w:szCs w:val="24"/>
        </w:rPr>
        <w:t>地下污水管道管径最大为</w:t>
      </w:r>
      <w:r>
        <w:rPr>
          <w:rFonts w:hint="eastAsia" w:cs="Times New Roman"/>
          <w:szCs w:val="24"/>
        </w:rPr>
        <w:t>4</w:t>
      </w:r>
      <w:r>
        <w:rPr>
          <w:rFonts w:cs="Times New Roman"/>
          <w:szCs w:val="24"/>
        </w:rPr>
        <w:t>00mm，以钢筋混凝土管为主要材质。根据《给水排水管道工程施工及验收规范》（GB50268-2008）中“压力管道水压试验的允许渗水量</w:t>
      </w:r>
      <w:r>
        <w:rPr>
          <w:rFonts w:hint="eastAsia" w:cs="Times New Roman"/>
          <w:szCs w:val="24"/>
        </w:rPr>
        <w:t>表</w:t>
      </w:r>
      <w:r>
        <w:rPr>
          <w:rFonts w:cs="Times New Roman"/>
          <w:szCs w:val="24"/>
        </w:rPr>
        <w:t>”</w:t>
      </w:r>
      <w:r>
        <w:rPr>
          <w:rFonts w:hint="eastAsia" w:cs="Times New Roman"/>
          <w:szCs w:val="24"/>
        </w:rPr>
        <w:t>，具体建表6.5-3。</w:t>
      </w:r>
      <w:r>
        <w:rPr>
          <w:rFonts w:cs="Times New Roman"/>
          <w:szCs w:val="24"/>
        </w:rPr>
        <w:t>管道允许渗水量为</w:t>
      </w:r>
      <w:r>
        <w:rPr>
          <w:rFonts w:hint="eastAsia" w:cs="Times New Roman"/>
          <w:szCs w:val="24"/>
        </w:rPr>
        <w:t>2.80</w:t>
      </w:r>
      <w:r>
        <w:rPr>
          <w:rFonts w:cs="Times New Roman"/>
          <w:szCs w:val="24"/>
        </w:rPr>
        <w:t>L/min·km，非正常状况下渗水量按允许渗水量10倍计算，则非正常状况下地下管道渗水量为</w:t>
      </w:r>
      <w:r>
        <w:rPr>
          <w:rFonts w:hint="eastAsia" w:cs="Times New Roman"/>
          <w:szCs w:val="24"/>
        </w:rPr>
        <w:t>28.</w:t>
      </w:r>
      <w:r>
        <w:rPr>
          <w:rFonts w:cs="Times New Roman"/>
          <w:szCs w:val="24"/>
        </w:rPr>
        <w:t>0L/min·km，本次评价假定发生渗漏管网长度达到500m，则非正常状况下地下管道渗水量约为</w:t>
      </w:r>
      <w:r>
        <w:rPr>
          <w:rFonts w:hint="eastAsia" w:cs="Times New Roman"/>
          <w:szCs w:val="24"/>
        </w:rPr>
        <w:t>0.36</w:t>
      </w:r>
      <w:r>
        <w:rPr>
          <w:rFonts w:cs="Times New Roman"/>
          <w:szCs w:val="24"/>
        </w:rPr>
        <w:t>m</w:t>
      </w:r>
      <w:r>
        <w:rPr>
          <w:rFonts w:cs="Times New Roman"/>
          <w:szCs w:val="24"/>
          <w:vertAlign w:val="superscript"/>
        </w:rPr>
        <w:t>3</w:t>
      </w:r>
      <w:r>
        <w:rPr>
          <w:rFonts w:cs="Times New Roman"/>
          <w:szCs w:val="24"/>
        </w:rPr>
        <w:t>/d。各污染物浓度以污水处理厂接管标准作为地下水环境影响污染物源强，选取COD最大浓度500mg/L，氨氮最大浓度45mg/L。多年数据表明COD一般为高锰酸盐指数的3~5倍，因此，模拟预测时高锰酸盐指数浓度取150mg/L。</w:t>
      </w:r>
    </w:p>
    <w:p w14:paraId="6A164538">
      <w:pPr>
        <w:pStyle w:val="45"/>
        <w:rPr>
          <w:rFonts w:cs="Times New Roman"/>
        </w:rPr>
      </w:pPr>
      <w:r>
        <w:rPr>
          <w:rFonts w:cs="Times New Roman"/>
        </w:rPr>
        <w:t>表</w:t>
      </w:r>
      <w:r>
        <w:rPr>
          <w:rFonts w:hint="eastAsia" w:cs="Times New Roman"/>
        </w:rPr>
        <w:t>5.8-1</w:t>
      </w:r>
      <w:r>
        <w:rPr>
          <w:rFonts w:cs="Times New Roman"/>
        </w:rPr>
        <w:t xml:space="preserve"> 压力管道水压试验的允许渗水量表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77"/>
        <w:gridCol w:w="1452"/>
        <w:gridCol w:w="1741"/>
        <w:gridCol w:w="3426"/>
      </w:tblGrid>
      <w:tr w14:paraId="04DE5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blHeader/>
        </w:trPr>
        <w:tc>
          <w:tcPr>
            <w:tcW w:w="1677" w:type="dxa"/>
            <w:vMerge w:val="restart"/>
            <w:vAlign w:val="center"/>
          </w:tcPr>
          <w:p w14:paraId="736A67FB">
            <w:pPr>
              <w:spacing w:line="240" w:lineRule="auto"/>
              <w:ind w:firstLine="0" w:firstLineChars="0"/>
              <w:jc w:val="center"/>
              <w:rPr>
                <w:rFonts w:cs="Times New Roman"/>
                <w:b/>
                <w:bCs/>
                <w:szCs w:val="21"/>
              </w:rPr>
            </w:pPr>
            <w:r>
              <w:rPr>
                <w:rFonts w:hint="eastAsia" w:cs="Times New Roman"/>
                <w:b/>
                <w:bCs/>
                <w:szCs w:val="21"/>
              </w:rPr>
              <w:t>管道内径Di（mm）</w:t>
            </w:r>
          </w:p>
        </w:tc>
        <w:tc>
          <w:tcPr>
            <w:tcW w:w="6619" w:type="dxa"/>
            <w:gridSpan w:val="3"/>
            <w:vAlign w:val="center"/>
          </w:tcPr>
          <w:p w14:paraId="542404F0">
            <w:pPr>
              <w:spacing w:line="240" w:lineRule="auto"/>
              <w:ind w:firstLine="0" w:firstLineChars="0"/>
              <w:jc w:val="center"/>
              <w:rPr>
                <w:rFonts w:cs="Times New Roman"/>
                <w:b/>
                <w:bCs/>
                <w:szCs w:val="21"/>
              </w:rPr>
            </w:pPr>
            <w:r>
              <w:rPr>
                <w:rFonts w:hint="eastAsia" w:cs="Times New Roman"/>
                <w:b/>
                <w:bCs/>
                <w:szCs w:val="21"/>
              </w:rPr>
              <w:t>允许渗水量（L/min·km）</w:t>
            </w:r>
          </w:p>
        </w:tc>
      </w:tr>
      <w:tr w14:paraId="14430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trPr>
        <w:tc>
          <w:tcPr>
            <w:tcW w:w="1677" w:type="dxa"/>
            <w:vMerge w:val="continue"/>
            <w:vAlign w:val="center"/>
          </w:tcPr>
          <w:p w14:paraId="60891281">
            <w:pPr>
              <w:spacing w:line="240" w:lineRule="auto"/>
              <w:ind w:firstLine="0" w:firstLineChars="0"/>
              <w:jc w:val="center"/>
              <w:rPr>
                <w:rFonts w:cs="Times New Roman"/>
                <w:b/>
                <w:bCs/>
                <w:szCs w:val="21"/>
              </w:rPr>
            </w:pPr>
          </w:p>
        </w:tc>
        <w:tc>
          <w:tcPr>
            <w:tcW w:w="1452" w:type="dxa"/>
            <w:vAlign w:val="center"/>
          </w:tcPr>
          <w:p w14:paraId="0597BE1A">
            <w:pPr>
              <w:spacing w:line="240" w:lineRule="auto"/>
              <w:ind w:firstLine="0" w:firstLineChars="0"/>
              <w:jc w:val="center"/>
              <w:rPr>
                <w:rFonts w:cs="Times New Roman"/>
                <w:b/>
                <w:bCs/>
                <w:szCs w:val="21"/>
              </w:rPr>
            </w:pPr>
            <w:r>
              <w:rPr>
                <w:rFonts w:hint="eastAsia" w:cs="Times New Roman"/>
                <w:b/>
                <w:bCs/>
                <w:szCs w:val="21"/>
              </w:rPr>
              <w:t>焊接接口钢管</w:t>
            </w:r>
          </w:p>
        </w:tc>
        <w:tc>
          <w:tcPr>
            <w:tcW w:w="1741" w:type="dxa"/>
            <w:vAlign w:val="center"/>
          </w:tcPr>
          <w:p w14:paraId="296499C1">
            <w:pPr>
              <w:spacing w:line="240" w:lineRule="auto"/>
              <w:ind w:firstLine="0" w:firstLineChars="0"/>
              <w:jc w:val="center"/>
              <w:rPr>
                <w:rFonts w:cs="Times New Roman"/>
                <w:b/>
                <w:bCs/>
                <w:szCs w:val="21"/>
              </w:rPr>
            </w:pPr>
            <w:r>
              <w:rPr>
                <w:rFonts w:hint="eastAsia" w:cs="Times New Roman"/>
                <w:b/>
                <w:bCs/>
                <w:szCs w:val="21"/>
              </w:rPr>
              <w:t>球墨铸铁管、剥离钢管</w:t>
            </w:r>
          </w:p>
        </w:tc>
        <w:tc>
          <w:tcPr>
            <w:tcW w:w="3426" w:type="dxa"/>
          </w:tcPr>
          <w:p w14:paraId="136B3E55">
            <w:pPr>
              <w:spacing w:line="240" w:lineRule="auto"/>
              <w:ind w:firstLine="0" w:firstLineChars="0"/>
              <w:jc w:val="center"/>
              <w:rPr>
                <w:rFonts w:cs="Times New Roman"/>
                <w:b/>
                <w:bCs/>
                <w:szCs w:val="21"/>
              </w:rPr>
            </w:pPr>
            <w:r>
              <w:rPr>
                <w:rFonts w:hint="eastAsia" w:cs="Times New Roman"/>
                <w:b/>
                <w:bCs/>
                <w:szCs w:val="21"/>
              </w:rPr>
              <w:t>预（自）应力混凝土管、预应力缸筒混凝土管</w:t>
            </w:r>
          </w:p>
        </w:tc>
      </w:tr>
      <w:tr w14:paraId="53026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1677" w:type="dxa"/>
            <w:vAlign w:val="center"/>
          </w:tcPr>
          <w:p w14:paraId="6A3F1837">
            <w:pPr>
              <w:spacing w:line="240" w:lineRule="auto"/>
              <w:ind w:firstLine="0" w:firstLineChars="0"/>
              <w:jc w:val="center"/>
              <w:rPr>
                <w:rFonts w:cs="Times New Roman"/>
                <w:szCs w:val="21"/>
              </w:rPr>
            </w:pPr>
            <w:r>
              <w:rPr>
                <w:rFonts w:hint="eastAsia" w:cs="Times New Roman"/>
                <w:szCs w:val="21"/>
              </w:rPr>
              <w:t>100</w:t>
            </w:r>
          </w:p>
        </w:tc>
        <w:tc>
          <w:tcPr>
            <w:tcW w:w="1452" w:type="dxa"/>
            <w:vAlign w:val="center"/>
          </w:tcPr>
          <w:p w14:paraId="1190F4EA">
            <w:pPr>
              <w:spacing w:line="240" w:lineRule="auto"/>
              <w:ind w:firstLine="0" w:firstLineChars="0"/>
              <w:jc w:val="center"/>
              <w:rPr>
                <w:rFonts w:cs="Times New Roman"/>
                <w:szCs w:val="21"/>
              </w:rPr>
            </w:pPr>
            <w:r>
              <w:rPr>
                <w:rFonts w:hint="eastAsia" w:cs="Times New Roman"/>
                <w:szCs w:val="21"/>
              </w:rPr>
              <w:t>0.28</w:t>
            </w:r>
          </w:p>
        </w:tc>
        <w:tc>
          <w:tcPr>
            <w:tcW w:w="1741" w:type="dxa"/>
            <w:vAlign w:val="center"/>
          </w:tcPr>
          <w:p w14:paraId="01105CF3">
            <w:pPr>
              <w:spacing w:line="240" w:lineRule="auto"/>
              <w:ind w:firstLine="0" w:firstLineChars="0"/>
              <w:jc w:val="center"/>
              <w:rPr>
                <w:rFonts w:cs="Times New Roman"/>
                <w:szCs w:val="21"/>
              </w:rPr>
            </w:pPr>
            <w:r>
              <w:rPr>
                <w:rFonts w:hint="eastAsia" w:cs="Times New Roman"/>
                <w:szCs w:val="21"/>
              </w:rPr>
              <w:t>0.70</w:t>
            </w:r>
          </w:p>
        </w:tc>
        <w:tc>
          <w:tcPr>
            <w:tcW w:w="3426" w:type="dxa"/>
            <w:vAlign w:val="center"/>
          </w:tcPr>
          <w:p w14:paraId="6BCA82A2">
            <w:pPr>
              <w:spacing w:line="240" w:lineRule="auto"/>
              <w:ind w:firstLine="0" w:firstLineChars="0"/>
              <w:jc w:val="center"/>
              <w:rPr>
                <w:rFonts w:cs="Times New Roman"/>
                <w:szCs w:val="21"/>
              </w:rPr>
            </w:pPr>
            <w:r>
              <w:rPr>
                <w:rFonts w:hint="eastAsia" w:cs="Times New Roman"/>
                <w:szCs w:val="21"/>
              </w:rPr>
              <w:t>1.40</w:t>
            </w:r>
          </w:p>
        </w:tc>
      </w:tr>
      <w:tr w14:paraId="767B6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677" w:type="dxa"/>
            <w:vAlign w:val="center"/>
          </w:tcPr>
          <w:p w14:paraId="1F6BF26A">
            <w:pPr>
              <w:spacing w:line="240" w:lineRule="auto"/>
              <w:ind w:firstLine="0" w:firstLineChars="0"/>
              <w:jc w:val="center"/>
              <w:rPr>
                <w:rFonts w:cs="Times New Roman"/>
                <w:szCs w:val="21"/>
              </w:rPr>
            </w:pPr>
            <w:r>
              <w:rPr>
                <w:rFonts w:hint="eastAsia" w:cs="Times New Roman"/>
                <w:szCs w:val="21"/>
              </w:rPr>
              <w:t>150</w:t>
            </w:r>
          </w:p>
        </w:tc>
        <w:tc>
          <w:tcPr>
            <w:tcW w:w="1452" w:type="dxa"/>
            <w:vAlign w:val="center"/>
          </w:tcPr>
          <w:p w14:paraId="0B3F7D11">
            <w:pPr>
              <w:spacing w:line="240" w:lineRule="auto"/>
              <w:ind w:firstLine="0" w:firstLineChars="0"/>
              <w:jc w:val="center"/>
              <w:rPr>
                <w:rFonts w:cs="Times New Roman"/>
                <w:szCs w:val="21"/>
              </w:rPr>
            </w:pPr>
            <w:r>
              <w:rPr>
                <w:rFonts w:hint="eastAsia" w:cs="Times New Roman"/>
                <w:szCs w:val="21"/>
              </w:rPr>
              <w:t>0.42</w:t>
            </w:r>
          </w:p>
        </w:tc>
        <w:tc>
          <w:tcPr>
            <w:tcW w:w="1741" w:type="dxa"/>
            <w:vAlign w:val="center"/>
          </w:tcPr>
          <w:p w14:paraId="1DAD9D44">
            <w:pPr>
              <w:spacing w:line="240" w:lineRule="auto"/>
              <w:ind w:firstLine="0" w:firstLineChars="0"/>
              <w:jc w:val="center"/>
              <w:rPr>
                <w:rFonts w:cs="Times New Roman"/>
                <w:szCs w:val="21"/>
              </w:rPr>
            </w:pPr>
            <w:r>
              <w:rPr>
                <w:rFonts w:hint="eastAsia" w:cs="Times New Roman"/>
                <w:szCs w:val="21"/>
              </w:rPr>
              <w:t>1.05</w:t>
            </w:r>
          </w:p>
        </w:tc>
        <w:tc>
          <w:tcPr>
            <w:tcW w:w="3426" w:type="dxa"/>
            <w:vAlign w:val="center"/>
          </w:tcPr>
          <w:p w14:paraId="2876F400">
            <w:pPr>
              <w:spacing w:line="240" w:lineRule="auto"/>
              <w:ind w:firstLine="0" w:firstLineChars="0"/>
              <w:jc w:val="center"/>
              <w:rPr>
                <w:rFonts w:cs="Times New Roman"/>
                <w:szCs w:val="21"/>
              </w:rPr>
            </w:pPr>
            <w:r>
              <w:rPr>
                <w:rFonts w:hint="eastAsia" w:cs="Times New Roman"/>
                <w:szCs w:val="21"/>
              </w:rPr>
              <w:t>1.72</w:t>
            </w:r>
          </w:p>
        </w:tc>
      </w:tr>
      <w:tr w14:paraId="4FB24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677" w:type="dxa"/>
            <w:vAlign w:val="center"/>
          </w:tcPr>
          <w:p w14:paraId="76A9600A">
            <w:pPr>
              <w:spacing w:line="240" w:lineRule="auto"/>
              <w:ind w:firstLine="0" w:firstLineChars="0"/>
              <w:jc w:val="center"/>
              <w:rPr>
                <w:rFonts w:cs="Times New Roman"/>
                <w:szCs w:val="21"/>
              </w:rPr>
            </w:pPr>
            <w:r>
              <w:rPr>
                <w:rFonts w:hint="eastAsia" w:cs="Times New Roman"/>
                <w:szCs w:val="21"/>
              </w:rPr>
              <w:t>200</w:t>
            </w:r>
          </w:p>
        </w:tc>
        <w:tc>
          <w:tcPr>
            <w:tcW w:w="1452" w:type="dxa"/>
            <w:vAlign w:val="center"/>
          </w:tcPr>
          <w:p w14:paraId="5AD64FF3">
            <w:pPr>
              <w:spacing w:line="240" w:lineRule="auto"/>
              <w:ind w:firstLine="0" w:firstLineChars="0"/>
              <w:jc w:val="center"/>
              <w:rPr>
                <w:rFonts w:cs="Times New Roman"/>
                <w:szCs w:val="21"/>
              </w:rPr>
            </w:pPr>
            <w:r>
              <w:rPr>
                <w:rFonts w:hint="eastAsia" w:cs="Times New Roman"/>
                <w:szCs w:val="21"/>
              </w:rPr>
              <w:t>0.56</w:t>
            </w:r>
          </w:p>
        </w:tc>
        <w:tc>
          <w:tcPr>
            <w:tcW w:w="1741" w:type="dxa"/>
            <w:vAlign w:val="center"/>
          </w:tcPr>
          <w:p w14:paraId="6AC601E7">
            <w:pPr>
              <w:spacing w:line="240" w:lineRule="auto"/>
              <w:ind w:firstLine="0" w:firstLineChars="0"/>
              <w:jc w:val="center"/>
              <w:rPr>
                <w:rFonts w:cs="Times New Roman"/>
                <w:szCs w:val="21"/>
              </w:rPr>
            </w:pPr>
            <w:r>
              <w:rPr>
                <w:rFonts w:hint="eastAsia" w:cs="Times New Roman"/>
                <w:szCs w:val="21"/>
              </w:rPr>
              <w:t>1.40</w:t>
            </w:r>
          </w:p>
        </w:tc>
        <w:tc>
          <w:tcPr>
            <w:tcW w:w="3426" w:type="dxa"/>
            <w:vAlign w:val="center"/>
          </w:tcPr>
          <w:p w14:paraId="4943F8F2">
            <w:pPr>
              <w:spacing w:line="240" w:lineRule="auto"/>
              <w:ind w:firstLine="0" w:firstLineChars="0"/>
              <w:jc w:val="center"/>
              <w:rPr>
                <w:rFonts w:cs="Times New Roman"/>
                <w:szCs w:val="21"/>
              </w:rPr>
            </w:pPr>
            <w:r>
              <w:rPr>
                <w:rFonts w:hint="eastAsia" w:cs="Times New Roman"/>
                <w:szCs w:val="21"/>
              </w:rPr>
              <w:t>1.98</w:t>
            </w:r>
          </w:p>
        </w:tc>
      </w:tr>
      <w:tr w14:paraId="5A0D7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677" w:type="dxa"/>
            <w:vAlign w:val="center"/>
          </w:tcPr>
          <w:p w14:paraId="05C75C21">
            <w:pPr>
              <w:spacing w:line="240" w:lineRule="auto"/>
              <w:ind w:firstLine="0" w:firstLineChars="0"/>
              <w:jc w:val="center"/>
              <w:rPr>
                <w:rFonts w:cs="Times New Roman"/>
                <w:szCs w:val="21"/>
              </w:rPr>
            </w:pPr>
            <w:r>
              <w:rPr>
                <w:rFonts w:hint="eastAsia" w:cs="Times New Roman"/>
                <w:szCs w:val="21"/>
              </w:rPr>
              <w:t>300</w:t>
            </w:r>
          </w:p>
        </w:tc>
        <w:tc>
          <w:tcPr>
            <w:tcW w:w="1452" w:type="dxa"/>
            <w:vAlign w:val="center"/>
          </w:tcPr>
          <w:p w14:paraId="4C26191B">
            <w:pPr>
              <w:spacing w:line="240" w:lineRule="auto"/>
              <w:ind w:firstLine="0" w:firstLineChars="0"/>
              <w:jc w:val="center"/>
              <w:rPr>
                <w:rFonts w:cs="Times New Roman"/>
                <w:szCs w:val="21"/>
              </w:rPr>
            </w:pPr>
            <w:r>
              <w:rPr>
                <w:rFonts w:hint="eastAsia" w:cs="Times New Roman"/>
                <w:szCs w:val="21"/>
              </w:rPr>
              <w:t>0.85</w:t>
            </w:r>
          </w:p>
        </w:tc>
        <w:tc>
          <w:tcPr>
            <w:tcW w:w="1741" w:type="dxa"/>
            <w:vAlign w:val="center"/>
          </w:tcPr>
          <w:p w14:paraId="6C9E06B5">
            <w:pPr>
              <w:spacing w:line="240" w:lineRule="auto"/>
              <w:ind w:firstLine="0" w:firstLineChars="0"/>
              <w:jc w:val="center"/>
              <w:rPr>
                <w:rFonts w:cs="Times New Roman"/>
                <w:szCs w:val="21"/>
              </w:rPr>
            </w:pPr>
            <w:r>
              <w:rPr>
                <w:rFonts w:hint="eastAsia" w:cs="Times New Roman"/>
                <w:szCs w:val="21"/>
              </w:rPr>
              <w:t>1.70</w:t>
            </w:r>
          </w:p>
        </w:tc>
        <w:tc>
          <w:tcPr>
            <w:tcW w:w="3426" w:type="dxa"/>
            <w:vAlign w:val="center"/>
          </w:tcPr>
          <w:p w14:paraId="05744F29">
            <w:pPr>
              <w:spacing w:line="240" w:lineRule="auto"/>
              <w:ind w:firstLine="0" w:firstLineChars="0"/>
              <w:jc w:val="center"/>
              <w:rPr>
                <w:rFonts w:cs="Times New Roman"/>
                <w:szCs w:val="21"/>
              </w:rPr>
            </w:pPr>
            <w:r>
              <w:rPr>
                <w:rFonts w:hint="eastAsia" w:cs="Times New Roman"/>
                <w:szCs w:val="21"/>
              </w:rPr>
              <w:t>2.42</w:t>
            </w:r>
          </w:p>
        </w:tc>
      </w:tr>
      <w:tr w14:paraId="6980F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677" w:type="dxa"/>
            <w:vAlign w:val="center"/>
          </w:tcPr>
          <w:p w14:paraId="52E8215C">
            <w:pPr>
              <w:spacing w:line="240" w:lineRule="auto"/>
              <w:ind w:firstLine="0" w:firstLineChars="0"/>
              <w:jc w:val="center"/>
              <w:rPr>
                <w:rFonts w:cs="Times New Roman"/>
                <w:szCs w:val="21"/>
              </w:rPr>
            </w:pPr>
            <w:r>
              <w:rPr>
                <w:rFonts w:hint="eastAsia" w:cs="Times New Roman"/>
                <w:szCs w:val="21"/>
              </w:rPr>
              <w:t>400</w:t>
            </w:r>
          </w:p>
        </w:tc>
        <w:tc>
          <w:tcPr>
            <w:tcW w:w="1452" w:type="dxa"/>
            <w:vAlign w:val="center"/>
          </w:tcPr>
          <w:p w14:paraId="2E549686">
            <w:pPr>
              <w:spacing w:line="240" w:lineRule="auto"/>
              <w:ind w:firstLine="0" w:firstLineChars="0"/>
              <w:jc w:val="center"/>
              <w:rPr>
                <w:rFonts w:cs="Times New Roman"/>
                <w:szCs w:val="21"/>
              </w:rPr>
            </w:pPr>
            <w:r>
              <w:rPr>
                <w:rFonts w:hint="eastAsia" w:cs="Times New Roman"/>
                <w:szCs w:val="21"/>
              </w:rPr>
              <w:t>1.00</w:t>
            </w:r>
          </w:p>
        </w:tc>
        <w:tc>
          <w:tcPr>
            <w:tcW w:w="1741" w:type="dxa"/>
            <w:vAlign w:val="center"/>
          </w:tcPr>
          <w:p w14:paraId="7E1F4CD2">
            <w:pPr>
              <w:spacing w:line="240" w:lineRule="auto"/>
              <w:ind w:firstLine="0" w:firstLineChars="0"/>
              <w:jc w:val="center"/>
              <w:rPr>
                <w:rFonts w:cs="Times New Roman"/>
                <w:szCs w:val="21"/>
              </w:rPr>
            </w:pPr>
            <w:r>
              <w:rPr>
                <w:rFonts w:hint="eastAsia" w:cs="Times New Roman"/>
                <w:szCs w:val="21"/>
              </w:rPr>
              <w:t>1.95</w:t>
            </w:r>
          </w:p>
        </w:tc>
        <w:tc>
          <w:tcPr>
            <w:tcW w:w="3426" w:type="dxa"/>
            <w:shd w:val="clear" w:color="auto" w:fill="D0CECE" w:themeFill="background2" w:themeFillShade="E6"/>
            <w:vAlign w:val="center"/>
          </w:tcPr>
          <w:p w14:paraId="11D312B2">
            <w:pPr>
              <w:spacing w:line="240" w:lineRule="auto"/>
              <w:ind w:firstLine="0" w:firstLineChars="0"/>
              <w:jc w:val="center"/>
              <w:rPr>
                <w:rFonts w:cs="Times New Roman"/>
                <w:szCs w:val="21"/>
              </w:rPr>
            </w:pPr>
            <w:r>
              <w:rPr>
                <w:rFonts w:hint="eastAsia" w:cs="Times New Roman"/>
                <w:szCs w:val="21"/>
              </w:rPr>
              <w:t>2.80</w:t>
            </w:r>
          </w:p>
        </w:tc>
      </w:tr>
      <w:tr w14:paraId="3600B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677" w:type="dxa"/>
            <w:vAlign w:val="center"/>
          </w:tcPr>
          <w:p w14:paraId="141B9C4D">
            <w:pPr>
              <w:spacing w:line="240" w:lineRule="auto"/>
              <w:ind w:firstLine="0" w:firstLineChars="0"/>
              <w:jc w:val="center"/>
              <w:rPr>
                <w:rFonts w:cs="Times New Roman"/>
                <w:szCs w:val="21"/>
              </w:rPr>
            </w:pPr>
            <w:r>
              <w:rPr>
                <w:rFonts w:hint="eastAsia" w:cs="Times New Roman"/>
                <w:szCs w:val="21"/>
              </w:rPr>
              <w:t>600</w:t>
            </w:r>
          </w:p>
        </w:tc>
        <w:tc>
          <w:tcPr>
            <w:tcW w:w="1452" w:type="dxa"/>
            <w:vAlign w:val="center"/>
          </w:tcPr>
          <w:p w14:paraId="0247F717">
            <w:pPr>
              <w:spacing w:line="240" w:lineRule="auto"/>
              <w:ind w:firstLine="0" w:firstLineChars="0"/>
              <w:jc w:val="center"/>
              <w:rPr>
                <w:rFonts w:cs="Times New Roman"/>
                <w:szCs w:val="21"/>
              </w:rPr>
            </w:pPr>
            <w:r>
              <w:rPr>
                <w:rFonts w:hint="eastAsia" w:cs="Times New Roman"/>
                <w:szCs w:val="21"/>
              </w:rPr>
              <w:t>1.20</w:t>
            </w:r>
          </w:p>
        </w:tc>
        <w:tc>
          <w:tcPr>
            <w:tcW w:w="1741" w:type="dxa"/>
            <w:vAlign w:val="center"/>
          </w:tcPr>
          <w:p w14:paraId="1DDEDAEA">
            <w:pPr>
              <w:spacing w:line="240" w:lineRule="auto"/>
              <w:ind w:firstLine="0" w:firstLineChars="0"/>
              <w:jc w:val="center"/>
              <w:rPr>
                <w:rFonts w:cs="Times New Roman"/>
                <w:szCs w:val="21"/>
              </w:rPr>
            </w:pPr>
            <w:r>
              <w:rPr>
                <w:rFonts w:hint="eastAsia" w:cs="Times New Roman"/>
                <w:szCs w:val="21"/>
              </w:rPr>
              <w:t>2.40</w:t>
            </w:r>
          </w:p>
        </w:tc>
        <w:tc>
          <w:tcPr>
            <w:tcW w:w="3426" w:type="dxa"/>
            <w:vAlign w:val="center"/>
          </w:tcPr>
          <w:p w14:paraId="09810746">
            <w:pPr>
              <w:spacing w:line="240" w:lineRule="auto"/>
              <w:ind w:firstLine="0" w:firstLineChars="0"/>
              <w:jc w:val="center"/>
              <w:rPr>
                <w:rFonts w:cs="Times New Roman"/>
                <w:szCs w:val="21"/>
              </w:rPr>
            </w:pPr>
            <w:r>
              <w:rPr>
                <w:rFonts w:hint="eastAsia" w:cs="Times New Roman"/>
                <w:szCs w:val="21"/>
              </w:rPr>
              <w:t>3.14</w:t>
            </w:r>
          </w:p>
        </w:tc>
      </w:tr>
      <w:tr w14:paraId="44E63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677" w:type="dxa"/>
            <w:vAlign w:val="center"/>
          </w:tcPr>
          <w:p w14:paraId="55A2C00A">
            <w:pPr>
              <w:spacing w:line="240" w:lineRule="auto"/>
              <w:ind w:firstLine="0" w:firstLineChars="0"/>
              <w:jc w:val="center"/>
              <w:rPr>
                <w:rFonts w:cs="Times New Roman"/>
                <w:szCs w:val="21"/>
              </w:rPr>
            </w:pPr>
            <w:r>
              <w:rPr>
                <w:rFonts w:hint="eastAsia" w:cs="Times New Roman"/>
                <w:szCs w:val="21"/>
              </w:rPr>
              <w:t>800</w:t>
            </w:r>
          </w:p>
        </w:tc>
        <w:tc>
          <w:tcPr>
            <w:tcW w:w="1452" w:type="dxa"/>
            <w:vAlign w:val="center"/>
          </w:tcPr>
          <w:p w14:paraId="5FAE15E0">
            <w:pPr>
              <w:spacing w:line="240" w:lineRule="auto"/>
              <w:ind w:firstLine="0" w:firstLineChars="0"/>
              <w:jc w:val="center"/>
              <w:rPr>
                <w:rFonts w:cs="Times New Roman"/>
                <w:szCs w:val="21"/>
              </w:rPr>
            </w:pPr>
            <w:r>
              <w:rPr>
                <w:rFonts w:hint="eastAsia" w:cs="Times New Roman"/>
                <w:szCs w:val="21"/>
              </w:rPr>
              <w:t>1.35</w:t>
            </w:r>
          </w:p>
        </w:tc>
        <w:tc>
          <w:tcPr>
            <w:tcW w:w="1741" w:type="dxa"/>
            <w:vAlign w:val="center"/>
          </w:tcPr>
          <w:p w14:paraId="348A0ED6">
            <w:pPr>
              <w:spacing w:line="240" w:lineRule="auto"/>
              <w:ind w:firstLine="0" w:firstLineChars="0"/>
              <w:jc w:val="center"/>
              <w:rPr>
                <w:rFonts w:cs="Times New Roman"/>
                <w:szCs w:val="21"/>
              </w:rPr>
            </w:pPr>
            <w:r>
              <w:rPr>
                <w:rFonts w:hint="eastAsia" w:cs="Times New Roman"/>
                <w:szCs w:val="21"/>
              </w:rPr>
              <w:t>2.70</w:t>
            </w:r>
          </w:p>
        </w:tc>
        <w:tc>
          <w:tcPr>
            <w:tcW w:w="3426" w:type="dxa"/>
            <w:vAlign w:val="center"/>
          </w:tcPr>
          <w:p w14:paraId="2F680721">
            <w:pPr>
              <w:spacing w:line="240" w:lineRule="auto"/>
              <w:ind w:firstLine="0" w:firstLineChars="0"/>
              <w:jc w:val="center"/>
              <w:rPr>
                <w:rFonts w:cs="Times New Roman"/>
                <w:szCs w:val="21"/>
              </w:rPr>
            </w:pPr>
            <w:r>
              <w:rPr>
                <w:rFonts w:hint="eastAsia" w:cs="Times New Roman"/>
                <w:szCs w:val="21"/>
              </w:rPr>
              <w:t>3.96</w:t>
            </w:r>
          </w:p>
        </w:tc>
      </w:tr>
      <w:tr w14:paraId="70ACC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677" w:type="dxa"/>
            <w:vAlign w:val="center"/>
          </w:tcPr>
          <w:p w14:paraId="4F2E67C5">
            <w:pPr>
              <w:spacing w:line="240" w:lineRule="auto"/>
              <w:ind w:firstLine="0" w:firstLineChars="0"/>
              <w:jc w:val="center"/>
              <w:rPr>
                <w:rFonts w:cs="Times New Roman"/>
                <w:szCs w:val="21"/>
              </w:rPr>
            </w:pPr>
            <w:r>
              <w:rPr>
                <w:rFonts w:hint="eastAsia" w:cs="Times New Roman"/>
                <w:szCs w:val="21"/>
              </w:rPr>
              <w:t>900</w:t>
            </w:r>
          </w:p>
        </w:tc>
        <w:tc>
          <w:tcPr>
            <w:tcW w:w="1452" w:type="dxa"/>
            <w:vAlign w:val="center"/>
          </w:tcPr>
          <w:p w14:paraId="424FDA84">
            <w:pPr>
              <w:spacing w:line="240" w:lineRule="auto"/>
              <w:ind w:firstLine="0" w:firstLineChars="0"/>
              <w:jc w:val="center"/>
              <w:rPr>
                <w:rFonts w:cs="Times New Roman"/>
                <w:szCs w:val="21"/>
              </w:rPr>
            </w:pPr>
            <w:r>
              <w:rPr>
                <w:rFonts w:hint="eastAsia" w:cs="Times New Roman"/>
                <w:szCs w:val="21"/>
              </w:rPr>
              <w:t>1.45</w:t>
            </w:r>
          </w:p>
        </w:tc>
        <w:tc>
          <w:tcPr>
            <w:tcW w:w="1741" w:type="dxa"/>
            <w:vAlign w:val="center"/>
          </w:tcPr>
          <w:p w14:paraId="0C7ECDA7">
            <w:pPr>
              <w:spacing w:line="240" w:lineRule="auto"/>
              <w:ind w:firstLine="0" w:firstLineChars="0"/>
              <w:jc w:val="center"/>
              <w:rPr>
                <w:rFonts w:cs="Times New Roman"/>
                <w:szCs w:val="21"/>
              </w:rPr>
            </w:pPr>
            <w:r>
              <w:rPr>
                <w:rFonts w:hint="eastAsia" w:cs="Times New Roman"/>
                <w:szCs w:val="21"/>
              </w:rPr>
              <w:t>2.90</w:t>
            </w:r>
          </w:p>
        </w:tc>
        <w:tc>
          <w:tcPr>
            <w:tcW w:w="3426" w:type="dxa"/>
            <w:vAlign w:val="center"/>
          </w:tcPr>
          <w:p w14:paraId="77A42F05">
            <w:pPr>
              <w:spacing w:line="240" w:lineRule="auto"/>
              <w:ind w:firstLine="0" w:firstLineChars="0"/>
              <w:jc w:val="center"/>
              <w:rPr>
                <w:rFonts w:cs="Times New Roman"/>
                <w:szCs w:val="21"/>
              </w:rPr>
            </w:pPr>
            <w:r>
              <w:rPr>
                <w:rFonts w:hint="eastAsia" w:cs="Times New Roman"/>
                <w:szCs w:val="21"/>
              </w:rPr>
              <w:t>4.20</w:t>
            </w:r>
          </w:p>
        </w:tc>
      </w:tr>
      <w:tr w14:paraId="6B1AF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677" w:type="dxa"/>
            <w:vAlign w:val="center"/>
          </w:tcPr>
          <w:p w14:paraId="2FFD4604">
            <w:pPr>
              <w:spacing w:line="240" w:lineRule="auto"/>
              <w:ind w:firstLine="0" w:firstLineChars="0"/>
              <w:jc w:val="center"/>
              <w:rPr>
                <w:rFonts w:cs="Times New Roman"/>
                <w:szCs w:val="21"/>
              </w:rPr>
            </w:pPr>
            <w:r>
              <w:rPr>
                <w:rFonts w:hint="eastAsia" w:cs="Times New Roman"/>
                <w:szCs w:val="21"/>
              </w:rPr>
              <w:t>1000</w:t>
            </w:r>
          </w:p>
        </w:tc>
        <w:tc>
          <w:tcPr>
            <w:tcW w:w="1452" w:type="dxa"/>
            <w:vAlign w:val="center"/>
          </w:tcPr>
          <w:p w14:paraId="2273C81E">
            <w:pPr>
              <w:spacing w:line="240" w:lineRule="auto"/>
              <w:ind w:firstLine="0" w:firstLineChars="0"/>
              <w:jc w:val="center"/>
              <w:rPr>
                <w:rFonts w:cs="Times New Roman"/>
                <w:szCs w:val="21"/>
              </w:rPr>
            </w:pPr>
            <w:r>
              <w:rPr>
                <w:rFonts w:hint="eastAsia" w:cs="Times New Roman"/>
                <w:szCs w:val="21"/>
              </w:rPr>
              <w:t>1.50</w:t>
            </w:r>
          </w:p>
        </w:tc>
        <w:tc>
          <w:tcPr>
            <w:tcW w:w="1741" w:type="dxa"/>
            <w:vAlign w:val="center"/>
          </w:tcPr>
          <w:p w14:paraId="4ED0F75F">
            <w:pPr>
              <w:spacing w:line="240" w:lineRule="auto"/>
              <w:ind w:firstLine="0" w:firstLineChars="0"/>
              <w:jc w:val="center"/>
              <w:rPr>
                <w:rFonts w:cs="Times New Roman"/>
                <w:szCs w:val="21"/>
              </w:rPr>
            </w:pPr>
            <w:r>
              <w:rPr>
                <w:rFonts w:hint="eastAsia" w:cs="Times New Roman"/>
                <w:szCs w:val="21"/>
              </w:rPr>
              <w:t>3.00</w:t>
            </w:r>
          </w:p>
        </w:tc>
        <w:tc>
          <w:tcPr>
            <w:tcW w:w="3426" w:type="dxa"/>
            <w:vAlign w:val="center"/>
          </w:tcPr>
          <w:p w14:paraId="41AED47F">
            <w:pPr>
              <w:spacing w:line="240" w:lineRule="auto"/>
              <w:ind w:firstLine="0" w:firstLineChars="0"/>
              <w:jc w:val="center"/>
              <w:rPr>
                <w:rFonts w:cs="Times New Roman"/>
                <w:szCs w:val="21"/>
              </w:rPr>
            </w:pPr>
            <w:r>
              <w:rPr>
                <w:rFonts w:hint="eastAsia" w:cs="Times New Roman"/>
                <w:szCs w:val="21"/>
              </w:rPr>
              <w:t>4.42</w:t>
            </w:r>
          </w:p>
        </w:tc>
      </w:tr>
      <w:tr w14:paraId="50748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677" w:type="dxa"/>
            <w:vAlign w:val="center"/>
          </w:tcPr>
          <w:p w14:paraId="0459BDF3">
            <w:pPr>
              <w:spacing w:line="240" w:lineRule="auto"/>
              <w:ind w:firstLine="0" w:firstLineChars="0"/>
              <w:jc w:val="center"/>
              <w:rPr>
                <w:rFonts w:cs="Times New Roman"/>
                <w:szCs w:val="21"/>
              </w:rPr>
            </w:pPr>
            <w:r>
              <w:rPr>
                <w:rFonts w:hint="eastAsia" w:cs="Times New Roman"/>
                <w:szCs w:val="21"/>
              </w:rPr>
              <w:t>1200</w:t>
            </w:r>
          </w:p>
        </w:tc>
        <w:tc>
          <w:tcPr>
            <w:tcW w:w="1452" w:type="dxa"/>
            <w:vAlign w:val="center"/>
          </w:tcPr>
          <w:p w14:paraId="01D8CAF4">
            <w:pPr>
              <w:spacing w:line="240" w:lineRule="auto"/>
              <w:ind w:firstLine="0" w:firstLineChars="0"/>
              <w:jc w:val="center"/>
              <w:rPr>
                <w:rFonts w:cs="Times New Roman"/>
                <w:szCs w:val="21"/>
              </w:rPr>
            </w:pPr>
            <w:r>
              <w:rPr>
                <w:rFonts w:hint="eastAsia" w:cs="Times New Roman"/>
                <w:szCs w:val="21"/>
              </w:rPr>
              <w:t>1.65</w:t>
            </w:r>
          </w:p>
        </w:tc>
        <w:tc>
          <w:tcPr>
            <w:tcW w:w="1741" w:type="dxa"/>
            <w:vAlign w:val="center"/>
          </w:tcPr>
          <w:p w14:paraId="74EEA48A">
            <w:pPr>
              <w:spacing w:line="240" w:lineRule="auto"/>
              <w:ind w:firstLine="0" w:firstLineChars="0"/>
              <w:jc w:val="center"/>
              <w:rPr>
                <w:rFonts w:cs="Times New Roman"/>
                <w:szCs w:val="21"/>
              </w:rPr>
            </w:pPr>
            <w:r>
              <w:rPr>
                <w:rFonts w:hint="eastAsia" w:cs="Times New Roman"/>
                <w:szCs w:val="21"/>
              </w:rPr>
              <w:t>3.30</w:t>
            </w:r>
          </w:p>
        </w:tc>
        <w:tc>
          <w:tcPr>
            <w:tcW w:w="3426" w:type="dxa"/>
            <w:vAlign w:val="center"/>
          </w:tcPr>
          <w:p w14:paraId="022B414B">
            <w:pPr>
              <w:spacing w:line="240" w:lineRule="auto"/>
              <w:ind w:firstLine="0" w:firstLineChars="0"/>
              <w:jc w:val="center"/>
              <w:rPr>
                <w:rFonts w:cs="Times New Roman"/>
                <w:szCs w:val="21"/>
              </w:rPr>
            </w:pPr>
            <w:r>
              <w:rPr>
                <w:rFonts w:hint="eastAsia" w:cs="Times New Roman"/>
                <w:szCs w:val="21"/>
              </w:rPr>
              <w:t>4.70</w:t>
            </w:r>
          </w:p>
        </w:tc>
      </w:tr>
      <w:tr w14:paraId="12A72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677" w:type="dxa"/>
            <w:vAlign w:val="center"/>
          </w:tcPr>
          <w:p w14:paraId="2187CE3B">
            <w:pPr>
              <w:spacing w:line="240" w:lineRule="auto"/>
              <w:ind w:firstLine="0" w:firstLineChars="0"/>
              <w:jc w:val="center"/>
              <w:rPr>
                <w:rFonts w:cs="Times New Roman"/>
                <w:szCs w:val="21"/>
              </w:rPr>
            </w:pPr>
            <w:r>
              <w:rPr>
                <w:rFonts w:hint="eastAsia" w:cs="Times New Roman"/>
                <w:szCs w:val="21"/>
              </w:rPr>
              <w:t>1400</w:t>
            </w:r>
          </w:p>
        </w:tc>
        <w:tc>
          <w:tcPr>
            <w:tcW w:w="1452" w:type="dxa"/>
            <w:vAlign w:val="center"/>
          </w:tcPr>
          <w:p w14:paraId="71FF67E0">
            <w:pPr>
              <w:spacing w:line="240" w:lineRule="auto"/>
              <w:ind w:firstLine="0" w:firstLineChars="0"/>
              <w:jc w:val="center"/>
              <w:rPr>
                <w:rFonts w:cs="Times New Roman"/>
                <w:szCs w:val="21"/>
              </w:rPr>
            </w:pPr>
            <w:r>
              <w:rPr>
                <w:rFonts w:hint="eastAsia" w:cs="Times New Roman"/>
                <w:szCs w:val="21"/>
              </w:rPr>
              <w:t>1.75</w:t>
            </w:r>
          </w:p>
        </w:tc>
        <w:tc>
          <w:tcPr>
            <w:tcW w:w="1741" w:type="dxa"/>
            <w:vAlign w:val="center"/>
          </w:tcPr>
          <w:p w14:paraId="6E40F049">
            <w:pPr>
              <w:spacing w:line="240" w:lineRule="auto"/>
              <w:ind w:firstLine="0" w:firstLineChars="0"/>
              <w:jc w:val="center"/>
              <w:rPr>
                <w:rFonts w:cs="Times New Roman"/>
                <w:szCs w:val="21"/>
              </w:rPr>
            </w:pPr>
            <w:r>
              <w:rPr>
                <w:rFonts w:hint="eastAsia" w:cs="Times New Roman"/>
                <w:szCs w:val="21"/>
              </w:rPr>
              <w:t>--</w:t>
            </w:r>
          </w:p>
        </w:tc>
        <w:tc>
          <w:tcPr>
            <w:tcW w:w="3426" w:type="dxa"/>
            <w:vAlign w:val="center"/>
          </w:tcPr>
          <w:p w14:paraId="4C4F20B9">
            <w:pPr>
              <w:spacing w:line="240" w:lineRule="auto"/>
              <w:ind w:firstLine="0" w:firstLineChars="0"/>
              <w:jc w:val="center"/>
              <w:rPr>
                <w:rFonts w:cs="Times New Roman"/>
                <w:szCs w:val="21"/>
              </w:rPr>
            </w:pPr>
            <w:r>
              <w:rPr>
                <w:rFonts w:hint="eastAsia" w:cs="Times New Roman"/>
                <w:szCs w:val="21"/>
              </w:rPr>
              <w:t>5.00</w:t>
            </w:r>
          </w:p>
        </w:tc>
      </w:tr>
    </w:tbl>
    <w:p w14:paraId="3227B300">
      <w:pPr>
        <w:ind w:firstLine="480"/>
        <w:rPr>
          <w:rFonts w:cs="Times New Roman"/>
          <w:szCs w:val="24"/>
        </w:rPr>
      </w:pPr>
      <w:r>
        <w:rPr>
          <w:rFonts w:hint="eastAsia" w:cs="Times New Roman"/>
          <w:szCs w:val="24"/>
          <w:u w:val="single"/>
        </w:rPr>
        <w:t>预测时段。</w:t>
      </w:r>
      <w:r>
        <w:rPr>
          <w:rFonts w:hint="eastAsia" w:cs="Times New Roman"/>
          <w:szCs w:val="24"/>
        </w:rPr>
        <w:t>茅山旅游度假区运营期正常情况下不产生地下水污染，主要考虑因素是渗漏对地下水造成的影响。本次评价将污染源视为连续稳定释放的点源，通过对非正常工况的污染物进行正向推算，分别计算</w:t>
      </w:r>
      <w:r>
        <w:rPr>
          <w:rFonts w:cs="Times New Roman"/>
          <w:szCs w:val="24"/>
        </w:rPr>
        <w:t>100天、1000天、3650天</w:t>
      </w:r>
      <w:r>
        <w:rPr>
          <w:rFonts w:hint="eastAsia" w:cs="Times New Roman"/>
          <w:szCs w:val="24"/>
        </w:rPr>
        <w:t>（10年）</w:t>
      </w:r>
      <w:r>
        <w:rPr>
          <w:rFonts w:cs="Times New Roman"/>
          <w:szCs w:val="24"/>
        </w:rPr>
        <w:t>、7300天</w:t>
      </w:r>
      <w:r>
        <w:rPr>
          <w:rFonts w:hint="eastAsia" w:cs="Times New Roman"/>
          <w:szCs w:val="24"/>
        </w:rPr>
        <w:t>（20年）</w:t>
      </w:r>
      <w:r>
        <w:rPr>
          <w:rFonts w:cs="Times New Roman"/>
          <w:szCs w:val="24"/>
        </w:rPr>
        <w:t>后的污染物的超标距离与最大运移距离。</w:t>
      </w:r>
    </w:p>
    <w:p w14:paraId="380AD11B">
      <w:pPr>
        <w:ind w:firstLine="482"/>
        <w:rPr>
          <w:rFonts w:cs="Times New Roman"/>
          <w:b/>
          <w:bCs/>
          <w:szCs w:val="28"/>
        </w:rPr>
      </w:pPr>
      <w:bookmarkStart w:id="102" w:name="_Toc24097"/>
      <w:r>
        <w:rPr>
          <w:rFonts w:cs="Times New Roman"/>
          <w:b/>
          <w:bCs/>
          <w:szCs w:val="28"/>
        </w:rPr>
        <w:t>（</w:t>
      </w:r>
      <w:r>
        <w:rPr>
          <w:rFonts w:hint="eastAsia" w:cs="Times New Roman"/>
          <w:b/>
          <w:bCs/>
          <w:szCs w:val="28"/>
        </w:rPr>
        <w:t>3</w:t>
      </w:r>
      <w:r>
        <w:rPr>
          <w:rFonts w:cs="Times New Roman"/>
          <w:b/>
          <w:bCs/>
          <w:szCs w:val="28"/>
        </w:rPr>
        <w:t>）评价标准</w:t>
      </w:r>
      <w:bookmarkEnd w:id="102"/>
    </w:p>
    <w:p w14:paraId="1204C4F0">
      <w:pPr>
        <w:ind w:firstLine="480"/>
        <w:rPr>
          <w:rFonts w:cs="Times New Roman"/>
          <w:szCs w:val="28"/>
        </w:rPr>
      </w:pPr>
      <w:r>
        <w:rPr>
          <w:rFonts w:cs="Times New Roman"/>
          <w:szCs w:val="28"/>
        </w:rPr>
        <w:t>根据情景设定主要污染源的分布位置，本次评价选定优先控制污染物，预测污染物在地下水中迁移过程，进一步分析不同时间、与污染源不同距离的污染物浓度。COD</w:t>
      </w:r>
      <w:r>
        <w:rPr>
          <w:rFonts w:cs="Times New Roman"/>
          <w:szCs w:val="28"/>
          <w:vertAlign w:val="subscript"/>
        </w:rPr>
        <w:t>Mn</w:t>
      </w:r>
      <w:r>
        <w:rPr>
          <w:rFonts w:hint="eastAsia" w:cs="Times New Roman"/>
          <w:szCs w:val="28"/>
        </w:rPr>
        <w:t>、氨氮</w:t>
      </w:r>
      <w:r>
        <w:rPr>
          <w:rFonts w:cs="Times New Roman"/>
          <w:szCs w:val="28"/>
        </w:rPr>
        <w:t>采用《地下水水质标准》（GB/T14848-2017）</w:t>
      </w:r>
      <w:r>
        <w:rPr>
          <w:rFonts w:hint="eastAsia" w:cs="Times New Roman"/>
          <w:szCs w:val="28"/>
        </w:rPr>
        <w:t>中III类水质标准</w:t>
      </w:r>
      <w:r>
        <w:rPr>
          <w:rFonts w:cs="Times New Roman"/>
          <w:szCs w:val="28"/>
        </w:rPr>
        <w:t>，</w:t>
      </w:r>
      <w:r>
        <w:rPr>
          <w:rFonts w:hint="eastAsia" w:cs="Times New Roman"/>
          <w:szCs w:val="28"/>
        </w:rPr>
        <w:t>具体见下</w:t>
      </w:r>
      <w:r>
        <w:rPr>
          <w:rFonts w:cs="Times New Roman"/>
          <w:szCs w:val="28"/>
        </w:rPr>
        <w:t>表。</w:t>
      </w:r>
    </w:p>
    <w:p w14:paraId="5C03F3A4">
      <w:pPr>
        <w:pStyle w:val="45"/>
        <w:rPr>
          <w:rFonts w:cs="Times New Roman"/>
        </w:rPr>
      </w:pPr>
      <w:bookmarkStart w:id="103" w:name="_Toc13625"/>
      <w:r>
        <w:rPr>
          <w:rFonts w:cs="Times New Roman"/>
        </w:rPr>
        <w:t>表</w:t>
      </w:r>
      <w:r>
        <w:rPr>
          <w:rFonts w:hint="eastAsia" w:cs="Times New Roman"/>
        </w:rPr>
        <w:t>5.8-2</w:t>
      </w:r>
      <w:r>
        <w:rPr>
          <w:rFonts w:cs="Times New Roman"/>
        </w:rPr>
        <w:t xml:space="preserve"> 拟采用地下水污染物水质标准限值 （单位：mg/L）</w:t>
      </w:r>
      <w:bookmarkEnd w:id="103"/>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892"/>
        <w:gridCol w:w="4158"/>
        <w:gridCol w:w="1266"/>
      </w:tblGrid>
      <w:tr w14:paraId="283F0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1739" w:type="pct"/>
            <w:vAlign w:val="center"/>
          </w:tcPr>
          <w:p w14:paraId="1EA6CD39">
            <w:pPr>
              <w:spacing w:line="240" w:lineRule="auto"/>
              <w:ind w:firstLine="0" w:firstLineChars="0"/>
              <w:jc w:val="center"/>
              <w:rPr>
                <w:rFonts w:cs="Times New Roman"/>
                <w:b/>
                <w:bCs/>
                <w:szCs w:val="21"/>
              </w:rPr>
            </w:pPr>
            <w:r>
              <w:rPr>
                <w:rFonts w:hint="eastAsia" w:cs="Times New Roman"/>
                <w:b/>
                <w:bCs/>
                <w:szCs w:val="21"/>
              </w:rPr>
              <w:t>预测因子</w:t>
            </w:r>
          </w:p>
        </w:tc>
        <w:tc>
          <w:tcPr>
            <w:tcW w:w="2500" w:type="pct"/>
            <w:vAlign w:val="center"/>
          </w:tcPr>
          <w:p w14:paraId="001BB3BE">
            <w:pPr>
              <w:spacing w:line="240" w:lineRule="auto"/>
              <w:ind w:firstLine="0" w:firstLineChars="0"/>
              <w:jc w:val="center"/>
              <w:rPr>
                <w:rFonts w:cs="Times New Roman"/>
                <w:b/>
                <w:bCs/>
                <w:szCs w:val="21"/>
              </w:rPr>
            </w:pPr>
            <w:r>
              <w:rPr>
                <w:rFonts w:hint="eastAsia" w:cs="Times New Roman"/>
                <w:b/>
                <w:bCs/>
                <w:szCs w:val="21"/>
              </w:rPr>
              <w:t>执行标准</w:t>
            </w:r>
          </w:p>
        </w:tc>
        <w:tc>
          <w:tcPr>
            <w:tcW w:w="761" w:type="pct"/>
            <w:vAlign w:val="center"/>
          </w:tcPr>
          <w:p w14:paraId="41CB1DB2">
            <w:pPr>
              <w:spacing w:line="240" w:lineRule="auto"/>
              <w:ind w:firstLine="0" w:firstLineChars="0"/>
              <w:jc w:val="center"/>
              <w:rPr>
                <w:rFonts w:cs="Times New Roman"/>
                <w:b/>
                <w:bCs/>
                <w:szCs w:val="21"/>
              </w:rPr>
            </w:pPr>
            <w:r>
              <w:rPr>
                <w:rFonts w:hint="eastAsia" w:cs="Times New Roman"/>
                <w:b/>
                <w:bCs/>
                <w:szCs w:val="21"/>
              </w:rPr>
              <w:t>标准限值</w:t>
            </w:r>
          </w:p>
        </w:tc>
      </w:tr>
      <w:tr w14:paraId="2E4AB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739" w:type="pct"/>
            <w:vAlign w:val="center"/>
          </w:tcPr>
          <w:p w14:paraId="15DB2C94">
            <w:pPr>
              <w:spacing w:line="240" w:lineRule="auto"/>
              <w:ind w:firstLine="0" w:firstLineChars="0"/>
              <w:jc w:val="center"/>
              <w:rPr>
                <w:rFonts w:cs="Times New Roman"/>
                <w:szCs w:val="21"/>
              </w:rPr>
            </w:pPr>
            <w:r>
              <w:rPr>
                <w:rFonts w:hint="eastAsia" w:cs="Times New Roman"/>
                <w:szCs w:val="21"/>
              </w:rPr>
              <w:t>耗氧量（COD</w:t>
            </w:r>
            <w:r>
              <w:rPr>
                <w:rFonts w:hint="eastAsia" w:cs="Times New Roman"/>
                <w:szCs w:val="21"/>
                <w:vertAlign w:val="subscript"/>
              </w:rPr>
              <w:t>Mn</w:t>
            </w:r>
            <w:r>
              <w:rPr>
                <w:rFonts w:hint="eastAsia" w:cs="Times New Roman"/>
                <w:szCs w:val="21"/>
              </w:rPr>
              <w:t>法）</w:t>
            </w:r>
          </w:p>
        </w:tc>
        <w:tc>
          <w:tcPr>
            <w:tcW w:w="2500" w:type="pct"/>
            <w:vMerge w:val="restart"/>
            <w:vAlign w:val="center"/>
          </w:tcPr>
          <w:p w14:paraId="1449F944">
            <w:pPr>
              <w:spacing w:line="240" w:lineRule="auto"/>
              <w:ind w:firstLine="0" w:firstLineChars="0"/>
              <w:jc w:val="center"/>
              <w:rPr>
                <w:rFonts w:cs="Times New Roman"/>
                <w:szCs w:val="21"/>
              </w:rPr>
            </w:pPr>
            <w:r>
              <w:rPr>
                <w:rFonts w:hint="eastAsia" w:cs="Times New Roman"/>
                <w:szCs w:val="21"/>
              </w:rPr>
              <w:t>《地下水质量标准》III类</w:t>
            </w:r>
          </w:p>
        </w:tc>
        <w:tc>
          <w:tcPr>
            <w:tcW w:w="761" w:type="pct"/>
            <w:vAlign w:val="center"/>
          </w:tcPr>
          <w:p w14:paraId="74EC74D3">
            <w:pPr>
              <w:spacing w:line="240" w:lineRule="auto"/>
              <w:ind w:firstLine="0" w:firstLineChars="0"/>
              <w:jc w:val="center"/>
              <w:rPr>
                <w:rFonts w:cs="Times New Roman"/>
                <w:szCs w:val="21"/>
              </w:rPr>
            </w:pPr>
            <w:r>
              <w:rPr>
                <w:rFonts w:hint="eastAsia" w:cs="Times New Roman"/>
                <w:szCs w:val="21"/>
              </w:rPr>
              <w:t>3</w:t>
            </w:r>
          </w:p>
        </w:tc>
      </w:tr>
      <w:tr w14:paraId="579F0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739" w:type="pct"/>
            <w:vAlign w:val="center"/>
          </w:tcPr>
          <w:p w14:paraId="040E29BA">
            <w:pPr>
              <w:spacing w:line="240" w:lineRule="auto"/>
              <w:ind w:firstLine="0" w:firstLineChars="0"/>
              <w:jc w:val="center"/>
              <w:rPr>
                <w:rFonts w:cs="Times New Roman"/>
                <w:szCs w:val="21"/>
              </w:rPr>
            </w:pPr>
            <w:r>
              <w:rPr>
                <w:rFonts w:hint="eastAsia" w:cs="Times New Roman"/>
                <w:szCs w:val="21"/>
              </w:rPr>
              <w:t>氨氮</w:t>
            </w:r>
          </w:p>
        </w:tc>
        <w:tc>
          <w:tcPr>
            <w:tcW w:w="2500" w:type="pct"/>
            <w:vMerge w:val="continue"/>
            <w:vAlign w:val="center"/>
          </w:tcPr>
          <w:p w14:paraId="2E636431">
            <w:pPr>
              <w:spacing w:line="240" w:lineRule="auto"/>
              <w:ind w:firstLine="0" w:firstLineChars="0"/>
              <w:jc w:val="center"/>
              <w:rPr>
                <w:rFonts w:cs="Times New Roman"/>
                <w:szCs w:val="21"/>
              </w:rPr>
            </w:pPr>
          </w:p>
        </w:tc>
        <w:tc>
          <w:tcPr>
            <w:tcW w:w="761" w:type="pct"/>
            <w:vAlign w:val="center"/>
          </w:tcPr>
          <w:p w14:paraId="3607784E">
            <w:pPr>
              <w:spacing w:line="240" w:lineRule="auto"/>
              <w:ind w:firstLine="0" w:firstLineChars="0"/>
              <w:jc w:val="center"/>
              <w:rPr>
                <w:rFonts w:cs="Times New Roman"/>
                <w:szCs w:val="21"/>
              </w:rPr>
            </w:pPr>
            <w:r>
              <w:rPr>
                <w:rFonts w:hint="eastAsia" w:cs="Times New Roman"/>
                <w:szCs w:val="21"/>
              </w:rPr>
              <w:t>0.5</w:t>
            </w:r>
          </w:p>
        </w:tc>
      </w:tr>
    </w:tbl>
    <w:p w14:paraId="0BCCEE1B">
      <w:pPr>
        <w:ind w:firstLine="482"/>
        <w:rPr>
          <w:rFonts w:cs="Times New Roman"/>
          <w:b/>
          <w:bCs/>
          <w:szCs w:val="28"/>
        </w:rPr>
      </w:pPr>
      <w:bookmarkStart w:id="104" w:name="_Toc3397"/>
      <w:r>
        <w:rPr>
          <w:rFonts w:cs="Times New Roman"/>
          <w:b/>
          <w:bCs/>
          <w:szCs w:val="28"/>
        </w:rPr>
        <w:t>（3）预测模型</w:t>
      </w:r>
      <w:bookmarkEnd w:id="104"/>
    </w:p>
    <w:p w14:paraId="4FD733B6">
      <w:pPr>
        <w:ind w:firstLine="480"/>
        <w:rPr>
          <w:rFonts w:cs="Times New Roman"/>
          <w:szCs w:val="28"/>
        </w:rPr>
      </w:pPr>
      <w:r>
        <w:rPr>
          <w:rFonts w:hint="eastAsia" w:cs="Times New Roman"/>
          <w:szCs w:val="28"/>
        </w:rPr>
        <w:t>茅山旅游度假区</w:t>
      </w:r>
      <w:r>
        <w:rPr>
          <w:rFonts w:cs="Times New Roman"/>
          <w:szCs w:val="28"/>
        </w:rPr>
        <w:t>周边的潜水区与承压区的水文地质条件较为简单，因此采用解析法预测地下水环境影响。根据《环境影响评价技术导则地下水环境》（HJ610-2016）相关要求，预测采用解析法进行。根据导则附录D相关模型，地下水溶质运移解析法包括：一维稳定流动一维水动力弥散问题和一维稳定流动二维水动力弥散问题（污染物运移示意图见图6.</w:t>
      </w:r>
      <w:r>
        <w:rPr>
          <w:rFonts w:hint="eastAsia" w:cs="Times New Roman"/>
          <w:szCs w:val="28"/>
        </w:rPr>
        <w:t>5</w:t>
      </w:r>
      <w:r>
        <w:rPr>
          <w:rFonts w:cs="Times New Roman"/>
          <w:szCs w:val="28"/>
        </w:rPr>
        <w:t>-2），结合</w:t>
      </w:r>
      <w:r>
        <w:rPr>
          <w:rFonts w:hint="eastAsia" w:cs="Times New Roman"/>
          <w:szCs w:val="28"/>
        </w:rPr>
        <w:t>度假区</w:t>
      </w:r>
      <w:r>
        <w:rPr>
          <w:rFonts w:cs="Times New Roman"/>
          <w:szCs w:val="28"/>
        </w:rPr>
        <w:t>所在地水文地质条件及所获取的水文地质参数，同时考虑到溶质运移在地下水流动方向（</w:t>
      </w:r>
      <w:r>
        <w:rPr>
          <w:rFonts w:cs="Times New Roman"/>
          <w:i/>
          <w:iCs/>
          <w:szCs w:val="28"/>
        </w:rPr>
        <w:t>x</w:t>
      </w:r>
      <w:r>
        <w:rPr>
          <w:rFonts w:cs="Times New Roman"/>
          <w:szCs w:val="28"/>
        </w:rPr>
        <w:t>方向）上随水流运移为主，在</w:t>
      </w:r>
      <w:r>
        <w:rPr>
          <w:rFonts w:cs="Times New Roman"/>
          <w:i/>
          <w:iCs/>
          <w:szCs w:val="28"/>
        </w:rPr>
        <w:t>y</w:t>
      </w:r>
      <w:r>
        <w:rPr>
          <w:rFonts w:cs="Times New Roman"/>
          <w:szCs w:val="28"/>
        </w:rPr>
        <w:t>及</w:t>
      </w:r>
      <w:r>
        <w:rPr>
          <w:rFonts w:cs="Times New Roman"/>
          <w:i/>
          <w:iCs/>
          <w:szCs w:val="28"/>
        </w:rPr>
        <w:t>z</w:t>
      </w:r>
      <w:r>
        <w:rPr>
          <w:rFonts w:cs="Times New Roman"/>
          <w:szCs w:val="28"/>
        </w:rPr>
        <w:t>方向上扩散运动较为微弱，故此本次预测选取一维稳定流动一维水动力弥散问题的相关模型进行预测。</w:t>
      </w:r>
    </w:p>
    <w:p w14:paraId="0DE7A5E9">
      <w:pPr>
        <w:spacing w:line="240" w:lineRule="auto"/>
        <w:ind w:firstLine="0" w:firstLineChars="0"/>
        <w:jc w:val="center"/>
        <w:rPr>
          <w:rFonts w:cs="Times New Roman"/>
        </w:rPr>
      </w:pPr>
      <w:r>
        <w:rPr>
          <w:rFonts w:cs="Times New Roman"/>
          <w:position w:val="-38"/>
        </w:rPr>
        <w:object>
          <v:shape id="_x0000_i1027" o:spt="75" type="#_x0000_t75" style="height:47.3pt;width:234.25pt;" o:ole="t" filled="f" o:preferrelative="t" stroked="f" coordsize="21600,21600">
            <v:path/>
            <v:fill on="f" focussize="0,0"/>
            <v:stroke on="f" joinstyle="miter"/>
            <v:imagedata r:id="rId71" o:title=""/>
            <o:lock v:ext="edit" aspectratio="t"/>
            <w10:wrap type="none"/>
            <w10:anchorlock/>
          </v:shape>
          <o:OLEObject Type="Embed" ProgID="Equation.3" ShapeID="_x0000_i1027" DrawAspect="Content" ObjectID="_1468075726" r:id="rId70">
            <o:LockedField>false</o:LockedField>
          </o:OLEObject>
        </w:object>
      </w:r>
    </w:p>
    <w:p w14:paraId="0AD4987D">
      <w:pPr>
        <w:ind w:firstLine="480"/>
        <w:rPr>
          <w:rFonts w:cs="Times New Roman"/>
          <w:szCs w:val="28"/>
        </w:rPr>
      </w:pPr>
      <w:r>
        <w:rPr>
          <w:rFonts w:cs="Times New Roman"/>
          <w:szCs w:val="28"/>
        </w:rPr>
        <w:t>式中，</w:t>
      </w:r>
      <w:r>
        <w:rPr>
          <w:rFonts w:cs="Times New Roman"/>
          <w:i/>
          <w:iCs/>
          <w:szCs w:val="28"/>
        </w:rPr>
        <w:t>x</w:t>
      </w:r>
      <w:r>
        <w:rPr>
          <w:rFonts w:cs="Times New Roman"/>
          <w:szCs w:val="28"/>
        </w:rPr>
        <w:t>—距注入点的距离，m；</w:t>
      </w:r>
    </w:p>
    <w:p w14:paraId="18EAB9C5">
      <w:pPr>
        <w:ind w:firstLine="1200" w:firstLineChars="500"/>
        <w:rPr>
          <w:rFonts w:cs="Times New Roman"/>
          <w:szCs w:val="28"/>
        </w:rPr>
      </w:pPr>
      <w:r>
        <w:rPr>
          <w:rFonts w:cs="Times New Roman"/>
          <w:i/>
          <w:iCs/>
          <w:szCs w:val="28"/>
        </w:rPr>
        <w:t>t</w:t>
      </w:r>
      <w:r>
        <w:rPr>
          <w:rFonts w:cs="Times New Roman"/>
          <w:szCs w:val="28"/>
        </w:rPr>
        <w:t>—时间，d；</w:t>
      </w:r>
    </w:p>
    <w:p w14:paraId="7FE5838B">
      <w:pPr>
        <w:ind w:firstLine="1200" w:firstLineChars="500"/>
        <w:rPr>
          <w:rFonts w:cs="Times New Roman"/>
          <w:szCs w:val="28"/>
        </w:rPr>
      </w:pPr>
      <w:r>
        <w:rPr>
          <w:rFonts w:cs="Times New Roman"/>
          <w:i/>
          <w:iCs/>
          <w:szCs w:val="28"/>
        </w:rPr>
        <w:t>C（x，t）</w:t>
      </w:r>
      <w:r>
        <w:rPr>
          <w:rFonts w:cs="Times New Roman"/>
          <w:szCs w:val="28"/>
        </w:rPr>
        <w:t>—</w:t>
      </w:r>
      <w:r>
        <w:rPr>
          <w:rFonts w:cs="Times New Roman"/>
          <w:i/>
          <w:iCs/>
          <w:szCs w:val="28"/>
        </w:rPr>
        <w:t>t</w:t>
      </w:r>
      <w:r>
        <w:rPr>
          <w:rFonts w:cs="Times New Roman"/>
          <w:szCs w:val="28"/>
        </w:rPr>
        <w:t>时刻</w:t>
      </w:r>
      <w:r>
        <w:rPr>
          <w:rFonts w:cs="Times New Roman"/>
          <w:i/>
          <w:iCs/>
          <w:szCs w:val="28"/>
        </w:rPr>
        <w:t>x</w:t>
      </w:r>
      <w:r>
        <w:rPr>
          <w:rFonts w:cs="Times New Roman"/>
          <w:szCs w:val="28"/>
        </w:rPr>
        <w:t>处的示踪剂浓度，g/L；</w:t>
      </w:r>
    </w:p>
    <w:p w14:paraId="22F4688E">
      <w:pPr>
        <w:ind w:firstLine="1200" w:firstLineChars="500"/>
        <w:rPr>
          <w:rFonts w:cs="Times New Roman"/>
          <w:szCs w:val="28"/>
        </w:rPr>
      </w:pPr>
      <w:r>
        <w:rPr>
          <w:rFonts w:cs="Times New Roman"/>
          <w:i/>
          <w:iCs/>
          <w:szCs w:val="28"/>
        </w:rPr>
        <w:t>C</w:t>
      </w:r>
      <w:r>
        <w:rPr>
          <w:rFonts w:cs="Times New Roman"/>
          <w:i/>
          <w:iCs/>
          <w:szCs w:val="28"/>
          <w:vertAlign w:val="subscript"/>
        </w:rPr>
        <w:t>0</w:t>
      </w:r>
      <w:r>
        <w:rPr>
          <w:rFonts w:cs="Times New Roman"/>
          <w:szCs w:val="28"/>
        </w:rPr>
        <w:t>—注入的示踪剂浓度，g/L；</w:t>
      </w:r>
    </w:p>
    <w:p w14:paraId="155BC935">
      <w:pPr>
        <w:ind w:firstLine="1200" w:firstLineChars="500"/>
        <w:rPr>
          <w:rFonts w:cs="Times New Roman"/>
          <w:szCs w:val="28"/>
        </w:rPr>
      </w:pPr>
      <w:r>
        <w:rPr>
          <w:rFonts w:cs="Times New Roman"/>
          <w:i/>
          <w:iCs/>
          <w:szCs w:val="28"/>
        </w:rPr>
        <w:t>u</w:t>
      </w:r>
      <w:r>
        <w:rPr>
          <w:rFonts w:cs="Times New Roman"/>
          <w:szCs w:val="28"/>
        </w:rPr>
        <w:t>—水流速度，m/d；</w:t>
      </w:r>
    </w:p>
    <w:p w14:paraId="7D42C3E0">
      <w:pPr>
        <w:ind w:firstLine="1200" w:firstLineChars="500"/>
        <w:rPr>
          <w:rFonts w:cs="Times New Roman"/>
          <w:szCs w:val="28"/>
        </w:rPr>
      </w:pPr>
      <w:r>
        <w:rPr>
          <w:rFonts w:cs="Times New Roman"/>
          <w:i/>
          <w:iCs/>
          <w:szCs w:val="28"/>
        </w:rPr>
        <w:t>D</w:t>
      </w:r>
      <w:r>
        <w:rPr>
          <w:rFonts w:cs="Times New Roman"/>
          <w:i/>
          <w:iCs/>
          <w:szCs w:val="28"/>
          <w:vertAlign w:val="subscript"/>
        </w:rPr>
        <w:t>L</w:t>
      </w:r>
      <w:r>
        <w:rPr>
          <w:rFonts w:cs="Times New Roman"/>
          <w:szCs w:val="28"/>
        </w:rPr>
        <w:t>—纵向弥散系数，m</w:t>
      </w:r>
      <w:r>
        <w:rPr>
          <w:rFonts w:cs="Times New Roman"/>
          <w:szCs w:val="28"/>
          <w:vertAlign w:val="superscript"/>
        </w:rPr>
        <w:t>2</w:t>
      </w:r>
      <w:r>
        <w:rPr>
          <w:rFonts w:cs="Times New Roman"/>
          <w:szCs w:val="28"/>
        </w:rPr>
        <w:t>/d；</w:t>
      </w:r>
    </w:p>
    <w:p w14:paraId="05616F7A">
      <w:pPr>
        <w:ind w:firstLine="1200" w:firstLineChars="500"/>
        <w:rPr>
          <w:rFonts w:cs="Times New Roman"/>
          <w:szCs w:val="28"/>
        </w:rPr>
      </w:pPr>
      <w:r>
        <w:rPr>
          <w:rFonts w:cs="Times New Roman"/>
          <w:i/>
          <w:iCs/>
          <w:szCs w:val="28"/>
        </w:rPr>
        <w:t>Erfc（）</w:t>
      </w:r>
      <w:r>
        <w:rPr>
          <w:rFonts w:cs="Times New Roman"/>
          <w:szCs w:val="28"/>
        </w:rPr>
        <w:t>—余误差函数。</w:t>
      </w:r>
    </w:p>
    <w:p w14:paraId="05FE3B9E">
      <w:pPr>
        <w:ind w:firstLine="480"/>
        <w:rPr>
          <w:rFonts w:cs="Times New Roman"/>
          <w:szCs w:val="28"/>
        </w:rPr>
      </w:pPr>
      <w:r>
        <w:rPr>
          <w:rFonts w:cs="Times New Roman"/>
          <w:szCs w:val="28"/>
        </w:rPr>
        <w:t>地下水实际流速和弥散系数的确定方法为：</w:t>
      </w:r>
    </w:p>
    <w:p w14:paraId="0541DAE4">
      <w:pPr>
        <w:ind w:firstLine="480"/>
        <w:jc w:val="center"/>
        <w:rPr>
          <w:rFonts w:cs="Times New Roman"/>
          <w:i/>
          <w:iCs/>
          <w:szCs w:val="28"/>
        </w:rPr>
      </w:pPr>
      <w:bookmarkStart w:id="105" w:name="_Toc7156"/>
      <w:r>
        <w:rPr>
          <w:rFonts w:cs="Times New Roman"/>
          <w:i/>
          <w:iCs/>
          <w:szCs w:val="28"/>
        </w:rPr>
        <w:t>u=K×I/n；D</w:t>
      </w:r>
      <w:r>
        <w:rPr>
          <w:rFonts w:cs="Times New Roman"/>
          <w:i/>
          <w:iCs/>
          <w:szCs w:val="28"/>
          <w:vertAlign w:val="subscript"/>
        </w:rPr>
        <w:t>L</w:t>
      </w:r>
      <w:r>
        <w:rPr>
          <w:rFonts w:cs="Times New Roman"/>
          <w:i/>
          <w:iCs/>
          <w:szCs w:val="28"/>
        </w:rPr>
        <w:t>=a</w:t>
      </w:r>
      <w:r>
        <w:rPr>
          <w:rFonts w:cs="Times New Roman"/>
          <w:i/>
          <w:iCs/>
          <w:szCs w:val="28"/>
          <w:vertAlign w:val="subscript"/>
        </w:rPr>
        <w:t>L</w:t>
      </w:r>
      <w:r>
        <w:rPr>
          <w:rFonts w:cs="Times New Roman"/>
          <w:i/>
          <w:iCs/>
          <w:szCs w:val="28"/>
        </w:rPr>
        <w:t>×U</w:t>
      </w:r>
      <w:r>
        <w:rPr>
          <w:rFonts w:cs="Times New Roman"/>
          <w:i/>
          <w:iCs/>
          <w:szCs w:val="28"/>
          <w:vertAlign w:val="superscript"/>
        </w:rPr>
        <w:t>m</w:t>
      </w:r>
      <w:r>
        <w:rPr>
          <w:rFonts w:cs="Times New Roman"/>
          <w:i/>
          <w:iCs/>
          <w:szCs w:val="28"/>
        </w:rPr>
        <w:t>；D</w:t>
      </w:r>
      <w:r>
        <w:rPr>
          <w:rFonts w:cs="Times New Roman"/>
          <w:i/>
          <w:iCs/>
          <w:szCs w:val="28"/>
          <w:vertAlign w:val="subscript"/>
        </w:rPr>
        <w:t>T</w:t>
      </w:r>
      <w:r>
        <w:rPr>
          <w:rFonts w:cs="Times New Roman"/>
          <w:i/>
          <w:iCs/>
          <w:szCs w:val="28"/>
        </w:rPr>
        <w:t>=a</w:t>
      </w:r>
      <w:r>
        <w:rPr>
          <w:rFonts w:cs="Times New Roman"/>
          <w:i/>
          <w:iCs/>
          <w:szCs w:val="28"/>
          <w:vertAlign w:val="subscript"/>
        </w:rPr>
        <w:t>T</w:t>
      </w:r>
      <w:r>
        <w:rPr>
          <w:rFonts w:cs="Times New Roman"/>
          <w:i/>
          <w:iCs/>
          <w:szCs w:val="28"/>
        </w:rPr>
        <w:t>×U</w:t>
      </w:r>
      <w:r>
        <w:rPr>
          <w:rFonts w:cs="Times New Roman"/>
          <w:i/>
          <w:iCs/>
          <w:szCs w:val="28"/>
          <w:vertAlign w:val="superscript"/>
        </w:rPr>
        <w:t>m</w:t>
      </w:r>
      <w:bookmarkEnd w:id="105"/>
    </w:p>
    <w:p w14:paraId="4A772309">
      <w:pPr>
        <w:ind w:firstLine="480"/>
        <w:rPr>
          <w:rFonts w:cs="Times New Roman"/>
          <w:szCs w:val="28"/>
        </w:rPr>
      </w:pPr>
      <w:r>
        <w:rPr>
          <w:rFonts w:cs="Times New Roman"/>
          <w:szCs w:val="28"/>
        </w:rPr>
        <w:t>式中，</w:t>
      </w:r>
      <w:r>
        <w:rPr>
          <w:rFonts w:cs="Times New Roman"/>
          <w:i/>
          <w:iCs/>
          <w:szCs w:val="28"/>
        </w:rPr>
        <w:t>u</w:t>
      </w:r>
      <w:r>
        <w:rPr>
          <w:rFonts w:cs="Times New Roman"/>
          <w:szCs w:val="28"/>
        </w:rPr>
        <w:t>—地下水实际流速，m/d；</w:t>
      </w:r>
    </w:p>
    <w:p w14:paraId="5787F1AD">
      <w:pPr>
        <w:ind w:firstLine="1200" w:firstLineChars="500"/>
        <w:rPr>
          <w:rFonts w:cs="Times New Roman"/>
          <w:szCs w:val="28"/>
        </w:rPr>
      </w:pPr>
      <w:r>
        <w:rPr>
          <w:rFonts w:cs="Times New Roman"/>
          <w:i/>
          <w:iCs/>
          <w:szCs w:val="28"/>
        </w:rPr>
        <w:t>K</w:t>
      </w:r>
      <w:r>
        <w:rPr>
          <w:rFonts w:cs="Times New Roman"/>
          <w:szCs w:val="28"/>
        </w:rPr>
        <w:t>—渗透系数，m/d；</w:t>
      </w:r>
    </w:p>
    <w:p w14:paraId="154F58C9">
      <w:pPr>
        <w:ind w:firstLine="1200" w:firstLineChars="500"/>
        <w:rPr>
          <w:rFonts w:cs="Times New Roman"/>
          <w:szCs w:val="28"/>
        </w:rPr>
      </w:pPr>
      <w:r>
        <w:rPr>
          <w:rFonts w:cs="Times New Roman"/>
          <w:i/>
          <w:iCs/>
          <w:szCs w:val="28"/>
        </w:rPr>
        <w:t>I</w:t>
      </w:r>
      <w:r>
        <w:rPr>
          <w:rFonts w:cs="Times New Roman"/>
          <w:szCs w:val="28"/>
        </w:rPr>
        <w:t>—水力坡度；</w:t>
      </w:r>
    </w:p>
    <w:p w14:paraId="200DCFD1">
      <w:pPr>
        <w:ind w:firstLine="1200" w:firstLineChars="500"/>
        <w:rPr>
          <w:rFonts w:cs="Times New Roman"/>
          <w:szCs w:val="28"/>
        </w:rPr>
      </w:pPr>
      <w:r>
        <w:rPr>
          <w:rFonts w:cs="Times New Roman"/>
          <w:i/>
          <w:iCs/>
          <w:szCs w:val="28"/>
        </w:rPr>
        <w:t>n</w:t>
      </w:r>
      <w:r>
        <w:rPr>
          <w:rFonts w:cs="Times New Roman"/>
          <w:szCs w:val="28"/>
        </w:rPr>
        <w:t>—孔隙度；</w:t>
      </w:r>
    </w:p>
    <w:p w14:paraId="4CEA52A0">
      <w:pPr>
        <w:ind w:firstLine="1200" w:firstLineChars="500"/>
        <w:rPr>
          <w:rFonts w:cs="Times New Roman"/>
          <w:szCs w:val="28"/>
        </w:rPr>
      </w:pPr>
      <w:r>
        <w:rPr>
          <w:rFonts w:cs="Times New Roman"/>
          <w:i/>
          <w:iCs/>
          <w:szCs w:val="28"/>
        </w:rPr>
        <w:t>m</w:t>
      </w:r>
      <w:r>
        <w:rPr>
          <w:rFonts w:cs="Times New Roman"/>
          <w:szCs w:val="28"/>
        </w:rPr>
        <w:t>—指数；</w:t>
      </w:r>
    </w:p>
    <w:p w14:paraId="5470ABD3">
      <w:pPr>
        <w:ind w:firstLine="1200" w:firstLineChars="500"/>
        <w:rPr>
          <w:rFonts w:cs="Times New Roman"/>
          <w:szCs w:val="28"/>
        </w:rPr>
      </w:pPr>
      <w:r>
        <w:rPr>
          <w:rFonts w:cs="Times New Roman"/>
          <w:i/>
          <w:iCs/>
          <w:szCs w:val="28"/>
        </w:rPr>
        <w:t>D</w:t>
      </w:r>
      <w:r>
        <w:rPr>
          <w:rFonts w:cs="Times New Roman"/>
          <w:i/>
          <w:iCs/>
          <w:szCs w:val="28"/>
          <w:vertAlign w:val="subscript"/>
        </w:rPr>
        <w:t>L</w:t>
      </w:r>
      <w:r>
        <w:rPr>
          <w:rFonts w:cs="Times New Roman"/>
          <w:szCs w:val="28"/>
        </w:rPr>
        <w:t>—纵向弥散系数，m</w:t>
      </w:r>
      <w:r>
        <w:rPr>
          <w:rFonts w:cs="Times New Roman"/>
          <w:szCs w:val="28"/>
          <w:vertAlign w:val="superscript"/>
        </w:rPr>
        <w:t>2</w:t>
      </w:r>
      <w:r>
        <w:rPr>
          <w:rFonts w:cs="Times New Roman"/>
          <w:szCs w:val="28"/>
        </w:rPr>
        <w:t>/d；</w:t>
      </w:r>
    </w:p>
    <w:p w14:paraId="017CA67B">
      <w:pPr>
        <w:ind w:firstLine="1200" w:firstLineChars="500"/>
        <w:rPr>
          <w:rFonts w:cs="Times New Roman"/>
          <w:szCs w:val="28"/>
        </w:rPr>
      </w:pPr>
      <w:r>
        <w:rPr>
          <w:rFonts w:cs="Times New Roman"/>
          <w:i/>
          <w:iCs/>
          <w:szCs w:val="28"/>
        </w:rPr>
        <w:t>D</w:t>
      </w:r>
      <w:r>
        <w:rPr>
          <w:rFonts w:cs="Times New Roman"/>
          <w:i/>
          <w:iCs/>
          <w:szCs w:val="28"/>
          <w:vertAlign w:val="subscript"/>
        </w:rPr>
        <w:t>T</w:t>
      </w:r>
      <w:r>
        <w:rPr>
          <w:rFonts w:cs="Times New Roman"/>
          <w:szCs w:val="28"/>
        </w:rPr>
        <w:t>—横向弥散系数，m</w:t>
      </w:r>
      <w:r>
        <w:rPr>
          <w:rFonts w:cs="Times New Roman"/>
          <w:szCs w:val="28"/>
          <w:vertAlign w:val="superscript"/>
        </w:rPr>
        <w:t>2</w:t>
      </w:r>
      <w:r>
        <w:rPr>
          <w:rFonts w:cs="Times New Roman"/>
          <w:szCs w:val="28"/>
        </w:rPr>
        <w:t>/d；</w:t>
      </w:r>
    </w:p>
    <w:p w14:paraId="260B7495">
      <w:pPr>
        <w:ind w:firstLine="1200" w:firstLineChars="500"/>
        <w:rPr>
          <w:rFonts w:cs="Times New Roman"/>
          <w:szCs w:val="28"/>
        </w:rPr>
      </w:pPr>
      <w:r>
        <w:rPr>
          <w:rFonts w:cs="Times New Roman"/>
          <w:i/>
          <w:iCs/>
          <w:szCs w:val="28"/>
        </w:rPr>
        <w:t>a</w:t>
      </w:r>
      <w:r>
        <w:rPr>
          <w:rFonts w:cs="Times New Roman"/>
          <w:i/>
          <w:iCs/>
          <w:szCs w:val="28"/>
          <w:vertAlign w:val="subscript"/>
        </w:rPr>
        <w:t>L</w:t>
      </w:r>
      <w:r>
        <w:rPr>
          <w:rFonts w:cs="Times New Roman"/>
          <w:szCs w:val="28"/>
        </w:rPr>
        <w:t>—纵向弥散度；</w:t>
      </w:r>
    </w:p>
    <w:p w14:paraId="20843EF1">
      <w:pPr>
        <w:ind w:firstLine="1200" w:firstLineChars="500"/>
        <w:rPr>
          <w:rFonts w:cs="Times New Roman"/>
          <w:szCs w:val="28"/>
        </w:rPr>
      </w:pPr>
      <w:r>
        <w:rPr>
          <w:rFonts w:cs="Times New Roman"/>
          <w:i/>
          <w:iCs/>
          <w:szCs w:val="28"/>
        </w:rPr>
        <w:t>a</w:t>
      </w:r>
      <w:r>
        <w:rPr>
          <w:rFonts w:cs="Times New Roman"/>
          <w:i/>
          <w:iCs/>
          <w:szCs w:val="28"/>
          <w:vertAlign w:val="subscript"/>
        </w:rPr>
        <w:t>T</w:t>
      </w:r>
      <w:r>
        <w:rPr>
          <w:rFonts w:cs="Times New Roman"/>
          <w:szCs w:val="28"/>
        </w:rPr>
        <w:t>—横向弥散度。</w:t>
      </w:r>
    </w:p>
    <w:p w14:paraId="0C6F551F">
      <w:pPr>
        <w:spacing w:line="240" w:lineRule="auto"/>
        <w:ind w:firstLine="480"/>
        <w:jc w:val="center"/>
        <w:rPr>
          <w:rFonts w:cs="Times New Roman"/>
        </w:rPr>
      </w:pPr>
      <w:r>
        <w:rPr>
          <w:rFonts w:cs="Times New Roman"/>
        </w:rPr>
        <w:drawing>
          <wp:inline distT="0" distB="0" distL="0" distR="0">
            <wp:extent cx="3348990" cy="1576070"/>
            <wp:effectExtent l="0" t="0" r="381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2"/>
                    <a:stretch>
                      <a:fillRect/>
                    </a:stretch>
                  </pic:blipFill>
                  <pic:spPr>
                    <a:xfrm>
                      <a:off x="0" y="0"/>
                      <a:ext cx="3381257" cy="1591372"/>
                    </a:xfrm>
                    <a:prstGeom prst="rect">
                      <a:avLst/>
                    </a:prstGeom>
                  </pic:spPr>
                </pic:pic>
              </a:graphicData>
            </a:graphic>
          </wp:inline>
        </w:drawing>
      </w:r>
    </w:p>
    <w:p w14:paraId="26212C84">
      <w:pPr>
        <w:pStyle w:val="45"/>
        <w:rPr>
          <w:rFonts w:cs="Times New Roman"/>
        </w:rPr>
      </w:pPr>
      <w:r>
        <w:rPr>
          <w:rFonts w:cs="Times New Roman"/>
        </w:rPr>
        <w:t>图</w:t>
      </w:r>
      <w:r>
        <w:rPr>
          <w:rFonts w:hint="eastAsia" w:cs="Times New Roman"/>
        </w:rPr>
        <w:t>5.8-1</w:t>
      </w:r>
      <w:r>
        <w:rPr>
          <w:rFonts w:cs="Times New Roman"/>
        </w:rPr>
        <w:t xml:space="preserve"> 一维稳定流动一维水动力弥散问题污染物运移示意图</w:t>
      </w:r>
    </w:p>
    <w:p w14:paraId="61B58028">
      <w:pPr>
        <w:ind w:firstLine="482"/>
        <w:rPr>
          <w:rFonts w:cs="Times New Roman"/>
          <w:b/>
          <w:bCs/>
          <w:szCs w:val="28"/>
        </w:rPr>
      </w:pPr>
      <w:bookmarkStart w:id="106" w:name="_Toc13461"/>
      <w:r>
        <w:rPr>
          <w:rFonts w:cs="Times New Roman"/>
          <w:b/>
          <w:bCs/>
          <w:szCs w:val="28"/>
        </w:rPr>
        <w:t>（4）参数设置</w:t>
      </w:r>
      <w:bookmarkEnd w:id="106"/>
    </w:p>
    <w:p w14:paraId="0B026992">
      <w:pPr>
        <w:ind w:firstLine="480"/>
        <w:rPr>
          <w:rFonts w:cs="Times New Roman"/>
          <w:szCs w:val="28"/>
        </w:rPr>
      </w:pPr>
      <w:r>
        <w:rPr>
          <w:rFonts w:hint="eastAsia" w:cs="Times New Roman"/>
          <w:szCs w:val="28"/>
          <w:u w:val="single"/>
        </w:rPr>
        <w:t>渗透系数。</w:t>
      </w:r>
      <w:r>
        <w:rPr>
          <w:rFonts w:cs="Times New Roman"/>
          <w:szCs w:val="28"/>
        </w:rPr>
        <w:t>结合区域地质概况，确定</w:t>
      </w:r>
      <w:r>
        <w:rPr>
          <w:rFonts w:hint="eastAsia" w:cs="Times New Roman"/>
          <w:szCs w:val="28"/>
        </w:rPr>
        <w:t>茅山旅游度假区</w:t>
      </w:r>
      <w:r>
        <w:rPr>
          <w:rFonts w:cs="Times New Roman"/>
          <w:szCs w:val="28"/>
        </w:rPr>
        <w:t>渗透系数平均值及水力坡度见表</w:t>
      </w:r>
      <w:r>
        <w:rPr>
          <w:rFonts w:hint="eastAsia" w:cs="Times New Roman"/>
          <w:szCs w:val="28"/>
        </w:rPr>
        <w:t>6.5-5</w:t>
      </w:r>
      <w:r>
        <w:rPr>
          <w:rFonts w:cs="Times New Roman"/>
          <w:szCs w:val="28"/>
        </w:rPr>
        <w:t>。</w:t>
      </w:r>
    </w:p>
    <w:p w14:paraId="7698B88A">
      <w:pPr>
        <w:pStyle w:val="45"/>
        <w:rPr>
          <w:rFonts w:cs="Times New Roman"/>
        </w:rPr>
      </w:pPr>
      <w:bookmarkStart w:id="107" w:name="_Toc23789"/>
      <w:r>
        <w:rPr>
          <w:rFonts w:cs="Times New Roman"/>
        </w:rPr>
        <w:t>表</w:t>
      </w:r>
      <w:r>
        <w:rPr>
          <w:rFonts w:hint="eastAsia" w:cs="Times New Roman"/>
        </w:rPr>
        <w:t>5.8-3</w:t>
      </w:r>
      <w:r>
        <w:rPr>
          <w:rFonts w:cs="Times New Roman"/>
        </w:rPr>
        <w:t xml:space="preserve"> 渗透系数及水力坡度</w:t>
      </w:r>
      <w:bookmarkEnd w:id="107"/>
    </w:p>
    <w:tbl>
      <w:tblPr>
        <w:tblStyle w:val="25"/>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780"/>
        <w:gridCol w:w="2768"/>
        <w:gridCol w:w="2768"/>
      </w:tblGrid>
      <w:tr w14:paraId="504359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4" w:hRule="exact"/>
        </w:trPr>
        <w:tc>
          <w:tcPr>
            <w:tcW w:w="1671" w:type="pct"/>
          </w:tcPr>
          <w:p w14:paraId="5BEC704E">
            <w:pPr>
              <w:spacing w:line="240" w:lineRule="auto"/>
              <w:ind w:firstLine="0" w:firstLineChars="0"/>
              <w:jc w:val="center"/>
              <w:rPr>
                <w:rFonts w:cs="Times New Roman"/>
                <w:szCs w:val="24"/>
              </w:rPr>
            </w:pPr>
          </w:p>
        </w:tc>
        <w:tc>
          <w:tcPr>
            <w:tcW w:w="1664" w:type="pct"/>
          </w:tcPr>
          <w:p w14:paraId="189D4903">
            <w:pPr>
              <w:pStyle w:val="120"/>
              <w:kinsoku w:val="0"/>
              <w:overflowPunct w:val="0"/>
              <w:spacing w:line="240" w:lineRule="auto"/>
              <w:ind w:firstLine="0" w:firstLineChars="0"/>
              <w:jc w:val="center"/>
              <w:rPr>
                <w:rFonts w:eastAsia="仿宋_GB2312"/>
              </w:rPr>
            </w:pPr>
            <w:r>
              <w:rPr>
                <w:rFonts w:eastAsia="仿宋_GB2312"/>
              </w:rPr>
              <w:t>渗透系数</w:t>
            </w:r>
            <w:r>
              <w:rPr>
                <w:rFonts w:eastAsia="仿宋_GB2312"/>
                <w:spacing w:val="2"/>
              </w:rPr>
              <w:t>（</w:t>
            </w:r>
            <w:r>
              <w:rPr>
                <w:rFonts w:eastAsia="仿宋_GB2312"/>
                <w:spacing w:val="-4"/>
              </w:rPr>
              <w:t>m</w:t>
            </w:r>
            <w:r>
              <w:rPr>
                <w:rFonts w:eastAsia="仿宋_GB2312"/>
                <w:spacing w:val="-2"/>
              </w:rPr>
              <w:t>/</w:t>
            </w:r>
            <w:r>
              <w:rPr>
                <w:rFonts w:eastAsia="仿宋_GB2312"/>
                <w:spacing w:val="-3"/>
              </w:rPr>
              <w:t>d</w:t>
            </w:r>
            <w:r>
              <w:rPr>
                <w:rFonts w:eastAsia="仿宋_GB2312"/>
              </w:rPr>
              <w:t>）</w:t>
            </w:r>
          </w:p>
        </w:tc>
        <w:tc>
          <w:tcPr>
            <w:tcW w:w="1664" w:type="pct"/>
          </w:tcPr>
          <w:p w14:paraId="6506C869">
            <w:pPr>
              <w:pStyle w:val="120"/>
              <w:kinsoku w:val="0"/>
              <w:overflowPunct w:val="0"/>
              <w:spacing w:line="240" w:lineRule="auto"/>
              <w:ind w:firstLine="0" w:firstLineChars="0"/>
              <w:jc w:val="center"/>
              <w:rPr>
                <w:rFonts w:eastAsia="仿宋_GB2312"/>
              </w:rPr>
            </w:pPr>
            <w:r>
              <w:rPr>
                <w:rFonts w:eastAsia="仿宋_GB2312"/>
              </w:rPr>
              <w:t>水力坡度</w:t>
            </w:r>
            <w:r>
              <w:rPr>
                <w:rFonts w:eastAsia="仿宋_GB2312"/>
                <w:spacing w:val="3"/>
              </w:rPr>
              <w:t>（</w:t>
            </w:r>
            <w:r>
              <w:rPr>
                <w:rFonts w:eastAsia="仿宋_GB2312"/>
                <w:spacing w:val="-5"/>
              </w:rPr>
              <w:t>‰</w:t>
            </w:r>
            <w:r>
              <w:rPr>
                <w:rFonts w:eastAsia="仿宋_GB2312"/>
              </w:rPr>
              <w:t>）</w:t>
            </w:r>
          </w:p>
        </w:tc>
      </w:tr>
      <w:tr w14:paraId="19DFE5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4" w:hRule="exact"/>
        </w:trPr>
        <w:tc>
          <w:tcPr>
            <w:tcW w:w="1671" w:type="pct"/>
          </w:tcPr>
          <w:p w14:paraId="42CF8EA0">
            <w:pPr>
              <w:pStyle w:val="120"/>
              <w:kinsoku w:val="0"/>
              <w:overflowPunct w:val="0"/>
              <w:spacing w:line="240" w:lineRule="auto"/>
              <w:ind w:firstLine="0" w:firstLineChars="0"/>
              <w:jc w:val="center"/>
              <w:rPr>
                <w:rFonts w:eastAsia="仿宋_GB2312"/>
              </w:rPr>
            </w:pPr>
            <w:r>
              <w:rPr>
                <w:rFonts w:hint="eastAsia" w:eastAsia="仿宋_GB2312"/>
              </w:rPr>
              <w:t>度假区</w:t>
            </w:r>
            <w:r>
              <w:rPr>
                <w:rFonts w:eastAsia="仿宋_GB2312"/>
              </w:rPr>
              <w:t>含</w:t>
            </w:r>
            <w:r>
              <w:rPr>
                <w:rFonts w:eastAsia="仿宋_GB2312"/>
                <w:spacing w:val="-3"/>
              </w:rPr>
              <w:t>水</w:t>
            </w:r>
            <w:r>
              <w:rPr>
                <w:rFonts w:eastAsia="仿宋_GB2312"/>
              </w:rPr>
              <w:t>层</w:t>
            </w:r>
          </w:p>
        </w:tc>
        <w:tc>
          <w:tcPr>
            <w:tcW w:w="1664" w:type="pct"/>
          </w:tcPr>
          <w:p w14:paraId="2F9F7B80">
            <w:pPr>
              <w:pStyle w:val="120"/>
              <w:kinsoku w:val="0"/>
              <w:overflowPunct w:val="0"/>
              <w:spacing w:line="240" w:lineRule="auto"/>
              <w:ind w:firstLine="0" w:firstLineChars="0"/>
              <w:jc w:val="center"/>
              <w:rPr>
                <w:rFonts w:eastAsia="仿宋_GB2312"/>
              </w:rPr>
            </w:pPr>
            <w:r>
              <w:rPr>
                <w:rFonts w:eastAsia="仿宋_GB2312"/>
              </w:rPr>
              <w:t>1.25</w:t>
            </w:r>
          </w:p>
        </w:tc>
        <w:tc>
          <w:tcPr>
            <w:tcW w:w="1664" w:type="pct"/>
          </w:tcPr>
          <w:p w14:paraId="14519C25">
            <w:pPr>
              <w:pStyle w:val="120"/>
              <w:kinsoku w:val="0"/>
              <w:overflowPunct w:val="0"/>
              <w:spacing w:line="240" w:lineRule="auto"/>
              <w:ind w:firstLine="0" w:firstLineChars="0"/>
              <w:jc w:val="center"/>
              <w:rPr>
                <w:rFonts w:eastAsia="仿宋_GB2312"/>
              </w:rPr>
            </w:pPr>
            <w:r>
              <w:rPr>
                <w:rFonts w:eastAsia="仿宋_GB2312"/>
              </w:rPr>
              <w:t>2.5</w:t>
            </w:r>
          </w:p>
        </w:tc>
      </w:tr>
    </w:tbl>
    <w:p w14:paraId="3D6994DF">
      <w:pPr>
        <w:ind w:firstLine="480"/>
        <w:rPr>
          <w:rFonts w:cs="Times New Roman"/>
          <w:szCs w:val="24"/>
        </w:rPr>
      </w:pPr>
      <w:r>
        <w:rPr>
          <w:rFonts w:hint="eastAsia" w:cs="Times New Roman"/>
          <w:szCs w:val="24"/>
          <w:u w:val="single"/>
        </w:rPr>
        <w:t>孔隙度的确定。</w:t>
      </w:r>
      <w:r>
        <w:rPr>
          <w:rFonts w:cs="Times New Roman"/>
          <w:szCs w:val="24"/>
        </w:rPr>
        <w:t>根据区域地质资料，区域土壤孔隙度取平均值0.455，有效孔隙度按0.22计。</w:t>
      </w:r>
    </w:p>
    <w:p w14:paraId="16810EB3">
      <w:pPr>
        <w:ind w:firstLine="480"/>
        <w:rPr>
          <w:rFonts w:cs="Times New Roman"/>
          <w:szCs w:val="24"/>
        </w:rPr>
      </w:pPr>
      <w:r>
        <w:rPr>
          <w:rFonts w:hint="eastAsia" w:cs="Times New Roman"/>
          <w:szCs w:val="24"/>
          <w:u w:val="single"/>
        </w:rPr>
        <w:t>弥散度的确定。</w:t>
      </w:r>
      <w:r>
        <w:rPr>
          <w:rFonts w:cs="Times New Roman"/>
          <w:i/>
          <w:iCs/>
          <w:szCs w:val="24"/>
        </w:rPr>
        <w:t>D.S.Makuch</w:t>
      </w:r>
      <w:r>
        <w:rPr>
          <w:rFonts w:cs="Times New Roman"/>
          <w:szCs w:val="24"/>
        </w:rPr>
        <w:t>（2005）综合了他人的研究成果，对不同岩性和不同尺度条件下介质的弥散度大小进行了统计，获得了污染物在不同岩性中迁移的纵向弥散度，并存在尺度效应现象（图6.</w:t>
      </w:r>
      <w:r>
        <w:rPr>
          <w:rFonts w:hint="eastAsia" w:cs="Times New Roman"/>
          <w:szCs w:val="24"/>
        </w:rPr>
        <w:t>5</w:t>
      </w:r>
      <w:r>
        <w:rPr>
          <w:rFonts w:cs="Times New Roman"/>
          <w:szCs w:val="24"/>
        </w:rPr>
        <w:t>-3）。</w:t>
      </w:r>
    </w:p>
    <w:p w14:paraId="701D9AC7">
      <w:pPr>
        <w:spacing w:line="240" w:lineRule="auto"/>
        <w:ind w:firstLine="0" w:firstLineChars="0"/>
        <w:jc w:val="center"/>
        <w:rPr>
          <w:rFonts w:cs="Times New Roman"/>
          <w:b/>
          <w:bCs/>
        </w:rPr>
      </w:pPr>
      <w:r>
        <w:rPr>
          <w:rFonts w:cs="Times New Roman"/>
          <w:b/>
          <w:bCs/>
        </w:rPr>
        <w:drawing>
          <wp:inline distT="0" distB="0" distL="0" distR="0">
            <wp:extent cx="4794885" cy="2389505"/>
            <wp:effectExtent l="0" t="0" r="5715" b="1079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73"/>
                    <a:stretch>
                      <a:fillRect/>
                    </a:stretch>
                  </pic:blipFill>
                  <pic:spPr>
                    <a:xfrm>
                      <a:off x="0" y="0"/>
                      <a:ext cx="4870840" cy="2427796"/>
                    </a:xfrm>
                    <a:prstGeom prst="rect">
                      <a:avLst/>
                    </a:prstGeom>
                  </pic:spPr>
                </pic:pic>
              </a:graphicData>
            </a:graphic>
          </wp:inline>
        </w:drawing>
      </w:r>
    </w:p>
    <w:p w14:paraId="3AC7B583">
      <w:pPr>
        <w:pStyle w:val="45"/>
        <w:rPr>
          <w:rFonts w:cs="Times New Roman"/>
        </w:rPr>
      </w:pPr>
      <w:r>
        <w:rPr>
          <w:rFonts w:cs="Times New Roman"/>
        </w:rPr>
        <w:t>图</w:t>
      </w:r>
      <w:r>
        <w:rPr>
          <w:rFonts w:hint="eastAsia" w:cs="Times New Roman"/>
        </w:rPr>
        <w:t>5.8-2</w:t>
      </w:r>
      <w:r>
        <w:rPr>
          <w:rFonts w:cs="Times New Roman"/>
        </w:rPr>
        <w:t xml:space="preserve"> 松散沉积物纵向弥散度与研究区尺度关系图</w:t>
      </w:r>
    </w:p>
    <w:p w14:paraId="1A8B27C0">
      <w:pPr>
        <w:pStyle w:val="45"/>
        <w:rPr>
          <w:rFonts w:cs="Times New Roman"/>
        </w:rPr>
      </w:pPr>
      <w:r>
        <w:rPr>
          <w:rFonts w:cs="Times New Roman"/>
        </w:rPr>
        <w:t>表</w:t>
      </w:r>
      <w:r>
        <w:rPr>
          <w:rFonts w:hint="eastAsia" w:cs="Times New Roman"/>
        </w:rPr>
        <w:t>5.8-4</w:t>
      </w:r>
      <w:r>
        <w:rPr>
          <w:rFonts w:cs="Times New Roman"/>
        </w:rPr>
        <w:t xml:space="preserve"> 含水层弥散度类比取值表</w:t>
      </w:r>
    </w:p>
    <w:tbl>
      <w:tblPr>
        <w:tblStyle w:val="25"/>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089"/>
        <w:gridCol w:w="2076"/>
        <w:gridCol w:w="2077"/>
        <w:gridCol w:w="2074"/>
      </w:tblGrid>
      <w:tr w14:paraId="23278C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1" w:hRule="exact"/>
          <w:tblHeader/>
        </w:trPr>
        <w:tc>
          <w:tcPr>
            <w:tcW w:w="1256" w:type="pct"/>
            <w:vAlign w:val="center"/>
          </w:tcPr>
          <w:p w14:paraId="6780BD53">
            <w:pPr>
              <w:pStyle w:val="120"/>
              <w:kinsoku w:val="0"/>
              <w:overflowPunct w:val="0"/>
              <w:spacing w:line="240" w:lineRule="auto"/>
              <w:ind w:firstLine="0" w:firstLineChars="0"/>
              <w:jc w:val="center"/>
              <w:rPr>
                <w:rFonts w:eastAsia="仿宋_GB2312"/>
                <w:b/>
                <w:bCs/>
              </w:rPr>
            </w:pPr>
            <w:r>
              <w:rPr>
                <w:rFonts w:eastAsia="仿宋_GB2312"/>
                <w:b/>
                <w:bCs/>
              </w:rPr>
              <w:t>粒径变化范围</w:t>
            </w:r>
            <w:r>
              <w:rPr>
                <w:rFonts w:eastAsia="仿宋_GB2312"/>
                <w:b/>
                <w:bCs/>
                <w:spacing w:val="2"/>
              </w:rPr>
              <w:t>（</w:t>
            </w:r>
            <w:r>
              <w:rPr>
                <w:rFonts w:eastAsia="仿宋_GB2312"/>
                <w:b/>
                <w:bCs/>
                <w:spacing w:val="-4"/>
              </w:rPr>
              <w:t>mm</w:t>
            </w:r>
            <w:r>
              <w:rPr>
                <w:rFonts w:eastAsia="仿宋_GB2312"/>
                <w:b/>
                <w:bCs/>
              </w:rPr>
              <w:t>）</w:t>
            </w:r>
          </w:p>
        </w:tc>
        <w:tc>
          <w:tcPr>
            <w:tcW w:w="1248" w:type="pct"/>
            <w:vAlign w:val="center"/>
          </w:tcPr>
          <w:p w14:paraId="50EC0B6B">
            <w:pPr>
              <w:pStyle w:val="120"/>
              <w:kinsoku w:val="0"/>
              <w:overflowPunct w:val="0"/>
              <w:spacing w:line="240" w:lineRule="auto"/>
              <w:ind w:firstLine="0" w:firstLineChars="0"/>
              <w:jc w:val="center"/>
              <w:rPr>
                <w:rFonts w:eastAsia="仿宋_GB2312"/>
                <w:b/>
                <w:bCs/>
              </w:rPr>
            </w:pPr>
            <w:r>
              <w:rPr>
                <w:rFonts w:eastAsia="仿宋_GB2312"/>
                <w:b/>
                <w:bCs/>
              </w:rPr>
              <w:t>均匀度系数</w:t>
            </w:r>
          </w:p>
        </w:tc>
        <w:tc>
          <w:tcPr>
            <w:tcW w:w="1249" w:type="pct"/>
            <w:vAlign w:val="center"/>
          </w:tcPr>
          <w:p w14:paraId="0A7EE1CA">
            <w:pPr>
              <w:pStyle w:val="120"/>
              <w:kinsoku w:val="0"/>
              <w:overflowPunct w:val="0"/>
              <w:spacing w:line="240" w:lineRule="auto"/>
              <w:ind w:firstLine="0" w:firstLineChars="0"/>
              <w:jc w:val="center"/>
              <w:rPr>
                <w:rFonts w:eastAsia="仿宋_GB2312"/>
                <w:b/>
                <w:bCs/>
              </w:rPr>
            </w:pPr>
            <w:r>
              <w:rPr>
                <w:rFonts w:eastAsia="仿宋_GB2312"/>
                <w:b/>
                <w:bCs/>
                <w:i/>
                <w:iCs/>
              </w:rPr>
              <w:t>m</w:t>
            </w:r>
            <w:r>
              <w:rPr>
                <w:rFonts w:eastAsia="仿宋_GB2312"/>
                <w:b/>
                <w:bCs/>
                <w:spacing w:val="2"/>
              </w:rPr>
              <w:t>指数</w:t>
            </w:r>
          </w:p>
        </w:tc>
        <w:tc>
          <w:tcPr>
            <w:tcW w:w="1247" w:type="pct"/>
            <w:vAlign w:val="center"/>
          </w:tcPr>
          <w:p w14:paraId="40A8B4A9">
            <w:pPr>
              <w:pStyle w:val="120"/>
              <w:kinsoku w:val="0"/>
              <w:overflowPunct w:val="0"/>
              <w:spacing w:line="240" w:lineRule="auto"/>
              <w:ind w:firstLine="0" w:firstLineChars="0"/>
              <w:jc w:val="center"/>
              <w:rPr>
                <w:rFonts w:eastAsia="仿宋_GB2312"/>
                <w:b/>
                <w:bCs/>
              </w:rPr>
            </w:pPr>
            <w:r>
              <w:rPr>
                <w:rFonts w:eastAsia="仿宋_GB2312"/>
                <w:b/>
                <w:bCs/>
              </w:rPr>
              <w:t>弥散度</w:t>
            </w:r>
          </w:p>
        </w:tc>
      </w:tr>
      <w:tr w14:paraId="2A0F88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1256" w:type="pct"/>
            <w:vAlign w:val="center"/>
          </w:tcPr>
          <w:p w14:paraId="3F4C245C">
            <w:pPr>
              <w:pStyle w:val="120"/>
              <w:kinsoku w:val="0"/>
              <w:overflowPunct w:val="0"/>
              <w:spacing w:line="240" w:lineRule="auto"/>
              <w:ind w:firstLine="0" w:firstLineChars="0"/>
              <w:jc w:val="center"/>
              <w:rPr>
                <w:rFonts w:eastAsia="仿宋_GB2312"/>
              </w:rPr>
            </w:pPr>
            <w:r>
              <w:rPr>
                <w:rFonts w:eastAsia="仿宋_GB2312"/>
              </w:rPr>
              <w:t>0.4</w:t>
            </w:r>
            <w:r>
              <w:rPr>
                <w:rFonts w:eastAsia="仿宋_GB2312"/>
                <w:spacing w:val="-4"/>
              </w:rPr>
              <w:t>-</w:t>
            </w:r>
            <w:r>
              <w:rPr>
                <w:rFonts w:eastAsia="仿宋_GB2312"/>
              </w:rPr>
              <w:t>0.7</w:t>
            </w:r>
          </w:p>
        </w:tc>
        <w:tc>
          <w:tcPr>
            <w:tcW w:w="1248" w:type="pct"/>
            <w:vAlign w:val="center"/>
          </w:tcPr>
          <w:p w14:paraId="671BA5A7">
            <w:pPr>
              <w:pStyle w:val="120"/>
              <w:kinsoku w:val="0"/>
              <w:overflowPunct w:val="0"/>
              <w:spacing w:line="240" w:lineRule="auto"/>
              <w:ind w:firstLine="0" w:firstLineChars="0"/>
              <w:jc w:val="center"/>
              <w:rPr>
                <w:rFonts w:eastAsia="仿宋_GB2312"/>
              </w:rPr>
            </w:pPr>
            <w:r>
              <w:rPr>
                <w:rFonts w:eastAsia="仿宋_GB2312"/>
              </w:rPr>
              <w:t>1.55</w:t>
            </w:r>
          </w:p>
        </w:tc>
        <w:tc>
          <w:tcPr>
            <w:tcW w:w="1249" w:type="pct"/>
            <w:vAlign w:val="center"/>
          </w:tcPr>
          <w:p w14:paraId="2AAED568">
            <w:pPr>
              <w:pStyle w:val="120"/>
              <w:kinsoku w:val="0"/>
              <w:overflowPunct w:val="0"/>
              <w:spacing w:line="240" w:lineRule="auto"/>
              <w:ind w:firstLine="0" w:firstLineChars="0"/>
              <w:jc w:val="center"/>
              <w:rPr>
                <w:rFonts w:eastAsia="仿宋_GB2312"/>
              </w:rPr>
            </w:pPr>
            <w:r>
              <w:rPr>
                <w:rFonts w:eastAsia="仿宋_GB2312"/>
              </w:rPr>
              <w:t>1.09</w:t>
            </w:r>
          </w:p>
        </w:tc>
        <w:tc>
          <w:tcPr>
            <w:tcW w:w="1247" w:type="pct"/>
            <w:vAlign w:val="center"/>
          </w:tcPr>
          <w:p w14:paraId="103DB32D">
            <w:pPr>
              <w:pStyle w:val="120"/>
              <w:kinsoku w:val="0"/>
              <w:overflowPunct w:val="0"/>
              <w:spacing w:line="240" w:lineRule="auto"/>
              <w:ind w:firstLine="0" w:firstLineChars="0"/>
              <w:jc w:val="center"/>
              <w:rPr>
                <w:rFonts w:eastAsia="仿宋_GB2312"/>
              </w:rPr>
            </w:pPr>
            <w:r>
              <w:rPr>
                <w:rFonts w:eastAsia="仿宋_GB2312"/>
              </w:rPr>
              <w:t>3.96</w:t>
            </w:r>
          </w:p>
        </w:tc>
      </w:tr>
      <w:tr w14:paraId="1F1D9B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exact"/>
        </w:trPr>
        <w:tc>
          <w:tcPr>
            <w:tcW w:w="1256" w:type="pct"/>
            <w:vAlign w:val="center"/>
          </w:tcPr>
          <w:p w14:paraId="30EB2DAF">
            <w:pPr>
              <w:pStyle w:val="120"/>
              <w:kinsoku w:val="0"/>
              <w:overflowPunct w:val="0"/>
              <w:spacing w:line="240" w:lineRule="auto"/>
              <w:ind w:firstLine="0" w:firstLineChars="0"/>
              <w:jc w:val="center"/>
              <w:rPr>
                <w:rFonts w:eastAsia="仿宋_GB2312"/>
              </w:rPr>
            </w:pPr>
            <w:r>
              <w:rPr>
                <w:rFonts w:eastAsia="仿宋_GB2312"/>
              </w:rPr>
              <w:t>0.5</w:t>
            </w:r>
            <w:r>
              <w:rPr>
                <w:rFonts w:eastAsia="仿宋_GB2312"/>
                <w:spacing w:val="-4"/>
              </w:rPr>
              <w:t>-</w:t>
            </w:r>
            <w:r>
              <w:rPr>
                <w:rFonts w:eastAsia="仿宋_GB2312"/>
              </w:rPr>
              <w:t>1.5</w:t>
            </w:r>
          </w:p>
        </w:tc>
        <w:tc>
          <w:tcPr>
            <w:tcW w:w="1248" w:type="pct"/>
            <w:vAlign w:val="center"/>
          </w:tcPr>
          <w:p w14:paraId="49446705">
            <w:pPr>
              <w:pStyle w:val="120"/>
              <w:kinsoku w:val="0"/>
              <w:overflowPunct w:val="0"/>
              <w:spacing w:line="240" w:lineRule="auto"/>
              <w:ind w:firstLine="0" w:firstLineChars="0"/>
              <w:jc w:val="center"/>
              <w:rPr>
                <w:rFonts w:eastAsia="仿宋_GB2312"/>
              </w:rPr>
            </w:pPr>
            <w:r>
              <w:rPr>
                <w:rFonts w:eastAsia="仿宋_GB2312"/>
              </w:rPr>
              <w:t>1.85</w:t>
            </w:r>
          </w:p>
        </w:tc>
        <w:tc>
          <w:tcPr>
            <w:tcW w:w="1249" w:type="pct"/>
            <w:vAlign w:val="center"/>
          </w:tcPr>
          <w:p w14:paraId="6030F97D">
            <w:pPr>
              <w:pStyle w:val="120"/>
              <w:kinsoku w:val="0"/>
              <w:overflowPunct w:val="0"/>
              <w:spacing w:line="240" w:lineRule="auto"/>
              <w:ind w:firstLine="0" w:firstLineChars="0"/>
              <w:jc w:val="center"/>
              <w:rPr>
                <w:rFonts w:eastAsia="仿宋_GB2312"/>
              </w:rPr>
            </w:pPr>
            <w:r>
              <w:rPr>
                <w:rFonts w:eastAsia="仿宋_GB2312"/>
              </w:rPr>
              <w:t>1.1</w:t>
            </w:r>
          </w:p>
        </w:tc>
        <w:tc>
          <w:tcPr>
            <w:tcW w:w="1247" w:type="pct"/>
            <w:vAlign w:val="center"/>
          </w:tcPr>
          <w:p w14:paraId="51E025F9">
            <w:pPr>
              <w:pStyle w:val="120"/>
              <w:kinsoku w:val="0"/>
              <w:overflowPunct w:val="0"/>
              <w:spacing w:line="240" w:lineRule="auto"/>
              <w:ind w:firstLine="0" w:firstLineChars="0"/>
              <w:jc w:val="center"/>
              <w:rPr>
                <w:rFonts w:eastAsia="仿宋_GB2312"/>
              </w:rPr>
            </w:pPr>
            <w:r>
              <w:rPr>
                <w:rFonts w:eastAsia="仿宋_GB2312"/>
              </w:rPr>
              <w:t>5.78</w:t>
            </w:r>
          </w:p>
        </w:tc>
      </w:tr>
      <w:tr w14:paraId="6A45C1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1256" w:type="pct"/>
            <w:vAlign w:val="center"/>
          </w:tcPr>
          <w:p w14:paraId="4DD2E4AB">
            <w:pPr>
              <w:pStyle w:val="120"/>
              <w:kinsoku w:val="0"/>
              <w:overflowPunct w:val="0"/>
              <w:spacing w:line="240" w:lineRule="auto"/>
              <w:ind w:firstLine="0" w:firstLineChars="0"/>
              <w:jc w:val="center"/>
              <w:rPr>
                <w:rFonts w:eastAsia="仿宋_GB2312"/>
              </w:rPr>
            </w:pPr>
            <w:r>
              <w:rPr>
                <w:rFonts w:eastAsia="仿宋_GB2312"/>
              </w:rPr>
              <w:t>1</w:t>
            </w:r>
            <w:r>
              <w:rPr>
                <w:rFonts w:eastAsia="仿宋_GB2312"/>
                <w:spacing w:val="-4"/>
              </w:rPr>
              <w:t>-</w:t>
            </w:r>
            <w:r>
              <w:rPr>
                <w:rFonts w:eastAsia="仿宋_GB2312"/>
              </w:rPr>
              <w:t>2</w:t>
            </w:r>
          </w:p>
        </w:tc>
        <w:tc>
          <w:tcPr>
            <w:tcW w:w="1248" w:type="pct"/>
            <w:vAlign w:val="center"/>
          </w:tcPr>
          <w:p w14:paraId="2E9B59E0">
            <w:pPr>
              <w:pStyle w:val="120"/>
              <w:kinsoku w:val="0"/>
              <w:overflowPunct w:val="0"/>
              <w:spacing w:line="240" w:lineRule="auto"/>
              <w:ind w:firstLine="0" w:firstLineChars="0"/>
              <w:jc w:val="center"/>
              <w:rPr>
                <w:rFonts w:eastAsia="仿宋_GB2312"/>
              </w:rPr>
            </w:pPr>
            <w:r>
              <w:rPr>
                <w:rFonts w:eastAsia="仿宋_GB2312"/>
              </w:rPr>
              <w:t>1.6</w:t>
            </w:r>
          </w:p>
        </w:tc>
        <w:tc>
          <w:tcPr>
            <w:tcW w:w="1249" w:type="pct"/>
            <w:vAlign w:val="center"/>
          </w:tcPr>
          <w:p w14:paraId="18D3B37B">
            <w:pPr>
              <w:pStyle w:val="120"/>
              <w:kinsoku w:val="0"/>
              <w:overflowPunct w:val="0"/>
              <w:spacing w:line="240" w:lineRule="auto"/>
              <w:ind w:firstLine="0" w:firstLineChars="0"/>
              <w:jc w:val="center"/>
              <w:rPr>
                <w:rFonts w:eastAsia="仿宋_GB2312"/>
              </w:rPr>
            </w:pPr>
            <w:r>
              <w:rPr>
                <w:rFonts w:eastAsia="仿宋_GB2312"/>
              </w:rPr>
              <w:t>1.1</w:t>
            </w:r>
          </w:p>
        </w:tc>
        <w:tc>
          <w:tcPr>
            <w:tcW w:w="1247" w:type="pct"/>
            <w:vAlign w:val="center"/>
          </w:tcPr>
          <w:p w14:paraId="0C9925A4">
            <w:pPr>
              <w:pStyle w:val="120"/>
              <w:kinsoku w:val="0"/>
              <w:overflowPunct w:val="0"/>
              <w:spacing w:line="240" w:lineRule="auto"/>
              <w:ind w:firstLine="0" w:firstLineChars="0"/>
              <w:jc w:val="center"/>
              <w:rPr>
                <w:rFonts w:eastAsia="仿宋_GB2312"/>
              </w:rPr>
            </w:pPr>
            <w:r>
              <w:rPr>
                <w:rFonts w:eastAsia="仿宋_GB2312"/>
              </w:rPr>
              <w:t>8.8</w:t>
            </w:r>
          </w:p>
        </w:tc>
      </w:tr>
      <w:tr w14:paraId="4DB715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1256" w:type="pct"/>
            <w:vAlign w:val="center"/>
          </w:tcPr>
          <w:p w14:paraId="1122B235">
            <w:pPr>
              <w:pStyle w:val="120"/>
              <w:kinsoku w:val="0"/>
              <w:overflowPunct w:val="0"/>
              <w:spacing w:line="240" w:lineRule="auto"/>
              <w:ind w:firstLine="0" w:firstLineChars="0"/>
              <w:jc w:val="center"/>
              <w:rPr>
                <w:rFonts w:eastAsia="仿宋_GB2312"/>
              </w:rPr>
            </w:pPr>
            <w:r>
              <w:rPr>
                <w:rFonts w:eastAsia="仿宋_GB2312"/>
              </w:rPr>
              <w:t>2</w:t>
            </w:r>
            <w:r>
              <w:rPr>
                <w:rFonts w:eastAsia="仿宋_GB2312"/>
                <w:spacing w:val="-4"/>
              </w:rPr>
              <w:t>-</w:t>
            </w:r>
            <w:r>
              <w:rPr>
                <w:rFonts w:eastAsia="仿宋_GB2312"/>
              </w:rPr>
              <w:t>3</w:t>
            </w:r>
          </w:p>
        </w:tc>
        <w:tc>
          <w:tcPr>
            <w:tcW w:w="1248" w:type="pct"/>
            <w:vAlign w:val="center"/>
          </w:tcPr>
          <w:p w14:paraId="7B1B57DE">
            <w:pPr>
              <w:pStyle w:val="120"/>
              <w:kinsoku w:val="0"/>
              <w:overflowPunct w:val="0"/>
              <w:spacing w:line="240" w:lineRule="auto"/>
              <w:ind w:firstLine="0" w:firstLineChars="0"/>
              <w:jc w:val="center"/>
              <w:rPr>
                <w:rFonts w:eastAsia="仿宋_GB2312"/>
              </w:rPr>
            </w:pPr>
            <w:r>
              <w:rPr>
                <w:rFonts w:eastAsia="仿宋_GB2312"/>
              </w:rPr>
              <w:t>1.3</w:t>
            </w:r>
          </w:p>
        </w:tc>
        <w:tc>
          <w:tcPr>
            <w:tcW w:w="1249" w:type="pct"/>
            <w:vAlign w:val="center"/>
          </w:tcPr>
          <w:p w14:paraId="6306DDD3">
            <w:pPr>
              <w:pStyle w:val="120"/>
              <w:kinsoku w:val="0"/>
              <w:overflowPunct w:val="0"/>
              <w:spacing w:line="240" w:lineRule="auto"/>
              <w:ind w:firstLine="0" w:firstLineChars="0"/>
              <w:jc w:val="center"/>
              <w:rPr>
                <w:rFonts w:eastAsia="仿宋_GB2312"/>
              </w:rPr>
            </w:pPr>
            <w:r>
              <w:rPr>
                <w:rFonts w:eastAsia="仿宋_GB2312"/>
              </w:rPr>
              <w:t>1.09</w:t>
            </w:r>
          </w:p>
        </w:tc>
        <w:tc>
          <w:tcPr>
            <w:tcW w:w="1247" w:type="pct"/>
            <w:vAlign w:val="center"/>
          </w:tcPr>
          <w:p w14:paraId="1978E35D">
            <w:pPr>
              <w:pStyle w:val="120"/>
              <w:kinsoku w:val="0"/>
              <w:overflowPunct w:val="0"/>
              <w:spacing w:line="240" w:lineRule="auto"/>
              <w:ind w:firstLine="0" w:firstLineChars="0"/>
              <w:jc w:val="center"/>
              <w:rPr>
                <w:rFonts w:eastAsia="仿宋_GB2312"/>
              </w:rPr>
            </w:pPr>
            <w:r>
              <w:rPr>
                <w:rFonts w:eastAsia="仿宋_GB2312"/>
              </w:rPr>
              <w:t>13.0</w:t>
            </w:r>
          </w:p>
        </w:tc>
      </w:tr>
      <w:tr w14:paraId="04ED93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1256" w:type="pct"/>
            <w:vAlign w:val="center"/>
          </w:tcPr>
          <w:p w14:paraId="03D37563">
            <w:pPr>
              <w:pStyle w:val="120"/>
              <w:kinsoku w:val="0"/>
              <w:overflowPunct w:val="0"/>
              <w:spacing w:line="240" w:lineRule="auto"/>
              <w:ind w:firstLine="0" w:firstLineChars="0"/>
              <w:jc w:val="center"/>
              <w:rPr>
                <w:rFonts w:eastAsia="仿宋_GB2312"/>
              </w:rPr>
            </w:pPr>
            <w:r>
              <w:rPr>
                <w:rFonts w:eastAsia="仿宋_GB2312"/>
              </w:rPr>
              <w:t>5</w:t>
            </w:r>
            <w:r>
              <w:rPr>
                <w:rFonts w:eastAsia="仿宋_GB2312"/>
                <w:spacing w:val="-4"/>
              </w:rPr>
              <w:t>-</w:t>
            </w:r>
            <w:r>
              <w:rPr>
                <w:rFonts w:eastAsia="仿宋_GB2312"/>
              </w:rPr>
              <w:t>7</w:t>
            </w:r>
          </w:p>
        </w:tc>
        <w:tc>
          <w:tcPr>
            <w:tcW w:w="1248" w:type="pct"/>
            <w:vAlign w:val="center"/>
          </w:tcPr>
          <w:p w14:paraId="624B0EB6">
            <w:pPr>
              <w:pStyle w:val="120"/>
              <w:kinsoku w:val="0"/>
              <w:overflowPunct w:val="0"/>
              <w:spacing w:line="240" w:lineRule="auto"/>
              <w:ind w:firstLine="0" w:firstLineChars="0"/>
              <w:jc w:val="center"/>
              <w:rPr>
                <w:rFonts w:eastAsia="仿宋_GB2312"/>
              </w:rPr>
            </w:pPr>
            <w:r>
              <w:rPr>
                <w:rFonts w:eastAsia="仿宋_GB2312"/>
              </w:rPr>
              <w:t>1.3</w:t>
            </w:r>
          </w:p>
        </w:tc>
        <w:tc>
          <w:tcPr>
            <w:tcW w:w="1249" w:type="pct"/>
            <w:vAlign w:val="center"/>
          </w:tcPr>
          <w:p w14:paraId="74803B59">
            <w:pPr>
              <w:pStyle w:val="120"/>
              <w:kinsoku w:val="0"/>
              <w:overflowPunct w:val="0"/>
              <w:spacing w:line="240" w:lineRule="auto"/>
              <w:ind w:firstLine="0" w:firstLineChars="0"/>
              <w:jc w:val="center"/>
              <w:rPr>
                <w:rFonts w:eastAsia="仿宋_GB2312"/>
              </w:rPr>
            </w:pPr>
            <w:r>
              <w:rPr>
                <w:rFonts w:eastAsia="仿宋_GB2312"/>
              </w:rPr>
              <w:t>1.09</w:t>
            </w:r>
          </w:p>
        </w:tc>
        <w:tc>
          <w:tcPr>
            <w:tcW w:w="1247" w:type="pct"/>
            <w:vAlign w:val="center"/>
          </w:tcPr>
          <w:p w14:paraId="7671C05C">
            <w:pPr>
              <w:pStyle w:val="120"/>
              <w:kinsoku w:val="0"/>
              <w:overflowPunct w:val="0"/>
              <w:spacing w:line="240" w:lineRule="auto"/>
              <w:ind w:firstLine="0" w:firstLineChars="0"/>
              <w:jc w:val="center"/>
              <w:rPr>
                <w:rFonts w:eastAsia="仿宋_GB2312"/>
              </w:rPr>
            </w:pPr>
            <w:r>
              <w:rPr>
                <w:rFonts w:eastAsia="仿宋_GB2312"/>
              </w:rPr>
              <w:t>16.7</w:t>
            </w:r>
          </w:p>
        </w:tc>
      </w:tr>
      <w:tr w14:paraId="647135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1256" w:type="pct"/>
            <w:vAlign w:val="center"/>
          </w:tcPr>
          <w:p w14:paraId="2940FFCD">
            <w:pPr>
              <w:pStyle w:val="120"/>
              <w:kinsoku w:val="0"/>
              <w:overflowPunct w:val="0"/>
              <w:spacing w:line="240" w:lineRule="auto"/>
              <w:ind w:firstLine="0" w:firstLineChars="0"/>
              <w:jc w:val="center"/>
              <w:rPr>
                <w:rFonts w:eastAsia="仿宋_GB2312"/>
              </w:rPr>
            </w:pPr>
            <w:r>
              <w:rPr>
                <w:rFonts w:eastAsia="仿宋_GB2312"/>
              </w:rPr>
              <w:t>0.5</w:t>
            </w:r>
            <w:r>
              <w:rPr>
                <w:rFonts w:eastAsia="仿宋_GB2312"/>
                <w:spacing w:val="-4"/>
              </w:rPr>
              <w:t>-</w:t>
            </w:r>
            <w:r>
              <w:rPr>
                <w:rFonts w:eastAsia="仿宋_GB2312"/>
              </w:rPr>
              <w:t>2</w:t>
            </w:r>
          </w:p>
        </w:tc>
        <w:tc>
          <w:tcPr>
            <w:tcW w:w="1248" w:type="pct"/>
            <w:vAlign w:val="center"/>
          </w:tcPr>
          <w:p w14:paraId="3DA234F0">
            <w:pPr>
              <w:pStyle w:val="120"/>
              <w:kinsoku w:val="0"/>
              <w:overflowPunct w:val="0"/>
              <w:spacing w:line="240" w:lineRule="auto"/>
              <w:ind w:firstLine="0" w:firstLineChars="0"/>
              <w:jc w:val="center"/>
              <w:rPr>
                <w:rFonts w:eastAsia="仿宋_GB2312"/>
              </w:rPr>
            </w:pPr>
            <w:r>
              <w:rPr>
                <w:rFonts w:eastAsia="仿宋_GB2312"/>
              </w:rPr>
              <w:t>2</w:t>
            </w:r>
          </w:p>
        </w:tc>
        <w:tc>
          <w:tcPr>
            <w:tcW w:w="1249" w:type="pct"/>
            <w:vAlign w:val="center"/>
          </w:tcPr>
          <w:p w14:paraId="12D5B062">
            <w:pPr>
              <w:pStyle w:val="120"/>
              <w:kinsoku w:val="0"/>
              <w:overflowPunct w:val="0"/>
              <w:spacing w:line="240" w:lineRule="auto"/>
              <w:ind w:firstLine="0" w:firstLineChars="0"/>
              <w:jc w:val="center"/>
              <w:rPr>
                <w:rFonts w:eastAsia="仿宋_GB2312"/>
              </w:rPr>
            </w:pPr>
            <w:r>
              <w:rPr>
                <w:rFonts w:eastAsia="仿宋_GB2312"/>
              </w:rPr>
              <w:t>1.08</w:t>
            </w:r>
          </w:p>
        </w:tc>
        <w:tc>
          <w:tcPr>
            <w:tcW w:w="1247" w:type="pct"/>
            <w:vAlign w:val="center"/>
          </w:tcPr>
          <w:p w14:paraId="2ADC673C">
            <w:pPr>
              <w:pStyle w:val="120"/>
              <w:kinsoku w:val="0"/>
              <w:overflowPunct w:val="0"/>
              <w:spacing w:line="240" w:lineRule="auto"/>
              <w:ind w:firstLine="0" w:firstLineChars="0"/>
              <w:jc w:val="center"/>
              <w:rPr>
                <w:rFonts w:eastAsia="仿宋_GB2312"/>
              </w:rPr>
            </w:pPr>
            <w:r>
              <w:rPr>
                <w:rFonts w:eastAsia="仿宋_GB2312"/>
              </w:rPr>
              <w:t>3.</w:t>
            </w:r>
            <w:r>
              <w:rPr>
                <w:rFonts w:eastAsia="仿宋_GB2312"/>
                <w:spacing w:val="-8"/>
              </w:rPr>
              <w:t>1</w:t>
            </w:r>
            <w:r>
              <w:rPr>
                <w:rFonts w:eastAsia="仿宋_GB2312"/>
              </w:rPr>
              <w:t>1</w:t>
            </w:r>
          </w:p>
        </w:tc>
      </w:tr>
      <w:tr w14:paraId="4D094E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1256" w:type="pct"/>
            <w:vAlign w:val="center"/>
          </w:tcPr>
          <w:p w14:paraId="6610D02A">
            <w:pPr>
              <w:pStyle w:val="120"/>
              <w:kinsoku w:val="0"/>
              <w:overflowPunct w:val="0"/>
              <w:spacing w:line="240" w:lineRule="auto"/>
              <w:ind w:firstLine="0" w:firstLineChars="0"/>
              <w:jc w:val="center"/>
              <w:rPr>
                <w:rFonts w:eastAsia="仿宋_GB2312"/>
              </w:rPr>
            </w:pPr>
            <w:r>
              <w:rPr>
                <w:rFonts w:eastAsia="仿宋_GB2312"/>
              </w:rPr>
              <w:t>0.2</w:t>
            </w:r>
            <w:r>
              <w:rPr>
                <w:rFonts w:eastAsia="仿宋_GB2312"/>
                <w:spacing w:val="-4"/>
              </w:rPr>
              <w:t>-</w:t>
            </w:r>
            <w:r>
              <w:rPr>
                <w:rFonts w:eastAsia="仿宋_GB2312"/>
              </w:rPr>
              <w:t>5</w:t>
            </w:r>
          </w:p>
        </w:tc>
        <w:tc>
          <w:tcPr>
            <w:tcW w:w="1248" w:type="pct"/>
            <w:vAlign w:val="center"/>
          </w:tcPr>
          <w:p w14:paraId="2E0EC189">
            <w:pPr>
              <w:pStyle w:val="120"/>
              <w:kinsoku w:val="0"/>
              <w:overflowPunct w:val="0"/>
              <w:spacing w:line="240" w:lineRule="auto"/>
              <w:ind w:firstLine="0" w:firstLineChars="0"/>
              <w:jc w:val="center"/>
              <w:rPr>
                <w:rFonts w:eastAsia="仿宋_GB2312"/>
              </w:rPr>
            </w:pPr>
            <w:r>
              <w:rPr>
                <w:rFonts w:eastAsia="仿宋_GB2312"/>
              </w:rPr>
              <w:t>5</w:t>
            </w:r>
          </w:p>
        </w:tc>
        <w:tc>
          <w:tcPr>
            <w:tcW w:w="1249" w:type="pct"/>
            <w:vAlign w:val="center"/>
          </w:tcPr>
          <w:p w14:paraId="07237C4A">
            <w:pPr>
              <w:pStyle w:val="120"/>
              <w:kinsoku w:val="0"/>
              <w:overflowPunct w:val="0"/>
              <w:spacing w:line="240" w:lineRule="auto"/>
              <w:ind w:firstLine="0" w:firstLineChars="0"/>
              <w:jc w:val="center"/>
              <w:rPr>
                <w:rFonts w:eastAsia="仿宋_GB2312"/>
              </w:rPr>
            </w:pPr>
            <w:r>
              <w:rPr>
                <w:rFonts w:eastAsia="仿宋_GB2312"/>
              </w:rPr>
              <w:t>1.08</w:t>
            </w:r>
          </w:p>
        </w:tc>
        <w:tc>
          <w:tcPr>
            <w:tcW w:w="1247" w:type="pct"/>
            <w:vAlign w:val="center"/>
          </w:tcPr>
          <w:p w14:paraId="7763DC5A">
            <w:pPr>
              <w:pStyle w:val="120"/>
              <w:kinsoku w:val="0"/>
              <w:overflowPunct w:val="0"/>
              <w:spacing w:line="240" w:lineRule="auto"/>
              <w:ind w:firstLine="0" w:firstLineChars="0"/>
              <w:jc w:val="center"/>
              <w:rPr>
                <w:rFonts w:eastAsia="仿宋_GB2312"/>
              </w:rPr>
            </w:pPr>
            <w:r>
              <w:rPr>
                <w:rFonts w:eastAsia="仿宋_GB2312"/>
              </w:rPr>
              <w:t>8.3</w:t>
            </w:r>
          </w:p>
        </w:tc>
      </w:tr>
      <w:tr w14:paraId="00D446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exact"/>
        </w:trPr>
        <w:tc>
          <w:tcPr>
            <w:tcW w:w="1256" w:type="pct"/>
            <w:vAlign w:val="center"/>
          </w:tcPr>
          <w:p w14:paraId="791EDE82">
            <w:pPr>
              <w:pStyle w:val="120"/>
              <w:kinsoku w:val="0"/>
              <w:overflowPunct w:val="0"/>
              <w:spacing w:line="240" w:lineRule="auto"/>
              <w:ind w:firstLine="0" w:firstLineChars="0"/>
              <w:jc w:val="center"/>
              <w:rPr>
                <w:rFonts w:eastAsia="仿宋_GB2312"/>
              </w:rPr>
            </w:pPr>
            <w:r>
              <w:rPr>
                <w:rFonts w:eastAsia="仿宋_GB2312"/>
              </w:rPr>
              <w:t>0.1</w:t>
            </w:r>
            <w:r>
              <w:rPr>
                <w:rFonts w:eastAsia="仿宋_GB2312"/>
                <w:spacing w:val="-4"/>
              </w:rPr>
              <w:t>-</w:t>
            </w:r>
            <w:r>
              <w:rPr>
                <w:rFonts w:eastAsia="仿宋_GB2312"/>
              </w:rPr>
              <w:t>10</w:t>
            </w:r>
          </w:p>
        </w:tc>
        <w:tc>
          <w:tcPr>
            <w:tcW w:w="1248" w:type="pct"/>
            <w:vAlign w:val="center"/>
          </w:tcPr>
          <w:p w14:paraId="304B1B5C">
            <w:pPr>
              <w:pStyle w:val="120"/>
              <w:kinsoku w:val="0"/>
              <w:overflowPunct w:val="0"/>
              <w:spacing w:line="240" w:lineRule="auto"/>
              <w:ind w:firstLine="0" w:firstLineChars="0"/>
              <w:jc w:val="center"/>
              <w:rPr>
                <w:rFonts w:eastAsia="仿宋_GB2312"/>
              </w:rPr>
            </w:pPr>
            <w:r>
              <w:rPr>
                <w:rFonts w:eastAsia="仿宋_GB2312"/>
              </w:rPr>
              <w:t>10</w:t>
            </w:r>
          </w:p>
        </w:tc>
        <w:tc>
          <w:tcPr>
            <w:tcW w:w="1249" w:type="pct"/>
            <w:vAlign w:val="center"/>
          </w:tcPr>
          <w:p w14:paraId="4C657542">
            <w:pPr>
              <w:pStyle w:val="120"/>
              <w:kinsoku w:val="0"/>
              <w:overflowPunct w:val="0"/>
              <w:spacing w:line="240" w:lineRule="auto"/>
              <w:ind w:firstLine="0" w:firstLineChars="0"/>
              <w:jc w:val="center"/>
              <w:rPr>
                <w:rFonts w:eastAsia="仿宋_GB2312"/>
              </w:rPr>
            </w:pPr>
            <w:r>
              <w:rPr>
                <w:rFonts w:eastAsia="仿宋_GB2312"/>
              </w:rPr>
              <w:t>1.07</w:t>
            </w:r>
          </w:p>
        </w:tc>
        <w:tc>
          <w:tcPr>
            <w:tcW w:w="1247" w:type="pct"/>
            <w:vAlign w:val="center"/>
          </w:tcPr>
          <w:p w14:paraId="6B5040D6">
            <w:pPr>
              <w:pStyle w:val="120"/>
              <w:kinsoku w:val="0"/>
              <w:overflowPunct w:val="0"/>
              <w:spacing w:line="240" w:lineRule="auto"/>
              <w:ind w:firstLine="0" w:firstLineChars="0"/>
              <w:jc w:val="center"/>
              <w:rPr>
                <w:rFonts w:eastAsia="仿宋_GB2312"/>
              </w:rPr>
            </w:pPr>
            <w:r>
              <w:rPr>
                <w:rFonts w:eastAsia="仿宋_GB2312"/>
              </w:rPr>
              <w:t>16.3</w:t>
            </w:r>
          </w:p>
        </w:tc>
      </w:tr>
      <w:tr w14:paraId="722E5F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1" w:hRule="exact"/>
        </w:trPr>
        <w:tc>
          <w:tcPr>
            <w:tcW w:w="1256" w:type="pct"/>
            <w:vAlign w:val="center"/>
          </w:tcPr>
          <w:p w14:paraId="6A925718">
            <w:pPr>
              <w:pStyle w:val="120"/>
              <w:kinsoku w:val="0"/>
              <w:overflowPunct w:val="0"/>
              <w:spacing w:line="240" w:lineRule="auto"/>
              <w:ind w:firstLine="0" w:firstLineChars="0"/>
              <w:jc w:val="center"/>
              <w:rPr>
                <w:rFonts w:eastAsia="仿宋_GB2312"/>
              </w:rPr>
            </w:pPr>
            <w:r>
              <w:rPr>
                <w:rFonts w:eastAsia="仿宋_GB2312"/>
              </w:rPr>
              <w:t>0.05</w:t>
            </w:r>
            <w:r>
              <w:rPr>
                <w:rFonts w:eastAsia="仿宋_GB2312"/>
                <w:spacing w:val="-4"/>
              </w:rPr>
              <w:t>-</w:t>
            </w:r>
            <w:r>
              <w:rPr>
                <w:rFonts w:eastAsia="仿宋_GB2312"/>
              </w:rPr>
              <w:t>20</w:t>
            </w:r>
          </w:p>
        </w:tc>
        <w:tc>
          <w:tcPr>
            <w:tcW w:w="1248" w:type="pct"/>
            <w:vAlign w:val="center"/>
          </w:tcPr>
          <w:p w14:paraId="0B241308">
            <w:pPr>
              <w:pStyle w:val="120"/>
              <w:kinsoku w:val="0"/>
              <w:overflowPunct w:val="0"/>
              <w:spacing w:line="240" w:lineRule="auto"/>
              <w:ind w:firstLine="0" w:firstLineChars="0"/>
              <w:jc w:val="center"/>
              <w:rPr>
                <w:rFonts w:eastAsia="仿宋_GB2312"/>
              </w:rPr>
            </w:pPr>
            <w:r>
              <w:rPr>
                <w:rFonts w:eastAsia="仿宋_GB2312"/>
              </w:rPr>
              <w:t>20</w:t>
            </w:r>
          </w:p>
        </w:tc>
        <w:tc>
          <w:tcPr>
            <w:tcW w:w="1249" w:type="pct"/>
            <w:vAlign w:val="center"/>
          </w:tcPr>
          <w:p w14:paraId="01FADAA6">
            <w:pPr>
              <w:pStyle w:val="120"/>
              <w:kinsoku w:val="0"/>
              <w:overflowPunct w:val="0"/>
              <w:spacing w:line="240" w:lineRule="auto"/>
              <w:ind w:firstLine="0" w:firstLineChars="0"/>
              <w:jc w:val="center"/>
              <w:rPr>
                <w:rFonts w:eastAsia="仿宋_GB2312"/>
              </w:rPr>
            </w:pPr>
            <w:r>
              <w:rPr>
                <w:rFonts w:eastAsia="仿宋_GB2312"/>
              </w:rPr>
              <w:t>1.07</w:t>
            </w:r>
          </w:p>
        </w:tc>
        <w:tc>
          <w:tcPr>
            <w:tcW w:w="1247" w:type="pct"/>
            <w:vAlign w:val="center"/>
          </w:tcPr>
          <w:p w14:paraId="0FA2C363">
            <w:pPr>
              <w:pStyle w:val="120"/>
              <w:kinsoku w:val="0"/>
              <w:overflowPunct w:val="0"/>
              <w:spacing w:line="240" w:lineRule="auto"/>
              <w:ind w:firstLine="0" w:firstLineChars="0"/>
              <w:jc w:val="center"/>
              <w:rPr>
                <w:rFonts w:eastAsia="仿宋_GB2312"/>
              </w:rPr>
            </w:pPr>
            <w:r>
              <w:rPr>
                <w:rFonts w:eastAsia="仿宋_GB2312"/>
              </w:rPr>
              <w:t>70.7</w:t>
            </w:r>
          </w:p>
        </w:tc>
      </w:tr>
    </w:tbl>
    <w:p w14:paraId="78115967">
      <w:pPr>
        <w:spacing w:line="570" w:lineRule="atLeast"/>
        <w:ind w:firstLine="480"/>
        <w:rPr>
          <w:rFonts w:cs="Times New Roman"/>
          <w:szCs w:val="24"/>
        </w:rPr>
      </w:pPr>
      <w:r>
        <w:rPr>
          <w:rFonts w:cs="Times New Roman"/>
          <w:szCs w:val="24"/>
        </w:rPr>
        <w:t>地下水实际流速和弥散系数的确定按下列方法取得：</w:t>
      </w:r>
    </w:p>
    <w:p w14:paraId="4C9FCA50">
      <w:pPr>
        <w:pStyle w:val="7"/>
        <w:spacing w:line="570" w:lineRule="atLeast"/>
        <w:ind w:firstLine="480"/>
        <w:jc w:val="center"/>
      </w:pPr>
      <w:r>
        <w:t>U＝K×</w:t>
      </w:r>
      <w:r>
        <w:rPr>
          <w:spacing w:val="-4"/>
        </w:rPr>
        <w:t>I</w:t>
      </w:r>
      <w:r>
        <w:t>／n；</w:t>
      </w:r>
      <w:r>
        <w:rPr>
          <w:spacing w:val="1"/>
        </w:rPr>
        <w:t>D</w:t>
      </w:r>
      <w:r>
        <w:rPr>
          <w:spacing w:val="-3"/>
        </w:rPr>
        <w:t>L</w:t>
      </w:r>
      <w:r>
        <w:rPr>
          <w:spacing w:val="2"/>
        </w:rPr>
        <w:t>＝</w:t>
      </w:r>
      <w:r>
        <w:rPr>
          <w:spacing w:val="1"/>
        </w:rPr>
        <w:t>a</w:t>
      </w:r>
      <w:r>
        <w:rPr>
          <w:spacing w:val="-3"/>
        </w:rPr>
        <w:t>L</w:t>
      </w:r>
      <w:r>
        <w:rPr>
          <w:spacing w:val="1"/>
        </w:rPr>
        <w:t>×</w:t>
      </w:r>
      <w:r>
        <w:t>Um；DT＝aT</w:t>
      </w:r>
      <w:r>
        <w:rPr>
          <w:spacing w:val="-2"/>
        </w:rPr>
        <w:t>×</w:t>
      </w:r>
      <w:r>
        <w:t>Um</w:t>
      </w:r>
    </w:p>
    <w:p w14:paraId="29214FAE">
      <w:pPr>
        <w:spacing w:line="570" w:lineRule="atLeast"/>
        <w:ind w:firstLine="480"/>
        <w:rPr>
          <w:rFonts w:cs="Times New Roman"/>
          <w:szCs w:val="24"/>
        </w:rPr>
      </w:pPr>
      <w:r>
        <w:rPr>
          <w:rFonts w:cs="Times New Roman"/>
          <w:szCs w:val="24"/>
        </w:rPr>
        <w:t>式中，</w:t>
      </w:r>
      <w:r>
        <w:rPr>
          <w:rFonts w:cs="Times New Roman"/>
          <w:i/>
          <w:iCs/>
          <w:szCs w:val="24"/>
        </w:rPr>
        <w:t>U</w:t>
      </w:r>
      <w:r>
        <w:rPr>
          <w:rFonts w:cs="Times New Roman"/>
          <w:szCs w:val="24"/>
        </w:rPr>
        <w:t>—地下水实际流速，m/d；</w:t>
      </w:r>
    </w:p>
    <w:p w14:paraId="7DFAA045">
      <w:pPr>
        <w:spacing w:line="570" w:lineRule="atLeast"/>
        <w:ind w:firstLine="1200" w:firstLineChars="500"/>
        <w:rPr>
          <w:rFonts w:cs="Times New Roman"/>
          <w:szCs w:val="24"/>
        </w:rPr>
      </w:pPr>
      <w:r>
        <w:rPr>
          <w:rFonts w:cs="Times New Roman"/>
          <w:i/>
          <w:iCs/>
          <w:szCs w:val="24"/>
        </w:rPr>
        <w:t>K</w:t>
      </w:r>
      <w:r>
        <w:rPr>
          <w:rFonts w:cs="Times New Roman"/>
          <w:szCs w:val="24"/>
        </w:rPr>
        <w:t>—渗透系数，m/d；</w:t>
      </w:r>
    </w:p>
    <w:p w14:paraId="12E38402">
      <w:pPr>
        <w:spacing w:line="570" w:lineRule="atLeast"/>
        <w:ind w:firstLine="1200" w:firstLineChars="500"/>
        <w:rPr>
          <w:rFonts w:cs="Times New Roman"/>
          <w:szCs w:val="24"/>
        </w:rPr>
      </w:pPr>
      <w:r>
        <w:rPr>
          <w:rFonts w:cs="Times New Roman"/>
          <w:i/>
          <w:iCs/>
          <w:szCs w:val="24"/>
        </w:rPr>
        <w:t>I</w:t>
      </w:r>
      <w:r>
        <w:rPr>
          <w:rFonts w:cs="Times New Roman"/>
          <w:szCs w:val="24"/>
        </w:rPr>
        <w:t>—水力坡度；</w:t>
      </w:r>
    </w:p>
    <w:p w14:paraId="3D4C0DD4">
      <w:pPr>
        <w:spacing w:line="570" w:lineRule="atLeast"/>
        <w:ind w:firstLine="1200" w:firstLineChars="500"/>
        <w:rPr>
          <w:rFonts w:cs="Times New Roman"/>
          <w:szCs w:val="24"/>
        </w:rPr>
      </w:pPr>
      <w:r>
        <w:rPr>
          <w:rFonts w:cs="Times New Roman"/>
          <w:i/>
          <w:iCs/>
          <w:szCs w:val="24"/>
        </w:rPr>
        <w:t>n</w:t>
      </w:r>
      <w:r>
        <w:rPr>
          <w:rFonts w:cs="Times New Roman"/>
          <w:szCs w:val="24"/>
        </w:rPr>
        <w:t>—孔隙度；</w:t>
      </w:r>
    </w:p>
    <w:p w14:paraId="29BB5456">
      <w:pPr>
        <w:spacing w:line="570" w:lineRule="atLeast"/>
        <w:ind w:firstLine="1200" w:firstLineChars="500"/>
        <w:rPr>
          <w:rFonts w:cs="Times New Roman"/>
          <w:szCs w:val="24"/>
        </w:rPr>
      </w:pPr>
      <w:r>
        <w:rPr>
          <w:rFonts w:cs="Times New Roman"/>
          <w:i/>
          <w:iCs/>
          <w:szCs w:val="24"/>
        </w:rPr>
        <w:t>m</w:t>
      </w:r>
      <w:r>
        <w:rPr>
          <w:rFonts w:cs="Times New Roman"/>
          <w:szCs w:val="24"/>
        </w:rPr>
        <w:t>—指数；</w:t>
      </w:r>
    </w:p>
    <w:p w14:paraId="129F2450">
      <w:pPr>
        <w:spacing w:line="570" w:lineRule="atLeast"/>
        <w:ind w:firstLine="1200" w:firstLineChars="500"/>
        <w:rPr>
          <w:rFonts w:cs="Times New Roman"/>
          <w:szCs w:val="24"/>
        </w:rPr>
      </w:pPr>
      <w:r>
        <w:rPr>
          <w:rFonts w:cs="Times New Roman"/>
          <w:i/>
          <w:iCs/>
          <w:szCs w:val="24"/>
        </w:rPr>
        <w:t>DL</w:t>
      </w:r>
      <w:r>
        <w:rPr>
          <w:rFonts w:cs="Times New Roman"/>
          <w:szCs w:val="24"/>
        </w:rPr>
        <w:t>—纵向弥散系数，m</w:t>
      </w:r>
      <w:r>
        <w:rPr>
          <w:rFonts w:cs="Times New Roman"/>
          <w:szCs w:val="24"/>
          <w:vertAlign w:val="superscript"/>
        </w:rPr>
        <w:t>2</w:t>
      </w:r>
      <w:r>
        <w:rPr>
          <w:rFonts w:cs="Times New Roman"/>
          <w:szCs w:val="24"/>
        </w:rPr>
        <w:t>/d；</w:t>
      </w:r>
    </w:p>
    <w:p w14:paraId="7E40C5F5">
      <w:pPr>
        <w:spacing w:line="570" w:lineRule="atLeast"/>
        <w:ind w:firstLine="1200" w:firstLineChars="500"/>
        <w:rPr>
          <w:rFonts w:cs="Times New Roman"/>
          <w:szCs w:val="24"/>
        </w:rPr>
      </w:pPr>
      <w:r>
        <w:rPr>
          <w:rFonts w:cs="Times New Roman"/>
          <w:i/>
          <w:iCs/>
          <w:szCs w:val="24"/>
        </w:rPr>
        <w:t>DT</w:t>
      </w:r>
      <w:r>
        <w:rPr>
          <w:rFonts w:cs="Times New Roman"/>
          <w:szCs w:val="24"/>
        </w:rPr>
        <w:t>—横向弥散系数，m</w:t>
      </w:r>
      <w:r>
        <w:rPr>
          <w:rFonts w:cs="Times New Roman"/>
          <w:szCs w:val="24"/>
          <w:vertAlign w:val="superscript"/>
        </w:rPr>
        <w:t>2</w:t>
      </w:r>
      <w:r>
        <w:rPr>
          <w:rFonts w:cs="Times New Roman"/>
          <w:szCs w:val="24"/>
        </w:rPr>
        <w:t>/d；</w:t>
      </w:r>
    </w:p>
    <w:p w14:paraId="15F7515A">
      <w:pPr>
        <w:spacing w:line="570" w:lineRule="atLeast"/>
        <w:ind w:firstLine="1200" w:firstLineChars="500"/>
        <w:rPr>
          <w:rFonts w:cs="Times New Roman"/>
          <w:szCs w:val="24"/>
        </w:rPr>
      </w:pPr>
      <w:r>
        <w:rPr>
          <w:rFonts w:cs="Times New Roman"/>
          <w:i/>
          <w:iCs/>
          <w:szCs w:val="24"/>
        </w:rPr>
        <w:t>aL</w:t>
      </w:r>
      <w:r>
        <w:rPr>
          <w:rFonts w:cs="Times New Roman"/>
          <w:szCs w:val="24"/>
        </w:rPr>
        <w:t>—纵向弥散度；</w:t>
      </w:r>
    </w:p>
    <w:p w14:paraId="4BF89B39">
      <w:pPr>
        <w:spacing w:line="570" w:lineRule="atLeast"/>
        <w:ind w:firstLine="1200" w:firstLineChars="500"/>
        <w:rPr>
          <w:rFonts w:cs="Times New Roman"/>
          <w:szCs w:val="24"/>
        </w:rPr>
      </w:pPr>
      <w:r>
        <w:rPr>
          <w:rFonts w:cs="Times New Roman"/>
          <w:i/>
          <w:iCs/>
          <w:szCs w:val="24"/>
        </w:rPr>
        <w:t>aT</w:t>
      </w:r>
      <w:r>
        <w:rPr>
          <w:rFonts w:cs="Times New Roman"/>
          <w:szCs w:val="24"/>
        </w:rPr>
        <w:t>—横向弥散度。</w:t>
      </w:r>
    </w:p>
    <w:p w14:paraId="1B67B605">
      <w:pPr>
        <w:spacing w:line="570" w:lineRule="atLeast"/>
        <w:ind w:firstLine="480"/>
        <w:rPr>
          <w:rFonts w:cs="Times New Roman"/>
          <w:szCs w:val="24"/>
        </w:rPr>
      </w:pPr>
      <w:r>
        <w:rPr>
          <w:rFonts w:cs="Times New Roman"/>
          <w:szCs w:val="24"/>
        </w:rPr>
        <w:t>计算参数结果见表</w:t>
      </w:r>
      <w:r>
        <w:rPr>
          <w:rFonts w:hint="eastAsia" w:cs="Times New Roman"/>
          <w:szCs w:val="24"/>
        </w:rPr>
        <w:t>5.8-5</w:t>
      </w:r>
      <w:r>
        <w:rPr>
          <w:rFonts w:cs="Times New Roman"/>
          <w:szCs w:val="24"/>
        </w:rPr>
        <w:t>。</w:t>
      </w:r>
    </w:p>
    <w:p w14:paraId="74BEAF43">
      <w:pPr>
        <w:pStyle w:val="45"/>
        <w:kinsoku w:val="0"/>
        <w:overflowPunct w:val="0"/>
        <w:outlineLvl w:val="3"/>
        <w:rPr>
          <w:rFonts w:cs="Times New Roman"/>
        </w:rPr>
      </w:pPr>
      <w:r>
        <w:rPr>
          <w:rFonts w:cs="Times New Roman"/>
        </w:rPr>
        <w:t>表</w:t>
      </w:r>
      <w:r>
        <w:rPr>
          <w:rFonts w:hint="eastAsia" w:cs="Times New Roman"/>
        </w:rPr>
        <w:t>5.8-5</w:t>
      </w:r>
      <w:r>
        <w:rPr>
          <w:rFonts w:cs="Times New Roman"/>
        </w:rPr>
        <w:t xml:space="preserve"> 计算参数一览表</w:t>
      </w:r>
    </w:p>
    <w:tbl>
      <w:tblPr>
        <w:tblStyle w:val="25"/>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636"/>
        <w:gridCol w:w="2503"/>
        <w:gridCol w:w="3177"/>
      </w:tblGrid>
      <w:tr w14:paraId="56D6B6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1" w:hRule="exact"/>
        </w:trPr>
        <w:tc>
          <w:tcPr>
            <w:tcW w:w="1585" w:type="pct"/>
            <w:vMerge w:val="restart"/>
            <w:tcBorders>
              <w:tl2br w:val="single" w:color="000000" w:sz="4" w:space="0"/>
            </w:tcBorders>
            <w:vAlign w:val="center"/>
          </w:tcPr>
          <w:p w14:paraId="52568830">
            <w:pPr>
              <w:pStyle w:val="120"/>
              <w:kinsoku w:val="0"/>
              <w:overflowPunct w:val="0"/>
              <w:spacing w:line="240" w:lineRule="auto"/>
              <w:ind w:firstLine="0" w:firstLineChars="0"/>
              <w:jc w:val="right"/>
              <w:rPr>
                <w:rFonts w:eastAsia="仿宋_GB2312"/>
              </w:rPr>
            </w:pPr>
            <w:r>
              <w:rPr>
                <w:rFonts w:eastAsia="仿宋_GB2312"/>
              </w:rPr>
              <w:t>参数</w:t>
            </w:r>
          </w:p>
          <w:p w14:paraId="5CB3742D">
            <w:pPr>
              <w:pStyle w:val="120"/>
              <w:kinsoku w:val="0"/>
              <w:overflowPunct w:val="0"/>
              <w:spacing w:line="240" w:lineRule="auto"/>
              <w:ind w:firstLine="0" w:firstLineChars="0"/>
              <w:rPr>
                <w:rFonts w:eastAsia="仿宋_GB2312"/>
              </w:rPr>
            </w:pPr>
            <w:r>
              <w:rPr>
                <w:rFonts w:eastAsia="仿宋_GB2312"/>
              </w:rPr>
              <w:t>含水层</w:t>
            </w:r>
          </w:p>
        </w:tc>
        <w:tc>
          <w:tcPr>
            <w:tcW w:w="1505" w:type="pct"/>
            <w:vMerge w:val="restart"/>
            <w:vAlign w:val="center"/>
          </w:tcPr>
          <w:p w14:paraId="6B7CBAE9">
            <w:pPr>
              <w:pStyle w:val="120"/>
              <w:kinsoku w:val="0"/>
              <w:overflowPunct w:val="0"/>
              <w:spacing w:line="240" w:lineRule="auto"/>
              <w:ind w:firstLine="0" w:firstLineChars="0"/>
              <w:jc w:val="center"/>
              <w:rPr>
                <w:rFonts w:eastAsia="仿宋_GB2312"/>
              </w:rPr>
            </w:pPr>
            <w:r>
              <w:rPr>
                <w:rFonts w:eastAsia="仿宋_GB2312"/>
              </w:rPr>
              <w:t>水流速度</w:t>
            </w:r>
            <w:r>
              <w:rPr>
                <w:rFonts w:eastAsia="仿宋_GB2312"/>
                <w:spacing w:val="-53"/>
              </w:rPr>
              <w:t xml:space="preserve"> </w:t>
            </w:r>
            <w:r>
              <w:rPr>
                <w:rFonts w:eastAsia="仿宋_GB2312"/>
              </w:rPr>
              <w:t>U</w:t>
            </w:r>
            <w:r>
              <w:rPr>
                <w:rFonts w:eastAsia="仿宋_GB2312"/>
                <w:spacing w:val="2"/>
              </w:rPr>
              <w:t>（</w:t>
            </w:r>
            <w:r>
              <w:rPr>
                <w:rFonts w:eastAsia="仿宋_GB2312"/>
                <w:spacing w:val="-4"/>
              </w:rPr>
              <w:t>m</w:t>
            </w:r>
            <w:r>
              <w:rPr>
                <w:rFonts w:eastAsia="仿宋_GB2312"/>
                <w:spacing w:val="-2"/>
              </w:rPr>
              <w:t>/</w:t>
            </w:r>
            <w:r>
              <w:rPr>
                <w:rFonts w:eastAsia="仿宋_GB2312"/>
              </w:rPr>
              <w:t>d）</w:t>
            </w:r>
          </w:p>
        </w:tc>
        <w:tc>
          <w:tcPr>
            <w:tcW w:w="1910" w:type="pct"/>
            <w:vMerge w:val="restart"/>
            <w:vAlign w:val="center"/>
          </w:tcPr>
          <w:p w14:paraId="2B1B714F">
            <w:pPr>
              <w:pStyle w:val="120"/>
              <w:kinsoku w:val="0"/>
              <w:overflowPunct w:val="0"/>
              <w:spacing w:line="240" w:lineRule="auto"/>
              <w:ind w:firstLine="0" w:firstLineChars="0"/>
              <w:jc w:val="center"/>
              <w:rPr>
                <w:rFonts w:eastAsia="仿宋_GB2312"/>
              </w:rPr>
            </w:pPr>
            <w:r>
              <w:rPr>
                <w:rFonts w:eastAsia="仿宋_GB2312"/>
              </w:rPr>
              <w:t>纵向弥散系数（</w:t>
            </w:r>
            <w:r>
              <w:rPr>
                <w:rFonts w:eastAsia="仿宋_GB2312"/>
                <w:spacing w:val="-4"/>
              </w:rPr>
              <w:t>m</w:t>
            </w:r>
            <w:r>
              <w:rPr>
                <w:rFonts w:eastAsia="仿宋_GB2312"/>
                <w:spacing w:val="-4"/>
                <w:vertAlign w:val="superscript"/>
              </w:rPr>
              <w:t>2</w:t>
            </w:r>
            <w:r>
              <w:rPr>
                <w:rFonts w:eastAsia="仿宋_GB2312"/>
                <w:spacing w:val="-2"/>
              </w:rPr>
              <w:t>/d</w:t>
            </w:r>
            <w:r>
              <w:rPr>
                <w:rFonts w:eastAsia="仿宋_GB2312"/>
              </w:rPr>
              <w:t>）</w:t>
            </w:r>
          </w:p>
        </w:tc>
      </w:tr>
      <w:tr w14:paraId="63187D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1585" w:type="pct"/>
            <w:vMerge w:val="continue"/>
            <w:tcBorders>
              <w:tl2br w:val="single" w:color="000000" w:sz="4" w:space="0"/>
            </w:tcBorders>
            <w:vAlign w:val="center"/>
          </w:tcPr>
          <w:p w14:paraId="0623F4F7">
            <w:pPr>
              <w:pStyle w:val="120"/>
              <w:kinsoku w:val="0"/>
              <w:overflowPunct w:val="0"/>
              <w:spacing w:line="240" w:lineRule="auto"/>
              <w:ind w:firstLine="0" w:firstLineChars="0"/>
              <w:jc w:val="center"/>
              <w:rPr>
                <w:rFonts w:eastAsia="仿宋_GB2312"/>
              </w:rPr>
            </w:pPr>
          </w:p>
        </w:tc>
        <w:tc>
          <w:tcPr>
            <w:tcW w:w="1505" w:type="pct"/>
            <w:vMerge w:val="continue"/>
            <w:vAlign w:val="center"/>
          </w:tcPr>
          <w:p w14:paraId="2C795E81">
            <w:pPr>
              <w:pStyle w:val="120"/>
              <w:kinsoku w:val="0"/>
              <w:overflowPunct w:val="0"/>
              <w:spacing w:line="240" w:lineRule="auto"/>
              <w:ind w:firstLine="0" w:firstLineChars="0"/>
              <w:jc w:val="center"/>
              <w:rPr>
                <w:rFonts w:eastAsia="仿宋_GB2312"/>
              </w:rPr>
            </w:pPr>
          </w:p>
        </w:tc>
        <w:tc>
          <w:tcPr>
            <w:tcW w:w="1910" w:type="pct"/>
            <w:vMerge w:val="continue"/>
            <w:vAlign w:val="center"/>
          </w:tcPr>
          <w:p w14:paraId="472B4C3C">
            <w:pPr>
              <w:pStyle w:val="120"/>
              <w:kinsoku w:val="0"/>
              <w:overflowPunct w:val="0"/>
              <w:spacing w:line="240" w:lineRule="auto"/>
              <w:ind w:firstLine="0" w:firstLineChars="0"/>
              <w:jc w:val="center"/>
              <w:rPr>
                <w:rFonts w:eastAsia="仿宋_GB2312"/>
              </w:rPr>
            </w:pPr>
          </w:p>
        </w:tc>
      </w:tr>
      <w:tr w14:paraId="63E207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4" w:hRule="exact"/>
        </w:trPr>
        <w:tc>
          <w:tcPr>
            <w:tcW w:w="1585" w:type="pct"/>
            <w:vAlign w:val="center"/>
          </w:tcPr>
          <w:p w14:paraId="3D9A348F">
            <w:pPr>
              <w:pStyle w:val="120"/>
              <w:kinsoku w:val="0"/>
              <w:overflowPunct w:val="0"/>
              <w:spacing w:line="240" w:lineRule="auto"/>
              <w:ind w:firstLine="0" w:firstLineChars="0"/>
              <w:jc w:val="center"/>
              <w:rPr>
                <w:rFonts w:eastAsia="仿宋_GB2312"/>
              </w:rPr>
            </w:pPr>
            <w:r>
              <w:rPr>
                <w:rFonts w:hint="eastAsia" w:eastAsia="仿宋_GB2312"/>
              </w:rPr>
              <w:t>度假区</w:t>
            </w:r>
            <w:r>
              <w:rPr>
                <w:rFonts w:eastAsia="仿宋_GB2312"/>
              </w:rPr>
              <w:t>含</w:t>
            </w:r>
            <w:r>
              <w:rPr>
                <w:rFonts w:eastAsia="仿宋_GB2312"/>
                <w:spacing w:val="-3"/>
              </w:rPr>
              <w:t>水</w:t>
            </w:r>
            <w:r>
              <w:rPr>
                <w:rFonts w:eastAsia="仿宋_GB2312"/>
              </w:rPr>
              <w:t>层</w:t>
            </w:r>
          </w:p>
        </w:tc>
        <w:tc>
          <w:tcPr>
            <w:tcW w:w="1505" w:type="pct"/>
            <w:vAlign w:val="center"/>
          </w:tcPr>
          <w:p w14:paraId="5FDF1C34">
            <w:pPr>
              <w:pStyle w:val="120"/>
              <w:kinsoku w:val="0"/>
              <w:overflowPunct w:val="0"/>
              <w:spacing w:line="240" w:lineRule="auto"/>
              <w:ind w:firstLine="0" w:firstLineChars="0"/>
              <w:jc w:val="center"/>
              <w:rPr>
                <w:rFonts w:eastAsia="仿宋_GB2312"/>
              </w:rPr>
            </w:pPr>
            <w:r>
              <w:rPr>
                <w:rFonts w:eastAsia="仿宋_GB2312"/>
              </w:rPr>
              <w:t>4.6</w:t>
            </w:r>
            <w:r>
              <w:rPr>
                <w:rFonts w:eastAsia="仿宋_GB2312"/>
                <w:spacing w:val="-2"/>
              </w:rPr>
              <w:t>×</w:t>
            </w:r>
            <w:r>
              <w:rPr>
                <w:rFonts w:eastAsia="仿宋_GB2312"/>
              </w:rPr>
              <w:t>1</w:t>
            </w:r>
            <w:r>
              <w:rPr>
                <w:rFonts w:eastAsia="仿宋_GB2312"/>
                <w:spacing w:val="-1"/>
              </w:rPr>
              <w:t>0</w:t>
            </w:r>
            <w:r>
              <w:rPr>
                <w:rFonts w:eastAsia="仿宋_GB2312"/>
                <w:spacing w:val="-1"/>
                <w:vertAlign w:val="superscript"/>
              </w:rPr>
              <w:t>-3</w:t>
            </w:r>
          </w:p>
        </w:tc>
        <w:tc>
          <w:tcPr>
            <w:tcW w:w="1910" w:type="pct"/>
            <w:vAlign w:val="center"/>
          </w:tcPr>
          <w:p w14:paraId="0D49D0F5">
            <w:pPr>
              <w:pStyle w:val="120"/>
              <w:kinsoku w:val="0"/>
              <w:overflowPunct w:val="0"/>
              <w:spacing w:line="240" w:lineRule="auto"/>
              <w:ind w:firstLine="0" w:firstLineChars="0"/>
              <w:jc w:val="center"/>
              <w:rPr>
                <w:rFonts w:eastAsia="仿宋_GB2312"/>
              </w:rPr>
            </w:pPr>
            <w:r>
              <w:rPr>
                <w:rFonts w:eastAsia="仿宋_GB2312"/>
              </w:rPr>
              <w:t>0.05</w:t>
            </w:r>
          </w:p>
        </w:tc>
      </w:tr>
    </w:tbl>
    <w:p w14:paraId="713BBC5E">
      <w:pPr>
        <w:ind w:firstLine="482"/>
        <w:rPr>
          <w:rFonts w:cs="Times New Roman"/>
          <w:b/>
          <w:bCs/>
          <w:szCs w:val="24"/>
        </w:rPr>
      </w:pPr>
      <w:bookmarkStart w:id="108" w:name="_Toc6362"/>
      <w:r>
        <w:rPr>
          <w:rFonts w:cs="Times New Roman"/>
          <w:b/>
          <w:bCs/>
          <w:szCs w:val="24"/>
        </w:rPr>
        <w:t>（4）预测结果</w:t>
      </w:r>
      <w:bookmarkEnd w:id="108"/>
    </w:p>
    <w:p w14:paraId="1BB657DD">
      <w:pPr>
        <w:ind w:firstLine="480"/>
        <w:rPr>
          <w:rFonts w:cs="Times New Roman"/>
          <w:szCs w:val="24"/>
        </w:rPr>
      </w:pPr>
      <w:r>
        <w:rPr>
          <w:rFonts w:cs="Times New Roman"/>
          <w:szCs w:val="24"/>
        </w:rPr>
        <w:t>根据解析解预测模式及设定参数值，计算出不同时间、与污染源不同距离的污染物COD</w:t>
      </w:r>
      <w:r>
        <w:rPr>
          <w:rFonts w:cs="Times New Roman"/>
          <w:szCs w:val="24"/>
          <w:vertAlign w:val="subscript"/>
        </w:rPr>
        <w:t>Mn</w:t>
      </w:r>
      <w:r>
        <w:rPr>
          <w:rFonts w:cs="Times New Roman"/>
          <w:szCs w:val="24"/>
        </w:rPr>
        <w:t>、氨氮的浓度值，预测统计结果见</w:t>
      </w:r>
      <w:r>
        <w:rPr>
          <w:rFonts w:hint="eastAsia" w:cs="Times New Roman"/>
          <w:szCs w:val="24"/>
        </w:rPr>
        <w:t>下</w:t>
      </w:r>
      <w:r>
        <w:rPr>
          <w:rFonts w:cs="Times New Roman"/>
          <w:szCs w:val="24"/>
        </w:rPr>
        <w:t>表。</w:t>
      </w:r>
    </w:p>
    <w:p w14:paraId="3D557A8C">
      <w:pPr>
        <w:pStyle w:val="45"/>
        <w:rPr>
          <w:rFonts w:cs="Times New Roman"/>
        </w:rPr>
      </w:pPr>
      <w:r>
        <w:rPr>
          <w:rFonts w:cs="Times New Roman"/>
        </w:rPr>
        <w:t>表</w:t>
      </w:r>
      <w:r>
        <w:rPr>
          <w:rFonts w:hint="eastAsia" w:cs="Times New Roman"/>
        </w:rPr>
        <w:t>5.8-6</w:t>
      </w:r>
      <w:r>
        <w:rPr>
          <w:rFonts w:cs="Times New Roman"/>
        </w:rPr>
        <w:t xml:space="preserve"> COD</w:t>
      </w:r>
      <w:r>
        <w:rPr>
          <w:rFonts w:cs="Times New Roman"/>
          <w:vertAlign w:val="subscript"/>
        </w:rPr>
        <w:t>Mn</w:t>
      </w:r>
      <w:r>
        <w:rPr>
          <w:rFonts w:cs="Times New Roman"/>
        </w:rPr>
        <w:t>污染物运移范围预测结果表</w:t>
      </w:r>
    </w:p>
    <w:tbl>
      <w:tblPr>
        <w:tblStyle w:val="25"/>
        <w:tblW w:w="5001"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36"/>
        <w:gridCol w:w="1595"/>
        <w:gridCol w:w="1595"/>
        <w:gridCol w:w="1596"/>
        <w:gridCol w:w="1596"/>
      </w:tblGrid>
      <w:tr w14:paraId="6DC51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blHeader/>
        </w:trPr>
        <w:tc>
          <w:tcPr>
            <w:tcW w:w="1164" w:type="pct"/>
            <w:noWrap/>
            <w:vAlign w:val="center"/>
          </w:tcPr>
          <w:p w14:paraId="134B2EB8">
            <w:pPr>
              <w:spacing w:line="240" w:lineRule="auto"/>
              <w:ind w:firstLine="0" w:firstLineChars="0"/>
              <w:jc w:val="center"/>
              <w:rPr>
                <w:rFonts w:cs="Times New Roman"/>
                <w:b/>
                <w:bCs/>
                <w:szCs w:val="24"/>
              </w:rPr>
            </w:pPr>
            <w:r>
              <w:rPr>
                <w:rFonts w:hint="eastAsia" w:cs="Times New Roman"/>
                <w:b/>
                <w:bCs/>
                <w:szCs w:val="24"/>
              </w:rPr>
              <w:t>距离（m）</w:t>
            </w:r>
          </w:p>
        </w:tc>
        <w:tc>
          <w:tcPr>
            <w:tcW w:w="959" w:type="pct"/>
            <w:noWrap/>
            <w:vAlign w:val="center"/>
          </w:tcPr>
          <w:p w14:paraId="464C04DC">
            <w:pPr>
              <w:spacing w:line="240" w:lineRule="auto"/>
              <w:ind w:firstLine="0" w:firstLineChars="0"/>
              <w:jc w:val="center"/>
              <w:rPr>
                <w:rFonts w:cs="Times New Roman"/>
                <w:b/>
                <w:bCs/>
                <w:szCs w:val="24"/>
              </w:rPr>
            </w:pPr>
            <w:r>
              <w:rPr>
                <w:rFonts w:hint="eastAsia" w:cs="Times New Roman"/>
                <w:b/>
                <w:bCs/>
                <w:szCs w:val="24"/>
              </w:rPr>
              <w:t>100d</w:t>
            </w:r>
          </w:p>
        </w:tc>
        <w:tc>
          <w:tcPr>
            <w:tcW w:w="959" w:type="pct"/>
            <w:noWrap/>
            <w:vAlign w:val="center"/>
          </w:tcPr>
          <w:p w14:paraId="6D6358B7">
            <w:pPr>
              <w:spacing w:line="240" w:lineRule="auto"/>
              <w:ind w:firstLine="0" w:firstLineChars="0"/>
              <w:jc w:val="center"/>
              <w:rPr>
                <w:rFonts w:cs="Times New Roman"/>
                <w:b/>
                <w:bCs/>
                <w:szCs w:val="24"/>
              </w:rPr>
            </w:pPr>
            <w:r>
              <w:rPr>
                <w:rFonts w:hint="eastAsia" w:cs="Times New Roman"/>
                <w:b/>
                <w:bCs/>
                <w:szCs w:val="24"/>
              </w:rPr>
              <w:t>1000d</w:t>
            </w:r>
          </w:p>
        </w:tc>
        <w:tc>
          <w:tcPr>
            <w:tcW w:w="959" w:type="pct"/>
            <w:noWrap/>
            <w:vAlign w:val="center"/>
          </w:tcPr>
          <w:p w14:paraId="174F5ACC">
            <w:pPr>
              <w:spacing w:line="240" w:lineRule="auto"/>
              <w:ind w:firstLine="0" w:firstLineChars="0"/>
              <w:jc w:val="center"/>
              <w:rPr>
                <w:rFonts w:cs="Times New Roman"/>
                <w:b/>
                <w:bCs/>
                <w:szCs w:val="24"/>
              </w:rPr>
            </w:pPr>
            <w:r>
              <w:rPr>
                <w:rFonts w:hint="eastAsia" w:cs="Times New Roman"/>
                <w:b/>
                <w:bCs/>
                <w:szCs w:val="24"/>
              </w:rPr>
              <w:t>3650d</w:t>
            </w:r>
          </w:p>
        </w:tc>
        <w:tc>
          <w:tcPr>
            <w:tcW w:w="959" w:type="pct"/>
            <w:noWrap/>
            <w:vAlign w:val="center"/>
          </w:tcPr>
          <w:p w14:paraId="5A5AF064">
            <w:pPr>
              <w:spacing w:line="240" w:lineRule="auto"/>
              <w:ind w:firstLine="0" w:firstLineChars="0"/>
              <w:jc w:val="center"/>
              <w:rPr>
                <w:rFonts w:cs="Times New Roman"/>
                <w:b/>
                <w:bCs/>
                <w:szCs w:val="24"/>
              </w:rPr>
            </w:pPr>
            <w:r>
              <w:rPr>
                <w:rFonts w:hint="eastAsia" w:cs="Times New Roman"/>
                <w:b/>
                <w:bCs/>
                <w:szCs w:val="24"/>
              </w:rPr>
              <w:t>7300d</w:t>
            </w:r>
          </w:p>
        </w:tc>
      </w:tr>
      <w:tr w14:paraId="078DC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3C8CFA25">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07652E25">
            <w:pPr>
              <w:spacing w:line="240" w:lineRule="auto"/>
              <w:ind w:firstLine="0" w:firstLineChars="0"/>
              <w:jc w:val="center"/>
              <w:rPr>
                <w:rFonts w:cs="Times New Roman"/>
                <w:szCs w:val="24"/>
              </w:rPr>
            </w:pPr>
            <w:r>
              <w:rPr>
                <w:rFonts w:hint="eastAsia" w:cs="Times New Roman"/>
                <w:szCs w:val="24"/>
              </w:rPr>
              <w:t>150</w:t>
            </w:r>
          </w:p>
        </w:tc>
        <w:tc>
          <w:tcPr>
            <w:tcW w:w="959" w:type="pct"/>
            <w:noWrap/>
            <w:vAlign w:val="center"/>
          </w:tcPr>
          <w:p w14:paraId="4FA7E69B">
            <w:pPr>
              <w:spacing w:line="240" w:lineRule="auto"/>
              <w:ind w:firstLine="0" w:firstLineChars="0"/>
              <w:jc w:val="center"/>
              <w:rPr>
                <w:rFonts w:cs="Times New Roman"/>
                <w:szCs w:val="24"/>
              </w:rPr>
            </w:pPr>
            <w:r>
              <w:rPr>
                <w:rFonts w:hint="eastAsia" w:cs="Times New Roman"/>
                <w:szCs w:val="24"/>
              </w:rPr>
              <w:t>150</w:t>
            </w:r>
          </w:p>
        </w:tc>
        <w:tc>
          <w:tcPr>
            <w:tcW w:w="959" w:type="pct"/>
            <w:noWrap/>
            <w:vAlign w:val="center"/>
          </w:tcPr>
          <w:p w14:paraId="7746A5BE">
            <w:pPr>
              <w:spacing w:line="240" w:lineRule="auto"/>
              <w:ind w:firstLine="0" w:firstLineChars="0"/>
              <w:jc w:val="center"/>
              <w:rPr>
                <w:rFonts w:cs="Times New Roman"/>
                <w:szCs w:val="24"/>
              </w:rPr>
            </w:pPr>
            <w:r>
              <w:rPr>
                <w:rFonts w:hint="eastAsia" w:cs="Times New Roman"/>
                <w:szCs w:val="24"/>
              </w:rPr>
              <w:t>150</w:t>
            </w:r>
          </w:p>
        </w:tc>
        <w:tc>
          <w:tcPr>
            <w:tcW w:w="959" w:type="pct"/>
            <w:noWrap/>
            <w:vAlign w:val="center"/>
          </w:tcPr>
          <w:p w14:paraId="6C515744">
            <w:pPr>
              <w:spacing w:line="240" w:lineRule="auto"/>
              <w:ind w:firstLine="0" w:firstLineChars="0"/>
              <w:jc w:val="center"/>
              <w:rPr>
                <w:rFonts w:cs="Times New Roman"/>
                <w:szCs w:val="24"/>
              </w:rPr>
            </w:pPr>
            <w:r>
              <w:rPr>
                <w:rFonts w:hint="eastAsia" w:cs="Times New Roman"/>
                <w:szCs w:val="24"/>
              </w:rPr>
              <w:t>150</w:t>
            </w:r>
          </w:p>
        </w:tc>
      </w:tr>
      <w:tr w14:paraId="41BE1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64E2DFE4">
            <w:pPr>
              <w:spacing w:line="240" w:lineRule="auto"/>
              <w:ind w:firstLine="0" w:firstLineChars="0"/>
              <w:jc w:val="center"/>
              <w:rPr>
                <w:rFonts w:cs="Times New Roman"/>
                <w:szCs w:val="24"/>
              </w:rPr>
            </w:pPr>
            <w:r>
              <w:rPr>
                <w:rFonts w:hint="eastAsia" w:cs="Times New Roman"/>
                <w:szCs w:val="24"/>
              </w:rPr>
              <w:t>1</w:t>
            </w:r>
          </w:p>
        </w:tc>
        <w:tc>
          <w:tcPr>
            <w:tcW w:w="959" w:type="pct"/>
            <w:noWrap/>
            <w:vAlign w:val="center"/>
          </w:tcPr>
          <w:p w14:paraId="6EB40F15">
            <w:pPr>
              <w:spacing w:line="240" w:lineRule="auto"/>
              <w:ind w:firstLine="0" w:firstLineChars="0"/>
              <w:jc w:val="center"/>
              <w:rPr>
                <w:rFonts w:cs="Times New Roman"/>
                <w:szCs w:val="24"/>
              </w:rPr>
            </w:pPr>
            <w:r>
              <w:rPr>
                <w:rFonts w:hint="eastAsia" w:cs="Times New Roman"/>
                <w:szCs w:val="24"/>
                <w:lang w:bidi="ar"/>
              </w:rPr>
              <w:t>117.81</w:t>
            </w:r>
          </w:p>
        </w:tc>
        <w:tc>
          <w:tcPr>
            <w:tcW w:w="959" w:type="pct"/>
            <w:noWrap/>
            <w:vAlign w:val="center"/>
          </w:tcPr>
          <w:p w14:paraId="0CB38FFE">
            <w:pPr>
              <w:spacing w:line="240" w:lineRule="auto"/>
              <w:ind w:firstLine="0" w:firstLineChars="0"/>
              <w:jc w:val="center"/>
              <w:rPr>
                <w:rFonts w:cs="Times New Roman"/>
                <w:szCs w:val="24"/>
              </w:rPr>
            </w:pPr>
            <w:r>
              <w:rPr>
                <w:rFonts w:hint="eastAsia" w:cs="Times New Roman"/>
                <w:szCs w:val="24"/>
              </w:rPr>
              <w:t>143.41</w:t>
            </w:r>
          </w:p>
        </w:tc>
        <w:tc>
          <w:tcPr>
            <w:tcW w:w="959" w:type="pct"/>
            <w:noWrap/>
            <w:vAlign w:val="center"/>
          </w:tcPr>
          <w:p w14:paraId="5FA7C462">
            <w:pPr>
              <w:spacing w:line="240" w:lineRule="auto"/>
              <w:ind w:firstLine="0" w:firstLineChars="0"/>
              <w:jc w:val="center"/>
              <w:rPr>
                <w:rFonts w:cs="Times New Roman"/>
                <w:szCs w:val="24"/>
              </w:rPr>
            </w:pPr>
            <w:r>
              <w:rPr>
                <w:rFonts w:hint="eastAsia" w:cs="Times New Roman"/>
                <w:szCs w:val="24"/>
              </w:rPr>
              <w:t>148.29</w:t>
            </w:r>
          </w:p>
        </w:tc>
        <w:tc>
          <w:tcPr>
            <w:tcW w:w="959" w:type="pct"/>
            <w:noWrap/>
            <w:vAlign w:val="center"/>
          </w:tcPr>
          <w:p w14:paraId="4225DDE2">
            <w:pPr>
              <w:spacing w:line="240" w:lineRule="auto"/>
              <w:ind w:firstLine="0" w:firstLineChars="0"/>
              <w:jc w:val="center"/>
              <w:rPr>
                <w:rFonts w:cs="Times New Roman"/>
                <w:szCs w:val="24"/>
              </w:rPr>
            </w:pPr>
            <w:r>
              <w:rPr>
                <w:rFonts w:hint="eastAsia" w:cs="Times New Roman"/>
                <w:szCs w:val="24"/>
              </w:rPr>
              <w:t>149.4</w:t>
            </w:r>
          </w:p>
        </w:tc>
      </w:tr>
      <w:tr w14:paraId="33821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33BAD241">
            <w:pPr>
              <w:spacing w:line="240" w:lineRule="auto"/>
              <w:ind w:firstLine="0" w:firstLineChars="0"/>
              <w:jc w:val="center"/>
              <w:rPr>
                <w:rFonts w:cs="Times New Roman"/>
                <w:szCs w:val="24"/>
              </w:rPr>
            </w:pPr>
            <w:r>
              <w:rPr>
                <w:rFonts w:hint="eastAsia" w:cs="Times New Roman"/>
                <w:szCs w:val="24"/>
              </w:rPr>
              <w:t>2</w:t>
            </w:r>
          </w:p>
        </w:tc>
        <w:tc>
          <w:tcPr>
            <w:tcW w:w="959" w:type="pct"/>
            <w:noWrap/>
            <w:vAlign w:val="center"/>
          </w:tcPr>
          <w:p w14:paraId="2120DE9B">
            <w:pPr>
              <w:spacing w:line="240" w:lineRule="auto"/>
              <w:ind w:firstLine="0" w:firstLineChars="0"/>
              <w:jc w:val="center"/>
              <w:rPr>
                <w:rFonts w:cs="Times New Roman"/>
                <w:szCs w:val="24"/>
              </w:rPr>
            </w:pPr>
            <w:r>
              <w:rPr>
                <w:rFonts w:hint="eastAsia" w:cs="Times New Roman"/>
                <w:szCs w:val="24"/>
                <w:lang w:bidi="ar"/>
              </w:rPr>
              <w:t>86.33</w:t>
            </w:r>
          </w:p>
        </w:tc>
        <w:tc>
          <w:tcPr>
            <w:tcW w:w="959" w:type="pct"/>
            <w:noWrap/>
            <w:vAlign w:val="center"/>
          </w:tcPr>
          <w:p w14:paraId="0508B5BB">
            <w:pPr>
              <w:spacing w:line="240" w:lineRule="auto"/>
              <w:ind w:firstLine="0" w:firstLineChars="0"/>
              <w:jc w:val="center"/>
              <w:rPr>
                <w:rFonts w:cs="Times New Roman"/>
                <w:szCs w:val="24"/>
              </w:rPr>
            </w:pPr>
            <w:r>
              <w:rPr>
                <w:rFonts w:hint="eastAsia" w:cs="Times New Roman"/>
                <w:szCs w:val="24"/>
              </w:rPr>
              <w:t>136.3</w:t>
            </w:r>
          </w:p>
        </w:tc>
        <w:tc>
          <w:tcPr>
            <w:tcW w:w="959" w:type="pct"/>
            <w:noWrap/>
            <w:vAlign w:val="center"/>
          </w:tcPr>
          <w:p w14:paraId="3A307D1C">
            <w:pPr>
              <w:spacing w:line="240" w:lineRule="auto"/>
              <w:ind w:firstLine="0" w:firstLineChars="0"/>
              <w:jc w:val="center"/>
              <w:rPr>
                <w:rFonts w:cs="Times New Roman"/>
                <w:szCs w:val="24"/>
              </w:rPr>
            </w:pPr>
            <w:r>
              <w:rPr>
                <w:rFonts w:hint="eastAsia" w:cs="Times New Roman"/>
                <w:szCs w:val="24"/>
              </w:rPr>
              <w:t>146.42</w:t>
            </w:r>
          </w:p>
        </w:tc>
        <w:tc>
          <w:tcPr>
            <w:tcW w:w="959" w:type="pct"/>
            <w:noWrap/>
            <w:vAlign w:val="center"/>
          </w:tcPr>
          <w:p w14:paraId="713C5B28">
            <w:pPr>
              <w:spacing w:line="240" w:lineRule="auto"/>
              <w:ind w:firstLine="0" w:firstLineChars="0"/>
              <w:jc w:val="center"/>
              <w:rPr>
                <w:rFonts w:cs="Times New Roman"/>
                <w:szCs w:val="24"/>
              </w:rPr>
            </w:pPr>
            <w:r>
              <w:rPr>
                <w:rFonts w:hint="eastAsia" w:cs="Times New Roman"/>
                <w:szCs w:val="24"/>
              </w:rPr>
              <w:t>148.75</w:t>
            </w:r>
          </w:p>
        </w:tc>
      </w:tr>
      <w:tr w14:paraId="570E5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2007EF07">
            <w:pPr>
              <w:spacing w:line="240" w:lineRule="auto"/>
              <w:ind w:firstLine="0" w:firstLineChars="0"/>
              <w:jc w:val="center"/>
              <w:rPr>
                <w:rFonts w:cs="Times New Roman"/>
                <w:szCs w:val="24"/>
              </w:rPr>
            </w:pPr>
            <w:r>
              <w:rPr>
                <w:rFonts w:hint="eastAsia" w:cs="Times New Roman"/>
                <w:szCs w:val="24"/>
              </w:rPr>
              <w:t>3</w:t>
            </w:r>
          </w:p>
        </w:tc>
        <w:tc>
          <w:tcPr>
            <w:tcW w:w="959" w:type="pct"/>
            <w:noWrap/>
            <w:vAlign w:val="center"/>
          </w:tcPr>
          <w:p w14:paraId="6B69A693">
            <w:pPr>
              <w:spacing w:line="240" w:lineRule="auto"/>
              <w:ind w:firstLine="0" w:firstLineChars="0"/>
              <w:jc w:val="center"/>
              <w:rPr>
                <w:rFonts w:cs="Times New Roman"/>
                <w:szCs w:val="24"/>
              </w:rPr>
            </w:pPr>
            <w:r>
              <w:rPr>
                <w:rFonts w:hint="eastAsia" w:cs="Times New Roman"/>
                <w:szCs w:val="24"/>
                <w:lang w:bidi="ar"/>
              </w:rPr>
              <w:t>58.71</w:t>
            </w:r>
          </w:p>
        </w:tc>
        <w:tc>
          <w:tcPr>
            <w:tcW w:w="959" w:type="pct"/>
            <w:noWrap/>
            <w:vAlign w:val="center"/>
          </w:tcPr>
          <w:p w14:paraId="4F2836BC">
            <w:pPr>
              <w:spacing w:line="240" w:lineRule="auto"/>
              <w:ind w:firstLine="0" w:firstLineChars="0"/>
              <w:jc w:val="center"/>
              <w:rPr>
                <w:rFonts w:cs="Times New Roman"/>
                <w:szCs w:val="24"/>
              </w:rPr>
            </w:pPr>
            <w:r>
              <w:rPr>
                <w:rFonts w:hint="eastAsia" w:cs="Times New Roman"/>
                <w:szCs w:val="24"/>
              </w:rPr>
              <w:t>128.74</w:t>
            </w:r>
          </w:p>
        </w:tc>
        <w:tc>
          <w:tcPr>
            <w:tcW w:w="959" w:type="pct"/>
            <w:noWrap/>
            <w:vAlign w:val="center"/>
          </w:tcPr>
          <w:p w14:paraId="54C8A256">
            <w:pPr>
              <w:spacing w:line="240" w:lineRule="auto"/>
              <w:ind w:firstLine="0" w:firstLineChars="0"/>
              <w:jc w:val="center"/>
              <w:rPr>
                <w:rFonts w:cs="Times New Roman"/>
                <w:szCs w:val="24"/>
              </w:rPr>
            </w:pPr>
            <w:r>
              <w:rPr>
                <w:rFonts w:hint="eastAsia" w:cs="Times New Roman"/>
                <w:szCs w:val="24"/>
              </w:rPr>
              <w:t>144.4</w:t>
            </w:r>
          </w:p>
        </w:tc>
        <w:tc>
          <w:tcPr>
            <w:tcW w:w="959" w:type="pct"/>
            <w:noWrap/>
            <w:vAlign w:val="center"/>
          </w:tcPr>
          <w:p w14:paraId="3008A77E">
            <w:pPr>
              <w:spacing w:line="240" w:lineRule="auto"/>
              <w:ind w:firstLine="0" w:firstLineChars="0"/>
              <w:jc w:val="center"/>
              <w:rPr>
                <w:rFonts w:cs="Times New Roman"/>
                <w:szCs w:val="24"/>
              </w:rPr>
            </w:pPr>
            <w:r>
              <w:rPr>
                <w:rFonts w:hint="eastAsia" w:cs="Times New Roman"/>
                <w:szCs w:val="24"/>
              </w:rPr>
              <w:t>148.04</w:t>
            </w:r>
          </w:p>
        </w:tc>
      </w:tr>
      <w:tr w14:paraId="0F2CF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5C05436A">
            <w:pPr>
              <w:spacing w:line="240" w:lineRule="auto"/>
              <w:ind w:firstLine="0" w:firstLineChars="0"/>
              <w:jc w:val="center"/>
              <w:rPr>
                <w:rFonts w:cs="Times New Roman"/>
                <w:szCs w:val="24"/>
              </w:rPr>
            </w:pPr>
            <w:r>
              <w:rPr>
                <w:rFonts w:hint="eastAsia" w:cs="Times New Roman"/>
                <w:szCs w:val="24"/>
              </w:rPr>
              <w:t>5</w:t>
            </w:r>
          </w:p>
        </w:tc>
        <w:tc>
          <w:tcPr>
            <w:tcW w:w="959" w:type="pct"/>
            <w:noWrap/>
            <w:vAlign w:val="center"/>
          </w:tcPr>
          <w:p w14:paraId="50F8336A">
            <w:pPr>
              <w:spacing w:line="240" w:lineRule="auto"/>
              <w:ind w:firstLine="0" w:firstLineChars="0"/>
              <w:jc w:val="center"/>
              <w:rPr>
                <w:rFonts w:cs="Times New Roman"/>
                <w:szCs w:val="24"/>
              </w:rPr>
            </w:pPr>
            <w:r>
              <w:rPr>
                <w:rFonts w:hint="eastAsia" w:cs="Times New Roman"/>
                <w:szCs w:val="24"/>
                <w:lang w:bidi="ar"/>
              </w:rPr>
              <w:t>21.34</w:t>
            </w:r>
          </w:p>
        </w:tc>
        <w:tc>
          <w:tcPr>
            <w:tcW w:w="959" w:type="pct"/>
            <w:noWrap/>
            <w:vAlign w:val="center"/>
          </w:tcPr>
          <w:p w14:paraId="5CD957A7">
            <w:pPr>
              <w:spacing w:line="240" w:lineRule="auto"/>
              <w:ind w:firstLine="0" w:firstLineChars="0"/>
              <w:jc w:val="center"/>
              <w:rPr>
                <w:rFonts w:cs="Times New Roman"/>
                <w:szCs w:val="24"/>
              </w:rPr>
            </w:pPr>
            <w:r>
              <w:rPr>
                <w:rFonts w:hint="eastAsia" w:cs="Times New Roman"/>
                <w:szCs w:val="24"/>
              </w:rPr>
              <w:t>112.65</w:t>
            </w:r>
          </w:p>
        </w:tc>
        <w:tc>
          <w:tcPr>
            <w:tcW w:w="959" w:type="pct"/>
            <w:noWrap/>
            <w:vAlign w:val="center"/>
          </w:tcPr>
          <w:p w14:paraId="19047BF6">
            <w:pPr>
              <w:spacing w:line="240" w:lineRule="auto"/>
              <w:ind w:firstLine="0" w:firstLineChars="0"/>
              <w:jc w:val="center"/>
              <w:rPr>
                <w:rFonts w:cs="Times New Roman"/>
                <w:szCs w:val="24"/>
              </w:rPr>
            </w:pPr>
            <w:r>
              <w:rPr>
                <w:rFonts w:hint="eastAsia" w:cs="Times New Roman"/>
                <w:szCs w:val="24"/>
              </w:rPr>
              <w:t>139.9</w:t>
            </w:r>
          </w:p>
        </w:tc>
        <w:tc>
          <w:tcPr>
            <w:tcW w:w="959" w:type="pct"/>
            <w:noWrap/>
            <w:vAlign w:val="center"/>
          </w:tcPr>
          <w:p w14:paraId="5C143B1F">
            <w:pPr>
              <w:spacing w:line="240" w:lineRule="auto"/>
              <w:ind w:firstLine="0" w:firstLineChars="0"/>
              <w:jc w:val="center"/>
              <w:rPr>
                <w:rFonts w:cs="Times New Roman"/>
                <w:szCs w:val="24"/>
              </w:rPr>
            </w:pPr>
            <w:r>
              <w:rPr>
                <w:rFonts w:hint="eastAsia" w:cs="Times New Roman"/>
                <w:szCs w:val="24"/>
              </w:rPr>
              <w:t>146.45</w:t>
            </w:r>
          </w:p>
        </w:tc>
      </w:tr>
      <w:tr w14:paraId="32746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4BB1165B">
            <w:pPr>
              <w:spacing w:line="240" w:lineRule="auto"/>
              <w:ind w:firstLine="0" w:firstLineChars="0"/>
              <w:jc w:val="center"/>
              <w:rPr>
                <w:rFonts w:cs="Times New Roman"/>
                <w:szCs w:val="24"/>
              </w:rPr>
            </w:pPr>
            <w:r>
              <w:rPr>
                <w:rFonts w:hint="eastAsia" w:cs="Times New Roman"/>
                <w:szCs w:val="24"/>
              </w:rPr>
              <w:t>7</w:t>
            </w:r>
          </w:p>
        </w:tc>
        <w:tc>
          <w:tcPr>
            <w:tcW w:w="959" w:type="pct"/>
            <w:noWrap/>
            <w:vAlign w:val="center"/>
          </w:tcPr>
          <w:p w14:paraId="63B37E0B">
            <w:pPr>
              <w:spacing w:line="240" w:lineRule="auto"/>
              <w:ind w:firstLine="0" w:firstLineChars="0"/>
              <w:jc w:val="center"/>
              <w:rPr>
                <w:rFonts w:cs="Times New Roman"/>
                <w:szCs w:val="24"/>
              </w:rPr>
            </w:pPr>
            <w:r>
              <w:rPr>
                <w:rFonts w:hint="eastAsia" w:cs="Times New Roman"/>
                <w:szCs w:val="24"/>
                <w:lang w:bidi="ar"/>
              </w:rPr>
              <w:t>5.51</w:t>
            </w:r>
          </w:p>
        </w:tc>
        <w:tc>
          <w:tcPr>
            <w:tcW w:w="959" w:type="pct"/>
            <w:noWrap/>
            <w:vAlign w:val="center"/>
          </w:tcPr>
          <w:p w14:paraId="77F755CB">
            <w:pPr>
              <w:spacing w:line="240" w:lineRule="auto"/>
              <w:ind w:firstLine="0" w:firstLineChars="0"/>
              <w:jc w:val="center"/>
              <w:rPr>
                <w:rFonts w:cs="Times New Roman"/>
                <w:szCs w:val="24"/>
              </w:rPr>
            </w:pPr>
            <w:r>
              <w:rPr>
                <w:rFonts w:hint="eastAsia" w:cs="Times New Roman"/>
                <w:szCs w:val="24"/>
              </w:rPr>
              <w:t>95.91</w:t>
            </w:r>
          </w:p>
        </w:tc>
        <w:tc>
          <w:tcPr>
            <w:tcW w:w="959" w:type="pct"/>
            <w:noWrap/>
            <w:vAlign w:val="center"/>
          </w:tcPr>
          <w:p w14:paraId="66A338DE">
            <w:pPr>
              <w:spacing w:line="240" w:lineRule="auto"/>
              <w:ind w:firstLine="0" w:firstLineChars="0"/>
              <w:jc w:val="center"/>
              <w:rPr>
                <w:rFonts w:cs="Times New Roman"/>
                <w:szCs w:val="24"/>
              </w:rPr>
            </w:pPr>
            <w:r>
              <w:rPr>
                <w:rFonts w:hint="eastAsia" w:cs="Times New Roman"/>
                <w:szCs w:val="24"/>
              </w:rPr>
              <w:t>134.8</w:t>
            </w:r>
          </w:p>
        </w:tc>
        <w:tc>
          <w:tcPr>
            <w:tcW w:w="959" w:type="pct"/>
            <w:noWrap/>
            <w:vAlign w:val="center"/>
          </w:tcPr>
          <w:p w14:paraId="1EC97AB0">
            <w:pPr>
              <w:spacing w:line="240" w:lineRule="auto"/>
              <w:ind w:firstLine="0" w:firstLineChars="0"/>
              <w:jc w:val="center"/>
              <w:rPr>
                <w:rFonts w:cs="Times New Roman"/>
                <w:szCs w:val="24"/>
              </w:rPr>
            </w:pPr>
            <w:r>
              <w:rPr>
                <w:rFonts w:hint="eastAsia" w:cs="Times New Roman"/>
                <w:szCs w:val="24"/>
              </w:rPr>
              <w:t>144.62</w:t>
            </w:r>
          </w:p>
        </w:tc>
      </w:tr>
      <w:tr w14:paraId="3AF54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362707E5">
            <w:pPr>
              <w:spacing w:line="240" w:lineRule="auto"/>
              <w:ind w:firstLine="0" w:firstLineChars="0"/>
              <w:jc w:val="center"/>
              <w:rPr>
                <w:rFonts w:cs="Times New Roman"/>
                <w:szCs w:val="24"/>
              </w:rPr>
            </w:pPr>
            <w:r>
              <w:rPr>
                <w:rFonts w:hint="eastAsia" w:cs="Times New Roman"/>
                <w:szCs w:val="24"/>
              </w:rPr>
              <w:t>10</w:t>
            </w:r>
          </w:p>
        </w:tc>
        <w:tc>
          <w:tcPr>
            <w:tcW w:w="959" w:type="pct"/>
            <w:noWrap/>
            <w:vAlign w:val="center"/>
          </w:tcPr>
          <w:p w14:paraId="1266BF66">
            <w:pPr>
              <w:spacing w:line="240" w:lineRule="auto"/>
              <w:ind w:firstLine="0" w:firstLineChars="0"/>
              <w:jc w:val="center"/>
              <w:rPr>
                <w:rFonts w:cs="Times New Roman"/>
                <w:szCs w:val="24"/>
              </w:rPr>
            </w:pPr>
            <w:r>
              <w:rPr>
                <w:rFonts w:hint="eastAsia" w:cs="Times New Roman"/>
                <w:szCs w:val="24"/>
                <w:lang w:bidi="ar"/>
              </w:rPr>
              <w:t>0.37</w:t>
            </w:r>
          </w:p>
        </w:tc>
        <w:tc>
          <w:tcPr>
            <w:tcW w:w="959" w:type="pct"/>
            <w:noWrap/>
            <w:vAlign w:val="center"/>
          </w:tcPr>
          <w:p w14:paraId="0AC9726A">
            <w:pPr>
              <w:spacing w:line="240" w:lineRule="auto"/>
              <w:ind w:firstLine="0" w:firstLineChars="0"/>
              <w:jc w:val="center"/>
              <w:rPr>
                <w:rFonts w:cs="Times New Roman"/>
                <w:szCs w:val="24"/>
              </w:rPr>
            </w:pPr>
            <w:r>
              <w:rPr>
                <w:rFonts w:hint="eastAsia" w:cs="Times New Roman"/>
                <w:szCs w:val="24"/>
              </w:rPr>
              <w:t>71.34</w:t>
            </w:r>
          </w:p>
        </w:tc>
        <w:tc>
          <w:tcPr>
            <w:tcW w:w="959" w:type="pct"/>
            <w:noWrap/>
            <w:vAlign w:val="center"/>
          </w:tcPr>
          <w:p w14:paraId="6D37157C">
            <w:pPr>
              <w:spacing w:line="240" w:lineRule="auto"/>
              <w:ind w:firstLine="0" w:firstLineChars="0"/>
              <w:jc w:val="center"/>
              <w:rPr>
                <w:rFonts w:cs="Times New Roman"/>
                <w:szCs w:val="24"/>
              </w:rPr>
            </w:pPr>
            <w:r>
              <w:rPr>
                <w:rFonts w:hint="eastAsia" w:cs="Times New Roman"/>
                <w:szCs w:val="24"/>
              </w:rPr>
              <w:t>126.1</w:t>
            </w:r>
          </w:p>
        </w:tc>
        <w:tc>
          <w:tcPr>
            <w:tcW w:w="959" w:type="pct"/>
            <w:noWrap/>
            <w:vAlign w:val="center"/>
          </w:tcPr>
          <w:p w14:paraId="75403319">
            <w:pPr>
              <w:spacing w:line="240" w:lineRule="auto"/>
              <w:ind w:firstLine="0" w:firstLineChars="0"/>
              <w:jc w:val="center"/>
              <w:rPr>
                <w:rFonts w:cs="Times New Roman"/>
                <w:szCs w:val="24"/>
              </w:rPr>
            </w:pPr>
            <w:r>
              <w:rPr>
                <w:rFonts w:hint="eastAsia" w:cs="Times New Roman"/>
                <w:szCs w:val="24"/>
              </w:rPr>
              <w:t>141.38</w:t>
            </w:r>
          </w:p>
        </w:tc>
      </w:tr>
      <w:tr w14:paraId="1BE0C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6F81E5A9">
            <w:pPr>
              <w:spacing w:line="240" w:lineRule="auto"/>
              <w:ind w:firstLine="0" w:firstLineChars="0"/>
              <w:jc w:val="center"/>
              <w:rPr>
                <w:rFonts w:cs="Times New Roman"/>
                <w:szCs w:val="24"/>
              </w:rPr>
            </w:pPr>
            <w:r>
              <w:rPr>
                <w:rFonts w:hint="eastAsia" w:cs="Times New Roman"/>
                <w:szCs w:val="24"/>
              </w:rPr>
              <w:t>15</w:t>
            </w:r>
          </w:p>
        </w:tc>
        <w:tc>
          <w:tcPr>
            <w:tcW w:w="959" w:type="pct"/>
            <w:noWrap/>
            <w:vAlign w:val="center"/>
          </w:tcPr>
          <w:p w14:paraId="65546C18">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72C3BD8A">
            <w:pPr>
              <w:spacing w:line="240" w:lineRule="auto"/>
              <w:ind w:firstLine="0" w:firstLineChars="0"/>
              <w:jc w:val="center"/>
              <w:rPr>
                <w:rFonts w:cs="Times New Roman"/>
                <w:szCs w:val="24"/>
              </w:rPr>
            </w:pPr>
            <w:r>
              <w:rPr>
                <w:rFonts w:hint="eastAsia" w:cs="Times New Roman"/>
                <w:szCs w:val="24"/>
              </w:rPr>
              <w:t>37.28</w:t>
            </w:r>
          </w:p>
        </w:tc>
        <w:tc>
          <w:tcPr>
            <w:tcW w:w="959" w:type="pct"/>
            <w:noWrap/>
            <w:vAlign w:val="center"/>
          </w:tcPr>
          <w:p w14:paraId="5A4B5BC1">
            <w:pPr>
              <w:spacing w:line="240" w:lineRule="auto"/>
              <w:ind w:firstLine="0" w:firstLineChars="0"/>
              <w:jc w:val="center"/>
              <w:rPr>
                <w:rFonts w:cs="Times New Roman"/>
                <w:szCs w:val="24"/>
              </w:rPr>
            </w:pPr>
            <w:r>
              <w:rPr>
                <w:rFonts w:hint="eastAsia" w:cs="Times New Roman"/>
                <w:szCs w:val="24"/>
              </w:rPr>
              <w:t>109.25</w:t>
            </w:r>
          </w:p>
        </w:tc>
        <w:tc>
          <w:tcPr>
            <w:tcW w:w="959" w:type="pct"/>
            <w:noWrap/>
            <w:vAlign w:val="center"/>
          </w:tcPr>
          <w:p w14:paraId="180BE870">
            <w:pPr>
              <w:spacing w:line="240" w:lineRule="auto"/>
              <w:ind w:firstLine="0" w:firstLineChars="0"/>
              <w:jc w:val="center"/>
              <w:rPr>
                <w:rFonts w:cs="Times New Roman"/>
                <w:szCs w:val="24"/>
              </w:rPr>
            </w:pPr>
            <w:r>
              <w:rPr>
                <w:rFonts w:hint="eastAsia" w:cs="Times New Roman"/>
                <w:szCs w:val="24"/>
              </w:rPr>
              <w:t>134.64</w:t>
            </w:r>
          </w:p>
        </w:tc>
      </w:tr>
      <w:tr w14:paraId="438B9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18E67007">
            <w:pPr>
              <w:spacing w:line="240" w:lineRule="auto"/>
              <w:ind w:firstLine="0" w:firstLineChars="0"/>
              <w:jc w:val="center"/>
              <w:rPr>
                <w:rFonts w:cs="Times New Roman"/>
                <w:szCs w:val="24"/>
              </w:rPr>
            </w:pPr>
            <w:r>
              <w:rPr>
                <w:rFonts w:hint="eastAsia" w:cs="Times New Roman"/>
                <w:szCs w:val="24"/>
              </w:rPr>
              <w:t>20</w:t>
            </w:r>
          </w:p>
        </w:tc>
        <w:tc>
          <w:tcPr>
            <w:tcW w:w="959" w:type="pct"/>
            <w:noWrap/>
            <w:vAlign w:val="center"/>
          </w:tcPr>
          <w:p w14:paraId="5B647915">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388611D7">
            <w:pPr>
              <w:spacing w:line="240" w:lineRule="auto"/>
              <w:ind w:firstLine="0" w:firstLineChars="0"/>
              <w:jc w:val="center"/>
              <w:rPr>
                <w:rFonts w:cs="Times New Roman"/>
                <w:szCs w:val="24"/>
              </w:rPr>
            </w:pPr>
            <w:r>
              <w:rPr>
                <w:rFonts w:hint="eastAsia" w:cs="Times New Roman"/>
                <w:szCs w:val="24"/>
              </w:rPr>
              <w:t>15.83</w:t>
            </w:r>
          </w:p>
        </w:tc>
        <w:tc>
          <w:tcPr>
            <w:tcW w:w="959" w:type="pct"/>
            <w:noWrap/>
            <w:vAlign w:val="center"/>
          </w:tcPr>
          <w:p w14:paraId="0A673E93">
            <w:pPr>
              <w:spacing w:line="240" w:lineRule="auto"/>
              <w:ind w:firstLine="0" w:firstLineChars="0"/>
              <w:jc w:val="center"/>
              <w:rPr>
                <w:rFonts w:cs="Times New Roman"/>
                <w:szCs w:val="24"/>
              </w:rPr>
            </w:pPr>
            <w:r>
              <w:rPr>
                <w:rFonts w:hint="eastAsia" w:cs="Times New Roman"/>
                <w:szCs w:val="24"/>
              </w:rPr>
              <w:t>90.56</w:t>
            </w:r>
          </w:p>
        </w:tc>
        <w:tc>
          <w:tcPr>
            <w:tcW w:w="959" w:type="pct"/>
            <w:noWrap/>
            <w:vAlign w:val="center"/>
          </w:tcPr>
          <w:p w14:paraId="35D83C3C">
            <w:pPr>
              <w:spacing w:line="240" w:lineRule="auto"/>
              <w:ind w:firstLine="0" w:firstLineChars="0"/>
              <w:jc w:val="center"/>
              <w:rPr>
                <w:rFonts w:cs="Times New Roman"/>
                <w:szCs w:val="24"/>
              </w:rPr>
            </w:pPr>
            <w:r>
              <w:rPr>
                <w:rFonts w:hint="eastAsia" w:cs="Times New Roman"/>
                <w:szCs w:val="24"/>
              </w:rPr>
              <w:t>126.22</w:t>
            </w:r>
          </w:p>
        </w:tc>
      </w:tr>
      <w:tr w14:paraId="4C670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5C56F550">
            <w:pPr>
              <w:spacing w:line="240" w:lineRule="auto"/>
              <w:ind w:firstLine="0" w:firstLineChars="0"/>
              <w:jc w:val="center"/>
              <w:rPr>
                <w:rFonts w:cs="Times New Roman"/>
                <w:szCs w:val="24"/>
              </w:rPr>
            </w:pPr>
            <w:r>
              <w:rPr>
                <w:rFonts w:hint="eastAsia" w:cs="Times New Roman"/>
                <w:szCs w:val="24"/>
              </w:rPr>
              <w:t>30</w:t>
            </w:r>
          </w:p>
        </w:tc>
        <w:tc>
          <w:tcPr>
            <w:tcW w:w="959" w:type="pct"/>
            <w:noWrap/>
            <w:vAlign w:val="center"/>
          </w:tcPr>
          <w:p w14:paraId="0F0DDB6D">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21A7A483">
            <w:pPr>
              <w:spacing w:line="240" w:lineRule="auto"/>
              <w:ind w:firstLine="0" w:firstLineChars="0"/>
              <w:jc w:val="center"/>
              <w:rPr>
                <w:rFonts w:cs="Times New Roman"/>
                <w:szCs w:val="24"/>
              </w:rPr>
            </w:pPr>
            <w:r>
              <w:rPr>
                <w:rFonts w:hint="eastAsia" w:cs="Times New Roman"/>
                <w:szCs w:val="24"/>
              </w:rPr>
              <w:t>1.47</w:t>
            </w:r>
          </w:p>
        </w:tc>
        <w:tc>
          <w:tcPr>
            <w:tcW w:w="959" w:type="pct"/>
            <w:noWrap/>
            <w:vAlign w:val="center"/>
          </w:tcPr>
          <w:p w14:paraId="375F0D1B">
            <w:pPr>
              <w:spacing w:line="240" w:lineRule="auto"/>
              <w:ind w:firstLine="0" w:firstLineChars="0"/>
              <w:jc w:val="center"/>
              <w:rPr>
                <w:rFonts w:cs="Times New Roman"/>
                <w:szCs w:val="24"/>
              </w:rPr>
            </w:pPr>
            <w:r>
              <w:rPr>
                <w:rFonts w:hint="eastAsia" w:cs="Times New Roman"/>
                <w:szCs w:val="24"/>
              </w:rPr>
              <w:t>53.67</w:t>
            </w:r>
          </w:p>
        </w:tc>
        <w:tc>
          <w:tcPr>
            <w:tcW w:w="959" w:type="pct"/>
            <w:noWrap/>
            <w:vAlign w:val="center"/>
          </w:tcPr>
          <w:p w14:paraId="5486A4A4">
            <w:pPr>
              <w:spacing w:line="240" w:lineRule="auto"/>
              <w:ind w:firstLine="0" w:firstLineChars="0"/>
              <w:jc w:val="center"/>
              <w:rPr>
                <w:rFonts w:cs="Times New Roman"/>
                <w:szCs w:val="24"/>
              </w:rPr>
            </w:pPr>
            <w:r>
              <w:rPr>
                <w:rFonts w:hint="eastAsia" w:cs="Times New Roman"/>
                <w:szCs w:val="24"/>
              </w:rPr>
              <w:t>104.96</w:t>
            </w:r>
          </w:p>
        </w:tc>
      </w:tr>
      <w:tr w14:paraId="31D67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2882C277">
            <w:pPr>
              <w:spacing w:line="240" w:lineRule="auto"/>
              <w:ind w:firstLine="0" w:firstLineChars="0"/>
              <w:jc w:val="center"/>
              <w:rPr>
                <w:rFonts w:cs="Times New Roman"/>
                <w:szCs w:val="24"/>
              </w:rPr>
            </w:pPr>
            <w:r>
              <w:rPr>
                <w:rFonts w:hint="eastAsia" w:cs="Times New Roman"/>
                <w:szCs w:val="24"/>
              </w:rPr>
              <w:t>40</w:t>
            </w:r>
          </w:p>
        </w:tc>
        <w:tc>
          <w:tcPr>
            <w:tcW w:w="959" w:type="pct"/>
            <w:noWrap/>
            <w:vAlign w:val="center"/>
          </w:tcPr>
          <w:p w14:paraId="3B6B1510">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1613EBBE">
            <w:pPr>
              <w:spacing w:line="240" w:lineRule="auto"/>
              <w:ind w:firstLine="0" w:firstLineChars="0"/>
              <w:jc w:val="center"/>
              <w:rPr>
                <w:rFonts w:cs="Times New Roman"/>
                <w:szCs w:val="24"/>
              </w:rPr>
            </w:pPr>
            <w:r>
              <w:rPr>
                <w:rFonts w:hint="eastAsia" w:cs="Times New Roman"/>
                <w:szCs w:val="24"/>
              </w:rPr>
              <w:t>0.05</w:t>
            </w:r>
          </w:p>
        </w:tc>
        <w:tc>
          <w:tcPr>
            <w:tcW w:w="959" w:type="pct"/>
            <w:noWrap/>
            <w:vAlign w:val="center"/>
          </w:tcPr>
          <w:p w14:paraId="1547A534">
            <w:pPr>
              <w:spacing w:line="240" w:lineRule="auto"/>
              <w:ind w:firstLine="0" w:firstLineChars="0"/>
              <w:jc w:val="center"/>
              <w:rPr>
                <w:rFonts w:cs="Times New Roman"/>
                <w:szCs w:val="24"/>
              </w:rPr>
            </w:pPr>
            <w:r>
              <w:rPr>
                <w:rFonts w:hint="eastAsia" w:cs="Times New Roman"/>
                <w:szCs w:val="24"/>
              </w:rPr>
              <w:t>25.61</w:t>
            </w:r>
          </w:p>
        </w:tc>
        <w:tc>
          <w:tcPr>
            <w:tcW w:w="959" w:type="pct"/>
            <w:noWrap/>
            <w:vAlign w:val="center"/>
          </w:tcPr>
          <w:p w14:paraId="789972CF">
            <w:pPr>
              <w:spacing w:line="240" w:lineRule="auto"/>
              <w:ind w:firstLine="0" w:firstLineChars="0"/>
              <w:jc w:val="center"/>
              <w:rPr>
                <w:rFonts w:cs="Times New Roman"/>
                <w:szCs w:val="24"/>
              </w:rPr>
            </w:pPr>
            <w:r>
              <w:rPr>
                <w:rFonts w:hint="eastAsia" w:cs="Times New Roman"/>
                <w:szCs w:val="24"/>
              </w:rPr>
              <w:t>80.13</w:t>
            </w:r>
          </w:p>
        </w:tc>
      </w:tr>
      <w:tr w14:paraId="51B56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0B4E6AA7">
            <w:pPr>
              <w:spacing w:line="240" w:lineRule="auto"/>
              <w:ind w:firstLine="0" w:firstLineChars="0"/>
              <w:jc w:val="center"/>
              <w:rPr>
                <w:rFonts w:cs="Times New Roman"/>
                <w:szCs w:val="24"/>
              </w:rPr>
            </w:pPr>
            <w:r>
              <w:rPr>
                <w:rFonts w:hint="eastAsia" w:cs="Times New Roman"/>
                <w:szCs w:val="24"/>
              </w:rPr>
              <w:t>50</w:t>
            </w:r>
          </w:p>
        </w:tc>
        <w:tc>
          <w:tcPr>
            <w:tcW w:w="959" w:type="pct"/>
            <w:noWrap/>
            <w:vAlign w:val="center"/>
          </w:tcPr>
          <w:p w14:paraId="5A5E41C3">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6D0DBF69">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43751CB9">
            <w:pPr>
              <w:spacing w:line="240" w:lineRule="auto"/>
              <w:ind w:firstLine="0" w:firstLineChars="0"/>
              <w:jc w:val="center"/>
              <w:rPr>
                <w:rFonts w:cs="Times New Roman"/>
                <w:szCs w:val="24"/>
              </w:rPr>
            </w:pPr>
            <w:r>
              <w:rPr>
                <w:rFonts w:hint="eastAsia" w:cs="Times New Roman"/>
                <w:szCs w:val="24"/>
              </w:rPr>
              <w:t>9.69</w:t>
            </w:r>
          </w:p>
        </w:tc>
        <w:tc>
          <w:tcPr>
            <w:tcW w:w="959" w:type="pct"/>
            <w:noWrap/>
            <w:vAlign w:val="center"/>
          </w:tcPr>
          <w:p w14:paraId="7EDBCF87">
            <w:pPr>
              <w:spacing w:line="240" w:lineRule="auto"/>
              <w:ind w:firstLine="0" w:firstLineChars="0"/>
              <w:jc w:val="center"/>
              <w:rPr>
                <w:rFonts w:cs="Times New Roman"/>
                <w:szCs w:val="24"/>
              </w:rPr>
            </w:pPr>
            <w:r>
              <w:rPr>
                <w:rFonts w:hint="eastAsia" w:cs="Times New Roman"/>
                <w:szCs w:val="24"/>
              </w:rPr>
              <w:t>55.51</w:t>
            </w:r>
          </w:p>
        </w:tc>
      </w:tr>
      <w:tr w14:paraId="1630A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36E06964">
            <w:pPr>
              <w:spacing w:line="240" w:lineRule="auto"/>
              <w:ind w:firstLine="0" w:firstLineChars="0"/>
              <w:jc w:val="center"/>
              <w:rPr>
                <w:rFonts w:cs="Times New Roman"/>
                <w:szCs w:val="24"/>
              </w:rPr>
            </w:pPr>
            <w:r>
              <w:rPr>
                <w:rFonts w:hint="eastAsia" w:cs="Times New Roman"/>
                <w:szCs w:val="24"/>
              </w:rPr>
              <w:t>60</w:t>
            </w:r>
          </w:p>
        </w:tc>
        <w:tc>
          <w:tcPr>
            <w:tcW w:w="959" w:type="pct"/>
            <w:noWrap/>
            <w:vAlign w:val="center"/>
          </w:tcPr>
          <w:p w14:paraId="5A38032F">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31DF0475">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53BAC2F0">
            <w:pPr>
              <w:spacing w:line="240" w:lineRule="auto"/>
              <w:ind w:firstLine="0" w:firstLineChars="0"/>
              <w:jc w:val="center"/>
              <w:rPr>
                <w:rFonts w:cs="Times New Roman"/>
                <w:szCs w:val="24"/>
              </w:rPr>
            </w:pPr>
            <w:r>
              <w:rPr>
                <w:rFonts w:hint="eastAsia" w:cs="Times New Roman"/>
                <w:szCs w:val="24"/>
              </w:rPr>
              <w:t>2.87</w:t>
            </w:r>
          </w:p>
        </w:tc>
        <w:tc>
          <w:tcPr>
            <w:tcW w:w="959" w:type="pct"/>
            <w:noWrap/>
            <w:vAlign w:val="center"/>
          </w:tcPr>
          <w:p w14:paraId="3ED54123">
            <w:pPr>
              <w:spacing w:line="240" w:lineRule="auto"/>
              <w:ind w:firstLine="0" w:firstLineChars="0"/>
              <w:jc w:val="center"/>
              <w:rPr>
                <w:rFonts w:cs="Times New Roman"/>
                <w:szCs w:val="24"/>
              </w:rPr>
            </w:pPr>
            <w:r>
              <w:rPr>
                <w:rFonts w:hint="eastAsia" w:cs="Times New Roman"/>
                <w:szCs w:val="24"/>
              </w:rPr>
              <w:t>34.59</w:t>
            </w:r>
          </w:p>
        </w:tc>
      </w:tr>
      <w:tr w14:paraId="42015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649B06CD">
            <w:pPr>
              <w:spacing w:line="240" w:lineRule="auto"/>
              <w:ind w:firstLine="0" w:firstLineChars="0"/>
              <w:jc w:val="center"/>
              <w:rPr>
                <w:rFonts w:cs="Times New Roman"/>
                <w:szCs w:val="24"/>
              </w:rPr>
            </w:pPr>
            <w:r>
              <w:rPr>
                <w:rFonts w:hint="eastAsia" w:cs="Times New Roman"/>
                <w:szCs w:val="24"/>
              </w:rPr>
              <w:t>70</w:t>
            </w:r>
          </w:p>
        </w:tc>
        <w:tc>
          <w:tcPr>
            <w:tcW w:w="959" w:type="pct"/>
            <w:noWrap/>
            <w:vAlign w:val="center"/>
          </w:tcPr>
          <w:p w14:paraId="2A60CFF9">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5F1753B4">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1CF30ED6">
            <w:pPr>
              <w:spacing w:line="240" w:lineRule="auto"/>
              <w:ind w:firstLine="0" w:firstLineChars="0"/>
              <w:jc w:val="center"/>
              <w:rPr>
                <w:rFonts w:cs="Times New Roman"/>
                <w:szCs w:val="24"/>
              </w:rPr>
            </w:pPr>
            <w:r>
              <w:rPr>
                <w:rFonts w:hint="eastAsia" w:cs="Times New Roman"/>
                <w:szCs w:val="24"/>
              </w:rPr>
              <w:t>0.66</w:t>
            </w:r>
          </w:p>
        </w:tc>
        <w:tc>
          <w:tcPr>
            <w:tcW w:w="959" w:type="pct"/>
            <w:noWrap/>
            <w:vAlign w:val="center"/>
          </w:tcPr>
          <w:p w14:paraId="338CF78B">
            <w:pPr>
              <w:spacing w:line="240" w:lineRule="auto"/>
              <w:ind w:firstLine="0" w:firstLineChars="0"/>
              <w:jc w:val="center"/>
              <w:rPr>
                <w:rFonts w:cs="Times New Roman"/>
                <w:szCs w:val="24"/>
              </w:rPr>
            </w:pPr>
            <w:r>
              <w:rPr>
                <w:rFonts w:hint="eastAsia" w:cs="Times New Roman"/>
                <w:szCs w:val="24"/>
              </w:rPr>
              <w:t>19.26</w:t>
            </w:r>
          </w:p>
        </w:tc>
      </w:tr>
      <w:tr w14:paraId="7549C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48055E83">
            <w:pPr>
              <w:spacing w:line="240" w:lineRule="auto"/>
              <w:ind w:firstLine="0" w:firstLineChars="0"/>
              <w:jc w:val="center"/>
              <w:rPr>
                <w:rFonts w:cs="Times New Roman"/>
                <w:szCs w:val="24"/>
              </w:rPr>
            </w:pPr>
            <w:r>
              <w:rPr>
                <w:rFonts w:hint="eastAsia" w:cs="Times New Roman"/>
                <w:szCs w:val="24"/>
              </w:rPr>
              <w:t>80</w:t>
            </w:r>
          </w:p>
        </w:tc>
        <w:tc>
          <w:tcPr>
            <w:tcW w:w="959" w:type="pct"/>
            <w:noWrap/>
            <w:vAlign w:val="center"/>
          </w:tcPr>
          <w:p w14:paraId="1107B058">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6F04D0E5">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26CED27C">
            <w:pPr>
              <w:spacing w:line="240" w:lineRule="auto"/>
              <w:ind w:firstLine="0" w:firstLineChars="0"/>
              <w:jc w:val="center"/>
              <w:rPr>
                <w:rFonts w:cs="Times New Roman"/>
                <w:szCs w:val="24"/>
              </w:rPr>
            </w:pPr>
            <w:r>
              <w:rPr>
                <w:rFonts w:hint="eastAsia" w:cs="Times New Roman"/>
                <w:szCs w:val="24"/>
              </w:rPr>
              <w:t>0.12</w:t>
            </w:r>
          </w:p>
        </w:tc>
        <w:tc>
          <w:tcPr>
            <w:tcW w:w="959" w:type="pct"/>
            <w:noWrap/>
            <w:vAlign w:val="center"/>
          </w:tcPr>
          <w:p w14:paraId="676DAB19">
            <w:pPr>
              <w:spacing w:line="240" w:lineRule="auto"/>
              <w:ind w:firstLine="0" w:firstLineChars="0"/>
              <w:jc w:val="center"/>
              <w:rPr>
                <w:rFonts w:cs="Times New Roman"/>
                <w:szCs w:val="24"/>
              </w:rPr>
            </w:pPr>
            <w:r>
              <w:rPr>
                <w:rFonts w:hint="eastAsia" w:cs="Times New Roman"/>
                <w:szCs w:val="24"/>
              </w:rPr>
              <w:t>9.53</w:t>
            </w:r>
          </w:p>
        </w:tc>
      </w:tr>
      <w:tr w14:paraId="11DAF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2A3B3239">
            <w:pPr>
              <w:spacing w:line="240" w:lineRule="auto"/>
              <w:ind w:firstLine="0" w:firstLineChars="0"/>
              <w:jc w:val="center"/>
              <w:rPr>
                <w:rFonts w:cs="Times New Roman"/>
                <w:szCs w:val="24"/>
              </w:rPr>
            </w:pPr>
            <w:r>
              <w:rPr>
                <w:rFonts w:hint="eastAsia" w:cs="Times New Roman"/>
                <w:szCs w:val="24"/>
              </w:rPr>
              <w:t>90</w:t>
            </w:r>
          </w:p>
        </w:tc>
        <w:tc>
          <w:tcPr>
            <w:tcW w:w="959" w:type="pct"/>
            <w:noWrap/>
            <w:vAlign w:val="center"/>
          </w:tcPr>
          <w:p w14:paraId="3C028ACD">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4893A8FF">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63C72643">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6A13BA32">
            <w:pPr>
              <w:spacing w:line="240" w:lineRule="auto"/>
              <w:ind w:firstLine="0" w:firstLineChars="0"/>
              <w:jc w:val="center"/>
              <w:rPr>
                <w:rFonts w:cs="Times New Roman"/>
                <w:szCs w:val="24"/>
              </w:rPr>
            </w:pPr>
            <w:r>
              <w:rPr>
                <w:rFonts w:hint="eastAsia" w:cs="Times New Roman"/>
                <w:szCs w:val="24"/>
              </w:rPr>
              <w:t>4.17</w:t>
            </w:r>
          </w:p>
        </w:tc>
      </w:tr>
      <w:tr w14:paraId="76174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64" w:type="pct"/>
            <w:noWrap/>
            <w:vAlign w:val="center"/>
          </w:tcPr>
          <w:p w14:paraId="1797AB4B">
            <w:pPr>
              <w:spacing w:line="240" w:lineRule="auto"/>
              <w:ind w:firstLine="0" w:firstLineChars="0"/>
              <w:jc w:val="center"/>
              <w:rPr>
                <w:rFonts w:cs="Times New Roman"/>
                <w:szCs w:val="24"/>
              </w:rPr>
            </w:pPr>
            <w:r>
              <w:rPr>
                <w:rFonts w:hint="eastAsia" w:cs="Times New Roman"/>
                <w:szCs w:val="24"/>
              </w:rPr>
              <w:t>100</w:t>
            </w:r>
          </w:p>
        </w:tc>
        <w:tc>
          <w:tcPr>
            <w:tcW w:w="959" w:type="pct"/>
            <w:noWrap/>
            <w:vAlign w:val="center"/>
          </w:tcPr>
          <w:p w14:paraId="30932C32">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19134CBD">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1473A895">
            <w:pPr>
              <w:spacing w:line="240" w:lineRule="auto"/>
              <w:ind w:firstLine="0" w:firstLineChars="0"/>
              <w:jc w:val="center"/>
              <w:rPr>
                <w:rFonts w:cs="Times New Roman"/>
                <w:szCs w:val="24"/>
              </w:rPr>
            </w:pPr>
            <w:r>
              <w:rPr>
                <w:rFonts w:hint="eastAsia" w:cs="Times New Roman"/>
                <w:szCs w:val="24"/>
              </w:rPr>
              <w:t>0</w:t>
            </w:r>
          </w:p>
        </w:tc>
        <w:tc>
          <w:tcPr>
            <w:tcW w:w="959" w:type="pct"/>
            <w:noWrap/>
            <w:vAlign w:val="center"/>
          </w:tcPr>
          <w:p w14:paraId="34171F44">
            <w:pPr>
              <w:spacing w:line="240" w:lineRule="auto"/>
              <w:ind w:firstLine="0" w:firstLineChars="0"/>
              <w:jc w:val="center"/>
              <w:rPr>
                <w:rFonts w:cs="Times New Roman"/>
                <w:szCs w:val="24"/>
              </w:rPr>
            </w:pPr>
            <w:r>
              <w:rPr>
                <w:rFonts w:hint="eastAsia" w:cs="Times New Roman"/>
                <w:szCs w:val="24"/>
              </w:rPr>
              <w:t>1.61</w:t>
            </w:r>
          </w:p>
        </w:tc>
      </w:tr>
    </w:tbl>
    <w:p w14:paraId="7596AFB8">
      <w:pPr>
        <w:pStyle w:val="45"/>
        <w:rPr>
          <w:rFonts w:cs="Times New Roman"/>
        </w:rPr>
      </w:pPr>
      <w:r>
        <w:rPr>
          <w:rFonts w:cs="Times New Roman"/>
        </w:rPr>
        <w:t>表</w:t>
      </w:r>
      <w:r>
        <w:rPr>
          <w:rFonts w:hint="eastAsia" w:cs="Times New Roman"/>
        </w:rPr>
        <w:t>5.8-7</w:t>
      </w:r>
      <w:r>
        <w:rPr>
          <w:rFonts w:cs="Times New Roman"/>
        </w:rPr>
        <w:t xml:space="preserve"> 氨氮污染物运移范围预测结果表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08"/>
        <w:gridCol w:w="1552"/>
        <w:gridCol w:w="1552"/>
        <w:gridCol w:w="1552"/>
        <w:gridCol w:w="1552"/>
      </w:tblGrid>
      <w:tr w14:paraId="52E13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blHeader/>
        </w:trPr>
        <w:tc>
          <w:tcPr>
            <w:tcW w:w="1268" w:type="pct"/>
            <w:noWrap/>
            <w:vAlign w:val="bottom"/>
          </w:tcPr>
          <w:p w14:paraId="30E01C28">
            <w:pPr>
              <w:spacing w:line="240" w:lineRule="auto"/>
              <w:ind w:firstLine="0" w:firstLineChars="0"/>
              <w:jc w:val="center"/>
              <w:rPr>
                <w:rFonts w:cs="Times New Roman"/>
                <w:b/>
                <w:bCs/>
                <w:szCs w:val="24"/>
              </w:rPr>
            </w:pPr>
            <w:r>
              <w:rPr>
                <w:rFonts w:hint="eastAsia" w:cs="Times New Roman"/>
                <w:b/>
                <w:bCs/>
                <w:szCs w:val="24"/>
              </w:rPr>
              <w:t>距离（m）</w:t>
            </w:r>
          </w:p>
        </w:tc>
        <w:tc>
          <w:tcPr>
            <w:tcW w:w="933" w:type="pct"/>
            <w:tcBorders>
              <w:bottom w:val="single" w:color="auto" w:sz="4" w:space="0"/>
            </w:tcBorders>
            <w:noWrap/>
            <w:vAlign w:val="bottom"/>
          </w:tcPr>
          <w:p w14:paraId="20A4FD2E">
            <w:pPr>
              <w:spacing w:line="240" w:lineRule="auto"/>
              <w:ind w:firstLine="0" w:firstLineChars="0"/>
              <w:jc w:val="center"/>
              <w:rPr>
                <w:rFonts w:cs="Times New Roman"/>
                <w:b/>
                <w:bCs/>
                <w:szCs w:val="24"/>
              </w:rPr>
            </w:pPr>
            <w:r>
              <w:rPr>
                <w:rFonts w:hint="eastAsia" w:cs="Times New Roman"/>
                <w:b/>
                <w:bCs/>
                <w:szCs w:val="24"/>
              </w:rPr>
              <w:t>100d</w:t>
            </w:r>
          </w:p>
        </w:tc>
        <w:tc>
          <w:tcPr>
            <w:tcW w:w="933" w:type="pct"/>
            <w:tcBorders>
              <w:bottom w:val="single" w:color="auto" w:sz="4" w:space="0"/>
            </w:tcBorders>
            <w:noWrap/>
            <w:vAlign w:val="bottom"/>
          </w:tcPr>
          <w:p w14:paraId="74918E99">
            <w:pPr>
              <w:spacing w:line="240" w:lineRule="auto"/>
              <w:ind w:firstLine="0" w:firstLineChars="0"/>
              <w:jc w:val="center"/>
              <w:rPr>
                <w:rFonts w:cs="Times New Roman"/>
                <w:b/>
                <w:bCs/>
                <w:szCs w:val="24"/>
              </w:rPr>
            </w:pPr>
            <w:r>
              <w:rPr>
                <w:rFonts w:hint="eastAsia" w:cs="Times New Roman"/>
                <w:b/>
                <w:bCs/>
                <w:szCs w:val="24"/>
              </w:rPr>
              <w:t>1000d</w:t>
            </w:r>
          </w:p>
        </w:tc>
        <w:tc>
          <w:tcPr>
            <w:tcW w:w="933" w:type="pct"/>
            <w:tcBorders>
              <w:bottom w:val="single" w:color="auto" w:sz="4" w:space="0"/>
            </w:tcBorders>
            <w:noWrap/>
            <w:vAlign w:val="bottom"/>
          </w:tcPr>
          <w:p w14:paraId="0F1868F7">
            <w:pPr>
              <w:spacing w:line="240" w:lineRule="auto"/>
              <w:ind w:firstLine="0" w:firstLineChars="0"/>
              <w:jc w:val="center"/>
              <w:rPr>
                <w:rFonts w:cs="Times New Roman"/>
                <w:b/>
                <w:bCs/>
                <w:szCs w:val="24"/>
              </w:rPr>
            </w:pPr>
            <w:r>
              <w:rPr>
                <w:rFonts w:hint="eastAsia" w:cs="Times New Roman"/>
                <w:b/>
                <w:bCs/>
                <w:szCs w:val="24"/>
              </w:rPr>
              <w:t>3650d</w:t>
            </w:r>
          </w:p>
        </w:tc>
        <w:tc>
          <w:tcPr>
            <w:tcW w:w="933" w:type="pct"/>
            <w:tcBorders>
              <w:bottom w:val="single" w:color="auto" w:sz="4" w:space="0"/>
            </w:tcBorders>
            <w:noWrap/>
            <w:vAlign w:val="bottom"/>
          </w:tcPr>
          <w:p w14:paraId="367F7611">
            <w:pPr>
              <w:spacing w:line="240" w:lineRule="auto"/>
              <w:ind w:firstLine="0" w:firstLineChars="0"/>
              <w:jc w:val="center"/>
              <w:rPr>
                <w:rFonts w:cs="Times New Roman"/>
                <w:b/>
                <w:bCs/>
                <w:szCs w:val="24"/>
              </w:rPr>
            </w:pPr>
            <w:r>
              <w:rPr>
                <w:rFonts w:hint="eastAsia" w:cs="Times New Roman"/>
                <w:b/>
                <w:bCs/>
                <w:szCs w:val="24"/>
              </w:rPr>
              <w:t>7300d</w:t>
            </w:r>
          </w:p>
        </w:tc>
      </w:tr>
      <w:tr w14:paraId="7CAE8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24D617D4">
            <w:pPr>
              <w:spacing w:line="240" w:lineRule="auto"/>
              <w:ind w:firstLine="0" w:firstLineChars="0"/>
              <w:jc w:val="center"/>
              <w:rPr>
                <w:rFonts w:cs="Times New Roman"/>
                <w:szCs w:val="24"/>
              </w:rPr>
            </w:pPr>
            <w:r>
              <w:rPr>
                <w:rFonts w:hint="eastAsia" w:cs="Times New Roman"/>
                <w:szCs w:val="24"/>
              </w:rPr>
              <w:t>0</w:t>
            </w:r>
          </w:p>
        </w:tc>
        <w:tc>
          <w:tcPr>
            <w:tcW w:w="933" w:type="pct"/>
            <w:noWrap/>
            <w:vAlign w:val="bottom"/>
          </w:tcPr>
          <w:p w14:paraId="445CE6E6">
            <w:pPr>
              <w:spacing w:line="240" w:lineRule="auto"/>
              <w:ind w:firstLine="0" w:firstLineChars="0"/>
              <w:jc w:val="center"/>
              <w:rPr>
                <w:rFonts w:cs="Times New Roman"/>
                <w:szCs w:val="24"/>
              </w:rPr>
            </w:pPr>
            <w:r>
              <w:rPr>
                <w:rFonts w:hint="eastAsia" w:cs="Times New Roman"/>
                <w:szCs w:val="24"/>
              </w:rPr>
              <w:t>45</w:t>
            </w:r>
          </w:p>
        </w:tc>
        <w:tc>
          <w:tcPr>
            <w:tcW w:w="933" w:type="pct"/>
            <w:noWrap/>
            <w:vAlign w:val="bottom"/>
          </w:tcPr>
          <w:p w14:paraId="3B12D8F3">
            <w:pPr>
              <w:spacing w:line="240" w:lineRule="auto"/>
              <w:ind w:firstLine="0" w:firstLineChars="0"/>
              <w:jc w:val="center"/>
              <w:rPr>
                <w:rFonts w:cs="Times New Roman"/>
                <w:szCs w:val="24"/>
              </w:rPr>
            </w:pPr>
            <w:r>
              <w:rPr>
                <w:rFonts w:hint="eastAsia" w:cs="Times New Roman"/>
                <w:szCs w:val="24"/>
              </w:rPr>
              <w:t>45</w:t>
            </w:r>
          </w:p>
        </w:tc>
        <w:tc>
          <w:tcPr>
            <w:tcW w:w="933" w:type="pct"/>
            <w:noWrap/>
            <w:vAlign w:val="bottom"/>
          </w:tcPr>
          <w:p w14:paraId="5D19C27C">
            <w:pPr>
              <w:spacing w:line="240" w:lineRule="auto"/>
              <w:ind w:firstLine="0" w:firstLineChars="0"/>
              <w:jc w:val="center"/>
              <w:rPr>
                <w:rFonts w:cs="Times New Roman"/>
                <w:szCs w:val="24"/>
              </w:rPr>
            </w:pPr>
            <w:r>
              <w:rPr>
                <w:rFonts w:hint="eastAsia" w:cs="Times New Roman"/>
                <w:szCs w:val="24"/>
              </w:rPr>
              <w:t>45</w:t>
            </w:r>
          </w:p>
        </w:tc>
        <w:tc>
          <w:tcPr>
            <w:tcW w:w="933" w:type="pct"/>
            <w:noWrap/>
            <w:vAlign w:val="bottom"/>
          </w:tcPr>
          <w:p w14:paraId="4046F194">
            <w:pPr>
              <w:spacing w:line="240" w:lineRule="auto"/>
              <w:ind w:firstLine="0" w:firstLineChars="0"/>
              <w:jc w:val="center"/>
              <w:rPr>
                <w:rFonts w:cs="Times New Roman"/>
                <w:szCs w:val="24"/>
              </w:rPr>
            </w:pPr>
            <w:r>
              <w:rPr>
                <w:rFonts w:hint="eastAsia" w:cs="Times New Roman"/>
                <w:szCs w:val="24"/>
              </w:rPr>
              <w:t>45</w:t>
            </w:r>
          </w:p>
        </w:tc>
      </w:tr>
      <w:tr w14:paraId="57DD6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4FB5F96C">
            <w:pPr>
              <w:spacing w:line="240" w:lineRule="auto"/>
              <w:ind w:firstLine="0" w:firstLineChars="0"/>
              <w:jc w:val="center"/>
              <w:rPr>
                <w:rFonts w:cs="Times New Roman"/>
                <w:szCs w:val="24"/>
              </w:rPr>
            </w:pPr>
            <w:r>
              <w:rPr>
                <w:rFonts w:hint="eastAsia" w:cs="Times New Roman"/>
                <w:szCs w:val="24"/>
              </w:rPr>
              <w:t>1</w:t>
            </w:r>
          </w:p>
        </w:tc>
        <w:tc>
          <w:tcPr>
            <w:tcW w:w="933" w:type="pct"/>
            <w:noWrap/>
            <w:vAlign w:val="center"/>
          </w:tcPr>
          <w:p w14:paraId="132E77A2">
            <w:pPr>
              <w:spacing w:line="240" w:lineRule="auto"/>
              <w:ind w:firstLine="0" w:firstLineChars="0"/>
              <w:jc w:val="center"/>
              <w:rPr>
                <w:rFonts w:cs="Times New Roman"/>
                <w:szCs w:val="24"/>
              </w:rPr>
            </w:pPr>
            <w:r>
              <w:rPr>
                <w:rFonts w:hint="eastAsia" w:cs="Times New Roman"/>
                <w:szCs w:val="24"/>
              </w:rPr>
              <w:t>35.34</w:t>
            </w:r>
          </w:p>
        </w:tc>
        <w:tc>
          <w:tcPr>
            <w:tcW w:w="933" w:type="pct"/>
            <w:noWrap/>
            <w:vAlign w:val="center"/>
          </w:tcPr>
          <w:p w14:paraId="78B03BB1">
            <w:pPr>
              <w:spacing w:line="240" w:lineRule="auto"/>
              <w:ind w:firstLine="0" w:firstLineChars="0"/>
              <w:jc w:val="center"/>
              <w:rPr>
                <w:rFonts w:cs="Times New Roman"/>
                <w:szCs w:val="24"/>
              </w:rPr>
            </w:pPr>
            <w:r>
              <w:rPr>
                <w:rFonts w:hint="eastAsia" w:cs="Times New Roman"/>
                <w:szCs w:val="24"/>
              </w:rPr>
              <w:t>43.02</w:t>
            </w:r>
          </w:p>
        </w:tc>
        <w:tc>
          <w:tcPr>
            <w:tcW w:w="933" w:type="pct"/>
            <w:noWrap/>
            <w:vAlign w:val="center"/>
          </w:tcPr>
          <w:p w14:paraId="1BEEFE33">
            <w:pPr>
              <w:spacing w:line="240" w:lineRule="auto"/>
              <w:ind w:firstLine="0" w:firstLineChars="0"/>
              <w:jc w:val="center"/>
              <w:rPr>
                <w:rFonts w:cs="Times New Roman"/>
                <w:szCs w:val="24"/>
              </w:rPr>
            </w:pPr>
            <w:r>
              <w:rPr>
                <w:rFonts w:hint="eastAsia" w:cs="Times New Roman"/>
                <w:szCs w:val="24"/>
              </w:rPr>
              <w:t>44.49</w:t>
            </w:r>
          </w:p>
        </w:tc>
        <w:tc>
          <w:tcPr>
            <w:tcW w:w="933" w:type="pct"/>
            <w:noWrap/>
            <w:vAlign w:val="center"/>
          </w:tcPr>
          <w:p w14:paraId="3A9A989C">
            <w:pPr>
              <w:spacing w:line="240" w:lineRule="auto"/>
              <w:ind w:firstLine="0" w:firstLineChars="0"/>
              <w:jc w:val="center"/>
              <w:rPr>
                <w:rFonts w:cs="Times New Roman"/>
                <w:szCs w:val="24"/>
              </w:rPr>
            </w:pPr>
            <w:r>
              <w:rPr>
                <w:rFonts w:hint="eastAsia" w:cs="Times New Roman"/>
                <w:szCs w:val="24"/>
              </w:rPr>
              <w:t>44.82</w:t>
            </w:r>
          </w:p>
        </w:tc>
      </w:tr>
      <w:tr w14:paraId="6C78D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63D29088">
            <w:pPr>
              <w:spacing w:line="240" w:lineRule="auto"/>
              <w:ind w:firstLine="0" w:firstLineChars="0"/>
              <w:jc w:val="center"/>
              <w:rPr>
                <w:rFonts w:cs="Times New Roman"/>
                <w:szCs w:val="24"/>
              </w:rPr>
            </w:pPr>
            <w:r>
              <w:rPr>
                <w:rFonts w:hint="eastAsia" w:cs="Times New Roman"/>
                <w:szCs w:val="24"/>
              </w:rPr>
              <w:t>2</w:t>
            </w:r>
          </w:p>
        </w:tc>
        <w:tc>
          <w:tcPr>
            <w:tcW w:w="933" w:type="pct"/>
            <w:noWrap/>
            <w:vAlign w:val="center"/>
          </w:tcPr>
          <w:p w14:paraId="1FFF8B06">
            <w:pPr>
              <w:spacing w:line="240" w:lineRule="auto"/>
              <w:ind w:firstLine="0" w:firstLineChars="0"/>
              <w:jc w:val="center"/>
              <w:rPr>
                <w:rFonts w:cs="Times New Roman"/>
                <w:szCs w:val="24"/>
              </w:rPr>
            </w:pPr>
            <w:r>
              <w:rPr>
                <w:rFonts w:hint="eastAsia" w:cs="Times New Roman"/>
                <w:szCs w:val="24"/>
              </w:rPr>
              <w:t>25.9</w:t>
            </w:r>
          </w:p>
        </w:tc>
        <w:tc>
          <w:tcPr>
            <w:tcW w:w="933" w:type="pct"/>
            <w:noWrap/>
            <w:vAlign w:val="center"/>
          </w:tcPr>
          <w:p w14:paraId="298521F3">
            <w:pPr>
              <w:spacing w:line="240" w:lineRule="auto"/>
              <w:ind w:firstLine="0" w:firstLineChars="0"/>
              <w:jc w:val="center"/>
              <w:rPr>
                <w:rFonts w:cs="Times New Roman"/>
                <w:szCs w:val="24"/>
              </w:rPr>
            </w:pPr>
            <w:r>
              <w:rPr>
                <w:rFonts w:hint="eastAsia" w:cs="Times New Roman"/>
                <w:szCs w:val="24"/>
              </w:rPr>
              <w:t>40.89</w:t>
            </w:r>
          </w:p>
        </w:tc>
        <w:tc>
          <w:tcPr>
            <w:tcW w:w="933" w:type="pct"/>
            <w:noWrap/>
            <w:vAlign w:val="center"/>
          </w:tcPr>
          <w:p w14:paraId="737426AA">
            <w:pPr>
              <w:spacing w:line="240" w:lineRule="auto"/>
              <w:ind w:firstLine="0" w:firstLineChars="0"/>
              <w:jc w:val="center"/>
              <w:rPr>
                <w:rFonts w:cs="Times New Roman"/>
                <w:szCs w:val="24"/>
              </w:rPr>
            </w:pPr>
            <w:r>
              <w:rPr>
                <w:rFonts w:hint="eastAsia" w:cs="Times New Roman"/>
                <w:szCs w:val="24"/>
              </w:rPr>
              <w:t>43.93</w:t>
            </w:r>
          </w:p>
        </w:tc>
        <w:tc>
          <w:tcPr>
            <w:tcW w:w="933" w:type="pct"/>
            <w:noWrap/>
            <w:vAlign w:val="center"/>
          </w:tcPr>
          <w:p w14:paraId="49FC3B39">
            <w:pPr>
              <w:spacing w:line="240" w:lineRule="auto"/>
              <w:ind w:firstLine="0" w:firstLineChars="0"/>
              <w:jc w:val="center"/>
              <w:rPr>
                <w:rFonts w:cs="Times New Roman"/>
                <w:szCs w:val="24"/>
              </w:rPr>
            </w:pPr>
            <w:r>
              <w:rPr>
                <w:rFonts w:hint="eastAsia" w:cs="Times New Roman"/>
                <w:szCs w:val="24"/>
              </w:rPr>
              <w:t>44.63</w:t>
            </w:r>
          </w:p>
        </w:tc>
      </w:tr>
      <w:tr w14:paraId="3B15A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71D4397A">
            <w:pPr>
              <w:spacing w:line="240" w:lineRule="auto"/>
              <w:ind w:firstLine="0" w:firstLineChars="0"/>
              <w:jc w:val="center"/>
              <w:rPr>
                <w:rFonts w:cs="Times New Roman"/>
                <w:szCs w:val="24"/>
              </w:rPr>
            </w:pPr>
            <w:r>
              <w:rPr>
                <w:rFonts w:hint="eastAsia" w:cs="Times New Roman"/>
                <w:szCs w:val="24"/>
              </w:rPr>
              <w:t>3</w:t>
            </w:r>
          </w:p>
        </w:tc>
        <w:tc>
          <w:tcPr>
            <w:tcW w:w="933" w:type="pct"/>
            <w:noWrap/>
            <w:vAlign w:val="center"/>
          </w:tcPr>
          <w:p w14:paraId="75ADFAD2">
            <w:pPr>
              <w:spacing w:line="240" w:lineRule="auto"/>
              <w:ind w:firstLine="0" w:firstLineChars="0"/>
              <w:jc w:val="center"/>
              <w:rPr>
                <w:rFonts w:cs="Times New Roman"/>
                <w:szCs w:val="24"/>
              </w:rPr>
            </w:pPr>
            <w:r>
              <w:rPr>
                <w:rFonts w:hint="eastAsia" w:cs="Times New Roman"/>
                <w:szCs w:val="24"/>
              </w:rPr>
              <w:t>17.61</w:t>
            </w:r>
          </w:p>
        </w:tc>
        <w:tc>
          <w:tcPr>
            <w:tcW w:w="933" w:type="pct"/>
            <w:noWrap/>
            <w:vAlign w:val="center"/>
          </w:tcPr>
          <w:p w14:paraId="2E7C5415">
            <w:pPr>
              <w:spacing w:line="240" w:lineRule="auto"/>
              <w:ind w:firstLine="0" w:firstLineChars="0"/>
              <w:jc w:val="center"/>
              <w:rPr>
                <w:rFonts w:cs="Times New Roman"/>
                <w:szCs w:val="24"/>
              </w:rPr>
            </w:pPr>
            <w:r>
              <w:rPr>
                <w:rFonts w:hint="eastAsia" w:cs="Times New Roman"/>
                <w:szCs w:val="24"/>
              </w:rPr>
              <w:t>38.62</w:t>
            </w:r>
          </w:p>
        </w:tc>
        <w:tc>
          <w:tcPr>
            <w:tcW w:w="933" w:type="pct"/>
            <w:noWrap/>
            <w:vAlign w:val="center"/>
          </w:tcPr>
          <w:p w14:paraId="72B284F7">
            <w:pPr>
              <w:spacing w:line="240" w:lineRule="auto"/>
              <w:ind w:firstLine="0" w:firstLineChars="0"/>
              <w:jc w:val="center"/>
              <w:rPr>
                <w:rFonts w:cs="Times New Roman"/>
                <w:szCs w:val="24"/>
              </w:rPr>
            </w:pPr>
            <w:r>
              <w:rPr>
                <w:rFonts w:hint="eastAsia" w:cs="Times New Roman"/>
                <w:szCs w:val="24"/>
              </w:rPr>
              <w:t>43.32</w:t>
            </w:r>
          </w:p>
        </w:tc>
        <w:tc>
          <w:tcPr>
            <w:tcW w:w="933" w:type="pct"/>
            <w:noWrap/>
            <w:vAlign w:val="center"/>
          </w:tcPr>
          <w:p w14:paraId="45A3E1AE">
            <w:pPr>
              <w:spacing w:line="240" w:lineRule="auto"/>
              <w:ind w:firstLine="0" w:firstLineChars="0"/>
              <w:jc w:val="center"/>
              <w:rPr>
                <w:rFonts w:cs="Times New Roman"/>
                <w:szCs w:val="24"/>
              </w:rPr>
            </w:pPr>
            <w:r>
              <w:rPr>
                <w:rFonts w:hint="eastAsia" w:cs="Times New Roman"/>
                <w:szCs w:val="24"/>
              </w:rPr>
              <w:t>44.41</w:t>
            </w:r>
          </w:p>
        </w:tc>
      </w:tr>
      <w:tr w14:paraId="49602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484390BE">
            <w:pPr>
              <w:spacing w:line="240" w:lineRule="auto"/>
              <w:ind w:firstLine="0" w:firstLineChars="0"/>
              <w:jc w:val="center"/>
              <w:rPr>
                <w:rFonts w:cs="Times New Roman"/>
                <w:szCs w:val="24"/>
              </w:rPr>
            </w:pPr>
            <w:r>
              <w:rPr>
                <w:rFonts w:hint="eastAsia" w:cs="Times New Roman"/>
                <w:szCs w:val="24"/>
              </w:rPr>
              <w:t>5</w:t>
            </w:r>
          </w:p>
        </w:tc>
        <w:tc>
          <w:tcPr>
            <w:tcW w:w="933" w:type="pct"/>
            <w:noWrap/>
            <w:vAlign w:val="center"/>
          </w:tcPr>
          <w:p w14:paraId="631492D3">
            <w:pPr>
              <w:spacing w:line="240" w:lineRule="auto"/>
              <w:ind w:firstLine="0" w:firstLineChars="0"/>
              <w:jc w:val="center"/>
              <w:rPr>
                <w:rFonts w:cs="Times New Roman"/>
                <w:szCs w:val="24"/>
              </w:rPr>
            </w:pPr>
            <w:r>
              <w:rPr>
                <w:rFonts w:hint="eastAsia" w:cs="Times New Roman"/>
                <w:szCs w:val="24"/>
              </w:rPr>
              <w:t>6.4</w:t>
            </w:r>
          </w:p>
        </w:tc>
        <w:tc>
          <w:tcPr>
            <w:tcW w:w="933" w:type="pct"/>
            <w:noWrap/>
            <w:vAlign w:val="center"/>
          </w:tcPr>
          <w:p w14:paraId="2751A5A2">
            <w:pPr>
              <w:spacing w:line="240" w:lineRule="auto"/>
              <w:ind w:firstLine="0" w:firstLineChars="0"/>
              <w:jc w:val="center"/>
              <w:rPr>
                <w:rFonts w:cs="Times New Roman"/>
                <w:szCs w:val="24"/>
              </w:rPr>
            </w:pPr>
            <w:r>
              <w:rPr>
                <w:rFonts w:hint="eastAsia" w:cs="Times New Roman"/>
                <w:szCs w:val="24"/>
              </w:rPr>
              <w:t>33.8</w:t>
            </w:r>
          </w:p>
        </w:tc>
        <w:tc>
          <w:tcPr>
            <w:tcW w:w="933" w:type="pct"/>
            <w:noWrap/>
            <w:vAlign w:val="center"/>
          </w:tcPr>
          <w:p w14:paraId="024C10CC">
            <w:pPr>
              <w:spacing w:line="240" w:lineRule="auto"/>
              <w:ind w:firstLine="0" w:firstLineChars="0"/>
              <w:jc w:val="center"/>
              <w:rPr>
                <w:rFonts w:cs="Times New Roman"/>
                <w:szCs w:val="24"/>
              </w:rPr>
            </w:pPr>
            <w:r>
              <w:rPr>
                <w:rFonts w:hint="eastAsia" w:cs="Times New Roman"/>
                <w:szCs w:val="24"/>
              </w:rPr>
              <w:t>41.97</w:t>
            </w:r>
          </w:p>
        </w:tc>
        <w:tc>
          <w:tcPr>
            <w:tcW w:w="933" w:type="pct"/>
            <w:noWrap/>
            <w:vAlign w:val="center"/>
          </w:tcPr>
          <w:p w14:paraId="3B2D0686">
            <w:pPr>
              <w:spacing w:line="240" w:lineRule="auto"/>
              <w:ind w:firstLine="0" w:firstLineChars="0"/>
              <w:jc w:val="center"/>
              <w:rPr>
                <w:rFonts w:cs="Times New Roman"/>
                <w:szCs w:val="24"/>
              </w:rPr>
            </w:pPr>
            <w:r>
              <w:rPr>
                <w:rFonts w:hint="eastAsia" w:cs="Times New Roman"/>
                <w:szCs w:val="24"/>
              </w:rPr>
              <w:t>43.94</w:t>
            </w:r>
          </w:p>
        </w:tc>
      </w:tr>
      <w:tr w14:paraId="40E61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08CB30A1">
            <w:pPr>
              <w:spacing w:line="240" w:lineRule="auto"/>
              <w:ind w:firstLine="0" w:firstLineChars="0"/>
              <w:jc w:val="center"/>
              <w:rPr>
                <w:rFonts w:cs="Times New Roman"/>
                <w:szCs w:val="24"/>
              </w:rPr>
            </w:pPr>
            <w:r>
              <w:rPr>
                <w:rFonts w:hint="eastAsia" w:cs="Times New Roman"/>
                <w:szCs w:val="24"/>
              </w:rPr>
              <w:t>7</w:t>
            </w:r>
          </w:p>
        </w:tc>
        <w:tc>
          <w:tcPr>
            <w:tcW w:w="933" w:type="pct"/>
            <w:noWrap/>
            <w:vAlign w:val="center"/>
          </w:tcPr>
          <w:p w14:paraId="76155711">
            <w:pPr>
              <w:spacing w:line="240" w:lineRule="auto"/>
              <w:ind w:firstLine="0" w:firstLineChars="0"/>
              <w:jc w:val="center"/>
              <w:rPr>
                <w:rFonts w:cs="Times New Roman"/>
                <w:szCs w:val="24"/>
              </w:rPr>
            </w:pPr>
            <w:r>
              <w:rPr>
                <w:rFonts w:hint="eastAsia" w:cs="Times New Roman"/>
                <w:szCs w:val="24"/>
              </w:rPr>
              <w:t>1.65</w:t>
            </w:r>
          </w:p>
        </w:tc>
        <w:tc>
          <w:tcPr>
            <w:tcW w:w="933" w:type="pct"/>
            <w:noWrap/>
            <w:vAlign w:val="center"/>
          </w:tcPr>
          <w:p w14:paraId="2BBA2B6D">
            <w:pPr>
              <w:spacing w:line="240" w:lineRule="auto"/>
              <w:ind w:firstLine="0" w:firstLineChars="0"/>
              <w:jc w:val="center"/>
              <w:rPr>
                <w:rFonts w:cs="Times New Roman"/>
                <w:szCs w:val="24"/>
              </w:rPr>
            </w:pPr>
            <w:r>
              <w:rPr>
                <w:rFonts w:hint="eastAsia" w:cs="Times New Roman"/>
                <w:szCs w:val="24"/>
              </w:rPr>
              <w:t>28.77</w:t>
            </w:r>
          </w:p>
        </w:tc>
        <w:tc>
          <w:tcPr>
            <w:tcW w:w="933" w:type="pct"/>
            <w:noWrap/>
            <w:vAlign w:val="center"/>
          </w:tcPr>
          <w:p w14:paraId="2020BF01">
            <w:pPr>
              <w:spacing w:line="240" w:lineRule="auto"/>
              <w:ind w:firstLine="0" w:firstLineChars="0"/>
              <w:jc w:val="center"/>
              <w:rPr>
                <w:rFonts w:cs="Times New Roman"/>
                <w:szCs w:val="24"/>
              </w:rPr>
            </w:pPr>
            <w:r>
              <w:rPr>
                <w:rFonts w:hint="eastAsia" w:cs="Times New Roman"/>
                <w:szCs w:val="24"/>
              </w:rPr>
              <w:t>40.44</w:t>
            </w:r>
          </w:p>
        </w:tc>
        <w:tc>
          <w:tcPr>
            <w:tcW w:w="933" w:type="pct"/>
            <w:noWrap/>
            <w:vAlign w:val="center"/>
          </w:tcPr>
          <w:p w14:paraId="234C4B01">
            <w:pPr>
              <w:spacing w:line="240" w:lineRule="auto"/>
              <w:ind w:firstLine="0" w:firstLineChars="0"/>
              <w:jc w:val="center"/>
              <w:rPr>
                <w:rFonts w:cs="Times New Roman"/>
                <w:szCs w:val="24"/>
              </w:rPr>
            </w:pPr>
            <w:r>
              <w:rPr>
                <w:rFonts w:hint="eastAsia" w:cs="Times New Roman"/>
                <w:szCs w:val="24"/>
              </w:rPr>
              <w:t>43.39</w:t>
            </w:r>
          </w:p>
        </w:tc>
      </w:tr>
      <w:tr w14:paraId="0B0A2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57003A04">
            <w:pPr>
              <w:spacing w:line="240" w:lineRule="auto"/>
              <w:ind w:firstLine="0" w:firstLineChars="0"/>
              <w:jc w:val="center"/>
              <w:rPr>
                <w:rFonts w:cs="Times New Roman"/>
                <w:szCs w:val="24"/>
              </w:rPr>
            </w:pPr>
            <w:r>
              <w:rPr>
                <w:rFonts w:hint="eastAsia" w:cs="Times New Roman"/>
                <w:szCs w:val="24"/>
              </w:rPr>
              <w:t>10</w:t>
            </w:r>
          </w:p>
        </w:tc>
        <w:tc>
          <w:tcPr>
            <w:tcW w:w="933" w:type="pct"/>
            <w:noWrap/>
            <w:vAlign w:val="center"/>
          </w:tcPr>
          <w:p w14:paraId="3EBE9A1F">
            <w:pPr>
              <w:spacing w:line="240" w:lineRule="auto"/>
              <w:ind w:firstLine="0" w:firstLineChars="0"/>
              <w:jc w:val="center"/>
              <w:rPr>
                <w:rFonts w:cs="Times New Roman"/>
                <w:szCs w:val="24"/>
              </w:rPr>
            </w:pPr>
            <w:r>
              <w:rPr>
                <w:rFonts w:hint="eastAsia" w:cs="Times New Roman"/>
                <w:szCs w:val="24"/>
              </w:rPr>
              <w:t>0.11</w:t>
            </w:r>
          </w:p>
        </w:tc>
        <w:tc>
          <w:tcPr>
            <w:tcW w:w="933" w:type="pct"/>
            <w:noWrap/>
            <w:vAlign w:val="center"/>
          </w:tcPr>
          <w:p w14:paraId="312B7BF7">
            <w:pPr>
              <w:spacing w:line="240" w:lineRule="auto"/>
              <w:ind w:firstLine="0" w:firstLineChars="0"/>
              <w:jc w:val="center"/>
              <w:rPr>
                <w:rFonts w:cs="Times New Roman"/>
                <w:szCs w:val="24"/>
              </w:rPr>
            </w:pPr>
            <w:r>
              <w:rPr>
                <w:rFonts w:hint="eastAsia" w:cs="Times New Roman"/>
                <w:szCs w:val="24"/>
              </w:rPr>
              <w:t>21.4</w:t>
            </w:r>
          </w:p>
        </w:tc>
        <w:tc>
          <w:tcPr>
            <w:tcW w:w="933" w:type="pct"/>
            <w:noWrap/>
            <w:vAlign w:val="center"/>
          </w:tcPr>
          <w:p w14:paraId="6C3F915D">
            <w:pPr>
              <w:spacing w:line="240" w:lineRule="auto"/>
              <w:ind w:firstLine="0" w:firstLineChars="0"/>
              <w:jc w:val="center"/>
              <w:rPr>
                <w:rFonts w:cs="Times New Roman"/>
                <w:szCs w:val="24"/>
              </w:rPr>
            </w:pPr>
            <w:r>
              <w:rPr>
                <w:rFonts w:hint="eastAsia" w:cs="Times New Roman"/>
                <w:szCs w:val="24"/>
              </w:rPr>
              <w:t>37.83</w:t>
            </w:r>
          </w:p>
        </w:tc>
        <w:tc>
          <w:tcPr>
            <w:tcW w:w="933" w:type="pct"/>
            <w:noWrap/>
            <w:vAlign w:val="center"/>
          </w:tcPr>
          <w:p w14:paraId="5DB8866F">
            <w:pPr>
              <w:spacing w:line="240" w:lineRule="auto"/>
              <w:ind w:firstLine="0" w:firstLineChars="0"/>
              <w:jc w:val="center"/>
              <w:rPr>
                <w:rFonts w:cs="Times New Roman"/>
                <w:szCs w:val="24"/>
              </w:rPr>
            </w:pPr>
            <w:r>
              <w:rPr>
                <w:rFonts w:hint="eastAsia" w:cs="Times New Roman"/>
                <w:szCs w:val="24"/>
              </w:rPr>
              <w:t>42.41</w:t>
            </w:r>
          </w:p>
        </w:tc>
      </w:tr>
      <w:tr w14:paraId="3AC52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20ACD72C">
            <w:pPr>
              <w:spacing w:line="240" w:lineRule="auto"/>
              <w:ind w:firstLine="0" w:firstLineChars="0"/>
              <w:jc w:val="center"/>
              <w:rPr>
                <w:rFonts w:cs="Times New Roman"/>
                <w:szCs w:val="24"/>
              </w:rPr>
            </w:pPr>
            <w:r>
              <w:rPr>
                <w:rFonts w:hint="eastAsia" w:cs="Times New Roman"/>
                <w:szCs w:val="24"/>
              </w:rPr>
              <w:t>15</w:t>
            </w:r>
          </w:p>
        </w:tc>
        <w:tc>
          <w:tcPr>
            <w:tcW w:w="933" w:type="pct"/>
            <w:noWrap/>
            <w:vAlign w:val="center"/>
          </w:tcPr>
          <w:p w14:paraId="21C77B4B">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7CD1AA95">
            <w:pPr>
              <w:spacing w:line="240" w:lineRule="auto"/>
              <w:ind w:firstLine="0" w:firstLineChars="0"/>
              <w:jc w:val="center"/>
              <w:rPr>
                <w:rFonts w:cs="Times New Roman"/>
                <w:szCs w:val="24"/>
              </w:rPr>
            </w:pPr>
            <w:r>
              <w:rPr>
                <w:rFonts w:hint="eastAsia" w:cs="Times New Roman"/>
                <w:szCs w:val="24"/>
              </w:rPr>
              <w:t>11.18</w:t>
            </w:r>
          </w:p>
        </w:tc>
        <w:tc>
          <w:tcPr>
            <w:tcW w:w="933" w:type="pct"/>
            <w:noWrap/>
            <w:vAlign w:val="center"/>
          </w:tcPr>
          <w:p w14:paraId="128A1B21">
            <w:pPr>
              <w:spacing w:line="240" w:lineRule="auto"/>
              <w:ind w:firstLine="0" w:firstLineChars="0"/>
              <w:jc w:val="center"/>
              <w:rPr>
                <w:rFonts w:cs="Times New Roman"/>
                <w:szCs w:val="24"/>
              </w:rPr>
            </w:pPr>
            <w:r>
              <w:rPr>
                <w:rFonts w:hint="eastAsia" w:cs="Times New Roman"/>
                <w:szCs w:val="24"/>
              </w:rPr>
              <w:t>32.78</w:t>
            </w:r>
          </w:p>
        </w:tc>
        <w:tc>
          <w:tcPr>
            <w:tcW w:w="933" w:type="pct"/>
            <w:noWrap/>
            <w:vAlign w:val="center"/>
          </w:tcPr>
          <w:p w14:paraId="573F8459">
            <w:pPr>
              <w:spacing w:line="240" w:lineRule="auto"/>
              <w:ind w:firstLine="0" w:firstLineChars="0"/>
              <w:jc w:val="center"/>
              <w:rPr>
                <w:rFonts w:cs="Times New Roman"/>
                <w:szCs w:val="24"/>
              </w:rPr>
            </w:pPr>
            <w:r>
              <w:rPr>
                <w:rFonts w:hint="eastAsia" w:cs="Times New Roman"/>
                <w:szCs w:val="24"/>
              </w:rPr>
              <w:t>40.39</w:t>
            </w:r>
          </w:p>
        </w:tc>
      </w:tr>
      <w:tr w14:paraId="0A90A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39BB8A21">
            <w:pPr>
              <w:spacing w:line="240" w:lineRule="auto"/>
              <w:ind w:firstLine="0" w:firstLineChars="0"/>
              <w:jc w:val="center"/>
              <w:rPr>
                <w:rFonts w:cs="Times New Roman"/>
                <w:szCs w:val="24"/>
              </w:rPr>
            </w:pPr>
            <w:r>
              <w:rPr>
                <w:rFonts w:hint="eastAsia" w:cs="Times New Roman"/>
                <w:szCs w:val="24"/>
              </w:rPr>
              <w:t>20</w:t>
            </w:r>
          </w:p>
        </w:tc>
        <w:tc>
          <w:tcPr>
            <w:tcW w:w="933" w:type="pct"/>
            <w:noWrap/>
            <w:vAlign w:val="center"/>
          </w:tcPr>
          <w:p w14:paraId="6AAEE4E9">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52909F14">
            <w:pPr>
              <w:spacing w:line="240" w:lineRule="auto"/>
              <w:ind w:firstLine="0" w:firstLineChars="0"/>
              <w:jc w:val="center"/>
              <w:rPr>
                <w:rFonts w:cs="Times New Roman"/>
                <w:szCs w:val="24"/>
              </w:rPr>
            </w:pPr>
            <w:r>
              <w:rPr>
                <w:rFonts w:hint="eastAsia" w:cs="Times New Roman"/>
                <w:szCs w:val="24"/>
              </w:rPr>
              <w:t>4.75</w:t>
            </w:r>
          </w:p>
        </w:tc>
        <w:tc>
          <w:tcPr>
            <w:tcW w:w="933" w:type="pct"/>
            <w:noWrap/>
            <w:vAlign w:val="center"/>
          </w:tcPr>
          <w:p w14:paraId="11339357">
            <w:pPr>
              <w:spacing w:line="240" w:lineRule="auto"/>
              <w:ind w:firstLine="0" w:firstLineChars="0"/>
              <w:jc w:val="center"/>
              <w:rPr>
                <w:rFonts w:cs="Times New Roman"/>
                <w:szCs w:val="24"/>
              </w:rPr>
            </w:pPr>
            <w:r>
              <w:rPr>
                <w:rFonts w:hint="eastAsia" w:cs="Times New Roman"/>
                <w:szCs w:val="24"/>
              </w:rPr>
              <w:t>27.17</w:t>
            </w:r>
          </w:p>
        </w:tc>
        <w:tc>
          <w:tcPr>
            <w:tcW w:w="933" w:type="pct"/>
            <w:noWrap/>
            <w:vAlign w:val="center"/>
          </w:tcPr>
          <w:p w14:paraId="02A8389E">
            <w:pPr>
              <w:spacing w:line="240" w:lineRule="auto"/>
              <w:ind w:firstLine="0" w:firstLineChars="0"/>
              <w:jc w:val="center"/>
              <w:rPr>
                <w:rFonts w:cs="Times New Roman"/>
                <w:szCs w:val="24"/>
              </w:rPr>
            </w:pPr>
            <w:r>
              <w:rPr>
                <w:rFonts w:hint="eastAsia" w:cs="Times New Roman"/>
                <w:szCs w:val="24"/>
              </w:rPr>
              <w:t>37.87</w:t>
            </w:r>
          </w:p>
        </w:tc>
      </w:tr>
      <w:tr w14:paraId="55AF7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6A84B867">
            <w:pPr>
              <w:spacing w:line="240" w:lineRule="auto"/>
              <w:ind w:firstLine="0" w:firstLineChars="0"/>
              <w:jc w:val="center"/>
              <w:rPr>
                <w:rFonts w:cs="Times New Roman"/>
                <w:szCs w:val="24"/>
              </w:rPr>
            </w:pPr>
            <w:r>
              <w:rPr>
                <w:rFonts w:hint="eastAsia" w:cs="Times New Roman"/>
                <w:szCs w:val="24"/>
              </w:rPr>
              <w:t>30</w:t>
            </w:r>
          </w:p>
        </w:tc>
        <w:tc>
          <w:tcPr>
            <w:tcW w:w="933" w:type="pct"/>
            <w:noWrap/>
            <w:vAlign w:val="center"/>
          </w:tcPr>
          <w:p w14:paraId="00A34691">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12D6D63C">
            <w:pPr>
              <w:spacing w:line="240" w:lineRule="auto"/>
              <w:ind w:firstLine="0" w:firstLineChars="0"/>
              <w:jc w:val="center"/>
              <w:rPr>
                <w:rFonts w:cs="Times New Roman"/>
                <w:szCs w:val="24"/>
              </w:rPr>
            </w:pPr>
            <w:r>
              <w:rPr>
                <w:rFonts w:hint="eastAsia" w:cs="Times New Roman"/>
                <w:szCs w:val="24"/>
              </w:rPr>
              <w:t>0.44</w:t>
            </w:r>
          </w:p>
        </w:tc>
        <w:tc>
          <w:tcPr>
            <w:tcW w:w="933" w:type="pct"/>
            <w:noWrap/>
            <w:vAlign w:val="center"/>
          </w:tcPr>
          <w:p w14:paraId="56E5800F">
            <w:pPr>
              <w:spacing w:line="240" w:lineRule="auto"/>
              <w:ind w:firstLine="0" w:firstLineChars="0"/>
              <w:jc w:val="center"/>
              <w:rPr>
                <w:rFonts w:cs="Times New Roman"/>
                <w:szCs w:val="24"/>
              </w:rPr>
            </w:pPr>
            <w:r>
              <w:rPr>
                <w:rFonts w:hint="eastAsia" w:cs="Times New Roman"/>
                <w:szCs w:val="24"/>
              </w:rPr>
              <w:t>16.1</w:t>
            </w:r>
          </w:p>
        </w:tc>
        <w:tc>
          <w:tcPr>
            <w:tcW w:w="933" w:type="pct"/>
            <w:noWrap/>
            <w:vAlign w:val="center"/>
          </w:tcPr>
          <w:p w14:paraId="3D6E90A2">
            <w:pPr>
              <w:spacing w:line="240" w:lineRule="auto"/>
              <w:ind w:firstLine="0" w:firstLineChars="0"/>
              <w:jc w:val="center"/>
              <w:rPr>
                <w:rFonts w:cs="Times New Roman"/>
                <w:szCs w:val="24"/>
              </w:rPr>
            </w:pPr>
            <w:r>
              <w:rPr>
                <w:rFonts w:hint="eastAsia" w:cs="Times New Roman"/>
                <w:szCs w:val="24"/>
              </w:rPr>
              <w:t>31.49</w:t>
            </w:r>
          </w:p>
        </w:tc>
      </w:tr>
      <w:tr w14:paraId="2933B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484653AB">
            <w:pPr>
              <w:spacing w:line="240" w:lineRule="auto"/>
              <w:ind w:firstLine="0" w:firstLineChars="0"/>
              <w:jc w:val="center"/>
              <w:rPr>
                <w:rFonts w:cs="Times New Roman"/>
                <w:szCs w:val="24"/>
              </w:rPr>
            </w:pPr>
            <w:r>
              <w:rPr>
                <w:rFonts w:hint="eastAsia" w:cs="Times New Roman"/>
                <w:szCs w:val="24"/>
              </w:rPr>
              <w:t>40</w:t>
            </w:r>
          </w:p>
        </w:tc>
        <w:tc>
          <w:tcPr>
            <w:tcW w:w="933" w:type="pct"/>
            <w:noWrap/>
            <w:vAlign w:val="center"/>
          </w:tcPr>
          <w:p w14:paraId="4D04A5AE">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4654E6E4">
            <w:pPr>
              <w:spacing w:line="240" w:lineRule="auto"/>
              <w:ind w:firstLine="0" w:firstLineChars="0"/>
              <w:jc w:val="center"/>
              <w:rPr>
                <w:rFonts w:cs="Times New Roman"/>
                <w:szCs w:val="24"/>
              </w:rPr>
            </w:pPr>
            <w:r>
              <w:rPr>
                <w:rFonts w:hint="eastAsia" w:cs="Times New Roman"/>
                <w:szCs w:val="24"/>
              </w:rPr>
              <w:t>0.02</w:t>
            </w:r>
          </w:p>
        </w:tc>
        <w:tc>
          <w:tcPr>
            <w:tcW w:w="933" w:type="pct"/>
            <w:noWrap/>
            <w:vAlign w:val="center"/>
          </w:tcPr>
          <w:p w14:paraId="422A9B22">
            <w:pPr>
              <w:spacing w:line="240" w:lineRule="auto"/>
              <w:ind w:firstLine="0" w:firstLineChars="0"/>
              <w:jc w:val="center"/>
              <w:rPr>
                <w:rFonts w:cs="Times New Roman"/>
                <w:szCs w:val="24"/>
              </w:rPr>
            </w:pPr>
            <w:r>
              <w:rPr>
                <w:rFonts w:hint="eastAsia" w:cs="Times New Roman"/>
                <w:szCs w:val="24"/>
              </w:rPr>
              <w:t>7.68</w:t>
            </w:r>
          </w:p>
        </w:tc>
        <w:tc>
          <w:tcPr>
            <w:tcW w:w="933" w:type="pct"/>
            <w:noWrap/>
            <w:vAlign w:val="center"/>
          </w:tcPr>
          <w:p w14:paraId="778E4D2D">
            <w:pPr>
              <w:spacing w:line="240" w:lineRule="auto"/>
              <w:ind w:firstLine="0" w:firstLineChars="0"/>
              <w:jc w:val="center"/>
              <w:rPr>
                <w:rFonts w:cs="Times New Roman"/>
                <w:szCs w:val="24"/>
              </w:rPr>
            </w:pPr>
            <w:r>
              <w:rPr>
                <w:rFonts w:hint="eastAsia" w:cs="Times New Roman"/>
                <w:szCs w:val="24"/>
              </w:rPr>
              <w:t>24.04</w:t>
            </w:r>
          </w:p>
        </w:tc>
      </w:tr>
      <w:tr w14:paraId="7AD23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3F381801">
            <w:pPr>
              <w:spacing w:line="240" w:lineRule="auto"/>
              <w:ind w:firstLine="0" w:firstLineChars="0"/>
              <w:jc w:val="center"/>
              <w:rPr>
                <w:rFonts w:cs="Times New Roman"/>
                <w:szCs w:val="24"/>
              </w:rPr>
            </w:pPr>
            <w:r>
              <w:rPr>
                <w:rFonts w:hint="eastAsia" w:cs="Times New Roman"/>
                <w:szCs w:val="24"/>
              </w:rPr>
              <w:t>50</w:t>
            </w:r>
          </w:p>
        </w:tc>
        <w:tc>
          <w:tcPr>
            <w:tcW w:w="933" w:type="pct"/>
            <w:noWrap/>
            <w:vAlign w:val="center"/>
          </w:tcPr>
          <w:p w14:paraId="65FDA9BD">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4F65AD86">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0ABEBCCF">
            <w:pPr>
              <w:spacing w:line="240" w:lineRule="auto"/>
              <w:ind w:firstLine="0" w:firstLineChars="0"/>
              <w:jc w:val="center"/>
              <w:rPr>
                <w:rFonts w:cs="Times New Roman"/>
                <w:szCs w:val="24"/>
              </w:rPr>
            </w:pPr>
            <w:r>
              <w:rPr>
                <w:rFonts w:hint="eastAsia" w:cs="Times New Roman"/>
                <w:szCs w:val="24"/>
              </w:rPr>
              <w:t>2.91</w:t>
            </w:r>
          </w:p>
        </w:tc>
        <w:tc>
          <w:tcPr>
            <w:tcW w:w="933" w:type="pct"/>
            <w:noWrap/>
            <w:vAlign w:val="center"/>
          </w:tcPr>
          <w:p w14:paraId="525DFD7B">
            <w:pPr>
              <w:spacing w:line="240" w:lineRule="auto"/>
              <w:ind w:firstLine="0" w:firstLineChars="0"/>
              <w:jc w:val="center"/>
              <w:rPr>
                <w:rFonts w:cs="Times New Roman"/>
                <w:szCs w:val="24"/>
              </w:rPr>
            </w:pPr>
            <w:r>
              <w:rPr>
                <w:rFonts w:hint="eastAsia" w:cs="Times New Roman"/>
                <w:szCs w:val="24"/>
              </w:rPr>
              <w:t>16.65</w:t>
            </w:r>
          </w:p>
        </w:tc>
      </w:tr>
      <w:tr w14:paraId="0EA44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6EC53C33">
            <w:pPr>
              <w:spacing w:line="240" w:lineRule="auto"/>
              <w:ind w:firstLine="0" w:firstLineChars="0"/>
              <w:jc w:val="center"/>
              <w:rPr>
                <w:rFonts w:cs="Times New Roman"/>
                <w:szCs w:val="24"/>
              </w:rPr>
            </w:pPr>
            <w:r>
              <w:rPr>
                <w:rFonts w:hint="eastAsia" w:cs="Times New Roman"/>
                <w:szCs w:val="24"/>
              </w:rPr>
              <w:t>60</w:t>
            </w:r>
          </w:p>
        </w:tc>
        <w:tc>
          <w:tcPr>
            <w:tcW w:w="933" w:type="pct"/>
            <w:noWrap/>
            <w:vAlign w:val="center"/>
          </w:tcPr>
          <w:p w14:paraId="1FA36797">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5AC9D775">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0C5B87E9">
            <w:pPr>
              <w:spacing w:line="240" w:lineRule="auto"/>
              <w:ind w:firstLine="0" w:firstLineChars="0"/>
              <w:jc w:val="center"/>
              <w:rPr>
                <w:rFonts w:cs="Times New Roman"/>
                <w:szCs w:val="24"/>
              </w:rPr>
            </w:pPr>
            <w:r>
              <w:rPr>
                <w:rFonts w:hint="eastAsia" w:cs="Times New Roman"/>
                <w:szCs w:val="24"/>
              </w:rPr>
              <w:t>0.86</w:t>
            </w:r>
          </w:p>
        </w:tc>
        <w:tc>
          <w:tcPr>
            <w:tcW w:w="933" w:type="pct"/>
            <w:noWrap/>
            <w:vAlign w:val="center"/>
          </w:tcPr>
          <w:p w14:paraId="2E79B868">
            <w:pPr>
              <w:spacing w:line="240" w:lineRule="auto"/>
              <w:ind w:firstLine="0" w:firstLineChars="0"/>
              <w:jc w:val="center"/>
              <w:rPr>
                <w:rFonts w:cs="Times New Roman"/>
                <w:szCs w:val="24"/>
              </w:rPr>
            </w:pPr>
            <w:r>
              <w:rPr>
                <w:rFonts w:hint="eastAsia" w:cs="Times New Roman"/>
                <w:szCs w:val="24"/>
              </w:rPr>
              <w:t>10.38</w:t>
            </w:r>
          </w:p>
        </w:tc>
      </w:tr>
      <w:tr w14:paraId="0C196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4E739AE9">
            <w:pPr>
              <w:spacing w:line="240" w:lineRule="auto"/>
              <w:ind w:firstLine="0" w:firstLineChars="0"/>
              <w:jc w:val="center"/>
              <w:rPr>
                <w:rFonts w:cs="Times New Roman"/>
                <w:szCs w:val="24"/>
              </w:rPr>
            </w:pPr>
            <w:r>
              <w:rPr>
                <w:rFonts w:hint="eastAsia" w:cs="Times New Roman"/>
                <w:szCs w:val="24"/>
              </w:rPr>
              <w:t>70</w:t>
            </w:r>
          </w:p>
        </w:tc>
        <w:tc>
          <w:tcPr>
            <w:tcW w:w="933" w:type="pct"/>
            <w:noWrap/>
            <w:vAlign w:val="center"/>
          </w:tcPr>
          <w:p w14:paraId="440AAA92">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683E7948">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3FBF9B9E">
            <w:pPr>
              <w:spacing w:line="240" w:lineRule="auto"/>
              <w:ind w:firstLine="0" w:firstLineChars="0"/>
              <w:jc w:val="center"/>
              <w:rPr>
                <w:rFonts w:cs="Times New Roman"/>
                <w:szCs w:val="24"/>
              </w:rPr>
            </w:pPr>
            <w:r>
              <w:rPr>
                <w:rFonts w:hint="eastAsia" w:cs="Times New Roman"/>
                <w:szCs w:val="24"/>
              </w:rPr>
              <w:t>0.2</w:t>
            </w:r>
          </w:p>
        </w:tc>
        <w:tc>
          <w:tcPr>
            <w:tcW w:w="933" w:type="pct"/>
            <w:noWrap/>
            <w:vAlign w:val="center"/>
          </w:tcPr>
          <w:p w14:paraId="34C1DBC8">
            <w:pPr>
              <w:spacing w:line="240" w:lineRule="auto"/>
              <w:ind w:firstLine="0" w:firstLineChars="0"/>
              <w:jc w:val="center"/>
              <w:rPr>
                <w:rFonts w:cs="Times New Roman"/>
                <w:szCs w:val="24"/>
              </w:rPr>
            </w:pPr>
            <w:r>
              <w:rPr>
                <w:rFonts w:hint="eastAsia" w:cs="Times New Roman"/>
                <w:szCs w:val="24"/>
              </w:rPr>
              <w:t>5.78</w:t>
            </w:r>
          </w:p>
        </w:tc>
      </w:tr>
      <w:tr w14:paraId="14FB8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268" w:type="pct"/>
            <w:noWrap/>
            <w:vAlign w:val="bottom"/>
          </w:tcPr>
          <w:p w14:paraId="460E67AD">
            <w:pPr>
              <w:spacing w:line="240" w:lineRule="auto"/>
              <w:ind w:firstLine="0" w:firstLineChars="0"/>
              <w:jc w:val="center"/>
              <w:rPr>
                <w:rFonts w:cs="Times New Roman"/>
                <w:szCs w:val="24"/>
              </w:rPr>
            </w:pPr>
            <w:r>
              <w:rPr>
                <w:rFonts w:hint="eastAsia" w:cs="Times New Roman"/>
                <w:szCs w:val="24"/>
              </w:rPr>
              <w:t>80</w:t>
            </w:r>
          </w:p>
        </w:tc>
        <w:tc>
          <w:tcPr>
            <w:tcW w:w="933" w:type="pct"/>
            <w:noWrap/>
            <w:vAlign w:val="center"/>
          </w:tcPr>
          <w:p w14:paraId="31AC41CC">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386502CE">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16296E8F">
            <w:pPr>
              <w:spacing w:line="240" w:lineRule="auto"/>
              <w:ind w:firstLine="0" w:firstLineChars="0"/>
              <w:jc w:val="center"/>
              <w:rPr>
                <w:rFonts w:cs="Times New Roman"/>
                <w:szCs w:val="24"/>
              </w:rPr>
            </w:pPr>
            <w:r>
              <w:rPr>
                <w:rFonts w:hint="eastAsia" w:cs="Times New Roman"/>
                <w:szCs w:val="24"/>
              </w:rPr>
              <w:t>0.04</w:t>
            </w:r>
          </w:p>
        </w:tc>
        <w:tc>
          <w:tcPr>
            <w:tcW w:w="933" w:type="pct"/>
            <w:noWrap/>
            <w:vAlign w:val="center"/>
          </w:tcPr>
          <w:p w14:paraId="4E830FA2">
            <w:pPr>
              <w:spacing w:line="240" w:lineRule="auto"/>
              <w:ind w:firstLine="0" w:firstLineChars="0"/>
              <w:jc w:val="center"/>
              <w:rPr>
                <w:rFonts w:cs="Times New Roman"/>
                <w:szCs w:val="24"/>
              </w:rPr>
            </w:pPr>
            <w:r>
              <w:rPr>
                <w:rFonts w:hint="eastAsia" w:cs="Times New Roman"/>
                <w:szCs w:val="24"/>
              </w:rPr>
              <w:t>2.86</w:t>
            </w:r>
          </w:p>
        </w:tc>
      </w:tr>
      <w:tr w14:paraId="6C0D7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0" w:hRule="atLeast"/>
        </w:trPr>
        <w:tc>
          <w:tcPr>
            <w:tcW w:w="1268" w:type="pct"/>
            <w:noWrap/>
            <w:vAlign w:val="bottom"/>
          </w:tcPr>
          <w:p w14:paraId="11C565D4">
            <w:pPr>
              <w:spacing w:line="240" w:lineRule="auto"/>
              <w:ind w:firstLine="0" w:firstLineChars="0"/>
              <w:jc w:val="center"/>
              <w:rPr>
                <w:rFonts w:cs="Times New Roman"/>
                <w:szCs w:val="24"/>
              </w:rPr>
            </w:pPr>
            <w:r>
              <w:rPr>
                <w:rFonts w:hint="eastAsia" w:cs="Times New Roman"/>
                <w:szCs w:val="24"/>
              </w:rPr>
              <w:t>90</w:t>
            </w:r>
          </w:p>
        </w:tc>
        <w:tc>
          <w:tcPr>
            <w:tcW w:w="933" w:type="pct"/>
            <w:noWrap/>
            <w:vAlign w:val="center"/>
          </w:tcPr>
          <w:p w14:paraId="5CE043A4">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228FCB50">
            <w:pPr>
              <w:spacing w:line="240" w:lineRule="auto"/>
              <w:ind w:firstLine="0" w:firstLineChars="0"/>
              <w:jc w:val="center"/>
              <w:rPr>
                <w:rFonts w:cs="Times New Roman"/>
                <w:szCs w:val="24"/>
              </w:rPr>
            </w:pPr>
            <w:r>
              <w:rPr>
                <w:rFonts w:hint="eastAsia" w:cs="Times New Roman"/>
                <w:szCs w:val="24"/>
              </w:rPr>
              <w:t>0</w:t>
            </w:r>
          </w:p>
        </w:tc>
        <w:tc>
          <w:tcPr>
            <w:tcW w:w="933" w:type="pct"/>
            <w:noWrap/>
            <w:vAlign w:val="bottom"/>
          </w:tcPr>
          <w:p w14:paraId="017782A6">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60DBD1D3">
            <w:pPr>
              <w:spacing w:line="240" w:lineRule="auto"/>
              <w:ind w:firstLine="0" w:firstLineChars="0"/>
              <w:jc w:val="center"/>
              <w:rPr>
                <w:rFonts w:cs="Times New Roman"/>
                <w:szCs w:val="24"/>
              </w:rPr>
            </w:pPr>
            <w:r>
              <w:rPr>
                <w:rFonts w:hint="eastAsia" w:cs="Times New Roman"/>
                <w:szCs w:val="24"/>
              </w:rPr>
              <w:t>1.25</w:t>
            </w:r>
          </w:p>
        </w:tc>
      </w:tr>
      <w:tr w14:paraId="26E53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1268" w:type="pct"/>
            <w:noWrap/>
            <w:vAlign w:val="bottom"/>
          </w:tcPr>
          <w:p w14:paraId="5C682877">
            <w:pPr>
              <w:spacing w:line="240" w:lineRule="auto"/>
              <w:ind w:firstLine="0" w:firstLineChars="0"/>
              <w:jc w:val="center"/>
              <w:rPr>
                <w:rFonts w:cs="Times New Roman"/>
                <w:szCs w:val="24"/>
              </w:rPr>
            </w:pPr>
            <w:r>
              <w:rPr>
                <w:rFonts w:hint="eastAsia" w:cs="Times New Roman"/>
                <w:szCs w:val="24"/>
              </w:rPr>
              <w:t>100</w:t>
            </w:r>
          </w:p>
        </w:tc>
        <w:tc>
          <w:tcPr>
            <w:tcW w:w="933" w:type="pct"/>
            <w:noWrap/>
            <w:vAlign w:val="center"/>
          </w:tcPr>
          <w:p w14:paraId="22E537AC">
            <w:pPr>
              <w:spacing w:line="240" w:lineRule="auto"/>
              <w:ind w:firstLine="0" w:firstLineChars="0"/>
              <w:jc w:val="center"/>
              <w:rPr>
                <w:rFonts w:cs="Times New Roman"/>
                <w:szCs w:val="24"/>
              </w:rPr>
            </w:pPr>
            <w:r>
              <w:rPr>
                <w:rFonts w:hint="eastAsia" w:cs="Times New Roman"/>
                <w:szCs w:val="24"/>
              </w:rPr>
              <w:t>0</w:t>
            </w:r>
          </w:p>
        </w:tc>
        <w:tc>
          <w:tcPr>
            <w:tcW w:w="933" w:type="pct"/>
            <w:noWrap/>
            <w:vAlign w:val="bottom"/>
          </w:tcPr>
          <w:p w14:paraId="4E957E2D">
            <w:pPr>
              <w:spacing w:line="240" w:lineRule="auto"/>
              <w:ind w:firstLine="0" w:firstLineChars="0"/>
              <w:jc w:val="center"/>
              <w:rPr>
                <w:rFonts w:cs="Times New Roman"/>
                <w:szCs w:val="24"/>
              </w:rPr>
            </w:pPr>
            <w:r>
              <w:rPr>
                <w:rFonts w:hint="eastAsia" w:cs="Times New Roman"/>
                <w:szCs w:val="24"/>
              </w:rPr>
              <w:t>0</w:t>
            </w:r>
          </w:p>
        </w:tc>
        <w:tc>
          <w:tcPr>
            <w:tcW w:w="933" w:type="pct"/>
            <w:noWrap/>
            <w:vAlign w:val="bottom"/>
          </w:tcPr>
          <w:p w14:paraId="58166321">
            <w:pPr>
              <w:spacing w:line="240" w:lineRule="auto"/>
              <w:ind w:firstLine="0" w:firstLineChars="0"/>
              <w:jc w:val="center"/>
              <w:rPr>
                <w:rFonts w:cs="Times New Roman"/>
                <w:szCs w:val="24"/>
              </w:rPr>
            </w:pPr>
            <w:r>
              <w:rPr>
                <w:rFonts w:hint="eastAsia" w:cs="Times New Roman"/>
                <w:szCs w:val="24"/>
              </w:rPr>
              <w:t>0</w:t>
            </w:r>
          </w:p>
        </w:tc>
        <w:tc>
          <w:tcPr>
            <w:tcW w:w="933" w:type="pct"/>
            <w:noWrap/>
            <w:vAlign w:val="center"/>
          </w:tcPr>
          <w:p w14:paraId="6DE5E092">
            <w:pPr>
              <w:spacing w:line="240" w:lineRule="auto"/>
              <w:ind w:firstLine="0" w:firstLineChars="0"/>
              <w:jc w:val="center"/>
              <w:rPr>
                <w:rFonts w:cs="Times New Roman"/>
                <w:szCs w:val="24"/>
              </w:rPr>
            </w:pPr>
            <w:r>
              <w:rPr>
                <w:rFonts w:hint="eastAsia" w:cs="Times New Roman"/>
                <w:szCs w:val="24"/>
              </w:rPr>
              <w:t>0.48</w:t>
            </w:r>
          </w:p>
        </w:tc>
      </w:tr>
    </w:tbl>
    <w:p w14:paraId="436F3FFF">
      <w:pPr>
        <w:ind w:firstLine="480"/>
        <w:rPr>
          <w:rFonts w:cs="Times New Roman"/>
          <w:szCs w:val="28"/>
        </w:rPr>
      </w:pPr>
      <w:r>
        <w:rPr>
          <w:rFonts w:cs="Times New Roman"/>
          <w:szCs w:val="28"/>
        </w:rPr>
        <w:t>对照“表</w:t>
      </w:r>
      <w:r>
        <w:rPr>
          <w:rFonts w:hint="eastAsia" w:cs="Times New Roman"/>
          <w:szCs w:val="28"/>
        </w:rPr>
        <w:t>5.8-2</w:t>
      </w:r>
      <w:r>
        <w:rPr>
          <w:rFonts w:cs="Times New Roman"/>
          <w:szCs w:val="28"/>
        </w:rPr>
        <w:t xml:space="preserve"> 拟采用地下水污染物水质标准限值”，</w:t>
      </w:r>
      <w:r>
        <w:rPr>
          <w:rFonts w:cs="Times New Roman"/>
          <w:szCs w:val="40"/>
        </w:rPr>
        <w:t>确定COD</w:t>
      </w:r>
      <w:r>
        <w:rPr>
          <w:rFonts w:cs="Times New Roman"/>
          <w:szCs w:val="40"/>
          <w:vertAlign w:val="subscript"/>
        </w:rPr>
        <w:t>Mn</w:t>
      </w:r>
      <w:r>
        <w:rPr>
          <w:rFonts w:cs="Times New Roman"/>
          <w:szCs w:val="40"/>
        </w:rPr>
        <w:t>、氨氮在地下水中污染范围为：COD</w:t>
      </w:r>
      <w:r>
        <w:rPr>
          <w:rFonts w:cs="Times New Roman"/>
          <w:szCs w:val="40"/>
          <w:vertAlign w:val="subscript"/>
        </w:rPr>
        <w:t>Mn</w:t>
      </w:r>
      <w:r>
        <w:rPr>
          <w:rFonts w:cs="Times New Roman"/>
          <w:szCs w:val="40"/>
        </w:rPr>
        <w:t>100天扩散</w:t>
      </w:r>
      <w:r>
        <w:rPr>
          <w:rFonts w:hint="eastAsia" w:cs="Times New Roman"/>
          <w:szCs w:val="40"/>
        </w:rPr>
        <w:t>10</w:t>
      </w:r>
      <w:r>
        <w:rPr>
          <w:rFonts w:cs="Times New Roman"/>
          <w:szCs w:val="40"/>
        </w:rPr>
        <w:t>m，1000天扩散</w:t>
      </w:r>
      <w:r>
        <w:rPr>
          <w:rFonts w:hint="eastAsia" w:cs="Times New Roman"/>
          <w:szCs w:val="40"/>
        </w:rPr>
        <w:t>30</w:t>
      </w:r>
      <w:r>
        <w:rPr>
          <w:rFonts w:cs="Times New Roman"/>
          <w:szCs w:val="40"/>
        </w:rPr>
        <w:t>m，3650天扩散</w:t>
      </w:r>
      <w:r>
        <w:rPr>
          <w:rFonts w:hint="eastAsia" w:cs="Times New Roman"/>
          <w:szCs w:val="40"/>
        </w:rPr>
        <w:t>6</w:t>
      </w:r>
      <w:r>
        <w:rPr>
          <w:rFonts w:cs="Times New Roman"/>
          <w:szCs w:val="40"/>
        </w:rPr>
        <w:t>0m，7300天均扩散</w:t>
      </w:r>
      <w:r>
        <w:rPr>
          <w:rFonts w:hint="eastAsia" w:cs="Times New Roman"/>
          <w:szCs w:val="40"/>
        </w:rPr>
        <w:t>10</w:t>
      </w:r>
      <w:r>
        <w:rPr>
          <w:rFonts w:cs="Times New Roman"/>
          <w:szCs w:val="40"/>
        </w:rPr>
        <w:t>0m；氨氮100天扩散10m，1000天扩散30m，3650天扩散</w:t>
      </w:r>
      <w:r>
        <w:rPr>
          <w:rFonts w:hint="eastAsia" w:cs="Times New Roman"/>
          <w:szCs w:val="40"/>
        </w:rPr>
        <w:t>7</w:t>
      </w:r>
      <w:r>
        <w:rPr>
          <w:rFonts w:cs="Times New Roman"/>
          <w:szCs w:val="40"/>
        </w:rPr>
        <w:t>0m，7300天均扩散</w:t>
      </w:r>
      <w:r>
        <w:rPr>
          <w:rFonts w:hint="eastAsia" w:cs="Times New Roman"/>
          <w:szCs w:val="40"/>
        </w:rPr>
        <w:t>10</w:t>
      </w:r>
      <w:r>
        <w:rPr>
          <w:rFonts w:cs="Times New Roman"/>
          <w:szCs w:val="40"/>
        </w:rPr>
        <w:t>0m。</w:t>
      </w:r>
      <w:r>
        <w:rPr>
          <w:rFonts w:hint="eastAsia" w:cs="Times New Roman"/>
          <w:szCs w:val="40"/>
        </w:rPr>
        <w:t>课件</w:t>
      </w:r>
      <w:r>
        <w:rPr>
          <w:rFonts w:cs="Times New Roman"/>
          <w:szCs w:val="40"/>
        </w:rPr>
        <w:t>，若污水管网</w:t>
      </w:r>
      <w:r>
        <w:rPr>
          <w:rFonts w:hint="eastAsia" w:cs="Times New Roman"/>
          <w:szCs w:val="40"/>
        </w:rPr>
        <w:t>发生</w:t>
      </w:r>
      <w:r>
        <w:rPr>
          <w:rFonts w:cs="Times New Roman"/>
          <w:szCs w:val="40"/>
        </w:rPr>
        <w:t>泄漏</w:t>
      </w:r>
      <w:r>
        <w:rPr>
          <w:rFonts w:hint="eastAsia" w:cs="Times New Roman"/>
          <w:szCs w:val="40"/>
        </w:rPr>
        <w:t>，将</w:t>
      </w:r>
      <w:r>
        <w:rPr>
          <w:rFonts w:cs="Times New Roman"/>
          <w:szCs w:val="40"/>
        </w:rPr>
        <w:t>会对地下水环境产生一定影响，7300天内对周围地下水影响范围约为</w:t>
      </w:r>
      <w:r>
        <w:rPr>
          <w:rFonts w:hint="eastAsia" w:cs="Times New Roman"/>
          <w:szCs w:val="40"/>
        </w:rPr>
        <w:t>100</w:t>
      </w:r>
      <w:r>
        <w:rPr>
          <w:rFonts w:cs="Times New Roman"/>
          <w:szCs w:val="40"/>
        </w:rPr>
        <w:t>m</w:t>
      </w:r>
      <w:r>
        <w:rPr>
          <w:rFonts w:hint="eastAsia" w:cs="Times New Roman"/>
          <w:szCs w:val="40"/>
        </w:rPr>
        <w:t>，总体影响范围较小</w:t>
      </w:r>
      <w:r>
        <w:rPr>
          <w:rFonts w:cs="Times New Roman"/>
          <w:szCs w:val="40"/>
        </w:rPr>
        <w:t>。</w:t>
      </w:r>
    </w:p>
    <w:p w14:paraId="1DF6EA1D">
      <w:pPr>
        <w:pStyle w:val="3"/>
        <w:ind w:firstLine="0" w:firstLineChars="0"/>
        <w:rPr>
          <w:rFonts w:cs="Times New Roman"/>
        </w:rPr>
      </w:pPr>
      <w:bookmarkStart w:id="109" w:name="_Toc217294062"/>
      <w:r>
        <w:rPr>
          <w:rFonts w:cs="Times New Roman"/>
        </w:rPr>
        <w:t>5.9</w:t>
      </w:r>
      <w:r>
        <w:rPr>
          <w:rFonts w:hint="eastAsia" w:cs="Times New Roman"/>
        </w:rPr>
        <w:t>环境风险分析</w:t>
      </w:r>
      <w:bookmarkEnd w:id="109"/>
    </w:p>
    <w:p w14:paraId="24801129">
      <w:pPr>
        <w:ind w:firstLine="480"/>
      </w:pPr>
      <w:r>
        <w:rPr>
          <w:rFonts w:hint="eastAsia"/>
        </w:rPr>
        <w:t>度假区规划涉及风险事故的类型主要包括危险物质泄漏、火灾、公共设施和设备事故等。火灾主要环境危害为伴生/次生的二次污染；危险物质泄漏的环境影响则为挥发、扩散毒性物质污染大气环境和水环境。</w:t>
      </w:r>
    </w:p>
    <w:p w14:paraId="601F1554">
      <w:pPr>
        <w:ind w:firstLine="480"/>
      </w:pPr>
      <w:r>
        <w:rPr>
          <w:rFonts w:hint="eastAsia"/>
        </w:rPr>
        <w:t>度假区应定期对涉环境风险企业的生产工艺、危险化学品管理、废水处置等重点环节进行检查，严格按照相应的应急管理指南开展风险排查和防范工作，特别加强现状石灰和石膏制造企业涉及的码头污染防治，严格管控船舶含油废水危险废物的收集处置。随着规划后期度假区范围内企业的逐步退出关停，度假区规划的主要环境风险将转向交通运输事故导致的危险物质泄漏、火灾事故、公共设施和设备事故等。针对水环境风险，危险物质泄漏发生时，应及时做好拦截，从而杜绝事故废水进入地表水或者地下水环境，对周围水体造成污染。针对大气环境风险，当发生公共设施和设备事故或火灾事故时，将会造成局部地区污染物浓度的瞬时增高。发生此类事故时的影响较大，应做好此类事故的预防工作，设定足够的防护距离，配置合格的消防应急物资和器材，并组织定期开展消防应急演练。</w:t>
      </w:r>
    </w:p>
    <w:p w14:paraId="238223A4">
      <w:pPr>
        <w:ind w:firstLine="480"/>
      </w:pPr>
      <w:r>
        <w:rPr>
          <w:rFonts w:hint="eastAsia"/>
        </w:rPr>
        <w:t>在度假区严格落实各项环境风险防范措施、事故应急预案以及在规划期内逐步对现状工业企业实施环保整治、关停退出的前提下，度假区内现有的环境风险是可以接受的。</w:t>
      </w:r>
    </w:p>
    <w:p w14:paraId="529E022D">
      <w:pPr>
        <w:pStyle w:val="3"/>
        <w:ind w:firstLine="0" w:firstLineChars="0"/>
        <w:rPr>
          <w:rFonts w:cs="Times New Roman"/>
        </w:rPr>
      </w:pPr>
      <w:bookmarkStart w:id="110" w:name="_Toc217294063"/>
      <w:r>
        <w:rPr>
          <w:rFonts w:cs="Times New Roman"/>
        </w:rPr>
        <w:t>5.10</w:t>
      </w:r>
      <w:r>
        <w:rPr>
          <w:rFonts w:hint="eastAsia" w:cs="Times New Roman"/>
        </w:rPr>
        <w:t>社会影响分析</w:t>
      </w:r>
      <w:bookmarkEnd w:id="110"/>
    </w:p>
    <w:p w14:paraId="12C649A6">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5.1</w:t>
      </w:r>
      <w:r>
        <w:rPr>
          <w:rFonts w:hint="eastAsia" w:eastAsia="方正楷体_GBK" w:cs="Times New Roman"/>
          <w:b/>
          <w:bCs/>
          <w:szCs w:val="28"/>
          <w14:ligatures w14:val="none"/>
        </w:rPr>
        <w:t>0</w:t>
      </w:r>
      <w:r>
        <w:rPr>
          <w:rFonts w:eastAsia="方正楷体_GBK" w:cs="Times New Roman"/>
          <w:b/>
          <w:bCs/>
          <w:szCs w:val="28"/>
          <w14:ligatures w14:val="none"/>
        </w:rPr>
        <w:t>.1</w:t>
      </w:r>
      <w:r>
        <w:rPr>
          <w:rFonts w:hint="eastAsia" w:eastAsia="方正楷体_GBK" w:cs="Times New Roman"/>
          <w:b/>
          <w:bCs/>
          <w:szCs w:val="28"/>
          <w14:ligatures w14:val="none"/>
        </w:rPr>
        <w:t>不利的社会影响</w:t>
      </w:r>
    </w:p>
    <w:p w14:paraId="5C041BDA">
      <w:pPr>
        <w:ind w:firstLine="482"/>
        <w:rPr>
          <w:b/>
          <w:bCs/>
        </w:rPr>
      </w:pPr>
      <w:r>
        <w:rPr>
          <w:rFonts w:hint="eastAsia"/>
          <w:b/>
          <w:bCs/>
        </w:rPr>
        <w:t>（1）建设活动</w:t>
      </w:r>
    </w:p>
    <w:p w14:paraId="24AD5D07">
      <w:pPr>
        <w:ind w:firstLine="480"/>
      </w:pPr>
      <w:r>
        <w:rPr>
          <w:rFonts w:hint="eastAsia"/>
        </w:rPr>
        <w:t>①规划区建设活动对区域治安及居民健康会产生不利的影响。随着周边环境的改变，农村社会环境也将发生很大的改变，不仅环境空气质量、声环境质量受到不利影响，而且由于外来施工人员的增加，其社会治安、卫生健康也会受到不利影响。</w:t>
      </w:r>
    </w:p>
    <w:p w14:paraId="29D69F6D">
      <w:pPr>
        <w:ind w:firstLine="480"/>
      </w:pPr>
      <w:r>
        <w:rPr>
          <w:rFonts w:hint="eastAsia"/>
        </w:rPr>
        <w:t>②规划区建设活动对区域居民生活环境会产生不利影响。施工机械及人工活动干扰居民的正常生产和生活，特别是在道路交通方面，农村道路较窄，规划区车辆较多，会造成农村道路堵塞或交通事故频发。</w:t>
      </w:r>
    </w:p>
    <w:p w14:paraId="29AECFD2">
      <w:pPr>
        <w:ind w:firstLine="482"/>
        <w:rPr>
          <w:b/>
          <w:bCs/>
        </w:rPr>
      </w:pPr>
      <w:r>
        <w:rPr>
          <w:rFonts w:hint="eastAsia"/>
          <w:b/>
          <w:bCs/>
        </w:rPr>
        <w:t>（2）经营活动</w:t>
      </w:r>
    </w:p>
    <w:p w14:paraId="3267801C">
      <w:pPr>
        <w:ind w:firstLine="480"/>
      </w:pPr>
      <w:r>
        <w:rPr>
          <w:rFonts w:hint="eastAsia"/>
        </w:rPr>
        <w:t>①大量的运营活动影响当地居民正常的生产、生活，很多人的生活习惯会受到干扰。由于规划区活动的增加，原农村居民的生产、生活方式在某种程度上因此而改变。此外，项目会压缩当地居民的生活和生产空间。因此，规划运营过程中应注意农民利益合理分配问题。</w:t>
      </w:r>
    </w:p>
    <w:p w14:paraId="47AA7D53">
      <w:pPr>
        <w:ind w:firstLine="480"/>
      </w:pPr>
      <w:r>
        <w:rPr>
          <w:rFonts w:hint="eastAsia"/>
        </w:rPr>
        <w:t>②短期内会对当地以种植业为主要来源的居民经济收入产生一定的负面影响。另外，规划的实施会对当地污染性工业有一定的控制，这势必会在短期内影响当地居民的收入。</w:t>
      </w:r>
    </w:p>
    <w:p w14:paraId="7296BA1B">
      <w:pPr>
        <w:ind w:firstLine="480"/>
      </w:pPr>
      <w:r>
        <w:rPr>
          <w:rFonts w:hint="eastAsia"/>
        </w:rPr>
        <w:t>③随着旅游业的发展，土地资源被大量占用，使度假区部分土地的生产力下降。规划区内本地居民可能会面临消费水平的提高，本区的物价水平也会相应地提高，这对弱势群体的影响会比较大。</w:t>
      </w:r>
    </w:p>
    <w:p w14:paraId="1B6E9FA9">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5.1</w:t>
      </w:r>
      <w:r>
        <w:rPr>
          <w:rFonts w:hint="eastAsia" w:eastAsia="方正楷体_GBK" w:cs="Times New Roman"/>
          <w:b/>
          <w:bCs/>
          <w:szCs w:val="28"/>
          <w14:ligatures w14:val="none"/>
        </w:rPr>
        <w:t>0</w:t>
      </w:r>
      <w:r>
        <w:rPr>
          <w:rFonts w:eastAsia="方正楷体_GBK" w:cs="Times New Roman"/>
          <w:b/>
          <w:bCs/>
          <w:szCs w:val="28"/>
          <w14:ligatures w14:val="none"/>
        </w:rPr>
        <w:t>.</w:t>
      </w:r>
      <w:r>
        <w:rPr>
          <w:rFonts w:hint="eastAsia" w:eastAsia="方正楷体_GBK" w:cs="Times New Roman"/>
          <w:b/>
          <w:bCs/>
          <w:szCs w:val="28"/>
          <w14:ligatures w14:val="none"/>
        </w:rPr>
        <w:t>2有利的社会影响</w:t>
      </w:r>
    </w:p>
    <w:p w14:paraId="7DEFE7FD">
      <w:pPr>
        <w:ind w:firstLine="482"/>
        <w:rPr>
          <w:b/>
          <w:bCs/>
        </w:rPr>
      </w:pPr>
      <w:r>
        <w:rPr>
          <w:rFonts w:hint="eastAsia"/>
          <w:b/>
          <w:bCs/>
        </w:rPr>
        <w:t>（1）人民生活水平提高和生活环境改善</w:t>
      </w:r>
    </w:p>
    <w:p w14:paraId="77A3CDB1">
      <w:pPr>
        <w:ind w:firstLine="480"/>
      </w:pPr>
      <w:r>
        <w:rPr>
          <w:rFonts w:hint="eastAsia"/>
        </w:rPr>
        <w:t>随着度假区旅游设施、文化、卫生等公共设施的不断完善，将带来大量的就业机会，居民收入会得到很大提高，同时区域居民从业类型也会发生较大变化。功能完善的生活区和良好的市政公共服务设施的建设、度假区的经济建设和环境建设同步进行。完善的服务功能使人们在区内的工作、生活环境和谐，人们的生活水平和生活环境不断提高。</w:t>
      </w:r>
    </w:p>
    <w:p w14:paraId="6216F802">
      <w:pPr>
        <w:ind w:firstLine="482"/>
        <w:rPr>
          <w:b/>
          <w:bCs/>
        </w:rPr>
      </w:pPr>
      <w:r>
        <w:rPr>
          <w:rFonts w:hint="eastAsia"/>
          <w:b/>
          <w:bCs/>
        </w:rPr>
        <w:t>（2）人口素质和结构的改变</w:t>
      </w:r>
    </w:p>
    <w:p w14:paraId="2635568B">
      <w:pPr>
        <w:ind w:firstLine="480"/>
      </w:pPr>
      <w:r>
        <w:rPr>
          <w:rFonts w:hint="eastAsia"/>
        </w:rPr>
        <w:t>为了满足度假区发展现代旅游业，必须提高人口素质，从业人员素质也亟须改善。因此，规划区的产业结构也将分化为两个方面：高端度假休闲、康养产业等服务型产业；劳动力水平较低的</w:t>
      </w:r>
      <w:bookmarkStart w:id="111" w:name="_Hlk161127734"/>
      <w:r>
        <w:rPr>
          <w:rFonts w:hint="eastAsia"/>
        </w:rPr>
        <w:t>劳动密集型产业和传统产业</w:t>
      </w:r>
      <w:bookmarkEnd w:id="111"/>
      <w:r>
        <w:rPr>
          <w:rFonts w:hint="eastAsia"/>
        </w:rPr>
        <w:t>。从度假区的产业发展规划和空间布局来看，度假区高端度假休闲、康养产业等服务型产业逐步在核心区发展，劳动密集型产业和传统产业聚集在南片区农旅融合示范区发展。显然，这样的产业结构对于度假区未来的品位和走向都有巨大的影响。</w:t>
      </w:r>
    </w:p>
    <w:p w14:paraId="6745E8F6">
      <w:pPr>
        <w:ind w:firstLine="482"/>
        <w:rPr>
          <w:b/>
          <w:bCs/>
        </w:rPr>
      </w:pPr>
      <w:r>
        <w:rPr>
          <w:rFonts w:hint="eastAsia"/>
          <w:b/>
          <w:bCs/>
        </w:rPr>
        <w:t>（3）促进当地经济发展，加快社会主义新农村建设</w:t>
      </w:r>
    </w:p>
    <w:p w14:paraId="000716BD">
      <w:pPr>
        <w:ind w:firstLine="480"/>
      </w:pPr>
      <w:r>
        <w:rPr>
          <w:rFonts w:hint="eastAsia"/>
        </w:rPr>
        <w:t>旅游度假区的开发，将改变规划区内的经济结构，从农业经济、工业经济形成全新的旅游休闲度假产业。每年可吸引来自全国各地的游客前来度假，在此休闲娱乐、购物。同时还可以促进当地手工制品、纪念品、餐饮娱乐业的发展，外来度假人口这个消费群体的购买力较当地居民的平均购买力要高，随着项目的建成投入使用，这一群体的人口必然会大大增加，可以提高规划区的消费能力。</w:t>
      </w:r>
    </w:p>
    <w:p w14:paraId="2AFFFD52">
      <w:pPr>
        <w:ind w:firstLine="482"/>
        <w:rPr>
          <w:b/>
          <w:bCs/>
        </w:rPr>
      </w:pPr>
      <w:r>
        <w:rPr>
          <w:rFonts w:hint="eastAsia"/>
          <w:b/>
          <w:bCs/>
        </w:rPr>
        <w:t>（4）增加就业机会</w:t>
      </w:r>
    </w:p>
    <w:p w14:paraId="39A5F028">
      <w:pPr>
        <w:ind w:firstLine="480"/>
      </w:pPr>
      <w:r>
        <w:rPr>
          <w:rFonts w:hint="eastAsia"/>
        </w:rPr>
        <w:t>建设项目施工过程中需要大量的建设人员；工程建成后，居住区物业管理、工程维修、商业服务等行业需要大批人员上岗就业。这使得人们的经济收入有所变化，在一定程度上扩大了就业范围，给当地人员就业带来有利的影响。</w:t>
      </w:r>
    </w:p>
    <w:p w14:paraId="2DFB0CF1">
      <w:pPr>
        <w:ind w:firstLine="482"/>
        <w:rPr>
          <w:b/>
          <w:bCs/>
        </w:rPr>
      </w:pPr>
      <w:r>
        <w:rPr>
          <w:rFonts w:hint="eastAsia"/>
          <w:b/>
          <w:bCs/>
        </w:rPr>
        <w:t>（5）完善区内配套设施</w:t>
      </w:r>
    </w:p>
    <w:p w14:paraId="132C4E4C">
      <w:pPr>
        <w:ind w:firstLine="480"/>
      </w:pPr>
      <w:r>
        <w:rPr>
          <w:rFonts w:hint="eastAsia"/>
        </w:rPr>
        <w:t>本规划的实施，一方面，铺设排水管网、电力、供气等，完善了区域的基础设施；另一方面，在一定程度上增加了商业、金融、娱乐等配套设施。上述设施都为规划区的进一步发展提供了较为便利的条件。此外，规划实施将吸引国内外的游客前来度假、休闲，来自不同文化背景的游客与当地社会接触，将会产生文化的碰撞、传递、吸收和融合。</w:t>
      </w:r>
    </w:p>
    <w:p w14:paraId="25C47DCC">
      <w:pPr>
        <w:pStyle w:val="3"/>
        <w:ind w:firstLine="0" w:firstLineChars="0"/>
        <w:rPr>
          <w:rFonts w:cs="Times New Roman"/>
        </w:rPr>
      </w:pPr>
      <w:bookmarkStart w:id="112" w:name="_Toc217294064"/>
      <w:r>
        <w:rPr>
          <w:rFonts w:cs="Times New Roman"/>
        </w:rPr>
        <w:t>5.1</w:t>
      </w:r>
      <w:r>
        <w:rPr>
          <w:rFonts w:hint="eastAsia" w:cs="Times New Roman"/>
        </w:rPr>
        <w:t>1碳排放预测与评价</w:t>
      </w:r>
      <w:bookmarkEnd w:id="112"/>
    </w:p>
    <w:p w14:paraId="7E1AB9D2">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5.11.1碳排放预测与评价</w:t>
      </w:r>
    </w:p>
    <w:p w14:paraId="6257AEC3">
      <w:pPr>
        <w:ind w:firstLine="480"/>
      </w:pPr>
      <w:r>
        <w:rPr>
          <w:rFonts w:hint="eastAsia"/>
        </w:rPr>
        <w:t>本轮规划近期对现有企业以整治提升为主，并逐步引导企业搬迁退出，本次碳排放预测以企业不增加现状能源消耗的基础进行预测。随着规划远期工业企业的逐步关闭退出，度假区现有工业企业不再产生碳排放，区域主要碳排放来自居民和游客的生活活动。采用“3.4.6能源消耗和碳排放现状”章节计算方法，根据“5.1.2能源消耗预测”结果，计算得度假区规划期碳排放见表5.6-3。</w:t>
      </w:r>
    </w:p>
    <w:p w14:paraId="58D86A3F">
      <w:pPr>
        <w:pStyle w:val="45"/>
        <w:rPr>
          <w:rFonts w:cs="Times New Roman"/>
        </w:rPr>
      </w:pPr>
      <w:r>
        <w:rPr>
          <w:rFonts w:hint="eastAsia" w:cs="Times New Roman"/>
        </w:rPr>
        <w:t>表5.6-3  规划末期度假区碳排放量汇总</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4"/>
        <w:gridCol w:w="983"/>
        <w:gridCol w:w="1531"/>
        <w:gridCol w:w="1319"/>
        <w:gridCol w:w="1394"/>
        <w:gridCol w:w="1379"/>
        <w:gridCol w:w="1283"/>
      </w:tblGrid>
      <w:tr w14:paraId="6024F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 w:type="pct"/>
            <w:vMerge w:val="restart"/>
            <w:noWrap/>
            <w:vAlign w:val="center"/>
          </w:tcPr>
          <w:p w14:paraId="0170D2F3">
            <w:pPr>
              <w:spacing w:line="240" w:lineRule="auto"/>
              <w:ind w:firstLine="0" w:firstLineChars="0"/>
              <w:jc w:val="center"/>
              <w:rPr>
                <w:b/>
                <w:snapToGrid w:val="0"/>
                <w:sz w:val="21"/>
                <w:szCs w:val="21"/>
              </w:rPr>
            </w:pPr>
            <w:r>
              <w:rPr>
                <w:rFonts w:hint="eastAsia"/>
                <w:b/>
                <w:snapToGrid w:val="0"/>
                <w:sz w:val="21"/>
                <w:szCs w:val="21"/>
              </w:rPr>
              <w:t>时期</w:t>
            </w:r>
          </w:p>
        </w:tc>
        <w:tc>
          <w:tcPr>
            <w:tcW w:w="4628" w:type="pct"/>
            <w:gridSpan w:val="6"/>
            <w:noWrap/>
            <w:vAlign w:val="center"/>
          </w:tcPr>
          <w:p w14:paraId="60596282">
            <w:pPr>
              <w:spacing w:line="240" w:lineRule="auto"/>
              <w:ind w:firstLine="0" w:firstLineChars="0"/>
              <w:jc w:val="center"/>
              <w:rPr>
                <w:b/>
                <w:snapToGrid w:val="0"/>
                <w:sz w:val="21"/>
                <w:szCs w:val="21"/>
              </w:rPr>
            </w:pPr>
            <w:r>
              <w:rPr>
                <w:rFonts w:hint="eastAsia"/>
                <w:b/>
                <w:snapToGrid w:val="0"/>
                <w:sz w:val="21"/>
                <w:szCs w:val="21"/>
              </w:rPr>
              <w:t>碳排放量（t/a）</w:t>
            </w:r>
          </w:p>
        </w:tc>
      </w:tr>
      <w:tr w14:paraId="1CB00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 w:type="pct"/>
            <w:vMerge w:val="continue"/>
            <w:noWrap/>
            <w:vAlign w:val="center"/>
          </w:tcPr>
          <w:p w14:paraId="045E9788">
            <w:pPr>
              <w:spacing w:line="240" w:lineRule="auto"/>
              <w:ind w:firstLine="0" w:firstLineChars="0"/>
              <w:jc w:val="center"/>
              <w:rPr>
                <w:b/>
                <w:snapToGrid w:val="0"/>
                <w:sz w:val="21"/>
                <w:szCs w:val="21"/>
              </w:rPr>
            </w:pPr>
          </w:p>
        </w:tc>
        <w:tc>
          <w:tcPr>
            <w:tcW w:w="576" w:type="pct"/>
            <w:noWrap/>
            <w:vAlign w:val="center"/>
          </w:tcPr>
          <w:p w14:paraId="3BE7E864">
            <w:pPr>
              <w:spacing w:line="240" w:lineRule="auto"/>
              <w:ind w:firstLine="0" w:firstLineChars="0"/>
              <w:jc w:val="center"/>
              <w:rPr>
                <w:b/>
                <w:snapToGrid w:val="0"/>
                <w:sz w:val="21"/>
                <w:szCs w:val="21"/>
              </w:rPr>
            </w:pPr>
            <w:r>
              <w:rPr>
                <w:rFonts w:hint="eastAsia"/>
                <w:b/>
                <w:snapToGrid w:val="0"/>
                <w:sz w:val="21"/>
                <w:szCs w:val="21"/>
              </w:rPr>
              <w:t>类别</w:t>
            </w:r>
          </w:p>
        </w:tc>
        <w:tc>
          <w:tcPr>
            <w:tcW w:w="898" w:type="pct"/>
            <w:noWrap/>
            <w:vAlign w:val="center"/>
          </w:tcPr>
          <w:p w14:paraId="4ACB0FB5">
            <w:pPr>
              <w:spacing w:line="240" w:lineRule="auto"/>
              <w:ind w:firstLine="0" w:firstLineChars="0"/>
              <w:jc w:val="center"/>
              <w:rPr>
                <w:b/>
                <w:snapToGrid w:val="0"/>
                <w:sz w:val="21"/>
                <w:szCs w:val="21"/>
              </w:rPr>
            </w:pPr>
            <w:r>
              <w:rPr>
                <w:rFonts w:hint="eastAsia"/>
                <w:b/>
                <w:snapToGrid w:val="0"/>
                <w:sz w:val="21"/>
                <w:szCs w:val="21"/>
              </w:rPr>
              <w:t>燃料消耗排放</w:t>
            </w:r>
          </w:p>
        </w:tc>
        <w:tc>
          <w:tcPr>
            <w:tcW w:w="774" w:type="pct"/>
            <w:noWrap/>
            <w:vAlign w:val="center"/>
          </w:tcPr>
          <w:p w14:paraId="6B266240">
            <w:pPr>
              <w:spacing w:line="240" w:lineRule="auto"/>
              <w:ind w:firstLine="0" w:firstLineChars="0"/>
              <w:jc w:val="center"/>
              <w:rPr>
                <w:b/>
                <w:snapToGrid w:val="0"/>
                <w:sz w:val="21"/>
                <w:szCs w:val="21"/>
              </w:rPr>
            </w:pPr>
            <w:r>
              <w:rPr>
                <w:rFonts w:hint="eastAsia"/>
                <w:b/>
                <w:snapToGrid w:val="0"/>
                <w:sz w:val="21"/>
                <w:szCs w:val="21"/>
              </w:rPr>
              <w:t>增减量</w:t>
            </w:r>
          </w:p>
        </w:tc>
        <w:tc>
          <w:tcPr>
            <w:tcW w:w="818" w:type="pct"/>
            <w:vAlign w:val="center"/>
          </w:tcPr>
          <w:p w14:paraId="3A9426BD">
            <w:pPr>
              <w:spacing w:line="240" w:lineRule="auto"/>
              <w:ind w:firstLine="0" w:firstLineChars="0"/>
              <w:jc w:val="center"/>
              <w:rPr>
                <w:b/>
                <w:snapToGrid w:val="0"/>
                <w:sz w:val="21"/>
                <w:szCs w:val="21"/>
              </w:rPr>
            </w:pPr>
            <w:r>
              <w:rPr>
                <w:rFonts w:hint="eastAsia"/>
                <w:b/>
                <w:snapToGrid w:val="0"/>
                <w:sz w:val="21"/>
                <w:szCs w:val="21"/>
              </w:rPr>
              <w:t>净调入电力排放</w:t>
            </w:r>
          </w:p>
        </w:tc>
        <w:tc>
          <w:tcPr>
            <w:tcW w:w="809" w:type="pct"/>
            <w:noWrap/>
            <w:vAlign w:val="center"/>
          </w:tcPr>
          <w:p w14:paraId="609EF34E">
            <w:pPr>
              <w:spacing w:line="240" w:lineRule="auto"/>
              <w:ind w:firstLine="0" w:firstLineChars="0"/>
              <w:jc w:val="center"/>
              <w:rPr>
                <w:b/>
                <w:snapToGrid w:val="0"/>
                <w:sz w:val="21"/>
                <w:szCs w:val="21"/>
              </w:rPr>
            </w:pPr>
            <w:r>
              <w:rPr>
                <w:rFonts w:hint="eastAsia"/>
                <w:b/>
                <w:snapToGrid w:val="0"/>
                <w:sz w:val="21"/>
                <w:szCs w:val="21"/>
              </w:rPr>
              <w:t>增减量</w:t>
            </w:r>
          </w:p>
        </w:tc>
        <w:tc>
          <w:tcPr>
            <w:tcW w:w="750" w:type="pct"/>
            <w:noWrap/>
            <w:vAlign w:val="center"/>
          </w:tcPr>
          <w:p w14:paraId="4CE8DE96">
            <w:pPr>
              <w:spacing w:line="240" w:lineRule="auto"/>
              <w:ind w:firstLine="0" w:firstLineChars="0"/>
              <w:jc w:val="center"/>
              <w:rPr>
                <w:b/>
                <w:snapToGrid w:val="0"/>
                <w:sz w:val="21"/>
                <w:szCs w:val="21"/>
              </w:rPr>
            </w:pPr>
            <w:r>
              <w:rPr>
                <w:rFonts w:hint="eastAsia"/>
                <w:b/>
                <w:snapToGrid w:val="0"/>
                <w:sz w:val="21"/>
                <w:szCs w:val="21"/>
              </w:rPr>
              <w:t>排放总量</w:t>
            </w:r>
          </w:p>
        </w:tc>
      </w:tr>
      <w:tr w14:paraId="6E610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vMerge w:val="restart"/>
            <w:noWrap/>
            <w:vAlign w:val="center"/>
          </w:tcPr>
          <w:p w14:paraId="27DE0CA3">
            <w:pPr>
              <w:spacing w:line="240" w:lineRule="auto"/>
              <w:ind w:firstLine="0" w:firstLineChars="0"/>
              <w:jc w:val="center"/>
              <w:rPr>
                <w:snapToGrid w:val="0"/>
                <w:sz w:val="21"/>
                <w:szCs w:val="21"/>
              </w:rPr>
            </w:pPr>
            <w:r>
              <w:rPr>
                <w:rFonts w:hint="eastAsia"/>
                <w:snapToGrid w:val="0"/>
                <w:sz w:val="21"/>
                <w:szCs w:val="21"/>
              </w:rPr>
              <w:t>规划近期</w:t>
            </w:r>
          </w:p>
        </w:tc>
        <w:tc>
          <w:tcPr>
            <w:tcW w:w="576" w:type="pct"/>
            <w:noWrap/>
            <w:vAlign w:val="center"/>
          </w:tcPr>
          <w:p w14:paraId="0C978DC7">
            <w:pPr>
              <w:spacing w:line="240" w:lineRule="auto"/>
              <w:ind w:firstLine="0" w:firstLineChars="0"/>
              <w:jc w:val="center"/>
              <w:rPr>
                <w:snapToGrid w:val="0"/>
                <w:sz w:val="21"/>
                <w:szCs w:val="21"/>
              </w:rPr>
            </w:pPr>
            <w:r>
              <w:rPr>
                <w:rFonts w:hint="eastAsia"/>
                <w:snapToGrid w:val="0"/>
                <w:sz w:val="21"/>
                <w:szCs w:val="21"/>
              </w:rPr>
              <w:t>工业源</w:t>
            </w:r>
          </w:p>
        </w:tc>
        <w:tc>
          <w:tcPr>
            <w:tcW w:w="898" w:type="pct"/>
            <w:noWrap/>
            <w:vAlign w:val="center"/>
          </w:tcPr>
          <w:p w14:paraId="2D26C67D">
            <w:pPr>
              <w:spacing w:line="240" w:lineRule="auto"/>
              <w:ind w:firstLine="0" w:firstLineChars="0"/>
              <w:jc w:val="center"/>
              <w:rPr>
                <w:snapToGrid w:val="0"/>
                <w:sz w:val="21"/>
                <w:szCs w:val="21"/>
              </w:rPr>
            </w:pPr>
            <w:r>
              <w:rPr>
                <w:rFonts w:hint="eastAsia" w:eastAsia="宋体"/>
                <w:snapToGrid w:val="0"/>
                <w:sz w:val="21"/>
                <w:szCs w:val="21"/>
              </w:rPr>
              <w:t>55622.16</w:t>
            </w:r>
          </w:p>
        </w:tc>
        <w:tc>
          <w:tcPr>
            <w:tcW w:w="774" w:type="pct"/>
            <w:noWrap/>
            <w:vAlign w:val="center"/>
          </w:tcPr>
          <w:p w14:paraId="43996FEB">
            <w:pPr>
              <w:spacing w:line="240" w:lineRule="auto"/>
              <w:ind w:firstLine="0" w:firstLineChars="0"/>
              <w:jc w:val="center"/>
              <w:rPr>
                <w:snapToGrid w:val="0"/>
                <w:sz w:val="21"/>
                <w:szCs w:val="21"/>
              </w:rPr>
            </w:pPr>
            <w:r>
              <w:rPr>
                <w:rFonts w:hint="eastAsia"/>
                <w:snapToGrid w:val="0"/>
                <w:sz w:val="21"/>
                <w:szCs w:val="21"/>
              </w:rPr>
              <w:t>0</w:t>
            </w:r>
          </w:p>
        </w:tc>
        <w:tc>
          <w:tcPr>
            <w:tcW w:w="818" w:type="pct"/>
            <w:noWrap/>
            <w:vAlign w:val="center"/>
          </w:tcPr>
          <w:p w14:paraId="70676149">
            <w:pPr>
              <w:spacing w:line="240" w:lineRule="auto"/>
              <w:ind w:firstLine="0" w:firstLineChars="0"/>
              <w:jc w:val="center"/>
              <w:rPr>
                <w:snapToGrid w:val="0"/>
                <w:sz w:val="21"/>
                <w:szCs w:val="21"/>
              </w:rPr>
            </w:pPr>
            <w:r>
              <w:rPr>
                <w:rFonts w:hint="eastAsia" w:eastAsia="宋体"/>
                <w:snapToGrid w:val="0"/>
                <w:sz w:val="21"/>
                <w:szCs w:val="21"/>
              </w:rPr>
              <w:t>1390.38</w:t>
            </w:r>
          </w:p>
        </w:tc>
        <w:tc>
          <w:tcPr>
            <w:tcW w:w="809" w:type="pct"/>
            <w:noWrap/>
            <w:vAlign w:val="center"/>
          </w:tcPr>
          <w:p w14:paraId="490C2255">
            <w:pPr>
              <w:spacing w:line="240" w:lineRule="auto"/>
              <w:ind w:firstLine="0" w:firstLineChars="0"/>
              <w:jc w:val="center"/>
              <w:rPr>
                <w:snapToGrid w:val="0"/>
                <w:sz w:val="21"/>
                <w:szCs w:val="21"/>
              </w:rPr>
            </w:pPr>
            <w:r>
              <w:rPr>
                <w:rFonts w:hint="eastAsia"/>
                <w:snapToGrid w:val="0"/>
                <w:sz w:val="21"/>
                <w:szCs w:val="21"/>
              </w:rPr>
              <w:t>0</w:t>
            </w:r>
          </w:p>
        </w:tc>
        <w:tc>
          <w:tcPr>
            <w:tcW w:w="750" w:type="pct"/>
            <w:noWrap/>
            <w:vAlign w:val="center"/>
          </w:tcPr>
          <w:p w14:paraId="718DF79C">
            <w:pPr>
              <w:spacing w:line="240" w:lineRule="auto"/>
              <w:ind w:firstLine="0" w:firstLineChars="0"/>
              <w:jc w:val="center"/>
              <w:rPr>
                <w:snapToGrid w:val="0"/>
                <w:sz w:val="21"/>
                <w:szCs w:val="21"/>
              </w:rPr>
            </w:pPr>
            <w:r>
              <w:rPr>
                <w:rFonts w:hint="eastAsia"/>
                <w:snapToGrid w:val="0"/>
                <w:sz w:val="21"/>
                <w:szCs w:val="21"/>
              </w:rPr>
              <w:t>57012.54</w:t>
            </w:r>
          </w:p>
        </w:tc>
      </w:tr>
      <w:tr w14:paraId="3573B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vMerge w:val="continue"/>
            <w:noWrap/>
            <w:vAlign w:val="center"/>
          </w:tcPr>
          <w:p w14:paraId="1B947370">
            <w:pPr>
              <w:spacing w:line="240" w:lineRule="auto"/>
              <w:ind w:firstLine="0" w:firstLineChars="0"/>
              <w:jc w:val="center"/>
              <w:rPr>
                <w:snapToGrid w:val="0"/>
                <w:sz w:val="21"/>
                <w:szCs w:val="21"/>
              </w:rPr>
            </w:pPr>
          </w:p>
        </w:tc>
        <w:tc>
          <w:tcPr>
            <w:tcW w:w="576" w:type="pct"/>
            <w:noWrap/>
            <w:vAlign w:val="center"/>
          </w:tcPr>
          <w:p w14:paraId="291D41AB">
            <w:pPr>
              <w:spacing w:line="240" w:lineRule="auto"/>
              <w:ind w:firstLine="0" w:firstLineChars="0"/>
              <w:jc w:val="center"/>
              <w:rPr>
                <w:snapToGrid w:val="0"/>
                <w:sz w:val="21"/>
                <w:szCs w:val="21"/>
              </w:rPr>
            </w:pPr>
            <w:r>
              <w:rPr>
                <w:rFonts w:hint="eastAsia"/>
                <w:snapToGrid w:val="0"/>
                <w:sz w:val="21"/>
                <w:szCs w:val="21"/>
              </w:rPr>
              <w:t>生活源</w:t>
            </w:r>
          </w:p>
        </w:tc>
        <w:tc>
          <w:tcPr>
            <w:tcW w:w="898" w:type="pct"/>
            <w:noWrap/>
            <w:vAlign w:val="center"/>
          </w:tcPr>
          <w:p w14:paraId="626CF684">
            <w:pPr>
              <w:spacing w:line="240" w:lineRule="auto"/>
              <w:ind w:firstLine="0" w:firstLineChars="0"/>
              <w:jc w:val="center"/>
              <w:rPr>
                <w:snapToGrid w:val="0"/>
                <w:sz w:val="21"/>
                <w:szCs w:val="21"/>
              </w:rPr>
            </w:pPr>
            <w:r>
              <w:rPr>
                <w:snapToGrid w:val="0"/>
                <w:sz w:val="21"/>
                <w:szCs w:val="21"/>
              </w:rPr>
              <w:t>19891.65</w:t>
            </w:r>
          </w:p>
        </w:tc>
        <w:tc>
          <w:tcPr>
            <w:tcW w:w="774" w:type="pct"/>
            <w:noWrap/>
            <w:vAlign w:val="center"/>
          </w:tcPr>
          <w:p w14:paraId="093A050A">
            <w:pPr>
              <w:spacing w:line="240" w:lineRule="auto"/>
              <w:ind w:firstLine="0" w:firstLineChars="0"/>
              <w:jc w:val="center"/>
              <w:rPr>
                <w:snapToGrid w:val="0"/>
                <w:sz w:val="21"/>
                <w:szCs w:val="21"/>
              </w:rPr>
            </w:pPr>
            <w:r>
              <w:rPr>
                <w:rFonts w:hint="eastAsia" w:eastAsia="宋体"/>
                <w:snapToGrid w:val="0"/>
                <w:sz w:val="21"/>
                <w:szCs w:val="21"/>
              </w:rPr>
              <w:t>+</w:t>
            </w:r>
            <w:r>
              <w:rPr>
                <w:snapToGrid w:val="0"/>
                <w:sz w:val="21"/>
                <w:szCs w:val="21"/>
              </w:rPr>
              <w:t>3611.23</w:t>
            </w:r>
          </w:p>
        </w:tc>
        <w:tc>
          <w:tcPr>
            <w:tcW w:w="818" w:type="pct"/>
            <w:noWrap/>
            <w:vAlign w:val="center"/>
          </w:tcPr>
          <w:p w14:paraId="11E0175E">
            <w:pPr>
              <w:spacing w:line="240" w:lineRule="auto"/>
              <w:ind w:firstLine="0" w:firstLineChars="0"/>
              <w:jc w:val="center"/>
              <w:rPr>
                <w:snapToGrid w:val="0"/>
                <w:sz w:val="21"/>
                <w:szCs w:val="21"/>
              </w:rPr>
            </w:pPr>
            <w:r>
              <w:rPr>
                <w:snapToGrid w:val="0"/>
                <w:sz w:val="21"/>
                <w:szCs w:val="21"/>
              </w:rPr>
              <w:t>426893.98</w:t>
            </w:r>
          </w:p>
        </w:tc>
        <w:tc>
          <w:tcPr>
            <w:tcW w:w="809" w:type="pct"/>
            <w:noWrap/>
            <w:vAlign w:val="center"/>
          </w:tcPr>
          <w:p w14:paraId="5CED369B">
            <w:pPr>
              <w:spacing w:line="240" w:lineRule="auto"/>
              <w:ind w:firstLine="0" w:firstLineChars="0"/>
              <w:jc w:val="center"/>
              <w:rPr>
                <w:snapToGrid w:val="0"/>
                <w:sz w:val="21"/>
                <w:szCs w:val="21"/>
              </w:rPr>
            </w:pPr>
            <w:r>
              <w:rPr>
                <w:rFonts w:hint="eastAsia" w:eastAsia="宋体"/>
                <w:snapToGrid w:val="0"/>
                <w:sz w:val="21"/>
                <w:szCs w:val="21"/>
              </w:rPr>
              <w:t>+</w:t>
            </w:r>
            <w:r>
              <w:rPr>
                <w:snapToGrid w:val="0"/>
                <w:sz w:val="21"/>
                <w:szCs w:val="21"/>
              </w:rPr>
              <w:t>186786.34</w:t>
            </w:r>
          </w:p>
        </w:tc>
        <w:tc>
          <w:tcPr>
            <w:tcW w:w="750" w:type="pct"/>
            <w:noWrap/>
            <w:vAlign w:val="center"/>
          </w:tcPr>
          <w:p w14:paraId="1354C0C3">
            <w:pPr>
              <w:spacing w:line="240" w:lineRule="auto"/>
              <w:ind w:firstLine="0" w:firstLineChars="0"/>
              <w:jc w:val="center"/>
              <w:rPr>
                <w:snapToGrid w:val="0"/>
                <w:sz w:val="21"/>
                <w:szCs w:val="21"/>
              </w:rPr>
            </w:pPr>
            <w:r>
              <w:rPr>
                <w:snapToGrid w:val="0"/>
                <w:sz w:val="21"/>
                <w:szCs w:val="21"/>
              </w:rPr>
              <w:t>446785.63</w:t>
            </w:r>
          </w:p>
        </w:tc>
      </w:tr>
      <w:tr w14:paraId="67589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vMerge w:val="continue"/>
            <w:noWrap/>
            <w:vAlign w:val="center"/>
          </w:tcPr>
          <w:p w14:paraId="32D72364">
            <w:pPr>
              <w:spacing w:line="240" w:lineRule="auto"/>
              <w:ind w:firstLine="0" w:firstLineChars="0"/>
              <w:jc w:val="center"/>
              <w:rPr>
                <w:snapToGrid w:val="0"/>
                <w:sz w:val="21"/>
                <w:szCs w:val="21"/>
              </w:rPr>
            </w:pPr>
          </w:p>
        </w:tc>
        <w:tc>
          <w:tcPr>
            <w:tcW w:w="576" w:type="pct"/>
            <w:noWrap/>
            <w:vAlign w:val="center"/>
          </w:tcPr>
          <w:p w14:paraId="02757DE3">
            <w:pPr>
              <w:spacing w:line="240" w:lineRule="auto"/>
              <w:ind w:firstLine="0" w:firstLineChars="0"/>
              <w:jc w:val="center"/>
              <w:rPr>
                <w:b/>
                <w:bCs/>
                <w:snapToGrid w:val="0"/>
                <w:sz w:val="21"/>
                <w:szCs w:val="21"/>
              </w:rPr>
            </w:pPr>
            <w:r>
              <w:rPr>
                <w:rFonts w:hint="eastAsia"/>
                <w:b/>
                <w:bCs/>
                <w:snapToGrid w:val="0"/>
                <w:sz w:val="21"/>
                <w:szCs w:val="21"/>
              </w:rPr>
              <w:t>总计</w:t>
            </w:r>
          </w:p>
        </w:tc>
        <w:tc>
          <w:tcPr>
            <w:tcW w:w="898" w:type="pct"/>
            <w:noWrap/>
            <w:vAlign w:val="center"/>
          </w:tcPr>
          <w:p w14:paraId="706B16AC">
            <w:pPr>
              <w:spacing w:line="240" w:lineRule="auto"/>
              <w:ind w:firstLine="0" w:firstLineChars="0"/>
              <w:jc w:val="center"/>
              <w:rPr>
                <w:b/>
                <w:bCs/>
                <w:snapToGrid w:val="0"/>
                <w:sz w:val="21"/>
                <w:szCs w:val="21"/>
              </w:rPr>
            </w:pPr>
            <w:r>
              <w:rPr>
                <w:b/>
                <w:bCs/>
                <w:snapToGrid w:val="0"/>
                <w:sz w:val="21"/>
                <w:szCs w:val="21"/>
              </w:rPr>
              <w:t>75513.81</w:t>
            </w:r>
          </w:p>
        </w:tc>
        <w:tc>
          <w:tcPr>
            <w:tcW w:w="774" w:type="pct"/>
            <w:noWrap/>
            <w:vAlign w:val="center"/>
          </w:tcPr>
          <w:p w14:paraId="5751C0F1">
            <w:pPr>
              <w:spacing w:line="240" w:lineRule="auto"/>
              <w:ind w:firstLine="0" w:firstLineChars="0"/>
              <w:jc w:val="center"/>
              <w:rPr>
                <w:b/>
                <w:bCs/>
                <w:snapToGrid w:val="0"/>
                <w:sz w:val="21"/>
                <w:szCs w:val="21"/>
              </w:rPr>
            </w:pPr>
            <w:r>
              <w:rPr>
                <w:rFonts w:hint="eastAsia" w:eastAsia="宋体"/>
                <w:b/>
                <w:bCs/>
                <w:snapToGrid w:val="0"/>
                <w:sz w:val="21"/>
                <w:szCs w:val="21"/>
              </w:rPr>
              <w:t>+</w:t>
            </w:r>
            <w:r>
              <w:rPr>
                <w:b/>
                <w:bCs/>
                <w:snapToGrid w:val="0"/>
                <w:sz w:val="21"/>
                <w:szCs w:val="21"/>
              </w:rPr>
              <w:t>3611.23</w:t>
            </w:r>
          </w:p>
        </w:tc>
        <w:tc>
          <w:tcPr>
            <w:tcW w:w="818" w:type="pct"/>
            <w:noWrap/>
            <w:vAlign w:val="center"/>
          </w:tcPr>
          <w:p w14:paraId="7663C313">
            <w:pPr>
              <w:spacing w:line="240" w:lineRule="auto"/>
              <w:ind w:firstLine="0" w:firstLineChars="0"/>
              <w:jc w:val="center"/>
              <w:rPr>
                <w:b/>
                <w:bCs/>
                <w:snapToGrid w:val="0"/>
                <w:sz w:val="21"/>
                <w:szCs w:val="21"/>
              </w:rPr>
            </w:pPr>
            <w:r>
              <w:rPr>
                <w:b/>
                <w:bCs/>
                <w:snapToGrid w:val="0"/>
                <w:sz w:val="21"/>
                <w:szCs w:val="21"/>
              </w:rPr>
              <w:t>428284.36</w:t>
            </w:r>
          </w:p>
        </w:tc>
        <w:tc>
          <w:tcPr>
            <w:tcW w:w="809" w:type="pct"/>
            <w:noWrap/>
            <w:vAlign w:val="center"/>
          </w:tcPr>
          <w:p w14:paraId="6C3FB4D3">
            <w:pPr>
              <w:spacing w:line="240" w:lineRule="auto"/>
              <w:ind w:firstLine="0" w:firstLineChars="0"/>
              <w:jc w:val="center"/>
              <w:rPr>
                <w:b/>
                <w:bCs/>
                <w:snapToGrid w:val="0"/>
                <w:sz w:val="21"/>
                <w:szCs w:val="21"/>
              </w:rPr>
            </w:pPr>
            <w:r>
              <w:rPr>
                <w:rFonts w:hint="eastAsia" w:eastAsia="宋体"/>
                <w:b/>
                <w:bCs/>
                <w:snapToGrid w:val="0"/>
                <w:sz w:val="21"/>
                <w:szCs w:val="21"/>
              </w:rPr>
              <w:t>+</w:t>
            </w:r>
            <w:r>
              <w:rPr>
                <w:b/>
                <w:bCs/>
                <w:snapToGrid w:val="0"/>
                <w:sz w:val="21"/>
                <w:szCs w:val="21"/>
              </w:rPr>
              <w:t>186786.34</w:t>
            </w:r>
          </w:p>
        </w:tc>
        <w:tc>
          <w:tcPr>
            <w:tcW w:w="750" w:type="pct"/>
            <w:noWrap/>
            <w:vAlign w:val="center"/>
          </w:tcPr>
          <w:p w14:paraId="6308E57B">
            <w:pPr>
              <w:spacing w:line="240" w:lineRule="auto"/>
              <w:ind w:firstLine="0" w:firstLineChars="0"/>
              <w:jc w:val="center"/>
              <w:rPr>
                <w:b/>
                <w:bCs/>
                <w:snapToGrid w:val="0"/>
                <w:sz w:val="21"/>
                <w:szCs w:val="21"/>
              </w:rPr>
            </w:pPr>
            <w:r>
              <w:rPr>
                <w:b/>
                <w:bCs/>
                <w:snapToGrid w:val="0"/>
                <w:sz w:val="21"/>
                <w:szCs w:val="21"/>
              </w:rPr>
              <w:t>503798.17</w:t>
            </w:r>
          </w:p>
        </w:tc>
      </w:tr>
      <w:tr w14:paraId="19AE6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vMerge w:val="restart"/>
            <w:noWrap/>
            <w:vAlign w:val="center"/>
          </w:tcPr>
          <w:p w14:paraId="4B99348E">
            <w:pPr>
              <w:spacing w:line="240" w:lineRule="auto"/>
              <w:ind w:firstLine="0" w:firstLineChars="0"/>
              <w:jc w:val="center"/>
              <w:rPr>
                <w:snapToGrid w:val="0"/>
                <w:sz w:val="21"/>
                <w:szCs w:val="21"/>
              </w:rPr>
            </w:pPr>
            <w:r>
              <w:rPr>
                <w:rFonts w:hint="eastAsia"/>
                <w:snapToGrid w:val="0"/>
                <w:sz w:val="21"/>
                <w:szCs w:val="21"/>
              </w:rPr>
              <w:t>规划远期</w:t>
            </w:r>
          </w:p>
        </w:tc>
        <w:tc>
          <w:tcPr>
            <w:tcW w:w="576" w:type="pct"/>
            <w:noWrap/>
            <w:vAlign w:val="center"/>
          </w:tcPr>
          <w:p w14:paraId="4F81FC48">
            <w:pPr>
              <w:spacing w:line="240" w:lineRule="auto"/>
              <w:ind w:firstLine="0" w:firstLineChars="0"/>
              <w:jc w:val="center"/>
              <w:rPr>
                <w:snapToGrid w:val="0"/>
                <w:sz w:val="21"/>
                <w:szCs w:val="21"/>
              </w:rPr>
            </w:pPr>
            <w:r>
              <w:rPr>
                <w:rFonts w:hint="eastAsia"/>
                <w:snapToGrid w:val="0"/>
                <w:sz w:val="21"/>
                <w:szCs w:val="21"/>
              </w:rPr>
              <w:t>工业源</w:t>
            </w:r>
          </w:p>
        </w:tc>
        <w:tc>
          <w:tcPr>
            <w:tcW w:w="898" w:type="pct"/>
            <w:noWrap/>
            <w:vAlign w:val="center"/>
          </w:tcPr>
          <w:p w14:paraId="48B8480C">
            <w:pPr>
              <w:spacing w:line="240" w:lineRule="auto"/>
              <w:ind w:firstLine="0" w:firstLineChars="0"/>
              <w:jc w:val="center"/>
              <w:rPr>
                <w:snapToGrid w:val="0"/>
                <w:sz w:val="21"/>
                <w:szCs w:val="21"/>
              </w:rPr>
            </w:pPr>
            <w:r>
              <w:rPr>
                <w:rFonts w:hint="eastAsia"/>
                <w:snapToGrid w:val="0"/>
                <w:sz w:val="21"/>
                <w:szCs w:val="21"/>
              </w:rPr>
              <w:t>0</w:t>
            </w:r>
          </w:p>
        </w:tc>
        <w:tc>
          <w:tcPr>
            <w:tcW w:w="774" w:type="pct"/>
            <w:noWrap/>
            <w:vAlign w:val="center"/>
          </w:tcPr>
          <w:p w14:paraId="60B0D1CB">
            <w:pPr>
              <w:spacing w:line="240" w:lineRule="auto"/>
              <w:ind w:firstLine="0" w:firstLineChars="0"/>
              <w:jc w:val="center"/>
              <w:rPr>
                <w:snapToGrid w:val="0"/>
                <w:sz w:val="21"/>
                <w:szCs w:val="21"/>
              </w:rPr>
            </w:pPr>
            <w:r>
              <w:rPr>
                <w:rFonts w:hint="eastAsia"/>
                <w:snapToGrid w:val="0"/>
                <w:sz w:val="21"/>
                <w:szCs w:val="21"/>
              </w:rPr>
              <w:t>-55622.16</w:t>
            </w:r>
          </w:p>
        </w:tc>
        <w:tc>
          <w:tcPr>
            <w:tcW w:w="818" w:type="pct"/>
            <w:noWrap/>
            <w:vAlign w:val="center"/>
          </w:tcPr>
          <w:p w14:paraId="7A6D45FD">
            <w:pPr>
              <w:spacing w:line="240" w:lineRule="auto"/>
              <w:ind w:firstLine="0" w:firstLineChars="0"/>
              <w:jc w:val="center"/>
              <w:rPr>
                <w:snapToGrid w:val="0"/>
                <w:sz w:val="21"/>
                <w:szCs w:val="21"/>
              </w:rPr>
            </w:pPr>
            <w:r>
              <w:rPr>
                <w:rFonts w:hint="eastAsia"/>
                <w:snapToGrid w:val="0"/>
                <w:sz w:val="21"/>
                <w:szCs w:val="21"/>
              </w:rPr>
              <w:t>0</w:t>
            </w:r>
          </w:p>
        </w:tc>
        <w:tc>
          <w:tcPr>
            <w:tcW w:w="809" w:type="pct"/>
            <w:noWrap/>
            <w:vAlign w:val="center"/>
          </w:tcPr>
          <w:p w14:paraId="4D22F4AB">
            <w:pPr>
              <w:spacing w:line="240" w:lineRule="auto"/>
              <w:ind w:firstLine="0" w:firstLineChars="0"/>
              <w:jc w:val="center"/>
              <w:rPr>
                <w:snapToGrid w:val="0"/>
                <w:sz w:val="21"/>
                <w:szCs w:val="21"/>
              </w:rPr>
            </w:pPr>
            <w:r>
              <w:rPr>
                <w:rFonts w:hint="eastAsia"/>
                <w:snapToGrid w:val="0"/>
                <w:sz w:val="21"/>
                <w:szCs w:val="21"/>
              </w:rPr>
              <w:t>-1390.38</w:t>
            </w:r>
          </w:p>
        </w:tc>
        <w:tc>
          <w:tcPr>
            <w:tcW w:w="750" w:type="pct"/>
            <w:noWrap/>
            <w:vAlign w:val="center"/>
          </w:tcPr>
          <w:p w14:paraId="51112467">
            <w:pPr>
              <w:spacing w:line="240" w:lineRule="auto"/>
              <w:ind w:firstLine="0" w:firstLineChars="0"/>
              <w:jc w:val="center"/>
              <w:rPr>
                <w:snapToGrid w:val="0"/>
                <w:sz w:val="21"/>
                <w:szCs w:val="21"/>
              </w:rPr>
            </w:pPr>
            <w:r>
              <w:rPr>
                <w:rFonts w:hint="eastAsia"/>
                <w:snapToGrid w:val="0"/>
                <w:sz w:val="21"/>
                <w:szCs w:val="21"/>
              </w:rPr>
              <w:t>0</w:t>
            </w:r>
          </w:p>
        </w:tc>
      </w:tr>
      <w:tr w14:paraId="01327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vMerge w:val="continue"/>
            <w:noWrap/>
            <w:vAlign w:val="center"/>
          </w:tcPr>
          <w:p w14:paraId="5395439E">
            <w:pPr>
              <w:spacing w:line="240" w:lineRule="auto"/>
              <w:ind w:firstLine="0" w:firstLineChars="0"/>
              <w:jc w:val="center"/>
              <w:rPr>
                <w:snapToGrid w:val="0"/>
                <w:sz w:val="21"/>
                <w:szCs w:val="21"/>
              </w:rPr>
            </w:pPr>
          </w:p>
        </w:tc>
        <w:tc>
          <w:tcPr>
            <w:tcW w:w="576" w:type="pct"/>
            <w:noWrap/>
            <w:vAlign w:val="center"/>
          </w:tcPr>
          <w:p w14:paraId="204FF2D8">
            <w:pPr>
              <w:spacing w:line="240" w:lineRule="auto"/>
              <w:ind w:firstLine="0" w:firstLineChars="0"/>
              <w:jc w:val="center"/>
              <w:rPr>
                <w:snapToGrid w:val="0"/>
                <w:sz w:val="21"/>
                <w:szCs w:val="21"/>
              </w:rPr>
            </w:pPr>
            <w:r>
              <w:rPr>
                <w:rFonts w:hint="eastAsia"/>
                <w:snapToGrid w:val="0"/>
                <w:sz w:val="21"/>
                <w:szCs w:val="21"/>
              </w:rPr>
              <w:t>生活源</w:t>
            </w:r>
          </w:p>
        </w:tc>
        <w:tc>
          <w:tcPr>
            <w:tcW w:w="898" w:type="pct"/>
            <w:noWrap/>
            <w:vAlign w:val="center"/>
          </w:tcPr>
          <w:p w14:paraId="36241845">
            <w:pPr>
              <w:spacing w:line="240" w:lineRule="auto"/>
              <w:ind w:firstLine="0" w:firstLineChars="0"/>
              <w:jc w:val="center"/>
              <w:rPr>
                <w:snapToGrid w:val="0"/>
                <w:sz w:val="21"/>
                <w:szCs w:val="21"/>
              </w:rPr>
            </w:pPr>
            <w:r>
              <w:rPr>
                <w:rFonts w:hint="eastAsia"/>
                <w:snapToGrid w:val="0"/>
                <w:sz w:val="21"/>
                <w:szCs w:val="21"/>
              </w:rPr>
              <w:t>24415.92</w:t>
            </w:r>
          </w:p>
        </w:tc>
        <w:tc>
          <w:tcPr>
            <w:tcW w:w="774" w:type="pct"/>
            <w:noWrap/>
            <w:vAlign w:val="center"/>
          </w:tcPr>
          <w:p w14:paraId="21C3D3B4">
            <w:pPr>
              <w:spacing w:line="240" w:lineRule="auto"/>
              <w:ind w:firstLine="0" w:firstLineChars="0"/>
              <w:jc w:val="center"/>
              <w:rPr>
                <w:snapToGrid w:val="0"/>
                <w:sz w:val="21"/>
                <w:szCs w:val="21"/>
              </w:rPr>
            </w:pPr>
            <w:r>
              <w:rPr>
                <w:rFonts w:hint="eastAsia"/>
                <w:snapToGrid w:val="0"/>
                <w:sz w:val="21"/>
                <w:szCs w:val="21"/>
              </w:rPr>
              <w:t>+8135.50</w:t>
            </w:r>
          </w:p>
        </w:tc>
        <w:tc>
          <w:tcPr>
            <w:tcW w:w="818" w:type="pct"/>
            <w:noWrap/>
            <w:vAlign w:val="center"/>
          </w:tcPr>
          <w:p w14:paraId="709D628D">
            <w:pPr>
              <w:spacing w:line="240" w:lineRule="auto"/>
              <w:ind w:firstLine="0" w:firstLineChars="0"/>
              <w:jc w:val="center"/>
              <w:rPr>
                <w:snapToGrid w:val="0"/>
                <w:sz w:val="21"/>
                <w:szCs w:val="21"/>
              </w:rPr>
            </w:pPr>
            <w:r>
              <w:rPr>
                <w:rFonts w:hint="eastAsia"/>
                <w:snapToGrid w:val="0"/>
                <w:sz w:val="21"/>
                <w:szCs w:val="21"/>
              </w:rPr>
              <w:t>523989.17</w:t>
            </w:r>
          </w:p>
        </w:tc>
        <w:tc>
          <w:tcPr>
            <w:tcW w:w="809" w:type="pct"/>
            <w:noWrap/>
            <w:vAlign w:val="center"/>
          </w:tcPr>
          <w:p w14:paraId="60DAA3F9">
            <w:pPr>
              <w:spacing w:line="240" w:lineRule="auto"/>
              <w:ind w:firstLine="0" w:firstLineChars="0"/>
              <w:jc w:val="center"/>
              <w:rPr>
                <w:snapToGrid w:val="0"/>
                <w:sz w:val="21"/>
                <w:szCs w:val="21"/>
              </w:rPr>
            </w:pPr>
            <w:r>
              <w:rPr>
                <w:rFonts w:hint="eastAsia"/>
                <w:snapToGrid w:val="0"/>
                <w:sz w:val="21"/>
                <w:szCs w:val="21"/>
              </w:rPr>
              <w:t>+283881.53</w:t>
            </w:r>
          </w:p>
        </w:tc>
        <w:tc>
          <w:tcPr>
            <w:tcW w:w="750" w:type="pct"/>
            <w:noWrap/>
            <w:vAlign w:val="center"/>
          </w:tcPr>
          <w:p w14:paraId="3ED15EE6">
            <w:pPr>
              <w:spacing w:line="240" w:lineRule="auto"/>
              <w:ind w:firstLine="0" w:firstLineChars="0"/>
              <w:jc w:val="center"/>
              <w:rPr>
                <w:snapToGrid w:val="0"/>
                <w:sz w:val="21"/>
                <w:szCs w:val="21"/>
              </w:rPr>
            </w:pPr>
            <w:r>
              <w:rPr>
                <w:rFonts w:hint="eastAsia"/>
                <w:snapToGrid w:val="0"/>
                <w:sz w:val="21"/>
                <w:szCs w:val="21"/>
              </w:rPr>
              <w:t>548405.09</w:t>
            </w:r>
          </w:p>
        </w:tc>
      </w:tr>
      <w:tr w14:paraId="372CC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vMerge w:val="continue"/>
            <w:noWrap/>
            <w:vAlign w:val="center"/>
          </w:tcPr>
          <w:p w14:paraId="07F5D10C">
            <w:pPr>
              <w:spacing w:line="240" w:lineRule="auto"/>
              <w:ind w:firstLine="0" w:firstLineChars="0"/>
              <w:jc w:val="center"/>
              <w:rPr>
                <w:snapToGrid w:val="0"/>
                <w:sz w:val="21"/>
                <w:szCs w:val="21"/>
              </w:rPr>
            </w:pPr>
          </w:p>
        </w:tc>
        <w:tc>
          <w:tcPr>
            <w:tcW w:w="576" w:type="pct"/>
            <w:noWrap/>
            <w:vAlign w:val="center"/>
          </w:tcPr>
          <w:p w14:paraId="7C617B98">
            <w:pPr>
              <w:spacing w:line="240" w:lineRule="auto"/>
              <w:ind w:firstLine="0" w:firstLineChars="0"/>
              <w:jc w:val="center"/>
              <w:rPr>
                <w:b/>
                <w:bCs/>
                <w:snapToGrid w:val="0"/>
                <w:sz w:val="21"/>
                <w:szCs w:val="21"/>
              </w:rPr>
            </w:pPr>
            <w:r>
              <w:rPr>
                <w:rFonts w:hint="eastAsia"/>
                <w:b/>
                <w:bCs/>
                <w:snapToGrid w:val="0"/>
                <w:sz w:val="21"/>
                <w:szCs w:val="21"/>
              </w:rPr>
              <w:t>总计</w:t>
            </w:r>
          </w:p>
        </w:tc>
        <w:tc>
          <w:tcPr>
            <w:tcW w:w="898" w:type="pct"/>
            <w:noWrap/>
            <w:vAlign w:val="center"/>
          </w:tcPr>
          <w:p w14:paraId="42CF7170">
            <w:pPr>
              <w:spacing w:line="240" w:lineRule="auto"/>
              <w:ind w:firstLine="0" w:firstLineChars="0"/>
              <w:jc w:val="center"/>
              <w:rPr>
                <w:b/>
                <w:bCs/>
                <w:snapToGrid w:val="0"/>
                <w:sz w:val="21"/>
                <w:szCs w:val="21"/>
              </w:rPr>
            </w:pPr>
            <w:r>
              <w:rPr>
                <w:rFonts w:hint="eastAsia"/>
                <w:b/>
                <w:bCs/>
                <w:snapToGrid w:val="0"/>
                <w:sz w:val="21"/>
                <w:szCs w:val="21"/>
              </w:rPr>
              <w:t>24415.92</w:t>
            </w:r>
          </w:p>
        </w:tc>
        <w:tc>
          <w:tcPr>
            <w:tcW w:w="774" w:type="pct"/>
            <w:noWrap/>
            <w:vAlign w:val="center"/>
          </w:tcPr>
          <w:p w14:paraId="2B3FB79F">
            <w:pPr>
              <w:spacing w:line="240" w:lineRule="auto"/>
              <w:ind w:firstLine="0" w:firstLineChars="0"/>
              <w:jc w:val="center"/>
              <w:rPr>
                <w:b/>
                <w:bCs/>
                <w:snapToGrid w:val="0"/>
                <w:sz w:val="21"/>
                <w:szCs w:val="21"/>
              </w:rPr>
            </w:pPr>
            <w:r>
              <w:rPr>
                <w:rFonts w:hint="eastAsia"/>
                <w:b/>
                <w:bCs/>
                <w:snapToGrid w:val="0"/>
                <w:sz w:val="21"/>
                <w:szCs w:val="21"/>
              </w:rPr>
              <w:t>-47486.66</w:t>
            </w:r>
          </w:p>
        </w:tc>
        <w:tc>
          <w:tcPr>
            <w:tcW w:w="818" w:type="pct"/>
            <w:noWrap/>
            <w:vAlign w:val="center"/>
          </w:tcPr>
          <w:p w14:paraId="467411BF">
            <w:pPr>
              <w:spacing w:line="240" w:lineRule="auto"/>
              <w:ind w:firstLine="0" w:firstLineChars="0"/>
              <w:jc w:val="center"/>
              <w:rPr>
                <w:b/>
                <w:bCs/>
                <w:snapToGrid w:val="0"/>
                <w:sz w:val="21"/>
                <w:szCs w:val="21"/>
              </w:rPr>
            </w:pPr>
            <w:r>
              <w:rPr>
                <w:rFonts w:hint="eastAsia"/>
                <w:b/>
                <w:bCs/>
                <w:snapToGrid w:val="0"/>
                <w:sz w:val="21"/>
                <w:szCs w:val="21"/>
              </w:rPr>
              <w:t>523989.17</w:t>
            </w:r>
          </w:p>
        </w:tc>
        <w:tc>
          <w:tcPr>
            <w:tcW w:w="809" w:type="pct"/>
            <w:noWrap/>
            <w:vAlign w:val="center"/>
          </w:tcPr>
          <w:p w14:paraId="6DD9B50F">
            <w:pPr>
              <w:spacing w:line="240" w:lineRule="auto"/>
              <w:ind w:firstLine="0" w:firstLineChars="0"/>
              <w:jc w:val="center"/>
              <w:rPr>
                <w:b/>
                <w:bCs/>
                <w:snapToGrid w:val="0"/>
                <w:sz w:val="21"/>
                <w:szCs w:val="21"/>
              </w:rPr>
            </w:pPr>
            <w:r>
              <w:rPr>
                <w:rFonts w:hint="eastAsia"/>
                <w:b/>
                <w:bCs/>
                <w:snapToGrid w:val="0"/>
                <w:sz w:val="21"/>
                <w:szCs w:val="21"/>
              </w:rPr>
              <w:t>+282491.15</w:t>
            </w:r>
          </w:p>
        </w:tc>
        <w:tc>
          <w:tcPr>
            <w:tcW w:w="750" w:type="pct"/>
            <w:noWrap/>
            <w:vAlign w:val="center"/>
          </w:tcPr>
          <w:p w14:paraId="5403F722">
            <w:pPr>
              <w:spacing w:line="240" w:lineRule="auto"/>
              <w:ind w:firstLine="0" w:firstLineChars="0"/>
              <w:jc w:val="center"/>
              <w:rPr>
                <w:b/>
                <w:bCs/>
                <w:snapToGrid w:val="0"/>
                <w:sz w:val="21"/>
                <w:szCs w:val="21"/>
              </w:rPr>
            </w:pPr>
            <w:r>
              <w:rPr>
                <w:b/>
                <w:bCs/>
                <w:snapToGrid w:val="0"/>
                <w:sz w:val="21"/>
                <w:szCs w:val="21"/>
              </w:rPr>
              <w:t>548405.09</w:t>
            </w:r>
          </w:p>
        </w:tc>
      </w:tr>
    </w:tbl>
    <w:p w14:paraId="4C1ED2E1">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5.11.2碳减排建议</w:t>
      </w:r>
    </w:p>
    <w:p w14:paraId="558CED1C">
      <w:pPr>
        <w:ind w:firstLine="482"/>
        <w:rPr>
          <w:b/>
          <w:bCs/>
        </w:rPr>
      </w:pPr>
      <w:r>
        <w:rPr>
          <w:rFonts w:hint="eastAsia"/>
          <w:b/>
          <w:bCs/>
        </w:rPr>
        <w:t>（1）交通领域减排建议</w:t>
      </w:r>
    </w:p>
    <w:p w14:paraId="1A71302E">
      <w:pPr>
        <w:ind w:firstLine="480"/>
      </w:pPr>
      <w:r>
        <w:rPr>
          <w:rFonts w:hint="eastAsia"/>
        </w:rPr>
        <w:t>倡导低碳出行。通过宣传和教育，引导游客选择步行、骑行等低碳出行方式，在度假区内部游览时，尽量使用步行道、自行车道等低碳设施。</w:t>
      </w:r>
    </w:p>
    <w:p w14:paraId="0352027F">
      <w:pPr>
        <w:ind w:firstLine="480"/>
      </w:pPr>
      <w:r>
        <w:rPr>
          <w:rFonts w:hint="eastAsia"/>
        </w:rPr>
        <w:t>优化交通结构。广泛应用新能源和清洁能源车，区域内接驳巴士全部采用纯电动车或混合动力车；员工交通、物料运输采用电动车；停车场和酒店等设置充电桩；区域内新能源和清洁能源巴士达到80%以上；在旅游高峰期，对进入度假区的车辆实施限行、限号等措施，减少交通拥堵和排放；利用大数据、物联网等技术，实现交通流量的实时监测和智能调度，提高交通运行效率。</w:t>
      </w:r>
    </w:p>
    <w:p w14:paraId="7C3674EF">
      <w:pPr>
        <w:ind w:firstLine="482"/>
        <w:rPr>
          <w:b/>
          <w:bCs/>
        </w:rPr>
      </w:pPr>
      <w:r>
        <w:rPr>
          <w:rFonts w:hint="eastAsia"/>
          <w:b/>
          <w:bCs/>
        </w:rPr>
        <w:t>（2）住宿领域减排建议</w:t>
      </w:r>
    </w:p>
    <w:p w14:paraId="5030FADF">
      <w:pPr>
        <w:ind w:firstLine="480"/>
      </w:pPr>
      <w:r>
        <w:rPr>
          <w:rFonts w:hint="eastAsia"/>
        </w:rPr>
        <w:t>推广绿色住宿。在度假区的住宿设施建设中，采用绿色建筑标准，积极推进申报绿色建筑三星、二星级设计认证，使用环保材料，提高建筑的保温隔热性能；推广使用节能灯具、高效能空调、太阳能热水系统等节能设备，减少能源消耗。</w:t>
      </w:r>
    </w:p>
    <w:p w14:paraId="02152C22">
      <w:pPr>
        <w:ind w:firstLine="480"/>
      </w:pPr>
      <w:r>
        <w:rPr>
          <w:rFonts w:hint="eastAsia"/>
        </w:rPr>
        <w:t>倡导绿色消费。在住宿设施中推广绿色消费理念，鼓励游客使用可重复使用的洗漱用品、减少一次性用品的使用。</w:t>
      </w:r>
    </w:p>
    <w:p w14:paraId="014AD625">
      <w:pPr>
        <w:ind w:firstLine="480"/>
      </w:pPr>
      <w:r>
        <w:rPr>
          <w:rFonts w:hint="eastAsia"/>
        </w:rPr>
        <w:t>加强员工培训。对住宿设施的员工进行节能减排培训，增强员工的环保意识和节能技能。</w:t>
      </w:r>
    </w:p>
    <w:p w14:paraId="2F05E8FD">
      <w:pPr>
        <w:ind w:firstLine="482"/>
        <w:rPr>
          <w:b/>
          <w:bCs/>
        </w:rPr>
      </w:pPr>
      <w:r>
        <w:rPr>
          <w:rFonts w:hint="eastAsia"/>
          <w:b/>
          <w:bCs/>
        </w:rPr>
        <w:t>（3）餐饮领域减排建议</w:t>
      </w:r>
    </w:p>
    <w:p w14:paraId="10C80E72">
      <w:pPr>
        <w:ind w:firstLine="480"/>
      </w:pPr>
      <w:r>
        <w:rPr>
          <w:rFonts w:hint="eastAsia"/>
        </w:rPr>
        <w:t>推广绿色餐饮。合理安排餐饮供应，避免食物浪费，对剩余食物进行妥善处理，减少食物生产和运输过程中的碳排放；在餐饮设施中推广使用可降解或可重复使用的餐具，减少一次性餐具的使用。</w:t>
      </w:r>
    </w:p>
    <w:p w14:paraId="65DED842">
      <w:pPr>
        <w:ind w:firstLine="480"/>
      </w:pPr>
      <w:r>
        <w:rPr>
          <w:rFonts w:hint="eastAsia"/>
        </w:rPr>
        <w:t>加强能源管理。对餐饮设施的能源消耗进行量化管理，采取节能措施，如使用节能炉灶、优化照明系统等。</w:t>
      </w:r>
    </w:p>
    <w:p w14:paraId="311B3DF2">
      <w:pPr>
        <w:ind w:firstLine="482"/>
        <w:rPr>
          <w:b/>
          <w:bCs/>
        </w:rPr>
      </w:pPr>
      <w:r>
        <w:rPr>
          <w:rFonts w:hint="eastAsia"/>
          <w:b/>
          <w:bCs/>
        </w:rPr>
        <w:t>（4）游览领域减排建议</w:t>
      </w:r>
    </w:p>
    <w:p w14:paraId="7D244686">
      <w:pPr>
        <w:ind w:firstLine="480"/>
      </w:pPr>
      <w:r>
        <w:rPr>
          <w:rFonts w:hint="eastAsia"/>
        </w:rPr>
        <w:t>优化游览路线。根据度假区的地形、气候等条件，合理规划游览路线，减少游客在景区内的移动距离和能源消耗。</w:t>
      </w:r>
    </w:p>
    <w:p w14:paraId="73B28C2C">
      <w:pPr>
        <w:ind w:firstLine="480"/>
      </w:pPr>
      <w:r>
        <w:rPr>
          <w:rFonts w:hint="eastAsia"/>
        </w:rPr>
        <w:t>提供低碳设施。在游览路线上设置休息站、观景台等低碳设施，为游客提供舒适的游览体验。</w:t>
      </w:r>
    </w:p>
    <w:p w14:paraId="23B859D0">
      <w:pPr>
        <w:ind w:firstLine="480"/>
      </w:pPr>
      <w:r>
        <w:rPr>
          <w:rFonts w:hint="eastAsia"/>
        </w:rPr>
        <w:t>开展低碳教育。在度假区内部设置环保教育展板、宣传栏等，向游客普及环保知识，增强游客的环保意识；通过宣传和教育，引导游客在游览过程中采取低碳行为，如不乱扔垃圾、不破坏植被等。</w:t>
      </w:r>
    </w:p>
    <w:p w14:paraId="725A54B4">
      <w:pPr>
        <w:pStyle w:val="2"/>
        <w:ind w:firstLine="0" w:firstLineChars="0"/>
      </w:pPr>
      <w:bookmarkStart w:id="113" w:name="_Toc217294065"/>
      <w:r>
        <w:t>6</w:t>
      </w:r>
      <w:r>
        <w:rPr>
          <w:rFonts w:hint="eastAsia"/>
        </w:rPr>
        <w:t>生态环境影响评价</w:t>
      </w:r>
      <w:bookmarkEnd w:id="113"/>
    </w:p>
    <w:p w14:paraId="0E707CEC">
      <w:pPr>
        <w:pStyle w:val="3"/>
        <w:ind w:firstLine="0" w:firstLineChars="0"/>
        <w:rPr>
          <w:rFonts w:cs="Times New Roman"/>
        </w:rPr>
      </w:pPr>
      <w:bookmarkStart w:id="114" w:name="_Toc217294066"/>
      <w:r>
        <w:rPr>
          <w:rFonts w:cs="Times New Roman"/>
        </w:rPr>
        <w:t>6.1</w:t>
      </w:r>
      <w:r>
        <w:rPr>
          <w:rFonts w:hint="eastAsia" w:cs="Times New Roman"/>
        </w:rPr>
        <w:t>生态影响识别</w:t>
      </w:r>
      <w:bookmarkEnd w:id="114"/>
    </w:p>
    <w:p w14:paraId="0C752335">
      <w:pPr>
        <w:ind w:firstLine="480"/>
      </w:pPr>
      <w:r>
        <w:rPr>
          <w:rFonts w:hint="eastAsia"/>
        </w:rPr>
        <w:t>结合</w:t>
      </w:r>
      <w:r>
        <w:t>规划所在地各生态环境因子的重要性和可能受影响的程度，对生态环境因素进行识别，</w:t>
      </w:r>
      <w:r>
        <w:rPr>
          <w:rFonts w:hint="eastAsia"/>
        </w:rPr>
        <w:t>确定生态评价的要素为：水土流失、植被、动物、生物多样性以及景观格局五大生态要素，具体</w:t>
      </w:r>
      <w:r>
        <w:t>情况见表</w:t>
      </w:r>
      <w:r>
        <w:rPr>
          <w:rFonts w:hint="eastAsia"/>
        </w:rPr>
        <w:t>6</w:t>
      </w:r>
      <w:r>
        <w:t>.1-1。</w:t>
      </w:r>
    </w:p>
    <w:p w14:paraId="04D467F2">
      <w:pPr>
        <w:pStyle w:val="45"/>
        <w:rPr>
          <w:rFonts w:cs="Times New Roman"/>
        </w:rPr>
      </w:pPr>
      <w:r>
        <w:rPr>
          <w:rFonts w:cs="Times New Roman"/>
        </w:rPr>
        <w:t>表6.1-1  生态环境影响识别表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4"/>
        <w:gridCol w:w="1454"/>
        <w:gridCol w:w="883"/>
        <w:gridCol w:w="926"/>
        <w:gridCol w:w="1108"/>
        <w:gridCol w:w="883"/>
        <w:gridCol w:w="883"/>
        <w:gridCol w:w="906"/>
        <w:gridCol w:w="905"/>
      </w:tblGrid>
      <w:tr w14:paraId="39754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39" w:type="pct"/>
            <w:vMerge w:val="restart"/>
            <w:vAlign w:val="center"/>
          </w:tcPr>
          <w:p w14:paraId="63A47186">
            <w:pPr>
              <w:widowControl/>
              <w:snapToGrid w:val="0"/>
              <w:spacing w:line="240" w:lineRule="auto"/>
              <w:ind w:firstLine="0" w:firstLineChars="0"/>
              <w:jc w:val="center"/>
              <w:rPr>
                <w:rFonts w:cs="Times New Roman"/>
                <w:b/>
                <w:sz w:val="21"/>
                <w:szCs w:val="21"/>
              </w:rPr>
            </w:pPr>
            <w:r>
              <w:rPr>
                <w:rFonts w:hint="eastAsia" w:cs="Times New Roman"/>
                <w:b/>
                <w:sz w:val="21"/>
                <w:szCs w:val="21"/>
              </w:rPr>
              <w:t>影响期</w:t>
            </w:r>
          </w:p>
        </w:tc>
        <w:tc>
          <w:tcPr>
            <w:tcW w:w="855" w:type="pct"/>
            <w:vMerge w:val="restart"/>
            <w:vAlign w:val="center"/>
          </w:tcPr>
          <w:p w14:paraId="36A40DE1">
            <w:pPr>
              <w:widowControl/>
              <w:snapToGrid w:val="0"/>
              <w:spacing w:line="240" w:lineRule="auto"/>
              <w:ind w:firstLine="0" w:firstLineChars="0"/>
              <w:jc w:val="center"/>
              <w:rPr>
                <w:rFonts w:cs="Times New Roman"/>
                <w:b/>
                <w:sz w:val="21"/>
                <w:szCs w:val="21"/>
              </w:rPr>
            </w:pPr>
            <w:r>
              <w:rPr>
                <w:rFonts w:hint="eastAsia" w:cs="Times New Roman"/>
                <w:b/>
                <w:sz w:val="21"/>
                <w:szCs w:val="21"/>
              </w:rPr>
              <w:t>影响行为</w:t>
            </w:r>
          </w:p>
          <w:p w14:paraId="4EB52F4E">
            <w:pPr>
              <w:widowControl/>
              <w:snapToGrid w:val="0"/>
              <w:spacing w:line="240" w:lineRule="auto"/>
              <w:ind w:firstLine="0" w:firstLineChars="0"/>
              <w:jc w:val="center"/>
              <w:rPr>
                <w:rFonts w:cs="Times New Roman"/>
                <w:b/>
                <w:sz w:val="21"/>
                <w:szCs w:val="21"/>
              </w:rPr>
            </w:pPr>
            <w:r>
              <w:rPr>
                <w:rFonts w:hint="eastAsia" w:cs="Times New Roman"/>
                <w:b/>
                <w:sz w:val="21"/>
                <w:szCs w:val="21"/>
              </w:rPr>
              <w:t>和构筑物</w:t>
            </w:r>
          </w:p>
        </w:tc>
        <w:tc>
          <w:tcPr>
            <w:tcW w:w="1708" w:type="pct"/>
            <w:gridSpan w:val="3"/>
            <w:vAlign w:val="center"/>
          </w:tcPr>
          <w:p w14:paraId="17E49084">
            <w:pPr>
              <w:widowControl/>
              <w:snapToGrid w:val="0"/>
              <w:spacing w:line="240" w:lineRule="auto"/>
              <w:ind w:firstLine="0" w:firstLineChars="0"/>
              <w:jc w:val="center"/>
              <w:rPr>
                <w:rFonts w:cs="Times New Roman"/>
                <w:b/>
                <w:sz w:val="21"/>
                <w:szCs w:val="21"/>
              </w:rPr>
            </w:pPr>
            <w:r>
              <w:rPr>
                <w:rFonts w:hint="eastAsia" w:cs="Times New Roman"/>
                <w:b/>
                <w:sz w:val="21"/>
                <w:szCs w:val="21"/>
              </w:rPr>
              <w:t>生物因素</w:t>
            </w:r>
          </w:p>
        </w:tc>
        <w:tc>
          <w:tcPr>
            <w:tcW w:w="2097" w:type="pct"/>
            <w:gridSpan w:val="4"/>
            <w:vAlign w:val="center"/>
          </w:tcPr>
          <w:p w14:paraId="3688CEE0">
            <w:pPr>
              <w:widowControl/>
              <w:snapToGrid w:val="0"/>
              <w:spacing w:line="240" w:lineRule="auto"/>
              <w:ind w:firstLine="0" w:firstLineChars="0"/>
              <w:jc w:val="center"/>
              <w:rPr>
                <w:rFonts w:cs="Times New Roman"/>
                <w:b/>
                <w:sz w:val="21"/>
                <w:szCs w:val="21"/>
              </w:rPr>
            </w:pPr>
            <w:r>
              <w:rPr>
                <w:rFonts w:hint="eastAsia" w:cs="Times New Roman"/>
                <w:b/>
                <w:sz w:val="21"/>
                <w:szCs w:val="21"/>
              </w:rPr>
              <w:t>其他因素</w:t>
            </w:r>
          </w:p>
        </w:tc>
      </w:tr>
      <w:tr w14:paraId="71EEA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39" w:type="pct"/>
            <w:vMerge w:val="continue"/>
            <w:vAlign w:val="center"/>
          </w:tcPr>
          <w:p w14:paraId="63258336">
            <w:pPr>
              <w:widowControl/>
              <w:snapToGrid w:val="0"/>
              <w:spacing w:line="240" w:lineRule="auto"/>
              <w:ind w:firstLine="0" w:firstLineChars="0"/>
              <w:jc w:val="center"/>
              <w:rPr>
                <w:rFonts w:cs="Times New Roman"/>
                <w:b/>
                <w:sz w:val="21"/>
                <w:szCs w:val="21"/>
              </w:rPr>
            </w:pPr>
          </w:p>
        </w:tc>
        <w:tc>
          <w:tcPr>
            <w:tcW w:w="855" w:type="pct"/>
            <w:vMerge w:val="continue"/>
            <w:vAlign w:val="center"/>
          </w:tcPr>
          <w:p w14:paraId="31278E14">
            <w:pPr>
              <w:widowControl/>
              <w:snapToGrid w:val="0"/>
              <w:spacing w:line="240" w:lineRule="auto"/>
              <w:ind w:firstLine="0" w:firstLineChars="0"/>
              <w:jc w:val="center"/>
              <w:rPr>
                <w:rFonts w:cs="Times New Roman"/>
                <w:b/>
                <w:sz w:val="21"/>
                <w:szCs w:val="21"/>
              </w:rPr>
            </w:pPr>
          </w:p>
        </w:tc>
        <w:tc>
          <w:tcPr>
            <w:tcW w:w="511" w:type="pct"/>
            <w:vAlign w:val="center"/>
          </w:tcPr>
          <w:p w14:paraId="5582587A">
            <w:pPr>
              <w:widowControl/>
              <w:snapToGrid w:val="0"/>
              <w:spacing w:line="240" w:lineRule="auto"/>
              <w:ind w:firstLine="0" w:firstLineChars="0"/>
              <w:jc w:val="center"/>
              <w:rPr>
                <w:rFonts w:cs="Times New Roman"/>
                <w:b/>
                <w:sz w:val="21"/>
                <w:szCs w:val="21"/>
              </w:rPr>
            </w:pPr>
            <w:r>
              <w:rPr>
                <w:rFonts w:hint="eastAsia" w:cs="Times New Roman"/>
                <w:b/>
                <w:sz w:val="21"/>
                <w:szCs w:val="21"/>
              </w:rPr>
              <w:t>鸟类</w:t>
            </w:r>
          </w:p>
        </w:tc>
        <w:tc>
          <w:tcPr>
            <w:tcW w:w="545" w:type="pct"/>
            <w:vAlign w:val="center"/>
          </w:tcPr>
          <w:p w14:paraId="0489178A">
            <w:pPr>
              <w:widowControl/>
              <w:snapToGrid w:val="0"/>
              <w:spacing w:line="240" w:lineRule="auto"/>
              <w:ind w:firstLine="0" w:firstLineChars="0"/>
              <w:jc w:val="center"/>
              <w:rPr>
                <w:rFonts w:cs="Times New Roman"/>
                <w:b/>
                <w:sz w:val="21"/>
                <w:szCs w:val="21"/>
              </w:rPr>
            </w:pPr>
            <w:r>
              <w:rPr>
                <w:rFonts w:hint="eastAsia" w:cs="Times New Roman"/>
                <w:b/>
                <w:sz w:val="21"/>
                <w:szCs w:val="21"/>
              </w:rPr>
              <w:t>植被</w:t>
            </w:r>
          </w:p>
        </w:tc>
        <w:tc>
          <w:tcPr>
            <w:tcW w:w="652" w:type="pct"/>
            <w:vAlign w:val="center"/>
          </w:tcPr>
          <w:p w14:paraId="1A58CD18">
            <w:pPr>
              <w:widowControl/>
              <w:snapToGrid w:val="0"/>
              <w:spacing w:line="240" w:lineRule="auto"/>
              <w:ind w:firstLine="0" w:firstLineChars="0"/>
              <w:jc w:val="center"/>
              <w:rPr>
                <w:rFonts w:cs="Times New Roman"/>
                <w:b/>
                <w:sz w:val="21"/>
                <w:szCs w:val="21"/>
              </w:rPr>
            </w:pPr>
            <w:r>
              <w:rPr>
                <w:rFonts w:hint="eastAsia" w:cs="Times New Roman"/>
                <w:b/>
                <w:sz w:val="21"/>
                <w:szCs w:val="21"/>
              </w:rPr>
              <w:t>其他动物</w:t>
            </w:r>
          </w:p>
        </w:tc>
        <w:tc>
          <w:tcPr>
            <w:tcW w:w="512" w:type="pct"/>
            <w:vAlign w:val="center"/>
          </w:tcPr>
          <w:p w14:paraId="5BC0E1E4">
            <w:pPr>
              <w:widowControl/>
              <w:snapToGrid w:val="0"/>
              <w:spacing w:line="240" w:lineRule="auto"/>
              <w:ind w:firstLine="0" w:firstLineChars="0"/>
              <w:jc w:val="center"/>
              <w:rPr>
                <w:rFonts w:cs="Times New Roman"/>
                <w:b/>
                <w:sz w:val="21"/>
                <w:szCs w:val="21"/>
              </w:rPr>
            </w:pPr>
            <w:r>
              <w:rPr>
                <w:rFonts w:hint="eastAsia" w:cs="Times New Roman"/>
                <w:b/>
                <w:sz w:val="21"/>
                <w:szCs w:val="21"/>
              </w:rPr>
              <w:t>水土流失</w:t>
            </w:r>
          </w:p>
        </w:tc>
        <w:tc>
          <w:tcPr>
            <w:tcW w:w="519" w:type="pct"/>
            <w:vAlign w:val="center"/>
          </w:tcPr>
          <w:p w14:paraId="11A6CF4F">
            <w:pPr>
              <w:widowControl/>
              <w:snapToGrid w:val="0"/>
              <w:spacing w:line="240" w:lineRule="auto"/>
              <w:ind w:firstLine="0" w:firstLineChars="0"/>
              <w:jc w:val="center"/>
              <w:rPr>
                <w:rFonts w:cs="Times New Roman"/>
                <w:b/>
                <w:sz w:val="21"/>
                <w:szCs w:val="21"/>
              </w:rPr>
            </w:pPr>
            <w:r>
              <w:rPr>
                <w:rFonts w:hint="eastAsia" w:cs="Times New Roman"/>
                <w:b/>
                <w:sz w:val="21"/>
                <w:szCs w:val="21"/>
              </w:rPr>
              <w:t>生物多样性</w:t>
            </w:r>
          </w:p>
        </w:tc>
        <w:tc>
          <w:tcPr>
            <w:tcW w:w="534" w:type="pct"/>
            <w:vAlign w:val="center"/>
          </w:tcPr>
          <w:p w14:paraId="476BB741">
            <w:pPr>
              <w:widowControl/>
              <w:snapToGrid w:val="0"/>
              <w:spacing w:line="240" w:lineRule="auto"/>
              <w:ind w:firstLine="0" w:firstLineChars="0"/>
              <w:jc w:val="center"/>
              <w:rPr>
                <w:rFonts w:cs="Times New Roman"/>
                <w:b/>
                <w:sz w:val="21"/>
                <w:szCs w:val="21"/>
              </w:rPr>
            </w:pPr>
            <w:r>
              <w:rPr>
                <w:rFonts w:hint="eastAsia" w:cs="Times New Roman"/>
                <w:b/>
                <w:sz w:val="21"/>
                <w:szCs w:val="21"/>
              </w:rPr>
              <w:t>景观格局</w:t>
            </w:r>
          </w:p>
        </w:tc>
        <w:tc>
          <w:tcPr>
            <w:tcW w:w="533" w:type="pct"/>
            <w:vAlign w:val="center"/>
          </w:tcPr>
          <w:p w14:paraId="0A62233D">
            <w:pPr>
              <w:widowControl/>
              <w:snapToGrid w:val="0"/>
              <w:spacing w:line="240" w:lineRule="auto"/>
              <w:ind w:firstLine="0" w:firstLineChars="0"/>
              <w:jc w:val="center"/>
              <w:rPr>
                <w:rFonts w:cs="Times New Roman"/>
                <w:b/>
                <w:sz w:val="21"/>
                <w:szCs w:val="21"/>
              </w:rPr>
            </w:pPr>
            <w:r>
              <w:rPr>
                <w:rFonts w:hint="eastAsia" w:cs="Times New Roman"/>
                <w:b/>
                <w:sz w:val="21"/>
                <w:szCs w:val="21"/>
              </w:rPr>
              <w:t>生态系统</w:t>
            </w:r>
          </w:p>
        </w:tc>
      </w:tr>
      <w:tr w14:paraId="0CC2E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9" w:type="pct"/>
            <w:vMerge w:val="restart"/>
            <w:vAlign w:val="center"/>
          </w:tcPr>
          <w:p w14:paraId="6A9D5575">
            <w:pPr>
              <w:widowControl/>
              <w:snapToGrid w:val="0"/>
              <w:spacing w:line="240" w:lineRule="auto"/>
              <w:ind w:firstLine="0" w:firstLineChars="0"/>
              <w:jc w:val="center"/>
              <w:rPr>
                <w:rFonts w:cs="Times New Roman"/>
                <w:sz w:val="21"/>
                <w:szCs w:val="21"/>
              </w:rPr>
            </w:pPr>
            <w:r>
              <w:rPr>
                <w:rFonts w:hint="eastAsia" w:cs="Times New Roman"/>
                <w:sz w:val="21"/>
                <w:szCs w:val="21"/>
              </w:rPr>
              <w:t>施工期</w:t>
            </w:r>
          </w:p>
        </w:tc>
        <w:tc>
          <w:tcPr>
            <w:tcW w:w="855" w:type="pct"/>
            <w:vAlign w:val="center"/>
          </w:tcPr>
          <w:p w14:paraId="30E4655D">
            <w:pPr>
              <w:widowControl/>
              <w:snapToGrid w:val="0"/>
              <w:spacing w:line="240" w:lineRule="auto"/>
              <w:ind w:firstLine="0" w:firstLineChars="0"/>
              <w:jc w:val="center"/>
              <w:rPr>
                <w:rFonts w:cs="Times New Roman"/>
                <w:sz w:val="21"/>
                <w:szCs w:val="21"/>
              </w:rPr>
            </w:pPr>
            <w:r>
              <w:rPr>
                <w:rFonts w:hint="eastAsia" w:cs="Times New Roman"/>
                <w:sz w:val="21"/>
                <w:szCs w:val="21"/>
              </w:rPr>
              <w:t>材料运输与施工便道</w:t>
            </w:r>
          </w:p>
        </w:tc>
        <w:tc>
          <w:tcPr>
            <w:tcW w:w="511" w:type="pct"/>
            <w:vAlign w:val="center"/>
          </w:tcPr>
          <w:p w14:paraId="45115DED">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545" w:type="pct"/>
            <w:vAlign w:val="center"/>
          </w:tcPr>
          <w:p w14:paraId="464D2F54">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652" w:type="pct"/>
            <w:vAlign w:val="center"/>
          </w:tcPr>
          <w:p w14:paraId="1A1D8861">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512" w:type="pct"/>
            <w:vAlign w:val="center"/>
          </w:tcPr>
          <w:p w14:paraId="7A05A310">
            <w:pPr>
              <w:widowControl/>
              <w:snapToGrid w:val="0"/>
              <w:spacing w:line="240" w:lineRule="auto"/>
              <w:ind w:firstLine="0" w:firstLineChars="0"/>
              <w:jc w:val="center"/>
              <w:rPr>
                <w:rFonts w:cs="Times New Roman"/>
                <w:sz w:val="21"/>
                <w:szCs w:val="21"/>
              </w:rPr>
            </w:pPr>
            <w:r>
              <w:rPr>
                <w:rFonts w:hint="eastAsia" w:cs="Times New Roman"/>
                <w:sz w:val="21"/>
                <w:szCs w:val="21"/>
              </w:rPr>
              <w:t>/</w:t>
            </w:r>
          </w:p>
        </w:tc>
        <w:tc>
          <w:tcPr>
            <w:tcW w:w="519" w:type="pct"/>
            <w:vAlign w:val="center"/>
          </w:tcPr>
          <w:p w14:paraId="454D94FF">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534" w:type="pct"/>
            <w:vAlign w:val="center"/>
          </w:tcPr>
          <w:p w14:paraId="4C59E1F6">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533" w:type="pct"/>
            <w:vAlign w:val="center"/>
          </w:tcPr>
          <w:p w14:paraId="2F3E86B7">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r>
      <w:tr w14:paraId="09A8F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9" w:type="pct"/>
            <w:vMerge w:val="continue"/>
            <w:vAlign w:val="center"/>
          </w:tcPr>
          <w:p w14:paraId="2C24167C">
            <w:pPr>
              <w:widowControl/>
              <w:snapToGrid w:val="0"/>
              <w:spacing w:line="240" w:lineRule="auto"/>
              <w:ind w:firstLine="0" w:firstLineChars="0"/>
              <w:jc w:val="center"/>
              <w:rPr>
                <w:rFonts w:cs="Times New Roman"/>
                <w:sz w:val="21"/>
                <w:szCs w:val="21"/>
              </w:rPr>
            </w:pPr>
          </w:p>
        </w:tc>
        <w:tc>
          <w:tcPr>
            <w:tcW w:w="855" w:type="pct"/>
            <w:vAlign w:val="center"/>
          </w:tcPr>
          <w:p w14:paraId="7F7F4AB7">
            <w:pPr>
              <w:widowControl/>
              <w:snapToGrid w:val="0"/>
              <w:spacing w:line="240" w:lineRule="auto"/>
              <w:ind w:firstLine="0" w:firstLineChars="0"/>
              <w:jc w:val="center"/>
              <w:rPr>
                <w:rFonts w:cs="Times New Roman"/>
                <w:sz w:val="21"/>
                <w:szCs w:val="21"/>
              </w:rPr>
            </w:pPr>
            <w:r>
              <w:rPr>
                <w:rFonts w:hint="eastAsia" w:cs="Times New Roman"/>
                <w:sz w:val="21"/>
                <w:szCs w:val="21"/>
              </w:rPr>
              <w:t>挖方、弃方</w:t>
            </w:r>
          </w:p>
        </w:tc>
        <w:tc>
          <w:tcPr>
            <w:tcW w:w="511" w:type="pct"/>
            <w:vAlign w:val="center"/>
          </w:tcPr>
          <w:p w14:paraId="51624D1C">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545" w:type="pct"/>
            <w:vAlign w:val="center"/>
          </w:tcPr>
          <w:p w14:paraId="4335041D">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652" w:type="pct"/>
            <w:vAlign w:val="center"/>
          </w:tcPr>
          <w:p w14:paraId="63EB9750">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512" w:type="pct"/>
            <w:vAlign w:val="center"/>
          </w:tcPr>
          <w:p w14:paraId="6018BC8A">
            <w:pPr>
              <w:widowControl/>
              <w:snapToGrid w:val="0"/>
              <w:spacing w:line="240" w:lineRule="auto"/>
              <w:ind w:firstLine="0" w:firstLineChars="0"/>
              <w:jc w:val="center"/>
              <w:rPr>
                <w:rFonts w:cs="Times New Roman"/>
                <w:sz w:val="21"/>
                <w:szCs w:val="21"/>
              </w:rPr>
            </w:pPr>
            <w:r>
              <w:rPr>
                <w:rFonts w:hint="eastAsia" w:cs="Times New Roman"/>
                <w:sz w:val="21"/>
                <w:szCs w:val="21"/>
              </w:rPr>
              <w:t>/</w:t>
            </w:r>
          </w:p>
        </w:tc>
        <w:tc>
          <w:tcPr>
            <w:tcW w:w="519" w:type="pct"/>
            <w:vAlign w:val="center"/>
          </w:tcPr>
          <w:p w14:paraId="3005EA3A">
            <w:pPr>
              <w:widowControl/>
              <w:snapToGrid w:val="0"/>
              <w:spacing w:line="240" w:lineRule="auto"/>
              <w:ind w:firstLine="0" w:firstLineChars="0"/>
              <w:jc w:val="center"/>
              <w:rPr>
                <w:rFonts w:cs="Times New Roman"/>
                <w:sz w:val="21"/>
                <w:szCs w:val="21"/>
              </w:rPr>
            </w:pPr>
            <w:r>
              <w:rPr>
                <w:rFonts w:hint="eastAsia" w:cs="Times New Roman"/>
                <w:sz w:val="21"/>
                <w:szCs w:val="21"/>
              </w:rPr>
              <w:t>/</w:t>
            </w:r>
          </w:p>
        </w:tc>
        <w:tc>
          <w:tcPr>
            <w:tcW w:w="534" w:type="pct"/>
            <w:vAlign w:val="center"/>
          </w:tcPr>
          <w:p w14:paraId="6DF782B7">
            <w:pPr>
              <w:widowControl/>
              <w:snapToGrid w:val="0"/>
              <w:spacing w:line="240" w:lineRule="auto"/>
              <w:ind w:firstLine="0" w:firstLineChars="0"/>
              <w:jc w:val="center"/>
              <w:rPr>
                <w:rFonts w:cs="Times New Roman"/>
                <w:sz w:val="21"/>
                <w:szCs w:val="21"/>
              </w:rPr>
            </w:pPr>
            <w:r>
              <w:rPr>
                <w:rFonts w:hint="eastAsia" w:cs="Times New Roman"/>
                <w:sz w:val="21"/>
                <w:szCs w:val="21"/>
              </w:rPr>
              <w:t>/</w:t>
            </w:r>
          </w:p>
        </w:tc>
        <w:tc>
          <w:tcPr>
            <w:tcW w:w="533" w:type="pct"/>
            <w:vAlign w:val="center"/>
          </w:tcPr>
          <w:p w14:paraId="4B5EA9E8">
            <w:pPr>
              <w:widowControl/>
              <w:snapToGrid w:val="0"/>
              <w:spacing w:line="240" w:lineRule="auto"/>
              <w:ind w:firstLine="0" w:firstLineChars="0"/>
              <w:jc w:val="center"/>
              <w:rPr>
                <w:rFonts w:cs="Times New Roman"/>
                <w:sz w:val="21"/>
                <w:szCs w:val="21"/>
              </w:rPr>
            </w:pPr>
            <w:r>
              <w:rPr>
                <w:rFonts w:hint="eastAsia" w:cs="Times New Roman"/>
                <w:sz w:val="21"/>
                <w:szCs w:val="21"/>
              </w:rPr>
              <w:t>/</w:t>
            </w:r>
          </w:p>
        </w:tc>
      </w:tr>
      <w:tr w14:paraId="4FCF5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9" w:type="pct"/>
            <w:vMerge w:val="continue"/>
            <w:vAlign w:val="center"/>
          </w:tcPr>
          <w:p w14:paraId="319F2851">
            <w:pPr>
              <w:widowControl/>
              <w:snapToGrid w:val="0"/>
              <w:spacing w:line="240" w:lineRule="auto"/>
              <w:ind w:firstLine="0" w:firstLineChars="0"/>
              <w:jc w:val="center"/>
              <w:rPr>
                <w:rFonts w:cs="Times New Roman"/>
                <w:sz w:val="21"/>
                <w:szCs w:val="21"/>
              </w:rPr>
            </w:pPr>
          </w:p>
        </w:tc>
        <w:tc>
          <w:tcPr>
            <w:tcW w:w="855" w:type="pct"/>
            <w:vAlign w:val="center"/>
          </w:tcPr>
          <w:p w14:paraId="41DA8185">
            <w:pPr>
              <w:widowControl/>
              <w:snapToGrid w:val="0"/>
              <w:spacing w:line="240" w:lineRule="auto"/>
              <w:ind w:firstLine="0" w:firstLineChars="0"/>
              <w:jc w:val="center"/>
              <w:rPr>
                <w:rFonts w:cs="Times New Roman"/>
                <w:sz w:val="21"/>
                <w:szCs w:val="21"/>
              </w:rPr>
            </w:pPr>
            <w:r>
              <w:rPr>
                <w:rFonts w:hint="eastAsia" w:cs="Times New Roman"/>
                <w:sz w:val="21"/>
                <w:szCs w:val="21"/>
              </w:rPr>
              <w:t>机械作业</w:t>
            </w:r>
          </w:p>
        </w:tc>
        <w:tc>
          <w:tcPr>
            <w:tcW w:w="511" w:type="pct"/>
            <w:vAlign w:val="center"/>
          </w:tcPr>
          <w:p w14:paraId="76A799D7">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545" w:type="pct"/>
            <w:vAlign w:val="center"/>
          </w:tcPr>
          <w:p w14:paraId="16C5B4BC">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652" w:type="pct"/>
            <w:vAlign w:val="center"/>
          </w:tcPr>
          <w:p w14:paraId="39B34BDE">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512" w:type="pct"/>
            <w:vAlign w:val="center"/>
          </w:tcPr>
          <w:p w14:paraId="2E7246A3">
            <w:pPr>
              <w:widowControl/>
              <w:snapToGrid w:val="0"/>
              <w:spacing w:line="240" w:lineRule="auto"/>
              <w:ind w:firstLine="0" w:firstLineChars="0"/>
              <w:jc w:val="center"/>
              <w:rPr>
                <w:rFonts w:cs="Times New Roman"/>
                <w:sz w:val="21"/>
                <w:szCs w:val="21"/>
              </w:rPr>
            </w:pPr>
            <w:r>
              <w:rPr>
                <w:rFonts w:hint="eastAsia" w:cs="Times New Roman"/>
                <w:sz w:val="21"/>
                <w:szCs w:val="21"/>
              </w:rPr>
              <w:t>/</w:t>
            </w:r>
          </w:p>
        </w:tc>
        <w:tc>
          <w:tcPr>
            <w:tcW w:w="519" w:type="pct"/>
            <w:vAlign w:val="center"/>
          </w:tcPr>
          <w:p w14:paraId="710C9D86">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534" w:type="pct"/>
            <w:vAlign w:val="center"/>
          </w:tcPr>
          <w:p w14:paraId="0C04145F">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c>
          <w:tcPr>
            <w:tcW w:w="533" w:type="pct"/>
            <w:vAlign w:val="center"/>
          </w:tcPr>
          <w:p w14:paraId="138E2933">
            <w:pPr>
              <w:widowControl/>
              <w:snapToGrid w:val="0"/>
              <w:spacing w:line="240" w:lineRule="auto"/>
              <w:ind w:firstLine="0" w:firstLineChars="0"/>
              <w:jc w:val="center"/>
              <w:rPr>
                <w:rFonts w:cs="Times New Roman"/>
                <w:sz w:val="21"/>
                <w:szCs w:val="21"/>
              </w:rPr>
            </w:pPr>
            <w:r>
              <w:rPr>
                <w:rFonts w:hint="eastAsia" w:cs="Times New Roman"/>
                <w:sz w:val="21"/>
                <w:szCs w:val="21"/>
              </w:rPr>
              <w:t>-S</w:t>
            </w:r>
            <w:r>
              <w:rPr>
                <w:rFonts w:hint="eastAsia" w:ascii="宋体" w:hAnsi="宋体" w:eastAsia="宋体" w:cs="宋体"/>
                <w:sz w:val="21"/>
                <w:szCs w:val="21"/>
              </w:rPr>
              <w:t>◎①</w:t>
            </w:r>
          </w:p>
        </w:tc>
      </w:tr>
      <w:tr w14:paraId="735D8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9" w:type="pct"/>
            <w:vMerge w:val="continue"/>
            <w:vAlign w:val="center"/>
          </w:tcPr>
          <w:p w14:paraId="60049743">
            <w:pPr>
              <w:widowControl/>
              <w:snapToGrid w:val="0"/>
              <w:spacing w:line="240" w:lineRule="auto"/>
              <w:ind w:firstLine="0" w:firstLineChars="0"/>
              <w:jc w:val="center"/>
              <w:rPr>
                <w:rFonts w:cs="Times New Roman"/>
                <w:sz w:val="21"/>
                <w:szCs w:val="21"/>
              </w:rPr>
            </w:pPr>
          </w:p>
        </w:tc>
        <w:tc>
          <w:tcPr>
            <w:tcW w:w="855" w:type="pct"/>
            <w:vAlign w:val="center"/>
          </w:tcPr>
          <w:p w14:paraId="2B2BCA58">
            <w:pPr>
              <w:widowControl/>
              <w:snapToGrid w:val="0"/>
              <w:spacing w:line="240" w:lineRule="auto"/>
              <w:ind w:firstLine="0" w:firstLineChars="0"/>
              <w:jc w:val="center"/>
              <w:rPr>
                <w:rFonts w:cs="Times New Roman"/>
                <w:sz w:val="21"/>
                <w:szCs w:val="21"/>
              </w:rPr>
            </w:pPr>
            <w:r>
              <w:rPr>
                <w:rFonts w:hint="eastAsia" w:cs="Times New Roman"/>
                <w:sz w:val="21"/>
                <w:szCs w:val="21"/>
              </w:rPr>
              <w:t>绿化工程</w:t>
            </w:r>
          </w:p>
        </w:tc>
        <w:tc>
          <w:tcPr>
            <w:tcW w:w="511" w:type="pct"/>
            <w:vAlign w:val="center"/>
          </w:tcPr>
          <w:p w14:paraId="49FE661D">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②</w:t>
            </w:r>
          </w:p>
        </w:tc>
        <w:tc>
          <w:tcPr>
            <w:tcW w:w="545" w:type="pct"/>
            <w:vAlign w:val="center"/>
          </w:tcPr>
          <w:p w14:paraId="3FA03FB3">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③</w:t>
            </w:r>
          </w:p>
        </w:tc>
        <w:tc>
          <w:tcPr>
            <w:tcW w:w="652" w:type="pct"/>
            <w:vAlign w:val="center"/>
          </w:tcPr>
          <w:p w14:paraId="01B895B7">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②</w:t>
            </w:r>
          </w:p>
        </w:tc>
        <w:tc>
          <w:tcPr>
            <w:tcW w:w="512" w:type="pct"/>
            <w:vAlign w:val="center"/>
          </w:tcPr>
          <w:p w14:paraId="21543F3C">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②</w:t>
            </w:r>
          </w:p>
        </w:tc>
        <w:tc>
          <w:tcPr>
            <w:tcW w:w="519" w:type="pct"/>
            <w:vAlign w:val="center"/>
          </w:tcPr>
          <w:p w14:paraId="380AABA7">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②</w:t>
            </w:r>
          </w:p>
        </w:tc>
        <w:tc>
          <w:tcPr>
            <w:tcW w:w="534" w:type="pct"/>
            <w:vAlign w:val="center"/>
          </w:tcPr>
          <w:p w14:paraId="0C6801C2">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②</w:t>
            </w:r>
          </w:p>
        </w:tc>
        <w:tc>
          <w:tcPr>
            <w:tcW w:w="533" w:type="pct"/>
            <w:vAlign w:val="center"/>
          </w:tcPr>
          <w:p w14:paraId="0D182C06">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②</w:t>
            </w:r>
          </w:p>
        </w:tc>
      </w:tr>
      <w:tr w14:paraId="2E5E9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9" w:type="pct"/>
            <w:vMerge w:val="restart"/>
            <w:vAlign w:val="center"/>
          </w:tcPr>
          <w:p w14:paraId="66EA2F38">
            <w:pPr>
              <w:widowControl/>
              <w:snapToGrid w:val="0"/>
              <w:spacing w:line="240" w:lineRule="auto"/>
              <w:ind w:firstLine="0" w:firstLineChars="0"/>
              <w:jc w:val="center"/>
              <w:rPr>
                <w:rFonts w:cs="Times New Roman"/>
                <w:sz w:val="21"/>
                <w:szCs w:val="21"/>
              </w:rPr>
            </w:pPr>
            <w:r>
              <w:rPr>
                <w:rFonts w:hint="eastAsia" w:cs="Times New Roman"/>
                <w:sz w:val="21"/>
                <w:szCs w:val="21"/>
              </w:rPr>
              <w:t>运营期</w:t>
            </w:r>
          </w:p>
        </w:tc>
        <w:tc>
          <w:tcPr>
            <w:tcW w:w="855" w:type="pct"/>
            <w:vAlign w:val="center"/>
          </w:tcPr>
          <w:p w14:paraId="4122730D">
            <w:pPr>
              <w:widowControl/>
              <w:snapToGrid w:val="0"/>
              <w:spacing w:line="240" w:lineRule="auto"/>
              <w:ind w:firstLine="0" w:firstLineChars="0"/>
              <w:jc w:val="center"/>
              <w:rPr>
                <w:rFonts w:cs="Times New Roman"/>
                <w:sz w:val="21"/>
                <w:szCs w:val="21"/>
              </w:rPr>
            </w:pPr>
            <w:r>
              <w:rPr>
                <w:rFonts w:hint="eastAsia" w:cs="Times New Roman"/>
                <w:sz w:val="21"/>
                <w:szCs w:val="21"/>
              </w:rPr>
              <w:t>游客行为</w:t>
            </w:r>
          </w:p>
        </w:tc>
        <w:tc>
          <w:tcPr>
            <w:tcW w:w="511" w:type="pct"/>
            <w:vAlign w:val="center"/>
          </w:tcPr>
          <w:p w14:paraId="61A48F4A">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①</w:t>
            </w:r>
          </w:p>
        </w:tc>
        <w:tc>
          <w:tcPr>
            <w:tcW w:w="545" w:type="pct"/>
            <w:vAlign w:val="center"/>
          </w:tcPr>
          <w:p w14:paraId="0119F45C">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①</w:t>
            </w:r>
          </w:p>
        </w:tc>
        <w:tc>
          <w:tcPr>
            <w:tcW w:w="652" w:type="pct"/>
            <w:vAlign w:val="center"/>
          </w:tcPr>
          <w:p w14:paraId="5BC0252B">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①</w:t>
            </w:r>
          </w:p>
        </w:tc>
        <w:tc>
          <w:tcPr>
            <w:tcW w:w="512" w:type="pct"/>
            <w:vAlign w:val="center"/>
          </w:tcPr>
          <w:p w14:paraId="755EC1DA">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①</w:t>
            </w:r>
          </w:p>
        </w:tc>
        <w:tc>
          <w:tcPr>
            <w:tcW w:w="519" w:type="pct"/>
            <w:vAlign w:val="center"/>
          </w:tcPr>
          <w:p w14:paraId="4F3FCEB1">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①</w:t>
            </w:r>
          </w:p>
        </w:tc>
        <w:tc>
          <w:tcPr>
            <w:tcW w:w="534" w:type="pct"/>
            <w:vAlign w:val="center"/>
          </w:tcPr>
          <w:p w14:paraId="5DE937F0">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①</w:t>
            </w:r>
          </w:p>
        </w:tc>
        <w:tc>
          <w:tcPr>
            <w:tcW w:w="533" w:type="pct"/>
            <w:vAlign w:val="center"/>
          </w:tcPr>
          <w:p w14:paraId="5713D1A5">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①</w:t>
            </w:r>
          </w:p>
        </w:tc>
      </w:tr>
      <w:tr w14:paraId="72A76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9" w:type="pct"/>
            <w:vMerge w:val="continue"/>
            <w:vAlign w:val="center"/>
          </w:tcPr>
          <w:p w14:paraId="7CDAEF2B">
            <w:pPr>
              <w:widowControl/>
              <w:snapToGrid w:val="0"/>
              <w:spacing w:line="240" w:lineRule="auto"/>
              <w:ind w:firstLine="0" w:firstLineChars="0"/>
              <w:jc w:val="center"/>
              <w:rPr>
                <w:rFonts w:cs="Times New Roman"/>
                <w:sz w:val="21"/>
                <w:szCs w:val="21"/>
              </w:rPr>
            </w:pPr>
          </w:p>
        </w:tc>
        <w:tc>
          <w:tcPr>
            <w:tcW w:w="855" w:type="pct"/>
            <w:vAlign w:val="center"/>
          </w:tcPr>
          <w:p w14:paraId="76162EF1">
            <w:pPr>
              <w:widowControl/>
              <w:snapToGrid w:val="0"/>
              <w:spacing w:line="240" w:lineRule="auto"/>
              <w:ind w:firstLine="0" w:firstLineChars="0"/>
              <w:jc w:val="center"/>
              <w:rPr>
                <w:rFonts w:cs="Times New Roman"/>
                <w:sz w:val="21"/>
                <w:szCs w:val="21"/>
              </w:rPr>
            </w:pPr>
            <w:r>
              <w:rPr>
                <w:rFonts w:hint="eastAsia" w:cs="Times New Roman"/>
                <w:sz w:val="21"/>
                <w:szCs w:val="21"/>
              </w:rPr>
              <w:t>绿化管护</w:t>
            </w:r>
          </w:p>
        </w:tc>
        <w:tc>
          <w:tcPr>
            <w:tcW w:w="511" w:type="pct"/>
            <w:vAlign w:val="center"/>
          </w:tcPr>
          <w:p w14:paraId="4C13CA29">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①</w:t>
            </w:r>
          </w:p>
        </w:tc>
        <w:tc>
          <w:tcPr>
            <w:tcW w:w="545" w:type="pct"/>
            <w:vAlign w:val="center"/>
          </w:tcPr>
          <w:p w14:paraId="2E3F756A">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②</w:t>
            </w:r>
          </w:p>
        </w:tc>
        <w:tc>
          <w:tcPr>
            <w:tcW w:w="652" w:type="pct"/>
            <w:vAlign w:val="center"/>
          </w:tcPr>
          <w:p w14:paraId="53883A46">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①</w:t>
            </w:r>
          </w:p>
        </w:tc>
        <w:tc>
          <w:tcPr>
            <w:tcW w:w="512" w:type="pct"/>
            <w:vAlign w:val="center"/>
          </w:tcPr>
          <w:p w14:paraId="2C30764F">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①</w:t>
            </w:r>
          </w:p>
        </w:tc>
        <w:tc>
          <w:tcPr>
            <w:tcW w:w="519" w:type="pct"/>
            <w:vAlign w:val="center"/>
          </w:tcPr>
          <w:p w14:paraId="5A37773C">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②</w:t>
            </w:r>
          </w:p>
        </w:tc>
        <w:tc>
          <w:tcPr>
            <w:tcW w:w="534" w:type="pct"/>
            <w:vAlign w:val="center"/>
          </w:tcPr>
          <w:p w14:paraId="1CE61E07">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②</w:t>
            </w:r>
          </w:p>
        </w:tc>
        <w:tc>
          <w:tcPr>
            <w:tcW w:w="533" w:type="pct"/>
            <w:vAlign w:val="center"/>
          </w:tcPr>
          <w:p w14:paraId="431AB53B">
            <w:pPr>
              <w:widowControl/>
              <w:snapToGrid w:val="0"/>
              <w:spacing w:line="240" w:lineRule="auto"/>
              <w:ind w:firstLine="0" w:firstLineChars="0"/>
              <w:jc w:val="center"/>
              <w:rPr>
                <w:rFonts w:cs="Times New Roman"/>
                <w:sz w:val="21"/>
                <w:szCs w:val="21"/>
              </w:rPr>
            </w:pPr>
            <w:r>
              <w:rPr>
                <w:rFonts w:hint="eastAsia" w:cs="Times New Roman"/>
                <w:sz w:val="21"/>
                <w:szCs w:val="21"/>
              </w:rPr>
              <w:t>+L●</w:t>
            </w:r>
            <w:r>
              <w:rPr>
                <w:rFonts w:hint="eastAsia" w:ascii="宋体" w:hAnsi="宋体" w:eastAsia="宋体" w:cs="宋体"/>
                <w:sz w:val="21"/>
                <w:szCs w:val="21"/>
              </w:rPr>
              <w:t>②</w:t>
            </w:r>
          </w:p>
        </w:tc>
      </w:tr>
    </w:tbl>
    <w:p w14:paraId="1AE38F9B">
      <w:pPr>
        <w:spacing w:line="240" w:lineRule="auto"/>
        <w:ind w:firstLine="0" w:firstLineChars="0"/>
        <w:rPr>
          <w:sz w:val="18"/>
        </w:rPr>
      </w:pPr>
      <w:r>
        <w:rPr>
          <w:sz w:val="21"/>
        </w:rPr>
        <w:t>注：1.+表示有利影响，</w:t>
      </w:r>
      <w:r>
        <w:rPr>
          <w:rFonts w:hint="eastAsia"/>
          <w:sz w:val="21"/>
        </w:rPr>
        <w:t>－</w:t>
      </w:r>
      <w:r>
        <w:rPr>
          <w:sz w:val="21"/>
        </w:rPr>
        <w:t>表示不利影响；L表示长期影响，S表示短期影响；</w:t>
      </w:r>
      <w:r>
        <w:rPr>
          <w:rFonts w:hint="eastAsia" w:ascii="宋体" w:hAnsi="宋体" w:eastAsia="宋体" w:cs="宋体"/>
          <w:sz w:val="21"/>
        </w:rPr>
        <w:t>◎</w:t>
      </w:r>
      <w:r>
        <w:rPr>
          <w:sz w:val="21"/>
        </w:rPr>
        <w:t>表示可逆影响，●表示不可逆影响；</w:t>
      </w:r>
      <w:r>
        <w:rPr>
          <w:rFonts w:hint="eastAsia" w:ascii="宋体" w:hAnsi="宋体" w:eastAsia="宋体" w:cs="宋体"/>
          <w:sz w:val="21"/>
        </w:rPr>
        <w:t>①</w:t>
      </w:r>
      <w:r>
        <w:rPr>
          <w:sz w:val="21"/>
        </w:rPr>
        <w:t>表示影响程度轻微，</w:t>
      </w:r>
      <w:r>
        <w:rPr>
          <w:rFonts w:hint="eastAsia" w:ascii="宋体" w:hAnsi="宋体" w:eastAsia="宋体" w:cs="宋体"/>
          <w:sz w:val="21"/>
        </w:rPr>
        <w:t>②</w:t>
      </w:r>
      <w:r>
        <w:rPr>
          <w:sz w:val="21"/>
        </w:rPr>
        <w:t>表示影响程度一般，</w:t>
      </w:r>
      <w:r>
        <w:rPr>
          <w:rFonts w:hint="eastAsia" w:ascii="宋体" w:hAnsi="宋体" w:eastAsia="宋体" w:cs="宋体"/>
          <w:sz w:val="21"/>
        </w:rPr>
        <w:t>③</w:t>
      </w:r>
      <w:r>
        <w:rPr>
          <w:sz w:val="21"/>
        </w:rPr>
        <w:t>表示影响程度显著。</w:t>
      </w:r>
    </w:p>
    <w:p w14:paraId="2708FADC">
      <w:pPr>
        <w:pStyle w:val="3"/>
        <w:ind w:firstLine="0" w:firstLineChars="0"/>
        <w:rPr>
          <w:rFonts w:cs="Times New Roman"/>
        </w:rPr>
      </w:pPr>
      <w:bookmarkStart w:id="115" w:name="_Toc217294067"/>
      <w:r>
        <w:rPr>
          <w:rFonts w:cs="Times New Roman"/>
        </w:rPr>
        <w:t>6.2</w:t>
      </w:r>
      <w:r>
        <w:rPr>
          <w:rFonts w:hint="eastAsia" w:cs="Times New Roman"/>
        </w:rPr>
        <w:t>生态风险分析</w:t>
      </w:r>
      <w:bookmarkEnd w:id="115"/>
    </w:p>
    <w:p w14:paraId="1E8CA3B0">
      <w:pPr>
        <w:ind w:firstLine="480"/>
      </w:pPr>
      <w:r>
        <w:rPr>
          <w:rFonts w:hint="eastAsia"/>
        </w:rPr>
        <w:t>度假区生态风险源是指对度假区可能造成生态影响和破坏的压力因素。本次评价通过对规划生态环境影响的初步分析、判别和筛选，结合度假区实际情况以及生态评价区环境敏感性分析，确定生态风险源为以下五类：</w:t>
      </w:r>
    </w:p>
    <w:p w14:paraId="147061A5">
      <w:pPr>
        <w:pStyle w:val="39"/>
        <w:numPr>
          <w:ilvl w:val="0"/>
          <w:numId w:val="21"/>
        </w:numPr>
        <w:ind w:firstLineChars="0"/>
        <w:rPr>
          <w:b/>
          <w:bCs/>
        </w:rPr>
      </w:pPr>
      <w:r>
        <w:rPr>
          <w:rFonts w:hint="eastAsia"/>
          <w:b/>
          <w:bCs/>
        </w:rPr>
        <w:t>游客数量超载</w:t>
      </w:r>
    </w:p>
    <w:p w14:paraId="365EAE17">
      <w:pPr>
        <w:ind w:firstLine="480"/>
      </w:pPr>
      <w:r>
        <w:rPr>
          <w:rFonts w:hint="eastAsia"/>
        </w:rPr>
        <w:t>游客是度假区旅游活动的主体，其数量超出度假区环境所能承受的临界值会对度假区的生态环境造成不利影响和危害，构成威胁度假区自身发展的重要风险源，可能会导致一系列诸如接待资源消耗增加、污染物产生增加等问题，但也能够通过合理管理手段得到纠正和改善。</w:t>
      </w:r>
    </w:p>
    <w:p w14:paraId="69497634">
      <w:pPr>
        <w:ind w:firstLine="480"/>
      </w:pPr>
      <w:r>
        <w:rPr>
          <w:rFonts w:hint="eastAsia"/>
        </w:rPr>
        <w:t>（2）</w:t>
      </w:r>
      <w:r>
        <w:rPr>
          <w:rFonts w:hint="eastAsia"/>
          <w:b/>
          <w:bCs/>
        </w:rPr>
        <w:t>旅游资源开发建设破坏</w:t>
      </w:r>
    </w:p>
    <w:p w14:paraId="42489E87">
      <w:pPr>
        <w:ind w:firstLine="480"/>
      </w:pPr>
      <w:r>
        <w:rPr>
          <w:rFonts w:hint="eastAsia"/>
        </w:rPr>
        <w:t>旅游资源开发建设引起的生态破坏是度假区的生态风险源之一，将潜在的旅游资源转化成旅游产品需要经过人工的开发和建设，这就难免造成一定程度的破坏。只有在开发前充分认识这种破坏的风险性，才能够通过各种保护措施，尽量减小盲目粗暴开发所引起的负面生态环境效应。</w:t>
      </w:r>
    </w:p>
    <w:p w14:paraId="76F6819F">
      <w:pPr>
        <w:ind w:firstLine="482"/>
        <w:rPr>
          <w:b/>
          <w:bCs/>
        </w:rPr>
      </w:pPr>
      <w:r>
        <w:rPr>
          <w:rFonts w:hint="eastAsia"/>
          <w:b/>
          <w:bCs/>
        </w:rPr>
        <w:t>（3）游客和经营者的不当行为</w:t>
      </w:r>
    </w:p>
    <w:p w14:paraId="69D7B622">
      <w:pPr>
        <w:ind w:firstLine="480"/>
      </w:pPr>
      <w:r>
        <w:rPr>
          <w:rFonts w:hint="eastAsia"/>
        </w:rPr>
        <w:t>度假区建成以后，游客自身以及度假区经营者的各种不当的行为对度假区生态环境同样会造成一定风险。各种不当的行为源于生态环境意识的淡薄，是主观行为造成的生态风险，如随手丢弃废弃物、破坏植被、服务区废水处理回收系统规模不足等，都可能造成度假区生态破坏。</w:t>
      </w:r>
    </w:p>
    <w:p w14:paraId="13731C7B">
      <w:pPr>
        <w:ind w:firstLine="482"/>
        <w:rPr>
          <w:b/>
          <w:bCs/>
        </w:rPr>
      </w:pPr>
      <w:r>
        <w:rPr>
          <w:rFonts w:hint="eastAsia"/>
          <w:b/>
          <w:bCs/>
        </w:rPr>
        <w:t>（4）外来物种入侵</w:t>
      </w:r>
    </w:p>
    <w:p w14:paraId="42186443">
      <w:pPr>
        <w:ind w:firstLine="480"/>
      </w:pPr>
      <w:r>
        <w:rPr>
          <w:rFonts w:hint="eastAsia"/>
        </w:rPr>
        <w:t>考虑到度假区人类活动比较频繁的区域，也是外来物种容易进入的区域，随着旅游开发项目的开展和外来游客的增加，外来入侵植物侵入的风险也随之增加。外来物种一旦入侵成功，可能会对本地物种的种类、种群结构、食物链结构、生物多样性等产生一系列的影响，威胁生态安全。</w:t>
      </w:r>
    </w:p>
    <w:p w14:paraId="3CCB466A">
      <w:pPr>
        <w:ind w:firstLine="482"/>
        <w:rPr>
          <w:b/>
          <w:bCs/>
        </w:rPr>
      </w:pPr>
      <w:r>
        <w:rPr>
          <w:rFonts w:hint="eastAsia"/>
          <w:b/>
          <w:bCs/>
        </w:rPr>
        <w:t>（5）化学品泄漏</w:t>
      </w:r>
    </w:p>
    <w:p w14:paraId="5D5935CF">
      <w:pPr>
        <w:ind w:firstLine="480"/>
      </w:pPr>
      <w:r>
        <w:rPr>
          <w:rFonts w:hint="eastAsia"/>
        </w:rPr>
        <w:t>度假区规划建设期，施工挖掘机械增加，来往车辆增多。运输油料、混凝土、水泥等化学品时，因施工地段路况较差或偶然出现的交通事故，致使化学品在运输、存储和使用过程中，可能发生意外破裂、倒洒等事故。规划建设完成后，车辆来往存在化学品意外泄漏的风险，对其周围土壤、空气、水等自然环境造成影响，特别是对区内地表水环境影响较大。</w:t>
      </w:r>
    </w:p>
    <w:p w14:paraId="42723638">
      <w:pPr>
        <w:pStyle w:val="3"/>
        <w:ind w:firstLine="0" w:firstLineChars="0"/>
        <w:rPr>
          <w:rFonts w:cs="Times New Roman"/>
        </w:rPr>
      </w:pPr>
      <w:bookmarkStart w:id="116" w:name="_Toc217294068"/>
      <w:r>
        <w:rPr>
          <w:rFonts w:cs="Times New Roman"/>
        </w:rPr>
        <w:t>6.3</w:t>
      </w:r>
      <w:r>
        <w:rPr>
          <w:rFonts w:hint="eastAsia" w:cs="Times New Roman"/>
        </w:rPr>
        <w:t>生态影响与评价</w:t>
      </w:r>
      <w:bookmarkEnd w:id="116"/>
    </w:p>
    <w:p w14:paraId="3296CB06">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6.3.1</w:t>
      </w:r>
      <w:r>
        <w:rPr>
          <w:rFonts w:hint="eastAsia" w:eastAsia="方正楷体_GBK" w:cs="Times New Roman"/>
          <w:b/>
          <w:bCs/>
          <w:szCs w:val="28"/>
          <w14:ligatures w14:val="none"/>
        </w:rPr>
        <w:t>用地类型变更分析</w:t>
      </w:r>
    </w:p>
    <w:p w14:paraId="5DF7865C">
      <w:pPr>
        <w:ind w:firstLine="480"/>
      </w:pPr>
      <w:r>
        <w:rPr>
          <w:rFonts w:hint="eastAsia"/>
        </w:rPr>
        <w:t>现状用地中主要用地类型为城乡建设用地、商业服务设施用地、区域交通设施用地、公共设施用地、工矿用地、特殊用地等建设用地，以及包含水域、农林用地、其他未利用土地等非建设用地。在度假区规划实施村庄集聚提升后，农村居住用地随着村庄的集聚提升实现高效整合与合理规划，原本分散的农村居住用地将被重新布局，土地的利用效率得到提高。部分村庄居住和建设用地将转为商业服务设施用地，同时随着规划远期内企业将逐步关闭退出以及采矿结束后相关生态修复工作的开展，现状的工矿用地将逐步转为农林用地等非建设用地或商业服务设施等建设用地。原零散居民点房前屋后林地将进一步整合优化，提升区域林地面积。随着农村居住用地的整合，有利于促进农村产业的发展，可以利用腾出的土地发展特色农业、乡村旅游等产业，增加农民的收入来源。此外，这种用地类型的转变也有助于推动城乡一体化进程，缩小城乡差距，使农村地区更好地融入城市发展的大格局中。部分旅游项目的开发建设和公园项目的建设涉及新增建设用地，其中耕地的占用将落实占补平衡，做到“占一补一”。</w:t>
      </w:r>
    </w:p>
    <w:p w14:paraId="7BEA67D0">
      <w:pPr>
        <w:ind w:firstLine="480"/>
      </w:pPr>
      <w:r>
        <w:rPr>
          <w:rFonts w:hint="eastAsia"/>
        </w:rPr>
        <w:t>总体上看，度假区城乡建设用地开发强度不高，规划末期区域具有生态服务功能的林地、水域等土地总面积进一步增加，随着度假区进一步实施开展生态保育工程和各项目区绿化的到位，区域植被覆盖面积和林木覆盖面积将进一步增加，区域的生态服务功能实现提升。因此，从用地面积分配来看，度假区规划实施后，度假区的土地生态功能将有所加强，区内各种用地的面积将得到合理地优化调整。</w:t>
      </w:r>
    </w:p>
    <w:p w14:paraId="6A9D8215">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6.3.2</w:t>
      </w:r>
      <w:r>
        <w:rPr>
          <w:rFonts w:hint="eastAsia" w:eastAsia="方正楷体_GBK" w:cs="Times New Roman"/>
          <w:b/>
          <w:bCs/>
          <w:szCs w:val="28"/>
          <w14:ligatures w14:val="none"/>
        </w:rPr>
        <w:t>自然体系生态能力和稳定状况的变化分析</w:t>
      </w:r>
    </w:p>
    <w:p w14:paraId="379452A5">
      <w:pPr>
        <w:ind w:firstLine="480"/>
      </w:pPr>
      <w:r>
        <w:rPr>
          <w:rFonts w:hint="eastAsia"/>
        </w:rPr>
        <w:t>植被是生态环境中最重要、最敏感的自然要素，对生态系统变化及稳定起决定性作用，植被净生产力是指绿色植物在单位面积、单位时间内所累积的有机物数量，是由光合作用所产生的有机质总量中扣除自养呼吸后的剩余部分，它直接反映植物群落在自然环境条件下的生产能力，也是生态现状质量评价的重要参数。</w:t>
      </w:r>
    </w:p>
    <w:p w14:paraId="503356D0">
      <w:pPr>
        <w:ind w:firstLine="480"/>
      </w:pPr>
      <w:r>
        <w:rPr>
          <w:rFonts w:hint="eastAsia"/>
        </w:rPr>
        <w:t>规划实施后度假区农林用地面积为88.276平方公里，增加1.39平方公里。本次规划自然体系生产能力变化取决于度假区农林用地面积的增加量，由于本次规划实施后度假区农林用地总体面积略有增加，随着度假区不断推进农业向集约高效、绿色安全方向转变，发展生态低碳农业，绿色植物在单位面积单位时间内所积累的有机物数量也将随之增加，区域内生产能力，自然体系的生产力得到提高。</w:t>
      </w:r>
    </w:p>
    <w:p w14:paraId="5C963F5B">
      <w:pPr>
        <w:ind w:firstLine="480"/>
      </w:pPr>
      <w:r>
        <w:rPr>
          <w:rFonts w:hint="eastAsia"/>
        </w:rPr>
        <w:t>自然系统的稳定和不稳定是对立统一的。由于各种生态因素的变化，自然系统处于一种波动平衡状况。当这种波动平衡被打乱时，自然系统具有不稳定性。对自然系统稳定状况的度量可从恢复稳定性和阻抗稳定性两个角度来度量。自然系统的恢复稳定性，是根据植被净生产力的多少度量的。如果植被净生产力高，则其恢复稳定性强，反之则弱。随着度假区农林用地面积的增加，区域植被生产力增加，植被净生产力提高，则其恢复稳定性增强。综合分析表明，本次规划实施对度假区自然生态系统的生产力有一定的提高作用，对进一步增强自然生态系统的恢复和调控能力起到一定作用。</w:t>
      </w:r>
    </w:p>
    <w:p w14:paraId="0B095F14">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6.3.3</w:t>
      </w:r>
      <w:r>
        <w:rPr>
          <w:rFonts w:hint="eastAsia" w:eastAsia="方正楷体_GBK" w:cs="Times New Roman"/>
          <w:b/>
          <w:bCs/>
          <w:szCs w:val="28"/>
          <w14:ligatures w14:val="none"/>
        </w:rPr>
        <w:t>水土流失影响与评价</w:t>
      </w:r>
    </w:p>
    <w:p w14:paraId="01912DA7">
      <w:pPr>
        <w:ind w:firstLine="482"/>
        <w:rPr>
          <w:b/>
          <w:bCs/>
        </w:rPr>
      </w:pPr>
      <w:r>
        <w:rPr>
          <w:rFonts w:hint="eastAsia"/>
          <w:b/>
          <w:bCs/>
        </w:rPr>
        <w:t>（1）施工期水土流失影响与评价</w:t>
      </w:r>
    </w:p>
    <w:p w14:paraId="399119AA">
      <w:pPr>
        <w:ind w:firstLine="480"/>
      </w:pPr>
      <w:r>
        <w:rPr>
          <w:rFonts w:hint="eastAsia"/>
        </w:rPr>
        <w:t>考虑到度假区所在金坛茅山地区在常州市国土空间自然灾害风险分布中属于较高风险区域和中风险区，区域内存在部分采矿区域，区域内发生崩塌、滑坡、泥石流等地质灾害风险较高。规划施工期，填土挖方、施工场地和施工便道开辟等活动都将不同程度地引起地表扰动、改变局部地形地貌、破坏植被，使表土层抗蚀能力减弱，造成扰动范围内的水土流失；挖方地段多余土石方受地形和运输条件的限制，不便马上运往填方段，将产生临时弃土，弃方因其结构疏松，孔隙度大，在短期内也将加剧水土流失。</w:t>
      </w:r>
    </w:p>
    <w:p w14:paraId="0E9258DE">
      <w:pPr>
        <w:ind w:firstLine="480"/>
      </w:pPr>
      <w:r>
        <w:rPr>
          <w:rFonts w:hint="eastAsia"/>
        </w:rPr>
        <w:t>考虑到生态评价区属亚热带季风湿润气候，具有气候温和，温和湿润，雨量充沛，无霜期长、日照充足等特点。同域内规划项目施工期长，大量土石方在雨季将会形成剧烈的水土流失现象。</w:t>
      </w:r>
    </w:p>
    <w:p w14:paraId="1F67EDE1">
      <w:pPr>
        <w:ind w:firstLine="480"/>
      </w:pPr>
      <w:r>
        <w:rPr>
          <w:rFonts w:hint="eastAsia"/>
        </w:rPr>
        <w:t>施工期水土流失强度可达到强度级以上；在实施水土保持防治措施后，水土流失强度可降低至轻度级以下（土壤侵蚀模数分级指标见表</w:t>
      </w:r>
      <w:r>
        <w:t>6</w:t>
      </w:r>
      <w:r>
        <w:rPr>
          <w:rFonts w:hint="eastAsia"/>
        </w:rPr>
        <w:t>.3-</w:t>
      </w:r>
      <w:r>
        <w:t>1</w:t>
      </w:r>
      <w:r>
        <w:rPr>
          <w:rFonts w:hint="eastAsia"/>
        </w:rPr>
        <w:t>）。在工程完工后的2~3年内，随着水土保持防治措施、植被绿化及自然恢复发挥环境效益，规划区水土流失将基本消除。</w:t>
      </w:r>
    </w:p>
    <w:p w14:paraId="711D912D">
      <w:pPr>
        <w:pStyle w:val="45"/>
        <w:rPr>
          <w:rFonts w:cs="Times New Roman"/>
        </w:rPr>
      </w:pPr>
      <w:r>
        <w:rPr>
          <w:rFonts w:cs="Times New Roman"/>
        </w:rPr>
        <w:t>表6.3-1  土壤侵蚀模数分级指标</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4"/>
        <w:gridCol w:w="1890"/>
        <w:gridCol w:w="3337"/>
        <w:gridCol w:w="2131"/>
      </w:tblGrid>
      <w:tr w14:paraId="07914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83" w:type="pct"/>
            <w:vAlign w:val="center"/>
          </w:tcPr>
          <w:p w14:paraId="16574D48">
            <w:pPr>
              <w:widowControl/>
              <w:snapToGrid w:val="0"/>
              <w:spacing w:line="240" w:lineRule="auto"/>
              <w:ind w:firstLine="0" w:firstLineChars="0"/>
              <w:jc w:val="center"/>
              <w:rPr>
                <w:rFonts w:cs="Times New Roman"/>
                <w:b/>
                <w:sz w:val="21"/>
                <w:szCs w:val="21"/>
              </w:rPr>
            </w:pPr>
            <w:r>
              <w:rPr>
                <w:rFonts w:hint="eastAsia" w:cs="Times New Roman"/>
                <w:b/>
                <w:sz w:val="21"/>
                <w:szCs w:val="21"/>
              </w:rPr>
              <w:t>序号</w:t>
            </w:r>
          </w:p>
        </w:tc>
        <w:tc>
          <w:tcPr>
            <w:tcW w:w="1109" w:type="pct"/>
            <w:vAlign w:val="center"/>
          </w:tcPr>
          <w:p w14:paraId="2E3C8638">
            <w:pPr>
              <w:widowControl/>
              <w:snapToGrid w:val="0"/>
              <w:spacing w:line="240" w:lineRule="auto"/>
              <w:ind w:firstLine="0" w:firstLineChars="0"/>
              <w:jc w:val="center"/>
              <w:rPr>
                <w:rFonts w:cs="Times New Roman"/>
                <w:b/>
                <w:sz w:val="21"/>
                <w:szCs w:val="21"/>
              </w:rPr>
            </w:pPr>
            <w:r>
              <w:rPr>
                <w:rFonts w:hint="eastAsia" w:cs="Times New Roman"/>
                <w:b/>
                <w:sz w:val="21"/>
                <w:szCs w:val="21"/>
              </w:rPr>
              <w:t>级别</w:t>
            </w:r>
          </w:p>
        </w:tc>
        <w:tc>
          <w:tcPr>
            <w:tcW w:w="1958" w:type="pct"/>
            <w:vAlign w:val="center"/>
          </w:tcPr>
          <w:p w14:paraId="62F5DB9F">
            <w:pPr>
              <w:widowControl/>
              <w:snapToGrid w:val="0"/>
              <w:spacing w:line="240" w:lineRule="auto"/>
              <w:ind w:firstLine="0" w:firstLineChars="0"/>
              <w:jc w:val="center"/>
              <w:rPr>
                <w:rFonts w:cs="Times New Roman"/>
                <w:b/>
                <w:sz w:val="21"/>
                <w:szCs w:val="21"/>
              </w:rPr>
            </w:pPr>
            <w:r>
              <w:rPr>
                <w:rFonts w:hint="eastAsia" w:cs="Times New Roman"/>
                <w:b/>
                <w:sz w:val="21"/>
                <w:szCs w:val="21"/>
              </w:rPr>
              <w:t>年平均侵蚀模数/（t·km</w:t>
            </w:r>
            <w:r>
              <w:rPr>
                <w:rFonts w:hint="eastAsia" w:cs="Times New Roman"/>
                <w:b/>
                <w:sz w:val="21"/>
                <w:szCs w:val="21"/>
                <w:vertAlign w:val="superscript"/>
              </w:rPr>
              <w:t>-2</w:t>
            </w:r>
            <w:r>
              <w:rPr>
                <w:rFonts w:hint="eastAsia" w:cs="Times New Roman"/>
                <w:b/>
                <w:sz w:val="21"/>
                <w:szCs w:val="21"/>
              </w:rPr>
              <w:t>·a</w:t>
            </w:r>
            <w:r>
              <w:rPr>
                <w:rFonts w:hint="eastAsia" w:cs="Times New Roman"/>
                <w:b/>
                <w:sz w:val="21"/>
                <w:szCs w:val="21"/>
                <w:vertAlign w:val="superscript"/>
              </w:rPr>
              <w:t>-1</w:t>
            </w:r>
            <w:r>
              <w:rPr>
                <w:rFonts w:hint="eastAsia" w:cs="Times New Roman"/>
                <w:b/>
                <w:sz w:val="21"/>
                <w:szCs w:val="21"/>
              </w:rPr>
              <w:t>）</w:t>
            </w:r>
          </w:p>
        </w:tc>
        <w:tc>
          <w:tcPr>
            <w:tcW w:w="1250" w:type="pct"/>
            <w:vAlign w:val="center"/>
          </w:tcPr>
          <w:p w14:paraId="0CF75555">
            <w:pPr>
              <w:widowControl/>
              <w:snapToGrid w:val="0"/>
              <w:spacing w:line="240" w:lineRule="auto"/>
              <w:ind w:firstLine="0" w:firstLineChars="0"/>
              <w:jc w:val="center"/>
              <w:rPr>
                <w:rFonts w:cs="Times New Roman"/>
                <w:b/>
                <w:sz w:val="21"/>
                <w:szCs w:val="21"/>
              </w:rPr>
            </w:pPr>
            <w:r>
              <w:rPr>
                <w:rFonts w:hint="eastAsia" w:cs="Times New Roman"/>
                <w:b/>
                <w:sz w:val="21"/>
                <w:szCs w:val="21"/>
              </w:rPr>
              <w:t>年平均流失厚度/m</w:t>
            </w:r>
          </w:p>
        </w:tc>
      </w:tr>
      <w:tr w14:paraId="0A839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Align w:val="center"/>
          </w:tcPr>
          <w:p w14:paraId="6B5B53B4">
            <w:pPr>
              <w:widowControl/>
              <w:snapToGrid w:val="0"/>
              <w:spacing w:line="240" w:lineRule="auto"/>
              <w:ind w:firstLine="0" w:firstLineChars="0"/>
              <w:jc w:val="center"/>
              <w:rPr>
                <w:rFonts w:cs="Times New Roman"/>
                <w:sz w:val="21"/>
                <w:szCs w:val="21"/>
              </w:rPr>
            </w:pPr>
            <w:r>
              <w:rPr>
                <w:rFonts w:hint="eastAsia" w:cs="Times New Roman"/>
                <w:sz w:val="21"/>
                <w:szCs w:val="21"/>
              </w:rPr>
              <w:t>1</w:t>
            </w:r>
          </w:p>
        </w:tc>
        <w:tc>
          <w:tcPr>
            <w:tcW w:w="1109" w:type="pct"/>
            <w:vAlign w:val="center"/>
          </w:tcPr>
          <w:p w14:paraId="29A71D86">
            <w:pPr>
              <w:widowControl/>
              <w:snapToGrid w:val="0"/>
              <w:spacing w:line="240" w:lineRule="auto"/>
              <w:ind w:firstLine="0" w:firstLineChars="0"/>
              <w:jc w:val="center"/>
              <w:rPr>
                <w:rFonts w:cs="Times New Roman"/>
                <w:sz w:val="21"/>
                <w:szCs w:val="21"/>
              </w:rPr>
            </w:pPr>
            <w:r>
              <w:rPr>
                <w:rFonts w:hint="eastAsia" w:cs="Times New Roman"/>
                <w:sz w:val="21"/>
                <w:szCs w:val="21"/>
              </w:rPr>
              <w:t>微度侵蚀</w:t>
            </w:r>
          </w:p>
        </w:tc>
        <w:tc>
          <w:tcPr>
            <w:tcW w:w="1958" w:type="pct"/>
            <w:vAlign w:val="center"/>
          </w:tcPr>
          <w:p w14:paraId="0B245E59">
            <w:pPr>
              <w:widowControl/>
              <w:snapToGrid w:val="0"/>
              <w:spacing w:line="240" w:lineRule="auto"/>
              <w:ind w:firstLine="0" w:firstLineChars="0"/>
              <w:jc w:val="center"/>
              <w:rPr>
                <w:rFonts w:cs="Times New Roman"/>
                <w:sz w:val="21"/>
                <w:szCs w:val="21"/>
              </w:rPr>
            </w:pPr>
            <w:r>
              <w:rPr>
                <w:rFonts w:hint="eastAsia" w:cs="Times New Roman"/>
                <w:sz w:val="21"/>
                <w:szCs w:val="21"/>
              </w:rPr>
              <w:t>&lt;200,500,1000</w:t>
            </w:r>
          </w:p>
        </w:tc>
        <w:tc>
          <w:tcPr>
            <w:tcW w:w="1250" w:type="pct"/>
            <w:vAlign w:val="center"/>
          </w:tcPr>
          <w:p w14:paraId="0D442672">
            <w:pPr>
              <w:widowControl/>
              <w:snapToGrid w:val="0"/>
              <w:spacing w:line="240" w:lineRule="auto"/>
              <w:ind w:firstLine="0" w:firstLineChars="0"/>
              <w:jc w:val="center"/>
              <w:rPr>
                <w:rFonts w:cs="Times New Roman"/>
                <w:sz w:val="21"/>
                <w:szCs w:val="21"/>
              </w:rPr>
            </w:pPr>
            <w:r>
              <w:rPr>
                <w:rFonts w:hint="eastAsia" w:cs="Times New Roman"/>
                <w:sz w:val="21"/>
                <w:szCs w:val="21"/>
              </w:rPr>
              <w:t>&lt;0.16,0.4,0.8</w:t>
            </w:r>
          </w:p>
        </w:tc>
      </w:tr>
      <w:tr w14:paraId="7E037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Align w:val="center"/>
          </w:tcPr>
          <w:p w14:paraId="75B93511">
            <w:pPr>
              <w:widowControl/>
              <w:snapToGrid w:val="0"/>
              <w:spacing w:line="240" w:lineRule="auto"/>
              <w:ind w:firstLine="0" w:firstLineChars="0"/>
              <w:jc w:val="center"/>
              <w:rPr>
                <w:rFonts w:cs="Times New Roman"/>
                <w:sz w:val="21"/>
                <w:szCs w:val="21"/>
              </w:rPr>
            </w:pPr>
            <w:r>
              <w:rPr>
                <w:rFonts w:hint="eastAsia" w:cs="Times New Roman"/>
                <w:sz w:val="21"/>
                <w:szCs w:val="21"/>
              </w:rPr>
              <w:t>2</w:t>
            </w:r>
          </w:p>
        </w:tc>
        <w:tc>
          <w:tcPr>
            <w:tcW w:w="1109" w:type="pct"/>
            <w:vAlign w:val="center"/>
          </w:tcPr>
          <w:p w14:paraId="5D35B94C">
            <w:pPr>
              <w:widowControl/>
              <w:snapToGrid w:val="0"/>
              <w:spacing w:line="240" w:lineRule="auto"/>
              <w:ind w:firstLine="0" w:firstLineChars="0"/>
              <w:jc w:val="center"/>
              <w:rPr>
                <w:rFonts w:cs="Times New Roman"/>
                <w:sz w:val="21"/>
                <w:szCs w:val="21"/>
              </w:rPr>
            </w:pPr>
            <w:r>
              <w:rPr>
                <w:rFonts w:hint="eastAsia" w:cs="Times New Roman"/>
                <w:sz w:val="21"/>
                <w:szCs w:val="21"/>
              </w:rPr>
              <w:t>轻度侵蚀</w:t>
            </w:r>
          </w:p>
        </w:tc>
        <w:tc>
          <w:tcPr>
            <w:tcW w:w="1958" w:type="pct"/>
            <w:vAlign w:val="center"/>
          </w:tcPr>
          <w:p w14:paraId="711276A4">
            <w:pPr>
              <w:widowControl/>
              <w:snapToGrid w:val="0"/>
              <w:spacing w:line="240" w:lineRule="auto"/>
              <w:ind w:firstLine="0" w:firstLineChars="0"/>
              <w:jc w:val="center"/>
              <w:rPr>
                <w:rFonts w:cs="Times New Roman"/>
                <w:sz w:val="21"/>
                <w:szCs w:val="21"/>
              </w:rPr>
            </w:pPr>
            <w:r>
              <w:rPr>
                <w:rFonts w:hint="eastAsia" w:cs="Times New Roman"/>
                <w:sz w:val="21"/>
                <w:szCs w:val="21"/>
              </w:rPr>
              <w:t>（200,500,1000）-2500</w:t>
            </w:r>
          </w:p>
        </w:tc>
        <w:tc>
          <w:tcPr>
            <w:tcW w:w="1250" w:type="pct"/>
            <w:vAlign w:val="center"/>
          </w:tcPr>
          <w:p w14:paraId="6C5E7034">
            <w:pPr>
              <w:widowControl/>
              <w:snapToGrid w:val="0"/>
              <w:spacing w:line="240" w:lineRule="auto"/>
              <w:ind w:firstLine="0" w:firstLineChars="0"/>
              <w:jc w:val="center"/>
              <w:rPr>
                <w:rFonts w:cs="Times New Roman"/>
                <w:sz w:val="21"/>
                <w:szCs w:val="21"/>
              </w:rPr>
            </w:pPr>
            <w:r>
              <w:rPr>
                <w:rFonts w:hint="eastAsia" w:cs="Times New Roman"/>
                <w:sz w:val="21"/>
                <w:szCs w:val="21"/>
              </w:rPr>
              <w:t>（0.16,0.4,0.8）-2</w:t>
            </w:r>
          </w:p>
        </w:tc>
      </w:tr>
      <w:tr w14:paraId="7C72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Align w:val="center"/>
          </w:tcPr>
          <w:p w14:paraId="66739B04">
            <w:pPr>
              <w:widowControl/>
              <w:snapToGrid w:val="0"/>
              <w:spacing w:line="240" w:lineRule="auto"/>
              <w:ind w:firstLine="0" w:firstLineChars="0"/>
              <w:jc w:val="center"/>
              <w:rPr>
                <w:rFonts w:cs="Times New Roman"/>
                <w:sz w:val="21"/>
                <w:szCs w:val="21"/>
              </w:rPr>
            </w:pPr>
            <w:r>
              <w:rPr>
                <w:rFonts w:hint="eastAsia" w:cs="Times New Roman"/>
                <w:sz w:val="21"/>
                <w:szCs w:val="21"/>
              </w:rPr>
              <w:t>3</w:t>
            </w:r>
          </w:p>
        </w:tc>
        <w:tc>
          <w:tcPr>
            <w:tcW w:w="1109" w:type="pct"/>
            <w:vAlign w:val="center"/>
          </w:tcPr>
          <w:p w14:paraId="7C0ED3F9">
            <w:pPr>
              <w:widowControl/>
              <w:snapToGrid w:val="0"/>
              <w:spacing w:line="240" w:lineRule="auto"/>
              <w:ind w:firstLine="0" w:firstLineChars="0"/>
              <w:jc w:val="center"/>
              <w:rPr>
                <w:rFonts w:cs="Times New Roman"/>
                <w:sz w:val="21"/>
                <w:szCs w:val="21"/>
              </w:rPr>
            </w:pPr>
            <w:r>
              <w:rPr>
                <w:rFonts w:hint="eastAsia" w:cs="Times New Roman"/>
                <w:sz w:val="21"/>
                <w:szCs w:val="21"/>
              </w:rPr>
              <w:t>中度侵蚀</w:t>
            </w:r>
          </w:p>
        </w:tc>
        <w:tc>
          <w:tcPr>
            <w:tcW w:w="1958" w:type="pct"/>
            <w:vAlign w:val="center"/>
          </w:tcPr>
          <w:p w14:paraId="5FE6EA65">
            <w:pPr>
              <w:widowControl/>
              <w:snapToGrid w:val="0"/>
              <w:spacing w:line="240" w:lineRule="auto"/>
              <w:ind w:firstLine="0" w:firstLineChars="0"/>
              <w:jc w:val="center"/>
              <w:rPr>
                <w:rFonts w:cs="Times New Roman"/>
                <w:sz w:val="21"/>
                <w:szCs w:val="21"/>
              </w:rPr>
            </w:pPr>
            <w:r>
              <w:rPr>
                <w:rFonts w:hint="eastAsia" w:cs="Times New Roman"/>
                <w:sz w:val="21"/>
                <w:szCs w:val="21"/>
              </w:rPr>
              <w:t>2500-5000</w:t>
            </w:r>
          </w:p>
        </w:tc>
        <w:tc>
          <w:tcPr>
            <w:tcW w:w="1250" w:type="pct"/>
            <w:vAlign w:val="center"/>
          </w:tcPr>
          <w:p w14:paraId="38BB171C">
            <w:pPr>
              <w:widowControl/>
              <w:snapToGrid w:val="0"/>
              <w:spacing w:line="240" w:lineRule="auto"/>
              <w:ind w:firstLine="0" w:firstLineChars="0"/>
              <w:jc w:val="center"/>
              <w:rPr>
                <w:rFonts w:cs="Times New Roman"/>
                <w:sz w:val="21"/>
                <w:szCs w:val="21"/>
              </w:rPr>
            </w:pPr>
            <w:r>
              <w:rPr>
                <w:rFonts w:hint="eastAsia" w:cs="Times New Roman"/>
                <w:sz w:val="21"/>
                <w:szCs w:val="21"/>
              </w:rPr>
              <w:t>2-4</w:t>
            </w:r>
          </w:p>
        </w:tc>
      </w:tr>
      <w:tr w14:paraId="776EE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Align w:val="center"/>
          </w:tcPr>
          <w:p w14:paraId="484079CB">
            <w:pPr>
              <w:widowControl/>
              <w:snapToGrid w:val="0"/>
              <w:spacing w:line="240" w:lineRule="auto"/>
              <w:ind w:firstLine="0" w:firstLineChars="0"/>
              <w:jc w:val="center"/>
              <w:rPr>
                <w:rFonts w:cs="Times New Roman"/>
                <w:sz w:val="21"/>
                <w:szCs w:val="21"/>
              </w:rPr>
            </w:pPr>
            <w:r>
              <w:rPr>
                <w:rFonts w:hint="eastAsia" w:cs="Times New Roman"/>
                <w:sz w:val="21"/>
                <w:szCs w:val="21"/>
              </w:rPr>
              <w:t>4</w:t>
            </w:r>
          </w:p>
        </w:tc>
        <w:tc>
          <w:tcPr>
            <w:tcW w:w="1109" w:type="pct"/>
            <w:vAlign w:val="center"/>
          </w:tcPr>
          <w:p w14:paraId="6C8D36D6">
            <w:pPr>
              <w:widowControl/>
              <w:snapToGrid w:val="0"/>
              <w:spacing w:line="240" w:lineRule="auto"/>
              <w:ind w:firstLine="0" w:firstLineChars="0"/>
              <w:jc w:val="center"/>
              <w:rPr>
                <w:rFonts w:cs="Times New Roman"/>
                <w:sz w:val="21"/>
                <w:szCs w:val="21"/>
              </w:rPr>
            </w:pPr>
            <w:r>
              <w:rPr>
                <w:rFonts w:hint="eastAsia" w:cs="Times New Roman"/>
                <w:sz w:val="21"/>
                <w:szCs w:val="21"/>
              </w:rPr>
              <w:t>强度侵蚀</w:t>
            </w:r>
          </w:p>
        </w:tc>
        <w:tc>
          <w:tcPr>
            <w:tcW w:w="1958" w:type="pct"/>
            <w:vAlign w:val="center"/>
          </w:tcPr>
          <w:p w14:paraId="007DA4A2">
            <w:pPr>
              <w:widowControl/>
              <w:snapToGrid w:val="0"/>
              <w:spacing w:line="240" w:lineRule="auto"/>
              <w:ind w:firstLine="0" w:firstLineChars="0"/>
              <w:jc w:val="center"/>
              <w:rPr>
                <w:rFonts w:cs="Times New Roman"/>
                <w:sz w:val="21"/>
                <w:szCs w:val="21"/>
              </w:rPr>
            </w:pPr>
            <w:r>
              <w:rPr>
                <w:rFonts w:hint="eastAsia" w:cs="Times New Roman"/>
                <w:sz w:val="21"/>
                <w:szCs w:val="21"/>
              </w:rPr>
              <w:t>5000-8000</w:t>
            </w:r>
          </w:p>
        </w:tc>
        <w:tc>
          <w:tcPr>
            <w:tcW w:w="1250" w:type="pct"/>
            <w:vAlign w:val="center"/>
          </w:tcPr>
          <w:p w14:paraId="6F219C1D">
            <w:pPr>
              <w:widowControl/>
              <w:snapToGrid w:val="0"/>
              <w:spacing w:line="240" w:lineRule="auto"/>
              <w:ind w:firstLine="0" w:firstLineChars="0"/>
              <w:jc w:val="center"/>
              <w:rPr>
                <w:rFonts w:cs="Times New Roman"/>
                <w:sz w:val="21"/>
                <w:szCs w:val="21"/>
              </w:rPr>
            </w:pPr>
            <w:r>
              <w:rPr>
                <w:rFonts w:hint="eastAsia" w:cs="Times New Roman"/>
                <w:sz w:val="21"/>
                <w:szCs w:val="21"/>
              </w:rPr>
              <w:t>4-6</w:t>
            </w:r>
          </w:p>
        </w:tc>
      </w:tr>
      <w:tr w14:paraId="10A09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Align w:val="center"/>
          </w:tcPr>
          <w:p w14:paraId="7489783F">
            <w:pPr>
              <w:widowControl/>
              <w:snapToGrid w:val="0"/>
              <w:spacing w:line="240" w:lineRule="auto"/>
              <w:ind w:firstLine="0" w:firstLineChars="0"/>
              <w:jc w:val="center"/>
              <w:rPr>
                <w:rFonts w:cs="Times New Roman"/>
                <w:sz w:val="21"/>
                <w:szCs w:val="21"/>
              </w:rPr>
            </w:pPr>
            <w:r>
              <w:rPr>
                <w:rFonts w:hint="eastAsia" w:cs="Times New Roman"/>
                <w:sz w:val="21"/>
                <w:szCs w:val="21"/>
              </w:rPr>
              <w:t>5</w:t>
            </w:r>
          </w:p>
        </w:tc>
        <w:tc>
          <w:tcPr>
            <w:tcW w:w="1109" w:type="pct"/>
            <w:vAlign w:val="center"/>
          </w:tcPr>
          <w:p w14:paraId="58D6F4B5">
            <w:pPr>
              <w:widowControl/>
              <w:snapToGrid w:val="0"/>
              <w:spacing w:line="240" w:lineRule="auto"/>
              <w:ind w:firstLine="0" w:firstLineChars="0"/>
              <w:jc w:val="center"/>
              <w:rPr>
                <w:rFonts w:cs="Times New Roman"/>
                <w:sz w:val="21"/>
                <w:szCs w:val="21"/>
              </w:rPr>
            </w:pPr>
            <w:r>
              <w:rPr>
                <w:rFonts w:hint="eastAsia" w:cs="Times New Roman"/>
                <w:sz w:val="21"/>
                <w:szCs w:val="21"/>
              </w:rPr>
              <w:t>极强度侵蚀</w:t>
            </w:r>
          </w:p>
        </w:tc>
        <w:tc>
          <w:tcPr>
            <w:tcW w:w="1958" w:type="pct"/>
            <w:vAlign w:val="center"/>
          </w:tcPr>
          <w:p w14:paraId="4976AC47">
            <w:pPr>
              <w:widowControl/>
              <w:snapToGrid w:val="0"/>
              <w:spacing w:line="240" w:lineRule="auto"/>
              <w:ind w:firstLine="0" w:firstLineChars="0"/>
              <w:jc w:val="center"/>
              <w:rPr>
                <w:rFonts w:cs="Times New Roman"/>
                <w:sz w:val="21"/>
                <w:szCs w:val="21"/>
              </w:rPr>
            </w:pPr>
            <w:r>
              <w:rPr>
                <w:rFonts w:hint="eastAsia" w:cs="Times New Roman"/>
                <w:sz w:val="21"/>
                <w:szCs w:val="21"/>
              </w:rPr>
              <w:t>8000-15000</w:t>
            </w:r>
          </w:p>
        </w:tc>
        <w:tc>
          <w:tcPr>
            <w:tcW w:w="1250" w:type="pct"/>
            <w:vAlign w:val="center"/>
          </w:tcPr>
          <w:p w14:paraId="68BC088A">
            <w:pPr>
              <w:widowControl/>
              <w:snapToGrid w:val="0"/>
              <w:spacing w:line="240" w:lineRule="auto"/>
              <w:ind w:firstLine="0" w:firstLineChars="0"/>
              <w:jc w:val="center"/>
              <w:rPr>
                <w:rFonts w:cs="Times New Roman"/>
                <w:sz w:val="21"/>
                <w:szCs w:val="21"/>
              </w:rPr>
            </w:pPr>
            <w:r>
              <w:rPr>
                <w:rFonts w:hint="eastAsia" w:cs="Times New Roman"/>
                <w:sz w:val="21"/>
                <w:szCs w:val="21"/>
              </w:rPr>
              <w:t>6-12</w:t>
            </w:r>
          </w:p>
        </w:tc>
      </w:tr>
      <w:tr w14:paraId="0593D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Align w:val="center"/>
          </w:tcPr>
          <w:p w14:paraId="7B52774F">
            <w:pPr>
              <w:widowControl/>
              <w:snapToGrid w:val="0"/>
              <w:spacing w:line="240" w:lineRule="auto"/>
              <w:ind w:firstLine="0" w:firstLineChars="0"/>
              <w:jc w:val="center"/>
              <w:rPr>
                <w:rFonts w:cs="Times New Roman"/>
                <w:sz w:val="21"/>
                <w:szCs w:val="21"/>
              </w:rPr>
            </w:pPr>
            <w:r>
              <w:rPr>
                <w:rFonts w:hint="eastAsia" w:cs="Times New Roman"/>
                <w:sz w:val="21"/>
                <w:szCs w:val="21"/>
              </w:rPr>
              <w:t>6</w:t>
            </w:r>
          </w:p>
        </w:tc>
        <w:tc>
          <w:tcPr>
            <w:tcW w:w="1109" w:type="pct"/>
            <w:vAlign w:val="center"/>
          </w:tcPr>
          <w:p w14:paraId="25B8041E">
            <w:pPr>
              <w:widowControl/>
              <w:snapToGrid w:val="0"/>
              <w:spacing w:line="240" w:lineRule="auto"/>
              <w:ind w:firstLine="0" w:firstLineChars="0"/>
              <w:jc w:val="center"/>
              <w:rPr>
                <w:rFonts w:cs="Times New Roman"/>
                <w:sz w:val="21"/>
                <w:szCs w:val="21"/>
              </w:rPr>
            </w:pPr>
            <w:r>
              <w:rPr>
                <w:rFonts w:hint="eastAsia" w:cs="Times New Roman"/>
                <w:sz w:val="21"/>
                <w:szCs w:val="21"/>
              </w:rPr>
              <w:t>剧烈侵蚀</w:t>
            </w:r>
          </w:p>
        </w:tc>
        <w:tc>
          <w:tcPr>
            <w:tcW w:w="1958" w:type="pct"/>
            <w:vAlign w:val="center"/>
          </w:tcPr>
          <w:p w14:paraId="1F82B477">
            <w:pPr>
              <w:widowControl/>
              <w:snapToGrid w:val="0"/>
              <w:spacing w:line="240" w:lineRule="auto"/>
              <w:ind w:firstLine="0" w:firstLineChars="0"/>
              <w:jc w:val="center"/>
              <w:rPr>
                <w:rFonts w:cs="Times New Roman"/>
                <w:sz w:val="21"/>
                <w:szCs w:val="21"/>
              </w:rPr>
            </w:pPr>
            <w:r>
              <w:rPr>
                <w:rFonts w:hint="eastAsia" w:cs="Times New Roman"/>
                <w:sz w:val="21"/>
                <w:szCs w:val="21"/>
              </w:rPr>
              <w:t>&gt;15000</w:t>
            </w:r>
          </w:p>
        </w:tc>
        <w:tc>
          <w:tcPr>
            <w:tcW w:w="1250" w:type="pct"/>
            <w:vAlign w:val="center"/>
          </w:tcPr>
          <w:p w14:paraId="7451EA3B">
            <w:pPr>
              <w:widowControl/>
              <w:snapToGrid w:val="0"/>
              <w:spacing w:line="240" w:lineRule="auto"/>
              <w:ind w:firstLine="0" w:firstLineChars="0"/>
              <w:jc w:val="center"/>
              <w:rPr>
                <w:rFonts w:cs="Times New Roman"/>
                <w:sz w:val="21"/>
                <w:szCs w:val="21"/>
              </w:rPr>
            </w:pPr>
            <w:r>
              <w:rPr>
                <w:rFonts w:hint="eastAsia" w:cs="Times New Roman"/>
                <w:sz w:val="21"/>
                <w:szCs w:val="21"/>
              </w:rPr>
              <w:t>&gt;12</w:t>
            </w:r>
          </w:p>
        </w:tc>
      </w:tr>
    </w:tbl>
    <w:p w14:paraId="12E061AC">
      <w:pPr>
        <w:ind w:firstLine="482"/>
        <w:rPr>
          <w:b/>
          <w:bCs/>
        </w:rPr>
      </w:pPr>
      <w:r>
        <w:rPr>
          <w:rFonts w:hint="eastAsia"/>
          <w:b/>
          <w:bCs/>
        </w:rPr>
        <w:t>（</w:t>
      </w:r>
      <w:r>
        <w:rPr>
          <w:b/>
          <w:bCs/>
        </w:rPr>
        <w:t>2</w:t>
      </w:r>
      <w:r>
        <w:rPr>
          <w:rFonts w:hint="eastAsia"/>
          <w:b/>
          <w:bCs/>
        </w:rPr>
        <w:t>）运营期水土流失影响与评价</w:t>
      </w:r>
    </w:p>
    <w:p w14:paraId="450FCC51">
      <w:pPr>
        <w:ind w:firstLine="480"/>
      </w:pPr>
      <w:r>
        <w:rPr>
          <w:rFonts w:hint="eastAsia"/>
        </w:rPr>
        <w:t>规划运营期，会出现大量游客聚集，将不可避免地发生游客毁坏地貌、践踏绿地植被、惊扰野生动物的行为。通过类比分析，景区内被踩踏而形成的小径，最宽可达7米以上，而踩踏作用导致的区域土壤被踏实板结、土层厚度降低、土壤紧实度增加、孔隙度减少，破坏土壤稳定性，导致土壤蓄水保土、渗透能力下降等危害，也将增加地面径流形成、引起侵蚀加强。</w:t>
      </w:r>
    </w:p>
    <w:p w14:paraId="0A1E082F">
      <w:pPr>
        <w:ind w:firstLine="480"/>
      </w:pPr>
      <w:r>
        <w:rPr>
          <w:rFonts w:hint="eastAsia"/>
        </w:rPr>
        <w:t>游客不文明行为同样也会对地表植被产生扰动。研究表明，草地植被经过1000次践踏，将损失50%；同一类型地区森林地被践踏1000次后，植被将损失100%。考虑到雨水经林冠截留后需积聚到一定重量才会降落，且总降落在一点，这在一定程度上增强了雨滴对林内裸露土面的击溅破坏能力，坡面径流由面状趋向线状，侵蚀作用亦增强几倍至十几倍。可见，灌草植被物种和个体数因踩踏导致的减少，将直接影响植被冠层对降雨的截留和缓冲能力，使枯枝落叶层变得稀疏，进而使其改变地表粗糙度、机械阻挡并分散和削弱径流、改善小气候环境的作用减弱，加剧了水土流失。</w:t>
      </w:r>
    </w:p>
    <w:p w14:paraId="3D2CB4DD">
      <w:pPr>
        <w:ind w:firstLine="480"/>
      </w:pPr>
      <w:r>
        <w:rPr>
          <w:rFonts w:hint="eastAsia"/>
        </w:rPr>
        <w:t>人为踩踏和对植被的损伤破坏，不仅会加剧水土流失，更会降低土壤与植被的相互补充效应。土壤板结面积和板结程度的加大，形成不适宜性土壤条件，产生土壤—植被双重破坏的恶性循环，进一步加速水土流失并影响土壤侵蚀。</w:t>
      </w:r>
    </w:p>
    <w:p w14:paraId="77234831">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6.3.4</w:t>
      </w:r>
      <w:r>
        <w:rPr>
          <w:rFonts w:hint="eastAsia" w:eastAsia="方正楷体_GBK" w:cs="Times New Roman"/>
          <w:b/>
          <w:bCs/>
          <w:szCs w:val="28"/>
          <w14:ligatures w14:val="none"/>
        </w:rPr>
        <w:t>植物影响与评价</w:t>
      </w:r>
    </w:p>
    <w:p w14:paraId="1F956BB3">
      <w:pPr>
        <w:ind w:firstLine="482"/>
        <w:rPr>
          <w:b/>
          <w:bCs/>
        </w:rPr>
      </w:pPr>
      <w:r>
        <w:rPr>
          <w:rFonts w:hint="eastAsia"/>
          <w:b/>
          <w:bCs/>
        </w:rPr>
        <w:t>（1）施工期植物影响与评价</w:t>
      </w:r>
    </w:p>
    <w:p w14:paraId="42517B15">
      <w:pPr>
        <w:ind w:firstLine="480"/>
      </w:pPr>
      <w:r>
        <w:rPr>
          <w:rFonts w:hint="eastAsia"/>
        </w:rPr>
        <w:t>在规划项目施工占地方面，永久占地范围内的植被将不复存在，而临时占地对植被的影响则是临时的，施工完成后规划建设单位将通过种植乔木、灌木、草本等植物开展立体复绿，恢复原有区域植被覆盖，这在一定程度上缓解了施工期对植被的破坏。此外，由于规划所在区域自然气候条件适宜，雨水丰富，植被相对较容易恢复，加上本项目建设开发强度不大，一般在2～3年后即可恢复。</w:t>
      </w:r>
    </w:p>
    <w:p w14:paraId="4AEBB24A">
      <w:pPr>
        <w:ind w:firstLine="480"/>
      </w:pPr>
      <w:r>
        <w:rPr>
          <w:rFonts w:hint="eastAsia"/>
        </w:rPr>
        <w:t>在规划项目施工污染物排放方面，污水对植被的影响主要产生于土壤的间接污染，生长于污染土壤上的植物吸收其中的有害毒素，并逐渐富积于植物体内。本规划中茅山旅游度假区采用雨污分流排水体制，雨水根据地形特点，分散、重力流排入附近河流或沟渠，进入水库和塘坝。同时度假区主要发展旅游度假项目，不涉及引进和新增工业企业，项目施工过程中也将严格落实施工过程环境管理，严格管控建筑垃圾和建筑材料堆放，制定并落实污染防控措施，因此规划项目施工对土壤的水环境的影响有限，对植被也不会造成危害性影响。</w:t>
      </w:r>
    </w:p>
    <w:p w14:paraId="4F239CAB">
      <w:pPr>
        <w:ind w:firstLine="480"/>
      </w:pPr>
      <w:r>
        <w:rPr>
          <w:rFonts w:hint="eastAsia"/>
        </w:rPr>
        <w:t>大气污染物主要为施工过程产生的扬尘颗粒物，这些污染物质附着于植物地上器官（叶、茎、花、果实）表面，以干粉尘、泥膜等形式累积，形成的覆盖层阻塞气孔，导致气体交换减少，叶片温度升高，光合作用下降，从而直接影响植物正常生理生化作用。一般而言，大范围低浓度的颗粒物慢性沉降不会对自然生态系统产生不利影响，只有在颗粒物的沉降速率较高时才容易引发生态问题。考虑到规划区气候多风、周边地形开阔，大气污染物易扩散，规划项目建设行为污染源分散且较少等因素，在正常情况下大气污染物对植物的影响不大。</w:t>
      </w:r>
    </w:p>
    <w:p w14:paraId="243E3985">
      <w:pPr>
        <w:ind w:firstLine="482"/>
        <w:rPr>
          <w:b/>
          <w:bCs/>
        </w:rPr>
      </w:pPr>
      <w:r>
        <w:rPr>
          <w:rFonts w:hint="eastAsia"/>
          <w:b/>
          <w:bCs/>
        </w:rPr>
        <w:t>（2）运营期植物影响与评价</w:t>
      </w:r>
    </w:p>
    <w:p w14:paraId="02315E4A">
      <w:pPr>
        <w:ind w:firstLine="480"/>
      </w:pPr>
      <w:r>
        <w:rPr>
          <w:rFonts w:hint="eastAsia"/>
        </w:rPr>
        <w:t>规划运营期大量游客聚集，游客不文明的行为，将不可避免地对绿地植被、地质地貌产生影响。通过类比分析，游客践踏对路边植被的影响范围约为2米，而位于交叉路口，沿两条道路对角线方向的影响范围可以达到5～7米。以上人为干扰对路边乔木层本身的直接影响较小，却对立木更新层影响较大，会造成某些种类幼苗的缺失。</w:t>
      </w:r>
    </w:p>
    <w:p w14:paraId="3AFAEE7C">
      <w:pPr>
        <w:ind w:firstLine="480"/>
      </w:pPr>
      <w:r>
        <w:rPr>
          <w:rFonts w:hint="eastAsia"/>
        </w:rPr>
        <w:t>此外，新建道路路旁充足的光照，将改变部分喜阴和抗干扰能力较弱植被的适宜生境，造成此类植被的种类和数量的减少，喜阳植物种类和数量增多，这一影响中断了区域内植被群落的自然演替，这在江苏亚热带湿润季风气候环境下尤为显著。</w:t>
      </w:r>
    </w:p>
    <w:p w14:paraId="479BEE54">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6.3.5</w:t>
      </w:r>
      <w:r>
        <w:rPr>
          <w:rFonts w:hint="eastAsia" w:eastAsia="方正楷体_GBK" w:cs="Times New Roman"/>
          <w:b/>
          <w:bCs/>
          <w:szCs w:val="28"/>
          <w14:ligatures w14:val="none"/>
        </w:rPr>
        <w:t>动物影响与评价</w:t>
      </w:r>
    </w:p>
    <w:p w14:paraId="4412F0D8">
      <w:pPr>
        <w:ind w:firstLine="482"/>
        <w:rPr>
          <w:b/>
          <w:bCs/>
        </w:rPr>
      </w:pPr>
      <w:r>
        <w:rPr>
          <w:rFonts w:hint="eastAsia"/>
          <w:b/>
          <w:bCs/>
        </w:rPr>
        <w:t>（1）施工期动物影响与评价</w:t>
      </w:r>
    </w:p>
    <w:p w14:paraId="25AE70A0">
      <w:pPr>
        <w:ind w:firstLine="480"/>
      </w:pPr>
      <w:r>
        <w:rPr>
          <w:rFonts w:hint="eastAsia"/>
        </w:rPr>
        <w:t>规划施工期，对动物的直接影响主要表现为污染物排放而产生的影响。施工期间排放的废气、废渣、交通噪声、振动和地表径流等污染效应，在一定程度上对动物存在惊扰和毒害，导致区域内的高等动物向远离施工区的方向迁移，引起规划区及周边地区动物种类和数量的减少。此外，施工人员聚集，对周边野生动物也将形成骚扰，部分施工人员可能在闲暇之时，对动物进行捕获，进而影响野生动物构成。</w:t>
      </w:r>
    </w:p>
    <w:p w14:paraId="30238204">
      <w:pPr>
        <w:ind w:firstLine="480"/>
      </w:pPr>
      <w:r>
        <w:rPr>
          <w:rFonts w:hint="eastAsia"/>
        </w:rPr>
        <w:t>就鸟类而言，施工期对其产生影响主要源于噪声和灯光两个方面。建筑材料运输、打桩、钻孔等建设施工产生的噪声使鸟类受到惊吓，导致鸟类远离施工区域；车灯、晚间探照灯则会产生光污染，引起晚光环境的变化，降低区域鸟类栖息地的安全性和隐蔽性，影响鸟类的正常栖息。</w:t>
      </w:r>
    </w:p>
    <w:p w14:paraId="5D3FAFC3">
      <w:pPr>
        <w:ind w:firstLine="480"/>
      </w:pPr>
      <w:r>
        <w:rPr>
          <w:rFonts w:hint="eastAsia"/>
        </w:rPr>
        <w:t>规划施工期，作为工程建设、施工便道和施工场所的永久和临时用地，原用地类型为水域、农田等，是鸟类、啮齿类为代表的动物的栖息地和觅食场，如水域是水鸟的栖息地，农田则是林鸟、水鸟、啮齿类都喜欢的觅食地。因此，施工占地对区域野生动物的栖息地影响较大。</w:t>
      </w:r>
    </w:p>
    <w:p w14:paraId="6F46C3A6">
      <w:pPr>
        <w:ind w:firstLine="482"/>
        <w:rPr>
          <w:b/>
          <w:bCs/>
        </w:rPr>
      </w:pPr>
      <w:r>
        <w:rPr>
          <w:rFonts w:hint="eastAsia"/>
          <w:b/>
          <w:bCs/>
        </w:rPr>
        <w:t>（</w:t>
      </w:r>
      <w:r>
        <w:rPr>
          <w:b/>
          <w:bCs/>
        </w:rPr>
        <w:t>2</w:t>
      </w:r>
      <w:r>
        <w:rPr>
          <w:rFonts w:hint="eastAsia"/>
          <w:b/>
          <w:bCs/>
        </w:rPr>
        <w:t>）运营期动物影响与评价</w:t>
      </w:r>
    </w:p>
    <w:p w14:paraId="08CCA228">
      <w:pPr>
        <w:ind w:firstLine="480"/>
      </w:pPr>
      <w:r>
        <w:rPr>
          <w:rFonts w:hint="eastAsia"/>
        </w:rPr>
        <w:t>规划营运期，对野生动物的影响主要来源于旅游车行驶噪声，以及游客增加引起的游览活动范围扩大而惊扰野生动物。交通车辆增加等使周围区域的噪声增大，惊扰野生动物的生活，并使部分野生动物的生境退化萎缩。</w:t>
      </w:r>
    </w:p>
    <w:p w14:paraId="2D758CE8">
      <w:pPr>
        <w:ind w:firstLine="480"/>
      </w:pPr>
      <w:r>
        <w:rPr>
          <w:rFonts w:hint="eastAsia"/>
        </w:rPr>
        <w:t>规划中不同区域功能分区，以及步道等配套设施的建设，使动物的生存环境被分割，虽然各分区间均有水系、道路廊道连接，但考虑到不同分区内植被配置不同，这将或多或少降低野生动物生境的适宜性和连通性，对野生动物的繁殖和生长产生一定影响。</w:t>
      </w:r>
    </w:p>
    <w:p w14:paraId="11AB78DA">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6.3.6</w:t>
      </w:r>
      <w:r>
        <w:rPr>
          <w:rFonts w:hint="eastAsia" w:eastAsia="方正楷体_GBK" w:cs="Times New Roman"/>
          <w:b/>
          <w:bCs/>
          <w:szCs w:val="28"/>
          <w14:ligatures w14:val="none"/>
        </w:rPr>
        <w:t>生物多样性影响与评价</w:t>
      </w:r>
    </w:p>
    <w:p w14:paraId="7A47EB21">
      <w:pPr>
        <w:ind w:firstLine="482"/>
        <w:rPr>
          <w:b/>
          <w:bCs/>
        </w:rPr>
      </w:pPr>
      <w:r>
        <w:rPr>
          <w:rFonts w:hint="eastAsia"/>
          <w:b/>
          <w:bCs/>
        </w:rPr>
        <w:t>（1）植物多样性影响与评价</w:t>
      </w:r>
    </w:p>
    <w:p w14:paraId="34144A13">
      <w:pPr>
        <w:ind w:firstLine="480"/>
      </w:pPr>
      <w:r>
        <w:rPr>
          <w:rFonts w:hint="eastAsia"/>
        </w:rPr>
        <w:t>本规划在实施过程中部分项目将占用农林用地，其中耕地的占用会按照“占一补一”的原则以及国家和地方的相关规定，通过土地复垦等措施，补充数量相等、质量相当的耕地，严格执行耕地占补平衡政策。随着规划远期内企业将逐步关闭退出以及采矿结束后相关生态修复工作的开展，现状的工矿用地将逐步转为农林用地或商业服务设施等建设用地，整体上度假区内农林用地面积在规划远期未降低。此外，规划项目实施过程中主要影响半人工生境的植被，对自然生境中的植被影响较小，随着后续补偿措施实施，这部分植被损失将得到补偿。因此，整体上本次规划实施后对植物多样性影响轻微。</w:t>
      </w:r>
    </w:p>
    <w:p w14:paraId="096A82C3">
      <w:pPr>
        <w:ind w:firstLine="482"/>
        <w:rPr>
          <w:b/>
          <w:bCs/>
        </w:rPr>
      </w:pPr>
      <w:r>
        <w:rPr>
          <w:rFonts w:hint="eastAsia"/>
          <w:b/>
          <w:bCs/>
        </w:rPr>
        <w:t>（2）鸟类多样性影响与评价</w:t>
      </w:r>
    </w:p>
    <w:p w14:paraId="56272DBC">
      <w:pPr>
        <w:ind w:firstLine="480"/>
      </w:pPr>
      <w:bookmarkStart w:id="117" w:name="_Hlk167353832"/>
      <w:r>
        <w:rPr>
          <w:rFonts w:hint="eastAsia"/>
        </w:rPr>
        <w:t>本规划在实施过程中部分项目将占用农林用地</w:t>
      </w:r>
      <w:bookmarkEnd w:id="117"/>
      <w:r>
        <w:rPr>
          <w:rFonts w:hint="eastAsia"/>
        </w:rPr>
        <w:t>，这会对原有的林鸟生境产生一定的不利影响。其中耕地的占用在今后的发展建设过程中会按照“占一补一”的原则实现耕地占补平衡，故对主要生境为农田的伴人鸟种如麻雀会产生暂时性影响，导致该区域鸟类群落结构发生改变，原农田栖息鸟类将转移至其他农田区域，但影响会随着后期建设完成而消失。随着规划远期内企业将逐步关闭退出以及采矿结束后生态修复工作的开展，现状大部分工矿用地将逐步转为农林用地，通过种植乔木、灌木等植被等方式复林复绿后，将为更多的鸟类提供适宜的栖息生境，使得该区域中的鸟类在物种组成及数量上有所增加。此外，规划建设的旅游项目较多规划在度假区城市发展区域，属于居住人口较密集，集约化发展程度较高的区域，随着规划的实施，新增的农林用地将更多转向低发展程度、高自然程度、人类活动影响较少的区域，这对于鸟类栖息环境反而会产生一定的积极影响。对于自然保护地、生态敏感区域内的鸟类，除部分观光项目可能产生一定的惊扰作用外，规划项目不涉及扩大原有占地面积，增加区域污染物，对自然保护地范围内的鸟类栖息生境几乎不会产生影响。因此，整体上本次规划实施后对鸟类多样性影响轻微，用地布局的优化还会对鸟类多样性产生有利影响。</w:t>
      </w:r>
    </w:p>
    <w:p w14:paraId="3812564C">
      <w:pPr>
        <w:ind w:firstLine="482"/>
        <w:rPr>
          <w:b/>
          <w:bCs/>
        </w:rPr>
      </w:pPr>
      <w:r>
        <w:rPr>
          <w:rFonts w:hint="eastAsia"/>
          <w:b/>
          <w:bCs/>
        </w:rPr>
        <w:t>（3）其他陆生脊椎动物影响与评价</w:t>
      </w:r>
    </w:p>
    <w:p w14:paraId="328562A6">
      <w:pPr>
        <w:ind w:firstLine="480"/>
      </w:pPr>
      <w:r>
        <w:rPr>
          <w:rFonts w:hint="eastAsia"/>
        </w:rPr>
        <w:t>本规划在实施过程中部分项目建设将占用农林用地，这将导致该区域原农田中栖息的部分两栖动物、爬行动物、哺乳动物将转移至其他农田区域。虽然上述部分动物在施工期可能会由于行动不及时或行动速度慢而灭失，但规划建设中对占用耕地实施“占一补一”的原则实现耕地占补平衡，且建设完成后度假区内水域、农林用地等非建设用地将会增加，这将为更多在林地中栖息的两栖爬行动物以及哺乳动物提供适宜的栖息生境，将使得该区域中的两栖动物、爬行动物以及哺乳动物的物种组成得以恢复。故本规划对陆生脊椎动物造成的影响较小。</w:t>
      </w:r>
    </w:p>
    <w:p w14:paraId="42264742">
      <w:pPr>
        <w:ind w:firstLine="482"/>
        <w:rPr>
          <w:b/>
          <w:bCs/>
        </w:rPr>
      </w:pPr>
      <w:r>
        <w:rPr>
          <w:rFonts w:hint="eastAsia"/>
          <w:b/>
          <w:bCs/>
        </w:rPr>
        <w:t>（4）水生生物多样性影响与评价</w:t>
      </w:r>
    </w:p>
    <w:p w14:paraId="5188775B">
      <w:pPr>
        <w:ind w:firstLine="480"/>
      </w:pPr>
      <w:r>
        <w:rPr>
          <w:rFonts w:hint="eastAsia"/>
        </w:rPr>
        <w:t>度假区内水环境主要为薛埠河、茅东水库、海底水库、东进水库、新浮水库、向阳水库、瓦沟水库以及其他溢洪河、小型水库等。本规划不再保留茅东水库、海底水库、东进水库等西部山区水库水源，项目施工不会涉及在水库中取水，施工生活污水、施工废水及施工固体废弃物等均不向周边水体排放。同时规划加强水库、河道沿线滨水景观建设，结合游赏需求，打造滨水湿地空间，度假区核心区内产生的生活污水全部接入茅东污水厂处理，在正常情况下，度假区排放的生活污水接管处理不会对茅东处理厂受纳水体（薛埠河）产生明显不利影响，故本轮规划实施对度假区水体和水生生物的负面影响可接受。</w:t>
      </w:r>
    </w:p>
    <w:p w14:paraId="7B57C9BA">
      <w:pPr>
        <w:ind w:firstLine="482"/>
        <w:rPr>
          <w:b/>
          <w:bCs/>
        </w:rPr>
      </w:pPr>
      <w:r>
        <w:rPr>
          <w:rFonts w:hint="eastAsia"/>
          <w:b/>
          <w:bCs/>
        </w:rPr>
        <w:t>（5）外来入侵物种影响与评价</w:t>
      </w:r>
    </w:p>
    <w:p w14:paraId="71E2E572">
      <w:pPr>
        <w:ind w:firstLine="480"/>
      </w:pPr>
      <w:r>
        <w:rPr>
          <w:rFonts w:hint="eastAsia"/>
        </w:rPr>
        <w:t>外来物种入侵是指生物物种由原产地通过自然或人为的途径迁移至新的生态环境的过程。外来物种由于在新的生态环境中缺乏天敌，自行繁殖与扩散，在与当地物种的资源竞争中占有绝对的优势，最终明显影响当地生态环境，导致生物多样性降低，影响区域生态系统活力、组织结构与恢复能力。</w:t>
      </w:r>
    </w:p>
    <w:p w14:paraId="28893070">
      <w:pPr>
        <w:ind w:firstLine="480"/>
      </w:pPr>
      <w:r>
        <w:rPr>
          <w:rFonts w:hint="eastAsia"/>
        </w:rPr>
        <w:t>根据金坛区2019年生物多样性本底调查结果，金坛区主要外来入侵植物有13种，包括空心莲子草（</w:t>
      </w:r>
      <w:r>
        <w:rPr>
          <w:rFonts w:hint="eastAsia"/>
          <w:i/>
          <w:iCs/>
        </w:rPr>
        <w:t>Alternanthera Philoxeroides</w:t>
      </w:r>
      <w:r>
        <w:rPr>
          <w:rFonts w:hint="eastAsia"/>
        </w:rPr>
        <w:t>）、凤眼莲（</w:t>
      </w:r>
      <w:r>
        <w:rPr>
          <w:rFonts w:hint="eastAsia"/>
          <w:i/>
          <w:iCs/>
        </w:rPr>
        <w:t>Eichhornia crassipes</w:t>
      </w:r>
      <w:r>
        <w:rPr>
          <w:rFonts w:hint="eastAsia"/>
        </w:rPr>
        <w:t>）、加拿大一枝黄花（</w:t>
      </w:r>
      <w:r>
        <w:rPr>
          <w:rFonts w:hint="eastAsia"/>
          <w:i/>
          <w:iCs/>
        </w:rPr>
        <w:t>Solidago canadensis</w:t>
      </w:r>
      <w:r>
        <w:rPr>
          <w:rFonts w:hint="eastAsia"/>
        </w:rPr>
        <w:t>）、三叶鬼针草（</w:t>
      </w:r>
      <w:r>
        <w:rPr>
          <w:rFonts w:hint="eastAsia"/>
          <w:i/>
          <w:iCs/>
        </w:rPr>
        <w:t>Bidens pilosa</w:t>
      </w:r>
      <w:r>
        <w:rPr>
          <w:rFonts w:hint="eastAsia"/>
        </w:rPr>
        <w:t>）、一年蓬（</w:t>
      </w:r>
      <w:r>
        <w:rPr>
          <w:rFonts w:hint="eastAsia"/>
          <w:i/>
          <w:iCs/>
        </w:rPr>
        <w:t>Erigeron annuus</w:t>
      </w:r>
      <w:r>
        <w:rPr>
          <w:rFonts w:hint="eastAsia"/>
        </w:rPr>
        <w:t>）、小蓬草（</w:t>
      </w:r>
      <w:r>
        <w:rPr>
          <w:rFonts w:hint="eastAsia"/>
          <w:i/>
          <w:iCs/>
        </w:rPr>
        <w:t>Conyza canadensis（L.）Cronquist</w:t>
      </w:r>
      <w:r>
        <w:rPr>
          <w:rFonts w:hint="eastAsia"/>
        </w:rPr>
        <w:t>）、圆叶牵牛（</w:t>
      </w:r>
      <w:r>
        <w:rPr>
          <w:rFonts w:hint="eastAsia"/>
          <w:i/>
          <w:iCs/>
        </w:rPr>
        <w:t>Pharbitis purpurea</w:t>
      </w:r>
      <w:r>
        <w:rPr>
          <w:rFonts w:hint="eastAsia"/>
        </w:rPr>
        <w:t>）、豚草（</w:t>
      </w:r>
      <w:r>
        <w:rPr>
          <w:rFonts w:hint="eastAsia"/>
          <w:i/>
          <w:iCs/>
        </w:rPr>
        <w:t>Ambrosia artemisiifolia L.</w:t>
      </w:r>
      <w:r>
        <w:rPr>
          <w:rFonts w:hint="eastAsia"/>
        </w:rPr>
        <w:t>）、钻形紫菀（</w:t>
      </w:r>
      <w:r>
        <w:rPr>
          <w:rFonts w:hint="eastAsia"/>
          <w:i/>
          <w:iCs/>
        </w:rPr>
        <w:t>Aster subulatus Michx.</w:t>
      </w:r>
      <w:r>
        <w:rPr>
          <w:rFonts w:hint="eastAsia"/>
        </w:rPr>
        <w:t>）、大狼杷草（</w:t>
      </w:r>
      <w:r>
        <w:rPr>
          <w:rFonts w:hint="eastAsia"/>
          <w:i/>
          <w:iCs/>
        </w:rPr>
        <w:t xml:space="preserve">Bidens </w:t>
      </w:r>
      <w:r>
        <w:rPr>
          <w:i/>
          <w:iCs/>
        </w:rPr>
        <w:pgNum/>
      </w:r>
      <w:r>
        <w:rPr>
          <w:i/>
          <w:iCs/>
        </w:rPr>
        <w:t>rondose</w:t>
      </w:r>
      <w:r>
        <w:rPr>
          <w:rFonts w:hint="eastAsia"/>
          <w:i/>
          <w:iCs/>
        </w:rPr>
        <w:t xml:space="preserve"> L</w:t>
      </w:r>
      <w:r>
        <w:rPr>
          <w:rFonts w:hint="eastAsia"/>
        </w:rPr>
        <w:t>.）、野燕麦（</w:t>
      </w:r>
      <w:r>
        <w:rPr>
          <w:rFonts w:hint="eastAsia"/>
          <w:i/>
          <w:iCs/>
        </w:rPr>
        <w:t>Avena fatua L</w:t>
      </w:r>
      <w:r>
        <w:rPr>
          <w:rFonts w:hint="eastAsia"/>
        </w:rPr>
        <w:t>.）、燕麦草（</w:t>
      </w:r>
      <w:r>
        <w:rPr>
          <w:rFonts w:hint="eastAsia"/>
          <w:i/>
          <w:iCs/>
        </w:rPr>
        <w:t>Arrhenatherum elatius</w:t>
      </w:r>
      <w:r>
        <w:rPr>
          <w:rFonts w:hint="eastAsia"/>
        </w:rPr>
        <w:t>）、北美车前（</w:t>
      </w:r>
      <w:r>
        <w:rPr>
          <w:rFonts w:hint="eastAsia"/>
          <w:i/>
          <w:iCs/>
        </w:rPr>
        <w:t>Plantago virginica L.</w:t>
      </w:r>
      <w:r>
        <w:rPr>
          <w:rFonts w:hint="eastAsia"/>
        </w:rPr>
        <w:t>）。</w:t>
      </w:r>
    </w:p>
    <w:p w14:paraId="3214136D">
      <w:pPr>
        <w:ind w:firstLine="480"/>
      </w:pPr>
      <w:r>
        <w:rPr>
          <w:rFonts w:hint="eastAsia"/>
        </w:rPr>
        <w:t>向阳水库水源涵养区入侵种有空心莲子草、加拿大一枝黄花、北美车前，入侵种的侵袭为人为干扰的后果，应相对减少人为干扰强度。方山森林公园发现的入侵种有豚草，豚草是花粉过敏源，危害人类健康，另外豚草具有很强的化感作用，侵占其他植物生活空间。度假区目前外来入侵物种主要是人类活动影响导致的，总体上影响可控，未产生较大负面影响，后续仍需加强外来入侵物种调查，加强对“放生”等活动的监管，开展外来入侵物种危害宣传教育，防止其危害扩大化。</w:t>
      </w:r>
    </w:p>
    <w:p w14:paraId="473A152A">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6.3.7</w:t>
      </w:r>
      <w:r>
        <w:rPr>
          <w:rFonts w:hint="eastAsia" w:eastAsia="方正楷体_GBK" w:cs="Times New Roman"/>
          <w:b/>
          <w:bCs/>
          <w:szCs w:val="28"/>
          <w14:ligatures w14:val="none"/>
        </w:rPr>
        <w:t>生态敏感区影响与评价</w:t>
      </w:r>
    </w:p>
    <w:p w14:paraId="1A4ABA8F">
      <w:pPr>
        <w:ind w:firstLine="480"/>
      </w:pPr>
      <w:r>
        <w:rPr>
          <w:rFonts w:hint="eastAsia"/>
        </w:rPr>
        <w:t>度假区范围内涉及江苏常州金坛茅东省级森林公园生态保护红线以及四棚洼生态公益林、方山（金坛）森林公园、茅东山地水源涵养区、向阳水库水源涵养区等生态空间管控区域。</w:t>
      </w:r>
    </w:p>
    <w:p w14:paraId="3FE3D2AC">
      <w:pPr>
        <w:ind w:firstLine="480"/>
      </w:pPr>
      <w:r>
        <w:rPr>
          <w:rFonts w:hint="eastAsia"/>
        </w:rPr>
        <w:t>度假区的开发建设将严格落实生态保护红线和生态空间管控区域现行管理办法，仅开展对生态功能不造成破坏的有限人为活动，相关项目建设将严格落实“运行和维护不扩大现有规模和占地面积，不降低生态环境质量”“不增加污染物总量”等要求，故对生态敏感区域的生态影响较小。</w:t>
      </w:r>
    </w:p>
    <w:p w14:paraId="2215D858">
      <w:pPr>
        <w:keepNext/>
        <w:keepLines/>
        <w:ind w:firstLine="0" w:firstLineChars="0"/>
        <w:jc w:val="left"/>
        <w:outlineLvl w:val="2"/>
        <w:rPr>
          <w:rFonts w:eastAsia="方正楷体_GBK" w:cs="Times New Roman"/>
          <w:b/>
          <w:bCs/>
          <w:szCs w:val="28"/>
          <w14:ligatures w14:val="none"/>
        </w:rPr>
      </w:pPr>
      <w:r>
        <w:rPr>
          <w:rFonts w:eastAsia="方正楷体_GBK" w:cs="Times New Roman"/>
          <w:b/>
          <w:bCs/>
          <w:szCs w:val="28"/>
          <w14:ligatures w14:val="none"/>
        </w:rPr>
        <w:t>6.3.</w:t>
      </w:r>
      <w:r>
        <w:rPr>
          <w:rFonts w:hint="eastAsia" w:eastAsia="方正楷体_GBK" w:cs="Times New Roman"/>
          <w:b/>
          <w:bCs/>
          <w:szCs w:val="28"/>
          <w14:ligatures w14:val="none"/>
        </w:rPr>
        <w:t>8景观生态影响与评价</w:t>
      </w:r>
    </w:p>
    <w:p w14:paraId="3B1962DD">
      <w:pPr>
        <w:ind w:firstLine="482"/>
        <w:rPr>
          <w:b/>
          <w:bCs/>
        </w:rPr>
      </w:pPr>
      <w:r>
        <w:rPr>
          <w:rFonts w:hint="eastAsia"/>
          <w:b/>
          <w:bCs/>
        </w:rPr>
        <w:t>（1）林地</w:t>
      </w:r>
    </w:p>
    <w:p w14:paraId="57F28948">
      <w:pPr>
        <w:ind w:firstLine="480"/>
      </w:pPr>
      <w:r>
        <w:rPr>
          <w:rFonts w:hint="eastAsia"/>
        </w:rPr>
        <w:t>随着规划的实施，区域林地面积总体将增加0.631km</w:t>
      </w:r>
      <w:r>
        <w:rPr>
          <w:rFonts w:hint="eastAsia"/>
          <w:vertAlign w:val="superscript"/>
        </w:rPr>
        <w:t>2</w:t>
      </w:r>
      <w:r>
        <w:rPr>
          <w:rFonts w:hint="eastAsia"/>
        </w:rPr>
        <w:t>，部分耕地将复绿改林地，之前破碎且斑块间离散程度高的林地得以整合；实施区内绿线景观、旅游项目景观提升工程，使不相连的绿地斑块数目减少，斑块平均面积增加。在小斑块合并成大斑块后形成平均粒径变大的斑块，使其具有与其他景观类型混杂的程度降低，斑块分布集中等特点，进而斑块间的离散程度和破碎化程度也将减小。</w:t>
      </w:r>
    </w:p>
    <w:p w14:paraId="0E897690">
      <w:pPr>
        <w:ind w:firstLine="482"/>
        <w:rPr>
          <w:b/>
          <w:bCs/>
        </w:rPr>
      </w:pPr>
      <w:r>
        <w:rPr>
          <w:rFonts w:hint="eastAsia"/>
          <w:b/>
          <w:bCs/>
        </w:rPr>
        <w:t>（2）耕地、园地</w:t>
      </w:r>
    </w:p>
    <w:p w14:paraId="4A9618E6">
      <w:pPr>
        <w:ind w:firstLine="480"/>
      </w:pPr>
      <w:r>
        <w:rPr>
          <w:rFonts w:hint="eastAsia"/>
        </w:rPr>
        <w:t>从面积上看，耕地将进一步增加，园地面积略有减少，区域整体景观斑块数量减少，而平均斑块面积、面积加权的形状指数则增大。</w:t>
      </w:r>
    </w:p>
    <w:p w14:paraId="7B461E4C">
      <w:pPr>
        <w:ind w:firstLine="482"/>
        <w:rPr>
          <w:b/>
          <w:bCs/>
        </w:rPr>
      </w:pPr>
      <w:r>
        <w:rPr>
          <w:rFonts w:hint="eastAsia"/>
          <w:b/>
          <w:bCs/>
        </w:rPr>
        <w:t>（3）水域湿地</w:t>
      </w:r>
    </w:p>
    <w:p w14:paraId="4C053548">
      <w:pPr>
        <w:ind w:firstLine="480"/>
      </w:pPr>
      <w:r>
        <w:rPr>
          <w:rFonts w:hint="eastAsia"/>
        </w:rPr>
        <w:t>度假区内水域主要为水库、溢洪河及其周边坑塘等，规划实施将对现有错乱的坑塘进行整合，形成有序的水库河流水系系统，其景观斑块数量减少，而平均斑块面积、面积加权的形状指数则增大，但增加的幅度总体较小，区域生态服务功能不会降低。</w:t>
      </w:r>
    </w:p>
    <w:p w14:paraId="7ED9E5BE">
      <w:pPr>
        <w:ind w:firstLine="482"/>
        <w:rPr>
          <w:b/>
          <w:bCs/>
        </w:rPr>
      </w:pPr>
      <w:r>
        <w:rPr>
          <w:rFonts w:hint="eastAsia"/>
          <w:b/>
          <w:bCs/>
        </w:rPr>
        <w:t>（4）建筑用地</w:t>
      </w:r>
    </w:p>
    <w:p w14:paraId="084F9B05">
      <w:pPr>
        <w:ind w:firstLine="480"/>
      </w:pPr>
      <w:r>
        <w:rPr>
          <w:rFonts w:hint="eastAsia"/>
        </w:rPr>
        <w:t>建筑用地主要聚集在区域和中心区域，该区域邻近周边城镇，是旅游度假的核心区。该种集聚使建筑用地景观斑块临近指数、散布与并列指数降低，平均最近距离增加。上述指标变化说明了规划实施后建筑用地斑块粒径大，形状较规划前简单、规则。</w:t>
      </w:r>
    </w:p>
    <w:p w14:paraId="70FABEFE">
      <w:pPr>
        <w:pStyle w:val="2"/>
        <w:ind w:firstLine="0" w:firstLineChars="0"/>
      </w:pPr>
      <w:bookmarkStart w:id="118" w:name="_Toc217294069"/>
      <w:r>
        <w:t>7</w:t>
      </w:r>
      <w:r>
        <w:rPr>
          <w:rFonts w:hint="eastAsia"/>
        </w:rPr>
        <w:t>资源与环境承载状况评估</w:t>
      </w:r>
      <w:bookmarkEnd w:id="118"/>
    </w:p>
    <w:p w14:paraId="5E7E0E9B">
      <w:pPr>
        <w:pStyle w:val="3"/>
        <w:ind w:firstLine="0" w:firstLineChars="0"/>
        <w:rPr>
          <w:rFonts w:cs="Times New Roman"/>
        </w:rPr>
      </w:pPr>
      <w:bookmarkStart w:id="119" w:name="_Toc217294070"/>
      <w:r>
        <w:rPr>
          <w:rFonts w:cs="Times New Roman"/>
        </w:rPr>
        <w:t>7.1</w:t>
      </w:r>
      <w:r>
        <w:rPr>
          <w:rFonts w:hint="eastAsia" w:cs="Times New Roman"/>
        </w:rPr>
        <w:t>空间资源承载力分析</w:t>
      </w:r>
      <w:bookmarkEnd w:id="119"/>
    </w:p>
    <w:p w14:paraId="250345B9">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7</w:t>
      </w:r>
      <w:r>
        <w:rPr>
          <w:rFonts w:eastAsia="方正楷体_GBK" w:cs="Times New Roman"/>
          <w:b/>
          <w:bCs/>
          <w:szCs w:val="28"/>
          <w14:ligatures w14:val="none"/>
        </w:rPr>
        <w:t>.1.1</w:t>
      </w:r>
      <w:r>
        <w:rPr>
          <w:rFonts w:hint="eastAsia" w:eastAsia="方正楷体_GBK" w:cs="Times New Roman"/>
          <w:b/>
          <w:bCs/>
          <w:szCs w:val="28"/>
          <w14:ligatures w14:val="none"/>
        </w:rPr>
        <w:t>土地利用规划分析</w:t>
      </w:r>
    </w:p>
    <w:p w14:paraId="099695E3">
      <w:pPr>
        <w:ind w:firstLine="480"/>
      </w:pPr>
      <w:r>
        <w:rPr>
          <w:rFonts w:hint="eastAsia"/>
        </w:rPr>
        <w:t>土地资源承载力主要分析度假区用地种类、结构与保护旅游资源、生态环境之间的关系，分析区域可供开发使用的土地面积。度假区现状和规划土地前后用地对照表见7.1-1。</w:t>
      </w:r>
    </w:p>
    <w:p w14:paraId="7100EA79">
      <w:pPr>
        <w:pStyle w:val="45"/>
        <w:rPr>
          <w:rFonts w:cs="Times New Roman"/>
        </w:rPr>
      </w:pPr>
      <w:r>
        <w:rPr>
          <w:rFonts w:hint="eastAsia" w:cs="Times New Roman"/>
        </w:rPr>
        <w:t>表7</w:t>
      </w:r>
      <w:r>
        <w:rPr>
          <w:rFonts w:cs="Times New Roman"/>
        </w:rPr>
        <w:t>.1-</w:t>
      </w:r>
      <w:r>
        <w:rPr>
          <w:rFonts w:hint="eastAsia" w:cs="Times New Roman"/>
        </w:rPr>
        <w:t>1</w:t>
      </w:r>
      <w:r>
        <w:rPr>
          <w:rFonts w:cs="Times New Roman"/>
        </w:rPr>
        <w:t xml:space="preserve">  </w:t>
      </w:r>
      <w:r>
        <w:rPr>
          <w:rFonts w:hint="eastAsia" w:cs="Times New Roman"/>
        </w:rPr>
        <w:t>度假区现状和规划前后用地对照表 （单位：平方公里）</w:t>
      </w:r>
    </w:p>
    <w:tbl>
      <w:tblPr>
        <w:tblStyle w:val="25"/>
        <w:tblW w:w="5000" w:type="pct"/>
        <w:tblInd w:w="0" w:type="dxa"/>
        <w:tblLayout w:type="fixed"/>
        <w:tblCellMar>
          <w:top w:w="0" w:type="dxa"/>
          <w:left w:w="108" w:type="dxa"/>
          <w:bottom w:w="0" w:type="dxa"/>
          <w:right w:w="108" w:type="dxa"/>
        </w:tblCellMar>
      </w:tblPr>
      <w:tblGrid>
        <w:gridCol w:w="370"/>
        <w:gridCol w:w="465"/>
        <w:gridCol w:w="1050"/>
        <w:gridCol w:w="1277"/>
        <w:gridCol w:w="1072"/>
        <w:gridCol w:w="1072"/>
        <w:gridCol w:w="1072"/>
        <w:gridCol w:w="1072"/>
        <w:gridCol w:w="1072"/>
      </w:tblGrid>
      <w:tr w14:paraId="1654788E">
        <w:tblPrEx>
          <w:tblCellMar>
            <w:top w:w="0" w:type="dxa"/>
            <w:left w:w="108" w:type="dxa"/>
            <w:bottom w:w="0" w:type="dxa"/>
            <w:right w:w="108" w:type="dxa"/>
          </w:tblCellMar>
        </w:tblPrEx>
        <w:trPr>
          <w:trHeight w:val="825" w:hRule="atLeast"/>
          <w:tblHeader/>
        </w:trPr>
        <w:tc>
          <w:tcPr>
            <w:tcW w:w="491" w:type="pct"/>
            <w:gridSpan w:val="2"/>
            <w:tcBorders>
              <w:top w:val="single" w:color="000000" w:sz="8" w:space="0"/>
              <w:left w:val="single" w:color="000000" w:sz="8" w:space="0"/>
              <w:bottom w:val="single" w:color="000000" w:sz="8" w:space="0"/>
              <w:right w:val="single" w:color="000000" w:sz="8" w:space="0"/>
            </w:tcBorders>
            <w:noWrap/>
            <w:vAlign w:val="center"/>
          </w:tcPr>
          <w:p w14:paraId="4B3008F6">
            <w:pPr>
              <w:spacing w:line="240" w:lineRule="auto"/>
              <w:ind w:firstLine="0" w:firstLineChars="0"/>
              <w:jc w:val="center"/>
              <w:rPr>
                <w:rFonts w:cs="Times New Roman"/>
                <w:b/>
                <w:bCs/>
                <w:sz w:val="21"/>
                <w:szCs w:val="21"/>
              </w:rPr>
            </w:pPr>
            <w:r>
              <w:rPr>
                <w:rFonts w:cs="Times New Roman"/>
                <w:b/>
                <w:bCs/>
                <w:sz w:val="21"/>
                <w:szCs w:val="21"/>
              </w:rPr>
              <w:t>用地代码</w:t>
            </w:r>
          </w:p>
        </w:tc>
        <w:tc>
          <w:tcPr>
            <w:tcW w:w="1364" w:type="pct"/>
            <w:gridSpan w:val="2"/>
            <w:tcBorders>
              <w:top w:val="single" w:color="000000" w:sz="8" w:space="0"/>
              <w:left w:val="single" w:color="000000" w:sz="8" w:space="0"/>
              <w:bottom w:val="single" w:color="000000" w:sz="8" w:space="0"/>
              <w:right w:val="single" w:color="000000" w:sz="8" w:space="0"/>
            </w:tcBorders>
            <w:noWrap/>
            <w:vAlign w:val="center"/>
          </w:tcPr>
          <w:p w14:paraId="0CD49984">
            <w:pPr>
              <w:spacing w:line="240" w:lineRule="auto"/>
              <w:ind w:firstLine="0" w:firstLineChars="0"/>
              <w:jc w:val="center"/>
              <w:rPr>
                <w:rFonts w:cs="Times New Roman"/>
                <w:b/>
                <w:bCs/>
                <w:sz w:val="21"/>
                <w:szCs w:val="21"/>
              </w:rPr>
            </w:pPr>
            <w:r>
              <w:rPr>
                <w:rFonts w:cs="Times New Roman"/>
                <w:b/>
                <w:bCs/>
                <w:sz w:val="21"/>
                <w:szCs w:val="21"/>
              </w:rPr>
              <w:t>用地性质</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53120FC1">
            <w:pPr>
              <w:spacing w:line="240" w:lineRule="auto"/>
              <w:ind w:firstLine="0" w:firstLineChars="0"/>
              <w:jc w:val="center"/>
              <w:rPr>
                <w:rFonts w:cs="Times New Roman"/>
                <w:b/>
                <w:bCs/>
                <w:sz w:val="21"/>
                <w:szCs w:val="21"/>
              </w:rPr>
            </w:pPr>
            <w:r>
              <w:rPr>
                <w:rFonts w:cs="Times New Roman"/>
                <w:b/>
                <w:bCs/>
                <w:sz w:val="21"/>
                <w:szCs w:val="21"/>
              </w:rPr>
              <w:t>用地现状</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6F33ECB">
            <w:pPr>
              <w:spacing w:line="240" w:lineRule="auto"/>
              <w:ind w:firstLine="0" w:firstLineChars="0"/>
              <w:jc w:val="center"/>
              <w:rPr>
                <w:rFonts w:cs="Times New Roman"/>
                <w:b/>
                <w:bCs/>
                <w:sz w:val="21"/>
                <w:szCs w:val="21"/>
              </w:rPr>
            </w:pPr>
            <w:r>
              <w:rPr>
                <w:rFonts w:cs="Times New Roman"/>
                <w:b/>
                <w:bCs/>
                <w:sz w:val="21"/>
                <w:szCs w:val="21"/>
              </w:rPr>
              <w:t>规划近期</w:t>
            </w:r>
            <w:r>
              <w:rPr>
                <w:rFonts w:hint="eastAsia" w:cs="Times New Roman"/>
                <w:b/>
                <w:bCs/>
                <w:sz w:val="21"/>
                <w:szCs w:val="21"/>
              </w:rPr>
              <w:t>（~2030）</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6CBCF039">
            <w:pPr>
              <w:spacing w:line="240" w:lineRule="auto"/>
              <w:ind w:firstLine="0" w:firstLineChars="0"/>
              <w:jc w:val="center"/>
              <w:rPr>
                <w:rFonts w:cs="Times New Roman"/>
                <w:b/>
                <w:bCs/>
                <w:sz w:val="21"/>
                <w:szCs w:val="21"/>
              </w:rPr>
            </w:pPr>
            <w:r>
              <w:rPr>
                <w:rFonts w:hint="eastAsia" w:cs="Times New Roman"/>
                <w:b/>
                <w:bCs/>
                <w:sz w:val="21"/>
                <w:szCs w:val="21"/>
              </w:rPr>
              <w:t>变化量</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2758ABED">
            <w:pPr>
              <w:spacing w:line="240" w:lineRule="auto"/>
              <w:ind w:firstLine="0" w:firstLineChars="0"/>
              <w:jc w:val="center"/>
              <w:rPr>
                <w:rFonts w:cs="Times New Roman"/>
                <w:b/>
                <w:bCs/>
                <w:sz w:val="21"/>
                <w:szCs w:val="21"/>
              </w:rPr>
            </w:pPr>
            <w:r>
              <w:rPr>
                <w:rFonts w:cs="Times New Roman"/>
                <w:b/>
                <w:bCs/>
                <w:sz w:val="21"/>
                <w:szCs w:val="21"/>
              </w:rPr>
              <w:t>规划远期（~203</w:t>
            </w:r>
            <w:r>
              <w:rPr>
                <w:rFonts w:hint="eastAsia" w:cs="Times New Roman"/>
                <w:b/>
                <w:bCs/>
                <w:sz w:val="21"/>
                <w:szCs w:val="21"/>
              </w:rPr>
              <w:t>5</w:t>
            </w:r>
            <w:r>
              <w:rPr>
                <w:rFonts w:cs="Times New Roman"/>
                <w:b/>
                <w:bCs/>
                <w:sz w:val="21"/>
                <w:szCs w:val="21"/>
              </w:rPr>
              <w:t>）</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0FC86842">
            <w:pPr>
              <w:spacing w:line="240" w:lineRule="auto"/>
              <w:ind w:firstLine="0" w:firstLineChars="0"/>
              <w:jc w:val="center"/>
              <w:rPr>
                <w:rFonts w:cs="Times New Roman"/>
                <w:b/>
                <w:bCs/>
                <w:sz w:val="21"/>
                <w:szCs w:val="21"/>
              </w:rPr>
            </w:pPr>
            <w:r>
              <w:rPr>
                <w:rFonts w:hint="eastAsia" w:cs="Times New Roman"/>
                <w:b/>
                <w:bCs/>
                <w:sz w:val="21"/>
                <w:szCs w:val="21"/>
              </w:rPr>
              <w:t>变化量</w:t>
            </w:r>
          </w:p>
        </w:tc>
      </w:tr>
      <w:tr w14:paraId="509CB264">
        <w:tblPrEx>
          <w:tblCellMar>
            <w:top w:w="0" w:type="dxa"/>
            <w:left w:w="108" w:type="dxa"/>
            <w:bottom w:w="0" w:type="dxa"/>
            <w:right w:w="108" w:type="dxa"/>
          </w:tblCellMar>
        </w:tblPrEx>
        <w:trPr>
          <w:trHeight w:val="285" w:hRule="atLeast"/>
        </w:trPr>
        <w:tc>
          <w:tcPr>
            <w:tcW w:w="491" w:type="pct"/>
            <w:gridSpan w:val="2"/>
            <w:tcBorders>
              <w:top w:val="nil"/>
              <w:left w:val="single" w:color="000000" w:sz="8" w:space="0"/>
              <w:bottom w:val="single" w:color="000000" w:sz="8" w:space="0"/>
              <w:right w:val="single" w:color="000000" w:sz="8" w:space="0"/>
            </w:tcBorders>
            <w:noWrap/>
            <w:vAlign w:val="center"/>
          </w:tcPr>
          <w:p w14:paraId="41A1AB7D">
            <w:pPr>
              <w:spacing w:line="240" w:lineRule="auto"/>
              <w:ind w:firstLine="0" w:firstLineChars="0"/>
              <w:jc w:val="center"/>
              <w:rPr>
                <w:rFonts w:cs="Times New Roman"/>
                <w:sz w:val="21"/>
                <w:szCs w:val="21"/>
              </w:rPr>
            </w:pPr>
            <w:r>
              <w:rPr>
                <w:rFonts w:cs="Times New Roman"/>
                <w:sz w:val="21"/>
                <w:szCs w:val="21"/>
              </w:rPr>
              <w:t>R</w:t>
            </w:r>
          </w:p>
        </w:tc>
        <w:tc>
          <w:tcPr>
            <w:tcW w:w="1364" w:type="pct"/>
            <w:gridSpan w:val="2"/>
            <w:tcBorders>
              <w:top w:val="nil"/>
              <w:left w:val="single" w:color="000000" w:sz="8" w:space="0"/>
              <w:bottom w:val="single" w:color="000000" w:sz="8" w:space="0"/>
              <w:right w:val="single" w:color="000000" w:sz="8" w:space="0"/>
            </w:tcBorders>
            <w:noWrap/>
            <w:vAlign w:val="center"/>
          </w:tcPr>
          <w:p w14:paraId="723CB452">
            <w:pPr>
              <w:spacing w:line="240" w:lineRule="auto"/>
              <w:ind w:firstLine="0" w:firstLineChars="0"/>
              <w:jc w:val="center"/>
              <w:rPr>
                <w:rFonts w:cs="Times New Roman"/>
                <w:sz w:val="21"/>
                <w:szCs w:val="21"/>
              </w:rPr>
            </w:pPr>
            <w:r>
              <w:rPr>
                <w:rFonts w:cs="Times New Roman"/>
                <w:sz w:val="21"/>
                <w:szCs w:val="21"/>
              </w:rPr>
              <w:t>居住用地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1DDEACCC">
            <w:pPr>
              <w:spacing w:line="240" w:lineRule="auto"/>
              <w:ind w:firstLine="0" w:firstLineChars="0"/>
              <w:jc w:val="center"/>
              <w:rPr>
                <w:rFonts w:cs="Times New Roman"/>
                <w:sz w:val="21"/>
                <w:szCs w:val="21"/>
              </w:rPr>
            </w:pPr>
            <w:r>
              <w:rPr>
                <w:rFonts w:cs="Times New Roman"/>
                <w:sz w:val="21"/>
                <w:szCs w:val="21"/>
              </w:rPr>
              <w:t>3.321</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0297BD18">
            <w:pPr>
              <w:spacing w:line="240" w:lineRule="auto"/>
              <w:ind w:firstLine="0" w:firstLineChars="0"/>
              <w:jc w:val="center"/>
              <w:rPr>
                <w:rFonts w:cs="Times New Roman"/>
                <w:sz w:val="21"/>
                <w:szCs w:val="21"/>
              </w:rPr>
            </w:pPr>
            <w:r>
              <w:rPr>
                <w:rFonts w:cs="Times New Roman"/>
                <w:sz w:val="21"/>
                <w:szCs w:val="21"/>
                <w:lang w:bidi="ar"/>
              </w:rPr>
              <w:t>3.338</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123DF0ED">
            <w:pPr>
              <w:spacing w:line="240" w:lineRule="auto"/>
              <w:ind w:firstLine="0" w:firstLineChars="0"/>
              <w:jc w:val="center"/>
              <w:rPr>
                <w:rFonts w:cs="Times New Roman"/>
                <w:sz w:val="21"/>
                <w:szCs w:val="21"/>
              </w:rPr>
            </w:pPr>
            <w:r>
              <w:rPr>
                <w:rFonts w:cs="Times New Roman"/>
                <w:sz w:val="21"/>
                <w:szCs w:val="21"/>
                <w:lang w:bidi="ar"/>
              </w:rPr>
              <w:t>0.017</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6D507835">
            <w:pPr>
              <w:spacing w:line="240" w:lineRule="auto"/>
              <w:ind w:firstLine="0" w:firstLineChars="0"/>
              <w:jc w:val="center"/>
              <w:rPr>
                <w:rFonts w:cs="Times New Roman"/>
                <w:sz w:val="21"/>
                <w:szCs w:val="21"/>
              </w:rPr>
            </w:pPr>
            <w:r>
              <w:rPr>
                <w:rFonts w:cs="Times New Roman"/>
                <w:sz w:val="21"/>
                <w:szCs w:val="21"/>
                <w:lang w:bidi="ar"/>
              </w:rPr>
              <w:t>3.352</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43207E5E">
            <w:pPr>
              <w:spacing w:line="240" w:lineRule="auto"/>
              <w:ind w:firstLine="0" w:firstLineChars="0"/>
              <w:jc w:val="center"/>
              <w:rPr>
                <w:rFonts w:cs="Times New Roman"/>
                <w:sz w:val="21"/>
                <w:szCs w:val="21"/>
              </w:rPr>
            </w:pPr>
            <w:r>
              <w:rPr>
                <w:rFonts w:cs="Times New Roman"/>
                <w:sz w:val="21"/>
                <w:szCs w:val="21"/>
                <w:lang w:bidi="ar"/>
              </w:rPr>
              <w:t>0.031</w:t>
            </w:r>
          </w:p>
        </w:tc>
      </w:tr>
      <w:tr w14:paraId="30B37A30">
        <w:tblPrEx>
          <w:tblCellMar>
            <w:top w:w="0" w:type="dxa"/>
            <w:left w:w="108" w:type="dxa"/>
            <w:bottom w:w="0" w:type="dxa"/>
            <w:right w:w="108" w:type="dxa"/>
          </w:tblCellMar>
        </w:tblPrEx>
        <w:trPr>
          <w:trHeight w:val="285" w:hRule="atLeast"/>
        </w:trPr>
        <w:tc>
          <w:tcPr>
            <w:tcW w:w="491" w:type="pct"/>
            <w:gridSpan w:val="2"/>
            <w:tcBorders>
              <w:top w:val="nil"/>
              <w:left w:val="single" w:color="000000" w:sz="8" w:space="0"/>
              <w:bottom w:val="single" w:color="000000" w:sz="8" w:space="0"/>
              <w:right w:val="single" w:color="000000" w:sz="8" w:space="0"/>
            </w:tcBorders>
            <w:noWrap/>
            <w:vAlign w:val="center"/>
          </w:tcPr>
          <w:p w14:paraId="267482CB">
            <w:pPr>
              <w:spacing w:line="240" w:lineRule="auto"/>
              <w:ind w:firstLine="0" w:firstLineChars="0"/>
              <w:jc w:val="center"/>
              <w:rPr>
                <w:rFonts w:cs="Times New Roman"/>
                <w:sz w:val="21"/>
                <w:szCs w:val="21"/>
              </w:rPr>
            </w:pPr>
            <w:r>
              <w:rPr>
                <w:rFonts w:hint="eastAsia" w:cs="Times New Roman"/>
                <w:sz w:val="21"/>
                <w:szCs w:val="21"/>
              </w:rPr>
              <w:t>RB</w:t>
            </w:r>
          </w:p>
        </w:tc>
        <w:tc>
          <w:tcPr>
            <w:tcW w:w="1364" w:type="pct"/>
            <w:gridSpan w:val="2"/>
            <w:tcBorders>
              <w:top w:val="nil"/>
              <w:left w:val="single" w:color="000000" w:sz="8" w:space="0"/>
              <w:bottom w:val="single" w:color="000000" w:sz="8" w:space="0"/>
              <w:right w:val="single" w:color="000000" w:sz="8" w:space="0"/>
            </w:tcBorders>
            <w:noWrap/>
            <w:vAlign w:val="center"/>
          </w:tcPr>
          <w:p w14:paraId="5ECA5EC4">
            <w:pPr>
              <w:spacing w:line="240" w:lineRule="auto"/>
              <w:ind w:firstLine="0" w:firstLineChars="0"/>
              <w:jc w:val="center"/>
              <w:rPr>
                <w:rFonts w:cs="Times New Roman"/>
                <w:sz w:val="21"/>
                <w:szCs w:val="21"/>
              </w:rPr>
            </w:pPr>
            <w:r>
              <w:rPr>
                <w:rFonts w:cs="Times New Roman"/>
                <w:sz w:val="21"/>
                <w:szCs w:val="21"/>
              </w:rPr>
              <w:t>商住混合用地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14A267D0">
            <w:pPr>
              <w:spacing w:line="240" w:lineRule="auto"/>
              <w:ind w:firstLine="0" w:firstLineChars="0"/>
              <w:jc w:val="center"/>
              <w:rPr>
                <w:rFonts w:cs="Times New Roman"/>
                <w:sz w:val="21"/>
                <w:szCs w:val="21"/>
              </w:rPr>
            </w:pPr>
            <w:r>
              <w:rPr>
                <w:rFonts w:hint="eastAsia" w:cs="Times New Roman"/>
                <w:sz w:val="21"/>
                <w:szCs w:val="21"/>
              </w:rPr>
              <w:t>0</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35754B8A">
            <w:pPr>
              <w:spacing w:line="240" w:lineRule="auto"/>
              <w:ind w:firstLine="0" w:firstLineChars="0"/>
              <w:jc w:val="center"/>
              <w:rPr>
                <w:rFonts w:cs="Times New Roman"/>
                <w:sz w:val="21"/>
                <w:szCs w:val="21"/>
              </w:rPr>
            </w:pPr>
            <w:r>
              <w:rPr>
                <w:rFonts w:hint="eastAsia" w:cs="Times New Roman"/>
                <w:sz w:val="21"/>
                <w:szCs w:val="21"/>
              </w:rPr>
              <w:t>0.11</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6FDFB0B7">
            <w:pPr>
              <w:spacing w:line="240" w:lineRule="auto"/>
              <w:ind w:firstLine="0" w:firstLineChars="0"/>
              <w:jc w:val="center"/>
              <w:rPr>
                <w:rFonts w:cs="Times New Roman"/>
                <w:sz w:val="21"/>
                <w:szCs w:val="21"/>
              </w:rPr>
            </w:pPr>
            <w:r>
              <w:rPr>
                <w:rFonts w:hint="eastAsia" w:cs="Times New Roman"/>
                <w:sz w:val="21"/>
                <w:szCs w:val="21"/>
              </w:rPr>
              <w:t>0.11</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38B5689">
            <w:pPr>
              <w:spacing w:line="240" w:lineRule="auto"/>
              <w:ind w:firstLine="0" w:firstLineChars="0"/>
              <w:jc w:val="center"/>
              <w:rPr>
                <w:rFonts w:cs="Times New Roman"/>
                <w:sz w:val="21"/>
                <w:szCs w:val="21"/>
              </w:rPr>
            </w:pPr>
            <w:r>
              <w:rPr>
                <w:rFonts w:hint="eastAsia" w:cs="Times New Roman"/>
                <w:sz w:val="21"/>
                <w:szCs w:val="21"/>
              </w:rPr>
              <w:t>0.11</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4383C1ED">
            <w:pPr>
              <w:spacing w:line="240" w:lineRule="auto"/>
              <w:ind w:firstLine="0" w:firstLineChars="0"/>
              <w:jc w:val="center"/>
              <w:rPr>
                <w:rFonts w:cs="Times New Roman"/>
                <w:sz w:val="21"/>
                <w:szCs w:val="21"/>
              </w:rPr>
            </w:pPr>
            <w:r>
              <w:rPr>
                <w:rFonts w:hint="eastAsia" w:cs="Times New Roman"/>
                <w:sz w:val="21"/>
                <w:szCs w:val="21"/>
              </w:rPr>
              <w:t>0.11</w:t>
            </w:r>
          </w:p>
        </w:tc>
      </w:tr>
      <w:tr w14:paraId="27737EB3">
        <w:tblPrEx>
          <w:tblCellMar>
            <w:top w:w="0" w:type="dxa"/>
            <w:left w:w="108" w:type="dxa"/>
            <w:bottom w:w="0" w:type="dxa"/>
            <w:right w:w="108" w:type="dxa"/>
          </w:tblCellMar>
        </w:tblPrEx>
        <w:trPr>
          <w:trHeight w:val="285" w:hRule="atLeast"/>
        </w:trPr>
        <w:tc>
          <w:tcPr>
            <w:tcW w:w="491" w:type="pct"/>
            <w:gridSpan w:val="2"/>
            <w:tcBorders>
              <w:top w:val="nil"/>
              <w:left w:val="single" w:color="000000" w:sz="8" w:space="0"/>
              <w:bottom w:val="single" w:color="000000" w:sz="8" w:space="0"/>
              <w:right w:val="single" w:color="000000" w:sz="8" w:space="0"/>
            </w:tcBorders>
            <w:noWrap/>
            <w:vAlign w:val="center"/>
          </w:tcPr>
          <w:p w14:paraId="70635C26">
            <w:pPr>
              <w:spacing w:line="240" w:lineRule="auto"/>
              <w:ind w:firstLine="0" w:firstLineChars="0"/>
              <w:jc w:val="center"/>
              <w:rPr>
                <w:rFonts w:cs="Times New Roman"/>
                <w:sz w:val="21"/>
                <w:szCs w:val="21"/>
              </w:rPr>
            </w:pPr>
            <w:r>
              <w:rPr>
                <w:rFonts w:cs="Times New Roman"/>
                <w:sz w:val="21"/>
                <w:szCs w:val="21"/>
              </w:rPr>
              <w:t>A</w:t>
            </w:r>
          </w:p>
        </w:tc>
        <w:tc>
          <w:tcPr>
            <w:tcW w:w="1364" w:type="pct"/>
            <w:gridSpan w:val="2"/>
            <w:tcBorders>
              <w:top w:val="nil"/>
              <w:left w:val="single" w:color="000000" w:sz="8" w:space="0"/>
              <w:bottom w:val="single" w:color="000000" w:sz="8" w:space="0"/>
              <w:right w:val="single" w:color="000000" w:sz="8" w:space="0"/>
            </w:tcBorders>
            <w:noWrap/>
            <w:vAlign w:val="center"/>
          </w:tcPr>
          <w:p w14:paraId="2ED32068">
            <w:pPr>
              <w:spacing w:line="240" w:lineRule="auto"/>
              <w:ind w:firstLine="0" w:firstLineChars="0"/>
              <w:jc w:val="center"/>
              <w:rPr>
                <w:rFonts w:cs="Times New Roman"/>
                <w:sz w:val="21"/>
                <w:szCs w:val="21"/>
              </w:rPr>
            </w:pPr>
            <w:r>
              <w:rPr>
                <w:rFonts w:cs="Times New Roman"/>
                <w:sz w:val="21"/>
                <w:szCs w:val="21"/>
              </w:rPr>
              <w:t>公共管理与公共服务设施用地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48F0055">
            <w:pPr>
              <w:spacing w:line="240" w:lineRule="auto"/>
              <w:ind w:firstLine="0" w:firstLineChars="0"/>
              <w:jc w:val="center"/>
              <w:rPr>
                <w:rFonts w:cs="Times New Roman"/>
                <w:sz w:val="21"/>
                <w:szCs w:val="21"/>
              </w:rPr>
            </w:pPr>
            <w:r>
              <w:rPr>
                <w:rFonts w:cs="Times New Roman"/>
                <w:sz w:val="21"/>
                <w:szCs w:val="21"/>
              </w:rPr>
              <w:t>0.445</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2D0CB2D1">
            <w:pPr>
              <w:spacing w:line="240" w:lineRule="auto"/>
              <w:ind w:firstLine="0" w:firstLineChars="0"/>
              <w:jc w:val="center"/>
              <w:rPr>
                <w:rFonts w:cs="Times New Roman"/>
                <w:sz w:val="21"/>
                <w:szCs w:val="21"/>
              </w:rPr>
            </w:pPr>
            <w:r>
              <w:rPr>
                <w:rFonts w:cs="Times New Roman"/>
                <w:sz w:val="21"/>
                <w:szCs w:val="21"/>
              </w:rPr>
              <w:t>0.469</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5B34D22B">
            <w:pPr>
              <w:spacing w:line="240" w:lineRule="auto"/>
              <w:ind w:firstLine="0" w:firstLineChars="0"/>
              <w:jc w:val="center"/>
              <w:rPr>
                <w:rFonts w:cs="Times New Roman"/>
                <w:sz w:val="21"/>
                <w:szCs w:val="21"/>
              </w:rPr>
            </w:pPr>
            <w:r>
              <w:rPr>
                <w:rFonts w:cs="Times New Roman"/>
                <w:sz w:val="21"/>
                <w:szCs w:val="21"/>
              </w:rPr>
              <w:t>0.024</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146F9816">
            <w:pPr>
              <w:spacing w:line="240" w:lineRule="auto"/>
              <w:ind w:firstLine="0" w:firstLineChars="0"/>
              <w:jc w:val="center"/>
              <w:rPr>
                <w:rFonts w:cs="Times New Roman"/>
                <w:sz w:val="21"/>
                <w:szCs w:val="21"/>
              </w:rPr>
            </w:pPr>
            <w:r>
              <w:rPr>
                <w:rFonts w:cs="Times New Roman"/>
                <w:sz w:val="21"/>
                <w:szCs w:val="21"/>
              </w:rPr>
              <w:t>0.469</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182A3D04">
            <w:pPr>
              <w:spacing w:line="240" w:lineRule="auto"/>
              <w:ind w:firstLine="0" w:firstLineChars="0"/>
              <w:jc w:val="center"/>
              <w:rPr>
                <w:rFonts w:cs="Times New Roman"/>
                <w:sz w:val="21"/>
                <w:szCs w:val="21"/>
              </w:rPr>
            </w:pPr>
            <w:r>
              <w:rPr>
                <w:rFonts w:cs="Times New Roman"/>
                <w:sz w:val="21"/>
                <w:szCs w:val="21"/>
              </w:rPr>
              <w:t>0.024</w:t>
            </w:r>
          </w:p>
        </w:tc>
      </w:tr>
      <w:tr w14:paraId="1D5BC574">
        <w:tblPrEx>
          <w:tblCellMar>
            <w:top w:w="0" w:type="dxa"/>
            <w:left w:w="108" w:type="dxa"/>
            <w:bottom w:w="0" w:type="dxa"/>
            <w:right w:w="108" w:type="dxa"/>
          </w:tblCellMar>
        </w:tblPrEx>
        <w:trPr>
          <w:trHeight w:val="285" w:hRule="atLeast"/>
        </w:trPr>
        <w:tc>
          <w:tcPr>
            <w:tcW w:w="491" w:type="pct"/>
            <w:gridSpan w:val="2"/>
            <w:tcBorders>
              <w:top w:val="nil"/>
              <w:left w:val="single" w:color="000000" w:sz="8" w:space="0"/>
              <w:bottom w:val="single" w:color="000000" w:sz="8" w:space="0"/>
              <w:right w:val="single" w:color="000000" w:sz="8" w:space="0"/>
            </w:tcBorders>
            <w:noWrap/>
            <w:vAlign w:val="center"/>
          </w:tcPr>
          <w:p w14:paraId="14D04E01">
            <w:pPr>
              <w:spacing w:line="240" w:lineRule="auto"/>
              <w:ind w:firstLine="0" w:firstLineChars="0"/>
              <w:jc w:val="center"/>
              <w:rPr>
                <w:rFonts w:cs="Times New Roman"/>
                <w:sz w:val="21"/>
                <w:szCs w:val="21"/>
              </w:rPr>
            </w:pPr>
            <w:r>
              <w:rPr>
                <w:rFonts w:cs="Times New Roman"/>
                <w:sz w:val="21"/>
                <w:szCs w:val="21"/>
              </w:rPr>
              <w:t>B</w:t>
            </w:r>
          </w:p>
        </w:tc>
        <w:tc>
          <w:tcPr>
            <w:tcW w:w="1364" w:type="pct"/>
            <w:gridSpan w:val="2"/>
            <w:tcBorders>
              <w:top w:val="nil"/>
              <w:left w:val="single" w:color="000000" w:sz="8" w:space="0"/>
              <w:bottom w:val="single" w:color="000000" w:sz="8" w:space="0"/>
              <w:right w:val="single" w:color="000000" w:sz="8" w:space="0"/>
            </w:tcBorders>
            <w:noWrap/>
            <w:vAlign w:val="center"/>
          </w:tcPr>
          <w:p w14:paraId="164D3FF4">
            <w:pPr>
              <w:spacing w:line="240" w:lineRule="auto"/>
              <w:ind w:firstLine="0" w:firstLineChars="0"/>
              <w:jc w:val="center"/>
              <w:rPr>
                <w:rFonts w:cs="Times New Roman"/>
                <w:sz w:val="21"/>
                <w:szCs w:val="21"/>
              </w:rPr>
            </w:pPr>
            <w:r>
              <w:rPr>
                <w:rFonts w:cs="Times New Roman"/>
                <w:sz w:val="21"/>
                <w:szCs w:val="21"/>
              </w:rPr>
              <w:t>商业服务业设施用地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2C9B20F9">
            <w:pPr>
              <w:spacing w:line="240" w:lineRule="auto"/>
              <w:ind w:firstLine="0" w:firstLineChars="0"/>
              <w:jc w:val="center"/>
              <w:rPr>
                <w:rFonts w:cs="Times New Roman"/>
                <w:sz w:val="21"/>
                <w:szCs w:val="21"/>
              </w:rPr>
            </w:pPr>
            <w:r>
              <w:rPr>
                <w:rFonts w:cs="Times New Roman"/>
                <w:sz w:val="21"/>
                <w:szCs w:val="21"/>
              </w:rPr>
              <w:t>1.234</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564CC62D">
            <w:pPr>
              <w:spacing w:line="240" w:lineRule="auto"/>
              <w:ind w:firstLine="0" w:firstLineChars="0"/>
              <w:jc w:val="center"/>
              <w:rPr>
                <w:rFonts w:cs="Times New Roman"/>
                <w:sz w:val="21"/>
                <w:szCs w:val="21"/>
              </w:rPr>
            </w:pPr>
            <w:r>
              <w:rPr>
                <w:rFonts w:hint="eastAsia" w:cs="Times New Roman"/>
                <w:sz w:val="21"/>
                <w:szCs w:val="21"/>
              </w:rPr>
              <w:t>1.582</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5A5B7E65">
            <w:pPr>
              <w:spacing w:line="240" w:lineRule="auto"/>
              <w:ind w:firstLine="0" w:firstLineChars="0"/>
              <w:jc w:val="center"/>
              <w:rPr>
                <w:rFonts w:cs="Times New Roman"/>
                <w:sz w:val="21"/>
                <w:szCs w:val="21"/>
              </w:rPr>
            </w:pPr>
            <w:r>
              <w:rPr>
                <w:rFonts w:hint="eastAsia" w:cs="Times New Roman"/>
                <w:sz w:val="21"/>
                <w:szCs w:val="21"/>
              </w:rPr>
              <w:t>0.348</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030CBE90">
            <w:pPr>
              <w:spacing w:line="240" w:lineRule="auto"/>
              <w:ind w:firstLine="0" w:firstLineChars="0"/>
              <w:jc w:val="center"/>
              <w:rPr>
                <w:rFonts w:cs="Times New Roman"/>
                <w:sz w:val="21"/>
                <w:szCs w:val="21"/>
              </w:rPr>
            </w:pPr>
            <w:r>
              <w:rPr>
                <w:rFonts w:hint="eastAsia" w:cs="Times New Roman"/>
                <w:sz w:val="21"/>
                <w:szCs w:val="21"/>
              </w:rPr>
              <w:t>1.582</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1AF753EF">
            <w:pPr>
              <w:spacing w:line="240" w:lineRule="auto"/>
              <w:ind w:firstLine="0" w:firstLineChars="0"/>
              <w:jc w:val="center"/>
              <w:rPr>
                <w:rFonts w:cs="Times New Roman"/>
                <w:sz w:val="21"/>
                <w:szCs w:val="21"/>
              </w:rPr>
            </w:pPr>
            <w:r>
              <w:rPr>
                <w:rFonts w:hint="eastAsia" w:cs="Times New Roman"/>
                <w:sz w:val="21"/>
                <w:szCs w:val="21"/>
              </w:rPr>
              <w:t>0.348</w:t>
            </w:r>
          </w:p>
        </w:tc>
      </w:tr>
      <w:tr w14:paraId="5873FEA1">
        <w:tblPrEx>
          <w:tblCellMar>
            <w:top w:w="0" w:type="dxa"/>
            <w:left w:w="108" w:type="dxa"/>
            <w:bottom w:w="0" w:type="dxa"/>
            <w:right w:w="108" w:type="dxa"/>
          </w:tblCellMar>
        </w:tblPrEx>
        <w:trPr>
          <w:trHeight w:val="285" w:hRule="atLeast"/>
        </w:trPr>
        <w:tc>
          <w:tcPr>
            <w:tcW w:w="491" w:type="pct"/>
            <w:gridSpan w:val="2"/>
            <w:tcBorders>
              <w:top w:val="nil"/>
              <w:left w:val="single" w:color="000000" w:sz="8" w:space="0"/>
              <w:bottom w:val="single" w:color="000000" w:sz="8" w:space="0"/>
              <w:right w:val="single" w:color="000000" w:sz="8" w:space="0"/>
            </w:tcBorders>
            <w:noWrap/>
            <w:vAlign w:val="center"/>
          </w:tcPr>
          <w:p w14:paraId="64B2C483">
            <w:pPr>
              <w:spacing w:line="240" w:lineRule="auto"/>
              <w:ind w:firstLine="0" w:firstLineChars="0"/>
              <w:jc w:val="center"/>
              <w:rPr>
                <w:rFonts w:cs="Times New Roman"/>
                <w:sz w:val="21"/>
                <w:szCs w:val="21"/>
              </w:rPr>
            </w:pPr>
            <w:r>
              <w:rPr>
                <w:rFonts w:cs="Times New Roman"/>
                <w:sz w:val="21"/>
                <w:szCs w:val="21"/>
              </w:rPr>
              <w:t>M</w:t>
            </w:r>
          </w:p>
        </w:tc>
        <w:tc>
          <w:tcPr>
            <w:tcW w:w="1364" w:type="pct"/>
            <w:gridSpan w:val="2"/>
            <w:tcBorders>
              <w:top w:val="nil"/>
              <w:left w:val="single" w:color="000000" w:sz="8" w:space="0"/>
              <w:bottom w:val="single" w:color="000000" w:sz="8" w:space="0"/>
              <w:right w:val="nil"/>
            </w:tcBorders>
            <w:noWrap/>
            <w:vAlign w:val="center"/>
          </w:tcPr>
          <w:p w14:paraId="3929B978">
            <w:pPr>
              <w:spacing w:line="240" w:lineRule="auto"/>
              <w:ind w:firstLine="0" w:firstLineChars="0"/>
              <w:jc w:val="center"/>
              <w:rPr>
                <w:rFonts w:cs="Times New Roman"/>
                <w:sz w:val="21"/>
                <w:szCs w:val="21"/>
              </w:rPr>
            </w:pPr>
            <w:r>
              <w:rPr>
                <w:rFonts w:cs="Times New Roman"/>
                <w:sz w:val="21"/>
                <w:szCs w:val="21"/>
              </w:rPr>
              <w:t>工业用地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10BD0F4E">
            <w:pPr>
              <w:spacing w:line="240" w:lineRule="auto"/>
              <w:ind w:firstLine="0" w:firstLineChars="0"/>
              <w:jc w:val="center"/>
              <w:rPr>
                <w:rFonts w:cs="Times New Roman"/>
                <w:sz w:val="21"/>
                <w:szCs w:val="21"/>
              </w:rPr>
            </w:pPr>
            <w:r>
              <w:rPr>
                <w:rFonts w:cs="Times New Roman"/>
                <w:sz w:val="21"/>
                <w:szCs w:val="21"/>
              </w:rPr>
              <w:t>0.549</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4000ED97">
            <w:pPr>
              <w:spacing w:line="240" w:lineRule="auto"/>
              <w:ind w:firstLine="0" w:firstLineChars="0"/>
              <w:jc w:val="center"/>
              <w:rPr>
                <w:rFonts w:cs="Times New Roman"/>
                <w:sz w:val="21"/>
                <w:szCs w:val="21"/>
              </w:rPr>
            </w:pPr>
            <w:r>
              <w:rPr>
                <w:rFonts w:hint="eastAsia" w:cs="Times New Roman"/>
                <w:sz w:val="21"/>
                <w:szCs w:val="21"/>
              </w:rPr>
              <w:t>0.434</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EA793EA">
            <w:pPr>
              <w:spacing w:line="240" w:lineRule="auto"/>
              <w:ind w:firstLine="0" w:firstLineChars="0"/>
              <w:jc w:val="center"/>
              <w:rPr>
                <w:rFonts w:hint="eastAsia" w:ascii="宋体" w:hAnsi="宋体" w:eastAsia="宋体" w:cs="宋体"/>
                <w:color w:val="000000"/>
                <w:sz w:val="22"/>
              </w:rPr>
            </w:pPr>
            <w:r>
              <w:rPr>
                <w:rFonts w:hint="eastAsia" w:cs="Times New Roman"/>
                <w:sz w:val="21"/>
                <w:szCs w:val="21"/>
                <w:lang w:bidi="ar"/>
              </w:rPr>
              <w:t>-0.115</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DE284F2">
            <w:pPr>
              <w:spacing w:line="240" w:lineRule="auto"/>
              <w:ind w:firstLine="0" w:firstLineChars="0"/>
              <w:jc w:val="center"/>
              <w:rPr>
                <w:rFonts w:cs="Times New Roman"/>
                <w:sz w:val="21"/>
                <w:szCs w:val="21"/>
              </w:rPr>
            </w:pPr>
            <w:r>
              <w:rPr>
                <w:rFonts w:cs="Times New Roman"/>
                <w:sz w:val="21"/>
                <w:szCs w:val="21"/>
              </w:rPr>
              <w:t>0</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6132B60">
            <w:pPr>
              <w:spacing w:line="240" w:lineRule="auto"/>
              <w:ind w:firstLine="0" w:firstLineChars="0"/>
              <w:jc w:val="center"/>
              <w:rPr>
                <w:rFonts w:cs="Times New Roman"/>
                <w:sz w:val="21"/>
                <w:szCs w:val="21"/>
              </w:rPr>
            </w:pPr>
            <w:r>
              <w:rPr>
                <w:rFonts w:cs="Times New Roman"/>
                <w:sz w:val="21"/>
                <w:szCs w:val="21"/>
              </w:rPr>
              <w:t>-0.549</w:t>
            </w:r>
          </w:p>
        </w:tc>
      </w:tr>
      <w:tr w14:paraId="0388AD66">
        <w:tblPrEx>
          <w:tblCellMar>
            <w:top w:w="0" w:type="dxa"/>
            <w:left w:w="108" w:type="dxa"/>
            <w:bottom w:w="0" w:type="dxa"/>
            <w:right w:w="108" w:type="dxa"/>
          </w:tblCellMar>
        </w:tblPrEx>
        <w:trPr>
          <w:trHeight w:val="285" w:hRule="atLeast"/>
        </w:trPr>
        <w:tc>
          <w:tcPr>
            <w:tcW w:w="491" w:type="pct"/>
            <w:gridSpan w:val="2"/>
            <w:tcBorders>
              <w:top w:val="nil"/>
              <w:left w:val="single" w:color="000000" w:sz="8" w:space="0"/>
              <w:bottom w:val="single" w:color="000000" w:sz="8" w:space="0"/>
              <w:right w:val="single" w:color="000000" w:sz="8" w:space="0"/>
            </w:tcBorders>
            <w:noWrap/>
            <w:vAlign w:val="center"/>
          </w:tcPr>
          <w:p w14:paraId="74FC50F5">
            <w:pPr>
              <w:spacing w:line="240" w:lineRule="auto"/>
              <w:ind w:firstLine="0" w:firstLineChars="0"/>
              <w:jc w:val="center"/>
              <w:rPr>
                <w:rFonts w:cs="Times New Roman"/>
                <w:sz w:val="21"/>
                <w:szCs w:val="21"/>
              </w:rPr>
            </w:pPr>
            <w:r>
              <w:rPr>
                <w:rFonts w:cs="Times New Roman"/>
                <w:sz w:val="21"/>
                <w:szCs w:val="21"/>
              </w:rPr>
              <w:t>W</w:t>
            </w:r>
          </w:p>
        </w:tc>
        <w:tc>
          <w:tcPr>
            <w:tcW w:w="1364" w:type="pct"/>
            <w:gridSpan w:val="2"/>
            <w:tcBorders>
              <w:top w:val="nil"/>
              <w:left w:val="single" w:color="000000" w:sz="8" w:space="0"/>
              <w:bottom w:val="single" w:color="000000" w:sz="8" w:space="0"/>
              <w:right w:val="nil"/>
            </w:tcBorders>
            <w:noWrap/>
            <w:vAlign w:val="center"/>
          </w:tcPr>
          <w:p w14:paraId="0EBACB7B">
            <w:pPr>
              <w:spacing w:line="240" w:lineRule="auto"/>
              <w:ind w:firstLine="0" w:firstLineChars="0"/>
              <w:jc w:val="center"/>
              <w:rPr>
                <w:rFonts w:cs="Times New Roman"/>
                <w:sz w:val="21"/>
                <w:szCs w:val="21"/>
              </w:rPr>
            </w:pPr>
            <w:r>
              <w:rPr>
                <w:rFonts w:cs="Times New Roman"/>
                <w:sz w:val="21"/>
                <w:szCs w:val="21"/>
              </w:rPr>
              <w:t>物流仓储用地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2F1CE68E">
            <w:pPr>
              <w:spacing w:line="240" w:lineRule="auto"/>
              <w:ind w:firstLine="0" w:firstLineChars="0"/>
              <w:jc w:val="center"/>
              <w:rPr>
                <w:rFonts w:cs="Times New Roman"/>
                <w:sz w:val="21"/>
                <w:szCs w:val="21"/>
              </w:rPr>
            </w:pPr>
            <w:r>
              <w:rPr>
                <w:rFonts w:cs="Times New Roman"/>
                <w:sz w:val="21"/>
                <w:szCs w:val="21"/>
              </w:rPr>
              <w:t>0.004</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02C5AA42">
            <w:pPr>
              <w:spacing w:line="240" w:lineRule="auto"/>
              <w:ind w:firstLine="0" w:firstLineChars="0"/>
              <w:jc w:val="center"/>
              <w:rPr>
                <w:rFonts w:cs="Times New Roman"/>
                <w:sz w:val="21"/>
                <w:szCs w:val="21"/>
              </w:rPr>
            </w:pPr>
            <w:r>
              <w:rPr>
                <w:rFonts w:cs="Times New Roman"/>
                <w:sz w:val="21"/>
                <w:szCs w:val="21"/>
              </w:rPr>
              <w:t>0.005</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4216331">
            <w:pPr>
              <w:spacing w:line="240" w:lineRule="auto"/>
              <w:ind w:firstLine="0" w:firstLineChars="0"/>
              <w:jc w:val="center"/>
              <w:rPr>
                <w:rFonts w:cs="Times New Roman"/>
                <w:sz w:val="21"/>
                <w:szCs w:val="21"/>
              </w:rPr>
            </w:pPr>
            <w:r>
              <w:rPr>
                <w:rFonts w:cs="Times New Roman"/>
                <w:sz w:val="21"/>
                <w:szCs w:val="21"/>
              </w:rPr>
              <w:t>0.001</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3FE73801">
            <w:pPr>
              <w:spacing w:line="240" w:lineRule="auto"/>
              <w:ind w:firstLine="0" w:firstLineChars="0"/>
              <w:jc w:val="center"/>
              <w:rPr>
                <w:rFonts w:cs="Times New Roman"/>
                <w:sz w:val="21"/>
                <w:szCs w:val="21"/>
              </w:rPr>
            </w:pPr>
            <w:r>
              <w:rPr>
                <w:rFonts w:cs="Times New Roman"/>
                <w:sz w:val="21"/>
                <w:szCs w:val="21"/>
              </w:rPr>
              <w:t>0.005</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245C49D1">
            <w:pPr>
              <w:spacing w:line="240" w:lineRule="auto"/>
              <w:ind w:firstLine="0" w:firstLineChars="0"/>
              <w:jc w:val="center"/>
              <w:rPr>
                <w:rFonts w:cs="Times New Roman"/>
                <w:sz w:val="21"/>
                <w:szCs w:val="21"/>
              </w:rPr>
            </w:pPr>
            <w:r>
              <w:rPr>
                <w:rFonts w:cs="Times New Roman"/>
                <w:sz w:val="21"/>
                <w:szCs w:val="21"/>
              </w:rPr>
              <w:t>0.001</w:t>
            </w:r>
          </w:p>
        </w:tc>
      </w:tr>
      <w:tr w14:paraId="6A8F8B44">
        <w:tblPrEx>
          <w:tblCellMar>
            <w:top w:w="0" w:type="dxa"/>
            <w:left w:w="108" w:type="dxa"/>
            <w:bottom w:w="0" w:type="dxa"/>
            <w:right w:w="108" w:type="dxa"/>
          </w:tblCellMar>
        </w:tblPrEx>
        <w:trPr>
          <w:trHeight w:val="285" w:hRule="atLeast"/>
        </w:trPr>
        <w:tc>
          <w:tcPr>
            <w:tcW w:w="491" w:type="pct"/>
            <w:gridSpan w:val="2"/>
            <w:tcBorders>
              <w:top w:val="nil"/>
              <w:left w:val="single" w:color="000000" w:sz="8" w:space="0"/>
              <w:bottom w:val="single" w:color="000000" w:sz="8" w:space="0"/>
              <w:right w:val="single" w:color="000000" w:sz="8" w:space="0"/>
            </w:tcBorders>
            <w:noWrap/>
            <w:vAlign w:val="center"/>
          </w:tcPr>
          <w:p w14:paraId="2D70C6B2">
            <w:pPr>
              <w:spacing w:line="240" w:lineRule="auto"/>
              <w:ind w:firstLine="0" w:firstLineChars="0"/>
              <w:jc w:val="center"/>
              <w:rPr>
                <w:rFonts w:cs="Times New Roman"/>
                <w:sz w:val="21"/>
                <w:szCs w:val="21"/>
              </w:rPr>
            </w:pPr>
            <w:r>
              <w:rPr>
                <w:rFonts w:cs="Times New Roman"/>
                <w:sz w:val="21"/>
                <w:szCs w:val="21"/>
              </w:rPr>
              <w:t>S</w:t>
            </w:r>
          </w:p>
        </w:tc>
        <w:tc>
          <w:tcPr>
            <w:tcW w:w="1364" w:type="pct"/>
            <w:gridSpan w:val="2"/>
            <w:tcBorders>
              <w:top w:val="nil"/>
              <w:left w:val="single" w:color="000000" w:sz="8" w:space="0"/>
              <w:bottom w:val="single" w:color="000000" w:sz="8" w:space="0"/>
              <w:right w:val="nil"/>
            </w:tcBorders>
            <w:noWrap/>
            <w:vAlign w:val="center"/>
          </w:tcPr>
          <w:p w14:paraId="5A836DAF">
            <w:pPr>
              <w:spacing w:line="240" w:lineRule="auto"/>
              <w:ind w:firstLine="0" w:firstLineChars="0"/>
              <w:jc w:val="center"/>
              <w:rPr>
                <w:rFonts w:cs="Times New Roman"/>
                <w:sz w:val="21"/>
                <w:szCs w:val="21"/>
              </w:rPr>
            </w:pPr>
            <w:r>
              <w:rPr>
                <w:rFonts w:cs="Times New Roman"/>
                <w:sz w:val="21"/>
                <w:szCs w:val="21"/>
              </w:rPr>
              <w:t>道路与交通设施用地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F13B64D">
            <w:pPr>
              <w:spacing w:line="240" w:lineRule="auto"/>
              <w:ind w:firstLine="0" w:firstLineChars="0"/>
              <w:jc w:val="center"/>
              <w:rPr>
                <w:rFonts w:cs="Times New Roman"/>
                <w:sz w:val="21"/>
                <w:szCs w:val="21"/>
              </w:rPr>
            </w:pPr>
            <w:r>
              <w:rPr>
                <w:rFonts w:cs="Times New Roman"/>
                <w:sz w:val="21"/>
                <w:szCs w:val="21"/>
              </w:rPr>
              <w:t>2.552</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32459F1C">
            <w:pPr>
              <w:spacing w:line="240" w:lineRule="auto"/>
              <w:ind w:firstLine="0" w:firstLineChars="0"/>
              <w:jc w:val="center"/>
              <w:rPr>
                <w:rFonts w:cs="Times New Roman"/>
                <w:sz w:val="21"/>
                <w:szCs w:val="21"/>
              </w:rPr>
            </w:pPr>
            <w:r>
              <w:rPr>
                <w:rFonts w:cs="Times New Roman"/>
                <w:sz w:val="21"/>
                <w:szCs w:val="21"/>
              </w:rPr>
              <w:t>2.789</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33F5C7D2">
            <w:pPr>
              <w:spacing w:line="240" w:lineRule="auto"/>
              <w:ind w:firstLine="0" w:firstLineChars="0"/>
              <w:jc w:val="center"/>
              <w:rPr>
                <w:rFonts w:cs="Times New Roman"/>
                <w:sz w:val="21"/>
                <w:szCs w:val="21"/>
              </w:rPr>
            </w:pPr>
            <w:r>
              <w:rPr>
                <w:rFonts w:cs="Times New Roman"/>
                <w:sz w:val="21"/>
                <w:szCs w:val="21"/>
              </w:rPr>
              <w:t>0.237</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6FF842D">
            <w:pPr>
              <w:spacing w:line="240" w:lineRule="auto"/>
              <w:ind w:firstLine="0" w:firstLineChars="0"/>
              <w:jc w:val="center"/>
              <w:rPr>
                <w:rFonts w:cs="Times New Roman"/>
                <w:sz w:val="21"/>
                <w:szCs w:val="21"/>
              </w:rPr>
            </w:pPr>
            <w:r>
              <w:rPr>
                <w:rFonts w:cs="Times New Roman"/>
                <w:sz w:val="21"/>
                <w:szCs w:val="21"/>
              </w:rPr>
              <w:t>3.112</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437E97BA">
            <w:pPr>
              <w:spacing w:line="240" w:lineRule="auto"/>
              <w:ind w:firstLine="0" w:firstLineChars="0"/>
              <w:jc w:val="center"/>
              <w:rPr>
                <w:rFonts w:cs="Times New Roman"/>
                <w:sz w:val="21"/>
                <w:szCs w:val="21"/>
              </w:rPr>
            </w:pPr>
            <w:r>
              <w:rPr>
                <w:rFonts w:cs="Times New Roman"/>
                <w:sz w:val="21"/>
                <w:szCs w:val="21"/>
              </w:rPr>
              <w:t>0.56</w:t>
            </w:r>
          </w:p>
        </w:tc>
      </w:tr>
      <w:tr w14:paraId="4ACE0EFF">
        <w:tblPrEx>
          <w:tblCellMar>
            <w:top w:w="0" w:type="dxa"/>
            <w:left w:w="108" w:type="dxa"/>
            <w:bottom w:w="0" w:type="dxa"/>
            <w:right w:w="108" w:type="dxa"/>
          </w:tblCellMar>
        </w:tblPrEx>
        <w:trPr>
          <w:trHeight w:val="285" w:hRule="atLeast"/>
        </w:trPr>
        <w:tc>
          <w:tcPr>
            <w:tcW w:w="491" w:type="pct"/>
            <w:gridSpan w:val="2"/>
            <w:tcBorders>
              <w:top w:val="nil"/>
              <w:left w:val="single" w:color="000000" w:sz="8" w:space="0"/>
              <w:bottom w:val="single" w:color="000000" w:sz="8" w:space="0"/>
              <w:right w:val="single" w:color="000000" w:sz="8" w:space="0"/>
            </w:tcBorders>
            <w:noWrap/>
            <w:vAlign w:val="center"/>
          </w:tcPr>
          <w:p w14:paraId="1FDEA199">
            <w:pPr>
              <w:spacing w:line="240" w:lineRule="auto"/>
              <w:ind w:firstLine="0" w:firstLineChars="0"/>
              <w:jc w:val="center"/>
              <w:rPr>
                <w:rFonts w:cs="Times New Roman"/>
                <w:sz w:val="21"/>
                <w:szCs w:val="21"/>
              </w:rPr>
            </w:pPr>
            <w:r>
              <w:rPr>
                <w:rFonts w:cs="Times New Roman"/>
                <w:sz w:val="21"/>
                <w:szCs w:val="21"/>
              </w:rPr>
              <w:t>U</w:t>
            </w:r>
          </w:p>
        </w:tc>
        <w:tc>
          <w:tcPr>
            <w:tcW w:w="1364" w:type="pct"/>
            <w:gridSpan w:val="2"/>
            <w:tcBorders>
              <w:top w:val="nil"/>
              <w:left w:val="single" w:color="000000" w:sz="8" w:space="0"/>
              <w:bottom w:val="single" w:color="000000" w:sz="8" w:space="0"/>
              <w:right w:val="nil"/>
            </w:tcBorders>
            <w:noWrap/>
            <w:vAlign w:val="center"/>
          </w:tcPr>
          <w:p w14:paraId="3AEA21A8">
            <w:pPr>
              <w:spacing w:line="240" w:lineRule="auto"/>
              <w:ind w:firstLine="0" w:firstLineChars="0"/>
              <w:jc w:val="center"/>
              <w:rPr>
                <w:rFonts w:cs="Times New Roman"/>
                <w:sz w:val="21"/>
                <w:szCs w:val="21"/>
              </w:rPr>
            </w:pPr>
            <w:r>
              <w:rPr>
                <w:rFonts w:cs="Times New Roman"/>
                <w:sz w:val="21"/>
                <w:szCs w:val="21"/>
              </w:rPr>
              <w:t>公用设施用地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4319F0EA">
            <w:pPr>
              <w:spacing w:line="240" w:lineRule="auto"/>
              <w:ind w:firstLine="0" w:firstLineChars="0"/>
              <w:jc w:val="center"/>
              <w:rPr>
                <w:rFonts w:cs="Times New Roman"/>
                <w:sz w:val="21"/>
                <w:szCs w:val="21"/>
              </w:rPr>
            </w:pPr>
            <w:r>
              <w:rPr>
                <w:rFonts w:cs="Times New Roman"/>
                <w:sz w:val="21"/>
                <w:szCs w:val="21"/>
              </w:rPr>
              <w:t>0.7</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553C1467">
            <w:pPr>
              <w:spacing w:line="240" w:lineRule="auto"/>
              <w:ind w:firstLine="0" w:firstLineChars="0"/>
              <w:jc w:val="center"/>
              <w:rPr>
                <w:rFonts w:cs="Times New Roman"/>
                <w:sz w:val="21"/>
                <w:szCs w:val="21"/>
              </w:rPr>
            </w:pPr>
            <w:r>
              <w:rPr>
                <w:rFonts w:cs="Times New Roman"/>
                <w:sz w:val="21"/>
                <w:szCs w:val="21"/>
              </w:rPr>
              <w:t>0.72</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CE7939F">
            <w:pPr>
              <w:spacing w:line="240" w:lineRule="auto"/>
              <w:ind w:firstLine="0" w:firstLineChars="0"/>
              <w:jc w:val="center"/>
              <w:rPr>
                <w:rFonts w:cs="Times New Roman"/>
                <w:sz w:val="21"/>
                <w:szCs w:val="21"/>
              </w:rPr>
            </w:pPr>
            <w:r>
              <w:rPr>
                <w:rFonts w:cs="Times New Roman"/>
                <w:sz w:val="21"/>
                <w:szCs w:val="21"/>
              </w:rPr>
              <w:t>0.02</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5B1743A8">
            <w:pPr>
              <w:spacing w:line="240" w:lineRule="auto"/>
              <w:ind w:firstLine="0" w:firstLineChars="0"/>
              <w:jc w:val="center"/>
              <w:rPr>
                <w:rFonts w:cs="Times New Roman"/>
                <w:sz w:val="21"/>
                <w:szCs w:val="21"/>
              </w:rPr>
            </w:pPr>
            <w:r>
              <w:rPr>
                <w:rFonts w:cs="Times New Roman"/>
                <w:sz w:val="21"/>
                <w:szCs w:val="21"/>
              </w:rPr>
              <w:t>0.72</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268B587A">
            <w:pPr>
              <w:spacing w:line="240" w:lineRule="auto"/>
              <w:ind w:firstLine="0" w:firstLineChars="0"/>
              <w:jc w:val="center"/>
              <w:rPr>
                <w:rFonts w:cs="Times New Roman"/>
                <w:sz w:val="21"/>
                <w:szCs w:val="21"/>
              </w:rPr>
            </w:pPr>
            <w:r>
              <w:rPr>
                <w:rFonts w:cs="Times New Roman"/>
                <w:sz w:val="21"/>
                <w:szCs w:val="21"/>
              </w:rPr>
              <w:t>0.02</w:t>
            </w:r>
          </w:p>
        </w:tc>
      </w:tr>
      <w:tr w14:paraId="2F317A3A">
        <w:tblPrEx>
          <w:tblCellMar>
            <w:top w:w="0" w:type="dxa"/>
            <w:left w:w="108" w:type="dxa"/>
            <w:bottom w:w="0" w:type="dxa"/>
            <w:right w:w="108" w:type="dxa"/>
          </w:tblCellMar>
        </w:tblPrEx>
        <w:trPr>
          <w:trHeight w:val="285" w:hRule="atLeast"/>
        </w:trPr>
        <w:tc>
          <w:tcPr>
            <w:tcW w:w="491" w:type="pct"/>
            <w:gridSpan w:val="2"/>
            <w:tcBorders>
              <w:top w:val="nil"/>
              <w:left w:val="single" w:color="000000" w:sz="8" w:space="0"/>
              <w:bottom w:val="single" w:color="000000" w:sz="8" w:space="0"/>
              <w:right w:val="single" w:color="000000" w:sz="8" w:space="0"/>
            </w:tcBorders>
            <w:noWrap/>
            <w:vAlign w:val="center"/>
          </w:tcPr>
          <w:p w14:paraId="5E221BD6">
            <w:pPr>
              <w:spacing w:line="240" w:lineRule="auto"/>
              <w:ind w:firstLine="0" w:firstLineChars="0"/>
              <w:jc w:val="center"/>
              <w:rPr>
                <w:rFonts w:cs="Times New Roman"/>
                <w:sz w:val="21"/>
                <w:szCs w:val="21"/>
              </w:rPr>
            </w:pPr>
            <w:r>
              <w:rPr>
                <w:rFonts w:cs="Times New Roman"/>
                <w:sz w:val="21"/>
                <w:szCs w:val="21"/>
              </w:rPr>
              <w:t>G</w:t>
            </w:r>
          </w:p>
        </w:tc>
        <w:tc>
          <w:tcPr>
            <w:tcW w:w="1364" w:type="pct"/>
            <w:gridSpan w:val="2"/>
            <w:tcBorders>
              <w:top w:val="nil"/>
              <w:left w:val="single" w:color="000000" w:sz="8" w:space="0"/>
              <w:bottom w:val="single" w:color="000000" w:sz="8" w:space="0"/>
              <w:right w:val="nil"/>
            </w:tcBorders>
            <w:noWrap/>
            <w:vAlign w:val="center"/>
          </w:tcPr>
          <w:p w14:paraId="5D92BA5B">
            <w:pPr>
              <w:spacing w:line="240" w:lineRule="auto"/>
              <w:ind w:firstLine="0" w:firstLineChars="0"/>
              <w:jc w:val="center"/>
              <w:rPr>
                <w:rFonts w:cs="Times New Roman"/>
                <w:sz w:val="21"/>
                <w:szCs w:val="21"/>
              </w:rPr>
            </w:pPr>
            <w:r>
              <w:rPr>
                <w:rFonts w:cs="Times New Roman"/>
                <w:sz w:val="21"/>
                <w:szCs w:val="21"/>
              </w:rPr>
              <w:t>绿地与广场用地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61041830">
            <w:pPr>
              <w:spacing w:line="240" w:lineRule="auto"/>
              <w:ind w:firstLine="0" w:firstLineChars="0"/>
              <w:jc w:val="center"/>
              <w:rPr>
                <w:rFonts w:cs="Times New Roman"/>
                <w:sz w:val="21"/>
                <w:szCs w:val="21"/>
              </w:rPr>
            </w:pPr>
            <w:r>
              <w:rPr>
                <w:rFonts w:cs="Times New Roman"/>
                <w:sz w:val="21"/>
                <w:szCs w:val="21"/>
              </w:rPr>
              <w:t>0.018</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520CF30">
            <w:pPr>
              <w:spacing w:line="240" w:lineRule="auto"/>
              <w:ind w:firstLine="0" w:firstLineChars="0"/>
              <w:jc w:val="center"/>
              <w:rPr>
                <w:rFonts w:cs="Times New Roman"/>
                <w:sz w:val="21"/>
                <w:szCs w:val="21"/>
              </w:rPr>
            </w:pPr>
            <w:r>
              <w:rPr>
                <w:rFonts w:cs="Times New Roman"/>
                <w:sz w:val="21"/>
                <w:szCs w:val="21"/>
              </w:rPr>
              <w:t>0.023</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06B957E8">
            <w:pPr>
              <w:spacing w:line="240" w:lineRule="auto"/>
              <w:ind w:firstLine="0" w:firstLineChars="0"/>
              <w:jc w:val="center"/>
              <w:rPr>
                <w:rFonts w:cs="Times New Roman"/>
                <w:sz w:val="21"/>
                <w:szCs w:val="21"/>
              </w:rPr>
            </w:pPr>
            <w:r>
              <w:rPr>
                <w:rFonts w:cs="Times New Roman"/>
                <w:sz w:val="21"/>
                <w:szCs w:val="21"/>
              </w:rPr>
              <w:t>0.005</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0F6E0F50">
            <w:pPr>
              <w:spacing w:line="240" w:lineRule="auto"/>
              <w:ind w:firstLine="0" w:firstLineChars="0"/>
              <w:jc w:val="center"/>
              <w:rPr>
                <w:rFonts w:cs="Times New Roman"/>
                <w:sz w:val="21"/>
                <w:szCs w:val="21"/>
              </w:rPr>
            </w:pPr>
            <w:r>
              <w:rPr>
                <w:rFonts w:cs="Times New Roman"/>
                <w:sz w:val="21"/>
                <w:szCs w:val="21"/>
              </w:rPr>
              <w:t>0.023</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0C4E341A">
            <w:pPr>
              <w:spacing w:line="240" w:lineRule="auto"/>
              <w:ind w:firstLine="0" w:firstLineChars="0"/>
              <w:jc w:val="center"/>
              <w:rPr>
                <w:rFonts w:cs="Times New Roman"/>
                <w:sz w:val="21"/>
                <w:szCs w:val="21"/>
              </w:rPr>
            </w:pPr>
            <w:r>
              <w:rPr>
                <w:rFonts w:cs="Times New Roman"/>
                <w:sz w:val="21"/>
                <w:szCs w:val="21"/>
              </w:rPr>
              <w:t>0.005</w:t>
            </w:r>
          </w:p>
        </w:tc>
      </w:tr>
      <w:tr w14:paraId="75D97453">
        <w:tblPrEx>
          <w:tblCellMar>
            <w:top w:w="0" w:type="dxa"/>
            <w:left w:w="108" w:type="dxa"/>
            <w:bottom w:w="0" w:type="dxa"/>
            <w:right w:w="108" w:type="dxa"/>
          </w:tblCellMar>
        </w:tblPrEx>
        <w:trPr>
          <w:trHeight w:val="285" w:hRule="atLeast"/>
        </w:trPr>
        <w:tc>
          <w:tcPr>
            <w:tcW w:w="491" w:type="pct"/>
            <w:gridSpan w:val="2"/>
            <w:tcBorders>
              <w:top w:val="nil"/>
              <w:left w:val="single" w:color="000000" w:sz="8" w:space="0"/>
              <w:bottom w:val="single" w:color="000000" w:sz="8" w:space="0"/>
              <w:right w:val="single" w:color="000000" w:sz="8" w:space="0"/>
            </w:tcBorders>
            <w:noWrap/>
            <w:vAlign w:val="center"/>
          </w:tcPr>
          <w:p w14:paraId="182AC011">
            <w:pPr>
              <w:spacing w:line="240" w:lineRule="auto"/>
              <w:ind w:firstLine="0" w:firstLineChars="0"/>
              <w:jc w:val="center"/>
              <w:rPr>
                <w:rFonts w:cs="Times New Roman"/>
                <w:sz w:val="21"/>
                <w:szCs w:val="21"/>
              </w:rPr>
            </w:pPr>
            <w:r>
              <w:rPr>
                <w:rFonts w:cs="Times New Roman"/>
                <w:sz w:val="21"/>
                <w:szCs w:val="21"/>
              </w:rPr>
              <w:t>H5</w:t>
            </w:r>
          </w:p>
        </w:tc>
        <w:tc>
          <w:tcPr>
            <w:tcW w:w="1364" w:type="pct"/>
            <w:gridSpan w:val="2"/>
            <w:tcBorders>
              <w:top w:val="nil"/>
              <w:left w:val="single" w:color="000000" w:sz="8" w:space="0"/>
              <w:bottom w:val="single" w:color="000000" w:sz="8" w:space="0"/>
              <w:right w:val="nil"/>
            </w:tcBorders>
            <w:noWrap/>
            <w:vAlign w:val="center"/>
          </w:tcPr>
          <w:p w14:paraId="3B16FA1C">
            <w:pPr>
              <w:spacing w:line="240" w:lineRule="auto"/>
              <w:ind w:firstLine="0" w:firstLineChars="0"/>
              <w:jc w:val="center"/>
              <w:rPr>
                <w:rFonts w:cs="Times New Roman"/>
                <w:sz w:val="21"/>
                <w:szCs w:val="21"/>
              </w:rPr>
            </w:pPr>
            <w:r>
              <w:rPr>
                <w:rFonts w:cs="Times New Roman"/>
                <w:sz w:val="21"/>
                <w:szCs w:val="21"/>
              </w:rPr>
              <w:t>采矿用地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B85C4E8">
            <w:pPr>
              <w:spacing w:line="240" w:lineRule="auto"/>
              <w:ind w:firstLine="0" w:firstLineChars="0"/>
              <w:jc w:val="center"/>
              <w:rPr>
                <w:rFonts w:cs="Times New Roman"/>
                <w:sz w:val="21"/>
                <w:szCs w:val="21"/>
              </w:rPr>
            </w:pPr>
            <w:r>
              <w:rPr>
                <w:rFonts w:cs="Times New Roman"/>
                <w:sz w:val="21"/>
                <w:szCs w:val="21"/>
              </w:rPr>
              <w:t>1.88</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55DFF616">
            <w:pPr>
              <w:spacing w:line="240" w:lineRule="auto"/>
              <w:ind w:firstLine="0" w:firstLineChars="0"/>
              <w:jc w:val="center"/>
              <w:rPr>
                <w:rFonts w:cs="Times New Roman"/>
                <w:sz w:val="21"/>
                <w:szCs w:val="21"/>
              </w:rPr>
            </w:pPr>
            <w:r>
              <w:rPr>
                <w:rFonts w:hint="eastAsia" w:cs="Times New Roman"/>
                <w:sz w:val="21"/>
                <w:szCs w:val="21"/>
              </w:rPr>
              <w:t>0.317</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0BF082F0">
            <w:pPr>
              <w:spacing w:line="240" w:lineRule="auto"/>
              <w:ind w:firstLine="0" w:firstLineChars="0"/>
              <w:jc w:val="center"/>
              <w:rPr>
                <w:rFonts w:cs="Times New Roman"/>
                <w:sz w:val="21"/>
                <w:szCs w:val="21"/>
              </w:rPr>
            </w:pPr>
            <w:r>
              <w:rPr>
                <w:rFonts w:hint="eastAsia" w:cs="Times New Roman"/>
                <w:sz w:val="21"/>
                <w:szCs w:val="21"/>
              </w:rPr>
              <w:t>-1.563</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24DBD59B">
            <w:pPr>
              <w:spacing w:line="240" w:lineRule="auto"/>
              <w:ind w:firstLine="0" w:firstLineChars="0"/>
              <w:jc w:val="center"/>
              <w:rPr>
                <w:rFonts w:cs="Times New Roman"/>
                <w:sz w:val="21"/>
                <w:szCs w:val="21"/>
              </w:rPr>
            </w:pPr>
            <w:r>
              <w:rPr>
                <w:rFonts w:hint="eastAsia" w:cs="Times New Roman"/>
                <w:sz w:val="21"/>
                <w:szCs w:val="21"/>
              </w:rPr>
              <w:t>0</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209E596D">
            <w:pPr>
              <w:spacing w:line="240" w:lineRule="auto"/>
              <w:ind w:firstLine="0" w:firstLineChars="0"/>
              <w:jc w:val="center"/>
              <w:rPr>
                <w:rFonts w:cs="Times New Roman"/>
                <w:sz w:val="21"/>
                <w:szCs w:val="21"/>
              </w:rPr>
            </w:pPr>
            <w:r>
              <w:rPr>
                <w:rFonts w:hint="eastAsia" w:cs="Times New Roman"/>
                <w:sz w:val="21"/>
                <w:szCs w:val="21"/>
              </w:rPr>
              <w:t>-1.88</w:t>
            </w:r>
          </w:p>
        </w:tc>
      </w:tr>
      <w:tr w14:paraId="3395507C">
        <w:tblPrEx>
          <w:tblCellMar>
            <w:top w:w="0" w:type="dxa"/>
            <w:left w:w="108" w:type="dxa"/>
            <w:bottom w:w="0" w:type="dxa"/>
            <w:right w:w="108" w:type="dxa"/>
          </w:tblCellMar>
        </w:tblPrEx>
        <w:trPr>
          <w:trHeight w:val="285" w:hRule="atLeast"/>
        </w:trPr>
        <w:tc>
          <w:tcPr>
            <w:tcW w:w="491" w:type="pct"/>
            <w:gridSpan w:val="2"/>
            <w:tcBorders>
              <w:top w:val="nil"/>
              <w:left w:val="single" w:color="000000" w:sz="8" w:space="0"/>
              <w:bottom w:val="single" w:color="000000" w:sz="8" w:space="0"/>
              <w:right w:val="single" w:color="000000" w:sz="8" w:space="0"/>
            </w:tcBorders>
            <w:noWrap/>
            <w:vAlign w:val="center"/>
          </w:tcPr>
          <w:p w14:paraId="32508A2A">
            <w:pPr>
              <w:spacing w:line="240" w:lineRule="auto"/>
              <w:ind w:firstLine="0" w:firstLineChars="0"/>
              <w:jc w:val="center"/>
              <w:rPr>
                <w:rFonts w:cs="Times New Roman"/>
                <w:sz w:val="21"/>
                <w:szCs w:val="21"/>
              </w:rPr>
            </w:pPr>
            <w:r>
              <w:rPr>
                <w:rFonts w:cs="Times New Roman"/>
                <w:sz w:val="21"/>
                <w:szCs w:val="21"/>
              </w:rPr>
              <w:t>E</w:t>
            </w:r>
          </w:p>
        </w:tc>
        <w:tc>
          <w:tcPr>
            <w:tcW w:w="1364" w:type="pct"/>
            <w:gridSpan w:val="2"/>
            <w:tcBorders>
              <w:top w:val="nil"/>
              <w:left w:val="single" w:color="000000" w:sz="8" w:space="0"/>
              <w:bottom w:val="single" w:color="000000" w:sz="8" w:space="0"/>
              <w:right w:val="single" w:color="000000" w:sz="8" w:space="0"/>
            </w:tcBorders>
            <w:noWrap/>
            <w:vAlign w:val="center"/>
          </w:tcPr>
          <w:p w14:paraId="56D14A65">
            <w:pPr>
              <w:spacing w:line="240" w:lineRule="auto"/>
              <w:ind w:firstLine="0" w:firstLineChars="0"/>
              <w:jc w:val="center"/>
              <w:rPr>
                <w:rFonts w:cs="Times New Roman"/>
                <w:sz w:val="21"/>
                <w:szCs w:val="21"/>
              </w:rPr>
            </w:pPr>
            <w:r>
              <w:rPr>
                <w:rFonts w:cs="Times New Roman"/>
                <w:sz w:val="21"/>
                <w:szCs w:val="21"/>
              </w:rPr>
              <w:t>非建设用地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361FD611">
            <w:pPr>
              <w:spacing w:line="240" w:lineRule="auto"/>
              <w:ind w:firstLine="0" w:firstLineChars="0"/>
              <w:jc w:val="center"/>
              <w:rPr>
                <w:rFonts w:cs="Times New Roman"/>
                <w:sz w:val="21"/>
                <w:szCs w:val="21"/>
              </w:rPr>
            </w:pPr>
            <w:r>
              <w:rPr>
                <w:rFonts w:cs="Times New Roman"/>
                <w:sz w:val="21"/>
                <w:szCs w:val="21"/>
              </w:rPr>
              <w:t>98.696</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7E6407B0">
            <w:pPr>
              <w:spacing w:line="240" w:lineRule="auto"/>
              <w:ind w:firstLine="0" w:firstLineChars="0"/>
              <w:jc w:val="center"/>
              <w:rPr>
                <w:rFonts w:cs="Times New Roman"/>
                <w:sz w:val="21"/>
                <w:szCs w:val="21"/>
              </w:rPr>
            </w:pPr>
            <w:r>
              <w:rPr>
                <w:rFonts w:hint="eastAsia" w:cs="Times New Roman"/>
                <w:sz w:val="21"/>
                <w:szCs w:val="21"/>
              </w:rPr>
              <w:t>99.613</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5E87F002">
            <w:pPr>
              <w:spacing w:line="240" w:lineRule="auto"/>
              <w:ind w:firstLine="0" w:firstLineChars="0"/>
              <w:jc w:val="center"/>
              <w:rPr>
                <w:rFonts w:cs="Times New Roman"/>
                <w:sz w:val="21"/>
                <w:szCs w:val="21"/>
              </w:rPr>
            </w:pPr>
            <w:r>
              <w:rPr>
                <w:rFonts w:hint="eastAsia" w:cs="Times New Roman"/>
                <w:sz w:val="21"/>
                <w:szCs w:val="21"/>
              </w:rPr>
              <w:t>0.916</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200F6D59">
            <w:pPr>
              <w:spacing w:line="240" w:lineRule="auto"/>
              <w:ind w:firstLine="0" w:firstLineChars="0"/>
              <w:jc w:val="center"/>
              <w:rPr>
                <w:rFonts w:cs="Times New Roman"/>
                <w:sz w:val="21"/>
                <w:szCs w:val="21"/>
              </w:rPr>
            </w:pPr>
            <w:r>
              <w:rPr>
                <w:rFonts w:hint="eastAsia" w:cs="Times New Roman"/>
                <w:sz w:val="21"/>
                <w:szCs w:val="21"/>
              </w:rPr>
              <w:t>100.026</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0AE2A309">
            <w:pPr>
              <w:spacing w:line="240" w:lineRule="auto"/>
              <w:ind w:firstLine="0" w:firstLineChars="0"/>
              <w:jc w:val="center"/>
              <w:rPr>
                <w:rFonts w:cs="Times New Roman"/>
                <w:sz w:val="21"/>
                <w:szCs w:val="21"/>
              </w:rPr>
            </w:pPr>
            <w:r>
              <w:rPr>
                <w:rFonts w:hint="eastAsia" w:cs="Times New Roman"/>
                <w:sz w:val="21"/>
                <w:szCs w:val="21"/>
              </w:rPr>
              <w:t>1.329</w:t>
            </w:r>
          </w:p>
        </w:tc>
      </w:tr>
      <w:tr w14:paraId="254BBBDA">
        <w:tblPrEx>
          <w:tblCellMar>
            <w:top w:w="0" w:type="dxa"/>
            <w:left w:w="108" w:type="dxa"/>
            <w:bottom w:w="0" w:type="dxa"/>
            <w:right w:w="108" w:type="dxa"/>
          </w:tblCellMar>
        </w:tblPrEx>
        <w:trPr>
          <w:trHeight w:val="285" w:hRule="atLeast"/>
        </w:trPr>
        <w:tc>
          <w:tcPr>
            <w:tcW w:w="218" w:type="pct"/>
            <w:vMerge w:val="restart"/>
            <w:tcBorders>
              <w:top w:val="nil"/>
              <w:left w:val="single" w:color="000000" w:sz="8" w:space="0"/>
              <w:bottom w:val="single" w:color="000000" w:sz="8" w:space="0"/>
              <w:right w:val="single" w:color="000000" w:sz="8" w:space="0"/>
            </w:tcBorders>
            <w:noWrap/>
            <w:vAlign w:val="center"/>
          </w:tcPr>
          <w:p w14:paraId="023D7214">
            <w:pPr>
              <w:spacing w:line="240" w:lineRule="auto"/>
              <w:ind w:firstLine="0" w:firstLineChars="0"/>
              <w:jc w:val="center"/>
              <w:rPr>
                <w:rFonts w:cs="Times New Roman"/>
                <w:sz w:val="21"/>
                <w:szCs w:val="21"/>
              </w:rPr>
            </w:pPr>
            <w:r>
              <w:rPr>
                <w:rFonts w:cs="Times New Roman"/>
                <w:sz w:val="21"/>
                <w:szCs w:val="21"/>
              </w:rPr>
              <w:t>其中</w:t>
            </w:r>
          </w:p>
        </w:tc>
        <w:tc>
          <w:tcPr>
            <w:tcW w:w="272" w:type="pct"/>
            <w:tcBorders>
              <w:top w:val="nil"/>
              <w:left w:val="single" w:color="000000" w:sz="8" w:space="0"/>
              <w:bottom w:val="single" w:color="000000" w:sz="8" w:space="0"/>
              <w:right w:val="single" w:color="000000" w:sz="8" w:space="0"/>
            </w:tcBorders>
            <w:vAlign w:val="center"/>
          </w:tcPr>
          <w:p w14:paraId="0A4E1241">
            <w:pPr>
              <w:spacing w:line="240" w:lineRule="auto"/>
              <w:ind w:firstLine="0" w:firstLineChars="0"/>
              <w:jc w:val="center"/>
              <w:rPr>
                <w:rFonts w:cs="Times New Roman"/>
                <w:sz w:val="21"/>
                <w:szCs w:val="21"/>
              </w:rPr>
            </w:pPr>
            <w:r>
              <w:rPr>
                <w:rFonts w:cs="Times New Roman"/>
                <w:sz w:val="21"/>
                <w:szCs w:val="21"/>
              </w:rPr>
              <w:t>E1</w:t>
            </w:r>
          </w:p>
        </w:tc>
        <w:tc>
          <w:tcPr>
            <w:tcW w:w="1364" w:type="pct"/>
            <w:gridSpan w:val="2"/>
            <w:tcBorders>
              <w:top w:val="nil"/>
              <w:left w:val="single" w:color="000000" w:sz="8" w:space="0"/>
              <w:bottom w:val="single" w:color="000000" w:sz="8" w:space="0"/>
              <w:right w:val="single" w:color="000000" w:sz="8" w:space="0"/>
            </w:tcBorders>
            <w:noWrap/>
            <w:vAlign w:val="center"/>
          </w:tcPr>
          <w:p w14:paraId="701F08CD">
            <w:pPr>
              <w:spacing w:line="240" w:lineRule="auto"/>
              <w:ind w:firstLine="0" w:firstLineChars="0"/>
              <w:jc w:val="center"/>
              <w:rPr>
                <w:rFonts w:cs="Times New Roman"/>
                <w:sz w:val="21"/>
                <w:szCs w:val="21"/>
              </w:rPr>
            </w:pPr>
            <w:r>
              <w:rPr>
                <w:rFonts w:cs="Times New Roman"/>
                <w:sz w:val="21"/>
                <w:szCs w:val="21"/>
              </w:rPr>
              <w:t>水域</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1A1925A">
            <w:pPr>
              <w:spacing w:line="240" w:lineRule="auto"/>
              <w:ind w:firstLine="0" w:firstLineChars="0"/>
              <w:jc w:val="center"/>
              <w:rPr>
                <w:rFonts w:cs="Times New Roman"/>
                <w:sz w:val="21"/>
                <w:szCs w:val="21"/>
              </w:rPr>
            </w:pPr>
            <w:r>
              <w:rPr>
                <w:rFonts w:cs="Times New Roman"/>
                <w:sz w:val="21"/>
                <w:szCs w:val="21"/>
              </w:rPr>
              <w:t>11.79</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5E787B5B">
            <w:pPr>
              <w:spacing w:line="240" w:lineRule="auto"/>
              <w:ind w:firstLine="0" w:firstLineChars="0"/>
              <w:jc w:val="center"/>
              <w:rPr>
                <w:rFonts w:cs="Times New Roman"/>
                <w:sz w:val="21"/>
                <w:szCs w:val="21"/>
              </w:rPr>
            </w:pPr>
            <w:r>
              <w:rPr>
                <w:rFonts w:hint="eastAsia" w:cs="Times New Roman"/>
                <w:sz w:val="21"/>
                <w:szCs w:val="21"/>
              </w:rPr>
              <w:t>11.75</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4F214B38">
            <w:pPr>
              <w:spacing w:line="240" w:lineRule="auto"/>
              <w:ind w:firstLine="0" w:firstLineChars="0"/>
              <w:jc w:val="center"/>
              <w:rPr>
                <w:rFonts w:cs="Times New Roman"/>
                <w:sz w:val="21"/>
                <w:szCs w:val="21"/>
              </w:rPr>
            </w:pPr>
            <w:r>
              <w:rPr>
                <w:rFonts w:hint="eastAsia" w:cs="Times New Roman"/>
                <w:sz w:val="21"/>
                <w:szCs w:val="21"/>
              </w:rPr>
              <w:t>-0.04</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4B4F722B">
            <w:pPr>
              <w:spacing w:line="240" w:lineRule="auto"/>
              <w:ind w:firstLine="0" w:firstLineChars="0"/>
              <w:jc w:val="center"/>
              <w:rPr>
                <w:rFonts w:cs="Times New Roman"/>
                <w:sz w:val="21"/>
                <w:szCs w:val="21"/>
              </w:rPr>
            </w:pPr>
            <w:r>
              <w:rPr>
                <w:rFonts w:hint="eastAsia" w:cs="Times New Roman"/>
                <w:sz w:val="21"/>
                <w:szCs w:val="21"/>
              </w:rPr>
              <w:t>11.75</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41DBB8C2">
            <w:pPr>
              <w:spacing w:line="240" w:lineRule="auto"/>
              <w:ind w:firstLine="0" w:firstLineChars="0"/>
              <w:jc w:val="center"/>
              <w:rPr>
                <w:rFonts w:cs="Times New Roman"/>
                <w:sz w:val="21"/>
                <w:szCs w:val="21"/>
              </w:rPr>
            </w:pPr>
            <w:r>
              <w:rPr>
                <w:rFonts w:hint="eastAsia" w:cs="Times New Roman"/>
                <w:sz w:val="21"/>
                <w:szCs w:val="21"/>
              </w:rPr>
              <w:t>-0.04</w:t>
            </w:r>
          </w:p>
        </w:tc>
      </w:tr>
      <w:tr w14:paraId="10E1E9D2">
        <w:tblPrEx>
          <w:tblCellMar>
            <w:top w:w="0" w:type="dxa"/>
            <w:left w:w="108" w:type="dxa"/>
            <w:bottom w:w="0" w:type="dxa"/>
            <w:right w:w="108" w:type="dxa"/>
          </w:tblCellMar>
        </w:tblPrEx>
        <w:trPr>
          <w:trHeight w:val="285" w:hRule="atLeast"/>
        </w:trPr>
        <w:tc>
          <w:tcPr>
            <w:tcW w:w="218" w:type="pct"/>
            <w:vMerge w:val="continue"/>
            <w:tcBorders>
              <w:top w:val="nil"/>
              <w:left w:val="single" w:color="000000" w:sz="8" w:space="0"/>
              <w:bottom w:val="single" w:color="000000" w:sz="8" w:space="0"/>
              <w:right w:val="single" w:color="000000" w:sz="8" w:space="0"/>
            </w:tcBorders>
            <w:noWrap/>
            <w:vAlign w:val="center"/>
          </w:tcPr>
          <w:p w14:paraId="657257B6">
            <w:pPr>
              <w:spacing w:line="240" w:lineRule="auto"/>
              <w:ind w:firstLine="0" w:firstLineChars="0"/>
              <w:jc w:val="center"/>
              <w:rPr>
                <w:rFonts w:cs="Times New Roman"/>
                <w:sz w:val="21"/>
                <w:szCs w:val="21"/>
              </w:rPr>
            </w:pPr>
          </w:p>
        </w:tc>
        <w:tc>
          <w:tcPr>
            <w:tcW w:w="272" w:type="pct"/>
            <w:tcBorders>
              <w:top w:val="nil"/>
              <w:left w:val="single" w:color="000000" w:sz="8" w:space="0"/>
              <w:bottom w:val="single" w:color="000000" w:sz="8" w:space="0"/>
              <w:right w:val="single" w:color="000000" w:sz="8" w:space="0"/>
            </w:tcBorders>
            <w:vAlign w:val="center"/>
          </w:tcPr>
          <w:p w14:paraId="6E9BBFD3">
            <w:pPr>
              <w:spacing w:line="240" w:lineRule="auto"/>
              <w:ind w:firstLine="0" w:firstLineChars="0"/>
              <w:jc w:val="center"/>
              <w:rPr>
                <w:rFonts w:cs="Times New Roman"/>
                <w:sz w:val="21"/>
                <w:szCs w:val="21"/>
              </w:rPr>
            </w:pPr>
            <w:r>
              <w:rPr>
                <w:rFonts w:cs="Times New Roman"/>
                <w:sz w:val="21"/>
                <w:szCs w:val="21"/>
              </w:rPr>
              <w:t>E2</w:t>
            </w:r>
          </w:p>
        </w:tc>
        <w:tc>
          <w:tcPr>
            <w:tcW w:w="1364" w:type="pct"/>
            <w:gridSpan w:val="2"/>
            <w:tcBorders>
              <w:top w:val="nil"/>
              <w:left w:val="single" w:color="000000" w:sz="8" w:space="0"/>
              <w:bottom w:val="single" w:color="000000" w:sz="8" w:space="0"/>
              <w:right w:val="single" w:color="000000" w:sz="8" w:space="0"/>
            </w:tcBorders>
            <w:noWrap/>
            <w:vAlign w:val="center"/>
          </w:tcPr>
          <w:p w14:paraId="681AF244">
            <w:pPr>
              <w:spacing w:line="240" w:lineRule="auto"/>
              <w:ind w:firstLine="0" w:firstLineChars="0"/>
              <w:jc w:val="center"/>
              <w:rPr>
                <w:rFonts w:cs="Times New Roman"/>
                <w:sz w:val="21"/>
                <w:szCs w:val="21"/>
              </w:rPr>
            </w:pPr>
            <w:r>
              <w:rPr>
                <w:rFonts w:cs="Times New Roman"/>
                <w:sz w:val="21"/>
                <w:szCs w:val="21"/>
              </w:rPr>
              <w:t>农林用地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6CCD1B34">
            <w:pPr>
              <w:spacing w:line="240" w:lineRule="auto"/>
              <w:ind w:firstLine="0" w:firstLineChars="0"/>
              <w:jc w:val="center"/>
              <w:rPr>
                <w:rFonts w:cs="Times New Roman"/>
                <w:sz w:val="21"/>
                <w:szCs w:val="21"/>
              </w:rPr>
            </w:pPr>
            <w:r>
              <w:rPr>
                <w:rFonts w:cs="Times New Roman"/>
                <w:sz w:val="21"/>
                <w:szCs w:val="21"/>
              </w:rPr>
              <w:t>86.886</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13998770">
            <w:pPr>
              <w:spacing w:line="240" w:lineRule="auto"/>
              <w:ind w:firstLine="0" w:firstLineChars="0"/>
              <w:jc w:val="center"/>
              <w:rPr>
                <w:rFonts w:cs="Times New Roman"/>
                <w:sz w:val="21"/>
                <w:szCs w:val="21"/>
              </w:rPr>
            </w:pPr>
            <w:r>
              <w:rPr>
                <w:rFonts w:hint="eastAsia" w:cs="Times New Roman"/>
                <w:sz w:val="21"/>
                <w:szCs w:val="21"/>
              </w:rPr>
              <w:t>87.863</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03ED9CBF">
            <w:pPr>
              <w:spacing w:line="240" w:lineRule="auto"/>
              <w:ind w:firstLine="0" w:firstLineChars="0"/>
              <w:jc w:val="center"/>
              <w:rPr>
                <w:rFonts w:cs="Times New Roman"/>
                <w:sz w:val="21"/>
                <w:szCs w:val="21"/>
              </w:rPr>
            </w:pPr>
            <w:r>
              <w:rPr>
                <w:rFonts w:hint="eastAsia" w:cs="Times New Roman"/>
                <w:sz w:val="21"/>
                <w:szCs w:val="21"/>
              </w:rPr>
              <w:t>0.977</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4DA302AF">
            <w:pPr>
              <w:spacing w:line="240" w:lineRule="auto"/>
              <w:ind w:firstLine="0" w:firstLineChars="0"/>
              <w:jc w:val="center"/>
              <w:rPr>
                <w:rFonts w:cs="Times New Roman"/>
                <w:sz w:val="21"/>
                <w:szCs w:val="21"/>
              </w:rPr>
            </w:pPr>
            <w:r>
              <w:rPr>
                <w:rFonts w:hint="eastAsia" w:cs="Times New Roman"/>
                <w:sz w:val="21"/>
                <w:szCs w:val="21"/>
              </w:rPr>
              <w:t>88.276</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01AACF5E">
            <w:pPr>
              <w:spacing w:line="240" w:lineRule="auto"/>
              <w:ind w:firstLine="0" w:firstLineChars="0"/>
              <w:jc w:val="center"/>
              <w:rPr>
                <w:rFonts w:cs="Times New Roman"/>
                <w:sz w:val="21"/>
                <w:szCs w:val="21"/>
              </w:rPr>
            </w:pPr>
            <w:r>
              <w:rPr>
                <w:rFonts w:hint="eastAsia" w:cs="Times New Roman"/>
                <w:sz w:val="21"/>
                <w:szCs w:val="21"/>
              </w:rPr>
              <w:t>1.39</w:t>
            </w:r>
          </w:p>
        </w:tc>
      </w:tr>
      <w:tr w14:paraId="5CFD9A5F">
        <w:tblPrEx>
          <w:tblCellMar>
            <w:top w:w="0" w:type="dxa"/>
            <w:left w:w="108" w:type="dxa"/>
            <w:bottom w:w="0" w:type="dxa"/>
            <w:right w:w="108" w:type="dxa"/>
          </w:tblCellMar>
        </w:tblPrEx>
        <w:trPr>
          <w:trHeight w:val="285" w:hRule="atLeast"/>
        </w:trPr>
        <w:tc>
          <w:tcPr>
            <w:tcW w:w="218" w:type="pct"/>
            <w:vMerge w:val="continue"/>
            <w:tcBorders>
              <w:top w:val="nil"/>
              <w:left w:val="single" w:color="000000" w:sz="8" w:space="0"/>
              <w:bottom w:val="single" w:color="000000" w:sz="8" w:space="0"/>
              <w:right w:val="single" w:color="000000" w:sz="8" w:space="0"/>
            </w:tcBorders>
            <w:noWrap/>
            <w:vAlign w:val="center"/>
          </w:tcPr>
          <w:p w14:paraId="45D3D843">
            <w:pPr>
              <w:spacing w:line="240" w:lineRule="auto"/>
              <w:ind w:firstLine="0" w:firstLineChars="0"/>
              <w:jc w:val="center"/>
              <w:rPr>
                <w:rFonts w:cs="Times New Roman"/>
                <w:sz w:val="21"/>
                <w:szCs w:val="21"/>
              </w:rPr>
            </w:pPr>
          </w:p>
        </w:tc>
        <w:tc>
          <w:tcPr>
            <w:tcW w:w="272" w:type="pct"/>
            <w:vMerge w:val="restart"/>
            <w:tcBorders>
              <w:top w:val="nil"/>
              <w:left w:val="single" w:color="000000" w:sz="8" w:space="0"/>
              <w:bottom w:val="single" w:color="000000" w:sz="8" w:space="0"/>
              <w:right w:val="single" w:color="000000" w:sz="8" w:space="0"/>
            </w:tcBorders>
            <w:vAlign w:val="center"/>
          </w:tcPr>
          <w:p w14:paraId="6B1C4AF1">
            <w:pPr>
              <w:spacing w:line="240" w:lineRule="auto"/>
              <w:ind w:firstLine="0" w:firstLineChars="0"/>
              <w:jc w:val="center"/>
              <w:rPr>
                <w:rFonts w:cs="Times New Roman"/>
                <w:sz w:val="21"/>
                <w:szCs w:val="21"/>
              </w:rPr>
            </w:pPr>
            <w:r>
              <w:rPr>
                <w:rFonts w:cs="Times New Roman"/>
                <w:sz w:val="21"/>
                <w:szCs w:val="21"/>
              </w:rPr>
              <w:t>其中</w:t>
            </w:r>
          </w:p>
        </w:tc>
        <w:tc>
          <w:tcPr>
            <w:tcW w:w="616" w:type="pct"/>
            <w:tcBorders>
              <w:top w:val="nil"/>
              <w:left w:val="single" w:color="000000" w:sz="8" w:space="0"/>
              <w:bottom w:val="single" w:color="000000" w:sz="8" w:space="0"/>
              <w:right w:val="single" w:color="000000" w:sz="8" w:space="0"/>
            </w:tcBorders>
            <w:noWrap/>
            <w:vAlign w:val="center"/>
          </w:tcPr>
          <w:p w14:paraId="37740021">
            <w:pPr>
              <w:spacing w:line="240" w:lineRule="auto"/>
              <w:ind w:firstLine="0" w:firstLineChars="0"/>
              <w:jc w:val="center"/>
              <w:rPr>
                <w:rFonts w:cs="Times New Roman"/>
                <w:sz w:val="21"/>
                <w:szCs w:val="21"/>
              </w:rPr>
            </w:pPr>
            <w:r>
              <w:rPr>
                <w:rFonts w:cs="Times New Roman"/>
                <w:sz w:val="21"/>
                <w:szCs w:val="21"/>
              </w:rPr>
              <w:t>E2a</w:t>
            </w:r>
          </w:p>
        </w:tc>
        <w:tc>
          <w:tcPr>
            <w:tcW w:w="748" w:type="pct"/>
            <w:tcBorders>
              <w:top w:val="nil"/>
              <w:left w:val="single" w:color="000000" w:sz="8" w:space="0"/>
              <w:bottom w:val="single" w:color="000000" w:sz="8" w:space="0"/>
              <w:right w:val="nil"/>
            </w:tcBorders>
            <w:vAlign w:val="center"/>
          </w:tcPr>
          <w:p w14:paraId="7835C023">
            <w:pPr>
              <w:spacing w:line="240" w:lineRule="auto"/>
              <w:ind w:firstLine="0" w:firstLineChars="0"/>
              <w:jc w:val="center"/>
              <w:rPr>
                <w:rFonts w:cs="Times New Roman"/>
                <w:sz w:val="21"/>
                <w:szCs w:val="21"/>
              </w:rPr>
            </w:pPr>
            <w:r>
              <w:rPr>
                <w:rFonts w:cs="Times New Roman"/>
                <w:sz w:val="21"/>
                <w:szCs w:val="21"/>
              </w:rPr>
              <w:t>耕地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4118E9DD">
            <w:pPr>
              <w:spacing w:line="240" w:lineRule="auto"/>
              <w:ind w:firstLine="0" w:firstLineChars="0"/>
              <w:jc w:val="center"/>
              <w:rPr>
                <w:rFonts w:cs="Times New Roman"/>
                <w:sz w:val="21"/>
                <w:szCs w:val="21"/>
              </w:rPr>
            </w:pPr>
            <w:r>
              <w:rPr>
                <w:rFonts w:cs="Times New Roman"/>
                <w:sz w:val="21"/>
                <w:szCs w:val="21"/>
              </w:rPr>
              <w:t>11.601</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73D09388">
            <w:pPr>
              <w:spacing w:line="240" w:lineRule="auto"/>
              <w:ind w:firstLine="0" w:firstLineChars="0"/>
              <w:jc w:val="center"/>
              <w:rPr>
                <w:rFonts w:cs="Times New Roman"/>
                <w:sz w:val="21"/>
                <w:szCs w:val="21"/>
              </w:rPr>
            </w:pPr>
            <w:r>
              <w:rPr>
                <w:rFonts w:hint="eastAsia" w:cs="Times New Roman"/>
                <w:sz w:val="21"/>
                <w:szCs w:val="21"/>
              </w:rPr>
              <w:t>12.105</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23B8B6DA">
            <w:pPr>
              <w:spacing w:line="240" w:lineRule="auto"/>
              <w:ind w:firstLine="0" w:firstLineChars="0"/>
              <w:jc w:val="center"/>
              <w:rPr>
                <w:rFonts w:cs="Times New Roman"/>
                <w:sz w:val="21"/>
                <w:szCs w:val="21"/>
              </w:rPr>
            </w:pPr>
            <w:r>
              <w:rPr>
                <w:rFonts w:hint="eastAsia" w:cs="Times New Roman"/>
                <w:sz w:val="21"/>
                <w:szCs w:val="21"/>
              </w:rPr>
              <w:t>0.504</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004B9926">
            <w:pPr>
              <w:spacing w:line="240" w:lineRule="auto"/>
              <w:ind w:firstLine="0" w:firstLineChars="0"/>
              <w:jc w:val="center"/>
              <w:rPr>
                <w:rFonts w:cs="Times New Roman"/>
                <w:sz w:val="21"/>
                <w:szCs w:val="21"/>
              </w:rPr>
            </w:pPr>
            <w:r>
              <w:rPr>
                <w:rFonts w:hint="eastAsia" w:cs="Times New Roman"/>
                <w:sz w:val="21"/>
                <w:szCs w:val="21"/>
              </w:rPr>
              <w:t>12.297</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6F3EF303">
            <w:pPr>
              <w:spacing w:line="240" w:lineRule="auto"/>
              <w:ind w:firstLine="0" w:firstLineChars="0"/>
              <w:jc w:val="center"/>
              <w:rPr>
                <w:rFonts w:cs="Times New Roman"/>
                <w:sz w:val="21"/>
                <w:szCs w:val="21"/>
              </w:rPr>
            </w:pPr>
            <w:r>
              <w:rPr>
                <w:rFonts w:hint="eastAsia" w:cs="Times New Roman"/>
                <w:sz w:val="21"/>
                <w:szCs w:val="21"/>
              </w:rPr>
              <w:t>0.696</w:t>
            </w:r>
          </w:p>
        </w:tc>
      </w:tr>
      <w:tr w14:paraId="5F54EFBC">
        <w:tblPrEx>
          <w:tblCellMar>
            <w:top w:w="0" w:type="dxa"/>
            <w:left w:w="108" w:type="dxa"/>
            <w:bottom w:w="0" w:type="dxa"/>
            <w:right w:w="108" w:type="dxa"/>
          </w:tblCellMar>
        </w:tblPrEx>
        <w:trPr>
          <w:trHeight w:val="285" w:hRule="atLeast"/>
        </w:trPr>
        <w:tc>
          <w:tcPr>
            <w:tcW w:w="218" w:type="pct"/>
            <w:vMerge w:val="continue"/>
            <w:tcBorders>
              <w:top w:val="nil"/>
              <w:left w:val="single" w:color="000000" w:sz="8" w:space="0"/>
              <w:bottom w:val="single" w:color="000000" w:sz="8" w:space="0"/>
              <w:right w:val="single" w:color="000000" w:sz="8" w:space="0"/>
            </w:tcBorders>
            <w:noWrap/>
            <w:vAlign w:val="center"/>
          </w:tcPr>
          <w:p w14:paraId="0818267A">
            <w:pPr>
              <w:spacing w:line="240" w:lineRule="auto"/>
              <w:ind w:firstLine="0" w:firstLineChars="0"/>
              <w:jc w:val="center"/>
              <w:rPr>
                <w:rFonts w:cs="Times New Roman"/>
                <w:sz w:val="21"/>
                <w:szCs w:val="21"/>
              </w:rPr>
            </w:pPr>
          </w:p>
        </w:tc>
        <w:tc>
          <w:tcPr>
            <w:tcW w:w="272" w:type="pct"/>
            <w:vMerge w:val="continue"/>
            <w:tcBorders>
              <w:top w:val="nil"/>
              <w:left w:val="single" w:color="000000" w:sz="8" w:space="0"/>
              <w:bottom w:val="single" w:color="000000" w:sz="8" w:space="0"/>
              <w:right w:val="single" w:color="000000" w:sz="8" w:space="0"/>
            </w:tcBorders>
            <w:vAlign w:val="center"/>
          </w:tcPr>
          <w:p w14:paraId="2188C261">
            <w:pPr>
              <w:spacing w:line="240" w:lineRule="auto"/>
              <w:ind w:firstLine="0" w:firstLineChars="0"/>
              <w:jc w:val="center"/>
              <w:rPr>
                <w:rFonts w:cs="Times New Roman"/>
                <w:sz w:val="21"/>
                <w:szCs w:val="21"/>
              </w:rPr>
            </w:pPr>
          </w:p>
        </w:tc>
        <w:tc>
          <w:tcPr>
            <w:tcW w:w="616" w:type="pct"/>
            <w:tcBorders>
              <w:top w:val="nil"/>
              <w:left w:val="single" w:color="000000" w:sz="8" w:space="0"/>
              <w:bottom w:val="single" w:color="000000" w:sz="8" w:space="0"/>
              <w:right w:val="single" w:color="000000" w:sz="8" w:space="0"/>
            </w:tcBorders>
            <w:noWrap/>
            <w:vAlign w:val="center"/>
          </w:tcPr>
          <w:p w14:paraId="1695D596">
            <w:pPr>
              <w:spacing w:line="240" w:lineRule="auto"/>
              <w:ind w:firstLine="0" w:firstLineChars="0"/>
              <w:jc w:val="center"/>
              <w:rPr>
                <w:rFonts w:cs="Times New Roman"/>
                <w:sz w:val="21"/>
                <w:szCs w:val="21"/>
              </w:rPr>
            </w:pPr>
            <w:r>
              <w:rPr>
                <w:rFonts w:cs="Times New Roman"/>
                <w:sz w:val="21"/>
                <w:szCs w:val="21"/>
              </w:rPr>
              <w:t>E2b</w:t>
            </w:r>
          </w:p>
        </w:tc>
        <w:tc>
          <w:tcPr>
            <w:tcW w:w="748" w:type="pct"/>
            <w:tcBorders>
              <w:top w:val="nil"/>
              <w:left w:val="single" w:color="000000" w:sz="8" w:space="0"/>
              <w:bottom w:val="single" w:color="000000" w:sz="8" w:space="0"/>
              <w:right w:val="nil"/>
            </w:tcBorders>
            <w:vAlign w:val="center"/>
          </w:tcPr>
          <w:p w14:paraId="0D2FA6E0">
            <w:pPr>
              <w:spacing w:line="240" w:lineRule="auto"/>
              <w:ind w:firstLine="0" w:firstLineChars="0"/>
              <w:jc w:val="center"/>
              <w:rPr>
                <w:rFonts w:cs="Times New Roman"/>
                <w:sz w:val="21"/>
                <w:szCs w:val="21"/>
              </w:rPr>
            </w:pPr>
            <w:r>
              <w:rPr>
                <w:rFonts w:cs="Times New Roman"/>
                <w:sz w:val="21"/>
                <w:szCs w:val="21"/>
              </w:rPr>
              <w:t>园地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78218882">
            <w:pPr>
              <w:spacing w:line="240" w:lineRule="auto"/>
              <w:ind w:firstLine="0" w:firstLineChars="0"/>
              <w:jc w:val="center"/>
              <w:rPr>
                <w:rFonts w:cs="Times New Roman"/>
                <w:sz w:val="21"/>
                <w:szCs w:val="21"/>
              </w:rPr>
            </w:pPr>
            <w:r>
              <w:rPr>
                <w:rFonts w:cs="Times New Roman"/>
                <w:sz w:val="21"/>
                <w:szCs w:val="21"/>
              </w:rPr>
              <w:t>9.289</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397ED8B7">
            <w:pPr>
              <w:spacing w:line="240" w:lineRule="auto"/>
              <w:ind w:firstLine="0" w:firstLineChars="0"/>
              <w:jc w:val="center"/>
              <w:rPr>
                <w:rFonts w:cs="Times New Roman"/>
                <w:sz w:val="21"/>
                <w:szCs w:val="21"/>
              </w:rPr>
            </w:pPr>
            <w:r>
              <w:rPr>
                <w:rFonts w:hint="eastAsia" w:cs="Times New Roman"/>
                <w:sz w:val="21"/>
                <w:szCs w:val="21"/>
              </w:rPr>
              <w:t>9.274</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524CB720">
            <w:pPr>
              <w:spacing w:line="240" w:lineRule="auto"/>
              <w:ind w:firstLine="0" w:firstLineChars="0"/>
              <w:jc w:val="center"/>
              <w:rPr>
                <w:rFonts w:cs="Times New Roman"/>
                <w:sz w:val="21"/>
                <w:szCs w:val="21"/>
              </w:rPr>
            </w:pPr>
            <w:r>
              <w:rPr>
                <w:rFonts w:hint="eastAsia" w:cs="Times New Roman"/>
                <w:sz w:val="21"/>
                <w:szCs w:val="21"/>
              </w:rPr>
              <w:t>-0.015</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641A2DE0">
            <w:pPr>
              <w:spacing w:line="240" w:lineRule="auto"/>
              <w:ind w:firstLine="0" w:firstLineChars="0"/>
              <w:jc w:val="center"/>
              <w:rPr>
                <w:rFonts w:cs="Times New Roman"/>
                <w:sz w:val="21"/>
                <w:szCs w:val="21"/>
              </w:rPr>
            </w:pPr>
            <w:r>
              <w:rPr>
                <w:rFonts w:hint="eastAsia" w:cs="Times New Roman"/>
                <w:sz w:val="21"/>
                <w:szCs w:val="21"/>
              </w:rPr>
              <w:t>9.274</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5B5ECFC0">
            <w:pPr>
              <w:spacing w:line="240" w:lineRule="auto"/>
              <w:ind w:firstLine="0" w:firstLineChars="0"/>
              <w:jc w:val="center"/>
              <w:rPr>
                <w:rFonts w:cs="Times New Roman"/>
                <w:sz w:val="21"/>
                <w:szCs w:val="21"/>
              </w:rPr>
            </w:pPr>
            <w:r>
              <w:rPr>
                <w:rFonts w:hint="eastAsia" w:cs="Times New Roman"/>
                <w:sz w:val="21"/>
                <w:szCs w:val="21"/>
              </w:rPr>
              <w:t>-0.015</w:t>
            </w:r>
          </w:p>
        </w:tc>
      </w:tr>
      <w:tr w14:paraId="0115FF51">
        <w:tblPrEx>
          <w:tblCellMar>
            <w:top w:w="0" w:type="dxa"/>
            <w:left w:w="108" w:type="dxa"/>
            <w:bottom w:w="0" w:type="dxa"/>
            <w:right w:w="108" w:type="dxa"/>
          </w:tblCellMar>
        </w:tblPrEx>
        <w:trPr>
          <w:trHeight w:val="285" w:hRule="atLeast"/>
        </w:trPr>
        <w:tc>
          <w:tcPr>
            <w:tcW w:w="218" w:type="pct"/>
            <w:vMerge w:val="continue"/>
            <w:tcBorders>
              <w:top w:val="nil"/>
              <w:left w:val="single" w:color="000000" w:sz="8" w:space="0"/>
              <w:bottom w:val="single" w:color="000000" w:sz="8" w:space="0"/>
              <w:right w:val="single" w:color="000000" w:sz="8" w:space="0"/>
            </w:tcBorders>
            <w:noWrap/>
            <w:vAlign w:val="center"/>
          </w:tcPr>
          <w:p w14:paraId="587DEA38">
            <w:pPr>
              <w:spacing w:line="240" w:lineRule="auto"/>
              <w:ind w:firstLine="0" w:firstLineChars="0"/>
              <w:jc w:val="center"/>
              <w:rPr>
                <w:rFonts w:cs="Times New Roman"/>
                <w:sz w:val="21"/>
                <w:szCs w:val="21"/>
              </w:rPr>
            </w:pPr>
          </w:p>
        </w:tc>
        <w:tc>
          <w:tcPr>
            <w:tcW w:w="272" w:type="pct"/>
            <w:vMerge w:val="continue"/>
            <w:tcBorders>
              <w:top w:val="nil"/>
              <w:left w:val="single" w:color="000000" w:sz="8" w:space="0"/>
              <w:bottom w:val="single" w:color="000000" w:sz="8" w:space="0"/>
              <w:right w:val="single" w:color="000000" w:sz="8" w:space="0"/>
            </w:tcBorders>
            <w:vAlign w:val="center"/>
          </w:tcPr>
          <w:p w14:paraId="718F47E6">
            <w:pPr>
              <w:spacing w:line="240" w:lineRule="auto"/>
              <w:ind w:firstLine="0" w:firstLineChars="0"/>
              <w:jc w:val="center"/>
              <w:rPr>
                <w:rFonts w:cs="Times New Roman"/>
                <w:sz w:val="21"/>
                <w:szCs w:val="21"/>
              </w:rPr>
            </w:pPr>
          </w:p>
        </w:tc>
        <w:tc>
          <w:tcPr>
            <w:tcW w:w="616" w:type="pct"/>
            <w:tcBorders>
              <w:top w:val="nil"/>
              <w:left w:val="single" w:color="000000" w:sz="8" w:space="0"/>
              <w:bottom w:val="single" w:color="000000" w:sz="8" w:space="0"/>
              <w:right w:val="single" w:color="000000" w:sz="8" w:space="0"/>
            </w:tcBorders>
            <w:noWrap/>
            <w:vAlign w:val="center"/>
          </w:tcPr>
          <w:p w14:paraId="20C62F6D">
            <w:pPr>
              <w:spacing w:line="240" w:lineRule="auto"/>
              <w:ind w:firstLine="0" w:firstLineChars="0"/>
              <w:jc w:val="center"/>
              <w:rPr>
                <w:rFonts w:cs="Times New Roman"/>
                <w:sz w:val="21"/>
                <w:szCs w:val="21"/>
              </w:rPr>
            </w:pPr>
            <w:r>
              <w:rPr>
                <w:rFonts w:cs="Times New Roman"/>
                <w:sz w:val="21"/>
                <w:szCs w:val="21"/>
              </w:rPr>
              <w:t>E2c</w:t>
            </w:r>
          </w:p>
        </w:tc>
        <w:tc>
          <w:tcPr>
            <w:tcW w:w="748" w:type="pct"/>
            <w:tcBorders>
              <w:top w:val="nil"/>
              <w:left w:val="single" w:color="000000" w:sz="8" w:space="0"/>
              <w:bottom w:val="single" w:color="000000" w:sz="8" w:space="0"/>
              <w:right w:val="nil"/>
            </w:tcBorders>
            <w:vAlign w:val="center"/>
          </w:tcPr>
          <w:p w14:paraId="6E163F96">
            <w:pPr>
              <w:spacing w:line="240" w:lineRule="auto"/>
              <w:ind w:firstLine="0" w:firstLineChars="0"/>
              <w:jc w:val="center"/>
              <w:rPr>
                <w:rFonts w:cs="Times New Roman"/>
                <w:sz w:val="21"/>
                <w:szCs w:val="21"/>
              </w:rPr>
            </w:pPr>
            <w:r>
              <w:rPr>
                <w:rFonts w:cs="Times New Roman"/>
                <w:sz w:val="21"/>
                <w:szCs w:val="21"/>
              </w:rPr>
              <w:t>林地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66925946">
            <w:pPr>
              <w:spacing w:line="240" w:lineRule="auto"/>
              <w:ind w:firstLine="0" w:firstLineChars="0"/>
              <w:jc w:val="center"/>
              <w:rPr>
                <w:rFonts w:cs="Times New Roman"/>
                <w:sz w:val="21"/>
                <w:szCs w:val="21"/>
              </w:rPr>
            </w:pPr>
            <w:r>
              <w:rPr>
                <w:rFonts w:cs="Times New Roman"/>
                <w:sz w:val="21"/>
                <w:szCs w:val="21"/>
              </w:rPr>
              <w:t>61.25</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1777AEF8">
            <w:pPr>
              <w:spacing w:line="240" w:lineRule="auto"/>
              <w:ind w:firstLine="0" w:firstLineChars="0"/>
              <w:jc w:val="center"/>
              <w:rPr>
                <w:rFonts w:cs="Times New Roman"/>
                <w:sz w:val="21"/>
                <w:szCs w:val="21"/>
              </w:rPr>
            </w:pPr>
            <w:r>
              <w:rPr>
                <w:rFonts w:hint="eastAsia" w:cs="Times New Roman"/>
                <w:sz w:val="21"/>
                <w:szCs w:val="21"/>
              </w:rPr>
              <w:t>61.732</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65802015">
            <w:pPr>
              <w:spacing w:line="240" w:lineRule="auto"/>
              <w:ind w:firstLine="0" w:firstLineChars="0"/>
              <w:jc w:val="center"/>
              <w:rPr>
                <w:rFonts w:cs="Times New Roman"/>
                <w:sz w:val="21"/>
                <w:szCs w:val="21"/>
              </w:rPr>
            </w:pPr>
            <w:r>
              <w:rPr>
                <w:rFonts w:hint="eastAsia" w:cs="Times New Roman"/>
                <w:sz w:val="21"/>
                <w:szCs w:val="21"/>
              </w:rPr>
              <w:t>0.482</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7F5BA41C">
            <w:pPr>
              <w:spacing w:line="240" w:lineRule="auto"/>
              <w:ind w:firstLine="0" w:firstLineChars="0"/>
              <w:jc w:val="center"/>
              <w:rPr>
                <w:rFonts w:cs="Times New Roman"/>
                <w:sz w:val="21"/>
                <w:szCs w:val="21"/>
              </w:rPr>
            </w:pPr>
            <w:r>
              <w:rPr>
                <w:rFonts w:hint="eastAsia" w:cs="Times New Roman"/>
                <w:sz w:val="21"/>
                <w:szCs w:val="21"/>
              </w:rPr>
              <w:t>61.881</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79B3C83F">
            <w:pPr>
              <w:spacing w:line="240" w:lineRule="auto"/>
              <w:ind w:firstLine="0" w:firstLineChars="0"/>
              <w:jc w:val="center"/>
              <w:rPr>
                <w:rFonts w:cs="Times New Roman"/>
                <w:sz w:val="21"/>
                <w:szCs w:val="21"/>
              </w:rPr>
            </w:pPr>
            <w:r>
              <w:rPr>
                <w:rFonts w:hint="eastAsia" w:cs="Times New Roman"/>
                <w:sz w:val="21"/>
                <w:szCs w:val="21"/>
              </w:rPr>
              <w:t>0.631</w:t>
            </w:r>
          </w:p>
        </w:tc>
      </w:tr>
      <w:tr w14:paraId="6890762D">
        <w:tblPrEx>
          <w:tblCellMar>
            <w:top w:w="0" w:type="dxa"/>
            <w:left w:w="108" w:type="dxa"/>
            <w:bottom w:w="0" w:type="dxa"/>
            <w:right w:w="108" w:type="dxa"/>
          </w:tblCellMar>
        </w:tblPrEx>
        <w:trPr>
          <w:trHeight w:val="285" w:hRule="atLeast"/>
        </w:trPr>
        <w:tc>
          <w:tcPr>
            <w:tcW w:w="218" w:type="pct"/>
            <w:vMerge w:val="continue"/>
            <w:tcBorders>
              <w:top w:val="nil"/>
              <w:left w:val="single" w:color="000000" w:sz="8" w:space="0"/>
              <w:bottom w:val="single" w:color="000000" w:sz="8" w:space="0"/>
              <w:right w:val="single" w:color="000000" w:sz="8" w:space="0"/>
            </w:tcBorders>
            <w:noWrap/>
            <w:vAlign w:val="center"/>
          </w:tcPr>
          <w:p w14:paraId="43F08597">
            <w:pPr>
              <w:spacing w:line="240" w:lineRule="auto"/>
              <w:ind w:firstLine="0" w:firstLineChars="0"/>
              <w:jc w:val="center"/>
              <w:rPr>
                <w:rFonts w:cs="Times New Roman"/>
                <w:sz w:val="21"/>
                <w:szCs w:val="21"/>
              </w:rPr>
            </w:pPr>
          </w:p>
        </w:tc>
        <w:tc>
          <w:tcPr>
            <w:tcW w:w="272" w:type="pct"/>
            <w:vMerge w:val="continue"/>
            <w:tcBorders>
              <w:top w:val="nil"/>
              <w:left w:val="single" w:color="000000" w:sz="8" w:space="0"/>
              <w:bottom w:val="single" w:color="000000" w:sz="8" w:space="0"/>
              <w:right w:val="single" w:color="000000" w:sz="8" w:space="0"/>
            </w:tcBorders>
            <w:vAlign w:val="center"/>
          </w:tcPr>
          <w:p w14:paraId="7D41D06A">
            <w:pPr>
              <w:spacing w:line="240" w:lineRule="auto"/>
              <w:ind w:firstLine="0" w:firstLineChars="0"/>
              <w:jc w:val="center"/>
              <w:rPr>
                <w:rFonts w:cs="Times New Roman"/>
                <w:sz w:val="21"/>
                <w:szCs w:val="21"/>
              </w:rPr>
            </w:pPr>
          </w:p>
        </w:tc>
        <w:tc>
          <w:tcPr>
            <w:tcW w:w="616" w:type="pct"/>
            <w:tcBorders>
              <w:top w:val="nil"/>
              <w:left w:val="single" w:color="000000" w:sz="8" w:space="0"/>
              <w:bottom w:val="single" w:color="000000" w:sz="8" w:space="0"/>
              <w:right w:val="single" w:color="000000" w:sz="8" w:space="0"/>
            </w:tcBorders>
            <w:noWrap/>
            <w:vAlign w:val="center"/>
          </w:tcPr>
          <w:p w14:paraId="60E560A7">
            <w:pPr>
              <w:spacing w:line="240" w:lineRule="auto"/>
              <w:ind w:firstLine="0" w:firstLineChars="0"/>
              <w:jc w:val="center"/>
              <w:rPr>
                <w:rFonts w:cs="Times New Roman"/>
                <w:sz w:val="21"/>
                <w:szCs w:val="21"/>
              </w:rPr>
            </w:pPr>
            <w:r>
              <w:rPr>
                <w:rFonts w:cs="Times New Roman"/>
                <w:sz w:val="21"/>
                <w:szCs w:val="21"/>
              </w:rPr>
              <w:t>E2d</w:t>
            </w:r>
          </w:p>
        </w:tc>
        <w:tc>
          <w:tcPr>
            <w:tcW w:w="748" w:type="pct"/>
            <w:tcBorders>
              <w:top w:val="nil"/>
              <w:left w:val="single" w:color="000000" w:sz="8" w:space="0"/>
              <w:bottom w:val="single" w:color="000000" w:sz="8" w:space="0"/>
              <w:right w:val="nil"/>
            </w:tcBorders>
            <w:vAlign w:val="center"/>
          </w:tcPr>
          <w:p w14:paraId="5AB9C11B">
            <w:pPr>
              <w:spacing w:line="240" w:lineRule="auto"/>
              <w:ind w:firstLine="0" w:firstLineChars="0"/>
              <w:jc w:val="center"/>
              <w:rPr>
                <w:rFonts w:cs="Times New Roman"/>
                <w:sz w:val="21"/>
                <w:szCs w:val="21"/>
              </w:rPr>
            </w:pPr>
            <w:r>
              <w:rPr>
                <w:rFonts w:cs="Times New Roman"/>
                <w:sz w:val="21"/>
                <w:szCs w:val="21"/>
              </w:rPr>
              <w:t>草地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23320BDE">
            <w:pPr>
              <w:spacing w:line="240" w:lineRule="auto"/>
              <w:ind w:firstLine="0" w:firstLineChars="0"/>
              <w:jc w:val="center"/>
              <w:rPr>
                <w:rFonts w:cs="Times New Roman"/>
                <w:sz w:val="21"/>
                <w:szCs w:val="21"/>
              </w:rPr>
            </w:pPr>
            <w:r>
              <w:rPr>
                <w:rFonts w:cs="Times New Roman"/>
                <w:sz w:val="21"/>
                <w:szCs w:val="21"/>
              </w:rPr>
              <w:t>1.669</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51FDFC12">
            <w:pPr>
              <w:spacing w:line="240" w:lineRule="auto"/>
              <w:ind w:firstLine="0" w:firstLineChars="0"/>
              <w:jc w:val="center"/>
              <w:rPr>
                <w:rFonts w:cs="Times New Roman"/>
                <w:sz w:val="21"/>
                <w:szCs w:val="21"/>
              </w:rPr>
            </w:pPr>
            <w:r>
              <w:rPr>
                <w:rFonts w:hint="eastAsia" w:cs="Times New Roman"/>
                <w:sz w:val="21"/>
                <w:szCs w:val="21"/>
              </w:rPr>
              <w:t>1.615</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17BC0FC4">
            <w:pPr>
              <w:spacing w:line="240" w:lineRule="auto"/>
              <w:ind w:firstLine="0" w:firstLineChars="0"/>
              <w:jc w:val="center"/>
              <w:rPr>
                <w:rFonts w:cs="Times New Roman"/>
                <w:sz w:val="21"/>
                <w:szCs w:val="21"/>
              </w:rPr>
            </w:pPr>
            <w:r>
              <w:rPr>
                <w:rFonts w:hint="eastAsia" w:cs="Times New Roman"/>
                <w:sz w:val="21"/>
                <w:szCs w:val="21"/>
              </w:rPr>
              <w:t>-0.054</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24B581C9">
            <w:pPr>
              <w:spacing w:line="240" w:lineRule="auto"/>
              <w:ind w:firstLine="0" w:firstLineChars="0"/>
              <w:jc w:val="center"/>
              <w:rPr>
                <w:rFonts w:cs="Times New Roman"/>
                <w:sz w:val="21"/>
                <w:szCs w:val="21"/>
              </w:rPr>
            </w:pPr>
            <w:r>
              <w:rPr>
                <w:rFonts w:hint="eastAsia" w:cs="Times New Roman"/>
                <w:sz w:val="21"/>
                <w:szCs w:val="21"/>
              </w:rPr>
              <w:t>1.615</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6240BC9B">
            <w:pPr>
              <w:spacing w:line="240" w:lineRule="auto"/>
              <w:ind w:firstLine="0" w:firstLineChars="0"/>
              <w:jc w:val="center"/>
              <w:rPr>
                <w:rFonts w:cs="Times New Roman"/>
                <w:sz w:val="21"/>
                <w:szCs w:val="21"/>
              </w:rPr>
            </w:pPr>
            <w:r>
              <w:rPr>
                <w:rFonts w:hint="eastAsia" w:cs="Times New Roman"/>
                <w:sz w:val="21"/>
                <w:szCs w:val="21"/>
              </w:rPr>
              <w:t>-0.054</w:t>
            </w:r>
          </w:p>
        </w:tc>
      </w:tr>
      <w:tr w14:paraId="590D4722">
        <w:tblPrEx>
          <w:tblCellMar>
            <w:top w:w="0" w:type="dxa"/>
            <w:left w:w="108" w:type="dxa"/>
            <w:bottom w:w="0" w:type="dxa"/>
            <w:right w:w="108" w:type="dxa"/>
          </w:tblCellMar>
        </w:tblPrEx>
        <w:trPr>
          <w:trHeight w:val="285" w:hRule="atLeast"/>
        </w:trPr>
        <w:tc>
          <w:tcPr>
            <w:tcW w:w="218" w:type="pct"/>
            <w:vMerge w:val="continue"/>
            <w:tcBorders>
              <w:top w:val="nil"/>
              <w:left w:val="single" w:color="000000" w:sz="8" w:space="0"/>
              <w:bottom w:val="single" w:color="000000" w:sz="8" w:space="0"/>
              <w:right w:val="single" w:color="000000" w:sz="8" w:space="0"/>
            </w:tcBorders>
            <w:noWrap/>
            <w:vAlign w:val="center"/>
          </w:tcPr>
          <w:p w14:paraId="09127D75">
            <w:pPr>
              <w:spacing w:line="240" w:lineRule="auto"/>
              <w:ind w:firstLine="0" w:firstLineChars="0"/>
              <w:jc w:val="center"/>
              <w:rPr>
                <w:rFonts w:cs="Times New Roman"/>
                <w:sz w:val="21"/>
                <w:szCs w:val="21"/>
              </w:rPr>
            </w:pPr>
          </w:p>
        </w:tc>
        <w:tc>
          <w:tcPr>
            <w:tcW w:w="272" w:type="pct"/>
            <w:vMerge w:val="continue"/>
            <w:tcBorders>
              <w:top w:val="nil"/>
              <w:left w:val="single" w:color="000000" w:sz="8" w:space="0"/>
              <w:bottom w:val="single" w:color="000000" w:sz="8" w:space="0"/>
              <w:right w:val="single" w:color="000000" w:sz="8" w:space="0"/>
            </w:tcBorders>
            <w:vAlign w:val="center"/>
          </w:tcPr>
          <w:p w14:paraId="2563B491">
            <w:pPr>
              <w:spacing w:line="240" w:lineRule="auto"/>
              <w:ind w:firstLine="0" w:firstLineChars="0"/>
              <w:jc w:val="center"/>
              <w:rPr>
                <w:rFonts w:cs="Times New Roman"/>
                <w:sz w:val="21"/>
                <w:szCs w:val="21"/>
              </w:rPr>
            </w:pPr>
          </w:p>
        </w:tc>
        <w:tc>
          <w:tcPr>
            <w:tcW w:w="616" w:type="pct"/>
            <w:tcBorders>
              <w:top w:val="nil"/>
              <w:left w:val="single" w:color="000000" w:sz="8" w:space="0"/>
              <w:bottom w:val="single" w:color="000000" w:sz="8" w:space="0"/>
              <w:right w:val="single" w:color="000000" w:sz="8" w:space="0"/>
            </w:tcBorders>
            <w:noWrap/>
            <w:vAlign w:val="center"/>
          </w:tcPr>
          <w:p w14:paraId="7D12E7F4">
            <w:pPr>
              <w:spacing w:line="240" w:lineRule="auto"/>
              <w:ind w:firstLine="0" w:firstLineChars="0"/>
              <w:jc w:val="center"/>
              <w:rPr>
                <w:rFonts w:cs="Times New Roman"/>
                <w:sz w:val="21"/>
                <w:szCs w:val="21"/>
              </w:rPr>
            </w:pPr>
            <w:r>
              <w:rPr>
                <w:rFonts w:cs="Times New Roman"/>
                <w:sz w:val="21"/>
                <w:szCs w:val="21"/>
              </w:rPr>
              <w:t>E2f</w:t>
            </w:r>
          </w:p>
        </w:tc>
        <w:tc>
          <w:tcPr>
            <w:tcW w:w="748" w:type="pct"/>
            <w:tcBorders>
              <w:top w:val="nil"/>
              <w:left w:val="nil"/>
              <w:bottom w:val="single" w:color="000000" w:sz="8" w:space="0"/>
              <w:right w:val="nil"/>
            </w:tcBorders>
            <w:noWrap/>
            <w:vAlign w:val="center"/>
          </w:tcPr>
          <w:p w14:paraId="59596E34">
            <w:pPr>
              <w:spacing w:line="240" w:lineRule="auto"/>
              <w:ind w:firstLine="0" w:firstLineChars="0"/>
              <w:jc w:val="center"/>
              <w:rPr>
                <w:rFonts w:cs="Times New Roman"/>
                <w:sz w:val="21"/>
                <w:szCs w:val="21"/>
              </w:rPr>
            </w:pPr>
            <w:r>
              <w:rPr>
                <w:rFonts w:cs="Times New Roman"/>
                <w:sz w:val="21"/>
                <w:szCs w:val="21"/>
              </w:rPr>
              <w:t>设施农用地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56E5B6C0">
            <w:pPr>
              <w:spacing w:line="240" w:lineRule="auto"/>
              <w:ind w:firstLine="0" w:firstLineChars="0"/>
              <w:jc w:val="center"/>
              <w:rPr>
                <w:rFonts w:cs="Times New Roman"/>
                <w:sz w:val="21"/>
                <w:szCs w:val="21"/>
              </w:rPr>
            </w:pPr>
            <w:r>
              <w:rPr>
                <w:rFonts w:cs="Times New Roman"/>
                <w:sz w:val="21"/>
                <w:szCs w:val="21"/>
              </w:rPr>
              <w:t>3.077</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45A0D93D">
            <w:pPr>
              <w:spacing w:line="240" w:lineRule="auto"/>
              <w:ind w:firstLine="0" w:firstLineChars="0"/>
              <w:jc w:val="center"/>
              <w:rPr>
                <w:rFonts w:cs="Times New Roman"/>
                <w:sz w:val="21"/>
                <w:szCs w:val="21"/>
              </w:rPr>
            </w:pPr>
            <w:r>
              <w:rPr>
                <w:rFonts w:hint="eastAsia" w:cs="Times New Roman"/>
                <w:sz w:val="21"/>
                <w:szCs w:val="21"/>
              </w:rPr>
              <w:t>3.137</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46BACBCE">
            <w:pPr>
              <w:spacing w:line="240" w:lineRule="auto"/>
              <w:ind w:firstLine="0" w:firstLineChars="0"/>
              <w:jc w:val="center"/>
              <w:rPr>
                <w:rFonts w:cs="Times New Roman"/>
                <w:sz w:val="21"/>
                <w:szCs w:val="21"/>
              </w:rPr>
            </w:pPr>
            <w:r>
              <w:rPr>
                <w:rFonts w:hint="eastAsia" w:cs="Times New Roman"/>
                <w:sz w:val="21"/>
                <w:szCs w:val="21"/>
              </w:rPr>
              <w:t>0.06</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07298517">
            <w:pPr>
              <w:spacing w:line="240" w:lineRule="auto"/>
              <w:ind w:firstLine="0" w:firstLineChars="0"/>
              <w:jc w:val="center"/>
              <w:rPr>
                <w:rFonts w:cs="Times New Roman"/>
                <w:sz w:val="21"/>
                <w:szCs w:val="21"/>
              </w:rPr>
            </w:pPr>
            <w:r>
              <w:rPr>
                <w:rFonts w:hint="eastAsia" w:cs="Times New Roman"/>
                <w:sz w:val="21"/>
                <w:szCs w:val="21"/>
              </w:rPr>
              <w:t>3.209</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5EE3825E">
            <w:pPr>
              <w:spacing w:line="240" w:lineRule="auto"/>
              <w:ind w:firstLine="0" w:firstLineChars="0"/>
              <w:jc w:val="center"/>
              <w:rPr>
                <w:rFonts w:cs="Times New Roman"/>
                <w:sz w:val="21"/>
                <w:szCs w:val="21"/>
              </w:rPr>
            </w:pPr>
            <w:r>
              <w:rPr>
                <w:rFonts w:hint="eastAsia" w:cs="Times New Roman"/>
                <w:sz w:val="21"/>
                <w:szCs w:val="21"/>
              </w:rPr>
              <w:t>0.132</w:t>
            </w:r>
          </w:p>
        </w:tc>
      </w:tr>
      <w:tr w14:paraId="0E404275">
        <w:tblPrEx>
          <w:tblCellMar>
            <w:top w:w="0" w:type="dxa"/>
            <w:left w:w="108" w:type="dxa"/>
            <w:bottom w:w="0" w:type="dxa"/>
            <w:right w:w="108" w:type="dxa"/>
          </w:tblCellMar>
        </w:tblPrEx>
        <w:trPr>
          <w:trHeight w:val="285" w:hRule="atLeast"/>
        </w:trPr>
        <w:tc>
          <w:tcPr>
            <w:tcW w:w="218" w:type="pct"/>
            <w:vMerge w:val="continue"/>
            <w:tcBorders>
              <w:top w:val="nil"/>
              <w:left w:val="single" w:color="000000" w:sz="8" w:space="0"/>
              <w:bottom w:val="single" w:color="000000" w:sz="8" w:space="0"/>
              <w:right w:val="single" w:color="000000" w:sz="8" w:space="0"/>
            </w:tcBorders>
            <w:noWrap/>
            <w:vAlign w:val="center"/>
          </w:tcPr>
          <w:p w14:paraId="6D6ECE46">
            <w:pPr>
              <w:spacing w:line="240" w:lineRule="auto"/>
              <w:ind w:firstLine="0" w:firstLineChars="0"/>
              <w:jc w:val="center"/>
              <w:rPr>
                <w:rFonts w:cs="Times New Roman"/>
                <w:sz w:val="21"/>
                <w:szCs w:val="21"/>
              </w:rPr>
            </w:pPr>
          </w:p>
        </w:tc>
        <w:tc>
          <w:tcPr>
            <w:tcW w:w="272" w:type="pct"/>
            <w:tcBorders>
              <w:top w:val="nil"/>
              <w:left w:val="single" w:color="000000" w:sz="8" w:space="0"/>
              <w:bottom w:val="single" w:color="000000" w:sz="8" w:space="0"/>
              <w:right w:val="single" w:color="000000" w:sz="8" w:space="0"/>
            </w:tcBorders>
            <w:vAlign w:val="center"/>
          </w:tcPr>
          <w:p w14:paraId="4EEC34FC">
            <w:pPr>
              <w:spacing w:line="240" w:lineRule="auto"/>
              <w:ind w:firstLine="0" w:firstLineChars="0"/>
              <w:jc w:val="center"/>
              <w:rPr>
                <w:rFonts w:cs="Times New Roman"/>
                <w:sz w:val="21"/>
                <w:szCs w:val="21"/>
              </w:rPr>
            </w:pPr>
            <w:r>
              <w:rPr>
                <w:rFonts w:cs="Times New Roman"/>
                <w:sz w:val="21"/>
                <w:szCs w:val="21"/>
              </w:rPr>
              <w:t>E9</w:t>
            </w:r>
          </w:p>
        </w:tc>
        <w:tc>
          <w:tcPr>
            <w:tcW w:w="1364" w:type="pct"/>
            <w:gridSpan w:val="2"/>
            <w:tcBorders>
              <w:top w:val="nil"/>
              <w:left w:val="single" w:color="000000" w:sz="8" w:space="0"/>
              <w:bottom w:val="single" w:color="000000" w:sz="8" w:space="0"/>
              <w:right w:val="nil"/>
            </w:tcBorders>
            <w:noWrap/>
            <w:vAlign w:val="center"/>
          </w:tcPr>
          <w:p w14:paraId="56B99491">
            <w:pPr>
              <w:spacing w:line="240" w:lineRule="auto"/>
              <w:ind w:firstLine="0" w:firstLineChars="0"/>
              <w:jc w:val="center"/>
              <w:rPr>
                <w:rFonts w:cs="Times New Roman"/>
                <w:sz w:val="21"/>
                <w:szCs w:val="21"/>
              </w:rPr>
            </w:pPr>
            <w:r>
              <w:rPr>
                <w:rFonts w:cs="Times New Roman"/>
                <w:sz w:val="21"/>
                <w:szCs w:val="21"/>
              </w:rPr>
              <w:t>其他非建设用地</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28856388">
            <w:pPr>
              <w:spacing w:line="240" w:lineRule="auto"/>
              <w:ind w:firstLine="0" w:firstLineChars="0"/>
              <w:jc w:val="center"/>
              <w:rPr>
                <w:rFonts w:cs="Times New Roman"/>
                <w:sz w:val="21"/>
                <w:szCs w:val="21"/>
              </w:rPr>
            </w:pPr>
            <w:r>
              <w:rPr>
                <w:rFonts w:cs="Times New Roman"/>
                <w:sz w:val="21"/>
                <w:szCs w:val="21"/>
              </w:rPr>
              <w:t>0.021</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20481E9E">
            <w:pPr>
              <w:spacing w:line="240" w:lineRule="auto"/>
              <w:ind w:firstLine="0" w:firstLineChars="0"/>
              <w:jc w:val="center"/>
              <w:rPr>
                <w:rFonts w:cs="Times New Roman"/>
                <w:sz w:val="21"/>
                <w:szCs w:val="21"/>
              </w:rPr>
            </w:pPr>
            <w:r>
              <w:rPr>
                <w:rFonts w:hint="eastAsia" w:cs="Times New Roman"/>
                <w:sz w:val="21"/>
                <w:szCs w:val="21"/>
              </w:rPr>
              <w:t>0</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09CB4E72">
            <w:pPr>
              <w:spacing w:line="240" w:lineRule="auto"/>
              <w:ind w:firstLine="0" w:firstLineChars="0"/>
              <w:jc w:val="center"/>
              <w:rPr>
                <w:rFonts w:cs="Times New Roman"/>
                <w:sz w:val="21"/>
                <w:szCs w:val="21"/>
              </w:rPr>
            </w:pPr>
            <w:r>
              <w:rPr>
                <w:rFonts w:hint="eastAsia" w:cs="Times New Roman"/>
                <w:sz w:val="21"/>
                <w:szCs w:val="21"/>
              </w:rPr>
              <w:t>-0.021</w:t>
            </w:r>
          </w:p>
        </w:tc>
        <w:tc>
          <w:tcPr>
            <w:tcW w:w="1072" w:type="dxa"/>
            <w:tcBorders>
              <w:top w:val="single" w:color="000000" w:sz="4" w:space="0"/>
              <w:left w:val="single" w:color="000000" w:sz="4" w:space="0"/>
              <w:bottom w:val="single" w:color="000000" w:sz="4" w:space="0"/>
              <w:right w:val="single" w:color="000000" w:sz="4" w:space="0"/>
            </w:tcBorders>
            <w:noWrap/>
            <w:vAlign w:val="center"/>
          </w:tcPr>
          <w:p w14:paraId="578D23FC">
            <w:pPr>
              <w:spacing w:line="240" w:lineRule="auto"/>
              <w:ind w:firstLine="0" w:firstLineChars="0"/>
              <w:jc w:val="center"/>
              <w:rPr>
                <w:rFonts w:cs="Times New Roman"/>
                <w:sz w:val="21"/>
                <w:szCs w:val="21"/>
              </w:rPr>
            </w:pPr>
            <w:r>
              <w:rPr>
                <w:rFonts w:hint="eastAsia" w:cs="Times New Roman"/>
                <w:sz w:val="21"/>
                <w:szCs w:val="21"/>
              </w:rPr>
              <w:t>0</w:t>
            </w:r>
          </w:p>
        </w:tc>
        <w:tc>
          <w:tcPr>
            <w:tcW w:w="628" w:type="pct"/>
            <w:tcBorders>
              <w:top w:val="single" w:color="000000" w:sz="4" w:space="0"/>
              <w:left w:val="single" w:color="000000" w:sz="4" w:space="0"/>
              <w:bottom w:val="single" w:color="000000" w:sz="4" w:space="0"/>
              <w:right w:val="single" w:color="000000" w:sz="4" w:space="0"/>
            </w:tcBorders>
            <w:noWrap/>
            <w:vAlign w:val="center"/>
          </w:tcPr>
          <w:p w14:paraId="5CAA59B4">
            <w:pPr>
              <w:spacing w:line="240" w:lineRule="auto"/>
              <w:ind w:firstLine="0" w:firstLineChars="0"/>
              <w:jc w:val="center"/>
              <w:rPr>
                <w:rFonts w:cs="Times New Roman"/>
                <w:sz w:val="21"/>
                <w:szCs w:val="21"/>
              </w:rPr>
            </w:pPr>
            <w:r>
              <w:rPr>
                <w:rFonts w:hint="eastAsia" w:cs="Times New Roman"/>
                <w:sz w:val="21"/>
                <w:szCs w:val="21"/>
              </w:rPr>
              <w:t>-0.021</w:t>
            </w:r>
          </w:p>
        </w:tc>
      </w:tr>
    </w:tbl>
    <w:p w14:paraId="524243D7">
      <w:pPr>
        <w:ind w:firstLine="480"/>
      </w:pPr>
      <w:r>
        <w:rPr>
          <w:rFonts w:hint="eastAsia"/>
        </w:rPr>
        <w:t>度假区规划实施后，区域内居住用地、商业服务业设施用地、公共管理与公共服务设施用地等涉及新增建设用地，但部分现状工矿用地在企业退出和采矿结束后将逐步恢复为农林用地，整体达到“占补平衡”。规划水域面积略有降低，主要为区域内部分坑塘、沟渠的利用和整治，整体上度假区规划后的土地生态功能将不会有太大改变，林地、水域等生态用地总面积有所提高，有利于度假区旅游业的可持续发展。</w:t>
      </w:r>
    </w:p>
    <w:p w14:paraId="533177EE">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7</w:t>
      </w:r>
      <w:r>
        <w:rPr>
          <w:rFonts w:eastAsia="方正楷体_GBK" w:cs="Times New Roman"/>
          <w:b/>
          <w:bCs/>
          <w:szCs w:val="28"/>
          <w14:ligatures w14:val="none"/>
        </w:rPr>
        <w:t>.1.</w:t>
      </w:r>
      <w:r>
        <w:rPr>
          <w:rFonts w:hint="eastAsia" w:eastAsia="方正楷体_GBK" w:cs="Times New Roman"/>
          <w:b/>
          <w:bCs/>
          <w:szCs w:val="28"/>
          <w14:ligatures w14:val="none"/>
        </w:rPr>
        <w:t>2生态承载力分析</w:t>
      </w:r>
    </w:p>
    <w:p w14:paraId="2BD2C3B9">
      <w:pPr>
        <w:ind w:firstLine="480"/>
      </w:pPr>
      <w:r>
        <w:rPr>
          <w:rFonts w:hint="eastAsia"/>
        </w:rPr>
        <w:t>生态承载力代表一个地区所能提供的资源环境条件，生态足迹代表能够持续提供资源或消纳废物的、具有生物生产力的地域空间，其含义就是要维持一个区域的生存所需要的或者容纳人类所排放的废物、具有生物生产力的地域面积。在生态承载力内，按照一定人均生态足迹计算的人口可以说是一个区域的可持续人口容量，即基于生态足迹的适度人口规模。</w:t>
      </w:r>
    </w:p>
    <w:p w14:paraId="4FAB5703">
      <w:pPr>
        <w:ind w:firstLine="482"/>
        <w:rPr>
          <w:rFonts w:cs="Times New Roman"/>
          <w:b/>
          <w:bCs/>
          <w:szCs w:val="24"/>
          <w14:ligatures w14:val="none"/>
        </w:rPr>
      </w:pPr>
      <w:r>
        <w:rPr>
          <w:rFonts w:hint="eastAsia" w:cs="Times New Roman"/>
          <w:b/>
          <w:bCs/>
          <w:szCs w:val="24"/>
          <w14:ligatures w14:val="none"/>
        </w:rPr>
        <w:t>（1）生态足迹需求的计算方法</w:t>
      </w:r>
    </w:p>
    <w:p w14:paraId="7B3600E0">
      <w:pPr>
        <w:ind w:firstLine="480"/>
        <w:rPr>
          <w:rFonts w:cs="Times New Roman"/>
          <w:szCs w:val="24"/>
          <w14:ligatures w14:val="none"/>
        </w:rPr>
      </w:pPr>
      <w:r>
        <w:rPr>
          <w:rFonts w:hint="eastAsia" w:cs="Times New Roman"/>
          <w:szCs w:val="24"/>
          <w14:ligatures w14:val="none"/>
        </w:rPr>
        <w:t>生态足迹模型的计算是基于以下两个基本事实：一是人类可以确定自身消费的绝大多数资源及其所产生废弃物的数量；二是这些资源和废弃物能转换成相应的生物生产土地面积，它假设所有类型的物质消费、能源消费和废水处理需要一定数量的土地面积和水域面积。计算公式为：</w:t>
      </w:r>
    </w:p>
    <w:p w14:paraId="61CC9C11">
      <w:pPr>
        <w:ind w:firstLine="0" w:firstLineChars="0"/>
        <w:jc w:val="center"/>
        <w:rPr>
          <w:rFonts w:cs="Times New Roman"/>
          <w:i/>
          <w:iCs/>
          <w:szCs w:val="24"/>
          <w14:ligatures w14:val="none"/>
        </w:rPr>
      </w:pPr>
      <w:r>
        <w:rPr>
          <w:rFonts w:hint="eastAsia" w:cs="Times New Roman"/>
          <w:i/>
          <w:iCs/>
          <w:szCs w:val="24"/>
          <w14:ligatures w14:val="none"/>
        </w:rPr>
        <w:t>EF=N·ef=N·r</w:t>
      </w:r>
      <w:r>
        <w:rPr>
          <w:rFonts w:hint="eastAsia" w:cs="Times New Roman"/>
          <w:i/>
          <w:iCs/>
          <w:szCs w:val="24"/>
          <w:vertAlign w:val="subscript"/>
          <w14:ligatures w14:val="none"/>
        </w:rPr>
        <w:t>j</w:t>
      </w:r>
      <w:r>
        <w:rPr>
          <w:rFonts w:hint="eastAsia" w:cs="Times New Roman"/>
          <w:i/>
          <w:iCs/>
          <w:szCs w:val="24"/>
          <w14:ligatures w14:val="none"/>
        </w:rPr>
        <w:t>·∑（aa</w:t>
      </w:r>
      <w:r>
        <w:rPr>
          <w:rFonts w:hint="eastAsia" w:cs="Times New Roman"/>
          <w:i/>
          <w:iCs/>
          <w:szCs w:val="24"/>
          <w:vertAlign w:val="subscript"/>
          <w14:ligatures w14:val="none"/>
        </w:rPr>
        <w:t>i</w:t>
      </w:r>
      <w:r>
        <w:rPr>
          <w:rFonts w:hint="eastAsia" w:cs="Times New Roman"/>
          <w:i/>
          <w:iCs/>
          <w:szCs w:val="24"/>
          <w14:ligatures w14:val="none"/>
        </w:rPr>
        <w:t>）=N·r</w:t>
      </w:r>
      <w:r>
        <w:rPr>
          <w:rFonts w:hint="eastAsia" w:cs="Times New Roman"/>
          <w:i/>
          <w:iCs/>
          <w:szCs w:val="24"/>
          <w:vertAlign w:val="subscript"/>
          <w14:ligatures w14:val="none"/>
        </w:rPr>
        <w:t>j</w:t>
      </w:r>
      <w:r>
        <w:rPr>
          <w:rFonts w:hint="eastAsia" w:cs="Times New Roman"/>
          <w:i/>
          <w:iCs/>
          <w:szCs w:val="24"/>
          <w14:ligatures w14:val="none"/>
        </w:rPr>
        <w:t>·∑（c</w:t>
      </w:r>
      <w:r>
        <w:rPr>
          <w:rFonts w:hint="eastAsia" w:cs="Times New Roman"/>
          <w:i/>
          <w:iCs/>
          <w:szCs w:val="24"/>
          <w:vertAlign w:val="subscript"/>
          <w14:ligatures w14:val="none"/>
        </w:rPr>
        <w:t>i</w:t>
      </w:r>
      <w:r>
        <w:rPr>
          <w:rFonts w:hint="eastAsia" w:cs="Times New Roman"/>
          <w:i/>
          <w:iCs/>
          <w:szCs w:val="24"/>
          <w14:ligatures w14:val="none"/>
        </w:rPr>
        <w:t>/p</w:t>
      </w:r>
      <w:r>
        <w:rPr>
          <w:rFonts w:hint="eastAsia" w:cs="Times New Roman"/>
          <w:i/>
          <w:iCs/>
          <w:szCs w:val="24"/>
          <w:vertAlign w:val="subscript"/>
          <w14:ligatures w14:val="none"/>
        </w:rPr>
        <w:t>i</w:t>
      </w:r>
      <w:r>
        <w:rPr>
          <w:rFonts w:hint="eastAsia" w:cs="Times New Roman"/>
          <w:i/>
          <w:iCs/>
          <w:szCs w:val="24"/>
          <w14:ligatures w14:val="none"/>
        </w:rPr>
        <w:t>）</w:t>
      </w:r>
    </w:p>
    <w:p w14:paraId="018C1A69">
      <w:pPr>
        <w:ind w:firstLine="480"/>
        <w:rPr>
          <w:rFonts w:cs="Times New Roman"/>
          <w:szCs w:val="24"/>
          <w14:ligatures w14:val="none"/>
        </w:rPr>
      </w:pPr>
      <w:r>
        <w:rPr>
          <w:rFonts w:cs="Times New Roman"/>
          <w:szCs w:val="24"/>
          <w14:ligatures w14:val="none"/>
        </w:rPr>
        <w:t>式中：</w:t>
      </w:r>
      <w:r>
        <w:rPr>
          <w:rFonts w:cs="Times New Roman"/>
          <w:i/>
          <w:iCs/>
          <w:szCs w:val="24"/>
          <w14:ligatures w14:val="none"/>
        </w:rPr>
        <w:t>EF</w:t>
      </w:r>
      <w:r>
        <w:rPr>
          <w:rFonts w:hint="eastAsia" w:cs="Times New Roman"/>
          <w:szCs w:val="24"/>
          <w14:ligatures w14:val="none"/>
        </w:rPr>
        <w:t>—</w:t>
      </w:r>
      <w:r>
        <w:rPr>
          <w:rFonts w:cs="Times New Roman"/>
          <w:szCs w:val="24"/>
          <w14:ligatures w14:val="none"/>
        </w:rPr>
        <w:t>区域总人口的生态足迹；</w:t>
      </w:r>
    </w:p>
    <w:p w14:paraId="76DDE6A3">
      <w:pPr>
        <w:ind w:firstLine="1200" w:firstLineChars="500"/>
        <w:rPr>
          <w:rFonts w:cs="Times New Roman"/>
          <w:szCs w:val="24"/>
          <w14:ligatures w14:val="none"/>
        </w:rPr>
      </w:pPr>
      <w:r>
        <w:rPr>
          <w:rFonts w:cs="Times New Roman"/>
          <w:i/>
          <w:iCs/>
          <w:szCs w:val="24"/>
          <w14:ligatures w14:val="none"/>
        </w:rPr>
        <w:t>N</w:t>
      </w:r>
      <w:r>
        <w:rPr>
          <w:rFonts w:hint="eastAsia" w:cs="Times New Roman"/>
          <w:szCs w:val="24"/>
          <w14:ligatures w14:val="none"/>
        </w:rPr>
        <w:t>—</w:t>
      </w:r>
      <w:r>
        <w:rPr>
          <w:rFonts w:cs="Times New Roman"/>
          <w:szCs w:val="24"/>
          <w14:ligatures w14:val="none"/>
        </w:rPr>
        <w:t>区域人口数；</w:t>
      </w:r>
    </w:p>
    <w:p w14:paraId="39E5F9C5">
      <w:pPr>
        <w:ind w:firstLine="1200" w:firstLineChars="500"/>
        <w:rPr>
          <w:rFonts w:cs="Times New Roman"/>
          <w:szCs w:val="24"/>
          <w14:ligatures w14:val="none"/>
        </w:rPr>
      </w:pPr>
      <w:r>
        <w:rPr>
          <w:rFonts w:cs="Times New Roman"/>
          <w:i/>
          <w:iCs/>
          <w:szCs w:val="24"/>
          <w14:ligatures w14:val="none"/>
        </w:rPr>
        <w:t>ef</w:t>
      </w:r>
      <w:r>
        <w:rPr>
          <w:rFonts w:hint="eastAsia" w:cs="Times New Roman"/>
          <w:szCs w:val="24"/>
          <w14:ligatures w14:val="none"/>
        </w:rPr>
        <w:t>—</w:t>
      </w:r>
      <w:r>
        <w:rPr>
          <w:rFonts w:cs="Times New Roman"/>
          <w:szCs w:val="24"/>
          <w14:ligatures w14:val="none"/>
        </w:rPr>
        <w:t>人均生态足迹；</w:t>
      </w:r>
    </w:p>
    <w:p w14:paraId="46ABD800">
      <w:pPr>
        <w:ind w:firstLine="1200" w:firstLineChars="500"/>
        <w:rPr>
          <w:rFonts w:cs="Times New Roman"/>
          <w:szCs w:val="24"/>
          <w14:ligatures w14:val="none"/>
        </w:rPr>
      </w:pPr>
      <w:r>
        <w:rPr>
          <w:rFonts w:cs="Times New Roman"/>
          <w:i/>
          <w:iCs/>
          <w:szCs w:val="24"/>
          <w14:ligatures w14:val="none"/>
        </w:rPr>
        <w:t>C</w:t>
      </w:r>
      <w:r>
        <w:rPr>
          <w:rFonts w:cs="Times New Roman"/>
          <w:i/>
          <w:iCs/>
          <w:szCs w:val="24"/>
          <w:vertAlign w:val="subscript"/>
          <w14:ligatures w14:val="none"/>
        </w:rPr>
        <w:t>i</w:t>
      </w:r>
      <w:r>
        <w:rPr>
          <w:rFonts w:hint="eastAsia" w:cs="Times New Roman"/>
          <w:szCs w:val="24"/>
          <w14:ligatures w14:val="none"/>
        </w:rPr>
        <w:t>—</w:t>
      </w:r>
      <w:r>
        <w:rPr>
          <w:rFonts w:cs="Times New Roman"/>
          <w:i/>
          <w:iCs/>
          <w:szCs w:val="24"/>
          <w14:ligatures w14:val="none"/>
        </w:rPr>
        <w:t>i</w:t>
      </w:r>
      <w:r>
        <w:rPr>
          <w:rFonts w:hint="eastAsia" w:cs="Times New Roman"/>
          <w:szCs w:val="24"/>
          <w14:ligatures w14:val="none"/>
        </w:rPr>
        <w:t>种商品的人均消费量；</w:t>
      </w:r>
    </w:p>
    <w:p w14:paraId="498A653F">
      <w:pPr>
        <w:ind w:firstLine="1200" w:firstLineChars="500"/>
        <w:rPr>
          <w:rFonts w:cs="Times New Roman"/>
          <w:szCs w:val="24"/>
          <w14:ligatures w14:val="none"/>
        </w:rPr>
      </w:pPr>
      <w:r>
        <w:rPr>
          <w:rFonts w:cs="Times New Roman"/>
          <w:i/>
          <w:iCs/>
          <w:szCs w:val="24"/>
          <w14:ligatures w14:val="none"/>
        </w:rPr>
        <w:t>P</w:t>
      </w:r>
      <w:r>
        <w:rPr>
          <w:rFonts w:cs="Times New Roman"/>
          <w:i/>
          <w:iCs/>
          <w:szCs w:val="24"/>
          <w:vertAlign w:val="subscript"/>
          <w14:ligatures w14:val="none"/>
        </w:rPr>
        <w:t>i</w:t>
      </w:r>
      <w:r>
        <w:rPr>
          <w:rFonts w:hint="eastAsia" w:cs="Times New Roman"/>
          <w:szCs w:val="24"/>
          <w14:ligatures w14:val="none"/>
        </w:rPr>
        <w:t>—</w:t>
      </w:r>
      <w:r>
        <w:rPr>
          <w:rFonts w:cs="Times New Roman"/>
          <w:i/>
          <w:iCs/>
          <w:szCs w:val="24"/>
          <w14:ligatures w14:val="none"/>
        </w:rPr>
        <w:t>i</w:t>
      </w:r>
      <w:r>
        <w:rPr>
          <w:rFonts w:cs="Times New Roman"/>
          <w:szCs w:val="24"/>
          <w14:ligatures w14:val="none"/>
        </w:rPr>
        <w:t>种消费商品的平均生产能力；</w:t>
      </w:r>
    </w:p>
    <w:p w14:paraId="5D5AF548">
      <w:pPr>
        <w:ind w:firstLine="1200" w:firstLineChars="500"/>
        <w:rPr>
          <w:rFonts w:cs="Times New Roman"/>
          <w:szCs w:val="24"/>
          <w14:ligatures w14:val="none"/>
        </w:rPr>
      </w:pPr>
      <w:r>
        <w:rPr>
          <w:rFonts w:cs="Times New Roman"/>
          <w:i/>
          <w:iCs/>
          <w:szCs w:val="24"/>
          <w14:ligatures w14:val="none"/>
        </w:rPr>
        <w:t>aa</w:t>
      </w:r>
      <w:r>
        <w:rPr>
          <w:rFonts w:cs="Times New Roman"/>
          <w:i/>
          <w:iCs/>
          <w:szCs w:val="24"/>
          <w:vertAlign w:val="subscript"/>
          <w14:ligatures w14:val="none"/>
        </w:rPr>
        <w:t>i</w:t>
      </w:r>
      <w:r>
        <w:rPr>
          <w:rFonts w:hint="eastAsia" w:cs="Times New Roman"/>
          <w:szCs w:val="24"/>
          <w14:ligatures w14:val="none"/>
        </w:rPr>
        <w:t>—</w:t>
      </w:r>
      <w:r>
        <w:rPr>
          <w:rFonts w:cs="Times New Roman"/>
          <w:szCs w:val="24"/>
          <w14:ligatures w14:val="none"/>
        </w:rPr>
        <w:t>人均</w:t>
      </w:r>
      <w:r>
        <w:rPr>
          <w:rFonts w:cs="Times New Roman"/>
          <w:i/>
          <w:iCs/>
          <w:szCs w:val="24"/>
          <w14:ligatures w14:val="none"/>
        </w:rPr>
        <w:t>i</w:t>
      </w:r>
      <w:r>
        <w:rPr>
          <w:rFonts w:cs="Times New Roman"/>
          <w:szCs w:val="24"/>
          <w14:ligatures w14:val="none"/>
        </w:rPr>
        <w:t>种交易商品折算</w:t>
      </w:r>
      <w:r>
        <w:rPr>
          <w:rFonts w:hint="eastAsia" w:cs="Times New Roman"/>
          <w:szCs w:val="24"/>
          <w14:ligatures w14:val="none"/>
        </w:rPr>
        <w:t>的生物生产面积；</w:t>
      </w:r>
    </w:p>
    <w:p w14:paraId="0580AB5E">
      <w:pPr>
        <w:ind w:firstLine="1200" w:firstLineChars="500"/>
        <w:rPr>
          <w:rFonts w:cs="Times New Roman"/>
          <w:szCs w:val="24"/>
          <w14:ligatures w14:val="none"/>
        </w:rPr>
      </w:pPr>
      <w:r>
        <w:rPr>
          <w:rFonts w:cs="Times New Roman"/>
          <w:i/>
          <w:iCs/>
          <w:szCs w:val="24"/>
          <w14:ligatures w14:val="none"/>
        </w:rPr>
        <w:t>i</w:t>
      </w:r>
      <w:r>
        <w:rPr>
          <w:rFonts w:hint="eastAsia" w:cs="Times New Roman"/>
          <w:szCs w:val="24"/>
          <w14:ligatures w14:val="none"/>
        </w:rPr>
        <w:t>—</w:t>
      </w:r>
      <w:r>
        <w:rPr>
          <w:rFonts w:cs="Times New Roman"/>
          <w:szCs w:val="24"/>
          <w14:ligatures w14:val="none"/>
        </w:rPr>
        <w:t>消费商品和投入的类型；</w:t>
      </w:r>
    </w:p>
    <w:p w14:paraId="343AF151">
      <w:pPr>
        <w:ind w:firstLine="1200" w:firstLineChars="500"/>
        <w:rPr>
          <w:rFonts w:cs="Times New Roman"/>
          <w:szCs w:val="24"/>
          <w14:ligatures w14:val="none"/>
        </w:rPr>
      </w:pPr>
      <w:r>
        <w:rPr>
          <w:rFonts w:cs="Times New Roman"/>
          <w:i/>
          <w:iCs/>
          <w:szCs w:val="24"/>
          <w14:ligatures w14:val="none"/>
        </w:rPr>
        <w:t>r</w:t>
      </w:r>
      <w:r>
        <w:rPr>
          <w:rFonts w:cs="Times New Roman"/>
          <w:i/>
          <w:iCs/>
          <w:szCs w:val="24"/>
          <w:vertAlign w:val="subscript"/>
          <w14:ligatures w14:val="none"/>
        </w:rPr>
        <w:t>j</w:t>
      </w:r>
      <w:r>
        <w:rPr>
          <w:rFonts w:hint="eastAsia" w:cs="Times New Roman"/>
          <w:szCs w:val="24"/>
          <w14:ligatures w14:val="none"/>
        </w:rPr>
        <w:t>—</w:t>
      </w:r>
      <w:r>
        <w:rPr>
          <w:rFonts w:cs="Times New Roman"/>
          <w:szCs w:val="24"/>
          <w14:ligatures w14:val="none"/>
        </w:rPr>
        <w:t>均衡因子，因为单位面积耕地、能</w:t>
      </w:r>
      <w:r>
        <w:rPr>
          <w:rFonts w:hint="eastAsia" w:cs="Times New Roman"/>
          <w:szCs w:val="24"/>
          <w14:ligatures w14:val="none"/>
        </w:rPr>
        <w:t>源土地、草地、林地等的生物生产能力差异很大，为了使计算结果转化为一个可比较的标准，有必要在每类型生物生产面积前乘上一个均衡因子（</w:t>
      </w:r>
      <w:r>
        <w:rPr>
          <w:rFonts w:cs="Times New Roman"/>
          <w:szCs w:val="24"/>
          <w14:ligatures w14:val="none"/>
        </w:rPr>
        <w:t>权重</w:t>
      </w:r>
      <w:r>
        <w:rPr>
          <w:rFonts w:hint="eastAsia" w:cs="Times New Roman"/>
          <w:szCs w:val="24"/>
          <w14:ligatures w14:val="none"/>
        </w:rPr>
        <w:t>）</w:t>
      </w:r>
      <w:r>
        <w:rPr>
          <w:rFonts w:cs="Times New Roman"/>
          <w:szCs w:val="24"/>
          <w14:ligatures w14:val="none"/>
        </w:rPr>
        <w:t>，以转化为统一的、</w:t>
      </w:r>
      <w:r>
        <w:rPr>
          <w:rFonts w:hint="eastAsia" w:cs="Times New Roman"/>
          <w:szCs w:val="24"/>
          <w14:ligatures w14:val="none"/>
        </w:rPr>
        <w:t>可比较的生物生产面积；</w:t>
      </w:r>
    </w:p>
    <w:p w14:paraId="544884CB">
      <w:pPr>
        <w:ind w:firstLine="1200" w:firstLineChars="500"/>
        <w:rPr>
          <w:rFonts w:cs="Times New Roman"/>
          <w:szCs w:val="24"/>
          <w14:ligatures w14:val="none"/>
        </w:rPr>
      </w:pPr>
      <w:r>
        <w:rPr>
          <w:rFonts w:cs="Times New Roman"/>
          <w:i/>
          <w:iCs/>
          <w:szCs w:val="24"/>
          <w14:ligatures w14:val="none"/>
        </w:rPr>
        <w:t>j</w:t>
      </w:r>
      <w:r>
        <w:rPr>
          <w:rFonts w:hint="eastAsia" w:cs="Times New Roman"/>
          <w:szCs w:val="24"/>
          <w14:ligatures w14:val="none"/>
        </w:rPr>
        <w:t>—</w:t>
      </w:r>
      <w:r>
        <w:rPr>
          <w:rFonts w:cs="Times New Roman"/>
          <w:szCs w:val="24"/>
          <w14:ligatures w14:val="none"/>
        </w:rPr>
        <w:t>生物生产性土地类型。</w:t>
      </w:r>
    </w:p>
    <w:p w14:paraId="7D1B4DD0">
      <w:pPr>
        <w:ind w:firstLine="482"/>
        <w:rPr>
          <w:rFonts w:cs="Times New Roman"/>
          <w:b/>
          <w:bCs/>
          <w:szCs w:val="24"/>
          <w14:ligatures w14:val="none"/>
        </w:rPr>
      </w:pPr>
      <w:r>
        <w:rPr>
          <w:rFonts w:hint="eastAsia" w:cs="Times New Roman"/>
          <w:b/>
          <w:bCs/>
          <w:szCs w:val="24"/>
          <w14:ligatures w14:val="none"/>
        </w:rPr>
        <w:t>（2）生态足迹供给（</w:t>
      </w:r>
      <w:r>
        <w:rPr>
          <w:rFonts w:cs="Times New Roman"/>
          <w:b/>
          <w:bCs/>
          <w:szCs w:val="24"/>
          <w14:ligatures w14:val="none"/>
        </w:rPr>
        <w:t>生态承载力</w:t>
      </w:r>
      <w:r>
        <w:rPr>
          <w:rFonts w:hint="eastAsia" w:cs="Times New Roman"/>
          <w:b/>
          <w:bCs/>
          <w:szCs w:val="24"/>
          <w14:ligatures w14:val="none"/>
        </w:rPr>
        <w:t>）</w:t>
      </w:r>
      <w:r>
        <w:rPr>
          <w:rFonts w:cs="Times New Roman"/>
          <w:b/>
          <w:bCs/>
          <w:szCs w:val="24"/>
          <w14:ligatures w14:val="none"/>
        </w:rPr>
        <w:t>的计算方法</w:t>
      </w:r>
    </w:p>
    <w:p w14:paraId="1B851E40">
      <w:pPr>
        <w:ind w:firstLine="480"/>
        <w:rPr>
          <w:rFonts w:cs="Times New Roman"/>
          <w:szCs w:val="24"/>
          <w14:ligatures w14:val="none"/>
        </w:rPr>
      </w:pPr>
      <w:r>
        <w:rPr>
          <w:rFonts w:hint="eastAsia" w:cs="Times New Roman"/>
          <w:szCs w:val="24"/>
          <w14:ligatures w14:val="none"/>
        </w:rPr>
        <w:t>因生态承载力与当地的土地生产力有关，在计算生态承载力时，要乘以当地的产量因子。</w:t>
      </w:r>
    </w:p>
    <w:p w14:paraId="5CE63020">
      <w:pPr>
        <w:ind w:firstLine="0" w:firstLineChars="0"/>
        <w:jc w:val="center"/>
        <w:rPr>
          <w:rFonts w:cs="Times New Roman"/>
          <w:i/>
          <w:iCs/>
          <w:szCs w:val="24"/>
          <w14:ligatures w14:val="none"/>
        </w:rPr>
      </w:pPr>
      <w:r>
        <w:rPr>
          <w:rFonts w:cs="Times New Roman"/>
          <w:i/>
          <w:iCs/>
          <w:szCs w:val="24"/>
          <w14:ligatures w14:val="none"/>
        </w:rPr>
        <w:t>EC=N×ec</w:t>
      </w:r>
    </w:p>
    <w:p w14:paraId="05D12248">
      <w:pPr>
        <w:ind w:firstLine="0" w:firstLineChars="0"/>
        <w:jc w:val="center"/>
        <w:rPr>
          <w:rFonts w:cs="Times New Roman"/>
          <w:i/>
          <w:iCs/>
          <w:szCs w:val="24"/>
          <w14:ligatures w14:val="none"/>
        </w:rPr>
      </w:pPr>
      <w:r>
        <w:rPr>
          <w:rFonts w:cs="Times New Roman"/>
          <w:i/>
          <w:iCs/>
          <w:szCs w:val="24"/>
          <w14:ligatures w14:val="none"/>
        </w:rPr>
        <w:t>ED=EF—EC</w:t>
      </w:r>
    </w:p>
    <w:p w14:paraId="431CD1CA">
      <w:pPr>
        <w:ind w:firstLine="480"/>
        <w:rPr>
          <w:rFonts w:cs="Times New Roman"/>
          <w:szCs w:val="24"/>
          <w14:ligatures w14:val="none"/>
        </w:rPr>
      </w:pPr>
      <w:r>
        <w:rPr>
          <w:rFonts w:hint="eastAsia" w:cs="Times New Roman"/>
          <w:szCs w:val="24"/>
          <w14:ligatures w14:val="none"/>
        </w:rPr>
        <w:t>式中：</w:t>
      </w:r>
      <w:r>
        <w:rPr>
          <w:rFonts w:cs="Times New Roman"/>
          <w:i/>
          <w:iCs/>
          <w:szCs w:val="24"/>
          <w14:ligatures w14:val="none"/>
        </w:rPr>
        <w:t>N</w:t>
      </w:r>
      <w:r>
        <w:rPr>
          <w:rFonts w:hint="eastAsia" w:cs="Times New Roman"/>
          <w:szCs w:val="24"/>
          <w14:ligatures w14:val="none"/>
        </w:rPr>
        <w:t>—</w:t>
      </w:r>
      <w:r>
        <w:rPr>
          <w:rFonts w:cs="Times New Roman"/>
          <w:szCs w:val="24"/>
          <w14:ligatures w14:val="none"/>
        </w:rPr>
        <w:t>人口数；</w:t>
      </w:r>
    </w:p>
    <w:p w14:paraId="43A8FD9C">
      <w:pPr>
        <w:ind w:firstLine="1200" w:firstLineChars="500"/>
        <w:rPr>
          <w:rFonts w:cs="Times New Roman"/>
          <w:szCs w:val="24"/>
          <w14:ligatures w14:val="none"/>
        </w:rPr>
      </w:pPr>
      <w:r>
        <w:rPr>
          <w:rFonts w:cs="Times New Roman"/>
          <w:i/>
          <w:iCs/>
          <w:szCs w:val="24"/>
          <w14:ligatures w14:val="none"/>
        </w:rPr>
        <w:t>ec</w:t>
      </w:r>
      <w:r>
        <w:rPr>
          <w:rFonts w:hint="eastAsia" w:cs="Times New Roman"/>
          <w:szCs w:val="24"/>
          <w14:ligatures w14:val="none"/>
        </w:rPr>
        <w:t>—</w:t>
      </w:r>
      <w:r>
        <w:rPr>
          <w:rFonts w:cs="Times New Roman"/>
          <w:szCs w:val="24"/>
          <w14:ligatures w14:val="none"/>
        </w:rPr>
        <w:t>人均生态足迹供给；</w:t>
      </w:r>
    </w:p>
    <w:p w14:paraId="45163199">
      <w:pPr>
        <w:ind w:firstLine="1200" w:firstLineChars="500"/>
        <w:rPr>
          <w:rFonts w:cs="Times New Roman"/>
          <w:szCs w:val="24"/>
          <w14:ligatures w14:val="none"/>
        </w:rPr>
      </w:pPr>
      <w:r>
        <w:rPr>
          <w:rFonts w:cs="Times New Roman"/>
          <w:i/>
          <w:iCs/>
          <w:szCs w:val="24"/>
          <w14:ligatures w14:val="none"/>
        </w:rPr>
        <w:t>EC</w:t>
      </w:r>
      <w:r>
        <w:rPr>
          <w:rFonts w:hint="eastAsia" w:cs="Times New Roman"/>
          <w:szCs w:val="24"/>
          <w14:ligatures w14:val="none"/>
        </w:rPr>
        <w:t>—</w:t>
      </w:r>
      <w:r>
        <w:rPr>
          <w:rFonts w:cs="Times New Roman"/>
          <w:szCs w:val="24"/>
          <w14:ligatures w14:val="none"/>
        </w:rPr>
        <w:t>区域总人口的生态足迹供给；</w:t>
      </w:r>
    </w:p>
    <w:p w14:paraId="7F7991F2">
      <w:pPr>
        <w:ind w:firstLine="1200" w:firstLineChars="500"/>
        <w:rPr>
          <w:rFonts w:cs="Times New Roman"/>
          <w:szCs w:val="24"/>
          <w14:ligatures w14:val="none"/>
        </w:rPr>
      </w:pPr>
      <w:r>
        <w:rPr>
          <w:rFonts w:cs="Times New Roman"/>
          <w:i/>
          <w:iCs/>
          <w:szCs w:val="24"/>
          <w14:ligatures w14:val="none"/>
        </w:rPr>
        <w:t>ED</w:t>
      </w:r>
      <w:r>
        <w:rPr>
          <w:rFonts w:hint="eastAsia" w:cs="Times New Roman"/>
          <w:szCs w:val="24"/>
          <w14:ligatures w14:val="none"/>
        </w:rPr>
        <w:t>—</w:t>
      </w:r>
      <w:r>
        <w:rPr>
          <w:rFonts w:cs="Times New Roman"/>
          <w:szCs w:val="24"/>
          <w14:ligatures w14:val="none"/>
        </w:rPr>
        <w:t>区域总生态赤字或生态盈余，它是区域生态系统可持续利用判断的直接依据。</w:t>
      </w:r>
    </w:p>
    <w:p w14:paraId="75E0E92C">
      <w:pPr>
        <w:ind w:firstLine="482"/>
        <w:rPr>
          <w:rFonts w:cs="Times New Roman"/>
          <w:b/>
          <w:bCs/>
          <w:szCs w:val="24"/>
          <w14:ligatures w14:val="none"/>
        </w:rPr>
      </w:pPr>
      <w:r>
        <w:rPr>
          <w:rFonts w:hint="eastAsia" w:cs="Times New Roman"/>
          <w:b/>
          <w:bCs/>
          <w:szCs w:val="24"/>
          <w14:ligatures w14:val="none"/>
        </w:rPr>
        <w:t>（3）旅游生态足迹的计算方法</w:t>
      </w:r>
    </w:p>
    <w:p w14:paraId="505E2B5A">
      <w:pPr>
        <w:ind w:firstLine="480"/>
        <w:rPr>
          <w:rFonts w:cs="Times New Roman"/>
          <w:szCs w:val="24"/>
          <w14:ligatures w14:val="none"/>
        </w:rPr>
      </w:pPr>
      <w:r>
        <w:rPr>
          <w:rFonts w:hint="eastAsia" w:cs="Times New Roman"/>
          <w:szCs w:val="24"/>
          <w14:ligatures w14:val="none"/>
        </w:rPr>
        <w:t>旅游生态足迹指在整个地区国民生产总值需要的生产性土地面积中，旅游业所需要的生产性土地面积的数量（</w:t>
      </w:r>
      <w:r>
        <w:rPr>
          <w:rFonts w:cs="Times New Roman"/>
          <w:szCs w:val="24"/>
          <w14:ligatures w14:val="none"/>
        </w:rPr>
        <w:t>ha</w:t>
      </w:r>
      <w:r>
        <w:rPr>
          <w:rFonts w:hint="eastAsia" w:cs="Times New Roman"/>
          <w:szCs w:val="24"/>
          <w14:ligatures w14:val="none"/>
        </w:rPr>
        <w:t>）</w:t>
      </w:r>
      <w:r>
        <w:rPr>
          <w:rFonts w:cs="Times New Roman"/>
          <w:szCs w:val="24"/>
          <w14:ligatures w14:val="none"/>
        </w:rPr>
        <w:t>；旅游生态承载力</w:t>
      </w:r>
      <w:r>
        <w:rPr>
          <w:rFonts w:hint="eastAsia" w:cs="Times New Roman"/>
          <w:szCs w:val="24"/>
          <w14:ligatures w14:val="none"/>
        </w:rPr>
        <w:t>指</w:t>
      </w:r>
      <w:r>
        <w:rPr>
          <w:rFonts w:cs="Times New Roman"/>
          <w:szCs w:val="24"/>
          <w14:ligatures w14:val="none"/>
        </w:rPr>
        <w:t>能够提供支持旅游业的生产性土</w:t>
      </w:r>
      <w:r>
        <w:rPr>
          <w:rFonts w:hint="eastAsia" w:cs="Times New Roman"/>
          <w:szCs w:val="24"/>
          <w14:ligatures w14:val="none"/>
        </w:rPr>
        <w:t>地面积的数据（</w:t>
      </w:r>
      <w:r>
        <w:rPr>
          <w:rFonts w:cs="Times New Roman"/>
          <w:szCs w:val="24"/>
          <w14:ligatures w14:val="none"/>
        </w:rPr>
        <w:t>ha</w:t>
      </w:r>
      <w:r>
        <w:rPr>
          <w:rFonts w:hint="eastAsia" w:cs="Times New Roman"/>
          <w:szCs w:val="24"/>
          <w14:ligatures w14:val="none"/>
        </w:rPr>
        <w:t>）</w:t>
      </w:r>
      <w:r>
        <w:rPr>
          <w:rFonts w:cs="Times New Roman"/>
          <w:szCs w:val="24"/>
          <w14:ligatures w14:val="none"/>
        </w:rPr>
        <w:t>，二者之差为旅游生态赤字</w:t>
      </w:r>
      <w:r>
        <w:rPr>
          <w:rFonts w:hint="eastAsia" w:cs="Times New Roman"/>
          <w:szCs w:val="24"/>
          <w14:ligatures w14:val="none"/>
        </w:rPr>
        <w:t>（</w:t>
      </w:r>
      <w:r>
        <w:rPr>
          <w:rFonts w:cs="Times New Roman"/>
          <w:szCs w:val="24"/>
          <w14:ligatures w14:val="none"/>
        </w:rPr>
        <w:t>或旅游生态盈余</w:t>
      </w:r>
      <w:r>
        <w:rPr>
          <w:rFonts w:hint="eastAsia" w:cs="Times New Roman"/>
          <w:szCs w:val="24"/>
          <w14:ligatures w14:val="none"/>
        </w:rPr>
        <w:t>）</w:t>
      </w:r>
      <w:r>
        <w:rPr>
          <w:rFonts w:cs="Times New Roman"/>
          <w:szCs w:val="24"/>
          <w14:ligatures w14:val="none"/>
        </w:rPr>
        <w:t>。旅游生态足迹的计算</w:t>
      </w:r>
      <w:r>
        <w:rPr>
          <w:rFonts w:hint="eastAsia" w:cs="Times New Roman"/>
          <w:szCs w:val="24"/>
          <w14:ligatures w14:val="none"/>
        </w:rPr>
        <w:t>模型如下：</w:t>
      </w:r>
    </w:p>
    <w:p w14:paraId="47B20AF7">
      <w:pPr>
        <w:ind w:firstLine="0" w:firstLineChars="0"/>
        <w:jc w:val="center"/>
        <w:rPr>
          <w:rFonts w:cs="Times New Roman"/>
          <w:i/>
          <w:iCs/>
          <w:szCs w:val="24"/>
          <w14:ligatures w14:val="none"/>
        </w:rPr>
      </w:pPr>
      <w:r>
        <w:rPr>
          <w:rFonts w:cs="Times New Roman"/>
          <w:i/>
          <w:iCs/>
          <w:szCs w:val="24"/>
          <w14:ligatures w14:val="none"/>
        </w:rPr>
        <w:t>TED=EF×r</w:t>
      </w:r>
    </w:p>
    <w:p w14:paraId="145B7575">
      <w:pPr>
        <w:ind w:firstLine="480"/>
        <w:rPr>
          <w:rFonts w:cs="Times New Roman"/>
          <w:szCs w:val="24"/>
          <w14:ligatures w14:val="none"/>
        </w:rPr>
      </w:pPr>
      <w:r>
        <w:rPr>
          <w:rFonts w:hint="eastAsia" w:cs="Times New Roman"/>
          <w:szCs w:val="24"/>
          <w14:ligatures w14:val="none"/>
        </w:rPr>
        <w:t>式中：</w:t>
      </w:r>
      <w:r>
        <w:rPr>
          <w:rFonts w:cs="Times New Roman"/>
          <w:i/>
          <w:iCs/>
          <w:szCs w:val="24"/>
          <w14:ligatures w14:val="none"/>
        </w:rPr>
        <w:t>TED</w:t>
      </w:r>
      <w:r>
        <w:rPr>
          <w:rFonts w:hint="eastAsia" w:cs="Times New Roman"/>
          <w:szCs w:val="24"/>
          <w14:ligatures w14:val="none"/>
        </w:rPr>
        <w:t>—</w:t>
      </w:r>
      <w:r>
        <w:rPr>
          <w:rFonts w:cs="Times New Roman"/>
          <w:szCs w:val="24"/>
          <w14:ligatures w14:val="none"/>
        </w:rPr>
        <w:t>旅游生态足迹</w:t>
      </w:r>
      <w:r>
        <w:rPr>
          <w:rFonts w:hint="eastAsia" w:cs="Times New Roman"/>
          <w:szCs w:val="24"/>
          <w14:ligatures w14:val="none"/>
        </w:rPr>
        <w:t>（ha）；</w:t>
      </w:r>
    </w:p>
    <w:p w14:paraId="13B5C72C">
      <w:pPr>
        <w:ind w:firstLine="1200" w:firstLineChars="500"/>
        <w:rPr>
          <w:rFonts w:cs="Times New Roman"/>
          <w:szCs w:val="24"/>
          <w14:ligatures w14:val="none"/>
        </w:rPr>
      </w:pPr>
      <w:r>
        <w:rPr>
          <w:rFonts w:cs="Times New Roman"/>
          <w:i/>
          <w:iCs/>
          <w:szCs w:val="24"/>
          <w14:ligatures w14:val="none"/>
        </w:rPr>
        <w:t>EF</w:t>
      </w:r>
      <w:r>
        <w:rPr>
          <w:rFonts w:hint="eastAsia" w:cs="Times New Roman"/>
          <w:szCs w:val="24"/>
          <w14:ligatures w14:val="none"/>
        </w:rPr>
        <w:t>—</w:t>
      </w:r>
      <w:r>
        <w:rPr>
          <w:rFonts w:cs="Times New Roman"/>
          <w:szCs w:val="24"/>
          <w14:ligatures w14:val="none"/>
        </w:rPr>
        <w:t>该地区的生态足迹</w:t>
      </w:r>
      <w:r>
        <w:rPr>
          <w:rFonts w:hint="eastAsia" w:cs="Times New Roman"/>
          <w:szCs w:val="24"/>
          <w14:ligatures w14:val="none"/>
        </w:rPr>
        <w:t>；</w:t>
      </w:r>
    </w:p>
    <w:p w14:paraId="3FA6A944">
      <w:pPr>
        <w:ind w:firstLine="1200" w:firstLineChars="500"/>
        <w:rPr>
          <w:rFonts w:cs="Times New Roman"/>
          <w:szCs w:val="24"/>
          <w14:ligatures w14:val="none"/>
        </w:rPr>
      </w:pPr>
      <w:r>
        <w:rPr>
          <w:rFonts w:cs="Times New Roman"/>
          <w:i/>
          <w:iCs/>
          <w:szCs w:val="24"/>
          <w14:ligatures w14:val="none"/>
        </w:rPr>
        <w:t>r</w:t>
      </w:r>
      <w:r>
        <w:rPr>
          <w:rFonts w:hint="eastAsia" w:cs="Times New Roman"/>
          <w:szCs w:val="24"/>
          <w14:ligatures w14:val="none"/>
        </w:rPr>
        <w:t>—</w:t>
      </w:r>
      <w:r>
        <w:rPr>
          <w:rFonts w:cs="Times New Roman"/>
          <w:szCs w:val="24"/>
          <w14:ligatures w14:val="none"/>
        </w:rPr>
        <w:t>旅游业对国民生产</w:t>
      </w:r>
      <w:r>
        <w:rPr>
          <w:rFonts w:hint="eastAsia" w:cs="Times New Roman"/>
          <w:szCs w:val="24"/>
          <w14:ligatures w14:val="none"/>
        </w:rPr>
        <w:t>总值的贡献率，即</w:t>
      </w:r>
      <w:r>
        <w:rPr>
          <w:rFonts w:cs="Times New Roman"/>
          <w:i/>
          <w:iCs/>
          <w:szCs w:val="24"/>
          <w14:ligatures w14:val="none"/>
        </w:rPr>
        <w:t>r</w:t>
      </w:r>
      <w:r>
        <w:rPr>
          <w:rFonts w:cs="Times New Roman"/>
          <w:szCs w:val="24"/>
          <w14:ligatures w14:val="none"/>
        </w:rPr>
        <w:t>=旅游业总收入/</w:t>
      </w:r>
      <w:r>
        <w:rPr>
          <w:rFonts w:hint="eastAsia" w:cs="Times New Roman"/>
          <w:szCs w:val="24"/>
          <w14:ligatures w14:val="none"/>
        </w:rPr>
        <w:t>国内生产总值（GDP）</w:t>
      </w:r>
      <w:r>
        <w:rPr>
          <w:rFonts w:cs="Times New Roman"/>
          <w:szCs w:val="24"/>
          <w14:ligatures w14:val="none"/>
        </w:rPr>
        <w:t>。</w:t>
      </w:r>
    </w:p>
    <w:p w14:paraId="77B87E13">
      <w:pPr>
        <w:ind w:firstLine="480"/>
        <w:rPr>
          <w:szCs w:val="24"/>
        </w:rPr>
      </w:pPr>
      <w:r>
        <w:rPr>
          <w:rFonts w:hint="eastAsia"/>
          <w:szCs w:val="24"/>
        </w:rPr>
        <w:t>经查阅资料，结合茅山旅游度假区社会环境、经济、人文和自然条件，本次采用文献《基于生态足迹的区域旅游生态承载力研究—以苏南五市为例》中对无锡市的研究结论，文献中对农田、林地、水域、建设用地等土地类型的人均生态承载力均进行了分析，如表7</w:t>
      </w:r>
      <w:r>
        <w:rPr>
          <w:szCs w:val="24"/>
        </w:rPr>
        <w:t>.1-</w:t>
      </w:r>
      <w:r>
        <w:rPr>
          <w:rFonts w:hint="eastAsia"/>
          <w:szCs w:val="24"/>
        </w:rPr>
        <w:t>2所示。经计算，度假区最大可承载的人数为36.2万人/日。</w:t>
      </w:r>
    </w:p>
    <w:p w14:paraId="7BC9A013">
      <w:pPr>
        <w:pStyle w:val="45"/>
        <w:rPr>
          <w:rFonts w:cs="Times New Roman"/>
        </w:rPr>
      </w:pPr>
      <w:r>
        <w:rPr>
          <w:rFonts w:hint="eastAsia" w:cs="Times New Roman"/>
        </w:rPr>
        <w:t>表7</w:t>
      </w:r>
      <w:r>
        <w:rPr>
          <w:rFonts w:cs="Times New Roman"/>
        </w:rPr>
        <w:t>.1-</w:t>
      </w:r>
      <w:r>
        <w:rPr>
          <w:rFonts w:hint="eastAsia" w:cs="Times New Roman"/>
        </w:rPr>
        <w:t>2</w:t>
      </w:r>
      <w:r>
        <w:rPr>
          <w:rFonts w:cs="Times New Roman"/>
        </w:rPr>
        <w:t xml:space="preserve"> </w:t>
      </w:r>
      <w:r>
        <w:rPr>
          <w:rFonts w:hint="eastAsia" w:cs="Times New Roman"/>
        </w:rPr>
        <w:t>区域生态承载力计算表</w:t>
      </w:r>
    </w:p>
    <w:tbl>
      <w:tblPr>
        <w:tblStyle w:val="25"/>
        <w:tblW w:w="5018" w:type="pct"/>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0" w:type="dxa"/>
          <w:bottom w:w="0" w:type="dxa"/>
          <w:right w:w="0" w:type="dxa"/>
        </w:tblCellMar>
      </w:tblPr>
      <w:tblGrid>
        <w:gridCol w:w="1198"/>
        <w:gridCol w:w="2296"/>
        <w:gridCol w:w="2907"/>
        <w:gridCol w:w="1945"/>
      </w:tblGrid>
      <w:tr w14:paraId="2966BF7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0" w:hRule="atLeast"/>
          <w:tblHeader/>
        </w:trPr>
        <w:tc>
          <w:tcPr>
            <w:tcW w:w="718" w:type="pct"/>
            <w:tcBorders>
              <w:top w:val="single" w:color="000000" w:sz="4" w:space="0"/>
              <w:left w:val="single" w:color="000000" w:sz="4" w:space="0"/>
              <w:bottom w:val="single" w:color="000000" w:sz="6" w:space="0"/>
              <w:right w:val="single" w:color="000000" w:sz="6" w:space="0"/>
              <w:tl2br w:val="nil"/>
              <w:tr2bl w:val="nil"/>
            </w:tcBorders>
            <w:vAlign w:val="center"/>
          </w:tcPr>
          <w:p w14:paraId="010EFECE">
            <w:pPr>
              <w:widowControl/>
              <w:spacing w:line="240" w:lineRule="auto"/>
              <w:ind w:firstLine="0" w:firstLineChars="0"/>
              <w:jc w:val="center"/>
              <w:rPr>
                <w:b/>
                <w:bCs/>
                <w:kern w:val="0"/>
                <w:sz w:val="21"/>
                <w:szCs w:val="21"/>
              </w:rPr>
            </w:pPr>
            <w:r>
              <w:rPr>
                <w:rFonts w:hint="eastAsia"/>
                <w:b/>
                <w:bCs/>
                <w:kern w:val="0"/>
                <w:sz w:val="21"/>
                <w:szCs w:val="21"/>
              </w:rPr>
              <w:t>土地类型</w:t>
            </w:r>
          </w:p>
        </w:tc>
        <w:tc>
          <w:tcPr>
            <w:tcW w:w="1375" w:type="pct"/>
            <w:tcBorders>
              <w:top w:val="single" w:color="000000" w:sz="4" w:space="0"/>
              <w:left w:val="single" w:color="000000" w:sz="6" w:space="0"/>
              <w:bottom w:val="single" w:color="000000" w:sz="6" w:space="0"/>
              <w:right w:val="single" w:color="000000" w:sz="6" w:space="0"/>
              <w:tl2br w:val="nil"/>
              <w:tr2bl w:val="nil"/>
            </w:tcBorders>
            <w:vAlign w:val="center"/>
          </w:tcPr>
          <w:p w14:paraId="3751C8BA">
            <w:pPr>
              <w:widowControl/>
              <w:spacing w:line="240" w:lineRule="auto"/>
              <w:ind w:firstLine="0" w:firstLineChars="0"/>
              <w:jc w:val="center"/>
              <w:rPr>
                <w:b/>
                <w:bCs/>
                <w:kern w:val="0"/>
                <w:sz w:val="21"/>
                <w:szCs w:val="21"/>
              </w:rPr>
            </w:pPr>
            <w:r>
              <w:rPr>
                <w:rFonts w:hint="eastAsia"/>
                <w:b/>
                <w:bCs/>
                <w:kern w:val="0"/>
                <w:sz w:val="21"/>
                <w:szCs w:val="21"/>
              </w:rPr>
              <w:t>人均生态承载力a</w:t>
            </w:r>
          </w:p>
          <w:p w14:paraId="578E61A2">
            <w:pPr>
              <w:widowControl/>
              <w:spacing w:line="240" w:lineRule="auto"/>
              <w:ind w:firstLine="0" w:firstLineChars="0"/>
              <w:jc w:val="center"/>
              <w:rPr>
                <w:b/>
                <w:bCs/>
                <w:kern w:val="0"/>
                <w:sz w:val="21"/>
                <w:szCs w:val="21"/>
              </w:rPr>
            </w:pPr>
            <w:r>
              <w:rPr>
                <w:rFonts w:hint="eastAsia"/>
                <w:b/>
                <w:bCs/>
                <w:kern w:val="0"/>
                <w:sz w:val="21"/>
                <w:szCs w:val="21"/>
              </w:rPr>
              <w:t>（</w:t>
            </w:r>
            <w:r>
              <w:rPr>
                <w:b/>
                <w:bCs/>
                <w:kern w:val="0"/>
                <w:sz w:val="21"/>
                <w:szCs w:val="21"/>
              </w:rPr>
              <w:t>hm</w:t>
            </w:r>
            <w:r>
              <w:rPr>
                <w:b/>
                <w:bCs/>
                <w:kern w:val="0"/>
                <w:sz w:val="21"/>
                <w:szCs w:val="21"/>
                <w:vertAlign w:val="superscript"/>
              </w:rPr>
              <w:t>2</w:t>
            </w:r>
            <w:r>
              <w:rPr>
                <w:b/>
                <w:bCs/>
                <w:kern w:val="0"/>
                <w:sz w:val="21"/>
                <w:szCs w:val="21"/>
              </w:rPr>
              <w:t>/</w:t>
            </w:r>
            <w:r>
              <w:rPr>
                <w:rFonts w:hint="eastAsia"/>
                <w:b/>
                <w:bCs/>
                <w:kern w:val="0"/>
                <w:sz w:val="21"/>
                <w:szCs w:val="21"/>
              </w:rPr>
              <w:t>人/日）</w:t>
            </w:r>
          </w:p>
        </w:tc>
        <w:tc>
          <w:tcPr>
            <w:tcW w:w="1741" w:type="pct"/>
            <w:tcBorders>
              <w:top w:val="single" w:color="000000" w:sz="4" w:space="0"/>
              <w:left w:val="single" w:color="000000" w:sz="6" w:space="0"/>
              <w:bottom w:val="single" w:color="000000" w:sz="6" w:space="0"/>
              <w:right w:val="single" w:color="000000" w:sz="6" w:space="0"/>
              <w:tl2br w:val="nil"/>
              <w:tr2bl w:val="nil"/>
            </w:tcBorders>
            <w:vAlign w:val="center"/>
          </w:tcPr>
          <w:p w14:paraId="0C4475E5">
            <w:pPr>
              <w:widowControl/>
              <w:spacing w:line="240" w:lineRule="auto"/>
              <w:ind w:firstLine="0" w:firstLineChars="0"/>
              <w:jc w:val="center"/>
              <w:rPr>
                <w:b/>
                <w:bCs/>
                <w:kern w:val="0"/>
                <w:sz w:val="21"/>
                <w:szCs w:val="21"/>
              </w:rPr>
            </w:pPr>
            <w:r>
              <w:rPr>
                <w:rFonts w:hint="eastAsia"/>
                <w:b/>
                <w:bCs/>
                <w:kern w:val="0"/>
                <w:sz w:val="21"/>
                <w:szCs w:val="21"/>
              </w:rPr>
              <w:t>规划远期土地面积b</w:t>
            </w:r>
          </w:p>
          <w:p w14:paraId="396B9733">
            <w:pPr>
              <w:widowControl/>
              <w:spacing w:line="240" w:lineRule="auto"/>
              <w:ind w:firstLine="0" w:firstLineChars="0"/>
              <w:jc w:val="center"/>
              <w:rPr>
                <w:b/>
                <w:bCs/>
                <w:kern w:val="0"/>
                <w:sz w:val="21"/>
                <w:szCs w:val="21"/>
              </w:rPr>
            </w:pPr>
            <w:r>
              <w:rPr>
                <w:rFonts w:hint="eastAsia"/>
                <w:b/>
                <w:bCs/>
                <w:kern w:val="0"/>
                <w:sz w:val="21"/>
                <w:szCs w:val="21"/>
              </w:rPr>
              <w:t>（</w:t>
            </w:r>
            <w:r>
              <w:rPr>
                <w:b/>
                <w:bCs/>
                <w:kern w:val="0"/>
                <w:sz w:val="21"/>
                <w:szCs w:val="21"/>
              </w:rPr>
              <w:t>hm</w:t>
            </w:r>
            <w:r>
              <w:rPr>
                <w:b/>
                <w:bCs/>
                <w:kern w:val="0"/>
                <w:sz w:val="21"/>
                <w:szCs w:val="21"/>
                <w:vertAlign w:val="superscript"/>
              </w:rPr>
              <w:t>2</w:t>
            </w:r>
            <w:r>
              <w:rPr>
                <w:rFonts w:hint="eastAsia"/>
                <w:b/>
                <w:bCs/>
                <w:kern w:val="0"/>
                <w:sz w:val="21"/>
                <w:szCs w:val="21"/>
              </w:rPr>
              <w:t>）</w:t>
            </w:r>
          </w:p>
        </w:tc>
        <w:tc>
          <w:tcPr>
            <w:tcW w:w="1165" w:type="pct"/>
            <w:tcBorders>
              <w:top w:val="single" w:color="000000" w:sz="4" w:space="0"/>
              <w:left w:val="single" w:color="000000" w:sz="6" w:space="0"/>
              <w:bottom w:val="single" w:color="000000" w:sz="6" w:space="0"/>
              <w:right w:val="single" w:color="000000" w:sz="4" w:space="0"/>
              <w:tl2br w:val="nil"/>
              <w:tr2bl w:val="nil"/>
            </w:tcBorders>
            <w:vAlign w:val="center"/>
          </w:tcPr>
          <w:p w14:paraId="6F946487">
            <w:pPr>
              <w:widowControl/>
              <w:spacing w:line="240" w:lineRule="auto"/>
              <w:ind w:firstLine="0" w:firstLineChars="0"/>
              <w:jc w:val="center"/>
              <w:rPr>
                <w:b/>
                <w:bCs/>
                <w:kern w:val="0"/>
                <w:sz w:val="21"/>
                <w:szCs w:val="21"/>
              </w:rPr>
            </w:pPr>
            <w:r>
              <w:rPr>
                <w:rFonts w:hint="eastAsia"/>
                <w:b/>
                <w:bCs/>
                <w:kern w:val="0"/>
                <w:sz w:val="21"/>
                <w:szCs w:val="21"/>
              </w:rPr>
              <w:t>可承载人数c</w:t>
            </w:r>
          </w:p>
          <w:p w14:paraId="2AE1898D">
            <w:pPr>
              <w:widowControl/>
              <w:spacing w:line="240" w:lineRule="auto"/>
              <w:ind w:firstLine="0" w:firstLineChars="0"/>
              <w:jc w:val="center"/>
              <w:rPr>
                <w:b/>
                <w:bCs/>
                <w:kern w:val="0"/>
                <w:sz w:val="21"/>
                <w:szCs w:val="21"/>
              </w:rPr>
            </w:pPr>
            <w:r>
              <w:rPr>
                <w:rFonts w:hint="eastAsia"/>
                <w:b/>
                <w:bCs/>
                <w:kern w:val="0"/>
                <w:sz w:val="21"/>
                <w:szCs w:val="21"/>
              </w:rPr>
              <w:t>（人/日）</w:t>
            </w:r>
            <w:r>
              <w:rPr>
                <w:b/>
                <w:bCs/>
                <w:kern w:val="0"/>
                <w:sz w:val="21"/>
                <w:szCs w:val="21"/>
              </w:rPr>
              <w:t>c=b/a</w:t>
            </w:r>
          </w:p>
        </w:tc>
      </w:tr>
      <w:tr w14:paraId="7E356C9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0" w:hRule="atLeast"/>
        </w:trPr>
        <w:tc>
          <w:tcPr>
            <w:tcW w:w="718" w:type="pct"/>
            <w:tcBorders>
              <w:top w:val="single" w:color="000000" w:sz="6" w:space="0"/>
              <w:left w:val="single" w:color="000000" w:sz="4" w:space="0"/>
              <w:bottom w:val="single" w:color="000000" w:sz="6" w:space="0"/>
              <w:right w:val="single" w:color="000000" w:sz="6" w:space="0"/>
              <w:tl2br w:val="nil"/>
              <w:tr2bl w:val="nil"/>
            </w:tcBorders>
            <w:vAlign w:val="center"/>
          </w:tcPr>
          <w:p w14:paraId="65CBF884">
            <w:pPr>
              <w:widowControl/>
              <w:spacing w:line="240" w:lineRule="auto"/>
              <w:ind w:firstLine="0" w:firstLineChars="0"/>
              <w:jc w:val="center"/>
              <w:rPr>
                <w:kern w:val="0"/>
                <w:sz w:val="21"/>
                <w:szCs w:val="21"/>
              </w:rPr>
            </w:pPr>
            <w:r>
              <w:rPr>
                <w:rFonts w:hint="eastAsia"/>
                <w:kern w:val="0"/>
                <w:sz w:val="21"/>
                <w:szCs w:val="21"/>
              </w:rPr>
              <w:t>农田</w:t>
            </w:r>
          </w:p>
        </w:tc>
        <w:tc>
          <w:tcPr>
            <w:tcW w:w="1375" w:type="pct"/>
            <w:tcBorders>
              <w:top w:val="single" w:color="000000" w:sz="6" w:space="0"/>
              <w:left w:val="single" w:color="000000" w:sz="6" w:space="0"/>
              <w:bottom w:val="single" w:color="000000" w:sz="6" w:space="0"/>
              <w:right w:val="single" w:color="000000" w:sz="6" w:space="0"/>
              <w:tl2br w:val="nil"/>
              <w:tr2bl w:val="nil"/>
            </w:tcBorders>
            <w:vAlign w:val="center"/>
          </w:tcPr>
          <w:p w14:paraId="5D09DA4F">
            <w:pPr>
              <w:widowControl/>
              <w:spacing w:line="240" w:lineRule="auto"/>
              <w:ind w:firstLine="0" w:firstLineChars="0"/>
              <w:jc w:val="center"/>
              <w:rPr>
                <w:kern w:val="0"/>
                <w:sz w:val="21"/>
                <w:szCs w:val="21"/>
              </w:rPr>
            </w:pPr>
            <w:r>
              <w:rPr>
                <w:kern w:val="0"/>
                <w:sz w:val="21"/>
                <w:szCs w:val="21"/>
              </w:rPr>
              <w:t>0.2329</w:t>
            </w:r>
          </w:p>
        </w:tc>
        <w:tc>
          <w:tcPr>
            <w:tcW w:w="1741" w:type="pct"/>
            <w:tcBorders>
              <w:top w:val="single" w:color="000000" w:sz="6" w:space="0"/>
              <w:left w:val="single" w:color="000000" w:sz="6" w:space="0"/>
              <w:bottom w:val="single" w:color="000000" w:sz="6" w:space="0"/>
              <w:right w:val="single" w:color="000000" w:sz="6" w:space="0"/>
              <w:tl2br w:val="nil"/>
              <w:tr2bl w:val="nil"/>
            </w:tcBorders>
            <w:vAlign w:val="center"/>
          </w:tcPr>
          <w:p w14:paraId="5E08FA4A">
            <w:pPr>
              <w:widowControl/>
              <w:spacing w:line="240" w:lineRule="auto"/>
              <w:ind w:firstLine="0" w:firstLineChars="0"/>
              <w:jc w:val="center"/>
              <w:rPr>
                <w:kern w:val="0"/>
                <w:sz w:val="21"/>
                <w:szCs w:val="21"/>
              </w:rPr>
            </w:pPr>
            <w:r>
              <w:rPr>
                <w:kern w:val="0"/>
                <w:sz w:val="21"/>
                <w:szCs w:val="21"/>
              </w:rPr>
              <w:t>2149.3</w:t>
            </w:r>
          </w:p>
        </w:tc>
        <w:tc>
          <w:tcPr>
            <w:tcW w:w="1165" w:type="pct"/>
            <w:tcBorders>
              <w:top w:val="single" w:color="000000" w:sz="6" w:space="0"/>
              <w:left w:val="single" w:color="000000" w:sz="6" w:space="0"/>
              <w:bottom w:val="single" w:color="000000" w:sz="6" w:space="0"/>
              <w:right w:val="single" w:color="000000" w:sz="4" w:space="0"/>
              <w:tl2br w:val="nil"/>
              <w:tr2bl w:val="nil"/>
            </w:tcBorders>
            <w:vAlign w:val="center"/>
          </w:tcPr>
          <w:p w14:paraId="1976D0D0">
            <w:pPr>
              <w:widowControl/>
              <w:spacing w:line="240" w:lineRule="auto"/>
              <w:ind w:firstLine="0" w:firstLineChars="0"/>
              <w:jc w:val="center"/>
              <w:rPr>
                <w:kern w:val="0"/>
                <w:sz w:val="21"/>
                <w:szCs w:val="21"/>
              </w:rPr>
            </w:pPr>
            <w:r>
              <w:rPr>
                <w:rFonts w:hint="eastAsia"/>
                <w:kern w:val="0"/>
                <w:sz w:val="21"/>
                <w:szCs w:val="21"/>
              </w:rPr>
              <w:t>9228</w:t>
            </w:r>
          </w:p>
        </w:tc>
      </w:tr>
      <w:tr w14:paraId="2348C98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0" w:hRule="atLeast"/>
        </w:trPr>
        <w:tc>
          <w:tcPr>
            <w:tcW w:w="718" w:type="pct"/>
            <w:tcBorders>
              <w:top w:val="single" w:color="000000" w:sz="6" w:space="0"/>
              <w:left w:val="single" w:color="000000" w:sz="4" w:space="0"/>
              <w:bottom w:val="single" w:color="000000" w:sz="6" w:space="0"/>
              <w:right w:val="single" w:color="000000" w:sz="6" w:space="0"/>
              <w:tl2br w:val="nil"/>
              <w:tr2bl w:val="nil"/>
            </w:tcBorders>
            <w:vAlign w:val="center"/>
          </w:tcPr>
          <w:p w14:paraId="6292C892">
            <w:pPr>
              <w:widowControl/>
              <w:spacing w:line="240" w:lineRule="auto"/>
              <w:ind w:firstLine="0" w:firstLineChars="0"/>
              <w:jc w:val="center"/>
              <w:rPr>
                <w:kern w:val="0"/>
                <w:sz w:val="21"/>
                <w:szCs w:val="21"/>
              </w:rPr>
            </w:pPr>
            <w:r>
              <w:rPr>
                <w:rFonts w:hint="eastAsia"/>
                <w:kern w:val="0"/>
                <w:sz w:val="21"/>
                <w:szCs w:val="21"/>
              </w:rPr>
              <w:t>林地</w:t>
            </w:r>
          </w:p>
        </w:tc>
        <w:tc>
          <w:tcPr>
            <w:tcW w:w="1375" w:type="pct"/>
            <w:tcBorders>
              <w:top w:val="single" w:color="000000" w:sz="6" w:space="0"/>
              <w:left w:val="single" w:color="000000" w:sz="6" w:space="0"/>
              <w:bottom w:val="single" w:color="000000" w:sz="6" w:space="0"/>
              <w:right w:val="single" w:color="000000" w:sz="6" w:space="0"/>
              <w:tl2br w:val="nil"/>
              <w:tr2bl w:val="nil"/>
            </w:tcBorders>
            <w:vAlign w:val="center"/>
          </w:tcPr>
          <w:p w14:paraId="34257769">
            <w:pPr>
              <w:widowControl/>
              <w:spacing w:line="240" w:lineRule="auto"/>
              <w:ind w:firstLine="0" w:firstLineChars="0"/>
              <w:jc w:val="center"/>
              <w:rPr>
                <w:kern w:val="0"/>
                <w:sz w:val="21"/>
                <w:szCs w:val="21"/>
              </w:rPr>
            </w:pPr>
            <w:r>
              <w:rPr>
                <w:kern w:val="0"/>
                <w:sz w:val="21"/>
                <w:szCs w:val="21"/>
              </w:rPr>
              <w:t>0.0257</w:t>
            </w:r>
          </w:p>
        </w:tc>
        <w:tc>
          <w:tcPr>
            <w:tcW w:w="1741" w:type="pct"/>
            <w:tcBorders>
              <w:top w:val="single" w:color="000000" w:sz="6" w:space="0"/>
              <w:left w:val="single" w:color="000000" w:sz="6" w:space="0"/>
              <w:bottom w:val="single" w:color="000000" w:sz="6" w:space="0"/>
              <w:right w:val="single" w:color="000000" w:sz="6" w:space="0"/>
              <w:tl2br w:val="nil"/>
              <w:tr2bl w:val="nil"/>
            </w:tcBorders>
            <w:vAlign w:val="center"/>
          </w:tcPr>
          <w:p w14:paraId="1C62BFFA">
            <w:pPr>
              <w:widowControl/>
              <w:spacing w:line="240" w:lineRule="auto"/>
              <w:ind w:firstLine="0" w:firstLineChars="0"/>
              <w:jc w:val="center"/>
              <w:rPr>
                <w:kern w:val="0"/>
                <w:sz w:val="21"/>
                <w:szCs w:val="21"/>
              </w:rPr>
            </w:pPr>
            <w:r>
              <w:rPr>
                <w:rFonts w:hint="eastAsia"/>
                <w:kern w:val="0"/>
                <w:sz w:val="21"/>
                <w:szCs w:val="21"/>
              </w:rPr>
              <w:t>6297</w:t>
            </w:r>
          </w:p>
        </w:tc>
        <w:tc>
          <w:tcPr>
            <w:tcW w:w="1165" w:type="pct"/>
            <w:tcBorders>
              <w:top w:val="single" w:color="000000" w:sz="6" w:space="0"/>
              <w:left w:val="single" w:color="000000" w:sz="6" w:space="0"/>
              <w:bottom w:val="single" w:color="000000" w:sz="6" w:space="0"/>
              <w:right w:val="single" w:color="000000" w:sz="4" w:space="0"/>
              <w:tl2br w:val="nil"/>
              <w:tr2bl w:val="nil"/>
            </w:tcBorders>
            <w:vAlign w:val="center"/>
          </w:tcPr>
          <w:p w14:paraId="136BA294">
            <w:pPr>
              <w:widowControl/>
              <w:spacing w:line="240" w:lineRule="auto"/>
              <w:ind w:firstLine="0" w:firstLineChars="0"/>
              <w:jc w:val="center"/>
              <w:rPr>
                <w:kern w:val="0"/>
                <w:sz w:val="21"/>
                <w:szCs w:val="21"/>
              </w:rPr>
            </w:pPr>
            <w:r>
              <w:rPr>
                <w:rFonts w:hint="eastAsia"/>
                <w:kern w:val="0"/>
                <w:sz w:val="21"/>
                <w:szCs w:val="21"/>
              </w:rPr>
              <w:t>245019</w:t>
            </w:r>
          </w:p>
        </w:tc>
      </w:tr>
      <w:tr w14:paraId="77A5A06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0" w:hRule="atLeast"/>
        </w:trPr>
        <w:tc>
          <w:tcPr>
            <w:tcW w:w="718" w:type="pct"/>
            <w:tcBorders>
              <w:top w:val="single" w:color="000000" w:sz="6" w:space="0"/>
              <w:left w:val="single" w:color="000000" w:sz="4" w:space="0"/>
              <w:bottom w:val="single" w:color="000000" w:sz="6" w:space="0"/>
              <w:right w:val="single" w:color="000000" w:sz="6" w:space="0"/>
              <w:tl2br w:val="nil"/>
              <w:tr2bl w:val="nil"/>
            </w:tcBorders>
            <w:vAlign w:val="center"/>
          </w:tcPr>
          <w:p w14:paraId="3A69127F">
            <w:pPr>
              <w:widowControl/>
              <w:spacing w:line="240" w:lineRule="auto"/>
              <w:ind w:firstLine="0" w:firstLineChars="0"/>
              <w:jc w:val="center"/>
              <w:rPr>
                <w:kern w:val="0"/>
                <w:sz w:val="21"/>
                <w:szCs w:val="21"/>
              </w:rPr>
            </w:pPr>
            <w:r>
              <w:rPr>
                <w:rFonts w:hint="eastAsia"/>
                <w:kern w:val="0"/>
                <w:sz w:val="21"/>
                <w:szCs w:val="21"/>
              </w:rPr>
              <w:t>建设用地</w:t>
            </w:r>
          </w:p>
        </w:tc>
        <w:tc>
          <w:tcPr>
            <w:tcW w:w="1375" w:type="pct"/>
            <w:tcBorders>
              <w:top w:val="single" w:color="000000" w:sz="6" w:space="0"/>
              <w:left w:val="single" w:color="000000" w:sz="6" w:space="0"/>
              <w:bottom w:val="single" w:color="000000" w:sz="6" w:space="0"/>
              <w:right w:val="single" w:color="000000" w:sz="6" w:space="0"/>
              <w:tl2br w:val="nil"/>
              <w:tr2bl w:val="nil"/>
            </w:tcBorders>
            <w:vAlign w:val="center"/>
          </w:tcPr>
          <w:p w14:paraId="6BF757AB">
            <w:pPr>
              <w:widowControl/>
              <w:spacing w:line="240" w:lineRule="auto"/>
              <w:ind w:firstLine="0" w:firstLineChars="0"/>
              <w:jc w:val="center"/>
              <w:rPr>
                <w:kern w:val="0"/>
                <w:sz w:val="21"/>
                <w:szCs w:val="21"/>
              </w:rPr>
            </w:pPr>
            <w:r>
              <w:rPr>
                <w:kern w:val="0"/>
                <w:sz w:val="21"/>
                <w:szCs w:val="21"/>
              </w:rPr>
              <w:t>0.0786</w:t>
            </w:r>
          </w:p>
        </w:tc>
        <w:tc>
          <w:tcPr>
            <w:tcW w:w="1741" w:type="pct"/>
            <w:tcBorders>
              <w:top w:val="single" w:color="000000" w:sz="6" w:space="0"/>
              <w:left w:val="single" w:color="000000" w:sz="6" w:space="0"/>
              <w:bottom w:val="single" w:color="000000" w:sz="6" w:space="0"/>
              <w:right w:val="single" w:color="000000" w:sz="6" w:space="0"/>
              <w:tl2br w:val="nil"/>
              <w:tr2bl w:val="nil"/>
            </w:tcBorders>
            <w:vAlign w:val="center"/>
          </w:tcPr>
          <w:p w14:paraId="0AEB2A8B">
            <w:pPr>
              <w:widowControl/>
              <w:spacing w:line="240" w:lineRule="auto"/>
              <w:ind w:firstLine="0" w:firstLineChars="0"/>
              <w:jc w:val="center"/>
              <w:rPr>
                <w:kern w:val="0"/>
                <w:sz w:val="21"/>
                <w:szCs w:val="21"/>
              </w:rPr>
            </w:pPr>
            <w:r>
              <w:rPr>
                <w:kern w:val="0"/>
                <w:sz w:val="21"/>
                <w:szCs w:val="21"/>
              </w:rPr>
              <w:t>1147.9</w:t>
            </w:r>
          </w:p>
        </w:tc>
        <w:tc>
          <w:tcPr>
            <w:tcW w:w="1165" w:type="pct"/>
            <w:tcBorders>
              <w:top w:val="single" w:color="000000" w:sz="6" w:space="0"/>
              <w:left w:val="single" w:color="000000" w:sz="6" w:space="0"/>
              <w:bottom w:val="single" w:color="000000" w:sz="6" w:space="0"/>
              <w:right w:val="single" w:color="000000" w:sz="4" w:space="0"/>
              <w:tl2br w:val="nil"/>
              <w:tr2bl w:val="nil"/>
            </w:tcBorders>
            <w:vAlign w:val="center"/>
          </w:tcPr>
          <w:p w14:paraId="7ACBCDDD">
            <w:pPr>
              <w:widowControl/>
              <w:spacing w:line="240" w:lineRule="auto"/>
              <w:ind w:firstLine="0" w:firstLineChars="0"/>
              <w:jc w:val="center"/>
              <w:rPr>
                <w:kern w:val="0"/>
                <w:sz w:val="21"/>
                <w:szCs w:val="21"/>
              </w:rPr>
            </w:pPr>
            <w:r>
              <w:rPr>
                <w:rFonts w:hint="eastAsia"/>
                <w:kern w:val="0"/>
                <w:sz w:val="21"/>
                <w:szCs w:val="21"/>
              </w:rPr>
              <w:t>14604</w:t>
            </w:r>
          </w:p>
        </w:tc>
      </w:tr>
      <w:tr w14:paraId="28F6188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0" w:hRule="atLeast"/>
        </w:trPr>
        <w:tc>
          <w:tcPr>
            <w:tcW w:w="718" w:type="pct"/>
            <w:tcBorders>
              <w:top w:val="single" w:color="000000" w:sz="6" w:space="0"/>
              <w:left w:val="single" w:color="000000" w:sz="4" w:space="0"/>
              <w:bottom w:val="single" w:color="000000" w:sz="6" w:space="0"/>
              <w:right w:val="single" w:color="000000" w:sz="6" w:space="0"/>
              <w:tl2br w:val="nil"/>
              <w:tr2bl w:val="nil"/>
            </w:tcBorders>
            <w:vAlign w:val="center"/>
          </w:tcPr>
          <w:p w14:paraId="280778D8">
            <w:pPr>
              <w:widowControl/>
              <w:spacing w:line="240" w:lineRule="auto"/>
              <w:ind w:firstLine="0" w:firstLineChars="0"/>
              <w:jc w:val="center"/>
              <w:rPr>
                <w:kern w:val="0"/>
                <w:sz w:val="21"/>
                <w:szCs w:val="21"/>
              </w:rPr>
            </w:pPr>
            <w:r>
              <w:rPr>
                <w:rFonts w:hint="eastAsia"/>
                <w:kern w:val="0"/>
                <w:sz w:val="21"/>
                <w:szCs w:val="21"/>
              </w:rPr>
              <w:t>水域</w:t>
            </w:r>
          </w:p>
        </w:tc>
        <w:tc>
          <w:tcPr>
            <w:tcW w:w="1375" w:type="pct"/>
            <w:tcBorders>
              <w:top w:val="single" w:color="000000" w:sz="6" w:space="0"/>
              <w:left w:val="single" w:color="000000" w:sz="6" w:space="0"/>
              <w:bottom w:val="single" w:color="000000" w:sz="6" w:space="0"/>
              <w:right w:val="single" w:color="000000" w:sz="6" w:space="0"/>
              <w:tl2br w:val="nil"/>
              <w:tr2bl w:val="nil"/>
            </w:tcBorders>
            <w:vAlign w:val="center"/>
          </w:tcPr>
          <w:p w14:paraId="41B3BFD3">
            <w:pPr>
              <w:widowControl/>
              <w:spacing w:line="240" w:lineRule="auto"/>
              <w:ind w:firstLine="0" w:firstLineChars="0"/>
              <w:jc w:val="center"/>
              <w:rPr>
                <w:kern w:val="0"/>
                <w:sz w:val="21"/>
                <w:szCs w:val="21"/>
              </w:rPr>
            </w:pPr>
            <w:r>
              <w:rPr>
                <w:kern w:val="0"/>
                <w:sz w:val="21"/>
                <w:szCs w:val="21"/>
              </w:rPr>
              <w:t>0.011</w:t>
            </w:r>
          </w:p>
        </w:tc>
        <w:tc>
          <w:tcPr>
            <w:tcW w:w="1741" w:type="pct"/>
            <w:tcBorders>
              <w:top w:val="single" w:color="000000" w:sz="6" w:space="0"/>
              <w:left w:val="single" w:color="000000" w:sz="6" w:space="0"/>
              <w:bottom w:val="single" w:color="000000" w:sz="6" w:space="0"/>
              <w:right w:val="single" w:color="000000" w:sz="6" w:space="0"/>
              <w:tl2br w:val="nil"/>
              <w:tr2bl w:val="nil"/>
            </w:tcBorders>
            <w:vAlign w:val="center"/>
          </w:tcPr>
          <w:p w14:paraId="27D2D4D3">
            <w:pPr>
              <w:widowControl/>
              <w:spacing w:line="240" w:lineRule="auto"/>
              <w:ind w:firstLine="0" w:firstLineChars="0"/>
              <w:jc w:val="center"/>
              <w:rPr>
                <w:kern w:val="0"/>
                <w:sz w:val="21"/>
                <w:szCs w:val="21"/>
              </w:rPr>
            </w:pPr>
            <w:r>
              <w:rPr>
                <w:kern w:val="0"/>
                <w:sz w:val="21"/>
                <w:szCs w:val="21"/>
              </w:rPr>
              <w:t>1025</w:t>
            </w:r>
          </w:p>
        </w:tc>
        <w:tc>
          <w:tcPr>
            <w:tcW w:w="1165" w:type="pct"/>
            <w:tcBorders>
              <w:top w:val="single" w:color="000000" w:sz="6" w:space="0"/>
              <w:left w:val="single" w:color="000000" w:sz="6" w:space="0"/>
              <w:bottom w:val="single" w:color="000000" w:sz="6" w:space="0"/>
              <w:right w:val="single" w:color="000000" w:sz="4" w:space="0"/>
              <w:tl2br w:val="nil"/>
              <w:tr2bl w:val="nil"/>
            </w:tcBorders>
            <w:vAlign w:val="center"/>
          </w:tcPr>
          <w:p w14:paraId="5E3B6DF4">
            <w:pPr>
              <w:widowControl/>
              <w:spacing w:line="240" w:lineRule="auto"/>
              <w:ind w:firstLine="0" w:firstLineChars="0"/>
              <w:jc w:val="center"/>
              <w:rPr>
                <w:kern w:val="0"/>
                <w:sz w:val="21"/>
                <w:szCs w:val="21"/>
              </w:rPr>
            </w:pPr>
            <w:r>
              <w:rPr>
                <w:rFonts w:hint="eastAsia"/>
                <w:kern w:val="0"/>
                <w:sz w:val="21"/>
                <w:szCs w:val="21"/>
              </w:rPr>
              <w:t>93182</w:t>
            </w:r>
          </w:p>
        </w:tc>
      </w:tr>
      <w:tr w14:paraId="16D86DF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20" w:hRule="atLeast"/>
        </w:trPr>
        <w:tc>
          <w:tcPr>
            <w:tcW w:w="3834" w:type="pct"/>
            <w:gridSpan w:val="3"/>
            <w:tcBorders>
              <w:top w:val="single" w:color="000000" w:sz="6" w:space="0"/>
              <w:left w:val="single" w:color="000000" w:sz="4" w:space="0"/>
              <w:bottom w:val="single" w:color="000000" w:sz="6" w:space="0"/>
              <w:right w:val="single" w:color="000000" w:sz="6" w:space="0"/>
              <w:tl2br w:val="nil"/>
              <w:tr2bl w:val="nil"/>
            </w:tcBorders>
            <w:vAlign w:val="center"/>
          </w:tcPr>
          <w:p w14:paraId="04181305">
            <w:pPr>
              <w:widowControl/>
              <w:spacing w:line="240" w:lineRule="auto"/>
              <w:ind w:firstLine="0" w:firstLineChars="0"/>
              <w:jc w:val="center"/>
              <w:rPr>
                <w:kern w:val="0"/>
                <w:sz w:val="21"/>
                <w:szCs w:val="21"/>
              </w:rPr>
            </w:pPr>
            <w:r>
              <w:rPr>
                <w:rFonts w:hint="eastAsia"/>
                <w:kern w:val="0"/>
                <w:sz w:val="21"/>
                <w:szCs w:val="21"/>
              </w:rPr>
              <w:t>合计</w:t>
            </w:r>
          </w:p>
        </w:tc>
        <w:tc>
          <w:tcPr>
            <w:tcW w:w="1165" w:type="pct"/>
            <w:tcBorders>
              <w:top w:val="single" w:color="000000" w:sz="6" w:space="0"/>
              <w:left w:val="single" w:color="000000" w:sz="6" w:space="0"/>
              <w:bottom w:val="single" w:color="000000" w:sz="6" w:space="0"/>
              <w:right w:val="single" w:color="000000" w:sz="4" w:space="0"/>
              <w:tl2br w:val="nil"/>
              <w:tr2bl w:val="nil"/>
            </w:tcBorders>
            <w:vAlign w:val="center"/>
          </w:tcPr>
          <w:p w14:paraId="2A9E52BA">
            <w:pPr>
              <w:widowControl/>
              <w:spacing w:line="240" w:lineRule="auto"/>
              <w:ind w:firstLine="0" w:firstLineChars="0"/>
              <w:jc w:val="center"/>
              <w:rPr>
                <w:kern w:val="0"/>
                <w:sz w:val="21"/>
                <w:szCs w:val="21"/>
              </w:rPr>
            </w:pPr>
            <w:r>
              <w:rPr>
                <w:rFonts w:hint="eastAsia"/>
                <w:kern w:val="0"/>
                <w:sz w:val="21"/>
                <w:szCs w:val="21"/>
              </w:rPr>
              <w:t>362034</w:t>
            </w:r>
          </w:p>
        </w:tc>
      </w:tr>
    </w:tbl>
    <w:p w14:paraId="080009CF">
      <w:pPr>
        <w:ind w:firstLine="480"/>
        <w:rPr>
          <w:rFonts w:cs="Times New Roman"/>
        </w:rPr>
      </w:pPr>
      <w:r>
        <w:rPr>
          <w:rFonts w:hint="eastAsia" w:cs="Times New Roman"/>
        </w:rPr>
        <w:t>据预测，规划远期度假区常住人口4.39万人，年游客量将达685.7万人次，平均日游客量约1.87万人，在生态承载力范围以内。</w:t>
      </w:r>
    </w:p>
    <w:p w14:paraId="0484F297">
      <w:pPr>
        <w:ind w:firstLine="480"/>
        <w:rPr>
          <w:rFonts w:cs="Times New Roman"/>
        </w:rPr>
      </w:pPr>
      <w:r>
        <w:rPr>
          <w:rFonts w:hint="eastAsia" w:cs="Times New Roman"/>
        </w:rPr>
        <w:t>就生态足迹而言，至规划远期，按规划方案中的平日游客规模和高峰期游客规模情况下，茅山旅游度假区内总人口的生物生产土地面积的需求量均未超过区域生态系统的承载能力，生态系统将处于一种生态平衡状态。</w:t>
      </w:r>
    </w:p>
    <w:p w14:paraId="7B5B3AA8">
      <w:pPr>
        <w:ind w:firstLine="480"/>
        <w:rPr>
          <w:rFonts w:cs="Times New Roman"/>
        </w:rPr>
      </w:pPr>
      <w:r>
        <w:rPr>
          <w:rFonts w:hint="eastAsia" w:cs="Times New Roman"/>
        </w:rPr>
        <w:t>在后续规划实施过程中应及时监测、跟踪生态系统变化情况和游客数量，避免游客数量超出茅山旅游度假区生态承载力，减轻在开发、营运过程中对环境产生的不利影响，做到旅游产业的可持续发展。</w:t>
      </w:r>
    </w:p>
    <w:p w14:paraId="75E63AE2">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7.1.3旅游空间资源承载力分析</w:t>
      </w:r>
    </w:p>
    <w:p w14:paraId="1C6DFA0C">
      <w:pPr>
        <w:ind w:firstLine="480"/>
        <w:rPr>
          <w:rFonts w:cs="Times New Roman"/>
        </w:rPr>
      </w:pPr>
      <w:r>
        <w:rPr>
          <w:rFonts w:hint="eastAsia" w:cs="Times New Roman"/>
        </w:rPr>
        <w:t>茅山旅游度假区规划构建“一心、两轴、三区”的空间发展格局，形成“二横三纵”的骨干路网结构，游客主要沿内部交通网络向周边进行旅游活动，活动范围较大且分散，参考《景区最大承载量核定导则》（LB/T034-2014）及相关文献资料，本次分别采用面积法、旅游设施承载量测算旅游资源承载力。</w:t>
      </w:r>
    </w:p>
    <w:p w14:paraId="421E6145">
      <w:pPr>
        <w:spacing w:line="500" w:lineRule="exact"/>
        <w:ind w:firstLine="482"/>
        <w:rPr>
          <w:rFonts w:cs="Times New Roman"/>
          <w:b/>
          <w:bCs/>
          <w:szCs w:val="24"/>
          <w14:ligatures w14:val="none"/>
        </w:rPr>
      </w:pPr>
      <w:r>
        <w:rPr>
          <w:rFonts w:hint="eastAsia" w:cs="Times New Roman"/>
          <w:b/>
          <w:bCs/>
          <w:szCs w:val="24"/>
          <w14:ligatures w14:val="none"/>
        </w:rPr>
        <w:t>（1）计算方法</w:t>
      </w:r>
    </w:p>
    <w:p w14:paraId="228675C6">
      <w:pPr>
        <w:ind w:firstLine="480"/>
        <w:rPr>
          <w:rFonts w:cs="Times New Roman"/>
          <w:szCs w:val="24"/>
          <w14:ligatures w14:val="none"/>
        </w:rPr>
      </w:pPr>
      <w:r>
        <w:rPr>
          <w:rFonts w:hint="eastAsia" w:cs="Times New Roman"/>
          <w:szCs w:val="24"/>
          <w14:ligatures w14:val="none"/>
        </w:rPr>
        <w:t>瞬时容量计算公式如下：</w:t>
      </w:r>
    </w:p>
    <w:p w14:paraId="1B610160">
      <w:pPr>
        <w:ind w:firstLine="0" w:firstLineChars="0"/>
        <w:jc w:val="center"/>
        <w:rPr>
          <w:rFonts w:cs="Times New Roman"/>
          <w:i/>
          <w:iCs/>
          <w:szCs w:val="24"/>
          <w14:ligatures w14:val="none"/>
        </w:rPr>
      </w:pPr>
      <w:r>
        <w:rPr>
          <w:rFonts w:cs="Times New Roman"/>
          <w:i/>
          <w:iCs/>
          <w:szCs w:val="24"/>
          <w14:ligatures w14:val="none"/>
        </w:rPr>
        <w:t>B</w:t>
      </w:r>
      <w:r>
        <w:rPr>
          <w:rFonts w:cs="Times New Roman"/>
          <w:i/>
          <w:iCs/>
          <w:szCs w:val="24"/>
          <w:vertAlign w:val="subscript"/>
          <w14:ligatures w14:val="none"/>
        </w:rPr>
        <w:t>x</w:t>
      </w:r>
      <w:r>
        <w:rPr>
          <w:rFonts w:cs="Times New Roman"/>
          <w:i/>
          <w:iCs/>
          <w:szCs w:val="24"/>
          <w14:ligatures w14:val="none"/>
        </w:rPr>
        <w:t>=P/P</w:t>
      </w:r>
      <w:r>
        <w:rPr>
          <w:rFonts w:cs="Times New Roman"/>
          <w:i/>
          <w:iCs/>
          <w:szCs w:val="24"/>
          <w:vertAlign w:val="subscript"/>
          <w14:ligatures w14:val="none"/>
        </w:rPr>
        <w:t>0</w:t>
      </w:r>
    </w:p>
    <w:p w14:paraId="737E8E8C">
      <w:pPr>
        <w:ind w:firstLine="480"/>
        <w:rPr>
          <w:rFonts w:cs="Times New Roman"/>
          <w:szCs w:val="24"/>
          <w14:ligatures w14:val="none"/>
        </w:rPr>
      </w:pPr>
      <w:r>
        <w:rPr>
          <w:rFonts w:hint="eastAsia" w:cs="Times New Roman"/>
          <w:szCs w:val="24"/>
          <w14:ligatures w14:val="none"/>
        </w:rPr>
        <w:t>日游人容量计算公式如下：</w:t>
      </w:r>
    </w:p>
    <w:p w14:paraId="592F866C">
      <w:pPr>
        <w:ind w:firstLine="0" w:firstLineChars="0"/>
        <w:jc w:val="center"/>
        <w:rPr>
          <w:rFonts w:cs="Times New Roman"/>
          <w:i/>
          <w:iCs/>
          <w:szCs w:val="24"/>
          <w14:ligatures w14:val="none"/>
        </w:rPr>
      </w:pPr>
      <w:r>
        <w:rPr>
          <w:rFonts w:cs="Times New Roman"/>
          <w:i/>
          <w:iCs/>
          <w:szCs w:val="24"/>
          <w14:ligatures w14:val="none"/>
        </w:rPr>
        <w:t>B</w:t>
      </w:r>
      <w:r>
        <w:rPr>
          <w:rFonts w:cs="Times New Roman"/>
          <w:i/>
          <w:iCs/>
          <w:szCs w:val="24"/>
          <w:vertAlign w:val="subscript"/>
          <w14:ligatures w14:val="none"/>
        </w:rPr>
        <w:t>r</w:t>
      </w:r>
      <w:r>
        <w:rPr>
          <w:rFonts w:cs="Times New Roman"/>
          <w:i/>
          <w:iCs/>
          <w:szCs w:val="24"/>
          <w14:ligatures w14:val="none"/>
        </w:rPr>
        <w:t>=Bx×R</w:t>
      </w:r>
    </w:p>
    <w:p w14:paraId="0F44B6ED">
      <w:pPr>
        <w:ind w:firstLine="0" w:firstLineChars="0"/>
        <w:jc w:val="center"/>
        <w:rPr>
          <w:rFonts w:cs="Times New Roman"/>
          <w:i/>
          <w:iCs/>
          <w:szCs w:val="24"/>
          <w14:ligatures w14:val="none"/>
        </w:rPr>
      </w:pPr>
      <w:r>
        <w:rPr>
          <w:rFonts w:cs="Times New Roman"/>
          <w:i/>
          <w:iCs/>
          <w:szCs w:val="24"/>
          <w14:ligatures w14:val="none"/>
        </w:rPr>
        <w:t>R=T/T</w:t>
      </w:r>
      <w:r>
        <w:rPr>
          <w:rFonts w:cs="Times New Roman"/>
          <w:i/>
          <w:iCs/>
          <w:szCs w:val="24"/>
          <w:vertAlign w:val="subscript"/>
          <w14:ligatures w14:val="none"/>
        </w:rPr>
        <w:t>0</w:t>
      </w:r>
    </w:p>
    <w:p w14:paraId="5A2A65D5">
      <w:pPr>
        <w:ind w:firstLine="480"/>
        <w:rPr>
          <w:rFonts w:cs="Times New Roman"/>
          <w:szCs w:val="24"/>
          <w14:ligatures w14:val="none"/>
        </w:rPr>
      </w:pPr>
      <w:r>
        <w:rPr>
          <w:rFonts w:hint="eastAsia" w:cs="Times New Roman"/>
          <w:szCs w:val="24"/>
          <w14:ligatures w14:val="none"/>
        </w:rPr>
        <w:t>年游人容量计算公式如下：</w:t>
      </w:r>
    </w:p>
    <w:p w14:paraId="27917E03">
      <w:pPr>
        <w:ind w:firstLine="0" w:firstLineChars="0"/>
        <w:jc w:val="center"/>
        <w:rPr>
          <w:rFonts w:cs="Times New Roman"/>
          <w:i/>
          <w:iCs/>
          <w:szCs w:val="24"/>
          <w14:ligatures w14:val="none"/>
        </w:rPr>
      </w:pPr>
      <w:r>
        <w:rPr>
          <w:rFonts w:cs="Times New Roman"/>
          <w:i/>
          <w:iCs/>
          <w:szCs w:val="24"/>
          <w14:ligatures w14:val="none"/>
        </w:rPr>
        <w:t>B</w:t>
      </w:r>
      <w:r>
        <w:rPr>
          <w:rFonts w:cs="Times New Roman"/>
          <w:i/>
          <w:iCs/>
          <w:szCs w:val="24"/>
          <w:vertAlign w:val="subscript"/>
          <w14:ligatures w14:val="none"/>
        </w:rPr>
        <w:t>n</w:t>
      </w:r>
      <w:r>
        <w:rPr>
          <w:rFonts w:cs="Times New Roman"/>
          <w:i/>
          <w:iCs/>
          <w:szCs w:val="24"/>
          <w14:ligatures w14:val="none"/>
        </w:rPr>
        <w:t>=Br×D</w:t>
      </w:r>
    </w:p>
    <w:p w14:paraId="139C0692">
      <w:pPr>
        <w:ind w:firstLine="480"/>
        <w:rPr>
          <w:rFonts w:cs="Times New Roman"/>
          <w:szCs w:val="24"/>
          <w14:ligatures w14:val="none"/>
        </w:rPr>
      </w:pPr>
      <w:r>
        <w:rPr>
          <w:rFonts w:hint="eastAsia" w:cs="Times New Roman"/>
          <w:szCs w:val="24"/>
          <w14:ligatures w14:val="none"/>
        </w:rPr>
        <w:t>式中：</w:t>
      </w:r>
      <w:r>
        <w:rPr>
          <w:rFonts w:cs="Times New Roman"/>
          <w:i/>
          <w:iCs/>
          <w:szCs w:val="24"/>
          <w14:ligatures w14:val="none"/>
        </w:rPr>
        <w:t>B</w:t>
      </w:r>
      <w:r>
        <w:rPr>
          <w:rFonts w:cs="Times New Roman"/>
          <w:i/>
          <w:iCs/>
          <w:szCs w:val="24"/>
          <w:vertAlign w:val="subscript"/>
          <w14:ligatures w14:val="none"/>
        </w:rPr>
        <w:t>x</w:t>
      </w:r>
      <w:r>
        <w:rPr>
          <w:rFonts w:hint="eastAsia" w:cs="Times New Roman"/>
          <w:szCs w:val="24"/>
          <w14:ligatures w14:val="none"/>
        </w:rPr>
        <w:t>—</w:t>
      </w:r>
      <w:r>
        <w:rPr>
          <w:rFonts w:cs="Times New Roman"/>
          <w:szCs w:val="24"/>
          <w14:ligatures w14:val="none"/>
        </w:rPr>
        <w:t>面积瞬时容量，单位：人/次；</w:t>
      </w:r>
    </w:p>
    <w:p w14:paraId="63B4BB78">
      <w:pPr>
        <w:ind w:firstLine="1200" w:firstLineChars="500"/>
        <w:rPr>
          <w:rFonts w:cs="Times New Roman"/>
          <w:szCs w:val="24"/>
          <w14:ligatures w14:val="none"/>
        </w:rPr>
      </w:pPr>
      <w:r>
        <w:rPr>
          <w:rFonts w:cs="Times New Roman"/>
          <w:i/>
          <w:iCs/>
          <w:szCs w:val="24"/>
          <w14:ligatures w14:val="none"/>
        </w:rPr>
        <w:t>B</w:t>
      </w:r>
      <w:r>
        <w:rPr>
          <w:rFonts w:cs="Times New Roman"/>
          <w:i/>
          <w:iCs/>
          <w:szCs w:val="24"/>
          <w:vertAlign w:val="subscript"/>
          <w14:ligatures w14:val="none"/>
        </w:rPr>
        <w:t>r</w:t>
      </w:r>
      <w:r>
        <w:rPr>
          <w:rFonts w:hint="eastAsia" w:cs="Times New Roman"/>
          <w:szCs w:val="24"/>
          <w14:ligatures w14:val="none"/>
        </w:rPr>
        <w:t>—</w:t>
      </w:r>
      <w:r>
        <w:rPr>
          <w:rFonts w:cs="Times New Roman"/>
          <w:szCs w:val="24"/>
          <w14:ligatures w14:val="none"/>
        </w:rPr>
        <w:t>面积日容量，单位：人</w:t>
      </w:r>
      <w:r>
        <w:rPr>
          <w:rFonts w:hint="eastAsia" w:cs="Times New Roman"/>
          <w:szCs w:val="24"/>
          <w14:ligatures w14:val="none"/>
        </w:rPr>
        <w:t>/</w:t>
      </w:r>
      <w:r>
        <w:rPr>
          <w:rFonts w:cs="Times New Roman"/>
          <w:szCs w:val="24"/>
          <w14:ligatures w14:val="none"/>
        </w:rPr>
        <w:t>次；</w:t>
      </w:r>
    </w:p>
    <w:p w14:paraId="2788DFC9">
      <w:pPr>
        <w:ind w:firstLine="1200" w:firstLineChars="500"/>
        <w:rPr>
          <w:rFonts w:cs="Times New Roman"/>
          <w:szCs w:val="24"/>
          <w14:ligatures w14:val="none"/>
        </w:rPr>
      </w:pPr>
      <w:r>
        <w:rPr>
          <w:rFonts w:cs="Times New Roman"/>
          <w:i/>
          <w:iCs/>
          <w:szCs w:val="24"/>
          <w14:ligatures w14:val="none"/>
        </w:rPr>
        <w:t>B</w:t>
      </w:r>
      <w:r>
        <w:rPr>
          <w:rFonts w:cs="Times New Roman"/>
          <w:i/>
          <w:iCs/>
          <w:szCs w:val="24"/>
          <w:vertAlign w:val="subscript"/>
          <w14:ligatures w14:val="none"/>
        </w:rPr>
        <w:t>n</w:t>
      </w:r>
      <w:r>
        <w:rPr>
          <w:rFonts w:hint="eastAsia" w:cs="Times New Roman"/>
          <w:szCs w:val="24"/>
          <w14:ligatures w14:val="none"/>
        </w:rPr>
        <w:t>—</w:t>
      </w:r>
      <w:r>
        <w:rPr>
          <w:rFonts w:cs="Times New Roman"/>
          <w:szCs w:val="24"/>
          <w14:ligatures w14:val="none"/>
        </w:rPr>
        <w:t>面</w:t>
      </w:r>
      <w:r>
        <w:rPr>
          <w:rFonts w:hint="eastAsia" w:cs="Times New Roman"/>
          <w:szCs w:val="24"/>
          <w14:ligatures w14:val="none"/>
        </w:rPr>
        <w:t>积年容量，单位：人/次；</w:t>
      </w:r>
    </w:p>
    <w:p w14:paraId="48FDD8CB">
      <w:pPr>
        <w:ind w:firstLine="1200" w:firstLineChars="500"/>
        <w:rPr>
          <w:rFonts w:cs="Times New Roman"/>
          <w:szCs w:val="24"/>
          <w14:ligatures w14:val="none"/>
        </w:rPr>
      </w:pPr>
      <w:r>
        <w:rPr>
          <w:rFonts w:cs="Times New Roman"/>
          <w:i/>
          <w:iCs/>
          <w:szCs w:val="24"/>
          <w14:ligatures w14:val="none"/>
        </w:rPr>
        <w:t>P</w:t>
      </w:r>
      <w:r>
        <w:rPr>
          <w:rFonts w:hint="eastAsia" w:cs="Times New Roman"/>
          <w:szCs w:val="24"/>
          <w14:ligatures w14:val="none"/>
        </w:rPr>
        <w:t>—</w:t>
      </w:r>
      <w:r>
        <w:rPr>
          <w:rFonts w:cs="Times New Roman"/>
          <w:szCs w:val="24"/>
          <w14:ligatures w14:val="none"/>
        </w:rPr>
        <w:t>游览区面积，单位：km</w:t>
      </w:r>
      <w:r>
        <w:rPr>
          <w:rFonts w:cs="Times New Roman"/>
          <w:szCs w:val="24"/>
          <w:vertAlign w:val="superscript"/>
          <w14:ligatures w14:val="none"/>
        </w:rPr>
        <w:t>2</w:t>
      </w:r>
      <w:r>
        <w:rPr>
          <w:rFonts w:cs="Times New Roman"/>
          <w:szCs w:val="24"/>
          <w14:ligatures w14:val="none"/>
        </w:rPr>
        <w:t>；</w:t>
      </w:r>
    </w:p>
    <w:p w14:paraId="4D72B51E">
      <w:pPr>
        <w:ind w:firstLine="1200" w:firstLineChars="500"/>
        <w:rPr>
          <w:rFonts w:cs="Times New Roman"/>
          <w:szCs w:val="24"/>
          <w14:ligatures w14:val="none"/>
        </w:rPr>
      </w:pPr>
      <w:r>
        <w:rPr>
          <w:rFonts w:cs="Times New Roman"/>
          <w:i/>
          <w:iCs/>
          <w:szCs w:val="24"/>
          <w14:ligatures w14:val="none"/>
        </w:rPr>
        <w:t>P</w:t>
      </w:r>
      <w:r>
        <w:rPr>
          <w:rFonts w:cs="Times New Roman"/>
          <w:i/>
          <w:iCs/>
          <w:szCs w:val="24"/>
          <w:vertAlign w:val="subscript"/>
          <w14:ligatures w14:val="none"/>
        </w:rPr>
        <w:t>0</w:t>
      </w:r>
      <w:r>
        <w:rPr>
          <w:rFonts w:hint="eastAsia" w:cs="Times New Roman"/>
          <w:szCs w:val="24"/>
          <w14:ligatures w14:val="none"/>
        </w:rPr>
        <w:t>—</w:t>
      </w:r>
      <w:r>
        <w:rPr>
          <w:rFonts w:cs="Times New Roman"/>
          <w:szCs w:val="24"/>
          <w14:ligatures w14:val="none"/>
        </w:rPr>
        <w:t>平均每位游客所需的合理</w:t>
      </w:r>
      <w:r>
        <w:rPr>
          <w:rFonts w:hint="eastAsia" w:cs="Times New Roman"/>
          <w:szCs w:val="24"/>
          <w14:ligatures w14:val="none"/>
        </w:rPr>
        <w:t>游览面积，单位：</w:t>
      </w:r>
      <w:r>
        <w:rPr>
          <w:rFonts w:cs="Times New Roman"/>
          <w:szCs w:val="24"/>
          <w14:ligatures w14:val="none"/>
        </w:rPr>
        <w:t>m</w:t>
      </w:r>
      <w:r>
        <w:rPr>
          <w:rFonts w:cs="Times New Roman"/>
          <w:szCs w:val="24"/>
          <w:vertAlign w:val="superscript"/>
          <w14:ligatures w14:val="none"/>
        </w:rPr>
        <w:t>2</w:t>
      </w:r>
      <w:r>
        <w:rPr>
          <w:rFonts w:cs="Times New Roman"/>
          <w:szCs w:val="24"/>
          <w14:ligatures w14:val="none"/>
        </w:rPr>
        <w:t>/人；</w:t>
      </w:r>
    </w:p>
    <w:p w14:paraId="449B23C7">
      <w:pPr>
        <w:ind w:firstLine="1200" w:firstLineChars="500"/>
        <w:rPr>
          <w:rFonts w:cs="Times New Roman"/>
          <w:szCs w:val="24"/>
          <w14:ligatures w14:val="none"/>
        </w:rPr>
      </w:pPr>
      <w:r>
        <w:rPr>
          <w:rFonts w:cs="Times New Roman"/>
          <w:i/>
          <w:iCs/>
          <w:szCs w:val="24"/>
          <w14:ligatures w14:val="none"/>
        </w:rPr>
        <w:t>R</w:t>
      </w:r>
      <w:r>
        <w:rPr>
          <w:rFonts w:hint="eastAsia" w:cs="Times New Roman"/>
          <w:szCs w:val="24"/>
          <w14:ligatures w14:val="none"/>
        </w:rPr>
        <w:t>—</w:t>
      </w:r>
      <w:r>
        <w:rPr>
          <w:rFonts w:cs="Times New Roman"/>
          <w:szCs w:val="24"/>
          <w14:ligatures w14:val="none"/>
        </w:rPr>
        <w:t>游客周转率（景点开放时间/游完景点所需时间）；</w:t>
      </w:r>
    </w:p>
    <w:p w14:paraId="0EB86801">
      <w:pPr>
        <w:ind w:firstLine="1200" w:firstLineChars="500"/>
        <w:rPr>
          <w:rFonts w:cs="Times New Roman"/>
          <w:szCs w:val="24"/>
          <w14:ligatures w14:val="none"/>
        </w:rPr>
      </w:pPr>
      <w:r>
        <w:rPr>
          <w:rFonts w:cs="Times New Roman"/>
          <w:i/>
          <w:iCs/>
          <w:szCs w:val="24"/>
          <w14:ligatures w14:val="none"/>
        </w:rPr>
        <w:t>D</w:t>
      </w:r>
      <w:r>
        <w:rPr>
          <w:rFonts w:hint="eastAsia" w:cs="Times New Roman"/>
          <w:szCs w:val="24"/>
          <w14:ligatures w14:val="none"/>
        </w:rPr>
        <w:t>—</w:t>
      </w:r>
      <w:r>
        <w:rPr>
          <w:rFonts w:cs="Times New Roman"/>
          <w:szCs w:val="24"/>
          <w14:ligatures w14:val="none"/>
        </w:rPr>
        <w:t>全</w:t>
      </w:r>
      <w:r>
        <w:rPr>
          <w:rFonts w:hint="eastAsia" w:cs="Times New Roman"/>
          <w:szCs w:val="24"/>
          <w14:ligatures w14:val="none"/>
        </w:rPr>
        <w:t>年可游天数，本次取</w:t>
      </w:r>
      <w:r>
        <w:rPr>
          <w:rFonts w:cs="Times New Roman"/>
          <w:szCs w:val="24"/>
          <w14:ligatures w14:val="none"/>
        </w:rPr>
        <w:t>365天。</w:t>
      </w:r>
    </w:p>
    <w:p w14:paraId="537AB89E">
      <w:pPr>
        <w:ind w:firstLine="480"/>
        <w:rPr>
          <w:rFonts w:cs="Times New Roman"/>
          <w:szCs w:val="24"/>
          <w14:ligatures w14:val="none"/>
        </w:rPr>
      </w:pPr>
      <w:r>
        <w:rPr>
          <w:rFonts w:hint="eastAsia" w:cs="Times New Roman"/>
          <w:szCs w:val="24"/>
          <w14:ligatures w14:val="none"/>
        </w:rPr>
        <w:t>根据以上相关公式，计算结果见表</w:t>
      </w:r>
      <w:r>
        <w:rPr>
          <w:rFonts w:cs="Times New Roman"/>
          <w:szCs w:val="24"/>
          <w14:ligatures w14:val="none"/>
        </w:rPr>
        <w:t>7.</w:t>
      </w:r>
      <w:r>
        <w:rPr>
          <w:rFonts w:hint="eastAsia" w:cs="Times New Roman"/>
          <w:szCs w:val="24"/>
          <w14:ligatures w14:val="none"/>
        </w:rPr>
        <w:t>1</w:t>
      </w:r>
      <w:r>
        <w:rPr>
          <w:rFonts w:cs="Times New Roman"/>
          <w:szCs w:val="24"/>
          <w14:ligatures w14:val="none"/>
        </w:rPr>
        <w:t>-</w:t>
      </w:r>
      <w:r>
        <w:rPr>
          <w:rFonts w:hint="eastAsia" w:cs="Times New Roman"/>
          <w:szCs w:val="24"/>
          <w14:ligatures w14:val="none"/>
        </w:rPr>
        <w:t>3，茅山旅游度假区日环境容量</w:t>
      </w:r>
      <w:r>
        <w:rPr>
          <w:rFonts w:cs="Times New Roman"/>
          <w:szCs w:val="24"/>
          <w14:ligatures w14:val="none"/>
        </w:rPr>
        <w:t>约</w:t>
      </w:r>
      <w:r>
        <w:rPr>
          <w:rFonts w:hint="eastAsia" w:cs="Times New Roman"/>
          <w:szCs w:val="24"/>
          <w14:ligatures w14:val="none"/>
        </w:rPr>
        <w:t>33.13</w:t>
      </w:r>
      <w:r>
        <w:rPr>
          <w:rFonts w:cs="Times New Roman"/>
          <w:szCs w:val="24"/>
          <w14:ligatures w14:val="none"/>
        </w:rPr>
        <w:t>万人</w:t>
      </w:r>
      <w:r>
        <w:rPr>
          <w:rFonts w:hint="eastAsia" w:cs="Times New Roman"/>
          <w:szCs w:val="24"/>
          <w14:ligatures w14:val="none"/>
        </w:rPr>
        <w:t>，规划区域</w:t>
      </w:r>
      <w:r>
        <w:rPr>
          <w:rFonts w:cs="Times New Roman"/>
          <w:szCs w:val="24"/>
          <w14:ligatures w14:val="none"/>
        </w:rPr>
        <w:t>2030</w:t>
      </w:r>
      <w:r>
        <w:rPr>
          <w:rFonts w:hint="eastAsia" w:cs="Times New Roman"/>
          <w:szCs w:val="24"/>
          <w14:ligatures w14:val="none"/>
        </w:rPr>
        <w:t>年日平均游客总量约</w:t>
      </w:r>
      <w:r>
        <w:rPr>
          <w:rFonts w:cs="Times New Roman"/>
          <w:szCs w:val="24"/>
          <w14:ligatures w14:val="none"/>
        </w:rPr>
        <w:t>1.</w:t>
      </w:r>
      <w:r>
        <w:rPr>
          <w:rFonts w:hint="eastAsia" w:cs="Times New Roman"/>
          <w:szCs w:val="24"/>
          <w14:ligatures w14:val="none"/>
        </w:rPr>
        <w:t>87万人</w:t>
      </w:r>
      <w:r>
        <w:rPr>
          <w:rFonts w:cs="Times New Roman"/>
          <w:szCs w:val="24"/>
          <w14:ligatures w14:val="none"/>
        </w:rPr>
        <w:t>/</w:t>
      </w:r>
      <w:r>
        <w:rPr>
          <w:rFonts w:hint="eastAsia" w:cs="Times New Roman"/>
          <w:szCs w:val="24"/>
          <w14:ligatures w14:val="none"/>
        </w:rPr>
        <w:t>日，从表中可以看出，度假区规划旅游空间可承载规划期内的游客规模。</w:t>
      </w:r>
    </w:p>
    <w:p w14:paraId="26095F77">
      <w:pPr>
        <w:pStyle w:val="45"/>
        <w:rPr>
          <w:rFonts w:cs="Times New Roman"/>
        </w:rPr>
      </w:pPr>
      <w:r>
        <w:rPr>
          <w:rFonts w:hint="eastAsia" w:cs="Times New Roman"/>
        </w:rPr>
        <w:t>表7.1-3 度假区游客容量测算表</w:t>
      </w:r>
    </w:p>
    <w:tbl>
      <w:tblPr>
        <w:tblStyle w:val="25"/>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66"/>
        <w:gridCol w:w="1388"/>
        <w:gridCol w:w="1463"/>
        <w:gridCol w:w="1481"/>
        <w:gridCol w:w="1037"/>
        <w:gridCol w:w="1584"/>
      </w:tblGrid>
      <w:tr w14:paraId="78B44C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9" w:type="pct"/>
            <w:vAlign w:val="center"/>
          </w:tcPr>
          <w:p w14:paraId="50A01871">
            <w:pPr>
              <w:widowControl/>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区域面积</w:t>
            </w:r>
          </w:p>
          <w:p w14:paraId="28D69A71">
            <w:pPr>
              <w:widowControl/>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（km</w:t>
            </w:r>
            <w:r>
              <w:rPr>
                <w:rFonts w:hint="eastAsia" w:cs="Times New Roman"/>
                <w:b/>
                <w:bCs/>
                <w:kern w:val="0"/>
                <w:sz w:val="21"/>
                <w:szCs w:val="21"/>
                <w:vertAlign w:val="superscript"/>
                <w14:ligatures w14:val="none"/>
              </w:rPr>
              <w:t>2</w:t>
            </w:r>
            <w:r>
              <w:rPr>
                <w:rFonts w:hint="eastAsia" w:cs="Times New Roman"/>
                <w:b/>
                <w:bCs/>
                <w:kern w:val="0"/>
                <w:sz w:val="21"/>
                <w:szCs w:val="21"/>
                <w14:ligatures w14:val="none"/>
              </w:rPr>
              <w:t>）</w:t>
            </w:r>
          </w:p>
        </w:tc>
        <w:tc>
          <w:tcPr>
            <w:tcW w:w="814" w:type="pct"/>
            <w:vAlign w:val="center"/>
          </w:tcPr>
          <w:p w14:paraId="4BEFB066">
            <w:pPr>
              <w:widowControl/>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可游览面积（km</w:t>
            </w:r>
            <w:r>
              <w:rPr>
                <w:rFonts w:hint="eastAsia" w:cs="Times New Roman"/>
                <w:b/>
                <w:bCs/>
                <w:kern w:val="0"/>
                <w:sz w:val="21"/>
                <w:szCs w:val="21"/>
                <w:vertAlign w:val="superscript"/>
                <w14:ligatures w14:val="none"/>
              </w:rPr>
              <w:t>2</w:t>
            </w:r>
            <w:r>
              <w:rPr>
                <w:rFonts w:hint="eastAsia" w:cs="Times New Roman"/>
                <w:b/>
                <w:bCs/>
                <w:kern w:val="0"/>
                <w:sz w:val="21"/>
                <w:szCs w:val="21"/>
                <w14:ligatures w14:val="none"/>
              </w:rPr>
              <w:t>）</w:t>
            </w:r>
          </w:p>
        </w:tc>
        <w:tc>
          <w:tcPr>
            <w:tcW w:w="858" w:type="pct"/>
            <w:vAlign w:val="center"/>
          </w:tcPr>
          <w:p w14:paraId="454F209B">
            <w:pPr>
              <w:widowControl/>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人均游览面积（m</w:t>
            </w:r>
            <w:r>
              <w:rPr>
                <w:rFonts w:hint="eastAsia" w:cs="Times New Roman"/>
                <w:b/>
                <w:bCs/>
                <w:kern w:val="0"/>
                <w:sz w:val="21"/>
                <w:szCs w:val="21"/>
                <w:vertAlign w:val="superscript"/>
                <w14:ligatures w14:val="none"/>
              </w:rPr>
              <w:t>2</w:t>
            </w:r>
            <w:r>
              <w:rPr>
                <w:rFonts w:hint="eastAsia" w:cs="Times New Roman"/>
                <w:b/>
                <w:bCs/>
                <w:kern w:val="0"/>
                <w:sz w:val="21"/>
                <w:szCs w:val="21"/>
                <w14:ligatures w14:val="none"/>
              </w:rPr>
              <w:t>/人）</w:t>
            </w:r>
          </w:p>
        </w:tc>
        <w:tc>
          <w:tcPr>
            <w:tcW w:w="869" w:type="pct"/>
            <w:vAlign w:val="center"/>
          </w:tcPr>
          <w:p w14:paraId="07A2B533">
            <w:pPr>
              <w:widowControl/>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瞬时容量</w:t>
            </w:r>
          </w:p>
          <w:p w14:paraId="080E25AB">
            <w:pPr>
              <w:widowControl/>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（万人）</w:t>
            </w:r>
          </w:p>
        </w:tc>
        <w:tc>
          <w:tcPr>
            <w:tcW w:w="608" w:type="pct"/>
            <w:vAlign w:val="center"/>
          </w:tcPr>
          <w:p w14:paraId="21C7D72E">
            <w:pPr>
              <w:widowControl/>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日周转率</w:t>
            </w:r>
          </w:p>
        </w:tc>
        <w:tc>
          <w:tcPr>
            <w:tcW w:w="929" w:type="pct"/>
            <w:vAlign w:val="center"/>
          </w:tcPr>
          <w:p w14:paraId="0A96D32F">
            <w:pPr>
              <w:widowControl/>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日游客容量</w:t>
            </w:r>
          </w:p>
          <w:p w14:paraId="573072E3">
            <w:pPr>
              <w:widowControl/>
              <w:spacing w:line="240" w:lineRule="auto"/>
              <w:ind w:firstLine="0" w:firstLineChars="0"/>
              <w:jc w:val="center"/>
              <w:rPr>
                <w:rFonts w:cs="Times New Roman"/>
                <w:b/>
                <w:bCs/>
                <w:kern w:val="0"/>
                <w:sz w:val="21"/>
                <w:szCs w:val="21"/>
                <w14:ligatures w14:val="none"/>
              </w:rPr>
            </w:pPr>
            <w:r>
              <w:rPr>
                <w:rFonts w:hint="eastAsia" w:cs="Times New Roman"/>
                <w:b/>
                <w:bCs/>
                <w:kern w:val="0"/>
                <w:sz w:val="21"/>
                <w:szCs w:val="21"/>
                <w14:ligatures w14:val="none"/>
              </w:rPr>
              <w:t>（万人）</w:t>
            </w:r>
          </w:p>
        </w:tc>
      </w:tr>
      <w:tr w14:paraId="39C545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919" w:type="pct"/>
            <w:vAlign w:val="center"/>
          </w:tcPr>
          <w:p w14:paraId="37F6021F">
            <w:pPr>
              <w:widowControl/>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109.4</w:t>
            </w:r>
          </w:p>
        </w:tc>
        <w:tc>
          <w:tcPr>
            <w:tcW w:w="814" w:type="pct"/>
            <w:vAlign w:val="center"/>
          </w:tcPr>
          <w:p w14:paraId="73BC2385">
            <w:pPr>
              <w:widowControl/>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49.7</w:t>
            </w:r>
          </w:p>
        </w:tc>
        <w:tc>
          <w:tcPr>
            <w:tcW w:w="858" w:type="pct"/>
            <w:vAlign w:val="center"/>
          </w:tcPr>
          <w:p w14:paraId="13AB915E">
            <w:pPr>
              <w:widowControl/>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150</w:t>
            </w:r>
          </w:p>
        </w:tc>
        <w:tc>
          <w:tcPr>
            <w:tcW w:w="869" w:type="pct"/>
            <w:vAlign w:val="center"/>
          </w:tcPr>
          <w:p w14:paraId="37F473ED">
            <w:pPr>
              <w:widowControl/>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33.13</w:t>
            </w:r>
          </w:p>
        </w:tc>
        <w:tc>
          <w:tcPr>
            <w:tcW w:w="608" w:type="pct"/>
            <w:vAlign w:val="center"/>
          </w:tcPr>
          <w:p w14:paraId="38102E74">
            <w:pPr>
              <w:widowControl/>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1</w:t>
            </w:r>
          </w:p>
        </w:tc>
        <w:tc>
          <w:tcPr>
            <w:tcW w:w="929" w:type="pct"/>
            <w:vAlign w:val="center"/>
          </w:tcPr>
          <w:p w14:paraId="5FD2EC6F">
            <w:pPr>
              <w:widowControl/>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33.13</w:t>
            </w:r>
          </w:p>
        </w:tc>
      </w:tr>
    </w:tbl>
    <w:p w14:paraId="60053E0A">
      <w:pPr>
        <w:pStyle w:val="3"/>
        <w:ind w:firstLine="0" w:firstLineChars="0"/>
        <w:rPr>
          <w:rFonts w:cs="Times New Roman"/>
        </w:rPr>
      </w:pPr>
      <w:bookmarkStart w:id="120" w:name="_Toc217294071"/>
      <w:r>
        <w:rPr>
          <w:rFonts w:cs="Times New Roman"/>
        </w:rPr>
        <w:t>7.2</w:t>
      </w:r>
      <w:r>
        <w:rPr>
          <w:rFonts w:hint="eastAsia" w:cs="Times New Roman"/>
        </w:rPr>
        <w:t>水资源承载力分析</w:t>
      </w:r>
      <w:bookmarkEnd w:id="120"/>
    </w:p>
    <w:p w14:paraId="4429DE7F">
      <w:pPr>
        <w:ind w:firstLine="480"/>
      </w:pPr>
      <w:r>
        <w:rPr>
          <w:rFonts w:hint="eastAsia"/>
        </w:rPr>
        <w:t>根据区域供水规划，度假区供水水源为金坛区域供水系统，与东部区域供水增压站或区域供水管道连接，主要增压站包括薛埠增压站（1万m</w:t>
      </w:r>
      <w:r>
        <w:rPr>
          <w:rFonts w:hint="eastAsia"/>
          <w:vertAlign w:val="superscript"/>
        </w:rPr>
        <w:t>3</w:t>
      </w:r>
      <w:r>
        <w:rPr>
          <w:rFonts w:hint="eastAsia"/>
        </w:rPr>
        <w:t>/d）、上阮增压站（0.5万m</w:t>
      </w:r>
      <w:r>
        <w:rPr>
          <w:rFonts w:hint="eastAsia"/>
          <w:vertAlign w:val="superscript"/>
        </w:rPr>
        <w:t>3</w:t>
      </w:r>
      <w:r>
        <w:rPr>
          <w:rFonts w:hint="eastAsia"/>
        </w:rPr>
        <w:t>/d）、茅麓增压站（0.5万m</w:t>
      </w:r>
      <w:r>
        <w:rPr>
          <w:rFonts w:hint="eastAsia"/>
          <w:vertAlign w:val="superscript"/>
        </w:rPr>
        <w:t>3</w:t>
      </w:r>
      <w:r>
        <w:rPr>
          <w:rFonts w:hint="eastAsia"/>
        </w:rPr>
        <w:t>/d）和西</w:t>
      </w:r>
      <w:r>
        <w:rPr>
          <w:rFonts w:hint="eastAsia" w:ascii="微软雅黑" w:hAnsi="微软雅黑" w:eastAsia="微软雅黑" w:cs="微软雅黑"/>
        </w:rPr>
        <w:t>旸</w:t>
      </w:r>
      <w:r>
        <w:rPr>
          <w:rFonts w:hint="eastAsia" w:ascii="仿宋_GB2312" w:hAnsi="仿宋_GB2312" w:cs="仿宋_GB2312"/>
        </w:rPr>
        <w:t>增压站</w:t>
      </w:r>
      <w:r>
        <w:rPr>
          <w:rFonts w:hint="eastAsia"/>
        </w:rPr>
        <w:t>（0.5万m</w:t>
      </w:r>
      <w:r>
        <w:rPr>
          <w:rFonts w:hint="eastAsia"/>
          <w:vertAlign w:val="superscript"/>
        </w:rPr>
        <w:t>3</w:t>
      </w:r>
      <w:r>
        <w:rPr>
          <w:rFonts w:hint="eastAsia"/>
        </w:rPr>
        <w:t>/d）</w:t>
      </w:r>
      <w:r>
        <w:rPr>
          <w:rFonts w:hint="eastAsia" w:ascii="仿宋_GB2312" w:hAnsi="仿宋_GB2312" w:cs="仿宋_GB2312"/>
        </w:rPr>
        <w:t>。</w:t>
      </w:r>
      <w:r>
        <w:rPr>
          <w:rFonts w:hint="eastAsia"/>
        </w:rPr>
        <w:t>区域内不再保留茅东水库、海底水库、东进水库等西部山区水库水源。根据《常州市2023年水资源统计公报》，2023年常州市金坛区地表水水资源量6.24亿m</w:t>
      </w:r>
      <w:r>
        <w:rPr>
          <w:rFonts w:hint="eastAsia"/>
          <w:vertAlign w:val="superscript"/>
        </w:rPr>
        <w:t>3</w:t>
      </w:r>
      <w:r>
        <w:rPr>
          <w:rFonts w:hint="eastAsia"/>
        </w:rPr>
        <w:t>，年总供水量为3.66亿m</w:t>
      </w:r>
      <w:r>
        <w:rPr>
          <w:rFonts w:hint="eastAsia"/>
          <w:vertAlign w:val="superscript"/>
        </w:rPr>
        <w:t>3</w:t>
      </w:r>
      <w:r>
        <w:rPr>
          <w:rFonts w:hint="eastAsia"/>
        </w:rPr>
        <w:t>。根据水资源消耗预测章节，规划远期度假区常住居民用水量约为160.23万m</w:t>
      </w:r>
      <w:r>
        <w:rPr>
          <w:rFonts w:hint="eastAsia"/>
          <w:vertAlign w:val="superscript"/>
        </w:rPr>
        <w:t>3</w:t>
      </w:r>
      <w:r>
        <w:rPr>
          <w:rFonts w:hint="eastAsia"/>
        </w:rPr>
        <w:t>/a（折算为0.44万m</w:t>
      </w:r>
      <w:r>
        <w:rPr>
          <w:rFonts w:hint="eastAsia"/>
          <w:vertAlign w:val="superscript"/>
        </w:rPr>
        <w:t>3</w:t>
      </w:r>
      <w:r>
        <w:rPr>
          <w:rFonts w:hint="eastAsia"/>
        </w:rPr>
        <w:t>/d），游客用水量为54.86万m</w:t>
      </w:r>
      <w:r>
        <w:rPr>
          <w:rFonts w:hint="eastAsia"/>
          <w:vertAlign w:val="superscript"/>
        </w:rPr>
        <w:t>3</w:t>
      </w:r>
      <w:r>
        <w:rPr>
          <w:rFonts w:hint="eastAsia"/>
        </w:rPr>
        <w:t>/a（折算为0.15万m</w:t>
      </w:r>
      <w:r>
        <w:rPr>
          <w:rFonts w:hint="eastAsia"/>
          <w:vertAlign w:val="superscript"/>
        </w:rPr>
        <w:t>3</w:t>
      </w:r>
      <w:r>
        <w:rPr>
          <w:rFonts w:hint="eastAsia"/>
        </w:rPr>
        <w:t>/d），现状区域供水规模能够满足规划需求。规划期末度假区绿地浇洒用水、道路浇洒用水和农业最大用水总量共计7916.29万m</w:t>
      </w:r>
      <w:r>
        <w:rPr>
          <w:rFonts w:hint="eastAsia"/>
          <w:vertAlign w:val="superscript"/>
        </w:rPr>
        <w:t>3</w:t>
      </w:r>
      <w:r>
        <w:rPr>
          <w:rFonts w:hint="eastAsia"/>
        </w:rPr>
        <w:t>，金坛区地表水资源量能满足度假区需求。</w:t>
      </w:r>
    </w:p>
    <w:p w14:paraId="15499850">
      <w:pPr>
        <w:pStyle w:val="3"/>
        <w:ind w:firstLine="0" w:firstLineChars="0"/>
        <w:rPr>
          <w:rFonts w:cs="Times New Roman"/>
        </w:rPr>
      </w:pPr>
      <w:bookmarkStart w:id="121" w:name="_Toc217294072"/>
      <w:r>
        <w:rPr>
          <w:rFonts w:cs="Times New Roman"/>
        </w:rPr>
        <w:t>7.</w:t>
      </w:r>
      <w:r>
        <w:rPr>
          <w:rFonts w:hint="eastAsia" w:cs="Times New Roman"/>
        </w:rPr>
        <w:t>3大气环境承载力分析</w:t>
      </w:r>
      <w:bookmarkEnd w:id="121"/>
    </w:p>
    <w:p w14:paraId="4364F74D">
      <w:pPr>
        <w:ind w:firstLine="480"/>
      </w:pPr>
      <w:r>
        <w:rPr>
          <w:rFonts w:hint="eastAsia"/>
        </w:rPr>
        <w:t>据环境空气质量现状评价，度假区环境空气质量总体较好。度假区采用天然气、电能、太阳能等清洁能源作为燃料和热源，旅游产业发展对大气环境的污染主要来自民宿、餐饮单位和交通工具，具体影响因素体现在燃气污染源、机动车尾气、餐饮业油烟等。度假区各餐饮酒店产生餐饮油烟废气，按规定要求必须经油烟净化装置净化处理后达标排放。规划各停车场分布较分散，且所在地区地势空旷，污染物稀释扩散条件良好，且停车场汽车尾气为间歇性排放，排放的污染物数量少。可见，由于度假区大气环境质量较好，植被覆盖率高，绿色植物对大气环境有净化作用，度假区的开发建设在区域大气环境承载能力内。</w:t>
      </w:r>
    </w:p>
    <w:p w14:paraId="13700E55">
      <w:pPr>
        <w:pStyle w:val="3"/>
        <w:ind w:firstLine="0" w:firstLineChars="0"/>
        <w:rPr>
          <w:rFonts w:cs="Times New Roman"/>
        </w:rPr>
      </w:pPr>
      <w:bookmarkStart w:id="122" w:name="_Toc217294073"/>
      <w:r>
        <w:rPr>
          <w:rFonts w:cs="Times New Roman"/>
        </w:rPr>
        <w:t>7.</w:t>
      </w:r>
      <w:r>
        <w:rPr>
          <w:rFonts w:hint="eastAsia" w:cs="Times New Roman"/>
        </w:rPr>
        <w:t>4水环境承载力分析</w:t>
      </w:r>
      <w:bookmarkEnd w:id="122"/>
    </w:p>
    <w:p w14:paraId="4CE27FB0">
      <w:pPr>
        <w:ind w:firstLine="480"/>
      </w:pPr>
      <w:r>
        <w:rPr>
          <w:rFonts w:hint="eastAsia"/>
        </w:rPr>
        <w:t>水环境容量是水体在规定的环境目标下所能容纳的污染物的最大负荷，其大小与水体特征、水质目标及污染物特性有关。总量控制以当地的水环境容量为基础，考虑纳污水体水质的实际情况，对排放污染物的量进行控制。</w:t>
      </w:r>
    </w:p>
    <w:p w14:paraId="28494E3E">
      <w:pPr>
        <w:ind w:firstLine="480"/>
      </w:pPr>
      <w:r>
        <w:rPr>
          <w:rFonts w:hint="eastAsia"/>
        </w:rPr>
        <w:t>度假区规划实施雨污分流制，雨水排入市政雨水管网。度假区规划期末工业企业将全部退出，届时无工业废水产生，区域排放的废水主要为生活污水、餐饮废水等，主要排入茅东污水处理厂进行处置。根据5.2.2章节废水污染源强估算计算结果，度假区内其中常住居民产生的最大生活污水排放量约为3511.9 m</w:t>
      </w:r>
      <w:r>
        <w:rPr>
          <w:rFonts w:hint="eastAsia"/>
          <w:vertAlign w:val="superscript"/>
        </w:rPr>
        <w:t>3</w:t>
      </w:r>
      <w:r>
        <w:rPr>
          <w:rFonts w:hint="eastAsia"/>
        </w:rPr>
        <w:t>/d，游客产生的最大污水量为1202.4 m</w:t>
      </w:r>
      <w:r>
        <w:rPr>
          <w:rFonts w:hint="eastAsia"/>
          <w:vertAlign w:val="superscript"/>
        </w:rPr>
        <w:t>3</w:t>
      </w:r>
      <w:r>
        <w:rPr>
          <w:rFonts w:hint="eastAsia"/>
        </w:rPr>
        <w:t>/d。目前茅东污水处理厂的污水处理能力为10000 m</w:t>
      </w:r>
      <w:r>
        <w:rPr>
          <w:rFonts w:hint="eastAsia"/>
          <w:vertAlign w:val="superscript"/>
        </w:rPr>
        <w:t>3</w:t>
      </w:r>
      <w:r>
        <w:rPr>
          <w:rFonts w:hint="eastAsia"/>
        </w:rPr>
        <w:t>/d，远期规划处置能力达15000 m</w:t>
      </w:r>
      <w:r>
        <w:rPr>
          <w:rFonts w:hint="eastAsia"/>
          <w:vertAlign w:val="superscript"/>
        </w:rPr>
        <w:t>3</w:t>
      </w:r>
      <w:r>
        <w:rPr>
          <w:rFonts w:hint="eastAsia"/>
        </w:rPr>
        <w:t>/d，区域内现状农村分散式处理设施处置能力合计达886m</w:t>
      </w:r>
      <w:r>
        <w:rPr>
          <w:rFonts w:hint="eastAsia"/>
          <w:vertAlign w:val="superscript"/>
        </w:rPr>
        <w:t>3</w:t>
      </w:r>
      <w:r>
        <w:rPr>
          <w:rFonts w:hint="eastAsia"/>
        </w:rPr>
        <w:t>/d，同时随着区域污水管网的建设完善以及村庄的集聚提升，农村生活污水接管处置率将进一步提升。从处置能力上来看，现状区域污水处置能力能够满足规划时期度假区内最大生活污水量处置需求。在正常情况下，规划期末度假区排放的生活污水接管处理不会对茅东污水处理厂产生明显不利影响，排放的废水可被污水处理厂所接纳处理。因此，区域内水环境承载力可满足度假区的规划发展需要。</w:t>
      </w:r>
    </w:p>
    <w:p w14:paraId="1F4B690E">
      <w:pPr>
        <w:pStyle w:val="3"/>
        <w:ind w:firstLine="0" w:firstLineChars="0"/>
        <w:rPr>
          <w:rFonts w:cs="Times New Roman"/>
        </w:rPr>
      </w:pPr>
      <w:bookmarkStart w:id="123" w:name="_Toc217294074"/>
      <w:r>
        <w:rPr>
          <w:rFonts w:cs="Times New Roman"/>
        </w:rPr>
        <w:t>7.</w:t>
      </w:r>
      <w:r>
        <w:rPr>
          <w:rFonts w:hint="eastAsia" w:cs="Times New Roman"/>
        </w:rPr>
        <w:t>6景观协调性分析</w:t>
      </w:r>
      <w:bookmarkEnd w:id="123"/>
    </w:p>
    <w:p w14:paraId="2B0A1155">
      <w:pPr>
        <w:ind w:firstLine="480"/>
      </w:pPr>
      <w:r>
        <w:rPr>
          <w:rFonts w:hint="eastAsia" w:eastAsia="方正楷体_GBK" w:cs="Times New Roman"/>
          <w:b/>
          <w:bCs/>
          <w:szCs w:val="28"/>
          <w14:ligatures w14:val="none"/>
        </w:rPr>
        <w:t>7.6.1边缘特征分析</w:t>
      </w:r>
    </w:p>
    <w:p w14:paraId="3C47BC27">
      <w:pPr>
        <w:ind w:firstLine="480"/>
      </w:pPr>
      <w:r>
        <w:rPr>
          <w:rFonts w:hint="eastAsia"/>
        </w:rPr>
        <w:t>区域东侧区域为S265省道，公路沿线以东有村落零星散布，村落聚集区与道路间保留有大面积的农田景观缓冲空间，是林地保护和景观格局发展的弹性区域；</w:t>
      </w:r>
    </w:p>
    <w:p w14:paraId="2709E894">
      <w:pPr>
        <w:ind w:firstLine="480"/>
      </w:pPr>
      <w:r>
        <w:rPr>
          <w:rFonts w:hint="eastAsia"/>
        </w:rPr>
        <w:t>西侧为广阔的林地景观，是区域自然保护地、生态保护红线重点保护的自然景观区域；</w:t>
      </w:r>
    </w:p>
    <w:p w14:paraId="422C4963">
      <w:pPr>
        <w:ind w:firstLine="480"/>
      </w:pPr>
      <w:r>
        <w:rPr>
          <w:rFonts w:hint="eastAsia"/>
        </w:rPr>
        <w:t>北侧为苏南沿江铁路，铁路以北为农田景观区域，铁路以南为旅游民宿区及特色村庄区域，存在一定景观阻隔性。</w:t>
      </w:r>
    </w:p>
    <w:p w14:paraId="380829B7">
      <w:pPr>
        <w:ind w:firstLine="480"/>
      </w:pPr>
      <w:r>
        <w:rPr>
          <w:rFonts w:hint="eastAsia"/>
        </w:rPr>
        <w:t>区域中心为茅山旅游大道、沪武高速、苏锡常城际铁路，三条交通干线交汇形成的区域核心骨架，将度假区划分为四大功能板块：东侧为城镇融合发展区域，依托交通枢纽优势布局商业配套设施；南侧为山田生态休闲区，保留原生植被与水系形成绿色屏障；西北侧为文化体验区，串联历史遗迹与民俗村落；东北侧为休闲度假区，集中布局旅游民宿与商业服务业设施。这种空间格局既保证了各功能区的相对独立性，又通过交通网络实现有机联动，形成“核心辐射、圈层分布”的景观结构特征。</w:t>
      </w:r>
    </w:p>
    <w:p w14:paraId="2C3527A6">
      <w:pPr>
        <w:ind w:firstLine="480"/>
        <w:rPr>
          <w:rFonts w:eastAsia="方正楷体_GBK" w:cs="Times New Roman"/>
          <w:b/>
          <w:bCs/>
          <w:szCs w:val="28"/>
          <w14:ligatures w14:val="none"/>
        </w:rPr>
      </w:pPr>
      <w:r>
        <w:rPr>
          <w:rFonts w:hint="eastAsia" w:eastAsia="方正楷体_GBK" w:cs="Times New Roman"/>
          <w:b/>
          <w:bCs/>
          <w:szCs w:val="28"/>
          <w14:ligatures w14:val="none"/>
        </w:rPr>
        <w:t>7.6.2景观连接度分析</w:t>
      </w:r>
    </w:p>
    <w:p w14:paraId="0E3EE0CD">
      <w:pPr>
        <w:ind w:firstLine="480"/>
      </w:pPr>
      <w:r>
        <w:rPr>
          <w:rFonts w:hint="eastAsia"/>
        </w:rPr>
        <w:t>景观连接度（</w:t>
      </w:r>
      <w:r>
        <w:rPr>
          <w:rFonts w:hint="eastAsia"/>
          <w:i/>
          <w:iCs/>
        </w:rPr>
        <w:t>landscape connectivity</w:t>
      </w:r>
      <w:r>
        <w:rPr>
          <w:rFonts w:hint="eastAsia"/>
        </w:rPr>
        <w:t>）是对景观空间结构单元相互之间连续性的量度。它包括结构连接度（</w:t>
      </w:r>
      <w:r>
        <w:rPr>
          <w:rFonts w:hint="eastAsia"/>
          <w:i/>
          <w:iCs/>
        </w:rPr>
        <w:t>structural connectivity</w:t>
      </w:r>
      <w:r>
        <w:rPr>
          <w:rFonts w:hint="eastAsia"/>
        </w:rPr>
        <w:t>）和功能连接度（</w:t>
      </w:r>
      <w:r>
        <w:rPr>
          <w:rFonts w:hint="eastAsia"/>
          <w:i/>
          <w:iCs/>
        </w:rPr>
        <w:t>functional connectivity</w:t>
      </w:r>
      <w:r>
        <w:rPr>
          <w:rFonts w:hint="eastAsia"/>
        </w:rPr>
        <w:t>）。前者指景观在空间上直接表现出的连续性，可通过卫片、航片或视觉器官观察来确定。后者是以所研究的生态学对象或过程的特征尺度（</w:t>
      </w:r>
      <w:r>
        <w:rPr>
          <w:rFonts w:hint="eastAsia"/>
          <w:i/>
          <w:iCs/>
        </w:rPr>
        <w:t>characteristic scale</w:t>
      </w:r>
      <w:r>
        <w:rPr>
          <w:rFonts w:hint="eastAsia"/>
        </w:rPr>
        <w:t>）来确定景观连续性。不考虑生态学过程，单纯考虑景观的结构连接度是没有什么意义的。</w:t>
      </w:r>
    </w:p>
    <w:p w14:paraId="1D42D59E">
      <w:pPr>
        <w:ind w:firstLine="480"/>
      </w:pPr>
      <w:r>
        <w:rPr>
          <w:rFonts w:hint="eastAsia"/>
        </w:rPr>
        <w:t>绿地和河流水库作为两个重要的生态廊道，决定了茅山旅游度假区与外界的联系程度和生态功能的发挥。</w:t>
      </w:r>
    </w:p>
    <w:p w14:paraId="2809CA45">
      <w:pPr>
        <w:ind w:firstLine="480"/>
      </w:pPr>
      <w:r>
        <w:rPr>
          <w:rFonts w:hint="eastAsia"/>
        </w:rPr>
        <w:t>就绿地而言，度假区范围内存在大面积的农田，可以作为生态廊道乃至生态基底，供度假区与其周边的景观进行生态过程交流。然而茅山旅游度假区与这些绿地之间被道路（如S265省道等）隔离，导致度假区与周边的一些生态过程被阻断或减弱。</w:t>
      </w:r>
    </w:p>
    <w:p w14:paraId="1AA17191">
      <w:pPr>
        <w:ind w:firstLine="480"/>
      </w:pPr>
      <w:r>
        <w:rPr>
          <w:rFonts w:hint="eastAsia"/>
        </w:rPr>
        <w:t>河流水库作为水生动植物的通道、水源、栖息地，是一种典型的生态廊道。茅山旅游度假区内及周边河网密布，将区域与其四周的水生态斑块相连，满足水生生物的交流和物质的交换。</w:t>
      </w:r>
    </w:p>
    <w:p w14:paraId="3E8E7981">
      <w:pPr>
        <w:ind w:firstLine="480"/>
      </w:pPr>
      <w:r>
        <w:rPr>
          <w:rFonts w:hint="eastAsia"/>
        </w:rPr>
        <w:t>总体而言，度假区与周边的景观连接度较高。</w:t>
      </w:r>
    </w:p>
    <w:p w14:paraId="7AD81BAF">
      <w:pPr>
        <w:pStyle w:val="3"/>
        <w:ind w:firstLine="0" w:firstLineChars="0"/>
        <w:rPr>
          <w:rFonts w:cs="Times New Roman"/>
        </w:rPr>
      </w:pPr>
      <w:bookmarkStart w:id="124" w:name="_Toc217294075"/>
      <w:r>
        <w:rPr>
          <w:rFonts w:cs="Times New Roman"/>
        </w:rPr>
        <w:t>7.6</w:t>
      </w:r>
      <w:r>
        <w:rPr>
          <w:rFonts w:hint="eastAsia" w:cs="Times New Roman"/>
        </w:rPr>
        <w:t>污染物总量控制</w:t>
      </w:r>
      <w:bookmarkEnd w:id="124"/>
    </w:p>
    <w:p w14:paraId="4FAAEFE6">
      <w:pPr>
        <w:ind w:firstLine="480"/>
      </w:pPr>
      <w:r>
        <w:rPr>
          <w:rFonts w:hint="eastAsia"/>
        </w:rPr>
        <w:t>根据度假区本轮规划方案，规划远期度假区内工业企业将全部关闭退出，区域内无工业源大气污染物及工业废水。区域内生活污水均接入污水处理厂和分散式污水处理设施处置，生活污水污染物在污水处理设施中平衡，度假区规划范围内主要污染物的总量控制建议见表7.</w:t>
      </w:r>
      <w:r>
        <w:t>6</w:t>
      </w:r>
      <w:r>
        <w:rPr>
          <w:rFonts w:hint="eastAsia"/>
        </w:rPr>
        <w:t>-1。</w:t>
      </w:r>
    </w:p>
    <w:p w14:paraId="6BC236F9">
      <w:pPr>
        <w:pStyle w:val="45"/>
        <w:rPr>
          <w:rFonts w:cs="Times New Roman"/>
        </w:rPr>
      </w:pPr>
      <w:r>
        <w:rPr>
          <w:rFonts w:cs="Times New Roman"/>
        </w:rPr>
        <w:t>表</w:t>
      </w:r>
      <w:r>
        <w:rPr>
          <w:rFonts w:hint="eastAsia" w:cs="Times New Roman"/>
        </w:rPr>
        <w:t>7</w:t>
      </w:r>
      <w:r>
        <w:rPr>
          <w:rFonts w:cs="Times New Roman"/>
        </w:rPr>
        <w:t xml:space="preserve">.6-1  </w:t>
      </w:r>
      <w:r>
        <w:rPr>
          <w:rFonts w:hint="eastAsia" w:cs="Times New Roman"/>
        </w:rPr>
        <w:t>度假</w:t>
      </w:r>
      <w:r>
        <w:rPr>
          <w:rFonts w:cs="Times New Roman"/>
        </w:rPr>
        <w:t>区污染物</w:t>
      </w:r>
      <w:r>
        <w:rPr>
          <w:rFonts w:hint="eastAsia" w:cs="Times New Roman"/>
        </w:rPr>
        <w:t>总</w:t>
      </w:r>
      <w:r>
        <w:rPr>
          <w:rFonts w:cs="Times New Roman"/>
        </w:rPr>
        <w:t>量</w:t>
      </w:r>
      <w:r>
        <w:rPr>
          <w:rFonts w:hint="eastAsia" w:cs="Times New Roman"/>
        </w:rPr>
        <w:t>控制建议</w:t>
      </w:r>
      <w:r>
        <w:rPr>
          <w:rFonts w:cs="Times New Roman"/>
        </w:rPr>
        <w:t>表（t/a）</w:t>
      </w:r>
    </w:p>
    <w:tbl>
      <w:tblPr>
        <w:tblStyle w:val="25"/>
        <w:tblW w:w="84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8"/>
        <w:gridCol w:w="1041"/>
        <w:gridCol w:w="1136"/>
        <w:gridCol w:w="1134"/>
        <w:gridCol w:w="1701"/>
        <w:gridCol w:w="1134"/>
        <w:gridCol w:w="1701"/>
      </w:tblGrid>
      <w:tr w14:paraId="741DF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8" w:type="dxa"/>
            <w:vAlign w:val="center"/>
          </w:tcPr>
          <w:p w14:paraId="14C3E84B">
            <w:pPr>
              <w:spacing w:line="240" w:lineRule="auto"/>
              <w:ind w:firstLine="0" w:firstLineChars="0"/>
              <w:jc w:val="center"/>
              <w:rPr>
                <w:rFonts w:cs="Times New Roman"/>
                <w:b/>
                <w:kern w:val="0"/>
                <w:sz w:val="21"/>
                <w:szCs w:val="21"/>
              </w:rPr>
            </w:pPr>
            <w:bookmarkStart w:id="125" w:name="_Toc83667285"/>
            <w:bookmarkEnd w:id="125"/>
            <w:bookmarkStart w:id="126" w:name="_Toc83667284"/>
            <w:bookmarkEnd w:id="126"/>
            <w:bookmarkStart w:id="127" w:name="_Toc83667286"/>
            <w:bookmarkEnd w:id="127"/>
            <w:bookmarkStart w:id="128" w:name="_Toc83649784"/>
            <w:bookmarkEnd w:id="128"/>
            <w:bookmarkStart w:id="129" w:name="_Toc83649782"/>
            <w:bookmarkEnd w:id="129"/>
            <w:bookmarkStart w:id="130" w:name="_Toc83649783"/>
            <w:bookmarkEnd w:id="130"/>
            <w:r>
              <w:rPr>
                <w:rFonts w:hint="eastAsia" w:cs="Times New Roman"/>
                <w:b/>
                <w:kern w:val="0"/>
                <w:sz w:val="21"/>
                <w:szCs w:val="21"/>
              </w:rPr>
              <w:t>类别</w:t>
            </w:r>
          </w:p>
        </w:tc>
        <w:tc>
          <w:tcPr>
            <w:tcW w:w="1041" w:type="dxa"/>
            <w:vAlign w:val="center"/>
          </w:tcPr>
          <w:p w14:paraId="3AB34636">
            <w:pPr>
              <w:spacing w:line="240" w:lineRule="auto"/>
              <w:ind w:firstLine="0" w:firstLineChars="0"/>
              <w:jc w:val="center"/>
              <w:rPr>
                <w:rFonts w:cs="Times New Roman"/>
                <w:b/>
                <w:kern w:val="0"/>
                <w:sz w:val="21"/>
                <w:szCs w:val="21"/>
              </w:rPr>
            </w:pPr>
            <w:r>
              <w:rPr>
                <w:rFonts w:hint="eastAsia" w:cs="Times New Roman"/>
                <w:b/>
                <w:kern w:val="0"/>
                <w:sz w:val="21"/>
                <w:szCs w:val="21"/>
              </w:rPr>
              <w:t>污染物</w:t>
            </w:r>
          </w:p>
        </w:tc>
        <w:tc>
          <w:tcPr>
            <w:tcW w:w="0" w:type="auto"/>
            <w:vAlign w:val="center"/>
          </w:tcPr>
          <w:p w14:paraId="0A994B9B">
            <w:pPr>
              <w:spacing w:line="240" w:lineRule="auto"/>
              <w:ind w:firstLine="0" w:firstLineChars="0"/>
              <w:jc w:val="center"/>
              <w:rPr>
                <w:rFonts w:cs="Times New Roman"/>
                <w:b/>
                <w:kern w:val="0"/>
                <w:sz w:val="21"/>
                <w:szCs w:val="21"/>
              </w:rPr>
            </w:pPr>
            <w:r>
              <w:rPr>
                <w:rFonts w:hint="eastAsia" w:cs="Times New Roman"/>
                <w:b/>
                <w:kern w:val="0"/>
                <w:sz w:val="21"/>
                <w:szCs w:val="21"/>
              </w:rPr>
              <w:t>现状排放总量</w:t>
            </w:r>
          </w:p>
        </w:tc>
        <w:tc>
          <w:tcPr>
            <w:tcW w:w="1134" w:type="dxa"/>
            <w:tcBorders>
              <w:bottom w:val="single" w:color="auto" w:sz="4" w:space="0"/>
            </w:tcBorders>
            <w:vAlign w:val="center"/>
          </w:tcPr>
          <w:p w14:paraId="35F61F73">
            <w:pPr>
              <w:spacing w:line="240" w:lineRule="auto"/>
              <w:ind w:firstLine="0" w:firstLineChars="0"/>
              <w:jc w:val="center"/>
              <w:rPr>
                <w:rFonts w:cs="Times New Roman"/>
                <w:b/>
                <w:kern w:val="0"/>
                <w:sz w:val="21"/>
                <w:szCs w:val="21"/>
              </w:rPr>
            </w:pPr>
            <w:r>
              <w:rPr>
                <w:rFonts w:hint="eastAsia" w:cs="Times New Roman"/>
                <w:b/>
                <w:kern w:val="0"/>
                <w:sz w:val="21"/>
                <w:szCs w:val="21"/>
              </w:rPr>
              <w:t>规划近期排放总量</w:t>
            </w:r>
          </w:p>
        </w:tc>
        <w:tc>
          <w:tcPr>
            <w:tcW w:w="1701" w:type="dxa"/>
            <w:tcBorders>
              <w:bottom w:val="single" w:color="auto" w:sz="4" w:space="0"/>
            </w:tcBorders>
            <w:vAlign w:val="center"/>
          </w:tcPr>
          <w:p w14:paraId="3E2143B6">
            <w:pPr>
              <w:spacing w:line="240" w:lineRule="auto"/>
              <w:ind w:firstLine="0" w:firstLineChars="0"/>
              <w:jc w:val="center"/>
              <w:rPr>
                <w:rFonts w:cs="Times New Roman"/>
                <w:b/>
                <w:kern w:val="0"/>
                <w:sz w:val="21"/>
                <w:szCs w:val="21"/>
              </w:rPr>
            </w:pPr>
            <w:r>
              <w:rPr>
                <w:rFonts w:hint="eastAsia" w:cs="Times New Roman"/>
                <w:b/>
                <w:kern w:val="0"/>
                <w:sz w:val="21"/>
                <w:szCs w:val="21"/>
              </w:rPr>
              <w:t>建议规划近期建议控制总量值</w:t>
            </w:r>
          </w:p>
        </w:tc>
        <w:tc>
          <w:tcPr>
            <w:tcW w:w="1134" w:type="dxa"/>
            <w:tcBorders>
              <w:bottom w:val="single" w:color="auto" w:sz="4" w:space="0"/>
            </w:tcBorders>
            <w:vAlign w:val="center"/>
          </w:tcPr>
          <w:p w14:paraId="1D2F7B28">
            <w:pPr>
              <w:spacing w:line="240" w:lineRule="auto"/>
              <w:ind w:firstLine="0" w:firstLineChars="0"/>
              <w:jc w:val="center"/>
              <w:rPr>
                <w:rFonts w:cs="Times New Roman"/>
                <w:b/>
                <w:kern w:val="0"/>
                <w:sz w:val="21"/>
                <w:szCs w:val="21"/>
              </w:rPr>
            </w:pPr>
            <w:r>
              <w:rPr>
                <w:rFonts w:hint="eastAsia" w:cs="Times New Roman"/>
                <w:b/>
                <w:kern w:val="0"/>
                <w:sz w:val="21"/>
                <w:szCs w:val="21"/>
              </w:rPr>
              <w:t>规划远期排放总量</w:t>
            </w:r>
          </w:p>
        </w:tc>
        <w:tc>
          <w:tcPr>
            <w:tcW w:w="1701" w:type="dxa"/>
            <w:tcBorders>
              <w:bottom w:val="single" w:color="auto" w:sz="4" w:space="0"/>
            </w:tcBorders>
            <w:vAlign w:val="center"/>
          </w:tcPr>
          <w:p w14:paraId="41945F6F">
            <w:pPr>
              <w:spacing w:line="240" w:lineRule="auto"/>
              <w:ind w:firstLine="0" w:firstLineChars="0"/>
              <w:jc w:val="center"/>
              <w:rPr>
                <w:rFonts w:cs="Times New Roman"/>
                <w:b/>
                <w:kern w:val="0"/>
                <w:sz w:val="21"/>
                <w:szCs w:val="21"/>
              </w:rPr>
            </w:pPr>
            <w:r>
              <w:rPr>
                <w:rFonts w:hint="eastAsia" w:cs="Times New Roman"/>
                <w:b/>
                <w:kern w:val="0"/>
                <w:sz w:val="21"/>
                <w:szCs w:val="21"/>
              </w:rPr>
              <w:t>建议规划远期建议控制总量值</w:t>
            </w:r>
          </w:p>
        </w:tc>
      </w:tr>
      <w:tr w14:paraId="3AB91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restart"/>
            <w:vAlign w:val="center"/>
          </w:tcPr>
          <w:p w14:paraId="3DAA81BE">
            <w:pPr>
              <w:spacing w:line="240" w:lineRule="auto"/>
              <w:ind w:firstLine="0" w:firstLineChars="0"/>
              <w:jc w:val="center"/>
              <w:rPr>
                <w:rFonts w:cs="Times New Roman"/>
                <w:bCs/>
                <w:kern w:val="0"/>
                <w:sz w:val="21"/>
                <w:szCs w:val="21"/>
              </w:rPr>
            </w:pPr>
            <w:r>
              <w:rPr>
                <w:rFonts w:hint="eastAsia" w:cs="Times New Roman"/>
                <w:bCs/>
                <w:kern w:val="0"/>
                <w:sz w:val="21"/>
                <w:szCs w:val="21"/>
              </w:rPr>
              <w:t>废气污染物</w:t>
            </w:r>
          </w:p>
        </w:tc>
        <w:tc>
          <w:tcPr>
            <w:tcW w:w="1041" w:type="dxa"/>
            <w:vAlign w:val="center"/>
          </w:tcPr>
          <w:p w14:paraId="51401C61">
            <w:pPr>
              <w:spacing w:line="240" w:lineRule="auto"/>
              <w:ind w:firstLine="0" w:firstLineChars="0"/>
              <w:jc w:val="center"/>
              <w:rPr>
                <w:rFonts w:cs="Times New Roman"/>
                <w:bCs/>
                <w:kern w:val="0"/>
                <w:sz w:val="21"/>
                <w:szCs w:val="21"/>
              </w:rPr>
            </w:pPr>
            <w:r>
              <w:rPr>
                <w:rFonts w:hint="eastAsia" w:cs="Times New Roman"/>
                <w:bCs/>
                <w:kern w:val="0"/>
                <w:sz w:val="21"/>
                <w:szCs w:val="21"/>
              </w:rPr>
              <w:t>SO</w:t>
            </w:r>
            <w:r>
              <w:rPr>
                <w:rFonts w:hint="eastAsia" w:cs="Times New Roman"/>
                <w:bCs/>
                <w:kern w:val="0"/>
                <w:sz w:val="21"/>
                <w:szCs w:val="21"/>
                <w:vertAlign w:val="subscript"/>
              </w:rPr>
              <w:t>2</w:t>
            </w:r>
          </w:p>
        </w:tc>
        <w:tc>
          <w:tcPr>
            <w:tcW w:w="1136" w:type="dxa"/>
            <w:vAlign w:val="center"/>
          </w:tcPr>
          <w:p w14:paraId="238DA495">
            <w:pPr>
              <w:spacing w:line="240" w:lineRule="auto"/>
              <w:ind w:firstLine="0" w:firstLineChars="0"/>
              <w:jc w:val="center"/>
              <w:rPr>
                <w:rFonts w:cs="Times New Roman"/>
                <w:bCs/>
                <w:kern w:val="0"/>
                <w:sz w:val="21"/>
                <w:szCs w:val="21"/>
              </w:rPr>
            </w:pPr>
            <w:r>
              <w:rPr>
                <w:rFonts w:cs="Times New Roman"/>
                <w:bCs/>
                <w:kern w:val="0"/>
                <w:sz w:val="21"/>
                <w:szCs w:val="21"/>
              </w:rPr>
              <w:t>25.8421</w:t>
            </w:r>
          </w:p>
        </w:tc>
        <w:tc>
          <w:tcPr>
            <w:tcW w:w="1134" w:type="dxa"/>
            <w:tcBorders>
              <w:top w:val="single" w:color="auto" w:sz="4" w:space="0"/>
              <w:left w:val="single" w:color="auto" w:sz="4" w:space="0"/>
              <w:right w:val="single" w:color="auto" w:sz="4" w:space="0"/>
            </w:tcBorders>
            <w:vAlign w:val="center"/>
          </w:tcPr>
          <w:p w14:paraId="0BEFBED3">
            <w:pPr>
              <w:spacing w:line="240" w:lineRule="auto"/>
              <w:ind w:firstLine="0" w:firstLineChars="0"/>
              <w:jc w:val="center"/>
              <w:rPr>
                <w:rFonts w:cs="Times New Roman"/>
                <w:bCs/>
                <w:kern w:val="0"/>
                <w:sz w:val="21"/>
                <w:szCs w:val="21"/>
              </w:rPr>
            </w:pPr>
            <w:r>
              <w:rPr>
                <w:rFonts w:cs="Times New Roman"/>
                <w:bCs/>
                <w:kern w:val="0"/>
                <w:sz w:val="21"/>
                <w:szCs w:val="21"/>
              </w:rPr>
              <w:t>22.06</w:t>
            </w:r>
          </w:p>
        </w:tc>
        <w:tc>
          <w:tcPr>
            <w:tcW w:w="1701" w:type="dxa"/>
            <w:tcBorders>
              <w:top w:val="single" w:color="auto" w:sz="4" w:space="0"/>
              <w:left w:val="single" w:color="auto" w:sz="4" w:space="0"/>
              <w:right w:val="single" w:color="auto" w:sz="4" w:space="0"/>
            </w:tcBorders>
            <w:vAlign w:val="center"/>
          </w:tcPr>
          <w:p w14:paraId="07785E33">
            <w:pPr>
              <w:spacing w:line="240" w:lineRule="auto"/>
              <w:ind w:firstLine="0" w:firstLineChars="0"/>
              <w:jc w:val="center"/>
              <w:rPr>
                <w:rFonts w:cs="Times New Roman"/>
                <w:bCs/>
                <w:kern w:val="0"/>
                <w:sz w:val="21"/>
                <w:szCs w:val="21"/>
              </w:rPr>
            </w:pPr>
            <w:r>
              <w:rPr>
                <w:rFonts w:cs="Times New Roman"/>
                <w:bCs/>
                <w:kern w:val="0"/>
                <w:sz w:val="21"/>
                <w:szCs w:val="21"/>
              </w:rPr>
              <w:t>22.06</w:t>
            </w:r>
          </w:p>
        </w:tc>
        <w:tc>
          <w:tcPr>
            <w:tcW w:w="1134" w:type="dxa"/>
            <w:tcBorders>
              <w:top w:val="single" w:color="auto" w:sz="4" w:space="0"/>
              <w:left w:val="single" w:color="auto" w:sz="4" w:space="0"/>
              <w:right w:val="single" w:color="auto" w:sz="4" w:space="0"/>
            </w:tcBorders>
            <w:vAlign w:val="center"/>
          </w:tcPr>
          <w:p w14:paraId="2FC29130">
            <w:pPr>
              <w:spacing w:line="240" w:lineRule="auto"/>
              <w:ind w:firstLine="0" w:firstLineChars="0"/>
              <w:jc w:val="center"/>
              <w:rPr>
                <w:rFonts w:cs="Times New Roman"/>
                <w:bCs/>
                <w:kern w:val="0"/>
                <w:sz w:val="21"/>
                <w:szCs w:val="21"/>
              </w:rPr>
            </w:pPr>
            <w:r>
              <w:rPr>
                <w:rFonts w:hint="eastAsia" w:cs="Times New Roman"/>
                <w:bCs/>
                <w:kern w:val="0"/>
                <w:sz w:val="21"/>
                <w:szCs w:val="21"/>
              </w:rPr>
              <w:t>0.012</w:t>
            </w:r>
          </w:p>
        </w:tc>
        <w:tc>
          <w:tcPr>
            <w:tcW w:w="1701" w:type="dxa"/>
            <w:tcBorders>
              <w:top w:val="single" w:color="auto" w:sz="4" w:space="0"/>
              <w:left w:val="single" w:color="auto" w:sz="4" w:space="0"/>
              <w:right w:val="single" w:color="auto" w:sz="4" w:space="0"/>
            </w:tcBorders>
            <w:vAlign w:val="center"/>
          </w:tcPr>
          <w:p w14:paraId="56489CED">
            <w:pPr>
              <w:spacing w:line="240" w:lineRule="auto"/>
              <w:ind w:firstLine="0" w:firstLineChars="0"/>
              <w:jc w:val="center"/>
              <w:rPr>
                <w:rFonts w:cs="Times New Roman"/>
                <w:bCs/>
                <w:kern w:val="0"/>
                <w:sz w:val="21"/>
                <w:szCs w:val="21"/>
              </w:rPr>
            </w:pPr>
            <w:r>
              <w:rPr>
                <w:rFonts w:hint="eastAsia" w:cs="Times New Roman"/>
                <w:bCs/>
                <w:kern w:val="0"/>
                <w:sz w:val="21"/>
                <w:szCs w:val="21"/>
              </w:rPr>
              <w:t>0.012</w:t>
            </w:r>
          </w:p>
        </w:tc>
      </w:tr>
      <w:tr w14:paraId="4BF50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vAlign w:val="center"/>
          </w:tcPr>
          <w:p w14:paraId="6A8DAD87">
            <w:pPr>
              <w:spacing w:line="240" w:lineRule="auto"/>
              <w:ind w:firstLine="0" w:firstLineChars="0"/>
              <w:jc w:val="center"/>
              <w:rPr>
                <w:rFonts w:cs="Times New Roman"/>
                <w:bCs/>
                <w:kern w:val="0"/>
                <w:sz w:val="21"/>
                <w:szCs w:val="21"/>
              </w:rPr>
            </w:pPr>
          </w:p>
        </w:tc>
        <w:tc>
          <w:tcPr>
            <w:tcW w:w="1041" w:type="dxa"/>
            <w:vAlign w:val="center"/>
          </w:tcPr>
          <w:p w14:paraId="5846F2FA">
            <w:pPr>
              <w:spacing w:line="240" w:lineRule="auto"/>
              <w:ind w:firstLine="0" w:firstLineChars="0"/>
              <w:jc w:val="center"/>
              <w:rPr>
                <w:rFonts w:cs="Times New Roman"/>
                <w:bCs/>
                <w:kern w:val="0"/>
                <w:sz w:val="21"/>
                <w:szCs w:val="21"/>
              </w:rPr>
            </w:pPr>
            <w:r>
              <w:rPr>
                <w:rFonts w:hint="eastAsia" w:cs="Times New Roman"/>
                <w:bCs/>
                <w:kern w:val="0"/>
                <w:sz w:val="21"/>
                <w:szCs w:val="21"/>
              </w:rPr>
              <w:t>NOx</w:t>
            </w:r>
          </w:p>
        </w:tc>
        <w:tc>
          <w:tcPr>
            <w:tcW w:w="1136" w:type="dxa"/>
            <w:vAlign w:val="center"/>
          </w:tcPr>
          <w:p w14:paraId="34E43FFB">
            <w:pPr>
              <w:spacing w:line="240" w:lineRule="auto"/>
              <w:ind w:firstLine="0" w:firstLineChars="0"/>
              <w:jc w:val="center"/>
              <w:rPr>
                <w:rFonts w:cs="Times New Roman"/>
                <w:bCs/>
                <w:kern w:val="0"/>
                <w:sz w:val="21"/>
                <w:szCs w:val="21"/>
              </w:rPr>
            </w:pPr>
            <w:r>
              <w:rPr>
                <w:rFonts w:cs="Times New Roman"/>
                <w:bCs/>
                <w:kern w:val="0"/>
                <w:sz w:val="21"/>
                <w:szCs w:val="21"/>
              </w:rPr>
              <w:t>130.93</w:t>
            </w:r>
          </w:p>
        </w:tc>
        <w:tc>
          <w:tcPr>
            <w:tcW w:w="1134" w:type="dxa"/>
            <w:tcBorders>
              <w:top w:val="single" w:color="auto" w:sz="4" w:space="0"/>
              <w:left w:val="single" w:color="auto" w:sz="4" w:space="0"/>
              <w:right w:val="single" w:color="auto" w:sz="4" w:space="0"/>
            </w:tcBorders>
            <w:vAlign w:val="center"/>
          </w:tcPr>
          <w:p w14:paraId="33774DE3">
            <w:pPr>
              <w:spacing w:line="240" w:lineRule="auto"/>
              <w:ind w:firstLine="0" w:firstLineChars="0"/>
              <w:jc w:val="center"/>
              <w:rPr>
                <w:rFonts w:cs="Times New Roman"/>
                <w:bCs/>
                <w:kern w:val="0"/>
                <w:sz w:val="21"/>
                <w:szCs w:val="21"/>
              </w:rPr>
            </w:pPr>
            <w:r>
              <w:rPr>
                <w:rFonts w:cs="Times New Roman"/>
                <w:bCs/>
                <w:kern w:val="0"/>
                <w:sz w:val="21"/>
                <w:szCs w:val="21"/>
              </w:rPr>
              <w:t>118.6</w:t>
            </w:r>
          </w:p>
        </w:tc>
        <w:tc>
          <w:tcPr>
            <w:tcW w:w="1701" w:type="dxa"/>
            <w:tcBorders>
              <w:top w:val="single" w:color="auto" w:sz="4" w:space="0"/>
              <w:left w:val="single" w:color="auto" w:sz="4" w:space="0"/>
              <w:right w:val="single" w:color="auto" w:sz="4" w:space="0"/>
            </w:tcBorders>
            <w:vAlign w:val="center"/>
          </w:tcPr>
          <w:p w14:paraId="02F3BECE">
            <w:pPr>
              <w:spacing w:line="240" w:lineRule="auto"/>
              <w:ind w:firstLine="0" w:firstLineChars="0"/>
              <w:jc w:val="center"/>
              <w:rPr>
                <w:rFonts w:cs="Times New Roman"/>
                <w:bCs/>
                <w:kern w:val="0"/>
                <w:sz w:val="21"/>
                <w:szCs w:val="21"/>
              </w:rPr>
            </w:pPr>
            <w:r>
              <w:rPr>
                <w:rFonts w:cs="Times New Roman"/>
                <w:bCs/>
                <w:kern w:val="0"/>
                <w:sz w:val="21"/>
                <w:szCs w:val="21"/>
              </w:rPr>
              <w:t>118.6</w:t>
            </w:r>
          </w:p>
        </w:tc>
        <w:tc>
          <w:tcPr>
            <w:tcW w:w="1134" w:type="dxa"/>
            <w:tcBorders>
              <w:top w:val="single" w:color="auto" w:sz="4" w:space="0"/>
              <w:left w:val="single" w:color="auto" w:sz="4" w:space="0"/>
              <w:right w:val="single" w:color="auto" w:sz="4" w:space="0"/>
            </w:tcBorders>
            <w:vAlign w:val="center"/>
          </w:tcPr>
          <w:p w14:paraId="5BEBA74C">
            <w:pPr>
              <w:spacing w:line="240" w:lineRule="auto"/>
              <w:ind w:firstLine="0" w:firstLineChars="0"/>
              <w:jc w:val="center"/>
              <w:rPr>
                <w:rFonts w:cs="Times New Roman"/>
                <w:bCs/>
                <w:kern w:val="0"/>
                <w:sz w:val="21"/>
                <w:szCs w:val="21"/>
              </w:rPr>
            </w:pPr>
            <w:r>
              <w:rPr>
                <w:rFonts w:cs="Times New Roman"/>
                <w:bCs/>
                <w:kern w:val="0"/>
                <w:sz w:val="21"/>
                <w:szCs w:val="21"/>
              </w:rPr>
              <w:t>13.6</w:t>
            </w:r>
          </w:p>
        </w:tc>
        <w:tc>
          <w:tcPr>
            <w:tcW w:w="1701" w:type="dxa"/>
            <w:tcBorders>
              <w:top w:val="single" w:color="auto" w:sz="4" w:space="0"/>
              <w:left w:val="single" w:color="auto" w:sz="4" w:space="0"/>
              <w:right w:val="single" w:color="auto" w:sz="4" w:space="0"/>
            </w:tcBorders>
            <w:vAlign w:val="center"/>
          </w:tcPr>
          <w:p w14:paraId="7A7DECDE">
            <w:pPr>
              <w:spacing w:line="240" w:lineRule="auto"/>
              <w:ind w:firstLine="0" w:firstLineChars="0"/>
              <w:jc w:val="center"/>
              <w:rPr>
                <w:rFonts w:cs="Times New Roman"/>
                <w:bCs/>
                <w:kern w:val="0"/>
                <w:sz w:val="21"/>
                <w:szCs w:val="21"/>
              </w:rPr>
            </w:pPr>
            <w:r>
              <w:rPr>
                <w:rFonts w:cs="Times New Roman"/>
                <w:bCs/>
                <w:kern w:val="0"/>
                <w:sz w:val="21"/>
                <w:szCs w:val="21"/>
              </w:rPr>
              <w:t>13.6</w:t>
            </w:r>
          </w:p>
        </w:tc>
      </w:tr>
      <w:tr w14:paraId="28DDD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vAlign w:val="center"/>
          </w:tcPr>
          <w:p w14:paraId="11C6D604">
            <w:pPr>
              <w:spacing w:line="240" w:lineRule="auto"/>
              <w:ind w:firstLine="0" w:firstLineChars="0"/>
              <w:jc w:val="center"/>
              <w:rPr>
                <w:rFonts w:cs="Times New Roman"/>
                <w:bCs/>
                <w:kern w:val="0"/>
                <w:sz w:val="21"/>
                <w:szCs w:val="21"/>
              </w:rPr>
            </w:pPr>
          </w:p>
        </w:tc>
        <w:tc>
          <w:tcPr>
            <w:tcW w:w="1041" w:type="dxa"/>
            <w:vAlign w:val="center"/>
          </w:tcPr>
          <w:p w14:paraId="140D163F">
            <w:pPr>
              <w:spacing w:line="240" w:lineRule="auto"/>
              <w:ind w:firstLine="0" w:firstLineChars="0"/>
              <w:jc w:val="center"/>
              <w:rPr>
                <w:rFonts w:cs="Times New Roman"/>
                <w:bCs/>
                <w:kern w:val="0"/>
                <w:sz w:val="21"/>
                <w:szCs w:val="21"/>
              </w:rPr>
            </w:pPr>
            <w:r>
              <w:rPr>
                <w:rFonts w:hint="eastAsia" w:cs="Times New Roman"/>
                <w:kern w:val="0"/>
                <w:sz w:val="21"/>
                <w:szCs w:val="21"/>
              </w:rPr>
              <w:t>颗粒物</w:t>
            </w:r>
          </w:p>
        </w:tc>
        <w:tc>
          <w:tcPr>
            <w:tcW w:w="1136" w:type="dxa"/>
            <w:vAlign w:val="center"/>
          </w:tcPr>
          <w:p w14:paraId="551B2A9B">
            <w:pPr>
              <w:spacing w:line="240" w:lineRule="auto"/>
              <w:ind w:firstLine="0" w:firstLineChars="0"/>
              <w:jc w:val="center"/>
              <w:rPr>
                <w:rFonts w:cs="Times New Roman"/>
                <w:bCs/>
                <w:kern w:val="0"/>
                <w:sz w:val="21"/>
                <w:szCs w:val="21"/>
              </w:rPr>
            </w:pPr>
            <w:r>
              <w:rPr>
                <w:rFonts w:cs="Times New Roman"/>
                <w:bCs/>
                <w:kern w:val="0"/>
                <w:sz w:val="21"/>
                <w:szCs w:val="21"/>
              </w:rPr>
              <w:t>22.49</w:t>
            </w:r>
          </w:p>
        </w:tc>
        <w:tc>
          <w:tcPr>
            <w:tcW w:w="1134" w:type="dxa"/>
            <w:tcBorders>
              <w:top w:val="single" w:color="auto" w:sz="4" w:space="0"/>
              <w:left w:val="single" w:color="auto" w:sz="4" w:space="0"/>
              <w:right w:val="single" w:color="auto" w:sz="4" w:space="0"/>
            </w:tcBorders>
            <w:vAlign w:val="center"/>
          </w:tcPr>
          <w:p w14:paraId="0E3E4D3C">
            <w:pPr>
              <w:spacing w:line="240" w:lineRule="auto"/>
              <w:ind w:firstLine="0" w:firstLineChars="0"/>
              <w:jc w:val="center"/>
              <w:rPr>
                <w:rFonts w:cs="Times New Roman"/>
                <w:bCs/>
                <w:kern w:val="0"/>
                <w:sz w:val="21"/>
                <w:szCs w:val="21"/>
              </w:rPr>
            </w:pPr>
            <w:r>
              <w:rPr>
                <w:rFonts w:cs="Times New Roman"/>
                <w:bCs/>
                <w:kern w:val="0"/>
                <w:sz w:val="21"/>
                <w:szCs w:val="21"/>
              </w:rPr>
              <w:t>19.79</w:t>
            </w:r>
          </w:p>
        </w:tc>
        <w:tc>
          <w:tcPr>
            <w:tcW w:w="1701" w:type="dxa"/>
            <w:tcBorders>
              <w:top w:val="single" w:color="auto" w:sz="4" w:space="0"/>
              <w:left w:val="single" w:color="auto" w:sz="4" w:space="0"/>
              <w:right w:val="single" w:color="auto" w:sz="4" w:space="0"/>
            </w:tcBorders>
            <w:vAlign w:val="center"/>
          </w:tcPr>
          <w:p w14:paraId="0725B0DF">
            <w:pPr>
              <w:spacing w:line="240" w:lineRule="auto"/>
              <w:ind w:firstLine="0" w:firstLineChars="0"/>
              <w:jc w:val="center"/>
              <w:rPr>
                <w:rFonts w:cs="Times New Roman"/>
                <w:bCs/>
                <w:kern w:val="0"/>
                <w:sz w:val="21"/>
                <w:szCs w:val="21"/>
              </w:rPr>
            </w:pPr>
            <w:r>
              <w:rPr>
                <w:rFonts w:cs="Times New Roman"/>
                <w:bCs/>
                <w:kern w:val="0"/>
                <w:sz w:val="21"/>
                <w:szCs w:val="21"/>
              </w:rPr>
              <w:t>19.79</w:t>
            </w:r>
          </w:p>
        </w:tc>
        <w:tc>
          <w:tcPr>
            <w:tcW w:w="1134" w:type="dxa"/>
            <w:tcBorders>
              <w:top w:val="single" w:color="auto" w:sz="4" w:space="0"/>
              <w:left w:val="single" w:color="auto" w:sz="4" w:space="0"/>
              <w:right w:val="single" w:color="auto" w:sz="4" w:space="0"/>
            </w:tcBorders>
            <w:vAlign w:val="center"/>
          </w:tcPr>
          <w:p w14:paraId="4BFF05B8">
            <w:pPr>
              <w:spacing w:line="240" w:lineRule="auto"/>
              <w:ind w:firstLine="0" w:firstLineChars="0"/>
              <w:jc w:val="center"/>
              <w:rPr>
                <w:rFonts w:cs="Times New Roman"/>
                <w:bCs/>
                <w:kern w:val="0"/>
                <w:sz w:val="21"/>
                <w:szCs w:val="21"/>
              </w:rPr>
            </w:pPr>
            <w:r>
              <w:rPr>
                <w:rFonts w:cs="Times New Roman"/>
                <w:bCs/>
                <w:kern w:val="0"/>
                <w:sz w:val="21"/>
                <w:szCs w:val="21"/>
              </w:rPr>
              <w:t>0.98</w:t>
            </w:r>
          </w:p>
        </w:tc>
        <w:tc>
          <w:tcPr>
            <w:tcW w:w="1701" w:type="dxa"/>
            <w:tcBorders>
              <w:top w:val="single" w:color="auto" w:sz="4" w:space="0"/>
              <w:left w:val="single" w:color="auto" w:sz="4" w:space="0"/>
              <w:right w:val="single" w:color="auto" w:sz="4" w:space="0"/>
            </w:tcBorders>
            <w:vAlign w:val="center"/>
          </w:tcPr>
          <w:p w14:paraId="118B5237">
            <w:pPr>
              <w:spacing w:line="240" w:lineRule="auto"/>
              <w:ind w:firstLine="0" w:firstLineChars="0"/>
              <w:jc w:val="center"/>
              <w:rPr>
                <w:rFonts w:cs="Times New Roman"/>
                <w:bCs/>
                <w:kern w:val="0"/>
                <w:sz w:val="21"/>
                <w:szCs w:val="21"/>
              </w:rPr>
            </w:pPr>
            <w:r>
              <w:rPr>
                <w:rFonts w:cs="Times New Roman"/>
                <w:bCs/>
                <w:kern w:val="0"/>
                <w:sz w:val="21"/>
                <w:szCs w:val="21"/>
              </w:rPr>
              <w:t>0.98</w:t>
            </w:r>
          </w:p>
        </w:tc>
      </w:tr>
      <w:tr w14:paraId="2DC13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vAlign w:val="center"/>
          </w:tcPr>
          <w:p w14:paraId="60A08451">
            <w:pPr>
              <w:spacing w:line="240" w:lineRule="auto"/>
              <w:ind w:firstLine="0" w:firstLineChars="0"/>
              <w:jc w:val="center"/>
              <w:rPr>
                <w:rFonts w:cs="Times New Roman"/>
                <w:bCs/>
                <w:kern w:val="0"/>
                <w:sz w:val="21"/>
                <w:szCs w:val="21"/>
              </w:rPr>
            </w:pPr>
          </w:p>
        </w:tc>
        <w:tc>
          <w:tcPr>
            <w:tcW w:w="1041" w:type="dxa"/>
            <w:vAlign w:val="center"/>
          </w:tcPr>
          <w:p w14:paraId="0900FF94">
            <w:pPr>
              <w:spacing w:line="240" w:lineRule="auto"/>
              <w:ind w:firstLine="0" w:firstLineChars="0"/>
              <w:jc w:val="center"/>
              <w:rPr>
                <w:rFonts w:cs="Times New Roman"/>
                <w:bCs/>
                <w:kern w:val="0"/>
                <w:sz w:val="21"/>
                <w:szCs w:val="21"/>
              </w:rPr>
            </w:pPr>
            <w:r>
              <w:rPr>
                <w:rFonts w:hint="eastAsia" w:cs="Times New Roman"/>
                <w:bCs/>
                <w:kern w:val="0"/>
                <w:sz w:val="21"/>
                <w:szCs w:val="21"/>
              </w:rPr>
              <w:t>VOCs</w:t>
            </w:r>
          </w:p>
        </w:tc>
        <w:tc>
          <w:tcPr>
            <w:tcW w:w="1136" w:type="dxa"/>
            <w:vAlign w:val="center"/>
          </w:tcPr>
          <w:p w14:paraId="065996AD">
            <w:pPr>
              <w:spacing w:line="240" w:lineRule="auto"/>
              <w:ind w:firstLine="0" w:firstLineChars="0"/>
              <w:jc w:val="center"/>
              <w:rPr>
                <w:rFonts w:cs="Times New Roman"/>
                <w:bCs/>
                <w:kern w:val="0"/>
                <w:sz w:val="21"/>
                <w:szCs w:val="21"/>
              </w:rPr>
            </w:pPr>
            <w:r>
              <w:rPr>
                <w:rFonts w:cs="Times New Roman"/>
                <w:bCs/>
                <w:kern w:val="0"/>
                <w:sz w:val="21"/>
                <w:szCs w:val="21"/>
              </w:rPr>
              <w:t>3.03</w:t>
            </w:r>
          </w:p>
        </w:tc>
        <w:tc>
          <w:tcPr>
            <w:tcW w:w="1134" w:type="dxa"/>
            <w:tcBorders>
              <w:top w:val="single" w:color="auto" w:sz="4" w:space="0"/>
              <w:left w:val="single" w:color="auto" w:sz="4" w:space="0"/>
              <w:bottom w:val="single" w:color="auto" w:sz="4" w:space="0"/>
              <w:right w:val="single" w:color="auto" w:sz="4" w:space="0"/>
            </w:tcBorders>
            <w:vAlign w:val="center"/>
          </w:tcPr>
          <w:p w14:paraId="35F63062">
            <w:pPr>
              <w:spacing w:line="240" w:lineRule="auto"/>
              <w:ind w:firstLine="0" w:firstLineChars="0"/>
              <w:jc w:val="center"/>
              <w:rPr>
                <w:rFonts w:cs="Times New Roman"/>
                <w:bCs/>
                <w:kern w:val="0"/>
                <w:sz w:val="21"/>
                <w:szCs w:val="21"/>
              </w:rPr>
            </w:pPr>
            <w:r>
              <w:rPr>
                <w:rFonts w:cs="Times New Roman"/>
                <w:bCs/>
                <w:kern w:val="0"/>
                <w:sz w:val="21"/>
                <w:szCs w:val="21"/>
              </w:rPr>
              <w:t>2.98</w:t>
            </w:r>
          </w:p>
        </w:tc>
        <w:tc>
          <w:tcPr>
            <w:tcW w:w="1701" w:type="dxa"/>
            <w:tcBorders>
              <w:top w:val="single" w:color="auto" w:sz="4" w:space="0"/>
              <w:left w:val="single" w:color="auto" w:sz="4" w:space="0"/>
              <w:bottom w:val="single" w:color="auto" w:sz="4" w:space="0"/>
              <w:right w:val="single" w:color="auto" w:sz="4" w:space="0"/>
            </w:tcBorders>
            <w:vAlign w:val="center"/>
          </w:tcPr>
          <w:p w14:paraId="40AAE8A8">
            <w:pPr>
              <w:spacing w:line="240" w:lineRule="auto"/>
              <w:ind w:firstLine="0" w:firstLineChars="0"/>
              <w:jc w:val="center"/>
              <w:rPr>
                <w:rFonts w:cs="Times New Roman"/>
                <w:bCs/>
                <w:kern w:val="0"/>
                <w:sz w:val="21"/>
                <w:szCs w:val="21"/>
              </w:rPr>
            </w:pPr>
            <w:r>
              <w:rPr>
                <w:rFonts w:cs="Times New Roman"/>
                <w:bCs/>
                <w:kern w:val="0"/>
                <w:sz w:val="21"/>
                <w:szCs w:val="21"/>
              </w:rPr>
              <w:t>2.98</w:t>
            </w:r>
          </w:p>
        </w:tc>
        <w:tc>
          <w:tcPr>
            <w:tcW w:w="1134" w:type="dxa"/>
            <w:tcBorders>
              <w:top w:val="single" w:color="auto" w:sz="4" w:space="0"/>
              <w:left w:val="single" w:color="auto" w:sz="4" w:space="0"/>
              <w:bottom w:val="single" w:color="auto" w:sz="4" w:space="0"/>
              <w:right w:val="single" w:color="auto" w:sz="4" w:space="0"/>
            </w:tcBorders>
            <w:vAlign w:val="center"/>
          </w:tcPr>
          <w:p w14:paraId="77AC52B0">
            <w:pPr>
              <w:spacing w:line="240" w:lineRule="auto"/>
              <w:ind w:firstLine="0" w:firstLineChars="0"/>
              <w:jc w:val="center"/>
              <w:rPr>
                <w:rFonts w:cs="Times New Roman"/>
                <w:bCs/>
                <w:kern w:val="0"/>
                <w:sz w:val="21"/>
                <w:szCs w:val="21"/>
              </w:rPr>
            </w:pPr>
            <w:r>
              <w:rPr>
                <w:rFonts w:cs="Times New Roman"/>
                <w:bCs/>
                <w:kern w:val="0"/>
                <w:sz w:val="21"/>
                <w:szCs w:val="21"/>
              </w:rPr>
              <w:t>3.66</w:t>
            </w:r>
          </w:p>
        </w:tc>
        <w:tc>
          <w:tcPr>
            <w:tcW w:w="1701" w:type="dxa"/>
            <w:tcBorders>
              <w:top w:val="single" w:color="auto" w:sz="4" w:space="0"/>
              <w:left w:val="single" w:color="auto" w:sz="4" w:space="0"/>
              <w:bottom w:val="single" w:color="auto" w:sz="4" w:space="0"/>
              <w:right w:val="single" w:color="auto" w:sz="4" w:space="0"/>
            </w:tcBorders>
            <w:vAlign w:val="center"/>
          </w:tcPr>
          <w:p w14:paraId="28ED2C17">
            <w:pPr>
              <w:spacing w:line="240" w:lineRule="auto"/>
              <w:ind w:firstLine="0" w:firstLineChars="0"/>
              <w:jc w:val="center"/>
              <w:rPr>
                <w:rFonts w:cs="Times New Roman"/>
                <w:bCs/>
                <w:kern w:val="0"/>
                <w:sz w:val="21"/>
                <w:szCs w:val="21"/>
              </w:rPr>
            </w:pPr>
            <w:r>
              <w:rPr>
                <w:rFonts w:cs="Times New Roman"/>
                <w:bCs/>
                <w:kern w:val="0"/>
                <w:sz w:val="21"/>
                <w:szCs w:val="21"/>
              </w:rPr>
              <w:t>3.66</w:t>
            </w:r>
          </w:p>
        </w:tc>
      </w:tr>
      <w:tr w14:paraId="0B152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restart"/>
            <w:vAlign w:val="center"/>
          </w:tcPr>
          <w:p w14:paraId="2B4A0926">
            <w:pPr>
              <w:spacing w:line="240" w:lineRule="auto"/>
              <w:ind w:firstLine="0" w:firstLineChars="0"/>
              <w:jc w:val="center"/>
              <w:rPr>
                <w:rFonts w:cs="Times New Roman"/>
                <w:bCs/>
                <w:kern w:val="0"/>
                <w:sz w:val="21"/>
                <w:szCs w:val="21"/>
              </w:rPr>
            </w:pPr>
            <w:bookmarkStart w:id="131" w:name="_Toc83667704"/>
            <w:bookmarkStart w:id="132" w:name="_Toc100659013"/>
            <w:bookmarkStart w:id="133" w:name="_Toc217294076"/>
            <w:r>
              <w:rPr>
                <w:rFonts w:hint="eastAsia" w:cs="Times New Roman"/>
                <w:bCs/>
                <w:kern w:val="0"/>
                <w:sz w:val="21"/>
                <w:szCs w:val="21"/>
              </w:rPr>
              <w:t>废水污染物</w:t>
            </w:r>
          </w:p>
        </w:tc>
        <w:tc>
          <w:tcPr>
            <w:tcW w:w="1041" w:type="dxa"/>
            <w:vAlign w:val="center"/>
          </w:tcPr>
          <w:p w14:paraId="1558506D">
            <w:pPr>
              <w:spacing w:line="240" w:lineRule="auto"/>
              <w:ind w:firstLine="0" w:firstLineChars="0"/>
              <w:jc w:val="center"/>
              <w:rPr>
                <w:rFonts w:cs="Times New Roman"/>
                <w:bCs/>
                <w:kern w:val="0"/>
                <w:sz w:val="21"/>
                <w:szCs w:val="21"/>
              </w:rPr>
            </w:pPr>
            <w:r>
              <w:rPr>
                <w:rFonts w:hint="eastAsia" w:cs="Times New Roman"/>
                <w:bCs/>
                <w:kern w:val="0"/>
                <w:sz w:val="21"/>
                <w:szCs w:val="21"/>
              </w:rPr>
              <w:t>废水量（生活污水）</w:t>
            </w:r>
          </w:p>
        </w:tc>
        <w:tc>
          <w:tcPr>
            <w:tcW w:w="1136" w:type="dxa"/>
            <w:vAlign w:val="center"/>
          </w:tcPr>
          <w:p w14:paraId="56197C07">
            <w:pPr>
              <w:spacing w:line="240" w:lineRule="auto"/>
              <w:ind w:firstLine="0" w:firstLineChars="0"/>
              <w:jc w:val="center"/>
              <w:rPr>
                <w:rFonts w:cs="Times New Roman"/>
                <w:bCs/>
                <w:kern w:val="0"/>
                <w:sz w:val="21"/>
                <w:szCs w:val="21"/>
              </w:rPr>
            </w:pPr>
            <w:r>
              <w:rPr>
                <w:rFonts w:cs="Times New Roman"/>
                <w:bCs/>
                <w:kern w:val="0"/>
                <w:sz w:val="21"/>
                <w:szCs w:val="21"/>
              </w:rPr>
              <w:t>97.68万</w:t>
            </w:r>
          </w:p>
        </w:tc>
        <w:tc>
          <w:tcPr>
            <w:tcW w:w="1134" w:type="dxa"/>
            <w:tcBorders>
              <w:top w:val="single" w:color="auto" w:sz="4" w:space="0"/>
              <w:left w:val="single" w:color="auto" w:sz="4" w:space="0"/>
              <w:bottom w:val="single" w:color="auto" w:sz="4" w:space="0"/>
              <w:right w:val="single" w:color="auto" w:sz="4" w:space="0"/>
            </w:tcBorders>
            <w:vAlign w:val="center"/>
          </w:tcPr>
          <w:p w14:paraId="0D440D53">
            <w:pPr>
              <w:spacing w:line="240" w:lineRule="auto"/>
              <w:ind w:firstLine="0" w:firstLineChars="0"/>
              <w:jc w:val="center"/>
              <w:rPr>
                <w:rFonts w:cs="Times New Roman"/>
                <w:bCs/>
                <w:kern w:val="0"/>
                <w:sz w:val="21"/>
                <w:szCs w:val="21"/>
              </w:rPr>
            </w:pPr>
            <w:r>
              <w:rPr>
                <w:rFonts w:cs="Times New Roman"/>
                <w:bCs/>
                <w:kern w:val="0"/>
                <w:sz w:val="21"/>
                <w:szCs w:val="21"/>
              </w:rPr>
              <w:t>136.48万</w:t>
            </w:r>
          </w:p>
        </w:tc>
        <w:tc>
          <w:tcPr>
            <w:tcW w:w="1701" w:type="dxa"/>
            <w:tcBorders>
              <w:top w:val="single" w:color="auto" w:sz="4" w:space="0"/>
              <w:left w:val="single" w:color="auto" w:sz="4" w:space="0"/>
              <w:bottom w:val="single" w:color="auto" w:sz="4" w:space="0"/>
              <w:right w:val="single" w:color="auto" w:sz="4" w:space="0"/>
            </w:tcBorders>
            <w:vAlign w:val="center"/>
          </w:tcPr>
          <w:p w14:paraId="7C85685D">
            <w:pPr>
              <w:spacing w:line="240" w:lineRule="auto"/>
              <w:ind w:firstLine="0" w:firstLineChars="0"/>
              <w:jc w:val="center"/>
              <w:rPr>
                <w:rFonts w:cs="Times New Roman"/>
                <w:bCs/>
                <w:kern w:val="0"/>
                <w:sz w:val="21"/>
                <w:szCs w:val="21"/>
              </w:rPr>
            </w:pPr>
            <w:r>
              <w:rPr>
                <w:rFonts w:cs="Times New Roman"/>
                <w:bCs/>
                <w:kern w:val="0"/>
                <w:sz w:val="21"/>
                <w:szCs w:val="21"/>
              </w:rPr>
              <w:t>136.48万</w:t>
            </w:r>
          </w:p>
        </w:tc>
        <w:tc>
          <w:tcPr>
            <w:tcW w:w="1134" w:type="dxa"/>
            <w:tcBorders>
              <w:top w:val="single" w:color="auto" w:sz="4" w:space="0"/>
              <w:left w:val="single" w:color="auto" w:sz="4" w:space="0"/>
              <w:bottom w:val="single" w:color="auto" w:sz="4" w:space="0"/>
              <w:right w:val="single" w:color="auto" w:sz="4" w:space="0"/>
            </w:tcBorders>
            <w:vAlign w:val="center"/>
          </w:tcPr>
          <w:p w14:paraId="29FEAD6D">
            <w:pPr>
              <w:spacing w:line="240" w:lineRule="auto"/>
              <w:ind w:firstLine="0" w:firstLineChars="0"/>
              <w:jc w:val="center"/>
              <w:rPr>
                <w:rFonts w:cs="Times New Roman"/>
                <w:bCs/>
                <w:kern w:val="0"/>
                <w:sz w:val="21"/>
                <w:szCs w:val="21"/>
              </w:rPr>
            </w:pPr>
            <w:r>
              <w:rPr>
                <w:rFonts w:cs="Times New Roman"/>
                <w:bCs/>
                <w:kern w:val="0"/>
                <w:sz w:val="21"/>
                <w:szCs w:val="21"/>
              </w:rPr>
              <w:t>150.17万</w:t>
            </w:r>
          </w:p>
        </w:tc>
        <w:tc>
          <w:tcPr>
            <w:tcW w:w="1701" w:type="dxa"/>
            <w:tcBorders>
              <w:top w:val="single" w:color="auto" w:sz="4" w:space="0"/>
              <w:left w:val="single" w:color="auto" w:sz="4" w:space="0"/>
              <w:bottom w:val="single" w:color="auto" w:sz="4" w:space="0"/>
              <w:right w:val="single" w:color="auto" w:sz="4" w:space="0"/>
            </w:tcBorders>
            <w:vAlign w:val="center"/>
          </w:tcPr>
          <w:p w14:paraId="1BD86844">
            <w:pPr>
              <w:spacing w:line="240" w:lineRule="auto"/>
              <w:ind w:firstLine="0" w:firstLineChars="0"/>
              <w:jc w:val="center"/>
              <w:rPr>
                <w:rFonts w:cs="Times New Roman"/>
                <w:bCs/>
                <w:kern w:val="0"/>
                <w:sz w:val="21"/>
                <w:szCs w:val="21"/>
              </w:rPr>
            </w:pPr>
            <w:r>
              <w:rPr>
                <w:rFonts w:cs="Times New Roman"/>
                <w:bCs/>
                <w:kern w:val="0"/>
                <w:sz w:val="21"/>
                <w:szCs w:val="21"/>
              </w:rPr>
              <w:t>150.17万</w:t>
            </w:r>
          </w:p>
        </w:tc>
      </w:tr>
      <w:tr w14:paraId="7E3C7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vAlign w:val="center"/>
          </w:tcPr>
          <w:p w14:paraId="3FA7F0FD">
            <w:pPr>
              <w:spacing w:line="240" w:lineRule="auto"/>
              <w:ind w:firstLine="0" w:firstLineChars="0"/>
              <w:jc w:val="center"/>
              <w:rPr>
                <w:rFonts w:cs="Times New Roman"/>
                <w:bCs/>
                <w:kern w:val="0"/>
                <w:sz w:val="21"/>
                <w:szCs w:val="21"/>
              </w:rPr>
            </w:pPr>
          </w:p>
        </w:tc>
        <w:tc>
          <w:tcPr>
            <w:tcW w:w="1041" w:type="dxa"/>
            <w:vAlign w:val="center"/>
          </w:tcPr>
          <w:p w14:paraId="4197BD11">
            <w:pPr>
              <w:spacing w:line="240" w:lineRule="auto"/>
              <w:ind w:firstLine="0" w:firstLineChars="0"/>
              <w:jc w:val="center"/>
              <w:rPr>
                <w:rFonts w:cs="Times New Roman"/>
                <w:bCs/>
                <w:kern w:val="0"/>
                <w:sz w:val="21"/>
                <w:szCs w:val="21"/>
              </w:rPr>
            </w:pPr>
            <w:r>
              <w:rPr>
                <w:rFonts w:hint="eastAsia" w:cs="Times New Roman"/>
                <w:bCs/>
                <w:kern w:val="0"/>
                <w:sz w:val="21"/>
                <w:szCs w:val="21"/>
              </w:rPr>
              <w:t>COD</w:t>
            </w:r>
          </w:p>
        </w:tc>
        <w:tc>
          <w:tcPr>
            <w:tcW w:w="1136" w:type="dxa"/>
            <w:vAlign w:val="center"/>
          </w:tcPr>
          <w:p w14:paraId="254D0258">
            <w:pPr>
              <w:spacing w:line="240" w:lineRule="auto"/>
              <w:ind w:firstLine="0" w:firstLineChars="0"/>
              <w:jc w:val="center"/>
              <w:rPr>
                <w:rFonts w:cs="Times New Roman"/>
                <w:bCs/>
                <w:kern w:val="0"/>
                <w:sz w:val="21"/>
                <w:szCs w:val="21"/>
              </w:rPr>
            </w:pPr>
            <w:r>
              <w:rPr>
                <w:rFonts w:cs="Times New Roman"/>
                <w:bCs/>
                <w:kern w:val="0"/>
                <w:sz w:val="21"/>
                <w:szCs w:val="21"/>
              </w:rPr>
              <w:t>20.72</w:t>
            </w:r>
          </w:p>
        </w:tc>
        <w:tc>
          <w:tcPr>
            <w:tcW w:w="1134" w:type="dxa"/>
            <w:tcBorders>
              <w:top w:val="single" w:color="auto" w:sz="4" w:space="0"/>
              <w:left w:val="single" w:color="auto" w:sz="4" w:space="0"/>
              <w:bottom w:val="single" w:color="auto" w:sz="4" w:space="0"/>
              <w:right w:val="single" w:color="auto" w:sz="4" w:space="0"/>
            </w:tcBorders>
            <w:vAlign w:val="center"/>
          </w:tcPr>
          <w:p w14:paraId="045D9E61">
            <w:pPr>
              <w:spacing w:line="240" w:lineRule="auto"/>
              <w:ind w:firstLine="0" w:firstLineChars="0"/>
              <w:jc w:val="center"/>
              <w:rPr>
                <w:rFonts w:cs="Times New Roman"/>
                <w:bCs/>
                <w:kern w:val="0"/>
                <w:sz w:val="21"/>
                <w:szCs w:val="21"/>
              </w:rPr>
            </w:pPr>
            <w:r>
              <w:rPr>
                <w:rFonts w:cs="Times New Roman"/>
                <w:bCs/>
                <w:kern w:val="0"/>
                <w:sz w:val="21"/>
                <w:szCs w:val="21"/>
              </w:rPr>
              <w:t>30.19</w:t>
            </w:r>
          </w:p>
        </w:tc>
        <w:tc>
          <w:tcPr>
            <w:tcW w:w="1701" w:type="dxa"/>
            <w:tcBorders>
              <w:top w:val="single" w:color="auto" w:sz="4" w:space="0"/>
              <w:left w:val="single" w:color="auto" w:sz="4" w:space="0"/>
              <w:bottom w:val="single" w:color="auto" w:sz="4" w:space="0"/>
              <w:right w:val="single" w:color="auto" w:sz="4" w:space="0"/>
            </w:tcBorders>
            <w:vAlign w:val="center"/>
          </w:tcPr>
          <w:p w14:paraId="7C97796A">
            <w:pPr>
              <w:spacing w:line="240" w:lineRule="auto"/>
              <w:ind w:firstLine="0" w:firstLineChars="0"/>
              <w:jc w:val="center"/>
              <w:rPr>
                <w:rFonts w:cs="Times New Roman"/>
                <w:bCs/>
                <w:kern w:val="0"/>
                <w:sz w:val="21"/>
                <w:szCs w:val="21"/>
              </w:rPr>
            </w:pPr>
            <w:r>
              <w:rPr>
                <w:rFonts w:cs="Times New Roman"/>
                <w:bCs/>
                <w:kern w:val="0"/>
                <w:sz w:val="21"/>
                <w:szCs w:val="21"/>
              </w:rPr>
              <w:t>30.19</w:t>
            </w:r>
          </w:p>
        </w:tc>
        <w:tc>
          <w:tcPr>
            <w:tcW w:w="1134" w:type="dxa"/>
            <w:tcBorders>
              <w:top w:val="single" w:color="auto" w:sz="4" w:space="0"/>
              <w:left w:val="single" w:color="auto" w:sz="4" w:space="0"/>
              <w:bottom w:val="single" w:color="auto" w:sz="4" w:space="0"/>
              <w:right w:val="single" w:color="auto" w:sz="4" w:space="0"/>
            </w:tcBorders>
            <w:vAlign w:val="center"/>
          </w:tcPr>
          <w:p w14:paraId="5DA8E68C">
            <w:pPr>
              <w:spacing w:line="240" w:lineRule="auto"/>
              <w:ind w:firstLine="0" w:firstLineChars="0"/>
              <w:jc w:val="center"/>
              <w:rPr>
                <w:rFonts w:cs="Times New Roman"/>
                <w:bCs/>
                <w:kern w:val="0"/>
                <w:sz w:val="21"/>
                <w:szCs w:val="21"/>
              </w:rPr>
            </w:pPr>
            <w:r>
              <w:rPr>
                <w:rFonts w:cs="Times New Roman"/>
                <w:bCs/>
                <w:kern w:val="0"/>
                <w:sz w:val="21"/>
                <w:szCs w:val="21"/>
              </w:rPr>
              <w:t>36.5</w:t>
            </w:r>
          </w:p>
        </w:tc>
        <w:tc>
          <w:tcPr>
            <w:tcW w:w="1701" w:type="dxa"/>
            <w:tcBorders>
              <w:top w:val="single" w:color="auto" w:sz="4" w:space="0"/>
              <w:left w:val="single" w:color="auto" w:sz="4" w:space="0"/>
              <w:bottom w:val="single" w:color="auto" w:sz="4" w:space="0"/>
              <w:right w:val="single" w:color="auto" w:sz="4" w:space="0"/>
            </w:tcBorders>
            <w:vAlign w:val="center"/>
          </w:tcPr>
          <w:p w14:paraId="4CB0684D">
            <w:pPr>
              <w:spacing w:line="240" w:lineRule="auto"/>
              <w:ind w:firstLine="0" w:firstLineChars="0"/>
              <w:jc w:val="center"/>
              <w:rPr>
                <w:rFonts w:cs="Times New Roman"/>
                <w:bCs/>
                <w:kern w:val="0"/>
                <w:sz w:val="21"/>
                <w:szCs w:val="21"/>
              </w:rPr>
            </w:pPr>
            <w:r>
              <w:rPr>
                <w:rFonts w:cs="Times New Roman"/>
                <w:bCs/>
                <w:kern w:val="0"/>
                <w:sz w:val="21"/>
                <w:szCs w:val="21"/>
              </w:rPr>
              <w:t>36.5</w:t>
            </w:r>
          </w:p>
        </w:tc>
      </w:tr>
      <w:tr w14:paraId="78A1B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vAlign w:val="center"/>
          </w:tcPr>
          <w:p w14:paraId="6F461900">
            <w:pPr>
              <w:spacing w:line="240" w:lineRule="auto"/>
              <w:ind w:firstLine="0" w:firstLineChars="0"/>
              <w:jc w:val="center"/>
              <w:rPr>
                <w:rFonts w:cs="Times New Roman"/>
                <w:bCs/>
                <w:kern w:val="0"/>
                <w:sz w:val="21"/>
                <w:szCs w:val="21"/>
              </w:rPr>
            </w:pPr>
          </w:p>
        </w:tc>
        <w:tc>
          <w:tcPr>
            <w:tcW w:w="1041" w:type="dxa"/>
            <w:vAlign w:val="center"/>
          </w:tcPr>
          <w:p w14:paraId="0AA6577C">
            <w:pPr>
              <w:spacing w:line="240" w:lineRule="auto"/>
              <w:ind w:firstLine="0" w:firstLineChars="0"/>
              <w:jc w:val="center"/>
              <w:rPr>
                <w:rFonts w:cs="Times New Roman"/>
                <w:bCs/>
                <w:kern w:val="0"/>
                <w:sz w:val="21"/>
                <w:szCs w:val="21"/>
              </w:rPr>
            </w:pPr>
            <w:r>
              <w:rPr>
                <w:rFonts w:hint="eastAsia" w:cs="Times New Roman"/>
                <w:bCs/>
                <w:kern w:val="0"/>
                <w:sz w:val="21"/>
                <w:szCs w:val="21"/>
              </w:rPr>
              <w:t>氨氮</w:t>
            </w:r>
          </w:p>
        </w:tc>
        <w:tc>
          <w:tcPr>
            <w:tcW w:w="1136" w:type="dxa"/>
            <w:vAlign w:val="center"/>
          </w:tcPr>
          <w:p w14:paraId="2F1E4EC3">
            <w:pPr>
              <w:spacing w:line="240" w:lineRule="auto"/>
              <w:ind w:firstLine="0" w:firstLineChars="0"/>
              <w:jc w:val="center"/>
              <w:rPr>
                <w:rFonts w:cs="Times New Roman"/>
                <w:bCs/>
                <w:kern w:val="0"/>
                <w:sz w:val="21"/>
                <w:szCs w:val="21"/>
              </w:rPr>
            </w:pPr>
            <w:r>
              <w:rPr>
                <w:rFonts w:cs="Times New Roman"/>
                <w:bCs/>
                <w:kern w:val="0"/>
                <w:sz w:val="21"/>
                <w:szCs w:val="21"/>
              </w:rPr>
              <w:t>0.2</w:t>
            </w:r>
          </w:p>
        </w:tc>
        <w:tc>
          <w:tcPr>
            <w:tcW w:w="1134" w:type="dxa"/>
            <w:tcBorders>
              <w:top w:val="single" w:color="auto" w:sz="4" w:space="0"/>
              <w:left w:val="single" w:color="auto" w:sz="4" w:space="0"/>
              <w:bottom w:val="single" w:color="auto" w:sz="4" w:space="0"/>
              <w:right w:val="single" w:color="auto" w:sz="4" w:space="0"/>
            </w:tcBorders>
            <w:vAlign w:val="center"/>
          </w:tcPr>
          <w:p w14:paraId="4FAD7D2A">
            <w:pPr>
              <w:spacing w:line="240" w:lineRule="auto"/>
              <w:ind w:firstLine="0" w:firstLineChars="0"/>
              <w:jc w:val="center"/>
              <w:rPr>
                <w:rFonts w:cs="Times New Roman"/>
                <w:bCs/>
                <w:kern w:val="0"/>
                <w:sz w:val="21"/>
                <w:szCs w:val="21"/>
              </w:rPr>
            </w:pPr>
            <w:r>
              <w:rPr>
                <w:rFonts w:cs="Times New Roman"/>
                <w:bCs/>
                <w:kern w:val="0"/>
                <w:sz w:val="21"/>
                <w:szCs w:val="21"/>
              </w:rPr>
              <w:t>0.29</w:t>
            </w:r>
          </w:p>
        </w:tc>
        <w:tc>
          <w:tcPr>
            <w:tcW w:w="1701" w:type="dxa"/>
            <w:tcBorders>
              <w:top w:val="single" w:color="auto" w:sz="4" w:space="0"/>
              <w:left w:val="single" w:color="auto" w:sz="4" w:space="0"/>
              <w:bottom w:val="single" w:color="auto" w:sz="4" w:space="0"/>
              <w:right w:val="single" w:color="auto" w:sz="4" w:space="0"/>
            </w:tcBorders>
            <w:vAlign w:val="center"/>
          </w:tcPr>
          <w:p w14:paraId="4ADFD51F">
            <w:pPr>
              <w:spacing w:line="240" w:lineRule="auto"/>
              <w:ind w:firstLine="0" w:firstLineChars="0"/>
              <w:jc w:val="center"/>
              <w:rPr>
                <w:rFonts w:cs="Times New Roman"/>
                <w:bCs/>
                <w:kern w:val="0"/>
                <w:sz w:val="21"/>
                <w:szCs w:val="21"/>
              </w:rPr>
            </w:pPr>
            <w:r>
              <w:rPr>
                <w:rFonts w:cs="Times New Roman"/>
                <w:bCs/>
                <w:kern w:val="0"/>
                <w:sz w:val="21"/>
                <w:szCs w:val="21"/>
              </w:rPr>
              <w:t>0.29</w:t>
            </w:r>
          </w:p>
        </w:tc>
        <w:tc>
          <w:tcPr>
            <w:tcW w:w="1134" w:type="dxa"/>
            <w:tcBorders>
              <w:top w:val="single" w:color="auto" w:sz="4" w:space="0"/>
              <w:left w:val="single" w:color="auto" w:sz="4" w:space="0"/>
              <w:bottom w:val="single" w:color="auto" w:sz="4" w:space="0"/>
              <w:right w:val="single" w:color="auto" w:sz="4" w:space="0"/>
            </w:tcBorders>
            <w:vAlign w:val="center"/>
          </w:tcPr>
          <w:p w14:paraId="59B4181A">
            <w:pPr>
              <w:spacing w:line="240" w:lineRule="auto"/>
              <w:ind w:firstLine="0" w:firstLineChars="0"/>
              <w:jc w:val="center"/>
              <w:rPr>
                <w:rFonts w:cs="Times New Roman"/>
                <w:bCs/>
                <w:kern w:val="0"/>
                <w:sz w:val="21"/>
                <w:szCs w:val="21"/>
              </w:rPr>
            </w:pPr>
            <w:r>
              <w:rPr>
                <w:rFonts w:cs="Times New Roman"/>
                <w:bCs/>
                <w:kern w:val="0"/>
                <w:sz w:val="21"/>
                <w:szCs w:val="21"/>
              </w:rPr>
              <w:t>0.35</w:t>
            </w:r>
          </w:p>
        </w:tc>
        <w:tc>
          <w:tcPr>
            <w:tcW w:w="1701" w:type="dxa"/>
            <w:tcBorders>
              <w:top w:val="single" w:color="auto" w:sz="4" w:space="0"/>
              <w:left w:val="single" w:color="auto" w:sz="4" w:space="0"/>
              <w:bottom w:val="single" w:color="auto" w:sz="4" w:space="0"/>
              <w:right w:val="single" w:color="auto" w:sz="4" w:space="0"/>
            </w:tcBorders>
            <w:vAlign w:val="center"/>
          </w:tcPr>
          <w:p w14:paraId="676F4A95">
            <w:pPr>
              <w:spacing w:line="240" w:lineRule="auto"/>
              <w:ind w:firstLine="0" w:firstLineChars="0"/>
              <w:jc w:val="center"/>
              <w:rPr>
                <w:rFonts w:cs="Times New Roman"/>
                <w:bCs/>
                <w:kern w:val="0"/>
                <w:sz w:val="21"/>
                <w:szCs w:val="21"/>
              </w:rPr>
            </w:pPr>
            <w:r>
              <w:rPr>
                <w:rFonts w:cs="Times New Roman"/>
                <w:bCs/>
                <w:kern w:val="0"/>
                <w:sz w:val="21"/>
                <w:szCs w:val="21"/>
              </w:rPr>
              <w:t>0.35</w:t>
            </w:r>
          </w:p>
        </w:tc>
      </w:tr>
      <w:tr w14:paraId="3FB25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vAlign w:val="center"/>
          </w:tcPr>
          <w:p w14:paraId="5D65B902">
            <w:pPr>
              <w:spacing w:line="240" w:lineRule="auto"/>
              <w:ind w:firstLine="0" w:firstLineChars="0"/>
              <w:jc w:val="center"/>
              <w:rPr>
                <w:rFonts w:cs="Times New Roman"/>
                <w:bCs/>
                <w:kern w:val="0"/>
                <w:sz w:val="21"/>
                <w:szCs w:val="21"/>
              </w:rPr>
            </w:pPr>
          </w:p>
        </w:tc>
        <w:tc>
          <w:tcPr>
            <w:tcW w:w="1041" w:type="dxa"/>
            <w:vAlign w:val="center"/>
          </w:tcPr>
          <w:p w14:paraId="2ADE522F">
            <w:pPr>
              <w:spacing w:line="240" w:lineRule="auto"/>
              <w:ind w:firstLine="0" w:firstLineChars="0"/>
              <w:jc w:val="center"/>
              <w:rPr>
                <w:rFonts w:cs="Times New Roman"/>
                <w:bCs/>
                <w:kern w:val="0"/>
                <w:sz w:val="21"/>
                <w:szCs w:val="21"/>
              </w:rPr>
            </w:pPr>
            <w:r>
              <w:rPr>
                <w:rFonts w:hint="eastAsia" w:cs="Times New Roman"/>
                <w:bCs/>
                <w:kern w:val="0"/>
                <w:sz w:val="21"/>
                <w:szCs w:val="21"/>
              </w:rPr>
              <w:t>总磷</w:t>
            </w:r>
          </w:p>
        </w:tc>
        <w:tc>
          <w:tcPr>
            <w:tcW w:w="1136" w:type="dxa"/>
            <w:vAlign w:val="center"/>
          </w:tcPr>
          <w:p w14:paraId="223C999C">
            <w:pPr>
              <w:spacing w:line="240" w:lineRule="auto"/>
              <w:ind w:firstLine="0" w:firstLineChars="0"/>
              <w:jc w:val="center"/>
              <w:rPr>
                <w:rFonts w:cs="Times New Roman"/>
                <w:bCs/>
                <w:kern w:val="0"/>
                <w:sz w:val="21"/>
                <w:szCs w:val="21"/>
              </w:rPr>
            </w:pPr>
            <w:r>
              <w:rPr>
                <w:rFonts w:cs="Times New Roman"/>
                <w:bCs/>
                <w:kern w:val="0"/>
                <w:sz w:val="21"/>
                <w:szCs w:val="21"/>
              </w:rPr>
              <w:t>0.045</w:t>
            </w:r>
          </w:p>
        </w:tc>
        <w:tc>
          <w:tcPr>
            <w:tcW w:w="1134" w:type="dxa"/>
            <w:tcBorders>
              <w:top w:val="single" w:color="auto" w:sz="4" w:space="0"/>
              <w:left w:val="single" w:color="auto" w:sz="4" w:space="0"/>
              <w:bottom w:val="single" w:color="auto" w:sz="4" w:space="0"/>
              <w:right w:val="single" w:color="auto" w:sz="4" w:space="0"/>
            </w:tcBorders>
            <w:vAlign w:val="center"/>
          </w:tcPr>
          <w:p w14:paraId="738562D7">
            <w:pPr>
              <w:spacing w:line="240" w:lineRule="auto"/>
              <w:ind w:firstLine="0" w:firstLineChars="0"/>
              <w:jc w:val="center"/>
              <w:rPr>
                <w:rFonts w:cs="Times New Roman"/>
                <w:bCs/>
                <w:kern w:val="0"/>
                <w:sz w:val="21"/>
                <w:szCs w:val="21"/>
              </w:rPr>
            </w:pPr>
            <w:r>
              <w:rPr>
                <w:rFonts w:cs="Times New Roman"/>
                <w:bCs/>
                <w:kern w:val="0"/>
                <w:sz w:val="21"/>
                <w:szCs w:val="21"/>
              </w:rPr>
              <w:t>0.07</w:t>
            </w:r>
          </w:p>
        </w:tc>
        <w:tc>
          <w:tcPr>
            <w:tcW w:w="1701" w:type="dxa"/>
            <w:tcBorders>
              <w:top w:val="single" w:color="auto" w:sz="4" w:space="0"/>
              <w:left w:val="single" w:color="auto" w:sz="4" w:space="0"/>
              <w:bottom w:val="single" w:color="auto" w:sz="4" w:space="0"/>
              <w:right w:val="single" w:color="auto" w:sz="4" w:space="0"/>
            </w:tcBorders>
            <w:vAlign w:val="center"/>
          </w:tcPr>
          <w:p w14:paraId="06926945">
            <w:pPr>
              <w:spacing w:line="240" w:lineRule="auto"/>
              <w:ind w:firstLine="0" w:firstLineChars="0"/>
              <w:jc w:val="center"/>
              <w:rPr>
                <w:rFonts w:cs="Times New Roman"/>
                <w:bCs/>
                <w:kern w:val="0"/>
                <w:sz w:val="21"/>
                <w:szCs w:val="21"/>
              </w:rPr>
            </w:pPr>
            <w:r>
              <w:rPr>
                <w:rFonts w:cs="Times New Roman"/>
                <w:bCs/>
                <w:kern w:val="0"/>
                <w:sz w:val="21"/>
                <w:szCs w:val="21"/>
              </w:rPr>
              <w:t>0.07</w:t>
            </w:r>
          </w:p>
        </w:tc>
        <w:tc>
          <w:tcPr>
            <w:tcW w:w="1134" w:type="dxa"/>
            <w:tcBorders>
              <w:top w:val="single" w:color="auto" w:sz="4" w:space="0"/>
              <w:left w:val="single" w:color="auto" w:sz="4" w:space="0"/>
              <w:bottom w:val="single" w:color="auto" w:sz="4" w:space="0"/>
              <w:right w:val="single" w:color="auto" w:sz="4" w:space="0"/>
            </w:tcBorders>
            <w:vAlign w:val="center"/>
          </w:tcPr>
          <w:p w14:paraId="659E1946">
            <w:pPr>
              <w:spacing w:line="240" w:lineRule="auto"/>
              <w:ind w:firstLine="0" w:firstLineChars="0"/>
              <w:jc w:val="center"/>
              <w:rPr>
                <w:rFonts w:cs="Times New Roman"/>
                <w:bCs/>
                <w:kern w:val="0"/>
                <w:sz w:val="21"/>
                <w:szCs w:val="21"/>
              </w:rPr>
            </w:pPr>
            <w:r>
              <w:rPr>
                <w:rFonts w:cs="Times New Roman"/>
                <w:bCs/>
                <w:kern w:val="0"/>
                <w:sz w:val="21"/>
                <w:szCs w:val="21"/>
              </w:rPr>
              <w:t>0.08</w:t>
            </w:r>
          </w:p>
        </w:tc>
        <w:tc>
          <w:tcPr>
            <w:tcW w:w="1701" w:type="dxa"/>
            <w:tcBorders>
              <w:top w:val="single" w:color="auto" w:sz="4" w:space="0"/>
              <w:left w:val="single" w:color="auto" w:sz="4" w:space="0"/>
              <w:bottom w:val="single" w:color="auto" w:sz="4" w:space="0"/>
              <w:right w:val="single" w:color="auto" w:sz="4" w:space="0"/>
            </w:tcBorders>
            <w:vAlign w:val="center"/>
          </w:tcPr>
          <w:p w14:paraId="78BE1FC4">
            <w:pPr>
              <w:spacing w:line="240" w:lineRule="auto"/>
              <w:ind w:firstLine="0" w:firstLineChars="0"/>
              <w:jc w:val="center"/>
              <w:rPr>
                <w:rFonts w:cs="Times New Roman"/>
                <w:bCs/>
                <w:kern w:val="0"/>
                <w:sz w:val="21"/>
                <w:szCs w:val="21"/>
              </w:rPr>
            </w:pPr>
            <w:r>
              <w:rPr>
                <w:rFonts w:cs="Times New Roman"/>
                <w:bCs/>
                <w:kern w:val="0"/>
                <w:sz w:val="21"/>
                <w:szCs w:val="21"/>
              </w:rPr>
              <w:t>0.08</w:t>
            </w:r>
          </w:p>
        </w:tc>
      </w:tr>
      <w:tr w14:paraId="424A7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vAlign w:val="center"/>
          </w:tcPr>
          <w:p w14:paraId="3C69DA65">
            <w:pPr>
              <w:spacing w:line="240" w:lineRule="auto"/>
              <w:ind w:firstLine="0" w:firstLineChars="0"/>
              <w:jc w:val="center"/>
              <w:rPr>
                <w:rFonts w:cs="Times New Roman"/>
                <w:bCs/>
                <w:kern w:val="0"/>
                <w:sz w:val="21"/>
                <w:szCs w:val="21"/>
              </w:rPr>
            </w:pPr>
          </w:p>
        </w:tc>
        <w:tc>
          <w:tcPr>
            <w:tcW w:w="1041" w:type="dxa"/>
            <w:vAlign w:val="center"/>
          </w:tcPr>
          <w:p w14:paraId="55FC41B2">
            <w:pPr>
              <w:spacing w:line="240" w:lineRule="auto"/>
              <w:ind w:firstLine="0" w:firstLineChars="0"/>
              <w:jc w:val="center"/>
              <w:rPr>
                <w:rFonts w:cs="Times New Roman"/>
                <w:bCs/>
                <w:kern w:val="0"/>
                <w:sz w:val="21"/>
                <w:szCs w:val="21"/>
              </w:rPr>
            </w:pPr>
            <w:r>
              <w:rPr>
                <w:rFonts w:hint="eastAsia" w:cs="Times New Roman"/>
                <w:bCs/>
                <w:kern w:val="0"/>
                <w:sz w:val="21"/>
                <w:szCs w:val="21"/>
              </w:rPr>
              <w:t>总氮</w:t>
            </w:r>
          </w:p>
        </w:tc>
        <w:tc>
          <w:tcPr>
            <w:tcW w:w="1136" w:type="dxa"/>
            <w:vAlign w:val="center"/>
          </w:tcPr>
          <w:p w14:paraId="4D25BAE0">
            <w:pPr>
              <w:spacing w:line="240" w:lineRule="auto"/>
              <w:ind w:firstLine="0" w:firstLineChars="0"/>
              <w:jc w:val="center"/>
              <w:rPr>
                <w:rFonts w:cs="Times New Roman"/>
                <w:bCs/>
                <w:kern w:val="0"/>
                <w:sz w:val="21"/>
                <w:szCs w:val="21"/>
              </w:rPr>
            </w:pPr>
            <w:r>
              <w:rPr>
                <w:rFonts w:cs="Times New Roman"/>
                <w:bCs/>
                <w:kern w:val="0"/>
                <w:sz w:val="21"/>
                <w:szCs w:val="21"/>
              </w:rPr>
              <w:t>5.91</w:t>
            </w:r>
          </w:p>
        </w:tc>
        <w:tc>
          <w:tcPr>
            <w:tcW w:w="1134" w:type="dxa"/>
            <w:tcBorders>
              <w:top w:val="single" w:color="auto" w:sz="4" w:space="0"/>
              <w:left w:val="single" w:color="auto" w:sz="4" w:space="0"/>
              <w:right w:val="single" w:color="auto" w:sz="4" w:space="0"/>
            </w:tcBorders>
            <w:vAlign w:val="center"/>
          </w:tcPr>
          <w:p w14:paraId="68AF4BFE">
            <w:pPr>
              <w:spacing w:line="240" w:lineRule="auto"/>
              <w:ind w:firstLine="0" w:firstLineChars="0"/>
              <w:jc w:val="center"/>
              <w:rPr>
                <w:rFonts w:cs="Times New Roman"/>
                <w:bCs/>
                <w:kern w:val="0"/>
                <w:sz w:val="21"/>
                <w:szCs w:val="21"/>
              </w:rPr>
            </w:pPr>
            <w:r>
              <w:rPr>
                <w:rFonts w:cs="Times New Roman"/>
                <w:bCs/>
                <w:kern w:val="0"/>
                <w:sz w:val="21"/>
                <w:szCs w:val="21"/>
              </w:rPr>
              <w:t>8.61</w:t>
            </w:r>
          </w:p>
        </w:tc>
        <w:tc>
          <w:tcPr>
            <w:tcW w:w="1701" w:type="dxa"/>
            <w:tcBorders>
              <w:top w:val="single" w:color="auto" w:sz="4" w:space="0"/>
              <w:left w:val="single" w:color="auto" w:sz="4" w:space="0"/>
              <w:right w:val="single" w:color="auto" w:sz="4" w:space="0"/>
            </w:tcBorders>
            <w:vAlign w:val="center"/>
          </w:tcPr>
          <w:p w14:paraId="14A9DE6E">
            <w:pPr>
              <w:spacing w:line="240" w:lineRule="auto"/>
              <w:ind w:firstLine="0" w:firstLineChars="0"/>
              <w:jc w:val="center"/>
              <w:rPr>
                <w:rFonts w:cs="Times New Roman"/>
                <w:bCs/>
                <w:kern w:val="0"/>
                <w:sz w:val="21"/>
                <w:szCs w:val="21"/>
              </w:rPr>
            </w:pPr>
            <w:r>
              <w:rPr>
                <w:rFonts w:cs="Times New Roman"/>
                <w:bCs/>
                <w:kern w:val="0"/>
                <w:sz w:val="21"/>
                <w:szCs w:val="21"/>
              </w:rPr>
              <w:t>8.61</w:t>
            </w:r>
          </w:p>
        </w:tc>
        <w:tc>
          <w:tcPr>
            <w:tcW w:w="1134" w:type="dxa"/>
            <w:tcBorders>
              <w:top w:val="single" w:color="auto" w:sz="4" w:space="0"/>
              <w:left w:val="single" w:color="auto" w:sz="4" w:space="0"/>
              <w:right w:val="single" w:color="auto" w:sz="4" w:space="0"/>
            </w:tcBorders>
            <w:vAlign w:val="center"/>
          </w:tcPr>
          <w:p w14:paraId="327EEB6F">
            <w:pPr>
              <w:spacing w:line="240" w:lineRule="auto"/>
              <w:ind w:firstLine="0" w:firstLineChars="0"/>
              <w:jc w:val="center"/>
              <w:rPr>
                <w:rFonts w:cs="Times New Roman"/>
                <w:bCs/>
                <w:kern w:val="0"/>
                <w:sz w:val="21"/>
                <w:szCs w:val="21"/>
              </w:rPr>
            </w:pPr>
            <w:r>
              <w:rPr>
                <w:rFonts w:cs="Times New Roman"/>
                <w:bCs/>
                <w:kern w:val="0"/>
                <w:sz w:val="21"/>
                <w:szCs w:val="21"/>
              </w:rPr>
              <w:t>10.41</w:t>
            </w:r>
          </w:p>
        </w:tc>
        <w:tc>
          <w:tcPr>
            <w:tcW w:w="1701" w:type="dxa"/>
            <w:tcBorders>
              <w:top w:val="single" w:color="auto" w:sz="4" w:space="0"/>
              <w:left w:val="single" w:color="auto" w:sz="4" w:space="0"/>
              <w:right w:val="single" w:color="auto" w:sz="4" w:space="0"/>
            </w:tcBorders>
            <w:vAlign w:val="center"/>
          </w:tcPr>
          <w:p w14:paraId="5DBADB03">
            <w:pPr>
              <w:spacing w:line="240" w:lineRule="auto"/>
              <w:ind w:firstLine="0" w:firstLineChars="0"/>
              <w:jc w:val="center"/>
              <w:rPr>
                <w:rFonts w:cs="Times New Roman"/>
                <w:bCs/>
                <w:kern w:val="0"/>
                <w:sz w:val="21"/>
                <w:szCs w:val="21"/>
              </w:rPr>
            </w:pPr>
            <w:r>
              <w:rPr>
                <w:rFonts w:cs="Times New Roman"/>
                <w:bCs/>
                <w:kern w:val="0"/>
                <w:sz w:val="21"/>
                <w:szCs w:val="21"/>
              </w:rPr>
              <w:t>10.41</w:t>
            </w:r>
          </w:p>
        </w:tc>
      </w:tr>
    </w:tbl>
    <w:p w14:paraId="682CD82A">
      <w:pPr>
        <w:pStyle w:val="2"/>
        <w:ind w:firstLine="0" w:firstLineChars="0"/>
      </w:pPr>
      <w:r>
        <w:t>8规划方案综合论证和优化调整建议</w:t>
      </w:r>
      <w:bookmarkEnd w:id="131"/>
      <w:bookmarkEnd w:id="132"/>
      <w:bookmarkEnd w:id="133"/>
    </w:p>
    <w:p w14:paraId="1B6DBD78">
      <w:pPr>
        <w:pStyle w:val="3"/>
        <w:ind w:firstLine="0" w:firstLineChars="0"/>
        <w:rPr>
          <w:rFonts w:cs="Times New Roman"/>
        </w:rPr>
      </w:pPr>
      <w:bookmarkStart w:id="134" w:name="_Toc217294077"/>
      <w:r>
        <w:rPr>
          <w:rFonts w:cs="Times New Roman"/>
        </w:rPr>
        <w:t>8.1</w:t>
      </w:r>
      <w:r>
        <w:rPr>
          <w:rFonts w:hint="eastAsia" w:cs="Times New Roman"/>
        </w:rPr>
        <w:t>规划方案的环境合理性论证</w:t>
      </w:r>
      <w:bookmarkEnd w:id="134"/>
    </w:p>
    <w:p w14:paraId="5C0A61E2">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8</w:t>
      </w:r>
      <w:r>
        <w:rPr>
          <w:rFonts w:eastAsia="方正楷体_GBK" w:cs="Times New Roman"/>
          <w:b/>
          <w:bCs/>
          <w:szCs w:val="28"/>
          <w14:ligatures w14:val="none"/>
        </w:rPr>
        <w:t>.</w:t>
      </w:r>
      <w:r>
        <w:rPr>
          <w:rFonts w:hint="eastAsia" w:eastAsia="方正楷体_GBK" w:cs="Times New Roman"/>
          <w:b/>
          <w:bCs/>
          <w:szCs w:val="28"/>
          <w14:ligatures w14:val="none"/>
        </w:rPr>
        <w:t>1</w:t>
      </w:r>
      <w:r>
        <w:rPr>
          <w:rFonts w:eastAsia="方正楷体_GBK" w:cs="Times New Roman"/>
          <w:b/>
          <w:bCs/>
          <w:szCs w:val="28"/>
          <w14:ligatures w14:val="none"/>
        </w:rPr>
        <w:t>.1</w:t>
      </w:r>
      <w:r>
        <w:rPr>
          <w:rFonts w:hint="eastAsia" w:eastAsia="方正楷体_GBK" w:cs="Times New Roman"/>
          <w:b/>
          <w:bCs/>
          <w:szCs w:val="28"/>
          <w14:ligatures w14:val="none"/>
        </w:rPr>
        <w:t>规划发展目标和功能定位的合理性</w:t>
      </w:r>
    </w:p>
    <w:p w14:paraId="155A0B46">
      <w:pPr>
        <w:ind w:firstLine="480"/>
      </w:pPr>
      <w:r>
        <w:rPr>
          <w:rFonts w:hint="eastAsia"/>
        </w:rPr>
        <w:t>度假区本轮规划的功能定位为以茅山+田园为生态基底，统筹考虑镇区－乡村－旅游区发展空间，依托南京都市圈与苏锡常都市圈，以产业一体化发展、促进地区经济发展、推进地域现代化进程为导向，以道文化为文化底蕴和景观氛围营造指引，打造集文化创意、休闲度假、现代农业、康养居住功能于一体的中国道意生活心灵度假旅游目的地。</w:t>
      </w:r>
    </w:p>
    <w:p w14:paraId="3A6F2CAF">
      <w:pPr>
        <w:ind w:firstLine="480"/>
      </w:pPr>
      <w:r>
        <w:rPr>
          <w:rFonts w:hint="eastAsia"/>
        </w:rPr>
        <w:t>从区域发展规划看，度假区发展目标与江苏省、常州市和金坛区国民经济和社会发展第十四个五年规划和二</w:t>
      </w:r>
      <w:r>
        <w:rPr>
          <w:rFonts w:hint="eastAsia" w:ascii="微软雅黑" w:hAnsi="微软雅黑" w:eastAsia="微软雅黑" w:cs="微软雅黑"/>
        </w:rPr>
        <w:t>〇</w:t>
      </w:r>
      <w:r>
        <w:rPr>
          <w:rFonts w:hint="eastAsia" w:ascii="仿宋_GB2312" w:hAnsi="仿宋_GB2312" w:cs="仿宋_GB2312"/>
        </w:rPr>
        <w:t>三五年远景目标纲要、《长江三角洲区域一体化发展规划纲要》等区域发展规划的要求相协调。</w:t>
      </w:r>
    </w:p>
    <w:p w14:paraId="56120E83">
      <w:pPr>
        <w:ind w:firstLine="480"/>
      </w:pPr>
      <w:r>
        <w:rPr>
          <w:rFonts w:hint="eastAsia"/>
        </w:rPr>
        <w:t>从产业发展与规划看，度假区本轮规划的产业定位符合《国务院关于加快发展旅游业的意见》（国发〔2009〕41号）、《国务院关于促进旅游业改革发展的若干意见》（国发〔2014〕31号）、《国务院办公厅关于促进全域旅游发展的指导意见》（国办发〔2018〕15号）、《省政府关于推进旅游业供给侧结构性改革促进旅游投资和消费的意见》《“十四五”文化和旅游发展规划》《江苏省“十四五”文化和旅游发展规划》《长江经济带发展负面清单指南（试行，2022年版）》《长江经济带发展负面清单指南（试行2022年版）－江苏省实施细则》等产业规划相关要求。</w:t>
      </w:r>
    </w:p>
    <w:p w14:paraId="0DC3A8BC">
      <w:pPr>
        <w:ind w:firstLine="480"/>
      </w:pPr>
      <w:r>
        <w:rPr>
          <w:rFonts w:hint="eastAsia"/>
        </w:rPr>
        <w:t>综上所述，度假区本轮规划的规划发展目标和功能定位充分考虑了区域发展规划、相关产业政策及规划，规划发展目标和功能定位总体合理。</w:t>
      </w:r>
    </w:p>
    <w:p w14:paraId="262CF26A">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8</w:t>
      </w:r>
      <w:r>
        <w:rPr>
          <w:rFonts w:eastAsia="方正楷体_GBK" w:cs="Times New Roman"/>
          <w:b/>
          <w:bCs/>
          <w:szCs w:val="28"/>
          <w14:ligatures w14:val="none"/>
        </w:rPr>
        <w:t>.</w:t>
      </w:r>
      <w:r>
        <w:rPr>
          <w:rFonts w:hint="eastAsia" w:eastAsia="方正楷体_GBK" w:cs="Times New Roman"/>
          <w:b/>
          <w:bCs/>
          <w:szCs w:val="28"/>
          <w14:ligatures w14:val="none"/>
        </w:rPr>
        <w:t>1</w:t>
      </w:r>
      <w:r>
        <w:rPr>
          <w:rFonts w:eastAsia="方正楷体_GBK" w:cs="Times New Roman"/>
          <w:b/>
          <w:bCs/>
          <w:szCs w:val="28"/>
          <w14:ligatures w14:val="none"/>
        </w:rPr>
        <w:t>.</w:t>
      </w:r>
      <w:r>
        <w:rPr>
          <w:rFonts w:hint="eastAsia" w:eastAsia="方正楷体_GBK" w:cs="Times New Roman"/>
          <w:b/>
          <w:bCs/>
          <w:szCs w:val="28"/>
          <w14:ligatures w14:val="none"/>
        </w:rPr>
        <w:t>2规划布局的环境合理性</w:t>
      </w:r>
    </w:p>
    <w:p w14:paraId="255C963D">
      <w:pPr>
        <w:ind w:firstLine="480"/>
      </w:pPr>
      <w:r>
        <w:rPr>
          <w:rFonts w:hint="eastAsia"/>
        </w:rPr>
        <w:t>（1）空间结构布局的环境合理性</w:t>
      </w:r>
    </w:p>
    <w:p w14:paraId="6BFC71CE">
      <w:pPr>
        <w:ind w:firstLine="480"/>
      </w:pPr>
      <w:r>
        <w:rPr>
          <w:rFonts w:hint="eastAsia"/>
        </w:rPr>
        <w:t>根据度假区本轮规划与区域用地规划的协调性分析，本次规划范围内的永久基本农田不涉及旅游项目的入驻，规划相关开发建设严禁占用永久基本农田，严禁一切破坏永久基本农田的行为；占用一般耕地的，严格落实耕地占补平衡，做好各项补偿措施。严禁发生向农用地排放可能造成土壤污染的尾矿、矿渣、不达标的清淤底泥等；新占用耕地建窑、建坟或者擅自在耕地上建房、挖砂、采石、采矿、取土等；占用永久基本农田发展林果业和挖塘养鱼的行为。同时相关规划旅游项目建设将严格落实生态保护红线和生态空间管控区域相关管控要求，仅开展对生态功能不造成破坏的有限人为活动。综上所述，本轮规划空间结构布局总体合理。</w:t>
      </w:r>
    </w:p>
    <w:p w14:paraId="4EA6EF42">
      <w:pPr>
        <w:ind w:firstLine="480"/>
      </w:pPr>
      <w:r>
        <w:rPr>
          <w:rFonts w:hint="eastAsia"/>
        </w:rPr>
        <w:t>（2）综合交通布局的环境合理性</w:t>
      </w:r>
    </w:p>
    <w:p w14:paraId="7535A7E4">
      <w:pPr>
        <w:ind w:firstLine="480"/>
      </w:pPr>
      <w:r>
        <w:rPr>
          <w:rFonts w:hint="eastAsia"/>
        </w:rPr>
        <w:t>度假区规划构建绿色交通出行体系，大力发展公共交通，内部形成“一环一纵五横”干路网。由白乾公路、游仙路、340省道、十里春风、上阮路、南环线和物流大道组成的环线，东侧环线承担老集镇和村庄集散功能，西侧环线承担旅游功能，同时利用“五横一纵”的干线公路网格局，构成出入茅山的重要通道，在整体的交通上进一步加强景区与周边城市的快速联系，形成完善的支路网体系，提升各项目景点的可达性。</w:t>
      </w:r>
    </w:p>
    <w:p w14:paraId="2676CBC4">
      <w:pPr>
        <w:ind w:firstLine="480"/>
      </w:pPr>
      <w:r>
        <w:rPr>
          <w:rFonts w:hint="eastAsia"/>
        </w:rPr>
        <w:t>度假区鼓励和引导绿色交通在区内的发展，促进低碳集约的交通系统和出行方式在区内的应用，规划构建“三级绿道、三级驿站”慢行交通系统串联主要旅游景点，引导绿色出行，同时对小汽车交通实行分区控制，从而达到节能减排、降低污染的目的。</w:t>
      </w:r>
    </w:p>
    <w:p w14:paraId="3673F472">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8.1.3规划规模的环境合理性</w:t>
      </w:r>
    </w:p>
    <w:p w14:paraId="197595E1">
      <w:pPr>
        <w:ind w:firstLine="482"/>
        <w:rPr>
          <w:b/>
          <w:bCs/>
        </w:rPr>
      </w:pPr>
      <w:r>
        <w:rPr>
          <w:rFonts w:hint="eastAsia"/>
          <w:b/>
          <w:bCs/>
        </w:rPr>
        <w:t>（1）规划范围合理性</w:t>
      </w:r>
    </w:p>
    <w:p w14:paraId="4F0391C2">
      <w:pPr>
        <w:numPr>
          <w:ilvl w:val="255"/>
          <w:numId w:val="0"/>
        </w:numPr>
        <w:ind w:firstLine="480"/>
      </w:pPr>
      <w:r>
        <w:rPr>
          <w:rFonts w:cs="Times New Roman"/>
        </w:rPr>
        <w:t>①</w:t>
      </w:r>
      <w:r>
        <w:rPr>
          <w:rFonts w:hint="eastAsia"/>
        </w:rPr>
        <w:t>资源整合合理性分析</w:t>
      </w:r>
    </w:p>
    <w:p w14:paraId="56FBA215">
      <w:pPr>
        <w:ind w:firstLine="482"/>
      </w:pPr>
      <w:r>
        <w:rPr>
          <w:rFonts w:hint="eastAsia"/>
          <w:b/>
          <w:bCs/>
        </w:rPr>
        <w:t>文化资源。</w:t>
      </w:r>
      <w:r>
        <w:rPr>
          <w:rFonts w:hint="eastAsia"/>
        </w:rPr>
        <w:t>规划范围内集中了道文化核心传承地、茅山盐文化遗址等特色人文资源。通过规划各项旅游项目实现非遗技艺、民俗演艺、特色乡村等各项元素与旅游体验的深度融合，实现文化资源的有效利用与传承，增强“道文化溯源”核心吸引力，形成差异化竞争力。</w:t>
      </w:r>
    </w:p>
    <w:p w14:paraId="0E85DAF8">
      <w:pPr>
        <w:ind w:firstLine="482"/>
      </w:pPr>
      <w:r>
        <w:rPr>
          <w:rFonts w:hint="eastAsia"/>
          <w:b/>
          <w:bCs/>
        </w:rPr>
        <w:t>生态资源。</w:t>
      </w:r>
      <w:r>
        <w:rPr>
          <w:rFonts w:hint="eastAsia"/>
        </w:rPr>
        <w:t>规划范围内生态优越，涵盖风景名胜区、自然保护地等自然资源，拥有丰富的森林、湿地和野生动植物资源。度假区建设可依托区内的原生森林与山地地貌，打造森林露营、运动公园等业态，构建“山林-水体-田园”的生态景观链，使度假区形成完成生态单元，避免景观碎片化、体验连贯性不足等问题。同时通过合理规划，将生态资源保护与旅游开发有机结合，在保护生态环境的前提下，适度开展生态旅游活动，让游客亲近自然、感受生态之美，同时促进当地生态保护意识的提升和生态经济的发展，实现生态效益与经济效益的双赢。</w:t>
      </w:r>
    </w:p>
    <w:p w14:paraId="402E1FAE">
      <w:pPr>
        <w:ind w:firstLine="480"/>
      </w:pPr>
      <w:r>
        <w:rPr>
          <w:rFonts w:hint="eastAsia"/>
        </w:rPr>
        <w:t>②生态保护合理性分析</w:t>
      </w:r>
    </w:p>
    <w:p w14:paraId="448229E8">
      <w:pPr>
        <w:ind w:firstLine="482"/>
      </w:pPr>
      <w:r>
        <w:rPr>
          <w:rFonts w:hint="eastAsia"/>
          <w:b/>
          <w:bCs/>
        </w:rPr>
        <w:t>生态敏感区。</w:t>
      </w:r>
      <w:r>
        <w:rPr>
          <w:rFonts w:hint="eastAsia"/>
        </w:rPr>
        <w:t>规划范围内新浮水库已划定水库管理范围，水库管理范围内严格对照《江苏省水库管理条例》第十四条要求进行管理，规划建设的新浮自行车运动公园依托水库景观绿道，其他规划旅游产品均在水库管理范围外布局，严禁“侵占水库库容、妨碍行洪”行为。同时，对与茅东山地水源涵养区、江苏常州金坛茅东省级森林公园、江苏常州镇江茅山地方级风景名胜区（金坛区）等生态敏感目标重叠部分，严禁建设开发，不涉及旅游项目的入驻，规划用地类型仍为农林用地，保留其永久基本农田属性。</w:t>
      </w:r>
    </w:p>
    <w:p w14:paraId="508E7F00">
      <w:pPr>
        <w:ind w:firstLine="482"/>
      </w:pPr>
      <w:r>
        <w:rPr>
          <w:rFonts w:hint="eastAsia"/>
          <w:b/>
          <w:bCs/>
        </w:rPr>
        <w:t>生态修复。</w:t>
      </w:r>
      <w:r>
        <w:rPr>
          <w:rFonts w:hint="eastAsia"/>
        </w:rPr>
        <w:t>规划范围内旅游产品在建设过程中，同步承担生态修复责任，与“生态保护目标”呼应。同时，规划将依托金坛区山水林田湖草生态保护和修复工程建设，实施度假区生态景观提升工程，主要包括内部绿线景观工程、水面栽植水生植物、东方盐湖城景观提升，注重与周围自然环境相协调。实施红线区林相改造工程，充分发挥江苏常州金坛茅东省级森林公园、茅东山地水源涵养区等生态系统在自然与人文景观保护、保持水土以及涵养水源方面的作用，实现了“开发促保护”的良性循环。</w:t>
      </w:r>
    </w:p>
    <w:p w14:paraId="05AAF50D">
      <w:pPr>
        <w:ind w:firstLine="482"/>
        <w:rPr>
          <w:b/>
          <w:bCs/>
        </w:rPr>
      </w:pPr>
      <w:r>
        <w:rPr>
          <w:rFonts w:hint="eastAsia"/>
          <w:b/>
          <w:bCs/>
        </w:rPr>
        <w:t>（2）生态规模的环境合理性</w:t>
      </w:r>
    </w:p>
    <w:p w14:paraId="0A87A33B">
      <w:pPr>
        <w:ind w:firstLine="480"/>
      </w:pPr>
      <w:r>
        <w:rPr>
          <w:rFonts w:hint="eastAsia"/>
        </w:rPr>
        <w:t>根据生态承载力分析，从生态足迹的角度看，至规划远期，按规划方案中的居民常住人口规模和游客规模情况下，茅山旅游度假区内总人口的生物生产土地面积的需求量未超过区域生态系统的承载能力，生态系统将处于一种生态平衡状态。</w:t>
      </w:r>
    </w:p>
    <w:p w14:paraId="108DC80F">
      <w:pPr>
        <w:ind w:firstLine="480"/>
      </w:pPr>
      <w:r>
        <w:rPr>
          <w:rFonts w:hint="eastAsia"/>
        </w:rPr>
        <w:t>在后续规划实施过程中应及时监测、跟踪生态系统变化情况和游客数量，避免游客数量超出茅山旅游度假区生态承载力，减轻在开发、营运过程中对环境产生的不利影响，做到旅游产业的可持续发展。</w:t>
      </w:r>
    </w:p>
    <w:p w14:paraId="2A408EB7">
      <w:pPr>
        <w:ind w:firstLine="480"/>
      </w:pPr>
      <w:r>
        <w:rPr>
          <w:rFonts w:hint="eastAsia"/>
        </w:rPr>
        <w:t>根据生态环境影响分析，本次规划的旅游产品将严格落实生态保护红线和生态空间管控区域现行管理办法，仅开展对生态功能不造成破坏的有限人为活动，同时，对于区域内江苏常州金坛茅东省级森林公园等重点林业物种保护区域，规划实施林相改造工程，以“宜乔则乔、宜灌则灌、宜草则草”为方针，科学配置林种、树种结构，逐步改变茅东山地相对单一的乔木树种，构建乔、灌、草相结合的公益林体系，推进生态效益与经济效益的结合，实现红线区乔、灌木比例持续提升，以进一步提升区域自然与人文景观保护，以及水源涵养功能。茅山旅游度假区严禁旅游活动破坏林地植被、影响林地资源，最大限度降低负面影响。在落实上述措施后，本次规划具有生态合理性。</w:t>
      </w:r>
    </w:p>
    <w:p w14:paraId="09AFBCDA">
      <w:pPr>
        <w:ind w:firstLine="482"/>
        <w:rPr>
          <w:b/>
          <w:bCs/>
        </w:rPr>
      </w:pPr>
      <w:r>
        <w:rPr>
          <w:rFonts w:hint="eastAsia"/>
          <w:b/>
          <w:bCs/>
        </w:rPr>
        <w:t>（3）规划开发强度合理性</w:t>
      </w:r>
    </w:p>
    <w:p w14:paraId="35ECBDC7">
      <w:pPr>
        <w:ind w:firstLine="480"/>
      </w:pPr>
      <w:r>
        <w:rPr>
          <w:rFonts w:hint="eastAsia"/>
        </w:rPr>
        <w:t>茅山旅游度假区目前处于开发建设阶段，规划至2030年基本完成开发建设，2031-2035年为优化提升期，规划建设用地总计11.473平方公里，开发强度10.49%。度假区用地仍以农林用地为主，开发建设规模总体较小。同时，本轮规划将立足于土地利用规划中确定的建设用地，严格按照土地利用性质确定土地开发功能，严格执行基本农田、江苏省国家级生态保护红线、江苏省生态空间管控区域等保护要求，进行开发建设活动，严格限制开发建设边界，严格控制建设用地规模，确保与常州市、金坛区国土空间规划保持一致。</w:t>
      </w:r>
    </w:p>
    <w:p w14:paraId="5639592D">
      <w:pPr>
        <w:ind w:firstLine="480"/>
      </w:pPr>
      <w:r>
        <w:rPr>
          <w:rFonts w:hint="eastAsia"/>
        </w:rPr>
        <w:t>同时，根据本轮规划与常州市生态环境分区管控的相符性分析，规划内容符合《关于印发常州市“三线一单”生态环境分区管控实施方案的通知》《常州市“三线一单”生态环境分区管控动态更新成果（2023年）》《江苏省2023年度生态环境分区管控动态更新成果公告》等文件相关要求，对周围环境产生的影响较规划的规模相对合理。</w:t>
      </w:r>
    </w:p>
    <w:p w14:paraId="711F040A">
      <w:pPr>
        <w:ind w:firstLine="480"/>
      </w:pPr>
      <w:r>
        <w:rPr>
          <w:rFonts w:hint="eastAsia"/>
        </w:rPr>
        <w:t>综上，本轮规划将严格控制新增建设用地，最大限度保护耕地、国家级生态保护红线、江苏省生态空间管控区域，规划开发强度具有环境合理性。</w:t>
      </w:r>
    </w:p>
    <w:p w14:paraId="4DEAD4AA">
      <w:pPr>
        <w:ind w:firstLine="482"/>
        <w:rPr>
          <w:b/>
          <w:bCs/>
        </w:rPr>
      </w:pPr>
      <w:r>
        <w:rPr>
          <w:rFonts w:hint="eastAsia"/>
          <w:b/>
          <w:bCs/>
        </w:rPr>
        <w:t>（4）规划水资源供应规模合理性</w:t>
      </w:r>
    </w:p>
    <w:p w14:paraId="44ED604A">
      <w:pPr>
        <w:ind w:firstLine="480"/>
      </w:pPr>
      <w:r>
        <w:rPr>
          <w:rFonts w:hint="eastAsia"/>
        </w:rPr>
        <w:t>根据区域供水规划，度假区供水水源为金坛区域供水系统，与东部区域供水增压站或区域供水管道连接，主要增压站包括薛埠增压站（1万m</w:t>
      </w:r>
      <w:r>
        <w:rPr>
          <w:rFonts w:hint="eastAsia"/>
          <w:vertAlign w:val="superscript"/>
        </w:rPr>
        <w:t>3</w:t>
      </w:r>
      <w:r>
        <w:rPr>
          <w:rFonts w:hint="eastAsia"/>
        </w:rPr>
        <w:t>/d）、上阮增压站（0.5万m</w:t>
      </w:r>
      <w:r>
        <w:rPr>
          <w:rFonts w:hint="eastAsia"/>
          <w:vertAlign w:val="superscript"/>
        </w:rPr>
        <w:t>3</w:t>
      </w:r>
      <w:r>
        <w:rPr>
          <w:rFonts w:hint="eastAsia"/>
        </w:rPr>
        <w:t>/d）、茅麓增压站（0.5万m</w:t>
      </w:r>
      <w:r>
        <w:rPr>
          <w:rFonts w:hint="eastAsia"/>
          <w:vertAlign w:val="superscript"/>
        </w:rPr>
        <w:t>3</w:t>
      </w:r>
      <w:r>
        <w:rPr>
          <w:rFonts w:hint="eastAsia"/>
        </w:rPr>
        <w:t>/d）和西</w:t>
      </w:r>
      <w:r>
        <w:rPr>
          <w:rFonts w:hint="eastAsia" w:ascii="微软雅黑" w:hAnsi="微软雅黑" w:eastAsia="微软雅黑" w:cs="微软雅黑"/>
        </w:rPr>
        <w:t>旸</w:t>
      </w:r>
      <w:r>
        <w:rPr>
          <w:rFonts w:hint="eastAsia" w:ascii="仿宋_GB2312" w:hAnsi="仿宋_GB2312" w:cs="仿宋_GB2312"/>
        </w:rPr>
        <w:t>增压站（</w:t>
      </w:r>
      <w:r>
        <w:rPr>
          <w:rFonts w:hint="eastAsia"/>
        </w:rPr>
        <w:t>0.5万m</w:t>
      </w:r>
      <w:r>
        <w:rPr>
          <w:rFonts w:hint="eastAsia"/>
          <w:vertAlign w:val="superscript"/>
        </w:rPr>
        <w:t>3/</w:t>
      </w:r>
      <w:r>
        <w:rPr>
          <w:rFonts w:hint="eastAsia"/>
        </w:rPr>
        <w:t>d），规划范围内的薛埠集镇区及外围农村地区，实现市政供水管网直接供给。至规划远期，茅山旅游度假区需水量约180万m</w:t>
      </w:r>
      <w:r>
        <w:rPr>
          <w:rFonts w:hint="eastAsia"/>
          <w:vertAlign w:val="superscript"/>
        </w:rPr>
        <w:t>3</w:t>
      </w:r>
      <w:r>
        <w:rPr>
          <w:rFonts w:hint="eastAsia"/>
        </w:rPr>
        <w:t>/a，规划区域目前用水主要由长荡湖水厂供给，现状供水规模为30万m</w:t>
      </w:r>
      <w:r>
        <w:rPr>
          <w:rFonts w:hint="eastAsia"/>
          <w:vertAlign w:val="superscript"/>
        </w:rPr>
        <w:t>3</w:t>
      </w:r>
      <w:r>
        <w:rPr>
          <w:rFonts w:hint="eastAsia"/>
        </w:rPr>
        <w:t>/d，长荡湖水厂供水量可以满足游客和居民的需求。</w:t>
      </w:r>
    </w:p>
    <w:p w14:paraId="6193CB40">
      <w:pPr>
        <w:ind w:firstLine="482"/>
        <w:rPr>
          <w:b/>
          <w:bCs/>
        </w:rPr>
      </w:pPr>
      <w:r>
        <w:rPr>
          <w:rFonts w:hint="eastAsia"/>
          <w:b/>
          <w:bCs/>
        </w:rPr>
        <w:t>（5）规划配套设施规模合理性</w:t>
      </w:r>
    </w:p>
    <w:p w14:paraId="7DE94451">
      <w:pPr>
        <w:ind w:firstLine="482"/>
      </w:pPr>
      <w:r>
        <w:rPr>
          <w:rFonts w:hint="eastAsia"/>
          <w:b/>
          <w:bCs/>
        </w:rPr>
        <w:t>餐饮住宿。</w:t>
      </w:r>
      <w:r>
        <w:rPr>
          <w:rFonts w:hint="eastAsia"/>
        </w:rPr>
        <w:t>本轮规划将对现有餐饮住宿设施进行优化升级，使得区内度假设施类型呈现多样化，形成主题度假酒店、民宿客栈、露营营地等一系列度假设施，从舒适型、中档型到高档型一应俱全。餐饮方面，规划打造多处餐饮特色街区和民宿精品餐厅、农家乐等。随着茅山旅游度假区的进一步开发建设，区内的餐饮、住宿设施会逐渐完善，餐饮住宿的接待能力将有所提升，可以承接规划游客规模。</w:t>
      </w:r>
    </w:p>
    <w:p w14:paraId="78EED11B">
      <w:pPr>
        <w:ind w:firstLine="482"/>
      </w:pPr>
      <w:r>
        <w:rPr>
          <w:rFonts w:hint="eastAsia"/>
          <w:b/>
          <w:bCs/>
        </w:rPr>
        <w:t>能源。</w:t>
      </w:r>
      <w:r>
        <w:rPr>
          <w:rFonts w:hint="eastAsia"/>
        </w:rPr>
        <w:t>茅山旅游度假区内现有110KV景区变一座，规划适时扩容至63+80MVA，以满足区内用电的需求。茅山旅游度假区依托上游“西气东输”“川气东送”等多气源联合供气，供气压力采用中低压二级制。度假区以薛埠高中压调压站作为主气源，从直溪高中压调压站沿金茅公路引中压管进入区内，能够满足规划期内居民和游客的用气需求。</w:t>
      </w:r>
    </w:p>
    <w:p w14:paraId="7CD8F868">
      <w:pPr>
        <w:ind w:firstLine="482"/>
      </w:pPr>
      <w:r>
        <w:rPr>
          <w:rFonts w:hint="eastAsia"/>
          <w:b/>
          <w:bCs/>
        </w:rPr>
        <w:t>污水处理设施。</w:t>
      </w:r>
      <w:r>
        <w:rPr>
          <w:rFonts w:hint="eastAsia"/>
        </w:rPr>
        <w:t>度假区核心区域内居民生活污水接管进常州市金坛区茅东污水处理厂处理，尾水排入薛埠河。水量较小，分布较为分散的区域仍依托现有的农村分散式处理设施处置。</w:t>
      </w:r>
    </w:p>
    <w:p w14:paraId="2ABEBADF">
      <w:pPr>
        <w:ind w:firstLine="480"/>
      </w:pPr>
      <w:r>
        <w:rPr>
          <w:rFonts w:hint="eastAsia"/>
        </w:rPr>
        <w:t>根据污染物预测章节结果，规划末期度假区内其中常住居民和游客产生的最大生活污水排放量约为4144m</w:t>
      </w:r>
      <w:r>
        <w:rPr>
          <w:rFonts w:hint="eastAsia"/>
          <w:vertAlign w:val="superscript"/>
        </w:rPr>
        <w:t>3</w:t>
      </w:r>
      <w:r>
        <w:rPr>
          <w:rFonts w:hint="eastAsia"/>
        </w:rPr>
        <w:t>/d。目前茅东污水处理厂的污水处理能力为10000 m</w:t>
      </w:r>
      <w:r>
        <w:rPr>
          <w:rFonts w:hint="eastAsia"/>
          <w:vertAlign w:val="superscript"/>
        </w:rPr>
        <w:t>3</w:t>
      </w:r>
      <w:r>
        <w:rPr>
          <w:rFonts w:hint="eastAsia"/>
        </w:rPr>
        <w:t>/d，远期规划处置能力达15000 m</w:t>
      </w:r>
      <w:r>
        <w:rPr>
          <w:rFonts w:hint="eastAsia"/>
          <w:vertAlign w:val="superscript"/>
        </w:rPr>
        <w:t>3</w:t>
      </w:r>
      <w:r>
        <w:rPr>
          <w:rFonts w:hint="eastAsia"/>
        </w:rPr>
        <w:t>/d，区域内现状农村分散式处理设施处置能力合计达986m</w:t>
      </w:r>
      <w:r>
        <w:rPr>
          <w:rFonts w:hint="eastAsia"/>
          <w:vertAlign w:val="superscript"/>
        </w:rPr>
        <w:t>3</w:t>
      </w:r>
      <w:r>
        <w:rPr>
          <w:rFonts w:hint="eastAsia"/>
        </w:rPr>
        <w:t>/d。同时随着区域污水管网的建设完善以及村庄的集聚提升，农村生活污水接管处置率将进一步提升。2023年污水处理厂实际处理水量149.42万t/a（折0.409万t/d），结合收水范围内其他片区污水量增加情况，茅东污水处理厂仍有较多的处理余量，区域污水处置能力能够满足规划时期度假区内最大生活污水量处置需求。</w:t>
      </w:r>
    </w:p>
    <w:p w14:paraId="7213D80C">
      <w:pPr>
        <w:ind w:firstLine="482"/>
      </w:pPr>
      <w:r>
        <w:rPr>
          <w:rFonts w:hint="eastAsia"/>
          <w:b/>
          <w:bCs/>
        </w:rPr>
        <w:t>固体废物处理设施。</w:t>
      </w:r>
      <w:r>
        <w:rPr>
          <w:rFonts w:hint="eastAsia"/>
        </w:rPr>
        <w:t>茅山旅游度假区产生的固体废弃物主要为游客和居民产生的生活垃圾，主要包括厨余垃圾、废塑料、废纸、饮料罐等。根据规划，居民和游客产生的其它生活垃圾由专人负责清运，采用清洁直运，送往区外薛埠镇垃圾转运站，经收集转运后进行焚烧处置。垃圾最终处置在区外，处置率为100%。</w:t>
      </w:r>
    </w:p>
    <w:p w14:paraId="7E5438CB">
      <w:pPr>
        <w:ind w:firstLine="480"/>
      </w:pPr>
      <w:r>
        <w:rPr>
          <w:rFonts w:hint="eastAsia"/>
        </w:rPr>
        <w:t>综上，茅山旅游度假区的规划规模具有环境合理性。</w:t>
      </w:r>
    </w:p>
    <w:p w14:paraId="0013CE71">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8.1.4规划用地调整合理性</w:t>
      </w:r>
    </w:p>
    <w:p w14:paraId="12E380EC">
      <w:pPr>
        <w:spacing w:line="500" w:lineRule="exact"/>
        <w:ind w:firstLine="482"/>
        <w:rPr>
          <w:rFonts w:cs="Times New Roman"/>
          <w:b/>
          <w:bCs/>
          <w:szCs w:val="24"/>
          <w14:ligatures w14:val="none"/>
        </w:rPr>
      </w:pPr>
      <w:bookmarkStart w:id="135" w:name="_Toc23925"/>
      <w:r>
        <w:rPr>
          <w:rFonts w:hint="eastAsia" w:cs="Times New Roman"/>
          <w:b/>
          <w:bCs/>
          <w:szCs w:val="24"/>
          <w14:ligatures w14:val="none"/>
        </w:rPr>
        <w:t>（</w:t>
      </w:r>
      <w:r>
        <w:rPr>
          <w:rFonts w:cs="Times New Roman"/>
          <w:b/>
          <w:bCs/>
          <w:szCs w:val="24"/>
          <w14:ligatures w14:val="none"/>
        </w:rPr>
        <w:t>1</w:t>
      </w:r>
      <w:r>
        <w:rPr>
          <w:rFonts w:hint="eastAsia" w:cs="Times New Roman"/>
          <w:b/>
          <w:bCs/>
          <w:szCs w:val="24"/>
          <w14:ligatures w14:val="none"/>
        </w:rPr>
        <w:t>）</w:t>
      </w:r>
      <w:bookmarkStart w:id="136" w:name="_Hlk192168797"/>
      <w:r>
        <w:rPr>
          <w:rFonts w:hint="eastAsia" w:cs="Times New Roman"/>
          <w:b/>
          <w:bCs/>
          <w:szCs w:val="24"/>
          <w14:ligatures w14:val="none"/>
        </w:rPr>
        <w:t>水域用地调整</w:t>
      </w:r>
      <w:bookmarkEnd w:id="135"/>
      <w:r>
        <w:rPr>
          <w:rFonts w:hint="eastAsia" w:cs="Times New Roman"/>
          <w:b/>
          <w:bCs/>
          <w:szCs w:val="24"/>
          <w14:ligatures w14:val="none"/>
        </w:rPr>
        <w:t>合理性</w:t>
      </w:r>
      <w:bookmarkEnd w:id="136"/>
    </w:p>
    <w:p w14:paraId="3CD5963B">
      <w:pPr>
        <w:ind w:firstLine="480"/>
        <w:rPr>
          <w:rFonts w:cs="Times New Roman"/>
          <w:szCs w:val="24"/>
          <w14:ligatures w14:val="none"/>
        </w:rPr>
      </w:pPr>
      <w:r>
        <w:rPr>
          <w:rFonts w:hint="eastAsia" w:cs="Times New Roman"/>
          <w:szCs w:val="24"/>
          <w14:ligatures w14:val="none"/>
        </w:rPr>
        <w:t>茅山旅游度假区规划水域用地调整情况见表</w:t>
      </w:r>
      <w:r>
        <w:rPr>
          <w:rFonts w:cs="Times New Roman"/>
          <w:szCs w:val="24"/>
          <w14:ligatures w14:val="none"/>
        </w:rPr>
        <w:t>8.1-1</w:t>
      </w:r>
      <w:r>
        <w:rPr>
          <w:rFonts w:hint="eastAsia" w:cs="Times New Roman"/>
          <w:szCs w:val="24"/>
          <w14:ligatures w14:val="none"/>
        </w:rPr>
        <w:t>。现状区内水域用地11.79</w:t>
      </w:r>
      <w:r>
        <w:rPr>
          <w:rFonts w:cs="Times New Roman"/>
          <w:szCs w:val="24"/>
          <w14:ligatures w14:val="none"/>
        </w:rPr>
        <w:t>km</w:t>
      </w:r>
      <w:r>
        <w:rPr>
          <w:rFonts w:cs="Times New Roman"/>
          <w:szCs w:val="24"/>
          <w:vertAlign w:val="superscript"/>
          <w14:ligatures w14:val="none"/>
        </w:rPr>
        <w:t>2</w:t>
      </w:r>
      <w:r>
        <w:rPr>
          <w:rFonts w:hint="eastAsia" w:cs="Times New Roman"/>
          <w:szCs w:val="24"/>
          <w14:ligatures w14:val="none"/>
        </w:rPr>
        <w:t>，至规划近期、远期水域用地调整为11.75</w:t>
      </w:r>
      <w:r>
        <w:rPr>
          <w:rFonts w:cs="Times New Roman"/>
          <w:szCs w:val="24"/>
          <w14:ligatures w14:val="none"/>
        </w:rPr>
        <w:t>km</w:t>
      </w:r>
      <w:r>
        <w:rPr>
          <w:rFonts w:cs="Times New Roman"/>
          <w:szCs w:val="24"/>
          <w:vertAlign w:val="superscript"/>
          <w14:ligatures w14:val="none"/>
        </w:rPr>
        <w:t>2</w:t>
      </w:r>
      <w:r>
        <w:rPr>
          <w:rFonts w:hint="eastAsia" w:cs="Times New Roman"/>
          <w:szCs w:val="24"/>
          <w14:ligatures w14:val="none"/>
        </w:rPr>
        <w:t>，缩减0.04</w:t>
      </w:r>
      <w:r>
        <w:rPr>
          <w:rFonts w:cs="Times New Roman"/>
          <w:szCs w:val="24"/>
          <w14:ligatures w14:val="none"/>
        </w:rPr>
        <w:t>km</w:t>
      </w:r>
      <w:r>
        <w:rPr>
          <w:rFonts w:cs="Times New Roman"/>
          <w:szCs w:val="24"/>
          <w:vertAlign w:val="superscript"/>
          <w14:ligatures w14:val="none"/>
        </w:rPr>
        <w:t>2</w:t>
      </w:r>
      <w:r>
        <w:rPr>
          <w:rFonts w:hint="eastAsia" w:cs="Times New Roman"/>
          <w:szCs w:val="24"/>
          <w14:ligatures w14:val="none"/>
        </w:rPr>
        <w:t>。</w:t>
      </w:r>
    </w:p>
    <w:p w14:paraId="1D6862D9">
      <w:pPr>
        <w:pStyle w:val="45"/>
        <w:rPr>
          <w:rFonts w:cs="Times New Roman"/>
        </w:rPr>
        <w:sectPr>
          <w:pgSz w:w="11906" w:h="16838"/>
          <w:pgMar w:top="1440" w:right="1800" w:bottom="1440" w:left="1800" w:header="851" w:footer="992" w:gutter="0"/>
          <w:cols w:space="425" w:num="1"/>
          <w:docGrid w:type="lines" w:linePitch="312" w:charSpace="0"/>
        </w:sectPr>
      </w:pPr>
      <w:bookmarkStart w:id="137" w:name="_Toc28045"/>
    </w:p>
    <w:p w14:paraId="68F13B47">
      <w:pPr>
        <w:pStyle w:val="45"/>
        <w:rPr>
          <w:rFonts w:cs="Times New Roman"/>
        </w:rPr>
      </w:pPr>
      <w:r>
        <w:rPr>
          <w:rFonts w:cs="Times New Roman"/>
        </w:rPr>
        <w:t>表8.1-1 茅山旅游度假区规划前后水域用地调整情况表 （单位：km</w:t>
      </w:r>
      <w:r>
        <w:rPr>
          <w:rFonts w:cs="Times New Roman"/>
          <w:vertAlign w:val="superscript"/>
        </w:rPr>
        <w:t>2</w:t>
      </w:r>
      <w:r>
        <w:rPr>
          <w:rFonts w:cs="Times New Roman"/>
        </w:rPr>
        <w:t>）</w:t>
      </w:r>
      <w:bookmarkEnd w:id="137"/>
    </w:p>
    <w:tbl>
      <w:tblPr>
        <w:tblStyle w:val="25"/>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35"/>
        <w:gridCol w:w="1335"/>
        <w:gridCol w:w="1335"/>
        <w:gridCol w:w="1335"/>
        <w:gridCol w:w="2983"/>
      </w:tblGrid>
      <w:tr w14:paraId="6111A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blHeader/>
          <w:jc w:val="center"/>
        </w:trPr>
        <w:tc>
          <w:tcPr>
            <w:tcW w:w="802" w:type="pct"/>
            <w:vAlign w:val="center"/>
          </w:tcPr>
          <w:p w14:paraId="097C055D">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时期</w:t>
            </w:r>
          </w:p>
        </w:tc>
        <w:tc>
          <w:tcPr>
            <w:tcW w:w="802" w:type="pct"/>
            <w:noWrap/>
            <w:vAlign w:val="center"/>
          </w:tcPr>
          <w:p w14:paraId="75E669D8">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用地代码</w:t>
            </w:r>
          </w:p>
        </w:tc>
        <w:tc>
          <w:tcPr>
            <w:tcW w:w="802" w:type="pct"/>
            <w:noWrap/>
            <w:vAlign w:val="center"/>
          </w:tcPr>
          <w:p w14:paraId="237771FD">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用地性质</w:t>
            </w:r>
          </w:p>
        </w:tc>
        <w:tc>
          <w:tcPr>
            <w:tcW w:w="802" w:type="pct"/>
            <w:vAlign w:val="center"/>
          </w:tcPr>
          <w:p w14:paraId="385CCDC1">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用地面积</w:t>
            </w:r>
          </w:p>
        </w:tc>
        <w:tc>
          <w:tcPr>
            <w:tcW w:w="1792" w:type="pct"/>
            <w:vAlign w:val="center"/>
          </w:tcPr>
          <w:p w14:paraId="5B4E2C98">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与现状用地面积变化</w:t>
            </w:r>
          </w:p>
        </w:tc>
      </w:tr>
      <w:tr w14:paraId="265AD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02" w:type="pct"/>
            <w:vAlign w:val="center"/>
          </w:tcPr>
          <w:p w14:paraId="7D66C73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现状</w:t>
            </w:r>
          </w:p>
        </w:tc>
        <w:tc>
          <w:tcPr>
            <w:tcW w:w="802" w:type="pct"/>
            <w:noWrap/>
            <w:vAlign w:val="center"/>
          </w:tcPr>
          <w:p w14:paraId="6AF654B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E1</w:t>
            </w:r>
          </w:p>
        </w:tc>
        <w:tc>
          <w:tcPr>
            <w:tcW w:w="802" w:type="pct"/>
            <w:noWrap/>
            <w:vAlign w:val="center"/>
          </w:tcPr>
          <w:p w14:paraId="071BC29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水域</w:t>
            </w:r>
          </w:p>
        </w:tc>
        <w:tc>
          <w:tcPr>
            <w:tcW w:w="802" w:type="pct"/>
            <w:noWrap/>
            <w:vAlign w:val="center"/>
          </w:tcPr>
          <w:p w14:paraId="4F0444C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11.79</w:t>
            </w:r>
          </w:p>
        </w:tc>
        <w:tc>
          <w:tcPr>
            <w:tcW w:w="1792" w:type="pct"/>
            <w:vAlign w:val="center"/>
          </w:tcPr>
          <w:p w14:paraId="71CED1F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tr w14:paraId="3121D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02" w:type="pct"/>
            <w:vAlign w:val="center"/>
          </w:tcPr>
          <w:p w14:paraId="0737770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规划近期</w:t>
            </w:r>
          </w:p>
        </w:tc>
        <w:tc>
          <w:tcPr>
            <w:tcW w:w="802" w:type="pct"/>
            <w:noWrap/>
            <w:vAlign w:val="center"/>
          </w:tcPr>
          <w:p w14:paraId="75DF3B7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E1</w:t>
            </w:r>
          </w:p>
        </w:tc>
        <w:tc>
          <w:tcPr>
            <w:tcW w:w="802" w:type="pct"/>
            <w:noWrap/>
            <w:vAlign w:val="center"/>
          </w:tcPr>
          <w:p w14:paraId="0FF9F75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水域</w:t>
            </w:r>
          </w:p>
        </w:tc>
        <w:tc>
          <w:tcPr>
            <w:tcW w:w="802" w:type="pct"/>
            <w:noWrap/>
            <w:vAlign w:val="center"/>
          </w:tcPr>
          <w:p w14:paraId="0393733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11.75</w:t>
            </w:r>
          </w:p>
        </w:tc>
        <w:tc>
          <w:tcPr>
            <w:tcW w:w="1792" w:type="pct"/>
            <w:vAlign w:val="center"/>
          </w:tcPr>
          <w:p w14:paraId="4AB8DDC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-0.04</w:t>
            </w:r>
          </w:p>
        </w:tc>
      </w:tr>
      <w:tr w14:paraId="10743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02" w:type="pct"/>
            <w:vAlign w:val="center"/>
          </w:tcPr>
          <w:p w14:paraId="7A6323A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规划远期</w:t>
            </w:r>
          </w:p>
        </w:tc>
        <w:tc>
          <w:tcPr>
            <w:tcW w:w="802" w:type="pct"/>
            <w:noWrap/>
            <w:vAlign w:val="center"/>
          </w:tcPr>
          <w:p w14:paraId="485CC7B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E1</w:t>
            </w:r>
          </w:p>
        </w:tc>
        <w:tc>
          <w:tcPr>
            <w:tcW w:w="802" w:type="pct"/>
            <w:noWrap/>
            <w:vAlign w:val="center"/>
          </w:tcPr>
          <w:p w14:paraId="2A669AE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水域</w:t>
            </w:r>
          </w:p>
        </w:tc>
        <w:tc>
          <w:tcPr>
            <w:tcW w:w="802" w:type="pct"/>
            <w:noWrap/>
            <w:vAlign w:val="center"/>
          </w:tcPr>
          <w:p w14:paraId="3D51B7E8">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11.75</w:t>
            </w:r>
          </w:p>
        </w:tc>
        <w:tc>
          <w:tcPr>
            <w:tcW w:w="1792" w:type="pct"/>
            <w:vAlign w:val="center"/>
          </w:tcPr>
          <w:p w14:paraId="0309224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-0.04</w:t>
            </w:r>
          </w:p>
        </w:tc>
      </w:tr>
    </w:tbl>
    <w:p w14:paraId="56349FE0">
      <w:pPr>
        <w:ind w:firstLine="480"/>
        <w:rPr>
          <w:rFonts w:cs="Times New Roman"/>
          <w:szCs w:val="24"/>
          <w14:ligatures w14:val="none"/>
        </w:rPr>
      </w:pPr>
      <w:r>
        <w:rPr>
          <w:rFonts w:hint="eastAsia" w:cs="Times New Roman"/>
          <w:szCs w:val="24"/>
          <w14:ligatures w14:val="none"/>
        </w:rPr>
        <w:t>本次水域用地调整将规划范围内斑驳的淤积断流、废弃坑塘等加以用地整理，通过</w:t>
      </w:r>
      <w:bookmarkStart w:id="138" w:name="_Hlk192168824"/>
      <w:r>
        <w:rPr>
          <w:rFonts w:hint="eastAsia" w:cs="Times New Roman"/>
          <w:szCs w:val="24"/>
          <w14:ligatures w14:val="none"/>
        </w:rPr>
        <w:t>缩减低效水域，</w:t>
      </w:r>
      <w:bookmarkEnd w:id="138"/>
      <w:r>
        <w:rPr>
          <w:rFonts w:hint="eastAsia" w:cs="Times New Roman"/>
          <w:szCs w:val="24"/>
          <w14:ligatures w14:val="none"/>
        </w:rPr>
        <w:t>为建设用地、农业或生态绿地腾出空间，促进土地集约利用。同时，规划通过畅通活水，构建片区一体化水脉，不仅能提升河流水系自净能力，更扩大河道行洪区，提升了防洪能力，促进水域优化整体系统韧性的增强。</w:t>
      </w:r>
    </w:p>
    <w:p w14:paraId="3BE640F2">
      <w:pPr>
        <w:ind w:firstLine="480"/>
        <w:rPr>
          <w:rFonts w:cs="Times New Roman"/>
          <w:szCs w:val="24"/>
          <w14:ligatures w14:val="none"/>
        </w:rPr>
      </w:pPr>
      <w:r>
        <w:rPr>
          <w:rFonts w:hint="eastAsia" w:cs="Times New Roman"/>
          <w:szCs w:val="24"/>
          <w14:ligatures w14:val="none"/>
        </w:rPr>
        <w:t>据研究，</w:t>
      </w:r>
      <w:r>
        <w:rPr>
          <w:rFonts w:cs="Times New Roman"/>
          <w:szCs w:val="24"/>
          <w14:ligatures w14:val="none"/>
        </w:rPr>
        <w:t>1</w:t>
      </w:r>
      <w:r>
        <w:rPr>
          <w:rFonts w:hint="eastAsia" w:cs="Times New Roman"/>
          <w:szCs w:val="24"/>
          <w14:ligatures w14:val="none"/>
        </w:rPr>
        <w:t>公顷人工湿地的污染物去除效率可达天然湿地的</w:t>
      </w:r>
      <w:r>
        <w:rPr>
          <w:rFonts w:cs="Times New Roman"/>
          <w:szCs w:val="24"/>
          <w14:ligatures w14:val="none"/>
        </w:rPr>
        <w:t>2~3</w:t>
      </w:r>
      <w:r>
        <w:rPr>
          <w:rFonts w:hint="eastAsia" w:cs="Times New Roman"/>
          <w:szCs w:val="24"/>
          <w14:ligatures w14:val="none"/>
        </w:rPr>
        <w:t>倍。为此，规划提出“实施山水林田湖草修复工程”，通过在茅山旅游度假区内构建垂直流湿地、生态浮岛，在水面栽植水生植物等人工措施，提升水体质量或重建生境，可实现“面积减、功能增”的发展目标。</w:t>
      </w:r>
    </w:p>
    <w:p w14:paraId="0B566553">
      <w:pPr>
        <w:ind w:firstLine="480"/>
        <w:rPr>
          <w:rFonts w:cs="Times New Roman"/>
          <w:szCs w:val="24"/>
          <w14:ligatures w14:val="none"/>
        </w:rPr>
      </w:pPr>
      <w:r>
        <w:rPr>
          <w:rFonts w:hint="eastAsia" w:cs="Times New Roman"/>
          <w:szCs w:val="24"/>
          <w14:ligatures w14:val="none"/>
        </w:rPr>
        <w:t>综上，茅山旅游度假区水域用地调整具有环境合理性。</w:t>
      </w:r>
    </w:p>
    <w:p w14:paraId="0C79D9BA">
      <w:pPr>
        <w:ind w:firstLine="482"/>
        <w:rPr>
          <w:rFonts w:cs="Times New Roman"/>
          <w:b/>
          <w:bCs/>
          <w:szCs w:val="24"/>
          <w14:ligatures w14:val="none"/>
        </w:rPr>
      </w:pPr>
      <w:r>
        <w:rPr>
          <w:rFonts w:hint="eastAsia" w:cs="Times New Roman"/>
          <w:b/>
          <w:bCs/>
          <w:szCs w:val="24"/>
          <w14:ligatures w14:val="none"/>
        </w:rPr>
        <w:t>（</w:t>
      </w:r>
      <w:r>
        <w:rPr>
          <w:rFonts w:cs="Times New Roman"/>
          <w:b/>
          <w:bCs/>
          <w:szCs w:val="24"/>
          <w14:ligatures w14:val="none"/>
        </w:rPr>
        <w:t>2</w:t>
      </w:r>
      <w:r>
        <w:rPr>
          <w:rFonts w:hint="eastAsia" w:cs="Times New Roman"/>
          <w:b/>
          <w:bCs/>
          <w:szCs w:val="24"/>
          <w14:ligatures w14:val="none"/>
        </w:rPr>
        <w:t>）耕地用地调整合理性</w:t>
      </w:r>
    </w:p>
    <w:p w14:paraId="39A26D5E">
      <w:pPr>
        <w:ind w:firstLine="480"/>
        <w:rPr>
          <w:rFonts w:cs="Times New Roman"/>
          <w:szCs w:val="24"/>
          <w14:ligatures w14:val="none"/>
        </w:rPr>
      </w:pPr>
      <w:r>
        <w:rPr>
          <w:rFonts w:hint="eastAsia" w:cs="Times New Roman"/>
          <w:szCs w:val="24"/>
          <w14:ligatures w14:val="none"/>
        </w:rPr>
        <w:t>茅山旅游度假区规划耕地用地调整情况见表</w:t>
      </w:r>
      <w:r>
        <w:rPr>
          <w:rFonts w:cs="Times New Roman"/>
          <w:szCs w:val="24"/>
          <w14:ligatures w14:val="none"/>
        </w:rPr>
        <w:t>8.1-</w:t>
      </w:r>
      <w:r>
        <w:rPr>
          <w:rFonts w:hint="eastAsia" w:cs="Times New Roman"/>
          <w:szCs w:val="24"/>
          <w14:ligatures w14:val="none"/>
        </w:rPr>
        <w:t>2。现状区内耕地用地11.601km</w:t>
      </w:r>
      <w:r>
        <w:rPr>
          <w:rFonts w:cs="Times New Roman"/>
          <w:szCs w:val="24"/>
          <w:vertAlign w:val="superscript"/>
          <w14:ligatures w14:val="none"/>
        </w:rPr>
        <w:t>2</w:t>
      </w:r>
      <w:r>
        <w:rPr>
          <w:rFonts w:hint="eastAsia" w:cs="Times New Roman"/>
          <w:szCs w:val="24"/>
          <w14:ligatures w14:val="none"/>
        </w:rPr>
        <w:t>，至规划近期、远期耕地用地分别调整为12.105km</w:t>
      </w:r>
      <w:r>
        <w:rPr>
          <w:rFonts w:cs="Times New Roman"/>
          <w:szCs w:val="24"/>
          <w:vertAlign w:val="superscript"/>
          <w14:ligatures w14:val="none"/>
        </w:rPr>
        <w:t>2</w:t>
      </w:r>
      <w:r>
        <w:rPr>
          <w:rFonts w:hint="eastAsia" w:cs="Times New Roman"/>
          <w:szCs w:val="24"/>
          <w14:ligatures w14:val="none"/>
        </w:rPr>
        <w:t>、12.297km</w:t>
      </w:r>
      <w:r>
        <w:rPr>
          <w:rFonts w:cs="Times New Roman"/>
          <w:szCs w:val="24"/>
          <w:vertAlign w:val="superscript"/>
          <w14:ligatures w14:val="none"/>
        </w:rPr>
        <w:t>2</w:t>
      </w:r>
      <w:r>
        <w:rPr>
          <w:rFonts w:hint="eastAsia" w:cs="Times New Roman"/>
          <w:szCs w:val="24"/>
          <w14:ligatures w14:val="none"/>
        </w:rPr>
        <w:t>，分别增加0.504km</w:t>
      </w:r>
      <w:r>
        <w:rPr>
          <w:rFonts w:cs="Times New Roman"/>
          <w:szCs w:val="24"/>
          <w:vertAlign w:val="superscript"/>
          <w14:ligatures w14:val="none"/>
        </w:rPr>
        <w:t>2</w:t>
      </w:r>
      <w:r>
        <w:rPr>
          <w:rFonts w:hint="eastAsia" w:cs="Times New Roman"/>
          <w:szCs w:val="24"/>
          <w14:ligatures w14:val="none"/>
        </w:rPr>
        <w:t>、0.696km</w:t>
      </w:r>
      <w:r>
        <w:rPr>
          <w:rFonts w:hint="eastAsia" w:cs="Times New Roman"/>
          <w:szCs w:val="24"/>
          <w:vertAlign w:val="superscript"/>
          <w14:ligatures w14:val="none"/>
        </w:rPr>
        <w:t>2</w:t>
      </w:r>
      <w:r>
        <w:rPr>
          <w:rFonts w:hint="eastAsia" w:cs="Times New Roman"/>
          <w:szCs w:val="24"/>
          <w14:ligatures w14:val="none"/>
        </w:rPr>
        <w:t>。</w:t>
      </w:r>
    </w:p>
    <w:p w14:paraId="274A7CDA">
      <w:pPr>
        <w:pStyle w:val="45"/>
        <w:rPr>
          <w:rFonts w:cs="Times New Roman"/>
        </w:rPr>
      </w:pPr>
      <w:r>
        <w:rPr>
          <w:rFonts w:cs="Times New Roman"/>
        </w:rPr>
        <w:t>表8.1-2 茅山旅游度假区规划前后耕地用地调整情况表 （单位：km</w:t>
      </w:r>
      <w:r>
        <w:rPr>
          <w:rFonts w:cs="Times New Roman"/>
          <w:vertAlign w:val="superscript"/>
        </w:rPr>
        <w:t>2</w:t>
      </w:r>
      <w:r>
        <w:rPr>
          <w:rFonts w:cs="Times New Roman"/>
        </w:rPr>
        <w:t>）</w:t>
      </w:r>
    </w:p>
    <w:tbl>
      <w:tblPr>
        <w:tblStyle w:val="25"/>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35"/>
        <w:gridCol w:w="1335"/>
        <w:gridCol w:w="1335"/>
        <w:gridCol w:w="1335"/>
        <w:gridCol w:w="2983"/>
      </w:tblGrid>
      <w:tr w14:paraId="7903B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802" w:type="pct"/>
            <w:vAlign w:val="center"/>
          </w:tcPr>
          <w:p w14:paraId="6FA47888">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时期</w:t>
            </w:r>
          </w:p>
        </w:tc>
        <w:tc>
          <w:tcPr>
            <w:tcW w:w="802" w:type="pct"/>
            <w:noWrap/>
            <w:vAlign w:val="center"/>
          </w:tcPr>
          <w:p w14:paraId="13B0E23C">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用地代码</w:t>
            </w:r>
          </w:p>
        </w:tc>
        <w:tc>
          <w:tcPr>
            <w:tcW w:w="802" w:type="pct"/>
            <w:noWrap/>
            <w:vAlign w:val="center"/>
          </w:tcPr>
          <w:p w14:paraId="03E3CFC6">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用地性质</w:t>
            </w:r>
          </w:p>
        </w:tc>
        <w:tc>
          <w:tcPr>
            <w:tcW w:w="802" w:type="pct"/>
            <w:vAlign w:val="center"/>
          </w:tcPr>
          <w:p w14:paraId="55A68657">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用地面积</w:t>
            </w:r>
          </w:p>
        </w:tc>
        <w:tc>
          <w:tcPr>
            <w:tcW w:w="1792" w:type="pct"/>
            <w:vAlign w:val="center"/>
          </w:tcPr>
          <w:p w14:paraId="707CA646">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与现状用地面积变化</w:t>
            </w:r>
          </w:p>
        </w:tc>
      </w:tr>
      <w:tr w14:paraId="09B0E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02" w:type="pct"/>
            <w:vAlign w:val="center"/>
          </w:tcPr>
          <w:p w14:paraId="1D88E6F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现状</w:t>
            </w:r>
          </w:p>
        </w:tc>
        <w:tc>
          <w:tcPr>
            <w:tcW w:w="802" w:type="pct"/>
            <w:noWrap/>
          </w:tcPr>
          <w:p w14:paraId="28123B46">
            <w:pPr>
              <w:spacing w:line="240" w:lineRule="auto"/>
              <w:ind w:firstLine="0" w:firstLineChars="0"/>
              <w:jc w:val="center"/>
              <w:rPr>
                <w:rFonts w:cs="Times New Roman"/>
                <w:sz w:val="21"/>
                <w:szCs w:val="21"/>
                <w14:ligatures w14:val="none"/>
              </w:rPr>
            </w:pPr>
            <w:r>
              <w:rPr>
                <w:rFonts w:hint="eastAsia" w:eastAsia="等线" w:cs="Times New Roman"/>
                <w:sz w:val="21"/>
                <w:szCs w:val="21"/>
                <w14:ligatures w14:val="none"/>
              </w:rPr>
              <w:t>E2a</w:t>
            </w:r>
          </w:p>
        </w:tc>
        <w:tc>
          <w:tcPr>
            <w:tcW w:w="802" w:type="pct"/>
            <w:noWrap/>
          </w:tcPr>
          <w:p w14:paraId="5E78AB38">
            <w:pPr>
              <w:spacing w:line="240" w:lineRule="auto"/>
              <w:ind w:firstLine="0" w:firstLineChars="0"/>
              <w:jc w:val="center"/>
              <w:rPr>
                <w:rFonts w:cs="Times New Roman"/>
                <w:sz w:val="21"/>
                <w:szCs w:val="21"/>
                <w14:ligatures w14:val="none"/>
              </w:rPr>
            </w:pPr>
            <w:r>
              <w:rPr>
                <w:rFonts w:hint="eastAsia" w:ascii="仿宋_GB2312" w:hAnsi="等线"/>
                <w:sz w:val="21"/>
                <w:szCs w:val="21"/>
                <w14:ligatures w14:val="none"/>
              </w:rPr>
              <w:t>耕地</w:t>
            </w:r>
          </w:p>
        </w:tc>
        <w:tc>
          <w:tcPr>
            <w:tcW w:w="802" w:type="pct"/>
            <w:noWrap/>
            <w:vAlign w:val="center"/>
          </w:tcPr>
          <w:p w14:paraId="564D656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11.601</w:t>
            </w:r>
          </w:p>
        </w:tc>
        <w:tc>
          <w:tcPr>
            <w:tcW w:w="1792" w:type="pct"/>
            <w:vAlign w:val="center"/>
          </w:tcPr>
          <w:p w14:paraId="7238D78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tr w14:paraId="51FA0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02" w:type="pct"/>
            <w:vAlign w:val="center"/>
          </w:tcPr>
          <w:p w14:paraId="63043BE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规划近期</w:t>
            </w:r>
          </w:p>
        </w:tc>
        <w:tc>
          <w:tcPr>
            <w:tcW w:w="802" w:type="pct"/>
            <w:noWrap/>
          </w:tcPr>
          <w:p w14:paraId="347AB588">
            <w:pPr>
              <w:spacing w:line="240" w:lineRule="auto"/>
              <w:ind w:firstLine="0" w:firstLineChars="0"/>
              <w:jc w:val="center"/>
              <w:rPr>
                <w:rFonts w:cs="Times New Roman"/>
                <w:sz w:val="21"/>
                <w:szCs w:val="21"/>
                <w14:ligatures w14:val="none"/>
              </w:rPr>
            </w:pPr>
            <w:r>
              <w:rPr>
                <w:rFonts w:hint="eastAsia" w:eastAsia="等线" w:cs="Times New Roman"/>
                <w:sz w:val="21"/>
                <w:szCs w:val="21"/>
                <w14:ligatures w14:val="none"/>
              </w:rPr>
              <w:t>E2a</w:t>
            </w:r>
          </w:p>
        </w:tc>
        <w:tc>
          <w:tcPr>
            <w:tcW w:w="802" w:type="pct"/>
            <w:noWrap/>
          </w:tcPr>
          <w:p w14:paraId="6292E71D">
            <w:pPr>
              <w:spacing w:line="240" w:lineRule="auto"/>
              <w:ind w:firstLine="0" w:firstLineChars="0"/>
              <w:jc w:val="center"/>
              <w:rPr>
                <w:rFonts w:cs="Times New Roman"/>
                <w:sz w:val="21"/>
                <w:szCs w:val="21"/>
                <w14:ligatures w14:val="none"/>
              </w:rPr>
            </w:pPr>
            <w:r>
              <w:rPr>
                <w:rFonts w:hint="eastAsia" w:ascii="仿宋_GB2312" w:hAnsi="等线"/>
                <w:sz w:val="21"/>
                <w:szCs w:val="21"/>
                <w14:ligatures w14:val="none"/>
              </w:rPr>
              <w:t>耕地</w:t>
            </w:r>
          </w:p>
        </w:tc>
        <w:tc>
          <w:tcPr>
            <w:tcW w:w="802" w:type="pct"/>
            <w:noWrap/>
            <w:vAlign w:val="center"/>
          </w:tcPr>
          <w:p w14:paraId="38B9330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12.105</w:t>
            </w:r>
          </w:p>
        </w:tc>
        <w:tc>
          <w:tcPr>
            <w:tcW w:w="1792" w:type="pct"/>
            <w:vAlign w:val="center"/>
          </w:tcPr>
          <w:p w14:paraId="33E7782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+0.504</w:t>
            </w:r>
          </w:p>
        </w:tc>
      </w:tr>
      <w:tr w14:paraId="53612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02" w:type="pct"/>
            <w:vAlign w:val="center"/>
          </w:tcPr>
          <w:p w14:paraId="0004591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规划远期</w:t>
            </w:r>
          </w:p>
        </w:tc>
        <w:tc>
          <w:tcPr>
            <w:tcW w:w="802" w:type="pct"/>
            <w:noWrap/>
          </w:tcPr>
          <w:p w14:paraId="41DA0BB6">
            <w:pPr>
              <w:spacing w:line="240" w:lineRule="auto"/>
              <w:ind w:firstLine="0" w:firstLineChars="0"/>
              <w:jc w:val="center"/>
              <w:rPr>
                <w:rFonts w:cs="Times New Roman"/>
                <w:sz w:val="21"/>
                <w:szCs w:val="21"/>
                <w14:ligatures w14:val="none"/>
              </w:rPr>
            </w:pPr>
            <w:r>
              <w:rPr>
                <w:rFonts w:hint="eastAsia" w:eastAsia="等线" w:cs="Times New Roman"/>
                <w:sz w:val="21"/>
                <w:szCs w:val="21"/>
                <w14:ligatures w14:val="none"/>
              </w:rPr>
              <w:t>E2a</w:t>
            </w:r>
          </w:p>
        </w:tc>
        <w:tc>
          <w:tcPr>
            <w:tcW w:w="802" w:type="pct"/>
            <w:noWrap/>
          </w:tcPr>
          <w:p w14:paraId="65002ED7">
            <w:pPr>
              <w:spacing w:line="240" w:lineRule="auto"/>
              <w:ind w:firstLine="0" w:firstLineChars="0"/>
              <w:jc w:val="center"/>
              <w:rPr>
                <w:rFonts w:cs="Times New Roman"/>
                <w:sz w:val="21"/>
                <w:szCs w:val="21"/>
                <w14:ligatures w14:val="none"/>
              </w:rPr>
            </w:pPr>
            <w:r>
              <w:rPr>
                <w:rFonts w:hint="eastAsia" w:ascii="仿宋_GB2312" w:hAnsi="等线"/>
                <w:sz w:val="21"/>
                <w:szCs w:val="21"/>
                <w14:ligatures w14:val="none"/>
              </w:rPr>
              <w:t>耕地</w:t>
            </w:r>
          </w:p>
        </w:tc>
        <w:tc>
          <w:tcPr>
            <w:tcW w:w="802" w:type="pct"/>
            <w:noWrap/>
            <w:vAlign w:val="center"/>
          </w:tcPr>
          <w:p w14:paraId="5311E11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12.297</w:t>
            </w:r>
          </w:p>
        </w:tc>
        <w:tc>
          <w:tcPr>
            <w:tcW w:w="1792" w:type="pct"/>
            <w:vAlign w:val="center"/>
          </w:tcPr>
          <w:p w14:paraId="6FF6352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+0.696</w:t>
            </w:r>
          </w:p>
        </w:tc>
      </w:tr>
    </w:tbl>
    <w:p w14:paraId="525A7788">
      <w:pPr>
        <w:ind w:firstLine="480"/>
        <w:rPr>
          <w:rFonts w:cs="Times New Roman"/>
          <w:szCs w:val="24"/>
          <w14:ligatures w14:val="none"/>
        </w:rPr>
      </w:pPr>
      <w:r>
        <w:rPr>
          <w:rFonts w:hint="eastAsia" w:cs="Times New Roman"/>
          <w:szCs w:val="24"/>
          <w14:ligatures w14:val="none"/>
        </w:rPr>
        <w:t>本次规划调整耕地主要为采矿用地结束后的复垦修复、原零散居民点耕种用地（一般农用地）调整，现状零散居民已拆迁，零散耕地的调整将减少农业生产活动污染物排放，有助于降低对土壤、水体和空气等环境要素的污染，促进生态系统的自然恢复和平衡。该部分林地将调整为旅游项目建设用地，并配套相应景观绿地种植，</w:t>
      </w:r>
    </w:p>
    <w:p w14:paraId="73A8751E">
      <w:pPr>
        <w:ind w:firstLine="480"/>
        <w:rPr>
          <w:rFonts w:cs="Times New Roman"/>
          <w:szCs w:val="24"/>
          <w14:ligatures w14:val="none"/>
        </w:rPr>
      </w:pPr>
      <w:r>
        <w:rPr>
          <w:rFonts w:hint="eastAsia" w:cs="Times New Roman"/>
          <w:szCs w:val="24"/>
          <w14:ligatures w14:val="none"/>
        </w:rPr>
        <w:t>同时，耕地的调整更便于土地更系统地规划和整治，土地资源更好整合和优化配置。通过建设生态景观区、旅游设施等，提高土地的综合利用效益，提升度假区的整体形象和品质；实施植树造林、湿地恢复等生态修复项目，提高生态修复的效果和效率，构建更加稳定和多样化的生态系统。</w:t>
      </w:r>
    </w:p>
    <w:p w14:paraId="20A20280">
      <w:pPr>
        <w:ind w:firstLine="480"/>
        <w:rPr>
          <w:rFonts w:cs="Times New Roman"/>
          <w:szCs w:val="24"/>
          <w14:ligatures w14:val="none"/>
        </w:rPr>
      </w:pPr>
      <w:r>
        <w:rPr>
          <w:rFonts w:hint="eastAsia" w:cs="Times New Roman"/>
          <w:szCs w:val="24"/>
          <w14:ligatures w14:val="none"/>
        </w:rPr>
        <w:t>综上，茅山旅游度假区耕地用地调整具有环境合理性。</w:t>
      </w:r>
    </w:p>
    <w:p w14:paraId="0246B30F">
      <w:pPr>
        <w:ind w:firstLine="482"/>
        <w:rPr>
          <w:rFonts w:cs="Times New Roman"/>
          <w:b/>
          <w:bCs/>
          <w:szCs w:val="24"/>
          <w14:ligatures w14:val="none"/>
        </w:rPr>
      </w:pPr>
      <w:r>
        <w:rPr>
          <w:rFonts w:hint="eastAsia" w:cs="Times New Roman"/>
          <w:b/>
          <w:bCs/>
          <w:szCs w:val="24"/>
          <w14:ligatures w14:val="none"/>
        </w:rPr>
        <w:t>（</w:t>
      </w:r>
      <w:r>
        <w:rPr>
          <w:rFonts w:cs="Times New Roman"/>
          <w:b/>
          <w:bCs/>
          <w:szCs w:val="24"/>
          <w14:ligatures w14:val="none"/>
        </w:rPr>
        <w:t>3</w:t>
      </w:r>
      <w:r>
        <w:rPr>
          <w:rFonts w:hint="eastAsia" w:cs="Times New Roman"/>
          <w:b/>
          <w:bCs/>
          <w:szCs w:val="24"/>
          <w14:ligatures w14:val="none"/>
        </w:rPr>
        <w:t>）林地用地调整合理性</w:t>
      </w:r>
    </w:p>
    <w:p w14:paraId="6D4FEFA8">
      <w:pPr>
        <w:ind w:firstLine="480"/>
        <w:rPr>
          <w:rFonts w:cs="Times New Roman"/>
          <w:szCs w:val="24"/>
          <w14:ligatures w14:val="none"/>
        </w:rPr>
      </w:pPr>
      <w:r>
        <w:rPr>
          <w:rFonts w:hint="eastAsia" w:cs="Times New Roman"/>
          <w:szCs w:val="24"/>
          <w14:ligatures w14:val="none"/>
        </w:rPr>
        <w:t>茅山旅游度假区规划林地用地调整情况见表</w:t>
      </w:r>
      <w:r>
        <w:rPr>
          <w:rFonts w:cs="Times New Roman"/>
          <w:szCs w:val="24"/>
          <w14:ligatures w14:val="none"/>
        </w:rPr>
        <w:t>8.1-</w:t>
      </w:r>
      <w:r>
        <w:rPr>
          <w:rFonts w:hint="eastAsia" w:cs="Times New Roman"/>
          <w:szCs w:val="24"/>
          <w14:ligatures w14:val="none"/>
        </w:rPr>
        <w:t>3。现状区内林地用地61.25km</w:t>
      </w:r>
      <w:r>
        <w:rPr>
          <w:rFonts w:cs="Times New Roman"/>
          <w:szCs w:val="24"/>
          <w:vertAlign w:val="superscript"/>
          <w14:ligatures w14:val="none"/>
        </w:rPr>
        <w:t>2</w:t>
      </w:r>
      <w:r>
        <w:rPr>
          <w:rFonts w:hint="eastAsia" w:cs="Times New Roman"/>
          <w:szCs w:val="24"/>
          <w:vertAlign w:val="superscript"/>
          <w14:ligatures w14:val="none"/>
        </w:rPr>
        <w:t>，</w:t>
      </w:r>
      <w:r>
        <w:rPr>
          <w:rFonts w:hint="eastAsia" w:cs="Times New Roman"/>
          <w:szCs w:val="24"/>
          <w14:ligatures w14:val="none"/>
        </w:rPr>
        <w:t>规划近期、远期林地用地分别调整为61.73km</w:t>
      </w:r>
      <w:r>
        <w:rPr>
          <w:rFonts w:cs="Times New Roman"/>
          <w:szCs w:val="24"/>
          <w:vertAlign w:val="superscript"/>
          <w14:ligatures w14:val="none"/>
        </w:rPr>
        <w:t>2</w:t>
      </w:r>
      <w:r>
        <w:rPr>
          <w:rFonts w:hint="eastAsia" w:cs="Times New Roman"/>
          <w:szCs w:val="24"/>
          <w14:ligatures w14:val="none"/>
        </w:rPr>
        <w:t>、61.88km</w:t>
      </w:r>
      <w:r>
        <w:rPr>
          <w:rFonts w:hint="eastAsia" w:cs="Times New Roman"/>
          <w:szCs w:val="24"/>
          <w:vertAlign w:val="superscript"/>
          <w14:ligatures w14:val="none"/>
        </w:rPr>
        <w:t>2</w:t>
      </w:r>
      <w:r>
        <w:rPr>
          <w:rFonts w:hint="eastAsia" w:cs="Times New Roman"/>
          <w:szCs w:val="24"/>
          <w14:ligatures w14:val="none"/>
        </w:rPr>
        <w:t>。</w:t>
      </w:r>
    </w:p>
    <w:p w14:paraId="2EA9FC7E">
      <w:pPr>
        <w:pStyle w:val="45"/>
        <w:rPr>
          <w:rFonts w:cs="Times New Roman"/>
        </w:rPr>
      </w:pPr>
      <w:r>
        <w:rPr>
          <w:rFonts w:cs="Times New Roman"/>
        </w:rPr>
        <w:t>表8.1-3 茅山旅游度假区规划前后林地用地调整情况表 （单位：km</w:t>
      </w:r>
      <w:r>
        <w:rPr>
          <w:rFonts w:cs="Times New Roman"/>
          <w:vertAlign w:val="superscript"/>
        </w:rPr>
        <w:t>2</w:t>
      </w:r>
      <w:r>
        <w:rPr>
          <w:rFonts w:cs="Times New Roman"/>
        </w:rPr>
        <w:t>）</w:t>
      </w:r>
    </w:p>
    <w:tbl>
      <w:tblPr>
        <w:tblStyle w:val="25"/>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35"/>
        <w:gridCol w:w="1335"/>
        <w:gridCol w:w="1335"/>
        <w:gridCol w:w="1335"/>
        <w:gridCol w:w="2983"/>
      </w:tblGrid>
      <w:tr w14:paraId="125E8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802" w:type="pct"/>
            <w:vAlign w:val="center"/>
          </w:tcPr>
          <w:p w14:paraId="4A482CF0">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时期</w:t>
            </w:r>
          </w:p>
        </w:tc>
        <w:tc>
          <w:tcPr>
            <w:tcW w:w="802" w:type="pct"/>
            <w:noWrap/>
            <w:vAlign w:val="center"/>
          </w:tcPr>
          <w:p w14:paraId="4DF0D1BF">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用地代码</w:t>
            </w:r>
          </w:p>
        </w:tc>
        <w:tc>
          <w:tcPr>
            <w:tcW w:w="802" w:type="pct"/>
            <w:noWrap/>
            <w:vAlign w:val="center"/>
          </w:tcPr>
          <w:p w14:paraId="2AAB6F12">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用地性质</w:t>
            </w:r>
          </w:p>
        </w:tc>
        <w:tc>
          <w:tcPr>
            <w:tcW w:w="802" w:type="pct"/>
            <w:vAlign w:val="center"/>
          </w:tcPr>
          <w:p w14:paraId="0DD0C17C">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用地面积</w:t>
            </w:r>
          </w:p>
        </w:tc>
        <w:tc>
          <w:tcPr>
            <w:tcW w:w="1792" w:type="pct"/>
            <w:vAlign w:val="center"/>
          </w:tcPr>
          <w:p w14:paraId="1C9B7183">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与现状用地面积变化</w:t>
            </w:r>
          </w:p>
        </w:tc>
      </w:tr>
      <w:tr w14:paraId="49CFE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02" w:type="pct"/>
            <w:vAlign w:val="center"/>
          </w:tcPr>
          <w:p w14:paraId="4EC75F9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现状</w:t>
            </w:r>
          </w:p>
        </w:tc>
        <w:tc>
          <w:tcPr>
            <w:tcW w:w="802" w:type="pct"/>
            <w:noWrap/>
          </w:tcPr>
          <w:p w14:paraId="51AB07A9">
            <w:pPr>
              <w:spacing w:line="240" w:lineRule="auto"/>
              <w:ind w:firstLine="0" w:firstLineChars="0"/>
              <w:jc w:val="center"/>
              <w:rPr>
                <w:rFonts w:cs="Times New Roman"/>
                <w:sz w:val="21"/>
                <w:szCs w:val="21"/>
                <w14:ligatures w14:val="none"/>
              </w:rPr>
            </w:pPr>
            <w:r>
              <w:rPr>
                <w:rFonts w:hint="eastAsia" w:eastAsia="等线" w:cs="Times New Roman"/>
                <w:sz w:val="21"/>
                <w:szCs w:val="21"/>
                <w14:ligatures w14:val="none"/>
              </w:rPr>
              <w:t>E2c</w:t>
            </w:r>
          </w:p>
        </w:tc>
        <w:tc>
          <w:tcPr>
            <w:tcW w:w="802" w:type="pct"/>
            <w:noWrap/>
          </w:tcPr>
          <w:p w14:paraId="2951B623">
            <w:pPr>
              <w:spacing w:line="240" w:lineRule="auto"/>
              <w:ind w:firstLine="0" w:firstLineChars="0"/>
              <w:jc w:val="center"/>
              <w:rPr>
                <w:rFonts w:cs="Times New Roman"/>
                <w:sz w:val="21"/>
                <w:szCs w:val="21"/>
                <w14:ligatures w14:val="none"/>
              </w:rPr>
            </w:pPr>
            <w:r>
              <w:rPr>
                <w:rFonts w:hint="eastAsia" w:ascii="仿宋_GB2312" w:hAnsi="等线"/>
                <w:sz w:val="21"/>
                <w:szCs w:val="21"/>
                <w14:ligatures w14:val="none"/>
              </w:rPr>
              <w:t>林地</w:t>
            </w:r>
          </w:p>
        </w:tc>
        <w:tc>
          <w:tcPr>
            <w:tcW w:w="802" w:type="pct"/>
            <w:noWrap/>
            <w:vAlign w:val="center"/>
          </w:tcPr>
          <w:p w14:paraId="3EC52B1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61.25</w:t>
            </w:r>
          </w:p>
        </w:tc>
        <w:tc>
          <w:tcPr>
            <w:tcW w:w="1792" w:type="pct"/>
            <w:tcBorders>
              <w:bottom w:val="single" w:color="auto" w:sz="4" w:space="0"/>
            </w:tcBorders>
            <w:vAlign w:val="center"/>
          </w:tcPr>
          <w:p w14:paraId="2D12EB0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tr w14:paraId="67F2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02" w:type="pct"/>
            <w:vAlign w:val="center"/>
          </w:tcPr>
          <w:p w14:paraId="49144D5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规划近期</w:t>
            </w:r>
          </w:p>
        </w:tc>
        <w:tc>
          <w:tcPr>
            <w:tcW w:w="802" w:type="pct"/>
            <w:noWrap/>
          </w:tcPr>
          <w:p w14:paraId="2AE8432C">
            <w:pPr>
              <w:spacing w:line="240" w:lineRule="auto"/>
              <w:ind w:firstLine="0" w:firstLineChars="0"/>
              <w:jc w:val="center"/>
              <w:rPr>
                <w:rFonts w:cs="Times New Roman"/>
                <w:sz w:val="21"/>
                <w:szCs w:val="21"/>
                <w14:ligatures w14:val="none"/>
              </w:rPr>
            </w:pPr>
            <w:r>
              <w:rPr>
                <w:rFonts w:hint="eastAsia" w:eastAsia="等线" w:cs="Times New Roman"/>
                <w:sz w:val="21"/>
                <w:szCs w:val="21"/>
                <w14:ligatures w14:val="none"/>
              </w:rPr>
              <w:t>E2c</w:t>
            </w:r>
          </w:p>
        </w:tc>
        <w:tc>
          <w:tcPr>
            <w:tcW w:w="802" w:type="pct"/>
            <w:noWrap/>
          </w:tcPr>
          <w:p w14:paraId="2B65C1C8">
            <w:pPr>
              <w:spacing w:line="240" w:lineRule="auto"/>
              <w:ind w:firstLine="0" w:firstLineChars="0"/>
              <w:jc w:val="center"/>
              <w:rPr>
                <w:rFonts w:cs="Times New Roman"/>
                <w:sz w:val="21"/>
                <w:szCs w:val="21"/>
                <w14:ligatures w14:val="none"/>
              </w:rPr>
            </w:pPr>
            <w:r>
              <w:rPr>
                <w:rFonts w:hint="eastAsia" w:ascii="仿宋_GB2312" w:hAnsi="等线"/>
                <w:sz w:val="21"/>
                <w:szCs w:val="21"/>
                <w14:ligatures w14:val="none"/>
              </w:rPr>
              <w:t>林地</w:t>
            </w:r>
          </w:p>
        </w:tc>
        <w:tc>
          <w:tcPr>
            <w:tcW w:w="802" w:type="pct"/>
            <w:noWrap/>
            <w:vAlign w:val="center"/>
          </w:tcPr>
          <w:p w14:paraId="79C7E47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61.73</w:t>
            </w:r>
          </w:p>
        </w:tc>
        <w:tc>
          <w:tcPr>
            <w:tcW w:w="1792" w:type="pct"/>
            <w:tcBorders>
              <w:top w:val="single" w:color="auto" w:sz="4" w:space="0"/>
              <w:left w:val="nil"/>
              <w:bottom w:val="single" w:color="auto" w:sz="4" w:space="0"/>
              <w:right w:val="single" w:color="auto" w:sz="4" w:space="0"/>
            </w:tcBorders>
            <w:vAlign w:val="bottom"/>
          </w:tcPr>
          <w:p w14:paraId="04951FD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+0.48</w:t>
            </w:r>
          </w:p>
        </w:tc>
      </w:tr>
      <w:tr w14:paraId="58BF5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02" w:type="pct"/>
            <w:vAlign w:val="center"/>
          </w:tcPr>
          <w:p w14:paraId="5F0DF32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规划远期</w:t>
            </w:r>
          </w:p>
        </w:tc>
        <w:tc>
          <w:tcPr>
            <w:tcW w:w="802" w:type="pct"/>
            <w:noWrap/>
          </w:tcPr>
          <w:p w14:paraId="3535AD08">
            <w:pPr>
              <w:spacing w:line="240" w:lineRule="auto"/>
              <w:ind w:firstLine="0" w:firstLineChars="0"/>
              <w:jc w:val="center"/>
              <w:rPr>
                <w:rFonts w:cs="Times New Roman"/>
                <w:sz w:val="21"/>
                <w:szCs w:val="21"/>
                <w14:ligatures w14:val="none"/>
              </w:rPr>
            </w:pPr>
            <w:r>
              <w:rPr>
                <w:rFonts w:hint="eastAsia" w:eastAsia="等线" w:cs="Times New Roman"/>
                <w:sz w:val="21"/>
                <w:szCs w:val="21"/>
                <w14:ligatures w14:val="none"/>
              </w:rPr>
              <w:t>E2c</w:t>
            </w:r>
          </w:p>
        </w:tc>
        <w:tc>
          <w:tcPr>
            <w:tcW w:w="802" w:type="pct"/>
            <w:noWrap/>
          </w:tcPr>
          <w:p w14:paraId="673BD688">
            <w:pPr>
              <w:spacing w:line="240" w:lineRule="auto"/>
              <w:ind w:firstLine="0" w:firstLineChars="0"/>
              <w:jc w:val="center"/>
              <w:rPr>
                <w:rFonts w:cs="Times New Roman"/>
                <w:sz w:val="21"/>
                <w:szCs w:val="21"/>
                <w14:ligatures w14:val="none"/>
              </w:rPr>
            </w:pPr>
            <w:r>
              <w:rPr>
                <w:rFonts w:hint="eastAsia" w:ascii="仿宋_GB2312" w:hAnsi="等线"/>
                <w:sz w:val="21"/>
                <w:szCs w:val="21"/>
                <w14:ligatures w14:val="none"/>
              </w:rPr>
              <w:t>林地</w:t>
            </w:r>
          </w:p>
        </w:tc>
        <w:tc>
          <w:tcPr>
            <w:tcW w:w="802" w:type="pct"/>
            <w:noWrap/>
            <w:vAlign w:val="center"/>
          </w:tcPr>
          <w:p w14:paraId="7DA21C4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61.88</w:t>
            </w:r>
          </w:p>
        </w:tc>
        <w:tc>
          <w:tcPr>
            <w:tcW w:w="1792" w:type="pct"/>
            <w:tcBorders>
              <w:top w:val="single" w:color="auto" w:sz="4" w:space="0"/>
              <w:left w:val="nil"/>
              <w:bottom w:val="single" w:color="auto" w:sz="4" w:space="0"/>
              <w:right w:val="single" w:color="auto" w:sz="4" w:space="0"/>
            </w:tcBorders>
            <w:vAlign w:val="bottom"/>
          </w:tcPr>
          <w:p w14:paraId="4F24FB0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+0.63</w:t>
            </w:r>
          </w:p>
        </w:tc>
      </w:tr>
    </w:tbl>
    <w:p w14:paraId="3F85B078">
      <w:pPr>
        <w:ind w:firstLine="480"/>
        <w:rPr>
          <w:rFonts w:cs="Times New Roman"/>
          <w:szCs w:val="24"/>
          <w14:ligatures w14:val="none"/>
        </w:rPr>
      </w:pPr>
      <w:r>
        <w:rPr>
          <w:rFonts w:hint="eastAsia" w:cs="Times New Roman"/>
          <w:szCs w:val="24"/>
          <w14:ligatures w14:val="none"/>
        </w:rPr>
        <w:t>本次规划调整林地主要为原零散居民点房前屋后林地，居民点拆迁后，林地由于缺乏统一管理，导致林地的生态功能得不到有效发挥。通过本次规划，零散林地将得到整合和优化，部分林地将调整为旅游项目建设用地，并配套相应景观绿地种植，实现区域与周边生态资源的统筹，打造更连贯和完整的景观体系，不仅提高了土地的综合利用效益，也更好地满足游客对自然生态环境的需求。同时规划远期将进一步开展造林绿化和生态廊道建设，林地面积将进一步增加，新增林地与原有林地相互连通，进一步丰富植物种类，为野生动物提供更广阔的栖息和迁徙空间，促进生态系统的良性循环。</w:t>
      </w:r>
    </w:p>
    <w:p w14:paraId="06CFB09B">
      <w:pPr>
        <w:ind w:firstLine="480"/>
        <w:rPr>
          <w:rFonts w:cs="Times New Roman"/>
          <w:szCs w:val="24"/>
          <w14:ligatures w14:val="none"/>
        </w:rPr>
      </w:pPr>
      <w:r>
        <w:rPr>
          <w:rFonts w:hint="eastAsia" w:cs="Times New Roman"/>
          <w:szCs w:val="24"/>
          <w14:ligatures w14:val="none"/>
        </w:rPr>
        <w:t>综上，茅山旅游度假区林地用地调整具有环境合理性。</w:t>
      </w:r>
    </w:p>
    <w:p w14:paraId="68B6E8F2">
      <w:pPr>
        <w:ind w:firstLine="482"/>
        <w:rPr>
          <w:rFonts w:cs="Times New Roman"/>
          <w:b/>
          <w:bCs/>
          <w:szCs w:val="24"/>
          <w14:ligatures w14:val="none"/>
        </w:rPr>
      </w:pPr>
      <w:r>
        <w:rPr>
          <w:rFonts w:hint="eastAsia" w:cs="Times New Roman"/>
          <w:b/>
          <w:bCs/>
          <w:szCs w:val="24"/>
          <w14:ligatures w14:val="none"/>
        </w:rPr>
        <w:t>（4）</w:t>
      </w:r>
      <w:bookmarkStart w:id="139" w:name="_Hlk192168858"/>
      <w:r>
        <w:rPr>
          <w:rFonts w:hint="eastAsia" w:cs="Times New Roman"/>
          <w:b/>
          <w:bCs/>
          <w:szCs w:val="24"/>
          <w14:ligatures w14:val="none"/>
        </w:rPr>
        <w:t>居住用地调整合理性</w:t>
      </w:r>
      <w:bookmarkEnd w:id="139"/>
    </w:p>
    <w:p w14:paraId="4C13866C">
      <w:pPr>
        <w:ind w:firstLine="480"/>
        <w:rPr>
          <w:rFonts w:cs="Times New Roman"/>
          <w:szCs w:val="24"/>
          <w14:ligatures w14:val="none"/>
        </w:rPr>
      </w:pPr>
      <w:r>
        <w:rPr>
          <w:rFonts w:hint="eastAsia" w:cs="Times New Roman"/>
          <w:szCs w:val="24"/>
          <w14:ligatures w14:val="none"/>
        </w:rPr>
        <w:t>茅山旅游度假区规划居住用地调整情况见表</w:t>
      </w:r>
      <w:r>
        <w:rPr>
          <w:rFonts w:cs="Times New Roman"/>
          <w:szCs w:val="24"/>
          <w14:ligatures w14:val="none"/>
        </w:rPr>
        <w:t>8.1-</w:t>
      </w:r>
      <w:r>
        <w:rPr>
          <w:rFonts w:hint="eastAsia" w:cs="Times New Roman"/>
          <w:szCs w:val="24"/>
          <w14:ligatures w14:val="none"/>
        </w:rPr>
        <w:t>4。现状区内居住用地3.321km</w:t>
      </w:r>
      <w:r>
        <w:rPr>
          <w:rFonts w:cs="Times New Roman"/>
          <w:szCs w:val="24"/>
          <w:vertAlign w:val="superscript"/>
          <w14:ligatures w14:val="none"/>
        </w:rPr>
        <w:t>2</w:t>
      </w:r>
      <w:r>
        <w:rPr>
          <w:rFonts w:hint="eastAsia" w:cs="Times New Roman"/>
          <w:szCs w:val="24"/>
          <w14:ligatures w14:val="none"/>
        </w:rPr>
        <w:t>，至规划近期、远期居住用地分别调整为3.338km</w:t>
      </w:r>
      <w:r>
        <w:rPr>
          <w:rFonts w:cs="Times New Roman"/>
          <w:szCs w:val="24"/>
          <w:vertAlign w:val="superscript"/>
          <w14:ligatures w14:val="none"/>
        </w:rPr>
        <w:t>2</w:t>
      </w:r>
      <w:r>
        <w:rPr>
          <w:rFonts w:hint="eastAsia" w:cs="Times New Roman"/>
          <w:szCs w:val="24"/>
          <w14:ligatures w14:val="none"/>
        </w:rPr>
        <w:t>、3.352km</w:t>
      </w:r>
      <w:r>
        <w:rPr>
          <w:rFonts w:cs="Times New Roman"/>
          <w:szCs w:val="24"/>
          <w:vertAlign w:val="superscript"/>
          <w14:ligatures w14:val="none"/>
        </w:rPr>
        <w:t>2</w:t>
      </w:r>
      <w:r>
        <w:rPr>
          <w:rFonts w:hint="eastAsia" w:cs="Times New Roman"/>
          <w:szCs w:val="24"/>
          <w14:ligatures w14:val="none"/>
        </w:rPr>
        <w:t>，分别增加0.017km</w:t>
      </w:r>
      <w:r>
        <w:rPr>
          <w:rFonts w:cs="Times New Roman"/>
          <w:szCs w:val="24"/>
          <w:vertAlign w:val="superscript"/>
          <w14:ligatures w14:val="none"/>
        </w:rPr>
        <w:t>2</w:t>
      </w:r>
      <w:r>
        <w:rPr>
          <w:rFonts w:hint="eastAsia" w:cs="Times New Roman"/>
          <w:szCs w:val="24"/>
          <w14:ligatures w14:val="none"/>
        </w:rPr>
        <w:t>、0.031km</w:t>
      </w:r>
      <w:r>
        <w:rPr>
          <w:rFonts w:cs="Times New Roman"/>
          <w:szCs w:val="24"/>
          <w:vertAlign w:val="superscript"/>
          <w14:ligatures w14:val="none"/>
        </w:rPr>
        <w:t>2</w:t>
      </w:r>
      <w:r>
        <w:rPr>
          <w:rFonts w:hint="eastAsia" w:cs="Times New Roman"/>
          <w:szCs w:val="24"/>
          <w14:ligatures w14:val="none"/>
        </w:rPr>
        <w:t>。</w:t>
      </w:r>
    </w:p>
    <w:p w14:paraId="2418B667">
      <w:pPr>
        <w:pStyle w:val="45"/>
        <w:rPr>
          <w:rFonts w:cs="Times New Roman"/>
        </w:rPr>
      </w:pPr>
      <w:r>
        <w:rPr>
          <w:rFonts w:cs="Times New Roman"/>
        </w:rPr>
        <w:t>表8.1-</w:t>
      </w:r>
      <w:r>
        <w:rPr>
          <w:rFonts w:hint="eastAsia" w:cs="Times New Roman"/>
        </w:rPr>
        <w:t>4</w:t>
      </w:r>
      <w:r>
        <w:rPr>
          <w:rFonts w:cs="Times New Roman"/>
        </w:rPr>
        <w:t xml:space="preserve"> 茅山旅游度假区规划前后居住用地调整情况表 （单位：km</w:t>
      </w:r>
      <w:r>
        <w:rPr>
          <w:rFonts w:cs="Times New Roman"/>
          <w:vertAlign w:val="superscript"/>
        </w:rPr>
        <w:t>2</w:t>
      </w:r>
      <w:r>
        <w:rPr>
          <w:rFonts w:cs="Times New Roman"/>
        </w:rPr>
        <w:t>）</w:t>
      </w:r>
    </w:p>
    <w:tbl>
      <w:tblPr>
        <w:tblStyle w:val="25"/>
        <w:tblW w:w="502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39"/>
        <w:gridCol w:w="1340"/>
        <w:gridCol w:w="1340"/>
        <w:gridCol w:w="1340"/>
        <w:gridCol w:w="2996"/>
      </w:tblGrid>
      <w:tr w14:paraId="3792B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801" w:type="pct"/>
            <w:vAlign w:val="center"/>
          </w:tcPr>
          <w:p w14:paraId="631A46BC">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时期</w:t>
            </w:r>
          </w:p>
        </w:tc>
        <w:tc>
          <w:tcPr>
            <w:tcW w:w="801" w:type="pct"/>
            <w:noWrap/>
            <w:vAlign w:val="center"/>
          </w:tcPr>
          <w:p w14:paraId="021898C8">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用地代码</w:t>
            </w:r>
          </w:p>
        </w:tc>
        <w:tc>
          <w:tcPr>
            <w:tcW w:w="801" w:type="pct"/>
            <w:noWrap/>
            <w:vAlign w:val="center"/>
          </w:tcPr>
          <w:p w14:paraId="04A9D526">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用地性质</w:t>
            </w:r>
          </w:p>
        </w:tc>
        <w:tc>
          <w:tcPr>
            <w:tcW w:w="801" w:type="pct"/>
            <w:vAlign w:val="center"/>
          </w:tcPr>
          <w:p w14:paraId="0262D7E5">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用地面积</w:t>
            </w:r>
          </w:p>
        </w:tc>
        <w:tc>
          <w:tcPr>
            <w:tcW w:w="1792" w:type="pct"/>
            <w:vAlign w:val="center"/>
          </w:tcPr>
          <w:p w14:paraId="2501226F">
            <w:pPr>
              <w:spacing w:line="240" w:lineRule="auto"/>
              <w:ind w:firstLine="0" w:firstLineChars="0"/>
              <w:jc w:val="center"/>
              <w:rPr>
                <w:rFonts w:cs="Times New Roman"/>
                <w:b/>
                <w:bCs/>
                <w:sz w:val="21"/>
                <w:szCs w:val="21"/>
                <w14:ligatures w14:val="none"/>
              </w:rPr>
            </w:pPr>
            <w:r>
              <w:rPr>
                <w:rFonts w:hint="eastAsia" w:cs="Times New Roman"/>
                <w:b/>
                <w:bCs/>
                <w:sz w:val="21"/>
                <w:szCs w:val="21"/>
                <w14:ligatures w14:val="none"/>
              </w:rPr>
              <w:t>与现状用地面积变化</w:t>
            </w:r>
          </w:p>
        </w:tc>
      </w:tr>
      <w:tr w14:paraId="4FE17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01" w:type="pct"/>
            <w:vAlign w:val="center"/>
          </w:tcPr>
          <w:p w14:paraId="121140D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现状</w:t>
            </w:r>
          </w:p>
        </w:tc>
        <w:tc>
          <w:tcPr>
            <w:tcW w:w="801" w:type="pct"/>
            <w:noWrap/>
            <w:vAlign w:val="center"/>
          </w:tcPr>
          <w:p w14:paraId="3AF253B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R</w:t>
            </w:r>
          </w:p>
        </w:tc>
        <w:tc>
          <w:tcPr>
            <w:tcW w:w="801" w:type="pct"/>
            <w:noWrap/>
          </w:tcPr>
          <w:p w14:paraId="7D81C5B4">
            <w:pPr>
              <w:spacing w:line="240" w:lineRule="auto"/>
              <w:ind w:firstLine="0" w:firstLineChars="0"/>
              <w:jc w:val="center"/>
              <w:rPr>
                <w:rFonts w:cs="Times New Roman"/>
                <w:sz w:val="21"/>
                <w:szCs w:val="21"/>
                <w14:ligatures w14:val="none"/>
              </w:rPr>
            </w:pPr>
            <w:r>
              <w:rPr>
                <w:rFonts w:hint="eastAsia" w:ascii="仿宋_GB2312" w:hAnsi="等线"/>
                <w:sz w:val="21"/>
                <w:szCs w:val="21"/>
                <w14:ligatures w14:val="none"/>
              </w:rPr>
              <w:t>居住用地</w:t>
            </w:r>
          </w:p>
        </w:tc>
        <w:tc>
          <w:tcPr>
            <w:tcW w:w="801" w:type="pct"/>
            <w:noWrap/>
            <w:vAlign w:val="center"/>
          </w:tcPr>
          <w:p w14:paraId="768A75C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3.321</w:t>
            </w:r>
          </w:p>
        </w:tc>
        <w:tc>
          <w:tcPr>
            <w:tcW w:w="1792" w:type="pct"/>
            <w:vAlign w:val="center"/>
          </w:tcPr>
          <w:p w14:paraId="38D49EE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r>
      <w:tr w14:paraId="48370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01" w:type="pct"/>
            <w:vAlign w:val="center"/>
          </w:tcPr>
          <w:p w14:paraId="17DAE1F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规划近期</w:t>
            </w:r>
          </w:p>
        </w:tc>
        <w:tc>
          <w:tcPr>
            <w:tcW w:w="801" w:type="pct"/>
            <w:noWrap/>
            <w:vAlign w:val="center"/>
          </w:tcPr>
          <w:p w14:paraId="431B764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R</w:t>
            </w:r>
          </w:p>
        </w:tc>
        <w:tc>
          <w:tcPr>
            <w:tcW w:w="801" w:type="pct"/>
            <w:noWrap/>
          </w:tcPr>
          <w:p w14:paraId="0F96634F">
            <w:pPr>
              <w:spacing w:line="240" w:lineRule="auto"/>
              <w:ind w:firstLine="0" w:firstLineChars="0"/>
              <w:jc w:val="center"/>
              <w:rPr>
                <w:rFonts w:cs="Times New Roman"/>
                <w:sz w:val="21"/>
                <w:szCs w:val="21"/>
                <w14:ligatures w14:val="none"/>
              </w:rPr>
            </w:pPr>
            <w:r>
              <w:rPr>
                <w:rFonts w:hint="eastAsia" w:ascii="仿宋_GB2312" w:hAnsi="等线"/>
                <w:sz w:val="21"/>
                <w:szCs w:val="21"/>
                <w14:ligatures w14:val="none"/>
              </w:rPr>
              <w:t>居住用地</w:t>
            </w:r>
          </w:p>
        </w:tc>
        <w:tc>
          <w:tcPr>
            <w:tcW w:w="801" w:type="pct"/>
            <w:noWrap/>
            <w:vAlign w:val="center"/>
          </w:tcPr>
          <w:p w14:paraId="176C806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3.338</w:t>
            </w:r>
          </w:p>
        </w:tc>
        <w:tc>
          <w:tcPr>
            <w:tcW w:w="1792" w:type="pct"/>
            <w:vAlign w:val="center"/>
          </w:tcPr>
          <w:p w14:paraId="3887AE5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+0.017</w:t>
            </w:r>
          </w:p>
        </w:tc>
      </w:tr>
      <w:tr w14:paraId="5CBAF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01" w:type="pct"/>
            <w:vAlign w:val="center"/>
          </w:tcPr>
          <w:p w14:paraId="0352C77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规划远期</w:t>
            </w:r>
          </w:p>
        </w:tc>
        <w:tc>
          <w:tcPr>
            <w:tcW w:w="801" w:type="pct"/>
            <w:noWrap/>
            <w:vAlign w:val="center"/>
          </w:tcPr>
          <w:p w14:paraId="19BA75C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R</w:t>
            </w:r>
          </w:p>
        </w:tc>
        <w:tc>
          <w:tcPr>
            <w:tcW w:w="801" w:type="pct"/>
            <w:noWrap/>
            <w:vAlign w:val="center"/>
          </w:tcPr>
          <w:p w14:paraId="2143FA9B">
            <w:pPr>
              <w:spacing w:line="240" w:lineRule="auto"/>
              <w:ind w:firstLine="0" w:firstLineChars="0"/>
              <w:jc w:val="center"/>
              <w:rPr>
                <w:rFonts w:cs="Times New Roman"/>
                <w:sz w:val="21"/>
                <w:szCs w:val="21"/>
                <w14:ligatures w14:val="none"/>
              </w:rPr>
            </w:pPr>
            <w:r>
              <w:rPr>
                <w:rFonts w:hint="eastAsia" w:ascii="仿宋_GB2312" w:hAnsi="等线"/>
                <w:sz w:val="21"/>
                <w:szCs w:val="21"/>
                <w14:ligatures w14:val="none"/>
              </w:rPr>
              <w:t>居住用地</w:t>
            </w:r>
          </w:p>
        </w:tc>
        <w:tc>
          <w:tcPr>
            <w:tcW w:w="801" w:type="pct"/>
            <w:noWrap/>
            <w:vAlign w:val="center"/>
          </w:tcPr>
          <w:p w14:paraId="47F1CB1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3.352</w:t>
            </w:r>
          </w:p>
        </w:tc>
        <w:tc>
          <w:tcPr>
            <w:tcW w:w="1792" w:type="pct"/>
            <w:vAlign w:val="center"/>
          </w:tcPr>
          <w:p w14:paraId="2209602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+0.031</w:t>
            </w:r>
          </w:p>
        </w:tc>
      </w:tr>
    </w:tbl>
    <w:p w14:paraId="0C695126">
      <w:pPr>
        <w:ind w:firstLine="480"/>
        <w:rPr>
          <w:rFonts w:cs="Times New Roman"/>
          <w:szCs w:val="24"/>
          <w14:ligatures w14:val="none"/>
        </w:rPr>
      </w:pPr>
      <w:r>
        <w:rPr>
          <w:rFonts w:hint="eastAsia" w:cs="Times New Roman"/>
          <w:szCs w:val="24"/>
          <w14:ligatures w14:val="none"/>
        </w:rPr>
        <w:t>本次用地规划主要为农村住宅用地增加，本轮规划居住用地尽可能避开茅东山地水源涵养区、江苏常州金坛茅东省级森林公园、江苏常州镇江茅山地方级风景名胜区（金坛区）等生态敏感区。规划居住用地主要用于农村集聚提升带来的居住用地增加需求，居住用地的集中布局，可</w:t>
      </w:r>
      <w:bookmarkStart w:id="140" w:name="_Hlk192168845"/>
      <w:r>
        <w:rPr>
          <w:rFonts w:hint="eastAsia" w:cs="Times New Roman"/>
          <w:szCs w:val="24"/>
          <w14:ligatures w14:val="none"/>
        </w:rPr>
        <w:t>避免分散建设对自然栖息地的碎片化破坏</w:t>
      </w:r>
      <w:bookmarkEnd w:id="140"/>
      <w:r>
        <w:rPr>
          <w:rFonts w:hint="eastAsia" w:cs="Times New Roman"/>
          <w:szCs w:val="24"/>
          <w14:ligatures w14:val="none"/>
        </w:rPr>
        <w:t>，降低对山地、森林的生态扰动。</w:t>
      </w:r>
    </w:p>
    <w:p w14:paraId="3F5AC984">
      <w:pPr>
        <w:ind w:firstLine="480"/>
        <w:rPr>
          <w:rFonts w:cs="Times New Roman"/>
          <w:szCs w:val="24"/>
          <w14:ligatures w14:val="none"/>
        </w:rPr>
      </w:pPr>
      <w:r>
        <w:rPr>
          <w:rFonts w:hint="eastAsia" w:cs="Times New Roman"/>
          <w:szCs w:val="24"/>
          <w14:ligatures w14:val="none"/>
        </w:rPr>
        <w:t>规划居住用地建设过程中，要求采用新能源新材料，运用节能节水减排技术，实行合同能源管理，实施高效照明改造，减少温室气体排放。同时，规划提出了“合理开发，生态优先”的要求，建筑规划设计遵循“生态为先，尊重自然，融入自然”原则，保证与周围自然环境相协调，以实现项目建设不对山体、植被等自然环境构成破坏。</w:t>
      </w:r>
    </w:p>
    <w:p w14:paraId="18F194F6">
      <w:pPr>
        <w:ind w:firstLine="480"/>
        <w:rPr>
          <w:rFonts w:cs="Times New Roman"/>
          <w:szCs w:val="24"/>
          <w14:ligatures w14:val="none"/>
        </w:rPr>
      </w:pPr>
      <w:r>
        <w:rPr>
          <w:rFonts w:hint="eastAsia" w:cs="Times New Roman"/>
          <w:szCs w:val="24"/>
          <w14:ligatures w14:val="none"/>
        </w:rPr>
        <w:t>综上，茅山旅游度假区居住用地调整具有环境合理性。</w:t>
      </w:r>
    </w:p>
    <w:p w14:paraId="06EC6A34">
      <w:pPr>
        <w:pStyle w:val="3"/>
        <w:ind w:firstLine="0" w:firstLineChars="0"/>
        <w:rPr>
          <w:rFonts w:cs="Times New Roman"/>
        </w:rPr>
      </w:pPr>
      <w:bookmarkStart w:id="141" w:name="_Toc217294078"/>
      <w:r>
        <w:rPr>
          <w:rFonts w:cs="Times New Roman"/>
        </w:rPr>
        <w:t>8.2</w:t>
      </w:r>
      <w:r>
        <w:rPr>
          <w:rFonts w:hint="eastAsia" w:cs="Times New Roman"/>
        </w:rPr>
        <w:t>环境目标与评价指标可达性分析</w:t>
      </w:r>
      <w:bookmarkEnd w:id="141"/>
    </w:p>
    <w:p w14:paraId="36B2EF49">
      <w:pPr>
        <w:ind w:firstLine="480"/>
      </w:pPr>
      <w:r>
        <w:rPr>
          <w:rFonts w:hint="eastAsia"/>
        </w:rPr>
        <w:t>根据环境质量现状监测数据，监测期间度假区大气、地表水、土壤、地下水、声环境基本均能满足相应的环境质量标准要求。度假区建设发展需坚持绿色化、低碳化，将“减污降碳”作为度假区发展的前置条件，充分释放度假区自身绿色生态属性。度假区在严格落实相关环保措施，确保区内现状企业污染物达标排放的基础上，逐步实施现状企业的停转迁，规划环境质量目标值可达。</w:t>
      </w:r>
    </w:p>
    <w:p w14:paraId="0992854F">
      <w:pPr>
        <w:ind w:firstLine="480"/>
      </w:pPr>
      <w:r>
        <w:rPr>
          <w:rFonts w:hint="eastAsia"/>
        </w:rPr>
        <w:t>本轮规划中度假区核心区内产生的生活污水均接管至茅东污水处理厂，污水量较小、相对分散的，采用小型污水处理设施分散处理，同时随着全市农村生活污水治理工作的推进以及农村生活污水管网的不断完善，规划远期农村生活污水治理率达100%可达。</w:t>
      </w:r>
    </w:p>
    <w:p w14:paraId="5510ED9B">
      <w:pPr>
        <w:ind w:firstLine="480"/>
      </w:pPr>
      <w:r>
        <w:rPr>
          <w:rFonts w:hint="eastAsia"/>
        </w:rPr>
        <w:t>各环境目标与评价指标可达性如表8.2-1所示。</w:t>
      </w:r>
    </w:p>
    <w:p w14:paraId="05783F36">
      <w:pPr>
        <w:ind w:firstLine="480"/>
        <w:sectPr>
          <w:pgSz w:w="11906" w:h="16838"/>
          <w:pgMar w:top="1440" w:right="1800" w:bottom="1440" w:left="1800" w:header="851" w:footer="992" w:gutter="0"/>
          <w:cols w:space="425" w:num="1"/>
          <w:docGrid w:type="lines" w:linePitch="312" w:charSpace="0"/>
        </w:sectPr>
      </w:pPr>
    </w:p>
    <w:p w14:paraId="711D9D4E">
      <w:pPr>
        <w:pStyle w:val="45"/>
        <w:rPr>
          <w:rFonts w:cs="Times New Roman"/>
        </w:rPr>
      </w:pPr>
      <w:r>
        <w:rPr>
          <w:rFonts w:cs="Times New Roman"/>
        </w:rPr>
        <w:t>表</w:t>
      </w:r>
      <w:r>
        <w:rPr>
          <w:rFonts w:hint="eastAsia" w:cs="Times New Roman"/>
        </w:rPr>
        <w:t>8</w:t>
      </w:r>
      <w:r>
        <w:rPr>
          <w:rFonts w:cs="Times New Roman"/>
        </w:rPr>
        <w:t>.</w:t>
      </w:r>
      <w:r>
        <w:rPr>
          <w:rFonts w:hint="eastAsia" w:cs="Times New Roman"/>
        </w:rPr>
        <w:t>2</w:t>
      </w:r>
      <w:r>
        <w:rPr>
          <w:rFonts w:cs="Times New Roman"/>
        </w:rPr>
        <w:t xml:space="preserve">-1  </w:t>
      </w:r>
      <w:r>
        <w:rPr>
          <w:rFonts w:hint="eastAsia" w:cs="Times New Roman"/>
        </w:rPr>
        <w:t>规划的环境目标与评价指标可达性分析</w:t>
      </w:r>
    </w:p>
    <w:tbl>
      <w:tblPr>
        <w:tblStyle w:val="25"/>
        <w:tblW w:w="50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8"/>
        <w:gridCol w:w="453"/>
        <w:gridCol w:w="1844"/>
        <w:gridCol w:w="652"/>
        <w:gridCol w:w="1663"/>
        <w:gridCol w:w="1570"/>
        <w:gridCol w:w="1558"/>
        <w:gridCol w:w="5962"/>
      </w:tblGrid>
      <w:tr w14:paraId="1D44C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blHeader/>
          <w:jc w:val="center"/>
        </w:trPr>
        <w:tc>
          <w:tcPr>
            <w:tcW w:w="242" w:type="pct"/>
            <w:vAlign w:val="center"/>
          </w:tcPr>
          <w:p w14:paraId="1828BD5D">
            <w:pPr>
              <w:adjustRightInd w:val="0"/>
              <w:spacing w:line="240" w:lineRule="auto"/>
              <w:ind w:firstLine="0" w:firstLineChars="0"/>
              <w:jc w:val="center"/>
              <w:rPr>
                <w:rFonts w:cs="Times New Roman"/>
                <w:b/>
                <w:sz w:val="21"/>
                <w:szCs w:val="21"/>
              </w:rPr>
            </w:pPr>
            <w:r>
              <w:rPr>
                <w:rFonts w:cs="Times New Roman"/>
                <w:b/>
                <w:sz w:val="21"/>
                <w:szCs w:val="21"/>
              </w:rPr>
              <w:t>类型</w:t>
            </w:r>
          </w:p>
        </w:tc>
        <w:tc>
          <w:tcPr>
            <w:tcW w:w="157" w:type="pct"/>
            <w:vAlign w:val="center"/>
          </w:tcPr>
          <w:p w14:paraId="6DF54E5B">
            <w:pPr>
              <w:adjustRightInd w:val="0"/>
              <w:spacing w:line="240" w:lineRule="auto"/>
              <w:ind w:firstLine="0" w:firstLineChars="0"/>
              <w:jc w:val="center"/>
              <w:rPr>
                <w:rFonts w:cs="Times New Roman"/>
                <w:b/>
                <w:sz w:val="21"/>
                <w:szCs w:val="21"/>
              </w:rPr>
            </w:pPr>
            <w:r>
              <w:rPr>
                <w:rFonts w:cs="Times New Roman"/>
                <w:b/>
                <w:sz w:val="21"/>
                <w:szCs w:val="21"/>
              </w:rPr>
              <w:t>序号</w:t>
            </w:r>
          </w:p>
        </w:tc>
        <w:tc>
          <w:tcPr>
            <w:tcW w:w="640" w:type="pct"/>
            <w:vAlign w:val="center"/>
          </w:tcPr>
          <w:p w14:paraId="76CBF463">
            <w:pPr>
              <w:adjustRightInd w:val="0"/>
              <w:spacing w:line="240" w:lineRule="auto"/>
              <w:ind w:firstLine="0" w:firstLineChars="0"/>
              <w:jc w:val="center"/>
              <w:rPr>
                <w:rFonts w:cs="Times New Roman"/>
                <w:b/>
                <w:sz w:val="21"/>
                <w:szCs w:val="21"/>
              </w:rPr>
            </w:pPr>
            <w:r>
              <w:rPr>
                <w:rFonts w:cs="Times New Roman"/>
                <w:b/>
                <w:sz w:val="21"/>
                <w:szCs w:val="21"/>
              </w:rPr>
              <w:t>指标</w:t>
            </w:r>
          </w:p>
        </w:tc>
        <w:tc>
          <w:tcPr>
            <w:tcW w:w="226" w:type="pct"/>
            <w:vAlign w:val="center"/>
          </w:tcPr>
          <w:p w14:paraId="096B7992">
            <w:pPr>
              <w:adjustRightInd w:val="0"/>
              <w:spacing w:line="240" w:lineRule="auto"/>
              <w:ind w:firstLine="0" w:firstLineChars="0"/>
              <w:jc w:val="center"/>
              <w:rPr>
                <w:rFonts w:cs="Times New Roman"/>
                <w:b/>
                <w:sz w:val="21"/>
                <w:szCs w:val="21"/>
              </w:rPr>
            </w:pPr>
            <w:r>
              <w:rPr>
                <w:rFonts w:cs="Times New Roman"/>
                <w:b/>
                <w:sz w:val="21"/>
                <w:szCs w:val="21"/>
              </w:rPr>
              <w:t>单位</w:t>
            </w:r>
          </w:p>
        </w:tc>
        <w:tc>
          <w:tcPr>
            <w:tcW w:w="577" w:type="pct"/>
            <w:vAlign w:val="center"/>
          </w:tcPr>
          <w:p w14:paraId="7B239666">
            <w:pPr>
              <w:adjustRightInd w:val="0"/>
              <w:spacing w:line="240" w:lineRule="auto"/>
              <w:ind w:firstLine="0" w:firstLineChars="0"/>
              <w:jc w:val="center"/>
              <w:rPr>
                <w:rFonts w:cs="Times New Roman"/>
                <w:b/>
                <w:sz w:val="21"/>
                <w:szCs w:val="21"/>
              </w:rPr>
            </w:pPr>
            <w:r>
              <w:rPr>
                <w:rFonts w:cs="Times New Roman"/>
                <w:b/>
                <w:sz w:val="21"/>
                <w:szCs w:val="21"/>
              </w:rPr>
              <w:t>现状值</w:t>
            </w:r>
          </w:p>
          <w:p w14:paraId="1F4DC862">
            <w:pPr>
              <w:adjustRightInd w:val="0"/>
              <w:spacing w:line="240" w:lineRule="auto"/>
              <w:ind w:firstLine="0" w:firstLineChars="0"/>
              <w:jc w:val="center"/>
              <w:rPr>
                <w:rFonts w:cs="Times New Roman"/>
                <w:b/>
                <w:sz w:val="21"/>
                <w:szCs w:val="21"/>
              </w:rPr>
            </w:pPr>
            <w:r>
              <w:rPr>
                <w:rFonts w:cs="Times New Roman"/>
                <w:b/>
                <w:sz w:val="21"/>
                <w:szCs w:val="21"/>
              </w:rPr>
              <w:t>（2023年）</w:t>
            </w:r>
          </w:p>
        </w:tc>
        <w:tc>
          <w:tcPr>
            <w:tcW w:w="545" w:type="pct"/>
            <w:vAlign w:val="center"/>
          </w:tcPr>
          <w:p w14:paraId="060D1EDD">
            <w:pPr>
              <w:adjustRightInd w:val="0"/>
              <w:spacing w:line="240" w:lineRule="auto"/>
              <w:ind w:firstLine="0" w:firstLineChars="0"/>
              <w:jc w:val="center"/>
              <w:rPr>
                <w:rFonts w:cs="Times New Roman"/>
                <w:b/>
                <w:sz w:val="21"/>
                <w:szCs w:val="21"/>
              </w:rPr>
            </w:pPr>
            <w:r>
              <w:rPr>
                <w:rFonts w:cs="Times New Roman"/>
                <w:b/>
                <w:sz w:val="21"/>
                <w:szCs w:val="21"/>
              </w:rPr>
              <w:t>规划中期目标值（2030年）</w:t>
            </w:r>
          </w:p>
        </w:tc>
        <w:tc>
          <w:tcPr>
            <w:tcW w:w="541" w:type="pct"/>
            <w:vAlign w:val="center"/>
          </w:tcPr>
          <w:p w14:paraId="4065ADCC">
            <w:pPr>
              <w:adjustRightInd w:val="0"/>
              <w:spacing w:line="240" w:lineRule="auto"/>
              <w:ind w:firstLine="0" w:firstLineChars="0"/>
              <w:jc w:val="center"/>
              <w:rPr>
                <w:rFonts w:cs="Times New Roman"/>
                <w:b/>
                <w:sz w:val="21"/>
                <w:szCs w:val="21"/>
              </w:rPr>
            </w:pPr>
            <w:r>
              <w:rPr>
                <w:rFonts w:cs="Times New Roman"/>
                <w:b/>
                <w:sz w:val="21"/>
                <w:szCs w:val="21"/>
              </w:rPr>
              <w:t>规划远期目标值（2035年）</w:t>
            </w:r>
          </w:p>
        </w:tc>
        <w:tc>
          <w:tcPr>
            <w:tcW w:w="2069" w:type="pct"/>
            <w:vAlign w:val="center"/>
          </w:tcPr>
          <w:p w14:paraId="17C936B7">
            <w:pPr>
              <w:adjustRightInd w:val="0"/>
              <w:spacing w:line="240" w:lineRule="auto"/>
              <w:ind w:firstLine="0" w:firstLineChars="0"/>
              <w:jc w:val="center"/>
              <w:rPr>
                <w:rFonts w:cs="Times New Roman"/>
                <w:b/>
                <w:sz w:val="21"/>
                <w:szCs w:val="21"/>
              </w:rPr>
            </w:pPr>
            <w:r>
              <w:rPr>
                <w:rFonts w:cs="Times New Roman"/>
                <w:b/>
                <w:sz w:val="21"/>
                <w:szCs w:val="21"/>
              </w:rPr>
              <w:t>环境目标与评价指标可达性分析</w:t>
            </w:r>
          </w:p>
        </w:tc>
      </w:tr>
      <w:tr w14:paraId="4F6F0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restart"/>
            <w:vAlign w:val="center"/>
          </w:tcPr>
          <w:p w14:paraId="72CD7F70">
            <w:pPr>
              <w:adjustRightInd w:val="0"/>
              <w:spacing w:line="240" w:lineRule="auto"/>
              <w:ind w:firstLine="0" w:firstLineChars="0"/>
              <w:jc w:val="center"/>
              <w:rPr>
                <w:rFonts w:cs="Times New Roman"/>
                <w:sz w:val="21"/>
                <w:szCs w:val="21"/>
              </w:rPr>
            </w:pPr>
            <w:r>
              <w:rPr>
                <w:rFonts w:cs="Times New Roman"/>
                <w:sz w:val="21"/>
                <w:szCs w:val="21"/>
              </w:rPr>
              <w:t>环境</w:t>
            </w:r>
          </w:p>
          <w:p w14:paraId="509EE5D2">
            <w:pPr>
              <w:adjustRightInd w:val="0"/>
              <w:spacing w:line="240" w:lineRule="auto"/>
              <w:ind w:firstLine="0" w:firstLineChars="0"/>
              <w:jc w:val="center"/>
              <w:rPr>
                <w:rFonts w:cs="Times New Roman"/>
                <w:sz w:val="21"/>
                <w:szCs w:val="21"/>
              </w:rPr>
            </w:pPr>
            <w:r>
              <w:rPr>
                <w:rFonts w:cs="Times New Roman"/>
                <w:sz w:val="21"/>
                <w:szCs w:val="21"/>
              </w:rPr>
              <w:t>质量</w:t>
            </w:r>
          </w:p>
        </w:tc>
        <w:tc>
          <w:tcPr>
            <w:tcW w:w="157" w:type="pct"/>
            <w:vAlign w:val="center"/>
          </w:tcPr>
          <w:p w14:paraId="7AE3861F">
            <w:pPr>
              <w:numPr>
                <w:ilvl w:val="0"/>
                <w:numId w:val="22"/>
              </w:numPr>
              <w:adjustRightInd w:val="0"/>
              <w:spacing w:line="240" w:lineRule="auto"/>
              <w:ind w:firstLineChars="0"/>
              <w:jc w:val="center"/>
              <w:rPr>
                <w:rFonts w:cs="Times New Roman"/>
                <w:sz w:val="21"/>
                <w:szCs w:val="21"/>
              </w:rPr>
            </w:pPr>
          </w:p>
        </w:tc>
        <w:tc>
          <w:tcPr>
            <w:tcW w:w="640" w:type="pct"/>
            <w:vAlign w:val="center"/>
          </w:tcPr>
          <w:p w14:paraId="059D557E">
            <w:pPr>
              <w:adjustRightInd w:val="0"/>
              <w:spacing w:line="240" w:lineRule="auto"/>
              <w:ind w:firstLine="0" w:firstLineChars="0"/>
              <w:jc w:val="center"/>
              <w:rPr>
                <w:rFonts w:cs="Times New Roman"/>
                <w:sz w:val="21"/>
                <w:szCs w:val="21"/>
              </w:rPr>
            </w:pPr>
            <w:r>
              <w:rPr>
                <w:rFonts w:cs="Times New Roman"/>
                <w:kern w:val="0"/>
                <w:sz w:val="21"/>
                <w:szCs w:val="21"/>
              </w:rPr>
              <w:t>环境空气质量优良天数比率</w:t>
            </w:r>
          </w:p>
        </w:tc>
        <w:tc>
          <w:tcPr>
            <w:tcW w:w="226" w:type="pct"/>
            <w:vAlign w:val="center"/>
          </w:tcPr>
          <w:p w14:paraId="7FE56A8F">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1F35DB19">
            <w:pPr>
              <w:adjustRightInd w:val="0"/>
              <w:spacing w:line="240" w:lineRule="auto"/>
              <w:ind w:firstLine="0" w:firstLineChars="0"/>
              <w:jc w:val="center"/>
              <w:rPr>
                <w:rFonts w:cs="Times New Roman"/>
                <w:sz w:val="21"/>
                <w:szCs w:val="21"/>
              </w:rPr>
            </w:pPr>
            <w:r>
              <w:rPr>
                <w:rFonts w:cs="Times New Roman"/>
                <w:sz w:val="21"/>
                <w:szCs w:val="21"/>
              </w:rPr>
              <w:t>76.2（金坛区）</w:t>
            </w:r>
          </w:p>
        </w:tc>
        <w:tc>
          <w:tcPr>
            <w:tcW w:w="545" w:type="pct"/>
            <w:vAlign w:val="center"/>
          </w:tcPr>
          <w:p w14:paraId="70231E54">
            <w:pPr>
              <w:adjustRightInd w:val="0"/>
              <w:spacing w:line="240" w:lineRule="auto"/>
              <w:ind w:firstLine="0" w:firstLineChars="0"/>
              <w:jc w:val="center"/>
              <w:rPr>
                <w:rFonts w:cs="Times New Roman"/>
                <w:sz w:val="21"/>
                <w:szCs w:val="21"/>
              </w:rPr>
            </w:pPr>
            <w:r>
              <w:rPr>
                <w:rFonts w:cs="Times New Roman"/>
                <w:sz w:val="21"/>
                <w:szCs w:val="21"/>
              </w:rPr>
              <w:t>≥83.3</w:t>
            </w:r>
          </w:p>
        </w:tc>
        <w:tc>
          <w:tcPr>
            <w:tcW w:w="541" w:type="pct"/>
            <w:vAlign w:val="center"/>
          </w:tcPr>
          <w:p w14:paraId="0E4F6AF7">
            <w:pPr>
              <w:adjustRightInd w:val="0"/>
              <w:spacing w:line="240" w:lineRule="auto"/>
              <w:ind w:firstLine="0" w:firstLineChars="0"/>
              <w:jc w:val="center"/>
              <w:rPr>
                <w:rFonts w:cs="Times New Roman"/>
                <w:sz w:val="21"/>
                <w:szCs w:val="21"/>
              </w:rPr>
            </w:pPr>
            <w:r>
              <w:rPr>
                <w:rFonts w:cs="Times New Roman"/>
                <w:sz w:val="21"/>
                <w:szCs w:val="21"/>
              </w:rPr>
              <w:t>≥85.0</w:t>
            </w:r>
          </w:p>
        </w:tc>
        <w:tc>
          <w:tcPr>
            <w:tcW w:w="2069" w:type="pct"/>
            <w:vAlign w:val="center"/>
          </w:tcPr>
          <w:p w14:paraId="17C72F52">
            <w:pPr>
              <w:adjustRightInd w:val="0"/>
              <w:spacing w:line="240" w:lineRule="auto"/>
              <w:ind w:firstLine="0" w:firstLineChars="0"/>
              <w:rPr>
                <w:rFonts w:cs="Times New Roman"/>
                <w:sz w:val="21"/>
                <w:szCs w:val="21"/>
              </w:rPr>
            </w:pPr>
            <w:r>
              <w:rPr>
                <w:rFonts w:cs="Times New Roman"/>
                <w:sz w:val="21"/>
                <w:szCs w:val="21"/>
              </w:rPr>
              <w:t>根据大气环境质量分析章节，度假区内环境空气质量除臭氧外各项污染物浓度均达到二级标准。在结合区内工业企业停转迁进程，推进大气污染源头控制，做好工业企业停转过渡废气达标排放治理监管以及大力发展绿色交通，深入治理机动车尾气污染，加强城乡扬尘治理，强化油烟污染防治等措施前提下，度假区规划期环境空气质量优良天数比率目标可达。</w:t>
            </w:r>
          </w:p>
        </w:tc>
      </w:tr>
      <w:tr w14:paraId="55E15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continue"/>
            <w:vAlign w:val="center"/>
          </w:tcPr>
          <w:p w14:paraId="71B8FEEB">
            <w:pPr>
              <w:adjustRightInd w:val="0"/>
              <w:spacing w:line="240" w:lineRule="auto"/>
              <w:ind w:firstLine="0" w:firstLineChars="0"/>
              <w:jc w:val="center"/>
              <w:rPr>
                <w:rFonts w:cs="Times New Roman"/>
                <w:sz w:val="21"/>
                <w:szCs w:val="21"/>
              </w:rPr>
            </w:pPr>
          </w:p>
        </w:tc>
        <w:tc>
          <w:tcPr>
            <w:tcW w:w="157" w:type="pct"/>
            <w:vAlign w:val="center"/>
          </w:tcPr>
          <w:p w14:paraId="611866DE">
            <w:pPr>
              <w:numPr>
                <w:ilvl w:val="0"/>
                <w:numId w:val="22"/>
              </w:numPr>
              <w:adjustRightInd w:val="0"/>
              <w:spacing w:line="240" w:lineRule="auto"/>
              <w:ind w:firstLineChars="0"/>
              <w:jc w:val="center"/>
              <w:rPr>
                <w:rFonts w:cs="Times New Roman"/>
                <w:sz w:val="21"/>
                <w:szCs w:val="21"/>
              </w:rPr>
            </w:pPr>
          </w:p>
        </w:tc>
        <w:tc>
          <w:tcPr>
            <w:tcW w:w="640" w:type="pct"/>
            <w:vAlign w:val="center"/>
          </w:tcPr>
          <w:p w14:paraId="002F4944">
            <w:pPr>
              <w:adjustRightInd w:val="0"/>
              <w:spacing w:line="240" w:lineRule="auto"/>
              <w:ind w:firstLine="0" w:firstLineChars="0"/>
              <w:jc w:val="center"/>
              <w:rPr>
                <w:rFonts w:cs="Times New Roman"/>
                <w:kern w:val="0"/>
                <w:sz w:val="21"/>
                <w:szCs w:val="21"/>
              </w:rPr>
            </w:pPr>
            <w:r>
              <w:rPr>
                <w:rFonts w:cs="Times New Roman"/>
                <w:kern w:val="0"/>
                <w:sz w:val="21"/>
                <w:szCs w:val="21"/>
              </w:rPr>
              <w:t>细颗粒物（PM</w:t>
            </w:r>
            <w:r>
              <w:rPr>
                <w:rFonts w:cs="Times New Roman"/>
                <w:kern w:val="0"/>
                <w:sz w:val="21"/>
                <w:szCs w:val="21"/>
                <w:vertAlign w:val="subscript"/>
              </w:rPr>
              <w:t>2.5</w:t>
            </w:r>
            <w:r>
              <w:rPr>
                <w:rFonts w:cs="Times New Roman"/>
                <w:kern w:val="0"/>
                <w:sz w:val="21"/>
                <w:szCs w:val="21"/>
              </w:rPr>
              <w:t>）年均浓度</w:t>
            </w:r>
          </w:p>
        </w:tc>
        <w:tc>
          <w:tcPr>
            <w:tcW w:w="226" w:type="pct"/>
            <w:vAlign w:val="center"/>
          </w:tcPr>
          <w:p w14:paraId="311A576C">
            <w:pPr>
              <w:adjustRightInd w:val="0"/>
              <w:spacing w:line="240" w:lineRule="auto"/>
              <w:ind w:firstLine="0" w:firstLineChars="0"/>
              <w:jc w:val="center"/>
              <w:rPr>
                <w:rFonts w:cs="Times New Roman"/>
                <w:sz w:val="21"/>
                <w:szCs w:val="21"/>
              </w:rPr>
            </w:pPr>
            <w:r>
              <w:rPr>
                <w:rFonts w:cs="Times New Roman"/>
                <w:sz w:val="21"/>
              </w:rPr>
              <w:t>μg/m</w:t>
            </w:r>
            <w:r>
              <w:rPr>
                <w:rFonts w:cs="Times New Roman"/>
                <w:sz w:val="21"/>
                <w:vertAlign w:val="superscript"/>
              </w:rPr>
              <w:t>3</w:t>
            </w:r>
          </w:p>
        </w:tc>
        <w:tc>
          <w:tcPr>
            <w:tcW w:w="577" w:type="pct"/>
            <w:vAlign w:val="center"/>
          </w:tcPr>
          <w:p w14:paraId="5A989A08">
            <w:pPr>
              <w:adjustRightInd w:val="0"/>
              <w:spacing w:line="240" w:lineRule="auto"/>
              <w:ind w:firstLine="0" w:firstLineChars="0"/>
              <w:jc w:val="center"/>
              <w:rPr>
                <w:rFonts w:cs="Times New Roman"/>
                <w:sz w:val="21"/>
                <w:szCs w:val="21"/>
              </w:rPr>
            </w:pPr>
            <w:r>
              <w:rPr>
                <w:rFonts w:cs="Times New Roman"/>
                <w:sz w:val="21"/>
                <w:szCs w:val="21"/>
              </w:rPr>
              <w:t>32.7</w:t>
            </w:r>
          </w:p>
        </w:tc>
        <w:tc>
          <w:tcPr>
            <w:tcW w:w="545" w:type="pct"/>
            <w:vAlign w:val="center"/>
          </w:tcPr>
          <w:p w14:paraId="2B5A1E4B">
            <w:pPr>
              <w:adjustRightInd w:val="0"/>
              <w:spacing w:line="240" w:lineRule="auto"/>
              <w:ind w:firstLine="0" w:firstLineChars="0"/>
              <w:jc w:val="center"/>
              <w:rPr>
                <w:rFonts w:cs="Times New Roman"/>
                <w:sz w:val="21"/>
                <w:szCs w:val="21"/>
              </w:rPr>
            </w:pPr>
            <w:r>
              <w:rPr>
                <w:rFonts w:hint="eastAsia" w:cs="Times New Roman"/>
                <w:sz w:val="21"/>
                <w:szCs w:val="21"/>
              </w:rPr>
              <w:t>达到相应功能区标准</w:t>
            </w:r>
          </w:p>
        </w:tc>
        <w:tc>
          <w:tcPr>
            <w:tcW w:w="541" w:type="pct"/>
            <w:vAlign w:val="center"/>
          </w:tcPr>
          <w:p w14:paraId="3B48E09D">
            <w:pPr>
              <w:adjustRightInd w:val="0"/>
              <w:spacing w:line="240" w:lineRule="auto"/>
              <w:ind w:firstLine="0" w:firstLineChars="0"/>
              <w:jc w:val="center"/>
              <w:rPr>
                <w:rFonts w:cs="Times New Roman"/>
                <w:sz w:val="21"/>
                <w:szCs w:val="21"/>
              </w:rPr>
            </w:pPr>
            <w:r>
              <w:rPr>
                <w:rFonts w:hint="eastAsia" w:cs="Times New Roman"/>
                <w:sz w:val="21"/>
                <w:szCs w:val="21"/>
              </w:rPr>
              <w:t>达到相应功能区标准</w:t>
            </w:r>
          </w:p>
        </w:tc>
        <w:tc>
          <w:tcPr>
            <w:tcW w:w="2069" w:type="pct"/>
            <w:vAlign w:val="center"/>
          </w:tcPr>
          <w:p w14:paraId="75DDB7CE">
            <w:pPr>
              <w:adjustRightInd w:val="0"/>
              <w:spacing w:line="240" w:lineRule="auto"/>
              <w:ind w:firstLine="0" w:firstLineChars="0"/>
              <w:rPr>
                <w:rFonts w:cs="Times New Roman"/>
                <w:sz w:val="21"/>
                <w:szCs w:val="21"/>
              </w:rPr>
            </w:pPr>
            <w:r>
              <w:rPr>
                <w:rFonts w:cs="Times New Roman"/>
                <w:sz w:val="21"/>
                <w:szCs w:val="21"/>
              </w:rPr>
              <w:t>根据茅管会区控大气自动监测站点2023年监测数据，度假区PM</w:t>
            </w:r>
            <w:r>
              <w:rPr>
                <w:rFonts w:cs="Times New Roman"/>
                <w:sz w:val="21"/>
                <w:szCs w:val="21"/>
                <w:vertAlign w:val="subscript"/>
              </w:rPr>
              <w:t>2.5</w:t>
            </w:r>
            <w:r>
              <w:rPr>
                <w:rFonts w:cs="Times New Roman"/>
                <w:sz w:val="21"/>
                <w:szCs w:val="21"/>
              </w:rPr>
              <w:t>年均浓度32.7 μg/m</w:t>
            </w:r>
            <w:r>
              <w:rPr>
                <w:rFonts w:cs="Times New Roman"/>
                <w:sz w:val="21"/>
                <w:szCs w:val="21"/>
                <w:vertAlign w:val="superscript"/>
              </w:rPr>
              <w:t>3</w:t>
            </w:r>
            <w:r>
              <w:rPr>
                <w:rFonts w:cs="Times New Roman"/>
                <w:sz w:val="21"/>
                <w:szCs w:val="21"/>
              </w:rPr>
              <w:t>，在落实区内工业企业停转迁进程，推进大气污染源头控制，做好工业企业停转过渡废气达标排放治理监管以及大力发展绿色交通，深入治理机动车尾气污染，加强城乡扬尘治理，强化油烟污染防治等措施的前提下，</w:t>
            </w:r>
            <w:r>
              <w:rPr>
                <w:rFonts w:hint="eastAsia" w:cs="Times New Roman"/>
                <w:sz w:val="21"/>
                <w:szCs w:val="21"/>
              </w:rPr>
              <w:t>同时结合</w:t>
            </w:r>
            <w:r>
              <w:rPr>
                <w:rFonts w:cs="Times New Roman"/>
                <w:sz w:val="21"/>
                <w:szCs w:val="21"/>
              </w:rPr>
              <w:t>度假区</w:t>
            </w:r>
            <w:r>
              <w:rPr>
                <w:rFonts w:hint="eastAsia" w:cs="Times New Roman"/>
                <w:sz w:val="21"/>
                <w:szCs w:val="21"/>
              </w:rPr>
              <w:t>现有的自然生态环境治理提升，细颗粒物可以在规划期满足相应的功能区标准要求</w:t>
            </w:r>
            <w:r>
              <w:rPr>
                <w:rFonts w:cs="Times New Roman"/>
                <w:sz w:val="21"/>
                <w:szCs w:val="21"/>
              </w:rPr>
              <w:t>。</w:t>
            </w:r>
          </w:p>
        </w:tc>
      </w:tr>
      <w:tr w14:paraId="76058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continue"/>
            <w:vAlign w:val="center"/>
          </w:tcPr>
          <w:p w14:paraId="402E500E">
            <w:pPr>
              <w:adjustRightInd w:val="0"/>
              <w:spacing w:line="240" w:lineRule="auto"/>
              <w:ind w:firstLine="0" w:firstLineChars="0"/>
              <w:jc w:val="center"/>
              <w:rPr>
                <w:rFonts w:cs="Times New Roman"/>
                <w:sz w:val="21"/>
                <w:szCs w:val="21"/>
              </w:rPr>
            </w:pPr>
          </w:p>
        </w:tc>
        <w:tc>
          <w:tcPr>
            <w:tcW w:w="157" w:type="pct"/>
            <w:vAlign w:val="center"/>
          </w:tcPr>
          <w:p w14:paraId="4BC1F750">
            <w:pPr>
              <w:numPr>
                <w:ilvl w:val="0"/>
                <w:numId w:val="22"/>
              </w:numPr>
              <w:adjustRightInd w:val="0"/>
              <w:spacing w:line="240" w:lineRule="auto"/>
              <w:ind w:firstLineChars="0"/>
              <w:jc w:val="center"/>
              <w:rPr>
                <w:rFonts w:cs="Times New Roman"/>
                <w:sz w:val="21"/>
                <w:szCs w:val="21"/>
              </w:rPr>
            </w:pPr>
          </w:p>
        </w:tc>
        <w:tc>
          <w:tcPr>
            <w:tcW w:w="640" w:type="pct"/>
            <w:vAlign w:val="center"/>
          </w:tcPr>
          <w:p w14:paraId="6B3983D0">
            <w:pPr>
              <w:adjustRightInd w:val="0"/>
              <w:spacing w:line="240" w:lineRule="auto"/>
              <w:ind w:firstLine="0" w:firstLineChars="0"/>
              <w:jc w:val="center"/>
              <w:rPr>
                <w:rFonts w:cs="Times New Roman"/>
                <w:sz w:val="21"/>
                <w:szCs w:val="21"/>
              </w:rPr>
            </w:pPr>
            <w:r>
              <w:rPr>
                <w:rFonts w:cs="Times New Roman"/>
                <w:kern w:val="0"/>
                <w:sz w:val="21"/>
                <w:szCs w:val="21"/>
              </w:rPr>
              <w:t>地表水达到或优于III类水质的比例</w:t>
            </w:r>
          </w:p>
        </w:tc>
        <w:tc>
          <w:tcPr>
            <w:tcW w:w="226" w:type="pct"/>
            <w:vAlign w:val="center"/>
          </w:tcPr>
          <w:p w14:paraId="1882B4E8">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6962E2F3">
            <w:pPr>
              <w:adjustRightInd w:val="0"/>
              <w:spacing w:line="240" w:lineRule="auto"/>
              <w:ind w:firstLine="0" w:firstLineChars="0"/>
              <w:jc w:val="center"/>
              <w:rPr>
                <w:rFonts w:cs="Times New Roman"/>
                <w:sz w:val="21"/>
                <w:szCs w:val="21"/>
              </w:rPr>
            </w:pPr>
            <w:r>
              <w:rPr>
                <w:rFonts w:cs="Times New Roman"/>
                <w:sz w:val="21"/>
                <w:szCs w:val="21"/>
              </w:rPr>
              <w:t>100</w:t>
            </w:r>
          </w:p>
        </w:tc>
        <w:tc>
          <w:tcPr>
            <w:tcW w:w="545" w:type="pct"/>
            <w:vAlign w:val="center"/>
          </w:tcPr>
          <w:p w14:paraId="11A966BC">
            <w:pPr>
              <w:adjustRightInd w:val="0"/>
              <w:spacing w:line="240" w:lineRule="auto"/>
              <w:ind w:firstLine="0" w:firstLineChars="0"/>
              <w:jc w:val="center"/>
              <w:rPr>
                <w:rFonts w:cs="Times New Roman"/>
                <w:sz w:val="21"/>
                <w:szCs w:val="21"/>
              </w:rPr>
            </w:pPr>
            <w:r>
              <w:rPr>
                <w:rFonts w:cs="Times New Roman"/>
                <w:sz w:val="21"/>
                <w:szCs w:val="21"/>
              </w:rPr>
              <w:t>100</w:t>
            </w:r>
          </w:p>
        </w:tc>
        <w:tc>
          <w:tcPr>
            <w:tcW w:w="541" w:type="pct"/>
            <w:vAlign w:val="center"/>
          </w:tcPr>
          <w:p w14:paraId="2AD707B3">
            <w:pPr>
              <w:adjustRightInd w:val="0"/>
              <w:spacing w:line="240" w:lineRule="auto"/>
              <w:ind w:firstLine="0" w:firstLineChars="0"/>
              <w:jc w:val="center"/>
              <w:rPr>
                <w:rFonts w:cs="Times New Roman"/>
                <w:sz w:val="21"/>
                <w:szCs w:val="21"/>
              </w:rPr>
            </w:pPr>
            <w:r>
              <w:rPr>
                <w:rFonts w:cs="Times New Roman"/>
                <w:sz w:val="21"/>
                <w:szCs w:val="21"/>
              </w:rPr>
              <w:t>100</w:t>
            </w:r>
          </w:p>
        </w:tc>
        <w:tc>
          <w:tcPr>
            <w:tcW w:w="2069" w:type="pct"/>
            <w:vAlign w:val="center"/>
          </w:tcPr>
          <w:p w14:paraId="164F29DC">
            <w:pPr>
              <w:adjustRightInd w:val="0"/>
              <w:spacing w:line="240" w:lineRule="auto"/>
              <w:ind w:firstLine="0" w:firstLineChars="0"/>
              <w:jc w:val="left"/>
              <w:rPr>
                <w:rFonts w:cs="Times New Roman"/>
                <w:sz w:val="21"/>
                <w:szCs w:val="21"/>
              </w:rPr>
            </w:pPr>
            <w:r>
              <w:rPr>
                <w:rFonts w:cs="Times New Roman"/>
                <w:sz w:val="21"/>
                <w:szCs w:val="21"/>
              </w:rPr>
              <w:t>根据区内地表水考核断面监测数据和补充监测数据，度假区内地表水现状均可满足III类水质标准，在持续完善雨污分流排水体制、加强雨水收集净化、实施河道整治和村庄环境整治、推进农业面源污染治理等措施的前提下，度假区内地表水达到或优于Ⅲ类水质的比例100%指标可达。</w:t>
            </w:r>
          </w:p>
        </w:tc>
      </w:tr>
      <w:tr w14:paraId="45074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continue"/>
            <w:vAlign w:val="center"/>
          </w:tcPr>
          <w:p w14:paraId="4D78F6A0">
            <w:pPr>
              <w:adjustRightInd w:val="0"/>
              <w:spacing w:line="240" w:lineRule="auto"/>
              <w:ind w:firstLine="0" w:firstLineChars="0"/>
              <w:jc w:val="center"/>
              <w:rPr>
                <w:rFonts w:cs="Times New Roman"/>
                <w:sz w:val="21"/>
                <w:szCs w:val="21"/>
              </w:rPr>
            </w:pPr>
          </w:p>
        </w:tc>
        <w:tc>
          <w:tcPr>
            <w:tcW w:w="157" w:type="pct"/>
            <w:vAlign w:val="center"/>
          </w:tcPr>
          <w:p w14:paraId="349A2D2B">
            <w:pPr>
              <w:numPr>
                <w:ilvl w:val="0"/>
                <w:numId w:val="22"/>
              </w:numPr>
              <w:adjustRightInd w:val="0"/>
              <w:spacing w:line="240" w:lineRule="auto"/>
              <w:ind w:firstLineChars="0"/>
              <w:jc w:val="center"/>
              <w:rPr>
                <w:rFonts w:cs="Times New Roman"/>
                <w:sz w:val="21"/>
                <w:szCs w:val="21"/>
              </w:rPr>
            </w:pPr>
          </w:p>
        </w:tc>
        <w:tc>
          <w:tcPr>
            <w:tcW w:w="640" w:type="pct"/>
            <w:vAlign w:val="center"/>
          </w:tcPr>
          <w:p w14:paraId="19C3AAAF">
            <w:pPr>
              <w:adjustRightInd w:val="0"/>
              <w:spacing w:line="240" w:lineRule="auto"/>
              <w:ind w:firstLine="0" w:firstLineChars="0"/>
              <w:jc w:val="center"/>
              <w:rPr>
                <w:rFonts w:cs="Times New Roman"/>
                <w:sz w:val="21"/>
                <w:szCs w:val="21"/>
              </w:rPr>
            </w:pPr>
            <w:r>
              <w:rPr>
                <w:rFonts w:cs="Times New Roman"/>
                <w:sz w:val="21"/>
                <w:szCs w:val="21"/>
              </w:rPr>
              <w:t>声环境功能区达标率</w:t>
            </w:r>
          </w:p>
        </w:tc>
        <w:tc>
          <w:tcPr>
            <w:tcW w:w="226" w:type="pct"/>
            <w:vAlign w:val="center"/>
          </w:tcPr>
          <w:p w14:paraId="0277A9CF">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43BA2073">
            <w:pPr>
              <w:adjustRightInd w:val="0"/>
              <w:spacing w:line="240" w:lineRule="auto"/>
              <w:ind w:firstLine="0" w:firstLineChars="0"/>
              <w:jc w:val="center"/>
              <w:rPr>
                <w:rFonts w:cs="Times New Roman"/>
                <w:sz w:val="21"/>
                <w:szCs w:val="21"/>
              </w:rPr>
            </w:pPr>
            <w:r>
              <w:rPr>
                <w:rFonts w:cs="Times New Roman"/>
                <w:sz w:val="21"/>
                <w:szCs w:val="21"/>
              </w:rPr>
              <w:t>100</w:t>
            </w:r>
          </w:p>
        </w:tc>
        <w:tc>
          <w:tcPr>
            <w:tcW w:w="545" w:type="pct"/>
            <w:vAlign w:val="center"/>
          </w:tcPr>
          <w:p w14:paraId="567BA2BC">
            <w:pPr>
              <w:adjustRightInd w:val="0"/>
              <w:spacing w:line="240" w:lineRule="auto"/>
              <w:ind w:firstLine="0" w:firstLineChars="0"/>
              <w:jc w:val="center"/>
              <w:rPr>
                <w:rFonts w:cs="Times New Roman"/>
                <w:sz w:val="21"/>
                <w:szCs w:val="21"/>
              </w:rPr>
            </w:pPr>
            <w:r>
              <w:rPr>
                <w:rFonts w:cs="Times New Roman"/>
                <w:sz w:val="21"/>
                <w:szCs w:val="21"/>
              </w:rPr>
              <w:t>100</w:t>
            </w:r>
          </w:p>
        </w:tc>
        <w:tc>
          <w:tcPr>
            <w:tcW w:w="541" w:type="pct"/>
            <w:vAlign w:val="center"/>
          </w:tcPr>
          <w:p w14:paraId="601EF7A9">
            <w:pPr>
              <w:adjustRightInd w:val="0"/>
              <w:spacing w:line="240" w:lineRule="auto"/>
              <w:ind w:firstLine="0" w:firstLineChars="0"/>
              <w:jc w:val="center"/>
              <w:rPr>
                <w:rFonts w:cs="Times New Roman"/>
                <w:sz w:val="21"/>
                <w:szCs w:val="21"/>
              </w:rPr>
            </w:pPr>
            <w:r>
              <w:rPr>
                <w:rFonts w:cs="Times New Roman"/>
                <w:sz w:val="21"/>
                <w:szCs w:val="21"/>
              </w:rPr>
              <w:t>100</w:t>
            </w:r>
          </w:p>
        </w:tc>
        <w:tc>
          <w:tcPr>
            <w:tcW w:w="2069" w:type="pct"/>
            <w:vAlign w:val="center"/>
          </w:tcPr>
          <w:p w14:paraId="1F1007C8">
            <w:pPr>
              <w:adjustRightInd w:val="0"/>
              <w:spacing w:line="240" w:lineRule="auto"/>
              <w:ind w:firstLine="0" w:firstLineChars="0"/>
              <w:rPr>
                <w:rFonts w:cs="Times New Roman"/>
                <w:sz w:val="21"/>
                <w:szCs w:val="21"/>
              </w:rPr>
            </w:pPr>
            <w:r>
              <w:rPr>
                <w:rFonts w:cs="Times New Roman"/>
                <w:sz w:val="21"/>
                <w:szCs w:val="21"/>
              </w:rPr>
              <w:t>结合环境质量现状监测结果，度假区布设的各监测点噪声均达标</w:t>
            </w:r>
            <w:r>
              <w:rPr>
                <w:rFonts w:hint="eastAsia" w:cs="Times New Roman"/>
                <w:sz w:val="21"/>
                <w:szCs w:val="21"/>
              </w:rPr>
              <w:t>，在</w:t>
            </w:r>
            <w:r>
              <w:rPr>
                <w:rFonts w:cs="Times New Roman"/>
                <w:sz w:val="21"/>
                <w:szCs w:val="21"/>
              </w:rPr>
              <w:t>落实本报告书提出的各项声环境保护措施的前提下，度假区声功能区环境质量可全部达标。</w:t>
            </w:r>
          </w:p>
        </w:tc>
      </w:tr>
      <w:tr w14:paraId="7AFF2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continue"/>
            <w:vAlign w:val="center"/>
          </w:tcPr>
          <w:p w14:paraId="425653F4">
            <w:pPr>
              <w:adjustRightInd w:val="0"/>
              <w:spacing w:line="240" w:lineRule="auto"/>
              <w:ind w:firstLine="0" w:firstLineChars="0"/>
              <w:jc w:val="center"/>
              <w:rPr>
                <w:rFonts w:cs="Times New Roman"/>
                <w:sz w:val="21"/>
                <w:szCs w:val="21"/>
              </w:rPr>
            </w:pPr>
          </w:p>
        </w:tc>
        <w:tc>
          <w:tcPr>
            <w:tcW w:w="157" w:type="pct"/>
            <w:vAlign w:val="center"/>
          </w:tcPr>
          <w:p w14:paraId="04DF8A24">
            <w:pPr>
              <w:numPr>
                <w:ilvl w:val="0"/>
                <w:numId w:val="22"/>
              </w:numPr>
              <w:adjustRightInd w:val="0"/>
              <w:spacing w:line="240" w:lineRule="auto"/>
              <w:ind w:firstLineChars="0"/>
              <w:jc w:val="center"/>
              <w:rPr>
                <w:rFonts w:cs="Times New Roman"/>
                <w:sz w:val="21"/>
                <w:szCs w:val="21"/>
              </w:rPr>
            </w:pPr>
          </w:p>
        </w:tc>
        <w:tc>
          <w:tcPr>
            <w:tcW w:w="640" w:type="pct"/>
            <w:vAlign w:val="center"/>
          </w:tcPr>
          <w:p w14:paraId="0EC33A08">
            <w:pPr>
              <w:adjustRightInd w:val="0"/>
              <w:spacing w:line="240" w:lineRule="auto"/>
              <w:ind w:firstLine="0" w:firstLineChars="0"/>
              <w:jc w:val="center"/>
              <w:rPr>
                <w:rFonts w:cs="Times New Roman"/>
                <w:sz w:val="21"/>
                <w:szCs w:val="21"/>
              </w:rPr>
            </w:pPr>
            <w:r>
              <w:rPr>
                <w:rFonts w:cs="Times New Roman"/>
                <w:sz w:val="21"/>
                <w:szCs w:val="21"/>
              </w:rPr>
              <w:t>重点建设用地安全利用率</w:t>
            </w:r>
          </w:p>
        </w:tc>
        <w:tc>
          <w:tcPr>
            <w:tcW w:w="226" w:type="pct"/>
            <w:vAlign w:val="center"/>
          </w:tcPr>
          <w:p w14:paraId="72960C29">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015D7723">
            <w:pPr>
              <w:adjustRightInd w:val="0"/>
              <w:spacing w:line="240" w:lineRule="auto"/>
              <w:ind w:firstLine="0" w:firstLineChars="0"/>
              <w:jc w:val="center"/>
              <w:rPr>
                <w:rFonts w:cs="Times New Roman"/>
                <w:sz w:val="21"/>
                <w:szCs w:val="21"/>
              </w:rPr>
            </w:pPr>
            <w:r>
              <w:rPr>
                <w:rFonts w:cs="Times New Roman"/>
                <w:sz w:val="21"/>
                <w:szCs w:val="21"/>
              </w:rPr>
              <w:t>/</w:t>
            </w:r>
          </w:p>
        </w:tc>
        <w:tc>
          <w:tcPr>
            <w:tcW w:w="545" w:type="pct"/>
            <w:vAlign w:val="center"/>
          </w:tcPr>
          <w:p w14:paraId="79B01F1A">
            <w:pPr>
              <w:adjustRightInd w:val="0"/>
              <w:spacing w:line="240" w:lineRule="auto"/>
              <w:ind w:firstLine="0" w:firstLineChars="0"/>
              <w:jc w:val="center"/>
              <w:rPr>
                <w:rFonts w:cs="Times New Roman"/>
                <w:sz w:val="21"/>
                <w:szCs w:val="21"/>
              </w:rPr>
            </w:pPr>
            <w:r>
              <w:rPr>
                <w:rFonts w:cs="Times New Roman"/>
                <w:sz w:val="21"/>
                <w:szCs w:val="21"/>
              </w:rPr>
              <w:t>完成上级目标</w:t>
            </w:r>
          </w:p>
        </w:tc>
        <w:tc>
          <w:tcPr>
            <w:tcW w:w="541" w:type="pct"/>
            <w:vAlign w:val="center"/>
          </w:tcPr>
          <w:p w14:paraId="74A61AC9">
            <w:pPr>
              <w:adjustRightInd w:val="0"/>
              <w:spacing w:line="240" w:lineRule="auto"/>
              <w:ind w:firstLine="0" w:firstLineChars="0"/>
              <w:jc w:val="center"/>
              <w:rPr>
                <w:rFonts w:cs="Times New Roman"/>
                <w:sz w:val="21"/>
                <w:szCs w:val="21"/>
              </w:rPr>
            </w:pPr>
            <w:r>
              <w:rPr>
                <w:rFonts w:cs="Times New Roman"/>
                <w:sz w:val="21"/>
                <w:szCs w:val="21"/>
              </w:rPr>
              <w:t>完成上级目标</w:t>
            </w:r>
          </w:p>
        </w:tc>
        <w:tc>
          <w:tcPr>
            <w:tcW w:w="2069" w:type="pct"/>
            <w:vAlign w:val="center"/>
          </w:tcPr>
          <w:p w14:paraId="235E7D71">
            <w:pPr>
              <w:adjustRightInd w:val="0"/>
              <w:spacing w:line="240" w:lineRule="auto"/>
              <w:ind w:firstLine="0" w:firstLineChars="0"/>
              <w:rPr>
                <w:rFonts w:cs="Times New Roman"/>
                <w:sz w:val="21"/>
                <w:szCs w:val="21"/>
              </w:rPr>
            </w:pPr>
            <w:r>
              <w:rPr>
                <w:rFonts w:cs="Times New Roman"/>
                <w:sz w:val="21"/>
                <w:szCs w:val="21"/>
              </w:rPr>
              <w:t>度假区严格落实土壤污染源头防控措施，企业搬迁遗留场地按要求开展场地环境调查和风险评估工作，该指标可</w:t>
            </w:r>
            <w:r>
              <w:rPr>
                <w:rFonts w:hint="eastAsia" w:cs="Times New Roman"/>
                <w:sz w:val="21"/>
                <w:szCs w:val="21"/>
              </w:rPr>
              <w:t>达到</w:t>
            </w:r>
            <w:r>
              <w:rPr>
                <w:rFonts w:cs="Times New Roman"/>
                <w:sz w:val="21"/>
                <w:szCs w:val="21"/>
              </w:rPr>
              <w:t>上级目标要求。</w:t>
            </w:r>
          </w:p>
        </w:tc>
      </w:tr>
      <w:tr w14:paraId="68255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restart"/>
            <w:vAlign w:val="center"/>
          </w:tcPr>
          <w:p w14:paraId="2A38545D">
            <w:pPr>
              <w:adjustRightInd w:val="0"/>
              <w:spacing w:line="240" w:lineRule="auto"/>
              <w:ind w:firstLine="0" w:firstLineChars="0"/>
              <w:jc w:val="center"/>
              <w:rPr>
                <w:rFonts w:cs="Times New Roman"/>
                <w:sz w:val="21"/>
                <w:szCs w:val="21"/>
              </w:rPr>
            </w:pPr>
            <w:r>
              <w:rPr>
                <w:rFonts w:cs="Times New Roman"/>
                <w:sz w:val="21"/>
                <w:szCs w:val="21"/>
              </w:rPr>
              <w:t>污染集中治理</w:t>
            </w:r>
          </w:p>
        </w:tc>
        <w:tc>
          <w:tcPr>
            <w:tcW w:w="157" w:type="pct"/>
            <w:vAlign w:val="center"/>
          </w:tcPr>
          <w:p w14:paraId="4E094E39">
            <w:pPr>
              <w:numPr>
                <w:ilvl w:val="0"/>
                <w:numId w:val="22"/>
              </w:numPr>
              <w:adjustRightInd w:val="0"/>
              <w:spacing w:line="240" w:lineRule="auto"/>
              <w:ind w:firstLineChars="0"/>
              <w:jc w:val="center"/>
              <w:rPr>
                <w:rFonts w:cs="Times New Roman"/>
                <w:sz w:val="21"/>
                <w:szCs w:val="21"/>
              </w:rPr>
            </w:pPr>
          </w:p>
        </w:tc>
        <w:tc>
          <w:tcPr>
            <w:tcW w:w="640" w:type="pct"/>
            <w:vAlign w:val="center"/>
          </w:tcPr>
          <w:p w14:paraId="560AC3C3">
            <w:pPr>
              <w:adjustRightInd w:val="0"/>
              <w:spacing w:line="240" w:lineRule="auto"/>
              <w:ind w:firstLine="0" w:firstLineChars="0"/>
              <w:jc w:val="center"/>
              <w:rPr>
                <w:rFonts w:cs="Times New Roman"/>
                <w:sz w:val="21"/>
                <w:szCs w:val="21"/>
              </w:rPr>
            </w:pPr>
            <w:r>
              <w:rPr>
                <w:rFonts w:cs="Times New Roman"/>
                <w:sz w:val="21"/>
                <w:szCs w:val="21"/>
              </w:rPr>
              <w:t>农村生活污水治理率</w:t>
            </w:r>
            <w:r>
              <w:rPr>
                <w:rFonts w:hint="eastAsia" w:cs="Times New Roman"/>
                <w:sz w:val="21"/>
                <w:szCs w:val="21"/>
              </w:rPr>
              <w:t>（农户治理覆盖率）</w:t>
            </w:r>
          </w:p>
        </w:tc>
        <w:tc>
          <w:tcPr>
            <w:tcW w:w="226" w:type="pct"/>
            <w:vAlign w:val="center"/>
          </w:tcPr>
          <w:p w14:paraId="7604EE9F">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36434159">
            <w:pPr>
              <w:adjustRightInd w:val="0"/>
              <w:spacing w:line="240" w:lineRule="auto"/>
              <w:ind w:firstLine="0" w:firstLineChars="0"/>
              <w:jc w:val="center"/>
              <w:rPr>
                <w:rFonts w:cs="Times New Roman"/>
                <w:sz w:val="21"/>
                <w:szCs w:val="21"/>
              </w:rPr>
            </w:pPr>
            <w:r>
              <w:rPr>
                <w:rFonts w:cs="Times New Roman"/>
                <w:sz w:val="21"/>
                <w:szCs w:val="21"/>
              </w:rPr>
              <w:t>91</w:t>
            </w:r>
            <w:r>
              <w:rPr>
                <w:rFonts w:hint="eastAsia" w:cs="Times New Roman"/>
                <w:sz w:val="21"/>
                <w:szCs w:val="21"/>
              </w:rPr>
              <w:t>*</w:t>
            </w:r>
          </w:p>
        </w:tc>
        <w:tc>
          <w:tcPr>
            <w:tcW w:w="545" w:type="pct"/>
            <w:vAlign w:val="center"/>
          </w:tcPr>
          <w:p w14:paraId="4D2EC946">
            <w:pPr>
              <w:adjustRightInd w:val="0"/>
              <w:spacing w:line="240" w:lineRule="auto"/>
              <w:ind w:firstLine="0" w:firstLineChars="0"/>
              <w:jc w:val="center"/>
              <w:rPr>
                <w:rFonts w:cs="Times New Roman"/>
                <w:sz w:val="21"/>
                <w:szCs w:val="21"/>
              </w:rPr>
            </w:pPr>
            <w:r>
              <w:rPr>
                <w:rFonts w:cs="Times New Roman"/>
                <w:sz w:val="21"/>
                <w:szCs w:val="21"/>
              </w:rPr>
              <w:t>95</w:t>
            </w:r>
          </w:p>
        </w:tc>
        <w:tc>
          <w:tcPr>
            <w:tcW w:w="541" w:type="pct"/>
            <w:vAlign w:val="center"/>
          </w:tcPr>
          <w:p w14:paraId="16EC6962">
            <w:pPr>
              <w:adjustRightInd w:val="0"/>
              <w:spacing w:line="240" w:lineRule="auto"/>
              <w:ind w:firstLine="0" w:firstLineChars="0"/>
              <w:jc w:val="center"/>
              <w:rPr>
                <w:rFonts w:cs="Times New Roman"/>
                <w:sz w:val="21"/>
                <w:szCs w:val="21"/>
              </w:rPr>
            </w:pPr>
            <w:r>
              <w:rPr>
                <w:rFonts w:cs="Times New Roman"/>
                <w:sz w:val="21"/>
                <w:szCs w:val="21"/>
              </w:rPr>
              <w:t>100</w:t>
            </w:r>
          </w:p>
        </w:tc>
        <w:tc>
          <w:tcPr>
            <w:tcW w:w="2069" w:type="pct"/>
            <w:vAlign w:val="center"/>
          </w:tcPr>
          <w:p w14:paraId="06939E1C">
            <w:pPr>
              <w:adjustRightInd w:val="0"/>
              <w:spacing w:line="240" w:lineRule="auto"/>
              <w:ind w:firstLine="0" w:firstLineChars="0"/>
              <w:rPr>
                <w:rFonts w:cs="Times New Roman"/>
                <w:sz w:val="21"/>
                <w:szCs w:val="21"/>
              </w:rPr>
            </w:pPr>
            <w:r>
              <w:rPr>
                <w:rFonts w:cs="Times New Roman"/>
                <w:sz w:val="21"/>
                <w:szCs w:val="21"/>
              </w:rPr>
              <w:t>度假区核心区内产生的生活污水均接管至茅东污水处理厂，污水量较小、相对分散的，采用小型污水处理设施分散处理，</w:t>
            </w:r>
            <w:r>
              <w:rPr>
                <w:rFonts w:hint="eastAsia" w:cs="Times New Roman"/>
                <w:sz w:val="21"/>
                <w:szCs w:val="21"/>
              </w:rPr>
              <w:t>规划区域现状自然村农村生活污水治理率已达100%，规划末期</w:t>
            </w:r>
            <w:r>
              <w:rPr>
                <w:rFonts w:cs="Times New Roman"/>
                <w:sz w:val="21"/>
                <w:szCs w:val="21"/>
              </w:rPr>
              <w:t>随着全市农村生活污水治理工作的</w:t>
            </w:r>
            <w:r>
              <w:rPr>
                <w:rFonts w:hint="eastAsia" w:cs="Times New Roman"/>
                <w:sz w:val="21"/>
                <w:szCs w:val="21"/>
              </w:rPr>
              <w:t>进一步</w:t>
            </w:r>
            <w:r>
              <w:rPr>
                <w:rFonts w:cs="Times New Roman"/>
                <w:sz w:val="21"/>
                <w:szCs w:val="21"/>
              </w:rPr>
              <w:t>推进，规划远期农户治理覆盖率可达100%。</w:t>
            </w:r>
          </w:p>
        </w:tc>
      </w:tr>
      <w:tr w14:paraId="5CF9E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continue"/>
            <w:vAlign w:val="center"/>
          </w:tcPr>
          <w:p w14:paraId="7AEAC46E">
            <w:pPr>
              <w:adjustRightInd w:val="0"/>
              <w:spacing w:line="240" w:lineRule="auto"/>
              <w:ind w:firstLine="0" w:firstLineChars="0"/>
              <w:jc w:val="center"/>
              <w:rPr>
                <w:rFonts w:cs="Times New Roman"/>
                <w:sz w:val="21"/>
                <w:szCs w:val="21"/>
              </w:rPr>
            </w:pPr>
          </w:p>
        </w:tc>
        <w:tc>
          <w:tcPr>
            <w:tcW w:w="157" w:type="pct"/>
            <w:vAlign w:val="center"/>
          </w:tcPr>
          <w:p w14:paraId="1B7E9F9B">
            <w:pPr>
              <w:numPr>
                <w:ilvl w:val="0"/>
                <w:numId w:val="22"/>
              </w:numPr>
              <w:adjustRightInd w:val="0"/>
              <w:spacing w:line="240" w:lineRule="auto"/>
              <w:ind w:firstLineChars="0"/>
              <w:jc w:val="center"/>
              <w:rPr>
                <w:rFonts w:cs="Times New Roman"/>
                <w:sz w:val="21"/>
                <w:szCs w:val="21"/>
              </w:rPr>
            </w:pPr>
          </w:p>
        </w:tc>
        <w:tc>
          <w:tcPr>
            <w:tcW w:w="640" w:type="pct"/>
            <w:vAlign w:val="center"/>
          </w:tcPr>
          <w:p w14:paraId="63BDC9A9">
            <w:pPr>
              <w:adjustRightInd w:val="0"/>
              <w:spacing w:line="240" w:lineRule="auto"/>
              <w:ind w:firstLine="0" w:firstLineChars="0"/>
              <w:jc w:val="center"/>
              <w:rPr>
                <w:rFonts w:cs="Times New Roman"/>
                <w:sz w:val="21"/>
                <w:szCs w:val="21"/>
              </w:rPr>
            </w:pPr>
            <w:r>
              <w:rPr>
                <w:rFonts w:cs="Times New Roman"/>
                <w:sz w:val="21"/>
                <w:szCs w:val="21"/>
              </w:rPr>
              <w:t>生活垃圾分类集中收集率</w:t>
            </w:r>
          </w:p>
        </w:tc>
        <w:tc>
          <w:tcPr>
            <w:tcW w:w="226" w:type="pct"/>
            <w:vAlign w:val="center"/>
          </w:tcPr>
          <w:p w14:paraId="02EE35C2">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07911365">
            <w:pPr>
              <w:adjustRightInd w:val="0"/>
              <w:spacing w:line="240" w:lineRule="auto"/>
              <w:ind w:firstLine="0" w:firstLineChars="0"/>
              <w:jc w:val="center"/>
              <w:rPr>
                <w:rFonts w:cs="Times New Roman"/>
                <w:sz w:val="21"/>
                <w:szCs w:val="21"/>
              </w:rPr>
            </w:pPr>
            <w:r>
              <w:rPr>
                <w:rFonts w:cs="Times New Roman"/>
                <w:sz w:val="21"/>
                <w:szCs w:val="21"/>
              </w:rPr>
              <w:t>/</w:t>
            </w:r>
          </w:p>
        </w:tc>
        <w:tc>
          <w:tcPr>
            <w:tcW w:w="545" w:type="pct"/>
            <w:vAlign w:val="center"/>
          </w:tcPr>
          <w:p w14:paraId="63A1BAD8">
            <w:pPr>
              <w:adjustRightInd w:val="0"/>
              <w:spacing w:line="240" w:lineRule="auto"/>
              <w:ind w:firstLine="0" w:firstLineChars="0"/>
              <w:jc w:val="center"/>
              <w:rPr>
                <w:rFonts w:cs="Times New Roman"/>
                <w:sz w:val="21"/>
                <w:szCs w:val="21"/>
              </w:rPr>
            </w:pPr>
            <w:r>
              <w:rPr>
                <w:rFonts w:cs="Times New Roman"/>
                <w:sz w:val="21"/>
                <w:szCs w:val="21"/>
              </w:rPr>
              <w:t>100</w:t>
            </w:r>
          </w:p>
        </w:tc>
        <w:tc>
          <w:tcPr>
            <w:tcW w:w="541" w:type="pct"/>
            <w:vAlign w:val="center"/>
          </w:tcPr>
          <w:p w14:paraId="4E89E74C">
            <w:pPr>
              <w:adjustRightInd w:val="0"/>
              <w:spacing w:line="240" w:lineRule="auto"/>
              <w:ind w:firstLine="0" w:firstLineChars="0"/>
              <w:jc w:val="center"/>
              <w:rPr>
                <w:rFonts w:cs="Times New Roman"/>
                <w:sz w:val="21"/>
                <w:szCs w:val="21"/>
              </w:rPr>
            </w:pPr>
            <w:r>
              <w:rPr>
                <w:rFonts w:cs="Times New Roman"/>
                <w:sz w:val="21"/>
                <w:szCs w:val="21"/>
              </w:rPr>
              <w:t>100</w:t>
            </w:r>
          </w:p>
        </w:tc>
        <w:tc>
          <w:tcPr>
            <w:tcW w:w="2069" w:type="pct"/>
            <w:vAlign w:val="center"/>
          </w:tcPr>
          <w:p w14:paraId="1B7B1C50">
            <w:pPr>
              <w:adjustRightInd w:val="0"/>
              <w:spacing w:line="240" w:lineRule="auto"/>
              <w:ind w:firstLine="0" w:firstLineChars="0"/>
              <w:rPr>
                <w:rFonts w:cs="Times New Roman"/>
                <w:sz w:val="21"/>
                <w:szCs w:val="21"/>
              </w:rPr>
            </w:pPr>
            <w:r>
              <w:rPr>
                <w:rFonts w:cs="Times New Roman"/>
                <w:sz w:val="21"/>
                <w:szCs w:val="21"/>
              </w:rPr>
              <w:t>度假区大力推广生活垃圾分类，设置生活垃圾分类集中点，规划期内生活垃圾分类处理率可达100%。</w:t>
            </w:r>
          </w:p>
        </w:tc>
      </w:tr>
      <w:tr w14:paraId="77C0E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continue"/>
            <w:vAlign w:val="center"/>
          </w:tcPr>
          <w:p w14:paraId="7AA233E0">
            <w:pPr>
              <w:adjustRightInd w:val="0"/>
              <w:spacing w:line="240" w:lineRule="auto"/>
              <w:ind w:firstLine="0" w:firstLineChars="0"/>
              <w:jc w:val="center"/>
              <w:rPr>
                <w:rFonts w:cs="Times New Roman"/>
                <w:sz w:val="21"/>
                <w:szCs w:val="21"/>
              </w:rPr>
            </w:pPr>
          </w:p>
        </w:tc>
        <w:tc>
          <w:tcPr>
            <w:tcW w:w="157" w:type="pct"/>
            <w:vAlign w:val="center"/>
          </w:tcPr>
          <w:p w14:paraId="3BAD1D00">
            <w:pPr>
              <w:numPr>
                <w:ilvl w:val="0"/>
                <w:numId w:val="22"/>
              </w:numPr>
              <w:adjustRightInd w:val="0"/>
              <w:spacing w:line="240" w:lineRule="auto"/>
              <w:ind w:firstLineChars="0"/>
              <w:jc w:val="center"/>
              <w:rPr>
                <w:rFonts w:cs="Times New Roman"/>
                <w:sz w:val="21"/>
                <w:szCs w:val="21"/>
              </w:rPr>
            </w:pPr>
          </w:p>
        </w:tc>
        <w:tc>
          <w:tcPr>
            <w:tcW w:w="640" w:type="pct"/>
            <w:vAlign w:val="center"/>
          </w:tcPr>
          <w:p w14:paraId="7B3E4FF4">
            <w:pPr>
              <w:adjustRightInd w:val="0"/>
              <w:spacing w:line="240" w:lineRule="auto"/>
              <w:ind w:firstLine="0" w:firstLineChars="0"/>
              <w:jc w:val="center"/>
              <w:rPr>
                <w:rFonts w:cs="Times New Roman"/>
                <w:sz w:val="21"/>
                <w:szCs w:val="21"/>
              </w:rPr>
            </w:pPr>
            <w:r>
              <w:rPr>
                <w:rFonts w:cs="Times New Roman"/>
                <w:sz w:val="21"/>
                <w:szCs w:val="21"/>
              </w:rPr>
              <w:t>农药包装废弃物无害化处理率</w:t>
            </w:r>
          </w:p>
        </w:tc>
        <w:tc>
          <w:tcPr>
            <w:tcW w:w="226" w:type="pct"/>
            <w:vAlign w:val="center"/>
          </w:tcPr>
          <w:p w14:paraId="208E445F">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0CE1A663">
            <w:pPr>
              <w:adjustRightInd w:val="0"/>
              <w:spacing w:line="240" w:lineRule="auto"/>
              <w:ind w:firstLine="0" w:firstLineChars="0"/>
              <w:jc w:val="center"/>
              <w:rPr>
                <w:rFonts w:cs="Times New Roman"/>
                <w:sz w:val="21"/>
                <w:szCs w:val="21"/>
              </w:rPr>
            </w:pPr>
            <w:r>
              <w:rPr>
                <w:rFonts w:cs="Times New Roman"/>
                <w:sz w:val="21"/>
                <w:szCs w:val="21"/>
              </w:rPr>
              <w:t>100</w:t>
            </w:r>
          </w:p>
        </w:tc>
        <w:tc>
          <w:tcPr>
            <w:tcW w:w="545" w:type="pct"/>
            <w:vAlign w:val="center"/>
          </w:tcPr>
          <w:p w14:paraId="47B8EE72">
            <w:pPr>
              <w:adjustRightInd w:val="0"/>
              <w:spacing w:line="240" w:lineRule="auto"/>
              <w:ind w:firstLine="0" w:firstLineChars="0"/>
              <w:jc w:val="center"/>
              <w:rPr>
                <w:rFonts w:cs="Times New Roman"/>
                <w:sz w:val="21"/>
                <w:szCs w:val="21"/>
              </w:rPr>
            </w:pPr>
            <w:r>
              <w:rPr>
                <w:rFonts w:cs="Times New Roman"/>
                <w:sz w:val="21"/>
                <w:szCs w:val="21"/>
              </w:rPr>
              <w:t>100</w:t>
            </w:r>
          </w:p>
        </w:tc>
        <w:tc>
          <w:tcPr>
            <w:tcW w:w="541" w:type="pct"/>
            <w:vAlign w:val="center"/>
          </w:tcPr>
          <w:p w14:paraId="1CA05406">
            <w:pPr>
              <w:adjustRightInd w:val="0"/>
              <w:spacing w:line="240" w:lineRule="auto"/>
              <w:ind w:firstLine="0" w:firstLineChars="0"/>
              <w:jc w:val="center"/>
              <w:rPr>
                <w:rFonts w:cs="Times New Roman"/>
                <w:sz w:val="21"/>
                <w:szCs w:val="21"/>
              </w:rPr>
            </w:pPr>
            <w:r>
              <w:rPr>
                <w:rFonts w:cs="Times New Roman"/>
                <w:sz w:val="21"/>
                <w:szCs w:val="21"/>
              </w:rPr>
              <w:t>100</w:t>
            </w:r>
          </w:p>
        </w:tc>
        <w:tc>
          <w:tcPr>
            <w:tcW w:w="2069" w:type="pct"/>
            <w:vAlign w:val="center"/>
          </w:tcPr>
          <w:p w14:paraId="4DC41E08">
            <w:pPr>
              <w:adjustRightInd w:val="0"/>
              <w:spacing w:line="240" w:lineRule="auto"/>
              <w:ind w:firstLine="0" w:firstLineChars="0"/>
              <w:rPr>
                <w:rFonts w:cs="Times New Roman"/>
                <w:sz w:val="21"/>
                <w:szCs w:val="21"/>
              </w:rPr>
            </w:pPr>
            <w:r>
              <w:rPr>
                <w:rFonts w:cs="Times New Roman"/>
                <w:sz w:val="21"/>
                <w:szCs w:val="21"/>
              </w:rPr>
              <w:t>度假区强化对农药包装等废弃物无害化处理，农药包装废弃物经分类收集后，委托有资质的处理处置单位进行无害化处理，度假区农药包装废弃物无害化处理率100%可达。</w:t>
            </w:r>
          </w:p>
        </w:tc>
      </w:tr>
      <w:tr w14:paraId="12D3B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restart"/>
            <w:vAlign w:val="center"/>
          </w:tcPr>
          <w:p w14:paraId="3E6CEF3C">
            <w:pPr>
              <w:adjustRightInd w:val="0"/>
              <w:spacing w:line="240" w:lineRule="auto"/>
              <w:ind w:firstLine="0" w:firstLineChars="0"/>
              <w:jc w:val="center"/>
              <w:rPr>
                <w:rFonts w:cs="Times New Roman"/>
                <w:sz w:val="21"/>
                <w:szCs w:val="21"/>
              </w:rPr>
            </w:pPr>
            <w:r>
              <w:rPr>
                <w:rFonts w:cs="Times New Roman"/>
                <w:sz w:val="21"/>
                <w:szCs w:val="21"/>
              </w:rPr>
              <w:t>生态保护</w:t>
            </w:r>
          </w:p>
        </w:tc>
        <w:tc>
          <w:tcPr>
            <w:tcW w:w="157" w:type="pct"/>
            <w:vAlign w:val="center"/>
          </w:tcPr>
          <w:p w14:paraId="7422A10B">
            <w:pPr>
              <w:numPr>
                <w:ilvl w:val="0"/>
                <w:numId w:val="22"/>
              </w:numPr>
              <w:adjustRightInd w:val="0"/>
              <w:spacing w:line="240" w:lineRule="auto"/>
              <w:ind w:firstLineChars="0"/>
              <w:jc w:val="center"/>
              <w:rPr>
                <w:rFonts w:cs="Times New Roman"/>
                <w:sz w:val="21"/>
                <w:szCs w:val="21"/>
              </w:rPr>
            </w:pPr>
          </w:p>
        </w:tc>
        <w:tc>
          <w:tcPr>
            <w:tcW w:w="640" w:type="pct"/>
            <w:vAlign w:val="center"/>
          </w:tcPr>
          <w:p w14:paraId="6F891170">
            <w:pPr>
              <w:adjustRightInd w:val="0"/>
              <w:spacing w:line="240" w:lineRule="auto"/>
              <w:ind w:firstLine="0" w:firstLineChars="0"/>
              <w:jc w:val="center"/>
              <w:rPr>
                <w:rFonts w:cs="Times New Roman"/>
                <w:sz w:val="21"/>
                <w:szCs w:val="21"/>
              </w:rPr>
            </w:pPr>
            <w:r>
              <w:rPr>
                <w:rFonts w:cs="Times New Roman"/>
                <w:sz w:val="21"/>
                <w:szCs w:val="21"/>
              </w:rPr>
              <w:t>国家级生态保护红线占陆域国土面积比例</w:t>
            </w:r>
          </w:p>
        </w:tc>
        <w:tc>
          <w:tcPr>
            <w:tcW w:w="226" w:type="pct"/>
            <w:vAlign w:val="center"/>
          </w:tcPr>
          <w:p w14:paraId="786EEBFF">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52608EA5">
            <w:pPr>
              <w:spacing w:line="240" w:lineRule="auto"/>
              <w:ind w:firstLine="0" w:firstLineChars="0"/>
              <w:jc w:val="center"/>
              <w:rPr>
                <w:rFonts w:cs="Times New Roman"/>
                <w:sz w:val="21"/>
                <w:szCs w:val="21"/>
              </w:rPr>
            </w:pPr>
            <w:r>
              <w:rPr>
                <w:rFonts w:cs="Times New Roman"/>
                <w:sz w:val="21"/>
                <w:szCs w:val="21"/>
              </w:rPr>
              <w:t>14.59</w:t>
            </w:r>
          </w:p>
        </w:tc>
        <w:tc>
          <w:tcPr>
            <w:tcW w:w="545" w:type="pct"/>
            <w:vAlign w:val="center"/>
          </w:tcPr>
          <w:p w14:paraId="5D4D3744">
            <w:pPr>
              <w:adjustRightInd w:val="0"/>
              <w:spacing w:line="240" w:lineRule="auto"/>
              <w:ind w:firstLine="0" w:firstLineChars="0"/>
              <w:jc w:val="center"/>
              <w:rPr>
                <w:rFonts w:cs="Times New Roman"/>
                <w:sz w:val="21"/>
                <w:szCs w:val="21"/>
              </w:rPr>
            </w:pPr>
            <w:r>
              <w:rPr>
                <w:rFonts w:cs="Times New Roman"/>
                <w:sz w:val="21"/>
                <w:szCs w:val="21"/>
              </w:rPr>
              <w:t>不降低</w:t>
            </w:r>
          </w:p>
        </w:tc>
        <w:tc>
          <w:tcPr>
            <w:tcW w:w="541" w:type="pct"/>
            <w:vAlign w:val="center"/>
          </w:tcPr>
          <w:p w14:paraId="764E180C">
            <w:pPr>
              <w:adjustRightInd w:val="0"/>
              <w:spacing w:line="240" w:lineRule="auto"/>
              <w:ind w:firstLine="0" w:firstLineChars="0"/>
              <w:jc w:val="center"/>
              <w:rPr>
                <w:rFonts w:cs="Times New Roman"/>
                <w:sz w:val="21"/>
                <w:szCs w:val="21"/>
              </w:rPr>
            </w:pPr>
            <w:r>
              <w:rPr>
                <w:rFonts w:cs="Times New Roman"/>
                <w:sz w:val="21"/>
                <w:szCs w:val="21"/>
              </w:rPr>
              <w:t>不降低</w:t>
            </w:r>
          </w:p>
        </w:tc>
        <w:tc>
          <w:tcPr>
            <w:tcW w:w="2069" w:type="pct"/>
            <w:vAlign w:val="center"/>
          </w:tcPr>
          <w:p w14:paraId="2CFD773A">
            <w:pPr>
              <w:adjustRightInd w:val="0"/>
              <w:spacing w:line="240" w:lineRule="auto"/>
              <w:ind w:firstLine="0" w:firstLineChars="0"/>
              <w:rPr>
                <w:rFonts w:cs="Times New Roman"/>
                <w:sz w:val="21"/>
                <w:szCs w:val="21"/>
              </w:rPr>
            </w:pPr>
            <w:r>
              <w:rPr>
                <w:rFonts w:cs="Times New Roman"/>
                <w:sz w:val="21"/>
                <w:szCs w:val="21"/>
              </w:rPr>
              <w:t>在严格落实生态保护红线管控</w:t>
            </w:r>
            <w:r>
              <w:rPr>
                <w:rFonts w:hint="eastAsia" w:cs="Times New Roman"/>
                <w:sz w:val="21"/>
                <w:szCs w:val="21"/>
              </w:rPr>
              <w:t>、监督管理和调整的相关</w:t>
            </w:r>
            <w:r>
              <w:rPr>
                <w:rFonts w:cs="Times New Roman"/>
                <w:sz w:val="21"/>
                <w:szCs w:val="21"/>
              </w:rPr>
              <w:t>要求前提下，该指标可达。</w:t>
            </w:r>
          </w:p>
        </w:tc>
      </w:tr>
      <w:tr w14:paraId="0DE7C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continue"/>
            <w:vAlign w:val="center"/>
          </w:tcPr>
          <w:p w14:paraId="5E3D3144">
            <w:pPr>
              <w:adjustRightInd w:val="0"/>
              <w:spacing w:line="240" w:lineRule="auto"/>
              <w:ind w:firstLine="0" w:firstLineChars="0"/>
              <w:jc w:val="center"/>
              <w:rPr>
                <w:rFonts w:cs="Times New Roman"/>
                <w:sz w:val="21"/>
                <w:szCs w:val="21"/>
              </w:rPr>
            </w:pPr>
          </w:p>
        </w:tc>
        <w:tc>
          <w:tcPr>
            <w:tcW w:w="157" w:type="pct"/>
            <w:vAlign w:val="center"/>
          </w:tcPr>
          <w:p w14:paraId="6C97F835">
            <w:pPr>
              <w:numPr>
                <w:ilvl w:val="0"/>
                <w:numId w:val="22"/>
              </w:numPr>
              <w:adjustRightInd w:val="0"/>
              <w:spacing w:line="240" w:lineRule="auto"/>
              <w:ind w:firstLineChars="0"/>
              <w:jc w:val="center"/>
              <w:rPr>
                <w:rFonts w:cs="Times New Roman"/>
                <w:sz w:val="21"/>
                <w:szCs w:val="21"/>
              </w:rPr>
            </w:pPr>
          </w:p>
        </w:tc>
        <w:tc>
          <w:tcPr>
            <w:tcW w:w="640" w:type="pct"/>
            <w:vAlign w:val="center"/>
          </w:tcPr>
          <w:p w14:paraId="1D1A08C9">
            <w:pPr>
              <w:adjustRightInd w:val="0"/>
              <w:spacing w:line="240" w:lineRule="auto"/>
              <w:ind w:firstLine="0" w:firstLineChars="0"/>
              <w:jc w:val="center"/>
              <w:rPr>
                <w:rFonts w:cs="Times New Roman"/>
                <w:sz w:val="21"/>
                <w:szCs w:val="21"/>
              </w:rPr>
            </w:pPr>
            <w:r>
              <w:rPr>
                <w:rFonts w:cs="Times New Roman"/>
                <w:sz w:val="21"/>
                <w:szCs w:val="21"/>
              </w:rPr>
              <w:t>生态空间管控区域占陆域国土面积比例</w:t>
            </w:r>
          </w:p>
        </w:tc>
        <w:tc>
          <w:tcPr>
            <w:tcW w:w="226" w:type="pct"/>
            <w:vAlign w:val="center"/>
          </w:tcPr>
          <w:p w14:paraId="0ACFC07E">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5F186176">
            <w:pPr>
              <w:spacing w:line="240" w:lineRule="auto"/>
              <w:ind w:firstLine="0" w:firstLineChars="0"/>
              <w:jc w:val="center"/>
              <w:rPr>
                <w:rFonts w:cs="Times New Roman"/>
                <w:sz w:val="21"/>
                <w:szCs w:val="21"/>
              </w:rPr>
            </w:pPr>
            <w:r>
              <w:rPr>
                <w:rFonts w:cs="Times New Roman"/>
                <w:sz w:val="21"/>
                <w:szCs w:val="21"/>
              </w:rPr>
              <w:t>50.99</w:t>
            </w:r>
          </w:p>
        </w:tc>
        <w:tc>
          <w:tcPr>
            <w:tcW w:w="545" w:type="pct"/>
            <w:vAlign w:val="center"/>
          </w:tcPr>
          <w:p w14:paraId="455FD4D7">
            <w:pPr>
              <w:adjustRightInd w:val="0"/>
              <w:spacing w:line="240" w:lineRule="auto"/>
              <w:ind w:firstLine="0" w:firstLineChars="0"/>
              <w:jc w:val="center"/>
              <w:rPr>
                <w:rFonts w:cs="Times New Roman"/>
                <w:sz w:val="21"/>
                <w:szCs w:val="21"/>
              </w:rPr>
            </w:pPr>
            <w:r>
              <w:rPr>
                <w:rFonts w:cs="Times New Roman"/>
                <w:sz w:val="21"/>
                <w:szCs w:val="21"/>
              </w:rPr>
              <w:t>不降低</w:t>
            </w:r>
          </w:p>
        </w:tc>
        <w:tc>
          <w:tcPr>
            <w:tcW w:w="541" w:type="pct"/>
            <w:vAlign w:val="center"/>
          </w:tcPr>
          <w:p w14:paraId="0875284E">
            <w:pPr>
              <w:adjustRightInd w:val="0"/>
              <w:spacing w:line="240" w:lineRule="auto"/>
              <w:ind w:firstLine="0" w:firstLineChars="0"/>
              <w:jc w:val="center"/>
              <w:rPr>
                <w:rFonts w:cs="Times New Roman"/>
                <w:sz w:val="21"/>
                <w:szCs w:val="21"/>
              </w:rPr>
            </w:pPr>
            <w:r>
              <w:rPr>
                <w:rFonts w:cs="Times New Roman"/>
                <w:sz w:val="21"/>
                <w:szCs w:val="21"/>
              </w:rPr>
              <w:t>不降低</w:t>
            </w:r>
          </w:p>
        </w:tc>
        <w:tc>
          <w:tcPr>
            <w:tcW w:w="2069" w:type="pct"/>
            <w:vAlign w:val="center"/>
          </w:tcPr>
          <w:p w14:paraId="1197F6E7">
            <w:pPr>
              <w:adjustRightInd w:val="0"/>
              <w:spacing w:line="240" w:lineRule="auto"/>
              <w:ind w:firstLine="0" w:firstLineChars="0"/>
              <w:rPr>
                <w:rFonts w:cs="Times New Roman"/>
                <w:sz w:val="21"/>
                <w:szCs w:val="21"/>
              </w:rPr>
            </w:pPr>
            <w:r>
              <w:rPr>
                <w:rFonts w:cs="Times New Roman"/>
                <w:sz w:val="21"/>
                <w:szCs w:val="21"/>
              </w:rPr>
              <w:t>在严格落实生态空间管控区域管控</w:t>
            </w:r>
            <w:r>
              <w:rPr>
                <w:rFonts w:hint="eastAsia" w:cs="Times New Roman"/>
                <w:sz w:val="21"/>
                <w:szCs w:val="21"/>
              </w:rPr>
              <w:t>、监督管理和调整的相关</w:t>
            </w:r>
            <w:r>
              <w:rPr>
                <w:rFonts w:cs="Times New Roman"/>
                <w:sz w:val="21"/>
                <w:szCs w:val="21"/>
              </w:rPr>
              <w:t>要求前提下，该指标可达。</w:t>
            </w:r>
          </w:p>
        </w:tc>
      </w:tr>
      <w:tr w14:paraId="25F8E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continue"/>
            <w:vAlign w:val="center"/>
          </w:tcPr>
          <w:p w14:paraId="101A7B02">
            <w:pPr>
              <w:adjustRightInd w:val="0"/>
              <w:spacing w:line="240" w:lineRule="auto"/>
              <w:ind w:firstLine="0" w:firstLineChars="0"/>
              <w:jc w:val="center"/>
              <w:rPr>
                <w:rFonts w:cs="Times New Roman"/>
                <w:sz w:val="21"/>
                <w:szCs w:val="21"/>
              </w:rPr>
            </w:pPr>
          </w:p>
        </w:tc>
        <w:tc>
          <w:tcPr>
            <w:tcW w:w="157" w:type="pct"/>
            <w:vAlign w:val="center"/>
          </w:tcPr>
          <w:p w14:paraId="62EDB4AC">
            <w:pPr>
              <w:numPr>
                <w:ilvl w:val="0"/>
                <w:numId w:val="22"/>
              </w:numPr>
              <w:adjustRightInd w:val="0"/>
              <w:spacing w:line="240" w:lineRule="auto"/>
              <w:ind w:firstLineChars="0"/>
              <w:jc w:val="center"/>
              <w:rPr>
                <w:rFonts w:cs="Times New Roman"/>
                <w:sz w:val="21"/>
                <w:szCs w:val="21"/>
              </w:rPr>
            </w:pPr>
          </w:p>
        </w:tc>
        <w:tc>
          <w:tcPr>
            <w:tcW w:w="640" w:type="pct"/>
            <w:vAlign w:val="center"/>
          </w:tcPr>
          <w:p w14:paraId="5439061F">
            <w:pPr>
              <w:adjustRightInd w:val="0"/>
              <w:spacing w:line="240" w:lineRule="auto"/>
              <w:ind w:firstLine="0" w:firstLineChars="0"/>
              <w:jc w:val="center"/>
              <w:rPr>
                <w:rFonts w:cs="Times New Roman"/>
                <w:sz w:val="21"/>
                <w:szCs w:val="21"/>
                <w:highlight w:val="yellow"/>
              </w:rPr>
            </w:pPr>
            <w:r>
              <w:rPr>
                <w:rFonts w:cs="Times New Roman"/>
                <w:sz w:val="21"/>
                <w:szCs w:val="21"/>
              </w:rPr>
              <w:t>林木覆盖率</w:t>
            </w:r>
          </w:p>
        </w:tc>
        <w:tc>
          <w:tcPr>
            <w:tcW w:w="226" w:type="pct"/>
            <w:vAlign w:val="center"/>
          </w:tcPr>
          <w:p w14:paraId="2AACB2B9">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3E51266B">
            <w:pPr>
              <w:adjustRightInd w:val="0"/>
              <w:spacing w:line="240" w:lineRule="auto"/>
              <w:ind w:firstLine="0" w:firstLineChars="0"/>
              <w:jc w:val="center"/>
              <w:rPr>
                <w:rFonts w:cs="Times New Roman"/>
                <w:sz w:val="21"/>
                <w:szCs w:val="21"/>
              </w:rPr>
            </w:pPr>
            <w:r>
              <w:rPr>
                <w:rFonts w:cs="Times New Roman"/>
                <w:sz w:val="21"/>
                <w:szCs w:val="21"/>
              </w:rPr>
              <w:t>56</w:t>
            </w:r>
          </w:p>
        </w:tc>
        <w:tc>
          <w:tcPr>
            <w:tcW w:w="545" w:type="pct"/>
            <w:vAlign w:val="center"/>
          </w:tcPr>
          <w:p w14:paraId="4A3BAE16">
            <w:pPr>
              <w:adjustRightInd w:val="0"/>
              <w:spacing w:line="240" w:lineRule="auto"/>
              <w:ind w:firstLine="0" w:firstLineChars="0"/>
              <w:jc w:val="center"/>
              <w:rPr>
                <w:rFonts w:cs="Times New Roman"/>
                <w:sz w:val="21"/>
                <w:szCs w:val="21"/>
              </w:rPr>
            </w:pPr>
            <w:r>
              <w:rPr>
                <w:rFonts w:cs="Times New Roman"/>
                <w:sz w:val="21"/>
                <w:szCs w:val="21"/>
              </w:rPr>
              <w:t>不降低</w:t>
            </w:r>
          </w:p>
        </w:tc>
        <w:tc>
          <w:tcPr>
            <w:tcW w:w="541" w:type="pct"/>
            <w:vAlign w:val="center"/>
          </w:tcPr>
          <w:p w14:paraId="6E926C50">
            <w:pPr>
              <w:adjustRightInd w:val="0"/>
              <w:spacing w:line="240" w:lineRule="auto"/>
              <w:ind w:firstLine="0" w:firstLineChars="0"/>
              <w:jc w:val="center"/>
              <w:rPr>
                <w:rFonts w:cs="Times New Roman"/>
                <w:sz w:val="21"/>
                <w:szCs w:val="21"/>
              </w:rPr>
            </w:pPr>
            <w:r>
              <w:rPr>
                <w:rFonts w:cs="Times New Roman"/>
                <w:sz w:val="21"/>
                <w:szCs w:val="21"/>
              </w:rPr>
              <w:t>不降低</w:t>
            </w:r>
          </w:p>
        </w:tc>
        <w:tc>
          <w:tcPr>
            <w:tcW w:w="2069" w:type="pct"/>
            <w:vAlign w:val="center"/>
          </w:tcPr>
          <w:p w14:paraId="02522F9A">
            <w:pPr>
              <w:adjustRightInd w:val="0"/>
              <w:spacing w:line="240" w:lineRule="auto"/>
              <w:ind w:firstLine="0" w:firstLineChars="0"/>
              <w:rPr>
                <w:rFonts w:cs="Times New Roman"/>
                <w:sz w:val="21"/>
                <w:szCs w:val="21"/>
              </w:rPr>
            </w:pPr>
            <w:r>
              <w:rPr>
                <w:rFonts w:cs="Times New Roman"/>
                <w:sz w:val="21"/>
                <w:szCs w:val="21"/>
              </w:rPr>
              <w:t>随着度假区的开发以及相关森林、林地保育措施的实施，林木覆盖率逐渐提升，在按规划实施的情况下，林木覆盖率指标可达。</w:t>
            </w:r>
          </w:p>
        </w:tc>
      </w:tr>
      <w:tr w14:paraId="10FE2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continue"/>
            <w:vAlign w:val="center"/>
          </w:tcPr>
          <w:p w14:paraId="58F11B1D">
            <w:pPr>
              <w:adjustRightInd w:val="0"/>
              <w:spacing w:line="240" w:lineRule="auto"/>
              <w:ind w:firstLine="0" w:firstLineChars="0"/>
              <w:jc w:val="center"/>
              <w:rPr>
                <w:rFonts w:cs="Times New Roman"/>
                <w:sz w:val="21"/>
                <w:szCs w:val="21"/>
              </w:rPr>
            </w:pPr>
          </w:p>
        </w:tc>
        <w:tc>
          <w:tcPr>
            <w:tcW w:w="157" w:type="pct"/>
            <w:vAlign w:val="center"/>
          </w:tcPr>
          <w:p w14:paraId="34A9FA8F">
            <w:pPr>
              <w:numPr>
                <w:ilvl w:val="0"/>
                <w:numId w:val="22"/>
              </w:numPr>
              <w:adjustRightInd w:val="0"/>
              <w:spacing w:line="240" w:lineRule="auto"/>
              <w:ind w:firstLineChars="0"/>
              <w:jc w:val="center"/>
              <w:rPr>
                <w:rFonts w:cs="Times New Roman"/>
                <w:sz w:val="21"/>
                <w:szCs w:val="21"/>
              </w:rPr>
            </w:pPr>
          </w:p>
        </w:tc>
        <w:tc>
          <w:tcPr>
            <w:tcW w:w="640" w:type="pct"/>
            <w:vAlign w:val="center"/>
          </w:tcPr>
          <w:p w14:paraId="77FDFD50">
            <w:pPr>
              <w:adjustRightInd w:val="0"/>
              <w:spacing w:line="240" w:lineRule="auto"/>
              <w:ind w:firstLine="0" w:firstLineChars="0"/>
              <w:jc w:val="center"/>
              <w:rPr>
                <w:rFonts w:cs="Times New Roman"/>
                <w:sz w:val="21"/>
                <w:szCs w:val="21"/>
              </w:rPr>
            </w:pPr>
            <w:r>
              <w:rPr>
                <w:rFonts w:cs="Times New Roman"/>
                <w:sz w:val="21"/>
                <w:szCs w:val="21"/>
              </w:rPr>
              <w:t>生物多样性指数</w:t>
            </w:r>
          </w:p>
        </w:tc>
        <w:tc>
          <w:tcPr>
            <w:tcW w:w="226" w:type="pct"/>
            <w:vAlign w:val="center"/>
          </w:tcPr>
          <w:p w14:paraId="65EBDD32">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2491C02D">
            <w:pPr>
              <w:adjustRightInd w:val="0"/>
              <w:spacing w:line="240" w:lineRule="auto"/>
              <w:ind w:firstLine="0" w:firstLineChars="0"/>
              <w:jc w:val="center"/>
              <w:rPr>
                <w:rFonts w:cs="Times New Roman"/>
                <w:sz w:val="21"/>
                <w:szCs w:val="21"/>
              </w:rPr>
            </w:pPr>
            <w:r>
              <w:rPr>
                <w:rFonts w:cs="Times New Roman"/>
                <w:sz w:val="21"/>
                <w:szCs w:val="21"/>
              </w:rPr>
              <w:t>/</w:t>
            </w:r>
          </w:p>
        </w:tc>
        <w:tc>
          <w:tcPr>
            <w:tcW w:w="545" w:type="pct"/>
            <w:vAlign w:val="center"/>
          </w:tcPr>
          <w:p w14:paraId="06863F3D">
            <w:pPr>
              <w:adjustRightInd w:val="0"/>
              <w:spacing w:line="240" w:lineRule="auto"/>
              <w:ind w:firstLine="0" w:firstLineChars="0"/>
              <w:jc w:val="center"/>
              <w:rPr>
                <w:rFonts w:cs="Times New Roman"/>
                <w:sz w:val="21"/>
                <w:szCs w:val="21"/>
              </w:rPr>
            </w:pPr>
            <w:r>
              <w:rPr>
                <w:rFonts w:cs="Times New Roman"/>
                <w:sz w:val="21"/>
                <w:szCs w:val="21"/>
              </w:rPr>
              <w:t>维持现状或略有增加</w:t>
            </w:r>
          </w:p>
        </w:tc>
        <w:tc>
          <w:tcPr>
            <w:tcW w:w="541" w:type="pct"/>
            <w:vAlign w:val="center"/>
          </w:tcPr>
          <w:p w14:paraId="6734C62C">
            <w:pPr>
              <w:adjustRightInd w:val="0"/>
              <w:spacing w:line="240" w:lineRule="auto"/>
              <w:ind w:firstLine="0" w:firstLineChars="0"/>
              <w:jc w:val="center"/>
              <w:rPr>
                <w:rFonts w:cs="Times New Roman"/>
                <w:sz w:val="21"/>
                <w:szCs w:val="21"/>
              </w:rPr>
            </w:pPr>
            <w:r>
              <w:rPr>
                <w:rFonts w:cs="Times New Roman"/>
                <w:sz w:val="21"/>
                <w:szCs w:val="21"/>
              </w:rPr>
              <w:t>维持现状或略有增加</w:t>
            </w:r>
          </w:p>
        </w:tc>
        <w:tc>
          <w:tcPr>
            <w:tcW w:w="2069" w:type="pct"/>
            <w:vAlign w:val="center"/>
          </w:tcPr>
          <w:p w14:paraId="6EA37CF8">
            <w:pPr>
              <w:adjustRightInd w:val="0"/>
              <w:spacing w:line="240" w:lineRule="auto"/>
              <w:ind w:firstLine="0" w:firstLineChars="0"/>
              <w:rPr>
                <w:rFonts w:cs="Times New Roman"/>
                <w:sz w:val="21"/>
                <w:szCs w:val="21"/>
              </w:rPr>
            </w:pPr>
            <w:r>
              <w:rPr>
                <w:rFonts w:cs="Times New Roman"/>
                <w:sz w:val="21"/>
                <w:szCs w:val="21"/>
              </w:rPr>
              <w:t>度假区总体规划实施后，区域生态环境区域改善，居民素质会进一步提高，项目实施不涉及山体破坏，生物多样性基本不会发生改变，可能会有所提高。</w:t>
            </w:r>
          </w:p>
        </w:tc>
      </w:tr>
      <w:tr w14:paraId="3D5AA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continue"/>
            <w:vAlign w:val="center"/>
          </w:tcPr>
          <w:p w14:paraId="00457817">
            <w:pPr>
              <w:adjustRightInd w:val="0"/>
              <w:spacing w:line="240" w:lineRule="auto"/>
              <w:ind w:firstLine="0" w:firstLineChars="0"/>
              <w:jc w:val="center"/>
              <w:rPr>
                <w:rFonts w:cs="Times New Roman"/>
                <w:sz w:val="21"/>
                <w:szCs w:val="21"/>
              </w:rPr>
            </w:pPr>
          </w:p>
        </w:tc>
        <w:tc>
          <w:tcPr>
            <w:tcW w:w="157" w:type="pct"/>
            <w:vAlign w:val="center"/>
          </w:tcPr>
          <w:p w14:paraId="041CB179">
            <w:pPr>
              <w:numPr>
                <w:ilvl w:val="0"/>
                <w:numId w:val="22"/>
              </w:numPr>
              <w:adjustRightInd w:val="0"/>
              <w:spacing w:line="240" w:lineRule="auto"/>
              <w:ind w:firstLineChars="0"/>
              <w:jc w:val="center"/>
              <w:rPr>
                <w:rFonts w:cs="Times New Roman"/>
                <w:sz w:val="21"/>
                <w:szCs w:val="21"/>
              </w:rPr>
            </w:pPr>
          </w:p>
        </w:tc>
        <w:tc>
          <w:tcPr>
            <w:tcW w:w="640" w:type="pct"/>
            <w:vAlign w:val="center"/>
          </w:tcPr>
          <w:p w14:paraId="5BD11B64">
            <w:pPr>
              <w:adjustRightInd w:val="0"/>
              <w:spacing w:line="240" w:lineRule="auto"/>
              <w:ind w:firstLine="0" w:firstLineChars="0"/>
              <w:jc w:val="center"/>
              <w:rPr>
                <w:rFonts w:cs="Times New Roman"/>
                <w:sz w:val="21"/>
                <w:szCs w:val="21"/>
              </w:rPr>
            </w:pPr>
            <w:r>
              <w:rPr>
                <w:rFonts w:cs="Times New Roman"/>
                <w:sz w:val="21"/>
                <w:szCs w:val="21"/>
              </w:rPr>
              <w:t>碳汇能力</w:t>
            </w:r>
          </w:p>
        </w:tc>
        <w:tc>
          <w:tcPr>
            <w:tcW w:w="226" w:type="pct"/>
            <w:vAlign w:val="center"/>
          </w:tcPr>
          <w:p w14:paraId="0014A887">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33920488">
            <w:pPr>
              <w:adjustRightInd w:val="0"/>
              <w:spacing w:line="240" w:lineRule="auto"/>
              <w:ind w:firstLine="0" w:firstLineChars="0"/>
              <w:jc w:val="center"/>
              <w:rPr>
                <w:rFonts w:cs="Times New Roman"/>
                <w:sz w:val="21"/>
                <w:szCs w:val="21"/>
              </w:rPr>
            </w:pPr>
            <w:r>
              <w:rPr>
                <w:rFonts w:cs="Times New Roman"/>
                <w:sz w:val="21"/>
                <w:szCs w:val="21"/>
              </w:rPr>
              <w:t>/</w:t>
            </w:r>
          </w:p>
        </w:tc>
        <w:tc>
          <w:tcPr>
            <w:tcW w:w="545" w:type="pct"/>
            <w:vAlign w:val="center"/>
          </w:tcPr>
          <w:p w14:paraId="03C4A5CF">
            <w:pPr>
              <w:adjustRightInd w:val="0"/>
              <w:spacing w:line="240" w:lineRule="auto"/>
              <w:ind w:firstLine="0" w:firstLineChars="0"/>
              <w:jc w:val="center"/>
              <w:rPr>
                <w:rFonts w:cs="Times New Roman"/>
                <w:sz w:val="21"/>
                <w:szCs w:val="21"/>
              </w:rPr>
            </w:pPr>
            <w:r>
              <w:rPr>
                <w:rFonts w:cs="Times New Roman"/>
                <w:sz w:val="21"/>
                <w:szCs w:val="21"/>
              </w:rPr>
              <w:t>不降低</w:t>
            </w:r>
          </w:p>
        </w:tc>
        <w:tc>
          <w:tcPr>
            <w:tcW w:w="541" w:type="pct"/>
            <w:vAlign w:val="center"/>
          </w:tcPr>
          <w:p w14:paraId="2A19B37E">
            <w:pPr>
              <w:adjustRightInd w:val="0"/>
              <w:spacing w:line="240" w:lineRule="auto"/>
              <w:ind w:firstLine="0" w:firstLineChars="0"/>
              <w:jc w:val="center"/>
              <w:rPr>
                <w:rFonts w:cs="Times New Roman"/>
                <w:sz w:val="21"/>
                <w:szCs w:val="21"/>
              </w:rPr>
            </w:pPr>
            <w:r>
              <w:rPr>
                <w:rFonts w:cs="Times New Roman"/>
                <w:sz w:val="21"/>
                <w:szCs w:val="21"/>
              </w:rPr>
              <w:t>不降低</w:t>
            </w:r>
          </w:p>
        </w:tc>
        <w:tc>
          <w:tcPr>
            <w:tcW w:w="2069" w:type="pct"/>
            <w:vAlign w:val="center"/>
          </w:tcPr>
          <w:p w14:paraId="3707B294">
            <w:pPr>
              <w:adjustRightInd w:val="0"/>
              <w:spacing w:line="240" w:lineRule="auto"/>
              <w:ind w:firstLine="0" w:firstLineChars="0"/>
              <w:rPr>
                <w:rFonts w:cs="Times New Roman"/>
                <w:sz w:val="21"/>
                <w:szCs w:val="21"/>
              </w:rPr>
            </w:pPr>
            <w:r>
              <w:rPr>
                <w:rFonts w:cs="Times New Roman"/>
                <w:sz w:val="21"/>
                <w:szCs w:val="21"/>
              </w:rPr>
              <w:t>随着度假区内森林、林地保育措施和环境影响减缓措施的实施以及城市建成区绿化建设，区域内林草面积和森林质量将会进一步提高，区域碳汇能力将得到进一步提升。</w:t>
            </w:r>
          </w:p>
        </w:tc>
      </w:tr>
      <w:tr w14:paraId="1EDFD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restart"/>
            <w:vAlign w:val="center"/>
          </w:tcPr>
          <w:p w14:paraId="5AE0BE8A">
            <w:pPr>
              <w:adjustRightInd w:val="0"/>
              <w:spacing w:line="240" w:lineRule="auto"/>
              <w:ind w:firstLine="0" w:firstLineChars="0"/>
              <w:jc w:val="center"/>
              <w:rPr>
                <w:rFonts w:cs="Times New Roman"/>
                <w:sz w:val="21"/>
                <w:szCs w:val="21"/>
              </w:rPr>
            </w:pPr>
            <w:r>
              <w:rPr>
                <w:rFonts w:cs="Times New Roman"/>
                <w:sz w:val="21"/>
                <w:szCs w:val="21"/>
              </w:rPr>
              <w:t>减污降碳</w:t>
            </w:r>
          </w:p>
        </w:tc>
        <w:tc>
          <w:tcPr>
            <w:tcW w:w="157" w:type="pct"/>
            <w:vAlign w:val="center"/>
          </w:tcPr>
          <w:p w14:paraId="7AFAA545">
            <w:pPr>
              <w:numPr>
                <w:ilvl w:val="0"/>
                <w:numId w:val="22"/>
              </w:numPr>
              <w:adjustRightInd w:val="0"/>
              <w:spacing w:line="240" w:lineRule="auto"/>
              <w:ind w:firstLineChars="0"/>
              <w:jc w:val="center"/>
              <w:rPr>
                <w:rFonts w:cs="Times New Roman"/>
                <w:sz w:val="21"/>
                <w:szCs w:val="21"/>
              </w:rPr>
            </w:pPr>
          </w:p>
        </w:tc>
        <w:tc>
          <w:tcPr>
            <w:tcW w:w="640" w:type="pct"/>
            <w:vAlign w:val="center"/>
          </w:tcPr>
          <w:p w14:paraId="7CA352E8">
            <w:pPr>
              <w:adjustRightInd w:val="0"/>
              <w:spacing w:line="240" w:lineRule="auto"/>
              <w:ind w:firstLine="0" w:firstLineChars="0"/>
              <w:jc w:val="center"/>
              <w:rPr>
                <w:rFonts w:cs="Times New Roman"/>
                <w:sz w:val="21"/>
                <w:szCs w:val="21"/>
              </w:rPr>
            </w:pPr>
            <w:r>
              <w:rPr>
                <w:rFonts w:cs="Times New Roman"/>
                <w:sz w:val="21"/>
                <w:szCs w:val="21"/>
              </w:rPr>
              <w:t>城镇绿色建筑占新建建筑比例</w:t>
            </w:r>
          </w:p>
        </w:tc>
        <w:tc>
          <w:tcPr>
            <w:tcW w:w="226" w:type="pct"/>
            <w:vAlign w:val="center"/>
          </w:tcPr>
          <w:p w14:paraId="20B07E73">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2DEFD879">
            <w:pPr>
              <w:adjustRightInd w:val="0"/>
              <w:spacing w:line="240" w:lineRule="auto"/>
              <w:ind w:firstLine="0" w:firstLineChars="0"/>
              <w:jc w:val="center"/>
              <w:rPr>
                <w:rFonts w:cs="Times New Roman"/>
                <w:sz w:val="21"/>
                <w:szCs w:val="21"/>
              </w:rPr>
            </w:pPr>
            <w:r>
              <w:rPr>
                <w:rFonts w:cs="Times New Roman"/>
                <w:sz w:val="21"/>
                <w:szCs w:val="21"/>
              </w:rPr>
              <w:t>100</w:t>
            </w:r>
          </w:p>
        </w:tc>
        <w:tc>
          <w:tcPr>
            <w:tcW w:w="545" w:type="pct"/>
            <w:vAlign w:val="center"/>
          </w:tcPr>
          <w:p w14:paraId="65505380">
            <w:pPr>
              <w:adjustRightInd w:val="0"/>
              <w:spacing w:line="240" w:lineRule="auto"/>
              <w:ind w:firstLine="0" w:firstLineChars="0"/>
              <w:jc w:val="center"/>
              <w:rPr>
                <w:rFonts w:cs="Times New Roman"/>
                <w:sz w:val="21"/>
                <w:szCs w:val="21"/>
              </w:rPr>
            </w:pPr>
            <w:r>
              <w:rPr>
                <w:rFonts w:cs="Times New Roman"/>
                <w:sz w:val="21"/>
                <w:szCs w:val="21"/>
              </w:rPr>
              <w:t>100</w:t>
            </w:r>
          </w:p>
        </w:tc>
        <w:tc>
          <w:tcPr>
            <w:tcW w:w="541" w:type="pct"/>
            <w:vAlign w:val="center"/>
          </w:tcPr>
          <w:p w14:paraId="55A04285">
            <w:pPr>
              <w:adjustRightInd w:val="0"/>
              <w:spacing w:line="240" w:lineRule="auto"/>
              <w:ind w:firstLine="0" w:firstLineChars="0"/>
              <w:jc w:val="center"/>
              <w:rPr>
                <w:rFonts w:cs="Times New Roman"/>
                <w:sz w:val="21"/>
                <w:szCs w:val="21"/>
              </w:rPr>
            </w:pPr>
            <w:r>
              <w:rPr>
                <w:rFonts w:cs="Times New Roman"/>
                <w:sz w:val="21"/>
                <w:szCs w:val="21"/>
              </w:rPr>
              <w:t>100</w:t>
            </w:r>
          </w:p>
        </w:tc>
        <w:tc>
          <w:tcPr>
            <w:tcW w:w="2069" w:type="pct"/>
            <w:vAlign w:val="center"/>
          </w:tcPr>
          <w:p w14:paraId="0024CD2D">
            <w:pPr>
              <w:adjustRightInd w:val="0"/>
              <w:spacing w:line="240" w:lineRule="auto"/>
              <w:ind w:firstLine="0" w:firstLineChars="0"/>
              <w:rPr>
                <w:rFonts w:cs="Times New Roman"/>
                <w:sz w:val="21"/>
                <w:szCs w:val="21"/>
              </w:rPr>
            </w:pPr>
            <w:r>
              <w:rPr>
                <w:rFonts w:cs="Times New Roman"/>
                <w:sz w:val="21"/>
                <w:szCs w:val="21"/>
              </w:rPr>
              <w:t>严格落实碳减排路径及措施，推动度假区低碳建筑发展，全面实施新建民用建筑100%执行绿色建筑强制性标准，度假区城镇绿色建筑占新建建筑比例100%指标可达。</w:t>
            </w:r>
          </w:p>
        </w:tc>
      </w:tr>
      <w:tr w14:paraId="04A18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continue"/>
            <w:vAlign w:val="center"/>
          </w:tcPr>
          <w:p w14:paraId="0C4F5436">
            <w:pPr>
              <w:adjustRightInd w:val="0"/>
              <w:spacing w:line="240" w:lineRule="auto"/>
              <w:ind w:firstLine="0" w:firstLineChars="0"/>
              <w:jc w:val="center"/>
              <w:rPr>
                <w:rFonts w:cs="Times New Roman"/>
                <w:sz w:val="21"/>
                <w:szCs w:val="21"/>
              </w:rPr>
            </w:pPr>
          </w:p>
        </w:tc>
        <w:tc>
          <w:tcPr>
            <w:tcW w:w="157" w:type="pct"/>
            <w:vAlign w:val="center"/>
          </w:tcPr>
          <w:p w14:paraId="5A5E6293">
            <w:pPr>
              <w:numPr>
                <w:ilvl w:val="0"/>
                <w:numId w:val="22"/>
              </w:numPr>
              <w:adjustRightInd w:val="0"/>
              <w:spacing w:line="240" w:lineRule="auto"/>
              <w:ind w:firstLineChars="0"/>
              <w:jc w:val="center"/>
              <w:rPr>
                <w:rFonts w:cs="Times New Roman"/>
                <w:sz w:val="21"/>
                <w:szCs w:val="21"/>
              </w:rPr>
            </w:pPr>
          </w:p>
        </w:tc>
        <w:tc>
          <w:tcPr>
            <w:tcW w:w="640" w:type="pct"/>
            <w:vAlign w:val="center"/>
          </w:tcPr>
          <w:p w14:paraId="71F87BC3">
            <w:pPr>
              <w:adjustRightInd w:val="0"/>
              <w:spacing w:line="240" w:lineRule="auto"/>
              <w:ind w:firstLine="0" w:firstLineChars="0"/>
              <w:jc w:val="center"/>
              <w:rPr>
                <w:rFonts w:cs="Times New Roman"/>
                <w:sz w:val="21"/>
                <w:szCs w:val="21"/>
              </w:rPr>
            </w:pPr>
            <w:r>
              <w:rPr>
                <w:rFonts w:cs="Times New Roman"/>
                <w:sz w:val="21"/>
                <w:szCs w:val="21"/>
              </w:rPr>
              <w:t>新购清洁能源和新能源公交车辆占比</w:t>
            </w:r>
          </w:p>
        </w:tc>
        <w:tc>
          <w:tcPr>
            <w:tcW w:w="226" w:type="pct"/>
            <w:vAlign w:val="center"/>
          </w:tcPr>
          <w:p w14:paraId="64B0EA4A">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7218FBDC">
            <w:pPr>
              <w:adjustRightInd w:val="0"/>
              <w:spacing w:line="240" w:lineRule="auto"/>
              <w:ind w:firstLine="0" w:firstLineChars="0"/>
              <w:jc w:val="center"/>
              <w:rPr>
                <w:rFonts w:cs="Times New Roman"/>
                <w:sz w:val="21"/>
                <w:szCs w:val="21"/>
              </w:rPr>
            </w:pPr>
            <w:r>
              <w:rPr>
                <w:rFonts w:cs="Times New Roman"/>
                <w:sz w:val="21"/>
                <w:szCs w:val="21"/>
              </w:rPr>
              <w:t>/</w:t>
            </w:r>
          </w:p>
        </w:tc>
        <w:tc>
          <w:tcPr>
            <w:tcW w:w="545" w:type="pct"/>
            <w:vAlign w:val="center"/>
          </w:tcPr>
          <w:p w14:paraId="4383251A">
            <w:pPr>
              <w:adjustRightInd w:val="0"/>
              <w:spacing w:line="240" w:lineRule="auto"/>
              <w:ind w:firstLine="0" w:firstLineChars="0"/>
              <w:jc w:val="center"/>
              <w:rPr>
                <w:rFonts w:cs="Times New Roman"/>
                <w:sz w:val="21"/>
                <w:szCs w:val="21"/>
              </w:rPr>
            </w:pPr>
            <w:r>
              <w:rPr>
                <w:rFonts w:cs="Times New Roman"/>
                <w:sz w:val="21"/>
                <w:szCs w:val="21"/>
              </w:rPr>
              <w:t>100</w:t>
            </w:r>
          </w:p>
        </w:tc>
        <w:tc>
          <w:tcPr>
            <w:tcW w:w="541" w:type="pct"/>
            <w:vAlign w:val="center"/>
          </w:tcPr>
          <w:p w14:paraId="19332BCB">
            <w:pPr>
              <w:adjustRightInd w:val="0"/>
              <w:spacing w:line="240" w:lineRule="auto"/>
              <w:ind w:firstLine="0" w:firstLineChars="0"/>
              <w:jc w:val="center"/>
              <w:rPr>
                <w:rFonts w:cs="Times New Roman"/>
                <w:sz w:val="21"/>
                <w:szCs w:val="21"/>
              </w:rPr>
            </w:pPr>
            <w:r>
              <w:rPr>
                <w:rFonts w:cs="Times New Roman"/>
                <w:sz w:val="21"/>
                <w:szCs w:val="21"/>
              </w:rPr>
              <w:t>100</w:t>
            </w:r>
          </w:p>
        </w:tc>
        <w:tc>
          <w:tcPr>
            <w:tcW w:w="2069" w:type="pct"/>
            <w:vAlign w:val="center"/>
          </w:tcPr>
          <w:p w14:paraId="5B23B9F3">
            <w:pPr>
              <w:adjustRightInd w:val="0"/>
              <w:spacing w:line="240" w:lineRule="auto"/>
              <w:ind w:firstLine="0" w:firstLineChars="0"/>
              <w:rPr>
                <w:rFonts w:cs="Times New Roman"/>
                <w:sz w:val="21"/>
                <w:szCs w:val="21"/>
              </w:rPr>
            </w:pPr>
            <w:r>
              <w:rPr>
                <w:rFonts w:cs="Times New Roman"/>
                <w:sz w:val="21"/>
                <w:szCs w:val="21"/>
              </w:rPr>
              <w:t>度假区积极深化特色公交发展，大力发展旅游专线、绿色公交，继续推进公交专用道设施，新建或更新新型公交站台候车厅的措施，新购清洁能源和新能源公交车占比100%指标可达。</w:t>
            </w:r>
          </w:p>
        </w:tc>
      </w:tr>
      <w:tr w14:paraId="108C0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2" w:type="pct"/>
            <w:vMerge w:val="restart"/>
            <w:vAlign w:val="center"/>
          </w:tcPr>
          <w:p w14:paraId="442E68DC">
            <w:pPr>
              <w:adjustRightInd w:val="0"/>
              <w:spacing w:line="240" w:lineRule="auto"/>
              <w:ind w:firstLine="0" w:firstLineChars="0"/>
              <w:jc w:val="center"/>
              <w:rPr>
                <w:rFonts w:cs="Times New Roman"/>
                <w:sz w:val="21"/>
                <w:szCs w:val="21"/>
              </w:rPr>
            </w:pPr>
            <w:r>
              <w:rPr>
                <w:rFonts w:cs="Times New Roman"/>
                <w:sz w:val="21"/>
                <w:szCs w:val="21"/>
              </w:rPr>
              <w:t>环境管理</w:t>
            </w:r>
          </w:p>
        </w:tc>
        <w:tc>
          <w:tcPr>
            <w:tcW w:w="157" w:type="pct"/>
            <w:vAlign w:val="center"/>
          </w:tcPr>
          <w:p w14:paraId="43799F28">
            <w:pPr>
              <w:numPr>
                <w:ilvl w:val="0"/>
                <w:numId w:val="22"/>
              </w:numPr>
              <w:adjustRightInd w:val="0"/>
              <w:spacing w:line="240" w:lineRule="auto"/>
              <w:ind w:firstLineChars="0"/>
              <w:jc w:val="center"/>
              <w:rPr>
                <w:rFonts w:cs="Times New Roman"/>
                <w:sz w:val="21"/>
                <w:szCs w:val="21"/>
              </w:rPr>
            </w:pPr>
          </w:p>
        </w:tc>
        <w:tc>
          <w:tcPr>
            <w:tcW w:w="640" w:type="pct"/>
            <w:vAlign w:val="center"/>
          </w:tcPr>
          <w:p w14:paraId="2BDB9634">
            <w:pPr>
              <w:adjustRightInd w:val="0"/>
              <w:spacing w:line="240" w:lineRule="auto"/>
              <w:ind w:firstLine="0" w:firstLineChars="0"/>
              <w:jc w:val="center"/>
              <w:rPr>
                <w:rFonts w:cs="Times New Roman"/>
                <w:sz w:val="21"/>
                <w:szCs w:val="21"/>
              </w:rPr>
            </w:pPr>
            <w:r>
              <w:rPr>
                <w:rFonts w:cs="Times New Roman"/>
                <w:sz w:val="21"/>
                <w:szCs w:val="21"/>
              </w:rPr>
              <w:t>环境管理能力完善度</w:t>
            </w:r>
          </w:p>
        </w:tc>
        <w:tc>
          <w:tcPr>
            <w:tcW w:w="226" w:type="pct"/>
            <w:vAlign w:val="center"/>
          </w:tcPr>
          <w:p w14:paraId="221E061C">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74DD2301">
            <w:pPr>
              <w:adjustRightInd w:val="0"/>
              <w:spacing w:line="240" w:lineRule="auto"/>
              <w:ind w:firstLine="0" w:firstLineChars="0"/>
              <w:jc w:val="center"/>
              <w:rPr>
                <w:rFonts w:cs="Times New Roman"/>
                <w:sz w:val="21"/>
                <w:szCs w:val="21"/>
              </w:rPr>
            </w:pPr>
            <w:r>
              <w:rPr>
                <w:rFonts w:cs="Times New Roman"/>
                <w:sz w:val="21"/>
                <w:szCs w:val="21"/>
              </w:rPr>
              <w:t>待完善</w:t>
            </w:r>
          </w:p>
        </w:tc>
        <w:tc>
          <w:tcPr>
            <w:tcW w:w="545" w:type="pct"/>
            <w:vAlign w:val="center"/>
          </w:tcPr>
          <w:p w14:paraId="6294DE77">
            <w:pPr>
              <w:adjustRightInd w:val="0"/>
              <w:spacing w:line="240" w:lineRule="auto"/>
              <w:ind w:firstLine="0" w:firstLineChars="0"/>
              <w:jc w:val="center"/>
              <w:rPr>
                <w:rFonts w:cs="Times New Roman"/>
                <w:sz w:val="21"/>
                <w:szCs w:val="21"/>
              </w:rPr>
            </w:pPr>
            <w:r>
              <w:rPr>
                <w:rFonts w:cs="Times New Roman"/>
                <w:sz w:val="21"/>
                <w:szCs w:val="21"/>
              </w:rPr>
              <w:t>100</w:t>
            </w:r>
          </w:p>
        </w:tc>
        <w:tc>
          <w:tcPr>
            <w:tcW w:w="541" w:type="pct"/>
            <w:vAlign w:val="center"/>
          </w:tcPr>
          <w:p w14:paraId="042753E0">
            <w:pPr>
              <w:adjustRightInd w:val="0"/>
              <w:spacing w:line="240" w:lineRule="auto"/>
              <w:ind w:firstLine="0" w:firstLineChars="0"/>
              <w:jc w:val="center"/>
              <w:rPr>
                <w:rFonts w:cs="Times New Roman"/>
                <w:sz w:val="21"/>
                <w:szCs w:val="21"/>
              </w:rPr>
            </w:pPr>
            <w:r>
              <w:rPr>
                <w:rFonts w:cs="Times New Roman"/>
                <w:sz w:val="21"/>
                <w:szCs w:val="21"/>
              </w:rPr>
              <w:t>100</w:t>
            </w:r>
          </w:p>
        </w:tc>
        <w:tc>
          <w:tcPr>
            <w:tcW w:w="2069" w:type="pct"/>
            <w:vAlign w:val="center"/>
          </w:tcPr>
          <w:p w14:paraId="73C96747">
            <w:pPr>
              <w:adjustRightInd w:val="0"/>
              <w:spacing w:line="240" w:lineRule="auto"/>
              <w:ind w:firstLine="0" w:firstLineChars="0"/>
              <w:rPr>
                <w:rFonts w:cs="Times New Roman"/>
                <w:sz w:val="21"/>
                <w:szCs w:val="21"/>
              </w:rPr>
            </w:pPr>
            <w:r>
              <w:rPr>
                <w:rFonts w:cs="Times New Roman"/>
                <w:sz w:val="21"/>
                <w:szCs w:val="21"/>
              </w:rPr>
              <w:t>在严格落实环境管理建设方案，完善环境管理体系，加强环境信息公开、强化环境信访和生态空间管控核查等前提下，该指标可达。</w:t>
            </w:r>
          </w:p>
        </w:tc>
      </w:tr>
      <w:tr w14:paraId="2C312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242" w:type="pct"/>
            <w:vMerge w:val="continue"/>
            <w:vAlign w:val="center"/>
          </w:tcPr>
          <w:p w14:paraId="6678F1C8">
            <w:pPr>
              <w:adjustRightInd w:val="0"/>
              <w:spacing w:line="240" w:lineRule="auto"/>
              <w:ind w:firstLine="0" w:firstLineChars="0"/>
              <w:jc w:val="center"/>
              <w:rPr>
                <w:rFonts w:cs="Times New Roman"/>
                <w:sz w:val="21"/>
                <w:szCs w:val="21"/>
              </w:rPr>
            </w:pPr>
          </w:p>
        </w:tc>
        <w:tc>
          <w:tcPr>
            <w:tcW w:w="157" w:type="pct"/>
            <w:vAlign w:val="center"/>
          </w:tcPr>
          <w:p w14:paraId="48E06A5C">
            <w:pPr>
              <w:numPr>
                <w:ilvl w:val="0"/>
                <w:numId w:val="22"/>
              </w:numPr>
              <w:adjustRightInd w:val="0"/>
              <w:spacing w:line="240" w:lineRule="auto"/>
              <w:ind w:firstLineChars="0"/>
              <w:jc w:val="center"/>
              <w:rPr>
                <w:rFonts w:cs="Times New Roman"/>
                <w:sz w:val="21"/>
                <w:szCs w:val="21"/>
              </w:rPr>
            </w:pPr>
          </w:p>
        </w:tc>
        <w:tc>
          <w:tcPr>
            <w:tcW w:w="640" w:type="pct"/>
            <w:vAlign w:val="center"/>
          </w:tcPr>
          <w:p w14:paraId="645D2A0E">
            <w:pPr>
              <w:adjustRightInd w:val="0"/>
              <w:spacing w:line="240" w:lineRule="auto"/>
              <w:ind w:firstLine="0" w:firstLineChars="0"/>
              <w:jc w:val="center"/>
              <w:rPr>
                <w:rFonts w:cs="Times New Roman"/>
                <w:sz w:val="21"/>
                <w:szCs w:val="21"/>
              </w:rPr>
            </w:pPr>
            <w:r>
              <w:rPr>
                <w:rFonts w:cs="Times New Roman"/>
                <w:sz w:val="21"/>
                <w:szCs w:val="21"/>
              </w:rPr>
              <w:t>公众对环境质量改善满意度</w:t>
            </w:r>
          </w:p>
        </w:tc>
        <w:tc>
          <w:tcPr>
            <w:tcW w:w="226" w:type="pct"/>
            <w:vAlign w:val="center"/>
          </w:tcPr>
          <w:p w14:paraId="652344BC">
            <w:pPr>
              <w:adjustRightInd w:val="0"/>
              <w:spacing w:line="240" w:lineRule="auto"/>
              <w:ind w:firstLine="0" w:firstLineChars="0"/>
              <w:jc w:val="center"/>
              <w:rPr>
                <w:rFonts w:cs="Times New Roman"/>
                <w:sz w:val="21"/>
                <w:szCs w:val="21"/>
              </w:rPr>
            </w:pPr>
            <w:r>
              <w:rPr>
                <w:rFonts w:cs="Times New Roman"/>
                <w:sz w:val="21"/>
                <w:szCs w:val="21"/>
              </w:rPr>
              <w:t>%</w:t>
            </w:r>
          </w:p>
        </w:tc>
        <w:tc>
          <w:tcPr>
            <w:tcW w:w="577" w:type="pct"/>
            <w:vAlign w:val="center"/>
          </w:tcPr>
          <w:p w14:paraId="1510BE7C">
            <w:pPr>
              <w:adjustRightInd w:val="0"/>
              <w:spacing w:line="240" w:lineRule="auto"/>
              <w:ind w:firstLine="0" w:firstLineChars="0"/>
              <w:jc w:val="center"/>
              <w:rPr>
                <w:rFonts w:cs="Times New Roman"/>
                <w:sz w:val="21"/>
                <w:szCs w:val="21"/>
              </w:rPr>
            </w:pPr>
            <w:r>
              <w:rPr>
                <w:rFonts w:cs="Times New Roman"/>
                <w:sz w:val="21"/>
                <w:szCs w:val="21"/>
              </w:rPr>
              <w:t>/</w:t>
            </w:r>
          </w:p>
        </w:tc>
        <w:tc>
          <w:tcPr>
            <w:tcW w:w="545" w:type="pct"/>
            <w:vAlign w:val="center"/>
          </w:tcPr>
          <w:p w14:paraId="3E685AE3">
            <w:pPr>
              <w:adjustRightInd w:val="0"/>
              <w:spacing w:line="240" w:lineRule="auto"/>
              <w:ind w:firstLine="0" w:firstLineChars="0"/>
              <w:jc w:val="center"/>
              <w:rPr>
                <w:rFonts w:cs="Times New Roman"/>
                <w:sz w:val="21"/>
                <w:szCs w:val="21"/>
              </w:rPr>
            </w:pPr>
            <w:r>
              <w:rPr>
                <w:rFonts w:cs="Times New Roman"/>
                <w:sz w:val="21"/>
                <w:szCs w:val="21"/>
              </w:rPr>
              <w:t>≥95</w:t>
            </w:r>
          </w:p>
        </w:tc>
        <w:tc>
          <w:tcPr>
            <w:tcW w:w="541" w:type="pct"/>
            <w:vAlign w:val="center"/>
          </w:tcPr>
          <w:p w14:paraId="44738703">
            <w:pPr>
              <w:adjustRightInd w:val="0"/>
              <w:spacing w:line="240" w:lineRule="auto"/>
              <w:ind w:firstLine="0" w:firstLineChars="0"/>
              <w:jc w:val="center"/>
              <w:rPr>
                <w:rFonts w:cs="Times New Roman"/>
                <w:sz w:val="21"/>
                <w:szCs w:val="21"/>
              </w:rPr>
            </w:pPr>
            <w:r>
              <w:rPr>
                <w:rFonts w:cs="Times New Roman"/>
                <w:sz w:val="21"/>
                <w:szCs w:val="21"/>
              </w:rPr>
              <w:t>≥98</w:t>
            </w:r>
          </w:p>
        </w:tc>
        <w:tc>
          <w:tcPr>
            <w:tcW w:w="2069" w:type="pct"/>
            <w:vAlign w:val="center"/>
          </w:tcPr>
          <w:p w14:paraId="1F0F620C">
            <w:pPr>
              <w:adjustRightInd w:val="0"/>
              <w:spacing w:line="240" w:lineRule="auto"/>
              <w:ind w:firstLine="0" w:firstLineChars="0"/>
              <w:rPr>
                <w:rFonts w:cs="Times New Roman"/>
                <w:sz w:val="21"/>
                <w:szCs w:val="21"/>
              </w:rPr>
            </w:pPr>
            <w:r>
              <w:rPr>
                <w:rFonts w:cs="Times New Roman"/>
                <w:sz w:val="21"/>
                <w:szCs w:val="21"/>
              </w:rPr>
              <w:t>随着度假区的开发建设，度假区各项基础设施逐渐完善，度假区环境质量提升，公众对环境质量的改善满意度提升，该指标可达。</w:t>
            </w:r>
          </w:p>
        </w:tc>
      </w:tr>
    </w:tbl>
    <w:p w14:paraId="747F23FA">
      <w:pPr>
        <w:ind w:firstLine="0" w:firstLineChars="0"/>
      </w:pPr>
    </w:p>
    <w:p w14:paraId="4C942E9F">
      <w:pPr>
        <w:ind w:firstLine="0" w:firstLineChars="0"/>
        <w:sectPr>
          <w:pgSz w:w="16838" w:h="11906" w:orient="landscape"/>
          <w:pgMar w:top="1800" w:right="1440" w:bottom="1800" w:left="1440" w:header="851" w:footer="992" w:gutter="0"/>
          <w:cols w:space="425" w:num="1"/>
          <w:docGrid w:type="lines" w:linePitch="326" w:charSpace="0"/>
        </w:sectPr>
      </w:pPr>
    </w:p>
    <w:p w14:paraId="6BCD6CE4">
      <w:pPr>
        <w:pStyle w:val="3"/>
        <w:ind w:firstLine="0" w:firstLineChars="0"/>
        <w:rPr>
          <w:rFonts w:cs="Times New Roman"/>
        </w:rPr>
      </w:pPr>
      <w:bookmarkStart w:id="142" w:name="_Toc217294079"/>
      <w:r>
        <w:rPr>
          <w:rFonts w:cs="Times New Roman"/>
        </w:rPr>
        <w:t>8.3</w:t>
      </w:r>
      <w:r>
        <w:rPr>
          <w:rFonts w:hint="eastAsia" w:cs="Times New Roman"/>
        </w:rPr>
        <w:t>规划方案的优化调整建议</w:t>
      </w:r>
      <w:bookmarkEnd w:id="142"/>
    </w:p>
    <w:p w14:paraId="42D74C95">
      <w:pPr>
        <w:ind w:firstLine="482"/>
        <w:rPr>
          <w:b/>
          <w:bCs/>
        </w:rPr>
      </w:pPr>
      <w:r>
        <w:rPr>
          <w:rFonts w:hint="eastAsia"/>
          <w:b/>
          <w:bCs/>
        </w:rPr>
        <w:t>（1）加强本轮规划与生态红线、生态空间保护规划的协调性</w:t>
      </w:r>
    </w:p>
    <w:p w14:paraId="58A1BD61">
      <w:pPr>
        <w:ind w:firstLine="480"/>
      </w:pPr>
      <w:r>
        <w:rPr>
          <w:rFonts w:hint="eastAsia"/>
        </w:rPr>
        <w:t>由于度假区本轮规划范围内较大面积涉及生态保护红线及生态空间管控区，旅游项目的开发建设应充分考虑与《江苏省国家级生态保护红线规划》《江苏省生态空间管控区域规划》《关于加强生态保护红线管理的通知（试行）》《省政府办公厅关于印发江苏省生态空间管控区域监督管理办法的通知》等现行管理办法的相符性。根据相符性分析，本轮规划建设的旅游项目中17个项目涉及生态保护红线及生态空间管控区，这些旅游项目的规划开发建设，需落实《关于加强生态保护红线管理的通知（试行）》（自然资发〔2022〕142号）、《关于进一步加强生态保护红线监督管理的通知》（苏自然函〔2023〕880号）、《生态空间管控区域调整管理办法》</w:t>
      </w:r>
      <w:r>
        <w:rPr>
          <w:rFonts w:hint="eastAsia"/>
          <w:szCs w:val="24"/>
        </w:rPr>
        <w:t>（苏政办发〔20</w:t>
      </w:r>
      <w:r>
        <w:rPr>
          <w:szCs w:val="24"/>
        </w:rPr>
        <w:t>21</w:t>
      </w:r>
      <w:r>
        <w:rPr>
          <w:rFonts w:hint="eastAsia"/>
          <w:szCs w:val="24"/>
        </w:rPr>
        <w:t>〕3号）等文件</w:t>
      </w:r>
      <w:r>
        <w:rPr>
          <w:rFonts w:hint="eastAsia"/>
        </w:rPr>
        <w:t>中项目准入及管控要求后方可开展。</w:t>
      </w:r>
    </w:p>
    <w:p w14:paraId="4FEB167E">
      <w:pPr>
        <w:ind w:firstLine="480"/>
      </w:pPr>
      <w:r>
        <w:rPr>
          <w:rFonts w:hint="eastAsia"/>
        </w:rPr>
        <w:t>在项目准入条件方面，对涉及生态保护红线及生态空间管控区范围内的新增旅游项目进行严格的生态影响评估，确保项目不会对生态环境造成不可逆的破坏。对于符合准入条件的项目，要明确其建设规模、开发强度、生态保护措施等关键要素，确保项目在建设和运营过程中严格遵守生态保护要求。</w:t>
      </w:r>
    </w:p>
    <w:p w14:paraId="08CABAF7">
      <w:pPr>
        <w:ind w:firstLine="480"/>
      </w:pPr>
      <w:r>
        <w:rPr>
          <w:rFonts w:hint="eastAsia"/>
        </w:rPr>
        <w:t>在项目的建设过程中，针对不同类型旅游项目可能产生的生态影响，如植被破坏、水土流失、野生动物栖息地干扰等，制定具有针对性的减缓措施。对于建设过程中可能破坏的植被，要规划合理的植被恢复方案，选用本地适宜的植物种类进行补种；对于可能造成的水土流失，要设置有效的水土保持设施，如挡土墙、排水沟等；对于可能干扰野生动物栖息地的项目，要合理安排施工时间和施工方式，减少对野生动物的惊扰，并在项目运营过程中设置生态廊道等，保障野生动物的正常迁徙和活动。同时，要建立生态环境影响监测机制，对项目建设和运营过程中的生态环境状况进行实时监测，根据监测结果及时调整和完善减缓措施，确保生态环境影响始终处于可控范围内。</w:t>
      </w:r>
    </w:p>
    <w:p w14:paraId="64734B61">
      <w:pPr>
        <w:ind w:firstLine="480"/>
      </w:pPr>
      <w:r>
        <w:rPr>
          <w:rFonts w:hint="eastAsia"/>
        </w:rPr>
        <w:t>在项目管控方面，要建立健全生态保护监管机制，加强对项目建设和运营全过程的监督和管理，确保各项生态保护措施得到有效落实。定期开展区域生态空间保护区域遥感监测核查，及时发现违法违规人类活动行为，对于违反生态保护要求的项目相关开发建设，要依法依规进行严肃处理，切实维护生态保护红线和生态空间管控区的权威性和有效性。</w:t>
      </w:r>
    </w:p>
    <w:p w14:paraId="361FA42D">
      <w:pPr>
        <w:ind w:firstLine="482"/>
        <w:rPr>
          <w:b/>
          <w:bCs/>
        </w:rPr>
      </w:pPr>
      <w:r>
        <w:rPr>
          <w:rFonts w:hint="eastAsia"/>
          <w:b/>
          <w:bCs/>
        </w:rPr>
        <w:t>（2）加强本轮规划与上位土地利用规划的协调性</w:t>
      </w:r>
    </w:p>
    <w:p w14:paraId="76EA2750">
      <w:pPr>
        <w:ind w:firstLine="480"/>
      </w:pPr>
      <w:r>
        <w:rPr>
          <w:rFonts w:hint="eastAsia"/>
        </w:rPr>
        <w:t>在规划实施过程中，应注重与上位土地利用总体规划的衔接，确保规划目标的一致性和规划措施的可操作性。本轮规划将适度增加居住用地和商业及服务业设施用地，逐步优化度假区用地结构，不断完善旅游服务基础设施，以满足游客和居民休闲游憩需求。度假区部分旅游项目建设涉及新增建设用地，建议度假区在开发建设过程中，如需占用一般农用地，可通过对撤并村庄进行搬迁、土地复垦等措施，补充数量相等、质量相当的耕地，以满足“以补定占、先补后占”的规定。确需占用林地的，应当经林业主管部门审核同意，依法办理建设用地审批手续，同时结合林保规划修编工作，合理规划利用区域用地。对于规划中涉及的新增建设用地指标，建议提前与上级国土部门沟通协调，争取纳入年度土地利用计划，保障规划顺利落地。同时，要加强对规划实施过程的动态监测和评估，及时调整优化规划方案，确保规划的科学性和合理性。</w:t>
      </w:r>
    </w:p>
    <w:p w14:paraId="0FF32785">
      <w:pPr>
        <w:ind w:firstLine="482"/>
        <w:rPr>
          <w:b/>
          <w:bCs/>
        </w:rPr>
      </w:pPr>
      <w:r>
        <w:rPr>
          <w:rFonts w:hint="eastAsia"/>
          <w:b/>
          <w:bCs/>
        </w:rPr>
        <w:t>（3）明确度假区绿色低碳发展目标及要求</w:t>
      </w:r>
    </w:p>
    <w:p w14:paraId="7E3FCBBD">
      <w:pPr>
        <w:ind w:firstLine="480"/>
      </w:pPr>
      <w:r>
        <w:rPr>
          <w:rFonts w:hint="eastAsia"/>
        </w:rPr>
        <w:t>度假区本身可作为一种碳汇，是有效捕集温室气体的一种途径，度假区的建立需要对生态环境起到明显改善的作用。建议度假区本轮规划要把建设绿色低碳度假区作为规划目标之一，对度假区的现有建筑进行绿色化改造，全面实施建筑节能标准，严格执行新建民用建筑全部达到绿色建筑标准。倡导低碳绿色出行方式，往返度假区内的机动车建议使用电力驱动，推广区内公交车、自行车和步行等交通方式。此外，建议度假区内大规模推广使用太阳能屋顶，减少能源消耗。</w:t>
      </w:r>
    </w:p>
    <w:p w14:paraId="70781B3A">
      <w:pPr>
        <w:ind w:firstLine="482"/>
        <w:rPr>
          <w:b/>
          <w:bCs/>
        </w:rPr>
      </w:pPr>
      <w:r>
        <w:rPr>
          <w:rFonts w:hint="eastAsia"/>
          <w:b/>
          <w:bCs/>
        </w:rPr>
        <w:t>（4）完善高速公路、铁路防护距离控制要求</w:t>
      </w:r>
    </w:p>
    <w:p w14:paraId="4AB96CCA">
      <w:pPr>
        <w:ind w:firstLine="480"/>
      </w:pPr>
      <w:r>
        <w:rPr>
          <w:rFonts w:hint="eastAsia"/>
        </w:rPr>
        <w:t>度假区已规划沿京沪高铁交通走廊设置防护绿地，以降低交通噪声，提升景观环境，建议度假区本轮规划进一步合理规划高速公路/铁路两侧用地，距高速公路两侧、铁路外轨中心线两侧200米区域内不宜新建居民住宅、学校和医院等噪声敏感建筑物。如确需在上述规划控制范围内新建噪声敏感类建筑，新建噪声敏感类建筑应采取主动防护措施；科学规划公路（铁路）两侧建筑物的布局，临路第一排建筑宜规划为商业、办公用房等非噪声敏感建筑。</w:t>
      </w:r>
    </w:p>
    <w:p w14:paraId="468F70CD">
      <w:pPr>
        <w:ind w:firstLine="482"/>
        <w:rPr>
          <w:b/>
          <w:bCs/>
        </w:rPr>
      </w:pPr>
      <w:r>
        <w:rPr>
          <w:rFonts w:hint="eastAsia"/>
          <w:b/>
          <w:bCs/>
        </w:rPr>
        <w:t>（5）制定并完善工业企业退出时序计划及工业用地再利用要求</w:t>
      </w:r>
    </w:p>
    <w:p w14:paraId="07E74623">
      <w:pPr>
        <w:ind w:firstLine="480"/>
      </w:pPr>
      <w:r>
        <w:rPr>
          <w:rFonts w:hint="eastAsia"/>
        </w:rPr>
        <w:t>建议度假区按本轮规划的工业企业关闭搬迁序时进度计划合理安排相关工作方案，有计划、分步骤对区内现有工业企业实施停转迁。常州市金坛创新建材有限公司、常州市金坛鼎盛建材厂、常州金坛江豚钙业有限公司、金坛东运钙业有限公司4家石灰和石膏制造企业纳入整治清单，短期上以环保整治为主，2030年底前完成搬迁退出；常州市金坛区新朋建筑材料厂（普通合伙）2030年底前搬迁退出；金坛市金星包装有限公司、常州市金坛麦宝食品有限公司、金坛市金陶农配有限公司3家企业在2035年底前引导企业自主搬迁退出。</w:t>
      </w:r>
    </w:p>
    <w:p w14:paraId="4E7A6223">
      <w:pPr>
        <w:ind w:firstLine="480"/>
      </w:pPr>
      <w:r>
        <w:rPr>
          <w:rFonts w:hint="eastAsia"/>
        </w:rPr>
        <w:t>企业在未搬迁退出前，应严格落实环保要求，确保达标排放，同时加强环境管理，减少对周边环境的影响。对于纳入整治清单的企业，需按照整治要求，在规定时间内完成相应的环保整治任务，提升环保水平。对于其他企业，也应鼓励其进行技术改造和升级，降低污染物排放，实现绿色发展。</w:t>
      </w:r>
    </w:p>
    <w:p w14:paraId="4813C61C">
      <w:pPr>
        <w:ind w:firstLine="480"/>
      </w:pPr>
      <w:r>
        <w:rPr>
          <w:rFonts w:hint="eastAsia"/>
        </w:rPr>
        <w:t>企业搬迁退出后，原场地再开发利用前，搬迁遗留场地应按要求开展场地环境调查和风险评估工作，未按有关规定开展场地调查和风险评估的、未明确治理修复责任主体的，禁止进行土地流转；污染场地未经治理修复的，禁止开工建设与治理修复无关的任何项目。对于存在污染且需要治理修复的场地，应依据风险评估结果，科学制定治理修复方案，明确治理修复的目标、技术路线、时间节点等关键要素。治理修复过程中，要严格遵循相关技术规范和标准，确保治理修复效果达到环境安全要求。同时，建立场地治理修复的监督机制，加强对治理修复过程的监管，防止出现偷工减料、虚假治理等行为。治理修复完成后，需组织专业机构进行验收，验收合格后方可进行后续的土地开发利用，工业遗留地块涉及用途变更的，还需按照《土壤污染防治法》规定进行土壤污染状况调查。</w:t>
      </w:r>
    </w:p>
    <w:p w14:paraId="39A40181">
      <w:pPr>
        <w:pStyle w:val="2"/>
        <w:ind w:firstLine="0" w:firstLineChars="0"/>
      </w:pPr>
      <w:bookmarkStart w:id="143" w:name="_Toc217294080"/>
      <w:r>
        <w:t>9</w:t>
      </w:r>
      <w:r>
        <w:rPr>
          <w:rFonts w:hint="eastAsia"/>
        </w:rPr>
        <w:t>环境影响减缓对策和措施</w:t>
      </w:r>
      <w:bookmarkEnd w:id="143"/>
    </w:p>
    <w:p w14:paraId="63DA89D4">
      <w:pPr>
        <w:pStyle w:val="3"/>
        <w:ind w:firstLine="0" w:firstLineChars="0"/>
        <w:rPr>
          <w:rFonts w:cs="Times New Roman"/>
        </w:rPr>
      </w:pPr>
      <w:bookmarkStart w:id="144" w:name="_Toc217294081"/>
      <w:r>
        <w:rPr>
          <w:rFonts w:hint="eastAsia" w:cs="Times New Roman"/>
        </w:rPr>
        <w:t>9</w:t>
      </w:r>
      <w:r>
        <w:rPr>
          <w:rFonts w:cs="Times New Roman"/>
        </w:rPr>
        <w:t>.1</w:t>
      </w:r>
      <w:r>
        <w:rPr>
          <w:rFonts w:hint="eastAsia" w:cs="Times New Roman"/>
        </w:rPr>
        <w:t>资源节约利用和碳减排</w:t>
      </w:r>
      <w:bookmarkEnd w:id="144"/>
    </w:p>
    <w:p w14:paraId="51E66D4B">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9.1.1 资源节约利用</w:t>
      </w:r>
    </w:p>
    <w:p w14:paraId="0FFBC9F0">
      <w:pPr>
        <w:ind w:firstLine="482"/>
        <w:rPr>
          <w:b/>
          <w:bCs/>
        </w:rPr>
      </w:pPr>
      <w:r>
        <w:rPr>
          <w:rFonts w:hint="eastAsia"/>
          <w:b/>
          <w:bCs/>
        </w:rPr>
        <w:t>（1）土地资源</w:t>
      </w:r>
    </w:p>
    <w:p w14:paraId="497EC10C">
      <w:pPr>
        <w:ind w:firstLine="480"/>
      </w:pPr>
      <w:r>
        <w:rPr>
          <w:rFonts w:hint="eastAsia"/>
        </w:rPr>
        <w:t>严守耕地保护红线，严格保护度假区内耕地，严格土地用途管制。禁止破坏耕地，制止闲置、荒芜耕地的行为，引进的建设项目需占用耕地的，必须按照“占一补一”的原则以及国家和地方的相关规定，通过土地复垦等措施，补充数量相等、质量相当的耕地，严格执行耕地占补平衡政策。度假区内工业企业若涉及土壤环境污染重点监管单位或重点监管单位以外的企事业单位和其他生产经营者生产经营活动涉及有毒有害物质的，在搬迁原场地前完成场地环境调查和风险评估工作，再根据度假区规划进行开发建设。</w:t>
      </w:r>
    </w:p>
    <w:p w14:paraId="1EC0C06E">
      <w:pPr>
        <w:ind w:firstLine="482"/>
        <w:rPr>
          <w:b/>
          <w:bCs/>
        </w:rPr>
      </w:pPr>
      <w:r>
        <w:rPr>
          <w:rFonts w:hint="eastAsia"/>
          <w:b/>
          <w:bCs/>
        </w:rPr>
        <w:t>（2）水资源</w:t>
      </w:r>
    </w:p>
    <w:p w14:paraId="63A2F1FB">
      <w:pPr>
        <w:ind w:firstLine="480"/>
      </w:pPr>
      <w:r>
        <w:rPr>
          <w:rFonts w:hint="eastAsia"/>
        </w:rPr>
        <w:t>度假区应大力推行节水措施，推进水循环利用，发展节水型农业、工业和服务业，建立节水型社会。加大水资源的保护和治污力度，提高水资源的承载能力。在度假区内大力加强节水宣传，增强节水意识，普及节水知识，形成珍惜水、节约水、爱惜水的良好氛围。</w:t>
      </w:r>
    </w:p>
    <w:p w14:paraId="7D2A28F5">
      <w:pPr>
        <w:ind w:firstLine="482"/>
        <w:rPr>
          <w:b/>
          <w:bCs/>
        </w:rPr>
      </w:pPr>
      <w:r>
        <w:rPr>
          <w:rFonts w:hint="eastAsia"/>
          <w:b/>
          <w:bCs/>
        </w:rPr>
        <w:t>（3）能源资源</w:t>
      </w:r>
    </w:p>
    <w:p w14:paraId="55724C18">
      <w:pPr>
        <w:ind w:firstLine="480"/>
      </w:pPr>
      <w:r>
        <w:rPr>
          <w:rFonts w:hint="eastAsia"/>
        </w:rPr>
        <w:t>度假区需控制能源消费总量，优化能源结构，加强节能降耗，支持节能低碳产业和新能源、可再生能源发展，推动可再生能源与建筑一体化应用。大力发展循环经济，促进生产、流通、消费过程的减量化、再利用、资源化。</w:t>
      </w:r>
    </w:p>
    <w:p w14:paraId="1CDE0FC2">
      <w:pPr>
        <w:ind w:firstLine="482"/>
        <w:rPr>
          <w:b/>
          <w:bCs/>
        </w:rPr>
      </w:pPr>
      <w:r>
        <w:rPr>
          <w:rFonts w:hint="eastAsia"/>
          <w:b/>
          <w:bCs/>
        </w:rPr>
        <w:t>（4）矿产资源</w:t>
      </w:r>
    </w:p>
    <w:p w14:paraId="0E0F538E">
      <w:pPr>
        <w:ind w:firstLine="480"/>
      </w:pPr>
      <w:r>
        <w:rPr>
          <w:rFonts w:hint="eastAsia"/>
        </w:rPr>
        <w:t>加强矿产资源勘查、保护、合理开发，严格控制度假区范围内矿产资源开发利用规模，提高矿产资源勘查合理开采和综合利用水平。采矿结束后，及时开展生态修复，恢复区域生态功能和稳定性。</w:t>
      </w:r>
    </w:p>
    <w:p w14:paraId="7D052C66">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9.1.2 碳减排</w:t>
      </w:r>
    </w:p>
    <w:p w14:paraId="4A853FA3">
      <w:pPr>
        <w:ind w:firstLine="482"/>
        <w:rPr>
          <w:b/>
          <w:bCs/>
        </w:rPr>
      </w:pPr>
      <w:r>
        <w:rPr>
          <w:rFonts w:hint="eastAsia"/>
          <w:b/>
          <w:bCs/>
        </w:rPr>
        <w:t>（1）推动低碳建筑发展</w:t>
      </w:r>
    </w:p>
    <w:p w14:paraId="74E73058">
      <w:pPr>
        <w:ind w:firstLine="480"/>
      </w:pPr>
      <w:r>
        <w:rPr>
          <w:rFonts w:hint="eastAsia"/>
        </w:rPr>
        <w:t>全面实施建筑节能标准。严格执行建筑节能标准，提高新建建筑能效水平，强化建筑项目建设全过程监督管理，新建度假区内居住建筑项目应按照《江苏省绿色建筑设计标准》和《绿色建筑评价标准》一星级或者以上绿色建筑标准设计建造，其中二星级及其以上比例不低于50%并取得绿色建筑设计标识；新建公共建筑项目应按照二星级或者以上绿色建筑标准设计建造并取得绿色建筑设计标识。使用国有资金投资或者国家融资的建筑项目应当率先采用二星级或者以上绿色建筑标准设计建造并取得绿色建筑设计标识；使用国有资金投资或者国家融资的公共建筑项目通过竣工验收并投入运营一年后应当进行绿色建筑运行标识认证，鼓励其他建筑在投入运行后进行绿色建筑运行标识认证。</w:t>
      </w:r>
    </w:p>
    <w:p w14:paraId="6436A1E4">
      <w:pPr>
        <w:ind w:firstLine="480"/>
      </w:pPr>
      <w:r>
        <w:rPr>
          <w:rFonts w:hint="eastAsia"/>
        </w:rPr>
        <w:t>开展绿色建筑区域推广示范。按照绿色生态发展理念，推进综合管廊建设、资源能源综合利用等节约型城乡建设重点工作，强化城镇节能工作。推广新型墙体材料等绿色建材和建筑节能技术，发展建筑节能服务市场。积极推动建设领域能源结构调整，推广太阳能光热建筑一体化，合理开发浅层地热能、生物质能，推动可再生能源与建筑一体化应用。实施“屋顶计划”，鼓励在厂房、学校、医院、党政机关、事业单位、居民社区安装分布式光伏发电系统。</w:t>
      </w:r>
    </w:p>
    <w:p w14:paraId="1EEDA6D5">
      <w:pPr>
        <w:ind w:firstLine="480"/>
      </w:pPr>
      <w:r>
        <w:rPr>
          <w:rFonts w:hint="eastAsia"/>
        </w:rPr>
        <w:t>加强建筑节能全过程监管。严格执行国家、江苏省建筑节能规定，加强新建建筑立项、设计、施工全过程节能监管。新建机关办公建筑和大型公共建筑应安装建筑能耗分项计量装置，并纳入建筑节能分部工程进行验收。加强建筑节能监管工作，对达不到民用建筑节能设计标准的新建建筑，不得办理开工和竣工备案手续，政府投资的公共建筑、保障性住房新建建筑严格执行强制性节能标准。强化建筑能耗监测与能效测评监管工作，开展公共建筑能耗统计、能源审计和能效公示等工作，确定重点用能单位、高耗能建筑和节能标杆建筑。</w:t>
      </w:r>
    </w:p>
    <w:p w14:paraId="1E260EA6">
      <w:pPr>
        <w:ind w:firstLine="480"/>
      </w:pPr>
      <w:r>
        <w:rPr>
          <w:rFonts w:hint="eastAsia"/>
        </w:rPr>
        <w:t>加大既有建筑节能改造力度。积极推动既有公共建筑和居住建筑节能改造，重点选择大型公共建筑和国家机关办公建筑作为重点改造对象。鼓励度假区综合采用节能、节水、屋顶绿化、外墙改造等措施进行绿色化改造。鼓励公共场所及家庭使用节水器具，住宅建筑使用节水龙头、节水坐便器、节水淋浴器、节水型电器，办公、商场、宾馆采用自动关闭水龙头，高效节水洗衣机、节水空调冷却塔等。推进建筑智能化管理和合同能源管理的应用，形成政府、金融机构、房地产企业、节能服务公司和用户方的多元化投入，拓宽既有建筑节能改造投融资渠道。</w:t>
      </w:r>
    </w:p>
    <w:p w14:paraId="350CC4E8">
      <w:pPr>
        <w:ind w:firstLine="482"/>
        <w:rPr>
          <w:b/>
          <w:bCs/>
        </w:rPr>
      </w:pPr>
      <w:r>
        <w:rPr>
          <w:rFonts w:hint="eastAsia"/>
          <w:b/>
          <w:bCs/>
        </w:rPr>
        <w:t>（2）倡导低碳生活方式</w:t>
      </w:r>
    </w:p>
    <w:p w14:paraId="45EAC083">
      <w:pPr>
        <w:ind w:firstLine="480"/>
      </w:pPr>
      <w:r>
        <w:rPr>
          <w:rFonts w:hint="eastAsia"/>
        </w:rPr>
        <w:t>鼓励绿色出行。落实公交优先战略，推行城市公共交通、自行车、步行的城市交通模式。降低公共交通出行费用，对换乘等实施优惠政策，鼓励城乡居民选择公共交通工具出行。加大城市交通拥堵治理力度，优化公交智能化实时运营调度系统，扶持和鼓励提供班车、校车服务，实施差别化停车收费，研究实施出租汽车合乘政策，减少机动车上路行驶总量。</w:t>
      </w:r>
    </w:p>
    <w:p w14:paraId="59E83F53">
      <w:pPr>
        <w:ind w:firstLine="480"/>
      </w:pPr>
      <w:r>
        <w:rPr>
          <w:rFonts w:hint="eastAsia"/>
        </w:rPr>
        <w:t>推广绿色产品，严格限制一次性用品的生产、销售和使用，进一步推广可降解塑料袋或重复利用的布袋或纸袋。对能效标识产品、节能节水认证产品、环境标志产品和无公害标志食品等绿色标识产品生产、销售和消费全过程采取税收优惠或财政补贴，畅通绿色产品流通渠道，扩大市场占有率。鼓励引导超市中节能、环境标志产品的销售，利用宣传栏、广播介绍。</w:t>
      </w:r>
    </w:p>
    <w:p w14:paraId="3DD235E9">
      <w:pPr>
        <w:ind w:firstLine="480"/>
      </w:pPr>
      <w:r>
        <w:rPr>
          <w:rFonts w:hint="eastAsia"/>
        </w:rPr>
        <w:t>建设节约型政府、节约型企业。规范节约型行为，全面扩大政府、企业绿色采购范围，提高政府、企业绿色采购规模。按照紧凑、通畅的原则合理安排各部门办公场所，尽量减少电梯的使用次数；推行无纸化与网络化办公；强化行政部门的废旧办公设备统一登记、备案并集中回收，严格执行政府、企业对节能环保产品的优先采购和强制采购制度，逐步提高政府、企业采购中可循环使用的产品、再生产品以及节能、节水、无污染的绿色产品的比例，将低碳产品列入优先采购计划。</w:t>
      </w:r>
    </w:p>
    <w:p w14:paraId="446AEE8E">
      <w:pPr>
        <w:ind w:firstLine="482"/>
        <w:rPr>
          <w:b/>
          <w:bCs/>
        </w:rPr>
      </w:pPr>
      <w:r>
        <w:rPr>
          <w:rFonts w:hint="eastAsia"/>
          <w:b/>
          <w:bCs/>
        </w:rPr>
        <w:t>（3）加快农业绿色发展</w:t>
      </w:r>
    </w:p>
    <w:p w14:paraId="554E9F4B">
      <w:pPr>
        <w:ind w:firstLine="480"/>
      </w:pPr>
      <w:r>
        <w:rPr>
          <w:rFonts w:hint="eastAsia"/>
        </w:rPr>
        <w:t>加快推进生态循环农业建设，推广农牧（渔）种养结合生态循环发展模式，加强绿色食品、有机农产品认证和管理。推进农作物秸秆综合利用，促进畜禽粪污资源化利用，示范推广全生物降解地膜及一膜多用等地膜减量替代技术。推进化肥农药减量增效，建设有机肥替代化肥示范区（片）。</w:t>
      </w:r>
    </w:p>
    <w:p w14:paraId="4441D4B1">
      <w:pPr>
        <w:pStyle w:val="3"/>
        <w:ind w:firstLine="0" w:firstLineChars="0"/>
        <w:rPr>
          <w:rFonts w:cs="Times New Roman"/>
        </w:rPr>
      </w:pPr>
      <w:bookmarkStart w:id="145" w:name="_Toc217294082"/>
      <w:r>
        <w:rPr>
          <w:rFonts w:hint="eastAsia" w:cs="Times New Roman"/>
        </w:rPr>
        <w:t>9.2环境风险防范对策</w:t>
      </w:r>
      <w:bookmarkEnd w:id="145"/>
    </w:p>
    <w:p w14:paraId="2C8958FA">
      <w:pPr>
        <w:ind w:firstLine="0" w:firstLineChars="0"/>
        <w:jc w:val="left"/>
        <w:rPr>
          <w:b/>
          <w:bCs/>
        </w:rPr>
      </w:pPr>
      <w:r>
        <w:rPr>
          <w:rFonts w:hint="eastAsia"/>
          <w:b/>
          <w:bCs/>
        </w:rPr>
        <w:t>9.2.1建立健全环境风险防范和应急职能机构</w:t>
      </w:r>
    </w:p>
    <w:p w14:paraId="2C273E05">
      <w:pPr>
        <w:ind w:firstLine="480"/>
      </w:pPr>
      <w:r>
        <w:rPr>
          <w:rFonts w:hint="eastAsia"/>
        </w:rPr>
        <w:t>进一步完善度假区环境风险应急体系，提高度假区应对突发环境事件的预防、预警和应急处置能力。成立专门的环境风险应急控制指挥中心，总指挥由度假区管理部门主要负责人担任；进一步优化组织机构，协调度假区和地方力量，共同应对风险。指挥中心成员应包括具备完成某项任务的能力、职责、权力及资源的度假区有关负责人或地方的环保、通讯、消防、公安、医疗、新闻等机构的负责人。指挥部成员直接领导各下属应急专业队，并向总指挥负责，由总指挥协调各队工作的进行。建立应急资源动态管理信息库：应急资源不仅包括应急物资等，还包括信息沟通系统、应急专家等。建设完善的信息沟通网络，确保事故信息能及时反映到管理中心。</w:t>
      </w:r>
    </w:p>
    <w:p w14:paraId="78831F6D">
      <w:pPr>
        <w:ind w:firstLine="0" w:firstLineChars="0"/>
        <w:jc w:val="left"/>
        <w:rPr>
          <w:b/>
          <w:bCs/>
        </w:rPr>
      </w:pPr>
      <w:r>
        <w:rPr>
          <w:rFonts w:hint="eastAsia"/>
          <w:b/>
          <w:bCs/>
        </w:rPr>
        <w:t>9.2.2加强现有企业的环境风险管理</w:t>
      </w:r>
    </w:p>
    <w:p w14:paraId="5959A217">
      <w:pPr>
        <w:ind w:firstLine="480"/>
      </w:pPr>
      <w:r>
        <w:rPr>
          <w:rFonts w:hint="eastAsia"/>
        </w:rPr>
        <w:t>加快组织实施现有传统生产性工业企业停转迁进程，区内现状企业需有序实施停转迁，有条件的可逐步迁入周边工业园区或工业集中区。度假区环境管理部门应加强对区内现状企业工艺、设备、控制、生产环节、危险品储运、电气电讯、消防、安全生产管理等方面环境风险防范能力建设的管理和监督，定期检查其环境风险防范措施的落实情况。存在环境风险的企业或单位应及时组织编制和定期完善突发环境事件应急预案，储备应急物资，并定期组织演练。</w:t>
      </w:r>
    </w:p>
    <w:p w14:paraId="5EAC322E">
      <w:pPr>
        <w:ind w:firstLine="0" w:firstLineChars="0"/>
        <w:jc w:val="left"/>
        <w:rPr>
          <w:b/>
          <w:bCs/>
        </w:rPr>
      </w:pPr>
      <w:r>
        <w:rPr>
          <w:rFonts w:hint="eastAsia"/>
          <w:b/>
          <w:bCs/>
        </w:rPr>
        <w:t>9.2.3促进规范化旅游管理</w:t>
      </w:r>
    </w:p>
    <w:p w14:paraId="0F0E0926">
      <w:pPr>
        <w:ind w:firstLine="480"/>
      </w:pPr>
      <w:r>
        <w:rPr>
          <w:rFonts w:hint="eastAsia"/>
        </w:rPr>
        <w:t>茅山旅游度假区开发建设应实行严格的行政管理，保护生物多样性、保护洁净的环境、保护自然景观；制定详细的区域旅游资源开发和管理条例或政策，使开发有章可循，有据可依，保证生态旅游的规范化、制度化和科学化；对各种经营活动加强管理，增强安全意识及环境保护意识。</w:t>
      </w:r>
    </w:p>
    <w:p w14:paraId="2881A2A4">
      <w:pPr>
        <w:ind w:firstLine="0" w:firstLineChars="0"/>
        <w:jc w:val="left"/>
        <w:rPr>
          <w:b/>
          <w:bCs/>
        </w:rPr>
      </w:pPr>
      <w:r>
        <w:rPr>
          <w:rFonts w:hint="eastAsia"/>
          <w:b/>
          <w:bCs/>
        </w:rPr>
        <w:t>9.2.4科学控制旅游规模</w:t>
      </w:r>
    </w:p>
    <w:p w14:paraId="10492B06">
      <w:pPr>
        <w:ind w:firstLine="480"/>
      </w:pPr>
      <w:r>
        <w:rPr>
          <w:rFonts w:hint="eastAsia"/>
        </w:rPr>
        <w:t>根据茅山旅游度假区旅游空间资源承载力，在旅游旺季、节假日、黄金周等采取必要措施适度调控旅游规模，充分发挥茅山旅游度假区的生态效益、经济效益和社会效益的有机融合。</w:t>
      </w:r>
    </w:p>
    <w:p w14:paraId="6204368E">
      <w:pPr>
        <w:ind w:firstLine="480" w:firstLineChars="0"/>
        <w:rPr>
          <w:b/>
          <w:bCs/>
        </w:rPr>
      </w:pPr>
      <w:r>
        <w:rPr>
          <w:rFonts w:hint="eastAsia"/>
          <w:b/>
          <w:bCs/>
        </w:rPr>
        <w:t>（1）实时监测</w:t>
      </w:r>
    </w:p>
    <w:p w14:paraId="56ADDA53">
      <w:pPr>
        <w:ind w:firstLine="480"/>
      </w:pPr>
      <w:r>
        <w:rPr>
          <w:rFonts w:hint="eastAsia"/>
        </w:rPr>
        <w:t>推进游客流量监测常态化，使用流量计数器来实现对茅山旅游度假区游客的实时统计，构建“智慧化度假区”平台；通过公共媒体、公众号等渠道，及时公布茅山旅游度假区旅游者流量，供旅游者出游决策时参考。</w:t>
      </w:r>
    </w:p>
    <w:p w14:paraId="669D7BD7">
      <w:pPr>
        <w:ind w:firstLine="482"/>
        <w:rPr>
          <w:b/>
          <w:bCs/>
        </w:rPr>
      </w:pPr>
      <w:r>
        <w:rPr>
          <w:rFonts w:hint="eastAsia"/>
          <w:b/>
          <w:bCs/>
        </w:rPr>
        <w:t>（2）疏导分流</w:t>
      </w:r>
    </w:p>
    <w:p w14:paraId="42A4D134">
      <w:pPr>
        <w:ind w:firstLine="480"/>
      </w:pPr>
      <w:r>
        <w:rPr>
          <w:rFonts w:hint="eastAsia"/>
        </w:rPr>
        <w:t>茅山旅游度假区内游客数量达到预警值时，及时启动包括交通调控、入口调控等措施控制旅游者流量。交通调控。有针对性地启动交通运力动态调整预案，通过周边道路管控、区内停车控制等措施削减游客，错峰接待。入口调控。合理设计游客排队等候的方式和途径。通过开通快速入区通道疏导分流入口处游客；通过折扣补偿、延长有效期、多种形式的通票等，减少度假区人口或设备设施入口的旅游者数量；在茅山旅游度假区入口，增设电子显示牌，提供给旅游者最及时的信息。</w:t>
      </w:r>
    </w:p>
    <w:p w14:paraId="47FA9986">
      <w:pPr>
        <w:ind w:firstLine="482"/>
        <w:rPr>
          <w:b/>
          <w:bCs/>
        </w:rPr>
      </w:pPr>
      <w:r>
        <w:rPr>
          <w:rFonts w:hint="eastAsia"/>
          <w:b/>
          <w:bCs/>
        </w:rPr>
        <w:t>（3）预警上报</w:t>
      </w:r>
    </w:p>
    <w:p w14:paraId="73E07727">
      <w:pPr>
        <w:ind w:firstLine="480"/>
      </w:pPr>
      <w:r>
        <w:rPr>
          <w:rFonts w:hint="eastAsia"/>
        </w:rPr>
        <w:t>茅山旅游度假区内旅游者数量接近最大承载量时，应当向社会公告并同时向金坛区、薛埠镇人民政府报告，同时在当地人民政府的指挥、指导、协助下，配合主管部门和旅游行政主管部门启动应急预案。</w:t>
      </w:r>
    </w:p>
    <w:p w14:paraId="05480C55">
      <w:pPr>
        <w:ind w:firstLine="0" w:firstLineChars="0"/>
        <w:jc w:val="left"/>
        <w:rPr>
          <w:b/>
          <w:bCs/>
        </w:rPr>
      </w:pPr>
      <w:r>
        <w:rPr>
          <w:rFonts w:hint="eastAsia"/>
          <w:b/>
          <w:bCs/>
        </w:rPr>
        <w:t>9.2.5完善社会应急救援系统</w:t>
      </w:r>
    </w:p>
    <w:p w14:paraId="380DC16A">
      <w:pPr>
        <w:ind w:firstLine="480"/>
      </w:pPr>
      <w:r>
        <w:rPr>
          <w:rFonts w:hint="eastAsia"/>
        </w:rPr>
        <w:t>当度假区环境风险应急救援指挥中心确定凭借自身力量难以有效控制风险事故时，应立即向上级单位和协作单位请求外援，并根据具体情况决定抢救等待还是撤离事故中心区域人员。依托环境监测部门对度假区周围环境开展监测，以确定风险事故的影响程度，并对影响范围内的居民进行疏散；借助新闻媒体，向社会公布救援进展。</w:t>
      </w:r>
    </w:p>
    <w:p w14:paraId="02C1E39E">
      <w:pPr>
        <w:ind w:firstLine="0" w:firstLineChars="0"/>
        <w:jc w:val="left"/>
        <w:rPr>
          <w:b/>
          <w:bCs/>
        </w:rPr>
      </w:pPr>
      <w:r>
        <w:rPr>
          <w:rFonts w:hint="eastAsia"/>
          <w:b/>
          <w:bCs/>
        </w:rPr>
        <w:t>9.2.6加强森林防火工作</w:t>
      </w:r>
    </w:p>
    <w:p w14:paraId="6345CB49">
      <w:pPr>
        <w:ind w:firstLine="480"/>
      </w:pPr>
      <w:r>
        <w:rPr>
          <w:rFonts w:hint="eastAsia"/>
        </w:rPr>
        <w:t>加强护林员队伍建设与培训，制定实施岗位责任制、跟踪考察、奖惩兑现等条例措施，进一步加强护林员队伍建设，调动职工工作积极性，加大对林内火源监控力度；严格野外火源管理，完善扑火预案，备足扑火物资，专业扑火队伍24小时待命；在区内主要路口、林缘及各景点设置防火标志和宣传牌。</w:t>
      </w:r>
    </w:p>
    <w:p w14:paraId="079493C8">
      <w:pPr>
        <w:ind w:firstLine="0" w:firstLineChars="0"/>
        <w:jc w:val="left"/>
        <w:rPr>
          <w:b/>
          <w:bCs/>
        </w:rPr>
      </w:pPr>
      <w:r>
        <w:rPr>
          <w:rFonts w:hint="eastAsia"/>
          <w:b/>
          <w:bCs/>
        </w:rPr>
        <w:t>9.2.7加强应急物资装备储备</w:t>
      </w:r>
    </w:p>
    <w:p w14:paraId="69F6051E">
      <w:pPr>
        <w:ind w:firstLine="480"/>
      </w:pPr>
      <w:r>
        <w:rPr>
          <w:rFonts w:hint="eastAsia"/>
        </w:rPr>
        <w:t>统筹规划度假区应急物资储备种类和布局，加快建设政府储备与社会储备、实物储备与能力储备、集中储备与分散储备相结合的多层次储备体系。逐步完善应急物资生产、储备、调拨、紧急配送和监管机制，强化动态管理，建立度假区应急物资保障体系。完成各专业应急物资储备库和救灾物资储备库建设，逐步完善处突、防汛抢险、灭火救援、动物疫病防控、医疗救治、防震救灾、化学品泄漏和环境污染处置等应急物资储备。健全救灾物资社会捐赠和监管机制，提高社会应急救灾物资紧急动员能力。</w:t>
      </w:r>
    </w:p>
    <w:p w14:paraId="1E2F4936">
      <w:pPr>
        <w:pStyle w:val="3"/>
        <w:ind w:firstLine="0" w:firstLineChars="0"/>
        <w:rPr>
          <w:rFonts w:cs="Times New Roman"/>
        </w:rPr>
      </w:pPr>
      <w:bookmarkStart w:id="146" w:name="_Toc217294083"/>
      <w:r>
        <w:rPr>
          <w:rFonts w:hint="eastAsia" w:cs="Times New Roman"/>
        </w:rPr>
        <w:t>9.3生态环境保护与污染防治对策和措施</w:t>
      </w:r>
      <w:bookmarkEnd w:id="146"/>
    </w:p>
    <w:p w14:paraId="17185305">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9.3.1 生态环境保护措施</w:t>
      </w:r>
    </w:p>
    <w:p w14:paraId="1B359559">
      <w:pPr>
        <w:ind w:firstLine="482"/>
        <w:rPr>
          <w:b/>
          <w:bCs/>
        </w:rPr>
      </w:pPr>
      <w:r>
        <w:rPr>
          <w:rFonts w:hint="eastAsia"/>
          <w:b/>
          <w:bCs/>
        </w:rPr>
        <w:t>（1）加强生态空间管控区域环境保护</w:t>
      </w:r>
    </w:p>
    <w:p w14:paraId="71AF4973">
      <w:pPr>
        <w:ind w:firstLine="480"/>
      </w:pPr>
      <w:r>
        <w:rPr>
          <w:rFonts w:hint="eastAsia"/>
        </w:rPr>
        <w:t>对照《江苏省2023年度生态环境分区管控动态更新成果公告》（2024年6月13日）和《常州市生态环境分区管控动态更新成果（2023年版）》，本轮规划区域内涉及生态保护红线—江苏常州金坛茅东省级森林公园，以及茅东山地水源涵养区、四棚洼生态公益林、方山（金坛区）森林公园、向阳水库水源涵养区4个生态空间管控区。</w:t>
      </w:r>
    </w:p>
    <w:p w14:paraId="6CA1C3F9">
      <w:pPr>
        <w:ind w:firstLine="480"/>
      </w:pPr>
      <w:r>
        <w:rPr>
          <w:rFonts w:hint="eastAsia"/>
        </w:rPr>
        <w:t>生态空间管控范围内相关开发建设，需严格落实《江苏省国家级生态保护红线规划》《江苏省生态空间管控区域规划》《关于加强生态保护红线管理的通知（试行）》等现行管理办法要求，生态保护红线内严禁不符合主体功能定位的各类开发活动，仅允许开展对生态功能不造成破坏的有限人为活动，如适度参观旅游、科普宣教及符合相关规划的配套性服务设施和相关的必要公共设施建设及维护等；生态空间管控区内以生态保护为重点，原则上不得开展有损主导生态功能的开发建设活动，不得随意占用和调整，对不同类型和保护对象，实行共同与差别化的管控措施。范围内相关项目的开发建设，需严格落实项目准入要求，要确保开发活动符合生态保护红线及生态空间管控区域的规划定位。对于可能对生态环境产生影响的项目，需要进行全面的环境影响评价，充分评估项目对生态功能、生物多样性等方面的影响。同时，加强对项目建设和运营过程的监管，督促建设单位严格落实各项生态保护措施，防止出现破坏生态环境的行为。</w:t>
      </w:r>
    </w:p>
    <w:p w14:paraId="14E829C3">
      <w:pPr>
        <w:ind w:firstLine="480"/>
      </w:pPr>
      <w:r>
        <w:rPr>
          <w:rFonts w:hint="eastAsia"/>
        </w:rPr>
        <w:t>在生态环境保护及监管方面，度假区需严格落实《江苏省生态空间管控区域监督管理办法》相关要求，加强范围内开发建设活动监管力度，利用现代信息技术手段，如遥感监测、无人机巡查等，实现对生态保护红线和生态空间管控区域的各类开发建设活动实时动态监管。对于发现的违规开发建设行为，将依法依规进行严肃处理，并责令限期整改，恢复生态环境。此外，区域的生态环境保护修复工作应对照《江苏省自然生态保护修复负面清单（2025年版）》，依据该清单明确禁止和限制的行为，避免在生态保护修复过程中出现不当举措。并且建立健全生态环境保护长效机制，加强与相关部门的沟通协作，形成监管合力，共同守护好生态空间管控区域的生态环境。</w:t>
      </w:r>
    </w:p>
    <w:p w14:paraId="2996CC86">
      <w:pPr>
        <w:ind w:firstLine="480"/>
      </w:pPr>
      <w:r>
        <w:rPr>
          <w:rFonts w:hint="eastAsia"/>
        </w:rPr>
        <w:t>加强区域自然保护地、风景名胜区等重点区域的保护与管理，制定针对性的保护方案，明确保护目标和责任主体。自然保护地、风景名胜区等核心区域原则上禁止人为活动。加大对生态空间保护区域内生物多样性的保护力度，开展生物多样性调查与监测工作，掌握区域内生物种类、数量及分布情况，为保护工作提供科学依据。对于受到威胁的物种，采取就地保护、迁地保护等措施，确保其生存和繁衍。同时加强对区域内自然景观和人文景观的保护，维护其完整性和原真性，避免因人类活动对其造成破坏。</w:t>
      </w:r>
    </w:p>
    <w:p w14:paraId="1930EA61">
      <w:pPr>
        <w:ind w:firstLine="482"/>
        <w:rPr>
          <w:b/>
          <w:bCs/>
        </w:rPr>
      </w:pPr>
      <w:r>
        <w:rPr>
          <w:rFonts w:hint="eastAsia"/>
          <w:b/>
          <w:bCs/>
        </w:rPr>
        <w:t>（2）严格管控基本农田和耕地利用</w:t>
      </w:r>
    </w:p>
    <w:p w14:paraId="049C3979">
      <w:pPr>
        <w:ind w:firstLine="480"/>
      </w:pPr>
      <w:r>
        <w:rPr>
          <w:rFonts w:hint="eastAsia"/>
        </w:rPr>
        <w:t>度假区内建设项目不得占用永久基本农田，临时用地一般不得占用永久基本农田，建设项目施工和地质勘查需要临时用地、选址确实难以避让永久基本农田的，在不修建永久性建（构）筑物、经复垦能恢复原种植条件的前提下，土地使用者按法定程序申请临时用地并编制土地复垦方案，经县级自然资源主管部门批准可临时占用，并在市级自然资源主管部门备案，一般不超过两年，同时，通过耕地耕作层土壤剥离再利用等工程技术措施，减少对耕作层的破坏。</w:t>
      </w:r>
    </w:p>
    <w:p w14:paraId="78558D34">
      <w:pPr>
        <w:ind w:firstLine="480"/>
      </w:pPr>
      <w:r>
        <w:rPr>
          <w:rFonts w:hint="eastAsia"/>
        </w:rPr>
        <w:t>严禁违规占用永久基本农田发展林果业、挖塘养鱼、非法取土等行为，严格控制农业设施建设用地使用永久基本农田。建立用途管制审批负面清单制度，对非农建设占用永久基本农田实行最严格审批，落实“占一补一、先补后占”要求。加强农田基础设施建设，完善灌排体系、田间道路等配套，提升永久基本农田宜机化水平和稳产高产能力。</w:t>
      </w:r>
    </w:p>
    <w:p w14:paraId="0516F137">
      <w:pPr>
        <w:ind w:firstLine="480"/>
      </w:pPr>
      <w:r>
        <w:rPr>
          <w:rFonts w:hint="eastAsia"/>
        </w:rPr>
        <w:t>茅山旅游度假区征地应与《常州市国土空间总体规划（2021-2035年》正充分衔接，发挥国土空间规划对土地资源要素保障的引导、统筹和控制作用，尽量减少因项目建设带来的耕地减少，耕地占用按照“占多少，垦多少”的原则，实行占用耕地补偿制度。实施耕地质量提升行动，推广秸秆还田、绿肥种植、有机肥施用等技术，持续改善土壤理化性状。</w:t>
      </w:r>
    </w:p>
    <w:p w14:paraId="5C307F0E">
      <w:pPr>
        <w:ind w:firstLine="482"/>
        <w:rPr>
          <w:b/>
          <w:bCs/>
        </w:rPr>
      </w:pPr>
      <w:r>
        <w:rPr>
          <w:rFonts w:hint="eastAsia"/>
          <w:b/>
          <w:bCs/>
        </w:rPr>
        <w:t>（3）加强土地利用保护</w:t>
      </w:r>
    </w:p>
    <w:p w14:paraId="4B871F24">
      <w:pPr>
        <w:ind w:firstLine="480"/>
      </w:pPr>
      <w:r>
        <w:rPr>
          <w:rFonts w:hint="eastAsia"/>
        </w:rPr>
        <w:t>严格控制建设项目规模，线路设计应最大限度减少对敏感物种的影响，并考虑构建生态廊道，有利于物种迁徙和繁衍，保护动植物生境；旅游项目选址应优化设计，尽量选择对现有建筑进行优化提升，不得占用永久基本农田、生态保护红线等保护区域；同时，项目建设应按总体规划分期分批进行，筛选最佳建设方案，力求同自然景观、生态环境相融洽。</w:t>
      </w:r>
    </w:p>
    <w:p w14:paraId="19C286DD">
      <w:pPr>
        <w:ind w:firstLine="480"/>
      </w:pPr>
      <w:r>
        <w:rPr>
          <w:rFonts w:hint="eastAsia"/>
        </w:rPr>
        <w:t>合理布设施工场地，尽量利用已有道路，对于无法通行区域修建临时道路时尽量选择植被破坏最小的方案；临时道路尽量设置在植被稀疏场所。除必要的临时道路外，不得在生态保护红线和生态空间管控区内设置施工营地等构筑物。</w:t>
      </w:r>
    </w:p>
    <w:p w14:paraId="56BC9D82">
      <w:pPr>
        <w:ind w:firstLine="480"/>
      </w:pPr>
      <w:r>
        <w:rPr>
          <w:rFonts w:hint="eastAsia"/>
        </w:rPr>
        <w:t>施工期间加强施工人员监管，严格保护施工区内植被，不滥采野生植物，除不可避免的工程占地、砍伐外，不发生其他形式的人为破坏。建立引导指示系统，设置警示和告知标牌，在适当点安置监控器，对游客活动的重点敏感地区进行监控。通过加强监督管理，禁止施工人员对周边野生动物进行捕杀，严格避免对野生动物造成人为伤害。</w:t>
      </w:r>
    </w:p>
    <w:p w14:paraId="1CF35A2C">
      <w:pPr>
        <w:ind w:firstLine="480"/>
      </w:pPr>
      <w:r>
        <w:rPr>
          <w:rFonts w:hint="eastAsia"/>
        </w:rPr>
        <w:t>严格限制施工范围，不得随意扩大工程占地范围。夜间禁止光污染较大的施工项目，以免给鸟类休息和产卵产生影响。风速较大的天气，减少扬尘污染较大的施工项目，避免扩大空气污染范围，对野生动物栖息地产生影响。工程完工后尽快做好生态环境的恢复工作。控制施工时间，禁止夜间施工，以避免噪声和光污染对动物的影响。</w:t>
      </w:r>
    </w:p>
    <w:p w14:paraId="3ED70A93">
      <w:pPr>
        <w:ind w:firstLine="480"/>
      </w:pPr>
      <w:r>
        <w:rPr>
          <w:rFonts w:hint="eastAsia"/>
        </w:rPr>
        <w:t>设置车辆行驶限速，以减少行驶车辆撞击碾压造成的动物资源损失。定期进行施工机械和车辆的检修维护，以减弱漏油和噪声对动物群落的影响。</w:t>
      </w:r>
    </w:p>
    <w:p w14:paraId="5ABD72E8">
      <w:pPr>
        <w:ind w:firstLine="482"/>
        <w:rPr>
          <w:b/>
          <w:bCs/>
        </w:rPr>
      </w:pPr>
      <w:r>
        <w:rPr>
          <w:rFonts w:hint="eastAsia"/>
          <w:b/>
          <w:bCs/>
        </w:rPr>
        <w:t>（4）加强水土保持与防御</w:t>
      </w:r>
    </w:p>
    <w:p w14:paraId="30EE0F64">
      <w:pPr>
        <w:ind w:firstLine="480"/>
      </w:pPr>
      <w:r>
        <w:rPr>
          <w:rFonts w:hint="eastAsia"/>
        </w:rPr>
        <w:t>水土流失主要发生在项目施工期和试运行期，项目建设施工会扰动原地貌、损坏植被、固体废弃物堆放掩埋原有植被，因此存在水土流失风险。故需从永久占地恢复、临时占地（包括临时便道）恢复、堆渣场恢复等方面采取临时防护措施和永久治理相结合、工程措施和植物措施相结合的水土流失防治措施。为减缓度假区建设对国家生态红线保护区和生态管控区的生态影响，度假区在生态红线保护区和生态管控区内临时占地导致的植被受损需在原地进行植被栽种等生态恢复，对永久占地造成的植被损失需进行异地重建。</w:t>
      </w:r>
    </w:p>
    <w:p w14:paraId="37D13264">
      <w:pPr>
        <w:ind w:firstLine="482"/>
        <w:rPr>
          <w:b/>
          <w:bCs/>
        </w:rPr>
      </w:pPr>
      <w:r>
        <w:rPr>
          <w:rFonts w:hint="eastAsia"/>
          <w:b/>
          <w:bCs/>
        </w:rPr>
        <w:t>（5）加强生态景观保护</w:t>
      </w:r>
    </w:p>
    <w:p w14:paraId="6F86EF9B">
      <w:pPr>
        <w:ind w:firstLine="480"/>
      </w:pPr>
      <w:r>
        <w:rPr>
          <w:rFonts w:hint="eastAsia"/>
        </w:rPr>
        <w:t>规划具体项目的建设应力求同自然景观相融洽，以对植被破坏最小为宜；平面布置与空间布局应合理，建筑风格、用材和色调要与周围环境协调，并使用节能型建筑材料。场地绿化应选择适合并能体现度假区风貌和特点的本土花木，种类要多样化，布局搭配要协调，在必要地点辅以栽培抗性弱和敏感性强的生物监测植物。</w:t>
      </w:r>
    </w:p>
    <w:p w14:paraId="26A2FFE0">
      <w:pPr>
        <w:ind w:firstLine="480"/>
      </w:pPr>
      <w:r>
        <w:rPr>
          <w:rFonts w:hint="eastAsia"/>
        </w:rPr>
        <w:t>在选择植物时注意植物层间的混配与结合，形成高低错落、疏密有致的复层植物群落。根据植物的生物学特性和生态学特性，乔灌藤草花并重，构建丰富多彩、层相繁杂的植物景观。度假区内重要建筑物区域，通过植物造景组建园林空间，采用框景、夹景、漏景、隔景等，丰富度假区的景观层次，在视觉上将植物绿化与背景植被相连接，达到山体自然植被向人工景点过渡的效果。重点片区，建筑物的建筑风格、使用材料和表面的色彩要与度假区总体形象和周围景观相协调；解说系统和标牌要与环境相协调，格式要统一，标识和符号要符合规范。</w:t>
      </w:r>
    </w:p>
    <w:p w14:paraId="563F03DF">
      <w:pPr>
        <w:ind w:firstLine="480"/>
      </w:pPr>
      <w:r>
        <w:rPr>
          <w:rFonts w:hint="eastAsia"/>
        </w:rPr>
        <w:t>在不影响建筑物外观的前提下，采取节能建筑形态设计，使用新型节能型材料，如新型墙体材料、保温隔热材料、防水密闭材料、节能门窗和节能玻璃等，以实现度假区建筑的生态性和低碳性。保证各建筑物之间的距离，适当增强景观的通透性。度假区内各建筑物周围可构筑一定宽度的以常绿的高大乔木、低矮灌木及草皮搭配的立体绿化带，使区内建筑与周围背景较好地融为一体。最大限度地保留自然景观，以自然景观为主的旅游区，应减少土木工程的建设。</w:t>
      </w:r>
    </w:p>
    <w:p w14:paraId="4A847780">
      <w:pPr>
        <w:ind w:firstLine="482"/>
        <w:rPr>
          <w:b/>
          <w:bCs/>
        </w:rPr>
      </w:pPr>
      <w:r>
        <w:rPr>
          <w:rFonts w:hint="eastAsia"/>
          <w:b/>
          <w:bCs/>
        </w:rPr>
        <w:t>（6）合理利用表层土壤</w:t>
      </w:r>
    </w:p>
    <w:p w14:paraId="56E93C25">
      <w:pPr>
        <w:ind w:firstLine="480"/>
      </w:pPr>
      <w:r>
        <w:rPr>
          <w:rFonts w:hint="eastAsia"/>
        </w:rPr>
        <w:t>鉴于表层土壤养分丰富，利于植被的快速恢复，因此在度假区内施工时，应将永久占地和临时占地内的表层土先行剥离、另行保存，待施工结束后将这些表层土作为营养土用于临时占地等施工用地内的植被恢复，多余表土可用于项目建成后的绿化用土。并根据土地的立地条件或环境绿化需要，采取深耕深松、增施有机肥等土壤改良措施，需要时配套灌溉设施。</w:t>
      </w:r>
    </w:p>
    <w:p w14:paraId="4CB53EB1">
      <w:pPr>
        <w:ind w:firstLine="482"/>
        <w:rPr>
          <w:b/>
          <w:bCs/>
        </w:rPr>
      </w:pPr>
      <w:r>
        <w:rPr>
          <w:rFonts w:hint="eastAsia"/>
          <w:b/>
          <w:bCs/>
        </w:rPr>
        <w:t>（7）优化绿地系统配置</w:t>
      </w:r>
    </w:p>
    <w:p w14:paraId="6032F1AD">
      <w:pPr>
        <w:ind w:firstLine="480"/>
      </w:pPr>
      <w:r>
        <w:rPr>
          <w:rFonts w:hint="eastAsia"/>
        </w:rPr>
        <w:t>优化绿化树种选择，考虑景观效果的同时需充分考虑树种的降噪、滞尘、吸收污染物、固碳等生态功能。植物宜选用侧枝发达的阔叶树种，如香樟、悬铃木、荷花玉兰、女贞、银杏和垂柳等，并适当增加落叶栎类、槭属、桦木属、青冈属等地带性树种的运用。在防护绿地等景观功能较弱的区域以乡土树种为主构建乔-灌－草搭配的近自然地带性植物群落，充分利用群落中的空间生态位，增加群落郁闭度。正确认识杂草的生态作用，适当保留自然恢复的区域。</w:t>
      </w:r>
    </w:p>
    <w:p w14:paraId="1D6E70D6">
      <w:pPr>
        <w:ind w:firstLine="482"/>
        <w:rPr>
          <w:b/>
          <w:bCs/>
        </w:rPr>
      </w:pPr>
      <w:r>
        <w:rPr>
          <w:rFonts w:hint="eastAsia"/>
          <w:b/>
          <w:bCs/>
        </w:rPr>
        <w:t>（8）加强生物多样性保护</w:t>
      </w:r>
    </w:p>
    <w:p w14:paraId="30EB864E">
      <w:pPr>
        <w:ind w:firstLine="480"/>
      </w:pPr>
      <w:r>
        <w:rPr>
          <w:rFonts w:hint="eastAsia"/>
        </w:rPr>
        <w:t>对于度假区内生物多样性保护，首要是维持其生境不受到干扰和破坏，保持种群内正常的交流和沟通。因此，对于划定的重要生态功能区要严格保护，并保证生态廊道的建设，避免出现生物孤岛现象。恢复和营造适合鸟类繁衍的自然环境，可通过人工筑巢的方式吸引各种鸟类的来林栖息。持续开展生物多样性调查、评估和监测，提高生物多样性预警和管理水平，强化生物多样性保护，推广应用无污染的防治有害生物技术。加强度假区保护与管理，对重要生态系统和物种资源实施强制性保护，切实保护珍稀濒危野生动植物、古树名木及自然生境。坚持城乡一体化的绿化思路，科学构建城市植物群落，建立相对稳定而又变化多样的植物复层种植结构，促进鸟类等野生动物在城市绿地中的栖息和繁衍。</w:t>
      </w:r>
    </w:p>
    <w:p w14:paraId="568C1987">
      <w:pPr>
        <w:ind w:firstLine="482"/>
        <w:rPr>
          <w:b/>
          <w:bCs/>
        </w:rPr>
      </w:pPr>
      <w:r>
        <w:rPr>
          <w:rFonts w:hint="eastAsia"/>
          <w:b/>
          <w:bCs/>
        </w:rPr>
        <w:t>（9）防范外来物种入侵风险</w:t>
      </w:r>
    </w:p>
    <w:p w14:paraId="57BC3CEA">
      <w:pPr>
        <w:ind w:firstLine="480"/>
      </w:pPr>
      <w:r>
        <w:rPr>
          <w:rFonts w:hint="eastAsia"/>
        </w:rPr>
        <w:t>持续加强外来入侵物种和转基因生物安全管理。综合利用机械、化学和生物等监控手段与方法，开展外来入侵物种防治、清除工作，持续开展外来入侵物种监测和生态评价区内水体环境水质、生物多样性监测，及时控制，保护本土生物多样性，一旦发现外来入侵物种应立即采取有效措施清除；定期对入区交通工具及设施进行外来物种及病虫害抽样检疫，一旦发现立即清除，同时实施入区公路两侧入侵物种遗留检查，发现后立即采取措施进行清除。</w:t>
      </w:r>
    </w:p>
    <w:p w14:paraId="6B79B3EC">
      <w:pPr>
        <w:ind w:firstLine="480"/>
      </w:pPr>
      <w:r>
        <w:rPr>
          <w:rFonts w:hint="eastAsia"/>
        </w:rPr>
        <w:t>据调查，茅山旅游度假区内涉外来加拿大一枝黄花、小飞蓬等入侵植物12种，入侵地点在度假区分布广泛，在生态红线和生态空间管控区内也有分布。外力入侵植物排挤本土植物群落，形成大面积单优势种群，其入侵已对区域生态系统造成了一定的负面影响。针对上述问题，本次评价特提出相关防控措施。</w:t>
      </w:r>
    </w:p>
    <w:p w14:paraId="36F8598C">
      <w:pPr>
        <w:ind w:firstLine="480"/>
      </w:pPr>
      <w:r>
        <w:rPr>
          <w:rFonts w:hint="eastAsia"/>
        </w:rPr>
        <w:t>①全面排查监测，建立动态数据库</w:t>
      </w:r>
    </w:p>
    <w:p w14:paraId="70903097">
      <w:pPr>
        <w:ind w:firstLine="480"/>
      </w:pPr>
      <w:r>
        <w:rPr>
          <w:rFonts w:hint="eastAsia"/>
        </w:rPr>
        <w:t>开展全域普查。组织高校生态资源调查团队对茅山旅游度假区全域，尤其是生态红线区、生态空间管控区、景区核心区、河道沿岸、道路两侧等重点区域，进行入侵植物专项普查。详细记录入侵植物的分布范围、种群密度、生长阶段及扩散路径，明确重点防控区域。</w:t>
      </w:r>
    </w:p>
    <w:p w14:paraId="66A4FDCD">
      <w:pPr>
        <w:ind w:firstLine="480"/>
      </w:pPr>
      <w:r>
        <w:rPr>
          <w:rFonts w:hint="eastAsia"/>
        </w:rPr>
        <w:t>建立动态监测机制。在入侵植物高发区、生态红线和生态空间管控区域布设监测点，定期开展跟踪调查，结合无人机遥感、地面巡查等技术手段，实时掌握种群变化趋势。建立入侵植物数据库，记录其生长周期、繁殖特性及环境适应性，为精准治理提供数据支撑。</w:t>
      </w:r>
    </w:p>
    <w:p w14:paraId="62A97F82">
      <w:pPr>
        <w:ind w:firstLine="480"/>
      </w:pPr>
      <w:r>
        <w:rPr>
          <w:rFonts w:hint="eastAsia"/>
        </w:rPr>
        <w:t>②分类精准治理，强化重点区域防控</w:t>
      </w:r>
    </w:p>
    <w:p w14:paraId="1B8D767F">
      <w:pPr>
        <w:ind w:firstLine="480"/>
      </w:pPr>
      <w:r>
        <w:rPr>
          <w:rFonts w:hint="eastAsia"/>
        </w:rPr>
        <w:t>针对入侵植物的生物学特性（如繁殖方式、扩散速度），分别制定针对性治理方案。对生态红线和生态空间管控区域内的入侵植物，采用人工拔除、机械翻耕等物理方式为主，避免化学药剂对区域造成污染；对非敏感区的成片入侵植物，结合机械割除（在种子成熟前）与低毒环保药剂定向喷施（严格控制剂量和范围），并及时清理残体，集中焚烧或深埋处理，防止二次扩散。</w:t>
      </w:r>
    </w:p>
    <w:p w14:paraId="1D079891">
      <w:pPr>
        <w:ind w:firstLine="480"/>
      </w:pPr>
      <w:r>
        <w:rPr>
          <w:rFonts w:hint="eastAsia"/>
        </w:rPr>
        <w:t>③重建本土植被，提升生态系统抵抗力</w:t>
      </w:r>
    </w:p>
    <w:p w14:paraId="4774AF84">
      <w:pPr>
        <w:ind w:firstLine="480"/>
      </w:pPr>
      <w:r>
        <w:rPr>
          <w:rFonts w:hint="eastAsia"/>
        </w:rPr>
        <w:t>本土植物群落恢复。在清除入侵植物的区域，及时开展植被重建，筛选适应当地气候、土壤条件的乡土树种（如栎类、枫香）、乡土草本（如结缕草、野菊）进行种植，构建多样化的本土植物群落，提高生态系统对入侵植物的抵抗力。</w:t>
      </w:r>
    </w:p>
    <w:p w14:paraId="627E47AC">
      <w:pPr>
        <w:ind w:firstLine="480"/>
      </w:pPr>
      <w:r>
        <w:rPr>
          <w:rFonts w:hint="eastAsia"/>
        </w:rPr>
        <w:t>结合生态修复工程推进。将入侵植物治理与拟开展的山水林田湖草生态修复工程相结合，在湿地、堤岸、山坡等区域优先恢复本土植被，形成“治理—修复—巩固”的闭环，减少入侵植物再次侵占的空间。</w:t>
      </w:r>
    </w:p>
    <w:p w14:paraId="219080D4">
      <w:pPr>
        <w:ind w:firstLine="480"/>
      </w:pPr>
      <w:r>
        <w:rPr>
          <w:rFonts w:hint="eastAsia"/>
        </w:rPr>
        <w:t>④建立长效防控机制，强化全链条监管</w:t>
      </w:r>
    </w:p>
    <w:p w14:paraId="3FAB1BB5">
      <w:pPr>
        <w:ind w:firstLine="480"/>
      </w:pPr>
      <w:r>
        <w:rPr>
          <w:rFonts w:hint="eastAsia"/>
        </w:rPr>
        <w:t>完善巡查与预警制度。建立“日常巡查+专项排查”机制，组织生态管护人员、定期对生态红线区、道路沿线、景区周边等重点区域巡查，重点在入侵植物繁殖期（如春季萌发期、秋季结籽期）加密巡查频次，发现零星入侵植株及时清除，防止形成种群规模。</w:t>
      </w:r>
    </w:p>
    <w:p w14:paraId="2252CEAA">
      <w:pPr>
        <w:ind w:firstLine="480"/>
      </w:pPr>
      <w:r>
        <w:rPr>
          <w:rFonts w:hint="eastAsia"/>
        </w:rPr>
        <w:t>科技支撑与技术推广。与高校等科研机构合作，引进低污染防治技术（如生物抑制剂、天敌调控等），探索适合茅山旅游度假区的绿色治理模式。同步对工作人员开展入侵植物识别、防治技术培训，提高治理专业性。</w:t>
      </w:r>
    </w:p>
    <w:p w14:paraId="5DCF166A">
      <w:pPr>
        <w:ind w:firstLine="480" w:firstLineChars="0"/>
        <w:rPr>
          <w:b/>
          <w:bCs/>
        </w:rPr>
      </w:pPr>
      <w:r>
        <w:rPr>
          <w:rFonts w:hint="eastAsia"/>
          <w:b/>
          <w:bCs/>
        </w:rPr>
        <w:t>（10）积极开展生态空间管控区域管理自评估</w:t>
      </w:r>
    </w:p>
    <w:p w14:paraId="6C9BC55C">
      <w:pPr>
        <w:ind w:firstLine="480"/>
      </w:pPr>
      <w:r>
        <w:rPr>
          <w:rFonts w:hint="eastAsia"/>
        </w:rPr>
        <w:t>对照《江苏省生态空间管控区域规划》《江苏省生态空间管控区域监督管理办法》相关要求和《江苏省生态空间管控区域监督管理评估细则》（苏环办〔2022〕283）相关内容，积极开展自评估工作，及时总结度假区范围内生态空间管控区域和监督管理工作开展情况、主要做法、保护成效及存在问题，对于现状问题制定相关整改措施并严格落实问题整改，并及时开展“回头看”工作。</w:t>
      </w:r>
    </w:p>
    <w:p w14:paraId="2EEF46FF">
      <w:pPr>
        <w:ind w:firstLine="480" w:firstLineChars="0"/>
        <w:rPr>
          <w:b/>
          <w:bCs/>
        </w:rPr>
      </w:pPr>
      <w:r>
        <w:rPr>
          <w:rFonts w:hint="eastAsia"/>
          <w:b/>
          <w:bCs/>
        </w:rPr>
        <w:t>（11）建立健全生态产品价值实现机制</w:t>
      </w:r>
    </w:p>
    <w:p w14:paraId="2C835FC2">
      <w:pPr>
        <w:ind w:firstLine="480"/>
      </w:pPr>
      <w:r>
        <w:rPr>
          <w:rFonts w:hint="eastAsia"/>
        </w:rPr>
        <w:t>落实《金坛区关于加快建立健全生态产品价值实现机制的实施方案（2021-2035）》《常州市金坛区自然资源领域生态产品价值实现机制试点实施方案》相关工作要求，开展茅山地区生态产业化典型示范项目建设，加快推进自然资源确权登记。推进茅山山脉生态环境保护，以天然林保护为重点，在丘陵岗地等区域开展森林植被恢复和森林抚育改造工程；关闭区域内茅东林场癞痢山宕口、渚山建筑石料用灰岩矿等矿区并进行生态修复；对区域内企业进行搬迁整治工作，夯实茅山生态安全格局，实施生态修复、生物物种保护、林业基础设施建设、生态公共服务保障等工程。</w:t>
      </w:r>
    </w:p>
    <w:p w14:paraId="46FD5504">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9.3.2 大气环境保护措施</w:t>
      </w:r>
    </w:p>
    <w:p w14:paraId="7FB3557D">
      <w:pPr>
        <w:ind w:firstLine="482"/>
        <w:rPr>
          <w:b/>
          <w:bCs/>
        </w:rPr>
      </w:pPr>
      <w:r>
        <w:rPr>
          <w:rFonts w:hint="eastAsia"/>
          <w:b/>
          <w:bCs/>
        </w:rPr>
        <w:t>（1）加快生产性工业企业停转迁进程，推进大气污染源头控制</w:t>
      </w:r>
    </w:p>
    <w:p w14:paraId="1DE390DA">
      <w:pPr>
        <w:ind w:firstLine="480"/>
      </w:pPr>
      <w:r>
        <w:rPr>
          <w:rFonts w:hint="eastAsia"/>
        </w:rPr>
        <w:t>度假区规划范围内现状仍有各类生产性工业企业9家，与度假区规划重点发展的旅游度假产业定位不符。江苏省金坛茅山旅游度假区管理办公室应综合考虑区内企业环评手续、排污许可执行情况以及度假区近期重点建设项目等因素，有计划、分步骤对区内现有工业企业实施停转迁。企业原址土地根据度假区规划进行开发建设，源头控制大气污染物排放。</w:t>
      </w:r>
    </w:p>
    <w:p w14:paraId="3E38B929">
      <w:pPr>
        <w:ind w:firstLine="482"/>
        <w:rPr>
          <w:b/>
          <w:bCs/>
        </w:rPr>
      </w:pPr>
      <w:r>
        <w:rPr>
          <w:rFonts w:hint="eastAsia"/>
          <w:b/>
          <w:bCs/>
        </w:rPr>
        <w:t>（2）做好工业企业停转迁过渡期废气达标排放治理监管</w:t>
      </w:r>
    </w:p>
    <w:p w14:paraId="21243C0E">
      <w:pPr>
        <w:ind w:firstLine="480"/>
      </w:pPr>
      <w:r>
        <w:rPr>
          <w:rFonts w:hint="eastAsia"/>
        </w:rPr>
        <w:t>切实加强对工业企业停转迁过渡期间废气达标排放治理的环境监管力度，督促企业严格落实大气污染防治措施，加强对企业废气治理设施运行情况的日常巡查，防止企业停转迁过渡期间废气治理设施的非正常运行和废气超标排放情况的发生，确保停转迁过渡期间工业企业废气治理设施正常稳定运行，最大限度地减少对周边环境的影响。</w:t>
      </w:r>
    </w:p>
    <w:p w14:paraId="0620969E">
      <w:pPr>
        <w:ind w:firstLine="482"/>
        <w:rPr>
          <w:b/>
          <w:bCs/>
        </w:rPr>
      </w:pPr>
      <w:r>
        <w:rPr>
          <w:rFonts w:hint="eastAsia"/>
          <w:b/>
          <w:bCs/>
        </w:rPr>
        <w:t>（3）大力发展绿色交通，深入治理机动车尾气污染</w:t>
      </w:r>
    </w:p>
    <w:p w14:paraId="2B3EE159">
      <w:pPr>
        <w:ind w:firstLine="480"/>
      </w:pPr>
      <w:r>
        <w:rPr>
          <w:rFonts w:hint="eastAsia"/>
        </w:rPr>
        <w:t>加快公共交通设施建设，强化公共交通优先战略，推行公共交通、自行车、步行的景区交通模式，推进公共自行车布点工作；控制度假区燃油汽车量，区内公共交通以新能源汽车为主；港口码头停靠的船舶尽量采用节能减排手段，采用清洁能源，游船不宜采用柴油，大力推进船舶“油改气”“油改电”工作。</w:t>
      </w:r>
    </w:p>
    <w:p w14:paraId="2657E4C8">
      <w:pPr>
        <w:ind w:firstLine="482"/>
        <w:rPr>
          <w:b/>
          <w:bCs/>
        </w:rPr>
      </w:pPr>
      <w:r>
        <w:rPr>
          <w:rFonts w:hint="eastAsia"/>
          <w:b/>
          <w:bCs/>
        </w:rPr>
        <w:t>（4）加强城乡扬尘治理</w:t>
      </w:r>
    </w:p>
    <w:p w14:paraId="14F09125">
      <w:pPr>
        <w:ind w:firstLine="480"/>
      </w:pPr>
      <w:r>
        <w:rPr>
          <w:rFonts w:hint="eastAsia"/>
        </w:rPr>
        <w:t>加强城乡扬尘综合整治，全面推进“绿色施工”，建立扬尘控制责任制度，建设工程施工现场应全封闭设置围挡墙，严禁敞开式作业，施工现场道路应进行地面硬化。渣土运输车辆应采取密闭措施，安装卫星定位系统，严格执行冲洗、限速等规定，严禁带泥上路。加强城市道路清扫保洁和洒水抑尘，提高机械化作业水平，控制道路交通扬尘污染。</w:t>
      </w:r>
    </w:p>
    <w:p w14:paraId="6BFCECAA">
      <w:pPr>
        <w:ind w:firstLine="482"/>
        <w:rPr>
          <w:b/>
          <w:bCs/>
        </w:rPr>
      </w:pPr>
      <w:r>
        <w:rPr>
          <w:rFonts w:hint="eastAsia"/>
          <w:b/>
          <w:bCs/>
        </w:rPr>
        <w:t>（5）强化油烟污染防治</w:t>
      </w:r>
    </w:p>
    <w:p w14:paraId="611026BF">
      <w:pPr>
        <w:ind w:firstLine="480"/>
      </w:pPr>
      <w:r>
        <w:rPr>
          <w:rFonts w:hint="eastAsia"/>
        </w:rPr>
        <w:t>开展餐饮行业污染专项治理，重点整治学校、繁华街道、居民住宅集中区和景区等区域的餐饮单位、非商用建筑内建设排放油烟的餐饮经营项目，餐饮经营单位必须规范设置油烟排放口、规范安装油烟净化设施；营业面积在500平方米以上或者就餐座位数在250座以上的餐饮单位，应当安装油烟在线监控设施。</w:t>
      </w:r>
    </w:p>
    <w:p w14:paraId="43AB6A4B">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9.3.3 地表水环境保护措施</w:t>
      </w:r>
    </w:p>
    <w:p w14:paraId="22199138">
      <w:pPr>
        <w:ind w:firstLine="482"/>
        <w:rPr>
          <w:b/>
          <w:bCs/>
        </w:rPr>
      </w:pPr>
      <w:r>
        <w:rPr>
          <w:rFonts w:hint="eastAsia"/>
          <w:b/>
          <w:bCs/>
        </w:rPr>
        <w:t>（1）完善雨污分流排水体系</w:t>
      </w:r>
    </w:p>
    <w:p w14:paraId="49E4E03E">
      <w:pPr>
        <w:ind w:firstLine="480"/>
      </w:pPr>
      <w:r>
        <w:rPr>
          <w:rFonts w:hint="eastAsia"/>
        </w:rPr>
        <w:t>不断完善度假区内雨污水管网和雨污水泵站的建设，确保度假区内企事业单位和居民污水经预处理达标后全部接管；同时新建区域应按照“雨污分流”原则，配套建设雨污水收集管网，提高区域污水接管率，进一步实现区域污水收集处理全覆盖。</w:t>
      </w:r>
    </w:p>
    <w:p w14:paraId="6C7B8EA0">
      <w:pPr>
        <w:ind w:firstLine="482"/>
        <w:rPr>
          <w:b/>
          <w:bCs/>
        </w:rPr>
      </w:pPr>
      <w:r>
        <w:rPr>
          <w:rFonts w:hint="eastAsia"/>
          <w:b/>
          <w:bCs/>
        </w:rPr>
        <w:t>（2）加强雨水收集净化措施</w:t>
      </w:r>
    </w:p>
    <w:p w14:paraId="5B1B83BD">
      <w:pPr>
        <w:ind w:firstLine="480"/>
      </w:pPr>
      <w:r>
        <w:rPr>
          <w:rFonts w:hint="eastAsia"/>
        </w:rPr>
        <w:t>在坡面种植野草，草皮表层土壤中根系发达、相对疏松，其降雨入渗能力较无草皮的裸地大，具有便于雨水引入、透水性好和投资少的特点，而且植物根系还能对雨水径流中的悬浮物、杂质等起到一定的过滤、净化作用。不仅可以净化地表径流降低对地表水质的污染，而且增加了雨水渗透量、强化了地下水补给，同时要求相关管理部门在景区内做好旅游垃圾收集工作，以防止游客在游览过程中随地丢弃的垃圾在降雨冲刷作用下污染区域地表水环境。</w:t>
      </w:r>
    </w:p>
    <w:p w14:paraId="4999CDFD">
      <w:pPr>
        <w:ind w:firstLine="482"/>
        <w:rPr>
          <w:b/>
          <w:bCs/>
        </w:rPr>
      </w:pPr>
      <w:r>
        <w:rPr>
          <w:rFonts w:hint="eastAsia"/>
          <w:b/>
          <w:bCs/>
        </w:rPr>
        <w:t>（3）实施河道整治和村庄环境整治</w:t>
      </w:r>
    </w:p>
    <w:p w14:paraId="2C804511">
      <w:pPr>
        <w:ind w:firstLine="480"/>
      </w:pPr>
      <w:r>
        <w:rPr>
          <w:rFonts w:hint="eastAsia"/>
        </w:rPr>
        <w:t>度假区内河道密布，需加快实施河道整治、生态清淤、农业结构调整、住宅拆迁等工程措施，水草及水生植物定期适度收割，并实现无害化处理和资源化利用，避免二次污染。坚持“适度集聚、节约土地、方便生活”的原则，优化度假区城乡布局，发展紧凑型城乡功能网络，科学合理地确定镇村布局和规模，根据度假区发展规划，做好度假区内规划保留外分布零散的村落整治，减轻生活污染源对地表水环境质量的影响。</w:t>
      </w:r>
    </w:p>
    <w:p w14:paraId="4FE67511">
      <w:pPr>
        <w:ind w:firstLine="482"/>
        <w:rPr>
          <w:b/>
          <w:bCs/>
        </w:rPr>
      </w:pPr>
      <w:r>
        <w:rPr>
          <w:rFonts w:hint="eastAsia"/>
          <w:b/>
          <w:bCs/>
        </w:rPr>
        <w:t>（4）持续推进农业面源污染治理</w:t>
      </w:r>
    </w:p>
    <w:p w14:paraId="5725E97D">
      <w:pPr>
        <w:ind w:firstLine="480"/>
      </w:pPr>
      <w:r>
        <w:rPr>
          <w:rFonts w:hint="eastAsia"/>
        </w:rPr>
        <w:t>度假区内南侧以农业发展为主，针对农业面源污染问题，全面推进化肥农药使用量零增长行动，推进有机肥替代化肥，推广秸秆还田、绿肥种植等技术，基本实现主要农作物测土配方施肥全覆盖，提高化肥利用率；全面推广高效低毒低残留农药，着力推进农作物病虫害专业化统防统治与绿色防控融合，有效提升病虫害防治组织化程度和科学化水平，提高病虫害防治效果，降低化学农药使用量。在重点流域建设农业废弃物田间处理池、农用化学品包装田间收集池。</w:t>
      </w:r>
    </w:p>
    <w:p w14:paraId="647B31DB">
      <w:pPr>
        <w:ind w:firstLine="480"/>
      </w:pPr>
      <w:r>
        <w:rPr>
          <w:rFonts w:hint="eastAsia"/>
        </w:rPr>
        <w:t>坡耕地生物拦截带。针对坡耕地顺坡种植普遍、翻耕频繁造成的径流污染问题，依据坡度大小，沿等高线方向种植抗旱、耐瘠薄并具有一定经济效益的单一或复合植物条带，控制坡地地表径流、减少农田氮磷流失，能够逐步形成生物梯田，丰富生物多样性，增加农民收入。在缓坡耕地以种植单一种类的多年生草本植物条带为主，在陡坡耕地以种植多年生灌木－多年生草本植物等复合植物条带为主。</w:t>
      </w:r>
    </w:p>
    <w:p w14:paraId="65348968">
      <w:pPr>
        <w:ind w:firstLine="480"/>
      </w:pPr>
      <w:r>
        <w:rPr>
          <w:rFonts w:hint="eastAsia"/>
        </w:rPr>
        <w:t>坡耕地径流集蓄与再利用设施。针对陡坡耕地氮、磷地表径流流失严重区域，以利用现有沟、塘、窖等为主，新建为辅，因地制宜建设坡耕地径流集蓄与再利用工程。该工程以集水窖为核心，辅以导流渠（管）、引水渠、沉砂池、灌溉管带等相关配套设施，重点将氮、磷等污染物浓度较高的每年前三场暴雨径流或暴雨初期径流引入，贮存于集水窖，并在次年春天自流灌溉农田。坡耕地径流集蓄与再利用工程能够有效收集坡耕地氮、磷流失的养分和水分，提高水资源利用效率。</w:t>
      </w:r>
    </w:p>
    <w:p w14:paraId="2B88355F">
      <w:pPr>
        <w:ind w:firstLine="480"/>
      </w:pPr>
      <w:r>
        <w:rPr>
          <w:rFonts w:hint="eastAsia"/>
        </w:rPr>
        <w:t>平缓型农田氮磷净化设施。针对度假区现有沟渠分布散乱、结构不甚合理、底泥淤积严重、水生植物缺失所造成的生态功能退化问题，整理沟渠布局，规范设计沟渠结构，清挖淤泥，加固边坡，合理配置水生植物群落，每隔一定距离配置格栅和透水坝，延长水流滞留时间，在保证排放安全的同时，提升沟渠的生态功能，降低农田排水的氮、磷等污染物含量。</w:t>
      </w:r>
    </w:p>
    <w:p w14:paraId="23744824">
      <w:pPr>
        <w:ind w:firstLine="480"/>
      </w:pPr>
      <w:r>
        <w:rPr>
          <w:rFonts w:hint="eastAsia"/>
        </w:rPr>
        <w:t>农业废弃物田间处理利用工程。针对蔬菜残体、农作物秸秆、农用化学品包装物等农业废弃物随意丢弃以及人畜粪便在田间无序堆置所造成的面源污染和资源浪费问题，重点开展人畜粪便、蔬菜残体和农作物秸秆就近堆肥处理，确保农业废弃物安全利用，降低污染物流失风险。主要建设农业废弃物田间处理池、农用化学品包装物田间收集池。</w:t>
      </w:r>
    </w:p>
    <w:p w14:paraId="3F00639F">
      <w:pPr>
        <w:ind w:firstLine="480"/>
      </w:pPr>
      <w:r>
        <w:rPr>
          <w:rFonts w:hint="eastAsia"/>
        </w:rPr>
        <w:t>区域面源污水导流工程。以解决区域性面源污水无序排放为目标，分类建设密集居住区的集中型和分散居住区的散户型面源污水收集设施，主要建设内容为收集管网和集中收集池。</w:t>
      </w:r>
    </w:p>
    <w:p w14:paraId="0CFA9CBD">
      <w:pPr>
        <w:ind w:firstLine="480"/>
      </w:pPr>
      <w:r>
        <w:rPr>
          <w:rFonts w:hint="eastAsia"/>
        </w:rPr>
        <w:t>区域面源污水生态净化工程。在不占用耕地资源的前提下，整理、利用流域废弃池塘及低涝洼地，清挖底泥，建造浅滩、沟壑、深水等多样性塘底结构，形成多级串联的多塘净化系统，岸边种植垂柳等湿生树种，边坡搭配黑麦草、狗牙根等，浅、中、深水区优化配置挺水、浮水和沉水植物。同时，选择适宜地点建设泵站，设置警示标志及安全护栏设施。</w:t>
      </w:r>
    </w:p>
    <w:p w14:paraId="055BA733">
      <w:pPr>
        <w:ind w:firstLine="482"/>
        <w:rPr>
          <w:b/>
          <w:bCs/>
        </w:rPr>
      </w:pPr>
      <w:r>
        <w:rPr>
          <w:rFonts w:hint="eastAsia"/>
          <w:b/>
          <w:bCs/>
        </w:rPr>
        <w:t>（5）加强畜禽养殖污染防治</w:t>
      </w:r>
    </w:p>
    <w:p w14:paraId="282A0D45">
      <w:pPr>
        <w:ind w:firstLine="480"/>
      </w:pPr>
      <w:r>
        <w:t>根据金坛区主体功能定位、</w:t>
      </w:r>
      <w:r>
        <w:rPr>
          <w:rFonts w:hint="eastAsia"/>
        </w:rPr>
        <w:t>生态环境分区管控</w:t>
      </w:r>
      <w:r>
        <w:t>管控要求、禁养区划定方案、加强全区畜禽养殖分区管理，切实解决畜禽养殖对生态环境污染。立足金坛资源禀赋和环境承载能力，因地制宜确定养殖区域、养殖种类，积极推进整市制农牧结合发展，进一步优化畜牧业的空间布局。按照“稳定生猪、发展家禽、拓展食草、强化种业”的思路，积极发展适度规模养殖，进一步调优畜牧产业结构。</w:t>
      </w:r>
    </w:p>
    <w:p w14:paraId="704BDD51">
      <w:pPr>
        <w:ind w:firstLine="480"/>
      </w:pPr>
      <w:r>
        <w:t>限养区、适养区规模化畜禽养殖场及养殖专业户排放污染物，应当符合《畜禽养殖业污染物排放标准》。规模化畜禽养殖场或养殖专业户应当设置符合环保要求的畜禽粪便的堆放场所，实行无害化处理，并采取有效措施，防止畜禽粪便的散落、溢流。规模化畜禽养殖场或养殖专业户不得向水体或者其他环境直接排放畜禽粪便、沼液、沼渣或者污水等。沼液、沼渣进行无害化处理后作为肥料还田。污水通过厌氧消化后进一步通过氧化塘、人工湿地等自然生态处理。</w:t>
      </w:r>
    </w:p>
    <w:p w14:paraId="297650AE">
      <w:pPr>
        <w:ind w:firstLine="480"/>
      </w:pPr>
      <w:r>
        <w:t>科学合理选择畜禽粪肥就近就地利用、清洁能源生产、有机肥料外供等畜禽粪污资源化利用路径，提高全域畜禽粪污综合利用率，推行多种资源利用模式并进。支持引导农民和新型经营主体以畜禽粪便、垫料为原料积造有机肥，利用沼渣、沼液和经无害化处理的畜禽养殖废水作为肥料科学还田施用。</w:t>
      </w:r>
    </w:p>
    <w:p w14:paraId="3B01FE8D">
      <w:pPr>
        <w:ind w:firstLine="480"/>
      </w:pPr>
      <w:r>
        <w:t>鼓励种植业施用有机肥，因地制宜发展“林下养禽”“稻鸭共作”“茶禽共生”等农林牧渔结合、种养一体的新型循环生产方式。在周边有相当规模的农田、鱼塘、果园的规模场，采用种养结合的生态循环模式，利用管道、贮存池，把经过发酵的污水用于农田、果园和鱼塘，种植优质果树，林下种草，发展畜禽养殖，提高经济效益。</w:t>
      </w:r>
    </w:p>
    <w:p w14:paraId="568F2ACF">
      <w:pPr>
        <w:ind w:firstLine="480"/>
      </w:pPr>
      <w:r>
        <w:rPr>
          <w:rFonts w:hint="eastAsia"/>
        </w:rPr>
        <w:t>（6）加强农村分散式污水处理设施运维管理</w:t>
      </w:r>
    </w:p>
    <w:p w14:paraId="4D6A1AE5">
      <w:pPr>
        <w:ind w:firstLine="480"/>
      </w:pPr>
      <w:r>
        <w:rPr>
          <w:rFonts w:hint="eastAsia"/>
        </w:rPr>
        <w:t>建立完善的运维管理制度，明确责任主体，确保分散式污水处理设施长期稳定运行。定期对设施进行巡查、维护和保养，及时修复损坏部件，保障处理效果。同时，加强对运维人员的培训，提高其专业技能水平，使其能够熟练掌握设施的操作和维护方法。此外，建立设施运行档案，记录设施的运行状况、维护情况等信息，为后续的管理和优化提供依据。</w:t>
      </w:r>
    </w:p>
    <w:p w14:paraId="7A9698E8">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9.3.4 地下水环境保护措施</w:t>
      </w:r>
    </w:p>
    <w:p w14:paraId="7E74F4B0">
      <w:pPr>
        <w:ind w:firstLine="482"/>
        <w:rPr>
          <w:b/>
          <w:bCs/>
        </w:rPr>
      </w:pPr>
      <w:r>
        <w:rPr>
          <w:rFonts w:hint="eastAsia"/>
          <w:b/>
          <w:bCs/>
        </w:rPr>
        <w:t>（1）污水管网防控</w:t>
      </w:r>
    </w:p>
    <w:p w14:paraId="67DC003E">
      <w:pPr>
        <w:ind w:firstLine="480"/>
      </w:pPr>
      <w:r>
        <w:rPr>
          <w:rFonts w:hint="eastAsia"/>
        </w:rPr>
        <w:t>污水管道须采用防渗防腐蚀材料，确保质量及使用寿命，并对管道进行定期检查；废水收集池和沉淀池要进行复合防渗，确保污染物不通过包气带下渗至地下含水层。可通过铺设PE膜、环氧地坪、抗渗混凝土等防渗性能较好的材料。</w:t>
      </w:r>
    </w:p>
    <w:p w14:paraId="7E02318C">
      <w:pPr>
        <w:ind w:firstLine="482"/>
        <w:rPr>
          <w:b/>
          <w:bCs/>
        </w:rPr>
      </w:pPr>
      <w:r>
        <w:rPr>
          <w:rFonts w:hint="eastAsia"/>
          <w:b/>
          <w:bCs/>
        </w:rPr>
        <w:t>（2）垃圾转运站防控</w:t>
      </w:r>
    </w:p>
    <w:p w14:paraId="3533BEB2">
      <w:pPr>
        <w:ind w:firstLine="480"/>
      </w:pPr>
      <w:r>
        <w:rPr>
          <w:rFonts w:hint="eastAsia"/>
        </w:rPr>
        <w:t>垃圾转运站排水管网做到雨污分流。垃圾堆放在室内，应铺设PE膜、环氧地坪、抗渗混凝土等防渗性能较好的材料，必要时可采用双层防渗措施。运输过程中洒落的垃圾应及时收集。</w:t>
      </w:r>
    </w:p>
    <w:p w14:paraId="1D278FCD">
      <w:pPr>
        <w:ind w:firstLine="482"/>
        <w:rPr>
          <w:b/>
          <w:bCs/>
        </w:rPr>
      </w:pPr>
      <w:r>
        <w:rPr>
          <w:rFonts w:hint="eastAsia"/>
          <w:b/>
          <w:bCs/>
        </w:rPr>
        <w:t>（3）固废临时堆场防控</w:t>
      </w:r>
    </w:p>
    <w:p w14:paraId="11C47CD9">
      <w:pPr>
        <w:ind w:firstLine="480"/>
      </w:pPr>
      <w:r>
        <w:rPr>
          <w:rFonts w:hint="eastAsia"/>
        </w:rPr>
        <w:t>固废临时存放场所应有遮挡，或存放在相应容器中。设置渗沥液收集清除系统及雨水、径流疏导系统，防止污染地下水。堆场周边应设置防渗围堰，防止渗沥液外溢。定期对堆场进行巡查，确保防渗设施完好无损，一旦发现破损及时修复。同时，对渗沥液收集清除系统收集的液体进行妥善处理，达标后排放或回用。对于雨水、径流疏导系统，应定期清理，保证其畅通，避免因堵塞导致水流不畅而引发污染问题。</w:t>
      </w:r>
    </w:p>
    <w:p w14:paraId="39F64E59">
      <w:pPr>
        <w:ind w:firstLine="482"/>
        <w:rPr>
          <w:b/>
          <w:bCs/>
        </w:rPr>
      </w:pPr>
      <w:r>
        <w:rPr>
          <w:rFonts w:hint="eastAsia"/>
          <w:b/>
          <w:bCs/>
        </w:rPr>
        <w:t>（4）建立地下水长期监控体系</w:t>
      </w:r>
    </w:p>
    <w:p w14:paraId="39288B0B">
      <w:pPr>
        <w:ind w:firstLine="480"/>
      </w:pPr>
      <w:r>
        <w:rPr>
          <w:rFonts w:hint="eastAsia"/>
        </w:rPr>
        <w:t>加强地下水污染防治监管，根据区域地下水流向，污染源分布情况及污染物在地下水中的扩散形式，设置覆盖整个度假区范围的地下水污染监控系统，包括建立完善地下水监控制度和环境管理体系、制定监测计划，科学、合理设置地下水污染监控井，定期监测，及时发现并控制污染。</w:t>
      </w:r>
    </w:p>
    <w:p w14:paraId="40EBAE43">
      <w:pPr>
        <w:ind w:firstLine="482"/>
        <w:rPr>
          <w:b/>
          <w:bCs/>
        </w:rPr>
      </w:pPr>
      <w:r>
        <w:rPr>
          <w:rFonts w:hint="eastAsia"/>
          <w:b/>
          <w:bCs/>
        </w:rPr>
        <w:t>（5）强化农业面源地下水污染防治</w:t>
      </w:r>
    </w:p>
    <w:p w14:paraId="190400F8">
      <w:pPr>
        <w:ind w:firstLine="480"/>
      </w:pPr>
      <w:r>
        <w:rPr>
          <w:rFonts w:hint="eastAsia"/>
        </w:rPr>
        <w:t>持续推进化肥、农药施用强度控制，推广测土配方施肥和绿色防控技术，减少氮、磷及农药通过土壤渗透污染地下水。推广节水灌溉技术以减少农田退水，在农田与地下水敏感区之间设置生态缓冲带，利用植被拦截和土壤吸附削减污染物入渗风险。</w:t>
      </w:r>
    </w:p>
    <w:p w14:paraId="636AEF40">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9.3.5 土壤环境保护措施</w:t>
      </w:r>
    </w:p>
    <w:p w14:paraId="18694451">
      <w:pPr>
        <w:ind w:firstLine="480"/>
      </w:pPr>
      <w:r>
        <w:rPr>
          <w:rFonts w:hint="eastAsia"/>
        </w:rPr>
        <w:t>在度假区开发过程中，随着景区的建设，可能会对度假区的表层土壤造成破坏。应将施工区域的表层土壤移至非工程区域，待施工结束后重新覆盖原处，以减小工程对土壤条件的影响；同时，应对取土或弃土场地表面进行复垦和绿化，减少由于项目施工时取、弃土场扰动而造成的土壤侵蚀。</w:t>
      </w:r>
    </w:p>
    <w:p w14:paraId="196E97A4">
      <w:pPr>
        <w:ind w:firstLine="480"/>
      </w:pPr>
      <w:r>
        <w:rPr>
          <w:rFonts w:hint="eastAsia"/>
        </w:rPr>
        <w:t>在区内工业企业关停搬迁后、原场地再开发利用前，搬迁遗留场地应按要求开展场地环境调查和风险评估工作，未按有关规定开展场地调查和风险评估的、未明确治理修复责任主体的，禁止进行土地流转；污染场地未经治理修复的，禁止开工建设与治理修复无关的任何项目。涉及遗留工业用地性质变更的，需深入变更用地调查，根据《土壤污染防治法》第五十九条规定，“用途变更为住宅、公共管理与公共服务用地的，变更前应当按照规定进行土壤污染状况调查”，本次规划住宅用地、公共管理与公共服务设施用地较现状增加，需要进行土壤调查。规划期间，茅山旅游度假区将严格用途变更为“一住两公”地块管理，明晰建设用地土壤污染状况调查各方责任，保障建设用地土壤污染状况调查规范开展。</w:t>
      </w:r>
    </w:p>
    <w:p w14:paraId="42BC3B9B">
      <w:pPr>
        <w:ind w:firstLine="480"/>
      </w:pPr>
      <w:r>
        <w:rPr>
          <w:rFonts w:hint="eastAsia"/>
        </w:rPr>
        <w:t>加强农用地环境污染防控与安全利用，坚持严格的耕地保护制度，牢固树立耕地数量、质量、生态三位一体保护理念，加快健全耕地保护长效机制，持续推进受污染耕地安全利用，推广应用品种替代、水肥调控、土壤调理等技术。</w:t>
      </w:r>
    </w:p>
    <w:p w14:paraId="4A4778A8">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9.3.6 声环境保护措施</w:t>
      </w:r>
    </w:p>
    <w:p w14:paraId="32ECAC95">
      <w:pPr>
        <w:ind w:firstLine="482"/>
        <w:rPr>
          <w:b/>
          <w:bCs/>
        </w:rPr>
      </w:pPr>
      <w:r>
        <w:rPr>
          <w:rFonts w:hint="eastAsia"/>
          <w:b/>
          <w:bCs/>
        </w:rPr>
        <w:t>（1）社会生活噪声污染防治</w:t>
      </w:r>
    </w:p>
    <w:p w14:paraId="3CA5AB04">
      <w:pPr>
        <w:ind w:firstLine="480"/>
      </w:pPr>
      <w:r>
        <w:rPr>
          <w:rFonts w:hint="eastAsia"/>
        </w:rPr>
        <w:t>产生环境噪声污染和危害的单位，应当采取有效措施进行治理，对各种噪声源分别采用隔声、吸声和消声等措施，必要时应设置隔声室、隔声罩等，减少对周围环境的影响。因商业经营活动使用固定设备造成环境噪声污染的商业企业，必须向度假区环境保护行政主管部门申请拥有造成环境噪声污染的设备和防治环境噪声的设施。在度假区公共场所组织娱乐、集会等活动，禁止使用大功率的扩音喇叭和广播宣传车。必须使用扩音设施时，应当遵守相关规定。禁止在商业活动中使用高音广播喇叭或发出高噪声的方法招揽顾客。在商业经营活动中使用空调器、冷却塔等可能产生环境噪声污染设施的，必须采取隔声降噪措施，使其边界噪声不超过国家规定的噪声排放标准。</w:t>
      </w:r>
    </w:p>
    <w:p w14:paraId="3A9E9EF5">
      <w:pPr>
        <w:ind w:firstLine="482"/>
        <w:rPr>
          <w:b/>
          <w:bCs/>
        </w:rPr>
      </w:pPr>
      <w:r>
        <w:rPr>
          <w:rFonts w:hint="eastAsia"/>
          <w:b/>
          <w:bCs/>
        </w:rPr>
        <w:t>（2）交通运输噪声污染防治</w:t>
      </w:r>
    </w:p>
    <w:p w14:paraId="7244E30F">
      <w:pPr>
        <w:ind w:firstLine="482"/>
      </w:pPr>
      <w:r>
        <w:rPr>
          <w:rFonts w:hint="eastAsia"/>
          <w:b/>
          <w:bCs/>
        </w:rPr>
        <w:t>道路交通噪声。</w:t>
      </w:r>
      <w:r>
        <w:rPr>
          <w:rFonts w:hint="eastAsia"/>
        </w:rPr>
        <w:t>加强对度假区内道路的养护，市政管理部门应经常检查清理道路上的障碍物，对挖掘、破坏的路面要及时填补，保持路面平整，降低车辆行驶噪声，行驶的机动车辆必须加强维护和保养，保持技术性能良好，度假区内行驶的机动车辆噪声不得超过机动车辆噪声排放标准。通行度假区的机动车辆必须严格执行风景区关于禁鸣喇叭的路段和时限的各项规定。警车、消防车、救护车和工程抢险等车辆安装、使用警报器，必须符合相关规定，在执行非紧急任务时禁止使用警报器。在车站等交通枢纽指挥作业时，使用广播喇叭必须控制音量，减轻噪声对周围环境影响。</w:t>
      </w:r>
    </w:p>
    <w:p w14:paraId="57C7B048">
      <w:pPr>
        <w:ind w:firstLine="482"/>
      </w:pPr>
      <w:r>
        <w:rPr>
          <w:rFonts w:hint="eastAsia"/>
          <w:b/>
          <w:bCs/>
        </w:rPr>
        <w:t>铁路噪声。</w:t>
      </w:r>
      <w:r>
        <w:rPr>
          <w:rFonts w:hint="eastAsia"/>
        </w:rPr>
        <w:t>规划铁路建设需根据</w:t>
      </w:r>
      <w:r>
        <w:t>噪声预测确定防护距离，</w:t>
      </w:r>
      <w:r>
        <w:rPr>
          <w:rFonts w:hint="eastAsia"/>
        </w:rPr>
        <w:t>铁路</w:t>
      </w:r>
      <w:r>
        <w:t>线路选线</w:t>
      </w:r>
      <w:r>
        <w:rPr>
          <w:rFonts w:hint="eastAsia"/>
        </w:rPr>
        <w:t>周边应避免居住用地建设，若无法避免，需采取有效的隔音降噪措施，如设置隔音屏障等，以减少铁路运行产生的噪声对居民生活的影响。对于现有的铁路周边居住区域，应定期开展噪声监测，根据监测结果及时调整和完善降噪方案。</w:t>
      </w:r>
    </w:p>
    <w:p w14:paraId="22C2A17C">
      <w:pPr>
        <w:ind w:firstLine="482"/>
      </w:pPr>
      <w:r>
        <w:rPr>
          <w:rFonts w:hint="eastAsia"/>
          <w:b/>
          <w:bCs/>
        </w:rPr>
        <w:t>机场噪声。</w:t>
      </w:r>
      <w:r>
        <w:rPr>
          <w:rFonts w:hint="eastAsia"/>
        </w:rPr>
        <w:t>机场建设</w:t>
      </w:r>
      <w:r>
        <w:t>根据飞行程序、机型、起降架次，结合《机场周围区域环境噪声标准》划分防护距离</w:t>
      </w:r>
      <w:r>
        <w:rPr>
          <w:rFonts w:hint="eastAsia"/>
        </w:rPr>
        <w:t>通过</w:t>
      </w:r>
      <w:r>
        <w:t>优化飞行航线（避开敏感区</w:t>
      </w:r>
      <w:r>
        <w:rPr>
          <w:rFonts w:hint="eastAsia"/>
        </w:rPr>
        <w:t>和居住</w:t>
      </w:r>
      <w:r>
        <w:t>）、选用低噪声机型、限制夜间起降次数</w:t>
      </w:r>
      <w:r>
        <w:rPr>
          <w:rFonts w:hint="eastAsia"/>
        </w:rPr>
        <w:t>、</w:t>
      </w:r>
      <w:r>
        <w:t>设置隔声屏障</w:t>
      </w:r>
      <w:r>
        <w:rPr>
          <w:rFonts w:hint="eastAsia"/>
        </w:rPr>
        <w:t>等措施降低</w:t>
      </w:r>
      <w:r>
        <w:t>对高噪声区现有敏感目标</w:t>
      </w:r>
      <w:r>
        <w:rPr>
          <w:rFonts w:hint="eastAsia"/>
        </w:rPr>
        <w:t>的影响。在机场周边居住用地防控方面，需严格遵循《中华人民共和国噪声污染防治法》及相关规定：划定噪声敏感建筑物禁止建设区域与限制建设区域，禁止区内不得新建无关噪声敏感建筑；限制区内确需建设的，须进行专门隔声设计并符合国家民用建筑隔声标准。</w:t>
      </w:r>
    </w:p>
    <w:p w14:paraId="1FB9D808">
      <w:pPr>
        <w:ind w:firstLine="482"/>
        <w:rPr>
          <w:b/>
          <w:bCs/>
        </w:rPr>
      </w:pPr>
      <w:r>
        <w:rPr>
          <w:rFonts w:hint="eastAsia"/>
          <w:b/>
          <w:bCs/>
        </w:rPr>
        <w:t>（3）建筑施工噪声污染防治</w:t>
      </w:r>
    </w:p>
    <w:p w14:paraId="37A17769">
      <w:pPr>
        <w:ind w:firstLine="480"/>
      </w:pPr>
      <w:r>
        <w:rPr>
          <w:rFonts w:hint="eastAsia"/>
        </w:rPr>
        <w:t>加强施工期噪声污染控制、建筑施工过程，必须严格落实噪声污染防治措施，采用噪声低、振动小的设备和有效作业方法，向周围生活环境排放的噪声必须符合《建筑施工场界环境噪声排放标准》（GB 12523-2011）。禁止夜间进行产生环境噪声污染的建筑施工作业，因特殊需要必须在夜间连续作业的，建筑施工单位应向环境保护行政主管部门申领“夜间噪声施工许可证”，公告附近居民并亮证方可作业。</w:t>
      </w:r>
    </w:p>
    <w:p w14:paraId="486EBC14">
      <w:pPr>
        <w:ind w:firstLine="482"/>
        <w:rPr>
          <w:b/>
          <w:bCs/>
        </w:rPr>
      </w:pPr>
      <w:r>
        <w:rPr>
          <w:rFonts w:hint="eastAsia"/>
          <w:b/>
          <w:bCs/>
        </w:rPr>
        <w:t>（4）工业企业噪声污染防治</w:t>
      </w:r>
    </w:p>
    <w:p w14:paraId="5B32294D">
      <w:pPr>
        <w:ind w:firstLine="480"/>
      </w:pPr>
      <w:r>
        <w:rPr>
          <w:rFonts w:hint="eastAsia"/>
        </w:rPr>
        <w:t>加强对停转迁过渡期工业企业环境噪声污染防治的监管，确保工业企业厂界环境噪声达到《工业企业厂界环境噪声排放标准》（GB 12348-2008）限值规定；着力加快传统生产性工业企业停转迁进程，源头控制工业企业环境噪声污染。</w:t>
      </w:r>
    </w:p>
    <w:p w14:paraId="2E67473D">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9.3.7 固体废物收集贮存及利用处置完善措施</w:t>
      </w:r>
    </w:p>
    <w:p w14:paraId="4B24C7F3">
      <w:pPr>
        <w:ind w:firstLine="482"/>
        <w:rPr>
          <w:b/>
          <w:bCs/>
        </w:rPr>
      </w:pPr>
      <w:r>
        <w:rPr>
          <w:rFonts w:hint="eastAsia"/>
          <w:b/>
          <w:bCs/>
        </w:rPr>
        <w:t>（1）规范现有工业企业厂区内部固废堆场建设管理</w:t>
      </w:r>
    </w:p>
    <w:p w14:paraId="5D17987B">
      <w:pPr>
        <w:ind w:firstLine="480"/>
      </w:pPr>
      <w:r>
        <w:rPr>
          <w:rFonts w:hint="eastAsia"/>
        </w:rPr>
        <w:t>针对停转迁过渡期间工业企业厂区内部一般工业固体废物堆放场所不规范，露天、半露天堆放问题突出，环境管理水平下降，环保投资意识减弱等问题。强化对工业企业停转迁过渡期间厂区内部固废堆场的日常环境监管，加大环境监管检查频次，发现异常及隐患及时处置、整改，确保停转迁过渡期间工业企业厂区内部固废堆场符合标准规范，严防不规范固废堆场问题引起土壤和地下水环境污染。</w:t>
      </w:r>
    </w:p>
    <w:p w14:paraId="6D419367">
      <w:pPr>
        <w:ind w:firstLine="482"/>
        <w:rPr>
          <w:b/>
          <w:bCs/>
          <w:highlight w:val="yellow"/>
        </w:rPr>
      </w:pPr>
      <w:r>
        <w:rPr>
          <w:rFonts w:hint="eastAsia"/>
          <w:b/>
          <w:bCs/>
        </w:rPr>
        <w:t>（2）提升生活、餐厨、建筑垃圾收集处理广度与深度</w:t>
      </w:r>
    </w:p>
    <w:p w14:paraId="07C0C5C4">
      <w:pPr>
        <w:ind w:firstLine="480"/>
      </w:pPr>
      <w:r>
        <w:rPr>
          <w:rFonts w:hint="eastAsia"/>
        </w:rPr>
        <w:t>在现有较好环卫收集系统的基础上，进一步健全完善生活垃圾收集处理体系，提升生活（建筑）垃圾收集处理的广度与深度，特别注重加强城乡结合部等日常监管较为薄弱的生活垃圾收集处理管理。建立健全建筑垃圾收集处理管理长效机制，严防建筑垃圾沿途运输抛洒和随意乱倒等乱象的发生，及时清运拆迁遗留建筑垃圾。全面推广城乡生活垃圾分类收集、分类处理，实现垃圾减量化、资源化和无害化，建设一流生活垃圾收集处理体系。</w:t>
      </w:r>
    </w:p>
    <w:p w14:paraId="096FA0AF">
      <w:pPr>
        <w:ind w:firstLine="480"/>
      </w:pPr>
      <w:r>
        <w:rPr>
          <w:rFonts w:hint="eastAsia"/>
        </w:rPr>
        <w:t>餐厨废弃物产生单位应当与取得相关经营许可的餐厨废弃物收运企业签订餐厨废弃物收运协议，负责将餐厨废弃物放入专用收集容器，并保持容器整洁完好；按规定安装油水分离器或建设隔油池等污染防治设施，不得将餐厨废弃物排入排水管道、河道、公共场所等处。</w:t>
      </w:r>
    </w:p>
    <w:p w14:paraId="1A74210F">
      <w:pPr>
        <w:ind w:firstLine="482"/>
        <w:rPr>
          <w:b/>
          <w:bCs/>
        </w:rPr>
      </w:pPr>
      <w:r>
        <w:rPr>
          <w:rFonts w:hint="eastAsia"/>
          <w:b/>
          <w:bCs/>
        </w:rPr>
        <w:t>（3）加强度假区内旅游垃圾的收集及处置</w:t>
      </w:r>
    </w:p>
    <w:p w14:paraId="7424FADD">
      <w:pPr>
        <w:ind w:firstLine="480"/>
      </w:pPr>
      <w:r>
        <w:rPr>
          <w:rFonts w:hint="eastAsia"/>
        </w:rPr>
        <w:t>由旅游食品的包装袋形成的垃圾或称“白色污染”是各旅游景区普遍存在的问题，对此，在加强环保教育和卫生管理制度宣传的同时，做到定点投放垃圾，定点收集、集中处理。在游人相对集中的景区，要设置数量充足的垃圾箱。景区应组织或设立专人清理垃圾，分类收集，对于服务区设施集中排放的垃圾，可进行分类袋装收集。所有收集的垃圾，应按照环保要求，分拣可回收物，不可回收的垃圾应及时清运出景区，严禁倾倒在景区内。不得随意在景区内挖坑掩埋或堆放、公厕产生的固体废物主要为纸片、烟蒂、塑料袋等，均为普通垃圾，由公厕管理人员收集后交由环卫统一清运。</w:t>
      </w:r>
    </w:p>
    <w:p w14:paraId="49B8D5E3">
      <w:pPr>
        <w:ind w:firstLine="482"/>
        <w:rPr>
          <w:b/>
          <w:bCs/>
        </w:rPr>
      </w:pPr>
      <w:r>
        <w:rPr>
          <w:rFonts w:hint="eastAsia"/>
          <w:b/>
          <w:bCs/>
        </w:rPr>
        <w:t>（4）强化农业固体废物的收集处理</w:t>
      </w:r>
    </w:p>
    <w:p w14:paraId="52F24AFE">
      <w:pPr>
        <w:ind w:firstLine="480"/>
      </w:pPr>
      <w:r>
        <w:rPr>
          <w:rFonts w:hint="eastAsia"/>
        </w:rPr>
        <w:t>加强废旧农膜及农药肥料包装废弃物回收处置体系建设，探索农作物秸秆等农村有机垃圾就地生态化处理模式。到2035年，废旧农膜基本实现全回收，农药包装废弃物无害化处理率保持在100%。科学合理选择畜禽粪肥就近就地利用、清洁能源生产、有机肥料外供等畜禽粪污资源化利用路径，提高全域畜禽粪污综合利用率，推行多种资源利用模式并进。支持引导农民和新型经营主体以畜禽粪便、垫料为原料积造有机肥，利用沼渣、沼液和经无害化处理的畜禽养殖废水作为肥料科学还田施用。</w:t>
      </w:r>
    </w:p>
    <w:p w14:paraId="3433D0D6">
      <w:pPr>
        <w:ind w:firstLine="482"/>
        <w:rPr>
          <w:b/>
          <w:bCs/>
        </w:rPr>
      </w:pPr>
      <w:r>
        <w:rPr>
          <w:rFonts w:hint="eastAsia"/>
          <w:b/>
          <w:bCs/>
        </w:rPr>
        <w:t>（5）积极开展“无废城市”建设</w:t>
      </w:r>
    </w:p>
    <w:p w14:paraId="42DF5E0F">
      <w:pPr>
        <w:ind w:firstLine="480"/>
      </w:pPr>
      <w:r>
        <w:rPr>
          <w:rFonts w:hint="eastAsia"/>
        </w:rPr>
        <w:t>深入贯彻落实《常州市“十四五”时期“无废城市”建设实施方案》《常州市金坛区“十四五”时期“无废城市”建设实施方案》相关工作要求，积极推进全域“无废城市”建设工作，在旅游度假区域探索打造“无废景区”“无废商场”“无废社区”等“无废细胞”。培育绿色消费市场，促进绿色交通、绿色用品消费以及文旅领域的绿色消费。在餐饮服务场所设置节俭消费标识，提示消费者适量点餐，积极践行“光盘行动”，引导群众自觉践行“无废”理念。</w:t>
      </w:r>
    </w:p>
    <w:p w14:paraId="0E2847C2">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9.3.8 社会环境影响保护措施</w:t>
      </w:r>
    </w:p>
    <w:p w14:paraId="3A559CF1">
      <w:pPr>
        <w:ind w:firstLine="482"/>
        <w:rPr>
          <w:b/>
          <w:bCs/>
        </w:rPr>
      </w:pPr>
      <w:r>
        <w:rPr>
          <w:rFonts w:hint="eastAsia"/>
          <w:b/>
          <w:bCs/>
        </w:rPr>
        <w:t>（1）强化管理人员的保护意识</w:t>
      </w:r>
    </w:p>
    <w:p w14:paraId="01729DA0">
      <w:pPr>
        <w:ind w:firstLine="480"/>
      </w:pPr>
      <w:r>
        <w:rPr>
          <w:rFonts w:hint="eastAsia"/>
        </w:rPr>
        <w:t>严格控制度假区内游客人数在环境容量之内，同时规范游客在度假区内的旅游活动，避免不规范的旅游活动破坏度假区整体环境。</w:t>
      </w:r>
    </w:p>
    <w:p w14:paraId="2515AEF6">
      <w:pPr>
        <w:ind w:firstLine="482"/>
        <w:rPr>
          <w:b/>
          <w:bCs/>
        </w:rPr>
      </w:pPr>
      <w:r>
        <w:rPr>
          <w:rFonts w:hint="eastAsia"/>
          <w:b/>
          <w:bCs/>
        </w:rPr>
        <w:t>（2）提高区内村民生活质量</w:t>
      </w:r>
    </w:p>
    <w:p w14:paraId="4BE5D0CF">
      <w:pPr>
        <w:ind w:firstLine="480"/>
      </w:pPr>
      <w:r>
        <w:rPr>
          <w:rFonts w:hint="eastAsia"/>
        </w:rPr>
        <w:t>结合新农村建设，做好农村居住环境的整治工作，适度鼓励村民结合度假区开发原则，按照总体规划布置要求开展民宿、农家乐等经济活动，提高当地老百姓的经济收入，改善生活质量。</w:t>
      </w:r>
    </w:p>
    <w:p w14:paraId="4A887871">
      <w:pPr>
        <w:ind w:firstLine="482"/>
        <w:rPr>
          <w:b/>
          <w:bCs/>
        </w:rPr>
      </w:pPr>
      <w:r>
        <w:rPr>
          <w:rFonts w:hint="eastAsia"/>
          <w:b/>
          <w:bCs/>
        </w:rPr>
        <w:t>（3）做好区内文物保护工作</w:t>
      </w:r>
    </w:p>
    <w:p w14:paraId="7081641C">
      <w:pPr>
        <w:ind w:firstLine="480"/>
      </w:pPr>
      <w:r>
        <w:rPr>
          <w:rFonts w:hint="eastAsia"/>
        </w:rPr>
        <w:t>对规划范围内的文物保护单位，在开展修葺开发利用时，要注重对文物的保护，具体方案需征得文物主管部门的同意，在规划实施过程中应严格执行《中华人民共和国文物保护法》《江苏省文物保护条例》等法律法规相关要求，做好各类古迹文物的保护工作，在文物保护单位的建设控制地带内进行建设工程，建设工程项目应当与文物保护单位的周边环境、历史风貌相协调，不得破坏文物保护单位的历史风貌。工程设计方案应当根据文物保护单位的级别，经相应的文物行政部门同意后，报规划行政部门批准。需在醒目位置设置文保单位标志，提醒游客注意保护。</w:t>
      </w:r>
    </w:p>
    <w:p w14:paraId="2EEA76F1">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9.3.9 环境敏感区及重点保护区域开发建设要求</w:t>
      </w:r>
    </w:p>
    <w:p w14:paraId="73E1BD43">
      <w:pPr>
        <w:ind w:firstLine="482"/>
        <w:rPr>
          <w:b/>
          <w:bCs/>
        </w:rPr>
      </w:pPr>
      <w:r>
        <w:rPr>
          <w:rFonts w:hint="eastAsia"/>
          <w:b/>
          <w:bCs/>
        </w:rPr>
        <w:t>（1）江苏常州金坛茅东省级森林公园周边开发建设要求</w:t>
      </w:r>
    </w:p>
    <w:p w14:paraId="362698A5">
      <w:pPr>
        <w:ind w:firstLine="480"/>
      </w:pPr>
      <w:r>
        <w:rPr>
          <w:rFonts w:hint="eastAsia"/>
        </w:rPr>
        <w:t>资源保护与利用。加强涵盖森林植被、野生动植物、地质遗迹、历史遗迹等多方面的森林公园资源保护，在保护的前提下，合理开发和利用森林公园周边用地，提高公众对自然环境的认识和保护意识，防止因旅游开发造成对森林公园资源的破坏。</w:t>
      </w:r>
    </w:p>
    <w:p w14:paraId="01BABB9A">
      <w:pPr>
        <w:ind w:firstLine="480"/>
      </w:pPr>
      <w:r>
        <w:rPr>
          <w:rFonts w:hint="eastAsia"/>
        </w:rPr>
        <w:t>旅游设施与规划。开发应依据森林公园总体规划进行，森林公园周边旅游设施的建设符合生态友好原则，采用太阳能、风能等可再生环保材料和技术，减少对生态环境的影响。同时科学规划旅游线路和设施，避免对公园核心景区和生态敏感区域造成干扰。</w:t>
      </w:r>
    </w:p>
    <w:p w14:paraId="73BBA542">
      <w:pPr>
        <w:ind w:firstLine="480"/>
      </w:pPr>
      <w:r>
        <w:rPr>
          <w:rFonts w:hint="eastAsia"/>
        </w:rPr>
        <w:t>游客管理与教育。合理控制游客数量，避免因超过生态容量的旅游行为对森林公园内部造成生态压力；加强对游客的环保教育，引导游客文明旅游，不随意丢弃垃圾，不破坏植被和野生动植物。</w:t>
      </w:r>
    </w:p>
    <w:p w14:paraId="00BFDC87">
      <w:pPr>
        <w:ind w:firstLine="480"/>
      </w:pPr>
      <w:r>
        <w:rPr>
          <w:rFonts w:hint="eastAsia"/>
        </w:rPr>
        <w:t>监测与评估。建立环境监测体系，定期对森林公园内及周边进行生态环境监测，及时发现和解决生态环境问题；定期对旅游开发活动进行环境影响评估，评估其对森林公园生态环境的影响程度，为后续的生态保护和管理提供依据。</w:t>
      </w:r>
    </w:p>
    <w:p w14:paraId="5B7BE1B6">
      <w:pPr>
        <w:ind w:firstLine="482"/>
        <w:rPr>
          <w:b/>
          <w:bCs/>
        </w:rPr>
      </w:pPr>
      <w:r>
        <w:rPr>
          <w:rFonts w:hint="eastAsia"/>
          <w:b/>
          <w:bCs/>
        </w:rPr>
        <w:t>（2）茅东山地水源涵养区、向阳水库水源涵养区周边开发建设要求</w:t>
      </w:r>
    </w:p>
    <w:p w14:paraId="3A8EE593">
      <w:pPr>
        <w:ind w:firstLine="480"/>
      </w:pPr>
      <w:r>
        <w:rPr>
          <w:rFonts w:hint="eastAsia"/>
        </w:rPr>
        <w:t>水质管理与保护。加强周边开发用地污染源监管，确保水源涵养区的水质符合相应标准，防止因旅游开发造成水质污染。</w:t>
      </w:r>
    </w:p>
    <w:p w14:paraId="170A1145">
      <w:pPr>
        <w:ind w:firstLine="480"/>
      </w:pPr>
      <w:r>
        <w:rPr>
          <w:rFonts w:hint="eastAsia"/>
        </w:rPr>
        <w:t>生态修复与保护。在开发过程中，通过植树造林、水土保持等措施，对发现的水源涵养区周边受损的生态环境进行修复，恢复水源涵养功能，以提高水源涵养区的生态服务功能。</w:t>
      </w:r>
    </w:p>
    <w:p w14:paraId="784547E0">
      <w:pPr>
        <w:ind w:firstLine="480"/>
      </w:pPr>
      <w:r>
        <w:rPr>
          <w:rFonts w:hint="eastAsia"/>
        </w:rPr>
        <w:t>风险防控与应急响应。建立风险防控体系，对可能威胁水源涵养区安全的因素进行监测和预警，及时采取措施进行防控；制定应急预案，对突发的生态环境事件进行及时响应和处理，减少对水源涵养区的影响。</w:t>
      </w:r>
    </w:p>
    <w:p w14:paraId="14E344FA">
      <w:pPr>
        <w:ind w:firstLine="480"/>
      </w:pPr>
      <w:r>
        <w:rPr>
          <w:rFonts w:hint="eastAsia"/>
        </w:rPr>
        <w:t>旅游设施与规划。旅游活动的开展应充分考虑对水源涵养区的影响，避免建设可能产生噪音污染、水污染的娱乐项目，仅开展符合管控要求的不造成生态破坏的有限人为活动。</w:t>
      </w:r>
    </w:p>
    <w:p w14:paraId="6DD9F42C">
      <w:pPr>
        <w:ind w:firstLine="482"/>
        <w:rPr>
          <w:b/>
          <w:bCs/>
        </w:rPr>
      </w:pPr>
      <w:r>
        <w:rPr>
          <w:rFonts w:hint="eastAsia"/>
          <w:b/>
          <w:bCs/>
        </w:rPr>
        <w:t>（3）方山（金坛区）森林公园、四棚洼生态公益林周边开发建设要求</w:t>
      </w:r>
    </w:p>
    <w:p w14:paraId="5D793584">
      <w:pPr>
        <w:ind w:firstLine="480"/>
      </w:pPr>
      <w:r>
        <w:rPr>
          <w:rFonts w:hint="eastAsia"/>
        </w:rPr>
        <w:t>林木管理与保护。加强对林木砍伐的监管力度，严格审批制度，严禁任何形式的非法砍伐。注重林木的品种优化和更新，根据当地的生态环境和气候条件，选择适合的树种进行种植和培育，提高林木的抗逆性和生态功能。</w:t>
      </w:r>
    </w:p>
    <w:p w14:paraId="0E06FAC6">
      <w:pPr>
        <w:ind w:firstLine="480"/>
      </w:pPr>
      <w:r>
        <w:rPr>
          <w:rFonts w:hint="eastAsia"/>
        </w:rPr>
        <w:t>旅游设施与规划。规划旅游活动要遵循生态优先的原则，采用环保型材料进行建设，减少对周边生态环境的破坏。区域生态资源的利用应符合生态效益和社会效益的主体功能，以提供公益性、社会性产品或者服务为主要利用方向，仅开展符合管控要求的不造成生态破坏的有限人为活动。</w:t>
      </w:r>
    </w:p>
    <w:p w14:paraId="3CCF2E09">
      <w:pPr>
        <w:ind w:firstLine="480"/>
      </w:pPr>
      <w:r>
        <w:rPr>
          <w:rFonts w:hint="eastAsia"/>
        </w:rPr>
        <w:t>生态修复与保护。在开发过程中，通过植树造林、水土保持等措施，对发现受损的生态环境进行修复，做好林木补种和恢复工作，确保林木资源的总量不减少。</w:t>
      </w:r>
    </w:p>
    <w:p w14:paraId="7325DA45">
      <w:pPr>
        <w:ind w:firstLine="482"/>
        <w:rPr>
          <w:b/>
          <w:bCs/>
        </w:rPr>
      </w:pPr>
      <w:r>
        <w:rPr>
          <w:rFonts w:hint="eastAsia"/>
          <w:b/>
          <w:bCs/>
        </w:rPr>
        <w:t>（4）水库周边开发建设要求</w:t>
      </w:r>
    </w:p>
    <w:p w14:paraId="0E338274">
      <w:pPr>
        <w:ind w:firstLine="480"/>
      </w:pPr>
      <w:r>
        <w:rPr>
          <w:rFonts w:hint="eastAsia"/>
        </w:rPr>
        <w:t>安全距离。根据《水库大坝安全管理条例》要求，水库大坝周围需设置一定的安全距离。对于小型水库，大坝根部向外延伸一定安全距离（水库红线），在这个范围内，禁止建设永久性建筑物，以确保大坝的安全运行。同时，除了大坝外，溢洪道和其他泄水建筑物两侧也需要设置特定的安全距离，以防止在泄洪或排水时对周边地区造成冲击和损害，避免洪水、滑坡等自然灾害威胁。</w:t>
      </w:r>
    </w:p>
    <w:p w14:paraId="69205981">
      <w:pPr>
        <w:ind w:firstLine="480"/>
      </w:pPr>
      <w:r>
        <w:t>生态环境保护</w:t>
      </w:r>
      <w:r>
        <w:rPr>
          <w:rFonts w:hint="eastAsia"/>
        </w:rPr>
        <w:t>。水库周边开发建设中应保护水库周边自然植被，防止因开发建设活动导致的水土流失和生态破坏，保护野生动植物栖息地，维护生态平衡。</w:t>
      </w:r>
    </w:p>
    <w:p w14:paraId="1916A101">
      <w:pPr>
        <w:ind w:firstLine="480"/>
      </w:pPr>
      <w:r>
        <w:rPr>
          <w:rFonts w:hint="eastAsia"/>
        </w:rPr>
        <w:t>监测评估。规划实施后，应持续对水库水质、水库周边生态环境进行监测和评估，及时发现问题并采取措施加以解决。</w:t>
      </w:r>
    </w:p>
    <w:p w14:paraId="142B4F80">
      <w:pPr>
        <w:spacing w:line="500" w:lineRule="exact"/>
        <w:ind w:firstLine="480"/>
        <w:jc w:val="left"/>
      </w:pPr>
      <w:r>
        <w:t>用地及设施布局</w:t>
      </w:r>
      <w:r>
        <w:rPr>
          <w:rFonts w:hint="eastAsia"/>
        </w:rPr>
        <w:t>。水库周边的用地布局和居民区规划中，应进行科学规划，充分考虑水库的安全运行、生态环境的保护等因素。对于在水库周边的建设活动，应严格进行审批，确保符合《水库大坝安全管理条例》《水污染防治法》等相关法规和政策的要求。水库周边建筑风格和布局应与周边的自然环境相协调，形成良好的景观效果。水库周边建筑应配套排水、废气治理、环卫等完善的污染防治基础设施，防止污水、垃圾等污染物进入水库，保护水质安全。</w:t>
      </w:r>
    </w:p>
    <w:p w14:paraId="5C959473">
      <w:pPr>
        <w:spacing w:line="500" w:lineRule="exact"/>
        <w:ind w:firstLine="480"/>
        <w:jc w:val="left"/>
        <w:rPr>
          <w:rFonts w:cs="Times New Roman"/>
          <w:szCs w:val="24"/>
        </w:rPr>
      </w:pPr>
      <w:r>
        <w:rPr>
          <w:rFonts w:hint="eastAsia" w:cs="Times New Roman"/>
          <w:szCs w:val="24"/>
        </w:rPr>
        <w:t>严格对照《江苏省水库管理条例》第十四条 在水库管理范围内禁止从事下列活动：</w:t>
      </w:r>
    </w:p>
    <w:p w14:paraId="716CED65">
      <w:pPr>
        <w:pStyle w:val="39"/>
        <w:numPr>
          <w:ilvl w:val="0"/>
          <w:numId w:val="23"/>
        </w:numPr>
        <w:spacing w:line="500" w:lineRule="exact"/>
        <w:ind w:firstLineChars="0"/>
        <w:rPr>
          <w:rFonts w:cs="Times New Roman"/>
          <w:szCs w:val="24"/>
        </w:rPr>
      </w:pPr>
      <w:r>
        <w:rPr>
          <w:rFonts w:hint="eastAsia" w:cs="Times New Roman"/>
          <w:szCs w:val="24"/>
        </w:rPr>
        <w:t>围垦、填库、圈圩；</w:t>
      </w:r>
    </w:p>
    <w:p w14:paraId="7ADC31ED">
      <w:pPr>
        <w:pStyle w:val="39"/>
        <w:numPr>
          <w:ilvl w:val="0"/>
          <w:numId w:val="23"/>
        </w:numPr>
        <w:spacing w:line="500" w:lineRule="exact"/>
        <w:ind w:firstLineChars="0"/>
        <w:rPr>
          <w:rFonts w:cs="Times New Roman"/>
          <w:szCs w:val="24"/>
        </w:rPr>
      </w:pPr>
      <w:r>
        <w:rPr>
          <w:rFonts w:hint="eastAsia" w:cs="Times New Roman"/>
          <w:szCs w:val="24"/>
        </w:rPr>
        <w:t>建设宾馆、饭店、酒店、度假村、疗养院或者进行房地产开发；</w:t>
      </w:r>
    </w:p>
    <w:p w14:paraId="6C744336">
      <w:pPr>
        <w:pStyle w:val="39"/>
        <w:numPr>
          <w:ilvl w:val="0"/>
          <w:numId w:val="23"/>
        </w:numPr>
        <w:spacing w:line="500" w:lineRule="exact"/>
        <w:ind w:firstLineChars="0"/>
        <w:rPr>
          <w:rFonts w:cs="Times New Roman"/>
          <w:szCs w:val="24"/>
        </w:rPr>
      </w:pPr>
      <w:r>
        <w:rPr>
          <w:rFonts w:hint="eastAsia" w:cs="Times New Roman"/>
          <w:szCs w:val="24"/>
        </w:rPr>
        <w:t>在坝体上修建码头、渠道，擅自埋设杆（管）线；</w:t>
      </w:r>
    </w:p>
    <w:p w14:paraId="43436108">
      <w:pPr>
        <w:pStyle w:val="39"/>
        <w:numPr>
          <w:ilvl w:val="0"/>
          <w:numId w:val="23"/>
        </w:numPr>
        <w:spacing w:line="500" w:lineRule="exact"/>
        <w:ind w:firstLineChars="0"/>
        <w:rPr>
          <w:rFonts w:cs="Times New Roman"/>
          <w:szCs w:val="24"/>
        </w:rPr>
      </w:pPr>
      <w:r>
        <w:rPr>
          <w:rFonts w:hint="eastAsia" w:cs="Times New Roman"/>
          <w:szCs w:val="24"/>
        </w:rPr>
        <w:t>在坝体上植树、垦种、放牧、堆放物料、晾晒粮草、烧烤；</w:t>
      </w:r>
    </w:p>
    <w:p w14:paraId="0AEE57D6">
      <w:pPr>
        <w:pStyle w:val="39"/>
        <w:numPr>
          <w:ilvl w:val="0"/>
          <w:numId w:val="23"/>
        </w:numPr>
        <w:spacing w:line="500" w:lineRule="exact"/>
        <w:ind w:firstLineChars="0"/>
        <w:rPr>
          <w:rFonts w:cs="Times New Roman"/>
          <w:szCs w:val="24"/>
        </w:rPr>
      </w:pPr>
      <w:r>
        <w:rPr>
          <w:rFonts w:hint="eastAsia" w:cs="Times New Roman"/>
          <w:szCs w:val="24"/>
        </w:rPr>
        <w:t>在水库水域内炸鱼、毒鱼、电鱼，以及向水库水域排放污水和弃置废弃物；</w:t>
      </w:r>
    </w:p>
    <w:p w14:paraId="74AC5DBE">
      <w:pPr>
        <w:pStyle w:val="39"/>
        <w:numPr>
          <w:ilvl w:val="0"/>
          <w:numId w:val="23"/>
        </w:numPr>
        <w:spacing w:line="500" w:lineRule="exact"/>
        <w:ind w:firstLineChars="0"/>
        <w:rPr>
          <w:rFonts w:cs="Times New Roman"/>
          <w:szCs w:val="24"/>
        </w:rPr>
      </w:pPr>
      <w:r>
        <w:rPr>
          <w:rFonts w:hint="eastAsia" w:cs="Times New Roman"/>
          <w:szCs w:val="24"/>
        </w:rPr>
        <w:t>擅自在水库水域内游泳、游玩、垂钓；</w:t>
      </w:r>
    </w:p>
    <w:p w14:paraId="13953A49">
      <w:pPr>
        <w:pStyle w:val="39"/>
        <w:numPr>
          <w:ilvl w:val="0"/>
          <w:numId w:val="23"/>
        </w:numPr>
        <w:spacing w:line="500" w:lineRule="exact"/>
        <w:ind w:firstLineChars="0"/>
        <w:rPr>
          <w:rFonts w:cs="Times New Roman"/>
          <w:szCs w:val="24"/>
        </w:rPr>
      </w:pPr>
      <w:r>
        <w:rPr>
          <w:rFonts w:hint="eastAsia" w:cs="Times New Roman"/>
          <w:szCs w:val="24"/>
        </w:rPr>
        <w:t>法律、法规禁止的其他减少水库库容、危害水库安全、破坏水库生态环境以及侵占、损毁水库工程设施的活动。</w:t>
      </w:r>
    </w:p>
    <w:p w14:paraId="5EE9CA86">
      <w:pPr>
        <w:pStyle w:val="2"/>
        <w:ind w:firstLine="0" w:firstLineChars="0"/>
      </w:pPr>
      <w:bookmarkStart w:id="147" w:name="_Toc217294084"/>
      <w:r>
        <w:t>10</w:t>
      </w:r>
      <w:r>
        <w:rPr>
          <w:rFonts w:hint="eastAsia"/>
        </w:rPr>
        <w:t>环境影响跟踪评价计划</w:t>
      </w:r>
      <w:bookmarkEnd w:id="147"/>
    </w:p>
    <w:p w14:paraId="4A0B65DF">
      <w:pPr>
        <w:pStyle w:val="3"/>
        <w:ind w:firstLine="0" w:firstLineChars="0"/>
        <w:rPr>
          <w:rFonts w:cs="Times New Roman"/>
        </w:rPr>
      </w:pPr>
      <w:bookmarkStart w:id="148" w:name="_Toc217294085"/>
      <w:r>
        <w:rPr>
          <w:rFonts w:cs="Times New Roman"/>
        </w:rPr>
        <w:t>10.1</w:t>
      </w:r>
      <w:r>
        <w:rPr>
          <w:rFonts w:hint="eastAsia" w:cs="Times New Roman"/>
        </w:rPr>
        <w:t>环境质量监测计划</w:t>
      </w:r>
      <w:bookmarkEnd w:id="148"/>
    </w:p>
    <w:p w14:paraId="32500B22">
      <w:pPr>
        <w:ind w:firstLine="480"/>
      </w:pPr>
      <w:r>
        <w:rPr>
          <w:rFonts w:hint="eastAsia"/>
        </w:rPr>
        <w:t>为进一步落实环境保护责任制，加强对各类污染源的监控，减少污染物排放对区域环境的影响，提出度假区监测计划。</w:t>
      </w:r>
    </w:p>
    <w:p w14:paraId="43C7D924">
      <w:pPr>
        <w:ind w:firstLine="480" w:firstLineChars="0"/>
        <w:rPr>
          <w:b/>
          <w:bCs/>
        </w:rPr>
      </w:pPr>
      <w:r>
        <w:rPr>
          <w:rFonts w:hint="eastAsia"/>
          <w:b/>
          <w:bCs/>
        </w:rPr>
        <w:t>（1）环境监测任务</w:t>
      </w:r>
    </w:p>
    <w:p w14:paraId="64E1FFFC">
      <w:pPr>
        <w:ind w:firstLine="480"/>
      </w:pPr>
      <w:r>
        <w:rPr>
          <w:rFonts w:hint="eastAsia"/>
        </w:rPr>
        <w:t>环境质量监测：环境空气监测、环境噪声监测、地表水环境监测、地下水环境监测、土壤监测、底泥监测等；</w:t>
      </w:r>
    </w:p>
    <w:p w14:paraId="4D265271">
      <w:pPr>
        <w:ind w:firstLine="480"/>
      </w:pPr>
      <w:r>
        <w:rPr>
          <w:rFonts w:hint="eastAsia"/>
        </w:rPr>
        <w:t>污染源监测：施工场地监测、餐饮业油烟排放口；</w:t>
      </w:r>
    </w:p>
    <w:p w14:paraId="5235A878">
      <w:pPr>
        <w:ind w:firstLine="480"/>
      </w:pPr>
      <w:r>
        <w:rPr>
          <w:rFonts w:hint="eastAsia"/>
        </w:rPr>
        <w:t>生态监测：自然环境和生物多样性等。</w:t>
      </w:r>
    </w:p>
    <w:p w14:paraId="6F8CE140">
      <w:pPr>
        <w:ind w:firstLine="482"/>
        <w:rPr>
          <w:b/>
          <w:bCs/>
        </w:rPr>
      </w:pPr>
      <w:r>
        <w:rPr>
          <w:rFonts w:hint="eastAsia"/>
          <w:b/>
          <w:bCs/>
        </w:rPr>
        <w:t>（2）环境监测内容</w:t>
      </w:r>
    </w:p>
    <w:p w14:paraId="0AAA5667">
      <w:pPr>
        <w:ind w:firstLine="480"/>
      </w:pPr>
      <w:r>
        <w:rPr>
          <w:rFonts w:hint="eastAsia"/>
        </w:rPr>
        <w:t>各大气、地表水、地下水、土壤、底泥、声环境质量监测点位的监测因子和监测频次具体见表1</w:t>
      </w:r>
      <w:r>
        <w:t>0</w:t>
      </w:r>
      <w:r>
        <w:rPr>
          <w:rFonts w:hint="eastAsia"/>
        </w:rPr>
        <w:t>.1-1，监测点位见图1</w:t>
      </w:r>
      <w:r>
        <w:t>0</w:t>
      </w:r>
      <w:r>
        <w:rPr>
          <w:rFonts w:hint="eastAsia"/>
        </w:rPr>
        <w:t>.1-1。</w:t>
      </w:r>
    </w:p>
    <w:p w14:paraId="43C17486">
      <w:pPr>
        <w:pStyle w:val="45"/>
      </w:pPr>
      <w:r>
        <w:rPr>
          <w:rFonts w:hint="eastAsia" w:cs="Times New Roman"/>
        </w:rPr>
        <w:t>表1</w:t>
      </w:r>
      <w:r>
        <w:rPr>
          <w:rFonts w:cs="Times New Roman"/>
        </w:rPr>
        <w:t>0</w:t>
      </w:r>
      <w:r>
        <w:rPr>
          <w:rFonts w:hint="eastAsia" w:cs="Times New Roman"/>
        </w:rPr>
        <w:t>.1-1</w:t>
      </w:r>
      <w:r>
        <w:rPr>
          <w:rFonts w:cs="Times New Roman"/>
        </w:rPr>
        <w:t xml:space="preserve">  </w:t>
      </w:r>
      <w:r>
        <w:t>度假区环境</w:t>
      </w:r>
      <w:r>
        <w:rPr>
          <w:rFonts w:hint="eastAsia"/>
        </w:rPr>
        <w:t>例行</w:t>
      </w:r>
      <w:r>
        <w:t>监测</w:t>
      </w:r>
      <w:r>
        <w:rPr>
          <w:rFonts w:hint="eastAsia"/>
        </w:rPr>
        <w:t>计划表</w:t>
      </w:r>
    </w:p>
    <w:tbl>
      <w:tblPr>
        <w:tblStyle w:val="26"/>
        <w:tblW w:w="86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276"/>
        <w:gridCol w:w="2268"/>
        <w:gridCol w:w="2976"/>
        <w:gridCol w:w="1276"/>
      </w:tblGrid>
      <w:tr w14:paraId="2437F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46" w:type="dxa"/>
            <w:vAlign w:val="center"/>
          </w:tcPr>
          <w:p w14:paraId="6FA020FA">
            <w:pPr>
              <w:spacing w:line="240" w:lineRule="auto"/>
              <w:ind w:firstLine="0" w:firstLineChars="0"/>
              <w:jc w:val="center"/>
              <w:rPr>
                <w:rFonts w:cs="Times New Roman"/>
                <w:b/>
                <w:bCs/>
                <w:sz w:val="21"/>
                <w:szCs w:val="21"/>
              </w:rPr>
            </w:pPr>
            <w:r>
              <w:rPr>
                <w:rFonts w:hint="eastAsia" w:cs="Times New Roman"/>
                <w:b/>
                <w:bCs/>
                <w:sz w:val="21"/>
                <w:szCs w:val="21"/>
              </w:rPr>
              <w:t>监测类别</w:t>
            </w:r>
          </w:p>
        </w:tc>
        <w:tc>
          <w:tcPr>
            <w:tcW w:w="1276" w:type="dxa"/>
            <w:vAlign w:val="center"/>
          </w:tcPr>
          <w:p w14:paraId="6D1E1107">
            <w:pPr>
              <w:spacing w:line="240" w:lineRule="auto"/>
              <w:ind w:firstLine="0" w:firstLineChars="0"/>
              <w:jc w:val="center"/>
              <w:rPr>
                <w:rFonts w:cs="Times New Roman"/>
                <w:b/>
                <w:bCs/>
                <w:sz w:val="21"/>
                <w:szCs w:val="21"/>
              </w:rPr>
            </w:pPr>
            <w:r>
              <w:rPr>
                <w:rFonts w:hint="eastAsia" w:cs="Times New Roman"/>
                <w:b/>
                <w:bCs/>
                <w:sz w:val="21"/>
                <w:szCs w:val="21"/>
              </w:rPr>
              <w:t>监测分类</w:t>
            </w:r>
          </w:p>
        </w:tc>
        <w:tc>
          <w:tcPr>
            <w:tcW w:w="2268" w:type="dxa"/>
            <w:vAlign w:val="center"/>
          </w:tcPr>
          <w:p w14:paraId="35801D46">
            <w:pPr>
              <w:spacing w:line="240" w:lineRule="auto"/>
              <w:ind w:firstLine="0" w:firstLineChars="0"/>
              <w:jc w:val="center"/>
              <w:rPr>
                <w:rFonts w:cs="Times New Roman"/>
                <w:b/>
                <w:bCs/>
                <w:sz w:val="21"/>
                <w:szCs w:val="21"/>
              </w:rPr>
            </w:pPr>
            <w:r>
              <w:rPr>
                <w:rFonts w:hint="eastAsia" w:cs="Times New Roman"/>
                <w:b/>
                <w:bCs/>
                <w:sz w:val="21"/>
                <w:szCs w:val="21"/>
              </w:rPr>
              <w:t>监测点位</w:t>
            </w:r>
          </w:p>
        </w:tc>
        <w:tc>
          <w:tcPr>
            <w:tcW w:w="2976" w:type="dxa"/>
            <w:vAlign w:val="center"/>
          </w:tcPr>
          <w:p w14:paraId="0EEFD748">
            <w:pPr>
              <w:spacing w:line="240" w:lineRule="auto"/>
              <w:ind w:firstLine="0" w:firstLineChars="0"/>
              <w:jc w:val="center"/>
              <w:rPr>
                <w:rFonts w:cs="Times New Roman"/>
                <w:b/>
                <w:bCs/>
                <w:sz w:val="21"/>
                <w:szCs w:val="21"/>
              </w:rPr>
            </w:pPr>
            <w:r>
              <w:rPr>
                <w:rFonts w:hint="eastAsia" w:cs="Times New Roman"/>
                <w:b/>
                <w:bCs/>
                <w:sz w:val="21"/>
                <w:szCs w:val="21"/>
              </w:rPr>
              <w:t>监测项目</w:t>
            </w:r>
          </w:p>
        </w:tc>
        <w:tc>
          <w:tcPr>
            <w:tcW w:w="1276" w:type="dxa"/>
            <w:vAlign w:val="center"/>
          </w:tcPr>
          <w:p w14:paraId="22229842">
            <w:pPr>
              <w:spacing w:line="240" w:lineRule="auto"/>
              <w:ind w:firstLine="0" w:firstLineChars="0"/>
              <w:jc w:val="center"/>
              <w:rPr>
                <w:rFonts w:cs="Times New Roman"/>
                <w:b/>
                <w:bCs/>
                <w:sz w:val="21"/>
                <w:szCs w:val="21"/>
              </w:rPr>
            </w:pPr>
            <w:r>
              <w:rPr>
                <w:rFonts w:hint="eastAsia" w:cs="Times New Roman"/>
                <w:b/>
                <w:bCs/>
                <w:sz w:val="21"/>
                <w:szCs w:val="21"/>
              </w:rPr>
              <w:t>频次</w:t>
            </w:r>
          </w:p>
        </w:tc>
      </w:tr>
      <w:tr w14:paraId="1F925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846" w:type="dxa"/>
            <w:vMerge w:val="restart"/>
            <w:vAlign w:val="center"/>
          </w:tcPr>
          <w:p w14:paraId="112BEC9E">
            <w:pPr>
              <w:spacing w:line="240" w:lineRule="auto"/>
              <w:ind w:firstLine="0" w:firstLineChars="0"/>
              <w:jc w:val="center"/>
              <w:rPr>
                <w:rFonts w:cs="Times New Roman"/>
                <w:sz w:val="21"/>
                <w:szCs w:val="21"/>
              </w:rPr>
            </w:pPr>
            <w:r>
              <w:rPr>
                <w:rFonts w:hint="eastAsia" w:cs="Times New Roman"/>
                <w:sz w:val="21"/>
                <w:szCs w:val="21"/>
              </w:rPr>
              <w:t>环境质量监测</w:t>
            </w:r>
          </w:p>
        </w:tc>
        <w:tc>
          <w:tcPr>
            <w:tcW w:w="1276" w:type="dxa"/>
            <w:vMerge w:val="restart"/>
            <w:vAlign w:val="center"/>
          </w:tcPr>
          <w:p w14:paraId="5D2135C0">
            <w:pPr>
              <w:spacing w:line="240" w:lineRule="auto"/>
              <w:ind w:firstLine="0" w:firstLineChars="0"/>
              <w:jc w:val="center"/>
              <w:rPr>
                <w:rFonts w:cs="Times New Roman"/>
                <w:sz w:val="21"/>
                <w:szCs w:val="21"/>
              </w:rPr>
            </w:pPr>
            <w:r>
              <w:rPr>
                <w:rFonts w:hint="eastAsia" w:cs="Times New Roman"/>
                <w:sz w:val="21"/>
                <w:szCs w:val="21"/>
              </w:rPr>
              <w:t>环境空气</w:t>
            </w:r>
          </w:p>
        </w:tc>
        <w:tc>
          <w:tcPr>
            <w:tcW w:w="2268" w:type="dxa"/>
            <w:vAlign w:val="bottom"/>
          </w:tcPr>
          <w:p w14:paraId="5E17E41C">
            <w:pPr>
              <w:spacing w:line="240" w:lineRule="auto"/>
              <w:ind w:firstLine="0" w:firstLineChars="0"/>
              <w:jc w:val="center"/>
              <w:rPr>
                <w:rFonts w:cs="Times New Roman"/>
                <w:sz w:val="21"/>
                <w:szCs w:val="21"/>
              </w:rPr>
            </w:pPr>
            <w:r>
              <w:rPr>
                <w:rFonts w:hint="eastAsia" w:cs="Times New Roman"/>
                <w:sz w:val="21"/>
                <w:szCs w:val="21"/>
              </w:rPr>
              <w:t>G4养心园</w:t>
            </w:r>
          </w:p>
        </w:tc>
        <w:tc>
          <w:tcPr>
            <w:tcW w:w="2976" w:type="dxa"/>
            <w:vMerge w:val="restart"/>
            <w:vAlign w:val="center"/>
          </w:tcPr>
          <w:p w14:paraId="5596EC73">
            <w:pPr>
              <w:spacing w:line="240" w:lineRule="auto"/>
              <w:ind w:firstLine="0" w:firstLineChars="0"/>
              <w:jc w:val="center"/>
              <w:rPr>
                <w:rFonts w:cs="Times New Roman"/>
                <w:sz w:val="21"/>
                <w:szCs w:val="21"/>
              </w:rPr>
            </w:pPr>
            <w:r>
              <w:rPr>
                <w:rFonts w:hint="eastAsia" w:cs="Times New Roman"/>
                <w:sz w:val="21"/>
                <w:szCs w:val="21"/>
              </w:rPr>
              <w:t>TSP、NH</w:t>
            </w:r>
            <w:r>
              <w:rPr>
                <w:rFonts w:hint="eastAsia" w:cs="Times New Roman"/>
                <w:sz w:val="21"/>
                <w:szCs w:val="21"/>
                <w:vertAlign w:val="subscript"/>
              </w:rPr>
              <w:t>3</w:t>
            </w:r>
            <w:r>
              <w:rPr>
                <w:rFonts w:hint="eastAsia" w:cs="Times New Roman"/>
                <w:sz w:val="21"/>
                <w:szCs w:val="21"/>
              </w:rPr>
              <w:t>、H</w:t>
            </w:r>
            <w:r>
              <w:rPr>
                <w:rFonts w:hint="eastAsia" w:cs="Times New Roman"/>
                <w:sz w:val="21"/>
                <w:szCs w:val="21"/>
                <w:vertAlign w:val="subscript"/>
              </w:rPr>
              <w:t>2</w:t>
            </w:r>
            <w:r>
              <w:rPr>
                <w:rFonts w:hint="eastAsia" w:cs="Times New Roman"/>
                <w:sz w:val="21"/>
                <w:szCs w:val="21"/>
              </w:rPr>
              <w:t>S、非甲烷总烃</w:t>
            </w:r>
          </w:p>
        </w:tc>
        <w:tc>
          <w:tcPr>
            <w:tcW w:w="1276" w:type="dxa"/>
            <w:vMerge w:val="restart"/>
            <w:vAlign w:val="center"/>
          </w:tcPr>
          <w:p w14:paraId="19F9CF4C">
            <w:pPr>
              <w:spacing w:line="240" w:lineRule="auto"/>
              <w:ind w:firstLine="0" w:firstLineChars="0"/>
              <w:jc w:val="center"/>
              <w:rPr>
                <w:rFonts w:cs="Times New Roman"/>
                <w:sz w:val="21"/>
                <w:szCs w:val="21"/>
              </w:rPr>
            </w:pPr>
            <w:r>
              <w:rPr>
                <w:rFonts w:hint="eastAsia" w:cs="Times New Roman"/>
                <w:sz w:val="21"/>
                <w:szCs w:val="21"/>
              </w:rPr>
              <w:t>1次/年</w:t>
            </w:r>
          </w:p>
        </w:tc>
      </w:tr>
      <w:tr w14:paraId="19383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46" w:type="dxa"/>
            <w:vMerge w:val="continue"/>
            <w:vAlign w:val="center"/>
          </w:tcPr>
          <w:p w14:paraId="4B16F551">
            <w:pPr>
              <w:spacing w:line="240" w:lineRule="auto"/>
              <w:ind w:firstLine="0" w:firstLineChars="0"/>
              <w:jc w:val="center"/>
              <w:rPr>
                <w:rFonts w:cs="Times New Roman"/>
                <w:sz w:val="21"/>
                <w:szCs w:val="21"/>
              </w:rPr>
            </w:pPr>
          </w:p>
        </w:tc>
        <w:tc>
          <w:tcPr>
            <w:tcW w:w="1276" w:type="dxa"/>
            <w:vMerge w:val="continue"/>
            <w:vAlign w:val="center"/>
          </w:tcPr>
          <w:p w14:paraId="4ACE0D66">
            <w:pPr>
              <w:spacing w:line="240" w:lineRule="auto"/>
              <w:ind w:firstLine="0" w:firstLineChars="0"/>
              <w:jc w:val="center"/>
              <w:rPr>
                <w:rFonts w:cs="Times New Roman"/>
                <w:sz w:val="21"/>
                <w:szCs w:val="21"/>
              </w:rPr>
            </w:pPr>
          </w:p>
        </w:tc>
        <w:tc>
          <w:tcPr>
            <w:tcW w:w="2268" w:type="dxa"/>
          </w:tcPr>
          <w:p w14:paraId="5DE4EE40">
            <w:pPr>
              <w:spacing w:line="240" w:lineRule="auto"/>
              <w:ind w:firstLine="0" w:firstLineChars="0"/>
              <w:jc w:val="center"/>
              <w:rPr>
                <w:rFonts w:cs="Times New Roman"/>
                <w:sz w:val="21"/>
                <w:szCs w:val="21"/>
              </w:rPr>
            </w:pPr>
            <w:r>
              <w:rPr>
                <w:rFonts w:hint="eastAsia" w:cs="Times New Roman"/>
                <w:sz w:val="21"/>
                <w:szCs w:val="21"/>
              </w:rPr>
              <w:t>G6塔山村</w:t>
            </w:r>
          </w:p>
        </w:tc>
        <w:tc>
          <w:tcPr>
            <w:tcW w:w="2976" w:type="dxa"/>
            <w:vMerge w:val="continue"/>
            <w:vAlign w:val="center"/>
          </w:tcPr>
          <w:p w14:paraId="3294F22E">
            <w:pPr>
              <w:spacing w:line="240" w:lineRule="auto"/>
              <w:ind w:firstLine="0" w:firstLineChars="0"/>
              <w:jc w:val="center"/>
              <w:rPr>
                <w:rFonts w:cs="Times New Roman"/>
                <w:sz w:val="21"/>
                <w:szCs w:val="21"/>
              </w:rPr>
            </w:pPr>
          </w:p>
        </w:tc>
        <w:tc>
          <w:tcPr>
            <w:tcW w:w="1276" w:type="dxa"/>
            <w:vMerge w:val="continue"/>
            <w:vAlign w:val="center"/>
          </w:tcPr>
          <w:p w14:paraId="171B9BE4">
            <w:pPr>
              <w:spacing w:line="240" w:lineRule="auto"/>
              <w:ind w:firstLine="0" w:firstLineChars="0"/>
              <w:jc w:val="center"/>
              <w:rPr>
                <w:rFonts w:cs="Times New Roman"/>
                <w:sz w:val="21"/>
                <w:szCs w:val="21"/>
              </w:rPr>
            </w:pPr>
          </w:p>
        </w:tc>
      </w:tr>
      <w:tr w14:paraId="165F5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6" w:type="dxa"/>
            <w:vMerge w:val="continue"/>
            <w:vAlign w:val="center"/>
          </w:tcPr>
          <w:p w14:paraId="1BB31510">
            <w:pPr>
              <w:spacing w:line="240" w:lineRule="auto"/>
              <w:ind w:firstLine="0" w:firstLineChars="0"/>
              <w:jc w:val="center"/>
              <w:rPr>
                <w:rFonts w:cs="Times New Roman"/>
                <w:sz w:val="21"/>
                <w:szCs w:val="21"/>
              </w:rPr>
            </w:pPr>
          </w:p>
        </w:tc>
        <w:tc>
          <w:tcPr>
            <w:tcW w:w="1276" w:type="dxa"/>
            <w:vMerge w:val="continue"/>
            <w:vAlign w:val="center"/>
          </w:tcPr>
          <w:p w14:paraId="403BBC16">
            <w:pPr>
              <w:spacing w:line="240" w:lineRule="auto"/>
              <w:ind w:firstLine="0" w:firstLineChars="0"/>
              <w:jc w:val="center"/>
              <w:rPr>
                <w:rFonts w:cs="Times New Roman"/>
                <w:sz w:val="21"/>
                <w:szCs w:val="21"/>
              </w:rPr>
            </w:pPr>
          </w:p>
        </w:tc>
        <w:tc>
          <w:tcPr>
            <w:tcW w:w="2268" w:type="dxa"/>
            <w:vAlign w:val="center"/>
          </w:tcPr>
          <w:p w14:paraId="4EAB7773">
            <w:pPr>
              <w:spacing w:line="240" w:lineRule="auto"/>
              <w:ind w:firstLine="0" w:firstLineChars="0"/>
              <w:jc w:val="center"/>
              <w:rPr>
                <w:rFonts w:cs="Times New Roman"/>
                <w:sz w:val="21"/>
                <w:szCs w:val="21"/>
              </w:rPr>
            </w:pPr>
            <w:r>
              <w:rPr>
                <w:rFonts w:hint="eastAsia" w:cs="Times New Roman"/>
                <w:sz w:val="21"/>
                <w:szCs w:val="21"/>
              </w:rPr>
              <w:t>G7许庄村</w:t>
            </w:r>
          </w:p>
        </w:tc>
        <w:tc>
          <w:tcPr>
            <w:tcW w:w="2976" w:type="dxa"/>
            <w:vMerge w:val="continue"/>
            <w:vAlign w:val="center"/>
          </w:tcPr>
          <w:p w14:paraId="2312605A">
            <w:pPr>
              <w:spacing w:line="240" w:lineRule="auto"/>
              <w:ind w:firstLine="0" w:firstLineChars="0"/>
              <w:jc w:val="center"/>
              <w:rPr>
                <w:rFonts w:cs="Times New Roman"/>
                <w:sz w:val="21"/>
                <w:szCs w:val="21"/>
              </w:rPr>
            </w:pPr>
          </w:p>
        </w:tc>
        <w:tc>
          <w:tcPr>
            <w:tcW w:w="1276" w:type="dxa"/>
            <w:vMerge w:val="continue"/>
            <w:vAlign w:val="center"/>
          </w:tcPr>
          <w:p w14:paraId="130733EA">
            <w:pPr>
              <w:spacing w:line="240" w:lineRule="auto"/>
              <w:ind w:firstLine="0" w:firstLineChars="0"/>
              <w:jc w:val="center"/>
              <w:rPr>
                <w:rFonts w:cs="Times New Roman"/>
                <w:sz w:val="21"/>
                <w:szCs w:val="21"/>
              </w:rPr>
            </w:pPr>
          </w:p>
        </w:tc>
      </w:tr>
      <w:tr w14:paraId="15B74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63580944">
            <w:pPr>
              <w:spacing w:line="240" w:lineRule="auto"/>
              <w:ind w:firstLine="0" w:firstLineChars="0"/>
              <w:jc w:val="center"/>
              <w:rPr>
                <w:rFonts w:cs="Times New Roman"/>
                <w:sz w:val="21"/>
                <w:szCs w:val="21"/>
              </w:rPr>
            </w:pPr>
          </w:p>
        </w:tc>
        <w:tc>
          <w:tcPr>
            <w:tcW w:w="1276" w:type="dxa"/>
            <w:vMerge w:val="continue"/>
            <w:vAlign w:val="center"/>
          </w:tcPr>
          <w:p w14:paraId="43685D2E">
            <w:pPr>
              <w:spacing w:line="240" w:lineRule="auto"/>
              <w:ind w:firstLine="0" w:firstLineChars="0"/>
              <w:jc w:val="center"/>
              <w:rPr>
                <w:rFonts w:cs="Times New Roman"/>
                <w:sz w:val="21"/>
                <w:szCs w:val="21"/>
              </w:rPr>
            </w:pPr>
          </w:p>
        </w:tc>
        <w:tc>
          <w:tcPr>
            <w:tcW w:w="2268" w:type="dxa"/>
            <w:vAlign w:val="center"/>
          </w:tcPr>
          <w:p w14:paraId="15CB81A2">
            <w:pPr>
              <w:spacing w:line="240" w:lineRule="auto"/>
              <w:ind w:firstLine="0" w:firstLineChars="0"/>
              <w:jc w:val="center"/>
              <w:rPr>
                <w:rFonts w:cs="Times New Roman"/>
                <w:sz w:val="21"/>
                <w:szCs w:val="21"/>
              </w:rPr>
            </w:pPr>
            <w:r>
              <w:rPr>
                <w:rFonts w:hint="eastAsia" w:cs="Times New Roman"/>
                <w:sz w:val="21"/>
                <w:szCs w:val="21"/>
              </w:rPr>
              <w:t>茅管会大气监测站</w:t>
            </w:r>
          </w:p>
        </w:tc>
        <w:tc>
          <w:tcPr>
            <w:tcW w:w="2976" w:type="dxa"/>
            <w:vAlign w:val="center"/>
          </w:tcPr>
          <w:p w14:paraId="3B38E81D">
            <w:pPr>
              <w:spacing w:line="240" w:lineRule="auto"/>
              <w:ind w:firstLine="0" w:firstLineChars="0"/>
              <w:jc w:val="center"/>
              <w:rPr>
                <w:rFonts w:cs="Times New Roman"/>
                <w:sz w:val="21"/>
                <w:szCs w:val="21"/>
              </w:rPr>
            </w:pPr>
            <w:r>
              <w:rPr>
                <w:rFonts w:hint="eastAsia" w:cs="Times New Roman"/>
                <w:sz w:val="21"/>
                <w:szCs w:val="21"/>
              </w:rPr>
              <w:t>NO</w:t>
            </w:r>
            <w:r>
              <w:rPr>
                <w:rFonts w:hint="eastAsia" w:cs="Times New Roman"/>
                <w:sz w:val="21"/>
                <w:szCs w:val="21"/>
                <w:vertAlign w:val="subscript"/>
              </w:rPr>
              <w:t>2</w:t>
            </w:r>
            <w:r>
              <w:rPr>
                <w:rFonts w:hint="eastAsia" w:cs="Times New Roman"/>
                <w:sz w:val="21"/>
                <w:szCs w:val="21"/>
              </w:rPr>
              <w:t>、SO</w:t>
            </w:r>
            <w:r>
              <w:rPr>
                <w:rFonts w:hint="eastAsia" w:cs="Times New Roman"/>
                <w:sz w:val="21"/>
                <w:szCs w:val="21"/>
                <w:vertAlign w:val="subscript"/>
              </w:rPr>
              <w:t>2</w:t>
            </w:r>
            <w:r>
              <w:rPr>
                <w:rFonts w:hint="eastAsia" w:cs="Times New Roman"/>
                <w:sz w:val="21"/>
                <w:szCs w:val="21"/>
              </w:rPr>
              <w:t>、CO、O</w:t>
            </w:r>
            <w:r>
              <w:rPr>
                <w:rFonts w:hint="eastAsia" w:cs="Times New Roman"/>
                <w:sz w:val="21"/>
                <w:szCs w:val="21"/>
                <w:vertAlign w:val="subscript"/>
              </w:rPr>
              <w:t>3</w:t>
            </w:r>
            <w:r>
              <w:rPr>
                <w:rFonts w:hint="eastAsia" w:cs="Times New Roman"/>
                <w:sz w:val="21"/>
                <w:szCs w:val="21"/>
              </w:rPr>
              <w:t>、PM</w:t>
            </w:r>
            <w:r>
              <w:rPr>
                <w:rFonts w:hint="eastAsia" w:cs="Times New Roman"/>
                <w:sz w:val="21"/>
                <w:szCs w:val="21"/>
                <w:vertAlign w:val="subscript"/>
              </w:rPr>
              <w:t>10</w:t>
            </w:r>
            <w:r>
              <w:rPr>
                <w:rFonts w:hint="eastAsia" w:cs="Times New Roman"/>
                <w:sz w:val="21"/>
                <w:szCs w:val="21"/>
              </w:rPr>
              <w:t>、</w:t>
            </w:r>
            <w:r>
              <w:rPr>
                <w:rFonts w:hint="eastAsia" w:eastAsia="仿宋" w:cs="Times New Roman"/>
                <w:sz w:val="22"/>
                <w:szCs w:val="24"/>
              </w:rPr>
              <w:t>PM</w:t>
            </w:r>
            <w:r>
              <w:rPr>
                <w:rFonts w:hint="eastAsia" w:eastAsia="仿宋" w:cs="Times New Roman"/>
                <w:sz w:val="22"/>
                <w:szCs w:val="24"/>
                <w:vertAlign w:val="subscript"/>
              </w:rPr>
              <w:t>2.5</w:t>
            </w:r>
          </w:p>
        </w:tc>
        <w:tc>
          <w:tcPr>
            <w:tcW w:w="1276" w:type="dxa"/>
            <w:vAlign w:val="center"/>
          </w:tcPr>
          <w:p w14:paraId="112D6639">
            <w:pPr>
              <w:spacing w:line="240" w:lineRule="auto"/>
              <w:ind w:firstLine="0" w:firstLineChars="0"/>
              <w:jc w:val="center"/>
              <w:rPr>
                <w:rFonts w:cs="Times New Roman"/>
                <w:sz w:val="21"/>
                <w:szCs w:val="21"/>
              </w:rPr>
            </w:pPr>
            <w:r>
              <w:rPr>
                <w:rFonts w:hint="eastAsia" w:cs="Times New Roman"/>
                <w:sz w:val="21"/>
                <w:szCs w:val="21"/>
              </w:rPr>
              <w:t>连续监测</w:t>
            </w:r>
          </w:p>
        </w:tc>
      </w:tr>
      <w:tr w14:paraId="7BF90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846" w:type="dxa"/>
            <w:vMerge w:val="continue"/>
            <w:vAlign w:val="center"/>
          </w:tcPr>
          <w:p w14:paraId="33853DA9">
            <w:pPr>
              <w:spacing w:line="240" w:lineRule="auto"/>
              <w:ind w:firstLine="0" w:firstLineChars="0"/>
              <w:jc w:val="center"/>
              <w:rPr>
                <w:rFonts w:cs="Times New Roman"/>
                <w:sz w:val="21"/>
                <w:szCs w:val="21"/>
              </w:rPr>
            </w:pPr>
          </w:p>
        </w:tc>
        <w:tc>
          <w:tcPr>
            <w:tcW w:w="1276" w:type="dxa"/>
            <w:vMerge w:val="restart"/>
            <w:vAlign w:val="center"/>
          </w:tcPr>
          <w:p w14:paraId="199B58EF">
            <w:pPr>
              <w:spacing w:line="240" w:lineRule="auto"/>
              <w:ind w:firstLine="0" w:firstLineChars="0"/>
              <w:jc w:val="center"/>
              <w:rPr>
                <w:rFonts w:cs="Times New Roman"/>
                <w:sz w:val="21"/>
                <w:szCs w:val="21"/>
              </w:rPr>
            </w:pPr>
            <w:r>
              <w:rPr>
                <w:rFonts w:hint="eastAsia" w:cs="Times New Roman"/>
                <w:sz w:val="21"/>
                <w:szCs w:val="21"/>
              </w:rPr>
              <w:t>地表水环境</w:t>
            </w:r>
          </w:p>
        </w:tc>
        <w:tc>
          <w:tcPr>
            <w:tcW w:w="2268" w:type="dxa"/>
            <w:vAlign w:val="center"/>
          </w:tcPr>
          <w:p w14:paraId="77AF88CF">
            <w:pPr>
              <w:spacing w:line="240" w:lineRule="auto"/>
              <w:ind w:firstLine="0" w:firstLineChars="0"/>
              <w:jc w:val="center"/>
              <w:rPr>
                <w:rFonts w:cs="Times New Roman"/>
                <w:sz w:val="21"/>
                <w:szCs w:val="21"/>
              </w:rPr>
            </w:pPr>
            <w:r>
              <w:rPr>
                <w:rFonts w:hint="eastAsia" w:cs="Times New Roman"/>
                <w:sz w:val="21"/>
                <w:szCs w:val="21"/>
              </w:rPr>
              <w:t>W6薛埠污水处理厂排口上游500m</w:t>
            </w:r>
          </w:p>
        </w:tc>
        <w:tc>
          <w:tcPr>
            <w:tcW w:w="2976" w:type="dxa"/>
            <w:vMerge w:val="restart"/>
            <w:vAlign w:val="center"/>
          </w:tcPr>
          <w:p w14:paraId="2420720D">
            <w:pPr>
              <w:spacing w:line="240" w:lineRule="auto"/>
              <w:ind w:firstLine="0" w:firstLineChars="0"/>
              <w:jc w:val="center"/>
              <w:rPr>
                <w:rFonts w:cs="Times New Roman"/>
                <w:sz w:val="21"/>
                <w:szCs w:val="21"/>
              </w:rPr>
            </w:pPr>
            <w:r>
              <w:rPr>
                <w:rFonts w:hint="eastAsia" w:cs="Times New Roman"/>
                <w:sz w:val="21"/>
                <w:szCs w:val="21"/>
              </w:rPr>
              <w:t>pH、COD、高锰酸盐指数、NH</w:t>
            </w:r>
            <w:r>
              <w:rPr>
                <w:rFonts w:hint="eastAsia" w:cs="Times New Roman"/>
                <w:sz w:val="21"/>
                <w:szCs w:val="21"/>
                <w:vertAlign w:val="subscript"/>
              </w:rPr>
              <w:t>3</w:t>
            </w:r>
            <w:r>
              <w:rPr>
                <w:rFonts w:hint="eastAsia" w:cs="Times New Roman"/>
                <w:sz w:val="21"/>
                <w:szCs w:val="21"/>
              </w:rPr>
              <w:t>-N、TP、TN、石油类、挥发酚、硫化物</w:t>
            </w:r>
          </w:p>
        </w:tc>
        <w:tc>
          <w:tcPr>
            <w:tcW w:w="1276" w:type="dxa"/>
            <w:vMerge w:val="restart"/>
            <w:vAlign w:val="center"/>
          </w:tcPr>
          <w:p w14:paraId="0BC41226">
            <w:pPr>
              <w:spacing w:line="240" w:lineRule="auto"/>
              <w:ind w:firstLine="0" w:firstLineChars="0"/>
              <w:jc w:val="center"/>
              <w:rPr>
                <w:rFonts w:cs="Times New Roman"/>
                <w:sz w:val="21"/>
                <w:szCs w:val="21"/>
              </w:rPr>
            </w:pPr>
            <w:r>
              <w:rPr>
                <w:rFonts w:hint="eastAsia" w:cs="Times New Roman"/>
                <w:sz w:val="21"/>
                <w:szCs w:val="21"/>
              </w:rPr>
              <w:t>1次/年</w:t>
            </w:r>
          </w:p>
        </w:tc>
      </w:tr>
      <w:tr w14:paraId="3CBDA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1AEEAD14">
            <w:pPr>
              <w:spacing w:line="240" w:lineRule="auto"/>
              <w:ind w:firstLine="0" w:firstLineChars="0"/>
              <w:jc w:val="center"/>
              <w:rPr>
                <w:rFonts w:cs="Times New Roman"/>
                <w:sz w:val="21"/>
                <w:szCs w:val="21"/>
              </w:rPr>
            </w:pPr>
          </w:p>
        </w:tc>
        <w:tc>
          <w:tcPr>
            <w:tcW w:w="1276" w:type="dxa"/>
            <w:vMerge w:val="continue"/>
            <w:vAlign w:val="center"/>
          </w:tcPr>
          <w:p w14:paraId="517289F1">
            <w:pPr>
              <w:spacing w:line="240" w:lineRule="auto"/>
              <w:ind w:firstLine="0" w:firstLineChars="0"/>
              <w:jc w:val="center"/>
              <w:rPr>
                <w:rFonts w:cs="Times New Roman"/>
                <w:sz w:val="21"/>
                <w:szCs w:val="21"/>
              </w:rPr>
            </w:pPr>
          </w:p>
        </w:tc>
        <w:tc>
          <w:tcPr>
            <w:tcW w:w="2268" w:type="dxa"/>
            <w:vAlign w:val="center"/>
          </w:tcPr>
          <w:p w14:paraId="3222CCCD">
            <w:pPr>
              <w:spacing w:line="240" w:lineRule="auto"/>
              <w:ind w:firstLine="0" w:firstLineChars="0"/>
              <w:jc w:val="center"/>
              <w:rPr>
                <w:rFonts w:cs="Times New Roman"/>
                <w:sz w:val="21"/>
                <w:szCs w:val="21"/>
              </w:rPr>
            </w:pPr>
            <w:r>
              <w:rPr>
                <w:rFonts w:hint="eastAsia" w:cs="Times New Roman"/>
                <w:sz w:val="21"/>
                <w:szCs w:val="21"/>
              </w:rPr>
              <w:t>W7薛埠污水处理厂排口下游1500m</w:t>
            </w:r>
          </w:p>
        </w:tc>
        <w:tc>
          <w:tcPr>
            <w:tcW w:w="2976" w:type="dxa"/>
            <w:vMerge w:val="continue"/>
            <w:vAlign w:val="center"/>
          </w:tcPr>
          <w:p w14:paraId="7C179DAD">
            <w:pPr>
              <w:spacing w:line="240" w:lineRule="auto"/>
              <w:ind w:firstLine="0" w:firstLineChars="0"/>
              <w:jc w:val="center"/>
              <w:rPr>
                <w:rFonts w:cs="Times New Roman"/>
                <w:sz w:val="21"/>
                <w:szCs w:val="21"/>
              </w:rPr>
            </w:pPr>
          </w:p>
        </w:tc>
        <w:tc>
          <w:tcPr>
            <w:tcW w:w="1276" w:type="dxa"/>
            <w:vMerge w:val="continue"/>
            <w:vAlign w:val="center"/>
          </w:tcPr>
          <w:p w14:paraId="3108E172">
            <w:pPr>
              <w:spacing w:line="240" w:lineRule="auto"/>
              <w:ind w:firstLine="0" w:firstLineChars="0"/>
              <w:jc w:val="center"/>
              <w:rPr>
                <w:rFonts w:cs="Times New Roman"/>
                <w:sz w:val="21"/>
                <w:szCs w:val="21"/>
              </w:rPr>
            </w:pPr>
          </w:p>
        </w:tc>
      </w:tr>
      <w:tr w14:paraId="1D439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846" w:type="dxa"/>
            <w:vMerge w:val="continue"/>
            <w:vAlign w:val="center"/>
          </w:tcPr>
          <w:p w14:paraId="52949626">
            <w:pPr>
              <w:spacing w:line="240" w:lineRule="auto"/>
              <w:ind w:firstLine="0" w:firstLineChars="0"/>
              <w:jc w:val="center"/>
              <w:rPr>
                <w:rFonts w:cs="Times New Roman"/>
                <w:sz w:val="21"/>
                <w:szCs w:val="21"/>
              </w:rPr>
            </w:pPr>
          </w:p>
        </w:tc>
        <w:tc>
          <w:tcPr>
            <w:tcW w:w="1276" w:type="dxa"/>
            <w:vMerge w:val="continue"/>
            <w:vAlign w:val="center"/>
          </w:tcPr>
          <w:p w14:paraId="29510A18">
            <w:pPr>
              <w:spacing w:line="240" w:lineRule="auto"/>
              <w:ind w:firstLine="0" w:firstLineChars="0"/>
              <w:jc w:val="center"/>
              <w:rPr>
                <w:rFonts w:cs="Times New Roman"/>
                <w:sz w:val="21"/>
                <w:szCs w:val="21"/>
              </w:rPr>
            </w:pPr>
          </w:p>
        </w:tc>
        <w:tc>
          <w:tcPr>
            <w:tcW w:w="2268" w:type="dxa"/>
            <w:vAlign w:val="center"/>
          </w:tcPr>
          <w:p w14:paraId="24FD0FD7">
            <w:pPr>
              <w:spacing w:line="240" w:lineRule="auto"/>
              <w:ind w:firstLine="0" w:firstLineChars="0"/>
              <w:jc w:val="center"/>
              <w:rPr>
                <w:rFonts w:cs="Times New Roman"/>
                <w:sz w:val="21"/>
                <w:szCs w:val="21"/>
              </w:rPr>
            </w:pPr>
            <w:r>
              <w:rPr>
                <w:rFonts w:hint="eastAsia" w:cs="Times New Roman"/>
                <w:sz w:val="21"/>
                <w:szCs w:val="21"/>
              </w:rPr>
              <w:t>东进水库</w:t>
            </w:r>
          </w:p>
        </w:tc>
        <w:tc>
          <w:tcPr>
            <w:tcW w:w="2976" w:type="dxa"/>
            <w:vMerge w:val="restart"/>
            <w:vAlign w:val="center"/>
          </w:tcPr>
          <w:p w14:paraId="1B556BC5">
            <w:pPr>
              <w:spacing w:line="240" w:lineRule="auto"/>
              <w:ind w:firstLine="0" w:firstLineChars="0"/>
              <w:jc w:val="center"/>
              <w:rPr>
                <w:rFonts w:cs="Times New Roman"/>
                <w:sz w:val="21"/>
                <w:szCs w:val="21"/>
              </w:rPr>
            </w:pPr>
            <w:r>
              <w:rPr>
                <w:rFonts w:hint="eastAsia" w:cs="Times New Roman"/>
                <w:sz w:val="21"/>
                <w:szCs w:val="21"/>
              </w:rPr>
              <w:t>高锰酸盐指数、氨氮、总磷</w:t>
            </w:r>
          </w:p>
        </w:tc>
        <w:tc>
          <w:tcPr>
            <w:tcW w:w="1276" w:type="dxa"/>
            <w:vMerge w:val="restart"/>
            <w:vAlign w:val="center"/>
          </w:tcPr>
          <w:p w14:paraId="3714350A">
            <w:pPr>
              <w:tabs>
                <w:tab w:val="center" w:pos="530"/>
              </w:tabs>
              <w:spacing w:line="240" w:lineRule="auto"/>
              <w:ind w:firstLine="0" w:firstLineChars="0"/>
              <w:jc w:val="center"/>
              <w:rPr>
                <w:rFonts w:cs="Times New Roman"/>
                <w:sz w:val="21"/>
                <w:szCs w:val="21"/>
              </w:rPr>
            </w:pPr>
            <w:r>
              <w:rPr>
                <w:rFonts w:hint="eastAsia" w:cs="Times New Roman"/>
                <w:sz w:val="21"/>
                <w:szCs w:val="21"/>
              </w:rPr>
              <w:t>每月，引用市控考核断面水质监测数据</w:t>
            </w:r>
          </w:p>
        </w:tc>
      </w:tr>
      <w:tr w14:paraId="2FC0C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846" w:type="dxa"/>
            <w:vMerge w:val="continue"/>
            <w:vAlign w:val="center"/>
          </w:tcPr>
          <w:p w14:paraId="4602A032">
            <w:pPr>
              <w:spacing w:line="240" w:lineRule="auto"/>
              <w:ind w:firstLine="0" w:firstLineChars="0"/>
              <w:jc w:val="center"/>
            </w:pPr>
          </w:p>
        </w:tc>
        <w:tc>
          <w:tcPr>
            <w:tcW w:w="1276" w:type="dxa"/>
            <w:vMerge w:val="continue"/>
            <w:vAlign w:val="center"/>
          </w:tcPr>
          <w:p w14:paraId="6DC88A48">
            <w:pPr>
              <w:spacing w:line="240" w:lineRule="auto"/>
              <w:ind w:firstLine="0" w:firstLineChars="0"/>
              <w:jc w:val="center"/>
            </w:pPr>
          </w:p>
        </w:tc>
        <w:tc>
          <w:tcPr>
            <w:tcW w:w="2268" w:type="dxa"/>
            <w:vAlign w:val="center"/>
          </w:tcPr>
          <w:p w14:paraId="416DF07B">
            <w:pPr>
              <w:spacing w:line="240" w:lineRule="auto"/>
              <w:ind w:firstLine="0" w:firstLineChars="0"/>
              <w:jc w:val="center"/>
              <w:rPr>
                <w:rFonts w:cs="Times New Roman"/>
                <w:sz w:val="21"/>
                <w:szCs w:val="21"/>
              </w:rPr>
            </w:pPr>
            <w:r>
              <w:rPr>
                <w:rFonts w:hint="eastAsia" w:cs="Times New Roman"/>
                <w:sz w:val="21"/>
                <w:szCs w:val="21"/>
              </w:rPr>
              <w:t>海底水库</w:t>
            </w:r>
          </w:p>
        </w:tc>
        <w:tc>
          <w:tcPr>
            <w:tcW w:w="2976" w:type="dxa"/>
            <w:vMerge w:val="continue"/>
            <w:vAlign w:val="center"/>
          </w:tcPr>
          <w:p w14:paraId="31AF7022">
            <w:pPr>
              <w:spacing w:line="240" w:lineRule="auto"/>
              <w:ind w:firstLine="0" w:firstLineChars="0"/>
              <w:jc w:val="center"/>
              <w:rPr>
                <w:rFonts w:cs="Times New Roman"/>
                <w:sz w:val="21"/>
                <w:szCs w:val="21"/>
              </w:rPr>
            </w:pPr>
          </w:p>
        </w:tc>
        <w:tc>
          <w:tcPr>
            <w:tcW w:w="1276" w:type="dxa"/>
            <w:vMerge w:val="continue"/>
            <w:vAlign w:val="center"/>
          </w:tcPr>
          <w:p w14:paraId="326D8CD6">
            <w:pPr>
              <w:spacing w:line="240" w:lineRule="auto"/>
              <w:ind w:firstLine="0" w:firstLineChars="0"/>
              <w:jc w:val="center"/>
              <w:rPr>
                <w:rFonts w:cs="Times New Roman"/>
                <w:sz w:val="21"/>
                <w:szCs w:val="21"/>
              </w:rPr>
            </w:pPr>
          </w:p>
        </w:tc>
      </w:tr>
      <w:tr w14:paraId="330AF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846" w:type="dxa"/>
            <w:vMerge w:val="continue"/>
            <w:vAlign w:val="center"/>
          </w:tcPr>
          <w:p w14:paraId="11D22F83">
            <w:pPr>
              <w:spacing w:line="240" w:lineRule="auto"/>
              <w:ind w:firstLine="0" w:firstLineChars="0"/>
              <w:jc w:val="center"/>
              <w:rPr>
                <w:rFonts w:cs="Times New Roman"/>
                <w:sz w:val="21"/>
                <w:szCs w:val="21"/>
              </w:rPr>
            </w:pPr>
          </w:p>
        </w:tc>
        <w:tc>
          <w:tcPr>
            <w:tcW w:w="1276" w:type="dxa"/>
            <w:vMerge w:val="continue"/>
            <w:vAlign w:val="center"/>
          </w:tcPr>
          <w:p w14:paraId="477564C5">
            <w:pPr>
              <w:spacing w:line="240" w:lineRule="auto"/>
              <w:ind w:firstLine="0" w:firstLineChars="0"/>
              <w:jc w:val="center"/>
              <w:rPr>
                <w:rFonts w:cs="Times New Roman"/>
                <w:sz w:val="21"/>
                <w:szCs w:val="21"/>
              </w:rPr>
            </w:pPr>
          </w:p>
        </w:tc>
        <w:tc>
          <w:tcPr>
            <w:tcW w:w="2268" w:type="dxa"/>
            <w:vAlign w:val="center"/>
          </w:tcPr>
          <w:p w14:paraId="7DA7AB89">
            <w:pPr>
              <w:spacing w:line="240" w:lineRule="auto"/>
              <w:ind w:firstLine="0" w:firstLineChars="0"/>
              <w:jc w:val="center"/>
              <w:rPr>
                <w:rFonts w:cs="Times New Roman"/>
                <w:sz w:val="21"/>
                <w:szCs w:val="21"/>
              </w:rPr>
            </w:pPr>
            <w:r>
              <w:rPr>
                <w:rFonts w:hint="eastAsia" w:cs="Times New Roman"/>
                <w:sz w:val="21"/>
                <w:szCs w:val="21"/>
              </w:rPr>
              <w:t>向阳水库</w:t>
            </w:r>
          </w:p>
        </w:tc>
        <w:tc>
          <w:tcPr>
            <w:tcW w:w="2976" w:type="dxa"/>
            <w:vMerge w:val="continue"/>
            <w:vAlign w:val="center"/>
          </w:tcPr>
          <w:p w14:paraId="246C9C09">
            <w:pPr>
              <w:spacing w:line="240" w:lineRule="auto"/>
              <w:ind w:firstLine="0" w:firstLineChars="0"/>
              <w:jc w:val="center"/>
              <w:rPr>
                <w:rFonts w:cs="Times New Roman"/>
                <w:sz w:val="21"/>
                <w:szCs w:val="21"/>
              </w:rPr>
            </w:pPr>
          </w:p>
        </w:tc>
        <w:tc>
          <w:tcPr>
            <w:tcW w:w="1276" w:type="dxa"/>
            <w:vMerge w:val="continue"/>
            <w:vAlign w:val="center"/>
          </w:tcPr>
          <w:p w14:paraId="75AAC315">
            <w:pPr>
              <w:spacing w:line="240" w:lineRule="auto"/>
              <w:ind w:firstLine="0" w:firstLineChars="0"/>
              <w:jc w:val="center"/>
              <w:rPr>
                <w:rFonts w:cs="Times New Roman"/>
                <w:sz w:val="21"/>
                <w:szCs w:val="21"/>
              </w:rPr>
            </w:pPr>
          </w:p>
        </w:tc>
      </w:tr>
      <w:tr w14:paraId="1CE77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846" w:type="dxa"/>
            <w:vMerge w:val="continue"/>
            <w:vAlign w:val="center"/>
          </w:tcPr>
          <w:p w14:paraId="46BAB2C0">
            <w:pPr>
              <w:spacing w:line="240" w:lineRule="auto"/>
              <w:ind w:firstLine="0" w:firstLineChars="0"/>
              <w:jc w:val="center"/>
              <w:rPr>
                <w:rFonts w:cs="Times New Roman"/>
                <w:sz w:val="21"/>
                <w:szCs w:val="21"/>
              </w:rPr>
            </w:pPr>
          </w:p>
        </w:tc>
        <w:tc>
          <w:tcPr>
            <w:tcW w:w="1276" w:type="dxa"/>
            <w:vMerge w:val="continue"/>
            <w:vAlign w:val="center"/>
          </w:tcPr>
          <w:p w14:paraId="03684B51">
            <w:pPr>
              <w:spacing w:line="240" w:lineRule="auto"/>
              <w:ind w:firstLine="0" w:firstLineChars="0"/>
              <w:jc w:val="center"/>
              <w:rPr>
                <w:rFonts w:cs="Times New Roman"/>
                <w:sz w:val="21"/>
                <w:szCs w:val="21"/>
              </w:rPr>
            </w:pPr>
          </w:p>
        </w:tc>
        <w:tc>
          <w:tcPr>
            <w:tcW w:w="2268" w:type="dxa"/>
            <w:vAlign w:val="center"/>
          </w:tcPr>
          <w:p w14:paraId="531E148D">
            <w:pPr>
              <w:spacing w:line="240" w:lineRule="auto"/>
              <w:ind w:firstLine="0" w:firstLineChars="0"/>
              <w:jc w:val="center"/>
              <w:rPr>
                <w:rFonts w:cs="Times New Roman"/>
                <w:sz w:val="21"/>
                <w:szCs w:val="21"/>
              </w:rPr>
            </w:pPr>
            <w:r>
              <w:rPr>
                <w:rFonts w:hint="eastAsia" w:cs="Times New Roman"/>
                <w:sz w:val="21"/>
                <w:szCs w:val="21"/>
              </w:rPr>
              <w:t>瓦沟水库</w:t>
            </w:r>
          </w:p>
        </w:tc>
        <w:tc>
          <w:tcPr>
            <w:tcW w:w="2976" w:type="dxa"/>
            <w:vMerge w:val="continue"/>
            <w:vAlign w:val="center"/>
          </w:tcPr>
          <w:p w14:paraId="440752EB">
            <w:pPr>
              <w:spacing w:line="240" w:lineRule="auto"/>
              <w:ind w:firstLine="0" w:firstLineChars="0"/>
              <w:jc w:val="center"/>
              <w:rPr>
                <w:rFonts w:cs="Times New Roman"/>
                <w:sz w:val="21"/>
                <w:szCs w:val="21"/>
              </w:rPr>
            </w:pPr>
          </w:p>
        </w:tc>
        <w:tc>
          <w:tcPr>
            <w:tcW w:w="1276" w:type="dxa"/>
            <w:vMerge w:val="continue"/>
            <w:vAlign w:val="center"/>
          </w:tcPr>
          <w:p w14:paraId="6804D836">
            <w:pPr>
              <w:spacing w:line="240" w:lineRule="auto"/>
              <w:ind w:firstLine="0" w:firstLineChars="0"/>
              <w:jc w:val="center"/>
              <w:rPr>
                <w:rFonts w:cs="Times New Roman"/>
                <w:sz w:val="21"/>
                <w:szCs w:val="21"/>
              </w:rPr>
            </w:pPr>
          </w:p>
        </w:tc>
      </w:tr>
      <w:tr w14:paraId="6888C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846" w:type="dxa"/>
            <w:vMerge w:val="continue"/>
            <w:vAlign w:val="center"/>
          </w:tcPr>
          <w:p w14:paraId="77C4FCA5">
            <w:pPr>
              <w:spacing w:line="240" w:lineRule="auto"/>
              <w:ind w:firstLine="0" w:firstLineChars="0"/>
              <w:jc w:val="center"/>
              <w:rPr>
                <w:rFonts w:cs="Times New Roman"/>
                <w:sz w:val="21"/>
                <w:szCs w:val="21"/>
              </w:rPr>
            </w:pPr>
          </w:p>
        </w:tc>
        <w:tc>
          <w:tcPr>
            <w:tcW w:w="1276" w:type="dxa"/>
            <w:vMerge w:val="continue"/>
            <w:vAlign w:val="center"/>
          </w:tcPr>
          <w:p w14:paraId="5B1D2B8B">
            <w:pPr>
              <w:spacing w:line="240" w:lineRule="auto"/>
              <w:ind w:firstLine="0" w:firstLineChars="0"/>
              <w:jc w:val="center"/>
              <w:rPr>
                <w:rFonts w:cs="Times New Roman"/>
                <w:sz w:val="21"/>
                <w:szCs w:val="21"/>
              </w:rPr>
            </w:pPr>
          </w:p>
        </w:tc>
        <w:tc>
          <w:tcPr>
            <w:tcW w:w="2268" w:type="dxa"/>
            <w:vAlign w:val="center"/>
          </w:tcPr>
          <w:p w14:paraId="091C5907">
            <w:pPr>
              <w:spacing w:line="240" w:lineRule="auto"/>
              <w:ind w:firstLine="0" w:firstLineChars="0"/>
              <w:jc w:val="center"/>
              <w:rPr>
                <w:rFonts w:cs="Times New Roman"/>
                <w:sz w:val="21"/>
                <w:szCs w:val="21"/>
              </w:rPr>
            </w:pPr>
            <w:r>
              <w:rPr>
                <w:rFonts w:hint="eastAsia" w:cs="Times New Roman"/>
                <w:sz w:val="21"/>
                <w:szCs w:val="21"/>
              </w:rPr>
              <w:t>新浮山水库</w:t>
            </w:r>
          </w:p>
        </w:tc>
        <w:tc>
          <w:tcPr>
            <w:tcW w:w="2976" w:type="dxa"/>
            <w:vMerge w:val="continue"/>
            <w:vAlign w:val="center"/>
          </w:tcPr>
          <w:p w14:paraId="1F9019BE">
            <w:pPr>
              <w:spacing w:line="240" w:lineRule="auto"/>
              <w:ind w:firstLine="0" w:firstLineChars="0"/>
              <w:jc w:val="center"/>
              <w:rPr>
                <w:rFonts w:cs="Times New Roman"/>
                <w:sz w:val="21"/>
                <w:szCs w:val="21"/>
              </w:rPr>
            </w:pPr>
          </w:p>
        </w:tc>
        <w:tc>
          <w:tcPr>
            <w:tcW w:w="1276" w:type="dxa"/>
            <w:vMerge w:val="continue"/>
            <w:vAlign w:val="center"/>
          </w:tcPr>
          <w:p w14:paraId="76384A56">
            <w:pPr>
              <w:spacing w:line="240" w:lineRule="auto"/>
              <w:ind w:firstLine="0" w:firstLineChars="0"/>
              <w:jc w:val="center"/>
              <w:rPr>
                <w:rFonts w:cs="Times New Roman"/>
                <w:sz w:val="21"/>
                <w:szCs w:val="21"/>
              </w:rPr>
            </w:pPr>
          </w:p>
        </w:tc>
      </w:tr>
      <w:tr w14:paraId="41FDC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63504978">
            <w:pPr>
              <w:spacing w:line="240" w:lineRule="auto"/>
              <w:ind w:firstLine="0" w:firstLineChars="0"/>
              <w:jc w:val="center"/>
              <w:rPr>
                <w:rFonts w:cs="Times New Roman"/>
                <w:sz w:val="21"/>
                <w:szCs w:val="21"/>
              </w:rPr>
            </w:pPr>
          </w:p>
        </w:tc>
        <w:tc>
          <w:tcPr>
            <w:tcW w:w="1276" w:type="dxa"/>
            <w:vMerge w:val="continue"/>
            <w:vAlign w:val="center"/>
          </w:tcPr>
          <w:p w14:paraId="1A1F7B07">
            <w:pPr>
              <w:spacing w:line="240" w:lineRule="auto"/>
              <w:ind w:firstLine="0" w:firstLineChars="0"/>
              <w:jc w:val="center"/>
              <w:rPr>
                <w:rFonts w:cs="Times New Roman"/>
                <w:sz w:val="21"/>
                <w:szCs w:val="21"/>
              </w:rPr>
            </w:pPr>
          </w:p>
        </w:tc>
        <w:tc>
          <w:tcPr>
            <w:tcW w:w="2268" w:type="dxa"/>
            <w:vAlign w:val="center"/>
          </w:tcPr>
          <w:p w14:paraId="44BF8DBD">
            <w:pPr>
              <w:spacing w:line="240" w:lineRule="auto"/>
              <w:ind w:firstLine="0" w:firstLineChars="0"/>
              <w:jc w:val="center"/>
              <w:rPr>
                <w:rFonts w:cs="Times New Roman"/>
                <w:sz w:val="21"/>
                <w:szCs w:val="21"/>
              </w:rPr>
            </w:pPr>
            <w:r>
              <w:rPr>
                <w:rFonts w:hint="eastAsia" w:cs="Times New Roman"/>
                <w:sz w:val="21"/>
                <w:szCs w:val="21"/>
              </w:rPr>
              <w:t>茅东水库库心</w:t>
            </w:r>
          </w:p>
        </w:tc>
        <w:tc>
          <w:tcPr>
            <w:tcW w:w="2976" w:type="dxa"/>
            <w:vAlign w:val="center"/>
          </w:tcPr>
          <w:p w14:paraId="03AD6F78">
            <w:pPr>
              <w:spacing w:line="240" w:lineRule="auto"/>
              <w:ind w:firstLine="0" w:firstLineChars="0"/>
              <w:jc w:val="center"/>
              <w:rPr>
                <w:rFonts w:cs="Times New Roman"/>
                <w:sz w:val="21"/>
                <w:szCs w:val="21"/>
              </w:rPr>
            </w:pPr>
            <w:r>
              <w:rPr>
                <w:rFonts w:hint="eastAsia" w:cs="Times New Roman"/>
                <w:sz w:val="21"/>
                <w:szCs w:val="21"/>
              </w:rPr>
              <w:t>水温、pH值、溶解氧、高锰酸盐指数、化学需氧量、五日生化需氧量、氨氮、总磷、总氮、铜、锌、氟化物、硒、砷、汞、镉、六价铬、铅、氰化物、挥发酚、石油类、阴离子表面活性剂、硫化物、粪大肠菌群</w:t>
            </w:r>
          </w:p>
        </w:tc>
        <w:tc>
          <w:tcPr>
            <w:tcW w:w="1276" w:type="dxa"/>
            <w:vAlign w:val="center"/>
          </w:tcPr>
          <w:p w14:paraId="2F99FFF9">
            <w:pPr>
              <w:spacing w:line="240" w:lineRule="auto"/>
              <w:ind w:firstLine="0" w:firstLineChars="0"/>
              <w:jc w:val="center"/>
              <w:rPr>
                <w:rFonts w:cs="Times New Roman"/>
                <w:sz w:val="21"/>
                <w:szCs w:val="21"/>
              </w:rPr>
            </w:pPr>
            <w:r>
              <w:rPr>
                <w:rFonts w:hint="eastAsia" w:cs="Times New Roman"/>
                <w:sz w:val="21"/>
                <w:szCs w:val="21"/>
              </w:rPr>
              <w:t>每月，引用水十条考核断面监测数据</w:t>
            </w:r>
          </w:p>
        </w:tc>
      </w:tr>
      <w:tr w14:paraId="7D7EF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3F01E212">
            <w:pPr>
              <w:spacing w:line="240" w:lineRule="auto"/>
              <w:ind w:firstLine="0" w:firstLineChars="0"/>
              <w:jc w:val="center"/>
              <w:rPr>
                <w:rFonts w:cs="Times New Roman"/>
                <w:sz w:val="21"/>
                <w:szCs w:val="21"/>
              </w:rPr>
            </w:pPr>
          </w:p>
        </w:tc>
        <w:tc>
          <w:tcPr>
            <w:tcW w:w="1276" w:type="dxa"/>
            <w:vMerge w:val="restart"/>
            <w:vAlign w:val="center"/>
          </w:tcPr>
          <w:p w14:paraId="464A9046">
            <w:pPr>
              <w:spacing w:line="240" w:lineRule="auto"/>
              <w:ind w:firstLine="0" w:firstLineChars="0"/>
              <w:jc w:val="center"/>
              <w:rPr>
                <w:rFonts w:cs="Times New Roman"/>
                <w:sz w:val="21"/>
                <w:szCs w:val="21"/>
              </w:rPr>
            </w:pPr>
            <w:r>
              <w:rPr>
                <w:rFonts w:hint="eastAsia" w:cs="Times New Roman"/>
                <w:sz w:val="21"/>
                <w:szCs w:val="21"/>
              </w:rPr>
              <w:t>环境噪声</w:t>
            </w:r>
          </w:p>
        </w:tc>
        <w:tc>
          <w:tcPr>
            <w:tcW w:w="2268" w:type="dxa"/>
            <w:vAlign w:val="center"/>
          </w:tcPr>
          <w:p w14:paraId="358DAF10">
            <w:pPr>
              <w:spacing w:line="240" w:lineRule="auto"/>
              <w:ind w:firstLine="0" w:firstLineChars="0"/>
              <w:jc w:val="center"/>
              <w:rPr>
                <w:rFonts w:cs="Times New Roman"/>
                <w:sz w:val="21"/>
                <w:szCs w:val="21"/>
              </w:rPr>
            </w:pPr>
            <w:r>
              <w:rPr>
                <w:rFonts w:hint="eastAsia" w:cs="Times New Roman"/>
                <w:sz w:val="21"/>
                <w:szCs w:val="21"/>
              </w:rPr>
              <w:t>N2上阳村</w:t>
            </w:r>
          </w:p>
        </w:tc>
        <w:tc>
          <w:tcPr>
            <w:tcW w:w="2976" w:type="dxa"/>
            <w:vMerge w:val="restart"/>
            <w:vAlign w:val="center"/>
          </w:tcPr>
          <w:p w14:paraId="1781C64B">
            <w:pPr>
              <w:spacing w:line="240" w:lineRule="auto"/>
              <w:ind w:firstLine="0" w:firstLineChars="0"/>
              <w:jc w:val="center"/>
              <w:rPr>
                <w:rFonts w:cs="Times New Roman"/>
                <w:sz w:val="21"/>
                <w:szCs w:val="21"/>
              </w:rPr>
            </w:pPr>
            <w:r>
              <w:rPr>
                <w:rFonts w:hint="eastAsia" w:cs="Times New Roman"/>
                <w:sz w:val="21"/>
                <w:szCs w:val="21"/>
              </w:rPr>
              <w:t>等效连续A声级</w:t>
            </w:r>
          </w:p>
        </w:tc>
        <w:tc>
          <w:tcPr>
            <w:tcW w:w="1276" w:type="dxa"/>
            <w:vMerge w:val="restart"/>
            <w:vAlign w:val="center"/>
          </w:tcPr>
          <w:p w14:paraId="68A0D7AD">
            <w:pPr>
              <w:spacing w:line="240" w:lineRule="auto"/>
              <w:ind w:firstLine="0" w:firstLineChars="0"/>
              <w:jc w:val="center"/>
              <w:rPr>
                <w:rFonts w:cs="Times New Roman"/>
                <w:sz w:val="21"/>
                <w:szCs w:val="21"/>
              </w:rPr>
            </w:pPr>
            <w:r>
              <w:rPr>
                <w:rFonts w:hint="eastAsia" w:cs="Times New Roman"/>
                <w:sz w:val="21"/>
                <w:szCs w:val="21"/>
              </w:rPr>
              <w:t>1次/年</w:t>
            </w:r>
          </w:p>
        </w:tc>
      </w:tr>
      <w:tr w14:paraId="083CE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0BBE1F69">
            <w:pPr>
              <w:spacing w:line="240" w:lineRule="auto"/>
              <w:ind w:firstLine="0" w:firstLineChars="0"/>
              <w:jc w:val="center"/>
              <w:rPr>
                <w:rFonts w:cs="Times New Roman"/>
                <w:sz w:val="21"/>
                <w:szCs w:val="21"/>
              </w:rPr>
            </w:pPr>
          </w:p>
        </w:tc>
        <w:tc>
          <w:tcPr>
            <w:tcW w:w="1276" w:type="dxa"/>
            <w:vMerge w:val="continue"/>
            <w:vAlign w:val="center"/>
          </w:tcPr>
          <w:p w14:paraId="17C7AA3B">
            <w:pPr>
              <w:spacing w:line="240" w:lineRule="auto"/>
              <w:ind w:firstLine="0" w:firstLineChars="0"/>
              <w:jc w:val="center"/>
              <w:rPr>
                <w:rFonts w:cs="Times New Roman"/>
                <w:sz w:val="21"/>
                <w:szCs w:val="21"/>
              </w:rPr>
            </w:pPr>
          </w:p>
        </w:tc>
        <w:tc>
          <w:tcPr>
            <w:tcW w:w="2268" w:type="dxa"/>
            <w:vAlign w:val="center"/>
          </w:tcPr>
          <w:p w14:paraId="61DA5DEB">
            <w:pPr>
              <w:spacing w:line="240" w:lineRule="auto"/>
              <w:ind w:firstLine="0" w:firstLineChars="0"/>
              <w:jc w:val="center"/>
              <w:rPr>
                <w:rFonts w:cs="Times New Roman"/>
                <w:sz w:val="21"/>
                <w:szCs w:val="21"/>
              </w:rPr>
            </w:pPr>
            <w:r>
              <w:rPr>
                <w:rFonts w:hint="eastAsia" w:cs="Times New Roman"/>
                <w:sz w:val="21"/>
                <w:szCs w:val="21"/>
              </w:rPr>
              <w:t>N3高德庄园</w:t>
            </w:r>
          </w:p>
        </w:tc>
        <w:tc>
          <w:tcPr>
            <w:tcW w:w="2976" w:type="dxa"/>
            <w:vMerge w:val="continue"/>
            <w:vAlign w:val="center"/>
          </w:tcPr>
          <w:p w14:paraId="1151DAF6">
            <w:pPr>
              <w:spacing w:line="240" w:lineRule="auto"/>
              <w:ind w:firstLine="0" w:firstLineChars="0"/>
              <w:jc w:val="center"/>
              <w:rPr>
                <w:rFonts w:cs="Times New Roman"/>
                <w:sz w:val="21"/>
                <w:szCs w:val="21"/>
              </w:rPr>
            </w:pPr>
          </w:p>
        </w:tc>
        <w:tc>
          <w:tcPr>
            <w:tcW w:w="1276" w:type="dxa"/>
            <w:vMerge w:val="continue"/>
            <w:vAlign w:val="center"/>
          </w:tcPr>
          <w:p w14:paraId="0C49DA00">
            <w:pPr>
              <w:spacing w:line="240" w:lineRule="auto"/>
              <w:ind w:firstLine="0" w:firstLineChars="0"/>
              <w:jc w:val="center"/>
              <w:rPr>
                <w:rFonts w:cs="Times New Roman"/>
                <w:sz w:val="21"/>
                <w:szCs w:val="21"/>
              </w:rPr>
            </w:pPr>
          </w:p>
        </w:tc>
      </w:tr>
      <w:tr w14:paraId="3D098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22BDD0AF">
            <w:pPr>
              <w:spacing w:line="240" w:lineRule="auto"/>
              <w:ind w:firstLine="0" w:firstLineChars="0"/>
              <w:jc w:val="center"/>
              <w:rPr>
                <w:rFonts w:cs="Times New Roman"/>
                <w:sz w:val="21"/>
                <w:szCs w:val="21"/>
              </w:rPr>
            </w:pPr>
          </w:p>
        </w:tc>
        <w:tc>
          <w:tcPr>
            <w:tcW w:w="1276" w:type="dxa"/>
            <w:vMerge w:val="continue"/>
            <w:vAlign w:val="center"/>
          </w:tcPr>
          <w:p w14:paraId="66FB9879">
            <w:pPr>
              <w:spacing w:line="240" w:lineRule="auto"/>
              <w:ind w:firstLine="0" w:firstLineChars="0"/>
              <w:jc w:val="center"/>
              <w:rPr>
                <w:rFonts w:cs="Times New Roman"/>
                <w:sz w:val="21"/>
                <w:szCs w:val="21"/>
              </w:rPr>
            </w:pPr>
          </w:p>
        </w:tc>
        <w:tc>
          <w:tcPr>
            <w:tcW w:w="2268" w:type="dxa"/>
            <w:vAlign w:val="center"/>
          </w:tcPr>
          <w:p w14:paraId="5D153E0F">
            <w:pPr>
              <w:spacing w:line="240" w:lineRule="auto"/>
              <w:ind w:firstLine="0" w:firstLineChars="0"/>
              <w:jc w:val="center"/>
              <w:rPr>
                <w:rFonts w:cs="Times New Roman"/>
                <w:sz w:val="21"/>
                <w:szCs w:val="21"/>
              </w:rPr>
            </w:pPr>
            <w:r>
              <w:rPr>
                <w:rFonts w:hint="eastAsia" w:cs="Times New Roman"/>
                <w:sz w:val="21"/>
                <w:szCs w:val="21"/>
              </w:rPr>
              <w:t>N9养心园</w:t>
            </w:r>
          </w:p>
        </w:tc>
        <w:tc>
          <w:tcPr>
            <w:tcW w:w="2976" w:type="dxa"/>
            <w:vMerge w:val="continue"/>
            <w:vAlign w:val="center"/>
          </w:tcPr>
          <w:p w14:paraId="12FAB911">
            <w:pPr>
              <w:spacing w:line="240" w:lineRule="auto"/>
              <w:ind w:firstLine="0" w:firstLineChars="0"/>
              <w:jc w:val="center"/>
              <w:rPr>
                <w:rFonts w:cs="Times New Roman"/>
                <w:sz w:val="21"/>
                <w:szCs w:val="21"/>
              </w:rPr>
            </w:pPr>
          </w:p>
        </w:tc>
        <w:tc>
          <w:tcPr>
            <w:tcW w:w="1276" w:type="dxa"/>
            <w:vMerge w:val="continue"/>
            <w:vAlign w:val="center"/>
          </w:tcPr>
          <w:p w14:paraId="379A7F11">
            <w:pPr>
              <w:spacing w:line="240" w:lineRule="auto"/>
              <w:ind w:firstLine="0" w:firstLineChars="0"/>
              <w:jc w:val="center"/>
              <w:rPr>
                <w:rFonts w:cs="Times New Roman"/>
                <w:sz w:val="21"/>
                <w:szCs w:val="21"/>
              </w:rPr>
            </w:pPr>
          </w:p>
        </w:tc>
      </w:tr>
      <w:tr w14:paraId="679E2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320DEDCC">
            <w:pPr>
              <w:spacing w:line="240" w:lineRule="auto"/>
              <w:ind w:firstLine="0" w:firstLineChars="0"/>
              <w:jc w:val="center"/>
              <w:rPr>
                <w:rFonts w:cs="Times New Roman"/>
                <w:sz w:val="21"/>
                <w:szCs w:val="21"/>
              </w:rPr>
            </w:pPr>
          </w:p>
        </w:tc>
        <w:tc>
          <w:tcPr>
            <w:tcW w:w="1276" w:type="dxa"/>
            <w:vMerge w:val="continue"/>
            <w:vAlign w:val="center"/>
          </w:tcPr>
          <w:p w14:paraId="5B68870C">
            <w:pPr>
              <w:spacing w:line="240" w:lineRule="auto"/>
              <w:ind w:firstLine="0" w:firstLineChars="0"/>
              <w:jc w:val="center"/>
              <w:rPr>
                <w:rFonts w:cs="Times New Roman"/>
                <w:sz w:val="21"/>
                <w:szCs w:val="21"/>
              </w:rPr>
            </w:pPr>
          </w:p>
        </w:tc>
        <w:tc>
          <w:tcPr>
            <w:tcW w:w="2268" w:type="dxa"/>
            <w:vAlign w:val="center"/>
          </w:tcPr>
          <w:p w14:paraId="5411AC54">
            <w:pPr>
              <w:spacing w:line="240" w:lineRule="auto"/>
              <w:ind w:firstLine="0" w:firstLineChars="0"/>
              <w:jc w:val="center"/>
              <w:rPr>
                <w:rFonts w:cs="Times New Roman"/>
                <w:sz w:val="21"/>
                <w:szCs w:val="21"/>
              </w:rPr>
            </w:pPr>
            <w:r>
              <w:rPr>
                <w:rFonts w:hint="eastAsia" w:cs="Times New Roman"/>
                <w:sz w:val="21"/>
                <w:szCs w:val="21"/>
              </w:rPr>
              <w:t>N11云湖山庄</w:t>
            </w:r>
          </w:p>
        </w:tc>
        <w:tc>
          <w:tcPr>
            <w:tcW w:w="2976" w:type="dxa"/>
            <w:vMerge w:val="continue"/>
            <w:vAlign w:val="center"/>
          </w:tcPr>
          <w:p w14:paraId="450CEB9B">
            <w:pPr>
              <w:spacing w:line="240" w:lineRule="auto"/>
              <w:ind w:firstLine="0" w:firstLineChars="0"/>
              <w:jc w:val="center"/>
              <w:rPr>
                <w:rFonts w:cs="Times New Roman"/>
                <w:sz w:val="21"/>
                <w:szCs w:val="21"/>
              </w:rPr>
            </w:pPr>
          </w:p>
        </w:tc>
        <w:tc>
          <w:tcPr>
            <w:tcW w:w="1276" w:type="dxa"/>
            <w:vMerge w:val="continue"/>
            <w:vAlign w:val="center"/>
          </w:tcPr>
          <w:p w14:paraId="1BB77207">
            <w:pPr>
              <w:spacing w:line="240" w:lineRule="auto"/>
              <w:ind w:firstLine="0" w:firstLineChars="0"/>
              <w:jc w:val="center"/>
              <w:rPr>
                <w:rFonts w:cs="Times New Roman"/>
                <w:sz w:val="21"/>
                <w:szCs w:val="21"/>
              </w:rPr>
            </w:pPr>
          </w:p>
        </w:tc>
      </w:tr>
      <w:tr w14:paraId="7F9A3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3A1ACF5A">
            <w:pPr>
              <w:spacing w:line="240" w:lineRule="auto"/>
              <w:ind w:firstLine="0" w:firstLineChars="0"/>
              <w:jc w:val="center"/>
              <w:rPr>
                <w:rFonts w:cs="Times New Roman"/>
                <w:sz w:val="21"/>
                <w:szCs w:val="21"/>
              </w:rPr>
            </w:pPr>
          </w:p>
        </w:tc>
        <w:tc>
          <w:tcPr>
            <w:tcW w:w="1276" w:type="dxa"/>
            <w:vMerge w:val="continue"/>
            <w:vAlign w:val="center"/>
          </w:tcPr>
          <w:p w14:paraId="3191784D">
            <w:pPr>
              <w:spacing w:line="240" w:lineRule="auto"/>
              <w:ind w:firstLine="0" w:firstLineChars="0"/>
              <w:jc w:val="center"/>
              <w:rPr>
                <w:rFonts w:cs="Times New Roman"/>
                <w:sz w:val="21"/>
                <w:szCs w:val="21"/>
              </w:rPr>
            </w:pPr>
          </w:p>
        </w:tc>
        <w:tc>
          <w:tcPr>
            <w:tcW w:w="2268" w:type="dxa"/>
            <w:vAlign w:val="center"/>
          </w:tcPr>
          <w:p w14:paraId="34C0FC30">
            <w:pPr>
              <w:spacing w:line="240" w:lineRule="auto"/>
              <w:ind w:firstLine="0" w:firstLineChars="0"/>
              <w:jc w:val="center"/>
              <w:rPr>
                <w:rFonts w:cs="Times New Roman"/>
                <w:sz w:val="21"/>
                <w:szCs w:val="21"/>
              </w:rPr>
            </w:pPr>
            <w:r>
              <w:rPr>
                <w:rFonts w:hint="eastAsia" w:cs="Times New Roman"/>
                <w:sz w:val="21"/>
                <w:szCs w:val="21"/>
              </w:rPr>
              <w:t>N12本达村</w:t>
            </w:r>
          </w:p>
        </w:tc>
        <w:tc>
          <w:tcPr>
            <w:tcW w:w="2976" w:type="dxa"/>
            <w:vMerge w:val="continue"/>
            <w:vAlign w:val="center"/>
          </w:tcPr>
          <w:p w14:paraId="6A978B96">
            <w:pPr>
              <w:spacing w:line="240" w:lineRule="auto"/>
              <w:ind w:firstLine="0" w:firstLineChars="0"/>
              <w:jc w:val="center"/>
              <w:rPr>
                <w:rFonts w:cs="Times New Roman"/>
                <w:sz w:val="21"/>
                <w:szCs w:val="21"/>
              </w:rPr>
            </w:pPr>
          </w:p>
        </w:tc>
        <w:tc>
          <w:tcPr>
            <w:tcW w:w="1276" w:type="dxa"/>
            <w:vMerge w:val="continue"/>
            <w:vAlign w:val="center"/>
          </w:tcPr>
          <w:p w14:paraId="52D2E4A4">
            <w:pPr>
              <w:spacing w:line="240" w:lineRule="auto"/>
              <w:ind w:firstLine="0" w:firstLineChars="0"/>
              <w:jc w:val="center"/>
              <w:rPr>
                <w:rFonts w:cs="Times New Roman"/>
                <w:sz w:val="21"/>
                <w:szCs w:val="21"/>
              </w:rPr>
            </w:pPr>
          </w:p>
        </w:tc>
      </w:tr>
      <w:tr w14:paraId="3717C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846" w:type="dxa"/>
            <w:vMerge w:val="continue"/>
            <w:vAlign w:val="center"/>
          </w:tcPr>
          <w:p w14:paraId="5A56C85B">
            <w:pPr>
              <w:spacing w:line="240" w:lineRule="auto"/>
              <w:ind w:firstLine="0" w:firstLineChars="0"/>
              <w:jc w:val="center"/>
              <w:rPr>
                <w:rFonts w:cs="Times New Roman"/>
                <w:sz w:val="21"/>
                <w:szCs w:val="21"/>
              </w:rPr>
            </w:pPr>
          </w:p>
        </w:tc>
        <w:tc>
          <w:tcPr>
            <w:tcW w:w="1276" w:type="dxa"/>
            <w:vMerge w:val="restart"/>
            <w:vAlign w:val="center"/>
          </w:tcPr>
          <w:p w14:paraId="4E512319">
            <w:pPr>
              <w:spacing w:line="240" w:lineRule="auto"/>
              <w:ind w:firstLine="0" w:firstLineChars="0"/>
              <w:jc w:val="center"/>
              <w:rPr>
                <w:rFonts w:cs="Times New Roman"/>
                <w:sz w:val="21"/>
                <w:szCs w:val="21"/>
              </w:rPr>
            </w:pPr>
            <w:r>
              <w:rPr>
                <w:rFonts w:hint="eastAsia" w:cs="Times New Roman"/>
                <w:sz w:val="21"/>
                <w:szCs w:val="21"/>
              </w:rPr>
              <w:t>地下水环境</w:t>
            </w:r>
          </w:p>
        </w:tc>
        <w:tc>
          <w:tcPr>
            <w:tcW w:w="2268" w:type="dxa"/>
            <w:vAlign w:val="center"/>
          </w:tcPr>
          <w:p w14:paraId="19BC6055">
            <w:pPr>
              <w:spacing w:line="240" w:lineRule="auto"/>
              <w:ind w:firstLine="0" w:firstLineChars="0"/>
              <w:jc w:val="center"/>
              <w:rPr>
                <w:rFonts w:cs="Times New Roman"/>
                <w:sz w:val="21"/>
                <w:szCs w:val="21"/>
              </w:rPr>
            </w:pPr>
            <w:r>
              <w:rPr>
                <w:rFonts w:hint="eastAsia" w:cs="Times New Roman"/>
                <w:sz w:val="21"/>
                <w:szCs w:val="21"/>
              </w:rPr>
              <w:t>D1东进小区</w:t>
            </w:r>
          </w:p>
        </w:tc>
        <w:tc>
          <w:tcPr>
            <w:tcW w:w="2976" w:type="dxa"/>
            <w:vMerge w:val="restart"/>
            <w:vAlign w:val="center"/>
          </w:tcPr>
          <w:p w14:paraId="6AC86615">
            <w:pPr>
              <w:spacing w:line="240" w:lineRule="auto"/>
              <w:ind w:firstLine="0" w:firstLineChars="0"/>
              <w:jc w:val="center"/>
              <w:rPr>
                <w:rFonts w:cs="Times New Roman"/>
                <w:sz w:val="21"/>
                <w:szCs w:val="21"/>
              </w:rPr>
            </w:pPr>
            <w:r>
              <w:rPr>
                <w:rFonts w:hint="eastAsia" w:cs="Times New Roman"/>
                <w:sz w:val="21"/>
                <w:szCs w:val="21"/>
              </w:rPr>
              <w:t>水位、pH、总硬度、氨氮、硝酸盐氮（以N计）、亚硝酸盐氮（以N计）、挥发性酚类、氰化物、溶解性总固体、硫酸盐、氯化物、总大肠菌群、细菌总数、氟化物、铁、锰、K</w:t>
            </w:r>
            <w:r>
              <w:rPr>
                <w:rFonts w:hint="eastAsia" w:cs="Times New Roman"/>
                <w:sz w:val="21"/>
                <w:szCs w:val="21"/>
                <w:vertAlign w:val="superscript"/>
              </w:rPr>
              <w:t>+</w:t>
            </w:r>
            <w:r>
              <w:rPr>
                <w:rFonts w:hint="eastAsia" w:cs="Times New Roman"/>
                <w:sz w:val="21"/>
                <w:szCs w:val="21"/>
              </w:rPr>
              <w:t>、Na</w:t>
            </w:r>
            <w:r>
              <w:rPr>
                <w:rFonts w:hint="eastAsia" w:cs="Times New Roman"/>
                <w:sz w:val="21"/>
                <w:szCs w:val="21"/>
                <w:vertAlign w:val="superscript"/>
              </w:rPr>
              <w:t>+</w:t>
            </w:r>
            <w:r>
              <w:rPr>
                <w:rFonts w:hint="eastAsia" w:cs="Times New Roman"/>
                <w:sz w:val="21"/>
                <w:szCs w:val="21"/>
              </w:rPr>
              <w:t>、Ca</w:t>
            </w:r>
            <w:r>
              <w:rPr>
                <w:rFonts w:hint="eastAsia" w:cs="Times New Roman"/>
                <w:sz w:val="21"/>
                <w:szCs w:val="21"/>
                <w:vertAlign w:val="superscript"/>
              </w:rPr>
              <w:t>2+</w:t>
            </w:r>
            <w:r>
              <w:rPr>
                <w:rFonts w:hint="eastAsia" w:cs="Times New Roman"/>
                <w:sz w:val="21"/>
                <w:szCs w:val="21"/>
              </w:rPr>
              <w:t>、Mg</w:t>
            </w:r>
            <w:r>
              <w:rPr>
                <w:rFonts w:hint="eastAsia" w:cs="Times New Roman"/>
                <w:sz w:val="21"/>
                <w:szCs w:val="21"/>
                <w:vertAlign w:val="superscript"/>
              </w:rPr>
              <w:t>2+</w:t>
            </w:r>
            <w:r>
              <w:rPr>
                <w:rFonts w:hint="eastAsia" w:cs="Times New Roman"/>
                <w:sz w:val="21"/>
                <w:szCs w:val="21"/>
              </w:rPr>
              <w:t>、Cl</w:t>
            </w:r>
            <w:r>
              <w:rPr>
                <w:rFonts w:hint="eastAsia" w:cs="Times New Roman"/>
                <w:sz w:val="21"/>
                <w:szCs w:val="21"/>
                <w:vertAlign w:val="superscript"/>
              </w:rPr>
              <w:t>-</w:t>
            </w:r>
            <w:r>
              <w:rPr>
                <w:rFonts w:hint="eastAsia" w:cs="Times New Roman"/>
                <w:sz w:val="21"/>
                <w:szCs w:val="21"/>
              </w:rPr>
              <w:t>、SO</w:t>
            </w:r>
            <w:r>
              <w:rPr>
                <w:rFonts w:hint="eastAsia" w:cs="Times New Roman"/>
                <w:sz w:val="21"/>
                <w:szCs w:val="21"/>
                <w:vertAlign w:val="subscript"/>
              </w:rPr>
              <w:t>4</w:t>
            </w:r>
            <w:r>
              <w:rPr>
                <w:rFonts w:hint="eastAsia" w:cs="Times New Roman"/>
                <w:sz w:val="21"/>
                <w:szCs w:val="21"/>
                <w:vertAlign w:val="superscript"/>
              </w:rPr>
              <w:t>2-</w:t>
            </w:r>
            <w:r>
              <w:rPr>
                <w:rFonts w:hint="eastAsia" w:cs="Times New Roman"/>
                <w:sz w:val="21"/>
                <w:szCs w:val="21"/>
              </w:rPr>
              <w:t>、CO</w:t>
            </w:r>
            <w:r>
              <w:rPr>
                <w:rFonts w:hint="eastAsia" w:cs="Times New Roman"/>
                <w:sz w:val="21"/>
                <w:szCs w:val="21"/>
                <w:vertAlign w:val="subscript"/>
              </w:rPr>
              <w:t>3</w:t>
            </w:r>
            <w:r>
              <w:rPr>
                <w:rFonts w:hint="eastAsia" w:cs="Times New Roman"/>
                <w:sz w:val="21"/>
                <w:szCs w:val="21"/>
                <w:vertAlign w:val="superscript"/>
              </w:rPr>
              <w:t>2-</w:t>
            </w:r>
            <w:r>
              <w:rPr>
                <w:rFonts w:hint="eastAsia" w:cs="Times New Roman"/>
                <w:sz w:val="21"/>
                <w:szCs w:val="21"/>
              </w:rPr>
              <w:t>、HCO</w:t>
            </w:r>
            <w:r>
              <w:rPr>
                <w:rFonts w:hint="eastAsia" w:cs="Times New Roman"/>
                <w:sz w:val="21"/>
                <w:szCs w:val="21"/>
                <w:vertAlign w:val="subscript"/>
              </w:rPr>
              <w:t>3</w:t>
            </w:r>
            <w:r>
              <w:rPr>
                <w:rFonts w:hint="eastAsia" w:cs="Times New Roman"/>
                <w:sz w:val="21"/>
                <w:szCs w:val="21"/>
                <w:vertAlign w:val="superscript"/>
              </w:rPr>
              <w:t>-</w:t>
            </w:r>
            <w:r>
              <w:rPr>
                <w:rFonts w:hint="eastAsia" w:cs="Times New Roman"/>
                <w:sz w:val="21"/>
                <w:szCs w:val="21"/>
              </w:rPr>
              <w:t>、砷、汞、铬（六价）、铅、镉、铜、锌、镍</w:t>
            </w:r>
          </w:p>
        </w:tc>
        <w:tc>
          <w:tcPr>
            <w:tcW w:w="1276" w:type="dxa"/>
            <w:vMerge w:val="restart"/>
            <w:vAlign w:val="center"/>
          </w:tcPr>
          <w:p w14:paraId="25011F3A">
            <w:pPr>
              <w:spacing w:line="240" w:lineRule="auto"/>
              <w:ind w:firstLine="0" w:firstLineChars="0"/>
              <w:jc w:val="center"/>
              <w:rPr>
                <w:rFonts w:cs="Times New Roman"/>
                <w:sz w:val="21"/>
                <w:szCs w:val="21"/>
              </w:rPr>
            </w:pPr>
            <w:r>
              <w:rPr>
                <w:rFonts w:hint="eastAsia" w:cs="Times New Roman"/>
                <w:sz w:val="21"/>
                <w:szCs w:val="21"/>
              </w:rPr>
              <w:t>1次/年</w:t>
            </w:r>
          </w:p>
        </w:tc>
      </w:tr>
      <w:tr w14:paraId="27B16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846" w:type="dxa"/>
            <w:vMerge w:val="continue"/>
            <w:vAlign w:val="center"/>
          </w:tcPr>
          <w:p w14:paraId="2651C02E">
            <w:pPr>
              <w:spacing w:line="240" w:lineRule="auto"/>
              <w:ind w:firstLine="0" w:firstLineChars="0"/>
              <w:jc w:val="center"/>
              <w:rPr>
                <w:rFonts w:cs="Times New Roman"/>
                <w:sz w:val="21"/>
                <w:szCs w:val="21"/>
              </w:rPr>
            </w:pPr>
          </w:p>
        </w:tc>
        <w:tc>
          <w:tcPr>
            <w:tcW w:w="1276" w:type="dxa"/>
            <w:vMerge w:val="continue"/>
            <w:vAlign w:val="center"/>
          </w:tcPr>
          <w:p w14:paraId="29467F00">
            <w:pPr>
              <w:spacing w:line="240" w:lineRule="auto"/>
              <w:ind w:firstLine="0" w:firstLineChars="0"/>
              <w:jc w:val="center"/>
              <w:rPr>
                <w:rFonts w:cs="Times New Roman"/>
                <w:sz w:val="21"/>
                <w:szCs w:val="21"/>
              </w:rPr>
            </w:pPr>
          </w:p>
        </w:tc>
        <w:tc>
          <w:tcPr>
            <w:tcW w:w="2268" w:type="dxa"/>
            <w:vAlign w:val="center"/>
          </w:tcPr>
          <w:p w14:paraId="1082F81F">
            <w:pPr>
              <w:spacing w:line="240" w:lineRule="auto"/>
              <w:ind w:firstLine="0" w:firstLineChars="0"/>
              <w:jc w:val="center"/>
              <w:rPr>
                <w:rFonts w:cs="Times New Roman"/>
                <w:sz w:val="21"/>
                <w:szCs w:val="21"/>
              </w:rPr>
            </w:pPr>
            <w:r>
              <w:rPr>
                <w:rFonts w:hint="eastAsia" w:cs="Times New Roman"/>
                <w:sz w:val="21"/>
                <w:szCs w:val="21"/>
              </w:rPr>
              <w:t>D3</w:t>
            </w:r>
            <w:r>
              <w:rPr>
                <w:rFonts w:hint="eastAsia" w:cs="Times New Roman"/>
                <w:szCs w:val="21"/>
              </w:rPr>
              <w:t>山湖城花园湖畔小院</w:t>
            </w:r>
          </w:p>
        </w:tc>
        <w:tc>
          <w:tcPr>
            <w:tcW w:w="2976" w:type="dxa"/>
            <w:vMerge w:val="continue"/>
            <w:vAlign w:val="center"/>
          </w:tcPr>
          <w:p w14:paraId="0B757DEE">
            <w:pPr>
              <w:spacing w:line="240" w:lineRule="auto"/>
              <w:ind w:firstLine="0" w:firstLineChars="0"/>
              <w:jc w:val="center"/>
              <w:rPr>
                <w:rFonts w:cs="Times New Roman"/>
                <w:sz w:val="21"/>
                <w:szCs w:val="21"/>
              </w:rPr>
            </w:pPr>
          </w:p>
        </w:tc>
        <w:tc>
          <w:tcPr>
            <w:tcW w:w="1276" w:type="dxa"/>
            <w:vMerge w:val="continue"/>
            <w:vAlign w:val="center"/>
          </w:tcPr>
          <w:p w14:paraId="356CBD92">
            <w:pPr>
              <w:spacing w:line="240" w:lineRule="auto"/>
              <w:ind w:firstLine="0" w:firstLineChars="0"/>
              <w:jc w:val="center"/>
              <w:rPr>
                <w:rFonts w:cs="Times New Roman"/>
                <w:sz w:val="21"/>
                <w:szCs w:val="21"/>
              </w:rPr>
            </w:pPr>
          </w:p>
        </w:tc>
      </w:tr>
      <w:tr w14:paraId="6B25F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846" w:type="dxa"/>
            <w:vMerge w:val="continue"/>
            <w:vAlign w:val="center"/>
          </w:tcPr>
          <w:p w14:paraId="5BCA3AFA">
            <w:pPr>
              <w:spacing w:line="240" w:lineRule="auto"/>
              <w:ind w:firstLine="0" w:firstLineChars="0"/>
              <w:jc w:val="center"/>
              <w:rPr>
                <w:rFonts w:cs="Times New Roman"/>
                <w:sz w:val="21"/>
                <w:szCs w:val="21"/>
              </w:rPr>
            </w:pPr>
          </w:p>
        </w:tc>
        <w:tc>
          <w:tcPr>
            <w:tcW w:w="1276" w:type="dxa"/>
            <w:vMerge w:val="continue"/>
            <w:vAlign w:val="center"/>
          </w:tcPr>
          <w:p w14:paraId="784574F0">
            <w:pPr>
              <w:spacing w:line="240" w:lineRule="auto"/>
              <w:ind w:firstLine="0" w:firstLineChars="0"/>
              <w:jc w:val="center"/>
              <w:rPr>
                <w:rFonts w:cs="Times New Roman"/>
                <w:sz w:val="21"/>
                <w:szCs w:val="21"/>
              </w:rPr>
            </w:pPr>
          </w:p>
        </w:tc>
        <w:tc>
          <w:tcPr>
            <w:tcW w:w="2268" w:type="dxa"/>
            <w:vAlign w:val="center"/>
          </w:tcPr>
          <w:p w14:paraId="1BA41F83">
            <w:pPr>
              <w:spacing w:line="240" w:lineRule="auto"/>
              <w:ind w:firstLine="0" w:firstLineChars="0"/>
              <w:jc w:val="center"/>
              <w:rPr>
                <w:rFonts w:cs="Times New Roman"/>
                <w:sz w:val="21"/>
                <w:szCs w:val="21"/>
              </w:rPr>
            </w:pPr>
            <w:r>
              <w:rPr>
                <w:rFonts w:hint="eastAsia" w:cs="Times New Roman"/>
                <w:sz w:val="21"/>
                <w:szCs w:val="21"/>
              </w:rPr>
              <w:t>D5</w:t>
            </w:r>
            <w:r>
              <w:rPr>
                <w:rFonts w:hint="eastAsia" w:cs="Times New Roman"/>
                <w:szCs w:val="21"/>
              </w:rPr>
              <w:t>养心园</w:t>
            </w:r>
          </w:p>
        </w:tc>
        <w:tc>
          <w:tcPr>
            <w:tcW w:w="2976" w:type="dxa"/>
            <w:vMerge w:val="continue"/>
            <w:vAlign w:val="center"/>
          </w:tcPr>
          <w:p w14:paraId="0259B60A">
            <w:pPr>
              <w:spacing w:line="240" w:lineRule="auto"/>
              <w:ind w:firstLine="0" w:firstLineChars="0"/>
              <w:jc w:val="center"/>
              <w:rPr>
                <w:rFonts w:cs="Times New Roman"/>
                <w:sz w:val="21"/>
                <w:szCs w:val="21"/>
              </w:rPr>
            </w:pPr>
          </w:p>
        </w:tc>
        <w:tc>
          <w:tcPr>
            <w:tcW w:w="1276" w:type="dxa"/>
            <w:vMerge w:val="continue"/>
            <w:vAlign w:val="center"/>
          </w:tcPr>
          <w:p w14:paraId="46A9621E">
            <w:pPr>
              <w:spacing w:line="240" w:lineRule="auto"/>
              <w:ind w:firstLine="0" w:firstLineChars="0"/>
              <w:jc w:val="center"/>
              <w:rPr>
                <w:rFonts w:cs="Times New Roman"/>
                <w:sz w:val="21"/>
                <w:szCs w:val="21"/>
              </w:rPr>
            </w:pPr>
          </w:p>
        </w:tc>
      </w:tr>
      <w:tr w14:paraId="5804E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846" w:type="dxa"/>
            <w:vMerge w:val="continue"/>
            <w:vAlign w:val="center"/>
          </w:tcPr>
          <w:p w14:paraId="29FAE40B">
            <w:pPr>
              <w:spacing w:line="240" w:lineRule="auto"/>
              <w:ind w:firstLine="0" w:firstLineChars="0"/>
              <w:jc w:val="center"/>
            </w:pPr>
          </w:p>
        </w:tc>
        <w:tc>
          <w:tcPr>
            <w:tcW w:w="1276" w:type="dxa"/>
            <w:vMerge w:val="continue"/>
            <w:vAlign w:val="center"/>
          </w:tcPr>
          <w:p w14:paraId="190B478D">
            <w:pPr>
              <w:spacing w:line="240" w:lineRule="auto"/>
              <w:ind w:firstLine="0" w:firstLineChars="0"/>
              <w:jc w:val="center"/>
            </w:pPr>
          </w:p>
        </w:tc>
        <w:tc>
          <w:tcPr>
            <w:tcW w:w="2268" w:type="dxa"/>
            <w:vAlign w:val="center"/>
          </w:tcPr>
          <w:p w14:paraId="60C49F9F">
            <w:pPr>
              <w:spacing w:line="240" w:lineRule="auto"/>
              <w:ind w:firstLine="0" w:firstLineChars="0"/>
              <w:jc w:val="center"/>
              <w:rPr>
                <w:rFonts w:cs="Times New Roman"/>
                <w:sz w:val="21"/>
                <w:szCs w:val="21"/>
              </w:rPr>
            </w:pPr>
            <w:r>
              <w:rPr>
                <w:rFonts w:hint="eastAsia" w:cs="Times New Roman"/>
                <w:sz w:val="21"/>
                <w:szCs w:val="21"/>
              </w:rPr>
              <w:t>D8一号农场</w:t>
            </w:r>
          </w:p>
        </w:tc>
        <w:tc>
          <w:tcPr>
            <w:tcW w:w="2976" w:type="dxa"/>
            <w:vMerge w:val="continue"/>
            <w:vAlign w:val="center"/>
          </w:tcPr>
          <w:p w14:paraId="722C87D3">
            <w:pPr>
              <w:spacing w:line="240" w:lineRule="auto"/>
              <w:ind w:firstLine="0" w:firstLineChars="0"/>
              <w:jc w:val="center"/>
              <w:rPr>
                <w:rFonts w:cs="Times New Roman"/>
                <w:sz w:val="21"/>
                <w:szCs w:val="21"/>
              </w:rPr>
            </w:pPr>
          </w:p>
        </w:tc>
        <w:tc>
          <w:tcPr>
            <w:tcW w:w="1276" w:type="dxa"/>
            <w:vMerge w:val="continue"/>
            <w:vAlign w:val="center"/>
          </w:tcPr>
          <w:p w14:paraId="3163AD87">
            <w:pPr>
              <w:spacing w:line="240" w:lineRule="auto"/>
              <w:ind w:firstLine="0" w:firstLineChars="0"/>
              <w:jc w:val="center"/>
              <w:rPr>
                <w:rFonts w:cs="Times New Roman"/>
                <w:sz w:val="21"/>
                <w:szCs w:val="21"/>
              </w:rPr>
            </w:pPr>
          </w:p>
        </w:tc>
      </w:tr>
      <w:tr w14:paraId="0707E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846" w:type="dxa"/>
            <w:vMerge w:val="continue"/>
            <w:vAlign w:val="center"/>
          </w:tcPr>
          <w:p w14:paraId="4E5ADD77">
            <w:pPr>
              <w:spacing w:line="240" w:lineRule="auto"/>
              <w:ind w:firstLine="0" w:firstLineChars="0"/>
              <w:jc w:val="center"/>
              <w:rPr>
                <w:rFonts w:cs="Times New Roman"/>
                <w:sz w:val="21"/>
                <w:szCs w:val="21"/>
              </w:rPr>
            </w:pPr>
          </w:p>
        </w:tc>
        <w:tc>
          <w:tcPr>
            <w:tcW w:w="1276" w:type="dxa"/>
            <w:vMerge w:val="continue"/>
            <w:vAlign w:val="center"/>
          </w:tcPr>
          <w:p w14:paraId="0EEEFED1">
            <w:pPr>
              <w:spacing w:line="240" w:lineRule="auto"/>
              <w:ind w:firstLine="0" w:firstLineChars="0"/>
              <w:jc w:val="center"/>
              <w:rPr>
                <w:rFonts w:cs="Times New Roman"/>
                <w:sz w:val="21"/>
                <w:szCs w:val="21"/>
              </w:rPr>
            </w:pPr>
          </w:p>
        </w:tc>
        <w:tc>
          <w:tcPr>
            <w:tcW w:w="2268" w:type="dxa"/>
            <w:vAlign w:val="center"/>
          </w:tcPr>
          <w:p w14:paraId="01B25093">
            <w:pPr>
              <w:spacing w:line="240" w:lineRule="auto"/>
              <w:ind w:firstLine="0" w:firstLineChars="0"/>
              <w:jc w:val="center"/>
              <w:rPr>
                <w:rFonts w:cs="Times New Roman"/>
                <w:sz w:val="21"/>
                <w:szCs w:val="21"/>
              </w:rPr>
            </w:pPr>
            <w:r>
              <w:rPr>
                <w:rFonts w:hint="eastAsia" w:cs="Times New Roman"/>
                <w:sz w:val="21"/>
                <w:szCs w:val="21"/>
              </w:rPr>
              <w:t>D10建国村</w:t>
            </w:r>
          </w:p>
        </w:tc>
        <w:tc>
          <w:tcPr>
            <w:tcW w:w="2976" w:type="dxa"/>
            <w:vMerge w:val="continue"/>
            <w:vAlign w:val="center"/>
          </w:tcPr>
          <w:p w14:paraId="30C9D72B">
            <w:pPr>
              <w:spacing w:line="240" w:lineRule="auto"/>
              <w:ind w:firstLine="0" w:firstLineChars="0"/>
              <w:jc w:val="center"/>
              <w:rPr>
                <w:rFonts w:cs="Times New Roman"/>
                <w:sz w:val="21"/>
                <w:szCs w:val="21"/>
              </w:rPr>
            </w:pPr>
          </w:p>
        </w:tc>
        <w:tc>
          <w:tcPr>
            <w:tcW w:w="1276" w:type="dxa"/>
            <w:vMerge w:val="continue"/>
            <w:vAlign w:val="center"/>
          </w:tcPr>
          <w:p w14:paraId="4A505634">
            <w:pPr>
              <w:spacing w:line="240" w:lineRule="auto"/>
              <w:ind w:firstLine="0" w:firstLineChars="0"/>
              <w:jc w:val="center"/>
              <w:rPr>
                <w:rFonts w:cs="Times New Roman"/>
                <w:sz w:val="21"/>
                <w:szCs w:val="21"/>
              </w:rPr>
            </w:pPr>
          </w:p>
        </w:tc>
      </w:tr>
      <w:tr w14:paraId="5CBFD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846" w:type="dxa"/>
            <w:vMerge w:val="continue"/>
            <w:vAlign w:val="center"/>
          </w:tcPr>
          <w:p w14:paraId="5466D38B">
            <w:pPr>
              <w:spacing w:line="240" w:lineRule="auto"/>
              <w:ind w:firstLine="0" w:firstLineChars="0"/>
              <w:jc w:val="center"/>
              <w:rPr>
                <w:rFonts w:cs="Times New Roman"/>
                <w:sz w:val="21"/>
                <w:szCs w:val="21"/>
              </w:rPr>
            </w:pPr>
          </w:p>
        </w:tc>
        <w:tc>
          <w:tcPr>
            <w:tcW w:w="1276" w:type="dxa"/>
            <w:vMerge w:val="continue"/>
            <w:vAlign w:val="center"/>
          </w:tcPr>
          <w:p w14:paraId="07CE6C58">
            <w:pPr>
              <w:spacing w:line="240" w:lineRule="auto"/>
              <w:ind w:firstLine="0" w:firstLineChars="0"/>
              <w:jc w:val="center"/>
              <w:rPr>
                <w:rFonts w:cs="Times New Roman"/>
                <w:sz w:val="21"/>
                <w:szCs w:val="21"/>
              </w:rPr>
            </w:pPr>
          </w:p>
        </w:tc>
        <w:tc>
          <w:tcPr>
            <w:tcW w:w="2268" w:type="dxa"/>
            <w:vAlign w:val="center"/>
          </w:tcPr>
          <w:p w14:paraId="151F0E37">
            <w:pPr>
              <w:spacing w:line="240" w:lineRule="auto"/>
              <w:ind w:firstLine="0" w:firstLineChars="0"/>
              <w:jc w:val="center"/>
              <w:rPr>
                <w:rFonts w:cs="Times New Roman"/>
                <w:sz w:val="21"/>
                <w:szCs w:val="21"/>
              </w:rPr>
            </w:pPr>
            <w:r>
              <w:rPr>
                <w:rFonts w:hint="eastAsia" w:cs="Times New Roman"/>
                <w:sz w:val="21"/>
                <w:szCs w:val="21"/>
              </w:rPr>
              <w:t>D11塔山村</w:t>
            </w:r>
          </w:p>
        </w:tc>
        <w:tc>
          <w:tcPr>
            <w:tcW w:w="2976" w:type="dxa"/>
            <w:vMerge w:val="continue"/>
            <w:vAlign w:val="center"/>
          </w:tcPr>
          <w:p w14:paraId="637107D4">
            <w:pPr>
              <w:spacing w:line="240" w:lineRule="auto"/>
              <w:ind w:firstLine="0" w:firstLineChars="0"/>
              <w:jc w:val="center"/>
              <w:rPr>
                <w:rFonts w:cs="Times New Roman"/>
                <w:sz w:val="21"/>
                <w:szCs w:val="21"/>
              </w:rPr>
            </w:pPr>
          </w:p>
        </w:tc>
        <w:tc>
          <w:tcPr>
            <w:tcW w:w="1276" w:type="dxa"/>
            <w:vMerge w:val="continue"/>
            <w:vAlign w:val="center"/>
          </w:tcPr>
          <w:p w14:paraId="02464489">
            <w:pPr>
              <w:spacing w:line="240" w:lineRule="auto"/>
              <w:ind w:firstLine="0" w:firstLineChars="0"/>
              <w:jc w:val="center"/>
              <w:rPr>
                <w:rFonts w:cs="Times New Roman"/>
                <w:sz w:val="21"/>
                <w:szCs w:val="21"/>
              </w:rPr>
            </w:pPr>
          </w:p>
        </w:tc>
      </w:tr>
      <w:tr w14:paraId="05CAF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846" w:type="dxa"/>
            <w:vMerge w:val="continue"/>
            <w:vAlign w:val="center"/>
          </w:tcPr>
          <w:p w14:paraId="472259E7">
            <w:pPr>
              <w:spacing w:line="240" w:lineRule="auto"/>
              <w:ind w:firstLine="0" w:firstLineChars="0"/>
              <w:jc w:val="center"/>
              <w:rPr>
                <w:rFonts w:cs="Times New Roman"/>
                <w:sz w:val="21"/>
                <w:szCs w:val="21"/>
              </w:rPr>
            </w:pPr>
          </w:p>
        </w:tc>
        <w:tc>
          <w:tcPr>
            <w:tcW w:w="1276" w:type="dxa"/>
            <w:vMerge w:val="continue"/>
            <w:vAlign w:val="center"/>
          </w:tcPr>
          <w:p w14:paraId="0BDFC412">
            <w:pPr>
              <w:spacing w:line="240" w:lineRule="auto"/>
              <w:ind w:firstLine="0" w:firstLineChars="0"/>
              <w:jc w:val="center"/>
              <w:rPr>
                <w:rFonts w:cs="Times New Roman"/>
                <w:sz w:val="21"/>
                <w:szCs w:val="21"/>
              </w:rPr>
            </w:pPr>
          </w:p>
        </w:tc>
        <w:tc>
          <w:tcPr>
            <w:tcW w:w="2268" w:type="dxa"/>
            <w:vAlign w:val="center"/>
          </w:tcPr>
          <w:p w14:paraId="22718F27">
            <w:pPr>
              <w:spacing w:line="240" w:lineRule="auto"/>
              <w:ind w:firstLine="0" w:firstLineChars="0"/>
              <w:jc w:val="center"/>
              <w:rPr>
                <w:rFonts w:cs="Times New Roman"/>
                <w:sz w:val="21"/>
                <w:szCs w:val="21"/>
              </w:rPr>
            </w:pPr>
            <w:r>
              <w:rPr>
                <w:rFonts w:hint="eastAsia" w:cs="Times New Roman"/>
                <w:sz w:val="21"/>
                <w:szCs w:val="21"/>
              </w:rPr>
              <w:t>D12许庄村</w:t>
            </w:r>
          </w:p>
        </w:tc>
        <w:tc>
          <w:tcPr>
            <w:tcW w:w="2976" w:type="dxa"/>
            <w:vMerge w:val="continue"/>
            <w:vAlign w:val="center"/>
          </w:tcPr>
          <w:p w14:paraId="798D8FE0">
            <w:pPr>
              <w:spacing w:line="240" w:lineRule="auto"/>
              <w:ind w:firstLine="0" w:firstLineChars="0"/>
              <w:jc w:val="center"/>
              <w:rPr>
                <w:rFonts w:cs="Times New Roman"/>
                <w:sz w:val="21"/>
                <w:szCs w:val="21"/>
              </w:rPr>
            </w:pPr>
          </w:p>
        </w:tc>
        <w:tc>
          <w:tcPr>
            <w:tcW w:w="1276" w:type="dxa"/>
            <w:vMerge w:val="continue"/>
            <w:vAlign w:val="center"/>
          </w:tcPr>
          <w:p w14:paraId="46D573DE">
            <w:pPr>
              <w:spacing w:line="240" w:lineRule="auto"/>
              <w:ind w:firstLine="0" w:firstLineChars="0"/>
              <w:jc w:val="center"/>
              <w:rPr>
                <w:rFonts w:cs="Times New Roman"/>
                <w:sz w:val="21"/>
                <w:szCs w:val="21"/>
              </w:rPr>
            </w:pPr>
          </w:p>
        </w:tc>
      </w:tr>
      <w:tr w14:paraId="28B61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3" w:hRule="atLeast"/>
          <w:jc w:val="center"/>
        </w:trPr>
        <w:tc>
          <w:tcPr>
            <w:tcW w:w="846" w:type="dxa"/>
            <w:vMerge w:val="continue"/>
            <w:vAlign w:val="center"/>
          </w:tcPr>
          <w:p w14:paraId="5570AB75">
            <w:pPr>
              <w:spacing w:line="240" w:lineRule="auto"/>
              <w:ind w:firstLine="0" w:firstLineChars="0"/>
              <w:jc w:val="center"/>
              <w:rPr>
                <w:rFonts w:cs="Times New Roman"/>
                <w:sz w:val="21"/>
                <w:szCs w:val="21"/>
              </w:rPr>
            </w:pPr>
          </w:p>
        </w:tc>
        <w:tc>
          <w:tcPr>
            <w:tcW w:w="1276" w:type="dxa"/>
            <w:vMerge w:val="restart"/>
            <w:vAlign w:val="center"/>
          </w:tcPr>
          <w:p w14:paraId="5E6E9546">
            <w:pPr>
              <w:spacing w:line="240" w:lineRule="auto"/>
              <w:ind w:firstLine="0" w:firstLineChars="0"/>
              <w:jc w:val="center"/>
              <w:rPr>
                <w:rFonts w:cs="Times New Roman"/>
                <w:sz w:val="21"/>
                <w:szCs w:val="21"/>
              </w:rPr>
            </w:pPr>
            <w:r>
              <w:rPr>
                <w:rFonts w:hint="eastAsia" w:cs="Times New Roman"/>
                <w:sz w:val="21"/>
                <w:szCs w:val="21"/>
              </w:rPr>
              <w:t>土壤环境</w:t>
            </w:r>
          </w:p>
        </w:tc>
        <w:tc>
          <w:tcPr>
            <w:tcW w:w="2268" w:type="dxa"/>
            <w:vAlign w:val="center"/>
          </w:tcPr>
          <w:p w14:paraId="53617C3D">
            <w:pPr>
              <w:spacing w:line="240" w:lineRule="auto"/>
              <w:ind w:firstLine="0" w:firstLineChars="0"/>
              <w:jc w:val="center"/>
              <w:rPr>
                <w:rFonts w:cs="Times New Roman"/>
                <w:sz w:val="21"/>
                <w:szCs w:val="21"/>
              </w:rPr>
            </w:pPr>
            <w:r>
              <w:rPr>
                <w:rFonts w:hint="eastAsia" w:cs="Times New Roman"/>
                <w:sz w:val="21"/>
                <w:szCs w:val="21"/>
              </w:rPr>
              <w:t>T1东进小区</w:t>
            </w:r>
          </w:p>
        </w:tc>
        <w:tc>
          <w:tcPr>
            <w:tcW w:w="2976" w:type="dxa"/>
            <w:vMerge w:val="restart"/>
            <w:vAlign w:val="center"/>
          </w:tcPr>
          <w:p w14:paraId="5DE819E2">
            <w:pPr>
              <w:spacing w:line="240" w:lineRule="auto"/>
              <w:ind w:firstLine="0" w:firstLineChars="0"/>
              <w:jc w:val="center"/>
              <w:rPr>
                <w:rFonts w:cs="Times New Roman"/>
                <w:sz w:val="21"/>
                <w:szCs w:val="21"/>
              </w:rPr>
            </w:pPr>
            <w:r>
              <w:rPr>
                <w:rFonts w:hint="eastAsia" w:cs="Times New Roman"/>
                <w:sz w:val="21"/>
                <w:szCs w:val="21"/>
              </w:rPr>
              <w:t>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w:t>
            </w:r>
            <w:r>
              <w:rPr>
                <w:rFonts w:hint="eastAsia" w:eastAsia="仿宋" w:cs="Times New Roman"/>
                <w:sz w:val="21"/>
                <w:szCs w:val="21"/>
              </w:rPr>
              <w:t>[a]蔥</w:t>
            </w:r>
            <w:r>
              <w:rPr>
                <w:rFonts w:hint="eastAsia" w:cs="Times New Roman"/>
                <w:sz w:val="21"/>
                <w:szCs w:val="21"/>
              </w:rPr>
              <w:t>、苯并[a]芘、苯并[b]荧</w:t>
            </w:r>
            <w:r>
              <w:rPr>
                <w:rFonts w:hint="eastAsia" w:eastAsia="仿宋" w:cs="Times New Roman"/>
                <w:sz w:val="21"/>
                <w:szCs w:val="21"/>
              </w:rPr>
              <w:t>蔥</w:t>
            </w:r>
            <w:r>
              <w:rPr>
                <w:rFonts w:hint="eastAsia" w:cs="Times New Roman"/>
                <w:sz w:val="21"/>
                <w:szCs w:val="21"/>
              </w:rPr>
              <w:t>、苯并[k]荧</w:t>
            </w:r>
            <w:r>
              <w:rPr>
                <w:rFonts w:hint="eastAsia" w:eastAsia="仿宋" w:cs="Times New Roman"/>
                <w:sz w:val="21"/>
                <w:szCs w:val="21"/>
              </w:rPr>
              <w:t>蔥</w:t>
            </w:r>
            <w:r>
              <w:rPr>
                <w:rFonts w:hint="eastAsia" w:cs="Times New Roman"/>
                <w:sz w:val="21"/>
                <w:szCs w:val="21"/>
              </w:rPr>
              <w:t>、</w:t>
            </w:r>
            <w:r>
              <w:rPr>
                <w:rFonts w:hint="eastAsia" w:eastAsia="仿宋" w:cs="Times New Roman"/>
                <w:sz w:val="21"/>
                <w:szCs w:val="21"/>
              </w:rPr>
              <w:t>䓛</w:t>
            </w:r>
            <w:r>
              <w:rPr>
                <w:rFonts w:hint="eastAsia" w:cs="Times New Roman"/>
                <w:sz w:val="21"/>
                <w:szCs w:val="21"/>
              </w:rPr>
              <w:t>、二苯并[a,h]</w:t>
            </w:r>
            <w:r>
              <w:rPr>
                <w:rFonts w:hint="eastAsia" w:eastAsia="仿宋" w:cs="Times New Roman"/>
                <w:sz w:val="21"/>
                <w:szCs w:val="21"/>
              </w:rPr>
              <w:t>蔥</w:t>
            </w:r>
            <w:r>
              <w:rPr>
                <w:rFonts w:hint="eastAsia" w:cs="Times New Roman"/>
                <w:sz w:val="21"/>
                <w:szCs w:val="21"/>
              </w:rPr>
              <w:t>、茚并[1,2,3-cd]芘、萘（共45个因子）</w:t>
            </w:r>
          </w:p>
        </w:tc>
        <w:tc>
          <w:tcPr>
            <w:tcW w:w="1276" w:type="dxa"/>
            <w:vMerge w:val="restart"/>
            <w:vAlign w:val="center"/>
          </w:tcPr>
          <w:p w14:paraId="2C35D842">
            <w:pPr>
              <w:spacing w:line="240" w:lineRule="auto"/>
              <w:ind w:firstLine="0" w:firstLineChars="0"/>
              <w:jc w:val="center"/>
              <w:rPr>
                <w:rFonts w:cs="Times New Roman"/>
                <w:sz w:val="21"/>
                <w:szCs w:val="21"/>
              </w:rPr>
            </w:pPr>
            <w:r>
              <w:rPr>
                <w:rFonts w:hint="eastAsia" w:cs="Times New Roman"/>
                <w:sz w:val="21"/>
                <w:szCs w:val="21"/>
              </w:rPr>
              <w:t>1次/年</w:t>
            </w:r>
          </w:p>
        </w:tc>
      </w:tr>
      <w:tr w14:paraId="6FA96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8" w:hRule="atLeast"/>
          <w:jc w:val="center"/>
        </w:trPr>
        <w:tc>
          <w:tcPr>
            <w:tcW w:w="846" w:type="dxa"/>
            <w:vMerge w:val="continue"/>
            <w:vAlign w:val="center"/>
          </w:tcPr>
          <w:p w14:paraId="6CB7D896">
            <w:pPr>
              <w:spacing w:line="240" w:lineRule="auto"/>
              <w:ind w:firstLine="0" w:firstLineChars="0"/>
              <w:jc w:val="center"/>
              <w:rPr>
                <w:rFonts w:cs="Times New Roman"/>
                <w:sz w:val="21"/>
                <w:szCs w:val="21"/>
              </w:rPr>
            </w:pPr>
          </w:p>
        </w:tc>
        <w:tc>
          <w:tcPr>
            <w:tcW w:w="1276" w:type="dxa"/>
            <w:vMerge w:val="continue"/>
            <w:vAlign w:val="center"/>
          </w:tcPr>
          <w:p w14:paraId="63FCD2EC">
            <w:pPr>
              <w:spacing w:line="240" w:lineRule="auto"/>
              <w:ind w:firstLine="0" w:firstLineChars="0"/>
              <w:jc w:val="center"/>
              <w:rPr>
                <w:rFonts w:cs="Times New Roman"/>
                <w:sz w:val="21"/>
                <w:szCs w:val="21"/>
              </w:rPr>
            </w:pPr>
          </w:p>
        </w:tc>
        <w:tc>
          <w:tcPr>
            <w:tcW w:w="2268" w:type="dxa"/>
            <w:vAlign w:val="center"/>
          </w:tcPr>
          <w:p w14:paraId="75349F3E">
            <w:pPr>
              <w:spacing w:line="240" w:lineRule="auto"/>
              <w:ind w:firstLine="0" w:firstLineChars="0"/>
              <w:jc w:val="center"/>
              <w:rPr>
                <w:rFonts w:cs="Times New Roman"/>
                <w:sz w:val="21"/>
                <w:szCs w:val="21"/>
              </w:rPr>
            </w:pPr>
            <w:r>
              <w:rPr>
                <w:rFonts w:hint="eastAsia" w:cs="Times New Roman"/>
                <w:sz w:val="21"/>
                <w:szCs w:val="21"/>
              </w:rPr>
              <w:t>T2雅居乐山湖城</w:t>
            </w:r>
          </w:p>
        </w:tc>
        <w:tc>
          <w:tcPr>
            <w:tcW w:w="2976" w:type="dxa"/>
            <w:vMerge w:val="continue"/>
            <w:vAlign w:val="center"/>
          </w:tcPr>
          <w:p w14:paraId="7ECE02DC">
            <w:pPr>
              <w:spacing w:line="240" w:lineRule="auto"/>
              <w:ind w:firstLine="0" w:firstLineChars="0"/>
              <w:jc w:val="center"/>
              <w:rPr>
                <w:rFonts w:cs="Times New Roman"/>
                <w:sz w:val="21"/>
                <w:szCs w:val="21"/>
              </w:rPr>
            </w:pPr>
          </w:p>
        </w:tc>
        <w:tc>
          <w:tcPr>
            <w:tcW w:w="1276" w:type="dxa"/>
            <w:vMerge w:val="continue"/>
            <w:vAlign w:val="center"/>
          </w:tcPr>
          <w:p w14:paraId="40509D25">
            <w:pPr>
              <w:spacing w:line="240" w:lineRule="auto"/>
              <w:ind w:firstLine="0" w:firstLineChars="0"/>
              <w:jc w:val="center"/>
              <w:rPr>
                <w:rFonts w:cs="Times New Roman"/>
                <w:sz w:val="21"/>
                <w:szCs w:val="21"/>
              </w:rPr>
            </w:pPr>
          </w:p>
        </w:tc>
      </w:tr>
      <w:tr w14:paraId="26B7F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1" w:hRule="atLeast"/>
          <w:jc w:val="center"/>
        </w:trPr>
        <w:tc>
          <w:tcPr>
            <w:tcW w:w="846" w:type="dxa"/>
            <w:vMerge w:val="continue"/>
            <w:vAlign w:val="center"/>
          </w:tcPr>
          <w:p w14:paraId="5191167C">
            <w:pPr>
              <w:spacing w:line="240" w:lineRule="auto"/>
              <w:ind w:firstLine="0" w:firstLineChars="0"/>
              <w:jc w:val="center"/>
              <w:rPr>
                <w:rFonts w:cs="Times New Roman"/>
                <w:sz w:val="21"/>
                <w:szCs w:val="21"/>
              </w:rPr>
            </w:pPr>
          </w:p>
        </w:tc>
        <w:tc>
          <w:tcPr>
            <w:tcW w:w="1276" w:type="dxa"/>
            <w:vMerge w:val="continue"/>
            <w:vAlign w:val="center"/>
          </w:tcPr>
          <w:p w14:paraId="4618677E">
            <w:pPr>
              <w:spacing w:line="240" w:lineRule="auto"/>
              <w:ind w:firstLine="0" w:firstLineChars="0"/>
              <w:jc w:val="center"/>
              <w:rPr>
                <w:rFonts w:cs="Times New Roman"/>
                <w:sz w:val="21"/>
                <w:szCs w:val="21"/>
              </w:rPr>
            </w:pPr>
          </w:p>
        </w:tc>
        <w:tc>
          <w:tcPr>
            <w:tcW w:w="2268" w:type="dxa"/>
            <w:vAlign w:val="center"/>
          </w:tcPr>
          <w:p w14:paraId="31471B73">
            <w:pPr>
              <w:spacing w:line="240" w:lineRule="auto"/>
              <w:ind w:firstLine="0" w:firstLineChars="0"/>
              <w:jc w:val="center"/>
              <w:rPr>
                <w:rFonts w:cs="Times New Roman"/>
                <w:sz w:val="21"/>
                <w:szCs w:val="21"/>
              </w:rPr>
            </w:pPr>
            <w:r>
              <w:rPr>
                <w:rFonts w:hint="eastAsia" w:cs="Times New Roman"/>
                <w:sz w:val="21"/>
                <w:szCs w:val="21"/>
              </w:rPr>
              <w:t>T3山湖城花园湖畔小院</w:t>
            </w:r>
          </w:p>
        </w:tc>
        <w:tc>
          <w:tcPr>
            <w:tcW w:w="2976" w:type="dxa"/>
            <w:vMerge w:val="continue"/>
            <w:vAlign w:val="center"/>
          </w:tcPr>
          <w:p w14:paraId="0FF4D9FB">
            <w:pPr>
              <w:spacing w:line="240" w:lineRule="auto"/>
              <w:ind w:firstLine="0" w:firstLineChars="0"/>
              <w:jc w:val="center"/>
              <w:rPr>
                <w:rFonts w:cs="Times New Roman"/>
                <w:sz w:val="21"/>
                <w:szCs w:val="21"/>
              </w:rPr>
            </w:pPr>
          </w:p>
        </w:tc>
        <w:tc>
          <w:tcPr>
            <w:tcW w:w="1276" w:type="dxa"/>
            <w:vMerge w:val="continue"/>
            <w:vAlign w:val="center"/>
          </w:tcPr>
          <w:p w14:paraId="3F5B256F">
            <w:pPr>
              <w:spacing w:line="240" w:lineRule="auto"/>
              <w:ind w:firstLine="0" w:firstLineChars="0"/>
              <w:jc w:val="center"/>
              <w:rPr>
                <w:rFonts w:cs="Times New Roman"/>
                <w:sz w:val="21"/>
                <w:szCs w:val="21"/>
              </w:rPr>
            </w:pPr>
          </w:p>
        </w:tc>
      </w:tr>
      <w:tr w14:paraId="34A6B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9" w:hRule="atLeast"/>
          <w:jc w:val="center"/>
        </w:trPr>
        <w:tc>
          <w:tcPr>
            <w:tcW w:w="846" w:type="dxa"/>
            <w:vMerge w:val="continue"/>
            <w:vAlign w:val="center"/>
          </w:tcPr>
          <w:p w14:paraId="7A76A5E4">
            <w:pPr>
              <w:spacing w:line="240" w:lineRule="auto"/>
              <w:ind w:firstLine="0" w:firstLineChars="0"/>
              <w:jc w:val="center"/>
              <w:rPr>
                <w:rFonts w:cs="Times New Roman"/>
                <w:sz w:val="21"/>
                <w:szCs w:val="21"/>
              </w:rPr>
            </w:pPr>
          </w:p>
        </w:tc>
        <w:tc>
          <w:tcPr>
            <w:tcW w:w="1276" w:type="dxa"/>
            <w:vMerge w:val="continue"/>
            <w:vAlign w:val="center"/>
          </w:tcPr>
          <w:p w14:paraId="34C70F4B">
            <w:pPr>
              <w:spacing w:line="240" w:lineRule="auto"/>
              <w:ind w:firstLine="0" w:firstLineChars="0"/>
              <w:jc w:val="center"/>
              <w:rPr>
                <w:rFonts w:cs="Times New Roman"/>
                <w:sz w:val="21"/>
                <w:szCs w:val="21"/>
              </w:rPr>
            </w:pPr>
          </w:p>
        </w:tc>
        <w:tc>
          <w:tcPr>
            <w:tcW w:w="2268" w:type="dxa"/>
            <w:vAlign w:val="center"/>
          </w:tcPr>
          <w:p w14:paraId="53A286A3">
            <w:pPr>
              <w:spacing w:line="240" w:lineRule="auto"/>
              <w:ind w:firstLine="0" w:firstLineChars="0"/>
              <w:jc w:val="center"/>
              <w:rPr>
                <w:rFonts w:cs="Times New Roman"/>
                <w:sz w:val="21"/>
                <w:szCs w:val="21"/>
              </w:rPr>
            </w:pPr>
            <w:r>
              <w:rPr>
                <w:rFonts w:hint="eastAsia" w:cs="Times New Roman"/>
                <w:sz w:val="21"/>
                <w:szCs w:val="21"/>
              </w:rPr>
              <w:t>T7塔山村</w:t>
            </w:r>
          </w:p>
        </w:tc>
        <w:tc>
          <w:tcPr>
            <w:tcW w:w="2976" w:type="dxa"/>
            <w:vMerge w:val="continue"/>
            <w:vAlign w:val="center"/>
          </w:tcPr>
          <w:p w14:paraId="1D14059E">
            <w:pPr>
              <w:spacing w:line="240" w:lineRule="auto"/>
              <w:ind w:firstLine="0" w:firstLineChars="0"/>
              <w:jc w:val="center"/>
              <w:rPr>
                <w:rFonts w:cs="Times New Roman"/>
                <w:sz w:val="21"/>
                <w:szCs w:val="21"/>
              </w:rPr>
            </w:pPr>
          </w:p>
        </w:tc>
        <w:tc>
          <w:tcPr>
            <w:tcW w:w="1276" w:type="dxa"/>
            <w:vMerge w:val="continue"/>
            <w:vAlign w:val="center"/>
          </w:tcPr>
          <w:p w14:paraId="24282F2E">
            <w:pPr>
              <w:spacing w:line="240" w:lineRule="auto"/>
              <w:ind w:firstLine="0" w:firstLineChars="0"/>
              <w:jc w:val="center"/>
              <w:rPr>
                <w:rFonts w:cs="Times New Roman"/>
                <w:sz w:val="21"/>
                <w:szCs w:val="21"/>
              </w:rPr>
            </w:pPr>
          </w:p>
        </w:tc>
      </w:tr>
      <w:tr w14:paraId="7A6C1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7A6F31AF">
            <w:pPr>
              <w:spacing w:line="240" w:lineRule="auto"/>
              <w:ind w:firstLine="0" w:firstLineChars="0"/>
              <w:jc w:val="center"/>
              <w:rPr>
                <w:rFonts w:cs="Times New Roman"/>
                <w:sz w:val="21"/>
                <w:szCs w:val="21"/>
              </w:rPr>
            </w:pPr>
          </w:p>
        </w:tc>
        <w:tc>
          <w:tcPr>
            <w:tcW w:w="1276" w:type="dxa"/>
            <w:vMerge w:val="continue"/>
            <w:vAlign w:val="center"/>
          </w:tcPr>
          <w:p w14:paraId="16D1EDAE">
            <w:pPr>
              <w:spacing w:line="240" w:lineRule="auto"/>
              <w:ind w:firstLine="0" w:firstLineChars="0"/>
              <w:jc w:val="center"/>
              <w:rPr>
                <w:rFonts w:cs="Times New Roman"/>
                <w:sz w:val="21"/>
                <w:szCs w:val="21"/>
              </w:rPr>
            </w:pPr>
          </w:p>
        </w:tc>
        <w:tc>
          <w:tcPr>
            <w:tcW w:w="2268" w:type="dxa"/>
            <w:vAlign w:val="center"/>
          </w:tcPr>
          <w:p w14:paraId="0E97DD4B">
            <w:pPr>
              <w:spacing w:line="240" w:lineRule="auto"/>
              <w:ind w:firstLine="0" w:firstLineChars="0"/>
              <w:jc w:val="center"/>
              <w:rPr>
                <w:rFonts w:cs="Times New Roman"/>
                <w:sz w:val="21"/>
                <w:szCs w:val="21"/>
              </w:rPr>
            </w:pPr>
            <w:r>
              <w:rPr>
                <w:rFonts w:hint="eastAsia" w:cs="Times New Roman"/>
                <w:sz w:val="21"/>
                <w:szCs w:val="21"/>
              </w:rPr>
              <w:t>T8许庄村</w:t>
            </w:r>
          </w:p>
        </w:tc>
        <w:tc>
          <w:tcPr>
            <w:tcW w:w="2976" w:type="dxa"/>
            <w:vMerge w:val="continue"/>
            <w:vAlign w:val="center"/>
          </w:tcPr>
          <w:p w14:paraId="731138BF">
            <w:pPr>
              <w:spacing w:line="240" w:lineRule="auto"/>
              <w:ind w:firstLine="0" w:firstLineChars="0"/>
              <w:jc w:val="center"/>
              <w:rPr>
                <w:rFonts w:cs="Times New Roman"/>
                <w:sz w:val="21"/>
                <w:szCs w:val="21"/>
              </w:rPr>
            </w:pPr>
          </w:p>
        </w:tc>
        <w:tc>
          <w:tcPr>
            <w:tcW w:w="1276" w:type="dxa"/>
            <w:vMerge w:val="continue"/>
            <w:vAlign w:val="center"/>
          </w:tcPr>
          <w:p w14:paraId="76BAE18F">
            <w:pPr>
              <w:spacing w:line="240" w:lineRule="auto"/>
              <w:ind w:firstLine="0" w:firstLineChars="0"/>
              <w:jc w:val="center"/>
              <w:rPr>
                <w:rFonts w:cs="Times New Roman"/>
                <w:sz w:val="21"/>
                <w:szCs w:val="21"/>
              </w:rPr>
            </w:pPr>
          </w:p>
        </w:tc>
      </w:tr>
      <w:tr w14:paraId="5A495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1F39B187">
            <w:pPr>
              <w:spacing w:line="240" w:lineRule="auto"/>
              <w:ind w:firstLine="0" w:firstLineChars="0"/>
              <w:jc w:val="center"/>
              <w:rPr>
                <w:rFonts w:cs="Times New Roman"/>
                <w:sz w:val="21"/>
                <w:szCs w:val="21"/>
              </w:rPr>
            </w:pPr>
          </w:p>
        </w:tc>
        <w:tc>
          <w:tcPr>
            <w:tcW w:w="1276" w:type="dxa"/>
            <w:vMerge w:val="continue"/>
            <w:vAlign w:val="center"/>
          </w:tcPr>
          <w:p w14:paraId="035C37C7">
            <w:pPr>
              <w:spacing w:line="240" w:lineRule="auto"/>
              <w:ind w:firstLine="0" w:firstLineChars="0"/>
              <w:jc w:val="center"/>
              <w:rPr>
                <w:rFonts w:cs="Times New Roman"/>
                <w:sz w:val="21"/>
                <w:szCs w:val="21"/>
              </w:rPr>
            </w:pPr>
          </w:p>
        </w:tc>
        <w:tc>
          <w:tcPr>
            <w:tcW w:w="2268" w:type="dxa"/>
            <w:vAlign w:val="center"/>
          </w:tcPr>
          <w:p w14:paraId="03D47575">
            <w:pPr>
              <w:spacing w:line="240" w:lineRule="auto"/>
              <w:ind w:firstLine="0" w:firstLineChars="0"/>
              <w:jc w:val="center"/>
              <w:rPr>
                <w:rFonts w:cs="Times New Roman"/>
                <w:sz w:val="21"/>
                <w:szCs w:val="21"/>
              </w:rPr>
            </w:pPr>
            <w:r>
              <w:rPr>
                <w:rFonts w:hint="eastAsia" w:cs="Times New Roman"/>
                <w:sz w:val="21"/>
                <w:szCs w:val="21"/>
              </w:rPr>
              <w:t>T4茅东水库管理所以北农林用地地块</w:t>
            </w:r>
          </w:p>
        </w:tc>
        <w:tc>
          <w:tcPr>
            <w:tcW w:w="2976" w:type="dxa"/>
            <w:vMerge w:val="restart"/>
            <w:vAlign w:val="center"/>
          </w:tcPr>
          <w:p w14:paraId="08AACAC5">
            <w:pPr>
              <w:spacing w:line="240" w:lineRule="auto"/>
              <w:ind w:firstLine="0" w:firstLineChars="0"/>
              <w:jc w:val="center"/>
              <w:rPr>
                <w:rFonts w:cs="Times New Roman"/>
                <w:sz w:val="21"/>
                <w:szCs w:val="21"/>
              </w:rPr>
            </w:pPr>
            <w:r>
              <w:rPr>
                <w:rFonts w:hint="eastAsia" w:cs="Times New Roman"/>
                <w:sz w:val="21"/>
                <w:szCs w:val="21"/>
              </w:rPr>
              <w:t>pH、镉、汞、砷、铅、铬、铜、镍、锌</w:t>
            </w:r>
          </w:p>
        </w:tc>
        <w:tc>
          <w:tcPr>
            <w:tcW w:w="1276" w:type="dxa"/>
            <w:vMerge w:val="continue"/>
            <w:vAlign w:val="center"/>
          </w:tcPr>
          <w:p w14:paraId="1B31A310">
            <w:pPr>
              <w:spacing w:line="240" w:lineRule="auto"/>
              <w:ind w:firstLine="0" w:firstLineChars="0"/>
              <w:jc w:val="center"/>
              <w:rPr>
                <w:rFonts w:cs="Times New Roman"/>
                <w:sz w:val="21"/>
                <w:szCs w:val="21"/>
              </w:rPr>
            </w:pPr>
          </w:p>
        </w:tc>
      </w:tr>
      <w:tr w14:paraId="0BEA7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4AE1A9D0">
            <w:pPr>
              <w:spacing w:line="240" w:lineRule="auto"/>
              <w:ind w:firstLine="0" w:firstLineChars="0"/>
              <w:jc w:val="center"/>
              <w:rPr>
                <w:rFonts w:cs="Times New Roman"/>
                <w:sz w:val="21"/>
                <w:szCs w:val="21"/>
              </w:rPr>
            </w:pPr>
          </w:p>
        </w:tc>
        <w:tc>
          <w:tcPr>
            <w:tcW w:w="1276" w:type="dxa"/>
            <w:vMerge w:val="continue"/>
            <w:vAlign w:val="center"/>
          </w:tcPr>
          <w:p w14:paraId="4E3C6083">
            <w:pPr>
              <w:spacing w:line="240" w:lineRule="auto"/>
              <w:ind w:firstLine="0" w:firstLineChars="0"/>
              <w:jc w:val="center"/>
              <w:rPr>
                <w:rFonts w:cs="Times New Roman"/>
                <w:sz w:val="21"/>
                <w:szCs w:val="21"/>
              </w:rPr>
            </w:pPr>
          </w:p>
        </w:tc>
        <w:tc>
          <w:tcPr>
            <w:tcW w:w="2268" w:type="dxa"/>
            <w:vAlign w:val="center"/>
          </w:tcPr>
          <w:p w14:paraId="7D4F5428">
            <w:pPr>
              <w:spacing w:line="240" w:lineRule="auto"/>
              <w:ind w:firstLine="0" w:firstLineChars="0"/>
              <w:jc w:val="center"/>
              <w:rPr>
                <w:rFonts w:cs="Times New Roman"/>
                <w:sz w:val="21"/>
                <w:szCs w:val="21"/>
              </w:rPr>
            </w:pPr>
            <w:r>
              <w:rPr>
                <w:rFonts w:hint="eastAsia" w:cs="Times New Roman"/>
                <w:sz w:val="21"/>
                <w:szCs w:val="21"/>
              </w:rPr>
              <w:t>T5银发俱乐部以东农林用地地块</w:t>
            </w:r>
          </w:p>
        </w:tc>
        <w:tc>
          <w:tcPr>
            <w:tcW w:w="2976" w:type="dxa"/>
            <w:vMerge w:val="continue"/>
            <w:vAlign w:val="center"/>
          </w:tcPr>
          <w:p w14:paraId="675C892D">
            <w:pPr>
              <w:spacing w:line="240" w:lineRule="auto"/>
              <w:ind w:firstLine="0" w:firstLineChars="0"/>
              <w:jc w:val="center"/>
              <w:rPr>
                <w:rFonts w:cs="Times New Roman"/>
                <w:sz w:val="21"/>
                <w:szCs w:val="21"/>
              </w:rPr>
            </w:pPr>
          </w:p>
        </w:tc>
        <w:tc>
          <w:tcPr>
            <w:tcW w:w="1276" w:type="dxa"/>
            <w:vMerge w:val="continue"/>
            <w:vAlign w:val="center"/>
          </w:tcPr>
          <w:p w14:paraId="64076CEB">
            <w:pPr>
              <w:spacing w:line="240" w:lineRule="auto"/>
              <w:ind w:firstLine="0" w:firstLineChars="0"/>
              <w:jc w:val="center"/>
              <w:rPr>
                <w:rFonts w:cs="Times New Roman"/>
                <w:sz w:val="21"/>
                <w:szCs w:val="21"/>
              </w:rPr>
            </w:pPr>
          </w:p>
        </w:tc>
      </w:tr>
      <w:tr w14:paraId="2F287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3BFC049A">
            <w:pPr>
              <w:spacing w:line="240" w:lineRule="auto"/>
              <w:ind w:firstLine="0" w:firstLineChars="0"/>
              <w:jc w:val="center"/>
              <w:rPr>
                <w:rFonts w:cs="Times New Roman"/>
                <w:sz w:val="21"/>
                <w:szCs w:val="21"/>
              </w:rPr>
            </w:pPr>
          </w:p>
        </w:tc>
        <w:tc>
          <w:tcPr>
            <w:tcW w:w="1276" w:type="dxa"/>
            <w:vMerge w:val="continue"/>
            <w:vAlign w:val="center"/>
          </w:tcPr>
          <w:p w14:paraId="4E49581E">
            <w:pPr>
              <w:spacing w:line="240" w:lineRule="auto"/>
              <w:ind w:firstLine="0" w:firstLineChars="0"/>
              <w:jc w:val="center"/>
              <w:rPr>
                <w:rFonts w:cs="Times New Roman"/>
                <w:sz w:val="21"/>
                <w:szCs w:val="21"/>
              </w:rPr>
            </w:pPr>
          </w:p>
        </w:tc>
        <w:tc>
          <w:tcPr>
            <w:tcW w:w="2268" w:type="dxa"/>
            <w:vAlign w:val="center"/>
          </w:tcPr>
          <w:p w14:paraId="6EC65E5F">
            <w:pPr>
              <w:spacing w:line="240" w:lineRule="auto"/>
              <w:ind w:firstLine="0" w:firstLineChars="0"/>
              <w:jc w:val="center"/>
              <w:rPr>
                <w:rFonts w:cs="Times New Roman"/>
                <w:sz w:val="21"/>
                <w:szCs w:val="21"/>
              </w:rPr>
            </w:pPr>
            <w:r>
              <w:rPr>
                <w:rFonts w:hint="eastAsia" w:cs="Times New Roman"/>
                <w:sz w:val="21"/>
                <w:szCs w:val="21"/>
              </w:rPr>
              <w:t>T6三清观以北农林用地地块</w:t>
            </w:r>
          </w:p>
        </w:tc>
        <w:tc>
          <w:tcPr>
            <w:tcW w:w="2976" w:type="dxa"/>
            <w:vMerge w:val="continue"/>
            <w:vAlign w:val="center"/>
          </w:tcPr>
          <w:p w14:paraId="4B1F5CCB">
            <w:pPr>
              <w:spacing w:line="240" w:lineRule="auto"/>
              <w:ind w:firstLine="0" w:firstLineChars="0"/>
              <w:jc w:val="center"/>
              <w:rPr>
                <w:rFonts w:cs="Times New Roman"/>
                <w:sz w:val="21"/>
                <w:szCs w:val="21"/>
              </w:rPr>
            </w:pPr>
          </w:p>
        </w:tc>
        <w:tc>
          <w:tcPr>
            <w:tcW w:w="1276" w:type="dxa"/>
            <w:vMerge w:val="continue"/>
            <w:vAlign w:val="center"/>
          </w:tcPr>
          <w:p w14:paraId="0D37C25F">
            <w:pPr>
              <w:spacing w:line="240" w:lineRule="auto"/>
              <w:ind w:firstLine="0" w:firstLineChars="0"/>
              <w:jc w:val="center"/>
              <w:rPr>
                <w:rFonts w:cs="Times New Roman"/>
                <w:sz w:val="21"/>
                <w:szCs w:val="21"/>
              </w:rPr>
            </w:pPr>
          </w:p>
        </w:tc>
      </w:tr>
      <w:tr w14:paraId="1E065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846" w:type="dxa"/>
            <w:vMerge w:val="restart"/>
            <w:vAlign w:val="center"/>
          </w:tcPr>
          <w:p w14:paraId="3F316128">
            <w:pPr>
              <w:spacing w:line="240" w:lineRule="auto"/>
              <w:ind w:firstLine="0" w:firstLineChars="0"/>
              <w:jc w:val="center"/>
              <w:rPr>
                <w:rFonts w:cs="Times New Roman"/>
                <w:sz w:val="21"/>
                <w:szCs w:val="21"/>
              </w:rPr>
            </w:pPr>
            <w:r>
              <w:rPr>
                <w:rFonts w:hint="eastAsia" w:cs="Times New Roman"/>
                <w:sz w:val="21"/>
                <w:szCs w:val="21"/>
              </w:rPr>
              <w:t>污染源监测</w:t>
            </w:r>
          </w:p>
        </w:tc>
        <w:tc>
          <w:tcPr>
            <w:tcW w:w="1276" w:type="dxa"/>
            <w:vAlign w:val="center"/>
          </w:tcPr>
          <w:p w14:paraId="646910F3">
            <w:pPr>
              <w:spacing w:line="240" w:lineRule="auto"/>
              <w:ind w:firstLine="0" w:firstLineChars="0"/>
              <w:jc w:val="center"/>
              <w:rPr>
                <w:rFonts w:cs="Times New Roman"/>
                <w:sz w:val="21"/>
                <w:szCs w:val="21"/>
              </w:rPr>
            </w:pPr>
            <w:r>
              <w:rPr>
                <w:rFonts w:hint="eastAsia" w:cs="Times New Roman"/>
                <w:sz w:val="21"/>
                <w:szCs w:val="21"/>
              </w:rPr>
              <w:t>施工场地</w:t>
            </w:r>
          </w:p>
        </w:tc>
        <w:tc>
          <w:tcPr>
            <w:tcW w:w="2268" w:type="dxa"/>
            <w:vAlign w:val="center"/>
          </w:tcPr>
          <w:p w14:paraId="2DBC16D1">
            <w:pPr>
              <w:spacing w:line="240" w:lineRule="auto"/>
              <w:ind w:firstLine="0" w:firstLineChars="0"/>
              <w:jc w:val="center"/>
              <w:rPr>
                <w:rFonts w:cs="Times New Roman"/>
                <w:sz w:val="21"/>
                <w:szCs w:val="21"/>
              </w:rPr>
            </w:pPr>
            <w:r>
              <w:rPr>
                <w:rFonts w:hint="eastAsia" w:cs="Times New Roman"/>
                <w:sz w:val="21"/>
                <w:szCs w:val="21"/>
              </w:rPr>
              <w:t>各施工场地</w:t>
            </w:r>
          </w:p>
        </w:tc>
        <w:tc>
          <w:tcPr>
            <w:tcW w:w="2976" w:type="dxa"/>
            <w:vAlign w:val="center"/>
          </w:tcPr>
          <w:p w14:paraId="23C40FEB">
            <w:pPr>
              <w:spacing w:line="240" w:lineRule="auto"/>
              <w:ind w:firstLine="0" w:firstLineChars="0"/>
              <w:jc w:val="center"/>
              <w:rPr>
                <w:rFonts w:cs="Times New Roman"/>
                <w:sz w:val="21"/>
                <w:szCs w:val="21"/>
              </w:rPr>
            </w:pPr>
            <w:r>
              <w:rPr>
                <w:rFonts w:hint="eastAsia" w:cs="Times New Roman"/>
                <w:sz w:val="21"/>
                <w:szCs w:val="21"/>
              </w:rPr>
              <w:t>扬尘、噪声</w:t>
            </w:r>
          </w:p>
        </w:tc>
        <w:tc>
          <w:tcPr>
            <w:tcW w:w="1276" w:type="dxa"/>
            <w:vAlign w:val="center"/>
          </w:tcPr>
          <w:p w14:paraId="33A3627E">
            <w:pPr>
              <w:spacing w:line="240" w:lineRule="auto"/>
              <w:ind w:firstLine="0" w:firstLineChars="0"/>
              <w:jc w:val="center"/>
              <w:rPr>
                <w:rFonts w:cs="Times New Roman"/>
                <w:sz w:val="21"/>
                <w:szCs w:val="21"/>
              </w:rPr>
            </w:pPr>
            <w:r>
              <w:rPr>
                <w:rFonts w:hint="eastAsia" w:cs="Times New Roman"/>
                <w:sz w:val="21"/>
                <w:szCs w:val="21"/>
              </w:rPr>
              <w:t>施工期</w:t>
            </w:r>
          </w:p>
        </w:tc>
      </w:tr>
      <w:tr w14:paraId="62315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Merge w:val="continue"/>
            <w:vAlign w:val="center"/>
          </w:tcPr>
          <w:p w14:paraId="74571679">
            <w:pPr>
              <w:spacing w:line="240" w:lineRule="auto"/>
              <w:ind w:firstLine="0" w:firstLineChars="0"/>
              <w:jc w:val="center"/>
              <w:rPr>
                <w:rFonts w:cs="Times New Roman"/>
                <w:sz w:val="21"/>
                <w:szCs w:val="21"/>
              </w:rPr>
            </w:pPr>
          </w:p>
        </w:tc>
        <w:tc>
          <w:tcPr>
            <w:tcW w:w="1276" w:type="dxa"/>
            <w:vAlign w:val="center"/>
          </w:tcPr>
          <w:p w14:paraId="4C060569">
            <w:pPr>
              <w:spacing w:line="240" w:lineRule="auto"/>
              <w:ind w:firstLine="0" w:firstLineChars="0"/>
              <w:jc w:val="center"/>
              <w:rPr>
                <w:rFonts w:cs="Times New Roman"/>
                <w:sz w:val="21"/>
                <w:szCs w:val="21"/>
              </w:rPr>
            </w:pPr>
            <w:r>
              <w:rPr>
                <w:rFonts w:hint="eastAsia" w:cs="Times New Roman"/>
                <w:sz w:val="21"/>
                <w:szCs w:val="21"/>
              </w:rPr>
              <w:t>废气排放</w:t>
            </w:r>
          </w:p>
        </w:tc>
        <w:tc>
          <w:tcPr>
            <w:tcW w:w="2268" w:type="dxa"/>
            <w:vAlign w:val="center"/>
          </w:tcPr>
          <w:p w14:paraId="1E0A64E3">
            <w:pPr>
              <w:spacing w:line="240" w:lineRule="auto"/>
              <w:ind w:firstLine="0" w:firstLineChars="0"/>
              <w:jc w:val="center"/>
              <w:rPr>
                <w:rFonts w:cs="Times New Roman"/>
                <w:sz w:val="21"/>
                <w:szCs w:val="21"/>
              </w:rPr>
            </w:pPr>
            <w:r>
              <w:rPr>
                <w:rFonts w:hint="eastAsia" w:cs="Times New Roman"/>
                <w:sz w:val="21"/>
                <w:szCs w:val="21"/>
              </w:rPr>
              <w:t>油烟排放口</w:t>
            </w:r>
          </w:p>
        </w:tc>
        <w:tc>
          <w:tcPr>
            <w:tcW w:w="2976" w:type="dxa"/>
            <w:vAlign w:val="center"/>
          </w:tcPr>
          <w:p w14:paraId="0FCD26D8">
            <w:pPr>
              <w:spacing w:line="240" w:lineRule="auto"/>
              <w:ind w:firstLine="0" w:firstLineChars="0"/>
              <w:jc w:val="center"/>
              <w:rPr>
                <w:rFonts w:cs="Times New Roman"/>
                <w:sz w:val="21"/>
                <w:szCs w:val="21"/>
              </w:rPr>
            </w:pPr>
            <w:r>
              <w:rPr>
                <w:rFonts w:hint="eastAsia" w:cs="Times New Roman"/>
                <w:sz w:val="21"/>
                <w:szCs w:val="21"/>
              </w:rPr>
              <w:t>油烟排放浓度、除油烟设施的去除率</w:t>
            </w:r>
          </w:p>
        </w:tc>
        <w:tc>
          <w:tcPr>
            <w:tcW w:w="1276" w:type="dxa"/>
            <w:vAlign w:val="center"/>
          </w:tcPr>
          <w:p w14:paraId="4C57DFCB">
            <w:pPr>
              <w:spacing w:line="240" w:lineRule="auto"/>
              <w:ind w:firstLine="0" w:firstLineChars="0"/>
              <w:jc w:val="center"/>
              <w:rPr>
                <w:rFonts w:cs="Times New Roman"/>
                <w:sz w:val="21"/>
                <w:szCs w:val="21"/>
              </w:rPr>
            </w:pPr>
            <w:r>
              <w:rPr>
                <w:rFonts w:hint="eastAsia" w:cs="Times New Roman"/>
                <w:sz w:val="21"/>
                <w:szCs w:val="21"/>
              </w:rPr>
              <w:t>1次/季</w:t>
            </w:r>
          </w:p>
        </w:tc>
      </w:tr>
      <w:tr w14:paraId="6021E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1A2A381A">
            <w:pPr>
              <w:spacing w:line="240" w:lineRule="auto"/>
              <w:ind w:firstLine="0" w:firstLineChars="0"/>
              <w:jc w:val="center"/>
              <w:rPr>
                <w:rFonts w:cs="Times New Roman"/>
                <w:sz w:val="21"/>
                <w:szCs w:val="21"/>
              </w:rPr>
            </w:pPr>
            <w:r>
              <w:rPr>
                <w:rFonts w:hint="eastAsia" w:cs="Times New Roman"/>
                <w:sz w:val="21"/>
                <w:szCs w:val="21"/>
              </w:rPr>
              <w:t>生态监测</w:t>
            </w:r>
          </w:p>
        </w:tc>
        <w:tc>
          <w:tcPr>
            <w:tcW w:w="1276" w:type="dxa"/>
            <w:vAlign w:val="center"/>
          </w:tcPr>
          <w:p w14:paraId="60B70AEB">
            <w:pPr>
              <w:spacing w:line="240" w:lineRule="auto"/>
              <w:ind w:firstLine="0" w:firstLineChars="0"/>
              <w:jc w:val="center"/>
              <w:rPr>
                <w:rFonts w:cs="Times New Roman"/>
                <w:sz w:val="21"/>
                <w:szCs w:val="21"/>
              </w:rPr>
            </w:pPr>
            <w:r>
              <w:rPr>
                <w:rFonts w:hint="eastAsia" w:cs="Times New Roman"/>
                <w:sz w:val="21"/>
                <w:szCs w:val="21"/>
              </w:rPr>
              <w:t>动植物</w:t>
            </w:r>
          </w:p>
        </w:tc>
        <w:tc>
          <w:tcPr>
            <w:tcW w:w="2268" w:type="dxa"/>
            <w:vAlign w:val="center"/>
          </w:tcPr>
          <w:p w14:paraId="692AD287">
            <w:pPr>
              <w:spacing w:line="240" w:lineRule="auto"/>
              <w:ind w:firstLine="0" w:firstLineChars="0"/>
              <w:jc w:val="center"/>
              <w:rPr>
                <w:rFonts w:cs="Times New Roman"/>
                <w:sz w:val="21"/>
                <w:szCs w:val="21"/>
              </w:rPr>
            </w:pPr>
            <w:r>
              <w:rPr>
                <w:rFonts w:hint="eastAsia" w:cs="Times New Roman"/>
                <w:sz w:val="21"/>
                <w:szCs w:val="21"/>
              </w:rPr>
              <w:t>以茅东省级森林公园为主的生态空间管控保护区域</w:t>
            </w:r>
          </w:p>
        </w:tc>
        <w:tc>
          <w:tcPr>
            <w:tcW w:w="2976" w:type="dxa"/>
            <w:vAlign w:val="center"/>
          </w:tcPr>
          <w:p w14:paraId="2ADB7A3C">
            <w:pPr>
              <w:spacing w:line="240" w:lineRule="auto"/>
              <w:ind w:firstLine="0" w:firstLineChars="0"/>
              <w:jc w:val="center"/>
              <w:rPr>
                <w:rFonts w:cs="Times New Roman"/>
                <w:sz w:val="21"/>
                <w:szCs w:val="21"/>
              </w:rPr>
            </w:pPr>
            <w:r>
              <w:rPr>
                <w:rFonts w:hint="eastAsia" w:cs="Times New Roman"/>
                <w:sz w:val="21"/>
                <w:szCs w:val="21"/>
              </w:rPr>
              <w:t>生物多样性调查</w:t>
            </w:r>
          </w:p>
        </w:tc>
        <w:tc>
          <w:tcPr>
            <w:tcW w:w="1276" w:type="dxa"/>
            <w:vAlign w:val="center"/>
          </w:tcPr>
          <w:p w14:paraId="40ED0692">
            <w:pPr>
              <w:spacing w:line="240" w:lineRule="auto"/>
              <w:ind w:firstLine="0" w:firstLineChars="0"/>
              <w:jc w:val="center"/>
              <w:rPr>
                <w:rFonts w:cs="Times New Roman"/>
                <w:sz w:val="21"/>
                <w:szCs w:val="21"/>
              </w:rPr>
            </w:pPr>
            <w:r>
              <w:rPr>
                <w:rFonts w:hint="eastAsia" w:cs="Times New Roman"/>
                <w:sz w:val="21"/>
                <w:szCs w:val="21"/>
              </w:rPr>
              <w:t>动物：每5年一次；植物：每3年一次</w:t>
            </w:r>
          </w:p>
        </w:tc>
      </w:tr>
    </w:tbl>
    <w:p w14:paraId="0EAB0007">
      <w:pPr>
        <w:pStyle w:val="3"/>
        <w:ind w:firstLine="0" w:firstLineChars="0"/>
        <w:rPr>
          <w:rFonts w:cs="Times New Roman"/>
        </w:rPr>
      </w:pPr>
      <w:bookmarkStart w:id="149" w:name="_Toc217294086"/>
      <w:r>
        <w:rPr>
          <w:rFonts w:cs="Times New Roman"/>
        </w:rPr>
        <w:t>10.2</w:t>
      </w:r>
      <w:r>
        <w:rPr>
          <w:rFonts w:hint="eastAsia" w:cs="Times New Roman"/>
        </w:rPr>
        <w:t>环境影响跟踪评价计划</w:t>
      </w:r>
      <w:bookmarkEnd w:id="149"/>
    </w:p>
    <w:p w14:paraId="512CC4E3">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w:t>
      </w:r>
      <w:r>
        <w:rPr>
          <w:rFonts w:eastAsia="方正楷体_GBK" w:cs="Times New Roman"/>
          <w:b/>
          <w:bCs/>
          <w:szCs w:val="28"/>
          <w14:ligatures w14:val="none"/>
        </w:rPr>
        <w:t>0.2.1</w:t>
      </w:r>
      <w:r>
        <w:rPr>
          <w:rFonts w:hint="eastAsia" w:eastAsia="方正楷体_GBK" w:cs="Times New Roman"/>
          <w:b/>
          <w:bCs/>
          <w:szCs w:val="28"/>
          <w14:ligatures w14:val="none"/>
        </w:rPr>
        <w:t>评价时段和工作重点</w:t>
      </w:r>
    </w:p>
    <w:p w14:paraId="3D8A2915">
      <w:pPr>
        <w:ind w:firstLine="480"/>
      </w:pPr>
      <w:r>
        <w:rPr>
          <w:rFonts w:hint="eastAsia"/>
        </w:rPr>
        <w:t>为及时了解度假区建设过程中对区域环境造成的影响程度，并及时提出补救方案和措施，度假区管理部门将在度假区规划的实施过程中组织开展环境影响跟踪评价。根据时间跨度，每隔五年进行一次环境影响跟踪评价，主要评价内容应包括以下五个方面：</w:t>
      </w:r>
    </w:p>
    <w:p w14:paraId="7856E4B1">
      <w:pPr>
        <w:ind w:firstLine="480"/>
      </w:pPr>
      <w:r>
        <w:rPr>
          <w:rFonts w:hint="eastAsia"/>
        </w:rPr>
        <w:t>（1）根据原环境影响评价文件中提出的环境目标和评价指标，从大气、地表水、地下水、噪声、土壤、生态等环境要素对度假区的环境影响进行回顾分析，重点对规划实施影响区域的环境质量进行跟踪监测，掌握规划实施区域的环境质量现状及其变化情况，以及对资源能源利用效率和污染物排放强度的变化趋势进行分析评价。度假区环境质量跟踪监测主要包括大气、地表水、地下水、土壤、底泥环境质量和噪声的跟踪监测，具体监测点位、监测频次、监测因子设置参照表1</w:t>
      </w:r>
      <w:r>
        <w:t>0</w:t>
      </w:r>
      <w:r>
        <w:rPr>
          <w:rFonts w:hint="eastAsia"/>
        </w:rPr>
        <w:t>.1-1。</w:t>
      </w:r>
    </w:p>
    <w:p w14:paraId="389040E1">
      <w:pPr>
        <w:ind w:firstLine="480"/>
      </w:pPr>
      <w:r>
        <w:rPr>
          <w:rFonts w:hint="eastAsia"/>
        </w:rPr>
        <w:t>（2）对规划实施后实际产生的大气、地表水、地下水、固废处置的环境影响以及生态影响、环境风险等，与原环境影响评价文件预测可能产生的环境影响进行比较分析和评估，做出相符性判断，相符则维持原环境影响评价文件的预测评估结果，不相符则进行深入的原因分析。</w:t>
      </w:r>
    </w:p>
    <w:p w14:paraId="1115C4D8">
      <w:pPr>
        <w:ind w:firstLine="480"/>
      </w:pPr>
      <w:r>
        <w:rPr>
          <w:rFonts w:hint="eastAsia"/>
        </w:rPr>
        <w:t>（3）分析和评估规划实施中所采取的预防或者减轻不良环境影响的对策措施的有效性，根据环境质量现状和有效性评价结论，重新预测和评估规划尚未实施部分的环境影响，并调整原环境影响评价文件中提出的减缓措施，或者提出新的减缓措施。</w:t>
      </w:r>
    </w:p>
    <w:p w14:paraId="0B2D426D">
      <w:pPr>
        <w:ind w:firstLine="480"/>
      </w:pPr>
      <w:r>
        <w:rPr>
          <w:rFonts w:hint="eastAsia"/>
        </w:rPr>
        <w:t>（4）采用网上公示和现场公众意见问卷调查等形式，调查有关部门、专家和公众对规划实施所产生的环境和生态影响及不良环境或生态影响减缓措施的意见。对于公众参与的意见和建议，已采纳的应在环境影响报告书中明确说明修改的具体内容，不采纳的应说明理由。</w:t>
      </w:r>
    </w:p>
    <w:p w14:paraId="625A0CAA">
      <w:pPr>
        <w:ind w:firstLine="480"/>
      </w:pPr>
      <w:r>
        <w:rPr>
          <w:rFonts w:hint="eastAsia"/>
        </w:rPr>
        <w:t>（5）对照度假区规划、环评及其批复的要求，对度假区的开发强度、产业布局、环境基础设施建设、环境质量变化、污染控制、生态建设、环境风险防范等方面的落实情况给出跟踪评价结论，提出规划方案调整、修改直至终止规划实施的建议，并进一步提出预防或减轻不良环境影响措施的改进意见。</w:t>
      </w:r>
    </w:p>
    <w:p w14:paraId="33A4B106">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w:t>
      </w:r>
      <w:r>
        <w:rPr>
          <w:rFonts w:eastAsia="方正楷体_GBK" w:cs="Times New Roman"/>
          <w:b/>
          <w:bCs/>
          <w:szCs w:val="28"/>
          <w14:ligatures w14:val="none"/>
        </w:rPr>
        <w:t>0.2.2</w:t>
      </w:r>
      <w:r>
        <w:rPr>
          <w:rFonts w:hint="eastAsia" w:eastAsia="方正楷体_GBK" w:cs="Times New Roman"/>
          <w:b/>
          <w:bCs/>
          <w:szCs w:val="28"/>
          <w14:ligatures w14:val="none"/>
        </w:rPr>
        <w:t>组织形式、资金来源和管理要求</w:t>
      </w:r>
    </w:p>
    <w:p w14:paraId="5027EFCC">
      <w:pPr>
        <w:ind w:firstLine="480"/>
      </w:pPr>
      <w:r>
        <w:rPr>
          <w:rFonts w:hint="eastAsia"/>
        </w:rPr>
        <w:t>度假区规划实施过程中，应由度假区管理部门（即江苏省金坛茅山旅游度假区管理办公室）定期组织开展规划的环境影响跟踪评价，编制《江苏常州金坛茅山旅游度假区规划环境影响跟踪评价报告书》，并由生态环境管理部门监督规划环境影响跟踪评价报告书中提出的规划优化调整建议和环境影响减缓措施的实施。开展规划环境影响跟踪评价的资金通过度假区管理部门的财政资金进行落实。</w:t>
      </w:r>
    </w:p>
    <w:p w14:paraId="27273CED">
      <w:pPr>
        <w:pStyle w:val="3"/>
        <w:ind w:firstLine="0" w:firstLineChars="0"/>
        <w:rPr>
          <w:rFonts w:cs="Times New Roman"/>
        </w:rPr>
      </w:pPr>
      <w:bookmarkStart w:id="150" w:name="_Toc217294087"/>
      <w:r>
        <w:rPr>
          <w:rFonts w:cs="Times New Roman"/>
        </w:rPr>
        <w:t>10.3</w:t>
      </w:r>
      <w:r>
        <w:rPr>
          <w:rFonts w:hint="eastAsia" w:cs="Times New Roman"/>
        </w:rPr>
        <w:t>对建设项目环境保护的指导意见</w:t>
      </w:r>
      <w:bookmarkEnd w:id="150"/>
    </w:p>
    <w:p w14:paraId="27592571">
      <w:pPr>
        <w:ind w:firstLine="480"/>
      </w:pPr>
      <w:r>
        <w:rPr>
          <w:rFonts w:hint="eastAsia"/>
        </w:rPr>
        <w:t>度假区规划引进的具体建设项目，应符合环境保护法律法规、相关法定规划和产业政策要求，以及度假区规划产业定位、布局和生态环境准入要求。</w:t>
      </w:r>
    </w:p>
    <w:p w14:paraId="21FE359F">
      <w:pPr>
        <w:ind w:firstLine="480"/>
      </w:pPr>
      <w:r>
        <w:rPr>
          <w:rFonts w:hint="eastAsia"/>
        </w:rPr>
        <w:t>对需办理环评审批手续的入区建设项目，可简化相关评价内容，不再分析规划环评已经论述的相关法律、法规及环保政策，环境现状监测和环境质量现状评价结果可引用规划环评中的有效数据和相关内容（区域环境质量呈下降趋势的除外），简化现状调查和评价内容，并按环评及其批复要求，采取有效地防治环境污染和生态破坏措施，确保污染物达标排放，并自觉接受日常监督管理。对仅需办理环评备案手续或无需办理环评手续的入区建设项目，建设单位在项目建设及运营过程中，应遵守国家及地方的生态环境保护法律、法规、标准和有关技术规范要求，采取有效的防治环境污染和生态破坏措施，确保污染物达标排放，并自觉接受日常监督管理。</w:t>
      </w:r>
    </w:p>
    <w:p w14:paraId="305BD8DF">
      <w:pPr>
        <w:ind w:firstLine="480"/>
      </w:pPr>
      <w:r>
        <w:rPr>
          <w:rFonts w:hint="eastAsia"/>
        </w:rPr>
        <w:t>对于涉及生态保护红线、生态空间管控区域内范围建设的项目，应按照生态保护红线、生态空间管控区域内项目的管控要求，根据项目建设内容的实际范围和实际建设内容，在取得项目建设符合生态保护红线、生态空间管控区内允许开展的有限人为活动认定（论证）意见或不可避让论证意见后方可开展，并在项目建设、土地临时使用过程中严格落实生态环境保护措施，明确节约利用和减缓生态影响措施，并严格落实恢复责任。</w:t>
      </w:r>
    </w:p>
    <w:p w14:paraId="4E9BC11F">
      <w:pPr>
        <w:pStyle w:val="2"/>
        <w:ind w:firstLine="0" w:firstLineChars="0"/>
      </w:pPr>
      <w:bookmarkStart w:id="151" w:name="_Toc217294088"/>
      <w:r>
        <w:t>11</w:t>
      </w:r>
      <w:r>
        <w:rPr>
          <w:rFonts w:hint="eastAsia"/>
        </w:rPr>
        <w:t>度假区环境管理与环境准入</w:t>
      </w:r>
      <w:bookmarkEnd w:id="151"/>
    </w:p>
    <w:p w14:paraId="484CA17F">
      <w:pPr>
        <w:pStyle w:val="3"/>
        <w:spacing w:before="120" w:after="120"/>
        <w:ind w:firstLine="0" w:firstLineChars="0"/>
        <w:rPr>
          <w:rFonts w:cs="Times New Roman"/>
        </w:rPr>
      </w:pPr>
      <w:bookmarkStart w:id="152" w:name="_Toc217294089"/>
      <w:r>
        <w:rPr>
          <w:rFonts w:cs="Times New Roman"/>
        </w:rPr>
        <w:t>11.1</w:t>
      </w:r>
      <w:r>
        <w:rPr>
          <w:rFonts w:hint="eastAsia" w:cs="Times New Roman"/>
        </w:rPr>
        <w:t>度假区环境管理方案</w:t>
      </w:r>
      <w:bookmarkEnd w:id="152"/>
    </w:p>
    <w:p w14:paraId="3EDC59CE">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w:t>
      </w:r>
      <w:r>
        <w:rPr>
          <w:rFonts w:eastAsia="方正楷体_GBK" w:cs="Times New Roman"/>
          <w:b/>
          <w:bCs/>
          <w:szCs w:val="28"/>
          <w14:ligatures w14:val="none"/>
        </w:rPr>
        <w:t>1.1.1</w:t>
      </w:r>
      <w:r>
        <w:rPr>
          <w:rFonts w:hint="eastAsia" w:eastAsia="方正楷体_GBK" w:cs="Times New Roman"/>
          <w:b/>
          <w:bCs/>
          <w:szCs w:val="28"/>
          <w14:ligatures w14:val="none"/>
        </w:rPr>
        <w:t>环境管理目标</w:t>
      </w:r>
    </w:p>
    <w:p w14:paraId="266E176B">
      <w:pPr>
        <w:ind w:firstLine="480"/>
      </w:pPr>
      <w:r>
        <w:rPr>
          <w:rFonts w:hint="eastAsia"/>
        </w:rPr>
        <w:t>通过环境管理，使江苏金坛茅山旅游度假区的建设符合相关规划的要求。使环保措施得以具体落实，让地方生态环境部门具有监督的依据。通过环保防治措施的实施管理，把度假区施工期和营运期给环境带来的不利影响减轻到最低的程度，使度假区得以可持续地发展。</w:t>
      </w:r>
    </w:p>
    <w:p w14:paraId="688526B4">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w:t>
      </w:r>
      <w:r>
        <w:rPr>
          <w:rFonts w:eastAsia="方正楷体_GBK" w:cs="Times New Roman"/>
          <w:b/>
          <w:bCs/>
          <w:szCs w:val="28"/>
          <w14:ligatures w14:val="none"/>
        </w:rPr>
        <w:t>1.1.2</w:t>
      </w:r>
      <w:r>
        <w:rPr>
          <w:rFonts w:hint="eastAsia" w:eastAsia="方正楷体_GBK" w:cs="Times New Roman"/>
          <w:b/>
          <w:bCs/>
          <w:szCs w:val="28"/>
          <w14:ligatures w14:val="none"/>
        </w:rPr>
        <w:t>环境管理内容</w:t>
      </w:r>
    </w:p>
    <w:p w14:paraId="572AC87E">
      <w:pPr>
        <w:ind w:firstLine="480"/>
      </w:pPr>
      <w:r>
        <w:rPr>
          <w:rFonts w:hint="eastAsia"/>
        </w:rPr>
        <w:t>在度假区的管理机构设置中设置专职环境保护岗位，人数不少于2人。其具体职责为：</w:t>
      </w:r>
    </w:p>
    <w:p w14:paraId="1F5A6257">
      <w:pPr>
        <w:ind w:firstLine="480"/>
      </w:pPr>
      <w:r>
        <w:rPr>
          <w:rFonts w:hint="eastAsia"/>
        </w:rPr>
        <w:t>（1）确保施工过程中各项环境影响减缓措施落实到位，避免施工期污染物排入周边水体；</w:t>
      </w:r>
    </w:p>
    <w:p w14:paraId="697B71E7">
      <w:pPr>
        <w:ind w:firstLine="480"/>
      </w:pPr>
      <w:r>
        <w:rPr>
          <w:rFonts w:hint="eastAsia"/>
        </w:rPr>
        <w:t>（2）对施工队伍环境保护工作提出具体要求，并制定具体的监督考核计划；</w:t>
      </w:r>
    </w:p>
    <w:p w14:paraId="3FCDA401">
      <w:pPr>
        <w:ind w:firstLine="480"/>
      </w:pPr>
      <w:r>
        <w:rPr>
          <w:rFonts w:hint="eastAsia"/>
        </w:rPr>
        <w:t>（3）对新入场施工人员进行环保培训、考核，成绩合格者方可入场施工；</w:t>
      </w:r>
    </w:p>
    <w:p w14:paraId="4F198238">
      <w:pPr>
        <w:ind w:firstLine="480"/>
      </w:pPr>
      <w:r>
        <w:rPr>
          <w:rFonts w:hint="eastAsia"/>
        </w:rPr>
        <w:t>（4）确保规划实施过程中各项环境影响减缓措施落实到位，并监督污染治理设施的正常运行；</w:t>
      </w:r>
    </w:p>
    <w:p w14:paraId="20A57F9A">
      <w:pPr>
        <w:ind w:firstLine="480"/>
      </w:pPr>
      <w:r>
        <w:rPr>
          <w:rFonts w:hint="eastAsia"/>
        </w:rPr>
        <w:t>（5）对区域内管理机构、各经营单位、度假区以及居民区环境保护工作提出具体要求，并制定具体的监督考核计划；</w:t>
      </w:r>
    </w:p>
    <w:p w14:paraId="081D07F2">
      <w:pPr>
        <w:ind w:firstLine="480"/>
      </w:pPr>
      <w:r>
        <w:rPr>
          <w:rFonts w:hint="eastAsia"/>
        </w:rPr>
        <w:t>（6）负责区域内所有与环境保护有关的其他各项事宜。</w:t>
      </w:r>
    </w:p>
    <w:p w14:paraId="5CC68FF3">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w:t>
      </w:r>
      <w:r>
        <w:rPr>
          <w:rFonts w:eastAsia="方正楷体_GBK" w:cs="Times New Roman"/>
          <w:b/>
          <w:bCs/>
          <w:szCs w:val="28"/>
          <w14:ligatures w14:val="none"/>
        </w:rPr>
        <w:t>1.1.3</w:t>
      </w:r>
      <w:r>
        <w:rPr>
          <w:rFonts w:hint="eastAsia" w:eastAsia="方正楷体_GBK" w:cs="Times New Roman"/>
          <w:b/>
          <w:bCs/>
          <w:szCs w:val="28"/>
          <w14:ligatures w14:val="none"/>
        </w:rPr>
        <w:t>环境管理建设方案</w:t>
      </w:r>
    </w:p>
    <w:p w14:paraId="488D5097">
      <w:pPr>
        <w:ind w:firstLine="480"/>
      </w:pPr>
      <w:r>
        <w:rPr>
          <w:rFonts w:hint="eastAsia"/>
        </w:rPr>
        <w:t>本次评价对江苏省金坛茅山旅游度假区管理办公室环境管理能力建设方面提出进一步的优化建设方案，具体如下：</w:t>
      </w:r>
    </w:p>
    <w:p w14:paraId="70599F99">
      <w:pPr>
        <w:pStyle w:val="39"/>
        <w:numPr>
          <w:ilvl w:val="0"/>
          <w:numId w:val="24"/>
        </w:numPr>
        <w:ind w:firstLineChars="0"/>
      </w:pPr>
      <w:r>
        <w:rPr>
          <w:rFonts w:hint="eastAsia"/>
        </w:rPr>
        <w:t>完善环境管理体系</w:t>
      </w:r>
    </w:p>
    <w:p w14:paraId="394C9C41">
      <w:pPr>
        <w:ind w:firstLine="480"/>
      </w:pPr>
      <w:r>
        <w:rPr>
          <w:rFonts w:hint="eastAsia"/>
        </w:rPr>
        <w:t>建议度假区根据国家、江苏省和常州市现行的环保法律法规、政策、制度，结合本地区实际情况，制定适合度假区经济发展和环境管理需要的环境保护要求，包括实行严格的项目审批制度、切实落实环境保护目标责任制、健全污染治理设施管理制度、制定环保奖惩制度等，规范度假区在环境保护、污染防治等方面的行为，实现度假区可持续发展的目标。</w:t>
      </w:r>
    </w:p>
    <w:p w14:paraId="4B134434">
      <w:pPr>
        <w:ind w:firstLine="480"/>
      </w:pPr>
      <w:r>
        <w:rPr>
          <w:rFonts w:hint="eastAsia"/>
        </w:rPr>
        <w:t>（2）加强环境信息公开</w:t>
      </w:r>
    </w:p>
    <w:p w14:paraId="3D2C4985">
      <w:pPr>
        <w:ind w:firstLine="480"/>
      </w:pPr>
      <w:r>
        <w:rPr>
          <w:rFonts w:hint="eastAsia"/>
        </w:rPr>
        <w:t>建议度假区定期（如年度）编制区域环境状况报告书，并及时向社会发布本区域的环境质量状况，充分尊重公众的环境知情权，鼓励公众参与、监督度假区的环境管理。在实施信息公开的基础上，增强公众环境意识，收集公众对度假区环境、项目环境行为等各方面的反馈意见，在环境管理、政策制定时重视公众的意见和要求，保证度假区走可持续发展的道路。</w:t>
      </w:r>
    </w:p>
    <w:p w14:paraId="670D49DB">
      <w:pPr>
        <w:ind w:firstLine="480"/>
      </w:pPr>
      <w:r>
        <w:rPr>
          <w:rFonts w:hint="eastAsia"/>
        </w:rPr>
        <w:t>（3）加强生态空间保护区域和自然保护地监督管理</w:t>
      </w:r>
    </w:p>
    <w:p w14:paraId="03D74EE6">
      <w:pPr>
        <w:ind w:firstLine="480"/>
      </w:pPr>
      <w:r>
        <w:rPr>
          <w:rFonts w:hint="eastAsia"/>
        </w:rPr>
        <w:t>建议度假区定期开展生态空间保护区域和自然保护地生态破坏问题监督与自查，及时发现并整改生态空间保护区域内违法违规开发建设和</w:t>
      </w:r>
    </w:p>
    <w:p w14:paraId="75FA7617">
      <w:pPr>
        <w:ind w:firstLine="480"/>
      </w:pPr>
      <w:r>
        <w:rPr>
          <w:rFonts w:hint="eastAsia"/>
        </w:rPr>
        <w:t>严格落实国家、江苏省和常州市现行的生态保护区域监督管理办法和相关政策、制度要求，以生态保护为重点，不开展有损区域主导生态功能的开发建设活动，不得随意占用和调整生态保护区域，对不同类型和保护对象，实行共同与差别化的管控措施，确保生态空间管控区域“功能不降低、面积不减少、性质不改变”。</w:t>
      </w:r>
    </w:p>
    <w:p w14:paraId="24913476">
      <w:pPr>
        <w:pStyle w:val="3"/>
        <w:spacing w:before="120" w:after="120"/>
        <w:ind w:firstLine="0" w:firstLineChars="0"/>
        <w:rPr>
          <w:rFonts w:cs="Times New Roman"/>
        </w:rPr>
      </w:pPr>
      <w:bookmarkStart w:id="153" w:name="_Toc217294090"/>
      <w:r>
        <w:rPr>
          <w:rFonts w:cs="Times New Roman"/>
        </w:rPr>
        <w:t>11.2</w:t>
      </w:r>
      <w:r>
        <w:rPr>
          <w:rFonts w:hint="eastAsia" w:cs="Times New Roman"/>
        </w:rPr>
        <w:t>度假区环境准入</w:t>
      </w:r>
      <w:bookmarkEnd w:id="153"/>
    </w:p>
    <w:p w14:paraId="7196601E">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11</w:t>
      </w:r>
      <w:r>
        <w:rPr>
          <w:rFonts w:eastAsia="方正楷体_GBK" w:cs="Times New Roman"/>
          <w:b/>
          <w:bCs/>
          <w:szCs w:val="28"/>
          <w14:ligatures w14:val="none"/>
        </w:rPr>
        <w:t>.2.</w:t>
      </w:r>
      <w:r>
        <w:rPr>
          <w:rFonts w:hint="eastAsia" w:eastAsia="方正楷体_GBK" w:cs="Times New Roman"/>
          <w:b/>
          <w:bCs/>
          <w:szCs w:val="28"/>
          <w14:ligatures w14:val="none"/>
        </w:rPr>
        <w:t>1度假区环境管控分区细化</w:t>
      </w:r>
    </w:p>
    <w:p w14:paraId="30F24327">
      <w:pPr>
        <w:ind w:firstLine="480"/>
      </w:pPr>
      <w:r>
        <w:rPr>
          <w:rFonts w:hint="eastAsia"/>
        </w:rPr>
        <w:t>根据《关于印发〈常州市“三线一单”生态环境分区管控实施方案〉的通知》（常环〔2020〕95号）及2023年动态更新发布成功，常州市全市共划定环境管控单元180个，分为优先保护单元、重点管控单元和一般管控单元三类，实施分类管控；全市划分优先保护单元56个，重点管控单元83个，一般管控单元41个。度假区范围内涉及的江苏常州金坛茅东省级森林公园（原“茅东省级森林公园”“茅山省级风景名胜区（金坛区）”整合优化后）、茅东山地水源涵养区、四棚洼生态公益林、方山（金坛区）森林公园、向阳水库水源涵养区为优先保护单元，其他规划范围属于一般管控单元。</w:t>
      </w:r>
    </w:p>
    <w:p w14:paraId="59070A81">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11</w:t>
      </w:r>
      <w:r>
        <w:rPr>
          <w:rFonts w:eastAsia="方正楷体_GBK" w:cs="Times New Roman"/>
          <w:b/>
          <w:bCs/>
          <w:szCs w:val="28"/>
          <w14:ligatures w14:val="none"/>
        </w:rPr>
        <w:t>.2.</w:t>
      </w:r>
      <w:r>
        <w:rPr>
          <w:rFonts w:hint="eastAsia" w:eastAsia="方正楷体_GBK" w:cs="Times New Roman"/>
          <w:b/>
          <w:bCs/>
          <w:szCs w:val="28"/>
          <w14:ligatures w14:val="none"/>
        </w:rPr>
        <w:t>2分区环境管控要求</w:t>
      </w:r>
    </w:p>
    <w:p w14:paraId="7E2AE0CF">
      <w:pPr>
        <w:ind w:firstLine="0" w:firstLineChars="0"/>
        <w:outlineLvl w:val="3"/>
        <w:rPr>
          <w:b/>
          <w:bCs/>
        </w:rPr>
      </w:pPr>
      <w:r>
        <w:rPr>
          <w:rFonts w:hint="eastAsia"/>
          <w:b/>
          <w:bCs/>
        </w:rPr>
        <w:t>11</w:t>
      </w:r>
      <w:r>
        <w:rPr>
          <w:b/>
          <w:bCs/>
        </w:rPr>
        <w:t>.2.</w:t>
      </w:r>
      <w:r>
        <w:rPr>
          <w:rFonts w:hint="eastAsia"/>
          <w:b/>
          <w:bCs/>
        </w:rPr>
        <w:t>2</w:t>
      </w:r>
      <w:r>
        <w:rPr>
          <w:b/>
          <w:bCs/>
        </w:rPr>
        <w:t>.1</w:t>
      </w:r>
      <w:r>
        <w:rPr>
          <w:rFonts w:hint="eastAsia"/>
          <w:b/>
          <w:bCs/>
        </w:rPr>
        <w:t>生态保护红线</w:t>
      </w:r>
    </w:p>
    <w:p w14:paraId="4DFF5F42">
      <w:pPr>
        <w:pStyle w:val="60"/>
        <w:ind w:firstLine="482"/>
        <w:rPr>
          <w:b/>
          <w:sz w:val="24"/>
          <w:szCs w:val="22"/>
        </w:rPr>
      </w:pPr>
      <w:r>
        <w:rPr>
          <w:rFonts w:hint="eastAsia"/>
          <w:b/>
          <w:sz w:val="24"/>
          <w:szCs w:val="22"/>
        </w:rPr>
        <w:t>（</w:t>
      </w:r>
      <w:r>
        <w:rPr>
          <w:b/>
          <w:sz w:val="24"/>
          <w:szCs w:val="22"/>
        </w:rPr>
        <w:t>1</w:t>
      </w:r>
      <w:r>
        <w:rPr>
          <w:rFonts w:hint="eastAsia"/>
          <w:b/>
          <w:sz w:val="24"/>
          <w:szCs w:val="22"/>
        </w:rPr>
        <w:t>）生态保护红线区域</w:t>
      </w:r>
    </w:p>
    <w:p w14:paraId="58F63CC5">
      <w:pPr>
        <w:ind w:firstLine="480"/>
        <w:sectPr>
          <w:pgSz w:w="11906" w:h="16838"/>
          <w:pgMar w:top="1440" w:right="1800" w:bottom="1440" w:left="1800" w:header="851" w:footer="992" w:gutter="0"/>
          <w:cols w:space="425" w:num="1"/>
          <w:docGrid w:type="lines" w:linePitch="312" w:charSpace="0"/>
        </w:sectPr>
      </w:pPr>
      <w:r>
        <w:rPr>
          <w:rFonts w:hint="eastAsia"/>
        </w:rPr>
        <w:t>根据《省政府关于印发江苏省国家级生态保护红线规划的通知》（苏政发〔2018〕74号）、《省政府关于印发江苏省生态空间管控区域规划的通知》（苏政发〔2020〕1号）及自然资源部办公厅“三区三线”划定、常州市“三线一单”生态环境分区管控等相关成果，度假区本轮规划范围涉及生态保护红线区域、生态空间管控区域，具体见表11.</w:t>
      </w:r>
      <w:r>
        <w:t>2</w:t>
      </w:r>
      <w:r>
        <w:rPr>
          <w:rFonts w:hint="eastAsia"/>
        </w:rPr>
        <w:t>-1。</w:t>
      </w:r>
    </w:p>
    <w:p w14:paraId="79862A94">
      <w:pPr>
        <w:pStyle w:val="45"/>
        <w:rPr>
          <w:rFonts w:cs="Times New Roman"/>
        </w:rPr>
      </w:pPr>
      <w:r>
        <w:rPr>
          <w:rFonts w:hint="eastAsia" w:cs="Times New Roman"/>
        </w:rPr>
        <w:t>表11</w:t>
      </w:r>
      <w:r>
        <w:rPr>
          <w:rFonts w:cs="Times New Roman"/>
        </w:rPr>
        <w:t>.2</w:t>
      </w:r>
      <w:r>
        <w:rPr>
          <w:rFonts w:hint="eastAsia" w:cs="Times New Roman"/>
        </w:rPr>
        <w:t xml:space="preserve">-1 </w:t>
      </w:r>
      <w:r>
        <w:rPr>
          <w:rFonts w:cs="Times New Roman"/>
        </w:rPr>
        <w:t xml:space="preserve"> </w:t>
      </w:r>
      <w:r>
        <w:rPr>
          <w:rFonts w:hint="eastAsia" w:cs="Times New Roman"/>
        </w:rPr>
        <w:t>度假区生态保护红线、生态空间管控区域名称一览表</w:t>
      </w:r>
    </w:p>
    <w:tbl>
      <w:tblPr>
        <w:tblStyle w:val="25"/>
        <w:tblW w:w="53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5"/>
        <w:gridCol w:w="1114"/>
        <w:gridCol w:w="950"/>
        <w:gridCol w:w="1917"/>
        <w:gridCol w:w="2189"/>
        <w:gridCol w:w="1426"/>
        <w:gridCol w:w="1440"/>
        <w:gridCol w:w="1139"/>
        <w:gridCol w:w="1170"/>
        <w:gridCol w:w="2946"/>
      </w:tblGrid>
      <w:tr w14:paraId="2AA94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52" w:type="pct"/>
            <w:gridSpan w:val="2"/>
            <w:vMerge w:val="restart"/>
            <w:vAlign w:val="center"/>
          </w:tcPr>
          <w:p w14:paraId="2B1C67E1">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生态空间保护区域名称</w:t>
            </w:r>
          </w:p>
        </w:tc>
        <w:tc>
          <w:tcPr>
            <w:tcW w:w="313" w:type="pct"/>
            <w:vMerge w:val="restart"/>
            <w:vAlign w:val="center"/>
          </w:tcPr>
          <w:p w14:paraId="7BC9DCCE">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主导生态功能</w:t>
            </w:r>
          </w:p>
        </w:tc>
        <w:tc>
          <w:tcPr>
            <w:tcW w:w="1354" w:type="pct"/>
            <w:gridSpan w:val="2"/>
            <w:vAlign w:val="center"/>
          </w:tcPr>
          <w:p w14:paraId="0A28C246">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范围</w:t>
            </w:r>
          </w:p>
        </w:tc>
        <w:tc>
          <w:tcPr>
            <w:tcW w:w="945" w:type="pct"/>
            <w:gridSpan w:val="2"/>
            <w:vAlign w:val="center"/>
          </w:tcPr>
          <w:p w14:paraId="58B1BF96">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面积</w:t>
            </w:r>
          </w:p>
        </w:tc>
        <w:tc>
          <w:tcPr>
            <w:tcW w:w="762" w:type="pct"/>
            <w:gridSpan w:val="2"/>
            <w:tcBorders>
              <w:right w:val="single" w:color="auto" w:sz="4" w:space="0"/>
            </w:tcBorders>
            <w:noWrap/>
            <w:vAlign w:val="center"/>
          </w:tcPr>
          <w:p w14:paraId="360FB443">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相对位置</w:t>
            </w:r>
          </w:p>
        </w:tc>
        <w:tc>
          <w:tcPr>
            <w:tcW w:w="971" w:type="pct"/>
            <w:vMerge w:val="restart"/>
            <w:tcBorders>
              <w:top w:val="single" w:color="auto" w:sz="4" w:space="0"/>
              <w:left w:val="single" w:color="auto" w:sz="4" w:space="0"/>
              <w:bottom w:val="single" w:color="auto" w:sz="4" w:space="0"/>
              <w:right w:val="single" w:color="auto" w:sz="4" w:space="0"/>
            </w:tcBorders>
            <w:vAlign w:val="center"/>
          </w:tcPr>
          <w:p w14:paraId="13832EDB">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管控要求</w:t>
            </w:r>
          </w:p>
        </w:tc>
      </w:tr>
      <w:tr w14:paraId="68873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52" w:type="pct"/>
            <w:gridSpan w:val="2"/>
            <w:vMerge w:val="continue"/>
            <w:vAlign w:val="center"/>
          </w:tcPr>
          <w:p w14:paraId="3B8C5FF3">
            <w:pPr>
              <w:spacing w:line="240" w:lineRule="auto"/>
              <w:ind w:firstLine="0" w:firstLineChars="0"/>
              <w:jc w:val="center"/>
              <w:rPr>
                <w:rFonts w:cs="Times New Roman"/>
                <w:b/>
                <w:sz w:val="21"/>
                <w:szCs w:val="21"/>
                <w14:ligatures w14:val="none"/>
              </w:rPr>
            </w:pPr>
          </w:p>
        </w:tc>
        <w:tc>
          <w:tcPr>
            <w:tcW w:w="313" w:type="pct"/>
            <w:vMerge w:val="continue"/>
            <w:vAlign w:val="center"/>
          </w:tcPr>
          <w:p w14:paraId="1349AFF7">
            <w:pPr>
              <w:spacing w:line="240" w:lineRule="auto"/>
              <w:ind w:firstLine="0" w:firstLineChars="0"/>
              <w:jc w:val="center"/>
              <w:rPr>
                <w:rFonts w:cs="Times New Roman"/>
                <w:b/>
                <w:sz w:val="21"/>
                <w:szCs w:val="21"/>
                <w14:ligatures w14:val="none"/>
              </w:rPr>
            </w:pPr>
          </w:p>
        </w:tc>
        <w:tc>
          <w:tcPr>
            <w:tcW w:w="632" w:type="pct"/>
            <w:vAlign w:val="center"/>
          </w:tcPr>
          <w:p w14:paraId="0CF06389">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国家级生态保护红线范围</w:t>
            </w:r>
          </w:p>
        </w:tc>
        <w:tc>
          <w:tcPr>
            <w:tcW w:w="722" w:type="pct"/>
            <w:vAlign w:val="center"/>
          </w:tcPr>
          <w:p w14:paraId="7D273936">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生态空间管控区域范围</w:t>
            </w:r>
          </w:p>
        </w:tc>
        <w:tc>
          <w:tcPr>
            <w:tcW w:w="470" w:type="pct"/>
            <w:vAlign w:val="center"/>
          </w:tcPr>
          <w:p w14:paraId="64CAC088">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国家级生态保护红线范围（km</w:t>
            </w:r>
            <w:r>
              <w:rPr>
                <w:rFonts w:hint="eastAsia" w:cs="Times New Roman"/>
                <w:b/>
                <w:sz w:val="21"/>
                <w:szCs w:val="21"/>
                <w:vertAlign w:val="superscript"/>
                <w14:ligatures w14:val="none"/>
              </w:rPr>
              <w:t>2</w:t>
            </w:r>
            <w:r>
              <w:rPr>
                <w:rFonts w:hint="eastAsia" w:cs="Times New Roman"/>
                <w:b/>
                <w:sz w:val="21"/>
                <w:szCs w:val="21"/>
                <w14:ligatures w14:val="none"/>
              </w:rPr>
              <w:t>）</w:t>
            </w:r>
          </w:p>
        </w:tc>
        <w:tc>
          <w:tcPr>
            <w:tcW w:w="475" w:type="pct"/>
            <w:vAlign w:val="center"/>
          </w:tcPr>
          <w:p w14:paraId="5148FB3F">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生态空间管控区域范围（km</w:t>
            </w:r>
            <w:r>
              <w:rPr>
                <w:rFonts w:hint="eastAsia" w:cs="Times New Roman"/>
                <w:b/>
                <w:sz w:val="21"/>
                <w:szCs w:val="21"/>
                <w:vertAlign w:val="superscript"/>
                <w14:ligatures w14:val="none"/>
              </w:rPr>
              <w:t>2</w:t>
            </w:r>
            <w:r>
              <w:rPr>
                <w:rFonts w:hint="eastAsia" w:cs="Times New Roman"/>
                <w:b/>
                <w:sz w:val="21"/>
                <w:szCs w:val="21"/>
                <w14:ligatures w14:val="none"/>
              </w:rPr>
              <w:t>）</w:t>
            </w:r>
          </w:p>
        </w:tc>
        <w:tc>
          <w:tcPr>
            <w:tcW w:w="376" w:type="pct"/>
            <w:noWrap/>
            <w:vAlign w:val="center"/>
          </w:tcPr>
          <w:p w14:paraId="77DB718E">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方位</w:t>
            </w:r>
          </w:p>
        </w:tc>
        <w:tc>
          <w:tcPr>
            <w:tcW w:w="386" w:type="pct"/>
            <w:tcBorders>
              <w:right w:val="single" w:color="auto" w:sz="4" w:space="0"/>
            </w:tcBorders>
            <w:noWrap/>
            <w:vAlign w:val="center"/>
          </w:tcPr>
          <w:p w14:paraId="38A05457">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最近距离</w:t>
            </w:r>
          </w:p>
          <w:p w14:paraId="79D05BE7">
            <w:pPr>
              <w:spacing w:line="240" w:lineRule="auto"/>
              <w:ind w:firstLine="0" w:firstLineChars="0"/>
              <w:jc w:val="center"/>
              <w:rPr>
                <w:rFonts w:cs="Times New Roman"/>
                <w:b/>
                <w:sz w:val="21"/>
                <w:szCs w:val="21"/>
                <w14:ligatures w14:val="none"/>
              </w:rPr>
            </w:pPr>
            <w:r>
              <w:rPr>
                <w:rFonts w:hint="eastAsia" w:cs="Times New Roman"/>
                <w:b/>
                <w:sz w:val="21"/>
                <w:szCs w:val="21"/>
                <w14:ligatures w14:val="none"/>
              </w:rPr>
              <w:t>（m）</w:t>
            </w:r>
          </w:p>
        </w:tc>
        <w:tc>
          <w:tcPr>
            <w:tcW w:w="971" w:type="pct"/>
            <w:vMerge w:val="continue"/>
            <w:tcBorders>
              <w:top w:val="single" w:color="auto" w:sz="4" w:space="0"/>
              <w:left w:val="single" w:color="auto" w:sz="4" w:space="0"/>
              <w:bottom w:val="single" w:color="auto" w:sz="4" w:space="0"/>
              <w:right w:val="single" w:color="auto" w:sz="4" w:space="0"/>
            </w:tcBorders>
            <w:vAlign w:val="center"/>
          </w:tcPr>
          <w:p w14:paraId="4962A600">
            <w:pPr>
              <w:spacing w:line="240" w:lineRule="auto"/>
              <w:ind w:firstLine="0" w:firstLineChars="0"/>
              <w:jc w:val="center"/>
              <w:rPr>
                <w:rFonts w:cs="Times New Roman"/>
                <w:sz w:val="21"/>
                <w:szCs w:val="21"/>
                <w14:ligatures w14:val="none"/>
              </w:rPr>
            </w:pPr>
          </w:p>
        </w:tc>
      </w:tr>
      <w:tr w14:paraId="541D2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1" w:hRule="atLeast"/>
          <w:jc w:val="center"/>
        </w:trPr>
        <w:tc>
          <w:tcPr>
            <w:tcW w:w="285" w:type="pct"/>
            <w:vMerge w:val="restart"/>
            <w:vAlign w:val="center"/>
          </w:tcPr>
          <w:p w14:paraId="271E119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江苏常州金坛茅东省级森林公园</w:t>
            </w:r>
            <w:r>
              <w:rPr>
                <w:rFonts w:hint="eastAsia" w:cs="Times New Roman"/>
                <w:sz w:val="21"/>
                <w:szCs w:val="21"/>
                <w:vertAlign w:val="superscript"/>
                <w14:ligatures w14:val="none"/>
              </w:rPr>
              <w:t>[1]</w:t>
            </w:r>
          </w:p>
        </w:tc>
        <w:tc>
          <w:tcPr>
            <w:tcW w:w="367" w:type="pct"/>
            <w:vAlign w:val="center"/>
          </w:tcPr>
          <w:p w14:paraId="479611F1">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茅东省级森林公园</w:t>
            </w:r>
          </w:p>
        </w:tc>
        <w:tc>
          <w:tcPr>
            <w:tcW w:w="313" w:type="pct"/>
            <w:vAlign w:val="center"/>
          </w:tcPr>
          <w:p w14:paraId="633B31F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自然与人文景观保护</w:t>
            </w:r>
          </w:p>
        </w:tc>
        <w:tc>
          <w:tcPr>
            <w:tcW w:w="632" w:type="pct"/>
            <w:vAlign w:val="center"/>
          </w:tcPr>
          <w:p w14:paraId="70F82A9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茅东省级森林公园总体规划中确定的范围（包括生态保育区和核心景观区等）</w:t>
            </w:r>
          </w:p>
        </w:tc>
        <w:tc>
          <w:tcPr>
            <w:tcW w:w="722" w:type="pct"/>
            <w:vAlign w:val="center"/>
          </w:tcPr>
          <w:p w14:paraId="7B86D19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470" w:type="pct"/>
            <w:vMerge w:val="restart"/>
            <w:vAlign w:val="center"/>
          </w:tcPr>
          <w:p w14:paraId="7E23C66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18.978</w:t>
            </w:r>
            <w:r>
              <w:rPr>
                <w:rFonts w:hint="eastAsia" w:cs="Times New Roman"/>
                <w:sz w:val="21"/>
                <w:szCs w:val="21"/>
                <w:vertAlign w:val="superscript"/>
                <w14:ligatures w14:val="none"/>
              </w:rPr>
              <w:t>[1]</w:t>
            </w:r>
          </w:p>
        </w:tc>
        <w:tc>
          <w:tcPr>
            <w:tcW w:w="475" w:type="pct"/>
            <w:vAlign w:val="center"/>
          </w:tcPr>
          <w:p w14:paraId="3D7F45F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376" w:type="pct"/>
            <w:noWrap/>
            <w:vAlign w:val="center"/>
          </w:tcPr>
          <w:p w14:paraId="56AB176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区内</w:t>
            </w:r>
          </w:p>
        </w:tc>
        <w:tc>
          <w:tcPr>
            <w:tcW w:w="386" w:type="pct"/>
            <w:noWrap/>
            <w:vAlign w:val="center"/>
          </w:tcPr>
          <w:p w14:paraId="7CAC9C2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971" w:type="pct"/>
            <w:vMerge w:val="restart"/>
            <w:tcBorders>
              <w:top w:val="single" w:color="auto" w:sz="4" w:space="0"/>
            </w:tcBorders>
            <w:vAlign w:val="center"/>
          </w:tcPr>
          <w:p w14:paraId="04EEB18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生态保护红线内自然保护地核心保护区原则上禁止人为活动，其他区域严格禁止开发性、生产性建设活动。在符合现行法律法规前提下，除国家重大战略项目外，仅允许对生态功能不造成破坏的有限人为活动。生态保护红线内自然保护区、风景名胜区、饮用水水源保护区等区域，依照法律法规执行。</w:t>
            </w:r>
          </w:p>
        </w:tc>
      </w:tr>
      <w:tr w14:paraId="697B2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vMerge w:val="continue"/>
            <w:vAlign w:val="center"/>
          </w:tcPr>
          <w:p w14:paraId="7E818601">
            <w:pPr>
              <w:spacing w:line="240" w:lineRule="auto"/>
              <w:ind w:firstLine="0" w:firstLineChars="0"/>
              <w:jc w:val="center"/>
              <w:rPr>
                <w:rFonts w:cs="Times New Roman"/>
                <w:sz w:val="21"/>
                <w:szCs w:val="21"/>
                <w14:ligatures w14:val="none"/>
              </w:rPr>
            </w:pPr>
          </w:p>
        </w:tc>
        <w:tc>
          <w:tcPr>
            <w:tcW w:w="367" w:type="pct"/>
            <w:vAlign w:val="center"/>
          </w:tcPr>
          <w:p w14:paraId="49FED8C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茅山省级风景名胜区（金坛区）</w:t>
            </w:r>
          </w:p>
        </w:tc>
        <w:tc>
          <w:tcPr>
            <w:tcW w:w="313" w:type="pct"/>
            <w:vAlign w:val="center"/>
          </w:tcPr>
          <w:p w14:paraId="50CE892E">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自然与人文景观保护</w:t>
            </w:r>
          </w:p>
        </w:tc>
        <w:tc>
          <w:tcPr>
            <w:tcW w:w="632" w:type="pct"/>
            <w:vAlign w:val="center"/>
          </w:tcPr>
          <w:p w14:paraId="1E71897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茅山省级风景名胜区总体规划中确定的范围（包括核心景区等）</w:t>
            </w:r>
          </w:p>
        </w:tc>
        <w:tc>
          <w:tcPr>
            <w:tcW w:w="722" w:type="pct"/>
            <w:vAlign w:val="center"/>
          </w:tcPr>
          <w:p w14:paraId="04B39FA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470" w:type="pct"/>
            <w:vMerge w:val="continue"/>
            <w:vAlign w:val="center"/>
          </w:tcPr>
          <w:p w14:paraId="7A019CF1">
            <w:pPr>
              <w:spacing w:line="240" w:lineRule="auto"/>
              <w:ind w:firstLine="0" w:firstLineChars="0"/>
              <w:jc w:val="center"/>
              <w:rPr>
                <w:rFonts w:cs="Times New Roman"/>
                <w:sz w:val="21"/>
                <w:szCs w:val="21"/>
                <w14:ligatures w14:val="none"/>
              </w:rPr>
            </w:pPr>
          </w:p>
        </w:tc>
        <w:tc>
          <w:tcPr>
            <w:tcW w:w="475" w:type="pct"/>
            <w:vAlign w:val="center"/>
          </w:tcPr>
          <w:p w14:paraId="2AEEB56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376" w:type="pct"/>
            <w:noWrap/>
            <w:vAlign w:val="center"/>
          </w:tcPr>
          <w:p w14:paraId="22B0E60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区内</w:t>
            </w:r>
          </w:p>
        </w:tc>
        <w:tc>
          <w:tcPr>
            <w:tcW w:w="386" w:type="pct"/>
            <w:noWrap/>
            <w:vAlign w:val="center"/>
          </w:tcPr>
          <w:p w14:paraId="7775D00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971" w:type="pct"/>
            <w:vMerge w:val="continue"/>
            <w:tcBorders>
              <w:bottom w:val="single" w:color="auto" w:sz="4" w:space="0"/>
            </w:tcBorders>
            <w:vAlign w:val="center"/>
          </w:tcPr>
          <w:p w14:paraId="7DBA271B">
            <w:pPr>
              <w:spacing w:line="240" w:lineRule="auto"/>
              <w:ind w:firstLine="0" w:firstLineChars="0"/>
              <w:jc w:val="center"/>
              <w:rPr>
                <w:rFonts w:cs="Times New Roman"/>
                <w:sz w:val="21"/>
                <w:szCs w:val="21"/>
                <w14:ligatures w14:val="none"/>
              </w:rPr>
            </w:pPr>
          </w:p>
        </w:tc>
      </w:tr>
      <w:tr w14:paraId="31694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2" w:type="pct"/>
            <w:gridSpan w:val="2"/>
            <w:vAlign w:val="center"/>
          </w:tcPr>
          <w:p w14:paraId="34C1197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茅东山地水源涵养区</w:t>
            </w:r>
          </w:p>
        </w:tc>
        <w:tc>
          <w:tcPr>
            <w:tcW w:w="313" w:type="pct"/>
            <w:vAlign w:val="center"/>
          </w:tcPr>
          <w:p w14:paraId="6EF9EEB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水源涵养</w:t>
            </w:r>
          </w:p>
        </w:tc>
        <w:tc>
          <w:tcPr>
            <w:tcW w:w="632" w:type="pct"/>
            <w:vAlign w:val="center"/>
          </w:tcPr>
          <w:p w14:paraId="05490868">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722" w:type="pct"/>
            <w:vAlign w:val="center"/>
          </w:tcPr>
          <w:p w14:paraId="5DD42A5D">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北至丹徒县界，东以海底水库坝址至乾元观公路和仙姑至南山门公路为界，再沿常溧公路南侧，南行包括茅东水库沿岸，西以市界为界</w:t>
            </w:r>
          </w:p>
        </w:tc>
        <w:tc>
          <w:tcPr>
            <w:tcW w:w="470" w:type="pct"/>
            <w:vAlign w:val="center"/>
          </w:tcPr>
          <w:p w14:paraId="2F6A0E8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475" w:type="pct"/>
            <w:vAlign w:val="center"/>
          </w:tcPr>
          <w:p w14:paraId="12BCE5C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8.74</w:t>
            </w:r>
            <w:r>
              <w:rPr>
                <w:rFonts w:hint="eastAsia" w:cs="Times New Roman"/>
                <w:sz w:val="21"/>
                <w:szCs w:val="21"/>
                <w:vertAlign w:val="superscript"/>
                <w14:ligatures w14:val="none"/>
              </w:rPr>
              <w:t>[2]</w:t>
            </w:r>
          </w:p>
        </w:tc>
        <w:tc>
          <w:tcPr>
            <w:tcW w:w="376" w:type="pct"/>
            <w:noWrap/>
            <w:vAlign w:val="center"/>
          </w:tcPr>
          <w:p w14:paraId="73C6EF3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区内</w:t>
            </w:r>
          </w:p>
        </w:tc>
        <w:tc>
          <w:tcPr>
            <w:tcW w:w="386" w:type="pct"/>
            <w:tcBorders>
              <w:right w:val="single" w:color="auto" w:sz="4" w:space="0"/>
            </w:tcBorders>
            <w:noWrap/>
            <w:vAlign w:val="center"/>
          </w:tcPr>
          <w:p w14:paraId="31D4ADA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971" w:type="pct"/>
            <w:vMerge w:val="restart"/>
            <w:tcBorders>
              <w:top w:val="single" w:color="auto" w:sz="4" w:space="0"/>
              <w:left w:val="single" w:color="auto" w:sz="4" w:space="0"/>
              <w:bottom w:val="single" w:color="auto" w:sz="4" w:space="0"/>
              <w:right w:val="single" w:color="auto" w:sz="4" w:space="0"/>
            </w:tcBorders>
            <w:vAlign w:val="center"/>
          </w:tcPr>
          <w:p w14:paraId="4715FBC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生态空间管控区域内严格落实《省政府办公厅关于印发江苏省生态空间管控区域监督管理办法的通知》（苏政办发〔2021〕20号）《江苏省生态空间管控区域规划》（苏政发〔2020〕1号）中关于森林公园、重要水源涵养区、生态公益林的管控要求，仅允许开展有限的对生态功能不造成破坏的人类活动。</w:t>
            </w:r>
          </w:p>
        </w:tc>
      </w:tr>
      <w:tr w14:paraId="52E2E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2" w:type="pct"/>
            <w:gridSpan w:val="2"/>
            <w:vAlign w:val="center"/>
          </w:tcPr>
          <w:p w14:paraId="2F2FDAC9">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四棚洼生态公益林</w:t>
            </w:r>
          </w:p>
        </w:tc>
        <w:tc>
          <w:tcPr>
            <w:tcW w:w="313" w:type="pct"/>
            <w:vAlign w:val="center"/>
          </w:tcPr>
          <w:p w14:paraId="59E929BC">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水土保持</w:t>
            </w:r>
          </w:p>
        </w:tc>
        <w:tc>
          <w:tcPr>
            <w:tcW w:w="632" w:type="pct"/>
            <w:vAlign w:val="center"/>
          </w:tcPr>
          <w:p w14:paraId="60F2ED88">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722" w:type="pct"/>
            <w:vAlign w:val="center"/>
          </w:tcPr>
          <w:p w14:paraId="628F6B3F">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地处茅山东麓</w:t>
            </w:r>
          </w:p>
        </w:tc>
        <w:tc>
          <w:tcPr>
            <w:tcW w:w="470" w:type="pct"/>
            <w:vAlign w:val="center"/>
          </w:tcPr>
          <w:p w14:paraId="33123EDB">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475" w:type="pct"/>
            <w:vAlign w:val="center"/>
          </w:tcPr>
          <w:p w14:paraId="5E0231C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7.25</w:t>
            </w:r>
          </w:p>
        </w:tc>
        <w:tc>
          <w:tcPr>
            <w:tcW w:w="376" w:type="pct"/>
            <w:noWrap/>
            <w:vAlign w:val="center"/>
          </w:tcPr>
          <w:p w14:paraId="153C471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区内</w:t>
            </w:r>
          </w:p>
        </w:tc>
        <w:tc>
          <w:tcPr>
            <w:tcW w:w="386" w:type="pct"/>
            <w:tcBorders>
              <w:right w:val="single" w:color="auto" w:sz="4" w:space="0"/>
            </w:tcBorders>
            <w:noWrap/>
            <w:vAlign w:val="center"/>
          </w:tcPr>
          <w:p w14:paraId="447FB56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971" w:type="pct"/>
            <w:vMerge w:val="continue"/>
            <w:tcBorders>
              <w:top w:val="single" w:color="auto" w:sz="4" w:space="0"/>
              <w:left w:val="single" w:color="auto" w:sz="4" w:space="0"/>
              <w:bottom w:val="single" w:color="auto" w:sz="4" w:space="0"/>
              <w:right w:val="single" w:color="auto" w:sz="4" w:space="0"/>
            </w:tcBorders>
            <w:vAlign w:val="center"/>
          </w:tcPr>
          <w:p w14:paraId="725F739A">
            <w:pPr>
              <w:spacing w:line="240" w:lineRule="auto"/>
              <w:ind w:firstLine="0" w:firstLineChars="0"/>
              <w:jc w:val="center"/>
              <w:rPr>
                <w:rFonts w:cs="Times New Roman"/>
                <w:sz w:val="21"/>
                <w:szCs w:val="21"/>
                <w14:ligatures w14:val="none"/>
              </w:rPr>
            </w:pPr>
          </w:p>
        </w:tc>
      </w:tr>
      <w:tr w14:paraId="07C88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2" w:type="pct"/>
            <w:gridSpan w:val="2"/>
            <w:vAlign w:val="center"/>
          </w:tcPr>
          <w:p w14:paraId="64FDE6F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方山（金坛区）森林公园</w:t>
            </w:r>
          </w:p>
        </w:tc>
        <w:tc>
          <w:tcPr>
            <w:tcW w:w="313" w:type="pct"/>
            <w:vAlign w:val="center"/>
          </w:tcPr>
          <w:p w14:paraId="7B927BF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自然与人文景观保护</w:t>
            </w:r>
          </w:p>
        </w:tc>
        <w:tc>
          <w:tcPr>
            <w:tcW w:w="632" w:type="pct"/>
            <w:vAlign w:val="center"/>
          </w:tcPr>
          <w:p w14:paraId="3DAB156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722" w:type="pct"/>
            <w:vAlign w:val="center"/>
          </w:tcPr>
          <w:p w14:paraId="676062A2">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方山森林公园范围，以方山为主体；西至市界，北至常溧公路，东至顺水桥、中竹棵、唐家棚、种猪场和方麓茶场一线，南至唐王到竹箦矿公路和市界</w:t>
            </w:r>
          </w:p>
        </w:tc>
        <w:tc>
          <w:tcPr>
            <w:tcW w:w="470" w:type="pct"/>
            <w:vAlign w:val="center"/>
          </w:tcPr>
          <w:p w14:paraId="77B4E1BA">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475" w:type="pct"/>
            <w:vAlign w:val="center"/>
          </w:tcPr>
          <w:p w14:paraId="7144869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12.97</w:t>
            </w:r>
            <w:r>
              <w:rPr>
                <w:rFonts w:hint="eastAsia" w:cs="Times New Roman"/>
                <w:sz w:val="21"/>
                <w:szCs w:val="21"/>
                <w:vertAlign w:val="superscript"/>
                <w14:ligatures w14:val="none"/>
              </w:rPr>
              <w:t>[2]</w:t>
            </w:r>
          </w:p>
        </w:tc>
        <w:tc>
          <w:tcPr>
            <w:tcW w:w="376" w:type="pct"/>
            <w:noWrap/>
            <w:vAlign w:val="center"/>
          </w:tcPr>
          <w:p w14:paraId="6CEC4FF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区内</w:t>
            </w:r>
          </w:p>
        </w:tc>
        <w:tc>
          <w:tcPr>
            <w:tcW w:w="386" w:type="pct"/>
            <w:tcBorders>
              <w:right w:val="single" w:color="auto" w:sz="4" w:space="0"/>
            </w:tcBorders>
            <w:noWrap/>
            <w:vAlign w:val="center"/>
          </w:tcPr>
          <w:p w14:paraId="40C442A5">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971" w:type="pct"/>
            <w:vMerge w:val="continue"/>
            <w:tcBorders>
              <w:top w:val="single" w:color="auto" w:sz="4" w:space="0"/>
              <w:left w:val="single" w:color="auto" w:sz="4" w:space="0"/>
              <w:bottom w:val="single" w:color="auto" w:sz="4" w:space="0"/>
              <w:right w:val="single" w:color="auto" w:sz="4" w:space="0"/>
            </w:tcBorders>
            <w:vAlign w:val="center"/>
          </w:tcPr>
          <w:p w14:paraId="443D8949">
            <w:pPr>
              <w:spacing w:line="240" w:lineRule="auto"/>
              <w:ind w:firstLine="0" w:firstLineChars="0"/>
              <w:jc w:val="center"/>
              <w:rPr>
                <w:rFonts w:cs="Times New Roman"/>
                <w:sz w:val="21"/>
                <w:szCs w:val="21"/>
                <w14:ligatures w14:val="none"/>
              </w:rPr>
            </w:pPr>
          </w:p>
        </w:tc>
      </w:tr>
      <w:tr w14:paraId="1CCC7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2" w:type="pct"/>
            <w:gridSpan w:val="2"/>
            <w:vAlign w:val="center"/>
          </w:tcPr>
          <w:p w14:paraId="338CB57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向阳水库水源涵养区</w:t>
            </w:r>
          </w:p>
        </w:tc>
        <w:tc>
          <w:tcPr>
            <w:tcW w:w="313" w:type="pct"/>
            <w:vAlign w:val="center"/>
          </w:tcPr>
          <w:p w14:paraId="381A7457">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水源涵养</w:t>
            </w:r>
          </w:p>
        </w:tc>
        <w:tc>
          <w:tcPr>
            <w:tcW w:w="632" w:type="pct"/>
            <w:vAlign w:val="center"/>
          </w:tcPr>
          <w:p w14:paraId="69EE0CD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722" w:type="pct"/>
            <w:vAlign w:val="center"/>
          </w:tcPr>
          <w:p w14:paraId="6C6F68C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东以扬溧高速公路为界（除罗村集镇），南以市界为界，西以市界为界，北以X304县道、方山（金坛）森林公园为界，包括向阳水库湖面区域</w:t>
            </w:r>
          </w:p>
        </w:tc>
        <w:tc>
          <w:tcPr>
            <w:tcW w:w="470" w:type="pct"/>
            <w:vAlign w:val="center"/>
          </w:tcPr>
          <w:p w14:paraId="09135783">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475" w:type="pct"/>
            <w:vAlign w:val="center"/>
          </w:tcPr>
          <w:p w14:paraId="4610FF80">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42.34</w:t>
            </w:r>
            <w:r>
              <w:rPr>
                <w:rFonts w:hint="eastAsia" w:cs="Times New Roman"/>
                <w:sz w:val="21"/>
                <w:szCs w:val="21"/>
                <w:vertAlign w:val="superscript"/>
                <w14:ligatures w14:val="none"/>
              </w:rPr>
              <w:t>[2]</w:t>
            </w:r>
          </w:p>
        </w:tc>
        <w:tc>
          <w:tcPr>
            <w:tcW w:w="376" w:type="pct"/>
            <w:noWrap/>
            <w:vAlign w:val="center"/>
          </w:tcPr>
          <w:p w14:paraId="1526B336">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区内</w:t>
            </w:r>
          </w:p>
        </w:tc>
        <w:tc>
          <w:tcPr>
            <w:tcW w:w="386" w:type="pct"/>
            <w:tcBorders>
              <w:right w:val="single" w:color="auto" w:sz="4" w:space="0"/>
            </w:tcBorders>
            <w:noWrap/>
            <w:vAlign w:val="center"/>
          </w:tcPr>
          <w:p w14:paraId="08B5CCB4">
            <w:pPr>
              <w:spacing w:line="240" w:lineRule="auto"/>
              <w:ind w:firstLine="0" w:firstLineChars="0"/>
              <w:jc w:val="center"/>
              <w:rPr>
                <w:rFonts w:cs="Times New Roman"/>
                <w:sz w:val="21"/>
                <w:szCs w:val="21"/>
                <w14:ligatures w14:val="none"/>
              </w:rPr>
            </w:pPr>
            <w:r>
              <w:rPr>
                <w:rFonts w:hint="eastAsia" w:cs="Times New Roman"/>
                <w:sz w:val="21"/>
                <w:szCs w:val="21"/>
                <w14:ligatures w14:val="none"/>
              </w:rPr>
              <w:t>/</w:t>
            </w:r>
          </w:p>
        </w:tc>
        <w:tc>
          <w:tcPr>
            <w:tcW w:w="971" w:type="pct"/>
            <w:vMerge w:val="continue"/>
            <w:tcBorders>
              <w:top w:val="single" w:color="auto" w:sz="4" w:space="0"/>
              <w:left w:val="single" w:color="auto" w:sz="4" w:space="0"/>
              <w:bottom w:val="single" w:color="auto" w:sz="4" w:space="0"/>
              <w:right w:val="single" w:color="auto" w:sz="4" w:space="0"/>
            </w:tcBorders>
            <w:vAlign w:val="center"/>
          </w:tcPr>
          <w:p w14:paraId="417ABDB4">
            <w:pPr>
              <w:spacing w:line="240" w:lineRule="auto"/>
              <w:ind w:firstLine="0" w:firstLineChars="0"/>
              <w:jc w:val="center"/>
              <w:rPr>
                <w:rFonts w:cs="Times New Roman"/>
                <w:sz w:val="21"/>
                <w:szCs w:val="21"/>
                <w14:ligatures w14:val="none"/>
              </w:rPr>
            </w:pPr>
          </w:p>
        </w:tc>
      </w:tr>
    </w:tbl>
    <w:p w14:paraId="6A2E8778">
      <w:pPr>
        <w:widowControl/>
        <w:spacing w:line="240" w:lineRule="auto"/>
        <w:ind w:firstLine="0" w:firstLineChars="0"/>
        <w:rPr>
          <w:sz w:val="21"/>
          <w:szCs w:val="20"/>
        </w:rPr>
      </w:pPr>
      <w:r>
        <w:rPr>
          <w:rFonts w:hint="eastAsia"/>
          <w:sz w:val="21"/>
          <w:szCs w:val="20"/>
        </w:rPr>
        <w:t>注：[1]茅东省级森林公园、茅山省级风景名胜区（金坛区）2处国家级生态保护红线范围依据江苏省最新报批自然资源部办公厅“三区三线”划定成果，已整合优化为最新国家级生态保护红线“江苏常州金坛茅东省级森林公园”，保护红线范围18.978km</w:t>
      </w:r>
      <w:r>
        <w:rPr>
          <w:rFonts w:hint="eastAsia"/>
          <w:sz w:val="21"/>
          <w:szCs w:val="20"/>
          <w:vertAlign w:val="superscript"/>
        </w:rPr>
        <w:t>2</w:t>
      </w:r>
      <w:r>
        <w:rPr>
          <w:rFonts w:hint="eastAsia"/>
          <w:sz w:val="21"/>
          <w:szCs w:val="20"/>
        </w:rPr>
        <w:t>。</w:t>
      </w:r>
    </w:p>
    <w:p w14:paraId="160FE9BA">
      <w:pPr>
        <w:widowControl/>
        <w:spacing w:line="240" w:lineRule="auto"/>
        <w:ind w:firstLine="420"/>
        <w:rPr>
          <w:sz w:val="21"/>
          <w:szCs w:val="20"/>
        </w:rPr>
      </w:pPr>
      <w:r>
        <w:rPr>
          <w:rFonts w:hint="eastAsia"/>
          <w:sz w:val="21"/>
          <w:szCs w:val="20"/>
        </w:rPr>
        <w:t>[2]生态空间管控区域面积依据《江苏省自然资源厅关于常州市金坛区2023年度生态空间管控区域调整方案的复函》（苏自然资函〔2023〕209号）批复调整后为准。</w:t>
      </w:r>
    </w:p>
    <w:p w14:paraId="7B8643F5">
      <w:pPr>
        <w:pStyle w:val="60"/>
        <w:ind w:firstLine="482"/>
        <w:rPr>
          <w:b/>
          <w:sz w:val="24"/>
          <w:szCs w:val="22"/>
        </w:rPr>
        <w:sectPr>
          <w:pgSz w:w="16838" w:h="11906" w:orient="landscape"/>
          <w:pgMar w:top="1701" w:right="1440" w:bottom="1701" w:left="1440" w:header="851" w:footer="992" w:gutter="0"/>
          <w:cols w:space="425" w:num="1"/>
          <w:docGrid w:type="lines" w:linePitch="326" w:charSpace="0"/>
        </w:sectPr>
      </w:pPr>
    </w:p>
    <w:p w14:paraId="68EA0177">
      <w:pPr>
        <w:pStyle w:val="60"/>
        <w:ind w:firstLine="482"/>
        <w:rPr>
          <w:b/>
          <w:sz w:val="24"/>
          <w:szCs w:val="22"/>
        </w:rPr>
      </w:pPr>
      <w:r>
        <w:rPr>
          <w:rFonts w:hint="eastAsia"/>
          <w:b/>
          <w:sz w:val="24"/>
          <w:szCs w:val="22"/>
        </w:rPr>
        <w:t>（</w:t>
      </w:r>
      <w:r>
        <w:rPr>
          <w:b/>
          <w:sz w:val="24"/>
          <w:szCs w:val="22"/>
        </w:rPr>
        <w:t>2</w:t>
      </w:r>
      <w:r>
        <w:rPr>
          <w:rFonts w:hint="eastAsia"/>
          <w:b/>
          <w:sz w:val="24"/>
          <w:szCs w:val="22"/>
        </w:rPr>
        <w:t>）区内生态空间</w:t>
      </w:r>
    </w:p>
    <w:p w14:paraId="74472EFC">
      <w:pPr>
        <w:ind w:firstLine="480"/>
      </w:pPr>
      <w:r>
        <w:rPr>
          <w:rFonts w:hint="eastAsia"/>
        </w:rPr>
        <w:t>根据《关于规划环境影响评价加强空间管制、总量管控和环境准入的指导意见（试行）》（环办环评〔2016〕14号）的有关要求，本次评价结合度假区本轮规划和所在区域特征，从维护生态系统完整性的角度，识别并确定规划范围内的生态空间，作为区域空间开发的底线，主要为区内水域（含湿地）、绿地、农林用地等，现状面积共约9869.4公顷，占度假区总面积的90.2%。度假区生态空间总体组成及分布情况见表11.</w:t>
      </w:r>
      <w:r>
        <w:t>2</w:t>
      </w:r>
      <w:r>
        <w:rPr>
          <w:rFonts w:hint="eastAsia"/>
        </w:rPr>
        <w:t>-2。</w:t>
      </w:r>
    </w:p>
    <w:p w14:paraId="69E263F1">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w:t>
      </w:r>
      <w:r>
        <w:rPr>
          <w:rFonts w:hint="eastAsia" w:cs="Times New Roman"/>
          <w:b/>
          <w:szCs w:val="24"/>
          <w14:ligatures w14:val="none"/>
        </w:rPr>
        <w:t>1</w:t>
      </w:r>
      <w:r>
        <w:rPr>
          <w:rFonts w:cs="Times New Roman"/>
          <w:b/>
          <w:szCs w:val="24"/>
          <w14:ligatures w14:val="none"/>
        </w:rPr>
        <w:t>.2-</w:t>
      </w:r>
      <w:r>
        <w:rPr>
          <w:rFonts w:hint="eastAsia" w:cs="Times New Roman"/>
          <w:b/>
          <w:szCs w:val="24"/>
          <w14:ligatures w14:val="none"/>
        </w:rPr>
        <w:t>2</w:t>
      </w:r>
      <w:r>
        <w:rPr>
          <w:rFonts w:cs="Times New Roman"/>
          <w:b/>
          <w:szCs w:val="24"/>
          <w14:ligatures w14:val="none"/>
        </w:rPr>
        <w:t xml:space="preserve"> 生态空间组成说明表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8"/>
        <w:gridCol w:w="1563"/>
        <w:gridCol w:w="1074"/>
        <w:gridCol w:w="2009"/>
        <w:gridCol w:w="1207"/>
        <w:gridCol w:w="2091"/>
      </w:tblGrid>
      <w:tr w14:paraId="3A44D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39" w:type="pct"/>
            <w:vAlign w:val="center"/>
          </w:tcPr>
          <w:p w14:paraId="2D21120F">
            <w:pPr>
              <w:tabs>
                <w:tab w:val="left" w:pos="0"/>
              </w:tabs>
              <w:adjustRightInd w:val="0"/>
              <w:snapToGrid w:val="0"/>
              <w:spacing w:line="240" w:lineRule="auto"/>
              <w:ind w:firstLine="0" w:firstLineChars="0"/>
              <w:jc w:val="center"/>
              <w:rPr>
                <w:rFonts w:cs="Times New Roman"/>
                <w:b/>
                <w:bCs/>
                <w:kern w:val="0"/>
                <w:sz w:val="21"/>
                <w:szCs w:val="21"/>
                <w:lang w:val="zh-CN"/>
                <w14:ligatures w14:val="none"/>
              </w:rPr>
            </w:pPr>
            <w:r>
              <w:rPr>
                <w:rFonts w:hint="eastAsia" w:cs="Times New Roman"/>
                <w:b/>
                <w:bCs/>
                <w:kern w:val="0"/>
                <w:sz w:val="21"/>
                <w:szCs w:val="21"/>
                <w:lang w:val="zh-CN"/>
                <w14:ligatures w14:val="none"/>
              </w:rPr>
              <w:t>编号</w:t>
            </w:r>
          </w:p>
        </w:tc>
        <w:tc>
          <w:tcPr>
            <w:tcW w:w="917" w:type="pct"/>
            <w:vAlign w:val="center"/>
          </w:tcPr>
          <w:p w14:paraId="68BE8670">
            <w:pPr>
              <w:tabs>
                <w:tab w:val="left" w:pos="0"/>
              </w:tabs>
              <w:adjustRightInd w:val="0"/>
              <w:snapToGrid w:val="0"/>
              <w:spacing w:line="240" w:lineRule="auto"/>
              <w:ind w:firstLine="0" w:firstLineChars="0"/>
              <w:jc w:val="center"/>
              <w:rPr>
                <w:rFonts w:cs="Times New Roman"/>
                <w:b/>
                <w:bCs/>
                <w:kern w:val="0"/>
                <w:sz w:val="21"/>
                <w:szCs w:val="21"/>
                <w:lang w:val="zh-CN"/>
                <w14:ligatures w14:val="none"/>
              </w:rPr>
            </w:pPr>
            <w:r>
              <w:rPr>
                <w:rFonts w:hint="eastAsia" w:cs="Times New Roman"/>
                <w:b/>
                <w:bCs/>
                <w:kern w:val="0"/>
                <w:sz w:val="21"/>
                <w:szCs w:val="21"/>
                <w:lang w:val="zh-CN"/>
                <w14:ligatures w14:val="none"/>
              </w:rPr>
              <w:t>生态空间类别</w:t>
            </w:r>
          </w:p>
        </w:tc>
        <w:tc>
          <w:tcPr>
            <w:tcW w:w="630" w:type="pct"/>
            <w:vAlign w:val="center"/>
          </w:tcPr>
          <w:p w14:paraId="70387158">
            <w:pPr>
              <w:tabs>
                <w:tab w:val="left" w:pos="0"/>
              </w:tabs>
              <w:adjustRightInd w:val="0"/>
              <w:snapToGrid w:val="0"/>
              <w:spacing w:line="240" w:lineRule="auto"/>
              <w:ind w:firstLine="0" w:firstLineChars="0"/>
              <w:jc w:val="center"/>
              <w:rPr>
                <w:rFonts w:cs="Times New Roman"/>
                <w:b/>
                <w:bCs/>
                <w:kern w:val="0"/>
                <w:sz w:val="21"/>
                <w:szCs w:val="21"/>
                <w:lang w:val="zh-CN"/>
                <w14:ligatures w14:val="none"/>
              </w:rPr>
            </w:pPr>
            <w:r>
              <w:rPr>
                <w:rFonts w:hint="eastAsia" w:cs="Times New Roman"/>
                <w:b/>
                <w:bCs/>
                <w:kern w:val="0"/>
                <w:sz w:val="21"/>
                <w:szCs w:val="21"/>
                <w14:ligatures w14:val="none"/>
              </w:rPr>
              <w:t>现状</w:t>
            </w:r>
            <w:r>
              <w:rPr>
                <w:rFonts w:hint="eastAsia" w:cs="Times New Roman"/>
                <w:b/>
                <w:bCs/>
                <w:kern w:val="0"/>
                <w:sz w:val="21"/>
                <w:szCs w:val="21"/>
                <w:lang w:val="zh-CN"/>
                <w14:ligatures w14:val="none"/>
              </w:rPr>
              <w:t>面积（ha）</w:t>
            </w:r>
          </w:p>
        </w:tc>
        <w:tc>
          <w:tcPr>
            <w:tcW w:w="1179" w:type="pct"/>
            <w:vAlign w:val="center"/>
          </w:tcPr>
          <w:p w14:paraId="40612412">
            <w:pPr>
              <w:tabs>
                <w:tab w:val="left" w:pos="0"/>
              </w:tabs>
              <w:adjustRightInd w:val="0"/>
              <w:snapToGrid w:val="0"/>
              <w:spacing w:line="240" w:lineRule="auto"/>
              <w:ind w:firstLine="0" w:firstLineChars="0"/>
              <w:jc w:val="center"/>
              <w:rPr>
                <w:rFonts w:cs="Times New Roman"/>
                <w:b/>
                <w:bCs/>
                <w:kern w:val="0"/>
                <w:sz w:val="21"/>
                <w:szCs w:val="21"/>
                <w:lang w:val="zh-CN"/>
                <w14:ligatures w14:val="none"/>
              </w:rPr>
            </w:pPr>
            <w:r>
              <w:rPr>
                <w:rFonts w:hint="eastAsia" w:cs="Times New Roman"/>
                <w:b/>
                <w:bCs/>
                <w:kern w:val="0"/>
                <w:sz w:val="21"/>
                <w:szCs w:val="21"/>
                <w:lang w:val="zh-CN"/>
                <w14:ligatures w14:val="none"/>
              </w:rPr>
              <w:t>保护对象</w:t>
            </w:r>
          </w:p>
        </w:tc>
        <w:tc>
          <w:tcPr>
            <w:tcW w:w="708" w:type="pct"/>
            <w:vAlign w:val="center"/>
          </w:tcPr>
          <w:p w14:paraId="69B19DFA">
            <w:pPr>
              <w:tabs>
                <w:tab w:val="left" w:pos="0"/>
              </w:tabs>
              <w:adjustRightInd w:val="0"/>
              <w:snapToGrid w:val="0"/>
              <w:spacing w:line="240" w:lineRule="auto"/>
              <w:ind w:firstLine="0" w:firstLineChars="0"/>
              <w:jc w:val="center"/>
              <w:rPr>
                <w:rFonts w:cs="Times New Roman"/>
                <w:b/>
                <w:bCs/>
                <w:kern w:val="0"/>
                <w:sz w:val="21"/>
                <w:szCs w:val="21"/>
                <w:lang w:val="zh-CN"/>
                <w14:ligatures w14:val="none"/>
              </w:rPr>
            </w:pPr>
            <w:r>
              <w:rPr>
                <w:rFonts w:hint="eastAsia" w:cs="Times New Roman"/>
                <w:b/>
                <w:bCs/>
                <w:kern w:val="0"/>
                <w:sz w:val="21"/>
                <w:szCs w:val="21"/>
                <w:lang w:val="zh-CN"/>
                <w14:ligatures w14:val="none"/>
              </w:rPr>
              <w:t>准入要求</w:t>
            </w:r>
          </w:p>
        </w:tc>
        <w:tc>
          <w:tcPr>
            <w:tcW w:w="1227" w:type="pct"/>
            <w:vAlign w:val="center"/>
          </w:tcPr>
          <w:p w14:paraId="5E067F0C">
            <w:pPr>
              <w:tabs>
                <w:tab w:val="left" w:pos="0"/>
              </w:tabs>
              <w:adjustRightInd w:val="0"/>
              <w:snapToGrid w:val="0"/>
              <w:spacing w:line="240" w:lineRule="auto"/>
              <w:ind w:firstLine="0" w:firstLineChars="0"/>
              <w:jc w:val="center"/>
              <w:rPr>
                <w:rFonts w:cs="Times New Roman"/>
                <w:b/>
                <w:bCs/>
                <w:kern w:val="0"/>
                <w:sz w:val="21"/>
                <w:szCs w:val="21"/>
                <w:lang w:val="zh-CN"/>
                <w14:ligatures w14:val="none"/>
              </w:rPr>
            </w:pPr>
            <w:r>
              <w:rPr>
                <w:rFonts w:hint="eastAsia" w:cs="Times New Roman"/>
                <w:b/>
                <w:bCs/>
                <w:kern w:val="0"/>
                <w:sz w:val="21"/>
                <w:szCs w:val="21"/>
                <w:lang w:val="zh-CN"/>
                <w14:ligatures w14:val="none"/>
              </w:rPr>
              <w:t>管制措施</w:t>
            </w:r>
          </w:p>
        </w:tc>
      </w:tr>
      <w:tr w14:paraId="12258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9" w:type="pct"/>
            <w:vAlign w:val="center"/>
          </w:tcPr>
          <w:p w14:paraId="7E5A1F01">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1</w:t>
            </w:r>
          </w:p>
        </w:tc>
        <w:tc>
          <w:tcPr>
            <w:tcW w:w="917" w:type="pct"/>
            <w:vAlign w:val="center"/>
          </w:tcPr>
          <w:p w14:paraId="62645914">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水域（</w:t>
            </w:r>
            <w:r>
              <w:rPr>
                <w:rFonts w:hint="eastAsia" w:cs="Times New Roman"/>
                <w:kern w:val="0"/>
                <w:sz w:val="21"/>
                <w:szCs w:val="21"/>
                <w14:ligatures w14:val="none"/>
              </w:rPr>
              <w:t>湿地</w:t>
            </w:r>
            <w:r>
              <w:rPr>
                <w:rFonts w:hint="eastAsia" w:cs="Times New Roman"/>
                <w:kern w:val="0"/>
                <w:sz w:val="21"/>
                <w:szCs w:val="21"/>
                <w:lang w:val="zh-CN"/>
                <w14:ligatures w14:val="none"/>
              </w:rPr>
              <w:t>）</w:t>
            </w:r>
          </w:p>
        </w:tc>
        <w:tc>
          <w:tcPr>
            <w:tcW w:w="630" w:type="pct"/>
            <w:vAlign w:val="center"/>
          </w:tcPr>
          <w:p w14:paraId="3EBA4DE0">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14:ligatures w14:val="none"/>
              </w:rPr>
              <w:t>1179</w:t>
            </w:r>
          </w:p>
        </w:tc>
        <w:tc>
          <w:tcPr>
            <w:tcW w:w="1179" w:type="pct"/>
            <w:vAlign w:val="center"/>
          </w:tcPr>
          <w:p w14:paraId="0C4A5CA6">
            <w:pPr>
              <w:tabs>
                <w:tab w:val="left" w:pos="0"/>
              </w:tabs>
              <w:adjustRightInd w:val="0"/>
              <w:snapToGrid w:val="0"/>
              <w:spacing w:line="240" w:lineRule="auto"/>
              <w:ind w:firstLine="0" w:firstLineChars="0"/>
              <w:jc w:val="center"/>
              <w:rPr>
                <w:rFonts w:cs="Times New Roman"/>
                <w:kern w:val="0"/>
                <w:sz w:val="21"/>
                <w:szCs w:val="21"/>
                <w14:ligatures w14:val="none"/>
              </w:rPr>
            </w:pPr>
            <w:r>
              <w:rPr>
                <w:rFonts w:hint="eastAsia" w:cs="Times New Roman"/>
                <w:kern w:val="0"/>
                <w:sz w:val="21"/>
                <w:szCs w:val="21"/>
                <w:lang w:val="zh-CN"/>
                <w14:ligatures w14:val="none"/>
              </w:rPr>
              <w:t>区内河流、</w:t>
            </w:r>
            <w:r>
              <w:rPr>
                <w:rFonts w:hint="eastAsia" w:cs="Times New Roman"/>
                <w:kern w:val="0"/>
                <w:sz w:val="21"/>
                <w:szCs w:val="21"/>
                <w14:ligatures w14:val="none"/>
              </w:rPr>
              <w:t>水库</w:t>
            </w:r>
            <w:r>
              <w:rPr>
                <w:rFonts w:hint="eastAsia" w:cs="Times New Roman"/>
                <w:kern w:val="0"/>
                <w:sz w:val="21"/>
                <w:szCs w:val="21"/>
                <w:lang w:val="zh-CN"/>
                <w14:ligatures w14:val="none"/>
              </w:rPr>
              <w:t>水域</w:t>
            </w:r>
            <w:r>
              <w:rPr>
                <w:rFonts w:hint="eastAsia" w:cs="Times New Roman"/>
                <w:kern w:val="0"/>
                <w:sz w:val="21"/>
                <w:szCs w:val="21"/>
                <w14:ligatures w14:val="none"/>
              </w:rPr>
              <w:t>及湿地区域</w:t>
            </w:r>
          </w:p>
        </w:tc>
        <w:tc>
          <w:tcPr>
            <w:tcW w:w="708" w:type="pct"/>
            <w:vAlign w:val="center"/>
          </w:tcPr>
          <w:p w14:paraId="1BD110B7">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w:t>
            </w:r>
          </w:p>
        </w:tc>
        <w:tc>
          <w:tcPr>
            <w:tcW w:w="1227" w:type="pct"/>
            <w:vAlign w:val="center"/>
          </w:tcPr>
          <w:p w14:paraId="3E7B101A">
            <w:pPr>
              <w:tabs>
                <w:tab w:val="left" w:pos="0"/>
              </w:tabs>
              <w:adjustRightInd w:val="0"/>
              <w:snapToGrid w:val="0"/>
              <w:spacing w:line="240" w:lineRule="auto"/>
              <w:ind w:firstLine="0" w:firstLineChars="0"/>
              <w:jc w:val="center"/>
              <w:rPr>
                <w:rFonts w:cs="Times New Roman"/>
                <w:kern w:val="0"/>
                <w:sz w:val="21"/>
                <w:szCs w:val="21"/>
                <w14:ligatures w14:val="none"/>
              </w:rPr>
            </w:pPr>
            <w:r>
              <w:rPr>
                <w:rFonts w:hint="eastAsia" w:cs="Times New Roman"/>
                <w:kern w:val="0"/>
                <w:sz w:val="21"/>
                <w:szCs w:val="21"/>
                <w14:ligatures w14:val="none"/>
              </w:rPr>
              <w:t>按照水库、湿地保护相关要求开展严格管控与保护</w:t>
            </w:r>
          </w:p>
        </w:tc>
      </w:tr>
      <w:tr w14:paraId="5EAC7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9" w:type="pct"/>
            <w:vAlign w:val="center"/>
          </w:tcPr>
          <w:p w14:paraId="444D4855">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2</w:t>
            </w:r>
          </w:p>
        </w:tc>
        <w:tc>
          <w:tcPr>
            <w:tcW w:w="917" w:type="pct"/>
            <w:vAlign w:val="center"/>
          </w:tcPr>
          <w:p w14:paraId="63DCBA5F">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绿地与广场用地</w:t>
            </w:r>
          </w:p>
        </w:tc>
        <w:tc>
          <w:tcPr>
            <w:tcW w:w="630" w:type="pct"/>
            <w:vAlign w:val="center"/>
          </w:tcPr>
          <w:p w14:paraId="25E6B205">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14:ligatures w14:val="none"/>
              </w:rPr>
              <w:t>1.8</w:t>
            </w:r>
          </w:p>
        </w:tc>
        <w:tc>
          <w:tcPr>
            <w:tcW w:w="1179" w:type="pct"/>
            <w:vAlign w:val="center"/>
          </w:tcPr>
          <w:p w14:paraId="1E4825B0">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区内公园绿地与广场用地</w:t>
            </w:r>
          </w:p>
        </w:tc>
        <w:tc>
          <w:tcPr>
            <w:tcW w:w="708" w:type="pct"/>
            <w:vAlign w:val="center"/>
          </w:tcPr>
          <w:p w14:paraId="50DA896F">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绿化建设</w:t>
            </w:r>
          </w:p>
        </w:tc>
        <w:tc>
          <w:tcPr>
            <w:tcW w:w="1227" w:type="pct"/>
            <w:vAlign w:val="center"/>
          </w:tcPr>
          <w:p w14:paraId="6AD73F83">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重点保护，禁止转变为其他用地性质</w:t>
            </w:r>
          </w:p>
        </w:tc>
      </w:tr>
      <w:tr w14:paraId="6750C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9" w:type="pct"/>
            <w:vAlign w:val="center"/>
          </w:tcPr>
          <w:p w14:paraId="1A3B9F42">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3</w:t>
            </w:r>
          </w:p>
        </w:tc>
        <w:tc>
          <w:tcPr>
            <w:tcW w:w="917" w:type="pct"/>
            <w:vAlign w:val="center"/>
          </w:tcPr>
          <w:p w14:paraId="7C596CF5">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农林用地</w:t>
            </w:r>
          </w:p>
        </w:tc>
        <w:tc>
          <w:tcPr>
            <w:tcW w:w="630" w:type="pct"/>
            <w:vAlign w:val="center"/>
          </w:tcPr>
          <w:p w14:paraId="0DB5E5DF">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14:ligatures w14:val="none"/>
              </w:rPr>
              <w:t>8688.6</w:t>
            </w:r>
          </w:p>
        </w:tc>
        <w:tc>
          <w:tcPr>
            <w:tcW w:w="1179" w:type="pct"/>
            <w:vAlign w:val="center"/>
          </w:tcPr>
          <w:p w14:paraId="16406106">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基本农田、一般农用地等</w:t>
            </w:r>
          </w:p>
        </w:tc>
        <w:tc>
          <w:tcPr>
            <w:tcW w:w="708" w:type="pct"/>
            <w:vAlign w:val="center"/>
          </w:tcPr>
          <w:p w14:paraId="3ED6E1D2">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农林种植等</w:t>
            </w:r>
          </w:p>
        </w:tc>
        <w:tc>
          <w:tcPr>
            <w:tcW w:w="1227" w:type="pct"/>
            <w:vAlign w:val="center"/>
          </w:tcPr>
          <w:p w14:paraId="54A2096F">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按照基本农田、一般</w:t>
            </w:r>
            <w:r>
              <w:rPr>
                <w:rFonts w:hint="eastAsia" w:cs="Times New Roman"/>
                <w:kern w:val="0"/>
                <w:sz w:val="21"/>
                <w:szCs w:val="21"/>
                <w14:ligatures w14:val="none"/>
              </w:rPr>
              <w:t>农用地、林地</w:t>
            </w:r>
            <w:r>
              <w:rPr>
                <w:rFonts w:hint="eastAsia" w:cs="Times New Roman"/>
                <w:kern w:val="0"/>
                <w:sz w:val="21"/>
                <w:szCs w:val="21"/>
                <w:lang w:val="zh-CN"/>
                <w14:ligatures w14:val="none"/>
              </w:rPr>
              <w:t>等</w:t>
            </w:r>
            <w:r>
              <w:rPr>
                <w:rFonts w:hint="eastAsia" w:cs="Times New Roman"/>
                <w:kern w:val="0"/>
                <w:sz w:val="21"/>
                <w:szCs w:val="21"/>
                <w14:ligatures w14:val="none"/>
              </w:rPr>
              <w:t>相关</w:t>
            </w:r>
            <w:r>
              <w:rPr>
                <w:rFonts w:hint="eastAsia" w:cs="Times New Roman"/>
                <w:kern w:val="0"/>
                <w:sz w:val="21"/>
                <w:szCs w:val="21"/>
                <w:lang w:val="zh-CN"/>
                <w14:ligatures w14:val="none"/>
              </w:rPr>
              <w:t>保护要求保护</w:t>
            </w:r>
          </w:p>
        </w:tc>
      </w:tr>
      <w:tr w14:paraId="5EBF4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6" w:type="pct"/>
            <w:gridSpan w:val="2"/>
            <w:vAlign w:val="center"/>
          </w:tcPr>
          <w:p w14:paraId="1FF55B19">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总计</w:t>
            </w:r>
          </w:p>
        </w:tc>
        <w:tc>
          <w:tcPr>
            <w:tcW w:w="630" w:type="pct"/>
            <w:vAlign w:val="center"/>
          </w:tcPr>
          <w:p w14:paraId="22B47FD6">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9869.4</w:t>
            </w:r>
          </w:p>
        </w:tc>
        <w:tc>
          <w:tcPr>
            <w:tcW w:w="1179" w:type="pct"/>
            <w:vAlign w:val="center"/>
          </w:tcPr>
          <w:p w14:paraId="0198FF9A">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w:t>
            </w:r>
          </w:p>
        </w:tc>
        <w:tc>
          <w:tcPr>
            <w:tcW w:w="708" w:type="pct"/>
            <w:vAlign w:val="center"/>
          </w:tcPr>
          <w:p w14:paraId="659255AA">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w:t>
            </w:r>
          </w:p>
        </w:tc>
        <w:tc>
          <w:tcPr>
            <w:tcW w:w="1227" w:type="pct"/>
            <w:vAlign w:val="center"/>
          </w:tcPr>
          <w:p w14:paraId="39ED46BB">
            <w:pPr>
              <w:tabs>
                <w:tab w:val="left" w:pos="0"/>
              </w:tabs>
              <w:adjustRightInd w:val="0"/>
              <w:snapToGrid w:val="0"/>
              <w:spacing w:line="240" w:lineRule="auto"/>
              <w:ind w:firstLine="0" w:firstLineChars="0"/>
              <w:jc w:val="center"/>
              <w:rPr>
                <w:rFonts w:cs="Times New Roman"/>
                <w:kern w:val="0"/>
                <w:sz w:val="21"/>
                <w:szCs w:val="21"/>
                <w:lang w:val="zh-CN"/>
                <w14:ligatures w14:val="none"/>
              </w:rPr>
            </w:pPr>
            <w:r>
              <w:rPr>
                <w:rFonts w:hint="eastAsia" w:cs="Times New Roman"/>
                <w:kern w:val="0"/>
                <w:sz w:val="21"/>
                <w:szCs w:val="21"/>
                <w:lang w:val="zh-CN"/>
                <w14:ligatures w14:val="none"/>
              </w:rPr>
              <w:t>/</w:t>
            </w:r>
          </w:p>
        </w:tc>
      </w:tr>
    </w:tbl>
    <w:p w14:paraId="6C56B3C1">
      <w:pPr>
        <w:ind w:firstLine="0" w:firstLineChars="0"/>
        <w:outlineLvl w:val="3"/>
        <w:rPr>
          <w:b/>
          <w:bCs/>
        </w:rPr>
      </w:pPr>
      <w:r>
        <w:rPr>
          <w:rFonts w:hint="eastAsia"/>
          <w:b/>
          <w:bCs/>
        </w:rPr>
        <w:t>11</w:t>
      </w:r>
      <w:r>
        <w:rPr>
          <w:b/>
          <w:bCs/>
        </w:rPr>
        <w:t>.2.</w:t>
      </w:r>
      <w:r>
        <w:rPr>
          <w:rFonts w:hint="eastAsia"/>
          <w:b/>
          <w:bCs/>
        </w:rPr>
        <w:t>2</w:t>
      </w:r>
      <w:r>
        <w:rPr>
          <w:b/>
          <w:bCs/>
        </w:rPr>
        <w:t>.</w:t>
      </w:r>
      <w:r>
        <w:rPr>
          <w:rFonts w:hint="eastAsia"/>
          <w:b/>
          <w:bCs/>
        </w:rPr>
        <w:t>2环境质量底线</w:t>
      </w:r>
    </w:p>
    <w:p w14:paraId="553AE4EE">
      <w:pPr>
        <w:ind w:firstLine="480"/>
      </w:pPr>
      <w:r>
        <w:rPr>
          <w:rFonts w:hint="eastAsia"/>
        </w:rPr>
        <w:t>本次评价的环境质量底线即度假区所在区域的大气、地表水、声环境功能区划，以此作为区域环境容量管控的依据，具体见表11.2-3。</w:t>
      </w:r>
    </w:p>
    <w:p w14:paraId="4F6D5501">
      <w:pPr>
        <w:widowControl/>
        <w:snapToGrid w:val="0"/>
        <w:spacing w:before="62" w:beforeLines="20" w:after="62" w:afterLines="20" w:line="500" w:lineRule="exact"/>
        <w:ind w:firstLine="0" w:firstLineChars="0"/>
        <w:jc w:val="center"/>
        <w:outlineLvl w:val="6"/>
        <w:rPr>
          <w:rFonts w:cs="Times New Roman"/>
          <w:b/>
          <w:szCs w:val="24"/>
          <w14:ligatures w14:val="none"/>
        </w:rPr>
      </w:pPr>
      <w:r>
        <w:rPr>
          <w:rFonts w:cs="Times New Roman"/>
          <w:b/>
          <w:szCs w:val="24"/>
          <w14:ligatures w14:val="none"/>
        </w:rPr>
        <w:t>表1</w:t>
      </w:r>
      <w:r>
        <w:rPr>
          <w:rFonts w:hint="eastAsia" w:cs="Times New Roman"/>
          <w:b/>
          <w:szCs w:val="24"/>
          <w14:ligatures w14:val="none"/>
        </w:rPr>
        <w:t>1</w:t>
      </w:r>
      <w:r>
        <w:rPr>
          <w:rFonts w:cs="Times New Roman"/>
          <w:b/>
          <w:szCs w:val="24"/>
          <w14:ligatures w14:val="none"/>
        </w:rPr>
        <w:t>.2-</w:t>
      </w:r>
      <w:r>
        <w:rPr>
          <w:rFonts w:hint="eastAsia" w:cs="Times New Roman"/>
          <w:b/>
          <w:szCs w:val="24"/>
          <w14:ligatures w14:val="none"/>
        </w:rPr>
        <w:t>3</w:t>
      </w:r>
      <w:r>
        <w:rPr>
          <w:rFonts w:cs="Times New Roman"/>
          <w:b/>
          <w:szCs w:val="24"/>
          <w14:ligatures w14:val="none"/>
        </w:rPr>
        <w:t xml:space="preserve"> </w:t>
      </w:r>
      <w:r>
        <w:rPr>
          <w:rFonts w:hint="eastAsia" w:cs="Times New Roman"/>
          <w:b/>
          <w:szCs w:val="24"/>
          <w14:ligatures w14:val="none"/>
        </w:rPr>
        <w:t>度假区环境功能区划一览</w:t>
      </w:r>
      <w:r>
        <w:rPr>
          <w:rFonts w:cs="Times New Roman"/>
          <w:b/>
          <w:szCs w:val="24"/>
          <w14:ligatures w14:val="none"/>
        </w:rPr>
        <w:t>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3896"/>
        <w:gridCol w:w="1272"/>
        <w:gridCol w:w="2229"/>
      </w:tblGrid>
      <w:tr w14:paraId="5231C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60" w:type="pct"/>
            <w:vAlign w:val="center"/>
          </w:tcPr>
          <w:p w14:paraId="3062D956">
            <w:pPr>
              <w:widowControl/>
              <w:snapToGrid w:val="0"/>
              <w:spacing w:line="240" w:lineRule="auto"/>
              <w:ind w:firstLine="0" w:firstLineChars="0"/>
              <w:jc w:val="center"/>
              <w:rPr>
                <w:rFonts w:cs="Times New Roman"/>
                <w:b/>
                <w:sz w:val="21"/>
                <w:szCs w:val="21"/>
              </w:rPr>
            </w:pPr>
            <w:r>
              <w:rPr>
                <w:rFonts w:cs="Times New Roman"/>
                <w:b/>
                <w:sz w:val="21"/>
                <w:szCs w:val="21"/>
              </w:rPr>
              <w:t>环境要素</w:t>
            </w:r>
          </w:p>
        </w:tc>
        <w:tc>
          <w:tcPr>
            <w:tcW w:w="2285" w:type="pct"/>
            <w:vAlign w:val="center"/>
          </w:tcPr>
          <w:p w14:paraId="5B388724">
            <w:pPr>
              <w:widowControl/>
              <w:snapToGrid w:val="0"/>
              <w:spacing w:line="240" w:lineRule="auto"/>
              <w:ind w:firstLine="0" w:firstLineChars="0"/>
              <w:jc w:val="center"/>
              <w:rPr>
                <w:rFonts w:cs="Times New Roman"/>
                <w:b/>
                <w:sz w:val="21"/>
                <w:szCs w:val="21"/>
              </w:rPr>
            </w:pPr>
            <w:r>
              <w:rPr>
                <w:rFonts w:cs="Times New Roman"/>
                <w:b/>
                <w:sz w:val="21"/>
                <w:szCs w:val="21"/>
              </w:rPr>
              <w:t>环境功能区范围</w:t>
            </w:r>
          </w:p>
        </w:tc>
        <w:tc>
          <w:tcPr>
            <w:tcW w:w="746" w:type="pct"/>
            <w:vAlign w:val="center"/>
          </w:tcPr>
          <w:p w14:paraId="22A5542F">
            <w:pPr>
              <w:widowControl/>
              <w:snapToGrid w:val="0"/>
              <w:spacing w:line="240" w:lineRule="auto"/>
              <w:ind w:firstLine="0" w:firstLineChars="0"/>
              <w:jc w:val="center"/>
              <w:rPr>
                <w:rFonts w:cs="Times New Roman"/>
                <w:b/>
                <w:sz w:val="21"/>
                <w:szCs w:val="21"/>
              </w:rPr>
            </w:pPr>
            <w:r>
              <w:rPr>
                <w:rFonts w:cs="Times New Roman"/>
                <w:b/>
                <w:sz w:val="21"/>
                <w:szCs w:val="21"/>
              </w:rPr>
              <w:t>功能区划</w:t>
            </w:r>
          </w:p>
        </w:tc>
        <w:tc>
          <w:tcPr>
            <w:tcW w:w="1307" w:type="pct"/>
            <w:vAlign w:val="center"/>
          </w:tcPr>
          <w:p w14:paraId="3B9B5C53">
            <w:pPr>
              <w:widowControl/>
              <w:snapToGrid w:val="0"/>
              <w:spacing w:line="240" w:lineRule="auto"/>
              <w:ind w:firstLine="0" w:firstLineChars="0"/>
              <w:jc w:val="center"/>
              <w:rPr>
                <w:rFonts w:cs="Times New Roman"/>
                <w:b/>
                <w:sz w:val="21"/>
                <w:szCs w:val="21"/>
              </w:rPr>
            </w:pPr>
            <w:r>
              <w:rPr>
                <w:rFonts w:cs="Times New Roman"/>
                <w:b/>
                <w:sz w:val="21"/>
                <w:szCs w:val="21"/>
              </w:rPr>
              <w:t>划分依据</w:t>
            </w:r>
          </w:p>
        </w:tc>
      </w:tr>
      <w:tr w14:paraId="77324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jc w:val="center"/>
        </w:trPr>
        <w:tc>
          <w:tcPr>
            <w:tcW w:w="660" w:type="pct"/>
            <w:vMerge w:val="restart"/>
            <w:vAlign w:val="center"/>
          </w:tcPr>
          <w:p w14:paraId="59AF30F8">
            <w:pPr>
              <w:widowControl/>
              <w:snapToGrid w:val="0"/>
              <w:spacing w:line="240" w:lineRule="auto"/>
              <w:ind w:firstLine="0" w:firstLineChars="0"/>
              <w:jc w:val="center"/>
              <w:rPr>
                <w:rFonts w:cs="Times New Roman"/>
                <w:sz w:val="21"/>
                <w:szCs w:val="21"/>
              </w:rPr>
            </w:pPr>
            <w:r>
              <w:rPr>
                <w:rFonts w:cs="Times New Roman"/>
                <w:sz w:val="21"/>
                <w:szCs w:val="21"/>
              </w:rPr>
              <w:t>大气</w:t>
            </w:r>
          </w:p>
        </w:tc>
        <w:tc>
          <w:tcPr>
            <w:tcW w:w="2285" w:type="pct"/>
            <w:vAlign w:val="center"/>
          </w:tcPr>
          <w:p w14:paraId="30F6761B">
            <w:pPr>
              <w:widowControl/>
              <w:snapToGrid w:val="0"/>
              <w:spacing w:line="240" w:lineRule="auto"/>
              <w:ind w:firstLine="0" w:firstLineChars="0"/>
              <w:jc w:val="center"/>
              <w:rPr>
                <w:rFonts w:cs="Times New Roman"/>
                <w:sz w:val="21"/>
                <w:szCs w:val="21"/>
              </w:rPr>
            </w:pPr>
            <w:r>
              <w:rPr>
                <w:rFonts w:cs="Times New Roman"/>
                <w:sz w:val="21"/>
                <w:szCs w:val="21"/>
              </w:rPr>
              <w:t>以生态红线区——茅东山地水源涵养区、方山（金坛区）森林公园的范围为基础，保留30米以上海拔的山体范围</w:t>
            </w:r>
          </w:p>
        </w:tc>
        <w:tc>
          <w:tcPr>
            <w:tcW w:w="746" w:type="pct"/>
            <w:vAlign w:val="center"/>
          </w:tcPr>
          <w:p w14:paraId="7A1DC5BE">
            <w:pPr>
              <w:widowControl/>
              <w:snapToGrid w:val="0"/>
              <w:spacing w:line="240" w:lineRule="auto"/>
              <w:ind w:firstLine="0" w:firstLineChars="0"/>
              <w:jc w:val="center"/>
              <w:rPr>
                <w:rFonts w:cs="Times New Roman"/>
                <w:sz w:val="21"/>
                <w:szCs w:val="21"/>
              </w:rPr>
            </w:pPr>
            <w:r>
              <w:rPr>
                <w:rFonts w:cs="Times New Roman"/>
                <w:sz w:val="21"/>
                <w:szCs w:val="21"/>
              </w:rPr>
              <w:t>一类</w:t>
            </w:r>
          </w:p>
        </w:tc>
        <w:tc>
          <w:tcPr>
            <w:tcW w:w="1307" w:type="pct"/>
            <w:vMerge w:val="restart"/>
            <w:vAlign w:val="center"/>
          </w:tcPr>
          <w:p w14:paraId="6338055B">
            <w:pPr>
              <w:widowControl/>
              <w:snapToGrid w:val="0"/>
              <w:spacing w:line="240" w:lineRule="auto"/>
              <w:ind w:firstLine="0" w:firstLineChars="0"/>
              <w:jc w:val="center"/>
              <w:rPr>
                <w:rFonts w:cs="Times New Roman"/>
                <w:sz w:val="21"/>
                <w:szCs w:val="21"/>
              </w:rPr>
            </w:pPr>
            <w:r>
              <w:rPr>
                <w:rFonts w:cs="Times New Roman"/>
                <w:sz w:val="21"/>
                <w:szCs w:val="21"/>
              </w:rPr>
              <w:t>《常州市环境空气质量功能区划分规定（2017）》</w:t>
            </w:r>
          </w:p>
        </w:tc>
      </w:tr>
      <w:tr w14:paraId="43DD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660" w:type="pct"/>
            <w:vMerge w:val="continue"/>
            <w:vAlign w:val="center"/>
          </w:tcPr>
          <w:p w14:paraId="5FCC4342">
            <w:pPr>
              <w:widowControl/>
              <w:snapToGrid w:val="0"/>
              <w:spacing w:line="240" w:lineRule="auto"/>
              <w:ind w:firstLine="0" w:firstLineChars="0"/>
              <w:jc w:val="center"/>
              <w:rPr>
                <w:rFonts w:cs="Times New Roman"/>
                <w:sz w:val="21"/>
                <w:szCs w:val="21"/>
              </w:rPr>
            </w:pPr>
          </w:p>
        </w:tc>
        <w:tc>
          <w:tcPr>
            <w:tcW w:w="2285" w:type="pct"/>
            <w:vAlign w:val="center"/>
          </w:tcPr>
          <w:p w14:paraId="3A3D357C">
            <w:pPr>
              <w:widowControl/>
              <w:snapToGrid w:val="0"/>
              <w:spacing w:line="240" w:lineRule="auto"/>
              <w:ind w:firstLine="0" w:firstLineChars="0"/>
              <w:jc w:val="center"/>
              <w:rPr>
                <w:rFonts w:cs="Times New Roman"/>
                <w:sz w:val="21"/>
                <w:szCs w:val="21"/>
              </w:rPr>
            </w:pPr>
            <w:r>
              <w:rPr>
                <w:rFonts w:cs="Times New Roman"/>
                <w:sz w:val="21"/>
                <w:szCs w:val="21"/>
              </w:rPr>
              <w:t>一类环境空气质量功能区和二类环境空气质量功能区之间设置300米缓冲区</w:t>
            </w:r>
          </w:p>
        </w:tc>
        <w:tc>
          <w:tcPr>
            <w:tcW w:w="746" w:type="pct"/>
            <w:vAlign w:val="center"/>
          </w:tcPr>
          <w:p w14:paraId="5939AF36">
            <w:pPr>
              <w:widowControl/>
              <w:snapToGrid w:val="0"/>
              <w:spacing w:line="240" w:lineRule="auto"/>
              <w:ind w:firstLine="0" w:firstLineChars="0"/>
              <w:jc w:val="center"/>
              <w:rPr>
                <w:rFonts w:cs="Times New Roman"/>
                <w:sz w:val="21"/>
                <w:szCs w:val="21"/>
              </w:rPr>
            </w:pPr>
            <w:r>
              <w:rPr>
                <w:rFonts w:cs="Times New Roman"/>
                <w:sz w:val="21"/>
                <w:szCs w:val="21"/>
              </w:rPr>
              <w:t>缓冲区</w:t>
            </w:r>
          </w:p>
        </w:tc>
        <w:tc>
          <w:tcPr>
            <w:tcW w:w="1307" w:type="pct"/>
            <w:vMerge w:val="continue"/>
            <w:vAlign w:val="center"/>
          </w:tcPr>
          <w:p w14:paraId="15038A4E">
            <w:pPr>
              <w:widowControl/>
              <w:snapToGrid w:val="0"/>
              <w:spacing w:line="240" w:lineRule="auto"/>
              <w:ind w:firstLine="0" w:firstLineChars="0"/>
              <w:jc w:val="center"/>
              <w:rPr>
                <w:rFonts w:cs="Times New Roman"/>
                <w:sz w:val="21"/>
                <w:szCs w:val="21"/>
              </w:rPr>
            </w:pPr>
          </w:p>
        </w:tc>
      </w:tr>
      <w:tr w14:paraId="21E59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660" w:type="pct"/>
            <w:vMerge w:val="continue"/>
            <w:vAlign w:val="center"/>
          </w:tcPr>
          <w:p w14:paraId="24213136">
            <w:pPr>
              <w:widowControl/>
              <w:snapToGrid w:val="0"/>
              <w:spacing w:line="240" w:lineRule="auto"/>
              <w:ind w:firstLine="0" w:firstLineChars="0"/>
              <w:jc w:val="center"/>
              <w:rPr>
                <w:rFonts w:cs="Times New Roman"/>
                <w:sz w:val="21"/>
                <w:szCs w:val="21"/>
              </w:rPr>
            </w:pPr>
          </w:p>
        </w:tc>
        <w:tc>
          <w:tcPr>
            <w:tcW w:w="2285" w:type="pct"/>
            <w:vAlign w:val="center"/>
          </w:tcPr>
          <w:p w14:paraId="2869A9B4">
            <w:pPr>
              <w:widowControl/>
              <w:snapToGrid w:val="0"/>
              <w:spacing w:line="240" w:lineRule="auto"/>
              <w:ind w:firstLine="0" w:firstLineChars="0"/>
              <w:jc w:val="center"/>
              <w:rPr>
                <w:rFonts w:cs="Times New Roman"/>
                <w:sz w:val="21"/>
                <w:szCs w:val="21"/>
              </w:rPr>
            </w:pPr>
            <w:r>
              <w:rPr>
                <w:rFonts w:cs="Times New Roman"/>
                <w:sz w:val="21"/>
                <w:szCs w:val="21"/>
              </w:rPr>
              <w:t>规划范围内其他区域</w:t>
            </w:r>
          </w:p>
        </w:tc>
        <w:tc>
          <w:tcPr>
            <w:tcW w:w="746" w:type="pct"/>
            <w:vAlign w:val="center"/>
          </w:tcPr>
          <w:p w14:paraId="78A023FF">
            <w:pPr>
              <w:widowControl/>
              <w:snapToGrid w:val="0"/>
              <w:spacing w:line="240" w:lineRule="auto"/>
              <w:ind w:firstLine="0" w:firstLineChars="0"/>
              <w:jc w:val="center"/>
              <w:rPr>
                <w:rFonts w:cs="Times New Roman"/>
                <w:sz w:val="21"/>
                <w:szCs w:val="21"/>
              </w:rPr>
            </w:pPr>
            <w:r>
              <w:rPr>
                <w:rFonts w:cs="Times New Roman"/>
                <w:sz w:val="21"/>
                <w:szCs w:val="21"/>
              </w:rPr>
              <w:t>二类</w:t>
            </w:r>
          </w:p>
        </w:tc>
        <w:tc>
          <w:tcPr>
            <w:tcW w:w="1307" w:type="pct"/>
            <w:vMerge w:val="continue"/>
            <w:vAlign w:val="center"/>
          </w:tcPr>
          <w:p w14:paraId="3291E406">
            <w:pPr>
              <w:widowControl/>
              <w:snapToGrid w:val="0"/>
              <w:spacing w:line="240" w:lineRule="auto"/>
              <w:ind w:firstLine="0" w:firstLineChars="0"/>
              <w:jc w:val="center"/>
              <w:rPr>
                <w:rFonts w:cs="Times New Roman"/>
                <w:sz w:val="21"/>
                <w:szCs w:val="21"/>
              </w:rPr>
            </w:pPr>
          </w:p>
        </w:tc>
      </w:tr>
      <w:tr w14:paraId="04AD0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660" w:type="pct"/>
            <w:vMerge w:val="restart"/>
            <w:vAlign w:val="center"/>
          </w:tcPr>
          <w:p w14:paraId="7F60D601">
            <w:pPr>
              <w:widowControl/>
              <w:snapToGrid w:val="0"/>
              <w:spacing w:line="240" w:lineRule="auto"/>
              <w:ind w:firstLine="0" w:firstLineChars="0"/>
              <w:jc w:val="center"/>
              <w:rPr>
                <w:rFonts w:cs="Times New Roman"/>
                <w:sz w:val="21"/>
                <w:szCs w:val="21"/>
              </w:rPr>
            </w:pPr>
            <w:r>
              <w:rPr>
                <w:rFonts w:cs="Times New Roman"/>
                <w:sz w:val="21"/>
                <w:szCs w:val="21"/>
              </w:rPr>
              <w:t>地表水</w:t>
            </w:r>
          </w:p>
        </w:tc>
        <w:tc>
          <w:tcPr>
            <w:tcW w:w="2285" w:type="pct"/>
            <w:vAlign w:val="center"/>
          </w:tcPr>
          <w:p w14:paraId="40FECE3D">
            <w:pPr>
              <w:widowControl/>
              <w:snapToGrid w:val="0"/>
              <w:spacing w:line="240" w:lineRule="auto"/>
              <w:ind w:firstLine="0" w:firstLineChars="0"/>
              <w:jc w:val="center"/>
              <w:rPr>
                <w:rFonts w:cs="Times New Roman"/>
                <w:sz w:val="21"/>
                <w:szCs w:val="21"/>
              </w:rPr>
            </w:pPr>
            <w:r>
              <w:rPr>
                <w:rFonts w:cs="Times New Roman"/>
                <w:sz w:val="21"/>
                <w:szCs w:val="21"/>
              </w:rPr>
              <w:t>薛埠河</w:t>
            </w:r>
          </w:p>
        </w:tc>
        <w:tc>
          <w:tcPr>
            <w:tcW w:w="746" w:type="pct"/>
            <w:vAlign w:val="center"/>
          </w:tcPr>
          <w:p w14:paraId="0A3AC6F7">
            <w:pPr>
              <w:widowControl/>
              <w:snapToGrid w:val="0"/>
              <w:spacing w:line="240" w:lineRule="auto"/>
              <w:ind w:firstLine="0" w:firstLineChars="0"/>
              <w:jc w:val="center"/>
              <w:rPr>
                <w:rFonts w:cs="Times New Roman"/>
                <w:sz w:val="21"/>
                <w:szCs w:val="21"/>
              </w:rPr>
            </w:pPr>
            <w:r>
              <w:rPr>
                <w:rFonts w:cs="Times New Roman"/>
                <w:sz w:val="21"/>
                <w:szCs w:val="21"/>
              </w:rPr>
              <w:t>Ⅲ类</w:t>
            </w:r>
          </w:p>
        </w:tc>
        <w:tc>
          <w:tcPr>
            <w:tcW w:w="1307" w:type="pct"/>
            <w:vMerge w:val="restart"/>
            <w:vAlign w:val="center"/>
          </w:tcPr>
          <w:p w14:paraId="0BEFAC2E">
            <w:pPr>
              <w:widowControl/>
              <w:snapToGrid w:val="0"/>
              <w:spacing w:line="240" w:lineRule="auto"/>
              <w:ind w:firstLine="0" w:firstLineChars="0"/>
              <w:jc w:val="center"/>
              <w:rPr>
                <w:rFonts w:cs="Times New Roman"/>
                <w:sz w:val="21"/>
                <w:szCs w:val="21"/>
              </w:rPr>
            </w:pPr>
            <w:r>
              <w:rPr>
                <w:rFonts w:cs="Times New Roman"/>
                <w:sz w:val="21"/>
                <w:szCs w:val="21"/>
              </w:rPr>
              <w:t>《江苏省地表水（环境）功能区划（2021—2030年）》《地表水环境质量标准》（GB 3838-2002）</w:t>
            </w:r>
          </w:p>
        </w:tc>
      </w:tr>
      <w:tr w14:paraId="41CE7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660" w:type="pct"/>
            <w:vMerge w:val="continue"/>
            <w:vAlign w:val="center"/>
          </w:tcPr>
          <w:p w14:paraId="7D14DC51">
            <w:pPr>
              <w:widowControl/>
              <w:snapToGrid w:val="0"/>
              <w:spacing w:line="240" w:lineRule="auto"/>
              <w:ind w:firstLine="0" w:firstLineChars="0"/>
              <w:jc w:val="center"/>
              <w:rPr>
                <w:rFonts w:cs="Times New Roman"/>
                <w:sz w:val="21"/>
                <w:szCs w:val="21"/>
              </w:rPr>
            </w:pPr>
          </w:p>
        </w:tc>
        <w:tc>
          <w:tcPr>
            <w:tcW w:w="2285" w:type="pct"/>
            <w:vAlign w:val="center"/>
          </w:tcPr>
          <w:p w14:paraId="2455007F">
            <w:pPr>
              <w:widowControl/>
              <w:snapToGrid w:val="0"/>
              <w:spacing w:line="240" w:lineRule="auto"/>
              <w:ind w:firstLine="0" w:firstLineChars="0"/>
              <w:jc w:val="center"/>
              <w:rPr>
                <w:rFonts w:cs="Times New Roman"/>
                <w:sz w:val="21"/>
                <w:szCs w:val="21"/>
              </w:rPr>
            </w:pPr>
            <w:r>
              <w:rPr>
                <w:rFonts w:cs="Times New Roman"/>
                <w:sz w:val="21"/>
                <w:szCs w:val="21"/>
              </w:rPr>
              <w:t>茅东水库、东进水库、海底水库、向阳水库、瓦沟水库、新浮（山）水库</w:t>
            </w:r>
          </w:p>
        </w:tc>
        <w:tc>
          <w:tcPr>
            <w:tcW w:w="746" w:type="pct"/>
            <w:vAlign w:val="center"/>
          </w:tcPr>
          <w:p w14:paraId="6C00BF5B">
            <w:pPr>
              <w:snapToGrid w:val="0"/>
              <w:spacing w:line="240" w:lineRule="auto"/>
              <w:ind w:firstLine="0" w:firstLineChars="0"/>
              <w:jc w:val="center"/>
              <w:rPr>
                <w:rFonts w:cs="Times New Roman"/>
                <w:sz w:val="21"/>
                <w:szCs w:val="21"/>
              </w:rPr>
            </w:pPr>
            <w:r>
              <w:rPr>
                <w:rFonts w:cs="Times New Roman"/>
                <w:sz w:val="21"/>
                <w:szCs w:val="21"/>
              </w:rPr>
              <w:t>Ⅲ类</w:t>
            </w:r>
          </w:p>
        </w:tc>
        <w:tc>
          <w:tcPr>
            <w:tcW w:w="1307" w:type="pct"/>
            <w:vMerge w:val="continue"/>
            <w:vAlign w:val="center"/>
          </w:tcPr>
          <w:p w14:paraId="73BA013D">
            <w:pPr>
              <w:widowControl/>
              <w:snapToGrid w:val="0"/>
              <w:spacing w:line="240" w:lineRule="auto"/>
              <w:ind w:firstLine="0" w:firstLineChars="0"/>
              <w:jc w:val="center"/>
              <w:rPr>
                <w:rFonts w:cs="Times New Roman"/>
                <w:sz w:val="21"/>
                <w:szCs w:val="21"/>
              </w:rPr>
            </w:pPr>
          </w:p>
        </w:tc>
      </w:tr>
      <w:tr w14:paraId="1315A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660" w:type="pct"/>
            <w:vMerge w:val="restart"/>
            <w:vAlign w:val="center"/>
          </w:tcPr>
          <w:p w14:paraId="281237E2">
            <w:pPr>
              <w:widowControl/>
              <w:snapToGrid w:val="0"/>
              <w:spacing w:line="240" w:lineRule="auto"/>
              <w:ind w:firstLine="0" w:firstLineChars="0"/>
              <w:jc w:val="center"/>
              <w:rPr>
                <w:rFonts w:cs="Times New Roman"/>
                <w:sz w:val="21"/>
                <w:szCs w:val="21"/>
              </w:rPr>
            </w:pPr>
            <w:r>
              <w:rPr>
                <w:rFonts w:cs="Times New Roman"/>
                <w:sz w:val="21"/>
                <w:szCs w:val="21"/>
              </w:rPr>
              <w:t>声</w:t>
            </w:r>
          </w:p>
        </w:tc>
        <w:tc>
          <w:tcPr>
            <w:tcW w:w="3896" w:type="dxa"/>
            <w:vAlign w:val="center"/>
          </w:tcPr>
          <w:p w14:paraId="5DF69531">
            <w:pPr>
              <w:widowControl/>
              <w:snapToGrid w:val="0"/>
              <w:spacing w:line="240" w:lineRule="auto"/>
              <w:ind w:firstLine="0" w:firstLineChars="0"/>
              <w:jc w:val="center"/>
              <w:rPr>
                <w:rFonts w:cs="Times New Roman"/>
                <w:sz w:val="21"/>
                <w:szCs w:val="21"/>
              </w:rPr>
            </w:pPr>
            <w:r>
              <w:rPr>
                <w:rFonts w:cs="Times New Roman"/>
                <w:sz w:val="21"/>
                <w:szCs w:val="21"/>
                <w:lang w:bidi="ar"/>
              </w:rPr>
              <w:t>茅山风景名胜区、江苏常州金坛茅东省级森林公园和自然保护地范围，以及度假区内居民住宅、医疗卫生和行政办公用地区域</w:t>
            </w:r>
          </w:p>
        </w:tc>
        <w:tc>
          <w:tcPr>
            <w:tcW w:w="1272" w:type="dxa"/>
            <w:vAlign w:val="center"/>
          </w:tcPr>
          <w:p w14:paraId="57C66C90">
            <w:pPr>
              <w:widowControl/>
              <w:snapToGrid w:val="0"/>
              <w:spacing w:line="240" w:lineRule="auto"/>
              <w:ind w:firstLine="0" w:firstLineChars="0"/>
              <w:jc w:val="center"/>
              <w:rPr>
                <w:rFonts w:cs="Times New Roman"/>
                <w:sz w:val="21"/>
                <w:szCs w:val="21"/>
              </w:rPr>
            </w:pPr>
            <w:r>
              <w:rPr>
                <w:rFonts w:cs="Times New Roman"/>
                <w:sz w:val="21"/>
                <w:szCs w:val="21"/>
                <w:lang w:bidi="ar"/>
              </w:rPr>
              <w:t>1类</w:t>
            </w:r>
          </w:p>
        </w:tc>
        <w:tc>
          <w:tcPr>
            <w:tcW w:w="1307" w:type="pct"/>
            <w:vMerge w:val="restart"/>
            <w:vAlign w:val="center"/>
          </w:tcPr>
          <w:p w14:paraId="723FC280">
            <w:pPr>
              <w:widowControl/>
              <w:snapToGrid w:val="0"/>
              <w:spacing w:line="240" w:lineRule="auto"/>
              <w:ind w:firstLine="0" w:firstLineChars="0"/>
              <w:jc w:val="center"/>
              <w:rPr>
                <w:rFonts w:cs="Times New Roman"/>
                <w:sz w:val="21"/>
                <w:szCs w:val="21"/>
              </w:rPr>
            </w:pPr>
            <w:r>
              <w:rPr>
                <w:rFonts w:cs="Times New Roman"/>
                <w:sz w:val="21"/>
                <w:szCs w:val="24"/>
              </w:rPr>
              <w:t>《声环境功能区划分技术规范》（GB/T 15190-2014）、《声环境质量标准》（GB 3096-2008）</w:t>
            </w:r>
          </w:p>
        </w:tc>
      </w:tr>
      <w:tr w14:paraId="50861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660" w:type="pct"/>
            <w:vMerge w:val="continue"/>
            <w:vAlign w:val="center"/>
          </w:tcPr>
          <w:p w14:paraId="3FED5F09">
            <w:pPr>
              <w:widowControl/>
              <w:snapToGrid w:val="0"/>
              <w:spacing w:line="240" w:lineRule="auto"/>
              <w:ind w:firstLine="0" w:firstLineChars="0"/>
              <w:jc w:val="center"/>
              <w:rPr>
                <w:rFonts w:cs="Times New Roman"/>
                <w:sz w:val="21"/>
                <w:szCs w:val="21"/>
              </w:rPr>
            </w:pPr>
          </w:p>
        </w:tc>
        <w:tc>
          <w:tcPr>
            <w:tcW w:w="3896" w:type="dxa"/>
            <w:vAlign w:val="center"/>
          </w:tcPr>
          <w:p w14:paraId="1063B823">
            <w:pPr>
              <w:widowControl/>
              <w:snapToGrid w:val="0"/>
              <w:spacing w:line="240" w:lineRule="auto"/>
              <w:ind w:firstLine="0" w:firstLineChars="0"/>
              <w:jc w:val="center"/>
              <w:rPr>
                <w:rFonts w:cs="Times New Roman"/>
                <w:sz w:val="21"/>
                <w:szCs w:val="21"/>
              </w:rPr>
            </w:pPr>
            <w:r>
              <w:rPr>
                <w:rFonts w:cs="Times New Roman"/>
                <w:sz w:val="21"/>
                <w:szCs w:val="21"/>
                <w:lang w:bidi="ar"/>
              </w:rPr>
              <w:t>居住、旅游度假、休闲娱乐、商业混合区域以及除1类、3类、4a类、4b类以外的其他区域范围</w:t>
            </w:r>
          </w:p>
        </w:tc>
        <w:tc>
          <w:tcPr>
            <w:tcW w:w="1272" w:type="dxa"/>
            <w:vAlign w:val="center"/>
          </w:tcPr>
          <w:p w14:paraId="5C9BBE5A">
            <w:pPr>
              <w:widowControl/>
              <w:snapToGrid w:val="0"/>
              <w:spacing w:line="240" w:lineRule="auto"/>
              <w:ind w:firstLine="0" w:firstLineChars="0"/>
              <w:jc w:val="center"/>
              <w:rPr>
                <w:rFonts w:cs="Times New Roman"/>
                <w:sz w:val="21"/>
                <w:szCs w:val="21"/>
              </w:rPr>
            </w:pPr>
            <w:r>
              <w:rPr>
                <w:rFonts w:cs="Times New Roman"/>
                <w:sz w:val="21"/>
                <w:szCs w:val="21"/>
                <w:lang w:bidi="ar"/>
              </w:rPr>
              <w:t>2类</w:t>
            </w:r>
          </w:p>
        </w:tc>
        <w:tc>
          <w:tcPr>
            <w:tcW w:w="1307" w:type="pct"/>
            <w:vMerge w:val="continue"/>
            <w:vAlign w:val="center"/>
          </w:tcPr>
          <w:p w14:paraId="5DE25FE8">
            <w:pPr>
              <w:widowControl/>
              <w:snapToGrid w:val="0"/>
              <w:spacing w:line="240" w:lineRule="auto"/>
              <w:ind w:firstLine="0" w:firstLineChars="0"/>
              <w:jc w:val="center"/>
              <w:rPr>
                <w:rFonts w:cs="Times New Roman"/>
                <w:sz w:val="21"/>
                <w:szCs w:val="24"/>
              </w:rPr>
            </w:pPr>
          </w:p>
        </w:tc>
      </w:tr>
      <w:tr w14:paraId="23F02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660" w:type="pct"/>
            <w:vMerge w:val="continue"/>
            <w:vAlign w:val="center"/>
          </w:tcPr>
          <w:p w14:paraId="4477F685">
            <w:pPr>
              <w:widowControl/>
              <w:snapToGrid w:val="0"/>
              <w:spacing w:line="240" w:lineRule="auto"/>
              <w:ind w:firstLine="0" w:firstLineChars="0"/>
              <w:jc w:val="center"/>
              <w:rPr>
                <w:rFonts w:cs="Times New Roman"/>
                <w:sz w:val="21"/>
                <w:szCs w:val="21"/>
              </w:rPr>
            </w:pPr>
          </w:p>
        </w:tc>
        <w:tc>
          <w:tcPr>
            <w:tcW w:w="3896" w:type="dxa"/>
            <w:vAlign w:val="center"/>
          </w:tcPr>
          <w:p w14:paraId="49392B66">
            <w:pPr>
              <w:widowControl/>
              <w:snapToGrid w:val="0"/>
              <w:spacing w:line="240" w:lineRule="auto"/>
              <w:ind w:firstLine="0" w:firstLineChars="0"/>
              <w:jc w:val="center"/>
              <w:rPr>
                <w:rFonts w:cs="Times New Roman"/>
                <w:sz w:val="21"/>
                <w:szCs w:val="21"/>
              </w:rPr>
            </w:pPr>
            <w:r>
              <w:rPr>
                <w:rFonts w:cs="Times New Roman"/>
                <w:sz w:val="21"/>
                <w:szCs w:val="21"/>
                <w:lang w:bidi="ar"/>
              </w:rPr>
              <w:t>现状工业企业用地区域</w:t>
            </w:r>
          </w:p>
        </w:tc>
        <w:tc>
          <w:tcPr>
            <w:tcW w:w="1272" w:type="dxa"/>
            <w:vAlign w:val="center"/>
          </w:tcPr>
          <w:p w14:paraId="3142D527">
            <w:pPr>
              <w:widowControl/>
              <w:snapToGrid w:val="0"/>
              <w:spacing w:line="240" w:lineRule="auto"/>
              <w:ind w:firstLine="0" w:firstLineChars="0"/>
              <w:jc w:val="center"/>
              <w:rPr>
                <w:rFonts w:cs="Times New Roman"/>
                <w:sz w:val="21"/>
                <w:szCs w:val="21"/>
              </w:rPr>
            </w:pPr>
            <w:r>
              <w:rPr>
                <w:rFonts w:cs="Times New Roman"/>
                <w:sz w:val="21"/>
                <w:szCs w:val="21"/>
                <w:lang w:bidi="ar"/>
              </w:rPr>
              <w:t>3类</w:t>
            </w:r>
          </w:p>
        </w:tc>
        <w:tc>
          <w:tcPr>
            <w:tcW w:w="1307" w:type="pct"/>
            <w:vMerge w:val="continue"/>
            <w:vAlign w:val="center"/>
          </w:tcPr>
          <w:p w14:paraId="6BF7FEA0">
            <w:pPr>
              <w:widowControl/>
              <w:snapToGrid w:val="0"/>
              <w:spacing w:line="240" w:lineRule="auto"/>
              <w:ind w:firstLine="0" w:firstLineChars="0"/>
              <w:jc w:val="center"/>
              <w:rPr>
                <w:rFonts w:cs="Times New Roman"/>
                <w:sz w:val="21"/>
                <w:szCs w:val="24"/>
              </w:rPr>
            </w:pPr>
          </w:p>
        </w:tc>
      </w:tr>
      <w:tr w14:paraId="05BE1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2" w:hRule="atLeast"/>
          <w:jc w:val="center"/>
        </w:trPr>
        <w:tc>
          <w:tcPr>
            <w:tcW w:w="660" w:type="pct"/>
            <w:vMerge w:val="continue"/>
            <w:vAlign w:val="center"/>
          </w:tcPr>
          <w:p w14:paraId="4F517155">
            <w:pPr>
              <w:widowControl/>
              <w:snapToGrid w:val="0"/>
              <w:spacing w:line="240" w:lineRule="auto"/>
              <w:ind w:firstLine="0" w:firstLineChars="0"/>
              <w:jc w:val="center"/>
              <w:rPr>
                <w:rFonts w:cs="Times New Roman"/>
                <w:sz w:val="21"/>
                <w:szCs w:val="21"/>
              </w:rPr>
            </w:pPr>
          </w:p>
        </w:tc>
        <w:tc>
          <w:tcPr>
            <w:tcW w:w="3896" w:type="dxa"/>
            <w:vAlign w:val="center"/>
          </w:tcPr>
          <w:p w14:paraId="0275B33B">
            <w:pPr>
              <w:widowControl/>
              <w:snapToGrid w:val="0"/>
              <w:spacing w:line="240" w:lineRule="auto"/>
              <w:ind w:firstLine="0" w:firstLineChars="0"/>
              <w:jc w:val="center"/>
              <w:rPr>
                <w:rFonts w:cs="Times New Roman"/>
                <w:sz w:val="21"/>
                <w:szCs w:val="21"/>
              </w:rPr>
            </w:pPr>
            <w:r>
              <w:rPr>
                <w:rFonts w:cs="Times New Roman"/>
                <w:sz w:val="21"/>
                <w:szCs w:val="21"/>
                <w:lang w:bidi="ar"/>
              </w:rPr>
              <w:t>沪武高速边界线外两侧40m以内区域范围及S239省道、茅山旅游大道、指茅公路等一级公路；白乾公路、仙姑路、游仙路等二级公路边界线外两侧40m以内区域</w:t>
            </w:r>
          </w:p>
        </w:tc>
        <w:tc>
          <w:tcPr>
            <w:tcW w:w="1272" w:type="dxa"/>
            <w:vAlign w:val="center"/>
          </w:tcPr>
          <w:p w14:paraId="7869A0BE">
            <w:pPr>
              <w:widowControl/>
              <w:snapToGrid w:val="0"/>
              <w:spacing w:line="240" w:lineRule="auto"/>
              <w:ind w:firstLine="0" w:firstLineChars="0"/>
              <w:jc w:val="center"/>
              <w:rPr>
                <w:rFonts w:cs="Times New Roman"/>
                <w:sz w:val="21"/>
                <w:szCs w:val="21"/>
              </w:rPr>
            </w:pPr>
            <w:r>
              <w:rPr>
                <w:rFonts w:cs="Times New Roman"/>
                <w:sz w:val="21"/>
                <w:szCs w:val="21"/>
                <w:lang w:bidi="ar"/>
              </w:rPr>
              <w:t>4a类</w:t>
            </w:r>
          </w:p>
        </w:tc>
        <w:tc>
          <w:tcPr>
            <w:tcW w:w="1307" w:type="pct"/>
            <w:vMerge w:val="continue"/>
            <w:vAlign w:val="center"/>
          </w:tcPr>
          <w:p w14:paraId="07488FB7">
            <w:pPr>
              <w:widowControl/>
              <w:snapToGrid w:val="0"/>
              <w:spacing w:line="240" w:lineRule="auto"/>
              <w:ind w:firstLine="0" w:firstLineChars="0"/>
              <w:jc w:val="center"/>
              <w:rPr>
                <w:rFonts w:cs="Times New Roman"/>
                <w:sz w:val="21"/>
                <w:szCs w:val="21"/>
              </w:rPr>
            </w:pPr>
          </w:p>
        </w:tc>
      </w:tr>
      <w:tr w14:paraId="3D484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660" w:type="pct"/>
            <w:vMerge w:val="continue"/>
            <w:vAlign w:val="center"/>
          </w:tcPr>
          <w:p w14:paraId="69C17D77">
            <w:pPr>
              <w:widowControl/>
              <w:snapToGrid w:val="0"/>
              <w:spacing w:line="240" w:lineRule="auto"/>
              <w:ind w:firstLine="0" w:firstLineChars="0"/>
              <w:jc w:val="center"/>
              <w:rPr>
                <w:rFonts w:cs="Times New Roman"/>
                <w:sz w:val="21"/>
                <w:szCs w:val="21"/>
              </w:rPr>
            </w:pPr>
          </w:p>
        </w:tc>
        <w:tc>
          <w:tcPr>
            <w:tcW w:w="3896" w:type="dxa"/>
            <w:vAlign w:val="center"/>
          </w:tcPr>
          <w:p w14:paraId="3EF7264E">
            <w:pPr>
              <w:widowControl/>
              <w:snapToGrid w:val="0"/>
              <w:spacing w:line="240" w:lineRule="auto"/>
              <w:ind w:firstLine="0" w:firstLineChars="0"/>
              <w:jc w:val="center"/>
              <w:rPr>
                <w:rFonts w:cs="Times New Roman"/>
                <w:sz w:val="21"/>
                <w:szCs w:val="21"/>
              </w:rPr>
            </w:pPr>
            <w:r>
              <w:rPr>
                <w:rFonts w:cs="Times New Roman"/>
                <w:sz w:val="21"/>
                <w:szCs w:val="21"/>
                <w:lang w:bidi="ar"/>
              </w:rPr>
              <w:t>苏南沿江城际铁路两侧40m以内区域</w:t>
            </w:r>
          </w:p>
        </w:tc>
        <w:tc>
          <w:tcPr>
            <w:tcW w:w="1272" w:type="dxa"/>
            <w:vAlign w:val="center"/>
          </w:tcPr>
          <w:p w14:paraId="2A8563A4">
            <w:pPr>
              <w:widowControl/>
              <w:snapToGrid w:val="0"/>
              <w:spacing w:line="240" w:lineRule="auto"/>
              <w:ind w:firstLine="0" w:firstLineChars="0"/>
              <w:jc w:val="center"/>
              <w:rPr>
                <w:rFonts w:cs="Times New Roman"/>
                <w:sz w:val="21"/>
                <w:szCs w:val="21"/>
              </w:rPr>
            </w:pPr>
            <w:r>
              <w:rPr>
                <w:rFonts w:cs="Times New Roman"/>
                <w:sz w:val="21"/>
                <w:szCs w:val="21"/>
                <w:lang w:bidi="ar"/>
              </w:rPr>
              <w:t>4b类</w:t>
            </w:r>
          </w:p>
        </w:tc>
        <w:tc>
          <w:tcPr>
            <w:tcW w:w="1307" w:type="pct"/>
            <w:vMerge w:val="continue"/>
            <w:vAlign w:val="center"/>
          </w:tcPr>
          <w:p w14:paraId="5A4C543B">
            <w:pPr>
              <w:widowControl/>
              <w:snapToGrid w:val="0"/>
              <w:spacing w:line="240" w:lineRule="auto"/>
              <w:ind w:firstLine="0" w:firstLineChars="0"/>
              <w:jc w:val="center"/>
              <w:rPr>
                <w:rFonts w:cs="Times New Roman"/>
                <w:sz w:val="21"/>
                <w:szCs w:val="21"/>
              </w:rPr>
            </w:pPr>
          </w:p>
        </w:tc>
      </w:tr>
    </w:tbl>
    <w:p w14:paraId="195E0B81">
      <w:pPr>
        <w:ind w:firstLine="0" w:firstLineChars="0"/>
        <w:outlineLvl w:val="3"/>
        <w:rPr>
          <w:b/>
          <w:bCs/>
        </w:rPr>
      </w:pPr>
      <w:r>
        <w:rPr>
          <w:rFonts w:hint="eastAsia"/>
          <w:b/>
          <w:bCs/>
        </w:rPr>
        <w:t>11</w:t>
      </w:r>
      <w:r>
        <w:rPr>
          <w:b/>
          <w:bCs/>
        </w:rPr>
        <w:t>.2.</w:t>
      </w:r>
      <w:r>
        <w:rPr>
          <w:rFonts w:hint="eastAsia"/>
          <w:b/>
          <w:bCs/>
        </w:rPr>
        <w:t>2</w:t>
      </w:r>
      <w:r>
        <w:rPr>
          <w:b/>
          <w:bCs/>
        </w:rPr>
        <w:t>.</w:t>
      </w:r>
      <w:r>
        <w:rPr>
          <w:rFonts w:hint="eastAsia"/>
          <w:b/>
          <w:bCs/>
        </w:rPr>
        <w:t>3资源能源利用上线</w:t>
      </w:r>
    </w:p>
    <w:p w14:paraId="47EC1DE4">
      <w:pPr>
        <w:ind w:firstLine="480"/>
      </w:pPr>
      <w:r>
        <w:rPr>
          <w:rFonts w:hint="eastAsia"/>
        </w:rPr>
        <w:t>本轮规划末期用地规模为109.4km</w:t>
      </w:r>
      <w:r>
        <w:rPr>
          <w:rFonts w:hint="eastAsia"/>
          <w:vertAlign w:val="superscript"/>
        </w:rPr>
        <w:t>2</w:t>
      </w:r>
      <w:r>
        <w:rPr>
          <w:rFonts w:hint="eastAsia"/>
        </w:rPr>
        <w:t>，其中建设用地9.374km</w:t>
      </w:r>
      <w:r>
        <w:rPr>
          <w:rFonts w:hint="eastAsia"/>
          <w:vertAlign w:val="superscript"/>
        </w:rPr>
        <w:t>2</w:t>
      </w:r>
      <w:r>
        <w:rPr>
          <w:rFonts w:hint="eastAsia"/>
        </w:rPr>
        <w:t>，非建设用地100.026km</w:t>
      </w:r>
      <w:r>
        <w:rPr>
          <w:rFonts w:hint="eastAsia"/>
          <w:vertAlign w:val="superscript"/>
        </w:rPr>
        <w:t>2</w:t>
      </w:r>
      <w:r>
        <w:rPr>
          <w:rFonts w:hint="eastAsia"/>
        </w:rPr>
        <w:t>，度假区开发建设不得突破该城市建设用地规模。</w:t>
      </w:r>
    </w:p>
    <w:p w14:paraId="48439F5A">
      <w:pPr>
        <w:ind w:firstLine="0" w:firstLineChars="0"/>
        <w:outlineLvl w:val="3"/>
        <w:rPr>
          <w:b/>
          <w:bCs/>
        </w:rPr>
      </w:pPr>
      <w:r>
        <w:rPr>
          <w:rFonts w:hint="eastAsia"/>
          <w:b/>
          <w:bCs/>
        </w:rPr>
        <w:t>11</w:t>
      </w:r>
      <w:r>
        <w:rPr>
          <w:b/>
          <w:bCs/>
        </w:rPr>
        <w:t>.2.</w:t>
      </w:r>
      <w:r>
        <w:rPr>
          <w:rFonts w:hint="eastAsia"/>
          <w:b/>
          <w:bCs/>
        </w:rPr>
        <w:t>2</w:t>
      </w:r>
      <w:r>
        <w:rPr>
          <w:b/>
          <w:bCs/>
        </w:rPr>
        <w:t>.</w:t>
      </w:r>
      <w:r>
        <w:rPr>
          <w:rFonts w:hint="eastAsia"/>
          <w:b/>
          <w:bCs/>
        </w:rPr>
        <w:t>4生态环境准入清单</w:t>
      </w:r>
    </w:p>
    <w:p w14:paraId="65450C45">
      <w:pPr>
        <w:ind w:firstLine="480"/>
      </w:pPr>
      <w:r>
        <w:rPr>
          <w:rFonts w:hint="eastAsia"/>
        </w:rPr>
        <w:t>茅山旅游度假区引入项目必须满足《江苏省国家级生态保护红线规划》《江苏省生态空间管控区域规划》《江苏省太湖水污染防治条例》以及生态保护红线、空间管控区域管理办法和项目准入等相关规定，选址应符合城乡总体规划、土地利用总体规划、环境保护规划和其他相关规划要求；</w:t>
      </w:r>
    </w:p>
    <w:p w14:paraId="24F4A556">
      <w:pPr>
        <w:ind w:firstLine="480"/>
      </w:pPr>
      <w:r>
        <w:rPr>
          <w:rFonts w:hint="eastAsia"/>
        </w:rPr>
        <w:t>原有工业企业搬迁后原地块再开发利用的，应按规定对该场地进行环境调查评估。经调查评估需要土壤、地下水修复的，应予以修复，经修复验收符合要求后方可开发建设。</w:t>
      </w:r>
    </w:p>
    <w:p w14:paraId="587787CB">
      <w:pPr>
        <w:ind w:firstLine="480"/>
      </w:pPr>
      <w:r>
        <w:rPr>
          <w:rFonts w:hint="eastAsia"/>
        </w:rPr>
        <w:t>本次在综合考虑规划空间管制要求、污染物排放管控、环境风险防控和资源开发利用要求的基础上，结合《江苏省"三线一单"生态环境分区管控方案》、《常州市“三线一单”生态环境分区管控实施方案》，对茅山旅游度假区提出产业发展生态环境准入清单。本区域在后续发展过程中，可按照国家、江苏省和常州市最新的法规、政策及规划要求，对产业发展的生态环境准入清单进行动态更新。</w:t>
      </w:r>
    </w:p>
    <w:p w14:paraId="7CA14F62">
      <w:pPr>
        <w:widowControl/>
        <w:snapToGrid w:val="0"/>
        <w:spacing w:before="62" w:beforeLines="20" w:after="62" w:afterLines="20" w:line="500" w:lineRule="exact"/>
        <w:ind w:firstLine="0" w:firstLineChars="0"/>
        <w:jc w:val="center"/>
        <w:outlineLvl w:val="6"/>
        <w:rPr>
          <w:rFonts w:cs="Times New Roman"/>
          <w:b/>
          <w:szCs w:val="24"/>
          <w14:ligatures w14:val="none"/>
        </w:rPr>
      </w:pPr>
      <w:bookmarkStart w:id="154" w:name="_Hlk166679487"/>
      <w:r>
        <w:rPr>
          <w:rFonts w:cs="Times New Roman"/>
          <w:b/>
          <w:szCs w:val="24"/>
          <w14:ligatures w14:val="none"/>
        </w:rPr>
        <w:t>表1</w:t>
      </w:r>
      <w:r>
        <w:rPr>
          <w:rFonts w:hint="eastAsia" w:cs="Times New Roman"/>
          <w:b/>
          <w:szCs w:val="24"/>
          <w14:ligatures w14:val="none"/>
        </w:rPr>
        <w:t>1</w:t>
      </w:r>
      <w:r>
        <w:rPr>
          <w:rFonts w:cs="Times New Roman"/>
          <w:b/>
          <w:szCs w:val="24"/>
          <w14:ligatures w14:val="none"/>
        </w:rPr>
        <w:t>.2-</w:t>
      </w:r>
      <w:r>
        <w:rPr>
          <w:rFonts w:hint="eastAsia" w:cs="Times New Roman"/>
          <w:b/>
          <w:szCs w:val="24"/>
          <w14:ligatures w14:val="none"/>
        </w:rPr>
        <w:t>4</w:t>
      </w:r>
      <w:r>
        <w:rPr>
          <w:rFonts w:cs="Times New Roman"/>
          <w:b/>
          <w:szCs w:val="24"/>
          <w14:ligatures w14:val="none"/>
        </w:rPr>
        <w:t xml:space="preserve"> </w:t>
      </w:r>
      <w:r>
        <w:rPr>
          <w:rFonts w:hint="eastAsia" w:cs="Times New Roman"/>
          <w:b/>
          <w:szCs w:val="24"/>
          <w14:ligatures w14:val="none"/>
        </w:rPr>
        <w:t>度假区生态环境准入清单一览</w:t>
      </w:r>
      <w:r>
        <w:rPr>
          <w:rFonts w:cs="Times New Roman"/>
          <w:b/>
          <w:szCs w:val="24"/>
          <w14:ligatures w14:val="none"/>
        </w:rPr>
        <w:t>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2"/>
        <w:gridCol w:w="6780"/>
      </w:tblGrid>
      <w:tr w14:paraId="0B2BB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22" w:type="pct"/>
            <w:vAlign w:val="center"/>
          </w:tcPr>
          <w:p w14:paraId="536F5E3B">
            <w:pPr>
              <w:widowControl/>
              <w:snapToGrid w:val="0"/>
              <w:spacing w:line="240" w:lineRule="auto"/>
              <w:ind w:firstLine="0" w:firstLineChars="0"/>
              <w:jc w:val="center"/>
              <w:rPr>
                <w:rFonts w:cs="Times New Roman"/>
                <w:b/>
                <w:bCs/>
                <w:sz w:val="21"/>
                <w:szCs w:val="21"/>
              </w:rPr>
            </w:pPr>
            <w:r>
              <w:rPr>
                <w:rFonts w:hint="eastAsia" w:cs="Times New Roman"/>
                <w:b/>
                <w:bCs/>
                <w:sz w:val="21"/>
                <w:szCs w:val="21"/>
              </w:rPr>
              <w:t>清单类型</w:t>
            </w:r>
          </w:p>
        </w:tc>
        <w:tc>
          <w:tcPr>
            <w:tcW w:w="3977" w:type="pct"/>
            <w:vAlign w:val="center"/>
          </w:tcPr>
          <w:p w14:paraId="727EF28B">
            <w:pPr>
              <w:widowControl/>
              <w:snapToGrid w:val="0"/>
              <w:spacing w:line="240" w:lineRule="auto"/>
              <w:ind w:firstLine="0" w:firstLineChars="0"/>
              <w:jc w:val="center"/>
              <w:rPr>
                <w:rFonts w:cs="Times New Roman"/>
                <w:b/>
                <w:bCs/>
                <w:sz w:val="21"/>
                <w:szCs w:val="21"/>
              </w:rPr>
            </w:pPr>
            <w:r>
              <w:rPr>
                <w:rFonts w:hint="eastAsia" w:cs="Times New Roman"/>
                <w:b/>
                <w:bCs/>
                <w:sz w:val="21"/>
                <w:szCs w:val="21"/>
              </w:rPr>
              <w:t>具体措施</w:t>
            </w:r>
          </w:p>
        </w:tc>
      </w:tr>
      <w:tr w14:paraId="077E4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2" w:type="pct"/>
            <w:vAlign w:val="center"/>
          </w:tcPr>
          <w:p w14:paraId="27B2D130">
            <w:pPr>
              <w:widowControl/>
              <w:snapToGrid w:val="0"/>
              <w:spacing w:line="240" w:lineRule="auto"/>
              <w:ind w:firstLine="0" w:firstLineChars="0"/>
              <w:jc w:val="center"/>
              <w:rPr>
                <w:rFonts w:cs="Times New Roman"/>
                <w:sz w:val="21"/>
                <w:szCs w:val="21"/>
              </w:rPr>
            </w:pPr>
            <w:r>
              <w:rPr>
                <w:rFonts w:hint="eastAsia" w:cs="Times New Roman"/>
                <w:sz w:val="21"/>
                <w:szCs w:val="21"/>
              </w:rPr>
              <w:t>主导产业定位</w:t>
            </w:r>
          </w:p>
        </w:tc>
        <w:tc>
          <w:tcPr>
            <w:tcW w:w="3977" w:type="pct"/>
            <w:vAlign w:val="center"/>
          </w:tcPr>
          <w:p w14:paraId="120FE985">
            <w:pPr>
              <w:widowControl/>
              <w:snapToGrid w:val="0"/>
              <w:spacing w:line="240" w:lineRule="auto"/>
              <w:ind w:firstLine="0" w:firstLineChars="0"/>
              <w:jc w:val="left"/>
              <w:rPr>
                <w:rFonts w:cs="Times New Roman"/>
                <w:sz w:val="21"/>
                <w:szCs w:val="21"/>
              </w:rPr>
            </w:pPr>
            <w:r>
              <w:rPr>
                <w:rFonts w:hint="eastAsia" w:cs="Times New Roman"/>
                <w:sz w:val="21"/>
                <w:szCs w:val="21"/>
              </w:rPr>
              <w:t>旅游度假产业。</w:t>
            </w:r>
          </w:p>
        </w:tc>
      </w:tr>
      <w:tr w14:paraId="024D6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2" w:type="pct"/>
            <w:vAlign w:val="center"/>
          </w:tcPr>
          <w:p w14:paraId="12746B2A">
            <w:pPr>
              <w:widowControl/>
              <w:snapToGrid w:val="0"/>
              <w:spacing w:line="240" w:lineRule="auto"/>
              <w:ind w:firstLine="0" w:firstLineChars="0"/>
              <w:jc w:val="center"/>
              <w:rPr>
                <w:rFonts w:cs="Times New Roman"/>
                <w:sz w:val="21"/>
                <w:szCs w:val="21"/>
              </w:rPr>
            </w:pPr>
            <w:r>
              <w:rPr>
                <w:rFonts w:hint="eastAsia" w:cs="Times New Roman"/>
                <w:sz w:val="21"/>
                <w:szCs w:val="21"/>
              </w:rPr>
              <w:t>优先引入</w:t>
            </w:r>
          </w:p>
        </w:tc>
        <w:tc>
          <w:tcPr>
            <w:tcW w:w="3977" w:type="pct"/>
            <w:vAlign w:val="center"/>
          </w:tcPr>
          <w:p w14:paraId="173FD50B">
            <w:pPr>
              <w:widowControl/>
              <w:snapToGrid w:val="0"/>
              <w:spacing w:line="240" w:lineRule="auto"/>
              <w:ind w:firstLine="0" w:firstLineChars="0"/>
              <w:jc w:val="left"/>
              <w:rPr>
                <w:rFonts w:cs="Times New Roman"/>
                <w:sz w:val="21"/>
                <w:szCs w:val="21"/>
              </w:rPr>
            </w:pPr>
            <w:r>
              <w:rPr>
                <w:rFonts w:hint="eastAsia" w:cs="Times New Roman"/>
                <w:sz w:val="21"/>
                <w:szCs w:val="21"/>
              </w:rPr>
              <w:t>1、符合规划定位且属于《产业结构调整指导目录》、国家和江苏省文化和旅游发展“十四五”规划等文件中鼓励和重点发展的项目。</w:t>
            </w:r>
          </w:p>
          <w:p w14:paraId="06DCD5F9">
            <w:pPr>
              <w:widowControl/>
              <w:snapToGrid w:val="0"/>
              <w:spacing w:line="240" w:lineRule="auto"/>
              <w:ind w:firstLine="0" w:firstLineChars="0"/>
              <w:jc w:val="left"/>
              <w:rPr>
                <w:rFonts w:cs="Times New Roman"/>
                <w:sz w:val="21"/>
                <w:szCs w:val="21"/>
              </w:rPr>
            </w:pPr>
            <w:r>
              <w:rPr>
                <w:rFonts w:hint="eastAsia" w:cs="Times New Roman"/>
                <w:sz w:val="21"/>
                <w:szCs w:val="21"/>
              </w:rPr>
              <w:t>2、鼓励引入文化旅游、健康旅游、乡村旅游、生态旅游、体育旅游及其他旅游资源综合开发服务等主导产业；</w:t>
            </w:r>
          </w:p>
          <w:p w14:paraId="6109762A">
            <w:pPr>
              <w:widowControl/>
              <w:snapToGrid w:val="0"/>
              <w:spacing w:line="240" w:lineRule="auto"/>
              <w:ind w:firstLine="0" w:firstLineChars="0"/>
              <w:jc w:val="left"/>
              <w:rPr>
                <w:rFonts w:cs="Times New Roman"/>
                <w:sz w:val="21"/>
                <w:szCs w:val="21"/>
              </w:rPr>
            </w:pPr>
            <w:r>
              <w:rPr>
                <w:rFonts w:hint="eastAsia" w:cs="Times New Roman"/>
                <w:sz w:val="21"/>
                <w:szCs w:val="21"/>
              </w:rPr>
              <w:t>3、鼓励引入旅游基础设施建设及旅游信息服务，旅游商品、旅游纪念品、旅游项目营销等产业；</w:t>
            </w:r>
          </w:p>
          <w:p w14:paraId="430718C0">
            <w:pPr>
              <w:widowControl/>
              <w:snapToGrid w:val="0"/>
              <w:spacing w:line="240" w:lineRule="auto"/>
              <w:ind w:firstLine="0" w:firstLineChars="0"/>
              <w:jc w:val="left"/>
              <w:rPr>
                <w:rFonts w:cs="Times New Roman"/>
                <w:sz w:val="21"/>
                <w:szCs w:val="21"/>
              </w:rPr>
            </w:pPr>
            <w:r>
              <w:rPr>
                <w:rFonts w:hint="eastAsia" w:cs="Times New Roman"/>
                <w:sz w:val="21"/>
                <w:szCs w:val="21"/>
              </w:rPr>
              <w:t>4、鼓励引入符合度假区整体文化主题、形象定位的文化旅游创意产业。</w:t>
            </w:r>
          </w:p>
        </w:tc>
      </w:tr>
      <w:tr w14:paraId="6C916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2" w:type="pct"/>
            <w:vAlign w:val="center"/>
          </w:tcPr>
          <w:p w14:paraId="6DC3FAE7">
            <w:pPr>
              <w:widowControl/>
              <w:snapToGrid w:val="0"/>
              <w:spacing w:line="240" w:lineRule="auto"/>
              <w:ind w:firstLine="0" w:firstLineChars="0"/>
              <w:jc w:val="center"/>
              <w:rPr>
                <w:rFonts w:cs="Times New Roman"/>
                <w:sz w:val="21"/>
                <w:szCs w:val="21"/>
              </w:rPr>
            </w:pPr>
            <w:r>
              <w:rPr>
                <w:rFonts w:hint="eastAsia" w:cs="Times New Roman"/>
                <w:sz w:val="21"/>
                <w:szCs w:val="21"/>
              </w:rPr>
              <w:t>禁止引入</w:t>
            </w:r>
          </w:p>
        </w:tc>
        <w:tc>
          <w:tcPr>
            <w:tcW w:w="3977" w:type="pct"/>
            <w:vAlign w:val="center"/>
          </w:tcPr>
          <w:p w14:paraId="127D5DB2">
            <w:pPr>
              <w:widowControl/>
              <w:snapToGrid w:val="0"/>
              <w:spacing w:line="240" w:lineRule="auto"/>
              <w:ind w:firstLine="0" w:firstLineChars="0"/>
              <w:jc w:val="left"/>
              <w:rPr>
                <w:rFonts w:cs="Times New Roman"/>
                <w:sz w:val="21"/>
                <w:szCs w:val="21"/>
              </w:rPr>
            </w:pPr>
            <w:r>
              <w:rPr>
                <w:rFonts w:hint="eastAsia" w:cs="Times New Roman"/>
                <w:sz w:val="21"/>
                <w:szCs w:val="21"/>
              </w:rPr>
              <w:t>1、禁止引入不符合《江苏省国家级生态保护红线规划》《江苏省生态空间管控区域规划》《太湖流域管理条例》《江苏省太湖水污染防治条例》《江苏省基本农田保护条例》《常州市水生态环境保护条例》等管理要求的项目；</w:t>
            </w:r>
          </w:p>
          <w:p w14:paraId="6E801DC0">
            <w:pPr>
              <w:widowControl/>
              <w:snapToGrid w:val="0"/>
              <w:spacing w:line="240" w:lineRule="auto"/>
              <w:ind w:firstLine="0" w:firstLineChars="0"/>
              <w:jc w:val="left"/>
              <w:rPr>
                <w:rFonts w:cs="Times New Roman"/>
                <w:sz w:val="21"/>
                <w:szCs w:val="21"/>
              </w:rPr>
            </w:pPr>
            <w:r>
              <w:rPr>
                <w:rFonts w:hint="eastAsia" w:cs="Times New Roman"/>
                <w:sz w:val="21"/>
                <w:szCs w:val="21"/>
              </w:rPr>
              <w:t>2、生态保护范围内禁止开展不符合《关于加强生态保护红线管理的通知（试行）》《关于进一步加强生态保护红线监督管理的通知》《生态空间管控区域调整管理办法》项目准入条件和管控要求的项目；</w:t>
            </w:r>
          </w:p>
          <w:p w14:paraId="44022F68">
            <w:pPr>
              <w:widowControl/>
              <w:snapToGrid w:val="0"/>
              <w:spacing w:line="240" w:lineRule="auto"/>
              <w:ind w:firstLine="0" w:firstLineChars="0"/>
              <w:jc w:val="left"/>
              <w:rPr>
                <w:rFonts w:cs="Times New Roman"/>
                <w:sz w:val="21"/>
                <w:szCs w:val="21"/>
              </w:rPr>
            </w:pPr>
            <w:r>
              <w:rPr>
                <w:rFonts w:hint="eastAsia" w:cs="Times New Roman"/>
                <w:sz w:val="21"/>
                <w:szCs w:val="21"/>
              </w:rPr>
              <w:t>3、禁止试验、推广带有检疫性有害生物的种子、苗木和其他繁殖材料；将剧毒、高毒农药用于防治卫生害虫，蔬菜、瓜果、粮食作物及水生植物等的病虫害防治；使用禁用的农药；</w:t>
            </w:r>
          </w:p>
          <w:p w14:paraId="22E18EE9">
            <w:pPr>
              <w:widowControl/>
              <w:snapToGrid w:val="0"/>
              <w:spacing w:line="240" w:lineRule="auto"/>
              <w:ind w:firstLine="0" w:firstLineChars="0"/>
              <w:jc w:val="left"/>
              <w:rPr>
                <w:rFonts w:cs="Times New Roman"/>
                <w:sz w:val="21"/>
                <w:szCs w:val="21"/>
              </w:rPr>
            </w:pPr>
            <w:r>
              <w:rPr>
                <w:rFonts w:hint="eastAsia" w:cs="Times New Roman"/>
                <w:sz w:val="21"/>
                <w:szCs w:val="21"/>
              </w:rPr>
              <w:t>4、禁止引入水上餐饮、网箱养殖经营等项目；</w:t>
            </w:r>
          </w:p>
          <w:p w14:paraId="6B1054C8">
            <w:pPr>
              <w:widowControl/>
              <w:snapToGrid w:val="0"/>
              <w:spacing w:line="240" w:lineRule="auto"/>
              <w:ind w:firstLine="0" w:firstLineChars="0"/>
              <w:jc w:val="left"/>
              <w:rPr>
                <w:rFonts w:cs="Times New Roman"/>
                <w:sz w:val="21"/>
                <w:szCs w:val="21"/>
              </w:rPr>
            </w:pPr>
            <w:r>
              <w:rPr>
                <w:rFonts w:hint="eastAsia" w:cs="Times New Roman"/>
                <w:sz w:val="21"/>
                <w:szCs w:val="21"/>
              </w:rPr>
              <w:t>5、禁止引入超过生态承载力的旅游活动和药材等林产品采集项目；</w:t>
            </w:r>
          </w:p>
        </w:tc>
      </w:tr>
      <w:tr w14:paraId="164E5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7" w:hRule="atLeast"/>
        </w:trPr>
        <w:tc>
          <w:tcPr>
            <w:tcW w:w="1022" w:type="pct"/>
            <w:vAlign w:val="center"/>
          </w:tcPr>
          <w:p w14:paraId="2067E406">
            <w:pPr>
              <w:widowControl/>
              <w:snapToGrid w:val="0"/>
              <w:spacing w:line="240" w:lineRule="auto"/>
              <w:ind w:firstLine="0" w:firstLineChars="0"/>
              <w:jc w:val="center"/>
              <w:rPr>
                <w:rFonts w:cs="Times New Roman"/>
                <w:sz w:val="21"/>
                <w:szCs w:val="21"/>
              </w:rPr>
            </w:pPr>
            <w:r>
              <w:rPr>
                <w:rFonts w:hint="eastAsia" w:cs="Times New Roman"/>
                <w:sz w:val="21"/>
                <w:szCs w:val="21"/>
              </w:rPr>
              <w:t>空间布局约束</w:t>
            </w:r>
          </w:p>
        </w:tc>
        <w:tc>
          <w:tcPr>
            <w:tcW w:w="3977" w:type="pct"/>
            <w:vAlign w:val="center"/>
          </w:tcPr>
          <w:p w14:paraId="4CA382EF">
            <w:pPr>
              <w:widowControl/>
              <w:snapToGrid w:val="0"/>
              <w:spacing w:line="240" w:lineRule="auto"/>
              <w:ind w:firstLine="0" w:firstLineChars="0"/>
              <w:jc w:val="left"/>
              <w:rPr>
                <w:rFonts w:cs="Times New Roman"/>
                <w:sz w:val="21"/>
                <w:szCs w:val="21"/>
              </w:rPr>
            </w:pPr>
            <w:r>
              <w:rPr>
                <w:rFonts w:hint="eastAsia" w:cs="Times New Roman"/>
                <w:sz w:val="21"/>
                <w:szCs w:val="21"/>
              </w:rPr>
              <w:t>1、度假区各类开发建设活动应符合国土空间规划等相关要求，禁止布局一切不符合生态保护红线及生态空间管控区管控要求、太湖流域污染防治要求等的建设项目。国家级生态保护红线内严禁不符合主体功能定位的各类开发活动；</w:t>
            </w:r>
          </w:p>
          <w:p w14:paraId="37E2F2FA">
            <w:pPr>
              <w:widowControl/>
              <w:snapToGrid w:val="0"/>
              <w:spacing w:line="240" w:lineRule="auto"/>
              <w:ind w:firstLine="0" w:firstLineChars="0"/>
              <w:jc w:val="left"/>
              <w:rPr>
                <w:rFonts w:cs="Times New Roman"/>
                <w:sz w:val="21"/>
                <w:szCs w:val="21"/>
              </w:rPr>
            </w:pPr>
            <w:r>
              <w:rPr>
                <w:rFonts w:hint="eastAsia" w:cs="Times New Roman"/>
                <w:sz w:val="21"/>
                <w:szCs w:val="21"/>
              </w:rPr>
              <w:t>2、度假区内水库管理范围内禁止布局酒店、农家乐等直接排放污水的项目；</w:t>
            </w:r>
          </w:p>
          <w:p w14:paraId="189026BB">
            <w:pPr>
              <w:widowControl/>
              <w:snapToGrid w:val="0"/>
              <w:spacing w:line="240" w:lineRule="auto"/>
              <w:ind w:firstLine="0" w:firstLineChars="0"/>
              <w:jc w:val="left"/>
              <w:rPr>
                <w:rFonts w:cs="Times New Roman"/>
                <w:sz w:val="21"/>
                <w:szCs w:val="21"/>
              </w:rPr>
            </w:pPr>
            <w:r>
              <w:rPr>
                <w:rFonts w:hint="eastAsia" w:cs="Times New Roman"/>
                <w:sz w:val="21"/>
                <w:szCs w:val="21"/>
              </w:rPr>
              <w:t>3、严格控制度假区建设用地边界，严禁占用永久基本农田；</w:t>
            </w:r>
          </w:p>
          <w:p w14:paraId="6D2A9977">
            <w:pPr>
              <w:widowControl/>
              <w:snapToGrid w:val="0"/>
              <w:spacing w:line="240" w:lineRule="auto"/>
              <w:ind w:firstLine="0" w:firstLineChars="0"/>
              <w:jc w:val="left"/>
              <w:rPr>
                <w:rFonts w:cs="Times New Roman"/>
                <w:sz w:val="21"/>
                <w:szCs w:val="21"/>
              </w:rPr>
            </w:pPr>
            <w:r>
              <w:rPr>
                <w:rFonts w:hint="eastAsia" w:cs="Times New Roman"/>
                <w:sz w:val="21"/>
                <w:szCs w:val="21"/>
              </w:rPr>
              <w:t>4、合理控制区内居住用地、商业服务业设施用地等建设用地面积；</w:t>
            </w:r>
          </w:p>
        </w:tc>
      </w:tr>
      <w:tr w14:paraId="071BB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2" w:type="pct"/>
            <w:vAlign w:val="center"/>
          </w:tcPr>
          <w:p w14:paraId="56D2130A">
            <w:pPr>
              <w:widowControl/>
              <w:snapToGrid w:val="0"/>
              <w:spacing w:line="240" w:lineRule="auto"/>
              <w:ind w:firstLine="0" w:firstLineChars="0"/>
              <w:jc w:val="center"/>
              <w:rPr>
                <w:rFonts w:cs="Times New Roman"/>
                <w:sz w:val="21"/>
                <w:szCs w:val="21"/>
              </w:rPr>
            </w:pPr>
            <w:r>
              <w:rPr>
                <w:rFonts w:hint="eastAsia" w:cs="Times New Roman"/>
                <w:sz w:val="21"/>
                <w:szCs w:val="21"/>
              </w:rPr>
              <w:t>资源开发利用要求</w:t>
            </w:r>
          </w:p>
        </w:tc>
        <w:tc>
          <w:tcPr>
            <w:tcW w:w="3977" w:type="pct"/>
            <w:vAlign w:val="center"/>
          </w:tcPr>
          <w:p w14:paraId="54314963">
            <w:pPr>
              <w:widowControl/>
              <w:snapToGrid w:val="0"/>
              <w:spacing w:line="240" w:lineRule="auto"/>
              <w:ind w:firstLine="0" w:firstLineChars="0"/>
              <w:jc w:val="left"/>
              <w:rPr>
                <w:rFonts w:cs="Times New Roman"/>
                <w:sz w:val="21"/>
                <w:szCs w:val="21"/>
              </w:rPr>
            </w:pPr>
            <w:r>
              <w:rPr>
                <w:rFonts w:hint="eastAsia" w:cs="Times New Roman"/>
                <w:sz w:val="21"/>
                <w:szCs w:val="21"/>
              </w:rPr>
              <w:t>1、度假区建设用地总规模不突破9.374平方公里上限；</w:t>
            </w:r>
          </w:p>
          <w:p w14:paraId="01D9443E">
            <w:pPr>
              <w:widowControl/>
              <w:snapToGrid w:val="0"/>
              <w:spacing w:line="240" w:lineRule="auto"/>
              <w:ind w:firstLine="0" w:firstLineChars="0"/>
              <w:jc w:val="left"/>
              <w:rPr>
                <w:rFonts w:cs="Times New Roman"/>
                <w:sz w:val="21"/>
                <w:szCs w:val="21"/>
              </w:rPr>
            </w:pPr>
            <w:r>
              <w:rPr>
                <w:rFonts w:hint="eastAsia" w:cs="Times New Roman"/>
                <w:sz w:val="21"/>
                <w:szCs w:val="21"/>
              </w:rPr>
              <w:t>2、以生态保护为本，合理适度开发建设，降低产业对环境的污染，度假区使用的公共交通工具应推广使用清洁能源。</w:t>
            </w:r>
          </w:p>
        </w:tc>
      </w:tr>
      <w:tr w14:paraId="3086B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2" w:type="pct"/>
            <w:vAlign w:val="center"/>
          </w:tcPr>
          <w:p w14:paraId="4DB64E18">
            <w:pPr>
              <w:widowControl/>
              <w:snapToGrid w:val="0"/>
              <w:spacing w:line="240" w:lineRule="auto"/>
              <w:ind w:firstLine="0" w:firstLineChars="0"/>
              <w:jc w:val="center"/>
              <w:rPr>
                <w:rFonts w:cs="Times New Roman"/>
                <w:sz w:val="21"/>
                <w:szCs w:val="21"/>
              </w:rPr>
            </w:pPr>
            <w:r>
              <w:rPr>
                <w:rFonts w:hint="eastAsia" w:cs="Times New Roman"/>
                <w:sz w:val="21"/>
                <w:szCs w:val="21"/>
              </w:rPr>
              <w:t>污染物排放总量控制</w:t>
            </w:r>
          </w:p>
        </w:tc>
        <w:tc>
          <w:tcPr>
            <w:tcW w:w="3977" w:type="pct"/>
            <w:vAlign w:val="center"/>
          </w:tcPr>
          <w:p w14:paraId="65DED463">
            <w:pPr>
              <w:widowControl/>
              <w:snapToGrid w:val="0"/>
              <w:spacing w:line="240" w:lineRule="auto"/>
              <w:ind w:firstLine="0" w:firstLineChars="0"/>
              <w:jc w:val="left"/>
              <w:rPr>
                <w:rFonts w:cs="Times New Roman"/>
                <w:sz w:val="21"/>
                <w:szCs w:val="21"/>
              </w:rPr>
            </w:pPr>
            <w:r>
              <w:rPr>
                <w:rFonts w:hint="eastAsia" w:cs="Times New Roman"/>
                <w:sz w:val="21"/>
                <w:szCs w:val="21"/>
              </w:rPr>
              <w:t>大气污染物：二氧化硫0.012t/a、氮氧化物13.6t/a、颗粒物0.98t/a、挥发性有机物3.66t/a。</w:t>
            </w:r>
          </w:p>
        </w:tc>
      </w:tr>
      <w:tr w14:paraId="7E070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2" w:type="pct"/>
            <w:vAlign w:val="center"/>
          </w:tcPr>
          <w:p w14:paraId="3B2E11B0">
            <w:pPr>
              <w:widowControl/>
              <w:snapToGrid w:val="0"/>
              <w:spacing w:line="240" w:lineRule="auto"/>
              <w:ind w:firstLine="0" w:firstLineChars="0"/>
              <w:jc w:val="center"/>
              <w:rPr>
                <w:rFonts w:cs="Times New Roman"/>
                <w:sz w:val="21"/>
                <w:szCs w:val="21"/>
              </w:rPr>
            </w:pPr>
            <w:r>
              <w:rPr>
                <w:rFonts w:hint="eastAsia" w:cs="Times New Roman"/>
                <w:sz w:val="21"/>
                <w:szCs w:val="21"/>
              </w:rPr>
              <w:t>环境风险防控</w:t>
            </w:r>
          </w:p>
        </w:tc>
        <w:tc>
          <w:tcPr>
            <w:tcW w:w="3977" w:type="pct"/>
            <w:vAlign w:val="center"/>
          </w:tcPr>
          <w:p w14:paraId="71696CB1">
            <w:pPr>
              <w:widowControl/>
              <w:snapToGrid w:val="0"/>
              <w:spacing w:line="240" w:lineRule="auto"/>
              <w:ind w:firstLine="0" w:firstLineChars="0"/>
              <w:jc w:val="left"/>
              <w:rPr>
                <w:rFonts w:cs="Times New Roman"/>
                <w:sz w:val="21"/>
                <w:szCs w:val="21"/>
              </w:rPr>
            </w:pPr>
            <w:r>
              <w:rPr>
                <w:rFonts w:hint="eastAsia" w:cs="Times New Roman"/>
                <w:sz w:val="21"/>
                <w:szCs w:val="21"/>
              </w:rPr>
              <w:t>1、及时开展突发环境事件应急预案、风险评估报告编制并备案；</w:t>
            </w:r>
          </w:p>
          <w:p w14:paraId="747BC7BF">
            <w:pPr>
              <w:widowControl/>
              <w:snapToGrid w:val="0"/>
              <w:spacing w:line="240" w:lineRule="auto"/>
              <w:ind w:firstLine="0" w:firstLineChars="0"/>
              <w:jc w:val="left"/>
              <w:rPr>
                <w:rFonts w:cs="Times New Roman"/>
                <w:sz w:val="21"/>
                <w:szCs w:val="21"/>
              </w:rPr>
            </w:pPr>
            <w:r>
              <w:rPr>
                <w:rFonts w:hint="eastAsia" w:cs="Times New Roman"/>
                <w:sz w:val="21"/>
                <w:szCs w:val="21"/>
              </w:rPr>
              <w:t>2、根据区域潜在的环境风险源的风险度，做好风险源的日常防范工作；</w:t>
            </w:r>
          </w:p>
          <w:p w14:paraId="4BAAD78F">
            <w:pPr>
              <w:widowControl/>
              <w:snapToGrid w:val="0"/>
              <w:spacing w:line="240" w:lineRule="auto"/>
              <w:ind w:firstLine="0" w:firstLineChars="0"/>
              <w:jc w:val="left"/>
              <w:rPr>
                <w:rFonts w:cs="Times New Roman"/>
                <w:sz w:val="21"/>
                <w:szCs w:val="21"/>
              </w:rPr>
            </w:pPr>
            <w:r>
              <w:rPr>
                <w:rFonts w:hint="eastAsia" w:cs="Times New Roman"/>
                <w:sz w:val="21"/>
                <w:szCs w:val="21"/>
              </w:rPr>
              <w:t>3、针对不同的风险源，逐步建立风险源动态数据库，全面掌握主要风险源的基本情况并建立严格的防范措施；</w:t>
            </w:r>
          </w:p>
          <w:p w14:paraId="741C5573">
            <w:pPr>
              <w:widowControl/>
              <w:snapToGrid w:val="0"/>
              <w:spacing w:line="240" w:lineRule="auto"/>
              <w:ind w:firstLine="0" w:firstLineChars="0"/>
              <w:jc w:val="left"/>
              <w:rPr>
                <w:rFonts w:cs="Times New Roman"/>
                <w:sz w:val="21"/>
                <w:szCs w:val="21"/>
              </w:rPr>
            </w:pPr>
            <w:r>
              <w:rPr>
                <w:rFonts w:hint="eastAsia" w:cs="Times New Roman"/>
                <w:sz w:val="21"/>
                <w:szCs w:val="21"/>
              </w:rPr>
              <w:t>4、积极开展外来入侵物种的防治、清除工作。</w:t>
            </w:r>
          </w:p>
        </w:tc>
      </w:tr>
      <w:bookmarkEnd w:id="154"/>
    </w:tbl>
    <w:p w14:paraId="6ECD9EEF">
      <w:pPr>
        <w:pStyle w:val="2"/>
        <w:ind w:firstLine="0" w:firstLineChars="0"/>
      </w:pPr>
      <w:bookmarkStart w:id="155" w:name="_Toc217294091"/>
      <w:r>
        <w:t>12</w:t>
      </w:r>
      <w:r>
        <w:rPr>
          <w:rFonts w:hint="eastAsia"/>
        </w:rPr>
        <w:t>公众参与</w:t>
      </w:r>
      <w:bookmarkEnd w:id="155"/>
    </w:p>
    <w:p w14:paraId="61573587">
      <w:pPr>
        <w:pStyle w:val="3"/>
        <w:ind w:firstLine="0" w:firstLineChars="0"/>
        <w:rPr>
          <w:rFonts w:cs="Times New Roman"/>
        </w:rPr>
      </w:pPr>
      <w:bookmarkStart w:id="156" w:name="_Toc217294092"/>
      <w:r>
        <w:rPr>
          <w:rFonts w:cs="Times New Roman"/>
        </w:rPr>
        <w:t>12.1</w:t>
      </w:r>
      <w:r>
        <w:rPr>
          <w:rFonts w:hint="eastAsia" w:cs="Times New Roman"/>
        </w:rPr>
        <w:t>目的与原则</w:t>
      </w:r>
      <w:bookmarkEnd w:id="156"/>
    </w:p>
    <w:p w14:paraId="69AD5BE0">
      <w:pPr>
        <w:ind w:firstLine="480"/>
      </w:pPr>
      <w:r>
        <w:rPr>
          <w:rFonts w:hint="eastAsia"/>
        </w:rPr>
        <w:t>本次规划环境影响评价按照《中华人民共和国环境影响评价法》《规划环境影响评价条例》《环境影响评价公众参与办法》（部令第4号）的有关程序及要求，遵循依法、有序、公开、便利的原则，在评价过程中开展公众参与和信息公开。</w:t>
      </w:r>
    </w:p>
    <w:p w14:paraId="3AAA866E">
      <w:pPr>
        <w:ind w:firstLine="480"/>
      </w:pPr>
      <w:r>
        <w:rPr>
          <w:rFonts w:hint="eastAsia"/>
        </w:rPr>
        <w:t>公众参与旨在收集公众对《金坛茅山旅游度假区总体规划环境影响报告书》的意见、要求和态度，保障公众环境保护知情权、参与权、表达权、监督权。在规划环境影响评价过程中能够全面综合考虑公众的意见，吸取有益的建议，使天宁经济开发区后续发展更趋完善和合理，制定的环保措施更符合环境保护和经济协调发展的要求，从而达到可持续发展的目的，提高度假区的环境效益和经济效益。</w:t>
      </w:r>
    </w:p>
    <w:p w14:paraId="3AF3EC93">
      <w:pPr>
        <w:pStyle w:val="3"/>
        <w:ind w:firstLine="0" w:firstLineChars="0"/>
        <w:rPr>
          <w:rFonts w:cs="Times New Roman"/>
        </w:rPr>
      </w:pPr>
      <w:bookmarkStart w:id="157" w:name="_Toc217294093"/>
      <w:r>
        <w:rPr>
          <w:rFonts w:cs="Times New Roman"/>
        </w:rPr>
        <w:t>12.2</w:t>
      </w:r>
      <w:r>
        <w:rPr>
          <w:rFonts w:hint="eastAsia" w:cs="Times New Roman"/>
        </w:rPr>
        <w:t>首次信息公开情况</w:t>
      </w:r>
      <w:bookmarkEnd w:id="157"/>
    </w:p>
    <w:p w14:paraId="3AC7893C">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w:t>
      </w:r>
      <w:r>
        <w:rPr>
          <w:rFonts w:eastAsia="方正楷体_GBK" w:cs="Times New Roman"/>
          <w:b/>
          <w:bCs/>
          <w:szCs w:val="28"/>
          <w14:ligatures w14:val="none"/>
        </w:rPr>
        <w:t>2.2.1</w:t>
      </w:r>
      <w:r>
        <w:rPr>
          <w:rFonts w:hint="eastAsia" w:eastAsia="方正楷体_GBK" w:cs="Times New Roman"/>
          <w:b/>
          <w:bCs/>
          <w:szCs w:val="28"/>
          <w14:ligatures w14:val="none"/>
        </w:rPr>
        <w:t>公开内容及日期</w:t>
      </w:r>
    </w:p>
    <w:p w14:paraId="13E8A7BA">
      <w:pPr>
        <w:ind w:firstLine="480"/>
      </w:pPr>
      <w:bookmarkStart w:id="158" w:name="_Hlk161995188"/>
      <w:bookmarkStart w:id="159" w:name="_Hlk162441857"/>
      <w:r>
        <w:rPr>
          <w:rFonts w:hint="eastAsia"/>
        </w:rPr>
        <w:t>江苏省金坛茅山旅游度假区管理</w:t>
      </w:r>
      <w:bookmarkEnd w:id="158"/>
      <w:r>
        <w:rPr>
          <w:rFonts w:hint="eastAsia"/>
        </w:rPr>
        <w:t>办公室委托江苏龙衡环境科技有限公司承担《金坛茅山旅游度假区总体规划环境影响报告书》的编制工作，根据《环境影响评价公众参与办法》的相关要求，分别于202</w:t>
      </w:r>
      <w:r>
        <w:t>4</w:t>
      </w:r>
      <w:r>
        <w:rPr>
          <w:rFonts w:hint="eastAsia"/>
        </w:rPr>
        <w:t>年</w:t>
      </w:r>
      <w:r>
        <w:t>3</w:t>
      </w:r>
      <w:r>
        <w:rPr>
          <w:rFonts w:hint="eastAsia"/>
        </w:rPr>
        <w:t>月</w:t>
      </w:r>
      <w:r>
        <w:t>11</w:t>
      </w:r>
      <w:r>
        <w:rPr>
          <w:rFonts w:hint="eastAsia"/>
        </w:rPr>
        <w:t>日在江苏龙衡环境科技有限公司官网，2024年6月24日在江苏省茅山旅游度假区官网发布了规划环评第一次公示。第一次公示内容包括：规划名称及概况、规划实施单位和评价单位的名称和联系方式、评价的工作程序和主要内容、征求公众意见的主要事项，以及公众提出意见的方式和渠道、公众提出意见的起止时间等。</w:t>
      </w:r>
    </w:p>
    <w:bookmarkEnd w:id="159"/>
    <w:p w14:paraId="5F7757BF">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w:t>
      </w:r>
      <w:r>
        <w:rPr>
          <w:rFonts w:eastAsia="方正楷体_GBK" w:cs="Times New Roman"/>
          <w:b/>
          <w:bCs/>
          <w:szCs w:val="28"/>
          <w14:ligatures w14:val="none"/>
        </w:rPr>
        <w:t>2.2.2</w:t>
      </w:r>
      <w:r>
        <w:rPr>
          <w:rFonts w:hint="eastAsia" w:eastAsia="方正楷体_GBK" w:cs="Times New Roman"/>
          <w:b/>
          <w:bCs/>
          <w:szCs w:val="28"/>
          <w14:ligatures w14:val="none"/>
        </w:rPr>
        <w:t>公开方式</w:t>
      </w:r>
    </w:p>
    <w:p w14:paraId="006E17AD">
      <w:pPr>
        <w:ind w:firstLine="0" w:firstLineChars="0"/>
        <w:outlineLvl w:val="3"/>
        <w:rPr>
          <w:b/>
          <w:bCs/>
        </w:rPr>
      </w:pPr>
      <w:r>
        <w:rPr>
          <w:rFonts w:hint="eastAsia"/>
          <w:b/>
          <w:bCs/>
        </w:rPr>
        <w:t>1</w:t>
      </w:r>
      <w:r>
        <w:rPr>
          <w:b/>
          <w:bCs/>
        </w:rPr>
        <w:t>2.2.</w:t>
      </w:r>
      <w:r>
        <w:rPr>
          <w:rFonts w:hint="eastAsia"/>
          <w:b/>
          <w:bCs/>
        </w:rPr>
        <w:t>2</w:t>
      </w:r>
      <w:r>
        <w:rPr>
          <w:b/>
          <w:bCs/>
        </w:rPr>
        <w:t>.1</w:t>
      </w:r>
      <w:r>
        <w:rPr>
          <w:rFonts w:hint="eastAsia"/>
          <w:b/>
          <w:bCs/>
        </w:rPr>
        <w:t>网络公示</w:t>
      </w:r>
    </w:p>
    <w:p w14:paraId="1A8F00CC">
      <w:pPr>
        <w:ind w:firstLine="480"/>
        <w:rPr>
          <w:szCs w:val="24"/>
        </w:rPr>
      </w:pPr>
      <w:r>
        <w:rPr>
          <w:rFonts w:hint="eastAsia"/>
          <w:szCs w:val="24"/>
        </w:rPr>
        <w:t>首次网络公示分别在</w:t>
      </w:r>
      <w:r>
        <w:rPr>
          <w:rFonts w:hint="eastAsia"/>
        </w:rPr>
        <w:t>江苏龙衡环境科技有限公司网站（于202</w:t>
      </w:r>
      <w:r>
        <w:t>4</w:t>
      </w:r>
      <w:r>
        <w:rPr>
          <w:rFonts w:hint="eastAsia"/>
        </w:rPr>
        <w:t>年</w:t>
      </w:r>
      <w:r>
        <w:t>3</w:t>
      </w:r>
      <w:r>
        <w:rPr>
          <w:rFonts w:hint="eastAsia"/>
        </w:rPr>
        <w:t>月</w:t>
      </w:r>
      <w:r>
        <w:t>11</w:t>
      </w:r>
      <w:r>
        <w:rPr>
          <w:rFonts w:hint="eastAsia"/>
        </w:rPr>
        <w:t>日</w:t>
      </w:r>
      <w:r>
        <w:rPr>
          <w:rFonts w:hint="eastAsia"/>
          <w:szCs w:val="24"/>
        </w:rPr>
        <w:t>开始，公示有效期为10个工作日</w:t>
      </w:r>
      <w:r>
        <w:rPr>
          <w:rFonts w:hint="eastAsia"/>
        </w:rPr>
        <w:t>）、江苏省茅山旅游度假区官方网站进行（于2024年6月24日开始，</w:t>
      </w:r>
      <w:r>
        <w:rPr>
          <w:rFonts w:hint="eastAsia"/>
          <w:szCs w:val="24"/>
        </w:rPr>
        <w:t>公示有效期为10个工作日</w:t>
      </w:r>
      <w:r>
        <w:rPr>
          <w:rFonts w:hint="eastAsia"/>
        </w:rPr>
        <w:t>），首次公示网址为</w:t>
      </w:r>
      <w:r>
        <w:fldChar w:fldCharType="begin"/>
      </w:r>
      <w:r>
        <w:instrText xml:space="preserve"> HYPERLINK "http://www.jslhhjkj.com/content/?327.html" </w:instrText>
      </w:r>
      <w:r>
        <w:fldChar w:fldCharType="separate"/>
      </w:r>
      <w:r>
        <w:t>http://www.jslhhjkj.com/content/?327.html</w:t>
      </w:r>
      <w:r>
        <w:fldChar w:fldCharType="end"/>
      </w:r>
      <w:r>
        <w:rPr>
          <w:rFonts w:hint="eastAsia"/>
        </w:rPr>
        <w:t>、</w:t>
      </w:r>
      <w:r>
        <w:t>http://www.chinamaoshan.cn/</w:t>
      </w:r>
      <w:r>
        <w:rPr>
          <w:rFonts w:hint="eastAsia"/>
        </w:rPr>
        <w:t>，</w:t>
      </w:r>
      <w:r>
        <w:rPr>
          <w:rFonts w:hint="eastAsia"/>
          <w:szCs w:val="24"/>
        </w:rPr>
        <w:t>公示截图见图12.2-1~12.2-2。</w:t>
      </w:r>
    </w:p>
    <w:p w14:paraId="7B1E4762">
      <w:pPr>
        <w:pStyle w:val="45"/>
        <w:spacing w:line="240" w:lineRule="auto"/>
        <w:outlineLvl w:val="9"/>
        <w:rPr>
          <w:rFonts w:cs="Times New Roman"/>
        </w:rPr>
      </w:pPr>
      <w:r>
        <w:rPr>
          <w:rFonts w:cs="Times New Roman"/>
        </w:rPr>
        <w:drawing>
          <wp:inline distT="0" distB="0" distL="0" distR="0">
            <wp:extent cx="5137150" cy="8001000"/>
            <wp:effectExtent l="0" t="0" r="635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74" cstate="print">
                      <a:extLst>
                        <a:ext uri="{BEBA8EAE-BF5A-486C-A8C5-ECC9F3942E4B}">
                          <a14:imgProps xmlns:a14="http://schemas.microsoft.com/office/drawing/2010/main">
                            <a14:imgLayer r:embed="rId75">
                              <a14:imgEffect>
                                <a14:sharpenSoften amount="25000"/>
                              </a14:imgEffect>
                            </a14:imgLayer>
                          </a14:imgProps>
                        </a:ext>
                        <a:ext uri="{28A0092B-C50C-407E-A947-70E740481C1C}">
                          <a14:useLocalDpi xmlns:a14="http://schemas.microsoft.com/office/drawing/2010/main" val="0"/>
                        </a:ext>
                      </a:extLst>
                    </a:blip>
                    <a:srcRect/>
                    <a:stretch>
                      <a:fillRect/>
                    </a:stretch>
                  </pic:blipFill>
                  <pic:spPr>
                    <a:xfrm>
                      <a:off x="0" y="0"/>
                      <a:ext cx="5137150" cy="8001000"/>
                    </a:xfrm>
                    <a:prstGeom prst="rect">
                      <a:avLst/>
                    </a:prstGeom>
                    <a:noFill/>
                  </pic:spPr>
                </pic:pic>
              </a:graphicData>
            </a:graphic>
          </wp:inline>
        </w:drawing>
      </w:r>
    </w:p>
    <w:p w14:paraId="53A56590">
      <w:pPr>
        <w:pStyle w:val="45"/>
      </w:pPr>
      <w:r>
        <w:rPr>
          <w:rFonts w:hint="eastAsia" w:cs="Times New Roman"/>
        </w:rPr>
        <w:t>图1</w:t>
      </w:r>
      <w:r>
        <w:rPr>
          <w:rFonts w:cs="Times New Roman"/>
        </w:rPr>
        <w:t>2</w:t>
      </w:r>
      <w:r>
        <w:rPr>
          <w:rFonts w:hint="eastAsia" w:cs="Times New Roman"/>
        </w:rPr>
        <w:t>.</w:t>
      </w:r>
      <w:r>
        <w:rPr>
          <w:rFonts w:cs="Times New Roman"/>
        </w:rPr>
        <w:t>2</w:t>
      </w:r>
      <w:r>
        <w:rPr>
          <w:rFonts w:hint="eastAsia" w:cs="Times New Roman"/>
        </w:rPr>
        <w:t>-1</w:t>
      </w:r>
      <w:r>
        <w:rPr>
          <w:rFonts w:cs="Times New Roman"/>
        </w:rPr>
        <w:t xml:space="preserve">  </w:t>
      </w:r>
      <w:r>
        <w:rPr>
          <w:rFonts w:hint="eastAsia" w:cs="Times New Roman"/>
        </w:rPr>
        <w:t>首次</w:t>
      </w:r>
      <w:r>
        <w:rPr>
          <w:rFonts w:hint="eastAsia"/>
        </w:rPr>
        <w:t>信息公示截图-1</w:t>
      </w:r>
    </w:p>
    <w:p w14:paraId="3079C58D">
      <w:pPr>
        <w:pStyle w:val="45"/>
        <w:outlineLvl w:val="9"/>
      </w:pPr>
      <w:r>
        <w:drawing>
          <wp:inline distT="0" distB="0" distL="0" distR="0">
            <wp:extent cx="5274310" cy="7961630"/>
            <wp:effectExtent l="0" t="0" r="2540" b="1270"/>
            <wp:docPr id="18441928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92899" name="图片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274310" cy="7961630"/>
                    </a:xfrm>
                    <a:prstGeom prst="rect">
                      <a:avLst/>
                    </a:prstGeom>
                    <a:noFill/>
                    <a:ln>
                      <a:noFill/>
                    </a:ln>
                  </pic:spPr>
                </pic:pic>
              </a:graphicData>
            </a:graphic>
          </wp:inline>
        </w:drawing>
      </w:r>
    </w:p>
    <w:p w14:paraId="0D85F919">
      <w:pPr>
        <w:pStyle w:val="45"/>
      </w:pPr>
      <w:r>
        <w:rPr>
          <w:rFonts w:hint="eastAsia" w:cs="Times New Roman"/>
        </w:rPr>
        <w:t>图1</w:t>
      </w:r>
      <w:r>
        <w:rPr>
          <w:rFonts w:cs="Times New Roman"/>
        </w:rPr>
        <w:t>2</w:t>
      </w:r>
      <w:r>
        <w:rPr>
          <w:rFonts w:hint="eastAsia" w:cs="Times New Roman"/>
        </w:rPr>
        <w:t>.</w:t>
      </w:r>
      <w:r>
        <w:rPr>
          <w:rFonts w:cs="Times New Roman"/>
        </w:rPr>
        <w:t>2</w:t>
      </w:r>
      <w:r>
        <w:rPr>
          <w:rFonts w:hint="eastAsia" w:cs="Times New Roman"/>
        </w:rPr>
        <w:t>-2</w:t>
      </w:r>
      <w:r>
        <w:rPr>
          <w:rFonts w:cs="Times New Roman"/>
        </w:rPr>
        <w:t xml:space="preserve">  </w:t>
      </w:r>
      <w:r>
        <w:rPr>
          <w:rFonts w:hint="eastAsia" w:cs="Times New Roman"/>
        </w:rPr>
        <w:t>首次</w:t>
      </w:r>
      <w:r>
        <w:rPr>
          <w:rFonts w:hint="eastAsia"/>
        </w:rPr>
        <w:t>信息公示截图-2</w:t>
      </w:r>
    </w:p>
    <w:p w14:paraId="0B361736">
      <w:pPr>
        <w:ind w:firstLine="0" w:firstLineChars="0"/>
        <w:outlineLvl w:val="3"/>
        <w:rPr>
          <w:b/>
          <w:bCs/>
        </w:rPr>
      </w:pPr>
      <w:r>
        <w:rPr>
          <w:rFonts w:hint="eastAsia"/>
          <w:b/>
          <w:bCs/>
        </w:rPr>
        <w:t>1</w:t>
      </w:r>
      <w:r>
        <w:rPr>
          <w:b/>
          <w:bCs/>
        </w:rPr>
        <w:t>2.2.</w:t>
      </w:r>
      <w:r>
        <w:rPr>
          <w:rFonts w:hint="eastAsia"/>
          <w:b/>
          <w:bCs/>
        </w:rPr>
        <w:t>2</w:t>
      </w:r>
      <w:r>
        <w:rPr>
          <w:b/>
          <w:bCs/>
        </w:rPr>
        <w:t>.2</w:t>
      </w:r>
      <w:r>
        <w:rPr>
          <w:rFonts w:hint="eastAsia"/>
          <w:b/>
          <w:bCs/>
        </w:rPr>
        <w:t>其它</w:t>
      </w:r>
    </w:p>
    <w:p w14:paraId="35253A8D">
      <w:pPr>
        <w:ind w:firstLine="480"/>
      </w:pPr>
      <w:r>
        <w:rPr>
          <w:rFonts w:hint="eastAsia"/>
        </w:rPr>
        <w:t>本次规划环评首次环境影响评价信息公开仅通过网络公开，未采取其他方式。</w:t>
      </w:r>
    </w:p>
    <w:p w14:paraId="7043F515">
      <w:pPr>
        <w:ind w:firstLine="0" w:firstLineChars="0"/>
        <w:outlineLvl w:val="3"/>
        <w:rPr>
          <w:b/>
          <w:bCs/>
        </w:rPr>
      </w:pPr>
      <w:r>
        <w:rPr>
          <w:rFonts w:hint="eastAsia"/>
          <w:b/>
          <w:bCs/>
        </w:rPr>
        <w:t>1</w:t>
      </w:r>
      <w:r>
        <w:rPr>
          <w:b/>
          <w:bCs/>
        </w:rPr>
        <w:t>2.2.</w:t>
      </w:r>
      <w:r>
        <w:rPr>
          <w:rFonts w:hint="eastAsia"/>
          <w:b/>
          <w:bCs/>
        </w:rPr>
        <w:t>2</w:t>
      </w:r>
      <w:r>
        <w:rPr>
          <w:b/>
          <w:bCs/>
        </w:rPr>
        <w:t>.3</w:t>
      </w:r>
      <w:r>
        <w:rPr>
          <w:rFonts w:hint="eastAsia"/>
          <w:b/>
          <w:bCs/>
        </w:rPr>
        <w:t>公众意见反馈</w:t>
      </w:r>
    </w:p>
    <w:p w14:paraId="7A1E19DE">
      <w:pPr>
        <w:ind w:firstLine="480"/>
      </w:pPr>
      <w:r>
        <w:rPr>
          <w:rFonts w:hint="eastAsia"/>
        </w:rPr>
        <w:t>在首次环境影响评价信息公开期间，未收到公众对本次规划环评项目的反馈信息。</w:t>
      </w:r>
    </w:p>
    <w:p w14:paraId="6FD34192">
      <w:pPr>
        <w:pStyle w:val="3"/>
        <w:ind w:firstLine="0" w:firstLineChars="0"/>
        <w:rPr>
          <w:rFonts w:cs="Times New Roman"/>
        </w:rPr>
      </w:pPr>
      <w:bookmarkStart w:id="160" w:name="_Toc166602511"/>
      <w:bookmarkStart w:id="161" w:name="_Toc217294094"/>
      <w:r>
        <w:rPr>
          <w:rFonts w:cs="Times New Roman"/>
        </w:rPr>
        <w:t>12.3</w:t>
      </w:r>
      <w:r>
        <w:rPr>
          <w:rFonts w:hint="eastAsia" w:cs="Times New Roman"/>
        </w:rPr>
        <w:t>第二次信息公开情况</w:t>
      </w:r>
      <w:bookmarkEnd w:id="160"/>
      <w:bookmarkEnd w:id="161"/>
    </w:p>
    <w:p w14:paraId="16877BD9">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w:t>
      </w:r>
      <w:r>
        <w:rPr>
          <w:rFonts w:eastAsia="方正楷体_GBK" w:cs="Times New Roman"/>
          <w:b/>
          <w:bCs/>
          <w:szCs w:val="28"/>
          <w14:ligatures w14:val="none"/>
        </w:rPr>
        <w:t>2.3.1</w:t>
      </w:r>
      <w:r>
        <w:rPr>
          <w:rFonts w:hint="eastAsia" w:eastAsia="方正楷体_GBK" w:cs="Times New Roman"/>
          <w:b/>
          <w:bCs/>
          <w:szCs w:val="28"/>
          <w14:ligatures w14:val="none"/>
        </w:rPr>
        <w:t>公开内容及日期</w:t>
      </w:r>
    </w:p>
    <w:p w14:paraId="66A6E668">
      <w:pPr>
        <w:ind w:firstLine="480"/>
      </w:pPr>
      <w:r>
        <w:rPr>
          <w:rFonts w:hint="eastAsia"/>
        </w:rPr>
        <w:t>江苏省金坛茅山旅游度假区管理办公室于</w:t>
      </w:r>
      <w:r>
        <w:t>2024</w:t>
      </w:r>
      <w:r>
        <w:rPr>
          <w:rFonts w:hint="eastAsia"/>
        </w:rPr>
        <w:t>年</w:t>
      </w:r>
      <w:r>
        <w:t>7</w:t>
      </w:r>
      <w:r>
        <w:rPr>
          <w:rFonts w:hint="eastAsia"/>
        </w:rPr>
        <w:t>月</w:t>
      </w:r>
      <w:r>
        <w:t>11</w:t>
      </w:r>
      <w:r>
        <w:rPr>
          <w:rFonts w:hint="eastAsia"/>
        </w:rPr>
        <w:t>日在江苏龙衡环境科技有限公司网站对本规划环境影响报告进行了公示，公示期限为</w:t>
      </w:r>
      <w:r>
        <w:t>10</w:t>
      </w:r>
      <w:r>
        <w:rPr>
          <w:rFonts w:hint="eastAsia"/>
        </w:rPr>
        <w:t>个工作日。公示主要内容包括：规划概况、环境质量现状、规划实施可能造成的环境影响、环境影响初步结论、征求公众意见的主要事项、公众意见反馈方式、规划环评委托单位和环境影响评价单位名称及联系方式以及公示时间等。</w:t>
      </w:r>
    </w:p>
    <w:p w14:paraId="2BE214ED">
      <w:pPr>
        <w:ind w:firstLine="480"/>
      </w:pPr>
      <w:r>
        <w:rPr>
          <w:rFonts w:hint="eastAsia"/>
        </w:rPr>
        <w:t>在网络公示期间，江苏省金坛茅山旅游度假区管理办公室通过《江南时报》对本次规划环评项目进行了同步公示。</w:t>
      </w:r>
    </w:p>
    <w:p w14:paraId="1B498637">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w:t>
      </w:r>
      <w:r>
        <w:rPr>
          <w:rFonts w:eastAsia="方正楷体_GBK" w:cs="Times New Roman"/>
          <w:b/>
          <w:bCs/>
          <w:szCs w:val="28"/>
          <w14:ligatures w14:val="none"/>
        </w:rPr>
        <w:t>2.3.2</w:t>
      </w:r>
      <w:r>
        <w:rPr>
          <w:rFonts w:hint="eastAsia" w:eastAsia="方正楷体_GBK" w:cs="Times New Roman"/>
          <w:b/>
          <w:bCs/>
          <w:szCs w:val="28"/>
          <w14:ligatures w14:val="none"/>
        </w:rPr>
        <w:t>公开方式</w:t>
      </w:r>
    </w:p>
    <w:p w14:paraId="6EAEB5B5">
      <w:pPr>
        <w:ind w:firstLine="0" w:firstLineChars="0"/>
        <w:outlineLvl w:val="3"/>
        <w:rPr>
          <w:b/>
          <w:bCs/>
        </w:rPr>
      </w:pPr>
      <w:r>
        <w:rPr>
          <w:rFonts w:hint="eastAsia"/>
          <w:b/>
          <w:bCs/>
        </w:rPr>
        <w:t>1</w:t>
      </w:r>
      <w:r>
        <w:rPr>
          <w:b/>
          <w:bCs/>
        </w:rPr>
        <w:t>2.3.</w:t>
      </w:r>
      <w:r>
        <w:rPr>
          <w:rFonts w:hint="eastAsia"/>
          <w:b/>
          <w:bCs/>
        </w:rPr>
        <w:t>2</w:t>
      </w:r>
      <w:r>
        <w:rPr>
          <w:b/>
          <w:bCs/>
        </w:rPr>
        <w:t>.1</w:t>
      </w:r>
      <w:r>
        <w:rPr>
          <w:rFonts w:hint="eastAsia"/>
          <w:b/>
          <w:bCs/>
        </w:rPr>
        <w:t>网络公示</w:t>
      </w:r>
    </w:p>
    <w:p w14:paraId="3F7DD6C4">
      <w:pPr>
        <w:pStyle w:val="60"/>
        <w:ind w:firstLine="480"/>
        <w:rPr>
          <w:rFonts w:cstheme="minorBidi"/>
          <w:sz w:val="24"/>
          <w:szCs w:val="22"/>
        </w:rPr>
      </w:pPr>
      <w:r>
        <w:rPr>
          <w:rFonts w:hint="eastAsia" w:cstheme="minorBidi"/>
          <w:sz w:val="24"/>
          <w:szCs w:val="22"/>
        </w:rPr>
        <w:t>二次公示在江苏龙衡环境科技有限公司网站进行，二次公示网址为</w:t>
      </w:r>
      <w:r>
        <w:rPr>
          <w:rFonts w:cstheme="minorBidi"/>
          <w:sz w:val="24"/>
          <w:szCs w:val="22"/>
        </w:rPr>
        <w:t>http://www.jslhhjkj.com/content/?342.html</w:t>
      </w:r>
      <w:r>
        <w:rPr>
          <w:rFonts w:hint="eastAsia" w:cstheme="minorBidi"/>
          <w:sz w:val="24"/>
          <w:szCs w:val="22"/>
        </w:rPr>
        <w:t>，首次公示于</w:t>
      </w:r>
      <w:r>
        <w:rPr>
          <w:rFonts w:cstheme="minorBidi"/>
          <w:sz w:val="24"/>
          <w:szCs w:val="22"/>
        </w:rPr>
        <w:t>2024</w:t>
      </w:r>
      <w:r>
        <w:rPr>
          <w:rFonts w:hint="eastAsia" w:cstheme="minorBidi"/>
          <w:sz w:val="24"/>
          <w:szCs w:val="22"/>
        </w:rPr>
        <w:t>年</w:t>
      </w:r>
      <w:r>
        <w:rPr>
          <w:rFonts w:cstheme="minorBidi"/>
          <w:sz w:val="24"/>
          <w:szCs w:val="22"/>
        </w:rPr>
        <w:t>7</w:t>
      </w:r>
      <w:r>
        <w:rPr>
          <w:rFonts w:hint="eastAsia" w:cstheme="minorBidi"/>
          <w:sz w:val="24"/>
          <w:szCs w:val="22"/>
        </w:rPr>
        <w:t>月</w:t>
      </w:r>
      <w:r>
        <w:rPr>
          <w:rFonts w:cstheme="minorBidi"/>
          <w:sz w:val="24"/>
          <w:szCs w:val="22"/>
        </w:rPr>
        <w:t>11</w:t>
      </w:r>
      <w:r>
        <w:rPr>
          <w:rFonts w:hint="eastAsia" w:cstheme="minorBidi"/>
          <w:sz w:val="24"/>
          <w:szCs w:val="22"/>
        </w:rPr>
        <w:t>日开始，公示有效期为</w:t>
      </w:r>
      <w:r>
        <w:rPr>
          <w:rFonts w:cstheme="minorBidi"/>
          <w:sz w:val="24"/>
          <w:szCs w:val="22"/>
        </w:rPr>
        <w:t>10</w:t>
      </w:r>
      <w:r>
        <w:rPr>
          <w:rFonts w:hint="eastAsia" w:cstheme="minorBidi"/>
          <w:sz w:val="24"/>
          <w:szCs w:val="22"/>
        </w:rPr>
        <w:t>个工作日，公示截图见图</w:t>
      </w:r>
      <w:r>
        <w:rPr>
          <w:rFonts w:cstheme="minorBidi"/>
          <w:sz w:val="24"/>
          <w:szCs w:val="22"/>
        </w:rPr>
        <w:t>12.3-1</w:t>
      </w:r>
      <w:r>
        <w:rPr>
          <w:rFonts w:hint="eastAsia" w:cstheme="minorBidi"/>
          <w:sz w:val="24"/>
          <w:szCs w:val="22"/>
        </w:rPr>
        <w:t>。</w:t>
      </w:r>
    </w:p>
    <w:p w14:paraId="26A7191B">
      <w:pPr>
        <w:ind w:firstLine="480"/>
        <w:rPr>
          <w:szCs w:val="24"/>
        </w:rPr>
      </w:pPr>
      <w:r>
        <w:rPr>
          <w:rFonts w:hint="eastAsia"/>
        </w:rPr>
        <w:t>二次</w:t>
      </w:r>
      <w:r>
        <w:rPr>
          <w:rFonts w:hint="eastAsia"/>
          <w:szCs w:val="24"/>
        </w:rPr>
        <w:t>网络公示分别在江苏龙衡环境科技有限公司网站（于</w:t>
      </w:r>
      <w:r>
        <w:t>2024</w:t>
      </w:r>
      <w:r>
        <w:rPr>
          <w:rFonts w:hint="eastAsia"/>
        </w:rPr>
        <w:t>年</w:t>
      </w:r>
      <w:r>
        <w:t>7</w:t>
      </w:r>
      <w:r>
        <w:rPr>
          <w:rFonts w:hint="eastAsia"/>
        </w:rPr>
        <w:t>月</w:t>
      </w:r>
      <w:r>
        <w:t>11</w:t>
      </w:r>
      <w:r>
        <w:rPr>
          <w:rFonts w:hint="eastAsia"/>
        </w:rPr>
        <w:t>日</w:t>
      </w:r>
      <w:r>
        <w:rPr>
          <w:rFonts w:hint="eastAsia"/>
          <w:szCs w:val="24"/>
        </w:rPr>
        <w:t>开始，公示有效期为10个工作日）、江苏省茅山旅游度假区官方网站进行（于</w:t>
      </w:r>
      <w:r>
        <w:t>2024</w:t>
      </w:r>
      <w:r>
        <w:rPr>
          <w:rFonts w:hint="eastAsia"/>
        </w:rPr>
        <w:t>年</w:t>
      </w:r>
      <w:r>
        <w:t>7</w:t>
      </w:r>
      <w:r>
        <w:rPr>
          <w:rFonts w:hint="eastAsia"/>
        </w:rPr>
        <w:t>月</w:t>
      </w:r>
      <w:r>
        <w:t>11</w:t>
      </w:r>
      <w:r>
        <w:rPr>
          <w:rFonts w:hint="eastAsia"/>
        </w:rPr>
        <w:t>日</w:t>
      </w:r>
      <w:r>
        <w:rPr>
          <w:rFonts w:hint="eastAsia"/>
          <w:szCs w:val="24"/>
        </w:rPr>
        <w:t>开始，公示有效期为10个工作日），二次公示网址为</w:t>
      </w:r>
      <w:r>
        <w:rPr>
          <w:szCs w:val="24"/>
        </w:rPr>
        <w:t>http://www.jslhhjkj.com/content/?342.html</w:t>
      </w:r>
      <w:r>
        <w:rPr>
          <w:rFonts w:hint="eastAsia"/>
          <w:szCs w:val="24"/>
        </w:rPr>
        <w:t>、</w:t>
      </w:r>
      <w:r>
        <w:rPr>
          <w:szCs w:val="24"/>
        </w:rPr>
        <w:t>http://www.chinamaoshan.cn/</w:t>
      </w:r>
      <w:r>
        <w:rPr>
          <w:rFonts w:hint="eastAsia"/>
          <w:szCs w:val="24"/>
        </w:rPr>
        <w:t>，公示截图见图12.3-1~12.3-2。</w:t>
      </w:r>
    </w:p>
    <w:p w14:paraId="1E2904BA">
      <w:pPr>
        <w:pStyle w:val="60"/>
        <w:ind w:firstLine="480"/>
        <w:rPr>
          <w:rFonts w:cstheme="minorBidi"/>
          <w:sz w:val="24"/>
          <w:szCs w:val="22"/>
        </w:rPr>
      </w:pPr>
    </w:p>
    <w:p w14:paraId="59A4FA56">
      <w:pPr>
        <w:spacing w:line="240" w:lineRule="auto"/>
        <w:ind w:firstLine="0" w:firstLineChars="0"/>
        <w:jc w:val="center"/>
        <w:rPr>
          <w:color w:val="0070C0"/>
        </w:rPr>
      </w:pPr>
      <w:r>
        <w:rPr>
          <w:color w:val="0070C0"/>
        </w:rPr>
        <w:drawing>
          <wp:inline distT="0" distB="0" distL="0" distR="0">
            <wp:extent cx="4987290" cy="5458460"/>
            <wp:effectExtent l="0" t="0" r="3810" b="8890"/>
            <wp:docPr id="6238190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19094" name="图片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001509" cy="5473599"/>
                    </a:xfrm>
                    <a:prstGeom prst="rect">
                      <a:avLst/>
                    </a:prstGeom>
                    <a:noFill/>
                    <a:ln>
                      <a:noFill/>
                    </a:ln>
                  </pic:spPr>
                </pic:pic>
              </a:graphicData>
            </a:graphic>
          </wp:inline>
        </w:drawing>
      </w:r>
    </w:p>
    <w:p w14:paraId="2924ACFB">
      <w:pPr>
        <w:spacing w:line="240" w:lineRule="auto"/>
        <w:ind w:firstLine="0" w:firstLineChars="0"/>
        <w:jc w:val="center"/>
        <w:rPr>
          <w:color w:val="0070C0"/>
        </w:rPr>
      </w:pPr>
      <w:r>
        <w:rPr>
          <w:color w:val="0070C0"/>
        </w:rPr>
        <w:drawing>
          <wp:inline distT="0" distB="0" distL="0" distR="0">
            <wp:extent cx="4976495" cy="2314575"/>
            <wp:effectExtent l="0" t="0" r="0" b="0"/>
            <wp:docPr id="16622986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98607" name="图片 4"/>
                    <pic:cNvPicPr>
                      <a:picLocks noChangeAspect="1" noChangeArrowheads="1"/>
                    </pic:cNvPicPr>
                  </pic:nvPicPr>
                  <pic:blipFill>
                    <a:blip r:embed="rId78">
                      <a:extLst>
                        <a:ext uri="{28A0092B-C50C-407E-A947-70E740481C1C}">
                          <a14:useLocalDpi xmlns:a14="http://schemas.microsoft.com/office/drawing/2010/main" val="0"/>
                        </a:ext>
                      </a:extLst>
                    </a:blip>
                    <a:srcRect b="78702"/>
                    <a:stretch>
                      <a:fillRect/>
                    </a:stretch>
                  </pic:blipFill>
                  <pic:spPr>
                    <a:xfrm>
                      <a:off x="0" y="0"/>
                      <a:ext cx="5003669" cy="2327153"/>
                    </a:xfrm>
                    <a:prstGeom prst="rect">
                      <a:avLst/>
                    </a:prstGeom>
                    <a:noFill/>
                    <a:ln>
                      <a:noFill/>
                    </a:ln>
                  </pic:spPr>
                </pic:pic>
              </a:graphicData>
            </a:graphic>
          </wp:inline>
        </w:drawing>
      </w:r>
    </w:p>
    <w:p w14:paraId="7F0CD6B2">
      <w:pPr>
        <w:spacing w:line="240" w:lineRule="auto"/>
        <w:ind w:firstLine="0" w:firstLineChars="0"/>
        <w:jc w:val="center"/>
        <w:rPr>
          <w:color w:val="0070C0"/>
        </w:rPr>
      </w:pPr>
      <w:r>
        <w:rPr>
          <w:color w:val="0070C0"/>
        </w:rPr>
        <w:drawing>
          <wp:inline distT="0" distB="0" distL="0" distR="0">
            <wp:extent cx="4742180" cy="8108315"/>
            <wp:effectExtent l="0" t="0" r="1270" b="6985"/>
            <wp:docPr id="12872937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93760" name="图片 5"/>
                    <pic:cNvPicPr>
                      <a:picLocks noChangeAspect="1" noChangeArrowheads="1"/>
                    </pic:cNvPicPr>
                  </pic:nvPicPr>
                  <pic:blipFill>
                    <a:blip r:embed="rId78">
                      <a:extLst>
                        <a:ext uri="{28A0092B-C50C-407E-A947-70E740481C1C}">
                          <a14:useLocalDpi xmlns:a14="http://schemas.microsoft.com/office/drawing/2010/main" val="0"/>
                        </a:ext>
                      </a:extLst>
                    </a:blip>
                    <a:srcRect t="21705"/>
                    <a:stretch>
                      <a:fillRect/>
                    </a:stretch>
                  </pic:blipFill>
                  <pic:spPr>
                    <a:xfrm>
                      <a:off x="0" y="0"/>
                      <a:ext cx="4742180" cy="8108315"/>
                    </a:xfrm>
                    <a:prstGeom prst="rect">
                      <a:avLst/>
                    </a:prstGeom>
                    <a:noFill/>
                    <a:ln>
                      <a:noFill/>
                    </a:ln>
                  </pic:spPr>
                </pic:pic>
              </a:graphicData>
            </a:graphic>
          </wp:inline>
        </w:drawing>
      </w:r>
    </w:p>
    <w:p w14:paraId="2A956FBD">
      <w:pPr>
        <w:pStyle w:val="45"/>
      </w:pPr>
      <w:r>
        <w:rPr>
          <w:rFonts w:hint="eastAsia" w:cs="Times New Roman"/>
        </w:rPr>
        <w:t>图1</w:t>
      </w:r>
      <w:r>
        <w:rPr>
          <w:rFonts w:cs="Times New Roman"/>
        </w:rPr>
        <w:t>2</w:t>
      </w:r>
      <w:r>
        <w:rPr>
          <w:rFonts w:hint="eastAsia" w:cs="Times New Roman"/>
        </w:rPr>
        <w:t>.</w:t>
      </w:r>
      <w:r>
        <w:rPr>
          <w:rFonts w:cs="Times New Roman"/>
        </w:rPr>
        <w:t>3</w:t>
      </w:r>
      <w:r>
        <w:rPr>
          <w:rFonts w:hint="eastAsia" w:cs="Times New Roman"/>
        </w:rPr>
        <w:t>-1</w:t>
      </w:r>
      <w:r>
        <w:rPr>
          <w:rFonts w:cs="Times New Roman"/>
        </w:rPr>
        <w:t xml:space="preserve">  </w:t>
      </w:r>
      <w:r>
        <w:rPr>
          <w:rFonts w:hint="eastAsia" w:cs="Times New Roman"/>
        </w:rPr>
        <w:t>二次</w:t>
      </w:r>
      <w:r>
        <w:rPr>
          <w:rFonts w:hint="eastAsia"/>
        </w:rPr>
        <w:t>信息公示截图-1</w:t>
      </w:r>
    </w:p>
    <w:p w14:paraId="49F0E2A8">
      <w:pPr>
        <w:pStyle w:val="45"/>
        <w:outlineLvl w:val="9"/>
      </w:pPr>
      <w:r>
        <w:drawing>
          <wp:inline distT="0" distB="0" distL="0" distR="0">
            <wp:extent cx="3403600" cy="8103870"/>
            <wp:effectExtent l="0" t="0" r="6350" b="0"/>
            <wp:docPr id="21383005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300506" name="图片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3412422" cy="8125311"/>
                    </a:xfrm>
                    <a:prstGeom prst="rect">
                      <a:avLst/>
                    </a:prstGeom>
                    <a:noFill/>
                    <a:ln>
                      <a:noFill/>
                    </a:ln>
                  </pic:spPr>
                </pic:pic>
              </a:graphicData>
            </a:graphic>
          </wp:inline>
        </w:drawing>
      </w:r>
    </w:p>
    <w:p w14:paraId="794F2126">
      <w:pPr>
        <w:pStyle w:val="45"/>
      </w:pPr>
      <w:r>
        <w:rPr>
          <w:rFonts w:hint="eastAsia" w:cs="Times New Roman"/>
        </w:rPr>
        <w:t>图1</w:t>
      </w:r>
      <w:r>
        <w:rPr>
          <w:rFonts w:cs="Times New Roman"/>
        </w:rPr>
        <w:t>2</w:t>
      </w:r>
      <w:r>
        <w:rPr>
          <w:rFonts w:hint="eastAsia" w:cs="Times New Roman"/>
        </w:rPr>
        <w:t>.</w:t>
      </w:r>
      <w:r>
        <w:rPr>
          <w:rFonts w:cs="Times New Roman"/>
        </w:rPr>
        <w:t>3</w:t>
      </w:r>
      <w:r>
        <w:rPr>
          <w:rFonts w:hint="eastAsia" w:cs="Times New Roman"/>
        </w:rPr>
        <w:t>-3</w:t>
      </w:r>
      <w:r>
        <w:rPr>
          <w:rFonts w:cs="Times New Roman"/>
        </w:rPr>
        <w:t xml:space="preserve">  </w:t>
      </w:r>
      <w:r>
        <w:rPr>
          <w:rFonts w:hint="eastAsia" w:cs="Times New Roman"/>
        </w:rPr>
        <w:t>二次</w:t>
      </w:r>
      <w:r>
        <w:rPr>
          <w:rFonts w:hint="eastAsia"/>
        </w:rPr>
        <w:t>信息公示截图-2</w:t>
      </w:r>
    </w:p>
    <w:p w14:paraId="396FBAF2">
      <w:pPr>
        <w:pStyle w:val="45"/>
        <w:outlineLvl w:val="9"/>
      </w:pPr>
    </w:p>
    <w:p w14:paraId="41EC6FEA">
      <w:pPr>
        <w:ind w:firstLine="0" w:firstLineChars="0"/>
        <w:outlineLvl w:val="3"/>
        <w:rPr>
          <w:b/>
          <w:bCs/>
        </w:rPr>
      </w:pPr>
      <w:r>
        <w:rPr>
          <w:rFonts w:hint="eastAsia"/>
          <w:b/>
          <w:bCs/>
        </w:rPr>
        <w:t>1</w:t>
      </w:r>
      <w:r>
        <w:rPr>
          <w:b/>
          <w:bCs/>
        </w:rPr>
        <w:t>2.3.</w:t>
      </w:r>
      <w:r>
        <w:rPr>
          <w:rFonts w:hint="eastAsia"/>
          <w:b/>
          <w:bCs/>
        </w:rPr>
        <w:t>2</w:t>
      </w:r>
      <w:r>
        <w:rPr>
          <w:b/>
          <w:bCs/>
        </w:rPr>
        <w:t>.2</w:t>
      </w:r>
      <w:r>
        <w:rPr>
          <w:rFonts w:hint="eastAsia"/>
          <w:b/>
          <w:bCs/>
        </w:rPr>
        <w:t>报纸公示</w:t>
      </w:r>
    </w:p>
    <w:p w14:paraId="268E3E13">
      <w:pPr>
        <w:pStyle w:val="60"/>
        <w:ind w:firstLine="480"/>
      </w:pPr>
      <w:r>
        <w:rPr>
          <w:rFonts w:hint="eastAsia"/>
          <w:sz w:val="24"/>
        </w:rPr>
        <w:t>参照《环境影响评价公众参与办法》第十一条中“通过建设项目所在地公众易于接触的报纸公开，且在征求意见的</w:t>
      </w:r>
      <w:r>
        <w:rPr>
          <w:sz w:val="24"/>
        </w:rPr>
        <w:t>10</w:t>
      </w:r>
      <w:r>
        <w:rPr>
          <w:rFonts w:hint="eastAsia"/>
          <w:sz w:val="24"/>
        </w:rPr>
        <w:t>个工作日内公开信息不得少于</w:t>
      </w:r>
      <w:r>
        <w:rPr>
          <w:sz w:val="24"/>
        </w:rPr>
        <w:t>2</w:t>
      </w:r>
      <w:r>
        <w:rPr>
          <w:rFonts w:hint="eastAsia"/>
          <w:sz w:val="24"/>
        </w:rPr>
        <w:t>次”的要求。在本次规划环评网络公示期间，江苏省金坛茅山旅游度假区管理办公室分别于</w:t>
      </w:r>
      <w:r>
        <w:rPr>
          <w:sz w:val="24"/>
        </w:rPr>
        <w:t>2024</w:t>
      </w:r>
      <w:r>
        <w:rPr>
          <w:rFonts w:hint="eastAsia"/>
          <w:sz w:val="24"/>
        </w:rPr>
        <w:t>年</w:t>
      </w:r>
      <w:r>
        <w:rPr>
          <w:sz w:val="24"/>
        </w:rPr>
        <w:t>7</w:t>
      </w:r>
      <w:r>
        <w:rPr>
          <w:rFonts w:hint="eastAsia"/>
          <w:sz w:val="24"/>
        </w:rPr>
        <w:t>月</w:t>
      </w:r>
      <w:r>
        <w:rPr>
          <w:sz w:val="24"/>
        </w:rPr>
        <w:t>15</w:t>
      </w:r>
      <w:r>
        <w:rPr>
          <w:rFonts w:hint="eastAsia"/>
          <w:sz w:val="24"/>
        </w:rPr>
        <w:t>日、</w:t>
      </w:r>
      <w:r>
        <w:rPr>
          <w:sz w:val="24"/>
        </w:rPr>
        <w:t>2024</w:t>
      </w:r>
      <w:r>
        <w:rPr>
          <w:rFonts w:hint="eastAsia"/>
          <w:sz w:val="24"/>
        </w:rPr>
        <w:t>年</w:t>
      </w:r>
      <w:r>
        <w:rPr>
          <w:sz w:val="24"/>
        </w:rPr>
        <w:t>7</w:t>
      </w:r>
      <w:r>
        <w:rPr>
          <w:rFonts w:hint="eastAsia"/>
          <w:sz w:val="24"/>
        </w:rPr>
        <w:t>月</w:t>
      </w:r>
      <w:r>
        <w:rPr>
          <w:sz w:val="24"/>
        </w:rPr>
        <w:t>17</w:t>
      </w:r>
      <w:r>
        <w:rPr>
          <w:rFonts w:hint="eastAsia"/>
          <w:sz w:val="24"/>
        </w:rPr>
        <w:t>日在主流媒体《江南时报》进行了两次报纸公示，报纸公示截图见图</w:t>
      </w:r>
      <w:r>
        <w:rPr>
          <w:sz w:val="24"/>
        </w:rPr>
        <w:t>12.3-2</w:t>
      </w:r>
      <w:r>
        <w:rPr>
          <w:rFonts w:hint="eastAsia"/>
          <w:sz w:val="24"/>
        </w:rPr>
        <w:t>和图</w:t>
      </w:r>
      <w:r>
        <w:rPr>
          <w:sz w:val="24"/>
        </w:rPr>
        <w:t>12.3-2</w:t>
      </w:r>
      <w:r>
        <w:rPr>
          <w:rFonts w:hint="eastAsia"/>
          <w:sz w:val="24"/>
        </w:rPr>
        <w:t>。《江南时报》是原人民日报社主管的综合类报纸，立足江苏，辐射长三角，覆盖全国，规划环评所在地公众易于接触。故本次选取《江南时报》进行环评信息公示，符合《环境影响评价公众参与办法》中相关要求。</w:t>
      </w:r>
    </w:p>
    <w:p w14:paraId="39F01F1E">
      <w:pPr>
        <w:pStyle w:val="60"/>
        <w:spacing w:line="240" w:lineRule="auto"/>
        <w:ind w:firstLine="0" w:firstLineChars="0"/>
      </w:pPr>
      <w:r>
        <mc:AlternateContent>
          <mc:Choice Requires="wps">
            <w:drawing>
              <wp:anchor distT="0" distB="0" distL="114300" distR="114300" simplePos="0" relativeHeight="251660288" behindDoc="0" locked="0" layoutInCell="1" allowOverlap="1">
                <wp:simplePos x="0" y="0"/>
                <wp:positionH relativeFrom="column">
                  <wp:posOffset>3620135</wp:posOffset>
                </wp:positionH>
                <wp:positionV relativeFrom="paragraph">
                  <wp:posOffset>6772910</wp:posOffset>
                </wp:positionV>
                <wp:extent cx="1573530" cy="1031240"/>
                <wp:effectExtent l="0" t="0" r="26670" b="16510"/>
                <wp:wrapNone/>
                <wp:docPr id="27" name="矩形 27"/>
                <wp:cNvGraphicFramePr/>
                <a:graphic xmlns:a="http://schemas.openxmlformats.org/drawingml/2006/main">
                  <a:graphicData uri="http://schemas.microsoft.com/office/word/2010/wordprocessingShape">
                    <wps:wsp>
                      <wps:cNvSpPr/>
                      <wps:spPr>
                        <a:xfrm>
                          <a:off x="0" y="0"/>
                          <a:ext cx="1573619" cy="103135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5.05pt;margin-top:533.3pt;height:81.2pt;width:123.9pt;z-index:251660288;v-text-anchor:middle;mso-width-relative:page;mso-height-relative:page;" filled="f" stroked="t" coordsize="21600,21600" o:gfxdata="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kRCmbdoAAAANAQAADwAAAAAAAAABACAAAAAiAAAAZHJzL2Rvd25y&#10;ZXYueG1sUEsBAhQAFAAAAAgAh07iQILLGQVuAgAAzgQAAA4AAAAAAAAAAQAgAAAAKQEAAGRycy9l&#10;Mm9Eb2MueG1sUEsFBgAAAAAGAAYAWQEAAAkGAAAAAA==&#10;">
                <v:fill on="f" focussize="0,0"/>
                <v:stroke weight="1.5pt" color="#FF0000 [3204]" miterlimit="8" joinstyle="miter"/>
                <v:imagedata o:title=""/>
                <o:lock v:ext="edit" aspectratio="f"/>
              </v:rect>
            </w:pict>
          </mc:Fallback>
        </mc:AlternateContent>
      </w:r>
      <w:r>
        <w:drawing>
          <wp:inline distT="0" distB="0" distL="0" distR="0">
            <wp:extent cx="5274310" cy="7934325"/>
            <wp:effectExtent l="0" t="0" r="2540" b="9525"/>
            <wp:docPr id="26" name="图片 26" descr="E:\#2024\7-茅山旅游度假区规划环评\信息公开\第二次公示\一次报纸公示-江南时报2024-7-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E:\#2024\7-茅山旅游度假区规划环评\信息公开\第二次公示\一次报纸公示-江南时报2024-7-15-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274310" cy="7934431"/>
                    </a:xfrm>
                    <a:prstGeom prst="rect">
                      <a:avLst/>
                    </a:prstGeom>
                    <a:noFill/>
                    <a:ln>
                      <a:noFill/>
                    </a:ln>
                  </pic:spPr>
                </pic:pic>
              </a:graphicData>
            </a:graphic>
          </wp:inline>
        </w:drawing>
      </w:r>
    </w:p>
    <w:p w14:paraId="4BE68EED">
      <w:pPr>
        <w:pStyle w:val="45"/>
      </w:pPr>
      <w:r>
        <w:rPr>
          <w:rFonts w:hint="eastAsia" w:cs="Times New Roman"/>
        </w:rPr>
        <w:t>图1</w:t>
      </w:r>
      <w:r>
        <w:rPr>
          <w:rFonts w:cs="Times New Roman"/>
        </w:rPr>
        <w:t>2</w:t>
      </w:r>
      <w:r>
        <w:rPr>
          <w:rFonts w:hint="eastAsia" w:cs="Times New Roman"/>
        </w:rPr>
        <w:t>.</w:t>
      </w:r>
      <w:r>
        <w:rPr>
          <w:rFonts w:cs="Times New Roman"/>
        </w:rPr>
        <w:t>3</w:t>
      </w:r>
      <w:r>
        <w:rPr>
          <w:rFonts w:hint="eastAsia" w:cs="Times New Roman"/>
        </w:rPr>
        <w:t>-</w:t>
      </w:r>
      <w:r>
        <w:rPr>
          <w:rFonts w:cs="Times New Roman"/>
        </w:rPr>
        <w:t xml:space="preserve">2  </w:t>
      </w:r>
      <w:r>
        <w:rPr>
          <w:rFonts w:hint="eastAsia" w:cs="Times New Roman"/>
        </w:rPr>
        <w:t>《江南时报》</w:t>
      </w:r>
      <w:r>
        <w:rPr>
          <w:rFonts w:hint="eastAsia"/>
        </w:rPr>
        <w:t>公示截图（2</w:t>
      </w:r>
      <w:r>
        <w:t>024</w:t>
      </w:r>
      <w:r>
        <w:rPr>
          <w:rFonts w:hint="eastAsia"/>
        </w:rPr>
        <w:t>年7月1</w:t>
      </w:r>
      <w:r>
        <w:t>5</w:t>
      </w:r>
      <w:r>
        <w:rPr>
          <w:rFonts w:hint="eastAsia"/>
        </w:rPr>
        <w:t>日）</w:t>
      </w:r>
    </w:p>
    <w:p w14:paraId="6705E972">
      <w:pPr>
        <w:pStyle w:val="45"/>
        <w:outlineLvl w:val="9"/>
      </w:pPr>
      <w:r>
        <mc:AlternateContent>
          <mc:Choice Requires="wps">
            <w:drawing>
              <wp:anchor distT="0" distB="0" distL="114300" distR="114300" simplePos="0" relativeHeight="251661312" behindDoc="0" locked="0" layoutInCell="1" allowOverlap="1">
                <wp:simplePos x="0" y="0"/>
                <wp:positionH relativeFrom="column">
                  <wp:posOffset>3620135</wp:posOffset>
                </wp:positionH>
                <wp:positionV relativeFrom="paragraph">
                  <wp:posOffset>6304915</wp:posOffset>
                </wp:positionV>
                <wp:extent cx="1573530" cy="1488440"/>
                <wp:effectExtent l="0" t="0" r="26670" b="16510"/>
                <wp:wrapNone/>
                <wp:docPr id="17" name="矩形 17"/>
                <wp:cNvGraphicFramePr/>
                <a:graphic xmlns:a="http://schemas.openxmlformats.org/drawingml/2006/main">
                  <a:graphicData uri="http://schemas.microsoft.com/office/word/2010/wordprocessingShape">
                    <wps:wsp>
                      <wps:cNvSpPr/>
                      <wps:spPr>
                        <a:xfrm>
                          <a:off x="0" y="0"/>
                          <a:ext cx="1573619" cy="148855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5.05pt;margin-top:496.45pt;height:117.2pt;width:123.9pt;z-index:251661312;v-text-anchor:middle;mso-width-relative:page;mso-height-relative:page;" filled="f" stroked="t" coordsize="21600,21600" o:gfxdata="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3IhMO2QAAAAwBAAAPAAAAAAAAAAEAIAAAACIAAABkcnMvZG93bnJl&#10;di54bWxQSwECFAAUAAAACACHTuJAraJHXW4CAADOBAAADgAAAAAAAAABACAAAAAoAQAAZHJzL2Uy&#10;b0RvYy54bWxQSwUGAAAAAAYABgBZAQAACAYAAAAA&#10;">
                <v:fill on="f" focussize="0,0"/>
                <v:stroke weight="1.5pt" color="#FF0000 [3204]" miterlimit="8" joinstyle="miter"/>
                <v:imagedata o:title=""/>
                <o:lock v:ext="edit" aspectratio="f"/>
              </v:rect>
            </w:pict>
          </mc:Fallback>
        </mc:AlternateContent>
      </w:r>
      <w:r>
        <w:drawing>
          <wp:inline distT="0" distB="0" distL="0" distR="0">
            <wp:extent cx="5274310" cy="7931150"/>
            <wp:effectExtent l="0" t="0" r="2540" b="0"/>
            <wp:docPr id="10" name="图片 10" descr="E:\#2024\7-茅山旅游度假区规划环评\信息公开\第二次公示\江南时报2024-7-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2024\7-茅山旅游度假区规划环评\信息公开\第二次公示\江南时报2024-7-17-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5274310" cy="7931299"/>
                    </a:xfrm>
                    <a:prstGeom prst="rect">
                      <a:avLst/>
                    </a:prstGeom>
                    <a:noFill/>
                    <a:ln>
                      <a:noFill/>
                    </a:ln>
                  </pic:spPr>
                </pic:pic>
              </a:graphicData>
            </a:graphic>
          </wp:inline>
        </w:drawing>
      </w:r>
    </w:p>
    <w:p w14:paraId="68D9A1F6">
      <w:pPr>
        <w:pStyle w:val="45"/>
      </w:pPr>
      <w:r>
        <w:rPr>
          <w:rFonts w:hint="eastAsia" w:cs="Times New Roman"/>
        </w:rPr>
        <w:t>图</w:t>
      </w:r>
      <w:r>
        <w:rPr>
          <w:rFonts w:cs="Times New Roman"/>
        </w:rPr>
        <w:t xml:space="preserve">12.3-3  </w:t>
      </w:r>
      <w:r>
        <w:rPr>
          <w:rFonts w:hint="eastAsia" w:cs="Times New Roman"/>
        </w:rPr>
        <w:t>《江南时报》</w:t>
      </w:r>
      <w:r>
        <w:rPr>
          <w:rFonts w:hint="eastAsia"/>
        </w:rPr>
        <w:t>公示截图（</w:t>
      </w:r>
      <w:r>
        <w:t>2024</w:t>
      </w:r>
      <w:r>
        <w:rPr>
          <w:rFonts w:hint="eastAsia"/>
        </w:rPr>
        <w:t>年</w:t>
      </w:r>
      <w:r>
        <w:t>7</w:t>
      </w:r>
      <w:r>
        <w:rPr>
          <w:rFonts w:hint="eastAsia"/>
        </w:rPr>
        <w:t>月</w:t>
      </w:r>
      <w:r>
        <w:t>17</w:t>
      </w:r>
      <w:r>
        <w:rPr>
          <w:rFonts w:hint="eastAsia"/>
        </w:rPr>
        <w:t>日）</w:t>
      </w:r>
    </w:p>
    <w:p w14:paraId="00275B9F">
      <w:pPr>
        <w:ind w:firstLine="0" w:firstLineChars="0"/>
        <w:outlineLvl w:val="3"/>
        <w:rPr>
          <w:b/>
          <w:bCs/>
        </w:rPr>
      </w:pPr>
      <w:r>
        <w:rPr>
          <w:rFonts w:hint="eastAsia"/>
          <w:b/>
          <w:bCs/>
        </w:rPr>
        <w:t>1</w:t>
      </w:r>
      <w:r>
        <w:rPr>
          <w:b/>
          <w:bCs/>
        </w:rPr>
        <w:t>2.3.</w:t>
      </w:r>
      <w:r>
        <w:rPr>
          <w:rFonts w:hint="eastAsia"/>
          <w:b/>
          <w:bCs/>
        </w:rPr>
        <w:t>2</w:t>
      </w:r>
      <w:r>
        <w:rPr>
          <w:b/>
          <w:bCs/>
        </w:rPr>
        <w:t>.3</w:t>
      </w:r>
      <w:r>
        <w:rPr>
          <w:rFonts w:hint="eastAsia"/>
          <w:b/>
          <w:bCs/>
        </w:rPr>
        <w:t>张贴公示</w:t>
      </w:r>
    </w:p>
    <w:p w14:paraId="00F2A2E8">
      <w:pPr>
        <w:pStyle w:val="60"/>
        <w:ind w:firstLine="480"/>
        <w:rPr>
          <w:rFonts w:cstheme="minorBidi"/>
          <w:sz w:val="24"/>
          <w:szCs w:val="22"/>
        </w:rPr>
      </w:pPr>
      <w:r>
        <w:rPr>
          <w:rFonts w:hint="eastAsia" w:cstheme="minorBidi"/>
          <w:sz w:val="24"/>
        </w:rPr>
        <w:t>在本规划环境影响报告书网络公示期间，参照《环境影响评价公众参与办法》第十一条中“通过在建设项目所在地公众易于知悉的场所张贴公告的方式公开，且持续公开期限不得少于10个工作日”的要求，</w:t>
      </w:r>
      <w:r>
        <w:rPr>
          <w:rFonts w:hint="eastAsia"/>
          <w:sz w:val="24"/>
        </w:rPr>
        <w:t>江苏省金坛茅山旅游度假区管理办公室</w:t>
      </w:r>
      <w:r>
        <w:rPr>
          <w:rFonts w:hint="eastAsia" w:cstheme="minorBidi"/>
          <w:sz w:val="24"/>
          <w:szCs w:val="22"/>
        </w:rPr>
        <w:t>在</w:t>
      </w:r>
      <w:r>
        <w:rPr>
          <w:rFonts w:hint="eastAsia"/>
          <w:sz w:val="24"/>
        </w:rPr>
        <w:t>茅山旅游度假区管理办公室公告栏及精神文明建设宣传栏</w:t>
      </w:r>
      <w:r>
        <w:rPr>
          <w:rFonts w:hint="eastAsia" w:cstheme="minorBidi"/>
          <w:sz w:val="24"/>
          <w:szCs w:val="22"/>
        </w:rPr>
        <w:t>张贴了本规划环境影响评价公示的公告，以征求公众对本规划环境影响相关的意见和建议，现场张贴情况见图</w:t>
      </w:r>
      <w:r>
        <w:rPr>
          <w:rFonts w:cstheme="minorBidi"/>
          <w:sz w:val="24"/>
          <w:szCs w:val="22"/>
        </w:rPr>
        <w:t>12.3-4</w:t>
      </w:r>
      <w:r>
        <w:rPr>
          <w:rFonts w:hint="eastAsia" w:cstheme="minorBidi"/>
          <w:sz w:val="24"/>
          <w:szCs w:val="22"/>
        </w:rPr>
        <w:t>。</w:t>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296"/>
      </w:tblGrid>
      <w:tr w14:paraId="423681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296" w:type="dxa"/>
          </w:tcPr>
          <w:p w14:paraId="77603DF9">
            <w:pPr>
              <w:pStyle w:val="60"/>
              <w:spacing w:line="240" w:lineRule="auto"/>
              <w:ind w:firstLine="0" w:firstLineChars="0"/>
              <w:jc w:val="center"/>
              <w:rPr>
                <w:rFonts w:cstheme="minorBidi"/>
                <w:sz w:val="24"/>
                <w:szCs w:val="22"/>
              </w:rPr>
            </w:pPr>
            <w:r>
              <w:rPr>
                <w:rFonts w:hint="eastAsia" w:cstheme="minorBidi"/>
                <w:sz w:val="24"/>
                <w:szCs w:val="22"/>
              </w:rPr>
              <w:drawing>
                <wp:inline distT="0" distB="0" distL="0" distR="0">
                  <wp:extent cx="3599815" cy="2699385"/>
                  <wp:effectExtent l="0" t="0" r="635" b="5715"/>
                  <wp:docPr id="29" name="图片 29" descr="E:\#2024\7-茅山旅游度假区规划环评\信息公开\第二次公示\微信图片_2024070409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E:\#2024\7-茅山旅游度假区规划环评\信息公开\第二次公示\微信图片_2024070409232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0" cy="2699577"/>
                          </a:xfrm>
                          <a:prstGeom prst="rect">
                            <a:avLst/>
                          </a:prstGeom>
                          <a:noFill/>
                          <a:ln>
                            <a:noFill/>
                          </a:ln>
                        </pic:spPr>
                      </pic:pic>
                    </a:graphicData>
                  </a:graphic>
                </wp:inline>
              </w:drawing>
            </w:r>
          </w:p>
        </w:tc>
      </w:tr>
      <w:tr w14:paraId="2102B3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296" w:type="dxa"/>
          </w:tcPr>
          <w:p w14:paraId="40192DE6">
            <w:pPr>
              <w:pStyle w:val="60"/>
              <w:spacing w:line="240" w:lineRule="auto"/>
              <w:ind w:firstLine="0" w:firstLineChars="0"/>
              <w:jc w:val="center"/>
              <w:rPr>
                <w:rFonts w:cstheme="minorBidi"/>
                <w:sz w:val="24"/>
                <w:szCs w:val="22"/>
              </w:rPr>
            </w:pPr>
            <w:r>
              <w:rPr>
                <w:rFonts w:hint="eastAsia" w:cstheme="minorBidi"/>
                <w:sz w:val="24"/>
                <w:szCs w:val="22"/>
              </w:rPr>
              <w:drawing>
                <wp:inline distT="0" distB="0" distL="0" distR="0">
                  <wp:extent cx="3599815" cy="2700655"/>
                  <wp:effectExtent l="0" t="0" r="635" b="4445"/>
                  <wp:docPr id="30" name="图片 30" descr="E:\#2024\7-茅山旅游度假区规划环评\信息公开\第二次公示\微信图片_2024070409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E:\#2024\7-茅山旅游度假区规划环评\信息公开\第二次公示\微信图片_2024070409234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3600000" cy="2701071"/>
                          </a:xfrm>
                          <a:prstGeom prst="rect">
                            <a:avLst/>
                          </a:prstGeom>
                          <a:noFill/>
                          <a:ln>
                            <a:noFill/>
                          </a:ln>
                        </pic:spPr>
                      </pic:pic>
                    </a:graphicData>
                  </a:graphic>
                </wp:inline>
              </w:drawing>
            </w:r>
          </w:p>
        </w:tc>
      </w:tr>
    </w:tbl>
    <w:p w14:paraId="7FBCC5EF">
      <w:pPr>
        <w:pStyle w:val="45"/>
      </w:pPr>
      <w:r>
        <w:rPr>
          <w:rFonts w:hint="eastAsia" w:cs="Times New Roman"/>
        </w:rPr>
        <w:t>图</w:t>
      </w:r>
      <w:r>
        <w:rPr>
          <w:rFonts w:cs="Times New Roman"/>
        </w:rPr>
        <w:t xml:space="preserve">12.3-4  </w:t>
      </w:r>
      <w:r>
        <w:rPr>
          <w:rFonts w:hint="eastAsia" w:cs="Times New Roman"/>
        </w:rPr>
        <w:t>现场公告照片</w:t>
      </w:r>
    </w:p>
    <w:p w14:paraId="08026F4B">
      <w:pPr>
        <w:keepNext/>
        <w:keepLines/>
        <w:ind w:firstLine="0" w:firstLineChars="0"/>
        <w:jc w:val="left"/>
        <w:outlineLvl w:val="2"/>
        <w:rPr>
          <w:rFonts w:eastAsia="方正楷体_GBK" w:cs="Times New Roman"/>
          <w:b/>
          <w:bCs/>
          <w:szCs w:val="28"/>
          <w14:ligatures w14:val="none"/>
        </w:rPr>
      </w:pPr>
      <w:bookmarkStart w:id="162" w:name="_Toc166602512"/>
      <w:r>
        <w:rPr>
          <w:rFonts w:hint="eastAsia" w:eastAsia="方正楷体_GBK" w:cs="Times New Roman"/>
          <w:b/>
          <w:bCs/>
          <w:szCs w:val="28"/>
          <w14:ligatures w14:val="none"/>
        </w:rPr>
        <w:t>1</w:t>
      </w:r>
      <w:r>
        <w:rPr>
          <w:rFonts w:eastAsia="方正楷体_GBK" w:cs="Times New Roman"/>
          <w:b/>
          <w:bCs/>
          <w:szCs w:val="28"/>
          <w14:ligatures w14:val="none"/>
        </w:rPr>
        <w:t>2.3.3</w:t>
      </w:r>
      <w:r>
        <w:rPr>
          <w:rFonts w:hint="eastAsia" w:eastAsia="方正楷体_GBK" w:cs="Times New Roman"/>
          <w:b/>
          <w:bCs/>
          <w:szCs w:val="28"/>
          <w14:ligatures w14:val="none"/>
        </w:rPr>
        <w:t>查阅情况</w:t>
      </w:r>
    </w:p>
    <w:p w14:paraId="60744153">
      <w:pPr>
        <w:pStyle w:val="60"/>
        <w:ind w:firstLine="480"/>
        <w:rPr>
          <w:sz w:val="24"/>
        </w:rPr>
      </w:pPr>
      <w:r>
        <w:rPr>
          <w:rFonts w:hint="eastAsia"/>
          <w:sz w:val="24"/>
        </w:rPr>
        <w:t>江苏省金坛茅山旅游度假区管理办公室在江苏龙衡环境科技有限公司（江苏省常州市天宁区青龙街道青洋北路47号黑牡丹常州科技园一期</w:t>
      </w:r>
      <w:r>
        <w:rPr>
          <w:sz w:val="24"/>
        </w:rPr>
        <w:t>5</w:t>
      </w:r>
      <w:r>
        <w:rPr>
          <w:rFonts w:hint="eastAsia"/>
          <w:sz w:val="24"/>
        </w:rPr>
        <w:t>号楼</w:t>
      </w:r>
      <w:r>
        <w:rPr>
          <w:sz w:val="24"/>
        </w:rPr>
        <w:t>2</w:t>
      </w:r>
      <w:r>
        <w:rPr>
          <w:rFonts w:hint="eastAsia"/>
          <w:sz w:val="24"/>
        </w:rPr>
        <w:t>层）提供纸质的《金坛茅山旅游度假区总体规划环境影响报告书》供公众查阅。公示期间，没有公众前往上述场所查阅报告书。</w:t>
      </w:r>
    </w:p>
    <w:p w14:paraId="66FAE604">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w:t>
      </w:r>
      <w:r>
        <w:rPr>
          <w:rFonts w:eastAsia="方正楷体_GBK" w:cs="Times New Roman"/>
          <w:b/>
          <w:bCs/>
          <w:szCs w:val="28"/>
          <w14:ligatures w14:val="none"/>
        </w:rPr>
        <w:t>2.3.3</w:t>
      </w:r>
      <w:r>
        <w:rPr>
          <w:rFonts w:hint="eastAsia" w:eastAsia="方正楷体_GBK" w:cs="Times New Roman"/>
          <w:b/>
          <w:bCs/>
          <w:szCs w:val="28"/>
          <w14:ligatures w14:val="none"/>
        </w:rPr>
        <w:t>公众意见情况</w:t>
      </w:r>
    </w:p>
    <w:p w14:paraId="425711A0">
      <w:pPr>
        <w:tabs>
          <w:tab w:val="left" w:pos="3119"/>
        </w:tabs>
        <w:ind w:firstLine="480"/>
      </w:pPr>
      <w:r>
        <w:rPr>
          <w:rFonts w:hint="eastAsia"/>
        </w:rPr>
        <w:t>在网络公示、报纸公示、张贴公告的征求意见期间，未收到公众对本次规划环评项目的反馈信息。</w:t>
      </w:r>
    </w:p>
    <w:p w14:paraId="214C0FBA">
      <w:pPr>
        <w:pStyle w:val="3"/>
        <w:ind w:firstLine="0" w:firstLineChars="0"/>
        <w:rPr>
          <w:rFonts w:cs="Times New Roman"/>
        </w:rPr>
      </w:pPr>
      <w:bookmarkStart w:id="163" w:name="_Toc217294095"/>
      <w:r>
        <w:rPr>
          <w:rFonts w:cs="Times New Roman"/>
        </w:rPr>
        <w:t>12.4</w:t>
      </w:r>
      <w:r>
        <w:rPr>
          <w:rFonts w:hint="eastAsia" w:cs="Times New Roman"/>
        </w:rPr>
        <w:t>公众参与总结</w:t>
      </w:r>
      <w:bookmarkEnd w:id="162"/>
      <w:bookmarkEnd w:id="163"/>
    </w:p>
    <w:p w14:paraId="7E041BEC">
      <w:pPr>
        <w:tabs>
          <w:tab w:val="left" w:pos="3119"/>
        </w:tabs>
        <w:ind w:firstLine="482"/>
        <w:rPr>
          <w:b/>
          <w:bCs/>
        </w:rPr>
      </w:pPr>
      <w:bookmarkStart w:id="164" w:name="_Toc388341507"/>
      <w:bookmarkEnd w:id="164"/>
      <w:r>
        <w:rPr>
          <w:rFonts w:hint="eastAsia"/>
          <w:b/>
          <w:bCs/>
        </w:rPr>
        <w:t>（1）公众参与的合法性、有效性、代表性和真实性</w:t>
      </w:r>
    </w:p>
    <w:p w14:paraId="7EB02644">
      <w:pPr>
        <w:tabs>
          <w:tab w:val="left" w:pos="3119"/>
        </w:tabs>
        <w:ind w:firstLine="480"/>
        <w:rPr>
          <w:color w:val="0070C0"/>
        </w:rPr>
      </w:pPr>
      <w:r>
        <w:rPr>
          <w:rFonts w:hint="eastAsia"/>
        </w:rPr>
        <w:t>①本次规划环评由规划实施单位和评价单位协同按期在江苏龙衡环境科技有限公司网站发布了第一次和第二次项目环境影响评价信息公告，并提供了公众意见表。在第二次公示期间，同步在主流媒体《江南时报》上发布了两次环评信息公告。因此，本次公众参与调查程序合法。</w:t>
      </w:r>
    </w:p>
    <w:p w14:paraId="46B8F085">
      <w:pPr>
        <w:tabs>
          <w:tab w:val="left" w:pos="3119"/>
        </w:tabs>
        <w:ind w:firstLine="480"/>
      </w:pPr>
      <w:r>
        <w:rPr>
          <w:rFonts w:hint="eastAsia"/>
        </w:rPr>
        <w:t>②本次评价采取网络公示、报纸公示等方式，公开征求了公众意见，且两次征求公众意见的期限均不少于</w:t>
      </w:r>
      <w:r>
        <w:t>10</w:t>
      </w:r>
      <w:r>
        <w:rPr>
          <w:rFonts w:hint="eastAsia"/>
        </w:rPr>
        <w:t>个工作日，公开发布的有关信息在征求意见期间处于公开状态，各类公示的形式、内容、时间以及问卷调查表的回收比例均符合要求。因此，本次公众参与调查形式有效。</w:t>
      </w:r>
    </w:p>
    <w:p w14:paraId="3FEFF4DC">
      <w:pPr>
        <w:tabs>
          <w:tab w:val="left" w:pos="3119"/>
        </w:tabs>
        <w:ind w:firstLine="480"/>
      </w:pPr>
      <w:r>
        <w:rPr>
          <w:rFonts w:hint="eastAsia"/>
        </w:rPr>
        <w:t>③</w:t>
      </w:r>
      <w:r>
        <w:rPr>
          <w:rFonts w:cs="Times New Roman"/>
        </w:rPr>
        <w:t>本次公众参与调查范围覆盖了评价范围</w:t>
      </w:r>
      <w:r>
        <w:rPr>
          <w:rFonts w:hint="eastAsia" w:cs="Times New Roman"/>
        </w:rPr>
        <w:t>主要区域</w:t>
      </w:r>
      <w:r>
        <w:rPr>
          <w:rFonts w:cs="Times New Roman"/>
        </w:rPr>
        <w:t>，</w:t>
      </w:r>
      <w:r>
        <w:rPr>
          <w:rFonts w:hint="eastAsia"/>
        </w:rPr>
        <w:t>报纸公示选择主流媒体《江南时报》进行报纸公示，受众分布范围广。</w:t>
      </w:r>
    </w:p>
    <w:p w14:paraId="73916DE4">
      <w:pPr>
        <w:tabs>
          <w:tab w:val="left" w:pos="3119"/>
        </w:tabs>
        <w:ind w:firstLine="480"/>
        <w:rPr>
          <w:color w:val="0070C0"/>
        </w:rPr>
      </w:pPr>
      <w:r>
        <w:rPr>
          <w:rFonts w:hint="eastAsia"/>
        </w:rPr>
        <w:t>④本次公众参与调查时公示了环评概况及公众意见表，一次公示内容包括：规划名称及概况、相关单位名称和联系方式、环境影响评价的工作程序、征求公众意见的主要事项、公众提出意见的方式和渠道、公示期限等；二次公示内容包括：规划概况、环境质量现状、规划实施可能造成的环境影响、环境影响初步结论、征求公众意见的主要事项、公众意见反馈方式、规划环评委托单位和环境影响评价单位名称及联系方式以及公示时间等。公示内容全面，公示信息具有真实性。</w:t>
      </w:r>
    </w:p>
    <w:p w14:paraId="2D31B918">
      <w:pPr>
        <w:tabs>
          <w:tab w:val="left" w:pos="3119"/>
        </w:tabs>
        <w:ind w:firstLine="482"/>
        <w:rPr>
          <w:b/>
          <w:bCs/>
        </w:rPr>
      </w:pPr>
      <w:r>
        <w:rPr>
          <w:rFonts w:hint="eastAsia"/>
          <w:b/>
          <w:bCs/>
        </w:rPr>
        <w:t>（</w:t>
      </w:r>
      <w:r>
        <w:rPr>
          <w:b/>
          <w:bCs/>
        </w:rPr>
        <w:t>2</w:t>
      </w:r>
      <w:r>
        <w:rPr>
          <w:rFonts w:hint="eastAsia"/>
          <w:b/>
          <w:bCs/>
        </w:rPr>
        <w:t>）公众参与总结</w:t>
      </w:r>
    </w:p>
    <w:p w14:paraId="67968B88">
      <w:pPr>
        <w:ind w:firstLine="480"/>
      </w:pPr>
      <w:r>
        <w:rPr>
          <w:rFonts w:hint="eastAsia"/>
        </w:rPr>
        <w:t>本次评价通过网络公示、报纸公示等形式收集公众意见和建议，实现了规划与规划环评内容的社会公示，在两次网络公示期间及报纸公示期间，江苏省金坛茅山旅游度假区管理办公室和规划环评承担机构均未收到公众反馈意见。</w:t>
      </w:r>
    </w:p>
    <w:p w14:paraId="1573DAFE">
      <w:pPr>
        <w:pStyle w:val="2"/>
        <w:ind w:firstLine="0" w:firstLineChars="0"/>
      </w:pPr>
      <w:bookmarkStart w:id="165" w:name="_Toc217294096"/>
      <w:r>
        <w:t>13</w:t>
      </w:r>
      <w:r>
        <w:rPr>
          <w:rFonts w:hint="eastAsia"/>
        </w:rPr>
        <w:t>评价结论</w:t>
      </w:r>
      <w:bookmarkEnd w:id="165"/>
    </w:p>
    <w:p w14:paraId="18A4FC0C">
      <w:pPr>
        <w:pStyle w:val="3"/>
        <w:ind w:firstLine="0" w:firstLineChars="0"/>
        <w:rPr>
          <w:rFonts w:cs="Times New Roman"/>
        </w:rPr>
      </w:pPr>
      <w:bookmarkStart w:id="166" w:name="_Toc217294097"/>
      <w:r>
        <w:rPr>
          <w:rFonts w:cs="Times New Roman"/>
        </w:rPr>
        <w:t>1</w:t>
      </w:r>
      <w:r>
        <w:rPr>
          <w:rFonts w:hint="eastAsia" w:cs="Times New Roman"/>
        </w:rPr>
        <w:t>3</w:t>
      </w:r>
      <w:r>
        <w:rPr>
          <w:rFonts w:cs="Times New Roman"/>
        </w:rPr>
        <w:t>.1</w:t>
      </w:r>
      <w:r>
        <w:rPr>
          <w:rFonts w:hint="eastAsia" w:cs="Times New Roman"/>
        </w:rPr>
        <w:t>规划概述</w:t>
      </w:r>
      <w:bookmarkEnd w:id="166"/>
    </w:p>
    <w:p w14:paraId="0C660D90">
      <w:pPr>
        <w:ind w:firstLine="482"/>
      </w:pPr>
      <w:r>
        <w:rPr>
          <w:rFonts w:hint="eastAsia"/>
          <w:b/>
          <w:bCs/>
        </w:rPr>
        <w:t>规划范围：</w:t>
      </w:r>
      <w:r>
        <w:rPr>
          <w:rFonts w:hint="eastAsia"/>
        </w:rPr>
        <w:t>基于江苏省金坛茅山旅游度假区管理办公室实际管辖范围，主要涉及薛埠镇西侧区域，西、南、北至金坛区行政边界，规划区域总面积109.4平方公里。</w:t>
      </w:r>
    </w:p>
    <w:p w14:paraId="4222FF71">
      <w:pPr>
        <w:ind w:firstLine="482"/>
      </w:pPr>
      <w:r>
        <w:rPr>
          <w:rFonts w:hint="eastAsia"/>
          <w:b/>
          <w:bCs/>
        </w:rPr>
        <w:t>功能定位：</w:t>
      </w:r>
      <w:r>
        <w:rPr>
          <w:rFonts w:hint="eastAsia"/>
        </w:rPr>
        <w:t>以茅山+田园为生态基底，统筹考虑镇区－乡村－旅游区发展空间，依托南京都市圈与苏锡常都市圈，以产业一体化发展、促进地区经济发展、推进地域现代化进程为导向，以道文化为文化底蕴和景观氛围营造指引，打造集文化创意、休闲度假、现代农业、康养居住功能于一体的中国道意生活心灵度假旅游目的地。</w:t>
      </w:r>
    </w:p>
    <w:p w14:paraId="53AE5962">
      <w:pPr>
        <w:ind w:firstLine="482"/>
      </w:pPr>
      <w:r>
        <w:rPr>
          <w:rFonts w:hint="eastAsia"/>
          <w:b/>
          <w:bCs/>
        </w:rPr>
        <w:t>品牌形象定位：</w:t>
      </w:r>
      <w:r>
        <w:rPr>
          <w:rFonts w:hint="eastAsia"/>
        </w:rPr>
        <w:t>以打造“逍遥生活目的地”为目标定位，打造“金坛茅山 逍遥江南”的品牌形象。</w:t>
      </w:r>
    </w:p>
    <w:p w14:paraId="62A7DB71">
      <w:pPr>
        <w:ind w:firstLine="482"/>
      </w:pPr>
      <w:r>
        <w:rPr>
          <w:rFonts w:hint="eastAsia"/>
          <w:b/>
          <w:bCs/>
        </w:rPr>
        <w:t>空间布局：</w:t>
      </w:r>
      <w:r>
        <w:rPr>
          <w:rFonts w:hint="eastAsia"/>
        </w:rPr>
        <w:t>本次规划依据茅山地区的地形地貌、资源禀赋、交通区位等因素，科学合理地确定“一带一环多片区”的规划结构。</w:t>
      </w:r>
    </w:p>
    <w:p w14:paraId="5C9A6BE5">
      <w:pPr>
        <w:ind w:firstLine="482"/>
      </w:pPr>
      <w:r>
        <w:rPr>
          <w:rFonts w:hint="eastAsia"/>
          <w:b/>
          <w:bCs/>
        </w:rPr>
        <w:t>规划规模：</w:t>
      </w:r>
      <w:r>
        <w:rPr>
          <w:rFonts w:hint="eastAsia"/>
        </w:rPr>
        <w:t>（1）游客容量：预计至规划近期（~2030年）规划范围内常住人口达34595人，年游客量将达558.6万人；至规划远期（~2035年）规划范围内常住人口达36360万人，年游客量将达685.7万人。（2）建设用地：规划远期建设用地9.374平方公里。</w:t>
      </w:r>
    </w:p>
    <w:p w14:paraId="2B2A14F9">
      <w:pPr>
        <w:pStyle w:val="3"/>
        <w:ind w:firstLine="0" w:firstLineChars="0"/>
        <w:rPr>
          <w:rFonts w:cs="Times New Roman"/>
        </w:rPr>
      </w:pPr>
      <w:bookmarkStart w:id="167" w:name="_Toc217294098"/>
      <w:r>
        <w:rPr>
          <w:rFonts w:cs="Times New Roman"/>
        </w:rPr>
        <w:t>1</w:t>
      </w:r>
      <w:r>
        <w:rPr>
          <w:rFonts w:hint="eastAsia" w:cs="Times New Roman"/>
        </w:rPr>
        <w:t>3</w:t>
      </w:r>
      <w:r>
        <w:rPr>
          <w:rFonts w:cs="Times New Roman"/>
        </w:rPr>
        <w:t>.</w:t>
      </w:r>
      <w:r>
        <w:rPr>
          <w:rFonts w:hint="eastAsia" w:cs="Times New Roman"/>
        </w:rPr>
        <w:t>2规划分析</w:t>
      </w:r>
      <w:bookmarkEnd w:id="167"/>
    </w:p>
    <w:p w14:paraId="087353B3">
      <w:pPr>
        <w:ind w:firstLine="480"/>
        <w:rPr>
          <w:rFonts w:hint="eastAsia" w:ascii="仿宋_GB2312" w:hAnsi="仿宋_GB2312" w:cs="仿宋_GB2312"/>
        </w:rPr>
      </w:pPr>
      <w:r>
        <w:rPr>
          <w:rFonts w:hint="eastAsia"/>
        </w:rPr>
        <w:t>度假区本轮规划的发展目标和功能定位与江苏省、常州市和金坛区的国民经济和社会发展第十四个五年规划和二</w:t>
      </w:r>
      <w:r>
        <w:rPr>
          <w:rFonts w:hint="eastAsia" w:ascii="微软雅黑" w:hAnsi="微软雅黑" w:eastAsia="微软雅黑" w:cs="微软雅黑"/>
        </w:rPr>
        <w:t>〇</w:t>
      </w:r>
      <w:r>
        <w:rPr>
          <w:rFonts w:hint="eastAsia" w:ascii="仿宋_GB2312" w:hAnsi="仿宋_GB2312" w:cs="仿宋_GB2312"/>
        </w:rPr>
        <w:t>三五年远景目标纲要、《长江三角洲地区区域规划》等区域发展规划的要求相协调。</w:t>
      </w:r>
    </w:p>
    <w:p w14:paraId="4B5EB931">
      <w:pPr>
        <w:ind w:firstLine="480"/>
      </w:pPr>
      <w:r>
        <w:rPr>
          <w:rFonts w:hint="eastAsia"/>
        </w:rPr>
        <w:t>度假区本轮规划在用地规划布局方面与《常州市国土空间总体规划（2021—2035年）》《常州市金坛区国土空间总体规划（2021—2035年）》中相关要点相符合，区域开发建设不涉及占用永久基本农田，部分规划项目建设将占用现状农林用地，但随着规划末期工矿用地转为农林用地，度假区整体农林用地面积实现“占补平衡”。本轮规划基于薛埠产业新镇总体规划“一带一环多片区”的空间结构，在区域功能定位、发展目标、空间结构、功能分区等方面进一步分区域规划研究，在道文化体验区、盐之有道度假区、区镇融合发展区、山田生态休闲区、农旅融合示范区5个分区进一步规划打造各类文化旅游项目，充分考虑区域发展格局，实现与省级旅游度假区的协同发展和功能互补，符合《江苏省金坛经济开发区薛埠现代产业园/常州市金坛区薛埠产业新镇总体规划（2016-2030）》相关内容。</w:t>
      </w:r>
    </w:p>
    <w:p w14:paraId="0BF36B5D">
      <w:pPr>
        <w:ind w:firstLine="480"/>
      </w:pPr>
      <w:r>
        <w:rPr>
          <w:rFonts w:hint="eastAsia"/>
        </w:rPr>
        <w:t>度假区本轮规划的产业定位符合《国务院关于加快发展旅游业的意见》（国发〔2009〕41号）、《国务院关于促进旅游业改革发展的若干意见》（国发〔2014〕31号）、《国务院办公厅关于促进全域旅游发展的指导意见》（国办发〔2018〕15号）、《省政府关于推进旅游业供给侧结构性改革促进旅游投资和消费的意见》（苏政发〔2016〕134号）、国家和江苏省“十四五”文化和旅游发展规划、《常州市“十四五”文化和旅游融合发展规划》《长江经济带发展负面清单指南（试行，2022年版）》《长江经济带发展负面清单指南（试行 2022年版）－江苏省实施细则》等产业政策规划的要求。</w:t>
      </w:r>
    </w:p>
    <w:p w14:paraId="146A8B1B">
      <w:pPr>
        <w:ind w:firstLine="480"/>
      </w:pPr>
      <w:r>
        <w:rPr>
          <w:rFonts w:hint="eastAsia"/>
        </w:rPr>
        <w:t>度假区本轮规划在环境保护规划方面与《太湖流域管理条例》《常州市“十四五”生态环境保护规划》《常州市金坛区“十四五”生态环境保护规划（2021—2025年）》《江苏省太湖水污染防治条例》《常州市水生态环境保护条例》《关于进一步加强生物多样性保护的意见》等生态环境保护法规及规划的要求相协调，与生态环境分区管控要求相符合。</w:t>
      </w:r>
    </w:p>
    <w:p w14:paraId="566746C0">
      <w:pPr>
        <w:ind w:firstLine="480"/>
      </w:pPr>
      <w:r>
        <w:rPr>
          <w:rFonts w:hint="eastAsia"/>
        </w:rPr>
        <w:t>度假区范围内涉及江苏常州金坛茅东省级森林公园生态保护红线区域以及四棚洼生态公益林、方山（金坛）森林公园、茅东山地水源涵养区、向阳水库水源涵养区等生态空间管控区域。规划范围内拟建设的旅游项目在严格遵循生态保护红线、生态空间管控区域内项目准入要求及相关法律法规，落实报告中提出的优化调整建议和生态环境影响减缓措施后，度假区的开发建设不会对生态保护红线和生态空间管控区域产生不利环境影响。</w:t>
      </w:r>
    </w:p>
    <w:p w14:paraId="53121994">
      <w:pPr>
        <w:ind w:firstLine="480"/>
      </w:pPr>
      <w:r>
        <w:rPr>
          <w:rFonts w:hint="eastAsia"/>
        </w:rPr>
        <w:t>综上所述，度假区本轮规划与区域发展规划、土地利用规划、产业法规政策及规划、生态环境保护法规政策及规划的相关要求基本符合。</w:t>
      </w:r>
    </w:p>
    <w:p w14:paraId="786C16D5">
      <w:pPr>
        <w:pStyle w:val="3"/>
        <w:spacing w:before="120" w:after="120"/>
        <w:ind w:firstLine="0" w:firstLineChars="0"/>
        <w:rPr>
          <w:rFonts w:cs="Times New Roman"/>
        </w:rPr>
      </w:pPr>
      <w:bookmarkStart w:id="168" w:name="_Toc217294099"/>
      <w:r>
        <w:rPr>
          <w:rFonts w:cs="Times New Roman"/>
        </w:rPr>
        <w:t>1</w:t>
      </w:r>
      <w:r>
        <w:rPr>
          <w:rFonts w:hint="eastAsia" w:cs="Times New Roman"/>
        </w:rPr>
        <w:t>3</w:t>
      </w:r>
      <w:r>
        <w:rPr>
          <w:rFonts w:cs="Times New Roman"/>
        </w:rPr>
        <w:t>.</w:t>
      </w:r>
      <w:r>
        <w:rPr>
          <w:rFonts w:hint="eastAsia" w:cs="Times New Roman"/>
        </w:rPr>
        <w:t>3生态环境现状与问题</w:t>
      </w:r>
      <w:bookmarkEnd w:id="168"/>
    </w:p>
    <w:p w14:paraId="65B4E1F0">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13</w:t>
      </w:r>
      <w:r>
        <w:rPr>
          <w:rFonts w:eastAsia="方正楷体_GBK" w:cs="Times New Roman"/>
          <w:b/>
          <w:bCs/>
          <w:szCs w:val="28"/>
          <w14:ligatures w14:val="none"/>
        </w:rPr>
        <w:t>.</w:t>
      </w:r>
      <w:r>
        <w:rPr>
          <w:rFonts w:hint="eastAsia" w:eastAsia="方正楷体_GBK" w:cs="Times New Roman"/>
          <w:b/>
          <w:bCs/>
          <w:szCs w:val="28"/>
          <w14:ligatures w14:val="none"/>
        </w:rPr>
        <w:t>3</w:t>
      </w:r>
      <w:r>
        <w:rPr>
          <w:rFonts w:eastAsia="方正楷体_GBK" w:cs="Times New Roman"/>
          <w:b/>
          <w:bCs/>
          <w:szCs w:val="28"/>
          <w14:ligatures w14:val="none"/>
        </w:rPr>
        <w:t>.</w:t>
      </w:r>
      <w:r>
        <w:rPr>
          <w:rFonts w:hint="eastAsia" w:eastAsia="方正楷体_GBK" w:cs="Times New Roman"/>
          <w:b/>
          <w:bCs/>
          <w:szCs w:val="28"/>
          <w14:ligatures w14:val="none"/>
        </w:rPr>
        <w:t>1生态环境现状</w:t>
      </w:r>
    </w:p>
    <w:p w14:paraId="674C9811">
      <w:pPr>
        <w:tabs>
          <w:tab w:val="left" w:pos="3119"/>
        </w:tabs>
        <w:ind w:firstLine="482"/>
        <w:rPr>
          <w:b/>
          <w:bCs/>
        </w:rPr>
      </w:pPr>
      <w:r>
        <w:rPr>
          <w:rFonts w:hint="eastAsia"/>
          <w:b/>
          <w:bCs/>
        </w:rPr>
        <w:t>（1）环境空气</w:t>
      </w:r>
    </w:p>
    <w:p w14:paraId="0072A2E4">
      <w:pPr>
        <w:ind w:firstLine="480"/>
      </w:pPr>
      <w:r>
        <w:rPr>
          <w:rFonts w:hint="eastAsia"/>
        </w:rPr>
        <w:t>根据《2023年常州市生态环境状况公报》《2024年常州市生态环境状况公报》，茅山旅游度假区所在常州市为不达标区，重点大气污染物为PM</w:t>
      </w:r>
      <w:r>
        <w:rPr>
          <w:rFonts w:hint="eastAsia"/>
          <w:vertAlign w:val="subscript"/>
        </w:rPr>
        <w:t>2.5</w:t>
      </w:r>
      <w:r>
        <w:rPr>
          <w:rFonts w:hint="eastAsia"/>
        </w:rPr>
        <w:t>和O</w:t>
      </w:r>
      <w:r>
        <w:rPr>
          <w:rFonts w:hint="eastAsia"/>
          <w:vertAlign w:val="subscript"/>
        </w:rPr>
        <w:t>3</w:t>
      </w:r>
      <w:r>
        <w:rPr>
          <w:rFonts w:hint="eastAsia"/>
        </w:rPr>
        <w:t>。根据2023年茅山旅游度假区内有茅管会大气监测站（区控站）数据，各项因子除PM</w:t>
      </w:r>
      <w:r>
        <w:rPr>
          <w:rFonts w:hint="eastAsia"/>
          <w:vertAlign w:val="subscript"/>
        </w:rPr>
        <w:t>2.5</w:t>
      </w:r>
      <w:r>
        <w:rPr>
          <w:rFonts w:hint="eastAsia"/>
        </w:rPr>
        <w:t>和O</w:t>
      </w:r>
      <w:r>
        <w:rPr>
          <w:rFonts w:hint="eastAsia"/>
          <w:vertAlign w:val="subscript"/>
        </w:rPr>
        <w:t>3</w:t>
      </w:r>
      <w:r>
        <w:rPr>
          <w:rFonts w:hint="eastAsia"/>
        </w:rPr>
        <w:t>均满足《环境空气质量标准》（GB3095-2012）中二级标准限值要求，整体优于常州市环境空气质量。同时，经对其他大气污染因子进行实测分析，氨、硫化氢浓度均能达到《环境影响评价技术导则 大气环境》（HJ2.2-2018）附录D其他污染物空气质量浓度参考限值要求，非甲烷总烃浓度满足《大气污染物综合排放标准详解》中选用标准要求；</w:t>
      </w:r>
    </w:p>
    <w:p w14:paraId="48DFA8B8">
      <w:pPr>
        <w:tabs>
          <w:tab w:val="left" w:pos="3119"/>
        </w:tabs>
        <w:ind w:firstLine="482"/>
        <w:rPr>
          <w:b/>
          <w:bCs/>
        </w:rPr>
      </w:pPr>
      <w:r>
        <w:rPr>
          <w:rFonts w:hint="eastAsia"/>
          <w:b/>
          <w:bCs/>
        </w:rPr>
        <w:t>（2）地表水</w:t>
      </w:r>
    </w:p>
    <w:p w14:paraId="475874E9">
      <w:pPr>
        <w:ind w:firstLine="480"/>
        <w:rPr>
          <w:rFonts w:cs="Times New Roman"/>
        </w:rPr>
      </w:pPr>
      <w:r>
        <w:rPr>
          <w:rFonts w:cs="Times New Roman"/>
        </w:rPr>
        <w:t>根据考核断面监测数据，度假区内涉及的茅东水库库心（省考断面，Ⅲ类水质目标）、东进水库（市考断面，Ⅲ类水质目标）、海底水库（市考断面，Ⅲ类水质目标）、向阳水库（市考断面，Ⅲ类水质目标）、瓦沟水库（市考断面，Ⅲ类水质目标）、新浮山水库（市考断面，Ⅲ类水质目标）6个考核断面2023年</w:t>
      </w:r>
      <w:r>
        <w:rPr>
          <w:rFonts w:hint="eastAsia" w:cs="Times New Roman"/>
        </w:rPr>
        <w:t>—2024年期间</w:t>
      </w:r>
      <w:r>
        <w:rPr>
          <w:rFonts w:cs="Times New Roman"/>
        </w:rPr>
        <w:t>均达到考核目标要求。</w:t>
      </w:r>
    </w:p>
    <w:p w14:paraId="2789DA53">
      <w:pPr>
        <w:ind w:firstLine="480"/>
        <w:rPr>
          <w:rFonts w:cs="Times New Roman"/>
        </w:rPr>
      </w:pPr>
      <w:r>
        <w:t>地表水环境质量</w:t>
      </w:r>
      <w:r>
        <w:rPr>
          <w:rFonts w:hint="eastAsia"/>
        </w:rPr>
        <w:t>补充</w:t>
      </w:r>
      <w:r>
        <w:t>监测结果表明</w:t>
      </w:r>
      <w:r>
        <w:rPr>
          <w:rFonts w:hint="eastAsia"/>
        </w:rPr>
        <w:t>，监测期间W1~W11监测断面水质监测各项因子均能满足《地表水质量环境标准》（GB3838-2002）中</w:t>
      </w:r>
      <w:r>
        <w:rPr>
          <w:rFonts w:cs="Times New Roman"/>
        </w:rPr>
        <w:t>Ⅲ</w:t>
      </w:r>
      <w:r>
        <w:rPr>
          <w:rFonts w:hint="eastAsia"/>
        </w:rPr>
        <w:t>类水质标准。区域地表水环境质量总体较好。</w:t>
      </w:r>
    </w:p>
    <w:p w14:paraId="6E896729">
      <w:pPr>
        <w:tabs>
          <w:tab w:val="left" w:pos="3119"/>
        </w:tabs>
        <w:ind w:firstLine="482"/>
        <w:rPr>
          <w:b/>
          <w:bCs/>
        </w:rPr>
      </w:pPr>
      <w:r>
        <w:rPr>
          <w:rFonts w:hint="eastAsia"/>
          <w:b/>
          <w:bCs/>
        </w:rPr>
        <w:t>（3）声环境</w:t>
      </w:r>
    </w:p>
    <w:p w14:paraId="284774E6">
      <w:pPr>
        <w:ind w:firstLine="480"/>
      </w:pPr>
      <w:r>
        <w:rPr>
          <w:rFonts w:hint="eastAsia"/>
        </w:rPr>
        <w:t>声环境质量现状监测结果表明，监测期间，各监测点位的昼间、夜间噪声值均满足《声环境质量标准》（GB 3096-2008）中相应的声功能区标准要求，区域声环境质量总体较好。</w:t>
      </w:r>
    </w:p>
    <w:p w14:paraId="585C6FB3">
      <w:pPr>
        <w:tabs>
          <w:tab w:val="left" w:pos="3119"/>
        </w:tabs>
        <w:ind w:firstLine="482"/>
        <w:rPr>
          <w:b/>
          <w:bCs/>
        </w:rPr>
      </w:pPr>
      <w:r>
        <w:rPr>
          <w:rFonts w:hint="eastAsia"/>
          <w:b/>
          <w:bCs/>
        </w:rPr>
        <w:t>（4）地下水</w:t>
      </w:r>
    </w:p>
    <w:p w14:paraId="6D35FF31">
      <w:pPr>
        <w:ind w:firstLine="480"/>
      </w:pPr>
      <w:r>
        <w:rPr>
          <w:rFonts w:hint="eastAsia"/>
        </w:rPr>
        <w:t>地下水环境质量现状监测结果表明，监测期间</w:t>
      </w:r>
      <w:r>
        <w:t>D2</w:t>
      </w:r>
      <w:r>
        <w:rPr>
          <w:rFonts w:hint="eastAsia"/>
        </w:rPr>
        <w:t>、</w:t>
      </w:r>
      <w:r>
        <w:t>D4</w:t>
      </w:r>
      <w:r>
        <w:rPr>
          <w:rFonts w:hint="eastAsia"/>
        </w:rPr>
        <w:t>、</w:t>
      </w:r>
      <w:r>
        <w:t>D5</w:t>
      </w:r>
      <w:r>
        <w:rPr>
          <w:rFonts w:hint="eastAsia"/>
        </w:rPr>
        <w:t>、</w:t>
      </w:r>
      <w:r>
        <w:t>D6</w:t>
      </w:r>
      <w:r>
        <w:rPr>
          <w:rFonts w:hint="eastAsia"/>
        </w:rPr>
        <w:t>、</w:t>
      </w:r>
      <w:r>
        <w:t>D7</w:t>
      </w:r>
      <w:r>
        <w:rPr>
          <w:rFonts w:hint="eastAsia"/>
        </w:rPr>
        <w:t>监测点位所测因子均可达到《地下水质量标准》（GB/T 4848-2017）</w:t>
      </w:r>
      <w:r>
        <w:rPr>
          <w:rFonts w:cs="Times New Roman"/>
        </w:rPr>
        <w:t>Ⅲ</w:t>
      </w:r>
      <w:r>
        <w:rPr>
          <w:rFonts w:hint="eastAsia"/>
        </w:rPr>
        <w:t>类标准，D12监测点位达到《地下水质量标准》（GB/T 4848-2017）IV类标准。</w:t>
      </w:r>
    </w:p>
    <w:p w14:paraId="4B8BDA7C">
      <w:pPr>
        <w:ind w:firstLine="480"/>
      </w:pPr>
      <w:r>
        <w:rPr>
          <w:rFonts w:hint="eastAsia"/>
        </w:rPr>
        <w:t>（5）土壤</w:t>
      </w:r>
    </w:p>
    <w:p w14:paraId="4F499F3D">
      <w:pPr>
        <w:ind w:firstLine="480"/>
      </w:pPr>
      <w:r>
        <w:rPr>
          <w:rFonts w:hint="eastAsia"/>
        </w:rPr>
        <w:t>监测结果表明，监测期间T1、T2、T3、T7、T8点位所测各项指标均低于《土壤环境质量 建设用地土壤污染风险管控标准（试行）》（GB 36600-2018）中第一类用地筛选值；T4、T5、T6、S1点位所测各项指标均低于《土壤环境质量 农用地土壤污染风险管控标准（试行）》（GB 15618-2018）表1中水田风险筛选值。</w:t>
      </w:r>
    </w:p>
    <w:p w14:paraId="566EB8FB">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13</w:t>
      </w:r>
      <w:r>
        <w:rPr>
          <w:rFonts w:eastAsia="方正楷体_GBK" w:cs="Times New Roman"/>
          <w:b/>
          <w:bCs/>
          <w:szCs w:val="28"/>
          <w14:ligatures w14:val="none"/>
        </w:rPr>
        <w:t>.</w:t>
      </w:r>
      <w:r>
        <w:rPr>
          <w:rFonts w:hint="eastAsia" w:eastAsia="方正楷体_GBK" w:cs="Times New Roman"/>
          <w:b/>
          <w:bCs/>
          <w:szCs w:val="28"/>
          <w14:ligatures w14:val="none"/>
        </w:rPr>
        <w:t>3</w:t>
      </w:r>
      <w:r>
        <w:rPr>
          <w:rFonts w:eastAsia="方正楷体_GBK" w:cs="Times New Roman"/>
          <w:b/>
          <w:bCs/>
          <w:szCs w:val="28"/>
          <w14:ligatures w14:val="none"/>
        </w:rPr>
        <w:t>.</w:t>
      </w:r>
      <w:r>
        <w:rPr>
          <w:rFonts w:hint="eastAsia" w:eastAsia="方正楷体_GBK" w:cs="Times New Roman"/>
          <w:b/>
          <w:bCs/>
          <w:szCs w:val="28"/>
          <w14:ligatures w14:val="none"/>
        </w:rPr>
        <w:t>1现状存在问题</w:t>
      </w:r>
    </w:p>
    <w:p w14:paraId="70BB5C82">
      <w:pPr>
        <w:ind w:firstLine="480"/>
      </w:pPr>
      <w:r>
        <w:rPr>
          <w:rFonts w:hint="eastAsia"/>
        </w:rPr>
        <w:t>度假区所在区域为大气臭氧不达标区。针对度假区内现状工业，计划逐步实施停转迁，加强发展清洁能源和新能源，加大绿色建筑推广力度，并协同薛埠镇政府持续深化臭氧与细颗粒物协同治理，推进多污染物协同控制和精细化管理，突出细颗粒物和臭氧协同控制，严格落实“双控双减”，分类实施区域空气质量稳定达标管理，开展大气分区施策。</w:t>
      </w:r>
    </w:p>
    <w:p w14:paraId="5ED8D392">
      <w:pPr>
        <w:ind w:firstLine="480"/>
      </w:pPr>
      <w:r>
        <w:rPr>
          <w:rFonts w:hint="eastAsia"/>
        </w:rPr>
        <w:t>度假区范围内存在与度假区规划重点发展的旅游度假产业定位不相符的企业。建议度假区结合区域轮规划发展定位，综合考虑区内企业环评手续、排污许可执行情况以及度假区近期引进项目和重点建设项目等因素，有计划、分步骤对区内现有工业企业实施停转迁。</w:t>
      </w:r>
    </w:p>
    <w:p w14:paraId="3F397B0E">
      <w:pPr>
        <w:ind w:firstLine="480"/>
      </w:pPr>
      <w:r>
        <w:rPr>
          <w:rFonts w:hint="eastAsia"/>
        </w:rPr>
        <w:t>度假区环保投诉、信访问题以及生态保护区内违法违规建设问题需进一步提高重视和管理。需落实信访工作责任制，做好初信初访化解工作，实现矛盾纠纷“早预防、早处置、早化解”；定期组织开展矛盾纠纷排查行动，及时发现各类苗头性、倾向性问题。常态化开展《信访工作条例》学习宣传活动，引导群众依法理性表达诉求、维护自身合法权益。同时建议区域定期开展生态空间保护区域监督管理自查自纠，合理利用遥感影像和现场踏勘相结合的方式及时发现和查处生态保护区域内违法违规开发建设和人类活动破坏自然生态行为。</w:t>
      </w:r>
    </w:p>
    <w:p w14:paraId="7F6F7ECB">
      <w:pPr>
        <w:pStyle w:val="3"/>
        <w:spacing w:before="120" w:after="120"/>
        <w:ind w:firstLine="0" w:firstLineChars="0"/>
        <w:rPr>
          <w:rFonts w:cs="Times New Roman"/>
        </w:rPr>
      </w:pPr>
      <w:bookmarkStart w:id="169" w:name="_Toc217294100"/>
      <w:r>
        <w:rPr>
          <w:rFonts w:cs="Times New Roman"/>
        </w:rPr>
        <w:t>1</w:t>
      </w:r>
      <w:r>
        <w:rPr>
          <w:rFonts w:hint="eastAsia" w:cs="Times New Roman"/>
        </w:rPr>
        <w:t>3</w:t>
      </w:r>
      <w:r>
        <w:rPr>
          <w:rFonts w:cs="Times New Roman"/>
        </w:rPr>
        <w:t>.</w:t>
      </w:r>
      <w:r>
        <w:rPr>
          <w:rFonts w:hint="eastAsia" w:cs="Times New Roman"/>
        </w:rPr>
        <w:t>4环境影响预测与评价</w:t>
      </w:r>
      <w:bookmarkEnd w:id="169"/>
    </w:p>
    <w:p w14:paraId="7360311F">
      <w:pPr>
        <w:tabs>
          <w:tab w:val="left" w:pos="3119"/>
        </w:tabs>
        <w:ind w:firstLine="482"/>
        <w:rPr>
          <w:b/>
          <w:bCs/>
        </w:rPr>
      </w:pPr>
      <w:r>
        <w:rPr>
          <w:rFonts w:hint="eastAsia"/>
          <w:b/>
          <w:bCs/>
        </w:rPr>
        <w:t>（1）大气环境影响分析</w:t>
      </w:r>
    </w:p>
    <w:p w14:paraId="4C496A5F">
      <w:pPr>
        <w:ind w:firstLine="480"/>
      </w:pPr>
      <w:r>
        <w:rPr>
          <w:rFonts w:hint="eastAsia"/>
        </w:rPr>
        <w:t>度假区废气主要为燃气燃烧废气、餐饮业油烟废气和机动车尾气等。规划区内燃气采用清洁能源天然气，对规划区的影响较小；本项目的停车场大部分为地面停车场，地表空气流动可以将汽车尾气快速扩散到周围大气环境中，不会对周围环境产生明显不良的影响。周边废气污染源在采取相应废气污染防治措施后，度假区规划的实施不会使当地的环境空气质量产生较大不利影响，度假区环境空气质量受周边区域的影响也相对较小。</w:t>
      </w:r>
    </w:p>
    <w:p w14:paraId="37829EF2">
      <w:pPr>
        <w:tabs>
          <w:tab w:val="left" w:pos="3119"/>
        </w:tabs>
        <w:ind w:firstLine="482"/>
        <w:rPr>
          <w:b/>
          <w:bCs/>
        </w:rPr>
      </w:pPr>
      <w:r>
        <w:rPr>
          <w:rFonts w:hint="eastAsia"/>
          <w:b/>
          <w:bCs/>
        </w:rPr>
        <w:t>（2）地表水环境影响分析</w:t>
      </w:r>
    </w:p>
    <w:p w14:paraId="29187AFD">
      <w:pPr>
        <w:ind w:firstLine="480"/>
      </w:pPr>
      <w:r>
        <w:rPr>
          <w:rFonts w:hint="eastAsia"/>
        </w:rPr>
        <w:t>度假区现状工业企业无工业废水排放，现状污水主要为居民、游客生活污水，水质相对简单，能够满足污水处理厂的接管标准要求，在正常情况下，规划期末度假区排放的生活污水接管处理不会对茅东污水处理厂的运行产生不利影响，污水处理厂的工艺能够满足处理度假区产生的生活污水。</w:t>
      </w:r>
    </w:p>
    <w:p w14:paraId="2B3303EB">
      <w:pPr>
        <w:tabs>
          <w:tab w:val="left" w:pos="3119"/>
        </w:tabs>
        <w:ind w:firstLine="482"/>
        <w:rPr>
          <w:b/>
          <w:bCs/>
        </w:rPr>
      </w:pPr>
      <w:r>
        <w:rPr>
          <w:rFonts w:hint="eastAsia"/>
          <w:b/>
          <w:bCs/>
        </w:rPr>
        <w:t>（3）地下水环境影响分析</w:t>
      </w:r>
    </w:p>
    <w:p w14:paraId="5F2A1733">
      <w:pPr>
        <w:ind w:firstLine="480"/>
      </w:pPr>
      <w:r>
        <w:rPr>
          <w:rFonts w:hint="eastAsia"/>
        </w:rPr>
        <w:t>随着度假区规划供、排水管网的不断建设，新增生活污水均经不断完善的管网进入区外茅东污水处理厂集中处理，同时各种管线采取良好的防渗措施，加强日常维护，将减少现状生活污水对度假区地下水的污染，有效降低对地下水的影响。</w:t>
      </w:r>
    </w:p>
    <w:p w14:paraId="6CC8EEA5">
      <w:pPr>
        <w:tabs>
          <w:tab w:val="left" w:pos="3119"/>
        </w:tabs>
        <w:ind w:firstLine="482"/>
        <w:rPr>
          <w:b/>
          <w:bCs/>
        </w:rPr>
      </w:pPr>
      <w:r>
        <w:rPr>
          <w:rFonts w:hint="eastAsia"/>
          <w:b/>
          <w:bCs/>
        </w:rPr>
        <w:t>（4）声环境影响分析</w:t>
      </w:r>
    </w:p>
    <w:p w14:paraId="73781817">
      <w:pPr>
        <w:ind w:firstLine="480"/>
      </w:pPr>
      <w:r>
        <w:rPr>
          <w:rFonts w:hint="eastAsia"/>
        </w:rPr>
        <w:t>茅山旅游度假区林木覆盖率较高，各敏感目标较分散，交通噪声、度假区内动力设备的影响范围较小，旅游过程中产生的社会生活噪声具有波动性，在采取一定的防范措施的基础上，交通噪声、社会生活噪声和设备噪声对周边声环境影响均在可接受范围内。</w:t>
      </w:r>
    </w:p>
    <w:p w14:paraId="614116C6">
      <w:pPr>
        <w:tabs>
          <w:tab w:val="left" w:pos="3119"/>
        </w:tabs>
        <w:ind w:firstLine="482"/>
        <w:rPr>
          <w:b/>
          <w:bCs/>
        </w:rPr>
      </w:pPr>
      <w:r>
        <w:rPr>
          <w:rFonts w:hint="eastAsia"/>
          <w:b/>
          <w:bCs/>
        </w:rPr>
        <w:t>（5）固体废物环境影响分析</w:t>
      </w:r>
    </w:p>
    <w:p w14:paraId="1913A3D7">
      <w:pPr>
        <w:ind w:firstLine="480"/>
      </w:pPr>
      <w:r>
        <w:rPr>
          <w:rFonts w:hint="eastAsia"/>
        </w:rPr>
        <w:t>规划对区域内生活垃圾进行分类，袋装化收集、压缩式运输、无害化处理。区内生活垃圾由垃圾清运车送至花山生活垃圾中转站、罗村生活垃圾中转站、石马生活垃圾中转站、薛埠生活垃圾中转站，经中转站压缩打包后至市区垃圾处理设施处理。规划区产生的固体废物均可得到妥善处置和利用，对周围环境及人体不会造成影响，亦不会造成二次污染。</w:t>
      </w:r>
    </w:p>
    <w:p w14:paraId="218136E4">
      <w:pPr>
        <w:tabs>
          <w:tab w:val="left" w:pos="3119"/>
        </w:tabs>
        <w:ind w:firstLine="482"/>
        <w:rPr>
          <w:b/>
          <w:bCs/>
        </w:rPr>
      </w:pPr>
      <w:r>
        <w:rPr>
          <w:rFonts w:hint="eastAsia"/>
          <w:b/>
          <w:bCs/>
        </w:rPr>
        <w:t>（6）土壤环境影响分析</w:t>
      </w:r>
    </w:p>
    <w:p w14:paraId="75237CC0">
      <w:pPr>
        <w:ind w:firstLine="480"/>
      </w:pPr>
      <w:r>
        <w:rPr>
          <w:rFonts w:hint="eastAsia"/>
        </w:rPr>
        <w:t>度假区规划实施过程中，各种建设项目施工期将不可避免地改变现有地表植被，损坏现有水土保持设施，但是施工期结束后将不再造成新的水土流失。在居住区或者道路与交通设施未建设期间，植被将受到一定程度的破坏，土壤处于完全裸露状态，水土流失情况可能较严重。水土流失量主要与降雨量、降雨强度、地面径流系数、地面坡度、土地裸露面积等有关。植被覆盖度的快速提高可在较短时段内使土壤基本或完全达到正常水土保持功能，但在建设项目营运初期，由于地表植被覆盖度相对较小，也可能存在一定程度的水土流失现象。在度假区规划实施过程中，各种建设项目施工期是水土流失发生和防治的重点时段。因此，度假区在土地征用后应采取平整一块使用一块，尽量减少土地裸露的时间，以减少水土流失对土壤、地下水和地表水的影响。</w:t>
      </w:r>
    </w:p>
    <w:p w14:paraId="6D75CD3B">
      <w:pPr>
        <w:tabs>
          <w:tab w:val="left" w:pos="3119"/>
        </w:tabs>
        <w:ind w:firstLine="482"/>
        <w:rPr>
          <w:b/>
          <w:bCs/>
        </w:rPr>
      </w:pPr>
      <w:r>
        <w:rPr>
          <w:rFonts w:hint="eastAsia"/>
          <w:b/>
          <w:bCs/>
        </w:rPr>
        <w:t>（7）生态环境影响分析</w:t>
      </w:r>
    </w:p>
    <w:p w14:paraId="5B4F3775">
      <w:pPr>
        <w:ind w:firstLine="480"/>
      </w:pPr>
      <w:r>
        <w:rPr>
          <w:rFonts w:hint="eastAsia"/>
        </w:rPr>
        <w:t>植物生物量。本次茅山旅游度假区规划旅游项目大多为旅游和生态保护相结合的综合开发项目，对各类植物的正常生长影响较小，故本规划对茅山旅游度假区植物的负面影响较小，且在开展退耕改造、景观提升等工作后，将对区域植物群落的健康发展产生一定正面影响。</w:t>
      </w:r>
    </w:p>
    <w:p w14:paraId="090F7A6B">
      <w:pPr>
        <w:ind w:firstLine="480"/>
      </w:pPr>
      <w:r>
        <w:rPr>
          <w:rFonts w:hint="eastAsia"/>
        </w:rPr>
        <w:t>动物影响。茅山旅游度假区开发建设对鸟类、两栖类、爬行类和小型兽类的栖息地影响较小，主要以游客人为干扰为主，不会对上述动物的种类和数量造成大的影响。规划实施对当地水环境及生态环境不会带来显著负面影响，度假区的运营对水生生物影响有限，不会影响生物多样性。</w:t>
      </w:r>
    </w:p>
    <w:p w14:paraId="4A2F4C8B">
      <w:pPr>
        <w:pStyle w:val="3"/>
        <w:spacing w:before="120" w:after="120"/>
        <w:ind w:firstLine="0" w:firstLineChars="0"/>
        <w:rPr>
          <w:rFonts w:cs="Times New Roman"/>
        </w:rPr>
      </w:pPr>
      <w:bookmarkStart w:id="170" w:name="_Toc217294101"/>
      <w:r>
        <w:rPr>
          <w:rFonts w:cs="Times New Roman"/>
        </w:rPr>
        <w:t>1</w:t>
      </w:r>
      <w:r>
        <w:rPr>
          <w:rFonts w:hint="eastAsia" w:cs="Times New Roman"/>
        </w:rPr>
        <w:t>3</w:t>
      </w:r>
      <w:r>
        <w:rPr>
          <w:rFonts w:cs="Times New Roman"/>
        </w:rPr>
        <w:t>.</w:t>
      </w:r>
      <w:r>
        <w:rPr>
          <w:rFonts w:hint="eastAsia" w:cs="Times New Roman"/>
        </w:rPr>
        <w:t>5资源环境压力与承载状态评估</w:t>
      </w:r>
      <w:bookmarkEnd w:id="170"/>
    </w:p>
    <w:p w14:paraId="13985CFF">
      <w:pPr>
        <w:ind w:firstLine="480"/>
      </w:pPr>
      <w:r>
        <w:rPr>
          <w:rFonts w:hint="eastAsia"/>
        </w:rPr>
        <w:t>规划期末，度假区水资源、土地资源、人口承载力、旅游环境承载力均在度假区承载力范围内，大环境容量和水环境容量均不超过度假区环境容量。</w:t>
      </w:r>
    </w:p>
    <w:p w14:paraId="573456B6">
      <w:pPr>
        <w:pStyle w:val="3"/>
        <w:spacing w:before="120" w:after="120"/>
        <w:ind w:firstLine="0" w:firstLineChars="0"/>
        <w:rPr>
          <w:rFonts w:cs="Times New Roman"/>
        </w:rPr>
      </w:pPr>
      <w:bookmarkStart w:id="171" w:name="_Toc217294102"/>
      <w:r>
        <w:rPr>
          <w:rFonts w:cs="Times New Roman"/>
        </w:rPr>
        <w:t>1</w:t>
      </w:r>
      <w:r>
        <w:rPr>
          <w:rFonts w:hint="eastAsia" w:cs="Times New Roman"/>
        </w:rPr>
        <w:t>3</w:t>
      </w:r>
      <w:r>
        <w:rPr>
          <w:rFonts w:cs="Times New Roman"/>
        </w:rPr>
        <w:t>.</w:t>
      </w:r>
      <w:r>
        <w:rPr>
          <w:rFonts w:hint="eastAsia" w:cs="Times New Roman"/>
        </w:rPr>
        <w:t>6规划实施制约因素与优化调整建议</w:t>
      </w:r>
      <w:bookmarkEnd w:id="171"/>
    </w:p>
    <w:p w14:paraId="0DEF672D">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13</w:t>
      </w:r>
      <w:r>
        <w:rPr>
          <w:rFonts w:eastAsia="方正楷体_GBK" w:cs="Times New Roman"/>
          <w:b/>
          <w:bCs/>
          <w:szCs w:val="28"/>
          <w14:ligatures w14:val="none"/>
        </w:rPr>
        <w:t>.</w:t>
      </w:r>
      <w:r>
        <w:rPr>
          <w:rFonts w:hint="eastAsia" w:eastAsia="方正楷体_GBK" w:cs="Times New Roman"/>
          <w:b/>
          <w:bCs/>
          <w:szCs w:val="28"/>
          <w14:ligatures w14:val="none"/>
        </w:rPr>
        <w:t>6</w:t>
      </w:r>
      <w:r>
        <w:rPr>
          <w:rFonts w:eastAsia="方正楷体_GBK" w:cs="Times New Roman"/>
          <w:b/>
          <w:bCs/>
          <w:szCs w:val="28"/>
          <w14:ligatures w14:val="none"/>
        </w:rPr>
        <w:t>.</w:t>
      </w:r>
      <w:r>
        <w:rPr>
          <w:rFonts w:hint="eastAsia" w:eastAsia="方正楷体_GBK" w:cs="Times New Roman"/>
          <w:b/>
          <w:bCs/>
          <w:szCs w:val="28"/>
          <w14:ligatures w14:val="none"/>
        </w:rPr>
        <w:t>1规划实施制约因素</w:t>
      </w:r>
    </w:p>
    <w:p w14:paraId="3455E1C5">
      <w:pPr>
        <w:ind w:firstLine="482"/>
        <w:rPr>
          <w:rFonts w:cs="Times New Roman"/>
          <w:b/>
          <w:bCs/>
          <w:szCs w:val="28"/>
        </w:rPr>
      </w:pPr>
      <w:r>
        <w:rPr>
          <w:rFonts w:hint="eastAsia" w:cs="Times New Roman"/>
          <w:b/>
          <w:bCs/>
          <w:szCs w:val="28"/>
        </w:rPr>
        <w:t>（1）度假区内仍存在不符合区域定位的工业企业</w:t>
      </w:r>
    </w:p>
    <w:p w14:paraId="5DC313CA">
      <w:pPr>
        <w:ind w:firstLine="480"/>
        <w:rPr>
          <w:rFonts w:cs="Times New Roman"/>
          <w:szCs w:val="28"/>
        </w:rPr>
      </w:pPr>
      <w:r>
        <w:rPr>
          <w:rFonts w:hint="eastAsia" w:cs="Times New Roman"/>
          <w:szCs w:val="28"/>
        </w:rPr>
        <w:t>本轮规划度假区主导发展旅游度假产业，根据现状工业企业调查，现状区域内仍有8家不符合规划产业定位的工业企业，需有计划、分步骤对区内现有工业企业实施停转迁。其中4家石灰和石膏制造企业（常州市金坛创新建材有限公司、常州市金坛鼎盛建材厂、常州金坛江豚钙业有限公司、金坛东运钙业有限公司）纳入整治清单，短期上以环保整治为主，2030年底前完成搬迁退出；常州市金坛区新朋建筑材料厂（普通合伙），2030年底前计划搬迁退出；其余3家企业（金坛市金星包装有限公司、常州市金坛麦宝食品有限公司、金坛市金陶农配有限公司）在2035年底前引导企业自主搬迁退出。在实施企业停转迁的过程中，度假区需要结合项目的引入，通过关、停、并、转、迁等措施逐步合理调整区内用地，但仍受资金、职工安置、搬迁地条件等各方面因素制约。</w:t>
      </w:r>
    </w:p>
    <w:p w14:paraId="1FDB0254">
      <w:pPr>
        <w:ind w:firstLine="482"/>
        <w:rPr>
          <w:rFonts w:cs="Times New Roman"/>
          <w:b/>
          <w:bCs/>
          <w:szCs w:val="28"/>
        </w:rPr>
      </w:pPr>
      <w:r>
        <w:rPr>
          <w:rFonts w:hint="eastAsia" w:cs="Times New Roman"/>
          <w:b/>
          <w:bCs/>
          <w:szCs w:val="28"/>
        </w:rPr>
        <w:t>（2）区内用地性质转变制约度假区的发展</w:t>
      </w:r>
    </w:p>
    <w:p w14:paraId="2FF5111B">
      <w:pPr>
        <w:ind w:firstLine="480"/>
        <w:rPr>
          <w:rFonts w:cs="Times New Roman"/>
          <w:szCs w:val="28"/>
        </w:rPr>
      </w:pPr>
      <w:r>
        <w:rPr>
          <w:rFonts w:hint="eastAsia" w:cs="Times New Roman"/>
          <w:szCs w:val="28"/>
        </w:rPr>
        <w:t>度假区各类开发建设活动应符合国土空间规划等相关要求，严禁占用永久基本农田。本轮规划拟建设的部分旅游项目涉及新增建设用地，其中占用一般农用地，应及时办理农用地转用审批手续，报自然资源部门批准，并按照有偿征用的原则给予补偿。规划的建设项目需占用耕地的，必须按照“占一补一”的原则以及国家和地方的相关规定，通过土地复垦等措施，补充数量相等、质量相当的耕地，严格执行耕地占补平衡政策；需占用林地的，应当经林业主管部门审核同意，依法办理建设用地审批手续，确保林地保有量不减少。因此农林用地的调整与占补平衡进度是区域开发的制约因素之一。</w:t>
      </w:r>
    </w:p>
    <w:p w14:paraId="32AAFCA4">
      <w:pPr>
        <w:keepNext/>
        <w:keepLines/>
        <w:ind w:firstLine="0" w:firstLineChars="0"/>
        <w:jc w:val="left"/>
        <w:outlineLvl w:val="2"/>
        <w:rPr>
          <w:rFonts w:eastAsia="方正楷体_GBK" w:cs="Times New Roman"/>
          <w:b/>
          <w:bCs/>
          <w:szCs w:val="28"/>
          <w14:ligatures w14:val="none"/>
        </w:rPr>
      </w:pPr>
      <w:r>
        <w:rPr>
          <w:rFonts w:hint="eastAsia" w:eastAsia="方正楷体_GBK" w:cs="Times New Roman"/>
          <w:b/>
          <w:bCs/>
          <w:szCs w:val="28"/>
          <w14:ligatures w14:val="none"/>
        </w:rPr>
        <w:t>13</w:t>
      </w:r>
      <w:r>
        <w:rPr>
          <w:rFonts w:eastAsia="方正楷体_GBK" w:cs="Times New Roman"/>
          <w:b/>
          <w:bCs/>
          <w:szCs w:val="28"/>
          <w14:ligatures w14:val="none"/>
        </w:rPr>
        <w:t>.</w:t>
      </w:r>
      <w:r>
        <w:rPr>
          <w:rFonts w:hint="eastAsia" w:eastAsia="方正楷体_GBK" w:cs="Times New Roman"/>
          <w:b/>
          <w:bCs/>
          <w:szCs w:val="28"/>
          <w14:ligatures w14:val="none"/>
        </w:rPr>
        <w:t>6</w:t>
      </w:r>
      <w:r>
        <w:rPr>
          <w:rFonts w:eastAsia="方正楷体_GBK" w:cs="Times New Roman"/>
          <w:b/>
          <w:bCs/>
          <w:szCs w:val="28"/>
          <w14:ligatures w14:val="none"/>
        </w:rPr>
        <w:t>.</w:t>
      </w:r>
      <w:r>
        <w:rPr>
          <w:rFonts w:hint="eastAsia" w:eastAsia="方正楷体_GBK" w:cs="Times New Roman"/>
          <w:b/>
          <w:bCs/>
          <w:szCs w:val="28"/>
          <w14:ligatures w14:val="none"/>
        </w:rPr>
        <w:t>2规划优化调整建议</w:t>
      </w:r>
    </w:p>
    <w:p w14:paraId="64AAEBC7">
      <w:pPr>
        <w:ind w:firstLine="482"/>
        <w:rPr>
          <w:b/>
          <w:bCs/>
        </w:rPr>
      </w:pPr>
      <w:r>
        <w:rPr>
          <w:rFonts w:hint="eastAsia"/>
          <w:b/>
          <w:bCs/>
        </w:rPr>
        <w:t>（1）加强本轮规划与生态红线、生态空间保护规划的协调性</w:t>
      </w:r>
    </w:p>
    <w:p w14:paraId="0C242715">
      <w:pPr>
        <w:ind w:firstLine="480"/>
      </w:pPr>
      <w:r>
        <w:rPr>
          <w:rFonts w:hint="eastAsia"/>
        </w:rPr>
        <w:t>由于度假区本轮规划范围内较大面积涉及生态保护红线及生态空间管控区，旅游项目的开发建设应符合《江苏省国家级生态保护红线规划》《江苏省生态空间管控区域规划》《关于加强生态保护红线管理的通知（试行）》《省政府办公厅关于印发江苏省生态空间管控区域监督管理办法的通知》中的要求。根据相符性分析，本轮规划建设的旅游项目中17个项目涉及生态保护红线及生态空间管控区，这些旅游项目的规划开发建设，需在落实《关于加强生态保护红线管理的通知（试行）》（自然资发〔2022〕142号）、《关于进一步加强生态保护红线监督管理的通知》（苏自然函〔2023〕880号）、《生态空间管控区域调整管理办法》</w:t>
      </w:r>
      <w:r>
        <w:rPr>
          <w:rFonts w:hint="eastAsia"/>
          <w:szCs w:val="24"/>
        </w:rPr>
        <w:t>（苏政办发〔20</w:t>
      </w:r>
      <w:r>
        <w:rPr>
          <w:szCs w:val="24"/>
        </w:rPr>
        <w:t>21</w:t>
      </w:r>
      <w:r>
        <w:rPr>
          <w:rFonts w:hint="eastAsia"/>
          <w:szCs w:val="24"/>
        </w:rPr>
        <w:t>〕3号）等文件</w:t>
      </w:r>
      <w:r>
        <w:rPr>
          <w:rFonts w:hint="eastAsia"/>
        </w:rPr>
        <w:t>中项目准入及管控要求后方可开展。</w:t>
      </w:r>
    </w:p>
    <w:p w14:paraId="61FC18C8">
      <w:pPr>
        <w:ind w:firstLine="480"/>
      </w:pPr>
      <w:r>
        <w:rPr>
          <w:rFonts w:hint="eastAsia"/>
        </w:rPr>
        <w:t>在项目准入条件方面，对涉及生态保护红线及生态空间管控区范围内的新增旅游项目进行严格的生态影响评估，确保项目不会对生态环境造成不可逆的破坏。对于符合准入条件的项目，要明确其建设规模、开发强度、生态保护措施等关键要素，确保项目在建设和运营过程中严格遵守生态保护要求。</w:t>
      </w:r>
    </w:p>
    <w:p w14:paraId="1F4FADCA">
      <w:pPr>
        <w:ind w:firstLine="480"/>
      </w:pPr>
      <w:r>
        <w:rPr>
          <w:rFonts w:hint="eastAsia"/>
        </w:rPr>
        <w:t>在项目的建设过程中，针对不同类型旅游项目可能产生的生态影响，如植被破坏、水土流失、野生动物栖息地干扰等，制定具有针对性的减缓措施。对于建设过程中可能破坏的植被，要规划合理的植被恢复方案，选用本地适宜的植物种类进行补种；对于可能造成的水土流失，要设置有效的水土保持设施，如挡土墙、排水沟等；对于可能干扰野生动物栖息地的项目，要合理安排施工时间和施工方式，减少对野生动物的惊扰，并在项目运营过程中设置生态廊道等，保障野生动物的正常迁徙和活动。同时，要建立生态环境影响监测机制，对项目建设和运营过程中的生态环境状况进行实时监测，根据监测结果及时调整和完善减缓措施，确保生态环境影响始终处于可控范围内。</w:t>
      </w:r>
    </w:p>
    <w:p w14:paraId="4ECADEE5">
      <w:pPr>
        <w:ind w:firstLine="480"/>
      </w:pPr>
      <w:r>
        <w:rPr>
          <w:rFonts w:hint="eastAsia"/>
        </w:rPr>
        <w:t>在项目管控方面，要建立健全生态保护监管机制，加强对项目建设和运营全过程的监督和管理，确保各项生态保护措施得到有效落实。定期开展区域生态空间保护区域遥感监测核查，及时发现违法违规人类活动行为，对于违反生态保护要求的项目相关开发建设，要依法依规进行严肃处理，切实维护生态保护红线和生态空间管控区的权威性和有效性。</w:t>
      </w:r>
    </w:p>
    <w:p w14:paraId="57D5E017">
      <w:pPr>
        <w:ind w:firstLine="482"/>
        <w:rPr>
          <w:b/>
          <w:bCs/>
        </w:rPr>
      </w:pPr>
      <w:r>
        <w:rPr>
          <w:rFonts w:hint="eastAsia"/>
          <w:b/>
          <w:bCs/>
        </w:rPr>
        <w:t>（2）加强本轮规划与上位土地利用规划的协调性</w:t>
      </w:r>
    </w:p>
    <w:p w14:paraId="4302B795">
      <w:pPr>
        <w:ind w:firstLine="480"/>
      </w:pPr>
      <w:r>
        <w:rPr>
          <w:rFonts w:hint="eastAsia"/>
        </w:rPr>
        <w:t>在规划实施过程中，应注重与上位土地利用总体规划的衔接，确保规划目标的一致性和规划措施的可操作性。本轮规划将适度增加居住用地和商业及服务业设施用地，逐步优化度假区用地结构，不断完善旅游服务基础设施，以满足游客和居民休闲游憩需求。度假区部分旅游项目建设涉及新增建设用地，建议度假区在开发建设过程中，如需占用一般农用地，可通过对撤并村庄进行搬迁、土地复垦等措施，补充数量相等、质量相当的耕地，以满足“以补定占、先补后占”的规定。确需占用林地的，应当经林业主管部门审核同意，依法办理建设用地审批手续，同时结合林保规划修编工作，合理规划利用区域用地。对于规划中涉及的新增建设用地指标，建议提前与上级国土部门沟通协调，争取纳入年度土地利用计划，保障规划顺利落地。同时，要加强对规划实施过程的动态监测和评估，及时调整优化规划方案，确保规划的科学性和合理性。</w:t>
      </w:r>
    </w:p>
    <w:p w14:paraId="5A49B82D">
      <w:pPr>
        <w:ind w:firstLine="482"/>
        <w:rPr>
          <w:b/>
          <w:bCs/>
        </w:rPr>
      </w:pPr>
      <w:r>
        <w:rPr>
          <w:rFonts w:hint="eastAsia"/>
          <w:b/>
          <w:bCs/>
        </w:rPr>
        <w:t>（3）明确度假区绿色低碳发展目标及要求</w:t>
      </w:r>
    </w:p>
    <w:p w14:paraId="592B8983">
      <w:pPr>
        <w:ind w:firstLine="480"/>
      </w:pPr>
      <w:r>
        <w:rPr>
          <w:rFonts w:hint="eastAsia"/>
        </w:rPr>
        <w:t>度假区本身可作为一种碳汇，是有效捕集温室气体的一种途径，度假区的建立需对生态环境起到明显改善的作用。建议度假区本轮规划要把建设绿色低碳度假区作为规划目标之一，对度假区的现有建筑进行绿色化改造，全面实施建筑节能标准，严格执行新建民用建筑全部达到绿色建筑标准。倡导低碳绿色出行方式，往返度假区内的机动车建议使用电力驱动，推广区内公交车、自行车和步行等交通方式。此外，建议度假区内大规模推广使用太阳能屋顶，减少能源消耗。</w:t>
      </w:r>
    </w:p>
    <w:p w14:paraId="76474765">
      <w:pPr>
        <w:ind w:firstLine="482"/>
        <w:rPr>
          <w:b/>
          <w:bCs/>
        </w:rPr>
      </w:pPr>
      <w:r>
        <w:rPr>
          <w:rFonts w:hint="eastAsia"/>
          <w:b/>
          <w:bCs/>
        </w:rPr>
        <w:t>（4）完善高速公路、铁路防护距离控制要求</w:t>
      </w:r>
    </w:p>
    <w:p w14:paraId="278AE19B">
      <w:pPr>
        <w:ind w:firstLine="480"/>
      </w:pPr>
      <w:r>
        <w:rPr>
          <w:rFonts w:hint="eastAsia"/>
        </w:rPr>
        <w:t>度假区已规划沿京沪高铁交通走廊设置防护绿地，以降低交通噪声，提升景观环境，建议度假区本轮规划进一步合理规划高速公路/铁路两侧用地，距高速公路两侧、铁路外轨中心线两侧200米区域内不宜新建居民住宅、学校和医院等噪声敏感建筑物。如确需在上述规划控制范围内新建噪声敏感类建筑，新建噪声敏感类建筑应采取主动防护措施；科学规划公路（铁路）两侧建筑物的布局，临路第一排建筑宜规划为商业、办公用房等非噪声敏感建筑。</w:t>
      </w:r>
    </w:p>
    <w:p w14:paraId="15FDD127">
      <w:pPr>
        <w:ind w:firstLine="482"/>
        <w:rPr>
          <w:b/>
          <w:bCs/>
        </w:rPr>
      </w:pPr>
      <w:r>
        <w:rPr>
          <w:rFonts w:hint="eastAsia"/>
          <w:b/>
          <w:bCs/>
        </w:rPr>
        <w:t>（5）加快推进区域内工业企业停转迁进度</w:t>
      </w:r>
    </w:p>
    <w:p w14:paraId="46E0D1B6">
      <w:pPr>
        <w:ind w:firstLine="480"/>
      </w:pPr>
      <w:r>
        <w:rPr>
          <w:rFonts w:hint="eastAsia"/>
        </w:rPr>
        <w:t>按照本轮规划制定的工业企业关闭搬迁序时进度计划，建议度假区合理制定相关工作方案，</w:t>
      </w:r>
      <w:r>
        <w:rPr>
          <w:rFonts w:hint="eastAsia" w:cs="Times New Roman"/>
          <w:szCs w:val="28"/>
        </w:rPr>
        <w:t>有计划、分步骤得</w:t>
      </w:r>
      <w:r>
        <w:rPr>
          <w:rFonts w:hint="eastAsia"/>
        </w:rPr>
        <w:t>推进和落实企业停转迁的各项工作。企业在未搬迁退出前，应严格落实环保要求，确保达标排放，同时加强环境管理，减少对周边环境的影响。对于纳入整治清单的企业，需按照整治要求，在规定时间内完成相应的环保整治任务，提升环保水平。对于其他企业，也应鼓励其进行技术改造和升级，降低污染物排放，实现绿色发展。</w:t>
      </w:r>
    </w:p>
    <w:p w14:paraId="39DA0158">
      <w:pPr>
        <w:ind w:firstLine="480"/>
      </w:pPr>
      <w:r>
        <w:rPr>
          <w:rFonts w:hint="eastAsia"/>
        </w:rPr>
        <w:t>企业搬迁退出后，原场地再开发利用前，搬迁遗留场地应按要求开展场地环境调查和风险评估工作，未按有关规定开展场地调查和风险评估的、未明确治理修复责任主体的，禁止进行土地流转；污染场地未经治理修复的，禁止开工建设与治理修复无关的任何项目。对于存在污染且需要治理修复的场地，应依据风险评估结果，科学制定治理修复方案，明确治理修复的目标、技术路线、时间节点等关键要素。治理修复过程中，要严格遵循相关技术规范和标准，确保治理修复效果达到环境安全要求。同时，建立场地治理修复的监督机制，加强对治理修复过程的监管，防止出现偷工减料、虚假治理等行为。治理修复完成后，需组织专业机构进行验收，验收合格后方可进行后续的土地开发利用，工业遗留地块涉及用途变更的，还需按照《土壤污染防治法》规定进行土壤污染状况调查。</w:t>
      </w:r>
    </w:p>
    <w:p w14:paraId="7B7258B8">
      <w:pPr>
        <w:pStyle w:val="3"/>
        <w:spacing w:before="120" w:after="120"/>
        <w:ind w:firstLine="0" w:firstLineChars="0"/>
        <w:rPr>
          <w:rFonts w:cs="Times New Roman"/>
        </w:rPr>
      </w:pPr>
      <w:bookmarkStart w:id="172" w:name="_Toc217294103"/>
      <w:r>
        <w:rPr>
          <w:rFonts w:cs="Times New Roman"/>
        </w:rPr>
        <w:t>1</w:t>
      </w:r>
      <w:r>
        <w:rPr>
          <w:rFonts w:hint="eastAsia" w:cs="Times New Roman"/>
        </w:rPr>
        <w:t>3</w:t>
      </w:r>
      <w:r>
        <w:rPr>
          <w:rFonts w:cs="Times New Roman"/>
        </w:rPr>
        <w:t>.</w:t>
      </w:r>
      <w:r>
        <w:rPr>
          <w:rFonts w:hint="eastAsia" w:cs="Times New Roman"/>
        </w:rPr>
        <w:t>7生态环境保护目标和要求</w:t>
      </w:r>
      <w:bookmarkEnd w:id="172"/>
    </w:p>
    <w:p w14:paraId="6CC27D2F">
      <w:pPr>
        <w:ind w:firstLine="480"/>
      </w:pPr>
      <w:r>
        <w:rPr>
          <w:rFonts w:hint="eastAsia"/>
        </w:rPr>
        <w:t>度假区本轮规划严格落实生态空间保护区域管控要求，不突破大气、地表水、声环境质量底线，严格控制土地、能源、水资源能源利用上限、严格执行度假区生态环境准入清单。本次规划环评从环境质量、污染集中治理、生态保护、减污降碳、环境管理5个方面提出了相应的环境保护目标指标体系，具体见表4.3-1，并从生态、大气、地表水、地下水、土壤、噪声等方面提出了相应的生态环境保护和污染防治对策和措施，具体见第9章节。</w:t>
      </w:r>
    </w:p>
    <w:p w14:paraId="7C49551A">
      <w:pPr>
        <w:pStyle w:val="3"/>
        <w:spacing w:before="120" w:after="120"/>
        <w:ind w:firstLine="0" w:firstLineChars="0"/>
        <w:rPr>
          <w:rFonts w:cs="Times New Roman"/>
        </w:rPr>
      </w:pPr>
      <w:bookmarkStart w:id="173" w:name="_Toc217294104"/>
      <w:r>
        <w:rPr>
          <w:rFonts w:cs="Times New Roman"/>
        </w:rPr>
        <w:t>1</w:t>
      </w:r>
      <w:r>
        <w:rPr>
          <w:rFonts w:hint="eastAsia" w:cs="Times New Roman"/>
        </w:rPr>
        <w:t>3</w:t>
      </w:r>
      <w:r>
        <w:rPr>
          <w:rFonts w:cs="Times New Roman"/>
        </w:rPr>
        <w:t>.</w:t>
      </w:r>
      <w:r>
        <w:rPr>
          <w:rFonts w:hint="eastAsia" w:cs="Times New Roman"/>
        </w:rPr>
        <w:t>8环境管理改进对策和建议</w:t>
      </w:r>
      <w:bookmarkEnd w:id="173"/>
    </w:p>
    <w:p w14:paraId="2452CF57">
      <w:pPr>
        <w:ind w:firstLine="480"/>
      </w:pPr>
      <w:r>
        <w:rPr>
          <w:rFonts w:hint="eastAsia"/>
        </w:rPr>
        <w:t>（1）完善环境管理体系</w:t>
      </w:r>
    </w:p>
    <w:p w14:paraId="17E9110D">
      <w:pPr>
        <w:ind w:firstLine="480"/>
      </w:pPr>
      <w:r>
        <w:rPr>
          <w:rFonts w:hint="eastAsia"/>
        </w:rPr>
        <w:t>建议度假区根据国家、江苏省和常州市现行的环保法律法规、政策、制度，结合本地区实际情况，制定适合度假区经济发展和环境管理需要的环境保护要求，包括实行严格的项目审批制度、切实落实环境保护目标责任制、健全污染治理设施管理制度、制定环保奖惩制度等，规范度假区在环境保护、污染防治等方面的行为，实现度假区可持续发展的目标。</w:t>
      </w:r>
    </w:p>
    <w:p w14:paraId="633FEE65">
      <w:pPr>
        <w:ind w:firstLine="480"/>
      </w:pPr>
      <w:r>
        <w:rPr>
          <w:rFonts w:hint="eastAsia"/>
        </w:rPr>
        <w:t>（2）加强环境信息公开</w:t>
      </w:r>
    </w:p>
    <w:p w14:paraId="26A98E41">
      <w:pPr>
        <w:ind w:firstLine="480"/>
      </w:pPr>
      <w:r>
        <w:rPr>
          <w:rFonts w:hint="eastAsia"/>
        </w:rPr>
        <w:t>建议度假区定期（如年度）编制区域环境状况报告书，并及时向社会发布本区域的环境质量状况，充分尊重公众的环境知情权，鼓励公众参与、监督度假区的环境管理。在实施信息公开的基础上，增强公众环境意识，收集公众对度假区环境、项目环境行为等各方面的反馈意见，在环境管理、政策制定时重视公众的意见和要求，保证度假区走可持续发展的道路。</w:t>
      </w:r>
    </w:p>
    <w:p w14:paraId="51C32D3A">
      <w:pPr>
        <w:ind w:firstLine="480"/>
      </w:pPr>
      <w:r>
        <w:rPr>
          <w:rFonts w:hint="eastAsia"/>
        </w:rPr>
        <w:t>（3）加强生态空间保护区域和自然保护地监督管理</w:t>
      </w:r>
    </w:p>
    <w:p w14:paraId="47AAED33">
      <w:pPr>
        <w:ind w:firstLine="480"/>
      </w:pPr>
      <w:r>
        <w:rPr>
          <w:rFonts w:hint="eastAsia"/>
        </w:rPr>
        <w:t>建议度假区定期开展生态空间保护区域和自然保护地生态破坏问题监督与自查，严格落实国家、江苏省和常州市现行的生态保护区域监督管理办法和相关政策、制度要求，以生态保护为重点，不开展有损区域主导生态功能的开发建设活动，不得随意占用和调整生态保护区域，对不同类型和保护对象，实行共同与差别化的管控措施，确保生态空间管控区域“功能不降低、面积不减少、性质不改变”。</w:t>
      </w:r>
    </w:p>
    <w:p w14:paraId="035AA349">
      <w:pPr>
        <w:pStyle w:val="3"/>
        <w:spacing w:before="120" w:after="120"/>
        <w:ind w:firstLine="0" w:firstLineChars="0"/>
        <w:rPr>
          <w:rFonts w:cs="Times New Roman"/>
        </w:rPr>
      </w:pPr>
      <w:bookmarkStart w:id="174" w:name="_Toc217294105"/>
      <w:r>
        <w:rPr>
          <w:rFonts w:cs="Times New Roman"/>
        </w:rPr>
        <w:t>1</w:t>
      </w:r>
      <w:r>
        <w:rPr>
          <w:rFonts w:hint="eastAsia" w:cs="Times New Roman"/>
        </w:rPr>
        <w:t>3</w:t>
      </w:r>
      <w:r>
        <w:rPr>
          <w:rFonts w:cs="Times New Roman"/>
        </w:rPr>
        <w:t>.</w:t>
      </w:r>
      <w:r>
        <w:rPr>
          <w:rFonts w:hint="eastAsia" w:cs="Times New Roman"/>
        </w:rPr>
        <w:t>9总体评价结论</w:t>
      </w:r>
      <w:bookmarkEnd w:id="174"/>
    </w:p>
    <w:p w14:paraId="4736CE42">
      <w:pPr>
        <w:ind w:firstLine="480"/>
      </w:pPr>
      <w:r>
        <w:rPr>
          <w:rFonts w:hint="eastAsia"/>
        </w:rPr>
        <w:t>区域环境质量状况基本良好，具有一定的环境承载力，规划配套基础设施较为完善，基本满足度假区开发建设需求，规划实施对区域环境产生的影响有限，从环境保护的角度分析，在严格落实本报告提出的生态环境影响减缓措施、风险防范措施、规划优化调整建议等前提下，影响在可接受的范围内，不会降低区域环境功能，江苏省金坛茅山旅游度假区依据本轮规划进行开发建设具备环境可行性。</w:t>
      </w:r>
      <w:r>
        <w:br w:type="page"/>
      </w:r>
    </w:p>
    <w:p w14:paraId="1C93904C">
      <w:pPr>
        <w:pStyle w:val="2"/>
        <w:ind w:firstLine="0" w:firstLineChars="0"/>
      </w:pPr>
      <w:bookmarkStart w:id="175" w:name="_Toc217294106"/>
      <w:r>
        <w:rPr>
          <w:rFonts w:hint="eastAsia"/>
        </w:rPr>
        <w:t>附图</w:t>
      </w:r>
      <w:bookmarkEnd w:id="175"/>
    </w:p>
    <w:p w14:paraId="641370AD">
      <w:pPr>
        <w:pStyle w:val="39"/>
        <w:ind w:left="1200" w:hanging="720" w:firstLineChars="0"/>
        <w:rPr>
          <w:sz w:val="28"/>
          <w:szCs w:val="24"/>
        </w:rPr>
      </w:pPr>
      <w:r>
        <w:rPr>
          <w:rFonts w:hint="eastAsia"/>
          <w:sz w:val="28"/>
          <w:szCs w:val="24"/>
        </w:rPr>
        <w:t>附图1  区域位置图；</w:t>
      </w:r>
    </w:p>
    <w:p w14:paraId="58D6781C">
      <w:pPr>
        <w:pStyle w:val="39"/>
        <w:ind w:left="1200" w:hanging="720" w:firstLineChars="0"/>
        <w:rPr>
          <w:sz w:val="28"/>
          <w:szCs w:val="24"/>
        </w:rPr>
      </w:pPr>
      <w:r>
        <w:rPr>
          <w:rFonts w:hint="eastAsia"/>
          <w:sz w:val="28"/>
          <w:szCs w:val="24"/>
        </w:rPr>
        <w:t>附图2  规划范围图；</w:t>
      </w:r>
    </w:p>
    <w:p w14:paraId="36CAAD27">
      <w:pPr>
        <w:pStyle w:val="39"/>
        <w:ind w:left="1200" w:hanging="720" w:firstLineChars="0"/>
        <w:rPr>
          <w:sz w:val="28"/>
          <w:szCs w:val="24"/>
        </w:rPr>
      </w:pPr>
      <w:r>
        <w:rPr>
          <w:rFonts w:hint="eastAsia"/>
          <w:sz w:val="28"/>
          <w:szCs w:val="24"/>
        </w:rPr>
        <w:t>附图3  规划发展历程图；</w:t>
      </w:r>
    </w:p>
    <w:p w14:paraId="186188FD">
      <w:pPr>
        <w:pStyle w:val="39"/>
        <w:ind w:left="1200" w:hanging="720" w:firstLineChars="0"/>
        <w:rPr>
          <w:sz w:val="28"/>
          <w:szCs w:val="24"/>
        </w:rPr>
      </w:pPr>
      <w:r>
        <w:rPr>
          <w:rFonts w:hint="eastAsia"/>
          <w:sz w:val="28"/>
          <w:szCs w:val="24"/>
        </w:rPr>
        <w:t>附图4  江苏茅山风景名胜区范围图；</w:t>
      </w:r>
    </w:p>
    <w:p w14:paraId="70D100E3">
      <w:pPr>
        <w:pStyle w:val="39"/>
        <w:ind w:left="1200" w:hanging="720" w:firstLineChars="0"/>
        <w:rPr>
          <w:sz w:val="28"/>
          <w:szCs w:val="24"/>
        </w:rPr>
      </w:pPr>
      <w:r>
        <w:rPr>
          <w:rFonts w:hint="eastAsia"/>
          <w:sz w:val="28"/>
          <w:szCs w:val="24"/>
        </w:rPr>
        <w:t>附图5  金坛茅东省级森林公园范围图；</w:t>
      </w:r>
    </w:p>
    <w:p w14:paraId="1D1C0066">
      <w:pPr>
        <w:pStyle w:val="39"/>
        <w:ind w:left="1200" w:hanging="720" w:firstLineChars="0"/>
        <w:rPr>
          <w:sz w:val="28"/>
          <w:szCs w:val="24"/>
        </w:rPr>
      </w:pPr>
      <w:r>
        <w:rPr>
          <w:rFonts w:hint="eastAsia"/>
          <w:sz w:val="28"/>
          <w:szCs w:val="24"/>
        </w:rPr>
        <w:t>附图6  大气敏感目标分布图；</w:t>
      </w:r>
    </w:p>
    <w:p w14:paraId="56480D50">
      <w:pPr>
        <w:pStyle w:val="39"/>
        <w:ind w:left="1200" w:hanging="720" w:firstLineChars="0"/>
        <w:rPr>
          <w:sz w:val="28"/>
          <w:szCs w:val="24"/>
        </w:rPr>
      </w:pPr>
      <w:r>
        <w:rPr>
          <w:rFonts w:hint="eastAsia"/>
          <w:sz w:val="28"/>
          <w:szCs w:val="24"/>
        </w:rPr>
        <w:t>附图7  区域水系分布图；</w:t>
      </w:r>
    </w:p>
    <w:p w14:paraId="2533A21C">
      <w:pPr>
        <w:pStyle w:val="39"/>
        <w:ind w:left="1200" w:hanging="720" w:firstLineChars="0"/>
        <w:rPr>
          <w:sz w:val="28"/>
          <w:szCs w:val="24"/>
        </w:rPr>
      </w:pPr>
      <w:r>
        <w:rPr>
          <w:rFonts w:hint="eastAsia"/>
          <w:sz w:val="28"/>
          <w:szCs w:val="24"/>
        </w:rPr>
        <w:t>附图8  生态保护红线范围图；</w:t>
      </w:r>
    </w:p>
    <w:p w14:paraId="48DEE32A">
      <w:pPr>
        <w:pStyle w:val="39"/>
        <w:ind w:left="1200" w:hanging="720" w:firstLineChars="0"/>
        <w:rPr>
          <w:sz w:val="28"/>
          <w:szCs w:val="24"/>
        </w:rPr>
      </w:pPr>
      <w:r>
        <w:rPr>
          <w:rFonts w:hint="eastAsia"/>
          <w:sz w:val="28"/>
          <w:szCs w:val="24"/>
        </w:rPr>
        <w:t>附图9  生态保护红线范围现状用地图；</w:t>
      </w:r>
    </w:p>
    <w:p w14:paraId="29BD97AE">
      <w:pPr>
        <w:pStyle w:val="39"/>
        <w:ind w:left="1200" w:hanging="720" w:firstLineChars="0"/>
        <w:rPr>
          <w:sz w:val="28"/>
          <w:szCs w:val="24"/>
        </w:rPr>
      </w:pPr>
      <w:r>
        <w:rPr>
          <w:rFonts w:hint="eastAsia"/>
          <w:sz w:val="28"/>
          <w:szCs w:val="24"/>
        </w:rPr>
        <w:t>附图10  生态空间管控区域范围图；</w:t>
      </w:r>
    </w:p>
    <w:p w14:paraId="6970A462">
      <w:pPr>
        <w:pStyle w:val="39"/>
        <w:ind w:left="1200" w:hanging="720" w:firstLineChars="0"/>
        <w:rPr>
          <w:sz w:val="28"/>
          <w:szCs w:val="24"/>
        </w:rPr>
      </w:pPr>
      <w:r>
        <w:rPr>
          <w:rFonts w:hint="eastAsia"/>
          <w:sz w:val="28"/>
          <w:szCs w:val="24"/>
        </w:rPr>
        <w:t>附图11  生态空间管控区域范围现状用地图；</w:t>
      </w:r>
    </w:p>
    <w:p w14:paraId="215F29F5">
      <w:pPr>
        <w:pStyle w:val="39"/>
        <w:ind w:left="1200" w:hanging="720" w:firstLineChars="0"/>
        <w:rPr>
          <w:sz w:val="28"/>
          <w:szCs w:val="24"/>
        </w:rPr>
      </w:pPr>
      <w:r>
        <w:rPr>
          <w:rFonts w:hint="eastAsia"/>
          <w:sz w:val="28"/>
          <w:szCs w:val="24"/>
        </w:rPr>
        <w:t>附图12  历史文化保护分布图；</w:t>
      </w:r>
    </w:p>
    <w:p w14:paraId="5AD95420">
      <w:pPr>
        <w:pStyle w:val="39"/>
        <w:ind w:left="1200" w:hanging="720" w:firstLineChars="0"/>
        <w:rPr>
          <w:sz w:val="28"/>
          <w:szCs w:val="24"/>
        </w:rPr>
      </w:pPr>
      <w:r>
        <w:rPr>
          <w:rFonts w:hint="eastAsia"/>
          <w:sz w:val="28"/>
          <w:szCs w:val="24"/>
        </w:rPr>
        <w:t>附图13  区域空间结构图；</w:t>
      </w:r>
    </w:p>
    <w:p w14:paraId="5E7D2B56">
      <w:pPr>
        <w:pStyle w:val="39"/>
        <w:ind w:left="1200" w:hanging="720" w:firstLineChars="0"/>
        <w:rPr>
          <w:sz w:val="28"/>
          <w:szCs w:val="24"/>
        </w:rPr>
      </w:pPr>
      <w:r>
        <w:rPr>
          <w:rFonts w:hint="eastAsia"/>
          <w:sz w:val="28"/>
          <w:szCs w:val="24"/>
        </w:rPr>
        <w:t>附图14  村镇布局规划图；</w:t>
      </w:r>
    </w:p>
    <w:p w14:paraId="02F468AC">
      <w:pPr>
        <w:pStyle w:val="39"/>
        <w:ind w:left="1200" w:hanging="720" w:firstLineChars="0"/>
        <w:rPr>
          <w:sz w:val="28"/>
          <w:szCs w:val="24"/>
        </w:rPr>
      </w:pPr>
      <w:r>
        <w:rPr>
          <w:rFonts w:hint="eastAsia"/>
          <w:sz w:val="28"/>
          <w:szCs w:val="24"/>
        </w:rPr>
        <w:t>附图15  土地利用规划图（近期）；</w:t>
      </w:r>
    </w:p>
    <w:p w14:paraId="75604D92">
      <w:pPr>
        <w:pStyle w:val="39"/>
        <w:ind w:left="1200" w:hanging="720" w:firstLineChars="0"/>
        <w:rPr>
          <w:sz w:val="28"/>
          <w:szCs w:val="24"/>
        </w:rPr>
      </w:pPr>
      <w:r>
        <w:rPr>
          <w:rFonts w:hint="eastAsia"/>
          <w:sz w:val="28"/>
          <w:szCs w:val="24"/>
        </w:rPr>
        <w:t>附图16  土地利用规划图（远期）；</w:t>
      </w:r>
    </w:p>
    <w:p w14:paraId="0A8CD800">
      <w:pPr>
        <w:pStyle w:val="39"/>
        <w:ind w:left="1200" w:hanging="720" w:firstLineChars="0"/>
        <w:rPr>
          <w:sz w:val="28"/>
          <w:szCs w:val="24"/>
        </w:rPr>
      </w:pPr>
      <w:r>
        <w:rPr>
          <w:rFonts w:hint="eastAsia"/>
          <w:sz w:val="28"/>
          <w:szCs w:val="24"/>
        </w:rPr>
        <w:t>附图17  给水工程规划图；</w:t>
      </w:r>
    </w:p>
    <w:p w14:paraId="58472914">
      <w:pPr>
        <w:pStyle w:val="39"/>
        <w:ind w:left="1200" w:hanging="720" w:firstLineChars="0"/>
        <w:rPr>
          <w:sz w:val="28"/>
          <w:szCs w:val="24"/>
        </w:rPr>
      </w:pPr>
      <w:r>
        <w:rPr>
          <w:rFonts w:hint="eastAsia"/>
          <w:sz w:val="28"/>
          <w:szCs w:val="24"/>
        </w:rPr>
        <w:t>附图18  污水工程规划图；</w:t>
      </w:r>
    </w:p>
    <w:p w14:paraId="3CFFBD22">
      <w:pPr>
        <w:pStyle w:val="39"/>
        <w:ind w:left="1200" w:hanging="720" w:firstLineChars="0"/>
        <w:rPr>
          <w:sz w:val="28"/>
          <w:szCs w:val="24"/>
        </w:rPr>
      </w:pPr>
      <w:r>
        <w:rPr>
          <w:rFonts w:hint="eastAsia"/>
          <w:sz w:val="28"/>
          <w:szCs w:val="24"/>
        </w:rPr>
        <w:t>附图19  供电工程规划图；</w:t>
      </w:r>
    </w:p>
    <w:p w14:paraId="3A07852A">
      <w:pPr>
        <w:pStyle w:val="39"/>
        <w:ind w:left="1200" w:hanging="720" w:firstLineChars="0"/>
        <w:rPr>
          <w:sz w:val="28"/>
          <w:szCs w:val="24"/>
        </w:rPr>
      </w:pPr>
      <w:r>
        <w:rPr>
          <w:rFonts w:hint="eastAsia"/>
          <w:sz w:val="28"/>
          <w:szCs w:val="24"/>
        </w:rPr>
        <w:t>附图20  信息工程规划图；</w:t>
      </w:r>
    </w:p>
    <w:p w14:paraId="4D8C5E7E">
      <w:pPr>
        <w:pStyle w:val="39"/>
        <w:ind w:left="1200" w:hanging="720" w:firstLineChars="0"/>
        <w:rPr>
          <w:sz w:val="28"/>
          <w:szCs w:val="24"/>
        </w:rPr>
      </w:pPr>
      <w:r>
        <w:rPr>
          <w:rFonts w:hint="eastAsia"/>
          <w:sz w:val="28"/>
          <w:szCs w:val="24"/>
        </w:rPr>
        <w:t>附图21  燃气工程规划图；</w:t>
      </w:r>
    </w:p>
    <w:p w14:paraId="1D11F77E">
      <w:pPr>
        <w:pStyle w:val="39"/>
        <w:ind w:left="1200" w:hanging="720" w:firstLineChars="0"/>
        <w:rPr>
          <w:sz w:val="28"/>
          <w:szCs w:val="24"/>
        </w:rPr>
      </w:pPr>
      <w:r>
        <w:rPr>
          <w:rFonts w:hint="eastAsia"/>
          <w:sz w:val="28"/>
          <w:szCs w:val="24"/>
        </w:rPr>
        <w:t>附图22  环卫工程规划图；</w:t>
      </w:r>
    </w:p>
    <w:p w14:paraId="55506FF1">
      <w:pPr>
        <w:pStyle w:val="39"/>
        <w:ind w:left="1200" w:hanging="720" w:firstLineChars="0"/>
        <w:rPr>
          <w:sz w:val="28"/>
          <w:szCs w:val="24"/>
        </w:rPr>
      </w:pPr>
      <w:r>
        <w:rPr>
          <w:rFonts w:hint="eastAsia"/>
          <w:sz w:val="28"/>
          <w:szCs w:val="24"/>
        </w:rPr>
        <w:t>附图23  综合交通规划图；</w:t>
      </w:r>
    </w:p>
    <w:p w14:paraId="09E36238">
      <w:pPr>
        <w:pStyle w:val="39"/>
        <w:ind w:left="1200" w:hanging="720" w:firstLineChars="0"/>
        <w:rPr>
          <w:sz w:val="28"/>
          <w:szCs w:val="24"/>
        </w:rPr>
      </w:pPr>
      <w:r>
        <w:rPr>
          <w:rFonts w:hint="eastAsia"/>
          <w:sz w:val="28"/>
          <w:szCs w:val="24"/>
        </w:rPr>
        <w:t>附图24  绿道系统规划图；</w:t>
      </w:r>
    </w:p>
    <w:p w14:paraId="733BC6DF">
      <w:pPr>
        <w:pStyle w:val="39"/>
        <w:ind w:left="1200" w:hanging="720" w:firstLineChars="0"/>
        <w:rPr>
          <w:sz w:val="28"/>
          <w:szCs w:val="24"/>
        </w:rPr>
      </w:pPr>
      <w:r>
        <w:rPr>
          <w:rFonts w:hint="eastAsia"/>
          <w:sz w:val="28"/>
          <w:szCs w:val="24"/>
        </w:rPr>
        <w:t>附图25  餐饮设施规划图；</w:t>
      </w:r>
    </w:p>
    <w:p w14:paraId="5749529F">
      <w:pPr>
        <w:pStyle w:val="39"/>
        <w:ind w:left="1200" w:hanging="720" w:firstLineChars="0"/>
        <w:rPr>
          <w:sz w:val="28"/>
          <w:szCs w:val="24"/>
        </w:rPr>
      </w:pPr>
      <w:r>
        <w:rPr>
          <w:rFonts w:hint="eastAsia"/>
          <w:sz w:val="28"/>
          <w:szCs w:val="24"/>
        </w:rPr>
        <w:t>附图26  酒店民宿设施规划图；</w:t>
      </w:r>
    </w:p>
    <w:p w14:paraId="32F3701C">
      <w:pPr>
        <w:pStyle w:val="39"/>
        <w:ind w:left="1200" w:hanging="720" w:firstLineChars="0"/>
        <w:rPr>
          <w:sz w:val="28"/>
          <w:szCs w:val="24"/>
        </w:rPr>
      </w:pPr>
      <w:r>
        <w:rPr>
          <w:rFonts w:hint="eastAsia"/>
          <w:sz w:val="28"/>
          <w:szCs w:val="24"/>
        </w:rPr>
        <w:t>附图27  功能分区规划图；</w:t>
      </w:r>
    </w:p>
    <w:p w14:paraId="4020AD8D">
      <w:pPr>
        <w:pStyle w:val="39"/>
        <w:ind w:left="1200" w:hanging="720" w:firstLineChars="0"/>
        <w:rPr>
          <w:sz w:val="28"/>
          <w:szCs w:val="24"/>
        </w:rPr>
      </w:pPr>
      <w:r>
        <w:rPr>
          <w:rFonts w:hint="eastAsia"/>
          <w:sz w:val="28"/>
          <w:szCs w:val="24"/>
        </w:rPr>
        <w:t>附图28  旅游项目示意图；</w:t>
      </w:r>
    </w:p>
    <w:p w14:paraId="40AEC9B9">
      <w:pPr>
        <w:pStyle w:val="39"/>
        <w:ind w:left="1200" w:hanging="720" w:firstLineChars="0"/>
        <w:rPr>
          <w:sz w:val="28"/>
          <w:szCs w:val="24"/>
        </w:rPr>
      </w:pPr>
      <w:r>
        <w:rPr>
          <w:rFonts w:hint="eastAsia"/>
          <w:sz w:val="28"/>
          <w:szCs w:val="24"/>
        </w:rPr>
        <w:t>附图29  景观规划引导图；</w:t>
      </w:r>
    </w:p>
    <w:p w14:paraId="0C7D8D56">
      <w:pPr>
        <w:pStyle w:val="39"/>
        <w:ind w:left="1200" w:hanging="720" w:firstLineChars="0"/>
        <w:rPr>
          <w:sz w:val="28"/>
          <w:szCs w:val="24"/>
        </w:rPr>
      </w:pPr>
      <w:r>
        <w:rPr>
          <w:rFonts w:hint="eastAsia"/>
          <w:sz w:val="28"/>
          <w:szCs w:val="24"/>
        </w:rPr>
        <w:t>附图30  与市、区国土空间总体规划永久基本农田、耕地相符性分析图规划图；</w:t>
      </w:r>
    </w:p>
    <w:p w14:paraId="47A3C886">
      <w:pPr>
        <w:pStyle w:val="39"/>
        <w:ind w:left="1200" w:hanging="720" w:firstLineChars="0"/>
        <w:rPr>
          <w:sz w:val="28"/>
          <w:szCs w:val="24"/>
        </w:rPr>
      </w:pPr>
      <w:r>
        <w:rPr>
          <w:rFonts w:hint="eastAsia"/>
          <w:sz w:val="28"/>
          <w:szCs w:val="24"/>
        </w:rPr>
        <w:t>附图31  与市、区国土空间总体规划城镇开发边界相符性分析图；</w:t>
      </w:r>
    </w:p>
    <w:p w14:paraId="7150A3EE">
      <w:pPr>
        <w:pStyle w:val="39"/>
        <w:ind w:left="1200" w:hanging="720" w:firstLineChars="0"/>
        <w:rPr>
          <w:sz w:val="28"/>
          <w:szCs w:val="24"/>
        </w:rPr>
      </w:pPr>
      <w:r>
        <w:rPr>
          <w:rFonts w:hint="eastAsia"/>
          <w:sz w:val="28"/>
          <w:szCs w:val="24"/>
        </w:rPr>
        <w:t>附图32  土地利用现状图；</w:t>
      </w:r>
    </w:p>
    <w:p w14:paraId="3DADC6D7">
      <w:pPr>
        <w:pStyle w:val="39"/>
        <w:ind w:left="1200" w:hanging="720" w:firstLineChars="0"/>
        <w:rPr>
          <w:sz w:val="28"/>
          <w:szCs w:val="24"/>
        </w:rPr>
      </w:pPr>
      <w:r>
        <w:rPr>
          <w:rFonts w:hint="eastAsia"/>
          <w:sz w:val="28"/>
          <w:szCs w:val="24"/>
        </w:rPr>
        <w:t>附图33  旅游资源评价图；</w:t>
      </w:r>
    </w:p>
    <w:p w14:paraId="4EB1F6CD">
      <w:pPr>
        <w:pStyle w:val="39"/>
        <w:ind w:left="1200" w:hanging="720" w:firstLineChars="0"/>
        <w:rPr>
          <w:sz w:val="28"/>
          <w:szCs w:val="24"/>
        </w:rPr>
      </w:pPr>
      <w:r>
        <w:rPr>
          <w:rFonts w:hint="eastAsia"/>
          <w:sz w:val="28"/>
          <w:szCs w:val="24"/>
        </w:rPr>
        <w:t>附图34  企业位置分布图；</w:t>
      </w:r>
    </w:p>
    <w:p w14:paraId="1C56085E">
      <w:pPr>
        <w:pStyle w:val="39"/>
        <w:ind w:left="1200" w:hanging="720" w:firstLineChars="0"/>
        <w:rPr>
          <w:sz w:val="28"/>
          <w:szCs w:val="24"/>
        </w:rPr>
      </w:pPr>
      <w:r>
        <w:rPr>
          <w:rFonts w:hint="eastAsia"/>
          <w:sz w:val="28"/>
          <w:szCs w:val="24"/>
        </w:rPr>
        <w:t>附图35  畜禽养殖场（户）分布图；</w:t>
      </w:r>
    </w:p>
    <w:p w14:paraId="2B8BB539">
      <w:pPr>
        <w:pStyle w:val="39"/>
        <w:ind w:left="1200" w:hanging="720" w:firstLineChars="0"/>
        <w:rPr>
          <w:sz w:val="28"/>
          <w:szCs w:val="24"/>
        </w:rPr>
      </w:pPr>
      <w:r>
        <w:rPr>
          <w:rFonts w:hint="eastAsia"/>
          <w:sz w:val="28"/>
          <w:szCs w:val="24"/>
        </w:rPr>
        <w:t>附图36  水、大气、土壤、地下水监测点位分布图；</w:t>
      </w:r>
    </w:p>
    <w:p w14:paraId="29B41297">
      <w:pPr>
        <w:pStyle w:val="39"/>
        <w:ind w:left="1200" w:hanging="720" w:firstLineChars="0"/>
        <w:rPr>
          <w:sz w:val="28"/>
          <w:szCs w:val="24"/>
        </w:rPr>
      </w:pPr>
      <w:r>
        <w:rPr>
          <w:rFonts w:hint="eastAsia"/>
          <w:sz w:val="28"/>
          <w:szCs w:val="24"/>
        </w:rPr>
        <w:t>附图37  噪声监测点位分布图。</w:t>
      </w:r>
    </w:p>
    <w:p w14:paraId="7C39FE3F">
      <w:pPr>
        <w:widowControl/>
        <w:spacing w:line="240" w:lineRule="auto"/>
        <w:ind w:firstLine="0" w:firstLineChars="0"/>
        <w:jc w:val="left"/>
      </w:pPr>
    </w:p>
    <w:p w14:paraId="57DBBD75">
      <w:pPr>
        <w:ind w:firstLine="480"/>
      </w:pPr>
      <w:r>
        <w:br w:type="page"/>
      </w:r>
    </w:p>
    <w:p w14:paraId="24001409">
      <w:pPr>
        <w:pStyle w:val="2"/>
        <w:ind w:firstLine="0" w:firstLineChars="0"/>
      </w:pPr>
      <w:bookmarkStart w:id="176" w:name="_Toc217294107"/>
      <w:r>
        <w:rPr>
          <w:rFonts w:hint="eastAsia"/>
        </w:rPr>
        <w:t>附件</w:t>
      </w:r>
      <w:bookmarkEnd w:id="176"/>
    </w:p>
    <w:p w14:paraId="320D71A4">
      <w:pPr>
        <w:pStyle w:val="39"/>
        <w:ind w:left="1200" w:hanging="720" w:firstLineChars="0"/>
        <w:rPr>
          <w:sz w:val="28"/>
          <w:szCs w:val="28"/>
        </w:rPr>
      </w:pPr>
      <w:r>
        <w:rPr>
          <w:rFonts w:hint="eastAsia"/>
          <w:sz w:val="28"/>
          <w:szCs w:val="28"/>
        </w:rPr>
        <w:t>附件1 《关于金坛茅山风景旅游区总体规划环境影响报告书审查意见》（坛环服复</w:t>
      </w:r>
      <w:r>
        <w:rPr>
          <w:rFonts w:hint="eastAsia" w:cs="Times New Roman"/>
          <w:sz w:val="28"/>
          <w:szCs w:val="28"/>
        </w:rPr>
        <w:t>〔</w:t>
      </w:r>
      <w:r>
        <w:rPr>
          <w:rFonts w:cs="Times New Roman"/>
          <w:sz w:val="28"/>
          <w:szCs w:val="28"/>
        </w:rPr>
        <w:t>20</w:t>
      </w:r>
      <w:r>
        <w:rPr>
          <w:rFonts w:hint="eastAsia" w:cs="Times New Roman"/>
          <w:sz w:val="28"/>
          <w:szCs w:val="28"/>
        </w:rPr>
        <w:t>12</w:t>
      </w:r>
      <w:r>
        <w:rPr>
          <w:rFonts w:cs="Times New Roman"/>
          <w:sz w:val="28"/>
          <w:szCs w:val="28"/>
        </w:rPr>
        <w:t>〕</w:t>
      </w:r>
      <w:r>
        <w:rPr>
          <w:rFonts w:hint="eastAsia" w:cs="Times New Roman"/>
          <w:sz w:val="28"/>
          <w:szCs w:val="28"/>
        </w:rPr>
        <w:t>67</w:t>
      </w:r>
      <w:r>
        <w:rPr>
          <w:rFonts w:cs="Times New Roman"/>
          <w:sz w:val="28"/>
          <w:szCs w:val="28"/>
        </w:rPr>
        <w:t>号</w:t>
      </w:r>
      <w:r>
        <w:rPr>
          <w:rFonts w:hint="eastAsia"/>
          <w:sz w:val="28"/>
          <w:szCs w:val="28"/>
        </w:rPr>
        <w:t>）</w:t>
      </w:r>
    </w:p>
    <w:p w14:paraId="48CD6849">
      <w:pPr>
        <w:pStyle w:val="39"/>
        <w:ind w:left="1200" w:hanging="720" w:firstLineChars="0"/>
        <w:rPr>
          <w:sz w:val="28"/>
          <w:szCs w:val="28"/>
        </w:rPr>
      </w:pPr>
      <w:r>
        <w:rPr>
          <w:rFonts w:hint="eastAsia"/>
          <w:sz w:val="28"/>
          <w:szCs w:val="28"/>
        </w:rPr>
        <w:t>附件2 《省政府关于同意设立江苏省金坛茅山旅游度假区的批复》</w:t>
      </w:r>
      <w:r>
        <w:rPr>
          <w:rFonts w:hint="eastAsia" w:cs="Times New Roman"/>
          <w:sz w:val="28"/>
          <w:szCs w:val="28"/>
        </w:rPr>
        <w:t>（苏政复〔</w:t>
      </w:r>
      <w:r>
        <w:rPr>
          <w:rFonts w:cs="Times New Roman"/>
          <w:sz w:val="28"/>
          <w:szCs w:val="28"/>
        </w:rPr>
        <w:t>2013〕19号</w:t>
      </w:r>
      <w:r>
        <w:rPr>
          <w:rFonts w:hint="eastAsia" w:cs="Times New Roman"/>
          <w:sz w:val="28"/>
          <w:szCs w:val="28"/>
        </w:rPr>
        <w:t>）；</w:t>
      </w:r>
    </w:p>
    <w:p w14:paraId="0B268BD8">
      <w:pPr>
        <w:pStyle w:val="39"/>
        <w:ind w:left="1200" w:hanging="720" w:firstLineChars="0"/>
        <w:rPr>
          <w:sz w:val="28"/>
          <w:szCs w:val="28"/>
        </w:rPr>
      </w:pPr>
      <w:r>
        <w:rPr>
          <w:rFonts w:hint="eastAsia"/>
          <w:sz w:val="28"/>
          <w:szCs w:val="28"/>
        </w:rPr>
        <w:t>附件3 《关于同意金坛茅山旅游度假区总体规划的批复》（坛政复〔2015</w:t>
      </w:r>
      <w:r>
        <w:rPr>
          <w:rFonts w:cs="Times New Roman"/>
          <w:sz w:val="28"/>
          <w:szCs w:val="28"/>
        </w:rPr>
        <w:t>〕</w:t>
      </w:r>
      <w:r>
        <w:rPr>
          <w:rFonts w:hint="eastAsia"/>
          <w:sz w:val="28"/>
          <w:szCs w:val="28"/>
        </w:rPr>
        <w:t>5号）；</w:t>
      </w:r>
    </w:p>
    <w:p w14:paraId="60CF9058">
      <w:pPr>
        <w:pStyle w:val="39"/>
        <w:ind w:left="1200" w:hanging="720" w:firstLineChars="0"/>
        <w:rPr>
          <w:sz w:val="28"/>
          <w:szCs w:val="28"/>
        </w:rPr>
      </w:pPr>
      <w:r>
        <w:rPr>
          <w:rFonts w:hint="eastAsia"/>
          <w:sz w:val="28"/>
          <w:szCs w:val="28"/>
        </w:rPr>
        <w:t>附件4 《关于同意成立江苏省茅山风景名胜区金坛管理处的批复》；</w:t>
      </w:r>
    </w:p>
    <w:p w14:paraId="15E166A0">
      <w:pPr>
        <w:pStyle w:val="39"/>
        <w:ind w:left="1200" w:hanging="720" w:firstLineChars="0"/>
        <w:rPr>
          <w:sz w:val="28"/>
          <w:szCs w:val="28"/>
        </w:rPr>
      </w:pPr>
      <w:r>
        <w:rPr>
          <w:rFonts w:hint="eastAsia"/>
          <w:sz w:val="28"/>
          <w:szCs w:val="28"/>
        </w:rPr>
        <w:t>附件5 《关于江苏省茅山风景名胜区金坛管理处调整管理体制、更名、重新核编的通知》（坛编字</w:t>
      </w:r>
      <w:r>
        <w:rPr>
          <w:rFonts w:hint="eastAsia" w:cs="Times New Roman"/>
          <w:sz w:val="28"/>
          <w:szCs w:val="28"/>
        </w:rPr>
        <w:t>〔</w:t>
      </w:r>
      <w:r>
        <w:rPr>
          <w:rFonts w:cs="Times New Roman"/>
          <w:sz w:val="28"/>
          <w:szCs w:val="28"/>
        </w:rPr>
        <w:t>20</w:t>
      </w:r>
      <w:r>
        <w:rPr>
          <w:rFonts w:hint="eastAsia" w:cs="Times New Roman"/>
          <w:sz w:val="28"/>
          <w:szCs w:val="28"/>
        </w:rPr>
        <w:t>08</w:t>
      </w:r>
      <w:r>
        <w:rPr>
          <w:rFonts w:cs="Times New Roman"/>
          <w:sz w:val="28"/>
          <w:szCs w:val="28"/>
        </w:rPr>
        <w:t>〕</w:t>
      </w:r>
      <w:r>
        <w:rPr>
          <w:rFonts w:hint="eastAsia" w:cs="Times New Roman"/>
          <w:sz w:val="28"/>
          <w:szCs w:val="28"/>
        </w:rPr>
        <w:t>44</w:t>
      </w:r>
      <w:r>
        <w:rPr>
          <w:rFonts w:cs="Times New Roman"/>
          <w:sz w:val="28"/>
          <w:szCs w:val="28"/>
        </w:rPr>
        <w:t>号</w:t>
      </w:r>
      <w:r>
        <w:rPr>
          <w:rFonts w:hint="eastAsia"/>
          <w:sz w:val="28"/>
          <w:szCs w:val="28"/>
        </w:rPr>
        <w:t>）；</w:t>
      </w:r>
    </w:p>
    <w:p w14:paraId="032AB5C3">
      <w:pPr>
        <w:pStyle w:val="39"/>
        <w:ind w:left="1200" w:hanging="720" w:firstLineChars="0"/>
        <w:rPr>
          <w:sz w:val="28"/>
          <w:szCs w:val="28"/>
        </w:rPr>
      </w:pPr>
      <w:r>
        <w:rPr>
          <w:rFonts w:hint="eastAsia"/>
          <w:sz w:val="28"/>
          <w:szCs w:val="28"/>
        </w:rPr>
        <w:t>附件6 《关于同意金坛市茅山旅游度假区党工委、管委会更名的批复》（常编</w:t>
      </w:r>
      <w:r>
        <w:rPr>
          <w:rFonts w:hint="eastAsia" w:cs="Times New Roman"/>
          <w:sz w:val="28"/>
          <w:szCs w:val="28"/>
        </w:rPr>
        <w:t>〔</w:t>
      </w:r>
      <w:r>
        <w:rPr>
          <w:rFonts w:cs="Times New Roman"/>
          <w:sz w:val="28"/>
          <w:szCs w:val="28"/>
        </w:rPr>
        <w:t>2013〕</w:t>
      </w:r>
      <w:r>
        <w:rPr>
          <w:rFonts w:hint="eastAsia"/>
          <w:sz w:val="28"/>
          <w:szCs w:val="28"/>
        </w:rPr>
        <w:t>56号）；</w:t>
      </w:r>
    </w:p>
    <w:p w14:paraId="188B9EB5">
      <w:pPr>
        <w:pStyle w:val="39"/>
        <w:ind w:left="1200" w:hanging="720" w:firstLineChars="0"/>
        <w:rPr>
          <w:sz w:val="28"/>
          <w:szCs w:val="28"/>
        </w:rPr>
      </w:pPr>
      <w:r>
        <w:rPr>
          <w:rFonts w:hint="eastAsia"/>
          <w:sz w:val="28"/>
          <w:szCs w:val="28"/>
        </w:rPr>
        <w:t>附件7 《市委编委关于调整江苏省金坛茅山、长荡湖2个旅游度假区管理机构的通知》（常编〔2022</w:t>
      </w:r>
      <w:r>
        <w:rPr>
          <w:rFonts w:cs="Times New Roman"/>
          <w:sz w:val="28"/>
          <w:szCs w:val="28"/>
        </w:rPr>
        <w:t>〕</w:t>
      </w:r>
      <w:r>
        <w:rPr>
          <w:rFonts w:hint="eastAsia"/>
          <w:sz w:val="28"/>
          <w:szCs w:val="28"/>
        </w:rPr>
        <w:t>17号）；</w:t>
      </w:r>
    </w:p>
    <w:p w14:paraId="3F544752">
      <w:pPr>
        <w:pStyle w:val="39"/>
        <w:ind w:left="1200" w:hanging="720" w:firstLineChars="0"/>
        <w:rPr>
          <w:sz w:val="28"/>
          <w:szCs w:val="28"/>
        </w:rPr>
      </w:pPr>
      <w:r>
        <w:rPr>
          <w:rFonts w:hint="eastAsia"/>
          <w:sz w:val="28"/>
          <w:szCs w:val="28"/>
        </w:rPr>
        <w:t>附件8 《中共常州市金坛区委关于设立江苏省金坛茅山、长荡湖2个旅游度假区管理办公室党组的通知》（坛发〔2022</w:t>
      </w:r>
      <w:r>
        <w:rPr>
          <w:rFonts w:cs="Times New Roman"/>
          <w:sz w:val="28"/>
          <w:szCs w:val="28"/>
        </w:rPr>
        <w:t>〕</w:t>
      </w:r>
      <w:r>
        <w:rPr>
          <w:rFonts w:hint="eastAsia"/>
          <w:sz w:val="28"/>
          <w:szCs w:val="28"/>
        </w:rPr>
        <w:t>21号）；</w:t>
      </w:r>
    </w:p>
    <w:p w14:paraId="1F40DCCC">
      <w:pPr>
        <w:pStyle w:val="39"/>
        <w:ind w:left="1200" w:hanging="720" w:firstLineChars="0"/>
        <w:rPr>
          <w:sz w:val="28"/>
          <w:szCs w:val="28"/>
        </w:rPr>
      </w:pPr>
      <w:r>
        <w:rPr>
          <w:rFonts w:hint="eastAsia"/>
          <w:sz w:val="28"/>
          <w:szCs w:val="28"/>
        </w:rPr>
        <w:t xml:space="preserve">附件9 </w:t>
      </w:r>
      <w:r>
        <w:rPr>
          <w:rFonts w:hint="eastAsia" w:cs="Times New Roman"/>
          <w:sz w:val="28"/>
          <w:szCs w:val="28"/>
        </w:rPr>
        <w:t>《新建茅东污水处理厂（5000m</w:t>
      </w:r>
      <w:r>
        <w:rPr>
          <w:rFonts w:hint="eastAsia" w:cs="Times New Roman"/>
          <w:sz w:val="28"/>
          <w:szCs w:val="28"/>
          <w:vertAlign w:val="superscript"/>
        </w:rPr>
        <w:t>3</w:t>
      </w:r>
      <w:r>
        <w:rPr>
          <w:rFonts w:hint="eastAsia" w:cs="Times New Roman"/>
          <w:sz w:val="28"/>
          <w:szCs w:val="28"/>
        </w:rPr>
        <w:t>/d）项目环境影响报告表的批复》，2007年4月20日；</w:t>
      </w:r>
    </w:p>
    <w:p w14:paraId="166346F1">
      <w:pPr>
        <w:pStyle w:val="39"/>
        <w:ind w:left="1200" w:hanging="720" w:firstLineChars="0"/>
        <w:rPr>
          <w:sz w:val="28"/>
          <w:szCs w:val="28"/>
        </w:rPr>
      </w:pPr>
      <w:r>
        <w:rPr>
          <w:rFonts w:hint="eastAsia"/>
          <w:sz w:val="28"/>
          <w:szCs w:val="28"/>
        </w:rPr>
        <w:t xml:space="preserve">附件10 </w:t>
      </w:r>
      <w:r>
        <w:rPr>
          <w:rFonts w:hint="eastAsia" w:cs="Times New Roman"/>
          <w:sz w:val="28"/>
          <w:szCs w:val="28"/>
        </w:rPr>
        <w:t>《金坛市茅东污水处理厂提标改造工程环境影响报告表的批复》（坛环审</w:t>
      </w:r>
      <w:r>
        <w:rPr>
          <w:rFonts w:cs="Times New Roman"/>
          <w:sz w:val="28"/>
          <w:szCs w:val="28"/>
        </w:rPr>
        <w:t>100175号</w:t>
      </w:r>
      <w:r>
        <w:rPr>
          <w:rFonts w:hint="eastAsia" w:cs="Times New Roman"/>
          <w:sz w:val="28"/>
          <w:szCs w:val="28"/>
        </w:rPr>
        <w:t>），2010年9月8日；</w:t>
      </w:r>
    </w:p>
    <w:p w14:paraId="79A5544E">
      <w:pPr>
        <w:pStyle w:val="39"/>
        <w:ind w:left="1200" w:hanging="720" w:firstLineChars="0"/>
        <w:rPr>
          <w:sz w:val="28"/>
          <w:szCs w:val="28"/>
        </w:rPr>
      </w:pPr>
      <w:r>
        <w:rPr>
          <w:rFonts w:hint="eastAsia"/>
          <w:sz w:val="28"/>
          <w:szCs w:val="28"/>
        </w:rPr>
        <w:t xml:space="preserve">附件11 </w:t>
      </w:r>
      <w:r>
        <w:rPr>
          <w:rFonts w:hint="eastAsia" w:cs="Times New Roman"/>
          <w:sz w:val="28"/>
          <w:szCs w:val="28"/>
        </w:rPr>
        <w:t>《金坛市茅东污水处理厂提标改造工程竣工环境保护验收意见》（坛环验〔2011〕26号）；</w:t>
      </w:r>
    </w:p>
    <w:p w14:paraId="56A01C7C">
      <w:pPr>
        <w:pStyle w:val="39"/>
        <w:ind w:left="1200" w:hanging="720" w:firstLineChars="0"/>
        <w:rPr>
          <w:sz w:val="28"/>
          <w:szCs w:val="28"/>
        </w:rPr>
      </w:pPr>
      <w:r>
        <w:rPr>
          <w:rFonts w:hint="eastAsia"/>
          <w:sz w:val="28"/>
          <w:szCs w:val="28"/>
        </w:rPr>
        <w:t>附件12 《市生态环境局关于常州江东环境科技有限公司金坛区茅东污水处理厂扩建项目环境影响报告表的批复》（常金环审〔2019</w:t>
      </w:r>
      <w:r>
        <w:rPr>
          <w:rFonts w:cs="Times New Roman"/>
          <w:sz w:val="28"/>
          <w:szCs w:val="28"/>
        </w:rPr>
        <w:t>〕</w:t>
      </w:r>
      <w:r>
        <w:rPr>
          <w:rFonts w:hint="eastAsia"/>
          <w:sz w:val="28"/>
          <w:szCs w:val="28"/>
        </w:rPr>
        <w:t>150号）；</w:t>
      </w:r>
    </w:p>
    <w:p w14:paraId="5771AD78">
      <w:pPr>
        <w:pStyle w:val="39"/>
        <w:ind w:left="1200" w:hanging="720" w:firstLineChars="0"/>
        <w:rPr>
          <w:sz w:val="28"/>
          <w:szCs w:val="28"/>
        </w:rPr>
      </w:pPr>
      <w:r>
        <w:rPr>
          <w:rFonts w:hint="eastAsia"/>
          <w:sz w:val="28"/>
          <w:szCs w:val="28"/>
        </w:rPr>
        <w:t>附件13 《金坛区茅东污水处理厂扩建工程入河排污口批复》（坛水排许可〔2019</w:t>
      </w:r>
      <w:r>
        <w:rPr>
          <w:rFonts w:cs="Times New Roman"/>
          <w:sz w:val="28"/>
          <w:szCs w:val="28"/>
        </w:rPr>
        <w:t>〕</w:t>
      </w:r>
      <w:r>
        <w:rPr>
          <w:rFonts w:hint="eastAsia"/>
          <w:sz w:val="28"/>
          <w:szCs w:val="28"/>
        </w:rPr>
        <w:t>1号）；</w:t>
      </w:r>
    </w:p>
    <w:p w14:paraId="3F18A810">
      <w:pPr>
        <w:pStyle w:val="39"/>
        <w:ind w:left="1200" w:hanging="720" w:firstLineChars="0"/>
        <w:rPr>
          <w:sz w:val="28"/>
          <w:szCs w:val="28"/>
        </w:rPr>
      </w:pPr>
      <w:r>
        <w:rPr>
          <w:rFonts w:hint="eastAsia"/>
          <w:sz w:val="28"/>
          <w:szCs w:val="28"/>
        </w:rPr>
        <w:t>附件14 《关于同意金坛区城乡污水处理一体化项目涉及各单项工程申请变更建设主体的函》（坛发改字〔2019</w:t>
      </w:r>
      <w:r>
        <w:rPr>
          <w:rFonts w:cs="Times New Roman"/>
          <w:sz w:val="28"/>
          <w:szCs w:val="28"/>
        </w:rPr>
        <w:t>〕</w:t>
      </w:r>
      <w:r>
        <w:rPr>
          <w:rFonts w:hint="eastAsia"/>
          <w:sz w:val="28"/>
          <w:szCs w:val="28"/>
        </w:rPr>
        <w:t>90号）；</w:t>
      </w:r>
    </w:p>
    <w:p w14:paraId="2FF454FD">
      <w:pPr>
        <w:pStyle w:val="39"/>
        <w:ind w:left="1200" w:hanging="720" w:firstLineChars="0"/>
        <w:rPr>
          <w:sz w:val="28"/>
          <w:szCs w:val="28"/>
        </w:rPr>
      </w:pPr>
      <w:r>
        <w:rPr>
          <w:rFonts w:hint="eastAsia"/>
          <w:sz w:val="28"/>
          <w:szCs w:val="28"/>
        </w:rPr>
        <w:t>附件15 金坛区茅东污水处理厂扩建项目竣工环境保护验收意见，2023年12月26日；</w:t>
      </w:r>
    </w:p>
    <w:p w14:paraId="4B6D4C52">
      <w:pPr>
        <w:pStyle w:val="39"/>
        <w:ind w:left="1200" w:hanging="720" w:firstLineChars="0"/>
        <w:rPr>
          <w:sz w:val="28"/>
          <w:szCs w:val="28"/>
        </w:rPr>
      </w:pPr>
      <w:r>
        <w:rPr>
          <w:rFonts w:hint="eastAsia"/>
          <w:sz w:val="28"/>
          <w:szCs w:val="28"/>
        </w:rPr>
        <w:t>附件16 《自然资源部办公厅关于北京等省（区、市）启用“三区三线”划定成果作为报批建设项目用地用海依据的函》（自然资办函〔2022</w:t>
      </w:r>
      <w:r>
        <w:rPr>
          <w:rFonts w:cs="Times New Roman"/>
          <w:sz w:val="28"/>
          <w:szCs w:val="28"/>
        </w:rPr>
        <w:t>〕</w:t>
      </w:r>
      <w:r>
        <w:rPr>
          <w:rFonts w:hint="eastAsia"/>
          <w:sz w:val="28"/>
          <w:szCs w:val="28"/>
        </w:rPr>
        <w:t>2207号）；</w:t>
      </w:r>
    </w:p>
    <w:p w14:paraId="3B15BA89">
      <w:pPr>
        <w:pStyle w:val="39"/>
        <w:ind w:left="1200" w:hanging="720" w:firstLineChars="0"/>
        <w:rPr>
          <w:sz w:val="28"/>
          <w:szCs w:val="28"/>
        </w:rPr>
      </w:pPr>
      <w:r>
        <w:rPr>
          <w:rFonts w:hint="eastAsia"/>
          <w:sz w:val="28"/>
          <w:szCs w:val="28"/>
        </w:rPr>
        <w:t>附件17 《江苏省自然资源厅关于常州市金坛区2023年度生态空间管控区域调整方案的复函》（苏自然资函〔2023〕209号）</w:t>
      </w:r>
    </w:p>
    <w:p w14:paraId="4BA1DDF4">
      <w:pPr>
        <w:pStyle w:val="39"/>
        <w:ind w:left="1200" w:hanging="720" w:firstLineChars="0"/>
        <w:rPr>
          <w:sz w:val="28"/>
          <w:szCs w:val="28"/>
        </w:rPr>
      </w:pPr>
      <w:r>
        <w:rPr>
          <w:rFonts w:hint="eastAsia"/>
          <w:sz w:val="28"/>
          <w:szCs w:val="28"/>
        </w:rPr>
        <w:t xml:space="preserve">附件18 </w:t>
      </w:r>
      <w:r>
        <w:rPr>
          <w:rFonts w:hint="eastAsia" w:cs="Times New Roman"/>
          <w:sz w:val="28"/>
          <w:szCs w:val="28"/>
        </w:rPr>
        <w:t>本次环境质量评价现状监测报告。</w:t>
      </w:r>
    </w:p>
    <w:p w14:paraId="1BCCBEB9">
      <w:pPr>
        <w:ind w:firstLine="480"/>
      </w:pPr>
    </w:p>
    <w:p w14:paraId="4812F143">
      <w:pPr>
        <w:ind w:firstLine="480"/>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1" w:fontKey="{2E55A20C-06EE-4A7F-85F8-B0799D2A9647}"/>
  </w:font>
  <w:font w:name="仿宋_GB2312">
    <w:panose1 w:val="02010609030101010101"/>
    <w:charset w:val="86"/>
    <w:family w:val="auto"/>
    <w:pitch w:val="default"/>
    <w:sig w:usb0="00000001" w:usb1="080E0000" w:usb2="00000000" w:usb3="00000000" w:csb0="00040000" w:csb1="00000000"/>
    <w:embedRegular r:id="rId2" w:fontKey="{14ADA929-CB1F-4046-9094-F040E7F2F77B}"/>
  </w:font>
  <w:font w:name="楷体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方正楷体_GBK">
    <w:panose1 w:val="03000509000000000000"/>
    <w:charset w:val="86"/>
    <w:family w:val="script"/>
    <w:pitch w:val="default"/>
    <w:sig w:usb0="00000001" w:usb1="080E0000" w:usb2="00000000" w:usb3="00000000" w:csb0="00040000" w:csb1="00000000"/>
    <w:embedRegular r:id="rId3" w:fontKey="{5C5A0A85-9B29-487F-A798-FA23081A1CF4}"/>
  </w:font>
  <w:font w:name="等线">
    <w:altName w:val="微软雅黑"/>
    <w:panose1 w:val="02010600030101010101"/>
    <w:charset w:val="86"/>
    <w:family w:val="auto"/>
    <w:pitch w:val="default"/>
    <w:sig w:usb0="00000000" w:usb1="00000000" w:usb2="00000016" w:usb3="00000000" w:csb0="0004000F" w:csb1="00000000"/>
    <w:embedRegular r:id="rId4" w:fontKey="{665E3D6C-6671-4843-8326-9E92BA2B8FE5}"/>
  </w:font>
  <w:font w:name="DengXian">
    <w:altName w:val="Segoe Print"/>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embedRegular r:id="rId5" w:fontKey="{40BE0507-BD8F-42F8-8916-00CEF4571062}"/>
  </w:font>
  <w:font w:name="等线 Light">
    <w:altName w:val="宋体"/>
    <w:panose1 w:val="02010600030101010101"/>
    <w:charset w:val="86"/>
    <w:family w:val="auto"/>
    <w:pitch w:val="default"/>
    <w:sig w:usb0="00000000" w:usb1="00000000" w:usb2="00000016" w:usb3="00000000" w:csb0="0004000F" w:csb1="00000000"/>
  </w:font>
  <w:font w:name="Microsoft YaHei UI">
    <w:altName w:val="宋体"/>
    <w:panose1 w:val="020B0503020204020204"/>
    <w:charset w:val="86"/>
    <w:family w:val="swiss"/>
    <w:pitch w:val="default"/>
    <w:sig w:usb0="00000000" w:usb1="00000000" w:usb2="00000016" w:usb3="00000000" w:csb0="0004001F" w:csb1="00000000"/>
  </w:font>
  <w:font w:name="方正仿宋_GB2312">
    <w:panose1 w:val="02000000000000000000"/>
    <w:charset w:val="86"/>
    <w:family w:val="auto"/>
    <w:pitch w:val="default"/>
    <w:sig w:usb0="A00002BF" w:usb1="184F6CFA" w:usb2="00000012" w:usb3="00000000" w:csb0="00040001" w:csb1="00000000"/>
  </w:font>
  <w:font w:name="微软雅黑">
    <w:panose1 w:val="020B0503020204020204"/>
    <w:charset w:val="86"/>
    <w:family w:val="swiss"/>
    <w:pitch w:val="default"/>
    <w:sig w:usb0="80000287" w:usb1="280F3C52" w:usb2="00000016" w:usb3="00000000" w:csb0="0004001F" w:csb1="00000000"/>
    <w:embedRegular r:id="rId6" w:fontKey="{0AD5B1A5-B6B9-4781-A033-488B0F38800A}"/>
  </w:font>
  <w:font w:name="华文行楷">
    <w:altName w:val="微软雅黑"/>
    <w:panose1 w:val="02010800040101010101"/>
    <w:charset w:val="86"/>
    <w:family w:val="auto"/>
    <w:pitch w:val="default"/>
    <w:sig w:usb0="00000000" w:usb1="00000000" w:usb2="00000010" w:usb3="00000000" w:csb0="00040000" w:csb1="00000000"/>
  </w:font>
  <w:font w:name="Arial">
    <w:panose1 w:val="020B0604020202020204"/>
    <w:charset w:val="00"/>
    <w:family w:val="swiss"/>
    <w:pitch w:val="default"/>
    <w:sig w:usb0="E0002AFF" w:usb1="C0007843" w:usb2="00000009" w:usb3="00000000" w:csb0="400001FF" w:csb1="FFFF0000"/>
  </w:font>
  <w:font w:name="等线">
    <w:altName w:val="微软雅黑"/>
    <w:panose1 w:val="00000000000000000000"/>
    <w:charset w:val="00"/>
    <w:family w:val="auto"/>
    <w:pitch w:val="default"/>
    <w:sig w:usb0="00000000" w:usb1="00000000" w:usb2="00000000" w:usb3="00000000" w:csb0="00000000" w:csb1="00000000"/>
    <w:embedRegular r:id="rId7" w:fontKey="{63A70968-B1E1-4646-9D7A-59C1AC229715}"/>
  </w:font>
  <w:font w:name="Cambria Math">
    <w:panose1 w:val="02040503050406030204"/>
    <w:charset w:val="00"/>
    <w:family w:val="roman"/>
    <w:pitch w:val="default"/>
    <w:sig w:usb0="E00002FF" w:usb1="420024FF" w:usb2="00000000" w:usb3="00000000" w:csb0="2000019F" w:csb1="00000000"/>
    <w:embedRegular r:id="rId8" w:fontKey="{3974A71F-2127-4AF0-82BC-0119EDA12386}"/>
  </w:font>
  <w:font w:name="华文仿宋">
    <w:panose1 w:val="02010600040101010101"/>
    <w:charset w:val="86"/>
    <w:family w:val="auto"/>
    <w:pitch w:val="default"/>
    <w:sig w:usb0="00000287" w:usb1="080F0000" w:usb2="00000000" w:usb3="00000000" w:csb0="0004009F" w:csb1="DFD70000"/>
    <w:embedRegular r:id="rId9" w:fontKey="{B92A4B78-2C68-4061-8453-0C4A48A9E9B0}"/>
  </w:font>
  <w:font w:name="华康周氏行楷 W3">
    <w:altName w:val="微软雅黑"/>
    <w:panose1 w:val="00000000000000000000"/>
    <w:charset w:val="86"/>
    <w:family w:val="auto"/>
    <w:pitch w:val="default"/>
    <w:sig w:usb0="00000000" w:usb1="00000000" w:usb2="00000012" w:usb3="00000000" w:csb0="00040001" w:csb1="00000000"/>
    <w:embedRegular r:id="rId10" w:fontKey="{B3DF9B10-4416-499C-97D2-FCB2C9F4EB19}"/>
  </w:font>
  <w:font w:name="MS Gothic">
    <w:panose1 w:val="020B0609070205080204"/>
    <w:charset w:val="80"/>
    <w:family w:val="modern"/>
    <w:pitch w:val="default"/>
    <w:sig w:usb0="E00002FF" w:usb1="6AC7FDFB" w:usb2="00000012" w:usb3="00000000" w:csb0="4002009F" w:csb1="DFD70000"/>
    <w:embedRegular r:id="rId11" w:fontKey="{50FBBC2F-79BA-4FDD-B20E-F778CBDF9ED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46861662"/>
    </w:sdtPr>
    <w:sdtContent>
      <w:p w14:paraId="5095D98B">
        <w:pPr>
          <w:pStyle w:val="15"/>
          <w:ind w:firstLine="0" w:firstLineChars="0"/>
          <w:jc w:val="center"/>
        </w:pPr>
        <w:r>
          <w:fldChar w:fldCharType="begin"/>
        </w:r>
        <w:r>
          <w:instrText xml:space="preserve">PAGE   \* MERGEFORMAT</w:instrText>
        </w:r>
        <w:r>
          <w:fldChar w:fldCharType="separate"/>
        </w:r>
        <w:r>
          <w:rPr>
            <w:lang w:val="zh-CN"/>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86BB6B">
    <w:pPr>
      <w:pStyle w:val="1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87CFB0">
    <w:pPr>
      <w:pStyle w:val="1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81946998"/>
    </w:sdtPr>
    <w:sdtContent>
      <w:p w14:paraId="07A4D9D1">
        <w:pPr>
          <w:pStyle w:val="15"/>
          <w:ind w:firstLine="0" w:firstLineChars="0"/>
          <w:jc w:val="center"/>
        </w:pPr>
        <w:r>
          <w:fldChar w:fldCharType="begin"/>
        </w:r>
        <w:r>
          <w:instrText xml:space="preserve">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61DAC1">
    <w:pPr>
      <w:pStyle w:val="16"/>
      <w:pBdr>
        <w:bottom w:val="single" w:color="auto" w:sz="4" w:space="1"/>
      </w:pBdr>
      <w:ind w:firstLine="0" w:firstLineChars="0"/>
      <w:rPr>
        <w:rFonts w:ascii="华文行楷" w:eastAsia="华文行楷" w:cs="Times New Roman"/>
        <w:sz w:val="20"/>
        <w:szCs w:val="20"/>
      </w:rPr>
    </w:pPr>
    <w:r>
      <w:rPr>
        <w:rFonts w:hint="eastAsia" w:ascii="华文行楷" w:eastAsia="华文行楷" w:cs="Times New Roman"/>
        <w:sz w:val="20"/>
        <w:szCs w:val="20"/>
      </w:rPr>
      <w:t>金坛茅山旅游度假区总体规划（</w:t>
    </w:r>
    <w:r>
      <w:rPr>
        <w:rFonts w:ascii="华文行楷" w:eastAsia="华文行楷" w:cs="Times New Roman"/>
        <w:sz w:val="20"/>
        <w:szCs w:val="20"/>
      </w:rPr>
      <w:t>2024~2035</w:t>
    </w:r>
    <w:r>
      <w:rPr>
        <w:rFonts w:hint="eastAsia" w:ascii="华文行楷" w:eastAsia="华文行楷" w:cs="Times New Roman"/>
        <w:sz w:val="20"/>
        <w:szCs w:val="20"/>
      </w:rPr>
      <w:t>年）环境影响报告书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E02A83">
    <w:pPr>
      <w:pStyle w:val="1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70FE26">
    <w:pPr>
      <w:pStyle w:val="1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ED3DCF"/>
    <w:multiLevelType w:val="multilevel"/>
    <w:tmpl w:val="90ED3DCF"/>
    <w:lvl w:ilvl="0" w:tentative="0">
      <w:start w:val="1"/>
      <w:numFmt w:val="decimal"/>
      <w:suff w:val="space"/>
      <w:lvlText w:val="%1"/>
      <w:lvlJc w:val="left"/>
      <w:pPr>
        <w:ind w:left="440" w:hanging="440"/>
      </w:p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
    <w:nsid w:val="D47F05F8"/>
    <w:multiLevelType w:val="singleLevel"/>
    <w:tmpl w:val="D47F05F8"/>
    <w:lvl w:ilvl="0" w:tentative="0">
      <w:start w:val="1"/>
      <w:numFmt w:val="bullet"/>
      <w:lvlText w:val=""/>
      <w:lvlJc w:val="left"/>
      <w:pPr>
        <w:ind w:left="420" w:hanging="420"/>
      </w:pPr>
      <w:rPr>
        <w:rFonts w:hint="default" w:ascii="Wingdings" w:hAnsi="Wingdings"/>
      </w:rPr>
    </w:lvl>
  </w:abstractNum>
  <w:abstractNum w:abstractNumId="2">
    <w:nsid w:val="D5E544CB"/>
    <w:multiLevelType w:val="singleLevel"/>
    <w:tmpl w:val="D5E544CB"/>
    <w:lvl w:ilvl="0" w:tentative="0">
      <w:start w:val="1"/>
      <w:numFmt w:val="bullet"/>
      <w:pStyle w:val="8"/>
      <w:lvlText w:val=""/>
      <w:lvlJc w:val="left"/>
      <w:pPr>
        <w:tabs>
          <w:tab w:val="left" w:pos="2040"/>
        </w:tabs>
        <w:ind w:left="2040" w:hanging="360"/>
      </w:pPr>
      <w:rPr>
        <w:rFonts w:hint="default" w:ascii="Wingdings" w:hAnsi="Wingdings"/>
      </w:rPr>
    </w:lvl>
  </w:abstractNum>
  <w:abstractNum w:abstractNumId="3">
    <w:nsid w:val="FD6C0049"/>
    <w:multiLevelType w:val="multilevel"/>
    <w:tmpl w:val="FD6C0049"/>
    <w:lvl w:ilvl="0" w:tentative="0">
      <w:start w:val="1"/>
      <w:numFmt w:val="bullet"/>
      <w:lvlText w:val=""/>
      <w:lvlJc w:val="left"/>
      <w:pPr>
        <w:ind w:left="920" w:hanging="440"/>
      </w:pPr>
      <w:rPr>
        <w:rFonts w:hint="default" w:ascii="Wingdings" w:hAnsi="Wingdings" w:cs="Wingdings"/>
      </w:rPr>
    </w:lvl>
    <w:lvl w:ilvl="1" w:tentative="0">
      <w:start w:val="1"/>
      <w:numFmt w:val="bullet"/>
      <w:lvlText w:val=""/>
      <w:lvlJc w:val="left"/>
      <w:pPr>
        <w:ind w:left="1360" w:hanging="440"/>
      </w:pPr>
      <w:rPr>
        <w:rFonts w:hint="default" w:ascii="Wingdings" w:hAnsi="Wingdings" w:cs="Wingdings"/>
      </w:rPr>
    </w:lvl>
    <w:lvl w:ilvl="2" w:tentative="0">
      <w:start w:val="1"/>
      <w:numFmt w:val="bullet"/>
      <w:lvlText w:val=""/>
      <w:lvlJc w:val="left"/>
      <w:pPr>
        <w:ind w:left="1800" w:hanging="440"/>
      </w:pPr>
      <w:rPr>
        <w:rFonts w:hint="default" w:ascii="Wingdings" w:hAnsi="Wingdings" w:cs="Wingdings"/>
      </w:rPr>
    </w:lvl>
    <w:lvl w:ilvl="3" w:tentative="0">
      <w:start w:val="1"/>
      <w:numFmt w:val="bullet"/>
      <w:lvlText w:val=""/>
      <w:lvlJc w:val="left"/>
      <w:pPr>
        <w:ind w:left="2240" w:hanging="440"/>
      </w:pPr>
      <w:rPr>
        <w:rFonts w:hint="default" w:ascii="Wingdings" w:hAnsi="Wingdings" w:cs="Wingdings"/>
      </w:rPr>
    </w:lvl>
    <w:lvl w:ilvl="4" w:tentative="0">
      <w:start w:val="1"/>
      <w:numFmt w:val="bullet"/>
      <w:lvlText w:val=""/>
      <w:lvlJc w:val="left"/>
      <w:pPr>
        <w:ind w:left="2680" w:hanging="440"/>
      </w:pPr>
      <w:rPr>
        <w:rFonts w:hint="default" w:ascii="Wingdings" w:hAnsi="Wingdings" w:cs="Wingdings"/>
      </w:rPr>
    </w:lvl>
    <w:lvl w:ilvl="5" w:tentative="0">
      <w:start w:val="1"/>
      <w:numFmt w:val="bullet"/>
      <w:lvlText w:val=""/>
      <w:lvlJc w:val="left"/>
      <w:pPr>
        <w:ind w:left="3120" w:hanging="440"/>
      </w:pPr>
      <w:rPr>
        <w:rFonts w:hint="default" w:ascii="Wingdings" w:hAnsi="Wingdings" w:cs="Wingdings"/>
      </w:rPr>
    </w:lvl>
    <w:lvl w:ilvl="6" w:tentative="0">
      <w:start w:val="1"/>
      <w:numFmt w:val="bullet"/>
      <w:lvlText w:val=""/>
      <w:lvlJc w:val="left"/>
      <w:pPr>
        <w:ind w:left="3560" w:hanging="440"/>
      </w:pPr>
      <w:rPr>
        <w:rFonts w:hint="default" w:ascii="Wingdings" w:hAnsi="Wingdings" w:cs="Wingdings"/>
      </w:rPr>
    </w:lvl>
    <w:lvl w:ilvl="7" w:tentative="0">
      <w:start w:val="1"/>
      <w:numFmt w:val="bullet"/>
      <w:lvlText w:val=""/>
      <w:lvlJc w:val="left"/>
      <w:pPr>
        <w:ind w:left="4000" w:hanging="440"/>
      </w:pPr>
      <w:rPr>
        <w:rFonts w:hint="default" w:ascii="Wingdings" w:hAnsi="Wingdings" w:cs="Wingdings"/>
      </w:rPr>
    </w:lvl>
    <w:lvl w:ilvl="8" w:tentative="0">
      <w:start w:val="1"/>
      <w:numFmt w:val="bullet"/>
      <w:lvlText w:val=""/>
      <w:lvlJc w:val="left"/>
      <w:pPr>
        <w:ind w:left="4440" w:hanging="440"/>
      </w:pPr>
      <w:rPr>
        <w:rFonts w:hint="default" w:ascii="Wingdings" w:hAnsi="Wingdings" w:cs="Wingdings"/>
      </w:rPr>
    </w:lvl>
  </w:abstractNum>
  <w:abstractNum w:abstractNumId="4">
    <w:nsid w:val="010E2FA6"/>
    <w:multiLevelType w:val="multilevel"/>
    <w:tmpl w:val="010E2FA6"/>
    <w:lvl w:ilvl="0" w:tentative="0">
      <w:start w:val="1"/>
      <w:numFmt w:val="decimal"/>
      <w:suff w:val="nothing"/>
      <w:lvlText w:val="（%1）"/>
      <w:lvlJc w:val="left"/>
      <w:pPr>
        <w:ind w:left="1200" w:hanging="720"/>
      </w:pPr>
      <w:rPr>
        <w:rFonts w:hint="default" w:cs="Times New Roman"/>
        <w:b w:val="0"/>
        <w:bCs/>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5">
    <w:nsid w:val="10874F5E"/>
    <w:multiLevelType w:val="multilevel"/>
    <w:tmpl w:val="10874F5E"/>
    <w:lvl w:ilvl="0" w:tentative="0">
      <w:start w:val="1"/>
      <w:numFmt w:val="decimal"/>
      <w:suff w:val="nothing"/>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6">
    <w:nsid w:val="11784B29"/>
    <w:multiLevelType w:val="multilevel"/>
    <w:tmpl w:val="11784B29"/>
    <w:lvl w:ilvl="0" w:tentative="0">
      <w:start w:val="1"/>
      <w:numFmt w:val="decimal"/>
      <w:suff w:val="nothing"/>
      <w:lvlText w:val="（%1）"/>
      <w:lvlJc w:val="left"/>
      <w:pPr>
        <w:ind w:left="0" w:firstLine="0"/>
      </w:pPr>
      <w:rPr>
        <w:rFonts w:hint="default"/>
        <w:color w:val="auto"/>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124A4640"/>
    <w:multiLevelType w:val="multilevel"/>
    <w:tmpl w:val="124A4640"/>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F661430"/>
    <w:multiLevelType w:val="multilevel"/>
    <w:tmpl w:val="1F661430"/>
    <w:lvl w:ilvl="0" w:tentative="0">
      <w:start w:val="1"/>
      <w:numFmt w:val="bullet"/>
      <w:suff w:val="space"/>
      <w:lvlText w:val=""/>
      <w:lvlJc w:val="left"/>
      <w:pPr>
        <w:ind w:left="920" w:hanging="440"/>
      </w:pPr>
      <w:rPr>
        <w:rFonts w:hint="default" w:ascii="Wingdings" w:hAnsi="Wingdings"/>
      </w:rPr>
    </w:lvl>
    <w:lvl w:ilvl="1" w:tentative="0">
      <w:start w:val="1"/>
      <w:numFmt w:val="bullet"/>
      <w:lvlText w:val=""/>
      <w:lvlJc w:val="left"/>
      <w:pPr>
        <w:ind w:left="1360" w:hanging="440"/>
      </w:pPr>
      <w:rPr>
        <w:rFonts w:hint="default" w:ascii="Wingdings" w:hAnsi="Wingdings"/>
      </w:rPr>
    </w:lvl>
    <w:lvl w:ilvl="2" w:tentative="0">
      <w:start w:val="1"/>
      <w:numFmt w:val="bullet"/>
      <w:lvlText w:val=""/>
      <w:lvlJc w:val="left"/>
      <w:pPr>
        <w:ind w:left="1800" w:hanging="440"/>
      </w:pPr>
      <w:rPr>
        <w:rFonts w:hint="default" w:ascii="Wingdings" w:hAnsi="Wingdings"/>
      </w:rPr>
    </w:lvl>
    <w:lvl w:ilvl="3" w:tentative="0">
      <w:start w:val="1"/>
      <w:numFmt w:val="bullet"/>
      <w:lvlText w:val=""/>
      <w:lvlJc w:val="left"/>
      <w:pPr>
        <w:ind w:left="2240" w:hanging="440"/>
      </w:pPr>
      <w:rPr>
        <w:rFonts w:hint="default" w:ascii="Wingdings" w:hAnsi="Wingdings"/>
      </w:rPr>
    </w:lvl>
    <w:lvl w:ilvl="4" w:tentative="0">
      <w:start w:val="1"/>
      <w:numFmt w:val="bullet"/>
      <w:lvlText w:val=""/>
      <w:lvlJc w:val="left"/>
      <w:pPr>
        <w:ind w:left="2680" w:hanging="440"/>
      </w:pPr>
      <w:rPr>
        <w:rFonts w:hint="default" w:ascii="Wingdings" w:hAnsi="Wingdings"/>
      </w:rPr>
    </w:lvl>
    <w:lvl w:ilvl="5" w:tentative="0">
      <w:start w:val="1"/>
      <w:numFmt w:val="bullet"/>
      <w:lvlText w:val=""/>
      <w:lvlJc w:val="left"/>
      <w:pPr>
        <w:ind w:left="3120" w:hanging="440"/>
      </w:pPr>
      <w:rPr>
        <w:rFonts w:hint="default" w:ascii="Wingdings" w:hAnsi="Wingdings"/>
      </w:rPr>
    </w:lvl>
    <w:lvl w:ilvl="6" w:tentative="0">
      <w:start w:val="1"/>
      <w:numFmt w:val="bullet"/>
      <w:lvlText w:val=""/>
      <w:lvlJc w:val="left"/>
      <w:pPr>
        <w:ind w:left="3560" w:hanging="440"/>
      </w:pPr>
      <w:rPr>
        <w:rFonts w:hint="default" w:ascii="Wingdings" w:hAnsi="Wingdings"/>
      </w:rPr>
    </w:lvl>
    <w:lvl w:ilvl="7" w:tentative="0">
      <w:start w:val="1"/>
      <w:numFmt w:val="bullet"/>
      <w:lvlText w:val=""/>
      <w:lvlJc w:val="left"/>
      <w:pPr>
        <w:ind w:left="4000" w:hanging="440"/>
      </w:pPr>
      <w:rPr>
        <w:rFonts w:hint="default" w:ascii="Wingdings" w:hAnsi="Wingdings"/>
      </w:rPr>
    </w:lvl>
    <w:lvl w:ilvl="8" w:tentative="0">
      <w:start w:val="1"/>
      <w:numFmt w:val="bullet"/>
      <w:lvlText w:val=""/>
      <w:lvlJc w:val="left"/>
      <w:pPr>
        <w:ind w:left="4440" w:hanging="440"/>
      </w:pPr>
      <w:rPr>
        <w:rFonts w:hint="default" w:ascii="Wingdings" w:hAnsi="Wingdings"/>
      </w:rPr>
    </w:lvl>
  </w:abstractNum>
  <w:abstractNum w:abstractNumId="9">
    <w:nsid w:val="1FE723D6"/>
    <w:multiLevelType w:val="multilevel"/>
    <w:tmpl w:val="1FE723D6"/>
    <w:lvl w:ilvl="0" w:tentative="0">
      <w:start w:val="1"/>
      <w:numFmt w:val="bullet"/>
      <w:lvlText w:val=""/>
      <w:lvlJc w:val="left"/>
      <w:pPr>
        <w:ind w:left="922" w:hanging="440"/>
      </w:pPr>
      <w:rPr>
        <w:rFonts w:hint="default" w:ascii="Wingdings" w:hAnsi="Wingdings"/>
      </w:rPr>
    </w:lvl>
    <w:lvl w:ilvl="1" w:tentative="0">
      <w:start w:val="1"/>
      <w:numFmt w:val="bullet"/>
      <w:lvlText w:val=""/>
      <w:lvlJc w:val="left"/>
      <w:pPr>
        <w:ind w:left="1362" w:hanging="440"/>
      </w:pPr>
      <w:rPr>
        <w:rFonts w:hint="default" w:ascii="Wingdings" w:hAnsi="Wingdings"/>
      </w:rPr>
    </w:lvl>
    <w:lvl w:ilvl="2" w:tentative="0">
      <w:start w:val="1"/>
      <w:numFmt w:val="bullet"/>
      <w:lvlText w:val=""/>
      <w:lvlJc w:val="left"/>
      <w:pPr>
        <w:ind w:left="1802" w:hanging="440"/>
      </w:pPr>
      <w:rPr>
        <w:rFonts w:hint="default" w:ascii="Wingdings" w:hAnsi="Wingdings"/>
      </w:rPr>
    </w:lvl>
    <w:lvl w:ilvl="3" w:tentative="0">
      <w:start w:val="1"/>
      <w:numFmt w:val="bullet"/>
      <w:lvlText w:val=""/>
      <w:lvlJc w:val="left"/>
      <w:pPr>
        <w:ind w:left="2242" w:hanging="440"/>
      </w:pPr>
      <w:rPr>
        <w:rFonts w:hint="default" w:ascii="Wingdings" w:hAnsi="Wingdings"/>
      </w:rPr>
    </w:lvl>
    <w:lvl w:ilvl="4" w:tentative="0">
      <w:start w:val="1"/>
      <w:numFmt w:val="bullet"/>
      <w:lvlText w:val=""/>
      <w:lvlJc w:val="left"/>
      <w:pPr>
        <w:ind w:left="2682" w:hanging="440"/>
      </w:pPr>
      <w:rPr>
        <w:rFonts w:hint="default" w:ascii="Wingdings" w:hAnsi="Wingdings"/>
      </w:rPr>
    </w:lvl>
    <w:lvl w:ilvl="5" w:tentative="0">
      <w:start w:val="1"/>
      <w:numFmt w:val="bullet"/>
      <w:lvlText w:val=""/>
      <w:lvlJc w:val="left"/>
      <w:pPr>
        <w:ind w:left="3122" w:hanging="440"/>
      </w:pPr>
      <w:rPr>
        <w:rFonts w:hint="default" w:ascii="Wingdings" w:hAnsi="Wingdings"/>
      </w:rPr>
    </w:lvl>
    <w:lvl w:ilvl="6" w:tentative="0">
      <w:start w:val="1"/>
      <w:numFmt w:val="bullet"/>
      <w:lvlText w:val=""/>
      <w:lvlJc w:val="left"/>
      <w:pPr>
        <w:ind w:left="3562" w:hanging="440"/>
      </w:pPr>
      <w:rPr>
        <w:rFonts w:hint="default" w:ascii="Wingdings" w:hAnsi="Wingdings"/>
      </w:rPr>
    </w:lvl>
    <w:lvl w:ilvl="7" w:tentative="0">
      <w:start w:val="1"/>
      <w:numFmt w:val="bullet"/>
      <w:lvlText w:val=""/>
      <w:lvlJc w:val="left"/>
      <w:pPr>
        <w:ind w:left="4002" w:hanging="440"/>
      </w:pPr>
      <w:rPr>
        <w:rFonts w:hint="default" w:ascii="Wingdings" w:hAnsi="Wingdings"/>
      </w:rPr>
    </w:lvl>
    <w:lvl w:ilvl="8" w:tentative="0">
      <w:start w:val="1"/>
      <w:numFmt w:val="bullet"/>
      <w:lvlText w:val=""/>
      <w:lvlJc w:val="left"/>
      <w:pPr>
        <w:ind w:left="4442" w:hanging="440"/>
      </w:pPr>
      <w:rPr>
        <w:rFonts w:hint="default" w:ascii="Wingdings" w:hAnsi="Wingdings"/>
      </w:rPr>
    </w:lvl>
  </w:abstractNum>
  <w:abstractNum w:abstractNumId="10">
    <w:nsid w:val="20B903DD"/>
    <w:multiLevelType w:val="multilevel"/>
    <w:tmpl w:val="20B903DD"/>
    <w:lvl w:ilvl="0" w:tentative="0">
      <w:start w:val="1"/>
      <w:numFmt w:val="decimal"/>
      <w:suff w:val="nothing"/>
      <w:lvlText w:val="%1"/>
      <w:lvlJc w:val="left"/>
      <w:pPr>
        <w:ind w:left="561"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2C3B3A69"/>
    <w:multiLevelType w:val="multilevel"/>
    <w:tmpl w:val="2C3B3A69"/>
    <w:lvl w:ilvl="0" w:tentative="0">
      <w:start w:val="1"/>
      <w:numFmt w:val="decimal"/>
      <w:suff w:val="space"/>
      <w:lvlText w:val="%1"/>
      <w:lvlJc w:val="left"/>
      <w:pPr>
        <w:ind w:left="440" w:hanging="440"/>
      </w:p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2">
    <w:nsid w:val="2DDF0863"/>
    <w:multiLevelType w:val="multilevel"/>
    <w:tmpl w:val="2DDF0863"/>
    <w:lvl w:ilvl="0" w:tentative="0">
      <w:start w:val="1"/>
      <w:numFmt w:val="decimal"/>
      <w:suff w:val="nothing"/>
      <w:lvlText w:val="（%1）"/>
      <w:lvlJc w:val="left"/>
      <w:pPr>
        <w:ind w:left="1202" w:hanging="720"/>
      </w:pPr>
      <w:rPr>
        <w:rFonts w:hint="default" w:cs="Times New Roman"/>
        <w:b w:val="0"/>
        <w:bCs/>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3">
    <w:nsid w:val="30917736"/>
    <w:multiLevelType w:val="multilevel"/>
    <w:tmpl w:val="30917736"/>
    <w:lvl w:ilvl="0" w:tentative="0">
      <w:start w:val="1"/>
      <w:numFmt w:val="decimal"/>
      <w:suff w:val="nothing"/>
      <w:lvlText w:val="（%1）"/>
      <w:lvlJc w:val="left"/>
      <w:pPr>
        <w:ind w:left="0" w:firstLine="0"/>
      </w:pPr>
      <w:rPr>
        <w:rFonts w:hint="default"/>
        <w:color w:val="auto"/>
        <w:sz w:val="24"/>
        <w:szCs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4">
    <w:nsid w:val="3BC435A4"/>
    <w:multiLevelType w:val="singleLevel"/>
    <w:tmpl w:val="3BC435A4"/>
    <w:lvl w:ilvl="0" w:tentative="0">
      <w:start w:val="1"/>
      <w:numFmt w:val="decimal"/>
      <w:suff w:val="nothing"/>
      <w:lvlText w:val="%1"/>
      <w:lvlJc w:val="left"/>
      <w:pPr>
        <w:tabs>
          <w:tab w:val="left" w:pos="0"/>
        </w:tabs>
        <w:ind w:left="454" w:hanging="454"/>
      </w:pPr>
      <w:rPr>
        <w:rFonts w:hint="default"/>
      </w:rPr>
    </w:lvl>
  </w:abstractNum>
  <w:abstractNum w:abstractNumId="15">
    <w:nsid w:val="3D1E730A"/>
    <w:multiLevelType w:val="multilevel"/>
    <w:tmpl w:val="3D1E730A"/>
    <w:lvl w:ilvl="0" w:tentative="0">
      <w:start w:val="1"/>
      <w:numFmt w:val="decimal"/>
      <w:suff w:val="nothing"/>
      <w:lvlText w:val="（%1）"/>
      <w:lvlJc w:val="left"/>
      <w:pPr>
        <w:ind w:left="0" w:firstLine="0"/>
      </w:pPr>
      <w:rPr>
        <w:rFonts w:hint="default"/>
        <w:b w:val="0"/>
        <w:color w:val="auto"/>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3D1EF053"/>
    <w:multiLevelType w:val="singleLevel"/>
    <w:tmpl w:val="3D1EF053"/>
    <w:lvl w:ilvl="0" w:tentative="0">
      <w:start w:val="1"/>
      <w:numFmt w:val="decimal"/>
      <w:suff w:val="nothing"/>
      <w:lvlText w:val="（%1）"/>
      <w:lvlJc w:val="left"/>
    </w:lvl>
  </w:abstractNum>
  <w:abstractNum w:abstractNumId="17">
    <w:nsid w:val="3FDC1C60"/>
    <w:multiLevelType w:val="multilevel"/>
    <w:tmpl w:val="3FDC1C60"/>
    <w:lvl w:ilvl="0" w:tentative="0">
      <w:start w:val="1"/>
      <w:numFmt w:val="decimal"/>
      <w:suff w:val="nothing"/>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8">
    <w:nsid w:val="41118D79"/>
    <w:multiLevelType w:val="multilevel"/>
    <w:tmpl w:val="41118D79"/>
    <w:lvl w:ilvl="0" w:tentative="0">
      <w:start w:val="1"/>
      <w:numFmt w:val="bullet"/>
      <w:lvlText w:val=""/>
      <w:lvlJc w:val="left"/>
      <w:pPr>
        <w:ind w:left="922" w:hanging="440"/>
      </w:pPr>
      <w:rPr>
        <w:rFonts w:hint="default" w:ascii="Wingdings" w:hAnsi="Wingdings" w:cs="Wingdings"/>
      </w:rPr>
    </w:lvl>
    <w:lvl w:ilvl="1" w:tentative="0">
      <w:start w:val="1"/>
      <w:numFmt w:val="bullet"/>
      <w:lvlText w:val=""/>
      <w:lvlJc w:val="left"/>
      <w:pPr>
        <w:ind w:left="1362" w:hanging="440"/>
      </w:pPr>
      <w:rPr>
        <w:rFonts w:hint="default" w:ascii="Wingdings" w:hAnsi="Wingdings" w:cs="Wingdings"/>
      </w:rPr>
    </w:lvl>
    <w:lvl w:ilvl="2" w:tentative="0">
      <w:start w:val="1"/>
      <w:numFmt w:val="bullet"/>
      <w:lvlText w:val=""/>
      <w:lvlJc w:val="left"/>
      <w:pPr>
        <w:ind w:left="1802" w:hanging="440"/>
      </w:pPr>
      <w:rPr>
        <w:rFonts w:hint="default" w:ascii="Wingdings" w:hAnsi="Wingdings" w:cs="Wingdings"/>
      </w:rPr>
    </w:lvl>
    <w:lvl w:ilvl="3" w:tentative="0">
      <w:start w:val="1"/>
      <w:numFmt w:val="bullet"/>
      <w:lvlText w:val=""/>
      <w:lvlJc w:val="left"/>
      <w:pPr>
        <w:ind w:left="2242" w:hanging="440"/>
      </w:pPr>
      <w:rPr>
        <w:rFonts w:hint="default" w:ascii="Wingdings" w:hAnsi="Wingdings" w:cs="Wingdings"/>
      </w:rPr>
    </w:lvl>
    <w:lvl w:ilvl="4" w:tentative="0">
      <w:start w:val="1"/>
      <w:numFmt w:val="bullet"/>
      <w:lvlText w:val=""/>
      <w:lvlJc w:val="left"/>
      <w:pPr>
        <w:ind w:left="2682" w:hanging="440"/>
      </w:pPr>
      <w:rPr>
        <w:rFonts w:hint="default" w:ascii="Wingdings" w:hAnsi="Wingdings" w:cs="Wingdings"/>
      </w:rPr>
    </w:lvl>
    <w:lvl w:ilvl="5" w:tentative="0">
      <w:start w:val="1"/>
      <w:numFmt w:val="bullet"/>
      <w:lvlText w:val=""/>
      <w:lvlJc w:val="left"/>
      <w:pPr>
        <w:ind w:left="3122" w:hanging="440"/>
      </w:pPr>
      <w:rPr>
        <w:rFonts w:hint="default" w:ascii="Wingdings" w:hAnsi="Wingdings" w:cs="Wingdings"/>
      </w:rPr>
    </w:lvl>
    <w:lvl w:ilvl="6" w:tentative="0">
      <w:start w:val="1"/>
      <w:numFmt w:val="bullet"/>
      <w:lvlText w:val=""/>
      <w:lvlJc w:val="left"/>
      <w:pPr>
        <w:ind w:left="3562" w:hanging="440"/>
      </w:pPr>
      <w:rPr>
        <w:rFonts w:hint="default" w:ascii="Wingdings" w:hAnsi="Wingdings" w:cs="Wingdings"/>
      </w:rPr>
    </w:lvl>
    <w:lvl w:ilvl="7" w:tentative="0">
      <w:start w:val="1"/>
      <w:numFmt w:val="bullet"/>
      <w:lvlText w:val=""/>
      <w:lvlJc w:val="left"/>
      <w:pPr>
        <w:ind w:left="4002" w:hanging="440"/>
      </w:pPr>
      <w:rPr>
        <w:rFonts w:hint="default" w:ascii="Wingdings" w:hAnsi="Wingdings" w:cs="Wingdings"/>
      </w:rPr>
    </w:lvl>
    <w:lvl w:ilvl="8" w:tentative="0">
      <w:start w:val="1"/>
      <w:numFmt w:val="bullet"/>
      <w:lvlText w:val=""/>
      <w:lvlJc w:val="left"/>
      <w:pPr>
        <w:ind w:left="4442" w:hanging="440"/>
      </w:pPr>
      <w:rPr>
        <w:rFonts w:hint="default" w:ascii="Wingdings" w:hAnsi="Wingdings" w:cs="Wingdings"/>
      </w:rPr>
    </w:lvl>
  </w:abstractNum>
  <w:abstractNum w:abstractNumId="19">
    <w:nsid w:val="433E5D13"/>
    <w:multiLevelType w:val="multilevel"/>
    <w:tmpl w:val="433E5D13"/>
    <w:lvl w:ilvl="0" w:tentative="0">
      <w:start w:val="1"/>
      <w:numFmt w:val="decimal"/>
      <w:suff w:val="nothing"/>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0">
    <w:nsid w:val="4DA8459E"/>
    <w:multiLevelType w:val="multilevel"/>
    <w:tmpl w:val="4DA8459E"/>
    <w:lvl w:ilvl="0" w:tentative="0">
      <w:start w:val="1"/>
      <w:numFmt w:val="decimal"/>
      <w:suff w:val="space"/>
      <w:lvlText w:val="%1"/>
      <w:lvlJc w:val="left"/>
      <w:pPr>
        <w:ind w:left="440" w:hanging="440"/>
      </w:p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1">
    <w:nsid w:val="55153FA9"/>
    <w:multiLevelType w:val="multilevel"/>
    <w:tmpl w:val="55153FA9"/>
    <w:lvl w:ilvl="0" w:tentative="0">
      <w:start w:val="1"/>
      <w:numFmt w:val="decimal"/>
      <w:suff w:val="nothing"/>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2">
    <w:nsid w:val="5562571B"/>
    <w:multiLevelType w:val="multilevel"/>
    <w:tmpl w:val="5562571B"/>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65FB2273"/>
    <w:multiLevelType w:val="multilevel"/>
    <w:tmpl w:val="65FB2273"/>
    <w:lvl w:ilvl="0" w:tentative="0">
      <w:start w:val="1"/>
      <w:numFmt w:val="decimal"/>
      <w:suff w:val="nothing"/>
      <w:lvlText w:val="（%1）"/>
      <w:lvlJc w:val="left"/>
      <w:pPr>
        <w:ind w:left="0" w:firstLine="0"/>
      </w:pPr>
      <w:rPr>
        <w:rFonts w:hint="default"/>
        <w:color w:val="auto"/>
        <w:sz w:val="24"/>
        <w:szCs w:val="24"/>
        <w:lang w:val="en-US"/>
      </w:rPr>
    </w:lvl>
    <w:lvl w:ilvl="1" w:tentative="0">
      <w:start w:val="1"/>
      <w:numFmt w:val="lowerLetter"/>
      <w:lvlText w:val="%2)"/>
      <w:lvlJc w:val="left"/>
      <w:pPr>
        <w:tabs>
          <w:tab w:val="left" w:pos="1322"/>
        </w:tabs>
        <w:ind w:left="1322" w:hanging="420"/>
      </w:pPr>
    </w:lvl>
    <w:lvl w:ilvl="2" w:tentative="0">
      <w:start w:val="1"/>
      <w:numFmt w:val="lowerRoman"/>
      <w:lvlText w:val="%3."/>
      <w:lvlJc w:val="right"/>
      <w:pPr>
        <w:tabs>
          <w:tab w:val="left" w:pos="1742"/>
        </w:tabs>
        <w:ind w:left="1742" w:hanging="420"/>
      </w:pPr>
    </w:lvl>
    <w:lvl w:ilvl="3" w:tentative="0">
      <w:start w:val="1"/>
      <w:numFmt w:val="decimal"/>
      <w:lvlText w:val="%4."/>
      <w:lvlJc w:val="left"/>
      <w:pPr>
        <w:tabs>
          <w:tab w:val="left" w:pos="2162"/>
        </w:tabs>
        <w:ind w:left="2162" w:hanging="420"/>
      </w:pPr>
    </w:lvl>
    <w:lvl w:ilvl="4" w:tentative="0">
      <w:start w:val="1"/>
      <w:numFmt w:val="lowerLetter"/>
      <w:lvlText w:val="%5)"/>
      <w:lvlJc w:val="left"/>
      <w:pPr>
        <w:tabs>
          <w:tab w:val="left" w:pos="2582"/>
        </w:tabs>
        <w:ind w:left="2582" w:hanging="420"/>
      </w:pPr>
    </w:lvl>
    <w:lvl w:ilvl="5" w:tentative="0">
      <w:start w:val="1"/>
      <w:numFmt w:val="lowerRoman"/>
      <w:lvlText w:val="%6."/>
      <w:lvlJc w:val="right"/>
      <w:pPr>
        <w:tabs>
          <w:tab w:val="left" w:pos="3002"/>
        </w:tabs>
        <w:ind w:left="3002" w:hanging="420"/>
      </w:pPr>
    </w:lvl>
    <w:lvl w:ilvl="6" w:tentative="0">
      <w:start w:val="1"/>
      <w:numFmt w:val="decimal"/>
      <w:lvlText w:val="%7."/>
      <w:lvlJc w:val="left"/>
      <w:pPr>
        <w:tabs>
          <w:tab w:val="left" w:pos="3422"/>
        </w:tabs>
        <w:ind w:left="3422" w:hanging="420"/>
      </w:pPr>
    </w:lvl>
    <w:lvl w:ilvl="7" w:tentative="0">
      <w:start w:val="1"/>
      <w:numFmt w:val="lowerLetter"/>
      <w:lvlText w:val="%8)"/>
      <w:lvlJc w:val="left"/>
      <w:pPr>
        <w:tabs>
          <w:tab w:val="left" w:pos="3842"/>
        </w:tabs>
        <w:ind w:left="3842" w:hanging="420"/>
      </w:pPr>
    </w:lvl>
    <w:lvl w:ilvl="8" w:tentative="0">
      <w:start w:val="1"/>
      <w:numFmt w:val="lowerRoman"/>
      <w:lvlText w:val="%9."/>
      <w:lvlJc w:val="right"/>
      <w:pPr>
        <w:tabs>
          <w:tab w:val="left" w:pos="4262"/>
        </w:tabs>
        <w:ind w:left="4262" w:hanging="420"/>
      </w:pPr>
    </w:lvl>
  </w:abstractNum>
  <w:num w:numId="1">
    <w:abstractNumId w:val="2"/>
  </w:num>
  <w:num w:numId="2">
    <w:abstractNumId w:val="23"/>
  </w:num>
  <w:num w:numId="3">
    <w:abstractNumId w:val="13"/>
  </w:num>
  <w:num w:numId="4">
    <w:abstractNumId w:val="6"/>
  </w:num>
  <w:num w:numId="5">
    <w:abstractNumId w:val="15"/>
  </w:num>
  <w:num w:numId="6">
    <w:abstractNumId w:val="10"/>
  </w:num>
  <w:num w:numId="7">
    <w:abstractNumId w:val="21"/>
  </w:num>
  <w:num w:numId="8">
    <w:abstractNumId w:val="14"/>
  </w:num>
  <w:num w:numId="9">
    <w:abstractNumId w:val="19"/>
  </w:num>
  <w:num w:numId="10">
    <w:abstractNumId w:val="5"/>
  </w:num>
  <w:num w:numId="11">
    <w:abstractNumId w:val="17"/>
  </w:num>
  <w:num w:numId="12">
    <w:abstractNumId w:val="16"/>
  </w:num>
  <w:num w:numId="13">
    <w:abstractNumId w:val="9"/>
  </w:num>
  <w:num w:numId="14">
    <w:abstractNumId w:val="1"/>
  </w:num>
  <w:num w:numId="15">
    <w:abstractNumId w:val="3"/>
  </w:num>
  <w:num w:numId="16">
    <w:abstractNumId w:val="18"/>
  </w:num>
  <w:num w:numId="17">
    <w:abstractNumId w:val="20"/>
  </w:num>
  <w:num w:numId="18">
    <w:abstractNumId w:val="11"/>
  </w:num>
  <w:num w:numId="19">
    <w:abstractNumId w:val="0"/>
  </w:num>
  <w:num w:numId="20">
    <w:abstractNumId w:val="22"/>
  </w:num>
  <w:num w:numId="21">
    <w:abstractNumId w:val="4"/>
  </w:num>
  <w:num w:numId="22">
    <w:abstractNumId w:val="7"/>
  </w:num>
  <w:num w:numId="23">
    <w:abstractNumId w:val="8"/>
  </w:num>
  <w:num w:numId="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MwYzAyYjk1M2ZhYmFjYmMyYWRiNzEzYTAzYTIwYTkifQ=="/>
  </w:docVars>
  <w:rsids>
    <w:rsidRoot w:val="00172A27"/>
    <w:rsid w:val="0000260E"/>
    <w:rsid w:val="000032D1"/>
    <w:rsid w:val="00003656"/>
    <w:rsid w:val="00012023"/>
    <w:rsid w:val="000167BE"/>
    <w:rsid w:val="00016EB3"/>
    <w:rsid w:val="000176F4"/>
    <w:rsid w:val="0002213D"/>
    <w:rsid w:val="00022228"/>
    <w:rsid w:val="00026F57"/>
    <w:rsid w:val="000300C5"/>
    <w:rsid w:val="000318DA"/>
    <w:rsid w:val="00033335"/>
    <w:rsid w:val="00033745"/>
    <w:rsid w:val="0003443A"/>
    <w:rsid w:val="00036068"/>
    <w:rsid w:val="00040AE8"/>
    <w:rsid w:val="00042666"/>
    <w:rsid w:val="000443D1"/>
    <w:rsid w:val="0005273F"/>
    <w:rsid w:val="000537EA"/>
    <w:rsid w:val="00053E22"/>
    <w:rsid w:val="00056118"/>
    <w:rsid w:val="00061CA8"/>
    <w:rsid w:val="000628B4"/>
    <w:rsid w:val="0006757B"/>
    <w:rsid w:val="00072FEB"/>
    <w:rsid w:val="00075495"/>
    <w:rsid w:val="00075CC2"/>
    <w:rsid w:val="00077A24"/>
    <w:rsid w:val="00077ADB"/>
    <w:rsid w:val="00082652"/>
    <w:rsid w:val="000841F0"/>
    <w:rsid w:val="000901F1"/>
    <w:rsid w:val="00091AA7"/>
    <w:rsid w:val="000A0204"/>
    <w:rsid w:val="000A1302"/>
    <w:rsid w:val="000A2010"/>
    <w:rsid w:val="000A2C3B"/>
    <w:rsid w:val="000A4D57"/>
    <w:rsid w:val="000A7707"/>
    <w:rsid w:val="000B01F8"/>
    <w:rsid w:val="000B18ED"/>
    <w:rsid w:val="000B1D4E"/>
    <w:rsid w:val="000B5830"/>
    <w:rsid w:val="000C1EEE"/>
    <w:rsid w:val="000C3211"/>
    <w:rsid w:val="000C3B2C"/>
    <w:rsid w:val="000D0C3C"/>
    <w:rsid w:val="000D2DF7"/>
    <w:rsid w:val="000E005F"/>
    <w:rsid w:val="000E1559"/>
    <w:rsid w:val="000E1819"/>
    <w:rsid w:val="000E38CF"/>
    <w:rsid w:val="000E48CD"/>
    <w:rsid w:val="000E62DB"/>
    <w:rsid w:val="000E6A4E"/>
    <w:rsid w:val="000E6C31"/>
    <w:rsid w:val="000F1ECD"/>
    <w:rsid w:val="000F4DAD"/>
    <w:rsid w:val="000F76B1"/>
    <w:rsid w:val="00100CF4"/>
    <w:rsid w:val="00102A6C"/>
    <w:rsid w:val="001100EC"/>
    <w:rsid w:val="00110294"/>
    <w:rsid w:val="001103FC"/>
    <w:rsid w:val="00114C19"/>
    <w:rsid w:val="00115768"/>
    <w:rsid w:val="00122645"/>
    <w:rsid w:val="0012457F"/>
    <w:rsid w:val="001255E1"/>
    <w:rsid w:val="001273B4"/>
    <w:rsid w:val="00127B3C"/>
    <w:rsid w:val="00134556"/>
    <w:rsid w:val="00141127"/>
    <w:rsid w:val="00141942"/>
    <w:rsid w:val="00147E8A"/>
    <w:rsid w:val="00154598"/>
    <w:rsid w:val="00164632"/>
    <w:rsid w:val="00170786"/>
    <w:rsid w:val="00171E30"/>
    <w:rsid w:val="00172A27"/>
    <w:rsid w:val="00176989"/>
    <w:rsid w:val="00176BDF"/>
    <w:rsid w:val="00176C0D"/>
    <w:rsid w:val="00177637"/>
    <w:rsid w:val="0018165B"/>
    <w:rsid w:val="00184DAE"/>
    <w:rsid w:val="00185BE6"/>
    <w:rsid w:val="00186E77"/>
    <w:rsid w:val="001945A1"/>
    <w:rsid w:val="00194704"/>
    <w:rsid w:val="00194834"/>
    <w:rsid w:val="00195F73"/>
    <w:rsid w:val="001A0190"/>
    <w:rsid w:val="001A34AF"/>
    <w:rsid w:val="001A3A1E"/>
    <w:rsid w:val="001A3D6F"/>
    <w:rsid w:val="001A7ACE"/>
    <w:rsid w:val="001B0549"/>
    <w:rsid w:val="001B678D"/>
    <w:rsid w:val="001C173E"/>
    <w:rsid w:val="001C60C2"/>
    <w:rsid w:val="001D0B63"/>
    <w:rsid w:val="001D3BEC"/>
    <w:rsid w:val="001D3F1C"/>
    <w:rsid w:val="001D4AF7"/>
    <w:rsid w:val="001E0282"/>
    <w:rsid w:val="001E1054"/>
    <w:rsid w:val="001E2034"/>
    <w:rsid w:val="001E2D3A"/>
    <w:rsid w:val="001E2F6D"/>
    <w:rsid w:val="001E4C2A"/>
    <w:rsid w:val="001E4E94"/>
    <w:rsid w:val="001E5652"/>
    <w:rsid w:val="001F09B3"/>
    <w:rsid w:val="001F1351"/>
    <w:rsid w:val="001F2133"/>
    <w:rsid w:val="001F39AC"/>
    <w:rsid w:val="001F3C9A"/>
    <w:rsid w:val="0020172F"/>
    <w:rsid w:val="002040B8"/>
    <w:rsid w:val="00207CCD"/>
    <w:rsid w:val="00207E05"/>
    <w:rsid w:val="002117EE"/>
    <w:rsid w:val="00212E9C"/>
    <w:rsid w:val="0021313A"/>
    <w:rsid w:val="0021532D"/>
    <w:rsid w:val="00216A1A"/>
    <w:rsid w:val="002172CC"/>
    <w:rsid w:val="00221EE2"/>
    <w:rsid w:val="002331C0"/>
    <w:rsid w:val="00234AA2"/>
    <w:rsid w:val="00234DEF"/>
    <w:rsid w:val="0023685A"/>
    <w:rsid w:val="002372AE"/>
    <w:rsid w:val="00237AD3"/>
    <w:rsid w:val="00237EF2"/>
    <w:rsid w:val="00242A00"/>
    <w:rsid w:val="00242B5C"/>
    <w:rsid w:val="00244159"/>
    <w:rsid w:val="00247AEA"/>
    <w:rsid w:val="00247D47"/>
    <w:rsid w:val="00250DE2"/>
    <w:rsid w:val="002512C6"/>
    <w:rsid w:val="00251A95"/>
    <w:rsid w:val="00257EDD"/>
    <w:rsid w:val="00262E78"/>
    <w:rsid w:val="002651EB"/>
    <w:rsid w:val="00266F20"/>
    <w:rsid w:val="002757E6"/>
    <w:rsid w:val="00275F5C"/>
    <w:rsid w:val="00280A62"/>
    <w:rsid w:val="0028176A"/>
    <w:rsid w:val="00281B23"/>
    <w:rsid w:val="00281F5D"/>
    <w:rsid w:val="00286477"/>
    <w:rsid w:val="002906FC"/>
    <w:rsid w:val="002925EC"/>
    <w:rsid w:val="0029415E"/>
    <w:rsid w:val="00295182"/>
    <w:rsid w:val="002A2AEC"/>
    <w:rsid w:val="002A3870"/>
    <w:rsid w:val="002A38BD"/>
    <w:rsid w:val="002A6AA8"/>
    <w:rsid w:val="002B091F"/>
    <w:rsid w:val="002B2731"/>
    <w:rsid w:val="002B4C7D"/>
    <w:rsid w:val="002B5650"/>
    <w:rsid w:val="002B5926"/>
    <w:rsid w:val="002B6309"/>
    <w:rsid w:val="002B73EB"/>
    <w:rsid w:val="002C195C"/>
    <w:rsid w:val="002D3E14"/>
    <w:rsid w:val="002D50CA"/>
    <w:rsid w:val="002D556F"/>
    <w:rsid w:val="002E5B31"/>
    <w:rsid w:val="002F02CE"/>
    <w:rsid w:val="002F16E1"/>
    <w:rsid w:val="002F22E4"/>
    <w:rsid w:val="002F5647"/>
    <w:rsid w:val="002F698F"/>
    <w:rsid w:val="0030195F"/>
    <w:rsid w:val="00302F44"/>
    <w:rsid w:val="00302FCE"/>
    <w:rsid w:val="00304D4C"/>
    <w:rsid w:val="00311365"/>
    <w:rsid w:val="0031297B"/>
    <w:rsid w:val="00314E1E"/>
    <w:rsid w:val="00321075"/>
    <w:rsid w:val="00324222"/>
    <w:rsid w:val="0032670D"/>
    <w:rsid w:val="00331296"/>
    <w:rsid w:val="003334BC"/>
    <w:rsid w:val="00337A2C"/>
    <w:rsid w:val="00341AC5"/>
    <w:rsid w:val="00343776"/>
    <w:rsid w:val="0034545F"/>
    <w:rsid w:val="0034551C"/>
    <w:rsid w:val="00347E33"/>
    <w:rsid w:val="00350430"/>
    <w:rsid w:val="00350C9F"/>
    <w:rsid w:val="0035120E"/>
    <w:rsid w:val="00351A33"/>
    <w:rsid w:val="00355E2F"/>
    <w:rsid w:val="0035781C"/>
    <w:rsid w:val="00357C33"/>
    <w:rsid w:val="003616B6"/>
    <w:rsid w:val="00361D22"/>
    <w:rsid w:val="00363251"/>
    <w:rsid w:val="003635DB"/>
    <w:rsid w:val="00365E48"/>
    <w:rsid w:val="003719E2"/>
    <w:rsid w:val="00373D64"/>
    <w:rsid w:val="003759A8"/>
    <w:rsid w:val="003759BC"/>
    <w:rsid w:val="00377971"/>
    <w:rsid w:val="00384E6C"/>
    <w:rsid w:val="003850CF"/>
    <w:rsid w:val="00397A8C"/>
    <w:rsid w:val="00397D25"/>
    <w:rsid w:val="003A288C"/>
    <w:rsid w:val="003A3C63"/>
    <w:rsid w:val="003B1C88"/>
    <w:rsid w:val="003B221B"/>
    <w:rsid w:val="003B7B60"/>
    <w:rsid w:val="003C19CF"/>
    <w:rsid w:val="003C2012"/>
    <w:rsid w:val="003C3091"/>
    <w:rsid w:val="003C57CF"/>
    <w:rsid w:val="003C5FBB"/>
    <w:rsid w:val="003C6FF3"/>
    <w:rsid w:val="003D08E6"/>
    <w:rsid w:val="003D2024"/>
    <w:rsid w:val="003D45EA"/>
    <w:rsid w:val="003D49DE"/>
    <w:rsid w:val="003E4EF2"/>
    <w:rsid w:val="003F102A"/>
    <w:rsid w:val="003F2CBC"/>
    <w:rsid w:val="003F2D96"/>
    <w:rsid w:val="003F3038"/>
    <w:rsid w:val="003F3EE9"/>
    <w:rsid w:val="003F6DFC"/>
    <w:rsid w:val="00403F4B"/>
    <w:rsid w:val="004044A6"/>
    <w:rsid w:val="0040602C"/>
    <w:rsid w:val="00410543"/>
    <w:rsid w:val="00410CC9"/>
    <w:rsid w:val="00412DC7"/>
    <w:rsid w:val="0041343C"/>
    <w:rsid w:val="00413C75"/>
    <w:rsid w:val="0041425A"/>
    <w:rsid w:val="004163EB"/>
    <w:rsid w:val="004211B0"/>
    <w:rsid w:val="00424487"/>
    <w:rsid w:val="00425500"/>
    <w:rsid w:val="004300BB"/>
    <w:rsid w:val="00432735"/>
    <w:rsid w:val="00432B45"/>
    <w:rsid w:val="00432FCB"/>
    <w:rsid w:val="004340F6"/>
    <w:rsid w:val="0043491E"/>
    <w:rsid w:val="00435D8E"/>
    <w:rsid w:val="00436776"/>
    <w:rsid w:val="00440E0E"/>
    <w:rsid w:val="00444B3A"/>
    <w:rsid w:val="004450FD"/>
    <w:rsid w:val="00446229"/>
    <w:rsid w:val="00446AFC"/>
    <w:rsid w:val="00450E3B"/>
    <w:rsid w:val="00454B82"/>
    <w:rsid w:val="00457CDD"/>
    <w:rsid w:val="0046051B"/>
    <w:rsid w:val="004606BF"/>
    <w:rsid w:val="00463207"/>
    <w:rsid w:val="0046510C"/>
    <w:rsid w:val="00467C1C"/>
    <w:rsid w:val="00471B2C"/>
    <w:rsid w:val="00475CB8"/>
    <w:rsid w:val="00476B13"/>
    <w:rsid w:val="00477B4C"/>
    <w:rsid w:val="00477CC6"/>
    <w:rsid w:val="0048218A"/>
    <w:rsid w:val="00487B00"/>
    <w:rsid w:val="00487CCD"/>
    <w:rsid w:val="00490AE3"/>
    <w:rsid w:val="00490D0C"/>
    <w:rsid w:val="00490E6A"/>
    <w:rsid w:val="00491087"/>
    <w:rsid w:val="00491CEA"/>
    <w:rsid w:val="00491D0B"/>
    <w:rsid w:val="004920B8"/>
    <w:rsid w:val="00492126"/>
    <w:rsid w:val="00493A97"/>
    <w:rsid w:val="004953E1"/>
    <w:rsid w:val="00495F1C"/>
    <w:rsid w:val="00497CFE"/>
    <w:rsid w:val="004A1319"/>
    <w:rsid w:val="004A24F0"/>
    <w:rsid w:val="004A736E"/>
    <w:rsid w:val="004A7DA9"/>
    <w:rsid w:val="004B24D4"/>
    <w:rsid w:val="004B27D2"/>
    <w:rsid w:val="004C095C"/>
    <w:rsid w:val="004C0D03"/>
    <w:rsid w:val="004D0170"/>
    <w:rsid w:val="004D0A19"/>
    <w:rsid w:val="004D1736"/>
    <w:rsid w:val="004D2044"/>
    <w:rsid w:val="004D55CB"/>
    <w:rsid w:val="004E41AE"/>
    <w:rsid w:val="004E44B6"/>
    <w:rsid w:val="004E4529"/>
    <w:rsid w:val="004E69C8"/>
    <w:rsid w:val="004E7628"/>
    <w:rsid w:val="004F1D49"/>
    <w:rsid w:val="00502AC8"/>
    <w:rsid w:val="00504388"/>
    <w:rsid w:val="00505EFB"/>
    <w:rsid w:val="00506264"/>
    <w:rsid w:val="00510F56"/>
    <w:rsid w:val="00511D54"/>
    <w:rsid w:val="005138DF"/>
    <w:rsid w:val="00515F6E"/>
    <w:rsid w:val="00516C1A"/>
    <w:rsid w:val="00517F03"/>
    <w:rsid w:val="005213F0"/>
    <w:rsid w:val="0052230F"/>
    <w:rsid w:val="00526BBF"/>
    <w:rsid w:val="005343F3"/>
    <w:rsid w:val="00534E47"/>
    <w:rsid w:val="00540FF4"/>
    <w:rsid w:val="005412BC"/>
    <w:rsid w:val="005418B6"/>
    <w:rsid w:val="005456E1"/>
    <w:rsid w:val="0054756F"/>
    <w:rsid w:val="00551288"/>
    <w:rsid w:val="00551771"/>
    <w:rsid w:val="00555B54"/>
    <w:rsid w:val="005578AE"/>
    <w:rsid w:val="0056329A"/>
    <w:rsid w:val="00565877"/>
    <w:rsid w:val="00566654"/>
    <w:rsid w:val="005761CB"/>
    <w:rsid w:val="00576504"/>
    <w:rsid w:val="005778AE"/>
    <w:rsid w:val="00580C3B"/>
    <w:rsid w:val="0058316D"/>
    <w:rsid w:val="0058755D"/>
    <w:rsid w:val="00596AD7"/>
    <w:rsid w:val="005A0D2B"/>
    <w:rsid w:val="005A68DD"/>
    <w:rsid w:val="005B0303"/>
    <w:rsid w:val="005B1B21"/>
    <w:rsid w:val="005B3BF1"/>
    <w:rsid w:val="005C236B"/>
    <w:rsid w:val="005C3E94"/>
    <w:rsid w:val="005C64BB"/>
    <w:rsid w:val="005D119B"/>
    <w:rsid w:val="005D4F7A"/>
    <w:rsid w:val="005D5285"/>
    <w:rsid w:val="005D5E65"/>
    <w:rsid w:val="005D75D9"/>
    <w:rsid w:val="005E1136"/>
    <w:rsid w:val="005E1721"/>
    <w:rsid w:val="005E2280"/>
    <w:rsid w:val="005E284B"/>
    <w:rsid w:val="005E2A81"/>
    <w:rsid w:val="005E582F"/>
    <w:rsid w:val="005F0B06"/>
    <w:rsid w:val="005F4AF4"/>
    <w:rsid w:val="005F4F54"/>
    <w:rsid w:val="005F6D34"/>
    <w:rsid w:val="005F766F"/>
    <w:rsid w:val="00605410"/>
    <w:rsid w:val="00606E51"/>
    <w:rsid w:val="00607C4F"/>
    <w:rsid w:val="00611B34"/>
    <w:rsid w:val="006123E0"/>
    <w:rsid w:val="00612847"/>
    <w:rsid w:val="00615A07"/>
    <w:rsid w:val="00617408"/>
    <w:rsid w:val="006210F8"/>
    <w:rsid w:val="00621D6E"/>
    <w:rsid w:val="006264E9"/>
    <w:rsid w:val="00627588"/>
    <w:rsid w:val="0062794F"/>
    <w:rsid w:val="00630E1B"/>
    <w:rsid w:val="00631246"/>
    <w:rsid w:val="006318DB"/>
    <w:rsid w:val="00632038"/>
    <w:rsid w:val="006365D2"/>
    <w:rsid w:val="006423BC"/>
    <w:rsid w:val="0064440B"/>
    <w:rsid w:val="00647A63"/>
    <w:rsid w:val="00651FD1"/>
    <w:rsid w:val="00652B9E"/>
    <w:rsid w:val="00653FCB"/>
    <w:rsid w:val="00654C27"/>
    <w:rsid w:val="006556D6"/>
    <w:rsid w:val="00655F30"/>
    <w:rsid w:val="00656E12"/>
    <w:rsid w:val="00662DFB"/>
    <w:rsid w:val="00663194"/>
    <w:rsid w:val="00663B3A"/>
    <w:rsid w:val="006645B5"/>
    <w:rsid w:val="006658C5"/>
    <w:rsid w:val="00667F5A"/>
    <w:rsid w:val="00677344"/>
    <w:rsid w:val="006803D5"/>
    <w:rsid w:val="00680E7F"/>
    <w:rsid w:val="00680F00"/>
    <w:rsid w:val="006848FB"/>
    <w:rsid w:val="006968B0"/>
    <w:rsid w:val="00696CD8"/>
    <w:rsid w:val="006A11E0"/>
    <w:rsid w:val="006A1A79"/>
    <w:rsid w:val="006A33AB"/>
    <w:rsid w:val="006B469A"/>
    <w:rsid w:val="006B6CFC"/>
    <w:rsid w:val="006C46F1"/>
    <w:rsid w:val="006C7BA8"/>
    <w:rsid w:val="006D06B7"/>
    <w:rsid w:val="006D12CA"/>
    <w:rsid w:val="006D16BF"/>
    <w:rsid w:val="006D17F8"/>
    <w:rsid w:val="006E0B6C"/>
    <w:rsid w:val="006E63C5"/>
    <w:rsid w:val="006F4912"/>
    <w:rsid w:val="006F5AAD"/>
    <w:rsid w:val="006F6D53"/>
    <w:rsid w:val="0070176E"/>
    <w:rsid w:val="0070519A"/>
    <w:rsid w:val="00707056"/>
    <w:rsid w:val="00710B8D"/>
    <w:rsid w:val="0071556E"/>
    <w:rsid w:val="0072124D"/>
    <w:rsid w:val="00721CD9"/>
    <w:rsid w:val="00722EA3"/>
    <w:rsid w:val="00724249"/>
    <w:rsid w:val="00730312"/>
    <w:rsid w:val="00730582"/>
    <w:rsid w:val="00731006"/>
    <w:rsid w:val="00733804"/>
    <w:rsid w:val="0073518D"/>
    <w:rsid w:val="0074126E"/>
    <w:rsid w:val="0074464A"/>
    <w:rsid w:val="00744BB4"/>
    <w:rsid w:val="00744CD8"/>
    <w:rsid w:val="00747C8D"/>
    <w:rsid w:val="00753455"/>
    <w:rsid w:val="00757AF7"/>
    <w:rsid w:val="00771873"/>
    <w:rsid w:val="00772FBE"/>
    <w:rsid w:val="007759B0"/>
    <w:rsid w:val="007827BE"/>
    <w:rsid w:val="00783C3B"/>
    <w:rsid w:val="00784DD5"/>
    <w:rsid w:val="00790F8E"/>
    <w:rsid w:val="0079128E"/>
    <w:rsid w:val="0079269E"/>
    <w:rsid w:val="00792CD6"/>
    <w:rsid w:val="00795198"/>
    <w:rsid w:val="007966C9"/>
    <w:rsid w:val="007A4591"/>
    <w:rsid w:val="007A6333"/>
    <w:rsid w:val="007A6DDA"/>
    <w:rsid w:val="007B19BE"/>
    <w:rsid w:val="007B76E0"/>
    <w:rsid w:val="007C1383"/>
    <w:rsid w:val="007D1545"/>
    <w:rsid w:val="007D1DE5"/>
    <w:rsid w:val="007D21B0"/>
    <w:rsid w:val="007D3898"/>
    <w:rsid w:val="007D6B2F"/>
    <w:rsid w:val="007E1F40"/>
    <w:rsid w:val="007E34E0"/>
    <w:rsid w:val="007E3A13"/>
    <w:rsid w:val="007E3B0C"/>
    <w:rsid w:val="007E50B9"/>
    <w:rsid w:val="007E513D"/>
    <w:rsid w:val="007E655D"/>
    <w:rsid w:val="007E7CD2"/>
    <w:rsid w:val="007F29C0"/>
    <w:rsid w:val="007F5389"/>
    <w:rsid w:val="007F6614"/>
    <w:rsid w:val="007F796E"/>
    <w:rsid w:val="007F7A97"/>
    <w:rsid w:val="00805EFF"/>
    <w:rsid w:val="00815073"/>
    <w:rsid w:val="00816A92"/>
    <w:rsid w:val="00826205"/>
    <w:rsid w:val="00827B12"/>
    <w:rsid w:val="00830B9E"/>
    <w:rsid w:val="008358B5"/>
    <w:rsid w:val="00835BC3"/>
    <w:rsid w:val="0084389F"/>
    <w:rsid w:val="00846740"/>
    <w:rsid w:val="00847583"/>
    <w:rsid w:val="00847658"/>
    <w:rsid w:val="00850046"/>
    <w:rsid w:val="008517FE"/>
    <w:rsid w:val="00851890"/>
    <w:rsid w:val="00857E5F"/>
    <w:rsid w:val="00857F87"/>
    <w:rsid w:val="008602D7"/>
    <w:rsid w:val="0086376E"/>
    <w:rsid w:val="008638F4"/>
    <w:rsid w:val="00870B89"/>
    <w:rsid w:val="00872371"/>
    <w:rsid w:val="00874126"/>
    <w:rsid w:val="00875E60"/>
    <w:rsid w:val="008822A1"/>
    <w:rsid w:val="008854C2"/>
    <w:rsid w:val="00890482"/>
    <w:rsid w:val="0089098C"/>
    <w:rsid w:val="0089143B"/>
    <w:rsid w:val="00892B63"/>
    <w:rsid w:val="00895E14"/>
    <w:rsid w:val="00896141"/>
    <w:rsid w:val="008976A4"/>
    <w:rsid w:val="0089787A"/>
    <w:rsid w:val="008A0E4D"/>
    <w:rsid w:val="008A234A"/>
    <w:rsid w:val="008A29CE"/>
    <w:rsid w:val="008A5AD8"/>
    <w:rsid w:val="008B06C2"/>
    <w:rsid w:val="008B3B77"/>
    <w:rsid w:val="008B4F9C"/>
    <w:rsid w:val="008B5D90"/>
    <w:rsid w:val="008B7913"/>
    <w:rsid w:val="008C0AD7"/>
    <w:rsid w:val="008C1C07"/>
    <w:rsid w:val="008D0CDA"/>
    <w:rsid w:val="008D50BC"/>
    <w:rsid w:val="008D6BD8"/>
    <w:rsid w:val="008E41B2"/>
    <w:rsid w:val="008E41F4"/>
    <w:rsid w:val="008E5603"/>
    <w:rsid w:val="008F1185"/>
    <w:rsid w:val="008F1F90"/>
    <w:rsid w:val="008F46FC"/>
    <w:rsid w:val="008F4819"/>
    <w:rsid w:val="008F5C0E"/>
    <w:rsid w:val="00904B80"/>
    <w:rsid w:val="009079AC"/>
    <w:rsid w:val="00910364"/>
    <w:rsid w:val="00910A53"/>
    <w:rsid w:val="00913185"/>
    <w:rsid w:val="00916A07"/>
    <w:rsid w:val="0092208A"/>
    <w:rsid w:val="00924477"/>
    <w:rsid w:val="00926B24"/>
    <w:rsid w:val="009274B9"/>
    <w:rsid w:val="009276AD"/>
    <w:rsid w:val="00930E03"/>
    <w:rsid w:val="009325D0"/>
    <w:rsid w:val="00934F02"/>
    <w:rsid w:val="009366DF"/>
    <w:rsid w:val="00936B9A"/>
    <w:rsid w:val="009378EA"/>
    <w:rsid w:val="00947F35"/>
    <w:rsid w:val="00952E0E"/>
    <w:rsid w:val="00953942"/>
    <w:rsid w:val="00955943"/>
    <w:rsid w:val="00956CDC"/>
    <w:rsid w:val="0095773F"/>
    <w:rsid w:val="00962694"/>
    <w:rsid w:val="00964133"/>
    <w:rsid w:val="009645B5"/>
    <w:rsid w:val="00967C7E"/>
    <w:rsid w:val="00970642"/>
    <w:rsid w:val="009727A1"/>
    <w:rsid w:val="0097465D"/>
    <w:rsid w:val="00975E70"/>
    <w:rsid w:val="00984BF9"/>
    <w:rsid w:val="00987BF2"/>
    <w:rsid w:val="0099072B"/>
    <w:rsid w:val="00993661"/>
    <w:rsid w:val="00994CA4"/>
    <w:rsid w:val="00995B54"/>
    <w:rsid w:val="009A2C43"/>
    <w:rsid w:val="009B0FA6"/>
    <w:rsid w:val="009B13F1"/>
    <w:rsid w:val="009B23FE"/>
    <w:rsid w:val="009B3527"/>
    <w:rsid w:val="009B4671"/>
    <w:rsid w:val="009B5430"/>
    <w:rsid w:val="009C0C90"/>
    <w:rsid w:val="009C11FE"/>
    <w:rsid w:val="009C1D2D"/>
    <w:rsid w:val="009C3575"/>
    <w:rsid w:val="009C4B0A"/>
    <w:rsid w:val="009C67F3"/>
    <w:rsid w:val="009D4BBF"/>
    <w:rsid w:val="009D6994"/>
    <w:rsid w:val="009E0554"/>
    <w:rsid w:val="009E0639"/>
    <w:rsid w:val="009E19B8"/>
    <w:rsid w:val="009E2630"/>
    <w:rsid w:val="009E2E8E"/>
    <w:rsid w:val="009E4A73"/>
    <w:rsid w:val="009E519C"/>
    <w:rsid w:val="009E5589"/>
    <w:rsid w:val="009F0B92"/>
    <w:rsid w:val="009F3425"/>
    <w:rsid w:val="009F3A97"/>
    <w:rsid w:val="009F4A91"/>
    <w:rsid w:val="009F4DEE"/>
    <w:rsid w:val="009F580B"/>
    <w:rsid w:val="009F795D"/>
    <w:rsid w:val="009F7FBA"/>
    <w:rsid w:val="00A0257D"/>
    <w:rsid w:val="00A04349"/>
    <w:rsid w:val="00A05C02"/>
    <w:rsid w:val="00A123DE"/>
    <w:rsid w:val="00A143D9"/>
    <w:rsid w:val="00A147C1"/>
    <w:rsid w:val="00A148F7"/>
    <w:rsid w:val="00A17FE6"/>
    <w:rsid w:val="00A2002C"/>
    <w:rsid w:val="00A20C95"/>
    <w:rsid w:val="00A21614"/>
    <w:rsid w:val="00A2578C"/>
    <w:rsid w:val="00A2747B"/>
    <w:rsid w:val="00A30D64"/>
    <w:rsid w:val="00A31ABF"/>
    <w:rsid w:val="00A31E5E"/>
    <w:rsid w:val="00A32D2B"/>
    <w:rsid w:val="00A36041"/>
    <w:rsid w:val="00A36941"/>
    <w:rsid w:val="00A36C31"/>
    <w:rsid w:val="00A3783C"/>
    <w:rsid w:val="00A414A8"/>
    <w:rsid w:val="00A43827"/>
    <w:rsid w:val="00A446D0"/>
    <w:rsid w:val="00A474BD"/>
    <w:rsid w:val="00A60124"/>
    <w:rsid w:val="00A62595"/>
    <w:rsid w:val="00A64631"/>
    <w:rsid w:val="00A64675"/>
    <w:rsid w:val="00A70736"/>
    <w:rsid w:val="00A8023A"/>
    <w:rsid w:val="00A8039F"/>
    <w:rsid w:val="00A812A0"/>
    <w:rsid w:val="00A87602"/>
    <w:rsid w:val="00A91A25"/>
    <w:rsid w:val="00A9402D"/>
    <w:rsid w:val="00A94236"/>
    <w:rsid w:val="00A95A54"/>
    <w:rsid w:val="00A97A76"/>
    <w:rsid w:val="00AA084F"/>
    <w:rsid w:val="00AA0AFD"/>
    <w:rsid w:val="00AA270C"/>
    <w:rsid w:val="00AA399C"/>
    <w:rsid w:val="00AA404E"/>
    <w:rsid w:val="00AA4AC2"/>
    <w:rsid w:val="00AA7A6F"/>
    <w:rsid w:val="00AB1CA1"/>
    <w:rsid w:val="00AB2DB5"/>
    <w:rsid w:val="00AB3D1E"/>
    <w:rsid w:val="00AB49E2"/>
    <w:rsid w:val="00AB4AC2"/>
    <w:rsid w:val="00AB7238"/>
    <w:rsid w:val="00AB7D53"/>
    <w:rsid w:val="00AC112A"/>
    <w:rsid w:val="00AC4050"/>
    <w:rsid w:val="00AC6499"/>
    <w:rsid w:val="00AC678D"/>
    <w:rsid w:val="00AD0529"/>
    <w:rsid w:val="00AD12A2"/>
    <w:rsid w:val="00AD1779"/>
    <w:rsid w:val="00AD5689"/>
    <w:rsid w:val="00AD5CCA"/>
    <w:rsid w:val="00AE1B00"/>
    <w:rsid w:val="00AE6ADC"/>
    <w:rsid w:val="00AF08AB"/>
    <w:rsid w:val="00B03CA7"/>
    <w:rsid w:val="00B0690F"/>
    <w:rsid w:val="00B113E9"/>
    <w:rsid w:val="00B114DA"/>
    <w:rsid w:val="00B11CAE"/>
    <w:rsid w:val="00B13705"/>
    <w:rsid w:val="00B20771"/>
    <w:rsid w:val="00B22989"/>
    <w:rsid w:val="00B236F3"/>
    <w:rsid w:val="00B25722"/>
    <w:rsid w:val="00B26214"/>
    <w:rsid w:val="00B26C5D"/>
    <w:rsid w:val="00B3021F"/>
    <w:rsid w:val="00B33063"/>
    <w:rsid w:val="00B33F68"/>
    <w:rsid w:val="00B35BEE"/>
    <w:rsid w:val="00B374ED"/>
    <w:rsid w:val="00B37F18"/>
    <w:rsid w:val="00B4255C"/>
    <w:rsid w:val="00B44D1B"/>
    <w:rsid w:val="00B46D14"/>
    <w:rsid w:val="00B51DAE"/>
    <w:rsid w:val="00B53C6E"/>
    <w:rsid w:val="00B56062"/>
    <w:rsid w:val="00B57CE9"/>
    <w:rsid w:val="00B608AB"/>
    <w:rsid w:val="00B62023"/>
    <w:rsid w:val="00B62F12"/>
    <w:rsid w:val="00B63934"/>
    <w:rsid w:val="00B643B9"/>
    <w:rsid w:val="00B72DC1"/>
    <w:rsid w:val="00B73C38"/>
    <w:rsid w:val="00B774D9"/>
    <w:rsid w:val="00B77F61"/>
    <w:rsid w:val="00B82A11"/>
    <w:rsid w:val="00B866C9"/>
    <w:rsid w:val="00B86C18"/>
    <w:rsid w:val="00B87AAD"/>
    <w:rsid w:val="00B87DF6"/>
    <w:rsid w:val="00B9224B"/>
    <w:rsid w:val="00B94906"/>
    <w:rsid w:val="00B954DC"/>
    <w:rsid w:val="00B965B8"/>
    <w:rsid w:val="00BA07B6"/>
    <w:rsid w:val="00BA0AB3"/>
    <w:rsid w:val="00BA10A4"/>
    <w:rsid w:val="00BA16F7"/>
    <w:rsid w:val="00BA237F"/>
    <w:rsid w:val="00BA526F"/>
    <w:rsid w:val="00BB0F28"/>
    <w:rsid w:val="00BB122D"/>
    <w:rsid w:val="00BB27FF"/>
    <w:rsid w:val="00BB3089"/>
    <w:rsid w:val="00BB31CE"/>
    <w:rsid w:val="00BB442D"/>
    <w:rsid w:val="00BB59E1"/>
    <w:rsid w:val="00BC62CE"/>
    <w:rsid w:val="00BD00C0"/>
    <w:rsid w:val="00BD6880"/>
    <w:rsid w:val="00BD6900"/>
    <w:rsid w:val="00BD6FC9"/>
    <w:rsid w:val="00BE2C04"/>
    <w:rsid w:val="00BF555B"/>
    <w:rsid w:val="00C02945"/>
    <w:rsid w:val="00C058CC"/>
    <w:rsid w:val="00C06B45"/>
    <w:rsid w:val="00C07A84"/>
    <w:rsid w:val="00C10FA8"/>
    <w:rsid w:val="00C1128D"/>
    <w:rsid w:val="00C12FB9"/>
    <w:rsid w:val="00C1442E"/>
    <w:rsid w:val="00C15225"/>
    <w:rsid w:val="00C1760A"/>
    <w:rsid w:val="00C20EBF"/>
    <w:rsid w:val="00C20F92"/>
    <w:rsid w:val="00C22341"/>
    <w:rsid w:val="00C261B3"/>
    <w:rsid w:val="00C26506"/>
    <w:rsid w:val="00C30950"/>
    <w:rsid w:val="00C3534F"/>
    <w:rsid w:val="00C379A6"/>
    <w:rsid w:val="00C40FF8"/>
    <w:rsid w:val="00C41BE9"/>
    <w:rsid w:val="00C44846"/>
    <w:rsid w:val="00C466B8"/>
    <w:rsid w:val="00C50555"/>
    <w:rsid w:val="00C51D04"/>
    <w:rsid w:val="00C527B6"/>
    <w:rsid w:val="00C5648F"/>
    <w:rsid w:val="00C57F8A"/>
    <w:rsid w:val="00C613AF"/>
    <w:rsid w:val="00C61D69"/>
    <w:rsid w:val="00C63D8A"/>
    <w:rsid w:val="00C64191"/>
    <w:rsid w:val="00C65400"/>
    <w:rsid w:val="00C70F9B"/>
    <w:rsid w:val="00C743E7"/>
    <w:rsid w:val="00C74821"/>
    <w:rsid w:val="00C74D5A"/>
    <w:rsid w:val="00C82131"/>
    <w:rsid w:val="00C832DB"/>
    <w:rsid w:val="00C86C38"/>
    <w:rsid w:val="00C94AC2"/>
    <w:rsid w:val="00C969E4"/>
    <w:rsid w:val="00CA2133"/>
    <w:rsid w:val="00CA288C"/>
    <w:rsid w:val="00CA3214"/>
    <w:rsid w:val="00CA4E99"/>
    <w:rsid w:val="00CA5127"/>
    <w:rsid w:val="00CA5E94"/>
    <w:rsid w:val="00CA63AE"/>
    <w:rsid w:val="00CA6C6A"/>
    <w:rsid w:val="00CA7DDC"/>
    <w:rsid w:val="00CB14EE"/>
    <w:rsid w:val="00CB1DA9"/>
    <w:rsid w:val="00CB1EC4"/>
    <w:rsid w:val="00CB290C"/>
    <w:rsid w:val="00CC2C86"/>
    <w:rsid w:val="00CC2F3E"/>
    <w:rsid w:val="00CC359C"/>
    <w:rsid w:val="00CC69BE"/>
    <w:rsid w:val="00CD05D0"/>
    <w:rsid w:val="00CD1415"/>
    <w:rsid w:val="00CD2677"/>
    <w:rsid w:val="00CD2AE0"/>
    <w:rsid w:val="00CD37FF"/>
    <w:rsid w:val="00CD39FB"/>
    <w:rsid w:val="00CD621A"/>
    <w:rsid w:val="00CD689F"/>
    <w:rsid w:val="00CE140B"/>
    <w:rsid w:val="00CE3713"/>
    <w:rsid w:val="00CE510F"/>
    <w:rsid w:val="00CE548A"/>
    <w:rsid w:val="00CE5740"/>
    <w:rsid w:val="00CE6B46"/>
    <w:rsid w:val="00CF4834"/>
    <w:rsid w:val="00CF51D3"/>
    <w:rsid w:val="00D0494C"/>
    <w:rsid w:val="00D0665E"/>
    <w:rsid w:val="00D07555"/>
    <w:rsid w:val="00D10636"/>
    <w:rsid w:val="00D12C19"/>
    <w:rsid w:val="00D1461B"/>
    <w:rsid w:val="00D14C4B"/>
    <w:rsid w:val="00D15A14"/>
    <w:rsid w:val="00D17738"/>
    <w:rsid w:val="00D178B6"/>
    <w:rsid w:val="00D23B9F"/>
    <w:rsid w:val="00D23D44"/>
    <w:rsid w:val="00D25F19"/>
    <w:rsid w:val="00D3201E"/>
    <w:rsid w:val="00D32D50"/>
    <w:rsid w:val="00D33DFB"/>
    <w:rsid w:val="00D34961"/>
    <w:rsid w:val="00D34E69"/>
    <w:rsid w:val="00D42F32"/>
    <w:rsid w:val="00D50266"/>
    <w:rsid w:val="00D53BB0"/>
    <w:rsid w:val="00D563B7"/>
    <w:rsid w:val="00D664AF"/>
    <w:rsid w:val="00D664F6"/>
    <w:rsid w:val="00D66B1B"/>
    <w:rsid w:val="00D6711E"/>
    <w:rsid w:val="00D71C7D"/>
    <w:rsid w:val="00D73BC1"/>
    <w:rsid w:val="00D7749A"/>
    <w:rsid w:val="00D77992"/>
    <w:rsid w:val="00D82437"/>
    <w:rsid w:val="00D82B48"/>
    <w:rsid w:val="00D86570"/>
    <w:rsid w:val="00D92443"/>
    <w:rsid w:val="00D93623"/>
    <w:rsid w:val="00D94D0C"/>
    <w:rsid w:val="00D95C4C"/>
    <w:rsid w:val="00DA1E0D"/>
    <w:rsid w:val="00DA7B50"/>
    <w:rsid w:val="00DB01BD"/>
    <w:rsid w:val="00DB1CFE"/>
    <w:rsid w:val="00DB2621"/>
    <w:rsid w:val="00DB3E42"/>
    <w:rsid w:val="00DB4438"/>
    <w:rsid w:val="00DB4CAA"/>
    <w:rsid w:val="00DB5800"/>
    <w:rsid w:val="00DC0211"/>
    <w:rsid w:val="00DC0FEE"/>
    <w:rsid w:val="00DC1569"/>
    <w:rsid w:val="00DC1FA0"/>
    <w:rsid w:val="00DC5283"/>
    <w:rsid w:val="00DC765A"/>
    <w:rsid w:val="00DD2DFE"/>
    <w:rsid w:val="00DD6BAF"/>
    <w:rsid w:val="00DF7DA0"/>
    <w:rsid w:val="00DF7E86"/>
    <w:rsid w:val="00E0129E"/>
    <w:rsid w:val="00E03998"/>
    <w:rsid w:val="00E06F37"/>
    <w:rsid w:val="00E11CFA"/>
    <w:rsid w:val="00E121C5"/>
    <w:rsid w:val="00E146B2"/>
    <w:rsid w:val="00E14DB8"/>
    <w:rsid w:val="00E14EDF"/>
    <w:rsid w:val="00E15D4A"/>
    <w:rsid w:val="00E16C72"/>
    <w:rsid w:val="00E1716B"/>
    <w:rsid w:val="00E217B0"/>
    <w:rsid w:val="00E22AAA"/>
    <w:rsid w:val="00E22C18"/>
    <w:rsid w:val="00E24064"/>
    <w:rsid w:val="00E247E3"/>
    <w:rsid w:val="00E24F01"/>
    <w:rsid w:val="00E26AFA"/>
    <w:rsid w:val="00E32DC5"/>
    <w:rsid w:val="00E34124"/>
    <w:rsid w:val="00E4158B"/>
    <w:rsid w:val="00E45AA2"/>
    <w:rsid w:val="00E503EE"/>
    <w:rsid w:val="00E51B0D"/>
    <w:rsid w:val="00E5691C"/>
    <w:rsid w:val="00E57D61"/>
    <w:rsid w:val="00E604AC"/>
    <w:rsid w:val="00E60F7E"/>
    <w:rsid w:val="00E61AF9"/>
    <w:rsid w:val="00E67D2B"/>
    <w:rsid w:val="00E7158E"/>
    <w:rsid w:val="00E71738"/>
    <w:rsid w:val="00E73493"/>
    <w:rsid w:val="00E77C8D"/>
    <w:rsid w:val="00E82AC3"/>
    <w:rsid w:val="00E83974"/>
    <w:rsid w:val="00E84017"/>
    <w:rsid w:val="00E85366"/>
    <w:rsid w:val="00E8783C"/>
    <w:rsid w:val="00E8785D"/>
    <w:rsid w:val="00E90104"/>
    <w:rsid w:val="00E90855"/>
    <w:rsid w:val="00E93D6F"/>
    <w:rsid w:val="00E9639C"/>
    <w:rsid w:val="00E96F7D"/>
    <w:rsid w:val="00EA1F6F"/>
    <w:rsid w:val="00EA4824"/>
    <w:rsid w:val="00EB11C2"/>
    <w:rsid w:val="00EB4395"/>
    <w:rsid w:val="00EB4428"/>
    <w:rsid w:val="00EB4467"/>
    <w:rsid w:val="00EB504D"/>
    <w:rsid w:val="00EB5379"/>
    <w:rsid w:val="00EB54D5"/>
    <w:rsid w:val="00EC198E"/>
    <w:rsid w:val="00EC268B"/>
    <w:rsid w:val="00EC4384"/>
    <w:rsid w:val="00EC4BA2"/>
    <w:rsid w:val="00ED1883"/>
    <w:rsid w:val="00ED2B74"/>
    <w:rsid w:val="00ED37DC"/>
    <w:rsid w:val="00ED3DB4"/>
    <w:rsid w:val="00ED507E"/>
    <w:rsid w:val="00EE05CB"/>
    <w:rsid w:val="00EE1CA2"/>
    <w:rsid w:val="00EE4C7C"/>
    <w:rsid w:val="00EE5765"/>
    <w:rsid w:val="00EE6D56"/>
    <w:rsid w:val="00EF04B2"/>
    <w:rsid w:val="00EF3EFC"/>
    <w:rsid w:val="00EF4084"/>
    <w:rsid w:val="00F01B36"/>
    <w:rsid w:val="00F02636"/>
    <w:rsid w:val="00F033BD"/>
    <w:rsid w:val="00F055B6"/>
    <w:rsid w:val="00F06DEE"/>
    <w:rsid w:val="00F1064E"/>
    <w:rsid w:val="00F10B13"/>
    <w:rsid w:val="00F1206C"/>
    <w:rsid w:val="00F152B1"/>
    <w:rsid w:val="00F21287"/>
    <w:rsid w:val="00F22088"/>
    <w:rsid w:val="00F24D09"/>
    <w:rsid w:val="00F33883"/>
    <w:rsid w:val="00F342F0"/>
    <w:rsid w:val="00F35451"/>
    <w:rsid w:val="00F3711D"/>
    <w:rsid w:val="00F40061"/>
    <w:rsid w:val="00F42EA4"/>
    <w:rsid w:val="00F4382A"/>
    <w:rsid w:val="00F508B9"/>
    <w:rsid w:val="00F5312C"/>
    <w:rsid w:val="00F565B7"/>
    <w:rsid w:val="00F56BA8"/>
    <w:rsid w:val="00F61B5A"/>
    <w:rsid w:val="00F63EF9"/>
    <w:rsid w:val="00F70A01"/>
    <w:rsid w:val="00F70DFA"/>
    <w:rsid w:val="00F731ED"/>
    <w:rsid w:val="00F76BEE"/>
    <w:rsid w:val="00F8080B"/>
    <w:rsid w:val="00F81226"/>
    <w:rsid w:val="00F82776"/>
    <w:rsid w:val="00F83102"/>
    <w:rsid w:val="00F85FD9"/>
    <w:rsid w:val="00F947E9"/>
    <w:rsid w:val="00F96507"/>
    <w:rsid w:val="00F96FBA"/>
    <w:rsid w:val="00FA4227"/>
    <w:rsid w:val="00FA5339"/>
    <w:rsid w:val="00FB0B9D"/>
    <w:rsid w:val="00FB4B4D"/>
    <w:rsid w:val="00FB5F66"/>
    <w:rsid w:val="00FB68EA"/>
    <w:rsid w:val="00FC191B"/>
    <w:rsid w:val="00FC245A"/>
    <w:rsid w:val="00FC3F78"/>
    <w:rsid w:val="00FC402F"/>
    <w:rsid w:val="00FC4109"/>
    <w:rsid w:val="00FC76D2"/>
    <w:rsid w:val="00FC7D84"/>
    <w:rsid w:val="00FD21B9"/>
    <w:rsid w:val="00FD2E3D"/>
    <w:rsid w:val="00FD2FF4"/>
    <w:rsid w:val="00FD3B31"/>
    <w:rsid w:val="00FE07DB"/>
    <w:rsid w:val="00FF2212"/>
    <w:rsid w:val="00FF77DC"/>
    <w:rsid w:val="02503EA4"/>
    <w:rsid w:val="04463D2B"/>
    <w:rsid w:val="05960002"/>
    <w:rsid w:val="06674BBA"/>
    <w:rsid w:val="06FA61DE"/>
    <w:rsid w:val="07153E89"/>
    <w:rsid w:val="0765301A"/>
    <w:rsid w:val="07BD69F0"/>
    <w:rsid w:val="08B41BB4"/>
    <w:rsid w:val="0A507BC6"/>
    <w:rsid w:val="0A6A629A"/>
    <w:rsid w:val="0AED7096"/>
    <w:rsid w:val="0B6B78D0"/>
    <w:rsid w:val="0BF56037"/>
    <w:rsid w:val="0CBC7328"/>
    <w:rsid w:val="0DD87C00"/>
    <w:rsid w:val="0DF9367B"/>
    <w:rsid w:val="0F20161D"/>
    <w:rsid w:val="11642602"/>
    <w:rsid w:val="11D9552E"/>
    <w:rsid w:val="156C6BC4"/>
    <w:rsid w:val="17373B93"/>
    <w:rsid w:val="175531CB"/>
    <w:rsid w:val="176F6C9D"/>
    <w:rsid w:val="18AB5442"/>
    <w:rsid w:val="19363F53"/>
    <w:rsid w:val="19AD19CE"/>
    <w:rsid w:val="19E10864"/>
    <w:rsid w:val="19FE0214"/>
    <w:rsid w:val="1E5B5E46"/>
    <w:rsid w:val="1FAE0C8A"/>
    <w:rsid w:val="1FD510F9"/>
    <w:rsid w:val="22246742"/>
    <w:rsid w:val="24EC3557"/>
    <w:rsid w:val="25A317FF"/>
    <w:rsid w:val="26321F0A"/>
    <w:rsid w:val="27AF73EC"/>
    <w:rsid w:val="283E4CE3"/>
    <w:rsid w:val="292F09BE"/>
    <w:rsid w:val="2AA20670"/>
    <w:rsid w:val="2AAB7A0D"/>
    <w:rsid w:val="2BCF6BDB"/>
    <w:rsid w:val="2BF55B66"/>
    <w:rsid w:val="2E38134E"/>
    <w:rsid w:val="2E6B5FB9"/>
    <w:rsid w:val="2EDC696B"/>
    <w:rsid w:val="2F5C5A5A"/>
    <w:rsid w:val="301306B6"/>
    <w:rsid w:val="30665339"/>
    <w:rsid w:val="30FD0380"/>
    <w:rsid w:val="310C3F4B"/>
    <w:rsid w:val="314E4AF7"/>
    <w:rsid w:val="32317F1F"/>
    <w:rsid w:val="33844B01"/>
    <w:rsid w:val="34C07CFA"/>
    <w:rsid w:val="36AC5BDF"/>
    <w:rsid w:val="36B4772E"/>
    <w:rsid w:val="3736508B"/>
    <w:rsid w:val="38834CEF"/>
    <w:rsid w:val="38AE3672"/>
    <w:rsid w:val="39281C97"/>
    <w:rsid w:val="3AC815A4"/>
    <w:rsid w:val="3B332B26"/>
    <w:rsid w:val="3B813D76"/>
    <w:rsid w:val="3BE84AC6"/>
    <w:rsid w:val="40492841"/>
    <w:rsid w:val="42690809"/>
    <w:rsid w:val="468422AC"/>
    <w:rsid w:val="4864003C"/>
    <w:rsid w:val="4A501D92"/>
    <w:rsid w:val="4B1B7449"/>
    <w:rsid w:val="4D1758C5"/>
    <w:rsid w:val="4DD807F7"/>
    <w:rsid w:val="4E6B366E"/>
    <w:rsid w:val="4F10078B"/>
    <w:rsid w:val="4FF07E4D"/>
    <w:rsid w:val="50742727"/>
    <w:rsid w:val="52995F65"/>
    <w:rsid w:val="53350230"/>
    <w:rsid w:val="54665BEB"/>
    <w:rsid w:val="55F330A2"/>
    <w:rsid w:val="570844F3"/>
    <w:rsid w:val="58F85DEC"/>
    <w:rsid w:val="59CF3305"/>
    <w:rsid w:val="59E03336"/>
    <w:rsid w:val="5B432B01"/>
    <w:rsid w:val="5C44280F"/>
    <w:rsid w:val="5C8E419D"/>
    <w:rsid w:val="5D8E6ECA"/>
    <w:rsid w:val="5E0C419E"/>
    <w:rsid w:val="5E72420F"/>
    <w:rsid w:val="5EC36D37"/>
    <w:rsid w:val="5F251211"/>
    <w:rsid w:val="60DD7A6E"/>
    <w:rsid w:val="61DC79DD"/>
    <w:rsid w:val="622D2FAA"/>
    <w:rsid w:val="62BC6469"/>
    <w:rsid w:val="641E704E"/>
    <w:rsid w:val="64290456"/>
    <w:rsid w:val="667258B6"/>
    <w:rsid w:val="675A78D2"/>
    <w:rsid w:val="67F251EA"/>
    <w:rsid w:val="681E472B"/>
    <w:rsid w:val="69B604B7"/>
    <w:rsid w:val="6B946A1B"/>
    <w:rsid w:val="6CDA2674"/>
    <w:rsid w:val="6CFC4E30"/>
    <w:rsid w:val="6EFA06B8"/>
    <w:rsid w:val="6F071ABB"/>
    <w:rsid w:val="6F63309C"/>
    <w:rsid w:val="70CF2B23"/>
    <w:rsid w:val="71587B44"/>
    <w:rsid w:val="74736E63"/>
    <w:rsid w:val="754C5871"/>
    <w:rsid w:val="76032015"/>
    <w:rsid w:val="776D47AF"/>
    <w:rsid w:val="78861EEA"/>
    <w:rsid w:val="7AE11A0C"/>
    <w:rsid w:val="7CFF703B"/>
    <w:rsid w:val="7D847A3A"/>
    <w:rsid w:val="7E7D1A4B"/>
    <w:rsid w:val="7F5207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qFormat="1" w:uiPriority="99" w:name="annotation reference"/>
    <w:lsdException w:uiPriority="99" w:name="line number"/>
    <w:lsdException w:uiPriority="99"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qFormat="1"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70" w:lineRule="exact"/>
      <w:ind w:firstLine="200" w:firstLineChars="200"/>
      <w:jc w:val="both"/>
    </w:pPr>
    <w:rPr>
      <w:rFonts w:ascii="Times New Roman" w:hAnsi="Times New Roman" w:eastAsia="仿宋_GB2312" w:cstheme="minorBidi"/>
      <w:kern w:val="2"/>
      <w:sz w:val="24"/>
      <w:szCs w:val="22"/>
      <w:lang w:val="en-US" w:eastAsia="zh-CN" w:bidi="ar-SA"/>
      <w14:ligatures w14:val="standardContextual"/>
    </w:rPr>
  </w:style>
  <w:style w:type="paragraph" w:styleId="2">
    <w:name w:val="heading 1"/>
    <w:basedOn w:val="1"/>
    <w:next w:val="1"/>
    <w:link w:val="34"/>
    <w:qFormat/>
    <w:uiPriority w:val="0"/>
    <w:pPr>
      <w:keepNext/>
      <w:keepLines/>
      <w:spacing w:line="570" w:lineRule="atLeast"/>
      <w:outlineLvl w:val="0"/>
    </w:pPr>
    <w:rPr>
      <w:rFonts w:eastAsia="方正楷体_GBK"/>
      <w:b/>
      <w:bCs/>
      <w:kern w:val="44"/>
      <w:sz w:val="32"/>
      <w:szCs w:val="44"/>
      <w14:ligatures w14:val="none"/>
    </w:rPr>
  </w:style>
  <w:style w:type="paragraph" w:styleId="3">
    <w:name w:val="heading 2"/>
    <w:basedOn w:val="1"/>
    <w:next w:val="1"/>
    <w:link w:val="35"/>
    <w:unhideWhenUsed/>
    <w:qFormat/>
    <w:uiPriority w:val="0"/>
    <w:pPr>
      <w:keepNext/>
      <w:keepLines/>
      <w:outlineLvl w:val="1"/>
    </w:pPr>
    <w:rPr>
      <w:rFonts w:eastAsia="方正楷体_GBK" w:cstheme="majorBidi"/>
      <w:b/>
      <w:bCs/>
      <w:sz w:val="30"/>
      <w:szCs w:val="32"/>
      <w14:ligatures w14:val="none"/>
    </w:rPr>
  </w:style>
  <w:style w:type="paragraph" w:styleId="4">
    <w:name w:val="heading 3"/>
    <w:basedOn w:val="1"/>
    <w:next w:val="1"/>
    <w:link w:val="36"/>
    <w:autoRedefine/>
    <w:semiHidden/>
    <w:unhideWhenUsed/>
    <w:qFormat/>
    <w:uiPriority w:val="9"/>
    <w:pPr>
      <w:keepNext/>
      <w:keepLines/>
      <w:spacing w:before="260" w:after="260" w:line="416" w:lineRule="atLeast"/>
      <w:outlineLvl w:val="2"/>
    </w:pPr>
    <w:rPr>
      <w:b/>
      <w:bCs/>
      <w:sz w:val="32"/>
      <w:szCs w:val="32"/>
    </w:rPr>
  </w:style>
  <w:style w:type="character" w:default="1" w:styleId="27">
    <w:name w:val="Default Paragraph Font"/>
    <w:semiHidden/>
    <w:unhideWhenUsed/>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5">
    <w:name w:val="toc 7"/>
    <w:basedOn w:val="1"/>
    <w:next w:val="1"/>
    <w:autoRedefine/>
    <w:unhideWhenUsed/>
    <w:qFormat/>
    <w:uiPriority w:val="39"/>
    <w:pPr>
      <w:spacing w:line="240" w:lineRule="auto"/>
      <w:ind w:left="2520" w:leftChars="1200" w:firstLine="0" w:firstLineChars="0"/>
    </w:pPr>
    <w:rPr>
      <w:rFonts w:asciiTheme="minorHAnsi" w:hAnsiTheme="minorHAnsi" w:eastAsiaTheme="minorEastAsia"/>
      <w:sz w:val="21"/>
    </w:rPr>
  </w:style>
  <w:style w:type="paragraph" w:styleId="6">
    <w:name w:val="annotation text"/>
    <w:basedOn w:val="1"/>
    <w:link w:val="97"/>
    <w:semiHidden/>
    <w:unhideWhenUsed/>
    <w:qFormat/>
    <w:uiPriority w:val="99"/>
    <w:pPr>
      <w:jc w:val="left"/>
    </w:pPr>
  </w:style>
  <w:style w:type="paragraph" w:styleId="7">
    <w:name w:val="Body Text"/>
    <w:basedOn w:val="1"/>
    <w:next w:val="8"/>
    <w:link w:val="123"/>
    <w:semiHidden/>
    <w:unhideWhenUsed/>
    <w:qFormat/>
    <w:uiPriority w:val="99"/>
    <w:pPr>
      <w:spacing w:after="120"/>
    </w:pPr>
  </w:style>
  <w:style w:type="paragraph" w:styleId="8">
    <w:name w:val="List Bullet 5"/>
    <w:basedOn w:val="1"/>
    <w:semiHidden/>
    <w:unhideWhenUsed/>
    <w:qFormat/>
    <w:uiPriority w:val="99"/>
    <w:pPr>
      <w:numPr>
        <w:ilvl w:val="0"/>
        <w:numId w:val="1"/>
      </w:numPr>
    </w:pPr>
  </w:style>
  <w:style w:type="paragraph" w:styleId="9">
    <w:name w:val="toc 5"/>
    <w:basedOn w:val="1"/>
    <w:next w:val="1"/>
    <w:autoRedefine/>
    <w:unhideWhenUsed/>
    <w:qFormat/>
    <w:uiPriority w:val="39"/>
    <w:pPr>
      <w:spacing w:line="240" w:lineRule="auto"/>
      <w:ind w:left="1680" w:leftChars="800" w:firstLine="0" w:firstLineChars="0"/>
    </w:pPr>
    <w:rPr>
      <w:rFonts w:asciiTheme="minorHAnsi" w:hAnsiTheme="minorHAnsi" w:eastAsiaTheme="minorEastAsia"/>
      <w:sz w:val="21"/>
    </w:rPr>
  </w:style>
  <w:style w:type="paragraph" w:styleId="10">
    <w:name w:val="toc 3"/>
    <w:basedOn w:val="1"/>
    <w:next w:val="1"/>
    <w:autoRedefine/>
    <w:unhideWhenUsed/>
    <w:qFormat/>
    <w:uiPriority w:val="39"/>
    <w:pPr>
      <w:ind w:left="840" w:leftChars="400"/>
    </w:pPr>
  </w:style>
  <w:style w:type="paragraph" w:styleId="11">
    <w:name w:val="toc 8"/>
    <w:basedOn w:val="1"/>
    <w:next w:val="1"/>
    <w:autoRedefine/>
    <w:unhideWhenUsed/>
    <w:qFormat/>
    <w:uiPriority w:val="39"/>
    <w:pPr>
      <w:spacing w:line="240" w:lineRule="auto"/>
      <w:ind w:left="2940" w:leftChars="1400" w:firstLine="0" w:firstLineChars="0"/>
    </w:pPr>
    <w:rPr>
      <w:rFonts w:asciiTheme="minorHAnsi" w:hAnsiTheme="minorHAnsi" w:eastAsiaTheme="minorEastAsia"/>
      <w:sz w:val="21"/>
    </w:rPr>
  </w:style>
  <w:style w:type="paragraph" w:styleId="12">
    <w:name w:val="Date"/>
    <w:basedOn w:val="1"/>
    <w:next w:val="1"/>
    <w:link w:val="116"/>
    <w:semiHidden/>
    <w:unhideWhenUsed/>
    <w:qFormat/>
    <w:uiPriority w:val="99"/>
    <w:pPr>
      <w:ind w:left="100" w:leftChars="2500"/>
    </w:pPr>
  </w:style>
  <w:style w:type="paragraph" w:styleId="13">
    <w:name w:val="endnote text"/>
    <w:basedOn w:val="1"/>
    <w:link w:val="127"/>
    <w:semiHidden/>
    <w:unhideWhenUsed/>
    <w:qFormat/>
    <w:uiPriority w:val="99"/>
    <w:pPr>
      <w:snapToGrid w:val="0"/>
      <w:jc w:val="left"/>
    </w:pPr>
  </w:style>
  <w:style w:type="paragraph" w:styleId="14">
    <w:name w:val="Balloon Text"/>
    <w:basedOn w:val="1"/>
    <w:link w:val="99"/>
    <w:semiHidden/>
    <w:unhideWhenUsed/>
    <w:qFormat/>
    <w:uiPriority w:val="99"/>
    <w:pPr>
      <w:spacing w:line="240" w:lineRule="auto"/>
    </w:pPr>
    <w:rPr>
      <w:sz w:val="18"/>
      <w:szCs w:val="18"/>
    </w:rPr>
  </w:style>
  <w:style w:type="paragraph" w:styleId="15">
    <w:name w:val="footer"/>
    <w:basedOn w:val="1"/>
    <w:link w:val="38"/>
    <w:unhideWhenUsed/>
    <w:qFormat/>
    <w:uiPriority w:val="99"/>
    <w:pPr>
      <w:tabs>
        <w:tab w:val="center" w:pos="4153"/>
        <w:tab w:val="right" w:pos="8306"/>
      </w:tabs>
      <w:snapToGrid w:val="0"/>
      <w:jc w:val="left"/>
    </w:pPr>
    <w:rPr>
      <w:sz w:val="18"/>
      <w:szCs w:val="18"/>
    </w:rPr>
  </w:style>
  <w:style w:type="paragraph" w:styleId="16">
    <w:name w:val="header"/>
    <w:basedOn w:val="1"/>
    <w:link w:val="37"/>
    <w:unhideWhenUsed/>
    <w:qFormat/>
    <w:uiPriority w:val="99"/>
    <w:pPr>
      <w:tabs>
        <w:tab w:val="center" w:pos="4153"/>
        <w:tab w:val="right" w:pos="8306"/>
      </w:tabs>
      <w:snapToGrid w:val="0"/>
      <w:jc w:val="center"/>
    </w:pPr>
    <w:rPr>
      <w:sz w:val="18"/>
      <w:szCs w:val="18"/>
    </w:rPr>
  </w:style>
  <w:style w:type="paragraph" w:styleId="17">
    <w:name w:val="toc 1"/>
    <w:basedOn w:val="1"/>
    <w:next w:val="1"/>
    <w:autoRedefine/>
    <w:unhideWhenUsed/>
    <w:qFormat/>
    <w:uiPriority w:val="39"/>
  </w:style>
  <w:style w:type="paragraph" w:styleId="18">
    <w:name w:val="toc 4"/>
    <w:basedOn w:val="1"/>
    <w:next w:val="1"/>
    <w:autoRedefine/>
    <w:unhideWhenUsed/>
    <w:qFormat/>
    <w:uiPriority w:val="39"/>
    <w:pPr>
      <w:spacing w:line="240" w:lineRule="auto"/>
      <w:ind w:left="1260" w:leftChars="600" w:firstLine="0" w:firstLineChars="0"/>
    </w:pPr>
    <w:rPr>
      <w:rFonts w:asciiTheme="minorHAnsi" w:hAnsiTheme="minorHAnsi" w:eastAsiaTheme="minorEastAsia"/>
      <w:sz w:val="21"/>
    </w:rPr>
  </w:style>
  <w:style w:type="paragraph" w:styleId="19">
    <w:name w:val="List"/>
    <w:basedOn w:val="1"/>
    <w:link w:val="117"/>
    <w:semiHidden/>
    <w:unhideWhenUsed/>
    <w:qFormat/>
    <w:uiPriority w:val="99"/>
    <w:pPr>
      <w:ind w:left="200" w:hanging="200" w:hangingChars="200"/>
    </w:pPr>
  </w:style>
  <w:style w:type="paragraph" w:styleId="20">
    <w:name w:val="footnote text"/>
    <w:basedOn w:val="1"/>
    <w:link w:val="122"/>
    <w:semiHidden/>
    <w:unhideWhenUsed/>
    <w:qFormat/>
    <w:uiPriority w:val="99"/>
    <w:pPr>
      <w:snapToGrid w:val="0"/>
      <w:jc w:val="left"/>
    </w:pPr>
    <w:rPr>
      <w:rFonts w:hint="eastAsia" w:ascii="等线" w:hAnsi="等线" w:eastAsia="等线" w:cs="Times New Roman"/>
      <w:sz w:val="18"/>
      <w:szCs w:val="18"/>
    </w:rPr>
  </w:style>
  <w:style w:type="paragraph" w:styleId="21">
    <w:name w:val="toc 6"/>
    <w:basedOn w:val="1"/>
    <w:next w:val="1"/>
    <w:autoRedefine/>
    <w:unhideWhenUsed/>
    <w:qFormat/>
    <w:uiPriority w:val="39"/>
    <w:pPr>
      <w:spacing w:line="240" w:lineRule="auto"/>
      <w:ind w:left="2100" w:leftChars="1000" w:firstLine="0" w:firstLineChars="0"/>
    </w:pPr>
    <w:rPr>
      <w:rFonts w:asciiTheme="minorHAnsi" w:hAnsiTheme="minorHAnsi" w:eastAsiaTheme="minorEastAsia"/>
      <w:sz w:val="21"/>
    </w:rPr>
  </w:style>
  <w:style w:type="paragraph" w:styleId="22">
    <w:name w:val="toc 2"/>
    <w:basedOn w:val="1"/>
    <w:next w:val="1"/>
    <w:autoRedefine/>
    <w:unhideWhenUsed/>
    <w:qFormat/>
    <w:uiPriority w:val="39"/>
    <w:pPr>
      <w:ind w:left="420" w:leftChars="200"/>
    </w:pPr>
  </w:style>
  <w:style w:type="paragraph" w:styleId="23">
    <w:name w:val="toc 9"/>
    <w:basedOn w:val="1"/>
    <w:next w:val="1"/>
    <w:autoRedefine/>
    <w:unhideWhenUsed/>
    <w:qFormat/>
    <w:uiPriority w:val="39"/>
    <w:pPr>
      <w:spacing w:line="240" w:lineRule="auto"/>
      <w:ind w:left="3360" w:leftChars="1600" w:firstLine="0" w:firstLineChars="0"/>
    </w:pPr>
    <w:rPr>
      <w:rFonts w:asciiTheme="minorHAnsi" w:hAnsiTheme="minorHAnsi" w:eastAsiaTheme="minorEastAsia"/>
      <w:sz w:val="21"/>
    </w:rPr>
  </w:style>
  <w:style w:type="paragraph" w:styleId="24">
    <w:name w:val="annotation subject"/>
    <w:basedOn w:val="6"/>
    <w:next w:val="6"/>
    <w:link w:val="98"/>
    <w:semiHidden/>
    <w:unhideWhenUsed/>
    <w:qFormat/>
    <w:uiPriority w:val="99"/>
    <w:rPr>
      <w:b/>
      <w:bCs/>
    </w:rPr>
  </w:style>
  <w:style w:type="table" w:styleId="26">
    <w:name w:val="Table Grid"/>
    <w:basedOn w:val="25"/>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endnote reference"/>
    <w:basedOn w:val="27"/>
    <w:semiHidden/>
    <w:unhideWhenUsed/>
    <w:qFormat/>
    <w:uiPriority w:val="99"/>
    <w:rPr>
      <w:vertAlign w:val="superscript"/>
    </w:rPr>
  </w:style>
  <w:style w:type="character" w:styleId="29">
    <w:name w:val="FollowedHyperlink"/>
    <w:basedOn w:val="27"/>
    <w:semiHidden/>
    <w:unhideWhenUsed/>
    <w:qFormat/>
    <w:uiPriority w:val="99"/>
    <w:rPr>
      <w:color w:val="954F72"/>
      <w:u w:val="single"/>
    </w:rPr>
  </w:style>
  <w:style w:type="character" w:styleId="30">
    <w:name w:val="Emphasis"/>
    <w:basedOn w:val="27"/>
    <w:qFormat/>
    <w:uiPriority w:val="20"/>
    <w:rPr>
      <w:i/>
      <w:iCs/>
    </w:rPr>
  </w:style>
  <w:style w:type="character" w:styleId="31">
    <w:name w:val="Hyperlink"/>
    <w:basedOn w:val="27"/>
    <w:unhideWhenUsed/>
    <w:qFormat/>
    <w:uiPriority w:val="99"/>
    <w:rPr>
      <w:color w:val="0563C1"/>
      <w:u w:val="single"/>
    </w:rPr>
  </w:style>
  <w:style w:type="character" w:styleId="32">
    <w:name w:val="annotation reference"/>
    <w:basedOn w:val="27"/>
    <w:semiHidden/>
    <w:unhideWhenUsed/>
    <w:qFormat/>
    <w:uiPriority w:val="99"/>
    <w:rPr>
      <w:sz w:val="21"/>
      <w:szCs w:val="21"/>
    </w:rPr>
  </w:style>
  <w:style w:type="character" w:styleId="33">
    <w:name w:val="footnote reference"/>
    <w:basedOn w:val="27"/>
    <w:semiHidden/>
    <w:unhideWhenUsed/>
    <w:qFormat/>
    <w:uiPriority w:val="99"/>
    <w:rPr>
      <w:vertAlign w:val="superscript"/>
    </w:rPr>
  </w:style>
  <w:style w:type="character" w:customStyle="1" w:styleId="34">
    <w:name w:val="标题 1 字符"/>
    <w:basedOn w:val="27"/>
    <w:link w:val="2"/>
    <w:qFormat/>
    <w:uiPriority w:val="0"/>
    <w:rPr>
      <w:rFonts w:ascii="Times New Roman" w:hAnsi="Times New Roman" w:eastAsia="方正楷体_GBK"/>
      <w:b/>
      <w:bCs/>
      <w:kern w:val="44"/>
      <w:sz w:val="32"/>
      <w:szCs w:val="44"/>
      <w14:ligatures w14:val="none"/>
    </w:rPr>
  </w:style>
  <w:style w:type="character" w:customStyle="1" w:styleId="35">
    <w:name w:val="标题 2 字符"/>
    <w:basedOn w:val="27"/>
    <w:link w:val="3"/>
    <w:qFormat/>
    <w:uiPriority w:val="0"/>
    <w:rPr>
      <w:rFonts w:ascii="Times New Roman" w:hAnsi="Times New Roman" w:eastAsia="方正楷体_GBK" w:cstheme="majorBidi"/>
      <w:b/>
      <w:bCs/>
      <w:sz w:val="30"/>
      <w:szCs w:val="32"/>
      <w14:ligatures w14:val="none"/>
    </w:rPr>
  </w:style>
  <w:style w:type="character" w:customStyle="1" w:styleId="36">
    <w:name w:val="标题 3 字符"/>
    <w:basedOn w:val="27"/>
    <w:link w:val="4"/>
    <w:semiHidden/>
    <w:qFormat/>
    <w:uiPriority w:val="9"/>
    <w:rPr>
      <w:rFonts w:ascii="Times New Roman" w:hAnsi="Times New Roman" w:eastAsia="仿宋_GB2312"/>
      <w:b/>
      <w:bCs/>
      <w:sz w:val="32"/>
      <w:szCs w:val="32"/>
    </w:rPr>
  </w:style>
  <w:style w:type="character" w:customStyle="1" w:styleId="37">
    <w:name w:val="页眉 字符"/>
    <w:basedOn w:val="27"/>
    <w:link w:val="16"/>
    <w:qFormat/>
    <w:uiPriority w:val="99"/>
    <w:rPr>
      <w:sz w:val="18"/>
      <w:szCs w:val="18"/>
    </w:rPr>
  </w:style>
  <w:style w:type="character" w:customStyle="1" w:styleId="38">
    <w:name w:val="页脚 字符"/>
    <w:basedOn w:val="27"/>
    <w:link w:val="15"/>
    <w:qFormat/>
    <w:uiPriority w:val="99"/>
    <w:rPr>
      <w:sz w:val="18"/>
      <w:szCs w:val="18"/>
    </w:rPr>
  </w:style>
  <w:style w:type="paragraph" w:styleId="39">
    <w:name w:val="List Paragraph"/>
    <w:basedOn w:val="1"/>
    <w:qFormat/>
    <w:uiPriority w:val="34"/>
    <w:pPr>
      <w:ind w:firstLine="420"/>
    </w:pPr>
  </w:style>
  <w:style w:type="paragraph" w:customStyle="1" w:styleId="40">
    <w:name w:val="低行距图表文字"/>
    <w:basedOn w:val="1"/>
    <w:autoRedefine/>
    <w:qFormat/>
    <w:uiPriority w:val="0"/>
    <w:pPr>
      <w:spacing w:line="240" w:lineRule="exact"/>
      <w:ind w:firstLine="0" w:firstLineChars="0"/>
      <w:jc w:val="center"/>
    </w:pPr>
    <w:rPr>
      <w:rFonts w:ascii="仿宋_GB2312" w:hAnsi="仿宋_GB2312" w:cs="Times New Roman"/>
      <w:sz w:val="21"/>
      <w:szCs w:val="21"/>
      <w14:ligatures w14:val="none"/>
    </w:rPr>
  </w:style>
  <w:style w:type="paragraph" w:customStyle="1" w:styleId="41">
    <w:name w:val="图表文字"/>
    <w:basedOn w:val="1"/>
    <w:link w:val="42"/>
    <w:qFormat/>
    <w:uiPriority w:val="0"/>
    <w:pPr>
      <w:spacing w:line="240" w:lineRule="auto"/>
      <w:ind w:firstLine="0" w:firstLineChars="0"/>
      <w:jc w:val="center"/>
    </w:pPr>
    <w:rPr>
      <w:rFonts w:ascii="仿宋_GB2312" w:cs="Times New Roman"/>
      <w:sz w:val="21"/>
      <w:szCs w:val="24"/>
      <w14:ligatures w14:val="none"/>
    </w:rPr>
  </w:style>
  <w:style w:type="character" w:customStyle="1" w:styleId="42">
    <w:name w:val="图表文字 Char"/>
    <w:link w:val="41"/>
    <w:autoRedefine/>
    <w:qFormat/>
    <w:uiPriority w:val="0"/>
    <w:rPr>
      <w:rFonts w:ascii="仿宋_GB2312" w:hAnsi="Times New Roman" w:eastAsia="仿宋_GB2312" w:cs="Times New Roman"/>
      <w:szCs w:val="24"/>
      <w14:ligatures w14:val="none"/>
    </w:rPr>
  </w:style>
  <w:style w:type="table" w:customStyle="1" w:styleId="43">
    <w:name w:val="网格型2"/>
    <w:basedOn w:val="25"/>
    <w:qFormat/>
    <w:uiPriority w:val="39"/>
    <w:pPr>
      <w:adjustRightInd w:val="0"/>
      <w:snapToGrid w:val="0"/>
    </w:pPr>
    <w:rPr>
      <w:rFonts w:eastAsia="仿宋_GB231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
    <w:name w:val="网格型1"/>
    <w:basedOn w:val="25"/>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5">
    <w:name w:val="图表名称格式"/>
    <w:basedOn w:val="1"/>
    <w:link w:val="46"/>
    <w:qFormat/>
    <w:uiPriority w:val="0"/>
    <w:pPr>
      <w:spacing w:line="360" w:lineRule="auto"/>
      <w:ind w:firstLine="0" w:firstLineChars="0"/>
      <w:jc w:val="center"/>
      <w:outlineLvl w:val="6"/>
    </w:pPr>
    <w:rPr>
      <w:b/>
      <w14:ligatures w14:val="none"/>
    </w:rPr>
  </w:style>
  <w:style w:type="character" w:customStyle="1" w:styleId="46">
    <w:name w:val="图表名称格式 字符"/>
    <w:basedOn w:val="27"/>
    <w:link w:val="45"/>
    <w:qFormat/>
    <w:uiPriority w:val="0"/>
    <w:rPr>
      <w:rFonts w:ascii="Times New Roman" w:hAnsi="Times New Roman" w:eastAsia="仿宋_GB2312"/>
      <w:b/>
      <w:sz w:val="24"/>
      <w14:ligatures w14:val="none"/>
    </w:rPr>
  </w:style>
  <w:style w:type="paragraph" w:customStyle="1" w:styleId="47">
    <w:name w:val="表格文字"/>
    <w:basedOn w:val="45"/>
    <w:link w:val="48"/>
    <w:qFormat/>
    <w:uiPriority w:val="0"/>
    <w:pPr>
      <w:spacing w:line="240" w:lineRule="auto"/>
    </w:pPr>
    <w:rPr>
      <w:b w:val="0"/>
    </w:rPr>
  </w:style>
  <w:style w:type="character" w:customStyle="1" w:styleId="48">
    <w:name w:val="表格文字 字符"/>
    <w:basedOn w:val="46"/>
    <w:link w:val="47"/>
    <w:qFormat/>
    <w:uiPriority w:val="0"/>
    <w:rPr>
      <w:rFonts w:ascii="Times New Roman" w:hAnsi="Times New Roman" w:eastAsia="仿宋_GB2312"/>
      <w:b w:val="0"/>
      <w:sz w:val="24"/>
      <w14:ligatures w14:val="none"/>
    </w:rPr>
  </w:style>
  <w:style w:type="table" w:customStyle="1" w:styleId="49">
    <w:name w:val="表格式1"/>
    <w:basedOn w:val="25"/>
    <w:qFormat/>
    <w:locked/>
    <w:uiPriority w:val="59"/>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50">
    <w:name w:val="表格式2"/>
    <w:basedOn w:val="25"/>
    <w:qFormat/>
    <w:locked/>
    <w:uiPriority w:val="59"/>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51">
    <w:name w:val="msonormal"/>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Cs w:val="24"/>
      <w14:ligatures w14:val="none"/>
    </w:rPr>
  </w:style>
  <w:style w:type="paragraph" w:customStyle="1" w:styleId="52">
    <w:name w:val="font5"/>
    <w:basedOn w:val="1"/>
    <w:qFormat/>
    <w:uiPriority w:val="0"/>
    <w:pPr>
      <w:widowControl/>
      <w:spacing w:before="100" w:beforeAutospacing="1" w:after="100" w:afterAutospacing="1" w:line="240" w:lineRule="auto"/>
      <w:ind w:firstLine="0" w:firstLineChars="0"/>
      <w:jc w:val="left"/>
    </w:pPr>
    <w:rPr>
      <w:rFonts w:ascii="等线" w:hAnsi="等线" w:eastAsia="等线" w:cs="宋体"/>
      <w:kern w:val="0"/>
      <w:sz w:val="18"/>
      <w:szCs w:val="18"/>
      <w14:ligatures w14:val="none"/>
    </w:rPr>
  </w:style>
  <w:style w:type="paragraph" w:customStyle="1" w:styleId="53">
    <w:name w:val="xl65"/>
    <w:basedOn w:val="1"/>
    <w:qFormat/>
    <w:uiPriority w:val="0"/>
    <w:pPr>
      <w:widowControl/>
      <w:spacing w:before="100" w:beforeAutospacing="1" w:after="100" w:afterAutospacing="1" w:line="240" w:lineRule="auto"/>
      <w:ind w:firstLine="0" w:firstLineChars="0"/>
      <w:jc w:val="center"/>
    </w:pPr>
    <w:rPr>
      <w:rFonts w:ascii="宋体" w:hAnsi="宋体" w:eastAsia="宋体" w:cs="宋体"/>
      <w:kern w:val="0"/>
      <w:szCs w:val="24"/>
      <w14:ligatures w14:val="none"/>
    </w:rPr>
  </w:style>
  <w:style w:type="paragraph" w:customStyle="1" w:styleId="54">
    <w:name w:val="xl66"/>
    <w:basedOn w:val="1"/>
    <w:qFormat/>
    <w:uiPriority w:val="0"/>
    <w:pPr>
      <w:widowControl/>
      <w:spacing w:before="100" w:beforeAutospacing="1" w:after="100" w:afterAutospacing="1" w:line="240" w:lineRule="auto"/>
      <w:ind w:firstLine="0" w:firstLineChars="0"/>
      <w:jc w:val="center"/>
      <w:textAlignment w:val="center"/>
    </w:pPr>
    <w:rPr>
      <w:rFonts w:ascii="宋体" w:hAnsi="宋体" w:eastAsia="宋体" w:cs="宋体"/>
      <w:kern w:val="0"/>
      <w:szCs w:val="24"/>
      <w14:ligatures w14:val="none"/>
    </w:rPr>
  </w:style>
  <w:style w:type="paragraph" w:customStyle="1" w:styleId="55">
    <w:name w:val="xl67"/>
    <w:basedOn w:val="1"/>
    <w:qFormat/>
    <w:uiPriority w:val="0"/>
    <w:pPr>
      <w:widowControl/>
      <w:spacing w:before="100" w:beforeAutospacing="1" w:after="100" w:afterAutospacing="1" w:line="240" w:lineRule="auto"/>
      <w:ind w:firstLine="0" w:firstLineChars="0"/>
      <w:jc w:val="left"/>
      <w:textAlignment w:val="center"/>
    </w:pPr>
    <w:rPr>
      <w:rFonts w:ascii="宋体" w:hAnsi="宋体" w:eastAsia="宋体" w:cs="宋体"/>
      <w:kern w:val="0"/>
      <w:szCs w:val="24"/>
      <w14:ligatures w14:val="none"/>
    </w:rPr>
  </w:style>
  <w:style w:type="paragraph" w:customStyle="1" w:styleId="56">
    <w:name w:val="xl68"/>
    <w:basedOn w:val="1"/>
    <w:qFormat/>
    <w:uiPriority w:val="0"/>
    <w:pPr>
      <w:widowControl/>
      <w:spacing w:before="100" w:beforeAutospacing="1" w:after="100" w:afterAutospacing="1" w:line="240" w:lineRule="auto"/>
      <w:ind w:firstLine="0" w:firstLineChars="0"/>
      <w:jc w:val="center"/>
      <w:textAlignment w:val="center"/>
    </w:pPr>
    <w:rPr>
      <w:rFonts w:ascii="宋体" w:hAnsi="宋体" w:eastAsia="宋体" w:cs="宋体"/>
      <w:kern w:val="0"/>
      <w:szCs w:val="24"/>
      <w14:ligatures w14:val="none"/>
    </w:rPr>
  </w:style>
  <w:style w:type="table" w:customStyle="1" w:styleId="57">
    <w:name w:val="lily 表格1"/>
    <w:basedOn w:val="25"/>
    <w:qFormat/>
    <w:uiPriority w:val="59"/>
    <w:rPr>
      <w:rFonts w:ascii="Calibri" w:hAnsi="Calibri"/>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
    <w:name w:val="网格型!1"/>
    <w:basedOn w:val="2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9">
    <w:name w:val="报告书 正文 Char"/>
    <w:link w:val="60"/>
    <w:qFormat/>
    <w:locked/>
    <w:uiPriority w:val="0"/>
    <w:rPr>
      <w:rFonts w:ascii="Times New Roman" w:hAnsi="Times New Roman" w:eastAsia="仿宋_GB2312" w:cs="Times New Roman"/>
      <w:sz w:val="28"/>
      <w:szCs w:val="24"/>
    </w:rPr>
  </w:style>
  <w:style w:type="paragraph" w:customStyle="1" w:styleId="60">
    <w:name w:val="报告书 正文"/>
    <w:link w:val="59"/>
    <w:qFormat/>
    <w:uiPriority w:val="0"/>
    <w:pPr>
      <w:widowControl w:val="0"/>
      <w:spacing w:line="500" w:lineRule="exact"/>
      <w:ind w:firstLine="200" w:firstLineChars="200"/>
      <w:jc w:val="both"/>
    </w:pPr>
    <w:rPr>
      <w:rFonts w:ascii="Times New Roman" w:hAnsi="Times New Roman" w:eastAsia="仿宋_GB2312" w:cs="Times New Roman"/>
      <w:kern w:val="2"/>
      <w:sz w:val="28"/>
      <w:szCs w:val="24"/>
      <w:lang w:val="en-US" w:eastAsia="zh-CN" w:bidi="ar-SA"/>
      <w14:ligatures w14:val="standardContextual"/>
    </w:rPr>
  </w:style>
  <w:style w:type="character" w:customStyle="1" w:styleId="61">
    <w:name w:val="表格 标题 Char"/>
    <w:link w:val="62"/>
    <w:qFormat/>
    <w:locked/>
    <w:uiPriority w:val="0"/>
    <w:rPr>
      <w:rFonts w:ascii="Times New Roman" w:hAnsi="Times New Roman" w:eastAsia="仿宋_GB2312" w:cs="Times New Roman"/>
      <w:b/>
      <w:sz w:val="24"/>
      <w:szCs w:val="24"/>
    </w:rPr>
  </w:style>
  <w:style w:type="paragraph" w:customStyle="1" w:styleId="62">
    <w:name w:val="表格 标题"/>
    <w:link w:val="61"/>
    <w:qFormat/>
    <w:uiPriority w:val="0"/>
    <w:pPr>
      <w:snapToGrid w:val="0"/>
      <w:spacing w:beforeLines="20" w:afterLines="20" w:line="500" w:lineRule="exact"/>
      <w:jc w:val="center"/>
    </w:pPr>
    <w:rPr>
      <w:rFonts w:ascii="Times New Roman" w:hAnsi="Times New Roman" w:eastAsia="仿宋_GB2312" w:cs="Times New Roman"/>
      <w:b/>
      <w:kern w:val="2"/>
      <w:sz w:val="24"/>
      <w:szCs w:val="24"/>
      <w:lang w:val="en-US" w:eastAsia="zh-CN" w:bidi="ar-SA"/>
      <w14:ligatures w14:val="standardContextual"/>
    </w:rPr>
  </w:style>
  <w:style w:type="table" w:customStyle="1" w:styleId="63">
    <w:name w:val="张杰网格型5"/>
    <w:basedOn w:val="2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
    <w:name w:val="lily 表格2"/>
    <w:basedOn w:val="25"/>
    <w:qFormat/>
    <w:uiPriority w:val="59"/>
    <w:rPr>
      <w:rFonts w:ascii="Calibri" w:hAnsi="Calibri"/>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5">
    <w:name w:val="图片"/>
    <w:basedOn w:val="1"/>
    <w:qFormat/>
    <w:uiPriority w:val="0"/>
    <w:pPr>
      <w:spacing w:line="240" w:lineRule="auto"/>
      <w:ind w:firstLine="0" w:firstLineChars="0"/>
      <w:jc w:val="center"/>
    </w:pPr>
    <w:rPr>
      <w:b/>
      <w14:ligatures w14:val="none"/>
    </w:rPr>
  </w:style>
  <w:style w:type="paragraph" w:customStyle="1" w:styleId="66">
    <w:name w:val="正文 文本"/>
    <w:link w:val="67"/>
    <w:qFormat/>
    <w:uiPriority w:val="0"/>
    <w:pPr>
      <w:widowControl w:val="0"/>
      <w:spacing w:line="500" w:lineRule="exact"/>
      <w:ind w:firstLine="200" w:firstLineChars="200"/>
      <w:jc w:val="both"/>
    </w:pPr>
    <w:rPr>
      <w:rFonts w:ascii="Times New Roman" w:hAnsi="Times New Roman" w:eastAsia="仿宋_GB2312" w:cs="Times New Roman"/>
      <w:sz w:val="28"/>
      <w:szCs w:val="24"/>
      <w:lang w:val="en-US" w:eastAsia="zh-CN" w:bidi="ar-SA"/>
    </w:rPr>
  </w:style>
  <w:style w:type="character" w:customStyle="1" w:styleId="67">
    <w:name w:val="正文 文本 Char"/>
    <w:link w:val="66"/>
    <w:qFormat/>
    <w:uiPriority w:val="0"/>
    <w:rPr>
      <w:rFonts w:ascii="Times New Roman" w:hAnsi="Times New Roman" w:eastAsia="仿宋_GB2312" w:cs="Times New Roman"/>
      <w:kern w:val="0"/>
      <w:sz w:val="28"/>
      <w:szCs w:val="24"/>
      <w14:ligatures w14:val="none"/>
    </w:rPr>
  </w:style>
  <w:style w:type="character" w:customStyle="1" w:styleId="68">
    <w:name w:val="表格文字 Char"/>
    <w:qFormat/>
    <w:uiPriority w:val="0"/>
    <w:rPr>
      <w:rFonts w:ascii="Times New Roman" w:hAnsi="Times New Roman" w:eastAsia="仿宋_GB2312"/>
    </w:rPr>
  </w:style>
  <w:style w:type="character" w:customStyle="1" w:styleId="69">
    <w:name w:val="表格 普通文字 Char"/>
    <w:link w:val="70"/>
    <w:qFormat/>
    <w:locked/>
    <w:uiPriority w:val="0"/>
    <w:rPr>
      <w:rFonts w:ascii="Times New Roman" w:hAnsi="Times New Roman" w:eastAsia="仿宋_GB2312" w:cs="Times New Roman"/>
      <w:szCs w:val="21"/>
    </w:rPr>
  </w:style>
  <w:style w:type="paragraph" w:customStyle="1" w:styleId="70">
    <w:name w:val="表格 普通文字"/>
    <w:link w:val="69"/>
    <w:qFormat/>
    <w:uiPriority w:val="0"/>
    <w:pPr>
      <w:snapToGrid w:val="0"/>
      <w:jc w:val="center"/>
    </w:pPr>
    <w:rPr>
      <w:rFonts w:ascii="Times New Roman" w:hAnsi="Times New Roman" w:eastAsia="仿宋_GB2312" w:cs="Times New Roman"/>
      <w:kern w:val="2"/>
      <w:sz w:val="21"/>
      <w:szCs w:val="21"/>
      <w:lang w:val="en-US" w:eastAsia="zh-CN" w:bidi="ar-SA"/>
      <w14:ligatures w14:val="standardContextual"/>
    </w:rPr>
  </w:style>
  <w:style w:type="table" w:customStyle="1" w:styleId="71">
    <w:name w:val="网格型3"/>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
    <w:name w:val="样式1"/>
    <w:basedOn w:val="25"/>
    <w:qFormat/>
    <w:uiPriority w:val="99"/>
    <w:pPr>
      <w:jc w:val="center"/>
    </w:pPr>
    <w:rPr>
      <w:rFonts w:eastAsia="仿宋"/>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73">
    <w:name w:val="网格型4"/>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
    <w:name w:val="网格型5"/>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
    <w:name w:val="网格型6"/>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6">
    <w:name w:val="font6"/>
    <w:basedOn w:val="1"/>
    <w:qFormat/>
    <w:uiPriority w:val="0"/>
    <w:pPr>
      <w:widowControl/>
      <w:spacing w:before="100" w:beforeAutospacing="1" w:after="100" w:afterAutospacing="1" w:line="240" w:lineRule="auto"/>
      <w:ind w:firstLine="0" w:firstLineChars="0"/>
      <w:jc w:val="left"/>
    </w:pPr>
    <w:rPr>
      <w:rFonts w:ascii="仿宋_GB2312" w:hAnsi="宋体" w:cs="宋体"/>
      <w:color w:val="000000"/>
      <w:kern w:val="0"/>
      <w:sz w:val="21"/>
      <w:szCs w:val="21"/>
      <w14:ligatures w14:val="none"/>
    </w:rPr>
  </w:style>
  <w:style w:type="paragraph" w:customStyle="1" w:styleId="77">
    <w:name w:val="font7"/>
    <w:basedOn w:val="1"/>
    <w:qFormat/>
    <w:uiPriority w:val="0"/>
    <w:pPr>
      <w:widowControl/>
      <w:spacing w:before="100" w:beforeAutospacing="1" w:after="100" w:afterAutospacing="1" w:line="240" w:lineRule="auto"/>
      <w:ind w:firstLine="0" w:firstLineChars="0"/>
      <w:jc w:val="left"/>
    </w:pPr>
    <w:rPr>
      <w:rFonts w:ascii="等线" w:hAnsi="等线" w:eastAsia="等线" w:cs="宋体"/>
      <w:kern w:val="0"/>
      <w:sz w:val="18"/>
      <w:szCs w:val="18"/>
      <w14:ligatures w14:val="none"/>
    </w:rPr>
  </w:style>
  <w:style w:type="paragraph" w:customStyle="1" w:styleId="78">
    <w:name w:val="font8"/>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1"/>
      <w:szCs w:val="21"/>
      <w14:ligatures w14:val="none"/>
    </w:rPr>
  </w:style>
  <w:style w:type="paragraph" w:customStyle="1" w:styleId="79">
    <w:name w:val="font9"/>
    <w:basedOn w:val="1"/>
    <w:qFormat/>
    <w:uiPriority w:val="0"/>
    <w:pPr>
      <w:widowControl/>
      <w:spacing w:before="100" w:beforeAutospacing="1" w:after="100" w:afterAutospacing="1" w:line="240" w:lineRule="auto"/>
      <w:ind w:firstLine="0" w:firstLineChars="0"/>
      <w:jc w:val="left"/>
    </w:pPr>
    <w:rPr>
      <w:rFonts w:eastAsia="宋体" w:cs="Times New Roman"/>
      <w:color w:val="000000"/>
      <w:kern w:val="0"/>
      <w:sz w:val="21"/>
      <w:szCs w:val="21"/>
      <w14:ligatures w14:val="none"/>
    </w:rPr>
  </w:style>
  <w:style w:type="paragraph" w:customStyle="1" w:styleId="80">
    <w:name w:val="font10"/>
    <w:basedOn w:val="1"/>
    <w:qFormat/>
    <w:uiPriority w:val="0"/>
    <w:pPr>
      <w:widowControl/>
      <w:spacing w:before="100" w:beforeAutospacing="1" w:after="100" w:afterAutospacing="1" w:line="240" w:lineRule="auto"/>
      <w:ind w:firstLine="0" w:firstLineChars="0"/>
      <w:jc w:val="left"/>
    </w:pPr>
    <w:rPr>
      <w:rFonts w:eastAsia="宋体" w:cs="Times New Roman"/>
      <w:kern w:val="0"/>
      <w:sz w:val="21"/>
      <w:szCs w:val="21"/>
      <w14:ligatures w14:val="none"/>
    </w:rPr>
  </w:style>
  <w:style w:type="paragraph" w:customStyle="1" w:styleId="81">
    <w:name w:val="font11"/>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21"/>
      <w:szCs w:val="21"/>
      <w14:ligatures w14:val="none"/>
    </w:rPr>
  </w:style>
  <w:style w:type="paragraph" w:customStyle="1" w:styleId="82">
    <w:name w:val="xl63"/>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仿宋_GB2312" w:hAnsi="宋体" w:cs="宋体"/>
      <w:kern w:val="0"/>
      <w:sz w:val="21"/>
      <w:szCs w:val="21"/>
      <w14:ligatures w14:val="none"/>
    </w:rPr>
  </w:style>
  <w:style w:type="paragraph" w:customStyle="1" w:styleId="83">
    <w:name w:val="xl64"/>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仿宋_GB2312" w:hAnsi="宋体" w:cs="宋体"/>
      <w:b/>
      <w:bCs/>
      <w:kern w:val="0"/>
      <w:sz w:val="21"/>
      <w:szCs w:val="21"/>
      <w14:ligatures w14:val="none"/>
    </w:rPr>
  </w:style>
  <w:style w:type="paragraph" w:customStyle="1" w:styleId="84">
    <w:name w:val="xl69"/>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21"/>
      <w:szCs w:val="21"/>
      <w14:ligatures w14:val="none"/>
    </w:rPr>
  </w:style>
  <w:style w:type="paragraph" w:customStyle="1" w:styleId="85">
    <w:name w:val="xl70"/>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21"/>
      <w:szCs w:val="21"/>
      <w14:ligatures w14:val="none"/>
    </w:rPr>
  </w:style>
  <w:style w:type="paragraph" w:customStyle="1" w:styleId="86">
    <w:name w:val="xl71"/>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21"/>
      <w:szCs w:val="21"/>
      <w14:ligatures w14:val="none"/>
    </w:rPr>
  </w:style>
  <w:style w:type="paragraph" w:customStyle="1" w:styleId="87">
    <w:name w:val="xl72"/>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21"/>
      <w:szCs w:val="21"/>
      <w14:ligatures w14:val="none"/>
    </w:rPr>
  </w:style>
  <w:style w:type="paragraph" w:customStyle="1" w:styleId="88">
    <w:name w:val="xl73"/>
    <w:basedOn w:val="1"/>
    <w:qFormat/>
    <w:uiPriority w:val="0"/>
    <w:pPr>
      <w:widowControl/>
      <w:pBdr>
        <w:left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21"/>
      <w:szCs w:val="21"/>
      <w14:ligatures w14:val="none"/>
    </w:rPr>
  </w:style>
  <w:style w:type="paragraph" w:customStyle="1" w:styleId="89">
    <w:name w:val="xl74"/>
    <w:basedOn w:val="1"/>
    <w:qFormat/>
    <w:uiPriority w:val="0"/>
    <w:pPr>
      <w:widowControl/>
      <w:pBdr>
        <w:left w:val="single" w:color="auto" w:sz="8" w:space="0"/>
        <w:bottom w:val="single" w:color="000000"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21"/>
      <w:szCs w:val="21"/>
      <w14:ligatures w14:val="none"/>
    </w:rPr>
  </w:style>
  <w:style w:type="paragraph" w:customStyle="1" w:styleId="90">
    <w:name w:val="xl75"/>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jc w:val="center"/>
      <w:textAlignment w:val="center"/>
    </w:pPr>
    <w:rPr>
      <w:rFonts w:ascii="仿宋_GB2312" w:hAnsi="宋体" w:cs="宋体"/>
      <w:kern w:val="0"/>
      <w:sz w:val="21"/>
      <w:szCs w:val="21"/>
      <w14:ligatures w14:val="none"/>
    </w:rPr>
  </w:style>
  <w:style w:type="paragraph" w:customStyle="1" w:styleId="91">
    <w:name w:val="xl76"/>
    <w:basedOn w:val="1"/>
    <w:qFormat/>
    <w:uiPriority w:val="0"/>
    <w:pPr>
      <w:widowControl/>
      <w:pBdr>
        <w:left w:val="single" w:color="auto" w:sz="8" w:space="0"/>
        <w:right w:val="single" w:color="auto" w:sz="8" w:space="0"/>
      </w:pBdr>
      <w:spacing w:before="100" w:beforeAutospacing="1" w:after="100" w:afterAutospacing="1" w:line="240" w:lineRule="auto"/>
      <w:ind w:firstLine="0" w:firstLineChars="0"/>
      <w:jc w:val="center"/>
      <w:textAlignment w:val="center"/>
    </w:pPr>
    <w:rPr>
      <w:rFonts w:ascii="仿宋_GB2312" w:hAnsi="宋体" w:cs="宋体"/>
      <w:kern w:val="0"/>
      <w:sz w:val="21"/>
      <w:szCs w:val="21"/>
      <w14:ligatures w14:val="none"/>
    </w:rPr>
  </w:style>
  <w:style w:type="paragraph" w:customStyle="1" w:styleId="92">
    <w:name w:val="xl77"/>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仿宋_GB2312" w:hAnsi="宋体" w:cs="宋体"/>
      <w:kern w:val="0"/>
      <w:sz w:val="21"/>
      <w:szCs w:val="21"/>
      <w14:ligatures w14:val="none"/>
    </w:rPr>
  </w:style>
  <w:style w:type="paragraph" w:customStyle="1" w:styleId="93">
    <w:name w:val="xl78"/>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21"/>
      <w:szCs w:val="21"/>
      <w14:ligatures w14:val="none"/>
    </w:rPr>
  </w:style>
  <w:style w:type="paragraph" w:customStyle="1" w:styleId="94">
    <w:name w:val="xl79"/>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21"/>
      <w:szCs w:val="21"/>
      <w14:ligatures w14:val="none"/>
    </w:rPr>
  </w:style>
  <w:style w:type="paragraph" w:customStyle="1" w:styleId="95">
    <w:name w:val="xl80"/>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21"/>
      <w:szCs w:val="21"/>
      <w14:ligatures w14:val="none"/>
    </w:rPr>
  </w:style>
  <w:style w:type="paragraph" w:customStyle="1" w:styleId="96">
    <w:name w:val="xl81"/>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21"/>
      <w:szCs w:val="21"/>
      <w14:ligatures w14:val="none"/>
    </w:rPr>
  </w:style>
  <w:style w:type="character" w:customStyle="1" w:styleId="97">
    <w:name w:val="批注文字 字符"/>
    <w:basedOn w:val="27"/>
    <w:link w:val="6"/>
    <w:semiHidden/>
    <w:qFormat/>
    <w:uiPriority w:val="99"/>
    <w:rPr>
      <w:rFonts w:ascii="Times New Roman" w:hAnsi="Times New Roman" w:eastAsia="仿宋_GB2312"/>
      <w:sz w:val="24"/>
    </w:rPr>
  </w:style>
  <w:style w:type="character" w:customStyle="1" w:styleId="98">
    <w:name w:val="批注主题 字符"/>
    <w:basedOn w:val="97"/>
    <w:link w:val="24"/>
    <w:semiHidden/>
    <w:qFormat/>
    <w:uiPriority w:val="99"/>
    <w:rPr>
      <w:rFonts w:ascii="Times New Roman" w:hAnsi="Times New Roman" w:eastAsia="仿宋_GB2312"/>
      <w:b/>
      <w:bCs/>
      <w:sz w:val="24"/>
    </w:rPr>
  </w:style>
  <w:style w:type="character" w:customStyle="1" w:styleId="99">
    <w:name w:val="批注框文本 字符"/>
    <w:basedOn w:val="27"/>
    <w:link w:val="14"/>
    <w:semiHidden/>
    <w:qFormat/>
    <w:uiPriority w:val="99"/>
    <w:rPr>
      <w:rFonts w:ascii="Times New Roman" w:hAnsi="Times New Roman" w:eastAsia="仿宋_GB2312"/>
      <w:sz w:val="18"/>
      <w:szCs w:val="18"/>
    </w:rPr>
  </w:style>
  <w:style w:type="paragraph" w:customStyle="1" w:styleId="100">
    <w:name w:val="修订1"/>
    <w:hidden/>
    <w:semiHidden/>
    <w:qFormat/>
    <w:uiPriority w:val="99"/>
    <w:rPr>
      <w:rFonts w:ascii="Times New Roman" w:hAnsi="Times New Roman" w:eastAsia="仿宋_GB2312" w:cstheme="minorBidi"/>
      <w:kern w:val="2"/>
      <w:sz w:val="24"/>
      <w:szCs w:val="22"/>
      <w:lang w:val="en-US" w:eastAsia="zh-CN" w:bidi="ar-SA"/>
      <w14:ligatures w14:val="standardContextual"/>
    </w:rPr>
  </w:style>
  <w:style w:type="paragraph" w:customStyle="1" w:styleId="101">
    <w:name w:val="TOC 标题1"/>
    <w:basedOn w:val="2"/>
    <w:next w:val="1"/>
    <w:unhideWhenUsed/>
    <w:qFormat/>
    <w:uiPriority w:val="39"/>
    <w:pPr>
      <w:widowControl/>
      <w:spacing w:before="240" w:line="259" w:lineRule="auto"/>
      <w:ind w:firstLine="0" w:firstLineChars="0"/>
      <w:jc w:val="left"/>
      <w:outlineLvl w:val="9"/>
    </w:pPr>
    <w:rPr>
      <w:rFonts w:asciiTheme="majorHAnsi" w:hAnsiTheme="majorHAnsi" w:eastAsiaTheme="majorEastAsia" w:cstheme="majorBidi"/>
      <w:b w:val="0"/>
      <w:bCs w:val="0"/>
      <w:color w:val="2F5597" w:themeColor="accent1" w:themeShade="BF"/>
      <w:kern w:val="0"/>
      <w:szCs w:val="32"/>
    </w:rPr>
  </w:style>
  <w:style w:type="character" w:customStyle="1" w:styleId="102">
    <w:name w:val="未处理的提及1"/>
    <w:basedOn w:val="27"/>
    <w:semiHidden/>
    <w:unhideWhenUsed/>
    <w:qFormat/>
    <w:uiPriority w:val="99"/>
    <w:rPr>
      <w:color w:val="605E5C"/>
      <w:shd w:val="clear" w:color="auto" w:fill="E1DFDD"/>
    </w:rPr>
  </w:style>
  <w:style w:type="paragraph" w:customStyle="1" w:styleId="103">
    <w:name w:val="修订2"/>
    <w:hidden/>
    <w:unhideWhenUsed/>
    <w:qFormat/>
    <w:uiPriority w:val="99"/>
    <w:rPr>
      <w:rFonts w:ascii="Times New Roman" w:hAnsi="Times New Roman" w:eastAsia="仿宋_GB2312" w:cstheme="minorBidi"/>
      <w:kern w:val="2"/>
      <w:sz w:val="24"/>
      <w:szCs w:val="22"/>
      <w:lang w:val="en-US" w:eastAsia="zh-CN" w:bidi="ar-SA"/>
      <w14:ligatures w14:val="standardContextual"/>
    </w:rPr>
  </w:style>
  <w:style w:type="character" w:customStyle="1" w:styleId="104">
    <w:name w:val="未处理的提及2"/>
    <w:basedOn w:val="27"/>
    <w:semiHidden/>
    <w:unhideWhenUsed/>
    <w:qFormat/>
    <w:uiPriority w:val="99"/>
    <w:rPr>
      <w:color w:val="605E5C"/>
      <w:shd w:val="clear" w:color="auto" w:fill="E1DFDD"/>
    </w:rPr>
  </w:style>
  <w:style w:type="paragraph" w:customStyle="1" w:styleId="105">
    <w:name w:val="修订3"/>
    <w:hidden/>
    <w:unhideWhenUsed/>
    <w:qFormat/>
    <w:uiPriority w:val="99"/>
    <w:rPr>
      <w:rFonts w:ascii="Times New Roman" w:hAnsi="Times New Roman" w:eastAsia="仿宋_GB2312" w:cstheme="minorBidi"/>
      <w:kern w:val="2"/>
      <w:sz w:val="24"/>
      <w:szCs w:val="22"/>
      <w:lang w:val="en-US" w:eastAsia="zh-CN" w:bidi="ar-SA"/>
      <w14:ligatures w14:val="standardContextual"/>
    </w:rPr>
  </w:style>
  <w:style w:type="character" w:customStyle="1" w:styleId="106">
    <w:name w:val="未处理的提及3"/>
    <w:basedOn w:val="27"/>
    <w:semiHidden/>
    <w:unhideWhenUsed/>
    <w:qFormat/>
    <w:uiPriority w:val="99"/>
    <w:rPr>
      <w:color w:val="605E5C"/>
      <w:shd w:val="clear" w:color="auto" w:fill="E1DFDD"/>
    </w:rPr>
  </w:style>
  <w:style w:type="paragraph" w:customStyle="1" w:styleId="107">
    <w:name w:val="4标题"/>
    <w:basedOn w:val="1"/>
    <w:next w:val="1"/>
    <w:qFormat/>
    <w:uiPriority w:val="0"/>
    <w:pPr>
      <w:adjustRightInd w:val="0"/>
      <w:snapToGrid w:val="0"/>
      <w:spacing w:line="360" w:lineRule="auto"/>
      <w:outlineLvl w:val="2"/>
    </w:pPr>
    <w:rPr>
      <w:rFonts w:ascii="黑体" w:eastAsia="黑体"/>
      <w:sz w:val="28"/>
    </w:rPr>
  </w:style>
  <w:style w:type="character" w:customStyle="1" w:styleId="108">
    <w:name w:val="6表(图)头(治) Char Char"/>
    <w:qFormat/>
    <w:uiPriority w:val="0"/>
    <w:rPr>
      <w:rFonts w:hint="eastAsia" w:ascii="黑体" w:eastAsia="黑体"/>
      <w:b/>
      <w:sz w:val="28"/>
      <w:szCs w:val="28"/>
      <w:lang w:val="en-US" w:eastAsia="zh-CN" w:bidi="ar-SA"/>
    </w:rPr>
  </w:style>
  <w:style w:type="character" w:customStyle="1" w:styleId="109">
    <w:name w:val="font21"/>
    <w:basedOn w:val="27"/>
    <w:qFormat/>
    <w:uiPriority w:val="0"/>
    <w:rPr>
      <w:rFonts w:hint="eastAsia" w:ascii="宋体" w:hAnsi="宋体" w:eastAsia="宋体" w:cs="宋体"/>
      <w:b/>
      <w:bCs/>
      <w:color w:val="000000"/>
      <w:sz w:val="20"/>
      <w:szCs w:val="20"/>
      <w:u w:val="none"/>
    </w:rPr>
  </w:style>
  <w:style w:type="character" w:customStyle="1" w:styleId="110">
    <w:name w:val="font31"/>
    <w:basedOn w:val="27"/>
    <w:qFormat/>
    <w:uiPriority w:val="0"/>
    <w:rPr>
      <w:rFonts w:ascii="Microsoft YaHei UI" w:hAnsi="Microsoft YaHei UI" w:eastAsia="Microsoft YaHei UI" w:cs="Microsoft YaHei UI"/>
      <w:b/>
      <w:bCs/>
      <w:color w:val="000000"/>
      <w:sz w:val="20"/>
      <w:szCs w:val="20"/>
      <w:u w:val="none"/>
    </w:rPr>
  </w:style>
  <w:style w:type="paragraph" w:customStyle="1" w:styleId="111">
    <w:name w:val="脚注文本1"/>
    <w:basedOn w:val="1"/>
    <w:next w:val="20"/>
    <w:link w:val="121"/>
    <w:qFormat/>
    <w:uiPriority w:val="0"/>
    <w:pPr>
      <w:snapToGrid w:val="0"/>
      <w:spacing w:line="360" w:lineRule="auto"/>
      <w:jc w:val="left"/>
    </w:pPr>
    <w:rPr>
      <w:rFonts w:hint="eastAsia" w:ascii="等线" w:hAnsi="等线" w:cs="Times New Roman"/>
      <w:kern w:val="32"/>
      <w:sz w:val="18"/>
      <w:szCs w:val="18"/>
    </w:rPr>
  </w:style>
  <w:style w:type="character" w:customStyle="1" w:styleId="112">
    <w:name w:val="+正文 Char"/>
    <w:basedOn w:val="27"/>
    <w:qFormat/>
    <w:uiPriority w:val="0"/>
    <w:rPr>
      <w:rFonts w:hint="default" w:ascii="Times New Roman" w:hAnsi="等线" w:eastAsia="等线" w:cs="Times New Roman"/>
      <w:szCs w:val="28"/>
    </w:rPr>
  </w:style>
  <w:style w:type="paragraph" w:customStyle="1" w:styleId="113">
    <w:name w:val="msolistparagraph"/>
    <w:basedOn w:val="1"/>
    <w:qFormat/>
    <w:uiPriority w:val="0"/>
    <w:pPr>
      <w:ind w:firstLine="420"/>
    </w:pPr>
    <w:rPr>
      <w:rFonts w:hint="eastAsia" w:ascii="等线" w:hAnsi="等线" w:eastAsia="等线" w:cs="Times New Roman"/>
      <w:sz w:val="21"/>
    </w:rPr>
  </w:style>
  <w:style w:type="character" w:customStyle="1" w:styleId="114">
    <w:name w:val="正文2 Char"/>
    <w:basedOn w:val="27"/>
    <w:qFormat/>
    <w:uiPriority w:val="0"/>
    <w:rPr>
      <w:rFonts w:hint="default" w:ascii="Times New Roman" w:hAnsi="Times New Roman" w:cs="Times New Roman"/>
    </w:rPr>
  </w:style>
  <w:style w:type="character" w:customStyle="1" w:styleId="115">
    <w:name w:val="4标题 Char Char"/>
    <w:basedOn w:val="27"/>
    <w:qFormat/>
    <w:uiPriority w:val="0"/>
    <w:rPr>
      <w:rFonts w:hint="eastAsia" w:ascii="黑体" w:hAnsi="宋体" w:eastAsia="黑体" w:cs="黑体"/>
      <w:sz w:val="28"/>
    </w:rPr>
  </w:style>
  <w:style w:type="character" w:customStyle="1" w:styleId="116">
    <w:name w:val="日期 字符"/>
    <w:basedOn w:val="27"/>
    <w:link w:val="12"/>
    <w:qFormat/>
    <w:uiPriority w:val="0"/>
    <w:rPr>
      <w:rFonts w:hint="default" w:ascii="Times New Roman" w:hAnsi="Times New Roman" w:cs="Times New Roman"/>
    </w:rPr>
  </w:style>
  <w:style w:type="character" w:customStyle="1" w:styleId="117">
    <w:name w:val="列表 字符"/>
    <w:basedOn w:val="27"/>
    <w:link w:val="19"/>
    <w:qFormat/>
    <w:uiPriority w:val="0"/>
    <w:rPr>
      <w:rFonts w:hint="default" w:ascii="Times New Roman" w:hAnsi="Times New Roman" w:cs="Times New Roman"/>
      <w:szCs w:val="20"/>
    </w:rPr>
  </w:style>
  <w:style w:type="character" w:customStyle="1" w:styleId="118">
    <w:name w:val="列表段落 字符"/>
    <w:basedOn w:val="27"/>
    <w:qFormat/>
    <w:uiPriority w:val="0"/>
  </w:style>
  <w:style w:type="character" w:customStyle="1" w:styleId="119">
    <w:name w:val="列表段落 字符1"/>
    <w:basedOn w:val="27"/>
    <w:qFormat/>
    <w:uiPriority w:val="0"/>
  </w:style>
  <w:style w:type="paragraph" w:customStyle="1" w:styleId="120">
    <w:name w:val="Table Paragraph"/>
    <w:basedOn w:val="1"/>
    <w:qFormat/>
    <w:uiPriority w:val="0"/>
    <w:pPr>
      <w:autoSpaceDE w:val="0"/>
      <w:autoSpaceDN w:val="0"/>
      <w:adjustRightInd w:val="0"/>
      <w:jc w:val="left"/>
    </w:pPr>
    <w:rPr>
      <w:rFonts w:eastAsia="等线" w:cs="Times New Roman"/>
      <w:kern w:val="0"/>
      <w:szCs w:val="24"/>
    </w:rPr>
  </w:style>
  <w:style w:type="character" w:customStyle="1" w:styleId="121">
    <w:name w:val="脚注文本 字符"/>
    <w:basedOn w:val="27"/>
    <w:link w:val="111"/>
    <w:qFormat/>
    <w:uiPriority w:val="0"/>
    <w:rPr>
      <w:rFonts w:hint="eastAsia" w:ascii="仿宋_GB2312" w:eastAsia="仿宋_GB2312" w:cs="仿宋_GB2312"/>
      <w:kern w:val="32"/>
      <w:sz w:val="18"/>
      <w:szCs w:val="18"/>
    </w:rPr>
  </w:style>
  <w:style w:type="character" w:customStyle="1" w:styleId="122">
    <w:name w:val="脚注文本 字符1"/>
    <w:basedOn w:val="27"/>
    <w:link w:val="20"/>
    <w:qFormat/>
    <w:uiPriority w:val="0"/>
    <w:rPr>
      <w:sz w:val="18"/>
      <w:szCs w:val="18"/>
    </w:rPr>
  </w:style>
  <w:style w:type="character" w:customStyle="1" w:styleId="123">
    <w:name w:val="正文文本 字符"/>
    <w:basedOn w:val="27"/>
    <w:link w:val="7"/>
    <w:qFormat/>
    <w:uiPriority w:val="0"/>
    <w:rPr>
      <w:rFonts w:hint="default" w:ascii="Times New Roman" w:hAnsi="Times New Roman" w:eastAsia="仿宋_GB2312" w:cs="Times New Roman"/>
      <w:i/>
      <w:iCs/>
      <w:spacing w:val="-1"/>
      <w:kern w:val="0"/>
      <w:sz w:val="24"/>
      <w:szCs w:val="21"/>
      <w:lang w:val="en-US" w:eastAsia="en-US"/>
    </w:rPr>
  </w:style>
  <w:style w:type="character" w:customStyle="1" w:styleId="124">
    <w:name w:val="表格文字 Char1"/>
    <w:basedOn w:val="27"/>
    <w:qFormat/>
    <w:uiPriority w:val="0"/>
    <w:rPr>
      <w:rFonts w:hint="default" w:ascii="Times New Roman" w:hAnsi="Times New Roman" w:cs="Times New Roman"/>
      <w:szCs w:val="20"/>
    </w:rPr>
  </w:style>
  <w:style w:type="paragraph" w:customStyle="1" w:styleId="125">
    <w:name w:val="表、图"/>
    <w:basedOn w:val="1"/>
    <w:qFormat/>
    <w:uiPriority w:val="0"/>
    <w:pPr>
      <w:widowControl/>
      <w:jc w:val="center"/>
      <w:outlineLvl w:val="8"/>
    </w:pPr>
    <w:rPr>
      <w:rFonts w:eastAsia="黑体" w:cs="Times New Roman"/>
    </w:rPr>
  </w:style>
  <w:style w:type="character" w:customStyle="1" w:styleId="126">
    <w:name w:val="表 Char"/>
    <w:basedOn w:val="27"/>
    <w:qFormat/>
    <w:uiPriority w:val="0"/>
    <w:rPr>
      <w:rFonts w:hint="default" w:ascii="Calibri" w:hAnsi="Calibri" w:eastAsia="宋体" w:cs="Times New Roman"/>
    </w:rPr>
  </w:style>
  <w:style w:type="character" w:customStyle="1" w:styleId="127">
    <w:name w:val="尾注文本 字符"/>
    <w:basedOn w:val="27"/>
    <w:link w:val="13"/>
    <w:qFormat/>
    <w:uiPriority w:val="0"/>
  </w:style>
  <w:style w:type="table" w:customStyle="1" w:styleId="128">
    <w:name w:val="Table Grid22"/>
    <w:basedOn w:val="25"/>
    <w:qFormat/>
    <w:uiPriority w:val="0"/>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op w:val="single" w:color="000000" w:sz="4" w:space="0"/>
        <w:left w:val="single" w:color="000000" w:sz="4" w:space="0"/>
        <w:bottom w:val="single" w:color="000000" w:sz="4" w:space="0"/>
        <w:right w:val="single" w:color="000000" w:sz="4" w:space="0"/>
      </w:tcBorders>
    </w:tcPr>
  </w:style>
  <w:style w:type="table" w:customStyle="1" w:styleId="129">
    <w:name w:val="网格型9"/>
    <w:basedOn w:val="25"/>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30">
    <w:name w:val="网格型7"/>
    <w:basedOn w:val="25"/>
    <w:qFormat/>
    <w:uiPriority w:val="0"/>
    <w:rPr>
      <w:rFonts w:hint="eastAsia" w:ascii="等线" w:hAnsi="等线" w:eastAsia="等线" w:cs="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31">
    <w:name w:val="网格型10"/>
    <w:basedOn w:val="25"/>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132">
    <w:name w:val="maoli1"/>
    <w:basedOn w:val="25"/>
    <w:qFormat/>
    <w:uiPriority w:val="0"/>
    <w:rPr>
      <w:rFonts w:hint="eastAsia" w:ascii="等线" w:hAnsi="等线" w:eastAsia="仿宋_GB2312" w:cs="等线"/>
      <w:sz w:val="21"/>
    </w:rPr>
    <w:tblPr>
      <w:tblBorders>
        <w:top w:val="single" w:color="auto" w:sz="12" w:space="0"/>
        <w:bottom w:val="single" w:color="auto" w:sz="12" w:space="0"/>
        <w:insideH w:val="single" w:color="auto" w:sz="4" w:space="0"/>
        <w:insideV w:val="single" w:color="auto" w:sz="4" w:space="0"/>
      </w:tblBorders>
    </w:tblPr>
    <w:tcPr>
      <w:tcBorders>
        <w:top w:val="single" w:color="auto" w:sz="12" w:space="0"/>
        <w:left w:val="nil"/>
        <w:bottom w:val="single" w:color="auto" w:sz="12" w:space="0"/>
        <w:right w:val="nil"/>
      </w:tcBorders>
      <w:vAlign w:val="center"/>
    </w:tcPr>
  </w:style>
  <w:style w:type="paragraph" w:customStyle="1" w:styleId="133">
    <w:name w:val="Table Text"/>
    <w:basedOn w:val="1"/>
    <w:semiHidden/>
    <w:qFormat/>
    <w:uiPriority w:val="0"/>
    <w:rPr>
      <w:rFonts w:ascii="方正仿宋_GB2312" w:hAnsi="方正仿宋_GB2312" w:eastAsia="方正仿宋_GB2312" w:cs="方正仿宋_GB2312"/>
      <w:sz w:val="21"/>
      <w:szCs w:val="21"/>
      <w:lang w:eastAsia="en-US"/>
    </w:rPr>
  </w:style>
  <w:style w:type="table" w:customStyle="1" w:styleId="134">
    <w:name w:val="Table Normal"/>
    <w:semiHidden/>
    <w:unhideWhenUsed/>
    <w:qFormat/>
    <w:uiPriority w:val="0"/>
    <w:tblPr>
      <w:tblCellMar>
        <w:top w:w="0" w:type="dxa"/>
        <w:left w:w="0" w:type="dxa"/>
        <w:bottom w:w="0" w:type="dxa"/>
        <w:right w:w="0" w:type="dxa"/>
      </w:tblCellMar>
    </w:tblPr>
  </w:style>
  <w:style w:type="character" w:customStyle="1" w:styleId="135">
    <w:name w:val="font61"/>
    <w:basedOn w:val="27"/>
    <w:qFormat/>
    <w:uiPriority w:val="0"/>
    <w:rPr>
      <w:rFonts w:hint="default" w:ascii="Times New Roman" w:hAnsi="Times New Roman" w:cs="Times New Roman"/>
      <w:color w:val="000000"/>
      <w:sz w:val="20"/>
      <w:szCs w:val="20"/>
      <w:u w:val="none"/>
    </w:rPr>
  </w:style>
  <w:style w:type="character" w:customStyle="1" w:styleId="136">
    <w:name w:val="font71"/>
    <w:basedOn w:val="27"/>
    <w:qFormat/>
    <w:uiPriority w:val="0"/>
    <w:rPr>
      <w:rFonts w:ascii="仿宋_GB2312" w:eastAsia="仿宋_GB2312" w:cs="仿宋_GB2312"/>
      <w:color w:val="000000"/>
      <w:sz w:val="20"/>
      <w:szCs w:val="20"/>
      <w:u w:val="none"/>
    </w:rPr>
  </w:style>
  <w:style w:type="character" w:customStyle="1" w:styleId="137">
    <w:name w:val="font81"/>
    <w:basedOn w:val="27"/>
    <w:qFormat/>
    <w:uiPriority w:val="0"/>
    <w:rPr>
      <w:rFonts w:hint="default" w:ascii="Times New Roman" w:hAnsi="Times New Roman" w:cs="Times New Roman"/>
      <w:color w:val="000000"/>
      <w:sz w:val="20"/>
      <w:szCs w:val="20"/>
      <w:u w:val="none"/>
    </w:rPr>
  </w:style>
  <w:style w:type="paragraph" w:customStyle="1" w:styleId="138">
    <w:name w:val="图表"/>
    <w:basedOn w:val="1"/>
    <w:next w:val="1"/>
    <w:qFormat/>
    <w:uiPriority w:val="0"/>
    <w:pPr>
      <w:spacing w:before="50" w:beforeLines="50" w:line="240" w:lineRule="auto"/>
      <w:ind w:firstLine="0" w:firstLineChars="0"/>
      <w:jc w:val="center"/>
      <w:outlineLvl w:val="8"/>
    </w:pPr>
    <w:rPr>
      <w:b/>
      <w:sz w:val="21"/>
    </w:rPr>
  </w:style>
  <w:style w:type="character" w:customStyle="1" w:styleId="139">
    <w:name w:val="font41"/>
    <w:basedOn w:val="27"/>
    <w:qFormat/>
    <w:uiPriority w:val="0"/>
    <w:rPr>
      <w:rFonts w:hint="default" w:ascii="Times New Roman" w:hAnsi="Times New Roman" w:cs="Times New Roman"/>
      <w:color w:val="000000"/>
      <w:sz w:val="20"/>
      <w:szCs w:val="20"/>
      <w:u w:val="none"/>
    </w:rPr>
  </w:style>
  <w:style w:type="character" w:customStyle="1" w:styleId="140">
    <w:name w:val="Unresolved Mention"/>
    <w:basedOn w:val="27"/>
    <w:semiHidden/>
    <w:unhideWhenUsed/>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8" Type="http://schemas.openxmlformats.org/officeDocument/2006/relationships/fontTable" Target="fontTable.xml"/><Relationship Id="rId87" Type="http://schemas.openxmlformats.org/officeDocument/2006/relationships/customXml" Target="../customXml/item3.xml"/><Relationship Id="rId86" Type="http://schemas.openxmlformats.org/officeDocument/2006/relationships/customXml" Target="../customXml/item2.xml"/><Relationship Id="rId85" Type="http://schemas.openxmlformats.org/officeDocument/2006/relationships/numbering" Target="numbering.xml"/><Relationship Id="rId84" Type="http://schemas.openxmlformats.org/officeDocument/2006/relationships/customXml" Target="../customXml/item1.xml"/><Relationship Id="rId83" Type="http://schemas.openxmlformats.org/officeDocument/2006/relationships/image" Target="media/image64.jpeg"/><Relationship Id="rId82" Type="http://schemas.openxmlformats.org/officeDocument/2006/relationships/image" Target="media/image63.jpeg"/><Relationship Id="rId81" Type="http://schemas.openxmlformats.org/officeDocument/2006/relationships/image" Target="media/image62.jpeg"/><Relationship Id="rId80" Type="http://schemas.openxmlformats.org/officeDocument/2006/relationships/image" Target="media/image61.jpeg"/><Relationship Id="rId8" Type="http://schemas.openxmlformats.org/officeDocument/2006/relationships/footer" Target="footer1.xml"/><Relationship Id="rId79" Type="http://schemas.openxmlformats.org/officeDocument/2006/relationships/image" Target="media/image60.jpeg"/><Relationship Id="rId78" Type="http://schemas.openxmlformats.org/officeDocument/2006/relationships/image" Target="media/image59.png"/><Relationship Id="rId77" Type="http://schemas.openxmlformats.org/officeDocument/2006/relationships/image" Target="media/image58.png"/><Relationship Id="rId76" Type="http://schemas.openxmlformats.org/officeDocument/2006/relationships/image" Target="media/image57.jpeg"/><Relationship Id="rId75" Type="http://schemas.microsoft.com/office/2007/relationships/hdphoto" Target="media/image56.wdp"/><Relationship Id="rId74" Type="http://schemas.openxmlformats.org/officeDocument/2006/relationships/image" Target="media/image55.png"/><Relationship Id="rId73" Type="http://schemas.openxmlformats.org/officeDocument/2006/relationships/image" Target="media/image54.png"/><Relationship Id="rId72" Type="http://schemas.openxmlformats.org/officeDocument/2006/relationships/image" Target="media/image53.png"/><Relationship Id="rId71" Type="http://schemas.openxmlformats.org/officeDocument/2006/relationships/image" Target="media/image52.wmf"/><Relationship Id="rId70" Type="http://schemas.openxmlformats.org/officeDocument/2006/relationships/oleObject" Target="embeddings/oleObject1.bin"/><Relationship Id="rId7" Type="http://schemas.openxmlformats.org/officeDocument/2006/relationships/header" Target="header3.xml"/><Relationship Id="rId69" Type="http://schemas.openxmlformats.org/officeDocument/2006/relationships/image" Target="media/image51.wmf"/><Relationship Id="rId68" Type="http://schemas.openxmlformats.org/officeDocument/2006/relationships/image" Target="media/image50.jpeg"/><Relationship Id="rId67" Type="http://schemas.openxmlformats.org/officeDocument/2006/relationships/image" Target="media/image49.jpeg"/><Relationship Id="rId66" Type="http://schemas.openxmlformats.org/officeDocument/2006/relationships/image" Target="media/image48.wmf"/><Relationship Id="rId65" Type="http://schemas.openxmlformats.org/officeDocument/2006/relationships/image" Target="media/image47.emf"/><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emf"/><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header" Target="header2.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emf"/><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emf"/><Relationship Id="rId52" Type="http://schemas.openxmlformats.org/officeDocument/2006/relationships/image" Target="media/image34.emf"/><Relationship Id="rId51" Type="http://schemas.openxmlformats.org/officeDocument/2006/relationships/image" Target="media/image33.emf"/><Relationship Id="rId50" Type="http://schemas.openxmlformats.org/officeDocument/2006/relationships/image" Target="media/image32.emf"/><Relationship Id="rId5" Type="http://schemas.openxmlformats.org/officeDocument/2006/relationships/header" Target="header1.xml"/><Relationship Id="rId49" Type="http://schemas.openxmlformats.org/officeDocument/2006/relationships/image" Target="media/image31.jpeg"/><Relationship Id="rId48" Type="http://schemas.openxmlformats.org/officeDocument/2006/relationships/image" Target="media/image30.jpe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emf"/><Relationship Id="rId44" Type="http://schemas.openxmlformats.org/officeDocument/2006/relationships/image" Target="media/image26.emf"/><Relationship Id="rId43" Type="http://schemas.openxmlformats.org/officeDocument/2006/relationships/image" Target="media/image25.emf"/><Relationship Id="rId42" Type="http://schemas.openxmlformats.org/officeDocument/2006/relationships/image" Target="media/image24.emf"/><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endnotes" Target="endnotes.xml"/><Relationship Id="rId39" Type="http://schemas.microsoft.com/office/2007/relationships/hdphoto" Target="media/image21.wdp"/><Relationship Id="rId38" Type="http://schemas.openxmlformats.org/officeDocument/2006/relationships/image" Target="media/image20.png"/><Relationship Id="rId37" Type="http://schemas.microsoft.com/office/2007/relationships/hdphoto" Target="media/image19.wdp"/><Relationship Id="rId36" Type="http://schemas.openxmlformats.org/officeDocument/2006/relationships/image" Target="media/image18.png"/><Relationship Id="rId35" Type="http://schemas.microsoft.com/office/2007/relationships/hdphoto" Target="media/image17.wdp"/><Relationship Id="rId34" Type="http://schemas.openxmlformats.org/officeDocument/2006/relationships/image" Target="media/image16.png"/><Relationship Id="rId33" Type="http://schemas.microsoft.com/office/2007/relationships/hdphoto" Target="media/image15.wdp"/><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chart" Target="charts/chart5.xml"/><Relationship Id="rId3" Type="http://schemas.openxmlformats.org/officeDocument/2006/relationships/footnotes" Target="footnotes.xml"/><Relationship Id="rId29" Type="http://schemas.openxmlformats.org/officeDocument/2006/relationships/chart" Target="charts/chart4.xml"/><Relationship Id="rId28" Type="http://schemas.openxmlformats.org/officeDocument/2006/relationships/chart" Target="charts/chart3.xml"/><Relationship Id="rId27" Type="http://schemas.openxmlformats.org/officeDocument/2006/relationships/chart" Target="charts/chart2.xml"/><Relationship Id="rId26" Type="http://schemas.openxmlformats.org/officeDocument/2006/relationships/chart" Target="charts/chart1.xml"/><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jpe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emf"/><Relationship Id="rId13" Type="http://schemas.openxmlformats.org/officeDocument/2006/relationships/package" Target="embeddings/Microsoft_Visio___1.vsdx"/><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 TargetMode="External"/></Relationships>
</file>

<file path=word/charts/_rels/chart2.xml.rels><?xml version="1.0" encoding="UTF-8" standalone="yes"?>
<Relationships xmlns="http://schemas.openxmlformats.org/package/2006/relationships"><Relationship Id="rId4" Type="http://schemas.microsoft.com/office/2011/relationships/chartColorStyle" Target="colors2.xml"/><Relationship Id="rId3" Type="http://schemas.microsoft.com/office/2011/relationships/chartStyle" Target="style2.xml"/><Relationship Id="rId2" Type="http://schemas.openxmlformats.org/officeDocument/2006/relationships/themeOverride" Target="../theme/themeOverride1.xml"/><Relationship Id="rId1" Type="http://schemas.openxmlformats.org/officeDocument/2006/relationships/oleObject" Target="file:///E:\" TargetMode="External"/></Relationships>
</file>

<file path=word/charts/_rels/chart3.xml.rels><?xml version="1.0" encoding="UTF-8" standalone="yes"?>
<Relationships xmlns="http://schemas.openxmlformats.org/package/2006/relationships"><Relationship Id="rId4" Type="http://schemas.microsoft.com/office/2011/relationships/chartColorStyle" Target="colors3.xml"/><Relationship Id="rId3" Type="http://schemas.microsoft.com/office/2011/relationships/chartStyle" Target="style3.xml"/><Relationship Id="rId2" Type="http://schemas.openxmlformats.org/officeDocument/2006/relationships/themeOverride" Target="../theme/themeOverride2.xml"/><Relationship Id="rId1" Type="http://schemas.openxmlformats.org/officeDocument/2006/relationships/oleObject" Target="file:///E:\" TargetMode="External"/></Relationships>
</file>

<file path=word/charts/_rels/chart4.xml.rels><?xml version="1.0" encoding="UTF-8" standalone="yes"?>
<Relationships xmlns="http://schemas.openxmlformats.org/package/2006/relationships"><Relationship Id="rId4" Type="http://schemas.microsoft.com/office/2011/relationships/chartColorStyle" Target="colors4.xml"/><Relationship Id="rId3" Type="http://schemas.microsoft.com/office/2011/relationships/chartStyle" Target="style4.xml"/><Relationship Id="rId2" Type="http://schemas.openxmlformats.org/officeDocument/2006/relationships/themeOverride" Target="../theme/themeOverride3.xml"/><Relationship Id="rId1" Type="http://schemas.openxmlformats.org/officeDocument/2006/relationships/oleObject" Target="file:///E:\" TargetMode="External"/></Relationships>
</file>

<file path=word/charts/_rels/chart5.xml.rels><?xml version="1.0" encoding="UTF-8" standalone="yes"?>
<Relationships xmlns="http://schemas.openxmlformats.org/package/2006/relationships"><Relationship Id="rId4" Type="http://schemas.microsoft.com/office/2011/relationships/chartColorStyle" Target="colors5.xml"/><Relationship Id="rId3" Type="http://schemas.microsoft.com/office/2011/relationships/chartStyle" Target="style5.xml"/><Relationship Id="rId2" Type="http://schemas.openxmlformats.org/officeDocument/2006/relationships/themeOverride" Target="../theme/themeOverride4.xml"/><Relationship Id="rId1" Type="http://schemas.openxmlformats.org/officeDocument/2006/relationships/oleObject" Target="file:///E:\"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向阳水库!$B$1</c:f>
              <c:strCache>
                <c:ptCount val="1"/>
                <c:pt idx="0">
                  <c:v>百分比</c:v>
                </c:pt>
              </c:strCache>
            </c:strRef>
          </c:tx>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zh-CN" sz="10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向阳水库!$A$2:$A$3</c:f>
              <c:strCache>
                <c:ptCount val="2"/>
                <c:pt idx="0">
                  <c:v>木兰纲</c:v>
                </c:pt>
                <c:pt idx="1">
                  <c:v>百合纲</c:v>
                </c:pt>
              </c:strCache>
            </c:strRef>
          </c:cat>
          <c:val>
            <c:numRef>
              <c:f>向阳水库!$B$2:$B$3</c:f>
              <c:numCache>
                <c:formatCode>0%</c:formatCode>
                <c:ptCount val="2"/>
                <c:pt idx="0">
                  <c:v>0.84</c:v>
                </c:pt>
                <c:pt idx="1">
                  <c:v>0.16</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lang="zh-CN" sz="10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Entry>
      <c:legendEntry>
        <c:idx val="1"/>
        <c:txPr>
          <a:bodyPr rot="0" spcFirstLastPara="1" vertOverflow="ellipsis" vert="horz" wrap="square" anchor="ctr" anchorCtr="1"/>
          <a:lstStyle/>
          <a:p>
            <a:pPr>
              <a:defRPr lang="zh-CN" sz="10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Entry>
      <c:layout/>
      <c:overlay val="0"/>
      <c:spPr>
        <a:noFill/>
        <a:ln>
          <a:noFill/>
        </a:ln>
        <a:effectLst/>
      </c:spPr>
      <c:txPr>
        <a:bodyPr rot="0" spcFirstLastPara="1" vertOverflow="ellipsis" vert="horz" wrap="square" anchor="ctr" anchorCtr="1"/>
        <a:lstStyle/>
        <a:p>
          <a:pPr>
            <a:defRPr lang="zh-CN" sz="10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
    <c:plotVisOnly val="1"/>
    <c:dispBlanksAs val="gap"/>
    <c:showDLblsOverMax val="0"/>
    <c:extLst>
      <c:ext uri="{0b15fc19-7d7d-44ad-8c2d-2c3a37ce22c3}">
        <chartProps xmlns="https://web.wps.cn/et/2018/main" chartId="{827a827e-526c-4c6c-b58f-e595a0425bd1}"/>
      </c:ext>
    </c:extLst>
  </c:chart>
  <c:spPr>
    <a:solidFill>
      <a:schemeClr val="bg1"/>
    </a:solidFill>
    <a:ln w="9525" cap="flat" cmpd="sng" algn="ctr">
      <a:no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茅山风景区!$B$1</c:f>
              <c:strCache>
                <c:ptCount val="1"/>
                <c:pt idx="0">
                  <c:v>百分比</c:v>
                </c:pt>
              </c:strCache>
            </c:strRef>
          </c:tx>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zh-CN" sz="10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茅山风景区!$A$2:$A$5</c:f>
              <c:strCache>
                <c:ptCount val="4"/>
                <c:pt idx="0">
                  <c:v>木兰纲</c:v>
                </c:pt>
                <c:pt idx="1">
                  <c:v>百合纲</c:v>
                </c:pt>
                <c:pt idx="2">
                  <c:v>裸子植物</c:v>
                </c:pt>
                <c:pt idx="3">
                  <c:v>蕨类植物</c:v>
                </c:pt>
              </c:strCache>
            </c:strRef>
          </c:cat>
          <c:val>
            <c:numRef>
              <c:f>茅山风景区!$B$2:$B$5</c:f>
              <c:numCache>
                <c:formatCode>0%</c:formatCode>
                <c:ptCount val="4"/>
                <c:pt idx="0">
                  <c:v>0.78</c:v>
                </c:pt>
                <c:pt idx="1">
                  <c:v>0.16</c:v>
                </c:pt>
                <c:pt idx="2">
                  <c:v>0.02</c:v>
                </c:pt>
                <c:pt idx="3">
                  <c:v>0.04</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lang="zh-CN" sz="10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Entry>
      <c:legendEntry>
        <c:idx val="1"/>
        <c:txPr>
          <a:bodyPr rot="0" spcFirstLastPara="1" vertOverflow="ellipsis" vert="horz" wrap="square" anchor="ctr" anchorCtr="1"/>
          <a:lstStyle/>
          <a:p>
            <a:pPr>
              <a:defRPr lang="zh-CN" sz="10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Entry>
      <c:layout/>
      <c:overlay val="0"/>
      <c:spPr>
        <a:noFill/>
        <a:ln>
          <a:noFill/>
        </a:ln>
        <a:effectLst/>
      </c:spPr>
      <c:txPr>
        <a:bodyPr rot="0" spcFirstLastPara="1" vertOverflow="ellipsis" vert="horz" wrap="square" anchor="ctr" anchorCtr="1"/>
        <a:lstStyle/>
        <a:p>
          <a:pPr>
            <a:defRPr lang="zh-CN" sz="10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
    <c:plotVisOnly val="1"/>
    <c:dispBlanksAs val="gap"/>
    <c:showDLblsOverMax val="0"/>
    <c:extLst>
      <c:ext uri="{0b15fc19-7d7d-44ad-8c2d-2c3a37ce22c3}">
        <chartProps xmlns="https://web.wps.cn/et/2018/main" chartId="{b9f44d8e-74c8-4542-abb5-46bdfc05d665}"/>
      </c:ext>
    </c:extLst>
  </c:chart>
  <c:spPr>
    <a:solidFill>
      <a:schemeClr val="bg1"/>
    </a:solidFill>
    <a:ln w="9525" cap="flat" cmpd="sng" algn="ctr">
      <a:no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茅东山水库!$B$1</c:f>
              <c:strCache>
                <c:ptCount val="1"/>
                <c:pt idx="0">
                  <c:v>百分比</c:v>
                </c:pt>
              </c:strCache>
            </c:strRef>
          </c:tx>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zh-CN" sz="10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茅东山水库!$A$2:$A$4</c:f>
              <c:strCache>
                <c:ptCount val="3"/>
                <c:pt idx="0">
                  <c:v>木兰纲</c:v>
                </c:pt>
                <c:pt idx="1">
                  <c:v>百合纲</c:v>
                </c:pt>
                <c:pt idx="2">
                  <c:v>裸子植物</c:v>
                </c:pt>
              </c:strCache>
            </c:strRef>
          </c:cat>
          <c:val>
            <c:numRef>
              <c:f>茅东山水库!$B$2:$B$4</c:f>
              <c:numCache>
                <c:formatCode>0%</c:formatCode>
                <c:ptCount val="3"/>
                <c:pt idx="0">
                  <c:v>0.8</c:v>
                </c:pt>
                <c:pt idx="1">
                  <c:v>0.15</c:v>
                </c:pt>
                <c:pt idx="2">
                  <c:v>0.05</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lang="zh-CN" sz="10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Entry>
      <c:legendEntry>
        <c:idx val="1"/>
        <c:txPr>
          <a:bodyPr rot="0" spcFirstLastPara="1" vertOverflow="ellipsis" vert="horz" wrap="square" anchor="ctr" anchorCtr="1"/>
          <a:lstStyle/>
          <a:p>
            <a:pPr>
              <a:defRPr lang="zh-CN" sz="10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Entry>
      <c:legendEntry>
        <c:idx val="2"/>
        <c:txPr>
          <a:bodyPr rot="0" spcFirstLastPara="1" vertOverflow="ellipsis" vert="horz" wrap="square" anchor="ctr" anchorCtr="1"/>
          <a:lstStyle/>
          <a:p>
            <a:pPr>
              <a:defRPr lang="zh-CN" sz="10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Entry>
      <c:layout/>
      <c:overlay val="0"/>
      <c:spPr>
        <a:noFill/>
        <a:ln>
          <a:noFill/>
        </a:ln>
        <a:effectLst/>
      </c:spPr>
      <c:txPr>
        <a:bodyPr rot="0" spcFirstLastPara="1" vertOverflow="ellipsis" vert="horz" wrap="square" anchor="ctr" anchorCtr="1"/>
        <a:lstStyle/>
        <a:p>
          <a:pPr>
            <a:defRPr lang="zh-CN" sz="900" b="0" i="0" u="none" strike="noStrike" kern="1200" baseline="0">
              <a:solidFill>
                <a:sysClr val="windowText" lastClr="000000"/>
              </a:solidFill>
              <a:latin typeface="+mn-lt"/>
              <a:ea typeface="+mn-ea"/>
              <a:cs typeface="+mn-cs"/>
            </a:defRPr>
          </a:pPr>
        </a:p>
      </c:txPr>
    </c:legend>
    <c:plotVisOnly val="1"/>
    <c:dispBlanksAs val="gap"/>
    <c:showDLblsOverMax val="0"/>
    <c:extLst>
      <c:ext uri="{0b15fc19-7d7d-44ad-8c2d-2c3a37ce22c3}">
        <chartProps xmlns="https://web.wps.cn/et/2018/main" chartId="{c45d3609-2e31-43a8-98e3-bcb1fb00c9b8}"/>
      </c:ext>
    </c:extLst>
  </c:chart>
  <c:spPr>
    <a:solidFill>
      <a:schemeClr val="bg1"/>
    </a:solidFill>
    <a:ln w="9525" cap="flat" cmpd="sng" algn="ctr">
      <a:no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四棚洼生态公益林!$B$1</c:f>
              <c:strCache>
                <c:ptCount val="1"/>
                <c:pt idx="0">
                  <c:v>百分比</c:v>
                </c:pt>
              </c:strCache>
            </c:strRef>
          </c:tx>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zh-CN" sz="10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四棚洼生态公益林!$A$2:$A$4</c:f>
              <c:strCache>
                <c:ptCount val="3"/>
                <c:pt idx="0">
                  <c:v>木兰纲</c:v>
                </c:pt>
                <c:pt idx="1">
                  <c:v>百合纲</c:v>
                </c:pt>
                <c:pt idx="2">
                  <c:v>裸子植物</c:v>
                </c:pt>
              </c:strCache>
            </c:strRef>
          </c:cat>
          <c:val>
            <c:numRef>
              <c:f>四棚洼生态公益林!$B$2:$B$4</c:f>
              <c:numCache>
                <c:formatCode>0%</c:formatCode>
                <c:ptCount val="3"/>
                <c:pt idx="0">
                  <c:v>0.84</c:v>
                </c:pt>
                <c:pt idx="1">
                  <c:v>0.12</c:v>
                </c:pt>
                <c:pt idx="2">
                  <c:v>0.04</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lang="zh-CN" sz="10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Entry>
      <c:legendEntry>
        <c:idx val="1"/>
        <c:txPr>
          <a:bodyPr rot="0" spcFirstLastPara="1" vertOverflow="ellipsis" vert="horz" wrap="square" anchor="ctr" anchorCtr="1"/>
          <a:lstStyle/>
          <a:p>
            <a:pPr>
              <a:defRPr lang="zh-CN" sz="9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Entry>
      <c:layout/>
      <c:overlay val="0"/>
      <c:spPr>
        <a:noFill/>
        <a:ln>
          <a:noFill/>
        </a:ln>
        <a:effectLst/>
      </c:spPr>
      <c:txPr>
        <a:bodyPr rot="0" spcFirstLastPara="1" vertOverflow="ellipsis" vert="horz" wrap="square" anchor="ctr" anchorCtr="1"/>
        <a:lstStyle/>
        <a:p>
          <a:pPr>
            <a:defRPr lang="zh-CN" sz="900" b="0" i="0" u="none" strike="noStrike" kern="1200" baseline="0">
              <a:solidFill>
                <a:sysClr val="windowText" lastClr="000000"/>
              </a:solidFill>
              <a:latin typeface="+mn-lt"/>
              <a:ea typeface="+mn-ea"/>
              <a:cs typeface="+mn-cs"/>
            </a:defRPr>
          </a:pPr>
        </a:p>
      </c:txPr>
    </c:legend>
    <c:plotVisOnly val="1"/>
    <c:dispBlanksAs val="gap"/>
    <c:showDLblsOverMax val="0"/>
    <c:extLst>
      <c:ext uri="{0b15fc19-7d7d-44ad-8c2d-2c3a37ce22c3}">
        <chartProps xmlns="https://web.wps.cn/et/2018/main" chartId="{59025c2f-8559-4015-9f63-0a2e54c256c4}"/>
      </c:ext>
    </c:extLst>
  </c:chart>
  <c:spPr>
    <a:solidFill>
      <a:schemeClr val="bg1"/>
    </a:solidFill>
    <a:ln w="9525" cap="flat" cmpd="sng" algn="ctr">
      <a:noFill/>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方山森林公园!$B$1</c:f>
              <c:strCache>
                <c:ptCount val="1"/>
                <c:pt idx="0">
                  <c:v>百分比</c:v>
                </c:pt>
              </c:strCache>
            </c:strRef>
          </c:tx>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zh-CN" sz="10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方山森林公园!$A$2:$A$4</c:f>
              <c:strCache>
                <c:ptCount val="3"/>
                <c:pt idx="0">
                  <c:v>木兰纲</c:v>
                </c:pt>
                <c:pt idx="1">
                  <c:v>百合纲</c:v>
                </c:pt>
                <c:pt idx="2">
                  <c:v>裸子植物</c:v>
                </c:pt>
              </c:strCache>
            </c:strRef>
          </c:cat>
          <c:val>
            <c:numRef>
              <c:f>方山森林公园!$B$2:$B$4</c:f>
              <c:numCache>
                <c:formatCode>0%</c:formatCode>
                <c:ptCount val="3"/>
                <c:pt idx="0">
                  <c:v>0.86</c:v>
                </c:pt>
                <c:pt idx="1">
                  <c:v>0.1</c:v>
                </c:pt>
                <c:pt idx="2">
                  <c:v>0.04</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lang="zh-CN" sz="10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Entry>
      <c:legendEntry>
        <c:idx val="1"/>
        <c:txPr>
          <a:bodyPr rot="0" spcFirstLastPara="1" vertOverflow="ellipsis" vert="horz" wrap="square" anchor="ctr" anchorCtr="1"/>
          <a:lstStyle/>
          <a:p>
            <a:pPr>
              <a:defRPr lang="zh-CN" sz="900" b="0" i="0" u="none" strike="noStrike" kern="1200" baseline="0">
                <a:solidFill>
                  <a:sysClr val="windowText" lastClr="000000"/>
                </a:solidFill>
                <a:latin typeface="仿宋" panose="02010609060101010101" pitchFamily="3" charset="-122"/>
                <a:ea typeface="仿宋" panose="02010609060101010101" pitchFamily="3" charset="-122"/>
                <a:cs typeface="+mn-cs"/>
              </a:defRPr>
            </a:pPr>
          </a:p>
        </c:txPr>
      </c:legendEntry>
      <c:layout/>
      <c:overlay val="0"/>
      <c:spPr>
        <a:noFill/>
        <a:ln>
          <a:noFill/>
        </a:ln>
        <a:effectLst/>
      </c:spPr>
      <c:txPr>
        <a:bodyPr rot="0" spcFirstLastPara="1" vertOverflow="ellipsis" vert="horz" wrap="square" anchor="ctr" anchorCtr="1"/>
        <a:lstStyle/>
        <a:p>
          <a:pPr>
            <a:defRPr lang="zh-CN" sz="900" b="0" i="0" u="none" strike="noStrike" kern="1200" baseline="0">
              <a:solidFill>
                <a:sysClr val="windowText" lastClr="000000"/>
              </a:solidFill>
              <a:latin typeface="+mn-lt"/>
              <a:ea typeface="+mn-ea"/>
              <a:cs typeface="+mn-cs"/>
            </a:defRPr>
          </a:pPr>
        </a:p>
      </c:txPr>
    </c:legend>
    <c:plotVisOnly val="1"/>
    <c:dispBlanksAs val="gap"/>
    <c:showDLblsOverMax val="0"/>
    <c:extLst>
      <c:ext uri="{0b15fc19-7d7d-44ad-8c2d-2c3a37ce22c3}">
        <chartProps xmlns="https://web.wps.cn/et/2018/main" chartId="{75d858e4-6696-4031-87f5-b0b8c3666907}"/>
      </c:ext>
    </c:extLst>
  </c:chart>
  <c:spPr>
    <a:solidFill>
      <a:schemeClr val="bg1"/>
    </a:solidFill>
    <a:ln w="9525" cap="flat" cmpd="sng" algn="ctr">
      <a:no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aa2c8d67-a456-4811-ab88-2c359fcdfb45</errorID>
      <errorWord>深林公园</errorWord>
      <group>L1_Word</group>
      <groupName>字词问题</groupName>
      <ability>L2_Typo</ability>
      <abilityName>字词错误</abilityName>
      <candidateList>
        <item>森林公园</item>
      </candidateList>
      <explain/>
      <paraID>6FA5C169</paraID>
      <start>288</start>
      <end>292</end>
      <status>modified</status>
      <modifiedWord>森林公园</modifiedWord>
      <trackRevisions>false</trackRevisions>
    </reviewItem>
    <reviewItem>
      <errorID>8ae87afd-b8f3-4852-ada1-54062a0aa76a</errorID>
      <errorWord>度假区内</errorWord>
      <group>L1_Word</group>
      <groupName>字词问题</groupName>
      <ability>L2_Typo</ability>
      <abilityName>字词错误</abilityName>
      <candidateList>
        <item>度假区</item>
      </candidateList>
      <explain/>
      <paraID>5CDC3214</paraID>
      <start>280</start>
      <end>283</end>
      <status>modified</status>
      <modifiedWord>度假区</modifiedWord>
      <trackRevisions>false</trackRevisions>
    </reviewItem>
    <reviewItem>
      <errorID>bb777bbc-006b-42d4-915b-b61663ee0ae3</errorID>
      <errorWord>地方法规</errorWord>
      <group>L1_Political</group>
      <groupName>政治性问题</groupName>
      <ability>L2_Unpolitical</ability>
      <abilityName>政治敏感错误</abilityName>
      <candidateList>
        <item>地方性法规</item>
      </candidateList>
      <explain/>
      <paraID>3FB48FB0</paraID>
      <start>5</start>
      <end>9</end>
      <status>ignored</status>
      <modifiedWord/>
      <trackRevisions>false</trackRevisions>
    </reviewItem>
    <reviewItem>
      <errorID>85e44fac-b2c3-4939-8f3c-74f06c2e92ad</errorID>
      <errorWord>范</errorWord>
      <group>L1_Word</group>
      <groupName>字词问题</groupName>
      <ability>L2_Typo</ability>
      <abilityName>字词错误</abilityName>
      <candidateList>
        <item>范性</item>
      </candidateList>
      <explain/>
      <paraID>3FB48FB0</paraID>
      <start>11</start>
      <end>12</end>
      <status>ignored</status>
      <modifiedWord/>
      <trackRevisions>false</trackRevisions>
    </reviewItem>
    <reviewItem>
      <errorID>5028aeba-9133-4e60-9579-630fa9a5891a</errorID>
      <errorWord>(</errorWord>
      <group>L1_Format</group>
      <groupName>格式问题</groupName>
      <ability>L2_HalfPunc</ability>
      <abilityName>全半角检查</abilityName>
      <candidateList>
        <item>（</item>
      </candidateList>
      <explain>文本全半角错误。</explain>
      <paraID>149088DC</paraID>
      <start>36</start>
      <end>37</end>
      <status>modified</status>
      <modifiedWord>（</modifiedWord>
      <trackRevisions>false</trackRevisions>
    </reviewItem>
    <reviewItem>
      <errorID>3b901954-d3fe-4313-bfcc-83aab07d7ef8</errorID>
      <errorWord>)</errorWord>
      <group>L1_Format</group>
      <groupName>格式问题</groupName>
      <ability>L2_HalfPunc</ability>
      <abilityName>全半角检查</abilityName>
      <candidateList>
        <item>）</item>
      </candidateList>
      <explain>文本全半角错误。</explain>
      <paraID>149088DC</paraID>
      <start>50</start>
      <end>51</end>
      <status>modified</status>
      <modifiedWord>）</modifiedWord>
      <trackRevisions>false</trackRevisions>
    </reviewItem>
    <reviewItem>
      <errorID>f01eb2df-5bde-4d2b-b904-f381fcb26900</errorID>
      <errorWord>《</errorWord>
      <group>L1_Punc</group>
      <groupName>标点问题</groupName>
      <ability>L2_Punc</ability>
      <abilityName>标点符号检查</abilityName>
      <candidateList/>
      <explain/>
      <paraID>73154A33</paraID>
      <start>0</start>
      <end>1</end>
      <status>ignored</status>
      <modifiedWord/>
      <trackRevisions>false</trackRevisions>
    </reviewItem>
    <reviewItem>
      <errorID>dae3194f-f6ff-4696-a442-d8fa156970be</errorID>
      <errorWord>&lt;</errorWord>
      <group>L1_Format</group>
      <groupName>格式问题</groupName>
      <ability>L2_HalfPunc</ability>
      <abilityName>全半角检查</abilityName>
      <candidateList>
        <item>〈</item>
      </candidateList>
      <explain>文本全半角错误。</explain>
      <paraID>73154A33</paraID>
      <start>11</start>
      <end>12</end>
      <status>ignored</status>
      <modifiedWord/>
      <trackRevisions>false</trackRevisions>
    </reviewItem>
    <reviewItem>
      <errorID>f00f46d2-2f6d-4826-882f-24ecaecef4c7</errorID>
      <errorWord>III类</errorWord>
      <group>L1_Knowledge</group>
      <groupName>知识性问题</groupName>
      <ability>L2_Knowledge</ability>
      <abilityName>其他知识</abilityName>
      <candidateList>
        <item>Ⅲ类</item>
      </candidateList>
      <explain/>
      <paraID> B11AB15</paraID>
      <start>94</start>
      <end>98</end>
      <status>ignored</status>
      <modifiedWord/>
      <trackRevisions>false</trackRevisions>
    </reviewItem>
    <reviewItem>
      <errorID>c65be447-c512-451b-a83d-6de0995bfcd9</errorID>
      <errorWord>III类</errorWord>
      <group>L1_Knowledge</group>
      <groupName>知识性问题</groupName>
      <ability>L2_Knowledge</ability>
      <abilityName>其他知识</abilityName>
      <candidateList>
        <item>Ⅲ类</item>
      </candidateList>
      <explain/>
      <paraID> B11AB15</paraID>
      <start>145</start>
      <end>149</end>
      <status>ignored</status>
      <modifiedWord/>
      <trackRevisions>false</trackRevisions>
    </reviewItem>
    <reviewItem>
      <errorID>e237477f-ffe2-4fae-a1fd-82f141d8ee14</errorID>
      <errorWord>III类</errorWord>
      <group>L1_Knowledge</group>
      <groupName>知识性问题</groupName>
      <ability>L2_Knowledge</ability>
      <abilityName>其他知识</abilityName>
      <candidateList>
        <item>Ⅲ类</item>
      </candidateList>
      <explain/>
      <paraID> B11AB15</paraID>
      <start>272</start>
      <end>276</end>
      <status>ignored</status>
      <modifiedWord/>
      <trackRevisions>false</trackRevisions>
    </reviewItem>
    <reviewItem>
      <errorID>503e9bba-f6b8-43fb-861f-0da54195925d</errorID>
      <errorWord>&lt;</errorWord>
      <group>L1_Format</group>
      <groupName>格式问题</groupName>
      <ability>L2_HalfPunc</ability>
      <abilityName>全半角检查</abilityName>
      <candidateList>
        <item>〈</item>
      </candidateList>
      <explain>文本全半角错误。</explain>
      <paraID>1989081B</paraID>
      <start>10</start>
      <end>11</end>
      <status>ignored</status>
      <modifiedWord/>
      <trackRevisions>false</trackRevisions>
    </reviewItem>
    <reviewItem>
      <errorID>ccf43eb1-6118-47ec-a971-72c7e21274ea</errorID>
      <errorWord>III类</errorWord>
      <group>L1_Knowledge</group>
      <groupName>知识性问题</groupName>
      <ability>L2_Knowledge</ability>
      <abilityName>其他知识</abilityName>
      <candidateList>
        <item>Ⅲ类</item>
      </candidateList>
      <explain/>
      <paraID>1EE017F2</paraID>
      <start>0</start>
      <end>4</end>
      <status>ignored</status>
      <modifiedWord/>
      <trackRevisions>false</trackRevisions>
    </reviewItem>
    <reviewItem>
      <errorID>1180ab44-fe65-4905-a764-61602ebb1234</errorID>
      <errorWord>＜</errorWord>
      <group>L1_Format</group>
      <groupName>格式问题</groupName>
      <ability>L2_HalfPunc</ability>
      <abilityName>全半角检查</abilityName>
      <candidateList>
        <item>&lt;</item>
      </candidateList>
      <explain>文本全半角错误。</explain>
      <paraID> EA8DED8</paraID>
      <start>6</start>
      <end>7</end>
      <status>ignored</status>
      <modifiedWord/>
      <trackRevisions>false</trackRevisions>
    </reviewItem>
    <reviewItem>
      <errorID>82a010a4-79c7-4777-80b4-6fd69c84dcc4</errorID>
      <errorWord>＜</errorWord>
      <group>L1_Format</group>
      <groupName>格式问题</groupName>
      <ability>L2_HalfPunc</ability>
      <abilityName>全半角检查</abilityName>
      <candidateList>
        <item>&lt;</item>
      </candidateList>
      <explain>文本全半角错误。</explain>
      <paraID>7F79CABF</paraID>
      <start>3</start>
      <end>4</end>
      <status>ignored</status>
      <modifiedWord/>
      <trackRevisions>false</trackRevisions>
    </reviewItem>
    <reviewItem>
      <errorID>e70c9534-be5e-48bb-a3db-9c4479e68404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4F7DCC85</paraID>
      <start>0</start>
      <end>2</end>
      <status>ignored</status>
      <modifiedWord/>
      <trackRevisions>false</trackRevisions>
    </reviewItem>
    <reviewItem>
      <errorID>bffa2a87-3adc-4b1f-90d0-48712735904a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7BE5FD76</paraID>
      <start>0</start>
      <end>2</end>
      <status>ignored</status>
      <modifiedWord/>
      <trackRevisions>false</trackRevisions>
    </reviewItem>
    <reviewItem>
      <errorID>f9c654a1-b932-40f9-a76e-614b6b20879b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62CA9556</paraID>
      <start>0</start>
      <end>2</end>
      <status>ignored</status>
      <modifiedWord/>
      <trackRevisions>false</trackRevisions>
    </reviewItem>
    <reviewItem>
      <errorID>e293c385-cdec-4d8e-8251-0e9dcf8b9888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33566DF7</paraID>
      <start>0</start>
      <end>2</end>
      <status>ignored</status>
      <modifiedWord/>
      <trackRevisions>false</trackRevisions>
    </reviewItem>
    <reviewItem>
      <errorID>0e0ac83a-1974-4593-a94c-16bbf749684d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50687AFD</paraID>
      <start>0</start>
      <end>2</end>
      <status>ignored</status>
      <modifiedWord/>
      <trackRevisions>false</trackRevisions>
    </reviewItem>
    <reviewItem>
      <errorID>bdc18cce-0bca-4578-93d3-eaaba38b52ef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52092A0E</paraID>
      <start>0</start>
      <end>2</end>
      <status>ignored</status>
      <modifiedWord/>
      <trackRevisions>false</trackRevisions>
    </reviewItem>
    <reviewItem>
      <errorID>ee679ae8-ac3b-44ee-be39-a2ced92e17a4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5AA2D07E</paraID>
      <start>0</start>
      <end>2</end>
      <status>ignored</status>
      <modifiedWord/>
      <trackRevisions>false</trackRevisions>
    </reviewItem>
    <reviewItem>
      <errorID>23c420be-85f8-4c3c-9e64-2872ebae2769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30C20FDD</paraID>
      <start>0</start>
      <end>2</end>
      <status>ignored</status>
      <modifiedWord/>
      <trackRevisions>false</trackRevisions>
    </reviewItem>
    <reviewItem>
      <errorID>14221bd6-23cf-4a7c-8188-75981712bead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5CE5C990</paraID>
      <start>0</start>
      <end>2</end>
      <status>ignored</status>
      <modifiedWord/>
      <trackRevisions>false</trackRevisions>
    </reviewItem>
    <reviewItem>
      <errorID>95d434aa-c166-40dc-b1c2-3c58cc1ca0bf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19E81993</paraID>
      <start>0</start>
      <end>2</end>
      <status>ignored</status>
      <modifiedWord/>
      <trackRevisions>false</trackRevisions>
    </reviewItem>
    <reviewItem>
      <errorID>0af7227c-409e-4ff2-b713-3729092b493d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465AB08B</paraID>
      <start>0</start>
      <end>2</end>
      <status>ignored</status>
      <modifiedWord/>
      <trackRevisions>false</trackRevisions>
    </reviewItem>
    <reviewItem>
      <errorID>6f978687-ccad-4948-a825-c3703fb75be2</errorID>
      <errorWord>蔥</errorWord>
      <group>L1_Word</group>
      <groupName>字词问题</groupName>
      <ability>L2_Fanti</ability>
      <abilityName>繁转简</abilityName>
      <candidateList>
        <item>葱</item>
      </candidateList>
      <explain/>
      <paraID>5B2DD233</paraID>
      <start>5</start>
      <end>6</end>
      <status>ignored</status>
      <modifiedWord/>
      <trackRevisions>false</trackRevisions>
    </reviewItem>
    <reviewItem>
      <errorID>084c22a9-a5e4-48af-817d-b4dfdcd678ae</errorID>
      <errorWord>蔥</errorWord>
      <group>L1_Word</group>
      <groupName>字词问题</groupName>
      <ability>L2_Fanti</ability>
      <abilityName>繁转简</abilityName>
      <candidateList>
        <item>葱</item>
      </candidateList>
      <explain/>
      <paraID>43C6586E</paraID>
      <start>6</start>
      <end>7</end>
      <status>ignored</status>
      <modifiedWord/>
      <trackRevisions>false</trackRevisions>
    </reviewItem>
    <reviewItem>
      <errorID>f1c4ff82-617e-4724-af0f-3a1791fe3be8</errorID>
      <errorWord>蔥</errorWord>
      <group>L1_Word</group>
      <groupName>字词问题</groupName>
      <ability>L2_Fanti</ability>
      <abilityName>繁转简</abilityName>
      <candidateList>
        <item>葱</item>
      </candidateList>
      <explain/>
      <paraID>470319CA</paraID>
      <start>6</start>
      <end>7</end>
      <status>ignored</status>
      <modifiedWord/>
      <trackRevisions>false</trackRevisions>
    </reviewItem>
    <reviewItem>
      <errorID>57f6a3c4-e2c2-42fd-baac-6b830e3cb1d1</errorID>
      <errorWord>蔥</errorWord>
      <group>L1_Word</group>
      <groupName>字词问题</groupName>
      <ability>L2_Fanti</ability>
      <abilityName>繁转简</abilityName>
      <candidateList>
        <item>葱</item>
      </candidateList>
      <explain/>
      <paraID> C69F656</paraID>
      <start>8</start>
      <end>9</end>
      <status>ignored</status>
      <modifiedWord/>
      <trackRevisions>false</trackRevisions>
    </reviewItem>
    <reviewItem>
      <errorID>c3a2df3f-8845-4017-a57b-2278f4d9c151</errorID>
      <errorWord>＜</errorWord>
      <group>L1_Format</group>
      <groupName>格式问题</groupName>
      <ability>L2_HalfPunc</ability>
      <abilityName>全半角检查</abilityName>
      <candidateList>
        <item>&lt;</item>
      </candidateList>
      <explain>文本全半角错误。</explain>
      <paraID>4D6CA0A8</paraID>
      <start>3</start>
      <end>4</end>
      <status>ignored</status>
      <modifiedWord/>
      <trackRevisions>false</trackRevisions>
    </reviewItem>
    <reviewItem>
      <errorID>0d65875e-d8bc-4466-b317-5d636a76813f</errorID>
      <errorWord>＜</errorWord>
      <group>L1_Format</group>
      <groupName>格式问题</groupName>
      <ability>L2_HalfPunc</ability>
      <abilityName>全半角检查</abilityName>
      <candidateList>
        <item>&lt;</item>
      </candidateList>
      <explain>文本全半角错误。</explain>
      <paraID>5B5C18A2</paraID>
      <start>3</start>
      <end>4</end>
      <status>ignored</status>
      <modifiedWord/>
      <trackRevisions>false</trackRevisions>
    </reviewItem>
    <reviewItem>
      <errorID>a5bd262b-d001-468f-bb17-b47d20016df2</errorID>
      <errorWord>＞</errorWord>
      <group>L1_Format</group>
      <groupName>格式问题</groupName>
      <ability>L2_HalfPunc</ability>
      <abilityName>全半角检查</abilityName>
      <candidateList>
        <item>&gt;</item>
      </candidateList>
      <explain>文本全半角错误。</explain>
      <paraID>7729E341</paraID>
      <start>2</start>
      <end>3</end>
      <status>ignored</status>
      <modifiedWord/>
      <trackRevisions>false</trackRevisions>
    </reviewItem>
    <reviewItem>
      <errorID>a3f3a83d-0dd9-4d49-9f9f-3ab7dd50267a</errorID>
      <errorWord>标</errorWord>
      <group>L1_Word</group>
      <groupName>字词问题</groupName>
      <ability>L2_Typo</ability>
      <abilityName>字词错误</abilityName>
      <candidateList>
        <item>表</item>
      </candidateList>
      <explain>存在发音相同字词的误用。</explain>
      <paraID>3B1FCEC4</paraID>
      <start>172</start>
      <end>173</end>
      <status>modified</status>
      <modifiedWord>表</modifiedWord>
      <trackRevisions>false</trackRevisions>
    </reviewItem>
    <reviewItem>
      <errorID>78fe5e1b-e3cf-49e5-b925-c2eed171744a</errorID>
      <errorWord>（</errorWord>
      <group>L1_Format</group>
      <groupName>格式问题</groupName>
      <ability>L2_HalfPunc</ability>
      <abilityName>全半角检查</abilityName>
      <candidateList>
        <item>(</item>
      </candidateList>
      <explain>文本全半角错误。</explain>
      <paraID>78CAF139</paraID>
      <start>2</start>
      <end>3</end>
      <status>ignored</status>
      <modifiedWord/>
      <trackRevisions>false</trackRevisions>
    </reviewItem>
    <reviewItem>
      <errorID>e9be2be3-eb6c-4817-b78c-0cef7ea43a64</errorID>
      <errorWord>）</errorWord>
      <group>L1_Format</group>
      <groupName>格式问题</groupName>
      <ability>L2_HalfPunc</ability>
      <abilityName>全半角检查</abilityName>
      <candidateList>
        <item>)</item>
      </candidateList>
      <explain>文本全半角错误。</explain>
      <paraID>78CAF139</paraID>
      <start>6</start>
      <end>7</end>
      <status>ignored</status>
      <modifiedWord/>
      <trackRevisions>false</trackRevisions>
    </reviewItem>
    <reviewItem>
      <errorID>3a9226d5-fa11-4ade-b16d-729d046fdea6</errorID>
      <errorWord>，＜</errorWord>
      <group>L1_Format</group>
      <groupName>格式问题</groupName>
      <ability>L2_HalfPunc</ability>
      <abilityName>全半角检查</abilityName>
      <candidateList>
        <item>,&lt;</item>
      </candidateList>
      <explain>文本全半角错误。</explain>
      <paraID>3AEAE41B</paraID>
      <start>2</start>
      <end>4</end>
      <status>ignored</status>
      <modifiedWord/>
      <trackRevisions>false</trackRevisions>
    </reviewItem>
    <reviewItem>
      <errorID>d18e687a-e32e-4c6a-a790-40d789ea35dc</errorID>
      <errorWord>，＜</errorWord>
      <group>L1_Format</group>
      <groupName>格式问题</groupName>
      <ability>L2_HalfPunc</ability>
      <abilityName>全半角检查</abilityName>
      <candidateList>
        <item>,&lt;</item>
      </candidateList>
      <explain>文本全半角错误。</explain>
      <paraID>603DAAA9</paraID>
      <start>2</start>
      <end>4</end>
      <status>ignored</status>
      <modifiedWord/>
      <trackRevisions>false</trackRevisions>
    </reviewItem>
    <reviewItem>
      <errorID>0d45037a-f1b8-4d06-9269-bd20fe2cbdf3</errorID>
      <errorWord>，＜</errorWord>
      <group>L1_Format</group>
      <groupName>格式问题</groupName>
      <ability>L2_HalfPunc</ability>
      <abilityName>全半角检查</abilityName>
      <candidateList>
        <item>,&lt;</item>
      </candidateList>
      <explain>文本全半角错误。</explain>
      <paraID>7282676B</paraID>
      <start>4</start>
      <end>6</end>
      <status>ignored</status>
      <modifiedWord/>
      <trackRevisions>false</trackRevisions>
    </reviewItem>
    <reviewItem>
      <errorID>1ab61840-18f2-4f5b-85b8-7683d8942486</errorID>
      <errorWord>，＜</errorWord>
      <group>L1_Format</group>
      <groupName>格式问题</groupName>
      <ability>L2_HalfPunc</ability>
      <abilityName>全半角检查</abilityName>
      <candidateList>
        <item>,&lt;</item>
      </candidateList>
      <explain>文本全半角错误。</explain>
      <paraID> FC67666</paraID>
      <start>5</start>
      <end>7</end>
      <status>ignored</status>
      <modifiedWord/>
      <trackRevisions>false</trackRevisions>
    </reviewItem>
    <reviewItem>
      <errorID>97d6265c-d101-4cdc-880a-a5f2a1d5fa6d</errorID>
      <errorWord>，＜</errorWord>
      <group>L1_Format</group>
      <groupName>格式问题</groupName>
      <ability>L2_HalfPunc</ability>
      <abilityName>全半角检查</abilityName>
      <candidateList>
        <item>,&lt;</item>
      </candidateList>
      <explain>文本全半角错误。</explain>
      <paraID> 1FF6C0F</paraID>
      <start>4</start>
      <end>6</end>
      <status>ignored</status>
      <modifiedWord/>
      <trackRevisions>false</trackRevisions>
    </reviewItem>
    <reviewItem>
      <errorID>9f10cb07-a72f-4ecf-8ffe-0a25acdf5cd0</errorID>
      <errorWord>，＜</errorWord>
      <group>L1_Format</group>
      <groupName>格式问题</groupName>
      <ability>L2_HalfPunc</ability>
      <abilityName>全半角检查</abilityName>
      <candidateList>
        <item>,&lt;</item>
      </candidateList>
      <explain>文本全半角错误。</explain>
      <paraID>3EE1276F</paraID>
      <start>4</start>
      <end>6</end>
      <status>ignored</status>
      <modifiedWord/>
      <trackRevisions>false</trackRevisions>
    </reviewItem>
    <reviewItem>
      <errorID>ee140874-00bd-4b65-a1de-1fe11f9e0a7d</errorID>
      <errorWord>超过的</errorWord>
      <group>L1_Word</group>
      <groupName>字词问题</groupName>
      <ability>L2_Typo</ability>
      <abilityName>字词错误</abilityName>
      <candidateList>
        <item>超过</item>
      </candidateList>
      <explain/>
      <paraID>20671FD4</paraID>
      <start>47</start>
      <end>50</end>
      <status>ignored</status>
      <modifiedWord/>
      <trackRevisions>false</trackRevisions>
    </reviewItem>
    <reviewItem>
      <errorID>fe445a5f-3aef-4769-8895-ad137cebbd7e</errorID>
      <errorWord>超过的</errorWord>
      <group>L1_Word</group>
      <groupName>字词问题</groupName>
      <ability>L2_Typo</ability>
      <abilityName>字词错误</abilityName>
      <candidateList>
        <item>超过</item>
      </candidateList>
      <explain/>
      <paraID>20671FD4</paraID>
      <start>183</start>
      <end>186</end>
      <status>ignored</status>
      <modifiedWord/>
      <trackRevisions>false</trackRevisions>
    </reviewItem>
    <reviewItem>
      <errorID>00780058-c39d-45c9-989e-fd9106b24b0f</errorID>
      <errorWord>如</errorWord>
      <group>L1_Word</group>
      <groupName>字词问题</groupName>
      <ability>L2_Typo</ability>
      <abilityName>字词错误</abilityName>
      <candidateList>
        <item>如下</item>
      </candidateList>
      <explain>〈动〉如同下面所叙述或列举的：列举～｜现将应注意的事情说明～。</explain>
      <paraID>4A67261F</paraID>
      <start>486</start>
      <end>487</end>
      <status>ignored</status>
      <modifiedWord/>
      <trackRevisions>false</trackRevisions>
    </reviewItem>
    <reviewItem>
      <errorID>659f7f9a-617c-430d-aa6a-b5e01981ec2a</errorID>
      <errorWord>（</errorWord>
      <group>L1_Format</group>
      <groupName>格式问题</groupName>
      <ability>L2_HalfPunc</ability>
      <abilityName>全半角检查</abilityName>
      <candidateList>
        <item>(</item>
      </candidateList>
      <explain>文本全半角错误。</explain>
      <paraID>4A781BBB</paraID>
      <start>1</start>
      <end>2</end>
      <status>ignored</status>
      <modifiedWord/>
      <trackRevisions>false</trackRevisions>
    </reviewItem>
    <reviewItem>
      <errorID>9c6055fc-2f46-47f1-a14f-321dbd8bee27</errorID>
      <errorWord>）</errorWord>
      <group>L1_Format</group>
      <groupName>格式问题</groupName>
      <ability>L2_HalfPunc</ability>
      <abilityName>全半角检查</abilityName>
      <candidateList>
        <item>)</item>
      </candidateList>
      <explain>文本全半角错误。</explain>
      <paraID>4A781BBB</paraID>
      <start>3</start>
      <end>4</end>
      <status>ignored</status>
      <modifiedWord/>
      <trackRevisions>false</trackRevisions>
    </reviewItem>
    <reviewItem>
      <errorID>61580102-c087-442b-9125-776ee3c4ec29</errorID>
      <errorWord>（</errorWord>
      <group>L1_Format</group>
      <groupName>格式问题</groupName>
      <ability>L2_HalfPunc</ability>
      <abilityName>全半角检查</abilityName>
      <candidateList>
        <item>(</item>
      </candidateList>
      <explain>文本全半角错误。</explain>
      <paraID>1E2EEEB5</paraID>
      <start>2</start>
      <end>3</end>
      <status>ignored</status>
      <modifiedWord/>
      <trackRevisions>false</trackRevisions>
    </reviewItem>
    <reviewItem>
      <errorID>144a10d1-646b-474f-8286-19744af71193</errorID>
      <errorWord>）</errorWord>
      <group>L1_Format</group>
      <groupName>格式问题</groupName>
      <ability>L2_HalfPunc</ability>
      <abilityName>全半角检查</abilityName>
      <candidateList>
        <item>)</item>
      </candidateList>
      <explain>文本全半角错误。</explain>
      <paraID>1E2EEEB5</paraID>
      <start>5</start>
      <end>6</end>
      <status>ignored</status>
      <modifiedWord/>
      <trackRevisions>false</trackRevisions>
    </reviewItem>
    <reviewItem>
      <errorID>ee52adc3-456c-48b7-9e30-107465f817a5</errorID>
      <errorWord>（</errorWord>
      <group>L1_Format</group>
      <groupName>格式问题</groupName>
      <ability>L2_HalfPunc</ability>
      <abilityName>全半角检查</abilityName>
      <candidateList>
        <item>(</item>
      </candidateList>
      <explain>文本全半角错误。</explain>
      <paraID>79129E23</paraID>
      <start>1</start>
      <end>2</end>
      <status>ignored</status>
      <modifiedWord/>
      <trackRevisions>false</trackRevisions>
    </reviewItem>
    <reviewItem>
      <errorID>5c9e42de-f18b-4873-b0bf-b3fb32daa100</errorID>
      <errorWord>）</errorWord>
      <group>L1_Format</group>
      <groupName>格式问题</groupName>
      <ability>L2_HalfPunc</ability>
      <abilityName>全半角检查</abilityName>
      <candidateList>
        <item>)</item>
      </candidateList>
      <explain>文本全半角错误。</explain>
      <paraID>79129E23</paraID>
      <start>3</start>
      <end>4</end>
      <status>ignored</status>
      <modifiedWord/>
      <trackRevisions>false</trackRevisions>
    </reviewItem>
    <reviewItem>
      <errorID>da765c63-af33-41cd-abb0-e4e3f3f0a5a4</errorID>
      <errorWord>（</errorWord>
      <group>L1_Format</group>
      <groupName>格式问题</groupName>
      <ability>L2_HalfPunc</ability>
      <abilityName>全半角检查</abilityName>
      <candidateList>
        <item>(</item>
      </candidateList>
      <explain>文本全半角错误。</explain>
      <paraID>2A84E1A8</paraID>
      <start>1</start>
      <end>2</end>
      <status>ignored</status>
      <modifiedWord/>
      <trackRevisions>false</trackRevisions>
    </reviewItem>
    <reviewItem>
      <errorID>80596c88-aba2-4f2e-9cfc-746d91554d06</errorID>
      <errorWord>）</errorWord>
      <group>L1_Format</group>
      <groupName>格式问题</groupName>
      <ability>L2_HalfPunc</ability>
      <abilityName>全半角检查</abilityName>
      <candidateList>
        <item>)</item>
      </candidateList>
      <explain>文本全半角错误。</explain>
      <paraID>2A84E1A8</paraID>
      <start>4</start>
      <end>5</end>
      <status>ignored</status>
      <modifiedWord/>
      <trackRevisions>false</trackRevisions>
    </reviewItem>
    <reviewItem>
      <errorID>50e067b1-0ef7-432d-aea1-b15a09f2a926</errorID>
      <errorWord>（</errorWord>
      <group>L1_Format</group>
      <groupName>格式问题</groupName>
      <ability>L2_HalfPunc</ability>
      <abilityName>全半角检查</abilityName>
      <candidateList>
        <item>(</item>
      </candidateList>
      <explain>文本全半角错误。</explain>
      <paraID>74DE7EDE</paraID>
      <start>2</start>
      <end>3</end>
      <status>ignored</status>
      <modifiedWord/>
      <trackRevisions>false</trackRevisions>
    </reviewItem>
    <reviewItem>
      <errorID>ec43cf2c-3336-497c-97b9-cca23c19e327</errorID>
      <errorWord>）</errorWord>
      <group>L1_Format</group>
      <groupName>格式问题</groupName>
      <ability>L2_HalfPunc</ability>
      <abilityName>全半角检查</abilityName>
      <candidateList>
        <item>)</item>
      </candidateList>
      <explain>文本全半角错误。</explain>
      <paraID>74DE7EDE</paraID>
      <start>5</start>
      <end>6</end>
      <status>ignored</status>
      <modifiedWord/>
      <trackRevisions>false</trackRevisions>
    </reviewItem>
    <reviewItem>
      <errorID>6ebd8ab2-23aa-4118-88ae-080bdb66e341</errorID>
      <errorWord>（</errorWord>
      <group>L1_Format</group>
      <groupName>格式问题</groupName>
      <ability>L2_HalfPunc</ability>
      <abilityName>全半角检查</abilityName>
      <candidateList>
        <item>(</item>
      </candidateList>
      <explain>文本全半角错误。</explain>
      <paraID>679665F7</paraID>
      <start>2</start>
      <end>3</end>
      <status>ignored</status>
      <modifiedWord/>
      <trackRevisions>false</trackRevisions>
    </reviewItem>
    <reviewItem>
      <errorID>03dd2518-40f2-4c49-a6ef-2ff33efc52fc</errorID>
      <errorWord>）</errorWord>
      <group>L1_Format</group>
      <groupName>格式问题</groupName>
      <ability>L2_HalfPunc</ability>
      <abilityName>全半角检查</abilityName>
      <candidateList>
        <item>)</item>
      </candidateList>
      <explain>文本全半角错误。</explain>
      <paraID>679665F7</paraID>
      <start>5</start>
      <end>6</end>
      <status>ignored</status>
      <modifiedWord/>
      <trackRevisions>false</trackRevisions>
    </reviewItem>
    <reviewItem>
      <errorID>3d2a3baa-9463-4c89-93b5-9cb31d154f09</errorID>
      <errorWord>为</errorWord>
      <group>L1_Word</group>
      <groupName>字词问题</groupName>
      <ability>L2_Typo</ability>
      <abilityName>字词错误</abilityName>
      <candidateList>
        <item>未</item>
      </candidateList>
      <explain>存在发音相同字词的误用。</explain>
      <paraID>1441E1B6</paraID>
      <start>3</start>
      <end>4</end>
      <status>modified</status>
      <modifiedWord>未</modifiedWord>
      <trackRevisions>false</trackRevisions>
    </reviewItem>
    <reviewItem>
      <errorID>45246388-75cf-42bf-bf7f-5a94c573378d</errorID>
      <errorWord>.</errorWord>
      <group>L1_Format</group>
      <groupName>格式问题</groupName>
      <ability>L2_HalfPunc</ability>
      <abilityName>全半角检查</abilityName>
      <candidateList>
        <item>。</item>
      </candidateList>
      <explain>文本全半角错误。</explain>
      <paraID>41D863CA</paraID>
      <start>93</start>
      <end>94</end>
      <status>modified</status>
      <modifiedWord>。</modifiedWord>
      <trackRevisions>false</trackRevisions>
    </reviewItem>
    <reviewItem>
      <errorID>5b9d84cd-dac3-4951-9f6e-660615d759b0</errorID>
      <errorWord>（</errorWord>
      <group>L1_Format</group>
      <groupName>格式问题</groupName>
      <ability>L2_HalfPunc</ability>
      <abilityName>全半角检查</abilityName>
      <candidateList>
        <item>(</item>
      </candidateList>
      <explain>文本全半角错误。</explain>
      <paraID>20D22A89</paraID>
      <start>1</start>
      <end>2</end>
      <status>ignored</status>
      <modifiedWord/>
      <trackRevisions>false</trackRevisions>
    </reviewItem>
    <reviewItem>
      <errorID>17d06bc4-7838-4297-95b4-7e1e8e9abc31</errorID>
      <errorWord>）</errorWord>
      <group>L1_Format</group>
      <groupName>格式问题</groupName>
      <ability>L2_HalfPunc</ability>
      <abilityName>全半角检查</abilityName>
      <candidateList>
        <item>)</item>
      </candidateList>
      <explain>文本全半角错误。</explain>
      <paraID>20D22A89</paraID>
      <start>4</start>
      <end>5</end>
      <status>ignored</status>
      <modifiedWord/>
      <trackRevisions>false</trackRevisions>
    </reviewItem>
    <reviewItem>
      <errorID>c85cd680-118a-4a06-8635-fd2ed994040a</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137DBD41</paraID>
      <start>29</start>
      <end>30</end>
      <status>modified</status>
      <modifiedWord>或</modifiedWord>
      <trackRevisions>false</trackRevisions>
    </reviewItem>
    <reviewItem>
      <errorID>dd0078e7-2a3c-430e-abd4-42d9958c280c</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 EBDB3EA</paraID>
      <start>29</start>
      <end>30</end>
      <status>modified</status>
      <modifiedWord>或</modifiedWord>
      <trackRevisions>false</trackRevisions>
    </reviewItem>
    <reviewItem>
      <errorID>bec8a341-34be-4cb3-9d98-a4a32b1c1f2a</errorID>
      <errorWord>（</errorWord>
      <group>L1_Format</group>
      <groupName>格式问题</groupName>
      <ability>L2_HalfPunc</ability>
      <abilityName>全半角检查</abilityName>
      <candidateList>
        <item>(</item>
      </candidateList>
      <explain>文本全半角错误。</explain>
      <paraID>2B4A2555</paraID>
      <start>2</start>
      <end>3</end>
      <status>ignored</status>
      <modifiedWord/>
      <trackRevisions>false</trackRevisions>
    </reviewItem>
    <reviewItem>
      <errorID>a7a9779c-66ec-4b8a-884e-d4fc834b30e1</errorID>
      <errorWord>）</errorWord>
      <group>L1_Format</group>
      <groupName>格式问题</groupName>
      <ability>L2_HalfPunc</ability>
      <abilityName>全半角检查</abilityName>
      <candidateList>
        <item>)</item>
      </candidateList>
      <explain>文本全半角错误。</explain>
      <paraID>2B4A2555</paraID>
      <start>4</start>
      <end>5</end>
      <status>ignored</status>
      <modifiedWord/>
      <trackRevisions>false</trackRevisions>
    </reviewItem>
    <reviewItem>
      <errorID>052028f8-619a-414f-99b5-d37010a58e79</errorID>
      <errorWord>（</errorWord>
      <group>L1_Format</group>
      <groupName>格式问题</groupName>
      <ability>L2_HalfPunc</ability>
      <abilityName>全半角检查</abilityName>
      <candidateList>
        <item>(</item>
      </candidateList>
      <explain>文本全半角错误。</explain>
      <paraID>20D9C9A4</paraID>
      <start>2</start>
      <end>3</end>
      <status>ignored</status>
      <modifiedWord/>
      <trackRevisions>false</trackRevisions>
    </reviewItem>
    <reviewItem>
      <errorID>53760c10-a2d9-4b44-8cea-f634886fd61a</errorID>
      <errorWord>）</errorWord>
      <group>L1_Format</group>
      <groupName>格式问题</groupName>
      <ability>L2_HalfPunc</ability>
      <abilityName>全半角检查</abilityName>
      <candidateList>
        <item>)</item>
      </candidateList>
      <explain>文本全半角错误。</explain>
      <paraID>20D9C9A4</paraID>
      <start>4</start>
      <end>5</end>
      <status>ignored</status>
      <modifiedWord/>
      <trackRevisions>false</trackRevisions>
    </reviewItem>
    <reviewItem>
      <errorID>5ab7f487-75d2-44bf-bf11-1524933060a6</errorID>
      <errorWord>（</errorWord>
      <group>L1_Format</group>
      <groupName>格式问题</groupName>
      <ability>L2_HalfPunc</ability>
      <abilityName>全半角检查</abilityName>
      <candidateList>
        <item>(</item>
      </candidateList>
      <explain>文本全半角错误。</explain>
      <paraID>54D1A241</paraID>
      <start>2</start>
      <end>3</end>
      <status>ignored</status>
      <modifiedWord/>
      <trackRevisions>false</trackRevisions>
    </reviewItem>
    <reviewItem>
      <errorID>85c2965e-ce7d-4d2b-8658-c7fd1f09881c</errorID>
      <errorWord>）</errorWord>
      <group>L1_Format</group>
      <groupName>格式问题</groupName>
      <ability>L2_HalfPunc</ability>
      <abilityName>全半角检查</abilityName>
      <candidateList>
        <item>)</item>
      </candidateList>
      <explain>文本全半角错误。</explain>
      <paraID>54D1A241</paraID>
      <start>4</start>
      <end>5</end>
      <status>ignored</status>
      <modifiedWord/>
      <trackRevisions>false</trackRevisions>
    </reviewItem>
    <reviewItem>
      <errorID>a2921c5e-408e-4fa2-9a62-1abebf86a630</errorID>
      <errorWord>（</errorWord>
      <group>L1_Format</group>
      <groupName>格式问题</groupName>
      <ability>L2_HalfPunc</ability>
      <abilityName>全半角检查</abilityName>
      <candidateList>
        <item>(</item>
      </candidateList>
      <explain>文本全半角错误。</explain>
      <paraID> 3320BC2</paraID>
      <start>2</start>
      <end>3</end>
      <status>ignored</status>
      <modifiedWord/>
      <trackRevisions>false</trackRevisions>
    </reviewItem>
    <reviewItem>
      <errorID>a45d385c-a4b4-4b64-b358-cffb263b981c</errorID>
      <errorWord>）</errorWord>
      <group>L1_Format</group>
      <groupName>格式问题</groupName>
      <ability>L2_HalfPunc</ability>
      <abilityName>全半角检查</abilityName>
      <candidateList>
        <item>)</item>
      </candidateList>
      <explain>文本全半角错误。</explain>
      <paraID> 3320BC2</paraID>
      <start>4</start>
      <end>5</end>
      <status>ignored</status>
      <modifiedWord/>
      <trackRevisions>false</trackRevisions>
    </reviewItem>
    <reviewItem>
      <errorID>8e3b2c2e-24b7-40a1-8ee8-0cd0012bbe9c</errorID>
      <errorWord>（</errorWord>
      <group>L1_Format</group>
      <groupName>格式问题</groupName>
      <ability>L2_HalfPunc</ability>
      <abilityName>全半角检查</abilityName>
      <candidateList>
        <item>(</item>
      </candidateList>
      <explain>文本全半角错误。</explain>
      <paraID>41DE3DE6</paraID>
      <start>2</start>
      <end>3</end>
      <status>ignored</status>
      <modifiedWord/>
      <trackRevisions>false</trackRevisions>
    </reviewItem>
    <reviewItem>
      <errorID>69659f11-8b66-46d7-aa3e-080ff19ebd8b</errorID>
      <errorWord>）</errorWord>
      <group>L1_Format</group>
      <groupName>格式问题</groupName>
      <ability>L2_HalfPunc</ability>
      <abilityName>全半角检查</abilityName>
      <candidateList>
        <item>)</item>
      </candidateList>
      <explain>文本全半角错误。</explain>
      <paraID>41DE3DE6</paraID>
      <start>4</start>
      <end>5</end>
      <status>ignored</status>
      <modifiedWord/>
      <trackRevisions>false</trackRevisions>
    </reviewItem>
    <reviewItem>
      <errorID>81c77809-e3e1-4c9c-a74c-5564e8495ccd</errorID>
      <errorWord>（</errorWord>
      <group>L1_Format</group>
      <groupName>格式问题</groupName>
      <ability>L2_HalfPunc</ability>
      <abilityName>全半角检查</abilityName>
      <candidateList>
        <item>(</item>
      </candidateList>
      <explain>文本全半角错误。</explain>
      <paraID>7CE6EAED</paraID>
      <start>2</start>
      <end>3</end>
      <status>ignored</status>
      <modifiedWord/>
      <trackRevisions>false</trackRevisions>
    </reviewItem>
    <reviewItem>
      <errorID>4236e18a-5f73-4270-920d-b4e89823f9d5</errorID>
      <errorWord>）</errorWord>
      <group>L1_Format</group>
      <groupName>格式问题</groupName>
      <ability>L2_HalfPunc</ability>
      <abilityName>全半角检查</abilityName>
      <candidateList>
        <item>)</item>
      </candidateList>
      <explain>文本全半角错误。</explain>
      <paraID>7CE6EAED</paraID>
      <start>4</start>
      <end>5</end>
      <status>ignored</status>
      <modifiedWord/>
      <trackRevisions>false</trackRevisions>
    </reviewItem>
    <reviewItem>
      <errorID>0b201b32-29e8-4989-b651-55d3c5f0b3dd</errorID>
      <errorWord>（</errorWord>
      <group>L1_Format</group>
      <groupName>格式问题</groupName>
      <ability>L2_HalfPunc</ability>
      <abilityName>全半角检查</abilityName>
      <candidateList>
        <item>(</item>
      </candidateList>
      <explain>文本全半角错误。</explain>
      <paraID>6EDA1C35</paraID>
      <start>2</start>
      <end>3</end>
      <status>ignored</status>
      <modifiedWord/>
      <trackRevisions>false</trackRevisions>
    </reviewItem>
    <reviewItem>
      <errorID>a1c2d920-6584-408e-89c4-16f8f61c49f6</errorID>
      <errorWord>）</errorWord>
      <group>L1_Format</group>
      <groupName>格式问题</groupName>
      <ability>L2_HalfPunc</ability>
      <abilityName>全半角检查</abilityName>
      <candidateList>
        <item>)</item>
      </candidateList>
      <explain>文本全半角错误。</explain>
      <paraID>6EDA1C35</paraID>
      <start>4</start>
      <end>5</end>
      <status>ignored</status>
      <modifiedWord/>
      <trackRevisions>false</trackRevisions>
    </reviewItem>
    <reviewItem>
      <errorID>2e9b275c-e0f4-44bb-b7cd-3c12b754b6c3</errorID>
      <errorWord>标准的</errorWord>
      <group>L1_Word</group>
      <groupName>字词问题</groupName>
      <ability>L2_Typo</ability>
      <abilityName>字词错误</abilityName>
      <candidateList>
        <item>标准</item>
      </candidateList>
      <explain>❶〈名〉衡量事物的准则：技术～｜实践是检验真理的唯一～。❷〈形〉本身合于准则，可供同类事物比较核对的：～音｜～时｜她的发音很～。</explain>
      <paraID>77063F36</paraID>
      <start>6</start>
      <end>8</end>
      <status>modified</status>
      <modifiedWord>标准</modifiedWord>
      <trackRevisions>false</trackRevisions>
    </reviewItem>
    <reviewItem>
      <errorID>f0a11246-65ef-4424-a129-fae7bd380ef8</errorID>
      <errorWord>内内</errorWord>
      <group>L1_Word</group>
      <groupName>字词问题</groupName>
      <ability>L2_Typo</ability>
      <abilityName>字词错误</abilityName>
      <candidateList>
        <item>内</item>
      </candidateList>
      <explain>❶〈名〉方位词。里头（跟“外”相对）：～衣｜～部｜室～｜国～｜年～。❷指妻或妻的亲属：～人｜～侄｜～弟。❸指内心或内脏：～省｜～疚｜五～俱焚。❹〈书〉指皇宫：大～。</explain>
      <paraID>4C53AAD6</paraID>
      <start>4</start>
      <end>5</end>
      <status>modified</status>
      <modifiedWord>内</modifiedWord>
      <trackRevisions>false</trackRevisions>
    </reviewItem>
    <reviewItem>
      <errorID>97954158-0cff-4ec0-a551-6e7f8be544e2</errorID>
      <errorWord>III类</errorWord>
      <group>L1_Knowledge</group>
      <groupName>知识性问题</groupName>
      <ability>L2_Knowledge</ability>
      <abilityName>其他知识</abilityName>
      <candidateList>
        <item>Ⅲ类</item>
      </candidateList>
      <explain/>
      <paraID>56BE9EDB</paraID>
      <start>34</start>
      <end>38</end>
      <status>ignored</status>
      <modifiedWord/>
      <trackRevisions>false</trackRevisions>
    </reviewItem>
    <reviewItem>
      <errorID>5d9bcbde-ac56-4e42-b2ce-428dd3cbd229</errorID>
      <errorWord>III类</errorWord>
      <group>L1_Knowledge</group>
      <groupName>知识性问题</groupName>
      <ability>L2_Knowledge</ability>
      <abilityName>其他知识</abilityName>
      <candidateList>
        <item>Ⅲ类</item>
      </candidateList>
      <explain/>
      <paraID> F4EFCC9</paraID>
      <start>31</start>
      <end>35</end>
      <status>ignored</status>
      <modifiedWord/>
      <trackRevisions>false</trackRevisions>
    </reviewItem>
    <reviewItem>
      <errorID>d4ab837a-2270-440f-abc0-5ff33690bd0d</errorID>
      <errorWord>III类</errorWord>
      <group>L1_Knowledge</group>
      <groupName>知识性问题</groupName>
      <ability>L2_Knowledge</ability>
      <abilityName>其他知识</abilityName>
      <candidateList>
        <item>Ⅲ类</item>
      </candidateList>
      <explain/>
      <paraID>6DF49DE5</paraID>
      <start>31</start>
      <end>35</end>
      <status>ignored</status>
      <modifiedWord/>
      <trackRevisions>false</trackRevisions>
    </reviewItem>
    <reviewItem>
      <errorID>69395fd7-0779-496d-885a-93b5ac6a69e8</errorID>
      <errorWord>III类</errorWord>
      <group>L1_Knowledge</group>
      <groupName>知识性问题</groupName>
      <ability>L2_Knowledge</ability>
      <abilityName>其他知识</abilityName>
      <candidateList>
        <item>Ⅲ类</item>
      </candidateList>
      <explain/>
      <paraID>7C69785D</paraID>
      <start>33</start>
      <end>37</end>
      <status>ignored</status>
      <modifiedWord/>
      <trackRevisions>false</trackRevisions>
    </reviewItem>
    <reviewItem>
      <errorID>93673e6e-2a25-4c70-879e-9b363ee36c32</errorID>
      <errorWord>III类</errorWord>
      <group>L1_Knowledge</group>
      <groupName>知识性问题</groupName>
      <ability>L2_Knowledge</ability>
      <abilityName>其他知识</abilityName>
      <candidateList>
        <item>Ⅲ类</item>
      </candidateList>
      <explain/>
      <paraID>48DF7357</paraID>
      <start>31</start>
      <end>35</end>
      <status>ignored</status>
      <modifiedWord/>
      <trackRevisions>false</trackRevisions>
    </reviewItem>
    <reviewItem>
      <errorID>080d24a2-ec6e-461f-8711-ed128f638ee4</errorID>
      <errorWord>III类</errorWord>
      <group>L1_Knowledge</group>
      <groupName>知识性问题</groupName>
      <ability>L2_Knowledge</ability>
      <abilityName>其他知识</abilityName>
      <candidateList>
        <item>Ⅲ类</item>
      </candidateList>
      <explain/>
      <paraID>3845EA1C</paraID>
      <start>31</start>
      <end>35</end>
      <status>ignored</status>
      <modifiedWord/>
      <trackRevisions>false</trackRevisions>
    </reviewItem>
    <reviewItem>
      <errorID>adbfa01c-38ef-463c-aa96-530a9026d8f9</errorID>
      <errorWord>III类</errorWord>
      <group>L1_Knowledge</group>
      <groupName>知识性问题</groupName>
      <ability>L2_Knowledge</ability>
      <abilityName>其他知识</abilityName>
      <candidateList>
        <item>Ⅲ类</item>
      </candidateList>
      <explain/>
      <paraID> 739C599</paraID>
      <start>31</start>
      <end>35</end>
      <status>ignored</status>
      <modifiedWord/>
      <trackRevisions>false</trackRevisions>
    </reviewItem>
    <reviewItem>
      <errorID>f9943e5b-0275-488c-af01-ab11a2ea2642</errorID>
      <errorWord>III类</errorWord>
      <group>L1_Knowledge</group>
      <groupName>知识性问题</groupName>
      <ability>L2_Knowledge</ability>
      <abilityName>其他知识</abilityName>
      <candidateList>
        <item>Ⅲ类</item>
      </candidateList>
      <explain/>
      <paraID>2083A54A</paraID>
      <start>25</start>
      <end>29</end>
      <status>ignored</status>
      <modifiedWord/>
      <trackRevisions>false</trackRevisions>
    </reviewItem>
    <reviewItem>
      <errorID>7d808abf-86f4-45b0-b63b-d94b058c4bec</errorID>
      <errorWord>丹徒县</errorWord>
      <group>L1_Word</group>
      <groupName>字词问题</groupName>
      <ability>L2_Variant</ability>
      <abilityName>异形词</abilityName>
      <candidateList>
        <item>丹徒区</item>
      </candidateList>
      <explain>词汇[丹徒县]的规范词形写作[丹徒区]。</explain>
      <paraID>3AC8068E</paraID>
      <start>2</start>
      <end>5</end>
      <status>ignored</status>
      <modifiedWord/>
      <trackRevisions>false</trackRevisions>
    </reviewItem>
    <reviewItem>
      <errorID>792bd747-0046-4d22-b4f2-b3f2b807e8b3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2797FE0F</paraID>
      <start>0</start>
      <end>2</end>
      <status>ignored</status>
      <modifiedWord/>
      <trackRevisions>false</trackRevisions>
    </reviewItem>
    <reviewItem>
      <errorID>2957b86d-780b-4642-afa4-198890efc79c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CFA3CC0</paraID>
      <start>0</start>
      <end>2</end>
      <status>ignored</status>
      <modifiedWord/>
      <trackRevisions>false</trackRevisions>
    </reviewItem>
    <reviewItem>
      <errorID>588ce059-b53a-41d9-8797-5c9f8e1bdf57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76F9472C</paraID>
      <start>0</start>
      <end>2</end>
      <status>ignored</status>
      <modifiedWord/>
      <trackRevisions>false</trackRevisions>
    </reviewItem>
    <reviewItem>
      <errorID>854e3114-c887-49d6-b2e7-4ddaa96dfae4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542C5061</paraID>
      <start>0</start>
      <end>2</end>
      <status>ignored</status>
      <modifiedWord/>
      <trackRevisions>false</trackRevisions>
    </reviewItem>
    <reviewItem>
      <errorID>6b140bb4-9ec8-46e4-9703-9128968a63a2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43147A92</paraID>
      <start>0</start>
      <end>2</end>
      <status>ignored</status>
      <modifiedWord/>
      <trackRevisions>false</trackRevisions>
    </reviewItem>
    <reviewItem>
      <errorID>2d31680f-da09-409c-82b7-4802d852cac1</errorID>
      <errorWord>深林公园</errorWord>
      <group>L1_Word</group>
      <groupName>字词问题</groupName>
      <ability>L2_Typo</ability>
      <abilityName>字词错误</abilityName>
      <candidateList>
        <item>森林公园</item>
      </candidateList>
      <explain/>
      <paraID>106E7377</paraID>
      <start>68</start>
      <end>72</end>
      <status>modified</status>
      <modifiedWord>森林公园</modifiedWord>
      <trackRevisions>false</trackRevisions>
    </reviewItem>
    <reviewItem>
      <errorID>f4a71e47-6f7f-46a7-9469-6b66024a3b9a</errorID>
      <errorWord>深林公园</errorWord>
      <group>L1_Word</group>
      <groupName>字词问题</groupName>
      <ability>L2_Typo</ability>
      <abilityName>字词错误</abilityName>
      <candidateList>
        <item>森林公园</item>
      </candidateList>
      <explain/>
      <paraID>33BD1226</paraID>
      <start>27</start>
      <end>31</end>
      <status>modified</status>
      <modifiedWord>森林公园</modifiedWord>
      <trackRevisions>false</trackRevisions>
    </reviewItem>
    <reviewItem>
      <errorID>dd3fba4c-5c1a-4c10-b115-434b4bf9b1af</errorID>
      <errorWord>期期</errorWord>
      <group>L1_Word</group>
      <groupName>字词问题</groupName>
      <ability>L2_Typo</ability>
      <abilityName>字词错误</abilityName>
      <candidateList>
        <item>期</item>
      </candidateList>
      <explain/>
      <paraID>  BA4B24</paraID>
      <start>4</start>
      <end>5</end>
      <status>modified</status>
      <modifiedWord>期</modifiedWord>
      <trackRevisions>false</trackRevisions>
    </reviewItem>
    <reviewItem>
      <errorID>8b21ba80-66ab-4517-9819-5670bc45ca1c</errorID>
      <errorWord>，</errorWord>
      <group>L1_Word</group>
      <groupName>字词问题</groupName>
      <ability>L2_Typo</ability>
      <abilityName>字词错误</abilityName>
      <candidateList>
        <item>，由</item>
      </candidateList>
      <explain/>
      <paraID> 54F139F</paraID>
      <start>27</start>
      <end>29</end>
      <status>modified</status>
      <modifiedWord>，由</modifiedWord>
      <trackRevisions>false</trackRevisions>
    </reviewItem>
    <reviewItem>
      <errorID>8e2ef3d3-3241-437a-850f-af279942c43e</errorID>
      <errorWord>报刊杂志</errorWord>
      <group>L1_Word</group>
      <groupName>字词问题</groupName>
      <ability>L2_Typo</ability>
      <abilityName>字词错误</abilityName>
      <candidateList>
        <item>报刊</item>
      </candidateList>
      <explain/>
      <paraID>45B07FFF</paraID>
      <start>40</start>
      <end>44</end>
      <status>ignored</status>
      <modifiedWord/>
      <trackRevisions>false</trackRevisions>
    </reviewItem>
    <reviewItem>
      <errorID>4161d469-0e78-46cc-a7f7-f9c3e5f777e9</errorID>
      <errorWord>报刊杂志</errorWord>
      <group>L1_Word</group>
      <groupName>字词问题</groupName>
      <ability>L2_Typo</ability>
      <abilityName>字词错误</abilityName>
      <candidateList>
        <item>报刊</item>
      </candidateList>
      <explain/>
      <paraID>1F2B2D2F</paraID>
      <start>74</start>
      <end>78</end>
      <status>ignored</status>
      <modifiedWord/>
      <trackRevisions>false</trackRevisions>
    </reviewItem>
    <reviewItem>
      <errorID>5fbb5fce-344b-4a0f-a66d-3b3d334cf714</errorID>
      <errorWord>美术</errorWord>
      <group>L1_Word</group>
      <groupName>字词问题</groupName>
      <ability>L2_Typo</ability>
      <abilityName>字词错误</abilityName>
      <candidateList>
        <item>美食</item>
      </candidateList>
      <explain/>
      <paraID>4259635C</paraID>
      <start>46</start>
      <end>48</end>
      <status>ignored</status>
      <modifiedWord/>
      <trackRevisions>false</trackRevisions>
    </reviewItem>
    <reviewItem>
      <errorID>0e0ecea9-a5f0-4129-b511-3b0ef038c05d</errorID>
      <errorWord>～</errorWord>
      <group>L1_Format</group>
      <groupName>格式问题</groupName>
      <ability>L2_HalfPunc</ability>
      <abilityName>全半角检查</abilityName>
      <candidateList>
        <item>~</item>
      </candidateList>
      <explain>文本全半角错误。</explain>
      <paraID>254DD17B</paraID>
      <start>2</start>
      <end>3</end>
      <status>ignored</status>
      <modifiedWord/>
      <trackRevisions>false</trackRevisions>
    </reviewItem>
    <reviewItem>
      <errorID>0bc02ec4-a5e3-442b-af02-7c7249617370</errorID>
      <errorWord>～</errorWord>
      <group>L1_Format</group>
      <groupName>格式问题</groupName>
      <ability>L2_HalfPunc</ability>
      <abilityName>全半角检查</abilityName>
      <candidateList>
        <item>~</item>
      </candidateList>
      <explain>文本全半角错误。</explain>
      <paraID>1BC9ADF5</paraID>
      <start>2</start>
      <end>3</end>
      <status>ignored</status>
      <modifiedWord/>
      <trackRevisions>false</trackRevisions>
    </reviewItem>
    <reviewItem>
      <errorID>8c1b131e-0c4e-40a6-87aa-9ab8f9d3bbec</errorID>
      <errorWord>～</errorWord>
      <group>L1_Format</group>
      <groupName>格式问题</groupName>
      <ability>L2_HalfPunc</ability>
      <abilityName>全半角检查</abilityName>
      <candidateList>
        <item>~</item>
      </candidateList>
      <explain>文本全半角错误。</explain>
      <paraID>7D9D58D8</paraID>
      <start>2</start>
      <end>3</end>
      <status>ignored</status>
      <modifiedWord/>
      <trackRevisions>false</trackRevisions>
    </reviewItem>
    <reviewItem>
      <errorID>9de26d25-f560-48f6-b02f-19ab1afb97b4</errorID>
      <errorWord>～</errorWord>
      <group>L1_Format</group>
      <groupName>格式问题</groupName>
      <ability>L2_HalfPunc</ability>
      <abilityName>全半角检查</abilityName>
      <candidateList>
        <item>~</item>
      </candidateList>
      <explain>文本全半角错误。</explain>
      <paraID>5EFC084C</paraID>
      <start>2</start>
      <end>3</end>
      <status>ignored</status>
      <modifiedWord/>
      <trackRevisions>false</trackRevisions>
    </reviewItem>
    <reviewItem>
      <errorID>63e748c9-ccb5-4b79-a41f-a80ce72dc617</errorID>
      <errorWord>～</errorWord>
      <group>L1_Format</group>
      <groupName>格式问题</groupName>
      <ability>L2_HalfPunc</ability>
      <abilityName>全半角检查</abilityName>
      <candidateList>
        <item>~</item>
      </candidateList>
      <explain>文本全半角错误。</explain>
      <paraID>5357E419</paraID>
      <start>2</start>
      <end>3</end>
      <status>ignored</status>
      <modifiedWord/>
      <trackRevisions>false</trackRevisions>
    </reviewItem>
    <reviewItem>
      <errorID>0b2807e6-b56d-4625-a69d-46fdf8cdf1e9</errorID>
      <errorWord>～</errorWord>
      <group>L1_Format</group>
      <groupName>格式问题</groupName>
      <ability>L2_HalfPunc</ability>
      <abilityName>全半角检查</abilityName>
      <candidateList>
        <item>~</item>
      </candidateList>
      <explain>文本全半角错误。</explain>
      <paraID>5749BE1A</paraID>
      <start>2</start>
      <end>3</end>
      <status>ignored</status>
      <modifiedWord/>
      <trackRevisions>false</trackRevisions>
    </reviewItem>
    <reviewItem>
      <errorID>c2e257ec-2a0c-4500-965e-11a030dcc299</errorID>
      <errorWord>～</errorWord>
      <group>L1_Format</group>
      <groupName>格式问题</groupName>
      <ability>L2_HalfPunc</ability>
      <abilityName>全半角检查</abilityName>
      <candidateList>
        <item>~</item>
      </candidateList>
      <explain>文本全半角错误。</explain>
      <paraID>474038EE</paraID>
      <start>2</start>
      <end>3</end>
      <status>ignored</status>
      <modifiedWord/>
      <trackRevisions>false</trackRevisions>
    </reviewItem>
    <reviewItem>
      <errorID>72079d76-e093-486a-a6c1-9b45e62752e4</errorID>
      <errorWord>～</errorWord>
      <group>L1_Format</group>
      <groupName>格式问题</groupName>
      <ability>L2_HalfPunc</ability>
      <abilityName>全半角检查</abilityName>
      <candidateList>
        <item>~</item>
      </candidateList>
      <explain>文本全半角错误。</explain>
      <paraID>710D91BE</paraID>
      <start>2</start>
      <end>3</end>
      <status>ignored</status>
      <modifiedWord/>
      <trackRevisions>false</trackRevisions>
    </reviewItem>
    <reviewItem>
      <errorID>9b36c206-be6e-4c16-b94e-7fff45788575</errorID>
      <errorWord>～</errorWord>
      <group>L1_Format</group>
      <groupName>格式问题</groupName>
      <ability>L2_HalfPunc</ability>
      <abilityName>全半角检查</abilityName>
      <candidateList>
        <item>~</item>
      </candidateList>
      <explain>文本全半角错误。</explain>
      <paraID>4D0F415A</paraID>
      <start>2</start>
      <end>3</end>
      <status>ignored</status>
      <modifiedWord/>
      <trackRevisions>false</trackRevisions>
    </reviewItem>
    <reviewItem>
      <errorID>7511ea0a-e281-4a4c-92b9-fe7a90e01760</errorID>
      <errorWord>～</errorWord>
      <group>L1_Format</group>
      <groupName>格式问题</groupName>
      <ability>L2_HalfPunc</ability>
      <abilityName>全半角检查</abilityName>
      <candidateList>
        <item>~</item>
      </candidateList>
      <explain>文本全半角错误。</explain>
      <paraID> CA54D81</paraID>
      <start>2</start>
      <end>3</end>
      <status>ignored</status>
      <modifiedWord/>
      <trackRevisions>false</trackRevisions>
    </reviewItem>
    <reviewItem>
      <errorID>192a8905-210a-438c-9668-7389e3f2c4a6</errorID>
      <errorWord>～</errorWord>
      <group>L1_Format</group>
      <groupName>格式问题</groupName>
      <ability>L2_HalfPunc</ability>
      <abilityName>全半角检查</abilityName>
      <candidateList>
        <item>~</item>
      </candidateList>
      <explain>文本全半角错误。</explain>
      <paraID>2B605747</paraID>
      <start>3</start>
      <end>4</end>
      <status>ignored</status>
      <modifiedWord/>
      <trackRevisions>false</trackRevisions>
    </reviewItem>
    <reviewItem>
      <errorID>1cc6c5fa-71a5-417a-8f73-57e6166da0a2</errorID>
      <errorWord>～</errorWord>
      <group>L1_Format</group>
      <groupName>格式问题</groupName>
      <ability>L2_HalfPunc</ability>
      <abilityName>全半角检查</abilityName>
      <candidateList>
        <item>~</item>
      </candidateList>
      <explain>文本全半角错误。</explain>
      <paraID>17871369</paraID>
      <start>2</start>
      <end>3</end>
      <status>ignored</status>
      <modifiedWord/>
      <trackRevisions>false</trackRevisions>
    </reviewItem>
    <reviewItem>
      <errorID>299c7e5c-5c12-42da-b264-257501166802</errorID>
      <errorWord>～</errorWord>
      <group>L1_Format</group>
      <groupName>格式问题</groupName>
      <ability>L2_HalfPunc</ability>
      <abilityName>全半角检查</abilityName>
      <candidateList>
        <item>~</item>
      </candidateList>
      <explain>文本全半角错误。</explain>
      <paraID> DB83DAF</paraID>
      <start>2</start>
      <end>3</end>
      <status>ignored</status>
      <modifiedWord/>
      <trackRevisions>false</trackRevisions>
    </reviewItem>
    <reviewItem>
      <errorID>51635455-4924-4035-8019-1fc52e9d723b</errorID>
      <errorWord>～</errorWord>
      <group>L1_Format</group>
      <groupName>格式问题</groupName>
      <ability>L2_HalfPunc</ability>
      <abilityName>全半角检查</abilityName>
      <candidateList>
        <item>~</item>
      </candidateList>
      <explain>文本全半角错误。</explain>
      <paraID>30C988F8</paraID>
      <start>3</start>
      <end>4</end>
      <status>ignored</status>
      <modifiedWord/>
      <trackRevisions>false</trackRevisions>
    </reviewItem>
    <reviewItem>
      <errorID>4d80156a-1810-43bc-bf2a-a0e3c92e5e36</errorID>
      <errorWord>～</errorWord>
      <group>L1_Format</group>
      <groupName>格式问题</groupName>
      <ability>L2_HalfPunc</ability>
      <abilityName>全半角检查</abilityName>
      <candidateList>
        <item>~</item>
      </candidateList>
      <explain>文本全半角错误。</explain>
      <paraID>691A00C7</paraID>
      <start>3</start>
      <end>4</end>
      <status>ignored</status>
      <modifiedWord/>
      <trackRevisions>false</trackRevisions>
    </reviewItem>
    <reviewItem>
      <errorID>89154a40-55d9-46a5-b416-5a3ee8fa740f</errorID>
      <errorWord>～</errorWord>
      <group>L1_Format</group>
      <groupName>格式问题</groupName>
      <ability>L2_HalfPunc</ability>
      <abilityName>全半角检查</abilityName>
      <candidateList>
        <item>~</item>
      </candidateList>
      <explain>文本全半角错误。</explain>
      <paraID> 224B7C5</paraID>
      <start>2</start>
      <end>3</end>
      <status>ignored</status>
      <modifiedWord/>
      <trackRevisions>false</trackRevisions>
    </reviewItem>
    <reviewItem>
      <errorID>dcb3b52c-0d9a-46dc-9c8a-56b23032ea00</errorID>
      <errorWord>交通的</errorWord>
      <group>L1_Word</group>
      <groupName>字词问题</groupName>
      <ability>L2_Typo</ability>
      <abilityName>字词错误</abilityName>
      <candidateList>
        <item>交通</item>
      </candidateList>
      <explain/>
      <paraID>58700457</paraID>
      <start>22</start>
      <end>25</end>
      <status>ignored</status>
      <modifiedWord/>
      <trackRevisions>false</trackRevisions>
    </reviewItem>
    <reviewItem>
      <errorID>fbd6afde-7bbf-428b-9e45-8b71be7e9fb8</errorID>
      <errorWord>风险的</errorWord>
      <group>L1_Word</group>
      <groupName>字词问题</groupName>
      <ability>L2_Typo</ability>
      <abilityName>字词错误</abilityName>
      <candidateList>
        <item>风险</item>
      </candidateList>
      <explain>〈名〉可能发生的危险：担～｜冒着～去搞试验。</explain>
      <paraID>5C63617C</paraID>
      <start>48</start>
      <end>50</end>
      <status>modified</status>
      <modifiedWord>风险</modifiedWord>
      <trackRevisions>false</trackRevisions>
    </reviewItem>
    <reviewItem>
      <errorID>e5f1678d-ce1d-44fe-9399-273a5299ac97</errorID>
      <errorWord>卫生部</errorWord>
      <group>L1_Knowledge</group>
      <groupName>知识性问题</groupName>
      <ability>L2_Organization</ability>
      <abilityName>机构检查</abilityName>
      <candidateList/>
      <explain>2013年3月，根据《国务院关于提请审议国务院机构改革和职能转变方案》的议案，组建国家卫生和计划生育委员会，不再保留卫生部。2018年3月，中共中央印发了《深化党和国家机构改革方案》，组建国家卫生健康委员会，不再保留国家卫生和计划生育委员会。</explain>
      <paraID>6B9FB0C1</paraID>
      <start>64</start>
      <end>67</end>
      <status>ignored</status>
      <modifiedWord/>
      <trackRevisions>false</trackRevisions>
    </reviewItem>
    <reviewItem>
      <errorID>9d3b9ecb-deeb-4494-8687-46505e3eee36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61E7E2D2</paraID>
      <start>0</start>
      <end>2</end>
      <status>ignored</status>
      <modifiedWord/>
      <trackRevisions>false</trackRevisions>
    </reviewItem>
    <reviewItem>
      <errorID>fb92c0e2-d4c7-4f0d-8f46-2bdfdcbbbcd0</errorID>
      <errorWord>保朴</errorWord>
      <group>L1_Word</group>
      <groupName>字词问题</groupName>
      <ability>L2_Typo</ability>
      <abilityName>字词错误</abilityName>
      <candidateList>
        <item>抱朴</item>
      </candidateList>
      <explain/>
      <paraID>357306D4</paraID>
      <start>11</start>
      <end>13</end>
      <status>ignored</status>
      <modifiedWord/>
      <trackRevisions>false</trackRevisions>
    </reviewItem>
    <reviewItem>
      <errorID>6149de9f-4e9b-419c-b5f1-c5bb54501369</errorID>
      <errorWord>现状</errorWord>
      <group>L1_Word</group>
      <groupName>字词问题</groupName>
      <ability>L2_Typo</ability>
      <abilityName>字词错误</abilityName>
      <candidateList>
        <item>现</item>
      </candidateList>
      <explain/>
      <paraID>26FB1723</paraID>
      <start>39</start>
      <end>40</end>
      <status>modified</status>
      <modifiedWord>现</modifiedWord>
      <trackRevisions>false</trackRevisions>
    </reviewItem>
    <reviewItem>
      <errorID>f2b67934-6328-408a-ad89-415d44184aec</errorID>
      <errorWord>国家农业公园区</errorWord>
      <group>L1_Political</group>
      <groupName>政治性问题</groupName>
      <ability>L2_Keyword</ability>
      <abilityName>固定表述</abilityName>
      <candidateList>
        <item>国家农业科技园区</item>
      </candidateList>
      <explain>词汇“国家农业科技园区”在特定场景下为固定表述形式，请确认此处的“国家农业公园区”是否存在不当。</explain>
      <paraID>1EC092DB</paraID>
      <start>12</start>
      <end>19</end>
      <status>ignored</status>
      <modifiedWord/>
      <trackRevisions>false</trackRevisions>
    </reviewItem>
    <reviewItem>
      <errorID>9e0060ea-01f8-4f8e-b844-98aad227d663</errorID>
      <errorWord>水土</errorWord>
      <group>L1_Word</group>
      <groupName>字词问题</groupName>
      <ability>L2_Typo</ability>
      <abilityName>字词错误</abilityName>
      <candidateList>
        <item>水体</item>
      </candidateList>
      <explain/>
      <paraID>38164C03</paraID>
      <start>152</start>
      <end>154</end>
      <status>ignored</status>
      <modifiedWord/>
      <trackRevisions>false</trackRevisions>
    </reviewItem>
    <reviewItem>
      <errorID>0966c480-7f15-40f7-b06b-1db549b02c24</errorID>
      <errorWord>区</errorWord>
      <group>L1_Word</group>
      <groupName>字词问题</groupName>
      <ability>L2_Typo</ability>
      <abilityName>字词错误</abilityName>
      <candidateList>
        <item>区域</item>
      </candidateList>
      <explain/>
      <paraID>45DC5A1B</paraID>
      <start>39</start>
      <end>40</end>
      <status>ignored</status>
      <modifiedWord/>
      <trackRevisions>false</trackRevisions>
    </reviewItem>
    <reviewItem>
      <errorID>ca1154d3-5319-42d1-84e0-7c609d2cd035</errorID>
      <errorWord>二O三五</errorWord>
      <group>L1_Knowledge</group>
      <groupName>知识性问题</groupName>
      <ability>L2_Knowledge</ability>
      <abilityName>其他知识</abilityName>
      <candidateList>
        <item>二〇三五</item>
      </candidateList>
      <explain/>
      <paraID> 2153D01</paraID>
      <start>22</start>
      <end>26</end>
      <status>modified</status>
      <modifiedWord>二〇三五</modifiedWord>
      <trackRevisions>false</trackRevisions>
    </reviewItem>
    <reviewItem>
      <errorID>911a74a2-b0f7-472a-aec2-1884d72a0e3d</errorID>
      <errorWord>二O三五</errorWord>
      <group>L1_Knowledge</group>
      <groupName>知识性问题</groupName>
      <ability>L2_Knowledge</ability>
      <abilityName>其他知识</abilityName>
      <candidateList>
        <item>二〇三五</item>
      </candidateList>
      <explain/>
      <paraID>460A248E</paraID>
      <start>22</start>
      <end>26</end>
      <status>modified</status>
      <modifiedWord>二〇三五</modifiedWord>
      <trackRevisions>false</trackRevisions>
    </reviewItem>
    <reviewItem>
      <errorID>31559d37-2506-4cbb-82bd-87f9633553f2</errorID>
      <errorWord>二O三五</errorWord>
      <group>L1_Knowledge</group>
      <groupName>知识性问题</groupName>
      <ability>L2_Knowledge</ability>
      <abilityName>其他知识</abilityName>
      <candidateList>
        <item>二〇三五</item>
      </candidateList>
      <explain/>
      <paraID> 40CFFBF</paraID>
      <start>25</start>
      <end>29</end>
      <status>modified</status>
      <modifiedWord>二〇三五</modifiedWord>
      <trackRevisions>false</trackRevisions>
    </reviewItem>
    <reviewItem>
      <errorID>a0d0fb0e-020e-4bc3-a643-16ff9df5561c</errorID>
      <errorWord>（</errorWord>
      <group>L1_Punc</group>
      <groupName>标点问题</groupName>
      <ability>L2_Punc</ability>
      <abilityName>标点符号检查</abilityName>
      <candidateList/>
      <explain/>
      <paraID>45C2D92A</paraID>
      <start>14</start>
      <end>15</end>
      <status>ignored</status>
      <modifiedWord/>
      <trackRevisions>false</trackRevisions>
    </reviewItem>
    <reviewItem>
      <errorID>ee65a9c4-add2-4477-90a2-dbc996a10cc1</errorID>
      <errorWord>，</errorWord>
      <group>L1_Word</group>
      <groupName>字词问题</groupName>
      <ability>L2_Typo</ability>
      <abilityName>字词错误</abilityName>
      <candidateList>
        <item>，在</item>
      </candidateList>
      <explain/>
      <paraID>6E3CA3FF</paraID>
      <start>36</start>
      <end>38</end>
      <status>modified</status>
      <modifiedWord>，在</modifiedWord>
      <trackRevisions>false</trackRevisions>
    </reviewItem>
    <reviewItem>
      <errorID>0b873914-2753-400d-9193-d16f7a6b7ec9</errorID>
      <errorWord>，</errorWord>
      <group>L1_Word</group>
      <groupName>字词问题</groupName>
      <ability>L2_Typo</ability>
      <abilityName>字词错误</abilityName>
      <candidateList>
        <item>，在</item>
      </candidateList>
      <explain/>
      <paraID>3B02F49C</paraID>
      <start>119</start>
      <end>121</end>
      <status>modified</status>
      <modifiedWord>，在</modifiedWord>
      <trackRevisions>false</trackRevisions>
    </reviewItem>
    <reviewItem>
      <errorID>aed866f1-5acd-438d-8975-971ad3cf9ba6</errorID>
      <errorWord>胜</errorWord>
      <group>L1_Word</group>
      <groupName>字词问题</groupName>
      <ability>L2_Typo</ability>
      <abilityName>字词错误</abilityName>
      <candidateList>
        <item>胜区</item>
      </candidateList>
      <explain/>
      <paraID>176D8421</paraID>
      <start>99</start>
      <end>100</end>
      <status>ignored</status>
      <modifiedWord/>
      <trackRevisions>false</trackRevisions>
    </reviewItem>
    <reviewItem>
      <errorID>2cd9b097-1eee-455a-9970-f639261ce8de</errorID>
      <errorWord>胜</errorWord>
      <group>L1_Word</group>
      <groupName>字词问题</groupName>
      <ability>L2_Typo</ability>
      <abilityName>字词错误</abilityName>
      <candidateList>
        <item>胜区</item>
      </candidateList>
      <explain/>
      <paraID>5F72AEAB</paraID>
      <start>163</start>
      <end>164</end>
      <status>ignored</status>
      <modifiedWord/>
      <trackRevisions>false</trackRevisions>
    </reviewItem>
    <reviewItem>
      <errorID>688b6959-391f-4310-a1a5-56e4b0758c28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4A8A6B04</paraID>
      <start>142</start>
      <end>144</end>
      <status>modified</status>
      <modifiedWord>”“</modifiedWord>
      <trackRevisions>false</trackRevisions>
    </reviewItem>
    <reviewItem>
      <errorID>83ade06c-00ef-4b29-87b7-b4a834996679</errorID>
      <errorWord>元</errorWord>
      <group>L1_Word</group>
      <groupName>字词问题</groupName>
      <ability>L2_Typo</ability>
      <abilityName>字词错误</abilityName>
      <candidateList>
        <item>元素</item>
      </candidateList>
      <explain>〈名〉❶要素。❷在代数学中组成联合的各个部分，如723和312中的7，2，3，1。在几何学中构成图形的各个部分，如构成三角形的边和角。❸化学上指具有相同核电荷数（即相同质子数）的同一类原子的总称，如氧元素、铁元素。</explain>
      <paraID>4A8A6B04</paraID>
      <start>269</start>
      <end>270</end>
      <status>ignored</status>
      <modifiedWord/>
      <trackRevisions>false</trackRevisions>
    </reviewItem>
    <reviewItem>
      <errorID>30ea4b4f-7842-46a3-8795-26c134f34cd6</errorID>
      <errorWord>只准</errorWord>
      <group>L1_Word</group>
      <groupName>字词问题</groupName>
      <ability>L2_Typo</ability>
      <abilityName>字词错误</abilityName>
      <candidateList>
        <item>不准</item>
      </candidateList>
      <explain/>
      <paraID> C6220F1</paraID>
      <start>52</start>
      <end>54</end>
      <status>ignored</status>
      <modifiedWord/>
      <trackRevisions>false</trackRevisions>
    </reviewItem>
    <reviewItem>
      <errorID>52de58c5-ef10-4407-aa5b-30456b44a17d</errorID>
      <errorWord>景物</errorWord>
      <group>L1_Word</group>
      <groupName>字词问题</groupName>
      <ability>L2_Typo</ability>
      <abilityName>字词错误</abilityName>
      <candidateList>
        <item>景区</item>
      </candidateList>
      <explain/>
      <paraID>5353B9CE</paraID>
      <start>98</start>
      <end>100</end>
      <status>ignored</status>
      <modifiedWord/>
      <trackRevisions>false</trackRevisions>
    </reviewItem>
    <reviewItem>
      <errorID>3289ab20-dca2-497a-8615-f2b592b2e6a1</errorID>
      <errorWord>原住居民</errorWord>
      <group>L1_Sensitive</group>
      <groupName>敏感问题</groupName>
      <ability>L2_Violent</ability>
      <abilityName>暴恐词条</abilityName>
      <candidateList/>
      <explain>【暴恐词条】句中包含暴恐类敏感词条，请注意甄别。</explain>
      <paraID>7775090D</paraID>
      <start>2</start>
      <end>6</end>
      <status>ignored</status>
      <modifiedWord/>
      <trackRevisions>false</trackRevisions>
    </reviewItem>
    <reviewItem>
      <errorID>7bb881de-df86-4370-95b2-7b82eba6119f</errorID>
      <errorWord>不可避让</errorWord>
      <group>L1_Knowledge</group>
      <groupName>知识性问题</groupName>
      <ability>L2_Idiom</ability>
      <abilityName>成语和诗歌</abilityName>
      <candidateList>
        <item>不可避免</item>
      </candidateList>
      <explain/>
      <paraID>27EE705E</paraID>
      <start>259</start>
      <end>263</end>
      <status>ignored</status>
      <modifiedWord/>
      <trackRevisions>false</trackRevisions>
    </reviewItem>
    <reviewItem>
      <errorID>d3a3b304-c4bb-43a5-92df-271e381974fe</errorID>
      <errorWord>如</errorWord>
      <group>L1_Word</group>
      <groupName>字词问题</groupName>
      <ability>L2_Typo</ability>
      <abilityName>字词错误</abilityName>
      <candidateList>
        <item>如下</item>
      </candidateList>
      <explain>〈动〉如同下面所叙述或列举的：列举～｜现将应注意的事情说明～。</explain>
      <paraID>75CE5DDA</paraID>
      <start>142</start>
      <end>143</end>
      <status>ignored</status>
      <modifiedWord/>
      <trackRevisions>false</trackRevisions>
    </reviewItem>
    <reviewItem>
      <errorID>4802d649-293b-4396-9de7-aa8a990e5e50</errorID>
      <errorWord>现状</errorWord>
      <group>L1_Word</group>
      <groupName>字词问题</groupName>
      <ability>L2_Typo</ability>
      <abilityName>字词错误</abilityName>
      <candidateList>
        <item>现</item>
      </candidateList>
      <explain/>
      <paraID> 721A0D5</paraID>
      <start>39</start>
      <end>40</end>
      <status>modified</status>
      <modifiedWord>现</modifiedWord>
      <trackRevisions>false</trackRevisions>
    </reviewItem>
    <reviewItem>
      <errorID>950006ee-53dc-4e04-a136-3307897a03b3</errorID>
      <errorWord>（</errorWord>
      <group>L1_Punc</group>
      <groupName>标点问题</groupName>
      <ability>L2_Punc</ability>
      <abilityName>标点符号检查</abilityName>
      <candidateList/>
      <explain/>
      <paraID>4D42A3A0</paraID>
      <start>39</start>
      <end>40</end>
      <status>ignored</status>
      <modifiedWord/>
      <trackRevisions>false</trackRevisions>
    </reviewItem>
    <reviewItem>
      <errorID>d5cf1ab2-90bf-4de6-87e7-5eb55d5ad98f</errorID>
      <errorWord>（</errorWord>
      <group>L1_Punc</group>
      <groupName>标点问题</groupName>
      <ability>L2_Punc</ability>
      <abilityName>标点符号检查</abilityName>
      <candidateList/>
      <explain/>
      <paraID>48E188FF</paraID>
      <start>14</start>
      <end>15</end>
      <status>ignored</status>
      <modifiedWord/>
      <trackRevisions>false</trackRevisions>
    </reviewItem>
    <reviewItem>
      <errorID>a865d1f2-65ac-48b9-be1c-3c688eebfbca</errorID>
      <errorWord>,</errorWord>
      <group>L1_Format</group>
      <groupName>格式问题</groupName>
      <ability>L2_HalfPunc</ability>
      <abilityName>全半角检查</abilityName>
      <candidateList>
        <item>，</item>
      </candidateList>
      <explain>文本全半角错误。</explain>
      <paraID>298E6F7C</paraID>
      <start>27</start>
      <end>28</end>
      <status>modified</status>
      <modifiedWord>，</modifiedWord>
      <trackRevisions>false</trackRevisions>
    </reviewItem>
    <reviewItem>
      <errorID>124846d3-e114-4311-9cd9-a5d9a491c769</errorID>
      <errorWord>保育区</errorWord>
      <group>L1_Word</group>
      <groupName>字词问题</groupName>
      <ability>L2_Typo</ability>
      <abilityName>字词错误</abilityName>
      <candidateList>
        <item>保护区</item>
      </candidateList>
      <explain/>
      <paraID>298E6F7C</paraID>
      <start>82</start>
      <end>85</end>
      <status>ignored</status>
      <modifiedWord/>
      <trackRevisions>false</trackRevisions>
    </reviewItem>
    <reviewItem>
      <errorID>6dc90792-7f37-4ea9-a4a7-67af64c5553d</errorID>
      <errorWord>区以</errorWord>
      <group>L1_Word</group>
      <groupName>字词问题</groupName>
      <ability>L2_Typo</ability>
      <abilityName>字词错误</abilityName>
      <candidateList>
        <item>区域</item>
      </candidateList>
      <explain>存在发音相近字词的误用。</explain>
      <paraID>298E6F7C</paraID>
      <start>108</start>
      <end>110</end>
      <status>ignored</status>
      <modifiedWord/>
      <trackRevisions>false</trackRevisions>
    </reviewItem>
    <reviewItem>
      <errorID>adca6880-d6a6-4410-a15a-1853f50e4130</errorID>
      <errorWord>,</errorWord>
      <group>L1_Format</group>
      <groupName>格式问题</groupName>
      <ability>L2_HalfPunc</ability>
      <abilityName>全半角检查</abilityName>
      <candidateList>
        <item>，</item>
      </candidateList>
      <explain>文本全半角错误。</explain>
      <paraID>298E6F7C</paraID>
      <start>210</start>
      <end>211</end>
      <status>modified</status>
      <modifiedWord>，</modifiedWord>
      <trackRevisions>false</trackRevisions>
    </reviewItem>
    <reviewItem>
      <errorID>63e979d2-e0c1-4e5d-b2e8-9e66ab5855df</errorID>
      <errorWord>:</errorWord>
      <group>L1_Format</group>
      <groupName>格式问题</groupName>
      <ability>L2_HalfPunc</ability>
      <abilityName>全半角检查</abilityName>
      <candidateList>
        <item>：</item>
      </candidateList>
      <explain>文本全半角错误。</explain>
      <paraID>1BCFE7BA</paraID>
      <start>112</start>
      <end>113</end>
      <status>modified</status>
      <modifiedWord>：</modifiedWord>
      <trackRevisions>false</trackRevisions>
    </reviewItem>
    <reviewItem>
      <errorID>16c25726-8dba-498d-9a18-eb00f288a1f4</errorID>
      <errorWord>他的</errorWord>
      <group>L1_Word</group>
      <groupName>字词问题</groupName>
      <ability>L2_Typo</ability>
      <abilityName>字词错误</abilityName>
      <candidateList>
        <item>他</item>
      </candidateList>
      <explain/>
      <paraID>354EEDA1</paraID>
      <start>28</start>
      <end>30</end>
      <status>ignored</status>
      <modifiedWord/>
      <trackRevisions>false</trackRevisions>
    </reviewItem>
    <reviewItem>
      <errorID>2158db69-d745-4b1d-be07-a3688b920464</errorID>
      <errorWord>,</errorWord>
      <group>L1_Format</group>
      <groupName>格式问题</groupName>
      <ability>L2_HalfPunc</ability>
      <abilityName>全半角检查</abilityName>
      <candidateList>
        <item>，</item>
      </candidateList>
      <explain>文本全半角错误。</explain>
      <paraID>354EEDA1</paraID>
      <start>35</start>
      <end>36</end>
      <status>modified</status>
      <modifiedWord>，</modifiedWord>
      <trackRevisions>false</trackRevisions>
    </reviewItem>
    <reviewItem>
      <errorID>3a590db4-038c-4076-b16b-be63d90737ee</errorID>
      <errorWord>:</errorWord>
      <group>L1_Format</group>
      <groupName>格式问题</groupName>
      <ability>L2_HalfPunc</ability>
      <abilityName>全半角检查</abilityName>
      <candidateList>
        <item>：</item>
      </candidateList>
      <explain>文本全半角错误。</explain>
      <paraID>47E2C634</paraID>
      <start>64</start>
      <end>65</end>
      <status>modified</status>
      <modifiedWord>：</modifiedWord>
      <trackRevisions>false</trackRevisions>
    </reviewItem>
    <reviewItem>
      <errorID>e53bcf08-b9d9-4f1c-be6e-408cd37ea67c</errorID>
      <errorWord>,</errorWord>
      <group>L1_Format</group>
      <groupName>格式问题</groupName>
      <ability>L2_HalfPunc</ability>
      <abilityName>全半角检查</abilityName>
      <candidateList>
        <item>，</item>
      </candidateList>
      <explain>文本全半角错误。</explain>
      <paraID>68DD47FB</paraID>
      <start>32</start>
      <end>33</end>
      <status>modified</status>
      <modifiedWord>，</modifiedWord>
      <trackRevisions>false</trackRevisions>
    </reviewItem>
    <reviewItem>
      <errorID>d83ccaec-64c1-4ab9-a2cd-0bf11d2664b5</errorID>
      <errorWord>（</errorWord>
      <group>L1_Punc</group>
      <groupName>标点问题</groupName>
      <ability>L2_Punc</ability>
      <abilityName>标点符号检查</abilityName>
      <candidateList/>
      <explain/>
      <paraID>409EC054</paraID>
      <start>328</start>
      <end>329</end>
      <status>ignored</status>
      <modifiedWord/>
      <trackRevisions>false</trackRevisions>
    </reviewItem>
    <reviewItem>
      <errorID>4cf07d18-283d-44aa-9e1f-1a878ee33f21</errorID>
      <errorWord>胜</errorWord>
      <group>L1_Word</group>
      <groupName>字词问题</groupName>
      <ability>L2_Typo</ability>
      <abilityName>字词错误</abilityName>
      <candidateList>
        <item>胜区</item>
      </candidateList>
      <explain/>
      <paraID> 1D7DC31</paraID>
      <start>51</start>
      <end>52</end>
      <status>ignored</status>
      <modifiedWord/>
      <trackRevisions>false</trackRevisions>
    </reviewItem>
    <reviewItem>
      <errorID>cc49385b-a38b-45c4-a008-10bc5adc1bb4</errorID>
      <errorWord>必须的</errorWord>
      <group>L1_Word</group>
      <groupName>字词问题</groupName>
      <ability>L2_Alias</ability>
      <abilityName>也作/曾用词</abilityName>
      <candidateList>
        <item>必需的</item>
      </candidateList>
      <explain>词汇[必须的]为不规范表述或旧称，其规范书面表述为[必需的]。</explain>
      <paraID>3EECD1F9</paraID>
      <start>15</start>
      <end>18</end>
      <status>ignored</status>
      <modifiedWord/>
      <trackRevisions>false</trackRevisions>
    </reviewItem>
    <reviewItem>
      <errorID>5267abe1-d72d-4a35-ae6e-d0f625471f00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3EA5115D</paraID>
      <start>0</start>
      <end>2</end>
      <status>ignored</status>
      <modifiedWord/>
      <trackRevisions>false</trackRevisions>
    </reviewItem>
    <reviewItem>
      <errorID>ee764159-470e-4705-a1b3-278321cb6e1b</errorID>
      <errorWord>景群</errorWord>
      <group>L1_Word</group>
      <groupName>字词问题</groupName>
      <ability>L2_Typo</ability>
      <abilityName>字词错误</abilityName>
      <candidateList>
        <item>景区</item>
      </candidateList>
      <explain/>
      <paraID>1E92BC07</paraID>
      <start>15</start>
      <end>17</end>
      <status>ignored</status>
      <modifiedWord/>
      <trackRevisions>false</trackRevisions>
    </reviewItem>
    <reviewItem>
      <errorID>d52f8f6a-fdc9-4948-bc7b-e8577122e17f</errorID>
      <errorWord>莽蛇</errorWord>
      <group>L1_Word</group>
      <groupName>字词问题</groupName>
      <ability>L2_Typo</ability>
      <abilityName>字词错误</abilityName>
      <candidateList>
        <item>蟒蛇</item>
      </candidateList>
      <explain>存在发音相同字词的误用。</explain>
      <paraID>63261C89</paraID>
      <start>87</start>
      <end>89</end>
      <status>ignored</status>
      <modifiedWord/>
      <trackRevisions>false</trackRevisions>
    </reviewItem>
    <reviewItem>
      <errorID>d7d06e94-56c8-4e9e-a89d-5e304f7ab564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6DEA6857</paraID>
      <start>0</start>
      <end>2</end>
      <status>ignored</status>
      <modifiedWord/>
      <trackRevisions>false</trackRevisions>
    </reviewItem>
    <reviewItem>
      <errorID>dd90bff4-90b7-43a7-a876-557702d22331</errorID>
      <errorWord>，</errorWord>
      <group>L1_Word</group>
      <groupName>字词问题</groupName>
      <ability>L2_Typo</ability>
      <abilityName>字词错误</abilityName>
      <candidateList>
        <item>，对</item>
      </candidateList>
      <explain/>
      <paraID>633ABB8F</paraID>
      <start>106</start>
      <end>107</end>
      <status>ignored</status>
      <modifiedWord/>
      <trackRevisions>false</trackRevisions>
    </reviewItem>
    <reviewItem>
      <errorID>98308d09-3c21-4270-9264-804c0fede727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60E059F8</paraID>
      <start>0</start>
      <end>2</end>
      <status>ignored</status>
      <modifiedWord/>
      <trackRevisions>false</trackRevisions>
    </reviewItem>
    <reviewItem>
      <errorID>46110695-d331-4788-85b7-276b1dd6de90</errorID>
      <errorWord>公益岗位</errorWord>
      <group>L1_Word</group>
      <groupName>字词问题</groupName>
      <ability>L2_Typo</ability>
      <abilityName>字词错误</abilityName>
      <candidateList>
        <item>公益性岗位</item>
      </candidateList>
      <explain/>
      <paraID>31A7C34D</paraID>
      <start>32</start>
      <end>36</end>
      <status>ignored</status>
      <modifiedWord/>
      <trackRevisions>false</trackRevisions>
    </reviewItem>
    <reviewItem>
      <errorID>3a7c153e-6401-428a-a657-d31dabfe7a15</errorID>
      <errorWord>期</errorWord>
      <group>L1_Word</group>
      <groupName>字词问题</groupName>
      <ability>L2_Typo</ability>
      <abilityName>字词错误</abilityName>
      <candidateList>
        <item>期间</item>
      </candidateList>
      <explain>〈名〉某个时期里面：农忙～｜春节～｜抗战～。</explain>
      <paraID> 13FCAA2</paraID>
      <start>491</start>
      <end>493</end>
      <status>modified</status>
      <modifiedWord>期间</modifiedWord>
      <trackRevisions>false</trackRevisions>
    </reviewItem>
    <reviewItem>
      <errorID>ad5b8d31-efed-492a-b9c3-b03a0c633be6</errorID>
      <errorWord>;</errorWord>
      <group>L1_Format</group>
      <groupName>格式问题</groupName>
      <ability>L2_HalfPunc</ability>
      <abilityName>全半角检查</abilityName>
      <candidateList>
        <item>；</item>
      </candidateList>
      <explain>文本全半角错误。</explain>
      <paraID>5DD5271E</paraID>
      <start>53</start>
      <end>54</end>
      <status>modified</status>
      <modifiedWord>；</modifiedWord>
      <trackRevisions>false</trackRevisions>
    </reviewItem>
    <reviewItem>
      <errorID>23388c29-6c3e-4716-bac3-185f983f59a3</errorID>
      <errorWord>;</errorWord>
      <group>L1_Format</group>
      <groupName>格式问题</groupName>
      <ability>L2_HalfPunc</ability>
      <abilityName>全半角检查</abilityName>
      <candidateList>
        <item>；</item>
      </candidateList>
      <explain>文本全半角错误。</explain>
      <paraID>5DD5271E</paraID>
      <start>121</start>
      <end>122</end>
      <status>modified</status>
      <modifiedWord>；</modifiedWord>
      <trackRevisions>false</trackRevisions>
    </reviewItem>
    <reviewItem>
      <errorID>2fa4457d-3e10-472d-88d9-ed2d87ee6fc0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31651A8A</paraID>
      <start>0</start>
      <end>2</end>
      <status>ignored</status>
      <modifiedWord/>
      <trackRevisions>false</trackRevisions>
    </reviewItem>
    <reviewItem>
      <errorID>aed54fed-3823-4d1c-ac32-6c3afeff1d52</errorID>
      <errorWord>（2023）880号</errorWord>
      <group>L1_Knowledge</group>
      <groupName>知识性问题</groupName>
      <ability>L2_Knowledge</ability>
      <abilityName>其他知识</abilityName>
      <candidateList>
        <item>〔2023〕880号</item>
      </candidateList>
      <explain>发文字号格式错误。</explain>
      <paraID>31651A8A</paraID>
      <start>128</start>
      <end>138</end>
      <status>modified</status>
      <modifiedWord>〔2023〕880号</modifiedWord>
      <trackRevisions>false</trackRevisions>
    </reviewItem>
    <reviewItem>
      <errorID>d6c37a70-4724-4a43-8157-89c66253e9eb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2E0D1938</paraID>
      <start>0</start>
      <end>2</end>
      <status>ignored</status>
      <modifiedWord/>
      <trackRevisions>false</trackRevisions>
    </reviewItem>
    <reviewItem>
      <errorID>8fefecd6-4ce9-4b67-91e3-10d7bb372ddb</errorID>
      <errorWord>共抓大保护，不搞大开发</errorWord>
      <group>L1_Political</group>
      <groupName>政治性问题</groupName>
      <ability>L2_Keyword</ability>
      <abilityName>固定表述</abilityName>
      <candidateList>
        <item>共抓大保护、不搞大开发</item>
      </candidateList>
      <explain>注意检查当前固定表述标点是否使用规范。</explain>
      <paraID>2E0D1938</paraID>
      <start>16</start>
      <end>27</end>
      <status>modified</status>
      <modifiedWord>共抓大保护、不搞大开发</modifiedWord>
      <trackRevisions>false</trackRevisions>
    </reviewItem>
    <reviewItem>
      <errorID>ee2dc620-7278-4738-9e79-ca07207c814c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8FF7DCC</paraID>
      <start>0</start>
      <end>2</end>
      <status>ignored</status>
      <modifiedWord/>
      <trackRevisions>false</trackRevisions>
    </reviewItem>
    <reviewItem>
      <errorID>a6a10d92-94ac-4e14-a4d6-98e88dee9708</errorID>
      <errorWord>住</errorWord>
      <group>L1_Word</group>
      <groupName>字词问题</groupName>
      <ability>L2_Typo</ability>
      <abilityName>字词错误</abilityName>
      <candidateList>
        <item>住等</item>
      </candidateList>
      <explain/>
      <paraID>4C899DD7</paraID>
      <start>150</start>
      <end>152</end>
      <status>modified</status>
      <modifiedWord>住等</modifiedWord>
      <trackRevisions>false</trackRevisions>
    </reviewItem>
    <reviewItem>
      <errorID>a4e66a70-6852-4158-bdac-5eb13b61ad6d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215E5C42</paraID>
      <start>0</start>
      <end>2</end>
      <status>ignored</status>
      <modifiedWord/>
      <trackRevisions>false</trackRevisions>
    </reviewItem>
    <reviewItem>
      <errorID>0fd6b4d5-f803-472c-9a28-c516cb0d219d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380707D6</paraID>
      <start>0</start>
      <end>2</end>
      <status>ignored</status>
      <modifiedWord/>
      <trackRevisions>false</trackRevisions>
    </reviewItem>
    <reviewItem>
      <errorID>d0e2657d-8d30-4459-9b6e-e356fb0b99ef</errorID>
      <errorWord>区域连防联控</errorWord>
      <group>L1_Political</group>
      <groupName>政治性问题</groupName>
      <ability>L2_Keyword</ability>
      <abilityName>固定表述</abilityName>
      <candidateList>
        <item>区域联防联控</item>
      </candidateList>
      <explain>词汇“区域联防联控”在特定场景下为固定表述形式，请确认此处的“区域连防联控”是否存在不当。</explain>
      <paraID>380707D6</paraID>
      <start>102</start>
      <end>108</end>
      <status>modified</status>
      <modifiedWord>区域联防联控</modifiedWord>
      <trackRevisions>false</trackRevisions>
    </reviewItem>
    <reviewItem>
      <errorID>2e386c7d-8f68-4c2a-a106-e353d4cb1e67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133F9F99</paraID>
      <start>0</start>
      <end>2</end>
      <status>ignored</status>
      <modifiedWord/>
      <trackRevisions>false</trackRevisions>
    </reviewItem>
    <reviewItem>
      <errorID>591ea73d-3642-4cfc-b889-966a88837d07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4C64D60F</paraID>
      <start>0</start>
      <end>2</end>
      <status>ignored</status>
      <modifiedWord/>
      <trackRevisions>false</trackRevisions>
    </reviewItem>
    <reviewItem>
      <errorID>dc83cbf9-9c04-4c42-a0e3-77799c8da429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1E4605C9</paraID>
      <start>0</start>
      <end>2</end>
      <status>ignored</status>
      <modifiedWord/>
      <trackRevisions>false</trackRevisions>
    </reviewItem>
    <reviewItem>
      <errorID>a8a01aed-e77b-426a-aeb9-2be7460e144b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714DE9A</paraID>
      <start>0</start>
      <end>2</end>
      <status>ignored</status>
      <modifiedWord/>
      <trackRevisions>false</trackRevisions>
    </reviewItem>
    <reviewItem>
      <errorID>a5ed7676-c3bf-41e9-9ab5-1ba255df14c1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5A9B5148</paraID>
      <start>0</start>
      <end>2</end>
      <status>ignored</status>
      <modifiedWord/>
      <trackRevisions>false</trackRevisions>
    </reviewItem>
    <reviewItem>
      <errorID>9c339c4b-374f-49dc-b5e5-02e09c61c099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20F9BE28</paraID>
      <start>0</start>
      <end>2</end>
      <status>ignored</status>
      <modifiedWord/>
      <trackRevisions>false</trackRevisions>
    </reviewItem>
    <reviewItem>
      <errorID>31208e37-e932-4e77-81db-578264ae72a1</errorID>
      <errorWord>水</errorWord>
      <group>L1_Word</group>
      <groupName>字词问题</groupName>
      <ability>L2_Typo</ability>
      <abilityName>字词错误</abilityName>
      <candidateList>
        <item>水资</item>
      </candidateList>
      <explain/>
      <paraID>4CADEAA5</paraID>
      <start>33</start>
      <end>34</end>
      <status>ignored</status>
      <modifiedWord/>
      <trackRevisions>false</trackRevisions>
    </reviewItem>
    <reviewItem>
      <errorID>d20eb1f1-887b-4db6-b98e-7f3a95286686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499CD1A0</paraID>
      <start>0</start>
      <end>2</end>
      <status>ignored</status>
      <modifiedWord/>
      <trackRevisions>false</trackRevisions>
    </reviewItem>
    <reviewItem>
      <errorID>0c2368da-6fcc-4bf7-927a-cd1fcd1213df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64CA1086</paraID>
      <start>0</start>
      <end>2</end>
      <status>ignored</status>
      <modifiedWord/>
      <trackRevisions>false</trackRevisions>
    </reviewItem>
    <reviewItem>
      <errorID>8a74ad5a-5f7b-4b26-b186-1d229533372f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2022B042</paraID>
      <start>0</start>
      <end>2</end>
      <status>ignored</status>
      <modifiedWord/>
      <trackRevisions>false</trackRevisions>
    </reviewItem>
    <reviewItem>
      <errorID>214ae8da-abf3-4f86-a6bd-cbb0f6808e62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73A2972C</paraID>
      <start>0</start>
      <end>2</end>
      <status>ignored</status>
      <modifiedWord/>
      <trackRevisions>false</trackRevisions>
    </reviewItem>
    <reviewItem>
      <errorID>32ae72bf-fc7a-4d74-a2aa-b59c65418d28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5E1F3838</paraID>
      <start>0</start>
      <end>2</end>
      <status>ignored</status>
      <modifiedWord/>
      <trackRevisions>false</trackRevisions>
    </reviewItem>
    <reviewItem>
      <errorID>87aafe3b-e1fe-45d5-a3bf-e824043d6bb1</errorID>
      <errorWord>常州市常州市</errorWord>
      <group>L1_Word</group>
      <groupName>字词问题</groupName>
      <ability>L2_Typo</ability>
      <abilityName>字词错误</abilityName>
      <candidateList>
        <item>常州市</item>
      </candidateList>
      <explain/>
      <paraID>2238ECCF</paraID>
      <start>2</start>
      <end>5</end>
      <status>modified</status>
      <modifiedWord>常州市</modifiedWord>
      <trackRevisions>false</trackRevisions>
    </reviewItem>
    <reviewItem>
      <errorID>ecd38b65-03c4-48bc-9d66-a2fca940847b</errorID>
      <errorWord>如</errorWord>
      <group>L1_Word</group>
      <groupName>字词问题</groupName>
      <ability>L2_Typo</ability>
      <abilityName>字词错误</abilityName>
      <candidateList>
        <item>如下</item>
      </candidateList>
      <explain>〈动〉如同下面所叙述或列举的：列举～｜现将应注意的事情说明～。</explain>
      <paraID>2238ECCF</paraID>
      <start>118</start>
      <end>119</end>
      <status>ignored</status>
      <modifiedWord/>
      <trackRevisions>false</trackRevisions>
    </reviewItem>
    <reviewItem>
      <errorID>bfb947bf-01ed-4c2a-b906-f5e59389afae</errorID>
      <errorWord>森林法实施条例</errorWord>
      <group>L1_Knowledge</group>
      <groupName>知识性问题</groupName>
      <ability>L2_Knowledge</ability>
      <abilityName>其他知识</abilityName>
      <candidateList>
        <item>中华人民共和国森林法实施条例</item>
      </candidateList>
      <explain>当前法律法规名称使用简称，请注意是否应当使用全称。</explain>
      <paraID>40A7A288</paraID>
      <start>18</start>
      <end>32</end>
      <status>modified</status>
      <modifiedWord>中华人民共和国森林法实施条例</modifiedWord>
      <trackRevisions>false</trackRevisions>
    </reviewItem>
    <reviewItem>
      <errorID>5f07ad20-f476-4b28-bbad-217b55fb44f4</errorID>
      <errorWord>江苏省太湖流域水污染防治条例</errorWord>
      <group>L1_Knowledge</group>
      <groupName>知识性问题</groupName>
      <ability>L2_Knowledge</ability>
      <abilityName>其他知识</abilityName>
      <candidateList>
        <item>江苏省太湖水污染防治条例</item>
      </candidateList>
      <explain>当前法律法规未收录或尚未生效，注意核查是否正确。</explain>
      <paraID> 121042B</paraID>
      <start>11</start>
      <end>25</end>
      <status>ignored</status>
      <modifiedWord/>
      <trackRevisions>false</trackRevisions>
    </reviewItem>
    <reviewItem>
      <errorID>e89227c3-d012-4aed-9403-d02756889d7c</errorID>
      <errorWord>；</errorWord>
      <group>L1_Word</group>
      <groupName>字词问题</groupName>
      <ability>L2_Typo</ability>
      <abilityName>字词错误</abilityName>
      <candidateList>
        <item>；对</item>
      </candidateList>
      <explain/>
      <paraID>63224851</paraID>
      <start>106</start>
      <end>107</end>
      <status>ignored</status>
      <modifiedWord/>
      <trackRevisions>false</trackRevisions>
    </reviewItem>
    <reviewItem>
      <errorID>ef484509-57ac-4348-a8a4-26aee07cdfb6</errorID>
      <errorWord>交会点</errorWord>
      <group>L1_Word</group>
      <groupName>字词问题</groupName>
      <ability>L2_Typo</ability>
      <abilityName>字词错误</abilityName>
      <candidateList>
        <item>交汇点</item>
      </candidateList>
      <explain/>
      <paraID>5A0092F2</paraID>
      <start>29</start>
      <end>32</end>
      <status>ignored</status>
      <modifiedWord/>
      <trackRevisions>false</trackRevisions>
    </reviewItem>
    <reviewItem>
      <errorID>627eeaca-4f25-4775-a5f0-a273de72f209</errorID>
      <errorWord>自生</errorWord>
      <group>L1_Word</group>
      <groupName>字词问题</groupName>
      <ability>L2_Typo</ability>
      <abilityName>字词错误</abilityName>
      <candidateList>
        <item>自主</item>
      </candidateList>
      <explain>存在字形相近字词的误用。</explain>
      <paraID>5482C922</paraID>
      <start>123</start>
      <end>125</end>
      <status>ignored</status>
      <modifiedWord/>
      <trackRevisions>false</trackRevisions>
    </reviewItem>
    <reviewItem>
      <errorID>d2135304-8fb8-4540-8063-421cccfa0fb4</errorID>
      <errorWord>，</errorWord>
      <group>L1_Word</group>
      <groupName>字词问题</groupName>
      <ability>L2_Typo</ability>
      <abilityName>字词错误</abilityName>
      <candidateList>
        <item>，是</item>
      </candidateList>
      <explain/>
      <paraID>5C1FCC81</paraID>
      <start>288</start>
      <end>289</end>
      <status>ignored</status>
      <modifiedWord/>
      <trackRevisions>false</trackRevisions>
    </reviewItem>
    <reviewItem>
      <errorID>725515f6-9d83-4a17-aa8b-d06d58ffa170</errorID>
      <errorWord>（2011）26号</errorWord>
      <group>L1_Knowledge</group>
      <groupName>知识性问题</groupName>
      <ability>L2_Knowledge</ability>
      <abilityName>其他知识</abilityName>
      <candidateList>
        <item>〔2011〕26号</item>
      </candidateList>
      <explain>发文字号格式错误。</explain>
      <paraID>7D7F489E</paraID>
      <start>32</start>
      <end>41</end>
      <status>modified</status>
      <modifiedWord>〔2011〕26号</modifiedWord>
      <trackRevisions>false</trackRevisions>
    </reviewItem>
    <reviewItem>
      <errorID>f3c4cc06-9ee0-4fae-85c8-aa2057f792ca</errorID>
      <errorWord>污水厂</errorWord>
      <group>L1_Word</group>
      <groupName>字词问题</groupName>
      <ability>L2_Typo</ability>
      <abilityName>字词错误</abilityName>
      <candidateList>
        <item>污水处理厂</item>
      </candidateList>
      <explain/>
      <paraID>50C39958</paraID>
      <start>86</start>
      <end>91</end>
      <status>modified</status>
      <modifiedWord>污水处理厂</modifiedWord>
      <trackRevisions>false</trackRevisions>
    </reviewItem>
    <reviewItem>
      <errorID>7cfeb95f-4bf7-4c76-9dce-441eeffb32b1</errorID>
      <errorWord>已的</errorWord>
      <group>L1_Word</group>
      <groupName>字词问题</groupName>
      <ability>L2_Typo</ability>
      <abilityName>字词错误</abilityName>
      <candidateList>
        <item>已</item>
      </candidateList>
      <explain>❶停止：争论不～｜有加无～。❷〈副〉已经（跟“未”相对）：时间～过｜此事～设法解决。❸〈书〉副后来；过了一会儿：～而｜～忽不见。❹〈书〉副太；过：不为～甚。❺（Yǐ）〈名〉姓。</explain>
      <paraID> 289A39A</paraID>
      <start>22</start>
      <end>23</end>
      <status>modified</status>
      <modifiedWord>已</modifiedWord>
      <trackRevisions>false</trackRevisions>
    </reviewItem>
    <reviewItem>
      <errorID>62cac82a-ea02-4c30-a2b4-5c7e184a9f33</errorID>
      <errorWord>分散污水处理</errorWord>
      <group>L1_Knowledge</group>
      <groupName>知识性问题</groupName>
      <ability>L2_Knowledge</ability>
      <abilityName>其他知识</abilityName>
      <candidateList>
        <item>分散式污水处理</item>
      </candidateList>
      <explain/>
      <paraID>57A77A26</paraID>
      <start>32</start>
      <end>39</end>
      <status>modified</status>
      <modifiedWord>分散式污水处理</modifiedWord>
      <trackRevisions>false</trackRevisions>
    </reviewItem>
    <reviewItem>
      <errorID>c78a9ccb-9b67-4ce4-950d-92d0e286d64f</errorID>
      <errorWord>上世纪七十年代</errorWord>
      <group>L1_Word</group>
      <groupName>字词问题</groupName>
      <ability>L2_Typo</ability>
      <abilityName>字词错误</abilityName>
      <candidateList>
        <item>20世纪70年代</item>
      </candidateList>
      <explain/>
      <paraID>7B045B88</paraID>
      <start>34</start>
      <end>42</end>
      <status>modified</status>
      <modifiedWord>20世纪70年代</modifiedWord>
      <trackRevisions>false</trackRevisions>
    </reviewItem>
    <reviewItem>
      <errorID>20acb2f8-bcf7-46e9-b763-c6fbda63faa9</errorID>
      <errorWord>州</errorWord>
      <group>L1_Word</group>
      <groupName>字词问题</groupName>
      <ability>L2_Typo</ability>
      <abilityName>字词错误</abilityName>
      <candidateList>
        <item>州市</item>
      </candidateList>
      <explain/>
      <paraID>7B045B88</paraID>
      <start>139</start>
      <end>140</end>
      <status>ignored</status>
      <modifiedWord/>
      <trackRevisions>false</trackRevisions>
    </reviewItem>
    <reviewItem>
      <errorID>2170590d-c6e1-48aa-afa0-2625539964cc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43596A1F</paraID>
      <start>0</start>
      <end>2</end>
      <status>ignored</status>
      <modifiedWord/>
      <trackRevisions>false</trackRevisions>
    </reviewItem>
    <reviewItem>
      <errorID>da09e384-eb22-461b-9a30-08db2b656cac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5848FDE1</paraID>
      <start>0</start>
      <end>2</end>
      <status>ignored</status>
      <modifiedWord/>
      <trackRevisions>false</trackRevisions>
    </reviewItem>
    <reviewItem>
      <errorID>f67a8041-d741-4bce-8505-fe4700699a6e</errorID>
      <errorWord>（2017）40号</errorWord>
      <group>L1_Knowledge</group>
      <groupName>知识性问题</groupName>
      <ability>L2_Knowledge</ability>
      <abilityName>其他知识</abilityName>
      <candidateList>
        <item>〔2017〕40号</item>
      </candidateList>
      <explain>发文字号格式错误。</explain>
      <paraID> 34079AF</paraID>
      <start>55</start>
      <end>64</end>
      <status>modified</status>
      <modifiedWord>〔2017〕40号</modifiedWord>
      <trackRevisions>false</trackRevisions>
    </reviewItem>
    <reviewItem>
      <errorID>264c8f46-0715-49a2-8ed7-7586809a3e2a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703412C0</paraID>
      <start>0</start>
      <end>2</end>
      <status>ignored</status>
      <modifiedWord/>
      <trackRevisions>false</trackRevisions>
    </reviewItem>
    <reviewItem>
      <errorID>57906486-3158-4461-9318-2f037936db3e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18C03235</paraID>
      <start>0</start>
      <end>2</end>
      <status>ignored</status>
      <modifiedWord/>
      <trackRevisions>false</trackRevisions>
    </reviewItem>
    <reviewItem>
      <errorID>e3a0a9b5-c44e-4108-8c1f-0e6040abf093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2052E8CF</paraID>
      <start>0</start>
      <end>2</end>
      <status>ignored</status>
      <modifiedWord/>
      <trackRevisions>false</trackRevisions>
    </reviewItem>
    <reviewItem>
      <errorID>ce1533e1-7183-44d7-b5ed-68b6b7accc41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6855E8FC</paraID>
      <start>0</start>
      <end>2</end>
      <status>ignored</status>
      <modifiedWord/>
      <trackRevisions>false</trackRevisions>
    </reviewItem>
    <reviewItem>
      <errorID>bddd1b66-cf51-42e6-b8af-5cce802eadd2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42D808AD</paraID>
      <start>0</start>
      <end>2</end>
      <status>ignored</status>
      <modifiedWord/>
      <trackRevisions>false</trackRevisions>
    </reviewItem>
    <reviewItem>
      <errorID>01b70b7a-c5b1-4bb6-ba4c-27fe2f00f6fd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74D1BBB9</paraID>
      <start>0</start>
      <end>2</end>
      <status>ignored</status>
      <modifiedWord/>
      <trackRevisions>false</trackRevisions>
    </reviewItem>
    <reviewItem>
      <errorID>40e48fab-ad3c-4024-81e1-c13d98cfd388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30B35A77</paraID>
      <start>0</start>
      <end>2</end>
      <status>ignored</status>
      <modifiedWord/>
      <trackRevisions>false</trackRevisions>
    </reviewItem>
    <reviewItem>
      <errorID>52d11a7f-ee0f-41a1-a5bf-f5e1687badb4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6BA251EE</paraID>
      <start>0</start>
      <end>2</end>
      <status>ignored</status>
      <modifiedWord/>
      <trackRevisions>false</trackRevisions>
    </reviewItem>
    <reviewItem>
      <errorID>849dfd2f-f04c-46a2-8878-d729bbcf43a2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4D2E1B56</paraID>
      <start>0</start>
      <end>2</end>
      <status>ignored</status>
      <modifiedWord/>
      <trackRevisions>false</trackRevisions>
    </reviewItem>
    <reviewItem>
      <errorID>7072aec3-cb3d-42ab-a02e-eb2fd5f5db1b</errorID>
      <errorWord>主要以天然气和液化石油气为主</errorWord>
      <group>L1_Word</group>
      <groupName>字词问题</groupName>
      <ability>L2_Typo</ability>
      <abilityName>字词错误</abilityName>
      <candidateList>
        <item>以天然气和液化石油气为主</item>
      </candidateList>
      <explain/>
      <paraID>39F8307E</paraID>
      <start>46</start>
      <end>58</end>
      <status>modified</status>
      <modifiedWord>以天然气和液化石油气为主</modifiedWord>
      <trackRevisions>false</trackRevisions>
    </reviewItem>
    <reviewItem>
      <errorID>941ce493-151c-45f4-8f23-f3aa6b287e87</errorID>
      <errorWord>（</errorWord>
      <group>L1_Punc</group>
      <groupName>标点问题</groupName>
      <ability>L2_Punc</ability>
      <abilityName>标点符号检查</abilityName>
      <candidateList/>
      <explain>同一形式括号套用。</explain>
      <paraID>259927E0</paraID>
      <start>7</start>
      <end>8</end>
      <status>ignored</status>
      <modifiedWord/>
      <trackRevisions>false</trackRevisions>
    </reviewItem>
    <reviewItem>
      <errorID>42b41775-8055-43a1-8727-dcfcb283f862</errorID>
      <errorWord>）</errorWord>
      <group>L1_Punc</group>
      <groupName>标点问题</groupName>
      <ability>L2_Punc</ability>
      <abilityName>标点符号检查</abilityName>
      <candidateList/>
      <explain>同一形式括号套用。</explain>
      <paraID>259927E0</paraID>
      <start>11</start>
      <end>12</end>
      <status>ignored</status>
      <modifiedWord/>
      <trackRevisions>false</trackRevisions>
    </reviewItem>
    <reviewItem>
      <errorID>b61ca176-e6e5-493f-a152-2bce830d92cd</errorID>
      <errorWord>年</errorWord>
      <group>L1_Word</group>
      <groupName>字词问题</groupName>
      <ability>L2_Typo</ability>
      <abilityName>字词错误</abilityName>
      <candidateList>
        <item>年度</item>
      </candidateList>
      <explain/>
      <paraID>50A7DFC1</paraID>
      <start>47</start>
      <end>48</end>
      <status>ignored</status>
      <modifiedWord/>
      <trackRevisions>false</trackRevisions>
    </reviewItem>
    <reviewItem>
      <errorID>d3a28ba1-3c59-42c9-ab8d-45e024f4b4e6</errorID>
      <errorWord>计</errorWord>
      <group>L1_Word</group>
      <groupName>字词问题</groupName>
      <ability>L2_Typo</ability>
      <abilityName>字词错误</abilityName>
      <candidateList>
        <item>计算</item>
      </candidateList>
      <explain/>
      <paraID> 75F911E</paraID>
      <start>14</start>
      <end>15</end>
      <status>ignored</status>
      <modifiedWord/>
      <trackRevisions>false</trackRevisions>
    </reviewItem>
    <reviewItem>
      <errorID>9054b557-45a3-4954-9b36-90dccc35f28c</errorID>
      <errorWord>见</errorWord>
      <group>L1_Word</group>
      <groupName>字词问题</groupName>
      <ability>L2_Typo</ability>
      <abilityName>字词错误</abilityName>
      <candidateList>
        <item>见下</item>
      </candidateList>
      <explain/>
      <paraID>11B8C427</paraID>
      <start>15</start>
      <end>16</end>
      <status>ignored</status>
      <modifiedWord/>
      <trackRevisions>false</trackRevisions>
    </reviewItem>
    <reviewItem>
      <errorID>9217e72e-f061-4611-b34c-4668ae28d54a</errorID>
      <errorWord>（</errorWord>
      <group>L1_Format</group>
      <groupName>格式问题</groupName>
      <ability>L2_HalfPunc</ability>
      <abilityName>全半角检查</abilityName>
      <candidateList>
        <item>(</item>
      </candidateList>
      <explain>文本全半角错误。</explain>
      <paraID>7E41F4FF</paraID>
      <start>0</start>
      <end>1</end>
      <status>ignored</status>
      <modifiedWord/>
      <trackRevisions>false</trackRevisions>
    </reviewItem>
    <reviewItem>
      <errorID>adba1f5f-7666-47c4-b3d6-3fd057440c6e</errorID>
      <errorWord>）</errorWord>
      <group>L1_Format</group>
      <groupName>格式问题</groupName>
      <ability>L2_HalfPunc</ability>
      <abilityName>全半角检查</abilityName>
      <candidateList>
        <item>)</item>
      </candidateList>
      <explain>文本全半角错误。</explain>
      <paraID>7E41F4FF</paraID>
      <start>4</start>
      <end>5</end>
      <status>ignored</status>
      <modifiedWord/>
      <trackRevisions>false</trackRevisions>
    </reviewItem>
    <reviewItem>
      <errorID>d3112570-f281-4033-b4af-788b7f1e58ad</errorID>
      <errorWord>（</errorWord>
      <group>L1_Format</group>
      <groupName>格式问题</groupName>
      <ability>L2_HalfPunc</ability>
      <abilityName>全半角检查</abilityName>
      <candidateList>
        <item>(</item>
      </candidateList>
      <explain>文本全半角错误。</explain>
      <paraID>724E632A</paraID>
      <start>0</start>
      <end>1</end>
      <status>ignored</status>
      <modifiedWord/>
      <trackRevisions>false</trackRevisions>
    </reviewItem>
    <reviewItem>
      <errorID>1ce85786-2ddc-4343-b577-acdd366290b9</errorID>
      <errorWord>）</errorWord>
      <group>L1_Format</group>
      <groupName>格式问题</groupName>
      <ability>L2_HalfPunc</ability>
      <abilityName>全半角检查</abilityName>
      <candidateList>
        <item>)</item>
      </candidateList>
      <explain>文本全半角错误。</explain>
      <paraID>724E632A</paraID>
      <start>4</start>
      <end>5</end>
      <status>ignored</status>
      <modifiedWord/>
      <trackRevisions>false</trackRevisions>
    </reviewItem>
    <reviewItem>
      <errorID>2ee10116-7be8-4f5b-9b4a-55fd4a887246</errorID>
      <errorWord>（</errorWord>
      <group>L1_Format</group>
      <groupName>格式问题</groupName>
      <ability>L2_HalfPunc</ability>
      <abilityName>全半角检查</abilityName>
      <candidateList>
        <item>(</item>
      </candidateList>
      <explain>文本全半角错误。</explain>
      <paraID>48E5A633</paraID>
      <start>0</start>
      <end>1</end>
      <status>ignored</status>
      <modifiedWord/>
      <trackRevisions>false</trackRevisions>
    </reviewItem>
    <reviewItem>
      <errorID>8bf381ca-e7c7-4538-9d41-ec78c8247162</errorID>
      <errorWord>）</errorWord>
      <group>L1_Format</group>
      <groupName>格式问题</groupName>
      <ability>L2_HalfPunc</ability>
      <abilityName>全半角检查</abilityName>
      <candidateList>
        <item>)</item>
      </candidateList>
      <explain>文本全半角错误。</explain>
      <paraID>48E5A633</paraID>
      <start>4</start>
      <end>5</end>
      <status>ignored</status>
      <modifiedWord/>
      <trackRevisions>false</trackRevisions>
    </reviewItem>
    <reviewItem>
      <errorID>ee49f39a-b1b3-4a1c-a46a-aaeea0cb7588</errorID>
      <errorWord>未有</errorWord>
      <group>L1_Word</group>
      <groupName>字词问题</groupName>
      <ability>L2_Typo</ability>
      <abilityName>字词错误</abilityName>
      <candidateList>
        <item>未</item>
      </candidateList>
      <explain>〈副〉❶没（跟“已”相对）：尚～成年｜健康仍～恢复。❷不：～便｜～敢苟同｜～可厚非。</explain>
      <paraID>27F9B65A</paraID>
      <start>44</start>
      <end>46</end>
      <status>ignored</status>
      <modifiedWord/>
      <trackRevisions>false</trackRevisions>
    </reviewItem>
    <reviewItem>
      <errorID>1621954c-7b9f-4961-9fea-565a81d71768</errorID>
      <errorWord>，</errorWord>
      <group>L1_Word</group>
      <groupName>字词问题</groupName>
      <ability>L2_Typo</ability>
      <abilityName>字词错误</abilityName>
      <candidateList>
        <item>，并</item>
      </candidateList>
      <explain/>
      <paraID>4C47F2AD</paraID>
      <start>139</start>
      <end>141</end>
      <status>modified</status>
      <modifiedWord>，并</modifiedWord>
      <trackRevisions>false</trackRevisions>
    </reviewItem>
    <reviewItem>
      <errorID>661f3dce-5684-440a-8ce9-94157a631a22</errorID>
      <errorWord>山无味</errorWord>
      <group>L1_Word</group>
      <groupName>字词问题</groupName>
      <ability>L2_Typo</ability>
      <abilityName>字词错误</abilityName>
      <candidateList>
        <item>善无畏</item>
      </candidateList>
      <explain/>
      <paraID>127E3110</paraID>
      <start>130</start>
      <end>133</end>
      <status>ignored</status>
      <modifiedWord/>
      <trackRevisions>false</trackRevisions>
    </reviewItem>
    <reviewItem>
      <errorID>8c23649b-7cdb-4b19-b45d-6e877cdd3ac4</errorID>
      <errorWord>噪音</errorWord>
      <group>L1_Word</group>
      <groupName>字词问题</groupName>
      <ability>L2_Alias</ability>
      <abilityName>也作/曾用词</abilityName>
      <candidateList>
        <item>噪声</item>
      </candidateList>
      <explain>词汇[噪音]为不规范表述或旧称，其规范书面表述为[噪声]。</explain>
      <paraID>127E3110</paraID>
      <start>140</start>
      <end>142</end>
      <status>ignored</status>
      <modifiedWord/>
      <trackRevisions>false</trackRevisions>
    </reviewItem>
    <reviewItem>
      <errorID>cf99a4cd-899a-4ba0-a816-24e307e10d25</errorID>
      <errorWord>超出</errorWord>
      <group>L1_Word</group>
      <groupName>字词问题</groupName>
      <ability>L2_Typo</ability>
      <abilityName>字词错误</abilityName>
      <candidateList>
        <item>拆除</item>
      </candidateList>
      <explain/>
      <paraID>76FEC91E</paraID>
      <start>34</start>
      <end>36</end>
      <status>modified</status>
      <modifiedWord>拆除</modifiedWord>
      <trackRevisions>false</trackRevisions>
    </reviewItem>
    <reviewItem>
      <errorID>d40b9d0b-4201-4671-99b6-55641bb160b4</errorID>
      <errorWord>山无味</errorWord>
      <group>L1_Word</group>
      <groupName>字词问题</groupName>
      <ability>L2_Typo</ability>
      <abilityName>字词错误</abilityName>
      <candidateList>
        <item>善无畏</item>
      </candidateList>
      <explain/>
      <paraID>19A8807B</paraID>
      <start>2</start>
      <end>5</end>
      <status>ignored</status>
      <modifiedWord/>
      <trackRevisions>false</trackRevisions>
    </reviewItem>
    <reviewItem>
      <errorID>474f7f85-6769-4295-a30e-096808d0ce87</errorID>
      <errorWord>噪音</errorWord>
      <group>L1_Word</group>
      <groupName>字词问题</groupName>
      <ability>L2_Alias</ability>
      <abilityName>也作/曾用词</abilityName>
      <candidateList>
        <item>噪声</item>
      </candidateList>
      <explain>词汇[噪音]为不规范表述或旧称，其规范书面表述为[噪声]。</explain>
      <paraID>19A8807B</paraID>
      <start>12</start>
      <end>14</end>
      <status>ignored</status>
      <modifiedWord/>
      <trackRevisions>false</trackRevisions>
    </reviewItem>
    <reviewItem>
      <errorID>795b364a-442a-479e-9733-fdec22454353</errorID>
      <errorWord>德</errorWord>
      <group>L1_Word</group>
      <groupName>字词问题</groupName>
      <ability>L2_Typo</ability>
      <abilityName>字词错误</abilityName>
      <candidateList>
        <item>的</item>
      </candidateList>
      <explain>存在发音相同字词的误用。</explain>
      <paraID>5713A0B6</paraID>
      <start>19</start>
      <end>20</end>
      <status>modified</status>
      <modifiedWord>的</modifiedWord>
      <trackRevisions>false</trackRevisions>
    </reviewItem>
    <reviewItem>
      <errorID>eff15d58-ea44-4d8f-bf6e-206ef3fc68ee</errorID>
      <errorWord>年</errorWord>
      <group>L1_Word</group>
      <groupName>字词问题</groupName>
      <ability>L2_Typo</ability>
      <abilityName>字词错误</abilityName>
      <candidateList>
        <item>年度</item>
      </candidateList>
      <explain/>
      <paraID> F11071A</paraID>
      <start>0</start>
      <end>1</end>
      <status>ignored</status>
      <modifiedWord/>
      <trackRevisions>false</trackRevisions>
    </reviewItem>
    <reviewItem>
      <errorID>de6e3f88-cbb0-450f-a504-cb45cad2ef82</errorID>
      <errorWord>（</errorWord>
      <group>L1_Format</group>
      <groupName>格式问题</groupName>
      <ability>L2_HalfPunc</ability>
      <abilityName>全半角检查</abilityName>
      <candidateList>
        <item>(</item>
      </candidateList>
      <explain>文本全半角错误。</explain>
      <paraID>26D01656</paraID>
      <start>0</start>
      <end>1</end>
      <status>ignored</status>
      <modifiedWord/>
      <trackRevisions>false</trackRevisions>
    </reviewItem>
    <reviewItem>
      <errorID>df019f27-2830-47c2-94e1-977125bf02d2</errorID>
      <errorWord>）</errorWord>
      <group>L1_Format</group>
      <groupName>格式问题</groupName>
      <ability>L2_HalfPunc</ability>
      <abilityName>全半角检查</abilityName>
      <candidateList>
        <item>)</item>
      </candidateList>
      <explain>文本全半角错误。</explain>
      <paraID>26D01656</paraID>
      <start>6</start>
      <end>7</end>
      <status>ignored</status>
      <modifiedWord/>
      <trackRevisions>false</trackRevisions>
    </reviewItem>
    <reviewItem>
      <errorID>8e05b411-c4e5-4f4e-95ec-5aa2ffe4ec5a</errorID>
      <errorWord>（</errorWord>
      <group>L1_Format</group>
      <groupName>格式问题</groupName>
      <ability>L2_HalfPunc</ability>
      <abilityName>全半角检查</abilityName>
      <candidateList>
        <item>(</item>
      </candidateList>
      <explain>文本全半角错误。</explain>
      <paraID>52080831</paraID>
      <start>0</start>
      <end>1</end>
      <status>ignored</status>
      <modifiedWord/>
      <trackRevisions>false</trackRevisions>
    </reviewItem>
    <reviewItem>
      <errorID>d75f187d-ecb2-4410-8a0e-a96582bf055d</errorID>
      <errorWord>）</errorWord>
      <group>L1_Format</group>
      <groupName>格式问题</groupName>
      <ability>L2_HalfPunc</ability>
      <abilityName>全半角检查</abilityName>
      <candidateList>
        <item>)</item>
      </candidateList>
      <explain>文本全半角错误。</explain>
      <paraID>52080831</paraID>
      <start>6</start>
      <end>7</end>
      <status>ignored</status>
      <modifiedWord/>
      <trackRevisions>false</trackRevisions>
    </reviewItem>
    <reviewItem>
      <errorID>4cf1cad4-b8df-4898-a3a2-10c6f5a21d11</errorID>
      <errorWord>年</errorWord>
      <group>L1_Word</group>
      <groupName>字词问题</groupName>
      <ability>L2_Typo</ability>
      <abilityName>字词错误</abilityName>
      <candidateList>
        <item>年度</item>
      </candidateList>
      <explain/>
      <paraID>6B50DF43</paraID>
      <start>0</start>
      <end>1</end>
      <status>ignored</status>
      <modifiedWord/>
      <trackRevisions>false</trackRevisions>
    </reviewItem>
    <reviewItem>
      <errorID>17bd7ca9-15b9-4b91-9625-a6df1bc7356e</errorID>
      <errorWord>（</errorWord>
      <group>L1_Format</group>
      <groupName>格式问题</groupName>
      <ability>L2_HalfPunc</ability>
      <abilityName>全半角检查</abilityName>
      <candidateList>
        <item>(</item>
      </candidateList>
      <explain>文本全半角错误。</explain>
      <paraID>202C7B3E</paraID>
      <start>0</start>
      <end>1</end>
      <status>ignored</status>
      <modifiedWord/>
      <trackRevisions>false</trackRevisions>
    </reviewItem>
    <reviewItem>
      <errorID>ef664486-643e-488c-a828-f0f852b24cc0</errorID>
      <errorWord>）</errorWord>
      <group>L1_Format</group>
      <groupName>格式问题</groupName>
      <ability>L2_HalfPunc</ability>
      <abilityName>全半角检查</abilityName>
      <candidateList>
        <item>)</item>
      </candidateList>
      <explain>文本全半角错误。</explain>
      <paraID>202C7B3E</paraID>
      <start>6</start>
      <end>7</end>
      <status>ignored</status>
      <modifiedWord/>
      <trackRevisions>false</trackRevisions>
    </reviewItem>
    <reviewItem>
      <errorID>16de11a9-0719-4d39-ad0d-506817a56b5d</errorID>
      <errorWord>年</errorWord>
      <group>L1_Word</group>
      <groupName>字词问题</groupName>
      <ability>L2_Typo</ability>
      <abilityName>字词错误</abilityName>
      <candidateList>
        <item>年度</item>
      </candidateList>
      <explain/>
      <paraID> FC8A2AA</paraID>
      <start>0</start>
      <end>1</end>
      <status>ignored</status>
      <modifiedWord/>
      <trackRevisions>false</trackRevisions>
    </reviewItem>
    <reviewItem>
      <errorID>1fe7e046-2901-426c-9250-8d92a72a59d6</errorID>
      <errorWord>（</errorWord>
      <group>L1_Format</group>
      <groupName>格式问题</groupName>
      <ability>L2_HalfPunc</ability>
      <abilityName>全半角检查</abilityName>
      <candidateList>
        <item>(</item>
      </candidateList>
      <explain>文本全半角错误。</explain>
      <paraID>50AD810A</paraID>
      <start>0</start>
      <end>1</end>
      <status>ignored</status>
      <modifiedWord/>
      <trackRevisions>false</trackRevisions>
    </reviewItem>
    <reviewItem>
      <errorID>033a3983-db4b-42a1-9450-de06801b409b</errorID>
      <errorWord>）</errorWord>
      <group>L1_Format</group>
      <groupName>格式问题</groupName>
      <ability>L2_HalfPunc</ability>
      <abilityName>全半角检查</abilityName>
      <candidateList>
        <item>)</item>
      </candidateList>
      <explain>文本全半角错误。</explain>
      <paraID>50AD810A</paraID>
      <start>6</start>
      <end>7</end>
      <status>ignored</status>
      <modifiedWord/>
      <trackRevisions>false</trackRevisions>
    </reviewItem>
    <reviewItem>
      <errorID>2aaf4912-7f90-4b33-a9f6-f0921b41854d</errorID>
      <errorWord>（</errorWord>
      <group>L1_Format</group>
      <groupName>格式问题</groupName>
      <ability>L2_HalfPunc</ability>
      <abilityName>全半角检查</abilityName>
      <candidateList>
        <item>(</item>
      </candidateList>
      <explain>文本全半角错误。</explain>
      <paraID>7AA94ED5</paraID>
      <start>0</start>
      <end>1</end>
      <status>ignored</status>
      <modifiedWord/>
      <trackRevisions>false</trackRevisions>
    </reviewItem>
    <reviewItem>
      <errorID>d8461acf-77bc-4e2b-b543-40ff49c6b67e</errorID>
      <errorWord>）</errorWord>
      <group>L1_Format</group>
      <groupName>格式问题</groupName>
      <ability>L2_HalfPunc</ability>
      <abilityName>全半角检查</abilityName>
      <candidateList>
        <item>)</item>
      </candidateList>
      <explain>文本全半角错误。</explain>
      <paraID>7AA94ED5</paraID>
      <start>6</start>
      <end>7</end>
      <status>ignored</status>
      <modifiedWord/>
      <trackRevisions>false</trackRevisions>
    </reviewItem>
    <reviewItem>
      <errorID>40370247-ecba-41e6-9c5d-e6cac4e19925</errorID>
      <errorWord>年</errorWord>
      <group>L1_Word</group>
      <groupName>字词问题</groupName>
      <ability>L2_Typo</ability>
      <abilityName>字词错误</abilityName>
      <candidateList>
        <item>年度</item>
      </candidateList>
      <explain/>
      <paraID>3A3ACF91</paraID>
      <start>0</start>
      <end>1</end>
      <status>ignored</status>
      <modifiedWord/>
      <trackRevisions>false</trackRevisions>
    </reviewItem>
    <reviewItem>
      <errorID>32bb5cfe-7d37-441b-9a5b-c76e8a78f93a</errorID>
      <errorWord>（</errorWord>
      <group>L1_Format</group>
      <groupName>格式问题</groupName>
      <ability>L2_HalfPunc</ability>
      <abilityName>全半角检查</abilityName>
      <candidateList>
        <item>(</item>
      </candidateList>
      <explain>文本全半角错误。</explain>
      <paraID> 80F8FD5</paraID>
      <start>0</start>
      <end>1</end>
      <status>ignored</status>
      <modifiedWord/>
      <trackRevisions>false</trackRevisions>
    </reviewItem>
    <reviewItem>
      <errorID>4277900d-b4ed-4bc9-9042-c362458cec32</errorID>
      <errorWord>）</errorWord>
      <group>L1_Format</group>
      <groupName>格式问题</groupName>
      <ability>L2_HalfPunc</ability>
      <abilityName>全半角检查</abilityName>
      <candidateList>
        <item>)</item>
      </candidateList>
      <explain>文本全半角错误。</explain>
      <paraID> 80F8FD5</paraID>
      <start>6</start>
      <end>7</end>
      <status>ignored</status>
      <modifiedWord/>
      <trackRevisions>false</trackRevisions>
    </reviewItem>
    <reviewItem>
      <errorID>85f9f945-7e36-4b98-9e0a-1cbe0dff40e4</errorID>
      <errorWord>（</errorWord>
      <group>L1_Format</group>
      <groupName>格式问题</groupName>
      <ability>L2_HalfPunc</ability>
      <abilityName>全半角检查</abilityName>
      <candidateList>
        <item>(</item>
      </candidateList>
      <explain>文本全半角错误。</explain>
      <paraID>72532F41</paraID>
      <start>0</start>
      <end>1</end>
      <status>ignored</status>
      <modifiedWord/>
      <trackRevisions>false</trackRevisions>
    </reviewItem>
    <reviewItem>
      <errorID>915cb7d0-b2e3-425a-8e50-e00d5883c8c0</errorID>
      <errorWord>）</errorWord>
      <group>L1_Format</group>
      <groupName>格式问题</groupName>
      <ability>L2_HalfPunc</ability>
      <abilityName>全半角检查</abilityName>
      <candidateList>
        <item>)</item>
      </candidateList>
      <explain>文本全半角错误。</explain>
      <paraID>72532F41</paraID>
      <start>6</start>
      <end>7</end>
      <status>ignored</status>
      <modifiedWord/>
      <trackRevisions>false</trackRevisions>
    </reviewItem>
    <reviewItem>
      <errorID>ea04a5d2-4fa0-438c-949f-d59df1a9daa9</errorID>
      <errorWord>（</errorWord>
      <group>L1_Punc</group>
      <groupName>标点问题</groupName>
      <ability>L2_Punc</ability>
      <abilityName>标点符号检查</abilityName>
      <candidateList/>
      <explain>同一形式括号套用。</explain>
      <paraID>26252C80</paraID>
      <start>197</start>
      <end>198</end>
      <status>ignored</status>
      <modifiedWord/>
      <trackRevisions>false</trackRevisions>
    </reviewItem>
    <reviewItem>
      <errorID>3435bd0b-7d90-4ccf-9412-3f5551929252</errorID>
      <errorWord>）</errorWord>
      <group>L1_Punc</group>
      <groupName>标点问题</groupName>
      <ability>L2_Punc</ability>
      <abilityName>标点符号检查</abilityName>
      <candidateList/>
      <explain>同一形式括号套用。</explain>
      <paraID>26252C80</paraID>
      <start>209</start>
      <end>210</end>
      <status>ignored</status>
      <modifiedWord/>
      <trackRevisions>false</trackRevisions>
    </reviewItem>
    <reviewItem>
      <errorID>f73e0929-0d73-4e20-bc09-35214a5cfa0f</errorID>
      <errorWord>污水厂</errorWord>
      <group>L1_Word</group>
      <groupName>字词问题</groupName>
      <ability>L2_Typo</ability>
      <abilityName>字词错误</abilityName>
      <candidateList>
        <item>污水处理厂</item>
      </candidateList>
      <explain/>
      <paraID>165C2492</paraID>
      <start>2</start>
      <end>7</end>
      <status>modified</status>
      <modifiedWord>污水处理厂</modifiedWord>
      <trackRevisions>false</trackRevisions>
    </reviewItem>
    <reviewItem>
      <errorID>78ee13f9-dba5-4045-973b-fc4cba16582f</errorID>
      <errorWord>污水厂</errorWord>
      <group>L1_Word</group>
      <groupName>字词问题</groupName>
      <ability>L2_Typo</ability>
      <abilityName>字词错误</abilityName>
      <candidateList>
        <item>污水处理厂</item>
      </candidateList>
      <explain/>
      <paraID>3521201B</paraID>
      <start>2</start>
      <end>7</end>
      <status>modified</status>
      <modifiedWord>污水处理厂</modifiedWord>
      <trackRevisions>false</trackRevisions>
    </reviewItem>
    <reviewItem>
      <errorID>226124bb-4b89-4de6-b91c-e721d56e5f20</errorID>
      <errorWord>,</errorWord>
      <group>L1_Punc</group>
      <groupName>标点问题</groupName>
      <ability>L2_Punc</ability>
      <abilityName>标点符号检查</abilityName>
      <candidateList/>
      <explain/>
      <paraID>3DB53298</paraID>
      <start>8</start>
      <end>9</end>
      <status>ignored</status>
      <modifiedWord/>
      <trackRevisions>false</trackRevisions>
    </reviewItem>
    <reviewItem>
      <errorID>d68fddc3-7424-4adc-96eb-0882f1c41863</errorID>
      <errorWord>,</errorWord>
      <group>L1_Punc</group>
      <groupName>标点问题</groupName>
      <ability>L2_Punc</ability>
      <abilityName>标点符号检查</abilityName>
      <candidateList/>
      <explain/>
      <paraID>6B62BC5F</paraID>
      <start>8</start>
      <end>9</end>
      <status>ignored</status>
      <modifiedWord/>
      <trackRevisions>false</trackRevisions>
    </reviewItem>
    <reviewItem>
      <errorID>0634380f-64e5-4eb4-8c62-f6123fbc0879</errorID>
      <errorWord>～</errorWord>
      <group>L1_Format</group>
      <groupName>格式问题</groupName>
      <ability>L2_HalfPunc</ability>
      <abilityName>全半角检查</abilityName>
      <candidateList>
        <item>~</item>
      </candidateList>
      <explain>文本全半角错误。</explain>
      <paraID>2650EC3F</paraID>
      <start>1</start>
      <end>2</end>
      <status>ignored</status>
      <modifiedWord/>
      <trackRevisions>false</trackRevisions>
    </reviewItem>
    <reviewItem>
      <errorID>09256adc-788a-4453-abe8-f281f24a1b92</errorID>
      <errorWord>～</errorWord>
      <group>L1_Format</group>
      <groupName>格式问题</groupName>
      <ability>L2_HalfPunc</ability>
      <abilityName>全半角检查</abilityName>
      <candidateList>
        <item>~</item>
      </candidateList>
      <explain>文本全半角错误。</explain>
      <paraID>428BB7A1</paraID>
      <start>1</start>
      <end>2</end>
      <status>ignored</status>
      <modifiedWord/>
      <trackRevisions>false</trackRevisions>
    </reviewItem>
    <reviewItem>
      <errorID>0ab6c5f1-0fd3-4b2a-af7d-fca54f6f3865</errorID>
      <errorWord>～</errorWord>
      <group>L1_Format</group>
      <groupName>格式问题</groupName>
      <ability>L2_HalfPunc</ability>
      <abilityName>全半角检查</abilityName>
      <candidateList>
        <item>~</item>
      </candidateList>
      <explain>文本全半角错误。</explain>
      <paraID>694F68F3</paraID>
      <start>1</start>
      <end>2</end>
      <status>ignored</status>
      <modifiedWord/>
      <trackRevisions>false</trackRevisions>
    </reviewItem>
    <reviewItem>
      <errorID>3604d8ee-586a-4a28-868a-0820fcf367f7</errorID>
      <errorWord>～</errorWord>
      <group>L1_Format</group>
      <groupName>格式问题</groupName>
      <ability>L2_HalfPunc</ability>
      <abilityName>全半角检查</abilityName>
      <candidateList>
        <item>~</item>
      </candidateList>
      <explain>文本全半角错误。</explain>
      <paraID>1DB23D83</paraID>
      <start>1</start>
      <end>2</end>
      <status>ignored</status>
      <modifiedWord/>
      <trackRevisions>false</trackRevisions>
    </reviewItem>
    <reviewItem>
      <errorID>dd31c5d9-e1e5-429e-ba4c-a55cbbc85c87</errorID>
      <errorWord>～</errorWord>
      <group>L1_Format</group>
      <groupName>格式问题</groupName>
      <ability>L2_HalfPunc</ability>
      <abilityName>全半角检查</abilityName>
      <candidateList>
        <item>~</item>
      </candidateList>
      <explain>文本全半角错误。</explain>
      <paraID>74561A05</paraID>
      <start>1</start>
      <end>2</end>
      <status>ignored</status>
      <modifiedWord/>
      <trackRevisions>false</trackRevisions>
    </reviewItem>
    <reviewItem>
      <errorID>32e394fa-2770-487c-9c2a-f9b40f37ed75</errorID>
      <errorWord>～</errorWord>
      <group>L1_Format</group>
      <groupName>格式问题</groupName>
      <ability>L2_HalfPunc</ability>
      <abilityName>全半角检查</abilityName>
      <candidateList>
        <item>~</item>
      </candidateList>
      <explain>文本全半角错误。</explain>
      <paraID>22847C83</paraID>
      <start>1</start>
      <end>2</end>
      <status>ignored</status>
      <modifiedWord/>
      <trackRevisions>false</trackRevisions>
    </reviewItem>
    <reviewItem>
      <errorID>08173f26-6941-4739-9332-a18dd10936db</errorID>
      <errorWord>～</errorWord>
      <group>L1_Format</group>
      <groupName>格式问题</groupName>
      <ability>L2_HalfPunc</ability>
      <abilityName>全半角检查</abilityName>
      <candidateList>
        <item>~</item>
      </candidateList>
      <explain>文本全半角错误。</explain>
      <paraID>6900B6B2</paraID>
      <start>1</start>
      <end>2</end>
      <status>ignored</status>
      <modifiedWord/>
      <trackRevisions>false</trackRevisions>
    </reviewItem>
    <reviewItem>
      <errorID>ba795dab-9f24-4353-a3a1-64f71f46f18a</errorID>
      <errorWord>～</errorWord>
      <group>L1_Format</group>
      <groupName>格式问题</groupName>
      <ability>L2_HalfPunc</ability>
      <abilityName>全半角检查</abilityName>
      <candidateList>
        <item>~</item>
      </candidateList>
      <explain>文本全半角错误。</explain>
      <paraID>7BDAFCFC</paraID>
      <start>1</start>
      <end>2</end>
      <status>ignored</status>
      <modifiedWord/>
      <trackRevisions>false</trackRevisions>
    </reviewItem>
    <reviewItem>
      <errorID>679277db-c9ba-4270-bd96-0dadfd219a61</errorID>
      <errorWord>～</errorWord>
      <group>L1_Format</group>
      <groupName>格式问题</groupName>
      <ability>L2_HalfPunc</ability>
      <abilityName>全半角检查</abilityName>
      <candidateList>
        <item>~</item>
      </candidateList>
      <explain>文本全半角错误。</explain>
      <paraID>1FF05A42</paraID>
      <start>1</start>
      <end>2</end>
      <status>ignored</status>
      <modifiedWord/>
      <trackRevisions>false</trackRevisions>
    </reviewItem>
    <reviewItem>
      <errorID>722e362a-e2df-4297-9c60-840a59b58b62</errorID>
      <errorWord>～</errorWord>
      <group>L1_Format</group>
      <groupName>格式问题</groupName>
      <ability>L2_HalfPunc</ability>
      <abilityName>全半角检查</abilityName>
      <candidateList>
        <item>~</item>
      </candidateList>
      <explain>文本全半角错误。</explain>
      <paraID>5796F969</paraID>
      <start>1</start>
      <end>2</end>
      <status>ignored</status>
      <modifiedWord/>
      <trackRevisions>false</trackRevisions>
    </reviewItem>
    <reviewItem>
      <errorID>ed5ce62d-a6ea-48f9-829c-c9f2d523a4ca</errorID>
      <errorWord>～</errorWord>
      <group>L1_Format</group>
      <groupName>格式问题</groupName>
      <ability>L2_HalfPunc</ability>
      <abilityName>全半角检查</abilityName>
      <candidateList>
        <item>~</item>
      </candidateList>
      <explain>文本全半角错误。</explain>
      <paraID>  E512EF</paraID>
      <start>1</start>
      <end>2</end>
      <status>ignored</status>
      <modifiedWord/>
      <trackRevisions>false</trackRevisions>
    </reviewItem>
    <reviewItem>
      <errorID>43b8dcc1-22af-46ac-aa30-d11070ced0e7</errorID>
      <errorWord>（</errorWord>
      <group>L1_Punc</group>
      <groupName>标点问题</groupName>
      <ability>L2_Punc</ability>
      <abilityName>标点符号检查</abilityName>
      <candidateList/>
      <explain>同一形式括号套用。</explain>
      <paraID>65093705</paraID>
      <start>27</start>
      <end>28</end>
      <status>ignored</status>
      <modifiedWord/>
      <trackRevisions>false</trackRevisions>
    </reviewItem>
    <reviewItem>
      <errorID>d1722018-73c2-4d20-947e-cb8e920baf61</errorID>
      <errorWord>）</errorWord>
      <group>L1_Punc</group>
      <groupName>标点问题</groupName>
      <ability>L2_Punc</ability>
      <abilityName>标点符号检查</abilityName>
      <candidateList/>
      <explain>同一形式括号套用。</explain>
      <paraID>65093705</paraID>
      <start>29</start>
      <end>30</end>
      <status>ignored</status>
      <modifiedWord/>
      <trackRevisions>false</trackRevisions>
    </reviewItem>
    <reviewItem>
      <errorID>31d6b5f2-8c75-4e2e-9fb6-5162e83db185</errorID>
      <errorWord>（</errorWord>
      <group>L1_Punc</group>
      <groupName>标点问题</groupName>
      <ability>L2_Punc</ability>
      <abilityName>标点符号检查</abilityName>
      <candidateList/>
      <explain>同一形式括号套用。</explain>
      <paraID>657D576E</paraID>
      <start>27</start>
      <end>28</end>
      <status>ignored</status>
      <modifiedWord/>
      <trackRevisions>false</trackRevisions>
    </reviewItem>
    <reviewItem>
      <errorID>2f290464-dac3-4ab4-b163-cbc9098815ba</errorID>
      <errorWord>）</errorWord>
      <group>L1_Punc</group>
      <groupName>标点问题</groupName>
      <ability>L2_Punc</ability>
      <abilityName>标点符号检查</abilityName>
      <candidateList/>
      <explain>同一形式括号套用。</explain>
      <paraID>657D576E</paraID>
      <start>29</start>
      <end>30</end>
      <status>ignored</status>
      <modifiedWord/>
      <trackRevisions>false</trackRevisions>
    </reviewItem>
    <reviewItem>
      <errorID>db1d6546-9851-4261-ac7a-00ab7e3a4df3</errorID>
      <errorWord>III</errorWord>
      <group>L1_Word</group>
      <groupName>字词问题</groupName>
      <ability>L2_Typo</ability>
      <abilityName>字词错误</abilityName>
      <candidateList>
        <item>Ⅲ</item>
      </candidateList>
      <explain/>
      <paraID> E4CDF88</paraID>
      <start>0</start>
      <end>3</end>
      <status>ignored</status>
      <modifiedWord/>
      <trackRevisions>false</trackRevisions>
    </reviewItem>
    <reviewItem>
      <errorID>01111175-87f4-40a4-bb48-c58535bf532a</errorID>
      <errorWord>III</errorWord>
      <group>L1_Word</group>
      <groupName>字词问题</groupName>
      <ability>L2_Typo</ability>
      <abilityName>字词错误</abilityName>
      <candidateList>
        <item>Ⅲ</item>
      </candidateList>
      <explain/>
      <paraID>3C2E9F01</paraID>
      <start>0</start>
      <end>3</end>
      <status>ignored</status>
      <modifiedWord/>
      <trackRevisions>false</trackRevisions>
    </reviewItem>
    <reviewItem>
      <errorID>7e677de0-38d5-4774-bd12-649207e34154</errorID>
      <errorWord>III</errorWord>
      <group>L1_Word</group>
      <groupName>字词问题</groupName>
      <ability>L2_Typo</ability>
      <abilityName>字词错误</abilityName>
      <candidateList>
        <item>Ⅲ</item>
      </candidateList>
      <explain/>
      <paraID>2B04C578</paraID>
      <start>0</start>
      <end>3</end>
      <status>ignored</status>
      <modifiedWord/>
      <trackRevisions>false</trackRevisions>
    </reviewItem>
    <reviewItem>
      <errorID>43589400-187f-481b-9d6d-70c87fa2ebe9</errorID>
      <errorWord>III</errorWord>
      <group>L1_Word</group>
      <groupName>字词问题</groupName>
      <ability>L2_Typo</ability>
      <abilityName>字词错误</abilityName>
      <candidateList>
        <item>Ⅲ</item>
      </candidateList>
      <explain/>
      <paraID>4BF9D1B8</paraID>
      <start>0</start>
      <end>3</end>
      <status>ignored</status>
      <modifiedWord/>
      <trackRevisions>false</trackRevisions>
    </reviewItem>
    <reviewItem>
      <errorID>2d8b46d0-7af8-41c4-b694-5e321f686c6c</errorID>
      <errorWord>III</errorWord>
      <group>L1_Word</group>
      <groupName>字词问题</groupName>
      <ability>L2_Typo</ability>
      <abilityName>字词错误</abilityName>
      <candidateList>
        <item>Ⅲ</item>
      </candidateList>
      <explain/>
      <paraID>7C2E38D1</paraID>
      <start>0</start>
      <end>3</end>
      <status>ignored</status>
      <modifiedWord/>
      <trackRevisions>false</trackRevisions>
    </reviewItem>
    <reviewItem>
      <errorID>6223280e-2891-405e-b3e7-5b663573f1f5</errorID>
      <errorWord>III</errorWord>
      <group>L1_Word</group>
      <groupName>字词问题</groupName>
      <ability>L2_Typo</ability>
      <abilityName>字词错误</abilityName>
      <candidateList>
        <item>Ⅲ</item>
      </candidateList>
      <explain/>
      <paraID>72842D91</paraID>
      <start>0</start>
      <end>3</end>
      <status>ignored</status>
      <modifiedWord/>
      <trackRevisions>false</trackRevisions>
    </reviewItem>
    <reviewItem>
      <errorID>12701c5b-c0bf-4f97-ad02-3b2c35601d11</errorID>
      <errorWord>III</errorWord>
      <group>L1_Word</group>
      <groupName>字词问题</groupName>
      <ability>L2_Typo</ability>
      <abilityName>字词错误</abilityName>
      <candidateList>
        <item>Ⅲ</item>
      </candidateList>
      <explain/>
      <paraID>6F3E68B3</paraID>
      <start>0</start>
      <end>3</end>
      <status>ignored</status>
      <modifiedWord/>
      <trackRevisions>false</trackRevisions>
    </reviewItem>
    <reviewItem>
      <errorID>bc86f3b0-961b-4e62-b27b-3acbf41c3eff</errorID>
      <errorWord>III</errorWord>
      <group>L1_Word</group>
      <groupName>字词问题</groupName>
      <ability>L2_Typo</ability>
      <abilityName>字词错误</abilityName>
      <candidateList>
        <item>Ⅲ</item>
      </candidateList>
      <explain/>
      <paraID>60BEA52F</paraID>
      <start>0</start>
      <end>3</end>
      <status>ignored</status>
      <modifiedWord/>
      <trackRevisions>false</trackRevisions>
    </reviewItem>
    <reviewItem>
      <errorID>97568298-59a3-463a-892f-c7b3cc11ed74</errorID>
      <errorWord>III</errorWord>
      <group>L1_Word</group>
      <groupName>字词问题</groupName>
      <ability>L2_Typo</ability>
      <abilityName>字词错误</abilityName>
      <candidateList>
        <item>Ⅲ</item>
      </candidateList>
      <explain/>
      <paraID>38EFBF15</paraID>
      <start>0</start>
      <end>3</end>
      <status>ignored</status>
      <modifiedWord/>
      <trackRevisions>false</trackRevisions>
    </reviewItem>
    <reviewItem>
      <errorID>c0438c1c-9f24-43d4-bcda-2399a7b3cff0</errorID>
      <errorWord>III</errorWord>
      <group>L1_Word</group>
      <groupName>字词问题</groupName>
      <ability>L2_Typo</ability>
      <abilityName>字词错误</abilityName>
      <candidateList>
        <item>Ⅲ</item>
      </candidateList>
      <explain/>
      <paraID> 2A9E28F</paraID>
      <start>0</start>
      <end>3</end>
      <status>ignored</status>
      <modifiedWord/>
      <trackRevisions>false</trackRevisions>
    </reviewItem>
    <reviewItem>
      <errorID>073a30d2-908b-4cda-9a91-ffff5f03f9db</errorID>
      <errorWord>III</errorWord>
      <group>L1_Word</group>
      <groupName>字词问题</groupName>
      <ability>L2_Typo</ability>
      <abilityName>字词错误</abilityName>
      <candidateList>
        <item>Ⅲ</item>
      </candidateList>
      <explain/>
      <paraID>26A8CD2A</paraID>
      <start>0</start>
      <end>3</end>
      <status>ignored</status>
      <modifiedWord/>
      <trackRevisions>false</trackRevisions>
    </reviewItem>
    <reviewItem>
      <errorID>35506342-88d4-4ecd-96b3-f3345193e5d9</errorID>
      <errorWord>III</errorWord>
      <group>L1_Word</group>
      <groupName>字词问题</groupName>
      <ability>L2_Typo</ability>
      <abilityName>字词错误</abilityName>
      <candidateList>
        <item>Ⅲ</item>
      </candidateList>
      <explain/>
      <paraID>3804E832</paraID>
      <start>0</start>
      <end>3</end>
      <status>ignored</status>
      <modifiedWord/>
      <trackRevisions>false</trackRevisions>
    </reviewItem>
    <reviewItem>
      <errorID>1e564f33-801d-4bac-83ed-9958a7116e46</errorID>
      <errorWord>III</errorWord>
      <group>L1_Word</group>
      <groupName>字词问题</groupName>
      <ability>L2_Typo</ability>
      <abilityName>字词错误</abilityName>
      <candidateList>
        <item>Ⅲ</item>
      </candidateList>
      <explain/>
      <paraID>27950FB4</paraID>
      <start>0</start>
      <end>3</end>
      <status>ignored</status>
      <modifiedWord/>
      <trackRevisions>false</trackRevisions>
    </reviewItem>
    <reviewItem>
      <errorID>eda6ef82-4a2e-49a0-bf1b-38e446733765</errorID>
      <errorWord>III</errorWord>
      <group>L1_Word</group>
      <groupName>字词问题</groupName>
      <ability>L2_Typo</ability>
      <abilityName>字词错误</abilityName>
      <candidateList>
        <item>Ⅲ</item>
      </candidateList>
      <explain/>
      <paraID>30F2CE84</paraID>
      <start>0</start>
      <end>3</end>
      <status>ignored</status>
      <modifiedWord/>
      <trackRevisions>false</trackRevisions>
    </reviewItem>
    <reviewItem>
      <errorID>fd9893a9-b2cb-462a-952c-46188a916052</errorID>
      <errorWord>III</errorWord>
      <group>L1_Word</group>
      <groupName>字词问题</groupName>
      <ability>L2_Typo</ability>
      <abilityName>字词错误</abilityName>
      <candidateList>
        <item>Ⅲ</item>
      </candidateList>
      <explain/>
      <paraID>2D60FE0E</paraID>
      <start>0</start>
      <end>3</end>
      <status>ignored</status>
      <modifiedWord/>
      <trackRevisions>false</trackRevisions>
    </reviewItem>
    <reviewItem>
      <errorID>cab76aaf-8639-4e00-8573-e605bccafa91</errorID>
      <errorWord>III</errorWord>
      <group>L1_Word</group>
      <groupName>字词问题</groupName>
      <ability>L2_Typo</ability>
      <abilityName>字词错误</abilityName>
      <candidateList>
        <item>Ⅲ</item>
      </candidateList>
      <explain/>
      <paraID>61E7DF6E</paraID>
      <start>0</start>
      <end>3</end>
      <status>ignored</status>
      <modifiedWord/>
      <trackRevisions>false</trackRevisions>
    </reviewItem>
    <reviewItem>
      <errorID>b6f95bdc-0565-4a49-8e7a-482aafdae491</errorID>
      <errorWord>III</errorWord>
      <group>L1_Word</group>
      <groupName>字词问题</groupName>
      <ability>L2_Typo</ability>
      <abilityName>字词错误</abilityName>
      <candidateList>
        <item>Ⅲ</item>
      </candidateList>
      <explain/>
      <paraID>39D74AA0</paraID>
      <start>0</start>
      <end>3</end>
      <status>ignored</status>
      <modifiedWord/>
      <trackRevisions>false</trackRevisions>
    </reviewItem>
    <reviewItem>
      <errorID>73c6ae2d-40ed-47e2-b9fb-37d19ed602e7</errorID>
      <errorWord>III</errorWord>
      <group>L1_Word</group>
      <groupName>字词问题</groupName>
      <ability>L2_Typo</ability>
      <abilityName>字词错误</abilityName>
      <candidateList>
        <item>Ⅲ</item>
      </candidateList>
      <explain/>
      <paraID>7BCF1650</paraID>
      <start>0</start>
      <end>3</end>
      <status>ignored</status>
      <modifiedWord/>
      <trackRevisions>false</trackRevisions>
    </reviewItem>
    <reviewItem>
      <errorID>831513af-ed46-43a8-896c-b33b4fc9cf14</errorID>
      <errorWord>～</errorWord>
      <group>L1_Format</group>
      <groupName>格式问题</groupName>
      <ability>L2_HalfPunc</ability>
      <abilityName>全半角检查</abilityName>
      <candidateList>
        <item>~</item>
      </candidateList>
      <explain>文本全半角错误。</explain>
      <paraID>40782EF3</paraID>
      <start>3</start>
      <end>4</end>
      <status>ignored</status>
      <modifiedWord/>
      <trackRevisions>false</trackRevisions>
    </reviewItem>
    <reviewItem>
      <errorID>7fd16347-f601-41a0-85cd-f08aadd66f78</errorID>
      <errorWord>～</errorWord>
      <group>L1_Format</group>
      <groupName>格式问题</groupName>
      <ability>L2_HalfPunc</ability>
      <abilityName>全半角检查</abilityName>
      <candidateList>
        <item>~</item>
      </candidateList>
      <explain>文本全半角错误。</explain>
      <paraID>79D7F0E9</paraID>
      <start>3</start>
      <end>4</end>
      <status>ignored</status>
      <modifiedWord/>
      <trackRevisions>false</trackRevisions>
    </reviewItem>
    <reviewItem>
      <errorID>43297bea-6173-43ff-a967-da0fd7d8ab84</errorID>
      <errorWord>～</errorWord>
      <group>L1_Format</group>
      <groupName>格式问题</groupName>
      <ability>L2_HalfPunc</ability>
      <abilityName>全半角检查</abilityName>
      <candidateList>
        <item>~</item>
      </candidateList>
      <explain>文本全半角错误。</explain>
      <paraID>377D594D</paraID>
      <start>3</start>
      <end>4</end>
      <status>ignored</status>
      <modifiedWord/>
      <trackRevisions>false</trackRevisions>
    </reviewItem>
    <reviewItem>
      <errorID>9a00e61c-1d46-4603-ab05-857a6166937a</errorID>
      <errorWord>～</errorWord>
      <group>L1_Format</group>
      <groupName>格式问题</groupName>
      <ability>L2_HalfPunc</ability>
      <abilityName>全半角检查</abilityName>
      <candidateList>
        <item>~</item>
      </candidateList>
      <explain>文本全半角错误。</explain>
      <paraID>3D2A7B0F</paraID>
      <start>3</start>
      <end>4</end>
      <status>ignored</status>
      <modifiedWord/>
      <trackRevisions>false</trackRevisions>
    </reviewItem>
    <reviewItem>
      <errorID>81f3d6bf-1160-4f25-8e55-13bac2deda5f</errorID>
      <errorWord>～</errorWord>
      <group>L1_Format</group>
      <groupName>格式问题</groupName>
      <ability>L2_HalfPunc</ability>
      <abilityName>全半角检查</abilityName>
      <candidateList>
        <item>~</item>
      </candidateList>
      <explain>文本全半角错误。</explain>
      <paraID>257C2506</paraID>
      <start>3</start>
      <end>4</end>
      <status>ignored</status>
      <modifiedWord/>
      <trackRevisions>false</trackRevisions>
    </reviewItem>
    <reviewItem>
      <errorID>0e587564-7d07-4bd8-835b-0c2a98d3a029</errorID>
      <errorWord>～</errorWord>
      <group>L1_Format</group>
      <groupName>格式问题</groupName>
      <ability>L2_HalfPunc</ability>
      <abilityName>全半角检查</abilityName>
      <candidateList>
        <item>~</item>
      </candidateList>
      <explain>文本全半角错误。</explain>
      <paraID>6F803E59</paraID>
      <start>3</start>
      <end>4</end>
      <status>ignored</status>
      <modifiedWord/>
      <trackRevisions>false</trackRevisions>
    </reviewItem>
    <reviewItem>
      <errorID>19a3ea29-3947-4d13-bafa-b84e414db702</errorID>
      <errorWord>～</errorWord>
      <group>L1_Format</group>
      <groupName>格式问题</groupName>
      <ability>L2_HalfPunc</ability>
      <abilityName>全半角检查</abilityName>
      <candidateList>
        <item>~</item>
      </candidateList>
      <explain>文本全半角错误。</explain>
      <paraID>2D63CFD0</paraID>
      <start>3</start>
      <end>4</end>
      <status>ignored</status>
      <modifiedWord/>
      <trackRevisions>false</trackRevisions>
    </reviewItem>
    <reviewItem>
      <errorID>92c49c3f-cd00-43a8-97af-391023ed7016</errorID>
      <errorWord>～</errorWord>
      <group>L1_Format</group>
      <groupName>格式问题</groupName>
      <ability>L2_HalfPunc</ability>
      <abilityName>全半角检查</abilityName>
      <candidateList>
        <item>~</item>
      </candidateList>
      <explain>文本全半角错误。</explain>
      <paraID>56C2A6A7</paraID>
      <start>3</start>
      <end>4</end>
      <status>ignored</status>
      <modifiedWord/>
      <trackRevisions>false</trackRevisions>
    </reviewItem>
    <reviewItem>
      <errorID>1f02e909-9e12-4ec1-9873-cce899dd2ba1</errorID>
      <errorWord>～</errorWord>
      <group>L1_Format</group>
      <groupName>格式问题</groupName>
      <ability>L2_HalfPunc</ability>
      <abilityName>全半角检查</abilityName>
      <candidateList>
        <item>~</item>
      </candidateList>
      <explain>文本全半角错误。</explain>
      <paraID> CAE09E1</paraID>
      <start>3</start>
      <end>4</end>
      <status>ignored</status>
      <modifiedWord/>
      <trackRevisions>false</trackRevisions>
    </reviewItem>
    <reviewItem>
      <errorID>9ec9c5c0-a43a-4b21-ad7a-b80537cc6ea9</errorID>
      <errorWord>～</errorWord>
      <group>L1_Format</group>
      <groupName>格式问题</groupName>
      <ability>L2_HalfPunc</ability>
      <abilityName>全半角检查</abilityName>
      <candidateList>
        <item>~</item>
      </candidateList>
      <explain>文本全半角错误。</explain>
      <paraID>5124EA65</paraID>
      <start>3</start>
      <end>4</end>
      <status>ignored</status>
      <modifiedWord/>
      <trackRevisions>false</trackRevisions>
    </reviewItem>
    <reviewItem>
      <errorID>4ab9389f-1927-440c-afe3-dcf930cc019c</errorID>
      <errorWord>污水厂</errorWord>
      <group>L1_Word</group>
      <groupName>字词问题</groupName>
      <ability>L2_Typo</ability>
      <abilityName>字词错误</abilityName>
      <candidateList>
        <item>污水处理厂</item>
      </candidateList>
      <explain/>
      <paraID>5A338C8E</paraID>
      <start>2</start>
      <end>7</end>
      <status>modified</status>
      <modifiedWord>污水处理厂</modifiedWord>
      <trackRevisions>false</trackRevisions>
    </reviewItem>
    <reviewItem>
      <errorID>22012e6b-c30f-4210-bd97-a02f84b18bb6</errorID>
      <errorWord>（</errorWord>
      <group>L1_Format</group>
      <groupName>格式问题</groupName>
      <ability>L2_HalfPunc</ability>
      <abilityName>全半角检查</abilityName>
      <candidateList>
        <item>(</item>
      </candidateList>
      <explain>文本全半角错误。</explain>
      <paraID>5F8BDDF1</paraID>
      <start>2</start>
      <end>3</end>
      <status>ignored</status>
      <modifiedWord/>
      <trackRevisions>false</trackRevisions>
    </reviewItem>
    <reviewItem>
      <errorID>14438171-5f5d-465a-b35f-06d18b81deb7</errorID>
      <errorWord>）</errorWord>
      <group>L1_Format</group>
      <groupName>格式问题</groupName>
      <ability>L2_HalfPunc</ability>
      <abilityName>全半角检查</abilityName>
      <candidateList>
        <item>)</item>
      </candidateList>
      <explain>文本全半角错误。</explain>
      <paraID>5F8BDDF1</paraID>
      <start>8</start>
      <end>9</end>
      <status>ignored</status>
      <modifiedWord/>
      <trackRevisions>false</trackRevisions>
    </reviewItem>
    <reviewItem>
      <errorID>fcd9a9d2-9e56-429a-ac9b-16b9db0689fd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217CC9BB</paraID>
      <start>0</start>
      <end>2</end>
      <status>ignored</status>
      <modifiedWord/>
      <trackRevisions>false</trackRevisions>
    </reviewItem>
    <reviewItem>
      <errorID>07aa6bd5-ca4b-40fc-8419-f4f2ae1345f9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2082C5A3</paraID>
      <start>0</start>
      <end>2</end>
      <status>ignored</status>
      <modifiedWord/>
      <trackRevisions>false</trackRevisions>
    </reviewItem>
    <reviewItem>
      <errorID>56237f72-6310-429d-99dc-ba1f11f2ed9e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6DB57B73</paraID>
      <start>0</start>
      <end>2</end>
      <status>ignored</status>
      <modifiedWord/>
      <trackRevisions>false</trackRevisions>
    </reviewItem>
    <reviewItem>
      <errorID>9feea9a5-76a2-4eae-b3a7-67bb2c84fb6f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68678A30</paraID>
      <start>0</start>
      <end>2</end>
      <status>ignored</status>
      <modifiedWord/>
      <trackRevisions>false</trackRevisions>
    </reviewItem>
    <reviewItem>
      <errorID>3a1c982e-a075-4795-829b-e13acf011b3a</errorID>
      <errorWord>1,</errorWord>
      <group>L1_Format</group>
      <groupName>格式问题</groupName>
      <ability>L2_Ordinal</ability>
      <abilityName>序号格式</abilityName>
      <candidateList>
        <item>1.</item>
      </candidateList>
      <explain>当前序号格式不规范，建议修改为规范格式[1.]。</explain>
      <paraID>2D07FC68</paraID>
      <start>0</start>
      <end>2</end>
      <status>ignored</status>
      <modifiedWord/>
      <trackRevisions>false</trackRevisions>
    </reviewItem>
    <reviewItem>
      <errorID>f9d2e587-078c-45c2-821c-919e2534b953</errorID>
      <errorWord>1,</errorWord>
      <group>L1_Format</group>
      <groupName>格式问题</groupName>
      <ability>L2_Ordinal</ability>
      <abilityName>序号格式</abilityName>
      <candidateList>
        <item>1.</item>
      </candidateList>
      <explain>当前序号格式不规范，建议修改为规范格式[1.]。</explain>
      <paraID>61BAADD4</paraID>
      <start>0</start>
      <end>2</end>
      <status>ignored</status>
      <modifiedWord/>
      <trackRevisions>false</trackRevisions>
    </reviewItem>
    <reviewItem>
      <errorID>528e9995-5ec0-45bd-b038-b738180d4a25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60030E68</paraID>
      <start>0</start>
      <end>2</end>
      <status>ignored</status>
      <modifiedWord/>
      <trackRevisions>false</trackRevisions>
    </reviewItem>
    <reviewItem>
      <errorID>04fb2424-512f-4bff-9f6f-f7bfa0564070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2590234F</paraID>
      <start>0</start>
      <end>2</end>
      <status>ignored</status>
      <modifiedWord/>
      <trackRevisions>false</trackRevisions>
    </reviewItem>
    <reviewItem>
      <errorID>9d319354-ae6f-4fbe-a028-92ae438d8f9a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6DA51B9E</paraID>
      <start>0</start>
      <end>2</end>
      <status>ignored</status>
      <modifiedWord/>
      <trackRevisions>false</trackRevisions>
    </reviewItem>
    <reviewItem>
      <errorID>5828ac66-e6e8-4da7-a292-ce6d00a2368f</errorID>
      <errorWord>1,</errorWord>
      <group>L1_Format</group>
      <groupName>格式问题</groupName>
      <ability>L2_Ordinal</ability>
      <abilityName>序号格式</abilityName>
      <candidateList>
        <item>1.</item>
      </candidateList>
      <explain>当前序号格式不规范，建议修改为规范格式[1.]。</explain>
      <paraID> 1099269</paraID>
      <start>0</start>
      <end>2</end>
      <status>ignored</status>
      <modifiedWord/>
      <trackRevisions>false</trackRevisions>
    </reviewItem>
    <reviewItem>
      <errorID>73e523f5-1d99-4eee-bdc6-da5e5c5fbddd</errorID>
      <errorWord>1,</errorWord>
      <group>L1_Format</group>
      <groupName>格式问题</groupName>
      <ability>L2_Ordinal</ability>
      <abilityName>序号格式</abilityName>
      <candidateList>
        <item>1.</item>
      </candidateList>
      <explain>当前序号格式不规范，建议修改为规范格式[1.]。</explain>
      <paraID>7046A116</paraID>
      <start>0</start>
      <end>2</end>
      <status>ignored</status>
      <modifiedWord/>
      <trackRevisions>false</trackRevisions>
    </reviewItem>
    <reviewItem>
      <errorID>39cd569a-66cf-4301-a7aa-605d0e5a2cc7</errorID>
      <errorWord>污水厂</errorWord>
      <group>L1_Word</group>
      <groupName>字词问题</groupName>
      <ability>L2_Typo</ability>
      <abilityName>字词错误</abilityName>
      <candidateList>
        <item>污水处理厂</item>
      </candidateList>
      <explain/>
      <paraID>7EA2EBD8</paraID>
      <start>4</start>
      <end>9</end>
      <status>modified</status>
      <modifiedWord>污水处理厂</modifiedWord>
      <trackRevisions>false</trackRevisions>
    </reviewItem>
    <reviewItem>
      <errorID>810ef3ca-ba09-4971-b171-0826ff96a84e</errorID>
      <errorWord>过敏源</errorWord>
      <group>L1_Knowledge</group>
      <groupName>知识性问题</groupName>
      <ability>L2_Term</ability>
      <abilityName>专业术语</abilityName>
      <candidateList>
        <item>变应原</item>
      </candidateList>
      <explain>医学名词[过敏源]为不规范表述或旧称，其规范书面表述为[变应原]。</explain>
      <paraID>2558AE14</paraID>
      <start>53</start>
      <end>56</end>
      <status>ignored</status>
      <modifiedWord/>
      <trackRevisions>false</trackRevisions>
    </reviewItem>
    <reviewItem>
      <errorID>64d7248d-85f0-48cd-894a-18a869dd0e3c</errorID>
      <errorWord>化感</errorWord>
      <group>L1_Word</group>
      <groupName>字词问题</groupName>
      <ability>L2_Typo</ability>
      <abilityName>字词错误</abilityName>
      <candidateList>
        <item>化学</item>
      </candidateList>
      <explain/>
      <paraID>2558AE14</paraID>
      <start>73</start>
      <end>75</end>
      <status>ignored</status>
      <modifiedWord/>
      <trackRevisions>false</trackRevisions>
    </reviewItem>
    <reviewItem>
      <errorID>de493097-dd3f-48b6-880b-9576efaed4ac</errorID>
      <errorWord>噪鹃</errorWord>
      <group>L1_Word</group>
      <groupName>字词问题</groupName>
      <ability>L2_Typo</ability>
      <abilityName>字词错误</abilityName>
      <candidateList>
        <item>杜鹃</item>
      </candidateList>
      <explain/>
      <paraID>32733A9B</paraID>
      <start>0</start>
      <end>2</end>
      <status>ignored</status>
      <modifiedWord/>
      <trackRevisions>false</trackRevisions>
    </reviewItem>
    <reviewItem>
      <errorID>052e9a1a-7f76-4b80-8276-75aecfba7560</errorID>
      <errorWord>噪鹃</errorWord>
      <group>L1_Word</group>
      <groupName>字词问题</groupName>
      <ability>L2_Typo</ability>
      <abilityName>字词错误</abilityName>
      <candidateList>
        <item>杜鹃</item>
      </candidateList>
      <explain/>
      <paraID>4EA494D5</paraID>
      <start>0</start>
      <end>2</end>
      <status>ignored</status>
      <modifiedWord/>
      <trackRevisions>false</trackRevisions>
    </reviewItem>
    <reviewItem>
      <errorID>e8ee773c-8528-4ca9-b184-9b67bf6a959d</errorID>
      <errorWord>国家林业局</errorWord>
      <group>L1_Knowledge</group>
      <groupName>知识性问题</groupName>
      <ability>L2_Organization</ability>
      <abilityName>机构检查</abilityName>
      <candidateList>
        <item>国家林业和草原局</item>
      </candidateList>
      <explain>2018年3月，中共中央印发了《深化党和国家机构改革方案》，将国家林业局的职责，整合到新组建的国家林业和草原局。</explain>
      <paraID>2A88AC3D</paraID>
      <start>17</start>
      <end>22</end>
      <status>ignored</status>
      <modifiedWord/>
      <trackRevisions>false</trackRevisions>
    </reviewItem>
    <reviewItem>
      <errorID>1d02ce27-7231-4bdc-bf2c-bf0ff2432645</errorID>
      <errorWord>中科院</errorWord>
      <group>L1_Knowledge</group>
      <groupName>知识性问题</groupName>
      <ability>L2_Knowledge</ability>
      <abilityName>其他知识</abilityName>
      <candidateList>
        <item>中国科学院</item>
      </candidateList>
      <explain/>
      <paraID>374F6BC1</paraID>
      <start>12</start>
      <end>15</end>
      <status>ignored</status>
      <modifiedWord/>
      <trackRevisions>false</trackRevisions>
    </reviewItem>
    <reviewItem>
      <errorID>2a0e8040-d79c-4710-8fd6-e4f0dd571f6a</errorID>
      <errorWord>成</errorWord>
      <group>L1_Word</group>
      <groupName>字词问题</groupName>
      <ability>L2_Typo</ability>
      <abilityName>字词错误</abilityName>
      <candidateList>
        <item>呈</item>
      </candidateList>
      <explain>存在发音相同字词的误用。</explain>
      <paraID>58FECE28</paraID>
      <start>19</start>
      <end>20</end>
      <status>modified</status>
      <modifiedWord>呈</modifiedWord>
      <trackRevisions>false</trackRevisions>
    </reviewItem>
    <reviewItem>
      <errorID>0f842b5b-81be-4af5-ad68-d03a94bee934</errorID>
      <errorWord>马尾松马尾松</errorWord>
      <group>L1_Word</group>
      <groupName>字词问题</groupName>
      <ability>L2_Typo</ability>
      <abilityName>字词错误</abilityName>
      <candidateList>
        <item>马尾松</item>
      </candidateList>
      <explain/>
      <paraID>5501B5D3</paraID>
      <start>3</start>
      <end>6</end>
      <status>modified</status>
      <modifiedWord>马尾松</modifiedWord>
      <trackRevisions>false</trackRevisions>
    </reviewItem>
    <reviewItem>
      <errorID>b92008e1-6bd6-49d8-b4fa-f8b86777a8c5</errorID>
      <errorWord>马尾松马尾松</errorWord>
      <group>L1_Word</group>
      <groupName>字词问题</groupName>
      <ability>L2_Typo</ability>
      <abilityName>字词错误</abilityName>
      <candidateList>
        <item>马尾松</item>
      </candidateList>
      <explain/>
      <paraID>7951B42C</paraID>
      <start>3</start>
      <end>6</end>
      <status>modified</status>
      <modifiedWord>马尾松</modifiedWord>
      <trackRevisions>false</trackRevisions>
    </reviewItem>
    <reviewItem>
      <errorID>2c15ab81-e9ba-44d6-a9e3-d1b1145bc482</errorID>
      <errorWord>*</errorWord>
      <group>L1_Punc</group>
      <groupName>标点问题</groupName>
      <ability>L2_Punc</ability>
      <abilityName>标点符号检查</abilityName>
      <candidateList/>
      <explain/>
      <paraID>528C8D5A</paraID>
      <start>0</start>
      <end>1</end>
      <status>ignored</status>
      <modifiedWord/>
      <trackRevisions>false</trackRevisions>
    </reviewItem>
    <reviewItem>
      <errorID>bf7bcb12-ec37-47a2-bc55-34f166a2ef86</errorID>
      <errorWord>*</errorWord>
      <group>L1_Punc</group>
      <groupName>标点问题</groupName>
      <ability>L2_Punc</ability>
      <abilityName>标点符号检查</abilityName>
      <candidateList/>
      <explain/>
      <paraID>6654E6AF</paraID>
      <start>0</start>
      <end>1</end>
      <status>ignored</status>
      <modifiedWord/>
      <trackRevisions>false</trackRevisions>
    </reviewItem>
    <reviewItem>
      <errorID>55035b71-37cd-4558-b9dd-6f8950825267</errorID>
      <errorWord>*</errorWord>
      <group>L1_Punc</group>
      <groupName>标点问题</groupName>
      <ability>L2_Punc</ability>
      <abilityName>标点符号检查</abilityName>
      <candidateList/>
      <explain/>
      <paraID>4D6282E6</paraID>
      <start>0</start>
      <end>1</end>
      <status>ignored</status>
      <modifiedWord/>
      <trackRevisions>false</trackRevisions>
    </reviewItem>
    <reviewItem>
      <errorID>9943ba5d-1dab-47ec-9f10-72e83a6c81b5</errorID>
      <errorWord>*</errorWord>
      <group>L1_Punc</group>
      <groupName>标点问题</groupName>
      <ability>L2_Punc</ability>
      <abilityName>标点符号检查</abilityName>
      <candidateList/>
      <explain/>
      <paraID>2DB580FE</paraID>
      <start>0</start>
      <end>1</end>
      <status>ignored</status>
      <modifiedWord/>
      <trackRevisions>false</trackRevisions>
    </reviewItem>
    <reviewItem>
      <errorID>cd05d912-d6eb-40e5-9fa8-2617f73f92fa</errorID>
      <errorWord>*</errorWord>
      <group>L1_Punc</group>
      <groupName>标点问题</groupName>
      <ability>L2_Punc</ability>
      <abilityName>标点符号检查</abilityName>
      <candidateList/>
      <explain/>
      <paraID>3D92840D</paraID>
      <start>0</start>
      <end>1</end>
      <status>ignored</status>
      <modifiedWord/>
      <trackRevisions>false</trackRevisions>
    </reviewItem>
    <reviewItem>
      <errorID>ce53b39a-22ba-4d96-8f2b-776abe9d40ea</errorID>
      <errorWord>*</errorWord>
      <group>L1_Punc</group>
      <groupName>标点问题</groupName>
      <ability>L2_Punc</ability>
      <abilityName>标点符号检查</abilityName>
      <candidateList/>
      <explain/>
      <paraID> 786191F</paraID>
      <start>0</start>
      <end>1</end>
      <status>ignored</status>
      <modifiedWord/>
      <trackRevisions>false</trackRevisions>
    </reviewItem>
    <reviewItem>
      <errorID>d539e011-3ad0-46bd-8ffa-11b45274bd2b</errorID>
      <errorWord>芫菁</errorWord>
      <group>L1_Word</group>
      <groupName>字词问题</groupName>
      <ability>L2_Alias</ability>
      <abilityName>也作/曾用词</abilityName>
      <candidateList>
        <item>芜菁</item>
      </candidateList>
      <explain>词汇[芫菁]为不规范表述或旧称，其规范书面表述为[芜菁]。</explain>
      <paraID>122FB6F4</paraID>
      <start>87</start>
      <end>89</end>
      <status>ignored</status>
      <modifiedWord/>
      <trackRevisions>false</trackRevisions>
    </reviewItem>
    <reviewItem>
      <errorID>3e4b07fe-526d-4532-bbfb-fa8dc461afed</errorID>
      <errorWord>未</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1EC64E1A</paraID>
      <start>140</start>
      <end>141</end>
      <status>modified</status>
      <modifiedWord>为</modifiedWord>
      <trackRevisions>false</trackRevisions>
    </reviewItem>
    <reviewItem>
      <errorID>386f324e-6f10-48c9-a1ef-0e270cb5bc48</errorID>
      <errorWord>鰟</errorWord>
      <group>L1_Word</group>
      <groupName>字词问题</groupName>
      <ability>L2_Fanti</ability>
      <abilityName>繁转简</abilityName>
      <candidateList>
        <item>鳑</item>
      </candidateList>
      <explain/>
      <paraID>6E4E596D</paraID>
      <start>57</start>
      <end>58</end>
      <status>ignored</status>
      <modifiedWord/>
      <trackRevisions>false</trackRevisions>
    </reviewItem>
    <reviewItem>
      <errorID>26d04a23-ac1c-4f1f-83d7-e3a8a347cad6</errorID>
      <errorWord>鮍</errorWord>
      <group>L1_Word</group>
      <groupName>字词问题</groupName>
      <ability>L2_Fanti</ability>
      <abilityName>繁转简</abilityName>
      <candidateList>
        <item>鲏</item>
      </candidateList>
      <explain/>
      <paraID>6E4E596D</paraID>
      <start>58</start>
      <end>59</end>
      <status>ignored</status>
      <modifiedWord/>
      <trackRevisions>false</trackRevisions>
    </reviewItem>
    <reviewItem>
      <errorID>9afb687e-3ca9-4f90-96da-10851ff7597c</errorID>
      <errorWord>鯝</errorWord>
      <group>L1_Word</group>
      <groupName>字词问题</groupName>
      <ability>L2_Fanti</ability>
      <abilityName>繁转简</abilityName>
      <candidateList>
        <item>鲴</item>
      </candidateList>
      <explain/>
      <paraID>6E4E596D</paraID>
      <start>84</start>
      <end>85</end>
      <status>ignored</status>
      <modifiedWord/>
      <trackRevisions>false</trackRevisions>
    </reviewItem>
    <reviewItem>
      <errorID>4a0cc54e-b791-4c91-93f4-9dfca2e53b48</errorID>
      <errorWord>鯝</errorWord>
      <group>L1_Word</group>
      <groupName>字词问题</groupName>
      <ability>L2_Fanti</ability>
      <abilityName>繁转简</abilityName>
      <candidateList>
        <item>鲴</item>
      </candidateList>
      <explain/>
      <paraID>6E4E596D</paraID>
      <start>106</start>
      <end>107</end>
      <status>ignored</status>
      <modifiedWord/>
      <trackRevisions>false</trackRevisions>
    </reviewItem>
    <reviewItem>
      <errorID>825266e0-c495-4599-9064-c543ce896eab</errorID>
      <errorWord>鰁</errorWord>
      <group>L1_Word</group>
      <groupName>字词问题</groupName>
      <ability>L2_Fanti</ability>
      <abilityName>繁转简</abilityName>
      <candidateList>
        <item>鳈</item>
      </candidateList>
      <explain/>
      <paraID>6E4E596D</paraID>
      <start>115</start>
      <end>116</end>
      <status>ignored</status>
      <modifiedWord/>
      <trackRevisions>false</trackRevisions>
    </reviewItem>
    <reviewItem>
      <errorID>73f0885e-f737-4558-8367-e038107f969f</errorID>
      <errorWord>鰁</errorWord>
      <group>L1_Word</group>
      <groupName>字词问题</groupName>
      <ability>L2_Fanti</ability>
      <abilityName>繁转简</abilityName>
      <candidateList>
        <item>鳈</item>
      </candidateList>
      <explain/>
      <paraID>6E4E596D</paraID>
      <start>118</start>
      <end>119</end>
      <status>ignored</status>
      <modifiedWord/>
      <trackRevisions>false</trackRevisions>
    </reviewItem>
    <reviewItem>
      <errorID>14d132a9-7004-4655-8559-7e6b2b7d636d</errorID>
      <errorWord>鑞</errorWord>
      <group>L1_Word</group>
      <groupName>字词问题</groupName>
      <ability>L2_Fanti</ability>
      <abilityName>繁转简</abilityName>
      <candidateList>
        <item>镴</item>
      </candidateList>
      <explain/>
      <paraID>6576EFCB</paraID>
      <start>113</start>
      <end>114</end>
      <status>ignored</status>
      <modifiedWord/>
      <trackRevisions>false</trackRevisions>
    </reviewItem>
    <reviewItem>
      <errorID>834986a8-11e7-48b1-931f-32bfac0a9049</errorID>
      <errorWord>鰁</errorWord>
      <group>L1_Word</group>
      <groupName>字词问题</groupName>
      <ability>L2_Fanti</ability>
      <abilityName>繁转简</abilityName>
      <candidateList>
        <item>鳈</item>
      </candidateList>
      <explain/>
      <paraID>6576EFCB</paraID>
      <start>119</start>
      <end>120</end>
      <status>ignored</status>
      <modifiedWord/>
      <trackRevisions>false</trackRevisions>
    </reviewItem>
    <reviewItem>
      <errorID>57aed07d-4b31-4090-8878-beb25f1b5de4</errorID>
      <errorWord>、和</errorWord>
      <group>L1_Punc</group>
      <groupName>标点问题</groupName>
      <ability>L2_Punc</ability>
      <abilityName>标点符号检查</abilityName>
      <candidateList>
        <item>和</item>
      </candidateList>
      <explain>“及”“和”“等”连词前不宜使用顿号，建议删除（或使用逗号）。</explain>
      <paraID>732E9305</paraID>
      <start>85</start>
      <end>86</end>
      <status>modified</status>
      <modifiedWord>和</modifiedWord>
      <trackRevisions>false</trackRevisions>
    </reviewItem>
    <reviewItem>
      <errorID>b3a90939-81d8-4a79-8b22-e6ab532ca1cb</errorID>
      <errorWord>，</errorWord>
      <group>L1_Word</group>
      <groupName>字词问题</groupName>
      <ability>L2_Typo</ability>
      <abilityName>字词错误</abilityName>
      <candidateList>
        <item>，地</item>
      </candidateList>
      <explain/>
      <paraID>5AB3081D</paraID>
      <start>42</start>
      <end>44</end>
      <status>modified</status>
      <modifiedWord>，地</modifiedWord>
      <trackRevisions>false</trackRevisions>
    </reviewItem>
    <reviewItem>
      <errorID>04c329dc-d08e-4604-aab4-bfd6b32dd2e6</errorID>
      <errorWord>、火</errorWord>
      <group>L1_Word</group>
      <groupName>字词问题</groupName>
      <ability>L2_Typo</ability>
      <abilityName>字词错误</abilityName>
      <candidateList>
        <item>、</item>
      </candidateList>
      <explain/>
      <paraID>712DA480</paraID>
      <start>42</start>
      <end>44</end>
      <status>ignored</status>
      <modifiedWord/>
      <trackRevisions>false</trackRevisions>
    </reviewItem>
    <reviewItem>
      <errorID>acd757fd-66be-4e79-b64a-ab076466ebec</errorID>
      <errorWord>课</errorWord>
      <group>L1_Word</group>
      <groupName>字词问题</groupName>
      <ability>L2_Typo</ability>
      <abilityName>字词错误</abilityName>
      <candidateList>
        <item>可</item>
      </candidateList>
      <explain>〈动〉适合：～人意｜这回倒～了他的心了。</explain>
      <paraID>2AF4A443</paraID>
      <start>194</start>
      <end>195</end>
      <status>ignored</status>
      <modifiedWord/>
      <trackRevisions>false</trackRevisions>
    </reviewItem>
    <reviewItem>
      <errorID>e0247897-3f5b-41de-9951-14b2ce751a00</errorID>
      <errorWord>鴷</errorWord>
      <group>L1_Word</group>
      <groupName>字词问题</groupName>
      <ability>L2_Fanti</ability>
      <abilityName>繁转简</abilityName>
      <candidateList>
        <item>䴕</item>
      </candidateList>
      <explain/>
      <paraID>79C6F746</paraID>
      <start>0</start>
      <end>1</end>
      <status>ignored</status>
      <modifiedWord/>
      <trackRevisions>false</trackRevisions>
    </reviewItem>
    <reviewItem>
      <errorID>e5ae0935-4d37-4790-99ff-89b6b82f0bbc</errorID>
      <errorWord>鸊</errorWord>
      <group>L1_Word</group>
      <groupName>字词问题</groupName>
      <ability>L2_Fanti</ability>
      <abilityName>繁转简</abilityName>
      <candidateList>
        <item>䴙</item>
      </candidateList>
      <explain/>
      <paraID>2B84CDB7</paraID>
      <start>0</start>
      <end>1</end>
      <status>ignored</status>
      <modifiedWord/>
      <trackRevisions>false</trackRevisions>
    </reviewItem>
    <reviewItem>
      <errorID>0cb95d53-1144-44f1-a356-b24d980550b9</errorID>
      <errorWord>鷉</errorWord>
      <group>L1_Word</group>
      <groupName>字词问题</groupName>
      <ability>L2_Fanti</ability>
      <abilityName>繁转简</abilityName>
      <candidateList>
        <item>䴘</item>
      </candidateList>
      <explain/>
      <paraID>2B84CDB7</paraID>
      <start>1</start>
      <end>2</end>
      <status>ignored</status>
      <modifiedWord/>
      <trackRevisions>false</trackRevisions>
    </reviewItem>
    <reviewItem>
      <errorID>c49499d6-efa2-406f-a741-900214455667</errorID>
      <errorWord>鸊</errorWord>
      <group>L1_Word</group>
      <groupName>字词问题</groupName>
      <ability>L2_Fanti</ability>
      <abilityName>繁转简</abilityName>
      <candidateList>
        <item>䴙</item>
      </candidateList>
      <explain/>
      <paraID>209C9D7A</paraID>
      <start>0</start>
      <end>1</end>
      <status>ignored</status>
      <modifiedWord/>
      <trackRevisions>false</trackRevisions>
    </reviewItem>
    <reviewItem>
      <errorID>5c4989fb-6ba2-4e12-a571-24e81de0bab7</errorID>
      <errorWord>鷉</errorWord>
      <group>L1_Word</group>
      <groupName>字词问题</groupName>
      <ability>L2_Fanti</ability>
      <abilityName>繁转简</abilityName>
      <candidateList>
        <item>䴘</item>
      </candidateList>
      <explain/>
      <paraID>209C9D7A</paraID>
      <start>1</start>
      <end>2</end>
      <status>ignored</status>
      <modifiedWord/>
      <trackRevisions>false</trackRevisions>
    </reviewItem>
    <reviewItem>
      <errorID>51d4da38-a84d-4416-b7f3-c04a6ae3161b</errorID>
      <errorWord>鸊</errorWord>
      <group>L1_Word</group>
      <groupName>字词问题</groupName>
      <ability>L2_Fanti</ability>
      <abilityName>繁转简</abilityName>
      <candidateList>
        <item>䴙</item>
      </candidateList>
      <explain/>
      <paraID>5AA036BE</paraID>
      <start>1</start>
      <end>2</end>
      <status>ignored</status>
      <modifiedWord/>
      <trackRevisions>false</trackRevisions>
    </reviewItem>
    <reviewItem>
      <errorID>ae326286-0fbe-40f0-a3cc-06a8fb4cf554</errorID>
      <errorWord>鷉</errorWord>
      <group>L1_Word</group>
      <groupName>字词问题</groupName>
      <ability>L2_Fanti</ability>
      <abilityName>繁转简</abilityName>
      <candidateList>
        <item>䴘</item>
      </candidateList>
      <explain/>
      <paraID>5AA036BE</paraID>
      <start>2</start>
      <end>3</end>
      <status>ignored</status>
      <modifiedWord/>
      <trackRevisions>false</trackRevisions>
    </reviewItem>
    <reviewItem>
      <errorID>ec5f5e92-91db-4ee9-ae3c-5bc515ef217d</errorID>
      <errorWord>鸊</errorWord>
      <group>L1_Word</group>
      <groupName>字词问题</groupName>
      <ability>L2_Fanti</ability>
      <abilityName>繁转简</abilityName>
      <candidateList>
        <item>䴙</item>
      </candidateList>
      <explain/>
      <paraID>2425073D</paraID>
      <start>2</start>
      <end>3</end>
      <status>ignored</status>
      <modifiedWord/>
      <trackRevisions>false</trackRevisions>
    </reviewItem>
    <reviewItem>
      <errorID>1d83e051-91c7-44dc-8ef6-f13ddde50bb8</errorID>
      <errorWord>鷉</errorWord>
      <group>L1_Word</group>
      <groupName>字词问题</groupName>
      <ability>L2_Fanti</ability>
      <abilityName>繁转简</abilityName>
      <candidateList>
        <item>䴘</item>
      </candidateList>
      <explain/>
      <paraID>2425073D</paraID>
      <start>3</start>
      <end>4</end>
      <status>ignored</status>
      <modifiedWord/>
      <trackRevisions>false</trackRevisions>
    </reviewItem>
    <reviewItem>
      <errorID>92906298-7f18-4f78-9e3c-155f306a63f1</errorID>
      <errorWord>，</errorWord>
      <group>L1_Format</group>
      <groupName>格式问题</groupName>
      <ability>L2_HalfPunc</ability>
      <abilityName>全半角检查</abilityName>
      <candidateList>
        <item>, </item>
      </candidateList>
      <explain>文本全半角错误。</explain>
      <paraID>1372C671</paraID>
      <start>1</start>
      <end>2</end>
      <status>ignored</status>
      <modifiedWord/>
      <trackRevisions>false</trackRevisions>
    </reviewItem>
    <reviewItem>
      <errorID>53760803-1020-4147-adce-44be402505f3</errorID>
      <errorWord>，</errorWord>
      <group>L1_Format</group>
      <groupName>格式问题</groupName>
      <ability>L2_HalfPunc</ability>
      <abilityName>全半角检查</abilityName>
      <candidateList>
        <item>, </item>
      </candidateList>
      <explain>文本全半角错误。</explain>
      <paraID>2296B816</paraID>
      <start>1</start>
      <end>2</end>
      <status>ignored</status>
      <modifiedWord/>
      <trackRevisions>false</trackRevisions>
    </reviewItem>
    <reviewItem>
      <errorID>34a5edb0-ff62-4001-a11e-1e72d19319ca</errorID>
      <errorWord>，</errorWord>
      <group>L1_Format</group>
      <groupName>格式问题</groupName>
      <ability>L2_HalfPunc</ability>
      <abilityName>全半角检查</abilityName>
      <candidateList>
        <item>, </item>
      </candidateList>
      <explain>文本全半角错误。</explain>
      <paraID>54DB7B76</paraID>
      <start>1</start>
      <end>2</end>
      <status>ignored</status>
      <modifiedWord/>
      <trackRevisions>false</trackRevisions>
    </reviewItem>
    <reviewItem>
      <errorID>5b46796e-db09-4fa9-8eb8-0340a6195868</errorID>
      <errorWord>年年</errorWord>
      <group>L1_Word</group>
      <groupName>字词问题</groupName>
      <ability>L2_Typo</ability>
      <abilityName>字词错误</abilityName>
      <candidateList>
        <item>年</item>
      </candidateList>
      <explain/>
      <paraID>580CACD2</paraID>
      <start>1</start>
      <end>2</end>
      <status>modified</status>
      <modifiedWord>年</modifiedWord>
      <trackRevisions>false</trackRevisions>
    </reviewItem>
    <reviewItem>
      <errorID>f235da59-f244-4d93-81fa-1fbcb558d782</errorID>
      <errorWord>年年</errorWord>
      <group>L1_Word</group>
      <groupName>字词问题</groupName>
      <ability>L2_Typo</ability>
      <abilityName>字词错误</abilityName>
      <candidateList>
        <item>年</item>
      </candidateList>
      <explain/>
      <paraID> 5FB202C</paraID>
      <start>1</start>
      <end>2</end>
      <status>modified</status>
      <modifiedWord>年</modifiedWord>
      <trackRevisions>false</trackRevisions>
    </reviewItem>
    <reviewItem>
      <errorID>aa382443-d3b0-417c-8bb8-b6ec1663960a</errorID>
      <errorWord>＜</errorWord>
      <group>L1_Format</group>
      <groupName>格式问题</groupName>
      <ability>L2_HalfPunc</ability>
      <abilityName>全半角检查</abilityName>
      <candidateList>
        <item>&lt;</item>
      </candidateList>
      <explain>文本全半角错误。</explain>
      <paraID>3E58FEF6</paraID>
      <start>5</start>
      <end>6</end>
      <status>ignored</status>
      <modifiedWord/>
      <trackRevisions>false</trackRevisions>
    </reviewItem>
    <reviewItem>
      <errorID>746c226f-b73d-4cbe-ab60-667a261c4440</errorID>
      <errorWord>＜</errorWord>
      <group>L1_Format</group>
      <groupName>格式问题</groupName>
      <ability>L2_HalfPunc</ability>
      <abilityName>全半角检查</abilityName>
      <candidateList>
        <item>&lt;</item>
      </candidateList>
      <explain>文本全半角错误。</explain>
      <paraID>163E02C0</paraID>
      <start>5</start>
      <end>6</end>
      <status>ignored</status>
      <modifiedWord/>
      <trackRevisions>false</trackRevisions>
    </reviewItem>
    <reviewItem>
      <errorID>a74e617e-ae0d-4930-b905-a19d3e752e5e</errorID>
      <errorWord>＜</errorWord>
      <group>L1_Format</group>
      <groupName>格式问题</groupName>
      <ability>L2_HalfPunc</ability>
      <abilityName>全半角检查</abilityName>
      <candidateList>
        <item>&lt;</item>
      </candidateList>
      <explain>文本全半角错误。</explain>
      <paraID>3AEA5E7F</paraID>
      <start>2</start>
      <end>3</end>
      <status>ignored</status>
      <modifiedWord/>
      <trackRevisions>false</trackRevisions>
    </reviewItem>
    <reviewItem>
      <errorID>8a19ff1d-b73a-4551-9849-960c21ebeff5</errorID>
      <errorWord>好地</errorWord>
      <group>L1_Word</group>
      <groupName>字词问题</groupName>
      <ability>L2_Typo</ability>
      <abilityName>字词错误</abilityName>
      <candidateList>
        <item>好</item>
      </candidateList>
      <explain>〈动〉❶喜爱（跟“恶”wù相对）：嗜～｜～学｜～动脑筋｜～吃懒做｜他这个人～表现自己。❷常容易（发生某种事情）：刚会骑车的人～摔跤。</explain>
      <paraID> 5173B5E</paraID>
      <start>288</start>
      <end>289</end>
      <status>modified</status>
      <modifiedWord>好</modifiedWord>
      <trackRevisions>false</trackRevisions>
    </reviewItem>
    <reviewItem>
      <errorID>1e88c0f5-dd8d-4018-8422-c5d1711216ed</errorID>
      <errorWord>,</errorWord>
      <group>L1_Format</group>
      <groupName>格式问题</groupName>
      <ability>L2_HalfPunc</ability>
      <abilityName>全半角检查</abilityName>
      <candidateList>
        <item>，</item>
      </candidateList>
      <explain>文本全半角错误。</explain>
      <paraID>1891FA0D</paraID>
      <start>232</start>
      <end>233</end>
      <status>modified</status>
      <modifiedWord>，</modifiedWord>
      <trackRevisions>false</trackRevisions>
    </reviewItem>
    <reviewItem>
      <errorID>3d4cdd3b-2389-4f5b-9818-b3809610562d</errorID>
      <errorWord>加强</errorWord>
      <group>L1_Word</group>
      <groupName>字词问题</groupName>
      <ability>L2_Typo</ability>
      <abilityName>字词错误</abilityName>
      <candidateList>
        <item>促进</item>
      </candidateList>
      <explain>“水平～加强”搭配不当，建议修改为“水平～促进”。</explain>
      <paraID>63F7AEAB</paraID>
      <start>18</start>
      <end>20</end>
      <status>modified</status>
      <modifiedWord>促进</modifiedWord>
      <trackRevisions>false</trackRevisions>
    </reviewItem>
    <reviewItem>
      <errorID>15a1a13f-e2fd-4284-b310-11a9d2c41584</errorID>
      <errorWord>*</errorWord>
      <group>L1_Punc</group>
      <groupName>标点问题</groupName>
      <ability>L2_Punc</ability>
      <abilityName>标点符号检查</abilityName>
      <candidateList/>
      <explain/>
      <paraID>172EBA8B</paraID>
      <start>0</start>
      <end>1</end>
      <status>ignored</status>
      <modifiedWord/>
      <trackRevisions>false</trackRevisions>
    </reviewItem>
    <reviewItem>
      <errorID>48563bb6-c1c8-4605-9af2-30466693b8e2</errorID>
      <errorWord>污染源预测</errorWord>
      <group>L1_Knowledge</group>
      <groupName>知识性问题</groupName>
      <ability>L2_Term</ability>
      <abilityName>专业术语</abilityName>
      <candidateList>
        <item>污染源监测</item>
      </candidateList>
      <explain/>
      <paraID>44EE8D66</paraID>
      <start>5</start>
      <end>10</end>
      <status>ignored</status>
      <modifiedWord/>
      <trackRevisions>false</trackRevisions>
    </reviewItem>
    <reviewItem>
      <errorID>2eb38ea2-44c5-469f-9398-6c6d81628116</errorID>
      <errorWord>（</errorWord>
      <group>L1_Punc</group>
      <groupName>标点问题</groupName>
      <ability>L2_Punc</ability>
      <abilityName>标点符号检查</abilityName>
      <candidateList/>
      <explain>同一形式括号套用。</explain>
      <paraID>46E70C48</paraID>
      <start>3</start>
      <end>4</end>
      <status>ignored</status>
      <modifiedWord/>
      <trackRevisions>false</trackRevisions>
    </reviewItem>
    <reviewItem>
      <errorID>43a11ed3-fe0f-45f1-8b74-37e0ba4ab4dc</errorID>
      <errorWord>）</errorWord>
      <group>L1_Punc</group>
      <groupName>标点问题</groupName>
      <ability>L2_Punc</ability>
      <abilityName>标点符号检查</abilityName>
      <candidateList/>
      <explain>同一形式括号套用。</explain>
      <paraID>46E70C48</paraID>
      <start>7</start>
      <end>8</end>
      <status>ignored</status>
      <modifiedWord/>
      <trackRevisions>false</trackRevisions>
    </reviewItem>
    <reviewItem>
      <errorID>d24144a5-b446-4a4b-963e-2a71c28e6f7d</errorID>
      <errorWord>见</errorWord>
      <group>L1_Word</group>
      <groupName>字词问题</groupName>
      <ability>L2_Typo</ability>
      <abilityName>字词错误</abilityName>
      <candidateList>
        <item>见下</item>
      </candidateList>
      <explain/>
      <paraID>4633CF41</paraID>
      <start>17</start>
      <end>18</end>
      <status>ignored</status>
      <modifiedWord/>
      <trackRevisions>false</trackRevisions>
    </reviewItem>
    <reviewItem>
      <errorID>3d9db74e-b0f4-4241-a478-62692d9401db</errorID>
      <errorWord>（</errorWord>
      <group>L1_Punc</group>
      <groupName>标点问题</groupName>
      <ability>L2_Punc</ability>
      <abilityName>标点符号检查</abilityName>
      <candidateList/>
      <explain>同一形式括号套用。</explain>
      <paraID>5943C74B</paraID>
      <start>28</start>
      <end>29</end>
      <status>ignored</status>
      <modifiedWord/>
      <trackRevisions>false</trackRevisions>
    </reviewItem>
    <reviewItem>
      <errorID>10261fdc-5731-4fb1-b96b-2f7272c8811c</errorID>
      <errorWord>）</errorWord>
      <group>L1_Punc</group>
      <groupName>标点问题</groupName>
      <ability>L2_Punc</ability>
      <abilityName>标点符号检查</abilityName>
      <candidateList/>
      <explain>同一形式括号套用。</explain>
      <paraID>5943C74B</paraID>
      <start>30</start>
      <end>31</end>
      <status>ignored</status>
      <modifiedWord/>
      <trackRevisions>false</trackRevisions>
    </reviewItem>
    <reviewItem>
      <errorID>bf4094ac-d3b5-4f81-988b-6f5610147c66</errorID>
      <errorWord>可</errorWord>
      <group>L1_Word</group>
      <groupName>字词问题</groupName>
      <ability>L2_Typo</ability>
      <abilityName>字词错误</abilityName>
      <candidateList>
        <item>可以</item>
      </candidateList>
      <explain>〈口〉〈形〉❶好；不坏；过得去：这篇文章写得还～。❷厉害：你这张嘴真～｜天气实在热得～。</explain>
      <paraID> 7F5CA31</paraID>
      <start>35</start>
      <end>36</end>
      <status>ignored</status>
      <modifiedWord/>
      <trackRevisions>false</trackRevisions>
    </reviewItem>
    <reviewItem>
      <errorID>a321cf47-d4e4-4958-8e62-0bf89baf3edb</errorID>
      <errorWord>、</errorWord>
      <group>L1_Punc</group>
      <groupName>标点问题</groupName>
      <ability>L2_Punc</ability>
      <abilityName>标点符号检查</abilityName>
      <candidateList>
        <item>.</item>
      </candidateList>
      <explain/>
      <paraID>17AC055A</paraID>
      <start>1</start>
      <end>2</end>
      <status>ignored</status>
      <modifiedWord/>
      <trackRevisions>false</trackRevisions>
    </reviewItem>
    <reviewItem>
      <errorID>7ca2e5af-25b3-4b5e-9f37-d41623f9e223</errorID>
      <errorWord>主要以农村生活人口为主</errorWord>
      <group>L1_Word</group>
      <groupName>字词问题</groupName>
      <ability>L2_Typo</ability>
      <abilityName>字词错误</abilityName>
      <candidateList>
        <item>以农村生活人口为主</item>
      </candidateList>
      <explain/>
      <paraID>2A76E827</paraID>
      <start>51</start>
      <end>60</end>
      <status>modified</status>
      <modifiedWord>以农村生活人口为主</modifiedWord>
      <trackRevisions>false</trackRevisions>
    </reviewItem>
    <reviewItem>
      <errorID>e3e8825b-fb17-46b0-a59e-d83afe01b699</errorID>
      <errorWord>（</errorWord>
      <group>L1_Punc</group>
      <groupName>标点问题</groupName>
      <ability>L2_Punc</ability>
      <abilityName>标点符号检查</abilityName>
      <candidateList/>
      <explain>同一形式括号套用。</explain>
      <paraID>2A76E827</paraID>
      <start>78</start>
      <end>79</end>
      <status>ignored</status>
      <modifiedWord/>
      <trackRevisions>false</trackRevisions>
    </reviewItem>
    <reviewItem>
      <errorID>e98d421b-bfaa-4c6e-aa71-886b99de7298</errorID>
      <errorWord>）</errorWord>
      <group>L1_Punc</group>
      <groupName>标点问题</groupName>
      <ability>L2_Punc</ability>
      <abilityName>标点符号检查</abilityName>
      <candidateList/>
      <explain>同一形式括号套用。</explain>
      <paraID>2A76E827</paraID>
      <start>80</start>
      <end>81</end>
      <status>ignored</status>
      <modifiedWord/>
      <trackRevisions>false</trackRevisions>
    </reviewItem>
    <reviewItem>
      <errorID>b0fd38ab-6eb6-49bb-9060-6874b60172a2</errorID>
      <errorWord>)</errorWord>
      <group>L1_Format</group>
      <groupName>格式问题</groupName>
      <ability>L2_HalfPunc</ability>
      <abilityName>全半角检查</abilityName>
      <candidateList>
        <item>）</item>
      </candidateList>
      <explain>文本全半角错误。</explain>
      <paraID>664043D8</paraID>
      <start>20</start>
      <end>21</end>
      <status>modified</status>
      <modifiedWord>）</modifiedWord>
      <trackRevisions>false</trackRevisions>
    </reviewItem>
    <reviewItem>
      <errorID>e4cd029c-968a-4eb8-8d01-7b7f8f2324c4</errorID>
      <errorWord>（</errorWord>
      <group>L1_Punc</group>
      <groupName>标点问题</groupName>
      <ability>L2_Punc</ability>
      <abilityName>标点符号检查</abilityName>
      <candidateList/>
      <explain>同一形式括号套用。</explain>
      <paraID>4A77B393</paraID>
      <start>20</start>
      <end>21</end>
      <status>ignored</status>
      <modifiedWord/>
      <trackRevisions>false</trackRevisions>
    </reviewItem>
    <reviewItem>
      <errorID>c304f4e2-6a76-4ba9-8515-dea17cab6670</errorID>
      <errorWord>）</errorWord>
      <group>L1_Punc</group>
      <groupName>标点问题</groupName>
      <ability>L2_Punc</ability>
      <abilityName>标点符号检查</abilityName>
      <candidateList/>
      <explain>同一形式括号套用。</explain>
      <paraID>4A77B393</paraID>
      <start>22</start>
      <end>23</end>
      <status>ignored</status>
      <modifiedWord/>
      <trackRevisions>false</trackRevisions>
    </reviewItem>
    <reviewItem>
      <errorID>4fe07077-2b7b-4548-a028-eaff61c39d81</errorID>
      <errorWord>（</errorWord>
      <group>L1_Format</group>
      <groupName>格式问题</groupName>
      <ability>L2_HalfPunc</ability>
      <abilityName>全半角检查</abilityName>
      <candidateList>
        <item>(</item>
      </candidateList>
      <explain>文本全半角错误。</explain>
      <paraID>40DD625B</paraID>
      <start>56</start>
      <end>57</end>
      <status>ignored</status>
      <modifiedWord/>
      <trackRevisions>false</trackRevisions>
    </reviewItem>
    <reviewItem>
      <errorID>71032561-d6df-4ea5-93bb-49ab5fd74fd1</errorID>
      <errorWord>）</errorWord>
      <group>L1_Format</group>
      <groupName>格式问题</groupName>
      <ability>L2_HalfPunc</ability>
      <abilityName>全半角检查</abilityName>
      <candidateList>
        <item>)</item>
      </candidateList>
      <explain>文本全半角错误。</explain>
      <paraID>40DD625B</paraID>
      <start>58</start>
      <end>59</end>
      <status>ignored</status>
      <modifiedWord/>
      <trackRevisions>false</trackRevisions>
    </reviewItem>
    <reviewItem>
      <errorID>7c6ae708-5e5a-4a06-b318-84b4c6728f46</errorID>
      <errorWord>（</errorWord>
      <group>L1_Format</group>
      <groupName>格式问题</groupName>
      <ability>L2_HalfPunc</ability>
      <abilityName>全半角检查</abilityName>
      <candidateList>
        <item>(</item>
      </candidateList>
      <explain>文本全半角错误。</explain>
      <paraID>61988DBF</paraID>
      <start>50</start>
      <end>51</end>
      <status>ignored</status>
      <modifiedWord/>
      <trackRevisions>false</trackRevisions>
    </reviewItem>
    <reviewItem>
      <errorID>4ad52efd-56c6-4788-91ec-26df7039aac5</errorID>
      <errorWord>）</errorWord>
      <group>L1_Format</group>
      <groupName>格式问题</groupName>
      <ability>L2_HalfPunc</ability>
      <abilityName>全半角检查</abilityName>
      <candidateList>
        <item>)</item>
      </candidateList>
      <explain>文本全半角错误。</explain>
      <paraID>61988DBF</paraID>
      <start>52</start>
      <end>53</end>
      <status>ignored</status>
      <modifiedWord/>
      <trackRevisions>false</trackRevisions>
    </reviewItem>
    <reviewItem>
      <errorID>584d0541-bcb4-4574-a7c6-377bae329ae7</errorID>
      <errorWord>为声屏障</errorWord>
      <group>L1_Knowledge</group>
      <groupName>知识性问题</groupName>
      <ability>L2_Term</ability>
      <abilityName>专业术语</abilityName>
      <candidateList>
        <item>隔声屏障</item>
      </candidateList>
      <explain/>
      <paraID>3482D1EC</paraID>
      <start>201</start>
      <end>205</end>
      <status>ignored</status>
      <modifiedWord/>
      <trackRevisions>false</trackRevisions>
    </reviewItem>
    <reviewItem>
      <errorID>9d48067a-3d59-48d6-904f-f62a0533a1b2</errorID>
      <errorWord>)</errorWord>
      <group>L1_Format</group>
      <groupName>格式问题</groupName>
      <ability>L2_HalfPunc</ability>
      <abilityName>全半角检查</abilityName>
      <candidateList>
        <item>）</item>
      </candidateList>
      <explain>文本全半角错误。</explain>
      <paraID>73A21A1F</paraID>
      <start>62</start>
      <end>63</end>
      <status>ignored</status>
      <modifiedWord/>
      <trackRevisions>false</trackRevisions>
    </reviewItem>
    <reviewItem>
      <errorID>c4478b2d-2783-46bf-8181-844d2c7147e0</errorID>
      <errorWord>（</errorWord>
      <group>L1_Format</group>
      <groupName>格式问题</groupName>
      <ability>L2_HalfPunc</ability>
      <abilityName>全半角检查</abilityName>
      <candidateList>
        <item>(</item>
      </candidateList>
      <explain>文本全半角错误。</explain>
      <paraID>2D85BD42</paraID>
      <start>0</start>
      <end>1</end>
      <status>ignored</status>
      <modifiedWord/>
      <trackRevisions>false</trackRevisions>
    </reviewItem>
    <reviewItem>
      <errorID>e4bae6ab-8c0a-4b03-89a8-45a908ef1f17</errorID>
      <errorWord>（</errorWord>
      <group>L1_Punc</group>
      <groupName>标点问题</groupName>
      <ability>L2_Punc</ability>
      <abilityName>标点符号检查</abilityName>
      <candidateList/>
      <explain>同一形式括号套用。</explain>
      <paraID>2D85BD42</paraID>
      <start>3</start>
      <end>4</end>
      <status>ignored</status>
      <modifiedWord/>
      <trackRevisions>false</trackRevisions>
    </reviewItem>
    <reviewItem>
      <errorID>a331e433-eef8-45fc-8c7a-e411a3217b31</errorID>
      <errorWord>）</errorWord>
      <group>L1_Punc</group>
      <groupName>标点问题</groupName>
      <ability>L2_Punc</ability>
      <abilityName>标点符号检查</abilityName>
      <candidateList/>
      <explain>同一形式括号套用。</explain>
      <paraID>2D85BD42</paraID>
      <start>5</start>
      <end>6</end>
      <status>ignored</status>
      <modifiedWord/>
      <trackRevisions>false</trackRevisions>
    </reviewItem>
    <reviewItem>
      <errorID>54e22c33-5fbd-4eb8-91fd-637e3b817e55</errorID>
      <errorWord>（</errorWord>
      <group>L1_Punc</group>
      <groupName>标点问题</groupName>
      <ability>L2_Punc</ability>
      <abilityName>标点符号检查</abilityName>
      <candidateList/>
      <explain>同一形式括号套用。</explain>
      <paraID>3916D242</paraID>
      <start>13</start>
      <end>14</end>
      <status>ignored</status>
      <modifiedWord/>
      <trackRevisions>false</trackRevisions>
    </reviewItem>
    <reviewItem>
      <errorID>ccf20537-6931-4c77-bf74-f44316e8a905</errorID>
      <errorWord>）</errorWord>
      <group>L1_Punc</group>
      <groupName>标点问题</groupName>
      <ability>L2_Punc</ability>
      <abilityName>标点符号检查</abilityName>
      <candidateList/>
      <explain>同一形式括号套用。</explain>
      <paraID>3916D242</paraID>
      <start>15</start>
      <end>16</end>
      <status>ignored</status>
      <modifiedWord/>
      <trackRevisions>false</trackRevisions>
    </reviewItem>
    <reviewItem>
      <errorID>d470b739-147a-496a-8778-21887764ad2e</errorID>
      <errorWord>（</errorWord>
      <group>L1_Punc</group>
      <groupName>标点问题</groupName>
      <ability>L2_Punc</ability>
      <abilityName>标点符号检查</abilityName>
      <candidateList/>
      <explain>同一形式括号套用。</explain>
      <paraID>3B8CF130</paraID>
      <start>13</start>
      <end>14</end>
      <status>ignored</status>
      <modifiedWord/>
      <trackRevisions>false</trackRevisions>
    </reviewItem>
    <reviewItem>
      <errorID>15dec7e5-c5ea-426e-8ac3-3c9a1d7043fa</errorID>
      <errorWord>）</errorWord>
      <group>L1_Punc</group>
      <groupName>标点问题</groupName>
      <ability>L2_Punc</ability>
      <abilityName>标点符号检查</abilityName>
      <candidateList/>
      <explain>同一形式括号套用。</explain>
      <paraID>3B8CF130</paraID>
      <start>15</start>
      <end>16</end>
      <status>ignored</status>
      <modifiedWord/>
      <trackRevisions>false</trackRevisions>
    </reviewItem>
    <reviewItem>
      <errorID>b4290f4d-7684-42c0-bfe8-96f15741bd28</errorID>
      <errorWord>服务型的</errorWord>
      <group>L1_Word</group>
      <groupName>字词问题</groupName>
      <ability>L2_Typo</ability>
      <abilityName>字词错误</abilityName>
      <candidateList>
        <item>服务型</item>
      </candidateList>
      <explain/>
      <paraID>4B912C2D</paraID>
      <start>130</start>
      <end>133</end>
      <status>modified</status>
      <modifiedWord>服务型</modifiedWord>
      <trackRevisions>false</trackRevisions>
    </reviewItem>
    <reviewItem>
      <errorID>1d459609-0662-4cd8-9b19-3d38c5f2137d</errorID>
      <errorWord>；</errorWord>
      <group>L1_Word</group>
      <groupName>字词问题</groupName>
      <ability>L2_Typo</ability>
      <abilityName>字词错误</abilityName>
      <candidateList>
        <item>；在</item>
      </candidateList>
      <explain/>
      <paraID>3D339106</paraID>
      <start>57</start>
      <end>58</end>
      <status>ignored</status>
      <modifiedWord/>
      <trackRevisions>false</trackRevisions>
    </reviewItem>
    <reviewItem>
      <errorID>a0d048dc-72d7-4e2b-af8c-58f1c4c7d0d0</errorID>
      <errorWord>提高</errorWord>
      <group>L1_Word</group>
      <groupName>字词问题</groupName>
      <ability>L2_Typo</ability>
      <abilityName>字词错误</abilityName>
      <candidateList>
        <item>增强</item>
      </candidateList>
      <explain>“提高～意识”搭配不当，建议修改为“增强～意识”。</explain>
      <paraID> 19EF3FC</paraID>
      <start>24</start>
      <end>26</end>
      <status>modified</status>
      <modifiedWord>增强</modifiedWord>
      <trackRevisions>false</trackRevisions>
    </reviewItem>
    <reviewItem>
      <errorID>9247fcbf-853e-4537-a0fa-866db368883f</errorID>
      <errorWord>提高</errorWord>
      <group>L1_Word</group>
      <groupName>字词问题</groupName>
      <ability>L2_Typo</ability>
      <abilityName>字词错误</abilityName>
      <candidateList>
        <item>增强</item>
      </candidateList>
      <explain>“提高～意识”搭配不当，建议修改为“增强～意识”。</explain>
      <paraID>510846D5</paraID>
      <start>37</start>
      <end>39</end>
      <status>modified</status>
      <modifiedWord>增强</modifiedWord>
      <trackRevisions>false</trackRevisions>
    </reviewItem>
    <reviewItem>
      <errorID>e332aa03-af0c-4599-bcf3-61231845cc9e</errorID>
      <errorWord>影响</errorWord>
      <group>L1_Word</group>
      <groupName>字词问题</groupName>
      <ability>L2_Typo</ability>
      <abilityName>字词错误</abilityName>
      <candidateList>
        <item>影像</item>
      </candidateList>
      <explain>〈名〉❶肖像；画像。❷〈形〉象：他的～时刻在我眼前浮现。❸物体通过光学装置、电子装置等呈现出来的形状。</explain>
      <paraID>459C11A8</paraID>
      <start>5</start>
      <end>7</end>
      <status>ignored</status>
      <modifiedWord/>
      <trackRevisions>false</trackRevisions>
    </reviewItem>
    <reviewItem>
      <errorID>b65f739b-65f4-410a-96ae-4bda32d1defd</errorID>
      <errorWord>（</errorWord>
      <group>L1_Format</group>
      <groupName>格式问题</groupName>
      <ability>L2_HalfPunc</ability>
      <abilityName>全半角检查</abilityName>
      <candidateList>
        <item>(</item>
      </candidateList>
      <explain>文本全半角错误。</explain>
      <paraID>32307CC5</paraID>
      <start>0</start>
      <end>1</end>
      <status>ignored</status>
      <modifiedWord/>
      <trackRevisions>false</trackRevisions>
    </reviewItem>
    <reviewItem>
      <errorID>3243923e-944c-4b6f-9d3e-b49ea5244186</errorID>
      <errorWord>）</errorWord>
      <group>L1_Format</group>
      <groupName>格式问题</groupName>
      <ability>L2_HalfPunc</ability>
      <abilityName>全半角检查</abilityName>
      <candidateList>
        <item>)</item>
      </candidateList>
      <explain>文本全半角错误。</explain>
      <paraID>32307CC5</paraID>
      <start>13</start>
      <end>14</end>
      <status>ignored</status>
      <modifiedWord/>
      <trackRevisions>false</trackRevisions>
    </reviewItem>
    <reviewItem>
      <errorID>f270548b-82ae-437f-bf5a-045d89e6ddd5</errorID>
      <errorWord>（</errorWord>
      <group>L1_Format</group>
      <groupName>格式问题</groupName>
      <ability>L2_HalfPunc</ability>
      <abilityName>全半角检查</abilityName>
      <candidateList>
        <item>(</item>
      </candidateList>
      <explain>文本全半角错误。</explain>
      <paraID> 92F70CE</paraID>
      <start>0</start>
      <end>1</end>
      <status>ignored</status>
      <modifiedWord/>
      <trackRevisions>false</trackRevisions>
    </reviewItem>
    <reviewItem>
      <errorID>7d6fe3c5-cf97-423a-af86-bee914a1675e</errorID>
      <errorWord>）</errorWord>
      <group>L1_Format</group>
      <groupName>格式问题</groupName>
      <ability>L2_HalfPunc</ability>
      <abilityName>全半角检查</abilityName>
      <candidateList>
        <item>)</item>
      </candidateList>
      <explain>文本全半角错误。</explain>
      <paraID> 92F70CE</paraID>
      <start>13</start>
      <end>14</end>
      <status>ignored</status>
      <modifiedWord/>
      <trackRevisions>false</trackRevisions>
    </reviewItem>
    <reviewItem>
      <errorID>d206d135-11b0-4247-a337-27247b2dd7fb</errorID>
      <errorWord>期</errorWord>
      <group>L1_Word</group>
      <groupName>字词问题</groupName>
      <ability>L2_Typo</ability>
      <abilityName>字词错误</abilityName>
      <candidateList>
        <item>期间</item>
      </candidateList>
      <explain>〈名〉某个时期里面：农忙～｜春节～｜抗战～。</explain>
      <paraID>40282DB0</paraID>
      <start>4</start>
      <end>5</end>
      <status>ignored</status>
      <modifiedWord/>
      <trackRevisions>false</trackRevisions>
    </reviewItem>
    <reviewItem>
      <errorID>08164825-bb1f-4220-b07a-e8469800b568</errorID>
      <errorWord>集聚</errorWord>
      <group>L1_Word</group>
      <groupName>字词问题</groupName>
      <ability>L2_Typo</ability>
      <abilityName>字词错误</abilityName>
      <candidateList>
        <item>聚集</item>
      </candidateList>
      <explain/>
      <paraID>40282DB0</paraID>
      <start>13</start>
      <end>15</end>
      <status>modified</status>
      <modifiedWord>聚集</modifiedWord>
      <trackRevisions>false</trackRevisions>
    </reviewItem>
    <reviewItem>
      <errorID>25553f75-5032-480c-9618-7be91b7ca4f0</errorID>
      <errorWord>惊扰</errorWord>
      <group>L1_Word</group>
      <groupName>字词问题</groupName>
      <ability>L2_Typo</ability>
      <abilityName>字词错误</abilityName>
      <candidateList>
        <item>干扰</item>
      </candidateList>
      <explain/>
      <paraID>2654DE76</paraID>
      <start>418</start>
      <end>420</end>
      <status>ignored</status>
      <modifiedWord/>
      <trackRevisions>false</trackRevisions>
    </reviewItem>
    <reviewItem>
      <errorID>a844cb1c-19c6-48ed-83a5-4c48097549b3</errorID>
      <errorWord>（</errorWord>
      <group>L1_Punc</group>
      <groupName>标点问题</groupName>
      <ability>L2_Punc</ability>
      <abilityName>标点符号检查</abilityName>
      <candidateList/>
      <explain>同一形式括号套用。</explain>
      <paraID>2CEF6BFE</paraID>
      <start>193</start>
      <end>194</end>
      <status>ignored</status>
      <modifiedWord/>
      <trackRevisions>false</trackRevisions>
    </reviewItem>
    <reviewItem>
      <errorID>aa11c9d0-e08a-4c6c-ba2f-d03f5bf129f1</errorID>
      <errorWord>）</errorWord>
      <group>L1_Punc</group>
      <groupName>标点问题</groupName>
      <ability>L2_Punc</ability>
      <abilityName>标点符号检查</abilityName>
      <candidateList/>
      <explain>同一形式括号套用。</explain>
      <paraID>2CEF6BFE</paraID>
      <start>196</start>
      <end>197</end>
      <status>ignored</status>
      <modifiedWord/>
      <trackRevisions>false</trackRevisions>
    </reviewItem>
    <reviewItem>
      <errorID>2923bec1-00c7-4ad9-8372-18c27733533a</errorID>
      <errorWord>过敏源</errorWord>
      <group>L1_Knowledge</group>
      <groupName>知识性问题</groupName>
      <ability>L2_Term</ability>
      <abilityName>专业术语</abilityName>
      <candidateList>
        <item>变应原</item>
      </candidateList>
      <explain>医学名词[过敏源]为不规范表述或旧称，其规范书面表述为[变应原]。</explain>
      <paraID>780EC716</paraID>
      <start>80</start>
      <end>83</end>
      <status>ignored</status>
      <modifiedWord/>
      <trackRevisions>false</trackRevisions>
    </reviewItem>
    <reviewItem>
      <errorID>5b94c7f1-446c-4cf0-8c2f-5f47b9998c85</errorID>
      <errorWord>化感</errorWord>
      <group>L1_Word</group>
      <groupName>字词问题</groupName>
      <ability>L2_Typo</ability>
      <abilityName>字词错误</abilityName>
      <candidateList>
        <item>化学</item>
      </candidateList>
      <explain/>
      <paraID>780EC716</paraID>
      <start>100</start>
      <end>102</end>
      <status>ignored</status>
      <modifiedWord/>
      <trackRevisions>false</trackRevisions>
    </reviewItem>
    <reviewItem>
      <errorID>a0cf4694-e1ba-4eef-8b2e-0a9932e1d2a0</errorID>
      <errorWord>实施后</errorWord>
      <group>L1_Word</group>
      <groupName>字词问题</groupName>
      <ability>L2_Typo</ability>
      <abilityName>字词错误</abilityName>
      <candidateList>
        <item>实施</item>
      </candidateList>
      <explain>〈动〉实行（法令、政策等）：付诸～｜～细则｜～新的办法。</explain>
      <paraID>126D3217</paraID>
      <start>5</start>
      <end>7</end>
      <status>modified</status>
      <modifiedWord>实施</modifiedWord>
      <trackRevisions>false</trackRevisions>
    </reviewItem>
    <reviewItem>
      <errorID>200f2e79-8668-4598-8f1a-d673703b33d3</errorID>
      <errorWord>减小</errorWord>
      <group>L1_Word</group>
      <groupName>字词问题</groupName>
      <ability>L2_Typo</ability>
      <abilityName>字词错误</abilityName>
      <candidateList>
        <item>减少</item>
      </candidateList>
      <explain>存在字形相近字词的误用。</explain>
      <paraID>373BDD06</paraID>
      <start>26</start>
      <end>28</end>
      <status>modified</status>
      <modifiedWord>减少</modifiedWord>
      <trackRevisions>false</trackRevisions>
    </reviewItem>
    <reviewItem>
      <errorID>6aa9ba96-5f6e-465a-89f7-470ad96e6e7c</errorID>
      <errorWord>聚性</errorWord>
      <group>L1_Word</group>
      <groupName>字词问题</groupName>
      <ability>L2_Typo</ability>
      <abilityName>字词错误</abilityName>
      <candidateList>
        <item>聚集</item>
      </candidateList>
      <explain/>
      <paraID>4E0652DF</paraID>
      <start>6</start>
      <end>8</end>
      <status>modified</status>
      <modifiedWord>聚集</modifiedWord>
      <trackRevisions>false</trackRevisions>
    </reviewItem>
    <reviewItem>
      <errorID>ca5b0077-54e1-47e8-98f7-fe4b66e1fb44</errorID>
      <errorWord>临近</errorWord>
      <group>L1_Word</group>
      <groupName>字词问题</groupName>
      <ability>L2_Typo</ability>
      <abilityName>字词错误</abilityName>
      <candidateList>
        <item>邻近</item>
      </candidateList>
      <explain>❶〈动〉位置接近：～边界｜我国东部跟朝鲜接壤，跟日本～。❷〈名〉附近：学校～有文化馆｜～的一家姓赵的搬走了。</explain>
      <paraID>4E0652DF</paraID>
      <start>20</start>
      <end>22</end>
      <status>modified</status>
      <modifiedWord>邻近</modifiedWord>
      <trackRevisions>false</trackRevisions>
    </reviewItem>
    <reviewItem>
      <errorID>d61cd881-ffeb-4846-b06a-1a8d1271babd</errorID>
      <errorWord>废弃物流</errorWord>
      <group>L1_Word</group>
      <groupName>字词问题</groupName>
      <ability>L2_Typo</ability>
      <abilityName>字词错误</abilityName>
      <candidateList>
        <item>废弃物</item>
      </candidateList>
      <explain/>
      <paraID>2DD67C3D</paraID>
      <start>59</start>
      <end>62</end>
      <status>modified</status>
      <modifiedWord>废弃物</modifiedWord>
      <trackRevisions>false</trackRevisions>
    </reviewItem>
    <reviewItem>
      <errorID>8670e393-2e52-4e8e-b6ce-29e2da570f2b</errorID>
      <errorWord>（</errorWord>
      <group>L1_Format</group>
      <groupName>格式问题</groupName>
      <ability>L2_HalfPunc</ability>
      <abilityName>全半角检查</abilityName>
      <candidateList>
        <item>(</item>
      </candidateList>
      <explain>文本全半角错误。</explain>
      <paraID> D3583B0</paraID>
      <start>14</start>
      <end>15</end>
      <status>ignored</status>
      <modifiedWord/>
      <trackRevisions>false</trackRevisions>
    </reviewItem>
    <reviewItem>
      <errorID>ba0d4301-6c9b-4677-8e8e-f7db3e0c5c6e</errorID>
      <errorWord>）</errorWord>
      <group>L1_Format</group>
      <groupName>格式问题</groupName>
      <ability>L2_HalfPunc</ability>
      <abilityName>全半角检查</abilityName>
      <candidateList>
        <item>)</item>
      </candidateList>
      <explain>文本全半角错误。</explain>
      <paraID> D3583B0</paraID>
      <start>18</start>
      <end>19</end>
      <status>ignored</status>
      <modifiedWord/>
      <trackRevisions>false</trackRevisions>
    </reviewItem>
    <reviewItem>
      <errorID>dbbd396f-7977-435b-9da4-77bb2569edc5</errorID>
      <errorWord>（</errorWord>
      <group>L1_Format</group>
      <groupName>格式问题</groupName>
      <ability>L2_HalfPunc</ability>
      <abilityName>全半角检查</abilityName>
      <candidateList>
        <item>(</item>
      </candidateList>
      <explain>文本全半角错误。</explain>
      <paraID> D3583B0</paraID>
      <start>26</start>
      <end>27</end>
      <status>ignored</status>
      <modifiedWord/>
      <trackRevisions>false</trackRevisions>
    </reviewItem>
    <reviewItem>
      <errorID>a0626040-8e71-4246-a0e7-a755430f2149</errorID>
      <errorWord>）</errorWord>
      <group>L1_Format</group>
      <groupName>格式问题</groupName>
      <ability>L2_HalfPunc</ability>
      <abilityName>全半角检查</abilityName>
      <candidateList>
        <item>)</item>
      </candidateList>
      <explain>文本全半角错误。</explain>
      <paraID> D3583B0</paraID>
      <start>32</start>
      <end>33</end>
      <status>ignored</status>
      <modifiedWord/>
      <trackRevisions>false</trackRevisions>
    </reviewItem>
    <reviewItem>
      <errorID>3732e168-811d-4f0b-80c9-6a5a7581b21c</errorID>
      <errorWord>指在</errorWord>
      <group>L1_Word</group>
      <groupName>字词问题</groupName>
      <ability>L2_Typo</ability>
      <abilityName>字词错误</abilityName>
      <candidateList>
        <item>指</item>
      </candidateList>
      <explain>❶〈名〉手指头：食～｜五～｜屈～｜首屈一～。❷〈量〉一个手指头的宽度叫“一指”，用来计算深浅宽窄等：下了三～雨｜这双鞋大了一～｜两～宽的纸条。❸〈动〉（手指头、物体尖端）对着；向着：用手一～｜时针正～十二点。❹（头发）直立：发～。❺〈动〉指点：～导｜～示｜～出正确方向｜有问题请您～出来。❻〈动〉意思上指着：这不是～你说的，是～他的。❼〈动〉指望；依靠：～靠｜单～着一个人是不能把事情做好的。</explain>
      <paraID>3CB0E370</paraID>
      <start>59</start>
      <end>60</end>
      <status>modified</status>
      <modifiedWord>指</modifiedWord>
      <trackRevisions>false</trackRevisions>
    </reviewItem>
    <reviewItem>
      <errorID>65a4e82a-996e-48ea-80c6-823b443e07f5</errorID>
      <errorWord>国民生产总值（GDP）</errorWord>
      <group>L1_Word</group>
      <groupName>字词问题</groupName>
      <ability>L2_Typo</ability>
      <abilityName>字词错误</abilityName>
      <candidateList>
        <item>国内生产总值（GDP）</item>
      </candidateList>
      <explain/>
      <paraID>7B9D6825</paraID>
      <start>27</start>
      <end>38</end>
      <status>modified</status>
      <modifiedWord>国内生产总值（GDP）</modifiedWord>
      <trackRevisions>false</trackRevisions>
    </reviewItem>
    <reviewItem>
      <errorID>422ced1b-3640-4fca-a8bd-0cf6d00f9405</errorID>
      <errorWord>（</errorWord>
      <group>L1_Format</group>
      <groupName>格式问题</groupName>
      <ability>L2_HalfPunc</ability>
      <abilityName>全半角检查</abilityName>
      <candidateList>
        <item>(</item>
      </candidateList>
      <explain>文本全半角错误。</explain>
      <paraID>3216468D</paraID>
      <start>0</start>
      <end>1</end>
      <status>ignored</status>
      <modifiedWord/>
      <trackRevisions>false</trackRevisions>
    </reviewItem>
    <reviewItem>
      <errorID>1a18c43e-4e8e-4aa1-8cf7-96b158b82867</errorID>
      <errorWord>）</errorWord>
      <group>L1_Format</group>
      <groupName>格式问题</groupName>
      <ability>L2_HalfPunc</ability>
      <abilityName>全半角检查</abilityName>
      <candidateList>
        <item>)</item>
      </candidateList>
      <explain>文本全半角错误。</explain>
      <paraID>3216468D</paraID>
      <start>4</start>
      <end>5</end>
      <status>ignored</status>
      <modifiedWord/>
      <trackRevisions>false</trackRevisions>
    </reviewItem>
    <reviewItem>
      <errorID>caeee8c5-97b3-4e90-82c6-dd9cbc18f494</errorID>
      <errorWord>的生</errorWord>
      <group>L1_Word</group>
      <groupName>字词问题</groupName>
      <ability>L2_Typo</ability>
      <abilityName>字词错误</abilityName>
      <candidateList>
        <item>对生</item>
      </candidateList>
      <explain/>
      <paraID>4C47F2CE</paraID>
      <start>50</start>
      <end>52</end>
      <status>ignored</status>
      <modifiedWord/>
      <trackRevisions>false</trackRevisions>
    </reviewItem>
    <reviewItem>
      <errorID>72dfed74-b16f-4444-9e6a-68f59908d87a</errorID>
      <errorWord>（</errorWord>
      <group>L1_Format</group>
      <groupName>格式问题</groupName>
      <ability>L2_HalfPunc</ability>
      <abilityName>全半角检查</abilityName>
      <candidateList>
        <item>(</item>
      </candidateList>
      <explain>文本全半角错误。</explain>
      <paraID>35CF8759</paraID>
      <start>0</start>
      <end>1</end>
      <status>ignored</status>
      <modifiedWord/>
      <trackRevisions>false</trackRevisions>
    </reviewItem>
    <reviewItem>
      <errorID>aa178a39-3d2f-46d4-bccf-19d349c9c796</errorID>
      <errorWord>）</errorWord>
      <group>L1_Format</group>
      <groupName>格式问题</groupName>
      <ability>L2_HalfPunc</ability>
      <abilityName>全半角检查</abilityName>
      <candidateList>
        <item>)</item>
      </candidateList>
      <explain>文本全半角错误。</explain>
      <paraID>35CF8759</paraID>
      <start>4</start>
      <end>5</end>
      <status>ignored</status>
      <modifiedWord/>
      <trackRevisions>false</trackRevisions>
    </reviewItem>
    <reviewItem>
      <errorID>8ceabd1f-bda7-4c84-b3cb-48bb083c543b</errorID>
      <errorWord>城镇融合发展</errorWord>
      <group>L1_Political</group>
      <groupName>政治性问题</groupName>
      <ability>L2_Keyword</ability>
      <abilityName>固定表述</abilityName>
      <candidateList>
        <item>城乡融合发展</item>
      </candidateList>
      <explain>词汇“城乡融合发展”在特定场景下为固定表述形式，请确认此处的“城镇融合发展”是否存在不当。</explain>
      <paraID> 38E9A9A</paraID>
      <start>60</start>
      <end>66</end>
      <status>ignored</status>
      <modifiedWord/>
      <trackRevisions>false</trackRevisions>
    </reviewItem>
    <reviewItem>
      <errorID>14704cb9-00a9-4f06-9ff6-5a014084e807</errorID>
      <errorWord>"</errorWord>
      <group>L1_Format</group>
      <groupName>格式问题</groupName>
      <ability>L2_HalfPunc</ability>
      <abilityName>全半角检查</abilityName>
      <candidateList>
        <item>“</item>
      </candidateList>
      <explain>文本全半角错误。</explain>
      <paraID> 38E9A9A</paraID>
      <start>199</start>
      <end>200</end>
      <status>modified</status>
      <modifiedWord>“</modifiedWord>
      <trackRevisions>false</trackRevisions>
    </reviewItem>
    <reviewItem>
      <errorID>6b5a4d27-c6ac-434b-a6e9-503e61c46a3c</errorID>
      <errorWord>"</errorWord>
      <group>L1_Format</group>
      <groupName>格式问题</groupName>
      <ability>L2_HalfPunc</ability>
      <abilityName>全半角检查</abilityName>
      <candidateList>
        <item>”</item>
      </candidateList>
      <explain>文本全半角错误。</explain>
      <paraID> 38E9A9A</paraID>
      <start>209</start>
      <end>210</end>
      <status>modified</status>
      <modifiedWord>”</modifiedWord>
      <trackRevisions>false</trackRevisions>
    </reviewItem>
    <reviewItem>
      <errorID>decbf717-46f4-4e78-8548-a7eaf6e27e2e</errorID>
      <errorWord>、</errorWord>
      <group>L1_Word</group>
      <groupName>字词问题</groupName>
      <ability>L2_Typo</ability>
      <abilityName>字词错误</abilityName>
      <candidateList>
        <item>、水</item>
      </candidateList>
      <explain/>
      <paraID>4B09E79D</paraID>
      <start>14</start>
      <end>16</end>
      <status>modified</status>
      <modifiedWord>、水</modifiedWord>
      <trackRevisions>false</trackRevisions>
    </reviewItem>
    <reviewItem>
      <errorID>018730c8-e97a-442f-af20-32401c8aa4c4</errorID>
      <errorWord>区区</errorWord>
      <group>L1_Word</group>
      <groupName>字词问题</groupName>
      <ability>L2_Typo</ability>
      <abilityName>字词错误</abilityName>
      <candidateList>
        <item>区</item>
      </candidateList>
      <explain>（區）qū❶区别；划分：～分。❷地区；区域：山～｜市～｜解放～｜工业～｜风景～。❸〈名〉行政区划单位，如自治区、市辖区、县辖区等。</explain>
      <paraID> 27D9B9E</paraID>
      <start>136</start>
      <end>137</end>
      <status>modified</status>
      <modifiedWord>区</modifiedWord>
      <trackRevisions>false</trackRevisions>
    </reviewItem>
    <reviewItem>
      <errorID>59ad437f-4ecb-4c90-8bd4-68918addffd2</errorID>
      <errorWord>的生</errorWord>
      <group>L1_Word</group>
      <groupName>字词问题</groupName>
      <ability>L2_Typo</ability>
      <abilityName>字词错误</abilityName>
      <candidateList>
        <item>对生</item>
      </candidateList>
      <explain/>
      <paraID>19827CC0</paraID>
      <start>61</start>
      <end>63</end>
      <status>ignored</status>
      <modifiedWord/>
      <trackRevisions>false</trackRevisions>
    </reviewItem>
    <reviewItem>
      <errorID>074e5cc8-640b-4601-b603-d92f070fc1f4</errorID>
      <errorWord>相结合</errorWord>
      <group>L1_Word</group>
      <groupName>字词问题</groupName>
      <ability>L2_Typo</ability>
      <abilityName>字词错误</abilityName>
      <candidateList>
        <item>结合</item>
      </candidateList>
      <explain/>
      <paraID>5BF2A535</paraID>
      <start>193</start>
      <end>195</end>
      <status>modified</status>
      <modifiedWord>结合</modifiedWord>
      <trackRevisions>false</trackRevisions>
    </reviewItem>
    <reviewItem>
      <errorID>d54d3b0a-a916-414b-b7f6-cafc587cb6df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3B2E6E02</paraID>
      <start>67</start>
      <end>69</end>
      <status>modified</status>
      <modifiedWord>”“</modifiedWord>
      <trackRevisions>false</trackRevisions>
    </reviewItem>
    <reviewItem>
      <errorID>93184fb8-f2ec-440d-b639-a9d66f51241f</errorID>
      <errorWord>，，</errorWord>
      <group>L1_Punc</group>
      <groupName>标点问题</groupName>
      <ability>L2_Punc</ability>
      <abilityName>标点符号检查</abilityName>
      <candidateList>
        <item>，</item>
      </candidateList>
      <explain/>
      <paraID>6646B583</paraID>
      <start>122</start>
      <end>123</end>
      <status>modified</status>
      <modifiedWord>，</modifiedWord>
      <trackRevisions>false</trackRevisions>
    </reviewItem>
    <reviewItem>
      <errorID>2bdc92db-a357-4822-89f9-c156a1b8db46</errorID>
      <errorWord>规划水域</errorWord>
      <group>L1_Knowledge</group>
      <groupName>知识性问题</groupName>
      <ability>L2_Term</ability>
      <abilityName>专业术语</abilityName>
      <candidateList>
        <item>规划区域</item>
      </candidateList>
      <explain/>
      <paraID>1BD35081</paraID>
      <start>7</start>
      <end>11</end>
      <status>ignored</status>
      <modifiedWord/>
      <trackRevisions>false</trackRevisions>
    </reviewItem>
    <reviewItem>
      <errorID>40f81010-23f3-4621-a9bd-9cdb6b78ab12</errorID>
      <errorWord>大大</errorWord>
      <group>L1_Word</group>
      <groupName>字词问题</groupName>
      <ability>L2_Typo</ability>
      <abilityName>字词错误</abilityName>
      <candidateList>
        <item>大幅</item>
      </candidateList>
      <explain>“大大～提升”搭配不当，建议修改为“大幅～提升”。</explain>
      <paraID>4401C1BD</paraID>
      <start>94</start>
      <end>96</end>
      <status>modified</status>
      <modifiedWord>大幅</modifiedWord>
      <trackRevisions>false</trackRevisions>
    </reviewItem>
    <reviewItem>
      <errorID>68e63486-e9e1-4657-b075-e98f79d819a4</errorID>
      <errorWord>，</errorWord>
      <group>L1_Word</group>
      <groupName>字词问题</groupName>
      <ability>L2_Typo</ability>
      <abilityName>字词错误</abilityName>
      <candidateList>
        <item>，在</item>
      </candidateList>
      <explain/>
      <paraID>6123DC3B</paraID>
      <start>76</start>
      <end>78</end>
      <status>modified</status>
      <modifiedWord>，在</modifiedWord>
      <trackRevisions>false</trackRevisions>
    </reviewItem>
    <reviewItem>
      <errorID>d507a5f9-5ed4-4e03-a64f-8b2eca4831aa</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4859C235</paraID>
      <start>16</start>
      <end>17</end>
      <status>modified</status>
      <modifiedWord>地</modifiedWord>
      <trackRevisions>false</trackRevisions>
    </reviewItem>
    <reviewItem>
      <errorID>0ca8dd8d-578d-4728-80f6-427f5a39c875</errorID>
      <errorWord>见</errorWord>
      <group>L1_Word</group>
      <groupName>字词问题</groupName>
      <ability>L2_Typo</ability>
      <abilityName>字词错误</abilityName>
      <candidateList>
        <item>见下</item>
      </candidateList>
      <explain/>
      <paraID>74A02630</paraID>
      <start>17</start>
      <end>18</end>
      <status>ignored</status>
      <modifiedWord/>
      <trackRevisions>false</trackRevisions>
    </reviewItem>
    <reviewItem>
      <errorID>dcccee40-5600-49bf-aff4-4b977a376ecc</errorID>
      <errorWord>，至</errorWord>
      <group>L1_Word</group>
      <groupName>字词问题</groupName>
      <ability>L2_Typo</ability>
      <abilityName>字词错误</abilityName>
      <candidateList>
        <item>，</item>
      </candidateList>
      <explain/>
      <paraID>74A02630</paraID>
      <start>41</start>
      <end>42</end>
      <status>modified</status>
      <modifiedWord>，</modifiedWord>
      <trackRevisions>false</trackRevisions>
    </reviewItem>
    <reviewItem>
      <errorID>41464000-742f-433f-ac21-f2f269843bc3</errorID>
      <errorWord>用地用地</errorWord>
      <group>L1_Word</group>
      <groupName>字词问题</groupName>
      <ability>L2_Typo</ability>
      <abilityName>字词错误</abilityName>
      <candidateList>
        <item>用地</item>
      </candidateList>
      <explain/>
      <paraID>256D63B8</paraID>
      <start>11</start>
      <end>13</end>
      <status>modified</status>
      <modifiedWord>用地</modifiedWord>
      <trackRevisions>false</trackRevisions>
    </reviewItem>
    <reviewItem>
      <errorID>7e9dc195-9b8c-4f28-81c1-74bd638fb218</errorID>
      <errorWord>中</errorWord>
      <group>L1_Word</group>
      <groupName>字词问题</groupName>
      <ability>L2_Typo</ability>
      <abilityName>字词错误</abilityName>
      <candidateList>
        <item>中于</item>
      </candidateList>
      <explain/>
      <paraID>5E09BDDD</paraID>
      <start>98</start>
      <end>100</end>
      <status>modified</status>
      <modifiedWord>中于</modifiedWord>
      <trackRevisions>false</trackRevisions>
    </reviewItem>
    <reviewItem>
      <errorID>173fdc7f-4a1d-43e5-8497-4462f51a4993</errorID>
      <errorWord>谐调</errorWord>
      <group>L1_Word</group>
      <groupName>字词问题</groupName>
      <ability>L2_Typo</ability>
      <abilityName>字词错误</abilityName>
      <candidateList>
        <item>协调</item>
      </candidateList>
      <explain>❶〈形〉配合得适当：色彩～｜动作～。❷〈动〉使配合得适当：～产销关系。</explain>
      <paraID>68FEA0FB</paraID>
      <start>60</start>
      <end>62</end>
      <status>modified</status>
      <modifiedWord>协调</modifiedWord>
      <trackRevisions>false</trackRevisions>
    </reviewItem>
    <reviewItem>
      <errorID>6c273a85-4301-4037-905e-671250cefaa9</errorID>
      <errorWord>III类</errorWord>
      <group>L1_Knowledge</group>
      <groupName>知识性问题</groupName>
      <ability>L2_Knowledge</ability>
      <abilityName>其他知识</abilityName>
      <candidateList>
        <item>Ⅲ类</item>
      </candidateList>
      <explain/>
      <paraID>7347AF85</paraID>
      <start>8</start>
      <end>12</end>
      <status>ignored</status>
      <modifiedWord/>
      <trackRevisions>false</trackRevisions>
    </reviewItem>
    <reviewItem>
      <errorID>225c71a2-0ae4-4347-a550-f0d7a0be2c1a</errorID>
      <errorWord>III类</errorWord>
      <group>L1_Knowledge</group>
      <groupName>知识性问题</groupName>
      <ability>L2_Knowledge</ability>
      <abilityName>其他知识</abilityName>
      <candidateList>
        <item>Ⅲ类</item>
      </candidateList>
      <explain/>
      <paraID>31E814E6</paraID>
      <start>36</start>
      <end>40</end>
      <status>ignored</status>
      <modifiedWord/>
      <trackRevisions>false</trackRevisions>
    </reviewItem>
    <reviewItem>
      <errorID>b4bcf373-e98a-4e9d-b06e-5e3843e67bc4</errorID>
      <errorWord>，</errorWord>
      <group>L1_Word</group>
      <groupName>字词问题</groupName>
      <ability>L2_Typo</ability>
      <abilityName>字词错误</abilityName>
      <candidateList>
        <item>，在</item>
      </candidateList>
      <explain/>
      <paraID> 73C7B1F</paraID>
      <start>28</start>
      <end>30</end>
      <status>modified</status>
      <modifiedWord>，在</modifiedWord>
      <trackRevisions>false</trackRevisions>
    </reviewItem>
    <reviewItem>
      <errorID>91a23a92-e143-44fe-b217-10233627e317</errorID>
      <errorWord>达</errorWord>
      <group>L1_Word</group>
      <groupName>字词问题</groupName>
      <ability>L2_Typo</ability>
      <abilityName>字词错误</abilityName>
      <candidateList>
        <item>达到</item>
      </candidateList>
      <explain>〈动〉到（多指抽象事物或程度）：达得到｜达不到｜目的没有～｜～国际水平。</explain>
      <paraID>130226FC</paraID>
      <start>49</start>
      <end>51</end>
      <status>modified</status>
      <modifiedWord>达到</modifiedWord>
      <trackRevisions>false</trackRevisions>
    </reviewItem>
    <reviewItem>
      <errorID>ac1bc3fd-31ba-49b7-bb8c-5a4900517c29</errorID>
      <errorWord>需</errorWord>
      <group>L1_Word</group>
      <groupName>字词问题</groupName>
      <ability>L2_Typo</ability>
      <abilityName>字词错误</abilityName>
      <candidateList>
        <item>需要</item>
      </candidateList>
      <explain>❶〈动〉应该有或必须有：我们～一支强大的科学技术队伍。❷〈名〉对事物的欲望或要求：从群众的～出发。</explain>
      <paraID> 45604CE</paraID>
      <start>34</start>
      <end>36</end>
      <status>modified</status>
      <modifiedWord>需要</modifiedWord>
      <trackRevisions>false</trackRevisions>
    </reviewItem>
    <reviewItem>
      <errorID>9db5415a-f22c-4d05-aa31-93d1ba723e8d</errorID>
      <errorWord>加强</errorWord>
      <group>L1_Word</group>
      <groupName>字词问题</groupName>
      <ability>L2_Typo</ability>
      <abilityName>字词错误</abilityName>
      <candidateList>
        <item>加大</item>
      </candidateList>
      <explain>“加强～力度”搭配不当，建议修改为“加大～力度”。</explain>
      <paraID>1B07B502</paraID>
      <start>44</start>
      <end>46</end>
      <status>modified</status>
      <modifiedWord>加大</modifiedWord>
      <trackRevisions>false</trackRevisions>
    </reviewItem>
    <reviewItem>
      <errorID>0ae1387c-c72b-430f-a306-5bcfb8d056aa</errorID>
      <errorWord>提高</errorWord>
      <group>L1_Word</group>
      <groupName>字词问题</groupName>
      <ability>L2_Typo</ability>
      <abilityName>字词错误</abilityName>
      <candidateList>
        <item>增强</item>
      </candidateList>
      <explain>“提高～意识”搭配不当，建议修改为“增强～意识”。</explain>
      <paraID> 3D2E0E4</paraID>
      <start>111</start>
      <end>113</end>
      <status>modified</status>
      <modifiedWord>增强</modifiedWord>
      <trackRevisions>false</trackRevisions>
    </reviewItem>
    <reviewItem>
      <errorID>f8cdfb52-fc8f-45ad-aa72-16dfc9aca340</errorID>
      <errorWord>物资</errorWord>
      <group>L1_Word</group>
      <groupName>字词问题</groupName>
      <ability>L2_Typo</ability>
      <abilityName>字词错误</abilityName>
      <candidateList>
        <item>补给</item>
      </candidateList>
      <explain>“物资～能力”搭配不当，建议修改为“补给～能力”。</explain>
      <paraID>7A1233CC</paraID>
      <start>213</start>
      <end>215</end>
      <status>ignored</status>
      <modifiedWord/>
      <trackRevisions>false</trackRevisions>
    </reviewItem>
    <reviewItem>
      <errorID>25d490f2-40f3-4070-844c-a10d26cb5608</errorID>
      <errorWord>需</errorWord>
      <group>L1_Word</group>
      <groupName>字词问题</groupName>
      <ability>L2_Typo</ability>
      <abilityName>字词错误</abilityName>
      <candidateList>
        <item>需要</item>
      </candidateList>
      <explain>❶〈动〉应该有或必须有：我们～一支强大的科学技术队伍。❷〈名〉对事物的欲望或要求：从群众的～出发。</explain>
      <paraID>72B78D71</paraID>
      <start>324</start>
      <end>326</end>
      <status>modified</status>
      <modifiedWord>需要</modifiedWord>
      <trackRevisions>false</trackRevisions>
    </reviewItem>
    <reviewItem>
      <errorID>a83932c9-57bc-42e1-8669-8000cd50728a</errorID>
      <errorWord>（</errorWord>
      <group>L1_Punc</group>
      <groupName>标点问题</groupName>
      <ability>L2_Punc</ability>
      <abilityName>标点符号检查</abilityName>
      <candidateList/>
      <explain/>
      <paraID>534291E6</paraID>
      <start>23</start>
      <end>24</end>
      <status>ignored</status>
      <modifiedWord/>
      <trackRevisions>false</trackRevisions>
    </reviewItem>
    <reviewItem>
      <errorID>ef6d993b-1e99-4d37-8798-a35944ddd0f3</errorID>
      <errorWord>，</errorWord>
      <group>L1_Word</group>
      <groupName>字词问题</groupName>
      <ability>L2_Typo</ability>
      <abilityName>字词错误</abilityName>
      <candidateList>
        <item>，有</item>
      </candidateList>
      <explain/>
      <paraID> F9AB302</paraID>
      <start>40</start>
      <end>42</end>
      <status>modified</status>
      <modifiedWord>，有</modifiedWord>
      <trackRevisions>false</trackRevisions>
    </reviewItem>
    <reviewItem>
      <errorID>447b2922-339c-4664-ad70-ccb2c54d9aff</errorID>
      <errorWord>压埋</errorWord>
      <group>L1_Word</group>
      <groupName>字词问题</groupName>
      <ability>L2_Typo</ability>
      <abilityName>字词错误</abilityName>
      <candidateList>
        <item>掩埋</item>
      </candidateList>
      <explain/>
      <paraID>6CC941DC</paraID>
      <start>45</start>
      <end>47</end>
      <status>modified</status>
      <modifiedWord>掩埋</modifiedWord>
      <trackRevisions>false</trackRevisions>
    </reviewItem>
    <reviewItem>
      <errorID>54032078-cf2a-4d4d-943d-14dca93db45b</errorID>
      <errorWord>持续性</errorWord>
      <group>L1_Word</group>
      <groupName>字词问题</groupName>
      <ability>L2_Typo</ability>
      <abilityName>字词错误</abilityName>
      <candidateList>
        <item>持续</item>
      </candidateList>
      <explain/>
      <paraID>51CB3623</paraID>
      <start>58</start>
      <end>60</end>
      <status>modified</status>
      <modifiedWord>持续</modifiedWord>
      <trackRevisions>false</trackRevisions>
    </reviewItem>
    <reviewItem>
      <errorID>314f80ba-5d26-487d-9fcc-03b6e2d19066</errorID>
      <errorWord>低污染防治</errorWord>
      <group>L1_Knowledge</group>
      <groupName>知识性问题</groupName>
      <ability>L2_Term</ability>
      <abilityName>专业术语</abilityName>
      <candidateList>
        <item>水污染防治</item>
      </candidateList>
      <explain/>
      <paraID>33F12603</paraID>
      <start>23</start>
      <end>28</end>
      <status>ignored</status>
      <modifiedWord/>
      <trackRevisions>false</trackRevisions>
    </reviewItem>
    <reviewItem>
      <errorID>7424ea35-7815-4e99-8e6f-38dd38722319</errorID>
      <errorWord>、</errorWord>
      <group>L1_Word</group>
      <groupName>字词问题</groupName>
      <ability>L2_Typo</ability>
      <abilityName>字词错误</abilityName>
      <candidateList>
        <item>、在</item>
      </candidateList>
      <explain/>
      <paraID>44465061</paraID>
      <start>43</start>
      <end>44</end>
      <status>ignored</status>
      <modifiedWord/>
      <trackRevisions>false</trackRevisions>
    </reviewItem>
    <reviewItem>
      <errorID>5b775807-53df-4df1-be8d-d431f0a5d4e2</errorID>
      <errorWord>垫料</errorWord>
      <group>L1_Word</group>
      <groupName>字词问题</groupName>
      <ability>L2_Typo</ability>
      <abilityName>字词错误</abilityName>
      <candidateList>
        <item>饲料</item>
      </candidateList>
      <explain/>
      <paraID> 24A788A</paraID>
      <start>89</start>
      <end>91</end>
      <status>ignored</status>
      <modifiedWord/>
      <trackRevisions>false</trackRevisions>
    </reviewItem>
    <reviewItem>
      <errorID>5d166847-f05e-40f6-9e63-1dfc301313a5</errorID>
      <errorWord>涉及</errorWord>
      <group>L1_Word</group>
      <groupName>字词问题</groupName>
      <ability>L2_Typo</ability>
      <abilityName>字词错误</abilityName>
      <candidateList>
        <item>设计</item>
      </candidateList>
      <explain>❶〈动〉在正式做某项工作之前，根据一定的目的要求，预先制定方法、图样等：～师｜～图纸。❷〈名〉设计的方案或规划的蓝图等：那两项～已经完成。</explain>
      <paraID>74408143</paraID>
      <start>11</start>
      <end>13</end>
      <status>modified</status>
      <modifiedWord>设计</modifiedWord>
      <trackRevisions>false</trackRevisions>
    </reviewItem>
    <reviewItem>
      <errorID>e278c71b-1567-49d2-9f0f-310cba2c6690</errorID>
      <errorWord>减小</errorWord>
      <group>L1_Word</group>
      <groupName>字词问题</groupName>
      <ability>L2_Typo</ability>
      <abilityName>字词错误</abilityName>
      <candidateList>
        <item>减少</item>
      </candidateList>
      <explain>〈动〉减去一部分：～人员｜～麻烦｜工作中的缺点～了。</explain>
      <paraID>432DA0F5</paraID>
      <start>103</start>
      <end>105</end>
      <status>modified</status>
      <modifiedWord>减少</modifiedWord>
      <trackRevisions>false</trackRevisions>
    </reviewItem>
    <reviewItem>
      <errorID>ecb6ffb0-910c-4df1-a698-f905ca2c477b</errorID>
      <errorWord>减振</errorWord>
      <group>L1_Word</group>
      <groupName>字词问题</groupName>
      <ability>L2_Typo</ability>
      <abilityName>字词错误</abilityName>
      <candidateList>
        <item>减震</item>
      </candidateList>
      <explain/>
      <paraID>2500809E</paraID>
      <start>293</start>
      <end>295</end>
      <status>modified</status>
      <modifiedWord>减震</modifiedWord>
      <trackRevisions>false</trackRevisions>
    </reviewItem>
    <reviewItem>
      <errorID>8f0a5bdc-7c2f-442a-b981-b6bb4dce73ac</errorID>
      <errorWord>减低都</errorWord>
      <group>L1_Word</group>
      <groupName>字词问题</groupName>
      <ability>L2_Typo</ability>
      <abilityName>字词错误</abilityName>
      <candidateList>
        <item>减低</item>
      </candidateList>
      <explain/>
      <paraID>2500809E</paraID>
      <start>300</start>
      <end>302</end>
      <status>modified</status>
      <modifiedWord>减低</modifiedWord>
      <trackRevisions>false</trackRevisions>
    </reviewItem>
    <reviewItem>
      <errorID>2386b839-cc89-4ae1-8d3e-3c5b80da6006</errorID>
      <errorWord>、等</errorWord>
      <group>L1_Punc</group>
      <groupName>标点问题</groupName>
      <ability>L2_Punc</ability>
      <abilityName>标点符号检查</abilityName>
      <candidateList>
        <item>等</item>
      </candidateList>
      <explain>“及”“和”“等”连词前不宜使用顿号，建议删除（或使用逗号）。</explain>
      <paraID>2500809E</paraID>
      <start>417</start>
      <end>418</end>
      <status>modified</status>
      <modifiedWord>等</modifiedWord>
      <trackRevisions>false</trackRevisions>
    </reviewItem>
    <reviewItem>
      <errorID>153860e1-1f09-4569-8547-5e6abbe25299</errorID>
      <errorWord>城乡结合部</errorWord>
      <group>L1_Knowledge</group>
      <groupName>知识性问题</groupName>
      <ability>L2_Knowledge</ability>
      <abilityName>其他知识</abilityName>
      <candidateList>
        <item>城乡接合部</item>
      </candidateList>
      <explain/>
      <paraID>25DC9CA3</paraID>
      <start>61</start>
      <end>66</end>
      <status>ignored</status>
      <modifiedWord/>
      <trackRevisions>false</trackRevisions>
    </reviewItem>
    <reviewItem>
      <errorID>f0c71c15-ca0e-4686-bdd3-f3e18b23e262</errorID>
      <errorWord>，</errorWord>
      <group>L1_Word</group>
      <groupName>字词问题</groupName>
      <ability>L2_Typo</ability>
      <abilityName>字词错误</abilityName>
      <candidateList>
        <item>，在</item>
      </candidateList>
      <explain/>
      <paraID> D49ED56</paraID>
      <start>38</start>
      <end>40</end>
      <status>modified</status>
      <modifiedWord>，在</modifiedWord>
      <trackRevisions>false</trackRevisions>
    </reviewItem>
    <reviewItem>
      <errorID>837da6b8-28c2-463e-b786-03b34b60d08f</errorID>
      <errorWord>垫料</errorWord>
      <group>L1_Word</group>
      <groupName>字词问题</groupName>
      <ability>L2_Typo</ability>
      <abilityName>字词错误</abilityName>
      <candidateList>
        <item>饲料</item>
      </candidateList>
      <explain/>
      <paraID>18E0D34F</paraID>
      <start>178</start>
      <end>180</end>
      <status>ignored</status>
      <modifiedWord/>
      <trackRevisions>false</trackRevisions>
    </reviewItem>
    <reviewItem>
      <errorID>a4d9584a-f1c7-403f-99a1-3fb5c3667960</errorID>
      <errorWord>，</errorWord>
      <group>L1_Word</group>
      <groupName>字词问题</groupName>
      <ability>L2_Typo</ability>
      <abilityName>字词错误</abilityName>
      <candidateList>
        <item>，在</item>
      </candidateList>
      <explain/>
      <paraID>4A540DC3</paraID>
      <start>13</start>
      <end>15</end>
      <status>modified</status>
      <modifiedWord>，在</modifiedWord>
      <trackRevisions>false</trackRevisions>
    </reviewItem>
    <reviewItem>
      <errorID>b52f2349-2d0c-45cc-89de-7438ffdef248</errorID>
      <errorWord>，</errorWord>
      <group>L1_Word</group>
      <groupName>字词问题</groupName>
      <ability>L2_Typo</ability>
      <abilityName>字词错误</abilityName>
      <candidateList>
        <item>，在</item>
      </candidateList>
      <explain/>
      <paraID>4A540DC3</paraID>
      <start>51</start>
      <end>53</end>
      <status>modified</status>
      <modifiedWord>，在</modifiedWord>
      <trackRevisions>false</trackRevisions>
    </reviewItem>
    <reviewItem>
      <errorID>42a7df25-a4af-498d-a00d-8ac48c44d132</errorID>
      <errorWord>污水厂</errorWord>
      <group>L1_Word</group>
      <groupName>字词问题</groupName>
      <ability>L2_Typo</ability>
      <abilityName>字词错误</abilityName>
      <candidateList>
        <item>污水处理厂</item>
      </candidateList>
      <explain/>
      <paraID>5640C541</paraID>
      <start>4</start>
      <end>9</end>
      <status>modified</status>
      <modifiedWord>污水处理厂</modifiedWord>
      <trackRevisions>false</trackRevisions>
    </reviewItem>
    <reviewItem>
      <errorID>315b85f3-2480-4989-aa7b-cf06dcf29232</errorID>
      <errorWord>污水厂</errorWord>
      <group>L1_Word</group>
      <groupName>字词问题</groupName>
      <ability>L2_Typo</ability>
      <abilityName>字词错误</abilityName>
      <candidateList>
        <item>污水处理厂</item>
      </candidateList>
      <explain/>
      <paraID>4825E325</paraID>
      <start>4</start>
      <end>9</end>
      <status>modified</status>
      <modifiedWord>污水处理厂</modifiedWord>
      <trackRevisions>false</trackRevisions>
    </reviewItem>
    <reviewItem>
      <errorID>dcf83290-f0a9-47d3-bb90-67d3179d1492</errorID>
      <errorWord>引用水</errorWord>
      <group>L1_Word</group>
      <groupName>字词问题</groupName>
      <ability>L2_Typo</ability>
      <abilityName>字词错误</abilityName>
      <candidateList>
        <item>饮用水</item>
      </candidateList>
      <explain>〈名〉喝的和做饭用的水。</explain>
      <paraID>7C4925E1</paraID>
      <start>3</start>
      <end>6</end>
      <status>ignored</status>
      <modifiedWord/>
      <trackRevisions>false</trackRevisions>
    </reviewItem>
    <reviewItem>
      <errorID>b78cd97f-538c-4955-94cb-c44643d8e3d0</errorID>
      <errorWord>蔥</errorWord>
      <group>L1_Word</group>
      <groupName>字词问题</groupName>
      <ability>L2_Fanti</ability>
      <abilityName>繁转简</abilityName>
      <candidateList>
        <item>葱</item>
      </candidateList>
      <explain/>
      <paraID>786379BC</paraID>
      <start>232</start>
      <end>233</end>
      <status>ignored</status>
      <modifiedWord/>
      <trackRevisions>false</trackRevisions>
    </reviewItem>
    <reviewItem>
      <errorID>4140a3ca-c061-4ca4-8c2f-024c17cd747e</errorID>
      <errorWord>蔥</errorWord>
      <group>L1_Word</group>
      <groupName>字词问题</groupName>
      <ability>L2_Fanti</ability>
      <abilityName>繁转简</abilityName>
      <candidateList>
        <item>葱</item>
      </candidateList>
      <explain/>
      <paraID>786379BC</paraID>
      <start>247</start>
      <end>248</end>
      <status>ignored</status>
      <modifiedWord/>
      <trackRevisions>false</trackRevisions>
    </reviewItem>
    <reviewItem>
      <errorID>86714c7b-9458-4e29-bf58-bf116ff24a1b</errorID>
      <errorWord>蔥</errorWord>
      <group>L1_Word</group>
      <groupName>字词问题</groupName>
      <ability>L2_Fanti</ability>
      <abilityName>繁转简</abilityName>
      <candidateList>
        <item>葱</item>
      </candidateList>
      <explain/>
      <paraID>786379BC</paraID>
      <start>255</start>
      <end>256</end>
      <status>ignored</status>
      <modifiedWord/>
      <trackRevisions>false</trackRevisions>
    </reviewItem>
    <reviewItem>
      <errorID>fccc1a0f-c4ef-4c9e-a951-1d6244d99b61</errorID>
      <errorWord>蔥</errorWord>
      <group>L1_Word</group>
      <groupName>字词问题</groupName>
      <ability>L2_Fanti</ability>
      <abilityName>繁转简</abilityName>
      <candidateList>
        <item>葱</item>
      </candidateList>
      <explain/>
      <paraID>786379BC</paraID>
      <start>267</start>
      <end>268</end>
      <status>ignored</status>
      <modifiedWord/>
      <trackRevisions>false</trackRevisions>
    </reviewItem>
    <reviewItem>
      <errorID>860ced8f-6831-4d2a-a7d3-be21d2fc47e9</errorID>
      <errorWord>（</errorWord>
      <group>L1_Punc</group>
      <groupName>标点问题</groupName>
      <ability>L2_Punc</ability>
      <abilityName>标点符号检查</abilityName>
      <candidateList/>
      <explain>同一形式括号套用。</explain>
      <paraID> D0C7A16</paraID>
      <start>192</start>
      <end>193</end>
      <status>ignored</status>
      <modifiedWord/>
      <trackRevisions>false</trackRevisions>
    </reviewItem>
    <reviewItem>
      <errorID>bc4a9d19-516c-4228-b31f-9b587097f491</errorID>
      <errorWord>）</errorWord>
      <group>L1_Punc</group>
      <groupName>标点问题</groupName>
      <ability>L2_Punc</ability>
      <abilityName>标点符号检查</abilityName>
      <candidateList/>
      <explain>同一形式括号套用。</explain>
      <paraID> D0C7A16</paraID>
      <start>196</start>
      <end>197</end>
      <status>ignored</status>
      <modifiedWord/>
      <trackRevisions>false</trackRevisions>
    </reviewItem>
    <reviewItem>
      <errorID>6ca2157e-7b56-4447-b1fd-46724fd42fe5</errorID>
      <errorWord>（</errorWord>
      <group>L1_Format</group>
      <groupName>格式问题</groupName>
      <ability>L2_HalfPunc</ability>
      <abilityName>全半角检查</abilityName>
      <candidateList>
        <item>(</item>
      </candidateList>
      <explain>文本全半角错误。</explain>
      <paraID>63C08C98</paraID>
      <start>0</start>
      <end>1</end>
      <status>ignored</status>
      <modifiedWord/>
      <trackRevisions>false</trackRevisions>
    </reviewItem>
    <reviewItem>
      <errorID>f9761b04-7338-4799-9abd-e2cba80c1780</errorID>
      <errorWord>）</errorWord>
      <group>L1_Format</group>
      <groupName>格式问题</groupName>
      <ability>L2_HalfPunc</ability>
      <abilityName>全半角检查</abilityName>
      <candidateList>
        <item>)</item>
      </candidateList>
      <explain>文本全半角错误。</explain>
      <paraID>63C08C98</paraID>
      <start>2</start>
      <end>3</end>
      <status>ignored</status>
      <modifiedWord/>
      <trackRevisions>false</trackRevisions>
    </reviewItem>
    <reviewItem>
      <errorID>0e1a3324-7f4b-4364-b6b2-0b63dff708b3</errorID>
      <errorWord>丹徒县</errorWord>
      <group>L1_Word</group>
      <groupName>字词问题</groupName>
      <ability>L2_Variant</ability>
      <abilityName>异形词</abilityName>
      <candidateList>
        <item>丹徒区</item>
      </candidateList>
      <explain>词汇[丹徒县]的规范词形写作[丹徒区]。</explain>
      <paraID>7E6F396B</paraID>
      <start>2</start>
      <end>5</end>
      <status>ignored</status>
      <modifiedWord/>
      <trackRevisions>false</trackRevisions>
    </reviewItem>
    <reviewItem>
      <errorID>bf312311-c400-438e-9deb-98c7bb469d14</errorID>
      <errorWord>见</errorWord>
      <group>L1_Word</group>
      <groupName>字词问题</groupName>
      <ability>L2_Typo</ability>
      <abilityName>字词错误</abilityName>
      <candidateList>
        <item>见下</item>
      </candidateList>
      <explain/>
      <paraID>18C947B6</paraID>
      <start>191</start>
      <end>192</end>
      <status>ignored</status>
      <modifiedWord/>
      <trackRevisions>false</trackRevisions>
    </reviewItem>
    <reviewItem>
      <errorID>8e886517-a3f5-4859-a0de-0c9fcb111c84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47F52ED</paraID>
      <start>0</start>
      <end>2</end>
      <status>ignored</status>
      <modifiedWord/>
      <trackRevisions>false</trackRevisions>
    </reviewItem>
    <reviewItem>
      <errorID>ade212ee-c62c-44d1-8e5d-cdb2099b36f2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239D04B9</paraID>
      <start>0</start>
      <end>2</end>
      <status>ignored</status>
      <modifiedWord/>
      <trackRevisions>false</trackRevisions>
    </reviewItem>
    <reviewItem>
      <errorID>e05bf690-6cc0-4509-8913-b36396ddf718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59CAF0A4</paraID>
      <start>0</start>
      <end>2</end>
      <status>ignored</status>
      <modifiedWord/>
      <trackRevisions>false</trackRevisions>
    </reviewItem>
    <reviewItem>
      <errorID>5ece158e-4b25-4c6d-bad6-383f58fc1917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597EAFB3</paraID>
      <start>0</start>
      <end>2</end>
      <status>ignored</status>
      <modifiedWord/>
      <trackRevisions>false</trackRevisions>
    </reviewItem>
    <reviewItem>
      <errorID>b103d2fe-62ea-45b7-b384-41943f29731b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688F583D</paraID>
      <start>0</start>
      <end>2</end>
      <status>ignored</status>
      <modifiedWord/>
      <trackRevisions>false</trackRevisions>
    </reviewItem>
    <reviewItem>
      <errorID>ea7d24cd-e282-4d28-b8d1-882d6a624d82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5E3905F5</paraID>
      <start>0</start>
      <end>2</end>
      <status>ignored</status>
      <modifiedWord/>
      <trackRevisions>false</trackRevisions>
    </reviewItem>
    <reviewItem>
      <errorID>0b65096c-2bb5-46a5-ba7c-15a48b4da2b7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4E934303</paraID>
      <start>0</start>
      <end>2</end>
      <status>ignored</status>
      <modifiedWord/>
      <trackRevisions>false</trackRevisions>
    </reviewItem>
    <reviewItem>
      <errorID>82cd1f18-60be-4632-916f-eba84f8dda6c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6687E468</paraID>
      <start>0</start>
      <end>2</end>
      <status>ignored</status>
      <modifiedWord/>
      <trackRevisions>false</trackRevisions>
    </reviewItem>
    <reviewItem>
      <errorID>d0b2be6e-c4dc-4416-9185-dc5789075591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6FDA7F68</paraID>
      <start>0</start>
      <end>2</end>
      <status>ignored</status>
      <modifiedWord/>
      <trackRevisions>false</trackRevisions>
    </reviewItem>
    <reviewItem>
      <errorID>903cd5a5-abbe-4463-8ee3-5b7ecaaeaef1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4CA67420</paraID>
      <start>0</start>
      <end>2</end>
      <status>ignored</status>
      <modifiedWord/>
      <trackRevisions>false</trackRevisions>
    </reviewItem>
    <reviewItem>
      <errorID>75c3f948-d558-44c4-b34a-e3da4373c265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3BA2564B</paraID>
      <start>0</start>
      <end>2</end>
      <status>ignored</status>
      <modifiedWord/>
      <trackRevisions>false</trackRevisions>
    </reviewItem>
    <reviewItem>
      <errorID>88ad11b7-07c1-4e5a-8ec2-1190c84a37f2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3E3B69CF</paraID>
      <start>0</start>
      <end>2</end>
      <status>ignored</status>
      <modifiedWord/>
      <trackRevisions>false</trackRevisions>
    </reviewItem>
    <reviewItem>
      <errorID>327d3d81-b486-4a77-99e3-d4826da6bde9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4FD9F53F</paraID>
      <start>0</start>
      <end>2</end>
      <status>ignored</status>
      <modifiedWord/>
      <trackRevisions>false</trackRevisions>
    </reviewItem>
    <reviewItem>
      <errorID>b555d6a8-514d-468d-a44e-cc79e4a8932b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5E77C47</paraID>
      <start>0</start>
      <end>2</end>
      <status>ignored</status>
      <modifiedWord/>
      <trackRevisions>false</trackRevisions>
    </reviewItem>
    <reviewItem>
      <errorID>dd5cdd55-99fe-4355-ae50-195c0aecaae1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5D86EF25</paraID>
      <start>0</start>
      <end>3</end>
      <status>ignored</status>
      <modifiedWord/>
      <trackRevisions>false</trackRevisions>
    </reviewItem>
    <reviewItem>
      <errorID>48b0f5a8-69d3-4b36-8ddb-904e6d1c6de8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5613C424</paraID>
      <start>0</start>
      <end>2</end>
      <status>ignored</status>
      <modifiedWord/>
      <trackRevisions>false</trackRevisions>
    </reviewItem>
    <reviewItem>
      <errorID>77460cf2-da7a-4bdf-8dae-ae81497e4b3d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448543B6</paraID>
      <start>0</start>
      <end>2</end>
      <status>ignored</status>
      <modifiedWord/>
      <trackRevisions>false</trackRevisions>
    </reviewItem>
    <reviewItem>
      <errorID>18563e18-905a-4f2e-8875-db92a32951bf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1ABBA82D</paraID>
      <start>0</start>
      <end>2</end>
      <status>ignored</status>
      <modifiedWord/>
      <trackRevisions>false</trackRevisions>
    </reviewItem>
    <reviewItem>
      <errorID>f1cddaba-648d-4543-b4a4-98cce3f27e41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1B318F01</paraID>
      <start>0</start>
      <end>2</end>
      <status>ignored</status>
      <modifiedWord/>
      <trackRevisions>false</trackRevisions>
    </reviewItem>
    <reviewItem>
      <errorID>5e7191c4-6a43-45e5-a248-3353123f8c24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5747C977</paraID>
      <start>0</start>
      <end>2</end>
      <status>ignored</status>
      <modifiedWord/>
      <trackRevisions>false</trackRevisions>
    </reviewItem>
    <reviewItem>
      <errorID>b1a79213-996f-42de-9512-051983899326</errorID>
      <errorWord>/?</errorWord>
      <group>L1_Punc</group>
      <groupName>标点问题</groupName>
      <ability>L2_Punc</ability>
      <abilityName>标点符号检查</abilityName>
      <candidateList>
        <item>/</item>
      </candidateList>
      <explain/>
      <paraID>3C389732</paraID>
      <start>62</start>
      <end>64</end>
      <status>ignored</status>
      <modifiedWord/>
      <trackRevisions>false</trackRevisions>
    </reviewItem>
    <reviewItem>
      <errorID>be2ae256-065a-4da2-8c20-a0d5dc6258d6</errorID>
      <errorWord>/?</errorWord>
      <group>L1_Punc</group>
      <groupName>标点问题</groupName>
      <ability>L2_Punc</ability>
      <abilityName>标点符号检查</abilityName>
      <candidateList>
        <item>/</item>
      </candidateList>
      <explain/>
      <paraID>7B6F868F</paraID>
      <start>60</start>
      <end>62</end>
      <status>ignored</status>
      <modifiedWord/>
      <trackRevisions>false</trackRevisions>
    </reviewItem>
    <reviewItem>
      <errorID>54103501-be35-45c7-a1d5-4b501caa1824</errorID>
      <errorWord>人民日报</errorWord>
      <group>L1_Knowledge</group>
      <groupName>知识性问题</groupName>
      <ability>L2_Knowledge</ability>
      <abilityName>其他知识</abilityName>
      <candidateList>
        <item>《人民日报》</item>
      </candidateList>
      <explain/>
      <paraID>78610D40</paraID>
      <start>179</start>
      <end>183</end>
      <status>ignored</status>
      <modifiedWord/>
      <trackRevisions>false</trackRevisions>
    </reviewItem>
    <reviewItem>
      <errorID>284484de-4554-4823-924e-d7db2a820d04</errorID>
      <errorWord>查阅</errorWord>
      <group>L1_Word</group>
      <groupName>字词问题</groupName>
      <ability>L2_Typo</ability>
      <abilityName>字词错误</abilityName>
      <candidateList>
        <item>查看</item>
      </candidateList>
      <explain>“查阅～情况”搭配不当，建议修改为“查看～情况”。</explain>
      <paraID>195B444F</paraID>
      <start>6</start>
      <end>8</end>
      <status>ignored</status>
      <modifiedWord/>
      <trackRevisions>false</trackRevisions>
    </reviewItem>
    <reviewItem>
      <errorID>ced88a42-2d0a-4191-aaef-f26636f00024</errorID>
      <errorWord>，</errorWord>
      <group>L1_Word</group>
      <groupName>字词问题</groupName>
      <ability>L2_Typo</ability>
      <abilityName>字词错误</abilityName>
      <candidateList>
        <item>，在</item>
      </candidateList>
      <explain/>
      <paraID>39D45CF2</paraID>
      <start>45</start>
      <end>47</end>
      <status>modified</status>
      <modifiedWord>，在</modifiedWord>
      <trackRevisions>false</trackRevisions>
    </reviewItem>
    <reviewItem>
      <errorID>c56fb888-fb6a-470a-8719-15391e3e9717</errorID>
      <errorWord>IV类</errorWord>
      <group>L1_Knowledge</group>
      <groupName>知识性问题</groupName>
      <ability>L2_Knowledge</ability>
      <abilityName>其他知识</abilityName>
      <candidateList>
        <item>Ⅳ类</item>
      </candidateList>
      <explain/>
      <paraID>7A0041EE</paraID>
      <start>110</start>
      <end>113</end>
      <status>ignored</status>
      <modifiedWord/>
      <trackRevisions>false</trackRevisions>
    </reviewItem>
    <reviewItem>
      <errorID>f8119f7a-9b1f-45d0-a43c-70a9a7300d2b</errorID>
      <errorWord>大部分均</errorWord>
      <group>L1_Word</group>
      <groupName>字词问题</groupName>
      <ability>L2_Typo</ability>
      <abilityName>字词错误</abilityName>
      <candidateList>
        <item>大部分</item>
      </candidateList>
      <explain/>
      <paraID>55E1DC9D</paraID>
      <start>63</start>
      <end>66</end>
      <status>modified</status>
      <modifiedWord>大部分</modifiedWord>
      <trackRevisions>false</trackRevisions>
    </reviewItem>
    <reviewItem>
      <errorID>3373a6e1-3360-46f3-9f04-673a7bfbd7ac</errorID>
      <errorWord>需</errorWord>
      <group>L1_Word</group>
      <groupName>字词问题</groupName>
      <ability>L2_Typo</ability>
      <abilityName>字词错误</abilityName>
      <candidateList>
        <item>需要</item>
      </candidateList>
      <explain>❶〈动〉应该有或必须有：我们～一支强大的科学技术队伍。❷〈名〉对事物的欲望或要求：从群众的～出发。</explain>
      <paraID>7D3ECE1A</paraID>
      <start>34</start>
      <end>36</end>
      <status>modified</status>
      <modifiedWord>需要</modifiedWord>
      <trackRevisions>false</trackRevisions>
    </reviewItem>
    <reviewItem>
      <errorID>67544530-8aec-48e2-b3df-c57d0575db24</errorID>
      <errorWord>污水工程</errorWord>
      <group>L1_Knowledge</group>
      <groupName>知识性问题</groupName>
      <ability>L2_Term</ability>
      <abilityName>专业术语</abilityName>
      <candidateList>
        <item>引水工程</item>
      </candidateList>
      <explain/>
      <paraID>2B56B804</paraID>
      <start>6</start>
      <end>10</end>
      <status>ignored</status>
      <modifiedWord/>
      <trackRevisions>false</trackRevisions>
    </reviewItem>
    <reviewItem>
      <errorID>f9b60f06-0e79-4c8b-8bd7-e6ac12f308e8</errorID>
      <errorWord>（2011）26号</errorWord>
      <group>L1_Knowledge</group>
      <groupName>知识性问题</groupName>
      <ability>L2_Knowledge</ability>
      <abilityName>其他知识</abilityName>
      <candidateList>
        <item>〔2011〕26号</item>
      </candidateList>
      <explain>发文字号格式错误。</explain>
      <paraID>6ECD1D23</paraID>
      <start>36</start>
      <end>45</end>
      <status>modified</status>
      <modifiedWord>〔2011〕26号</modifiedWord>
      <trackRevisions>false</trackRevisions>
    </reviewItem>
  </reviewItems>
  <config/>
</contractReview>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7538BB6-1E0E-494D-9F62-B0AF15E3D994}">
  <ds:schemaRefs/>
</ds:datastoreItem>
</file>

<file path=customXml/itemProps3.xml><?xml version="1.0" encoding="utf-8"?>
<ds:datastoreItem xmlns:ds="http://schemas.openxmlformats.org/officeDocument/2006/customXml" ds:itemID="{CFCCC5B7-81D9-49D9-855B-093D44A3EDB9}">
  <ds:schemaRefs/>
</ds:datastoreItem>
</file>

<file path=docProps/app.xml><?xml version="1.0" encoding="utf-8"?>
<Properties xmlns="http://schemas.openxmlformats.org/officeDocument/2006/extended-properties" xmlns:vt="http://schemas.openxmlformats.org/officeDocument/2006/docPropsVTypes">
  <Template>Normal.dotm</Template>
  <Company>Mircrosoft</Company>
  <Pages>454</Pages>
  <Words>9429</Words>
  <Characters>10797</Characters>
  <Lines>2356</Lines>
  <Paragraphs>663</Paragraphs>
  <TotalTime>23</TotalTime>
  <ScaleCrop>false</ScaleCrop>
  <LinksUpToDate>false</LinksUpToDate>
  <CharactersWithSpaces>11087</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2026-01-19T01:37:00Z</dcterms:created>
  <dc:creator>Lmx</dc:creator>
  <cp:lastModifiedBy>球球</cp:lastModifiedBy>
  <cp:lastPrinted>2026-01-19T01:43:00Z</cp:lastPrinted>
  <dcterms:modified xsi:type="dcterms:W3CDTF">2026-02-06T07:31:17Z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D5B12155956B4CB984018D46A041A6FD_13</vt:lpwstr>
  </property>
  <property fmtid="{D5CDD505-2E9C-101B-9397-08002B2CF9AE}" pid="4" name="KSOTemplateDocerSaveRecord">
    <vt:lpwstr>eyJoZGlkIjoiYWZhMzA0MTE2MGQ3ODcwOTgyMWY3NzY0ZDhkYzQxODciLCJ1c2VySWQiOiIzODk2NzQyOTcifQ==</vt:lpwstr>
  </property>
</Properties>
</file>